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DA5C7" w14:textId="77777777" w:rsidR="00A67F21" w:rsidRPr="00B12FE0" w:rsidRDefault="00000000">
      <w:pPr>
        <w:snapToGrid w:val="0"/>
        <w:spacing w:line="500" w:lineRule="exact"/>
        <w:jc w:val="right"/>
        <w:rPr>
          <w:color w:val="000000" w:themeColor="text1"/>
          <w:sz w:val="28"/>
          <w:szCs w:val="28"/>
        </w:rPr>
      </w:pPr>
      <w:r w:rsidRPr="00B12FE0">
        <w:rPr>
          <w:color w:val="000000" w:themeColor="text1"/>
          <w:sz w:val="28"/>
          <w:szCs w:val="28"/>
        </w:rPr>
        <w:t>编号：</w:t>
      </w:r>
      <w:r w:rsidRPr="00B12FE0">
        <w:rPr>
          <w:rFonts w:hint="eastAsia"/>
          <w:color w:val="000000" w:themeColor="text1"/>
          <w:sz w:val="28"/>
          <w:szCs w:val="28"/>
        </w:rPr>
        <w:t>BG</w:t>
      </w:r>
      <w:r w:rsidRPr="00B12FE0">
        <w:rPr>
          <w:color w:val="000000" w:themeColor="text1"/>
          <w:sz w:val="28"/>
          <w:szCs w:val="28"/>
        </w:rPr>
        <w:t>-</w:t>
      </w:r>
      <w:r w:rsidRPr="00B12FE0">
        <w:rPr>
          <w:rFonts w:hint="eastAsia"/>
          <w:color w:val="000000" w:themeColor="text1"/>
          <w:sz w:val="28"/>
          <w:szCs w:val="28"/>
        </w:rPr>
        <w:t>ZFFB</w:t>
      </w:r>
      <w:r w:rsidRPr="00B12FE0">
        <w:rPr>
          <w:color w:val="000000" w:themeColor="text1"/>
          <w:sz w:val="28"/>
          <w:szCs w:val="28"/>
        </w:rPr>
        <w:t>25220253</w:t>
      </w:r>
    </w:p>
    <w:p w14:paraId="104D7293" w14:textId="77777777" w:rsidR="00A67F21" w:rsidRPr="00B12FE0" w:rsidRDefault="00000000">
      <w:pPr>
        <w:kinsoku w:val="0"/>
        <w:overflowPunct w:val="0"/>
        <w:autoSpaceDE w:val="0"/>
        <w:autoSpaceDN w:val="0"/>
        <w:adjustRightInd w:val="0"/>
        <w:spacing w:line="360" w:lineRule="auto"/>
        <w:jc w:val="center"/>
        <w:rPr>
          <w:b/>
          <w:bCs/>
          <w:color w:val="000000" w:themeColor="text1"/>
          <w:kern w:val="0"/>
          <w:sz w:val="44"/>
          <w:szCs w:val="44"/>
        </w:rPr>
      </w:pPr>
      <w:r w:rsidRPr="00B12FE0">
        <w:rPr>
          <w:b/>
          <w:bCs/>
          <w:color w:val="000000" w:themeColor="text1"/>
          <w:kern w:val="0"/>
          <w:sz w:val="44"/>
          <w:szCs w:val="44"/>
        </w:rPr>
        <w:t xml:space="preserve"> </w:t>
      </w:r>
    </w:p>
    <w:p w14:paraId="06313C7C" w14:textId="77777777" w:rsidR="00A67F21" w:rsidRPr="00B12FE0" w:rsidRDefault="00000000">
      <w:pPr>
        <w:kinsoku w:val="0"/>
        <w:overflowPunct w:val="0"/>
        <w:autoSpaceDE w:val="0"/>
        <w:autoSpaceDN w:val="0"/>
        <w:adjustRightInd w:val="0"/>
        <w:spacing w:line="360" w:lineRule="auto"/>
        <w:jc w:val="center"/>
        <w:rPr>
          <w:b/>
          <w:bCs/>
          <w:color w:val="000000" w:themeColor="text1"/>
          <w:kern w:val="0"/>
          <w:sz w:val="44"/>
          <w:szCs w:val="44"/>
        </w:rPr>
      </w:pPr>
      <w:r w:rsidRPr="00B12FE0">
        <w:rPr>
          <w:b/>
          <w:bCs/>
          <w:color w:val="000000" w:themeColor="text1"/>
          <w:kern w:val="0"/>
          <w:sz w:val="44"/>
          <w:szCs w:val="44"/>
        </w:rPr>
        <w:t xml:space="preserve"> </w:t>
      </w:r>
    </w:p>
    <w:p w14:paraId="29EA14AD" w14:textId="77777777" w:rsidR="00A67F21" w:rsidRPr="00B12FE0" w:rsidRDefault="00A67F21">
      <w:pPr>
        <w:kinsoku w:val="0"/>
        <w:overflowPunct w:val="0"/>
        <w:autoSpaceDE w:val="0"/>
        <w:autoSpaceDN w:val="0"/>
        <w:adjustRightInd w:val="0"/>
        <w:spacing w:line="360" w:lineRule="auto"/>
        <w:jc w:val="center"/>
        <w:rPr>
          <w:b/>
          <w:bCs/>
          <w:color w:val="000000" w:themeColor="text1"/>
          <w:kern w:val="0"/>
          <w:sz w:val="44"/>
          <w:szCs w:val="44"/>
        </w:rPr>
      </w:pPr>
    </w:p>
    <w:p w14:paraId="1427EA19" w14:textId="77777777" w:rsidR="00A67F21" w:rsidRPr="00B12FE0" w:rsidRDefault="00000000">
      <w:pPr>
        <w:kinsoku w:val="0"/>
        <w:overflowPunct w:val="0"/>
        <w:autoSpaceDE w:val="0"/>
        <w:autoSpaceDN w:val="0"/>
        <w:adjustRightInd w:val="0"/>
        <w:jc w:val="center"/>
        <w:rPr>
          <w:b/>
          <w:bCs/>
          <w:color w:val="000000" w:themeColor="text1"/>
          <w:kern w:val="0"/>
          <w:sz w:val="36"/>
          <w:szCs w:val="36"/>
        </w:rPr>
      </w:pPr>
      <w:r w:rsidRPr="00B12FE0">
        <w:rPr>
          <w:b/>
          <w:bCs/>
          <w:color w:val="000000" w:themeColor="text1"/>
          <w:kern w:val="0"/>
          <w:sz w:val="36"/>
          <w:szCs w:val="36"/>
        </w:rPr>
        <w:t>核技术利用建设项目</w:t>
      </w:r>
    </w:p>
    <w:p w14:paraId="5A4C6BDD" w14:textId="77777777" w:rsidR="00A67F21" w:rsidRPr="00B12FE0" w:rsidRDefault="00000000">
      <w:pPr>
        <w:kinsoku w:val="0"/>
        <w:overflowPunct w:val="0"/>
        <w:autoSpaceDE w:val="0"/>
        <w:autoSpaceDN w:val="0"/>
        <w:adjustRightInd w:val="0"/>
        <w:spacing w:line="360" w:lineRule="auto"/>
        <w:jc w:val="center"/>
        <w:rPr>
          <w:b/>
          <w:bCs/>
          <w:color w:val="000000" w:themeColor="text1"/>
          <w:kern w:val="0"/>
          <w:sz w:val="30"/>
          <w:szCs w:val="30"/>
        </w:rPr>
      </w:pPr>
      <w:r w:rsidRPr="00B12FE0">
        <w:rPr>
          <w:b/>
          <w:bCs/>
          <w:color w:val="000000" w:themeColor="text1"/>
          <w:kern w:val="0"/>
          <w:sz w:val="30"/>
          <w:szCs w:val="30"/>
        </w:rPr>
        <w:t xml:space="preserve"> </w:t>
      </w:r>
    </w:p>
    <w:p w14:paraId="40D2F2A0" w14:textId="77777777" w:rsidR="00A67F21" w:rsidRPr="00B12FE0" w:rsidRDefault="00000000">
      <w:pPr>
        <w:kinsoku w:val="0"/>
        <w:overflowPunct w:val="0"/>
        <w:autoSpaceDE w:val="0"/>
        <w:autoSpaceDN w:val="0"/>
        <w:adjustRightInd w:val="0"/>
        <w:spacing w:before="1"/>
        <w:jc w:val="center"/>
        <w:rPr>
          <w:b/>
          <w:bCs/>
          <w:color w:val="000000" w:themeColor="text1"/>
          <w:kern w:val="0"/>
          <w:sz w:val="39"/>
          <w:szCs w:val="39"/>
        </w:rPr>
      </w:pPr>
      <w:r w:rsidRPr="00B12FE0">
        <w:rPr>
          <w:b/>
          <w:bCs/>
          <w:color w:val="000000" w:themeColor="text1"/>
          <w:kern w:val="0"/>
          <w:sz w:val="39"/>
          <w:szCs w:val="39"/>
        </w:rPr>
        <w:t xml:space="preserve"> </w:t>
      </w:r>
    </w:p>
    <w:p w14:paraId="77B2A8D5" w14:textId="77777777" w:rsidR="00A67F21" w:rsidRPr="00B12FE0" w:rsidRDefault="00000000">
      <w:pPr>
        <w:spacing w:line="360" w:lineRule="auto"/>
        <w:jc w:val="center"/>
        <w:rPr>
          <w:b/>
          <w:color w:val="000000" w:themeColor="text1"/>
          <w:sz w:val="44"/>
          <w:szCs w:val="44"/>
        </w:rPr>
      </w:pPr>
      <w:r w:rsidRPr="00B12FE0">
        <w:rPr>
          <w:rFonts w:hint="eastAsia"/>
          <w:b/>
          <w:color w:val="000000" w:themeColor="text1"/>
          <w:sz w:val="44"/>
          <w:szCs w:val="44"/>
        </w:rPr>
        <w:t>浙江大学医学院附属邵逸夫医院新疆兵团阿拉尔医院肿瘤治疗中心核技术利用</w:t>
      </w:r>
      <w:r w:rsidRPr="00B12FE0">
        <w:rPr>
          <w:b/>
          <w:color w:val="000000" w:themeColor="text1"/>
          <w:sz w:val="44"/>
          <w:szCs w:val="44"/>
        </w:rPr>
        <w:t>建设项目</w:t>
      </w:r>
    </w:p>
    <w:p w14:paraId="1C03E2E0" w14:textId="77777777" w:rsidR="00A67F21" w:rsidRPr="00B12FE0" w:rsidRDefault="00000000">
      <w:pPr>
        <w:spacing w:line="360" w:lineRule="auto"/>
        <w:jc w:val="center"/>
        <w:rPr>
          <w:b/>
          <w:color w:val="000000" w:themeColor="text1"/>
          <w:sz w:val="44"/>
          <w:szCs w:val="44"/>
        </w:rPr>
      </w:pPr>
      <w:r w:rsidRPr="00B12FE0">
        <w:rPr>
          <w:b/>
          <w:color w:val="000000" w:themeColor="text1"/>
          <w:sz w:val="44"/>
          <w:szCs w:val="44"/>
        </w:rPr>
        <w:t>环境影响报告表</w:t>
      </w:r>
    </w:p>
    <w:p w14:paraId="5C2369A4" w14:textId="77777777" w:rsidR="00A67F21" w:rsidRPr="00B12FE0" w:rsidRDefault="00000000">
      <w:pPr>
        <w:kinsoku w:val="0"/>
        <w:overflowPunct w:val="0"/>
        <w:autoSpaceDE w:val="0"/>
        <w:autoSpaceDN w:val="0"/>
        <w:spacing w:beforeLines="50" w:before="120" w:line="360" w:lineRule="auto"/>
        <w:jc w:val="center"/>
        <w:rPr>
          <w:b/>
          <w:color w:val="000000" w:themeColor="text1"/>
          <w:spacing w:val="1"/>
          <w:kern w:val="0"/>
          <w:sz w:val="36"/>
          <w:szCs w:val="36"/>
        </w:rPr>
      </w:pPr>
      <w:r w:rsidRPr="00B12FE0">
        <w:rPr>
          <w:rFonts w:hint="eastAsia"/>
          <w:b/>
          <w:color w:val="000000" w:themeColor="text1"/>
          <w:spacing w:val="1"/>
          <w:kern w:val="0"/>
          <w:sz w:val="36"/>
          <w:szCs w:val="36"/>
        </w:rPr>
        <w:t>（</w:t>
      </w:r>
      <w:r w:rsidRPr="00B12FE0">
        <w:rPr>
          <w:b/>
          <w:color w:val="000000" w:themeColor="text1"/>
          <w:spacing w:val="1"/>
          <w:kern w:val="0"/>
          <w:sz w:val="36"/>
          <w:szCs w:val="36"/>
        </w:rPr>
        <w:t>送审稿</w:t>
      </w:r>
      <w:r w:rsidRPr="00B12FE0">
        <w:rPr>
          <w:rFonts w:hint="eastAsia"/>
          <w:b/>
          <w:color w:val="000000" w:themeColor="text1"/>
          <w:spacing w:val="1"/>
          <w:kern w:val="0"/>
          <w:sz w:val="36"/>
          <w:szCs w:val="36"/>
        </w:rPr>
        <w:t>）</w:t>
      </w:r>
    </w:p>
    <w:p w14:paraId="5598903E" w14:textId="77777777" w:rsidR="00A67F21" w:rsidRPr="00B12FE0" w:rsidRDefault="00A67F21">
      <w:pPr>
        <w:kinsoku w:val="0"/>
        <w:overflowPunct w:val="0"/>
        <w:autoSpaceDE w:val="0"/>
        <w:autoSpaceDN w:val="0"/>
        <w:adjustRightInd w:val="0"/>
        <w:spacing w:beforeLines="50" w:before="120" w:line="360" w:lineRule="auto"/>
        <w:jc w:val="center"/>
        <w:rPr>
          <w:b/>
          <w:bCs/>
          <w:color w:val="000000" w:themeColor="text1"/>
          <w:spacing w:val="1"/>
          <w:kern w:val="0"/>
          <w:sz w:val="28"/>
          <w:szCs w:val="28"/>
        </w:rPr>
      </w:pPr>
    </w:p>
    <w:p w14:paraId="58E2884B" w14:textId="77777777" w:rsidR="00A67F21" w:rsidRPr="00B12FE0" w:rsidRDefault="00A67F21">
      <w:pPr>
        <w:kinsoku w:val="0"/>
        <w:overflowPunct w:val="0"/>
        <w:autoSpaceDE w:val="0"/>
        <w:autoSpaceDN w:val="0"/>
        <w:adjustRightInd w:val="0"/>
        <w:spacing w:beforeLines="50" w:before="120" w:line="360" w:lineRule="auto"/>
        <w:jc w:val="center"/>
        <w:rPr>
          <w:b/>
          <w:bCs/>
          <w:color w:val="000000" w:themeColor="text1"/>
          <w:spacing w:val="1"/>
          <w:kern w:val="0"/>
          <w:sz w:val="28"/>
          <w:szCs w:val="28"/>
        </w:rPr>
      </w:pPr>
    </w:p>
    <w:p w14:paraId="0593830F" w14:textId="77777777" w:rsidR="00A67F21" w:rsidRPr="00B12FE0" w:rsidRDefault="00A67F21">
      <w:pPr>
        <w:kinsoku w:val="0"/>
        <w:overflowPunct w:val="0"/>
        <w:autoSpaceDE w:val="0"/>
        <w:autoSpaceDN w:val="0"/>
        <w:adjustRightInd w:val="0"/>
        <w:spacing w:beforeLines="50" w:before="120" w:line="360" w:lineRule="auto"/>
        <w:jc w:val="center"/>
        <w:rPr>
          <w:b/>
          <w:bCs/>
          <w:color w:val="000000" w:themeColor="text1"/>
          <w:spacing w:val="1"/>
          <w:kern w:val="0"/>
          <w:sz w:val="28"/>
          <w:szCs w:val="28"/>
        </w:rPr>
      </w:pPr>
    </w:p>
    <w:p w14:paraId="071799D0" w14:textId="77777777" w:rsidR="00A67F21" w:rsidRPr="00B12FE0" w:rsidRDefault="00A67F21">
      <w:pPr>
        <w:kinsoku w:val="0"/>
        <w:overflowPunct w:val="0"/>
        <w:autoSpaceDE w:val="0"/>
        <w:autoSpaceDN w:val="0"/>
        <w:adjustRightInd w:val="0"/>
        <w:spacing w:beforeLines="50" w:before="120" w:line="360" w:lineRule="auto"/>
        <w:jc w:val="center"/>
        <w:rPr>
          <w:b/>
          <w:bCs/>
          <w:color w:val="000000" w:themeColor="text1"/>
          <w:spacing w:val="1"/>
          <w:kern w:val="0"/>
          <w:sz w:val="28"/>
          <w:szCs w:val="28"/>
        </w:rPr>
      </w:pPr>
    </w:p>
    <w:p w14:paraId="2F747F5B" w14:textId="77777777" w:rsidR="00A67F21" w:rsidRPr="00B12FE0" w:rsidRDefault="00A67F21">
      <w:pPr>
        <w:kinsoku w:val="0"/>
        <w:overflowPunct w:val="0"/>
        <w:autoSpaceDE w:val="0"/>
        <w:autoSpaceDN w:val="0"/>
        <w:adjustRightInd w:val="0"/>
        <w:spacing w:beforeLines="50" w:before="120" w:line="360" w:lineRule="auto"/>
        <w:jc w:val="center"/>
        <w:rPr>
          <w:b/>
          <w:bCs/>
          <w:color w:val="000000" w:themeColor="text1"/>
          <w:spacing w:val="1"/>
          <w:kern w:val="0"/>
          <w:sz w:val="28"/>
          <w:szCs w:val="28"/>
        </w:rPr>
      </w:pPr>
    </w:p>
    <w:p w14:paraId="234681C7" w14:textId="77777777" w:rsidR="00A67F21" w:rsidRPr="00B12FE0" w:rsidRDefault="00A67F21">
      <w:pPr>
        <w:kinsoku w:val="0"/>
        <w:overflowPunct w:val="0"/>
        <w:autoSpaceDE w:val="0"/>
        <w:autoSpaceDN w:val="0"/>
        <w:adjustRightInd w:val="0"/>
        <w:spacing w:beforeLines="50" w:before="120" w:line="360" w:lineRule="auto"/>
        <w:jc w:val="center"/>
        <w:rPr>
          <w:b/>
          <w:bCs/>
          <w:color w:val="000000" w:themeColor="text1"/>
          <w:spacing w:val="1"/>
          <w:kern w:val="0"/>
          <w:sz w:val="28"/>
          <w:szCs w:val="28"/>
        </w:rPr>
      </w:pPr>
    </w:p>
    <w:p w14:paraId="62ED8037" w14:textId="77777777" w:rsidR="00A67F21" w:rsidRPr="00B12FE0" w:rsidRDefault="00A67F21">
      <w:pPr>
        <w:kinsoku w:val="0"/>
        <w:overflowPunct w:val="0"/>
        <w:autoSpaceDE w:val="0"/>
        <w:autoSpaceDN w:val="0"/>
        <w:adjustRightInd w:val="0"/>
        <w:spacing w:beforeLines="50" w:before="120" w:line="360" w:lineRule="auto"/>
        <w:jc w:val="center"/>
        <w:rPr>
          <w:color w:val="000000" w:themeColor="text1"/>
          <w:kern w:val="0"/>
          <w:sz w:val="28"/>
          <w:szCs w:val="28"/>
        </w:rPr>
      </w:pPr>
    </w:p>
    <w:p w14:paraId="4C5C9E6A" w14:textId="77777777" w:rsidR="00A67F21" w:rsidRPr="00B12FE0" w:rsidRDefault="00000000">
      <w:pPr>
        <w:kinsoku w:val="0"/>
        <w:overflowPunct w:val="0"/>
        <w:autoSpaceDE w:val="0"/>
        <w:autoSpaceDN w:val="0"/>
        <w:adjustRightInd w:val="0"/>
        <w:spacing w:line="360" w:lineRule="auto"/>
        <w:jc w:val="center"/>
        <w:rPr>
          <w:b/>
          <w:bCs/>
          <w:color w:val="000000" w:themeColor="text1"/>
          <w:kern w:val="0"/>
          <w:sz w:val="28"/>
          <w:szCs w:val="28"/>
        </w:rPr>
      </w:pPr>
      <w:r w:rsidRPr="00B12FE0">
        <w:rPr>
          <w:rFonts w:hint="eastAsia"/>
          <w:b/>
          <w:bCs/>
          <w:color w:val="000000" w:themeColor="text1"/>
          <w:kern w:val="0"/>
          <w:sz w:val="28"/>
          <w:szCs w:val="28"/>
        </w:rPr>
        <w:t>浙江大学医学院附属邵逸夫医院新疆兵团阿拉尔医院</w:t>
      </w:r>
    </w:p>
    <w:p w14:paraId="18361995" w14:textId="1992D145" w:rsidR="00A67F21" w:rsidRPr="00B12FE0" w:rsidRDefault="00000000">
      <w:pPr>
        <w:kinsoku w:val="0"/>
        <w:overflowPunct w:val="0"/>
        <w:autoSpaceDE w:val="0"/>
        <w:autoSpaceDN w:val="0"/>
        <w:adjustRightInd w:val="0"/>
        <w:spacing w:line="360" w:lineRule="auto"/>
        <w:jc w:val="center"/>
        <w:rPr>
          <w:b/>
          <w:bCs/>
          <w:color w:val="000000" w:themeColor="text1"/>
          <w:kern w:val="0"/>
          <w:sz w:val="28"/>
          <w:szCs w:val="28"/>
        </w:rPr>
      </w:pPr>
      <w:r w:rsidRPr="00B12FE0">
        <w:rPr>
          <w:b/>
          <w:bCs/>
          <w:color w:val="000000" w:themeColor="text1"/>
          <w:kern w:val="0"/>
          <w:sz w:val="28"/>
          <w:szCs w:val="28"/>
        </w:rPr>
        <w:t>202</w:t>
      </w:r>
      <w:r w:rsidRPr="00B12FE0">
        <w:rPr>
          <w:rFonts w:hint="eastAsia"/>
          <w:b/>
          <w:bCs/>
          <w:color w:val="000000" w:themeColor="text1"/>
          <w:kern w:val="0"/>
          <w:sz w:val="28"/>
          <w:szCs w:val="28"/>
        </w:rPr>
        <w:t>6</w:t>
      </w:r>
      <w:r w:rsidRPr="00B12FE0">
        <w:rPr>
          <w:b/>
          <w:bCs/>
          <w:color w:val="000000" w:themeColor="text1"/>
          <w:kern w:val="0"/>
          <w:sz w:val="28"/>
          <w:szCs w:val="28"/>
        </w:rPr>
        <w:t>年</w:t>
      </w:r>
      <w:r w:rsidR="008B0337">
        <w:rPr>
          <w:rFonts w:hint="eastAsia"/>
          <w:b/>
          <w:bCs/>
          <w:color w:val="000000" w:themeColor="text1"/>
          <w:kern w:val="0"/>
          <w:sz w:val="28"/>
          <w:szCs w:val="28"/>
        </w:rPr>
        <w:t>6</w:t>
      </w:r>
      <w:r w:rsidRPr="00B12FE0">
        <w:rPr>
          <w:b/>
          <w:bCs/>
          <w:color w:val="000000" w:themeColor="text1"/>
          <w:kern w:val="0"/>
          <w:sz w:val="28"/>
          <w:szCs w:val="28"/>
        </w:rPr>
        <w:t>月</w:t>
      </w:r>
      <w:r w:rsidRPr="00B12FE0">
        <w:rPr>
          <w:b/>
          <w:bCs/>
          <w:color w:val="000000" w:themeColor="text1"/>
          <w:kern w:val="0"/>
          <w:sz w:val="28"/>
          <w:szCs w:val="28"/>
        </w:rPr>
        <w:t xml:space="preserve"> </w:t>
      </w:r>
    </w:p>
    <w:p w14:paraId="6E803122" w14:textId="77777777" w:rsidR="00A67F21" w:rsidRPr="00B12FE0" w:rsidRDefault="00000000">
      <w:pPr>
        <w:kinsoku w:val="0"/>
        <w:overflowPunct w:val="0"/>
        <w:autoSpaceDE w:val="0"/>
        <w:autoSpaceDN w:val="0"/>
        <w:adjustRightInd w:val="0"/>
        <w:spacing w:line="360" w:lineRule="auto"/>
        <w:jc w:val="center"/>
        <w:rPr>
          <w:color w:val="000000" w:themeColor="text1"/>
          <w:kern w:val="0"/>
          <w:sz w:val="28"/>
          <w:szCs w:val="28"/>
        </w:rPr>
      </w:pPr>
      <w:r w:rsidRPr="00B12FE0">
        <w:rPr>
          <w:color w:val="000000" w:themeColor="text1"/>
          <w:kern w:val="0"/>
          <w:sz w:val="28"/>
          <w:szCs w:val="28"/>
        </w:rPr>
        <w:t xml:space="preserve"> </w:t>
      </w:r>
    </w:p>
    <w:p w14:paraId="46E9D48C" w14:textId="77777777" w:rsidR="00A67F21" w:rsidRPr="00B12FE0" w:rsidRDefault="00000000">
      <w:pPr>
        <w:kinsoku w:val="0"/>
        <w:overflowPunct w:val="0"/>
        <w:autoSpaceDE w:val="0"/>
        <w:autoSpaceDN w:val="0"/>
        <w:adjustRightInd w:val="0"/>
        <w:spacing w:line="360" w:lineRule="auto"/>
        <w:jc w:val="center"/>
        <w:rPr>
          <w:color w:val="000000" w:themeColor="text1"/>
        </w:rPr>
      </w:pPr>
      <w:r w:rsidRPr="00B12FE0">
        <w:rPr>
          <w:b/>
          <w:bCs/>
          <w:color w:val="000000" w:themeColor="text1"/>
          <w:kern w:val="0"/>
          <w:sz w:val="28"/>
          <w:szCs w:val="28"/>
        </w:rPr>
        <w:t>生态环境部监制</w:t>
      </w:r>
    </w:p>
    <w:p w14:paraId="138BC79E" w14:textId="77777777" w:rsidR="00A67F21" w:rsidRPr="00B12FE0" w:rsidRDefault="00A67F21">
      <w:pPr>
        <w:widowControl/>
        <w:spacing w:line="360" w:lineRule="auto"/>
        <w:jc w:val="left"/>
        <w:rPr>
          <w:b/>
          <w:bCs/>
          <w:color w:val="000000" w:themeColor="text1"/>
          <w:kern w:val="0"/>
          <w:sz w:val="28"/>
          <w:szCs w:val="28"/>
        </w:rPr>
        <w:sectPr w:rsidR="00A67F21" w:rsidRPr="00B12FE0">
          <w:headerReference w:type="even" r:id="rId10"/>
          <w:headerReference w:type="default" r:id="rId11"/>
          <w:pgSz w:w="11910" w:h="16840"/>
          <w:pgMar w:top="1440" w:right="1440" w:bottom="1440" w:left="1440" w:header="0" w:footer="1190" w:gutter="0"/>
          <w:cols w:space="720"/>
        </w:sectPr>
      </w:pPr>
    </w:p>
    <w:p w14:paraId="7475BA2F" w14:textId="77777777" w:rsidR="00A67F21" w:rsidRPr="00B12FE0" w:rsidRDefault="00A67F21">
      <w:pPr>
        <w:spacing w:line="360" w:lineRule="auto"/>
        <w:jc w:val="center"/>
        <w:rPr>
          <w:color w:val="000000" w:themeColor="text1"/>
          <w:sz w:val="44"/>
          <w:szCs w:val="44"/>
        </w:rPr>
      </w:pPr>
    </w:p>
    <w:p w14:paraId="63748958" w14:textId="77777777" w:rsidR="00A67F21" w:rsidRPr="00B12FE0" w:rsidRDefault="00A67F21">
      <w:pPr>
        <w:spacing w:line="360" w:lineRule="auto"/>
        <w:jc w:val="center"/>
        <w:rPr>
          <w:color w:val="000000" w:themeColor="text1"/>
          <w:sz w:val="44"/>
          <w:szCs w:val="44"/>
        </w:rPr>
      </w:pPr>
    </w:p>
    <w:p w14:paraId="08C5E0F2" w14:textId="77777777" w:rsidR="00A67F21" w:rsidRPr="00B12FE0" w:rsidRDefault="00000000">
      <w:pPr>
        <w:kinsoku w:val="0"/>
        <w:overflowPunct w:val="0"/>
        <w:autoSpaceDE w:val="0"/>
        <w:autoSpaceDN w:val="0"/>
        <w:adjustRightInd w:val="0"/>
        <w:jc w:val="center"/>
        <w:rPr>
          <w:b/>
          <w:bCs/>
          <w:color w:val="000000" w:themeColor="text1"/>
          <w:kern w:val="0"/>
          <w:sz w:val="36"/>
          <w:szCs w:val="36"/>
        </w:rPr>
      </w:pPr>
      <w:r w:rsidRPr="00B12FE0">
        <w:rPr>
          <w:b/>
          <w:bCs/>
          <w:color w:val="000000" w:themeColor="text1"/>
          <w:kern w:val="0"/>
          <w:sz w:val="36"/>
          <w:szCs w:val="36"/>
        </w:rPr>
        <w:t>核技术利用建设项目</w:t>
      </w:r>
    </w:p>
    <w:p w14:paraId="2A534D93" w14:textId="77777777" w:rsidR="00A67F21" w:rsidRPr="00B12FE0" w:rsidRDefault="00000000">
      <w:pPr>
        <w:kinsoku w:val="0"/>
        <w:overflowPunct w:val="0"/>
        <w:autoSpaceDE w:val="0"/>
        <w:autoSpaceDN w:val="0"/>
        <w:adjustRightInd w:val="0"/>
        <w:spacing w:line="360" w:lineRule="auto"/>
        <w:jc w:val="center"/>
        <w:rPr>
          <w:b/>
          <w:bCs/>
          <w:color w:val="000000" w:themeColor="text1"/>
          <w:kern w:val="0"/>
          <w:sz w:val="30"/>
          <w:szCs w:val="30"/>
        </w:rPr>
      </w:pPr>
      <w:r w:rsidRPr="00B12FE0">
        <w:rPr>
          <w:b/>
          <w:bCs/>
          <w:color w:val="000000" w:themeColor="text1"/>
          <w:kern w:val="0"/>
          <w:sz w:val="30"/>
          <w:szCs w:val="30"/>
        </w:rPr>
        <w:t xml:space="preserve"> </w:t>
      </w:r>
    </w:p>
    <w:p w14:paraId="58D3D9F1" w14:textId="77777777" w:rsidR="00A67F21" w:rsidRPr="00B12FE0" w:rsidRDefault="00000000">
      <w:pPr>
        <w:kinsoku w:val="0"/>
        <w:overflowPunct w:val="0"/>
        <w:autoSpaceDE w:val="0"/>
        <w:autoSpaceDN w:val="0"/>
        <w:adjustRightInd w:val="0"/>
        <w:spacing w:line="360" w:lineRule="auto"/>
        <w:jc w:val="center"/>
        <w:rPr>
          <w:b/>
          <w:bCs/>
          <w:color w:val="000000" w:themeColor="text1"/>
          <w:kern w:val="0"/>
          <w:sz w:val="30"/>
          <w:szCs w:val="30"/>
        </w:rPr>
      </w:pPr>
      <w:r w:rsidRPr="00B12FE0">
        <w:rPr>
          <w:b/>
          <w:bCs/>
          <w:color w:val="000000" w:themeColor="text1"/>
          <w:kern w:val="0"/>
          <w:sz w:val="30"/>
          <w:szCs w:val="30"/>
        </w:rPr>
        <w:t xml:space="preserve"> </w:t>
      </w:r>
    </w:p>
    <w:p w14:paraId="525CCEB6" w14:textId="77777777" w:rsidR="00A67F21" w:rsidRPr="00B12FE0" w:rsidRDefault="00000000">
      <w:pPr>
        <w:kinsoku w:val="0"/>
        <w:overflowPunct w:val="0"/>
        <w:autoSpaceDE w:val="0"/>
        <w:autoSpaceDN w:val="0"/>
        <w:adjustRightInd w:val="0"/>
        <w:spacing w:beforeLines="50" w:before="156" w:line="360" w:lineRule="auto"/>
        <w:jc w:val="center"/>
        <w:rPr>
          <w:b/>
          <w:bCs/>
          <w:color w:val="000000" w:themeColor="text1"/>
          <w:spacing w:val="2"/>
          <w:kern w:val="0"/>
          <w:sz w:val="44"/>
          <w:szCs w:val="44"/>
        </w:rPr>
      </w:pPr>
      <w:r w:rsidRPr="00B12FE0">
        <w:rPr>
          <w:rFonts w:hint="eastAsia"/>
          <w:b/>
          <w:bCs/>
          <w:color w:val="000000" w:themeColor="text1"/>
          <w:spacing w:val="2"/>
          <w:kern w:val="0"/>
          <w:sz w:val="44"/>
          <w:szCs w:val="44"/>
        </w:rPr>
        <w:t>浙江大学医学院附属邵逸夫医院新疆兵团阿拉尔医院肿瘤治疗中心核技术利用</w:t>
      </w:r>
      <w:r w:rsidRPr="00B12FE0">
        <w:rPr>
          <w:b/>
          <w:bCs/>
          <w:color w:val="000000" w:themeColor="text1"/>
          <w:spacing w:val="2"/>
          <w:kern w:val="0"/>
          <w:sz w:val="44"/>
          <w:szCs w:val="44"/>
        </w:rPr>
        <w:t>建设项目</w:t>
      </w:r>
    </w:p>
    <w:p w14:paraId="4D7305FE" w14:textId="77777777" w:rsidR="00A67F21" w:rsidRPr="00B12FE0" w:rsidRDefault="00000000">
      <w:pPr>
        <w:kinsoku w:val="0"/>
        <w:overflowPunct w:val="0"/>
        <w:autoSpaceDE w:val="0"/>
        <w:autoSpaceDN w:val="0"/>
        <w:adjustRightInd w:val="0"/>
        <w:spacing w:beforeLines="50" w:before="156" w:line="360" w:lineRule="auto"/>
        <w:jc w:val="center"/>
        <w:rPr>
          <w:b/>
          <w:bCs/>
          <w:color w:val="000000" w:themeColor="text1"/>
          <w:spacing w:val="1"/>
          <w:kern w:val="0"/>
          <w:sz w:val="44"/>
          <w:szCs w:val="44"/>
        </w:rPr>
      </w:pPr>
      <w:r w:rsidRPr="00B12FE0">
        <w:rPr>
          <w:b/>
          <w:bCs/>
          <w:color w:val="000000" w:themeColor="text1"/>
          <w:spacing w:val="1"/>
          <w:kern w:val="0"/>
          <w:sz w:val="44"/>
          <w:szCs w:val="44"/>
        </w:rPr>
        <w:t>环境影响报告表</w:t>
      </w:r>
    </w:p>
    <w:p w14:paraId="50B9AE00" w14:textId="77777777" w:rsidR="00A67F21" w:rsidRPr="00B12FE0" w:rsidRDefault="00000000">
      <w:pPr>
        <w:spacing w:line="360" w:lineRule="auto"/>
        <w:jc w:val="center"/>
        <w:rPr>
          <w:rFonts w:ascii="Courier New" w:hAnsi="Courier New" w:cs="Courier New"/>
          <w:color w:val="000000" w:themeColor="text1"/>
          <w:sz w:val="32"/>
          <w:szCs w:val="32"/>
        </w:rPr>
      </w:pPr>
      <w:r w:rsidRPr="00B12FE0">
        <w:rPr>
          <w:rFonts w:ascii="Courier New" w:hAnsi="Courier New" w:cs="Courier New"/>
          <w:color w:val="000000" w:themeColor="text1"/>
          <w:sz w:val="32"/>
          <w:szCs w:val="32"/>
        </w:rPr>
        <w:t xml:space="preserve"> </w:t>
      </w:r>
    </w:p>
    <w:p w14:paraId="7E550FD6" w14:textId="77777777" w:rsidR="00A67F21" w:rsidRPr="00B12FE0" w:rsidRDefault="00000000">
      <w:pPr>
        <w:spacing w:line="360" w:lineRule="auto"/>
        <w:jc w:val="center"/>
        <w:rPr>
          <w:rFonts w:ascii="Courier New" w:hAnsi="Courier New" w:cs="Courier New"/>
          <w:color w:val="000000" w:themeColor="text1"/>
          <w:sz w:val="32"/>
          <w:szCs w:val="32"/>
        </w:rPr>
      </w:pPr>
      <w:r w:rsidRPr="00B12FE0">
        <w:rPr>
          <w:rFonts w:ascii="Courier New" w:hAnsi="Courier New" w:cs="Courier New"/>
          <w:color w:val="000000" w:themeColor="text1"/>
          <w:sz w:val="32"/>
          <w:szCs w:val="32"/>
        </w:rPr>
        <w:t xml:space="preserve"> </w:t>
      </w:r>
    </w:p>
    <w:p w14:paraId="204D7CC8" w14:textId="77777777" w:rsidR="00A67F21" w:rsidRPr="00B12FE0" w:rsidRDefault="00000000">
      <w:pPr>
        <w:spacing w:line="360" w:lineRule="auto"/>
        <w:jc w:val="center"/>
        <w:rPr>
          <w:rFonts w:ascii="Courier New" w:hAnsi="Courier New" w:cs="Courier New"/>
          <w:color w:val="000000" w:themeColor="text1"/>
          <w:sz w:val="32"/>
          <w:szCs w:val="32"/>
        </w:rPr>
      </w:pPr>
      <w:r w:rsidRPr="00B12FE0">
        <w:rPr>
          <w:rFonts w:ascii="Courier New" w:hAnsi="Courier New" w:cs="Courier New"/>
          <w:color w:val="000000" w:themeColor="text1"/>
          <w:sz w:val="32"/>
          <w:szCs w:val="32"/>
        </w:rPr>
        <w:t xml:space="preserve"> </w:t>
      </w:r>
    </w:p>
    <w:p w14:paraId="57B8B7D5" w14:textId="77777777" w:rsidR="00A67F21" w:rsidRPr="00B12FE0" w:rsidRDefault="00000000">
      <w:pPr>
        <w:spacing w:line="360" w:lineRule="auto"/>
        <w:jc w:val="center"/>
        <w:rPr>
          <w:color w:val="000000" w:themeColor="text1"/>
        </w:rPr>
      </w:pPr>
      <w:r w:rsidRPr="00B12FE0">
        <w:rPr>
          <w:color w:val="000000" w:themeColor="text1"/>
          <w:sz w:val="32"/>
          <w:szCs w:val="32"/>
        </w:rPr>
        <w:t xml:space="preserve"> </w:t>
      </w:r>
    </w:p>
    <w:p w14:paraId="6471428A" w14:textId="77777777" w:rsidR="00A67F21" w:rsidRPr="00B12FE0" w:rsidRDefault="00000000">
      <w:pPr>
        <w:spacing w:line="360" w:lineRule="auto"/>
        <w:jc w:val="center"/>
        <w:rPr>
          <w:color w:val="000000" w:themeColor="text1"/>
          <w:sz w:val="32"/>
          <w:szCs w:val="32"/>
        </w:rPr>
      </w:pPr>
      <w:r w:rsidRPr="00B12FE0">
        <w:rPr>
          <w:color w:val="000000" w:themeColor="text1"/>
          <w:sz w:val="32"/>
          <w:szCs w:val="32"/>
        </w:rPr>
        <w:t xml:space="preserve"> </w:t>
      </w:r>
    </w:p>
    <w:p w14:paraId="68129201" w14:textId="77777777" w:rsidR="00A67F21" w:rsidRPr="00B12FE0" w:rsidRDefault="00000000">
      <w:pPr>
        <w:spacing w:line="360" w:lineRule="auto"/>
        <w:jc w:val="center"/>
        <w:rPr>
          <w:color w:val="000000" w:themeColor="text1"/>
          <w:sz w:val="32"/>
          <w:szCs w:val="32"/>
        </w:rPr>
      </w:pPr>
      <w:r w:rsidRPr="00B12FE0">
        <w:rPr>
          <w:color w:val="000000" w:themeColor="text1"/>
          <w:sz w:val="32"/>
          <w:szCs w:val="32"/>
        </w:rPr>
        <w:t xml:space="preserve"> </w:t>
      </w:r>
    </w:p>
    <w:p w14:paraId="2B782374" w14:textId="77777777" w:rsidR="00A67F21" w:rsidRPr="00B12FE0" w:rsidRDefault="00000000">
      <w:pPr>
        <w:spacing w:line="360" w:lineRule="auto"/>
        <w:jc w:val="center"/>
        <w:rPr>
          <w:color w:val="000000" w:themeColor="text1"/>
          <w:sz w:val="32"/>
          <w:szCs w:val="32"/>
        </w:rPr>
      </w:pPr>
      <w:r w:rsidRPr="00B12FE0">
        <w:rPr>
          <w:color w:val="000000" w:themeColor="text1"/>
          <w:sz w:val="32"/>
          <w:szCs w:val="32"/>
        </w:rPr>
        <w:t xml:space="preserve"> </w:t>
      </w:r>
    </w:p>
    <w:p w14:paraId="3AF4F2FB" w14:textId="77777777" w:rsidR="00A67F21" w:rsidRPr="00B12FE0" w:rsidRDefault="00000000">
      <w:pPr>
        <w:adjustRightInd w:val="0"/>
        <w:snapToGrid w:val="0"/>
        <w:spacing w:line="480" w:lineRule="auto"/>
        <w:ind w:firstLine="562"/>
        <w:rPr>
          <w:b/>
          <w:color w:val="000000" w:themeColor="text1"/>
          <w:sz w:val="44"/>
          <w:szCs w:val="44"/>
        </w:rPr>
      </w:pPr>
      <w:r w:rsidRPr="00B12FE0">
        <w:rPr>
          <w:b/>
          <w:color w:val="000000" w:themeColor="text1"/>
          <w:kern w:val="0"/>
          <w:sz w:val="28"/>
          <w:szCs w:val="28"/>
        </w:rPr>
        <w:t>建设单位名称：</w:t>
      </w:r>
      <w:r w:rsidRPr="00B12FE0">
        <w:rPr>
          <w:rFonts w:hint="eastAsia"/>
          <w:b/>
          <w:color w:val="000000" w:themeColor="text1"/>
          <w:kern w:val="0"/>
          <w:sz w:val="28"/>
          <w:szCs w:val="28"/>
        </w:rPr>
        <w:t>浙江大学医学院附属邵逸夫医院新疆兵团阿拉尔医院</w:t>
      </w:r>
    </w:p>
    <w:p w14:paraId="621A58DB" w14:textId="77777777" w:rsidR="00A67F21" w:rsidRPr="00B12FE0" w:rsidRDefault="00000000">
      <w:pPr>
        <w:adjustRightInd w:val="0"/>
        <w:snapToGrid w:val="0"/>
        <w:spacing w:line="480" w:lineRule="auto"/>
        <w:ind w:firstLine="562"/>
        <w:jc w:val="left"/>
        <w:rPr>
          <w:b/>
          <w:color w:val="000000" w:themeColor="text1"/>
          <w:kern w:val="0"/>
          <w:sz w:val="28"/>
          <w:szCs w:val="28"/>
        </w:rPr>
      </w:pPr>
      <w:r w:rsidRPr="00B12FE0">
        <w:rPr>
          <w:b/>
          <w:color w:val="000000" w:themeColor="text1"/>
          <w:kern w:val="0"/>
          <w:sz w:val="28"/>
          <w:szCs w:val="28"/>
        </w:rPr>
        <w:t>建设单位法人代表（签名或签章）：</w:t>
      </w:r>
    </w:p>
    <w:p w14:paraId="27CFA2F3" w14:textId="77777777" w:rsidR="00A67F21" w:rsidRPr="00B12FE0" w:rsidRDefault="00000000">
      <w:pPr>
        <w:adjustRightInd w:val="0"/>
        <w:snapToGrid w:val="0"/>
        <w:spacing w:line="480" w:lineRule="auto"/>
        <w:ind w:firstLine="510"/>
        <w:jc w:val="left"/>
        <w:rPr>
          <w:b/>
          <w:color w:val="000000" w:themeColor="text1"/>
          <w:kern w:val="0"/>
          <w:sz w:val="28"/>
          <w:szCs w:val="28"/>
        </w:rPr>
      </w:pPr>
      <w:r w:rsidRPr="00B12FE0">
        <w:rPr>
          <w:b/>
          <w:color w:val="000000" w:themeColor="text1"/>
          <w:kern w:val="0"/>
          <w:sz w:val="28"/>
          <w:szCs w:val="28"/>
        </w:rPr>
        <w:t>通讯地址：</w:t>
      </w:r>
      <w:r w:rsidRPr="00B12FE0">
        <w:rPr>
          <w:rFonts w:hint="eastAsia"/>
          <w:b/>
          <w:color w:val="000000" w:themeColor="text1"/>
          <w:kern w:val="0"/>
          <w:sz w:val="28"/>
          <w:szCs w:val="28"/>
        </w:rPr>
        <w:t>新疆阿拉尔市胜利大道西</w:t>
      </w:r>
      <w:r w:rsidRPr="00B12FE0">
        <w:rPr>
          <w:rFonts w:hint="eastAsia"/>
          <w:b/>
          <w:color w:val="000000" w:themeColor="text1"/>
          <w:kern w:val="0"/>
          <w:sz w:val="28"/>
          <w:szCs w:val="28"/>
        </w:rPr>
        <w:t>1155</w:t>
      </w:r>
      <w:r w:rsidRPr="00B12FE0">
        <w:rPr>
          <w:rFonts w:hint="eastAsia"/>
          <w:b/>
          <w:color w:val="000000" w:themeColor="text1"/>
          <w:kern w:val="0"/>
          <w:sz w:val="28"/>
          <w:szCs w:val="28"/>
        </w:rPr>
        <w:t>号</w:t>
      </w:r>
    </w:p>
    <w:p w14:paraId="63AB1280" w14:textId="46CDBBFD" w:rsidR="00A67F21" w:rsidRPr="00B12FE0" w:rsidRDefault="00000000">
      <w:pPr>
        <w:adjustRightInd w:val="0"/>
        <w:snapToGrid w:val="0"/>
        <w:spacing w:line="480" w:lineRule="auto"/>
        <w:ind w:firstLine="562"/>
        <w:jc w:val="left"/>
        <w:rPr>
          <w:b/>
          <w:color w:val="000000" w:themeColor="text1"/>
          <w:kern w:val="0"/>
          <w:sz w:val="28"/>
          <w:szCs w:val="28"/>
        </w:rPr>
      </w:pPr>
      <w:r w:rsidRPr="00B12FE0">
        <w:rPr>
          <w:b/>
          <w:color w:val="000000" w:themeColor="text1"/>
          <w:kern w:val="0"/>
          <w:sz w:val="28"/>
          <w:szCs w:val="28"/>
        </w:rPr>
        <w:t>邮政编码：</w:t>
      </w:r>
      <w:r w:rsidRPr="00B12FE0">
        <w:rPr>
          <w:rFonts w:hint="eastAsia"/>
          <w:b/>
          <w:color w:val="000000" w:themeColor="text1"/>
          <w:kern w:val="0"/>
          <w:sz w:val="28"/>
          <w:szCs w:val="28"/>
        </w:rPr>
        <w:t>843300</w:t>
      </w:r>
      <w:r w:rsidRPr="00B12FE0">
        <w:rPr>
          <w:b/>
          <w:color w:val="000000" w:themeColor="text1"/>
          <w:kern w:val="0"/>
          <w:sz w:val="28"/>
          <w:szCs w:val="28"/>
        </w:rPr>
        <w:t xml:space="preserve">          </w:t>
      </w:r>
      <w:r w:rsidRPr="00B12FE0">
        <w:rPr>
          <w:rFonts w:hint="eastAsia"/>
          <w:b/>
          <w:color w:val="000000" w:themeColor="text1"/>
          <w:kern w:val="0"/>
          <w:sz w:val="28"/>
          <w:szCs w:val="28"/>
        </w:rPr>
        <w:t xml:space="preserve">             </w:t>
      </w:r>
      <w:r w:rsidRPr="00B12FE0">
        <w:rPr>
          <w:b/>
          <w:color w:val="000000" w:themeColor="text1"/>
          <w:kern w:val="0"/>
          <w:sz w:val="28"/>
          <w:szCs w:val="28"/>
        </w:rPr>
        <w:t xml:space="preserve"> </w:t>
      </w:r>
      <w:r w:rsidRPr="00B12FE0">
        <w:rPr>
          <w:rFonts w:hint="eastAsia"/>
          <w:b/>
          <w:color w:val="000000" w:themeColor="text1"/>
          <w:kern w:val="0"/>
          <w:sz w:val="28"/>
          <w:szCs w:val="28"/>
        </w:rPr>
        <w:t xml:space="preserve">     </w:t>
      </w:r>
      <w:r w:rsidRPr="00B12FE0">
        <w:rPr>
          <w:b/>
          <w:color w:val="000000" w:themeColor="text1"/>
          <w:kern w:val="0"/>
          <w:sz w:val="28"/>
          <w:szCs w:val="28"/>
        </w:rPr>
        <w:t xml:space="preserve">  </w:t>
      </w:r>
      <w:r w:rsidRPr="00B12FE0">
        <w:rPr>
          <w:b/>
          <w:color w:val="000000" w:themeColor="text1"/>
          <w:kern w:val="0"/>
          <w:sz w:val="28"/>
          <w:szCs w:val="28"/>
        </w:rPr>
        <w:t>联系人：</w:t>
      </w:r>
      <w:r w:rsidRPr="00B12FE0">
        <w:rPr>
          <w:rFonts w:hint="eastAsia"/>
          <w:b/>
          <w:color w:val="000000" w:themeColor="text1"/>
          <w:kern w:val="0"/>
          <w:sz w:val="28"/>
          <w:szCs w:val="28"/>
        </w:rPr>
        <w:t xml:space="preserve"> </w:t>
      </w:r>
    </w:p>
    <w:p w14:paraId="34F1AA9E" w14:textId="4B774910" w:rsidR="00A67F21" w:rsidRPr="00B12FE0" w:rsidRDefault="00000000">
      <w:pPr>
        <w:adjustRightInd w:val="0"/>
        <w:snapToGrid w:val="0"/>
        <w:spacing w:line="480" w:lineRule="auto"/>
        <w:ind w:firstLine="562"/>
        <w:jc w:val="left"/>
        <w:rPr>
          <w:b/>
          <w:color w:val="000000" w:themeColor="text1"/>
          <w:kern w:val="0"/>
          <w:sz w:val="28"/>
          <w:szCs w:val="28"/>
        </w:rPr>
        <w:sectPr w:rsidR="00A67F21" w:rsidRPr="00B12FE0">
          <w:headerReference w:type="default" r:id="rId12"/>
          <w:pgSz w:w="11906" w:h="16838"/>
          <w:pgMar w:top="1440" w:right="1440" w:bottom="1440" w:left="1440" w:header="851" w:footer="850" w:gutter="0"/>
          <w:cols w:space="720"/>
          <w:docGrid w:type="lines" w:linePitch="312"/>
        </w:sectPr>
      </w:pPr>
      <w:r w:rsidRPr="00B12FE0">
        <w:rPr>
          <w:b/>
          <w:color w:val="000000" w:themeColor="text1"/>
          <w:kern w:val="0"/>
          <w:sz w:val="28"/>
          <w:szCs w:val="28"/>
        </w:rPr>
        <w:t>电子邮箱：</w:t>
      </w:r>
      <w:r w:rsidR="00A0682D">
        <w:rPr>
          <w:rFonts w:hint="eastAsia"/>
          <w:b/>
          <w:color w:val="000000" w:themeColor="text1"/>
          <w:kern w:val="0"/>
          <w:sz w:val="28"/>
          <w:szCs w:val="28"/>
        </w:rPr>
        <w:t xml:space="preserve">                                      </w:t>
      </w:r>
      <w:r w:rsidRPr="00B12FE0">
        <w:rPr>
          <w:rFonts w:hint="eastAsia"/>
          <w:b/>
          <w:color w:val="000000" w:themeColor="text1"/>
          <w:kern w:val="0"/>
          <w:sz w:val="28"/>
          <w:szCs w:val="28"/>
        </w:rPr>
        <w:t xml:space="preserve">      </w:t>
      </w:r>
      <w:r w:rsidRPr="00B12FE0">
        <w:rPr>
          <w:b/>
          <w:color w:val="000000" w:themeColor="text1"/>
          <w:kern w:val="0"/>
          <w:sz w:val="28"/>
          <w:szCs w:val="28"/>
        </w:rPr>
        <w:t>联系电话：</w:t>
      </w:r>
    </w:p>
    <w:p w14:paraId="58EFE32F" w14:textId="3A3ABDAF" w:rsidR="00A67F21" w:rsidRPr="00B12FE0" w:rsidRDefault="00A67F21" w:rsidP="008B0337">
      <w:pPr>
        <w:pStyle w:val="21"/>
        <w:ind w:leftChars="0" w:left="0" w:firstLineChars="0" w:firstLine="0"/>
        <w:rPr>
          <w:color w:val="000000" w:themeColor="text1"/>
        </w:rPr>
      </w:pPr>
    </w:p>
    <w:p w14:paraId="2C6218D0" w14:textId="77777777" w:rsidR="00A67F21" w:rsidRPr="00B12FE0" w:rsidRDefault="00A67F21">
      <w:pPr>
        <w:pStyle w:val="21"/>
        <w:ind w:leftChars="0" w:left="0" w:firstLineChars="0" w:firstLine="0"/>
        <w:rPr>
          <w:color w:val="000000" w:themeColor="text1"/>
        </w:rPr>
        <w:sectPr w:rsidR="00A67F21" w:rsidRPr="00B12FE0">
          <w:pgSz w:w="11906" w:h="16838"/>
          <w:pgMar w:top="1440" w:right="1440" w:bottom="1440" w:left="1440" w:header="851" w:footer="850" w:gutter="0"/>
          <w:cols w:space="720"/>
          <w:docGrid w:type="lines" w:linePitch="312"/>
        </w:sectPr>
      </w:pPr>
    </w:p>
    <w:p w14:paraId="4A5EAFD7" w14:textId="77777777" w:rsidR="00A67F21" w:rsidRPr="00B12FE0" w:rsidRDefault="00000000">
      <w:pPr>
        <w:adjustRightInd w:val="0"/>
        <w:snapToGrid w:val="0"/>
        <w:spacing w:line="360" w:lineRule="auto"/>
        <w:jc w:val="center"/>
        <w:rPr>
          <w:b/>
          <w:color w:val="000000" w:themeColor="text1"/>
          <w:sz w:val="28"/>
          <w:szCs w:val="28"/>
        </w:rPr>
      </w:pPr>
      <w:r w:rsidRPr="00B12FE0">
        <w:rPr>
          <w:b/>
          <w:color w:val="000000" w:themeColor="text1"/>
          <w:sz w:val="28"/>
          <w:szCs w:val="28"/>
        </w:rPr>
        <w:lastRenderedPageBreak/>
        <w:t>环评</w:t>
      </w:r>
      <w:r w:rsidRPr="00B12FE0">
        <w:rPr>
          <w:rFonts w:hint="eastAsia"/>
          <w:b/>
          <w:color w:val="000000" w:themeColor="text1"/>
          <w:sz w:val="28"/>
          <w:szCs w:val="28"/>
        </w:rPr>
        <w:t>编制主持</w:t>
      </w:r>
      <w:r w:rsidRPr="00B12FE0">
        <w:rPr>
          <w:b/>
          <w:color w:val="000000" w:themeColor="text1"/>
          <w:sz w:val="28"/>
          <w:szCs w:val="28"/>
        </w:rPr>
        <w:t>人职业资格证书（复印件）</w:t>
      </w:r>
    </w:p>
    <w:p w14:paraId="2D8CA180" w14:textId="7A8BB85D" w:rsidR="00A67F21" w:rsidRPr="00B12FE0" w:rsidRDefault="00A67F21">
      <w:pPr>
        <w:adjustRightInd w:val="0"/>
        <w:snapToGrid w:val="0"/>
        <w:spacing w:line="360" w:lineRule="auto"/>
        <w:jc w:val="center"/>
        <w:rPr>
          <w:color w:val="000000" w:themeColor="text1"/>
        </w:rPr>
      </w:pPr>
    </w:p>
    <w:p w14:paraId="071C6F8A" w14:textId="77777777" w:rsidR="00A67F21" w:rsidRPr="00B12FE0" w:rsidRDefault="00A67F21">
      <w:pPr>
        <w:spacing w:line="360" w:lineRule="auto"/>
        <w:jc w:val="center"/>
        <w:outlineLvl w:val="0"/>
        <w:rPr>
          <w:b/>
          <w:bCs/>
          <w:color w:val="000000" w:themeColor="text1"/>
          <w:sz w:val="32"/>
          <w:szCs w:val="32"/>
          <w:lang w:val="zh-CN"/>
        </w:rPr>
        <w:sectPr w:rsidR="00A67F21" w:rsidRPr="00B12FE0">
          <w:footerReference w:type="default" r:id="rId13"/>
          <w:pgSz w:w="11907" w:h="16840"/>
          <w:pgMar w:top="1440" w:right="1440" w:bottom="1440" w:left="1440" w:header="851" w:footer="850" w:gutter="0"/>
          <w:pgNumType w:fmt="upperRoman" w:start="1"/>
          <w:cols w:space="720"/>
          <w:docGrid w:linePitch="332"/>
        </w:sectPr>
      </w:pPr>
      <w:bookmarkStart w:id="0" w:name="_Toc6558"/>
      <w:bookmarkStart w:id="1" w:name="_Toc9840"/>
    </w:p>
    <w:p w14:paraId="68EFB1E9" w14:textId="77777777" w:rsidR="00A67F21" w:rsidRPr="00B12FE0" w:rsidRDefault="00000000">
      <w:pPr>
        <w:spacing w:line="360" w:lineRule="auto"/>
        <w:jc w:val="center"/>
        <w:outlineLvl w:val="0"/>
        <w:rPr>
          <w:color w:val="000000" w:themeColor="text1"/>
        </w:rPr>
      </w:pPr>
      <w:r w:rsidRPr="00B12FE0">
        <w:rPr>
          <w:b/>
          <w:bCs/>
          <w:color w:val="000000" w:themeColor="text1"/>
          <w:sz w:val="32"/>
          <w:szCs w:val="32"/>
          <w:lang w:val="zh-CN"/>
        </w:rPr>
        <w:lastRenderedPageBreak/>
        <w:t>目</w:t>
      </w:r>
      <w:r w:rsidRPr="00B12FE0">
        <w:rPr>
          <w:b/>
          <w:bCs/>
          <w:color w:val="000000" w:themeColor="text1"/>
          <w:sz w:val="32"/>
          <w:szCs w:val="32"/>
        </w:rPr>
        <w:t xml:space="preserve">  </w:t>
      </w:r>
      <w:r w:rsidRPr="00B12FE0">
        <w:rPr>
          <w:b/>
          <w:bCs/>
          <w:color w:val="000000" w:themeColor="text1"/>
          <w:sz w:val="32"/>
          <w:szCs w:val="32"/>
          <w:lang w:val="zh-CN"/>
        </w:rPr>
        <w:t>录</w:t>
      </w:r>
      <w:bookmarkEnd w:id="0"/>
      <w:bookmarkEnd w:id="1"/>
      <w:r w:rsidRPr="00B12FE0">
        <w:rPr>
          <w:color w:val="000000" w:themeColor="text1"/>
        </w:rPr>
        <w:fldChar w:fldCharType="begin"/>
      </w:r>
      <w:r w:rsidRPr="00B12FE0">
        <w:rPr>
          <w:color w:val="000000" w:themeColor="text1"/>
        </w:rPr>
        <w:instrText xml:space="preserve"> TOC \o "1-3" \h \z \u </w:instrText>
      </w:r>
      <w:r w:rsidRPr="00B12FE0">
        <w:rPr>
          <w:color w:val="000000" w:themeColor="text1"/>
        </w:rPr>
        <w:fldChar w:fldCharType="separate"/>
      </w:r>
    </w:p>
    <w:p w14:paraId="4E891B00" w14:textId="77777777" w:rsidR="00A67F21" w:rsidRPr="00B12FE0" w:rsidRDefault="00A67F21">
      <w:pPr>
        <w:pStyle w:val="TOC1"/>
        <w:tabs>
          <w:tab w:val="clear" w:pos="8962"/>
          <w:tab w:val="right" w:leader="dot" w:pos="9027"/>
        </w:tabs>
        <w:adjustRightInd w:val="0"/>
        <w:snapToGrid w:val="0"/>
        <w:rPr>
          <w:color w:val="000000" w:themeColor="text1"/>
        </w:rPr>
      </w:pPr>
      <w:hyperlink w:anchor="_Toc16528" w:history="1">
        <w:r w:rsidRPr="00B12FE0">
          <w:rPr>
            <w:color w:val="000000" w:themeColor="text1"/>
            <w:szCs w:val="32"/>
          </w:rPr>
          <w:t>表</w:t>
        </w:r>
        <w:r w:rsidRPr="00B12FE0">
          <w:rPr>
            <w:color w:val="000000" w:themeColor="text1"/>
            <w:szCs w:val="32"/>
          </w:rPr>
          <w:t xml:space="preserve">1 </w:t>
        </w:r>
        <w:r w:rsidRPr="00B12FE0">
          <w:rPr>
            <w:color w:val="000000" w:themeColor="text1"/>
            <w:szCs w:val="32"/>
          </w:rPr>
          <w:t>项目基本情况</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_Toc16528 \h </w:instrText>
        </w:r>
        <w:r w:rsidRPr="00B12FE0">
          <w:rPr>
            <w:color w:val="000000" w:themeColor="text1"/>
          </w:rPr>
        </w:r>
        <w:r w:rsidRPr="00B12FE0">
          <w:rPr>
            <w:color w:val="000000" w:themeColor="text1"/>
          </w:rPr>
          <w:fldChar w:fldCharType="separate"/>
        </w:r>
        <w:r w:rsidRPr="00B12FE0">
          <w:rPr>
            <w:color w:val="000000" w:themeColor="text1"/>
          </w:rPr>
          <w:t>1</w:t>
        </w:r>
        <w:r w:rsidRPr="00B12FE0">
          <w:rPr>
            <w:color w:val="000000" w:themeColor="text1"/>
          </w:rPr>
          <w:fldChar w:fldCharType="end"/>
        </w:r>
      </w:hyperlink>
    </w:p>
    <w:p w14:paraId="7CDDA34A" w14:textId="77777777" w:rsidR="00A67F21" w:rsidRPr="00B12FE0" w:rsidRDefault="00A67F21">
      <w:pPr>
        <w:pStyle w:val="TOC1"/>
        <w:tabs>
          <w:tab w:val="clear" w:pos="8962"/>
          <w:tab w:val="right" w:leader="dot" w:pos="9027"/>
        </w:tabs>
        <w:adjustRightInd w:val="0"/>
        <w:snapToGrid w:val="0"/>
        <w:rPr>
          <w:color w:val="000000" w:themeColor="text1"/>
        </w:rPr>
      </w:pPr>
      <w:hyperlink w:anchor="_Toc8874" w:history="1">
        <w:r w:rsidRPr="00B12FE0">
          <w:rPr>
            <w:color w:val="000000" w:themeColor="text1"/>
            <w:szCs w:val="32"/>
          </w:rPr>
          <w:t>表</w:t>
        </w:r>
        <w:r w:rsidRPr="00B12FE0">
          <w:rPr>
            <w:color w:val="000000" w:themeColor="text1"/>
            <w:szCs w:val="32"/>
          </w:rPr>
          <w:t xml:space="preserve">2 </w:t>
        </w:r>
        <w:r w:rsidRPr="00B12FE0">
          <w:rPr>
            <w:color w:val="000000" w:themeColor="text1"/>
            <w:szCs w:val="32"/>
          </w:rPr>
          <w:t>放射源</w:t>
        </w:r>
        <w:r w:rsidRPr="00B12FE0">
          <w:rPr>
            <w:color w:val="000000" w:themeColor="text1"/>
          </w:rPr>
          <w:tab/>
        </w:r>
        <w:r w:rsidRPr="00B12FE0">
          <w:rPr>
            <w:color w:val="000000" w:themeColor="text1"/>
          </w:rPr>
          <w:fldChar w:fldCharType="begin"/>
        </w:r>
        <w:r w:rsidRPr="00B12FE0">
          <w:rPr>
            <w:color w:val="000000" w:themeColor="text1"/>
          </w:rPr>
          <w:instrText xml:space="preserve"> PAGEREF _Toc8874 \h </w:instrText>
        </w:r>
        <w:r w:rsidRPr="00B12FE0">
          <w:rPr>
            <w:color w:val="000000" w:themeColor="text1"/>
          </w:rPr>
        </w:r>
        <w:r w:rsidRPr="00B12FE0">
          <w:rPr>
            <w:color w:val="000000" w:themeColor="text1"/>
          </w:rPr>
          <w:fldChar w:fldCharType="separate"/>
        </w:r>
        <w:r w:rsidRPr="00B12FE0">
          <w:rPr>
            <w:color w:val="000000" w:themeColor="text1"/>
          </w:rPr>
          <w:t>16</w:t>
        </w:r>
        <w:r w:rsidRPr="00B12FE0">
          <w:rPr>
            <w:color w:val="000000" w:themeColor="text1"/>
          </w:rPr>
          <w:fldChar w:fldCharType="end"/>
        </w:r>
      </w:hyperlink>
    </w:p>
    <w:p w14:paraId="5DCE5B59" w14:textId="77777777" w:rsidR="00A67F21" w:rsidRPr="00B12FE0" w:rsidRDefault="00A67F21">
      <w:pPr>
        <w:pStyle w:val="TOC1"/>
        <w:tabs>
          <w:tab w:val="clear" w:pos="8962"/>
          <w:tab w:val="right" w:leader="dot" w:pos="9027"/>
        </w:tabs>
        <w:adjustRightInd w:val="0"/>
        <w:snapToGrid w:val="0"/>
        <w:rPr>
          <w:color w:val="000000" w:themeColor="text1"/>
        </w:rPr>
      </w:pPr>
      <w:hyperlink w:anchor="_Toc9019" w:history="1">
        <w:r w:rsidRPr="00B12FE0">
          <w:rPr>
            <w:color w:val="000000" w:themeColor="text1"/>
            <w:szCs w:val="32"/>
          </w:rPr>
          <w:t>表</w:t>
        </w:r>
        <w:r w:rsidRPr="00B12FE0">
          <w:rPr>
            <w:color w:val="000000" w:themeColor="text1"/>
            <w:szCs w:val="32"/>
          </w:rPr>
          <w:t xml:space="preserve">3 </w:t>
        </w:r>
        <w:r w:rsidRPr="00B12FE0">
          <w:rPr>
            <w:color w:val="000000" w:themeColor="text1"/>
            <w:szCs w:val="32"/>
          </w:rPr>
          <w:t>非密封放射性物质</w:t>
        </w:r>
        <w:r w:rsidRPr="00B12FE0">
          <w:rPr>
            <w:color w:val="000000" w:themeColor="text1"/>
          </w:rPr>
          <w:tab/>
        </w:r>
        <w:r w:rsidRPr="00B12FE0">
          <w:rPr>
            <w:color w:val="000000" w:themeColor="text1"/>
          </w:rPr>
          <w:fldChar w:fldCharType="begin"/>
        </w:r>
        <w:r w:rsidRPr="00B12FE0">
          <w:rPr>
            <w:color w:val="000000" w:themeColor="text1"/>
          </w:rPr>
          <w:instrText xml:space="preserve"> PAGEREF _Toc9019 \h </w:instrText>
        </w:r>
        <w:r w:rsidRPr="00B12FE0">
          <w:rPr>
            <w:color w:val="000000" w:themeColor="text1"/>
          </w:rPr>
        </w:r>
        <w:r w:rsidRPr="00B12FE0">
          <w:rPr>
            <w:color w:val="000000" w:themeColor="text1"/>
          </w:rPr>
          <w:fldChar w:fldCharType="separate"/>
        </w:r>
        <w:r w:rsidRPr="00B12FE0">
          <w:rPr>
            <w:color w:val="000000" w:themeColor="text1"/>
          </w:rPr>
          <w:t>16</w:t>
        </w:r>
        <w:r w:rsidRPr="00B12FE0">
          <w:rPr>
            <w:color w:val="000000" w:themeColor="text1"/>
          </w:rPr>
          <w:fldChar w:fldCharType="end"/>
        </w:r>
      </w:hyperlink>
    </w:p>
    <w:p w14:paraId="50933CC6" w14:textId="77777777" w:rsidR="00A67F21" w:rsidRPr="00B12FE0" w:rsidRDefault="00A67F21">
      <w:pPr>
        <w:pStyle w:val="TOC1"/>
        <w:tabs>
          <w:tab w:val="clear" w:pos="8962"/>
          <w:tab w:val="right" w:leader="dot" w:pos="9027"/>
        </w:tabs>
        <w:adjustRightInd w:val="0"/>
        <w:snapToGrid w:val="0"/>
        <w:rPr>
          <w:color w:val="000000" w:themeColor="text1"/>
        </w:rPr>
      </w:pPr>
      <w:hyperlink w:anchor="_Toc26175" w:history="1">
        <w:r w:rsidRPr="00B12FE0">
          <w:rPr>
            <w:color w:val="000000" w:themeColor="text1"/>
            <w:szCs w:val="32"/>
          </w:rPr>
          <w:t>表</w:t>
        </w:r>
        <w:r w:rsidRPr="00B12FE0">
          <w:rPr>
            <w:color w:val="000000" w:themeColor="text1"/>
            <w:szCs w:val="32"/>
          </w:rPr>
          <w:t xml:space="preserve">4 </w:t>
        </w:r>
        <w:r w:rsidRPr="00B12FE0">
          <w:rPr>
            <w:color w:val="000000" w:themeColor="text1"/>
            <w:szCs w:val="32"/>
          </w:rPr>
          <w:t>射线装置</w:t>
        </w:r>
        <w:r w:rsidRPr="00B12FE0">
          <w:rPr>
            <w:color w:val="000000" w:themeColor="text1"/>
          </w:rPr>
          <w:tab/>
        </w:r>
        <w:r w:rsidRPr="00B12FE0">
          <w:rPr>
            <w:color w:val="000000" w:themeColor="text1"/>
          </w:rPr>
          <w:fldChar w:fldCharType="begin"/>
        </w:r>
        <w:r w:rsidRPr="00B12FE0">
          <w:rPr>
            <w:color w:val="000000" w:themeColor="text1"/>
          </w:rPr>
          <w:instrText xml:space="preserve"> PAGEREF _Toc26175 \h </w:instrText>
        </w:r>
        <w:r w:rsidRPr="00B12FE0">
          <w:rPr>
            <w:color w:val="000000" w:themeColor="text1"/>
          </w:rPr>
        </w:r>
        <w:r w:rsidRPr="00B12FE0">
          <w:rPr>
            <w:color w:val="000000" w:themeColor="text1"/>
          </w:rPr>
          <w:fldChar w:fldCharType="separate"/>
        </w:r>
        <w:r w:rsidRPr="00B12FE0">
          <w:rPr>
            <w:color w:val="000000" w:themeColor="text1"/>
          </w:rPr>
          <w:t>17</w:t>
        </w:r>
        <w:r w:rsidRPr="00B12FE0">
          <w:rPr>
            <w:color w:val="000000" w:themeColor="text1"/>
          </w:rPr>
          <w:fldChar w:fldCharType="end"/>
        </w:r>
      </w:hyperlink>
    </w:p>
    <w:p w14:paraId="3B8F50CC" w14:textId="77777777" w:rsidR="00A67F21" w:rsidRPr="00B12FE0" w:rsidRDefault="00A67F21">
      <w:pPr>
        <w:pStyle w:val="TOC1"/>
        <w:tabs>
          <w:tab w:val="clear" w:pos="8962"/>
          <w:tab w:val="right" w:leader="dot" w:pos="9027"/>
        </w:tabs>
        <w:adjustRightInd w:val="0"/>
        <w:snapToGrid w:val="0"/>
        <w:rPr>
          <w:color w:val="000000" w:themeColor="text1"/>
        </w:rPr>
      </w:pPr>
      <w:hyperlink w:anchor="_Toc12028" w:history="1">
        <w:r w:rsidRPr="00B12FE0">
          <w:rPr>
            <w:color w:val="000000" w:themeColor="text1"/>
            <w:szCs w:val="32"/>
          </w:rPr>
          <w:t>表</w:t>
        </w:r>
        <w:r w:rsidRPr="00B12FE0">
          <w:rPr>
            <w:color w:val="000000" w:themeColor="text1"/>
            <w:szCs w:val="32"/>
          </w:rPr>
          <w:t xml:space="preserve">5 </w:t>
        </w:r>
        <w:r w:rsidRPr="00B12FE0">
          <w:rPr>
            <w:color w:val="000000" w:themeColor="text1"/>
            <w:szCs w:val="32"/>
          </w:rPr>
          <w:t>废弃物（重点是放射性废弃物）</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_Toc12028 \h </w:instrText>
        </w:r>
        <w:r w:rsidRPr="00B12FE0">
          <w:rPr>
            <w:color w:val="000000" w:themeColor="text1"/>
          </w:rPr>
        </w:r>
        <w:r w:rsidRPr="00B12FE0">
          <w:rPr>
            <w:color w:val="000000" w:themeColor="text1"/>
          </w:rPr>
          <w:fldChar w:fldCharType="separate"/>
        </w:r>
        <w:r w:rsidRPr="00B12FE0">
          <w:rPr>
            <w:color w:val="000000" w:themeColor="text1"/>
          </w:rPr>
          <w:t>19</w:t>
        </w:r>
        <w:r w:rsidRPr="00B12FE0">
          <w:rPr>
            <w:color w:val="000000" w:themeColor="text1"/>
          </w:rPr>
          <w:fldChar w:fldCharType="end"/>
        </w:r>
      </w:hyperlink>
    </w:p>
    <w:p w14:paraId="041B65EC" w14:textId="77777777" w:rsidR="00A67F21" w:rsidRPr="00B12FE0" w:rsidRDefault="00A67F21">
      <w:pPr>
        <w:pStyle w:val="TOC1"/>
        <w:tabs>
          <w:tab w:val="clear" w:pos="8962"/>
          <w:tab w:val="right" w:leader="dot" w:pos="9027"/>
        </w:tabs>
        <w:adjustRightInd w:val="0"/>
        <w:snapToGrid w:val="0"/>
        <w:rPr>
          <w:color w:val="000000" w:themeColor="text1"/>
        </w:rPr>
      </w:pPr>
      <w:hyperlink w:anchor="_Toc16278" w:history="1">
        <w:r w:rsidRPr="00B12FE0">
          <w:rPr>
            <w:color w:val="000000" w:themeColor="text1"/>
            <w:szCs w:val="32"/>
          </w:rPr>
          <w:t>表</w:t>
        </w:r>
        <w:r w:rsidRPr="00B12FE0">
          <w:rPr>
            <w:color w:val="000000" w:themeColor="text1"/>
            <w:szCs w:val="32"/>
          </w:rPr>
          <w:t xml:space="preserve">6 </w:t>
        </w:r>
        <w:r w:rsidRPr="00B12FE0">
          <w:rPr>
            <w:color w:val="000000" w:themeColor="text1"/>
            <w:szCs w:val="32"/>
          </w:rPr>
          <w:t>评价依据</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_Toc16278 \h </w:instrText>
        </w:r>
        <w:r w:rsidRPr="00B12FE0">
          <w:rPr>
            <w:color w:val="000000" w:themeColor="text1"/>
          </w:rPr>
        </w:r>
        <w:r w:rsidRPr="00B12FE0">
          <w:rPr>
            <w:color w:val="000000" w:themeColor="text1"/>
          </w:rPr>
          <w:fldChar w:fldCharType="separate"/>
        </w:r>
        <w:r w:rsidRPr="00B12FE0">
          <w:rPr>
            <w:color w:val="000000" w:themeColor="text1"/>
          </w:rPr>
          <w:t>21</w:t>
        </w:r>
        <w:r w:rsidRPr="00B12FE0">
          <w:rPr>
            <w:color w:val="000000" w:themeColor="text1"/>
          </w:rPr>
          <w:fldChar w:fldCharType="end"/>
        </w:r>
      </w:hyperlink>
    </w:p>
    <w:p w14:paraId="2A21D0F9" w14:textId="77777777" w:rsidR="00A67F21" w:rsidRPr="00B12FE0" w:rsidRDefault="00A67F21">
      <w:pPr>
        <w:pStyle w:val="TOC1"/>
        <w:tabs>
          <w:tab w:val="clear" w:pos="8962"/>
          <w:tab w:val="right" w:leader="dot" w:pos="9027"/>
        </w:tabs>
        <w:adjustRightInd w:val="0"/>
        <w:snapToGrid w:val="0"/>
        <w:rPr>
          <w:color w:val="000000" w:themeColor="text1"/>
        </w:rPr>
      </w:pPr>
      <w:hyperlink w:anchor="_Toc11460" w:history="1">
        <w:r w:rsidRPr="00B12FE0">
          <w:rPr>
            <w:color w:val="000000" w:themeColor="text1"/>
            <w:szCs w:val="32"/>
          </w:rPr>
          <w:t>表</w:t>
        </w:r>
        <w:r w:rsidRPr="00B12FE0">
          <w:rPr>
            <w:color w:val="000000" w:themeColor="text1"/>
            <w:szCs w:val="32"/>
          </w:rPr>
          <w:t xml:space="preserve">7 </w:t>
        </w:r>
        <w:r w:rsidRPr="00B12FE0">
          <w:rPr>
            <w:color w:val="000000" w:themeColor="text1"/>
            <w:szCs w:val="32"/>
          </w:rPr>
          <w:t>保护目标与评价标准</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_Toc11460 \h </w:instrText>
        </w:r>
        <w:r w:rsidRPr="00B12FE0">
          <w:rPr>
            <w:color w:val="000000" w:themeColor="text1"/>
          </w:rPr>
        </w:r>
        <w:r w:rsidRPr="00B12FE0">
          <w:rPr>
            <w:color w:val="000000" w:themeColor="text1"/>
          </w:rPr>
          <w:fldChar w:fldCharType="separate"/>
        </w:r>
        <w:r w:rsidRPr="00B12FE0">
          <w:rPr>
            <w:color w:val="000000" w:themeColor="text1"/>
          </w:rPr>
          <w:t>25</w:t>
        </w:r>
        <w:r w:rsidRPr="00B12FE0">
          <w:rPr>
            <w:color w:val="000000" w:themeColor="text1"/>
          </w:rPr>
          <w:fldChar w:fldCharType="end"/>
        </w:r>
      </w:hyperlink>
    </w:p>
    <w:p w14:paraId="6E5AA9CF" w14:textId="77777777" w:rsidR="00A67F21" w:rsidRPr="00B12FE0" w:rsidRDefault="00A67F21">
      <w:pPr>
        <w:pStyle w:val="TOC1"/>
        <w:tabs>
          <w:tab w:val="clear" w:pos="8962"/>
          <w:tab w:val="right" w:leader="dot" w:pos="9027"/>
        </w:tabs>
        <w:adjustRightInd w:val="0"/>
        <w:snapToGrid w:val="0"/>
        <w:rPr>
          <w:color w:val="000000" w:themeColor="text1"/>
        </w:rPr>
      </w:pPr>
      <w:hyperlink w:anchor="_Toc10741" w:history="1">
        <w:r w:rsidRPr="00B12FE0">
          <w:rPr>
            <w:color w:val="000000" w:themeColor="text1"/>
            <w:szCs w:val="32"/>
          </w:rPr>
          <w:t>表</w:t>
        </w:r>
        <w:r w:rsidRPr="00B12FE0">
          <w:rPr>
            <w:color w:val="000000" w:themeColor="text1"/>
            <w:szCs w:val="32"/>
          </w:rPr>
          <w:t xml:space="preserve">8 </w:t>
        </w:r>
        <w:r w:rsidRPr="00B12FE0">
          <w:rPr>
            <w:color w:val="000000" w:themeColor="text1"/>
            <w:szCs w:val="32"/>
          </w:rPr>
          <w:t>环境质量和辐射现状</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_Toc10741 \h </w:instrText>
        </w:r>
        <w:r w:rsidRPr="00B12FE0">
          <w:rPr>
            <w:color w:val="000000" w:themeColor="text1"/>
          </w:rPr>
        </w:r>
        <w:r w:rsidRPr="00B12FE0">
          <w:rPr>
            <w:color w:val="000000" w:themeColor="text1"/>
          </w:rPr>
          <w:fldChar w:fldCharType="separate"/>
        </w:r>
        <w:r w:rsidRPr="00B12FE0">
          <w:rPr>
            <w:color w:val="000000" w:themeColor="text1"/>
          </w:rPr>
          <w:t>36</w:t>
        </w:r>
        <w:r w:rsidRPr="00B12FE0">
          <w:rPr>
            <w:color w:val="000000" w:themeColor="text1"/>
          </w:rPr>
          <w:fldChar w:fldCharType="end"/>
        </w:r>
      </w:hyperlink>
    </w:p>
    <w:p w14:paraId="273163BC" w14:textId="77777777" w:rsidR="00A67F21" w:rsidRPr="00B12FE0" w:rsidRDefault="00A67F21">
      <w:pPr>
        <w:pStyle w:val="TOC1"/>
        <w:tabs>
          <w:tab w:val="clear" w:pos="8962"/>
          <w:tab w:val="right" w:leader="dot" w:pos="9027"/>
        </w:tabs>
        <w:adjustRightInd w:val="0"/>
        <w:snapToGrid w:val="0"/>
        <w:rPr>
          <w:color w:val="000000" w:themeColor="text1"/>
        </w:rPr>
      </w:pPr>
      <w:hyperlink w:anchor="_Toc16163" w:history="1">
        <w:r w:rsidRPr="00B12FE0">
          <w:rPr>
            <w:color w:val="000000" w:themeColor="text1"/>
            <w:szCs w:val="32"/>
          </w:rPr>
          <w:t>表</w:t>
        </w:r>
        <w:r w:rsidRPr="00B12FE0">
          <w:rPr>
            <w:color w:val="000000" w:themeColor="text1"/>
            <w:szCs w:val="32"/>
          </w:rPr>
          <w:t xml:space="preserve">9 </w:t>
        </w:r>
        <w:r w:rsidRPr="00B12FE0">
          <w:rPr>
            <w:color w:val="000000" w:themeColor="text1"/>
            <w:szCs w:val="32"/>
          </w:rPr>
          <w:t>项目工程分析与源项</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_Toc16163 \h </w:instrText>
        </w:r>
        <w:r w:rsidRPr="00B12FE0">
          <w:rPr>
            <w:color w:val="000000" w:themeColor="text1"/>
          </w:rPr>
        </w:r>
        <w:r w:rsidRPr="00B12FE0">
          <w:rPr>
            <w:color w:val="000000" w:themeColor="text1"/>
          </w:rPr>
          <w:fldChar w:fldCharType="separate"/>
        </w:r>
        <w:r w:rsidRPr="00B12FE0">
          <w:rPr>
            <w:color w:val="000000" w:themeColor="text1"/>
          </w:rPr>
          <w:t>42</w:t>
        </w:r>
        <w:r w:rsidRPr="00B12FE0">
          <w:rPr>
            <w:color w:val="000000" w:themeColor="text1"/>
          </w:rPr>
          <w:fldChar w:fldCharType="end"/>
        </w:r>
      </w:hyperlink>
    </w:p>
    <w:p w14:paraId="2CCBEEC0" w14:textId="77777777" w:rsidR="00A67F21" w:rsidRPr="00B12FE0" w:rsidRDefault="00A67F21">
      <w:pPr>
        <w:pStyle w:val="TOC1"/>
        <w:tabs>
          <w:tab w:val="clear" w:pos="8962"/>
          <w:tab w:val="right" w:leader="dot" w:pos="9027"/>
        </w:tabs>
        <w:adjustRightInd w:val="0"/>
        <w:snapToGrid w:val="0"/>
        <w:rPr>
          <w:color w:val="000000" w:themeColor="text1"/>
        </w:rPr>
      </w:pPr>
      <w:hyperlink w:anchor="_Toc29428" w:history="1">
        <w:r w:rsidRPr="00B12FE0">
          <w:rPr>
            <w:color w:val="000000" w:themeColor="text1"/>
            <w:szCs w:val="32"/>
          </w:rPr>
          <w:t>表</w:t>
        </w:r>
        <w:r w:rsidRPr="00B12FE0">
          <w:rPr>
            <w:color w:val="000000" w:themeColor="text1"/>
            <w:szCs w:val="32"/>
          </w:rPr>
          <w:t xml:space="preserve">10 </w:t>
        </w:r>
        <w:r w:rsidRPr="00B12FE0">
          <w:rPr>
            <w:color w:val="000000" w:themeColor="text1"/>
            <w:szCs w:val="32"/>
          </w:rPr>
          <w:t>辐射安全与防护</w:t>
        </w:r>
        <w:r w:rsidRPr="00B12FE0">
          <w:rPr>
            <w:color w:val="000000" w:themeColor="text1"/>
          </w:rPr>
          <w:tab/>
        </w:r>
        <w:r w:rsidRPr="00B12FE0">
          <w:rPr>
            <w:color w:val="000000" w:themeColor="text1"/>
          </w:rPr>
          <w:fldChar w:fldCharType="begin"/>
        </w:r>
        <w:r w:rsidRPr="00B12FE0">
          <w:rPr>
            <w:color w:val="000000" w:themeColor="text1"/>
          </w:rPr>
          <w:instrText xml:space="preserve"> PAGEREF _Toc29428 \h </w:instrText>
        </w:r>
        <w:r w:rsidRPr="00B12FE0">
          <w:rPr>
            <w:color w:val="000000" w:themeColor="text1"/>
          </w:rPr>
        </w:r>
        <w:r w:rsidRPr="00B12FE0">
          <w:rPr>
            <w:color w:val="000000" w:themeColor="text1"/>
          </w:rPr>
          <w:fldChar w:fldCharType="separate"/>
        </w:r>
        <w:r w:rsidRPr="00B12FE0">
          <w:rPr>
            <w:color w:val="000000" w:themeColor="text1"/>
          </w:rPr>
          <w:t>85</w:t>
        </w:r>
        <w:r w:rsidRPr="00B12FE0">
          <w:rPr>
            <w:color w:val="000000" w:themeColor="text1"/>
          </w:rPr>
          <w:fldChar w:fldCharType="end"/>
        </w:r>
      </w:hyperlink>
    </w:p>
    <w:p w14:paraId="26931238" w14:textId="77777777" w:rsidR="00A67F21" w:rsidRPr="00B12FE0" w:rsidRDefault="00A67F21">
      <w:pPr>
        <w:pStyle w:val="TOC1"/>
        <w:tabs>
          <w:tab w:val="clear" w:pos="8962"/>
          <w:tab w:val="right" w:leader="dot" w:pos="9027"/>
        </w:tabs>
        <w:adjustRightInd w:val="0"/>
        <w:snapToGrid w:val="0"/>
        <w:rPr>
          <w:color w:val="000000" w:themeColor="text1"/>
        </w:rPr>
      </w:pPr>
      <w:hyperlink w:anchor="_Toc12708" w:history="1">
        <w:r w:rsidRPr="00B12FE0">
          <w:rPr>
            <w:color w:val="000000" w:themeColor="text1"/>
            <w:szCs w:val="32"/>
          </w:rPr>
          <w:t>表</w:t>
        </w:r>
        <w:r w:rsidRPr="00B12FE0">
          <w:rPr>
            <w:color w:val="000000" w:themeColor="text1"/>
            <w:szCs w:val="32"/>
          </w:rPr>
          <w:t xml:space="preserve">11 </w:t>
        </w:r>
        <w:r w:rsidRPr="00B12FE0">
          <w:rPr>
            <w:color w:val="000000" w:themeColor="text1"/>
            <w:szCs w:val="32"/>
          </w:rPr>
          <w:t>环境影响分析</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_Toc12708 \h </w:instrText>
        </w:r>
        <w:r w:rsidRPr="00B12FE0">
          <w:rPr>
            <w:color w:val="000000" w:themeColor="text1"/>
          </w:rPr>
        </w:r>
        <w:r w:rsidRPr="00B12FE0">
          <w:rPr>
            <w:color w:val="000000" w:themeColor="text1"/>
          </w:rPr>
          <w:fldChar w:fldCharType="separate"/>
        </w:r>
        <w:r w:rsidRPr="00B12FE0">
          <w:rPr>
            <w:color w:val="000000" w:themeColor="text1"/>
          </w:rPr>
          <w:t>127</w:t>
        </w:r>
        <w:r w:rsidRPr="00B12FE0">
          <w:rPr>
            <w:color w:val="000000" w:themeColor="text1"/>
          </w:rPr>
          <w:fldChar w:fldCharType="end"/>
        </w:r>
      </w:hyperlink>
    </w:p>
    <w:p w14:paraId="732EB958" w14:textId="77777777" w:rsidR="00A67F21" w:rsidRPr="00B12FE0" w:rsidRDefault="00A67F21">
      <w:pPr>
        <w:pStyle w:val="TOC1"/>
        <w:tabs>
          <w:tab w:val="clear" w:pos="8962"/>
          <w:tab w:val="right" w:leader="dot" w:pos="9027"/>
        </w:tabs>
        <w:adjustRightInd w:val="0"/>
        <w:snapToGrid w:val="0"/>
        <w:rPr>
          <w:color w:val="000000" w:themeColor="text1"/>
        </w:rPr>
      </w:pPr>
      <w:hyperlink w:anchor="_Toc30585" w:history="1">
        <w:r w:rsidRPr="00B12FE0">
          <w:rPr>
            <w:color w:val="000000" w:themeColor="text1"/>
            <w:szCs w:val="32"/>
          </w:rPr>
          <w:t>表</w:t>
        </w:r>
        <w:r w:rsidRPr="00B12FE0">
          <w:rPr>
            <w:color w:val="000000" w:themeColor="text1"/>
            <w:szCs w:val="32"/>
          </w:rPr>
          <w:t xml:space="preserve">12 </w:t>
        </w:r>
        <w:r w:rsidRPr="00B12FE0">
          <w:rPr>
            <w:color w:val="000000" w:themeColor="text1"/>
            <w:szCs w:val="32"/>
          </w:rPr>
          <w:t>辐射安全管理</w:t>
        </w:r>
        <w:r w:rsidRPr="00B12FE0">
          <w:rPr>
            <w:color w:val="000000" w:themeColor="text1"/>
          </w:rPr>
          <w:tab/>
        </w:r>
        <w:r w:rsidRPr="00B12FE0">
          <w:rPr>
            <w:color w:val="000000" w:themeColor="text1"/>
          </w:rPr>
          <w:fldChar w:fldCharType="begin"/>
        </w:r>
        <w:r w:rsidRPr="00B12FE0">
          <w:rPr>
            <w:color w:val="000000" w:themeColor="text1"/>
          </w:rPr>
          <w:instrText xml:space="preserve"> PAGEREF _Toc30585 \h </w:instrText>
        </w:r>
        <w:r w:rsidRPr="00B12FE0">
          <w:rPr>
            <w:color w:val="000000" w:themeColor="text1"/>
          </w:rPr>
        </w:r>
        <w:r w:rsidRPr="00B12FE0">
          <w:rPr>
            <w:color w:val="000000" w:themeColor="text1"/>
          </w:rPr>
          <w:fldChar w:fldCharType="separate"/>
        </w:r>
        <w:r w:rsidRPr="00B12FE0">
          <w:rPr>
            <w:color w:val="000000" w:themeColor="text1"/>
          </w:rPr>
          <w:t>189</w:t>
        </w:r>
        <w:r w:rsidRPr="00B12FE0">
          <w:rPr>
            <w:color w:val="000000" w:themeColor="text1"/>
          </w:rPr>
          <w:fldChar w:fldCharType="end"/>
        </w:r>
      </w:hyperlink>
    </w:p>
    <w:p w14:paraId="62895E5A" w14:textId="77777777" w:rsidR="00A67F21" w:rsidRPr="00B12FE0" w:rsidRDefault="00A67F21">
      <w:pPr>
        <w:pStyle w:val="TOC1"/>
        <w:tabs>
          <w:tab w:val="clear" w:pos="8962"/>
          <w:tab w:val="right" w:leader="dot" w:pos="9027"/>
        </w:tabs>
        <w:adjustRightInd w:val="0"/>
        <w:snapToGrid w:val="0"/>
        <w:rPr>
          <w:color w:val="000000" w:themeColor="text1"/>
        </w:rPr>
      </w:pPr>
      <w:hyperlink w:anchor="_Toc11428" w:history="1">
        <w:r w:rsidRPr="00B12FE0">
          <w:rPr>
            <w:color w:val="000000" w:themeColor="text1"/>
            <w:szCs w:val="32"/>
          </w:rPr>
          <w:t>表</w:t>
        </w:r>
        <w:r w:rsidRPr="00B12FE0">
          <w:rPr>
            <w:color w:val="000000" w:themeColor="text1"/>
            <w:szCs w:val="32"/>
          </w:rPr>
          <w:t xml:space="preserve">13 </w:t>
        </w:r>
        <w:r w:rsidRPr="00B12FE0">
          <w:rPr>
            <w:color w:val="000000" w:themeColor="text1"/>
            <w:szCs w:val="32"/>
          </w:rPr>
          <w:t>结论与建议</w:t>
        </w:r>
        <w:r w:rsidRPr="00B12FE0">
          <w:rPr>
            <w:color w:val="000000" w:themeColor="text1"/>
          </w:rPr>
          <w:tab/>
        </w:r>
        <w:r w:rsidRPr="00B12FE0">
          <w:rPr>
            <w:color w:val="000000" w:themeColor="text1"/>
          </w:rPr>
          <w:fldChar w:fldCharType="begin"/>
        </w:r>
        <w:r w:rsidRPr="00B12FE0">
          <w:rPr>
            <w:color w:val="000000" w:themeColor="text1"/>
          </w:rPr>
          <w:instrText xml:space="preserve"> PAGEREF _Toc11428 \h </w:instrText>
        </w:r>
        <w:r w:rsidRPr="00B12FE0">
          <w:rPr>
            <w:color w:val="000000" w:themeColor="text1"/>
          </w:rPr>
        </w:r>
        <w:r w:rsidRPr="00B12FE0">
          <w:rPr>
            <w:color w:val="000000" w:themeColor="text1"/>
          </w:rPr>
          <w:fldChar w:fldCharType="separate"/>
        </w:r>
        <w:r w:rsidRPr="00B12FE0">
          <w:rPr>
            <w:color w:val="000000" w:themeColor="text1"/>
          </w:rPr>
          <w:t>200</w:t>
        </w:r>
        <w:r w:rsidRPr="00B12FE0">
          <w:rPr>
            <w:color w:val="000000" w:themeColor="text1"/>
          </w:rPr>
          <w:fldChar w:fldCharType="end"/>
        </w:r>
      </w:hyperlink>
    </w:p>
    <w:p w14:paraId="4AF5866D" w14:textId="77777777" w:rsidR="00A67F21" w:rsidRPr="00B12FE0" w:rsidRDefault="00A67F21">
      <w:pPr>
        <w:pStyle w:val="TOC1"/>
        <w:tabs>
          <w:tab w:val="clear" w:pos="8962"/>
          <w:tab w:val="right" w:leader="dot" w:pos="9027"/>
        </w:tabs>
        <w:adjustRightInd w:val="0"/>
        <w:snapToGrid w:val="0"/>
        <w:rPr>
          <w:color w:val="000000" w:themeColor="text1"/>
        </w:rPr>
      </w:pPr>
      <w:hyperlink w:anchor="_Toc3418" w:history="1">
        <w:r w:rsidRPr="00B12FE0">
          <w:rPr>
            <w:color w:val="000000" w:themeColor="text1"/>
            <w:szCs w:val="32"/>
          </w:rPr>
          <w:t>表</w:t>
        </w:r>
        <w:r w:rsidRPr="00B12FE0">
          <w:rPr>
            <w:color w:val="000000" w:themeColor="text1"/>
            <w:szCs w:val="32"/>
          </w:rPr>
          <w:t xml:space="preserve">14 </w:t>
        </w:r>
        <w:r w:rsidRPr="00B12FE0">
          <w:rPr>
            <w:color w:val="000000" w:themeColor="text1"/>
            <w:szCs w:val="32"/>
          </w:rPr>
          <w:t>审批</w:t>
        </w:r>
        <w:r w:rsidRPr="00B12FE0">
          <w:rPr>
            <w:color w:val="000000" w:themeColor="text1"/>
          </w:rPr>
          <w:tab/>
        </w:r>
        <w:r w:rsidRPr="00B12FE0">
          <w:rPr>
            <w:color w:val="000000" w:themeColor="text1"/>
          </w:rPr>
          <w:fldChar w:fldCharType="begin"/>
        </w:r>
        <w:r w:rsidRPr="00B12FE0">
          <w:rPr>
            <w:color w:val="000000" w:themeColor="text1"/>
          </w:rPr>
          <w:instrText xml:space="preserve"> PAGEREF _Toc3418 \h </w:instrText>
        </w:r>
        <w:r w:rsidRPr="00B12FE0">
          <w:rPr>
            <w:color w:val="000000" w:themeColor="text1"/>
          </w:rPr>
        </w:r>
        <w:r w:rsidRPr="00B12FE0">
          <w:rPr>
            <w:color w:val="000000" w:themeColor="text1"/>
          </w:rPr>
          <w:fldChar w:fldCharType="separate"/>
        </w:r>
        <w:r w:rsidRPr="00B12FE0">
          <w:rPr>
            <w:color w:val="000000" w:themeColor="text1"/>
          </w:rPr>
          <w:t>206</w:t>
        </w:r>
        <w:r w:rsidRPr="00B12FE0">
          <w:rPr>
            <w:color w:val="000000" w:themeColor="text1"/>
          </w:rPr>
          <w:fldChar w:fldCharType="end"/>
        </w:r>
      </w:hyperlink>
    </w:p>
    <w:p w14:paraId="4832D45F" w14:textId="77777777" w:rsidR="00A67F21" w:rsidRPr="00B12FE0" w:rsidRDefault="00000000">
      <w:pPr>
        <w:spacing w:line="480" w:lineRule="auto"/>
        <w:ind w:firstLineChars="400" w:firstLine="960"/>
        <w:jc w:val="center"/>
        <w:rPr>
          <w:color w:val="000000" w:themeColor="text1"/>
        </w:rPr>
      </w:pPr>
      <w:r w:rsidRPr="00B12FE0">
        <w:rPr>
          <w:color w:val="000000" w:themeColor="text1"/>
        </w:rPr>
        <w:fldChar w:fldCharType="end"/>
      </w:r>
    </w:p>
    <w:p w14:paraId="610A1302" w14:textId="77777777" w:rsidR="00A67F21" w:rsidRPr="00B12FE0" w:rsidRDefault="00A67F21">
      <w:pPr>
        <w:spacing w:before="120" w:after="120" w:line="360" w:lineRule="auto"/>
        <w:ind w:firstLine="480"/>
        <w:rPr>
          <w:color w:val="000000" w:themeColor="text1"/>
        </w:rPr>
      </w:pPr>
    </w:p>
    <w:p w14:paraId="5A880D0A" w14:textId="77777777" w:rsidR="00A67F21" w:rsidRPr="00B12FE0" w:rsidRDefault="00A67F21">
      <w:pPr>
        <w:spacing w:before="120" w:after="120" w:line="360" w:lineRule="auto"/>
        <w:ind w:firstLine="480"/>
        <w:rPr>
          <w:color w:val="000000" w:themeColor="text1"/>
        </w:rPr>
      </w:pPr>
    </w:p>
    <w:p w14:paraId="30692641" w14:textId="77777777" w:rsidR="00A67F21" w:rsidRPr="00B12FE0" w:rsidRDefault="00A67F21">
      <w:pPr>
        <w:spacing w:before="120" w:after="120" w:line="360" w:lineRule="auto"/>
        <w:ind w:firstLine="480"/>
        <w:rPr>
          <w:color w:val="000000" w:themeColor="text1"/>
        </w:rPr>
      </w:pPr>
    </w:p>
    <w:p w14:paraId="4CED5B7D" w14:textId="77777777" w:rsidR="00A67F21" w:rsidRPr="00B12FE0" w:rsidRDefault="00A67F21">
      <w:pPr>
        <w:spacing w:before="120" w:after="120" w:line="360" w:lineRule="auto"/>
        <w:ind w:firstLine="480"/>
        <w:rPr>
          <w:color w:val="000000" w:themeColor="text1"/>
        </w:rPr>
      </w:pPr>
    </w:p>
    <w:p w14:paraId="48DB9603" w14:textId="77777777" w:rsidR="00A67F21" w:rsidRPr="00B12FE0" w:rsidRDefault="00A67F21">
      <w:pPr>
        <w:spacing w:before="120" w:after="120" w:line="360" w:lineRule="auto"/>
        <w:ind w:firstLine="480"/>
        <w:rPr>
          <w:color w:val="000000" w:themeColor="text1"/>
        </w:rPr>
      </w:pPr>
    </w:p>
    <w:p w14:paraId="2B16D57F" w14:textId="77777777" w:rsidR="00A67F21" w:rsidRPr="00B12FE0" w:rsidRDefault="00A67F21">
      <w:pPr>
        <w:spacing w:before="120" w:after="120" w:line="360" w:lineRule="auto"/>
        <w:ind w:firstLine="480"/>
        <w:rPr>
          <w:color w:val="000000" w:themeColor="text1"/>
        </w:rPr>
      </w:pPr>
    </w:p>
    <w:p w14:paraId="26092BE6" w14:textId="77777777" w:rsidR="00A67F21" w:rsidRPr="00B12FE0" w:rsidRDefault="00A67F21">
      <w:pPr>
        <w:spacing w:before="120" w:after="120" w:line="360" w:lineRule="auto"/>
        <w:ind w:firstLine="480"/>
        <w:rPr>
          <w:color w:val="000000" w:themeColor="text1"/>
        </w:rPr>
      </w:pPr>
    </w:p>
    <w:p w14:paraId="48E5EA53" w14:textId="77777777" w:rsidR="00A67F21" w:rsidRPr="00B12FE0" w:rsidRDefault="00A67F21">
      <w:pPr>
        <w:spacing w:before="120" w:after="120" w:line="360" w:lineRule="auto"/>
        <w:ind w:firstLine="482"/>
        <w:rPr>
          <w:b/>
          <w:color w:val="000000" w:themeColor="text1"/>
        </w:rPr>
      </w:pPr>
    </w:p>
    <w:p w14:paraId="375B4ED7" w14:textId="77777777" w:rsidR="00A67F21" w:rsidRPr="00B12FE0" w:rsidRDefault="00A67F21">
      <w:pPr>
        <w:spacing w:before="120" w:after="120" w:line="360" w:lineRule="auto"/>
        <w:ind w:firstLine="482"/>
        <w:rPr>
          <w:b/>
          <w:color w:val="000000" w:themeColor="text1"/>
        </w:rPr>
        <w:sectPr w:rsidR="00A67F21" w:rsidRPr="00B12FE0">
          <w:footerReference w:type="default" r:id="rId14"/>
          <w:pgSz w:w="11907" w:h="16840"/>
          <w:pgMar w:top="1440" w:right="1440" w:bottom="1440" w:left="1440" w:header="851" w:footer="850" w:gutter="0"/>
          <w:pgNumType w:fmt="upperRoman" w:start="1"/>
          <w:cols w:space="720"/>
          <w:docGrid w:linePitch="332"/>
        </w:sectPr>
      </w:pPr>
    </w:p>
    <w:p w14:paraId="44EC5C08" w14:textId="77777777" w:rsidR="00A67F21" w:rsidRPr="00B12FE0" w:rsidRDefault="00000000">
      <w:pPr>
        <w:spacing w:line="360" w:lineRule="auto"/>
        <w:rPr>
          <w:color w:val="000000" w:themeColor="text1"/>
        </w:rPr>
      </w:pPr>
      <w:r w:rsidRPr="00B12FE0">
        <w:rPr>
          <w:b/>
          <w:color w:val="000000" w:themeColor="text1"/>
        </w:rPr>
        <w:lastRenderedPageBreak/>
        <w:t>附图</w:t>
      </w:r>
    </w:p>
    <w:p w14:paraId="3A937526"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rPr>
        <w:t>附图</w:t>
      </w:r>
      <w:r w:rsidRPr="00B12FE0">
        <w:rPr>
          <w:color w:val="000000" w:themeColor="text1"/>
        </w:rPr>
        <w:t>1</w:t>
      </w:r>
      <w:r w:rsidRPr="00B12FE0">
        <w:rPr>
          <w:rFonts w:hint="eastAsia"/>
          <w:color w:val="000000" w:themeColor="text1"/>
        </w:rPr>
        <w:t xml:space="preserve">  </w:t>
      </w:r>
      <w:r w:rsidRPr="00B12FE0">
        <w:rPr>
          <w:color w:val="000000" w:themeColor="text1"/>
        </w:rPr>
        <w:t>项目地理位置图</w:t>
      </w:r>
    </w:p>
    <w:p w14:paraId="46020F44"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rPr>
        <w:t>附图</w:t>
      </w:r>
      <w:r w:rsidRPr="00B12FE0">
        <w:rPr>
          <w:color w:val="000000" w:themeColor="text1"/>
        </w:rPr>
        <w:t>2</w:t>
      </w:r>
      <w:r w:rsidRPr="00B12FE0">
        <w:rPr>
          <w:rFonts w:hint="eastAsia"/>
          <w:color w:val="000000" w:themeColor="text1"/>
        </w:rPr>
        <w:t xml:space="preserve">  </w:t>
      </w:r>
      <w:r w:rsidRPr="00B12FE0">
        <w:rPr>
          <w:color w:val="000000" w:themeColor="text1"/>
        </w:rPr>
        <w:t>周边环境关系</w:t>
      </w:r>
      <w:r w:rsidRPr="00B12FE0">
        <w:rPr>
          <w:rFonts w:hint="eastAsia"/>
          <w:color w:val="000000" w:themeColor="text1"/>
        </w:rPr>
        <w:t>及评价范围示意图</w:t>
      </w:r>
    </w:p>
    <w:p w14:paraId="58108316"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rPr>
        <w:t>附图</w:t>
      </w:r>
      <w:r w:rsidRPr="00B12FE0">
        <w:rPr>
          <w:color w:val="000000" w:themeColor="text1"/>
        </w:rPr>
        <w:t>3</w:t>
      </w:r>
      <w:r w:rsidRPr="00B12FE0">
        <w:rPr>
          <w:rFonts w:hint="eastAsia"/>
          <w:color w:val="000000" w:themeColor="text1"/>
        </w:rPr>
        <w:t xml:space="preserve">  </w:t>
      </w:r>
      <w:r w:rsidRPr="00B12FE0">
        <w:rPr>
          <w:rFonts w:hint="eastAsia"/>
          <w:color w:val="000000" w:themeColor="text1"/>
        </w:rPr>
        <w:t>肿瘤治疗中心一层平面布置图</w:t>
      </w:r>
    </w:p>
    <w:p w14:paraId="0C81C59A"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附图</w:t>
      </w:r>
      <w:r w:rsidRPr="00B12FE0">
        <w:rPr>
          <w:rFonts w:hint="eastAsia"/>
          <w:color w:val="000000" w:themeColor="text1"/>
        </w:rPr>
        <w:t xml:space="preserve">4   </w:t>
      </w:r>
      <w:r w:rsidRPr="00B12FE0">
        <w:rPr>
          <w:rFonts w:hint="eastAsia"/>
          <w:color w:val="000000" w:themeColor="text1"/>
        </w:rPr>
        <w:t>肿瘤治疗中心二层平面布置图</w:t>
      </w:r>
    </w:p>
    <w:p w14:paraId="698659EB"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rPr>
        <w:t>附图</w:t>
      </w:r>
      <w:r w:rsidRPr="00B12FE0">
        <w:rPr>
          <w:rFonts w:hint="eastAsia"/>
          <w:color w:val="000000" w:themeColor="text1"/>
        </w:rPr>
        <w:t xml:space="preserve">5   </w:t>
      </w:r>
      <w:r w:rsidRPr="00B12FE0">
        <w:rPr>
          <w:rFonts w:hint="eastAsia"/>
          <w:color w:val="000000" w:themeColor="text1"/>
        </w:rPr>
        <w:t>肿瘤治疗中心一层排风管线图（核素制备场所和核素诊断场所）</w:t>
      </w:r>
    </w:p>
    <w:p w14:paraId="62347651"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6   </w:t>
      </w:r>
      <w:r w:rsidRPr="00B12FE0">
        <w:rPr>
          <w:rFonts w:hint="eastAsia"/>
          <w:color w:val="000000" w:themeColor="text1"/>
        </w:rPr>
        <w:t>肿瘤治疗中心一层排水管线图（核素制备场所和核素诊断场所）</w:t>
      </w:r>
    </w:p>
    <w:p w14:paraId="11ABFB7D" w14:textId="77777777" w:rsidR="00A67F21" w:rsidRPr="00B12FE0" w:rsidRDefault="00000000">
      <w:pPr>
        <w:snapToGrid w:val="0"/>
        <w:spacing w:line="360" w:lineRule="auto"/>
        <w:ind w:firstLineChars="200" w:firstLine="480"/>
        <w:contextualSpacing/>
        <w:rPr>
          <w:color w:val="000000" w:themeColor="text1"/>
          <w:szCs w:val="24"/>
        </w:rPr>
      </w:pPr>
      <w:r w:rsidRPr="00B12FE0">
        <w:rPr>
          <w:color w:val="000000" w:themeColor="text1"/>
          <w:szCs w:val="24"/>
        </w:rPr>
        <w:t>附图</w:t>
      </w:r>
      <w:r w:rsidRPr="00B12FE0">
        <w:rPr>
          <w:rFonts w:hint="eastAsia"/>
          <w:color w:val="000000" w:themeColor="text1"/>
          <w:szCs w:val="24"/>
        </w:rPr>
        <w:t xml:space="preserve">7   </w:t>
      </w:r>
      <w:r w:rsidRPr="00B12FE0">
        <w:rPr>
          <w:rFonts w:hint="eastAsia"/>
          <w:color w:val="000000" w:themeColor="text1"/>
        </w:rPr>
        <w:t>肿瘤治疗中心一层人流物流路径图（核素制备场所和核素诊断场所）</w:t>
      </w:r>
    </w:p>
    <w:p w14:paraId="0DDB99C5" w14:textId="77777777" w:rsidR="00A67F21" w:rsidRPr="00B12FE0" w:rsidRDefault="00000000">
      <w:pPr>
        <w:snapToGrid w:val="0"/>
        <w:spacing w:line="360" w:lineRule="auto"/>
        <w:ind w:firstLineChars="200" w:firstLine="480"/>
        <w:contextualSpacing/>
        <w:rPr>
          <w:color w:val="000000" w:themeColor="text1"/>
          <w:szCs w:val="24"/>
        </w:rPr>
      </w:pPr>
      <w:r w:rsidRPr="00B12FE0">
        <w:rPr>
          <w:color w:val="000000" w:themeColor="text1"/>
          <w:szCs w:val="24"/>
        </w:rPr>
        <w:t>附图</w:t>
      </w:r>
      <w:r w:rsidRPr="00B12FE0">
        <w:rPr>
          <w:rFonts w:hint="eastAsia"/>
          <w:color w:val="000000" w:themeColor="text1"/>
          <w:szCs w:val="24"/>
        </w:rPr>
        <w:t xml:space="preserve">8  </w:t>
      </w:r>
      <w:r w:rsidRPr="00B12FE0">
        <w:rPr>
          <w:color w:val="000000" w:themeColor="text1"/>
          <w:szCs w:val="24"/>
        </w:rPr>
        <w:t xml:space="preserve"> </w:t>
      </w:r>
      <w:r w:rsidRPr="00B12FE0">
        <w:rPr>
          <w:rFonts w:hint="eastAsia"/>
          <w:color w:val="000000" w:themeColor="text1"/>
        </w:rPr>
        <w:t>肿瘤治疗中心二层排风管线图（核素治疗场所）</w:t>
      </w:r>
    </w:p>
    <w:p w14:paraId="3CA6C640" w14:textId="77777777" w:rsidR="00A67F21" w:rsidRPr="00B12FE0" w:rsidRDefault="00000000">
      <w:pPr>
        <w:snapToGrid w:val="0"/>
        <w:spacing w:line="360" w:lineRule="auto"/>
        <w:ind w:firstLineChars="200" w:firstLine="480"/>
        <w:contextualSpacing/>
        <w:rPr>
          <w:color w:val="000000" w:themeColor="text1"/>
          <w:szCs w:val="24"/>
        </w:rPr>
      </w:pPr>
      <w:r w:rsidRPr="00B12FE0">
        <w:rPr>
          <w:color w:val="000000" w:themeColor="text1"/>
          <w:szCs w:val="24"/>
        </w:rPr>
        <w:t>附图</w:t>
      </w:r>
      <w:r w:rsidRPr="00B12FE0">
        <w:rPr>
          <w:rFonts w:hint="eastAsia"/>
          <w:color w:val="000000" w:themeColor="text1"/>
          <w:szCs w:val="24"/>
        </w:rPr>
        <w:t xml:space="preserve">9  </w:t>
      </w:r>
      <w:r w:rsidRPr="00B12FE0">
        <w:rPr>
          <w:color w:val="000000" w:themeColor="text1"/>
          <w:szCs w:val="24"/>
        </w:rPr>
        <w:t xml:space="preserve"> </w:t>
      </w:r>
      <w:r w:rsidRPr="00B12FE0">
        <w:rPr>
          <w:rFonts w:hint="eastAsia"/>
          <w:color w:val="000000" w:themeColor="text1"/>
        </w:rPr>
        <w:t>肿瘤治疗中心二层排水管线图（核素治疗场所）</w:t>
      </w:r>
    </w:p>
    <w:p w14:paraId="65105B1E" w14:textId="77777777" w:rsidR="00A67F21" w:rsidRPr="00B12FE0" w:rsidRDefault="00000000">
      <w:pPr>
        <w:snapToGrid w:val="0"/>
        <w:spacing w:line="360" w:lineRule="auto"/>
        <w:ind w:firstLineChars="200" w:firstLine="480"/>
        <w:contextualSpacing/>
        <w:rPr>
          <w:color w:val="000000" w:themeColor="text1"/>
          <w:szCs w:val="24"/>
        </w:rPr>
      </w:pPr>
      <w:r w:rsidRPr="00B12FE0">
        <w:rPr>
          <w:color w:val="000000" w:themeColor="text1"/>
          <w:szCs w:val="24"/>
        </w:rPr>
        <w:t>附图</w:t>
      </w:r>
      <w:r w:rsidRPr="00B12FE0">
        <w:rPr>
          <w:rFonts w:hint="eastAsia"/>
          <w:color w:val="000000" w:themeColor="text1"/>
          <w:szCs w:val="24"/>
        </w:rPr>
        <w:t xml:space="preserve">10  </w:t>
      </w:r>
      <w:r w:rsidRPr="00B12FE0">
        <w:rPr>
          <w:color w:val="000000" w:themeColor="text1"/>
          <w:szCs w:val="24"/>
        </w:rPr>
        <w:t xml:space="preserve"> </w:t>
      </w:r>
      <w:r w:rsidRPr="00B12FE0">
        <w:rPr>
          <w:rFonts w:hint="eastAsia"/>
          <w:color w:val="000000" w:themeColor="text1"/>
        </w:rPr>
        <w:t>肿瘤治疗中心二层人流物流路径图（核素治疗场所）</w:t>
      </w:r>
    </w:p>
    <w:p w14:paraId="3F846DE2"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11-1  </w:t>
      </w:r>
      <w:r w:rsidRPr="00B12FE0">
        <w:rPr>
          <w:rFonts w:hint="eastAsia"/>
          <w:color w:val="000000" w:themeColor="text1"/>
          <w:szCs w:val="24"/>
        </w:rPr>
        <w:t>核医学工作场所关注点位布设</w:t>
      </w:r>
      <w:r w:rsidRPr="00B12FE0">
        <w:rPr>
          <w:color w:val="000000" w:themeColor="text1"/>
          <w:szCs w:val="24"/>
        </w:rPr>
        <w:t>图</w:t>
      </w:r>
      <w:r w:rsidRPr="00B12FE0">
        <w:rPr>
          <w:rFonts w:hint="eastAsia"/>
          <w:color w:val="000000" w:themeColor="text1"/>
          <w:szCs w:val="24"/>
        </w:rPr>
        <w:t>1</w:t>
      </w:r>
    </w:p>
    <w:p w14:paraId="567844BA"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11-2  </w:t>
      </w:r>
      <w:r w:rsidRPr="00B12FE0">
        <w:rPr>
          <w:rFonts w:hint="eastAsia"/>
          <w:color w:val="000000" w:themeColor="text1"/>
          <w:szCs w:val="24"/>
        </w:rPr>
        <w:t>核医学工作场所关注点位布设</w:t>
      </w:r>
      <w:r w:rsidRPr="00B12FE0">
        <w:rPr>
          <w:color w:val="000000" w:themeColor="text1"/>
          <w:szCs w:val="24"/>
        </w:rPr>
        <w:t>图</w:t>
      </w:r>
      <w:r w:rsidRPr="00B12FE0">
        <w:rPr>
          <w:rFonts w:hint="eastAsia"/>
          <w:color w:val="000000" w:themeColor="text1"/>
          <w:szCs w:val="24"/>
        </w:rPr>
        <w:t>2</w:t>
      </w:r>
    </w:p>
    <w:p w14:paraId="5EF1744D"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11-3  </w:t>
      </w:r>
      <w:r w:rsidRPr="00B12FE0">
        <w:rPr>
          <w:rFonts w:hint="eastAsia"/>
          <w:color w:val="000000" w:themeColor="text1"/>
          <w:szCs w:val="24"/>
        </w:rPr>
        <w:t>核医学工作场所关注点位布设</w:t>
      </w:r>
      <w:r w:rsidRPr="00B12FE0">
        <w:rPr>
          <w:color w:val="000000" w:themeColor="text1"/>
          <w:szCs w:val="24"/>
        </w:rPr>
        <w:t>图</w:t>
      </w:r>
      <w:r w:rsidRPr="00B12FE0">
        <w:rPr>
          <w:rFonts w:hint="eastAsia"/>
          <w:color w:val="000000" w:themeColor="text1"/>
          <w:szCs w:val="24"/>
        </w:rPr>
        <w:t>3</w:t>
      </w:r>
    </w:p>
    <w:p w14:paraId="70079AEA"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12   </w:t>
      </w:r>
      <w:proofErr w:type="gramStart"/>
      <w:r w:rsidRPr="00B12FE0">
        <w:rPr>
          <w:rFonts w:hint="eastAsia"/>
          <w:color w:val="000000" w:themeColor="text1"/>
          <w:szCs w:val="24"/>
        </w:rPr>
        <w:t>放疗科排风管</w:t>
      </w:r>
      <w:proofErr w:type="gramEnd"/>
      <w:r w:rsidRPr="00B12FE0">
        <w:rPr>
          <w:rFonts w:hint="eastAsia"/>
          <w:color w:val="000000" w:themeColor="text1"/>
          <w:szCs w:val="24"/>
        </w:rPr>
        <w:t>线图</w:t>
      </w:r>
    </w:p>
    <w:p w14:paraId="6ECF0741"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13   </w:t>
      </w:r>
      <w:r w:rsidRPr="00B12FE0">
        <w:rPr>
          <w:rFonts w:hint="eastAsia"/>
          <w:color w:val="000000" w:themeColor="text1"/>
          <w:szCs w:val="24"/>
        </w:rPr>
        <w:t>放疗科两区划分及人员路径图</w:t>
      </w:r>
      <w:r w:rsidRPr="00B12FE0">
        <w:rPr>
          <w:rFonts w:hint="eastAsia"/>
          <w:color w:val="000000" w:themeColor="text1"/>
          <w:szCs w:val="24"/>
        </w:rPr>
        <w:t xml:space="preserve"> </w:t>
      </w:r>
    </w:p>
    <w:p w14:paraId="17563962"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14   </w:t>
      </w:r>
      <w:r w:rsidRPr="00B12FE0">
        <w:rPr>
          <w:rFonts w:hint="eastAsia"/>
          <w:color w:val="000000" w:themeColor="text1"/>
          <w:szCs w:val="24"/>
        </w:rPr>
        <w:t>放疗科剖面图</w:t>
      </w:r>
    </w:p>
    <w:p w14:paraId="61E42650"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hint="eastAsia"/>
          <w:color w:val="000000" w:themeColor="text1"/>
          <w:szCs w:val="24"/>
        </w:rPr>
        <w:t>附图</w:t>
      </w:r>
      <w:r w:rsidRPr="00B12FE0">
        <w:rPr>
          <w:rFonts w:hint="eastAsia"/>
          <w:color w:val="000000" w:themeColor="text1"/>
          <w:szCs w:val="24"/>
        </w:rPr>
        <w:t xml:space="preserve">15   </w:t>
      </w:r>
      <w:r w:rsidRPr="00B12FE0">
        <w:rPr>
          <w:rFonts w:hint="eastAsia"/>
          <w:color w:val="000000" w:themeColor="text1"/>
          <w:szCs w:val="24"/>
        </w:rPr>
        <w:t>衰变池示意图</w:t>
      </w:r>
    </w:p>
    <w:p w14:paraId="089EB05F"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szCs w:val="24"/>
        </w:rPr>
        <w:t>附图</w:t>
      </w:r>
      <w:r w:rsidRPr="00B12FE0">
        <w:rPr>
          <w:rFonts w:hint="eastAsia"/>
          <w:color w:val="000000" w:themeColor="text1"/>
          <w:szCs w:val="24"/>
        </w:rPr>
        <w:t xml:space="preserve">16   </w:t>
      </w:r>
      <w:r w:rsidRPr="00B12FE0">
        <w:rPr>
          <w:rFonts w:hint="eastAsia"/>
          <w:color w:val="000000" w:themeColor="text1"/>
        </w:rPr>
        <w:t>第一师阿拉尔市生态环境分区管控单元分类</w:t>
      </w:r>
      <w:r w:rsidRPr="00B12FE0">
        <w:rPr>
          <w:color w:val="000000" w:themeColor="text1"/>
        </w:rPr>
        <w:t>图</w:t>
      </w:r>
    </w:p>
    <w:p w14:paraId="4AE0CFCD" w14:textId="77777777" w:rsidR="00A67F21" w:rsidRPr="00B12FE0" w:rsidRDefault="00A67F21">
      <w:pPr>
        <w:rPr>
          <w:color w:val="000000" w:themeColor="text1"/>
        </w:rPr>
      </w:pPr>
    </w:p>
    <w:p w14:paraId="2D90DA85" w14:textId="77777777" w:rsidR="00A67F21" w:rsidRPr="00B12FE0" w:rsidRDefault="00000000">
      <w:pPr>
        <w:snapToGrid w:val="0"/>
        <w:spacing w:line="360" w:lineRule="auto"/>
        <w:contextualSpacing/>
        <w:rPr>
          <w:b/>
          <w:color w:val="000000" w:themeColor="text1"/>
        </w:rPr>
      </w:pPr>
      <w:r w:rsidRPr="00B12FE0">
        <w:rPr>
          <w:b/>
          <w:color w:val="000000" w:themeColor="text1"/>
        </w:rPr>
        <w:t>附件</w:t>
      </w:r>
    </w:p>
    <w:p w14:paraId="291BDB23"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rPr>
        <w:t>附件</w:t>
      </w:r>
      <w:r w:rsidRPr="00B12FE0">
        <w:rPr>
          <w:color w:val="000000" w:themeColor="text1"/>
        </w:rPr>
        <w:t>1</w:t>
      </w:r>
      <w:r w:rsidRPr="00B12FE0">
        <w:rPr>
          <w:rFonts w:hint="eastAsia"/>
          <w:color w:val="000000" w:themeColor="text1"/>
        </w:rPr>
        <w:t xml:space="preserve">  </w:t>
      </w:r>
      <w:r w:rsidRPr="00B12FE0">
        <w:rPr>
          <w:color w:val="000000" w:themeColor="text1"/>
        </w:rPr>
        <w:t>委托书</w:t>
      </w:r>
    </w:p>
    <w:p w14:paraId="2CB297BF"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2  </w:t>
      </w:r>
      <w:r w:rsidRPr="00B12FE0">
        <w:rPr>
          <w:rFonts w:hint="eastAsia"/>
          <w:color w:val="000000" w:themeColor="text1"/>
        </w:rPr>
        <w:t>事业单位法人证书</w:t>
      </w:r>
    </w:p>
    <w:p w14:paraId="5A743F8B"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3  </w:t>
      </w:r>
      <w:r w:rsidRPr="00B12FE0">
        <w:rPr>
          <w:rFonts w:hint="eastAsia"/>
          <w:color w:val="000000" w:themeColor="text1"/>
        </w:rPr>
        <w:t>辐射安全许可证</w:t>
      </w:r>
    </w:p>
    <w:p w14:paraId="38B6AA70"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4 </w:t>
      </w:r>
      <w:r w:rsidRPr="00B12FE0">
        <w:rPr>
          <w:rFonts w:hint="eastAsia"/>
          <w:color w:val="000000" w:themeColor="text1"/>
        </w:rPr>
        <w:t>原有辐射项目环保手续</w:t>
      </w:r>
    </w:p>
    <w:p w14:paraId="52B55697"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5  </w:t>
      </w:r>
      <w:r w:rsidRPr="00B12FE0">
        <w:rPr>
          <w:color w:val="000000" w:themeColor="text1"/>
        </w:rPr>
        <w:t>医院辐射安全与环境保护管理领导小组成立文件</w:t>
      </w:r>
    </w:p>
    <w:p w14:paraId="11C7B8C6"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6  </w:t>
      </w:r>
      <w:r w:rsidRPr="00B12FE0">
        <w:rPr>
          <w:rFonts w:hint="eastAsia"/>
          <w:color w:val="000000" w:themeColor="text1"/>
        </w:rPr>
        <w:t>辐射事故应急预案</w:t>
      </w:r>
    </w:p>
    <w:p w14:paraId="36083635"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7  </w:t>
      </w:r>
      <w:r w:rsidRPr="00B12FE0">
        <w:rPr>
          <w:rFonts w:hint="eastAsia"/>
          <w:color w:val="000000" w:themeColor="text1"/>
        </w:rPr>
        <w:t>医院辐射安全管理相关制度</w:t>
      </w:r>
    </w:p>
    <w:p w14:paraId="74146485"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8  </w:t>
      </w:r>
      <w:r w:rsidRPr="00B12FE0">
        <w:rPr>
          <w:rFonts w:hint="eastAsia"/>
          <w:color w:val="000000" w:themeColor="text1"/>
        </w:rPr>
        <w:t>现有辐射工作人员个人剂量监测报告</w:t>
      </w:r>
    </w:p>
    <w:p w14:paraId="4D613747"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附件</w:t>
      </w:r>
      <w:r w:rsidRPr="00B12FE0">
        <w:rPr>
          <w:rFonts w:hint="eastAsia"/>
          <w:color w:val="000000" w:themeColor="text1"/>
        </w:rPr>
        <w:t xml:space="preserve">9 </w:t>
      </w:r>
      <w:r w:rsidRPr="00B12FE0">
        <w:rPr>
          <w:rFonts w:hint="eastAsia"/>
          <w:color w:val="000000" w:themeColor="text1"/>
        </w:rPr>
        <w:t>辐射环境质量现状监测报告</w:t>
      </w:r>
    </w:p>
    <w:p w14:paraId="25928D77"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lastRenderedPageBreak/>
        <w:t>附件</w:t>
      </w:r>
      <w:r w:rsidRPr="00B12FE0">
        <w:rPr>
          <w:rFonts w:hint="eastAsia"/>
          <w:color w:val="000000" w:themeColor="text1"/>
        </w:rPr>
        <w:t>10</w:t>
      </w:r>
      <w:r w:rsidRPr="00B12FE0">
        <w:rPr>
          <w:color w:val="000000" w:themeColor="text1"/>
        </w:rPr>
        <w:t xml:space="preserve"> </w:t>
      </w:r>
      <w:r w:rsidRPr="00B12FE0">
        <w:rPr>
          <w:rFonts w:hint="eastAsia"/>
          <w:color w:val="000000" w:themeColor="text1"/>
        </w:rPr>
        <w:t>核医学科项目类比相关监测报告</w:t>
      </w:r>
    </w:p>
    <w:p w14:paraId="0249CC93" w14:textId="77777777" w:rsidR="00A67F21" w:rsidRPr="00B12FE0" w:rsidRDefault="00A67F21">
      <w:pPr>
        <w:snapToGrid w:val="0"/>
        <w:spacing w:line="360" w:lineRule="auto"/>
        <w:ind w:firstLineChars="200" w:firstLine="480"/>
        <w:contextualSpacing/>
        <w:rPr>
          <w:color w:val="000000" w:themeColor="text1"/>
        </w:rPr>
        <w:sectPr w:rsidR="00A67F21" w:rsidRPr="00B12FE0">
          <w:headerReference w:type="default" r:id="rId15"/>
          <w:footerReference w:type="default" r:id="rId16"/>
          <w:pgSz w:w="11907" w:h="16840"/>
          <w:pgMar w:top="1440" w:right="1440" w:bottom="1440" w:left="1440" w:header="851" w:footer="850" w:gutter="0"/>
          <w:pgNumType w:fmt="upperRoman"/>
          <w:cols w:space="720"/>
          <w:docGrid w:linePitch="332"/>
        </w:sectPr>
      </w:pPr>
    </w:p>
    <w:p w14:paraId="6439DBAC" w14:textId="77777777" w:rsidR="00A67F21" w:rsidRPr="00B12FE0" w:rsidRDefault="00000000">
      <w:pPr>
        <w:spacing w:line="360" w:lineRule="auto"/>
        <w:outlineLvl w:val="0"/>
        <w:rPr>
          <w:b/>
          <w:color w:val="000000" w:themeColor="text1"/>
          <w:sz w:val="32"/>
          <w:szCs w:val="32"/>
        </w:rPr>
      </w:pPr>
      <w:bookmarkStart w:id="2" w:name="_Toc16528"/>
      <w:r w:rsidRPr="00B12FE0">
        <w:rPr>
          <w:b/>
          <w:color w:val="000000" w:themeColor="text1"/>
          <w:sz w:val="32"/>
          <w:szCs w:val="32"/>
        </w:rPr>
        <w:lastRenderedPageBreak/>
        <w:t>表</w:t>
      </w:r>
      <w:r w:rsidRPr="00B12FE0">
        <w:rPr>
          <w:b/>
          <w:color w:val="000000" w:themeColor="text1"/>
          <w:sz w:val="32"/>
          <w:szCs w:val="32"/>
        </w:rPr>
        <w:t xml:space="preserve">1 </w:t>
      </w:r>
      <w:r w:rsidRPr="00B12FE0">
        <w:rPr>
          <w:b/>
          <w:color w:val="000000" w:themeColor="text1"/>
          <w:sz w:val="32"/>
          <w:szCs w:val="32"/>
        </w:rPr>
        <w:t>项目基本情况</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082"/>
        <w:gridCol w:w="999"/>
        <w:gridCol w:w="1470"/>
        <w:gridCol w:w="995"/>
        <w:gridCol w:w="1969"/>
        <w:gridCol w:w="1692"/>
      </w:tblGrid>
      <w:tr w:rsidR="00A67F21" w:rsidRPr="00B12FE0" w14:paraId="7927BB44" w14:textId="77777777">
        <w:trPr>
          <w:cantSplit/>
          <w:trHeight w:val="600"/>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1AAD3F23" w14:textId="77777777" w:rsidR="00A67F21" w:rsidRPr="00B12FE0" w:rsidRDefault="00000000">
            <w:pPr>
              <w:jc w:val="center"/>
              <w:rPr>
                <w:color w:val="000000" w:themeColor="text1"/>
                <w:szCs w:val="24"/>
              </w:rPr>
            </w:pPr>
            <w:r w:rsidRPr="00B12FE0">
              <w:rPr>
                <w:color w:val="000000" w:themeColor="text1"/>
                <w:szCs w:val="24"/>
              </w:rPr>
              <w:t>建设项目名称</w:t>
            </w:r>
          </w:p>
        </w:tc>
        <w:tc>
          <w:tcPr>
            <w:tcW w:w="3951" w:type="pct"/>
            <w:gridSpan w:val="5"/>
            <w:tcBorders>
              <w:top w:val="single" w:sz="4" w:space="0" w:color="auto"/>
              <w:left w:val="nil"/>
              <w:bottom w:val="single" w:sz="4" w:space="0" w:color="auto"/>
              <w:right w:val="single" w:sz="4" w:space="0" w:color="auto"/>
            </w:tcBorders>
            <w:vAlign w:val="center"/>
          </w:tcPr>
          <w:p w14:paraId="035BF08B" w14:textId="77777777" w:rsidR="00A67F21" w:rsidRPr="00B12FE0" w:rsidRDefault="00000000">
            <w:pPr>
              <w:jc w:val="center"/>
              <w:rPr>
                <w:color w:val="000000" w:themeColor="text1"/>
                <w:szCs w:val="24"/>
              </w:rPr>
            </w:pPr>
            <w:bookmarkStart w:id="3" w:name="OLE_LINK2"/>
            <w:r w:rsidRPr="00B12FE0">
              <w:rPr>
                <w:rFonts w:hint="eastAsia"/>
                <w:color w:val="000000" w:themeColor="text1"/>
                <w:szCs w:val="24"/>
              </w:rPr>
              <w:t>浙江大学医学院附属邵逸夫医院新疆兵团阿拉尔医院肿瘤治疗中心</w:t>
            </w:r>
            <w:r w:rsidRPr="00B12FE0">
              <w:rPr>
                <w:color w:val="000000" w:themeColor="text1"/>
                <w:szCs w:val="24"/>
              </w:rPr>
              <w:t>核技术利用建设项目</w:t>
            </w:r>
            <w:bookmarkEnd w:id="3"/>
          </w:p>
        </w:tc>
      </w:tr>
      <w:tr w:rsidR="00A67F21" w:rsidRPr="00B12FE0" w14:paraId="1B0CE421" w14:textId="77777777">
        <w:trPr>
          <w:trHeight w:val="393"/>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04481771" w14:textId="77777777" w:rsidR="00A67F21" w:rsidRPr="00B12FE0" w:rsidRDefault="00000000">
            <w:pPr>
              <w:jc w:val="center"/>
              <w:rPr>
                <w:color w:val="000000" w:themeColor="text1"/>
                <w:szCs w:val="24"/>
              </w:rPr>
            </w:pPr>
            <w:r w:rsidRPr="00B12FE0">
              <w:rPr>
                <w:color w:val="000000" w:themeColor="text1"/>
              </w:rPr>
              <w:t>建设单位</w:t>
            </w:r>
          </w:p>
        </w:tc>
        <w:tc>
          <w:tcPr>
            <w:tcW w:w="3951" w:type="pct"/>
            <w:gridSpan w:val="5"/>
            <w:tcBorders>
              <w:top w:val="single" w:sz="4" w:space="0" w:color="auto"/>
              <w:left w:val="nil"/>
              <w:bottom w:val="single" w:sz="4" w:space="0" w:color="auto"/>
              <w:right w:val="single" w:sz="4" w:space="0" w:color="auto"/>
            </w:tcBorders>
            <w:vAlign w:val="center"/>
          </w:tcPr>
          <w:p w14:paraId="5CB807B7" w14:textId="77777777" w:rsidR="00A67F21" w:rsidRPr="00B12FE0" w:rsidRDefault="00000000">
            <w:pPr>
              <w:adjustRightInd w:val="0"/>
              <w:snapToGrid w:val="0"/>
              <w:jc w:val="center"/>
              <w:rPr>
                <w:bCs/>
                <w:color w:val="000000" w:themeColor="text1"/>
              </w:rPr>
            </w:pPr>
            <w:r w:rsidRPr="00B12FE0">
              <w:rPr>
                <w:rFonts w:hint="eastAsia"/>
                <w:color w:val="000000" w:themeColor="text1"/>
                <w:szCs w:val="24"/>
              </w:rPr>
              <w:t>浙江大学医学院附属邵逸夫医院新疆兵团阿拉尔医院</w:t>
            </w:r>
          </w:p>
        </w:tc>
      </w:tr>
      <w:tr w:rsidR="00A67F21" w:rsidRPr="00B12FE0" w14:paraId="5B86ECEC" w14:textId="77777777">
        <w:trPr>
          <w:trHeight w:val="493"/>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58988800" w14:textId="77777777" w:rsidR="00A67F21" w:rsidRPr="00B12FE0" w:rsidRDefault="00000000">
            <w:pPr>
              <w:jc w:val="center"/>
              <w:rPr>
                <w:color w:val="000000" w:themeColor="text1"/>
                <w:szCs w:val="24"/>
              </w:rPr>
            </w:pPr>
            <w:r w:rsidRPr="00B12FE0">
              <w:rPr>
                <w:color w:val="000000" w:themeColor="text1"/>
              </w:rPr>
              <w:t>法人代表</w:t>
            </w:r>
          </w:p>
        </w:tc>
        <w:tc>
          <w:tcPr>
            <w:tcW w:w="554" w:type="pct"/>
            <w:tcBorders>
              <w:top w:val="single" w:sz="4" w:space="0" w:color="auto"/>
              <w:left w:val="nil"/>
              <w:bottom w:val="single" w:sz="4" w:space="0" w:color="auto"/>
              <w:right w:val="single" w:sz="4" w:space="0" w:color="auto"/>
            </w:tcBorders>
            <w:vAlign w:val="center"/>
          </w:tcPr>
          <w:p w14:paraId="6EA642D0" w14:textId="5CEE989E" w:rsidR="00A67F21" w:rsidRPr="00B12FE0" w:rsidRDefault="00A0682D">
            <w:pPr>
              <w:adjustRightInd w:val="0"/>
              <w:snapToGrid w:val="0"/>
              <w:jc w:val="center"/>
              <w:rPr>
                <w:rFonts w:hint="eastAsia"/>
                <w:bCs/>
                <w:color w:val="000000" w:themeColor="text1"/>
              </w:rPr>
            </w:pPr>
            <w:r>
              <w:rPr>
                <w:rFonts w:hint="eastAsia"/>
                <w:bCs/>
                <w:color w:val="000000" w:themeColor="text1"/>
              </w:rPr>
              <w:t>***</w:t>
            </w:r>
          </w:p>
        </w:tc>
        <w:tc>
          <w:tcPr>
            <w:tcW w:w="815" w:type="pct"/>
            <w:tcBorders>
              <w:top w:val="single" w:sz="4" w:space="0" w:color="auto"/>
              <w:left w:val="nil"/>
              <w:bottom w:val="single" w:sz="4" w:space="0" w:color="auto"/>
              <w:right w:val="single" w:sz="4" w:space="0" w:color="auto"/>
            </w:tcBorders>
            <w:vAlign w:val="center"/>
          </w:tcPr>
          <w:p w14:paraId="7B5E0518" w14:textId="77777777" w:rsidR="00A67F21" w:rsidRPr="00B12FE0" w:rsidRDefault="00000000">
            <w:pPr>
              <w:adjustRightInd w:val="0"/>
              <w:snapToGrid w:val="0"/>
              <w:jc w:val="center"/>
              <w:rPr>
                <w:bCs/>
                <w:color w:val="000000" w:themeColor="text1"/>
              </w:rPr>
            </w:pPr>
            <w:r w:rsidRPr="00B12FE0">
              <w:rPr>
                <w:rFonts w:hint="eastAsia"/>
                <w:bCs/>
                <w:color w:val="000000" w:themeColor="text1"/>
              </w:rPr>
              <w:t>联系人</w:t>
            </w:r>
          </w:p>
        </w:tc>
        <w:tc>
          <w:tcPr>
            <w:tcW w:w="551" w:type="pct"/>
            <w:tcBorders>
              <w:top w:val="single" w:sz="4" w:space="0" w:color="auto"/>
              <w:left w:val="nil"/>
              <w:bottom w:val="single" w:sz="4" w:space="0" w:color="auto"/>
              <w:right w:val="single" w:sz="4" w:space="0" w:color="auto"/>
            </w:tcBorders>
            <w:vAlign w:val="center"/>
          </w:tcPr>
          <w:p w14:paraId="60F65A56" w14:textId="6D0E697F" w:rsidR="00A67F21" w:rsidRPr="00B12FE0" w:rsidRDefault="00A0682D">
            <w:pPr>
              <w:adjustRightInd w:val="0"/>
              <w:snapToGrid w:val="0"/>
              <w:jc w:val="center"/>
              <w:rPr>
                <w:rFonts w:hint="eastAsia"/>
                <w:bCs/>
                <w:color w:val="000000" w:themeColor="text1"/>
              </w:rPr>
            </w:pPr>
            <w:r>
              <w:rPr>
                <w:rFonts w:hint="eastAsia"/>
                <w:bCs/>
                <w:color w:val="000000" w:themeColor="text1"/>
              </w:rPr>
              <w:t>**</w:t>
            </w:r>
          </w:p>
        </w:tc>
        <w:tc>
          <w:tcPr>
            <w:tcW w:w="1092" w:type="pct"/>
            <w:tcBorders>
              <w:top w:val="single" w:sz="4" w:space="0" w:color="auto"/>
              <w:left w:val="nil"/>
              <w:bottom w:val="single" w:sz="4" w:space="0" w:color="auto"/>
              <w:right w:val="single" w:sz="4" w:space="0" w:color="auto"/>
            </w:tcBorders>
            <w:vAlign w:val="center"/>
          </w:tcPr>
          <w:p w14:paraId="65F46F61" w14:textId="77777777" w:rsidR="00A67F21" w:rsidRPr="00B12FE0" w:rsidRDefault="00000000">
            <w:pPr>
              <w:adjustRightInd w:val="0"/>
              <w:snapToGrid w:val="0"/>
              <w:jc w:val="center"/>
              <w:rPr>
                <w:bCs/>
                <w:color w:val="000000" w:themeColor="text1"/>
              </w:rPr>
            </w:pPr>
            <w:r w:rsidRPr="00B12FE0">
              <w:rPr>
                <w:rFonts w:hint="eastAsia"/>
                <w:bCs/>
                <w:color w:val="000000" w:themeColor="text1"/>
              </w:rPr>
              <w:t>联系电话</w:t>
            </w:r>
          </w:p>
        </w:tc>
        <w:tc>
          <w:tcPr>
            <w:tcW w:w="939" w:type="pct"/>
            <w:tcBorders>
              <w:top w:val="single" w:sz="4" w:space="0" w:color="auto"/>
              <w:left w:val="nil"/>
              <w:bottom w:val="single" w:sz="4" w:space="0" w:color="auto"/>
              <w:right w:val="single" w:sz="4" w:space="0" w:color="auto"/>
            </w:tcBorders>
            <w:vAlign w:val="center"/>
          </w:tcPr>
          <w:p w14:paraId="6D61C9C8" w14:textId="63D2DBF6" w:rsidR="00A67F21" w:rsidRPr="00B12FE0" w:rsidRDefault="00A0682D">
            <w:pPr>
              <w:adjustRightInd w:val="0"/>
              <w:snapToGrid w:val="0"/>
              <w:jc w:val="center"/>
              <w:rPr>
                <w:rFonts w:hint="eastAsia"/>
                <w:bCs/>
                <w:color w:val="000000" w:themeColor="text1"/>
              </w:rPr>
            </w:pPr>
            <w:r>
              <w:rPr>
                <w:rFonts w:hint="eastAsia"/>
                <w:bCs/>
                <w:color w:val="000000" w:themeColor="text1"/>
              </w:rPr>
              <w:t>***********</w:t>
            </w:r>
          </w:p>
        </w:tc>
      </w:tr>
      <w:tr w:rsidR="00A67F21" w:rsidRPr="00B12FE0" w14:paraId="275FACF7" w14:textId="77777777">
        <w:trPr>
          <w:trHeight w:val="493"/>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623C0FE5" w14:textId="77777777" w:rsidR="00A67F21" w:rsidRPr="00B12FE0" w:rsidRDefault="00000000">
            <w:pPr>
              <w:jc w:val="center"/>
              <w:rPr>
                <w:color w:val="000000" w:themeColor="text1"/>
                <w:szCs w:val="24"/>
              </w:rPr>
            </w:pPr>
            <w:r w:rsidRPr="00B12FE0">
              <w:rPr>
                <w:color w:val="000000" w:themeColor="text1"/>
              </w:rPr>
              <w:t>注册地址</w:t>
            </w:r>
          </w:p>
        </w:tc>
        <w:tc>
          <w:tcPr>
            <w:tcW w:w="3951" w:type="pct"/>
            <w:gridSpan w:val="5"/>
            <w:tcBorders>
              <w:top w:val="single" w:sz="4" w:space="0" w:color="auto"/>
              <w:left w:val="nil"/>
              <w:bottom w:val="single" w:sz="4" w:space="0" w:color="auto"/>
              <w:right w:val="single" w:sz="4" w:space="0" w:color="auto"/>
            </w:tcBorders>
            <w:vAlign w:val="center"/>
          </w:tcPr>
          <w:p w14:paraId="353AAF31" w14:textId="77777777" w:rsidR="00A67F21" w:rsidRPr="00B12FE0" w:rsidRDefault="00000000">
            <w:pPr>
              <w:adjustRightInd w:val="0"/>
              <w:snapToGrid w:val="0"/>
              <w:jc w:val="center"/>
              <w:rPr>
                <w:color w:val="000000" w:themeColor="text1"/>
              </w:rPr>
            </w:pPr>
            <w:r w:rsidRPr="00B12FE0">
              <w:rPr>
                <w:rFonts w:hint="eastAsia"/>
                <w:color w:val="000000" w:themeColor="text1"/>
              </w:rPr>
              <w:t>新疆阿拉尔市胜利大道西</w:t>
            </w:r>
            <w:r w:rsidRPr="00B12FE0">
              <w:rPr>
                <w:rFonts w:hint="eastAsia"/>
                <w:color w:val="000000" w:themeColor="text1"/>
              </w:rPr>
              <w:t>1155</w:t>
            </w:r>
            <w:r w:rsidRPr="00B12FE0">
              <w:rPr>
                <w:rFonts w:hint="eastAsia"/>
                <w:color w:val="000000" w:themeColor="text1"/>
              </w:rPr>
              <w:t>号</w:t>
            </w:r>
          </w:p>
        </w:tc>
      </w:tr>
      <w:tr w:rsidR="00A67F21" w:rsidRPr="00B12FE0" w14:paraId="1DA532BB" w14:textId="77777777">
        <w:trPr>
          <w:trHeight w:val="493"/>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1C7B421F" w14:textId="77777777" w:rsidR="00A67F21" w:rsidRPr="00B12FE0" w:rsidRDefault="00000000">
            <w:pPr>
              <w:jc w:val="center"/>
              <w:rPr>
                <w:color w:val="000000" w:themeColor="text1"/>
                <w:szCs w:val="24"/>
              </w:rPr>
            </w:pPr>
            <w:r w:rsidRPr="00B12FE0">
              <w:rPr>
                <w:color w:val="000000" w:themeColor="text1"/>
              </w:rPr>
              <w:t>项目建设地点</w:t>
            </w:r>
          </w:p>
        </w:tc>
        <w:tc>
          <w:tcPr>
            <w:tcW w:w="3951" w:type="pct"/>
            <w:gridSpan w:val="5"/>
            <w:tcBorders>
              <w:top w:val="single" w:sz="4" w:space="0" w:color="auto"/>
              <w:left w:val="nil"/>
              <w:bottom w:val="single" w:sz="4" w:space="0" w:color="auto"/>
              <w:right w:val="single" w:sz="4" w:space="0" w:color="auto"/>
            </w:tcBorders>
            <w:vAlign w:val="center"/>
          </w:tcPr>
          <w:p w14:paraId="3FA45031" w14:textId="77777777" w:rsidR="00A67F21" w:rsidRPr="00B12FE0" w:rsidRDefault="00000000">
            <w:pPr>
              <w:adjustRightInd w:val="0"/>
              <w:snapToGrid w:val="0"/>
              <w:jc w:val="center"/>
              <w:rPr>
                <w:bCs/>
                <w:color w:val="000000" w:themeColor="text1"/>
              </w:rPr>
            </w:pPr>
            <w:r w:rsidRPr="00B12FE0">
              <w:rPr>
                <w:color w:val="000000" w:themeColor="text1"/>
              </w:rPr>
              <w:t>新疆阿拉尔市胜利大道西</w:t>
            </w:r>
            <w:r w:rsidRPr="00B12FE0">
              <w:rPr>
                <w:color w:val="000000" w:themeColor="text1"/>
              </w:rPr>
              <w:t>1155</w:t>
            </w:r>
            <w:r w:rsidRPr="00B12FE0">
              <w:rPr>
                <w:color w:val="000000" w:themeColor="text1"/>
              </w:rPr>
              <w:t>号</w:t>
            </w:r>
            <w:r w:rsidRPr="00B12FE0">
              <w:rPr>
                <w:rFonts w:hint="eastAsia"/>
                <w:color w:val="000000" w:themeColor="text1"/>
              </w:rPr>
              <w:t>浙江大学医学院附属邵逸夫医院新疆兵团阿拉尔医院</w:t>
            </w:r>
            <w:r w:rsidRPr="00B12FE0">
              <w:rPr>
                <w:rFonts w:hint="eastAsia"/>
                <w:color w:val="000000" w:themeColor="text1"/>
                <w:szCs w:val="24"/>
              </w:rPr>
              <w:t>肿瘤治疗中心楼</w:t>
            </w:r>
          </w:p>
        </w:tc>
      </w:tr>
      <w:tr w:rsidR="00A67F21" w:rsidRPr="00B12FE0" w14:paraId="735E5285" w14:textId="77777777">
        <w:trPr>
          <w:trHeight w:val="493"/>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6597FBFC" w14:textId="77777777" w:rsidR="00A67F21" w:rsidRPr="00B12FE0" w:rsidRDefault="00000000">
            <w:pPr>
              <w:jc w:val="center"/>
              <w:rPr>
                <w:color w:val="000000" w:themeColor="text1"/>
                <w:szCs w:val="24"/>
              </w:rPr>
            </w:pPr>
            <w:r w:rsidRPr="00B12FE0">
              <w:rPr>
                <w:color w:val="000000" w:themeColor="text1"/>
              </w:rPr>
              <w:t>立项审批部门</w:t>
            </w:r>
          </w:p>
        </w:tc>
        <w:tc>
          <w:tcPr>
            <w:tcW w:w="1369" w:type="pct"/>
            <w:gridSpan w:val="2"/>
            <w:tcBorders>
              <w:top w:val="single" w:sz="4" w:space="0" w:color="auto"/>
              <w:left w:val="nil"/>
              <w:bottom w:val="single" w:sz="4" w:space="0" w:color="auto"/>
              <w:right w:val="single" w:sz="4" w:space="0" w:color="auto"/>
            </w:tcBorders>
            <w:vAlign w:val="center"/>
          </w:tcPr>
          <w:p w14:paraId="12AADA67" w14:textId="77777777" w:rsidR="00A67F21" w:rsidRPr="00B12FE0" w:rsidRDefault="00000000">
            <w:pPr>
              <w:jc w:val="center"/>
              <w:rPr>
                <w:color w:val="000000" w:themeColor="text1"/>
              </w:rPr>
            </w:pPr>
            <w:r w:rsidRPr="00B12FE0">
              <w:rPr>
                <w:color w:val="000000" w:themeColor="text1"/>
              </w:rPr>
              <w:t>/</w:t>
            </w:r>
          </w:p>
        </w:tc>
        <w:tc>
          <w:tcPr>
            <w:tcW w:w="551" w:type="pct"/>
            <w:tcBorders>
              <w:top w:val="single" w:sz="4" w:space="0" w:color="auto"/>
              <w:left w:val="nil"/>
              <w:bottom w:val="single" w:sz="4" w:space="0" w:color="auto"/>
              <w:right w:val="single" w:sz="4" w:space="0" w:color="auto"/>
            </w:tcBorders>
            <w:vAlign w:val="center"/>
          </w:tcPr>
          <w:p w14:paraId="3F894B74" w14:textId="77777777" w:rsidR="00A67F21" w:rsidRPr="00B12FE0" w:rsidRDefault="00000000">
            <w:pPr>
              <w:jc w:val="center"/>
              <w:rPr>
                <w:color w:val="000000" w:themeColor="text1"/>
              </w:rPr>
            </w:pPr>
            <w:r w:rsidRPr="00B12FE0">
              <w:rPr>
                <w:color w:val="000000" w:themeColor="text1"/>
              </w:rPr>
              <w:t>批准</w:t>
            </w:r>
          </w:p>
          <w:p w14:paraId="11207729" w14:textId="77777777" w:rsidR="00A67F21" w:rsidRPr="00B12FE0" w:rsidRDefault="00000000">
            <w:pPr>
              <w:jc w:val="center"/>
              <w:rPr>
                <w:color w:val="000000" w:themeColor="text1"/>
              </w:rPr>
            </w:pPr>
            <w:r w:rsidRPr="00B12FE0">
              <w:rPr>
                <w:color w:val="000000" w:themeColor="text1"/>
              </w:rPr>
              <w:t>文号</w:t>
            </w:r>
          </w:p>
        </w:tc>
        <w:tc>
          <w:tcPr>
            <w:tcW w:w="2030" w:type="pct"/>
            <w:gridSpan w:val="2"/>
            <w:tcBorders>
              <w:top w:val="single" w:sz="4" w:space="0" w:color="auto"/>
              <w:left w:val="nil"/>
              <w:bottom w:val="single" w:sz="4" w:space="0" w:color="auto"/>
              <w:right w:val="single" w:sz="4" w:space="0" w:color="auto"/>
            </w:tcBorders>
            <w:vAlign w:val="center"/>
          </w:tcPr>
          <w:p w14:paraId="25882774" w14:textId="77777777" w:rsidR="00A67F21" w:rsidRPr="00B12FE0" w:rsidRDefault="00000000">
            <w:pPr>
              <w:jc w:val="center"/>
              <w:rPr>
                <w:color w:val="000000" w:themeColor="text1"/>
              </w:rPr>
            </w:pPr>
            <w:r w:rsidRPr="00B12FE0">
              <w:rPr>
                <w:color w:val="000000" w:themeColor="text1"/>
              </w:rPr>
              <w:t>/</w:t>
            </w:r>
          </w:p>
        </w:tc>
      </w:tr>
      <w:tr w:rsidR="00A67F21" w:rsidRPr="00B12FE0" w14:paraId="4DEB59C9" w14:textId="77777777">
        <w:trPr>
          <w:trHeight w:val="493"/>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0490C02A" w14:textId="77777777" w:rsidR="00A67F21" w:rsidRPr="00B12FE0" w:rsidRDefault="00000000">
            <w:pPr>
              <w:jc w:val="center"/>
              <w:rPr>
                <w:color w:val="000000" w:themeColor="text1"/>
              </w:rPr>
            </w:pPr>
            <w:r w:rsidRPr="00B12FE0">
              <w:rPr>
                <w:color w:val="000000" w:themeColor="text1"/>
              </w:rPr>
              <w:t>建设项目总投资（万元）</w:t>
            </w:r>
          </w:p>
        </w:tc>
        <w:tc>
          <w:tcPr>
            <w:tcW w:w="554" w:type="pct"/>
            <w:tcBorders>
              <w:top w:val="single" w:sz="4" w:space="0" w:color="auto"/>
              <w:left w:val="nil"/>
              <w:bottom w:val="single" w:sz="4" w:space="0" w:color="auto"/>
              <w:right w:val="single" w:sz="4" w:space="0" w:color="auto"/>
            </w:tcBorders>
            <w:vAlign w:val="center"/>
          </w:tcPr>
          <w:p w14:paraId="4028CADF" w14:textId="77777777" w:rsidR="00A67F21" w:rsidRPr="00B12FE0" w:rsidRDefault="00000000">
            <w:pPr>
              <w:jc w:val="center"/>
              <w:rPr>
                <w:color w:val="000000" w:themeColor="text1"/>
              </w:rPr>
            </w:pPr>
            <w:r w:rsidRPr="00B12FE0">
              <w:rPr>
                <w:rFonts w:hint="eastAsia"/>
                <w:color w:val="000000" w:themeColor="text1"/>
              </w:rPr>
              <w:t>9750</w:t>
            </w:r>
          </w:p>
        </w:tc>
        <w:tc>
          <w:tcPr>
            <w:tcW w:w="815" w:type="pct"/>
            <w:tcBorders>
              <w:top w:val="single" w:sz="4" w:space="0" w:color="auto"/>
              <w:left w:val="nil"/>
              <w:bottom w:val="single" w:sz="4" w:space="0" w:color="auto"/>
              <w:right w:val="single" w:sz="4" w:space="0" w:color="auto"/>
            </w:tcBorders>
            <w:vAlign w:val="center"/>
          </w:tcPr>
          <w:p w14:paraId="77FBAF04" w14:textId="77777777" w:rsidR="00A67F21" w:rsidRPr="00B12FE0" w:rsidRDefault="00000000">
            <w:pPr>
              <w:jc w:val="center"/>
              <w:rPr>
                <w:color w:val="000000" w:themeColor="text1"/>
              </w:rPr>
            </w:pPr>
            <w:r w:rsidRPr="00B12FE0">
              <w:rPr>
                <w:color w:val="000000" w:themeColor="text1"/>
              </w:rPr>
              <w:t>项目环保投资（万元）</w:t>
            </w:r>
          </w:p>
        </w:tc>
        <w:tc>
          <w:tcPr>
            <w:tcW w:w="551" w:type="pct"/>
            <w:tcBorders>
              <w:top w:val="single" w:sz="4" w:space="0" w:color="auto"/>
              <w:left w:val="nil"/>
              <w:bottom w:val="single" w:sz="4" w:space="0" w:color="auto"/>
              <w:right w:val="single" w:sz="4" w:space="0" w:color="auto"/>
            </w:tcBorders>
            <w:vAlign w:val="center"/>
          </w:tcPr>
          <w:p w14:paraId="0D761CC6" w14:textId="77777777" w:rsidR="00A67F21" w:rsidRPr="00B12FE0" w:rsidRDefault="00000000">
            <w:pPr>
              <w:jc w:val="center"/>
              <w:rPr>
                <w:color w:val="000000" w:themeColor="text1"/>
              </w:rPr>
            </w:pPr>
            <w:r w:rsidRPr="00B12FE0">
              <w:rPr>
                <w:rFonts w:hint="eastAsia"/>
                <w:color w:val="000000" w:themeColor="text1"/>
              </w:rPr>
              <w:t>900</w:t>
            </w:r>
          </w:p>
        </w:tc>
        <w:tc>
          <w:tcPr>
            <w:tcW w:w="1092" w:type="pct"/>
            <w:tcBorders>
              <w:top w:val="single" w:sz="4" w:space="0" w:color="auto"/>
              <w:left w:val="nil"/>
              <w:bottom w:val="single" w:sz="4" w:space="0" w:color="auto"/>
              <w:right w:val="single" w:sz="4" w:space="0" w:color="auto"/>
            </w:tcBorders>
            <w:vAlign w:val="center"/>
          </w:tcPr>
          <w:p w14:paraId="073A9633" w14:textId="77777777" w:rsidR="00A67F21" w:rsidRPr="00B12FE0" w:rsidRDefault="00000000">
            <w:pPr>
              <w:jc w:val="center"/>
              <w:rPr>
                <w:color w:val="000000" w:themeColor="text1"/>
              </w:rPr>
            </w:pPr>
            <w:r w:rsidRPr="00B12FE0">
              <w:rPr>
                <w:color w:val="000000" w:themeColor="text1"/>
              </w:rPr>
              <w:t>投资比例（环保投资</w:t>
            </w:r>
            <w:r w:rsidRPr="00B12FE0">
              <w:rPr>
                <w:color w:val="000000" w:themeColor="text1"/>
              </w:rPr>
              <w:t>/</w:t>
            </w:r>
            <w:r w:rsidRPr="00B12FE0">
              <w:rPr>
                <w:color w:val="000000" w:themeColor="text1"/>
              </w:rPr>
              <w:t>总投资）</w:t>
            </w:r>
          </w:p>
        </w:tc>
        <w:tc>
          <w:tcPr>
            <w:tcW w:w="939" w:type="pct"/>
            <w:tcBorders>
              <w:top w:val="single" w:sz="4" w:space="0" w:color="auto"/>
              <w:left w:val="nil"/>
              <w:bottom w:val="single" w:sz="4" w:space="0" w:color="auto"/>
              <w:right w:val="single" w:sz="4" w:space="0" w:color="auto"/>
            </w:tcBorders>
            <w:vAlign w:val="center"/>
          </w:tcPr>
          <w:p w14:paraId="6DA0D3D4" w14:textId="77777777" w:rsidR="00A67F21" w:rsidRPr="00B12FE0" w:rsidRDefault="00000000">
            <w:pPr>
              <w:jc w:val="center"/>
              <w:rPr>
                <w:color w:val="000000" w:themeColor="text1"/>
              </w:rPr>
            </w:pPr>
            <w:r w:rsidRPr="00B12FE0">
              <w:rPr>
                <w:rFonts w:hint="eastAsia"/>
                <w:color w:val="000000" w:themeColor="text1"/>
              </w:rPr>
              <w:t>9.2</w:t>
            </w:r>
            <w:r w:rsidRPr="00B12FE0">
              <w:rPr>
                <w:color w:val="000000" w:themeColor="text1"/>
              </w:rPr>
              <w:t>%</w:t>
            </w:r>
          </w:p>
        </w:tc>
      </w:tr>
      <w:tr w:rsidR="00A67F21" w:rsidRPr="00B12FE0" w14:paraId="1E34D13C" w14:textId="77777777">
        <w:trPr>
          <w:trHeight w:val="493"/>
          <w:jc w:val="center"/>
        </w:trPr>
        <w:tc>
          <w:tcPr>
            <w:tcW w:w="1049" w:type="pct"/>
            <w:gridSpan w:val="2"/>
            <w:tcBorders>
              <w:top w:val="single" w:sz="4" w:space="0" w:color="auto"/>
              <w:left w:val="single" w:sz="4" w:space="0" w:color="auto"/>
              <w:bottom w:val="single" w:sz="4" w:space="0" w:color="auto"/>
              <w:right w:val="single" w:sz="4" w:space="0" w:color="auto"/>
            </w:tcBorders>
            <w:vAlign w:val="center"/>
          </w:tcPr>
          <w:p w14:paraId="58E051E7" w14:textId="77777777" w:rsidR="00A67F21" w:rsidRPr="00B12FE0" w:rsidRDefault="00000000">
            <w:pPr>
              <w:jc w:val="center"/>
              <w:rPr>
                <w:color w:val="000000" w:themeColor="text1"/>
                <w:szCs w:val="24"/>
              </w:rPr>
            </w:pPr>
            <w:r w:rsidRPr="00B12FE0">
              <w:rPr>
                <w:color w:val="000000" w:themeColor="text1"/>
              </w:rPr>
              <w:t>项目性质</w:t>
            </w:r>
          </w:p>
        </w:tc>
        <w:tc>
          <w:tcPr>
            <w:tcW w:w="1921" w:type="pct"/>
            <w:gridSpan w:val="3"/>
            <w:tcBorders>
              <w:top w:val="single" w:sz="4" w:space="0" w:color="auto"/>
              <w:left w:val="nil"/>
              <w:bottom w:val="single" w:sz="4" w:space="0" w:color="auto"/>
              <w:right w:val="single" w:sz="4" w:space="0" w:color="auto"/>
            </w:tcBorders>
            <w:vAlign w:val="center"/>
          </w:tcPr>
          <w:p w14:paraId="30B2FB9D" w14:textId="77777777" w:rsidR="00A67F21" w:rsidRPr="00B12FE0" w:rsidRDefault="00000000">
            <w:pPr>
              <w:jc w:val="center"/>
              <w:rPr>
                <w:color w:val="000000" w:themeColor="text1"/>
                <w:szCs w:val="24"/>
              </w:rPr>
            </w:pPr>
            <w:r w:rsidRPr="00B12FE0">
              <w:rPr>
                <w:rFonts w:ascii="Segoe UI Symbol" w:hAnsi="Segoe UI Symbol" w:cs="Segoe UI Symbol" w:hint="eastAsia"/>
                <w:color w:val="000000" w:themeColor="text1"/>
              </w:rPr>
              <w:t>☑</w:t>
            </w:r>
            <w:r w:rsidRPr="00B12FE0">
              <w:rPr>
                <w:color w:val="000000" w:themeColor="text1"/>
              </w:rPr>
              <w:t>新建</w:t>
            </w:r>
            <w:r w:rsidRPr="00B12FE0">
              <w:rPr>
                <w:color w:val="000000" w:themeColor="text1"/>
              </w:rPr>
              <w:t xml:space="preserve"> </w:t>
            </w:r>
            <w:r w:rsidRPr="00B12FE0">
              <w:rPr>
                <w:color w:val="000000" w:themeColor="text1"/>
              </w:rPr>
              <w:sym w:font="Wingdings 2" w:char="F0A3"/>
            </w:r>
            <w:r w:rsidRPr="00B12FE0">
              <w:rPr>
                <w:color w:val="000000" w:themeColor="text1"/>
              </w:rPr>
              <w:t>改建</w:t>
            </w:r>
            <w:r w:rsidRPr="00B12FE0">
              <w:rPr>
                <w:rFonts w:hint="eastAsia"/>
                <w:color w:val="000000" w:themeColor="text1"/>
              </w:rPr>
              <w:t xml:space="preserve"> </w:t>
            </w:r>
            <w:r w:rsidRPr="00B12FE0">
              <w:rPr>
                <w:color w:val="000000" w:themeColor="text1"/>
              </w:rPr>
              <w:sym w:font="Wingdings 2" w:char="00A3"/>
            </w:r>
            <w:r w:rsidRPr="00B12FE0">
              <w:rPr>
                <w:color w:val="000000" w:themeColor="text1"/>
              </w:rPr>
              <w:t>扩建</w:t>
            </w:r>
            <w:r w:rsidRPr="00B12FE0">
              <w:rPr>
                <w:color w:val="000000" w:themeColor="text1"/>
              </w:rPr>
              <w:t xml:space="preserve"> </w:t>
            </w:r>
            <w:r w:rsidRPr="00B12FE0">
              <w:rPr>
                <w:color w:val="000000" w:themeColor="text1"/>
              </w:rPr>
              <w:sym w:font="Wingdings 2" w:char="F0A3"/>
            </w:r>
            <w:r w:rsidRPr="00B12FE0">
              <w:rPr>
                <w:color w:val="000000" w:themeColor="text1"/>
              </w:rPr>
              <w:t>其他</w:t>
            </w:r>
          </w:p>
        </w:tc>
        <w:tc>
          <w:tcPr>
            <w:tcW w:w="1092" w:type="pct"/>
            <w:tcBorders>
              <w:top w:val="single" w:sz="4" w:space="0" w:color="auto"/>
              <w:left w:val="nil"/>
              <w:bottom w:val="single" w:sz="4" w:space="0" w:color="auto"/>
              <w:right w:val="single" w:sz="4" w:space="0" w:color="auto"/>
            </w:tcBorders>
            <w:vAlign w:val="center"/>
          </w:tcPr>
          <w:p w14:paraId="5D6B70B4" w14:textId="77777777" w:rsidR="00A67F21" w:rsidRPr="00B12FE0" w:rsidRDefault="00000000">
            <w:pPr>
              <w:jc w:val="center"/>
              <w:rPr>
                <w:color w:val="000000" w:themeColor="text1"/>
                <w:szCs w:val="24"/>
              </w:rPr>
            </w:pPr>
            <w:r w:rsidRPr="00B12FE0">
              <w:rPr>
                <w:color w:val="000000" w:themeColor="text1"/>
              </w:rPr>
              <w:t>占地面积（</w:t>
            </w:r>
            <w:r w:rsidRPr="00B12FE0">
              <w:rPr>
                <w:color w:val="000000" w:themeColor="text1"/>
              </w:rPr>
              <w:t>m</w:t>
            </w:r>
            <w:r w:rsidRPr="00B12FE0">
              <w:rPr>
                <w:color w:val="000000" w:themeColor="text1"/>
                <w:vertAlign w:val="superscript"/>
              </w:rPr>
              <w:t>2</w:t>
            </w:r>
            <w:r w:rsidRPr="00B12FE0">
              <w:rPr>
                <w:color w:val="000000" w:themeColor="text1"/>
              </w:rPr>
              <w:t>）</w:t>
            </w:r>
          </w:p>
        </w:tc>
        <w:tc>
          <w:tcPr>
            <w:tcW w:w="939" w:type="pct"/>
            <w:tcBorders>
              <w:top w:val="single" w:sz="4" w:space="0" w:color="auto"/>
              <w:left w:val="nil"/>
              <w:bottom w:val="single" w:sz="4" w:space="0" w:color="auto"/>
              <w:right w:val="single" w:sz="4" w:space="0" w:color="auto"/>
            </w:tcBorders>
            <w:vAlign w:val="center"/>
          </w:tcPr>
          <w:p w14:paraId="7DCF8BD8" w14:textId="77777777" w:rsidR="00A67F21" w:rsidRPr="00B12FE0" w:rsidRDefault="00000000">
            <w:pPr>
              <w:jc w:val="center"/>
              <w:rPr>
                <w:color w:val="000000" w:themeColor="text1"/>
                <w:szCs w:val="24"/>
              </w:rPr>
            </w:pPr>
            <w:r w:rsidRPr="00B12FE0">
              <w:rPr>
                <w:color w:val="000000" w:themeColor="text1"/>
                <w:szCs w:val="24"/>
              </w:rPr>
              <w:t>/</w:t>
            </w:r>
          </w:p>
        </w:tc>
      </w:tr>
      <w:tr w:rsidR="00A67F21" w:rsidRPr="00B12FE0" w14:paraId="1250F224" w14:textId="77777777">
        <w:trPr>
          <w:trHeight w:val="493"/>
          <w:jc w:val="center"/>
        </w:trPr>
        <w:tc>
          <w:tcPr>
            <w:tcW w:w="449" w:type="pct"/>
            <w:vMerge w:val="restart"/>
            <w:tcBorders>
              <w:top w:val="single" w:sz="4" w:space="0" w:color="auto"/>
              <w:left w:val="single" w:sz="4" w:space="0" w:color="auto"/>
              <w:right w:val="single" w:sz="4" w:space="0" w:color="auto"/>
            </w:tcBorders>
            <w:vAlign w:val="center"/>
          </w:tcPr>
          <w:p w14:paraId="6B4BB6B2" w14:textId="77777777" w:rsidR="00A67F21" w:rsidRPr="00B12FE0" w:rsidRDefault="00000000">
            <w:pPr>
              <w:jc w:val="center"/>
              <w:rPr>
                <w:color w:val="000000" w:themeColor="text1"/>
                <w:szCs w:val="24"/>
              </w:rPr>
            </w:pPr>
            <w:r w:rsidRPr="00B12FE0">
              <w:rPr>
                <w:color w:val="000000" w:themeColor="text1"/>
              </w:rPr>
              <w:t>应用类型</w:t>
            </w:r>
          </w:p>
        </w:tc>
        <w:tc>
          <w:tcPr>
            <w:tcW w:w="600" w:type="pct"/>
            <w:vMerge w:val="restart"/>
            <w:tcBorders>
              <w:top w:val="single" w:sz="4" w:space="0" w:color="auto"/>
              <w:left w:val="nil"/>
              <w:right w:val="single" w:sz="4" w:space="0" w:color="auto"/>
            </w:tcBorders>
            <w:vAlign w:val="center"/>
          </w:tcPr>
          <w:p w14:paraId="52ACCAF1" w14:textId="77777777" w:rsidR="00A67F21" w:rsidRPr="00B12FE0" w:rsidRDefault="00000000">
            <w:pPr>
              <w:jc w:val="center"/>
              <w:rPr>
                <w:color w:val="000000" w:themeColor="text1"/>
                <w:szCs w:val="24"/>
              </w:rPr>
            </w:pPr>
            <w:r w:rsidRPr="00B12FE0">
              <w:rPr>
                <w:color w:val="000000" w:themeColor="text1"/>
              </w:rPr>
              <w:t>放射源</w:t>
            </w:r>
          </w:p>
        </w:tc>
        <w:tc>
          <w:tcPr>
            <w:tcW w:w="554" w:type="pct"/>
            <w:tcBorders>
              <w:top w:val="single" w:sz="4" w:space="0" w:color="auto"/>
              <w:left w:val="nil"/>
              <w:bottom w:val="single" w:sz="4" w:space="0" w:color="auto"/>
              <w:right w:val="single" w:sz="4" w:space="0" w:color="auto"/>
            </w:tcBorders>
            <w:vAlign w:val="center"/>
          </w:tcPr>
          <w:p w14:paraId="49F25831" w14:textId="77777777" w:rsidR="00A67F21" w:rsidRPr="00B12FE0" w:rsidRDefault="00000000">
            <w:pPr>
              <w:adjustRightInd w:val="0"/>
              <w:snapToGrid w:val="0"/>
              <w:jc w:val="center"/>
              <w:rPr>
                <w:color w:val="000000" w:themeColor="text1"/>
              </w:rPr>
            </w:pPr>
            <w:r w:rsidRPr="00B12FE0">
              <w:rPr>
                <w:color w:val="000000" w:themeColor="text1"/>
              </w:rPr>
              <w:sym w:font="Wingdings 2" w:char="F0A3"/>
            </w:r>
            <w:r w:rsidRPr="00B12FE0">
              <w:rPr>
                <w:color w:val="000000" w:themeColor="text1"/>
              </w:rPr>
              <w:t>销售</w:t>
            </w:r>
          </w:p>
        </w:tc>
        <w:tc>
          <w:tcPr>
            <w:tcW w:w="3397" w:type="pct"/>
            <w:gridSpan w:val="4"/>
            <w:tcBorders>
              <w:top w:val="single" w:sz="4" w:space="0" w:color="auto"/>
              <w:left w:val="nil"/>
              <w:bottom w:val="single" w:sz="4" w:space="0" w:color="auto"/>
              <w:right w:val="single" w:sz="4" w:space="0" w:color="auto"/>
            </w:tcBorders>
            <w:vAlign w:val="center"/>
          </w:tcPr>
          <w:p w14:paraId="712E2511" w14:textId="77777777" w:rsidR="00A67F21" w:rsidRPr="00B12FE0" w:rsidRDefault="00000000">
            <w:pPr>
              <w:spacing w:line="400" w:lineRule="atLeast"/>
              <w:jc w:val="center"/>
              <w:rPr>
                <w:color w:val="000000" w:themeColor="text1"/>
              </w:rPr>
            </w:pPr>
            <w:r w:rsidRPr="00B12FE0">
              <w:rPr>
                <w:rFonts w:ascii="宋体" w:hAnsi="宋体"/>
                <w:color w:val="000000" w:themeColor="text1"/>
              </w:rPr>
              <w:t>□</w:t>
            </w:r>
            <w:r w:rsidRPr="00B12FE0">
              <w:rPr>
                <w:color w:val="000000" w:themeColor="text1"/>
              </w:rPr>
              <w:t>Ⅰ</w:t>
            </w:r>
            <w:r w:rsidRPr="00B12FE0">
              <w:rPr>
                <w:color w:val="000000" w:themeColor="text1"/>
              </w:rPr>
              <w:t>类</w:t>
            </w:r>
            <w:r w:rsidRPr="00B12FE0">
              <w:rPr>
                <w:color w:val="000000" w:themeColor="text1"/>
              </w:rPr>
              <w:t xml:space="preserve"> </w:t>
            </w:r>
            <w:r w:rsidRPr="00B12FE0">
              <w:rPr>
                <w:rFonts w:ascii="宋体" w:hAnsi="宋体"/>
                <w:color w:val="000000" w:themeColor="text1"/>
              </w:rPr>
              <w:t>□</w:t>
            </w:r>
            <w:r w:rsidRPr="00B12FE0">
              <w:rPr>
                <w:color w:val="000000" w:themeColor="text1"/>
              </w:rPr>
              <w:t>Ⅱ</w:t>
            </w:r>
            <w:r w:rsidRPr="00B12FE0">
              <w:rPr>
                <w:color w:val="000000" w:themeColor="text1"/>
              </w:rPr>
              <w:t>类</w:t>
            </w:r>
            <w:r w:rsidRPr="00B12FE0">
              <w:rPr>
                <w:color w:val="000000" w:themeColor="text1"/>
              </w:rPr>
              <w:t xml:space="preserve"> </w:t>
            </w:r>
            <w:r w:rsidRPr="00B12FE0">
              <w:rPr>
                <w:rFonts w:ascii="宋体" w:hAnsi="宋体"/>
                <w:color w:val="000000" w:themeColor="text1"/>
              </w:rPr>
              <w:t>□</w:t>
            </w:r>
            <w:r w:rsidRPr="00B12FE0">
              <w:rPr>
                <w:color w:val="000000" w:themeColor="text1"/>
              </w:rPr>
              <w:t>Ⅲ</w:t>
            </w:r>
            <w:r w:rsidRPr="00B12FE0">
              <w:rPr>
                <w:color w:val="000000" w:themeColor="text1"/>
              </w:rPr>
              <w:t>类</w:t>
            </w:r>
            <w:r w:rsidRPr="00B12FE0">
              <w:rPr>
                <w:color w:val="000000" w:themeColor="text1"/>
              </w:rPr>
              <w:t xml:space="preserve"> </w:t>
            </w:r>
            <w:r w:rsidRPr="00B12FE0">
              <w:rPr>
                <w:rFonts w:ascii="宋体" w:hAnsi="宋体"/>
                <w:color w:val="000000" w:themeColor="text1"/>
              </w:rPr>
              <w:t>□</w:t>
            </w:r>
            <w:r w:rsidRPr="00B12FE0">
              <w:rPr>
                <w:color w:val="000000" w:themeColor="text1"/>
              </w:rPr>
              <w:t>Ⅳ</w:t>
            </w:r>
            <w:r w:rsidRPr="00B12FE0">
              <w:rPr>
                <w:color w:val="000000" w:themeColor="text1"/>
              </w:rPr>
              <w:t>类</w:t>
            </w:r>
            <w:r w:rsidRPr="00B12FE0">
              <w:rPr>
                <w:color w:val="000000" w:themeColor="text1"/>
              </w:rPr>
              <w:t xml:space="preserve"> </w:t>
            </w:r>
            <w:r w:rsidRPr="00B12FE0">
              <w:rPr>
                <w:rFonts w:ascii="宋体" w:hAnsi="宋体"/>
                <w:color w:val="000000" w:themeColor="text1"/>
              </w:rPr>
              <w:t>□</w:t>
            </w:r>
            <w:r w:rsidRPr="00B12FE0">
              <w:rPr>
                <w:color w:val="000000" w:themeColor="text1"/>
              </w:rPr>
              <w:t>Ⅴ</w:t>
            </w:r>
            <w:r w:rsidRPr="00B12FE0">
              <w:rPr>
                <w:color w:val="000000" w:themeColor="text1"/>
              </w:rPr>
              <w:t>类</w:t>
            </w:r>
          </w:p>
        </w:tc>
      </w:tr>
      <w:tr w:rsidR="00A67F21" w:rsidRPr="00B12FE0" w14:paraId="400D6735" w14:textId="77777777">
        <w:trPr>
          <w:trHeight w:val="493"/>
          <w:jc w:val="center"/>
        </w:trPr>
        <w:tc>
          <w:tcPr>
            <w:tcW w:w="449" w:type="pct"/>
            <w:vMerge/>
            <w:tcBorders>
              <w:left w:val="single" w:sz="4" w:space="0" w:color="auto"/>
              <w:right w:val="single" w:sz="4" w:space="0" w:color="auto"/>
            </w:tcBorders>
            <w:vAlign w:val="center"/>
          </w:tcPr>
          <w:p w14:paraId="46661762" w14:textId="77777777" w:rsidR="00A67F21" w:rsidRPr="00B12FE0" w:rsidRDefault="00A67F21">
            <w:pPr>
              <w:jc w:val="center"/>
              <w:rPr>
                <w:color w:val="000000" w:themeColor="text1"/>
                <w:szCs w:val="24"/>
              </w:rPr>
            </w:pPr>
          </w:p>
        </w:tc>
        <w:tc>
          <w:tcPr>
            <w:tcW w:w="600" w:type="pct"/>
            <w:vMerge/>
            <w:tcBorders>
              <w:left w:val="nil"/>
              <w:bottom w:val="single" w:sz="4" w:space="0" w:color="auto"/>
              <w:right w:val="single" w:sz="4" w:space="0" w:color="auto"/>
            </w:tcBorders>
            <w:vAlign w:val="center"/>
          </w:tcPr>
          <w:p w14:paraId="559BEF4E" w14:textId="77777777" w:rsidR="00A67F21" w:rsidRPr="00B12FE0" w:rsidRDefault="00A67F21">
            <w:pPr>
              <w:jc w:val="center"/>
              <w:rPr>
                <w:color w:val="000000" w:themeColor="text1"/>
                <w:szCs w:val="24"/>
              </w:rPr>
            </w:pPr>
          </w:p>
        </w:tc>
        <w:tc>
          <w:tcPr>
            <w:tcW w:w="554" w:type="pct"/>
            <w:tcBorders>
              <w:top w:val="single" w:sz="4" w:space="0" w:color="auto"/>
              <w:left w:val="nil"/>
              <w:bottom w:val="single" w:sz="4" w:space="0" w:color="auto"/>
              <w:right w:val="single" w:sz="4" w:space="0" w:color="auto"/>
            </w:tcBorders>
            <w:vAlign w:val="center"/>
          </w:tcPr>
          <w:p w14:paraId="5A3861F8" w14:textId="77777777" w:rsidR="00A67F21" w:rsidRPr="00B12FE0" w:rsidRDefault="00000000">
            <w:pPr>
              <w:adjustRightInd w:val="0"/>
              <w:snapToGrid w:val="0"/>
              <w:jc w:val="center"/>
              <w:rPr>
                <w:color w:val="000000" w:themeColor="text1"/>
              </w:rPr>
            </w:pPr>
            <w:r w:rsidRPr="00B12FE0">
              <w:rPr>
                <w:rFonts w:ascii="Segoe UI Symbol" w:hAnsi="Segoe UI Symbol" w:cs="Segoe UI Symbol" w:hint="eastAsia"/>
                <w:color w:val="000000" w:themeColor="text1"/>
              </w:rPr>
              <w:t>☑</w:t>
            </w:r>
            <w:r w:rsidRPr="00B12FE0">
              <w:rPr>
                <w:color w:val="000000" w:themeColor="text1"/>
              </w:rPr>
              <w:t>使用</w:t>
            </w:r>
          </w:p>
        </w:tc>
        <w:tc>
          <w:tcPr>
            <w:tcW w:w="3397" w:type="pct"/>
            <w:gridSpan w:val="4"/>
            <w:tcBorders>
              <w:top w:val="single" w:sz="4" w:space="0" w:color="auto"/>
              <w:left w:val="nil"/>
              <w:bottom w:val="single" w:sz="4" w:space="0" w:color="auto"/>
              <w:right w:val="single" w:sz="4" w:space="0" w:color="auto"/>
            </w:tcBorders>
            <w:vAlign w:val="center"/>
          </w:tcPr>
          <w:p w14:paraId="401350BE" w14:textId="77777777" w:rsidR="00A67F21" w:rsidRPr="00B12FE0" w:rsidRDefault="00000000">
            <w:pPr>
              <w:spacing w:line="400" w:lineRule="atLeast"/>
              <w:jc w:val="center"/>
              <w:rPr>
                <w:color w:val="000000" w:themeColor="text1"/>
              </w:rPr>
            </w:pPr>
            <w:r w:rsidRPr="00B12FE0">
              <w:rPr>
                <w:rFonts w:ascii="宋体" w:hAnsi="宋体"/>
                <w:color w:val="000000" w:themeColor="text1"/>
              </w:rPr>
              <w:t>□</w:t>
            </w:r>
            <w:r w:rsidRPr="00B12FE0">
              <w:rPr>
                <w:color w:val="000000" w:themeColor="text1"/>
              </w:rPr>
              <w:t>Ⅰ</w:t>
            </w:r>
            <w:r w:rsidRPr="00B12FE0">
              <w:rPr>
                <w:color w:val="000000" w:themeColor="text1"/>
              </w:rPr>
              <w:t>类（医疗使用）</w:t>
            </w:r>
            <w:r w:rsidRPr="00B12FE0">
              <w:rPr>
                <w:rFonts w:ascii="宋体" w:hAnsi="宋体"/>
                <w:color w:val="000000" w:themeColor="text1"/>
              </w:rPr>
              <w:t>□</w:t>
            </w:r>
            <w:r w:rsidRPr="00B12FE0">
              <w:rPr>
                <w:color w:val="000000" w:themeColor="text1"/>
              </w:rPr>
              <w:t>Ⅱ</w:t>
            </w:r>
            <w:r w:rsidRPr="00B12FE0">
              <w:rPr>
                <w:color w:val="000000" w:themeColor="text1"/>
              </w:rPr>
              <w:t>类</w:t>
            </w:r>
            <w:r w:rsidRPr="00B12FE0">
              <w:rPr>
                <w:rFonts w:ascii="Segoe UI Symbol" w:hAnsi="Segoe UI Symbol" w:cs="Segoe UI Symbol" w:hint="eastAsia"/>
                <w:color w:val="000000" w:themeColor="text1"/>
              </w:rPr>
              <w:t>☑</w:t>
            </w:r>
            <w:r w:rsidRPr="00B12FE0">
              <w:rPr>
                <w:color w:val="000000" w:themeColor="text1"/>
              </w:rPr>
              <w:t>Ⅲ</w:t>
            </w:r>
            <w:r w:rsidRPr="00B12FE0">
              <w:rPr>
                <w:color w:val="000000" w:themeColor="text1"/>
              </w:rPr>
              <w:t>类</w:t>
            </w:r>
            <w:r w:rsidRPr="00B12FE0">
              <w:rPr>
                <w:rFonts w:ascii="宋体" w:hAnsi="宋体"/>
                <w:color w:val="000000" w:themeColor="text1"/>
              </w:rPr>
              <w:t xml:space="preserve"> □</w:t>
            </w:r>
            <w:r w:rsidRPr="00B12FE0">
              <w:rPr>
                <w:color w:val="000000" w:themeColor="text1"/>
              </w:rPr>
              <w:t>Ⅳ</w:t>
            </w:r>
            <w:r w:rsidRPr="00B12FE0">
              <w:rPr>
                <w:color w:val="000000" w:themeColor="text1"/>
              </w:rPr>
              <w:t>类</w:t>
            </w:r>
            <w:r w:rsidRPr="00B12FE0">
              <w:rPr>
                <w:rFonts w:ascii="宋体" w:hAnsi="宋体"/>
                <w:color w:val="000000" w:themeColor="text1"/>
              </w:rPr>
              <w:t xml:space="preserve"> </w:t>
            </w:r>
            <w:r w:rsidRPr="00B12FE0">
              <w:rPr>
                <w:rFonts w:ascii="Segoe UI Symbol" w:hAnsi="Segoe UI Symbol" w:cs="Segoe UI Symbol" w:hint="eastAsia"/>
                <w:color w:val="000000" w:themeColor="text1"/>
              </w:rPr>
              <w:t>☑</w:t>
            </w:r>
            <w:r w:rsidRPr="00B12FE0">
              <w:rPr>
                <w:color w:val="000000" w:themeColor="text1"/>
              </w:rPr>
              <w:t>Ⅴ</w:t>
            </w:r>
            <w:r w:rsidRPr="00B12FE0">
              <w:rPr>
                <w:color w:val="000000" w:themeColor="text1"/>
              </w:rPr>
              <w:t>类</w:t>
            </w:r>
          </w:p>
        </w:tc>
      </w:tr>
      <w:tr w:rsidR="00A67F21" w:rsidRPr="00B12FE0" w14:paraId="34BBF02D" w14:textId="77777777">
        <w:trPr>
          <w:trHeight w:val="493"/>
          <w:jc w:val="center"/>
        </w:trPr>
        <w:tc>
          <w:tcPr>
            <w:tcW w:w="449" w:type="pct"/>
            <w:vMerge/>
            <w:tcBorders>
              <w:left w:val="single" w:sz="4" w:space="0" w:color="auto"/>
              <w:right w:val="single" w:sz="4" w:space="0" w:color="auto"/>
            </w:tcBorders>
            <w:vAlign w:val="center"/>
          </w:tcPr>
          <w:p w14:paraId="5D3D4274" w14:textId="77777777" w:rsidR="00A67F21" w:rsidRPr="00B12FE0" w:rsidRDefault="00A67F21">
            <w:pPr>
              <w:jc w:val="center"/>
              <w:rPr>
                <w:color w:val="000000" w:themeColor="text1"/>
                <w:szCs w:val="24"/>
              </w:rPr>
            </w:pPr>
          </w:p>
        </w:tc>
        <w:tc>
          <w:tcPr>
            <w:tcW w:w="600" w:type="pct"/>
            <w:vMerge w:val="restart"/>
            <w:tcBorders>
              <w:top w:val="single" w:sz="4" w:space="0" w:color="auto"/>
              <w:left w:val="nil"/>
              <w:right w:val="single" w:sz="4" w:space="0" w:color="auto"/>
            </w:tcBorders>
            <w:vAlign w:val="center"/>
          </w:tcPr>
          <w:p w14:paraId="122B530E" w14:textId="77777777" w:rsidR="00A67F21" w:rsidRPr="00B12FE0" w:rsidRDefault="00000000">
            <w:pPr>
              <w:jc w:val="center"/>
              <w:rPr>
                <w:color w:val="000000" w:themeColor="text1"/>
                <w:szCs w:val="24"/>
              </w:rPr>
            </w:pPr>
            <w:r w:rsidRPr="00B12FE0">
              <w:rPr>
                <w:color w:val="000000" w:themeColor="text1"/>
              </w:rPr>
              <w:t>非密封放射性物质</w:t>
            </w:r>
          </w:p>
        </w:tc>
        <w:tc>
          <w:tcPr>
            <w:tcW w:w="554" w:type="pct"/>
            <w:tcBorders>
              <w:top w:val="single" w:sz="4" w:space="0" w:color="auto"/>
              <w:left w:val="nil"/>
              <w:bottom w:val="single" w:sz="4" w:space="0" w:color="auto"/>
              <w:right w:val="single" w:sz="4" w:space="0" w:color="auto"/>
            </w:tcBorders>
            <w:vAlign w:val="center"/>
          </w:tcPr>
          <w:p w14:paraId="231DFDAE" w14:textId="77777777" w:rsidR="00A67F21" w:rsidRPr="00B12FE0" w:rsidRDefault="00000000">
            <w:pPr>
              <w:adjustRightInd w:val="0"/>
              <w:snapToGrid w:val="0"/>
              <w:jc w:val="center"/>
              <w:rPr>
                <w:color w:val="000000" w:themeColor="text1"/>
              </w:rPr>
            </w:pPr>
            <w:r w:rsidRPr="00B12FE0">
              <w:rPr>
                <w:rFonts w:ascii="Segoe UI Symbol" w:hAnsi="Segoe UI Symbol" w:cs="Segoe UI Symbol" w:hint="eastAsia"/>
                <w:color w:val="000000" w:themeColor="text1"/>
              </w:rPr>
              <w:t>☑</w:t>
            </w:r>
            <w:r w:rsidRPr="00B12FE0">
              <w:rPr>
                <w:color w:val="000000" w:themeColor="text1"/>
              </w:rPr>
              <w:t>生产</w:t>
            </w:r>
          </w:p>
        </w:tc>
        <w:tc>
          <w:tcPr>
            <w:tcW w:w="3397" w:type="pct"/>
            <w:gridSpan w:val="4"/>
            <w:tcBorders>
              <w:top w:val="single" w:sz="4" w:space="0" w:color="auto"/>
              <w:left w:val="nil"/>
              <w:bottom w:val="single" w:sz="4" w:space="0" w:color="auto"/>
              <w:right w:val="single" w:sz="4" w:space="0" w:color="auto"/>
            </w:tcBorders>
            <w:vAlign w:val="center"/>
          </w:tcPr>
          <w:p w14:paraId="5099BB86" w14:textId="77777777" w:rsidR="00A67F21" w:rsidRPr="00B12FE0" w:rsidRDefault="00000000">
            <w:pPr>
              <w:adjustRightInd w:val="0"/>
              <w:snapToGrid w:val="0"/>
              <w:jc w:val="center"/>
              <w:rPr>
                <w:color w:val="000000" w:themeColor="text1"/>
              </w:rPr>
            </w:pPr>
            <w:r w:rsidRPr="00B12FE0">
              <w:rPr>
                <w:rFonts w:ascii="Segoe UI Symbol" w:hAnsi="Segoe UI Symbol" w:cs="Segoe UI Symbol" w:hint="eastAsia"/>
                <w:color w:val="000000" w:themeColor="text1"/>
              </w:rPr>
              <w:t>☑</w:t>
            </w:r>
            <w:r w:rsidRPr="00B12FE0">
              <w:rPr>
                <w:color w:val="000000" w:themeColor="text1"/>
              </w:rPr>
              <w:t>制备</w:t>
            </w:r>
            <w:r w:rsidRPr="00B12FE0">
              <w:rPr>
                <w:color w:val="000000" w:themeColor="text1"/>
              </w:rPr>
              <w:t>PET</w:t>
            </w:r>
            <w:r w:rsidRPr="00B12FE0">
              <w:rPr>
                <w:color w:val="000000" w:themeColor="text1"/>
              </w:rPr>
              <w:t>用放射性药物</w:t>
            </w:r>
          </w:p>
        </w:tc>
      </w:tr>
      <w:tr w:rsidR="00A67F21" w:rsidRPr="00B12FE0" w14:paraId="66D2C8D6" w14:textId="77777777">
        <w:trPr>
          <w:trHeight w:val="493"/>
          <w:jc w:val="center"/>
        </w:trPr>
        <w:tc>
          <w:tcPr>
            <w:tcW w:w="449" w:type="pct"/>
            <w:vMerge/>
            <w:tcBorders>
              <w:left w:val="single" w:sz="4" w:space="0" w:color="auto"/>
              <w:right w:val="single" w:sz="4" w:space="0" w:color="auto"/>
            </w:tcBorders>
            <w:vAlign w:val="center"/>
          </w:tcPr>
          <w:p w14:paraId="28F9C8CA" w14:textId="77777777" w:rsidR="00A67F21" w:rsidRPr="00B12FE0" w:rsidRDefault="00A67F21">
            <w:pPr>
              <w:jc w:val="center"/>
              <w:rPr>
                <w:color w:val="000000" w:themeColor="text1"/>
                <w:szCs w:val="24"/>
              </w:rPr>
            </w:pPr>
          </w:p>
        </w:tc>
        <w:tc>
          <w:tcPr>
            <w:tcW w:w="600" w:type="pct"/>
            <w:vMerge/>
            <w:tcBorders>
              <w:left w:val="nil"/>
              <w:right w:val="single" w:sz="4" w:space="0" w:color="auto"/>
            </w:tcBorders>
            <w:vAlign w:val="center"/>
          </w:tcPr>
          <w:p w14:paraId="1198AA14" w14:textId="77777777" w:rsidR="00A67F21" w:rsidRPr="00B12FE0" w:rsidRDefault="00A67F21">
            <w:pPr>
              <w:jc w:val="center"/>
              <w:rPr>
                <w:color w:val="000000" w:themeColor="text1"/>
                <w:szCs w:val="24"/>
              </w:rPr>
            </w:pPr>
          </w:p>
        </w:tc>
        <w:tc>
          <w:tcPr>
            <w:tcW w:w="554" w:type="pct"/>
            <w:tcBorders>
              <w:top w:val="single" w:sz="4" w:space="0" w:color="auto"/>
              <w:left w:val="nil"/>
              <w:bottom w:val="single" w:sz="4" w:space="0" w:color="auto"/>
              <w:right w:val="single" w:sz="4" w:space="0" w:color="auto"/>
            </w:tcBorders>
            <w:vAlign w:val="center"/>
          </w:tcPr>
          <w:p w14:paraId="28C179B0" w14:textId="77777777" w:rsidR="00A67F21" w:rsidRPr="00B12FE0" w:rsidRDefault="00000000">
            <w:pPr>
              <w:adjustRightInd w:val="0"/>
              <w:snapToGrid w:val="0"/>
              <w:jc w:val="center"/>
              <w:rPr>
                <w:color w:val="000000" w:themeColor="text1"/>
              </w:rPr>
            </w:pPr>
            <w:r w:rsidRPr="00B12FE0">
              <w:rPr>
                <w:color w:val="000000" w:themeColor="text1"/>
              </w:rPr>
              <w:sym w:font="Wingdings 2" w:char="F0A3"/>
            </w:r>
            <w:r w:rsidRPr="00B12FE0">
              <w:rPr>
                <w:color w:val="000000" w:themeColor="text1"/>
              </w:rPr>
              <w:t>销售</w:t>
            </w:r>
          </w:p>
        </w:tc>
        <w:tc>
          <w:tcPr>
            <w:tcW w:w="3397" w:type="pct"/>
            <w:gridSpan w:val="4"/>
            <w:tcBorders>
              <w:top w:val="single" w:sz="4" w:space="0" w:color="auto"/>
              <w:left w:val="nil"/>
              <w:bottom w:val="single" w:sz="4" w:space="0" w:color="auto"/>
              <w:right w:val="single" w:sz="4" w:space="0" w:color="auto"/>
            </w:tcBorders>
            <w:vAlign w:val="center"/>
          </w:tcPr>
          <w:p w14:paraId="21662629" w14:textId="77777777" w:rsidR="00A67F21" w:rsidRPr="00B12FE0" w:rsidRDefault="00000000">
            <w:pPr>
              <w:adjustRightInd w:val="0"/>
              <w:snapToGrid w:val="0"/>
              <w:jc w:val="center"/>
              <w:rPr>
                <w:color w:val="000000" w:themeColor="text1"/>
              </w:rPr>
            </w:pPr>
            <w:r w:rsidRPr="00B12FE0">
              <w:rPr>
                <w:color w:val="000000" w:themeColor="text1"/>
              </w:rPr>
              <w:t>/</w:t>
            </w:r>
          </w:p>
        </w:tc>
      </w:tr>
      <w:tr w:rsidR="00A67F21" w:rsidRPr="00B12FE0" w14:paraId="0BDFF7FF" w14:textId="77777777">
        <w:trPr>
          <w:trHeight w:val="493"/>
          <w:jc w:val="center"/>
        </w:trPr>
        <w:tc>
          <w:tcPr>
            <w:tcW w:w="449" w:type="pct"/>
            <w:vMerge/>
            <w:tcBorders>
              <w:left w:val="single" w:sz="4" w:space="0" w:color="auto"/>
              <w:right w:val="single" w:sz="4" w:space="0" w:color="auto"/>
            </w:tcBorders>
            <w:vAlign w:val="center"/>
          </w:tcPr>
          <w:p w14:paraId="3F6FA0B2" w14:textId="77777777" w:rsidR="00A67F21" w:rsidRPr="00B12FE0" w:rsidRDefault="00A67F21">
            <w:pPr>
              <w:jc w:val="center"/>
              <w:rPr>
                <w:color w:val="000000" w:themeColor="text1"/>
                <w:szCs w:val="24"/>
              </w:rPr>
            </w:pPr>
          </w:p>
        </w:tc>
        <w:tc>
          <w:tcPr>
            <w:tcW w:w="600" w:type="pct"/>
            <w:vMerge/>
            <w:tcBorders>
              <w:left w:val="nil"/>
              <w:bottom w:val="single" w:sz="4" w:space="0" w:color="auto"/>
              <w:right w:val="single" w:sz="4" w:space="0" w:color="auto"/>
            </w:tcBorders>
            <w:vAlign w:val="center"/>
          </w:tcPr>
          <w:p w14:paraId="3874962B" w14:textId="77777777" w:rsidR="00A67F21" w:rsidRPr="00B12FE0" w:rsidRDefault="00A67F21">
            <w:pPr>
              <w:jc w:val="center"/>
              <w:rPr>
                <w:color w:val="000000" w:themeColor="text1"/>
                <w:szCs w:val="24"/>
              </w:rPr>
            </w:pPr>
          </w:p>
        </w:tc>
        <w:tc>
          <w:tcPr>
            <w:tcW w:w="554" w:type="pct"/>
            <w:tcBorders>
              <w:top w:val="single" w:sz="4" w:space="0" w:color="auto"/>
              <w:left w:val="nil"/>
              <w:bottom w:val="single" w:sz="4" w:space="0" w:color="auto"/>
              <w:right w:val="single" w:sz="4" w:space="0" w:color="auto"/>
            </w:tcBorders>
            <w:vAlign w:val="center"/>
          </w:tcPr>
          <w:p w14:paraId="6BB1D0BA" w14:textId="77777777" w:rsidR="00A67F21" w:rsidRPr="00B12FE0" w:rsidRDefault="00000000">
            <w:pPr>
              <w:adjustRightInd w:val="0"/>
              <w:snapToGrid w:val="0"/>
              <w:jc w:val="center"/>
              <w:rPr>
                <w:color w:val="000000" w:themeColor="text1"/>
              </w:rPr>
            </w:pPr>
            <w:r w:rsidRPr="00B12FE0">
              <w:rPr>
                <w:rFonts w:ascii="Segoe UI Symbol" w:hAnsi="Segoe UI Symbol" w:cs="Segoe UI Symbol" w:hint="eastAsia"/>
                <w:color w:val="000000" w:themeColor="text1"/>
              </w:rPr>
              <w:t>☑</w:t>
            </w:r>
            <w:r w:rsidRPr="00B12FE0">
              <w:rPr>
                <w:color w:val="000000" w:themeColor="text1"/>
              </w:rPr>
              <w:t>使用</w:t>
            </w:r>
          </w:p>
        </w:tc>
        <w:tc>
          <w:tcPr>
            <w:tcW w:w="3397" w:type="pct"/>
            <w:gridSpan w:val="4"/>
            <w:tcBorders>
              <w:top w:val="single" w:sz="4" w:space="0" w:color="auto"/>
              <w:left w:val="nil"/>
              <w:bottom w:val="single" w:sz="4" w:space="0" w:color="auto"/>
              <w:right w:val="single" w:sz="4" w:space="0" w:color="auto"/>
            </w:tcBorders>
            <w:vAlign w:val="center"/>
          </w:tcPr>
          <w:p w14:paraId="1FA158FF" w14:textId="77777777" w:rsidR="00A67F21" w:rsidRPr="00B12FE0" w:rsidRDefault="00000000">
            <w:pPr>
              <w:adjustRightInd w:val="0"/>
              <w:snapToGrid w:val="0"/>
              <w:jc w:val="center"/>
              <w:rPr>
                <w:color w:val="000000" w:themeColor="text1"/>
              </w:rPr>
            </w:pPr>
            <w:r w:rsidRPr="00B12FE0">
              <w:rPr>
                <w:rFonts w:ascii="Segoe UI Symbol" w:hAnsi="Segoe UI Symbol" w:cs="Segoe UI Symbol" w:hint="eastAsia"/>
                <w:color w:val="000000" w:themeColor="text1"/>
              </w:rPr>
              <w:t>☑</w:t>
            </w:r>
            <w:r w:rsidRPr="00B12FE0">
              <w:rPr>
                <w:color w:val="000000" w:themeColor="text1"/>
              </w:rPr>
              <w:t>乙</w:t>
            </w:r>
            <w:r w:rsidRPr="00B12FE0">
              <w:rPr>
                <w:color w:val="000000" w:themeColor="text1"/>
              </w:rPr>
              <w:t xml:space="preserve"> </w:t>
            </w:r>
            <w:r w:rsidRPr="00B12FE0">
              <w:rPr>
                <w:color w:val="000000" w:themeColor="text1"/>
              </w:rPr>
              <w:sym w:font="Wingdings 2" w:char="F0A3"/>
            </w:r>
            <w:r w:rsidRPr="00B12FE0">
              <w:rPr>
                <w:color w:val="000000" w:themeColor="text1"/>
              </w:rPr>
              <w:t>丙</w:t>
            </w:r>
          </w:p>
        </w:tc>
      </w:tr>
      <w:tr w:rsidR="00A67F21" w:rsidRPr="00B12FE0" w14:paraId="6707E69B" w14:textId="77777777">
        <w:trPr>
          <w:trHeight w:val="493"/>
          <w:jc w:val="center"/>
        </w:trPr>
        <w:tc>
          <w:tcPr>
            <w:tcW w:w="449" w:type="pct"/>
            <w:vMerge/>
            <w:tcBorders>
              <w:left w:val="single" w:sz="4" w:space="0" w:color="auto"/>
              <w:right w:val="single" w:sz="4" w:space="0" w:color="auto"/>
            </w:tcBorders>
            <w:vAlign w:val="center"/>
          </w:tcPr>
          <w:p w14:paraId="2A399E72" w14:textId="77777777" w:rsidR="00A67F21" w:rsidRPr="00B12FE0" w:rsidRDefault="00A67F21">
            <w:pPr>
              <w:jc w:val="center"/>
              <w:rPr>
                <w:color w:val="000000" w:themeColor="text1"/>
                <w:szCs w:val="24"/>
              </w:rPr>
            </w:pPr>
          </w:p>
        </w:tc>
        <w:tc>
          <w:tcPr>
            <w:tcW w:w="600" w:type="pct"/>
            <w:vMerge w:val="restart"/>
            <w:tcBorders>
              <w:top w:val="single" w:sz="4" w:space="0" w:color="auto"/>
              <w:left w:val="nil"/>
              <w:right w:val="single" w:sz="4" w:space="0" w:color="auto"/>
            </w:tcBorders>
            <w:vAlign w:val="center"/>
          </w:tcPr>
          <w:p w14:paraId="7F8046B7" w14:textId="77777777" w:rsidR="00A67F21" w:rsidRPr="00B12FE0" w:rsidRDefault="00000000">
            <w:pPr>
              <w:jc w:val="center"/>
              <w:rPr>
                <w:color w:val="000000" w:themeColor="text1"/>
                <w:szCs w:val="24"/>
              </w:rPr>
            </w:pPr>
            <w:r w:rsidRPr="00B12FE0">
              <w:rPr>
                <w:color w:val="000000" w:themeColor="text1"/>
              </w:rPr>
              <w:t>射线装置</w:t>
            </w:r>
          </w:p>
        </w:tc>
        <w:tc>
          <w:tcPr>
            <w:tcW w:w="554" w:type="pct"/>
            <w:tcBorders>
              <w:top w:val="single" w:sz="4" w:space="0" w:color="auto"/>
              <w:left w:val="nil"/>
              <w:bottom w:val="single" w:sz="4" w:space="0" w:color="auto"/>
              <w:right w:val="single" w:sz="4" w:space="0" w:color="auto"/>
            </w:tcBorders>
            <w:vAlign w:val="center"/>
          </w:tcPr>
          <w:p w14:paraId="7725C95F" w14:textId="77777777" w:rsidR="00A67F21" w:rsidRPr="00B12FE0" w:rsidRDefault="00000000">
            <w:pPr>
              <w:adjustRightInd w:val="0"/>
              <w:snapToGrid w:val="0"/>
              <w:jc w:val="center"/>
              <w:rPr>
                <w:color w:val="000000" w:themeColor="text1"/>
              </w:rPr>
            </w:pPr>
            <w:r w:rsidRPr="00B12FE0">
              <w:rPr>
                <w:color w:val="000000" w:themeColor="text1"/>
              </w:rPr>
              <w:sym w:font="Wingdings 2" w:char="F0A3"/>
            </w:r>
            <w:r w:rsidRPr="00B12FE0">
              <w:rPr>
                <w:color w:val="000000" w:themeColor="text1"/>
              </w:rPr>
              <w:t>生产</w:t>
            </w:r>
          </w:p>
        </w:tc>
        <w:tc>
          <w:tcPr>
            <w:tcW w:w="3397" w:type="pct"/>
            <w:gridSpan w:val="4"/>
            <w:tcBorders>
              <w:top w:val="single" w:sz="4" w:space="0" w:color="auto"/>
              <w:left w:val="nil"/>
              <w:bottom w:val="single" w:sz="4" w:space="0" w:color="auto"/>
              <w:right w:val="single" w:sz="4" w:space="0" w:color="auto"/>
            </w:tcBorders>
            <w:vAlign w:val="center"/>
          </w:tcPr>
          <w:p w14:paraId="7FAB3B1E" w14:textId="77777777" w:rsidR="00A67F21" w:rsidRPr="00B12FE0" w:rsidRDefault="00000000">
            <w:pPr>
              <w:adjustRightInd w:val="0"/>
              <w:snapToGrid w:val="0"/>
              <w:jc w:val="center"/>
              <w:rPr>
                <w:color w:val="000000" w:themeColor="text1"/>
              </w:rPr>
            </w:pPr>
            <w:r w:rsidRPr="00B12FE0">
              <w:rPr>
                <w:rFonts w:ascii="宋体" w:hAnsi="宋体"/>
                <w:color w:val="000000" w:themeColor="text1"/>
              </w:rPr>
              <w:t>□</w:t>
            </w:r>
            <w:r w:rsidRPr="00B12FE0">
              <w:rPr>
                <w:color w:val="000000" w:themeColor="text1"/>
              </w:rPr>
              <w:t>Ⅱ</w:t>
            </w:r>
            <w:r w:rsidRPr="00B12FE0">
              <w:rPr>
                <w:color w:val="000000" w:themeColor="text1"/>
              </w:rPr>
              <w:t>类</w:t>
            </w:r>
            <w:r w:rsidRPr="00B12FE0">
              <w:rPr>
                <w:color w:val="000000" w:themeColor="text1"/>
              </w:rPr>
              <w:t xml:space="preserve"> </w:t>
            </w:r>
            <w:r w:rsidRPr="00B12FE0">
              <w:rPr>
                <w:rFonts w:ascii="宋体" w:hAnsi="宋体"/>
                <w:color w:val="000000" w:themeColor="text1"/>
              </w:rPr>
              <w:t>□</w:t>
            </w:r>
            <w:r w:rsidRPr="00B12FE0">
              <w:rPr>
                <w:color w:val="000000" w:themeColor="text1"/>
              </w:rPr>
              <w:t>Ⅲ</w:t>
            </w:r>
            <w:r w:rsidRPr="00B12FE0">
              <w:rPr>
                <w:color w:val="000000" w:themeColor="text1"/>
              </w:rPr>
              <w:t>类</w:t>
            </w:r>
          </w:p>
        </w:tc>
      </w:tr>
      <w:tr w:rsidR="00A67F21" w:rsidRPr="00B12FE0" w14:paraId="40E92FCD" w14:textId="77777777">
        <w:trPr>
          <w:trHeight w:val="493"/>
          <w:jc w:val="center"/>
        </w:trPr>
        <w:tc>
          <w:tcPr>
            <w:tcW w:w="449" w:type="pct"/>
            <w:vMerge/>
            <w:tcBorders>
              <w:left w:val="single" w:sz="4" w:space="0" w:color="auto"/>
              <w:right w:val="single" w:sz="4" w:space="0" w:color="auto"/>
            </w:tcBorders>
            <w:vAlign w:val="center"/>
          </w:tcPr>
          <w:p w14:paraId="3526BA20" w14:textId="77777777" w:rsidR="00A67F21" w:rsidRPr="00B12FE0" w:rsidRDefault="00A67F21">
            <w:pPr>
              <w:jc w:val="center"/>
              <w:rPr>
                <w:color w:val="000000" w:themeColor="text1"/>
                <w:szCs w:val="24"/>
              </w:rPr>
            </w:pPr>
          </w:p>
        </w:tc>
        <w:tc>
          <w:tcPr>
            <w:tcW w:w="600" w:type="pct"/>
            <w:vMerge/>
            <w:tcBorders>
              <w:left w:val="nil"/>
              <w:right w:val="single" w:sz="4" w:space="0" w:color="auto"/>
            </w:tcBorders>
            <w:vAlign w:val="center"/>
          </w:tcPr>
          <w:p w14:paraId="29BF3418" w14:textId="77777777" w:rsidR="00A67F21" w:rsidRPr="00B12FE0" w:rsidRDefault="00A67F21">
            <w:pPr>
              <w:jc w:val="center"/>
              <w:rPr>
                <w:color w:val="000000" w:themeColor="text1"/>
                <w:szCs w:val="24"/>
              </w:rPr>
            </w:pPr>
          </w:p>
        </w:tc>
        <w:tc>
          <w:tcPr>
            <w:tcW w:w="554" w:type="pct"/>
            <w:tcBorders>
              <w:top w:val="single" w:sz="4" w:space="0" w:color="auto"/>
              <w:left w:val="nil"/>
              <w:bottom w:val="single" w:sz="4" w:space="0" w:color="auto"/>
              <w:right w:val="single" w:sz="4" w:space="0" w:color="auto"/>
            </w:tcBorders>
            <w:vAlign w:val="center"/>
          </w:tcPr>
          <w:p w14:paraId="273E47B9" w14:textId="77777777" w:rsidR="00A67F21" w:rsidRPr="00B12FE0" w:rsidRDefault="00000000">
            <w:pPr>
              <w:adjustRightInd w:val="0"/>
              <w:snapToGrid w:val="0"/>
              <w:jc w:val="center"/>
              <w:rPr>
                <w:color w:val="000000" w:themeColor="text1"/>
              </w:rPr>
            </w:pPr>
            <w:r w:rsidRPr="00B12FE0">
              <w:rPr>
                <w:color w:val="000000" w:themeColor="text1"/>
              </w:rPr>
              <w:sym w:font="Wingdings 2" w:char="F0A3"/>
            </w:r>
            <w:r w:rsidRPr="00B12FE0">
              <w:rPr>
                <w:color w:val="000000" w:themeColor="text1"/>
              </w:rPr>
              <w:t>销售</w:t>
            </w:r>
          </w:p>
        </w:tc>
        <w:tc>
          <w:tcPr>
            <w:tcW w:w="3397" w:type="pct"/>
            <w:gridSpan w:val="4"/>
            <w:tcBorders>
              <w:top w:val="single" w:sz="4" w:space="0" w:color="auto"/>
              <w:left w:val="nil"/>
              <w:bottom w:val="single" w:sz="4" w:space="0" w:color="auto"/>
              <w:right w:val="single" w:sz="4" w:space="0" w:color="auto"/>
            </w:tcBorders>
            <w:vAlign w:val="center"/>
          </w:tcPr>
          <w:p w14:paraId="1B52573B" w14:textId="77777777" w:rsidR="00A67F21" w:rsidRPr="00B12FE0" w:rsidRDefault="00000000">
            <w:pPr>
              <w:adjustRightInd w:val="0"/>
              <w:snapToGrid w:val="0"/>
              <w:jc w:val="center"/>
              <w:rPr>
                <w:color w:val="000000" w:themeColor="text1"/>
              </w:rPr>
            </w:pPr>
            <w:r w:rsidRPr="00B12FE0">
              <w:rPr>
                <w:rFonts w:ascii="宋体" w:hAnsi="宋体"/>
                <w:color w:val="000000" w:themeColor="text1"/>
              </w:rPr>
              <w:t>□</w:t>
            </w:r>
            <w:r w:rsidRPr="00B12FE0">
              <w:rPr>
                <w:color w:val="000000" w:themeColor="text1"/>
              </w:rPr>
              <w:t>Ⅱ</w:t>
            </w:r>
            <w:r w:rsidRPr="00B12FE0">
              <w:rPr>
                <w:color w:val="000000" w:themeColor="text1"/>
              </w:rPr>
              <w:t>类</w:t>
            </w:r>
            <w:r w:rsidRPr="00B12FE0">
              <w:rPr>
                <w:color w:val="000000" w:themeColor="text1"/>
              </w:rPr>
              <w:t xml:space="preserve"> </w:t>
            </w:r>
            <w:r w:rsidRPr="00B12FE0">
              <w:rPr>
                <w:rFonts w:ascii="宋体" w:hAnsi="宋体"/>
                <w:color w:val="000000" w:themeColor="text1"/>
              </w:rPr>
              <w:t>□</w:t>
            </w:r>
            <w:r w:rsidRPr="00B12FE0">
              <w:rPr>
                <w:color w:val="000000" w:themeColor="text1"/>
              </w:rPr>
              <w:t>Ⅲ</w:t>
            </w:r>
            <w:r w:rsidRPr="00B12FE0">
              <w:rPr>
                <w:color w:val="000000" w:themeColor="text1"/>
              </w:rPr>
              <w:t>类</w:t>
            </w:r>
          </w:p>
        </w:tc>
      </w:tr>
      <w:tr w:rsidR="00A67F21" w:rsidRPr="00B12FE0" w14:paraId="6F23A95C" w14:textId="77777777">
        <w:trPr>
          <w:trHeight w:val="493"/>
          <w:jc w:val="center"/>
        </w:trPr>
        <w:tc>
          <w:tcPr>
            <w:tcW w:w="449" w:type="pct"/>
            <w:vMerge/>
            <w:tcBorders>
              <w:left w:val="single" w:sz="4" w:space="0" w:color="auto"/>
              <w:right w:val="single" w:sz="4" w:space="0" w:color="auto"/>
            </w:tcBorders>
            <w:vAlign w:val="center"/>
          </w:tcPr>
          <w:p w14:paraId="4CDB9C3F" w14:textId="77777777" w:rsidR="00A67F21" w:rsidRPr="00B12FE0" w:rsidRDefault="00A67F21">
            <w:pPr>
              <w:jc w:val="center"/>
              <w:rPr>
                <w:color w:val="000000" w:themeColor="text1"/>
                <w:szCs w:val="24"/>
              </w:rPr>
            </w:pPr>
          </w:p>
        </w:tc>
        <w:tc>
          <w:tcPr>
            <w:tcW w:w="600" w:type="pct"/>
            <w:vMerge/>
            <w:tcBorders>
              <w:left w:val="nil"/>
              <w:bottom w:val="single" w:sz="4" w:space="0" w:color="auto"/>
              <w:right w:val="single" w:sz="4" w:space="0" w:color="auto"/>
            </w:tcBorders>
            <w:vAlign w:val="center"/>
          </w:tcPr>
          <w:p w14:paraId="2005EF63" w14:textId="77777777" w:rsidR="00A67F21" w:rsidRPr="00B12FE0" w:rsidRDefault="00A67F21">
            <w:pPr>
              <w:jc w:val="center"/>
              <w:rPr>
                <w:color w:val="000000" w:themeColor="text1"/>
                <w:szCs w:val="24"/>
              </w:rPr>
            </w:pPr>
          </w:p>
        </w:tc>
        <w:tc>
          <w:tcPr>
            <w:tcW w:w="554" w:type="pct"/>
            <w:tcBorders>
              <w:top w:val="single" w:sz="4" w:space="0" w:color="auto"/>
              <w:left w:val="nil"/>
              <w:bottom w:val="single" w:sz="4" w:space="0" w:color="auto"/>
              <w:right w:val="single" w:sz="4" w:space="0" w:color="auto"/>
            </w:tcBorders>
            <w:vAlign w:val="center"/>
          </w:tcPr>
          <w:p w14:paraId="1EBD5BEB" w14:textId="77777777" w:rsidR="00A67F21" w:rsidRPr="00B12FE0" w:rsidRDefault="00000000">
            <w:pPr>
              <w:adjustRightInd w:val="0"/>
              <w:snapToGrid w:val="0"/>
              <w:jc w:val="center"/>
              <w:rPr>
                <w:color w:val="000000" w:themeColor="text1"/>
              </w:rPr>
            </w:pPr>
            <w:r w:rsidRPr="00B12FE0">
              <w:rPr>
                <w:rFonts w:ascii="Segoe UI Symbol" w:hAnsi="Segoe UI Symbol" w:cs="Segoe UI Symbol" w:hint="eastAsia"/>
                <w:color w:val="000000" w:themeColor="text1"/>
              </w:rPr>
              <w:t>☑</w:t>
            </w:r>
            <w:r w:rsidRPr="00B12FE0">
              <w:rPr>
                <w:color w:val="000000" w:themeColor="text1"/>
              </w:rPr>
              <w:t>使用</w:t>
            </w:r>
          </w:p>
        </w:tc>
        <w:tc>
          <w:tcPr>
            <w:tcW w:w="3397" w:type="pct"/>
            <w:gridSpan w:val="4"/>
            <w:tcBorders>
              <w:top w:val="single" w:sz="4" w:space="0" w:color="auto"/>
              <w:left w:val="nil"/>
              <w:bottom w:val="single" w:sz="4" w:space="0" w:color="auto"/>
              <w:right w:val="single" w:sz="4" w:space="0" w:color="auto"/>
            </w:tcBorders>
            <w:vAlign w:val="center"/>
          </w:tcPr>
          <w:p w14:paraId="617C0DA0" w14:textId="77777777" w:rsidR="00A67F21" w:rsidRPr="00B12FE0" w:rsidRDefault="00000000">
            <w:pPr>
              <w:adjustRightInd w:val="0"/>
              <w:snapToGrid w:val="0"/>
              <w:jc w:val="center"/>
              <w:rPr>
                <w:color w:val="000000" w:themeColor="text1"/>
              </w:rPr>
            </w:pPr>
            <w:r w:rsidRPr="00B12FE0">
              <w:rPr>
                <w:rFonts w:ascii="Segoe UI Symbol" w:hAnsi="Segoe UI Symbol" w:cs="Segoe UI Symbol" w:hint="eastAsia"/>
                <w:color w:val="000000" w:themeColor="text1"/>
              </w:rPr>
              <w:t>☑</w:t>
            </w:r>
            <w:r w:rsidRPr="00B12FE0">
              <w:rPr>
                <w:color w:val="000000" w:themeColor="text1"/>
              </w:rPr>
              <w:t>Ⅱ</w:t>
            </w:r>
            <w:r w:rsidRPr="00B12FE0">
              <w:rPr>
                <w:color w:val="000000" w:themeColor="text1"/>
              </w:rPr>
              <w:t>类</w:t>
            </w:r>
            <w:r w:rsidRPr="00B12FE0">
              <w:rPr>
                <w:color w:val="000000" w:themeColor="text1"/>
              </w:rPr>
              <w:t xml:space="preserve"> </w:t>
            </w:r>
            <w:r w:rsidRPr="00B12FE0">
              <w:rPr>
                <w:rFonts w:ascii="Segoe UI Symbol" w:hAnsi="Segoe UI Symbol" w:cs="Segoe UI Symbol" w:hint="eastAsia"/>
                <w:color w:val="000000" w:themeColor="text1"/>
              </w:rPr>
              <w:t>☑</w:t>
            </w:r>
            <w:r w:rsidRPr="00B12FE0">
              <w:rPr>
                <w:color w:val="000000" w:themeColor="text1"/>
              </w:rPr>
              <w:t>Ⅲ</w:t>
            </w:r>
            <w:r w:rsidRPr="00B12FE0">
              <w:rPr>
                <w:color w:val="000000" w:themeColor="text1"/>
              </w:rPr>
              <w:t>类</w:t>
            </w:r>
          </w:p>
        </w:tc>
      </w:tr>
      <w:tr w:rsidR="00A67F21" w:rsidRPr="00B12FE0" w14:paraId="2AD70818" w14:textId="77777777">
        <w:trPr>
          <w:trHeight w:val="493"/>
          <w:jc w:val="center"/>
        </w:trPr>
        <w:tc>
          <w:tcPr>
            <w:tcW w:w="449" w:type="pct"/>
            <w:vMerge/>
            <w:tcBorders>
              <w:left w:val="single" w:sz="4" w:space="0" w:color="auto"/>
              <w:right w:val="single" w:sz="4" w:space="0" w:color="auto"/>
            </w:tcBorders>
            <w:vAlign w:val="center"/>
          </w:tcPr>
          <w:p w14:paraId="46252063" w14:textId="77777777" w:rsidR="00A67F21" w:rsidRPr="00B12FE0" w:rsidRDefault="00A67F21">
            <w:pPr>
              <w:jc w:val="center"/>
              <w:rPr>
                <w:color w:val="000000" w:themeColor="text1"/>
                <w:szCs w:val="24"/>
              </w:rPr>
            </w:pPr>
          </w:p>
        </w:tc>
        <w:tc>
          <w:tcPr>
            <w:tcW w:w="600" w:type="pct"/>
            <w:tcBorders>
              <w:top w:val="single" w:sz="4" w:space="0" w:color="auto"/>
              <w:left w:val="nil"/>
              <w:bottom w:val="single" w:sz="4" w:space="0" w:color="auto"/>
              <w:right w:val="single" w:sz="4" w:space="0" w:color="auto"/>
            </w:tcBorders>
            <w:vAlign w:val="center"/>
          </w:tcPr>
          <w:p w14:paraId="19585A72" w14:textId="77777777" w:rsidR="00A67F21" w:rsidRPr="00B12FE0" w:rsidRDefault="00000000">
            <w:pPr>
              <w:jc w:val="center"/>
              <w:rPr>
                <w:color w:val="000000" w:themeColor="text1"/>
                <w:szCs w:val="24"/>
              </w:rPr>
            </w:pPr>
            <w:r w:rsidRPr="00B12FE0">
              <w:rPr>
                <w:color w:val="000000" w:themeColor="text1"/>
              </w:rPr>
              <w:t>其他</w:t>
            </w:r>
          </w:p>
        </w:tc>
        <w:tc>
          <w:tcPr>
            <w:tcW w:w="3951" w:type="pct"/>
            <w:gridSpan w:val="5"/>
            <w:tcBorders>
              <w:top w:val="single" w:sz="4" w:space="0" w:color="auto"/>
              <w:left w:val="nil"/>
              <w:bottom w:val="single" w:sz="4" w:space="0" w:color="auto"/>
              <w:right w:val="single" w:sz="4" w:space="0" w:color="auto"/>
            </w:tcBorders>
            <w:vAlign w:val="center"/>
          </w:tcPr>
          <w:p w14:paraId="6D929124" w14:textId="77777777" w:rsidR="00A67F21" w:rsidRPr="00B12FE0" w:rsidRDefault="00000000">
            <w:pPr>
              <w:jc w:val="center"/>
              <w:rPr>
                <w:color w:val="000000" w:themeColor="text1"/>
                <w:szCs w:val="24"/>
              </w:rPr>
            </w:pPr>
            <w:r w:rsidRPr="00B12FE0">
              <w:rPr>
                <w:color w:val="000000" w:themeColor="text1"/>
              </w:rPr>
              <w:t>/</w:t>
            </w:r>
          </w:p>
        </w:tc>
      </w:tr>
      <w:tr w:rsidR="00A67F21" w:rsidRPr="00B12FE0" w14:paraId="3D220DC1" w14:textId="77777777">
        <w:trPr>
          <w:trHeight w:val="493"/>
          <w:jc w:val="center"/>
        </w:trPr>
        <w:tc>
          <w:tcPr>
            <w:tcW w:w="5000" w:type="pct"/>
            <w:gridSpan w:val="7"/>
            <w:tcBorders>
              <w:left w:val="single" w:sz="4" w:space="0" w:color="auto"/>
              <w:bottom w:val="single" w:sz="4" w:space="0" w:color="auto"/>
              <w:right w:val="single" w:sz="4" w:space="0" w:color="auto"/>
            </w:tcBorders>
            <w:vAlign w:val="center"/>
          </w:tcPr>
          <w:p w14:paraId="165E377F" w14:textId="77777777" w:rsidR="00A67F21" w:rsidRPr="00B12FE0" w:rsidRDefault="00000000">
            <w:pPr>
              <w:snapToGrid w:val="0"/>
              <w:spacing w:beforeLines="50" w:before="120" w:line="360" w:lineRule="auto"/>
              <w:outlineLvl w:val="1"/>
              <w:rPr>
                <w:b/>
                <w:bCs/>
                <w:color w:val="000000" w:themeColor="text1"/>
                <w:sz w:val="28"/>
                <w:szCs w:val="28"/>
              </w:rPr>
            </w:pPr>
            <w:r w:rsidRPr="00B12FE0">
              <w:rPr>
                <w:b/>
                <w:bCs/>
                <w:color w:val="000000" w:themeColor="text1"/>
                <w:sz w:val="28"/>
                <w:szCs w:val="28"/>
              </w:rPr>
              <w:t>1.1</w:t>
            </w:r>
            <w:r w:rsidRPr="00B12FE0">
              <w:rPr>
                <w:b/>
                <w:bCs/>
                <w:color w:val="000000" w:themeColor="text1"/>
                <w:sz w:val="28"/>
                <w:szCs w:val="28"/>
              </w:rPr>
              <w:t>项目概述</w:t>
            </w:r>
          </w:p>
          <w:p w14:paraId="3783AE25" w14:textId="77777777" w:rsidR="00A67F21" w:rsidRPr="00B12FE0" w:rsidRDefault="00000000">
            <w:pPr>
              <w:snapToGrid w:val="0"/>
              <w:spacing w:line="360" w:lineRule="auto"/>
              <w:contextualSpacing/>
              <w:outlineLvl w:val="2"/>
              <w:rPr>
                <w:b/>
                <w:bCs/>
                <w:color w:val="000000" w:themeColor="text1"/>
                <w:szCs w:val="24"/>
              </w:rPr>
            </w:pPr>
            <w:r w:rsidRPr="00B12FE0">
              <w:rPr>
                <w:b/>
                <w:bCs/>
                <w:color w:val="000000" w:themeColor="text1"/>
                <w:szCs w:val="24"/>
              </w:rPr>
              <w:t>1.1.1</w:t>
            </w:r>
            <w:r w:rsidRPr="00B12FE0">
              <w:rPr>
                <w:b/>
                <w:bCs/>
                <w:color w:val="000000" w:themeColor="text1"/>
                <w:szCs w:val="24"/>
              </w:rPr>
              <w:t>建设单位</w:t>
            </w:r>
            <w:r w:rsidRPr="00B12FE0">
              <w:rPr>
                <w:rFonts w:hint="eastAsia"/>
                <w:b/>
                <w:bCs/>
                <w:color w:val="000000" w:themeColor="text1"/>
                <w:szCs w:val="24"/>
              </w:rPr>
              <w:t>情况</w:t>
            </w:r>
          </w:p>
          <w:p w14:paraId="51BCA552" w14:textId="77777777" w:rsidR="00A67F21" w:rsidRPr="00B12FE0" w:rsidRDefault="00000000">
            <w:pPr>
              <w:autoSpaceDE w:val="0"/>
              <w:autoSpaceDN w:val="0"/>
              <w:adjustRightInd w:val="0"/>
              <w:snapToGrid w:val="0"/>
              <w:spacing w:line="360" w:lineRule="auto"/>
              <w:ind w:firstLineChars="200" w:firstLine="480"/>
              <w:rPr>
                <w:snapToGrid w:val="0"/>
                <w:color w:val="000000" w:themeColor="text1"/>
                <w:szCs w:val="24"/>
              </w:rPr>
            </w:pPr>
            <w:bookmarkStart w:id="4" w:name="OLE_LINK1"/>
            <w:r w:rsidRPr="00B12FE0">
              <w:rPr>
                <w:rFonts w:hint="eastAsia"/>
                <w:snapToGrid w:val="0"/>
                <w:color w:val="000000" w:themeColor="text1"/>
                <w:szCs w:val="24"/>
              </w:rPr>
              <w:t>浙江大学医学院附属邵逸夫医院新疆兵团阿拉尔医院</w:t>
            </w:r>
            <w:bookmarkEnd w:id="4"/>
            <w:r w:rsidRPr="00B12FE0">
              <w:rPr>
                <w:rFonts w:hint="eastAsia"/>
                <w:snapToGrid w:val="0"/>
                <w:color w:val="000000" w:themeColor="text1"/>
                <w:szCs w:val="24"/>
              </w:rPr>
              <w:t>（以下简称“医院”）位于新疆阿拉尔市胜利大道西</w:t>
            </w:r>
            <w:r w:rsidRPr="00B12FE0">
              <w:rPr>
                <w:rFonts w:hint="eastAsia"/>
                <w:snapToGrid w:val="0"/>
                <w:color w:val="000000" w:themeColor="text1"/>
                <w:szCs w:val="24"/>
              </w:rPr>
              <w:t>1155</w:t>
            </w:r>
            <w:r w:rsidRPr="00B12FE0">
              <w:rPr>
                <w:rFonts w:hint="eastAsia"/>
                <w:snapToGrid w:val="0"/>
                <w:color w:val="000000" w:themeColor="text1"/>
                <w:szCs w:val="24"/>
              </w:rPr>
              <w:t>号，始建于</w:t>
            </w:r>
            <w:r w:rsidRPr="00B12FE0">
              <w:rPr>
                <w:rFonts w:hint="eastAsia"/>
                <w:snapToGrid w:val="0"/>
                <w:color w:val="000000" w:themeColor="text1"/>
                <w:szCs w:val="24"/>
              </w:rPr>
              <w:t>1958</w:t>
            </w:r>
            <w:r w:rsidRPr="00B12FE0">
              <w:rPr>
                <w:rFonts w:hint="eastAsia"/>
                <w:snapToGrid w:val="0"/>
                <w:color w:val="000000" w:themeColor="text1"/>
                <w:szCs w:val="24"/>
              </w:rPr>
              <w:t>年，是兵团第一师阿拉尔市唯一</w:t>
            </w:r>
            <w:proofErr w:type="gramStart"/>
            <w:r w:rsidRPr="00B12FE0">
              <w:rPr>
                <w:rFonts w:hint="eastAsia"/>
                <w:snapToGrid w:val="0"/>
                <w:color w:val="000000" w:themeColor="text1"/>
                <w:szCs w:val="24"/>
              </w:rPr>
              <w:t>一</w:t>
            </w:r>
            <w:proofErr w:type="gramEnd"/>
            <w:r w:rsidRPr="00B12FE0">
              <w:rPr>
                <w:rFonts w:hint="eastAsia"/>
                <w:snapToGrid w:val="0"/>
                <w:color w:val="000000" w:themeColor="text1"/>
                <w:szCs w:val="24"/>
              </w:rPr>
              <w:t>所集医疗、保健、预防、康复、急救为一体的三级甲等综合医院，系台州“组团式”医疗</w:t>
            </w:r>
            <w:proofErr w:type="gramStart"/>
            <w:r w:rsidRPr="00B12FE0">
              <w:rPr>
                <w:rFonts w:hint="eastAsia"/>
                <w:snapToGrid w:val="0"/>
                <w:color w:val="000000" w:themeColor="text1"/>
                <w:szCs w:val="24"/>
              </w:rPr>
              <w:t>对口援疆单位</w:t>
            </w:r>
            <w:proofErr w:type="gramEnd"/>
            <w:r w:rsidRPr="00B12FE0">
              <w:rPr>
                <w:rFonts w:hint="eastAsia"/>
                <w:snapToGrid w:val="0"/>
                <w:color w:val="000000" w:themeColor="text1"/>
                <w:szCs w:val="24"/>
              </w:rPr>
              <w:t>、塔里木大学医学院第二附属医院。</w:t>
            </w:r>
          </w:p>
          <w:p w14:paraId="4D1F197F" w14:textId="77777777" w:rsidR="00A67F21" w:rsidRPr="00B12FE0" w:rsidRDefault="00000000">
            <w:pPr>
              <w:autoSpaceDE w:val="0"/>
              <w:autoSpaceDN w:val="0"/>
              <w:adjustRightInd w:val="0"/>
              <w:snapToGrid w:val="0"/>
              <w:spacing w:line="360" w:lineRule="auto"/>
              <w:ind w:firstLineChars="200" w:firstLine="480"/>
              <w:rPr>
                <w:color w:val="000000" w:themeColor="text1"/>
              </w:rPr>
            </w:pPr>
            <w:r w:rsidRPr="00B12FE0">
              <w:rPr>
                <w:rFonts w:hint="eastAsia"/>
                <w:snapToGrid w:val="0"/>
                <w:color w:val="000000" w:themeColor="text1"/>
                <w:szCs w:val="24"/>
              </w:rPr>
              <w:t>医院现有职工</w:t>
            </w:r>
            <w:r w:rsidRPr="00B12FE0">
              <w:rPr>
                <w:rFonts w:hint="eastAsia"/>
                <w:snapToGrid w:val="0"/>
                <w:color w:val="000000" w:themeColor="text1"/>
                <w:szCs w:val="24"/>
              </w:rPr>
              <w:t>1083</w:t>
            </w:r>
            <w:r w:rsidRPr="00B12FE0">
              <w:rPr>
                <w:rFonts w:hint="eastAsia"/>
                <w:snapToGrid w:val="0"/>
                <w:color w:val="000000" w:themeColor="text1"/>
                <w:szCs w:val="24"/>
              </w:rPr>
              <w:t>人，浙大邵逸夫医院常驻专家</w:t>
            </w:r>
            <w:r w:rsidRPr="00B12FE0">
              <w:rPr>
                <w:rFonts w:hint="eastAsia"/>
                <w:snapToGrid w:val="0"/>
                <w:color w:val="000000" w:themeColor="text1"/>
                <w:szCs w:val="24"/>
              </w:rPr>
              <w:t>30</w:t>
            </w:r>
            <w:r w:rsidRPr="00B12FE0">
              <w:rPr>
                <w:rFonts w:hint="eastAsia"/>
                <w:snapToGrid w:val="0"/>
                <w:color w:val="000000" w:themeColor="text1"/>
                <w:szCs w:val="24"/>
              </w:rPr>
              <w:t>名，浙江</w:t>
            </w:r>
            <w:proofErr w:type="gramStart"/>
            <w:r w:rsidRPr="00B12FE0">
              <w:rPr>
                <w:rFonts w:hint="eastAsia"/>
                <w:snapToGrid w:val="0"/>
                <w:color w:val="000000" w:themeColor="text1"/>
                <w:szCs w:val="24"/>
              </w:rPr>
              <w:t>台州援疆帮扶</w:t>
            </w:r>
            <w:proofErr w:type="gramEnd"/>
            <w:r w:rsidRPr="00B12FE0">
              <w:rPr>
                <w:rFonts w:hint="eastAsia"/>
                <w:snapToGrid w:val="0"/>
                <w:color w:val="000000" w:themeColor="text1"/>
                <w:szCs w:val="24"/>
              </w:rPr>
              <w:t>专家</w:t>
            </w:r>
            <w:r w:rsidRPr="00B12FE0">
              <w:rPr>
                <w:rFonts w:hint="eastAsia"/>
                <w:snapToGrid w:val="0"/>
                <w:color w:val="000000" w:themeColor="text1"/>
                <w:szCs w:val="24"/>
              </w:rPr>
              <w:t>10</w:t>
            </w:r>
            <w:r w:rsidRPr="00B12FE0">
              <w:rPr>
                <w:rFonts w:hint="eastAsia"/>
                <w:snapToGrid w:val="0"/>
                <w:color w:val="000000" w:themeColor="text1"/>
                <w:szCs w:val="24"/>
              </w:rPr>
              <w:t>名。医院有临床科室</w:t>
            </w:r>
            <w:r w:rsidRPr="00B12FE0">
              <w:rPr>
                <w:rFonts w:hint="eastAsia"/>
                <w:snapToGrid w:val="0"/>
                <w:color w:val="000000" w:themeColor="text1"/>
                <w:szCs w:val="24"/>
              </w:rPr>
              <w:t>31</w:t>
            </w:r>
            <w:r w:rsidRPr="00B12FE0">
              <w:rPr>
                <w:rFonts w:hint="eastAsia"/>
                <w:snapToGrid w:val="0"/>
                <w:color w:val="000000" w:themeColor="text1"/>
                <w:szCs w:val="24"/>
              </w:rPr>
              <w:t>个、医技科室</w:t>
            </w:r>
            <w:r w:rsidRPr="00B12FE0">
              <w:rPr>
                <w:rFonts w:hint="eastAsia"/>
                <w:snapToGrid w:val="0"/>
                <w:color w:val="000000" w:themeColor="text1"/>
                <w:szCs w:val="24"/>
              </w:rPr>
              <w:t>10</w:t>
            </w:r>
            <w:r w:rsidRPr="00B12FE0">
              <w:rPr>
                <w:rFonts w:hint="eastAsia"/>
                <w:snapToGrid w:val="0"/>
                <w:color w:val="000000" w:themeColor="text1"/>
                <w:szCs w:val="24"/>
              </w:rPr>
              <w:t>个、职能科室</w:t>
            </w:r>
            <w:r w:rsidRPr="00B12FE0">
              <w:rPr>
                <w:rFonts w:hint="eastAsia"/>
                <w:snapToGrid w:val="0"/>
                <w:color w:val="000000" w:themeColor="text1"/>
                <w:szCs w:val="24"/>
              </w:rPr>
              <w:t>19</w:t>
            </w:r>
            <w:r w:rsidRPr="00B12FE0">
              <w:rPr>
                <w:rFonts w:hint="eastAsia"/>
                <w:snapToGrid w:val="0"/>
                <w:color w:val="000000" w:themeColor="text1"/>
                <w:szCs w:val="24"/>
              </w:rPr>
              <w:t>个，编制床位</w:t>
            </w:r>
            <w:r w:rsidRPr="00B12FE0">
              <w:rPr>
                <w:rFonts w:hint="eastAsia"/>
                <w:snapToGrid w:val="0"/>
                <w:color w:val="000000" w:themeColor="text1"/>
                <w:szCs w:val="24"/>
              </w:rPr>
              <w:t>318</w:t>
            </w:r>
            <w:r w:rsidRPr="00B12FE0">
              <w:rPr>
                <w:rFonts w:hint="eastAsia"/>
                <w:snapToGrid w:val="0"/>
                <w:color w:val="000000" w:themeColor="text1"/>
                <w:szCs w:val="24"/>
              </w:rPr>
              <w:t>张，开放</w:t>
            </w:r>
          </w:p>
        </w:tc>
      </w:tr>
    </w:tbl>
    <w:p w14:paraId="5E767F2D" w14:textId="77777777" w:rsidR="00A67F21" w:rsidRPr="00B12FE0" w:rsidRDefault="00A67F21">
      <w:pPr>
        <w:autoSpaceDE w:val="0"/>
        <w:autoSpaceDN w:val="0"/>
        <w:adjustRightInd w:val="0"/>
        <w:snapToGrid w:val="0"/>
        <w:spacing w:line="360" w:lineRule="auto"/>
        <w:rPr>
          <w:snapToGrid w:val="0"/>
          <w:color w:val="000000" w:themeColor="text1"/>
          <w:szCs w:val="24"/>
        </w:rPr>
        <w:sectPr w:rsidR="00A67F21" w:rsidRPr="00B12FE0">
          <w:footerReference w:type="default" r:id="rId17"/>
          <w:pgSz w:w="11907" w:h="16840"/>
          <w:pgMar w:top="1440" w:right="1440" w:bottom="1440" w:left="1440" w:header="851" w:footer="850" w:gutter="0"/>
          <w:pgNumType w:start="1"/>
          <w:cols w:space="720"/>
          <w:docGrid w:linePitch="332"/>
        </w:sectPr>
      </w:pPr>
    </w:p>
    <w:p w14:paraId="02F9C7EE" w14:textId="77777777" w:rsidR="00A67F21" w:rsidRPr="00B12FE0" w:rsidRDefault="00000000">
      <w:pPr>
        <w:autoSpaceDE w:val="0"/>
        <w:autoSpaceDN w:val="0"/>
        <w:adjustRightInd w:val="0"/>
        <w:snapToGrid w:val="0"/>
        <w:spacing w:line="360" w:lineRule="auto"/>
        <w:rPr>
          <w:snapToGrid w:val="0"/>
          <w:color w:val="000000" w:themeColor="text1"/>
          <w:szCs w:val="24"/>
        </w:rPr>
      </w:pPr>
      <w:r w:rsidRPr="00B12FE0">
        <w:rPr>
          <w:rFonts w:hint="eastAsia"/>
          <w:snapToGrid w:val="0"/>
          <w:color w:val="000000" w:themeColor="text1"/>
          <w:szCs w:val="24"/>
        </w:rPr>
        <w:lastRenderedPageBreak/>
        <w:t>床位</w:t>
      </w:r>
      <w:r w:rsidRPr="00B12FE0">
        <w:rPr>
          <w:rFonts w:hint="eastAsia"/>
          <w:snapToGrid w:val="0"/>
          <w:color w:val="000000" w:themeColor="text1"/>
          <w:szCs w:val="24"/>
        </w:rPr>
        <w:t>560</w:t>
      </w:r>
      <w:r w:rsidRPr="00B12FE0">
        <w:rPr>
          <w:rFonts w:hint="eastAsia"/>
          <w:snapToGrid w:val="0"/>
          <w:color w:val="000000" w:themeColor="text1"/>
          <w:szCs w:val="24"/>
        </w:rPr>
        <w:t>张。现有</w:t>
      </w:r>
      <w:r w:rsidRPr="00B12FE0">
        <w:rPr>
          <w:rFonts w:hint="eastAsia"/>
          <w:snapToGrid w:val="0"/>
          <w:color w:val="000000" w:themeColor="text1"/>
          <w:szCs w:val="24"/>
        </w:rPr>
        <w:t>6</w:t>
      </w:r>
      <w:r w:rsidRPr="00B12FE0">
        <w:rPr>
          <w:rFonts w:hint="eastAsia"/>
          <w:snapToGrid w:val="0"/>
          <w:color w:val="000000" w:themeColor="text1"/>
          <w:szCs w:val="24"/>
        </w:rPr>
        <w:t>个兵团级重点专科，</w:t>
      </w:r>
      <w:r w:rsidRPr="00B12FE0">
        <w:rPr>
          <w:rFonts w:hint="eastAsia"/>
          <w:snapToGrid w:val="0"/>
          <w:color w:val="000000" w:themeColor="text1"/>
          <w:szCs w:val="24"/>
        </w:rPr>
        <w:t>14</w:t>
      </w:r>
      <w:r w:rsidRPr="00B12FE0">
        <w:rPr>
          <w:rFonts w:hint="eastAsia"/>
          <w:snapToGrid w:val="0"/>
          <w:color w:val="000000" w:themeColor="text1"/>
          <w:szCs w:val="24"/>
        </w:rPr>
        <w:t>个师市级重点专科。</w:t>
      </w:r>
    </w:p>
    <w:p w14:paraId="43779C20" w14:textId="77777777" w:rsidR="00A67F21" w:rsidRPr="00B12FE0" w:rsidRDefault="00000000">
      <w:pPr>
        <w:adjustRightInd w:val="0"/>
        <w:snapToGrid w:val="0"/>
        <w:spacing w:line="360" w:lineRule="auto"/>
        <w:ind w:firstLineChars="200" w:firstLine="480"/>
        <w:rPr>
          <w:color w:val="000000" w:themeColor="text1"/>
          <w:szCs w:val="24"/>
        </w:rPr>
      </w:pPr>
      <w:r w:rsidRPr="00B12FE0">
        <w:rPr>
          <w:bCs/>
          <w:color w:val="000000" w:themeColor="text1"/>
          <w:szCs w:val="24"/>
        </w:rPr>
        <w:t>医院总投资</w:t>
      </w:r>
      <w:r w:rsidRPr="00B12FE0">
        <w:rPr>
          <w:bCs/>
          <w:color w:val="000000" w:themeColor="text1"/>
          <w:szCs w:val="24"/>
        </w:rPr>
        <w:t>9750</w:t>
      </w:r>
      <w:r w:rsidRPr="00B12FE0">
        <w:rPr>
          <w:bCs/>
          <w:color w:val="000000" w:themeColor="text1"/>
          <w:szCs w:val="24"/>
        </w:rPr>
        <w:t>万元拟在医院西侧预留医疗用地处新建</w:t>
      </w:r>
      <w:r w:rsidRPr="00B12FE0">
        <w:rPr>
          <w:color w:val="000000" w:themeColor="text1"/>
          <w:szCs w:val="24"/>
        </w:rPr>
        <w:t>一幢肿瘤治疗中心综合楼，为</w:t>
      </w:r>
      <w:r w:rsidRPr="00B12FE0">
        <w:rPr>
          <w:bCs/>
          <w:color w:val="000000" w:themeColor="text1"/>
          <w:szCs w:val="24"/>
        </w:rPr>
        <w:t>涵盖肿瘤外科、肿瘤化疗、肿瘤介入治疗、肿瘤姑息治疗为一体的综合肿瘤治疗中心。</w:t>
      </w:r>
      <w:r w:rsidRPr="00B12FE0">
        <w:rPr>
          <w:color w:val="000000" w:themeColor="text1"/>
          <w:szCs w:val="24"/>
        </w:rPr>
        <w:t>根据建设单位提供的设计资料，</w:t>
      </w:r>
      <w:r w:rsidRPr="00B12FE0">
        <w:rPr>
          <w:bCs/>
          <w:color w:val="000000" w:themeColor="text1"/>
          <w:szCs w:val="24"/>
        </w:rPr>
        <w:t>肿瘤治疗中心</w:t>
      </w:r>
      <w:r w:rsidRPr="00B12FE0">
        <w:rPr>
          <w:color w:val="000000" w:themeColor="text1"/>
          <w:szCs w:val="24"/>
        </w:rPr>
        <w:t>综合楼总建筑面积为</w:t>
      </w:r>
      <w:r w:rsidRPr="00B12FE0">
        <w:rPr>
          <w:color w:val="000000" w:themeColor="text1"/>
          <w:szCs w:val="24"/>
        </w:rPr>
        <w:t>7800m</w:t>
      </w:r>
      <w:r w:rsidRPr="00B12FE0">
        <w:rPr>
          <w:color w:val="000000" w:themeColor="text1"/>
          <w:szCs w:val="24"/>
          <w:vertAlign w:val="superscript"/>
        </w:rPr>
        <w:t>2</w:t>
      </w:r>
      <w:r w:rsidRPr="00B12FE0">
        <w:rPr>
          <w:color w:val="000000" w:themeColor="text1"/>
          <w:szCs w:val="24"/>
        </w:rPr>
        <w:t>，包含地上</w:t>
      </w:r>
      <w:r w:rsidRPr="00B12FE0">
        <w:rPr>
          <w:color w:val="000000" w:themeColor="text1"/>
          <w:szCs w:val="24"/>
        </w:rPr>
        <w:t>2</w:t>
      </w:r>
      <w:r w:rsidRPr="00B12FE0">
        <w:rPr>
          <w:color w:val="000000" w:themeColor="text1"/>
          <w:szCs w:val="24"/>
        </w:rPr>
        <w:t>层及屋顶设备层建筑。目前正在建设中。</w:t>
      </w:r>
    </w:p>
    <w:p w14:paraId="5EAD46FA" w14:textId="77777777" w:rsidR="00A67F21" w:rsidRPr="00B12FE0" w:rsidRDefault="00000000">
      <w:pPr>
        <w:autoSpaceDE w:val="0"/>
        <w:autoSpaceDN w:val="0"/>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浙江大学医学院附属邵逸夫医院新疆兵团阿拉尔医院现持有辐射安全许可证：兵环</w:t>
      </w:r>
      <w:proofErr w:type="gramStart"/>
      <w:r w:rsidRPr="00B12FE0">
        <w:rPr>
          <w:snapToGrid w:val="0"/>
          <w:color w:val="000000" w:themeColor="text1"/>
          <w:szCs w:val="24"/>
        </w:rPr>
        <w:t>辐</w:t>
      </w:r>
      <w:proofErr w:type="gramEnd"/>
      <w:r w:rsidRPr="00B12FE0">
        <w:rPr>
          <w:snapToGrid w:val="0"/>
          <w:color w:val="000000" w:themeColor="text1"/>
          <w:szCs w:val="24"/>
        </w:rPr>
        <w:t>证</w:t>
      </w:r>
      <w:r w:rsidRPr="00B12FE0">
        <w:rPr>
          <w:snapToGrid w:val="0"/>
          <w:color w:val="000000" w:themeColor="text1"/>
          <w:szCs w:val="24"/>
        </w:rPr>
        <w:t>[N0028]</w:t>
      </w:r>
      <w:r w:rsidRPr="00B12FE0">
        <w:rPr>
          <w:snapToGrid w:val="0"/>
          <w:color w:val="000000" w:themeColor="text1"/>
          <w:szCs w:val="24"/>
        </w:rPr>
        <w:t>，有效期至</w:t>
      </w:r>
      <w:r w:rsidRPr="00B12FE0">
        <w:rPr>
          <w:snapToGrid w:val="0"/>
          <w:color w:val="000000" w:themeColor="text1"/>
          <w:szCs w:val="24"/>
        </w:rPr>
        <w:t>2029</w:t>
      </w:r>
      <w:r w:rsidRPr="00B12FE0">
        <w:rPr>
          <w:snapToGrid w:val="0"/>
          <w:color w:val="000000" w:themeColor="text1"/>
          <w:szCs w:val="24"/>
        </w:rPr>
        <w:t>年</w:t>
      </w:r>
      <w:r w:rsidRPr="00B12FE0">
        <w:rPr>
          <w:snapToGrid w:val="0"/>
          <w:color w:val="000000" w:themeColor="text1"/>
          <w:szCs w:val="24"/>
        </w:rPr>
        <w:t>10</w:t>
      </w:r>
      <w:r w:rsidRPr="00B12FE0">
        <w:rPr>
          <w:snapToGrid w:val="0"/>
          <w:color w:val="000000" w:themeColor="text1"/>
          <w:szCs w:val="24"/>
        </w:rPr>
        <w:t>月</w:t>
      </w:r>
      <w:r w:rsidRPr="00B12FE0">
        <w:rPr>
          <w:snapToGrid w:val="0"/>
          <w:color w:val="000000" w:themeColor="text1"/>
          <w:szCs w:val="24"/>
        </w:rPr>
        <w:t>15</w:t>
      </w:r>
      <w:r w:rsidRPr="00B12FE0">
        <w:rPr>
          <w:snapToGrid w:val="0"/>
          <w:color w:val="000000" w:themeColor="text1"/>
          <w:szCs w:val="24"/>
        </w:rPr>
        <w:t>日。</w:t>
      </w:r>
    </w:p>
    <w:p w14:paraId="3888BD03" w14:textId="77777777" w:rsidR="00A67F21" w:rsidRPr="00B12FE0" w:rsidRDefault="00000000">
      <w:pPr>
        <w:adjustRightInd w:val="0"/>
        <w:snapToGrid w:val="0"/>
        <w:spacing w:line="360" w:lineRule="auto"/>
        <w:outlineLvl w:val="2"/>
        <w:rPr>
          <w:b/>
          <w:bCs/>
          <w:color w:val="000000" w:themeColor="text1"/>
          <w:szCs w:val="24"/>
        </w:rPr>
      </w:pPr>
      <w:r w:rsidRPr="00B12FE0">
        <w:rPr>
          <w:b/>
          <w:bCs/>
          <w:color w:val="000000" w:themeColor="text1"/>
          <w:szCs w:val="24"/>
        </w:rPr>
        <w:t>1.1.2</w:t>
      </w:r>
      <w:r w:rsidRPr="00B12FE0">
        <w:rPr>
          <w:b/>
          <w:bCs/>
          <w:color w:val="000000" w:themeColor="text1"/>
          <w:szCs w:val="24"/>
        </w:rPr>
        <w:t>建设目的和任务由来</w:t>
      </w:r>
    </w:p>
    <w:p w14:paraId="70C7EDE9" w14:textId="77777777" w:rsidR="00A67F21" w:rsidRPr="00B12FE0" w:rsidRDefault="00000000">
      <w:pPr>
        <w:pStyle w:val="af5"/>
        <w:spacing w:line="360" w:lineRule="auto"/>
        <w:ind w:firstLineChars="200" w:firstLine="480"/>
        <w:jc w:val="both"/>
        <w:rPr>
          <w:color w:val="000000" w:themeColor="text1"/>
        </w:rPr>
      </w:pPr>
      <w:r w:rsidRPr="00B12FE0">
        <w:rPr>
          <w:rFonts w:hint="eastAsia"/>
          <w:snapToGrid w:val="0"/>
          <w:color w:val="000000" w:themeColor="text1"/>
          <w:szCs w:val="24"/>
        </w:rPr>
        <w:t>浙江大学医学院附属邵逸夫医院新疆兵团阿拉尔医院</w:t>
      </w:r>
      <w:r w:rsidRPr="00B12FE0">
        <w:rPr>
          <w:rFonts w:hint="eastAsia"/>
          <w:color w:val="000000" w:themeColor="text1"/>
        </w:rPr>
        <w:t>现为三级甲等综合医院，有床位</w:t>
      </w:r>
      <w:r w:rsidRPr="00B12FE0">
        <w:rPr>
          <w:rFonts w:hint="eastAsia"/>
          <w:color w:val="000000" w:themeColor="text1"/>
        </w:rPr>
        <w:t>560</w:t>
      </w:r>
      <w:r w:rsidRPr="00B12FE0">
        <w:rPr>
          <w:rFonts w:hint="eastAsia"/>
          <w:color w:val="000000" w:themeColor="text1"/>
        </w:rPr>
        <w:t>床，趋于饱和状态，为解决设施设备不匹配需求问题，进一步提升医疗基础设施建设，为阿拉尔市人民提供多层次、多样化的医疗服务，满足阿拉尔市人民日益增长的医疗卫生服务需求，</w:t>
      </w:r>
      <w:r w:rsidRPr="00B12FE0">
        <w:rPr>
          <w:rFonts w:hint="eastAsia"/>
          <w:snapToGrid w:val="0"/>
          <w:color w:val="000000" w:themeColor="text1"/>
          <w:szCs w:val="24"/>
        </w:rPr>
        <w:t>浙江大学医学院附属邵逸夫医院新疆兵团阿拉尔医院</w:t>
      </w:r>
      <w:r w:rsidRPr="00B12FE0">
        <w:rPr>
          <w:rFonts w:ascii="宋体" w:hAnsi="宋体"/>
          <w:bCs/>
          <w:color w:val="000000" w:themeColor="text1"/>
          <w:szCs w:val="24"/>
        </w:rPr>
        <w:t>拟在</w:t>
      </w:r>
      <w:r w:rsidRPr="00B12FE0">
        <w:rPr>
          <w:rFonts w:ascii="宋体" w:hAnsi="宋体" w:hint="eastAsia"/>
          <w:bCs/>
          <w:color w:val="000000" w:themeColor="text1"/>
          <w:szCs w:val="24"/>
        </w:rPr>
        <w:t>医院西侧预留医疗用地处新建</w:t>
      </w:r>
      <w:r w:rsidRPr="00B12FE0">
        <w:rPr>
          <w:rFonts w:ascii="宋体" w:hAnsi="宋体"/>
          <w:color w:val="000000" w:themeColor="text1"/>
          <w:szCs w:val="24"/>
        </w:rPr>
        <w:t>一幢肿瘤治疗中心综合楼</w:t>
      </w:r>
      <w:r w:rsidRPr="00B12FE0">
        <w:rPr>
          <w:rFonts w:hint="eastAsia"/>
          <w:color w:val="000000" w:themeColor="text1"/>
        </w:rPr>
        <w:t>。</w:t>
      </w:r>
    </w:p>
    <w:p w14:paraId="40FEEAF9"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hAnsi="宋体" w:hint="eastAsia"/>
          <w:bCs/>
          <w:color w:val="000000" w:themeColor="text1"/>
        </w:rPr>
        <w:t>本次环评为</w:t>
      </w:r>
      <w:r w:rsidRPr="00B12FE0">
        <w:rPr>
          <w:rFonts w:hint="eastAsia"/>
          <w:snapToGrid w:val="0"/>
          <w:color w:val="000000" w:themeColor="text1"/>
          <w:szCs w:val="24"/>
        </w:rPr>
        <w:t>浙江大学医学院附属邵逸夫医院新疆兵团阿拉尔医院</w:t>
      </w:r>
      <w:r w:rsidRPr="00B12FE0">
        <w:rPr>
          <w:rFonts w:hint="eastAsia"/>
          <w:bCs/>
          <w:color w:val="000000" w:themeColor="text1"/>
        </w:rPr>
        <w:t>项目所含</w:t>
      </w:r>
      <w:r w:rsidRPr="00B12FE0">
        <w:rPr>
          <w:rFonts w:hAnsi="宋体" w:hint="eastAsia"/>
          <w:bCs/>
          <w:color w:val="000000" w:themeColor="text1"/>
        </w:rPr>
        <w:t>核技术利用建设项目辐射环境影响评价，</w:t>
      </w:r>
      <w:r w:rsidRPr="00B12FE0">
        <w:rPr>
          <w:rFonts w:hint="eastAsia"/>
          <w:color w:val="000000" w:themeColor="text1"/>
        </w:rPr>
        <w:t>根据《电离辐射防护与辐射源安全基本标准》（</w:t>
      </w:r>
      <w:r w:rsidRPr="00B12FE0">
        <w:rPr>
          <w:rFonts w:hint="eastAsia"/>
          <w:color w:val="000000" w:themeColor="text1"/>
        </w:rPr>
        <w:t>GB18871-2002</w:t>
      </w:r>
      <w:r w:rsidRPr="00B12FE0">
        <w:rPr>
          <w:rFonts w:hint="eastAsia"/>
          <w:color w:val="000000" w:themeColor="text1"/>
        </w:rPr>
        <w:t>）中的非密封放射性物质工作场所划分标准、《关于发布</w:t>
      </w:r>
      <w:r w:rsidRPr="00B12FE0">
        <w:rPr>
          <w:rFonts w:hint="eastAsia"/>
          <w:color w:val="000000" w:themeColor="text1"/>
        </w:rPr>
        <w:t>&lt;</w:t>
      </w:r>
      <w:r w:rsidRPr="00B12FE0">
        <w:rPr>
          <w:rFonts w:hint="eastAsia"/>
          <w:color w:val="000000" w:themeColor="text1"/>
        </w:rPr>
        <w:t>射线装置分类</w:t>
      </w:r>
      <w:r w:rsidRPr="00B12FE0">
        <w:rPr>
          <w:rFonts w:hint="eastAsia"/>
          <w:color w:val="000000" w:themeColor="text1"/>
        </w:rPr>
        <w:t>&gt;</w:t>
      </w:r>
      <w:r w:rsidRPr="00B12FE0">
        <w:rPr>
          <w:rFonts w:hint="eastAsia"/>
          <w:color w:val="000000" w:themeColor="text1"/>
        </w:rPr>
        <w:t>的公告》（原环境保护部，国家卫生和计划生育委员会公告，公告</w:t>
      </w:r>
      <w:r w:rsidRPr="00B12FE0">
        <w:rPr>
          <w:rFonts w:hint="eastAsia"/>
          <w:color w:val="000000" w:themeColor="text1"/>
        </w:rPr>
        <w:t>2017</w:t>
      </w:r>
      <w:r w:rsidRPr="00B12FE0">
        <w:rPr>
          <w:rFonts w:hint="eastAsia"/>
          <w:color w:val="000000" w:themeColor="text1"/>
        </w:rPr>
        <w:t>年第</w:t>
      </w:r>
      <w:r w:rsidRPr="00B12FE0">
        <w:rPr>
          <w:rFonts w:hint="eastAsia"/>
          <w:color w:val="000000" w:themeColor="text1"/>
        </w:rPr>
        <w:t>66</w:t>
      </w:r>
      <w:r w:rsidRPr="00B12FE0">
        <w:rPr>
          <w:rFonts w:hint="eastAsia"/>
          <w:color w:val="000000" w:themeColor="text1"/>
        </w:rPr>
        <w:t>号）和《关于发布放射源分类办法的公告》（原国家环保总局公告，公告</w:t>
      </w:r>
      <w:r w:rsidRPr="00B12FE0">
        <w:rPr>
          <w:rFonts w:hint="eastAsia"/>
          <w:color w:val="000000" w:themeColor="text1"/>
        </w:rPr>
        <w:t>2005</w:t>
      </w:r>
      <w:r w:rsidRPr="00B12FE0">
        <w:rPr>
          <w:rFonts w:hint="eastAsia"/>
          <w:color w:val="000000" w:themeColor="text1"/>
        </w:rPr>
        <w:t>年第</w:t>
      </w:r>
      <w:r w:rsidRPr="00B12FE0">
        <w:rPr>
          <w:rFonts w:hint="eastAsia"/>
          <w:color w:val="000000" w:themeColor="text1"/>
        </w:rPr>
        <w:t>62</w:t>
      </w:r>
      <w:r w:rsidRPr="00B12FE0">
        <w:rPr>
          <w:rFonts w:hint="eastAsia"/>
          <w:color w:val="000000" w:themeColor="text1"/>
        </w:rPr>
        <w:t>号），</w:t>
      </w:r>
      <w:r w:rsidRPr="00B12FE0">
        <w:rPr>
          <w:color w:val="000000" w:themeColor="text1"/>
        </w:rPr>
        <w:t>由</w:t>
      </w:r>
      <w:r w:rsidRPr="00B12FE0">
        <w:rPr>
          <w:color w:val="000000" w:themeColor="text1"/>
        </w:rPr>
        <w:t>1.</w:t>
      </w:r>
      <w:r w:rsidRPr="00B12FE0">
        <w:rPr>
          <w:rFonts w:hint="eastAsia"/>
          <w:color w:val="000000" w:themeColor="text1"/>
        </w:rPr>
        <w:t>1.3</w:t>
      </w:r>
      <w:r w:rsidRPr="00B12FE0">
        <w:rPr>
          <w:color w:val="000000" w:themeColor="text1"/>
        </w:rPr>
        <w:t>建设内容</w:t>
      </w:r>
      <w:r w:rsidRPr="00B12FE0">
        <w:rPr>
          <w:rFonts w:hint="eastAsia"/>
          <w:color w:val="000000" w:themeColor="text1"/>
        </w:rPr>
        <w:t>和</w:t>
      </w:r>
      <w:r w:rsidRPr="00B12FE0">
        <w:rPr>
          <w:color w:val="000000" w:themeColor="text1"/>
        </w:rPr>
        <w:t>规模可知，本</w:t>
      </w:r>
      <w:r w:rsidRPr="00B12FE0">
        <w:rPr>
          <w:rFonts w:hint="eastAsia"/>
          <w:color w:val="000000" w:themeColor="text1"/>
        </w:rPr>
        <w:t>项目</w:t>
      </w:r>
      <w:r w:rsidRPr="00B12FE0">
        <w:rPr>
          <w:color w:val="000000" w:themeColor="text1"/>
        </w:rPr>
        <w:t>包括使用</w:t>
      </w:r>
      <w:r w:rsidRPr="00B12FE0">
        <w:rPr>
          <w:color w:val="000000" w:themeColor="text1"/>
        </w:rPr>
        <w:t>Ⅲ</w:t>
      </w:r>
      <w:r w:rsidRPr="00B12FE0">
        <w:rPr>
          <w:color w:val="000000" w:themeColor="text1"/>
        </w:rPr>
        <w:t>类</w:t>
      </w:r>
      <w:r w:rsidRPr="00B12FE0">
        <w:rPr>
          <w:rFonts w:hint="eastAsia"/>
          <w:color w:val="000000" w:themeColor="text1"/>
        </w:rPr>
        <w:t>、</w:t>
      </w:r>
      <w:r w:rsidRPr="00B12FE0">
        <w:rPr>
          <w:rFonts w:hint="eastAsia"/>
          <w:color w:val="000000" w:themeColor="text1"/>
        </w:rPr>
        <w:t>V</w:t>
      </w:r>
      <w:r w:rsidRPr="00B12FE0">
        <w:rPr>
          <w:color w:val="000000" w:themeColor="text1"/>
        </w:rPr>
        <w:t>类放射源</w:t>
      </w:r>
      <w:r w:rsidRPr="00B12FE0">
        <w:rPr>
          <w:rFonts w:hint="eastAsia"/>
          <w:color w:val="000000" w:themeColor="text1"/>
        </w:rPr>
        <w:t>，使用</w:t>
      </w:r>
      <w:r w:rsidRPr="00B12FE0">
        <w:rPr>
          <w:color w:val="000000" w:themeColor="text1"/>
        </w:rPr>
        <w:t>Ⅱ</w:t>
      </w:r>
      <w:r w:rsidRPr="00B12FE0">
        <w:rPr>
          <w:color w:val="000000" w:themeColor="text1"/>
        </w:rPr>
        <w:t>类、</w:t>
      </w:r>
      <w:r w:rsidRPr="00B12FE0">
        <w:rPr>
          <w:color w:val="000000" w:themeColor="text1"/>
        </w:rPr>
        <w:t>Ⅲ</w:t>
      </w:r>
      <w:r w:rsidRPr="00B12FE0">
        <w:rPr>
          <w:color w:val="000000" w:themeColor="text1"/>
        </w:rPr>
        <w:t>类射线装置</w:t>
      </w:r>
      <w:r w:rsidRPr="00B12FE0">
        <w:rPr>
          <w:rFonts w:hint="eastAsia"/>
          <w:color w:val="000000" w:themeColor="text1"/>
        </w:rPr>
        <w:t>，使用</w:t>
      </w:r>
      <w:r w:rsidRPr="00B12FE0">
        <w:rPr>
          <w:color w:val="000000" w:themeColor="text1"/>
        </w:rPr>
        <w:t>乙级非密封放射性物质工作场所。对照</w:t>
      </w:r>
      <w:r w:rsidRPr="00B12FE0">
        <w:rPr>
          <w:rFonts w:hint="eastAsia"/>
          <w:color w:val="000000" w:themeColor="text1"/>
        </w:rPr>
        <w:t>《建设项目环境影响评价分类管理名录（</w:t>
      </w:r>
      <w:r w:rsidRPr="00B12FE0">
        <w:rPr>
          <w:color w:val="000000" w:themeColor="text1"/>
        </w:rPr>
        <w:t>2021</w:t>
      </w:r>
      <w:r w:rsidRPr="00B12FE0">
        <w:rPr>
          <w:rFonts w:hint="eastAsia"/>
          <w:color w:val="000000" w:themeColor="text1"/>
        </w:rPr>
        <w:t>年版）》（中华人民共和国生态环境部令第</w:t>
      </w:r>
      <w:r w:rsidRPr="00B12FE0">
        <w:rPr>
          <w:color w:val="000000" w:themeColor="text1"/>
        </w:rPr>
        <w:t>16</w:t>
      </w:r>
      <w:r w:rsidRPr="00B12FE0">
        <w:rPr>
          <w:rFonts w:hint="eastAsia"/>
          <w:color w:val="000000" w:themeColor="text1"/>
        </w:rPr>
        <w:t>号）</w:t>
      </w:r>
      <w:r w:rsidRPr="00B12FE0">
        <w:rPr>
          <w:color w:val="000000" w:themeColor="text1"/>
        </w:rPr>
        <w:t>，</w:t>
      </w:r>
      <w:r w:rsidRPr="00B12FE0">
        <w:rPr>
          <w:bCs/>
          <w:color w:val="000000" w:themeColor="text1"/>
          <w:szCs w:val="32"/>
        </w:rPr>
        <w:t>本项</w:t>
      </w:r>
      <w:r w:rsidRPr="00B12FE0">
        <w:rPr>
          <w:rFonts w:ascii="宋体" w:hAnsi="宋体" w:cs="宋体" w:hint="eastAsia"/>
          <w:bCs/>
          <w:color w:val="000000" w:themeColor="text1"/>
          <w:szCs w:val="32"/>
        </w:rPr>
        <w:t>目属于“</w:t>
      </w:r>
      <w:r w:rsidRPr="00B12FE0">
        <w:rPr>
          <w:bCs/>
          <w:color w:val="000000" w:themeColor="text1"/>
          <w:szCs w:val="32"/>
        </w:rPr>
        <w:t>五十五、核与辐射</w:t>
      </w:r>
      <w:r w:rsidRPr="00B12FE0">
        <w:rPr>
          <w:rFonts w:ascii="宋体" w:hAnsi="宋体" w:cs="宋体" w:hint="eastAsia"/>
          <w:bCs/>
          <w:color w:val="000000" w:themeColor="text1"/>
          <w:szCs w:val="32"/>
        </w:rPr>
        <w:t>”</w:t>
      </w:r>
      <w:r w:rsidRPr="00B12FE0">
        <w:rPr>
          <w:bCs/>
          <w:color w:val="000000" w:themeColor="text1"/>
          <w:szCs w:val="32"/>
        </w:rPr>
        <w:t>中</w:t>
      </w:r>
      <w:r w:rsidRPr="00B12FE0">
        <w:rPr>
          <w:rFonts w:ascii="宋体" w:hAnsi="宋体" w:cs="宋体" w:hint="eastAsia"/>
          <w:bCs/>
          <w:color w:val="000000" w:themeColor="text1"/>
          <w:szCs w:val="32"/>
        </w:rPr>
        <w:t>“</w:t>
      </w:r>
      <w:r w:rsidRPr="00B12FE0">
        <w:rPr>
          <w:color w:val="000000" w:themeColor="text1"/>
          <w:szCs w:val="32"/>
        </w:rPr>
        <w:t>172</w:t>
      </w:r>
      <w:r w:rsidRPr="00B12FE0">
        <w:rPr>
          <w:color w:val="000000" w:themeColor="text1"/>
          <w:szCs w:val="32"/>
        </w:rPr>
        <w:t>、核技术利用建设项目</w:t>
      </w:r>
      <w:r w:rsidRPr="00B12FE0">
        <w:rPr>
          <w:color w:val="000000" w:themeColor="text1"/>
          <w:szCs w:val="32"/>
        </w:rPr>
        <w:t>—</w:t>
      </w:r>
      <w:r w:rsidRPr="00B12FE0">
        <w:rPr>
          <w:color w:val="000000" w:themeColor="text1"/>
        </w:rPr>
        <w:t>使用</w:t>
      </w:r>
      <w:r w:rsidRPr="00B12FE0">
        <w:rPr>
          <w:color w:val="000000" w:themeColor="text1"/>
        </w:rPr>
        <w:t>Ⅲ</w:t>
      </w:r>
      <w:r w:rsidRPr="00B12FE0">
        <w:rPr>
          <w:color w:val="000000" w:themeColor="text1"/>
        </w:rPr>
        <w:t>类放射源</w:t>
      </w:r>
      <w:r w:rsidRPr="00B12FE0">
        <w:rPr>
          <w:rFonts w:hint="eastAsia"/>
          <w:color w:val="000000" w:themeColor="text1"/>
        </w:rPr>
        <w:t>的；</w:t>
      </w:r>
      <w:r w:rsidRPr="00B12FE0">
        <w:rPr>
          <w:color w:val="000000" w:themeColor="text1"/>
        </w:rPr>
        <w:t>使用</w:t>
      </w:r>
      <w:r w:rsidRPr="00B12FE0">
        <w:rPr>
          <w:color w:val="000000" w:themeColor="text1"/>
        </w:rPr>
        <w:t>Ⅱ</w:t>
      </w:r>
      <w:r w:rsidRPr="00B12FE0">
        <w:rPr>
          <w:color w:val="000000" w:themeColor="text1"/>
        </w:rPr>
        <w:t>类射线装置</w:t>
      </w:r>
      <w:r w:rsidRPr="00B12FE0">
        <w:rPr>
          <w:rFonts w:hint="eastAsia"/>
          <w:color w:val="000000" w:themeColor="text1"/>
          <w:szCs w:val="32"/>
        </w:rPr>
        <w:t>的；</w:t>
      </w:r>
      <w:r w:rsidRPr="00B12FE0">
        <w:rPr>
          <w:color w:val="000000" w:themeColor="text1"/>
          <w:szCs w:val="32"/>
        </w:rPr>
        <w:t>乙级非密封放射性物质工作场所</w:t>
      </w:r>
      <w:r w:rsidRPr="00B12FE0">
        <w:rPr>
          <w:rFonts w:hint="eastAsia"/>
          <w:color w:val="000000" w:themeColor="text1"/>
          <w:szCs w:val="32"/>
        </w:rPr>
        <w:t>；</w:t>
      </w:r>
      <w:r w:rsidRPr="00B12FE0">
        <w:rPr>
          <w:color w:val="000000" w:themeColor="text1"/>
        </w:rPr>
        <w:t>使用</w:t>
      </w:r>
      <w:r w:rsidRPr="00B12FE0">
        <w:rPr>
          <w:rFonts w:hint="eastAsia"/>
          <w:color w:val="000000" w:themeColor="text1"/>
        </w:rPr>
        <w:t>V</w:t>
      </w:r>
      <w:r w:rsidRPr="00B12FE0">
        <w:rPr>
          <w:color w:val="000000" w:themeColor="text1"/>
        </w:rPr>
        <w:t>类放射源</w:t>
      </w:r>
      <w:r w:rsidRPr="00B12FE0">
        <w:rPr>
          <w:rFonts w:hint="eastAsia"/>
          <w:color w:val="000000" w:themeColor="text1"/>
        </w:rPr>
        <w:t>的；</w:t>
      </w:r>
      <w:r w:rsidRPr="00B12FE0">
        <w:rPr>
          <w:color w:val="000000" w:themeColor="text1"/>
        </w:rPr>
        <w:t>使用</w:t>
      </w:r>
      <w:r w:rsidRPr="00B12FE0">
        <w:rPr>
          <w:color w:val="000000" w:themeColor="text1"/>
        </w:rPr>
        <w:t>Ⅲ</w:t>
      </w:r>
      <w:r w:rsidRPr="00B12FE0">
        <w:rPr>
          <w:color w:val="000000" w:themeColor="text1"/>
        </w:rPr>
        <w:t>类射线装置</w:t>
      </w:r>
      <w:r w:rsidRPr="00B12FE0">
        <w:rPr>
          <w:rFonts w:hint="eastAsia"/>
          <w:color w:val="000000" w:themeColor="text1"/>
          <w:szCs w:val="32"/>
        </w:rPr>
        <w:t>的。</w:t>
      </w:r>
      <w:r w:rsidRPr="00B12FE0">
        <w:rPr>
          <w:rFonts w:ascii="宋体" w:hAnsi="宋体" w:cs="宋体" w:hint="eastAsia"/>
          <w:bCs/>
          <w:color w:val="000000" w:themeColor="text1"/>
          <w:szCs w:val="32"/>
        </w:rPr>
        <w:t>”</w:t>
      </w:r>
      <w:r w:rsidRPr="00B12FE0">
        <w:rPr>
          <w:bCs/>
          <w:color w:val="000000" w:themeColor="text1"/>
          <w:szCs w:val="32"/>
        </w:rPr>
        <w:t>，</w:t>
      </w:r>
      <w:r w:rsidRPr="00B12FE0">
        <w:rPr>
          <w:rFonts w:hint="eastAsia"/>
          <w:color w:val="000000" w:themeColor="text1"/>
          <w:szCs w:val="24"/>
        </w:rPr>
        <w:t>环境影响评价文件类别分别对应编制环境影响报告表、环境影响登记表，建设内容涉及本名录中两个及以上项目类别的建设项目，其环境影响评价类别按照其中单项等级最高的确定。故本项目应编制环境影响报告表。</w:t>
      </w:r>
    </w:p>
    <w:p w14:paraId="0E891885" w14:textId="77777777" w:rsidR="00A67F21" w:rsidRPr="00B12FE0" w:rsidRDefault="00000000">
      <w:pPr>
        <w:adjustRightInd w:val="0"/>
        <w:snapToGrid w:val="0"/>
        <w:spacing w:line="360" w:lineRule="auto"/>
        <w:ind w:firstLineChars="200" w:firstLine="480"/>
        <w:rPr>
          <w:rFonts w:hAnsi="宋体" w:hint="eastAsia"/>
          <w:bCs/>
          <w:color w:val="000000" w:themeColor="text1"/>
        </w:rPr>
      </w:pPr>
      <w:r w:rsidRPr="00B12FE0">
        <w:rPr>
          <w:rFonts w:hint="eastAsia"/>
          <w:color w:val="000000" w:themeColor="text1"/>
          <w:szCs w:val="24"/>
        </w:rPr>
        <w:t>为此，浙江大学医学院附属邵逸夫医院新疆兵团阿拉尔医院委托</w:t>
      </w:r>
      <w:r w:rsidRPr="00B12FE0">
        <w:rPr>
          <w:rFonts w:hAnsi="宋体" w:hint="eastAsia"/>
          <w:bCs/>
          <w:color w:val="000000" w:themeColor="text1"/>
        </w:rPr>
        <w:t>中</w:t>
      </w:r>
      <w:proofErr w:type="gramStart"/>
      <w:r w:rsidRPr="00B12FE0">
        <w:rPr>
          <w:rFonts w:hAnsi="宋体" w:hint="eastAsia"/>
          <w:bCs/>
          <w:color w:val="000000" w:themeColor="text1"/>
        </w:rPr>
        <w:t>辐</w:t>
      </w:r>
      <w:proofErr w:type="gramEnd"/>
      <w:r w:rsidRPr="00B12FE0">
        <w:rPr>
          <w:rFonts w:hAnsi="宋体" w:hint="eastAsia"/>
          <w:bCs/>
          <w:color w:val="000000" w:themeColor="text1"/>
        </w:rPr>
        <w:t>环境科技有限公司开展“</w:t>
      </w:r>
      <w:r w:rsidRPr="00B12FE0">
        <w:rPr>
          <w:rFonts w:hint="eastAsia"/>
          <w:color w:val="000000" w:themeColor="text1"/>
          <w:szCs w:val="24"/>
        </w:rPr>
        <w:t>浙江大学医学院附属邵逸夫医院新疆兵团阿拉尔医院肿瘤治疗中心</w:t>
      </w:r>
      <w:r w:rsidRPr="00B12FE0">
        <w:rPr>
          <w:rFonts w:hAnsi="宋体" w:hint="eastAsia"/>
          <w:bCs/>
          <w:color w:val="000000" w:themeColor="text1"/>
        </w:rPr>
        <w:t>核技术利用建设项目（简称‘本项目’）”的环境影响评价工作。在接受委托后，评价单位组织相关技术人员进行了现场勘察、资料收集和辐射环境质量现状监测等工作，并</w:t>
      </w:r>
      <w:r w:rsidRPr="00B12FE0">
        <w:rPr>
          <w:rFonts w:hAnsi="宋体" w:hint="eastAsia"/>
          <w:bCs/>
          <w:color w:val="000000" w:themeColor="text1"/>
        </w:rPr>
        <w:lastRenderedPageBreak/>
        <w:t>结合项目特点，按照《辐射环境保护管理导则</w:t>
      </w:r>
      <w:r w:rsidRPr="00B12FE0">
        <w:rPr>
          <w:rFonts w:hAnsi="宋体" w:hint="eastAsia"/>
          <w:bCs/>
          <w:color w:val="000000" w:themeColor="text1"/>
        </w:rPr>
        <w:t xml:space="preserve"> </w:t>
      </w:r>
      <w:r w:rsidRPr="00B12FE0">
        <w:rPr>
          <w:rFonts w:hAnsi="宋体" w:hint="eastAsia"/>
          <w:bCs/>
          <w:color w:val="000000" w:themeColor="text1"/>
        </w:rPr>
        <w:t>核技术利用建设项目</w:t>
      </w:r>
      <w:r w:rsidRPr="00B12FE0">
        <w:rPr>
          <w:rFonts w:hAnsi="宋体" w:hint="eastAsia"/>
          <w:bCs/>
          <w:color w:val="000000" w:themeColor="text1"/>
        </w:rPr>
        <w:t xml:space="preserve"> </w:t>
      </w:r>
      <w:r w:rsidRPr="00B12FE0">
        <w:rPr>
          <w:rFonts w:hAnsi="宋体" w:hint="eastAsia"/>
          <w:bCs/>
          <w:color w:val="000000" w:themeColor="text1"/>
        </w:rPr>
        <w:t>环境影响评价文件的内容和格式》（</w:t>
      </w:r>
      <w:r w:rsidRPr="00B12FE0">
        <w:rPr>
          <w:rFonts w:hAnsi="宋体" w:hint="eastAsia"/>
          <w:bCs/>
          <w:color w:val="000000" w:themeColor="text1"/>
        </w:rPr>
        <w:t>HJ10.1-2016</w:t>
      </w:r>
      <w:r w:rsidRPr="00B12FE0">
        <w:rPr>
          <w:rFonts w:hAnsi="宋体" w:hint="eastAsia"/>
          <w:bCs/>
          <w:color w:val="000000" w:themeColor="text1"/>
        </w:rPr>
        <w:t>）等规定要求编制完成本项目的环境影响报告表。</w:t>
      </w:r>
    </w:p>
    <w:p w14:paraId="3C7E536C" w14:textId="77777777" w:rsidR="00A67F21" w:rsidRPr="00B12FE0" w:rsidRDefault="00000000">
      <w:pPr>
        <w:snapToGrid w:val="0"/>
        <w:spacing w:line="360" w:lineRule="auto"/>
        <w:contextualSpacing/>
        <w:outlineLvl w:val="2"/>
        <w:rPr>
          <w:b/>
          <w:bCs/>
          <w:color w:val="000000" w:themeColor="text1"/>
          <w:szCs w:val="24"/>
        </w:rPr>
      </w:pPr>
      <w:r w:rsidRPr="00B12FE0">
        <w:rPr>
          <w:b/>
          <w:bCs/>
          <w:color w:val="000000" w:themeColor="text1"/>
          <w:szCs w:val="24"/>
        </w:rPr>
        <w:t>1.1.3</w:t>
      </w:r>
      <w:r w:rsidRPr="00B12FE0">
        <w:rPr>
          <w:b/>
          <w:bCs/>
          <w:color w:val="000000" w:themeColor="text1"/>
          <w:szCs w:val="24"/>
        </w:rPr>
        <w:t>建设内容和规模</w:t>
      </w:r>
    </w:p>
    <w:p w14:paraId="55533D69" w14:textId="77777777" w:rsidR="00A67F21" w:rsidRPr="00B12FE0" w:rsidRDefault="00000000">
      <w:pPr>
        <w:pStyle w:val="af9"/>
        <w:snapToGrid w:val="0"/>
        <w:spacing w:line="360" w:lineRule="auto"/>
        <w:ind w:leftChars="0" w:left="0" w:firstLineChars="200" w:firstLine="480"/>
        <w:rPr>
          <w:bCs/>
          <w:color w:val="000000" w:themeColor="text1"/>
        </w:rPr>
      </w:pPr>
      <w:r w:rsidRPr="00B12FE0">
        <w:rPr>
          <w:rFonts w:ascii="Times New Roman" w:eastAsia="宋体" w:hAnsi="宋体" w:hint="eastAsia"/>
          <w:b w:val="0"/>
          <w:bCs/>
          <w:color w:val="000000" w:themeColor="text1"/>
          <w:kern w:val="2"/>
        </w:rPr>
        <w:t>本项目拟在医院肿瘤治疗中心楼（共</w:t>
      </w:r>
      <w:r w:rsidRPr="00B12FE0">
        <w:rPr>
          <w:rFonts w:ascii="Times New Roman" w:eastAsia="宋体" w:hAnsi="宋体" w:hint="eastAsia"/>
          <w:b w:val="0"/>
          <w:bCs/>
          <w:color w:val="000000" w:themeColor="text1"/>
          <w:kern w:val="2"/>
        </w:rPr>
        <w:t>2</w:t>
      </w:r>
      <w:r w:rsidRPr="00B12FE0">
        <w:rPr>
          <w:rFonts w:ascii="Times New Roman" w:eastAsia="宋体" w:hAnsi="宋体" w:hint="eastAsia"/>
          <w:b w:val="0"/>
          <w:bCs/>
          <w:color w:val="000000" w:themeColor="text1"/>
          <w:kern w:val="2"/>
        </w:rPr>
        <w:t>层，无地下层）建设核医学科（核素制备场所、核素诊断场所和核素治疗场所）和放疗科。</w:t>
      </w:r>
    </w:p>
    <w:p w14:paraId="7567C38D" w14:textId="77777777" w:rsidR="00A67F21" w:rsidRPr="00B12FE0" w:rsidRDefault="00000000">
      <w:pPr>
        <w:snapToGrid w:val="0"/>
        <w:spacing w:line="360" w:lineRule="auto"/>
        <w:ind w:firstLineChars="200" w:firstLine="482"/>
        <w:contextualSpacing/>
        <w:outlineLvl w:val="3"/>
        <w:rPr>
          <w:b/>
          <w:bCs/>
          <w:color w:val="000000" w:themeColor="text1"/>
          <w:szCs w:val="24"/>
        </w:rPr>
      </w:pPr>
      <w:r w:rsidRPr="00B12FE0">
        <w:rPr>
          <w:rFonts w:hint="eastAsia"/>
          <w:b/>
          <w:bCs/>
          <w:color w:val="000000" w:themeColor="text1"/>
          <w:szCs w:val="24"/>
        </w:rPr>
        <w:t>1</w:t>
      </w:r>
      <w:r w:rsidRPr="00B12FE0">
        <w:rPr>
          <w:rFonts w:hint="eastAsia"/>
          <w:b/>
          <w:bCs/>
          <w:color w:val="000000" w:themeColor="text1"/>
          <w:szCs w:val="24"/>
        </w:rPr>
        <w:t>、核医学工作场所</w:t>
      </w:r>
    </w:p>
    <w:p w14:paraId="28C5F355" w14:textId="77777777" w:rsidR="00A67F21" w:rsidRPr="00B12FE0" w:rsidRDefault="00000000">
      <w:pPr>
        <w:spacing w:line="360" w:lineRule="auto"/>
        <w:ind w:firstLineChars="200" w:firstLine="480"/>
        <w:rPr>
          <w:bCs/>
          <w:color w:val="000000" w:themeColor="text1"/>
          <w:kern w:val="0"/>
          <w:szCs w:val="24"/>
        </w:rPr>
      </w:pPr>
      <w:r w:rsidRPr="00B12FE0">
        <w:rPr>
          <w:bCs/>
          <w:color w:val="000000" w:themeColor="text1"/>
          <w:kern w:val="0"/>
          <w:szCs w:val="24"/>
        </w:rPr>
        <w:t>根据《关于明确核技术利用辐射安全监管有关事项的通知》（</w:t>
      </w:r>
      <w:proofErr w:type="gramStart"/>
      <w:r w:rsidRPr="00B12FE0">
        <w:rPr>
          <w:bCs/>
          <w:color w:val="000000" w:themeColor="text1"/>
          <w:kern w:val="0"/>
          <w:szCs w:val="24"/>
        </w:rPr>
        <w:t>环办辐射</w:t>
      </w:r>
      <w:proofErr w:type="gramEnd"/>
      <w:r w:rsidRPr="00B12FE0">
        <w:rPr>
          <w:bCs/>
          <w:color w:val="000000" w:themeColor="text1"/>
          <w:kern w:val="0"/>
          <w:szCs w:val="24"/>
        </w:rPr>
        <w:t>函</w:t>
      </w:r>
      <w:r w:rsidRPr="00B12FE0">
        <w:rPr>
          <w:bCs/>
          <w:color w:val="000000" w:themeColor="text1"/>
          <w:kern w:val="0"/>
          <w:szCs w:val="24"/>
        </w:rPr>
        <w:t>[2016]430</w:t>
      </w:r>
      <w:r w:rsidRPr="00B12FE0">
        <w:rPr>
          <w:bCs/>
          <w:color w:val="000000" w:themeColor="text1"/>
          <w:kern w:val="0"/>
          <w:szCs w:val="24"/>
        </w:rPr>
        <w:t>号），本项目核医学</w:t>
      </w:r>
      <w:proofErr w:type="gramStart"/>
      <w:r w:rsidRPr="00B12FE0">
        <w:rPr>
          <w:bCs/>
          <w:color w:val="000000" w:themeColor="text1"/>
          <w:kern w:val="0"/>
          <w:szCs w:val="24"/>
        </w:rPr>
        <w:t>科分为</w:t>
      </w:r>
      <w:proofErr w:type="gramEnd"/>
      <w:r w:rsidRPr="00B12FE0">
        <w:rPr>
          <w:bCs/>
          <w:color w:val="000000" w:themeColor="text1"/>
          <w:szCs w:val="24"/>
        </w:rPr>
        <w:t>三个单独场所（核医学科核素制备场所、核素诊断场所和核素治疗场所）进行日等效操作量核算</w:t>
      </w:r>
      <w:r w:rsidRPr="00B12FE0">
        <w:rPr>
          <w:color w:val="000000" w:themeColor="text1"/>
          <w:szCs w:val="24"/>
        </w:rPr>
        <w:t>。</w:t>
      </w:r>
    </w:p>
    <w:p w14:paraId="4D14C823" w14:textId="77777777" w:rsidR="00A67F21" w:rsidRPr="00B12FE0" w:rsidRDefault="00000000">
      <w:pPr>
        <w:adjustRightInd w:val="0"/>
        <w:snapToGrid w:val="0"/>
        <w:spacing w:line="360" w:lineRule="auto"/>
        <w:ind w:firstLineChars="200" w:firstLine="482"/>
        <w:rPr>
          <w:b/>
          <w:color w:val="000000" w:themeColor="text1"/>
          <w:sz w:val="21"/>
          <w:szCs w:val="21"/>
        </w:rPr>
      </w:pPr>
      <w:r w:rsidRPr="00B12FE0">
        <w:rPr>
          <w:rFonts w:ascii="宋体" w:hAnsi="宋体"/>
          <w:b/>
          <w:bCs/>
          <w:color w:val="000000" w:themeColor="text1"/>
          <w:kern w:val="0"/>
          <w:szCs w:val="24"/>
        </w:rPr>
        <w:t>（</w:t>
      </w:r>
      <w:r w:rsidRPr="00B12FE0">
        <w:rPr>
          <w:b/>
          <w:bCs/>
          <w:color w:val="000000" w:themeColor="text1"/>
          <w:kern w:val="0"/>
          <w:szCs w:val="24"/>
        </w:rPr>
        <w:t>1</w:t>
      </w:r>
      <w:r w:rsidRPr="00B12FE0">
        <w:rPr>
          <w:rFonts w:ascii="宋体" w:hAnsi="宋体"/>
          <w:b/>
          <w:bCs/>
          <w:color w:val="000000" w:themeColor="text1"/>
          <w:kern w:val="0"/>
          <w:szCs w:val="24"/>
        </w:rPr>
        <w:t>）核医学科核素制备场所</w:t>
      </w:r>
    </w:p>
    <w:p w14:paraId="314ED2C3" w14:textId="77777777" w:rsidR="00A67F21" w:rsidRPr="00B12FE0" w:rsidRDefault="00000000">
      <w:pPr>
        <w:spacing w:line="360" w:lineRule="auto"/>
        <w:ind w:firstLineChars="200" w:firstLine="480"/>
        <w:rPr>
          <w:color w:val="000000" w:themeColor="text1"/>
          <w:szCs w:val="24"/>
        </w:rPr>
      </w:pPr>
      <w:r w:rsidRPr="00B12FE0">
        <w:rPr>
          <w:rFonts w:ascii="宋体" w:hAnsi="宋体"/>
          <w:color w:val="000000" w:themeColor="text1"/>
          <w:szCs w:val="24"/>
        </w:rPr>
        <w:t>根据医院提供资料，在</w:t>
      </w:r>
      <w:r w:rsidRPr="00B12FE0">
        <w:rPr>
          <w:rFonts w:ascii="宋体" w:hAnsi="宋体"/>
          <w:bCs/>
          <w:color w:val="000000" w:themeColor="text1"/>
          <w:szCs w:val="24"/>
        </w:rPr>
        <w:t>肿瘤治疗中心</w:t>
      </w:r>
      <w:r w:rsidRPr="00B12FE0">
        <w:rPr>
          <w:rFonts w:ascii="宋体" w:hAnsi="宋体"/>
          <w:color w:val="000000" w:themeColor="text1"/>
          <w:szCs w:val="24"/>
        </w:rPr>
        <w:t>综合楼一层</w:t>
      </w:r>
      <w:r w:rsidRPr="00B12FE0">
        <w:rPr>
          <w:rFonts w:ascii="宋体" w:hAnsi="宋体" w:hint="eastAsia"/>
          <w:color w:val="000000" w:themeColor="text1"/>
          <w:szCs w:val="24"/>
        </w:rPr>
        <w:t>西</w:t>
      </w:r>
      <w:r w:rsidRPr="00B12FE0">
        <w:rPr>
          <w:rFonts w:ascii="宋体" w:hAnsi="宋体"/>
          <w:color w:val="000000" w:themeColor="text1"/>
          <w:szCs w:val="24"/>
        </w:rPr>
        <w:t>侧</w:t>
      </w:r>
      <w:r w:rsidRPr="00B12FE0">
        <w:rPr>
          <w:rFonts w:ascii="宋体" w:hAnsi="宋体" w:hint="eastAsia"/>
          <w:color w:val="000000" w:themeColor="text1"/>
          <w:szCs w:val="24"/>
        </w:rPr>
        <w:t>中部</w:t>
      </w:r>
      <w:r w:rsidRPr="00B12FE0">
        <w:rPr>
          <w:rFonts w:ascii="宋体" w:hAnsi="宋体"/>
          <w:color w:val="000000" w:themeColor="text1"/>
          <w:szCs w:val="24"/>
        </w:rPr>
        <w:t>设置</w:t>
      </w:r>
      <w:r w:rsidRPr="00B12FE0">
        <w:rPr>
          <w:rFonts w:ascii="宋体" w:hAnsi="宋体"/>
          <w:bCs/>
          <w:color w:val="000000" w:themeColor="text1"/>
          <w:kern w:val="0"/>
          <w:szCs w:val="24"/>
        </w:rPr>
        <w:t>核素制备场所，</w:t>
      </w:r>
      <w:r w:rsidRPr="00B12FE0">
        <w:rPr>
          <w:rFonts w:ascii="宋体" w:hAnsi="宋体"/>
          <w:color w:val="000000" w:themeColor="text1"/>
          <w:kern w:val="0"/>
          <w:szCs w:val="24"/>
        </w:rPr>
        <w:t>新增</w:t>
      </w:r>
      <w:r w:rsidRPr="00B12FE0">
        <w:rPr>
          <w:color w:val="000000" w:themeColor="text1"/>
          <w:kern w:val="0"/>
          <w:szCs w:val="24"/>
        </w:rPr>
        <w:t>1</w:t>
      </w:r>
      <w:r w:rsidRPr="00B12FE0">
        <w:rPr>
          <w:rFonts w:ascii="宋体" w:hAnsi="宋体"/>
          <w:color w:val="000000" w:themeColor="text1"/>
          <w:kern w:val="0"/>
          <w:szCs w:val="24"/>
        </w:rPr>
        <w:t>台自屏蔽回旋加速器（型号</w:t>
      </w:r>
      <w:r w:rsidRPr="00B12FE0">
        <w:rPr>
          <w:rFonts w:ascii="宋体" w:hAnsi="宋体" w:hint="eastAsia"/>
          <w:color w:val="000000" w:themeColor="text1"/>
          <w:kern w:val="0"/>
          <w:szCs w:val="24"/>
        </w:rPr>
        <w:t>未定</w:t>
      </w:r>
      <w:r w:rsidRPr="00B12FE0">
        <w:rPr>
          <w:rFonts w:ascii="宋体" w:hAnsi="宋体"/>
          <w:color w:val="000000" w:themeColor="text1"/>
          <w:kern w:val="0"/>
          <w:szCs w:val="24"/>
        </w:rPr>
        <w:t>，</w:t>
      </w:r>
      <w:r w:rsidRPr="00B12FE0">
        <w:rPr>
          <w:rFonts w:ascii="宋体" w:hAnsi="宋体" w:hint="eastAsia"/>
          <w:color w:val="000000" w:themeColor="text1"/>
          <w:kern w:val="0"/>
          <w:szCs w:val="24"/>
        </w:rPr>
        <w:t>最大</w:t>
      </w:r>
      <w:r w:rsidRPr="00B12FE0">
        <w:rPr>
          <w:rFonts w:ascii="宋体" w:hAnsi="宋体"/>
          <w:color w:val="000000" w:themeColor="text1"/>
          <w:szCs w:val="24"/>
        </w:rPr>
        <w:t>质子能量为</w:t>
      </w:r>
      <w:r w:rsidRPr="00B12FE0">
        <w:rPr>
          <w:color w:val="000000" w:themeColor="text1"/>
          <w:szCs w:val="24"/>
        </w:rPr>
        <w:t>10MeV</w:t>
      </w:r>
      <w:r w:rsidRPr="00B12FE0">
        <w:rPr>
          <w:rFonts w:ascii="宋体" w:hAnsi="宋体"/>
          <w:color w:val="000000" w:themeColor="text1"/>
          <w:szCs w:val="24"/>
        </w:rPr>
        <w:t>，最大束流强度为</w:t>
      </w:r>
      <w:r w:rsidRPr="00B12FE0">
        <w:rPr>
          <w:color w:val="000000" w:themeColor="text1"/>
          <w:szCs w:val="24"/>
        </w:rPr>
        <w:t>100μA</w:t>
      </w:r>
      <w:r w:rsidRPr="00B12FE0">
        <w:rPr>
          <w:rFonts w:ascii="宋体" w:hAnsi="宋体"/>
          <w:color w:val="000000" w:themeColor="text1"/>
          <w:kern w:val="0"/>
          <w:szCs w:val="24"/>
        </w:rPr>
        <w:t>）</w:t>
      </w:r>
      <w:r w:rsidRPr="00B12FE0">
        <w:rPr>
          <w:rFonts w:ascii="宋体" w:hAnsi="宋体"/>
          <w:color w:val="000000" w:themeColor="text1"/>
          <w:szCs w:val="24"/>
        </w:rPr>
        <w:t>制备放射性核素</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用于本单位</w:t>
      </w:r>
      <w:r w:rsidRPr="00B12FE0">
        <w:rPr>
          <w:rFonts w:hint="eastAsia"/>
          <w:color w:val="000000" w:themeColor="text1"/>
          <w:szCs w:val="24"/>
        </w:rPr>
        <w:t>PET</w:t>
      </w:r>
      <w:r w:rsidRPr="00B12FE0">
        <w:rPr>
          <w:rFonts w:ascii="宋体" w:hAnsi="宋体"/>
          <w:color w:val="000000" w:themeColor="text1"/>
          <w:szCs w:val="24"/>
        </w:rPr>
        <w:t>显像，医院生产的核素不外销。考虑到放射性药物自身的衰变，为保证每批次最后一位患者放射性药物量注射量均满足要求，拟采取增加放射性药物制备</w:t>
      </w:r>
      <w:proofErr w:type="gramStart"/>
      <w:r w:rsidRPr="00B12FE0">
        <w:rPr>
          <w:rFonts w:ascii="宋体" w:hAnsi="宋体"/>
          <w:color w:val="000000" w:themeColor="text1"/>
          <w:szCs w:val="24"/>
        </w:rPr>
        <w:t>量确保</w:t>
      </w:r>
      <w:proofErr w:type="gramEnd"/>
      <w:r w:rsidRPr="00B12FE0">
        <w:rPr>
          <w:rFonts w:ascii="宋体" w:hAnsi="宋体"/>
          <w:color w:val="000000" w:themeColor="text1"/>
          <w:szCs w:val="24"/>
        </w:rPr>
        <w:t>活度满足使用要求。因此</w:t>
      </w:r>
      <w:r w:rsidRPr="00B12FE0">
        <w:rPr>
          <w:rFonts w:ascii="宋体" w:hAnsi="宋体"/>
          <w:color w:val="000000" w:themeColor="text1"/>
          <w:kern w:val="0"/>
          <w:szCs w:val="24"/>
        </w:rPr>
        <w:t>核素制备场所</w:t>
      </w:r>
      <w:r w:rsidRPr="00B12FE0">
        <w:rPr>
          <w:rFonts w:ascii="宋体" w:hAnsi="宋体"/>
          <w:color w:val="000000" w:themeColor="text1"/>
          <w:szCs w:val="24"/>
        </w:rPr>
        <w:t>按照核素诊断场所放射性药物使用量的</w:t>
      </w:r>
      <w:r w:rsidRPr="00B12FE0">
        <w:rPr>
          <w:color w:val="000000" w:themeColor="text1"/>
          <w:szCs w:val="24"/>
        </w:rPr>
        <w:t>3</w:t>
      </w:r>
      <w:r w:rsidRPr="00B12FE0">
        <w:rPr>
          <w:rFonts w:ascii="宋体" w:hAnsi="宋体"/>
          <w:color w:val="000000" w:themeColor="text1"/>
          <w:szCs w:val="24"/>
        </w:rPr>
        <w:t>倍进行制药。</w:t>
      </w:r>
      <w:r w:rsidRPr="00B12FE0">
        <w:rPr>
          <w:rFonts w:ascii="宋体" w:hAnsi="宋体"/>
          <w:bCs/>
          <w:color w:val="000000" w:themeColor="text1"/>
          <w:szCs w:val="24"/>
        </w:rPr>
        <w:t>本项目</w:t>
      </w:r>
      <w:r w:rsidRPr="00B12FE0">
        <w:rPr>
          <w:rFonts w:ascii="宋体" w:hAnsi="宋体"/>
          <w:bCs/>
          <w:color w:val="000000" w:themeColor="text1"/>
          <w:kern w:val="0"/>
          <w:szCs w:val="24"/>
        </w:rPr>
        <w:t>核素制备场所</w:t>
      </w:r>
      <w:r w:rsidRPr="00B12FE0">
        <w:rPr>
          <w:rFonts w:ascii="宋体" w:hAnsi="宋体"/>
          <w:bCs/>
          <w:color w:val="000000" w:themeColor="text1"/>
          <w:szCs w:val="24"/>
        </w:rPr>
        <w:t>核素制备情况见表</w:t>
      </w:r>
      <w:r w:rsidRPr="00B12FE0">
        <w:rPr>
          <w:bCs/>
          <w:color w:val="000000" w:themeColor="text1"/>
          <w:szCs w:val="24"/>
        </w:rPr>
        <w:t>1.1-1</w:t>
      </w:r>
      <w:r w:rsidRPr="00B12FE0">
        <w:rPr>
          <w:rFonts w:ascii="宋体" w:hAnsi="宋体"/>
          <w:bCs/>
          <w:color w:val="000000" w:themeColor="text1"/>
          <w:szCs w:val="24"/>
        </w:rPr>
        <w:t>。</w:t>
      </w:r>
      <w:r w:rsidRPr="00B12FE0">
        <w:rPr>
          <w:rFonts w:ascii="宋体" w:hAnsi="宋体" w:hint="eastAsia"/>
          <w:bCs/>
          <w:color w:val="000000" w:themeColor="text1"/>
          <w:szCs w:val="24"/>
        </w:rPr>
        <w:t>根据表</w:t>
      </w:r>
      <w:r w:rsidRPr="00B12FE0">
        <w:rPr>
          <w:rFonts w:hint="eastAsia"/>
          <w:bCs/>
          <w:color w:val="000000" w:themeColor="text1"/>
          <w:szCs w:val="24"/>
        </w:rPr>
        <w:t>10.1.1.4-3</w:t>
      </w:r>
      <w:r w:rsidRPr="00B12FE0">
        <w:rPr>
          <w:rFonts w:ascii="宋体" w:hAnsi="宋体" w:hint="eastAsia"/>
          <w:bCs/>
          <w:color w:val="000000" w:themeColor="text1"/>
          <w:szCs w:val="24"/>
        </w:rPr>
        <w:t>，</w:t>
      </w:r>
      <w:r w:rsidRPr="00B12FE0">
        <w:rPr>
          <w:rFonts w:ascii="宋体" w:hAnsi="宋体"/>
          <w:color w:val="000000" w:themeColor="text1"/>
          <w:szCs w:val="24"/>
        </w:rPr>
        <w:t>本项目</w:t>
      </w:r>
      <w:r w:rsidRPr="00B12FE0">
        <w:rPr>
          <w:rFonts w:ascii="宋体" w:hAnsi="宋体"/>
          <w:bCs/>
          <w:color w:val="000000" w:themeColor="text1"/>
          <w:kern w:val="0"/>
          <w:szCs w:val="24"/>
        </w:rPr>
        <w:t>核素制备场所</w:t>
      </w:r>
      <w:r w:rsidRPr="00B12FE0">
        <w:rPr>
          <w:rFonts w:ascii="宋体" w:hAnsi="宋体"/>
          <w:color w:val="000000" w:themeColor="text1"/>
          <w:szCs w:val="24"/>
        </w:rPr>
        <w:t>放射性核素日等效最大操作量为</w:t>
      </w:r>
      <w:r w:rsidRPr="00B12FE0">
        <w:rPr>
          <w:rFonts w:hint="eastAsia"/>
          <w:color w:val="000000" w:themeColor="text1"/>
          <w:szCs w:val="24"/>
        </w:rPr>
        <w:t>4.44</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Bq</w:t>
      </w:r>
      <w:r w:rsidRPr="00B12FE0">
        <w:rPr>
          <w:rFonts w:ascii="宋体" w:hAnsi="宋体"/>
          <w:color w:val="000000" w:themeColor="text1"/>
          <w:szCs w:val="24"/>
        </w:rPr>
        <w:t>，为乙级非密封放射性物质工作场所</w:t>
      </w:r>
      <w:r w:rsidRPr="00B12FE0">
        <w:rPr>
          <w:rFonts w:ascii="宋体" w:hAnsi="宋体"/>
          <w:bCs/>
          <w:color w:val="000000" w:themeColor="text1"/>
          <w:spacing w:val="2"/>
          <w:kern w:val="0"/>
          <w:szCs w:val="24"/>
        </w:rPr>
        <w:t>。</w:t>
      </w:r>
    </w:p>
    <w:p w14:paraId="37F859D5" w14:textId="77777777" w:rsidR="00A67F21" w:rsidRPr="00B12FE0" w:rsidRDefault="00000000">
      <w:pPr>
        <w:adjustRightInd w:val="0"/>
        <w:snapToGrid w:val="0"/>
        <w:spacing w:line="360" w:lineRule="auto"/>
        <w:contextualSpacing/>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1.1-1  </w:t>
      </w:r>
      <w:r w:rsidRPr="00B12FE0">
        <w:rPr>
          <w:rFonts w:ascii="宋体" w:hAnsi="宋体"/>
          <w:b/>
          <w:color w:val="000000" w:themeColor="text1"/>
          <w:sz w:val="21"/>
          <w:szCs w:val="21"/>
        </w:rPr>
        <w:t>本项目核素制备场所核素制备情况</w:t>
      </w:r>
    </w:p>
    <w:tbl>
      <w:tblPr>
        <w:tblW w:w="49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96"/>
        <w:gridCol w:w="1397"/>
        <w:gridCol w:w="1951"/>
        <w:gridCol w:w="1951"/>
        <w:gridCol w:w="2308"/>
      </w:tblGrid>
      <w:tr w:rsidR="00A67F21" w:rsidRPr="00B12FE0" w14:paraId="77B2EF5E" w14:textId="77777777">
        <w:trPr>
          <w:trHeight w:val="525"/>
          <w:jc w:val="center"/>
        </w:trPr>
        <w:tc>
          <w:tcPr>
            <w:tcW w:w="1396" w:type="dxa"/>
            <w:tcBorders>
              <w:top w:val="single" w:sz="8" w:space="0" w:color="000000"/>
              <w:left w:val="single" w:sz="8" w:space="0" w:color="000000"/>
              <w:bottom w:val="single" w:sz="8" w:space="0" w:color="000000"/>
              <w:right w:val="single" w:sz="8" w:space="0" w:color="000000"/>
            </w:tcBorders>
            <w:vAlign w:val="center"/>
          </w:tcPr>
          <w:p w14:paraId="4D9B15C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使用核素</w:t>
            </w:r>
          </w:p>
        </w:tc>
        <w:tc>
          <w:tcPr>
            <w:tcW w:w="1397" w:type="dxa"/>
            <w:tcBorders>
              <w:top w:val="single" w:sz="8" w:space="0" w:color="000000"/>
              <w:left w:val="single" w:sz="8" w:space="0" w:color="000000"/>
              <w:bottom w:val="single" w:sz="8" w:space="0" w:color="000000"/>
              <w:right w:val="single" w:sz="8" w:space="0" w:color="000000"/>
            </w:tcBorders>
            <w:vAlign w:val="center"/>
          </w:tcPr>
          <w:p w14:paraId="51A00FA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物理状态</w:t>
            </w:r>
          </w:p>
        </w:tc>
        <w:tc>
          <w:tcPr>
            <w:tcW w:w="1951" w:type="dxa"/>
            <w:tcBorders>
              <w:top w:val="single" w:sz="8" w:space="0" w:color="000000"/>
              <w:left w:val="single" w:sz="8" w:space="0" w:color="000000"/>
              <w:bottom w:val="single" w:sz="8" w:space="0" w:color="000000"/>
              <w:right w:val="single" w:sz="8" w:space="0" w:color="000000"/>
            </w:tcBorders>
            <w:vAlign w:val="center"/>
          </w:tcPr>
          <w:p w14:paraId="0485134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日最大</w:t>
            </w:r>
            <w:r w:rsidRPr="00B12FE0">
              <w:rPr>
                <w:rFonts w:ascii="宋体" w:hAnsi="宋体" w:hint="eastAsia"/>
                <w:color w:val="000000" w:themeColor="text1"/>
                <w:kern w:val="0"/>
                <w:sz w:val="21"/>
                <w:szCs w:val="21"/>
              </w:rPr>
              <w:t>制备</w:t>
            </w:r>
            <w:r w:rsidRPr="00B12FE0">
              <w:rPr>
                <w:rFonts w:ascii="宋体" w:hAnsi="宋体"/>
                <w:color w:val="000000" w:themeColor="text1"/>
                <w:kern w:val="0"/>
                <w:sz w:val="21"/>
                <w:szCs w:val="21"/>
              </w:rPr>
              <w:t>量</w:t>
            </w:r>
            <w:r w:rsidRPr="00B12FE0">
              <w:rPr>
                <w:rFonts w:ascii="宋体" w:hAnsi="宋体" w:hint="eastAsia"/>
                <w:color w:val="000000" w:themeColor="text1"/>
                <w:kern w:val="0"/>
                <w:sz w:val="21"/>
                <w:szCs w:val="21"/>
              </w:rPr>
              <w:t>（</w:t>
            </w:r>
            <w:r w:rsidRPr="00B12FE0">
              <w:rPr>
                <w:color w:val="000000" w:themeColor="text1"/>
                <w:sz w:val="21"/>
                <w:szCs w:val="21"/>
              </w:rPr>
              <w:t>Bq</w:t>
            </w:r>
            <w:r w:rsidRPr="00B12FE0">
              <w:rPr>
                <w:rFonts w:ascii="宋体" w:hAnsi="宋体" w:hint="eastAsia"/>
                <w:color w:val="000000" w:themeColor="text1"/>
                <w:kern w:val="0"/>
                <w:sz w:val="21"/>
                <w:szCs w:val="21"/>
              </w:rPr>
              <w:t>）</w:t>
            </w:r>
          </w:p>
        </w:tc>
        <w:tc>
          <w:tcPr>
            <w:tcW w:w="1951" w:type="dxa"/>
            <w:tcBorders>
              <w:top w:val="single" w:sz="8" w:space="0" w:color="000000"/>
              <w:left w:val="single" w:sz="8" w:space="0" w:color="000000"/>
              <w:bottom w:val="single" w:sz="8" w:space="0" w:color="000000"/>
              <w:right w:val="single" w:sz="8" w:space="0" w:color="000000"/>
            </w:tcBorders>
            <w:vAlign w:val="center"/>
          </w:tcPr>
          <w:p w14:paraId="004202B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年最大制备量（</w:t>
            </w:r>
            <w:r w:rsidRPr="00B12FE0">
              <w:rPr>
                <w:color w:val="000000" w:themeColor="text1"/>
                <w:sz w:val="21"/>
                <w:szCs w:val="21"/>
              </w:rPr>
              <w:t>Bq</w:t>
            </w:r>
            <w:r w:rsidRPr="00B12FE0">
              <w:rPr>
                <w:rFonts w:ascii="宋体" w:hAnsi="宋体"/>
                <w:color w:val="000000" w:themeColor="text1"/>
                <w:sz w:val="21"/>
                <w:szCs w:val="21"/>
              </w:rPr>
              <w:t>）</w:t>
            </w:r>
          </w:p>
        </w:tc>
        <w:tc>
          <w:tcPr>
            <w:tcW w:w="2308" w:type="dxa"/>
            <w:tcBorders>
              <w:top w:val="single" w:sz="8" w:space="0" w:color="000000"/>
              <w:left w:val="single" w:sz="8" w:space="0" w:color="000000"/>
              <w:bottom w:val="single" w:sz="8" w:space="0" w:color="000000"/>
              <w:right w:val="single" w:sz="8" w:space="0" w:color="000000"/>
            </w:tcBorders>
            <w:vAlign w:val="center"/>
          </w:tcPr>
          <w:p w14:paraId="7F6F9BA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用途</w:t>
            </w:r>
          </w:p>
        </w:tc>
      </w:tr>
      <w:tr w:rsidR="00A67F21" w:rsidRPr="00B12FE0" w14:paraId="47CD100A" w14:textId="77777777">
        <w:trPr>
          <w:trHeight w:val="285"/>
          <w:jc w:val="center"/>
        </w:trPr>
        <w:tc>
          <w:tcPr>
            <w:tcW w:w="1396" w:type="dxa"/>
            <w:tcBorders>
              <w:top w:val="single" w:sz="8" w:space="0" w:color="000000"/>
              <w:left w:val="single" w:sz="8" w:space="0" w:color="000000"/>
              <w:bottom w:val="single" w:sz="8" w:space="0" w:color="000000"/>
              <w:right w:val="single" w:sz="8" w:space="0" w:color="000000"/>
            </w:tcBorders>
            <w:vAlign w:val="center"/>
          </w:tcPr>
          <w:p w14:paraId="2695DD1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18</w:t>
            </w:r>
            <w:r w:rsidRPr="00B12FE0">
              <w:rPr>
                <w:color w:val="000000" w:themeColor="text1"/>
                <w:sz w:val="21"/>
                <w:szCs w:val="21"/>
              </w:rPr>
              <w:t>F</w:t>
            </w:r>
          </w:p>
        </w:tc>
        <w:tc>
          <w:tcPr>
            <w:tcW w:w="1397" w:type="dxa"/>
            <w:tcBorders>
              <w:top w:val="single" w:sz="8" w:space="0" w:color="000000"/>
              <w:left w:val="single" w:sz="8" w:space="0" w:color="000000"/>
              <w:bottom w:val="single" w:sz="8" w:space="0" w:color="000000"/>
              <w:right w:val="single" w:sz="8" w:space="0" w:color="000000"/>
            </w:tcBorders>
            <w:vAlign w:val="center"/>
          </w:tcPr>
          <w:p w14:paraId="5E4E88A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液体</w:t>
            </w:r>
          </w:p>
        </w:tc>
        <w:tc>
          <w:tcPr>
            <w:tcW w:w="1951" w:type="dxa"/>
            <w:tcBorders>
              <w:top w:val="single" w:sz="8" w:space="0" w:color="000000"/>
              <w:left w:val="single" w:sz="8" w:space="0" w:color="000000"/>
              <w:bottom w:val="single" w:sz="8" w:space="0" w:color="000000"/>
              <w:right w:val="single" w:sz="8" w:space="0" w:color="000000"/>
            </w:tcBorders>
            <w:noWrap/>
            <w:vAlign w:val="center"/>
          </w:tcPr>
          <w:p w14:paraId="05DD4058" w14:textId="77777777" w:rsidR="00A67F21" w:rsidRPr="00B12FE0" w:rsidRDefault="00000000">
            <w:pPr>
              <w:widowControl/>
              <w:jc w:val="center"/>
              <w:textAlignment w:val="center"/>
              <w:rPr>
                <w:color w:val="000000" w:themeColor="text1"/>
                <w:sz w:val="22"/>
                <w:szCs w:val="22"/>
              </w:rPr>
            </w:pPr>
            <w:r w:rsidRPr="00B12FE0">
              <w:rPr>
                <w:rFonts w:hint="eastAsia"/>
                <w:color w:val="000000" w:themeColor="text1"/>
                <w:kern w:val="0"/>
                <w:sz w:val="22"/>
                <w:szCs w:val="22"/>
              </w:rPr>
              <w:t>4.44</w:t>
            </w:r>
            <w:r w:rsidRPr="00B12FE0">
              <w:rPr>
                <w:color w:val="000000" w:themeColor="text1"/>
                <w:sz w:val="21"/>
                <w:szCs w:val="21"/>
              </w:rPr>
              <w:t>×10</w:t>
            </w:r>
            <w:r w:rsidRPr="00B12FE0">
              <w:rPr>
                <w:color w:val="000000" w:themeColor="text1"/>
                <w:sz w:val="21"/>
                <w:szCs w:val="21"/>
                <w:vertAlign w:val="superscript"/>
              </w:rPr>
              <w:t>10</w:t>
            </w:r>
          </w:p>
        </w:tc>
        <w:tc>
          <w:tcPr>
            <w:tcW w:w="1951" w:type="dxa"/>
            <w:tcBorders>
              <w:top w:val="single" w:sz="8" w:space="0" w:color="000000"/>
              <w:left w:val="single" w:sz="8" w:space="0" w:color="000000"/>
              <w:bottom w:val="single" w:sz="8" w:space="0" w:color="000000"/>
              <w:right w:val="single" w:sz="8" w:space="0" w:color="000000"/>
            </w:tcBorders>
            <w:noWrap/>
            <w:vAlign w:val="center"/>
          </w:tcPr>
          <w:p w14:paraId="13FA22FF" w14:textId="77777777" w:rsidR="00A67F21" w:rsidRPr="00B12FE0" w:rsidRDefault="00000000">
            <w:pPr>
              <w:widowControl/>
              <w:jc w:val="center"/>
              <w:textAlignment w:val="center"/>
              <w:rPr>
                <w:color w:val="000000" w:themeColor="text1"/>
                <w:sz w:val="22"/>
                <w:szCs w:val="22"/>
              </w:rPr>
            </w:pPr>
            <w:r w:rsidRPr="00B12FE0">
              <w:rPr>
                <w:rFonts w:hint="eastAsia"/>
                <w:color w:val="000000" w:themeColor="text1"/>
                <w:kern w:val="0"/>
                <w:sz w:val="22"/>
                <w:szCs w:val="22"/>
              </w:rPr>
              <w:t>1.11</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3</w:t>
            </w:r>
          </w:p>
        </w:tc>
        <w:tc>
          <w:tcPr>
            <w:tcW w:w="2308" w:type="dxa"/>
            <w:tcBorders>
              <w:top w:val="single" w:sz="8" w:space="0" w:color="000000"/>
              <w:left w:val="single" w:sz="8" w:space="0" w:color="000000"/>
              <w:bottom w:val="single" w:sz="8" w:space="0" w:color="000000"/>
              <w:right w:val="single" w:sz="8" w:space="0" w:color="000000"/>
            </w:tcBorders>
            <w:noWrap/>
            <w:vAlign w:val="center"/>
          </w:tcPr>
          <w:p w14:paraId="7E1D5ED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制备</w:t>
            </w:r>
            <w:r w:rsidRPr="00B12FE0">
              <w:rPr>
                <w:color w:val="000000" w:themeColor="text1"/>
                <w:sz w:val="21"/>
                <w:szCs w:val="21"/>
              </w:rPr>
              <w:t>PET</w:t>
            </w:r>
            <w:r w:rsidRPr="00B12FE0">
              <w:rPr>
                <w:rFonts w:ascii="宋体" w:hAnsi="宋体"/>
                <w:color w:val="000000" w:themeColor="text1"/>
                <w:sz w:val="21"/>
                <w:szCs w:val="21"/>
              </w:rPr>
              <w:t>用药物</w:t>
            </w:r>
          </w:p>
        </w:tc>
      </w:tr>
      <w:tr w:rsidR="00A67F21" w:rsidRPr="00B12FE0" w14:paraId="434BF06D" w14:textId="77777777">
        <w:trPr>
          <w:trHeight w:val="285"/>
          <w:jc w:val="center"/>
        </w:trPr>
        <w:tc>
          <w:tcPr>
            <w:tcW w:w="9003" w:type="dxa"/>
            <w:gridSpan w:val="5"/>
            <w:tcBorders>
              <w:top w:val="single" w:sz="8" w:space="0" w:color="000000"/>
              <w:left w:val="single" w:sz="8" w:space="0" w:color="000000"/>
              <w:bottom w:val="single" w:sz="8" w:space="0" w:color="000000"/>
              <w:right w:val="single" w:sz="8" w:space="0" w:color="000000"/>
            </w:tcBorders>
            <w:vAlign w:val="center"/>
          </w:tcPr>
          <w:p w14:paraId="20ED1BB0" w14:textId="77777777" w:rsidR="00A67F21" w:rsidRPr="00B12FE0" w:rsidRDefault="00000000">
            <w:pPr>
              <w:widowControl/>
              <w:textAlignment w:val="center"/>
              <w:rPr>
                <w:color w:val="000000" w:themeColor="text1"/>
                <w:sz w:val="21"/>
                <w:szCs w:val="21"/>
              </w:rPr>
            </w:pPr>
            <w:r w:rsidRPr="00B12FE0">
              <w:rPr>
                <w:rFonts w:ascii="宋体" w:hAnsi="宋体"/>
                <w:color w:val="000000" w:themeColor="text1"/>
                <w:sz w:val="18"/>
                <w:szCs w:val="18"/>
              </w:rPr>
              <w:t>注：放射性核素</w:t>
            </w:r>
            <w:r w:rsidRPr="00B12FE0">
              <w:rPr>
                <w:color w:val="000000" w:themeColor="text1"/>
                <w:sz w:val="18"/>
                <w:szCs w:val="18"/>
                <w:vertAlign w:val="superscript"/>
              </w:rPr>
              <w:t>18</w:t>
            </w:r>
            <w:r w:rsidRPr="00B12FE0">
              <w:rPr>
                <w:color w:val="000000" w:themeColor="text1"/>
                <w:sz w:val="18"/>
                <w:szCs w:val="18"/>
              </w:rPr>
              <w:t>F</w:t>
            </w:r>
            <w:r w:rsidRPr="00B12FE0">
              <w:rPr>
                <w:rFonts w:ascii="宋体" w:hAnsi="宋体" w:hint="eastAsia"/>
                <w:color w:val="000000" w:themeColor="text1"/>
                <w:sz w:val="18"/>
                <w:szCs w:val="18"/>
              </w:rPr>
              <w:t>每周一至周五</w:t>
            </w:r>
            <w:r w:rsidRPr="00B12FE0">
              <w:rPr>
                <w:rFonts w:ascii="宋体" w:hAnsi="宋体"/>
                <w:color w:val="000000" w:themeColor="text1"/>
                <w:sz w:val="18"/>
                <w:szCs w:val="18"/>
              </w:rPr>
              <w:t>均需制备</w:t>
            </w:r>
            <w:r w:rsidRPr="00B12FE0">
              <w:rPr>
                <w:rFonts w:ascii="宋体" w:hAnsi="宋体" w:hint="eastAsia"/>
                <w:color w:val="000000" w:themeColor="text1"/>
                <w:sz w:val="18"/>
                <w:szCs w:val="18"/>
              </w:rPr>
              <w:t>。</w:t>
            </w:r>
          </w:p>
        </w:tc>
      </w:tr>
    </w:tbl>
    <w:p w14:paraId="535355FF" w14:textId="77777777" w:rsidR="00A67F21" w:rsidRPr="00B12FE0" w:rsidRDefault="00000000">
      <w:pPr>
        <w:adjustRightInd w:val="0"/>
        <w:snapToGrid w:val="0"/>
        <w:spacing w:line="360" w:lineRule="auto"/>
        <w:ind w:firstLineChars="200" w:firstLine="482"/>
        <w:rPr>
          <w:b/>
          <w:color w:val="000000" w:themeColor="text1"/>
          <w:sz w:val="21"/>
          <w:szCs w:val="21"/>
        </w:rPr>
      </w:pPr>
      <w:r w:rsidRPr="00B12FE0">
        <w:rPr>
          <w:rFonts w:ascii="宋体" w:hAnsi="宋体"/>
          <w:b/>
          <w:bCs/>
          <w:color w:val="000000" w:themeColor="text1"/>
          <w:kern w:val="0"/>
          <w:szCs w:val="24"/>
        </w:rPr>
        <w:t>（</w:t>
      </w:r>
      <w:r w:rsidRPr="00B12FE0">
        <w:rPr>
          <w:b/>
          <w:bCs/>
          <w:color w:val="000000" w:themeColor="text1"/>
          <w:kern w:val="0"/>
          <w:szCs w:val="24"/>
        </w:rPr>
        <w:t>2</w:t>
      </w:r>
      <w:r w:rsidRPr="00B12FE0">
        <w:rPr>
          <w:rFonts w:ascii="宋体" w:hAnsi="宋体"/>
          <w:b/>
          <w:bCs/>
          <w:color w:val="000000" w:themeColor="text1"/>
          <w:kern w:val="0"/>
          <w:szCs w:val="24"/>
        </w:rPr>
        <w:t>）核医学科核素诊断场所</w:t>
      </w:r>
    </w:p>
    <w:p w14:paraId="3F16EDA8" w14:textId="77777777" w:rsidR="00A67F21" w:rsidRPr="00B12FE0" w:rsidRDefault="00000000">
      <w:pPr>
        <w:spacing w:line="360" w:lineRule="auto"/>
        <w:ind w:firstLineChars="200" w:firstLine="480"/>
        <w:rPr>
          <w:bCs/>
          <w:color w:val="000000" w:themeColor="text1"/>
          <w:kern w:val="0"/>
          <w:szCs w:val="24"/>
        </w:rPr>
      </w:pPr>
      <w:r w:rsidRPr="00B12FE0">
        <w:rPr>
          <w:rFonts w:ascii="宋体" w:hAnsi="宋体"/>
          <w:bCs/>
          <w:color w:val="000000" w:themeColor="text1"/>
          <w:szCs w:val="24"/>
        </w:rPr>
        <w:t>核医学科核素诊断场所位于肿瘤治疗中心</w:t>
      </w:r>
      <w:r w:rsidRPr="00B12FE0">
        <w:rPr>
          <w:rFonts w:ascii="宋体" w:hAnsi="宋体"/>
          <w:color w:val="000000" w:themeColor="text1"/>
          <w:szCs w:val="24"/>
        </w:rPr>
        <w:t>综合楼一层</w:t>
      </w:r>
      <w:r w:rsidRPr="00B12FE0">
        <w:rPr>
          <w:rFonts w:ascii="宋体" w:hAnsi="宋体" w:hint="eastAsia"/>
          <w:color w:val="000000" w:themeColor="text1"/>
          <w:szCs w:val="24"/>
        </w:rPr>
        <w:t>南侧</w:t>
      </w:r>
      <w:r w:rsidRPr="00B12FE0">
        <w:rPr>
          <w:rFonts w:ascii="宋体" w:hAnsi="宋体"/>
          <w:color w:val="000000" w:themeColor="text1"/>
          <w:szCs w:val="24"/>
        </w:rPr>
        <w:t>。</w:t>
      </w:r>
    </w:p>
    <w:p w14:paraId="6DA80D96" w14:textId="77777777" w:rsidR="00A67F21" w:rsidRPr="00B12FE0" w:rsidRDefault="00000000">
      <w:pPr>
        <w:spacing w:line="360" w:lineRule="auto"/>
        <w:ind w:firstLineChars="200" w:firstLine="480"/>
        <w:rPr>
          <w:color w:val="000000" w:themeColor="text1"/>
          <w:szCs w:val="24"/>
        </w:rPr>
      </w:pPr>
      <w:r w:rsidRPr="00B12FE0">
        <w:rPr>
          <w:rFonts w:ascii="Cambria Math" w:hAnsi="Cambria Math" w:cs="Cambria Math"/>
          <w:color w:val="000000" w:themeColor="text1"/>
          <w:szCs w:val="24"/>
        </w:rPr>
        <w:t>①</w:t>
      </w:r>
      <w:r w:rsidRPr="00B12FE0">
        <w:rPr>
          <w:rFonts w:ascii="宋体" w:hAnsi="宋体"/>
          <w:bCs/>
          <w:color w:val="000000" w:themeColor="text1"/>
          <w:kern w:val="0"/>
          <w:szCs w:val="24"/>
        </w:rPr>
        <w:t>建设</w:t>
      </w:r>
      <w:r w:rsidRPr="00B12FE0">
        <w:rPr>
          <w:bCs/>
          <w:color w:val="000000" w:themeColor="text1"/>
          <w:kern w:val="0"/>
          <w:szCs w:val="24"/>
        </w:rPr>
        <w:t>1</w:t>
      </w:r>
      <w:r w:rsidRPr="00B12FE0">
        <w:rPr>
          <w:rFonts w:ascii="宋体" w:hAnsi="宋体"/>
          <w:bCs/>
          <w:color w:val="000000" w:themeColor="text1"/>
          <w:kern w:val="0"/>
          <w:szCs w:val="24"/>
        </w:rPr>
        <w:t>间</w:t>
      </w:r>
      <w:r w:rsidRPr="00B12FE0">
        <w:rPr>
          <w:bCs/>
          <w:color w:val="000000" w:themeColor="text1"/>
          <w:szCs w:val="24"/>
        </w:rPr>
        <w:t>PET/CT</w:t>
      </w:r>
      <w:r w:rsidRPr="00B12FE0">
        <w:rPr>
          <w:rFonts w:ascii="宋体" w:hAnsi="宋体"/>
          <w:bCs/>
          <w:color w:val="000000" w:themeColor="text1"/>
          <w:szCs w:val="24"/>
        </w:rPr>
        <w:t>机房，拟购置</w:t>
      </w:r>
      <w:r w:rsidRPr="00B12FE0">
        <w:rPr>
          <w:bCs/>
          <w:color w:val="000000" w:themeColor="text1"/>
          <w:szCs w:val="24"/>
        </w:rPr>
        <w:t>1</w:t>
      </w:r>
      <w:r w:rsidRPr="00B12FE0">
        <w:rPr>
          <w:rFonts w:ascii="宋体" w:hAnsi="宋体"/>
          <w:bCs/>
          <w:color w:val="000000" w:themeColor="text1"/>
          <w:szCs w:val="24"/>
        </w:rPr>
        <w:t>台</w:t>
      </w:r>
      <w:r w:rsidRPr="00B12FE0">
        <w:rPr>
          <w:bCs/>
          <w:color w:val="000000" w:themeColor="text1"/>
          <w:szCs w:val="24"/>
        </w:rPr>
        <w:t>PET/CT</w:t>
      </w:r>
      <w:r w:rsidRPr="00B12FE0">
        <w:rPr>
          <w:rFonts w:ascii="宋体" w:hAnsi="宋体"/>
          <w:bCs/>
          <w:color w:val="000000" w:themeColor="text1"/>
          <w:szCs w:val="24"/>
        </w:rPr>
        <w:t>（</w:t>
      </w:r>
      <w:r w:rsidRPr="00B12FE0">
        <w:rPr>
          <w:rFonts w:ascii="宋体" w:hAnsi="宋体" w:hint="eastAsia"/>
          <w:color w:val="000000" w:themeColor="text1"/>
          <w:szCs w:val="24"/>
        </w:rPr>
        <w:t>型号待定，</w:t>
      </w:r>
      <w:r w:rsidRPr="00B12FE0">
        <w:rPr>
          <w:rFonts w:ascii="宋体" w:hAnsi="宋体"/>
          <w:caps/>
          <w:color w:val="000000" w:themeColor="text1"/>
          <w:szCs w:val="24"/>
        </w:rPr>
        <w:t>最大管电压</w:t>
      </w:r>
      <w:r w:rsidRPr="00B12FE0">
        <w:rPr>
          <w:caps/>
          <w:color w:val="000000" w:themeColor="text1"/>
          <w:szCs w:val="24"/>
        </w:rPr>
        <w:t>140</w:t>
      </w:r>
      <w:r w:rsidRPr="00B12FE0">
        <w:rPr>
          <w:color w:val="000000" w:themeColor="text1"/>
          <w:szCs w:val="24"/>
        </w:rPr>
        <w:t>k</w:t>
      </w:r>
      <w:r w:rsidRPr="00B12FE0">
        <w:rPr>
          <w:caps/>
          <w:color w:val="000000" w:themeColor="text1"/>
          <w:szCs w:val="24"/>
        </w:rPr>
        <w:t>V</w:t>
      </w:r>
      <w:r w:rsidRPr="00B12FE0">
        <w:rPr>
          <w:rFonts w:ascii="宋体" w:hAnsi="宋体" w:hint="eastAsia"/>
          <w:caps/>
          <w:color w:val="000000" w:themeColor="text1"/>
          <w:szCs w:val="24"/>
        </w:rPr>
        <w:t>，</w:t>
      </w:r>
      <w:r w:rsidRPr="00B12FE0">
        <w:rPr>
          <w:rFonts w:ascii="宋体" w:hAnsi="宋体"/>
          <w:caps/>
          <w:color w:val="000000" w:themeColor="text1"/>
          <w:szCs w:val="24"/>
        </w:rPr>
        <w:t>最大管电流</w:t>
      </w:r>
      <w:r w:rsidRPr="00B12FE0">
        <w:rPr>
          <w:caps/>
          <w:color w:val="000000" w:themeColor="text1"/>
          <w:szCs w:val="24"/>
        </w:rPr>
        <w:t>1000</w:t>
      </w:r>
      <w:r w:rsidRPr="00B12FE0">
        <w:rPr>
          <w:color w:val="000000" w:themeColor="text1"/>
          <w:szCs w:val="24"/>
        </w:rPr>
        <w:t>m</w:t>
      </w:r>
      <w:r w:rsidRPr="00B12FE0">
        <w:rPr>
          <w:caps/>
          <w:color w:val="000000" w:themeColor="text1"/>
          <w:szCs w:val="24"/>
        </w:rPr>
        <w:t>A</w:t>
      </w:r>
      <w:r w:rsidRPr="00B12FE0">
        <w:rPr>
          <w:rFonts w:ascii="宋体" w:hAnsi="宋体" w:hint="eastAsia"/>
          <w:caps/>
          <w:color w:val="000000" w:themeColor="text1"/>
          <w:szCs w:val="24"/>
        </w:rPr>
        <w:t>，</w:t>
      </w:r>
      <w:r w:rsidRPr="00B12FE0">
        <w:rPr>
          <w:rFonts w:ascii="宋体" w:hAnsi="宋体"/>
          <w:bCs/>
          <w:color w:val="000000" w:themeColor="text1"/>
          <w:szCs w:val="24"/>
        </w:rPr>
        <w:t>属</w:t>
      </w:r>
      <w:r w:rsidRPr="00B12FE0">
        <w:rPr>
          <w:bCs/>
          <w:color w:val="000000" w:themeColor="text1"/>
          <w:szCs w:val="24"/>
        </w:rPr>
        <w:t>Ⅲ</w:t>
      </w:r>
      <w:r w:rsidRPr="00B12FE0">
        <w:rPr>
          <w:rFonts w:ascii="宋体" w:hAnsi="宋体"/>
          <w:bCs/>
          <w:color w:val="000000" w:themeColor="text1"/>
          <w:szCs w:val="24"/>
        </w:rPr>
        <w:t>类射线装置）并使用</w:t>
      </w:r>
      <w:r w:rsidRPr="00B12FE0">
        <w:rPr>
          <w:bCs/>
          <w:color w:val="000000" w:themeColor="text1"/>
          <w:szCs w:val="24"/>
          <w:vertAlign w:val="superscript"/>
        </w:rPr>
        <w:t>18</w:t>
      </w:r>
      <w:r w:rsidRPr="00B12FE0">
        <w:rPr>
          <w:bCs/>
          <w:color w:val="000000" w:themeColor="text1"/>
          <w:szCs w:val="24"/>
        </w:rPr>
        <w:t>F</w:t>
      </w:r>
      <w:r w:rsidRPr="00B12FE0">
        <w:rPr>
          <w:rFonts w:ascii="宋体" w:hAnsi="宋体"/>
          <w:bCs/>
          <w:color w:val="000000" w:themeColor="text1"/>
          <w:szCs w:val="24"/>
        </w:rPr>
        <w:t>进行放射性药物显像，其中</w:t>
      </w:r>
      <w:r w:rsidRPr="00B12FE0">
        <w:rPr>
          <w:bCs/>
          <w:color w:val="000000" w:themeColor="text1"/>
          <w:szCs w:val="24"/>
          <w:vertAlign w:val="superscript"/>
        </w:rPr>
        <w:t>18</w:t>
      </w:r>
      <w:r w:rsidRPr="00B12FE0">
        <w:rPr>
          <w:bCs/>
          <w:color w:val="000000" w:themeColor="text1"/>
          <w:szCs w:val="24"/>
        </w:rPr>
        <w:t>F</w:t>
      </w:r>
      <w:r w:rsidRPr="00B12FE0">
        <w:rPr>
          <w:rFonts w:ascii="宋体" w:hAnsi="宋体"/>
          <w:color w:val="000000" w:themeColor="text1"/>
          <w:szCs w:val="24"/>
        </w:rPr>
        <w:t>由核素制备场所回旋加速器制备；</w:t>
      </w:r>
      <w:r w:rsidRPr="00B12FE0">
        <w:rPr>
          <w:bCs/>
          <w:color w:val="000000" w:themeColor="text1"/>
        </w:rPr>
        <w:t>PET/CT</w:t>
      </w:r>
      <w:r w:rsidRPr="00B12FE0">
        <w:rPr>
          <w:rFonts w:hint="eastAsia"/>
          <w:bCs/>
          <w:color w:val="000000" w:themeColor="text1"/>
        </w:rPr>
        <w:t>需</w:t>
      </w:r>
      <w:r w:rsidRPr="00B12FE0">
        <w:rPr>
          <w:bCs/>
          <w:color w:val="000000" w:themeColor="text1"/>
        </w:rPr>
        <w:t>配置校准源，</w:t>
      </w:r>
      <w:r w:rsidRPr="00B12FE0">
        <w:rPr>
          <w:rFonts w:hint="eastAsia"/>
          <w:bCs/>
          <w:color w:val="000000" w:themeColor="text1"/>
        </w:rPr>
        <w:t>因本项目</w:t>
      </w:r>
      <w:r w:rsidRPr="00B12FE0">
        <w:rPr>
          <w:bCs/>
          <w:color w:val="000000" w:themeColor="text1"/>
        </w:rPr>
        <w:t>PET/CT</w:t>
      </w:r>
      <w:r w:rsidRPr="00B12FE0">
        <w:rPr>
          <w:rFonts w:hint="eastAsia"/>
          <w:bCs/>
          <w:color w:val="000000" w:themeColor="text1"/>
        </w:rPr>
        <w:t>尚未确定型号，故尚不能明确其校准源活度和数量，本报告保守按照市场主流型号</w:t>
      </w:r>
      <w:r w:rsidRPr="00B12FE0">
        <w:rPr>
          <w:bCs/>
          <w:color w:val="000000" w:themeColor="text1"/>
        </w:rPr>
        <w:t>PET/CT</w:t>
      </w:r>
      <w:r w:rsidRPr="00B12FE0">
        <w:rPr>
          <w:rFonts w:hint="eastAsia"/>
          <w:bCs/>
          <w:color w:val="000000" w:themeColor="text1"/>
        </w:rPr>
        <w:t>所配备最大活度校准源和数量，即</w:t>
      </w:r>
      <w:r w:rsidRPr="00B12FE0">
        <w:rPr>
          <w:bCs/>
          <w:color w:val="000000" w:themeColor="text1"/>
        </w:rPr>
        <w:t>1</w:t>
      </w:r>
      <w:r w:rsidRPr="00B12FE0">
        <w:rPr>
          <w:bCs/>
          <w:color w:val="000000" w:themeColor="text1"/>
        </w:rPr>
        <w:t>枚</w:t>
      </w:r>
      <w:r w:rsidRPr="00B12FE0">
        <w:rPr>
          <w:bCs/>
          <w:color w:val="000000" w:themeColor="text1"/>
        </w:rPr>
        <w:t>1.11</w:t>
      </w:r>
      <w:r w:rsidRPr="00B12FE0">
        <w:rPr>
          <w:rFonts w:hint="eastAsia"/>
          <w:bCs/>
          <w:color w:val="000000" w:themeColor="text1"/>
        </w:rPr>
        <w:t>E+08</w:t>
      </w:r>
      <w:r w:rsidRPr="00B12FE0">
        <w:rPr>
          <w:bCs/>
          <w:color w:val="000000" w:themeColor="text1"/>
        </w:rPr>
        <w:t>Bq</w:t>
      </w:r>
      <w:r w:rsidRPr="00B12FE0">
        <w:rPr>
          <w:rFonts w:hint="eastAsia"/>
          <w:bCs/>
          <w:color w:val="000000" w:themeColor="text1"/>
        </w:rPr>
        <w:t>的</w:t>
      </w:r>
      <w:r w:rsidRPr="00B12FE0">
        <w:rPr>
          <w:bCs/>
          <w:color w:val="000000" w:themeColor="text1"/>
          <w:vertAlign w:val="superscript"/>
        </w:rPr>
        <w:t>68</w:t>
      </w:r>
      <w:r w:rsidRPr="00B12FE0">
        <w:rPr>
          <w:bCs/>
          <w:color w:val="000000" w:themeColor="text1"/>
        </w:rPr>
        <w:t>Ge</w:t>
      </w:r>
      <w:r w:rsidRPr="00B12FE0">
        <w:rPr>
          <w:bCs/>
          <w:color w:val="000000" w:themeColor="text1"/>
        </w:rPr>
        <w:t>校准源和</w:t>
      </w:r>
      <w:r w:rsidRPr="00B12FE0">
        <w:rPr>
          <w:rFonts w:hint="eastAsia"/>
          <w:color w:val="000000" w:themeColor="text1"/>
        </w:rPr>
        <w:t>2</w:t>
      </w:r>
      <w:r w:rsidRPr="00B12FE0">
        <w:rPr>
          <w:bCs/>
          <w:color w:val="000000" w:themeColor="text1"/>
        </w:rPr>
        <w:t>枚</w:t>
      </w:r>
      <w:r w:rsidRPr="00B12FE0">
        <w:rPr>
          <w:bCs/>
          <w:color w:val="000000" w:themeColor="text1"/>
        </w:rPr>
        <w:t>5.55</w:t>
      </w:r>
      <w:r w:rsidRPr="00B12FE0">
        <w:rPr>
          <w:rFonts w:hint="eastAsia"/>
          <w:bCs/>
          <w:color w:val="000000" w:themeColor="text1"/>
        </w:rPr>
        <w:t>E+07</w:t>
      </w:r>
      <w:r w:rsidRPr="00B12FE0">
        <w:rPr>
          <w:bCs/>
          <w:color w:val="000000" w:themeColor="text1"/>
        </w:rPr>
        <w:t>Bq</w:t>
      </w:r>
      <w:r w:rsidRPr="00B12FE0">
        <w:rPr>
          <w:rFonts w:hint="eastAsia"/>
          <w:bCs/>
          <w:color w:val="000000" w:themeColor="text1"/>
        </w:rPr>
        <w:t>的</w:t>
      </w:r>
      <w:r w:rsidRPr="00B12FE0">
        <w:rPr>
          <w:bCs/>
          <w:color w:val="000000" w:themeColor="text1"/>
          <w:vertAlign w:val="superscript"/>
        </w:rPr>
        <w:t>68</w:t>
      </w:r>
      <w:r w:rsidRPr="00B12FE0">
        <w:rPr>
          <w:bCs/>
          <w:color w:val="000000" w:themeColor="text1"/>
        </w:rPr>
        <w:t>Ge</w:t>
      </w:r>
      <w:r w:rsidRPr="00B12FE0">
        <w:rPr>
          <w:bCs/>
          <w:color w:val="000000" w:themeColor="text1"/>
        </w:rPr>
        <w:t>校准源</w:t>
      </w:r>
      <w:r w:rsidRPr="00B12FE0">
        <w:rPr>
          <w:rFonts w:hint="eastAsia"/>
          <w:bCs/>
          <w:color w:val="000000" w:themeColor="text1"/>
        </w:rPr>
        <w:t>，</w:t>
      </w:r>
      <w:r w:rsidRPr="00B12FE0">
        <w:rPr>
          <w:rFonts w:hint="eastAsia"/>
          <w:color w:val="000000" w:themeColor="text1"/>
        </w:rPr>
        <w:t>均</w:t>
      </w:r>
      <w:r w:rsidRPr="00B12FE0">
        <w:rPr>
          <w:rFonts w:eastAsiaTheme="minorEastAsia"/>
          <w:color w:val="000000" w:themeColor="text1"/>
        </w:rPr>
        <w:t>为</w:t>
      </w:r>
      <w:r w:rsidRPr="00B12FE0">
        <w:rPr>
          <w:color w:val="000000" w:themeColor="text1"/>
        </w:rPr>
        <w:t>V</w:t>
      </w:r>
      <w:r w:rsidRPr="00B12FE0">
        <w:rPr>
          <w:rFonts w:eastAsiaTheme="minorEastAsia"/>
          <w:color w:val="000000" w:themeColor="text1"/>
        </w:rPr>
        <w:t>类放射源</w:t>
      </w:r>
      <w:r w:rsidRPr="00B12FE0">
        <w:rPr>
          <w:rFonts w:eastAsiaTheme="minorEastAsia" w:hint="eastAsia"/>
          <w:color w:val="000000" w:themeColor="text1"/>
        </w:rPr>
        <w:t>；</w:t>
      </w:r>
    </w:p>
    <w:p w14:paraId="631E1F3D" w14:textId="77777777" w:rsidR="00A67F21" w:rsidRPr="00B12FE0" w:rsidRDefault="00000000">
      <w:pPr>
        <w:spacing w:line="360" w:lineRule="auto"/>
        <w:ind w:firstLineChars="200" w:firstLine="480"/>
        <w:rPr>
          <w:color w:val="000000" w:themeColor="text1"/>
          <w:szCs w:val="24"/>
        </w:rPr>
      </w:pPr>
      <w:r w:rsidRPr="00B12FE0">
        <w:rPr>
          <w:rFonts w:ascii="Cambria Math" w:hAnsi="Cambria Math" w:cs="Cambria Math"/>
          <w:color w:val="000000" w:themeColor="text1"/>
          <w:szCs w:val="24"/>
        </w:rPr>
        <w:lastRenderedPageBreak/>
        <w:t>②</w:t>
      </w:r>
      <w:r w:rsidRPr="00B12FE0">
        <w:rPr>
          <w:rFonts w:ascii="宋体" w:hAnsi="宋体"/>
          <w:bCs/>
          <w:color w:val="000000" w:themeColor="text1"/>
          <w:kern w:val="0"/>
          <w:szCs w:val="24"/>
        </w:rPr>
        <w:t>建设</w:t>
      </w:r>
      <w:r w:rsidRPr="00B12FE0">
        <w:rPr>
          <w:bCs/>
          <w:color w:val="000000" w:themeColor="text1"/>
          <w:kern w:val="0"/>
          <w:szCs w:val="24"/>
        </w:rPr>
        <w:t>2</w:t>
      </w:r>
      <w:r w:rsidRPr="00B12FE0">
        <w:rPr>
          <w:rFonts w:ascii="宋体" w:hAnsi="宋体"/>
          <w:bCs/>
          <w:color w:val="000000" w:themeColor="text1"/>
          <w:kern w:val="0"/>
          <w:szCs w:val="24"/>
        </w:rPr>
        <w:t>间</w:t>
      </w:r>
      <w:r w:rsidRPr="00B12FE0">
        <w:rPr>
          <w:color w:val="000000" w:themeColor="text1"/>
          <w:szCs w:val="24"/>
        </w:rPr>
        <w:t>SPECT/CT</w:t>
      </w:r>
      <w:r w:rsidRPr="00B12FE0">
        <w:rPr>
          <w:rFonts w:ascii="宋体" w:hAnsi="宋体"/>
          <w:bCs/>
          <w:color w:val="000000" w:themeColor="text1"/>
          <w:szCs w:val="24"/>
        </w:rPr>
        <w:t>机房，购置</w:t>
      </w:r>
      <w:r w:rsidRPr="00B12FE0">
        <w:rPr>
          <w:bCs/>
          <w:color w:val="000000" w:themeColor="text1"/>
          <w:szCs w:val="24"/>
        </w:rPr>
        <w:t>2</w:t>
      </w:r>
      <w:r w:rsidRPr="00B12FE0">
        <w:rPr>
          <w:rFonts w:ascii="宋体" w:hAnsi="宋体"/>
          <w:bCs/>
          <w:color w:val="000000" w:themeColor="text1"/>
          <w:szCs w:val="24"/>
        </w:rPr>
        <w:t>台</w:t>
      </w:r>
      <w:r w:rsidRPr="00B12FE0">
        <w:rPr>
          <w:color w:val="000000" w:themeColor="text1"/>
          <w:szCs w:val="24"/>
        </w:rPr>
        <w:t>SPECT/CT</w:t>
      </w:r>
      <w:r w:rsidRPr="00B12FE0">
        <w:rPr>
          <w:rFonts w:ascii="宋体" w:hAnsi="宋体"/>
          <w:bCs/>
          <w:color w:val="000000" w:themeColor="text1"/>
          <w:szCs w:val="24"/>
        </w:rPr>
        <w:t>（</w:t>
      </w:r>
      <w:r w:rsidRPr="00B12FE0">
        <w:rPr>
          <w:rFonts w:ascii="宋体" w:hAnsi="宋体" w:hint="eastAsia"/>
          <w:color w:val="000000" w:themeColor="text1"/>
          <w:szCs w:val="24"/>
        </w:rPr>
        <w:t>型号待定，</w:t>
      </w:r>
      <w:r w:rsidRPr="00B12FE0">
        <w:rPr>
          <w:rFonts w:ascii="宋体" w:hAnsi="宋体"/>
          <w:caps/>
          <w:color w:val="000000" w:themeColor="text1"/>
          <w:szCs w:val="24"/>
        </w:rPr>
        <w:t>最大管电压</w:t>
      </w:r>
      <w:r w:rsidRPr="00B12FE0">
        <w:rPr>
          <w:caps/>
          <w:color w:val="000000" w:themeColor="text1"/>
          <w:szCs w:val="24"/>
        </w:rPr>
        <w:t>140</w:t>
      </w:r>
      <w:r w:rsidRPr="00B12FE0">
        <w:rPr>
          <w:color w:val="000000" w:themeColor="text1"/>
          <w:szCs w:val="24"/>
        </w:rPr>
        <w:t>k</w:t>
      </w:r>
      <w:r w:rsidRPr="00B12FE0">
        <w:rPr>
          <w:caps/>
          <w:color w:val="000000" w:themeColor="text1"/>
          <w:szCs w:val="24"/>
        </w:rPr>
        <w:t>V</w:t>
      </w:r>
      <w:r w:rsidRPr="00B12FE0">
        <w:rPr>
          <w:rFonts w:ascii="宋体" w:hAnsi="宋体" w:hint="eastAsia"/>
          <w:caps/>
          <w:color w:val="000000" w:themeColor="text1"/>
          <w:szCs w:val="24"/>
        </w:rPr>
        <w:t>，</w:t>
      </w:r>
      <w:r w:rsidRPr="00B12FE0">
        <w:rPr>
          <w:rFonts w:ascii="宋体" w:hAnsi="宋体"/>
          <w:caps/>
          <w:color w:val="000000" w:themeColor="text1"/>
          <w:szCs w:val="24"/>
        </w:rPr>
        <w:t>最大管电流</w:t>
      </w:r>
      <w:r w:rsidRPr="00B12FE0">
        <w:rPr>
          <w:caps/>
          <w:color w:val="000000" w:themeColor="text1"/>
          <w:szCs w:val="24"/>
        </w:rPr>
        <w:t>1000</w:t>
      </w:r>
      <w:r w:rsidRPr="00B12FE0">
        <w:rPr>
          <w:color w:val="000000" w:themeColor="text1"/>
          <w:szCs w:val="24"/>
        </w:rPr>
        <w:t>m</w:t>
      </w:r>
      <w:r w:rsidRPr="00B12FE0">
        <w:rPr>
          <w:caps/>
          <w:color w:val="000000" w:themeColor="text1"/>
          <w:szCs w:val="24"/>
        </w:rPr>
        <w:t>A</w:t>
      </w:r>
      <w:r w:rsidRPr="00B12FE0">
        <w:rPr>
          <w:rFonts w:ascii="宋体" w:hAnsi="宋体" w:hint="eastAsia"/>
          <w:caps/>
          <w:color w:val="000000" w:themeColor="text1"/>
          <w:szCs w:val="24"/>
        </w:rPr>
        <w:t>，</w:t>
      </w:r>
      <w:r w:rsidRPr="00B12FE0">
        <w:rPr>
          <w:rFonts w:ascii="宋体" w:hAnsi="宋体"/>
          <w:bCs/>
          <w:color w:val="000000" w:themeColor="text1"/>
          <w:szCs w:val="24"/>
        </w:rPr>
        <w:t>属</w:t>
      </w:r>
      <w:r w:rsidRPr="00B12FE0">
        <w:rPr>
          <w:bCs/>
          <w:color w:val="000000" w:themeColor="text1"/>
          <w:szCs w:val="24"/>
        </w:rPr>
        <w:t>Ⅲ</w:t>
      </w:r>
      <w:r w:rsidRPr="00B12FE0">
        <w:rPr>
          <w:rFonts w:ascii="宋体" w:hAnsi="宋体"/>
          <w:bCs/>
          <w:color w:val="000000" w:themeColor="text1"/>
          <w:szCs w:val="24"/>
        </w:rPr>
        <w:t>类射线装置）并使用</w:t>
      </w:r>
      <w:r w:rsidRPr="00B12FE0">
        <w:rPr>
          <w:color w:val="000000" w:themeColor="text1"/>
          <w:szCs w:val="24"/>
          <w:vertAlign w:val="superscript"/>
        </w:rPr>
        <w:t>99m</w:t>
      </w:r>
      <w:r w:rsidRPr="00B12FE0">
        <w:rPr>
          <w:color w:val="000000" w:themeColor="text1"/>
          <w:szCs w:val="24"/>
        </w:rPr>
        <w:t>Tc</w:t>
      </w:r>
      <w:r w:rsidRPr="00B12FE0">
        <w:rPr>
          <w:rFonts w:ascii="宋体" w:hAnsi="宋体"/>
          <w:bCs/>
          <w:color w:val="000000" w:themeColor="text1"/>
          <w:szCs w:val="24"/>
        </w:rPr>
        <w:t>进行放射性药物显像，其中显像剂</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由外购</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w:t>
      </w:r>
      <w:r w:rsidRPr="00B12FE0">
        <w:rPr>
          <w:rFonts w:ascii="宋体" w:hAnsi="宋体" w:hint="eastAsia"/>
          <w:color w:val="000000" w:themeColor="text1"/>
          <w:szCs w:val="24"/>
        </w:rPr>
        <w:t>淋洗标记</w:t>
      </w:r>
      <w:r w:rsidRPr="00B12FE0">
        <w:rPr>
          <w:rFonts w:ascii="宋体" w:hAnsi="宋体"/>
          <w:color w:val="000000" w:themeColor="text1"/>
          <w:szCs w:val="24"/>
        </w:rPr>
        <w:t>；</w:t>
      </w:r>
    </w:p>
    <w:p w14:paraId="15A148CB" w14:textId="77777777" w:rsidR="00A67F21" w:rsidRPr="00B12FE0" w:rsidRDefault="00000000">
      <w:pPr>
        <w:spacing w:line="360" w:lineRule="auto"/>
        <w:ind w:firstLineChars="200" w:firstLine="480"/>
        <w:rPr>
          <w:rFonts w:ascii="宋体" w:hAnsi="宋体" w:hint="eastAsia"/>
          <w:bCs/>
          <w:color w:val="000000" w:themeColor="text1"/>
          <w:szCs w:val="24"/>
        </w:rPr>
      </w:pPr>
      <w:r w:rsidRPr="00B12FE0">
        <w:rPr>
          <w:rFonts w:ascii="宋体" w:hAnsi="宋体" w:hint="eastAsia"/>
          <w:bCs/>
          <w:color w:val="000000" w:themeColor="text1"/>
          <w:szCs w:val="24"/>
        </w:rPr>
        <w:t>③设置</w:t>
      </w:r>
      <w:r w:rsidRPr="00B12FE0">
        <w:rPr>
          <w:bCs/>
          <w:color w:val="000000" w:themeColor="text1"/>
          <w:szCs w:val="24"/>
        </w:rPr>
        <w:t>一间</w:t>
      </w:r>
      <w:proofErr w:type="gramStart"/>
      <w:r w:rsidRPr="00B12FE0">
        <w:rPr>
          <w:bCs/>
          <w:color w:val="000000" w:themeColor="text1"/>
          <w:szCs w:val="24"/>
        </w:rPr>
        <w:t>甲测室</w:t>
      </w:r>
      <w:proofErr w:type="gramEnd"/>
      <w:r w:rsidRPr="00B12FE0">
        <w:rPr>
          <w:bCs/>
          <w:color w:val="000000" w:themeColor="text1"/>
          <w:szCs w:val="24"/>
        </w:rPr>
        <w:t>和一间敷贴室，使用</w:t>
      </w:r>
      <w:r w:rsidRPr="00B12FE0">
        <w:rPr>
          <w:bCs/>
          <w:color w:val="000000" w:themeColor="text1"/>
          <w:szCs w:val="24"/>
          <w:vertAlign w:val="superscript"/>
        </w:rPr>
        <w:t>131</w:t>
      </w:r>
      <w:r w:rsidRPr="00B12FE0">
        <w:rPr>
          <w:color w:val="000000" w:themeColor="text1"/>
          <w:szCs w:val="24"/>
        </w:rPr>
        <w:t>I</w:t>
      </w:r>
      <w:r w:rsidRPr="00B12FE0">
        <w:rPr>
          <w:color w:val="000000" w:themeColor="text1"/>
          <w:szCs w:val="24"/>
        </w:rPr>
        <w:t>进行甲状腺碘吸收率测定</w:t>
      </w:r>
      <w:r w:rsidRPr="00B12FE0">
        <w:rPr>
          <w:rFonts w:hint="eastAsia"/>
          <w:color w:val="000000" w:themeColor="text1"/>
          <w:szCs w:val="24"/>
        </w:rPr>
        <w:t>，</w:t>
      </w:r>
      <w:r w:rsidRPr="00B12FE0">
        <w:rPr>
          <w:color w:val="000000" w:themeColor="text1"/>
          <w:szCs w:val="24"/>
        </w:rPr>
        <w:t>使用</w:t>
      </w:r>
      <w:r w:rsidRPr="00B12FE0">
        <w:rPr>
          <w:color w:val="000000" w:themeColor="text1"/>
          <w:szCs w:val="24"/>
          <w:vertAlign w:val="superscript"/>
        </w:rPr>
        <w:t>32</w:t>
      </w:r>
      <w:r w:rsidRPr="00B12FE0">
        <w:rPr>
          <w:color w:val="000000" w:themeColor="text1"/>
          <w:szCs w:val="24"/>
        </w:rPr>
        <w:t>P</w:t>
      </w:r>
      <w:r w:rsidRPr="00B12FE0">
        <w:rPr>
          <w:color w:val="000000" w:themeColor="text1"/>
          <w:szCs w:val="24"/>
        </w:rPr>
        <w:t>进行敷贴治疗</w:t>
      </w:r>
      <w:r w:rsidRPr="00B12FE0">
        <w:rPr>
          <w:rFonts w:ascii="宋体" w:hAnsi="宋体" w:hint="eastAsia"/>
          <w:color w:val="000000" w:themeColor="text1"/>
          <w:szCs w:val="24"/>
        </w:rPr>
        <w:t>；</w:t>
      </w:r>
    </w:p>
    <w:p w14:paraId="67726138" w14:textId="77777777" w:rsidR="00A67F21" w:rsidRPr="00B12FE0" w:rsidRDefault="00000000">
      <w:pPr>
        <w:spacing w:line="360" w:lineRule="auto"/>
        <w:ind w:firstLineChars="200" w:firstLine="480"/>
        <w:rPr>
          <w:rFonts w:ascii="宋体" w:hAnsi="宋体" w:hint="eastAsia"/>
          <w:bCs/>
          <w:color w:val="000000" w:themeColor="text1"/>
          <w:szCs w:val="24"/>
        </w:rPr>
      </w:pPr>
      <w:r w:rsidRPr="00B12FE0">
        <w:rPr>
          <w:rFonts w:ascii="宋体" w:hAnsi="宋体" w:hint="eastAsia"/>
          <w:bCs/>
          <w:color w:val="000000" w:themeColor="text1"/>
          <w:szCs w:val="24"/>
        </w:rPr>
        <w:t>④设置</w:t>
      </w:r>
      <w:r w:rsidRPr="00B12FE0">
        <w:rPr>
          <w:rFonts w:ascii="宋体" w:hAnsi="宋体"/>
          <w:bCs/>
          <w:color w:val="000000" w:themeColor="text1"/>
          <w:szCs w:val="24"/>
        </w:rPr>
        <w:t>一间</w:t>
      </w:r>
      <w:r w:rsidRPr="00B12FE0">
        <w:rPr>
          <w:rFonts w:ascii="宋体" w:hAnsi="宋体" w:hint="eastAsia"/>
          <w:bCs/>
          <w:color w:val="000000" w:themeColor="text1"/>
          <w:szCs w:val="24"/>
        </w:rPr>
        <w:t>甲亢留观室，</w:t>
      </w:r>
      <w:r w:rsidRPr="00B12FE0">
        <w:rPr>
          <w:rFonts w:ascii="宋体" w:hAnsi="宋体"/>
          <w:color w:val="000000" w:themeColor="text1"/>
          <w:szCs w:val="24"/>
        </w:rPr>
        <w:t>使用</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进行甲状腺功能亢进症（以下简称</w:t>
      </w:r>
      <w:r w:rsidRPr="00B12FE0">
        <w:rPr>
          <w:color w:val="000000" w:themeColor="text1"/>
          <w:szCs w:val="24"/>
        </w:rPr>
        <w:t>“</w:t>
      </w:r>
      <w:r w:rsidRPr="00B12FE0">
        <w:rPr>
          <w:rFonts w:ascii="宋体" w:hAnsi="宋体"/>
          <w:color w:val="000000" w:themeColor="text1"/>
          <w:szCs w:val="24"/>
        </w:rPr>
        <w:t>甲亢</w:t>
      </w:r>
      <w:r w:rsidRPr="00B12FE0">
        <w:rPr>
          <w:color w:val="000000" w:themeColor="text1"/>
          <w:szCs w:val="24"/>
        </w:rPr>
        <w:t>”</w:t>
      </w:r>
      <w:r w:rsidRPr="00B12FE0">
        <w:rPr>
          <w:rFonts w:ascii="宋体" w:hAnsi="宋体"/>
          <w:color w:val="000000" w:themeColor="text1"/>
          <w:szCs w:val="24"/>
        </w:rPr>
        <w:t>）治疗</w:t>
      </w:r>
      <w:r w:rsidRPr="00B12FE0">
        <w:rPr>
          <w:rFonts w:ascii="宋体" w:hAnsi="宋体" w:hint="eastAsia"/>
          <w:color w:val="000000" w:themeColor="text1"/>
          <w:szCs w:val="24"/>
        </w:rPr>
        <w:t>。</w:t>
      </w:r>
    </w:p>
    <w:p w14:paraId="2A089A81" w14:textId="77777777" w:rsidR="00A67F21" w:rsidRPr="00B12FE0" w:rsidRDefault="00000000">
      <w:pPr>
        <w:spacing w:line="360" w:lineRule="auto"/>
        <w:ind w:firstLineChars="200" w:firstLine="480"/>
        <w:rPr>
          <w:color w:val="000000" w:themeColor="text1"/>
          <w:szCs w:val="24"/>
        </w:rPr>
      </w:pPr>
      <w:r w:rsidRPr="00B12FE0">
        <w:rPr>
          <w:rFonts w:ascii="宋体" w:hAnsi="宋体"/>
          <w:bCs/>
          <w:color w:val="000000" w:themeColor="text1"/>
          <w:szCs w:val="24"/>
        </w:rPr>
        <w:t>项目</w:t>
      </w:r>
      <w:r w:rsidRPr="00B12FE0">
        <w:rPr>
          <w:rFonts w:ascii="宋体" w:hAnsi="宋体"/>
          <w:bCs/>
          <w:color w:val="000000" w:themeColor="text1"/>
          <w:kern w:val="0"/>
          <w:szCs w:val="24"/>
        </w:rPr>
        <w:t>核素诊断场所</w:t>
      </w:r>
      <w:r w:rsidRPr="00B12FE0">
        <w:rPr>
          <w:rFonts w:ascii="宋体" w:hAnsi="宋体"/>
          <w:bCs/>
          <w:color w:val="000000" w:themeColor="text1"/>
          <w:szCs w:val="24"/>
        </w:rPr>
        <w:t>核素使用情况见表</w:t>
      </w:r>
      <w:r w:rsidRPr="00B12FE0">
        <w:rPr>
          <w:bCs/>
          <w:color w:val="000000" w:themeColor="text1"/>
          <w:szCs w:val="24"/>
        </w:rPr>
        <w:t>1.1-</w:t>
      </w:r>
      <w:r w:rsidRPr="00B12FE0">
        <w:rPr>
          <w:rFonts w:hint="eastAsia"/>
          <w:bCs/>
          <w:color w:val="000000" w:themeColor="text1"/>
          <w:szCs w:val="24"/>
        </w:rPr>
        <w:t>2</w:t>
      </w:r>
      <w:r w:rsidRPr="00B12FE0">
        <w:rPr>
          <w:rFonts w:ascii="宋体" w:hAnsi="宋体"/>
          <w:bCs/>
          <w:color w:val="000000" w:themeColor="text1"/>
          <w:szCs w:val="24"/>
        </w:rPr>
        <w:t>。</w:t>
      </w:r>
      <w:r w:rsidRPr="00B12FE0">
        <w:rPr>
          <w:rFonts w:ascii="宋体" w:hAnsi="宋体" w:hint="eastAsia"/>
          <w:bCs/>
          <w:color w:val="000000" w:themeColor="text1"/>
          <w:szCs w:val="24"/>
        </w:rPr>
        <w:t>根据表</w:t>
      </w:r>
      <w:r w:rsidRPr="00B12FE0">
        <w:rPr>
          <w:rFonts w:hint="eastAsia"/>
          <w:bCs/>
          <w:color w:val="000000" w:themeColor="text1"/>
          <w:szCs w:val="24"/>
        </w:rPr>
        <w:t>10.1.1.4-3</w:t>
      </w:r>
      <w:r w:rsidRPr="00B12FE0">
        <w:rPr>
          <w:rFonts w:ascii="宋体" w:hAnsi="宋体" w:hint="eastAsia"/>
          <w:bCs/>
          <w:color w:val="000000" w:themeColor="text1"/>
          <w:szCs w:val="24"/>
        </w:rPr>
        <w:t>，</w:t>
      </w:r>
      <w:r w:rsidRPr="00B12FE0">
        <w:rPr>
          <w:rFonts w:ascii="宋体" w:hAnsi="宋体"/>
          <w:color w:val="000000" w:themeColor="text1"/>
          <w:szCs w:val="24"/>
        </w:rPr>
        <w:t>本项目</w:t>
      </w:r>
      <w:r w:rsidRPr="00B12FE0">
        <w:rPr>
          <w:rFonts w:ascii="宋体" w:hAnsi="宋体"/>
          <w:bCs/>
          <w:color w:val="000000" w:themeColor="text1"/>
          <w:kern w:val="0"/>
          <w:szCs w:val="24"/>
        </w:rPr>
        <w:t>核素诊断场所</w:t>
      </w:r>
      <w:r w:rsidRPr="00B12FE0">
        <w:rPr>
          <w:rFonts w:ascii="宋体" w:hAnsi="宋体"/>
          <w:color w:val="000000" w:themeColor="text1"/>
          <w:szCs w:val="24"/>
        </w:rPr>
        <w:t>放射性核素日等效最大操作量为</w:t>
      </w:r>
      <w:r w:rsidRPr="00B12FE0">
        <w:rPr>
          <w:rFonts w:hint="eastAsia"/>
          <w:color w:val="000000" w:themeColor="text1"/>
          <w:szCs w:val="24"/>
        </w:rPr>
        <w:t>7.59</w:t>
      </w:r>
      <w:r w:rsidRPr="00B12FE0">
        <w:rPr>
          <w:color w:val="000000" w:themeColor="text1"/>
          <w:szCs w:val="24"/>
        </w:rPr>
        <w:t>×10</w:t>
      </w:r>
      <w:r w:rsidRPr="00B12FE0">
        <w:rPr>
          <w:rFonts w:hint="eastAsia"/>
          <w:color w:val="000000" w:themeColor="text1"/>
          <w:szCs w:val="24"/>
          <w:vertAlign w:val="superscript"/>
        </w:rPr>
        <w:t>8</w:t>
      </w:r>
      <w:r w:rsidRPr="00B12FE0">
        <w:rPr>
          <w:color w:val="000000" w:themeColor="text1"/>
          <w:szCs w:val="24"/>
        </w:rPr>
        <w:t>Bq</w:t>
      </w:r>
      <w:r w:rsidRPr="00B12FE0">
        <w:rPr>
          <w:rFonts w:ascii="宋体" w:hAnsi="宋体"/>
          <w:color w:val="000000" w:themeColor="text1"/>
          <w:szCs w:val="24"/>
        </w:rPr>
        <w:t>，为乙级非密封放射性物质工作场所</w:t>
      </w:r>
      <w:r w:rsidRPr="00B12FE0">
        <w:rPr>
          <w:rFonts w:ascii="宋体" w:hAnsi="宋体"/>
          <w:bCs/>
          <w:color w:val="000000" w:themeColor="text1"/>
          <w:spacing w:val="2"/>
          <w:kern w:val="0"/>
          <w:szCs w:val="24"/>
        </w:rPr>
        <w:t>。</w:t>
      </w:r>
    </w:p>
    <w:p w14:paraId="271C15B1" w14:textId="77777777" w:rsidR="00A67F21" w:rsidRPr="00B12FE0" w:rsidRDefault="00000000">
      <w:pPr>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1.1-2  </w:t>
      </w:r>
      <w:r w:rsidRPr="00B12FE0">
        <w:rPr>
          <w:rFonts w:ascii="宋体" w:hAnsi="宋体"/>
          <w:b/>
          <w:color w:val="000000" w:themeColor="text1"/>
          <w:sz w:val="21"/>
          <w:szCs w:val="21"/>
        </w:rPr>
        <w:t>本项目核素诊断场所核素使用情况</w:t>
      </w:r>
    </w:p>
    <w:tbl>
      <w:tblPr>
        <w:tblW w:w="5000" w:type="pct"/>
        <w:jc w:val="center"/>
        <w:tblLayout w:type="fixed"/>
        <w:tblLook w:val="04A0" w:firstRow="1" w:lastRow="0" w:firstColumn="1" w:lastColumn="0" w:noHBand="0" w:noVBand="1"/>
      </w:tblPr>
      <w:tblGrid>
        <w:gridCol w:w="1126"/>
        <w:gridCol w:w="709"/>
        <w:gridCol w:w="851"/>
        <w:gridCol w:w="853"/>
        <w:gridCol w:w="1277"/>
        <w:gridCol w:w="1134"/>
        <w:gridCol w:w="1134"/>
        <w:gridCol w:w="992"/>
        <w:gridCol w:w="941"/>
      </w:tblGrid>
      <w:tr w:rsidR="00A67F21" w:rsidRPr="00B12FE0" w14:paraId="749BD46B" w14:textId="77777777">
        <w:trPr>
          <w:trHeight w:val="810"/>
          <w:jc w:val="center"/>
        </w:trPr>
        <w:tc>
          <w:tcPr>
            <w:tcW w:w="624" w:type="pct"/>
            <w:tcBorders>
              <w:top w:val="single" w:sz="4" w:space="0" w:color="000000"/>
              <w:left w:val="single" w:sz="4" w:space="0" w:color="000000"/>
              <w:bottom w:val="single" w:sz="4" w:space="0" w:color="000000"/>
              <w:right w:val="single" w:sz="4" w:space="0" w:color="000000"/>
            </w:tcBorders>
            <w:vAlign w:val="center"/>
          </w:tcPr>
          <w:p w14:paraId="7B78DE12"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使用核素</w:t>
            </w:r>
          </w:p>
        </w:tc>
        <w:tc>
          <w:tcPr>
            <w:tcW w:w="393" w:type="pct"/>
            <w:tcBorders>
              <w:top w:val="single" w:sz="4" w:space="0" w:color="000000"/>
              <w:left w:val="nil"/>
              <w:bottom w:val="single" w:sz="4" w:space="0" w:color="000000"/>
              <w:right w:val="single" w:sz="4" w:space="0" w:color="000000"/>
            </w:tcBorders>
            <w:vAlign w:val="center"/>
          </w:tcPr>
          <w:p w14:paraId="66EC504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物理</w:t>
            </w:r>
          </w:p>
          <w:p w14:paraId="12D0717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状态</w:t>
            </w:r>
          </w:p>
        </w:tc>
        <w:tc>
          <w:tcPr>
            <w:tcW w:w="472" w:type="pct"/>
            <w:tcBorders>
              <w:top w:val="single" w:sz="4" w:space="0" w:color="000000"/>
              <w:left w:val="nil"/>
              <w:bottom w:val="single" w:sz="4" w:space="0" w:color="000000"/>
              <w:right w:val="single" w:sz="4" w:space="0" w:color="000000"/>
            </w:tcBorders>
            <w:vAlign w:val="center"/>
          </w:tcPr>
          <w:p w14:paraId="619D822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日最大诊疗量（人）</w:t>
            </w:r>
          </w:p>
        </w:tc>
        <w:tc>
          <w:tcPr>
            <w:tcW w:w="473" w:type="pct"/>
            <w:tcBorders>
              <w:top w:val="single" w:sz="4" w:space="0" w:color="000000"/>
              <w:left w:val="nil"/>
              <w:bottom w:val="single" w:sz="4" w:space="0" w:color="000000"/>
              <w:right w:val="single" w:sz="4" w:space="0" w:color="000000"/>
            </w:tcBorders>
            <w:vAlign w:val="center"/>
          </w:tcPr>
          <w:p w14:paraId="7296D42D"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年最大诊疗量（人）</w:t>
            </w:r>
          </w:p>
        </w:tc>
        <w:tc>
          <w:tcPr>
            <w:tcW w:w="708" w:type="pct"/>
            <w:tcBorders>
              <w:top w:val="single" w:sz="4" w:space="0" w:color="000000"/>
              <w:left w:val="nil"/>
              <w:bottom w:val="single" w:sz="4" w:space="0" w:color="000000"/>
              <w:right w:val="single" w:sz="4" w:space="0" w:color="auto"/>
            </w:tcBorders>
            <w:vAlign w:val="center"/>
          </w:tcPr>
          <w:p w14:paraId="1F56C387" w14:textId="77777777" w:rsidR="00A67F21" w:rsidRPr="00B12FE0" w:rsidRDefault="00000000">
            <w:pPr>
              <w:widowControl/>
              <w:jc w:val="center"/>
              <w:textAlignment w:val="center"/>
              <w:rPr>
                <w:color w:val="000000" w:themeColor="text1"/>
                <w:kern w:val="0"/>
                <w:sz w:val="21"/>
                <w:szCs w:val="21"/>
              </w:rPr>
            </w:pPr>
            <w:r w:rsidRPr="00B12FE0">
              <w:rPr>
                <w:rFonts w:ascii="宋体" w:hAnsi="宋体"/>
                <w:color w:val="000000" w:themeColor="text1"/>
                <w:kern w:val="0"/>
                <w:sz w:val="21"/>
                <w:szCs w:val="21"/>
              </w:rPr>
              <w:t>单</w:t>
            </w:r>
            <w:r w:rsidRPr="00B12FE0">
              <w:rPr>
                <w:rFonts w:ascii="宋体" w:hAnsi="宋体" w:hint="eastAsia"/>
                <w:color w:val="000000" w:themeColor="text1"/>
                <w:kern w:val="0"/>
                <w:sz w:val="21"/>
                <w:szCs w:val="21"/>
              </w:rPr>
              <w:t>人</w:t>
            </w:r>
          </w:p>
          <w:p w14:paraId="5E97CB3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最大使用量</w:t>
            </w:r>
            <w:r w:rsidRPr="00B12FE0">
              <w:rPr>
                <w:color w:val="000000" w:themeColor="text1"/>
                <w:kern w:val="0"/>
                <w:sz w:val="21"/>
                <w:szCs w:val="21"/>
              </w:rPr>
              <w:t>Bq</w:t>
            </w:r>
          </w:p>
        </w:tc>
        <w:tc>
          <w:tcPr>
            <w:tcW w:w="629" w:type="pct"/>
            <w:tcBorders>
              <w:top w:val="single" w:sz="4" w:space="0" w:color="auto"/>
              <w:left w:val="single" w:sz="4" w:space="0" w:color="auto"/>
              <w:bottom w:val="single" w:sz="4" w:space="0" w:color="auto"/>
              <w:right w:val="single" w:sz="4" w:space="0" w:color="auto"/>
            </w:tcBorders>
            <w:vAlign w:val="center"/>
          </w:tcPr>
          <w:p w14:paraId="005BC72A" w14:textId="77777777" w:rsidR="00A67F21" w:rsidRPr="00B12FE0" w:rsidRDefault="00000000">
            <w:pPr>
              <w:widowControl/>
              <w:jc w:val="center"/>
              <w:textAlignment w:val="center"/>
              <w:rPr>
                <w:color w:val="000000" w:themeColor="text1"/>
                <w:kern w:val="0"/>
                <w:sz w:val="21"/>
                <w:szCs w:val="21"/>
              </w:rPr>
            </w:pPr>
            <w:r w:rsidRPr="00B12FE0">
              <w:rPr>
                <w:rFonts w:ascii="宋体" w:hAnsi="宋体" w:hint="eastAsia"/>
                <w:color w:val="000000" w:themeColor="text1"/>
                <w:kern w:val="0"/>
                <w:sz w:val="21"/>
                <w:szCs w:val="21"/>
              </w:rPr>
              <w:t>日最大</w:t>
            </w:r>
          </w:p>
          <w:p w14:paraId="5BF442FD"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用量（</w:t>
            </w:r>
            <w:r w:rsidRPr="00B12FE0">
              <w:rPr>
                <w:color w:val="000000" w:themeColor="text1"/>
                <w:kern w:val="0"/>
                <w:sz w:val="21"/>
                <w:szCs w:val="21"/>
              </w:rPr>
              <w:t>Bq</w:t>
            </w:r>
            <w:r w:rsidRPr="00B12FE0">
              <w:rPr>
                <w:rFonts w:ascii="宋体" w:hAnsi="宋体" w:hint="eastAsia"/>
                <w:color w:val="000000" w:themeColor="text1"/>
                <w:kern w:val="0"/>
                <w:sz w:val="21"/>
                <w:szCs w:val="21"/>
              </w:rPr>
              <w:t>）</w:t>
            </w:r>
          </w:p>
        </w:tc>
        <w:tc>
          <w:tcPr>
            <w:tcW w:w="629" w:type="pct"/>
            <w:tcBorders>
              <w:top w:val="single" w:sz="4" w:space="0" w:color="000000"/>
              <w:left w:val="single" w:sz="4" w:space="0" w:color="auto"/>
              <w:bottom w:val="single" w:sz="4" w:space="0" w:color="000000"/>
              <w:right w:val="single" w:sz="4" w:space="0" w:color="000000"/>
            </w:tcBorders>
            <w:vAlign w:val="center"/>
          </w:tcPr>
          <w:p w14:paraId="44BACE9C" w14:textId="77777777" w:rsidR="00A67F21" w:rsidRPr="00B12FE0" w:rsidRDefault="00000000">
            <w:pPr>
              <w:widowControl/>
              <w:jc w:val="center"/>
              <w:textAlignment w:val="center"/>
              <w:rPr>
                <w:color w:val="000000" w:themeColor="text1"/>
                <w:kern w:val="0"/>
                <w:sz w:val="21"/>
                <w:szCs w:val="21"/>
              </w:rPr>
            </w:pPr>
            <w:r w:rsidRPr="00B12FE0">
              <w:rPr>
                <w:rFonts w:ascii="宋体" w:hAnsi="宋体" w:hint="eastAsia"/>
                <w:color w:val="000000" w:themeColor="text1"/>
                <w:kern w:val="0"/>
                <w:sz w:val="21"/>
                <w:szCs w:val="21"/>
              </w:rPr>
              <w:t>年最大</w:t>
            </w:r>
          </w:p>
          <w:p w14:paraId="4D9511B6" w14:textId="77777777" w:rsidR="00A67F21" w:rsidRPr="00B12FE0" w:rsidRDefault="00000000">
            <w:pPr>
              <w:widowControl/>
              <w:jc w:val="center"/>
              <w:textAlignment w:val="center"/>
              <w:rPr>
                <w:color w:val="000000" w:themeColor="text1"/>
                <w:sz w:val="21"/>
                <w:szCs w:val="21"/>
              </w:rPr>
            </w:pPr>
            <w:r w:rsidRPr="00B12FE0">
              <w:rPr>
                <w:rFonts w:ascii="宋体" w:hAnsi="宋体" w:hint="eastAsia"/>
                <w:color w:val="000000" w:themeColor="text1"/>
                <w:kern w:val="0"/>
                <w:sz w:val="21"/>
                <w:szCs w:val="21"/>
              </w:rPr>
              <w:t>用量（</w:t>
            </w:r>
            <w:r w:rsidRPr="00B12FE0">
              <w:rPr>
                <w:color w:val="000000" w:themeColor="text1"/>
                <w:kern w:val="0"/>
                <w:sz w:val="21"/>
                <w:szCs w:val="21"/>
              </w:rPr>
              <w:t>Bq</w:t>
            </w:r>
            <w:r w:rsidRPr="00B12FE0">
              <w:rPr>
                <w:rFonts w:ascii="宋体" w:hAnsi="宋体" w:hint="eastAsia"/>
                <w:color w:val="000000" w:themeColor="text1"/>
                <w:kern w:val="0"/>
                <w:sz w:val="21"/>
                <w:szCs w:val="21"/>
              </w:rPr>
              <w:t>）</w:t>
            </w:r>
          </w:p>
        </w:tc>
        <w:tc>
          <w:tcPr>
            <w:tcW w:w="550" w:type="pct"/>
            <w:tcBorders>
              <w:top w:val="single" w:sz="4" w:space="0" w:color="000000"/>
              <w:left w:val="nil"/>
              <w:bottom w:val="single" w:sz="4" w:space="0" w:color="000000"/>
              <w:right w:val="single" w:sz="4" w:space="0" w:color="000000"/>
            </w:tcBorders>
            <w:noWrap/>
            <w:vAlign w:val="center"/>
          </w:tcPr>
          <w:p w14:paraId="6AD54131" w14:textId="77777777" w:rsidR="00A67F21" w:rsidRPr="00B12FE0" w:rsidRDefault="00000000">
            <w:pPr>
              <w:widowControl/>
              <w:jc w:val="center"/>
              <w:textAlignment w:val="center"/>
              <w:rPr>
                <w:color w:val="000000" w:themeColor="text1"/>
                <w:kern w:val="0"/>
                <w:sz w:val="21"/>
                <w:szCs w:val="21"/>
              </w:rPr>
            </w:pPr>
            <w:r w:rsidRPr="00B12FE0">
              <w:rPr>
                <w:rFonts w:ascii="宋体" w:hAnsi="宋体"/>
                <w:color w:val="000000" w:themeColor="text1"/>
                <w:kern w:val="0"/>
                <w:sz w:val="21"/>
                <w:szCs w:val="21"/>
              </w:rPr>
              <w:t>给药</w:t>
            </w:r>
          </w:p>
          <w:p w14:paraId="1232D8FC" w14:textId="77777777" w:rsidR="00A67F21" w:rsidRPr="00B12FE0" w:rsidRDefault="00000000">
            <w:pPr>
              <w:widowControl/>
              <w:jc w:val="center"/>
              <w:textAlignment w:val="center"/>
              <w:rPr>
                <w:color w:val="000000" w:themeColor="text1"/>
                <w:kern w:val="0"/>
                <w:sz w:val="21"/>
                <w:szCs w:val="21"/>
              </w:rPr>
            </w:pPr>
            <w:r w:rsidRPr="00B12FE0">
              <w:rPr>
                <w:rFonts w:ascii="宋体" w:hAnsi="宋体"/>
                <w:color w:val="000000" w:themeColor="text1"/>
                <w:kern w:val="0"/>
                <w:sz w:val="21"/>
                <w:szCs w:val="21"/>
              </w:rPr>
              <w:t>方式</w:t>
            </w:r>
          </w:p>
        </w:tc>
        <w:tc>
          <w:tcPr>
            <w:tcW w:w="522" w:type="pct"/>
            <w:tcBorders>
              <w:top w:val="single" w:sz="4" w:space="0" w:color="000000"/>
              <w:left w:val="nil"/>
              <w:bottom w:val="single" w:sz="4" w:space="0" w:color="000000"/>
              <w:right w:val="single" w:sz="4" w:space="0" w:color="000000"/>
            </w:tcBorders>
            <w:noWrap/>
            <w:vAlign w:val="center"/>
          </w:tcPr>
          <w:p w14:paraId="43BAE97A"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用途</w:t>
            </w:r>
          </w:p>
        </w:tc>
      </w:tr>
      <w:tr w:rsidR="00A67F21" w:rsidRPr="00B12FE0" w14:paraId="50C9558A" w14:textId="77777777">
        <w:trPr>
          <w:trHeight w:val="270"/>
          <w:jc w:val="center"/>
        </w:trPr>
        <w:tc>
          <w:tcPr>
            <w:tcW w:w="624" w:type="pct"/>
            <w:tcBorders>
              <w:top w:val="single" w:sz="4" w:space="0" w:color="000000"/>
              <w:left w:val="single" w:sz="4" w:space="0" w:color="000000"/>
              <w:bottom w:val="single" w:sz="4" w:space="0" w:color="000000"/>
              <w:right w:val="single" w:sz="4" w:space="0" w:color="000000"/>
            </w:tcBorders>
            <w:noWrap/>
            <w:vAlign w:val="center"/>
          </w:tcPr>
          <w:p w14:paraId="19310AA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99</w:t>
            </w:r>
            <w:r w:rsidRPr="00B12FE0">
              <w:rPr>
                <w:color w:val="000000" w:themeColor="text1"/>
                <w:sz w:val="21"/>
                <w:szCs w:val="21"/>
              </w:rPr>
              <w:t>Mo</w:t>
            </w:r>
            <w:r w:rsidRPr="00B12FE0">
              <w:rPr>
                <w:rFonts w:hint="eastAsia"/>
                <w:color w:val="000000" w:themeColor="text1"/>
                <w:sz w:val="21"/>
                <w:szCs w:val="21"/>
              </w:rPr>
              <w:t>-</w:t>
            </w:r>
            <w:r w:rsidRPr="00B12FE0">
              <w:rPr>
                <w:color w:val="000000" w:themeColor="text1"/>
                <w:sz w:val="21"/>
                <w:szCs w:val="21"/>
                <w:vertAlign w:val="superscript"/>
              </w:rPr>
              <w:t>99m</w:t>
            </w:r>
            <w:r w:rsidRPr="00B12FE0">
              <w:rPr>
                <w:color w:val="000000" w:themeColor="text1"/>
                <w:sz w:val="21"/>
                <w:szCs w:val="21"/>
              </w:rPr>
              <w:t>Tc</w:t>
            </w:r>
            <w:r w:rsidRPr="00B12FE0">
              <w:rPr>
                <w:rFonts w:ascii="宋体" w:hAnsi="宋体"/>
                <w:color w:val="000000" w:themeColor="text1"/>
                <w:sz w:val="21"/>
                <w:szCs w:val="21"/>
              </w:rPr>
              <w:t>（</w:t>
            </w:r>
            <w:proofErr w:type="gramStart"/>
            <w:r w:rsidRPr="00B12FE0">
              <w:rPr>
                <w:rFonts w:ascii="宋体" w:hAnsi="宋体"/>
                <w:color w:val="000000" w:themeColor="text1"/>
                <w:sz w:val="21"/>
                <w:szCs w:val="21"/>
              </w:rPr>
              <w:t>钼</w:t>
            </w:r>
            <w:proofErr w:type="gramEnd"/>
            <w:r w:rsidRPr="00B12FE0">
              <w:rPr>
                <w:rFonts w:ascii="宋体" w:hAnsi="宋体"/>
                <w:color w:val="000000" w:themeColor="text1"/>
                <w:sz w:val="21"/>
                <w:szCs w:val="21"/>
              </w:rPr>
              <w:t>锝发生器）</w:t>
            </w:r>
          </w:p>
        </w:tc>
        <w:tc>
          <w:tcPr>
            <w:tcW w:w="393" w:type="pct"/>
            <w:tcBorders>
              <w:top w:val="single" w:sz="4" w:space="0" w:color="000000"/>
              <w:left w:val="nil"/>
              <w:bottom w:val="single" w:sz="4" w:space="0" w:color="000000"/>
              <w:right w:val="single" w:sz="4" w:space="0" w:color="000000"/>
            </w:tcBorders>
            <w:vAlign w:val="center"/>
          </w:tcPr>
          <w:p w14:paraId="097367CB"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固体</w:t>
            </w:r>
          </w:p>
        </w:tc>
        <w:tc>
          <w:tcPr>
            <w:tcW w:w="472" w:type="pct"/>
            <w:tcBorders>
              <w:top w:val="single" w:sz="4" w:space="0" w:color="000000"/>
              <w:left w:val="nil"/>
              <w:bottom w:val="single" w:sz="4" w:space="0" w:color="000000"/>
              <w:right w:val="single" w:sz="4" w:space="0" w:color="000000"/>
            </w:tcBorders>
            <w:noWrap/>
            <w:vAlign w:val="center"/>
          </w:tcPr>
          <w:p w14:paraId="2B617B2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w:t>
            </w:r>
          </w:p>
        </w:tc>
        <w:tc>
          <w:tcPr>
            <w:tcW w:w="473" w:type="pct"/>
            <w:tcBorders>
              <w:top w:val="single" w:sz="4" w:space="0" w:color="000000"/>
              <w:left w:val="nil"/>
              <w:bottom w:val="single" w:sz="4" w:space="0" w:color="000000"/>
              <w:right w:val="single" w:sz="4" w:space="0" w:color="000000"/>
            </w:tcBorders>
            <w:noWrap/>
            <w:vAlign w:val="center"/>
          </w:tcPr>
          <w:p w14:paraId="55BEB85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w:t>
            </w:r>
          </w:p>
        </w:tc>
        <w:tc>
          <w:tcPr>
            <w:tcW w:w="708" w:type="pct"/>
            <w:tcBorders>
              <w:top w:val="single" w:sz="4" w:space="0" w:color="000000"/>
              <w:left w:val="nil"/>
              <w:bottom w:val="single" w:sz="4" w:space="0" w:color="000000"/>
              <w:right w:val="single" w:sz="4" w:space="0" w:color="auto"/>
            </w:tcBorders>
            <w:noWrap/>
            <w:vAlign w:val="center"/>
          </w:tcPr>
          <w:p w14:paraId="10B4049C" w14:textId="77777777" w:rsidR="00A67F21" w:rsidRPr="00B12FE0" w:rsidRDefault="00000000">
            <w:pPr>
              <w:jc w:val="center"/>
              <w:rPr>
                <w:color w:val="000000" w:themeColor="text1"/>
                <w:sz w:val="21"/>
                <w:szCs w:val="21"/>
              </w:rPr>
            </w:pPr>
            <w:r w:rsidRPr="00B12FE0">
              <w:rPr>
                <w:color w:val="000000" w:themeColor="text1"/>
                <w:sz w:val="21"/>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65217DF5"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629" w:type="pct"/>
            <w:tcBorders>
              <w:top w:val="single" w:sz="4" w:space="0" w:color="000000"/>
              <w:left w:val="single" w:sz="4" w:space="0" w:color="auto"/>
              <w:bottom w:val="single" w:sz="4" w:space="0" w:color="000000"/>
              <w:right w:val="single" w:sz="4" w:space="0" w:color="000000"/>
            </w:tcBorders>
            <w:noWrap/>
            <w:vAlign w:val="center"/>
          </w:tcPr>
          <w:p w14:paraId="50E9FD10"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1.67</w:t>
            </w:r>
            <w:r w:rsidRPr="00B12FE0">
              <w:rPr>
                <w:color w:val="000000" w:themeColor="text1"/>
                <w:sz w:val="21"/>
                <w:szCs w:val="21"/>
              </w:rPr>
              <w:t>×10</w:t>
            </w:r>
            <w:r w:rsidRPr="00B12FE0">
              <w:rPr>
                <w:rFonts w:hint="eastAsia"/>
                <w:color w:val="000000" w:themeColor="text1"/>
                <w:sz w:val="21"/>
                <w:szCs w:val="21"/>
                <w:vertAlign w:val="superscript"/>
              </w:rPr>
              <w:t>12</w:t>
            </w:r>
          </w:p>
        </w:tc>
        <w:tc>
          <w:tcPr>
            <w:tcW w:w="550" w:type="pct"/>
            <w:tcBorders>
              <w:top w:val="single" w:sz="4" w:space="0" w:color="000000"/>
              <w:left w:val="nil"/>
              <w:bottom w:val="single" w:sz="4" w:space="0" w:color="000000"/>
              <w:right w:val="single" w:sz="4" w:space="0" w:color="000000"/>
            </w:tcBorders>
            <w:noWrap/>
            <w:vAlign w:val="center"/>
          </w:tcPr>
          <w:p w14:paraId="3B9E3F95"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w:t>
            </w:r>
          </w:p>
        </w:tc>
        <w:tc>
          <w:tcPr>
            <w:tcW w:w="522" w:type="pct"/>
            <w:tcBorders>
              <w:top w:val="single" w:sz="4" w:space="0" w:color="000000"/>
              <w:left w:val="nil"/>
              <w:bottom w:val="single" w:sz="4" w:space="0" w:color="000000"/>
              <w:right w:val="single" w:sz="4" w:space="0" w:color="000000"/>
            </w:tcBorders>
            <w:noWrap/>
            <w:vAlign w:val="center"/>
          </w:tcPr>
          <w:p w14:paraId="40F9F8C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99m</w:t>
            </w:r>
            <w:r w:rsidRPr="00B12FE0">
              <w:rPr>
                <w:color w:val="000000" w:themeColor="text1"/>
                <w:kern w:val="0"/>
                <w:sz w:val="21"/>
                <w:szCs w:val="21"/>
              </w:rPr>
              <w:t>Tc</w:t>
            </w:r>
            <w:r w:rsidRPr="00B12FE0">
              <w:rPr>
                <w:rFonts w:ascii="宋体" w:hAnsi="宋体"/>
                <w:color w:val="000000" w:themeColor="text1"/>
                <w:kern w:val="0"/>
                <w:sz w:val="21"/>
                <w:szCs w:val="21"/>
              </w:rPr>
              <w:t>淋洗</w:t>
            </w:r>
          </w:p>
        </w:tc>
      </w:tr>
      <w:tr w:rsidR="00A67F21" w:rsidRPr="00B12FE0" w14:paraId="766123DD" w14:textId="77777777">
        <w:trPr>
          <w:trHeight w:val="270"/>
          <w:jc w:val="center"/>
        </w:trPr>
        <w:tc>
          <w:tcPr>
            <w:tcW w:w="624" w:type="pct"/>
            <w:tcBorders>
              <w:top w:val="single" w:sz="4" w:space="0" w:color="000000"/>
              <w:left w:val="single" w:sz="4" w:space="0" w:color="000000"/>
              <w:bottom w:val="single" w:sz="4" w:space="0" w:color="000000"/>
              <w:right w:val="single" w:sz="4" w:space="0" w:color="000000"/>
            </w:tcBorders>
            <w:vAlign w:val="center"/>
          </w:tcPr>
          <w:p w14:paraId="56E35CE8" w14:textId="77777777" w:rsidR="00A67F21" w:rsidRPr="00B12FE0" w:rsidRDefault="00000000">
            <w:pPr>
              <w:widowControl/>
              <w:jc w:val="center"/>
              <w:textAlignment w:val="center"/>
              <w:rPr>
                <w:color w:val="000000" w:themeColor="text1"/>
                <w:sz w:val="21"/>
                <w:szCs w:val="21"/>
              </w:rPr>
            </w:pPr>
            <w:r w:rsidRPr="00B12FE0">
              <w:rPr>
                <w:color w:val="000000" w:themeColor="text1"/>
                <w:szCs w:val="24"/>
                <w:vertAlign w:val="superscript"/>
              </w:rPr>
              <w:t>99m</w:t>
            </w:r>
            <w:r w:rsidRPr="00B12FE0">
              <w:rPr>
                <w:color w:val="000000" w:themeColor="text1"/>
                <w:sz w:val="21"/>
                <w:szCs w:val="21"/>
              </w:rPr>
              <w:t>Tc</w:t>
            </w:r>
          </w:p>
        </w:tc>
        <w:tc>
          <w:tcPr>
            <w:tcW w:w="393" w:type="pct"/>
            <w:tcBorders>
              <w:top w:val="single" w:sz="4" w:space="0" w:color="000000"/>
              <w:left w:val="nil"/>
              <w:bottom w:val="single" w:sz="4" w:space="0" w:color="000000"/>
              <w:right w:val="single" w:sz="4" w:space="0" w:color="000000"/>
            </w:tcBorders>
            <w:vAlign w:val="center"/>
          </w:tcPr>
          <w:p w14:paraId="6B701EF3"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液体</w:t>
            </w:r>
          </w:p>
        </w:tc>
        <w:tc>
          <w:tcPr>
            <w:tcW w:w="472" w:type="pct"/>
            <w:tcBorders>
              <w:top w:val="single" w:sz="4" w:space="0" w:color="000000"/>
              <w:left w:val="nil"/>
              <w:bottom w:val="single" w:sz="4" w:space="0" w:color="000000"/>
              <w:right w:val="single" w:sz="4" w:space="0" w:color="000000"/>
            </w:tcBorders>
            <w:noWrap/>
            <w:vAlign w:val="center"/>
          </w:tcPr>
          <w:p w14:paraId="476034F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30</w:t>
            </w:r>
          </w:p>
        </w:tc>
        <w:tc>
          <w:tcPr>
            <w:tcW w:w="473" w:type="pct"/>
            <w:tcBorders>
              <w:top w:val="single" w:sz="4" w:space="0" w:color="000000"/>
              <w:left w:val="nil"/>
              <w:bottom w:val="single" w:sz="4" w:space="0" w:color="000000"/>
              <w:right w:val="single" w:sz="4" w:space="0" w:color="000000"/>
            </w:tcBorders>
            <w:noWrap/>
            <w:vAlign w:val="center"/>
          </w:tcPr>
          <w:p w14:paraId="50DD5FD1"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7</w:t>
            </w:r>
            <w:r w:rsidRPr="00B12FE0">
              <w:rPr>
                <w:color w:val="000000" w:themeColor="text1"/>
                <w:kern w:val="0"/>
                <w:sz w:val="21"/>
                <w:szCs w:val="21"/>
              </w:rPr>
              <w:t>500</w:t>
            </w:r>
          </w:p>
        </w:tc>
        <w:tc>
          <w:tcPr>
            <w:tcW w:w="708" w:type="pct"/>
            <w:tcBorders>
              <w:top w:val="single" w:sz="4" w:space="0" w:color="000000"/>
              <w:left w:val="nil"/>
              <w:bottom w:val="single" w:sz="4" w:space="0" w:color="000000"/>
              <w:right w:val="single" w:sz="4" w:space="0" w:color="auto"/>
            </w:tcBorders>
            <w:noWrap/>
            <w:vAlign w:val="center"/>
          </w:tcPr>
          <w:p w14:paraId="57B1BE93"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9.25×10</w:t>
            </w:r>
            <w:r w:rsidRPr="00B12FE0">
              <w:rPr>
                <w:color w:val="000000" w:themeColor="text1"/>
                <w:sz w:val="21"/>
                <w:szCs w:val="21"/>
                <w:vertAlign w:val="superscript"/>
              </w:rPr>
              <w:t>8</w:t>
            </w:r>
          </w:p>
          <w:p w14:paraId="58E8EB96" w14:textId="77777777" w:rsidR="00A67F21" w:rsidRPr="00B12FE0" w:rsidRDefault="00000000">
            <w:pPr>
              <w:jc w:val="center"/>
              <w:rPr>
                <w:rFonts w:eastAsia="仿宋_GB2312"/>
                <w:color w:val="000000" w:themeColor="text1"/>
                <w:sz w:val="28"/>
                <w:szCs w:val="28"/>
              </w:rPr>
            </w:pPr>
            <w:r w:rsidRPr="00B12FE0">
              <w:rPr>
                <w:rFonts w:ascii="宋体" w:hAnsi="宋体"/>
                <w:color w:val="000000" w:themeColor="text1"/>
                <w:sz w:val="21"/>
                <w:szCs w:val="21"/>
              </w:rPr>
              <w:t>（</w:t>
            </w:r>
            <w:r w:rsidRPr="00B12FE0">
              <w:rPr>
                <w:color w:val="000000" w:themeColor="text1"/>
                <w:sz w:val="21"/>
                <w:szCs w:val="21"/>
              </w:rPr>
              <w:t>25</w:t>
            </w:r>
            <w:r w:rsidRPr="00B12FE0">
              <w:rPr>
                <w:rFonts w:eastAsia="仿宋_GB2312"/>
                <w:color w:val="000000" w:themeColor="text1"/>
                <w:sz w:val="21"/>
                <w:szCs w:val="21"/>
              </w:rPr>
              <w:t>mCi</w:t>
            </w:r>
            <w:r w:rsidRPr="00B12FE0">
              <w:rPr>
                <w:rFonts w:ascii="宋体" w:hAnsi="宋体"/>
                <w:color w:val="000000" w:themeColor="text1"/>
                <w:sz w:val="21"/>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7AA2BFB1"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3.0</w:t>
            </w:r>
            <w:r w:rsidRPr="00B12FE0">
              <w:rPr>
                <w:color w:val="000000" w:themeColor="text1"/>
                <w:sz w:val="21"/>
                <w:szCs w:val="21"/>
              </w:rPr>
              <w:t>×10</w:t>
            </w:r>
            <w:r w:rsidRPr="00B12FE0">
              <w:rPr>
                <w:color w:val="000000" w:themeColor="text1"/>
                <w:sz w:val="21"/>
                <w:szCs w:val="21"/>
                <w:vertAlign w:val="superscript"/>
              </w:rPr>
              <w:t>10</w:t>
            </w:r>
          </w:p>
        </w:tc>
        <w:tc>
          <w:tcPr>
            <w:tcW w:w="629" w:type="pct"/>
            <w:tcBorders>
              <w:top w:val="single" w:sz="4" w:space="0" w:color="000000"/>
              <w:left w:val="single" w:sz="4" w:space="0" w:color="auto"/>
              <w:bottom w:val="single" w:sz="4" w:space="0" w:color="000000"/>
              <w:right w:val="single" w:sz="4" w:space="0" w:color="000000"/>
            </w:tcBorders>
            <w:noWrap/>
            <w:vAlign w:val="center"/>
          </w:tcPr>
          <w:p w14:paraId="50A0E03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7.50</w:t>
            </w:r>
            <w:r w:rsidRPr="00B12FE0">
              <w:rPr>
                <w:color w:val="000000" w:themeColor="text1"/>
                <w:sz w:val="21"/>
                <w:szCs w:val="21"/>
              </w:rPr>
              <w:t>×10</w:t>
            </w:r>
            <w:r w:rsidRPr="00B12FE0">
              <w:rPr>
                <w:rFonts w:hint="eastAsia"/>
                <w:color w:val="000000" w:themeColor="text1"/>
                <w:sz w:val="21"/>
                <w:szCs w:val="21"/>
                <w:vertAlign w:val="superscript"/>
              </w:rPr>
              <w:t>12</w:t>
            </w:r>
          </w:p>
        </w:tc>
        <w:tc>
          <w:tcPr>
            <w:tcW w:w="550" w:type="pct"/>
            <w:tcBorders>
              <w:top w:val="single" w:sz="4" w:space="0" w:color="000000"/>
              <w:left w:val="nil"/>
              <w:bottom w:val="single" w:sz="4" w:space="0" w:color="000000"/>
              <w:right w:val="single" w:sz="4" w:space="0" w:color="000000"/>
            </w:tcBorders>
            <w:noWrap/>
            <w:vAlign w:val="center"/>
          </w:tcPr>
          <w:p w14:paraId="46C65BA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静脉注射</w:t>
            </w:r>
          </w:p>
        </w:tc>
        <w:tc>
          <w:tcPr>
            <w:tcW w:w="522" w:type="pct"/>
            <w:tcBorders>
              <w:top w:val="single" w:sz="4" w:space="0" w:color="000000"/>
              <w:left w:val="nil"/>
              <w:bottom w:val="single" w:sz="4" w:space="0" w:color="000000"/>
              <w:right w:val="single" w:sz="4" w:space="0" w:color="000000"/>
            </w:tcBorders>
            <w:noWrap/>
            <w:vAlign w:val="center"/>
          </w:tcPr>
          <w:p w14:paraId="42B6B59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SPECT</w:t>
            </w:r>
            <w:r w:rsidRPr="00B12FE0">
              <w:rPr>
                <w:rFonts w:ascii="宋体" w:hAnsi="宋体"/>
                <w:color w:val="000000" w:themeColor="text1"/>
                <w:sz w:val="21"/>
                <w:szCs w:val="21"/>
              </w:rPr>
              <w:t>显像诊断</w:t>
            </w:r>
          </w:p>
        </w:tc>
      </w:tr>
      <w:tr w:rsidR="00A67F21" w:rsidRPr="00B12FE0" w14:paraId="51C5072F" w14:textId="77777777">
        <w:trPr>
          <w:trHeight w:val="270"/>
          <w:jc w:val="center"/>
        </w:trPr>
        <w:tc>
          <w:tcPr>
            <w:tcW w:w="624" w:type="pct"/>
            <w:tcBorders>
              <w:top w:val="single" w:sz="4" w:space="0" w:color="000000"/>
              <w:left w:val="single" w:sz="4" w:space="0" w:color="000000"/>
              <w:bottom w:val="single" w:sz="4" w:space="0" w:color="000000"/>
              <w:right w:val="single" w:sz="4" w:space="0" w:color="000000"/>
            </w:tcBorders>
            <w:vAlign w:val="center"/>
          </w:tcPr>
          <w:p w14:paraId="07A9D67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vertAlign w:val="superscript"/>
              </w:rPr>
              <w:t>32</w:t>
            </w:r>
            <w:r w:rsidRPr="00B12FE0">
              <w:rPr>
                <w:rFonts w:hint="eastAsia"/>
                <w:color w:val="000000" w:themeColor="text1"/>
                <w:sz w:val="21"/>
                <w:szCs w:val="21"/>
              </w:rPr>
              <w:t>P</w:t>
            </w:r>
          </w:p>
        </w:tc>
        <w:tc>
          <w:tcPr>
            <w:tcW w:w="393" w:type="pct"/>
            <w:tcBorders>
              <w:top w:val="single" w:sz="4" w:space="0" w:color="auto"/>
              <w:left w:val="single" w:sz="4" w:space="0" w:color="auto"/>
              <w:bottom w:val="single" w:sz="4" w:space="0" w:color="auto"/>
              <w:right w:val="single" w:sz="4" w:space="0" w:color="auto"/>
            </w:tcBorders>
            <w:vAlign w:val="center"/>
          </w:tcPr>
          <w:p w14:paraId="19954C6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液体</w:t>
            </w:r>
          </w:p>
        </w:tc>
        <w:tc>
          <w:tcPr>
            <w:tcW w:w="472" w:type="pct"/>
            <w:tcBorders>
              <w:top w:val="single" w:sz="4" w:space="0" w:color="auto"/>
              <w:left w:val="single" w:sz="4" w:space="0" w:color="auto"/>
              <w:bottom w:val="single" w:sz="4" w:space="0" w:color="auto"/>
              <w:right w:val="single" w:sz="4" w:space="0" w:color="auto"/>
            </w:tcBorders>
            <w:noWrap/>
            <w:vAlign w:val="center"/>
          </w:tcPr>
          <w:p w14:paraId="0FA0D59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 xml:space="preserve">3 </w:t>
            </w:r>
          </w:p>
        </w:tc>
        <w:tc>
          <w:tcPr>
            <w:tcW w:w="473" w:type="pct"/>
            <w:tcBorders>
              <w:top w:val="single" w:sz="4" w:space="0" w:color="auto"/>
              <w:left w:val="single" w:sz="4" w:space="0" w:color="auto"/>
              <w:bottom w:val="single" w:sz="4" w:space="0" w:color="auto"/>
              <w:right w:val="single" w:sz="4" w:space="0" w:color="auto"/>
            </w:tcBorders>
            <w:noWrap/>
            <w:vAlign w:val="center"/>
          </w:tcPr>
          <w:p w14:paraId="282F21A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 xml:space="preserve">750 </w:t>
            </w:r>
          </w:p>
        </w:tc>
        <w:tc>
          <w:tcPr>
            <w:tcW w:w="708" w:type="pct"/>
            <w:tcBorders>
              <w:top w:val="single" w:sz="4" w:space="0" w:color="auto"/>
              <w:left w:val="single" w:sz="4" w:space="0" w:color="auto"/>
              <w:bottom w:val="single" w:sz="4" w:space="0" w:color="auto"/>
              <w:right w:val="single" w:sz="4" w:space="0" w:color="auto"/>
            </w:tcBorders>
            <w:noWrap/>
            <w:vAlign w:val="center"/>
          </w:tcPr>
          <w:p w14:paraId="332BD48C" w14:textId="77777777" w:rsidR="00A67F21" w:rsidRPr="00B12FE0" w:rsidRDefault="00000000">
            <w:pPr>
              <w:pStyle w:val="afb"/>
              <w:adjustRightInd w:val="0"/>
              <w:snapToGrid w:val="0"/>
              <w:spacing w:after="0" w:line="240" w:lineRule="atLeast"/>
              <w:jc w:val="center"/>
              <w:rPr>
                <w:bCs/>
                <w:color w:val="000000" w:themeColor="text1"/>
                <w:sz w:val="21"/>
                <w:szCs w:val="21"/>
              </w:rPr>
            </w:pPr>
            <w:r w:rsidRPr="00B12FE0">
              <w:rPr>
                <w:bCs/>
                <w:color w:val="000000" w:themeColor="text1"/>
                <w:sz w:val="21"/>
                <w:szCs w:val="21"/>
              </w:rPr>
              <w:t>7.4×10</w:t>
            </w:r>
            <w:r w:rsidRPr="00B12FE0">
              <w:rPr>
                <w:bCs/>
                <w:color w:val="000000" w:themeColor="text1"/>
                <w:sz w:val="21"/>
                <w:szCs w:val="21"/>
                <w:vertAlign w:val="superscript"/>
              </w:rPr>
              <w:t>6</w:t>
            </w:r>
          </w:p>
          <w:p w14:paraId="3385CB83" w14:textId="77777777" w:rsidR="00A67F21" w:rsidRPr="00B12FE0" w:rsidRDefault="00000000">
            <w:pPr>
              <w:jc w:val="center"/>
              <w:rPr>
                <w:rFonts w:eastAsia="仿宋_GB2312"/>
                <w:color w:val="000000" w:themeColor="text1"/>
                <w:sz w:val="28"/>
                <w:szCs w:val="28"/>
              </w:rPr>
            </w:pPr>
            <w:r w:rsidRPr="00B12FE0">
              <w:rPr>
                <w:rFonts w:ascii="宋体" w:hAnsi="宋体"/>
                <w:color w:val="000000" w:themeColor="text1"/>
                <w:sz w:val="21"/>
                <w:szCs w:val="21"/>
              </w:rPr>
              <w:t>（</w:t>
            </w:r>
            <w:r w:rsidRPr="00B12FE0">
              <w:rPr>
                <w:color w:val="000000" w:themeColor="text1"/>
                <w:sz w:val="21"/>
                <w:szCs w:val="21"/>
              </w:rPr>
              <w:t>0.2mCi</w:t>
            </w:r>
            <w:r w:rsidRPr="00B12FE0">
              <w:rPr>
                <w:rFonts w:ascii="宋体" w:hAnsi="宋体"/>
                <w:color w:val="000000" w:themeColor="text1"/>
                <w:sz w:val="21"/>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2EDD337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629" w:type="pct"/>
            <w:tcBorders>
              <w:top w:val="single" w:sz="4" w:space="0" w:color="auto"/>
              <w:left w:val="single" w:sz="4" w:space="0" w:color="auto"/>
              <w:bottom w:val="single" w:sz="4" w:space="0" w:color="auto"/>
              <w:right w:val="single" w:sz="4" w:space="0" w:color="auto"/>
            </w:tcBorders>
            <w:noWrap/>
            <w:vAlign w:val="center"/>
          </w:tcPr>
          <w:p w14:paraId="770C0BA8"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5.55</w:t>
            </w:r>
            <w:r w:rsidRPr="00B12FE0">
              <w:rPr>
                <w:color w:val="000000" w:themeColor="text1"/>
                <w:sz w:val="21"/>
                <w:szCs w:val="21"/>
              </w:rPr>
              <w:t>×10</w:t>
            </w:r>
            <w:r w:rsidRPr="00B12FE0">
              <w:rPr>
                <w:rFonts w:hint="eastAsia"/>
                <w:color w:val="000000" w:themeColor="text1"/>
                <w:sz w:val="21"/>
                <w:szCs w:val="21"/>
                <w:vertAlign w:val="superscript"/>
              </w:rPr>
              <w:t>9</w:t>
            </w:r>
          </w:p>
        </w:tc>
        <w:tc>
          <w:tcPr>
            <w:tcW w:w="550" w:type="pct"/>
            <w:tcBorders>
              <w:top w:val="single" w:sz="4" w:space="0" w:color="auto"/>
              <w:left w:val="single" w:sz="4" w:space="0" w:color="auto"/>
              <w:bottom w:val="single" w:sz="4" w:space="0" w:color="auto"/>
              <w:right w:val="single" w:sz="4" w:space="0" w:color="auto"/>
            </w:tcBorders>
            <w:noWrap/>
            <w:vAlign w:val="center"/>
          </w:tcPr>
          <w:p w14:paraId="24282B6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敷贴</w:t>
            </w:r>
          </w:p>
        </w:tc>
        <w:tc>
          <w:tcPr>
            <w:tcW w:w="522" w:type="pct"/>
            <w:tcBorders>
              <w:top w:val="single" w:sz="4" w:space="0" w:color="000000"/>
              <w:left w:val="nil"/>
              <w:bottom w:val="single" w:sz="4" w:space="0" w:color="000000"/>
              <w:right w:val="single" w:sz="4" w:space="0" w:color="000000"/>
            </w:tcBorders>
            <w:noWrap/>
            <w:vAlign w:val="center"/>
          </w:tcPr>
          <w:p w14:paraId="34162CE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敷贴治疗</w:t>
            </w:r>
          </w:p>
        </w:tc>
      </w:tr>
      <w:tr w:rsidR="00A67F21" w:rsidRPr="00B12FE0" w14:paraId="4D852BFC" w14:textId="77777777">
        <w:trPr>
          <w:trHeight w:val="270"/>
          <w:jc w:val="center"/>
        </w:trPr>
        <w:tc>
          <w:tcPr>
            <w:tcW w:w="624" w:type="pct"/>
            <w:tcBorders>
              <w:top w:val="single" w:sz="8" w:space="0" w:color="000000"/>
              <w:left w:val="single" w:sz="8" w:space="0" w:color="000000"/>
              <w:bottom w:val="single" w:sz="8" w:space="0" w:color="000000"/>
              <w:right w:val="single" w:sz="8" w:space="0" w:color="000000"/>
            </w:tcBorders>
            <w:vAlign w:val="center"/>
          </w:tcPr>
          <w:p w14:paraId="0EB1868B" w14:textId="77777777" w:rsidR="00A67F21" w:rsidRPr="00B12FE0" w:rsidRDefault="00000000">
            <w:pPr>
              <w:widowControl/>
              <w:jc w:val="center"/>
              <w:textAlignment w:val="center"/>
              <w:rPr>
                <w:color w:val="000000" w:themeColor="text1"/>
                <w:sz w:val="21"/>
                <w:szCs w:val="21"/>
              </w:rPr>
            </w:pPr>
            <w:r w:rsidRPr="00B12FE0">
              <w:rPr>
                <w:color w:val="000000" w:themeColor="text1"/>
                <w:szCs w:val="24"/>
                <w:vertAlign w:val="superscript"/>
              </w:rPr>
              <w:t>18</w:t>
            </w:r>
            <w:r w:rsidRPr="00B12FE0">
              <w:rPr>
                <w:color w:val="000000" w:themeColor="text1"/>
                <w:sz w:val="21"/>
                <w:szCs w:val="21"/>
              </w:rPr>
              <w:t>F</w:t>
            </w:r>
          </w:p>
        </w:tc>
        <w:tc>
          <w:tcPr>
            <w:tcW w:w="393" w:type="pct"/>
            <w:tcBorders>
              <w:top w:val="single" w:sz="8" w:space="0" w:color="000000"/>
              <w:left w:val="nil"/>
              <w:bottom w:val="single" w:sz="8" w:space="0" w:color="000000"/>
              <w:right w:val="single" w:sz="8" w:space="0" w:color="000000"/>
            </w:tcBorders>
            <w:vAlign w:val="center"/>
          </w:tcPr>
          <w:p w14:paraId="4B834E9F" w14:textId="77777777" w:rsidR="00A67F21" w:rsidRPr="00B12FE0" w:rsidRDefault="00000000">
            <w:pPr>
              <w:widowControl/>
              <w:jc w:val="center"/>
              <w:textAlignment w:val="center"/>
              <w:rPr>
                <w:rFonts w:ascii="宋体" w:hAnsi="宋体" w:hint="eastAsia"/>
                <w:color w:val="000000" w:themeColor="text1"/>
                <w:sz w:val="21"/>
                <w:szCs w:val="21"/>
              </w:rPr>
            </w:pPr>
            <w:r w:rsidRPr="00B12FE0">
              <w:rPr>
                <w:rFonts w:ascii="宋体" w:hAnsi="宋体"/>
                <w:color w:val="000000" w:themeColor="text1"/>
                <w:sz w:val="21"/>
                <w:szCs w:val="21"/>
              </w:rPr>
              <w:t>液体</w:t>
            </w:r>
          </w:p>
        </w:tc>
        <w:tc>
          <w:tcPr>
            <w:tcW w:w="472" w:type="pct"/>
            <w:tcBorders>
              <w:top w:val="single" w:sz="8" w:space="0" w:color="000000"/>
              <w:left w:val="nil"/>
              <w:bottom w:val="single" w:sz="8" w:space="0" w:color="000000"/>
              <w:right w:val="single" w:sz="8" w:space="0" w:color="000000"/>
            </w:tcBorders>
            <w:noWrap/>
            <w:vAlign w:val="center"/>
          </w:tcPr>
          <w:p w14:paraId="076C1896"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40</w:t>
            </w:r>
          </w:p>
        </w:tc>
        <w:tc>
          <w:tcPr>
            <w:tcW w:w="473" w:type="pct"/>
            <w:tcBorders>
              <w:top w:val="single" w:sz="8" w:space="0" w:color="000000"/>
              <w:left w:val="nil"/>
              <w:bottom w:val="single" w:sz="8" w:space="0" w:color="000000"/>
              <w:right w:val="single" w:sz="8" w:space="0" w:color="000000"/>
            </w:tcBorders>
            <w:noWrap/>
            <w:vAlign w:val="center"/>
          </w:tcPr>
          <w:p w14:paraId="58F7D868"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100</w:t>
            </w:r>
            <w:r w:rsidRPr="00B12FE0">
              <w:rPr>
                <w:color w:val="000000" w:themeColor="text1"/>
                <w:kern w:val="0"/>
                <w:sz w:val="21"/>
                <w:szCs w:val="21"/>
              </w:rPr>
              <w:t>00</w:t>
            </w:r>
          </w:p>
        </w:tc>
        <w:tc>
          <w:tcPr>
            <w:tcW w:w="708" w:type="pct"/>
            <w:tcBorders>
              <w:top w:val="single" w:sz="8" w:space="0" w:color="000000"/>
              <w:left w:val="nil"/>
              <w:bottom w:val="single" w:sz="8" w:space="0" w:color="000000"/>
              <w:right w:val="single" w:sz="4" w:space="0" w:color="auto"/>
            </w:tcBorders>
            <w:noWrap/>
            <w:vAlign w:val="center"/>
          </w:tcPr>
          <w:p w14:paraId="3735E42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3.70×10</w:t>
            </w:r>
            <w:r w:rsidRPr="00B12FE0">
              <w:rPr>
                <w:color w:val="000000" w:themeColor="text1"/>
                <w:sz w:val="21"/>
                <w:szCs w:val="21"/>
                <w:vertAlign w:val="superscript"/>
              </w:rPr>
              <w:t>8</w:t>
            </w:r>
          </w:p>
          <w:p w14:paraId="297F5662" w14:textId="77777777" w:rsidR="00A67F21" w:rsidRPr="00B12FE0" w:rsidRDefault="00000000">
            <w:pPr>
              <w:jc w:val="center"/>
              <w:rPr>
                <w:rFonts w:ascii="宋体" w:hAnsi="宋体" w:hint="eastAsia"/>
                <w:color w:val="000000" w:themeColor="text1"/>
                <w:sz w:val="21"/>
                <w:szCs w:val="21"/>
              </w:rPr>
            </w:pPr>
            <w:r w:rsidRPr="00B12FE0">
              <w:rPr>
                <w:rFonts w:ascii="宋体" w:hAnsi="宋体"/>
                <w:color w:val="000000" w:themeColor="text1"/>
                <w:sz w:val="21"/>
                <w:szCs w:val="21"/>
              </w:rPr>
              <w:t>（</w:t>
            </w:r>
            <w:r w:rsidRPr="00B12FE0">
              <w:rPr>
                <w:rFonts w:eastAsia="仿宋_GB2312"/>
                <w:color w:val="000000" w:themeColor="text1"/>
                <w:sz w:val="21"/>
                <w:szCs w:val="21"/>
              </w:rPr>
              <w:t>10mCi</w:t>
            </w:r>
            <w:r w:rsidRPr="00B12FE0">
              <w:rPr>
                <w:rFonts w:ascii="宋体" w:hAnsi="宋体"/>
                <w:color w:val="000000" w:themeColor="text1"/>
                <w:sz w:val="21"/>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1521C4BF"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10</w:t>
            </w:r>
          </w:p>
        </w:tc>
        <w:tc>
          <w:tcPr>
            <w:tcW w:w="629" w:type="pct"/>
            <w:tcBorders>
              <w:top w:val="single" w:sz="8" w:space="0" w:color="000000"/>
              <w:left w:val="single" w:sz="4" w:space="0" w:color="auto"/>
              <w:bottom w:val="single" w:sz="8" w:space="0" w:color="000000"/>
              <w:right w:val="single" w:sz="8" w:space="0" w:color="000000"/>
            </w:tcBorders>
            <w:noWrap/>
            <w:vAlign w:val="center"/>
          </w:tcPr>
          <w:p w14:paraId="4B859061"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13</w:t>
            </w:r>
          </w:p>
        </w:tc>
        <w:tc>
          <w:tcPr>
            <w:tcW w:w="550" w:type="pct"/>
            <w:tcBorders>
              <w:top w:val="single" w:sz="8" w:space="0" w:color="000000"/>
              <w:left w:val="nil"/>
              <w:bottom w:val="single" w:sz="8" w:space="0" w:color="000000"/>
              <w:right w:val="single" w:sz="8" w:space="0" w:color="000000"/>
            </w:tcBorders>
            <w:noWrap/>
            <w:vAlign w:val="center"/>
          </w:tcPr>
          <w:p w14:paraId="5E00AD88" w14:textId="77777777" w:rsidR="00A67F21" w:rsidRPr="00B12FE0" w:rsidRDefault="00000000">
            <w:pPr>
              <w:widowControl/>
              <w:jc w:val="center"/>
              <w:textAlignment w:val="center"/>
              <w:rPr>
                <w:rFonts w:ascii="宋体" w:hAnsi="宋体" w:hint="eastAsia"/>
                <w:color w:val="000000" w:themeColor="text1"/>
                <w:sz w:val="21"/>
                <w:szCs w:val="21"/>
              </w:rPr>
            </w:pPr>
            <w:r w:rsidRPr="00B12FE0">
              <w:rPr>
                <w:rFonts w:ascii="宋体" w:hAnsi="宋体"/>
                <w:color w:val="000000" w:themeColor="text1"/>
                <w:sz w:val="21"/>
                <w:szCs w:val="21"/>
              </w:rPr>
              <w:t>静脉注射</w:t>
            </w:r>
          </w:p>
        </w:tc>
        <w:tc>
          <w:tcPr>
            <w:tcW w:w="522" w:type="pct"/>
            <w:tcBorders>
              <w:top w:val="single" w:sz="4" w:space="0" w:color="000000"/>
              <w:left w:val="nil"/>
              <w:bottom w:val="single" w:sz="4" w:space="0" w:color="000000"/>
              <w:right w:val="single" w:sz="4" w:space="0" w:color="000000"/>
            </w:tcBorders>
            <w:noWrap/>
            <w:vAlign w:val="center"/>
          </w:tcPr>
          <w:p w14:paraId="5B0E2182" w14:textId="77777777" w:rsidR="00A67F21" w:rsidRPr="00B12FE0" w:rsidRDefault="00000000">
            <w:pPr>
              <w:widowControl/>
              <w:jc w:val="center"/>
              <w:textAlignment w:val="center"/>
              <w:rPr>
                <w:rFonts w:ascii="宋体" w:hAnsi="宋体" w:hint="eastAsia"/>
                <w:color w:val="000000" w:themeColor="text1"/>
                <w:sz w:val="21"/>
                <w:szCs w:val="21"/>
              </w:rPr>
            </w:pPr>
            <w:r w:rsidRPr="00B12FE0">
              <w:rPr>
                <w:color w:val="000000" w:themeColor="text1"/>
                <w:sz w:val="21"/>
                <w:szCs w:val="21"/>
              </w:rPr>
              <w:t>PET</w:t>
            </w:r>
            <w:r w:rsidRPr="00B12FE0">
              <w:rPr>
                <w:rFonts w:ascii="宋体" w:hAnsi="宋体"/>
                <w:color w:val="000000" w:themeColor="text1"/>
                <w:sz w:val="21"/>
                <w:szCs w:val="21"/>
              </w:rPr>
              <w:t>显像</w:t>
            </w:r>
          </w:p>
          <w:p w14:paraId="48284FAB" w14:textId="77777777" w:rsidR="00A67F21" w:rsidRPr="00B12FE0" w:rsidRDefault="00000000">
            <w:pPr>
              <w:widowControl/>
              <w:jc w:val="center"/>
              <w:textAlignment w:val="center"/>
              <w:rPr>
                <w:rFonts w:ascii="宋体" w:hAnsi="宋体" w:hint="eastAsia"/>
                <w:color w:val="000000" w:themeColor="text1"/>
                <w:sz w:val="21"/>
                <w:szCs w:val="21"/>
              </w:rPr>
            </w:pPr>
            <w:r w:rsidRPr="00B12FE0">
              <w:rPr>
                <w:rFonts w:ascii="宋体" w:hAnsi="宋体"/>
                <w:color w:val="000000" w:themeColor="text1"/>
                <w:sz w:val="21"/>
                <w:szCs w:val="21"/>
              </w:rPr>
              <w:t>诊断</w:t>
            </w:r>
          </w:p>
        </w:tc>
      </w:tr>
      <w:tr w:rsidR="00A67F21" w:rsidRPr="00B12FE0" w14:paraId="530CD3C8" w14:textId="77777777">
        <w:trPr>
          <w:trHeight w:val="270"/>
          <w:jc w:val="center"/>
        </w:trPr>
        <w:tc>
          <w:tcPr>
            <w:tcW w:w="624" w:type="pct"/>
            <w:tcBorders>
              <w:top w:val="single" w:sz="8" w:space="0" w:color="000000"/>
              <w:left w:val="single" w:sz="8" w:space="0" w:color="000000"/>
              <w:bottom w:val="single" w:sz="8" w:space="0" w:color="000000"/>
              <w:right w:val="single" w:sz="8" w:space="0" w:color="000000"/>
            </w:tcBorders>
            <w:vAlign w:val="center"/>
          </w:tcPr>
          <w:p w14:paraId="08F54CB9" w14:textId="77777777" w:rsidR="00A67F21" w:rsidRPr="00B12FE0" w:rsidRDefault="00000000">
            <w:pPr>
              <w:widowControl/>
              <w:jc w:val="center"/>
              <w:textAlignment w:val="center"/>
              <w:rPr>
                <w:color w:val="000000" w:themeColor="text1"/>
                <w:szCs w:val="24"/>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甲测</w:t>
            </w:r>
            <w:proofErr w:type="gramEnd"/>
          </w:p>
        </w:tc>
        <w:tc>
          <w:tcPr>
            <w:tcW w:w="393" w:type="pct"/>
            <w:tcBorders>
              <w:top w:val="single" w:sz="8" w:space="0" w:color="000000"/>
              <w:left w:val="nil"/>
              <w:bottom w:val="single" w:sz="8" w:space="0" w:color="000000"/>
              <w:right w:val="single" w:sz="8" w:space="0" w:color="000000"/>
            </w:tcBorders>
            <w:vAlign w:val="center"/>
          </w:tcPr>
          <w:p w14:paraId="458D1772" w14:textId="77777777" w:rsidR="00A67F21" w:rsidRPr="00B12FE0" w:rsidRDefault="00000000">
            <w:pPr>
              <w:widowControl/>
              <w:jc w:val="center"/>
              <w:textAlignment w:val="center"/>
              <w:rPr>
                <w:rFonts w:ascii="宋体" w:hAnsi="宋体" w:hint="eastAsia"/>
                <w:color w:val="000000" w:themeColor="text1"/>
                <w:sz w:val="21"/>
                <w:szCs w:val="21"/>
              </w:rPr>
            </w:pPr>
            <w:r w:rsidRPr="00B12FE0">
              <w:rPr>
                <w:rFonts w:ascii="宋体" w:hAnsi="宋体"/>
                <w:color w:val="000000" w:themeColor="text1"/>
                <w:sz w:val="21"/>
                <w:szCs w:val="21"/>
              </w:rPr>
              <w:t>液体</w:t>
            </w:r>
          </w:p>
        </w:tc>
        <w:tc>
          <w:tcPr>
            <w:tcW w:w="472" w:type="pct"/>
            <w:tcBorders>
              <w:top w:val="single" w:sz="8" w:space="0" w:color="000000"/>
              <w:left w:val="nil"/>
              <w:bottom w:val="single" w:sz="8" w:space="0" w:color="000000"/>
              <w:right w:val="single" w:sz="8" w:space="0" w:color="000000"/>
            </w:tcBorders>
            <w:noWrap/>
            <w:vAlign w:val="center"/>
          </w:tcPr>
          <w:p w14:paraId="50C939C5"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10</w:t>
            </w:r>
          </w:p>
        </w:tc>
        <w:tc>
          <w:tcPr>
            <w:tcW w:w="473" w:type="pct"/>
            <w:tcBorders>
              <w:top w:val="single" w:sz="8" w:space="0" w:color="000000"/>
              <w:left w:val="nil"/>
              <w:bottom w:val="single" w:sz="8" w:space="0" w:color="000000"/>
              <w:right w:val="single" w:sz="8" w:space="0" w:color="000000"/>
            </w:tcBorders>
            <w:noWrap/>
            <w:vAlign w:val="center"/>
          </w:tcPr>
          <w:p w14:paraId="52BA0DBC"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2500</w:t>
            </w:r>
          </w:p>
        </w:tc>
        <w:tc>
          <w:tcPr>
            <w:tcW w:w="708" w:type="pct"/>
            <w:tcBorders>
              <w:top w:val="single" w:sz="8" w:space="0" w:color="000000"/>
              <w:left w:val="nil"/>
              <w:bottom w:val="single" w:sz="8" w:space="0" w:color="000000"/>
              <w:right w:val="single" w:sz="4" w:space="0" w:color="auto"/>
            </w:tcBorders>
            <w:noWrap/>
            <w:vAlign w:val="center"/>
          </w:tcPr>
          <w:p w14:paraId="46ADD6F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1.85×10</w:t>
            </w:r>
            <w:r w:rsidRPr="00B12FE0">
              <w:rPr>
                <w:color w:val="000000" w:themeColor="text1"/>
                <w:sz w:val="21"/>
                <w:szCs w:val="21"/>
                <w:vertAlign w:val="superscript"/>
              </w:rPr>
              <w:t>5</w:t>
            </w:r>
          </w:p>
          <w:p w14:paraId="161C8A44" w14:textId="77777777" w:rsidR="00A67F21" w:rsidRPr="00B12FE0" w:rsidRDefault="00000000">
            <w:pPr>
              <w:jc w:val="center"/>
              <w:rPr>
                <w:rFonts w:ascii="宋体" w:hAnsi="宋体" w:hint="eastAsia"/>
                <w:color w:val="000000" w:themeColor="text1"/>
                <w:sz w:val="21"/>
                <w:szCs w:val="21"/>
              </w:rPr>
            </w:pPr>
            <w:r w:rsidRPr="00B12FE0">
              <w:rPr>
                <w:rFonts w:ascii="宋体" w:hAnsi="宋体"/>
                <w:color w:val="000000" w:themeColor="text1"/>
                <w:sz w:val="21"/>
                <w:szCs w:val="21"/>
              </w:rPr>
              <w:t>（</w:t>
            </w:r>
            <w:r w:rsidRPr="00B12FE0">
              <w:rPr>
                <w:color w:val="000000" w:themeColor="text1"/>
                <w:sz w:val="21"/>
                <w:szCs w:val="21"/>
              </w:rPr>
              <w:t>5μCi</w:t>
            </w:r>
            <w:r w:rsidRPr="00B12FE0">
              <w:rPr>
                <w:rFonts w:ascii="宋体" w:hAnsi="宋体"/>
                <w:color w:val="000000" w:themeColor="text1"/>
                <w:sz w:val="21"/>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5FF0FF95"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1.85</w:t>
            </w:r>
            <w:r w:rsidRPr="00B12FE0">
              <w:rPr>
                <w:color w:val="000000" w:themeColor="text1"/>
                <w:sz w:val="21"/>
                <w:szCs w:val="21"/>
              </w:rPr>
              <w:t>×10</w:t>
            </w:r>
            <w:r w:rsidRPr="00B12FE0">
              <w:rPr>
                <w:rFonts w:hint="eastAsia"/>
                <w:color w:val="000000" w:themeColor="text1"/>
                <w:sz w:val="21"/>
                <w:szCs w:val="21"/>
                <w:vertAlign w:val="superscript"/>
              </w:rPr>
              <w:t>6</w:t>
            </w:r>
          </w:p>
        </w:tc>
        <w:tc>
          <w:tcPr>
            <w:tcW w:w="629" w:type="pct"/>
            <w:tcBorders>
              <w:top w:val="single" w:sz="8" w:space="0" w:color="000000"/>
              <w:left w:val="single" w:sz="4" w:space="0" w:color="auto"/>
              <w:bottom w:val="single" w:sz="8" w:space="0" w:color="000000"/>
              <w:right w:val="single" w:sz="8" w:space="0" w:color="000000"/>
            </w:tcBorders>
            <w:noWrap/>
            <w:vAlign w:val="center"/>
          </w:tcPr>
          <w:p w14:paraId="3B89EFC4"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4.63</w:t>
            </w:r>
            <w:r w:rsidRPr="00B12FE0">
              <w:rPr>
                <w:color w:val="000000" w:themeColor="text1"/>
                <w:sz w:val="21"/>
                <w:szCs w:val="21"/>
              </w:rPr>
              <w:t>×10</w:t>
            </w:r>
            <w:r w:rsidRPr="00B12FE0">
              <w:rPr>
                <w:rFonts w:hint="eastAsia"/>
                <w:color w:val="000000" w:themeColor="text1"/>
                <w:sz w:val="21"/>
                <w:szCs w:val="21"/>
                <w:vertAlign w:val="superscript"/>
              </w:rPr>
              <w:t>8</w:t>
            </w:r>
          </w:p>
        </w:tc>
        <w:tc>
          <w:tcPr>
            <w:tcW w:w="550" w:type="pct"/>
            <w:tcBorders>
              <w:top w:val="single" w:sz="8" w:space="0" w:color="000000"/>
              <w:left w:val="nil"/>
              <w:bottom w:val="single" w:sz="8" w:space="0" w:color="000000"/>
              <w:right w:val="single" w:sz="8" w:space="0" w:color="000000"/>
            </w:tcBorders>
            <w:noWrap/>
            <w:vAlign w:val="center"/>
          </w:tcPr>
          <w:p w14:paraId="35BFF69D" w14:textId="77777777" w:rsidR="00A67F21" w:rsidRPr="00B12FE0" w:rsidRDefault="00000000">
            <w:pPr>
              <w:widowControl/>
              <w:jc w:val="center"/>
              <w:textAlignment w:val="center"/>
              <w:rPr>
                <w:rFonts w:ascii="宋体" w:hAnsi="宋体" w:hint="eastAsia"/>
                <w:color w:val="000000" w:themeColor="text1"/>
                <w:sz w:val="21"/>
                <w:szCs w:val="21"/>
              </w:rPr>
            </w:pPr>
            <w:r w:rsidRPr="00B12FE0">
              <w:rPr>
                <w:rFonts w:ascii="宋体" w:hAnsi="宋体"/>
                <w:color w:val="000000" w:themeColor="text1"/>
                <w:kern w:val="0"/>
                <w:sz w:val="21"/>
                <w:szCs w:val="21"/>
              </w:rPr>
              <w:t>口服</w:t>
            </w:r>
          </w:p>
        </w:tc>
        <w:tc>
          <w:tcPr>
            <w:tcW w:w="522" w:type="pct"/>
            <w:tcBorders>
              <w:top w:val="single" w:sz="4" w:space="0" w:color="000000"/>
              <w:left w:val="nil"/>
              <w:bottom w:val="single" w:sz="4" w:space="0" w:color="000000"/>
              <w:right w:val="single" w:sz="4" w:space="0" w:color="000000"/>
            </w:tcBorders>
            <w:noWrap/>
            <w:vAlign w:val="center"/>
          </w:tcPr>
          <w:p w14:paraId="2064B8A8" w14:textId="77777777" w:rsidR="00A67F21" w:rsidRPr="00B12FE0" w:rsidRDefault="00000000">
            <w:pPr>
              <w:widowControl/>
              <w:jc w:val="center"/>
              <w:textAlignment w:val="center"/>
              <w:rPr>
                <w:rFonts w:ascii="宋体" w:hAnsi="宋体" w:hint="eastAsia"/>
                <w:color w:val="000000" w:themeColor="text1"/>
                <w:sz w:val="21"/>
                <w:szCs w:val="21"/>
              </w:rPr>
            </w:pPr>
            <w:proofErr w:type="gramStart"/>
            <w:r w:rsidRPr="00B12FE0">
              <w:rPr>
                <w:rFonts w:ascii="宋体" w:hAnsi="宋体"/>
                <w:color w:val="000000" w:themeColor="text1"/>
                <w:kern w:val="0"/>
                <w:sz w:val="21"/>
                <w:szCs w:val="21"/>
              </w:rPr>
              <w:t>甲测</w:t>
            </w:r>
            <w:proofErr w:type="gramEnd"/>
          </w:p>
        </w:tc>
      </w:tr>
      <w:tr w:rsidR="00A67F21" w:rsidRPr="00B12FE0" w14:paraId="5F5700CE" w14:textId="77777777">
        <w:trPr>
          <w:trHeight w:val="270"/>
          <w:jc w:val="center"/>
        </w:trPr>
        <w:tc>
          <w:tcPr>
            <w:tcW w:w="624" w:type="pct"/>
            <w:tcBorders>
              <w:top w:val="single" w:sz="8" w:space="0" w:color="000000"/>
              <w:left w:val="single" w:sz="8" w:space="0" w:color="000000"/>
              <w:bottom w:val="single" w:sz="8" w:space="0" w:color="000000"/>
              <w:right w:val="single" w:sz="8" w:space="0" w:color="000000"/>
            </w:tcBorders>
            <w:vAlign w:val="center"/>
          </w:tcPr>
          <w:p w14:paraId="2E2575D3" w14:textId="77777777" w:rsidR="00A67F21" w:rsidRPr="00B12FE0" w:rsidRDefault="00000000">
            <w:pPr>
              <w:widowControl/>
              <w:jc w:val="center"/>
              <w:textAlignment w:val="center"/>
              <w:rPr>
                <w:color w:val="000000" w:themeColor="text1"/>
                <w:kern w:val="0"/>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kern w:val="0"/>
                <w:sz w:val="21"/>
                <w:szCs w:val="21"/>
              </w:rPr>
              <w:t>甲亢</w:t>
            </w:r>
          </w:p>
        </w:tc>
        <w:tc>
          <w:tcPr>
            <w:tcW w:w="393" w:type="pct"/>
            <w:tcBorders>
              <w:top w:val="single" w:sz="8" w:space="0" w:color="000000"/>
              <w:left w:val="nil"/>
              <w:bottom w:val="single" w:sz="8" w:space="0" w:color="000000"/>
              <w:right w:val="single" w:sz="8" w:space="0" w:color="000000"/>
            </w:tcBorders>
            <w:vAlign w:val="center"/>
          </w:tcPr>
          <w:p w14:paraId="6E25F525" w14:textId="77777777" w:rsidR="00A67F21" w:rsidRPr="00B12FE0" w:rsidRDefault="00000000">
            <w:pPr>
              <w:widowControl/>
              <w:jc w:val="center"/>
              <w:textAlignment w:val="center"/>
              <w:rPr>
                <w:rFonts w:ascii="宋体" w:hAnsi="宋体" w:hint="eastAsia"/>
                <w:color w:val="000000" w:themeColor="text1"/>
                <w:sz w:val="21"/>
                <w:szCs w:val="21"/>
              </w:rPr>
            </w:pPr>
            <w:r w:rsidRPr="00B12FE0">
              <w:rPr>
                <w:rFonts w:ascii="宋体" w:hAnsi="宋体"/>
                <w:color w:val="000000" w:themeColor="text1"/>
                <w:sz w:val="21"/>
                <w:szCs w:val="21"/>
              </w:rPr>
              <w:t>液体</w:t>
            </w:r>
          </w:p>
        </w:tc>
        <w:tc>
          <w:tcPr>
            <w:tcW w:w="472" w:type="pct"/>
            <w:tcBorders>
              <w:top w:val="single" w:sz="8" w:space="0" w:color="000000"/>
              <w:left w:val="nil"/>
              <w:bottom w:val="single" w:sz="8" w:space="0" w:color="000000"/>
              <w:right w:val="single" w:sz="8" w:space="0" w:color="000000"/>
            </w:tcBorders>
            <w:noWrap/>
            <w:vAlign w:val="center"/>
          </w:tcPr>
          <w:p w14:paraId="413A6FF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10</w:t>
            </w:r>
          </w:p>
        </w:tc>
        <w:tc>
          <w:tcPr>
            <w:tcW w:w="473" w:type="pct"/>
            <w:tcBorders>
              <w:top w:val="single" w:sz="8" w:space="0" w:color="000000"/>
              <w:left w:val="nil"/>
              <w:bottom w:val="single" w:sz="8" w:space="0" w:color="000000"/>
              <w:right w:val="single" w:sz="8" w:space="0" w:color="000000"/>
            </w:tcBorders>
            <w:noWrap/>
            <w:vAlign w:val="center"/>
          </w:tcPr>
          <w:p w14:paraId="79E57924"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2500</w:t>
            </w:r>
          </w:p>
        </w:tc>
        <w:tc>
          <w:tcPr>
            <w:tcW w:w="708" w:type="pct"/>
            <w:tcBorders>
              <w:top w:val="single" w:sz="8" w:space="0" w:color="000000"/>
              <w:left w:val="nil"/>
              <w:bottom w:val="single" w:sz="8" w:space="0" w:color="000000"/>
              <w:right w:val="single" w:sz="4" w:space="0" w:color="auto"/>
            </w:tcBorders>
            <w:noWrap/>
            <w:vAlign w:val="center"/>
          </w:tcPr>
          <w:p w14:paraId="73655F4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3.70×10</w:t>
            </w:r>
            <w:r w:rsidRPr="00B12FE0">
              <w:rPr>
                <w:color w:val="000000" w:themeColor="text1"/>
                <w:sz w:val="21"/>
                <w:szCs w:val="21"/>
                <w:vertAlign w:val="superscript"/>
              </w:rPr>
              <w:t>8</w:t>
            </w:r>
          </w:p>
          <w:p w14:paraId="1305E55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w:t>
            </w:r>
            <w:r w:rsidRPr="00B12FE0">
              <w:rPr>
                <w:color w:val="000000" w:themeColor="text1"/>
                <w:sz w:val="21"/>
                <w:szCs w:val="21"/>
              </w:rPr>
              <w:t>10mCi</w:t>
            </w:r>
            <w:r w:rsidRPr="00B12FE0">
              <w:rPr>
                <w:rFonts w:ascii="宋体" w:hAnsi="宋体"/>
                <w:color w:val="000000" w:themeColor="text1"/>
                <w:sz w:val="21"/>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643B0DE5"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3.70</w:t>
            </w:r>
            <w:r w:rsidRPr="00B12FE0">
              <w:rPr>
                <w:color w:val="000000" w:themeColor="text1"/>
                <w:sz w:val="21"/>
                <w:szCs w:val="21"/>
              </w:rPr>
              <w:t>×10</w:t>
            </w:r>
            <w:r w:rsidRPr="00B12FE0">
              <w:rPr>
                <w:rFonts w:hint="eastAsia"/>
                <w:color w:val="000000" w:themeColor="text1"/>
                <w:sz w:val="21"/>
                <w:szCs w:val="21"/>
                <w:vertAlign w:val="superscript"/>
              </w:rPr>
              <w:t>9</w:t>
            </w:r>
          </w:p>
        </w:tc>
        <w:tc>
          <w:tcPr>
            <w:tcW w:w="629" w:type="pct"/>
            <w:tcBorders>
              <w:top w:val="single" w:sz="8" w:space="0" w:color="000000"/>
              <w:left w:val="single" w:sz="4" w:space="0" w:color="auto"/>
              <w:bottom w:val="single" w:sz="8" w:space="0" w:color="000000"/>
              <w:right w:val="single" w:sz="8" w:space="0" w:color="000000"/>
            </w:tcBorders>
            <w:noWrap/>
            <w:vAlign w:val="center"/>
          </w:tcPr>
          <w:p w14:paraId="4890F03E"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9.25</w:t>
            </w:r>
            <w:r w:rsidRPr="00B12FE0">
              <w:rPr>
                <w:color w:val="000000" w:themeColor="text1"/>
                <w:sz w:val="21"/>
                <w:szCs w:val="21"/>
              </w:rPr>
              <w:t>×10</w:t>
            </w:r>
            <w:r w:rsidRPr="00B12FE0">
              <w:rPr>
                <w:rFonts w:hint="eastAsia"/>
                <w:color w:val="000000" w:themeColor="text1"/>
                <w:sz w:val="21"/>
                <w:szCs w:val="21"/>
                <w:vertAlign w:val="superscript"/>
              </w:rPr>
              <w:t>11</w:t>
            </w:r>
          </w:p>
        </w:tc>
        <w:tc>
          <w:tcPr>
            <w:tcW w:w="550" w:type="pct"/>
            <w:tcBorders>
              <w:top w:val="single" w:sz="8" w:space="0" w:color="000000"/>
              <w:left w:val="nil"/>
              <w:bottom w:val="single" w:sz="8" w:space="0" w:color="000000"/>
              <w:right w:val="single" w:sz="8" w:space="0" w:color="000000"/>
            </w:tcBorders>
            <w:noWrap/>
            <w:vAlign w:val="center"/>
          </w:tcPr>
          <w:p w14:paraId="7B5D637F"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color w:val="000000" w:themeColor="text1"/>
                <w:kern w:val="0"/>
                <w:sz w:val="21"/>
                <w:szCs w:val="21"/>
              </w:rPr>
              <w:t>口服</w:t>
            </w:r>
          </w:p>
        </w:tc>
        <w:tc>
          <w:tcPr>
            <w:tcW w:w="522" w:type="pct"/>
            <w:tcBorders>
              <w:top w:val="single" w:sz="4" w:space="0" w:color="000000"/>
              <w:left w:val="nil"/>
              <w:bottom w:val="single" w:sz="4" w:space="0" w:color="000000"/>
              <w:right w:val="single" w:sz="4" w:space="0" w:color="000000"/>
            </w:tcBorders>
            <w:noWrap/>
            <w:vAlign w:val="center"/>
          </w:tcPr>
          <w:p w14:paraId="48BEEB55"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color w:val="000000" w:themeColor="text1"/>
                <w:kern w:val="0"/>
                <w:sz w:val="21"/>
                <w:szCs w:val="21"/>
              </w:rPr>
              <w:t>甲亢</w:t>
            </w:r>
          </w:p>
        </w:tc>
      </w:tr>
      <w:tr w:rsidR="00A67F21" w:rsidRPr="00B12FE0" w14:paraId="137F3E81" w14:textId="77777777">
        <w:trPr>
          <w:trHeight w:val="270"/>
          <w:jc w:val="center"/>
        </w:trPr>
        <w:tc>
          <w:tcPr>
            <w:tcW w:w="5000" w:type="pct"/>
            <w:gridSpan w:val="9"/>
            <w:tcBorders>
              <w:top w:val="single" w:sz="4" w:space="0" w:color="000000"/>
              <w:left w:val="single" w:sz="4" w:space="0" w:color="000000"/>
              <w:bottom w:val="single" w:sz="4" w:space="0" w:color="000000"/>
              <w:right w:val="single" w:sz="4" w:space="0" w:color="auto"/>
            </w:tcBorders>
            <w:vAlign w:val="center"/>
          </w:tcPr>
          <w:p w14:paraId="27C6D261" w14:textId="77777777" w:rsidR="00A67F21" w:rsidRPr="00B12FE0" w:rsidRDefault="00000000">
            <w:pPr>
              <w:autoSpaceDE w:val="0"/>
              <w:autoSpaceDN w:val="0"/>
              <w:adjustRightInd w:val="0"/>
              <w:snapToGrid w:val="0"/>
              <w:rPr>
                <w:color w:val="000000" w:themeColor="text1"/>
                <w:kern w:val="0"/>
                <w:sz w:val="18"/>
                <w:szCs w:val="18"/>
              </w:rPr>
            </w:pPr>
            <w:r w:rsidRPr="00B12FE0">
              <w:rPr>
                <w:rFonts w:ascii="宋体" w:hAnsi="宋体"/>
                <w:color w:val="000000" w:themeColor="text1"/>
                <w:kern w:val="0"/>
                <w:sz w:val="18"/>
                <w:szCs w:val="18"/>
              </w:rPr>
              <w:t>注</w:t>
            </w:r>
            <w:r w:rsidRPr="00B12FE0">
              <w:rPr>
                <w:rFonts w:ascii="Cambria Math" w:hAnsi="Cambria Math" w:cs="Cambria Math"/>
                <w:color w:val="000000" w:themeColor="text1"/>
                <w:kern w:val="0"/>
                <w:sz w:val="18"/>
                <w:szCs w:val="18"/>
              </w:rPr>
              <w:t>①</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锝发生器一周购买</w:t>
            </w:r>
            <w:r w:rsidRPr="00B12FE0">
              <w:rPr>
                <w:rFonts w:eastAsia="TimesNewRoman"/>
                <w:color w:val="000000" w:themeColor="text1"/>
                <w:kern w:val="0"/>
                <w:sz w:val="18"/>
                <w:szCs w:val="18"/>
              </w:rPr>
              <w:t>1</w:t>
            </w:r>
            <w:r w:rsidRPr="00B12FE0">
              <w:rPr>
                <w:rFonts w:ascii="宋体" w:hAnsi="宋体"/>
                <w:color w:val="000000" w:themeColor="text1"/>
                <w:kern w:val="0"/>
                <w:sz w:val="18"/>
                <w:szCs w:val="18"/>
              </w:rPr>
              <w:t>个，单次购买的规格为</w:t>
            </w:r>
            <w:r w:rsidRPr="00B12FE0">
              <w:rPr>
                <w:rFonts w:eastAsiaTheme="minorEastAsia" w:hint="eastAsia"/>
                <w:color w:val="000000" w:themeColor="text1"/>
                <w:kern w:val="0"/>
                <w:sz w:val="18"/>
                <w:szCs w:val="18"/>
              </w:rPr>
              <w:t>3.33</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10</w:t>
            </w:r>
            <w:r w:rsidRPr="00B12FE0">
              <w:rPr>
                <w:rFonts w:eastAsia="TimesNewRoman"/>
                <w:color w:val="000000" w:themeColor="text1"/>
                <w:kern w:val="0"/>
                <w:sz w:val="18"/>
                <w:szCs w:val="18"/>
              </w:rPr>
              <w:t>Bq</w:t>
            </w:r>
            <w:r w:rsidRPr="00B12FE0">
              <w:rPr>
                <w:rFonts w:ascii="宋体" w:hAnsi="宋体"/>
                <w:color w:val="000000" w:themeColor="text1"/>
                <w:kern w:val="0"/>
                <w:sz w:val="18"/>
                <w:szCs w:val="18"/>
              </w:rPr>
              <w:t>（</w:t>
            </w:r>
            <w:r w:rsidRPr="00B12FE0">
              <w:rPr>
                <w:rFonts w:eastAsiaTheme="minorEastAsia" w:hint="eastAsia"/>
                <w:color w:val="000000" w:themeColor="text1"/>
                <w:kern w:val="0"/>
                <w:sz w:val="18"/>
                <w:szCs w:val="18"/>
              </w:rPr>
              <w:t>0.9</w:t>
            </w:r>
            <w:r w:rsidRPr="00B12FE0">
              <w:rPr>
                <w:rFonts w:eastAsia="TimesNewRoman"/>
                <w:color w:val="000000" w:themeColor="text1"/>
                <w:kern w:val="0"/>
                <w:sz w:val="18"/>
                <w:szCs w:val="18"/>
              </w:rPr>
              <w:t>Ci</w:t>
            </w:r>
            <w:r w:rsidRPr="00B12FE0">
              <w:rPr>
                <w:rFonts w:ascii="宋体" w:hAnsi="宋体"/>
                <w:color w:val="000000" w:themeColor="text1"/>
                <w:kern w:val="0"/>
                <w:sz w:val="18"/>
                <w:szCs w:val="18"/>
              </w:rPr>
              <w:t>），则</w:t>
            </w:r>
            <w:r w:rsidRPr="00B12FE0">
              <w:rPr>
                <w:color w:val="000000" w:themeColor="text1"/>
                <w:sz w:val="18"/>
                <w:szCs w:val="18"/>
                <w:vertAlign w:val="superscript"/>
              </w:rPr>
              <w:t>99</w:t>
            </w:r>
            <w:r w:rsidRPr="00B12FE0">
              <w:rPr>
                <w:color w:val="000000" w:themeColor="text1"/>
                <w:sz w:val="18"/>
                <w:szCs w:val="18"/>
              </w:rPr>
              <w:t>Mo</w:t>
            </w:r>
            <w:r w:rsidRPr="00B12FE0">
              <w:rPr>
                <w:rFonts w:ascii="宋体" w:hAnsi="宋体"/>
                <w:color w:val="000000" w:themeColor="text1"/>
                <w:kern w:val="0"/>
                <w:sz w:val="18"/>
                <w:szCs w:val="18"/>
              </w:rPr>
              <w:t>的日最大操作量为</w:t>
            </w:r>
            <w:r w:rsidRPr="00B12FE0">
              <w:rPr>
                <w:rFonts w:eastAsiaTheme="minorEastAsia" w:hint="eastAsia"/>
                <w:color w:val="000000" w:themeColor="text1"/>
                <w:kern w:val="0"/>
                <w:sz w:val="18"/>
                <w:szCs w:val="18"/>
              </w:rPr>
              <w:t>3.33</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10</w:t>
            </w:r>
            <w:r w:rsidRPr="00B12FE0">
              <w:rPr>
                <w:rFonts w:eastAsia="TimesNewRoman"/>
                <w:color w:val="000000" w:themeColor="text1"/>
                <w:kern w:val="0"/>
                <w:sz w:val="18"/>
                <w:szCs w:val="18"/>
              </w:rPr>
              <w:t>Bq</w:t>
            </w:r>
            <w:r w:rsidRPr="00B12FE0">
              <w:rPr>
                <w:rFonts w:ascii="宋体" w:hAnsi="宋体"/>
                <w:color w:val="000000" w:themeColor="text1"/>
                <w:kern w:val="0"/>
                <w:sz w:val="18"/>
                <w:szCs w:val="18"/>
              </w:rPr>
              <w:t>（</w:t>
            </w:r>
            <w:r w:rsidRPr="00B12FE0">
              <w:rPr>
                <w:rFonts w:eastAsiaTheme="minorEastAsia" w:hint="eastAsia"/>
                <w:color w:val="000000" w:themeColor="text1"/>
                <w:kern w:val="0"/>
                <w:sz w:val="18"/>
                <w:szCs w:val="18"/>
              </w:rPr>
              <w:t>0.9</w:t>
            </w:r>
            <w:r w:rsidRPr="00B12FE0">
              <w:rPr>
                <w:rFonts w:eastAsia="TimesNewRoman"/>
                <w:color w:val="000000" w:themeColor="text1"/>
                <w:kern w:val="0"/>
                <w:sz w:val="18"/>
                <w:szCs w:val="18"/>
              </w:rPr>
              <w:t>Ci</w:t>
            </w:r>
            <w:r w:rsidRPr="00B12FE0">
              <w:rPr>
                <w:rFonts w:ascii="宋体" w:hAnsi="宋体"/>
                <w:color w:val="000000" w:themeColor="text1"/>
                <w:kern w:val="0"/>
                <w:sz w:val="18"/>
                <w:szCs w:val="18"/>
              </w:rPr>
              <w:t>）；</w:t>
            </w:r>
            <w:r w:rsidRPr="00B12FE0">
              <w:rPr>
                <w:color w:val="000000" w:themeColor="text1"/>
                <w:sz w:val="18"/>
                <w:szCs w:val="18"/>
                <w:vertAlign w:val="superscript"/>
              </w:rPr>
              <w:t>99</w:t>
            </w:r>
            <w:r w:rsidRPr="00B12FE0">
              <w:rPr>
                <w:color w:val="000000" w:themeColor="text1"/>
                <w:sz w:val="18"/>
                <w:szCs w:val="18"/>
              </w:rPr>
              <w:t>Mo</w:t>
            </w:r>
            <w:r w:rsidRPr="00B12FE0">
              <w:rPr>
                <w:rFonts w:ascii="宋体" w:hAnsi="宋体"/>
                <w:color w:val="000000" w:themeColor="text1"/>
                <w:kern w:val="0"/>
                <w:sz w:val="18"/>
                <w:szCs w:val="18"/>
              </w:rPr>
              <w:t>的</w:t>
            </w:r>
            <w:r w:rsidRPr="00B12FE0">
              <w:rPr>
                <w:rFonts w:ascii="宋体" w:hAnsi="宋体" w:hint="eastAsia"/>
                <w:color w:val="000000" w:themeColor="text1"/>
                <w:kern w:val="0"/>
                <w:sz w:val="18"/>
                <w:szCs w:val="18"/>
              </w:rPr>
              <w:t>年最大用量</w:t>
            </w:r>
            <w:r w:rsidRPr="00B12FE0">
              <w:rPr>
                <w:rFonts w:eastAsia="TimesNewRoman"/>
                <w:color w:val="000000" w:themeColor="text1"/>
                <w:kern w:val="0"/>
                <w:sz w:val="18"/>
                <w:szCs w:val="18"/>
              </w:rPr>
              <w:t>=</w:t>
            </w:r>
            <w:r w:rsidRPr="00B12FE0">
              <w:rPr>
                <w:rFonts w:ascii="宋体" w:hAnsi="宋体"/>
                <w:color w:val="000000" w:themeColor="text1"/>
                <w:kern w:val="0"/>
                <w:sz w:val="18"/>
                <w:szCs w:val="18"/>
              </w:rPr>
              <w:t>日最大操作量</w:t>
            </w:r>
            <w:r w:rsidRPr="00B12FE0">
              <w:rPr>
                <w:rFonts w:eastAsia="TimesNewRoman"/>
                <w:color w:val="000000" w:themeColor="text1"/>
                <w:kern w:val="0"/>
                <w:sz w:val="18"/>
                <w:szCs w:val="18"/>
              </w:rPr>
              <w:t>*</w:t>
            </w:r>
            <w:r w:rsidRPr="00B12FE0">
              <w:rPr>
                <w:rFonts w:ascii="宋体" w:hAnsi="宋体"/>
                <w:color w:val="000000" w:themeColor="text1"/>
                <w:kern w:val="0"/>
                <w:sz w:val="18"/>
                <w:szCs w:val="18"/>
              </w:rPr>
              <w:t>年</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锝发生器的最大购买个数</w:t>
            </w:r>
            <w:r w:rsidRPr="00B12FE0">
              <w:rPr>
                <w:rFonts w:eastAsia="TimesNewRoman"/>
                <w:color w:val="000000" w:themeColor="text1"/>
                <w:kern w:val="0"/>
                <w:sz w:val="18"/>
                <w:szCs w:val="18"/>
              </w:rPr>
              <w:t>=</w:t>
            </w:r>
            <w:r w:rsidRPr="00B12FE0">
              <w:rPr>
                <w:rFonts w:eastAsiaTheme="minorEastAsia" w:hint="eastAsia"/>
                <w:color w:val="000000" w:themeColor="text1"/>
                <w:kern w:val="0"/>
                <w:sz w:val="18"/>
                <w:szCs w:val="18"/>
              </w:rPr>
              <w:t>3.33</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10</w:t>
            </w:r>
            <w:r w:rsidRPr="00B12FE0">
              <w:rPr>
                <w:rFonts w:eastAsia="TimesNewRoman"/>
                <w:color w:val="000000" w:themeColor="text1"/>
                <w:kern w:val="0"/>
                <w:sz w:val="18"/>
                <w:szCs w:val="18"/>
              </w:rPr>
              <w:t>Bq*50=</w:t>
            </w:r>
            <w:r w:rsidRPr="00B12FE0">
              <w:rPr>
                <w:rFonts w:eastAsiaTheme="minorEastAsia" w:hint="eastAsia"/>
                <w:color w:val="000000" w:themeColor="text1"/>
                <w:kern w:val="0"/>
                <w:sz w:val="18"/>
                <w:szCs w:val="18"/>
              </w:rPr>
              <w:t>1.67</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12</w:t>
            </w:r>
            <w:r w:rsidRPr="00B12FE0">
              <w:rPr>
                <w:rFonts w:eastAsia="TimesNewRoman"/>
                <w:color w:val="000000" w:themeColor="text1"/>
                <w:kern w:val="0"/>
                <w:sz w:val="18"/>
                <w:szCs w:val="18"/>
              </w:rPr>
              <w:t>Bq</w:t>
            </w:r>
            <w:r w:rsidRPr="00B12FE0">
              <w:rPr>
                <w:rFonts w:ascii="宋体" w:hAnsi="宋体"/>
                <w:color w:val="000000" w:themeColor="text1"/>
                <w:kern w:val="0"/>
                <w:sz w:val="18"/>
                <w:szCs w:val="18"/>
              </w:rPr>
              <w:t>；</w:t>
            </w:r>
          </w:p>
          <w:p w14:paraId="11818A2A" w14:textId="77777777" w:rsidR="00A67F21" w:rsidRPr="00B12FE0" w:rsidRDefault="00000000">
            <w:pPr>
              <w:widowControl/>
              <w:jc w:val="left"/>
              <w:textAlignment w:val="center"/>
              <w:rPr>
                <w:rFonts w:ascii="宋体" w:hAnsi="宋体" w:hint="eastAsia"/>
                <w:color w:val="000000" w:themeColor="text1"/>
                <w:kern w:val="0"/>
                <w:sz w:val="18"/>
                <w:szCs w:val="18"/>
              </w:rPr>
            </w:pPr>
            <w:r w:rsidRPr="00B12FE0">
              <w:rPr>
                <w:rFonts w:ascii="Cambria Math" w:hAnsi="Cambria Math" w:cs="Cambria Math"/>
                <w:color w:val="000000" w:themeColor="text1"/>
                <w:kern w:val="0"/>
                <w:sz w:val="18"/>
                <w:szCs w:val="18"/>
              </w:rPr>
              <w:t>②</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锝发生器每天淋洗</w:t>
            </w:r>
            <w:r w:rsidRPr="00B12FE0">
              <w:rPr>
                <w:color w:val="000000" w:themeColor="text1"/>
                <w:kern w:val="0"/>
                <w:sz w:val="18"/>
                <w:szCs w:val="18"/>
              </w:rPr>
              <w:t>1</w:t>
            </w:r>
            <w:r w:rsidRPr="00B12FE0">
              <w:rPr>
                <w:rFonts w:ascii="宋体" w:hAnsi="宋体"/>
                <w:color w:val="000000" w:themeColor="text1"/>
                <w:kern w:val="0"/>
                <w:sz w:val="18"/>
                <w:szCs w:val="18"/>
              </w:rPr>
              <w:t>次；参考《电离辐射安全与防护专业实务核医学应知应会》，</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锝发生器淋洗效率取</w:t>
            </w:r>
            <w:r w:rsidRPr="00B12FE0">
              <w:rPr>
                <w:rFonts w:eastAsia="TimesNewRoman"/>
                <w:color w:val="000000" w:themeColor="text1"/>
                <w:kern w:val="0"/>
                <w:sz w:val="18"/>
                <w:szCs w:val="18"/>
              </w:rPr>
              <w:t>90%</w:t>
            </w:r>
            <w:r w:rsidRPr="00B12FE0">
              <w:rPr>
                <w:rFonts w:ascii="宋体" w:hAnsi="宋体"/>
                <w:color w:val="000000" w:themeColor="text1"/>
                <w:kern w:val="0"/>
                <w:sz w:val="18"/>
                <w:szCs w:val="18"/>
              </w:rPr>
              <w:t>，核算</w:t>
            </w:r>
            <w:r w:rsidRPr="00B12FE0">
              <w:rPr>
                <w:color w:val="000000" w:themeColor="text1"/>
                <w:sz w:val="18"/>
                <w:szCs w:val="18"/>
                <w:vertAlign w:val="superscript"/>
              </w:rPr>
              <w:t>99m</w:t>
            </w:r>
            <w:r w:rsidRPr="00B12FE0">
              <w:rPr>
                <w:color w:val="000000" w:themeColor="text1"/>
                <w:sz w:val="18"/>
                <w:szCs w:val="18"/>
              </w:rPr>
              <w:t>Tc</w:t>
            </w:r>
            <w:r w:rsidRPr="00B12FE0">
              <w:rPr>
                <w:rFonts w:ascii="宋体" w:hAnsi="宋体"/>
                <w:color w:val="000000" w:themeColor="text1"/>
                <w:kern w:val="0"/>
                <w:sz w:val="18"/>
                <w:szCs w:val="18"/>
              </w:rPr>
              <w:t>的日最大操作量，即</w:t>
            </w:r>
            <w:r w:rsidRPr="00B12FE0">
              <w:rPr>
                <w:rFonts w:hint="eastAsia"/>
                <w:color w:val="000000" w:themeColor="text1"/>
                <w:kern w:val="0"/>
                <w:sz w:val="18"/>
                <w:szCs w:val="18"/>
              </w:rPr>
              <w:t>3.33</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10</w:t>
            </w:r>
            <w:r w:rsidRPr="00B12FE0">
              <w:rPr>
                <w:rFonts w:eastAsia="TimesNewRoman"/>
                <w:color w:val="000000" w:themeColor="text1"/>
                <w:kern w:val="0"/>
                <w:sz w:val="18"/>
                <w:szCs w:val="18"/>
              </w:rPr>
              <w:t>*0.9=</w:t>
            </w:r>
            <w:r w:rsidRPr="00B12FE0">
              <w:rPr>
                <w:rFonts w:eastAsiaTheme="minorEastAsia" w:hint="eastAsia"/>
                <w:color w:val="000000" w:themeColor="text1"/>
                <w:kern w:val="0"/>
                <w:sz w:val="18"/>
                <w:szCs w:val="18"/>
              </w:rPr>
              <w:t>3.0</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10</w:t>
            </w:r>
            <w:r w:rsidRPr="00B12FE0">
              <w:rPr>
                <w:rFonts w:eastAsia="TimesNewRoman"/>
                <w:color w:val="000000" w:themeColor="text1"/>
                <w:kern w:val="0"/>
                <w:sz w:val="18"/>
                <w:szCs w:val="18"/>
              </w:rPr>
              <w:t>Bq</w:t>
            </w:r>
            <w:r w:rsidRPr="00B12FE0">
              <w:rPr>
                <w:rFonts w:ascii="宋体" w:hAnsi="宋体"/>
                <w:color w:val="000000" w:themeColor="text1"/>
                <w:kern w:val="0"/>
                <w:sz w:val="18"/>
                <w:szCs w:val="18"/>
              </w:rPr>
              <w:t>；</w:t>
            </w:r>
            <w:proofErr w:type="gramStart"/>
            <w:r w:rsidRPr="00B12FE0">
              <w:rPr>
                <w:rFonts w:ascii="宋体" w:hAnsi="宋体"/>
                <w:color w:val="000000" w:themeColor="text1"/>
                <w:kern w:val="0"/>
                <w:sz w:val="18"/>
                <w:szCs w:val="18"/>
              </w:rPr>
              <w:t>锝的</w:t>
            </w:r>
            <w:r w:rsidRPr="00B12FE0">
              <w:rPr>
                <w:rFonts w:ascii="宋体" w:hAnsi="宋体" w:hint="eastAsia"/>
                <w:color w:val="000000" w:themeColor="text1"/>
                <w:kern w:val="0"/>
                <w:sz w:val="18"/>
                <w:szCs w:val="18"/>
              </w:rPr>
              <w:t>年</w:t>
            </w:r>
            <w:proofErr w:type="gramEnd"/>
            <w:r w:rsidRPr="00B12FE0">
              <w:rPr>
                <w:rFonts w:ascii="宋体" w:hAnsi="宋体" w:hint="eastAsia"/>
                <w:color w:val="000000" w:themeColor="text1"/>
                <w:kern w:val="0"/>
                <w:sz w:val="18"/>
                <w:szCs w:val="18"/>
              </w:rPr>
              <w:t>最大用量</w:t>
            </w:r>
            <w:r w:rsidRPr="00B12FE0">
              <w:rPr>
                <w:rFonts w:eastAsia="TimesNewRoman"/>
                <w:color w:val="000000" w:themeColor="text1"/>
                <w:kern w:val="0"/>
                <w:sz w:val="18"/>
                <w:szCs w:val="18"/>
              </w:rPr>
              <w:t>=</w:t>
            </w:r>
            <w:r w:rsidRPr="00B12FE0">
              <w:rPr>
                <w:rFonts w:ascii="宋体" w:hAnsi="宋体"/>
                <w:color w:val="000000" w:themeColor="text1"/>
                <w:kern w:val="0"/>
                <w:sz w:val="18"/>
                <w:szCs w:val="18"/>
              </w:rPr>
              <w:t>日最大操作量</w:t>
            </w:r>
            <w:r w:rsidRPr="00B12FE0">
              <w:rPr>
                <w:rFonts w:eastAsia="TimesNewRoman"/>
                <w:color w:val="000000" w:themeColor="text1"/>
                <w:kern w:val="0"/>
                <w:sz w:val="18"/>
                <w:szCs w:val="18"/>
              </w:rPr>
              <w:t>*</w:t>
            </w:r>
            <w:r w:rsidRPr="00B12FE0">
              <w:rPr>
                <w:rFonts w:ascii="宋体" w:hAnsi="宋体"/>
                <w:color w:val="000000" w:themeColor="text1"/>
                <w:kern w:val="0"/>
                <w:sz w:val="18"/>
                <w:szCs w:val="18"/>
              </w:rPr>
              <w:t>年工作时间</w:t>
            </w:r>
            <w:r w:rsidRPr="00B12FE0">
              <w:rPr>
                <w:rFonts w:eastAsia="TimesNewRoman"/>
                <w:color w:val="000000" w:themeColor="text1"/>
                <w:kern w:val="0"/>
                <w:sz w:val="18"/>
                <w:szCs w:val="18"/>
              </w:rPr>
              <w:t>=</w:t>
            </w:r>
            <w:r w:rsidRPr="00B12FE0">
              <w:rPr>
                <w:rFonts w:eastAsiaTheme="minorEastAsia" w:hint="eastAsia"/>
                <w:color w:val="000000" w:themeColor="text1"/>
                <w:kern w:val="0"/>
                <w:sz w:val="18"/>
                <w:szCs w:val="18"/>
              </w:rPr>
              <w:t>3.0</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10</w:t>
            </w:r>
            <w:r w:rsidRPr="00B12FE0">
              <w:rPr>
                <w:rFonts w:eastAsia="TimesNewRoman"/>
                <w:color w:val="000000" w:themeColor="text1"/>
                <w:kern w:val="0"/>
                <w:sz w:val="18"/>
                <w:szCs w:val="18"/>
              </w:rPr>
              <w:t>Bq*250=</w:t>
            </w:r>
            <w:r w:rsidRPr="00B12FE0">
              <w:rPr>
                <w:rFonts w:eastAsiaTheme="minorEastAsia" w:hint="eastAsia"/>
                <w:color w:val="000000" w:themeColor="text1"/>
                <w:kern w:val="0"/>
                <w:sz w:val="18"/>
                <w:szCs w:val="18"/>
              </w:rPr>
              <w:t>7.50</w:t>
            </w:r>
            <w:r w:rsidRPr="00B12FE0">
              <w:rPr>
                <w:color w:val="000000" w:themeColor="text1"/>
                <w:kern w:val="0"/>
                <w:sz w:val="18"/>
                <w:szCs w:val="18"/>
              </w:rPr>
              <w:t>×</w:t>
            </w:r>
            <w:r w:rsidRPr="00B12FE0">
              <w:rPr>
                <w:rFonts w:eastAsia="TimesNewRoman"/>
                <w:color w:val="000000" w:themeColor="text1"/>
                <w:kern w:val="0"/>
                <w:sz w:val="18"/>
                <w:szCs w:val="18"/>
              </w:rPr>
              <w:t>10</w:t>
            </w:r>
            <w:r w:rsidRPr="00B12FE0">
              <w:rPr>
                <w:rFonts w:eastAsia="TimesNewRoman"/>
                <w:color w:val="000000" w:themeColor="text1"/>
                <w:kern w:val="0"/>
                <w:sz w:val="18"/>
                <w:szCs w:val="18"/>
                <w:vertAlign w:val="superscript"/>
              </w:rPr>
              <w:t>1</w:t>
            </w:r>
            <w:r w:rsidRPr="00B12FE0">
              <w:rPr>
                <w:rFonts w:eastAsiaTheme="minorEastAsia" w:hint="eastAsia"/>
                <w:color w:val="000000" w:themeColor="text1"/>
                <w:kern w:val="0"/>
                <w:sz w:val="18"/>
                <w:szCs w:val="18"/>
                <w:vertAlign w:val="superscript"/>
              </w:rPr>
              <w:t>2</w:t>
            </w:r>
            <w:r w:rsidRPr="00B12FE0">
              <w:rPr>
                <w:rFonts w:eastAsia="TimesNewRoman"/>
                <w:color w:val="000000" w:themeColor="text1"/>
                <w:kern w:val="0"/>
                <w:sz w:val="18"/>
                <w:szCs w:val="18"/>
              </w:rPr>
              <w:t>Bq</w:t>
            </w:r>
            <w:r w:rsidRPr="00B12FE0">
              <w:rPr>
                <w:rFonts w:ascii="宋体" w:hAnsi="宋体"/>
                <w:color w:val="000000" w:themeColor="text1"/>
                <w:kern w:val="0"/>
                <w:sz w:val="18"/>
                <w:szCs w:val="18"/>
              </w:rPr>
              <w:t>。</w:t>
            </w:r>
          </w:p>
          <w:p w14:paraId="319E2634" w14:textId="77777777" w:rsidR="00A67F21" w:rsidRPr="00B12FE0" w:rsidRDefault="00000000">
            <w:pPr>
              <w:widowControl/>
              <w:jc w:val="left"/>
              <w:textAlignment w:val="center"/>
              <w:rPr>
                <w:color w:val="000000" w:themeColor="text1"/>
                <w:sz w:val="18"/>
                <w:szCs w:val="18"/>
              </w:rPr>
            </w:pPr>
            <w:r w:rsidRPr="00B12FE0">
              <w:rPr>
                <w:rFonts w:ascii="Cambria Math" w:eastAsia="TimesNewRoman" w:hAnsi="Cambria Math" w:cs="Cambria Math" w:hint="eastAsia"/>
                <w:color w:val="000000" w:themeColor="text1"/>
                <w:kern w:val="0"/>
                <w:sz w:val="18"/>
                <w:szCs w:val="18"/>
              </w:rPr>
              <w:t>③</w:t>
            </w: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和</w:t>
            </w: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日和年最大用量均按生产量进行计算。</w:t>
            </w:r>
          </w:p>
          <w:p w14:paraId="1B2C7488" w14:textId="77777777" w:rsidR="00A67F21" w:rsidRPr="00B12FE0" w:rsidRDefault="00000000">
            <w:pPr>
              <w:widowControl/>
              <w:jc w:val="left"/>
              <w:textAlignment w:val="center"/>
              <w:rPr>
                <w:color w:val="000000" w:themeColor="text1"/>
                <w:sz w:val="21"/>
                <w:szCs w:val="21"/>
              </w:rPr>
            </w:pPr>
            <w:r w:rsidRPr="00B12FE0">
              <w:rPr>
                <w:rFonts w:hint="eastAsia"/>
                <w:color w:val="000000" w:themeColor="text1"/>
                <w:sz w:val="18"/>
                <w:szCs w:val="18"/>
              </w:rPr>
              <w:t>④</w:t>
            </w:r>
            <w:r w:rsidRPr="00B12FE0">
              <w:rPr>
                <w:color w:val="000000" w:themeColor="text1"/>
                <w:sz w:val="18"/>
                <w:szCs w:val="18"/>
                <w:vertAlign w:val="superscript"/>
              </w:rPr>
              <w:t>32</w:t>
            </w:r>
            <w:r w:rsidRPr="00B12FE0">
              <w:rPr>
                <w:color w:val="000000" w:themeColor="text1"/>
                <w:sz w:val="18"/>
                <w:szCs w:val="18"/>
              </w:rPr>
              <w:t>P</w:t>
            </w:r>
            <w:r w:rsidRPr="00B12FE0">
              <w:rPr>
                <w:rFonts w:hint="eastAsia"/>
                <w:color w:val="000000" w:themeColor="text1"/>
                <w:sz w:val="18"/>
                <w:szCs w:val="18"/>
              </w:rPr>
              <w:t>每周一集中送该周所需药，送药后医院根据患者需求进行敷贴器制作，因此日最大操作量保守考虑制贴时使用的一周用量。</w:t>
            </w:r>
          </w:p>
        </w:tc>
      </w:tr>
    </w:tbl>
    <w:p w14:paraId="138D9E14" w14:textId="77777777" w:rsidR="00A67F21" w:rsidRPr="00B12FE0" w:rsidRDefault="00000000">
      <w:pPr>
        <w:adjustRightInd w:val="0"/>
        <w:snapToGrid w:val="0"/>
        <w:spacing w:line="360" w:lineRule="auto"/>
        <w:ind w:firstLineChars="200" w:firstLine="482"/>
        <w:rPr>
          <w:b/>
          <w:color w:val="000000" w:themeColor="text1"/>
          <w:sz w:val="21"/>
          <w:szCs w:val="21"/>
        </w:rPr>
      </w:pPr>
      <w:r w:rsidRPr="00B12FE0">
        <w:rPr>
          <w:rFonts w:ascii="宋体" w:hAnsi="宋体"/>
          <w:b/>
          <w:bCs/>
          <w:color w:val="000000" w:themeColor="text1"/>
          <w:kern w:val="0"/>
          <w:szCs w:val="24"/>
        </w:rPr>
        <w:t>（</w:t>
      </w:r>
      <w:r w:rsidRPr="00B12FE0">
        <w:rPr>
          <w:b/>
          <w:bCs/>
          <w:color w:val="000000" w:themeColor="text1"/>
          <w:kern w:val="0"/>
          <w:szCs w:val="24"/>
        </w:rPr>
        <w:t>3</w:t>
      </w:r>
      <w:r w:rsidRPr="00B12FE0">
        <w:rPr>
          <w:rFonts w:ascii="宋体" w:hAnsi="宋体"/>
          <w:b/>
          <w:bCs/>
          <w:color w:val="000000" w:themeColor="text1"/>
          <w:kern w:val="0"/>
          <w:szCs w:val="24"/>
        </w:rPr>
        <w:t>）核医学科核素治疗场所</w:t>
      </w:r>
    </w:p>
    <w:p w14:paraId="3AF6161F" w14:textId="77777777" w:rsidR="00A67F21" w:rsidRPr="00B12FE0" w:rsidRDefault="00000000">
      <w:pPr>
        <w:spacing w:line="360" w:lineRule="auto"/>
        <w:ind w:firstLineChars="200" w:firstLine="480"/>
        <w:rPr>
          <w:color w:val="000000" w:themeColor="text1"/>
          <w:szCs w:val="24"/>
        </w:rPr>
      </w:pPr>
      <w:r w:rsidRPr="00B12FE0">
        <w:rPr>
          <w:rFonts w:ascii="宋体" w:hAnsi="宋体"/>
          <w:bCs/>
          <w:color w:val="000000" w:themeColor="text1"/>
          <w:szCs w:val="24"/>
        </w:rPr>
        <w:t>核医学科核素治疗场所位于肿瘤治疗中心</w:t>
      </w:r>
      <w:r w:rsidRPr="00B12FE0">
        <w:rPr>
          <w:rFonts w:ascii="宋体" w:hAnsi="宋体"/>
          <w:color w:val="000000" w:themeColor="text1"/>
          <w:szCs w:val="24"/>
        </w:rPr>
        <w:t>综合楼</w:t>
      </w:r>
      <w:r w:rsidRPr="00B12FE0">
        <w:rPr>
          <w:rFonts w:ascii="宋体" w:hAnsi="宋体" w:hint="eastAsia"/>
          <w:color w:val="000000" w:themeColor="text1"/>
          <w:szCs w:val="24"/>
        </w:rPr>
        <w:t>二</w:t>
      </w:r>
      <w:r w:rsidRPr="00B12FE0">
        <w:rPr>
          <w:rFonts w:ascii="宋体" w:hAnsi="宋体"/>
          <w:color w:val="000000" w:themeColor="text1"/>
          <w:szCs w:val="24"/>
        </w:rPr>
        <w:t>层</w:t>
      </w:r>
      <w:r w:rsidRPr="00B12FE0">
        <w:rPr>
          <w:rFonts w:ascii="宋体" w:hAnsi="宋体" w:hint="eastAsia"/>
          <w:color w:val="000000" w:themeColor="text1"/>
          <w:szCs w:val="24"/>
        </w:rPr>
        <w:t>南</w:t>
      </w:r>
      <w:r w:rsidRPr="00B12FE0">
        <w:rPr>
          <w:rFonts w:ascii="宋体" w:hAnsi="宋体"/>
          <w:color w:val="000000" w:themeColor="text1"/>
          <w:szCs w:val="24"/>
        </w:rPr>
        <w:t>侧。</w:t>
      </w:r>
    </w:p>
    <w:p w14:paraId="0DBB673A" w14:textId="77777777" w:rsidR="00A67F21" w:rsidRPr="00B12FE0" w:rsidRDefault="00000000">
      <w:pPr>
        <w:spacing w:line="360" w:lineRule="auto"/>
        <w:ind w:firstLineChars="200" w:firstLine="480"/>
        <w:rPr>
          <w:color w:val="000000" w:themeColor="text1"/>
          <w:szCs w:val="24"/>
        </w:rPr>
      </w:pPr>
      <w:r w:rsidRPr="00B12FE0">
        <w:rPr>
          <w:rFonts w:ascii="宋体" w:hAnsi="宋体"/>
          <w:color w:val="000000" w:themeColor="text1"/>
          <w:szCs w:val="24"/>
        </w:rPr>
        <w:t>使用</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进行甲状腺癌（以下简称</w:t>
      </w:r>
      <w:r w:rsidRPr="00B12FE0">
        <w:rPr>
          <w:color w:val="000000" w:themeColor="text1"/>
          <w:szCs w:val="24"/>
        </w:rPr>
        <w:t>“</w:t>
      </w:r>
      <w:r w:rsidRPr="00B12FE0">
        <w:rPr>
          <w:rFonts w:ascii="宋体" w:hAnsi="宋体"/>
          <w:color w:val="000000" w:themeColor="text1"/>
          <w:szCs w:val="24"/>
        </w:rPr>
        <w:t>甲癌</w:t>
      </w:r>
      <w:r w:rsidRPr="00B12FE0">
        <w:rPr>
          <w:color w:val="000000" w:themeColor="text1"/>
          <w:szCs w:val="24"/>
        </w:rPr>
        <w:t>”</w:t>
      </w:r>
      <w:r w:rsidRPr="00B12FE0">
        <w:rPr>
          <w:rFonts w:ascii="宋体" w:hAnsi="宋体"/>
          <w:color w:val="000000" w:themeColor="text1"/>
          <w:szCs w:val="24"/>
        </w:rPr>
        <w:t>）治疗。</w:t>
      </w:r>
      <w:r w:rsidRPr="00B12FE0">
        <w:rPr>
          <w:rFonts w:ascii="宋体" w:hAnsi="宋体"/>
          <w:bCs/>
          <w:color w:val="000000" w:themeColor="text1"/>
          <w:szCs w:val="24"/>
        </w:rPr>
        <w:t>本项目</w:t>
      </w:r>
      <w:r w:rsidRPr="00B12FE0">
        <w:rPr>
          <w:rFonts w:ascii="宋体" w:hAnsi="宋体"/>
          <w:bCs/>
          <w:color w:val="000000" w:themeColor="text1"/>
          <w:kern w:val="0"/>
          <w:szCs w:val="24"/>
        </w:rPr>
        <w:t>核素治疗场所</w:t>
      </w:r>
      <w:r w:rsidRPr="00B12FE0">
        <w:rPr>
          <w:rFonts w:ascii="宋体" w:hAnsi="宋体"/>
          <w:bCs/>
          <w:color w:val="000000" w:themeColor="text1"/>
          <w:szCs w:val="24"/>
        </w:rPr>
        <w:t>核素使用情况见表</w:t>
      </w:r>
      <w:r w:rsidRPr="00B12FE0">
        <w:rPr>
          <w:bCs/>
          <w:color w:val="000000" w:themeColor="text1"/>
          <w:szCs w:val="24"/>
        </w:rPr>
        <w:t>1.1-3</w:t>
      </w:r>
      <w:r w:rsidRPr="00B12FE0">
        <w:rPr>
          <w:rFonts w:ascii="宋体" w:hAnsi="宋体"/>
          <w:bCs/>
          <w:color w:val="000000" w:themeColor="text1"/>
          <w:szCs w:val="24"/>
        </w:rPr>
        <w:t>。</w:t>
      </w:r>
      <w:r w:rsidRPr="00B12FE0">
        <w:rPr>
          <w:rFonts w:ascii="宋体" w:hAnsi="宋体" w:hint="eastAsia"/>
          <w:bCs/>
          <w:color w:val="000000" w:themeColor="text1"/>
          <w:szCs w:val="24"/>
        </w:rPr>
        <w:t>根据表</w:t>
      </w:r>
      <w:r w:rsidRPr="00B12FE0">
        <w:rPr>
          <w:rFonts w:hint="eastAsia"/>
          <w:bCs/>
          <w:color w:val="000000" w:themeColor="text1"/>
          <w:szCs w:val="24"/>
        </w:rPr>
        <w:t>10.1.1.4-3</w:t>
      </w:r>
      <w:r w:rsidRPr="00B12FE0">
        <w:rPr>
          <w:rFonts w:ascii="宋体" w:hAnsi="宋体" w:hint="eastAsia"/>
          <w:bCs/>
          <w:color w:val="000000" w:themeColor="text1"/>
          <w:szCs w:val="24"/>
        </w:rPr>
        <w:t>，</w:t>
      </w:r>
      <w:r w:rsidRPr="00B12FE0">
        <w:rPr>
          <w:rFonts w:ascii="宋体" w:hAnsi="宋体"/>
          <w:color w:val="000000" w:themeColor="text1"/>
          <w:szCs w:val="24"/>
        </w:rPr>
        <w:t>本项目</w:t>
      </w:r>
      <w:r w:rsidRPr="00B12FE0">
        <w:rPr>
          <w:rFonts w:ascii="宋体" w:hAnsi="宋体"/>
          <w:bCs/>
          <w:color w:val="000000" w:themeColor="text1"/>
          <w:kern w:val="0"/>
          <w:szCs w:val="24"/>
        </w:rPr>
        <w:t>核素治疗场所</w:t>
      </w:r>
      <w:r w:rsidRPr="00B12FE0">
        <w:rPr>
          <w:rFonts w:ascii="宋体" w:hAnsi="宋体"/>
          <w:color w:val="000000" w:themeColor="text1"/>
          <w:szCs w:val="24"/>
        </w:rPr>
        <w:t>放射性核素日等效最大操作量为</w:t>
      </w:r>
      <w:r w:rsidRPr="00B12FE0">
        <w:rPr>
          <w:rFonts w:hint="eastAsia"/>
          <w:color w:val="000000" w:themeColor="text1"/>
          <w:szCs w:val="24"/>
        </w:rPr>
        <w:t>3.55</w:t>
      </w:r>
      <w:r w:rsidRPr="00B12FE0">
        <w:rPr>
          <w:color w:val="000000" w:themeColor="text1"/>
          <w:szCs w:val="24"/>
        </w:rPr>
        <w:t>×10</w:t>
      </w:r>
      <w:r w:rsidRPr="00B12FE0">
        <w:rPr>
          <w:rFonts w:hint="eastAsia"/>
          <w:color w:val="000000" w:themeColor="text1"/>
          <w:szCs w:val="24"/>
          <w:vertAlign w:val="superscript"/>
        </w:rPr>
        <w:t>8</w:t>
      </w:r>
      <w:r w:rsidRPr="00B12FE0">
        <w:rPr>
          <w:color w:val="000000" w:themeColor="text1"/>
          <w:szCs w:val="24"/>
        </w:rPr>
        <w:t>Bq</w:t>
      </w:r>
      <w:r w:rsidRPr="00B12FE0">
        <w:rPr>
          <w:rFonts w:ascii="宋体" w:hAnsi="宋体"/>
          <w:color w:val="000000" w:themeColor="text1"/>
          <w:szCs w:val="24"/>
        </w:rPr>
        <w:t>，为乙级非密封放射性物质工作场所</w:t>
      </w:r>
      <w:r w:rsidRPr="00B12FE0">
        <w:rPr>
          <w:rFonts w:ascii="宋体" w:hAnsi="宋体"/>
          <w:bCs/>
          <w:color w:val="000000" w:themeColor="text1"/>
          <w:spacing w:val="2"/>
          <w:kern w:val="0"/>
          <w:szCs w:val="24"/>
        </w:rPr>
        <w:t>。</w:t>
      </w:r>
    </w:p>
    <w:p w14:paraId="6973C5E1" w14:textId="77777777" w:rsidR="00A67F21" w:rsidRPr="00B12FE0" w:rsidRDefault="00000000">
      <w:pPr>
        <w:adjustRightInd w:val="0"/>
        <w:snapToGrid w:val="0"/>
        <w:spacing w:line="360" w:lineRule="auto"/>
        <w:contextualSpacing/>
        <w:jc w:val="center"/>
        <w:rPr>
          <w:color w:val="000000" w:themeColor="text1"/>
          <w:szCs w:val="24"/>
        </w:rPr>
      </w:pPr>
      <w:r w:rsidRPr="00B12FE0">
        <w:rPr>
          <w:rFonts w:ascii="宋体" w:hAnsi="宋体"/>
          <w:b/>
          <w:color w:val="000000" w:themeColor="text1"/>
          <w:sz w:val="21"/>
          <w:szCs w:val="21"/>
        </w:rPr>
        <w:t>表</w:t>
      </w:r>
      <w:r w:rsidRPr="00B12FE0">
        <w:rPr>
          <w:b/>
          <w:color w:val="000000" w:themeColor="text1"/>
          <w:sz w:val="21"/>
          <w:szCs w:val="21"/>
        </w:rPr>
        <w:t xml:space="preserve">1.1-3  </w:t>
      </w:r>
      <w:r w:rsidRPr="00B12FE0">
        <w:rPr>
          <w:rFonts w:ascii="宋体" w:hAnsi="宋体"/>
          <w:b/>
          <w:color w:val="000000" w:themeColor="text1"/>
          <w:sz w:val="21"/>
          <w:szCs w:val="21"/>
        </w:rPr>
        <w:t>本项目核素治疗场所使用核素诊疗用药情况</w:t>
      </w:r>
    </w:p>
    <w:tbl>
      <w:tblPr>
        <w:tblW w:w="9080" w:type="dxa"/>
        <w:jc w:val="center"/>
        <w:tblLayout w:type="fixed"/>
        <w:tblLook w:val="04A0" w:firstRow="1" w:lastRow="0" w:firstColumn="1" w:lastColumn="0" w:noHBand="0" w:noVBand="1"/>
      </w:tblPr>
      <w:tblGrid>
        <w:gridCol w:w="1378"/>
        <w:gridCol w:w="1019"/>
        <w:gridCol w:w="1319"/>
        <w:gridCol w:w="1661"/>
        <w:gridCol w:w="1686"/>
        <w:gridCol w:w="961"/>
        <w:gridCol w:w="1056"/>
      </w:tblGrid>
      <w:tr w:rsidR="00A67F21" w:rsidRPr="00B12FE0" w14:paraId="1D2AA295" w14:textId="77777777">
        <w:trPr>
          <w:trHeight w:val="272"/>
          <w:jc w:val="center"/>
        </w:trPr>
        <w:tc>
          <w:tcPr>
            <w:tcW w:w="1378" w:type="dxa"/>
            <w:tcBorders>
              <w:top w:val="single" w:sz="8" w:space="0" w:color="000000"/>
              <w:left w:val="single" w:sz="8" w:space="0" w:color="000000"/>
              <w:bottom w:val="single" w:sz="8" w:space="0" w:color="000000"/>
              <w:right w:val="single" w:sz="8" w:space="0" w:color="000000"/>
            </w:tcBorders>
            <w:vAlign w:val="center"/>
          </w:tcPr>
          <w:p w14:paraId="197B3038"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lastRenderedPageBreak/>
              <w:t>使用核素</w:t>
            </w:r>
          </w:p>
        </w:tc>
        <w:tc>
          <w:tcPr>
            <w:tcW w:w="1019" w:type="dxa"/>
            <w:tcBorders>
              <w:top w:val="single" w:sz="8" w:space="0" w:color="000000"/>
              <w:left w:val="nil"/>
              <w:bottom w:val="single" w:sz="8" w:space="0" w:color="000000"/>
              <w:right w:val="single" w:sz="8" w:space="0" w:color="000000"/>
            </w:tcBorders>
            <w:vAlign w:val="center"/>
          </w:tcPr>
          <w:p w14:paraId="25F581E7"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t>物理状态</w:t>
            </w:r>
          </w:p>
        </w:tc>
        <w:tc>
          <w:tcPr>
            <w:tcW w:w="1319" w:type="dxa"/>
            <w:tcBorders>
              <w:top w:val="single" w:sz="8" w:space="0" w:color="000000"/>
              <w:left w:val="nil"/>
              <w:bottom w:val="single" w:sz="8" w:space="0" w:color="000000"/>
              <w:right w:val="single" w:sz="8" w:space="0" w:color="000000"/>
            </w:tcBorders>
            <w:vAlign w:val="center"/>
          </w:tcPr>
          <w:p w14:paraId="56853F2D"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t>日最大诊疗量（人）</w:t>
            </w:r>
          </w:p>
        </w:tc>
        <w:tc>
          <w:tcPr>
            <w:tcW w:w="1661" w:type="dxa"/>
            <w:tcBorders>
              <w:top w:val="single" w:sz="8" w:space="0" w:color="000000"/>
              <w:left w:val="nil"/>
              <w:bottom w:val="single" w:sz="8" w:space="0" w:color="000000"/>
              <w:right w:val="single" w:sz="8" w:space="0" w:color="000000"/>
            </w:tcBorders>
            <w:vAlign w:val="center"/>
          </w:tcPr>
          <w:p w14:paraId="50D58D65"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t>年最大诊疗量（人）</w:t>
            </w:r>
          </w:p>
        </w:tc>
        <w:tc>
          <w:tcPr>
            <w:tcW w:w="1686" w:type="dxa"/>
            <w:tcBorders>
              <w:top w:val="single" w:sz="8" w:space="0" w:color="000000"/>
              <w:left w:val="nil"/>
              <w:bottom w:val="single" w:sz="8" w:space="0" w:color="000000"/>
              <w:right w:val="single" w:sz="8" w:space="0" w:color="000000"/>
            </w:tcBorders>
            <w:vAlign w:val="center"/>
          </w:tcPr>
          <w:p w14:paraId="2B9E32AF"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t>单次最大</w:t>
            </w:r>
          </w:p>
          <w:p w14:paraId="6F0B38FD"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t>使用量（Bq）</w:t>
            </w:r>
          </w:p>
        </w:tc>
        <w:tc>
          <w:tcPr>
            <w:tcW w:w="961" w:type="dxa"/>
            <w:tcBorders>
              <w:top w:val="single" w:sz="8" w:space="0" w:color="000000"/>
              <w:left w:val="nil"/>
              <w:bottom w:val="single" w:sz="8" w:space="0" w:color="000000"/>
              <w:right w:val="single" w:sz="8" w:space="0" w:color="000000"/>
            </w:tcBorders>
            <w:vAlign w:val="center"/>
          </w:tcPr>
          <w:p w14:paraId="1C9644D0"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t>给药方式</w:t>
            </w:r>
          </w:p>
        </w:tc>
        <w:tc>
          <w:tcPr>
            <w:tcW w:w="1056" w:type="dxa"/>
            <w:tcBorders>
              <w:top w:val="single" w:sz="8" w:space="0" w:color="000000"/>
              <w:left w:val="nil"/>
              <w:bottom w:val="single" w:sz="8" w:space="0" w:color="000000"/>
              <w:right w:val="single" w:sz="8" w:space="0" w:color="000000"/>
            </w:tcBorders>
            <w:vAlign w:val="center"/>
          </w:tcPr>
          <w:p w14:paraId="4BDA9FA0" w14:textId="77777777" w:rsidR="00A67F21" w:rsidRPr="00B12FE0" w:rsidRDefault="00000000">
            <w:pPr>
              <w:adjustRightInd w:val="0"/>
              <w:snapToGrid w:val="0"/>
              <w:jc w:val="center"/>
              <w:rPr>
                <w:rFonts w:ascii="宋体" w:hAnsi="宋体" w:hint="eastAsia"/>
                <w:bCs/>
                <w:color w:val="000000" w:themeColor="text1"/>
                <w:sz w:val="21"/>
                <w:szCs w:val="21"/>
              </w:rPr>
            </w:pPr>
            <w:r w:rsidRPr="00B12FE0">
              <w:rPr>
                <w:rFonts w:ascii="宋体" w:hAnsi="宋体"/>
                <w:bCs/>
                <w:color w:val="000000" w:themeColor="text1"/>
                <w:sz w:val="21"/>
                <w:szCs w:val="21"/>
              </w:rPr>
              <w:t>用途</w:t>
            </w:r>
          </w:p>
        </w:tc>
      </w:tr>
      <w:tr w:rsidR="00A67F21" w:rsidRPr="00B12FE0" w14:paraId="207E80F9" w14:textId="77777777">
        <w:trPr>
          <w:trHeight w:val="272"/>
          <w:jc w:val="center"/>
        </w:trPr>
        <w:tc>
          <w:tcPr>
            <w:tcW w:w="1378" w:type="dxa"/>
            <w:tcBorders>
              <w:top w:val="single" w:sz="8" w:space="0" w:color="000000"/>
              <w:left w:val="single" w:sz="8" w:space="0" w:color="000000"/>
              <w:bottom w:val="single" w:sz="8" w:space="0" w:color="000000"/>
              <w:right w:val="single" w:sz="8" w:space="0" w:color="000000"/>
            </w:tcBorders>
            <w:noWrap/>
            <w:vAlign w:val="center"/>
          </w:tcPr>
          <w:p w14:paraId="07ABDF5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甲癌</w:t>
            </w:r>
            <w:proofErr w:type="gramEnd"/>
          </w:p>
        </w:tc>
        <w:tc>
          <w:tcPr>
            <w:tcW w:w="1019" w:type="dxa"/>
            <w:tcBorders>
              <w:top w:val="single" w:sz="8" w:space="0" w:color="000000"/>
              <w:left w:val="nil"/>
              <w:bottom w:val="single" w:sz="8" w:space="0" w:color="000000"/>
              <w:right w:val="single" w:sz="8" w:space="0" w:color="000000"/>
            </w:tcBorders>
            <w:vAlign w:val="center"/>
          </w:tcPr>
          <w:p w14:paraId="67A48CD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 w:val="21"/>
                <w:szCs w:val="21"/>
              </w:rPr>
              <w:t>液体</w:t>
            </w:r>
          </w:p>
        </w:tc>
        <w:tc>
          <w:tcPr>
            <w:tcW w:w="1319" w:type="dxa"/>
            <w:tcBorders>
              <w:top w:val="single" w:sz="8" w:space="0" w:color="000000"/>
              <w:left w:val="nil"/>
              <w:bottom w:val="single" w:sz="8" w:space="0" w:color="000000"/>
              <w:right w:val="single" w:sz="8" w:space="0" w:color="000000"/>
            </w:tcBorders>
            <w:noWrap/>
            <w:vAlign w:val="center"/>
          </w:tcPr>
          <w:p w14:paraId="2EBCB5D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w:t>
            </w:r>
          </w:p>
        </w:tc>
        <w:tc>
          <w:tcPr>
            <w:tcW w:w="1661" w:type="dxa"/>
            <w:tcBorders>
              <w:top w:val="single" w:sz="8" w:space="0" w:color="000000"/>
              <w:left w:val="nil"/>
              <w:bottom w:val="single" w:sz="8" w:space="0" w:color="000000"/>
              <w:right w:val="single" w:sz="8" w:space="0" w:color="000000"/>
            </w:tcBorders>
            <w:noWrap/>
            <w:vAlign w:val="center"/>
          </w:tcPr>
          <w:p w14:paraId="1899558C"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r w:rsidRPr="00B12FE0">
              <w:rPr>
                <w:color w:val="000000" w:themeColor="text1"/>
                <w:kern w:val="0"/>
                <w:sz w:val="21"/>
                <w:szCs w:val="21"/>
              </w:rPr>
              <w:t>00</w:t>
            </w:r>
          </w:p>
        </w:tc>
        <w:tc>
          <w:tcPr>
            <w:tcW w:w="1686" w:type="dxa"/>
            <w:tcBorders>
              <w:top w:val="single" w:sz="8" w:space="0" w:color="000000"/>
              <w:left w:val="nil"/>
              <w:bottom w:val="single" w:sz="8" w:space="0" w:color="000000"/>
              <w:right w:val="single" w:sz="8" w:space="0" w:color="000000"/>
            </w:tcBorders>
            <w:noWrap/>
            <w:vAlign w:val="center"/>
          </w:tcPr>
          <w:p w14:paraId="4D739E2C"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4.44</w:t>
            </w:r>
            <w:r w:rsidRPr="00B12FE0">
              <w:rPr>
                <w:color w:val="000000" w:themeColor="text1"/>
                <w:sz w:val="21"/>
                <w:szCs w:val="21"/>
              </w:rPr>
              <w:t>×10</w:t>
            </w:r>
            <w:r w:rsidRPr="00B12FE0">
              <w:rPr>
                <w:color w:val="000000" w:themeColor="text1"/>
                <w:sz w:val="21"/>
                <w:szCs w:val="21"/>
                <w:vertAlign w:val="superscript"/>
              </w:rPr>
              <w:t>9</w:t>
            </w:r>
          </w:p>
          <w:p w14:paraId="6787CE4E" w14:textId="77777777" w:rsidR="00A67F21" w:rsidRPr="00B12FE0" w:rsidRDefault="00000000">
            <w:pPr>
              <w:autoSpaceDE w:val="0"/>
              <w:autoSpaceDN w:val="0"/>
              <w:adjustRightInd w:val="0"/>
              <w:jc w:val="center"/>
              <w:textAlignment w:val="baseline"/>
              <w:rPr>
                <w:color w:val="000000" w:themeColor="text1"/>
                <w:sz w:val="21"/>
                <w:szCs w:val="21"/>
              </w:rPr>
            </w:pPr>
            <w:r w:rsidRPr="00B12FE0">
              <w:rPr>
                <w:rFonts w:ascii="宋体" w:hAnsi="宋体"/>
                <w:color w:val="000000" w:themeColor="text1"/>
                <w:sz w:val="21"/>
                <w:szCs w:val="21"/>
              </w:rPr>
              <w:t>（</w:t>
            </w:r>
            <w:r w:rsidRPr="00B12FE0">
              <w:rPr>
                <w:color w:val="000000" w:themeColor="text1"/>
                <w:sz w:val="21"/>
                <w:szCs w:val="21"/>
              </w:rPr>
              <w:t>1</w:t>
            </w:r>
            <w:r w:rsidRPr="00B12FE0">
              <w:rPr>
                <w:rFonts w:hint="eastAsia"/>
                <w:color w:val="000000" w:themeColor="text1"/>
                <w:sz w:val="21"/>
                <w:szCs w:val="21"/>
              </w:rPr>
              <w:t>2</w:t>
            </w:r>
            <w:r w:rsidRPr="00B12FE0">
              <w:rPr>
                <w:color w:val="000000" w:themeColor="text1"/>
                <w:sz w:val="21"/>
                <w:szCs w:val="21"/>
              </w:rPr>
              <w:t>0mCi</w:t>
            </w:r>
            <w:r w:rsidRPr="00B12FE0">
              <w:rPr>
                <w:rFonts w:hint="eastAsia"/>
                <w:color w:val="000000" w:themeColor="text1"/>
                <w:sz w:val="21"/>
                <w:szCs w:val="21"/>
              </w:rPr>
              <w:t>*</w:t>
            </w:r>
            <w:r w:rsidRPr="00B12FE0">
              <w:rPr>
                <w:rFonts w:ascii="宋体" w:hAnsi="宋体"/>
                <w:color w:val="000000" w:themeColor="text1"/>
                <w:sz w:val="21"/>
                <w:szCs w:val="21"/>
              </w:rPr>
              <w:t>）</w:t>
            </w:r>
          </w:p>
        </w:tc>
        <w:tc>
          <w:tcPr>
            <w:tcW w:w="961" w:type="dxa"/>
            <w:tcBorders>
              <w:top w:val="single" w:sz="8" w:space="0" w:color="000000"/>
              <w:left w:val="nil"/>
              <w:bottom w:val="single" w:sz="8" w:space="0" w:color="000000"/>
              <w:right w:val="single" w:sz="8" w:space="0" w:color="000000"/>
            </w:tcBorders>
            <w:noWrap/>
            <w:vAlign w:val="center"/>
          </w:tcPr>
          <w:p w14:paraId="60027BB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口服</w:t>
            </w:r>
          </w:p>
        </w:tc>
        <w:tc>
          <w:tcPr>
            <w:tcW w:w="1056" w:type="dxa"/>
            <w:tcBorders>
              <w:top w:val="single" w:sz="8" w:space="0" w:color="000000"/>
              <w:left w:val="nil"/>
              <w:bottom w:val="single" w:sz="8" w:space="0" w:color="000000"/>
              <w:right w:val="single" w:sz="8" w:space="0" w:color="000000"/>
            </w:tcBorders>
            <w:noWrap/>
            <w:vAlign w:val="center"/>
          </w:tcPr>
          <w:p w14:paraId="5A52406D" w14:textId="77777777" w:rsidR="00A67F21" w:rsidRPr="00B12FE0" w:rsidRDefault="00000000">
            <w:pPr>
              <w:widowControl/>
              <w:jc w:val="center"/>
              <w:textAlignment w:val="center"/>
              <w:rPr>
                <w:color w:val="000000" w:themeColor="text1"/>
                <w:sz w:val="21"/>
                <w:szCs w:val="21"/>
              </w:rPr>
            </w:pPr>
            <w:proofErr w:type="gramStart"/>
            <w:r w:rsidRPr="00B12FE0">
              <w:rPr>
                <w:rFonts w:ascii="宋体" w:hAnsi="宋体"/>
                <w:color w:val="000000" w:themeColor="text1"/>
                <w:kern w:val="0"/>
                <w:sz w:val="21"/>
                <w:szCs w:val="21"/>
              </w:rPr>
              <w:t>甲癌治疗</w:t>
            </w:r>
            <w:proofErr w:type="gramEnd"/>
          </w:p>
        </w:tc>
      </w:tr>
    </w:tbl>
    <w:p w14:paraId="30268F19" w14:textId="77777777" w:rsidR="00A67F21" w:rsidRPr="00B12FE0" w:rsidRDefault="00000000">
      <w:pPr>
        <w:autoSpaceDE w:val="0"/>
        <w:adjustRightInd w:val="0"/>
        <w:snapToGrid w:val="0"/>
        <w:spacing w:line="360" w:lineRule="auto"/>
        <w:ind w:firstLine="480"/>
        <w:rPr>
          <w:bCs/>
          <w:color w:val="000000" w:themeColor="text1"/>
          <w:szCs w:val="24"/>
        </w:rPr>
      </w:pPr>
      <w:r w:rsidRPr="00B12FE0">
        <w:rPr>
          <w:rFonts w:ascii="宋体" w:hAnsi="宋体"/>
          <w:bCs/>
          <w:color w:val="000000" w:themeColor="text1"/>
          <w:szCs w:val="24"/>
        </w:rPr>
        <w:t>核医学</w:t>
      </w:r>
      <w:proofErr w:type="gramStart"/>
      <w:r w:rsidRPr="00B12FE0">
        <w:rPr>
          <w:rFonts w:ascii="宋体" w:hAnsi="宋体"/>
          <w:bCs/>
          <w:color w:val="000000" w:themeColor="text1"/>
          <w:szCs w:val="24"/>
        </w:rPr>
        <w:t>科使用</w:t>
      </w:r>
      <w:proofErr w:type="gramEnd"/>
      <w:r w:rsidRPr="00B12FE0">
        <w:rPr>
          <w:rFonts w:ascii="宋体" w:hAnsi="宋体"/>
          <w:bCs/>
          <w:color w:val="000000" w:themeColor="text1"/>
          <w:szCs w:val="24"/>
        </w:rPr>
        <w:t>的非密封放射性物质理化性质、日等效最大操作量、年最大用量、使用场所及贮存方式与地点等详</w:t>
      </w:r>
      <w:r w:rsidRPr="00B12FE0">
        <w:rPr>
          <w:rFonts w:ascii="宋体" w:hAnsi="宋体"/>
          <w:color w:val="000000" w:themeColor="text1"/>
          <w:szCs w:val="24"/>
        </w:rPr>
        <w:t>细内容详见</w:t>
      </w:r>
      <w:r w:rsidRPr="00B12FE0">
        <w:rPr>
          <w:color w:val="000000" w:themeColor="text1"/>
          <w:szCs w:val="24"/>
        </w:rPr>
        <w:t>“</w:t>
      </w:r>
      <w:r w:rsidRPr="00B12FE0">
        <w:rPr>
          <w:rFonts w:ascii="宋体" w:hAnsi="宋体"/>
          <w:color w:val="000000" w:themeColor="text1"/>
          <w:szCs w:val="24"/>
        </w:rPr>
        <w:t>表</w:t>
      </w:r>
      <w:r w:rsidRPr="00B12FE0">
        <w:rPr>
          <w:color w:val="000000" w:themeColor="text1"/>
          <w:szCs w:val="24"/>
        </w:rPr>
        <w:t xml:space="preserve">3 </w:t>
      </w:r>
      <w:r w:rsidRPr="00B12FE0">
        <w:rPr>
          <w:rFonts w:ascii="宋体" w:hAnsi="宋体"/>
          <w:color w:val="000000" w:themeColor="text1"/>
          <w:szCs w:val="24"/>
        </w:rPr>
        <w:t>非密封放射性物质</w:t>
      </w:r>
      <w:r w:rsidRPr="00B12FE0">
        <w:rPr>
          <w:color w:val="000000" w:themeColor="text1"/>
          <w:szCs w:val="24"/>
        </w:rPr>
        <w:t>”</w:t>
      </w:r>
      <w:r w:rsidRPr="00B12FE0">
        <w:rPr>
          <w:rFonts w:ascii="宋体" w:hAnsi="宋体"/>
          <w:color w:val="000000" w:themeColor="text1"/>
          <w:szCs w:val="24"/>
        </w:rPr>
        <w:t>，核医学科工作场所分级的计算情况详见表</w:t>
      </w:r>
      <w:r w:rsidRPr="00B12FE0">
        <w:rPr>
          <w:color w:val="000000" w:themeColor="text1"/>
          <w:szCs w:val="24"/>
        </w:rPr>
        <w:t>10.1.1.4-3</w:t>
      </w:r>
      <w:r w:rsidRPr="00B12FE0">
        <w:rPr>
          <w:rFonts w:ascii="宋体" w:hAnsi="宋体"/>
          <w:color w:val="000000" w:themeColor="text1"/>
          <w:szCs w:val="24"/>
        </w:rPr>
        <w:t>。</w:t>
      </w:r>
    </w:p>
    <w:p w14:paraId="524C863A" w14:textId="77777777" w:rsidR="00A67F21" w:rsidRPr="00B12FE0" w:rsidRDefault="00000000">
      <w:pPr>
        <w:spacing w:line="360" w:lineRule="auto"/>
        <w:contextualSpacing/>
        <w:jc w:val="center"/>
        <w:rPr>
          <w:color w:val="000000" w:themeColor="text1"/>
          <w:kern w:val="0"/>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1.1-4  </w:t>
      </w:r>
      <w:r w:rsidRPr="00B12FE0">
        <w:rPr>
          <w:rFonts w:ascii="宋体" w:hAnsi="宋体"/>
          <w:b/>
          <w:color w:val="000000" w:themeColor="text1"/>
          <w:sz w:val="21"/>
          <w:szCs w:val="21"/>
        </w:rPr>
        <w:t>核医学</w:t>
      </w:r>
      <w:proofErr w:type="gramStart"/>
      <w:r w:rsidRPr="00B12FE0">
        <w:rPr>
          <w:rFonts w:ascii="宋体" w:hAnsi="宋体"/>
          <w:b/>
          <w:color w:val="000000" w:themeColor="text1"/>
          <w:sz w:val="21"/>
          <w:szCs w:val="21"/>
        </w:rPr>
        <w:t>科建设</w:t>
      </w:r>
      <w:proofErr w:type="gramEnd"/>
      <w:r w:rsidRPr="00B12FE0">
        <w:rPr>
          <w:rFonts w:ascii="宋体" w:hAnsi="宋体"/>
          <w:b/>
          <w:color w:val="000000" w:themeColor="text1"/>
          <w:sz w:val="21"/>
          <w:szCs w:val="21"/>
        </w:rPr>
        <w:t>内容及规模一览表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538"/>
        <w:gridCol w:w="713"/>
        <w:gridCol w:w="1367"/>
        <w:gridCol w:w="3204"/>
        <w:gridCol w:w="884"/>
        <w:gridCol w:w="1128"/>
      </w:tblGrid>
      <w:tr w:rsidR="00A67F21" w:rsidRPr="00B12FE0" w14:paraId="6BBB462A" w14:textId="77777777">
        <w:trPr>
          <w:trHeight w:val="454"/>
          <w:jc w:val="center"/>
        </w:trPr>
        <w:tc>
          <w:tcPr>
            <w:tcW w:w="1183" w:type="dxa"/>
            <w:tcBorders>
              <w:top w:val="single" w:sz="4" w:space="0" w:color="auto"/>
              <w:left w:val="single" w:sz="4" w:space="0" w:color="auto"/>
              <w:bottom w:val="single" w:sz="4" w:space="0" w:color="auto"/>
              <w:right w:val="single" w:sz="4" w:space="0" w:color="auto"/>
            </w:tcBorders>
            <w:vAlign w:val="center"/>
          </w:tcPr>
          <w:p w14:paraId="5CC6383C" w14:textId="77777777" w:rsidR="00A67F21" w:rsidRPr="00B12FE0" w:rsidRDefault="00000000">
            <w:pPr>
              <w:widowControl/>
              <w:adjustRightInd w:val="0"/>
              <w:snapToGrid w:val="0"/>
              <w:jc w:val="center"/>
              <w:rPr>
                <w:color w:val="000000" w:themeColor="text1"/>
                <w:kern w:val="0"/>
                <w:sz w:val="21"/>
                <w:szCs w:val="21"/>
              </w:rPr>
            </w:pPr>
            <w:r w:rsidRPr="00B12FE0">
              <w:rPr>
                <w:rFonts w:ascii="宋体" w:hAnsi="宋体"/>
                <w:color w:val="000000" w:themeColor="text1"/>
                <w:kern w:val="0"/>
                <w:sz w:val="21"/>
                <w:szCs w:val="21"/>
              </w:rPr>
              <w:t>所在</w:t>
            </w:r>
          </w:p>
          <w:p w14:paraId="3B68357B" w14:textId="77777777" w:rsidR="00A67F21" w:rsidRPr="00B12FE0" w:rsidRDefault="00000000">
            <w:pPr>
              <w:widowControl/>
              <w:adjustRightInd w:val="0"/>
              <w:snapToGrid w:val="0"/>
              <w:jc w:val="center"/>
              <w:rPr>
                <w:color w:val="000000" w:themeColor="text1"/>
                <w:kern w:val="0"/>
                <w:sz w:val="21"/>
                <w:szCs w:val="21"/>
              </w:rPr>
            </w:pPr>
            <w:r w:rsidRPr="00B12FE0">
              <w:rPr>
                <w:rFonts w:ascii="宋体" w:hAnsi="宋体"/>
                <w:color w:val="000000" w:themeColor="text1"/>
                <w:kern w:val="0"/>
                <w:sz w:val="21"/>
                <w:szCs w:val="21"/>
              </w:rPr>
              <w:t>建筑</w:t>
            </w:r>
          </w:p>
        </w:tc>
        <w:tc>
          <w:tcPr>
            <w:tcW w:w="1251" w:type="dxa"/>
            <w:gridSpan w:val="2"/>
            <w:tcBorders>
              <w:top w:val="single" w:sz="4" w:space="0" w:color="auto"/>
              <w:left w:val="nil"/>
              <w:bottom w:val="single" w:sz="4" w:space="0" w:color="auto"/>
              <w:right w:val="single" w:sz="4" w:space="0" w:color="auto"/>
            </w:tcBorders>
            <w:vAlign w:val="center"/>
          </w:tcPr>
          <w:p w14:paraId="27D887CD"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工作场所名称</w:t>
            </w:r>
          </w:p>
        </w:tc>
        <w:tc>
          <w:tcPr>
            <w:tcW w:w="1367" w:type="dxa"/>
            <w:tcBorders>
              <w:top w:val="single" w:sz="4" w:space="0" w:color="auto"/>
              <w:left w:val="nil"/>
              <w:bottom w:val="single" w:sz="4" w:space="0" w:color="auto"/>
              <w:right w:val="single" w:sz="4" w:space="0" w:color="auto"/>
            </w:tcBorders>
            <w:vAlign w:val="center"/>
          </w:tcPr>
          <w:p w14:paraId="38DE8E54"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诊疗项目</w:t>
            </w:r>
          </w:p>
        </w:tc>
        <w:tc>
          <w:tcPr>
            <w:tcW w:w="3204" w:type="dxa"/>
            <w:tcBorders>
              <w:top w:val="single" w:sz="4" w:space="0" w:color="auto"/>
              <w:left w:val="nil"/>
              <w:bottom w:val="single" w:sz="4" w:space="0" w:color="auto"/>
              <w:right w:val="single" w:sz="4" w:space="0" w:color="auto"/>
            </w:tcBorders>
            <w:vAlign w:val="center"/>
          </w:tcPr>
          <w:p w14:paraId="4D06F199"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辐射源项</w:t>
            </w:r>
          </w:p>
          <w:p w14:paraId="1E6F668E"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（射线装置</w:t>
            </w:r>
            <w:r w:rsidRPr="00B12FE0">
              <w:rPr>
                <w:color w:val="000000" w:themeColor="text1"/>
                <w:kern w:val="0"/>
                <w:sz w:val="21"/>
                <w:szCs w:val="21"/>
              </w:rPr>
              <w:t>/</w:t>
            </w:r>
            <w:r w:rsidRPr="00B12FE0">
              <w:rPr>
                <w:rFonts w:ascii="宋体" w:hAnsi="宋体"/>
                <w:color w:val="000000" w:themeColor="text1"/>
                <w:kern w:val="0"/>
                <w:sz w:val="21"/>
                <w:szCs w:val="21"/>
              </w:rPr>
              <w:t>非密封放射性物质）</w:t>
            </w:r>
          </w:p>
        </w:tc>
        <w:tc>
          <w:tcPr>
            <w:tcW w:w="884" w:type="dxa"/>
            <w:tcBorders>
              <w:top w:val="single" w:sz="4" w:space="0" w:color="auto"/>
              <w:left w:val="nil"/>
              <w:bottom w:val="single" w:sz="4" w:space="0" w:color="auto"/>
              <w:right w:val="single" w:sz="4" w:space="0" w:color="auto"/>
            </w:tcBorders>
            <w:vAlign w:val="center"/>
          </w:tcPr>
          <w:p w14:paraId="32BE259C"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工作场所等级</w:t>
            </w:r>
          </w:p>
        </w:tc>
        <w:tc>
          <w:tcPr>
            <w:tcW w:w="1128" w:type="dxa"/>
            <w:tcBorders>
              <w:top w:val="single" w:sz="4" w:space="0" w:color="auto"/>
              <w:left w:val="nil"/>
              <w:bottom w:val="single" w:sz="4" w:space="0" w:color="auto"/>
              <w:right w:val="single" w:sz="4" w:space="0" w:color="auto"/>
            </w:tcBorders>
            <w:vAlign w:val="center"/>
          </w:tcPr>
          <w:p w14:paraId="43B5AB36"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位置</w:t>
            </w:r>
          </w:p>
          <w:p w14:paraId="2B7612C8"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示意图</w:t>
            </w:r>
          </w:p>
        </w:tc>
      </w:tr>
      <w:tr w:rsidR="00A67F21" w:rsidRPr="00B12FE0" w14:paraId="71EE988A" w14:textId="77777777">
        <w:trPr>
          <w:trHeight w:val="454"/>
          <w:jc w:val="center"/>
        </w:trPr>
        <w:tc>
          <w:tcPr>
            <w:tcW w:w="1183" w:type="dxa"/>
            <w:vMerge w:val="restart"/>
            <w:tcBorders>
              <w:top w:val="nil"/>
              <w:left w:val="single" w:sz="4" w:space="0" w:color="auto"/>
              <w:right w:val="single" w:sz="4" w:space="0" w:color="auto"/>
            </w:tcBorders>
            <w:vAlign w:val="center"/>
          </w:tcPr>
          <w:p w14:paraId="0A7FAC5A" w14:textId="77777777" w:rsidR="00A67F21" w:rsidRPr="00B12FE0" w:rsidRDefault="00000000">
            <w:pPr>
              <w:adjustRightInd w:val="0"/>
              <w:snapToGrid w:val="0"/>
              <w:jc w:val="center"/>
              <w:rPr>
                <w:rFonts w:eastAsia="Times New Roman"/>
                <w:color w:val="000000" w:themeColor="text1"/>
                <w:kern w:val="0"/>
                <w:sz w:val="21"/>
                <w:szCs w:val="21"/>
              </w:rPr>
            </w:pPr>
            <w:r w:rsidRPr="00B12FE0">
              <w:rPr>
                <w:rFonts w:ascii="宋体" w:hAnsi="宋体"/>
                <w:bCs/>
                <w:color w:val="000000" w:themeColor="text1"/>
                <w:kern w:val="0"/>
                <w:sz w:val="21"/>
                <w:szCs w:val="21"/>
              </w:rPr>
              <w:t>肿瘤治疗中心</w:t>
            </w:r>
            <w:r w:rsidRPr="00B12FE0">
              <w:rPr>
                <w:rFonts w:ascii="宋体" w:hAnsi="宋体"/>
                <w:color w:val="000000" w:themeColor="text1"/>
                <w:kern w:val="0"/>
                <w:sz w:val="21"/>
                <w:szCs w:val="21"/>
              </w:rPr>
              <w:t>综合楼一层</w:t>
            </w:r>
          </w:p>
        </w:tc>
        <w:tc>
          <w:tcPr>
            <w:tcW w:w="538" w:type="dxa"/>
            <w:vMerge w:val="restart"/>
            <w:tcBorders>
              <w:top w:val="nil"/>
              <w:left w:val="nil"/>
              <w:bottom w:val="single" w:sz="4" w:space="0" w:color="auto"/>
              <w:right w:val="single" w:sz="4" w:space="0" w:color="auto"/>
            </w:tcBorders>
            <w:vAlign w:val="center"/>
          </w:tcPr>
          <w:p w14:paraId="5F03AC2B"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核医学科</w:t>
            </w:r>
          </w:p>
        </w:tc>
        <w:tc>
          <w:tcPr>
            <w:tcW w:w="713" w:type="dxa"/>
            <w:vMerge w:val="restart"/>
            <w:tcBorders>
              <w:top w:val="nil"/>
              <w:left w:val="nil"/>
              <w:bottom w:val="single" w:sz="4" w:space="0" w:color="auto"/>
              <w:right w:val="single" w:sz="4" w:space="0" w:color="auto"/>
            </w:tcBorders>
            <w:vAlign w:val="center"/>
          </w:tcPr>
          <w:p w14:paraId="2AF0E5A8"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核素制备场所</w:t>
            </w:r>
          </w:p>
        </w:tc>
        <w:tc>
          <w:tcPr>
            <w:tcW w:w="1367" w:type="dxa"/>
            <w:vMerge w:val="restart"/>
            <w:tcBorders>
              <w:top w:val="nil"/>
              <w:left w:val="nil"/>
              <w:bottom w:val="single" w:sz="4" w:space="0" w:color="auto"/>
              <w:right w:val="single" w:sz="4" w:space="0" w:color="auto"/>
            </w:tcBorders>
            <w:vAlign w:val="center"/>
          </w:tcPr>
          <w:p w14:paraId="76A7376B"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制备</w:t>
            </w:r>
            <w:r w:rsidRPr="00B12FE0">
              <w:rPr>
                <w:color w:val="000000" w:themeColor="text1"/>
                <w:kern w:val="0"/>
                <w:sz w:val="21"/>
                <w:szCs w:val="21"/>
              </w:rPr>
              <w:t>PET</w:t>
            </w:r>
            <w:r w:rsidRPr="00B12FE0">
              <w:rPr>
                <w:rFonts w:ascii="宋体" w:hAnsi="宋体"/>
                <w:color w:val="000000" w:themeColor="text1"/>
                <w:kern w:val="0"/>
                <w:sz w:val="21"/>
                <w:szCs w:val="21"/>
              </w:rPr>
              <w:t>用放射性药物</w:t>
            </w:r>
          </w:p>
        </w:tc>
        <w:tc>
          <w:tcPr>
            <w:tcW w:w="3204" w:type="dxa"/>
            <w:tcBorders>
              <w:top w:val="single" w:sz="4" w:space="0" w:color="auto"/>
              <w:left w:val="nil"/>
              <w:bottom w:val="single" w:sz="4" w:space="0" w:color="auto"/>
              <w:right w:val="single" w:sz="4" w:space="0" w:color="auto"/>
            </w:tcBorders>
            <w:vAlign w:val="center"/>
          </w:tcPr>
          <w:p w14:paraId="0805F877"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使用</w:t>
            </w:r>
            <w:r w:rsidRPr="00B12FE0">
              <w:rPr>
                <w:color w:val="000000" w:themeColor="text1"/>
                <w:kern w:val="0"/>
                <w:sz w:val="21"/>
                <w:szCs w:val="21"/>
              </w:rPr>
              <w:t>1</w:t>
            </w:r>
            <w:r w:rsidRPr="00B12FE0">
              <w:rPr>
                <w:rFonts w:ascii="宋体" w:hAnsi="宋体"/>
                <w:color w:val="000000" w:themeColor="text1"/>
                <w:kern w:val="0"/>
                <w:sz w:val="21"/>
                <w:szCs w:val="21"/>
              </w:rPr>
              <w:t>台回旋加速器</w:t>
            </w:r>
          </w:p>
        </w:tc>
        <w:tc>
          <w:tcPr>
            <w:tcW w:w="884" w:type="dxa"/>
            <w:vMerge w:val="restart"/>
            <w:tcBorders>
              <w:top w:val="nil"/>
              <w:left w:val="nil"/>
              <w:bottom w:val="single" w:sz="4" w:space="0" w:color="auto"/>
              <w:right w:val="single" w:sz="4" w:space="0" w:color="auto"/>
            </w:tcBorders>
            <w:vAlign w:val="center"/>
          </w:tcPr>
          <w:p w14:paraId="6819929E"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乙级</w:t>
            </w:r>
          </w:p>
        </w:tc>
        <w:tc>
          <w:tcPr>
            <w:tcW w:w="1128" w:type="dxa"/>
            <w:vMerge w:val="restart"/>
            <w:tcBorders>
              <w:top w:val="single" w:sz="4" w:space="0" w:color="auto"/>
              <w:left w:val="nil"/>
              <w:bottom w:val="single" w:sz="4" w:space="0" w:color="auto"/>
              <w:right w:val="single" w:sz="4" w:space="0" w:color="auto"/>
            </w:tcBorders>
            <w:vAlign w:val="center"/>
          </w:tcPr>
          <w:p w14:paraId="381AA9BD"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附图</w:t>
            </w:r>
            <w:r w:rsidRPr="00B12FE0">
              <w:rPr>
                <w:color w:val="000000" w:themeColor="text1"/>
                <w:kern w:val="0"/>
                <w:sz w:val="21"/>
                <w:szCs w:val="21"/>
              </w:rPr>
              <w:t>4</w:t>
            </w:r>
          </w:p>
        </w:tc>
      </w:tr>
      <w:tr w:rsidR="00A67F21" w:rsidRPr="00B12FE0" w14:paraId="51432970" w14:textId="77777777">
        <w:trPr>
          <w:trHeight w:val="454"/>
          <w:jc w:val="center"/>
        </w:trPr>
        <w:tc>
          <w:tcPr>
            <w:tcW w:w="1183" w:type="dxa"/>
            <w:vMerge/>
            <w:tcBorders>
              <w:left w:val="single" w:sz="4" w:space="0" w:color="auto"/>
              <w:right w:val="single" w:sz="4" w:space="0" w:color="auto"/>
            </w:tcBorders>
            <w:vAlign w:val="center"/>
          </w:tcPr>
          <w:p w14:paraId="695EE103" w14:textId="77777777" w:rsidR="00A67F21" w:rsidRPr="00B12FE0" w:rsidRDefault="00A67F21">
            <w:pPr>
              <w:adjustRightInd w:val="0"/>
              <w:snapToGrid w:val="0"/>
              <w:jc w:val="center"/>
              <w:rPr>
                <w:rFonts w:eastAsia="Times New Roman"/>
                <w:color w:val="000000" w:themeColor="text1"/>
                <w:kern w:val="0"/>
                <w:sz w:val="21"/>
                <w:szCs w:val="21"/>
              </w:rPr>
            </w:pPr>
          </w:p>
        </w:tc>
        <w:tc>
          <w:tcPr>
            <w:tcW w:w="538" w:type="dxa"/>
            <w:vMerge/>
            <w:tcBorders>
              <w:top w:val="nil"/>
              <w:left w:val="nil"/>
              <w:bottom w:val="single" w:sz="4" w:space="0" w:color="auto"/>
              <w:right w:val="single" w:sz="4" w:space="0" w:color="auto"/>
            </w:tcBorders>
            <w:vAlign w:val="center"/>
          </w:tcPr>
          <w:p w14:paraId="77EB2C18" w14:textId="77777777" w:rsidR="00A67F21" w:rsidRPr="00B12FE0" w:rsidRDefault="00A67F21">
            <w:pPr>
              <w:widowControl/>
              <w:jc w:val="left"/>
              <w:rPr>
                <w:color w:val="000000" w:themeColor="text1"/>
                <w:kern w:val="0"/>
                <w:sz w:val="21"/>
                <w:szCs w:val="21"/>
              </w:rPr>
            </w:pPr>
          </w:p>
        </w:tc>
        <w:tc>
          <w:tcPr>
            <w:tcW w:w="713" w:type="dxa"/>
            <w:vMerge/>
            <w:tcBorders>
              <w:top w:val="nil"/>
              <w:left w:val="nil"/>
              <w:bottom w:val="single" w:sz="4" w:space="0" w:color="auto"/>
              <w:right w:val="single" w:sz="4" w:space="0" w:color="auto"/>
            </w:tcBorders>
            <w:vAlign w:val="center"/>
          </w:tcPr>
          <w:p w14:paraId="1407862A" w14:textId="77777777" w:rsidR="00A67F21" w:rsidRPr="00B12FE0" w:rsidRDefault="00A67F21">
            <w:pPr>
              <w:widowControl/>
              <w:jc w:val="left"/>
              <w:rPr>
                <w:color w:val="000000" w:themeColor="text1"/>
                <w:kern w:val="0"/>
                <w:sz w:val="21"/>
                <w:szCs w:val="21"/>
              </w:rPr>
            </w:pPr>
          </w:p>
        </w:tc>
        <w:tc>
          <w:tcPr>
            <w:tcW w:w="1367" w:type="dxa"/>
            <w:vMerge/>
            <w:tcBorders>
              <w:top w:val="nil"/>
              <w:left w:val="nil"/>
              <w:bottom w:val="single" w:sz="4" w:space="0" w:color="auto"/>
              <w:right w:val="single" w:sz="4" w:space="0" w:color="auto"/>
            </w:tcBorders>
            <w:vAlign w:val="center"/>
          </w:tcPr>
          <w:p w14:paraId="7FB2AD08" w14:textId="77777777" w:rsidR="00A67F21" w:rsidRPr="00B12FE0" w:rsidRDefault="00A67F21">
            <w:pPr>
              <w:widowControl/>
              <w:jc w:val="left"/>
              <w:rPr>
                <w:color w:val="000000" w:themeColor="text1"/>
                <w:kern w:val="0"/>
                <w:sz w:val="21"/>
                <w:szCs w:val="21"/>
              </w:rPr>
            </w:pPr>
          </w:p>
        </w:tc>
        <w:tc>
          <w:tcPr>
            <w:tcW w:w="3204" w:type="dxa"/>
            <w:tcBorders>
              <w:top w:val="single" w:sz="4" w:space="0" w:color="auto"/>
              <w:left w:val="nil"/>
              <w:bottom w:val="single" w:sz="4" w:space="0" w:color="auto"/>
              <w:right w:val="single" w:sz="4" w:space="0" w:color="auto"/>
            </w:tcBorders>
            <w:vAlign w:val="center"/>
          </w:tcPr>
          <w:p w14:paraId="04A4F975" w14:textId="77777777" w:rsidR="00A67F21" w:rsidRPr="00B12FE0" w:rsidRDefault="00000000">
            <w:pPr>
              <w:adjustRightInd w:val="0"/>
              <w:snapToGrid w:val="0"/>
              <w:jc w:val="center"/>
              <w:rPr>
                <w:color w:val="000000" w:themeColor="text1"/>
                <w:kern w:val="0"/>
                <w:sz w:val="21"/>
                <w:szCs w:val="21"/>
              </w:rPr>
            </w:pPr>
            <w:r w:rsidRPr="00B12FE0">
              <w:rPr>
                <w:rFonts w:ascii="宋体" w:hAnsi="宋体"/>
                <w:bCs/>
                <w:color w:val="000000" w:themeColor="text1"/>
                <w:kern w:val="0"/>
                <w:sz w:val="21"/>
                <w:szCs w:val="21"/>
              </w:rPr>
              <w:t>制备</w:t>
            </w:r>
            <w:r w:rsidRPr="00B12FE0">
              <w:rPr>
                <w:bCs/>
                <w:color w:val="000000" w:themeColor="text1"/>
                <w:kern w:val="0"/>
                <w:sz w:val="21"/>
                <w:szCs w:val="21"/>
                <w:vertAlign w:val="superscript"/>
              </w:rPr>
              <w:t>18</w:t>
            </w:r>
            <w:r w:rsidRPr="00B12FE0">
              <w:rPr>
                <w:bCs/>
                <w:color w:val="000000" w:themeColor="text1"/>
                <w:kern w:val="0"/>
                <w:sz w:val="21"/>
                <w:szCs w:val="21"/>
              </w:rPr>
              <w:t>F</w:t>
            </w:r>
            <w:r w:rsidRPr="00B12FE0">
              <w:rPr>
                <w:rFonts w:ascii="宋体" w:hAnsi="宋体"/>
                <w:bCs/>
                <w:color w:val="000000" w:themeColor="text1"/>
                <w:kern w:val="0"/>
                <w:sz w:val="21"/>
                <w:szCs w:val="21"/>
              </w:rPr>
              <w:t>核素</w:t>
            </w:r>
          </w:p>
        </w:tc>
        <w:tc>
          <w:tcPr>
            <w:tcW w:w="884" w:type="dxa"/>
            <w:vMerge/>
            <w:tcBorders>
              <w:top w:val="nil"/>
              <w:left w:val="nil"/>
              <w:bottom w:val="single" w:sz="4" w:space="0" w:color="auto"/>
              <w:right w:val="single" w:sz="4" w:space="0" w:color="auto"/>
            </w:tcBorders>
            <w:vAlign w:val="center"/>
          </w:tcPr>
          <w:p w14:paraId="4802A032" w14:textId="77777777" w:rsidR="00A67F21" w:rsidRPr="00B12FE0" w:rsidRDefault="00A67F21">
            <w:pPr>
              <w:widowControl/>
              <w:jc w:val="left"/>
              <w:rPr>
                <w:color w:val="000000" w:themeColor="text1"/>
                <w:kern w:val="0"/>
                <w:sz w:val="21"/>
                <w:szCs w:val="21"/>
              </w:rPr>
            </w:pPr>
          </w:p>
        </w:tc>
        <w:tc>
          <w:tcPr>
            <w:tcW w:w="1128" w:type="dxa"/>
            <w:vMerge/>
            <w:tcBorders>
              <w:top w:val="single" w:sz="4" w:space="0" w:color="auto"/>
              <w:left w:val="nil"/>
              <w:bottom w:val="single" w:sz="4" w:space="0" w:color="auto"/>
              <w:right w:val="single" w:sz="4" w:space="0" w:color="auto"/>
            </w:tcBorders>
            <w:vAlign w:val="center"/>
          </w:tcPr>
          <w:p w14:paraId="27C87BD4" w14:textId="77777777" w:rsidR="00A67F21" w:rsidRPr="00B12FE0" w:rsidRDefault="00A67F21">
            <w:pPr>
              <w:widowControl/>
              <w:jc w:val="left"/>
              <w:rPr>
                <w:color w:val="000000" w:themeColor="text1"/>
                <w:kern w:val="0"/>
                <w:sz w:val="21"/>
                <w:szCs w:val="21"/>
              </w:rPr>
            </w:pPr>
          </w:p>
        </w:tc>
      </w:tr>
      <w:tr w:rsidR="00A67F21" w:rsidRPr="00B12FE0" w14:paraId="28D64169" w14:textId="77777777">
        <w:trPr>
          <w:trHeight w:val="454"/>
          <w:jc w:val="center"/>
        </w:trPr>
        <w:tc>
          <w:tcPr>
            <w:tcW w:w="1183" w:type="dxa"/>
            <w:vMerge/>
            <w:tcBorders>
              <w:left w:val="single" w:sz="4" w:space="0" w:color="auto"/>
              <w:right w:val="single" w:sz="4" w:space="0" w:color="auto"/>
            </w:tcBorders>
            <w:vAlign w:val="center"/>
          </w:tcPr>
          <w:p w14:paraId="18999B16" w14:textId="77777777" w:rsidR="00A67F21" w:rsidRPr="00B12FE0" w:rsidRDefault="00A67F21">
            <w:pPr>
              <w:adjustRightInd w:val="0"/>
              <w:snapToGrid w:val="0"/>
              <w:jc w:val="center"/>
              <w:rPr>
                <w:rFonts w:eastAsia="Times New Roman"/>
                <w:color w:val="000000" w:themeColor="text1"/>
                <w:kern w:val="0"/>
                <w:sz w:val="21"/>
                <w:szCs w:val="21"/>
              </w:rPr>
            </w:pPr>
          </w:p>
        </w:tc>
        <w:tc>
          <w:tcPr>
            <w:tcW w:w="538" w:type="dxa"/>
            <w:vMerge/>
            <w:tcBorders>
              <w:top w:val="nil"/>
              <w:left w:val="nil"/>
              <w:bottom w:val="single" w:sz="4" w:space="0" w:color="auto"/>
              <w:right w:val="single" w:sz="4" w:space="0" w:color="auto"/>
            </w:tcBorders>
            <w:vAlign w:val="center"/>
          </w:tcPr>
          <w:p w14:paraId="57DF55F6" w14:textId="77777777" w:rsidR="00A67F21" w:rsidRPr="00B12FE0" w:rsidRDefault="00A67F21">
            <w:pPr>
              <w:widowControl/>
              <w:jc w:val="left"/>
              <w:rPr>
                <w:color w:val="000000" w:themeColor="text1"/>
                <w:kern w:val="0"/>
                <w:sz w:val="21"/>
                <w:szCs w:val="21"/>
              </w:rPr>
            </w:pPr>
          </w:p>
        </w:tc>
        <w:tc>
          <w:tcPr>
            <w:tcW w:w="713" w:type="dxa"/>
            <w:vMerge w:val="restart"/>
            <w:tcBorders>
              <w:top w:val="nil"/>
              <w:left w:val="nil"/>
              <w:right w:val="single" w:sz="4" w:space="0" w:color="auto"/>
            </w:tcBorders>
            <w:vAlign w:val="center"/>
          </w:tcPr>
          <w:p w14:paraId="2DF19656"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核素诊断场所</w:t>
            </w:r>
          </w:p>
        </w:tc>
        <w:tc>
          <w:tcPr>
            <w:tcW w:w="1367" w:type="dxa"/>
            <w:vMerge w:val="restart"/>
            <w:tcBorders>
              <w:top w:val="nil"/>
              <w:left w:val="nil"/>
              <w:bottom w:val="single" w:sz="4" w:space="0" w:color="auto"/>
              <w:right w:val="single" w:sz="4" w:space="0" w:color="auto"/>
            </w:tcBorders>
            <w:vAlign w:val="center"/>
          </w:tcPr>
          <w:p w14:paraId="28211E29"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PET</w:t>
            </w:r>
            <w:r w:rsidRPr="00B12FE0">
              <w:rPr>
                <w:rFonts w:ascii="宋体" w:hAnsi="宋体"/>
                <w:color w:val="000000" w:themeColor="text1"/>
                <w:kern w:val="0"/>
                <w:sz w:val="21"/>
                <w:szCs w:val="21"/>
              </w:rPr>
              <w:t>显像</w:t>
            </w:r>
          </w:p>
        </w:tc>
        <w:tc>
          <w:tcPr>
            <w:tcW w:w="3204" w:type="dxa"/>
            <w:tcBorders>
              <w:top w:val="single" w:sz="4" w:space="0" w:color="auto"/>
              <w:left w:val="nil"/>
              <w:bottom w:val="single" w:sz="4" w:space="0" w:color="auto"/>
              <w:right w:val="single" w:sz="4" w:space="0" w:color="auto"/>
            </w:tcBorders>
            <w:vAlign w:val="center"/>
          </w:tcPr>
          <w:p w14:paraId="198ED839"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使用</w:t>
            </w:r>
            <w:r w:rsidRPr="00B12FE0">
              <w:rPr>
                <w:color w:val="000000" w:themeColor="text1"/>
                <w:kern w:val="0"/>
                <w:sz w:val="21"/>
                <w:szCs w:val="21"/>
              </w:rPr>
              <w:t>1</w:t>
            </w:r>
            <w:r w:rsidRPr="00B12FE0">
              <w:rPr>
                <w:rFonts w:ascii="宋体" w:hAnsi="宋体"/>
                <w:color w:val="000000" w:themeColor="text1"/>
                <w:kern w:val="0"/>
                <w:sz w:val="21"/>
                <w:szCs w:val="21"/>
              </w:rPr>
              <w:t>台</w:t>
            </w:r>
            <w:r w:rsidRPr="00B12FE0">
              <w:rPr>
                <w:color w:val="000000" w:themeColor="text1"/>
                <w:kern w:val="0"/>
                <w:sz w:val="21"/>
                <w:szCs w:val="21"/>
              </w:rPr>
              <w:t>PET/CT</w:t>
            </w:r>
          </w:p>
        </w:tc>
        <w:tc>
          <w:tcPr>
            <w:tcW w:w="884" w:type="dxa"/>
            <w:vMerge w:val="restart"/>
            <w:tcBorders>
              <w:top w:val="nil"/>
              <w:left w:val="nil"/>
              <w:right w:val="single" w:sz="4" w:space="0" w:color="auto"/>
            </w:tcBorders>
            <w:vAlign w:val="center"/>
          </w:tcPr>
          <w:p w14:paraId="1809C792"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乙级</w:t>
            </w:r>
          </w:p>
        </w:tc>
        <w:tc>
          <w:tcPr>
            <w:tcW w:w="1128" w:type="dxa"/>
            <w:vMerge w:val="restart"/>
            <w:tcBorders>
              <w:top w:val="nil"/>
              <w:left w:val="nil"/>
              <w:right w:val="single" w:sz="4" w:space="0" w:color="auto"/>
            </w:tcBorders>
            <w:vAlign w:val="center"/>
          </w:tcPr>
          <w:p w14:paraId="4A39DCBE"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附图</w:t>
            </w:r>
            <w:r w:rsidRPr="00B12FE0">
              <w:rPr>
                <w:rFonts w:hint="eastAsia"/>
                <w:color w:val="000000" w:themeColor="text1"/>
                <w:kern w:val="0"/>
                <w:sz w:val="21"/>
                <w:szCs w:val="21"/>
              </w:rPr>
              <w:t>4</w:t>
            </w:r>
          </w:p>
        </w:tc>
      </w:tr>
      <w:tr w:rsidR="00A67F21" w:rsidRPr="00B12FE0" w14:paraId="4942D926" w14:textId="77777777">
        <w:trPr>
          <w:trHeight w:val="454"/>
          <w:jc w:val="center"/>
        </w:trPr>
        <w:tc>
          <w:tcPr>
            <w:tcW w:w="1183" w:type="dxa"/>
            <w:vMerge/>
            <w:tcBorders>
              <w:left w:val="single" w:sz="4" w:space="0" w:color="auto"/>
              <w:right w:val="single" w:sz="4" w:space="0" w:color="auto"/>
            </w:tcBorders>
            <w:vAlign w:val="center"/>
          </w:tcPr>
          <w:p w14:paraId="3E98318F" w14:textId="77777777" w:rsidR="00A67F21" w:rsidRPr="00B12FE0" w:rsidRDefault="00A67F21">
            <w:pPr>
              <w:widowControl/>
              <w:jc w:val="left"/>
              <w:rPr>
                <w:rFonts w:eastAsia="Times New Roman"/>
                <w:color w:val="000000" w:themeColor="text1"/>
                <w:kern w:val="0"/>
                <w:sz w:val="21"/>
                <w:szCs w:val="21"/>
              </w:rPr>
            </w:pPr>
          </w:p>
        </w:tc>
        <w:tc>
          <w:tcPr>
            <w:tcW w:w="538" w:type="dxa"/>
            <w:vMerge/>
            <w:tcBorders>
              <w:top w:val="nil"/>
              <w:left w:val="nil"/>
              <w:bottom w:val="single" w:sz="4" w:space="0" w:color="auto"/>
              <w:right w:val="single" w:sz="4" w:space="0" w:color="auto"/>
            </w:tcBorders>
            <w:vAlign w:val="center"/>
          </w:tcPr>
          <w:p w14:paraId="6FB221AC" w14:textId="77777777" w:rsidR="00A67F21" w:rsidRPr="00B12FE0" w:rsidRDefault="00A67F21">
            <w:pPr>
              <w:widowControl/>
              <w:jc w:val="left"/>
              <w:rPr>
                <w:color w:val="000000" w:themeColor="text1"/>
                <w:kern w:val="0"/>
                <w:sz w:val="21"/>
                <w:szCs w:val="21"/>
              </w:rPr>
            </w:pPr>
          </w:p>
        </w:tc>
        <w:tc>
          <w:tcPr>
            <w:tcW w:w="713" w:type="dxa"/>
            <w:vMerge/>
            <w:tcBorders>
              <w:left w:val="nil"/>
              <w:right w:val="single" w:sz="4" w:space="0" w:color="auto"/>
            </w:tcBorders>
            <w:vAlign w:val="center"/>
          </w:tcPr>
          <w:p w14:paraId="1FC2C4D0" w14:textId="77777777" w:rsidR="00A67F21" w:rsidRPr="00B12FE0" w:rsidRDefault="00A67F21">
            <w:pPr>
              <w:widowControl/>
              <w:jc w:val="left"/>
              <w:rPr>
                <w:color w:val="000000" w:themeColor="text1"/>
                <w:kern w:val="0"/>
                <w:sz w:val="21"/>
                <w:szCs w:val="21"/>
              </w:rPr>
            </w:pPr>
          </w:p>
        </w:tc>
        <w:tc>
          <w:tcPr>
            <w:tcW w:w="1367" w:type="dxa"/>
            <w:vMerge/>
            <w:tcBorders>
              <w:top w:val="nil"/>
              <w:left w:val="nil"/>
              <w:bottom w:val="single" w:sz="4" w:space="0" w:color="auto"/>
              <w:right w:val="single" w:sz="4" w:space="0" w:color="auto"/>
            </w:tcBorders>
            <w:vAlign w:val="center"/>
          </w:tcPr>
          <w:p w14:paraId="0E0526D3" w14:textId="77777777" w:rsidR="00A67F21" w:rsidRPr="00B12FE0" w:rsidRDefault="00A67F21">
            <w:pPr>
              <w:widowControl/>
              <w:jc w:val="left"/>
              <w:rPr>
                <w:color w:val="000000" w:themeColor="text1"/>
                <w:kern w:val="0"/>
                <w:sz w:val="21"/>
                <w:szCs w:val="21"/>
              </w:rPr>
            </w:pPr>
          </w:p>
        </w:tc>
        <w:tc>
          <w:tcPr>
            <w:tcW w:w="3204" w:type="dxa"/>
            <w:tcBorders>
              <w:top w:val="single" w:sz="4" w:space="0" w:color="auto"/>
              <w:left w:val="nil"/>
              <w:bottom w:val="single" w:sz="4" w:space="0" w:color="auto"/>
              <w:right w:val="single" w:sz="4" w:space="0" w:color="auto"/>
            </w:tcBorders>
            <w:vAlign w:val="center"/>
          </w:tcPr>
          <w:p w14:paraId="76AF1629" w14:textId="77777777" w:rsidR="00A67F21" w:rsidRPr="00B12FE0" w:rsidRDefault="00000000">
            <w:pPr>
              <w:adjustRightInd w:val="0"/>
              <w:snapToGrid w:val="0"/>
              <w:jc w:val="center"/>
              <w:rPr>
                <w:color w:val="000000" w:themeColor="text1"/>
                <w:kern w:val="0"/>
                <w:sz w:val="21"/>
                <w:szCs w:val="21"/>
              </w:rPr>
            </w:pPr>
            <w:r w:rsidRPr="00B12FE0">
              <w:rPr>
                <w:rFonts w:ascii="宋体" w:hAnsi="宋体"/>
                <w:bCs/>
                <w:color w:val="000000" w:themeColor="text1"/>
                <w:kern w:val="0"/>
                <w:sz w:val="21"/>
                <w:szCs w:val="21"/>
              </w:rPr>
              <w:t>使用</w:t>
            </w:r>
            <w:r w:rsidRPr="00B12FE0">
              <w:rPr>
                <w:bCs/>
                <w:color w:val="000000" w:themeColor="text1"/>
                <w:kern w:val="0"/>
                <w:sz w:val="21"/>
                <w:szCs w:val="21"/>
                <w:vertAlign w:val="superscript"/>
              </w:rPr>
              <w:t>18</w:t>
            </w:r>
            <w:r w:rsidRPr="00B12FE0">
              <w:rPr>
                <w:bCs/>
                <w:color w:val="000000" w:themeColor="text1"/>
                <w:kern w:val="0"/>
                <w:sz w:val="21"/>
                <w:szCs w:val="21"/>
              </w:rPr>
              <w:t>F</w:t>
            </w:r>
            <w:r w:rsidRPr="00B12FE0">
              <w:rPr>
                <w:rFonts w:ascii="宋体" w:hAnsi="宋体"/>
                <w:bCs/>
                <w:color w:val="000000" w:themeColor="text1"/>
                <w:kern w:val="0"/>
                <w:sz w:val="21"/>
                <w:szCs w:val="21"/>
              </w:rPr>
              <w:t>核素进行显像诊断</w:t>
            </w:r>
          </w:p>
        </w:tc>
        <w:tc>
          <w:tcPr>
            <w:tcW w:w="884" w:type="dxa"/>
            <w:vMerge/>
            <w:tcBorders>
              <w:left w:val="nil"/>
              <w:right w:val="single" w:sz="4" w:space="0" w:color="auto"/>
            </w:tcBorders>
            <w:vAlign w:val="center"/>
          </w:tcPr>
          <w:p w14:paraId="35F214DD" w14:textId="77777777" w:rsidR="00A67F21" w:rsidRPr="00B12FE0" w:rsidRDefault="00A67F21">
            <w:pPr>
              <w:widowControl/>
              <w:jc w:val="left"/>
              <w:rPr>
                <w:color w:val="000000" w:themeColor="text1"/>
                <w:kern w:val="0"/>
                <w:sz w:val="21"/>
                <w:szCs w:val="21"/>
              </w:rPr>
            </w:pPr>
          </w:p>
        </w:tc>
        <w:tc>
          <w:tcPr>
            <w:tcW w:w="1128" w:type="dxa"/>
            <w:vMerge/>
            <w:tcBorders>
              <w:left w:val="nil"/>
              <w:right w:val="single" w:sz="4" w:space="0" w:color="auto"/>
            </w:tcBorders>
            <w:vAlign w:val="center"/>
          </w:tcPr>
          <w:p w14:paraId="23172067" w14:textId="77777777" w:rsidR="00A67F21" w:rsidRPr="00B12FE0" w:rsidRDefault="00A67F21">
            <w:pPr>
              <w:widowControl/>
              <w:jc w:val="left"/>
              <w:rPr>
                <w:color w:val="000000" w:themeColor="text1"/>
                <w:kern w:val="0"/>
                <w:sz w:val="21"/>
                <w:szCs w:val="21"/>
              </w:rPr>
            </w:pPr>
          </w:p>
        </w:tc>
      </w:tr>
      <w:tr w:rsidR="00A67F21" w:rsidRPr="00B12FE0" w14:paraId="1C7CFFC5" w14:textId="77777777">
        <w:trPr>
          <w:trHeight w:val="454"/>
          <w:jc w:val="center"/>
        </w:trPr>
        <w:tc>
          <w:tcPr>
            <w:tcW w:w="1183" w:type="dxa"/>
            <w:vMerge/>
            <w:tcBorders>
              <w:left w:val="single" w:sz="4" w:space="0" w:color="auto"/>
              <w:right w:val="single" w:sz="4" w:space="0" w:color="auto"/>
            </w:tcBorders>
            <w:vAlign w:val="center"/>
          </w:tcPr>
          <w:p w14:paraId="24915675" w14:textId="77777777" w:rsidR="00A67F21" w:rsidRPr="00B12FE0" w:rsidRDefault="00A67F21">
            <w:pPr>
              <w:widowControl/>
              <w:jc w:val="left"/>
              <w:rPr>
                <w:rFonts w:eastAsia="Times New Roman"/>
                <w:color w:val="000000" w:themeColor="text1"/>
                <w:kern w:val="0"/>
                <w:sz w:val="21"/>
                <w:szCs w:val="21"/>
              </w:rPr>
            </w:pPr>
          </w:p>
        </w:tc>
        <w:tc>
          <w:tcPr>
            <w:tcW w:w="538" w:type="dxa"/>
            <w:vMerge/>
            <w:tcBorders>
              <w:top w:val="nil"/>
              <w:left w:val="nil"/>
              <w:bottom w:val="single" w:sz="4" w:space="0" w:color="auto"/>
              <w:right w:val="single" w:sz="4" w:space="0" w:color="auto"/>
            </w:tcBorders>
            <w:vAlign w:val="center"/>
          </w:tcPr>
          <w:p w14:paraId="76AE7D33" w14:textId="77777777" w:rsidR="00A67F21" w:rsidRPr="00B12FE0" w:rsidRDefault="00A67F21">
            <w:pPr>
              <w:widowControl/>
              <w:jc w:val="left"/>
              <w:rPr>
                <w:color w:val="000000" w:themeColor="text1"/>
                <w:kern w:val="0"/>
                <w:sz w:val="21"/>
                <w:szCs w:val="21"/>
              </w:rPr>
            </w:pPr>
          </w:p>
        </w:tc>
        <w:tc>
          <w:tcPr>
            <w:tcW w:w="713" w:type="dxa"/>
            <w:vMerge/>
            <w:tcBorders>
              <w:left w:val="nil"/>
              <w:right w:val="single" w:sz="4" w:space="0" w:color="auto"/>
            </w:tcBorders>
            <w:vAlign w:val="center"/>
          </w:tcPr>
          <w:p w14:paraId="1F05FE4C" w14:textId="77777777" w:rsidR="00A67F21" w:rsidRPr="00B12FE0" w:rsidRDefault="00A67F21">
            <w:pPr>
              <w:widowControl/>
              <w:jc w:val="left"/>
              <w:rPr>
                <w:color w:val="000000" w:themeColor="text1"/>
                <w:kern w:val="0"/>
                <w:sz w:val="21"/>
                <w:szCs w:val="21"/>
              </w:rPr>
            </w:pPr>
          </w:p>
        </w:tc>
        <w:tc>
          <w:tcPr>
            <w:tcW w:w="1367" w:type="dxa"/>
            <w:vMerge w:val="restart"/>
            <w:tcBorders>
              <w:top w:val="nil"/>
              <w:left w:val="nil"/>
              <w:bottom w:val="single" w:sz="4" w:space="0" w:color="auto"/>
              <w:right w:val="single" w:sz="4" w:space="0" w:color="auto"/>
            </w:tcBorders>
            <w:vAlign w:val="center"/>
          </w:tcPr>
          <w:p w14:paraId="43F96B52"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SPECT</w:t>
            </w:r>
            <w:r w:rsidRPr="00B12FE0">
              <w:rPr>
                <w:rFonts w:ascii="宋体" w:hAnsi="宋体"/>
                <w:color w:val="000000" w:themeColor="text1"/>
                <w:kern w:val="0"/>
                <w:sz w:val="21"/>
                <w:szCs w:val="21"/>
              </w:rPr>
              <w:t>显像</w:t>
            </w:r>
          </w:p>
        </w:tc>
        <w:tc>
          <w:tcPr>
            <w:tcW w:w="3204" w:type="dxa"/>
            <w:tcBorders>
              <w:top w:val="single" w:sz="4" w:space="0" w:color="auto"/>
              <w:left w:val="nil"/>
              <w:bottom w:val="single" w:sz="4" w:space="0" w:color="auto"/>
              <w:right w:val="single" w:sz="4" w:space="0" w:color="auto"/>
            </w:tcBorders>
            <w:vAlign w:val="center"/>
          </w:tcPr>
          <w:p w14:paraId="52970E17" w14:textId="77777777" w:rsidR="00A67F21" w:rsidRPr="00B12FE0" w:rsidRDefault="00000000">
            <w:pPr>
              <w:adjustRightInd w:val="0"/>
              <w:snapToGrid w:val="0"/>
              <w:jc w:val="center"/>
              <w:rPr>
                <w:color w:val="000000" w:themeColor="text1"/>
                <w:kern w:val="0"/>
                <w:sz w:val="21"/>
                <w:szCs w:val="21"/>
              </w:rPr>
            </w:pPr>
            <w:r w:rsidRPr="00B12FE0">
              <w:rPr>
                <w:rFonts w:ascii="宋体" w:hAnsi="宋体"/>
                <w:bCs/>
                <w:color w:val="000000" w:themeColor="text1"/>
                <w:kern w:val="0"/>
                <w:sz w:val="21"/>
                <w:szCs w:val="21"/>
              </w:rPr>
              <w:t>使用</w:t>
            </w:r>
            <w:r w:rsidRPr="00B12FE0">
              <w:rPr>
                <w:rFonts w:hint="eastAsia"/>
                <w:bCs/>
                <w:color w:val="000000" w:themeColor="text1"/>
                <w:kern w:val="0"/>
                <w:sz w:val="21"/>
                <w:szCs w:val="21"/>
              </w:rPr>
              <w:t>2</w:t>
            </w:r>
            <w:r w:rsidRPr="00B12FE0">
              <w:rPr>
                <w:rFonts w:ascii="宋体" w:hAnsi="宋体"/>
                <w:bCs/>
                <w:color w:val="000000" w:themeColor="text1"/>
                <w:kern w:val="0"/>
                <w:sz w:val="21"/>
                <w:szCs w:val="21"/>
              </w:rPr>
              <w:t>台</w:t>
            </w:r>
            <w:r w:rsidRPr="00B12FE0">
              <w:rPr>
                <w:bCs/>
                <w:color w:val="000000" w:themeColor="text1"/>
                <w:kern w:val="0"/>
                <w:sz w:val="21"/>
                <w:szCs w:val="21"/>
              </w:rPr>
              <w:t>SPECT/CT</w:t>
            </w:r>
            <w:r w:rsidRPr="00B12FE0">
              <w:rPr>
                <w:color w:val="000000" w:themeColor="text1"/>
                <w:kern w:val="0"/>
                <w:sz w:val="21"/>
                <w:szCs w:val="21"/>
              </w:rPr>
              <w:t xml:space="preserve"> </w:t>
            </w:r>
          </w:p>
        </w:tc>
        <w:tc>
          <w:tcPr>
            <w:tcW w:w="884" w:type="dxa"/>
            <w:vMerge/>
            <w:tcBorders>
              <w:left w:val="nil"/>
              <w:right w:val="single" w:sz="4" w:space="0" w:color="auto"/>
            </w:tcBorders>
            <w:vAlign w:val="center"/>
          </w:tcPr>
          <w:p w14:paraId="08047861" w14:textId="77777777" w:rsidR="00A67F21" w:rsidRPr="00B12FE0" w:rsidRDefault="00A67F21">
            <w:pPr>
              <w:widowControl/>
              <w:jc w:val="left"/>
              <w:rPr>
                <w:color w:val="000000" w:themeColor="text1"/>
                <w:kern w:val="0"/>
                <w:sz w:val="21"/>
                <w:szCs w:val="21"/>
              </w:rPr>
            </w:pPr>
          </w:p>
        </w:tc>
        <w:tc>
          <w:tcPr>
            <w:tcW w:w="1128" w:type="dxa"/>
            <w:vMerge/>
            <w:tcBorders>
              <w:left w:val="nil"/>
              <w:right w:val="single" w:sz="4" w:space="0" w:color="auto"/>
            </w:tcBorders>
            <w:vAlign w:val="center"/>
          </w:tcPr>
          <w:p w14:paraId="2E8AC38F" w14:textId="77777777" w:rsidR="00A67F21" w:rsidRPr="00B12FE0" w:rsidRDefault="00A67F21">
            <w:pPr>
              <w:widowControl/>
              <w:jc w:val="left"/>
              <w:rPr>
                <w:color w:val="000000" w:themeColor="text1"/>
                <w:kern w:val="0"/>
                <w:sz w:val="21"/>
                <w:szCs w:val="21"/>
              </w:rPr>
            </w:pPr>
          </w:p>
        </w:tc>
      </w:tr>
      <w:tr w:rsidR="00A67F21" w:rsidRPr="00B12FE0" w14:paraId="21963772" w14:textId="77777777">
        <w:trPr>
          <w:trHeight w:val="454"/>
          <w:jc w:val="center"/>
        </w:trPr>
        <w:tc>
          <w:tcPr>
            <w:tcW w:w="1183" w:type="dxa"/>
            <w:vMerge/>
            <w:tcBorders>
              <w:left w:val="single" w:sz="4" w:space="0" w:color="auto"/>
              <w:right w:val="single" w:sz="4" w:space="0" w:color="auto"/>
            </w:tcBorders>
            <w:vAlign w:val="center"/>
          </w:tcPr>
          <w:p w14:paraId="026CF29A" w14:textId="77777777" w:rsidR="00A67F21" w:rsidRPr="00B12FE0" w:rsidRDefault="00A67F21">
            <w:pPr>
              <w:widowControl/>
              <w:jc w:val="left"/>
              <w:rPr>
                <w:rFonts w:eastAsia="Times New Roman"/>
                <w:color w:val="000000" w:themeColor="text1"/>
                <w:kern w:val="0"/>
                <w:sz w:val="21"/>
                <w:szCs w:val="21"/>
              </w:rPr>
            </w:pPr>
          </w:p>
        </w:tc>
        <w:tc>
          <w:tcPr>
            <w:tcW w:w="538" w:type="dxa"/>
            <w:vMerge/>
            <w:tcBorders>
              <w:top w:val="nil"/>
              <w:left w:val="nil"/>
              <w:bottom w:val="single" w:sz="4" w:space="0" w:color="auto"/>
              <w:right w:val="single" w:sz="4" w:space="0" w:color="auto"/>
            </w:tcBorders>
            <w:vAlign w:val="center"/>
          </w:tcPr>
          <w:p w14:paraId="28A39CBE" w14:textId="77777777" w:rsidR="00A67F21" w:rsidRPr="00B12FE0" w:rsidRDefault="00A67F21">
            <w:pPr>
              <w:widowControl/>
              <w:jc w:val="left"/>
              <w:rPr>
                <w:color w:val="000000" w:themeColor="text1"/>
                <w:kern w:val="0"/>
                <w:sz w:val="21"/>
                <w:szCs w:val="21"/>
              </w:rPr>
            </w:pPr>
          </w:p>
        </w:tc>
        <w:tc>
          <w:tcPr>
            <w:tcW w:w="713" w:type="dxa"/>
            <w:vMerge/>
            <w:tcBorders>
              <w:left w:val="nil"/>
              <w:right w:val="single" w:sz="4" w:space="0" w:color="auto"/>
            </w:tcBorders>
            <w:vAlign w:val="center"/>
          </w:tcPr>
          <w:p w14:paraId="27C0F19B" w14:textId="77777777" w:rsidR="00A67F21" w:rsidRPr="00B12FE0" w:rsidRDefault="00A67F21">
            <w:pPr>
              <w:widowControl/>
              <w:jc w:val="left"/>
              <w:rPr>
                <w:color w:val="000000" w:themeColor="text1"/>
                <w:kern w:val="0"/>
                <w:sz w:val="21"/>
                <w:szCs w:val="21"/>
              </w:rPr>
            </w:pPr>
          </w:p>
        </w:tc>
        <w:tc>
          <w:tcPr>
            <w:tcW w:w="1367" w:type="dxa"/>
            <w:vMerge/>
            <w:tcBorders>
              <w:top w:val="nil"/>
              <w:left w:val="nil"/>
              <w:bottom w:val="single" w:sz="4" w:space="0" w:color="auto"/>
              <w:right w:val="single" w:sz="4" w:space="0" w:color="auto"/>
            </w:tcBorders>
            <w:vAlign w:val="center"/>
          </w:tcPr>
          <w:p w14:paraId="300183DA" w14:textId="77777777" w:rsidR="00A67F21" w:rsidRPr="00B12FE0" w:rsidRDefault="00A67F21">
            <w:pPr>
              <w:widowControl/>
              <w:jc w:val="left"/>
              <w:rPr>
                <w:color w:val="000000" w:themeColor="text1"/>
                <w:kern w:val="0"/>
                <w:sz w:val="21"/>
                <w:szCs w:val="21"/>
              </w:rPr>
            </w:pPr>
          </w:p>
        </w:tc>
        <w:tc>
          <w:tcPr>
            <w:tcW w:w="3204" w:type="dxa"/>
            <w:tcBorders>
              <w:top w:val="single" w:sz="4" w:space="0" w:color="auto"/>
              <w:left w:val="nil"/>
              <w:bottom w:val="single" w:sz="4" w:space="0" w:color="auto"/>
              <w:right w:val="single" w:sz="4" w:space="0" w:color="auto"/>
            </w:tcBorders>
            <w:vAlign w:val="center"/>
          </w:tcPr>
          <w:p w14:paraId="452C130B" w14:textId="77777777" w:rsidR="00A67F21" w:rsidRPr="00B12FE0" w:rsidRDefault="00000000">
            <w:pPr>
              <w:adjustRightInd w:val="0"/>
              <w:snapToGrid w:val="0"/>
              <w:jc w:val="center"/>
              <w:rPr>
                <w:color w:val="000000" w:themeColor="text1"/>
                <w:kern w:val="0"/>
                <w:sz w:val="21"/>
                <w:szCs w:val="21"/>
              </w:rPr>
            </w:pPr>
            <w:r w:rsidRPr="00B12FE0">
              <w:rPr>
                <w:rFonts w:ascii="宋体" w:hAnsi="宋体"/>
                <w:bCs/>
                <w:color w:val="000000" w:themeColor="text1"/>
                <w:kern w:val="0"/>
                <w:sz w:val="21"/>
                <w:szCs w:val="21"/>
              </w:rPr>
              <w:t>使用</w:t>
            </w:r>
            <w:r w:rsidRPr="00B12FE0">
              <w:rPr>
                <w:bCs/>
                <w:color w:val="000000" w:themeColor="text1"/>
                <w:kern w:val="0"/>
                <w:sz w:val="21"/>
                <w:szCs w:val="21"/>
                <w:vertAlign w:val="superscript"/>
              </w:rPr>
              <w:t>99m</w:t>
            </w:r>
            <w:r w:rsidRPr="00B12FE0">
              <w:rPr>
                <w:bCs/>
                <w:color w:val="000000" w:themeColor="text1"/>
                <w:kern w:val="0"/>
                <w:sz w:val="21"/>
                <w:szCs w:val="21"/>
              </w:rPr>
              <w:t>Tc</w:t>
            </w:r>
            <w:r w:rsidRPr="00B12FE0">
              <w:rPr>
                <w:rFonts w:ascii="宋体" w:hAnsi="宋体"/>
                <w:bCs/>
                <w:color w:val="000000" w:themeColor="text1"/>
                <w:kern w:val="0"/>
                <w:sz w:val="21"/>
                <w:szCs w:val="21"/>
              </w:rPr>
              <w:t>核素进行显像诊断</w:t>
            </w:r>
          </w:p>
        </w:tc>
        <w:tc>
          <w:tcPr>
            <w:tcW w:w="884" w:type="dxa"/>
            <w:vMerge/>
            <w:tcBorders>
              <w:left w:val="nil"/>
              <w:right w:val="single" w:sz="4" w:space="0" w:color="auto"/>
            </w:tcBorders>
            <w:vAlign w:val="center"/>
          </w:tcPr>
          <w:p w14:paraId="46E36676" w14:textId="77777777" w:rsidR="00A67F21" w:rsidRPr="00B12FE0" w:rsidRDefault="00A67F21">
            <w:pPr>
              <w:widowControl/>
              <w:jc w:val="left"/>
              <w:rPr>
                <w:color w:val="000000" w:themeColor="text1"/>
                <w:kern w:val="0"/>
                <w:sz w:val="21"/>
                <w:szCs w:val="21"/>
              </w:rPr>
            </w:pPr>
          </w:p>
        </w:tc>
        <w:tc>
          <w:tcPr>
            <w:tcW w:w="1128" w:type="dxa"/>
            <w:vMerge/>
            <w:tcBorders>
              <w:left w:val="nil"/>
              <w:right w:val="single" w:sz="4" w:space="0" w:color="auto"/>
            </w:tcBorders>
            <w:vAlign w:val="center"/>
          </w:tcPr>
          <w:p w14:paraId="1CDE9210" w14:textId="77777777" w:rsidR="00A67F21" w:rsidRPr="00B12FE0" w:rsidRDefault="00A67F21">
            <w:pPr>
              <w:widowControl/>
              <w:jc w:val="left"/>
              <w:rPr>
                <w:color w:val="000000" w:themeColor="text1"/>
                <w:kern w:val="0"/>
                <w:sz w:val="21"/>
                <w:szCs w:val="21"/>
              </w:rPr>
            </w:pPr>
          </w:p>
        </w:tc>
      </w:tr>
      <w:tr w:rsidR="00A67F21" w:rsidRPr="00B12FE0" w14:paraId="0F94DD95" w14:textId="77777777">
        <w:trPr>
          <w:trHeight w:val="454"/>
          <w:jc w:val="center"/>
        </w:trPr>
        <w:tc>
          <w:tcPr>
            <w:tcW w:w="1183" w:type="dxa"/>
            <w:vMerge/>
            <w:tcBorders>
              <w:left w:val="single" w:sz="4" w:space="0" w:color="auto"/>
              <w:right w:val="single" w:sz="4" w:space="0" w:color="auto"/>
            </w:tcBorders>
            <w:vAlign w:val="center"/>
          </w:tcPr>
          <w:p w14:paraId="1AD9DCC5" w14:textId="77777777" w:rsidR="00A67F21" w:rsidRPr="00B12FE0" w:rsidRDefault="00A67F21">
            <w:pPr>
              <w:widowControl/>
              <w:jc w:val="left"/>
              <w:rPr>
                <w:rFonts w:eastAsia="Times New Roman"/>
                <w:color w:val="000000" w:themeColor="text1"/>
                <w:kern w:val="0"/>
                <w:sz w:val="21"/>
                <w:szCs w:val="21"/>
              </w:rPr>
            </w:pPr>
          </w:p>
        </w:tc>
        <w:tc>
          <w:tcPr>
            <w:tcW w:w="538" w:type="dxa"/>
            <w:vMerge/>
            <w:tcBorders>
              <w:top w:val="nil"/>
              <w:left w:val="nil"/>
              <w:bottom w:val="single" w:sz="4" w:space="0" w:color="auto"/>
              <w:right w:val="single" w:sz="4" w:space="0" w:color="auto"/>
            </w:tcBorders>
            <w:vAlign w:val="center"/>
          </w:tcPr>
          <w:p w14:paraId="32F72891" w14:textId="77777777" w:rsidR="00A67F21" w:rsidRPr="00B12FE0" w:rsidRDefault="00A67F21">
            <w:pPr>
              <w:widowControl/>
              <w:jc w:val="left"/>
              <w:rPr>
                <w:color w:val="000000" w:themeColor="text1"/>
                <w:kern w:val="0"/>
                <w:sz w:val="21"/>
                <w:szCs w:val="21"/>
              </w:rPr>
            </w:pPr>
          </w:p>
        </w:tc>
        <w:tc>
          <w:tcPr>
            <w:tcW w:w="713" w:type="dxa"/>
            <w:vMerge/>
            <w:tcBorders>
              <w:left w:val="nil"/>
              <w:right w:val="single" w:sz="4" w:space="0" w:color="auto"/>
            </w:tcBorders>
            <w:vAlign w:val="center"/>
          </w:tcPr>
          <w:p w14:paraId="4EDC0297" w14:textId="77777777" w:rsidR="00A67F21" w:rsidRPr="00B12FE0" w:rsidRDefault="00A67F21">
            <w:pPr>
              <w:adjustRightInd w:val="0"/>
              <w:snapToGrid w:val="0"/>
              <w:jc w:val="center"/>
              <w:rPr>
                <w:color w:val="000000" w:themeColor="text1"/>
                <w:kern w:val="0"/>
                <w:sz w:val="21"/>
                <w:szCs w:val="21"/>
              </w:rPr>
            </w:pPr>
          </w:p>
        </w:tc>
        <w:tc>
          <w:tcPr>
            <w:tcW w:w="1367" w:type="dxa"/>
            <w:tcBorders>
              <w:top w:val="single" w:sz="4" w:space="0" w:color="auto"/>
              <w:left w:val="nil"/>
              <w:bottom w:val="single" w:sz="4" w:space="0" w:color="auto"/>
              <w:right w:val="single" w:sz="4" w:space="0" w:color="auto"/>
            </w:tcBorders>
            <w:vAlign w:val="center"/>
          </w:tcPr>
          <w:p w14:paraId="695C325F" w14:textId="77777777" w:rsidR="00A67F21" w:rsidRPr="00B12FE0" w:rsidRDefault="00000000">
            <w:pPr>
              <w:adjustRightInd w:val="0"/>
              <w:snapToGrid w:val="0"/>
              <w:jc w:val="center"/>
              <w:rPr>
                <w:color w:val="000000" w:themeColor="text1"/>
                <w:kern w:val="0"/>
                <w:sz w:val="21"/>
                <w:szCs w:val="21"/>
              </w:rPr>
            </w:pPr>
            <w:proofErr w:type="gramStart"/>
            <w:r w:rsidRPr="00B12FE0">
              <w:rPr>
                <w:rFonts w:ascii="宋体" w:hAnsi="宋体"/>
                <w:color w:val="000000" w:themeColor="text1"/>
                <w:kern w:val="0"/>
                <w:sz w:val="21"/>
                <w:szCs w:val="21"/>
              </w:rPr>
              <w:t>甲测</w:t>
            </w:r>
            <w:proofErr w:type="gramEnd"/>
          </w:p>
        </w:tc>
        <w:tc>
          <w:tcPr>
            <w:tcW w:w="3204" w:type="dxa"/>
            <w:tcBorders>
              <w:top w:val="single" w:sz="4" w:space="0" w:color="auto"/>
              <w:left w:val="nil"/>
              <w:bottom w:val="single" w:sz="4" w:space="0" w:color="auto"/>
              <w:right w:val="single" w:sz="4" w:space="0" w:color="auto"/>
            </w:tcBorders>
            <w:vAlign w:val="center"/>
          </w:tcPr>
          <w:p w14:paraId="11054659" w14:textId="77777777" w:rsidR="00A67F21" w:rsidRPr="00B12FE0" w:rsidRDefault="00000000">
            <w:pPr>
              <w:adjustRightInd w:val="0"/>
              <w:snapToGrid w:val="0"/>
              <w:jc w:val="center"/>
              <w:rPr>
                <w:bCs/>
                <w:color w:val="000000" w:themeColor="text1"/>
                <w:kern w:val="0"/>
                <w:sz w:val="21"/>
                <w:szCs w:val="21"/>
              </w:rPr>
            </w:pPr>
            <w:r w:rsidRPr="00B12FE0">
              <w:rPr>
                <w:rFonts w:ascii="宋体" w:hAnsi="宋体"/>
                <w:bCs/>
                <w:color w:val="000000" w:themeColor="text1"/>
                <w:kern w:val="0"/>
                <w:sz w:val="21"/>
                <w:szCs w:val="21"/>
              </w:rPr>
              <w:t>使用</w:t>
            </w:r>
            <w:r w:rsidRPr="00B12FE0">
              <w:rPr>
                <w:rFonts w:eastAsia="楷体_GB2312"/>
                <w:bCs/>
                <w:color w:val="000000" w:themeColor="text1"/>
                <w:sz w:val="21"/>
                <w:szCs w:val="21"/>
                <w:vertAlign w:val="superscript"/>
              </w:rPr>
              <w:t>131</w:t>
            </w:r>
            <w:r w:rsidRPr="00B12FE0">
              <w:rPr>
                <w:rFonts w:eastAsia="楷体_GB2312"/>
                <w:bCs/>
                <w:color w:val="000000" w:themeColor="text1"/>
                <w:sz w:val="21"/>
                <w:szCs w:val="21"/>
              </w:rPr>
              <w:t>I</w:t>
            </w:r>
            <w:r w:rsidRPr="00B12FE0">
              <w:rPr>
                <w:rFonts w:ascii="宋体" w:hAnsi="宋体"/>
                <w:bCs/>
                <w:color w:val="000000" w:themeColor="text1"/>
                <w:kern w:val="0"/>
                <w:sz w:val="21"/>
                <w:szCs w:val="21"/>
              </w:rPr>
              <w:t>核素</w:t>
            </w:r>
            <w:proofErr w:type="gramStart"/>
            <w:r w:rsidRPr="00B12FE0">
              <w:rPr>
                <w:rFonts w:ascii="宋体" w:hAnsi="宋体"/>
                <w:bCs/>
                <w:color w:val="000000" w:themeColor="text1"/>
                <w:kern w:val="0"/>
                <w:sz w:val="21"/>
                <w:szCs w:val="21"/>
              </w:rPr>
              <w:t>进行甲测</w:t>
            </w:r>
            <w:proofErr w:type="gramEnd"/>
          </w:p>
        </w:tc>
        <w:tc>
          <w:tcPr>
            <w:tcW w:w="884" w:type="dxa"/>
            <w:vMerge/>
            <w:tcBorders>
              <w:left w:val="nil"/>
              <w:right w:val="single" w:sz="4" w:space="0" w:color="auto"/>
            </w:tcBorders>
            <w:vAlign w:val="center"/>
          </w:tcPr>
          <w:p w14:paraId="12688406" w14:textId="77777777" w:rsidR="00A67F21" w:rsidRPr="00B12FE0" w:rsidRDefault="00A67F21">
            <w:pPr>
              <w:adjustRightInd w:val="0"/>
              <w:snapToGrid w:val="0"/>
              <w:jc w:val="center"/>
              <w:rPr>
                <w:color w:val="000000" w:themeColor="text1"/>
                <w:kern w:val="0"/>
                <w:sz w:val="21"/>
                <w:szCs w:val="21"/>
              </w:rPr>
            </w:pPr>
          </w:p>
        </w:tc>
        <w:tc>
          <w:tcPr>
            <w:tcW w:w="1128" w:type="dxa"/>
            <w:vMerge/>
            <w:tcBorders>
              <w:left w:val="nil"/>
              <w:right w:val="single" w:sz="4" w:space="0" w:color="auto"/>
            </w:tcBorders>
            <w:vAlign w:val="center"/>
          </w:tcPr>
          <w:p w14:paraId="4E9D9CCA" w14:textId="77777777" w:rsidR="00A67F21" w:rsidRPr="00B12FE0" w:rsidRDefault="00A67F21">
            <w:pPr>
              <w:adjustRightInd w:val="0"/>
              <w:snapToGrid w:val="0"/>
              <w:jc w:val="center"/>
              <w:rPr>
                <w:color w:val="000000" w:themeColor="text1"/>
                <w:kern w:val="0"/>
                <w:sz w:val="21"/>
                <w:szCs w:val="21"/>
              </w:rPr>
            </w:pPr>
          </w:p>
        </w:tc>
      </w:tr>
      <w:tr w:rsidR="00A67F21" w:rsidRPr="00B12FE0" w14:paraId="24D5577C" w14:textId="77777777">
        <w:trPr>
          <w:trHeight w:val="90"/>
          <w:jc w:val="center"/>
        </w:trPr>
        <w:tc>
          <w:tcPr>
            <w:tcW w:w="1183" w:type="dxa"/>
            <w:vMerge/>
            <w:tcBorders>
              <w:left w:val="single" w:sz="4" w:space="0" w:color="auto"/>
              <w:bottom w:val="single" w:sz="4" w:space="0" w:color="auto"/>
              <w:right w:val="single" w:sz="4" w:space="0" w:color="auto"/>
            </w:tcBorders>
            <w:vAlign w:val="center"/>
          </w:tcPr>
          <w:p w14:paraId="5D055BB1" w14:textId="77777777" w:rsidR="00A67F21" w:rsidRPr="00B12FE0" w:rsidRDefault="00A67F21">
            <w:pPr>
              <w:widowControl/>
              <w:jc w:val="left"/>
              <w:rPr>
                <w:rFonts w:eastAsia="Times New Roman"/>
                <w:color w:val="000000" w:themeColor="text1"/>
                <w:kern w:val="0"/>
                <w:sz w:val="21"/>
                <w:szCs w:val="21"/>
              </w:rPr>
            </w:pPr>
          </w:p>
        </w:tc>
        <w:tc>
          <w:tcPr>
            <w:tcW w:w="538" w:type="dxa"/>
            <w:vMerge/>
            <w:tcBorders>
              <w:top w:val="nil"/>
              <w:left w:val="nil"/>
              <w:bottom w:val="single" w:sz="4" w:space="0" w:color="auto"/>
              <w:right w:val="single" w:sz="4" w:space="0" w:color="auto"/>
            </w:tcBorders>
            <w:vAlign w:val="center"/>
          </w:tcPr>
          <w:p w14:paraId="319B88D7" w14:textId="77777777" w:rsidR="00A67F21" w:rsidRPr="00B12FE0" w:rsidRDefault="00A67F21">
            <w:pPr>
              <w:widowControl/>
              <w:jc w:val="left"/>
              <w:rPr>
                <w:color w:val="000000" w:themeColor="text1"/>
                <w:kern w:val="0"/>
                <w:sz w:val="21"/>
                <w:szCs w:val="21"/>
              </w:rPr>
            </w:pPr>
          </w:p>
        </w:tc>
        <w:tc>
          <w:tcPr>
            <w:tcW w:w="713" w:type="dxa"/>
            <w:vMerge/>
            <w:tcBorders>
              <w:left w:val="nil"/>
              <w:bottom w:val="single" w:sz="4" w:space="0" w:color="auto"/>
              <w:right w:val="single" w:sz="4" w:space="0" w:color="auto"/>
            </w:tcBorders>
            <w:vAlign w:val="center"/>
          </w:tcPr>
          <w:p w14:paraId="36DD7D64" w14:textId="77777777" w:rsidR="00A67F21" w:rsidRPr="00B12FE0" w:rsidRDefault="00A67F21">
            <w:pPr>
              <w:widowControl/>
              <w:jc w:val="left"/>
              <w:rPr>
                <w:color w:val="000000" w:themeColor="text1"/>
                <w:kern w:val="0"/>
                <w:sz w:val="21"/>
                <w:szCs w:val="21"/>
              </w:rPr>
            </w:pPr>
          </w:p>
        </w:tc>
        <w:tc>
          <w:tcPr>
            <w:tcW w:w="1367" w:type="dxa"/>
            <w:tcBorders>
              <w:top w:val="single" w:sz="4" w:space="0" w:color="auto"/>
              <w:left w:val="nil"/>
              <w:bottom w:val="single" w:sz="4" w:space="0" w:color="auto"/>
              <w:right w:val="single" w:sz="4" w:space="0" w:color="auto"/>
            </w:tcBorders>
            <w:vAlign w:val="center"/>
          </w:tcPr>
          <w:p w14:paraId="6A2044A2"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甲亢治疗</w:t>
            </w:r>
          </w:p>
        </w:tc>
        <w:tc>
          <w:tcPr>
            <w:tcW w:w="3204" w:type="dxa"/>
            <w:tcBorders>
              <w:top w:val="single" w:sz="4" w:space="0" w:color="auto"/>
              <w:left w:val="nil"/>
              <w:bottom w:val="single" w:sz="4" w:space="0" w:color="auto"/>
              <w:right w:val="single" w:sz="4" w:space="0" w:color="auto"/>
            </w:tcBorders>
            <w:vAlign w:val="center"/>
          </w:tcPr>
          <w:p w14:paraId="72F5FCD9" w14:textId="77777777" w:rsidR="00A67F21" w:rsidRPr="00B12FE0" w:rsidRDefault="00000000">
            <w:pPr>
              <w:adjustRightInd w:val="0"/>
              <w:snapToGrid w:val="0"/>
              <w:jc w:val="center"/>
              <w:rPr>
                <w:bCs/>
                <w:color w:val="000000" w:themeColor="text1"/>
                <w:kern w:val="0"/>
                <w:sz w:val="21"/>
                <w:szCs w:val="21"/>
              </w:rPr>
            </w:pPr>
            <w:r w:rsidRPr="00B12FE0">
              <w:rPr>
                <w:rFonts w:ascii="宋体" w:hAnsi="宋体"/>
                <w:bCs/>
                <w:color w:val="000000" w:themeColor="text1"/>
                <w:kern w:val="0"/>
                <w:sz w:val="21"/>
                <w:szCs w:val="21"/>
              </w:rPr>
              <w:t>使用</w:t>
            </w:r>
            <w:r w:rsidRPr="00B12FE0">
              <w:rPr>
                <w:rFonts w:eastAsia="楷体_GB2312"/>
                <w:bCs/>
                <w:color w:val="000000" w:themeColor="text1"/>
                <w:sz w:val="21"/>
                <w:szCs w:val="21"/>
                <w:vertAlign w:val="superscript"/>
              </w:rPr>
              <w:t>131</w:t>
            </w:r>
            <w:r w:rsidRPr="00B12FE0">
              <w:rPr>
                <w:rFonts w:eastAsia="楷体_GB2312"/>
                <w:bCs/>
                <w:color w:val="000000" w:themeColor="text1"/>
                <w:sz w:val="21"/>
                <w:szCs w:val="21"/>
              </w:rPr>
              <w:t>I</w:t>
            </w:r>
            <w:r w:rsidRPr="00B12FE0">
              <w:rPr>
                <w:rFonts w:ascii="宋体" w:hAnsi="宋体"/>
                <w:bCs/>
                <w:color w:val="000000" w:themeColor="text1"/>
                <w:kern w:val="0"/>
                <w:sz w:val="21"/>
                <w:szCs w:val="21"/>
              </w:rPr>
              <w:t>核素进行甲亢治疗</w:t>
            </w:r>
          </w:p>
        </w:tc>
        <w:tc>
          <w:tcPr>
            <w:tcW w:w="884" w:type="dxa"/>
            <w:vMerge/>
            <w:tcBorders>
              <w:left w:val="nil"/>
              <w:bottom w:val="single" w:sz="4" w:space="0" w:color="auto"/>
              <w:right w:val="single" w:sz="4" w:space="0" w:color="auto"/>
            </w:tcBorders>
            <w:vAlign w:val="center"/>
          </w:tcPr>
          <w:p w14:paraId="61F216A7" w14:textId="77777777" w:rsidR="00A67F21" w:rsidRPr="00B12FE0" w:rsidRDefault="00A67F21">
            <w:pPr>
              <w:widowControl/>
              <w:jc w:val="left"/>
              <w:rPr>
                <w:color w:val="000000" w:themeColor="text1"/>
                <w:kern w:val="0"/>
                <w:sz w:val="21"/>
                <w:szCs w:val="21"/>
              </w:rPr>
            </w:pPr>
          </w:p>
        </w:tc>
        <w:tc>
          <w:tcPr>
            <w:tcW w:w="1128" w:type="dxa"/>
            <w:vMerge/>
            <w:tcBorders>
              <w:left w:val="nil"/>
              <w:bottom w:val="single" w:sz="4" w:space="0" w:color="auto"/>
              <w:right w:val="single" w:sz="4" w:space="0" w:color="auto"/>
            </w:tcBorders>
            <w:vAlign w:val="center"/>
          </w:tcPr>
          <w:p w14:paraId="1F5BEE65" w14:textId="77777777" w:rsidR="00A67F21" w:rsidRPr="00B12FE0" w:rsidRDefault="00A67F21">
            <w:pPr>
              <w:widowControl/>
              <w:jc w:val="left"/>
              <w:rPr>
                <w:color w:val="000000" w:themeColor="text1"/>
                <w:kern w:val="0"/>
                <w:sz w:val="21"/>
                <w:szCs w:val="21"/>
              </w:rPr>
            </w:pPr>
          </w:p>
        </w:tc>
      </w:tr>
      <w:tr w:rsidR="00A67F21" w:rsidRPr="00B12FE0" w14:paraId="29256654" w14:textId="77777777">
        <w:trPr>
          <w:trHeight w:val="454"/>
          <w:jc w:val="center"/>
        </w:trPr>
        <w:tc>
          <w:tcPr>
            <w:tcW w:w="1183" w:type="dxa"/>
            <w:tcBorders>
              <w:top w:val="nil"/>
              <w:left w:val="single" w:sz="4" w:space="0" w:color="auto"/>
              <w:bottom w:val="single" w:sz="4" w:space="0" w:color="auto"/>
              <w:right w:val="single" w:sz="4" w:space="0" w:color="auto"/>
            </w:tcBorders>
            <w:vAlign w:val="center"/>
          </w:tcPr>
          <w:p w14:paraId="2789EBC4" w14:textId="77777777" w:rsidR="00A67F21" w:rsidRPr="00B12FE0" w:rsidRDefault="00000000">
            <w:pPr>
              <w:widowControl/>
              <w:jc w:val="left"/>
              <w:rPr>
                <w:rFonts w:eastAsia="Times New Roman"/>
                <w:color w:val="000000" w:themeColor="text1"/>
                <w:kern w:val="0"/>
                <w:sz w:val="21"/>
                <w:szCs w:val="21"/>
              </w:rPr>
            </w:pPr>
            <w:r w:rsidRPr="00B12FE0">
              <w:rPr>
                <w:rFonts w:ascii="宋体" w:hAnsi="宋体"/>
                <w:bCs/>
                <w:color w:val="000000" w:themeColor="text1"/>
                <w:kern w:val="0"/>
                <w:sz w:val="21"/>
                <w:szCs w:val="21"/>
              </w:rPr>
              <w:t>肿瘤治疗中心</w:t>
            </w:r>
            <w:r w:rsidRPr="00B12FE0">
              <w:rPr>
                <w:rFonts w:ascii="宋体" w:hAnsi="宋体"/>
                <w:color w:val="000000" w:themeColor="text1"/>
                <w:kern w:val="0"/>
                <w:sz w:val="21"/>
                <w:szCs w:val="21"/>
              </w:rPr>
              <w:t>综合楼</w:t>
            </w:r>
            <w:r w:rsidRPr="00B12FE0">
              <w:rPr>
                <w:rFonts w:ascii="宋体" w:hAnsi="宋体" w:hint="eastAsia"/>
                <w:color w:val="000000" w:themeColor="text1"/>
                <w:kern w:val="0"/>
                <w:sz w:val="21"/>
                <w:szCs w:val="21"/>
              </w:rPr>
              <w:t>二</w:t>
            </w:r>
            <w:r w:rsidRPr="00B12FE0">
              <w:rPr>
                <w:rFonts w:ascii="宋体" w:hAnsi="宋体"/>
                <w:color w:val="000000" w:themeColor="text1"/>
                <w:kern w:val="0"/>
                <w:sz w:val="21"/>
                <w:szCs w:val="21"/>
              </w:rPr>
              <w:t>层</w:t>
            </w:r>
          </w:p>
        </w:tc>
        <w:tc>
          <w:tcPr>
            <w:tcW w:w="538" w:type="dxa"/>
            <w:vMerge/>
            <w:tcBorders>
              <w:top w:val="nil"/>
              <w:left w:val="nil"/>
              <w:bottom w:val="single" w:sz="4" w:space="0" w:color="auto"/>
              <w:right w:val="single" w:sz="4" w:space="0" w:color="auto"/>
            </w:tcBorders>
            <w:vAlign w:val="center"/>
          </w:tcPr>
          <w:p w14:paraId="71268F1F" w14:textId="77777777" w:rsidR="00A67F21" w:rsidRPr="00B12FE0" w:rsidRDefault="00A67F21">
            <w:pPr>
              <w:widowControl/>
              <w:jc w:val="left"/>
              <w:rPr>
                <w:color w:val="000000" w:themeColor="text1"/>
                <w:kern w:val="0"/>
                <w:sz w:val="21"/>
                <w:szCs w:val="21"/>
              </w:rPr>
            </w:pPr>
          </w:p>
        </w:tc>
        <w:tc>
          <w:tcPr>
            <w:tcW w:w="713" w:type="dxa"/>
            <w:tcBorders>
              <w:top w:val="nil"/>
              <w:left w:val="nil"/>
              <w:bottom w:val="single" w:sz="4" w:space="0" w:color="auto"/>
              <w:right w:val="single" w:sz="4" w:space="0" w:color="auto"/>
            </w:tcBorders>
            <w:vAlign w:val="center"/>
          </w:tcPr>
          <w:p w14:paraId="6F4D9F0E" w14:textId="77777777" w:rsidR="00A67F21" w:rsidRPr="00B12FE0" w:rsidRDefault="00000000">
            <w:pPr>
              <w:widowControl/>
              <w:jc w:val="left"/>
              <w:rPr>
                <w:color w:val="000000" w:themeColor="text1"/>
                <w:kern w:val="0"/>
                <w:sz w:val="21"/>
                <w:szCs w:val="21"/>
              </w:rPr>
            </w:pPr>
            <w:r w:rsidRPr="00B12FE0">
              <w:rPr>
                <w:rFonts w:ascii="宋体" w:hAnsi="宋体"/>
                <w:color w:val="000000" w:themeColor="text1"/>
                <w:kern w:val="0"/>
                <w:sz w:val="21"/>
                <w:szCs w:val="21"/>
              </w:rPr>
              <w:t>核素治疗场所</w:t>
            </w:r>
          </w:p>
        </w:tc>
        <w:tc>
          <w:tcPr>
            <w:tcW w:w="1367" w:type="dxa"/>
            <w:tcBorders>
              <w:top w:val="single" w:sz="4" w:space="0" w:color="auto"/>
              <w:left w:val="nil"/>
              <w:bottom w:val="single" w:sz="4" w:space="0" w:color="auto"/>
              <w:right w:val="single" w:sz="4" w:space="0" w:color="auto"/>
            </w:tcBorders>
            <w:vAlign w:val="center"/>
          </w:tcPr>
          <w:p w14:paraId="0FDBD39A" w14:textId="77777777" w:rsidR="00A67F21" w:rsidRPr="00B12FE0" w:rsidRDefault="00000000">
            <w:pPr>
              <w:adjustRightInd w:val="0"/>
              <w:snapToGrid w:val="0"/>
              <w:jc w:val="center"/>
              <w:rPr>
                <w:color w:val="000000" w:themeColor="text1"/>
                <w:kern w:val="0"/>
                <w:sz w:val="21"/>
                <w:szCs w:val="21"/>
              </w:rPr>
            </w:pPr>
            <w:proofErr w:type="gramStart"/>
            <w:r w:rsidRPr="00B12FE0">
              <w:rPr>
                <w:rFonts w:ascii="宋体" w:hAnsi="宋体"/>
                <w:color w:val="000000" w:themeColor="text1"/>
                <w:kern w:val="0"/>
                <w:sz w:val="21"/>
                <w:szCs w:val="21"/>
              </w:rPr>
              <w:t>甲癌治疗</w:t>
            </w:r>
            <w:proofErr w:type="gramEnd"/>
          </w:p>
        </w:tc>
        <w:tc>
          <w:tcPr>
            <w:tcW w:w="3204" w:type="dxa"/>
            <w:tcBorders>
              <w:top w:val="single" w:sz="4" w:space="0" w:color="auto"/>
              <w:left w:val="nil"/>
              <w:bottom w:val="single" w:sz="4" w:space="0" w:color="auto"/>
              <w:right w:val="single" w:sz="4" w:space="0" w:color="auto"/>
            </w:tcBorders>
            <w:vAlign w:val="center"/>
          </w:tcPr>
          <w:p w14:paraId="7F5163A1" w14:textId="77777777" w:rsidR="00A67F21" w:rsidRPr="00B12FE0" w:rsidRDefault="00000000">
            <w:pPr>
              <w:adjustRightInd w:val="0"/>
              <w:snapToGrid w:val="0"/>
              <w:jc w:val="center"/>
              <w:rPr>
                <w:bCs/>
                <w:color w:val="000000" w:themeColor="text1"/>
                <w:kern w:val="0"/>
                <w:sz w:val="21"/>
                <w:szCs w:val="21"/>
              </w:rPr>
            </w:pPr>
            <w:r w:rsidRPr="00B12FE0">
              <w:rPr>
                <w:rFonts w:ascii="宋体" w:hAnsi="宋体"/>
                <w:bCs/>
                <w:color w:val="000000" w:themeColor="text1"/>
                <w:kern w:val="0"/>
                <w:sz w:val="21"/>
                <w:szCs w:val="21"/>
              </w:rPr>
              <w:t>使用</w:t>
            </w:r>
            <w:r w:rsidRPr="00B12FE0">
              <w:rPr>
                <w:rFonts w:eastAsia="楷体_GB2312"/>
                <w:bCs/>
                <w:color w:val="000000" w:themeColor="text1"/>
                <w:sz w:val="21"/>
                <w:szCs w:val="21"/>
                <w:vertAlign w:val="superscript"/>
              </w:rPr>
              <w:t>131</w:t>
            </w:r>
            <w:r w:rsidRPr="00B12FE0">
              <w:rPr>
                <w:rFonts w:eastAsia="楷体_GB2312"/>
                <w:bCs/>
                <w:color w:val="000000" w:themeColor="text1"/>
                <w:sz w:val="21"/>
                <w:szCs w:val="21"/>
              </w:rPr>
              <w:t>I</w:t>
            </w:r>
            <w:r w:rsidRPr="00B12FE0">
              <w:rPr>
                <w:rFonts w:ascii="宋体" w:hAnsi="宋体"/>
                <w:bCs/>
                <w:color w:val="000000" w:themeColor="text1"/>
                <w:kern w:val="0"/>
                <w:sz w:val="21"/>
                <w:szCs w:val="21"/>
              </w:rPr>
              <w:t>核素</w:t>
            </w:r>
            <w:proofErr w:type="gramStart"/>
            <w:r w:rsidRPr="00B12FE0">
              <w:rPr>
                <w:rFonts w:ascii="宋体" w:hAnsi="宋体"/>
                <w:bCs/>
                <w:color w:val="000000" w:themeColor="text1"/>
                <w:kern w:val="0"/>
                <w:sz w:val="21"/>
                <w:szCs w:val="21"/>
              </w:rPr>
              <w:t>进行甲癌治疗</w:t>
            </w:r>
            <w:proofErr w:type="gramEnd"/>
          </w:p>
        </w:tc>
        <w:tc>
          <w:tcPr>
            <w:tcW w:w="884" w:type="dxa"/>
            <w:tcBorders>
              <w:top w:val="nil"/>
              <w:left w:val="nil"/>
              <w:bottom w:val="single" w:sz="4" w:space="0" w:color="auto"/>
              <w:right w:val="single" w:sz="4" w:space="0" w:color="auto"/>
            </w:tcBorders>
            <w:vAlign w:val="center"/>
          </w:tcPr>
          <w:p w14:paraId="70680987" w14:textId="77777777" w:rsidR="00A67F21" w:rsidRPr="00B12FE0" w:rsidRDefault="00000000">
            <w:pPr>
              <w:widowControl/>
              <w:jc w:val="center"/>
              <w:rPr>
                <w:color w:val="000000" w:themeColor="text1"/>
                <w:kern w:val="0"/>
                <w:sz w:val="21"/>
                <w:szCs w:val="21"/>
              </w:rPr>
            </w:pPr>
            <w:r w:rsidRPr="00B12FE0">
              <w:rPr>
                <w:rFonts w:ascii="宋体" w:hAnsi="宋体"/>
                <w:color w:val="000000" w:themeColor="text1"/>
                <w:kern w:val="0"/>
                <w:sz w:val="21"/>
                <w:szCs w:val="21"/>
              </w:rPr>
              <w:t>乙级</w:t>
            </w:r>
          </w:p>
        </w:tc>
        <w:tc>
          <w:tcPr>
            <w:tcW w:w="1128" w:type="dxa"/>
            <w:tcBorders>
              <w:top w:val="nil"/>
              <w:left w:val="nil"/>
              <w:bottom w:val="single" w:sz="4" w:space="0" w:color="auto"/>
              <w:right w:val="single" w:sz="4" w:space="0" w:color="auto"/>
            </w:tcBorders>
            <w:vAlign w:val="center"/>
          </w:tcPr>
          <w:p w14:paraId="62426B90" w14:textId="77777777" w:rsidR="00A67F21" w:rsidRPr="00B12FE0" w:rsidRDefault="00000000">
            <w:pPr>
              <w:widowControl/>
              <w:jc w:val="left"/>
              <w:rPr>
                <w:color w:val="000000" w:themeColor="text1"/>
                <w:kern w:val="0"/>
                <w:sz w:val="21"/>
                <w:szCs w:val="21"/>
              </w:rPr>
            </w:pPr>
            <w:r w:rsidRPr="00B12FE0">
              <w:rPr>
                <w:rFonts w:ascii="宋体" w:hAnsi="宋体"/>
                <w:color w:val="000000" w:themeColor="text1"/>
                <w:kern w:val="0"/>
                <w:sz w:val="21"/>
                <w:szCs w:val="21"/>
              </w:rPr>
              <w:t>附图</w:t>
            </w:r>
            <w:r w:rsidRPr="00B12FE0">
              <w:rPr>
                <w:color w:val="000000" w:themeColor="text1"/>
                <w:kern w:val="0"/>
                <w:sz w:val="21"/>
                <w:szCs w:val="21"/>
              </w:rPr>
              <w:t>8</w:t>
            </w:r>
          </w:p>
        </w:tc>
      </w:tr>
    </w:tbl>
    <w:p w14:paraId="1AD37764" w14:textId="77777777" w:rsidR="00A67F21" w:rsidRPr="00B12FE0" w:rsidRDefault="00000000">
      <w:pPr>
        <w:adjustRightInd w:val="0"/>
        <w:snapToGrid w:val="0"/>
        <w:spacing w:line="360" w:lineRule="auto"/>
        <w:ind w:firstLineChars="200" w:firstLine="482"/>
        <w:jc w:val="left"/>
        <w:outlineLvl w:val="3"/>
        <w:rPr>
          <w:b/>
          <w:color w:val="000000" w:themeColor="text1"/>
          <w:szCs w:val="24"/>
        </w:rPr>
      </w:pPr>
      <w:r w:rsidRPr="00B12FE0">
        <w:rPr>
          <w:rFonts w:hint="eastAsia"/>
          <w:b/>
          <w:color w:val="000000" w:themeColor="text1"/>
          <w:szCs w:val="24"/>
        </w:rPr>
        <w:t>2</w:t>
      </w:r>
      <w:r w:rsidRPr="00B12FE0">
        <w:rPr>
          <w:rFonts w:hint="eastAsia"/>
          <w:b/>
          <w:color w:val="000000" w:themeColor="text1"/>
          <w:szCs w:val="24"/>
        </w:rPr>
        <w:t>、</w:t>
      </w:r>
      <w:r w:rsidRPr="00B12FE0">
        <w:rPr>
          <w:rFonts w:ascii="宋体" w:hAnsi="宋体"/>
          <w:b/>
          <w:color w:val="000000" w:themeColor="text1"/>
          <w:szCs w:val="24"/>
        </w:rPr>
        <w:t>放疗科</w:t>
      </w:r>
    </w:p>
    <w:p w14:paraId="3D97E6C2" w14:textId="77777777" w:rsidR="00A67F21" w:rsidRPr="00B12FE0" w:rsidRDefault="00000000">
      <w:pPr>
        <w:spacing w:line="360" w:lineRule="auto"/>
        <w:ind w:firstLineChars="200" w:firstLine="480"/>
        <w:rPr>
          <w:color w:val="000000" w:themeColor="text1"/>
          <w:szCs w:val="24"/>
        </w:rPr>
      </w:pPr>
      <w:r w:rsidRPr="00B12FE0">
        <w:rPr>
          <w:rFonts w:ascii="宋体" w:hAnsi="宋体"/>
          <w:bCs/>
          <w:color w:val="000000" w:themeColor="text1"/>
          <w:szCs w:val="24"/>
        </w:rPr>
        <w:t>放疗科位于肿瘤治疗中心</w:t>
      </w:r>
      <w:r w:rsidRPr="00B12FE0">
        <w:rPr>
          <w:rFonts w:ascii="宋体" w:hAnsi="宋体"/>
          <w:color w:val="000000" w:themeColor="text1"/>
          <w:szCs w:val="24"/>
        </w:rPr>
        <w:t>综合楼一层北侧。</w:t>
      </w:r>
    </w:p>
    <w:p w14:paraId="077C797F" w14:textId="77777777" w:rsidR="00A67F21" w:rsidRPr="00B12FE0" w:rsidRDefault="00000000">
      <w:pPr>
        <w:spacing w:line="360" w:lineRule="auto"/>
        <w:ind w:firstLineChars="200" w:firstLine="480"/>
        <w:rPr>
          <w:color w:val="000000" w:themeColor="text1"/>
          <w:szCs w:val="24"/>
        </w:rPr>
      </w:pPr>
      <w:r w:rsidRPr="00B12FE0">
        <w:rPr>
          <w:rFonts w:ascii="宋体" w:hAnsi="宋体"/>
          <w:color w:val="000000" w:themeColor="text1"/>
          <w:szCs w:val="24"/>
        </w:rPr>
        <w:t>（</w:t>
      </w:r>
      <w:r w:rsidRPr="00B12FE0">
        <w:rPr>
          <w:color w:val="000000" w:themeColor="text1"/>
          <w:szCs w:val="24"/>
        </w:rPr>
        <w:t>1</w:t>
      </w:r>
      <w:r w:rsidRPr="00B12FE0">
        <w:rPr>
          <w:rFonts w:ascii="宋体" w:hAnsi="宋体"/>
          <w:color w:val="000000" w:themeColor="text1"/>
          <w:szCs w:val="24"/>
        </w:rPr>
        <w:t>）建设内容及规模</w:t>
      </w:r>
    </w:p>
    <w:p w14:paraId="4D4DA885" w14:textId="77777777" w:rsidR="00A67F21" w:rsidRPr="00B12FE0" w:rsidRDefault="00000000">
      <w:pPr>
        <w:adjustRightInd w:val="0"/>
        <w:snapToGrid w:val="0"/>
        <w:spacing w:line="360" w:lineRule="auto"/>
        <w:ind w:firstLineChars="200" w:firstLine="480"/>
        <w:rPr>
          <w:color w:val="000000" w:themeColor="text1"/>
        </w:rPr>
      </w:pPr>
      <w:r w:rsidRPr="00B12FE0">
        <w:rPr>
          <w:rFonts w:ascii="宋体" w:hAnsi="宋体"/>
          <w:color w:val="000000" w:themeColor="text1"/>
          <w:szCs w:val="24"/>
        </w:rPr>
        <w:t>在北侧</w:t>
      </w:r>
      <w:r w:rsidRPr="00B12FE0">
        <w:rPr>
          <w:rFonts w:ascii="宋体" w:hAnsi="宋体"/>
          <w:bCs/>
          <w:color w:val="000000" w:themeColor="text1"/>
          <w:szCs w:val="24"/>
        </w:rPr>
        <w:t>建设</w:t>
      </w:r>
      <w:r w:rsidRPr="00B12FE0">
        <w:rPr>
          <w:rFonts w:hint="eastAsia"/>
          <w:bCs/>
          <w:color w:val="000000" w:themeColor="text1"/>
          <w:kern w:val="0"/>
          <w:szCs w:val="24"/>
        </w:rPr>
        <w:t>2</w:t>
      </w:r>
      <w:r w:rsidRPr="00B12FE0">
        <w:rPr>
          <w:bCs/>
          <w:color w:val="000000" w:themeColor="text1"/>
          <w:kern w:val="0"/>
          <w:szCs w:val="24"/>
        </w:rPr>
        <w:t>间加速器机房</w:t>
      </w:r>
      <w:r w:rsidRPr="00B12FE0">
        <w:rPr>
          <w:rFonts w:hint="eastAsia"/>
          <w:bCs/>
          <w:color w:val="000000" w:themeColor="text1"/>
          <w:kern w:val="0"/>
          <w:szCs w:val="24"/>
        </w:rPr>
        <w:t>（以下简称加速器机房</w:t>
      </w:r>
      <w:r w:rsidRPr="00B12FE0">
        <w:rPr>
          <w:rFonts w:hint="eastAsia"/>
          <w:bCs/>
          <w:color w:val="000000" w:themeColor="text1"/>
          <w:kern w:val="0"/>
          <w:szCs w:val="24"/>
        </w:rPr>
        <w:t>1</w:t>
      </w:r>
      <w:r w:rsidRPr="00B12FE0">
        <w:rPr>
          <w:bCs/>
          <w:color w:val="000000" w:themeColor="text1"/>
          <w:kern w:val="0"/>
          <w:szCs w:val="24"/>
        </w:rPr>
        <w:t>~</w:t>
      </w:r>
      <w:r w:rsidRPr="00B12FE0">
        <w:rPr>
          <w:rFonts w:hint="eastAsia"/>
          <w:bCs/>
          <w:color w:val="000000" w:themeColor="text1"/>
          <w:kern w:val="0"/>
          <w:szCs w:val="24"/>
        </w:rPr>
        <w:t>2</w:t>
      </w:r>
      <w:r w:rsidRPr="00B12FE0">
        <w:rPr>
          <w:rFonts w:hint="eastAsia"/>
          <w:bCs/>
          <w:color w:val="000000" w:themeColor="text1"/>
          <w:kern w:val="0"/>
          <w:szCs w:val="24"/>
        </w:rPr>
        <w:t>）、</w:t>
      </w:r>
      <w:r w:rsidRPr="00B12FE0">
        <w:rPr>
          <w:bCs/>
          <w:color w:val="000000" w:themeColor="text1"/>
          <w:kern w:val="0"/>
          <w:szCs w:val="24"/>
        </w:rPr>
        <w:t>1</w:t>
      </w:r>
      <w:r w:rsidRPr="00B12FE0">
        <w:rPr>
          <w:bCs/>
          <w:color w:val="000000" w:themeColor="text1"/>
          <w:kern w:val="0"/>
          <w:szCs w:val="24"/>
        </w:rPr>
        <w:t>间后装机机房和</w:t>
      </w:r>
      <w:r w:rsidRPr="00B12FE0">
        <w:rPr>
          <w:bCs/>
          <w:color w:val="000000" w:themeColor="text1"/>
          <w:kern w:val="0"/>
          <w:szCs w:val="24"/>
        </w:rPr>
        <w:t>1</w:t>
      </w:r>
      <w:r w:rsidRPr="00B12FE0">
        <w:rPr>
          <w:bCs/>
          <w:color w:val="000000" w:themeColor="text1"/>
          <w:kern w:val="0"/>
          <w:szCs w:val="24"/>
        </w:rPr>
        <w:t>间模拟定位</w:t>
      </w:r>
      <w:r w:rsidRPr="00B12FE0">
        <w:rPr>
          <w:bCs/>
          <w:color w:val="000000" w:themeColor="text1"/>
          <w:kern w:val="0"/>
          <w:szCs w:val="24"/>
        </w:rPr>
        <w:t>CT</w:t>
      </w:r>
      <w:r w:rsidRPr="00B12FE0">
        <w:rPr>
          <w:bCs/>
          <w:color w:val="000000" w:themeColor="text1"/>
          <w:kern w:val="0"/>
          <w:szCs w:val="24"/>
        </w:rPr>
        <w:t>机房及配套附属用房，购置</w:t>
      </w:r>
      <w:r w:rsidRPr="00B12FE0">
        <w:rPr>
          <w:rFonts w:hint="eastAsia"/>
          <w:bCs/>
          <w:color w:val="000000" w:themeColor="text1"/>
          <w:kern w:val="0"/>
          <w:szCs w:val="24"/>
        </w:rPr>
        <w:t>2</w:t>
      </w:r>
      <w:r w:rsidRPr="00B12FE0">
        <w:rPr>
          <w:bCs/>
          <w:color w:val="000000" w:themeColor="text1"/>
          <w:kern w:val="0"/>
          <w:szCs w:val="24"/>
        </w:rPr>
        <w:t>台电子直线加速器</w:t>
      </w:r>
      <w:r w:rsidRPr="00B12FE0">
        <w:rPr>
          <w:rFonts w:ascii="宋体" w:hAnsi="宋体"/>
          <w:bCs/>
          <w:color w:val="000000" w:themeColor="text1"/>
          <w:szCs w:val="24"/>
        </w:rPr>
        <w:t>（以下简称</w:t>
      </w:r>
      <w:r w:rsidRPr="00B12FE0">
        <w:rPr>
          <w:bCs/>
          <w:color w:val="000000" w:themeColor="text1"/>
          <w:szCs w:val="24"/>
        </w:rPr>
        <w:t>“</w:t>
      </w:r>
      <w:r w:rsidRPr="00B12FE0">
        <w:rPr>
          <w:rFonts w:ascii="宋体" w:hAnsi="宋体"/>
          <w:bCs/>
          <w:color w:val="000000" w:themeColor="text1"/>
          <w:szCs w:val="24"/>
        </w:rPr>
        <w:t>直线加速器</w:t>
      </w:r>
      <w:r w:rsidRPr="00B12FE0">
        <w:rPr>
          <w:bCs/>
          <w:color w:val="000000" w:themeColor="text1"/>
          <w:szCs w:val="24"/>
        </w:rPr>
        <w:t>”</w:t>
      </w:r>
      <w:r w:rsidRPr="00B12FE0">
        <w:rPr>
          <w:rFonts w:ascii="宋体" w:hAnsi="宋体" w:hint="eastAsia"/>
          <w:bCs/>
          <w:color w:val="000000" w:themeColor="text1"/>
          <w:szCs w:val="24"/>
        </w:rPr>
        <w:t>，</w:t>
      </w:r>
      <w:r w:rsidRPr="00B12FE0">
        <w:rPr>
          <w:rFonts w:hint="eastAsia"/>
          <w:color w:val="000000" w:themeColor="text1"/>
          <w:szCs w:val="24"/>
        </w:rPr>
        <w:t>X</w:t>
      </w:r>
      <w:r w:rsidRPr="00B12FE0">
        <w:rPr>
          <w:rFonts w:ascii="宋体" w:hAnsi="宋体" w:hint="eastAsia"/>
          <w:color w:val="000000" w:themeColor="text1"/>
          <w:szCs w:val="24"/>
        </w:rPr>
        <w:t>射线最大能量为</w:t>
      </w:r>
      <w:r w:rsidRPr="00B12FE0">
        <w:rPr>
          <w:rFonts w:hint="eastAsia"/>
          <w:color w:val="000000" w:themeColor="text1"/>
          <w:szCs w:val="24"/>
        </w:rPr>
        <w:t>15</w:t>
      </w:r>
      <w:r w:rsidRPr="00B12FE0">
        <w:rPr>
          <w:color w:val="000000" w:themeColor="text1"/>
          <w:szCs w:val="24"/>
        </w:rPr>
        <w:t>MV</w:t>
      </w:r>
      <w:r w:rsidRPr="00B12FE0">
        <w:rPr>
          <w:rFonts w:ascii="宋体" w:hAnsi="宋体" w:hint="eastAsia"/>
          <w:color w:val="000000" w:themeColor="text1"/>
          <w:szCs w:val="24"/>
        </w:rPr>
        <w:t>，电子线最大能量为</w:t>
      </w:r>
      <w:r w:rsidRPr="00B12FE0">
        <w:rPr>
          <w:color w:val="000000" w:themeColor="text1"/>
          <w:szCs w:val="24"/>
        </w:rPr>
        <w:t>22MeV</w:t>
      </w:r>
      <w:r w:rsidRPr="00B12FE0">
        <w:rPr>
          <w:rFonts w:ascii="宋体" w:hAnsi="宋体" w:hint="eastAsia"/>
          <w:color w:val="000000" w:themeColor="text1"/>
          <w:szCs w:val="24"/>
        </w:rPr>
        <w:t>，属</w:t>
      </w:r>
      <w:r w:rsidRPr="00B12FE0">
        <w:rPr>
          <w:rFonts w:hint="eastAsia"/>
          <w:color w:val="000000" w:themeColor="text1"/>
          <w:szCs w:val="24"/>
        </w:rPr>
        <w:t>II</w:t>
      </w:r>
      <w:r w:rsidRPr="00B12FE0">
        <w:rPr>
          <w:rFonts w:ascii="宋体" w:hAnsi="宋体" w:hint="eastAsia"/>
          <w:color w:val="000000" w:themeColor="text1"/>
          <w:szCs w:val="24"/>
        </w:rPr>
        <w:t>类射线装置，</w:t>
      </w:r>
      <w:r w:rsidRPr="00B12FE0">
        <w:rPr>
          <w:color w:val="000000" w:themeColor="text1"/>
        </w:rPr>
        <w:t>每台加速器</w:t>
      </w:r>
      <w:r w:rsidRPr="00B12FE0">
        <w:rPr>
          <w:color w:val="000000" w:themeColor="text1"/>
          <w:szCs w:val="24"/>
        </w:rPr>
        <w:t>配套使用</w:t>
      </w:r>
      <w:r w:rsidRPr="00B12FE0">
        <w:rPr>
          <w:color w:val="000000" w:themeColor="text1"/>
          <w:szCs w:val="24"/>
        </w:rPr>
        <w:t>1</w:t>
      </w:r>
      <w:r w:rsidRPr="00B12FE0">
        <w:rPr>
          <w:color w:val="000000" w:themeColor="text1"/>
          <w:szCs w:val="24"/>
        </w:rPr>
        <w:t>套锥形束</w:t>
      </w:r>
      <w:r w:rsidRPr="00B12FE0">
        <w:rPr>
          <w:color w:val="000000" w:themeColor="text1"/>
          <w:szCs w:val="24"/>
        </w:rPr>
        <w:t>CT</w:t>
      </w:r>
      <w:r w:rsidRPr="00B12FE0">
        <w:rPr>
          <w:color w:val="000000" w:themeColor="text1"/>
          <w:szCs w:val="24"/>
        </w:rPr>
        <w:t>（</w:t>
      </w:r>
      <w:r w:rsidRPr="00B12FE0">
        <w:rPr>
          <w:color w:val="000000" w:themeColor="text1"/>
          <w:szCs w:val="24"/>
        </w:rPr>
        <w:t>CBCT</w:t>
      </w:r>
      <w:r w:rsidRPr="00B12FE0">
        <w:rPr>
          <w:color w:val="000000" w:themeColor="text1"/>
          <w:szCs w:val="24"/>
        </w:rPr>
        <w:t>）影像引导设备，最大管电压</w:t>
      </w:r>
      <w:r w:rsidRPr="00B12FE0">
        <w:rPr>
          <w:color w:val="000000" w:themeColor="text1"/>
          <w:szCs w:val="24"/>
        </w:rPr>
        <w:t>150kV</w:t>
      </w:r>
      <w:r w:rsidRPr="00B12FE0">
        <w:rPr>
          <w:color w:val="000000" w:themeColor="text1"/>
          <w:szCs w:val="24"/>
        </w:rPr>
        <w:t>，最大管电流</w:t>
      </w:r>
      <w:r w:rsidRPr="00B12FE0">
        <w:rPr>
          <w:color w:val="000000" w:themeColor="text1"/>
          <w:szCs w:val="24"/>
        </w:rPr>
        <w:t>1000mA</w:t>
      </w:r>
      <w:r w:rsidRPr="00B12FE0">
        <w:rPr>
          <w:rFonts w:ascii="宋体" w:hAnsi="宋体" w:hint="eastAsia"/>
          <w:color w:val="000000" w:themeColor="text1"/>
          <w:szCs w:val="24"/>
        </w:rPr>
        <w:t>）</w:t>
      </w:r>
      <w:r w:rsidRPr="00B12FE0">
        <w:rPr>
          <w:bCs/>
          <w:color w:val="000000" w:themeColor="text1"/>
          <w:kern w:val="0"/>
          <w:szCs w:val="24"/>
        </w:rPr>
        <w:t>和</w:t>
      </w:r>
      <w:r w:rsidRPr="00B12FE0">
        <w:rPr>
          <w:bCs/>
          <w:color w:val="000000" w:themeColor="text1"/>
          <w:kern w:val="0"/>
          <w:szCs w:val="24"/>
        </w:rPr>
        <w:t>1</w:t>
      </w:r>
      <w:r w:rsidRPr="00B12FE0">
        <w:rPr>
          <w:bCs/>
          <w:color w:val="000000" w:themeColor="text1"/>
          <w:kern w:val="0"/>
          <w:szCs w:val="24"/>
        </w:rPr>
        <w:t>台后装治疗机（拟使用</w:t>
      </w:r>
      <w:r w:rsidRPr="00B12FE0">
        <w:rPr>
          <w:bCs/>
          <w:color w:val="000000" w:themeColor="text1"/>
          <w:kern w:val="0"/>
          <w:szCs w:val="24"/>
        </w:rPr>
        <w:t>1</w:t>
      </w:r>
      <w:r w:rsidRPr="00B12FE0">
        <w:rPr>
          <w:bCs/>
          <w:color w:val="000000" w:themeColor="text1"/>
          <w:kern w:val="0"/>
          <w:szCs w:val="24"/>
        </w:rPr>
        <w:t>枚出厂活度为</w:t>
      </w:r>
      <w:r w:rsidRPr="00B12FE0">
        <w:rPr>
          <w:color w:val="000000" w:themeColor="text1"/>
        </w:rPr>
        <w:t>3.70</w:t>
      </w:r>
      <w:r w:rsidRPr="00B12FE0">
        <w:rPr>
          <w:color w:val="000000" w:themeColor="text1"/>
        </w:rPr>
        <w:sym w:font="Symbol" w:char="F0B4"/>
      </w:r>
      <w:r w:rsidRPr="00B12FE0">
        <w:rPr>
          <w:bCs/>
          <w:color w:val="000000" w:themeColor="text1"/>
          <w:kern w:val="0"/>
          <w:szCs w:val="24"/>
        </w:rPr>
        <w:t>10</w:t>
      </w:r>
      <w:r w:rsidRPr="00B12FE0">
        <w:rPr>
          <w:bCs/>
          <w:color w:val="000000" w:themeColor="text1"/>
          <w:kern w:val="0"/>
          <w:szCs w:val="24"/>
          <w:vertAlign w:val="superscript"/>
        </w:rPr>
        <w:t>11</w:t>
      </w:r>
      <w:r w:rsidRPr="00B12FE0">
        <w:rPr>
          <w:bCs/>
          <w:color w:val="000000" w:themeColor="text1"/>
          <w:kern w:val="0"/>
          <w:szCs w:val="24"/>
        </w:rPr>
        <w:t>Bq</w:t>
      </w:r>
      <w:r w:rsidRPr="00B12FE0">
        <w:rPr>
          <w:bCs/>
          <w:color w:val="000000" w:themeColor="text1"/>
          <w:kern w:val="0"/>
          <w:szCs w:val="24"/>
        </w:rPr>
        <w:t>的</w:t>
      </w:r>
      <w:r w:rsidRPr="00B12FE0">
        <w:rPr>
          <w:bCs/>
          <w:color w:val="000000" w:themeColor="text1"/>
          <w:kern w:val="0"/>
          <w:szCs w:val="24"/>
          <w:vertAlign w:val="superscript"/>
        </w:rPr>
        <w:t>192</w:t>
      </w:r>
      <w:r w:rsidRPr="00B12FE0">
        <w:rPr>
          <w:bCs/>
          <w:color w:val="000000" w:themeColor="text1"/>
          <w:kern w:val="0"/>
          <w:szCs w:val="24"/>
        </w:rPr>
        <w:t>Ir</w:t>
      </w:r>
      <w:r w:rsidRPr="00B12FE0">
        <w:rPr>
          <w:bCs/>
          <w:color w:val="000000" w:themeColor="text1"/>
          <w:kern w:val="0"/>
          <w:szCs w:val="24"/>
        </w:rPr>
        <w:t>放射源），</w:t>
      </w:r>
      <w:r w:rsidRPr="00B12FE0">
        <w:rPr>
          <w:rFonts w:ascii="宋体" w:hAnsi="宋体" w:hint="eastAsia"/>
          <w:bCs/>
          <w:color w:val="000000" w:themeColor="text1"/>
          <w:kern w:val="0"/>
          <w:szCs w:val="24"/>
        </w:rPr>
        <w:t>开展放射治疗</w:t>
      </w:r>
      <w:r w:rsidRPr="00B12FE0">
        <w:rPr>
          <w:bCs/>
          <w:color w:val="000000" w:themeColor="text1"/>
          <w:kern w:val="0"/>
          <w:szCs w:val="24"/>
        </w:rPr>
        <w:t>；购置一台模拟定位</w:t>
      </w:r>
      <w:r w:rsidRPr="00B12FE0">
        <w:rPr>
          <w:bCs/>
          <w:color w:val="000000" w:themeColor="text1"/>
          <w:kern w:val="0"/>
          <w:szCs w:val="24"/>
        </w:rPr>
        <w:t>CT</w:t>
      </w:r>
      <w:r w:rsidRPr="00B12FE0">
        <w:rPr>
          <w:bCs/>
          <w:color w:val="000000" w:themeColor="text1"/>
          <w:kern w:val="0"/>
          <w:szCs w:val="24"/>
        </w:rPr>
        <w:t>机进行模拟定位</w:t>
      </w:r>
      <w:r w:rsidRPr="00B12FE0">
        <w:rPr>
          <w:rFonts w:hint="eastAsia"/>
          <w:bCs/>
          <w:color w:val="000000" w:themeColor="text1"/>
          <w:kern w:val="0"/>
          <w:szCs w:val="24"/>
        </w:rPr>
        <w:t>（</w:t>
      </w:r>
      <w:r w:rsidRPr="00B12FE0">
        <w:rPr>
          <w:bCs/>
          <w:color w:val="000000" w:themeColor="text1"/>
          <w:kern w:val="0"/>
          <w:szCs w:val="24"/>
        </w:rPr>
        <w:t>最大管电压</w:t>
      </w:r>
      <w:r w:rsidRPr="00B12FE0">
        <w:rPr>
          <w:rFonts w:hint="eastAsia"/>
          <w:bCs/>
          <w:color w:val="000000" w:themeColor="text1"/>
          <w:kern w:val="0"/>
          <w:szCs w:val="24"/>
        </w:rPr>
        <w:t>14</w:t>
      </w:r>
      <w:r w:rsidRPr="00B12FE0">
        <w:rPr>
          <w:bCs/>
          <w:color w:val="000000" w:themeColor="text1"/>
          <w:kern w:val="0"/>
          <w:szCs w:val="24"/>
        </w:rPr>
        <w:t>0kV</w:t>
      </w:r>
      <w:r w:rsidRPr="00B12FE0">
        <w:rPr>
          <w:bCs/>
          <w:color w:val="000000" w:themeColor="text1"/>
          <w:kern w:val="0"/>
          <w:szCs w:val="24"/>
        </w:rPr>
        <w:t>，最大管电流</w:t>
      </w:r>
      <w:r w:rsidRPr="00B12FE0">
        <w:rPr>
          <w:rFonts w:hint="eastAsia"/>
          <w:bCs/>
          <w:color w:val="000000" w:themeColor="text1"/>
          <w:kern w:val="0"/>
          <w:szCs w:val="24"/>
        </w:rPr>
        <w:t>10</w:t>
      </w:r>
      <w:r w:rsidRPr="00B12FE0">
        <w:rPr>
          <w:bCs/>
          <w:color w:val="000000" w:themeColor="text1"/>
          <w:kern w:val="0"/>
          <w:szCs w:val="24"/>
        </w:rPr>
        <w:t>00mA</w:t>
      </w:r>
      <w:r w:rsidRPr="00B12FE0">
        <w:rPr>
          <w:bCs/>
          <w:color w:val="000000" w:themeColor="text1"/>
          <w:kern w:val="0"/>
          <w:szCs w:val="24"/>
        </w:rPr>
        <w:t>，属于</w:t>
      </w:r>
      <w:r w:rsidRPr="00B12FE0">
        <w:rPr>
          <w:bCs/>
          <w:color w:val="000000" w:themeColor="text1"/>
          <w:kern w:val="0"/>
          <w:szCs w:val="24"/>
        </w:rPr>
        <w:t>III</w:t>
      </w:r>
      <w:r w:rsidRPr="00B12FE0">
        <w:rPr>
          <w:bCs/>
          <w:color w:val="000000" w:themeColor="text1"/>
          <w:kern w:val="0"/>
          <w:szCs w:val="24"/>
        </w:rPr>
        <w:t>类射线装置</w:t>
      </w:r>
      <w:r w:rsidRPr="00B12FE0">
        <w:rPr>
          <w:rFonts w:hint="eastAsia"/>
          <w:bCs/>
          <w:color w:val="000000" w:themeColor="text1"/>
          <w:kern w:val="0"/>
          <w:szCs w:val="24"/>
        </w:rPr>
        <w:t>）</w:t>
      </w:r>
      <w:r w:rsidRPr="00B12FE0">
        <w:rPr>
          <w:bCs/>
          <w:color w:val="000000" w:themeColor="text1"/>
          <w:kern w:val="0"/>
          <w:szCs w:val="24"/>
        </w:rPr>
        <w:t>。</w:t>
      </w:r>
    </w:p>
    <w:p w14:paraId="3746D6AD" w14:textId="77777777" w:rsidR="00A67F21" w:rsidRPr="00B12FE0" w:rsidRDefault="00000000">
      <w:pPr>
        <w:adjustRightInd w:val="0"/>
        <w:snapToGrid w:val="0"/>
        <w:spacing w:line="360" w:lineRule="auto"/>
        <w:ind w:firstLine="480"/>
        <w:rPr>
          <w:bCs/>
          <w:color w:val="000000" w:themeColor="text1"/>
          <w:szCs w:val="24"/>
        </w:rPr>
      </w:pPr>
      <w:r w:rsidRPr="00B12FE0">
        <w:rPr>
          <w:rFonts w:ascii="宋体" w:hAnsi="宋体"/>
          <w:bCs/>
          <w:color w:val="000000" w:themeColor="text1"/>
          <w:szCs w:val="24"/>
        </w:rPr>
        <w:t>本项目放疗</w:t>
      </w:r>
      <w:proofErr w:type="gramStart"/>
      <w:r w:rsidRPr="00B12FE0">
        <w:rPr>
          <w:rFonts w:ascii="宋体" w:hAnsi="宋体"/>
          <w:bCs/>
          <w:color w:val="000000" w:themeColor="text1"/>
          <w:szCs w:val="24"/>
        </w:rPr>
        <w:t>科建设</w:t>
      </w:r>
      <w:proofErr w:type="gramEnd"/>
      <w:r w:rsidRPr="00B12FE0">
        <w:rPr>
          <w:rFonts w:ascii="宋体" w:hAnsi="宋体"/>
          <w:bCs/>
          <w:color w:val="000000" w:themeColor="text1"/>
          <w:szCs w:val="24"/>
        </w:rPr>
        <w:t>内容及规模一览表见表</w:t>
      </w:r>
      <w:r w:rsidRPr="00B12FE0">
        <w:rPr>
          <w:bCs/>
          <w:color w:val="000000" w:themeColor="text1"/>
          <w:szCs w:val="24"/>
        </w:rPr>
        <w:t>1.1-5</w:t>
      </w:r>
      <w:r w:rsidRPr="00B12FE0">
        <w:rPr>
          <w:rFonts w:ascii="宋体" w:hAnsi="宋体" w:hint="eastAsia"/>
          <w:bCs/>
          <w:color w:val="000000" w:themeColor="text1"/>
          <w:szCs w:val="24"/>
        </w:rPr>
        <w:t>。</w:t>
      </w:r>
    </w:p>
    <w:p w14:paraId="33A674F4" w14:textId="77777777" w:rsidR="00A67F21" w:rsidRPr="00B12FE0" w:rsidRDefault="00000000">
      <w:pPr>
        <w:spacing w:line="360" w:lineRule="auto"/>
        <w:ind w:firstLineChars="200" w:firstLine="422"/>
        <w:contextualSpacing/>
        <w:jc w:val="center"/>
        <w:rPr>
          <w:color w:val="000000" w:themeColor="text1"/>
          <w:kern w:val="0"/>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1.1-5  </w:t>
      </w:r>
      <w:r w:rsidRPr="00B12FE0">
        <w:rPr>
          <w:rFonts w:ascii="宋体" w:hAnsi="宋体"/>
          <w:b/>
          <w:color w:val="000000" w:themeColor="text1"/>
          <w:sz w:val="21"/>
          <w:szCs w:val="21"/>
        </w:rPr>
        <w:t>放疗</w:t>
      </w:r>
      <w:proofErr w:type="gramStart"/>
      <w:r w:rsidRPr="00B12FE0">
        <w:rPr>
          <w:rFonts w:ascii="宋体" w:hAnsi="宋体"/>
          <w:b/>
          <w:color w:val="000000" w:themeColor="text1"/>
          <w:sz w:val="21"/>
          <w:szCs w:val="21"/>
        </w:rPr>
        <w:t>科建设</w:t>
      </w:r>
      <w:proofErr w:type="gramEnd"/>
      <w:r w:rsidRPr="00B12FE0">
        <w:rPr>
          <w:rFonts w:ascii="宋体" w:hAnsi="宋体"/>
          <w:b/>
          <w:color w:val="000000" w:themeColor="text1"/>
          <w:sz w:val="21"/>
          <w:szCs w:val="21"/>
        </w:rPr>
        <w:t>内容及规模一览表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593"/>
        <w:gridCol w:w="593"/>
        <w:gridCol w:w="593"/>
        <w:gridCol w:w="3016"/>
        <w:gridCol w:w="1687"/>
        <w:gridCol w:w="1094"/>
      </w:tblGrid>
      <w:tr w:rsidR="00A67F21" w:rsidRPr="00B12FE0" w14:paraId="5EB71570" w14:textId="77777777">
        <w:trPr>
          <w:trHeight w:val="454"/>
          <w:jc w:val="center"/>
        </w:trPr>
        <w:tc>
          <w:tcPr>
            <w:tcW w:w="0" w:type="auto"/>
            <w:vAlign w:val="center"/>
          </w:tcPr>
          <w:p w14:paraId="13E180C5" w14:textId="77777777" w:rsidR="00A67F21" w:rsidRPr="00B12FE0" w:rsidRDefault="00000000">
            <w:pPr>
              <w:widowControl/>
              <w:adjustRightInd w:val="0"/>
              <w:snapToGrid w:val="0"/>
              <w:jc w:val="center"/>
              <w:rPr>
                <w:color w:val="000000" w:themeColor="text1"/>
                <w:kern w:val="0"/>
                <w:sz w:val="21"/>
                <w:szCs w:val="21"/>
              </w:rPr>
            </w:pPr>
            <w:r w:rsidRPr="00B12FE0">
              <w:rPr>
                <w:rFonts w:ascii="宋体" w:hAnsi="宋体" w:hint="eastAsia"/>
                <w:color w:val="000000" w:themeColor="text1"/>
                <w:kern w:val="0"/>
                <w:sz w:val="21"/>
                <w:szCs w:val="21"/>
              </w:rPr>
              <w:lastRenderedPageBreak/>
              <w:t>装置名称</w:t>
            </w:r>
          </w:p>
        </w:tc>
        <w:tc>
          <w:tcPr>
            <w:tcW w:w="0" w:type="auto"/>
            <w:vAlign w:val="center"/>
          </w:tcPr>
          <w:p w14:paraId="4D15CE06" w14:textId="77777777" w:rsidR="00A67F21" w:rsidRPr="00B12FE0" w:rsidRDefault="00000000">
            <w:pPr>
              <w:adjustRightInd w:val="0"/>
              <w:snapToGrid w:val="0"/>
              <w:jc w:val="center"/>
              <w:rPr>
                <w:color w:val="000000" w:themeColor="text1"/>
                <w:kern w:val="0"/>
                <w:sz w:val="21"/>
                <w:szCs w:val="21"/>
              </w:rPr>
            </w:pPr>
            <w:r w:rsidRPr="00B12FE0">
              <w:rPr>
                <w:rFonts w:ascii="宋体" w:hAnsi="宋体" w:hint="eastAsia"/>
                <w:color w:val="000000" w:themeColor="text1"/>
                <w:kern w:val="0"/>
                <w:sz w:val="21"/>
                <w:szCs w:val="21"/>
              </w:rPr>
              <w:t>型号</w:t>
            </w:r>
          </w:p>
        </w:tc>
        <w:tc>
          <w:tcPr>
            <w:tcW w:w="0" w:type="auto"/>
            <w:vAlign w:val="center"/>
          </w:tcPr>
          <w:p w14:paraId="588D8875" w14:textId="77777777" w:rsidR="00A67F21" w:rsidRPr="00B12FE0" w:rsidRDefault="00000000">
            <w:pPr>
              <w:adjustRightInd w:val="0"/>
              <w:snapToGrid w:val="0"/>
              <w:jc w:val="center"/>
              <w:rPr>
                <w:color w:val="000000" w:themeColor="text1"/>
                <w:kern w:val="0"/>
                <w:sz w:val="21"/>
                <w:szCs w:val="21"/>
              </w:rPr>
            </w:pPr>
            <w:r w:rsidRPr="00B12FE0">
              <w:rPr>
                <w:rFonts w:ascii="宋体" w:hAnsi="宋体" w:hint="eastAsia"/>
                <w:color w:val="000000" w:themeColor="text1"/>
                <w:kern w:val="0"/>
                <w:sz w:val="21"/>
                <w:szCs w:val="21"/>
              </w:rPr>
              <w:t>类别</w:t>
            </w:r>
          </w:p>
        </w:tc>
        <w:tc>
          <w:tcPr>
            <w:tcW w:w="0" w:type="auto"/>
            <w:vAlign w:val="center"/>
          </w:tcPr>
          <w:p w14:paraId="48B8C6E5" w14:textId="77777777" w:rsidR="00A67F21" w:rsidRPr="00B12FE0" w:rsidRDefault="00000000">
            <w:pPr>
              <w:adjustRightInd w:val="0"/>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数量</w:t>
            </w:r>
          </w:p>
        </w:tc>
        <w:tc>
          <w:tcPr>
            <w:tcW w:w="3016" w:type="dxa"/>
            <w:vAlign w:val="center"/>
          </w:tcPr>
          <w:p w14:paraId="73B32996" w14:textId="77777777" w:rsidR="00A67F21" w:rsidRPr="00B12FE0" w:rsidRDefault="00000000">
            <w:pPr>
              <w:adjustRightInd w:val="0"/>
              <w:snapToGrid w:val="0"/>
              <w:jc w:val="center"/>
              <w:rPr>
                <w:color w:val="000000" w:themeColor="text1"/>
                <w:kern w:val="0"/>
                <w:sz w:val="21"/>
                <w:szCs w:val="21"/>
              </w:rPr>
            </w:pPr>
            <w:r w:rsidRPr="00B12FE0">
              <w:rPr>
                <w:rFonts w:ascii="宋体" w:hAnsi="宋体" w:hint="eastAsia"/>
                <w:color w:val="000000" w:themeColor="text1"/>
                <w:kern w:val="0"/>
                <w:sz w:val="21"/>
                <w:szCs w:val="21"/>
              </w:rPr>
              <w:t>最大能量</w:t>
            </w:r>
          </w:p>
        </w:tc>
        <w:tc>
          <w:tcPr>
            <w:tcW w:w="1687" w:type="dxa"/>
            <w:vAlign w:val="center"/>
          </w:tcPr>
          <w:p w14:paraId="3B4F5CFF" w14:textId="77777777" w:rsidR="00A67F21" w:rsidRPr="00B12FE0" w:rsidRDefault="00000000">
            <w:pPr>
              <w:adjustRightInd w:val="0"/>
              <w:snapToGrid w:val="0"/>
              <w:jc w:val="center"/>
              <w:rPr>
                <w:color w:val="000000" w:themeColor="text1"/>
                <w:kern w:val="0"/>
                <w:sz w:val="21"/>
                <w:szCs w:val="21"/>
              </w:rPr>
            </w:pPr>
            <w:r w:rsidRPr="00B12FE0">
              <w:rPr>
                <w:rFonts w:ascii="宋体" w:hAnsi="宋体" w:hint="eastAsia"/>
                <w:color w:val="000000" w:themeColor="text1"/>
                <w:kern w:val="0"/>
                <w:sz w:val="21"/>
                <w:szCs w:val="21"/>
              </w:rPr>
              <w:t>工作场所名称</w:t>
            </w:r>
          </w:p>
        </w:tc>
        <w:tc>
          <w:tcPr>
            <w:tcW w:w="0" w:type="auto"/>
            <w:vAlign w:val="center"/>
          </w:tcPr>
          <w:p w14:paraId="6EAF8610"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位置示意图</w:t>
            </w:r>
          </w:p>
        </w:tc>
      </w:tr>
      <w:tr w:rsidR="00A67F21" w:rsidRPr="00B12FE0" w14:paraId="7ABEE32E" w14:textId="77777777">
        <w:trPr>
          <w:trHeight w:val="454"/>
          <w:jc w:val="center"/>
        </w:trPr>
        <w:tc>
          <w:tcPr>
            <w:tcW w:w="0" w:type="auto"/>
            <w:vAlign w:val="center"/>
          </w:tcPr>
          <w:p w14:paraId="30BE4CD2" w14:textId="77777777" w:rsidR="00A67F21" w:rsidRPr="00B12FE0" w:rsidRDefault="00000000">
            <w:pPr>
              <w:adjustRightInd w:val="0"/>
              <w:snapToGrid w:val="0"/>
              <w:rPr>
                <w:rFonts w:ascii="宋体" w:hAnsi="宋体" w:hint="eastAsia"/>
                <w:caps/>
                <w:color w:val="000000" w:themeColor="text1"/>
                <w:sz w:val="21"/>
                <w:szCs w:val="21"/>
              </w:rPr>
            </w:pPr>
            <w:r w:rsidRPr="00B12FE0">
              <w:rPr>
                <w:rFonts w:ascii="宋体" w:hAnsi="宋体" w:hint="eastAsia"/>
                <w:caps/>
                <w:color w:val="000000" w:themeColor="text1"/>
                <w:sz w:val="21"/>
                <w:szCs w:val="21"/>
              </w:rPr>
              <w:t>电子直线加速器</w:t>
            </w:r>
          </w:p>
          <w:p w14:paraId="0F95D3AF" w14:textId="77777777" w:rsidR="00A67F21" w:rsidRPr="00B12FE0" w:rsidRDefault="00A67F21">
            <w:pPr>
              <w:adjustRightInd w:val="0"/>
              <w:snapToGrid w:val="0"/>
              <w:rPr>
                <w:rFonts w:eastAsia="Times New Roman"/>
                <w:color w:val="000000" w:themeColor="text1"/>
                <w:kern w:val="0"/>
                <w:sz w:val="21"/>
                <w:szCs w:val="21"/>
              </w:rPr>
            </w:pPr>
          </w:p>
        </w:tc>
        <w:tc>
          <w:tcPr>
            <w:tcW w:w="0" w:type="auto"/>
            <w:vAlign w:val="center"/>
          </w:tcPr>
          <w:p w14:paraId="01E68751" w14:textId="77777777" w:rsidR="00A67F21" w:rsidRPr="00B12FE0" w:rsidRDefault="00000000">
            <w:pPr>
              <w:adjustRightInd w:val="0"/>
              <w:snapToGrid w:val="0"/>
              <w:jc w:val="center"/>
              <w:rPr>
                <w:color w:val="000000" w:themeColor="text1"/>
                <w:kern w:val="0"/>
                <w:sz w:val="21"/>
                <w:szCs w:val="21"/>
              </w:rPr>
            </w:pPr>
            <w:r w:rsidRPr="00B12FE0">
              <w:rPr>
                <w:rFonts w:ascii="宋体" w:hAnsi="宋体" w:hint="eastAsia"/>
                <w:color w:val="000000" w:themeColor="text1"/>
                <w:kern w:val="0"/>
                <w:sz w:val="21"/>
                <w:szCs w:val="21"/>
              </w:rPr>
              <w:t>待定</w:t>
            </w:r>
          </w:p>
        </w:tc>
        <w:tc>
          <w:tcPr>
            <w:tcW w:w="0" w:type="auto"/>
            <w:vAlign w:val="center"/>
          </w:tcPr>
          <w:p w14:paraId="03E1DE62" w14:textId="77777777" w:rsidR="00A67F21" w:rsidRPr="00B12FE0" w:rsidRDefault="00000000">
            <w:pPr>
              <w:adjustRightInd w:val="0"/>
              <w:snapToGrid w:val="0"/>
              <w:jc w:val="center"/>
              <w:rPr>
                <w:color w:val="000000" w:themeColor="text1"/>
                <w:sz w:val="21"/>
                <w:szCs w:val="21"/>
              </w:rPr>
            </w:pPr>
            <w:r w:rsidRPr="00B12FE0">
              <w:rPr>
                <w:bCs/>
                <w:color w:val="000000" w:themeColor="text1"/>
                <w:sz w:val="21"/>
                <w:szCs w:val="21"/>
              </w:rPr>
              <w:t>Ⅱ</w:t>
            </w:r>
            <w:r w:rsidRPr="00B12FE0">
              <w:rPr>
                <w:rFonts w:ascii="宋体" w:hAnsi="宋体" w:hint="eastAsia"/>
                <w:bCs/>
                <w:color w:val="000000" w:themeColor="text1"/>
                <w:sz w:val="21"/>
                <w:szCs w:val="21"/>
              </w:rPr>
              <w:t>类</w:t>
            </w:r>
          </w:p>
        </w:tc>
        <w:tc>
          <w:tcPr>
            <w:tcW w:w="0" w:type="auto"/>
            <w:vAlign w:val="center"/>
          </w:tcPr>
          <w:p w14:paraId="0B1D12AD"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2</w:t>
            </w:r>
            <w:r w:rsidRPr="00B12FE0">
              <w:rPr>
                <w:rFonts w:hint="eastAsia"/>
                <w:color w:val="000000" w:themeColor="text1"/>
                <w:sz w:val="21"/>
                <w:szCs w:val="21"/>
              </w:rPr>
              <w:t>台</w:t>
            </w:r>
          </w:p>
        </w:tc>
        <w:tc>
          <w:tcPr>
            <w:tcW w:w="3016" w:type="dxa"/>
            <w:vAlign w:val="center"/>
          </w:tcPr>
          <w:p w14:paraId="75621C60" w14:textId="77777777" w:rsidR="00A67F21" w:rsidRPr="00B12FE0" w:rsidRDefault="00000000">
            <w:pPr>
              <w:jc w:val="center"/>
              <w:rPr>
                <w:color w:val="000000" w:themeColor="text1"/>
                <w:sz w:val="21"/>
                <w:szCs w:val="21"/>
              </w:rPr>
            </w:pPr>
            <w:r w:rsidRPr="00B12FE0">
              <w:rPr>
                <w:color w:val="000000" w:themeColor="text1"/>
                <w:sz w:val="21"/>
                <w:szCs w:val="21"/>
              </w:rPr>
              <w:t>X</w:t>
            </w:r>
            <w:r w:rsidRPr="00B12FE0">
              <w:rPr>
                <w:rFonts w:ascii="宋体" w:hAnsi="宋体"/>
                <w:color w:val="000000" w:themeColor="text1"/>
                <w:sz w:val="21"/>
                <w:szCs w:val="21"/>
              </w:rPr>
              <w:t>射线：</w:t>
            </w:r>
            <w:r w:rsidRPr="00B12FE0">
              <w:rPr>
                <w:color w:val="000000" w:themeColor="text1"/>
                <w:sz w:val="21"/>
                <w:szCs w:val="21"/>
              </w:rPr>
              <w:t>15MV</w:t>
            </w:r>
            <w:r w:rsidRPr="00B12FE0">
              <w:rPr>
                <w:rFonts w:ascii="宋体" w:hAnsi="宋体"/>
                <w:color w:val="000000" w:themeColor="text1"/>
                <w:sz w:val="21"/>
                <w:szCs w:val="21"/>
              </w:rPr>
              <w:t>、</w:t>
            </w:r>
            <w:r w:rsidRPr="00B12FE0">
              <w:rPr>
                <w:color w:val="000000" w:themeColor="text1"/>
                <w:sz w:val="21"/>
                <w:szCs w:val="21"/>
              </w:rPr>
              <w:t>10MV</w:t>
            </w:r>
            <w:r w:rsidRPr="00B12FE0">
              <w:rPr>
                <w:rFonts w:ascii="宋体" w:hAnsi="宋体"/>
                <w:color w:val="000000" w:themeColor="text1"/>
                <w:sz w:val="21"/>
                <w:szCs w:val="21"/>
              </w:rPr>
              <w:t>、</w:t>
            </w:r>
            <w:r w:rsidRPr="00B12FE0">
              <w:rPr>
                <w:color w:val="000000" w:themeColor="text1"/>
                <w:sz w:val="21"/>
                <w:szCs w:val="21"/>
              </w:rPr>
              <w:t>6MV</w:t>
            </w:r>
          </w:p>
          <w:p w14:paraId="4FE77FE5"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电子线：</w:t>
            </w:r>
            <w:r w:rsidRPr="00B12FE0">
              <w:rPr>
                <w:color w:val="000000" w:themeColor="text1"/>
                <w:sz w:val="21"/>
                <w:szCs w:val="21"/>
              </w:rPr>
              <w:t>22MeV</w:t>
            </w:r>
          </w:p>
        </w:tc>
        <w:tc>
          <w:tcPr>
            <w:tcW w:w="1687" w:type="dxa"/>
            <w:vMerge w:val="restart"/>
            <w:vAlign w:val="center"/>
          </w:tcPr>
          <w:p w14:paraId="7F225239" w14:textId="77777777" w:rsidR="00A67F21" w:rsidRPr="00B12FE0" w:rsidRDefault="00000000">
            <w:pPr>
              <w:adjustRightInd w:val="0"/>
              <w:snapToGrid w:val="0"/>
              <w:jc w:val="center"/>
              <w:rPr>
                <w:color w:val="000000" w:themeColor="text1"/>
                <w:kern w:val="0"/>
                <w:sz w:val="21"/>
                <w:szCs w:val="21"/>
              </w:rPr>
            </w:pPr>
            <w:r w:rsidRPr="00B12FE0">
              <w:rPr>
                <w:rFonts w:ascii="宋体" w:hAnsi="宋体"/>
                <w:bCs/>
                <w:color w:val="000000" w:themeColor="text1"/>
                <w:kern w:val="0"/>
                <w:sz w:val="21"/>
                <w:szCs w:val="21"/>
              </w:rPr>
              <w:t>肿瘤治疗中心</w:t>
            </w:r>
            <w:r w:rsidRPr="00B12FE0">
              <w:rPr>
                <w:rFonts w:ascii="宋体" w:hAnsi="宋体"/>
                <w:color w:val="000000" w:themeColor="text1"/>
                <w:kern w:val="0"/>
                <w:sz w:val="21"/>
                <w:szCs w:val="21"/>
              </w:rPr>
              <w:t>综合楼</w:t>
            </w:r>
            <w:r w:rsidRPr="00B12FE0">
              <w:rPr>
                <w:rFonts w:ascii="宋体" w:hAnsi="宋体" w:hint="eastAsia"/>
                <w:color w:val="000000" w:themeColor="text1"/>
                <w:kern w:val="0"/>
                <w:sz w:val="21"/>
                <w:szCs w:val="21"/>
              </w:rPr>
              <w:t>一层</w:t>
            </w:r>
          </w:p>
        </w:tc>
        <w:tc>
          <w:tcPr>
            <w:tcW w:w="0" w:type="auto"/>
            <w:vMerge w:val="restart"/>
            <w:vAlign w:val="center"/>
          </w:tcPr>
          <w:p w14:paraId="62B95356"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附图</w:t>
            </w:r>
            <w:r w:rsidRPr="00B12FE0">
              <w:rPr>
                <w:rFonts w:hint="eastAsia"/>
                <w:color w:val="000000" w:themeColor="text1"/>
                <w:sz w:val="21"/>
                <w:szCs w:val="21"/>
              </w:rPr>
              <w:t>4</w:t>
            </w:r>
          </w:p>
        </w:tc>
      </w:tr>
      <w:tr w:rsidR="00A67F21" w:rsidRPr="00B12FE0" w14:paraId="58A5A85D" w14:textId="77777777">
        <w:trPr>
          <w:trHeight w:val="454"/>
          <w:jc w:val="center"/>
        </w:trPr>
        <w:tc>
          <w:tcPr>
            <w:tcW w:w="0" w:type="auto"/>
            <w:vAlign w:val="center"/>
          </w:tcPr>
          <w:p w14:paraId="081E4CDB" w14:textId="77777777" w:rsidR="00A67F21" w:rsidRPr="00B12FE0" w:rsidRDefault="00000000">
            <w:pPr>
              <w:adjustRightInd w:val="0"/>
              <w:snapToGrid w:val="0"/>
              <w:rPr>
                <w:rFonts w:ascii="宋体" w:hAnsi="宋体" w:hint="eastAsia"/>
                <w:caps/>
                <w:color w:val="000000" w:themeColor="text1"/>
                <w:sz w:val="21"/>
                <w:szCs w:val="21"/>
              </w:rPr>
            </w:pPr>
            <w:r w:rsidRPr="00B12FE0">
              <w:rPr>
                <w:rFonts w:hint="eastAsia"/>
                <w:caps/>
                <w:color w:val="000000" w:themeColor="text1"/>
                <w:sz w:val="21"/>
                <w:szCs w:val="21"/>
              </w:rPr>
              <w:t>模拟定位</w:t>
            </w:r>
            <w:r w:rsidRPr="00B12FE0">
              <w:rPr>
                <w:rFonts w:hint="eastAsia"/>
                <w:caps/>
                <w:color w:val="000000" w:themeColor="text1"/>
                <w:sz w:val="21"/>
                <w:szCs w:val="21"/>
              </w:rPr>
              <w:t>CT</w:t>
            </w:r>
          </w:p>
        </w:tc>
        <w:tc>
          <w:tcPr>
            <w:tcW w:w="0" w:type="auto"/>
            <w:vAlign w:val="center"/>
          </w:tcPr>
          <w:p w14:paraId="0D772BD4" w14:textId="77777777" w:rsidR="00A67F21" w:rsidRPr="00B12FE0" w:rsidRDefault="00000000">
            <w:pPr>
              <w:adjustRightInd w:val="0"/>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待定</w:t>
            </w:r>
          </w:p>
        </w:tc>
        <w:tc>
          <w:tcPr>
            <w:tcW w:w="0" w:type="auto"/>
            <w:vAlign w:val="center"/>
          </w:tcPr>
          <w:p w14:paraId="2FD9155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Ⅲ</w:t>
            </w:r>
            <w:r w:rsidRPr="00B12FE0">
              <w:rPr>
                <w:bCs/>
                <w:color w:val="000000" w:themeColor="text1"/>
                <w:sz w:val="21"/>
                <w:szCs w:val="21"/>
              </w:rPr>
              <w:t>类</w:t>
            </w:r>
          </w:p>
        </w:tc>
        <w:tc>
          <w:tcPr>
            <w:tcW w:w="0" w:type="auto"/>
            <w:vAlign w:val="center"/>
          </w:tcPr>
          <w:p w14:paraId="3613B232" w14:textId="77777777" w:rsidR="00A67F21" w:rsidRPr="00B12FE0" w:rsidRDefault="00000000">
            <w:pPr>
              <w:jc w:val="center"/>
              <w:rPr>
                <w:color w:val="000000" w:themeColor="text1"/>
                <w:sz w:val="21"/>
                <w:szCs w:val="21"/>
              </w:rPr>
            </w:pPr>
            <w:r w:rsidRPr="00B12FE0">
              <w:rPr>
                <w:rFonts w:hint="eastAsia"/>
                <w:caps/>
                <w:color w:val="000000" w:themeColor="text1"/>
                <w:sz w:val="21"/>
                <w:szCs w:val="21"/>
              </w:rPr>
              <w:t>1</w:t>
            </w:r>
            <w:r w:rsidRPr="00B12FE0">
              <w:rPr>
                <w:caps/>
                <w:color w:val="000000" w:themeColor="text1"/>
                <w:sz w:val="21"/>
                <w:szCs w:val="21"/>
              </w:rPr>
              <w:t>台</w:t>
            </w:r>
          </w:p>
        </w:tc>
        <w:tc>
          <w:tcPr>
            <w:tcW w:w="3016" w:type="dxa"/>
            <w:vAlign w:val="center"/>
          </w:tcPr>
          <w:p w14:paraId="2CA805FA" w14:textId="77777777" w:rsidR="00A67F21" w:rsidRPr="00B12FE0" w:rsidRDefault="00000000">
            <w:pPr>
              <w:jc w:val="center"/>
              <w:rPr>
                <w:color w:val="000000" w:themeColor="text1"/>
                <w:sz w:val="21"/>
                <w:szCs w:val="21"/>
              </w:rPr>
            </w:pPr>
            <w:r w:rsidRPr="00B12FE0">
              <w:rPr>
                <w:rFonts w:ascii="宋体" w:hAnsi="宋体" w:hint="eastAsia"/>
                <w:caps/>
                <w:color w:val="000000" w:themeColor="text1"/>
                <w:sz w:val="21"/>
                <w:szCs w:val="21"/>
              </w:rPr>
              <w:t>最大管电压</w:t>
            </w:r>
            <w:r w:rsidRPr="00B12FE0">
              <w:rPr>
                <w:rFonts w:hint="eastAsia"/>
                <w:caps/>
                <w:color w:val="000000" w:themeColor="text1"/>
                <w:sz w:val="21"/>
                <w:szCs w:val="21"/>
              </w:rPr>
              <w:t>:140</w:t>
            </w:r>
            <w:r w:rsidRPr="00B12FE0">
              <w:rPr>
                <w:rFonts w:hint="eastAsia"/>
                <w:color w:val="000000" w:themeColor="text1"/>
                <w:sz w:val="21"/>
                <w:szCs w:val="21"/>
              </w:rPr>
              <w:t>k</w:t>
            </w:r>
            <w:r w:rsidRPr="00B12FE0">
              <w:rPr>
                <w:rFonts w:hint="eastAsia"/>
                <w:caps/>
                <w:color w:val="000000" w:themeColor="text1"/>
                <w:sz w:val="21"/>
                <w:szCs w:val="21"/>
              </w:rPr>
              <w:t>V/</w:t>
            </w:r>
            <w:r w:rsidRPr="00B12FE0">
              <w:rPr>
                <w:rFonts w:ascii="宋体" w:hAnsi="宋体" w:hint="eastAsia"/>
                <w:caps/>
                <w:color w:val="000000" w:themeColor="text1"/>
                <w:sz w:val="21"/>
                <w:szCs w:val="21"/>
              </w:rPr>
              <w:t>最大管电流</w:t>
            </w:r>
            <w:r w:rsidRPr="00B12FE0">
              <w:rPr>
                <w:rFonts w:hint="eastAsia"/>
                <w:caps/>
                <w:color w:val="000000" w:themeColor="text1"/>
                <w:sz w:val="21"/>
                <w:szCs w:val="21"/>
              </w:rPr>
              <w:t>:1000</w:t>
            </w:r>
            <w:r w:rsidRPr="00B12FE0">
              <w:rPr>
                <w:rFonts w:hint="eastAsia"/>
                <w:color w:val="000000" w:themeColor="text1"/>
                <w:sz w:val="21"/>
                <w:szCs w:val="21"/>
              </w:rPr>
              <w:t>m</w:t>
            </w:r>
            <w:r w:rsidRPr="00B12FE0">
              <w:rPr>
                <w:rFonts w:hint="eastAsia"/>
                <w:caps/>
                <w:color w:val="000000" w:themeColor="text1"/>
                <w:sz w:val="21"/>
                <w:szCs w:val="21"/>
              </w:rPr>
              <w:t>A</w:t>
            </w:r>
          </w:p>
        </w:tc>
        <w:tc>
          <w:tcPr>
            <w:tcW w:w="1687" w:type="dxa"/>
            <w:vMerge/>
            <w:vAlign w:val="center"/>
          </w:tcPr>
          <w:p w14:paraId="44FA0B2E" w14:textId="77777777" w:rsidR="00A67F21" w:rsidRPr="00B12FE0" w:rsidRDefault="00A67F21">
            <w:pPr>
              <w:adjustRightInd w:val="0"/>
              <w:snapToGrid w:val="0"/>
              <w:jc w:val="center"/>
              <w:rPr>
                <w:rFonts w:ascii="宋体" w:hAnsi="宋体" w:hint="eastAsia"/>
                <w:bCs/>
                <w:color w:val="000000" w:themeColor="text1"/>
                <w:kern w:val="0"/>
                <w:sz w:val="21"/>
                <w:szCs w:val="21"/>
              </w:rPr>
            </w:pPr>
          </w:p>
        </w:tc>
        <w:tc>
          <w:tcPr>
            <w:tcW w:w="0" w:type="auto"/>
            <w:vMerge/>
            <w:vAlign w:val="center"/>
          </w:tcPr>
          <w:p w14:paraId="478BC8DD" w14:textId="77777777" w:rsidR="00A67F21" w:rsidRPr="00B12FE0" w:rsidRDefault="00A67F21">
            <w:pPr>
              <w:adjustRightInd w:val="0"/>
              <w:snapToGrid w:val="0"/>
              <w:jc w:val="center"/>
              <w:rPr>
                <w:rFonts w:ascii="宋体" w:hAnsi="宋体" w:hint="eastAsia"/>
                <w:color w:val="000000" w:themeColor="text1"/>
                <w:sz w:val="21"/>
                <w:szCs w:val="21"/>
              </w:rPr>
            </w:pPr>
          </w:p>
        </w:tc>
      </w:tr>
    </w:tbl>
    <w:p w14:paraId="6638EF12" w14:textId="77777777" w:rsidR="00A67F21" w:rsidRPr="00B12FE0" w:rsidRDefault="00000000">
      <w:pPr>
        <w:autoSpaceDE w:val="0"/>
        <w:adjustRightInd w:val="0"/>
        <w:snapToGrid w:val="0"/>
        <w:spacing w:line="360" w:lineRule="auto"/>
        <w:ind w:firstLineChars="200" w:firstLine="482"/>
        <w:jc w:val="left"/>
        <w:rPr>
          <w:b/>
          <w:bCs/>
          <w:color w:val="000000" w:themeColor="text1"/>
          <w:szCs w:val="24"/>
        </w:rPr>
      </w:pPr>
      <w:r w:rsidRPr="00B12FE0">
        <w:rPr>
          <w:rFonts w:hint="eastAsia"/>
          <w:b/>
          <w:color w:val="000000" w:themeColor="text1"/>
          <w:szCs w:val="24"/>
        </w:rPr>
        <w:t>3</w:t>
      </w:r>
      <w:r w:rsidRPr="00B12FE0">
        <w:rPr>
          <w:rFonts w:ascii="宋体" w:hAnsi="宋体"/>
          <w:b/>
          <w:color w:val="000000" w:themeColor="text1"/>
          <w:szCs w:val="24"/>
        </w:rPr>
        <w:t>、</w:t>
      </w:r>
      <w:r w:rsidRPr="00B12FE0">
        <w:rPr>
          <w:rFonts w:ascii="宋体" w:hAnsi="宋体"/>
          <w:b/>
          <w:bCs/>
          <w:color w:val="000000" w:themeColor="text1"/>
          <w:szCs w:val="24"/>
        </w:rPr>
        <w:t>本项目建设内容汇总</w:t>
      </w:r>
    </w:p>
    <w:p w14:paraId="313865F9" w14:textId="77777777" w:rsidR="00A67F21" w:rsidRPr="00B12FE0" w:rsidRDefault="00000000">
      <w:pPr>
        <w:autoSpaceDE w:val="0"/>
        <w:adjustRightInd w:val="0"/>
        <w:snapToGrid w:val="0"/>
        <w:spacing w:line="360" w:lineRule="auto"/>
        <w:ind w:firstLine="480"/>
        <w:jc w:val="left"/>
        <w:rPr>
          <w:color w:val="000000" w:themeColor="text1"/>
          <w:szCs w:val="24"/>
        </w:rPr>
      </w:pPr>
      <w:r w:rsidRPr="00B12FE0">
        <w:rPr>
          <w:rFonts w:ascii="宋体" w:hAnsi="宋体"/>
          <w:color w:val="000000" w:themeColor="text1"/>
          <w:szCs w:val="24"/>
        </w:rPr>
        <w:t>本项目建设情况表如表</w:t>
      </w:r>
      <w:r w:rsidRPr="00B12FE0">
        <w:rPr>
          <w:color w:val="000000" w:themeColor="text1"/>
          <w:szCs w:val="24"/>
        </w:rPr>
        <w:t>1.1-</w:t>
      </w:r>
      <w:r w:rsidRPr="00B12FE0">
        <w:rPr>
          <w:rFonts w:hint="eastAsia"/>
          <w:color w:val="000000" w:themeColor="text1"/>
          <w:szCs w:val="24"/>
        </w:rPr>
        <w:t>6</w:t>
      </w:r>
      <w:r w:rsidRPr="00B12FE0">
        <w:rPr>
          <w:color w:val="000000" w:themeColor="text1"/>
          <w:szCs w:val="24"/>
        </w:rPr>
        <w:t>~</w:t>
      </w:r>
      <w:r w:rsidRPr="00B12FE0">
        <w:rPr>
          <w:rFonts w:ascii="宋体" w:hAnsi="宋体"/>
          <w:color w:val="000000" w:themeColor="text1"/>
          <w:szCs w:val="24"/>
        </w:rPr>
        <w:t>表</w:t>
      </w:r>
      <w:r w:rsidRPr="00B12FE0">
        <w:rPr>
          <w:color w:val="000000" w:themeColor="text1"/>
          <w:szCs w:val="24"/>
        </w:rPr>
        <w:t>1.1-</w:t>
      </w:r>
      <w:r w:rsidRPr="00B12FE0">
        <w:rPr>
          <w:rFonts w:hint="eastAsia"/>
          <w:color w:val="000000" w:themeColor="text1"/>
          <w:szCs w:val="24"/>
        </w:rPr>
        <w:t>8</w:t>
      </w:r>
      <w:r w:rsidRPr="00B12FE0">
        <w:rPr>
          <w:rFonts w:ascii="宋体" w:hAnsi="宋体"/>
          <w:color w:val="000000" w:themeColor="text1"/>
          <w:szCs w:val="24"/>
        </w:rPr>
        <w:t>所示。</w:t>
      </w:r>
    </w:p>
    <w:p w14:paraId="5BACD287" w14:textId="77777777" w:rsidR="00A67F21" w:rsidRPr="00B12FE0" w:rsidRDefault="00000000">
      <w:pPr>
        <w:adjustRightInd w:val="0"/>
        <w:snapToGrid w:val="0"/>
        <w:spacing w:line="360" w:lineRule="auto"/>
        <w:jc w:val="center"/>
        <w:rPr>
          <w:b/>
          <w:bCs/>
          <w:color w:val="000000" w:themeColor="text1"/>
          <w:sz w:val="21"/>
          <w:szCs w:val="18"/>
        </w:rPr>
      </w:pPr>
      <w:r w:rsidRPr="00B12FE0">
        <w:rPr>
          <w:rFonts w:hint="eastAsia"/>
          <w:b/>
          <w:bCs/>
          <w:color w:val="000000" w:themeColor="text1"/>
          <w:sz w:val="21"/>
          <w:szCs w:val="18"/>
        </w:rPr>
        <w:t>表</w:t>
      </w:r>
      <w:r w:rsidRPr="00B12FE0">
        <w:rPr>
          <w:rFonts w:hint="eastAsia"/>
          <w:b/>
          <w:bCs/>
          <w:color w:val="000000" w:themeColor="text1"/>
          <w:sz w:val="21"/>
          <w:szCs w:val="18"/>
        </w:rPr>
        <w:t>1.1</w:t>
      </w:r>
      <w:r w:rsidRPr="00B12FE0">
        <w:rPr>
          <w:b/>
          <w:bCs/>
          <w:color w:val="000000" w:themeColor="text1"/>
          <w:sz w:val="21"/>
          <w:szCs w:val="18"/>
        </w:rPr>
        <w:t>-</w:t>
      </w:r>
      <w:r w:rsidRPr="00B12FE0">
        <w:rPr>
          <w:rFonts w:hint="eastAsia"/>
          <w:b/>
          <w:bCs/>
          <w:color w:val="000000" w:themeColor="text1"/>
          <w:sz w:val="21"/>
          <w:szCs w:val="18"/>
        </w:rPr>
        <w:t xml:space="preserve">6  </w:t>
      </w:r>
      <w:r w:rsidRPr="00B12FE0">
        <w:rPr>
          <w:rFonts w:hint="eastAsia"/>
          <w:b/>
          <w:bCs/>
          <w:color w:val="000000" w:themeColor="text1"/>
          <w:sz w:val="21"/>
          <w:szCs w:val="18"/>
        </w:rPr>
        <w:t>本项目所涉及放射源一览表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0"/>
        <w:gridCol w:w="1093"/>
        <w:gridCol w:w="1454"/>
        <w:gridCol w:w="1600"/>
        <w:gridCol w:w="871"/>
        <w:gridCol w:w="2018"/>
        <w:gridCol w:w="581"/>
      </w:tblGrid>
      <w:tr w:rsidR="00A67F21" w:rsidRPr="00B12FE0" w14:paraId="445E2906" w14:textId="77777777">
        <w:trPr>
          <w:trHeight w:val="306"/>
          <w:jc w:val="center"/>
        </w:trPr>
        <w:tc>
          <w:tcPr>
            <w:tcW w:w="777" w:type="pct"/>
            <w:vAlign w:val="center"/>
          </w:tcPr>
          <w:p w14:paraId="1015736A"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放射源名称</w:t>
            </w:r>
          </w:p>
        </w:tc>
        <w:tc>
          <w:tcPr>
            <w:tcW w:w="606" w:type="pct"/>
            <w:vAlign w:val="center"/>
          </w:tcPr>
          <w:p w14:paraId="21F97257"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类别</w:t>
            </w:r>
          </w:p>
        </w:tc>
        <w:tc>
          <w:tcPr>
            <w:tcW w:w="806" w:type="pct"/>
            <w:vAlign w:val="center"/>
          </w:tcPr>
          <w:p w14:paraId="79A43C5C" w14:textId="77777777" w:rsidR="00A67F21" w:rsidRPr="00B12FE0" w:rsidRDefault="00000000">
            <w:pPr>
              <w:adjustRightInd w:val="0"/>
              <w:snapToGrid w:val="0"/>
              <w:jc w:val="center"/>
              <w:rPr>
                <w:color w:val="000000" w:themeColor="text1"/>
                <w:sz w:val="21"/>
                <w:szCs w:val="21"/>
                <w:vertAlign w:val="superscript"/>
              </w:rPr>
            </w:pPr>
            <w:r w:rsidRPr="00B12FE0">
              <w:rPr>
                <w:rFonts w:ascii="宋体" w:hAnsi="宋体" w:hint="eastAsia"/>
                <w:color w:val="000000" w:themeColor="text1"/>
                <w:sz w:val="21"/>
                <w:szCs w:val="21"/>
              </w:rPr>
              <w:t>活动种类</w:t>
            </w:r>
          </w:p>
        </w:tc>
        <w:tc>
          <w:tcPr>
            <w:tcW w:w="887" w:type="pct"/>
            <w:vAlign w:val="center"/>
          </w:tcPr>
          <w:p w14:paraId="2CAC7D93" w14:textId="77777777" w:rsidR="00A67F21" w:rsidRPr="00B12FE0" w:rsidRDefault="00000000">
            <w:pPr>
              <w:adjustRightInd w:val="0"/>
              <w:snapToGrid w:val="0"/>
              <w:jc w:val="center"/>
              <w:rPr>
                <w:bCs/>
                <w:color w:val="000000" w:themeColor="text1"/>
                <w:sz w:val="21"/>
                <w:szCs w:val="21"/>
              </w:rPr>
            </w:pPr>
            <w:r w:rsidRPr="00B12FE0">
              <w:rPr>
                <w:rFonts w:ascii="宋体" w:hAnsi="宋体" w:hint="eastAsia"/>
                <w:bCs/>
                <w:color w:val="000000" w:themeColor="text1"/>
                <w:sz w:val="21"/>
                <w:szCs w:val="21"/>
              </w:rPr>
              <w:t>单枚源活度</w:t>
            </w:r>
          </w:p>
        </w:tc>
        <w:tc>
          <w:tcPr>
            <w:tcW w:w="483" w:type="pct"/>
            <w:vAlign w:val="center"/>
          </w:tcPr>
          <w:p w14:paraId="705A3675" w14:textId="77777777" w:rsidR="00A67F21" w:rsidRPr="00B12FE0" w:rsidRDefault="00000000">
            <w:pPr>
              <w:adjustRightInd w:val="0"/>
              <w:jc w:val="center"/>
              <w:rPr>
                <w:color w:val="000000" w:themeColor="text1"/>
                <w:sz w:val="21"/>
                <w:szCs w:val="21"/>
              </w:rPr>
            </w:pPr>
            <w:r w:rsidRPr="00B12FE0">
              <w:rPr>
                <w:rFonts w:ascii="宋体" w:hAnsi="宋体" w:hint="eastAsia"/>
                <w:color w:val="000000" w:themeColor="text1"/>
                <w:sz w:val="21"/>
                <w:szCs w:val="21"/>
              </w:rPr>
              <w:t>数量</w:t>
            </w:r>
          </w:p>
        </w:tc>
        <w:tc>
          <w:tcPr>
            <w:tcW w:w="1119" w:type="pct"/>
            <w:vAlign w:val="center"/>
          </w:tcPr>
          <w:p w14:paraId="4FE82056" w14:textId="77777777" w:rsidR="00A67F21" w:rsidRPr="00B12FE0" w:rsidRDefault="00000000">
            <w:pPr>
              <w:adjustRightInd w:val="0"/>
              <w:jc w:val="center"/>
              <w:rPr>
                <w:bCs/>
                <w:color w:val="000000" w:themeColor="text1"/>
                <w:sz w:val="21"/>
                <w:szCs w:val="21"/>
              </w:rPr>
            </w:pPr>
            <w:r w:rsidRPr="00B12FE0">
              <w:rPr>
                <w:rFonts w:ascii="宋体" w:hAnsi="宋体" w:hint="eastAsia"/>
                <w:color w:val="000000" w:themeColor="text1"/>
                <w:sz w:val="21"/>
                <w:szCs w:val="21"/>
              </w:rPr>
              <w:t>工作场所名称</w:t>
            </w:r>
            <w:r w:rsidRPr="00B12FE0">
              <w:rPr>
                <w:bCs/>
                <w:color w:val="000000" w:themeColor="text1"/>
                <w:sz w:val="21"/>
                <w:szCs w:val="21"/>
              </w:rPr>
              <w:t xml:space="preserve"> </w:t>
            </w:r>
          </w:p>
        </w:tc>
        <w:tc>
          <w:tcPr>
            <w:tcW w:w="322" w:type="pct"/>
            <w:vAlign w:val="center"/>
          </w:tcPr>
          <w:p w14:paraId="172D6A92" w14:textId="77777777" w:rsidR="00A67F21" w:rsidRPr="00B12FE0" w:rsidRDefault="00000000">
            <w:pPr>
              <w:adjustRightInd w:val="0"/>
              <w:jc w:val="center"/>
              <w:rPr>
                <w:rFonts w:ascii="宋体" w:hAnsi="宋体" w:hint="eastAsia"/>
                <w:color w:val="000000" w:themeColor="text1"/>
                <w:sz w:val="21"/>
                <w:szCs w:val="21"/>
              </w:rPr>
            </w:pPr>
            <w:r w:rsidRPr="00B12FE0">
              <w:rPr>
                <w:rFonts w:ascii="宋体" w:hAnsi="宋体" w:hint="eastAsia"/>
                <w:color w:val="000000" w:themeColor="text1"/>
                <w:sz w:val="21"/>
                <w:szCs w:val="21"/>
              </w:rPr>
              <w:t>备注</w:t>
            </w:r>
          </w:p>
        </w:tc>
      </w:tr>
      <w:tr w:rsidR="00A67F21" w:rsidRPr="00B12FE0" w14:paraId="21BC0595" w14:textId="77777777">
        <w:trPr>
          <w:trHeight w:val="306"/>
          <w:jc w:val="center"/>
        </w:trPr>
        <w:tc>
          <w:tcPr>
            <w:tcW w:w="777" w:type="pct"/>
            <w:vAlign w:val="center"/>
          </w:tcPr>
          <w:p w14:paraId="6B5897AE" w14:textId="77777777" w:rsidR="00A67F21" w:rsidRPr="00B12FE0" w:rsidRDefault="00000000">
            <w:pPr>
              <w:adjustRightInd w:val="0"/>
              <w:snapToGrid w:val="0"/>
              <w:jc w:val="center"/>
              <w:rPr>
                <w:color w:val="000000" w:themeColor="text1"/>
                <w:sz w:val="21"/>
                <w:szCs w:val="21"/>
              </w:rPr>
            </w:pPr>
            <w:r w:rsidRPr="00B12FE0">
              <w:rPr>
                <w:bCs/>
                <w:color w:val="000000" w:themeColor="text1"/>
                <w:sz w:val="21"/>
                <w:szCs w:val="21"/>
                <w:vertAlign w:val="superscript"/>
              </w:rPr>
              <w:t>192</w:t>
            </w:r>
            <w:r w:rsidRPr="00B12FE0">
              <w:rPr>
                <w:bCs/>
                <w:color w:val="000000" w:themeColor="text1"/>
                <w:sz w:val="21"/>
                <w:szCs w:val="21"/>
              </w:rPr>
              <w:t>Ir</w:t>
            </w:r>
          </w:p>
        </w:tc>
        <w:tc>
          <w:tcPr>
            <w:tcW w:w="606" w:type="pct"/>
            <w:vAlign w:val="center"/>
          </w:tcPr>
          <w:p w14:paraId="40BFD982" w14:textId="77777777" w:rsidR="00A67F21" w:rsidRPr="00B12FE0" w:rsidRDefault="00000000">
            <w:pPr>
              <w:adjustRightInd w:val="0"/>
              <w:snapToGrid w:val="0"/>
              <w:jc w:val="center"/>
              <w:rPr>
                <w:color w:val="000000" w:themeColor="text1"/>
                <w:sz w:val="21"/>
                <w:szCs w:val="21"/>
              </w:rPr>
            </w:pPr>
            <w:r w:rsidRPr="00B12FE0">
              <w:rPr>
                <w:bCs/>
                <w:color w:val="000000" w:themeColor="text1"/>
                <w:sz w:val="21"/>
                <w:szCs w:val="21"/>
              </w:rPr>
              <w:t>Ⅲ</w:t>
            </w:r>
            <w:r w:rsidRPr="00B12FE0">
              <w:rPr>
                <w:bCs/>
                <w:color w:val="000000" w:themeColor="text1"/>
                <w:sz w:val="21"/>
                <w:szCs w:val="21"/>
              </w:rPr>
              <w:t>类</w:t>
            </w:r>
          </w:p>
        </w:tc>
        <w:tc>
          <w:tcPr>
            <w:tcW w:w="806" w:type="pct"/>
            <w:vAlign w:val="center"/>
          </w:tcPr>
          <w:p w14:paraId="1B082E4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使用</w:t>
            </w:r>
          </w:p>
        </w:tc>
        <w:tc>
          <w:tcPr>
            <w:tcW w:w="887" w:type="pct"/>
            <w:vAlign w:val="center"/>
          </w:tcPr>
          <w:p w14:paraId="23E3989B"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3.7×10</w:t>
            </w:r>
            <w:r w:rsidRPr="00B12FE0">
              <w:rPr>
                <w:color w:val="000000" w:themeColor="text1"/>
                <w:sz w:val="21"/>
                <w:szCs w:val="21"/>
                <w:vertAlign w:val="superscript"/>
              </w:rPr>
              <w:t>11</w:t>
            </w:r>
            <w:r w:rsidRPr="00B12FE0">
              <w:rPr>
                <w:color w:val="000000" w:themeColor="text1"/>
                <w:sz w:val="21"/>
                <w:szCs w:val="21"/>
              </w:rPr>
              <w:t>Bq</w:t>
            </w:r>
          </w:p>
        </w:tc>
        <w:tc>
          <w:tcPr>
            <w:tcW w:w="483" w:type="pct"/>
            <w:vAlign w:val="center"/>
          </w:tcPr>
          <w:p w14:paraId="6D624B19"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枚</w:t>
            </w:r>
          </w:p>
        </w:tc>
        <w:tc>
          <w:tcPr>
            <w:tcW w:w="1119" w:type="pct"/>
            <w:vAlign w:val="center"/>
          </w:tcPr>
          <w:p w14:paraId="6EE7E149" w14:textId="77777777" w:rsidR="00A67F21" w:rsidRPr="00B12FE0" w:rsidRDefault="00000000">
            <w:pPr>
              <w:adjustRightInd w:val="0"/>
              <w:jc w:val="center"/>
              <w:rPr>
                <w:color w:val="000000" w:themeColor="text1"/>
                <w:sz w:val="21"/>
                <w:szCs w:val="21"/>
              </w:rPr>
            </w:pPr>
            <w:r w:rsidRPr="00B12FE0">
              <w:rPr>
                <w:rFonts w:hint="eastAsia"/>
                <w:bCs/>
                <w:color w:val="000000" w:themeColor="text1"/>
                <w:sz w:val="21"/>
                <w:szCs w:val="21"/>
              </w:rPr>
              <w:t>放疗中心楼一层</w:t>
            </w:r>
            <w:r w:rsidRPr="00B12FE0">
              <w:rPr>
                <w:rFonts w:hint="eastAsia"/>
                <w:color w:val="000000" w:themeColor="text1"/>
                <w:sz w:val="21"/>
                <w:szCs w:val="21"/>
              </w:rPr>
              <w:t>后装机机房</w:t>
            </w:r>
          </w:p>
        </w:tc>
        <w:tc>
          <w:tcPr>
            <w:tcW w:w="322" w:type="pct"/>
            <w:vAlign w:val="center"/>
          </w:tcPr>
          <w:p w14:paraId="50BA9A3D" w14:textId="77777777" w:rsidR="00A67F21" w:rsidRPr="00B12FE0" w:rsidRDefault="00000000">
            <w:pPr>
              <w:adjustRightInd w:val="0"/>
              <w:jc w:val="center"/>
              <w:rPr>
                <w:rFonts w:ascii="宋体" w:hAnsi="宋体" w:hint="eastAsia"/>
                <w:color w:val="000000" w:themeColor="text1"/>
                <w:sz w:val="21"/>
                <w:szCs w:val="21"/>
              </w:rPr>
            </w:pPr>
            <w:r w:rsidRPr="00B12FE0">
              <w:rPr>
                <w:rFonts w:ascii="宋体" w:hAnsi="宋体" w:hint="eastAsia"/>
                <w:color w:val="000000" w:themeColor="text1"/>
                <w:sz w:val="21"/>
                <w:szCs w:val="21"/>
              </w:rPr>
              <w:t>新购</w:t>
            </w:r>
          </w:p>
        </w:tc>
      </w:tr>
      <w:tr w:rsidR="00A67F21" w:rsidRPr="00B12FE0" w14:paraId="103F3A34" w14:textId="77777777">
        <w:trPr>
          <w:trHeight w:val="306"/>
          <w:jc w:val="center"/>
        </w:trPr>
        <w:tc>
          <w:tcPr>
            <w:tcW w:w="777" w:type="pct"/>
            <w:vAlign w:val="center"/>
          </w:tcPr>
          <w:p w14:paraId="452EDC6D" w14:textId="77777777" w:rsidR="00A67F21" w:rsidRPr="00B12FE0" w:rsidRDefault="00000000">
            <w:pPr>
              <w:adjustRightInd w:val="0"/>
              <w:snapToGrid w:val="0"/>
              <w:jc w:val="center"/>
              <w:rPr>
                <w:bCs/>
                <w:color w:val="000000" w:themeColor="text1"/>
                <w:sz w:val="21"/>
                <w:szCs w:val="21"/>
                <w:vertAlign w:val="superscript"/>
              </w:rPr>
            </w:pPr>
            <w:r w:rsidRPr="00B12FE0">
              <w:rPr>
                <w:color w:val="000000" w:themeColor="text1"/>
                <w:sz w:val="21"/>
                <w:szCs w:val="16"/>
                <w:vertAlign w:val="superscript"/>
              </w:rPr>
              <w:t>68</w:t>
            </w:r>
            <w:r w:rsidRPr="00B12FE0">
              <w:rPr>
                <w:color w:val="000000" w:themeColor="text1"/>
                <w:sz w:val="21"/>
                <w:szCs w:val="16"/>
              </w:rPr>
              <w:t>Ge</w:t>
            </w:r>
          </w:p>
        </w:tc>
        <w:tc>
          <w:tcPr>
            <w:tcW w:w="606" w:type="pct"/>
            <w:vAlign w:val="center"/>
          </w:tcPr>
          <w:p w14:paraId="31CB1D63"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16"/>
              </w:rPr>
              <w:t>Ⅴ</w:t>
            </w:r>
            <w:r w:rsidRPr="00B12FE0">
              <w:rPr>
                <w:rFonts w:ascii="宋体" w:hAnsi="宋体" w:hint="eastAsia"/>
                <w:color w:val="000000" w:themeColor="text1"/>
                <w:sz w:val="21"/>
                <w:szCs w:val="16"/>
              </w:rPr>
              <w:t>类</w:t>
            </w:r>
          </w:p>
        </w:tc>
        <w:tc>
          <w:tcPr>
            <w:tcW w:w="806" w:type="pct"/>
            <w:vAlign w:val="center"/>
          </w:tcPr>
          <w:p w14:paraId="583325FF"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16"/>
              </w:rPr>
              <w:t>使用</w:t>
            </w:r>
          </w:p>
        </w:tc>
        <w:tc>
          <w:tcPr>
            <w:tcW w:w="887" w:type="pct"/>
            <w:vAlign w:val="center"/>
          </w:tcPr>
          <w:p w14:paraId="3D4588F8" w14:textId="77777777" w:rsidR="00A67F21" w:rsidRPr="00B12FE0" w:rsidRDefault="00000000">
            <w:pPr>
              <w:adjustRightInd w:val="0"/>
              <w:snapToGrid w:val="0"/>
              <w:jc w:val="center"/>
              <w:rPr>
                <w:color w:val="000000" w:themeColor="text1"/>
                <w:sz w:val="21"/>
                <w:szCs w:val="21"/>
              </w:rPr>
            </w:pPr>
            <w:r w:rsidRPr="00B12FE0">
              <w:rPr>
                <w:bCs/>
                <w:color w:val="000000" w:themeColor="text1"/>
                <w:sz w:val="21"/>
                <w:szCs w:val="16"/>
              </w:rPr>
              <w:t>1.11</w:t>
            </w:r>
            <w:r w:rsidRPr="00B12FE0">
              <w:rPr>
                <w:rFonts w:ascii="宋体" w:hAnsi="宋体" w:hint="eastAsia"/>
                <w:bCs/>
                <w:color w:val="000000" w:themeColor="text1"/>
                <w:sz w:val="21"/>
                <w:szCs w:val="16"/>
              </w:rPr>
              <w:t>×</w:t>
            </w:r>
            <w:r w:rsidRPr="00B12FE0">
              <w:rPr>
                <w:bCs/>
                <w:color w:val="000000" w:themeColor="text1"/>
                <w:sz w:val="21"/>
                <w:szCs w:val="16"/>
              </w:rPr>
              <w:t>10</w:t>
            </w:r>
            <w:r w:rsidRPr="00B12FE0">
              <w:rPr>
                <w:bCs/>
                <w:color w:val="000000" w:themeColor="text1"/>
                <w:sz w:val="21"/>
                <w:szCs w:val="16"/>
                <w:vertAlign w:val="superscript"/>
              </w:rPr>
              <w:t>8</w:t>
            </w:r>
            <w:r w:rsidRPr="00B12FE0">
              <w:rPr>
                <w:bCs/>
                <w:color w:val="000000" w:themeColor="text1"/>
                <w:sz w:val="21"/>
                <w:szCs w:val="16"/>
              </w:rPr>
              <w:t>Bq</w:t>
            </w:r>
          </w:p>
        </w:tc>
        <w:tc>
          <w:tcPr>
            <w:tcW w:w="483" w:type="pct"/>
            <w:vAlign w:val="center"/>
          </w:tcPr>
          <w:p w14:paraId="2FA46A10"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16"/>
              </w:rPr>
              <w:t>1</w:t>
            </w:r>
            <w:r w:rsidRPr="00B12FE0">
              <w:rPr>
                <w:rFonts w:hint="eastAsia"/>
                <w:color w:val="000000" w:themeColor="text1"/>
                <w:sz w:val="21"/>
                <w:szCs w:val="21"/>
              </w:rPr>
              <w:t>枚</w:t>
            </w:r>
          </w:p>
        </w:tc>
        <w:tc>
          <w:tcPr>
            <w:tcW w:w="1119" w:type="pct"/>
            <w:vMerge w:val="restart"/>
            <w:vAlign w:val="center"/>
          </w:tcPr>
          <w:p w14:paraId="5185A4BA" w14:textId="77777777" w:rsidR="00A67F21" w:rsidRPr="00B12FE0" w:rsidRDefault="00000000">
            <w:pPr>
              <w:adjustRightInd w:val="0"/>
              <w:jc w:val="center"/>
              <w:rPr>
                <w:bCs/>
                <w:color w:val="000000" w:themeColor="text1"/>
                <w:sz w:val="21"/>
                <w:szCs w:val="21"/>
              </w:rPr>
            </w:pPr>
            <w:r w:rsidRPr="00B12FE0">
              <w:rPr>
                <w:rFonts w:ascii="宋体" w:hAnsi="宋体"/>
                <w:bCs/>
                <w:color w:val="000000" w:themeColor="text1"/>
                <w:sz w:val="21"/>
                <w:szCs w:val="21"/>
              </w:rPr>
              <w:t>核医学科</w:t>
            </w:r>
            <w:r w:rsidRPr="00B12FE0">
              <w:rPr>
                <w:rFonts w:ascii="宋体" w:hAnsi="宋体" w:hint="eastAsia"/>
                <w:bCs/>
                <w:color w:val="000000" w:themeColor="text1"/>
                <w:sz w:val="21"/>
                <w:szCs w:val="21"/>
              </w:rPr>
              <w:t>核素诊断</w:t>
            </w:r>
            <w:r w:rsidRPr="00B12FE0">
              <w:rPr>
                <w:rFonts w:ascii="宋体" w:hAnsi="宋体"/>
                <w:bCs/>
                <w:color w:val="000000" w:themeColor="text1"/>
                <w:sz w:val="21"/>
                <w:szCs w:val="21"/>
              </w:rPr>
              <w:t>场所</w:t>
            </w:r>
            <w:r w:rsidRPr="00B12FE0">
              <w:rPr>
                <w:color w:val="000000" w:themeColor="text1"/>
                <w:sz w:val="21"/>
                <w:szCs w:val="21"/>
              </w:rPr>
              <w:t>PET</w:t>
            </w:r>
            <w:r w:rsidRPr="00B12FE0">
              <w:rPr>
                <w:rFonts w:hint="eastAsia"/>
                <w:color w:val="000000" w:themeColor="text1"/>
                <w:sz w:val="21"/>
                <w:szCs w:val="21"/>
              </w:rPr>
              <w:t>/</w:t>
            </w:r>
            <w:r w:rsidRPr="00B12FE0">
              <w:rPr>
                <w:color w:val="000000" w:themeColor="text1"/>
                <w:sz w:val="21"/>
                <w:szCs w:val="21"/>
              </w:rPr>
              <w:t>CT</w:t>
            </w:r>
            <w:r w:rsidRPr="00B12FE0">
              <w:rPr>
                <w:rFonts w:hint="eastAsia"/>
                <w:color w:val="000000" w:themeColor="text1"/>
                <w:sz w:val="21"/>
                <w:szCs w:val="21"/>
              </w:rPr>
              <w:t>机房</w:t>
            </w:r>
          </w:p>
        </w:tc>
        <w:tc>
          <w:tcPr>
            <w:tcW w:w="322" w:type="pct"/>
          </w:tcPr>
          <w:p w14:paraId="0F0D6743" w14:textId="77777777" w:rsidR="00A67F21" w:rsidRPr="00B12FE0" w:rsidRDefault="00000000">
            <w:pPr>
              <w:adjustRightInd w:val="0"/>
              <w:jc w:val="center"/>
              <w:rPr>
                <w:rFonts w:ascii="宋体" w:hAnsi="宋体" w:hint="eastAsia"/>
                <w:color w:val="000000" w:themeColor="text1"/>
                <w:sz w:val="21"/>
                <w:szCs w:val="21"/>
              </w:rPr>
            </w:pPr>
            <w:r w:rsidRPr="00B12FE0">
              <w:rPr>
                <w:rFonts w:ascii="宋体" w:hAnsi="宋体" w:hint="eastAsia"/>
                <w:color w:val="000000" w:themeColor="text1"/>
                <w:sz w:val="21"/>
                <w:szCs w:val="21"/>
              </w:rPr>
              <w:t>新购</w:t>
            </w:r>
          </w:p>
        </w:tc>
      </w:tr>
      <w:tr w:rsidR="00A67F21" w:rsidRPr="00B12FE0" w14:paraId="0759592B" w14:textId="77777777">
        <w:trPr>
          <w:trHeight w:val="306"/>
          <w:jc w:val="center"/>
        </w:trPr>
        <w:tc>
          <w:tcPr>
            <w:tcW w:w="777" w:type="pct"/>
            <w:vAlign w:val="center"/>
          </w:tcPr>
          <w:p w14:paraId="64A88D98" w14:textId="77777777" w:rsidR="00A67F21" w:rsidRPr="00B12FE0" w:rsidRDefault="00000000">
            <w:pPr>
              <w:adjustRightInd w:val="0"/>
              <w:snapToGrid w:val="0"/>
              <w:jc w:val="center"/>
              <w:rPr>
                <w:bCs/>
                <w:color w:val="000000" w:themeColor="text1"/>
                <w:sz w:val="21"/>
                <w:szCs w:val="21"/>
                <w:vertAlign w:val="superscript"/>
              </w:rPr>
            </w:pPr>
            <w:r w:rsidRPr="00B12FE0">
              <w:rPr>
                <w:color w:val="000000" w:themeColor="text1"/>
                <w:sz w:val="21"/>
                <w:szCs w:val="16"/>
                <w:vertAlign w:val="superscript"/>
              </w:rPr>
              <w:t>68</w:t>
            </w:r>
            <w:r w:rsidRPr="00B12FE0">
              <w:rPr>
                <w:color w:val="000000" w:themeColor="text1"/>
                <w:sz w:val="21"/>
                <w:szCs w:val="16"/>
              </w:rPr>
              <w:t>Ge</w:t>
            </w:r>
          </w:p>
        </w:tc>
        <w:tc>
          <w:tcPr>
            <w:tcW w:w="606" w:type="pct"/>
            <w:vAlign w:val="center"/>
          </w:tcPr>
          <w:p w14:paraId="314CDC9B"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16"/>
              </w:rPr>
              <w:t>Ⅴ</w:t>
            </w:r>
            <w:r w:rsidRPr="00B12FE0">
              <w:rPr>
                <w:rFonts w:ascii="宋体" w:hAnsi="宋体" w:hint="eastAsia"/>
                <w:color w:val="000000" w:themeColor="text1"/>
                <w:sz w:val="21"/>
                <w:szCs w:val="16"/>
              </w:rPr>
              <w:t>类</w:t>
            </w:r>
          </w:p>
        </w:tc>
        <w:tc>
          <w:tcPr>
            <w:tcW w:w="806" w:type="pct"/>
            <w:vAlign w:val="center"/>
          </w:tcPr>
          <w:p w14:paraId="6CB7FEB9"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16"/>
              </w:rPr>
              <w:t>使用</w:t>
            </w:r>
          </w:p>
        </w:tc>
        <w:tc>
          <w:tcPr>
            <w:tcW w:w="887" w:type="pct"/>
            <w:vAlign w:val="center"/>
          </w:tcPr>
          <w:p w14:paraId="69B3E5EE" w14:textId="77777777" w:rsidR="00A67F21" w:rsidRPr="00B12FE0" w:rsidRDefault="00000000">
            <w:pPr>
              <w:adjustRightInd w:val="0"/>
              <w:snapToGrid w:val="0"/>
              <w:jc w:val="center"/>
              <w:rPr>
                <w:color w:val="000000" w:themeColor="text1"/>
                <w:sz w:val="21"/>
                <w:szCs w:val="21"/>
              </w:rPr>
            </w:pPr>
            <w:r w:rsidRPr="00B12FE0">
              <w:rPr>
                <w:rFonts w:hint="eastAsia"/>
                <w:bCs/>
                <w:color w:val="000000" w:themeColor="text1"/>
                <w:sz w:val="21"/>
                <w:szCs w:val="16"/>
              </w:rPr>
              <w:t>5.55</w:t>
            </w:r>
            <w:r w:rsidRPr="00B12FE0">
              <w:rPr>
                <w:rFonts w:ascii="宋体" w:hAnsi="宋体" w:hint="eastAsia"/>
                <w:bCs/>
                <w:color w:val="000000" w:themeColor="text1"/>
                <w:sz w:val="21"/>
                <w:szCs w:val="16"/>
              </w:rPr>
              <w:t>×</w:t>
            </w:r>
            <w:r w:rsidRPr="00B12FE0">
              <w:rPr>
                <w:bCs/>
                <w:color w:val="000000" w:themeColor="text1"/>
                <w:sz w:val="21"/>
                <w:szCs w:val="16"/>
              </w:rPr>
              <w:t>10</w:t>
            </w:r>
            <w:r w:rsidRPr="00B12FE0">
              <w:rPr>
                <w:rFonts w:hint="eastAsia"/>
                <w:bCs/>
                <w:color w:val="000000" w:themeColor="text1"/>
                <w:sz w:val="21"/>
                <w:szCs w:val="16"/>
                <w:vertAlign w:val="superscript"/>
              </w:rPr>
              <w:t>7</w:t>
            </w:r>
            <w:r w:rsidRPr="00B12FE0">
              <w:rPr>
                <w:color w:val="000000" w:themeColor="text1"/>
                <w:sz w:val="21"/>
                <w:szCs w:val="16"/>
              </w:rPr>
              <w:t>Bq</w:t>
            </w:r>
          </w:p>
        </w:tc>
        <w:tc>
          <w:tcPr>
            <w:tcW w:w="483" w:type="pct"/>
            <w:vAlign w:val="center"/>
          </w:tcPr>
          <w:p w14:paraId="3588DCDD"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16"/>
              </w:rPr>
              <w:t>2</w:t>
            </w:r>
            <w:r w:rsidRPr="00B12FE0">
              <w:rPr>
                <w:rFonts w:hint="eastAsia"/>
                <w:color w:val="000000" w:themeColor="text1"/>
                <w:sz w:val="21"/>
                <w:szCs w:val="21"/>
              </w:rPr>
              <w:t>枚</w:t>
            </w:r>
          </w:p>
        </w:tc>
        <w:tc>
          <w:tcPr>
            <w:tcW w:w="1119" w:type="pct"/>
            <w:vMerge/>
            <w:vAlign w:val="center"/>
          </w:tcPr>
          <w:p w14:paraId="5E8DD85C" w14:textId="77777777" w:rsidR="00A67F21" w:rsidRPr="00B12FE0" w:rsidRDefault="00A67F21">
            <w:pPr>
              <w:adjustRightInd w:val="0"/>
              <w:jc w:val="center"/>
              <w:rPr>
                <w:bCs/>
                <w:color w:val="000000" w:themeColor="text1"/>
                <w:sz w:val="21"/>
                <w:szCs w:val="21"/>
              </w:rPr>
            </w:pPr>
          </w:p>
        </w:tc>
        <w:tc>
          <w:tcPr>
            <w:tcW w:w="322" w:type="pct"/>
          </w:tcPr>
          <w:p w14:paraId="02B2259B" w14:textId="77777777" w:rsidR="00A67F21" w:rsidRPr="00B12FE0" w:rsidRDefault="00000000">
            <w:pPr>
              <w:adjustRightInd w:val="0"/>
              <w:jc w:val="center"/>
              <w:rPr>
                <w:rFonts w:ascii="宋体" w:hAnsi="宋体" w:hint="eastAsia"/>
                <w:color w:val="000000" w:themeColor="text1"/>
                <w:sz w:val="21"/>
                <w:szCs w:val="21"/>
              </w:rPr>
            </w:pPr>
            <w:r w:rsidRPr="00B12FE0">
              <w:rPr>
                <w:rFonts w:ascii="宋体" w:hAnsi="宋体" w:hint="eastAsia"/>
                <w:color w:val="000000" w:themeColor="text1"/>
                <w:sz w:val="21"/>
                <w:szCs w:val="21"/>
              </w:rPr>
              <w:t>新购</w:t>
            </w:r>
          </w:p>
        </w:tc>
      </w:tr>
    </w:tbl>
    <w:p w14:paraId="09BE8066"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1.1-</w:t>
      </w:r>
      <w:r w:rsidRPr="00B12FE0">
        <w:rPr>
          <w:rFonts w:hint="eastAsia"/>
          <w:b/>
          <w:color w:val="000000" w:themeColor="text1"/>
          <w:sz w:val="21"/>
          <w:szCs w:val="21"/>
        </w:rPr>
        <w:t>7</w:t>
      </w:r>
      <w:r w:rsidRPr="00B12FE0">
        <w:rPr>
          <w:b/>
          <w:color w:val="000000" w:themeColor="text1"/>
          <w:sz w:val="21"/>
          <w:szCs w:val="21"/>
        </w:rPr>
        <w:t xml:space="preserve">  </w:t>
      </w:r>
      <w:r w:rsidRPr="00B12FE0">
        <w:rPr>
          <w:rFonts w:ascii="宋体" w:hAnsi="宋体"/>
          <w:b/>
          <w:color w:val="000000" w:themeColor="text1"/>
          <w:sz w:val="21"/>
          <w:szCs w:val="21"/>
        </w:rPr>
        <w:t>本项目所涉及非密封放射性物质一览表</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1165"/>
        <w:gridCol w:w="900"/>
        <w:gridCol w:w="1385"/>
        <w:gridCol w:w="1391"/>
        <w:gridCol w:w="1090"/>
        <w:gridCol w:w="1373"/>
        <w:gridCol w:w="845"/>
      </w:tblGrid>
      <w:tr w:rsidR="00A67F21" w:rsidRPr="00B12FE0" w14:paraId="34E6AD8A" w14:textId="77777777">
        <w:trPr>
          <w:trHeight w:val="454"/>
          <w:jc w:val="center"/>
        </w:trPr>
        <w:tc>
          <w:tcPr>
            <w:tcW w:w="927" w:type="dxa"/>
            <w:noWrap/>
            <w:vAlign w:val="center"/>
          </w:tcPr>
          <w:p w14:paraId="6C506EE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工作</w:t>
            </w:r>
          </w:p>
          <w:p w14:paraId="64BABAA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场所</w:t>
            </w:r>
          </w:p>
        </w:tc>
        <w:tc>
          <w:tcPr>
            <w:tcW w:w="1165" w:type="dxa"/>
            <w:noWrap/>
            <w:vAlign w:val="center"/>
          </w:tcPr>
          <w:p w14:paraId="6A96A66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放射性核素名称</w:t>
            </w:r>
          </w:p>
        </w:tc>
        <w:tc>
          <w:tcPr>
            <w:tcW w:w="900" w:type="dxa"/>
            <w:noWrap/>
            <w:vAlign w:val="center"/>
          </w:tcPr>
          <w:p w14:paraId="307A972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活动</w:t>
            </w:r>
          </w:p>
          <w:p w14:paraId="6A06B0C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种类</w:t>
            </w:r>
          </w:p>
        </w:tc>
        <w:tc>
          <w:tcPr>
            <w:tcW w:w="1385" w:type="dxa"/>
            <w:noWrap/>
            <w:vAlign w:val="center"/>
          </w:tcPr>
          <w:p w14:paraId="1DB89FC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计划日最大操作量（</w:t>
            </w:r>
            <w:r w:rsidRPr="00B12FE0">
              <w:rPr>
                <w:color w:val="000000" w:themeColor="text1"/>
                <w:kern w:val="0"/>
                <w:sz w:val="21"/>
                <w:szCs w:val="21"/>
              </w:rPr>
              <w:t>Bq</w:t>
            </w:r>
            <w:r w:rsidRPr="00B12FE0">
              <w:rPr>
                <w:color w:val="000000" w:themeColor="text1"/>
                <w:kern w:val="0"/>
                <w:sz w:val="21"/>
                <w:szCs w:val="21"/>
              </w:rPr>
              <w:t>）</w:t>
            </w:r>
          </w:p>
        </w:tc>
        <w:tc>
          <w:tcPr>
            <w:tcW w:w="2481" w:type="dxa"/>
            <w:gridSpan w:val="2"/>
            <w:noWrap/>
            <w:vAlign w:val="center"/>
          </w:tcPr>
          <w:p w14:paraId="4ED76FB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日等效最大操作量（</w:t>
            </w:r>
            <w:r w:rsidRPr="00B12FE0">
              <w:rPr>
                <w:color w:val="000000" w:themeColor="text1"/>
                <w:kern w:val="0"/>
                <w:sz w:val="21"/>
                <w:szCs w:val="21"/>
              </w:rPr>
              <w:t>Bq</w:t>
            </w:r>
            <w:r w:rsidRPr="00B12FE0">
              <w:rPr>
                <w:color w:val="000000" w:themeColor="text1"/>
                <w:kern w:val="0"/>
                <w:sz w:val="21"/>
                <w:szCs w:val="21"/>
              </w:rPr>
              <w:t>）</w:t>
            </w:r>
          </w:p>
        </w:tc>
        <w:tc>
          <w:tcPr>
            <w:tcW w:w="1373" w:type="dxa"/>
            <w:noWrap/>
            <w:vAlign w:val="center"/>
          </w:tcPr>
          <w:p w14:paraId="39E4823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用途</w:t>
            </w:r>
          </w:p>
        </w:tc>
        <w:tc>
          <w:tcPr>
            <w:tcW w:w="845" w:type="dxa"/>
            <w:noWrap/>
            <w:vAlign w:val="center"/>
          </w:tcPr>
          <w:p w14:paraId="0E64323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场所等级</w:t>
            </w:r>
          </w:p>
        </w:tc>
      </w:tr>
      <w:tr w:rsidR="00A67F21" w:rsidRPr="00B12FE0" w14:paraId="14CAC795" w14:textId="77777777">
        <w:trPr>
          <w:trHeight w:val="454"/>
          <w:jc w:val="center"/>
        </w:trPr>
        <w:tc>
          <w:tcPr>
            <w:tcW w:w="927" w:type="dxa"/>
            <w:noWrap/>
            <w:vAlign w:val="center"/>
          </w:tcPr>
          <w:p w14:paraId="109C46E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核素制备场所</w:t>
            </w:r>
          </w:p>
        </w:tc>
        <w:tc>
          <w:tcPr>
            <w:tcW w:w="1165" w:type="dxa"/>
            <w:noWrap/>
            <w:vAlign w:val="center"/>
          </w:tcPr>
          <w:p w14:paraId="5658AF2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18</w:t>
            </w:r>
            <w:r w:rsidRPr="00B12FE0">
              <w:rPr>
                <w:color w:val="000000" w:themeColor="text1"/>
                <w:kern w:val="0"/>
                <w:sz w:val="21"/>
                <w:szCs w:val="21"/>
              </w:rPr>
              <w:t>F</w:t>
            </w:r>
          </w:p>
        </w:tc>
        <w:tc>
          <w:tcPr>
            <w:tcW w:w="900" w:type="dxa"/>
            <w:noWrap/>
            <w:vAlign w:val="center"/>
          </w:tcPr>
          <w:p w14:paraId="2343936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生产</w:t>
            </w:r>
            <w:r w:rsidRPr="00B12FE0">
              <w:rPr>
                <w:rFonts w:hint="eastAsia"/>
                <w:color w:val="000000" w:themeColor="text1"/>
                <w:kern w:val="0"/>
                <w:sz w:val="21"/>
                <w:szCs w:val="21"/>
              </w:rPr>
              <w:t>、使用</w:t>
            </w:r>
          </w:p>
        </w:tc>
        <w:tc>
          <w:tcPr>
            <w:tcW w:w="1385" w:type="dxa"/>
            <w:noWrap/>
            <w:vAlign w:val="center"/>
          </w:tcPr>
          <w:p w14:paraId="727BA1E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2481" w:type="dxa"/>
            <w:gridSpan w:val="2"/>
            <w:noWrap/>
            <w:vAlign w:val="center"/>
          </w:tcPr>
          <w:p w14:paraId="0BFEE49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8</w:t>
            </w:r>
          </w:p>
        </w:tc>
        <w:tc>
          <w:tcPr>
            <w:tcW w:w="1373" w:type="dxa"/>
            <w:noWrap/>
            <w:vAlign w:val="center"/>
          </w:tcPr>
          <w:p w14:paraId="4C93A428"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制备</w:t>
            </w:r>
            <w:r w:rsidRPr="00B12FE0">
              <w:rPr>
                <w:color w:val="000000" w:themeColor="text1"/>
                <w:kern w:val="0"/>
                <w:sz w:val="21"/>
                <w:szCs w:val="21"/>
              </w:rPr>
              <w:t>PET</w:t>
            </w:r>
          </w:p>
          <w:p w14:paraId="570D7AA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用药物</w:t>
            </w:r>
          </w:p>
        </w:tc>
        <w:tc>
          <w:tcPr>
            <w:tcW w:w="845" w:type="dxa"/>
            <w:noWrap/>
            <w:vAlign w:val="center"/>
          </w:tcPr>
          <w:p w14:paraId="3B28517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乙级</w:t>
            </w:r>
          </w:p>
        </w:tc>
      </w:tr>
      <w:tr w:rsidR="00A67F21" w:rsidRPr="00B12FE0" w14:paraId="46FCBB47" w14:textId="77777777">
        <w:trPr>
          <w:trHeight w:val="454"/>
          <w:jc w:val="center"/>
        </w:trPr>
        <w:tc>
          <w:tcPr>
            <w:tcW w:w="927" w:type="dxa"/>
            <w:vMerge w:val="restart"/>
            <w:noWrap/>
            <w:vAlign w:val="center"/>
          </w:tcPr>
          <w:p w14:paraId="4257682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核素诊断场所</w:t>
            </w:r>
          </w:p>
        </w:tc>
        <w:tc>
          <w:tcPr>
            <w:tcW w:w="1165" w:type="dxa"/>
            <w:vAlign w:val="center"/>
          </w:tcPr>
          <w:p w14:paraId="2E44B0B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18</w:t>
            </w:r>
            <w:r w:rsidRPr="00B12FE0">
              <w:rPr>
                <w:color w:val="000000" w:themeColor="text1"/>
                <w:kern w:val="0"/>
                <w:sz w:val="21"/>
                <w:szCs w:val="21"/>
              </w:rPr>
              <w:t>F</w:t>
            </w:r>
          </w:p>
        </w:tc>
        <w:tc>
          <w:tcPr>
            <w:tcW w:w="900" w:type="dxa"/>
            <w:noWrap/>
            <w:vAlign w:val="center"/>
          </w:tcPr>
          <w:p w14:paraId="1C3CF81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使用</w:t>
            </w:r>
          </w:p>
        </w:tc>
        <w:tc>
          <w:tcPr>
            <w:tcW w:w="1385" w:type="dxa"/>
            <w:noWrap/>
            <w:vAlign w:val="center"/>
          </w:tcPr>
          <w:p w14:paraId="6A062B0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1391" w:type="dxa"/>
            <w:noWrap/>
            <w:vAlign w:val="center"/>
          </w:tcPr>
          <w:p w14:paraId="09AD668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7</w:t>
            </w:r>
          </w:p>
        </w:tc>
        <w:tc>
          <w:tcPr>
            <w:tcW w:w="1090" w:type="dxa"/>
            <w:vMerge w:val="restart"/>
            <w:noWrap/>
            <w:vAlign w:val="center"/>
          </w:tcPr>
          <w:p w14:paraId="5C42878E"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7.59</w:t>
            </w:r>
            <w:r w:rsidRPr="00B12FE0">
              <w:rPr>
                <w:color w:val="000000" w:themeColor="text1"/>
                <w:sz w:val="21"/>
                <w:szCs w:val="21"/>
              </w:rPr>
              <w:t>×10</w:t>
            </w:r>
            <w:r w:rsidRPr="00B12FE0">
              <w:rPr>
                <w:rFonts w:hint="eastAsia"/>
                <w:color w:val="000000" w:themeColor="text1"/>
                <w:sz w:val="21"/>
                <w:szCs w:val="21"/>
                <w:vertAlign w:val="superscript"/>
              </w:rPr>
              <w:t>8</w:t>
            </w:r>
          </w:p>
        </w:tc>
        <w:tc>
          <w:tcPr>
            <w:tcW w:w="1373" w:type="dxa"/>
            <w:noWrap/>
            <w:vAlign w:val="center"/>
          </w:tcPr>
          <w:p w14:paraId="7F5735D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PET</w:t>
            </w:r>
            <w:r w:rsidRPr="00B12FE0">
              <w:rPr>
                <w:color w:val="000000" w:themeColor="text1"/>
                <w:sz w:val="21"/>
                <w:szCs w:val="21"/>
              </w:rPr>
              <w:t>显像</w:t>
            </w:r>
          </w:p>
          <w:p w14:paraId="4FBA52F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诊断</w:t>
            </w:r>
          </w:p>
        </w:tc>
        <w:tc>
          <w:tcPr>
            <w:tcW w:w="845" w:type="dxa"/>
            <w:vMerge w:val="restart"/>
            <w:noWrap/>
            <w:vAlign w:val="center"/>
          </w:tcPr>
          <w:p w14:paraId="3A0E05A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乙级</w:t>
            </w:r>
          </w:p>
        </w:tc>
      </w:tr>
      <w:tr w:rsidR="00A67F21" w:rsidRPr="00B12FE0" w14:paraId="602AFA2B" w14:textId="77777777">
        <w:trPr>
          <w:trHeight w:val="454"/>
          <w:jc w:val="center"/>
        </w:trPr>
        <w:tc>
          <w:tcPr>
            <w:tcW w:w="927" w:type="dxa"/>
            <w:vMerge/>
            <w:vAlign w:val="center"/>
          </w:tcPr>
          <w:p w14:paraId="68A96F2D" w14:textId="77777777" w:rsidR="00A67F21" w:rsidRPr="00B12FE0" w:rsidRDefault="00A67F21">
            <w:pPr>
              <w:widowControl/>
              <w:jc w:val="left"/>
              <w:rPr>
                <w:color w:val="000000" w:themeColor="text1"/>
                <w:sz w:val="21"/>
                <w:szCs w:val="21"/>
              </w:rPr>
            </w:pPr>
          </w:p>
        </w:tc>
        <w:tc>
          <w:tcPr>
            <w:tcW w:w="1165" w:type="dxa"/>
            <w:noWrap/>
            <w:vAlign w:val="center"/>
          </w:tcPr>
          <w:p w14:paraId="471B102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99</w:t>
            </w:r>
            <w:r w:rsidRPr="00B12FE0">
              <w:rPr>
                <w:color w:val="000000" w:themeColor="text1"/>
                <w:sz w:val="21"/>
                <w:szCs w:val="21"/>
              </w:rPr>
              <w:t>Mo</w:t>
            </w:r>
            <w:r w:rsidRPr="00B12FE0">
              <w:rPr>
                <w:rFonts w:hint="eastAsia"/>
                <w:color w:val="000000" w:themeColor="text1"/>
                <w:sz w:val="21"/>
                <w:szCs w:val="21"/>
              </w:rPr>
              <w:t>-</w:t>
            </w:r>
            <w:r w:rsidRPr="00B12FE0">
              <w:rPr>
                <w:color w:val="000000" w:themeColor="text1"/>
                <w:sz w:val="21"/>
                <w:szCs w:val="21"/>
                <w:vertAlign w:val="superscript"/>
              </w:rPr>
              <w:t>99m</w:t>
            </w:r>
            <w:r w:rsidRPr="00B12FE0">
              <w:rPr>
                <w:color w:val="000000" w:themeColor="text1"/>
                <w:sz w:val="21"/>
                <w:szCs w:val="21"/>
              </w:rPr>
              <w:t>Tc</w:t>
            </w:r>
            <w:r w:rsidRPr="00B12FE0">
              <w:rPr>
                <w:rFonts w:ascii="宋体" w:hAnsi="宋体"/>
                <w:color w:val="000000" w:themeColor="text1"/>
                <w:sz w:val="21"/>
                <w:szCs w:val="21"/>
              </w:rPr>
              <w:t>（</w:t>
            </w:r>
            <w:proofErr w:type="gramStart"/>
            <w:r w:rsidRPr="00B12FE0">
              <w:rPr>
                <w:rFonts w:ascii="宋体" w:hAnsi="宋体"/>
                <w:color w:val="000000" w:themeColor="text1"/>
                <w:sz w:val="21"/>
                <w:szCs w:val="21"/>
              </w:rPr>
              <w:t>钼</w:t>
            </w:r>
            <w:proofErr w:type="gramEnd"/>
            <w:r w:rsidRPr="00B12FE0">
              <w:rPr>
                <w:rFonts w:ascii="宋体" w:hAnsi="宋体"/>
                <w:color w:val="000000" w:themeColor="text1"/>
                <w:sz w:val="21"/>
                <w:szCs w:val="21"/>
              </w:rPr>
              <w:t>锝发生器）</w:t>
            </w:r>
          </w:p>
        </w:tc>
        <w:tc>
          <w:tcPr>
            <w:tcW w:w="900" w:type="dxa"/>
            <w:noWrap/>
            <w:vAlign w:val="center"/>
          </w:tcPr>
          <w:p w14:paraId="7446825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使用</w:t>
            </w:r>
          </w:p>
        </w:tc>
        <w:tc>
          <w:tcPr>
            <w:tcW w:w="1385" w:type="dxa"/>
            <w:noWrap/>
            <w:vAlign w:val="center"/>
          </w:tcPr>
          <w:p w14:paraId="500391A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1391" w:type="dxa"/>
            <w:noWrap/>
            <w:vAlign w:val="center"/>
          </w:tcPr>
          <w:p w14:paraId="33F7C7A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7</w:t>
            </w:r>
          </w:p>
        </w:tc>
        <w:tc>
          <w:tcPr>
            <w:tcW w:w="1090" w:type="dxa"/>
            <w:vMerge/>
            <w:vAlign w:val="center"/>
          </w:tcPr>
          <w:p w14:paraId="43B3218B" w14:textId="77777777" w:rsidR="00A67F21" w:rsidRPr="00B12FE0" w:rsidRDefault="00A67F21">
            <w:pPr>
              <w:widowControl/>
              <w:jc w:val="left"/>
              <w:rPr>
                <w:color w:val="000000" w:themeColor="text1"/>
                <w:sz w:val="21"/>
                <w:szCs w:val="21"/>
              </w:rPr>
            </w:pPr>
          </w:p>
        </w:tc>
        <w:tc>
          <w:tcPr>
            <w:tcW w:w="1373" w:type="dxa"/>
            <w:noWrap/>
            <w:vAlign w:val="center"/>
          </w:tcPr>
          <w:p w14:paraId="4A1A9D1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99m</w:t>
            </w:r>
            <w:r w:rsidRPr="00B12FE0">
              <w:rPr>
                <w:color w:val="000000" w:themeColor="text1"/>
                <w:kern w:val="0"/>
                <w:sz w:val="21"/>
                <w:szCs w:val="21"/>
              </w:rPr>
              <w:t>Tc</w:t>
            </w:r>
            <w:r w:rsidRPr="00B12FE0">
              <w:rPr>
                <w:color w:val="000000" w:themeColor="text1"/>
                <w:kern w:val="0"/>
                <w:sz w:val="21"/>
                <w:szCs w:val="21"/>
              </w:rPr>
              <w:t>淋洗</w:t>
            </w:r>
          </w:p>
        </w:tc>
        <w:tc>
          <w:tcPr>
            <w:tcW w:w="845" w:type="dxa"/>
            <w:vMerge/>
            <w:vAlign w:val="center"/>
          </w:tcPr>
          <w:p w14:paraId="7A09AC7C" w14:textId="77777777" w:rsidR="00A67F21" w:rsidRPr="00B12FE0" w:rsidRDefault="00A67F21">
            <w:pPr>
              <w:widowControl/>
              <w:jc w:val="left"/>
              <w:rPr>
                <w:color w:val="000000" w:themeColor="text1"/>
                <w:sz w:val="21"/>
                <w:szCs w:val="21"/>
              </w:rPr>
            </w:pPr>
          </w:p>
        </w:tc>
      </w:tr>
      <w:tr w:rsidR="00A67F21" w:rsidRPr="00B12FE0" w14:paraId="0D38249C" w14:textId="77777777">
        <w:trPr>
          <w:trHeight w:val="454"/>
          <w:jc w:val="center"/>
        </w:trPr>
        <w:tc>
          <w:tcPr>
            <w:tcW w:w="927" w:type="dxa"/>
            <w:vMerge/>
            <w:vAlign w:val="center"/>
          </w:tcPr>
          <w:p w14:paraId="6BCC3DD4" w14:textId="77777777" w:rsidR="00A67F21" w:rsidRPr="00B12FE0" w:rsidRDefault="00A67F21">
            <w:pPr>
              <w:widowControl/>
              <w:jc w:val="left"/>
              <w:rPr>
                <w:color w:val="000000" w:themeColor="text1"/>
                <w:sz w:val="21"/>
                <w:szCs w:val="21"/>
              </w:rPr>
            </w:pPr>
          </w:p>
        </w:tc>
        <w:tc>
          <w:tcPr>
            <w:tcW w:w="1165" w:type="dxa"/>
            <w:noWrap/>
            <w:vAlign w:val="center"/>
          </w:tcPr>
          <w:p w14:paraId="156CD1AC"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 w:val="21"/>
                <w:szCs w:val="21"/>
                <w:vertAlign w:val="superscript"/>
              </w:rPr>
              <w:t>99m</w:t>
            </w:r>
            <w:r w:rsidRPr="00B12FE0">
              <w:rPr>
                <w:color w:val="000000" w:themeColor="text1"/>
                <w:sz w:val="21"/>
                <w:szCs w:val="21"/>
              </w:rPr>
              <w:t>Tc</w:t>
            </w:r>
          </w:p>
        </w:tc>
        <w:tc>
          <w:tcPr>
            <w:tcW w:w="900" w:type="dxa"/>
            <w:noWrap/>
            <w:vAlign w:val="center"/>
          </w:tcPr>
          <w:p w14:paraId="0AB47D71"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生产、使用</w:t>
            </w:r>
          </w:p>
        </w:tc>
        <w:tc>
          <w:tcPr>
            <w:tcW w:w="1385" w:type="dxa"/>
            <w:noWrap/>
            <w:vAlign w:val="center"/>
          </w:tcPr>
          <w:p w14:paraId="493D163E"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color w:val="000000" w:themeColor="text1"/>
                <w:sz w:val="21"/>
                <w:szCs w:val="21"/>
                <w:vertAlign w:val="superscript"/>
              </w:rPr>
              <w:t>10</w:t>
            </w:r>
          </w:p>
        </w:tc>
        <w:tc>
          <w:tcPr>
            <w:tcW w:w="1391" w:type="dxa"/>
            <w:noWrap/>
            <w:vAlign w:val="center"/>
          </w:tcPr>
          <w:p w14:paraId="478B1939"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rFonts w:hint="eastAsia"/>
                <w:color w:val="000000" w:themeColor="text1"/>
                <w:sz w:val="21"/>
                <w:szCs w:val="21"/>
                <w:vertAlign w:val="superscript"/>
              </w:rPr>
              <w:t>8</w:t>
            </w:r>
          </w:p>
        </w:tc>
        <w:tc>
          <w:tcPr>
            <w:tcW w:w="1090" w:type="dxa"/>
            <w:vMerge/>
            <w:vAlign w:val="center"/>
          </w:tcPr>
          <w:p w14:paraId="3E536B3C" w14:textId="77777777" w:rsidR="00A67F21" w:rsidRPr="00B12FE0" w:rsidRDefault="00A67F21">
            <w:pPr>
              <w:widowControl/>
              <w:jc w:val="left"/>
              <w:rPr>
                <w:color w:val="000000" w:themeColor="text1"/>
                <w:sz w:val="21"/>
                <w:szCs w:val="21"/>
              </w:rPr>
            </w:pPr>
          </w:p>
        </w:tc>
        <w:tc>
          <w:tcPr>
            <w:tcW w:w="1373" w:type="dxa"/>
            <w:noWrap/>
            <w:vAlign w:val="center"/>
          </w:tcPr>
          <w:p w14:paraId="2145BA3C" w14:textId="77777777" w:rsidR="00A67F21" w:rsidRPr="00B12FE0" w:rsidRDefault="00000000">
            <w:pPr>
              <w:widowControl/>
              <w:jc w:val="center"/>
              <w:textAlignment w:val="center"/>
              <w:rPr>
                <w:color w:val="000000" w:themeColor="text1"/>
                <w:kern w:val="0"/>
                <w:sz w:val="21"/>
                <w:szCs w:val="21"/>
                <w:vertAlign w:val="superscript"/>
              </w:rPr>
            </w:pPr>
            <w:r w:rsidRPr="00B12FE0">
              <w:rPr>
                <w:color w:val="000000" w:themeColor="text1"/>
                <w:kern w:val="0"/>
                <w:sz w:val="21"/>
                <w:szCs w:val="21"/>
              </w:rPr>
              <w:t>SPECT</w:t>
            </w:r>
            <w:r w:rsidRPr="00B12FE0">
              <w:rPr>
                <w:color w:val="000000" w:themeColor="text1"/>
                <w:sz w:val="21"/>
                <w:szCs w:val="21"/>
              </w:rPr>
              <w:t>显像诊断</w:t>
            </w:r>
          </w:p>
        </w:tc>
        <w:tc>
          <w:tcPr>
            <w:tcW w:w="845" w:type="dxa"/>
            <w:vMerge/>
            <w:vAlign w:val="center"/>
          </w:tcPr>
          <w:p w14:paraId="0B0656AF" w14:textId="77777777" w:rsidR="00A67F21" w:rsidRPr="00B12FE0" w:rsidRDefault="00A67F21">
            <w:pPr>
              <w:widowControl/>
              <w:jc w:val="left"/>
              <w:rPr>
                <w:color w:val="000000" w:themeColor="text1"/>
                <w:sz w:val="21"/>
                <w:szCs w:val="21"/>
              </w:rPr>
            </w:pPr>
          </w:p>
        </w:tc>
      </w:tr>
      <w:tr w:rsidR="00A67F21" w:rsidRPr="00B12FE0" w14:paraId="6B78874A" w14:textId="77777777">
        <w:trPr>
          <w:trHeight w:val="454"/>
          <w:jc w:val="center"/>
        </w:trPr>
        <w:tc>
          <w:tcPr>
            <w:tcW w:w="927" w:type="dxa"/>
            <w:vMerge/>
            <w:vAlign w:val="center"/>
          </w:tcPr>
          <w:p w14:paraId="3DE12E84" w14:textId="77777777" w:rsidR="00A67F21" w:rsidRPr="00B12FE0" w:rsidRDefault="00A67F21">
            <w:pPr>
              <w:widowControl/>
              <w:jc w:val="left"/>
              <w:rPr>
                <w:color w:val="000000" w:themeColor="text1"/>
                <w:sz w:val="21"/>
                <w:szCs w:val="21"/>
              </w:rPr>
            </w:pPr>
          </w:p>
        </w:tc>
        <w:tc>
          <w:tcPr>
            <w:tcW w:w="1165" w:type="dxa"/>
            <w:vAlign w:val="center"/>
          </w:tcPr>
          <w:p w14:paraId="02C2607D"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 w:val="21"/>
                <w:szCs w:val="21"/>
                <w:vertAlign w:val="superscript"/>
              </w:rPr>
              <w:t>32</w:t>
            </w:r>
            <w:r w:rsidRPr="00B12FE0">
              <w:rPr>
                <w:color w:val="000000" w:themeColor="text1"/>
                <w:sz w:val="21"/>
                <w:szCs w:val="21"/>
              </w:rPr>
              <w:t>P</w:t>
            </w:r>
          </w:p>
        </w:tc>
        <w:tc>
          <w:tcPr>
            <w:tcW w:w="900" w:type="dxa"/>
            <w:noWrap/>
            <w:vAlign w:val="center"/>
          </w:tcPr>
          <w:p w14:paraId="75FC496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使用</w:t>
            </w:r>
          </w:p>
        </w:tc>
        <w:tc>
          <w:tcPr>
            <w:tcW w:w="1385" w:type="dxa"/>
            <w:noWrap/>
            <w:vAlign w:val="center"/>
          </w:tcPr>
          <w:p w14:paraId="6A99559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1391" w:type="dxa"/>
            <w:noWrap/>
            <w:vAlign w:val="center"/>
          </w:tcPr>
          <w:p w14:paraId="1774F91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7</w:t>
            </w:r>
          </w:p>
        </w:tc>
        <w:tc>
          <w:tcPr>
            <w:tcW w:w="1090" w:type="dxa"/>
            <w:vMerge/>
            <w:vAlign w:val="center"/>
          </w:tcPr>
          <w:p w14:paraId="7D84B786" w14:textId="77777777" w:rsidR="00A67F21" w:rsidRPr="00B12FE0" w:rsidRDefault="00A67F21">
            <w:pPr>
              <w:widowControl/>
              <w:jc w:val="left"/>
              <w:rPr>
                <w:color w:val="000000" w:themeColor="text1"/>
                <w:sz w:val="21"/>
                <w:szCs w:val="21"/>
              </w:rPr>
            </w:pPr>
          </w:p>
        </w:tc>
        <w:tc>
          <w:tcPr>
            <w:tcW w:w="1373" w:type="dxa"/>
            <w:noWrap/>
            <w:vAlign w:val="center"/>
          </w:tcPr>
          <w:p w14:paraId="67819D8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敷贴治疗</w:t>
            </w:r>
          </w:p>
        </w:tc>
        <w:tc>
          <w:tcPr>
            <w:tcW w:w="845" w:type="dxa"/>
            <w:vMerge/>
            <w:vAlign w:val="center"/>
          </w:tcPr>
          <w:p w14:paraId="7284CB4F" w14:textId="77777777" w:rsidR="00A67F21" w:rsidRPr="00B12FE0" w:rsidRDefault="00A67F21">
            <w:pPr>
              <w:widowControl/>
              <w:jc w:val="left"/>
              <w:rPr>
                <w:color w:val="000000" w:themeColor="text1"/>
                <w:sz w:val="21"/>
                <w:szCs w:val="21"/>
              </w:rPr>
            </w:pPr>
          </w:p>
        </w:tc>
      </w:tr>
      <w:tr w:rsidR="00A67F21" w:rsidRPr="00B12FE0" w14:paraId="7D54C8EF" w14:textId="77777777">
        <w:trPr>
          <w:trHeight w:val="454"/>
          <w:jc w:val="center"/>
        </w:trPr>
        <w:tc>
          <w:tcPr>
            <w:tcW w:w="927" w:type="dxa"/>
            <w:vMerge/>
            <w:vAlign w:val="center"/>
          </w:tcPr>
          <w:p w14:paraId="09EB09D0" w14:textId="77777777" w:rsidR="00A67F21" w:rsidRPr="00B12FE0" w:rsidRDefault="00A67F21">
            <w:pPr>
              <w:widowControl/>
              <w:jc w:val="left"/>
              <w:rPr>
                <w:color w:val="000000" w:themeColor="text1"/>
                <w:sz w:val="21"/>
                <w:szCs w:val="21"/>
              </w:rPr>
            </w:pPr>
          </w:p>
        </w:tc>
        <w:tc>
          <w:tcPr>
            <w:tcW w:w="1165" w:type="dxa"/>
            <w:vAlign w:val="center"/>
          </w:tcPr>
          <w:p w14:paraId="18E421A5"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color w:val="000000" w:themeColor="text1"/>
                <w:kern w:val="0"/>
                <w:sz w:val="21"/>
                <w:szCs w:val="21"/>
              </w:rPr>
              <w:t>甲测</w:t>
            </w:r>
            <w:proofErr w:type="gramEnd"/>
          </w:p>
        </w:tc>
        <w:tc>
          <w:tcPr>
            <w:tcW w:w="900" w:type="dxa"/>
            <w:noWrap/>
            <w:vAlign w:val="center"/>
          </w:tcPr>
          <w:p w14:paraId="02EB697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使用</w:t>
            </w:r>
          </w:p>
        </w:tc>
        <w:tc>
          <w:tcPr>
            <w:tcW w:w="1385" w:type="dxa"/>
            <w:noWrap/>
            <w:vAlign w:val="center"/>
          </w:tcPr>
          <w:p w14:paraId="1C38FE3A"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6</w:t>
            </w:r>
          </w:p>
        </w:tc>
        <w:tc>
          <w:tcPr>
            <w:tcW w:w="1391" w:type="dxa"/>
            <w:noWrap/>
            <w:vAlign w:val="center"/>
          </w:tcPr>
          <w:p w14:paraId="517DB94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5</w:t>
            </w:r>
          </w:p>
        </w:tc>
        <w:tc>
          <w:tcPr>
            <w:tcW w:w="1090" w:type="dxa"/>
            <w:vMerge/>
            <w:vAlign w:val="center"/>
          </w:tcPr>
          <w:p w14:paraId="5F3AEC0E" w14:textId="77777777" w:rsidR="00A67F21" w:rsidRPr="00B12FE0" w:rsidRDefault="00A67F21">
            <w:pPr>
              <w:widowControl/>
              <w:jc w:val="left"/>
              <w:rPr>
                <w:color w:val="000000" w:themeColor="text1"/>
                <w:sz w:val="21"/>
                <w:szCs w:val="21"/>
              </w:rPr>
            </w:pPr>
          </w:p>
        </w:tc>
        <w:tc>
          <w:tcPr>
            <w:tcW w:w="1373" w:type="dxa"/>
            <w:noWrap/>
            <w:vAlign w:val="center"/>
          </w:tcPr>
          <w:p w14:paraId="727EC58D"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甲测</w:t>
            </w:r>
            <w:proofErr w:type="gramEnd"/>
          </w:p>
        </w:tc>
        <w:tc>
          <w:tcPr>
            <w:tcW w:w="845" w:type="dxa"/>
            <w:vMerge/>
            <w:vAlign w:val="center"/>
          </w:tcPr>
          <w:p w14:paraId="046DA4B8" w14:textId="77777777" w:rsidR="00A67F21" w:rsidRPr="00B12FE0" w:rsidRDefault="00A67F21">
            <w:pPr>
              <w:widowControl/>
              <w:jc w:val="left"/>
              <w:rPr>
                <w:color w:val="000000" w:themeColor="text1"/>
                <w:sz w:val="21"/>
                <w:szCs w:val="21"/>
              </w:rPr>
            </w:pPr>
          </w:p>
        </w:tc>
      </w:tr>
      <w:tr w:rsidR="00A67F21" w:rsidRPr="00B12FE0" w14:paraId="4AEE3014" w14:textId="77777777">
        <w:trPr>
          <w:trHeight w:val="454"/>
          <w:jc w:val="center"/>
        </w:trPr>
        <w:tc>
          <w:tcPr>
            <w:tcW w:w="927" w:type="dxa"/>
            <w:vMerge/>
            <w:noWrap/>
            <w:vAlign w:val="center"/>
          </w:tcPr>
          <w:p w14:paraId="38AD6B77" w14:textId="77777777" w:rsidR="00A67F21" w:rsidRPr="00B12FE0" w:rsidRDefault="00A67F21">
            <w:pPr>
              <w:widowControl/>
              <w:jc w:val="center"/>
              <w:textAlignment w:val="center"/>
              <w:rPr>
                <w:color w:val="000000" w:themeColor="text1"/>
                <w:sz w:val="21"/>
                <w:szCs w:val="21"/>
              </w:rPr>
            </w:pPr>
          </w:p>
        </w:tc>
        <w:tc>
          <w:tcPr>
            <w:tcW w:w="1165" w:type="dxa"/>
            <w:noWrap/>
            <w:vAlign w:val="center"/>
          </w:tcPr>
          <w:p w14:paraId="70008AC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color w:val="000000" w:themeColor="text1"/>
                <w:kern w:val="0"/>
                <w:sz w:val="21"/>
                <w:szCs w:val="21"/>
              </w:rPr>
              <w:t>甲亢</w:t>
            </w:r>
          </w:p>
        </w:tc>
        <w:tc>
          <w:tcPr>
            <w:tcW w:w="900" w:type="dxa"/>
            <w:noWrap/>
            <w:vAlign w:val="center"/>
          </w:tcPr>
          <w:p w14:paraId="5FD89FE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使用</w:t>
            </w:r>
          </w:p>
        </w:tc>
        <w:tc>
          <w:tcPr>
            <w:tcW w:w="1385" w:type="dxa"/>
            <w:noWrap/>
            <w:vAlign w:val="center"/>
          </w:tcPr>
          <w:p w14:paraId="147B2FF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color w:val="000000" w:themeColor="text1"/>
                <w:sz w:val="21"/>
                <w:szCs w:val="21"/>
                <w:vertAlign w:val="superscript"/>
              </w:rPr>
              <w:t>9</w:t>
            </w:r>
          </w:p>
        </w:tc>
        <w:tc>
          <w:tcPr>
            <w:tcW w:w="1391" w:type="dxa"/>
            <w:noWrap/>
            <w:vAlign w:val="center"/>
          </w:tcPr>
          <w:p w14:paraId="54EC08C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color w:val="000000" w:themeColor="text1"/>
                <w:sz w:val="21"/>
                <w:szCs w:val="21"/>
                <w:vertAlign w:val="superscript"/>
              </w:rPr>
              <w:t>8</w:t>
            </w:r>
          </w:p>
        </w:tc>
        <w:tc>
          <w:tcPr>
            <w:tcW w:w="1090" w:type="dxa"/>
            <w:vMerge/>
            <w:noWrap/>
            <w:vAlign w:val="center"/>
          </w:tcPr>
          <w:p w14:paraId="7E1958EF" w14:textId="77777777" w:rsidR="00A67F21" w:rsidRPr="00B12FE0" w:rsidRDefault="00A67F21">
            <w:pPr>
              <w:widowControl/>
              <w:jc w:val="center"/>
              <w:textAlignment w:val="center"/>
              <w:rPr>
                <w:color w:val="000000" w:themeColor="text1"/>
                <w:sz w:val="21"/>
                <w:szCs w:val="21"/>
              </w:rPr>
            </w:pPr>
          </w:p>
        </w:tc>
        <w:tc>
          <w:tcPr>
            <w:tcW w:w="1373" w:type="dxa"/>
            <w:noWrap/>
            <w:vAlign w:val="center"/>
          </w:tcPr>
          <w:p w14:paraId="2D75D43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甲亢治疗</w:t>
            </w:r>
          </w:p>
        </w:tc>
        <w:tc>
          <w:tcPr>
            <w:tcW w:w="845" w:type="dxa"/>
            <w:vMerge/>
            <w:noWrap/>
            <w:vAlign w:val="center"/>
          </w:tcPr>
          <w:p w14:paraId="1C5A2FF3" w14:textId="77777777" w:rsidR="00A67F21" w:rsidRPr="00B12FE0" w:rsidRDefault="00A67F21">
            <w:pPr>
              <w:widowControl/>
              <w:jc w:val="center"/>
              <w:textAlignment w:val="center"/>
              <w:rPr>
                <w:color w:val="000000" w:themeColor="text1"/>
                <w:sz w:val="21"/>
                <w:szCs w:val="21"/>
              </w:rPr>
            </w:pPr>
          </w:p>
        </w:tc>
      </w:tr>
      <w:tr w:rsidR="00A67F21" w:rsidRPr="00B12FE0" w14:paraId="20E50686" w14:textId="77777777">
        <w:trPr>
          <w:trHeight w:val="454"/>
          <w:jc w:val="center"/>
        </w:trPr>
        <w:tc>
          <w:tcPr>
            <w:tcW w:w="927" w:type="dxa"/>
            <w:vAlign w:val="center"/>
          </w:tcPr>
          <w:p w14:paraId="2EB74EF3" w14:textId="77777777" w:rsidR="00A67F21" w:rsidRPr="00B12FE0" w:rsidRDefault="00000000">
            <w:pPr>
              <w:widowControl/>
              <w:jc w:val="left"/>
              <w:rPr>
                <w:color w:val="000000" w:themeColor="text1"/>
                <w:sz w:val="21"/>
                <w:szCs w:val="21"/>
              </w:rPr>
            </w:pPr>
            <w:r w:rsidRPr="00B12FE0">
              <w:rPr>
                <w:color w:val="000000" w:themeColor="text1"/>
                <w:kern w:val="0"/>
                <w:sz w:val="21"/>
                <w:szCs w:val="21"/>
              </w:rPr>
              <w:t>核素治疗场所</w:t>
            </w:r>
          </w:p>
        </w:tc>
        <w:tc>
          <w:tcPr>
            <w:tcW w:w="1165" w:type="dxa"/>
            <w:noWrap/>
            <w:vAlign w:val="center"/>
          </w:tcPr>
          <w:p w14:paraId="495C986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color w:val="000000" w:themeColor="text1"/>
                <w:kern w:val="0"/>
                <w:sz w:val="21"/>
                <w:szCs w:val="21"/>
              </w:rPr>
              <w:t>甲癌</w:t>
            </w:r>
            <w:proofErr w:type="gramEnd"/>
          </w:p>
        </w:tc>
        <w:tc>
          <w:tcPr>
            <w:tcW w:w="900" w:type="dxa"/>
            <w:noWrap/>
            <w:vAlign w:val="center"/>
          </w:tcPr>
          <w:p w14:paraId="004F258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使用</w:t>
            </w:r>
          </w:p>
        </w:tc>
        <w:tc>
          <w:tcPr>
            <w:tcW w:w="1385" w:type="dxa"/>
            <w:noWrap/>
            <w:vAlign w:val="center"/>
          </w:tcPr>
          <w:p w14:paraId="776030F1"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3.55</w:t>
            </w:r>
            <w:r w:rsidRPr="00B12FE0">
              <w:rPr>
                <w:color w:val="000000" w:themeColor="text1"/>
                <w:sz w:val="21"/>
                <w:szCs w:val="21"/>
              </w:rPr>
              <w:t>×10</w:t>
            </w:r>
            <w:r w:rsidRPr="00B12FE0">
              <w:rPr>
                <w:color w:val="000000" w:themeColor="text1"/>
                <w:sz w:val="21"/>
                <w:szCs w:val="21"/>
                <w:vertAlign w:val="superscript"/>
              </w:rPr>
              <w:t>10</w:t>
            </w:r>
          </w:p>
        </w:tc>
        <w:tc>
          <w:tcPr>
            <w:tcW w:w="2481" w:type="dxa"/>
            <w:gridSpan w:val="2"/>
            <w:noWrap/>
            <w:vAlign w:val="center"/>
          </w:tcPr>
          <w:p w14:paraId="40427986" w14:textId="77777777" w:rsidR="00A67F21" w:rsidRPr="00B12FE0" w:rsidRDefault="00000000">
            <w:pPr>
              <w:jc w:val="center"/>
              <w:rPr>
                <w:color w:val="000000" w:themeColor="text1"/>
                <w:sz w:val="21"/>
                <w:szCs w:val="21"/>
              </w:rPr>
            </w:pPr>
            <w:r w:rsidRPr="00B12FE0">
              <w:rPr>
                <w:rFonts w:hint="eastAsia"/>
                <w:color w:val="000000" w:themeColor="text1"/>
                <w:kern w:val="0"/>
                <w:sz w:val="21"/>
                <w:szCs w:val="21"/>
              </w:rPr>
              <w:t>3.55</w:t>
            </w:r>
            <w:r w:rsidRPr="00B12FE0">
              <w:rPr>
                <w:color w:val="000000" w:themeColor="text1"/>
                <w:sz w:val="21"/>
                <w:szCs w:val="21"/>
              </w:rPr>
              <w:t>×10</w:t>
            </w:r>
            <w:r w:rsidRPr="00B12FE0">
              <w:rPr>
                <w:color w:val="000000" w:themeColor="text1"/>
                <w:sz w:val="21"/>
                <w:szCs w:val="21"/>
                <w:vertAlign w:val="superscript"/>
              </w:rPr>
              <w:t>9</w:t>
            </w:r>
          </w:p>
        </w:tc>
        <w:tc>
          <w:tcPr>
            <w:tcW w:w="1373" w:type="dxa"/>
            <w:noWrap/>
            <w:vAlign w:val="center"/>
          </w:tcPr>
          <w:p w14:paraId="513CE82A"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甲癌治疗</w:t>
            </w:r>
            <w:proofErr w:type="gramEnd"/>
          </w:p>
        </w:tc>
        <w:tc>
          <w:tcPr>
            <w:tcW w:w="845" w:type="dxa"/>
            <w:vAlign w:val="center"/>
          </w:tcPr>
          <w:p w14:paraId="28A36EF9" w14:textId="77777777" w:rsidR="00A67F21" w:rsidRPr="00B12FE0" w:rsidRDefault="00000000">
            <w:pPr>
              <w:widowControl/>
              <w:jc w:val="left"/>
              <w:rPr>
                <w:color w:val="000000" w:themeColor="text1"/>
                <w:sz w:val="21"/>
                <w:szCs w:val="21"/>
              </w:rPr>
            </w:pPr>
            <w:r w:rsidRPr="00B12FE0">
              <w:rPr>
                <w:color w:val="000000" w:themeColor="text1"/>
                <w:sz w:val="21"/>
                <w:szCs w:val="21"/>
              </w:rPr>
              <w:t>乙级</w:t>
            </w:r>
          </w:p>
        </w:tc>
      </w:tr>
    </w:tbl>
    <w:p w14:paraId="0D3801C6" w14:textId="77777777" w:rsidR="00A67F21" w:rsidRPr="00B12FE0" w:rsidRDefault="00000000">
      <w:pPr>
        <w:adjustRightInd w:val="0"/>
        <w:snapToGrid w:val="0"/>
        <w:spacing w:line="360" w:lineRule="auto"/>
        <w:jc w:val="center"/>
        <w:rPr>
          <w:b/>
          <w:color w:val="000000" w:themeColor="text1"/>
          <w:sz w:val="21"/>
          <w:szCs w:val="21"/>
        </w:rPr>
      </w:pPr>
      <w:r w:rsidRPr="00B12FE0">
        <w:rPr>
          <w:b/>
          <w:color w:val="000000" w:themeColor="text1"/>
          <w:sz w:val="21"/>
          <w:szCs w:val="21"/>
        </w:rPr>
        <w:t xml:space="preserve"> </w:t>
      </w:r>
      <w:r w:rsidRPr="00B12FE0">
        <w:rPr>
          <w:rFonts w:ascii="宋体" w:hAnsi="宋体"/>
          <w:b/>
          <w:color w:val="000000" w:themeColor="text1"/>
          <w:sz w:val="21"/>
          <w:szCs w:val="21"/>
        </w:rPr>
        <w:t>表</w:t>
      </w:r>
      <w:r w:rsidRPr="00B12FE0">
        <w:rPr>
          <w:b/>
          <w:color w:val="000000" w:themeColor="text1"/>
          <w:sz w:val="21"/>
          <w:szCs w:val="21"/>
        </w:rPr>
        <w:t>1.1-</w:t>
      </w:r>
      <w:r w:rsidRPr="00B12FE0">
        <w:rPr>
          <w:rFonts w:hint="eastAsia"/>
          <w:b/>
          <w:color w:val="000000" w:themeColor="text1"/>
          <w:sz w:val="21"/>
          <w:szCs w:val="21"/>
        </w:rPr>
        <w:t>8</w:t>
      </w:r>
      <w:r w:rsidRPr="00B12FE0">
        <w:rPr>
          <w:b/>
          <w:color w:val="000000" w:themeColor="text1"/>
          <w:sz w:val="21"/>
          <w:szCs w:val="21"/>
        </w:rPr>
        <w:t xml:space="preserve">  </w:t>
      </w:r>
      <w:r w:rsidRPr="00B12FE0">
        <w:rPr>
          <w:rFonts w:ascii="宋体" w:hAnsi="宋体"/>
          <w:b/>
          <w:color w:val="000000" w:themeColor="text1"/>
          <w:sz w:val="21"/>
          <w:szCs w:val="21"/>
        </w:rPr>
        <w:t>本项目所涉及射线装置一览表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
        <w:gridCol w:w="803"/>
        <w:gridCol w:w="543"/>
        <w:gridCol w:w="637"/>
        <w:gridCol w:w="583"/>
        <w:gridCol w:w="746"/>
        <w:gridCol w:w="733"/>
        <w:gridCol w:w="2127"/>
        <w:gridCol w:w="856"/>
        <w:gridCol w:w="1355"/>
      </w:tblGrid>
      <w:tr w:rsidR="00A67F21" w:rsidRPr="00B12FE0" w14:paraId="4925654C" w14:textId="77777777">
        <w:trPr>
          <w:trHeight w:val="306"/>
          <w:jc w:val="center"/>
        </w:trPr>
        <w:tc>
          <w:tcPr>
            <w:tcW w:w="634" w:type="dxa"/>
            <w:vMerge w:val="restart"/>
            <w:vAlign w:val="center"/>
          </w:tcPr>
          <w:p w14:paraId="38A8BA29"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场所项目</w:t>
            </w:r>
          </w:p>
        </w:tc>
        <w:tc>
          <w:tcPr>
            <w:tcW w:w="803" w:type="dxa"/>
            <w:vMerge w:val="restart"/>
            <w:vAlign w:val="center"/>
          </w:tcPr>
          <w:p w14:paraId="3BFA7755"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装置</w:t>
            </w:r>
          </w:p>
          <w:p w14:paraId="12C0D9D0"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名称</w:t>
            </w:r>
          </w:p>
        </w:tc>
        <w:tc>
          <w:tcPr>
            <w:tcW w:w="543" w:type="dxa"/>
            <w:vMerge w:val="restart"/>
            <w:vAlign w:val="center"/>
          </w:tcPr>
          <w:p w14:paraId="0B70C38D"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类别</w:t>
            </w:r>
          </w:p>
        </w:tc>
        <w:tc>
          <w:tcPr>
            <w:tcW w:w="637" w:type="dxa"/>
            <w:vMerge w:val="restart"/>
            <w:vAlign w:val="center"/>
          </w:tcPr>
          <w:p w14:paraId="000ABA8A"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型号</w:t>
            </w:r>
          </w:p>
        </w:tc>
        <w:tc>
          <w:tcPr>
            <w:tcW w:w="583" w:type="dxa"/>
            <w:vMerge w:val="restart"/>
            <w:vAlign w:val="center"/>
          </w:tcPr>
          <w:p w14:paraId="36A2EA18"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数量</w:t>
            </w:r>
          </w:p>
        </w:tc>
        <w:tc>
          <w:tcPr>
            <w:tcW w:w="3606" w:type="dxa"/>
            <w:gridSpan w:val="3"/>
            <w:vAlign w:val="center"/>
          </w:tcPr>
          <w:p w14:paraId="22FB69C6"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参数</w:t>
            </w:r>
          </w:p>
        </w:tc>
        <w:tc>
          <w:tcPr>
            <w:tcW w:w="856" w:type="dxa"/>
            <w:vMerge w:val="restart"/>
            <w:vAlign w:val="center"/>
          </w:tcPr>
          <w:p w14:paraId="221583E2" w14:textId="77777777" w:rsidR="00A67F21" w:rsidRPr="00B12FE0" w:rsidRDefault="00000000">
            <w:pPr>
              <w:adjustRightInd w:val="0"/>
              <w:snapToGrid w:val="0"/>
              <w:jc w:val="center"/>
              <w:rPr>
                <w:color w:val="000000" w:themeColor="text1"/>
                <w:sz w:val="21"/>
                <w:szCs w:val="21"/>
              </w:rPr>
            </w:pPr>
            <w:r w:rsidRPr="00B12FE0">
              <w:rPr>
                <w:rFonts w:ascii="宋体" w:hAnsi="宋体"/>
                <w:caps/>
                <w:color w:val="000000" w:themeColor="text1"/>
                <w:sz w:val="21"/>
                <w:szCs w:val="21"/>
              </w:rPr>
              <w:t>用途</w:t>
            </w:r>
          </w:p>
        </w:tc>
        <w:tc>
          <w:tcPr>
            <w:tcW w:w="1355" w:type="dxa"/>
            <w:vMerge w:val="restart"/>
            <w:vAlign w:val="center"/>
          </w:tcPr>
          <w:p w14:paraId="2E713C5C" w14:textId="77777777" w:rsidR="00A67F21" w:rsidRPr="00B12FE0" w:rsidRDefault="00000000">
            <w:pPr>
              <w:adjustRightInd w:val="0"/>
              <w:snapToGrid w:val="0"/>
              <w:jc w:val="center"/>
              <w:rPr>
                <w:color w:val="000000" w:themeColor="text1"/>
                <w:sz w:val="21"/>
                <w:szCs w:val="21"/>
              </w:rPr>
            </w:pPr>
            <w:r w:rsidRPr="00B12FE0">
              <w:rPr>
                <w:rFonts w:ascii="宋体" w:hAnsi="宋体"/>
                <w:caps/>
                <w:color w:val="000000" w:themeColor="text1"/>
                <w:sz w:val="21"/>
                <w:szCs w:val="21"/>
              </w:rPr>
              <w:t>工作场所名称</w:t>
            </w:r>
          </w:p>
        </w:tc>
      </w:tr>
      <w:tr w:rsidR="00A67F21" w:rsidRPr="00B12FE0" w14:paraId="1CBADED7" w14:textId="77777777">
        <w:trPr>
          <w:trHeight w:val="306"/>
          <w:jc w:val="center"/>
        </w:trPr>
        <w:tc>
          <w:tcPr>
            <w:tcW w:w="634" w:type="dxa"/>
            <w:vMerge/>
            <w:vAlign w:val="center"/>
          </w:tcPr>
          <w:p w14:paraId="3AABE036" w14:textId="77777777" w:rsidR="00A67F21" w:rsidRPr="00B12FE0" w:rsidRDefault="00A67F21">
            <w:pPr>
              <w:widowControl/>
              <w:jc w:val="left"/>
              <w:rPr>
                <w:caps/>
                <w:color w:val="000000" w:themeColor="text1"/>
                <w:sz w:val="21"/>
                <w:szCs w:val="21"/>
              </w:rPr>
            </w:pPr>
          </w:p>
        </w:tc>
        <w:tc>
          <w:tcPr>
            <w:tcW w:w="803" w:type="dxa"/>
            <w:vMerge/>
            <w:vAlign w:val="center"/>
          </w:tcPr>
          <w:p w14:paraId="6EC55C05" w14:textId="77777777" w:rsidR="00A67F21" w:rsidRPr="00B12FE0" w:rsidRDefault="00A67F21">
            <w:pPr>
              <w:widowControl/>
              <w:jc w:val="left"/>
              <w:rPr>
                <w:caps/>
                <w:color w:val="000000" w:themeColor="text1"/>
                <w:sz w:val="21"/>
                <w:szCs w:val="21"/>
              </w:rPr>
            </w:pPr>
          </w:p>
        </w:tc>
        <w:tc>
          <w:tcPr>
            <w:tcW w:w="543" w:type="dxa"/>
            <w:vMerge/>
            <w:vAlign w:val="center"/>
          </w:tcPr>
          <w:p w14:paraId="246814F1" w14:textId="77777777" w:rsidR="00A67F21" w:rsidRPr="00B12FE0" w:rsidRDefault="00A67F21">
            <w:pPr>
              <w:widowControl/>
              <w:jc w:val="left"/>
              <w:rPr>
                <w:caps/>
                <w:color w:val="000000" w:themeColor="text1"/>
                <w:sz w:val="21"/>
                <w:szCs w:val="21"/>
              </w:rPr>
            </w:pPr>
          </w:p>
        </w:tc>
        <w:tc>
          <w:tcPr>
            <w:tcW w:w="637" w:type="dxa"/>
            <w:vMerge/>
            <w:vAlign w:val="center"/>
          </w:tcPr>
          <w:p w14:paraId="47F83565" w14:textId="77777777" w:rsidR="00A67F21" w:rsidRPr="00B12FE0" w:rsidRDefault="00A67F21">
            <w:pPr>
              <w:widowControl/>
              <w:jc w:val="left"/>
              <w:rPr>
                <w:caps/>
                <w:color w:val="000000" w:themeColor="text1"/>
                <w:sz w:val="21"/>
                <w:szCs w:val="21"/>
              </w:rPr>
            </w:pPr>
          </w:p>
        </w:tc>
        <w:tc>
          <w:tcPr>
            <w:tcW w:w="583" w:type="dxa"/>
            <w:vMerge/>
            <w:vAlign w:val="center"/>
          </w:tcPr>
          <w:p w14:paraId="18254759" w14:textId="77777777" w:rsidR="00A67F21" w:rsidRPr="00B12FE0" w:rsidRDefault="00A67F21">
            <w:pPr>
              <w:widowControl/>
              <w:jc w:val="left"/>
              <w:rPr>
                <w:caps/>
                <w:color w:val="000000" w:themeColor="text1"/>
                <w:sz w:val="21"/>
                <w:szCs w:val="21"/>
              </w:rPr>
            </w:pPr>
          </w:p>
        </w:tc>
        <w:tc>
          <w:tcPr>
            <w:tcW w:w="746" w:type="dxa"/>
            <w:vAlign w:val="center"/>
          </w:tcPr>
          <w:p w14:paraId="692EEB22"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射线种类</w:t>
            </w:r>
          </w:p>
        </w:tc>
        <w:tc>
          <w:tcPr>
            <w:tcW w:w="733" w:type="dxa"/>
            <w:vAlign w:val="center"/>
          </w:tcPr>
          <w:p w14:paraId="47FF7455"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最大射线能量</w:t>
            </w:r>
          </w:p>
        </w:tc>
        <w:tc>
          <w:tcPr>
            <w:tcW w:w="2127" w:type="dxa"/>
            <w:vAlign w:val="center"/>
          </w:tcPr>
          <w:p w14:paraId="2E1EB9D2"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bCs/>
                <w:color w:val="000000" w:themeColor="text1"/>
                <w:sz w:val="21"/>
                <w:szCs w:val="21"/>
              </w:rPr>
              <w:t>等中心</w:t>
            </w:r>
            <w:r w:rsidRPr="00B12FE0">
              <w:rPr>
                <w:rFonts w:ascii="宋体" w:hAnsi="宋体"/>
                <w:color w:val="000000" w:themeColor="text1"/>
                <w:sz w:val="21"/>
                <w:szCs w:val="21"/>
              </w:rPr>
              <w:t>最大剂量率</w:t>
            </w:r>
          </w:p>
        </w:tc>
        <w:tc>
          <w:tcPr>
            <w:tcW w:w="856" w:type="dxa"/>
            <w:vMerge/>
            <w:vAlign w:val="center"/>
          </w:tcPr>
          <w:p w14:paraId="6BCB7811" w14:textId="77777777" w:rsidR="00A67F21" w:rsidRPr="00B12FE0" w:rsidRDefault="00A67F21">
            <w:pPr>
              <w:widowControl/>
              <w:jc w:val="left"/>
              <w:rPr>
                <w:color w:val="000000" w:themeColor="text1"/>
                <w:sz w:val="21"/>
                <w:szCs w:val="21"/>
              </w:rPr>
            </w:pPr>
          </w:p>
        </w:tc>
        <w:tc>
          <w:tcPr>
            <w:tcW w:w="1355" w:type="dxa"/>
            <w:vMerge/>
            <w:vAlign w:val="center"/>
          </w:tcPr>
          <w:p w14:paraId="77CA08A7" w14:textId="77777777" w:rsidR="00A67F21" w:rsidRPr="00B12FE0" w:rsidRDefault="00A67F21">
            <w:pPr>
              <w:widowControl/>
              <w:jc w:val="left"/>
              <w:rPr>
                <w:color w:val="000000" w:themeColor="text1"/>
                <w:sz w:val="21"/>
                <w:szCs w:val="21"/>
              </w:rPr>
            </w:pPr>
          </w:p>
        </w:tc>
      </w:tr>
      <w:tr w:rsidR="00A67F21" w:rsidRPr="00B12FE0" w14:paraId="5F2ABF6E" w14:textId="77777777">
        <w:trPr>
          <w:trHeight w:val="306"/>
          <w:jc w:val="center"/>
        </w:trPr>
        <w:tc>
          <w:tcPr>
            <w:tcW w:w="634" w:type="dxa"/>
            <w:vMerge w:val="restart"/>
            <w:vAlign w:val="center"/>
          </w:tcPr>
          <w:p w14:paraId="48038E6F"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放疗科</w:t>
            </w:r>
          </w:p>
        </w:tc>
        <w:tc>
          <w:tcPr>
            <w:tcW w:w="803" w:type="dxa"/>
            <w:vMerge w:val="restart"/>
            <w:vAlign w:val="center"/>
          </w:tcPr>
          <w:p w14:paraId="4B7C183B"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直线加速器</w:t>
            </w:r>
          </w:p>
        </w:tc>
        <w:tc>
          <w:tcPr>
            <w:tcW w:w="543" w:type="dxa"/>
            <w:vMerge w:val="restart"/>
            <w:vAlign w:val="center"/>
          </w:tcPr>
          <w:p w14:paraId="72BA7C74" w14:textId="77777777" w:rsidR="00A67F21" w:rsidRPr="00B12FE0" w:rsidRDefault="00000000">
            <w:pPr>
              <w:adjustRightInd w:val="0"/>
              <w:snapToGrid w:val="0"/>
              <w:jc w:val="center"/>
              <w:rPr>
                <w:caps/>
                <w:color w:val="000000" w:themeColor="text1"/>
                <w:sz w:val="21"/>
                <w:szCs w:val="21"/>
              </w:rPr>
            </w:pPr>
            <w:r w:rsidRPr="00B12FE0">
              <w:rPr>
                <w:caps/>
                <w:color w:val="000000" w:themeColor="text1"/>
                <w:sz w:val="21"/>
                <w:szCs w:val="21"/>
              </w:rPr>
              <w:t>Ⅱ</w:t>
            </w:r>
            <w:r w:rsidRPr="00B12FE0">
              <w:rPr>
                <w:rFonts w:ascii="宋体" w:hAnsi="宋体"/>
                <w:caps/>
                <w:color w:val="000000" w:themeColor="text1"/>
                <w:sz w:val="21"/>
                <w:szCs w:val="21"/>
              </w:rPr>
              <w:t>类</w:t>
            </w:r>
          </w:p>
        </w:tc>
        <w:tc>
          <w:tcPr>
            <w:tcW w:w="637" w:type="dxa"/>
            <w:vMerge w:val="restart"/>
            <w:vAlign w:val="center"/>
          </w:tcPr>
          <w:p w14:paraId="774552FE"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待定</w:t>
            </w:r>
          </w:p>
        </w:tc>
        <w:tc>
          <w:tcPr>
            <w:tcW w:w="583" w:type="dxa"/>
            <w:vMerge w:val="restart"/>
            <w:vAlign w:val="center"/>
          </w:tcPr>
          <w:p w14:paraId="398DC6FF" w14:textId="77777777" w:rsidR="00A67F21" w:rsidRPr="00B12FE0" w:rsidRDefault="00000000">
            <w:pPr>
              <w:adjustRightInd w:val="0"/>
              <w:snapToGrid w:val="0"/>
              <w:jc w:val="center"/>
              <w:rPr>
                <w:caps/>
                <w:color w:val="000000" w:themeColor="text1"/>
                <w:sz w:val="21"/>
                <w:szCs w:val="21"/>
              </w:rPr>
            </w:pPr>
            <w:r w:rsidRPr="00B12FE0">
              <w:rPr>
                <w:rFonts w:hint="eastAsia"/>
                <w:caps/>
                <w:color w:val="000000" w:themeColor="text1"/>
                <w:sz w:val="21"/>
                <w:szCs w:val="21"/>
              </w:rPr>
              <w:t>2</w:t>
            </w:r>
            <w:r w:rsidRPr="00B12FE0">
              <w:rPr>
                <w:rFonts w:ascii="宋体" w:hAnsi="宋体"/>
                <w:caps/>
                <w:color w:val="000000" w:themeColor="text1"/>
                <w:sz w:val="21"/>
                <w:szCs w:val="21"/>
              </w:rPr>
              <w:t>台</w:t>
            </w:r>
          </w:p>
        </w:tc>
        <w:tc>
          <w:tcPr>
            <w:tcW w:w="746" w:type="dxa"/>
            <w:vMerge w:val="restart"/>
            <w:vAlign w:val="center"/>
          </w:tcPr>
          <w:p w14:paraId="0F17EDB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X</w:t>
            </w:r>
            <w:r w:rsidRPr="00B12FE0">
              <w:rPr>
                <w:rFonts w:ascii="宋体" w:hAnsi="宋体"/>
                <w:color w:val="000000" w:themeColor="text1"/>
                <w:sz w:val="21"/>
                <w:szCs w:val="21"/>
              </w:rPr>
              <w:t>射线</w:t>
            </w:r>
          </w:p>
        </w:tc>
        <w:tc>
          <w:tcPr>
            <w:tcW w:w="733" w:type="dxa"/>
            <w:vAlign w:val="center"/>
          </w:tcPr>
          <w:p w14:paraId="24067CF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15MV</w:t>
            </w:r>
          </w:p>
        </w:tc>
        <w:tc>
          <w:tcPr>
            <w:tcW w:w="2127" w:type="dxa"/>
            <w:vAlign w:val="center"/>
          </w:tcPr>
          <w:p w14:paraId="27F4C52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6Gy/</w:t>
            </w:r>
            <w:r w:rsidRPr="00B12FE0">
              <w:rPr>
                <w:rFonts w:hint="eastAsia"/>
                <w:color w:val="000000" w:themeColor="text1"/>
                <w:sz w:val="21"/>
                <w:szCs w:val="21"/>
              </w:rPr>
              <w:t>min</w:t>
            </w:r>
          </w:p>
        </w:tc>
        <w:tc>
          <w:tcPr>
            <w:tcW w:w="856" w:type="dxa"/>
            <w:vMerge w:val="restart"/>
            <w:vAlign w:val="center"/>
          </w:tcPr>
          <w:p w14:paraId="743C568F"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放疗</w:t>
            </w:r>
          </w:p>
          <w:p w14:paraId="49D1B3A5"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治疗</w:t>
            </w:r>
          </w:p>
        </w:tc>
        <w:tc>
          <w:tcPr>
            <w:tcW w:w="1355" w:type="dxa"/>
            <w:vMerge w:val="restart"/>
            <w:vAlign w:val="center"/>
          </w:tcPr>
          <w:p w14:paraId="0CE598FC" w14:textId="77777777" w:rsidR="00A67F21" w:rsidRPr="00B12FE0" w:rsidRDefault="00000000">
            <w:pPr>
              <w:adjustRightInd w:val="0"/>
              <w:snapToGrid w:val="0"/>
              <w:jc w:val="center"/>
              <w:rPr>
                <w:caps/>
                <w:color w:val="000000" w:themeColor="text1"/>
                <w:sz w:val="21"/>
                <w:szCs w:val="21"/>
              </w:rPr>
            </w:pPr>
            <w:r w:rsidRPr="00B12FE0">
              <w:rPr>
                <w:rFonts w:ascii="宋体" w:hAnsi="宋体"/>
                <w:bCs/>
                <w:color w:val="000000" w:themeColor="text1"/>
                <w:sz w:val="21"/>
                <w:szCs w:val="21"/>
              </w:rPr>
              <w:t>肿瘤治疗中心</w:t>
            </w:r>
            <w:r w:rsidRPr="00B12FE0">
              <w:rPr>
                <w:rFonts w:ascii="宋体" w:hAnsi="宋体"/>
                <w:color w:val="000000" w:themeColor="text1"/>
                <w:sz w:val="21"/>
                <w:szCs w:val="21"/>
              </w:rPr>
              <w:t>综合楼一层</w:t>
            </w:r>
            <w:r w:rsidRPr="00B12FE0">
              <w:rPr>
                <w:rFonts w:ascii="宋体" w:hAnsi="宋体" w:hint="eastAsia"/>
                <w:color w:val="000000" w:themeColor="text1"/>
                <w:sz w:val="21"/>
                <w:szCs w:val="21"/>
              </w:rPr>
              <w:t>北侧放疗中心加速器机房</w:t>
            </w:r>
          </w:p>
        </w:tc>
      </w:tr>
      <w:tr w:rsidR="00A67F21" w:rsidRPr="00B12FE0" w14:paraId="486A81B3" w14:textId="77777777">
        <w:trPr>
          <w:trHeight w:val="404"/>
          <w:jc w:val="center"/>
        </w:trPr>
        <w:tc>
          <w:tcPr>
            <w:tcW w:w="634" w:type="dxa"/>
            <w:vMerge/>
            <w:vAlign w:val="center"/>
          </w:tcPr>
          <w:p w14:paraId="05FECE88" w14:textId="77777777" w:rsidR="00A67F21" w:rsidRPr="00B12FE0" w:rsidRDefault="00A67F21">
            <w:pPr>
              <w:widowControl/>
              <w:jc w:val="left"/>
              <w:rPr>
                <w:caps/>
                <w:color w:val="000000" w:themeColor="text1"/>
                <w:sz w:val="21"/>
                <w:szCs w:val="21"/>
              </w:rPr>
            </w:pPr>
          </w:p>
        </w:tc>
        <w:tc>
          <w:tcPr>
            <w:tcW w:w="803" w:type="dxa"/>
            <w:vMerge/>
            <w:vAlign w:val="center"/>
          </w:tcPr>
          <w:p w14:paraId="1B45FCA4" w14:textId="77777777" w:rsidR="00A67F21" w:rsidRPr="00B12FE0" w:rsidRDefault="00A67F21">
            <w:pPr>
              <w:widowControl/>
              <w:jc w:val="left"/>
              <w:rPr>
                <w:caps/>
                <w:color w:val="000000" w:themeColor="text1"/>
                <w:sz w:val="21"/>
                <w:szCs w:val="21"/>
              </w:rPr>
            </w:pPr>
          </w:p>
        </w:tc>
        <w:tc>
          <w:tcPr>
            <w:tcW w:w="543" w:type="dxa"/>
            <w:vMerge/>
            <w:vAlign w:val="center"/>
          </w:tcPr>
          <w:p w14:paraId="66F9F31F" w14:textId="77777777" w:rsidR="00A67F21" w:rsidRPr="00B12FE0" w:rsidRDefault="00A67F21">
            <w:pPr>
              <w:widowControl/>
              <w:jc w:val="left"/>
              <w:rPr>
                <w:caps/>
                <w:color w:val="000000" w:themeColor="text1"/>
                <w:sz w:val="21"/>
                <w:szCs w:val="21"/>
              </w:rPr>
            </w:pPr>
          </w:p>
        </w:tc>
        <w:tc>
          <w:tcPr>
            <w:tcW w:w="637" w:type="dxa"/>
            <w:vMerge/>
            <w:vAlign w:val="center"/>
          </w:tcPr>
          <w:p w14:paraId="1DF0DA69" w14:textId="77777777" w:rsidR="00A67F21" w:rsidRPr="00B12FE0" w:rsidRDefault="00A67F21">
            <w:pPr>
              <w:widowControl/>
              <w:jc w:val="left"/>
              <w:rPr>
                <w:caps/>
                <w:color w:val="000000" w:themeColor="text1"/>
                <w:sz w:val="21"/>
                <w:szCs w:val="21"/>
              </w:rPr>
            </w:pPr>
          </w:p>
        </w:tc>
        <w:tc>
          <w:tcPr>
            <w:tcW w:w="583" w:type="dxa"/>
            <w:vMerge/>
            <w:vAlign w:val="center"/>
          </w:tcPr>
          <w:p w14:paraId="3BF7A212" w14:textId="77777777" w:rsidR="00A67F21" w:rsidRPr="00B12FE0" w:rsidRDefault="00A67F21">
            <w:pPr>
              <w:widowControl/>
              <w:jc w:val="left"/>
              <w:rPr>
                <w:caps/>
                <w:color w:val="000000" w:themeColor="text1"/>
                <w:sz w:val="21"/>
                <w:szCs w:val="21"/>
              </w:rPr>
            </w:pPr>
          </w:p>
        </w:tc>
        <w:tc>
          <w:tcPr>
            <w:tcW w:w="746" w:type="dxa"/>
            <w:vMerge/>
            <w:vAlign w:val="center"/>
          </w:tcPr>
          <w:p w14:paraId="261161A9" w14:textId="77777777" w:rsidR="00A67F21" w:rsidRPr="00B12FE0" w:rsidRDefault="00A67F21">
            <w:pPr>
              <w:widowControl/>
              <w:jc w:val="left"/>
              <w:rPr>
                <w:color w:val="000000" w:themeColor="text1"/>
                <w:sz w:val="21"/>
                <w:szCs w:val="21"/>
              </w:rPr>
            </w:pPr>
          </w:p>
        </w:tc>
        <w:tc>
          <w:tcPr>
            <w:tcW w:w="733" w:type="dxa"/>
            <w:vMerge w:val="restart"/>
            <w:vAlign w:val="center"/>
          </w:tcPr>
          <w:p w14:paraId="03DC511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10MV</w:t>
            </w:r>
          </w:p>
        </w:tc>
        <w:tc>
          <w:tcPr>
            <w:tcW w:w="2127" w:type="dxa"/>
            <w:vAlign w:val="center"/>
          </w:tcPr>
          <w:p w14:paraId="361E7CEC"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6Gy/</w:t>
            </w:r>
            <w:r w:rsidRPr="00B12FE0">
              <w:rPr>
                <w:rFonts w:hint="eastAsia"/>
                <w:color w:val="000000" w:themeColor="text1"/>
                <w:sz w:val="21"/>
                <w:szCs w:val="21"/>
              </w:rPr>
              <w:t>min</w:t>
            </w:r>
          </w:p>
        </w:tc>
        <w:tc>
          <w:tcPr>
            <w:tcW w:w="856" w:type="dxa"/>
            <w:vMerge/>
            <w:vAlign w:val="center"/>
          </w:tcPr>
          <w:p w14:paraId="4AAB46B8" w14:textId="77777777" w:rsidR="00A67F21" w:rsidRPr="00B12FE0" w:rsidRDefault="00A67F21">
            <w:pPr>
              <w:widowControl/>
              <w:jc w:val="left"/>
              <w:rPr>
                <w:caps/>
                <w:color w:val="000000" w:themeColor="text1"/>
                <w:sz w:val="21"/>
                <w:szCs w:val="21"/>
              </w:rPr>
            </w:pPr>
          </w:p>
        </w:tc>
        <w:tc>
          <w:tcPr>
            <w:tcW w:w="1355" w:type="dxa"/>
            <w:vMerge/>
            <w:vAlign w:val="center"/>
          </w:tcPr>
          <w:p w14:paraId="27C4EAA5" w14:textId="77777777" w:rsidR="00A67F21" w:rsidRPr="00B12FE0" w:rsidRDefault="00A67F21">
            <w:pPr>
              <w:widowControl/>
              <w:jc w:val="left"/>
              <w:rPr>
                <w:caps/>
                <w:color w:val="000000" w:themeColor="text1"/>
                <w:sz w:val="21"/>
                <w:szCs w:val="21"/>
              </w:rPr>
            </w:pPr>
          </w:p>
        </w:tc>
      </w:tr>
      <w:tr w:rsidR="00A67F21" w:rsidRPr="00B12FE0" w14:paraId="5A608799" w14:textId="77777777">
        <w:trPr>
          <w:trHeight w:val="392"/>
          <w:jc w:val="center"/>
        </w:trPr>
        <w:tc>
          <w:tcPr>
            <w:tcW w:w="634" w:type="dxa"/>
            <w:vMerge/>
            <w:vAlign w:val="center"/>
          </w:tcPr>
          <w:p w14:paraId="38FE8DFD" w14:textId="77777777" w:rsidR="00A67F21" w:rsidRPr="00B12FE0" w:rsidRDefault="00A67F21">
            <w:pPr>
              <w:widowControl/>
              <w:jc w:val="left"/>
              <w:rPr>
                <w:caps/>
                <w:color w:val="000000" w:themeColor="text1"/>
                <w:sz w:val="21"/>
                <w:szCs w:val="21"/>
              </w:rPr>
            </w:pPr>
          </w:p>
        </w:tc>
        <w:tc>
          <w:tcPr>
            <w:tcW w:w="803" w:type="dxa"/>
            <w:vMerge/>
            <w:vAlign w:val="center"/>
          </w:tcPr>
          <w:p w14:paraId="1899F436" w14:textId="77777777" w:rsidR="00A67F21" w:rsidRPr="00B12FE0" w:rsidRDefault="00A67F21">
            <w:pPr>
              <w:widowControl/>
              <w:jc w:val="left"/>
              <w:rPr>
                <w:caps/>
                <w:color w:val="000000" w:themeColor="text1"/>
                <w:sz w:val="21"/>
                <w:szCs w:val="21"/>
              </w:rPr>
            </w:pPr>
          </w:p>
        </w:tc>
        <w:tc>
          <w:tcPr>
            <w:tcW w:w="543" w:type="dxa"/>
            <w:vMerge/>
            <w:vAlign w:val="center"/>
          </w:tcPr>
          <w:p w14:paraId="653A722A" w14:textId="77777777" w:rsidR="00A67F21" w:rsidRPr="00B12FE0" w:rsidRDefault="00A67F21">
            <w:pPr>
              <w:widowControl/>
              <w:jc w:val="left"/>
              <w:rPr>
                <w:caps/>
                <w:color w:val="000000" w:themeColor="text1"/>
                <w:sz w:val="21"/>
                <w:szCs w:val="21"/>
              </w:rPr>
            </w:pPr>
          </w:p>
        </w:tc>
        <w:tc>
          <w:tcPr>
            <w:tcW w:w="637" w:type="dxa"/>
            <w:vMerge/>
            <w:vAlign w:val="center"/>
          </w:tcPr>
          <w:p w14:paraId="0E3A9817" w14:textId="77777777" w:rsidR="00A67F21" w:rsidRPr="00B12FE0" w:rsidRDefault="00A67F21">
            <w:pPr>
              <w:widowControl/>
              <w:jc w:val="left"/>
              <w:rPr>
                <w:caps/>
                <w:color w:val="000000" w:themeColor="text1"/>
                <w:sz w:val="21"/>
                <w:szCs w:val="21"/>
              </w:rPr>
            </w:pPr>
          </w:p>
        </w:tc>
        <w:tc>
          <w:tcPr>
            <w:tcW w:w="583" w:type="dxa"/>
            <w:vMerge/>
            <w:vAlign w:val="center"/>
          </w:tcPr>
          <w:p w14:paraId="78E9743B" w14:textId="77777777" w:rsidR="00A67F21" w:rsidRPr="00B12FE0" w:rsidRDefault="00A67F21">
            <w:pPr>
              <w:widowControl/>
              <w:jc w:val="left"/>
              <w:rPr>
                <w:caps/>
                <w:color w:val="000000" w:themeColor="text1"/>
                <w:sz w:val="21"/>
                <w:szCs w:val="21"/>
              </w:rPr>
            </w:pPr>
          </w:p>
        </w:tc>
        <w:tc>
          <w:tcPr>
            <w:tcW w:w="746" w:type="dxa"/>
            <w:vMerge/>
            <w:vAlign w:val="center"/>
          </w:tcPr>
          <w:p w14:paraId="2F1CFF62" w14:textId="77777777" w:rsidR="00A67F21" w:rsidRPr="00B12FE0" w:rsidRDefault="00A67F21">
            <w:pPr>
              <w:widowControl/>
              <w:jc w:val="left"/>
              <w:rPr>
                <w:color w:val="000000" w:themeColor="text1"/>
                <w:sz w:val="21"/>
                <w:szCs w:val="21"/>
              </w:rPr>
            </w:pPr>
          </w:p>
        </w:tc>
        <w:tc>
          <w:tcPr>
            <w:tcW w:w="733" w:type="dxa"/>
            <w:vMerge/>
            <w:vAlign w:val="center"/>
          </w:tcPr>
          <w:p w14:paraId="067E2780" w14:textId="77777777" w:rsidR="00A67F21" w:rsidRPr="00B12FE0" w:rsidRDefault="00A67F21">
            <w:pPr>
              <w:widowControl/>
              <w:jc w:val="left"/>
              <w:rPr>
                <w:color w:val="000000" w:themeColor="text1"/>
                <w:sz w:val="21"/>
                <w:szCs w:val="21"/>
              </w:rPr>
            </w:pPr>
          </w:p>
        </w:tc>
        <w:tc>
          <w:tcPr>
            <w:tcW w:w="2127" w:type="dxa"/>
            <w:vAlign w:val="center"/>
          </w:tcPr>
          <w:p w14:paraId="30BE0542"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24Gy/</w:t>
            </w:r>
            <w:r w:rsidRPr="00B12FE0">
              <w:rPr>
                <w:rFonts w:hint="eastAsia"/>
                <w:color w:val="000000" w:themeColor="text1"/>
                <w:sz w:val="21"/>
                <w:szCs w:val="21"/>
              </w:rPr>
              <w:t>min</w:t>
            </w:r>
            <w:r w:rsidRPr="00B12FE0">
              <w:rPr>
                <w:rFonts w:ascii="宋体" w:hAnsi="宋体" w:hint="eastAsia"/>
                <w:color w:val="000000" w:themeColor="text1"/>
                <w:sz w:val="21"/>
                <w:szCs w:val="21"/>
              </w:rPr>
              <w:t>（</w:t>
            </w:r>
            <w:r w:rsidRPr="00B12FE0">
              <w:rPr>
                <w:rFonts w:hint="eastAsia"/>
                <w:color w:val="000000" w:themeColor="text1"/>
                <w:sz w:val="21"/>
                <w:szCs w:val="21"/>
              </w:rPr>
              <w:t>F</w:t>
            </w:r>
            <w:r w:rsidRPr="00B12FE0">
              <w:rPr>
                <w:color w:val="000000" w:themeColor="text1"/>
                <w:sz w:val="21"/>
                <w:szCs w:val="21"/>
              </w:rPr>
              <w:t>FF</w:t>
            </w:r>
            <w:r w:rsidRPr="00B12FE0">
              <w:rPr>
                <w:rFonts w:ascii="宋体" w:hAnsi="宋体" w:hint="eastAsia"/>
                <w:color w:val="000000" w:themeColor="text1"/>
                <w:sz w:val="21"/>
                <w:szCs w:val="21"/>
              </w:rPr>
              <w:t>模式）</w:t>
            </w:r>
          </w:p>
        </w:tc>
        <w:tc>
          <w:tcPr>
            <w:tcW w:w="856" w:type="dxa"/>
            <w:vMerge/>
            <w:vAlign w:val="center"/>
          </w:tcPr>
          <w:p w14:paraId="04DC91D1" w14:textId="77777777" w:rsidR="00A67F21" w:rsidRPr="00B12FE0" w:rsidRDefault="00A67F21">
            <w:pPr>
              <w:widowControl/>
              <w:jc w:val="left"/>
              <w:rPr>
                <w:caps/>
                <w:color w:val="000000" w:themeColor="text1"/>
                <w:sz w:val="21"/>
                <w:szCs w:val="21"/>
              </w:rPr>
            </w:pPr>
          </w:p>
        </w:tc>
        <w:tc>
          <w:tcPr>
            <w:tcW w:w="1355" w:type="dxa"/>
            <w:vMerge/>
            <w:vAlign w:val="center"/>
          </w:tcPr>
          <w:p w14:paraId="1CD2B46D" w14:textId="77777777" w:rsidR="00A67F21" w:rsidRPr="00B12FE0" w:rsidRDefault="00A67F21">
            <w:pPr>
              <w:widowControl/>
              <w:jc w:val="left"/>
              <w:rPr>
                <w:caps/>
                <w:color w:val="000000" w:themeColor="text1"/>
                <w:sz w:val="21"/>
                <w:szCs w:val="21"/>
              </w:rPr>
            </w:pPr>
          </w:p>
        </w:tc>
      </w:tr>
      <w:tr w:rsidR="00A67F21" w:rsidRPr="00B12FE0" w14:paraId="0AEB99C8" w14:textId="77777777">
        <w:trPr>
          <w:trHeight w:val="392"/>
          <w:jc w:val="center"/>
        </w:trPr>
        <w:tc>
          <w:tcPr>
            <w:tcW w:w="634" w:type="dxa"/>
            <w:vMerge/>
            <w:vAlign w:val="center"/>
          </w:tcPr>
          <w:p w14:paraId="443ED5CB" w14:textId="77777777" w:rsidR="00A67F21" w:rsidRPr="00B12FE0" w:rsidRDefault="00A67F21">
            <w:pPr>
              <w:widowControl/>
              <w:jc w:val="left"/>
              <w:rPr>
                <w:caps/>
                <w:color w:val="000000" w:themeColor="text1"/>
                <w:sz w:val="21"/>
                <w:szCs w:val="21"/>
              </w:rPr>
            </w:pPr>
          </w:p>
        </w:tc>
        <w:tc>
          <w:tcPr>
            <w:tcW w:w="803" w:type="dxa"/>
            <w:vMerge/>
            <w:vAlign w:val="center"/>
          </w:tcPr>
          <w:p w14:paraId="399CA516" w14:textId="77777777" w:rsidR="00A67F21" w:rsidRPr="00B12FE0" w:rsidRDefault="00A67F21">
            <w:pPr>
              <w:widowControl/>
              <w:jc w:val="left"/>
              <w:rPr>
                <w:caps/>
                <w:color w:val="000000" w:themeColor="text1"/>
                <w:sz w:val="21"/>
                <w:szCs w:val="21"/>
              </w:rPr>
            </w:pPr>
          </w:p>
        </w:tc>
        <w:tc>
          <w:tcPr>
            <w:tcW w:w="543" w:type="dxa"/>
            <w:vMerge/>
            <w:vAlign w:val="center"/>
          </w:tcPr>
          <w:p w14:paraId="49761CC0" w14:textId="77777777" w:rsidR="00A67F21" w:rsidRPr="00B12FE0" w:rsidRDefault="00A67F21">
            <w:pPr>
              <w:widowControl/>
              <w:jc w:val="left"/>
              <w:rPr>
                <w:caps/>
                <w:color w:val="000000" w:themeColor="text1"/>
                <w:sz w:val="21"/>
                <w:szCs w:val="21"/>
              </w:rPr>
            </w:pPr>
          </w:p>
        </w:tc>
        <w:tc>
          <w:tcPr>
            <w:tcW w:w="637" w:type="dxa"/>
            <w:vMerge/>
            <w:vAlign w:val="center"/>
          </w:tcPr>
          <w:p w14:paraId="5339D0D5" w14:textId="77777777" w:rsidR="00A67F21" w:rsidRPr="00B12FE0" w:rsidRDefault="00A67F21">
            <w:pPr>
              <w:widowControl/>
              <w:jc w:val="left"/>
              <w:rPr>
                <w:caps/>
                <w:color w:val="000000" w:themeColor="text1"/>
                <w:sz w:val="21"/>
                <w:szCs w:val="21"/>
              </w:rPr>
            </w:pPr>
          </w:p>
        </w:tc>
        <w:tc>
          <w:tcPr>
            <w:tcW w:w="583" w:type="dxa"/>
            <w:vMerge/>
            <w:vAlign w:val="center"/>
          </w:tcPr>
          <w:p w14:paraId="6C0D6879" w14:textId="77777777" w:rsidR="00A67F21" w:rsidRPr="00B12FE0" w:rsidRDefault="00A67F21">
            <w:pPr>
              <w:widowControl/>
              <w:jc w:val="left"/>
              <w:rPr>
                <w:caps/>
                <w:color w:val="000000" w:themeColor="text1"/>
                <w:sz w:val="21"/>
                <w:szCs w:val="21"/>
              </w:rPr>
            </w:pPr>
          </w:p>
        </w:tc>
        <w:tc>
          <w:tcPr>
            <w:tcW w:w="746" w:type="dxa"/>
            <w:vMerge/>
            <w:vAlign w:val="center"/>
          </w:tcPr>
          <w:p w14:paraId="596DD5C7" w14:textId="77777777" w:rsidR="00A67F21" w:rsidRPr="00B12FE0" w:rsidRDefault="00A67F21">
            <w:pPr>
              <w:widowControl/>
              <w:jc w:val="left"/>
              <w:rPr>
                <w:color w:val="000000" w:themeColor="text1"/>
                <w:sz w:val="21"/>
                <w:szCs w:val="21"/>
              </w:rPr>
            </w:pPr>
          </w:p>
        </w:tc>
        <w:tc>
          <w:tcPr>
            <w:tcW w:w="733" w:type="dxa"/>
            <w:vMerge w:val="restart"/>
            <w:vAlign w:val="center"/>
          </w:tcPr>
          <w:p w14:paraId="65AF1BD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6MV</w:t>
            </w:r>
          </w:p>
        </w:tc>
        <w:tc>
          <w:tcPr>
            <w:tcW w:w="2127" w:type="dxa"/>
            <w:vAlign w:val="center"/>
          </w:tcPr>
          <w:p w14:paraId="09CB09AE"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6Gy/</w:t>
            </w:r>
            <w:r w:rsidRPr="00B12FE0">
              <w:rPr>
                <w:rFonts w:hint="eastAsia"/>
                <w:color w:val="000000" w:themeColor="text1"/>
                <w:sz w:val="21"/>
                <w:szCs w:val="21"/>
              </w:rPr>
              <w:t>min</w:t>
            </w:r>
          </w:p>
        </w:tc>
        <w:tc>
          <w:tcPr>
            <w:tcW w:w="856" w:type="dxa"/>
            <w:vMerge/>
            <w:vAlign w:val="center"/>
          </w:tcPr>
          <w:p w14:paraId="4D3F0923" w14:textId="77777777" w:rsidR="00A67F21" w:rsidRPr="00B12FE0" w:rsidRDefault="00A67F21">
            <w:pPr>
              <w:widowControl/>
              <w:jc w:val="left"/>
              <w:rPr>
                <w:caps/>
                <w:color w:val="000000" w:themeColor="text1"/>
                <w:sz w:val="21"/>
                <w:szCs w:val="21"/>
              </w:rPr>
            </w:pPr>
          </w:p>
        </w:tc>
        <w:tc>
          <w:tcPr>
            <w:tcW w:w="1355" w:type="dxa"/>
            <w:vMerge/>
            <w:vAlign w:val="center"/>
          </w:tcPr>
          <w:p w14:paraId="064E7503" w14:textId="77777777" w:rsidR="00A67F21" w:rsidRPr="00B12FE0" w:rsidRDefault="00A67F21">
            <w:pPr>
              <w:widowControl/>
              <w:jc w:val="left"/>
              <w:rPr>
                <w:caps/>
                <w:color w:val="000000" w:themeColor="text1"/>
                <w:sz w:val="21"/>
                <w:szCs w:val="21"/>
              </w:rPr>
            </w:pPr>
          </w:p>
        </w:tc>
      </w:tr>
      <w:tr w:rsidR="00A67F21" w:rsidRPr="00B12FE0" w14:paraId="60180BAC" w14:textId="77777777">
        <w:trPr>
          <w:trHeight w:val="404"/>
          <w:jc w:val="center"/>
        </w:trPr>
        <w:tc>
          <w:tcPr>
            <w:tcW w:w="634" w:type="dxa"/>
            <w:vMerge/>
            <w:vAlign w:val="center"/>
          </w:tcPr>
          <w:p w14:paraId="0B774F26" w14:textId="77777777" w:rsidR="00A67F21" w:rsidRPr="00B12FE0" w:rsidRDefault="00A67F21">
            <w:pPr>
              <w:widowControl/>
              <w:jc w:val="left"/>
              <w:rPr>
                <w:caps/>
                <w:color w:val="000000" w:themeColor="text1"/>
                <w:sz w:val="21"/>
                <w:szCs w:val="21"/>
              </w:rPr>
            </w:pPr>
          </w:p>
        </w:tc>
        <w:tc>
          <w:tcPr>
            <w:tcW w:w="803" w:type="dxa"/>
            <w:vMerge/>
            <w:vAlign w:val="center"/>
          </w:tcPr>
          <w:p w14:paraId="7B240ED6" w14:textId="77777777" w:rsidR="00A67F21" w:rsidRPr="00B12FE0" w:rsidRDefault="00A67F21">
            <w:pPr>
              <w:widowControl/>
              <w:jc w:val="left"/>
              <w:rPr>
                <w:caps/>
                <w:color w:val="000000" w:themeColor="text1"/>
                <w:sz w:val="21"/>
                <w:szCs w:val="21"/>
              </w:rPr>
            </w:pPr>
          </w:p>
        </w:tc>
        <w:tc>
          <w:tcPr>
            <w:tcW w:w="543" w:type="dxa"/>
            <w:vMerge/>
            <w:vAlign w:val="center"/>
          </w:tcPr>
          <w:p w14:paraId="315A2420" w14:textId="77777777" w:rsidR="00A67F21" w:rsidRPr="00B12FE0" w:rsidRDefault="00A67F21">
            <w:pPr>
              <w:widowControl/>
              <w:jc w:val="left"/>
              <w:rPr>
                <w:caps/>
                <w:color w:val="000000" w:themeColor="text1"/>
                <w:sz w:val="21"/>
                <w:szCs w:val="21"/>
              </w:rPr>
            </w:pPr>
          </w:p>
        </w:tc>
        <w:tc>
          <w:tcPr>
            <w:tcW w:w="637" w:type="dxa"/>
            <w:vMerge/>
            <w:vAlign w:val="center"/>
          </w:tcPr>
          <w:p w14:paraId="6A28A72E" w14:textId="77777777" w:rsidR="00A67F21" w:rsidRPr="00B12FE0" w:rsidRDefault="00A67F21">
            <w:pPr>
              <w:widowControl/>
              <w:jc w:val="left"/>
              <w:rPr>
                <w:caps/>
                <w:color w:val="000000" w:themeColor="text1"/>
                <w:sz w:val="21"/>
                <w:szCs w:val="21"/>
              </w:rPr>
            </w:pPr>
          </w:p>
        </w:tc>
        <w:tc>
          <w:tcPr>
            <w:tcW w:w="583" w:type="dxa"/>
            <w:vMerge/>
            <w:vAlign w:val="center"/>
          </w:tcPr>
          <w:p w14:paraId="34A27B75" w14:textId="77777777" w:rsidR="00A67F21" w:rsidRPr="00B12FE0" w:rsidRDefault="00A67F21">
            <w:pPr>
              <w:widowControl/>
              <w:jc w:val="left"/>
              <w:rPr>
                <w:caps/>
                <w:color w:val="000000" w:themeColor="text1"/>
                <w:sz w:val="21"/>
                <w:szCs w:val="21"/>
              </w:rPr>
            </w:pPr>
          </w:p>
        </w:tc>
        <w:tc>
          <w:tcPr>
            <w:tcW w:w="746" w:type="dxa"/>
            <w:vMerge/>
            <w:vAlign w:val="center"/>
          </w:tcPr>
          <w:p w14:paraId="586718FC" w14:textId="77777777" w:rsidR="00A67F21" w:rsidRPr="00B12FE0" w:rsidRDefault="00A67F21">
            <w:pPr>
              <w:widowControl/>
              <w:jc w:val="left"/>
              <w:rPr>
                <w:color w:val="000000" w:themeColor="text1"/>
                <w:sz w:val="21"/>
                <w:szCs w:val="21"/>
              </w:rPr>
            </w:pPr>
          </w:p>
        </w:tc>
        <w:tc>
          <w:tcPr>
            <w:tcW w:w="733" w:type="dxa"/>
            <w:vMerge/>
            <w:vAlign w:val="center"/>
          </w:tcPr>
          <w:p w14:paraId="06366174" w14:textId="77777777" w:rsidR="00A67F21" w:rsidRPr="00B12FE0" w:rsidRDefault="00A67F21">
            <w:pPr>
              <w:widowControl/>
              <w:jc w:val="left"/>
              <w:rPr>
                <w:color w:val="000000" w:themeColor="text1"/>
                <w:sz w:val="21"/>
                <w:szCs w:val="21"/>
              </w:rPr>
            </w:pPr>
          </w:p>
        </w:tc>
        <w:tc>
          <w:tcPr>
            <w:tcW w:w="2127" w:type="dxa"/>
            <w:vAlign w:val="center"/>
          </w:tcPr>
          <w:p w14:paraId="6F4553D0"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14Gy/min</w:t>
            </w:r>
            <w:r w:rsidRPr="00B12FE0">
              <w:rPr>
                <w:rFonts w:ascii="宋体" w:hAnsi="宋体"/>
                <w:color w:val="000000" w:themeColor="text1"/>
                <w:sz w:val="21"/>
                <w:szCs w:val="21"/>
              </w:rPr>
              <w:t>（</w:t>
            </w:r>
            <w:r w:rsidRPr="00B12FE0">
              <w:rPr>
                <w:color w:val="000000" w:themeColor="text1"/>
                <w:sz w:val="21"/>
                <w:szCs w:val="21"/>
              </w:rPr>
              <w:t>FFF</w:t>
            </w:r>
            <w:r w:rsidRPr="00B12FE0">
              <w:rPr>
                <w:rFonts w:ascii="宋体" w:hAnsi="宋体"/>
                <w:color w:val="000000" w:themeColor="text1"/>
                <w:sz w:val="21"/>
                <w:szCs w:val="21"/>
              </w:rPr>
              <w:t>模式）</w:t>
            </w:r>
          </w:p>
        </w:tc>
        <w:tc>
          <w:tcPr>
            <w:tcW w:w="856" w:type="dxa"/>
            <w:vMerge/>
            <w:vAlign w:val="center"/>
          </w:tcPr>
          <w:p w14:paraId="51AD4700" w14:textId="77777777" w:rsidR="00A67F21" w:rsidRPr="00B12FE0" w:rsidRDefault="00A67F21">
            <w:pPr>
              <w:widowControl/>
              <w:jc w:val="left"/>
              <w:rPr>
                <w:caps/>
                <w:color w:val="000000" w:themeColor="text1"/>
                <w:sz w:val="21"/>
                <w:szCs w:val="21"/>
              </w:rPr>
            </w:pPr>
          </w:p>
        </w:tc>
        <w:tc>
          <w:tcPr>
            <w:tcW w:w="1355" w:type="dxa"/>
            <w:vMerge/>
            <w:vAlign w:val="center"/>
          </w:tcPr>
          <w:p w14:paraId="7F89AF53" w14:textId="77777777" w:rsidR="00A67F21" w:rsidRPr="00B12FE0" w:rsidRDefault="00A67F21">
            <w:pPr>
              <w:widowControl/>
              <w:jc w:val="left"/>
              <w:rPr>
                <w:caps/>
                <w:color w:val="000000" w:themeColor="text1"/>
                <w:sz w:val="21"/>
                <w:szCs w:val="21"/>
              </w:rPr>
            </w:pPr>
          </w:p>
        </w:tc>
      </w:tr>
      <w:tr w:rsidR="00A67F21" w:rsidRPr="00B12FE0" w14:paraId="54BEF49A" w14:textId="77777777">
        <w:trPr>
          <w:trHeight w:val="404"/>
          <w:jc w:val="center"/>
        </w:trPr>
        <w:tc>
          <w:tcPr>
            <w:tcW w:w="634" w:type="dxa"/>
            <w:vMerge/>
            <w:vAlign w:val="center"/>
          </w:tcPr>
          <w:p w14:paraId="15849D87" w14:textId="77777777" w:rsidR="00A67F21" w:rsidRPr="00B12FE0" w:rsidRDefault="00A67F21">
            <w:pPr>
              <w:widowControl/>
              <w:jc w:val="left"/>
              <w:rPr>
                <w:caps/>
                <w:color w:val="000000" w:themeColor="text1"/>
                <w:sz w:val="21"/>
                <w:szCs w:val="21"/>
              </w:rPr>
            </w:pPr>
          </w:p>
        </w:tc>
        <w:tc>
          <w:tcPr>
            <w:tcW w:w="803" w:type="dxa"/>
            <w:vMerge/>
            <w:vAlign w:val="center"/>
          </w:tcPr>
          <w:p w14:paraId="1B9C07EE" w14:textId="77777777" w:rsidR="00A67F21" w:rsidRPr="00B12FE0" w:rsidRDefault="00A67F21">
            <w:pPr>
              <w:widowControl/>
              <w:jc w:val="left"/>
              <w:rPr>
                <w:caps/>
                <w:color w:val="000000" w:themeColor="text1"/>
                <w:sz w:val="21"/>
                <w:szCs w:val="21"/>
              </w:rPr>
            </w:pPr>
          </w:p>
        </w:tc>
        <w:tc>
          <w:tcPr>
            <w:tcW w:w="543" w:type="dxa"/>
            <w:vMerge/>
            <w:vAlign w:val="center"/>
          </w:tcPr>
          <w:p w14:paraId="4BE8FEAA" w14:textId="77777777" w:rsidR="00A67F21" w:rsidRPr="00B12FE0" w:rsidRDefault="00A67F21">
            <w:pPr>
              <w:widowControl/>
              <w:jc w:val="left"/>
              <w:rPr>
                <w:caps/>
                <w:color w:val="000000" w:themeColor="text1"/>
                <w:sz w:val="21"/>
                <w:szCs w:val="21"/>
              </w:rPr>
            </w:pPr>
          </w:p>
        </w:tc>
        <w:tc>
          <w:tcPr>
            <w:tcW w:w="637" w:type="dxa"/>
            <w:vMerge/>
            <w:vAlign w:val="center"/>
          </w:tcPr>
          <w:p w14:paraId="447EAB5B" w14:textId="77777777" w:rsidR="00A67F21" w:rsidRPr="00B12FE0" w:rsidRDefault="00A67F21">
            <w:pPr>
              <w:widowControl/>
              <w:jc w:val="left"/>
              <w:rPr>
                <w:caps/>
                <w:color w:val="000000" w:themeColor="text1"/>
                <w:sz w:val="21"/>
                <w:szCs w:val="21"/>
              </w:rPr>
            </w:pPr>
          </w:p>
        </w:tc>
        <w:tc>
          <w:tcPr>
            <w:tcW w:w="583" w:type="dxa"/>
            <w:vMerge/>
            <w:vAlign w:val="center"/>
          </w:tcPr>
          <w:p w14:paraId="4A80959A" w14:textId="77777777" w:rsidR="00A67F21" w:rsidRPr="00B12FE0" w:rsidRDefault="00A67F21">
            <w:pPr>
              <w:widowControl/>
              <w:jc w:val="left"/>
              <w:rPr>
                <w:caps/>
                <w:color w:val="000000" w:themeColor="text1"/>
                <w:sz w:val="21"/>
                <w:szCs w:val="21"/>
              </w:rPr>
            </w:pPr>
          </w:p>
        </w:tc>
        <w:tc>
          <w:tcPr>
            <w:tcW w:w="746" w:type="dxa"/>
            <w:vAlign w:val="center"/>
          </w:tcPr>
          <w:p w14:paraId="41F82317" w14:textId="77777777" w:rsidR="00A67F21" w:rsidRPr="00B12FE0" w:rsidRDefault="00000000">
            <w:pPr>
              <w:widowControl/>
              <w:jc w:val="left"/>
              <w:rPr>
                <w:color w:val="000000" w:themeColor="text1"/>
                <w:sz w:val="21"/>
                <w:szCs w:val="21"/>
              </w:rPr>
            </w:pPr>
            <w:r w:rsidRPr="00B12FE0">
              <w:rPr>
                <w:rFonts w:ascii="宋体" w:hAnsi="宋体"/>
                <w:color w:val="000000" w:themeColor="text1"/>
                <w:sz w:val="21"/>
                <w:szCs w:val="21"/>
              </w:rPr>
              <w:t>电子线</w:t>
            </w:r>
          </w:p>
        </w:tc>
        <w:tc>
          <w:tcPr>
            <w:tcW w:w="733" w:type="dxa"/>
            <w:vAlign w:val="center"/>
          </w:tcPr>
          <w:p w14:paraId="676703A4" w14:textId="77777777" w:rsidR="00A67F21" w:rsidRPr="00B12FE0" w:rsidRDefault="00000000">
            <w:pPr>
              <w:widowControl/>
              <w:jc w:val="left"/>
              <w:rPr>
                <w:color w:val="000000" w:themeColor="text1"/>
                <w:sz w:val="21"/>
                <w:szCs w:val="21"/>
              </w:rPr>
            </w:pPr>
            <w:r w:rsidRPr="00B12FE0">
              <w:rPr>
                <w:color w:val="000000" w:themeColor="text1"/>
                <w:sz w:val="21"/>
                <w:szCs w:val="21"/>
              </w:rPr>
              <w:t>22MeV</w:t>
            </w:r>
          </w:p>
        </w:tc>
        <w:tc>
          <w:tcPr>
            <w:tcW w:w="2127" w:type="dxa"/>
            <w:vAlign w:val="center"/>
          </w:tcPr>
          <w:p w14:paraId="7603A60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c>
          <w:tcPr>
            <w:tcW w:w="856" w:type="dxa"/>
            <w:vMerge/>
            <w:vAlign w:val="center"/>
          </w:tcPr>
          <w:p w14:paraId="0506747B" w14:textId="77777777" w:rsidR="00A67F21" w:rsidRPr="00B12FE0" w:rsidRDefault="00A67F21">
            <w:pPr>
              <w:widowControl/>
              <w:jc w:val="left"/>
              <w:rPr>
                <w:caps/>
                <w:color w:val="000000" w:themeColor="text1"/>
                <w:sz w:val="21"/>
                <w:szCs w:val="21"/>
              </w:rPr>
            </w:pPr>
          </w:p>
        </w:tc>
        <w:tc>
          <w:tcPr>
            <w:tcW w:w="1355" w:type="dxa"/>
            <w:vMerge/>
            <w:vAlign w:val="center"/>
          </w:tcPr>
          <w:p w14:paraId="63AF3CDE" w14:textId="77777777" w:rsidR="00A67F21" w:rsidRPr="00B12FE0" w:rsidRDefault="00A67F21">
            <w:pPr>
              <w:widowControl/>
              <w:jc w:val="left"/>
              <w:rPr>
                <w:caps/>
                <w:color w:val="000000" w:themeColor="text1"/>
                <w:sz w:val="21"/>
                <w:szCs w:val="21"/>
              </w:rPr>
            </w:pPr>
          </w:p>
        </w:tc>
      </w:tr>
      <w:tr w:rsidR="00A67F21" w:rsidRPr="00B12FE0" w14:paraId="1998DFE5" w14:textId="77777777">
        <w:trPr>
          <w:trHeight w:val="306"/>
          <w:jc w:val="center"/>
        </w:trPr>
        <w:tc>
          <w:tcPr>
            <w:tcW w:w="634" w:type="dxa"/>
            <w:vMerge/>
            <w:vAlign w:val="center"/>
          </w:tcPr>
          <w:p w14:paraId="3CBA9DA0" w14:textId="77777777" w:rsidR="00A67F21" w:rsidRPr="00B12FE0" w:rsidRDefault="00A67F21">
            <w:pPr>
              <w:widowControl/>
              <w:jc w:val="left"/>
              <w:rPr>
                <w:caps/>
                <w:color w:val="000000" w:themeColor="text1"/>
                <w:sz w:val="21"/>
                <w:szCs w:val="21"/>
              </w:rPr>
            </w:pPr>
          </w:p>
        </w:tc>
        <w:tc>
          <w:tcPr>
            <w:tcW w:w="803" w:type="dxa"/>
            <w:vMerge/>
            <w:vAlign w:val="center"/>
          </w:tcPr>
          <w:p w14:paraId="5E3DC942" w14:textId="77777777" w:rsidR="00A67F21" w:rsidRPr="00B12FE0" w:rsidRDefault="00A67F21">
            <w:pPr>
              <w:widowControl/>
              <w:jc w:val="left"/>
              <w:rPr>
                <w:caps/>
                <w:color w:val="000000" w:themeColor="text1"/>
                <w:sz w:val="21"/>
                <w:szCs w:val="21"/>
              </w:rPr>
            </w:pPr>
          </w:p>
        </w:tc>
        <w:tc>
          <w:tcPr>
            <w:tcW w:w="543" w:type="dxa"/>
            <w:vMerge/>
            <w:vAlign w:val="center"/>
          </w:tcPr>
          <w:p w14:paraId="035EC36B" w14:textId="77777777" w:rsidR="00A67F21" w:rsidRPr="00B12FE0" w:rsidRDefault="00A67F21">
            <w:pPr>
              <w:widowControl/>
              <w:jc w:val="left"/>
              <w:rPr>
                <w:caps/>
                <w:color w:val="000000" w:themeColor="text1"/>
                <w:sz w:val="21"/>
                <w:szCs w:val="21"/>
              </w:rPr>
            </w:pPr>
          </w:p>
        </w:tc>
        <w:tc>
          <w:tcPr>
            <w:tcW w:w="637" w:type="dxa"/>
            <w:vMerge/>
            <w:vAlign w:val="center"/>
          </w:tcPr>
          <w:p w14:paraId="657B9C90" w14:textId="77777777" w:rsidR="00A67F21" w:rsidRPr="00B12FE0" w:rsidRDefault="00A67F21">
            <w:pPr>
              <w:widowControl/>
              <w:jc w:val="left"/>
              <w:rPr>
                <w:caps/>
                <w:color w:val="000000" w:themeColor="text1"/>
                <w:sz w:val="21"/>
                <w:szCs w:val="21"/>
              </w:rPr>
            </w:pPr>
          </w:p>
        </w:tc>
        <w:tc>
          <w:tcPr>
            <w:tcW w:w="583" w:type="dxa"/>
            <w:vMerge/>
            <w:vAlign w:val="center"/>
          </w:tcPr>
          <w:p w14:paraId="52321F19" w14:textId="77777777" w:rsidR="00A67F21" w:rsidRPr="00B12FE0" w:rsidRDefault="00A67F21">
            <w:pPr>
              <w:widowControl/>
              <w:jc w:val="left"/>
              <w:rPr>
                <w:caps/>
                <w:color w:val="000000" w:themeColor="text1"/>
                <w:sz w:val="21"/>
                <w:szCs w:val="21"/>
              </w:rPr>
            </w:pPr>
          </w:p>
        </w:tc>
        <w:tc>
          <w:tcPr>
            <w:tcW w:w="3606" w:type="dxa"/>
            <w:gridSpan w:val="3"/>
            <w:vAlign w:val="center"/>
          </w:tcPr>
          <w:p w14:paraId="67DFD34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CBCT</w:t>
            </w:r>
            <w:r w:rsidRPr="00B12FE0">
              <w:rPr>
                <w:rFonts w:hint="eastAsia"/>
                <w:color w:val="000000" w:themeColor="text1"/>
                <w:sz w:val="21"/>
                <w:szCs w:val="21"/>
              </w:rPr>
              <w:t>：最大管电压</w:t>
            </w:r>
            <w:r w:rsidRPr="00B12FE0">
              <w:rPr>
                <w:rFonts w:hint="eastAsia"/>
                <w:color w:val="000000" w:themeColor="text1"/>
                <w:sz w:val="21"/>
                <w:szCs w:val="21"/>
              </w:rPr>
              <w:t>150kV</w:t>
            </w:r>
            <w:r w:rsidRPr="00B12FE0">
              <w:rPr>
                <w:rFonts w:hint="eastAsia"/>
                <w:color w:val="000000" w:themeColor="text1"/>
                <w:sz w:val="21"/>
                <w:szCs w:val="21"/>
              </w:rPr>
              <w:t>，最大管电流</w:t>
            </w:r>
            <w:r w:rsidRPr="00B12FE0">
              <w:rPr>
                <w:rFonts w:hint="eastAsia"/>
                <w:color w:val="000000" w:themeColor="text1"/>
                <w:sz w:val="21"/>
                <w:szCs w:val="21"/>
              </w:rPr>
              <w:t>1000m</w:t>
            </w:r>
          </w:p>
        </w:tc>
        <w:tc>
          <w:tcPr>
            <w:tcW w:w="856" w:type="dxa"/>
            <w:vMerge/>
            <w:vAlign w:val="center"/>
          </w:tcPr>
          <w:p w14:paraId="10BA2D48" w14:textId="77777777" w:rsidR="00A67F21" w:rsidRPr="00B12FE0" w:rsidRDefault="00A67F21">
            <w:pPr>
              <w:widowControl/>
              <w:jc w:val="left"/>
              <w:rPr>
                <w:caps/>
                <w:color w:val="000000" w:themeColor="text1"/>
                <w:sz w:val="21"/>
                <w:szCs w:val="21"/>
              </w:rPr>
            </w:pPr>
          </w:p>
        </w:tc>
        <w:tc>
          <w:tcPr>
            <w:tcW w:w="1355" w:type="dxa"/>
            <w:vMerge/>
            <w:vAlign w:val="center"/>
          </w:tcPr>
          <w:p w14:paraId="5167E3BE" w14:textId="77777777" w:rsidR="00A67F21" w:rsidRPr="00B12FE0" w:rsidRDefault="00A67F21">
            <w:pPr>
              <w:widowControl/>
              <w:jc w:val="left"/>
              <w:rPr>
                <w:caps/>
                <w:color w:val="000000" w:themeColor="text1"/>
                <w:sz w:val="21"/>
                <w:szCs w:val="21"/>
              </w:rPr>
            </w:pPr>
          </w:p>
        </w:tc>
      </w:tr>
      <w:tr w:rsidR="00A67F21" w:rsidRPr="00B12FE0" w14:paraId="5B3FF15B" w14:textId="77777777">
        <w:trPr>
          <w:trHeight w:val="306"/>
          <w:jc w:val="center"/>
        </w:trPr>
        <w:tc>
          <w:tcPr>
            <w:tcW w:w="634" w:type="dxa"/>
            <w:vMerge/>
            <w:vAlign w:val="center"/>
          </w:tcPr>
          <w:p w14:paraId="18D20EF0" w14:textId="77777777" w:rsidR="00A67F21" w:rsidRPr="00B12FE0" w:rsidRDefault="00A67F21">
            <w:pPr>
              <w:widowControl/>
              <w:jc w:val="left"/>
              <w:rPr>
                <w:caps/>
                <w:color w:val="000000" w:themeColor="text1"/>
                <w:sz w:val="21"/>
                <w:szCs w:val="21"/>
              </w:rPr>
            </w:pPr>
          </w:p>
        </w:tc>
        <w:tc>
          <w:tcPr>
            <w:tcW w:w="803" w:type="dxa"/>
            <w:vAlign w:val="center"/>
          </w:tcPr>
          <w:p w14:paraId="4D93D03F" w14:textId="77777777" w:rsidR="00A67F21" w:rsidRPr="00B12FE0" w:rsidRDefault="00000000">
            <w:pPr>
              <w:widowControl/>
              <w:jc w:val="left"/>
              <w:rPr>
                <w:caps/>
                <w:color w:val="000000" w:themeColor="text1"/>
                <w:sz w:val="21"/>
                <w:szCs w:val="21"/>
              </w:rPr>
            </w:pPr>
            <w:r w:rsidRPr="00B12FE0">
              <w:rPr>
                <w:rFonts w:hint="eastAsia"/>
                <w:caps/>
                <w:color w:val="000000" w:themeColor="text1"/>
                <w:sz w:val="21"/>
                <w:szCs w:val="21"/>
              </w:rPr>
              <w:t>模拟定位</w:t>
            </w:r>
            <w:r w:rsidRPr="00B12FE0">
              <w:rPr>
                <w:rFonts w:hint="eastAsia"/>
                <w:caps/>
                <w:color w:val="000000" w:themeColor="text1"/>
                <w:sz w:val="21"/>
                <w:szCs w:val="21"/>
              </w:rPr>
              <w:t>CT</w:t>
            </w:r>
          </w:p>
        </w:tc>
        <w:tc>
          <w:tcPr>
            <w:tcW w:w="543" w:type="dxa"/>
            <w:vAlign w:val="center"/>
          </w:tcPr>
          <w:p w14:paraId="3AA8F088" w14:textId="77777777" w:rsidR="00A67F21" w:rsidRPr="00B12FE0" w:rsidRDefault="00000000">
            <w:pPr>
              <w:widowControl/>
              <w:jc w:val="left"/>
              <w:rPr>
                <w:caps/>
                <w:color w:val="000000" w:themeColor="text1"/>
                <w:sz w:val="21"/>
                <w:szCs w:val="21"/>
              </w:rPr>
            </w:pPr>
            <w:r w:rsidRPr="00B12FE0">
              <w:rPr>
                <w:bCs/>
                <w:color w:val="000000" w:themeColor="text1"/>
                <w:sz w:val="21"/>
                <w:szCs w:val="21"/>
              </w:rPr>
              <w:t>Ⅲ</w:t>
            </w:r>
            <w:r w:rsidRPr="00B12FE0">
              <w:rPr>
                <w:bCs/>
                <w:color w:val="000000" w:themeColor="text1"/>
                <w:sz w:val="21"/>
                <w:szCs w:val="21"/>
              </w:rPr>
              <w:t>类</w:t>
            </w:r>
          </w:p>
        </w:tc>
        <w:tc>
          <w:tcPr>
            <w:tcW w:w="637" w:type="dxa"/>
            <w:vAlign w:val="center"/>
          </w:tcPr>
          <w:p w14:paraId="7E205D9B" w14:textId="77777777" w:rsidR="00A67F21" w:rsidRPr="00B12FE0" w:rsidRDefault="00000000">
            <w:pPr>
              <w:widowControl/>
              <w:jc w:val="left"/>
              <w:rPr>
                <w:caps/>
                <w:color w:val="000000" w:themeColor="text1"/>
                <w:sz w:val="21"/>
                <w:szCs w:val="21"/>
              </w:rPr>
            </w:pPr>
            <w:r w:rsidRPr="00B12FE0">
              <w:rPr>
                <w:rFonts w:hint="eastAsia"/>
                <w:caps/>
                <w:color w:val="000000" w:themeColor="text1"/>
                <w:sz w:val="21"/>
                <w:szCs w:val="21"/>
              </w:rPr>
              <w:t>待定</w:t>
            </w:r>
          </w:p>
        </w:tc>
        <w:tc>
          <w:tcPr>
            <w:tcW w:w="583" w:type="dxa"/>
            <w:vAlign w:val="center"/>
          </w:tcPr>
          <w:p w14:paraId="3AB3F919" w14:textId="77777777" w:rsidR="00A67F21" w:rsidRPr="00B12FE0" w:rsidRDefault="00000000">
            <w:pPr>
              <w:widowControl/>
              <w:jc w:val="left"/>
              <w:rPr>
                <w:caps/>
                <w:color w:val="000000" w:themeColor="text1"/>
                <w:sz w:val="21"/>
                <w:szCs w:val="21"/>
              </w:rPr>
            </w:pPr>
            <w:r w:rsidRPr="00B12FE0">
              <w:rPr>
                <w:rFonts w:hint="eastAsia"/>
                <w:caps/>
                <w:color w:val="000000" w:themeColor="text1"/>
                <w:sz w:val="21"/>
                <w:szCs w:val="21"/>
              </w:rPr>
              <w:t>1</w:t>
            </w:r>
            <w:r w:rsidRPr="00B12FE0">
              <w:rPr>
                <w:caps/>
                <w:color w:val="000000" w:themeColor="text1"/>
                <w:sz w:val="21"/>
                <w:szCs w:val="21"/>
              </w:rPr>
              <w:t>台</w:t>
            </w:r>
          </w:p>
        </w:tc>
        <w:tc>
          <w:tcPr>
            <w:tcW w:w="3606" w:type="dxa"/>
            <w:gridSpan w:val="3"/>
            <w:vAlign w:val="center"/>
          </w:tcPr>
          <w:p w14:paraId="2567FC3D"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aps/>
                <w:color w:val="000000" w:themeColor="text1"/>
                <w:sz w:val="21"/>
                <w:szCs w:val="21"/>
              </w:rPr>
              <w:t>最大管电压</w:t>
            </w:r>
            <w:r w:rsidRPr="00B12FE0">
              <w:rPr>
                <w:rFonts w:hint="eastAsia"/>
                <w:caps/>
                <w:color w:val="000000" w:themeColor="text1"/>
                <w:sz w:val="21"/>
                <w:szCs w:val="21"/>
              </w:rPr>
              <w:t>:150</w:t>
            </w:r>
            <w:r w:rsidRPr="00B12FE0">
              <w:rPr>
                <w:rFonts w:hint="eastAsia"/>
                <w:color w:val="000000" w:themeColor="text1"/>
                <w:sz w:val="21"/>
                <w:szCs w:val="21"/>
              </w:rPr>
              <w:t>k</w:t>
            </w:r>
            <w:r w:rsidRPr="00B12FE0">
              <w:rPr>
                <w:rFonts w:hint="eastAsia"/>
                <w:caps/>
                <w:color w:val="000000" w:themeColor="text1"/>
                <w:sz w:val="21"/>
                <w:szCs w:val="21"/>
              </w:rPr>
              <w:t>V/</w:t>
            </w:r>
            <w:r w:rsidRPr="00B12FE0">
              <w:rPr>
                <w:rFonts w:ascii="宋体" w:hAnsi="宋体" w:hint="eastAsia"/>
                <w:caps/>
                <w:color w:val="000000" w:themeColor="text1"/>
                <w:sz w:val="21"/>
                <w:szCs w:val="21"/>
              </w:rPr>
              <w:t>最大管电流</w:t>
            </w:r>
            <w:r w:rsidRPr="00B12FE0">
              <w:rPr>
                <w:rFonts w:hint="eastAsia"/>
                <w:caps/>
                <w:color w:val="000000" w:themeColor="text1"/>
                <w:sz w:val="21"/>
                <w:szCs w:val="21"/>
              </w:rPr>
              <w:t>:1300</w:t>
            </w:r>
            <w:r w:rsidRPr="00B12FE0">
              <w:rPr>
                <w:rFonts w:hint="eastAsia"/>
                <w:color w:val="000000" w:themeColor="text1"/>
                <w:sz w:val="21"/>
                <w:szCs w:val="21"/>
              </w:rPr>
              <w:t>m</w:t>
            </w:r>
            <w:r w:rsidRPr="00B12FE0">
              <w:rPr>
                <w:rFonts w:hint="eastAsia"/>
                <w:caps/>
                <w:color w:val="000000" w:themeColor="text1"/>
                <w:sz w:val="21"/>
                <w:szCs w:val="21"/>
              </w:rPr>
              <w:t>A</w:t>
            </w:r>
          </w:p>
        </w:tc>
        <w:tc>
          <w:tcPr>
            <w:tcW w:w="856" w:type="dxa"/>
            <w:vAlign w:val="center"/>
          </w:tcPr>
          <w:p w14:paraId="214486EE" w14:textId="77777777" w:rsidR="00A67F21" w:rsidRPr="00B12FE0" w:rsidRDefault="00000000">
            <w:pPr>
              <w:widowControl/>
              <w:jc w:val="left"/>
              <w:rPr>
                <w:caps/>
                <w:color w:val="000000" w:themeColor="text1"/>
                <w:sz w:val="21"/>
                <w:szCs w:val="21"/>
              </w:rPr>
            </w:pPr>
            <w:r w:rsidRPr="00B12FE0">
              <w:rPr>
                <w:color w:val="000000" w:themeColor="text1"/>
                <w:sz w:val="21"/>
                <w:szCs w:val="21"/>
              </w:rPr>
              <w:t>显像诊断</w:t>
            </w:r>
          </w:p>
        </w:tc>
        <w:tc>
          <w:tcPr>
            <w:tcW w:w="1355" w:type="dxa"/>
            <w:vAlign w:val="center"/>
          </w:tcPr>
          <w:p w14:paraId="5CF918F9" w14:textId="77777777" w:rsidR="00A67F21" w:rsidRPr="00B12FE0" w:rsidRDefault="00000000">
            <w:pPr>
              <w:widowControl/>
              <w:jc w:val="left"/>
              <w:rPr>
                <w:caps/>
                <w:color w:val="000000" w:themeColor="text1"/>
                <w:sz w:val="21"/>
                <w:szCs w:val="21"/>
              </w:rPr>
            </w:pPr>
            <w:r w:rsidRPr="00B12FE0">
              <w:rPr>
                <w:rFonts w:ascii="宋体" w:hAnsi="宋体"/>
                <w:bCs/>
                <w:color w:val="000000" w:themeColor="text1"/>
                <w:sz w:val="21"/>
                <w:szCs w:val="21"/>
              </w:rPr>
              <w:t>肿瘤治疗中心</w:t>
            </w:r>
            <w:r w:rsidRPr="00B12FE0">
              <w:rPr>
                <w:rFonts w:ascii="宋体" w:hAnsi="宋体"/>
                <w:color w:val="000000" w:themeColor="text1"/>
                <w:sz w:val="21"/>
                <w:szCs w:val="21"/>
              </w:rPr>
              <w:t>综合楼一层</w:t>
            </w:r>
            <w:r w:rsidRPr="00B12FE0">
              <w:rPr>
                <w:rFonts w:ascii="宋体" w:hAnsi="宋体" w:hint="eastAsia"/>
                <w:color w:val="000000" w:themeColor="text1"/>
                <w:sz w:val="21"/>
                <w:szCs w:val="21"/>
              </w:rPr>
              <w:t>北侧放疗中心</w:t>
            </w:r>
            <w:r w:rsidRPr="00B12FE0">
              <w:rPr>
                <w:rFonts w:hint="eastAsia"/>
                <w:bCs/>
                <w:color w:val="000000" w:themeColor="text1"/>
                <w:sz w:val="21"/>
                <w:szCs w:val="21"/>
              </w:rPr>
              <w:t>模拟定位</w:t>
            </w:r>
            <w:r w:rsidRPr="00B12FE0">
              <w:rPr>
                <w:rFonts w:hint="eastAsia"/>
                <w:bCs/>
                <w:color w:val="000000" w:themeColor="text1"/>
                <w:sz w:val="21"/>
                <w:szCs w:val="21"/>
              </w:rPr>
              <w:t>CT</w:t>
            </w:r>
            <w:r w:rsidRPr="00B12FE0">
              <w:rPr>
                <w:rFonts w:hint="eastAsia"/>
                <w:bCs/>
                <w:color w:val="000000" w:themeColor="text1"/>
                <w:sz w:val="21"/>
                <w:szCs w:val="21"/>
              </w:rPr>
              <w:t>机房</w:t>
            </w:r>
          </w:p>
        </w:tc>
      </w:tr>
      <w:tr w:rsidR="00A67F21" w:rsidRPr="00B12FE0" w14:paraId="6616223E" w14:textId="77777777">
        <w:trPr>
          <w:trHeight w:val="306"/>
          <w:jc w:val="center"/>
        </w:trPr>
        <w:tc>
          <w:tcPr>
            <w:tcW w:w="634" w:type="dxa"/>
            <w:vMerge w:val="restart"/>
            <w:vAlign w:val="center"/>
          </w:tcPr>
          <w:p w14:paraId="3F1B1549" w14:textId="77777777" w:rsidR="00A67F21" w:rsidRPr="00B12FE0" w:rsidRDefault="00000000">
            <w:pPr>
              <w:adjustRightInd w:val="0"/>
              <w:snapToGrid w:val="0"/>
              <w:jc w:val="center"/>
              <w:rPr>
                <w:caps/>
                <w:color w:val="000000" w:themeColor="text1"/>
                <w:sz w:val="21"/>
                <w:szCs w:val="21"/>
              </w:rPr>
            </w:pPr>
            <w:r w:rsidRPr="00B12FE0">
              <w:rPr>
                <w:rFonts w:ascii="宋体" w:hAnsi="宋体"/>
                <w:color w:val="000000" w:themeColor="text1"/>
                <w:sz w:val="21"/>
                <w:szCs w:val="21"/>
              </w:rPr>
              <w:t>核医学科</w:t>
            </w:r>
          </w:p>
        </w:tc>
        <w:tc>
          <w:tcPr>
            <w:tcW w:w="803" w:type="dxa"/>
            <w:vAlign w:val="center"/>
          </w:tcPr>
          <w:p w14:paraId="0D0C7A93" w14:textId="77777777" w:rsidR="00A67F21" w:rsidRPr="00B12FE0" w:rsidRDefault="00000000">
            <w:pPr>
              <w:widowControl/>
              <w:adjustRightInd w:val="0"/>
              <w:snapToGrid w:val="0"/>
              <w:jc w:val="center"/>
              <w:rPr>
                <w:caps/>
                <w:color w:val="000000" w:themeColor="text1"/>
                <w:sz w:val="21"/>
                <w:szCs w:val="21"/>
              </w:rPr>
            </w:pPr>
            <w:r w:rsidRPr="00B12FE0">
              <w:rPr>
                <w:rFonts w:ascii="宋体" w:hAnsi="宋体"/>
                <w:caps/>
                <w:color w:val="000000" w:themeColor="text1"/>
                <w:sz w:val="21"/>
                <w:szCs w:val="21"/>
              </w:rPr>
              <w:t>回旋加速器</w:t>
            </w:r>
          </w:p>
        </w:tc>
        <w:tc>
          <w:tcPr>
            <w:tcW w:w="543" w:type="dxa"/>
            <w:vAlign w:val="center"/>
          </w:tcPr>
          <w:p w14:paraId="32C6FFD7" w14:textId="77777777" w:rsidR="00A67F21" w:rsidRPr="00B12FE0" w:rsidRDefault="00000000">
            <w:pPr>
              <w:widowControl/>
              <w:adjustRightInd w:val="0"/>
              <w:snapToGrid w:val="0"/>
              <w:jc w:val="center"/>
              <w:rPr>
                <w:caps/>
                <w:color w:val="000000" w:themeColor="text1"/>
                <w:sz w:val="21"/>
                <w:szCs w:val="21"/>
              </w:rPr>
            </w:pPr>
            <w:r w:rsidRPr="00B12FE0">
              <w:rPr>
                <w:caps/>
                <w:color w:val="000000" w:themeColor="text1"/>
                <w:sz w:val="21"/>
                <w:szCs w:val="21"/>
              </w:rPr>
              <w:t>Ⅱ</w:t>
            </w:r>
            <w:r w:rsidRPr="00B12FE0">
              <w:rPr>
                <w:rFonts w:ascii="宋体" w:hAnsi="宋体"/>
                <w:caps/>
                <w:color w:val="000000" w:themeColor="text1"/>
                <w:sz w:val="21"/>
                <w:szCs w:val="21"/>
              </w:rPr>
              <w:t>类</w:t>
            </w:r>
          </w:p>
        </w:tc>
        <w:tc>
          <w:tcPr>
            <w:tcW w:w="637" w:type="dxa"/>
            <w:vAlign w:val="center"/>
          </w:tcPr>
          <w:p w14:paraId="1751BBEA" w14:textId="77777777" w:rsidR="00A67F21" w:rsidRPr="00B12FE0" w:rsidRDefault="00000000">
            <w:pPr>
              <w:widowControl/>
              <w:adjustRightInd w:val="0"/>
              <w:snapToGrid w:val="0"/>
              <w:jc w:val="center"/>
              <w:rPr>
                <w:caps/>
                <w:color w:val="000000" w:themeColor="text1"/>
                <w:sz w:val="21"/>
                <w:szCs w:val="21"/>
              </w:rPr>
            </w:pPr>
            <w:r w:rsidRPr="00B12FE0">
              <w:rPr>
                <w:rFonts w:hint="eastAsia"/>
                <w:color w:val="000000" w:themeColor="text1"/>
                <w:kern w:val="0"/>
                <w:sz w:val="21"/>
                <w:szCs w:val="21"/>
              </w:rPr>
              <w:t>待定</w:t>
            </w:r>
          </w:p>
        </w:tc>
        <w:tc>
          <w:tcPr>
            <w:tcW w:w="583" w:type="dxa"/>
            <w:vAlign w:val="center"/>
          </w:tcPr>
          <w:p w14:paraId="35A2CD8F" w14:textId="77777777" w:rsidR="00A67F21" w:rsidRPr="00B12FE0" w:rsidRDefault="00000000">
            <w:pPr>
              <w:widowControl/>
              <w:adjustRightInd w:val="0"/>
              <w:snapToGrid w:val="0"/>
              <w:jc w:val="center"/>
              <w:rPr>
                <w:caps/>
                <w:color w:val="000000" w:themeColor="text1"/>
                <w:sz w:val="21"/>
                <w:szCs w:val="21"/>
              </w:rPr>
            </w:pPr>
            <w:r w:rsidRPr="00B12FE0">
              <w:rPr>
                <w:caps/>
                <w:color w:val="000000" w:themeColor="text1"/>
                <w:sz w:val="21"/>
                <w:szCs w:val="21"/>
              </w:rPr>
              <w:t>1</w:t>
            </w:r>
            <w:r w:rsidRPr="00B12FE0">
              <w:rPr>
                <w:rFonts w:ascii="宋体" w:hAnsi="宋体"/>
                <w:caps/>
                <w:color w:val="000000" w:themeColor="text1"/>
                <w:sz w:val="21"/>
                <w:szCs w:val="21"/>
              </w:rPr>
              <w:t>台</w:t>
            </w:r>
          </w:p>
        </w:tc>
        <w:tc>
          <w:tcPr>
            <w:tcW w:w="3606" w:type="dxa"/>
            <w:gridSpan w:val="3"/>
            <w:vAlign w:val="center"/>
          </w:tcPr>
          <w:p w14:paraId="41B4C0B7" w14:textId="77777777" w:rsidR="00A67F21" w:rsidRPr="00B12FE0" w:rsidRDefault="00000000">
            <w:pPr>
              <w:adjustRightInd w:val="0"/>
              <w:snapToGrid w:val="0"/>
              <w:jc w:val="center"/>
              <w:rPr>
                <w:bCs/>
                <w:color w:val="000000" w:themeColor="text1"/>
                <w:sz w:val="21"/>
                <w:szCs w:val="21"/>
              </w:rPr>
            </w:pPr>
            <w:r w:rsidRPr="00B12FE0">
              <w:rPr>
                <w:rFonts w:ascii="宋体" w:hAnsi="宋体" w:hint="eastAsia"/>
                <w:color w:val="000000" w:themeColor="text1"/>
                <w:kern w:val="0"/>
                <w:sz w:val="21"/>
                <w:szCs w:val="21"/>
              </w:rPr>
              <w:t>最大</w:t>
            </w:r>
            <w:r w:rsidRPr="00B12FE0">
              <w:rPr>
                <w:rFonts w:ascii="宋体" w:hAnsi="宋体"/>
                <w:color w:val="000000" w:themeColor="text1"/>
                <w:sz w:val="21"/>
                <w:szCs w:val="21"/>
              </w:rPr>
              <w:t>质子能量为</w:t>
            </w:r>
            <w:r w:rsidRPr="00B12FE0">
              <w:rPr>
                <w:color w:val="000000" w:themeColor="text1"/>
                <w:sz w:val="21"/>
                <w:szCs w:val="21"/>
              </w:rPr>
              <w:t>10MeV</w:t>
            </w:r>
            <w:r w:rsidRPr="00B12FE0">
              <w:rPr>
                <w:rFonts w:ascii="宋体" w:hAnsi="宋体"/>
                <w:color w:val="000000" w:themeColor="text1"/>
                <w:sz w:val="21"/>
                <w:szCs w:val="21"/>
              </w:rPr>
              <w:t>，最大束流强度为</w:t>
            </w:r>
            <w:r w:rsidRPr="00B12FE0">
              <w:rPr>
                <w:color w:val="000000" w:themeColor="text1"/>
                <w:sz w:val="21"/>
                <w:szCs w:val="21"/>
              </w:rPr>
              <w:t>100μA</w:t>
            </w:r>
          </w:p>
        </w:tc>
        <w:tc>
          <w:tcPr>
            <w:tcW w:w="856" w:type="dxa"/>
            <w:vAlign w:val="center"/>
          </w:tcPr>
          <w:p w14:paraId="4E51F72F" w14:textId="77777777" w:rsidR="00A67F21" w:rsidRPr="00B12FE0" w:rsidRDefault="00000000">
            <w:pPr>
              <w:widowControl/>
              <w:adjustRightInd w:val="0"/>
              <w:snapToGrid w:val="0"/>
              <w:jc w:val="center"/>
              <w:rPr>
                <w:caps/>
                <w:color w:val="000000" w:themeColor="text1"/>
                <w:sz w:val="21"/>
                <w:szCs w:val="21"/>
              </w:rPr>
            </w:pPr>
            <w:r w:rsidRPr="00B12FE0">
              <w:rPr>
                <w:rFonts w:ascii="宋体" w:hAnsi="宋体"/>
                <w:caps/>
                <w:color w:val="000000" w:themeColor="text1"/>
                <w:sz w:val="21"/>
                <w:szCs w:val="21"/>
              </w:rPr>
              <w:t>制备正电子</w:t>
            </w:r>
          </w:p>
          <w:p w14:paraId="3984A396" w14:textId="77777777" w:rsidR="00A67F21" w:rsidRPr="00B12FE0" w:rsidRDefault="00000000">
            <w:pPr>
              <w:widowControl/>
              <w:adjustRightInd w:val="0"/>
              <w:snapToGrid w:val="0"/>
              <w:jc w:val="center"/>
              <w:rPr>
                <w:caps/>
                <w:color w:val="000000" w:themeColor="text1"/>
                <w:sz w:val="21"/>
                <w:szCs w:val="21"/>
              </w:rPr>
            </w:pPr>
            <w:r w:rsidRPr="00B12FE0">
              <w:rPr>
                <w:rFonts w:ascii="宋体" w:hAnsi="宋体"/>
                <w:caps/>
                <w:color w:val="000000" w:themeColor="text1"/>
                <w:sz w:val="21"/>
                <w:szCs w:val="21"/>
              </w:rPr>
              <w:t>药物</w:t>
            </w:r>
          </w:p>
        </w:tc>
        <w:tc>
          <w:tcPr>
            <w:tcW w:w="1355" w:type="dxa"/>
            <w:vAlign w:val="center"/>
          </w:tcPr>
          <w:p w14:paraId="30847F58" w14:textId="77777777" w:rsidR="00A67F21" w:rsidRPr="00B12FE0" w:rsidRDefault="00000000">
            <w:pPr>
              <w:widowControl/>
              <w:adjustRightInd w:val="0"/>
              <w:snapToGrid w:val="0"/>
              <w:jc w:val="center"/>
              <w:rPr>
                <w:caps/>
                <w:color w:val="000000" w:themeColor="text1"/>
                <w:sz w:val="21"/>
                <w:szCs w:val="21"/>
              </w:rPr>
            </w:pPr>
            <w:r w:rsidRPr="00B12FE0">
              <w:rPr>
                <w:rFonts w:ascii="宋体" w:hAnsi="宋体"/>
                <w:bCs/>
                <w:color w:val="000000" w:themeColor="text1"/>
                <w:sz w:val="21"/>
                <w:szCs w:val="21"/>
              </w:rPr>
              <w:t>肿瘤治疗中心</w:t>
            </w:r>
            <w:r w:rsidRPr="00B12FE0">
              <w:rPr>
                <w:rFonts w:ascii="宋体" w:hAnsi="宋体"/>
                <w:color w:val="000000" w:themeColor="text1"/>
                <w:sz w:val="21"/>
                <w:szCs w:val="21"/>
              </w:rPr>
              <w:t>综合楼一层</w:t>
            </w:r>
            <w:r w:rsidRPr="00B12FE0">
              <w:rPr>
                <w:rFonts w:ascii="宋体" w:hAnsi="宋体" w:hint="eastAsia"/>
                <w:color w:val="000000" w:themeColor="text1"/>
                <w:sz w:val="21"/>
                <w:szCs w:val="21"/>
              </w:rPr>
              <w:t>西侧中部核素制备场所</w:t>
            </w:r>
          </w:p>
        </w:tc>
      </w:tr>
      <w:tr w:rsidR="00A67F21" w:rsidRPr="00B12FE0" w14:paraId="55B0A8AF" w14:textId="77777777">
        <w:trPr>
          <w:trHeight w:val="306"/>
          <w:jc w:val="center"/>
        </w:trPr>
        <w:tc>
          <w:tcPr>
            <w:tcW w:w="634" w:type="dxa"/>
            <w:vMerge/>
            <w:vAlign w:val="center"/>
          </w:tcPr>
          <w:p w14:paraId="7A2C851A" w14:textId="77777777" w:rsidR="00A67F21" w:rsidRPr="00B12FE0" w:rsidRDefault="00A67F21">
            <w:pPr>
              <w:widowControl/>
              <w:jc w:val="left"/>
              <w:rPr>
                <w:caps/>
                <w:color w:val="000000" w:themeColor="text1"/>
                <w:sz w:val="21"/>
                <w:szCs w:val="21"/>
              </w:rPr>
            </w:pPr>
          </w:p>
        </w:tc>
        <w:tc>
          <w:tcPr>
            <w:tcW w:w="803" w:type="dxa"/>
            <w:vAlign w:val="center"/>
          </w:tcPr>
          <w:p w14:paraId="18FB3BD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PET/CT</w:t>
            </w:r>
          </w:p>
        </w:tc>
        <w:tc>
          <w:tcPr>
            <w:tcW w:w="543" w:type="dxa"/>
            <w:vAlign w:val="center"/>
          </w:tcPr>
          <w:p w14:paraId="7932A70D" w14:textId="77777777" w:rsidR="00A67F21" w:rsidRPr="00B12FE0" w:rsidRDefault="00000000">
            <w:pPr>
              <w:adjustRightInd w:val="0"/>
              <w:snapToGrid w:val="0"/>
              <w:jc w:val="center"/>
              <w:rPr>
                <w:caps/>
                <w:color w:val="000000" w:themeColor="text1"/>
                <w:sz w:val="21"/>
                <w:szCs w:val="21"/>
              </w:rPr>
            </w:pPr>
            <w:r w:rsidRPr="00B12FE0">
              <w:rPr>
                <w:bCs/>
                <w:color w:val="000000" w:themeColor="text1"/>
                <w:sz w:val="21"/>
                <w:szCs w:val="21"/>
              </w:rPr>
              <w:t>Ⅲ</w:t>
            </w:r>
            <w:r w:rsidRPr="00B12FE0">
              <w:rPr>
                <w:rFonts w:ascii="宋体" w:hAnsi="宋体"/>
                <w:bCs/>
                <w:color w:val="000000" w:themeColor="text1"/>
                <w:sz w:val="21"/>
                <w:szCs w:val="21"/>
              </w:rPr>
              <w:t>类</w:t>
            </w:r>
          </w:p>
        </w:tc>
        <w:tc>
          <w:tcPr>
            <w:tcW w:w="637" w:type="dxa"/>
            <w:vAlign w:val="center"/>
          </w:tcPr>
          <w:p w14:paraId="273F8DAB"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待定</w:t>
            </w:r>
          </w:p>
        </w:tc>
        <w:tc>
          <w:tcPr>
            <w:tcW w:w="583" w:type="dxa"/>
            <w:vAlign w:val="center"/>
          </w:tcPr>
          <w:p w14:paraId="4C2A9AFC" w14:textId="77777777" w:rsidR="00A67F21" w:rsidRPr="00B12FE0" w:rsidRDefault="00000000">
            <w:pPr>
              <w:adjustRightInd w:val="0"/>
              <w:snapToGrid w:val="0"/>
              <w:jc w:val="center"/>
              <w:rPr>
                <w:caps/>
                <w:color w:val="000000" w:themeColor="text1"/>
                <w:sz w:val="21"/>
                <w:szCs w:val="21"/>
              </w:rPr>
            </w:pPr>
            <w:r w:rsidRPr="00B12FE0">
              <w:rPr>
                <w:caps/>
                <w:color w:val="000000" w:themeColor="text1"/>
                <w:sz w:val="21"/>
                <w:szCs w:val="21"/>
              </w:rPr>
              <w:t>1</w:t>
            </w:r>
            <w:r w:rsidRPr="00B12FE0">
              <w:rPr>
                <w:rFonts w:ascii="宋体" w:hAnsi="宋体"/>
                <w:caps/>
                <w:color w:val="000000" w:themeColor="text1"/>
                <w:sz w:val="21"/>
                <w:szCs w:val="21"/>
              </w:rPr>
              <w:t>台</w:t>
            </w:r>
          </w:p>
        </w:tc>
        <w:tc>
          <w:tcPr>
            <w:tcW w:w="3606" w:type="dxa"/>
            <w:gridSpan w:val="3"/>
            <w:vAlign w:val="center"/>
          </w:tcPr>
          <w:p w14:paraId="1988826D"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最大管电压</w:t>
            </w:r>
            <w:r w:rsidRPr="00B12FE0">
              <w:rPr>
                <w:caps/>
                <w:color w:val="000000" w:themeColor="text1"/>
                <w:sz w:val="21"/>
                <w:szCs w:val="21"/>
              </w:rPr>
              <w:t>:140</w:t>
            </w:r>
            <w:r w:rsidRPr="00B12FE0">
              <w:rPr>
                <w:color w:val="000000" w:themeColor="text1"/>
                <w:sz w:val="21"/>
                <w:szCs w:val="21"/>
              </w:rPr>
              <w:t>k</w:t>
            </w:r>
            <w:r w:rsidRPr="00B12FE0">
              <w:rPr>
                <w:caps/>
                <w:color w:val="000000" w:themeColor="text1"/>
                <w:sz w:val="21"/>
                <w:szCs w:val="21"/>
              </w:rPr>
              <w:t>V/</w:t>
            </w:r>
            <w:r w:rsidRPr="00B12FE0">
              <w:rPr>
                <w:rFonts w:ascii="宋体" w:hAnsi="宋体"/>
                <w:caps/>
                <w:color w:val="000000" w:themeColor="text1"/>
                <w:sz w:val="21"/>
                <w:szCs w:val="21"/>
              </w:rPr>
              <w:t>最大管电流</w:t>
            </w:r>
            <w:r w:rsidRPr="00B12FE0">
              <w:rPr>
                <w:caps/>
                <w:color w:val="000000" w:themeColor="text1"/>
                <w:sz w:val="21"/>
                <w:szCs w:val="21"/>
              </w:rPr>
              <w:t>:1000</w:t>
            </w:r>
            <w:r w:rsidRPr="00B12FE0">
              <w:rPr>
                <w:color w:val="000000" w:themeColor="text1"/>
                <w:sz w:val="21"/>
                <w:szCs w:val="21"/>
              </w:rPr>
              <w:t>m</w:t>
            </w:r>
            <w:r w:rsidRPr="00B12FE0">
              <w:rPr>
                <w:caps/>
                <w:color w:val="000000" w:themeColor="text1"/>
                <w:sz w:val="21"/>
                <w:szCs w:val="21"/>
              </w:rPr>
              <w:t>A</w:t>
            </w:r>
          </w:p>
        </w:tc>
        <w:tc>
          <w:tcPr>
            <w:tcW w:w="856" w:type="dxa"/>
            <w:vAlign w:val="center"/>
          </w:tcPr>
          <w:p w14:paraId="25005103"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显像</w:t>
            </w:r>
          </w:p>
          <w:p w14:paraId="1830A986"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诊断</w:t>
            </w:r>
          </w:p>
        </w:tc>
        <w:tc>
          <w:tcPr>
            <w:tcW w:w="1355" w:type="dxa"/>
            <w:vMerge w:val="restart"/>
            <w:vAlign w:val="center"/>
          </w:tcPr>
          <w:p w14:paraId="1DE42D75"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肿瘤治疗中心</w:t>
            </w:r>
            <w:r w:rsidRPr="00B12FE0">
              <w:rPr>
                <w:rFonts w:ascii="宋体" w:hAnsi="宋体"/>
                <w:color w:val="000000" w:themeColor="text1"/>
                <w:sz w:val="21"/>
                <w:szCs w:val="21"/>
              </w:rPr>
              <w:t>综合楼一层</w:t>
            </w:r>
            <w:r w:rsidRPr="00B12FE0">
              <w:rPr>
                <w:rFonts w:ascii="宋体" w:hAnsi="宋体" w:hint="eastAsia"/>
                <w:color w:val="000000" w:themeColor="text1"/>
                <w:sz w:val="21"/>
                <w:szCs w:val="21"/>
              </w:rPr>
              <w:t>南</w:t>
            </w:r>
            <w:r w:rsidRPr="00B12FE0">
              <w:rPr>
                <w:rFonts w:ascii="宋体" w:hAnsi="宋体"/>
                <w:color w:val="000000" w:themeColor="text1"/>
                <w:sz w:val="21"/>
                <w:szCs w:val="21"/>
              </w:rPr>
              <w:t>侧</w:t>
            </w:r>
            <w:r w:rsidRPr="00B12FE0">
              <w:rPr>
                <w:rFonts w:ascii="宋体" w:hAnsi="宋体" w:hint="eastAsia"/>
                <w:color w:val="000000" w:themeColor="text1"/>
                <w:sz w:val="21"/>
                <w:szCs w:val="21"/>
              </w:rPr>
              <w:t>核素诊断场所</w:t>
            </w:r>
          </w:p>
        </w:tc>
      </w:tr>
      <w:tr w:rsidR="00A67F21" w:rsidRPr="00B12FE0" w14:paraId="47431767" w14:textId="77777777">
        <w:trPr>
          <w:trHeight w:val="306"/>
          <w:jc w:val="center"/>
        </w:trPr>
        <w:tc>
          <w:tcPr>
            <w:tcW w:w="634" w:type="dxa"/>
            <w:vMerge/>
            <w:vAlign w:val="center"/>
          </w:tcPr>
          <w:p w14:paraId="754430D7" w14:textId="77777777" w:rsidR="00A67F21" w:rsidRPr="00B12FE0" w:rsidRDefault="00A67F21">
            <w:pPr>
              <w:widowControl/>
              <w:jc w:val="left"/>
              <w:rPr>
                <w:caps/>
                <w:color w:val="000000" w:themeColor="text1"/>
                <w:sz w:val="21"/>
                <w:szCs w:val="21"/>
              </w:rPr>
            </w:pPr>
          </w:p>
        </w:tc>
        <w:tc>
          <w:tcPr>
            <w:tcW w:w="803" w:type="dxa"/>
            <w:vAlign w:val="center"/>
          </w:tcPr>
          <w:p w14:paraId="54129E3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SPECT/CT</w:t>
            </w:r>
          </w:p>
        </w:tc>
        <w:tc>
          <w:tcPr>
            <w:tcW w:w="543" w:type="dxa"/>
            <w:vAlign w:val="center"/>
          </w:tcPr>
          <w:p w14:paraId="694BA1D4" w14:textId="77777777" w:rsidR="00A67F21" w:rsidRPr="00B12FE0" w:rsidRDefault="00000000">
            <w:pPr>
              <w:adjustRightInd w:val="0"/>
              <w:snapToGrid w:val="0"/>
              <w:jc w:val="center"/>
              <w:rPr>
                <w:caps/>
                <w:color w:val="000000" w:themeColor="text1"/>
                <w:sz w:val="21"/>
                <w:szCs w:val="21"/>
              </w:rPr>
            </w:pPr>
            <w:r w:rsidRPr="00B12FE0">
              <w:rPr>
                <w:bCs/>
                <w:color w:val="000000" w:themeColor="text1"/>
                <w:sz w:val="21"/>
                <w:szCs w:val="21"/>
              </w:rPr>
              <w:t>Ⅲ</w:t>
            </w:r>
            <w:r w:rsidRPr="00B12FE0">
              <w:rPr>
                <w:rFonts w:ascii="宋体" w:hAnsi="宋体"/>
                <w:bCs/>
                <w:color w:val="000000" w:themeColor="text1"/>
                <w:sz w:val="21"/>
                <w:szCs w:val="21"/>
              </w:rPr>
              <w:t>类</w:t>
            </w:r>
          </w:p>
        </w:tc>
        <w:tc>
          <w:tcPr>
            <w:tcW w:w="637" w:type="dxa"/>
            <w:vAlign w:val="center"/>
          </w:tcPr>
          <w:p w14:paraId="158C2EAA"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待定</w:t>
            </w:r>
          </w:p>
        </w:tc>
        <w:tc>
          <w:tcPr>
            <w:tcW w:w="583" w:type="dxa"/>
            <w:vAlign w:val="center"/>
          </w:tcPr>
          <w:p w14:paraId="3DE6F1C5" w14:textId="77777777" w:rsidR="00A67F21" w:rsidRPr="00B12FE0" w:rsidRDefault="00000000">
            <w:pPr>
              <w:adjustRightInd w:val="0"/>
              <w:snapToGrid w:val="0"/>
              <w:jc w:val="center"/>
              <w:rPr>
                <w:caps/>
                <w:color w:val="000000" w:themeColor="text1"/>
                <w:sz w:val="21"/>
                <w:szCs w:val="21"/>
              </w:rPr>
            </w:pPr>
            <w:r w:rsidRPr="00B12FE0">
              <w:rPr>
                <w:caps/>
                <w:color w:val="000000" w:themeColor="text1"/>
                <w:sz w:val="21"/>
                <w:szCs w:val="21"/>
              </w:rPr>
              <w:t>2</w:t>
            </w:r>
            <w:r w:rsidRPr="00B12FE0">
              <w:rPr>
                <w:rFonts w:ascii="宋体" w:hAnsi="宋体"/>
                <w:caps/>
                <w:color w:val="000000" w:themeColor="text1"/>
                <w:sz w:val="21"/>
                <w:szCs w:val="21"/>
              </w:rPr>
              <w:t>台</w:t>
            </w:r>
          </w:p>
        </w:tc>
        <w:tc>
          <w:tcPr>
            <w:tcW w:w="3606" w:type="dxa"/>
            <w:gridSpan w:val="3"/>
            <w:vAlign w:val="center"/>
          </w:tcPr>
          <w:p w14:paraId="5FD5ED61" w14:textId="77777777" w:rsidR="00A67F21" w:rsidRPr="00B12FE0" w:rsidRDefault="00000000">
            <w:pPr>
              <w:adjustRightInd w:val="0"/>
              <w:snapToGrid w:val="0"/>
              <w:jc w:val="center"/>
              <w:rPr>
                <w:caps/>
                <w:color w:val="000000" w:themeColor="text1"/>
                <w:sz w:val="21"/>
                <w:szCs w:val="21"/>
              </w:rPr>
            </w:pPr>
            <w:r w:rsidRPr="00B12FE0">
              <w:rPr>
                <w:rFonts w:ascii="宋体" w:hAnsi="宋体"/>
                <w:caps/>
                <w:color w:val="000000" w:themeColor="text1"/>
                <w:sz w:val="21"/>
                <w:szCs w:val="21"/>
              </w:rPr>
              <w:t>最大管电压</w:t>
            </w:r>
            <w:r w:rsidRPr="00B12FE0">
              <w:rPr>
                <w:caps/>
                <w:color w:val="000000" w:themeColor="text1"/>
                <w:sz w:val="21"/>
                <w:szCs w:val="21"/>
              </w:rPr>
              <w:t>:140</w:t>
            </w:r>
            <w:r w:rsidRPr="00B12FE0">
              <w:rPr>
                <w:color w:val="000000" w:themeColor="text1"/>
                <w:sz w:val="21"/>
                <w:szCs w:val="21"/>
              </w:rPr>
              <w:t>k</w:t>
            </w:r>
            <w:r w:rsidRPr="00B12FE0">
              <w:rPr>
                <w:caps/>
                <w:color w:val="000000" w:themeColor="text1"/>
                <w:sz w:val="21"/>
                <w:szCs w:val="21"/>
              </w:rPr>
              <w:t>V/</w:t>
            </w:r>
            <w:r w:rsidRPr="00B12FE0">
              <w:rPr>
                <w:rFonts w:ascii="宋体" w:hAnsi="宋体"/>
                <w:caps/>
                <w:color w:val="000000" w:themeColor="text1"/>
                <w:sz w:val="21"/>
                <w:szCs w:val="21"/>
              </w:rPr>
              <w:t>最大管电流</w:t>
            </w:r>
            <w:r w:rsidRPr="00B12FE0">
              <w:rPr>
                <w:caps/>
                <w:color w:val="000000" w:themeColor="text1"/>
                <w:sz w:val="21"/>
                <w:szCs w:val="21"/>
              </w:rPr>
              <w:t>:1000</w:t>
            </w:r>
            <w:r w:rsidRPr="00B12FE0">
              <w:rPr>
                <w:color w:val="000000" w:themeColor="text1"/>
                <w:sz w:val="21"/>
                <w:szCs w:val="21"/>
              </w:rPr>
              <w:t>m</w:t>
            </w:r>
            <w:r w:rsidRPr="00B12FE0">
              <w:rPr>
                <w:caps/>
                <w:color w:val="000000" w:themeColor="text1"/>
                <w:sz w:val="21"/>
                <w:szCs w:val="21"/>
              </w:rPr>
              <w:t>A</w:t>
            </w:r>
          </w:p>
        </w:tc>
        <w:tc>
          <w:tcPr>
            <w:tcW w:w="856" w:type="dxa"/>
            <w:vAlign w:val="center"/>
          </w:tcPr>
          <w:p w14:paraId="2D0081C6"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显像</w:t>
            </w:r>
          </w:p>
          <w:p w14:paraId="077F531D"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诊断</w:t>
            </w:r>
          </w:p>
        </w:tc>
        <w:tc>
          <w:tcPr>
            <w:tcW w:w="1355" w:type="dxa"/>
            <w:vMerge/>
            <w:vAlign w:val="center"/>
          </w:tcPr>
          <w:p w14:paraId="3AA42C45" w14:textId="77777777" w:rsidR="00A67F21" w:rsidRPr="00B12FE0" w:rsidRDefault="00A67F21">
            <w:pPr>
              <w:widowControl/>
              <w:jc w:val="left"/>
              <w:rPr>
                <w:bCs/>
                <w:color w:val="000000" w:themeColor="text1"/>
                <w:sz w:val="21"/>
                <w:szCs w:val="21"/>
              </w:rPr>
            </w:pPr>
          </w:p>
        </w:tc>
      </w:tr>
    </w:tbl>
    <w:p w14:paraId="73E59711" w14:textId="77777777" w:rsidR="00A67F21" w:rsidRPr="00B12FE0" w:rsidRDefault="00000000">
      <w:pPr>
        <w:snapToGrid w:val="0"/>
        <w:spacing w:line="360" w:lineRule="auto"/>
        <w:outlineLvl w:val="1"/>
        <w:rPr>
          <w:b/>
          <w:bCs/>
          <w:color w:val="000000" w:themeColor="text1"/>
          <w:sz w:val="28"/>
          <w:szCs w:val="28"/>
        </w:rPr>
      </w:pPr>
      <w:r w:rsidRPr="00B12FE0">
        <w:rPr>
          <w:b/>
          <w:bCs/>
          <w:color w:val="000000" w:themeColor="text1"/>
          <w:sz w:val="28"/>
          <w:szCs w:val="28"/>
        </w:rPr>
        <w:t>1.2</w:t>
      </w:r>
      <w:r w:rsidRPr="00B12FE0">
        <w:rPr>
          <w:b/>
          <w:bCs/>
          <w:color w:val="000000" w:themeColor="text1"/>
          <w:sz w:val="28"/>
          <w:szCs w:val="28"/>
        </w:rPr>
        <w:t>项目选址及周边环境保护目标</w:t>
      </w:r>
    </w:p>
    <w:p w14:paraId="49E16069" w14:textId="77777777" w:rsidR="00A67F21" w:rsidRPr="00B12FE0" w:rsidRDefault="00000000">
      <w:pPr>
        <w:adjustRightInd w:val="0"/>
        <w:snapToGrid w:val="0"/>
        <w:spacing w:line="360" w:lineRule="auto"/>
        <w:outlineLvl w:val="2"/>
        <w:rPr>
          <w:b/>
          <w:color w:val="000000" w:themeColor="text1"/>
        </w:rPr>
      </w:pPr>
      <w:r w:rsidRPr="00B12FE0">
        <w:rPr>
          <w:b/>
          <w:color w:val="000000" w:themeColor="text1"/>
        </w:rPr>
        <w:t>1.2.1</w:t>
      </w:r>
      <w:r w:rsidRPr="00B12FE0">
        <w:rPr>
          <w:rFonts w:hint="eastAsia"/>
          <w:b/>
          <w:color w:val="000000" w:themeColor="text1"/>
        </w:rPr>
        <w:t>项目</w:t>
      </w:r>
      <w:r w:rsidRPr="00B12FE0">
        <w:rPr>
          <w:b/>
          <w:color w:val="000000" w:themeColor="text1"/>
        </w:rPr>
        <w:t>地理位置</w:t>
      </w:r>
    </w:p>
    <w:p w14:paraId="663C7216"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本项目选址于新疆阿拉尔市胜利大道西</w:t>
      </w:r>
      <w:r w:rsidRPr="00B12FE0">
        <w:rPr>
          <w:rFonts w:hint="eastAsia"/>
          <w:color w:val="000000" w:themeColor="text1"/>
        </w:rPr>
        <w:t>1155</w:t>
      </w:r>
      <w:r w:rsidRPr="00B12FE0">
        <w:rPr>
          <w:rFonts w:hint="eastAsia"/>
          <w:color w:val="000000" w:themeColor="text1"/>
        </w:rPr>
        <w:t>号浙江大学医学院附属邵逸夫医院新疆兵团阿拉尔医院西侧肿瘤治疗中心综合楼内，医院东侧为大学北路，南侧为规划雪松路，西侧和北侧为预留医疗用地，目前为空地。项目地理位置见附图</w:t>
      </w:r>
      <w:r w:rsidRPr="00B12FE0">
        <w:rPr>
          <w:rFonts w:hint="eastAsia"/>
          <w:color w:val="000000" w:themeColor="text1"/>
        </w:rPr>
        <w:t>1</w:t>
      </w:r>
      <w:r w:rsidRPr="00B12FE0">
        <w:rPr>
          <w:rFonts w:hint="eastAsia"/>
          <w:color w:val="000000" w:themeColor="text1"/>
        </w:rPr>
        <w:t>。</w:t>
      </w:r>
    </w:p>
    <w:p w14:paraId="37F19CF2"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根据现场踏勘，医院肿瘤治疗中心综合楼正在建设，项目周边环境关系图见附图</w:t>
      </w:r>
      <w:r w:rsidRPr="00B12FE0">
        <w:rPr>
          <w:rFonts w:hint="eastAsia"/>
          <w:color w:val="000000" w:themeColor="text1"/>
        </w:rPr>
        <w:t>2</w:t>
      </w:r>
      <w:r w:rsidRPr="00B12FE0">
        <w:rPr>
          <w:rFonts w:hint="eastAsia"/>
          <w:color w:val="000000" w:themeColor="text1"/>
        </w:rPr>
        <w:t>。</w:t>
      </w:r>
    </w:p>
    <w:p w14:paraId="4B1EB96B" w14:textId="77777777" w:rsidR="00A67F21" w:rsidRPr="00B12FE0" w:rsidRDefault="00000000">
      <w:pPr>
        <w:adjustRightInd w:val="0"/>
        <w:snapToGrid w:val="0"/>
        <w:spacing w:line="360" w:lineRule="auto"/>
        <w:outlineLvl w:val="2"/>
        <w:rPr>
          <w:b/>
          <w:color w:val="000000" w:themeColor="text1"/>
        </w:rPr>
      </w:pPr>
      <w:r w:rsidRPr="00B12FE0">
        <w:rPr>
          <w:b/>
          <w:color w:val="000000" w:themeColor="text1"/>
        </w:rPr>
        <w:t>1.2.2</w:t>
      </w:r>
      <w:r w:rsidRPr="00B12FE0">
        <w:rPr>
          <w:b/>
          <w:color w:val="000000" w:themeColor="text1"/>
        </w:rPr>
        <w:t>项目周边环境关系</w:t>
      </w:r>
    </w:p>
    <w:p w14:paraId="74BC1EFA" w14:textId="77777777" w:rsidR="00A67F21" w:rsidRPr="00B12FE0" w:rsidRDefault="00000000">
      <w:pPr>
        <w:adjustRightInd w:val="0"/>
        <w:snapToGrid w:val="0"/>
        <w:spacing w:line="360" w:lineRule="auto"/>
        <w:outlineLvl w:val="3"/>
        <w:rPr>
          <w:rFonts w:hAnsi="宋体" w:hint="eastAsia"/>
          <w:b/>
          <w:color w:val="000000" w:themeColor="text1"/>
        </w:rPr>
      </w:pPr>
      <w:r w:rsidRPr="00B12FE0">
        <w:rPr>
          <w:rFonts w:hAnsi="宋体" w:hint="eastAsia"/>
          <w:b/>
          <w:color w:val="000000" w:themeColor="text1"/>
        </w:rPr>
        <w:t>1.2.2.1</w:t>
      </w:r>
      <w:r w:rsidRPr="00B12FE0">
        <w:rPr>
          <w:rFonts w:hAnsi="宋体" w:hint="eastAsia"/>
          <w:b/>
          <w:color w:val="000000" w:themeColor="text1"/>
        </w:rPr>
        <w:t>核技术利用项目与外环境四周情况</w:t>
      </w:r>
    </w:p>
    <w:p w14:paraId="6FFD463E" w14:textId="77777777" w:rsidR="00A67F21" w:rsidRPr="00B12FE0" w:rsidRDefault="00000000">
      <w:pPr>
        <w:snapToGrid w:val="0"/>
        <w:spacing w:line="360" w:lineRule="auto"/>
        <w:ind w:firstLineChars="200" w:firstLine="480"/>
        <w:contextualSpacing/>
        <w:rPr>
          <w:rFonts w:hAnsi="宋体" w:hint="eastAsia"/>
          <w:bCs/>
          <w:color w:val="000000" w:themeColor="text1"/>
        </w:rPr>
      </w:pPr>
      <w:r w:rsidRPr="00B12FE0">
        <w:rPr>
          <w:rFonts w:hint="eastAsia"/>
          <w:bCs/>
          <w:color w:val="000000" w:themeColor="text1"/>
        </w:rPr>
        <w:t>医院肿瘤治疗中心综合楼位于医院西侧，本项目核医学科拟建于肿瘤治疗中心综合楼一层、二层：其中核医学科核素制备场所和核素诊断场所分别位于肿瘤治疗中心综合楼一层中部区域和南侧区域，核素治疗场所位于</w:t>
      </w:r>
      <w:r w:rsidRPr="00B12FE0">
        <w:rPr>
          <w:bCs/>
          <w:color w:val="000000" w:themeColor="text1"/>
        </w:rPr>
        <w:t>肿瘤治疗中心综合楼</w:t>
      </w:r>
      <w:r w:rsidRPr="00B12FE0">
        <w:rPr>
          <w:rFonts w:hint="eastAsia"/>
          <w:bCs/>
          <w:color w:val="000000" w:themeColor="text1"/>
        </w:rPr>
        <w:t>二层，放疗科拟建于肿瘤治疗中心综合楼一层北侧区域</w:t>
      </w:r>
      <w:r w:rsidRPr="00B12FE0">
        <w:rPr>
          <w:rFonts w:hAnsi="宋体" w:hint="eastAsia"/>
          <w:bCs/>
          <w:color w:val="000000" w:themeColor="text1"/>
        </w:rPr>
        <w:t>。</w:t>
      </w:r>
    </w:p>
    <w:p w14:paraId="627CA83D" w14:textId="77777777" w:rsidR="00A67F21" w:rsidRPr="00B12FE0" w:rsidRDefault="00000000">
      <w:pPr>
        <w:snapToGrid w:val="0"/>
        <w:spacing w:line="360" w:lineRule="auto"/>
        <w:ind w:firstLineChars="200" w:firstLine="480"/>
        <w:contextualSpacing/>
        <w:rPr>
          <w:rFonts w:hAnsi="宋体" w:hint="eastAsia"/>
          <w:bCs/>
          <w:color w:val="000000" w:themeColor="text1"/>
        </w:rPr>
      </w:pPr>
      <w:r w:rsidRPr="00B12FE0">
        <w:rPr>
          <w:rFonts w:hAnsi="宋体" w:hint="eastAsia"/>
          <w:bCs/>
          <w:color w:val="000000" w:themeColor="text1"/>
        </w:rPr>
        <w:t>本项目肿瘤治疗中心综合楼东侧为医疗综合楼（距离辐射工作场所约</w:t>
      </w:r>
      <w:r w:rsidRPr="00B12FE0">
        <w:rPr>
          <w:rFonts w:hAnsi="宋体" w:hint="eastAsia"/>
          <w:bCs/>
          <w:color w:val="000000" w:themeColor="text1"/>
        </w:rPr>
        <w:t>60m</w:t>
      </w:r>
      <w:r w:rsidRPr="00B12FE0">
        <w:rPr>
          <w:rFonts w:hAnsi="宋体" w:hint="eastAsia"/>
          <w:bCs/>
          <w:color w:val="000000" w:themeColor="text1"/>
        </w:rPr>
        <w:t>）；东南侧为门急诊楼（距离辐射工作场所约</w:t>
      </w:r>
      <w:r w:rsidRPr="00B12FE0">
        <w:rPr>
          <w:rFonts w:hAnsi="宋体" w:hint="eastAsia"/>
          <w:bCs/>
          <w:color w:val="000000" w:themeColor="text1"/>
        </w:rPr>
        <w:t>38m</w:t>
      </w:r>
      <w:r w:rsidRPr="00B12FE0">
        <w:rPr>
          <w:rFonts w:hAnsi="宋体" w:hint="eastAsia"/>
          <w:bCs/>
          <w:color w:val="000000" w:themeColor="text1"/>
        </w:rPr>
        <w:t>），南侧为后勤中心楼（距离辐射工作场所约</w:t>
      </w:r>
      <w:r w:rsidRPr="00B12FE0">
        <w:rPr>
          <w:rFonts w:hAnsi="宋体" w:hint="eastAsia"/>
          <w:bCs/>
          <w:color w:val="000000" w:themeColor="text1"/>
        </w:rPr>
        <w:t>40m</w:t>
      </w:r>
      <w:r w:rsidRPr="00B12FE0">
        <w:rPr>
          <w:rFonts w:hAnsi="宋体" w:hint="eastAsia"/>
          <w:bCs/>
          <w:color w:val="000000" w:themeColor="text1"/>
        </w:rPr>
        <w:t>）；西侧紧邻医院院内道路及绿化，隔院内道路为医院规划道路及医院预留用地（距离辐射工作场所约</w:t>
      </w:r>
      <w:r w:rsidRPr="00B12FE0">
        <w:rPr>
          <w:rFonts w:hAnsi="宋体" w:hint="eastAsia"/>
          <w:bCs/>
          <w:color w:val="000000" w:themeColor="text1"/>
        </w:rPr>
        <w:t>25m</w:t>
      </w:r>
      <w:r w:rsidRPr="00B12FE0">
        <w:rPr>
          <w:rFonts w:hAnsi="宋体" w:hint="eastAsia"/>
          <w:bCs/>
          <w:color w:val="000000" w:themeColor="text1"/>
        </w:rPr>
        <w:t>）；北侧为液氧站（距离辐射工作场所约</w:t>
      </w:r>
      <w:r w:rsidRPr="00B12FE0">
        <w:rPr>
          <w:rFonts w:hAnsi="宋体" w:hint="eastAsia"/>
          <w:bCs/>
          <w:color w:val="000000" w:themeColor="text1"/>
        </w:rPr>
        <w:t>19m</w:t>
      </w:r>
      <w:r w:rsidRPr="00B12FE0">
        <w:rPr>
          <w:rFonts w:hAnsi="宋体" w:hint="eastAsia"/>
          <w:bCs/>
          <w:color w:val="000000" w:themeColor="text1"/>
        </w:rPr>
        <w:t>）及污水处理站（距离辐射工作场所约</w:t>
      </w:r>
      <w:r w:rsidRPr="00B12FE0">
        <w:rPr>
          <w:rFonts w:hAnsi="宋体" w:hint="eastAsia"/>
          <w:bCs/>
          <w:color w:val="000000" w:themeColor="text1"/>
        </w:rPr>
        <w:t>38m</w:t>
      </w:r>
      <w:r w:rsidRPr="00B12FE0">
        <w:rPr>
          <w:rFonts w:hAnsi="宋体" w:hint="eastAsia"/>
          <w:bCs/>
          <w:color w:val="000000" w:themeColor="text1"/>
        </w:rPr>
        <w:t>）。</w:t>
      </w:r>
    </w:p>
    <w:p w14:paraId="634F25C4" w14:textId="77777777" w:rsidR="00A67F21" w:rsidRPr="00B12FE0" w:rsidRDefault="00000000">
      <w:pPr>
        <w:snapToGrid w:val="0"/>
        <w:spacing w:line="360" w:lineRule="auto"/>
        <w:ind w:firstLineChars="200" w:firstLine="480"/>
        <w:contextualSpacing/>
        <w:rPr>
          <w:rFonts w:hAnsi="宋体" w:hint="eastAsia"/>
          <w:bCs/>
          <w:color w:val="000000" w:themeColor="text1"/>
        </w:rPr>
      </w:pPr>
      <w:r w:rsidRPr="00B12FE0">
        <w:rPr>
          <w:rFonts w:hAnsi="宋体" w:hint="eastAsia"/>
          <w:bCs/>
          <w:color w:val="000000" w:themeColor="text1"/>
        </w:rPr>
        <w:lastRenderedPageBreak/>
        <w:t>本项目核医学科核素制备场所东侧紧邻</w:t>
      </w:r>
      <w:r w:rsidRPr="00B12FE0">
        <w:rPr>
          <w:rFonts w:hAnsi="宋体"/>
          <w:bCs/>
          <w:color w:val="000000" w:themeColor="text1"/>
        </w:rPr>
        <w:t>院内道路及绿化</w:t>
      </w:r>
      <w:r w:rsidRPr="00B12FE0">
        <w:rPr>
          <w:rFonts w:hAnsi="宋体" w:hint="eastAsia"/>
          <w:bCs/>
          <w:color w:val="000000" w:themeColor="text1"/>
        </w:rPr>
        <w:t>，南侧紧邻楼梯间、卫生间、医护走道，隔走道为核素诊断场所（距离核素制备场所约</w:t>
      </w:r>
      <w:r w:rsidRPr="00B12FE0">
        <w:rPr>
          <w:rFonts w:hAnsi="宋体" w:hint="eastAsia"/>
          <w:bCs/>
          <w:color w:val="000000" w:themeColor="text1"/>
        </w:rPr>
        <w:t>1.8m</w:t>
      </w:r>
      <w:r w:rsidRPr="00B12FE0">
        <w:rPr>
          <w:rFonts w:hAnsi="宋体" w:hint="eastAsia"/>
          <w:bCs/>
          <w:color w:val="000000" w:themeColor="text1"/>
        </w:rPr>
        <w:t>），西侧紧邻</w:t>
      </w:r>
      <w:r w:rsidRPr="00B12FE0">
        <w:rPr>
          <w:rFonts w:hAnsi="宋体"/>
          <w:bCs/>
          <w:color w:val="000000" w:themeColor="text1"/>
        </w:rPr>
        <w:t>医院院内道路及绿化</w:t>
      </w:r>
      <w:r w:rsidRPr="00B12FE0">
        <w:rPr>
          <w:rFonts w:hAnsi="宋体" w:hint="eastAsia"/>
          <w:bCs/>
          <w:color w:val="000000" w:themeColor="text1"/>
        </w:rPr>
        <w:t>，北侧紧邻</w:t>
      </w:r>
      <w:r w:rsidRPr="00B12FE0">
        <w:rPr>
          <w:rFonts w:hAnsi="宋体"/>
          <w:bCs/>
          <w:color w:val="000000" w:themeColor="text1"/>
        </w:rPr>
        <w:t>放疗</w:t>
      </w:r>
      <w:proofErr w:type="gramStart"/>
      <w:r w:rsidRPr="00B12FE0">
        <w:rPr>
          <w:rFonts w:hAnsi="宋体"/>
          <w:bCs/>
          <w:color w:val="000000" w:themeColor="text1"/>
        </w:rPr>
        <w:t>科区域</w:t>
      </w:r>
      <w:proofErr w:type="gramEnd"/>
      <w:r w:rsidRPr="00B12FE0">
        <w:rPr>
          <w:rFonts w:hAnsi="宋体"/>
          <w:bCs/>
          <w:color w:val="000000" w:themeColor="text1"/>
        </w:rPr>
        <w:t>空调机房、以及</w:t>
      </w:r>
      <w:r w:rsidRPr="00B12FE0">
        <w:rPr>
          <w:rFonts w:hAnsi="宋体" w:hint="eastAsia"/>
          <w:bCs/>
          <w:color w:val="000000" w:themeColor="text1"/>
        </w:rPr>
        <w:t>医护人员更淋室、卫生间，上方为不可上人屋顶。</w:t>
      </w:r>
    </w:p>
    <w:p w14:paraId="6E68C8D6" w14:textId="77777777" w:rsidR="00A67F21" w:rsidRPr="00B12FE0" w:rsidRDefault="00000000">
      <w:pPr>
        <w:snapToGrid w:val="0"/>
        <w:spacing w:line="360" w:lineRule="auto"/>
        <w:ind w:firstLineChars="200" w:firstLine="480"/>
        <w:contextualSpacing/>
        <w:rPr>
          <w:rFonts w:hAnsi="宋体" w:hint="eastAsia"/>
          <w:bCs/>
          <w:color w:val="000000" w:themeColor="text1"/>
        </w:rPr>
      </w:pPr>
      <w:r w:rsidRPr="00B12FE0">
        <w:rPr>
          <w:rFonts w:hAnsi="宋体" w:hint="eastAsia"/>
          <w:bCs/>
          <w:color w:val="000000" w:themeColor="text1"/>
        </w:rPr>
        <w:t>核素诊断场所东侧紧邻候诊区及其卫生间及护士站，南侧紧邻</w:t>
      </w:r>
      <w:r w:rsidRPr="00B12FE0">
        <w:rPr>
          <w:rFonts w:hAnsi="宋体"/>
          <w:bCs/>
          <w:color w:val="000000" w:themeColor="text1"/>
        </w:rPr>
        <w:t>院内道路及绿化</w:t>
      </w:r>
      <w:r w:rsidRPr="00B12FE0">
        <w:rPr>
          <w:rFonts w:hAnsi="宋体" w:hint="eastAsia"/>
          <w:bCs/>
          <w:color w:val="000000" w:themeColor="text1"/>
        </w:rPr>
        <w:t>，西侧紧邻核医学科医护走道，隔走道为</w:t>
      </w:r>
      <w:r w:rsidRPr="00B12FE0">
        <w:rPr>
          <w:rFonts w:hAnsi="宋体"/>
          <w:bCs/>
          <w:color w:val="000000" w:themeColor="text1"/>
        </w:rPr>
        <w:t>医生办公室、值班室、读片室</w:t>
      </w:r>
      <w:r w:rsidRPr="00B12FE0">
        <w:rPr>
          <w:rFonts w:hAnsi="宋体" w:hint="eastAsia"/>
          <w:bCs/>
          <w:color w:val="000000" w:themeColor="text1"/>
        </w:rPr>
        <w:t>（距离核素诊断场所约</w:t>
      </w:r>
      <w:r w:rsidRPr="00B12FE0">
        <w:rPr>
          <w:rFonts w:hAnsi="宋体" w:hint="eastAsia"/>
          <w:bCs/>
          <w:color w:val="000000" w:themeColor="text1"/>
        </w:rPr>
        <w:t>3.1m</w:t>
      </w:r>
      <w:r w:rsidRPr="00B12FE0">
        <w:rPr>
          <w:rFonts w:hAnsi="宋体" w:hint="eastAsia"/>
          <w:bCs/>
          <w:color w:val="000000" w:themeColor="text1"/>
        </w:rPr>
        <w:t>），北侧紧邻医护走道，隔走道为</w:t>
      </w:r>
      <w:r w:rsidRPr="00B12FE0">
        <w:rPr>
          <w:rFonts w:hAnsi="宋体"/>
          <w:bCs/>
          <w:color w:val="000000" w:themeColor="text1"/>
        </w:rPr>
        <w:t>核素制备场所、资料室、库房、配电间等</w:t>
      </w:r>
      <w:r w:rsidRPr="00B12FE0">
        <w:rPr>
          <w:rFonts w:hAnsi="宋体" w:hint="eastAsia"/>
          <w:bCs/>
          <w:color w:val="000000" w:themeColor="text1"/>
        </w:rPr>
        <w:t>（距离核素诊断场所约</w:t>
      </w:r>
      <w:r w:rsidRPr="00B12FE0">
        <w:rPr>
          <w:rFonts w:hAnsi="宋体" w:hint="eastAsia"/>
          <w:bCs/>
          <w:color w:val="000000" w:themeColor="text1"/>
        </w:rPr>
        <w:t>1.8m</w:t>
      </w:r>
      <w:r w:rsidRPr="00B12FE0">
        <w:rPr>
          <w:rFonts w:hAnsi="宋体" w:hint="eastAsia"/>
          <w:bCs/>
          <w:color w:val="000000" w:themeColor="text1"/>
        </w:rPr>
        <w:t>），上方为核素治疗场所。</w:t>
      </w:r>
    </w:p>
    <w:p w14:paraId="44EDA484" w14:textId="77777777" w:rsidR="00A67F21" w:rsidRPr="00B12FE0" w:rsidRDefault="00000000">
      <w:pPr>
        <w:pStyle w:val="21"/>
        <w:spacing w:after="0" w:line="360" w:lineRule="auto"/>
        <w:ind w:leftChars="0" w:left="0" w:firstLine="480"/>
        <w:rPr>
          <w:color w:val="000000" w:themeColor="text1"/>
        </w:rPr>
      </w:pPr>
      <w:r w:rsidRPr="00B12FE0">
        <w:rPr>
          <w:rFonts w:hint="eastAsia"/>
          <w:color w:val="000000" w:themeColor="text1"/>
        </w:rPr>
        <w:t>核素治疗场所东侧紧邻</w:t>
      </w:r>
      <w:r w:rsidRPr="00B12FE0">
        <w:rPr>
          <w:rFonts w:hAnsi="宋体" w:hint="eastAsia"/>
          <w:bCs/>
          <w:color w:val="000000" w:themeColor="text1"/>
        </w:rPr>
        <w:t>候诊区及其卫生间、空调机房、库房及护士站</w:t>
      </w:r>
      <w:r w:rsidRPr="00B12FE0">
        <w:rPr>
          <w:rFonts w:hint="eastAsia"/>
          <w:color w:val="000000" w:themeColor="text1"/>
        </w:rPr>
        <w:t>，</w:t>
      </w:r>
      <w:proofErr w:type="gramStart"/>
      <w:r w:rsidRPr="00B12FE0">
        <w:rPr>
          <w:rFonts w:hint="eastAsia"/>
          <w:color w:val="000000" w:themeColor="text1"/>
        </w:rPr>
        <w:t>南侧和</w:t>
      </w:r>
      <w:proofErr w:type="gramEnd"/>
      <w:r w:rsidRPr="00B12FE0">
        <w:rPr>
          <w:rFonts w:hint="eastAsia"/>
          <w:color w:val="000000" w:themeColor="text1"/>
        </w:rPr>
        <w:t>西侧临空，北侧紧邻空调机房及医护走道，隔走道为</w:t>
      </w:r>
      <w:r w:rsidRPr="00B12FE0">
        <w:rPr>
          <w:color w:val="000000" w:themeColor="text1"/>
        </w:rPr>
        <w:t>净化机房、医生办公室、值班室</w:t>
      </w:r>
      <w:r w:rsidRPr="00B12FE0">
        <w:rPr>
          <w:rFonts w:hint="eastAsia"/>
          <w:color w:val="000000" w:themeColor="text1"/>
        </w:rPr>
        <w:t>等</w:t>
      </w:r>
      <w:r w:rsidRPr="00B12FE0">
        <w:rPr>
          <w:rFonts w:hAnsi="宋体" w:hint="eastAsia"/>
          <w:bCs/>
          <w:color w:val="000000" w:themeColor="text1"/>
        </w:rPr>
        <w:t>（距离核素治疗场所约</w:t>
      </w:r>
      <w:r w:rsidRPr="00B12FE0">
        <w:rPr>
          <w:rFonts w:hAnsi="宋体" w:hint="eastAsia"/>
          <w:bCs/>
          <w:color w:val="000000" w:themeColor="text1"/>
        </w:rPr>
        <w:t>2m</w:t>
      </w:r>
      <w:r w:rsidRPr="00B12FE0">
        <w:rPr>
          <w:rFonts w:hAnsi="宋体" w:hint="eastAsia"/>
          <w:bCs/>
          <w:color w:val="000000" w:themeColor="text1"/>
        </w:rPr>
        <w:t>）</w:t>
      </w:r>
      <w:r w:rsidRPr="00B12FE0">
        <w:rPr>
          <w:rFonts w:hint="eastAsia"/>
          <w:color w:val="000000" w:themeColor="text1"/>
        </w:rPr>
        <w:t>，上方为设备平台及不可上人屋顶，下方为核素诊断场所以及核医学科办公室、值班室。</w:t>
      </w:r>
    </w:p>
    <w:p w14:paraId="6BCD2FA5" w14:textId="77777777" w:rsidR="00A67F21" w:rsidRPr="00B12FE0" w:rsidRDefault="00000000">
      <w:pPr>
        <w:snapToGrid w:val="0"/>
        <w:spacing w:line="360" w:lineRule="auto"/>
        <w:ind w:firstLineChars="200" w:firstLine="480"/>
        <w:contextualSpacing/>
        <w:rPr>
          <w:rFonts w:hAnsi="宋体" w:hint="eastAsia"/>
          <w:bCs/>
          <w:color w:val="000000" w:themeColor="text1"/>
        </w:rPr>
      </w:pPr>
      <w:r w:rsidRPr="00B12FE0">
        <w:rPr>
          <w:rFonts w:hAnsi="宋体" w:hint="eastAsia"/>
          <w:bCs/>
          <w:color w:val="000000" w:themeColor="text1"/>
        </w:rPr>
        <w:t>核医学科核素制备场所、核素诊断场所和核素治疗场所共用</w:t>
      </w:r>
      <w:r w:rsidRPr="00B12FE0">
        <w:rPr>
          <w:rFonts w:hAnsi="宋体" w:hint="eastAsia"/>
          <w:bCs/>
          <w:color w:val="000000" w:themeColor="text1"/>
        </w:rPr>
        <w:t>1</w:t>
      </w:r>
      <w:r w:rsidRPr="00B12FE0">
        <w:rPr>
          <w:rFonts w:hAnsi="宋体" w:hint="eastAsia"/>
          <w:bCs/>
          <w:color w:val="000000" w:themeColor="text1"/>
        </w:rPr>
        <w:t>个衰变池，衰变</w:t>
      </w:r>
      <w:proofErr w:type="gramStart"/>
      <w:r w:rsidRPr="00B12FE0">
        <w:rPr>
          <w:rFonts w:hAnsi="宋体" w:hint="eastAsia"/>
          <w:bCs/>
          <w:color w:val="000000" w:themeColor="text1"/>
        </w:rPr>
        <w:t>池位于</w:t>
      </w:r>
      <w:proofErr w:type="gramEnd"/>
      <w:r w:rsidRPr="00B12FE0">
        <w:rPr>
          <w:rFonts w:hAnsi="宋体" w:hint="eastAsia"/>
          <w:bCs/>
          <w:color w:val="000000" w:themeColor="text1"/>
        </w:rPr>
        <w:t>肿瘤治疗中心综合楼南侧绿化带下方（为地埋式），南侧距离后勤</w:t>
      </w:r>
      <w:proofErr w:type="gramStart"/>
      <w:r w:rsidRPr="00B12FE0">
        <w:rPr>
          <w:rFonts w:hAnsi="宋体" w:hint="eastAsia"/>
          <w:bCs/>
          <w:color w:val="000000" w:themeColor="text1"/>
        </w:rPr>
        <w:t>中心楼约</w:t>
      </w:r>
      <w:proofErr w:type="gramEnd"/>
      <w:r w:rsidRPr="00B12FE0">
        <w:rPr>
          <w:rFonts w:hAnsi="宋体" w:hint="eastAsia"/>
          <w:bCs/>
          <w:color w:val="000000" w:themeColor="text1"/>
        </w:rPr>
        <w:t>31m</w:t>
      </w:r>
      <w:r w:rsidRPr="00B12FE0">
        <w:rPr>
          <w:rFonts w:hAnsi="宋体" w:hint="eastAsia"/>
          <w:bCs/>
          <w:color w:val="000000" w:themeColor="text1"/>
        </w:rPr>
        <w:t>，北侧距离肿瘤治疗中心</w:t>
      </w:r>
      <w:proofErr w:type="gramStart"/>
      <w:r w:rsidRPr="00B12FE0">
        <w:rPr>
          <w:rFonts w:hAnsi="宋体" w:hint="eastAsia"/>
          <w:bCs/>
          <w:color w:val="000000" w:themeColor="text1"/>
        </w:rPr>
        <w:t>综合楼约</w:t>
      </w:r>
      <w:proofErr w:type="gramEnd"/>
      <w:r w:rsidRPr="00B12FE0">
        <w:rPr>
          <w:rFonts w:hAnsi="宋体" w:hint="eastAsia"/>
          <w:bCs/>
          <w:color w:val="000000" w:themeColor="text1"/>
        </w:rPr>
        <w:t>4m</w:t>
      </w:r>
      <w:r w:rsidRPr="00B12FE0">
        <w:rPr>
          <w:rFonts w:hAnsi="宋体" w:hint="eastAsia"/>
          <w:bCs/>
          <w:color w:val="000000" w:themeColor="text1"/>
        </w:rPr>
        <w:t>。</w:t>
      </w:r>
    </w:p>
    <w:p w14:paraId="39A9C906" w14:textId="77777777" w:rsidR="00A67F21" w:rsidRPr="00B12FE0" w:rsidRDefault="00000000">
      <w:pPr>
        <w:snapToGrid w:val="0"/>
        <w:spacing w:line="360" w:lineRule="auto"/>
        <w:ind w:firstLineChars="200" w:firstLine="480"/>
        <w:contextualSpacing/>
        <w:rPr>
          <w:rFonts w:hAnsi="宋体" w:hint="eastAsia"/>
          <w:bCs/>
          <w:color w:val="000000" w:themeColor="text1"/>
        </w:rPr>
      </w:pPr>
      <w:r w:rsidRPr="00B12FE0">
        <w:rPr>
          <w:rFonts w:hint="eastAsia"/>
          <w:bCs/>
          <w:color w:val="000000" w:themeColor="text1"/>
        </w:rPr>
        <w:t>放疗科直线加速器及后装机机房东侧紧邻变配电室及其他机房，南侧紧邻控制室、</w:t>
      </w:r>
      <w:proofErr w:type="gramStart"/>
      <w:r w:rsidRPr="00B12FE0">
        <w:rPr>
          <w:rFonts w:hint="eastAsia"/>
          <w:bCs/>
          <w:color w:val="000000" w:themeColor="text1"/>
        </w:rPr>
        <w:t>准备室</w:t>
      </w:r>
      <w:proofErr w:type="gramEnd"/>
      <w:r w:rsidRPr="00B12FE0">
        <w:rPr>
          <w:rFonts w:hint="eastAsia"/>
          <w:bCs/>
          <w:color w:val="000000" w:themeColor="text1"/>
        </w:rPr>
        <w:t>及辅助机房，西侧及北侧紧邻</w:t>
      </w:r>
      <w:r w:rsidRPr="00B12FE0">
        <w:rPr>
          <w:rFonts w:hAnsi="宋体"/>
          <w:bCs/>
          <w:color w:val="000000" w:themeColor="text1"/>
        </w:rPr>
        <w:t>医院院内道路及绿化</w:t>
      </w:r>
      <w:r w:rsidRPr="00B12FE0">
        <w:rPr>
          <w:rFonts w:hAnsi="宋体" w:hint="eastAsia"/>
          <w:bCs/>
          <w:color w:val="000000" w:themeColor="text1"/>
        </w:rPr>
        <w:t>，上方为不可上人屋顶。</w:t>
      </w:r>
    </w:p>
    <w:p w14:paraId="4191BD3A" w14:textId="77777777" w:rsidR="00A67F21" w:rsidRPr="00B12FE0" w:rsidRDefault="00000000">
      <w:pPr>
        <w:snapToGrid w:val="0"/>
        <w:spacing w:line="360" w:lineRule="auto"/>
        <w:ind w:firstLineChars="200" w:firstLine="480"/>
        <w:contextualSpacing/>
        <w:rPr>
          <w:rFonts w:hAnsi="宋体" w:hint="eastAsia"/>
          <w:bCs/>
          <w:color w:val="000000" w:themeColor="text1"/>
        </w:rPr>
      </w:pPr>
      <w:r w:rsidRPr="00B12FE0">
        <w:rPr>
          <w:rFonts w:hAnsi="宋体" w:hint="eastAsia"/>
          <w:bCs/>
          <w:color w:val="000000" w:themeColor="text1"/>
        </w:rPr>
        <w:t>模拟定位</w:t>
      </w:r>
      <w:r w:rsidRPr="00B12FE0">
        <w:rPr>
          <w:rFonts w:hAnsi="宋体" w:hint="eastAsia"/>
          <w:bCs/>
          <w:color w:val="000000" w:themeColor="text1"/>
        </w:rPr>
        <w:t>CT</w:t>
      </w:r>
      <w:r w:rsidRPr="00B12FE0">
        <w:rPr>
          <w:rFonts w:hAnsi="宋体" w:hint="eastAsia"/>
          <w:bCs/>
          <w:color w:val="000000" w:themeColor="text1"/>
        </w:rPr>
        <w:t>机房东侧紧邻更衣室及控制室，南侧紧邻辅助机房，西侧紧邻</w:t>
      </w:r>
      <w:r w:rsidRPr="00B12FE0">
        <w:rPr>
          <w:rFonts w:hAnsi="宋体"/>
          <w:bCs/>
          <w:color w:val="000000" w:themeColor="text1"/>
        </w:rPr>
        <w:t>电梯及楼梯间、制模室</w:t>
      </w:r>
      <w:r w:rsidRPr="00B12FE0">
        <w:rPr>
          <w:rFonts w:hAnsi="宋体" w:hint="eastAsia"/>
          <w:bCs/>
          <w:color w:val="000000" w:themeColor="text1"/>
        </w:rPr>
        <w:t>，北侧紧邻候诊区，上方为不可上人屋顶。</w:t>
      </w:r>
    </w:p>
    <w:p w14:paraId="0F152FF1" w14:textId="77777777" w:rsidR="00A67F21" w:rsidRPr="00B12FE0" w:rsidRDefault="00000000">
      <w:pPr>
        <w:snapToGrid w:val="0"/>
        <w:spacing w:line="360" w:lineRule="auto"/>
        <w:ind w:firstLineChars="200" w:firstLine="480"/>
        <w:contextualSpacing/>
        <w:rPr>
          <w:rFonts w:hAnsi="宋体" w:hint="eastAsia"/>
          <w:color w:val="000000" w:themeColor="text1"/>
        </w:rPr>
      </w:pPr>
      <w:r w:rsidRPr="00B12FE0">
        <w:rPr>
          <w:rFonts w:hAnsi="宋体" w:hint="eastAsia"/>
          <w:bCs/>
          <w:color w:val="000000" w:themeColor="text1"/>
        </w:rPr>
        <w:t>因此，本项目实体屏蔽边界外</w:t>
      </w:r>
      <w:r w:rsidRPr="00B12FE0">
        <w:rPr>
          <w:rFonts w:hAnsi="宋体" w:hint="eastAsia"/>
          <w:bCs/>
          <w:color w:val="000000" w:themeColor="text1"/>
        </w:rPr>
        <w:t>50m</w:t>
      </w:r>
      <w:r w:rsidRPr="00B12FE0">
        <w:rPr>
          <w:rFonts w:hAnsi="宋体" w:hint="eastAsia"/>
          <w:bCs/>
          <w:color w:val="000000" w:themeColor="text1"/>
        </w:rPr>
        <w:t>及衰变池周围</w:t>
      </w:r>
      <w:r w:rsidRPr="00B12FE0">
        <w:rPr>
          <w:rFonts w:hAnsi="宋体" w:hint="eastAsia"/>
          <w:bCs/>
          <w:color w:val="000000" w:themeColor="text1"/>
        </w:rPr>
        <w:t>50m</w:t>
      </w:r>
      <w:r w:rsidRPr="00B12FE0">
        <w:rPr>
          <w:rFonts w:hAnsi="宋体" w:hint="eastAsia"/>
          <w:bCs/>
          <w:color w:val="000000" w:themeColor="text1"/>
        </w:rPr>
        <w:t>评价范围包括医院内部建筑物和院内道路，不涉及其他环境敏感区域。本项目与外环境四周情况见附图</w:t>
      </w:r>
      <w:r w:rsidRPr="00B12FE0">
        <w:rPr>
          <w:rFonts w:hAnsi="宋体" w:hint="eastAsia"/>
          <w:bCs/>
          <w:color w:val="000000" w:themeColor="text1"/>
        </w:rPr>
        <w:t>2</w:t>
      </w:r>
      <w:r w:rsidRPr="00B12FE0">
        <w:rPr>
          <w:rFonts w:hAnsi="宋体" w:hint="eastAsia"/>
          <w:bCs/>
          <w:color w:val="000000" w:themeColor="text1"/>
        </w:rPr>
        <w:t>医院总平面布置图及本项目辐射工作场所布置图。</w:t>
      </w:r>
    </w:p>
    <w:p w14:paraId="3ADCEA2C" w14:textId="77777777" w:rsidR="00A67F21" w:rsidRPr="00B12FE0" w:rsidRDefault="00000000">
      <w:pPr>
        <w:adjustRightInd w:val="0"/>
        <w:snapToGrid w:val="0"/>
        <w:spacing w:line="360" w:lineRule="auto"/>
        <w:jc w:val="left"/>
        <w:outlineLvl w:val="1"/>
        <w:rPr>
          <w:b/>
          <w:color w:val="000000" w:themeColor="text1"/>
          <w:sz w:val="28"/>
          <w:szCs w:val="28"/>
        </w:rPr>
      </w:pPr>
      <w:r w:rsidRPr="00B12FE0">
        <w:rPr>
          <w:b/>
          <w:color w:val="000000" w:themeColor="text1"/>
          <w:sz w:val="28"/>
          <w:szCs w:val="28"/>
        </w:rPr>
        <w:t>1.3</w:t>
      </w:r>
      <w:r w:rsidRPr="00B12FE0">
        <w:rPr>
          <w:rFonts w:ascii="宋体" w:hAnsi="宋体"/>
          <w:b/>
          <w:color w:val="000000" w:themeColor="text1"/>
          <w:sz w:val="28"/>
          <w:szCs w:val="28"/>
        </w:rPr>
        <w:t>工作人员及工作制度</w:t>
      </w:r>
    </w:p>
    <w:p w14:paraId="4810679C"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本项目</w:t>
      </w:r>
      <w:r w:rsidRPr="00B12FE0">
        <w:rPr>
          <w:rFonts w:ascii="宋体" w:hAnsi="宋体" w:hint="eastAsia"/>
          <w:color w:val="000000" w:themeColor="text1"/>
          <w:szCs w:val="24"/>
        </w:rPr>
        <w:t>辐射工作人员均为新增，</w:t>
      </w:r>
      <w:r w:rsidRPr="00B12FE0">
        <w:rPr>
          <w:rFonts w:ascii="宋体" w:hAnsi="宋体"/>
          <w:color w:val="000000" w:themeColor="text1"/>
          <w:szCs w:val="24"/>
        </w:rPr>
        <w:t>实行</w:t>
      </w:r>
      <w:r w:rsidRPr="00B12FE0">
        <w:rPr>
          <w:color w:val="000000" w:themeColor="text1"/>
          <w:szCs w:val="24"/>
        </w:rPr>
        <w:t>8h</w:t>
      </w:r>
      <w:r w:rsidRPr="00B12FE0">
        <w:rPr>
          <w:rFonts w:ascii="宋体" w:hAnsi="宋体"/>
          <w:color w:val="000000" w:themeColor="text1"/>
          <w:szCs w:val="24"/>
        </w:rPr>
        <w:t>单班工作制度</w:t>
      </w:r>
      <w:r w:rsidRPr="00B12FE0">
        <w:rPr>
          <w:rFonts w:ascii="宋体" w:hAnsi="宋体" w:hint="eastAsia"/>
          <w:color w:val="000000" w:themeColor="text1"/>
          <w:szCs w:val="24"/>
        </w:rPr>
        <w:t>（其中核素治疗场所</w:t>
      </w:r>
      <w:r w:rsidRPr="00B12FE0">
        <w:rPr>
          <w:rFonts w:ascii="宋体" w:hAnsi="宋体"/>
          <w:color w:val="000000" w:themeColor="text1"/>
          <w:szCs w:val="24"/>
        </w:rPr>
        <w:t>每周工作</w:t>
      </w:r>
      <w:r w:rsidRPr="00B12FE0">
        <w:rPr>
          <w:color w:val="000000" w:themeColor="text1"/>
          <w:szCs w:val="24"/>
        </w:rPr>
        <w:t>5</w:t>
      </w:r>
      <w:r w:rsidRPr="00B12FE0">
        <w:rPr>
          <w:rFonts w:ascii="宋体" w:hAnsi="宋体"/>
          <w:color w:val="000000" w:themeColor="text1"/>
          <w:szCs w:val="24"/>
        </w:rPr>
        <w:t>天，每</w:t>
      </w:r>
      <w:r w:rsidRPr="00B12FE0">
        <w:rPr>
          <w:rFonts w:ascii="宋体" w:hAnsi="宋体" w:hint="eastAsia"/>
          <w:color w:val="000000" w:themeColor="text1"/>
          <w:szCs w:val="24"/>
        </w:rPr>
        <w:t>班</w:t>
      </w:r>
      <w:r w:rsidRPr="00B12FE0">
        <w:rPr>
          <w:rFonts w:ascii="宋体" w:hAnsi="宋体"/>
          <w:color w:val="000000" w:themeColor="text1"/>
          <w:szCs w:val="24"/>
        </w:rPr>
        <w:t>工作</w:t>
      </w:r>
      <w:r w:rsidRPr="00B12FE0">
        <w:rPr>
          <w:color w:val="000000" w:themeColor="text1"/>
          <w:szCs w:val="24"/>
        </w:rPr>
        <w:t>8h</w:t>
      </w:r>
      <w:r w:rsidRPr="00B12FE0">
        <w:rPr>
          <w:rFonts w:ascii="宋体" w:hAnsi="宋体" w:hint="eastAsia"/>
          <w:color w:val="000000" w:themeColor="text1"/>
          <w:szCs w:val="24"/>
        </w:rPr>
        <w:t>，三班制）</w:t>
      </w:r>
      <w:r w:rsidRPr="00B12FE0">
        <w:rPr>
          <w:rFonts w:ascii="宋体" w:hAnsi="宋体"/>
          <w:color w:val="000000" w:themeColor="text1"/>
          <w:szCs w:val="24"/>
        </w:rPr>
        <w:t>，年工作日为</w:t>
      </w:r>
      <w:r w:rsidRPr="00B12FE0">
        <w:rPr>
          <w:color w:val="000000" w:themeColor="text1"/>
          <w:szCs w:val="24"/>
        </w:rPr>
        <w:t>250</w:t>
      </w:r>
      <w:r w:rsidRPr="00B12FE0">
        <w:rPr>
          <w:rFonts w:ascii="宋体" w:hAnsi="宋体"/>
          <w:color w:val="000000" w:themeColor="text1"/>
          <w:szCs w:val="24"/>
        </w:rPr>
        <w:t>天。</w:t>
      </w:r>
    </w:p>
    <w:p w14:paraId="3863AC68"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1.3-1 </w:t>
      </w:r>
      <w:r w:rsidRPr="00B12FE0">
        <w:rPr>
          <w:rFonts w:ascii="宋体" w:hAnsi="宋体"/>
          <w:b/>
          <w:color w:val="000000" w:themeColor="text1"/>
          <w:sz w:val="21"/>
          <w:szCs w:val="21"/>
        </w:rPr>
        <w:t>拟配备人员情况表</w:t>
      </w:r>
    </w:p>
    <w:tbl>
      <w:tblPr>
        <w:tblW w:w="9080" w:type="dxa"/>
        <w:jc w:val="center"/>
        <w:tblLayout w:type="fixed"/>
        <w:tblLook w:val="04A0" w:firstRow="1" w:lastRow="0" w:firstColumn="1" w:lastColumn="0" w:noHBand="0" w:noVBand="1"/>
      </w:tblPr>
      <w:tblGrid>
        <w:gridCol w:w="1035"/>
        <w:gridCol w:w="2527"/>
        <w:gridCol w:w="2854"/>
        <w:gridCol w:w="1234"/>
        <w:gridCol w:w="1430"/>
      </w:tblGrid>
      <w:tr w:rsidR="00A67F21" w:rsidRPr="00B12FE0" w14:paraId="05F26EAE" w14:textId="77777777">
        <w:trPr>
          <w:trHeight w:val="549"/>
          <w:jc w:val="center"/>
        </w:trPr>
        <w:tc>
          <w:tcPr>
            <w:tcW w:w="3562" w:type="dxa"/>
            <w:gridSpan w:val="2"/>
            <w:tcBorders>
              <w:top w:val="single" w:sz="4" w:space="0" w:color="000000"/>
              <w:left w:val="single" w:sz="4" w:space="0" w:color="000000"/>
              <w:bottom w:val="single" w:sz="4" w:space="0" w:color="000000"/>
              <w:right w:val="single" w:sz="4" w:space="0" w:color="000000"/>
            </w:tcBorders>
            <w:vAlign w:val="center"/>
          </w:tcPr>
          <w:p w14:paraId="62D9D85D" w14:textId="77777777" w:rsidR="00A67F21" w:rsidRPr="00B12FE0" w:rsidRDefault="00000000">
            <w:pPr>
              <w:jc w:val="center"/>
              <w:rPr>
                <w:color w:val="000000" w:themeColor="text1"/>
                <w:sz w:val="21"/>
                <w:szCs w:val="21"/>
              </w:rPr>
            </w:pPr>
            <w:r w:rsidRPr="00B12FE0">
              <w:rPr>
                <w:rFonts w:ascii="宋体" w:hAnsi="宋体"/>
                <w:color w:val="000000" w:themeColor="text1"/>
                <w:kern w:val="0"/>
                <w:sz w:val="21"/>
                <w:szCs w:val="21"/>
              </w:rPr>
              <w:t>工作场所</w:t>
            </w:r>
          </w:p>
        </w:tc>
        <w:tc>
          <w:tcPr>
            <w:tcW w:w="2854" w:type="dxa"/>
            <w:tcBorders>
              <w:top w:val="single" w:sz="4" w:space="0" w:color="000000"/>
              <w:left w:val="nil"/>
              <w:bottom w:val="single" w:sz="4" w:space="0" w:color="000000"/>
              <w:right w:val="single" w:sz="4" w:space="0" w:color="000000"/>
            </w:tcBorders>
            <w:vAlign w:val="center"/>
          </w:tcPr>
          <w:p w14:paraId="5A4E45AB"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工作内容</w:t>
            </w:r>
          </w:p>
        </w:tc>
        <w:tc>
          <w:tcPr>
            <w:tcW w:w="1234" w:type="dxa"/>
            <w:tcBorders>
              <w:top w:val="single" w:sz="4" w:space="0" w:color="000000"/>
              <w:left w:val="nil"/>
              <w:bottom w:val="single" w:sz="4" w:space="0" w:color="000000"/>
              <w:right w:val="single" w:sz="4" w:space="0" w:color="000000"/>
            </w:tcBorders>
            <w:vAlign w:val="center"/>
          </w:tcPr>
          <w:p w14:paraId="07D3A1D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人员配置</w:t>
            </w:r>
          </w:p>
        </w:tc>
        <w:tc>
          <w:tcPr>
            <w:tcW w:w="1430" w:type="dxa"/>
            <w:tcBorders>
              <w:top w:val="single" w:sz="4" w:space="0" w:color="000000"/>
              <w:left w:val="nil"/>
              <w:bottom w:val="single" w:sz="4" w:space="0" w:color="000000"/>
              <w:right w:val="single" w:sz="4" w:space="0" w:color="000000"/>
            </w:tcBorders>
            <w:vAlign w:val="center"/>
          </w:tcPr>
          <w:p w14:paraId="5CF38998"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人数（人）</w:t>
            </w:r>
          </w:p>
        </w:tc>
      </w:tr>
      <w:tr w:rsidR="00A67F21" w:rsidRPr="00B12FE0" w14:paraId="65CEEB5D" w14:textId="77777777">
        <w:trPr>
          <w:trHeight w:val="282"/>
          <w:jc w:val="center"/>
        </w:trPr>
        <w:tc>
          <w:tcPr>
            <w:tcW w:w="1035" w:type="dxa"/>
            <w:vMerge w:val="restart"/>
            <w:tcBorders>
              <w:top w:val="nil"/>
              <w:left w:val="single" w:sz="4" w:space="0" w:color="000000"/>
              <w:bottom w:val="single" w:sz="4" w:space="0" w:color="000000"/>
              <w:right w:val="single" w:sz="4" w:space="0" w:color="000000"/>
            </w:tcBorders>
            <w:vAlign w:val="center"/>
          </w:tcPr>
          <w:p w14:paraId="408CB040"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核素制备场所</w:t>
            </w:r>
          </w:p>
        </w:tc>
        <w:tc>
          <w:tcPr>
            <w:tcW w:w="2527" w:type="dxa"/>
            <w:tcBorders>
              <w:top w:val="single" w:sz="4" w:space="0" w:color="000000"/>
              <w:left w:val="nil"/>
              <w:bottom w:val="single" w:sz="4" w:space="0" w:color="000000"/>
              <w:right w:val="single" w:sz="4" w:space="0" w:color="000000"/>
            </w:tcBorders>
            <w:vAlign w:val="center"/>
          </w:tcPr>
          <w:p w14:paraId="70525313"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回旋加速器控制室</w:t>
            </w:r>
          </w:p>
        </w:tc>
        <w:tc>
          <w:tcPr>
            <w:tcW w:w="2854" w:type="dxa"/>
            <w:tcBorders>
              <w:top w:val="single" w:sz="4" w:space="0" w:color="000000"/>
              <w:left w:val="nil"/>
              <w:bottom w:val="single" w:sz="4" w:space="0" w:color="000000"/>
              <w:right w:val="single" w:sz="4" w:space="0" w:color="000000"/>
            </w:tcBorders>
            <w:vAlign w:val="center"/>
          </w:tcPr>
          <w:p w14:paraId="2149F93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设备控制</w:t>
            </w:r>
          </w:p>
        </w:tc>
        <w:tc>
          <w:tcPr>
            <w:tcW w:w="1234" w:type="dxa"/>
            <w:tcBorders>
              <w:top w:val="single" w:sz="4" w:space="0" w:color="000000"/>
              <w:left w:val="nil"/>
              <w:bottom w:val="single" w:sz="4" w:space="0" w:color="000000"/>
              <w:right w:val="single" w:sz="4" w:space="0" w:color="000000"/>
            </w:tcBorders>
            <w:vAlign w:val="center"/>
          </w:tcPr>
          <w:p w14:paraId="2DEA697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物理师</w:t>
            </w:r>
          </w:p>
        </w:tc>
        <w:tc>
          <w:tcPr>
            <w:tcW w:w="1430" w:type="dxa"/>
            <w:tcBorders>
              <w:top w:val="single" w:sz="4" w:space="0" w:color="000000"/>
              <w:left w:val="nil"/>
              <w:bottom w:val="single" w:sz="4" w:space="0" w:color="000000"/>
              <w:right w:val="single" w:sz="4" w:space="0" w:color="000000"/>
            </w:tcBorders>
            <w:noWrap/>
            <w:vAlign w:val="center"/>
          </w:tcPr>
          <w:p w14:paraId="14DC630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w:t>
            </w:r>
          </w:p>
        </w:tc>
      </w:tr>
      <w:tr w:rsidR="00A67F21" w:rsidRPr="00B12FE0" w14:paraId="09A5A7B4" w14:textId="77777777">
        <w:trPr>
          <w:trHeight w:val="340"/>
          <w:jc w:val="center"/>
        </w:trPr>
        <w:tc>
          <w:tcPr>
            <w:tcW w:w="1035" w:type="dxa"/>
            <w:vMerge/>
            <w:tcBorders>
              <w:top w:val="nil"/>
              <w:left w:val="single" w:sz="4" w:space="0" w:color="000000"/>
              <w:bottom w:val="single" w:sz="4" w:space="0" w:color="000000"/>
              <w:right w:val="single" w:sz="4" w:space="0" w:color="000000"/>
            </w:tcBorders>
            <w:vAlign w:val="center"/>
          </w:tcPr>
          <w:p w14:paraId="4E282BFF" w14:textId="77777777" w:rsidR="00A67F21" w:rsidRPr="00B12FE0" w:rsidRDefault="00A67F21">
            <w:pPr>
              <w:widowControl/>
              <w:jc w:val="left"/>
              <w:rPr>
                <w:color w:val="000000" w:themeColor="text1"/>
                <w:sz w:val="21"/>
                <w:szCs w:val="21"/>
              </w:rPr>
            </w:pPr>
          </w:p>
        </w:tc>
        <w:tc>
          <w:tcPr>
            <w:tcW w:w="2527" w:type="dxa"/>
            <w:tcBorders>
              <w:top w:val="single" w:sz="4" w:space="0" w:color="000000"/>
              <w:left w:val="nil"/>
              <w:bottom w:val="single" w:sz="4" w:space="0" w:color="000000"/>
              <w:right w:val="single" w:sz="4" w:space="0" w:color="000000"/>
            </w:tcBorders>
            <w:vAlign w:val="center"/>
          </w:tcPr>
          <w:p w14:paraId="762CADF9" w14:textId="77777777" w:rsidR="00A67F21" w:rsidRPr="00B12FE0" w:rsidRDefault="00000000">
            <w:pPr>
              <w:widowControl/>
              <w:jc w:val="center"/>
              <w:textAlignment w:val="center"/>
              <w:rPr>
                <w:color w:val="000000" w:themeColor="text1"/>
                <w:sz w:val="21"/>
                <w:szCs w:val="21"/>
              </w:rPr>
            </w:pPr>
            <w:r w:rsidRPr="00B12FE0">
              <w:rPr>
                <w:rFonts w:ascii="宋体" w:hAnsi="宋体" w:hint="eastAsia"/>
                <w:color w:val="000000" w:themeColor="text1"/>
                <w:kern w:val="0"/>
                <w:sz w:val="21"/>
                <w:szCs w:val="21"/>
              </w:rPr>
              <w:t>热室房间</w:t>
            </w:r>
            <w:r w:rsidRPr="00B12FE0">
              <w:rPr>
                <w:rFonts w:ascii="宋体" w:hAnsi="宋体"/>
                <w:color w:val="000000" w:themeColor="text1"/>
                <w:kern w:val="0"/>
                <w:sz w:val="21"/>
                <w:szCs w:val="21"/>
              </w:rPr>
              <w:t>、</w:t>
            </w:r>
            <w:r w:rsidRPr="00B12FE0">
              <w:rPr>
                <w:rFonts w:ascii="宋体" w:hAnsi="宋体" w:hint="eastAsia"/>
                <w:color w:val="000000" w:themeColor="text1"/>
                <w:kern w:val="0"/>
                <w:sz w:val="21"/>
                <w:szCs w:val="21"/>
              </w:rPr>
              <w:t>全检质控</w:t>
            </w:r>
            <w:r w:rsidRPr="00B12FE0">
              <w:rPr>
                <w:rFonts w:ascii="宋体" w:hAnsi="宋体"/>
                <w:color w:val="000000" w:themeColor="text1"/>
                <w:kern w:val="0"/>
                <w:sz w:val="21"/>
                <w:szCs w:val="21"/>
              </w:rPr>
              <w:t>室</w:t>
            </w:r>
          </w:p>
        </w:tc>
        <w:tc>
          <w:tcPr>
            <w:tcW w:w="2854" w:type="dxa"/>
            <w:tcBorders>
              <w:top w:val="single" w:sz="4" w:space="0" w:color="000000"/>
              <w:left w:val="nil"/>
              <w:bottom w:val="single" w:sz="4" w:space="0" w:color="000000"/>
              <w:right w:val="single" w:sz="4" w:space="0" w:color="000000"/>
            </w:tcBorders>
            <w:vAlign w:val="center"/>
          </w:tcPr>
          <w:p w14:paraId="2B1B2F9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药物合成、质检、运输</w:t>
            </w:r>
          </w:p>
        </w:tc>
        <w:tc>
          <w:tcPr>
            <w:tcW w:w="1234" w:type="dxa"/>
            <w:tcBorders>
              <w:top w:val="single" w:sz="4" w:space="0" w:color="000000"/>
              <w:left w:val="nil"/>
              <w:bottom w:val="single" w:sz="4" w:space="0" w:color="000000"/>
              <w:right w:val="single" w:sz="4" w:space="0" w:color="000000"/>
            </w:tcBorders>
            <w:vAlign w:val="center"/>
          </w:tcPr>
          <w:p w14:paraId="4CFD2000"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化学师</w:t>
            </w:r>
          </w:p>
        </w:tc>
        <w:tc>
          <w:tcPr>
            <w:tcW w:w="1430" w:type="dxa"/>
            <w:tcBorders>
              <w:top w:val="single" w:sz="4" w:space="0" w:color="000000"/>
              <w:left w:val="nil"/>
              <w:bottom w:val="single" w:sz="4" w:space="0" w:color="000000"/>
              <w:right w:val="single" w:sz="4" w:space="0" w:color="000000"/>
            </w:tcBorders>
            <w:noWrap/>
            <w:vAlign w:val="center"/>
          </w:tcPr>
          <w:p w14:paraId="25C174A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w:t>
            </w:r>
          </w:p>
        </w:tc>
      </w:tr>
      <w:tr w:rsidR="00A67F21" w:rsidRPr="00B12FE0" w14:paraId="46AEE959" w14:textId="77777777">
        <w:trPr>
          <w:trHeight w:val="282"/>
          <w:jc w:val="center"/>
        </w:trPr>
        <w:tc>
          <w:tcPr>
            <w:tcW w:w="1035" w:type="dxa"/>
            <w:vMerge w:val="restart"/>
            <w:tcBorders>
              <w:top w:val="nil"/>
              <w:left w:val="single" w:sz="4" w:space="0" w:color="000000"/>
              <w:bottom w:val="single" w:sz="4" w:space="0" w:color="000000"/>
              <w:right w:val="single" w:sz="4" w:space="0" w:color="000000"/>
            </w:tcBorders>
            <w:noWrap/>
            <w:vAlign w:val="center"/>
          </w:tcPr>
          <w:p w14:paraId="331F673A"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核素诊断场所</w:t>
            </w:r>
          </w:p>
        </w:tc>
        <w:tc>
          <w:tcPr>
            <w:tcW w:w="2527" w:type="dxa"/>
            <w:tcBorders>
              <w:top w:val="single" w:sz="4" w:space="0" w:color="000000"/>
              <w:left w:val="nil"/>
              <w:bottom w:val="single" w:sz="4" w:space="0" w:color="000000"/>
              <w:right w:val="single" w:sz="4" w:space="0" w:color="000000"/>
            </w:tcBorders>
            <w:noWrap/>
            <w:vAlign w:val="center"/>
          </w:tcPr>
          <w:p w14:paraId="56C7F6C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问诊室、办公室、阅片室</w:t>
            </w:r>
          </w:p>
        </w:tc>
        <w:tc>
          <w:tcPr>
            <w:tcW w:w="2854" w:type="dxa"/>
            <w:tcBorders>
              <w:top w:val="single" w:sz="4" w:space="0" w:color="000000"/>
              <w:left w:val="nil"/>
              <w:bottom w:val="single" w:sz="4" w:space="0" w:color="000000"/>
              <w:right w:val="single" w:sz="4" w:space="0" w:color="000000"/>
            </w:tcBorders>
            <w:noWrap/>
            <w:vAlign w:val="center"/>
          </w:tcPr>
          <w:p w14:paraId="50543BC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接诊、办公、阅片</w:t>
            </w:r>
          </w:p>
        </w:tc>
        <w:tc>
          <w:tcPr>
            <w:tcW w:w="1234" w:type="dxa"/>
            <w:tcBorders>
              <w:top w:val="single" w:sz="4" w:space="0" w:color="000000"/>
              <w:left w:val="nil"/>
              <w:bottom w:val="single" w:sz="4" w:space="0" w:color="000000"/>
              <w:right w:val="single" w:sz="4" w:space="0" w:color="000000"/>
            </w:tcBorders>
            <w:noWrap/>
            <w:vAlign w:val="center"/>
          </w:tcPr>
          <w:p w14:paraId="4A859C8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医生</w:t>
            </w:r>
          </w:p>
        </w:tc>
        <w:tc>
          <w:tcPr>
            <w:tcW w:w="1430" w:type="dxa"/>
            <w:tcBorders>
              <w:top w:val="single" w:sz="4" w:space="0" w:color="000000"/>
              <w:left w:val="nil"/>
              <w:bottom w:val="single" w:sz="4" w:space="0" w:color="000000"/>
              <w:right w:val="single" w:sz="4" w:space="0" w:color="000000"/>
            </w:tcBorders>
            <w:noWrap/>
            <w:vAlign w:val="center"/>
          </w:tcPr>
          <w:p w14:paraId="02D1D39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2</w:t>
            </w:r>
          </w:p>
        </w:tc>
      </w:tr>
      <w:tr w:rsidR="00A67F21" w:rsidRPr="00B12FE0" w14:paraId="1DBB8481" w14:textId="77777777">
        <w:trPr>
          <w:trHeight w:val="282"/>
          <w:jc w:val="center"/>
        </w:trPr>
        <w:tc>
          <w:tcPr>
            <w:tcW w:w="1035" w:type="dxa"/>
            <w:vMerge/>
            <w:tcBorders>
              <w:top w:val="nil"/>
              <w:left w:val="single" w:sz="4" w:space="0" w:color="000000"/>
              <w:bottom w:val="single" w:sz="4" w:space="0" w:color="000000"/>
              <w:right w:val="single" w:sz="4" w:space="0" w:color="000000"/>
            </w:tcBorders>
            <w:vAlign w:val="center"/>
          </w:tcPr>
          <w:p w14:paraId="3F3ADC97" w14:textId="77777777" w:rsidR="00A67F21" w:rsidRPr="00B12FE0" w:rsidRDefault="00A67F21">
            <w:pPr>
              <w:widowControl/>
              <w:jc w:val="left"/>
              <w:rPr>
                <w:color w:val="000000" w:themeColor="text1"/>
                <w:sz w:val="21"/>
                <w:szCs w:val="21"/>
              </w:rPr>
            </w:pPr>
          </w:p>
        </w:tc>
        <w:tc>
          <w:tcPr>
            <w:tcW w:w="2527" w:type="dxa"/>
            <w:tcBorders>
              <w:top w:val="single" w:sz="4" w:space="0" w:color="000000"/>
              <w:left w:val="nil"/>
              <w:bottom w:val="single" w:sz="4" w:space="0" w:color="000000"/>
              <w:right w:val="single" w:sz="4" w:space="0" w:color="000000"/>
            </w:tcBorders>
            <w:noWrap/>
            <w:vAlign w:val="center"/>
          </w:tcPr>
          <w:p w14:paraId="502D74DB" w14:textId="77777777" w:rsidR="00A67F21" w:rsidRPr="00B12FE0" w:rsidRDefault="00000000">
            <w:pPr>
              <w:widowControl/>
              <w:jc w:val="center"/>
              <w:textAlignment w:val="center"/>
              <w:rPr>
                <w:color w:val="000000" w:themeColor="text1"/>
                <w:kern w:val="0"/>
                <w:sz w:val="21"/>
                <w:szCs w:val="21"/>
              </w:rPr>
            </w:pPr>
            <w:r w:rsidRPr="00B12FE0">
              <w:rPr>
                <w:rFonts w:ascii="宋体" w:hAnsi="宋体"/>
                <w:color w:val="000000" w:themeColor="text1"/>
                <w:kern w:val="0"/>
                <w:sz w:val="21"/>
                <w:szCs w:val="21"/>
              </w:rPr>
              <w:t>护士站、</w:t>
            </w:r>
            <w:r w:rsidRPr="00B12FE0">
              <w:rPr>
                <w:rFonts w:ascii="宋体" w:hAnsi="宋体" w:hint="eastAsia"/>
                <w:color w:val="000000" w:themeColor="text1"/>
                <w:kern w:val="0"/>
                <w:sz w:val="21"/>
                <w:szCs w:val="21"/>
              </w:rPr>
              <w:t>分装室、注射区、敷贴室、</w:t>
            </w:r>
            <w:proofErr w:type="gramStart"/>
            <w:r w:rsidRPr="00B12FE0">
              <w:rPr>
                <w:rFonts w:ascii="宋体" w:hAnsi="宋体" w:hint="eastAsia"/>
                <w:color w:val="000000" w:themeColor="text1"/>
                <w:kern w:val="0"/>
                <w:sz w:val="21"/>
                <w:szCs w:val="21"/>
              </w:rPr>
              <w:t>甲测室</w:t>
            </w:r>
            <w:proofErr w:type="gramEnd"/>
          </w:p>
        </w:tc>
        <w:tc>
          <w:tcPr>
            <w:tcW w:w="2854" w:type="dxa"/>
            <w:tcBorders>
              <w:top w:val="single" w:sz="4" w:space="0" w:color="000000"/>
              <w:left w:val="nil"/>
              <w:bottom w:val="single" w:sz="4" w:space="0" w:color="000000"/>
              <w:right w:val="single" w:sz="4" w:space="0" w:color="000000"/>
            </w:tcBorders>
            <w:noWrap/>
            <w:vAlign w:val="center"/>
          </w:tcPr>
          <w:p w14:paraId="7AE8D3E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预约登记、放射性药物给药注射、</w:t>
            </w:r>
            <w:proofErr w:type="gramStart"/>
            <w:r w:rsidRPr="00B12FE0">
              <w:rPr>
                <w:rFonts w:ascii="宋体" w:hAnsi="宋体"/>
                <w:color w:val="000000" w:themeColor="text1"/>
                <w:kern w:val="0"/>
                <w:sz w:val="21"/>
                <w:szCs w:val="21"/>
              </w:rPr>
              <w:t>钼</w:t>
            </w:r>
            <w:proofErr w:type="gramEnd"/>
            <w:r w:rsidRPr="00B12FE0">
              <w:rPr>
                <w:rFonts w:ascii="宋体" w:hAnsi="宋体"/>
                <w:color w:val="000000" w:themeColor="text1"/>
                <w:kern w:val="0"/>
                <w:sz w:val="21"/>
                <w:szCs w:val="21"/>
              </w:rPr>
              <w:t>锝发生器淋洗标记</w:t>
            </w:r>
          </w:p>
        </w:tc>
        <w:tc>
          <w:tcPr>
            <w:tcW w:w="1234" w:type="dxa"/>
            <w:tcBorders>
              <w:top w:val="single" w:sz="4" w:space="0" w:color="000000"/>
              <w:left w:val="nil"/>
              <w:bottom w:val="single" w:sz="4" w:space="0" w:color="000000"/>
              <w:right w:val="single" w:sz="4" w:space="0" w:color="000000"/>
            </w:tcBorders>
            <w:noWrap/>
            <w:vAlign w:val="center"/>
          </w:tcPr>
          <w:p w14:paraId="5115C5F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护士</w:t>
            </w:r>
          </w:p>
        </w:tc>
        <w:tc>
          <w:tcPr>
            <w:tcW w:w="1430" w:type="dxa"/>
            <w:tcBorders>
              <w:top w:val="single" w:sz="4" w:space="0" w:color="000000"/>
              <w:left w:val="nil"/>
              <w:bottom w:val="single" w:sz="4" w:space="0" w:color="000000"/>
              <w:right w:val="single" w:sz="4" w:space="0" w:color="000000"/>
            </w:tcBorders>
            <w:noWrap/>
            <w:vAlign w:val="center"/>
          </w:tcPr>
          <w:p w14:paraId="4B58838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w:t>
            </w:r>
          </w:p>
        </w:tc>
      </w:tr>
      <w:tr w:rsidR="00A67F21" w:rsidRPr="00B12FE0" w14:paraId="04BBD9E5" w14:textId="77777777">
        <w:trPr>
          <w:trHeight w:val="282"/>
          <w:jc w:val="center"/>
        </w:trPr>
        <w:tc>
          <w:tcPr>
            <w:tcW w:w="1035" w:type="dxa"/>
            <w:vMerge/>
            <w:tcBorders>
              <w:top w:val="nil"/>
              <w:left w:val="single" w:sz="4" w:space="0" w:color="000000"/>
              <w:bottom w:val="single" w:sz="4" w:space="0" w:color="000000"/>
              <w:right w:val="single" w:sz="4" w:space="0" w:color="000000"/>
            </w:tcBorders>
            <w:vAlign w:val="center"/>
          </w:tcPr>
          <w:p w14:paraId="3DD6F8E5" w14:textId="77777777" w:rsidR="00A67F21" w:rsidRPr="00B12FE0" w:rsidRDefault="00A67F21">
            <w:pPr>
              <w:widowControl/>
              <w:jc w:val="left"/>
              <w:rPr>
                <w:color w:val="000000" w:themeColor="text1"/>
                <w:sz w:val="21"/>
                <w:szCs w:val="21"/>
              </w:rPr>
            </w:pPr>
          </w:p>
        </w:tc>
        <w:tc>
          <w:tcPr>
            <w:tcW w:w="2527" w:type="dxa"/>
            <w:tcBorders>
              <w:top w:val="single" w:sz="4" w:space="0" w:color="000000"/>
              <w:left w:val="nil"/>
              <w:bottom w:val="single" w:sz="4" w:space="0" w:color="000000"/>
              <w:right w:val="single" w:sz="4" w:space="0" w:color="000000"/>
            </w:tcBorders>
            <w:noWrap/>
            <w:vAlign w:val="center"/>
          </w:tcPr>
          <w:p w14:paraId="7B172D3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PET</w:t>
            </w:r>
            <w:r w:rsidRPr="00B12FE0">
              <w:rPr>
                <w:rFonts w:ascii="宋体" w:hAnsi="宋体"/>
                <w:color w:val="000000" w:themeColor="text1"/>
                <w:kern w:val="0"/>
                <w:sz w:val="21"/>
                <w:szCs w:val="21"/>
              </w:rPr>
              <w:t>控制室</w:t>
            </w:r>
          </w:p>
        </w:tc>
        <w:tc>
          <w:tcPr>
            <w:tcW w:w="2854" w:type="dxa"/>
            <w:tcBorders>
              <w:top w:val="single" w:sz="4" w:space="0" w:color="000000"/>
              <w:left w:val="nil"/>
              <w:bottom w:val="single" w:sz="4" w:space="0" w:color="000000"/>
              <w:right w:val="single" w:sz="4" w:space="0" w:color="000000"/>
            </w:tcBorders>
            <w:noWrap/>
            <w:vAlign w:val="center"/>
          </w:tcPr>
          <w:p w14:paraId="432EE13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操作</w:t>
            </w:r>
            <w:r w:rsidRPr="00B12FE0">
              <w:rPr>
                <w:color w:val="000000" w:themeColor="text1"/>
                <w:kern w:val="0"/>
                <w:sz w:val="21"/>
                <w:szCs w:val="21"/>
              </w:rPr>
              <w:t>PET/CT</w:t>
            </w:r>
            <w:r w:rsidRPr="00B12FE0">
              <w:rPr>
                <w:rFonts w:ascii="宋体" w:hAnsi="宋体"/>
                <w:color w:val="000000" w:themeColor="text1"/>
                <w:kern w:val="0"/>
                <w:sz w:val="21"/>
                <w:szCs w:val="21"/>
              </w:rPr>
              <w:t>、患者摆位</w:t>
            </w:r>
          </w:p>
        </w:tc>
        <w:tc>
          <w:tcPr>
            <w:tcW w:w="1234" w:type="dxa"/>
            <w:tcBorders>
              <w:top w:val="single" w:sz="4" w:space="0" w:color="000000"/>
              <w:left w:val="nil"/>
              <w:bottom w:val="single" w:sz="4" w:space="0" w:color="000000"/>
              <w:right w:val="single" w:sz="4" w:space="0" w:color="000000"/>
            </w:tcBorders>
            <w:noWrap/>
            <w:vAlign w:val="center"/>
          </w:tcPr>
          <w:p w14:paraId="7882B80B"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技师</w:t>
            </w:r>
          </w:p>
        </w:tc>
        <w:tc>
          <w:tcPr>
            <w:tcW w:w="1430" w:type="dxa"/>
            <w:tcBorders>
              <w:top w:val="single" w:sz="4" w:space="0" w:color="000000"/>
              <w:left w:val="nil"/>
              <w:bottom w:val="single" w:sz="4" w:space="0" w:color="000000"/>
              <w:right w:val="single" w:sz="4" w:space="0" w:color="000000"/>
            </w:tcBorders>
            <w:noWrap/>
            <w:vAlign w:val="center"/>
          </w:tcPr>
          <w:p w14:paraId="49DB7F9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p>
        </w:tc>
      </w:tr>
      <w:tr w:rsidR="00A67F21" w:rsidRPr="00B12FE0" w14:paraId="71B69A6F" w14:textId="77777777">
        <w:trPr>
          <w:trHeight w:val="282"/>
          <w:jc w:val="center"/>
        </w:trPr>
        <w:tc>
          <w:tcPr>
            <w:tcW w:w="1035" w:type="dxa"/>
            <w:vMerge/>
            <w:tcBorders>
              <w:top w:val="nil"/>
              <w:left w:val="single" w:sz="4" w:space="0" w:color="000000"/>
              <w:bottom w:val="single" w:sz="4" w:space="0" w:color="000000"/>
              <w:right w:val="single" w:sz="4" w:space="0" w:color="000000"/>
            </w:tcBorders>
            <w:vAlign w:val="center"/>
          </w:tcPr>
          <w:p w14:paraId="35A2E595" w14:textId="77777777" w:rsidR="00A67F21" w:rsidRPr="00B12FE0" w:rsidRDefault="00A67F21">
            <w:pPr>
              <w:widowControl/>
              <w:jc w:val="left"/>
              <w:rPr>
                <w:color w:val="000000" w:themeColor="text1"/>
                <w:sz w:val="21"/>
                <w:szCs w:val="21"/>
              </w:rPr>
            </w:pPr>
          </w:p>
        </w:tc>
        <w:tc>
          <w:tcPr>
            <w:tcW w:w="2527" w:type="dxa"/>
            <w:tcBorders>
              <w:top w:val="single" w:sz="4" w:space="0" w:color="000000"/>
              <w:left w:val="nil"/>
              <w:bottom w:val="single" w:sz="4" w:space="0" w:color="auto"/>
              <w:right w:val="single" w:sz="4" w:space="0" w:color="000000"/>
            </w:tcBorders>
            <w:noWrap/>
            <w:vAlign w:val="center"/>
          </w:tcPr>
          <w:p w14:paraId="454E523B"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SPECT</w:t>
            </w:r>
            <w:r w:rsidRPr="00B12FE0">
              <w:rPr>
                <w:rFonts w:ascii="宋体" w:hAnsi="宋体"/>
                <w:color w:val="000000" w:themeColor="text1"/>
                <w:kern w:val="0"/>
                <w:sz w:val="21"/>
                <w:szCs w:val="21"/>
              </w:rPr>
              <w:t>控制室</w:t>
            </w:r>
          </w:p>
        </w:tc>
        <w:tc>
          <w:tcPr>
            <w:tcW w:w="2854" w:type="dxa"/>
            <w:tcBorders>
              <w:top w:val="single" w:sz="4" w:space="0" w:color="000000"/>
              <w:left w:val="nil"/>
              <w:bottom w:val="single" w:sz="4" w:space="0" w:color="auto"/>
              <w:right w:val="single" w:sz="4" w:space="0" w:color="000000"/>
            </w:tcBorders>
            <w:noWrap/>
            <w:vAlign w:val="center"/>
          </w:tcPr>
          <w:p w14:paraId="68B577C0"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color w:val="000000" w:themeColor="text1"/>
                <w:kern w:val="0"/>
                <w:sz w:val="21"/>
                <w:szCs w:val="21"/>
              </w:rPr>
              <w:t>操作</w:t>
            </w:r>
            <w:r w:rsidRPr="00B12FE0">
              <w:rPr>
                <w:color w:val="000000" w:themeColor="text1"/>
                <w:kern w:val="0"/>
                <w:sz w:val="21"/>
                <w:szCs w:val="21"/>
              </w:rPr>
              <w:t>SPECT/CT</w:t>
            </w:r>
            <w:r w:rsidRPr="00B12FE0">
              <w:rPr>
                <w:rFonts w:ascii="宋体" w:hAnsi="宋体"/>
                <w:color w:val="000000" w:themeColor="text1"/>
                <w:kern w:val="0"/>
                <w:sz w:val="21"/>
                <w:szCs w:val="21"/>
              </w:rPr>
              <w:t>、患者摆位</w:t>
            </w:r>
          </w:p>
        </w:tc>
        <w:tc>
          <w:tcPr>
            <w:tcW w:w="1234" w:type="dxa"/>
            <w:tcBorders>
              <w:top w:val="single" w:sz="4" w:space="0" w:color="000000"/>
              <w:left w:val="nil"/>
              <w:bottom w:val="single" w:sz="4" w:space="0" w:color="auto"/>
              <w:right w:val="single" w:sz="4" w:space="0" w:color="000000"/>
            </w:tcBorders>
            <w:noWrap/>
            <w:vAlign w:val="center"/>
          </w:tcPr>
          <w:p w14:paraId="14BFE42F"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color w:val="000000" w:themeColor="text1"/>
                <w:kern w:val="0"/>
                <w:sz w:val="21"/>
                <w:szCs w:val="21"/>
              </w:rPr>
              <w:t>技师</w:t>
            </w:r>
          </w:p>
        </w:tc>
        <w:tc>
          <w:tcPr>
            <w:tcW w:w="1430" w:type="dxa"/>
            <w:tcBorders>
              <w:top w:val="single" w:sz="4" w:space="0" w:color="000000"/>
              <w:left w:val="nil"/>
              <w:bottom w:val="single" w:sz="4" w:space="0" w:color="auto"/>
              <w:right w:val="single" w:sz="4" w:space="0" w:color="000000"/>
            </w:tcBorders>
            <w:noWrap/>
            <w:vAlign w:val="center"/>
          </w:tcPr>
          <w:p w14:paraId="20A193FA"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8</w:t>
            </w:r>
          </w:p>
        </w:tc>
      </w:tr>
      <w:tr w:rsidR="00A67F21" w:rsidRPr="00B12FE0" w14:paraId="51148B83" w14:textId="77777777">
        <w:trPr>
          <w:trHeight w:val="282"/>
          <w:jc w:val="center"/>
        </w:trPr>
        <w:tc>
          <w:tcPr>
            <w:tcW w:w="1035" w:type="dxa"/>
            <w:vMerge w:val="restart"/>
            <w:tcBorders>
              <w:top w:val="nil"/>
              <w:left w:val="single" w:sz="4" w:space="0" w:color="000000"/>
              <w:bottom w:val="single" w:sz="4" w:space="0" w:color="000000"/>
              <w:right w:val="single" w:sz="4" w:space="0" w:color="000000"/>
            </w:tcBorders>
            <w:noWrap/>
            <w:vAlign w:val="center"/>
          </w:tcPr>
          <w:p w14:paraId="054F9282"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核素治疗场所</w:t>
            </w:r>
          </w:p>
        </w:tc>
        <w:tc>
          <w:tcPr>
            <w:tcW w:w="2527" w:type="dxa"/>
            <w:tcBorders>
              <w:top w:val="single" w:sz="4" w:space="0" w:color="auto"/>
              <w:left w:val="nil"/>
              <w:bottom w:val="single" w:sz="4" w:space="0" w:color="000000"/>
              <w:right w:val="single" w:sz="4" w:space="0" w:color="000000"/>
            </w:tcBorders>
            <w:noWrap/>
            <w:vAlign w:val="center"/>
          </w:tcPr>
          <w:p w14:paraId="58B4343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医生</w:t>
            </w:r>
            <w:r w:rsidRPr="00B12FE0">
              <w:rPr>
                <w:rFonts w:ascii="宋体" w:hAnsi="宋体" w:hint="eastAsia"/>
                <w:color w:val="000000" w:themeColor="text1"/>
                <w:kern w:val="0"/>
                <w:sz w:val="21"/>
                <w:szCs w:val="21"/>
              </w:rPr>
              <w:t>办公室、值班</w:t>
            </w:r>
            <w:r w:rsidRPr="00B12FE0">
              <w:rPr>
                <w:rFonts w:ascii="宋体" w:hAnsi="宋体"/>
                <w:color w:val="000000" w:themeColor="text1"/>
                <w:kern w:val="0"/>
                <w:sz w:val="21"/>
                <w:szCs w:val="21"/>
              </w:rPr>
              <w:t>室</w:t>
            </w:r>
            <w:r w:rsidRPr="00B12FE0">
              <w:rPr>
                <w:rFonts w:ascii="宋体" w:hAnsi="宋体" w:hint="eastAsia"/>
                <w:color w:val="000000" w:themeColor="text1"/>
                <w:kern w:val="0"/>
                <w:sz w:val="21"/>
                <w:szCs w:val="21"/>
              </w:rPr>
              <w:t>、病房</w:t>
            </w:r>
          </w:p>
        </w:tc>
        <w:tc>
          <w:tcPr>
            <w:tcW w:w="2854" w:type="dxa"/>
            <w:tcBorders>
              <w:top w:val="single" w:sz="4" w:space="0" w:color="auto"/>
              <w:left w:val="nil"/>
              <w:bottom w:val="single" w:sz="4" w:space="0" w:color="000000"/>
              <w:right w:val="single" w:sz="4" w:space="0" w:color="000000"/>
            </w:tcBorders>
            <w:noWrap/>
            <w:vAlign w:val="center"/>
          </w:tcPr>
          <w:p w14:paraId="1443AAD3"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接诊办公</w:t>
            </w:r>
            <w:r w:rsidRPr="00B12FE0">
              <w:rPr>
                <w:rFonts w:ascii="宋体" w:hAnsi="宋体" w:hint="eastAsia"/>
                <w:color w:val="000000" w:themeColor="text1"/>
                <w:kern w:val="0"/>
                <w:sz w:val="21"/>
                <w:szCs w:val="21"/>
              </w:rPr>
              <w:t>、值班、查房</w:t>
            </w:r>
          </w:p>
        </w:tc>
        <w:tc>
          <w:tcPr>
            <w:tcW w:w="1234" w:type="dxa"/>
            <w:tcBorders>
              <w:top w:val="single" w:sz="4" w:space="0" w:color="auto"/>
              <w:left w:val="nil"/>
              <w:bottom w:val="single" w:sz="4" w:space="0" w:color="000000"/>
              <w:right w:val="single" w:sz="4" w:space="0" w:color="000000"/>
            </w:tcBorders>
            <w:noWrap/>
            <w:vAlign w:val="center"/>
          </w:tcPr>
          <w:p w14:paraId="02FD24C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医生</w:t>
            </w:r>
          </w:p>
        </w:tc>
        <w:tc>
          <w:tcPr>
            <w:tcW w:w="1430" w:type="dxa"/>
            <w:tcBorders>
              <w:top w:val="single" w:sz="4" w:space="0" w:color="auto"/>
              <w:left w:val="nil"/>
              <w:bottom w:val="single" w:sz="4" w:space="0" w:color="000000"/>
              <w:right w:val="single" w:sz="4" w:space="0" w:color="000000"/>
            </w:tcBorders>
            <w:noWrap/>
            <w:vAlign w:val="center"/>
          </w:tcPr>
          <w:p w14:paraId="44782AF3"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p>
        </w:tc>
      </w:tr>
      <w:tr w:rsidR="00A67F21" w:rsidRPr="00B12FE0" w14:paraId="49DAC893" w14:textId="77777777">
        <w:trPr>
          <w:trHeight w:val="282"/>
          <w:jc w:val="center"/>
        </w:trPr>
        <w:tc>
          <w:tcPr>
            <w:tcW w:w="1035" w:type="dxa"/>
            <w:vMerge/>
            <w:tcBorders>
              <w:top w:val="nil"/>
              <w:left w:val="single" w:sz="4" w:space="0" w:color="000000"/>
              <w:bottom w:val="single" w:sz="4" w:space="0" w:color="000000"/>
              <w:right w:val="single" w:sz="4" w:space="0" w:color="000000"/>
            </w:tcBorders>
            <w:vAlign w:val="center"/>
          </w:tcPr>
          <w:p w14:paraId="1C390C44" w14:textId="77777777" w:rsidR="00A67F21" w:rsidRPr="00B12FE0" w:rsidRDefault="00A67F21">
            <w:pPr>
              <w:widowControl/>
              <w:jc w:val="left"/>
              <w:rPr>
                <w:color w:val="000000" w:themeColor="text1"/>
                <w:sz w:val="21"/>
                <w:szCs w:val="21"/>
              </w:rPr>
            </w:pPr>
          </w:p>
        </w:tc>
        <w:tc>
          <w:tcPr>
            <w:tcW w:w="2527" w:type="dxa"/>
            <w:tcBorders>
              <w:top w:val="single" w:sz="4" w:space="0" w:color="000000"/>
              <w:left w:val="nil"/>
              <w:bottom w:val="single" w:sz="4" w:space="0" w:color="000000"/>
              <w:right w:val="single" w:sz="4" w:space="0" w:color="000000"/>
            </w:tcBorders>
            <w:noWrap/>
            <w:vAlign w:val="center"/>
          </w:tcPr>
          <w:p w14:paraId="539840DA"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护士站、</w:t>
            </w:r>
            <w:r w:rsidRPr="00B12FE0">
              <w:rPr>
                <w:rFonts w:ascii="宋体" w:hAnsi="宋体" w:hint="eastAsia"/>
                <w:color w:val="000000" w:themeColor="text1"/>
                <w:kern w:val="0"/>
                <w:sz w:val="21"/>
                <w:szCs w:val="21"/>
              </w:rPr>
              <w:t>护士办、高活</w:t>
            </w:r>
            <w:r w:rsidRPr="00B12FE0">
              <w:rPr>
                <w:rFonts w:ascii="宋体" w:hAnsi="宋体"/>
                <w:color w:val="000000" w:themeColor="text1"/>
                <w:kern w:val="0"/>
                <w:sz w:val="21"/>
                <w:szCs w:val="21"/>
              </w:rPr>
              <w:t>室、</w:t>
            </w:r>
            <w:r w:rsidRPr="00B12FE0">
              <w:rPr>
                <w:rFonts w:ascii="宋体" w:hAnsi="宋体" w:hint="eastAsia"/>
                <w:color w:val="000000" w:themeColor="text1"/>
                <w:kern w:val="0"/>
                <w:sz w:val="21"/>
                <w:szCs w:val="21"/>
              </w:rPr>
              <w:t>登记室</w:t>
            </w:r>
          </w:p>
        </w:tc>
        <w:tc>
          <w:tcPr>
            <w:tcW w:w="2854" w:type="dxa"/>
            <w:tcBorders>
              <w:top w:val="single" w:sz="4" w:space="0" w:color="000000"/>
              <w:left w:val="nil"/>
              <w:bottom w:val="single" w:sz="4" w:space="0" w:color="000000"/>
              <w:right w:val="single" w:sz="4" w:space="0" w:color="000000"/>
            </w:tcBorders>
            <w:noWrap/>
            <w:vAlign w:val="center"/>
          </w:tcPr>
          <w:p w14:paraId="12FCD53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预约登记、放射性药物给药、</w:t>
            </w:r>
            <w:r w:rsidRPr="00B12FE0">
              <w:rPr>
                <w:rFonts w:ascii="宋体" w:hAnsi="宋体" w:hint="eastAsia"/>
                <w:color w:val="000000" w:themeColor="text1"/>
                <w:kern w:val="0"/>
                <w:sz w:val="21"/>
                <w:szCs w:val="21"/>
              </w:rPr>
              <w:t>值班、监控</w:t>
            </w:r>
          </w:p>
        </w:tc>
        <w:tc>
          <w:tcPr>
            <w:tcW w:w="1234" w:type="dxa"/>
            <w:tcBorders>
              <w:top w:val="single" w:sz="4" w:space="0" w:color="000000"/>
              <w:left w:val="nil"/>
              <w:bottom w:val="single" w:sz="4" w:space="0" w:color="000000"/>
              <w:right w:val="single" w:sz="4" w:space="0" w:color="000000"/>
            </w:tcBorders>
            <w:noWrap/>
            <w:vAlign w:val="center"/>
          </w:tcPr>
          <w:p w14:paraId="088CA003"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护士</w:t>
            </w:r>
          </w:p>
        </w:tc>
        <w:tc>
          <w:tcPr>
            <w:tcW w:w="1430" w:type="dxa"/>
            <w:tcBorders>
              <w:top w:val="single" w:sz="4" w:space="0" w:color="000000"/>
              <w:left w:val="nil"/>
              <w:bottom w:val="single" w:sz="4" w:space="0" w:color="000000"/>
              <w:right w:val="single" w:sz="4" w:space="0" w:color="000000"/>
            </w:tcBorders>
            <w:noWrap/>
            <w:vAlign w:val="center"/>
          </w:tcPr>
          <w:p w14:paraId="15E33E5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p>
        </w:tc>
      </w:tr>
      <w:tr w:rsidR="00A67F21" w:rsidRPr="00B12FE0" w14:paraId="091F68C3" w14:textId="77777777">
        <w:trPr>
          <w:trHeight w:val="282"/>
          <w:jc w:val="center"/>
        </w:trPr>
        <w:tc>
          <w:tcPr>
            <w:tcW w:w="1035" w:type="dxa"/>
            <w:vMerge w:val="restart"/>
            <w:tcBorders>
              <w:top w:val="nil"/>
              <w:left w:val="single" w:sz="4" w:space="0" w:color="000000"/>
              <w:right w:val="single" w:sz="4" w:space="0" w:color="000000"/>
            </w:tcBorders>
            <w:noWrap/>
            <w:vAlign w:val="center"/>
          </w:tcPr>
          <w:p w14:paraId="694D81B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放疗科</w:t>
            </w:r>
          </w:p>
        </w:tc>
        <w:tc>
          <w:tcPr>
            <w:tcW w:w="2527" w:type="dxa"/>
            <w:tcBorders>
              <w:top w:val="single" w:sz="4" w:space="0" w:color="000000"/>
              <w:left w:val="nil"/>
              <w:bottom w:val="single" w:sz="4" w:space="0" w:color="auto"/>
              <w:right w:val="single" w:sz="4" w:space="0" w:color="000000"/>
            </w:tcBorders>
            <w:noWrap/>
            <w:vAlign w:val="center"/>
          </w:tcPr>
          <w:p w14:paraId="5D776E20"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直线加速器控制室</w:t>
            </w:r>
          </w:p>
        </w:tc>
        <w:tc>
          <w:tcPr>
            <w:tcW w:w="2854" w:type="dxa"/>
            <w:tcBorders>
              <w:top w:val="single" w:sz="4" w:space="0" w:color="000000"/>
              <w:left w:val="nil"/>
              <w:bottom w:val="single" w:sz="4" w:space="0" w:color="auto"/>
              <w:right w:val="single" w:sz="4" w:space="0" w:color="000000"/>
            </w:tcBorders>
            <w:noWrap/>
            <w:vAlign w:val="center"/>
          </w:tcPr>
          <w:p w14:paraId="49C8B77D"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操作直线加速器</w:t>
            </w:r>
          </w:p>
        </w:tc>
        <w:tc>
          <w:tcPr>
            <w:tcW w:w="1234" w:type="dxa"/>
            <w:tcBorders>
              <w:top w:val="single" w:sz="4" w:space="0" w:color="000000"/>
              <w:left w:val="nil"/>
              <w:bottom w:val="single" w:sz="4" w:space="0" w:color="auto"/>
              <w:right w:val="single" w:sz="4" w:space="0" w:color="000000"/>
            </w:tcBorders>
            <w:noWrap/>
            <w:vAlign w:val="center"/>
          </w:tcPr>
          <w:p w14:paraId="3434058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技师</w:t>
            </w:r>
          </w:p>
        </w:tc>
        <w:tc>
          <w:tcPr>
            <w:tcW w:w="1430" w:type="dxa"/>
            <w:tcBorders>
              <w:top w:val="single" w:sz="4" w:space="0" w:color="000000"/>
              <w:left w:val="nil"/>
              <w:bottom w:val="single" w:sz="4" w:space="0" w:color="auto"/>
              <w:right w:val="single" w:sz="4" w:space="0" w:color="000000"/>
            </w:tcBorders>
            <w:noWrap/>
            <w:vAlign w:val="center"/>
          </w:tcPr>
          <w:p w14:paraId="4AC52B6A"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p>
        </w:tc>
      </w:tr>
      <w:tr w:rsidR="00A67F21" w:rsidRPr="00B12FE0" w14:paraId="7ADA9F95" w14:textId="77777777">
        <w:trPr>
          <w:trHeight w:val="282"/>
          <w:jc w:val="center"/>
        </w:trPr>
        <w:tc>
          <w:tcPr>
            <w:tcW w:w="1035" w:type="dxa"/>
            <w:vMerge/>
            <w:tcBorders>
              <w:left w:val="single" w:sz="4" w:space="0" w:color="000000"/>
              <w:right w:val="single" w:sz="4" w:space="0" w:color="auto"/>
            </w:tcBorders>
            <w:noWrap/>
            <w:vAlign w:val="center"/>
          </w:tcPr>
          <w:p w14:paraId="1502BFDC" w14:textId="77777777" w:rsidR="00A67F21" w:rsidRPr="00B12FE0" w:rsidRDefault="00A67F21">
            <w:pPr>
              <w:widowControl/>
              <w:jc w:val="center"/>
              <w:textAlignment w:val="center"/>
              <w:rPr>
                <w:rFonts w:ascii="宋体" w:hAnsi="宋体" w:hint="eastAsia"/>
                <w:color w:val="000000" w:themeColor="text1"/>
                <w:kern w:val="0"/>
                <w:sz w:val="21"/>
                <w:szCs w:val="21"/>
              </w:rPr>
            </w:pPr>
          </w:p>
        </w:tc>
        <w:tc>
          <w:tcPr>
            <w:tcW w:w="2527" w:type="dxa"/>
            <w:tcBorders>
              <w:top w:val="single" w:sz="4" w:space="0" w:color="auto"/>
              <w:left w:val="single" w:sz="4" w:space="0" w:color="auto"/>
              <w:bottom w:val="single" w:sz="4" w:space="0" w:color="auto"/>
              <w:right w:val="single" w:sz="4" w:space="0" w:color="auto"/>
            </w:tcBorders>
            <w:noWrap/>
            <w:vAlign w:val="center"/>
          </w:tcPr>
          <w:p w14:paraId="2587052F"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后装机控制室</w:t>
            </w:r>
          </w:p>
        </w:tc>
        <w:tc>
          <w:tcPr>
            <w:tcW w:w="2854" w:type="dxa"/>
            <w:tcBorders>
              <w:top w:val="single" w:sz="4" w:space="0" w:color="auto"/>
              <w:left w:val="single" w:sz="4" w:space="0" w:color="auto"/>
              <w:bottom w:val="single" w:sz="4" w:space="0" w:color="auto"/>
              <w:right w:val="single" w:sz="4" w:space="0" w:color="auto"/>
            </w:tcBorders>
            <w:noWrap/>
            <w:vAlign w:val="center"/>
          </w:tcPr>
          <w:p w14:paraId="47DEA0A2"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操作后装机</w:t>
            </w:r>
          </w:p>
        </w:tc>
        <w:tc>
          <w:tcPr>
            <w:tcW w:w="1234" w:type="dxa"/>
            <w:tcBorders>
              <w:top w:val="single" w:sz="4" w:space="0" w:color="auto"/>
              <w:left w:val="single" w:sz="4" w:space="0" w:color="auto"/>
              <w:bottom w:val="single" w:sz="4" w:space="0" w:color="auto"/>
              <w:right w:val="single" w:sz="4" w:space="0" w:color="auto"/>
            </w:tcBorders>
            <w:noWrap/>
            <w:vAlign w:val="center"/>
          </w:tcPr>
          <w:p w14:paraId="42C54869"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技师</w:t>
            </w:r>
          </w:p>
        </w:tc>
        <w:tc>
          <w:tcPr>
            <w:tcW w:w="1430" w:type="dxa"/>
            <w:tcBorders>
              <w:top w:val="single" w:sz="4" w:space="0" w:color="auto"/>
              <w:left w:val="single" w:sz="4" w:space="0" w:color="auto"/>
              <w:bottom w:val="single" w:sz="4" w:space="0" w:color="auto"/>
              <w:right w:val="single" w:sz="4" w:space="0" w:color="auto"/>
            </w:tcBorders>
            <w:noWrap/>
            <w:vAlign w:val="center"/>
          </w:tcPr>
          <w:p w14:paraId="2577AAA7"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2</w:t>
            </w:r>
          </w:p>
        </w:tc>
      </w:tr>
      <w:tr w:rsidR="00A67F21" w:rsidRPr="00B12FE0" w14:paraId="1B38184A" w14:textId="77777777">
        <w:trPr>
          <w:trHeight w:val="282"/>
          <w:jc w:val="center"/>
        </w:trPr>
        <w:tc>
          <w:tcPr>
            <w:tcW w:w="1035" w:type="dxa"/>
            <w:vMerge/>
            <w:tcBorders>
              <w:left w:val="single" w:sz="4" w:space="0" w:color="000000"/>
              <w:right w:val="single" w:sz="4" w:space="0" w:color="auto"/>
            </w:tcBorders>
            <w:vAlign w:val="center"/>
          </w:tcPr>
          <w:p w14:paraId="30290BF2" w14:textId="77777777" w:rsidR="00A67F21" w:rsidRPr="00B12FE0" w:rsidRDefault="00A67F21">
            <w:pPr>
              <w:widowControl/>
              <w:jc w:val="left"/>
              <w:rPr>
                <w:color w:val="000000" w:themeColor="text1"/>
                <w:sz w:val="21"/>
                <w:szCs w:val="21"/>
              </w:rPr>
            </w:pPr>
          </w:p>
        </w:tc>
        <w:tc>
          <w:tcPr>
            <w:tcW w:w="2527" w:type="dxa"/>
            <w:tcBorders>
              <w:top w:val="single" w:sz="4" w:space="0" w:color="auto"/>
              <w:left w:val="single" w:sz="4" w:space="0" w:color="auto"/>
              <w:bottom w:val="single" w:sz="4" w:space="0" w:color="auto"/>
              <w:right w:val="single" w:sz="4" w:space="0" w:color="auto"/>
            </w:tcBorders>
            <w:noWrap/>
            <w:vAlign w:val="center"/>
          </w:tcPr>
          <w:p w14:paraId="31BBFD4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诊室</w:t>
            </w:r>
          </w:p>
        </w:tc>
        <w:tc>
          <w:tcPr>
            <w:tcW w:w="2854" w:type="dxa"/>
            <w:tcBorders>
              <w:top w:val="single" w:sz="4" w:space="0" w:color="auto"/>
              <w:left w:val="single" w:sz="4" w:space="0" w:color="auto"/>
              <w:bottom w:val="single" w:sz="4" w:space="0" w:color="auto"/>
              <w:right w:val="single" w:sz="4" w:space="0" w:color="auto"/>
            </w:tcBorders>
            <w:noWrap/>
            <w:vAlign w:val="center"/>
          </w:tcPr>
          <w:p w14:paraId="13F0A01B"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问诊、出具治疗方案</w:t>
            </w:r>
          </w:p>
        </w:tc>
        <w:tc>
          <w:tcPr>
            <w:tcW w:w="1234" w:type="dxa"/>
            <w:tcBorders>
              <w:top w:val="single" w:sz="4" w:space="0" w:color="auto"/>
              <w:left w:val="single" w:sz="4" w:space="0" w:color="auto"/>
              <w:bottom w:val="single" w:sz="4" w:space="0" w:color="auto"/>
              <w:right w:val="single" w:sz="4" w:space="0" w:color="auto"/>
            </w:tcBorders>
            <w:noWrap/>
            <w:vAlign w:val="center"/>
          </w:tcPr>
          <w:p w14:paraId="113AE35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医生</w:t>
            </w:r>
          </w:p>
        </w:tc>
        <w:tc>
          <w:tcPr>
            <w:tcW w:w="1430" w:type="dxa"/>
            <w:tcBorders>
              <w:top w:val="single" w:sz="4" w:space="0" w:color="auto"/>
              <w:left w:val="single" w:sz="4" w:space="0" w:color="auto"/>
              <w:bottom w:val="single" w:sz="4" w:space="0" w:color="auto"/>
              <w:right w:val="single" w:sz="4" w:space="0" w:color="auto"/>
            </w:tcBorders>
            <w:noWrap/>
            <w:vAlign w:val="center"/>
          </w:tcPr>
          <w:p w14:paraId="1B2FFE3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5</w:t>
            </w:r>
          </w:p>
        </w:tc>
      </w:tr>
      <w:tr w:rsidR="00A67F21" w:rsidRPr="00B12FE0" w14:paraId="0B70426C" w14:textId="77777777">
        <w:trPr>
          <w:trHeight w:val="282"/>
          <w:jc w:val="center"/>
        </w:trPr>
        <w:tc>
          <w:tcPr>
            <w:tcW w:w="1035" w:type="dxa"/>
            <w:vMerge/>
            <w:tcBorders>
              <w:left w:val="single" w:sz="4" w:space="0" w:color="000000"/>
              <w:right w:val="single" w:sz="4" w:space="0" w:color="auto"/>
            </w:tcBorders>
            <w:vAlign w:val="center"/>
          </w:tcPr>
          <w:p w14:paraId="52088AF9" w14:textId="77777777" w:rsidR="00A67F21" w:rsidRPr="00B12FE0" w:rsidRDefault="00A67F21">
            <w:pPr>
              <w:widowControl/>
              <w:jc w:val="left"/>
              <w:rPr>
                <w:color w:val="000000" w:themeColor="text1"/>
                <w:sz w:val="21"/>
                <w:szCs w:val="21"/>
              </w:rPr>
            </w:pPr>
          </w:p>
        </w:tc>
        <w:tc>
          <w:tcPr>
            <w:tcW w:w="2527" w:type="dxa"/>
            <w:tcBorders>
              <w:top w:val="single" w:sz="4" w:space="0" w:color="auto"/>
              <w:left w:val="single" w:sz="4" w:space="0" w:color="auto"/>
              <w:bottom w:val="single" w:sz="4" w:space="0" w:color="auto"/>
              <w:right w:val="single" w:sz="4" w:space="0" w:color="auto"/>
            </w:tcBorders>
            <w:noWrap/>
            <w:vAlign w:val="center"/>
          </w:tcPr>
          <w:p w14:paraId="2CC86639" w14:textId="77777777" w:rsidR="00A67F21" w:rsidRPr="00B12FE0" w:rsidRDefault="00000000">
            <w:pPr>
              <w:jc w:val="center"/>
              <w:rPr>
                <w:color w:val="000000" w:themeColor="text1"/>
                <w:sz w:val="21"/>
                <w:szCs w:val="21"/>
              </w:rPr>
            </w:pPr>
            <w:r w:rsidRPr="00B12FE0">
              <w:rPr>
                <w:rFonts w:ascii="宋体" w:hAnsi="宋体" w:hint="eastAsia"/>
                <w:color w:val="000000" w:themeColor="text1"/>
                <w:sz w:val="21"/>
                <w:szCs w:val="21"/>
              </w:rPr>
              <w:t>计划室</w:t>
            </w:r>
          </w:p>
        </w:tc>
        <w:tc>
          <w:tcPr>
            <w:tcW w:w="2854" w:type="dxa"/>
            <w:tcBorders>
              <w:top w:val="single" w:sz="4" w:space="0" w:color="auto"/>
              <w:left w:val="single" w:sz="4" w:space="0" w:color="auto"/>
              <w:bottom w:val="single" w:sz="4" w:space="0" w:color="auto"/>
              <w:right w:val="single" w:sz="4" w:space="0" w:color="auto"/>
            </w:tcBorders>
            <w:noWrap/>
            <w:vAlign w:val="center"/>
          </w:tcPr>
          <w:p w14:paraId="1F066489" w14:textId="77777777" w:rsidR="00A67F21" w:rsidRPr="00B12FE0" w:rsidRDefault="00000000">
            <w:pPr>
              <w:jc w:val="center"/>
              <w:rPr>
                <w:color w:val="000000" w:themeColor="text1"/>
                <w:sz w:val="21"/>
                <w:szCs w:val="21"/>
              </w:rPr>
            </w:pPr>
            <w:r w:rsidRPr="00B12FE0">
              <w:rPr>
                <w:rFonts w:ascii="宋体" w:hAnsi="宋体" w:hint="eastAsia"/>
                <w:color w:val="000000" w:themeColor="text1"/>
                <w:sz w:val="21"/>
                <w:szCs w:val="21"/>
              </w:rPr>
              <w:t>制定治疗计划</w:t>
            </w:r>
          </w:p>
        </w:tc>
        <w:tc>
          <w:tcPr>
            <w:tcW w:w="1234" w:type="dxa"/>
            <w:tcBorders>
              <w:top w:val="single" w:sz="4" w:space="0" w:color="auto"/>
              <w:left w:val="single" w:sz="4" w:space="0" w:color="auto"/>
              <w:bottom w:val="single" w:sz="4" w:space="0" w:color="auto"/>
              <w:right w:val="single" w:sz="4" w:space="0" w:color="auto"/>
            </w:tcBorders>
            <w:noWrap/>
            <w:vAlign w:val="center"/>
          </w:tcPr>
          <w:p w14:paraId="534BAEB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物理师</w:t>
            </w:r>
          </w:p>
        </w:tc>
        <w:tc>
          <w:tcPr>
            <w:tcW w:w="1430" w:type="dxa"/>
            <w:tcBorders>
              <w:top w:val="single" w:sz="4" w:space="0" w:color="auto"/>
              <w:left w:val="single" w:sz="4" w:space="0" w:color="auto"/>
              <w:bottom w:val="single" w:sz="4" w:space="0" w:color="auto"/>
              <w:right w:val="single" w:sz="4" w:space="0" w:color="auto"/>
            </w:tcBorders>
            <w:noWrap/>
            <w:vAlign w:val="center"/>
          </w:tcPr>
          <w:p w14:paraId="197A7F3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w:t>
            </w:r>
          </w:p>
        </w:tc>
      </w:tr>
      <w:tr w:rsidR="00A67F21" w:rsidRPr="00B12FE0" w14:paraId="7B095655" w14:textId="77777777">
        <w:trPr>
          <w:trHeight w:val="282"/>
          <w:jc w:val="center"/>
        </w:trPr>
        <w:tc>
          <w:tcPr>
            <w:tcW w:w="1035" w:type="dxa"/>
            <w:vMerge/>
            <w:tcBorders>
              <w:left w:val="single" w:sz="4" w:space="0" w:color="000000"/>
              <w:bottom w:val="single" w:sz="4" w:space="0" w:color="000000"/>
              <w:right w:val="single" w:sz="4" w:space="0" w:color="auto"/>
            </w:tcBorders>
            <w:vAlign w:val="center"/>
          </w:tcPr>
          <w:p w14:paraId="6CB0D4FD" w14:textId="77777777" w:rsidR="00A67F21" w:rsidRPr="00B12FE0" w:rsidRDefault="00A67F21">
            <w:pPr>
              <w:widowControl/>
              <w:jc w:val="left"/>
              <w:rPr>
                <w:color w:val="000000" w:themeColor="text1"/>
                <w:sz w:val="21"/>
                <w:szCs w:val="21"/>
              </w:rPr>
            </w:pPr>
          </w:p>
        </w:tc>
        <w:tc>
          <w:tcPr>
            <w:tcW w:w="2527" w:type="dxa"/>
            <w:tcBorders>
              <w:top w:val="single" w:sz="4" w:space="0" w:color="auto"/>
              <w:left w:val="single" w:sz="4" w:space="0" w:color="auto"/>
              <w:bottom w:val="single" w:sz="4" w:space="0" w:color="auto"/>
              <w:right w:val="single" w:sz="4" w:space="0" w:color="auto"/>
            </w:tcBorders>
            <w:noWrap/>
            <w:vAlign w:val="center"/>
          </w:tcPr>
          <w:p w14:paraId="56E7F11C" w14:textId="77777777" w:rsidR="00A67F21" w:rsidRPr="00B12FE0" w:rsidRDefault="00000000">
            <w:pPr>
              <w:jc w:val="center"/>
              <w:rPr>
                <w:rFonts w:ascii="宋体" w:hAnsi="宋体" w:hint="eastAsia"/>
                <w:color w:val="000000" w:themeColor="text1"/>
                <w:sz w:val="21"/>
                <w:szCs w:val="21"/>
              </w:rPr>
            </w:pPr>
            <w:r w:rsidRPr="00B12FE0">
              <w:rPr>
                <w:rFonts w:hint="eastAsia"/>
                <w:color w:val="000000" w:themeColor="text1"/>
                <w:sz w:val="21"/>
                <w:szCs w:val="21"/>
              </w:rPr>
              <w:t>模拟定位</w:t>
            </w:r>
            <w:r w:rsidRPr="00B12FE0">
              <w:rPr>
                <w:rFonts w:hint="eastAsia"/>
                <w:color w:val="000000" w:themeColor="text1"/>
                <w:sz w:val="21"/>
                <w:szCs w:val="21"/>
              </w:rPr>
              <w:t>CT</w:t>
            </w:r>
            <w:r w:rsidRPr="00B12FE0">
              <w:rPr>
                <w:rFonts w:hint="eastAsia"/>
                <w:color w:val="000000" w:themeColor="text1"/>
                <w:sz w:val="21"/>
                <w:szCs w:val="21"/>
              </w:rPr>
              <w:t>机</w:t>
            </w:r>
          </w:p>
        </w:tc>
        <w:tc>
          <w:tcPr>
            <w:tcW w:w="2854" w:type="dxa"/>
            <w:tcBorders>
              <w:top w:val="single" w:sz="4" w:space="0" w:color="auto"/>
              <w:left w:val="single" w:sz="4" w:space="0" w:color="auto"/>
              <w:bottom w:val="single" w:sz="4" w:space="0" w:color="auto"/>
              <w:right w:val="single" w:sz="4" w:space="0" w:color="auto"/>
            </w:tcBorders>
            <w:noWrap/>
            <w:vAlign w:val="center"/>
          </w:tcPr>
          <w:p w14:paraId="1B199B1D" w14:textId="77777777" w:rsidR="00A67F21" w:rsidRPr="00B12FE0" w:rsidRDefault="00000000">
            <w:pPr>
              <w:jc w:val="center"/>
              <w:rPr>
                <w:rFonts w:ascii="宋体" w:hAnsi="宋体" w:hint="eastAsia"/>
                <w:color w:val="000000" w:themeColor="text1"/>
                <w:sz w:val="21"/>
                <w:szCs w:val="21"/>
              </w:rPr>
            </w:pPr>
            <w:r w:rsidRPr="00B12FE0">
              <w:rPr>
                <w:rFonts w:hint="eastAsia"/>
                <w:color w:val="000000" w:themeColor="text1"/>
                <w:sz w:val="21"/>
                <w:szCs w:val="21"/>
              </w:rPr>
              <w:t>设备控制</w:t>
            </w:r>
          </w:p>
        </w:tc>
        <w:tc>
          <w:tcPr>
            <w:tcW w:w="1234" w:type="dxa"/>
            <w:tcBorders>
              <w:top w:val="single" w:sz="4" w:space="0" w:color="auto"/>
              <w:left w:val="single" w:sz="4" w:space="0" w:color="auto"/>
              <w:bottom w:val="single" w:sz="4" w:space="0" w:color="auto"/>
              <w:right w:val="single" w:sz="4" w:space="0" w:color="auto"/>
            </w:tcBorders>
            <w:noWrap/>
            <w:vAlign w:val="center"/>
          </w:tcPr>
          <w:p w14:paraId="40605624"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color w:val="000000" w:themeColor="text1"/>
                <w:sz w:val="21"/>
                <w:szCs w:val="21"/>
              </w:rPr>
              <w:t>技师</w:t>
            </w:r>
          </w:p>
        </w:tc>
        <w:tc>
          <w:tcPr>
            <w:tcW w:w="1430" w:type="dxa"/>
            <w:tcBorders>
              <w:top w:val="single" w:sz="4" w:space="0" w:color="auto"/>
              <w:left w:val="single" w:sz="4" w:space="0" w:color="auto"/>
              <w:bottom w:val="single" w:sz="4" w:space="0" w:color="auto"/>
              <w:right w:val="single" w:sz="4" w:space="0" w:color="auto"/>
            </w:tcBorders>
            <w:noWrap/>
            <w:vAlign w:val="center"/>
          </w:tcPr>
          <w:p w14:paraId="4AD57C2B"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2</w:t>
            </w:r>
            <w:r w:rsidRPr="00B12FE0">
              <w:rPr>
                <w:rFonts w:hint="eastAsia"/>
                <w:color w:val="000000" w:themeColor="text1"/>
                <w:sz w:val="21"/>
                <w:szCs w:val="21"/>
              </w:rPr>
              <w:t>人</w:t>
            </w:r>
          </w:p>
        </w:tc>
      </w:tr>
    </w:tbl>
    <w:p w14:paraId="3041FD7B" w14:textId="77777777" w:rsidR="00A67F21" w:rsidRPr="00B12FE0" w:rsidRDefault="00000000">
      <w:pPr>
        <w:adjustRightInd w:val="0"/>
        <w:snapToGrid w:val="0"/>
        <w:spacing w:beforeLines="50" w:before="120" w:line="360" w:lineRule="auto"/>
        <w:ind w:firstLineChars="200" w:firstLine="480"/>
        <w:rPr>
          <w:color w:val="000000" w:themeColor="text1"/>
          <w:szCs w:val="24"/>
        </w:rPr>
      </w:pPr>
      <w:r w:rsidRPr="00B12FE0">
        <w:rPr>
          <w:rFonts w:ascii="宋体" w:hAnsi="宋体"/>
          <w:color w:val="000000" w:themeColor="text1"/>
          <w:szCs w:val="24"/>
        </w:rPr>
        <w:t>根据《关于核技术利用辐射安全与防护培训和考核有关事项的公告》（生态环境部公告</w:t>
      </w:r>
      <w:r w:rsidRPr="00B12FE0">
        <w:rPr>
          <w:color w:val="000000" w:themeColor="text1"/>
          <w:szCs w:val="24"/>
        </w:rPr>
        <w:t>2019</w:t>
      </w:r>
      <w:r w:rsidRPr="00B12FE0">
        <w:rPr>
          <w:rFonts w:ascii="宋体" w:hAnsi="宋体"/>
          <w:color w:val="000000" w:themeColor="text1"/>
          <w:szCs w:val="24"/>
        </w:rPr>
        <w:t>年第</w:t>
      </w:r>
      <w:r w:rsidRPr="00B12FE0">
        <w:rPr>
          <w:color w:val="000000" w:themeColor="text1"/>
          <w:szCs w:val="24"/>
        </w:rPr>
        <w:t>57</w:t>
      </w:r>
      <w:r w:rsidRPr="00B12FE0">
        <w:rPr>
          <w:rFonts w:ascii="宋体" w:hAnsi="宋体"/>
          <w:color w:val="000000" w:themeColor="text1"/>
          <w:szCs w:val="24"/>
        </w:rPr>
        <w:t>号），本项目新增辐射工作人员应在</w:t>
      </w:r>
      <w:r w:rsidRPr="00B12FE0">
        <w:rPr>
          <w:rFonts w:ascii="宋体" w:hAnsi="宋体" w:hint="eastAsia"/>
          <w:color w:val="000000" w:themeColor="text1"/>
          <w:szCs w:val="24"/>
        </w:rPr>
        <w:t>国家核技术利用辐射安全与</w:t>
      </w:r>
      <w:r w:rsidRPr="00B12FE0">
        <w:rPr>
          <w:color w:val="000000" w:themeColor="text1"/>
          <w:szCs w:val="24"/>
        </w:rPr>
        <w:t>防护培训平台（</w:t>
      </w:r>
      <w:r w:rsidRPr="00B12FE0">
        <w:rPr>
          <w:color w:val="000000" w:themeColor="text1"/>
          <w:szCs w:val="24"/>
        </w:rPr>
        <w:t>http://fushe.mee.gov.cn</w:t>
      </w:r>
      <w:r w:rsidRPr="00B12FE0">
        <w:rPr>
          <w:color w:val="000000" w:themeColor="text1"/>
          <w:szCs w:val="24"/>
        </w:rPr>
        <w:t>）</w:t>
      </w:r>
      <w:r w:rsidRPr="00B12FE0">
        <w:rPr>
          <w:rFonts w:ascii="宋体" w:hAnsi="宋体"/>
          <w:color w:val="000000" w:themeColor="text1"/>
          <w:szCs w:val="24"/>
        </w:rPr>
        <w:t>参加相应类别培训学习，考核合格后上岗，并按时接受再培训。</w:t>
      </w:r>
    </w:p>
    <w:p w14:paraId="6EA6223C" w14:textId="77777777" w:rsidR="00A67F21" w:rsidRPr="00B12FE0" w:rsidRDefault="00000000">
      <w:pPr>
        <w:adjustRightInd w:val="0"/>
        <w:snapToGrid w:val="0"/>
        <w:spacing w:line="360" w:lineRule="auto"/>
        <w:outlineLvl w:val="1"/>
        <w:rPr>
          <w:b/>
          <w:color w:val="000000" w:themeColor="text1"/>
        </w:rPr>
      </w:pPr>
      <w:r w:rsidRPr="00B12FE0">
        <w:rPr>
          <w:b/>
          <w:color w:val="000000" w:themeColor="text1"/>
        </w:rPr>
        <w:t>1.</w:t>
      </w:r>
      <w:r w:rsidRPr="00B12FE0">
        <w:rPr>
          <w:rFonts w:hint="eastAsia"/>
          <w:b/>
          <w:color w:val="000000" w:themeColor="text1"/>
        </w:rPr>
        <w:t>4</w:t>
      </w:r>
      <w:r w:rsidRPr="00B12FE0">
        <w:rPr>
          <w:b/>
          <w:bCs/>
          <w:color w:val="000000" w:themeColor="text1"/>
        </w:rPr>
        <w:t>相关规划及</w:t>
      </w:r>
      <w:r w:rsidRPr="00B12FE0">
        <w:rPr>
          <w:b/>
          <w:color w:val="000000" w:themeColor="text1"/>
        </w:rPr>
        <w:t>选址合理性分析</w:t>
      </w:r>
    </w:p>
    <w:p w14:paraId="767C4DBB" w14:textId="77777777" w:rsidR="00A67F21" w:rsidRPr="00B12FE0" w:rsidRDefault="00000000">
      <w:pPr>
        <w:adjustRightInd w:val="0"/>
        <w:snapToGrid w:val="0"/>
        <w:spacing w:line="360" w:lineRule="auto"/>
        <w:outlineLvl w:val="2"/>
        <w:rPr>
          <w:b/>
          <w:bCs/>
          <w:color w:val="000000" w:themeColor="text1"/>
        </w:rPr>
      </w:pPr>
      <w:r w:rsidRPr="00B12FE0">
        <w:rPr>
          <w:rFonts w:hint="eastAsia"/>
          <w:b/>
          <w:bCs/>
          <w:color w:val="000000" w:themeColor="text1"/>
        </w:rPr>
        <w:t>1.4.1</w:t>
      </w:r>
      <w:r w:rsidRPr="00B12FE0">
        <w:rPr>
          <w:rFonts w:hint="eastAsia"/>
          <w:b/>
          <w:bCs/>
          <w:color w:val="000000" w:themeColor="text1"/>
        </w:rPr>
        <w:t>选址合理性分析</w:t>
      </w:r>
    </w:p>
    <w:p w14:paraId="19BEFB8B" w14:textId="77777777" w:rsidR="00A67F21" w:rsidRPr="00B12FE0" w:rsidRDefault="00000000">
      <w:pPr>
        <w:widowControl/>
        <w:spacing w:line="360" w:lineRule="auto"/>
        <w:ind w:firstLineChars="200" w:firstLine="480"/>
        <w:jc w:val="left"/>
        <w:rPr>
          <w:color w:val="000000" w:themeColor="text1"/>
          <w:szCs w:val="24"/>
        </w:rPr>
      </w:pPr>
      <w:r w:rsidRPr="00B12FE0">
        <w:rPr>
          <w:rFonts w:hint="eastAsia"/>
          <w:color w:val="000000" w:themeColor="text1"/>
          <w:szCs w:val="24"/>
        </w:rPr>
        <w:t>本项目为医疗机构核技术利用建设项目，</w:t>
      </w:r>
      <w:r w:rsidRPr="00B12FE0">
        <w:rPr>
          <w:rFonts w:ascii="宋体" w:hAnsi="宋体" w:cs="宋体" w:hint="eastAsia"/>
          <w:color w:val="000000" w:themeColor="text1"/>
          <w:kern w:val="0"/>
          <w:szCs w:val="24"/>
          <w:lang w:bidi="ar"/>
        </w:rPr>
        <w:t>项目所在地属于医疗卫生用地，本项目为医院核技术利用项目建设，属于公共服务设施的核技术利用项目，项目建成后可为该区域提供较好的医疗环境，符合阿拉尔市国土空间总体规划要求。</w:t>
      </w:r>
    </w:p>
    <w:p w14:paraId="4EC4B9AB"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szCs w:val="24"/>
        </w:rPr>
        <w:t>本项目拟建辐射工作场所实体屏蔽物边界外</w:t>
      </w:r>
      <w:r w:rsidRPr="00B12FE0">
        <w:rPr>
          <w:color w:val="000000" w:themeColor="text1"/>
          <w:szCs w:val="24"/>
        </w:rPr>
        <w:t>50m</w:t>
      </w:r>
      <w:r w:rsidRPr="00B12FE0">
        <w:rPr>
          <w:rFonts w:hint="eastAsia"/>
          <w:color w:val="000000" w:themeColor="text1"/>
          <w:szCs w:val="24"/>
        </w:rPr>
        <w:t>范围主要为院内道路及绿化、医疗综合楼、住院楼、后勤楼、</w:t>
      </w:r>
      <w:r w:rsidRPr="00B12FE0">
        <w:rPr>
          <w:rFonts w:hAnsi="宋体" w:hint="eastAsia"/>
          <w:bCs/>
          <w:color w:val="000000" w:themeColor="text1"/>
          <w:szCs w:val="24"/>
        </w:rPr>
        <w:t>液氧站及污水处理站</w:t>
      </w:r>
      <w:r w:rsidRPr="00B12FE0">
        <w:rPr>
          <w:rFonts w:hint="eastAsia"/>
          <w:color w:val="000000" w:themeColor="text1"/>
          <w:szCs w:val="24"/>
        </w:rPr>
        <w:t>，无自然保护区、风景名</w:t>
      </w:r>
      <w:r w:rsidRPr="00B12FE0">
        <w:rPr>
          <w:rFonts w:hint="eastAsia"/>
          <w:color w:val="000000" w:themeColor="text1"/>
        </w:rPr>
        <w:t>胜区、饮用水水源保护区、学校和行政办公区域等环境敏感点</w:t>
      </w:r>
      <w:r w:rsidRPr="00B12FE0">
        <w:rPr>
          <w:color w:val="000000" w:themeColor="text1"/>
        </w:rPr>
        <w:t>。</w:t>
      </w:r>
      <w:r w:rsidRPr="00B12FE0">
        <w:rPr>
          <w:rFonts w:hint="eastAsia"/>
          <w:color w:val="000000" w:themeColor="text1"/>
        </w:rPr>
        <w:t>本项目选址合理性分析见下表。</w:t>
      </w:r>
    </w:p>
    <w:p w14:paraId="6C13BB79" w14:textId="77777777" w:rsidR="00A67F21" w:rsidRPr="00B12FE0" w:rsidRDefault="00000000">
      <w:pPr>
        <w:adjustRightInd w:val="0"/>
        <w:snapToGrid w:val="0"/>
        <w:spacing w:line="360" w:lineRule="auto"/>
        <w:jc w:val="center"/>
        <w:rPr>
          <w:b/>
          <w:bCs/>
          <w:color w:val="000000" w:themeColor="text1"/>
          <w:kern w:val="0"/>
          <w:sz w:val="21"/>
          <w:szCs w:val="21"/>
        </w:rPr>
      </w:pPr>
      <w:r w:rsidRPr="00B12FE0">
        <w:rPr>
          <w:rFonts w:hint="eastAsia"/>
          <w:b/>
          <w:bCs/>
          <w:color w:val="000000" w:themeColor="text1"/>
          <w:kern w:val="0"/>
          <w:sz w:val="21"/>
          <w:szCs w:val="21"/>
        </w:rPr>
        <w:t>表</w:t>
      </w:r>
      <w:r w:rsidRPr="00B12FE0">
        <w:rPr>
          <w:b/>
          <w:bCs/>
          <w:color w:val="000000" w:themeColor="text1"/>
          <w:kern w:val="0"/>
          <w:sz w:val="21"/>
          <w:szCs w:val="21"/>
        </w:rPr>
        <w:t>1</w:t>
      </w:r>
      <w:r w:rsidRPr="00B12FE0">
        <w:rPr>
          <w:rFonts w:hint="eastAsia"/>
          <w:b/>
          <w:bCs/>
          <w:color w:val="000000" w:themeColor="text1"/>
          <w:kern w:val="0"/>
          <w:sz w:val="21"/>
          <w:szCs w:val="21"/>
        </w:rPr>
        <w:t>.4.1</w:t>
      </w:r>
      <w:r w:rsidRPr="00B12FE0">
        <w:rPr>
          <w:b/>
          <w:bCs/>
          <w:color w:val="000000" w:themeColor="text1"/>
          <w:kern w:val="0"/>
          <w:sz w:val="21"/>
          <w:szCs w:val="21"/>
        </w:rPr>
        <w:t>-</w:t>
      </w:r>
      <w:r w:rsidRPr="00B12FE0">
        <w:rPr>
          <w:rFonts w:hint="eastAsia"/>
          <w:b/>
          <w:bCs/>
          <w:color w:val="000000" w:themeColor="text1"/>
          <w:kern w:val="0"/>
          <w:sz w:val="21"/>
          <w:szCs w:val="21"/>
        </w:rPr>
        <w:t xml:space="preserve">1  </w:t>
      </w:r>
      <w:r w:rsidRPr="00B12FE0">
        <w:rPr>
          <w:rFonts w:hint="eastAsia"/>
          <w:b/>
          <w:bCs/>
          <w:color w:val="000000" w:themeColor="text1"/>
          <w:kern w:val="0"/>
          <w:sz w:val="21"/>
          <w:szCs w:val="21"/>
        </w:rPr>
        <w:t>选址合理符合性分析表</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770"/>
        <w:gridCol w:w="3041"/>
        <w:gridCol w:w="3511"/>
        <w:gridCol w:w="690"/>
      </w:tblGrid>
      <w:tr w:rsidR="00A67F21" w:rsidRPr="00B12FE0" w14:paraId="7F4797C9" w14:textId="77777777">
        <w:trPr>
          <w:trHeight w:val="340"/>
          <w:jc w:val="center"/>
        </w:trPr>
        <w:tc>
          <w:tcPr>
            <w:tcW w:w="982" w:type="pct"/>
            <w:vAlign w:val="center"/>
          </w:tcPr>
          <w:p w14:paraId="4C0BEF7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标准</w:t>
            </w:r>
            <w:r w:rsidRPr="00B12FE0">
              <w:rPr>
                <w:color w:val="000000" w:themeColor="text1"/>
                <w:sz w:val="21"/>
                <w:szCs w:val="21"/>
              </w:rPr>
              <w:t>名称</w:t>
            </w:r>
          </w:p>
        </w:tc>
        <w:tc>
          <w:tcPr>
            <w:tcW w:w="1686" w:type="pct"/>
            <w:vAlign w:val="center"/>
          </w:tcPr>
          <w:p w14:paraId="00ED9DD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选址</w:t>
            </w:r>
            <w:r w:rsidRPr="00B12FE0">
              <w:rPr>
                <w:color w:val="000000" w:themeColor="text1"/>
                <w:sz w:val="21"/>
                <w:szCs w:val="21"/>
              </w:rPr>
              <w:t>要求</w:t>
            </w:r>
          </w:p>
        </w:tc>
        <w:tc>
          <w:tcPr>
            <w:tcW w:w="1947" w:type="pct"/>
            <w:vAlign w:val="center"/>
          </w:tcPr>
          <w:p w14:paraId="36CD082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本项目</w:t>
            </w:r>
            <w:r w:rsidRPr="00B12FE0">
              <w:rPr>
                <w:rFonts w:hint="eastAsia"/>
                <w:color w:val="000000" w:themeColor="text1"/>
                <w:sz w:val="21"/>
                <w:szCs w:val="21"/>
              </w:rPr>
              <w:t>选址情况</w:t>
            </w:r>
          </w:p>
        </w:tc>
        <w:tc>
          <w:tcPr>
            <w:tcW w:w="383" w:type="pct"/>
            <w:vAlign w:val="center"/>
          </w:tcPr>
          <w:p w14:paraId="72BE080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符合性</w:t>
            </w:r>
          </w:p>
        </w:tc>
      </w:tr>
      <w:tr w:rsidR="00A67F21" w:rsidRPr="00B12FE0" w14:paraId="040713B6" w14:textId="77777777">
        <w:trPr>
          <w:trHeight w:val="340"/>
          <w:jc w:val="center"/>
        </w:trPr>
        <w:tc>
          <w:tcPr>
            <w:tcW w:w="982" w:type="pct"/>
            <w:vMerge w:val="restart"/>
            <w:vAlign w:val="center"/>
          </w:tcPr>
          <w:p w14:paraId="7896FBB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kern w:val="0"/>
                <w:sz w:val="21"/>
                <w:szCs w:val="21"/>
                <w:lang w:bidi="ar"/>
              </w:rPr>
              <w:t>《核医学辐射防护与安全要求》（</w:t>
            </w:r>
            <w:r w:rsidRPr="00B12FE0">
              <w:rPr>
                <w:color w:val="000000" w:themeColor="text1"/>
                <w:kern w:val="0"/>
                <w:sz w:val="21"/>
                <w:szCs w:val="21"/>
                <w:lang w:bidi="ar"/>
              </w:rPr>
              <w:t>HJ1188-2021</w:t>
            </w:r>
            <w:r w:rsidRPr="00B12FE0">
              <w:rPr>
                <w:rFonts w:hint="eastAsia"/>
                <w:color w:val="000000" w:themeColor="text1"/>
                <w:kern w:val="0"/>
                <w:sz w:val="21"/>
                <w:szCs w:val="21"/>
                <w:lang w:bidi="ar"/>
              </w:rPr>
              <w:t>）</w:t>
            </w:r>
          </w:p>
        </w:tc>
        <w:tc>
          <w:tcPr>
            <w:tcW w:w="1686" w:type="pct"/>
            <w:vAlign w:val="center"/>
          </w:tcPr>
          <w:p w14:paraId="5343ABD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核医学工作场所宜建在医疗机构内单独的建筑物内，或集中于无人长期居留的建筑物的一端或底层，设置相应的物理隔离和单独的人员、物流通道。</w:t>
            </w:r>
          </w:p>
        </w:tc>
        <w:tc>
          <w:tcPr>
            <w:tcW w:w="1947" w:type="pct"/>
            <w:vAlign w:val="center"/>
          </w:tcPr>
          <w:p w14:paraId="66253E6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本项目核医学工作场所拟设置在肿瘤治疗中心综合楼一层南侧，</w:t>
            </w:r>
            <w:r w:rsidRPr="00B12FE0">
              <w:rPr>
                <w:rFonts w:hAnsi="宋体" w:hint="eastAsia"/>
                <w:bCs/>
                <w:color w:val="000000" w:themeColor="text1"/>
                <w:sz w:val="21"/>
                <w:szCs w:val="21"/>
              </w:rPr>
              <w:t>衰变</w:t>
            </w:r>
            <w:proofErr w:type="gramStart"/>
            <w:r w:rsidRPr="00B12FE0">
              <w:rPr>
                <w:rFonts w:hAnsi="宋体" w:hint="eastAsia"/>
                <w:bCs/>
                <w:color w:val="000000" w:themeColor="text1"/>
                <w:sz w:val="21"/>
                <w:szCs w:val="21"/>
              </w:rPr>
              <w:t>池位于</w:t>
            </w:r>
            <w:proofErr w:type="gramEnd"/>
            <w:r w:rsidRPr="00B12FE0">
              <w:rPr>
                <w:rFonts w:hint="eastAsia"/>
                <w:color w:val="000000" w:themeColor="text1"/>
                <w:sz w:val="21"/>
                <w:szCs w:val="21"/>
              </w:rPr>
              <w:t>肿瘤治疗中心一层南</w:t>
            </w:r>
            <w:r w:rsidRPr="00B12FE0">
              <w:rPr>
                <w:rFonts w:hAnsi="宋体" w:hint="eastAsia"/>
                <w:bCs/>
                <w:color w:val="000000" w:themeColor="text1"/>
                <w:sz w:val="21"/>
                <w:szCs w:val="21"/>
              </w:rPr>
              <w:t>侧</w:t>
            </w:r>
            <w:r w:rsidRPr="00B12FE0">
              <w:rPr>
                <w:rFonts w:hint="eastAsia"/>
                <w:color w:val="000000" w:themeColor="text1"/>
                <w:sz w:val="21"/>
                <w:szCs w:val="21"/>
              </w:rPr>
              <w:t>；核医学工作场所设置了相对独立的辐射工作人员通道、患者通道、药物通道和污物通道。</w:t>
            </w:r>
          </w:p>
        </w:tc>
        <w:tc>
          <w:tcPr>
            <w:tcW w:w="383" w:type="pct"/>
            <w:vAlign w:val="center"/>
          </w:tcPr>
          <w:p w14:paraId="3DD7348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符合</w:t>
            </w:r>
          </w:p>
        </w:tc>
      </w:tr>
      <w:tr w:rsidR="00A67F21" w:rsidRPr="00B12FE0" w14:paraId="0139A67C" w14:textId="77777777">
        <w:trPr>
          <w:trHeight w:val="340"/>
          <w:jc w:val="center"/>
        </w:trPr>
        <w:tc>
          <w:tcPr>
            <w:tcW w:w="982" w:type="pct"/>
            <w:vMerge/>
            <w:vAlign w:val="center"/>
          </w:tcPr>
          <w:p w14:paraId="1E8BD97A" w14:textId="77777777" w:rsidR="00A67F21" w:rsidRPr="00B12FE0" w:rsidRDefault="00A67F21">
            <w:pPr>
              <w:adjustRightInd w:val="0"/>
              <w:snapToGrid w:val="0"/>
              <w:jc w:val="center"/>
              <w:rPr>
                <w:color w:val="000000" w:themeColor="text1"/>
                <w:sz w:val="21"/>
                <w:szCs w:val="21"/>
              </w:rPr>
            </w:pPr>
          </w:p>
        </w:tc>
        <w:tc>
          <w:tcPr>
            <w:tcW w:w="1686" w:type="pct"/>
            <w:vAlign w:val="center"/>
          </w:tcPr>
          <w:p w14:paraId="7622E52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核医学工作场所不宜毗邻产科、儿科、食堂等部门及人员密集区，并应与非放射性工作场所有明确的分界隔离。</w:t>
            </w:r>
          </w:p>
        </w:tc>
        <w:tc>
          <w:tcPr>
            <w:tcW w:w="1947" w:type="pct"/>
            <w:vAlign w:val="center"/>
          </w:tcPr>
          <w:p w14:paraId="33BED09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本项目核医学工作场所和衰变池与其它非放射性工作场所相对独立设置，有明确的分界隔离。核医学工作场所各功能用房集中设置，不毗邻产科、儿科、食堂等部门及门诊大厅、收费大厅等人员密集区。</w:t>
            </w:r>
          </w:p>
        </w:tc>
        <w:tc>
          <w:tcPr>
            <w:tcW w:w="383" w:type="pct"/>
            <w:vAlign w:val="center"/>
          </w:tcPr>
          <w:p w14:paraId="3A559B7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符合</w:t>
            </w:r>
          </w:p>
        </w:tc>
      </w:tr>
      <w:tr w:rsidR="00A67F21" w:rsidRPr="00B12FE0" w14:paraId="5D22AC10" w14:textId="77777777">
        <w:trPr>
          <w:trHeight w:val="340"/>
          <w:jc w:val="center"/>
        </w:trPr>
        <w:tc>
          <w:tcPr>
            <w:tcW w:w="982" w:type="pct"/>
            <w:vMerge/>
            <w:vAlign w:val="center"/>
          </w:tcPr>
          <w:p w14:paraId="1BB48165" w14:textId="77777777" w:rsidR="00A67F21" w:rsidRPr="00B12FE0" w:rsidRDefault="00A67F21">
            <w:pPr>
              <w:adjustRightInd w:val="0"/>
              <w:snapToGrid w:val="0"/>
              <w:jc w:val="center"/>
              <w:rPr>
                <w:color w:val="000000" w:themeColor="text1"/>
                <w:sz w:val="21"/>
                <w:szCs w:val="21"/>
              </w:rPr>
            </w:pPr>
          </w:p>
        </w:tc>
        <w:tc>
          <w:tcPr>
            <w:tcW w:w="1686" w:type="pct"/>
            <w:vAlign w:val="center"/>
          </w:tcPr>
          <w:p w14:paraId="76D4C8D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核医学工作场所排风口的位置尽可能远离周边高层建筑。</w:t>
            </w:r>
          </w:p>
        </w:tc>
        <w:tc>
          <w:tcPr>
            <w:tcW w:w="1947" w:type="pct"/>
            <w:vAlign w:val="center"/>
          </w:tcPr>
          <w:p w14:paraId="5C29106B" w14:textId="77777777" w:rsidR="00A67F21" w:rsidRPr="00B12FE0" w:rsidRDefault="00000000">
            <w:pPr>
              <w:adjustRightInd w:val="0"/>
              <w:snapToGrid w:val="0"/>
              <w:jc w:val="center"/>
              <w:rPr>
                <w:color w:val="000000" w:themeColor="text1"/>
                <w:sz w:val="21"/>
                <w:szCs w:val="21"/>
              </w:rPr>
            </w:pPr>
            <w:r w:rsidRPr="00B12FE0">
              <w:rPr>
                <w:rFonts w:hint="eastAsia"/>
                <w:bCs/>
                <w:color w:val="000000" w:themeColor="text1"/>
                <w:kern w:val="0"/>
                <w:sz w:val="21"/>
                <w:szCs w:val="21"/>
              </w:rPr>
              <w:t>核医学工作场所的排</w:t>
            </w:r>
            <w:proofErr w:type="gramStart"/>
            <w:r w:rsidRPr="00B12FE0">
              <w:rPr>
                <w:rFonts w:hint="eastAsia"/>
                <w:bCs/>
                <w:color w:val="000000" w:themeColor="text1"/>
                <w:kern w:val="0"/>
                <w:sz w:val="21"/>
                <w:szCs w:val="21"/>
              </w:rPr>
              <w:t>风管道均由</w:t>
            </w:r>
            <w:proofErr w:type="gramEnd"/>
            <w:r w:rsidRPr="00B12FE0">
              <w:rPr>
                <w:rFonts w:hint="eastAsia"/>
                <w:bCs/>
                <w:color w:val="000000" w:themeColor="text1"/>
                <w:kern w:val="0"/>
                <w:sz w:val="21"/>
                <w:szCs w:val="21"/>
              </w:rPr>
              <w:t>统一设置的排风井，最终引至</w:t>
            </w:r>
            <w:r w:rsidRPr="00B12FE0">
              <w:rPr>
                <w:rFonts w:hint="eastAsia"/>
                <w:color w:val="000000" w:themeColor="text1"/>
                <w:sz w:val="21"/>
                <w:szCs w:val="21"/>
              </w:rPr>
              <w:t>肿瘤治疗中心综合楼楼</w:t>
            </w:r>
            <w:r w:rsidRPr="00B12FE0">
              <w:rPr>
                <w:rFonts w:hint="eastAsia"/>
                <w:bCs/>
                <w:color w:val="000000" w:themeColor="text1"/>
                <w:kern w:val="0"/>
                <w:sz w:val="21"/>
                <w:szCs w:val="21"/>
              </w:rPr>
              <w:t>顶排放，排放口高于</w:t>
            </w:r>
            <w:r w:rsidRPr="00B12FE0">
              <w:rPr>
                <w:rFonts w:hint="eastAsia"/>
                <w:color w:val="000000" w:themeColor="text1"/>
                <w:sz w:val="21"/>
                <w:szCs w:val="21"/>
              </w:rPr>
              <w:t>屋脊</w:t>
            </w:r>
            <w:r w:rsidRPr="00B12FE0">
              <w:rPr>
                <w:rFonts w:cs="宋体" w:hint="eastAsia"/>
                <w:color w:val="000000" w:themeColor="text1"/>
                <w:sz w:val="21"/>
                <w:szCs w:val="21"/>
              </w:rPr>
              <w:t>。</w:t>
            </w:r>
          </w:p>
        </w:tc>
        <w:tc>
          <w:tcPr>
            <w:tcW w:w="383" w:type="pct"/>
            <w:vAlign w:val="center"/>
          </w:tcPr>
          <w:p w14:paraId="2E67BF4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符合</w:t>
            </w:r>
          </w:p>
        </w:tc>
      </w:tr>
      <w:tr w:rsidR="00A67F21" w:rsidRPr="00B12FE0" w14:paraId="1B5375F8" w14:textId="77777777">
        <w:trPr>
          <w:trHeight w:val="90"/>
          <w:jc w:val="center"/>
        </w:trPr>
        <w:tc>
          <w:tcPr>
            <w:tcW w:w="982" w:type="pct"/>
            <w:vMerge w:val="restart"/>
            <w:vAlign w:val="center"/>
          </w:tcPr>
          <w:p w14:paraId="162FB96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放射治疗辐射安全与防护要求</w:t>
            </w:r>
            <w:r w:rsidRPr="00B12FE0">
              <w:rPr>
                <w:color w:val="000000" w:themeColor="text1"/>
                <w:sz w:val="21"/>
                <w:szCs w:val="21"/>
              </w:rPr>
              <w:t>》（</w:t>
            </w:r>
            <w:r w:rsidRPr="00B12FE0">
              <w:rPr>
                <w:rFonts w:hint="eastAsia"/>
                <w:color w:val="000000" w:themeColor="text1"/>
                <w:sz w:val="21"/>
                <w:szCs w:val="21"/>
              </w:rPr>
              <w:t>HJ1198</w:t>
            </w:r>
            <w:r w:rsidRPr="00B12FE0">
              <w:rPr>
                <w:color w:val="000000" w:themeColor="text1"/>
                <w:sz w:val="21"/>
                <w:szCs w:val="21"/>
              </w:rPr>
              <w:t>-</w:t>
            </w:r>
            <w:r w:rsidRPr="00B12FE0">
              <w:rPr>
                <w:rFonts w:hint="eastAsia"/>
                <w:color w:val="000000" w:themeColor="text1"/>
                <w:sz w:val="21"/>
                <w:szCs w:val="21"/>
              </w:rPr>
              <w:t>2021</w:t>
            </w:r>
            <w:r w:rsidRPr="00B12FE0">
              <w:rPr>
                <w:color w:val="000000" w:themeColor="text1"/>
                <w:sz w:val="21"/>
                <w:szCs w:val="21"/>
              </w:rPr>
              <w:t>）</w:t>
            </w:r>
          </w:p>
        </w:tc>
        <w:tc>
          <w:tcPr>
            <w:tcW w:w="1686" w:type="pct"/>
            <w:vAlign w:val="center"/>
          </w:tcPr>
          <w:p w14:paraId="3FE88B3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放射治疗场所的选址应充分考虑其对周边环境的辐射影响，不得设置在民居、写字楼和商住两用的建筑物内。</w:t>
            </w:r>
          </w:p>
        </w:tc>
        <w:tc>
          <w:tcPr>
            <w:tcW w:w="1947" w:type="pct"/>
            <w:vAlign w:val="center"/>
          </w:tcPr>
          <w:p w14:paraId="5731C54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放疗科直线加速器机房和后装机机房选址于肿瘤治疗中心综合楼一层北侧，不在民居、写字楼和商住两用的建筑物内。</w:t>
            </w:r>
          </w:p>
        </w:tc>
        <w:tc>
          <w:tcPr>
            <w:tcW w:w="383" w:type="pct"/>
            <w:vAlign w:val="center"/>
          </w:tcPr>
          <w:p w14:paraId="2B69F7C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符合</w:t>
            </w:r>
          </w:p>
        </w:tc>
      </w:tr>
      <w:tr w:rsidR="00A67F21" w:rsidRPr="00B12FE0" w14:paraId="11C990DA" w14:textId="77777777">
        <w:trPr>
          <w:trHeight w:val="340"/>
          <w:jc w:val="center"/>
        </w:trPr>
        <w:tc>
          <w:tcPr>
            <w:tcW w:w="982" w:type="pct"/>
            <w:vMerge/>
            <w:vAlign w:val="center"/>
          </w:tcPr>
          <w:p w14:paraId="6BE17B6A" w14:textId="77777777" w:rsidR="00A67F21" w:rsidRPr="00B12FE0" w:rsidRDefault="00A67F21">
            <w:pPr>
              <w:adjustRightInd w:val="0"/>
              <w:snapToGrid w:val="0"/>
              <w:jc w:val="center"/>
              <w:rPr>
                <w:color w:val="000000" w:themeColor="text1"/>
                <w:sz w:val="21"/>
                <w:szCs w:val="21"/>
              </w:rPr>
            </w:pPr>
          </w:p>
        </w:tc>
        <w:tc>
          <w:tcPr>
            <w:tcW w:w="1686" w:type="pct"/>
            <w:vAlign w:val="center"/>
          </w:tcPr>
          <w:p w14:paraId="444886E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放射治疗场所宜单独选址、集中建设，或设置在多层建筑物的底层的一端，尽量避开儿科病房、产房等特殊人群及人员密集区域，或人员流动性大的商业活动区域。</w:t>
            </w:r>
          </w:p>
        </w:tc>
        <w:tc>
          <w:tcPr>
            <w:tcW w:w="1947" w:type="pct"/>
            <w:vAlign w:val="center"/>
          </w:tcPr>
          <w:p w14:paraId="2D6CD77D" w14:textId="77777777" w:rsidR="00A67F21" w:rsidRPr="00B12FE0" w:rsidRDefault="00000000">
            <w:pPr>
              <w:pStyle w:val="af5"/>
              <w:jc w:val="center"/>
              <w:rPr>
                <w:color w:val="000000" w:themeColor="text1"/>
                <w:sz w:val="21"/>
                <w:szCs w:val="21"/>
              </w:rPr>
            </w:pPr>
            <w:r w:rsidRPr="00B12FE0">
              <w:rPr>
                <w:rFonts w:hint="eastAsia"/>
                <w:color w:val="000000" w:themeColor="text1"/>
                <w:sz w:val="21"/>
                <w:szCs w:val="21"/>
              </w:rPr>
              <w:t>放疗科直线加速器机房和后装机机房选址于肿瘤治疗中心综合楼一层北侧，为所在建筑物底层北侧一端，楼下为土层。放疗科机房集中设置，避开了儿科病房、产房等特殊人群及人员密集区域，相邻也无人员流动性大的商业活动区域。</w:t>
            </w:r>
          </w:p>
        </w:tc>
        <w:tc>
          <w:tcPr>
            <w:tcW w:w="383" w:type="pct"/>
            <w:vAlign w:val="center"/>
          </w:tcPr>
          <w:p w14:paraId="4393A26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符合</w:t>
            </w:r>
          </w:p>
        </w:tc>
      </w:tr>
      <w:tr w:rsidR="00A67F21" w:rsidRPr="00B12FE0" w14:paraId="51FDABAE" w14:textId="77777777">
        <w:trPr>
          <w:trHeight w:val="340"/>
          <w:jc w:val="center"/>
        </w:trPr>
        <w:tc>
          <w:tcPr>
            <w:tcW w:w="982" w:type="pct"/>
            <w:vAlign w:val="center"/>
          </w:tcPr>
          <w:p w14:paraId="7CC6A95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《放射诊断放射防护要求》（</w:t>
            </w:r>
            <w:r w:rsidRPr="00B12FE0">
              <w:rPr>
                <w:rFonts w:hint="eastAsia"/>
                <w:color w:val="000000" w:themeColor="text1"/>
                <w:sz w:val="21"/>
                <w:szCs w:val="21"/>
              </w:rPr>
              <w:t>GBZ130-2020</w:t>
            </w:r>
            <w:r w:rsidRPr="00B12FE0">
              <w:rPr>
                <w:rFonts w:hint="eastAsia"/>
                <w:color w:val="000000" w:themeColor="text1"/>
                <w:sz w:val="21"/>
                <w:szCs w:val="21"/>
              </w:rPr>
              <w:t>）</w:t>
            </w:r>
          </w:p>
        </w:tc>
        <w:tc>
          <w:tcPr>
            <w:tcW w:w="1686" w:type="pct"/>
            <w:vAlign w:val="center"/>
          </w:tcPr>
          <w:p w14:paraId="6C5BB75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X</w:t>
            </w:r>
            <w:r w:rsidRPr="00B12FE0">
              <w:rPr>
                <w:rFonts w:hint="eastAsia"/>
                <w:color w:val="000000" w:themeColor="text1"/>
                <w:sz w:val="21"/>
                <w:szCs w:val="21"/>
              </w:rPr>
              <w:t>射线设备机房（照射室）的设置应充分考虑邻室（含楼上和楼下）及周围场所的人员防护与安全</w:t>
            </w:r>
          </w:p>
        </w:tc>
        <w:tc>
          <w:tcPr>
            <w:tcW w:w="1947" w:type="pct"/>
            <w:vAlign w:val="center"/>
          </w:tcPr>
          <w:p w14:paraId="15954FC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本项目核医学科</w:t>
            </w:r>
            <w:r w:rsidRPr="00B12FE0">
              <w:rPr>
                <w:color w:val="000000" w:themeColor="text1"/>
                <w:sz w:val="21"/>
                <w:szCs w:val="21"/>
              </w:rPr>
              <w:t>PET/CT</w:t>
            </w:r>
            <w:r w:rsidRPr="00B12FE0">
              <w:rPr>
                <w:color w:val="000000" w:themeColor="text1"/>
                <w:sz w:val="21"/>
                <w:szCs w:val="21"/>
              </w:rPr>
              <w:t>机房和</w:t>
            </w:r>
            <w:r w:rsidRPr="00B12FE0">
              <w:rPr>
                <w:color w:val="000000" w:themeColor="text1"/>
                <w:sz w:val="21"/>
                <w:szCs w:val="21"/>
              </w:rPr>
              <w:t>SPECT/CT</w:t>
            </w:r>
            <w:r w:rsidRPr="00B12FE0">
              <w:rPr>
                <w:color w:val="000000" w:themeColor="text1"/>
                <w:sz w:val="21"/>
                <w:szCs w:val="21"/>
              </w:rPr>
              <w:t>机房集中设置</w:t>
            </w:r>
            <w:r w:rsidRPr="00B12FE0">
              <w:rPr>
                <w:rFonts w:hint="eastAsia"/>
                <w:color w:val="000000" w:themeColor="text1"/>
                <w:sz w:val="21"/>
                <w:szCs w:val="21"/>
              </w:rPr>
              <w:t>，放疗科模拟定位</w:t>
            </w:r>
            <w:r w:rsidRPr="00B12FE0">
              <w:rPr>
                <w:rFonts w:hint="eastAsia"/>
                <w:color w:val="000000" w:themeColor="text1"/>
                <w:sz w:val="21"/>
                <w:szCs w:val="21"/>
              </w:rPr>
              <w:t>CT</w:t>
            </w:r>
            <w:r w:rsidRPr="00B12FE0">
              <w:rPr>
                <w:rFonts w:hint="eastAsia"/>
                <w:color w:val="000000" w:themeColor="text1"/>
                <w:sz w:val="21"/>
                <w:szCs w:val="21"/>
              </w:rPr>
              <w:t>机房在放疗科范围内，相邻区域没有产房、儿科病房等敏感人群集中的场所。</w:t>
            </w:r>
            <w:r w:rsidRPr="00B12FE0">
              <w:rPr>
                <w:color w:val="000000" w:themeColor="text1"/>
                <w:sz w:val="21"/>
                <w:szCs w:val="21"/>
              </w:rPr>
              <w:t>经计算，</w:t>
            </w:r>
            <w:r w:rsidRPr="00B12FE0">
              <w:rPr>
                <w:rFonts w:hint="eastAsia"/>
                <w:color w:val="000000" w:themeColor="text1"/>
                <w:sz w:val="21"/>
                <w:szCs w:val="21"/>
              </w:rPr>
              <w:t>各</w:t>
            </w:r>
            <w:r w:rsidRPr="00B12FE0">
              <w:rPr>
                <w:color w:val="000000" w:themeColor="text1"/>
                <w:sz w:val="21"/>
                <w:szCs w:val="21"/>
              </w:rPr>
              <w:t>机房周围</w:t>
            </w:r>
            <w:proofErr w:type="gramStart"/>
            <w:r w:rsidRPr="00B12FE0">
              <w:rPr>
                <w:color w:val="000000" w:themeColor="text1"/>
                <w:sz w:val="21"/>
                <w:szCs w:val="21"/>
              </w:rPr>
              <w:t>各关注</w:t>
            </w:r>
            <w:proofErr w:type="gramEnd"/>
            <w:r w:rsidRPr="00B12FE0">
              <w:rPr>
                <w:color w:val="000000" w:themeColor="text1"/>
                <w:sz w:val="21"/>
                <w:szCs w:val="21"/>
              </w:rPr>
              <w:t>点处的辐射剂量</w:t>
            </w:r>
            <w:proofErr w:type="gramStart"/>
            <w:r w:rsidRPr="00B12FE0">
              <w:rPr>
                <w:color w:val="000000" w:themeColor="text1"/>
                <w:sz w:val="21"/>
                <w:szCs w:val="21"/>
              </w:rPr>
              <w:t>率能够</w:t>
            </w:r>
            <w:proofErr w:type="gramEnd"/>
            <w:r w:rsidRPr="00B12FE0">
              <w:rPr>
                <w:color w:val="000000" w:themeColor="text1"/>
                <w:sz w:val="21"/>
                <w:szCs w:val="21"/>
              </w:rPr>
              <w:t>满足《放射诊断放射防护要求》（</w:t>
            </w:r>
            <w:r w:rsidRPr="00B12FE0">
              <w:rPr>
                <w:color w:val="000000" w:themeColor="text1"/>
                <w:sz w:val="21"/>
                <w:szCs w:val="21"/>
              </w:rPr>
              <w:t>GBZ130-2020</w:t>
            </w:r>
            <w:r w:rsidRPr="00B12FE0">
              <w:rPr>
                <w:color w:val="000000" w:themeColor="text1"/>
                <w:sz w:val="21"/>
                <w:szCs w:val="21"/>
              </w:rPr>
              <w:t>）中规定的标准限值。</w:t>
            </w:r>
          </w:p>
        </w:tc>
        <w:tc>
          <w:tcPr>
            <w:tcW w:w="383" w:type="pct"/>
            <w:vAlign w:val="center"/>
          </w:tcPr>
          <w:p w14:paraId="1C21A68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符合</w:t>
            </w:r>
          </w:p>
        </w:tc>
      </w:tr>
    </w:tbl>
    <w:p w14:paraId="0BB025FB"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根据上述分析，可知本项目核医学工作场所和衰变池选址符合《核医学辐射防护与安全要求》（</w:t>
      </w:r>
      <w:r w:rsidRPr="00B12FE0">
        <w:rPr>
          <w:rFonts w:hint="eastAsia"/>
          <w:color w:val="000000" w:themeColor="text1"/>
        </w:rPr>
        <w:t>HJ1188-2021</w:t>
      </w:r>
      <w:r w:rsidRPr="00B12FE0">
        <w:rPr>
          <w:rFonts w:hint="eastAsia"/>
          <w:color w:val="000000" w:themeColor="text1"/>
        </w:rPr>
        <w:t>）选址要求，核医学科射线装置选址符合</w:t>
      </w:r>
      <w:r w:rsidRPr="00B12FE0">
        <w:rPr>
          <w:color w:val="000000" w:themeColor="text1"/>
        </w:rPr>
        <w:t>《放射诊断放射防护要求》（</w:t>
      </w:r>
      <w:r w:rsidRPr="00B12FE0">
        <w:rPr>
          <w:color w:val="000000" w:themeColor="text1"/>
        </w:rPr>
        <w:t>GBZ130-2020</w:t>
      </w:r>
      <w:r w:rsidRPr="00B12FE0">
        <w:rPr>
          <w:color w:val="000000" w:themeColor="text1"/>
        </w:rPr>
        <w:t>）</w:t>
      </w:r>
      <w:r w:rsidRPr="00B12FE0">
        <w:rPr>
          <w:rFonts w:hint="eastAsia"/>
          <w:color w:val="000000" w:themeColor="text1"/>
        </w:rPr>
        <w:t>，放疗科直线加速器机房和</w:t>
      </w:r>
      <w:r w:rsidRPr="00B12FE0">
        <w:rPr>
          <w:color w:val="000000" w:themeColor="text1"/>
        </w:rPr>
        <w:t>后装机机房</w:t>
      </w:r>
      <w:r w:rsidRPr="00B12FE0">
        <w:rPr>
          <w:rFonts w:hint="eastAsia"/>
          <w:color w:val="000000" w:themeColor="text1"/>
        </w:rPr>
        <w:t>选址符合《放射治疗辐射安全与防护要求》（</w:t>
      </w:r>
      <w:r w:rsidRPr="00B12FE0">
        <w:rPr>
          <w:rFonts w:hint="eastAsia"/>
          <w:color w:val="000000" w:themeColor="text1"/>
        </w:rPr>
        <w:t>HJ1198-2021</w:t>
      </w:r>
      <w:r w:rsidRPr="00B12FE0">
        <w:rPr>
          <w:rFonts w:hint="eastAsia"/>
          <w:color w:val="000000" w:themeColor="text1"/>
        </w:rPr>
        <w:t>）选址要求，</w:t>
      </w:r>
      <w:r w:rsidRPr="00B12FE0">
        <w:rPr>
          <w:color w:val="000000" w:themeColor="text1"/>
        </w:rPr>
        <w:t>放疗科模拟定位</w:t>
      </w:r>
      <w:r w:rsidRPr="00B12FE0">
        <w:rPr>
          <w:color w:val="000000" w:themeColor="text1"/>
        </w:rPr>
        <w:t>CT</w:t>
      </w:r>
      <w:r w:rsidRPr="00B12FE0">
        <w:rPr>
          <w:color w:val="000000" w:themeColor="text1"/>
        </w:rPr>
        <w:t>机房设置均符合《放射诊断放射防护要求》（</w:t>
      </w:r>
      <w:r w:rsidRPr="00B12FE0">
        <w:rPr>
          <w:color w:val="000000" w:themeColor="text1"/>
        </w:rPr>
        <w:t>GBZ130-2020</w:t>
      </w:r>
      <w:r w:rsidRPr="00B12FE0">
        <w:rPr>
          <w:color w:val="000000" w:themeColor="text1"/>
        </w:rPr>
        <w:t>）机房设置要求。</w:t>
      </w:r>
    </w:p>
    <w:p w14:paraId="7FADB3A5"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综上所述，本项目的选址是合理的。</w:t>
      </w:r>
    </w:p>
    <w:p w14:paraId="45D1BA40" w14:textId="77777777" w:rsidR="00A67F21" w:rsidRPr="00B12FE0" w:rsidRDefault="00000000">
      <w:pPr>
        <w:snapToGrid w:val="0"/>
        <w:spacing w:line="360" w:lineRule="auto"/>
        <w:contextualSpacing/>
        <w:outlineLvl w:val="1"/>
        <w:rPr>
          <w:b/>
          <w:bCs/>
          <w:color w:val="000000" w:themeColor="text1"/>
          <w:sz w:val="28"/>
          <w:szCs w:val="28"/>
        </w:rPr>
      </w:pPr>
      <w:r w:rsidRPr="00B12FE0">
        <w:rPr>
          <w:b/>
          <w:bCs/>
          <w:color w:val="000000" w:themeColor="text1"/>
          <w:sz w:val="28"/>
          <w:szCs w:val="28"/>
        </w:rPr>
        <w:t>1.</w:t>
      </w:r>
      <w:r w:rsidRPr="00B12FE0">
        <w:rPr>
          <w:rFonts w:hint="eastAsia"/>
          <w:b/>
          <w:bCs/>
          <w:color w:val="000000" w:themeColor="text1"/>
          <w:sz w:val="28"/>
          <w:szCs w:val="28"/>
        </w:rPr>
        <w:t>5</w:t>
      </w:r>
      <w:r w:rsidRPr="00B12FE0">
        <w:rPr>
          <w:b/>
          <w:bCs/>
          <w:color w:val="000000" w:themeColor="text1"/>
          <w:sz w:val="28"/>
          <w:szCs w:val="28"/>
        </w:rPr>
        <w:t>实践正当性分析</w:t>
      </w:r>
    </w:p>
    <w:p w14:paraId="19E30617" w14:textId="77777777" w:rsidR="00A67F21" w:rsidRPr="00B12FE0" w:rsidRDefault="00000000">
      <w:pPr>
        <w:adjustRightInd w:val="0"/>
        <w:spacing w:line="360" w:lineRule="auto"/>
        <w:ind w:firstLineChars="200" w:firstLine="480"/>
        <w:rPr>
          <w:color w:val="000000" w:themeColor="text1"/>
          <w:sz w:val="21"/>
          <w:szCs w:val="24"/>
        </w:rPr>
      </w:pPr>
      <w:r w:rsidRPr="00B12FE0">
        <w:rPr>
          <w:color w:val="000000" w:themeColor="text1"/>
        </w:rPr>
        <w:t>本项目的建设可以更好地满足患者就诊需求，提高对疾病的诊治能力。核技术应用项目的开展，对保障人民群众身体健康、拯救生命起了十分重要的作用，因此，该项目的实践是必要的。</w:t>
      </w:r>
    </w:p>
    <w:p w14:paraId="356D55DB" w14:textId="77777777" w:rsidR="00A67F21" w:rsidRPr="00B12FE0" w:rsidRDefault="00000000">
      <w:pPr>
        <w:adjustRightInd w:val="0"/>
        <w:spacing w:line="360" w:lineRule="auto"/>
        <w:ind w:firstLineChars="200" w:firstLine="480"/>
        <w:rPr>
          <w:color w:val="000000" w:themeColor="text1"/>
        </w:rPr>
      </w:pPr>
      <w:r w:rsidRPr="00B12FE0">
        <w:rPr>
          <w:color w:val="000000" w:themeColor="text1"/>
        </w:rPr>
        <w:t>医院</w:t>
      </w:r>
      <w:r w:rsidRPr="00B12FE0">
        <w:rPr>
          <w:rFonts w:hint="eastAsia"/>
          <w:color w:val="000000" w:themeColor="text1"/>
        </w:rPr>
        <w:t>在核技术利用项目运行过程</w:t>
      </w:r>
      <w:r w:rsidRPr="00B12FE0">
        <w:rPr>
          <w:color w:val="000000" w:themeColor="text1"/>
        </w:rPr>
        <w:t>中，对</w:t>
      </w:r>
      <w:r w:rsidRPr="00B12FE0">
        <w:rPr>
          <w:rFonts w:hint="eastAsia"/>
          <w:color w:val="000000" w:themeColor="text1"/>
        </w:rPr>
        <w:t>放射性核素、放射源和射线装置</w:t>
      </w:r>
      <w:r w:rsidRPr="00B12FE0">
        <w:rPr>
          <w:color w:val="000000" w:themeColor="text1"/>
        </w:rPr>
        <w:t>的使用</w:t>
      </w:r>
      <w:r w:rsidRPr="00B12FE0">
        <w:rPr>
          <w:rFonts w:hint="eastAsia"/>
          <w:color w:val="000000" w:themeColor="text1"/>
        </w:rPr>
        <w:t>场所</w:t>
      </w:r>
      <w:r w:rsidRPr="00B12FE0">
        <w:rPr>
          <w:color w:val="000000" w:themeColor="text1"/>
        </w:rPr>
        <w:t>采取满足相关标准要求的</w:t>
      </w:r>
      <w:r w:rsidRPr="00B12FE0">
        <w:rPr>
          <w:rFonts w:hint="eastAsia"/>
          <w:color w:val="000000" w:themeColor="text1"/>
        </w:rPr>
        <w:t>辐射安全防护</w:t>
      </w:r>
      <w:r w:rsidRPr="00B12FE0">
        <w:rPr>
          <w:color w:val="000000" w:themeColor="text1"/>
        </w:rPr>
        <w:t>措施，对</w:t>
      </w:r>
      <w:r w:rsidRPr="00B12FE0">
        <w:rPr>
          <w:rFonts w:hint="eastAsia"/>
          <w:color w:val="000000" w:themeColor="text1"/>
        </w:rPr>
        <w:t>放射性核素、放射源和射线装置</w:t>
      </w:r>
      <w:r w:rsidRPr="00B12FE0">
        <w:rPr>
          <w:color w:val="000000" w:themeColor="text1"/>
        </w:rPr>
        <w:t>的安全管理将建立相应的</w:t>
      </w:r>
      <w:r w:rsidRPr="00B12FE0">
        <w:rPr>
          <w:rFonts w:hint="eastAsia"/>
          <w:color w:val="000000" w:themeColor="text1"/>
        </w:rPr>
        <w:t>操作规程和辐射安全</w:t>
      </w:r>
      <w:r w:rsidRPr="00B12FE0">
        <w:rPr>
          <w:color w:val="000000" w:themeColor="text1"/>
        </w:rPr>
        <w:t>规章制度。因此，在正确使用和管理放射性核素和射线装置的情况下，可以将该项目辐射产生的影响降至尽可能小。本项目产生的辐射给职业人员、公众及社会带来的利益足以弥补其可能引起的辐射危害，该核</w:t>
      </w:r>
      <w:r w:rsidRPr="00B12FE0">
        <w:rPr>
          <w:color w:val="000000" w:themeColor="text1"/>
        </w:rPr>
        <w:lastRenderedPageBreak/>
        <w:t>技术应用实践具有正当性，符合《电离辐射防护与辐射源安全基本标准》（</w:t>
      </w:r>
      <w:r w:rsidRPr="00B12FE0">
        <w:rPr>
          <w:color w:val="000000" w:themeColor="text1"/>
        </w:rPr>
        <w:t>GB 18871-2002</w:t>
      </w:r>
      <w:r w:rsidRPr="00B12FE0">
        <w:rPr>
          <w:color w:val="000000" w:themeColor="text1"/>
        </w:rPr>
        <w:t>）中</w:t>
      </w:r>
      <w:r w:rsidRPr="00B12FE0">
        <w:rPr>
          <w:rFonts w:ascii="宋体" w:hAnsi="宋体"/>
          <w:color w:val="000000" w:themeColor="text1"/>
        </w:rPr>
        <w:t>“实践的正当性”</w:t>
      </w:r>
      <w:r w:rsidRPr="00B12FE0">
        <w:rPr>
          <w:color w:val="000000" w:themeColor="text1"/>
        </w:rPr>
        <w:t>原则。</w:t>
      </w:r>
    </w:p>
    <w:p w14:paraId="3E83808F" w14:textId="77777777" w:rsidR="00A67F21" w:rsidRPr="00B12FE0" w:rsidRDefault="00000000">
      <w:pPr>
        <w:snapToGrid w:val="0"/>
        <w:spacing w:line="360" w:lineRule="auto"/>
        <w:contextualSpacing/>
        <w:outlineLvl w:val="1"/>
        <w:rPr>
          <w:b/>
          <w:bCs/>
          <w:color w:val="000000" w:themeColor="text1"/>
          <w:sz w:val="28"/>
          <w:szCs w:val="28"/>
        </w:rPr>
      </w:pPr>
      <w:r w:rsidRPr="00B12FE0">
        <w:rPr>
          <w:b/>
          <w:bCs/>
          <w:color w:val="000000" w:themeColor="text1"/>
          <w:sz w:val="28"/>
          <w:szCs w:val="28"/>
        </w:rPr>
        <w:t>1.</w:t>
      </w:r>
      <w:r w:rsidRPr="00B12FE0">
        <w:rPr>
          <w:rFonts w:hint="eastAsia"/>
          <w:b/>
          <w:bCs/>
          <w:color w:val="000000" w:themeColor="text1"/>
          <w:sz w:val="28"/>
          <w:szCs w:val="28"/>
        </w:rPr>
        <w:t>6</w:t>
      </w:r>
      <w:r w:rsidRPr="00B12FE0">
        <w:rPr>
          <w:b/>
          <w:bCs/>
          <w:color w:val="000000" w:themeColor="text1"/>
          <w:sz w:val="28"/>
          <w:szCs w:val="28"/>
        </w:rPr>
        <w:t>产业政策符合性</w:t>
      </w:r>
    </w:p>
    <w:p w14:paraId="55E7CB29" w14:textId="77777777" w:rsidR="00A67F21" w:rsidRPr="00B12FE0" w:rsidRDefault="00000000">
      <w:pPr>
        <w:pStyle w:val="TableParagraph"/>
        <w:autoSpaceDE/>
        <w:autoSpaceDN/>
        <w:snapToGrid w:val="0"/>
        <w:spacing w:line="360" w:lineRule="auto"/>
        <w:ind w:firstLineChars="200" w:firstLine="480"/>
        <w:jc w:val="both"/>
        <w:rPr>
          <w:color w:val="000000" w:themeColor="text1"/>
        </w:rPr>
      </w:pPr>
      <w:r w:rsidRPr="00B12FE0">
        <w:rPr>
          <w:color w:val="000000" w:themeColor="text1"/>
        </w:rPr>
        <w:t>根据</w:t>
      </w:r>
      <w:r w:rsidRPr="00B12FE0">
        <w:rPr>
          <w:rFonts w:hint="eastAsia"/>
          <w:color w:val="000000" w:themeColor="text1"/>
        </w:rPr>
        <w:t>国家发展和改革委员会制订的《产业结构调整指导目录（</w:t>
      </w:r>
      <w:r w:rsidRPr="00B12FE0">
        <w:rPr>
          <w:color w:val="000000" w:themeColor="text1"/>
        </w:rPr>
        <w:t>2024</w:t>
      </w:r>
      <w:r w:rsidRPr="00B12FE0">
        <w:rPr>
          <w:rFonts w:hint="eastAsia"/>
          <w:color w:val="000000" w:themeColor="text1"/>
        </w:rPr>
        <w:t>年本）》</w:t>
      </w:r>
      <w:r w:rsidRPr="00B12FE0">
        <w:rPr>
          <w:color w:val="000000" w:themeColor="text1"/>
        </w:rPr>
        <w:t>，本项目</w:t>
      </w:r>
      <w:r w:rsidRPr="00B12FE0">
        <w:rPr>
          <w:rFonts w:hint="eastAsia"/>
          <w:color w:val="000000" w:themeColor="text1"/>
        </w:rPr>
        <w:t>核医学工作场所、直线加速器、后装机</w:t>
      </w:r>
      <w:r w:rsidRPr="00B12FE0">
        <w:rPr>
          <w:color w:val="000000" w:themeColor="text1"/>
        </w:rPr>
        <w:t>属于</w:t>
      </w:r>
      <w:r w:rsidRPr="00B12FE0">
        <w:rPr>
          <w:rFonts w:hint="eastAsia"/>
          <w:color w:val="000000" w:themeColor="text1"/>
        </w:rPr>
        <w:t>第一类“鼓励类”</w:t>
      </w:r>
      <w:r w:rsidRPr="00B12FE0">
        <w:rPr>
          <w:bCs/>
          <w:color w:val="000000" w:themeColor="text1"/>
          <w:szCs w:val="20"/>
        </w:rPr>
        <w:t>第六项</w:t>
      </w:r>
      <w:r w:rsidRPr="00B12FE0">
        <w:rPr>
          <w:rFonts w:ascii="宋体" w:hAnsi="宋体"/>
          <w:bCs/>
          <w:color w:val="000000" w:themeColor="text1"/>
          <w:szCs w:val="20"/>
        </w:rPr>
        <w:t>“核能”</w:t>
      </w:r>
      <w:r w:rsidRPr="00B12FE0">
        <w:rPr>
          <w:bCs/>
          <w:color w:val="000000" w:themeColor="text1"/>
          <w:szCs w:val="20"/>
        </w:rPr>
        <w:t>中第</w:t>
      </w:r>
      <w:r w:rsidRPr="00B12FE0">
        <w:rPr>
          <w:rFonts w:hint="eastAsia"/>
          <w:bCs/>
          <w:color w:val="000000" w:themeColor="text1"/>
          <w:szCs w:val="20"/>
        </w:rPr>
        <w:t>4</w:t>
      </w:r>
      <w:r w:rsidRPr="00B12FE0">
        <w:rPr>
          <w:rFonts w:hint="eastAsia"/>
          <w:bCs/>
          <w:color w:val="000000" w:themeColor="text1"/>
          <w:szCs w:val="20"/>
        </w:rPr>
        <w:t>条</w:t>
      </w:r>
      <w:r w:rsidRPr="00B12FE0">
        <w:rPr>
          <w:rFonts w:ascii="宋体" w:hAnsi="宋体"/>
          <w:bCs/>
          <w:color w:val="000000" w:themeColor="text1"/>
          <w:szCs w:val="20"/>
        </w:rPr>
        <w:t>“</w:t>
      </w:r>
      <w:r w:rsidRPr="00B12FE0">
        <w:rPr>
          <w:rFonts w:ascii="宋体" w:hAnsi="宋体" w:hint="eastAsia"/>
          <w:bCs/>
          <w:color w:val="000000" w:themeColor="text1"/>
          <w:szCs w:val="20"/>
        </w:rPr>
        <w:t>核技术应用：</w:t>
      </w:r>
      <w:r w:rsidRPr="00B12FE0">
        <w:rPr>
          <w:rFonts w:ascii="宋体" w:hAnsi="宋体"/>
          <w:b/>
          <w:color w:val="000000" w:themeColor="text1"/>
          <w:szCs w:val="20"/>
        </w:rPr>
        <w:t>同位素、加速器及辐照应用技术开发</w:t>
      </w:r>
      <w:r w:rsidRPr="00B12FE0">
        <w:rPr>
          <w:rFonts w:ascii="宋体" w:hAnsi="宋体" w:hint="eastAsia"/>
          <w:bCs/>
          <w:color w:val="000000" w:themeColor="text1"/>
          <w:szCs w:val="20"/>
        </w:rPr>
        <w:t>，辐射防护技术开发与监测设备制造</w:t>
      </w:r>
      <w:r w:rsidRPr="00B12FE0">
        <w:rPr>
          <w:rFonts w:ascii="宋体" w:hAnsi="宋体"/>
          <w:bCs/>
          <w:color w:val="000000" w:themeColor="text1"/>
          <w:szCs w:val="20"/>
        </w:rPr>
        <w:t>”</w:t>
      </w:r>
      <w:r w:rsidRPr="00B12FE0">
        <w:rPr>
          <w:rFonts w:hint="eastAsia"/>
          <w:bCs/>
          <w:color w:val="000000" w:themeColor="text1"/>
          <w:szCs w:val="20"/>
        </w:rPr>
        <w:t>；</w:t>
      </w:r>
      <w:r w:rsidRPr="00B12FE0">
        <w:rPr>
          <w:rFonts w:hint="eastAsia"/>
          <w:bCs/>
          <w:color w:val="000000" w:themeColor="text1"/>
        </w:rPr>
        <w:t>SPECT</w:t>
      </w:r>
      <w:r w:rsidRPr="00B12FE0">
        <w:rPr>
          <w:bCs/>
          <w:color w:val="000000" w:themeColor="text1"/>
        </w:rPr>
        <w:t>/</w:t>
      </w:r>
      <w:r w:rsidRPr="00B12FE0">
        <w:rPr>
          <w:rFonts w:hint="eastAsia"/>
          <w:bCs/>
          <w:color w:val="000000" w:themeColor="text1"/>
        </w:rPr>
        <w:t>CT</w:t>
      </w:r>
      <w:r w:rsidRPr="00B12FE0">
        <w:rPr>
          <w:rFonts w:hint="eastAsia"/>
          <w:bCs/>
          <w:color w:val="000000" w:themeColor="text1"/>
        </w:rPr>
        <w:t>、</w:t>
      </w:r>
      <w:r w:rsidRPr="00B12FE0">
        <w:rPr>
          <w:rFonts w:hint="eastAsia"/>
          <w:bCs/>
          <w:color w:val="000000" w:themeColor="text1"/>
        </w:rPr>
        <w:t>PET</w:t>
      </w:r>
      <w:r w:rsidRPr="00B12FE0">
        <w:rPr>
          <w:bCs/>
          <w:color w:val="000000" w:themeColor="text1"/>
        </w:rPr>
        <w:t>/</w:t>
      </w:r>
      <w:r w:rsidRPr="00B12FE0">
        <w:rPr>
          <w:rFonts w:hint="eastAsia"/>
          <w:bCs/>
          <w:color w:val="000000" w:themeColor="text1"/>
        </w:rPr>
        <w:t>CT</w:t>
      </w:r>
      <w:r w:rsidRPr="00B12FE0">
        <w:rPr>
          <w:rFonts w:hint="eastAsia"/>
          <w:bCs/>
          <w:color w:val="000000" w:themeColor="text1"/>
        </w:rPr>
        <w:t>、</w:t>
      </w:r>
      <w:r w:rsidRPr="00B12FE0">
        <w:rPr>
          <w:bCs/>
          <w:color w:val="000000" w:themeColor="text1"/>
        </w:rPr>
        <w:t>直线加速器</w:t>
      </w:r>
      <w:r w:rsidRPr="00B12FE0">
        <w:rPr>
          <w:rFonts w:hint="eastAsia"/>
          <w:bCs/>
          <w:color w:val="000000" w:themeColor="text1"/>
        </w:rPr>
        <w:t>和模拟定位</w:t>
      </w:r>
      <w:r w:rsidRPr="00B12FE0">
        <w:rPr>
          <w:rFonts w:hint="eastAsia"/>
          <w:bCs/>
          <w:color w:val="000000" w:themeColor="text1"/>
        </w:rPr>
        <w:t>CT</w:t>
      </w:r>
      <w:r w:rsidRPr="00B12FE0">
        <w:rPr>
          <w:rFonts w:hint="eastAsia"/>
          <w:bCs/>
          <w:color w:val="000000" w:themeColor="text1"/>
        </w:rPr>
        <w:t>属于</w:t>
      </w:r>
      <w:r w:rsidRPr="00B12FE0">
        <w:rPr>
          <w:rFonts w:hint="eastAsia"/>
          <w:color w:val="000000" w:themeColor="text1"/>
        </w:rPr>
        <w:t>第一类“鼓励类”</w:t>
      </w:r>
      <w:r w:rsidRPr="00B12FE0">
        <w:rPr>
          <w:rFonts w:hint="eastAsia"/>
          <w:bCs/>
          <w:color w:val="000000" w:themeColor="text1"/>
        </w:rPr>
        <w:t>第十三项“医药”中第</w:t>
      </w:r>
      <w:r w:rsidRPr="00B12FE0">
        <w:rPr>
          <w:rFonts w:hint="eastAsia"/>
          <w:bCs/>
          <w:color w:val="000000" w:themeColor="text1"/>
        </w:rPr>
        <w:t>4</w:t>
      </w:r>
      <w:r w:rsidRPr="00B12FE0">
        <w:rPr>
          <w:rFonts w:hint="eastAsia"/>
          <w:bCs/>
          <w:color w:val="000000" w:themeColor="text1"/>
        </w:rPr>
        <w:t>条“高端医疗器械创新发展：新型基因、蛋白和细胞诊断设备，新型医用诊断设备和试剂，</w:t>
      </w:r>
      <w:r w:rsidRPr="00B12FE0">
        <w:rPr>
          <w:rFonts w:hint="eastAsia"/>
          <w:b/>
          <w:color w:val="000000" w:themeColor="text1"/>
        </w:rPr>
        <w:t>高性能医学影像设备，高端放射治疗设备</w:t>
      </w:r>
      <w:r w:rsidRPr="00B12FE0">
        <w:rPr>
          <w:rFonts w:hint="eastAsia"/>
          <w:bCs/>
          <w:color w:val="000000" w:themeColor="text1"/>
        </w:rPr>
        <w:t>，急危重症生命支持设备，人工智能辅助医疗设备，移动与远程诊疗设备，高端康复辅助器具，高端植入介入产品，手术机器人等高端外科设备及耗材，生物医用材料、增材制造技术开发与应用”；本项目属于</w:t>
      </w:r>
      <w:r w:rsidRPr="00B12FE0">
        <w:rPr>
          <w:rFonts w:hint="eastAsia"/>
          <w:color w:val="000000" w:themeColor="text1"/>
        </w:rPr>
        <w:t>第一类“鼓励类”第三十七项“卫生健康”中第</w:t>
      </w:r>
      <w:r w:rsidRPr="00B12FE0">
        <w:rPr>
          <w:rFonts w:hint="eastAsia"/>
          <w:color w:val="000000" w:themeColor="text1"/>
        </w:rPr>
        <w:t>1</w:t>
      </w:r>
      <w:r w:rsidRPr="00B12FE0">
        <w:rPr>
          <w:rFonts w:hint="eastAsia"/>
          <w:color w:val="000000" w:themeColor="text1"/>
        </w:rPr>
        <w:t>条“医疗服务设施建设：预防保健、卫生应急、卫生监督服务设施建设，</w:t>
      </w:r>
      <w:r w:rsidRPr="00B12FE0">
        <w:rPr>
          <w:rFonts w:hint="eastAsia"/>
          <w:b/>
          <w:bCs/>
          <w:color w:val="000000" w:themeColor="text1"/>
        </w:rPr>
        <w:t>医疗卫生服务设施建设</w:t>
      </w:r>
      <w:r w:rsidRPr="00B12FE0">
        <w:rPr>
          <w:rFonts w:hint="eastAsia"/>
          <w:color w:val="000000" w:themeColor="text1"/>
        </w:rPr>
        <w:t>，传染病、儿童、精神卫生专科医院和康复医院（中心）、护理院（中心）、安宁疗护中心、全科医疗设施与服务，</w:t>
      </w:r>
      <w:proofErr w:type="gramStart"/>
      <w:r w:rsidRPr="00B12FE0">
        <w:rPr>
          <w:rFonts w:hint="eastAsia"/>
          <w:color w:val="000000" w:themeColor="text1"/>
        </w:rPr>
        <w:t>医</w:t>
      </w:r>
      <w:proofErr w:type="gramEnd"/>
      <w:r w:rsidRPr="00B12FE0">
        <w:rPr>
          <w:rFonts w:hint="eastAsia"/>
          <w:color w:val="000000" w:themeColor="text1"/>
        </w:rPr>
        <w:t>养结合设施与服务”</w:t>
      </w:r>
      <w:r w:rsidRPr="00B12FE0">
        <w:rPr>
          <w:rFonts w:hint="eastAsia"/>
          <w:bCs/>
          <w:color w:val="000000" w:themeColor="text1"/>
        </w:rPr>
        <w:t>均</w:t>
      </w:r>
      <w:r w:rsidRPr="00B12FE0">
        <w:rPr>
          <w:rFonts w:hint="eastAsia"/>
          <w:bCs/>
          <w:color w:val="000000" w:themeColor="text1"/>
          <w:szCs w:val="20"/>
        </w:rPr>
        <w:t>为</w:t>
      </w:r>
      <w:r w:rsidRPr="00B12FE0">
        <w:rPr>
          <w:bCs/>
          <w:color w:val="000000" w:themeColor="text1"/>
          <w:szCs w:val="20"/>
        </w:rPr>
        <w:t>国家鼓励类产业，符合国家产业政策</w:t>
      </w:r>
      <w:r w:rsidRPr="00B12FE0">
        <w:rPr>
          <w:color w:val="000000" w:themeColor="text1"/>
        </w:rPr>
        <w:t>。</w:t>
      </w:r>
    </w:p>
    <w:p w14:paraId="3869BC3C" w14:textId="77777777" w:rsidR="00A67F21" w:rsidRPr="00B12FE0" w:rsidRDefault="00000000">
      <w:pPr>
        <w:snapToGrid w:val="0"/>
        <w:spacing w:line="360" w:lineRule="auto"/>
        <w:outlineLvl w:val="1"/>
        <w:rPr>
          <w:b/>
          <w:bCs/>
          <w:color w:val="000000" w:themeColor="text1"/>
          <w:sz w:val="28"/>
          <w:szCs w:val="28"/>
        </w:rPr>
      </w:pPr>
      <w:r w:rsidRPr="00B12FE0">
        <w:rPr>
          <w:b/>
          <w:bCs/>
          <w:color w:val="000000" w:themeColor="text1"/>
          <w:sz w:val="28"/>
          <w:szCs w:val="28"/>
        </w:rPr>
        <w:t>1.</w:t>
      </w:r>
      <w:r w:rsidRPr="00B12FE0">
        <w:rPr>
          <w:rFonts w:hint="eastAsia"/>
          <w:b/>
          <w:bCs/>
          <w:color w:val="000000" w:themeColor="text1"/>
          <w:sz w:val="28"/>
          <w:szCs w:val="28"/>
        </w:rPr>
        <w:t>7</w:t>
      </w:r>
      <w:r w:rsidRPr="00B12FE0">
        <w:rPr>
          <w:rFonts w:hint="eastAsia"/>
          <w:b/>
          <w:bCs/>
          <w:color w:val="000000" w:themeColor="text1"/>
          <w:sz w:val="28"/>
          <w:szCs w:val="28"/>
        </w:rPr>
        <w:t>与第一师阿拉尔市生态环境分区管控动态更新方案</w:t>
      </w:r>
      <w:r w:rsidRPr="00B12FE0">
        <w:rPr>
          <w:rFonts w:cs="宋体" w:hint="eastAsia"/>
          <w:b/>
          <w:bCs/>
          <w:color w:val="000000" w:themeColor="text1"/>
          <w:sz w:val="28"/>
          <w:szCs w:val="28"/>
        </w:rPr>
        <w:t>符合性分析</w:t>
      </w:r>
    </w:p>
    <w:p w14:paraId="4B67298E" w14:textId="77777777" w:rsidR="00A67F21" w:rsidRPr="00B12FE0" w:rsidRDefault="00000000">
      <w:pPr>
        <w:adjustRightInd w:val="0"/>
        <w:snapToGrid w:val="0"/>
        <w:spacing w:line="360" w:lineRule="auto"/>
        <w:ind w:firstLineChars="200" w:firstLine="480"/>
        <w:rPr>
          <w:b/>
          <w:bCs/>
          <w:color w:val="000000" w:themeColor="text1"/>
          <w:sz w:val="21"/>
          <w:szCs w:val="21"/>
        </w:rPr>
      </w:pPr>
      <w:r w:rsidRPr="00B12FE0">
        <w:rPr>
          <w:rFonts w:hint="eastAsia"/>
          <w:bCs/>
          <w:color w:val="000000" w:themeColor="text1"/>
        </w:rPr>
        <w:t>本项目</w:t>
      </w:r>
      <w:r w:rsidRPr="00B12FE0">
        <w:rPr>
          <w:rFonts w:hint="eastAsia"/>
          <w:color w:val="000000" w:themeColor="text1"/>
        </w:rPr>
        <w:t>选址于新疆阿拉尔市胜利大道西</w:t>
      </w:r>
      <w:r w:rsidRPr="00B12FE0">
        <w:rPr>
          <w:rFonts w:hint="eastAsia"/>
          <w:color w:val="000000" w:themeColor="text1"/>
        </w:rPr>
        <w:t>1155</w:t>
      </w:r>
      <w:r w:rsidRPr="00B12FE0">
        <w:rPr>
          <w:rFonts w:hint="eastAsia"/>
          <w:color w:val="000000" w:themeColor="text1"/>
        </w:rPr>
        <w:t>号浙江大学医学院附属邵逸夫医院新疆兵团阿拉尔医院内西侧，根据《第一师阿拉尔市生态环境分区管控动态更新方案（</w:t>
      </w:r>
      <w:r w:rsidRPr="00B12FE0">
        <w:rPr>
          <w:rFonts w:hint="eastAsia"/>
          <w:color w:val="000000" w:themeColor="text1"/>
        </w:rPr>
        <w:t>2023</w:t>
      </w:r>
      <w:r w:rsidRPr="00B12FE0">
        <w:rPr>
          <w:rFonts w:hint="eastAsia"/>
          <w:color w:val="000000" w:themeColor="text1"/>
        </w:rPr>
        <w:t>版）》（</w:t>
      </w:r>
      <w:r w:rsidRPr="00B12FE0">
        <w:rPr>
          <w:rFonts w:hint="eastAsia"/>
          <w:color w:val="000000" w:themeColor="text1"/>
          <w:kern w:val="0"/>
        </w:rPr>
        <w:t>2024</w:t>
      </w:r>
      <w:r w:rsidRPr="00B12FE0">
        <w:rPr>
          <w:rFonts w:hint="eastAsia"/>
          <w:color w:val="000000" w:themeColor="text1"/>
          <w:kern w:val="0"/>
        </w:rPr>
        <w:t>年</w:t>
      </w:r>
      <w:r w:rsidRPr="00B12FE0">
        <w:rPr>
          <w:rFonts w:hint="eastAsia"/>
          <w:color w:val="000000" w:themeColor="text1"/>
          <w:kern w:val="0"/>
        </w:rPr>
        <w:t>7</w:t>
      </w:r>
      <w:r w:rsidRPr="00B12FE0">
        <w:rPr>
          <w:rFonts w:hint="eastAsia"/>
          <w:color w:val="000000" w:themeColor="text1"/>
          <w:kern w:val="0"/>
        </w:rPr>
        <w:t>月</w:t>
      </w:r>
      <w:r w:rsidRPr="00B12FE0">
        <w:rPr>
          <w:rFonts w:hint="eastAsia"/>
          <w:color w:val="000000" w:themeColor="text1"/>
          <w:kern w:val="0"/>
        </w:rPr>
        <w:t>3</w:t>
      </w:r>
      <w:r w:rsidRPr="00B12FE0">
        <w:rPr>
          <w:rFonts w:hint="eastAsia"/>
          <w:color w:val="000000" w:themeColor="text1"/>
          <w:kern w:val="0"/>
        </w:rPr>
        <w:t>日</w:t>
      </w:r>
      <w:r w:rsidRPr="00B12FE0">
        <w:rPr>
          <w:rFonts w:hint="eastAsia"/>
          <w:color w:val="000000" w:themeColor="text1"/>
        </w:rPr>
        <w:t>），</w:t>
      </w:r>
      <w:r w:rsidRPr="00B12FE0">
        <w:rPr>
          <w:rFonts w:ascii="宋体" w:hAnsi="宋体" w:cs="宋体" w:hint="eastAsia"/>
          <w:color w:val="000000" w:themeColor="text1"/>
          <w:kern w:val="0"/>
          <w:szCs w:val="24"/>
          <w:lang w:bidi="ar"/>
        </w:rPr>
        <w:t>项目所在地位于阿拉尔</w:t>
      </w:r>
      <w:r w:rsidRPr="00B12FE0">
        <w:rPr>
          <w:color w:val="000000" w:themeColor="text1"/>
          <w:kern w:val="0"/>
          <w:szCs w:val="24"/>
          <w:lang w:bidi="ar"/>
        </w:rPr>
        <w:t>市</w:t>
      </w:r>
      <w:r w:rsidRPr="00B12FE0">
        <w:rPr>
          <w:color w:val="000000" w:themeColor="text1"/>
          <w:kern w:val="0"/>
          <w:szCs w:val="24"/>
          <w:lang w:bidi="ar"/>
        </w:rPr>
        <w:t>10</w:t>
      </w:r>
      <w:r w:rsidRPr="00B12FE0">
        <w:rPr>
          <w:color w:val="000000" w:themeColor="text1"/>
          <w:kern w:val="0"/>
          <w:szCs w:val="24"/>
          <w:lang w:bidi="ar"/>
        </w:rPr>
        <w:t>团重</w:t>
      </w:r>
      <w:r w:rsidRPr="00B12FE0">
        <w:rPr>
          <w:rFonts w:ascii="宋体" w:hAnsi="宋体" w:cs="宋体" w:hint="eastAsia"/>
          <w:color w:val="000000" w:themeColor="text1"/>
          <w:kern w:val="0"/>
          <w:szCs w:val="24"/>
          <w:lang w:bidi="ar"/>
        </w:rPr>
        <w:t>点管控单元（</w:t>
      </w:r>
      <w:r w:rsidRPr="00B12FE0">
        <w:rPr>
          <w:color w:val="000000" w:themeColor="text1"/>
          <w:kern w:val="0"/>
          <w:szCs w:val="24"/>
          <w:lang w:bidi="ar"/>
        </w:rPr>
        <w:t>ZH65900220020</w:t>
      </w:r>
      <w:r w:rsidRPr="00B12FE0">
        <w:rPr>
          <w:rFonts w:ascii="宋体" w:hAnsi="宋体" w:cs="宋体" w:hint="eastAsia"/>
          <w:color w:val="000000" w:themeColor="text1"/>
          <w:kern w:val="0"/>
          <w:szCs w:val="24"/>
          <w:lang w:bidi="ar"/>
        </w:rPr>
        <w:t>），属于重点管控单元，</w:t>
      </w:r>
      <w:r w:rsidRPr="00B12FE0">
        <w:rPr>
          <w:rFonts w:hint="eastAsia"/>
          <w:color w:val="000000" w:themeColor="text1"/>
        </w:rPr>
        <w:t>生态环境管控单元分类图见附图</w:t>
      </w:r>
      <w:r w:rsidRPr="00B12FE0">
        <w:rPr>
          <w:rFonts w:hint="eastAsia"/>
          <w:color w:val="000000" w:themeColor="text1"/>
        </w:rPr>
        <w:t>15</w:t>
      </w:r>
      <w:r w:rsidRPr="00B12FE0">
        <w:rPr>
          <w:rFonts w:hint="eastAsia"/>
          <w:color w:val="000000" w:themeColor="text1"/>
        </w:rPr>
        <w:t>，对应的新疆生产建设兵团第一师阿拉尔市生态环境准入清单符合性分析见下</w:t>
      </w:r>
      <w:r w:rsidRPr="00B12FE0">
        <w:rPr>
          <w:color w:val="000000" w:themeColor="text1"/>
        </w:rPr>
        <w:t>表。</w:t>
      </w:r>
    </w:p>
    <w:p w14:paraId="4FB20BAB" w14:textId="77777777" w:rsidR="00A67F21" w:rsidRPr="00B12FE0" w:rsidRDefault="00000000">
      <w:pPr>
        <w:adjustRightInd w:val="0"/>
        <w:snapToGrid w:val="0"/>
        <w:spacing w:line="360" w:lineRule="auto"/>
        <w:jc w:val="center"/>
        <w:rPr>
          <w:b/>
          <w:bCs/>
          <w:color w:val="000000" w:themeColor="text1"/>
          <w:sz w:val="21"/>
          <w:szCs w:val="21"/>
        </w:rPr>
      </w:pPr>
      <w:r w:rsidRPr="00B12FE0">
        <w:rPr>
          <w:b/>
          <w:bCs/>
          <w:color w:val="000000" w:themeColor="text1"/>
          <w:sz w:val="21"/>
          <w:szCs w:val="21"/>
        </w:rPr>
        <w:t>表</w:t>
      </w:r>
      <w:r w:rsidRPr="00B12FE0">
        <w:rPr>
          <w:b/>
          <w:bCs/>
          <w:color w:val="000000" w:themeColor="text1"/>
          <w:sz w:val="21"/>
          <w:szCs w:val="21"/>
        </w:rPr>
        <w:t>1.</w:t>
      </w:r>
      <w:r w:rsidRPr="00B12FE0">
        <w:rPr>
          <w:rFonts w:hint="eastAsia"/>
          <w:b/>
          <w:bCs/>
          <w:color w:val="000000" w:themeColor="text1"/>
          <w:sz w:val="21"/>
          <w:szCs w:val="21"/>
        </w:rPr>
        <w:t>7</w:t>
      </w:r>
      <w:r w:rsidRPr="00B12FE0">
        <w:rPr>
          <w:b/>
          <w:bCs/>
          <w:color w:val="000000" w:themeColor="text1"/>
          <w:sz w:val="21"/>
          <w:szCs w:val="21"/>
        </w:rPr>
        <w:t>-1</w:t>
      </w:r>
      <w:r w:rsidRPr="00B12FE0">
        <w:rPr>
          <w:rFonts w:hint="eastAsia"/>
          <w:b/>
          <w:bCs/>
          <w:color w:val="000000" w:themeColor="text1"/>
          <w:sz w:val="21"/>
          <w:szCs w:val="21"/>
        </w:rPr>
        <w:t xml:space="preserve">   </w:t>
      </w:r>
      <w:r w:rsidRPr="00B12FE0">
        <w:rPr>
          <w:rFonts w:hint="eastAsia"/>
          <w:b/>
          <w:bCs/>
          <w:color w:val="000000" w:themeColor="text1"/>
          <w:sz w:val="21"/>
          <w:szCs w:val="21"/>
        </w:rPr>
        <w:t>本项目与新疆生产建设兵团第一师阿拉尔市生态环境准入清单符合性分析表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924"/>
        <w:gridCol w:w="4118"/>
        <w:gridCol w:w="2253"/>
        <w:gridCol w:w="712"/>
      </w:tblGrid>
      <w:tr w:rsidR="00A67F21" w:rsidRPr="00B12FE0" w14:paraId="27398921" w14:textId="77777777">
        <w:trPr>
          <w:trHeight w:val="284"/>
          <w:tblHeader/>
        </w:trPr>
        <w:tc>
          <w:tcPr>
            <w:tcW w:w="557" w:type="pct"/>
            <w:tcBorders>
              <w:top w:val="single" w:sz="4" w:space="0" w:color="auto"/>
              <w:left w:val="single" w:sz="4" w:space="0" w:color="auto"/>
              <w:bottom w:val="single" w:sz="4" w:space="0" w:color="auto"/>
              <w:right w:val="single" w:sz="4" w:space="0" w:color="auto"/>
            </w:tcBorders>
            <w:vAlign w:val="center"/>
          </w:tcPr>
          <w:p w14:paraId="7C768C37"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管控单元名称及编码</w:t>
            </w:r>
          </w:p>
        </w:tc>
        <w:tc>
          <w:tcPr>
            <w:tcW w:w="2797" w:type="pct"/>
            <w:gridSpan w:val="2"/>
            <w:tcBorders>
              <w:top w:val="single" w:sz="4" w:space="0" w:color="auto"/>
              <w:left w:val="single" w:sz="4" w:space="0" w:color="auto"/>
              <w:bottom w:val="single" w:sz="4" w:space="0" w:color="auto"/>
              <w:right w:val="single" w:sz="4" w:space="0" w:color="auto"/>
            </w:tcBorders>
            <w:vAlign w:val="center"/>
          </w:tcPr>
          <w:p w14:paraId="6AEE05CD"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w:t>
            </w:r>
            <w:r w:rsidRPr="00B12FE0">
              <w:rPr>
                <w:rFonts w:cs="Times New Roman"/>
                <w:color w:val="000000" w:themeColor="text1"/>
                <w:szCs w:val="21"/>
              </w:rPr>
              <w:t>三线一单</w:t>
            </w:r>
            <w:r w:rsidRPr="00B12FE0">
              <w:rPr>
                <w:rFonts w:cs="Times New Roman"/>
                <w:color w:val="000000" w:themeColor="text1"/>
                <w:szCs w:val="21"/>
              </w:rPr>
              <w:t>”</w:t>
            </w:r>
            <w:r w:rsidRPr="00B12FE0">
              <w:rPr>
                <w:rFonts w:cs="Times New Roman"/>
                <w:color w:val="000000" w:themeColor="text1"/>
                <w:szCs w:val="21"/>
              </w:rPr>
              <w:t>生态环境准入清单要求</w:t>
            </w:r>
          </w:p>
        </w:tc>
        <w:tc>
          <w:tcPr>
            <w:tcW w:w="1250" w:type="pct"/>
            <w:tcBorders>
              <w:top w:val="single" w:sz="4" w:space="0" w:color="auto"/>
              <w:left w:val="single" w:sz="4" w:space="0" w:color="auto"/>
              <w:bottom w:val="single" w:sz="4" w:space="0" w:color="auto"/>
              <w:right w:val="single" w:sz="4" w:space="0" w:color="auto"/>
            </w:tcBorders>
            <w:vAlign w:val="center"/>
          </w:tcPr>
          <w:p w14:paraId="486171FF"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本项目情况</w:t>
            </w:r>
          </w:p>
        </w:tc>
        <w:tc>
          <w:tcPr>
            <w:tcW w:w="395" w:type="pct"/>
            <w:tcBorders>
              <w:top w:val="single" w:sz="4" w:space="0" w:color="auto"/>
              <w:left w:val="single" w:sz="4" w:space="0" w:color="auto"/>
              <w:bottom w:val="single" w:sz="4" w:space="0" w:color="auto"/>
              <w:right w:val="single" w:sz="4" w:space="0" w:color="auto"/>
            </w:tcBorders>
            <w:vAlign w:val="center"/>
          </w:tcPr>
          <w:p w14:paraId="5D5F2C76"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是否符合</w:t>
            </w:r>
          </w:p>
        </w:tc>
      </w:tr>
      <w:tr w:rsidR="00A67F21" w:rsidRPr="00B12FE0" w14:paraId="75B8C5B7" w14:textId="77777777">
        <w:trPr>
          <w:trHeight w:val="284"/>
        </w:trPr>
        <w:tc>
          <w:tcPr>
            <w:tcW w:w="557" w:type="pct"/>
            <w:vMerge w:val="restart"/>
            <w:tcBorders>
              <w:top w:val="single" w:sz="4" w:space="0" w:color="auto"/>
              <w:left w:val="single" w:sz="4" w:space="0" w:color="auto"/>
              <w:right w:val="single" w:sz="4" w:space="0" w:color="auto"/>
            </w:tcBorders>
            <w:vAlign w:val="center"/>
          </w:tcPr>
          <w:p w14:paraId="654E7DCB"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kern w:val="0"/>
                <w:szCs w:val="21"/>
                <w:lang w:bidi="ar"/>
              </w:rPr>
              <w:t>阿拉尔市</w:t>
            </w:r>
            <w:r w:rsidRPr="00B12FE0">
              <w:rPr>
                <w:rFonts w:cs="Times New Roman" w:hint="eastAsia"/>
                <w:color w:val="000000" w:themeColor="text1"/>
                <w:kern w:val="0"/>
                <w:szCs w:val="21"/>
                <w:lang w:bidi="ar"/>
              </w:rPr>
              <w:t>10</w:t>
            </w:r>
            <w:r w:rsidRPr="00B12FE0">
              <w:rPr>
                <w:rFonts w:cs="Times New Roman" w:hint="eastAsia"/>
                <w:color w:val="000000" w:themeColor="text1"/>
                <w:kern w:val="0"/>
                <w:szCs w:val="21"/>
                <w:lang w:bidi="ar"/>
              </w:rPr>
              <w:t>团</w:t>
            </w:r>
            <w:r w:rsidRPr="00B12FE0">
              <w:rPr>
                <w:rFonts w:cs="Times New Roman"/>
                <w:color w:val="000000" w:themeColor="text1"/>
                <w:kern w:val="0"/>
                <w:szCs w:val="21"/>
                <w:lang w:bidi="ar"/>
              </w:rPr>
              <w:t>重点管控单元（</w:t>
            </w:r>
            <w:r w:rsidRPr="00B12FE0">
              <w:rPr>
                <w:rFonts w:cs="Times New Roman"/>
                <w:color w:val="000000" w:themeColor="text1"/>
                <w:kern w:val="0"/>
                <w:szCs w:val="21"/>
                <w:lang w:bidi="ar"/>
              </w:rPr>
              <w:t>ZH</w:t>
            </w:r>
            <w:r w:rsidRPr="00B12FE0">
              <w:rPr>
                <w:rFonts w:cs="Times New Roman" w:hint="eastAsia"/>
                <w:color w:val="000000" w:themeColor="text1"/>
                <w:kern w:val="0"/>
                <w:szCs w:val="21"/>
                <w:lang w:bidi="ar"/>
              </w:rPr>
              <w:t>65900220020</w:t>
            </w:r>
            <w:r w:rsidRPr="00B12FE0">
              <w:rPr>
                <w:rFonts w:cs="Times New Roman"/>
                <w:color w:val="000000" w:themeColor="text1"/>
                <w:kern w:val="0"/>
                <w:szCs w:val="21"/>
                <w:lang w:bidi="ar"/>
              </w:rPr>
              <w:t>）</w:t>
            </w:r>
          </w:p>
        </w:tc>
        <w:tc>
          <w:tcPr>
            <w:tcW w:w="512" w:type="pct"/>
            <w:tcBorders>
              <w:top w:val="single" w:sz="4" w:space="0" w:color="auto"/>
              <w:left w:val="single" w:sz="4" w:space="0" w:color="auto"/>
              <w:bottom w:val="single" w:sz="4" w:space="0" w:color="auto"/>
              <w:right w:val="single" w:sz="4" w:space="0" w:color="auto"/>
            </w:tcBorders>
            <w:vAlign w:val="center"/>
          </w:tcPr>
          <w:p w14:paraId="0F3CC78A"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空间布局约束</w:t>
            </w:r>
          </w:p>
        </w:tc>
        <w:tc>
          <w:tcPr>
            <w:tcW w:w="2285" w:type="pct"/>
            <w:tcBorders>
              <w:top w:val="single" w:sz="4" w:space="0" w:color="auto"/>
              <w:left w:val="single" w:sz="4" w:space="0" w:color="auto"/>
              <w:bottom w:val="single" w:sz="4" w:space="0" w:color="auto"/>
              <w:right w:val="single" w:sz="4" w:space="0" w:color="auto"/>
            </w:tcBorders>
            <w:vAlign w:val="center"/>
          </w:tcPr>
          <w:p w14:paraId="29BFB71A" w14:textId="77777777" w:rsidR="00A67F21" w:rsidRPr="00B12FE0" w:rsidRDefault="00000000">
            <w:pPr>
              <w:widowControl/>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1</w:t>
            </w:r>
            <w:r w:rsidRPr="00B12FE0">
              <w:rPr>
                <w:rFonts w:hint="eastAsia"/>
                <w:color w:val="000000" w:themeColor="text1"/>
                <w:sz w:val="21"/>
                <w:szCs w:val="21"/>
              </w:rPr>
              <w:t>）执行水环境农业污染重点管控区相关</w:t>
            </w:r>
          </w:p>
          <w:p w14:paraId="3AE01C3D" w14:textId="77777777" w:rsidR="00A67F21" w:rsidRPr="00B12FE0" w:rsidRDefault="00000000">
            <w:pPr>
              <w:widowControl/>
              <w:rPr>
                <w:color w:val="000000" w:themeColor="text1"/>
                <w:sz w:val="21"/>
                <w:szCs w:val="21"/>
              </w:rPr>
            </w:pPr>
            <w:r w:rsidRPr="00B12FE0">
              <w:rPr>
                <w:rFonts w:hint="eastAsia"/>
                <w:color w:val="000000" w:themeColor="text1"/>
                <w:sz w:val="21"/>
                <w:szCs w:val="21"/>
              </w:rPr>
              <w:t>要求。（</w:t>
            </w:r>
            <w:r w:rsidRPr="00B12FE0">
              <w:rPr>
                <w:rFonts w:hint="eastAsia"/>
                <w:color w:val="000000" w:themeColor="text1"/>
                <w:sz w:val="21"/>
                <w:szCs w:val="21"/>
              </w:rPr>
              <w:t>2</w:t>
            </w:r>
            <w:r w:rsidRPr="00B12FE0">
              <w:rPr>
                <w:rFonts w:hint="eastAsia"/>
                <w:color w:val="000000" w:themeColor="text1"/>
                <w:sz w:val="21"/>
                <w:szCs w:val="21"/>
              </w:rPr>
              <w:t>）在建养殖场应严格执行生产与环保设施同时设计、同时施工、同时利用的环保制度，且必须拥有与养殖规模相匹配的农田消纳畜禽粪污，养殖场畜禽粪便应尽量就地消纳。（</w:t>
            </w:r>
            <w:r w:rsidRPr="00B12FE0">
              <w:rPr>
                <w:rFonts w:hint="eastAsia"/>
                <w:color w:val="000000" w:themeColor="text1"/>
                <w:sz w:val="21"/>
                <w:szCs w:val="21"/>
              </w:rPr>
              <w:t>3</w:t>
            </w:r>
            <w:r w:rsidRPr="00B12FE0">
              <w:rPr>
                <w:rFonts w:hint="eastAsia"/>
                <w:color w:val="000000" w:themeColor="text1"/>
                <w:sz w:val="21"/>
                <w:szCs w:val="21"/>
              </w:rPr>
              <w:t>）在城市规划区边界外</w:t>
            </w:r>
            <w:r w:rsidRPr="00B12FE0">
              <w:rPr>
                <w:rFonts w:hint="eastAsia"/>
                <w:color w:val="000000" w:themeColor="text1"/>
                <w:sz w:val="21"/>
                <w:szCs w:val="21"/>
              </w:rPr>
              <w:t xml:space="preserve"> 2 </w:t>
            </w:r>
            <w:r w:rsidRPr="00B12FE0">
              <w:rPr>
                <w:rFonts w:hint="eastAsia"/>
                <w:color w:val="000000" w:themeColor="text1"/>
                <w:sz w:val="21"/>
                <w:szCs w:val="21"/>
              </w:rPr>
              <w:t>千米以内，主要河流两岸周边</w:t>
            </w:r>
            <w:r w:rsidRPr="00B12FE0">
              <w:rPr>
                <w:rFonts w:hint="eastAsia"/>
                <w:color w:val="000000" w:themeColor="text1"/>
                <w:sz w:val="21"/>
                <w:szCs w:val="21"/>
              </w:rPr>
              <w:t>1</w:t>
            </w:r>
            <w:r w:rsidRPr="00B12FE0">
              <w:rPr>
                <w:rFonts w:hint="eastAsia"/>
                <w:color w:val="000000" w:themeColor="text1"/>
                <w:sz w:val="21"/>
                <w:szCs w:val="21"/>
              </w:rPr>
              <w:t>千米以内禁止建设焦化项目，已在上述区域内</w:t>
            </w:r>
            <w:r w:rsidRPr="00B12FE0">
              <w:rPr>
                <w:rFonts w:hint="eastAsia"/>
                <w:color w:val="000000" w:themeColor="text1"/>
                <w:sz w:val="21"/>
                <w:szCs w:val="21"/>
              </w:rPr>
              <w:lastRenderedPageBreak/>
              <w:t>投产运营的焦化企业，在一定期限内，通过“搬迁、转产”等方式逐步退出；主要河流两岸周边</w:t>
            </w:r>
            <w:r w:rsidRPr="00B12FE0">
              <w:rPr>
                <w:rFonts w:hint="eastAsia"/>
                <w:color w:val="000000" w:themeColor="text1"/>
                <w:sz w:val="21"/>
                <w:szCs w:val="21"/>
              </w:rPr>
              <w:t xml:space="preserve"> 1 </w:t>
            </w:r>
            <w:r w:rsidRPr="00B12FE0">
              <w:rPr>
                <w:rFonts w:hint="eastAsia"/>
                <w:color w:val="000000" w:themeColor="text1"/>
                <w:sz w:val="21"/>
                <w:szCs w:val="21"/>
              </w:rPr>
              <w:t>千米以内及大气污染防治重点控制区内，不得新增电石生产装置、电石法聚氯乙烯和烧碱生产装置。</w:t>
            </w:r>
          </w:p>
        </w:tc>
        <w:tc>
          <w:tcPr>
            <w:tcW w:w="1250" w:type="pct"/>
            <w:tcBorders>
              <w:top w:val="single" w:sz="4" w:space="0" w:color="auto"/>
              <w:left w:val="single" w:sz="4" w:space="0" w:color="auto"/>
              <w:bottom w:val="single" w:sz="4" w:space="0" w:color="auto"/>
              <w:right w:val="single" w:sz="4" w:space="0" w:color="auto"/>
            </w:tcBorders>
            <w:vAlign w:val="center"/>
          </w:tcPr>
          <w:p w14:paraId="42A8280D" w14:textId="77777777" w:rsidR="00A67F21" w:rsidRPr="00B12FE0" w:rsidRDefault="00000000">
            <w:pPr>
              <w:pStyle w:val="affffff8"/>
              <w:tabs>
                <w:tab w:val="right" w:leader="dot" w:pos="9061"/>
              </w:tabs>
              <w:jc w:val="both"/>
              <w:rPr>
                <w:rFonts w:cs="Times New Roman"/>
                <w:color w:val="000000" w:themeColor="text1"/>
                <w:szCs w:val="21"/>
              </w:rPr>
            </w:pPr>
            <w:r w:rsidRPr="00B12FE0">
              <w:rPr>
                <w:rFonts w:cs="Times New Roman"/>
                <w:color w:val="000000" w:themeColor="text1"/>
                <w:szCs w:val="21"/>
              </w:rPr>
              <w:lastRenderedPageBreak/>
              <w:t>本项目为医院核技术利用项目，不属于工业项目，不涉及畜禽养殖。</w:t>
            </w:r>
          </w:p>
        </w:tc>
        <w:tc>
          <w:tcPr>
            <w:tcW w:w="395" w:type="pct"/>
            <w:tcBorders>
              <w:top w:val="single" w:sz="4" w:space="0" w:color="auto"/>
              <w:left w:val="single" w:sz="4" w:space="0" w:color="auto"/>
              <w:bottom w:val="single" w:sz="4" w:space="0" w:color="auto"/>
              <w:right w:val="single" w:sz="4" w:space="0" w:color="auto"/>
            </w:tcBorders>
            <w:vAlign w:val="center"/>
          </w:tcPr>
          <w:p w14:paraId="48155709"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是</w:t>
            </w:r>
          </w:p>
        </w:tc>
      </w:tr>
      <w:tr w:rsidR="00A67F21" w:rsidRPr="00B12FE0" w14:paraId="6B0F866B" w14:textId="77777777">
        <w:trPr>
          <w:trHeight w:val="284"/>
        </w:trPr>
        <w:tc>
          <w:tcPr>
            <w:tcW w:w="557" w:type="pct"/>
            <w:vMerge/>
            <w:tcBorders>
              <w:left w:val="single" w:sz="4" w:space="0" w:color="auto"/>
              <w:right w:val="single" w:sz="4" w:space="0" w:color="auto"/>
            </w:tcBorders>
            <w:vAlign w:val="center"/>
          </w:tcPr>
          <w:p w14:paraId="4C85E854" w14:textId="77777777" w:rsidR="00A67F21" w:rsidRPr="00B12FE0" w:rsidRDefault="00A67F21">
            <w:pPr>
              <w:pStyle w:val="affffff8"/>
              <w:tabs>
                <w:tab w:val="right" w:leader="dot" w:pos="9061"/>
              </w:tabs>
              <w:rPr>
                <w:rFonts w:cs="Times New Roman"/>
                <w:color w:val="000000" w:themeColor="text1"/>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482EB941" w14:textId="77777777" w:rsidR="00A67F21" w:rsidRPr="00B12FE0" w:rsidRDefault="00000000">
            <w:pPr>
              <w:pStyle w:val="affffff8"/>
              <w:tabs>
                <w:tab w:val="right" w:leader="dot" w:pos="9061"/>
              </w:tabs>
              <w:jc w:val="both"/>
              <w:rPr>
                <w:rFonts w:cs="Times New Roman"/>
                <w:color w:val="000000" w:themeColor="text1"/>
                <w:szCs w:val="21"/>
              </w:rPr>
            </w:pPr>
            <w:r w:rsidRPr="00B12FE0">
              <w:rPr>
                <w:rFonts w:cs="Times New Roman"/>
                <w:color w:val="000000" w:themeColor="text1"/>
                <w:szCs w:val="21"/>
              </w:rPr>
              <w:t>污染物排放管控</w:t>
            </w:r>
          </w:p>
        </w:tc>
        <w:tc>
          <w:tcPr>
            <w:tcW w:w="2285" w:type="pct"/>
            <w:tcBorders>
              <w:top w:val="single" w:sz="4" w:space="0" w:color="auto"/>
              <w:left w:val="single" w:sz="4" w:space="0" w:color="auto"/>
              <w:bottom w:val="single" w:sz="4" w:space="0" w:color="auto"/>
              <w:right w:val="single" w:sz="4" w:space="0" w:color="auto"/>
            </w:tcBorders>
            <w:vAlign w:val="center"/>
          </w:tcPr>
          <w:p w14:paraId="4385CB2E" w14:textId="77777777" w:rsidR="00A67F21" w:rsidRPr="00B12FE0" w:rsidRDefault="00000000">
            <w:pPr>
              <w:pStyle w:val="affffff8"/>
              <w:tabs>
                <w:tab w:val="right" w:leader="dot" w:pos="9061"/>
              </w:tabs>
              <w:jc w:val="left"/>
              <w:rPr>
                <w:rFonts w:cs="Times New Roman"/>
                <w:color w:val="000000" w:themeColor="text1"/>
                <w:szCs w:val="21"/>
              </w:rPr>
            </w:pPr>
            <w:r w:rsidRPr="00B12FE0">
              <w:rPr>
                <w:rFonts w:cs="Times New Roman" w:hint="eastAsia"/>
                <w:color w:val="000000" w:themeColor="text1"/>
                <w:szCs w:val="21"/>
              </w:rPr>
              <w:t>（</w:t>
            </w:r>
            <w:r w:rsidRPr="00B12FE0">
              <w:rPr>
                <w:rFonts w:cs="Times New Roman" w:hint="eastAsia"/>
                <w:color w:val="000000" w:themeColor="text1"/>
                <w:szCs w:val="21"/>
              </w:rPr>
              <w:t>1</w:t>
            </w:r>
            <w:r w:rsidRPr="00B12FE0">
              <w:rPr>
                <w:rFonts w:cs="Times New Roman" w:hint="eastAsia"/>
                <w:color w:val="000000" w:themeColor="text1"/>
                <w:szCs w:val="21"/>
              </w:rPr>
              <w:t>）严格控制农药使用，逐步削减农业面源污染物排放量。（</w:t>
            </w:r>
            <w:r w:rsidRPr="00B12FE0">
              <w:rPr>
                <w:rFonts w:cs="Times New Roman" w:hint="eastAsia"/>
                <w:color w:val="000000" w:themeColor="text1"/>
                <w:szCs w:val="21"/>
              </w:rPr>
              <w:t>2</w:t>
            </w:r>
            <w:r w:rsidRPr="00B12FE0">
              <w:rPr>
                <w:rFonts w:cs="Times New Roman" w:hint="eastAsia"/>
                <w:color w:val="000000" w:themeColor="text1"/>
                <w:szCs w:val="21"/>
              </w:rPr>
              <w:t>）推动秸秆还田与离田收集，禁止焚烧秸秆。离县城和乡镇较远的村庄，生活垃圾可就近采取无害化处置。（</w:t>
            </w:r>
            <w:r w:rsidRPr="00B12FE0">
              <w:rPr>
                <w:rFonts w:cs="Times New Roman" w:hint="eastAsia"/>
                <w:color w:val="000000" w:themeColor="text1"/>
                <w:szCs w:val="21"/>
              </w:rPr>
              <w:t>3</w:t>
            </w:r>
            <w:r w:rsidRPr="00B12FE0">
              <w:rPr>
                <w:rFonts w:cs="Times New Roman" w:hint="eastAsia"/>
                <w:color w:val="000000" w:themeColor="text1"/>
                <w:szCs w:val="21"/>
              </w:rPr>
              <w:t>）新建畜禽规模养殖场、养殖小区按要求进行环境影响评价，畜禽养殖</w:t>
            </w:r>
            <w:r w:rsidRPr="00B12FE0">
              <w:rPr>
                <w:rFonts w:cs="Times New Roman" w:hint="eastAsia"/>
                <w:color w:val="000000" w:themeColor="text1"/>
                <w:szCs w:val="21"/>
              </w:rPr>
              <w:t xml:space="preserve"> COD </w:t>
            </w:r>
            <w:r w:rsidRPr="00B12FE0">
              <w:rPr>
                <w:rFonts w:cs="Times New Roman" w:hint="eastAsia"/>
                <w:color w:val="000000" w:themeColor="text1"/>
                <w:szCs w:val="21"/>
              </w:rPr>
              <w:t>和氨氮等主要污染物排放量符合环保污染物减排总量控制要求。改善养殖场通风环境。建立病死畜禽无害化处理机制，覆盖饲养、屠宰、经营、运输等各环节。畜禽养殖场通过将水冲清粪或人工干清粪改为漏缝地板</w:t>
            </w:r>
            <w:proofErr w:type="gramStart"/>
            <w:r w:rsidRPr="00B12FE0">
              <w:rPr>
                <w:rFonts w:cs="Times New Roman" w:hint="eastAsia"/>
                <w:color w:val="000000" w:themeColor="text1"/>
                <w:szCs w:val="21"/>
              </w:rPr>
              <w:t>下刮粪板</w:t>
            </w:r>
            <w:proofErr w:type="gramEnd"/>
            <w:r w:rsidRPr="00B12FE0">
              <w:rPr>
                <w:rFonts w:cs="Times New Roman" w:hint="eastAsia"/>
                <w:color w:val="000000" w:themeColor="text1"/>
                <w:szCs w:val="21"/>
              </w:rPr>
              <w:t>清粪、将无限用水改为控制用水、将明沟排污改为暗道排污，采取固液分离，将畜禽粪便经高温堆肥后生产有机肥，养殖污水经过氧化塘等处理后浇灌农田等措施。提高现有沼气工程利用率。（</w:t>
            </w:r>
            <w:r w:rsidRPr="00B12FE0">
              <w:rPr>
                <w:rFonts w:cs="Times New Roman" w:hint="eastAsia"/>
                <w:color w:val="000000" w:themeColor="text1"/>
                <w:szCs w:val="21"/>
              </w:rPr>
              <w:t>4</w:t>
            </w:r>
            <w:r w:rsidRPr="00B12FE0">
              <w:rPr>
                <w:rFonts w:cs="Times New Roman" w:hint="eastAsia"/>
                <w:color w:val="000000" w:themeColor="text1"/>
                <w:szCs w:val="21"/>
              </w:rPr>
              <w:t>）对排入河道和排渠的现有生活污水排放</w:t>
            </w:r>
            <w:proofErr w:type="gramStart"/>
            <w:r w:rsidRPr="00B12FE0">
              <w:rPr>
                <w:rFonts w:cs="Times New Roman" w:hint="eastAsia"/>
                <w:color w:val="000000" w:themeColor="text1"/>
                <w:szCs w:val="21"/>
              </w:rPr>
              <w:t>口实施</w:t>
            </w:r>
            <w:proofErr w:type="gramEnd"/>
            <w:r w:rsidRPr="00B12FE0">
              <w:rPr>
                <w:rFonts w:cs="Times New Roman" w:hint="eastAsia"/>
                <w:color w:val="000000" w:themeColor="text1"/>
                <w:szCs w:val="21"/>
              </w:rPr>
              <w:t>拆除，禁止生活污水直接排入河道或排渠（包括输水渠道）。</w:t>
            </w:r>
          </w:p>
        </w:tc>
        <w:tc>
          <w:tcPr>
            <w:tcW w:w="1250" w:type="pct"/>
            <w:tcBorders>
              <w:top w:val="single" w:sz="4" w:space="0" w:color="auto"/>
              <w:left w:val="single" w:sz="4" w:space="0" w:color="auto"/>
              <w:bottom w:val="single" w:sz="4" w:space="0" w:color="auto"/>
              <w:right w:val="single" w:sz="4" w:space="0" w:color="auto"/>
            </w:tcBorders>
            <w:vAlign w:val="center"/>
          </w:tcPr>
          <w:p w14:paraId="7ED07202" w14:textId="77777777" w:rsidR="00A67F21" w:rsidRPr="00B12FE0" w:rsidRDefault="00000000">
            <w:pPr>
              <w:pStyle w:val="affffff8"/>
              <w:tabs>
                <w:tab w:val="right" w:leader="dot" w:pos="9061"/>
              </w:tabs>
              <w:jc w:val="both"/>
              <w:rPr>
                <w:rFonts w:cs="Times New Roman"/>
                <w:color w:val="000000" w:themeColor="text1"/>
                <w:szCs w:val="21"/>
              </w:rPr>
            </w:pPr>
            <w:r w:rsidRPr="00B12FE0">
              <w:rPr>
                <w:rFonts w:cs="Times New Roman"/>
                <w:color w:val="000000" w:themeColor="text1"/>
                <w:szCs w:val="21"/>
              </w:rPr>
              <w:t>本项目为医院核技术利用项目，不涉及</w:t>
            </w:r>
            <w:r w:rsidRPr="00B12FE0">
              <w:rPr>
                <w:rFonts w:cs="Times New Roman" w:hint="eastAsia"/>
                <w:color w:val="000000" w:themeColor="text1"/>
                <w:szCs w:val="21"/>
              </w:rPr>
              <w:t>农药使用、焚烧秸秆、</w:t>
            </w:r>
            <w:r w:rsidRPr="00B12FE0">
              <w:rPr>
                <w:rFonts w:cs="Times New Roman"/>
                <w:color w:val="000000" w:themeColor="text1"/>
                <w:szCs w:val="21"/>
              </w:rPr>
              <w:t>畜禽养殖。</w:t>
            </w:r>
            <w:r w:rsidRPr="00B12FE0">
              <w:rPr>
                <w:rFonts w:cs="Times New Roman"/>
                <w:color w:val="000000" w:themeColor="text1"/>
                <w:kern w:val="0"/>
                <w:szCs w:val="21"/>
              </w:rPr>
              <w:t>本项目运营过程中产生的</w:t>
            </w:r>
            <w:r w:rsidRPr="00B12FE0">
              <w:rPr>
                <w:rFonts w:cs="Times New Roman"/>
                <w:color w:val="000000" w:themeColor="text1"/>
                <w:szCs w:val="21"/>
              </w:rPr>
              <w:t>电离辐射、放射性固废、废气和废水</w:t>
            </w:r>
            <w:r w:rsidRPr="00B12FE0">
              <w:rPr>
                <w:rFonts w:cs="Times New Roman"/>
                <w:color w:val="000000" w:themeColor="text1"/>
                <w:kern w:val="0"/>
                <w:szCs w:val="21"/>
              </w:rPr>
              <w:t>经采取一定的辐射防护和治理措施后，可以做到达标排放</w:t>
            </w:r>
            <w:r w:rsidRPr="00B12FE0">
              <w:rPr>
                <w:rFonts w:cs="Times New Roman"/>
                <w:color w:val="000000" w:themeColor="text1"/>
                <w:szCs w:val="21"/>
              </w:rPr>
              <w:t>，符合污染物排放管控要求。</w:t>
            </w:r>
            <w:r w:rsidRPr="00B12FE0">
              <w:rPr>
                <w:rFonts w:cs="Times New Roman" w:hint="eastAsia"/>
                <w:color w:val="000000" w:themeColor="text1"/>
                <w:szCs w:val="21"/>
              </w:rPr>
              <w:t>生活污水经院内化粪池处理后排放。</w:t>
            </w:r>
          </w:p>
        </w:tc>
        <w:tc>
          <w:tcPr>
            <w:tcW w:w="395" w:type="pct"/>
            <w:tcBorders>
              <w:top w:val="single" w:sz="4" w:space="0" w:color="auto"/>
              <w:left w:val="single" w:sz="4" w:space="0" w:color="auto"/>
              <w:bottom w:val="single" w:sz="4" w:space="0" w:color="auto"/>
              <w:right w:val="single" w:sz="4" w:space="0" w:color="auto"/>
            </w:tcBorders>
            <w:vAlign w:val="center"/>
          </w:tcPr>
          <w:p w14:paraId="1DB2AFD0"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是</w:t>
            </w:r>
          </w:p>
        </w:tc>
      </w:tr>
      <w:tr w:rsidR="00A67F21" w:rsidRPr="00B12FE0" w14:paraId="378003D8" w14:textId="77777777">
        <w:trPr>
          <w:trHeight w:val="284"/>
        </w:trPr>
        <w:tc>
          <w:tcPr>
            <w:tcW w:w="557" w:type="pct"/>
            <w:vMerge/>
            <w:tcBorders>
              <w:left w:val="single" w:sz="4" w:space="0" w:color="auto"/>
              <w:right w:val="single" w:sz="4" w:space="0" w:color="auto"/>
            </w:tcBorders>
            <w:vAlign w:val="center"/>
          </w:tcPr>
          <w:p w14:paraId="4DA49821" w14:textId="77777777" w:rsidR="00A67F21" w:rsidRPr="00B12FE0" w:rsidRDefault="00A67F21">
            <w:pPr>
              <w:pStyle w:val="affffff8"/>
              <w:tabs>
                <w:tab w:val="right" w:leader="dot" w:pos="9061"/>
              </w:tabs>
              <w:rPr>
                <w:rFonts w:cs="Times New Roman"/>
                <w:color w:val="000000" w:themeColor="text1"/>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3E6CFB23"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环境风险防控</w:t>
            </w:r>
          </w:p>
        </w:tc>
        <w:tc>
          <w:tcPr>
            <w:tcW w:w="2285" w:type="pct"/>
            <w:tcBorders>
              <w:top w:val="single" w:sz="4" w:space="0" w:color="auto"/>
              <w:left w:val="single" w:sz="4" w:space="0" w:color="auto"/>
              <w:bottom w:val="single" w:sz="4" w:space="0" w:color="auto"/>
              <w:right w:val="single" w:sz="4" w:space="0" w:color="auto"/>
            </w:tcBorders>
            <w:vAlign w:val="center"/>
          </w:tcPr>
          <w:p w14:paraId="75EB3CB0" w14:textId="77777777" w:rsidR="00A67F21" w:rsidRPr="00B12FE0" w:rsidRDefault="00000000">
            <w:pPr>
              <w:widowControl/>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1</w:t>
            </w:r>
            <w:r w:rsidRPr="00B12FE0">
              <w:rPr>
                <w:rFonts w:hint="eastAsia"/>
                <w:color w:val="000000" w:themeColor="text1"/>
                <w:sz w:val="21"/>
                <w:szCs w:val="21"/>
              </w:rPr>
              <w:t>）对威胁地下水、饮用水水源安全的耕地，制定环境风险管控方案，并落实有关措施。将严格管</w:t>
            </w:r>
            <w:proofErr w:type="gramStart"/>
            <w:r w:rsidRPr="00B12FE0">
              <w:rPr>
                <w:rFonts w:hint="eastAsia"/>
                <w:color w:val="000000" w:themeColor="text1"/>
                <w:sz w:val="21"/>
                <w:szCs w:val="21"/>
              </w:rPr>
              <w:t>控类耕地</w:t>
            </w:r>
            <w:proofErr w:type="gramEnd"/>
            <w:r w:rsidRPr="00B12FE0">
              <w:rPr>
                <w:rFonts w:hint="eastAsia"/>
                <w:color w:val="000000" w:themeColor="text1"/>
                <w:sz w:val="21"/>
                <w:szCs w:val="21"/>
              </w:rPr>
              <w:t>纳入国家新一轮退耕还林还草实施范围，制定实施重度污染耕地种植结构调整或退耕还林还草计划。优先将重度污染的牧草地集中区域纳入禁牧休牧实施范围。加强对重</w:t>
            </w:r>
            <w:proofErr w:type="gramStart"/>
            <w:r w:rsidRPr="00B12FE0">
              <w:rPr>
                <w:rFonts w:hint="eastAsia"/>
                <w:color w:val="000000" w:themeColor="text1"/>
                <w:sz w:val="21"/>
                <w:szCs w:val="21"/>
              </w:rPr>
              <w:t>度污染</w:t>
            </w:r>
            <w:proofErr w:type="gramEnd"/>
            <w:r w:rsidRPr="00B12FE0">
              <w:rPr>
                <w:rFonts w:hint="eastAsia"/>
                <w:color w:val="000000" w:themeColor="text1"/>
                <w:sz w:val="21"/>
                <w:szCs w:val="21"/>
              </w:rPr>
              <w:t>林地、园地产出食用农（林）产品质量检测，发现超标的，要采取种植结构调整等措施。（</w:t>
            </w:r>
            <w:r w:rsidRPr="00B12FE0">
              <w:rPr>
                <w:rFonts w:hint="eastAsia"/>
                <w:color w:val="000000" w:themeColor="text1"/>
                <w:sz w:val="21"/>
                <w:szCs w:val="21"/>
              </w:rPr>
              <w:t>2</w:t>
            </w:r>
            <w:r w:rsidRPr="00B12FE0">
              <w:rPr>
                <w:rFonts w:hint="eastAsia"/>
                <w:color w:val="000000" w:themeColor="text1"/>
                <w:sz w:val="21"/>
                <w:szCs w:val="21"/>
              </w:rPr>
              <w:t>）建立健全饮用水安全预警制度，对饮用水源中的优先污染物实施跟踪监测和重点控制，确保城镇居民饮水安全。</w:t>
            </w:r>
          </w:p>
        </w:tc>
        <w:tc>
          <w:tcPr>
            <w:tcW w:w="1250" w:type="pct"/>
            <w:tcBorders>
              <w:top w:val="single" w:sz="4" w:space="0" w:color="auto"/>
              <w:left w:val="single" w:sz="4" w:space="0" w:color="auto"/>
              <w:bottom w:val="single" w:sz="4" w:space="0" w:color="auto"/>
              <w:right w:val="single" w:sz="4" w:space="0" w:color="auto"/>
            </w:tcBorders>
            <w:vAlign w:val="center"/>
          </w:tcPr>
          <w:p w14:paraId="5C841702" w14:textId="77777777" w:rsidR="00A67F21" w:rsidRPr="00B12FE0" w:rsidRDefault="00000000">
            <w:pPr>
              <w:rPr>
                <w:color w:val="000000" w:themeColor="text1"/>
                <w:sz w:val="21"/>
                <w:szCs w:val="21"/>
              </w:rPr>
            </w:pPr>
            <w:r w:rsidRPr="00B12FE0">
              <w:rPr>
                <w:color w:val="000000" w:themeColor="text1"/>
                <w:sz w:val="21"/>
                <w:szCs w:val="21"/>
              </w:rPr>
              <w:t>本项目为</w:t>
            </w:r>
            <w:r w:rsidRPr="00B12FE0">
              <w:rPr>
                <w:rFonts w:hint="eastAsia"/>
                <w:color w:val="000000" w:themeColor="text1"/>
                <w:sz w:val="21"/>
                <w:szCs w:val="21"/>
              </w:rPr>
              <w:t>医院核技术利用项目</w:t>
            </w:r>
            <w:r w:rsidRPr="00B12FE0">
              <w:rPr>
                <w:color w:val="000000" w:themeColor="text1"/>
                <w:sz w:val="21"/>
                <w:szCs w:val="21"/>
              </w:rPr>
              <w:t>，</w:t>
            </w:r>
            <w:r w:rsidRPr="00B12FE0">
              <w:rPr>
                <w:rFonts w:hint="eastAsia"/>
                <w:color w:val="000000" w:themeColor="text1"/>
                <w:sz w:val="21"/>
                <w:szCs w:val="21"/>
              </w:rPr>
              <w:t>不涉及耕地污染</w:t>
            </w:r>
            <w:r w:rsidRPr="00B12FE0">
              <w:rPr>
                <w:color w:val="000000" w:themeColor="text1"/>
                <w:sz w:val="21"/>
                <w:szCs w:val="21"/>
              </w:rPr>
              <w:t>。</w:t>
            </w:r>
          </w:p>
        </w:tc>
        <w:tc>
          <w:tcPr>
            <w:tcW w:w="395" w:type="pct"/>
            <w:tcBorders>
              <w:top w:val="single" w:sz="4" w:space="0" w:color="auto"/>
              <w:left w:val="single" w:sz="4" w:space="0" w:color="auto"/>
              <w:bottom w:val="single" w:sz="4" w:space="0" w:color="auto"/>
              <w:right w:val="single" w:sz="4" w:space="0" w:color="auto"/>
            </w:tcBorders>
            <w:vAlign w:val="center"/>
          </w:tcPr>
          <w:p w14:paraId="5273974B"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是</w:t>
            </w:r>
          </w:p>
        </w:tc>
      </w:tr>
      <w:tr w:rsidR="00A67F21" w:rsidRPr="00B12FE0" w14:paraId="4F1CC93E" w14:textId="77777777">
        <w:trPr>
          <w:trHeight w:val="284"/>
        </w:trPr>
        <w:tc>
          <w:tcPr>
            <w:tcW w:w="557" w:type="pct"/>
            <w:vMerge/>
            <w:tcBorders>
              <w:left w:val="single" w:sz="4" w:space="0" w:color="auto"/>
              <w:bottom w:val="single" w:sz="4" w:space="0" w:color="auto"/>
              <w:right w:val="single" w:sz="4" w:space="0" w:color="auto"/>
            </w:tcBorders>
            <w:vAlign w:val="center"/>
          </w:tcPr>
          <w:p w14:paraId="45204904" w14:textId="77777777" w:rsidR="00A67F21" w:rsidRPr="00B12FE0" w:rsidRDefault="00A67F21">
            <w:pPr>
              <w:pStyle w:val="affffff8"/>
              <w:tabs>
                <w:tab w:val="right" w:leader="dot" w:pos="9061"/>
              </w:tabs>
              <w:rPr>
                <w:rFonts w:cs="Times New Roman"/>
                <w:color w:val="000000" w:themeColor="text1"/>
                <w:szCs w:val="21"/>
              </w:rPr>
            </w:pPr>
          </w:p>
        </w:tc>
        <w:tc>
          <w:tcPr>
            <w:tcW w:w="512" w:type="pct"/>
            <w:tcBorders>
              <w:top w:val="single" w:sz="4" w:space="0" w:color="auto"/>
              <w:left w:val="single" w:sz="4" w:space="0" w:color="auto"/>
              <w:bottom w:val="single" w:sz="4" w:space="0" w:color="auto"/>
              <w:right w:val="single" w:sz="4" w:space="0" w:color="auto"/>
            </w:tcBorders>
            <w:vAlign w:val="center"/>
          </w:tcPr>
          <w:p w14:paraId="029DE63D"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资源开发效率要求</w:t>
            </w:r>
          </w:p>
        </w:tc>
        <w:tc>
          <w:tcPr>
            <w:tcW w:w="2285" w:type="pct"/>
            <w:tcBorders>
              <w:top w:val="single" w:sz="4" w:space="0" w:color="auto"/>
              <w:left w:val="single" w:sz="4" w:space="0" w:color="auto"/>
              <w:bottom w:val="single" w:sz="4" w:space="0" w:color="auto"/>
              <w:right w:val="single" w:sz="4" w:space="0" w:color="auto"/>
            </w:tcBorders>
            <w:vAlign w:val="center"/>
          </w:tcPr>
          <w:p w14:paraId="7E966615" w14:textId="77777777" w:rsidR="00A67F21" w:rsidRPr="00B12FE0" w:rsidRDefault="00000000">
            <w:pPr>
              <w:widowControl/>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1</w:t>
            </w:r>
            <w:r w:rsidRPr="00B12FE0">
              <w:rPr>
                <w:rFonts w:hint="eastAsia"/>
                <w:color w:val="000000" w:themeColor="text1"/>
                <w:sz w:val="21"/>
                <w:szCs w:val="21"/>
              </w:rPr>
              <w:t>）加大土地整理、复垦力度，改造中低田，治理土壤次生盐渍化。严禁随意开发尚不具备开发条件的农业后备资源，加强保护和规划。（</w:t>
            </w:r>
            <w:r w:rsidRPr="00B12FE0">
              <w:rPr>
                <w:rFonts w:hint="eastAsia"/>
                <w:color w:val="000000" w:themeColor="text1"/>
                <w:sz w:val="21"/>
                <w:szCs w:val="21"/>
              </w:rPr>
              <w:t>2</w:t>
            </w:r>
            <w:r w:rsidRPr="00B12FE0">
              <w:rPr>
                <w:rFonts w:hint="eastAsia"/>
                <w:color w:val="000000" w:themeColor="text1"/>
                <w:sz w:val="21"/>
                <w:szCs w:val="21"/>
              </w:rPr>
              <w:t>）推进规模化高效节水灌溉，推广农作物节水抗旱技术。</w:t>
            </w:r>
            <w:proofErr w:type="gramStart"/>
            <w:r w:rsidRPr="00B12FE0">
              <w:rPr>
                <w:rFonts w:hint="eastAsia"/>
                <w:color w:val="000000" w:themeColor="text1"/>
                <w:sz w:val="21"/>
                <w:szCs w:val="21"/>
              </w:rPr>
              <w:t>发展以喷滴灌</w:t>
            </w:r>
            <w:proofErr w:type="gramEnd"/>
            <w:r w:rsidRPr="00B12FE0">
              <w:rPr>
                <w:rFonts w:hint="eastAsia"/>
                <w:color w:val="000000" w:themeColor="text1"/>
                <w:sz w:val="21"/>
                <w:szCs w:val="21"/>
              </w:rPr>
              <w:t>和渠道防渗为中心的节水农业。</w:t>
            </w:r>
          </w:p>
        </w:tc>
        <w:tc>
          <w:tcPr>
            <w:tcW w:w="1250" w:type="pct"/>
            <w:tcBorders>
              <w:top w:val="single" w:sz="4" w:space="0" w:color="auto"/>
              <w:left w:val="single" w:sz="4" w:space="0" w:color="auto"/>
              <w:bottom w:val="single" w:sz="4" w:space="0" w:color="auto"/>
              <w:right w:val="single" w:sz="4" w:space="0" w:color="auto"/>
            </w:tcBorders>
            <w:vAlign w:val="center"/>
          </w:tcPr>
          <w:p w14:paraId="6AD72F1C" w14:textId="77777777" w:rsidR="00A67F21" w:rsidRPr="00B12FE0" w:rsidRDefault="00000000">
            <w:pPr>
              <w:pStyle w:val="affffff8"/>
              <w:tabs>
                <w:tab w:val="right" w:leader="dot" w:pos="9061"/>
              </w:tabs>
              <w:jc w:val="both"/>
              <w:rPr>
                <w:rFonts w:cs="Times New Roman"/>
                <w:color w:val="000000" w:themeColor="text1"/>
                <w:szCs w:val="21"/>
              </w:rPr>
            </w:pPr>
            <w:r w:rsidRPr="00B12FE0">
              <w:rPr>
                <w:rFonts w:cs="Times New Roman"/>
                <w:color w:val="000000" w:themeColor="text1"/>
                <w:szCs w:val="21"/>
              </w:rPr>
              <w:t>本项目为医院核技术利用项目，不属于</w:t>
            </w:r>
            <w:r w:rsidRPr="00B12FE0">
              <w:rPr>
                <w:rFonts w:cs="Times New Roman" w:hint="eastAsia"/>
                <w:color w:val="000000" w:themeColor="text1"/>
                <w:szCs w:val="21"/>
              </w:rPr>
              <w:t>节水灌溉工程</w:t>
            </w:r>
            <w:r w:rsidRPr="00B12FE0">
              <w:rPr>
                <w:rFonts w:cs="Times New Roman"/>
                <w:color w:val="000000" w:themeColor="text1"/>
                <w:szCs w:val="21"/>
              </w:rPr>
              <w:t>。</w:t>
            </w:r>
          </w:p>
        </w:tc>
        <w:tc>
          <w:tcPr>
            <w:tcW w:w="395" w:type="pct"/>
            <w:tcBorders>
              <w:top w:val="single" w:sz="4" w:space="0" w:color="auto"/>
              <w:left w:val="single" w:sz="4" w:space="0" w:color="auto"/>
              <w:bottom w:val="single" w:sz="4" w:space="0" w:color="auto"/>
              <w:right w:val="single" w:sz="4" w:space="0" w:color="auto"/>
            </w:tcBorders>
            <w:vAlign w:val="center"/>
          </w:tcPr>
          <w:p w14:paraId="5C374346" w14:textId="77777777" w:rsidR="00A67F21" w:rsidRPr="00B12FE0" w:rsidRDefault="00000000">
            <w:pPr>
              <w:pStyle w:val="affffff8"/>
              <w:tabs>
                <w:tab w:val="right" w:leader="dot" w:pos="9061"/>
              </w:tabs>
              <w:rPr>
                <w:rFonts w:cs="Times New Roman"/>
                <w:color w:val="000000" w:themeColor="text1"/>
                <w:szCs w:val="21"/>
              </w:rPr>
            </w:pPr>
            <w:r w:rsidRPr="00B12FE0">
              <w:rPr>
                <w:rFonts w:cs="Times New Roman"/>
                <w:color w:val="000000" w:themeColor="text1"/>
                <w:szCs w:val="21"/>
              </w:rPr>
              <w:t>是</w:t>
            </w:r>
          </w:p>
        </w:tc>
      </w:tr>
    </w:tbl>
    <w:p w14:paraId="1E61302F" w14:textId="77777777" w:rsidR="00A67F21" w:rsidRPr="00B12FE0" w:rsidRDefault="00000000">
      <w:pPr>
        <w:snapToGrid w:val="0"/>
        <w:spacing w:beforeLines="50" w:before="120" w:line="360" w:lineRule="auto"/>
        <w:ind w:firstLineChars="200" w:firstLine="480"/>
        <w:rPr>
          <w:bCs/>
          <w:color w:val="000000" w:themeColor="text1"/>
          <w:kern w:val="0"/>
        </w:rPr>
      </w:pPr>
      <w:r w:rsidRPr="00B12FE0">
        <w:rPr>
          <w:rFonts w:hint="eastAsia"/>
          <w:color w:val="000000" w:themeColor="text1"/>
        </w:rPr>
        <w:t>综上所述，本项目符合第一师阿拉尔市生态环境分区管控动态更新方案要求</w:t>
      </w:r>
      <w:r w:rsidRPr="00B12FE0">
        <w:rPr>
          <w:bCs/>
          <w:color w:val="000000" w:themeColor="text1"/>
          <w:kern w:val="0"/>
        </w:rPr>
        <w:t>。</w:t>
      </w:r>
    </w:p>
    <w:p w14:paraId="11823AB1" w14:textId="77777777" w:rsidR="00A67F21" w:rsidRPr="00B12FE0" w:rsidRDefault="00000000">
      <w:pPr>
        <w:adjustRightInd w:val="0"/>
        <w:snapToGrid w:val="0"/>
        <w:spacing w:line="360" w:lineRule="auto"/>
        <w:jc w:val="left"/>
        <w:outlineLvl w:val="1"/>
        <w:rPr>
          <w:b/>
          <w:bCs/>
          <w:color w:val="000000" w:themeColor="text1"/>
          <w:sz w:val="28"/>
          <w:szCs w:val="28"/>
        </w:rPr>
      </w:pPr>
      <w:r w:rsidRPr="00B12FE0">
        <w:rPr>
          <w:b/>
          <w:bCs/>
          <w:color w:val="000000" w:themeColor="text1"/>
          <w:sz w:val="28"/>
          <w:szCs w:val="28"/>
        </w:rPr>
        <w:t>1.</w:t>
      </w:r>
      <w:r w:rsidRPr="00B12FE0">
        <w:rPr>
          <w:rFonts w:hint="eastAsia"/>
          <w:b/>
          <w:bCs/>
          <w:color w:val="000000" w:themeColor="text1"/>
          <w:sz w:val="28"/>
          <w:szCs w:val="28"/>
        </w:rPr>
        <w:t>8</w:t>
      </w:r>
      <w:r w:rsidRPr="00B12FE0">
        <w:rPr>
          <w:b/>
          <w:bCs/>
          <w:color w:val="000000" w:themeColor="text1"/>
          <w:sz w:val="28"/>
          <w:szCs w:val="28"/>
        </w:rPr>
        <w:t>原有核技术利用情况</w:t>
      </w:r>
    </w:p>
    <w:p w14:paraId="4C1253F1" w14:textId="77777777" w:rsidR="00A67F21" w:rsidRPr="00B12FE0" w:rsidRDefault="00000000">
      <w:pPr>
        <w:adjustRightInd w:val="0"/>
        <w:snapToGrid w:val="0"/>
        <w:spacing w:line="360" w:lineRule="auto"/>
        <w:jc w:val="left"/>
        <w:outlineLvl w:val="2"/>
        <w:rPr>
          <w:b/>
          <w:color w:val="000000" w:themeColor="text1"/>
          <w:kern w:val="0"/>
          <w:szCs w:val="24"/>
        </w:rPr>
      </w:pPr>
      <w:r w:rsidRPr="00B12FE0">
        <w:rPr>
          <w:b/>
          <w:color w:val="000000" w:themeColor="text1"/>
          <w:kern w:val="0"/>
          <w:szCs w:val="24"/>
        </w:rPr>
        <w:lastRenderedPageBreak/>
        <w:t>1.</w:t>
      </w:r>
      <w:r w:rsidRPr="00B12FE0">
        <w:rPr>
          <w:rFonts w:hint="eastAsia"/>
          <w:b/>
          <w:color w:val="000000" w:themeColor="text1"/>
          <w:kern w:val="0"/>
          <w:szCs w:val="24"/>
        </w:rPr>
        <w:t>8</w:t>
      </w:r>
      <w:r w:rsidRPr="00B12FE0">
        <w:rPr>
          <w:b/>
          <w:color w:val="000000" w:themeColor="text1"/>
          <w:kern w:val="0"/>
          <w:szCs w:val="24"/>
        </w:rPr>
        <w:t>.1</w:t>
      </w:r>
      <w:r w:rsidRPr="00B12FE0">
        <w:rPr>
          <w:b/>
          <w:color w:val="000000" w:themeColor="text1"/>
          <w:kern w:val="0"/>
          <w:szCs w:val="24"/>
        </w:rPr>
        <w:t>原有核技术利用项目许可情况</w:t>
      </w:r>
    </w:p>
    <w:p w14:paraId="762B34DE" w14:textId="77777777" w:rsidR="00A67F21" w:rsidRPr="00B12FE0" w:rsidRDefault="00000000">
      <w:pPr>
        <w:adjustRightInd w:val="0"/>
        <w:snapToGrid w:val="0"/>
        <w:spacing w:line="360" w:lineRule="auto"/>
        <w:ind w:firstLineChars="200" w:firstLine="480"/>
        <w:rPr>
          <w:color w:val="000000" w:themeColor="text1"/>
          <w:kern w:val="0"/>
          <w:szCs w:val="24"/>
        </w:rPr>
      </w:pPr>
      <w:r w:rsidRPr="00B12FE0">
        <w:rPr>
          <w:color w:val="000000" w:themeColor="text1"/>
          <w:kern w:val="0"/>
          <w:szCs w:val="24"/>
        </w:rPr>
        <w:t>医院现持有</w:t>
      </w:r>
      <w:r w:rsidRPr="00B12FE0">
        <w:rPr>
          <w:rFonts w:hint="eastAsia"/>
          <w:color w:val="000000" w:themeColor="text1"/>
          <w:kern w:val="0"/>
          <w:szCs w:val="24"/>
        </w:rPr>
        <w:t>新疆生产建设兵团第一师阿拉尔市</w:t>
      </w:r>
      <w:r w:rsidRPr="00B12FE0">
        <w:rPr>
          <w:color w:val="000000" w:themeColor="text1"/>
          <w:kern w:val="0"/>
          <w:szCs w:val="24"/>
        </w:rPr>
        <w:t>生态环境局颁发的辐射安全许可证（见附件</w:t>
      </w:r>
      <w:r w:rsidRPr="00B12FE0">
        <w:rPr>
          <w:color w:val="000000" w:themeColor="text1"/>
          <w:kern w:val="0"/>
          <w:szCs w:val="24"/>
        </w:rPr>
        <w:t>3</w:t>
      </w:r>
      <w:r w:rsidRPr="00B12FE0">
        <w:rPr>
          <w:color w:val="000000" w:themeColor="text1"/>
          <w:kern w:val="0"/>
          <w:szCs w:val="24"/>
        </w:rPr>
        <w:t>），证书编号为：</w:t>
      </w:r>
      <w:r w:rsidRPr="00B12FE0">
        <w:rPr>
          <w:rFonts w:hint="eastAsia"/>
          <w:color w:val="000000" w:themeColor="text1"/>
          <w:kern w:val="0"/>
          <w:szCs w:val="24"/>
        </w:rPr>
        <w:t>兵</w:t>
      </w:r>
      <w:r w:rsidRPr="00B12FE0">
        <w:rPr>
          <w:color w:val="000000" w:themeColor="text1"/>
          <w:kern w:val="0"/>
          <w:szCs w:val="24"/>
        </w:rPr>
        <w:t>环</w:t>
      </w:r>
      <w:proofErr w:type="gramStart"/>
      <w:r w:rsidRPr="00B12FE0">
        <w:rPr>
          <w:color w:val="000000" w:themeColor="text1"/>
          <w:kern w:val="0"/>
          <w:szCs w:val="24"/>
        </w:rPr>
        <w:t>辐</w:t>
      </w:r>
      <w:proofErr w:type="gramEnd"/>
      <w:r w:rsidRPr="00B12FE0">
        <w:rPr>
          <w:color w:val="000000" w:themeColor="text1"/>
          <w:kern w:val="0"/>
          <w:szCs w:val="24"/>
        </w:rPr>
        <w:t>证</w:t>
      </w:r>
      <w:r w:rsidRPr="00B12FE0">
        <w:rPr>
          <w:color w:val="000000" w:themeColor="text1"/>
          <w:kern w:val="0"/>
          <w:szCs w:val="24"/>
        </w:rPr>
        <w:t>[</w:t>
      </w:r>
      <w:r w:rsidRPr="00B12FE0">
        <w:rPr>
          <w:rFonts w:hint="eastAsia"/>
          <w:color w:val="000000" w:themeColor="text1"/>
          <w:kern w:val="0"/>
          <w:szCs w:val="24"/>
        </w:rPr>
        <w:t>N0028</w:t>
      </w:r>
      <w:r w:rsidRPr="00B12FE0">
        <w:rPr>
          <w:color w:val="000000" w:themeColor="text1"/>
          <w:kern w:val="0"/>
          <w:szCs w:val="24"/>
        </w:rPr>
        <w:t>]</w:t>
      </w:r>
      <w:r w:rsidRPr="00B12FE0">
        <w:rPr>
          <w:color w:val="000000" w:themeColor="text1"/>
          <w:kern w:val="0"/>
          <w:szCs w:val="24"/>
        </w:rPr>
        <w:t>；发证日期：</w:t>
      </w:r>
      <w:r w:rsidRPr="00B12FE0">
        <w:rPr>
          <w:color w:val="000000" w:themeColor="text1"/>
          <w:kern w:val="0"/>
          <w:szCs w:val="24"/>
        </w:rPr>
        <w:t>202</w:t>
      </w:r>
      <w:r w:rsidRPr="00B12FE0">
        <w:rPr>
          <w:rFonts w:hint="eastAsia"/>
          <w:color w:val="000000" w:themeColor="text1"/>
          <w:kern w:val="0"/>
          <w:szCs w:val="24"/>
        </w:rPr>
        <w:t>5</w:t>
      </w:r>
      <w:r w:rsidRPr="00B12FE0">
        <w:rPr>
          <w:color w:val="000000" w:themeColor="text1"/>
          <w:kern w:val="0"/>
          <w:szCs w:val="24"/>
        </w:rPr>
        <w:t>年</w:t>
      </w:r>
      <w:r w:rsidRPr="00B12FE0">
        <w:rPr>
          <w:rFonts w:hint="eastAsia"/>
          <w:color w:val="000000" w:themeColor="text1"/>
          <w:kern w:val="0"/>
          <w:szCs w:val="24"/>
        </w:rPr>
        <w:t>06</w:t>
      </w:r>
      <w:r w:rsidRPr="00B12FE0">
        <w:rPr>
          <w:color w:val="000000" w:themeColor="text1"/>
          <w:kern w:val="0"/>
          <w:szCs w:val="24"/>
        </w:rPr>
        <w:t>月</w:t>
      </w:r>
      <w:r w:rsidRPr="00B12FE0">
        <w:rPr>
          <w:rFonts w:hint="eastAsia"/>
          <w:color w:val="000000" w:themeColor="text1"/>
          <w:kern w:val="0"/>
          <w:szCs w:val="24"/>
        </w:rPr>
        <w:t>23</w:t>
      </w:r>
      <w:r w:rsidRPr="00B12FE0">
        <w:rPr>
          <w:color w:val="000000" w:themeColor="text1"/>
          <w:kern w:val="0"/>
          <w:szCs w:val="24"/>
        </w:rPr>
        <w:t>日，有效期至：</w:t>
      </w:r>
      <w:r w:rsidRPr="00B12FE0">
        <w:rPr>
          <w:color w:val="000000" w:themeColor="text1"/>
          <w:kern w:val="0"/>
          <w:szCs w:val="24"/>
        </w:rPr>
        <w:t>20</w:t>
      </w:r>
      <w:r w:rsidRPr="00B12FE0">
        <w:rPr>
          <w:rFonts w:hint="eastAsia"/>
          <w:color w:val="000000" w:themeColor="text1"/>
          <w:kern w:val="0"/>
          <w:szCs w:val="24"/>
        </w:rPr>
        <w:t>29</w:t>
      </w:r>
      <w:r w:rsidRPr="00B12FE0">
        <w:rPr>
          <w:color w:val="000000" w:themeColor="text1"/>
          <w:kern w:val="0"/>
          <w:szCs w:val="24"/>
        </w:rPr>
        <w:t>年</w:t>
      </w:r>
      <w:r w:rsidRPr="00B12FE0">
        <w:rPr>
          <w:rFonts w:hint="eastAsia"/>
          <w:color w:val="000000" w:themeColor="text1"/>
          <w:kern w:val="0"/>
          <w:szCs w:val="24"/>
        </w:rPr>
        <w:t>10</w:t>
      </w:r>
      <w:r w:rsidRPr="00B12FE0">
        <w:rPr>
          <w:color w:val="000000" w:themeColor="text1"/>
          <w:kern w:val="0"/>
          <w:szCs w:val="24"/>
        </w:rPr>
        <w:t>月</w:t>
      </w:r>
      <w:r w:rsidRPr="00B12FE0">
        <w:rPr>
          <w:rFonts w:hint="eastAsia"/>
          <w:color w:val="000000" w:themeColor="text1"/>
          <w:kern w:val="0"/>
          <w:szCs w:val="24"/>
        </w:rPr>
        <w:t>15</w:t>
      </w:r>
      <w:r w:rsidRPr="00B12FE0">
        <w:rPr>
          <w:color w:val="000000" w:themeColor="text1"/>
          <w:kern w:val="0"/>
          <w:szCs w:val="24"/>
        </w:rPr>
        <w:t>日，许可种类和范围为使用</w:t>
      </w:r>
      <w:r w:rsidRPr="00B12FE0">
        <w:rPr>
          <w:color w:val="000000" w:themeColor="text1"/>
          <w:kern w:val="0"/>
          <w:szCs w:val="24"/>
        </w:rPr>
        <w:t>Ⅱ</w:t>
      </w:r>
      <w:r w:rsidRPr="00B12FE0">
        <w:rPr>
          <w:color w:val="000000" w:themeColor="text1"/>
          <w:kern w:val="0"/>
          <w:szCs w:val="24"/>
        </w:rPr>
        <w:t>类、</w:t>
      </w:r>
      <w:r w:rsidRPr="00B12FE0">
        <w:rPr>
          <w:color w:val="000000" w:themeColor="text1"/>
          <w:kern w:val="0"/>
          <w:szCs w:val="24"/>
        </w:rPr>
        <w:t>Ⅲ</w:t>
      </w:r>
      <w:r w:rsidRPr="00B12FE0">
        <w:rPr>
          <w:color w:val="000000" w:themeColor="text1"/>
          <w:kern w:val="0"/>
          <w:szCs w:val="24"/>
        </w:rPr>
        <w:t>类射线装置。</w:t>
      </w:r>
    </w:p>
    <w:p w14:paraId="72980D33" w14:textId="77777777" w:rsidR="00A67F21" w:rsidRPr="00B12FE0" w:rsidRDefault="00000000">
      <w:pPr>
        <w:adjustRightInd w:val="0"/>
        <w:snapToGrid w:val="0"/>
        <w:spacing w:line="360" w:lineRule="auto"/>
        <w:jc w:val="left"/>
        <w:outlineLvl w:val="2"/>
        <w:rPr>
          <w:b/>
          <w:color w:val="000000" w:themeColor="text1"/>
          <w:kern w:val="0"/>
          <w:szCs w:val="24"/>
        </w:rPr>
      </w:pPr>
      <w:r w:rsidRPr="00B12FE0">
        <w:rPr>
          <w:b/>
          <w:color w:val="000000" w:themeColor="text1"/>
          <w:kern w:val="0"/>
          <w:szCs w:val="24"/>
        </w:rPr>
        <w:t>1.</w:t>
      </w:r>
      <w:r w:rsidRPr="00B12FE0">
        <w:rPr>
          <w:rFonts w:hint="eastAsia"/>
          <w:b/>
          <w:color w:val="000000" w:themeColor="text1"/>
          <w:kern w:val="0"/>
          <w:szCs w:val="24"/>
        </w:rPr>
        <w:t>8</w:t>
      </w:r>
      <w:r w:rsidRPr="00B12FE0">
        <w:rPr>
          <w:b/>
          <w:color w:val="000000" w:themeColor="text1"/>
          <w:kern w:val="0"/>
          <w:szCs w:val="24"/>
        </w:rPr>
        <w:t>.2</w:t>
      </w:r>
      <w:r w:rsidRPr="00B12FE0">
        <w:rPr>
          <w:b/>
          <w:color w:val="000000" w:themeColor="text1"/>
          <w:kern w:val="0"/>
          <w:szCs w:val="24"/>
        </w:rPr>
        <w:t>原有核技术利用项目环保手续履行情况</w:t>
      </w:r>
    </w:p>
    <w:p w14:paraId="4E3F54BD" w14:textId="77777777" w:rsidR="00A67F21" w:rsidRPr="00B12FE0" w:rsidRDefault="00000000">
      <w:pPr>
        <w:adjustRightInd w:val="0"/>
        <w:snapToGrid w:val="0"/>
        <w:spacing w:line="360" w:lineRule="auto"/>
        <w:ind w:firstLine="482"/>
        <w:rPr>
          <w:color w:val="000000" w:themeColor="text1"/>
          <w:kern w:val="0"/>
          <w:szCs w:val="24"/>
        </w:rPr>
      </w:pPr>
      <w:r w:rsidRPr="00B12FE0">
        <w:rPr>
          <w:color w:val="000000" w:themeColor="text1"/>
          <w:kern w:val="0"/>
          <w:szCs w:val="24"/>
        </w:rPr>
        <w:t>医院</w:t>
      </w:r>
      <w:r w:rsidRPr="00B12FE0">
        <w:rPr>
          <w:rFonts w:hint="eastAsia"/>
          <w:color w:val="000000" w:themeColor="text1"/>
          <w:kern w:val="0"/>
          <w:szCs w:val="24"/>
        </w:rPr>
        <w:t>现状</w:t>
      </w:r>
      <w:r w:rsidRPr="00B12FE0">
        <w:rPr>
          <w:color w:val="000000" w:themeColor="text1"/>
          <w:kern w:val="0"/>
          <w:szCs w:val="24"/>
        </w:rPr>
        <w:t>许可使用</w:t>
      </w:r>
      <w:r w:rsidRPr="00B12FE0">
        <w:rPr>
          <w:rFonts w:hint="eastAsia"/>
          <w:color w:val="000000" w:themeColor="text1"/>
          <w:kern w:val="0"/>
          <w:szCs w:val="24"/>
        </w:rPr>
        <w:t>26</w:t>
      </w:r>
      <w:r w:rsidRPr="00B12FE0">
        <w:rPr>
          <w:color w:val="000000" w:themeColor="text1"/>
          <w:kern w:val="0"/>
          <w:szCs w:val="24"/>
        </w:rPr>
        <w:t>台射线装置，其中</w:t>
      </w:r>
      <w:r w:rsidRPr="00B12FE0">
        <w:rPr>
          <w:rFonts w:hint="eastAsia"/>
          <w:color w:val="000000" w:themeColor="text1"/>
          <w:kern w:val="0"/>
          <w:szCs w:val="24"/>
        </w:rPr>
        <w:t>5</w:t>
      </w:r>
      <w:r w:rsidRPr="00B12FE0">
        <w:rPr>
          <w:color w:val="000000" w:themeColor="text1"/>
          <w:kern w:val="0"/>
          <w:szCs w:val="24"/>
        </w:rPr>
        <w:t>台</w:t>
      </w:r>
      <w:r w:rsidRPr="00B12FE0">
        <w:rPr>
          <w:color w:val="000000" w:themeColor="text1"/>
          <w:kern w:val="0"/>
          <w:szCs w:val="24"/>
        </w:rPr>
        <w:t>Ⅱ</w:t>
      </w:r>
      <w:r w:rsidRPr="00B12FE0">
        <w:rPr>
          <w:color w:val="000000" w:themeColor="text1"/>
          <w:kern w:val="0"/>
          <w:szCs w:val="24"/>
        </w:rPr>
        <w:t>类射线装置，</w:t>
      </w:r>
      <w:r w:rsidRPr="00B12FE0">
        <w:rPr>
          <w:rFonts w:hint="eastAsia"/>
          <w:color w:val="000000" w:themeColor="text1"/>
          <w:kern w:val="0"/>
          <w:szCs w:val="24"/>
        </w:rPr>
        <w:t>21</w:t>
      </w:r>
      <w:r w:rsidRPr="00B12FE0">
        <w:rPr>
          <w:color w:val="000000" w:themeColor="text1"/>
          <w:kern w:val="0"/>
          <w:szCs w:val="24"/>
        </w:rPr>
        <w:t>台</w:t>
      </w:r>
      <w:r w:rsidRPr="00B12FE0">
        <w:rPr>
          <w:color w:val="000000" w:themeColor="text1"/>
          <w:kern w:val="0"/>
          <w:szCs w:val="24"/>
        </w:rPr>
        <w:t>Ⅲ</w:t>
      </w:r>
      <w:r w:rsidRPr="00B12FE0">
        <w:rPr>
          <w:color w:val="000000" w:themeColor="text1"/>
          <w:kern w:val="0"/>
          <w:szCs w:val="24"/>
        </w:rPr>
        <w:t>类射线装置。医院核技术利用项目环保手续履行情况具体见下表。</w:t>
      </w:r>
    </w:p>
    <w:p w14:paraId="6EA2B032" w14:textId="77777777" w:rsidR="00A67F21" w:rsidRPr="00B12FE0" w:rsidRDefault="00000000">
      <w:pPr>
        <w:adjustRightInd w:val="0"/>
        <w:snapToGrid w:val="0"/>
        <w:spacing w:line="360" w:lineRule="auto"/>
        <w:jc w:val="center"/>
        <w:rPr>
          <w:b/>
          <w:bCs/>
          <w:color w:val="000000" w:themeColor="text1"/>
          <w:kern w:val="0"/>
          <w:sz w:val="21"/>
          <w:szCs w:val="21"/>
        </w:rPr>
      </w:pPr>
      <w:r w:rsidRPr="00B12FE0">
        <w:rPr>
          <w:b/>
          <w:bCs/>
          <w:color w:val="000000" w:themeColor="text1"/>
          <w:kern w:val="0"/>
          <w:sz w:val="21"/>
          <w:szCs w:val="21"/>
        </w:rPr>
        <w:t>表</w:t>
      </w:r>
      <w:r w:rsidRPr="00B12FE0">
        <w:rPr>
          <w:b/>
          <w:bCs/>
          <w:color w:val="000000" w:themeColor="text1"/>
          <w:kern w:val="0"/>
          <w:sz w:val="21"/>
          <w:szCs w:val="21"/>
        </w:rPr>
        <w:t>1.</w:t>
      </w:r>
      <w:r w:rsidRPr="00B12FE0">
        <w:rPr>
          <w:rFonts w:hint="eastAsia"/>
          <w:b/>
          <w:bCs/>
          <w:color w:val="000000" w:themeColor="text1"/>
          <w:kern w:val="0"/>
          <w:sz w:val="21"/>
          <w:szCs w:val="21"/>
        </w:rPr>
        <w:t>8.2</w:t>
      </w:r>
      <w:r w:rsidRPr="00B12FE0">
        <w:rPr>
          <w:b/>
          <w:bCs/>
          <w:color w:val="000000" w:themeColor="text1"/>
          <w:kern w:val="0"/>
          <w:sz w:val="21"/>
          <w:szCs w:val="21"/>
        </w:rPr>
        <w:t xml:space="preserve">-1   </w:t>
      </w:r>
      <w:r w:rsidRPr="00B12FE0">
        <w:rPr>
          <w:b/>
          <w:bCs/>
          <w:color w:val="000000" w:themeColor="text1"/>
          <w:kern w:val="0"/>
          <w:sz w:val="21"/>
          <w:szCs w:val="21"/>
        </w:rPr>
        <w:t>医院核技术利用项目环保手续履行情况</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996"/>
        <w:gridCol w:w="2131"/>
        <w:gridCol w:w="681"/>
        <w:gridCol w:w="2154"/>
        <w:gridCol w:w="1238"/>
      </w:tblGrid>
      <w:tr w:rsidR="00A67F21" w:rsidRPr="00B12FE0" w14:paraId="4CF1B144" w14:textId="77777777">
        <w:trPr>
          <w:trHeight w:val="628"/>
          <w:jc w:val="center"/>
        </w:trPr>
        <w:tc>
          <w:tcPr>
            <w:tcW w:w="390" w:type="pct"/>
            <w:vAlign w:val="center"/>
          </w:tcPr>
          <w:p w14:paraId="724E70B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序号</w:t>
            </w:r>
          </w:p>
        </w:tc>
        <w:tc>
          <w:tcPr>
            <w:tcW w:w="1122" w:type="pct"/>
            <w:vAlign w:val="center"/>
          </w:tcPr>
          <w:p w14:paraId="4645F9F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名称</w:t>
            </w:r>
          </w:p>
        </w:tc>
        <w:tc>
          <w:tcPr>
            <w:tcW w:w="1198" w:type="pct"/>
            <w:vAlign w:val="center"/>
          </w:tcPr>
          <w:p w14:paraId="05932D1C"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型号</w:t>
            </w:r>
          </w:p>
        </w:tc>
        <w:tc>
          <w:tcPr>
            <w:tcW w:w="383" w:type="pct"/>
            <w:vAlign w:val="center"/>
          </w:tcPr>
          <w:p w14:paraId="7A363D5F"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类别</w:t>
            </w:r>
          </w:p>
        </w:tc>
        <w:tc>
          <w:tcPr>
            <w:tcW w:w="1211" w:type="pct"/>
            <w:vAlign w:val="center"/>
          </w:tcPr>
          <w:p w14:paraId="0DDD5A2E"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工作场所</w:t>
            </w:r>
          </w:p>
        </w:tc>
        <w:tc>
          <w:tcPr>
            <w:tcW w:w="696" w:type="pct"/>
            <w:vAlign w:val="center"/>
          </w:tcPr>
          <w:p w14:paraId="7FD9432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辐射安全许可情况</w:t>
            </w:r>
          </w:p>
        </w:tc>
      </w:tr>
      <w:tr w:rsidR="00A67F21" w:rsidRPr="00B12FE0" w14:paraId="62203A5A" w14:textId="77777777">
        <w:trPr>
          <w:trHeight w:val="319"/>
          <w:jc w:val="center"/>
        </w:trPr>
        <w:tc>
          <w:tcPr>
            <w:tcW w:w="390" w:type="pct"/>
            <w:noWrap/>
            <w:vAlign w:val="center"/>
          </w:tcPr>
          <w:p w14:paraId="6F2A5AD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1</w:t>
            </w:r>
          </w:p>
        </w:tc>
        <w:tc>
          <w:tcPr>
            <w:tcW w:w="1122" w:type="pct"/>
            <w:noWrap/>
            <w:vAlign w:val="center"/>
          </w:tcPr>
          <w:p w14:paraId="46EBBB7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CT</w:t>
            </w:r>
          </w:p>
        </w:tc>
        <w:tc>
          <w:tcPr>
            <w:tcW w:w="1198" w:type="pct"/>
            <w:noWrap/>
            <w:vAlign w:val="center"/>
          </w:tcPr>
          <w:p w14:paraId="5C841B59" w14:textId="77777777" w:rsidR="00A67F21" w:rsidRPr="00B12FE0" w:rsidRDefault="00000000">
            <w:pPr>
              <w:widowControl/>
              <w:wordWrap w:val="0"/>
              <w:topLinePunct/>
              <w:jc w:val="center"/>
              <w:rPr>
                <w:rFonts w:eastAsiaTheme="minorEastAsia"/>
                <w:color w:val="000000" w:themeColor="text1"/>
                <w:kern w:val="0"/>
                <w:sz w:val="21"/>
                <w:szCs w:val="21"/>
              </w:rPr>
            </w:pPr>
            <w:proofErr w:type="spellStart"/>
            <w:r w:rsidRPr="00B12FE0">
              <w:rPr>
                <w:rFonts w:eastAsiaTheme="minorEastAsia" w:hint="eastAsia"/>
                <w:color w:val="000000" w:themeColor="text1"/>
                <w:kern w:val="0"/>
                <w:sz w:val="21"/>
                <w:szCs w:val="21"/>
              </w:rPr>
              <w:t>uCT</w:t>
            </w:r>
            <w:proofErr w:type="spellEnd"/>
            <w:r w:rsidRPr="00B12FE0">
              <w:rPr>
                <w:rFonts w:eastAsiaTheme="minorEastAsia" w:hint="eastAsia"/>
                <w:color w:val="000000" w:themeColor="text1"/>
                <w:kern w:val="0"/>
                <w:sz w:val="21"/>
                <w:szCs w:val="21"/>
              </w:rPr>
              <w:t xml:space="preserve"> 768</w:t>
            </w:r>
          </w:p>
        </w:tc>
        <w:tc>
          <w:tcPr>
            <w:tcW w:w="383" w:type="pct"/>
            <w:noWrap/>
            <w:vAlign w:val="center"/>
          </w:tcPr>
          <w:p w14:paraId="531A11F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2A308C32" w14:textId="77777777" w:rsidR="00A67F21" w:rsidRPr="00B12FE0" w:rsidRDefault="00000000">
            <w:pPr>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楼</w:t>
            </w:r>
            <w:r w:rsidRPr="00B12FE0">
              <w:rPr>
                <w:rFonts w:eastAsiaTheme="minorEastAsia" w:hint="eastAsia"/>
                <w:color w:val="000000" w:themeColor="text1"/>
                <w:sz w:val="21"/>
                <w:szCs w:val="21"/>
              </w:rPr>
              <w:t>CT</w:t>
            </w:r>
            <w:r w:rsidRPr="00B12FE0">
              <w:rPr>
                <w:rFonts w:eastAsiaTheme="minorEastAsia" w:hint="eastAsia"/>
                <w:color w:val="000000" w:themeColor="text1"/>
                <w:sz w:val="21"/>
                <w:szCs w:val="21"/>
              </w:rPr>
              <w:t>室</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室</w:t>
            </w:r>
          </w:p>
        </w:tc>
        <w:tc>
          <w:tcPr>
            <w:tcW w:w="696" w:type="pct"/>
            <w:vAlign w:val="center"/>
          </w:tcPr>
          <w:p w14:paraId="237F34FB"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0501BC2C" w14:textId="77777777">
        <w:trPr>
          <w:trHeight w:val="319"/>
          <w:jc w:val="center"/>
        </w:trPr>
        <w:tc>
          <w:tcPr>
            <w:tcW w:w="390" w:type="pct"/>
            <w:noWrap/>
            <w:vAlign w:val="center"/>
          </w:tcPr>
          <w:p w14:paraId="096B7F3E"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2</w:t>
            </w:r>
          </w:p>
        </w:tc>
        <w:tc>
          <w:tcPr>
            <w:tcW w:w="1122" w:type="pct"/>
            <w:noWrap/>
            <w:vAlign w:val="center"/>
          </w:tcPr>
          <w:p w14:paraId="7BFD1A41"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DR</w:t>
            </w:r>
          </w:p>
        </w:tc>
        <w:tc>
          <w:tcPr>
            <w:tcW w:w="1198" w:type="pct"/>
            <w:noWrap/>
            <w:vAlign w:val="center"/>
          </w:tcPr>
          <w:p w14:paraId="37E51A5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SONTU800-Jupiter-C</w:t>
            </w:r>
          </w:p>
        </w:tc>
        <w:tc>
          <w:tcPr>
            <w:tcW w:w="383" w:type="pct"/>
            <w:noWrap/>
            <w:vAlign w:val="center"/>
          </w:tcPr>
          <w:p w14:paraId="6B2F3BB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w:t>
            </w:r>
            <w:r w:rsidRPr="00B12FE0">
              <w:rPr>
                <w:rFonts w:eastAsiaTheme="minorEastAsia" w:hint="eastAsia"/>
                <w:color w:val="000000" w:themeColor="text1"/>
                <w:sz w:val="21"/>
                <w:szCs w:val="21"/>
              </w:rPr>
              <w:t>I</w:t>
            </w:r>
          </w:p>
        </w:tc>
        <w:tc>
          <w:tcPr>
            <w:tcW w:w="1211" w:type="pct"/>
          </w:tcPr>
          <w:p w14:paraId="0E12AE5B"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楼</w:t>
            </w:r>
            <w:r w:rsidRPr="00B12FE0">
              <w:rPr>
                <w:rFonts w:eastAsiaTheme="minorEastAsia" w:hint="eastAsia"/>
                <w:color w:val="000000" w:themeColor="text1"/>
                <w:sz w:val="21"/>
                <w:szCs w:val="21"/>
              </w:rPr>
              <w:t>DR</w:t>
            </w:r>
            <w:r w:rsidRPr="00B12FE0">
              <w:rPr>
                <w:rFonts w:eastAsiaTheme="minorEastAsia" w:hint="eastAsia"/>
                <w:color w:val="000000" w:themeColor="text1"/>
                <w:sz w:val="21"/>
                <w:szCs w:val="21"/>
              </w:rPr>
              <w:t>室</w:t>
            </w: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室</w:t>
            </w:r>
          </w:p>
        </w:tc>
        <w:tc>
          <w:tcPr>
            <w:tcW w:w="696" w:type="pct"/>
            <w:vAlign w:val="center"/>
          </w:tcPr>
          <w:p w14:paraId="7DB788A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52F99168" w14:textId="77777777">
        <w:trPr>
          <w:trHeight w:val="319"/>
          <w:jc w:val="center"/>
        </w:trPr>
        <w:tc>
          <w:tcPr>
            <w:tcW w:w="390" w:type="pct"/>
            <w:noWrap/>
            <w:vAlign w:val="center"/>
          </w:tcPr>
          <w:p w14:paraId="2E9C874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3</w:t>
            </w:r>
          </w:p>
        </w:tc>
        <w:tc>
          <w:tcPr>
            <w:tcW w:w="1122" w:type="pct"/>
            <w:noWrap/>
            <w:vAlign w:val="center"/>
          </w:tcPr>
          <w:p w14:paraId="45FE777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DR</w:t>
            </w:r>
          </w:p>
        </w:tc>
        <w:tc>
          <w:tcPr>
            <w:tcW w:w="1198" w:type="pct"/>
            <w:noWrap/>
            <w:vAlign w:val="center"/>
          </w:tcPr>
          <w:p w14:paraId="4E3A3E23"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DFM</w:t>
            </w:r>
            <w:r w:rsidRPr="00B12FE0">
              <w:rPr>
                <w:rFonts w:hint="eastAsia"/>
                <w:color w:val="000000" w:themeColor="text1"/>
                <w:sz w:val="21"/>
                <w:szCs w:val="21"/>
              </w:rPr>
              <w:t>606</w:t>
            </w:r>
          </w:p>
        </w:tc>
        <w:tc>
          <w:tcPr>
            <w:tcW w:w="383" w:type="pct"/>
            <w:noWrap/>
            <w:vAlign w:val="center"/>
          </w:tcPr>
          <w:p w14:paraId="2B6EB51C"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III</w:t>
            </w:r>
          </w:p>
        </w:tc>
        <w:tc>
          <w:tcPr>
            <w:tcW w:w="1211" w:type="pct"/>
          </w:tcPr>
          <w:p w14:paraId="5126B85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楼急诊</w:t>
            </w:r>
            <w:r w:rsidRPr="00B12FE0">
              <w:rPr>
                <w:rFonts w:eastAsiaTheme="minorEastAsia" w:hint="eastAsia"/>
                <w:color w:val="000000" w:themeColor="text1"/>
                <w:sz w:val="21"/>
                <w:szCs w:val="21"/>
              </w:rPr>
              <w:t>DR</w:t>
            </w:r>
            <w:r w:rsidRPr="00B12FE0">
              <w:rPr>
                <w:rFonts w:eastAsiaTheme="minorEastAsia" w:hint="eastAsia"/>
                <w:color w:val="000000" w:themeColor="text1"/>
                <w:sz w:val="21"/>
                <w:szCs w:val="21"/>
              </w:rPr>
              <w:t>室</w:t>
            </w:r>
          </w:p>
        </w:tc>
        <w:tc>
          <w:tcPr>
            <w:tcW w:w="696" w:type="pct"/>
            <w:vAlign w:val="center"/>
          </w:tcPr>
          <w:p w14:paraId="557A617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6B32C3ED" w14:textId="77777777">
        <w:trPr>
          <w:trHeight w:val="319"/>
          <w:jc w:val="center"/>
        </w:trPr>
        <w:tc>
          <w:tcPr>
            <w:tcW w:w="390" w:type="pct"/>
            <w:noWrap/>
            <w:vAlign w:val="center"/>
          </w:tcPr>
          <w:p w14:paraId="4B4C1CB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4</w:t>
            </w:r>
          </w:p>
        </w:tc>
        <w:tc>
          <w:tcPr>
            <w:tcW w:w="1122" w:type="pct"/>
            <w:noWrap/>
            <w:vAlign w:val="center"/>
          </w:tcPr>
          <w:p w14:paraId="41F5B14E"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CT</w:t>
            </w:r>
          </w:p>
        </w:tc>
        <w:tc>
          <w:tcPr>
            <w:tcW w:w="1198" w:type="pct"/>
            <w:noWrap/>
            <w:vAlign w:val="center"/>
          </w:tcPr>
          <w:p w14:paraId="099FD29C" w14:textId="77777777" w:rsidR="00A67F21" w:rsidRPr="00B12FE0" w:rsidRDefault="00000000">
            <w:pPr>
              <w:widowControl/>
              <w:wordWrap w:val="0"/>
              <w:topLinePunct/>
              <w:jc w:val="center"/>
              <w:rPr>
                <w:rFonts w:eastAsiaTheme="minorEastAsia"/>
                <w:color w:val="000000" w:themeColor="text1"/>
                <w:sz w:val="21"/>
                <w:szCs w:val="21"/>
              </w:rPr>
            </w:pPr>
            <w:proofErr w:type="spellStart"/>
            <w:r w:rsidRPr="00B12FE0">
              <w:rPr>
                <w:rFonts w:eastAsiaTheme="minorEastAsia" w:hint="eastAsia"/>
                <w:color w:val="000000" w:themeColor="text1"/>
                <w:kern w:val="0"/>
                <w:sz w:val="21"/>
                <w:szCs w:val="21"/>
              </w:rPr>
              <w:t>uCT</w:t>
            </w:r>
            <w:proofErr w:type="spellEnd"/>
            <w:r w:rsidRPr="00B12FE0">
              <w:rPr>
                <w:rFonts w:eastAsiaTheme="minorEastAsia" w:hint="eastAsia"/>
                <w:color w:val="000000" w:themeColor="text1"/>
                <w:kern w:val="0"/>
                <w:sz w:val="21"/>
                <w:szCs w:val="21"/>
              </w:rPr>
              <w:t xml:space="preserve"> 768</w:t>
            </w:r>
          </w:p>
        </w:tc>
        <w:tc>
          <w:tcPr>
            <w:tcW w:w="383" w:type="pct"/>
            <w:noWrap/>
            <w:vAlign w:val="center"/>
          </w:tcPr>
          <w:p w14:paraId="535F52E8"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III</w:t>
            </w:r>
          </w:p>
        </w:tc>
        <w:tc>
          <w:tcPr>
            <w:tcW w:w="1211" w:type="pct"/>
            <w:vAlign w:val="center"/>
          </w:tcPr>
          <w:p w14:paraId="0AFC7CE1"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楼急诊</w:t>
            </w:r>
            <w:r w:rsidRPr="00B12FE0">
              <w:rPr>
                <w:rFonts w:eastAsiaTheme="minorEastAsia" w:hint="eastAsia"/>
                <w:color w:val="000000" w:themeColor="text1"/>
                <w:sz w:val="21"/>
                <w:szCs w:val="21"/>
              </w:rPr>
              <w:t>CT</w:t>
            </w:r>
            <w:r w:rsidRPr="00B12FE0">
              <w:rPr>
                <w:rFonts w:eastAsiaTheme="minorEastAsia" w:hint="eastAsia"/>
                <w:color w:val="000000" w:themeColor="text1"/>
                <w:sz w:val="21"/>
                <w:szCs w:val="21"/>
              </w:rPr>
              <w:t>室</w:t>
            </w:r>
          </w:p>
        </w:tc>
        <w:tc>
          <w:tcPr>
            <w:tcW w:w="696" w:type="pct"/>
            <w:vAlign w:val="center"/>
          </w:tcPr>
          <w:p w14:paraId="134F7B1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75FF1668" w14:textId="77777777">
        <w:trPr>
          <w:trHeight w:val="319"/>
          <w:jc w:val="center"/>
        </w:trPr>
        <w:tc>
          <w:tcPr>
            <w:tcW w:w="390" w:type="pct"/>
            <w:noWrap/>
            <w:vAlign w:val="center"/>
          </w:tcPr>
          <w:p w14:paraId="1593446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5</w:t>
            </w:r>
          </w:p>
        </w:tc>
        <w:tc>
          <w:tcPr>
            <w:tcW w:w="1122" w:type="pct"/>
            <w:noWrap/>
            <w:vAlign w:val="center"/>
          </w:tcPr>
          <w:p w14:paraId="4DB2D24B"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医用血管造影</w:t>
            </w:r>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射线机</w:t>
            </w:r>
          </w:p>
        </w:tc>
        <w:tc>
          <w:tcPr>
            <w:tcW w:w="1198" w:type="pct"/>
            <w:noWrap/>
            <w:vAlign w:val="center"/>
          </w:tcPr>
          <w:p w14:paraId="603A62A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Innova IGS 530</w:t>
            </w:r>
          </w:p>
        </w:tc>
        <w:tc>
          <w:tcPr>
            <w:tcW w:w="383" w:type="pct"/>
            <w:noWrap/>
            <w:vAlign w:val="center"/>
          </w:tcPr>
          <w:p w14:paraId="3AE7B7F3"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w:t>
            </w:r>
          </w:p>
        </w:tc>
        <w:tc>
          <w:tcPr>
            <w:tcW w:w="1211" w:type="pct"/>
            <w:vAlign w:val="center"/>
          </w:tcPr>
          <w:p w14:paraId="6688B4D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5</w:t>
            </w:r>
            <w:r w:rsidRPr="00B12FE0">
              <w:rPr>
                <w:rFonts w:eastAsiaTheme="minorEastAsia" w:hint="eastAsia"/>
                <w:color w:val="000000" w:themeColor="text1"/>
                <w:kern w:val="0"/>
                <w:sz w:val="21"/>
                <w:szCs w:val="21"/>
              </w:rPr>
              <w:t>号介入室</w:t>
            </w:r>
          </w:p>
        </w:tc>
        <w:tc>
          <w:tcPr>
            <w:tcW w:w="696" w:type="pct"/>
            <w:vAlign w:val="center"/>
          </w:tcPr>
          <w:p w14:paraId="258EE54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3133B5FE" w14:textId="77777777">
        <w:trPr>
          <w:trHeight w:val="319"/>
          <w:jc w:val="center"/>
        </w:trPr>
        <w:tc>
          <w:tcPr>
            <w:tcW w:w="390" w:type="pct"/>
            <w:noWrap/>
            <w:vAlign w:val="center"/>
          </w:tcPr>
          <w:p w14:paraId="560B7B6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6</w:t>
            </w:r>
          </w:p>
        </w:tc>
        <w:tc>
          <w:tcPr>
            <w:tcW w:w="1122" w:type="pct"/>
            <w:noWrap/>
            <w:vAlign w:val="center"/>
          </w:tcPr>
          <w:p w14:paraId="118A26B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口腔</w:t>
            </w:r>
            <w:r w:rsidRPr="00B12FE0">
              <w:rPr>
                <w:rFonts w:eastAsiaTheme="minorEastAsia" w:hint="eastAsia"/>
                <w:color w:val="000000" w:themeColor="text1"/>
                <w:kern w:val="0"/>
                <w:sz w:val="21"/>
                <w:szCs w:val="21"/>
              </w:rPr>
              <w:t>CBCT</w:t>
            </w:r>
          </w:p>
        </w:tc>
        <w:tc>
          <w:tcPr>
            <w:tcW w:w="1198" w:type="pct"/>
            <w:noWrap/>
            <w:vAlign w:val="center"/>
          </w:tcPr>
          <w:p w14:paraId="7BFBFD7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ORTHOPHOS SL-3D</w:t>
            </w:r>
          </w:p>
        </w:tc>
        <w:tc>
          <w:tcPr>
            <w:tcW w:w="383" w:type="pct"/>
            <w:noWrap/>
            <w:vAlign w:val="center"/>
          </w:tcPr>
          <w:p w14:paraId="0D37A6E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2B0AE2AE"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CBCT</w:t>
            </w:r>
            <w:r w:rsidRPr="00B12FE0">
              <w:rPr>
                <w:rFonts w:eastAsiaTheme="minorEastAsia" w:hint="eastAsia"/>
                <w:color w:val="000000" w:themeColor="text1"/>
                <w:kern w:val="0"/>
                <w:sz w:val="21"/>
                <w:szCs w:val="21"/>
              </w:rPr>
              <w:t>室</w:t>
            </w:r>
          </w:p>
        </w:tc>
        <w:tc>
          <w:tcPr>
            <w:tcW w:w="696" w:type="pct"/>
            <w:vAlign w:val="center"/>
          </w:tcPr>
          <w:p w14:paraId="5BA7033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1A52CDCE" w14:textId="77777777">
        <w:trPr>
          <w:trHeight w:val="319"/>
          <w:jc w:val="center"/>
        </w:trPr>
        <w:tc>
          <w:tcPr>
            <w:tcW w:w="390" w:type="pct"/>
            <w:noWrap/>
            <w:vAlign w:val="center"/>
          </w:tcPr>
          <w:p w14:paraId="27D996A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7</w:t>
            </w:r>
          </w:p>
        </w:tc>
        <w:tc>
          <w:tcPr>
            <w:tcW w:w="1122" w:type="pct"/>
            <w:noWrap/>
            <w:vAlign w:val="center"/>
          </w:tcPr>
          <w:p w14:paraId="61758C83"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牙科</w:t>
            </w:r>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射线机</w:t>
            </w:r>
          </w:p>
        </w:tc>
        <w:tc>
          <w:tcPr>
            <w:tcW w:w="1198" w:type="pct"/>
            <w:noWrap/>
            <w:vAlign w:val="center"/>
          </w:tcPr>
          <w:p w14:paraId="759C637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CS</w:t>
            </w:r>
            <w:r w:rsidRPr="00B12FE0">
              <w:rPr>
                <w:rFonts w:hint="eastAsia"/>
                <w:color w:val="000000" w:themeColor="text1"/>
                <w:sz w:val="21"/>
                <w:szCs w:val="21"/>
              </w:rPr>
              <w:t>2100</w:t>
            </w:r>
          </w:p>
        </w:tc>
        <w:tc>
          <w:tcPr>
            <w:tcW w:w="383" w:type="pct"/>
            <w:noWrap/>
            <w:vAlign w:val="center"/>
          </w:tcPr>
          <w:p w14:paraId="0BA1B3D1"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557C00B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楼牙片机室</w:t>
            </w:r>
          </w:p>
        </w:tc>
        <w:tc>
          <w:tcPr>
            <w:tcW w:w="696" w:type="pct"/>
            <w:vAlign w:val="center"/>
          </w:tcPr>
          <w:p w14:paraId="11343145"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046AC82D" w14:textId="77777777">
        <w:trPr>
          <w:trHeight w:val="319"/>
          <w:jc w:val="center"/>
        </w:trPr>
        <w:tc>
          <w:tcPr>
            <w:tcW w:w="390" w:type="pct"/>
            <w:noWrap/>
            <w:vAlign w:val="center"/>
          </w:tcPr>
          <w:p w14:paraId="75AE11F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8</w:t>
            </w:r>
          </w:p>
        </w:tc>
        <w:tc>
          <w:tcPr>
            <w:tcW w:w="1122" w:type="pct"/>
            <w:noWrap/>
            <w:vAlign w:val="center"/>
          </w:tcPr>
          <w:p w14:paraId="31F4A23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体外碎石机</w:t>
            </w:r>
          </w:p>
        </w:tc>
        <w:tc>
          <w:tcPr>
            <w:tcW w:w="1198" w:type="pct"/>
            <w:noWrap/>
            <w:vAlign w:val="center"/>
          </w:tcPr>
          <w:p w14:paraId="11004F0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HK BSWL-VM</w:t>
            </w:r>
          </w:p>
        </w:tc>
        <w:tc>
          <w:tcPr>
            <w:tcW w:w="383" w:type="pct"/>
            <w:noWrap/>
            <w:vAlign w:val="center"/>
          </w:tcPr>
          <w:p w14:paraId="53E4B61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082A04BF"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楼体外碎石机房</w:t>
            </w:r>
          </w:p>
        </w:tc>
        <w:tc>
          <w:tcPr>
            <w:tcW w:w="696" w:type="pct"/>
            <w:vAlign w:val="center"/>
          </w:tcPr>
          <w:p w14:paraId="4F04C0F1"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09062321" w14:textId="77777777">
        <w:trPr>
          <w:trHeight w:val="319"/>
          <w:jc w:val="center"/>
        </w:trPr>
        <w:tc>
          <w:tcPr>
            <w:tcW w:w="390" w:type="pct"/>
            <w:noWrap/>
            <w:vAlign w:val="center"/>
          </w:tcPr>
          <w:p w14:paraId="0F8E2C0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9</w:t>
            </w:r>
          </w:p>
        </w:tc>
        <w:tc>
          <w:tcPr>
            <w:tcW w:w="1122" w:type="pct"/>
            <w:noWrap/>
            <w:vAlign w:val="center"/>
          </w:tcPr>
          <w:p w14:paraId="5C3C05E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C</w:t>
            </w:r>
            <w:proofErr w:type="gramStart"/>
            <w:r w:rsidRPr="00B12FE0">
              <w:rPr>
                <w:rFonts w:eastAsiaTheme="minorEastAsia" w:hint="eastAsia"/>
                <w:color w:val="000000" w:themeColor="text1"/>
                <w:kern w:val="0"/>
                <w:sz w:val="21"/>
                <w:szCs w:val="21"/>
              </w:rPr>
              <w:t>型臂</w:t>
            </w:r>
            <w:proofErr w:type="gramEnd"/>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射线机</w:t>
            </w:r>
          </w:p>
        </w:tc>
        <w:tc>
          <w:tcPr>
            <w:tcW w:w="1198" w:type="pct"/>
            <w:noWrap/>
            <w:vAlign w:val="center"/>
          </w:tcPr>
          <w:p w14:paraId="05BB1DFA" w14:textId="77777777" w:rsidR="00A67F21" w:rsidRPr="00B12FE0" w:rsidRDefault="00000000">
            <w:pPr>
              <w:widowControl/>
              <w:wordWrap w:val="0"/>
              <w:topLinePunct/>
              <w:jc w:val="center"/>
              <w:rPr>
                <w:rFonts w:eastAsiaTheme="minorEastAsia"/>
                <w:color w:val="000000" w:themeColor="text1"/>
                <w:kern w:val="0"/>
                <w:sz w:val="21"/>
                <w:szCs w:val="21"/>
              </w:rPr>
            </w:pPr>
            <w:proofErr w:type="spellStart"/>
            <w:r w:rsidRPr="00B12FE0">
              <w:rPr>
                <w:rFonts w:eastAsiaTheme="minorEastAsia" w:hint="eastAsia"/>
                <w:color w:val="000000" w:themeColor="text1"/>
                <w:kern w:val="0"/>
                <w:sz w:val="21"/>
                <w:szCs w:val="21"/>
              </w:rPr>
              <w:t>Cios</w:t>
            </w:r>
            <w:proofErr w:type="spellEnd"/>
            <w:r w:rsidRPr="00B12FE0">
              <w:rPr>
                <w:rFonts w:eastAsiaTheme="minorEastAsia" w:hint="eastAsia"/>
                <w:color w:val="000000" w:themeColor="text1"/>
                <w:kern w:val="0"/>
                <w:sz w:val="21"/>
                <w:szCs w:val="21"/>
              </w:rPr>
              <w:t xml:space="preserve"> A</w:t>
            </w:r>
            <w:r w:rsidRPr="00B12FE0">
              <w:rPr>
                <w:rFonts w:eastAsiaTheme="minorEastAsia"/>
                <w:color w:val="000000" w:themeColor="text1"/>
                <w:kern w:val="0"/>
                <w:sz w:val="21"/>
                <w:szCs w:val="21"/>
              </w:rPr>
              <w:t>l</w:t>
            </w:r>
            <w:r w:rsidRPr="00B12FE0">
              <w:rPr>
                <w:rFonts w:eastAsiaTheme="minorEastAsia" w:hint="eastAsia"/>
                <w:color w:val="000000" w:themeColor="text1"/>
                <w:kern w:val="0"/>
                <w:sz w:val="21"/>
                <w:szCs w:val="21"/>
              </w:rPr>
              <w:t>pha</w:t>
            </w:r>
          </w:p>
        </w:tc>
        <w:tc>
          <w:tcPr>
            <w:tcW w:w="383" w:type="pct"/>
            <w:noWrap/>
            <w:vAlign w:val="center"/>
          </w:tcPr>
          <w:p w14:paraId="7679B5FE"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3647B7A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ERCP</w:t>
            </w:r>
            <w:r w:rsidRPr="00B12FE0">
              <w:rPr>
                <w:rFonts w:eastAsiaTheme="minorEastAsia" w:hint="eastAsia"/>
                <w:color w:val="000000" w:themeColor="text1"/>
                <w:kern w:val="0"/>
                <w:sz w:val="21"/>
                <w:szCs w:val="21"/>
              </w:rPr>
              <w:t>室</w:t>
            </w:r>
          </w:p>
        </w:tc>
        <w:tc>
          <w:tcPr>
            <w:tcW w:w="696" w:type="pct"/>
            <w:vAlign w:val="center"/>
          </w:tcPr>
          <w:p w14:paraId="785C53C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6CFAC922" w14:textId="77777777">
        <w:trPr>
          <w:trHeight w:val="319"/>
          <w:jc w:val="center"/>
        </w:trPr>
        <w:tc>
          <w:tcPr>
            <w:tcW w:w="390" w:type="pct"/>
            <w:noWrap/>
            <w:vAlign w:val="center"/>
          </w:tcPr>
          <w:p w14:paraId="4B7E60F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10</w:t>
            </w:r>
          </w:p>
        </w:tc>
        <w:tc>
          <w:tcPr>
            <w:tcW w:w="1122" w:type="pct"/>
            <w:noWrap/>
            <w:vAlign w:val="center"/>
          </w:tcPr>
          <w:p w14:paraId="4A5A8B2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64</w:t>
            </w:r>
            <w:r w:rsidRPr="00B12FE0">
              <w:rPr>
                <w:rFonts w:eastAsiaTheme="minorEastAsia" w:hint="eastAsia"/>
                <w:color w:val="000000" w:themeColor="text1"/>
                <w:kern w:val="0"/>
                <w:sz w:val="21"/>
                <w:szCs w:val="21"/>
              </w:rPr>
              <w:t>排</w:t>
            </w:r>
            <w:r w:rsidRPr="00B12FE0">
              <w:rPr>
                <w:rFonts w:eastAsiaTheme="minorEastAsia" w:hint="eastAsia"/>
                <w:color w:val="000000" w:themeColor="text1"/>
                <w:kern w:val="0"/>
                <w:sz w:val="21"/>
                <w:szCs w:val="21"/>
              </w:rPr>
              <w:t>CT</w:t>
            </w:r>
          </w:p>
        </w:tc>
        <w:tc>
          <w:tcPr>
            <w:tcW w:w="1198" w:type="pct"/>
            <w:noWrap/>
            <w:vAlign w:val="center"/>
          </w:tcPr>
          <w:p w14:paraId="0E98D2C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O</w:t>
            </w:r>
            <w:r w:rsidRPr="00B12FE0">
              <w:rPr>
                <w:rFonts w:eastAsiaTheme="minorEastAsia"/>
                <w:color w:val="000000" w:themeColor="text1"/>
                <w:kern w:val="0"/>
                <w:sz w:val="21"/>
                <w:szCs w:val="21"/>
              </w:rPr>
              <w:t>p</w:t>
            </w:r>
            <w:r w:rsidRPr="00B12FE0">
              <w:rPr>
                <w:rFonts w:eastAsiaTheme="minorEastAsia" w:hint="eastAsia"/>
                <w:color w:val="000000" w:themeColor="text1"/>
                <w:kern w:val="0"/>
                <w:sz w:val="21"/>
                <w:szCs w:val="21"/>
              </w:rPr>
              <w:t>tima CT680 Expert</w:t>
            </w:r>
          </w:p>
        </w:tc>
        <w:tc>
          <w:tcPr>
            <w:tcW w:w="383" w:type="pct"/>
            <w:noWrap/>
            <w:vAlign w:val="center"/>
          </w:tcPr>
          <w:p w14:paraId="17D9CE1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19C426FE"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CT</w:t>
            </w:r>
            <w:r w:rsidRPr="00B12FE0">
              <w:rPr>
                <w:rFonts w:eastAsiaTheme="minorEastAsia" w:hint="eastAsia"/>
                <w:color w:val="000000" w:themeColor="text1"/>
                <w:kern w:val="0"/>
                <w:sz w:val="21"/>
                <w:szCs w:val="21"/>
              </w:rPr>
              <w:t>室</w:t>
            </w:r>
            <w:r w:rsidRPr="00B12FE0">
              <w:rPr>
                <w:rFonts w:eastAsiaTheme="minorEastAsia" w:hint="eastAsia"/>
                <w:color w:val="000000" w:themeColor="text1"/>
                <w:kern w:val="0"/>
                <w:sz w:val="21"/>
                <w:szCs w:val="21"/>
              </w:rPr>
              <w:t xml:space="preserve">2 </w:t>
            </w:r>
            <w:r w:rsidRPr="00B12FE0">
              <w:rPr>
                <w:rFonts w:eastAsiaTheme="minorEastAsia" w:hint="eastAsia"/>
                <w:color w:val="000000" w:themeColor="text1"/>
                <w:kern w:val="0"/>
                <w:sz w:val="21"/>
                <w:szCs w:val="21"/>
              </w:rPr>
              <w:t>室</w:t>
            </w:r>
          </w:p>
        </w:tc>
        <w:tc>
          <w:tcPr>
            <w:tcW w:w="696" w:type="pct"/>
            <w:vAlign w:val="center"/>
          </w:tcPr>
          <w:p w14:paraId="1518A19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746D8CC1" w14:textId="77777777">
        <w:trPr>
          <w:trHeight w:val="319"/>
          <w:jc w:val="center"/>
        </w:trPr>
        <w:tc>
          <w:tcPr>
            <w:tcW w:w="390" w:type="pct"/>
            <w:noWrap/>
            <w:vAlign w:val="center"/>
          </w:tcPr>
          <w:p w14:paraId="6C03038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11</w:t>
            </w:r>
          </w:p>
        </w:tc>
        <w:tc>
          <w:tcPr>
            <w:tcW w:w="1122" w:type="pct"/>
            <w:noWrap/>
            <w:vAlign w:val="center"/>
          </w:tcPr>
          <w:p w14:paraId="4AAC2F22"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C</w:t>
            </w:r>
            <w:proofErr w:type="gramStart"/>
            <w:r w:rsidRPr="00B12FE0">
              <w:rPr>
                <w:rFonts w:eastAsiaTheme="minorEastAsia" w:hint="eastAsia"/>
                <w:color w:val="000000" w:themeColor="text1"/>
                <w:kern w:val="0"/>
                <w:sz w:val="21"/>
                <w:szCs w:val="21"/>
              </w:rPr>
              <w:t>型臂</w:t>
            </w:r>
            <w:proofErr w:type="gramEnd"/>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射线成像系统</w:t>
            </w:r>
          </w:p>
        </w:tc>
        <w:tc>
          <w:tcPr>
            <w:tcW w:w="1198" w:type="pct"/>
            <w:noWrap/>
            <w:vAlign w:val="center"/>
          </w:tcPr>
          <w:p w14:paraId="4A990F61"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BV-Libra</w:t>
            </w:r>
          </w:p>
        </w:tc>
        <w:tc>
          <w:tcPr>
            <w:tcW w:w="383" w:type="pct"/>
            <w:noWrap/>
            <w:vAlign w:val="center"/>
          </w:tcPr>
          <w:p w14:paraId="6CEFE8E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4AC60E7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10</w:t>
            </w:r>
            <w:r w:rsidRPr="00B12FE0">
              <w:rPr>
                <w:rFonts w:eastAsiaTheme="minorEastAsia" w:hint="eastAsia"/>
                <w:color w:val="000000" w:themeColor="text1"/>
                <w:kern w:val="0"/>
                <w:sz w:val="21"/>
                <w:szCs w:val="21"/>
              </w:rPr>
              <w:t>间手术室</w:t>
            </w:r>
          </w:p>
        </w:tc>
        <w:tc>
          <w:tcPr>
            <w:tcW w:w="696" w:type="pct"/>
            <w:vAlign w:val="center"/>
          </w:tcPr>
          <w:p w14:paraId="2B26393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71CB22B0" w14:textId="77777777">
        <w:trPr>
          <w:trHeight w:val="550"/>
          <w:jc w:val="center"/>
        </w:trPr>
        <w:tc>
          <w:tcPr>
            <w:tcW w:w="390" w:type="pct"/>
            <w:noWrap/>
            <w:vAlign w:val="center"/>
          </w:tcPr>
          <w:p w14:paraId="29BDB48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12</w:t>
            </w:r>
          </w:p>
        </w:tc>
        <w:tc>
          <w:tcPr>
            <w:tcW w:w="1122" w:type="pct"/>
            <w:noWrap/>
            <w:vAlign w:val="center"/>
          </w:tcPr>
          <w:p w14:paraId="6DC3BF5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G</w:t>
            </w:r>
            <w:proofErr w:type="gramStart"/>
            <w:r w:rsidRPr="00B12FE0">
              <w:rPr>
                <w:rFonts w:eastAsiaTheme="minorEastAsia" w:hint="eastAsia"/>
                <w:color w:val="000000" w:themeColor="text1"/>
                <w:kern w:val="0"/>
                <w:sz w:val="21"/>
                <w:szCs w:val="21"/>
              </w:rPr>
              <w:t>型臂</w:t>
            </w:r>
            <w:proofErr w:type="gramEnd"/>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射线成像系统</w:t>
            </w:r>
          </w:p>
        </w:tc>
        <w:tc>
          <w:tcPr>
            <w:tcW w:w="1198" w:type="pct"/>
            <w:noWrap/>
            <w:vAlign w:val="center"/>
          </w:tcPr>
          <w:p w14:paraId="098F4E36" w14:textId="77777777" w:rsidR="00A67F21" w:rsidRPr="00B12FE0" w:rsidRDefault="00000000">
            <w:pPr>
              <w:widowControl/>
              <w:wordWrap w:val="0"/>
              <w:topLinePunct/>
              <w:jc w:val="center"/>
              <w:rPr>
                <w:rFonts w:eastAsiaTheme="minorEastAsia"/>
                <w:color w:val="000000" w:themeColor="text1"/>
                <w:kern w:val="0"/>
                <w:sz w:val="21"/>
                <w:szCs w:val="21"/>
              </w:rPr>
            </w:pPr>
            <w:proofErr w:type="spellStart"/>
            <w:r w:rsidRPr="00B12FE0">
              <w:rPr>
                <w:rFonts w:eastAsiaTheme="minorEastAsia" w:hint="eastAsia"/>
                <w:color w:val="000000" w:themeColor="text1"/>
                <w:kern w:val="0"/>
                <w:sz w:val="21"/>
                <w:szCs w:val="21"/>
              </w:rPr>
              <w:t>DigiArc</w:t>
            </w:r>
            <w:proofErr w:type="spellEnd"/>
            <w:r w:rsidRPr="00B12FE0">
              <w:rPr>
                <w:rFonts w:eastAsiaTheme="minorEastAsia" w:hint="eastAsia"/>
                <w:color w:val="000000" w:themeColor="text1"/>
                <w:kern w:val="0"/>
                <w:sz w:val="21"/>
                <w:szCs w:val="21"/>
              </w:rPr>
              <w:t xml:space="preserve"> 100AC</w:t>
            </w:r>
          </w:p>
        </w:tc>
        <w:tc>
          <w:tcPr>
            <w:tcW w:w="383" w:type="pct"/>
            <w:noWrap/>
            <w:vAlign w:val="center"/>
          </w:tcPr>
          <w:p w14:paraId="59B821B1"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07F1665C"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10</w:t>
            </w:r>
            <w:r w:rsidRPr="00B12FE0">
              <w:rPr>
                <w:rFonts w:eastAsiaTheme="minorEastAsia" w:hint="eastAsia"/>
                <w:color w:val="000000" w:themeColor="text1"/>
                <w:kern w:val="0"/>
                <w:sz w:val="21"/>
                <w:szCs w:val="21"/>
              </w:rPr>
              <w:t>号手术室</w:t>
            </w:r>
          </w:p>
        </w:tc>
        <w:tc>
          <w:tcPr>
            <w:tcW w:w="696" w:type="pct"/>
            <w:vAlign w:val="center"/>
          </w:tcPr>
          <w:p w14:paraId="52F08FD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476C510B" w14:textId="77777777">
        <w:trPr>
          <w:trHeight w:val="319"/>
          <w:jc w:val="center"/>
        </w:trPr>
        <w:tc>
          <w:tcPr>
            <w:tcW w:w="390" w:type="pct"/>
            <w:noWrap/>
            <w:vAlign w:val="center"/>
          </w:tcPr>
          <w:p w14:paraId="18FEB63F"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13</w:t>
            </w:r>
          </w:p>
        </w:tc>
        <w:tc>
          <w:tcPr>
            <w:tcW w:w="1122" w:type="pct"/>
            <w:noWrap/>
            <w:vAlign w:val="center"/>
          </w:tcPr>
          <w:p w14:paraId="7EA24F8C"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C</w:t>
            </w:r>
            <w:proofErr w:type="gramStart"/>
            <w:r w:rsidRPr="00B12FE0">
              <w:rPr>
                <w:rFonts w:eastAsiaTheme="minorEastAsia" w:hint="eastAsia"/>
                <w:color w:val="000000" w:themeColor="text1"/>
                <w:kern w:val="0"/>
                <w:sz w:val="21"/>
                <w:szCs w:val="21"/>
              </w:rPr>
              <w:t>型臂</w:t>
            </w:r>
            <w:proofErr w:type="gramEnd"/>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射线成像系统</w:t>
            </w:r>
          </w:p>
        </w:tc>
        <w:tc>
          <w:tcPr>
            <w:tcW w:w="1198" w:type="pct"/>
            <w:noWrap/>
            <w:vAlign w:val="center"/>
          </w:tcPr>
          <w:p w14:paraId="33D2A4B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BV Vectra</w:t>
            </w:r>
          </w:p>
        </w:tc>
        <w:tc>
          <w:tcPr>
            <w:tcW w:w="383" w:type="pct"/>
            <w:noWrap/>
            <w:vAlign w:val="center"/>
          </w:tcPr>
          <w:p w14:paraId="33051DC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665512D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12</w:t>
            </w:r>
            <w:r w:rsidRPr="00B12FE0">
              <w:rPr>
                <w:rFonts w:eastAsiaTheme="minorEastAsia" w:hint="eastAsia"/>
                <w:color w:val="000000" w:themeColor="text1"/>
                <w:kern w:val="0"/>
                <w:sz w:val="21"/>
                <w:szCs w:val="21"/>
              </w:rPr>
              <w:t>间手术室</w:t>
            </w:r>
          </w:p>
        </w:tc>
        <w:tc>
          <w:tcPr>
            <w:tcW w:w="696" w:type="pct"/>
            <w:vAlign w:val="center"/>
          </w:tcPr>
          <w:p w14:paraId="68C0CC5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5251C8E3" w14:textId="77777777">
        <w:trPr>
          <w:trHeight w:val="319"/>
          <w:jc w:val="center"/>
        </w:trPr>
        <w:tc>
          <w:tcPr>
            <w:tcW w:w="390" w:type="pct"/>
            <w:noWrap/>
            <w:vAlign w:val="center"/>
          </w:tcPr>
          <w:p w14:paraId="216DDD41"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14</w:t>
            </w:r>
          </w:p>
        </w:tc>
        <w:tc>
          <w:tcPr>
            <w:tcW w:w="1122" w:type="pct"/>
            <w:noWrap/>
            <w:vAlign w:val="center"/>
          </w:tcPr>
          <w:p w14:paraId="0ECDBA51"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C</w:t>
            </w:r>
            <w:proofErr w:type="gramStart"/>
            <w:r w:rsidRPr="00B12FE0">
              <w:rPr>
                <w:rFonts w:eastAsiaTheme="minorEastAsia" w:hint="eastAsia"/>
                <w:color w:val="000000" w:themeColor="text1"/>
                <w:kern w:val="0"/>
                <w:sz w:val="21"/>
                <w:szCs w:val="21"/>
              </w:rPr>
              <w:t>型臂</w:t>
            </w:r>
            <w:proofErr w:type="gramEnd"/>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射线机</w:t>
            </w:r>
          </w:p>
        </w:tc>
        <w:tc>
          <w:tcPr>
            <w:tcW w:w="1198" w:type="pct"/>
            <w:noWrap/>
            <w:vAlign w:val="center"/>
          </w:tcPr>
          <w:p w14:paraId="057175A5"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PLXC7500A</w:t>
            </w:r>
          </w:p>
        </w:tc>
        <w:tc>
          <w:tcPr>
            <w:tcW w:w="383" w:type="pct"/>
            <w:noWrap/>
            <w:vAlign w:val="center"/>
          </w:tcPr>
          <w:p w14:paraId="6CBAE19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586DC6A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w:t>
            </w:r>
            <w:r w:rsidRPr="00B12FE0">
              <w:rPr>
                <w:rFonts w:eastAsiaTheme="minorEastAsia" w:hint="eastAsia"/>
                <w:color w:val="000000" w:themeColor="text1"/>
                <w:kern w:val="0"/>
                <w:sz w:val="21"/>
                <w:szCs w:val="21"/>
              </w:rPr>
              <w:t>12</w:t>
            </w:r>
            <w:r w:rsidRPr="00B12FE0">
              <w:rPr>
                <w:rFonts w:eastAsiaTheme="minorEastAsia" w:hint="eastAsia"/>
                <w:color w:val="000000" w:themeColor="text1"/>
                <w:kern w:val="0"/>
                <w:sz w:val="21"/>
                <w:szCs w:val="21"/>
              </w:rPr>
              <w:t>间手术室</w:t>
            </w:r>
          </w:p>
        </w:tc>
        <w:tc>
          <w:tcPr>
            <w:tcW w:w="696" w:type="pct"/>
            <w:vAlign w:val="center"/>
          </w:tcPr>
          <w:p w14:paraId="066B02A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5B39F757" w14:textId="77777777">
        <w:trPr>
          <w:trHeight w:val="319"/>
          <w:jc w:val="center"/>
        </w:trPr>
        <w:tc>
          <w:tcPr>
            <w:tcW w:w="390" w:type="pct"/>
            <w:noWrap/>
            <w:vAlign w:val="center"/>
          </w:tcPr>
          <w:p w14:paraId="26948ED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15</w:t>
            </w:r>
          </w:p>
        </w:tc>
        <w:tc>
          <w:tcPr>
            <w:tcW w:w="1122" w:type="pct"/>
            <w:noWrap/>
            <w:vAlign w:val="center"/>
          </w:tcPr>
          <w:p w14:paraId="2C38E14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16</w:t>
            </w:r>
            <w:r w:rsidRPr="00B12FE0">
              <w:rPr>
                <w:rFonts w:eastAsiaTheme="minorEastAsia" w:hint="eastAsia"/>
                <w:color w:val="000000" w:themeColor="text1"/>
                <w:kern w:val="0"/>
                <w:sz w:val="21"/>
                <w:szCs w:val="21"/>
              </w:rPr>
              <w:t>排</w:t>
            </w:r>
            <w:r w:rsidRPr="00B12FE0">
              <w:rPr>
                <w:rFonts w:eastAsiaTheme="minorEastAsia" w:hint="eastAsia"/>
                <w:color w:val="000000" w:themeColor="text1"/>
                <w:kern w:val="0"/>
                <w:sz w:val="21"/>
                <w:szCs w:val="21"/>
              </w:rPr>
              <w:t>CT</w:t>
            </w:r>
          </w:p>
        </w:tc>
        <w:tc>
          <w:tcPr>
            <w:tcW w:w="1198" w:type="pct"/>
            <w:noWrap/>
            <w:vAlign w:val="center"/>
          </w:tcPr>
          <w:p w14:paraId="1D26BDA7" w14:textId="77777777" w:rsidR="00A67F21" w:rsidRPr="00B12FE0" w:rsidRDefault="00000000">
            <w:pPr>
              <w:widowControl/>
              <w:wordWrap w:val="0"/>
              <w:topLinePunct/>
              <w:jc w:val="center"/>
              <w:rPr>
                <w:rFonts w:eastAsiaTheme="minorEastAsia"/>
                <w:color w:val="000000" w:themeColor="text1"/>
                <w:kern w:val="0"/>
                <w:sz w:val="21"/>
                <w:szCs w:val="21"/>
              </w:rPr>
            </w:pPr>
            <w:proofErr w:type="spellStart"/>
            <w:r w:rsidRPr="00B12FE0">
              <w:rPr>
                <w:rFonts w:eastAsiaTheme="minorEastAsia" w:hint="eastAsia"/>
                <w:color w:val="000000" w:themeColor="text1"/>
                <w:kern w:val="0"/>
                <w:sz w:val="21"/>
                <w:szCs w:val="21"/>
              </w:rPr>
              <w:t>Supria</w:t>
            </w:r>
            <w:proofErr w:type="spellEnd"/>
          </w:p>
        </w:tc>
        <w:tc>
          <w:tcPr>
            <w:tcW w:w="383" w:type="pct"/>
            <w:noWrap/>
            <w:vAlign w:val="center"/>
          </w:tcPr>
          <w:p w14:paraId="7246823C"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15FF3E7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楼体检</w:t>
            </w:r>
            <w:r w:rsidRPr="00B12FE0">
              <w:rPr>
                <w:rFonts w:eastAsiaTheme="minorEastAsia" w:hint="eastAsia"/>
                <w:color w:val="000000" w:themeColor="text1"/>
                <w:kern w:val="0"/>
                <w:sz w:val="21"/>
                <w:szCs w:val="21"/>
              </w:rPr>
              <w:t>CT</w:t>
            </w:r>
          </w:p>
        </w:tc>
        <w:tc>
          <w:tcPr>
            <w:tcW w:w="696" w:type="pct"/>
            <w:vAlign w:val="center"/>
          </w:tcPr>
          <w:p w14:paraId="7C0B5E9F"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3FA13FCB" w14:textId="77777777">
        <w:trPr>
          <w:trHeight w:val="319"/>
          <w:jc w:val="center"/>
        </w:trPr>
        <w:tc>
          <w:tcPr>
            <w:tcW w:w="390" w:type="pct"/>
            <w:noWrap/>
            <w:vAlign w:val="center"/>
          </w:tcPr>
          <w:p w14:paraId="59D2AEE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16</w:t>
            </w:r>
          </w:p>
        </w:tc>
        <w:tc>
          <w:tcPr>
            <w:tcW w:w="1122" w:type="pct"/>
            <w:noWrap/>
            <w:vAlign w:val="center"/>
          </w:tcPr>
          <w:p w14:paraId="028DB0A3"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数字化医用</w:t>
            </w:r>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射线摄影系统</w:t>
            </w:r>
          </w:p>
        </w:tc>
        <w:tc>
          <w:tcPr>
            <w:tcW w:w="1198" w:type="pct"/>
            <w:noWrap/>
            <w:vAlign w:val="center"/>
          </w:tcPr>
          <w:p w14:paraId="10BE1E55" w14:textId="77777777" w:rsidR="00A67F21" w:rsidRPr="00B12FE0" w:rsidRDefault="00000000">
            <w:pPr>
              <w:widowControl/>
              <w:wordWrap w:val="0"/>
              <w:topLinePunct/>
              <w:jc w:val="center"/>
              <w:rPr>
                <w:rFonts w:eastAsiaTheme="minorEastAsia"/>
                <w:color w:val="000000" w:themeColor="text1"/>
                <w:kern w:val="0"/>
                <w:sz w:val="21"/>
                <w:szCs w:val="21"/>
              </w:rPr>
            </w:pPr>
            <w:proofErr w:type="spellStart"/>
            <w:r w:rsidRPr="00B12FE0">
              <w:rPr>
                <w:rFonts w:eastAsiaTheme="minorEastAsia" w:hint="eastAsia"/>
                <w:color w:val="000000" w:themeColor="text1"/>
                <w:kern w:val="0"/>
                <w:sz w:val="21"/>
                <w:szCs w:val="21"/>
              </w:rPr>
              <w:t>uDR</w:t>
            </w:r>
            <w:proofErr w:type="spellEnd"/>
            <w:r w:rsidRPr="00B12FE0">
              <w:rPr>
                <w:rFonts w:eastAsiaTheme="minorEastAsia" w:hint="eastAsia"/>
                <w:color w:val="000000" w:themeColor="text1"/>
                <w:kern w:val="0"/>
                <w:sz w:val="21"/>
                <w:szCs w:val="21"/>
              </w:rPr>
              <w:t xml:space="preserve"> 596i</w:t>
            </w:r>
          </w:p>
        </w:tc>
        <w:tc>
          <w:tcPr>
            <w:tcW w:w="383" w:type="pct"/>
            <w:noWrap/>
            <w:vAlign w:val="center"/>
          </w:tcPr>
          <w:p w14:paraId="689E506F"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1C80B3F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3</w:t>
            </w:r>
            <w:r w:rsidRPr="00B12FE0">
              <w:rPr>
                <w:rFonts w:eastAsiaTheme="minorEastAsia" w:hint="eastAsia"/>
                <w:color w:val="000000" w:themeColor="text1"/>
                <w:kern w:val="0"/>
                <w:sz w:val="21"/>
                <w:szCs w:val="21"/>
              </w:rPr>
              <w:t>楼体检</w:t>
            </w:r>
            <w:r w:rsidRPr="00B12FE0">
              <w:rPr>
                <w:rFonts w:eastAsiaTheme="minorEastAsia" w:hint="eastAsia"/>
                <w:color w:val="000000" w:themeColor="text1"/>
                <w:kern w:val="0"/>
                <w:sz w:val="21"/>
                <w:szCs w:val="21"/>
              </w:rPr>
              <w:t>DR</w:t>
            </w:r>
          </w:p>
        </w:tc>
        <w:tc>
          <w:tcPr>
            <w:tcW w:w="696" w:type="pct"/>
            <w:vAlign w:val="center"/>
          </w:tcPr>
          <w:p w14:paraId="10845443"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4C55B57F" w14:textId="77777777">
        <w:trPr>
          <w:trHeight w:val="319"/>
          <w:jc w:val="center"/>
        </w:trPr>
        <w:tc>
          <w:tcPr>
            <w:tcW w:w="390" w:type="pct"/>
            <w:noWrap/>
            <w:vAlign w:val="center"/>
          </w:tcPr>
          <w:p w14:paraId="2819241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17</w:t>
            </w:r>
          </w:p>
        </w:tc>
        <w:tc>
          <w:tcPr>
            <w:tcW w:w="1122" w:type="pct"/>
            <w:noWrap/>
            <w:vAlign w:val="center"/>
          </w:tcPr>
          <w:p w14:paraId="678A5BEC"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射线机</w:t>
            </w:r>
          </w:p>
        </w:tc>
        <w:tc>
          <w:tcPr>
            <w:tcW w:w="1198" w:type="pct"/>
            <w:noWrap/>
            <w:vAlign w:val="center"/>
          </w:tcPr>
          <w:p w14:paraId="41F55735" w14:textId="77777777" w:rsidR="00A67F21" w:rsidRPr="00B12FE0" w:rsidRDefault="00000000">
            <w:pPr>
              <w:widowControl/>
              <w:wordWrap w:val="0"/>
              <w:topLinePunct/>
              <w:jc w:val="center"/>
              <w:rPr>
                <w:rFonts w:eastAsiaTheme="minorEastAsia"/>
                <w:color w:val="000000" w:themeColor="text1"/>
                <w:kern w:val="0"/>
                <w:sz w:val="21"/>
                <w:szCs w:val="21"/>
              </w:rPr>
            </w:pPr>
            <w:proofErr w:type="spellStart"/>
            <w:r w:rsidRPr="00B12FE0">
              <w:rPr>
                <w:rFonts w:eastAsiaTheme="minorEastAsia" w:hint="eastAsia"/>
                <w:color w:val="000000" w:themeColor="text1"/>
                <w:kern w:val="0"/>
                <w:sz w:val="21"/>
                <w:szCs w:val="21"/>
              </w:rPr>
              <w:t>MobiEye</w:t>
            </w:r>
            <w:proofErr w:type="spellEnd"/>
            <w:r w:rsidRPr="00B12FE0">
              <w:rPr>
                <w:rFonts w:eastAsiaTheme="minorEastAsia" w:hint="eastAsia"/>
                <w:color w:val="000000" w:themeColor="text1"/>
                <w:kern w:val="0"/>
                <w:sz w:val="21"/>
                <w:szCs w:val="21"/>
              </w:rPr>
              <w:t xml:space="preserve"> 700T</w:t>
            </w:r>
          </w:p>
        </w:tc>
        <w:tc>
          <w:tcPr>
            <w:tcW w:w="383" w:type="pct"/>
            <w:noWrap/>
            <w:vAlign w:val="center"/>
          </w:tcPr>
          <w:p w14:paraId="7C1F6A5C"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5C405105"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4</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楼</w:t>
            </w:r>
          </w:p>
        </w:tc>
        <w:tc>
          <w:tcPr>
            <w:tcW w:w="696" w:type="pct"/>
            <w:vAlign w:val="center"/>
          </w:tcPr>
          <w:p w14:paraId="2A71019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2FC4FA08" w14:textId="77777777">
        <w:trPr>
          <w:trHeight w:val="319"/>
          <w:jc w:val="center"/>
        </w:trPr>
        <w:tc>
          <w:tcPr>
            <w:tcW w:w="390" w:type="pct"/>
            <w:noWrap/>
            <w:vAlign w:val="center"/>
          </w:tcPr>
          <w:p w14:paraId="0F20AE3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18</w:t>
            </w:r>
          </w:p>
        </w:tc>
        <w:tc>
          <w:tcPr>
            <w:tcW w:w="1122" w:type="pct"/>
            <w:noWrap/>
            <w:vAlign w:val="center"/>
          </w:tcPr>
          <w:p w14:paraId="73C84F1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射线机</w:t>
            </w:r>
          </w:p>
        </w:tc>
        <w:tc>
          <w:tcPr>
            <w:tcW w:w="1198" w:type="pct"/>
            <w:noWrap/>
            <w:vAlign w:val="center"/>
          </w:tcPr>
          <w:p w14:paraId="668F20C3" w14:textId="77777777" w:rsidR="00A67F21" w:rsidRPr="00B12FE0" w:rsidRDefault="00000000">
            <w:pPr>
              <w:widowControl/>
              <w:wordWrap w:val="0"/>
              <w:topLinePunct/>
              <w:jc w:val="center"/>
              <w:rPr>
                <w:rFonts w:eastAsiaTheme="minorEastAsia"/>
                <w:color w:val="000000" w:themeColor="text1"/>
                <w:kern w:val="0"/>
                <w:sz w:val="21"/>
                <w:szCs w:val="21"/>
              </w:rPr>
            </w:pPr>
            <w:proofErr w:type="spellStart"/>
            <w:r w:rsidRPr="00B12FE0">
              <w:rPr>
                <w:rFonts w:eastAsiaTheme="minorEastAsia" w:hint="eastAsia"/>
                <w:color w:val="000000" w:themeColor="text1"/>
                <w:kern w:val="0"/>
                <w:sz w:val="21"/>
                <w:szCs w:val="21"/>
              </w:rPr>
              <w:t>MobiEye</w:t>
            </w:r>
            <w:proofErr w:type="spellEnd"/>
            <w:r w:rsidRPr="00B12FE0">
              <w:rPr>
                <w:rFonts w:eastAsiaTheme="minorEastAsia" w:hint="eastAsia"/>
                <w:color w:val="000000" w:themeColor="text1"/>
                <w:kern w:val="0"/>
                <w:sz w:val="21"/>
                <w:szCs w:val="21"/>
              </w:rPr>
              <w:t xml:space="preserve"> 700</w:t>
            </w:r>
          </w:p>
        </w:tc>
        <w:tc>
          <w:tcPr>
            <w:tcW w:w="383" w:type="pct"/>
            <w:noWrap/>
            <w:vAlign w:val="center"/>
          </w:tcPr>
          <w:p w14:paraId="1BE8B8F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III</w:t>
            </w:r>
          </w:p>
        </w:tc>
        <w:tc>
          <w:tcPr>
            <w:tcW w:w="1211" w:type="pct"/>
            <w:vAlign w:val="center"/>
          </w:tcPr>
          <w:p w14:paraId="4A0D0405"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楼</w:t>
            </w:r>
          </w:p>
        </w:tc>
        <w:tc>
          <w:tcPr>
            <w:tcW w:w="696" w:type="pct"/>
            <w:vAlign w:val="center"/>
          </w:tcPr>
          <w:p w14:paraId="70600C4E"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0A2542ED" w14:textId="77777777">
        <w:trPr>
          <w:trHeight w:val="489"/>
          <w:jc w:val="center"/>
        </w:trPr>
        <w:tc>
          <w:tcPr>
            <w:tcW w:w="390" w:type="pct"/>
            <w:noWrap/>
            <w:vAlign w:val="center"/>
          </w:tcPr>
          <w:p w14:paraId="32B8DBC0"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19</w:t>
            </w:r>
          </w:p>
        </w:tc>
        <w:tc>
          <w:tcPr>
            <w:tcW w:w="1122" w:type="pct"/>
            <w:noWrap/>
            <w:vAlign w:val="center"/>
          </w:tcPr>
          <w:p w14:paraId="78D31C3A"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透视摄影</w:t>
            </w:r>
            <w:r w:rsidRPr="00B12FE0">
              <w:rPr>
                <w:rFonts w:eastAsiaTheme="minorEastAsia" w:hint="eastAsia"/>
                <w:color w:val="000000" w:themeColor="text1"/>
                <w:sz w:val="21"/>
                <w:szCs w:val="21"/>
              </w:rPr>
              <w:t>X</w:t>
            </w:r>
            <w:r w:rsidRPr="00B12FE0">
              <w:rPr>
                <w:rFonts w:eastAsiaTheme="minorEastAsia" w:hint="eastAsia"/>
                <w:color w:val="000000" w:themeColor="text1"/>
                <w:sz w:val="21"/>
                <w:szCs w:val="21"/>
              </w:rPr>
              <w:t>射线机（胃肠机））</w:t>
            </w:r>
          </w:p>
        </w:tc>
        <w:tc>
          <w:tcPr>
            <w:tcW w:w="1198" w:type="pct"/>
            <w:noWrap/>
            <w:vAlign w:val="center"/>
          </w:tcPr>
          <w:p w14:paraId="55EEE836"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DRF-7A</w:t>
            </w:r>
          </w:p>
        </w:tc>
        <w:tc>
          <w:tcPr>
            <w:tcW w:w="383" w:type="pct"/>
            <w:noWrap/>
            <w:vAlign w:val="center"/>
          </w:tcPr>
          <w:p w14:paraId="494F454B"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color w:val="000000" w:themeColor="text1"/>
                <w:sz w:val="21"/>
                <w:szCs w:val="21"/>
              </w:rPr>
              <w:t>III</w:t>
            </w:r>
          </w:p>
        </w:tc>
        <w:tc>
          <w:tcPr>
            <w:tcW w:w="1211" w:type="pct"/>
            <w:vAlign w:val="center"/>
          </w:tcPr>
          <w:p w14:paraId="01223ABF"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楼胃肠检查室</w:t>
            </w:r>
          </w:p>
        </w:tc>
        <w:tc>
          <w:tcPr>
            <w:tcW w:w="696" w:type="pct"/>
            <w:vAlign w:val="center"/>
          </w:tcPr>
          <w:p w14:paraId="1934657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5D75A5D2" w14:textId="77777777">
        <w:trPr>
          <w:trHeight w:val="319"/>
          <w:jc w:val="center"/>
        </w:trPr>
        <w:tc>
          <w:tcPr>
            <w:tcW w:w="390" w:type="pct"/>
            <w:noWrap/>
            <w:vAlign w:val="center"/>
          </w:tcPr>
          <w:p w14:paraId="52854205"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lastRenderedPageBreak/>
              <w:t>20</w:t>
            </w:r>
          </w:p>
        </w:tc>
        <w:tc>
          <w:tcPr>
            <w:tcW w:w="1122" w:type="pct"/>
            <w:noWrap/>
            <w:vAlign w:val="center"/>
          </w:tcPr>
          <w:p w14:paraId="5D4299B0"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双能</w:t>
            </w:r>
            <w:r w:rsidRPr="00B12FE0">
              <w:rPr>
                <w:rFonts w:eastAsiaTheme="minorEastAsia" w:hint="eastAsia"/>
                <w:color w:val="000000" w:themeColor="text1"/>
                <w:sz w:val="21"/>
                <w:szCs w:val="21"/>
              </w:rPr>
              <w:t>X</w:t>
            </w:r>
            <w:r w:rsidRPr="00B12FE0">
              <w:rPr>
                <w:rFonts w:eastAsiaTheme="minorEastAsia" w:hint="eastAsia"/>
                <w:color w:val="000000" w:themeColor="text1"/>
                <w:sz w:val="21"/>
                <w:szCs w:val="21"/>
              </w:rPr>
              <w:t>射线骨密度仪</w:t>
            </w:r>
          </w:p>
        </w:tc>
        <w:tc>
          <w:tcPr>
            <w:tcW w:w="1198" w:type="pct"/>
            <w:noWrap/>
            <w:vAlign w:val="center"/>
          </w:tcPr>
          <w:p w14:paraId="5F0ECB41"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MEDIX90</w:t>
            </w:r>
          </w:p>
        </w:tc>
        <w:tc>
          <w:tcPr>
            <w:tcW w:w="383" w:type="pct"/>
            <w:noWrap/>
            <w:vAlign w:val="center"/>
          </w:tcPr>
          <w:p w14:paraId="5598600B"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color w:val="000000" w:themeColor="text1"/>
                <w:sz w:val="21"/>
                <w:szCs w:val="21"/>
              </w:rPr>
              <w:t>III</w:t>
            </w:r>
          </w:p>
        </w:tc>
        <w:tc>
          <w:tcPr>
            <w:tcW w:w="1211" w:type="pct"/>
            <w:vAlign w:val="center"/>
          </w:tcPr>
          <w:p w14:paraId="51A96142"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1</w:t>
            </w:r>
            <w:proofErr w:type="gramStart"/>
            <w:r w:rsidRPr="00B12FE0">
              <w:rPr>
                <w:rFonts w:eastAsiaTheme="minorEastAsia" w:hint="eastAsia"/>
                <w:color w:val="000000" w:themeColor="text1"/>
                <w:sz w:val="21"/>
                <w:szCs w:val="21"/>
              </w:rPr>
              <w:t>楼骨密度</w:t>
            </w:r>
            <w:proofErr w:type="gramEnd"/>
            <w:r w:rsidRPr="00B12FE0">
              <w:rPr>
                <w:rFonts w:eastAsiaTheme="minorEastAsia" w:hint="eastAsia"/>
                <w:color w:val="000000" w:themeColor="text1"/>
                <w:sz w:val="21"/>
                <w:szCs w:val="21"/>
              </w:rPr>
              <w:t>检查室</w:t>
            </w:r>
          </w:p>
        </w:tc>
        <w:tc>
          <w:tcPr>
            <w:tcW w:w="696" w:type="pct"/>
            <w:vAlign w:val="center"/>
          </w:tcPr>
          <w:p w14:paraId="6A0503F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6CBB5D33" w14:textId="77777777">
        <w:trPr>
          <w:trHeight w:val="489"/>
          <w:jc w:val="center"/>
        </w:trPr>
        <w:tc>
          <w:tcPr>
            <w:tcW w:w="390" w:type="pct"/>
            <w:noWrap/>
            <w:vAlign w:val="center"/>
          </w:tcPr>
          <w:p w14:paraId="05673EA3"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21</w:t>
            </w:r>
          </w:p>
        </w:tc>
        <w:tc>
          <w:tcPr>
            <w:tcW w:w="1122" w:type="pct"/>
            <w:noWrap/>
            <w:vAlign w:val="center"/>
          </w:tcPr>
          <w:p w14:paraId="64DAA26B"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kern w:val="0"/>
                <w:sz w:val="21"/>
                <w:szCs w:val="21"/>
              </w:rPr>
              <w:t>移动式</w:t>
            </w:r>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射线机</w:t>
            </w:r>
          </w:p>
        </w:tc>
        <w:tc>
          <w:tcPr>
            <w:tcW w:w="1198" w:type="pct"/>
            <w:noWrap/>
            <w:vAlign w:val="center"/>
          </w:tcPr>
          <w:p w14:paraId="3295CD58" w14:textId="77777777" w:rsidR="00A67F21" w:rsidRPr="00B12FE0" w:rsidRDefault="00000000">
            <w:pPr>
              <w:widowControl/>
              <w:wordWrap w:val="0"/>
              <w:topLinePunct/>
              <w:jc w:val="center"/>
              <w:rPr>
                <w:rFonts w:eastAsiaTheme="minorEastAsia"/>
                <w:color w:val="000000" w:themeColor="text1"/>
                <w:sz w:val="21"/>
                <w:szCs w:val="21"/>
              </w:rPr>
            </w:pPr>
            <w:proofErr w:type="spellStart"/>
            <w:r w:rsidRPr="00B12FE0">
              <w:rPr>
                <w:rFonts w:eastAsiaTheme="minorEastAsia" w:hint="eastAsia"/>
                <w:color w:val="000000" w:themeColor="text1"/>
                <w:kern w:val="0"/>
                <w:sz w:val="21"/>
                <w:szCs w:val="21"/>
              </w:rPr>
              <w:t>MobiEye</w:t>
            </w:r>
            <w:proofErr w:type="spellEnd"/>
            <w:r w:rsidRPr="00B12FE0">
              <w:rPr>
                <w:rFonts w:eastAsiaTheme="minorEastAsia" w:hint="eastAsia"/>
                <w:color w:val="000000" w:themeColor="text1"/>
                <w:kern w:val="0"/>
                <w:sz w:val="21"/>
                <w:szCs w:val="21"/>
              </w:rPr>
              <w:t xml:space="preserve"> 700</w:t>
            </w:r>
          </w:p>
        </w:tc>
        <w:tc>
          <w:tcPr>
            <w:tcW w:w="383" w:type="pct"/>
            <w:noWrap/>
            <w:vAlign w:val="center"/>
          </w:tcPr>
          <w:p w14:paraId="37F38714"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color w:val="000000" w:themeColor="text1"/>
                <w:sz w:val="21"/>
                <w:szCs w:val="21"/>
              </w:rPr>
              <w:t>III</w:t>
            </w:r>
          </w:p>
        </w:tc>
        <w:tc>
          <w:tcPr>
            <w:tcW w:w="1211" w:type="pct"/>
            <w:vAlign w:val="center"/>
          </w:tcPr>
          <w:p w14:paraId="1491E981"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中医康复院区门诊楼一楼</w:t>
            </w:r>
          </w:p>
        </w:tc>
        <w:tc>
          <w:tcPr>
            <w:tcW w:w="696" w:type="pct"/>
            <w:vAlign w:val="center"/>
          </w:tcPr>
          <w:p w14:paraId="3CB7A82B"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59A61775" w14:textId="77777777">
        <w:trPr>
          <w:trHeight w:val="319"/>
          <w:jc w:val="center"/>
        </w:trPr>
        <w:tc>
          <w:tcPr>
            <w:tcW w:w="390" w:type="pct"/>
            <w:noWrap/>
            <w:vAlign w:val="center"/>
          </w:tcPr>
          <w:p w14:paraId="6AF356B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22</w:t>
            </w:r>
          </w:p>
        </w:tc>
        <w:tc>
          <w:tcPr>
            <w:tcW w:w="1122" w:type="pct"/>
            <w:noWrap/>
            <w:vAlign w:val="center"/>
          </w:tcPr>
          <w:p w14:paraId="1452F850"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医用血管造影</w:t>
            </w:r>
            <w:r w:rsidRPr="00B12FE0">
              <w:rPr>
                <w:rFonts w:eastAsiaTheme="minorEastAsia" w:hint="eastAsia"/>
                <w:color w:val="000000" w:themeColor="text1"/>
                <w:sz w:val="21"/>
                <w:szCs w:val="21"/>
              </w:rPr>
              <w:t>X</w:t>
            </w:r>
            <w:r w:rsidRPr="00B12FE0">
              <w:rPr>
                <w:rFonts w:eastAsiaTheme="minorEastAsia" w:hint="eastAsia"/>
                <w:color w:val="000000" w:themeColor="text1"/>
                <w:sz w:val="21"/>
                <w:szCs w:val="21"/>
              </w:rPr>
              <w:t>射线机</w:t>
            </w:r>
          </w:p>
        </w:tc>
        <w:tc>
          <w:tcPr>
            <w:tcW w:w="1198" w:type="pct"/>
            <w:noWrap/>
            <w:vAlign w:val="center"/>
          </w:tcPr>
          <w:p w14:paraId="4E0CC757" w14:textId="77777777" w:rsidR="00A67F21" w:rsidRPr="00B12FE0" w:rsidRDefault="00000000">
            <w:pPr>
              <w:widowControl/>
              <w:wordWrap w:val="0"/>
              <w:topLinePunct/>
              <w:jc w:val="center"/>
              <w:rPr>
                <w:rFonts w:eastAsiaTheme="minorEastAsia"/>
                <w:color w:val="000000" w:themeColor="text1"/>
                <w:sz w:val="21"/>
                <w:szCs w:val="21"/>
              </w:rPr>
            </w:pPr>
            <w:proofErr w:type="gramStart"/>
            <w:r w:rsidRPr="00B12FE0">
              <w:rPr>
                <w:rFonts w:eastAsiaTheme="minorEastAsia" w:hint="eastAsia"/>
                <w:color w:val="000000" w:themeColor="text1"/>
                <w:sz w:val="21"/>
                <w:szCs w:val="21"/>
              </w:rPr>
              <w:t>Artis</w:t>
            </w:r>
            <w:proofErr w:type="gramEnd"/>
            <w:r w:rsidRPr="00B12FE0">
              <w:rPr>
                <w:rFonts w:eastAsiaTheme="minorEastAsia" w:hint="eastAsia"/>
                <w:color w:val="000000" w:themeColor="text1"/>
                <w:sz w:val="21"/>
                <w:szCs w:val="21"/>
              </w:rPr>
              <w:t xml:space="preserve"> zee </w:t>
            </w:r>
            <w:proofErr w:type="spellStart"/>
            <w:r w:rsidRPr="00B12FE0">
              <w:rPr>
                <w:rFonts w:eastAsiaTheme="minorEastAsia" w:hint="eastAsia"/>
                <w:color w:val="000000" w:themeColor="text1"/>
                <w:sz w:val="21"/>
                <w:szCs w:val="21"/>
              </w:rPr>
              <w:t>IIIceiling</w:t>
            </w:r>
            <w:proofErr w:type="spellEnd"/>
          </w:p>
        </w:tc>
        <w:tc>
          <w:tcPr>
            <w:tcW w:w="383" w:type="pct"/>
            <w:noWrap/>
            <w:vAlign w:val="center"/>
          </w:tcPr>
          <w:p w14:paraId="5B4829DF"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color w:val="000000" w:themeColor="text1"/>
                <w:sz w:val="21"/>
                <w:szCs w:val="21"/>
              </w:rPr>
              <w:t>II</w:t>
            </w:r>
          </w:p>
        </w:tc>
        <w:tc>
          <w:tcPr>
            <w:tcW w:w="1211" w:type="pct"/>
            <w:vAlign w:val="center"/>
          </w:tcPr>
          <w:p w14:paraId="7A7B44F9"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5</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楼介入</w:t>
            </w:r>
            <w:r w:rsidRPr="00B12FE0">
              <w:rPr>
                <w:rFonts w:eastAsiaTheme="minorEastAsia" w:hint="eastAsia"/>
                <w:color w:val="000000" w:themeColor="text1"/>
                <w:sz w:val="21"/>
                <w:szCs w:val="21"/>
              </w:rPr>
              <w:t>4</w:t>
            </w:r>
            <w:r w:rsidRPr="00B12FE0">
              <w:rPr>
                <w:rFonts w:eastAsiaTheme="minorEastAsia" w:hint="eastAsia"/>
                <w:color w:val="000000" w:themeColor="text1"/>
                <w:sz w:val="21"/>
                <w:szCs w:val="21"/>
              </w:rPr>
              <w:t>室</w:t>
            </w:r>
          </w:p>
        </w:tc>
        <w:tc>
          <w:tcPr>
            <w:tcW w:w="696" w:type="pct"/>
            <w:vAlign w:val="center"/>
          </w:tcPr>
          <w:p w14:paraId="6611F30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0BC85839" w14:textId="77777777">
        <w:trPr>
          <w:trHeight w:val="319"/>
          <w:jc w:val="center"/>
        </w:trPr>
        <w:tc>
          <w:tcPr>
            <w:tcW w:w="390" w:type="pct"/>
            <w:noWrap/>
            <w:vAlign w:val="center"/>
          </w:tcPr>
          <w:p w14:paraId="53DEC64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23</w:t>
            </w:r>
          </w:p>
        </w:tc>
        <w:tc>
          <w:tcPr>
            <w:tcW w:w="1122" w:type="pct"/>
            <w:noWrap/>
            <w:vAlign w:val="center"/>
          </w:tcPr>
          <w:p w14:paraId="2468BB41"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医用血管造影</w:t>
            </w:r>
            <w:r w:rsidRPr="00B12FE0">
              <w:rPr>
                <w:rFonts w:eastAsiaTheme="minorEastAsia" w:hint="eastAsia"/>
                <w:color w:val="000000" w:themeColor="text1"/>
                <w:sz w:val="21"/>
                <w:szCs w:val="21"/>
              </w:rPr>
              <w:t>X</w:t>
            </w:r>
            <w:r w:rsidRPr="00B12FE0">
              <w:rPr>
                <w:rFonts w:eastAsiaTheme="minorEastAsia" w:hint="eastAsia"/>
                <w:color w:val="000000" w:themeColor="text1"/>
                <w:sz w:val="21"/>
                <w:szCs w:val="21"/>
              </w:rPr>
              <w:t>射线机</w:t>
            </w:r>
          </w:p>
        </w:tc>
        <w:tc>
          <w:tcPr>
            <w:tcW w:w="1198" w:type="pct"/>
            <w:noWrap/>
            <w:vAlign w:val="center"/>
          </w:tcPr>
          <w:p w14:paraId="60E467F4" w14:textId="77777777" w:rsidR="00A67F21" w:rsidRPr="00B12FE0" w:rsidRDefault="00000000">
            <w:pPr>
              <w:widowControl/>
              <w:wordWrap w:val="0"/>
              <w:topLinePunct/>
              <w:jc w:val="center"/>
              <w:rPr>
                <w:rFonts w:eastAsiaTheme="minorEastAsia"/>
                <w:color w:val="000000" w:themeColor="text1"/>
                <w:sz w:val="21"/>
                <w:szCs w:val="21"/>
              </w:rPr>
            </w:pPr>
            <w:proofErr w:type="spellStart"/>
            <w:r w:rsidRPr="00B12FE0">
              <w:rPr>
                <w:rFonts w:eastAsiaTheme="minorEastAsia" w:hint="eastAsia"/>
                <w:color w:val="000000" w:themeColor="text1"/>
                <w:sz w:val="21"/>
                <w:szCs w:val="21"/>
              </w:rPr>
              <w:t>NeuAngio</w:t>
            </w:r>
            <w:proofErr w:type="spellEnd"/>
            <w:r w:rsidRPr="00B12FE0">
              <w:rPr>
                <w:rFonts w:eastAsiaTheme="minorEastAsia" w:hint="eastAsia"/>
                <w:color w:val="000000" w:themeColor="text1"/>
                <w:sz w:val="21"/>
                <w:szCs w:val="21"/>
              </w:rPr>
              <w:t xml:space="preserve"> 30C</w:t>
            </w:r>
          </w:p>
        </w:tc>
        <w:tc>
          <w:tcPr>
            <w:tcW w:w="383" w:type="pct"/>
            <w:noWrap/>
            <w:vAlign w:val="center"/>
          </w:tcPr>
          <w:p w14:paraId="3574F673"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color w:val="000000" w:themeColor="text1"/>
                <w:sz w:val="21"/>
                <w:szCs w:val="21"/>
              </w:rPr>
              <w:t>II</w:t>
            </w:r>
          </w:p>
        </w:tc>
        <w:tc>
          <w:tcPr>
            <w:tcW w:w="1211" w:type="pct"/>
            <w:vAlign w:val="center"/>
          </w:tcPr>
          <w:p w14:paraId="631F6873"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5</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楼介入</w:t>
            </w:r>
            <w:r w:rsidRPr="00B12FE0">
              <w:rPr>
                <w:rFonts w:eastAsiaTheme="minorEastAsia" w:hint="eastAsia"/>
                <w:color w:val="000000" w:themeColor="text1"/>
                <w:sz w:val="21"/>
                <w:szCs w:val="21"/>
              </w:rPr>
              <w:t>1</w:t>
            </w:r>
            <w:r w:rsidRPr="00B12FE0">
              <w:rPr>
                <w:rFonts w:eastAsiaTheme="minorEastAsia" w:hint="eastAsia"/>
                <w:color w:val="000000" w:themeColor="text1"/>
                <w:sz w:val="21"/>
                <w:szCs w:val="21"/>
              </w:rPr>
              <w:t>室</w:t>
            </w:r>
          </w:p>
        </w:tc>
        <w:tc>
          <w:tcPr>
            <w:tcW w:w="696" w:type="pct"/>
            <w:vAlign w:val="center"/>
          </w:tcPr>
          <w:p w14:paraId="46F6F95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41C7E631" w14:textId="77777777">
        <w:trPr>
          <w:trHeight w:val="319"/>
          <w:jc w:val="center"/>
        </w:trPr>
        <w:tc>
          <w:tcPr>
            <w:tcW w:w="390" w:type="pct"/>
            <w:noWrap/>
            <w:vAlign w:val="center"/>
          </w:tcPr>
          <w:p w14:paraId="1FED3F7A"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24</w:t>
            </w:r>
          </w:p>
        </w:tc>
        <w:tc>
          <w:tcPr>
            <w:tcW w:w="1122" w:type="pct"/>
            <w:noWrap/>
            <w:vAlign w:val="center"/>
          </w:tcPr>
          <w:p w14:paraId="6BA8EAB5"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医用血管造影</w:t>
            </w:r>
            <w:r w:rsidRPr="00B12FE0">
              <w:rPr>
                <w:rFonts w:eastAsiaTheme="minorEastAsia" w:hint="eastAsia"/>
                <w:color w:val="000000" w:themeColor="text1"/>
                <w:sz w:val="21"/>
                <w:szCs w:val="21"/>
              </w:rPr>
              <w:t>X</w:t>
            </w:r>
            <w:r w:rsidRPr="00B12FE0">
              <w:rPr>
                <w:rFonts w:eastAsiaTheme="minorEastAsia" w:hint="eastAsia"/>
                <w:color w:val="000000" w:themeColor="text1"/>
                <w:sz w:val="21"/>
                <w:szCs w:val="21"/>
              </w:rPr>
              <w:t>射线机</w:t>
            </w:r>
          </w:p>
        </w:tc>
        <w:tc>
          <w:tcPr>
            <w:tcW w:w="1198" w:type="pct"/>
            <w:noWrap/>
            <w:vAlign w:val="center"/>
          </w:tcPr>
          <w:p w14:paraId="4A411538" w14:textId="77777777" w:rsidR="00A67F21" w:rsidRPr="00B12FE0" w:rsidRDefault="00000000">
            <w:pPr>
              <w:widowControl/>
              <w:wordWrap w:val="0"/>
              <w:topLinePunct/>
              <w:jc w:val="center"/>
              <w:rPr>
                <w:rFonts w:eastAsiaTheme="minorEastAsia"/>
                <w:color w:val="000000" w:themeColor="text1"/>
                <w:sz w:val="21"/>
                <w:szCs w:val="21"/>
              </w:rPr>
            </w:pPr>
            <w:proofErr w:type="gramStart"/>
            <w:r w:rsidRPr="00B12FE0">
              <w:rPr>
                <w:rFonts w:eastAsiaTheme="minorEastAsia" w:hint="eastAsia"/>
                <w:color w:val="000000" w:themeColor="text1"/>
                <w:sz w:val="21"/>
                <w:szCs w:val="21"/>
              </w:rPr>
              <w:t>Artis</w:t>
            </w:r>
            <w:proofErr w:type="gramEnd"/>
            <w:r w:rsidRPr="00B12FE0">
              <w:rPr>
                <w:rFonts w:eastAsiaTheme="minorEastAsia" w:hint="eastAsia"/>
                <w:color w:val="000000" w:themeColor="text1"/>
                <w:sz w:val="21"/>
                <w:szCs w:val="21"/>
              </w:rPr>
              <w:t xml:space="preserve"> zee </w:t>
            </w:r>
            <w:proofErr w:type="spellStart"/>
            <w:r w:rsidRPr="00B12FE0">
              <w:rPr>
                <w:rFonts w:eastAsiaTheme="minorEastAsia" w:hint="eastAsia"/>
                <w:color w:val="000000" w:themeColor="text1"/>
                <w:sz w:val="21"/>
                <w:szCs w:val="21"/>
              </w:rPr>
              <w:t>IIIfloor</w:t>
            </w:r>
            <w:proofErr w:type="spellEnd"/>
          </w:p>
        </w:tc>
        <w:tc>
          <w:tcPr>
            <w:tcW w:w="383" w:type="pct"/>
            <w:noWrap/>
            <w:vAlign w:val="center"/>
          </w:tcPr>
          <w:p w14:paraId="3DD7DBBD"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color w:val="000000" w:themeColor="text1"/>
                <w:sz w:val="21"/>
                <w:szCs w:val="21"/>
              </w:rPr>
              <w:t>II</w:t>
            </w:r>
          </w:p>
        </w:tc>
        <w:tc>
          <w:tcPr>
            <w:tcW w:w="1211" w:type="pct"/>
            <w:vAlign w:val="center"/>
          </w:tcPr>
          <w:p w14:paraId="1D15A5B3" w14:textId="77777777" w:rsidR="00A67F21" w:rsidRPr="00B12FE0" w:rsidRDefault="00000000">
            <w:pPr>
              <w:widowControl/>
              <w:wordWrap w:val="0"/>
              <w:topLinePunct/>
              <w:jc w:val="center"/>
              <w:rPr>
                <w:rFonts w:eastAsiaTheme="minorEastAsia"/>
                <w:color w:val="000000" w:themeColor="text1"/>
                <w:sz w:val="21"/>
                <w:szCs w:val="21"/>
              </w:rPr>
            </w:pPr>
            <w:r w:rsidRPr="00B12FE0">
              <w:rPr>
                <w:rFonts w:eastAsiaTheme="minorEastAsia" w:hint="eastAsia"/>
                <w:color w:val="000000" w:themeColor="text1"/>
                <w:sz w:val="21"/>
                <w:szCs w:val="21"/>
              </w:rPr>
              <w:t>5</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楼介入</w:t>
            </w: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室</w:t>
            </w:r>
          </w:p>
        </w:tc>
        <w:tc>
          <w:tcPr>
            <w:tcW w:w="696" w:type="pct"/>
            <w:vAlign w:val="center"/>
          </w:tcPr>
          <w:p w14:paraId="628274CE"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34B573D5" w14:textId="77777777">
        <w:trPr>
          <w:trHeight w:val="319"/>
          <w:jc w:val="center"/>
        </w:trPr>
        <w:tc>
          <w:tcPr>
            <w:tcW w:w="390" w:type="pct"/>
            <w:noWrap/>
            <w:vAlign w:val="center"/>
          </w:tcPr>
          <w:p w14:paraId="2CD6BA19"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25</w:t>
            </w:r>
          </w:p>
        </w:tc>
        <w:tc>
          <w:tcPr>
            <w:tcW w:w="1122" w:type="pct"/>
            <w:noWrap/>
            <w:vAlign w:val="center"/>
          </w:tcPr>
          <w:p w14:paraId="44AE11D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医用血管造影</w:t>
            </w:r>
            <w:r w:rsidRPr="00B12FE0">
              <w:rPr>
                <w:rFonts w:eastAsiaTheme="minorEastAsia" w:hint="eastAsia"/>
                <w:color w:val="000000" w:themeColor="text1"/>
                <w:sz w:val="21"/>
                <w:szCs w:val="21"/>
              </w:rPr>
              <w:t>X</w:t>
            </w:r>
            <w:r w:rsidRPr="00B12FE0">
              <w:rPr>
                <w:rFonts w:eastAsiaTheme="minorEastAsia" w:hint="eastAsia"/>
                <w:color w:val="000000" w:themeColor="text1"/>
                <w:sz w:val="21"/>
                <w:szCs w:val="21"/>
              </w:rPr>
              <w:t>射线机</w:t>
            </w:r>
          </w:p>
        </w:tc>
        <w:tc>
          <w:tcPr>
            <w:tcW w:w="1198" w:type="pct"/>
            <w:noWrap/>
            <w:vAlign w:val="center"/>
          </w:tcPr>
          <w:p w14:paraId="64EE7CBA" w14:textId="77777777" w:rsidR="00A67F21" w:rsidRPr="00B12FE0" w:rsidRDefault="00000000">
            <w:pPr>
              <w:widowControl/>
              <w:wordWrap w:val="0"/>
              <w:topLinePunct/>
              <w:jc w:val="center"/>
              <w:rPr>
                <w:rFonts w:eastAsiaTheme="minorEastAsia"/>
                <w:color w:val="000000" w:themeColor="text1"/>
                <w:kern w:val="0"/>
                <w:sz w:val="21"/>
                <w:szCs w:val="21"/>
              </w:rPr>
            </w:pPr>
            <w:proofErr w:type="gramStart"/>
            <w:r w:rsidRPr="00B12FE0">
              <w:rPr>
                <w:rFonts w:eastAsiaTheme="minorEastAsia" w:hint="eastAsia"/>
                <w:color w:val="000000" w:themeColor="text1"/>
                <w:sz w:val="21"/>
                <w:szCs w:val="21"/>
              </w:rPr>
              <w:t>Artis</w:t>
            </w:r>
            <w:proofErr w:type="gramEnd"/>
            <w:r w:rsidRPr="00B12FE0">
              <w:rPr>
                <w:rFonts w:eastAsiaTheme="minorEastAsia" w:hint="eastAsia"/>
                <w:color w:val="000000" w:themeColor="text1"/>
                <w:sz w:val="21"/>
                <w:szCs w:val="21"/>
              </w:rPr>
              <w:t xml:space="preserve"> zee </w:t>
            </w:r>
            <w:proofErr w:type="spellStart"/>
            <w:r w:rsidRPr="00B12FE0">
              <w:rPr>
                <w:rFonts w:eastAsiaTheme="minorEastAsia" w:hint="eastAsia"/>
                <w:color w:val="000000" w:themeColor="text1"/>
                <w:sz w:val="21"/>
                <w:szCs w:val="21"/>
              </w:rPr>
              <w:t>IIIfloor</w:t>
            </w:r>
            <w:proofErr w:type="spellEnd"/>
          </w:p>
        </w:tc>
        <w:tc>
          <w:tcPr>
            <w:tcW w:w="383" w:type="pct"/>
            <w:noWrap/>
            <w:vAlign w:val="center"/>
          </w:tcPr>
          <w:p w14:paraId="2C33EAC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sz w:val="21"/>
                <w:szCs w:val="21"/>
              </w:rPr>
              <w:t>II</w:t>
            </w:r>
          </w:p>
        </w:tc>
        <w:tc>
          <w:tcPr>
            <w:tcW w:w="1211" w:type="pct"/>
            <w:vAlign w:val="center"/>
          </w:tcPr>
          <w:p w14:paraId="5EC37E48"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5</w:t>
            </w:r>
            <w:r w:rsidRPr="00B12FE0">
              <w:rPr>
                <w:rFonts w:eastAsiaTheme="minorEastAsia" w:hint="eastAsia"/>
                <w:color w:val="000000" w:themeColor="text1"/>
                <w:sz w:val="21"/>
                <w:szCs w:val="21"/>
              </w:rPr>
              <w:t>号楼</w:t>
            </w:r>
            <w:r w:rsidRPr="00B12FE0">
              <w:rPr>
                <w:rFonts w:eastAsiaTheme="minorEastAsia" w:hint="eastAsia"/>
                <w:color w:val="000000" w:themeColor="text1"/>
                <w:sz w:val="21"/>
                <w:szCs w:val="21"/>
              </w:rPr>
              <w:t>2</w:t>
            </w:r>
            <w:r w:rsidRPr="00B12FE0">
              <w:rPr>
                <w:rFonts w:eastAsiaTheme="minorEastAsia" w:hint="eastAsia"/>
                <w:color w:val="000000" w:themeColor="text1"/>
                <w:sz w:val="21"/>
                <w:szCs w:val="21"/>
              </w:rPr>
              <w:t>楼介入</w:t>
            </w:r>
            <w:r w:rsidRPr="00B12FE0">
              <w:rPr>
                <w:rFonts w:eastAsiaTheme="minorEastAsia" w:hint="eastAsia"/>
                <w:color w:val="000000" w:themeColor="text1"/>
                <w:sz w:val="21"/>
                <w:szCs w:val="21"/>
              </w:rPr>
              <w:t>3</w:t>
            </w:r>
            <w:r w:rsidRPr="00B12FE0">
              <w:rPr>
                <w:rFonts w:eastAsiaTheme="minorEastAsia" w:hint="eastAsia"/>
                <w:color w:val="000000" w:themeColor="text1"/>
                <w:sz w:val="21"/>
                <w:szCs w:val="21"/>
              </w:rPr>
              <w:t>室</w:t>
            </w:r>
          </w:p>
        </w:tc>
        <w:tc>
          <w:tcPr>
            <w:tcW w:w="696" w:type="pct"/>
            <w:vAlign w:val="center"/>
          </w:tcPr>
          <w:p w14:paraId="0CD078C2"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r w:rsidR="00A67F21" w:rsidRPr="00B12FE0" w14:paraId="50B06BF8" w14:textId="77777777">
        <w:trPr>
          <w:trHeight w:val="319"/>
          <w:jc w:val="center"/>
        </w:trPr>
        <w:tc>
          <w:tcPr>
            <w:tcW w:w="390" w:type="pct"/>
            <w:noWrap/>
            <w:vAlign w:val="center"/>
          </w:tcPr>
          <w:p w14:paraId="3029858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26</w:t>
            </w:r>
          </w:p>
        </w:tc>
        <w:tc>
          <w:tcPr>
            <w:tcW w:w="1122" w:type="pct"/>
            <w:noWrap/>
            <w:vAlign w:val="center"/>
          </w:tcPr>
          <w:p w14:paraId="43F53D87"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乳腺</w:t>
            </w:r>
            <w:r w:rsidRPr="00B12FE0">
              <w:rPr>
                <w:rFonts w:eastAsiaTheme="minorEastAsia" w:hint="eastAsia"/>
                <w:color w:val="000000" w:themeColor="text1"/>
                <w:kern w:val="0"/>
                <w:sz w:val="21"/>
                <w:szCs w:val="21"/>
              </w:rPr>
              <w:t>X</w:t>
            </w:r>
            <w:r w:rsidRPr="00B12FE0">
              <w:rPr>
                <w:rFonts w:eastAsiaTheme="minorEastAsia" w:hint="eastAsia"/>
                <w:color w:val="000000" w:themeColor="text1"/>
                <w:kern w:val="0"/>
                <w:sz w:val="21"/>
                <w:szCs w:val="21"/>
              </w:rPr>
              <w:t>射线摄影设备</w:t>
            </w:r>
          </w:p>
        </w:tc>
        <w:tc>
          <w:tcPr>
            <w:tcW w:w="1198" w:type="pct"/>
            <w:noWrap/>
            <w:vAlign w:val="center"/>
          </w:tcPr>
          <w:p w14:paraId="32462C93"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RH-SEITB</w:t>
            </w:r>
          </w:p>
        </w:tc>
        <w:tc>
          <w:tcPr>
            <w:tcW w:w="383" w:type="pct"/>
            <w:noWrap/>
            <w:vAlign w:val="center"/>
          </w:tcPr>
          <w:p w14:paraId="4928D6A6"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sz w:val="21"/>
                <w:szCs w:val="21"/>
              </w:rPr>
              <w:t>III</w:t>
            </w:r>
          </w:p>
        </w:tc>
        <w:tc>
          <w:tcPr>
            <w:tcW w:w="1211" w:type="pct"/>
            <w:vAlign w:val="center"/>
          </w:tcPr>
          <w:p w14:paraId="3EBF7094"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hint="eastAsia"/>
                <w:color w:val="000000" w:themeColor="text1"/>
                <w:kern w:val="0"/>
                <w:sz w:val="21"/>
                <w:szCs w:val="21"/>
              </w:rPr>
              <w:t>2</w:t>
            </w:r>
            <w:r w:rsidRPr="00B12FE0">
              <w:rPr>
                <w:rFonts w:eastAsiaTheme="minorEastAsia" w:hint="eastAsia"/>
                <w:color w:val="000000" w:themeColor="text1"/>
                <w:kern w:val="0"/>
                <w:sz w:val="21"/>
                <w:szCs w:val="21"/>
              </w:rPr>
              <w:t>号楼</w:t>
            </w:r>
            <w:r w:rsidRPr="00B12FE0">
              <w:rPr>
                <w:rFonts w:eastAsiaTheme="minorEastAsia" w:hint="eastAsia"/>
                <w:color w:val="000000" w:themeColor="text1"/>
                <w:kern w:val="0"/>
                <w:sz w:val="21"/>
                <w:szCs w:val="21"/>
              </w:rPr>
              <w:t>1</w:t>
            </w:r>
            <w:r w:rsidRPr="00B12FE0">
              <w:rPr>
                <w:rFonts w:eastAsiaTheme="minorEastAsia" w:hint="eastAsia"/>
                <w:color w:val="000000" w:themeColor="text1"/>
                <w:kern w:val="0"/>
                <w:sz w:val="21"/>
                <w:szCs w:val="21"/>
              </w:rPr>
              <w:t>楼乳腺检查室</w:t>
            </w:r>
          </w:p>
        </w:tc>
        <w:tc>
          <w:tcPr>
            <w:tcW w:w="696" w:type="pct"/>
            <w:vAlign w:val="center"/>
          </w:tcPr>
          <w:p w14:paraId="514EA22D" w14:textId="77777777" w:rsidR="00A67F21" w:rsidRPr="00B12FE0" w:rsidRDefault="00000000">
            <w:pPr>
              <w:widowControl/>
              <w:wordWrap w:val="0"/>
              <w:topLinePunct/>
              <w:jc w:val="center"/>
              <w:rPr>
                <w:rFonts w:eastAsiaTheme="minorEastAsia"/>
                <w:color w:val="000000" w:themeColor="text1"/>
                <w:kern w:val="0"/>
                <w:sz w:val="21"/>
                <w:szCs w:val="21"/>
              </w:rPr>
            </w:pPr>
            <w:r w:rsidRPr="00B12FE0">
              <w:rPr>
                <w:rFonts w:eastAsiaTheme="minorEastAsia"/>
                <w:color w:val="000000" w:themeColor="text1"/>
                <w:kern w:val="0"/>
                <w:sz w:val="21"/>
                <w:szCs w:val="21"/>
              </w:rPr>
              <w:t>已许可</w:t>
            </w:r>
          </w:p>
        </w:tc>
      </w:tr>
    </w:tbl>
    <w:p w14:paraId="1B2AD7D9" w14:textId="77777777" w:rsidR="00A67F21" w:rsidRPr="00B12FE0" w:rsidRDefault="00000000">
      <w:pPr>
        <w:adjustRightInd w:val="0"/>
        <w:snapToGrid w:val="0"/>
        <w:spacing w:line="360" w:lineRule="auto"/>
        <w:jc w:val="left"/>
        <w:outlineLvl w:val="2"/>
        <w:rPr>
          <w:b/>
          <w:bCs/>
          <w:color w:val="000000" w:themeColor="text1"/>
          <w:sz w:val="28"/>
          <w:szCs w:val="28"/>
        </w:rPr>
      </w:pPr>
      <w:r w:rsidRPr="00B12FE0">
        <w:rPr>
          <w:b/>
          <w:color w:val="000000" w:themeColor="text1"/>
          <w:kern w:val="0"/>
          <w:szCs w:val="24"/>
        </w:rPr>
        <w:t>1.</w:t>
      </w:r>
      <w:r w:rsidRPr="00B12FE0">
        <w:rPr>
          <w:rFonts w:hint="eastAsia"/>
          <w:b/>
          <w:color w:val="000000" w:themeColor="text1"/>
          <w:kern w:val="0"/>
          <w:szCs w:val="24"/>
        </w:rPr>
        <w:t>8</w:t>
      </w:r>
      <w:r w:rsidRPr="00B12FE0">
        <w:rPr>
          <w:b/>
          <w:color w:val="000000" w:themeColor="text1"/>
          <w:kern w:val="0"/>
          <w:szCs w:val="24"/>
        </w:rPr>
        <w:t>.3</w:t>
      </w:r>
      <w:r w:rsidRPr="00B12FE0">
        <w:rPr>
          <w:rFonts w:hint="eastAsia"/>
          <w:b/>
          <w:color w:val="000000" w:themeColor="text1"/>
          <w:kern w:val="0"/>
          <w:szCs w:val="24"/>
        </w:rPr>
        <w:t>医院</w:t>
      </w:r>
      <w:r w:rsidRPr="00B12FE0">
        <w:rPr>
          <w:rFonts w:ascii="宋体" w:hAnsi="宋体"/>
          <w:b/>
          <w:bCs/>
          <w:color w:val="000000" w:themeColor="text1"/>
          <w:szCs w:val="24"/>
        </w:rPr>
        <w:t>现有</w:t>
      </w:r>
      <w:r w:rsidRPr="00B12FE0">
        <w:rPr>
          <w:rFonts w:ascii="宋体" w:hAnsi="宋体" w:hint="eastAsia"/>
          <w:b/>
          <w:bCs/>
          <w:color w:val="000000" w:themeColor="text1"/>
          <w:szCs w:val="24"/>
        </w:rPr>
        <w:t>核技术利用项目</w:t>
      </w:r>
      <w:r w:rsidRPr="00B12FE0">
        <w:rPr>
          <w:rFonts w:ascii="宋体" w:hAnsi="宋体"/>
          <w:b/>
          <w:bCs/>
          <w:color w:val="000000" w:themeColor="text1"/>
          <w:szCs w:val="24"/>
        </w:rPr>
        <w:t>管理情况</w:t>
      </w:r>
    </w:p>
    <w:p w14:paraId="55A74FA3" w14:textId="77777777" w:rsidR="00A67F21" w:rsidRPr="00B12FE0" w:rsidRDefault="00000000">
      <w:pPr>
        <w:spacing w:line="360" w:lineRule="auto"/>
        <w:ind w:firstLineChars="200" w:firstLine="482"/>
        <w:rPr>
          <w:color w:val="000000" w:themeColor="text1"/>
          <w:szCs w:val="24"/>
        </w:rPr>
      </w:pPr>
      <w:r w:rsidRPr="00B12FE0">
        <w:rPr>
          <w:b/>
          <w:bCs/>
          <w:color w:val="000000" w:themeColor="text1"/>
          <w:szCs w:val="24"/>
        </w:rPr>
        <w:t>（</w:t>
      </w:r>
      <w:r w:rsidRPr="00B12FE0">
        <w:rPr>
          <w:b/>
          <w:bCs/>
          <w:color w:val="000000" w:themeColor="text1"/>
          <w:szCs w:val="24"/>
        </w:rPr>
        <w:t>1</w:t>
      </w:r>
      <w:r w:rsidRPr="00B12FE0">
        <w:rPr>
          <w:b/>
          <w:bCs/>
          <w:color w:val="000000" w:themeColor="text1"/>
          <w:szCs w:val="24"/>
        </w:rPr>
        <w:t>）</w:t>
      </w:r>
      <w:r w:rsidRPr="00B12FE0">
        <w:rPr>
          <w:rFonts w:hint="eastAsia"/>
          <w:b/>
          <w:bCs/>
          <w:color w:val="000000" w:themeColor="text1"/>
          <w:szCs w:val="24"/>
        </w:rPr>
        <w:t>辐射安全与环境保护管理机构与辐射安全管理规章制度情况</w:t>
      </w:r>
    </w:p>
    <w:p w14:paraId="0EA6F5B6" w14:textId="77777777" w:rsidR="00A67F21" w:rsidRPr="00B12FE0" w:rsidRDefault="00000000">
      <w:pPr>
        <w:spacing w:line="360" w:lineRule="auto"/>
        <w:ind w:firstLineChars="200" w:firstLine="480"/>
        <w:contextualSpacing/>
        <w:rPr>
          <w:color w:val="000000" w:themeColor="text1"/>
          <w:szCs w:val="24"/>
        </w:rPr>
      </w:pPr>
      <w:r w:rsidRPr="00B12FE0">
        <w:rPr>
          <w:color w:val="000000" w:themeColor="text1"/>
          <w:szCs w:val="24"/>
          <w:lang w:val="ru-RU"/>
        </w:rPr>
        <w:t>医院已成立了</w:t>
      </w:r>
      <w:r w:rsidRPr="00B12FE0">
        <w:rPr>
          <w:rFonts w:hint="eastAsia"/>
          <w:color w:val="000000" w:themeColor="text1"/>
          <w:szCs w:val="24"/>
          <w:lang w:val="ru-RU"/>
        </w:rPr>
        <w:t>放射防护管理小组</w:t>
      </w:r>
      <w:r w:rsidRPr="00B12FE0">
        <w:rPr>
          <w:color w:val="000000" w:themeColor="text1"/>
          <w:szCs w:val="24"/>
          <w:lang w:val="ru-RU"/>
        </w:rPr>
        <w:t>，已制定了辐射</w:t>
      </w:r>
      <w:r w:rsidRPr="00B12FE0">
        <w:rPr>
          <w:rFonts w:hint="eastAsia"/>
          <w:color w:val="000000" w:themeColor="text1"/>
          <w:szCs w:val="24"/>
          <w:lang w:val="ru-RU"/>
        </w:rPr>
        <w:t>防护和安全保卫</w:t>
      </w:r>
      <w:r w:rsidRPr="00B12FE0">
        <w:rPr>
          <w:color w:val="000000" w:themeColor="text1"/>
          <w:szCs w:val="24"/>
          <w:lang w:val="ru-RU"/>
        </w:rPr>
        <w:t>制度</w:t>
      </w:r>
      <w:r w:rsidRPr="00B12FE0">
        <w:rPr>
          <w:rFonts w:hint="eastAsia"/>
          <w:color w:val="000000" w:themeColor="text1"/>
          <w:szCs w:val="24"/>
          <w:lang w:val="ru-RU"/>
        </w:rPr>
        <w:t>、射线装置操作规程、射线装置检修及维护制度、放射诊断质量保证大纲、个人计量监测管理制度、辐射防护监测方案、辐射防护培训制度、辐射事件应急预案、台</w:t>
      </w:r>
      <w:proofErr w:type="gramStart"/>
      <w:r w:rsidRPr="00B12FE0">
        <w:rPr>
          <w:rFonts w:hint="eastAsia"/>
          <w:color w:val="000000" w:themeColor="text1"/>
          <w:szCs w:val="24"/>
          <w:lang w:val="ru-RU"/>
        </w:rPr>
        <w:t>账管理</w:t>
      </w:r>
      <w:proofErr w:type="gramEnd"/>
      <w:r w:rsidRPr="00B12FE0">
        <w:rPr>
          <w:rFonts w:hint="eastAsia"/>
          <w:color w:val="000000" w:themeColor="text1"/>
          <w:szCs w:val="24"/>
          <w:lang w:val="ru-RU"/>
        </w:rPr>
        <w:t>制度等</w:t>
      </w:r>
      <w:r w:rsidRPr="00B12FE0">
        <w:rPr>
          <w:color w:val="000000" w:themeColor="text1"/>
          <w:szCs w:val="24"/>
          <w:lang w:val="ru-RU"/>
        </w:rPr>
        <w:t>。</w:t>
      </w:r>
    </w:p>
    <w:p w14:paraId="362D0442"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医院现有管理制度内容较为全面，符合相关要求，现有规章制度基本满足医院</w:t>
      </w:r>
      <w:r w:rsidRPr="00B12FE0">
        <w:rPr>
          <w:rFonts w:hint="eastAsia"/>
          <w:color w:val="000000" w:themeColor="text1"/>
          <w:szCs w:val="24"/>
        </w:rPr>
        <w:t>现状</w:t>
      </w:r>
      <w:r w:rsidRPr="00B12FE0">
        <w:rPr>
          <w:color w:val="000000" w:themeColor="text1"/>
          <w:szCs w:val="24"/>
        </w:rPr>
        <w:t>从事相关辐射活动辐射安全和防护管理的要求。医院严格落实各项规章制度，各辐射防护设施运行、维护、检测工作良好，在辐射安全和防护制度的建立、落实及档案管理等方面运行较好。</w:t>
      </w:r>
    </w:p>
    <w:p w14:paraId="78093A34" w14:textId="77777777" w:rsidR="00A67F21" w:rsidRPr="00B12FE0" w:rsidRDefault="00000000">
      <w:pPr>
        <w:spacing w:line="360" w:lineRule="auto"/>
        <w:ind w:firstLineChars="200" w:firstLine="482"/>
        <w:rPr>
          <w:color w:val="000000" w:themeColor="text1"/>
          <w:szCs w:val="24"/>
        </w:rPr>
      </w:pPr>
      <w:r w:rsidRPr="00B12FE0">
        <w:rPr>
          <w:b/>
          <w:bCs/>
          <w:color w:val="000000" w:themeColor="text1"/>
          <w:szCs w:val="24"/>
        </w:rPr>
        <w:t>（</w:t>
      </w:r>
      <w:r w:rsidRPr="00B12FE0">
        <w:rPr>
          <w:b/>
          <w:bCs/>
          <w:color w:val="000000" w:themeColor="text1"/>
          <w:szCs w:val="24"/>
        </w:rPr>
        <w:t>2</w:t>
      </w:r>
      <w:r w:rsidRPr="00B12FE0">
        <w:rPr>
          <w:b/>
          <w:bCs/>
          <w:color w:val="000000" w:themeColor="text1"/>
          <w:szCs w:val="24"/>
        </w:rPr>
        <w:t>）</w:t>
      </w:r>
      <w:r w:rsidRPr="00B12FE0">
        <w:rPr>
          <w:rFonts w:hint="eastAsia"/>
          <w:b/>
          <w:bCs/>
          <w:color w:val="000000" w:themeColor="text1"/>
          <w:szCs w:val="24"/>
        </w:rPr>
        <w:t>个人剂量检测情况</w:t>
      </w:r>
    </w:p>
    <w:p w14:paraId="150AE21E"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辐射工作期间，要求辐射工作人员佩戴个人剂量计，建立剂量健康档案，个人剂量计每三个月送检一次。医院开展了辐射工作人员剂量监测，根据</w:t>
      </w:r>
      <w:r w:rsidRPr="00B12FE0">
        <w:rPr>
          <w:rFonts w:hint="eastAsia"/>
          <w:color w:val="000000" w:themeColor="text1"/>
          <w:szCs w:val="24"/>
        </w:rPr>
        <w:t>医院提供的</w:t>
      </w:r>
      <w:r w:rsidRPr="00B12FE0">
        <w:rPr>
          <w:color w:val="000000" w:themeColor="text1"/>
          <w:szCs w:val="24"/>
        </w:rPr>
        <w:t>202</w:t>
      </w:r>
      <w:r w:rsidRPr="00B12FE0">
        <w:rPr>
          <w:rFonts w:hint="eastAsia"/>
          <w:color w:val="000000" w:themeColor="text1"/>
          <w:szCs w:val="24"/>
        </w:rPr>
        <w:t>5</w:t>
      </w:r>
      <w:r w:rsidRPr="00B12FE0">
        <w:rPr>
          <w:color w:val="000000" w:themeColor="text1"/>
          <w:szCs w:val="24"/>
        </w:rPr>
        <w:t>年</w:t>
      </w:r>
      <w:r w:rsidRPr="00B12FE0">
        <w:rPr>
          <w:rFonts w:hint="eastAsia"/>
          <w:color w:val="000000" w:themeColor="text1"/>
          <w:szCs w:val="24"/>
        </w:rPr>
        <w:t>1</w:t>
      </w:r>
      <w:r w:rsidRPr="00B12FE0">
        <w:rPr>
          <w:rFonts w:hint="eastAsia"/>
          <w:color w:val="000000" w:themeColor="text1"/>
          <w:szCs w:val="24"/>
        </w:rPr>
        <w:t>月</w:t>
      </w:r>
      <w:r w:rsidRPr="00B12FE0">
        <w:rPr>
          <w:color w:val="000000" w:themeColor="text1"/>
          <w:szCs w:val="24"/>
        </w:rPr>
        <w:t>到</w:t>
      </w:r>
      <w:r w:rsidRPr="00B12FE0">
        <w:rPr>
          <w:color w:val="000000" w:themeColor="text1"/>
          <w:szCs w:val="24"/>
        </w:rPr>
        <w:t>202</w:t>
      </w:r>
      <w:r w:rsidRPr="00B12FE0">
        <w:rPr>
          <w:rFonts w:hint="eastAsia"/>
          <w:color w:val="000000" w:themeColor="text1"/>
          <w:szCs w:val="24"/>
        </w:rPr>
        <w:t>6</w:t>
      </w:r>
      <w:r w:rsidRPr="00B12FE0">
        <w:rPr>
          <w:color w:val="000000" w:themeColor="text1"/>
          <w:szCs w:val="24"/>
        </w:rPr>
        <w:t>年</w:t>
      </w:r>
      <w:r w:rsidRPr="00B12FE0">
        <w:rPr>
          <w:rFonts w:hint="eastAsia"/>
          <w:color w:val="000000" w:themeColor="text1"/>
          <w:szCs w:val="24"/>
        </w:rPr>
        <w:t>1</w:t>
      </w:r>
      <w:r w:rsidRPr="00B12FE0">
        <w:rPr>
          <w:rFonts w:hint="eastAsia"/>
          <w:color w:val="000000" w:themeColor="text1"/>
          <w:szCs w:val="24"/>
        </w:rPr>
        <w:t>月</w:t>
      </w:r>
      <w:r w:rsidRPr="00B12FE0">
        <w:rPr>
          <w:color w:val="000000" w:themeColor="text1"/>
          <w:szCs w:val="24"/>
        </w:rPr>
        <w:t>的</w:t>
      </w:r>
      <w:r w:rsidRPr="00B12FE0">
        <w:rPr>
          <w:rFonts w:hint="eastAsia"/>
          <w:color w:val="000000" w:themeColor="text1"/>
          <w:szCs w:val="24"/>
        </w:rPr>
        <w:t>连续四个季度的</w:t>
      </w:r>
      <w:r w:rsidRPr="00B12FE0">
        <w:rPr>
          <w:color w:val="000000" w:themeColor="text1"/>
          <w:szCs w:val="24"/>
        </w:rPr>
        <w:t>个人剂量检测报告（见附件</w:t>
      </w:r>
      <w:r w:rsidRPr="00B12FE0">
        <w:rPr>
          <w:rFonts w:hint="eastAsia"/>
          <w:color w:val="000000" w:themeColor="text1"/>
          <w:szCs w:val="24"/>
        </w:rPr>
        <w:t>8</w:t>
      </w:r>
      <w:r w:rsidRPr="00B12FE0">
        <w:rPr>
          <w:color w:val="000000" w:themeColor="text1"/>
          <w:szCs w:val="24"/>
        </w:rPr>
        <w:t>），</w:t>
      </w:r>
      <w:r w:rsidRPr="00B12FE0">
        <w:rPr>
          <w:rFonts w:hint="eastAsia"/>
          <w:color w:val="000000" w:themeColor="text1"/>
          <w:szCs w:val="24"/>
        </w:rPr>
        <w:t>根据检测报告可知，现有辐射</w:t>
      </w:r>
      <w:r w:rsidRPr="00B12FE0">
        <w:rPr>
          <w:color w:val="000000" w:themeColor="text1"/>
          <w:szCs w:val="24"/>
        </w:rPr>
        <w:t>工作人员个人剂量连续四个监测周期的辐射监测</w:t>
      </w:r>
      <w:r w:rsidRPr="00B12FE0">
        <w:rPr>
          <w:rFonts w:hint="eastAsia"/>
          <w:color w:val="000000" w:themeColor="text1"/>
          <w:szCs w:val="24"/>
        </w:rPr>
        <w:t>累计值</w:t>
      </w:r>
      <w:r w:rsidRPr="00B12FE0">
        <w:rPr>
          <w:color w:val="000000" w:themeColor="text1"/>
          <w:szCs w:val="24"/>
        </w:rPr>
        <w:t>均符合《电离辐射防护与辐射源安全基本标准》（</w:t>
      </w:r>
      <w:r w:rsidRPr="00B12FE0">
        <w:rPr>
          <w:color w:val="000000" w:themeColor="text1"/>
          <w:szCs w:val="24"/>
        </w:rPr>
        <w:t>GB18871-2002</w:t>
      </w:r>
      <w:r w:rsidRPr="00B12FE0">
        <w:rPr>
          <w:color w:val="000000" w:themeColor="text1"/>
          <w:szCs w:val="24"/>
        </w:rPr>
        <w:t>）中对辐射工作人员要求的剂量限值，也低于辐射工作人员的年剂量约束值</w:t>
      </w:r>
      <w:r w:rsidRPr="00B12FE0">
        <w:rPr>
          <w:color w:val="000000" w:themeColor="text1"/>
          <w:szCs w:val="24"/>
        </w:rPr>
        <w:t>5mSv</w:t>
      </w:r>
      <w:r w:rsidRPr="00B12FE0">
        <w:rPr>
          <w:color w:val="000000" w:themeColor="text1"/>
          <w:szCs w:val="24"/>
        </w:rPr>
        <w:t>。</w:t>
      </w:r>
    </w:p>
    <w:p w14:paraId="5D914AE0" w14:textId="77777777" w:rsidR="00A67F21" w:rsidRPr="00B12FE0" w:rsidRDefault="00000000">
      <w:pPr>
        <w:spacing w:line="360" w:lineRule="auto"/>
        <w:ind w:firstLineChars="200" w:firstLine="482"/>
        <w:rPr>
          <w:b/>
          <w:bCs/>
          <w:color w:val="000000" w:themeColor="text1"/>
          <w:szCs w:val="24"/>
        </w:rPr>
      </w:pPr>
      <w:r w:rsidRPr="00B12FE0">
        <w:rPr>
          <w:b/>
          <w:bCs/>
          <w:color w:val="000000" w:themeColor="text1"/>
          <w:szCs w:val="24"/>
        </w:rPr>
        <w:t>（</w:t>
      </w:r>
      <w:r w:rsidRPr="00B12FE0">
        <w:rPr>
          <w:b/>
          <w:bCs/>
          <w:color w:val="000000" w:themeColor="text1"/>
          <w:szCs w:val="24"/>
        </w:rPr>
        <w:t>3</w:t>
      </w:r>
      <w:r w:rsidRPr="00B12FE0">
        <w:rPr>
          <w:b/>
          <w:bCs/>
          <w:color w:val="000000" w:themeColor="text1"/>
          <w:szCs w:val="24"/>
        </w:rPr>
        <w:t>）</w:t>
      </w:r>
      <w:r w:rsidRPr="00B12FE0">
        <w:rPr>
          <w:rFonts w:hint="eastAsia"/>
          <w:b/>
          <w:bCs/>
          <w:color w:val="000000" w:themeColor="text1"/>
          <w:szCs w:val="24"/>
        </w:rPr>
        <w:t>辐射安全与防护考核情况</w:t>
      </w:r>
    </w:p>
    <w:p w14:paraId="29F25323" w14:textId="77777777" w:rsidR="00A67F21" w:rsidRPr="00B12FE0" w:rsidRDefault="00000000">
      <w:pPr>
        <w:spacing w:line="360" w:lineRule="auto"/>
        <w:ind w:firstLineChars="200" w:firstLine="480"/>
        <w:rPr>
          <w:color w:val="000000" w:themeColor="text1"/>
          <w:szCs w:val="24"/>
        </w:rPr>
      </w:pPr>
      <w:r w:rsidRPr="00B12FE0">
        <w:rPr>
          <w:rFonts w:hint="eastAsia"/>
          <w:color w:val="000000" w:themeColor="text1"/>
          <w:szCs w:val="24"/>
        </w:rPr>
        <w:t>医院现有辐射工作人员均持有辐射安全培训合格证书或在生态环境部平台培训后经考核合格取得合格成绩单，合格证书和成绩单均在有效期内</w:t>
      </w:r>
      <w:r w:rsidRPr="00B12FE0">
        <w:rPr>
          <w:color w:val="000000" w:themeColor="text1"/>
          <w:szCs w:val="24"/>
        </w:rPr>
        <w:t>。</w:t>
      </w:r>
    </w:p>
    <w:p w14:paraId="506C1E6F" w14:textId="77777777" w:rsidR="00A67F21" w:rsidRPr="00B12FE0" w:rsidRDefault="00000000">
      <w:pPr>
        <w:spacing w:line="360" w:lineRule="auto"/>
        <w:ind w:firstLineChars="200" w:firstLine="482"/>
        <w:rPr>
          <w:b/>
          <w:bCs/>
          <w:color w:val="000000" w:themeColor="text1"/>
          <w:szCs w:val="24"/>
        </w:rPr>
      </w:pPr>
      <w:r w:rsidRPr="00B12FE0">
        <w:rPr>
          <w:b/>
          <w:bCs/>
          <w:color w:val="000000" w:themeColor="text1"/>
          <w:szCs w:val="24"/>
        </w:rPr>
        <w:t>（</w:t>
      </w:r>
      <w:r w:rsidRPr="00B12FE0">
        <w:rPr>
          <w:b/>
          <w:bCs/>
          <w:color w:val="000000" w:themeColor="text1"/>
          <w:szCs w:val="24"/>
        </w:rPr>
        <w:t>4</w:t>
      </w:r>
      <w:r w:rsidRPr="00B12FE0">
        <w:rPr>
          <w:b/>
          <w:bCs/>
          <w:color w:val="000000" w:themeColor="text1"/>
          <w:szCs w:val="24"/>
        </w:rPr>
        <w:t>）</w:t>
      </w:r>
      <w:r w:rsidRPr="00B12FE0">
        <w:rPr>
          <w:rFonts w:hint="eastAsia"/>
          <w:b/>
          <w:bCs/>
          <w:color w:val="000000" w:themeColor="text1"/>
          <w:szCs w:val="24"/>
        </w:rPr>
        <w:t>职业健康检查情况</w:t>
      </w:r>
    </w:p>
    <w:p w14:paraId="5ED8756B"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医院现有辐射工作人员建有职业健康档案，辐射工作人员岗前、在岗期间和离岗</w:t>
      </w:r>
      <w:r w:rsidRPr="00B12FE0">
        <w:rPr>
          <w:color w:val="000000" w:themeColor="text1"/>
          <w:szCs w:val="24"/>
        </w:rPr>
        <w:lastRenderedPageBreak/>
        <w:t>前均进行职业健康体检，在岗期间体检周期不超过</w:t>
      </w:r>
      <w:r w:rsidRPr="00B12FE0">
        <w:rPr>
          <w:color w:val="000000" w:themeColor="text1"/>
          <w:szCs w:val="24"/>
        </w:rPr>
        <w:t>2</w:t>
      </w:r>
      <w:r w:rsidRPr="00B12FE0">
        <w:rPr>
          <w:color w:val="000000" w:themeColor="text1"/>
          <w:szCs w:val="24"/>
        </w:rPr>
        <w:t>年。</w:t>
      </w:r>
    </w:p>
    <w:p w14:paraId="311D75B2" w14:textId="77777777" w:rsidR="00A67F21" w:rsidRPr="00B12FE0" w:rsidRDefault="00000000">
      <w:pPr>
        <w:spacing w:line="360" w:lineRule="auto"/>
        <w:ind w:firstLineChars="200" w:firstLine="482"/>
        <w:rPr>
          <w:b/>
          <w:bCs/>
          <w:color w:val="000000" w:themeColor="text1"/>
          <w:szCs w:val="24"/>
        </w:rPr>
      </w:pPr>
      <w:r w:rsidRPr="00B12FE0">
        <w:rPr>
          <w:b/>
          <w:bCs/>
          <w:color w:val="000000" w:themeColor="text1"/>
          <w:szCs w:val="24"/>
        </w:rPr>
        <w:t>（</w:t>
      </w:r>
      <w:r w:rsidRPr="00B12FE0">
        <w:rPr>
          <w:b/>
          <w:bCs/>
          <w:color w:val="000000" w:themeColor="text1"/>
          <w:szCs w:val="24"/>
        </w:rPr>
        <w:t>5</w:t>
      </w:r>
      <w:r w:rsidRPr="00B12FE0">
        <w:rPr>
          <w:b/>
          <w:bCs/>
          <w:color w:val="000000" w:themeColor="text1"/>
          <w:szCs w:val="24"/>
        </w:rPr>
        <w:t>）</w:t>
      </w:r>
      <w:r w:rsidRPr="00B12FE0">
        <w:rPr>
          <w:rFonts w:hint="eastAsia"/>
          <w:b/>
          <w:bCs/>
          <w:color w:val="000000" w:themeColor="text1"/>
          <w:szCs w:val="24"/>
        </w:rPr>
        <w:t>辐射工作场所管理情况</w:t>
      </w:r>
    </w:p>
    <w:p w14:paraId="5238EFC0"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医院现有辐射工作场所均采取了符合标准要求的屏蔽防护措施</w:t>
      </w:r>
      <w:r w:rsidRPr="00B12FE0">
        <w:rPr>
          <w:rFonts w:hint="eastAsia"/>
          <w:color w:val="000000" w:themeColor="text1"/>
          <w:szCs w:val="24"/>
        </w:rPr>
        <w:t>，</w:t>
      </w:r>
      <w:r w:rsidRPr="00B12FE0">
        <w:rPr>
          <w:color w:val="000000" w:themeColor="text1"/>
          <w:szCs w:val="24"/>
        </w:rPr>
        <w:t>设置有电离辐射</w:t>
      </w:r>
      <w:r w:rsidRPr="00B12FE0">
        <w:rPr>
          <w:rFonts w:hint="eastAsia"/>
          <w:color w:val="000000" w:themeColor="text1"/>
          <w:szCs w:val="24"/>
        </w:rPr>
        <w:t>警告标志和</w:t>
      </w:r>
      <w:r w:rsidRPr="00B12FE0">
        <w:rPr>
          <w:color w:val="000000" w:themeColor="text1"/>
          <w:szCs w:val="24"/>
        </w:rPr>
        <w:t>工作状态指示灯并与防护门</w:t>
      </w:r>
      <w:proofErr w:type="gramStart"/>
      <w:r w:rsidRPr="00B12FE0">
        <w:rPr>
          <w:color w:val="000000" w:themeColor="text1"/>
          <w:szCs w:val="24"/>
        </w:rPr>
        <w:t>联锁</w:t>
      </w:r>
      <w:proofErr w:type="gramEnd"/>
      <w:r w:rsidRPr="00B12FE0">
        <w:rPr>
          <w:color w:val="000000" w:themeColor="text1"/>
          <w:szCs w:val="24"/>
        </w:rPr>
        <w:t>。根据不同项目实际情况划分辐射防护控制区和监督区，采取分区管理，进行积极、有效的管控。</w:t>
      </w:r>
    </w:p>
    <w:p w14:paraId="6D527A87" w14:textId="77777777" w:rsidR="00A67F21" w:rsidRPr="00B12FE0" w:rsidRDefault="00000000">
      <w:pPr>
        <w:spacing w:line="360" w:lineRule="auto"/>
        <w:ind w:firstLineChars="200" w:firstLine="480"/>
        <w:rPr>
          <w:color w:val="000000" w:themeColor="text1"/>
          <w:szCs w:val="24"/>
        </w:rPr>
      </w:pPr>
      <w:r w:rsidRPr="00B12FE0">
        <w:rPr>
          <w:rFonts w:ascii="宋体" w:hAnsi="宋体" w:cs="宋体"/>
          <w:color w:val="000000" w:themeColor="text1"/>
          <w:szCs w:val="24"/>
        </w:rPr>
        <w:t>医院每年定期委托有资质的单位对辐射工作场所和设备性能进行年度监测，根据</w:t>
      </w:r>
      <w:r w:rsidRPr="00B12FE0">
        <w:rPr>
          <w:rFonts w:ascii="宋体" w:hAnsi="宋体" w:cs="宋体" w:hint="eastAsia"/>
          <w:color w:val="000000" w:themeColor="text1"/>
          <w:szCs w:val="24"/>
        </w:rPr>
        <w:t>医院</w:t>
      </w:r>
      <w:r w:rsidRPr="00B12FE0">
        <w:rPr>
          <w:rFonts w:ascii="宋体" w:hAnsi="宋体" w:cs="宋体"/>
          <w:color w:val="000000" w:themeColor="text1"/>
          <w:szCs w:val="24"/>
        </w:rPr>
        <w:t>提供的监测报告，各辐射工作场所监测结果均满足相关标准要求，医院现已采取的辐射工作场所防护措施能够满足已开展辐射活动的辐射安全防护要求。</w:t>
      </w:r>
    </w:p>
    <w:p w14:paraId="10338ED2" w14:textId="77777777" w:rsidR="00A67F21" w:rsidRPr="00B12FE0" w:rsidRDefault="00000000">
      <w:pPr>
        <w:spacing w:line="360" w:lineRule="auto"/>
        <w:ind w:firstLineChars="200" w:firstLine="482"/>
        <w:rPr>
          <w:b/>
          <w:bCs/>
          <w:color w:val="000000" w:themeColor="text1"/>
          <w:szCs w:val="24"/>
        </w:rPr>
      </w:pPr>
      <w:r w:rsidRPr="00B12FE0">
        <w:rPr>
          <w:b/>
          <w:bCs/>
          <w:color w:val="000000" w:themeColor="text1"/>
          <w:szCs w:val="24"/>
        </w:rPr>
        <w:t>（</w:t>
      </w:r>
      <w:r w:rsidRPr="00B12FE0">
        <w:rPr>
          <w:rFonts w:hint="eastAsia"/>
          <w:b/>
          <w:bCs/>
          <w:color w:val="000000" w:themeColor="text1"/>
          <w:szCs w:val="24"/>
        </w:rPr>
        <w:t>6</w:t>
      </w:r>
      <w:r w:rsidRPr="00B12FE0">
        <w:rPr>
          <w:b/>
          <w:bCs/>
          <w:color w:val="000000" w:themeColor="text1"/>
          <w:szCs w:val="24"/>
        </w:rPr>
        <w:t>）辐射应急演练和年度评估</w:t>
      </w:r>
    </w:p>
    <w:p w14:paraId="24FAD8D8" w14:textId="77777777" w:rsidR="00A67F21" w:rsidRPr="00B12FE0" w:rsidRDefault="00000000">
      <w:pPr>
        <w:spacing w:line="360" w:lineRule="auto"/>
        <w:ind w:firstLineChars="200" w:firstLine="480"/>
        <w:rPr>
          <w:color w:val="000000" w:themeColor="text1"/>
        </w:rPr>
      </w:pPr>
      <w:r w:rsidRPr="00B12FE0">
        <w:rPr>
          <w:color w:val="000000" w:themeColor="text1"/>
        </w:rPr>
        <w:t>医院已制定有《</w:t>
      </w:r>
      <w:r w:rsidRPr="00B12FE0">
        <w:rPr>
          <w:rFonts w:hint="eastAsia"/>
          <w:color w:val="000000" w:themeColor="text1"/>
        </w:rPr>
        <w:t>辐射事故应急预案</w:t>
      </w:r>
      <w:r w:rsidRPr="00B12FE0">
        <w:rPr>
          <w:color w:val="000000" w:themeColor="text1"/>
        </w:rPr>
        <w:t>》</w:t>
      </w:r>
      <w:r w:rsidRPr="00B12FE0">
        <w:rPr>
          <w:rFonts w:hint="eastAsia"/>
          <w:color w:val="000000" w:themeColor="text1"/>
        </w:rPr>
        <w:t>（具体见附件</w:t>
      </w:r>
      <w:r w:rsidRPr="00B12FE0">
        <w:rPr>
          <w:rFonts w:hint="eastAsia"/>
          <w:color w:val="000000" w:themeColor="text1"/>
        </w:rPr>
        <w:t>6</w:t>
      </w:r>
      <w:r w:rsidRPr="00B12FE0">
        <w:rPr>
          <w:rFonts w:hint="eastAsia"/>
          <w:color w:val="000000" w:themeColor="text1"/>
        </w:rPr>
        <w:t>）。</w:t>
      </w:r>
      <w:r w:rsidRPr="00B12FE0">
        <w:rPr>
          <w:color w:val="000000" w:themeColor="text1"/>
        </w:rPr>
        <w:t>经医院核实，自辐射活动开展以来，未发生过辐射事故。医院执行年度评估制度，编制有《辐射安全与防护状况评估报告》，对现有射线装置辐射工作场所防护状况、人员培训及个人剂量、射线装置台账、辐射安全与防护制度执行情况等进行年度总结和评估，并于每年</w:t>
      </w:r>
      <w:r w:rsidRPr="00B12FE0">
        <w:rPr>
          <w:color w:val="000000" w:themeColor="text1"/>
        </w:rPr>
        <w:t>1</w:t>
      </w:r>
      <w:r w:rsidRPr="00B12FE0">
        <w:rPr>
          <w:color w:val="000000" w:themeColor="text1"/>
        </w:rPr>
        <w:t>月</w:t>
      </w:r>
      <w:r w:rsidRPr="00B12FE0">
        <w:rPr>
          <w:color w:val="000000" w:themeColor="text1"/>
        </w:rPr>
        <w:t>31</w:t>
      </w:r>
      <w:r w:rsidRPr="00B12FE0">
        <w:rPr>
          <w:color w:val="000000" w:themeColor="text1"/>
        </w:rPr>
        <w:t>日前向发证机关提交上一年度的评估报告。</w:t>
      </w:r>
    </w:p>
    <w:p w14:paraId="465DA60B" w14:textId="77777777" w:rsidR="00A67F21" w:rsidRPr="00B12FE0" w:rsidRDefault="00A67F21">
      <w:pPr>
        <w:spacing w:before="120" w:after="120" w:line="360" w:lineRule="auto"/>
        <w:rPr>
          <w:color w:val="000000" w:themeColor="text1"/>
        </w:rPr>
        <w:sectPr w:rsidR="00A67F21" w:rsidRPr="00B12FE0">
          <w:pgSz w:w="11907" w:h="16840"/>
          <w:pgMar w:top="1440" w:right="1440" w:bottom="1440" w:left="1440" w:header="851" w:footer="850" w:gutter="0"/>
          <w:pgBorders>
            <w:top w:val="single" w:sz="4" w:space="1" w:color="auto"/>
            <w:left w:val="single" w:sz="4" w:space="4" w:color="auto"/>
            <w:bottom w:val="single" w:sz="4" w:space="1" w:color="auto"/>
            <w:right w:val="single" w:sz="4" w:space="4" w:color="auto"/>
          </w:pgBorders>
          <w:cols w:space="720"/>
          <w:docGrid w:linePitch="332"/>
        </w:sectPr>
      </w:pPr>
    </w:p>
    <w:p w14:paraId="11B7CA18" w14:textId="77777777" w:rsidR="00A67F21" w:rsidRPr="00B12FE0" w:rsidRDefault="00000000">
      <w:pPr>
        <w:spacing w:line="360" w:lineRule="auto"/>
        <w:outlineLvl w:val="0"/>
        <w:rPr>
          <w:b/>
          <w:color w:val="000000" w:themeColor="text1"/>
          <w:sz w:val="32"/>
          <w:szCs w:val="32"/>
        </w:rPr>
      </w:pPr>
      <w:bookmarkStart w:id="5" w:name="_Toc8874"/>
      <w:r w:rsidRPr="00B12FE0">
        <w:rPr>
          <w:b/>
          <w:color w:val="000000" w:themeColor="text1"/>
          <w:sz w:val="32"/>
          <w:szCs w:val="32"/>
        </w:rPr>
        <w:lastRenderedPageBreak/>
        <w:t>表</w:t>
      </w:r>
      <w:r w:rsidRPr="00B12FE0">
        <w:rPr>
          <w:b/>
          <w:color w:val="000000" w:themeColor="text1"/>
          <w:sz w:val="32"/>
          <w:szCs w:val="32"/>
        </w:rPr>
        <w:t xml:space="preserve">2 </w:t>
      </w:r>
      <w:r w:rsidRPr="00B12FE0">
        <w:rPr>
          <w:b/>
          <w:color w:val="000000" w:themeColor="text1"/>
          <w:sz w:val="32"/>
          <w:szCs w:val="32"/>
        </w:rPr>
        <w:t>放射源</w:t>
      </w:r>
      <w:bookmarkEnd w:id="5"/>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1276"/>
        <w:gridCol w:w="3260"/>
        <w:gridCol w:w="709"/>
        <w:gridCol w:w="1134"/>
        <w:gridCol w:w="1559"/>
        <w:gridCol w:w="1993"/>
        <w:gridCol w:w="2518"/>
        <w:gridCol w:w="822"/>
      </w:tblGrid>
      <w:tr w:rsidR="00A67F21" w:rsidRPr="00B12FE0" w14:paraId="75FAB36A" w14:textId="77777777">
        <w:trPr>
          <w:cantSplit/>
          <w:trHeight w:val="510"/>
          <w:jc w:val="center"/>
        </w:trPr>
        <w:tc>
          <w:tcPr>
            <w:tcW w:w="729" w:type="dxa"/>
            <w:vAlign w:val="center"/>
          </w:tcPr>
          <w:p w14:paraId="52D0A2E1"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序号</w:t>
            </w:r>
          </w:p>
        </w:tc>
        <w:tc>
          <w:tcPr>
            <w:tcW w:w="1276" w:type="dxa"/>
            <w:vAlign w:val="center"/>
          </w:tcPr>
          <w:p w14:paraId="2905795E"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核素名称</w:t>
            </w:r>
          </w:p>
        </w:tc>
        <w:tc>
          <w:tcPr>
            <w:tcW w:w="3260" w:type="dxa"/>
            <w:vAlign w:val="center"/>
          </w:tcPr>
          <w:p w14:paraId="520DC6A4"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总活度（</w:t>
            </w:r>
            <w:r w:rsidRPr="00B12FE0">
              <w:rPr>
                <w:color w:val="000000" w:themeColor="text1"/>
                <w:kern w:val="0"/>
                <w:sz w:val="21"/>
                <w:szCs w:val="21"/>
              </w:rPr>
              <w:t>Bq)/</w:t>
            </w:r>
          </w:p>
          <w:p w14:paraId="758A63F5"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活度（</w:t>
            </w:r>
            <w:r w:rsidRPr="00B12FE0">
              <w:rPr>
                <w:color w:val="000000" w:themeColor="text1"/>
                <w:kern w:val="0"/>
                <w:sz w:val="21"/>
                <w:szCs w:val="21"/>
              </w:rPr>
              <w:t>Bq</w:t>
            </w:r>
            <w:r w:rsidRPr="00B12FE0">
              <w:rPr>
                <w:color w:val="000000" w:themeColor="text1"/>
                <w:kern w:val="0"/>
                <w:sz w:val="21"/>
                <w:szCs w:val="21"/>
              </w:rPr>
              <w:t>）</w:t>
            </w:r>
            <w:r w:rsidRPr="00B12FE0">
              <w:rPr>
                <w:color w:val="000000" w:themeColor="text1"/>
                <w:kern w:val="0"/>
                <w:sz w:val="21"/>
                <w:szCs w:val="21"/>
              </w:rPr>
              <w:t>×</w:t>
            </w:r>
            <w:r w:rsidRPr="00B12FE0">
              <w:rPr>
                <w:color w:val="000000" w:themeColor="text1"/>
                <w:kern w:val="0"/>
                <w:sz w:val="21"/>
                <w:szCs w:val="21"/>
              </w:rPr>
              <w:t>枚数</w:t>
            </w:r>
          </w:p>
        </w:tc>
        <w:tc>
          <w:tcPr>
            <w:tcW w:w="709" w:type="dxa"/>
            <w:vAlign w:val="center"/>
          </w:tcPr>
          <w:p w14:paraId="59299AC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类别</w:t>
            </w:r>
          </w:p>
        </w:tc>
        <w:tc>
          <w:tcPr>
            <w:tcW w:w="1134" w:type="dxa"/>
            <w:vAlign w:val="center"/>
          </w:tcPr>
          <w:p w14:paraId="2C247A6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活动种类</w:t>
            </w:r>
          </w:p>
        </w:tc>
        <w:tc>
          <w:tcPr>
            <w:tcW w:w="1559" w:type="dxa"/>
            <w:vAlign w:val="center"/>
          </w:tcPr>
          <w:p w14:paraId="0E7953CF"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用途</w:t>
            </w:r>
          </w:p>
        </w:tc>
        <w:tc>
          <w:tcPr>
            <w:tcW w:w="1993" w:type="dxa"/>
            <w:vAlign w:val="center"/>
          </w:tcPr>
          <w:p w14:paraId="5F90E61E"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使用场所</w:t>
            </w:r>
          </w:p>
        </w:tc>
        <w:tc>
          <w:tcPr>
            <w:tcW w:w="2518" w:type="dxa"/>
            <w:vAlign w:val="center"/>
          </w:tcPr>
          <w:p w14:paraId="54D8F666"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贮存方式与地点</w:t>
            </w:r>
          </w:p>
        </w:tc>
        <w:tc>
          <w:tcPr>
            <w:tcW w:w="822" w:type="dxa"/>
            <w:vAlign w:val="center"/>
          </w:tcPr>
          <w:p w14:paraId="2271774E"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备注</w:t>
            </w:r>
          </w:p>
        </w:tc>
      </w:tr>
      <w:tr w:rsidR="00A67F21" w:rsidRPr="00B12FE0" w14:paraId="27D59CEA" w14:textId="77777777">
        <w:trPr>
          <w:cantSplit/>
          <w:trHeight w:val="510"/>
          <w:jc w:val="center"/>
        </w:trPr>
        <w:tc>
          <w:tcPr>
            <w:tcW w:w="729" w:type="dxa"/>
            <w:vAlign w:val="center"/>
          </w:tcPr>
          <w:p w14:paraId="2DC1DFAC"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1</w:t>
            </w:r>
          </w:p>
        </w:tc>
        <w:tc>
          <w:tcPr>
            <w:tcW w:w="1276" w:type="dxa"/>
            <w:vAlign w:val="center"/>
          </w:tcPr>
          <w:p w14:paraId="01AE8E33"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vertAlign w:val="superscript"/>
              </w:rPr>
              <w:t>192</w:t>
            </w:r>
            <w:r w:rsidRPr="00B12FE0">
              <w:rPr>
                <w:color w:val="000000" w:themeColor="text1"/>
                <w:sz w:val="21"/>
                <w:szCs w:val="21"/>
              </w:rPr>
              <w:t>Ir</w:t>
            </w:r>
          </w:p>
        </w:tc>
        <w:tc>
          <w:tcPr>
            <w:tcW w:w="3260" w:type="dxa"/>
            <w:vAlign w:val="center"/>
          </w:tcPr>
          <w:p w14:paraId="2091DD4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rPr>
              <w:t>3.70</w:t>
            </w:r>
            <w:r w:rsidRPr="00B12FE0">
              <w:rPr>
                <w:color w:val="000000" w:themeColor="text1"/>
                <w:kern w:val="0"/>
                <w:sz w:val="21"/>
                <w:szCs w:val="21"/>
              </w:rPr>
              <w:t>×10</w:t>
            </w:r>
            <w:r w:rsidRPr="00B12FE0">
              <w:rPr>
                <w:color w:val="000000" w:themeColor="text1"/>
                <w:kern w:val="0"/>
                <w:sz w:val="21"/>
                <w:szCs w:val="21"/>
                <w:vertAlign w:val="superscript"/>
              </w:rPr>
              <w:t>11</w:t>
            </w:r>
            <w:r w:rsidRPr="00B12FE0">
              <w:rPr>
                <w:color w:val="000000" w:themeColor="text1"/>
                <w:kern w:val="0"/>
                <w:sz w:val="21"/>
                <w:szCs w:val="21"/>
              </w:rPr>
              <w:t>Bq/</w:t>
            </w:r>
            <w:r w:rsidRPr="00B12FE0">
              <w:rPr>
                <w:color w:val="000000" w:themeColor="text1"/>
                <w:sz w:val="21"/>
                <w:szCs w:val="21"/>
              </w:rPr>
              <w:t>3.70</w:t>
            </w:r>
            <w:r w:rsidRPr="00B12FE0">
              <w:rPr>
                <w:color w:val="000000" w:themeColor="text1"/>
                <w:kern w:val="0"/>
                <w:sz w:val="21"/>
                <w:szCs w:val="21"/>
              </w:rPr>
              <w:t>×10</w:t>
            </w:r>
            <w:r w:rsidRPr="00B12FE0">
              <w:rPr>
                <w:color w:val="000000" w:themeColor="text1"/>
                <w:kern w:val="0"/>
                <w:sz w:val="21"/>
                <w:szCs w:val="21"/>
                <w:vertAlign w:val="superscript"/>
              </w:rPr>
              <w:t>11</w:t>
            </w:r>
            <w:r w:rsidRPr="00B12FE0">
              <w:rPr>
                <w:color w:val="000000" w:themeColor="text1"/>
                <w:kern w:val="0"/>
                <w:sz w:val="21"/>
                <w:szCs w:val="21"/>
              </w:rPr>
              <w:t>Bq</w:t>
            </w:r>
            <w:r w:rsidRPr="00B12FE0">
              <w:rPr>
                <w:color w:val="000000" w:themeColor="text1"/>
                <w:kern w:val="0"/>
                <w:sz w:val="21"/>
                <w:szCs w:val="21"/>
              </w:rPr>
              <w:sym w:font="Symbol" w:char="F0B4"/>
            </w:r>
            <w:r w:rsidRPr="00B12FE0">
              <w:rPr>
                <w:color w:val="000000" w:themeColor="text1"/>
                <w:kern w:val="0"/>
                <w:sz w:val="21"/>
                <w:szCs w:val="21"/>
              </w:rPr>
              <w:t>1</w:t>
            </w:r>
            <w:r w:rsidRPr="00B12FE0">
              <w:rPr>
                <w:color w:val="000000" w:themeColor="text1"/>
                <w:kern w:val="0"/>
                <w:sz w:val="21"/>
                <w:szCs w:val="21"/>
              </w:rPr>
              <w:t>枚</w:t>
            </w:r>
          </w:p>
        </w:tc>
        <w:tc>
          <w:tcPr>
            <w:tcW w:w="709" w:type="dxa"/>
            <w:vAlign w:val="center"/>
          </w:tcPr>
          <w:p w14:paraId="16E36AE1"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rPr>
              <w:t>Ⅲ</w:t>
            </w:r>
          </w:p>
        </w:tc>
        <w:tc>
          <w:tcPr>
            <w:tcW w:w="1134" w:type="dxa"/>
            <w:vAlign w:val="center"/>
          </w:tcPr>
          <w:p w14:paraId="2D88020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rPr>
              <w:t>使用</w:t>
            </w:r>
          </w:p>
        </w:tc>
        <w:tc>
          <w:tcPr>
            <w:tcW w:w="1559" w:type="dxa"/>
            <w:vAlign w:val="center"/>
          </w:tcPr>
          <w:p w14:paraId="55C344B3"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rPr>
              <w:t>肿瘤治疗</w:t>
            </w:r>
          </w:p>
        </w:tc>
        <w:tc>
          <w:tcPr>
            <w:tcW w:w="1993" w:type="dxa"/>
            <w:vAlign w:val="center"/>
          </w:tcPr>
          <w:p w14:paraId="3F2F65AA"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rPr>
              <w:t>肿瘤治疗中心综合楼</w:t>
            </w:r>
            <w:r w:rsidRPr="00B12FE0">
              <w:rPr>
                <w:rFonts w:hint="eastAsia"/>
                <w:color w:val="000000" w:themeColor="text1"/>
                <w:sz w:val="21"/>
                <w:szCs w:val="21"/>
              </w:rPr>
              <w:t>一层放疗科</w:t>
            </w:r>
          </w:p>
        </w:tc>
        <w:tc>
          <w:tcPr>
            <w:tcW w:w="2518" w:type="dxa"/>
            <w:vAlign w:val="center"/>
          </w:tcPr>
          <w:p w14:paraId="185BEE0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rPr>
              <w:t>贮存方式</w:t>
            </w:r>
            <w:proofErr w:type="gramStart"/>
            <w:r w:rsidRPr="00B12FE0">
              <w:rPr>
                <w:color w:val="000000" w:themeColor="text1"/>
                <w:sz w:val="21"/>
                <w:szCs w:val="21"/>
              </w:rPr>
              <w:t>为</w:t>
            </w:r>
            <w:r w:rsidRPr="00B12FE0">
              <w:rPr>
                <w:rFonts w:hint="eastAsia"/>
                <w:color w:val="000000" w:themeColor="text1"/>
                <w:sz w:val="21"/>
                <w:szCs w:val="21"/>
                <w:lang w:eastAsia="zh-Hans"/>
              </w:rPr>
              <w:t>贮源器</w:t>
            </w:r>
            <w:proofErr w:type="gramEnd"/>
            <w:r w:rsidRPr="00B12FE0">
              <w:rPr>
                <w:color w:val="000000" w:themeColor="text1"/>
                <w:sz w:val="21"/>
                <w:szCs w:val="21"/>
              </w:rPr>
              <w:t>贮存，贮存在后装机机头内</w:t>
            </w:r>
          </w:p>
        </w:tc>
        <w:tc>
          <w:tcPr>
            <w:tcW w:w="822" w:type="dxa"/>
            <w:vAlign w:val="center"/>
          </w:tcPr>
          <w:p w14:paraId="19C7FA2F"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rPr>
              <w:t>新增</w:t>
            </w:r>
          </w:p>
        </w:tc>
      </w:tr>
      <w:tr w:rsidR="00A67F21" w:rsidRPr="00B12FE0" w14:paraId="495689D6" w14:textId="77777777">
        <w:trPr>
          <w:cantSplit/>
          <w:trHeight w:val="510"/>
          <w:jc w:val="center"/>
        </w:trPr>
        <w:tc>
          <w:tcPr>
            <w:tcW w:w="729" w:type="dxa"/>
            <w:vAlign w:val="center"/>
          </w:tcPr>
          <w:p w14:paraId="48F18D8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14:paraId="75D0648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vertAlign w:val="superscript"/>
              </w:rPr>
              <w:t>68</w:t>
            </w:r>
            <w:r w:rsidRPr="00B12FE0">
              <w:rPr>
                <w:color w:val="000000" w:themeColor="text1"/>
                <w:sz w:val="21"/>
                <w:szCs w:val="21"/>
              </w:rPr>
              <w:t>Ge</w:t>
            </w:r>
          </w:p>
        </w:tc>
        <w:tc>
          <w:tcPr>
            <w:tcW w:w="3260" w:type="dxa"/>
            <w:tcBorders>
              <w:top w:val="single" w:sz="4" w:space="0" w:color="auto"/>
              <w:left w:val="single" w:sz="4" w:space="0" w:color="auto"/>
              <w:bottom w:val="single" w:sz="4" w:space="0" w:color="auto"/>
              <w:right w:val="single" w:sz="4" w:space="0" w:color="auto"/>
            </w:tcBorders>
            <w:vAlign w:val="center"/>
          </w:tcPr>
          <w:p w14:paraId="56ADE7CF" w14:textId="77777777" w:rsidR="00A67F21" w:rsidRPr="00B12FE0" w:rsidRDefault="00000000">
            <w:pPr>
              <w:adjustRightInd w:val="0"/>
              <w:snapToGrid w:val="0"/>
              <w:jc w:val="center"/>
              <w:rPr>
                <w:color w:val="000000" w:themeColor="text1"/>
                <w:sz w:val="21"/>
                <w:szCs w:val="21"/>
              </w:rPr>
            </w:pPr>
            <w:r w:rsidRPr="00B12FE0">
              <w:rPr>
                <w:bCs/>
                <w:color w:val="000000" w:themeColor="text1"/>
                <w:sz w:val="21"/>
                <w:szCs w:val="21"/>
              </w:rPr>
              <w:t>1.11E+08/1.11E+08×1</w:t>
            </w:r>
          </w:p>
        </w:tc>
        <w:tc>
          <w:tcPr>
            <w:tcW w:w="709" w:type="dxa"/>
            <w:tcBorders>
              <w:top w:val="single" w:sz="4" w:space="0" w:color="auto"/>
              <w:left w:val="single" w:sz="4" w:space="0" w:color="auto"/>
              <w:bottom w:val="single" w:sz="4" w:space="0" w:color="auto"/>
              <w:right w:val="single" w:sz="4" w:space="0" w:color="auto"/>
            </w:tcBorders>
            <w:vAlign w:val="center"/>
          </w:tcPr>
          <w:p w14:paraId="68A2DCC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Ⅴ</w:t>
            </w:r>
            <w:r w:rsidRPr="00B12FE0">
              <w:rPr>
                <w:color w:val="000000" w:themeColor="text1"/>
                <w:sz w:val="21"/>
                <w:szCs w:val="21"/>
              </w:rPr>
              <w:t>类</w:t>
            </w:r>
          </w:p>
        </w:tc>
        <w:tc>
          <w:tcPr>
            <w:tcW w:w="1134" w:type="dxa"/>
            <w:tcBorders>
              <w:top w:val="single" w:sz="4" w:space="0" w:color="auto"/>
              <w:left w:val="single" w:sz="4" w:space="0" w:color="auto"/>
              <w:bottom w:val="single" w:sz="4" w:space="0" w:color="auto"/>
              <w:right w:val="single" w:sz="4" w:space="0" w:color="auto"/>
            </w:tcBorders>
            <w:vAlign w:val="center"/>
          </w:tcPr>
          <w:p w14:paraId="4AFC52F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使用</w:t>
            </w:r>
          </w:p>
        </w:tc>
        <w:tc>
          <w:tcPr>
            <w:tcW w:w="1559" w:type="dxa"/>
            <w:tcBorders>
              <w:top w:val="single" w:sz="4" w:space="0" w:color="auto"/>
              <w:left w:val="single" w:sz="4" w:space="0" w:color="auto"/>
              <w:bottom w:val="single" w:sz="4" w:space="0" w:color="auto"/>
              <w:right w:val="single" w:sz="4" w:space="0" w:color="auto"/>
            </w:tcBorders>
            <w:vAlign w:val="center"/>
          </w:tcPr>
          <w:p w14:paraId="4D07F96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PET</w:t>
            </w:r>
            <w:r w:rsidRPr="00B12FE0">
              <w:rPr>
                <w:color w:val="000000" w:themeColor="text1"/>
                <w:sz w:val="21"/>
                <w:szCs w:val="21"/>
              </w:rPr>
              <w:t>校准</w:t>
            </w:r>
          </w:p>
        </w:tc>
        <w:tc>
          <w:tcPr>
            <w:tcW w:w="1993" w:type="dxa"/>
            <w:vMerge w:val="restart"/>
            <w:tcBorders>
              <w:top w:val="single" w:sz="4" w:space="0" w:color="auto"/>
              <w:left w:val="single" w:sz="4" w:space="0" w:color="auto"/>
              <w:right w:val="single" w:sz="4" w:space="0" w:color="auto"/>
            </w:tcBorders>
            <w:vAlign w:val="center"/>
          </w:tcPr>
          <w:p w14:paraId="45F7507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肿瘤治疗中心综合楼</w:t>
            </w:r>
            <w:r w:rsidRPr="00B12FE0">
              <w:rPr>
                <w:color w:val="000000" w:themeColor="text1"/>
                <w:sz w:val="21"/>
                <w:szCs w:val="21"/>
              </w:rPr>
              <w:t>一层核医学工作场所</w:t>
            </w:r>
          </w:p>
        </w:tc>
        <w:tc>
          <w:tcPr>
            <w:tcW w:w="2518" w:type="dxa"/>
            <w:vMerge w:val="restart"/>
            <w:tcBorders>
              <w:top w:val="single" w:sz="4" w:space="0" w:color="auto"/>
              <w:left w:val="single" w:sz="4" w:space="0" w:color="auto"/>
              <w:right w:val="single" w:sz="4" w:space="0" w:color="auto"/>
            </w:tcBorders>
            <w:vAlign w:val="center"/>
          </w:tcPr>
          <w:p w14:paraId="3BD7991D" w14:textId="77777777" w:rsidR="00A67F21" w:rsidRPr="00B12FE0" w:rsidRDefault="00000000">
            <w:pPr>
              <w:pStyle w:val="af5"/>
              <w:adjustRightInd w:val="0"/>
              <w:snapToGrid w:val="0"/>
              <w:jc w:val="center"/>
              <w:rPr>
                <w:color w:val="000000" w:themeColor="text1"/>
                <w:sz w:val="21"/>
                <w:szCs w:val="21"/>
              </w:rPr>
            </w:pPr>
            <w:r w:rsidRPr="00B12FE0">
              <w:rPr>
                <w:color w:val="000000" w:themeColor="text1"/>
                <w:sz w:val="21"/>
                <w:szCs w:val="21"/>
              </w:rPr>
              <w:t>贮存在</w:t>
            </w:r>
            <w:proofErr w:type="gramStart"/>
            <w:r w:rsidRPr="00B12FE0">
              <w:rPr>
                <w:color w:val="000000" w:themeColor="text1"/>
                <w:sz w:val="21"/>
                <w:szCs w:val="21"/>
              </w:rPr>
              <w:t>专用贮源箱中</w:t>
            </w:r>
            <w:proofErr w:type="gramEnd"/>
            <w:r w:rsidRPr="00B12FE0">
              <w:rPr>
                <w:color w:val="000000" w:themeColor="text1"/>
                <w:sz w:val="21"/>
                <w:szCs w:val="21"/>
              </w:rPr>
              <w:t>，</w:t>
            </w:r>
            <w:proofErr w:type="gramStart"/>
            <w:r w:rsidRPr="00B12FE0">
              <w:rPr>
                <w:color w:val="000000" w:themeColor="text1"/>
                <w:sz w:val="21"/>
                <w:szCs w:val="21"/>
              </w:rPr>
              <w:t>存放于储源室</w:t>
            </w:r>
            <w:proofErr w:type="gramEnd"/>
            <w:r w:rsidRPr="00B12FE0">
              <w:rPr>
                <w:color w:val="000000" w:themeColor="text1"/>
                <w:sz w:val="21"/>
                <w:szCs w:val="21"/>
              </w:rPr>
              <w:t>内</w:t>
            </w:r>
          </w:p>
        </w:tc>
        <w:tc>
          <w:tcPr>
            <w:tcW w:w="822" w:type="dxa"/>
            <w:tcBorders>
              <w:top w:val="single" w:sz="4" w:space="0" w:color="auto"/>
              <w:left w:val="single" w:sz="4" w:space="0" w:color="auto"/>
              <w:bottom w:val="single" w:sz="4" w:space="0" w:color="auto"/>
              <w:right w:val="single" w:sz="4" w:space="0" w:color="auto"/>
            </w:tcBorders>
            <w:vAlign w:val="center"/>
          </w:tcPr>
          <w:p w14:paraId="5919AED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新购</w:t>
            </w:r>
          </w:p>
        </w:tc>
      </w:tr>
      <w:tr w:rsidR="00A67F21" w:rsidRPr="00B12FE0" w14:paraId="6F46257A" w14:textId="77777777">
        <w:trPr>
          <w:cantSplit/>
          <w:trHeight w:val="510"/>
          <w:jc w:val="center"/>
        </w:trPr>
        <w:tc>
          <w:tcPr>
            <w:tcW w:w="729" w:type="dxa"/>
            <w:vAlign w:val="center"/>
          </w:tcPr>
          <w:p w14:paraId="17F2B50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14:paraId="5516AE2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vertAlign w:val="superscript"/>
              </w:rPr>
              <w:t>68</w:t>
            </w:r>
            <w:r w:rsidRPr="00B12FE0">
              <w:rPr>
                <w:color w:val="000000" w:themeColor="text1"/>
                <w:sz w:val="21"/>
                <w:szCs w:val="21"/>
              </w:rPr>
              <w:t>Ge</w:t>
            </w:r>
          </w:p>
        </w:tc>
        <w:tc>
          <w:tcPr>
            <w:tcW w:w="3260" w:type="dxa"/>
            <w:tcBorders>
              <w:top w:val="single" w:sz="4" w:space="0" w:color="auto"/>
              <w:left w:val="single" w:sz="4" w:space="0" w:color="auto"/>
              <w:bottom w:val="single" w:sz="4" w:space="0" w:color="auto"/>
              <w:right w:val="single" w:sz="4" w:space="0" w:color="auto"/>
            </w:tcBorders>
            <w:vAlign w:val="center"/>
          </w:tcPr>
          <w:p w14:paraId="62249A69" w14:textId="77777777" w:rsidR="00A67F21" w:rsidRPr="00B12FE0" w:rsidRDefault="00000000">
            <w:pPr>
              <w:adjustRightInd w:val="0"/>
              <w:snapToGrid w:val="0"/>
              <w:jc w:val="center"/>
              <w:rPr>
                <w:color w:val="000000" w:themeColor="text1"/>
                <w:sz w:val="21"/>
                <w:szCs w:val="21"/>
              </w:rPr>
            </w:pPr>
            <w:r w:rsidRPr="00B12FE0">
              <w:rPr>
                <w:bCs/>
                <w:color w:val="000000" w:themeColor="text1"/>
                <w:sz w:val="21"/>
                <w:szCs w:val="21"/>
              </w:rPr>
              <w:t>1.11E+08/5.55E+07×2</w:t>
            </w:r>
          </w:p>
        </w:tc>
        <w:tc>
          <w:tcPr>
            <w:tcW w:w="709" w:type="dxa"/>
            <w:tcBorders>
              <w:top w:val="single" w:sz="4" w:space="0" w:color="auto"/>
              <w:left w:val="single" w:sz="4" w:space="0" w:color="auto"/>
              <w:bottom w:val="single" w:sz="4" w:space="0" w:color="auto"/>
              <w:right w:val="single" w:sz="4" w:space="0" w:color="auto"/>
            </w:tcBorders>
            <w:vAlign w:val="center"/>
          </w:tcPr>
          <w:p w14:paraId="3144927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Ⅴ</w:t>
            </w:r>
            <w:r w:rsidRPr="00B12FE0">
              <w:rPr>
                <w:color w:val="000000" w:themeColor="text1"/>
                <w:sz w:val="21"/>
                <w:szCs w:val="21"/>
              </w:rPr>
              <w:t>类</w:t>
            </w:r>
          </w:p>
        </w:tc>
        <w:tc>
          <w:tcPr>
            <w:tcW w:w="1134" w:type="dxa"/>
            <w:tcBorders>
              <w:top w:val="single" w:sz="4" w:space="0" w:color="auto"/>
              <w:left w:val="single" w:sz="4" w:space="0" w:color="auto"/>
              <w:bottom w:val="single" w:sz="4" w:space="0" w:color="auto"/>
              <w:right w:val="single" w:sz="4" w:space="0" w:color="auto"/>
            </w:tcBorders>
            <w:vAlign w:val="center"/>
          </w:tcPr>
          <w:p w14:paraId="2EB40E1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使用</w:t>
            </w:r>
          </w:p>
        </w:tc>
        <w:tc>
          <w:tcPr>
            <w:tcW w:w="1559" w:type="dxa"/>
            <w:tcBorders>
              <w:top w:val="single" w:sz="4" w:space="0" w:color="auto"/>
              <w:left w:val="single" w:sz="4" w:space="0" w:color="auto"/>
              <w:bottom w:val="single" w:sz="4" w:space="0" w:color="auto"/>
              <w:right w:val="single" w:sz="4" w:space="0" w:color="auto"/>
            </w:tcBorders>
            <w:vAlign w:val="center"/>
          </w:tcPr>
          <w:p w14:paraId="4C8E466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PET</w:t>
            </w:r>
            <w:r w:rsidRPr="00B12FE0">
              <w:rPr>
                <w:color w:val="000000" w:themeColor="text1"/>
                <w:sz w:val="21"/>
                <w:szCs w:val="21"/>
              </w:rPr>
              <w:t>校准</w:t>
            </w:r>
          </w:p>
        </w:tc>
        <w:tc>
          <w:tcPr>
            <w:tcW w:w="1993" w:type="dxa"/>
            <w:vMerge/>
            <w:tcBorders>
              <w:left w:val="single" w:sz="4" w:space="0" w:color="auto"/>
              <w:bottom w:val="single" w:sz="4" w:space="0" w:color="auto"/>
              <w:right w:val="single" w:sz="4" w:space="0" w:color="auto"/>
            </w:tcBorders>
            <w:vAlign w:val="center"/>
          </w:tcPr>
          <w:p w14:paraId="09309FEA" w14:textId="77777777" w:rsidR="00A67F21" w:rsidRPr="00B12FE0" w:rsidRDefault="00A67F21">
            <w:pPr>
              <w:adjustRightInd w:val="0"/>
              <w:snapToGrid w:val="0"/>
              <w:jc w:val="center"/>
              <w:rPr>
                <w:color w:val="000000" w:themeColor="text1"/>
                <w:sz w:val="21"/>
                <w:szCs w:val="21"/>
              </w:rPr>
            </w:pPr>
          </w:p>
        </w:tc>
        <w:tc>
          <w:tcPr>
            <w:tcW w:w="2518" w:type="dxa"/>
            <w:vMerge/>
            <w:tcBorders>
              <w:left w:val="single" w:sz="4" w:space="0" w:color="auto"/>
              <w:bottom w:val="single" w:sz="4" w:space="0" w:color="auto"/>
              <w:right w:val="single" w:sz="4" w:space="0" w:color="auto"/>
            </w:tcBorders>
            <w:vAlign w:val="center"/>
          </w:tcPr>
          <w:p w14:paraId="29737F18" w14:textId="77777777" w:rsidR="00A67F21" w:rsidRPr="00B12FE0" w:rsidRDefault="00A67F21">
            <w:pPr>
              <w:pStyle w:val="af5"/>
              <w:adjustRightInd w:val="0"/>
              <w:snapToGrid w:val="0"/>
              <w:jc w:val="center"/>
              <w:rPr>
                <w:color w:val="000000" w:themeColor="text1"/>
                <w:sz w:val="21"/>
                <w:szCs w:val="21"/>
              </w:rPr>
            </w:pPr>
          </w:p>
        </w:tc>
        <w:tc>
          <w:tcPr>
            <w:tcW w:w="822" w:type="dxa"/>
            <w:tcBorders>
              <w:top w:val="single" w:sz="4" w:space="0" w:color="auto"/>
              <w:left w:val="single" w:sz="4" w:space="0" w:color="auto"/>
              <w:bottom w:val="single" w:sz="4" w:space="0" w:color="auto"/>
              <w:right w:val="single" w:sz="4" w:space="0" w:color="auto"/>
            </w:tcBorders>
            <w:vAlign w:val="center"/>
          </w:tcPr>
          <w:p w14:paraId="4EDF803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新购</w:t>
            </w:r>
          </w:p>
        </w:tc>
      </w:tr>
    </w:tbl>
    <w:p w14:paraId="7118AA4F" w14:textId="77777777" w:rsidR="00A67F21" w:rsidRPr="00B12FE0" w:rsidRDefault="00000000">
      <w:pPr>
        <w:pStyle w:val="afb"/>
        <w:spacing w:beforeLines="50" w:before="120" w:after="0" w:line="360" w:lineRule="auto"/>
        <w:rPr>
          <w:color w:val="000000" w:themeColor="text1"/>
          <w:sz w:val="18"/>
          <w:szCs w:val="18"/>
        </w:rPr>
      </w:pPr>
      <w:r w:rsidRPr="00B12FE0">
        <w:rPr>
          <w:color w:val="000000" w:themeColor="text1"/>
          <w:sz w:val="18"/>
          <w:szCs w:val="18"/>
        </w:rPr>
        <w:t>注：放射源包括放射性中子源，对其要说明是何种核素以及产生的中子流强度（</w:t>
      </w:r>
      <w:r w:rsidRPr="00B12FE0">
        <w:rPr>
          <w:color w:val="000000" w:themeColor="text1"/>
          <w:sz w:val="18"/>
          <w:szCs w:val="18"/>
        </w:rPr>
        <w:t>n/</w:t>
      </w:r>
      <w:r w:rsidRPr="00B12FE0">
        <w:rPr>
          <w:rFonts w:hint="eastAsia"/>
          <w:color w:val="000000" w:themeColor="text1"/>
          <w:sz w:val="18"/>
          <w:szCs w:val="18"/>
        </w:rPr>
        <w:t>s</w:t>
      </w:r>
      <w:r w:rsidRPr="00B12FE0">
        <w:rPr>
          <w:rFonts w:hint="eastAsia"/>
          <w:color w:val="000000" w:themeColor="text1"/>
          <w:sz w:val="18"/>
          <w:szCs w:val="18"/>
        </w:rPr>
        <w:t>）。</w:t>
      </w:r>
    </w:p>
    <w:p w14:paraId="5A4A959A" w14:textId="77777777" w:rsidR="00A67F21" w:rsidRPr="00B12FE0" w:rsidRDefault="00000000">
      <w:pPr>
        <w:spacing w:line="360" w:lineRule="auto"/>
        <w:outlineLvl w:val="0"/>
        <w:rPr>
          <w:b/>
          <w:color w:val="000000" w:themeColor="text1"/>
          <w:sz w:val="32"/>
          <w:szCs w:val="32"/>
        </w:rPr>
      </w:pPr>
      <w:bookmarkStart w:id="6" w:name="_Toc9019"/>
      <w:r w:rsidRPr="00B12FE0">
        <w:rPr>
          <w:b/>
          <w:color w:val="000000" w:themeColor="text1"/>
          <w:sz w:val="32"/>
          <w:szCs w:val="32"/>
        </w:rPr>
        <w:t>表</w:t>
      </w:r>
      <w:r w:rsidRPr="00B12FE0">
        <w:rPr>
          <w:b/>
          <w:color w:val="000000" w:themeColor="text1"/>
          <w:sz w:val="32"/>
          <w:szCs w:val="32"/>
        </w:rPr>
        <w:t xml:space="preserve">3 </w:t>
      </w:r>
      <w:r w:rsidRPr="00B12FE0">
        <w:rPr>
          <w:b/>
          <w:color w:val="000000" w:themeColor="text1"/>
          <w:sz w:val="32"/>
          <w:szCs w:val="32"/>
        </w:rPr>
        <w:t>非密封放射性物质</w:t>
      </w:r>
      <w:bookmarkEnd w:id="6"/>
    </w:p>
    <w:tbl>
      <w:tblPr>
        <w:tblW w:w="13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285"/>
        <w:gridCol w:w="1859"/>
        <w:gridCol w:w="939"/>
        <w:gridCol w:w="1470"/>
        <w:gridCol w:w="1470"/>
        <w:gridCol w:w="1176"/>
        <w:gridCol w:w="1156"/>
        <w:gridCol w:w="1134"/>
        <w:gridCol w:w="1276"/>
        <w:gridCol w:w="1784"/>
      </w:tblGrid>
      <w:tr w:rsidR="00A67F21" w:rsidRPr="00B12FE0" w14:paraId="7C31157D" w14:textId="77777777">
        <w:trPr>
          <w:trHeight w:val="510"/>
        </w:trPr>
        <w:tc>
          <w:tcPr>
            <w:tcW w:w="421" w:type="dxa"/>
            <w:vAlign w:val="center"/>
          </w:tcPr>
          <w:p w14:paraId="7A5A2D5A"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序号</w:t>
            </w:r>
          </w:p>
        </w:tc>
        <w:tc>
          <w:tcPr>
            <w:tcW w:w="1285" w:type="dxa"/>
            <w:vAlign w:val="center"/>
          </w:tcPr>
          <w:p w14:paraId="708AD1EC"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核素</w:t>
            </w:r>
          </w:p>
          <w:p w14:paraId="18A4513C"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名称</w:t>
            </w:r>
          </w:p>
        </w:tc>
        <w:tc>
          <w:tcPr>
            <w:tcW w:w="1859" w:type="dxa"/>
            <w:vAlign w:val="center"/>
          </w:tcPr>
          <w:p w14:paraId="72CD2011"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理化</w:t>
            </w:r>
          </w:p>
          <w:p w14:paraId="425431FF"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性质</w:t>
            </w:r>
          </w:p>
        </w:tc>
        <w:tc>
          <w:tcPr>
            <w:tcW w:w="939" w:type="dxa"/>
            <w:vAlign w:val="center"/>
          </w:tcPr>
          <w:p w14:paraId="330EED5D"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活动</w:t>
            </w:r>
          </w:p>
          <w:p w14:paraId="5EB4C793"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种类</w:t>
            </w:r>
          </w:p>
        </w:tc>
        <w:tc>
          <w:tcPr>
            <w:tcW w:w="1470" w:type="dxa"/>
            <w:vAlign w:val="center"/>
          </w:tcPr>
          <w:p w14:paraId="5859347B"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实际日最大</w:t>
            </w:r>
          </w:p>
          <w:p w14:paraId="713F49F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操作量（</w:t>
            </w:r>
            <w:r w:rsidRPr="00B12FE0">
              <w:rPr>
                <w:bCs/>
                <w:color w:val="000000" w:themeColor="text1"/>
                <w:sz w:val="21"/>
                <w:szCs w:val="21"/>
              </w:rPr>
              <w:t>Bq</w:t>
            </w:r>
            <w:r w:rsidRPr="00B12FE0">
              <w:rPr>
                <w:bCs/>
                <w:color w:val="000000" w:themeColor="text1"/>
                <w:sz w:val="21"/>
                <w:szCs w:val="21"/>
              </w:rPr>
              <w:t>）</w:t>
            </w:r>
          </w:p>
        </w:tc>
        <w:tc>
          <w:tcPr>
            <w:tcW w:w="1470" w:type="dxa"/>
            <w:vAlign w:val="center"/>
          </w:tcPr>
          <w:p w14:paraId="24058F8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日等效最大</w:t>
            </w:r>
          </w:p>
          <w:p w14:paraId="045FFF3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操作量（</w:t>
            </w:r>
            <w:r w:rsidRPr="00B12FE0">
              <w:rPr>
                <w:bCs/>
                <w:color w:val="000000" w:themeColor="text1"/>
                <w:sz w:val="21"/>
                <w:szCs w:val="21"/>
              </w:rPr>
              <w:t>Bq</w:t>
            </w:r>
            <w:r w:rsidRPr="00B12FE0">
              <w:rPr>
                <w:bCs/>
                <w:color w:val="000000" w:themeColor="text1"/>
                <w:sz w:val="21"/>
                <w:szCs w:val="21"/>
              </w:rPr>
              <w:t>）</w:t>
            </w:r>
          </w:p>
        </w:tc>
        <w:tc>
          <w:tcPr>
            <w:tcW w:w="1176" w:type="dxa"/>
            <w:vAlign w:val="center"/>
          </w:tcPr>
          <w:p w14:paraId="71CDC9C6"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年最大用量（</w:t>
            </w:r>
            <w:r w:rsidRPr="00B12FE0">
              <w:rPr>
                <w:bCs/>
                <w:color w:val="000000" w:themeColor="text1"/>
                <w:sz w:val="21"/>
                <w:szCs w:val="21"/>
              </w:rPr>
              <w:t>Bq</w:t>
            </w:r>
            <w:r w:rsidRPr="00B12FE0">
              <w:rPr>
                <w:bCs/>
                <w:color w:val="000000" w:themeColor="text1"/>
                <w:sz w:val="21"/>
                <w:szCs w:val="21"/>
              </w:rPr>
              <w:t>）</w:t>
            </w:r>
          </w:p>
        </w:tc>
        <w:tc>
          <w:tcPr>
            <w:tcW w:w="1156" w:type="dxa"/>
            <w:vAlign w:val="center"/>
          </w:tcPr>
          <w:p w14:paraId="7EC29C00"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用途</w:t>
            </w:r>
          </w:p>
        </w:tc>
        <w:tc>
          <w:tcPr>
            <w:tcW w:w="1134" w:type="dxa"/>
            <w:vAlign w:val="center"/>
          </w:tcPr>
          <w:p w14:paraId="0AE79B9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操作方式</w:t>
            </w:r>
          </w:p>
        </w:tc>
        <w:tc>
          <w:tcPr>
            <w:tcW w:w="1276" w:type="dxa"/>
            <w:vAlign w:val="center"/>
          </w:tcPr>
          <w:p w14:paraId="7247F558"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使用场所</w:t>
            </w:r>
          </w:p>
        </w:tc>
        <w:tc>
          <w:tcPr>
            <w:tcW w:w="1784" w:type="dxa"/>
            <w:vAlign w:val="center"/>
          </w:tcPr>
          <w:p w14:paraId="4D9C31D8"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贮存方式与地点</w:t>
            </w:r>
          </w:p>
        </w:tc>
      </w:tr>
      <w:tr w:rsidR="00A67F21" w:rsidRPr="00B12FE0" w14:paraId="21770D49" w14:textId="77777777">
        <w:trPr>
          <w:trHeight w:val="510"/>
        </w:trPr>
        <w:tc>
          <w:tcPr>
            <w:tcW w:w="421" w:type="dxa"/>
            <w:vAlign w:val="center"/>
          </w:tcPr>
          <w:p w14:paraId="02125D71"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1</w:t>
            </w:r>
          </w:p>
        </w:tc>
        <w:tc>
          <w:tcPr>
            <w:tcW w:w="1285" w:type="dxa"/>
            <w:vAlign w:val="center"/>
          </w:tcPr>
          <w:p w14:paraId="15976370"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p>
        </w:tc>
        <w:tc>
          <w:tcPr>
            <w:tcW w:w="1859" w:type="dxa"/>
            <w:vAlign w:val="center"/>
          </w:tcPr>
          <w:p w14:paraId="6BCE79AF"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液态</w:t>
            </w:r>
            <w:r w:rsidRPr="00B12FE0">
              <w:rPr>
                <w:bCs/>
                <w:color w:val="000000" w:themeColor="text1"/>
                <w:sz w:val="21"/>
                <w:szCs w:val="21"/>
              </w:rPr>
              <w:t>/</w:t>
            </w:r>
            <w:r w:rsidRPr="00B12FE0">
              <w:rPr>
                <w:bCs/>
                <w:color w:val="000000" w:themeColor="text1"/>
                <w:sz w:val="21"/>
                <w:szCs w:val="21"/>
              </w:rPr>
              <w:t>低毒</w:t>
            </w:r>
          </w:p>
          <w:p w14:paraId="6B1F0FAE"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半衰期</w:t>
            </w:r>
            <w:r w:rsidRPr="00B12FE0">
              <w:rPr>
                <w:bCs/>
                <w:color w:val="000000" w:themeColor="text1"/>
                <w:sz w:val="21"/>
                <w:szCs w:val="21"/>
              </w:rPr>
              <w:t>109.8min</w:t>
            </w:r>
          </w:p>
        </w:tc>
        <w:tc>
          <w:tcPr>
            <w:tcW w:w="939" w:type="dxa"/>
            <w:vAlign w:val="center"/>
          </w:tcPr>
          <w:p w14:paraId="21A96FA3"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kern w:val="0"/>
                <w:sz w:val="21"/>
                <w:szCs w:val="21"/>
              </w:rPr>
              <w:t>生产</w:t>
            </w:r>
          </w:p>
        </w:tc>
        <w:tc>
          <w:tcPr>
            <w:tcW w:w="1470" w:type="dxa"/>
            <w:vAlign w:val="center"/>
          </w:tcPr>
          <w:p w14:paraId="7C2C8991"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1470" w:type="dxa"/>
            <w:tcBorders>
              <w:top w:val="single" w:sz="8" w:space="0" w:color="000000"/>
              <w:left w:val="single" w:sz="8" w:space="0" w:color="000000"/>
              <w:bottom w:val="single" w:sz="8" w:space="0" w:color="000000"/>
              <w:right w:val="single" w:sz="8" w:space="0" w:color="000000"/>
            </w:tcBorders>
            <w:vAlign w:val="center"/>
          </w:tcPr>
          <w:p w14:paraId="53A67935"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8</w:t>
            </w:r>
          </w:p>
        </w:tc>
        <w:tc>
          <w:tcPr>
            <w:tcW w:w="1176" w:type="dxa"/>
            <w:tcBorders>
              <w:top w:val="single" w:sz="8" w:space="0" w:color="000000"/>
              <w:left w:val="single" w:sz="8" w:space="0" w:color="000000"/>
              <w:bottom w:val="single" w:sz="8" w:space="0" w:color="000000"/>
              <w:right w:val="single" w:sz="8" w:space="0" w:color="000000"/>
            </w:tcBorders>
            <w:vAlign w:val="center"/>
          </w:tcPr>
          <w:p w14:paraId="3484D812"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kern w:val="0"/>
                <w:sz w:val="21"/>
                <w:szCs w:val="21"/>
              </w:rPr>
              <w:t>1.11</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3</w:t>
            </w:r>
          </w:p>
        </w:tc>
        <w:tc>
          <w:tcPr>
            <w:tcW w:w="1156" w:type="dxa"/>
            <w:tcBorders>
              <w:top w:val="single" w:sz="8" w:space="0" w:color="000000"/>
              <w:left w:val="single" w:sz="8" w:space="0" w:color="000000"/>
              <w:bottom w:val="single" w:sz="8" w:space="0" w:color="000000"/>
              <w:right w:val="single" w:sz="8" w:space="0" w:color="000000"/>
            </w:tcBorders>
            <w:vAlign w:val="center"/>
          </w:tcPr>
          <w:p w14:paraId="67620101"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制备</w:t>
            </w:r>
            <w:r w:rsidRPr="00B12FE0">
              <w:rPr>
                <w:color w:val="000000" w:themeColor="text1"/>
                <w:kern w:val="0"/>
                <w:sz w:val="21"/>
                <w:szCs w:val="21"/>
              </w:rPr>
              <w:t>PET</w:t>
            </w:r>
            <w:r w:rsidRPr="00B12FE0">
              <w:rPr>
                <w:color w:val="000000" w:themeColor="text1"/>
                <w:kern w:val="0"/>
                <w:sz w:val="21"/>
                <w:szCs w:val="21"/>
              </w:rPr>
              <w:t>用药物</w:t>
            </w:r>
          </w:p>
        </w:tc>
        <w:tc>
          <w:tcPr>
            <w:tcW w:w="1134" w:type="dxa"/>
            <w:tcBorders>
              <w:top w:val="single" w:sz="8" w:space="0" w:color="000000"/>
              <w:left w:val="nil"/>
              <w:bottom w:val="single" w:sz="8" w:space="0" w:color="000000"/>
              <w:right w:val="single" w:sz="8" w:space="0" w:color="000000"/>
            </w:tcBorders>
            <w:vAlign w:val="center"/>
          </w:tcPr>
          <w:p w14:paraId="35CD74BB"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简单操作</w:t>
            </w:r>
          </w:p>
        </w:tc>
        <w:tc>
          <w:tcPr>
            <w:tcW w:w="1276" w:type="dxa"/>
            <w:tcBorders>
              <w:top w:val="single" w:sz="8" w:space="0" w:color="000000"/>
              <w:left w:val="nil"/>
              <w:bottom w:val="single" w:sz="8" w:space="0" w:color="000000"/>
              <w:right w:val="single" w:sz="8" w:space="0" w:color="000000"/>
            </w:tcBorders>
            <w:vAlign w:val="center"/>
          </w:tcPr>
          <w:p w14:paraId="2603FCF5"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肿瘤治疗中心综合楼一层</w:t>
            </w:r>
            <w:r w:rsidRPr="00B12FE0">
              <w:rPr>
                <w:rFonts w:hint="eastAsia"/>
                <w:color w:val="000000" w:themeColor="text1"/>
                <w:kern w:val="0"/>
                <w:sz w:val="21"/>
                <w:szCs w:val="21"/>
              </w:rPr>
              <w:t>西</w:t>
            </w:r>
            <w:r w:rsidRPr="00B12FE0">
              <w:rPr>
                <w:color w:val="000000" w:themeColor="text1"/>
                <w:kern w:val="0"/>
                <w:sz w:val="21"/>
                <w:szCs w:val="21"/>
              </w:rPr>
              <w:t>侧核医学科核素制备场所</w:t>
            </w:r>
          </w:p>
        </w:tc>
        <w:tc>
          <w:tcPr>
            <w:tcW w:w="1784" w:type="dxa"/>
            <w:vAlign w:val="center"/>
          </w:tcPr>
          <w:p w14:paraId="020C0060"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药物合成、自动分装后转运至核素诊断场所</w:t>
            </w:r>
          </w:p>
        </w:tc>
      </w:tr>
      <w:tr w:rsidR="00A67F21" w:rsidRPr="00B12FE0" w14:paraId="7891BA65" w14:textId="77777777">
        <w:trPr>
          <w:trHeight w:val="510"/>
        </w:trPr>
        <w:tc>
          <w:tcPr>
            <w:tcW w:w="421" w:type="dxa"/>
            <w:vAlign w:val="center"/>
          </w:tcPr>
          <w:p w14:paraId="6F457C04"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2</w:t>
            </w:r>
          </w:p>
        </w:tc>
        <w:tc>
          <w:tcPr>
            <w:tcW w:w="1285" w:type="dxa"/>
            <w:vAlign w:val="center"/>
          </w:tcPr>
          <w:p w14:paraId="57B395C5"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sz w:val="21"/>
                <w:szCs w:val="21"/>
                <w:vertAlign w:val="superscript"/>
              </w:rPr>
              <w:t>18</w:t>
            </w:r>
            <w:r w:rsidRPr="00B12FE0">
              <w:rPr>
                <w:color w:val="000000" w:themeColor="text1"/>
                <w:sz w:val="21"/>
                <w:szCs w:val="21"/>
              </w:rPr>
              <w:t>F</w:t>
            </w:r>
          </w:p>
        </w:tc>
        <w:tc>
          <w:tcPr>
            <w:tcW w:w="1859" w:type="dxa"/>
            <w:vAlign w:val="center"/>
          </w:tcPr>
          <w:p w14:paraId="1F858B33"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液态</w:t>
            </w:r>
            <w:r w:rsidRPr="00B12FE0">
              <w:rPr>
                <w:bCs/>
                <w:color w:val="000000" w:themeColor="text1"/>
                <w:sz w:val="21"/>
                <w:szCs w:val="21"/>
              </w:rPr>
              <w:t>/</w:t>
            </w:r>
            <w:r w:rsidRPr="00B12FE0">
              <w:rPr>
                <w:bCs/>
                <w:color w:val="000000" w:themeColor="text1"/>
                <w:sz w:val="21"/>
                <w:szCs w:val="21"/>
              </w:rPr>
              <w:t>低毒</w:t>
            </w:r>
          </w:p>
          <w:p w14:paraId="6139D4D4" w14:textId="77777777" w:rsidR="00A67F21" w:rsidRPr="00B12FE0" w:rsidRDefault="00000000">
            <w:pPr>
              <w:adjustRightInd w:val="0"/>
              <w:snapToGrid w:val="0"/>
              <w:jc w:val="center"/>
              <w:rPr>
                <w:color w:val="000000" w:themeColor="text1"/>
                <w:kern w:val="0"/>
                <w:sz w:val="21"/>
                <w:szCs w:val="21"/>
              </w:rPr>
            </w:pPr>
            <w:r w:rsidRPr="00B12FE0">
              <w:rPr>
                <w:bCs/>
                <w:color w:val="000000" w:themeColor="text1"/>
                <w:sz w:val="21"/>
                <w:szCs w:val="21"/>
              </w:rPr>
              <w:t>半衰期</w:t>
            </w:r>
            <w:r w:rsidRPr="00B12FE0">
              <w:rPr>
                <w:bCs/>
                <w:color w:val="000000" w:themeColor="text1"/>
                <w:sz w:val="21"/>
                <w:szCs w:val="21"/>
              </w:rPr>
              <w:t>109.8min</w:t>
            </w:r>
          </w:p>
        </w:tc>
        <w:tc>
          <w:tcPr>
            <w:tcW w:w="939" w:type="dxa"/>
            <w:vAlign w:val="center"/>
          </w:tcPr>
          <w:p w14:paraId="02A6B6CA"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使用</w:t>
            </w:r>
          </w:p>
        </w:tc>
        <w:tc>
          <w:tcPr>
            <w:tcW w:w="1470" w:type="dxa"/>
            <w:vAlign w:val="center"/>
          </w:tcPr>
          <w:p w14:paraId="50BF1AD4" w14:textId="77777777" w:rsidR="00A67F21" w:rsidRPr="00B12FE0" w:rsidRDefault="00000000">
            <w:pPr>
              <w:widowControl/>
              <w:jc w:val="center"/>
              <w:textAlignment w:val="center"/>
              <w:rPr>
                <w:bCs/>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1470" w:type="dxa"/>
            <w:vAlign w:val="center"/>
          </w:tcPr>
          <w:p w14:paraId="4E7520BE"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7</w:t>
            </w:r>
          </w:p>
        </w:tc>
        <w:tc>
          <w:tcPr>
            <w:tcW w:w="1176" w:type="dxa"/>
            <w:vAlign w:val="center"/>
          </w:tcPr>
          <w:p w14:paraId="7E75EED0"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1.11</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3</w:t>
            </w:r>
          </w:p>
        </w:tc>
        <w:tc>
          <w:tcPr>
            <w:tcW w:w="1156" w:type="dxa"/>
            <w:vAlign w:val="center"/>
          </w:tcPr>
          <w:p w14:paraId="0D57A0F2"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PET/CT</w:t>
            </w:r>
            <w:r w:rsidRPr="00B12FE0">
              <w:rPr>
                <w:color w:val="000000" w:themeColor="text1"/>
                <w:kern w:val="0"/>
                <w:sz w:val="21"/>
                <w:szCs w:val="21"/>
              </w:rPr>
              <w:t>显像诊断</w:t>
            </w:r>
          </w:p>
        </w:tc>
        <w:tc>
          <w:tcPr>
            <w:tcW w:w="1134" w:type="dxa"/>
            <w:vAlign w:val="center"/>
          </w:tcPr>
          <w:p w14:paraId="75C60F4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很简单操作</w:t>
            </w:r>
          </w:p>
        </w:tc>
        <w:tc>
          <w:tcPr>
            <w:tcW w:w="1276" w:type="dxa"/>
            <w:vMerge w:val="restart"/>
            <w:vAlign w:val="center"/>
          </w:tcPr>
          <w:p w14:paraId="4A45B6F8"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sz w:val="21"/>
                <w:szCs w:val="21"/>
              </w:rPr>
              <w:t>肿瘤治疗中心综合楼</w:t>
            </w:r>
            <w:r w:rsidRPr="00B12FE0">
              <w:rPr>
                <w:rFonts w:hint="eastAsia"/>
                <w:bCs/>
                <w:color w:val="000000" w:themeColor="text1"/>
                <w:sz w:val="21"/>
                <w:szCs w:val="21"/>
              </w:rPr>
              <w:t>一层</w:t>
            </w:r>
            <w:r w:rsidRPr="00B12FE0">
              <w:rPr>
                <w:color w:val="000000" w:themeColor="text1"/>
                <w:kern w:val="0"/>
                <w:sz w:val="21"/>
                <w:szCs w:val="21"/>
              </w:rPr>
              <w:t>核医学科</w:t>
            </w:r>
            <w:r w:rsidRPr="00B12FE0">
              <w:rPr>
                <w:rFonts w:hint="eastAsia"/>
                <w:color w:val="000000" w:themeColor="text1"/>
                <w:kern w:val="0"/>
                <w:sz w:val="21"/>
                <w:szCs w:val="21"/>
              </w:rPr>
              <w:t>核素诊断</w:t>
            </w:r>
            <w:r w:rsidRPr="00B12FE0">
              <w:rPr>
                <w:color w:val="000000" w:themeColor="text1"/>
                <w:kern w:val="0"/>
                <w:sz w:val="21"/>
                <w:szCs w:val="21"/>
              </w:rPr>
              <w:t>场所</w:t>
            </w:r>
          </w:p>
        </w:tc>
        <w:tc>
          <w:tcPr>
            <w:tcW w:w="1784" w:type="dxa"/>
            <w:vAlign w:val="center"/>
          </w:tcPr>
          <w:p w14:paraId="6F891258"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核医学科核素制备场所回旋加速器制备完后运至核素诊断场所</w:t>
            </w:r>
          </w:p>
        </w:tc>
      </w:tr>
      <w:tr w:rsidR="00A67F21" w:rsidRPr="00B12FE0" w14:paraId="0033AD83" w14:textId="77777777">
        <w:trPr>
          <w:trHeight w:val="510"/>
        </w:trPr>
        <w:tc>
          <w:tcPr>
            <w:tcW w:w="421" w:type="dxa"/>
            <w:vAlign w:val="center"/>
          </w:tcPr>
          <w:p w14:paraId="09A89B6C"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3</w:t>
            </w:r>
          </w:p>
        </w:tc>
        <w:tc>
          <w:tcPr>
            <w:tcW w:w="1285" w:type="dxa"/>
            <w:vAlign w:val="center"/>
          </w:tcPr>
          <w:p w14:paraId="245F32E9" w14:textId="77777777" w:rsidR="00A67F21" w:rsidRPr="00B12FE0" w:rsidRDefault="00000000">
            <w:pPr>
              <w:adjustRightInd w:val="0"/>
              <w:snapToGrid w:val="0"/>
              <w:jc w:val="center"/>
              <w:rPr>
                <w:color w:val="000000" w:themeColor="text1"/>
                <w:sz w:val="21"/>
                <w:szCs w:val="21"/>
                <w:vertAlign w:val="superscript"/>
              </w:rPr>
            </w:pPr>
            <w:r w:rsidRPr="00B12FE0">
              <w:rPr>
                <w:color w:val="000000" w:themeColor="text1"/>
                <w:sz w:val="21"/>
                <w:szCs w:val="21"/>
                <w:vertAlign w:val="superscript"/>
              </w:rPr>
              <w:t>99</w:t>
            </w:r>
            <w:r w:rsidRPr="00B12FE0">
              <w:rPr>
                <w:color w:val="000000" w:themeColor="text1"/>
                <w:sz w:val="21"/>
                <w:szCs w:val="21"/>
              </w:rPr>
              <w:t>Mo</w:t>
            </w:r>
          </w:p>
        </w:tc>
        <w:tc>
          <w:tcPr>
            <w:tcW w:w="1859" w:type="dxa"/>
            <w:vAlign w:val="center"/>
          </w:tcPr>
          <w:p w14:paraId="7330E2B8"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液态，中毒，半衰期</w:t>
            </w:r>
            <w:r w:rsidRPr="00B12FE0">
              <w:rPr>
                <w:rFonts w:hint="eastAsia"/>
                <w:bCs/>
                <w:color w:val="000000" w:themeColor="text1"/>
                <w:sz w:val="21"/>
                <w:szCs w:val="21"/>
              </w:rPr>
              <w:t>67h</w:t>
            </w:r>
          </w:p>
        </w:tc>
        <w:tc>
          <w:tcPr>
            <w:tcW w:w="939" w:type="dxa"/>
            <w:vAlign w:val="center"/>
          </w:tcPr>
          <w:p w14:paraId="35769106"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使用</w:t>
            </w:r>
          </w:p>
        </w:tc>
        <w:tc>
          <w:tcPr>
            <w:tcW w:w="1470" w:type="dxa"/>
            <w:tcBorders>
              <w:top w:val="single" w:sz="4" w:space="0" w:color="000000"/>
              <w:left w:val="nil"/>
              <w:bottom w:val="single" w:sz="4" w:space="0" w:color="000000"/>
              <w:right w:val="single" w:sz="4" w:space="0" w:color="000000"/>
            </w:tcBorders>
            <w:vAlign w:val="center"/>
          </w:tcPr>
          <w:p w14:paraId="20A6677A"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1470" w:type="dxa"/>
            <w:tcBorders>
              <w:top w:val="single" w:sz="4" w:space="0" w:color="000000"/>
              <w:left w:val="nil"/>
              <w:bottom w:val="single" w:sz="4" w:space="0" w:color="000000"/>
              <w:right w:val="single" w:sz="4" w:space="0" w:color="000000"/>
            </w:tcBorders>
            <w:vAlign w:val="center"/>
          </w:tcPr>
          <w:p w14:paraId="2ADC740F"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7</w:t>
            </w:r>
          </w:p>
        </w:tc>
        <w:tc>
          <w:tcPr>
            <w:tcW w:w="1176" w:type="dxa"/>
            <w:vAlign w:val="center"/>
          </w:tcPr>
          <w:p w14:paraId="665D3AE3"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1.67</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2</w:t>
            </w:r>
          </w:p>
        </w:tc>
        <w:tc>
          <w:tcPr>
            <w:tcW w:w="1156" w:type="dxa"/>
            <w:vAlign w:val="center"/>
          </w:tcPr>
          <w:p w14:paraId="21A915B2"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制备</w:t>
            </w:r>
            <w:r w:rsidRPr="00B12FE0">
              <w:rPr>
                <w:rFonts w:hint="eastAsia"/>
                <w:color w:val="000000" w:themeColor="text1"/>
                <w:kern w:val="0"/>
                <w:sz w:val="21"/>
                <w:szCs w:val="21"/>
                <w:vertAlign w:val="superscript"/>
              </w:rPr>
              <w:t>99m</w:t>
            </w:r>
            <w:r w:rsidRPr="00B12FE0">
              <w:rPr>
                <w:rFonts w:hint="eastAsia"/>
                <w:color w:val="000000" w:themeColor="text1"/>
                <w:kern w:val="0"/>
                <w:sz w:val="21"/>
                <w:szCs w:val="21"/>
              </w:rPr>
              <w:t>Tc</w:t>
            </w:r>
          </w:p>
        </w:tc>
        <w:tc>
          <w:tcPr>
            <w:tcW w:w="1134" w:type="dxa"/>
            <w:vAlign w:val="center"/>
          </w:tcPr>
          <w:p w14:paraId="6EB21179"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源的贮存</w:t>
            </w:r>
          </w:p>
        </w:tc>
        <w:tc>
          <w:tcPr>
            <w:tcW w:w="1276" w:type="dxa"/>
            <w:vMerge/>
            <w:vAlign w:val="center"/>
          </w:tcPr>
          <w:p w14:paraId="4055378F" w14:textId="77777777" w:rsidR="00A67F21" w:rsidRPr="00B12FE0" w:rsidRDefault="00A67F21">
            <w:pPr>
              <w:adjustRightInd w:val="0"/>
              <w:snapToGrid w:val="0"/>
              <w:jc w:val="center"/>
              <w:rPr>
                <w:color w:val="000000" w:themeColor="text1"/>
                <w:sz w:val="21"/>
                <w:szCs w:val="21"/>
              </w:rPr>
            </w:pPr>
          </w:p>
        </w:tc>
        <w:tc>
          <w:tcPr>
            <w:tcW w:w="1784" w:type="dxa"/>
            <w:vAlign w:val="center"/>
          </w:tcPr>
          <w:p w14:paraId="2041324E"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外购，一周购买</w:t>
            </w:r>
            <w:r w:rsidRPr="00B12FE0">
              <w:rPr>
                <w:rFonts w:hint="eastAsia"/>
                <w:color w:val="000000" w:themeColor="text1"/>
                <w:kern w:val="0"/>
                <w:sz w:val="21"/>
                <w:szCs w:val="21"/>
              </w:rPr>
              <w:t>1</w:t>
            </w:r>
            <w:r w:rsidRPr="00B12FE0">
              <w:rPr>
                <w:rFonts w:hint="eastAsia"/>
                <w:color w:val="000000" w:themeColor="text1"/>
                <w:kern w:val="0"/>
                <w:sz w:val="21"/>
                <w:szCs w:val="21"/>
              </w:rPr>
              <w:t>个，储源室贮存</w:t>
            </w:r>
          </w:p>
        </w:tc>
      </w:tr>
      <w:tr w:rsidR="00A67F21" w:rsidRPr="00B12FE0" w14:paraId="269E1F16" w14:textId="77777777">
        <w:trPr>
          <w:trHeight w:val="510"/>
        </w:trPr>
        <w:tc>
          <w:tcPr>
            <w:tcW w:w="421" w:type="dxa"/>
            <w:vAlign w:val="center"/>
          </w:tcPr>
          <w:p w14:paraId="59941F87"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4</w:t>
            </w:r>
          </w:p>
        </w:tc>
        <w:tc>
          <w:tcPr>
            <w:tcW w:w="1285" w:type="dxa"/>
            <w:vAlign w:val="center"/>
          </w:tcPr>
          <w:p w14:paraId="228A6CF1" w14:textId="77777777" w:rsidR="00A67F21" w:rsidRPr="00B12FE0" w:rsidRDefault="00000000">
            <w:pPr>
              <w:adjustRightInd w:val="0"/>
              <w:snapToGrid w:val="0"/>
              <w:jc w:val="center"/>
              <w:rPr>
                <w:color w:val="000000" w:themeColor="text1"/>
                <w:kern w:val="0"/>
                <w:sz w:val="21"/>
                <w:szCs w:val="21"/>
                <w:vertAlign w:val="superscript"/>
              </w:rPr>
            </w:pPr>
            <w:r w:rsidRPr="00B12FE0">
              <w:rPr>
                <w:color w:val="000000" w:themeColor="text1"/>
                <w:sz w:val="21"/>
                <w:szCs w:val="21"/>
                <w:vertAlign w:val="superscript"/>
              </w:rPr>
              <w:t>99m</w:t>
            </w:r>
            <w:r w:rsidRPr="00B12FE0">
              <w:rPr>
                <w:color w:val="000000" w:themeColor="text1"/>
                <w:sz w:val="21"/>
                <w:szCs w:val="21"/>
              </w:rPr>
              <w:t>Tc</w:t>
            </w:r>
          </w:p>
        </w:tc>
        <w:tc>
          <w:tcPr>
            <w:tcW w:w="1859" w:type="dxa"/>
            <w:vAlign w:val="center"/>
          </w:tcPr>
          <w:p w14:paraId="338214D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液态</w:t>
            </w:r>
            <w:r w:rsidRPr="00B12FE0">
              <w:rPr>
                <w:bCs/>
                <w:color w:val="000000" w:themeColor="text1"/>
                <w:sz w:val="21"/>
                <w:szCs w:val="21"/>
              </w:rPr>
              <w:t>/</w:t>
            </w:r>
            <w:r w:rsidRPr="00B12FE0">
              <w:rPr>
                <w:bCs/>
                <w:color w:val="000000" w:themeColor="text1"/>
                <w:sz w:val="21"/>
                <w:szCs w:val="21"/>
              </w:rPr>
              <w:t>低毒</w:t>
            </w:r>
          </w:p>
          <w:p w14:paraId="206589C4"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半衰期</w:t>
            </w:r>
            <w:r w:rsidRPr="00B12FE0">
              <w:rPr>
                <w:bCs/>
                <w:color w:val="000000" w:themeColor="text1"/>
                <w:sz w:val="21"/>
                <w:szCs w:val="21"/>
              </w:rPr>
              <w:t>6.02h</w:t>
            </w:r>
          </w:p>
        </w:tc>
        <w:tc>
          <w:tcPr>
            <w:tcW w:w="939" w:type="dxa"/>
            <w:vAlign w:val="center"/>
          </w:tcPr>
          <w:p w14:paraId="7262F6FF"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生产、</w:t>
            </w:r>
            <w:r w:rsidRPr="00B12FE0">
              <w:rPr>
                <w:color w:val="000000" w:themeColor="text1"/>
                <w:kern w:val="0"/>
                <w:sz w:val="21"/>
                <w:szCs w:val="21"/>
              </w:rPr>
              <w:t>使用</w:t>
            </w:r>
          </w:p>
        </w:tc>
        <w:tc>
          <w:tcPr>
            <w:tcW w:w="1470" w:type="dxa"/>
            <w:tcBorders>
              <w:top w:val="single" w:sz="4" w:space="0" w:color="000000"/>
              <w:left w:val="nil"/>
              <w:bottom w:val="single" w:sz="4" w:space="0" w:color="000000"/>
              <w:right w:val="single" w:sz="4" w:space="0" w:color="000000"/>
            </w:tcBorders>
            <w:vAlign w:val="center"/>
          </w:tcPr>
          <w:p w14:paraId="59AA89D3"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color w:val="000000" w:themeColor="text1"/>
                <w:sz w:val="21"/>
                <w:szCs w:val="21"/>
                <w:vertAlign w:val="superscript"/>
              </w:rPr>
              <w:t>10</w:t>
            </w:r>
          </w:p>
        </w:tc>
        <w:tc>
          <w:tcPr>
            <w:tcW w:w="1470" w:type="dxa"/>
            <w:tcBorders>
              <w:top w:val="single" w:sz="4" w:space="0" w:color="000000"/>
              <w:left w:val="nil"/>
              <w:bottom w:val="single" w:sz="4" w:space="0" w:color="000000"/>
              <w:right w:val="single" w:sz="4" w:space="0" w:color="000000"/>
            </w:tcBorders>
            <w:vAlign w:val="center"/>
          </w:tcPr>
          <w:p w14:paraId="7E7640C9"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rFonts w:hint="eastAsia"/>
                <w:color w:val="000000" w:themeColor="text1"/>
                <w:sz w:val="21"/>
                <w:szCs w:val="21"/>
                <w:vertAlign w:val="superscript"/>
              </w:rPr>
              <w:t>8</w:t>
            </w:r>
          </w:p>
        </w:tc>
        <w:tc>
          <w:tcPr>
            <w:tcW w:w="1176" w:type="dxa"/>
            <w:vAlign w:val="center"/>
          </w:tcPr>
          <w:p w14:paraId="19A056C2"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7.5</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2</w:t>
            </w:r>
          </w:p>
        </w:tc>
        <w:tc>
          <w:tcPr>
            <w:tcW w:w="1156" w:type="dxa"/>
            <w:vAlign w:val="center"/>
          </w:tcPr>
          <w:p w14:paraId="372D0E25"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SPECT/CT</w:t>
            </w:r>
            <w:r w:rsidRPr="00B12FE0">
              <w:rPr>
                <w:color w:val="000000" w:themeColor="text1"/>
                <w:kern w:val="0"/>
                <w:sz w:val="21"/>
                <w:szCs w:val="21"/>
              </w:rPr>
              <w:t>显像诊断</w:t>
            </w:r>
          </w:p>
        </w:tc>
        <w:tc>
          <w:tcPr>
            <w:tcW w:w="1134" w:type="dxa"/>
            <w:vAlign w:val="center"/>
          </w:tcPr>
          <w:p w14:paraId="568467B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简单操作</w:t>
            </w:r>
          </w:p>
        </w:tc>
        <w:tc>
          <w:tcPr>
            <w:tcW w:w="1276" w:type="dxa"/>
            <w:vMerge/>
            <w:vAlign w:val="center"/>
          </w:tcPr>
          <w:p w14:paraId="308C0C95" w14:textId="77777777" w:rsidR="00A67F21" w:rsidRPr="00B12FE0" w:rsidRDefault="00A67F21">
            <w:pPr>
              <w:adjustRightInd w:val="0"/>
              <w:snapToGrid w:val="0"/>
              <w:jc w:val="center"/>
              <w:rPr>
                <w:color w:val="000000" w:themeColor="text1"/>
                <w:sz w:val="21"/>
                <w:szCs w:val="21"/>
              </w:rPr>
            </w:pPr>
          </w:p>
        </w:tc>
        <w:tc>
          <w:tcPr>
            <w:tcW w:w="1784" w:type="dxa"/>
            <w:vAlign w:val="center"/>
          </w:tcPr>
          <w:p w14:paraId="07CB8AF2"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使用</w:t>
            </w:r>
            <w:proofErr w:type="gramStart"/>
            <w:r w:rsidRPr="00B12FE0">
              <w:rPr>
                <w:rFonts w:hint="eastAsia"/>
                <w:color w:val="000000" w:themeColor="text1"/>
                <w:kern w:val="0"/>
                <w:sz w:val="21"/>
                <w:szCs w:val="21"/>
              </w:rPr>
              <w:t>钼</w:t>
            </w:r>
            <w:proofErr w:type="gramEnd"/>
            <w:r w:rsidRPr="00B12FE0">
              <w:rPr>
                <w:rFonts w:hint="eastAsia"/>
                <w:color w:val="000000" w:themeColor="text1"/>
                <w:kern w:val="0"/>
                <w:sz w:val="21"/>
                <w:szCs w:val="21"/>
              </w:rPr>
              <w:t>锝发生器按需淋洗标记，无需贮存</w:t>
            </w:r>
          </w:p>
        </w:tc>
      </w:tr>
      <w:tr w:rsidR="00A67F21" w:rsidRPr="00B12FE0" w14:paraId="2CC2F560" w14:textId="77777777">
        <w:trPr>
          <w:trHeight w:val="510"/>
        </w:trPr>
        <w:tc>
          <w:tcPr>
            <w:tcW w:w="421" w:type="dxa"/>
            <w:vAlign w:val="center"/>
          </w:tcPr>
          <w:p w14:paraId="1B1B592C"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lastRenderedPageBreak/>
              <w:t>5</w:t>
            </w:r>
          </w:p>
        </w:tc>
        <w:tc>
          <w:tcPr>
            <w:tcW w:w="1285" w:type="dxa"/>
            <w:vAlign w:val="center"/>
          </w:tcPr>
          <w:p w14:paraId="0338C015"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vertAlign w:val="superscript"/>
              </w:rPr>
              <w:t>32</w:t>
            </w:r>
            <w:r w:rsidRPr="00B12FE0">
              <w:rPr>
                <w:color w:val="000000" w:themeColor="text1"/>
                <w:kern w:val="0"/>
                <w:sz w:val="21"/>
                <w:szCs w:val="21"/>
              </w:rPr>
              <w:t>P</w:t>
            </w:r>
          </w:p>
        </w:tc>
        <w:tc>
          <w:tcPr>
            <w:tcW w:w="1859" w:type="dxa"/>
            <w:vAlign w:val="center"/>
          </w:tcPr>
          <w:p w14:paraId="332DA9F7"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液态，中毒</w:t>
            </w:r>
            <w:r w:rsidRPr="00B12FE0">
              <w:rPr>
                <w:rFonts w:hint="eastAsia"/>
                <w:color w:val="000000" w:themeColor="text1"/>
                <w:kern w:val="0"/>
                <w:sz w:val="21"/>
                <w:szCs w:val="21"/>
              </w:rPr>
              <w:t>，半衰期</w:t>
            </w:r>
            <w:r w:rsidRPr="00B12FE0">
              <w:rPr>
                <w:color w:val="000000" w:themeColor="text1"/>
                <w:kern w:val="0"/>
                <w:sz w:val="21"/>
                <w:szCs w:val="21"/>
              </w:rPr>
              <w:t>14.26</w:t>
            </w:r>
            <w:r w:rsidRPr="00B12FE0">
              <w:rPr>
                <w:rFonts w:hint="eastAsia"/>
                <w:color w:val="000000" w:themeColor="text1"/>
                <w:kern w:val="0"/>
                <w:sz w:val="21"/>
                <w:szCs w:val="21"/>
              </w:rPr>
              <w:t>d</w:t>
            </w:r>
          </w:p>
        </w:tc>
        <w:tc>
          <w:tcPr>
            <w:tcW w:w="939" w:type="dxa"/>
            <w:vAlign w:val="center"/>
          </w:tcPr>
          <w:p w14:paraId="79DE3562"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使用</w:t>
            </w:r>
          </w:p>
        </w:tc>
        <w:tc>
          <w:tcPr>
            <w:tcW w:w="1470" w:type="dxa"/>
            <w:tcBorders>
              <w:top w:val="single" w:sz="4" w:space="0" w:color="000000"/>
              <w:left w:val="nil"/>
              <w:bottom w:val="single" w:sz="4" w:space="0" w:color="000000"/>
              <w:right w:val="single" w:sz="4" w:space="0" w:color="000000"/>
            </w:tcBorders>
            <w:vAlign w:val="center"/>
          </w:tcPr>
          <w:p w14:paraId="5CB2DA79" w14:textId="77777777" w:rsidR="00A67F21" w:rsidRPr="00B12FE0" w:rsidRDefault="00000000">
            <w:pPr>
              <w:widowControl/>
              <w:jc w:val="center"/>
              <w:textAlignment w:val="center"/>
              <w:rPr>
                <w:bCs/>
                <w:color w:val="000000" w:themeColor="text1"/>
                <w:sz w:val="21"/>
                <w:szCs w:val="21"/>
              </w:rPr>
            </w:pPr>
            <w:r w:rsidRPr="00B12FE0">
              <w:rPr>
                <w:rFonts w:hint="eastAsia"/>
                <w:color w:val="000000" w:themeColor="text1"/>
                <w:kern w:val="0"/>
                <w:sz w:val="21"/>
                <w:szCs w:val="21"/>
              </w:rPr>
              <w:t>2.22</w:t>
            </w:r>
            <w:r w:rsidRPr="00B12FE0">
              <w:rPr>
                <w:color w:val="000000" w:themeColor="text1"/>
                <w:sz w:val="21"/>
                <w:szCs w:val="21"/>
              </w:rPr>
              <w:t>×10</w:t>
            </w:r>
            <w:r w:rsidRPr="00B12FE0">
              <w:rPr>
                <w:rFonts w:hint="eastAsia"/>
                <w:color w:val="000000" w:themeColor="text1"/>
                <w:sz w:val="21"/>
                <w:szCs w:val="21"/>
                <w:vertAlign w:val="superscript"/>
              </w:rPr>
              <w:t>7</w:t>
            </w:r>
          </w:p>
        </w:tc>
        <w:tc>
          <w:tcPr>
            <w:tcW w:w="1470" w:type="dxa"/>
            <w:tcBorders>
              <w:top w:val="single" w:sz="4" w:space="0" w:color="000000"/>
              <w:left w:val="nil"/>
              <w:bottom w:val="single" w:sz="4" w:space="0" w:color="000000"/>
              <w:right w:val="single" w:sz="4" w:space="0" w:color="000000"/>
            </w:tcBorders>
            <w:vAlign w:val="center"/>
          </w:tcPr>
          <w:p w14:paraId="5474471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2.22</w:t>
            </w:r>
            <w:r w:rsidRPr="00B12FE0">
              <w:rPr>
                <w:color w:val="000000" w:themeColor="text1"/>
                <w:sz w:val="21"/>
                <w:szCs w:val="21"/>
              </w:rPr>
              <w:t>×10</w:t>
            </w:r>
            <w:r w:rsidRPr="00B12FE0">
              <w:rPr>
                <w:rFonts w:hint="eastAsia"/>
                <w:color w:val="000000" w:themeColor="text1"/>
                <w:sz w:val="21"/>
                <w:szCs w:val="21"/>
                <w:vertAlign w:val="superscript"/>
              </w:rPr>
              <w:t>6</w:t>
            </w:r>
          </w:p>
        </w:tc>
        <w:tc>
          <w:tcPr>
            <w:tcW w:w="1176" w:type="dxa"/>
            <w:vAlign w:val="center"/>
          </w:tcPr>
          <w:p w14:paraId="0BD95113"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kern w:val="0"/>
                <w:sz w:val="21"/>
                <w:szCs w:val="21"/>
              </w:rPr>
              <w:t>5.55</w:t>
            </w:r>
            <w:r w:rsidRPr="00B12FE0">
              <w:rPr>
                <w:color w:val="000000" w:themeColor="text1"/>
                <w:sz w:val="21"/>
                <w:szCs w:val="21"/>
              </w:rPr>
              <w:t>×10</w:t>
            </w:r>
            <w:r w:rsidRPr="00B12FE0">
              <w:rPr>
                <w:rFonts w:hint="eastAsia"/>
                <w:color w:val="000000" w:themeColor="text1"/>
                <w:sz w:val="21"/>
                <w:szCs w:val="21"/>
                <w:vertAlign w:val="superscript"/>
              </w:rPr>
              <w:t>9</w:t>
            </w:r>
          </w:p>
        </w:tc>
        <w:tc>
          <w:tcPr>
            <w:tcW w:w="1156" w:type="dxa"/>
            <w:vAlign w:val="center"/>
          </w:tcPr>
          <w:p w14:paraId="2B07ED17"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lang w:bidi="ar"/>
              </w:rPr>
              <w:t>敷贴治疗</w:t>
            </w:r>
          </w:p>
        </w:tc>
        <w:tc>
          <w:tcPr>
            <w:tcW w:w="1134" w:type="dxa"/>
            <w:vAlign w:val="center"/>
          </w:tcPr>
          <w:p w14:paraId="6A1F651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简单操作</w:t>
            </w:r>
          </w:p>
        </w:tc>
        <w:tc>
          <w:tcPr>
            <w:tcW w:w="1276" w:type="dxa"/>
            <w:vMerge/>
            <w:vAlign w:val="center"/>
          </w:tcPr>
          <w:p w14:paraId="517720F7" w14:textId="77777777" w:rsidR="00A67F21" w:rsidRPr="00B12FE0" w:rsidRDefault="00A67F21">
            <w:pPr>
              <w:adjustRightInd w:val="0"/>
              <w:snapToGrid w:val="0"/>
              <w:jc w:val="center"/>
              <w:rPr>
                <w:color w:val="000000" w:themeColor="text1"/>
                <w:sz w:val="21"/>
                <w:szCs w:val="21"/>
              </w:rPr>
            </w:pPr>
          </w:p>
        </w:tc>
        <w:tc>
          <w:tcPr>
            <w:tcW w:w="1784" w:type="dxa"/>
            <w:vMerge w:val="restart"/>
            <w:vAlign w:val="center"/>
          </w:tcPr>
          <w:p w14:paraId="6238813D"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根据实际使用量向有资质单位购买（现买现用），购买后的放射性药物</w:t>
            </w:r>
            <w:proofErr w:type="gramStart"/>
            <w:r w:rsidRPr="00B12FE0">
              <w:rPr>
                <w:color w:val="000000" w:themeColor="text1"/>
                <w:kern w:val="0"/>
                <w:sz w:val="21"/>
                <w:szCs w:val="21"/>
              </w:rPr>
              <w:t>连同铅罐</w:t>
            </w:r>
            <w:r w:rsidRPr="00B12FE0">
              <w:rPr>
                <w:rFonts w:hint="eastAsia"/>
                <w:color w:val="000000" w:themeColor="text1"/>
                <w:sz w:val="21"/>
                <w:szCs w:val="21"/>
              </w:rPr>
              <w:t>暂存</w:t>
            </w:r>
            <w:r w:rsidRPr="00B12FE0">
              <w:rPr>
                <w:color w:val="000000" w:themeColor="text1"/>
                <w:sz w:val="21"/>
                <w:szCs w:val="21"/>
              </w:rPr>
              <w:t>于</w:t>
            </w:r>
            <w:proofErr w:type="gramEnd"/>
            <w:r w:rsidRPr="00B12FE0">
              <w:rPr>
                <w:color w:val="000000" w:themeColor="text1"/>
                <w:kern w:val="0"/>
                <w:sz w:val="21"/>
                <w:szCs w:val="21"/>
              </w:rPr>
              <w:t>储源室内，设双人双锁管理。</w:t>
            </w:r>
          </w:p>
        </w:tc>
      </w:tr>
      <w:tr w:rsidR="00A67F21" w:rsidRPr="00B12FE0" w14:paraId="2D7D86FD" w14:textId="77777777">
        <w:trPr>
          <w:trHeight w:val="510"/>
        </w:trPr>
        <w:tc>
          <w:tcPr>
            <w:tcW w:w="421" w:type="dxa"/>
            <w:vAlign w:val="center"/>
          </w:tcPr>
          <w:p w14:paraId="4E4C3326"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6</w:t>
            </w:r>
          </w:p>
        </w:tc>
        <w:tc>
          <w:tcPr>
            <w:tcW w:w="1285" w:type="dxa"/>
            <w:vAlign w:val="center"/>
          </w:tcPr>
          <w:p w14:paraId="5C53196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vertAlign w:val="superscript"/>
              </w:rPr>
              <w:t>131</w:t>
            </w:r>
            <w:r w:rsidRPr="00B12FE0">
              <w:rPr>
                <w:color w:val="000000" w:themeColor="text1"/>
                <w:sz w:val="21"/>
                <w:szCs w:val="21"/>
              </w:rPr>
              <w:t>I</w:t>
            </w:r>
          </w:p>
        </w:tc>
        <w:tc>
          <w:tcPr>
            <w:tcW w:w="1859" w:type="dxa"/>
            <w:vAlign w:val="center"/>
          </w:tcPr>
          <w:p w14:paraId="7B01C9F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液态，中毒</w:t>
            </w:r>
            <w:r w:rsidRPr="00B12FE0">
              <w:rPr>
                <w:rFonts w:hint="eastAsia"/>
                <w:color w:val="000000" w:themeColor="text1"/>
                <w:sz w:val="21"/>
                <w:szCs w:val="21"/>
              </w:rPr>
              <w:t>，半衰期</w:t>
            </w:r>
            <w:r w:rsidRPr="00B12FE0">
              <w:rPr>
                <w:color w:val="000000" w:themeColor="text1"/>
                <w:sz w:val="21"/>
                <w:szCs w:val="21"/>
              </w:rPr>
              <w:t>8.02</w:t>
            </w:r>
            <w:r w:rsidRPr="00B12FE0">
              <w:rPr>
                <w:rFonts w:hint="eastAsia"/>
                <w:color w:val="000000" w:themeColor="text1"/>
                <w:sz w:val="21"/>
                <w:szCs w:val="21"/>
              </w:rPr>
              <w:t>d</w:t>
            </w:r>
          </w:p>
        </w:tc>
        <w:tc>
          <w:tcPr>
            <w:tcW w:w="939" w:type="dxa"/>
            <w:vAlign w:val="center"/>
          </w:tcPr>
          <w:p w14:paraId="0EAE3B96"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使用</w:t>
            </w:r>
          </w:p>
        </w:tc>
        <w:tc>
          <w:tcPr>
            <w:tcW w:w="1470" w:type="dxa"/>
            <w:tcBorders>
              <w:top w:val="single" w:sz="4" w:space="0" w:color="000000"/>
              <w:left w:val="nil"/>
              <w:bottom w:val="single" w:sz="4" w:space="0" w:color="000000"/>
              <w:right w:val="single" w:sz="4" w:space="0" w:color="000000"/>
            </w:tcBorders>
            <w:vAlign w:val="center"/>
          </w:tcPr>
          <w:p w14:paraId="4D30B32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6</w:t>
            </w:r>
          </w:p>
        </w:tc>
        <w:tc>
          <w:tcPr>
            <w:tcW w:w="1470" w:type="dxa"/>
            <w:tcBorders>
              <w:top w:val="single" w:sz="4" w:space="0" w:color="000000"/>
              <w:left w:val="nil"/>
              <w:bottom w:val="single" w:sz="4" w:space="0" w:color="000000"/>
              <w:right w:val="single" w:sz="4" w:space="0" w:color="000000"/>
            </w:tcBorders>
            <w:vAlign w:val="center"/>
          </w:tcPr>
          <w:p w14:paraId="6055817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5</w:t>
            </w:r>
          </w:p>
        </w:tc>
        <w:tc>
          <w:tcPr>
            <w:tcW w:w="1176" w:type="dxa"/>
            <w:vAlign w:val="center"/>
          </w:tcPr>
          <w:p w14:paraId="4B55533A"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lang w:bidi="ar"/>
              </w:rPr>
              <w:t>9.25</w:t>
            </w:r>
            <w:r w:rsidRPr="00B12FE0">
              <w:rPr>
                <w:color w:val="000000" w:themeColor="text1"/>
                <w:sz w:val="21"/>
                <w:szCs w:val="21"/>
              </w:rPr>
              <w:t>×10</w:t>
            </w:r>
            <w:r w:rsidRPr="00B12FE0">
              <w:rPr>
                <w:rFonts w:hint="eastAsia"/>
                <w:color w:val="000000" w:themeColor="text1"/>
                <w:sz w:val="21"/>
                <w:szCs w:val="21"/>
                <w:vertAlign w:val="superscript"/>
              </w:rPr>
              <w:t>7</w:t>
            </w:r>
          </w:p>
        </w:tc>
        <w:tc>
          <w:tcPr>
            <w:tcW w:w="1156" w:type="dxa"/>
            <w:vAlign w:val="center"/>
          </w:tcPr>
          <w:p w14:paraId="2366C877" w14:textId="77777777" w:rsidR="00A67F21" w:rsidRPr="00B12FE0" w:rsidRDefault="00000000">
            <w:pPr>
              <w:widowControl/>
              <w:jc w:val="center"/>
              <w:textAlignment w:val="center"/>
              <w:rPr>
                <w:color w:val="000000" w:themeColor="text1"/>
                <w:kern w:val="0"/>
                <w:sz w:val="21"/>
                <w:szCs w:val="21"/>
              </w:rPr>
            </w:pPr>
            <w:proofErr w:type="gramStart"/>
            <w:r w:rsidRPr="00B12FE0">
              <w:rPr>
                <w:color w:val="000000" w:themeColor="text1"/>
                <w:kern w:val="0"/>
                <w:sz w:val="21"/>
                <w:szCs w:val="21"/>
              </w:rPr>
              <w:t>甲功测定</w:t>
            </w:r>
            <w:proofErr w:type="gramEnd"/>
          </w:p>
        </w:tc>
        <w:tc>
          <w:tcPr>
            <w:tcW w:w="1134" w:type="dxa"/>
            <w:vAlign w:val="center"/>
          </w:tcPr>
          <w:p w14:paraId="3925426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简单操作</w:t>
            </w:r>
          </w:p>
        </w:tc>
        <w:tc>
          <w:tcPr>
            <w:tcW w:w="1276" w:type="dxa"/>
            <w:vMerge/>
            <w:vAlign w:val="center"/>
          </w:tcPr>
          <w:p w14:paraId="6570C2E7" w14:textId="77777777" w:rsidR="00A67F21" w:rsidRPr="00B12FE0" w:rsidRDefault="00A67F21">
            <w:pPr>
              <w:adjustRightInd w:val="0"/>
              <w:snapToGrid w:val="0"/>
              <w:jc w:val="center"/>
              <w:rPr>
                <w:color w:val="000000" w:themeColor="text1"/>
                <w:sz w:val="21"/>
                <w:szCs w:val="21"/>
              </w:rPr>
            </w:pPr>
          </w:p>
        </w:tc>
        <w:tc>
          <w:tcPr>
            <w:tcW w:w="1784" w:type="dxa"/>
            <w:vMerge/>
            <w:vAlign w:val="center"/>
          </w:tcPr>
          <w:p w14:paraId="31F20A2F" w14:textId="77777777" w:rsidR="00A67F21" w:rsidRPr="00B12FE0" w:rsidRDefault="00A67F21">
            <w:pPr>
              <w:adjustRightInd w:val="0"/>
              <w:snapToGrid w:val="0"/>
              <w:jc w:val="center"/>
              <w:rPr>
                <w:color w:val="000000" w:themeColor="text1"/>
                <w:kern w:val="0"/>
                <w:sz w:val="21"/>
                <w:szCs w:val="21"/>
              </w:rPr>
            </w:pPr>
          </w:p>
        </w:tc>
      </w:tr>
      <w:tr w:rsidR="00A67F21" w:rsidRPr="00B12FE0" w14:paraId="22F76F07" w14:textId="77777777">
        <w:trPr>
          <w:trHeight w:val="510"/>
        </w:trPr>
        <w:tc>
          <w:tcPr>
            <w:tcW w:w="421" w:type="dxa"/>
            <w:vAlign w:val="center"/>
          </w:tcPr>
          <w:p w14:paraId="43B0708D"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7</w:t>
            </w:r>
          </w:p>
        </w:tc>
        <w:tc>
          <w:tcPr>
            <w:tcW w:w="1285" w:type="dxa"/>
            <w:vAlign w:val="center"/>
          </w:tcPr>
          <w:p w14:paraId="62DAA67D" w14:textId="77777777" w:rsidR="00A67F21" w:rsidRPr="00B12FE0" w:rsidRDefault="00000000">
            <w:pPr>
              <w:adjustRightInd w:val="0"/>
              <w:snapToGrid w:val="0"/>
              <w:jc w:val="center"/>
              <w:rPr>
                <w:color w:val="000000" w:themeColor="text1"/>
                <w:sz w:val="21"/>
                <w:szCs w:val="21"/>
                <w:vertAlign w:val="superscript"/>
              </w:rPr>
            </w:pPr>
            <w:r w:rsidRPr="00B12FE0">
              <w:rPr>
                <w:color w:val="000000" w:themeColor="text1"/>
                <w:sz w:val="21"/>
                <w:szCs w:val="21"/>
                <w:vertAlign w:val="superscript"/>
              </w:rPr>
              <w:t>131</w:t>
            </w:r>
            <w:r w:rsidRPr="00B12FE0">
              <w:rPr>
                <w:color w:val="000000" w:themeColor="text1"/>
                <w:sz w:val="21"/>
                <w:szCs w:val="21"/>
              </w:rPr>
              <w:t>I</w:t>
            </w:r>
          </w:p>
        </w:tc>
        <w:tc>
          <w:tcPr>
            <w:tcW w:w="1859" w:type="dxa"/>
            <w:vAlign w:val="center"/>
          </w:tcPr>
          <w:p w14:paraId="7931FE5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液态，中毒</w:t>
            </w:r>
            <w:r w:rsidRPr="00B12FE0">
              <w:rPr>
                <w:rFonts w:hint="eastAsia"/>
                <w:color w:val="000000" w:themeColor="text1"/>
                <w:sz w:val="21"/>
                <w:szCs w:val="21"/>
              </w:rPr>
              <w:t>，半衰期</w:t>
            </w:r>
            <w:r w:rsidRPr="00B12FE0">
              <w:rPr>
                <w:color w:val="000000" w:themeColor="text1"/>
                <w:sz w:val="21"/>
                <w:szCs w:val="21"/>
              </w:rPr>
              <w:t>8.02</w:t>
            </w:r>
            <w:r w:rsidRPr="00B12FE0">
              <w:rPr>
                <w:rFonts w:hint="eastAsia"/>
                <w:color w:val="000000" w:themeColor="text1"/>
                <w:sz w:val="21"/>
                <w:szCs w:val="21"/>
              </w:rPr>
              <w:t>d</w:t>
            </w:r>
          </w:p>
        </w:tc>
        <w:tc>
          <w:tcPr>
            <w:tcW w:w="939" w:type="dxa"/>
            <w:vAlign w:val="center"/>
          </w:tcPr>
          <w:p w14:paraId="0DF8711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使用</w:t>
            </w:r>
          </w:p>
        </w:tc>
        <w:tc>
          <w:tcPr>
            <w:tcW w:w="1470" w:type="dxa"/>
            <w:tcBorders>
              <w:top w:val="single" w:sz="4" w:space="0" w:color="000000"/>
              <w:left w:val="nil"/>
              <w:bottom w:val="single" w:sz="4" w:space="0" w:color="000000"/>
              <w:right w:val="single" w:sz="4" w:space="0" w:color="000000"/>
            </w:tcBorders>
            <w:vAlign w:val="center"/>
          </w:tcPr>
          <w:p w14:paraId="0F17F68C"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lang w:bidi="ar"/>
              </w:rPr>
              <w:t>3.70</w:t>
            </w:r>
            <w:r w:rsidRPr="00B12FE0">
              <w:rPr>
                <w:color w:val="000000" w:themeColor="text1"/>
                <w:sz w:val="21"/>
                <w:szCs w:val="21"/>
              </w:rPr>
              <w:t>×10</w:t>
            </w:r>
            <w:r w:rsidRPr="00B12FE0">
              <w:rPr>
                <w:rFonts w:hint="eastAsia"/>
                <w:color w:val="000000" w:themeColor="text1"/>
                <w:sz w:val="21"/>
                <w:szCs w:val="21"/>
                <w:vertAlign w:val="superscript"/>
              </w:rPr>
              <w:t>9</w:t>
            </w:r>
          </w:p>
        </w:tc>
        <w:tc>
          <w:tcPr>
            <w:tcW w:w="1470" w:type="dxa"/>
            <w:tcBorders>
              <w:top w:val="single" w:sz="4" w:space="0" w:color="000000"/>
              <w:left w:val="nil"/>
              <w:bottom w:val="single" w:sz="4" w:space="0" w:color="000000"/>
              <w:right w:val="single" w:sz="4" w:space="0" w:color="000000"/>
            </w:tcBorders>
            <w:vAlign w:val="center"/>
          </w:tcPr>
          <w:p w14:paraId="255A1541"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lang w:bidi="ar"/>
              </w:rPr>
              <w:t>3.70</w:t>
            </w:r>
            <w:r w:rsidRPr="00B12FE0">
              <w:rPr>
                <w:color w:val="000000" w:themeColor="text1"/>
                <w:sz w:val="21"/>
                <w:szCs w:val="21"/>
              </w:rPr>
              <w:t>×10</w:t>
            </w:r>
            <w:r w:rsidRPr="00B12FE0">
              <w:rPr>
                <w:rFonts w:hint="eastAsia"/>
                <w:color w:val="000000" w:themeColor="text1"/>
                <w:sz w:val="21"/>
                <w:szCs w:val="21"/>
                <w:vertAlign w:val="superscript"/>
              </w:rPr>
              <w:t>8</w:t>
            </w:r>
          </w:p>
        </w:tc>
        <w:tc>
          <w:tcPr>
            <w:tcW w:w="1176" w:type="dxa"/>
            <w:vAlign w:val="center"/>
          </w:tcPr>
          <w:p w14:paraId="0BEE2187"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lang w:bidi="ar"/>
              </w:rPr>
              <w:t>1.85</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1</w:t>
            </w:r>
          </w:p>
        </w:tc>
        <w:tc>
          <w:tcPr>
            <w:tcW w:w="1156" w:type="dxa"/>
            <w:vAlign w:val="center"/>
          </w:tcPr>
          <w:p w14:paraId="4988F363"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lang w:bidi="ar"/>
              </w:rPr>
              <w:t>甲亢治疗</w:t>
            </w:r>
          </w:p>
        </w:tc>
        <w:tc>
          <w:tcPr>
            <w:tcW w:w="1134" w:type="dxa"/>
            <w:vAlign w:val="center"/>
          </w:tcPr>
          <w:p w14:paraId="25EDF169" w14:textId="77777777" w:rsidR="00A67F21" w:rsidRPr="00B12FE0" w:rsidRDefault="00000000">
            <w:pPr>
              <w:widowControl/>
              <w:jc w:val="center"/>
              <w:textAlignment w:val="center"/>
              <w:rPr>
                <w:color w:val="000000" w:themeColor="text1"/>
                <w:kern w:val="0"/>
                <w:sz w:val="21"/>
                <w:szCs w:val="21"/>
                <w:lang w:bidi="ar"/>
              </w:rPr>
            </w:pPr>
            <w:r w:rsidRPr="00B12FE0">
              <w:rPr>
                <w:color w:val="000000" w:themeColor="text1"/>
                <w:kern w:val="0"/>
                <w:sz w:val="21"/>
                <w:szCs w:val="21"/>
                <w:lang w:bidi="ar"/>
              </w:rPr>
              <w:t>简单操作</w:t>
            </w:r>
          </w:p>
        </w:tc>
        <w:tc>
          <w:tcPr>
            <w:tcW w:w="1276" w:type="dxa"/>
            <w:vMerge/>
            <w:vAlign w:val="center"/>
          </w:tcPr>
          <w:p w14:paraId="345317D2" w14:textId="77777777" w:rsidR="00A67F21" w:rsidRPr="00B12FE0" w:rsidRDefault="00A67F21">
            <w:pPr>
              <w:adjustRightInd w:val="0"/>
              <w:snapToGrid w:val="0"/>
              <w:jc w:val="center"/>
              <w:rPr>
                <w:color w:val="000000" w:themeColor="text1"/>
                <w:sz w:val="21"/>
                <w:szCs w:val="21"/>
              </w:rPr>
            </w:pPr>
          </w:p>
        </w:tc>
        <w:tc>
          <w:tcPr>
            <w:tcW w:w="1784" w:type="dxa"/>
            <w:vMerge/>
            <w:vAlign w:val="center"/>
          </w:tcPr>
          <w:p w14:paraId="72C5A27C" w14:textId="77777777" w:rsidR="00A67F21" w:rsidRPr="00B12FE0" w:rsidRDefault="00A67F21">
            <w:pPr>
              <w:adjustRightInd w:val="0"/>
              <w:snapToGrid w:val="0"/>
              <w:jc w:val="center"/>
              <w:rPr>
                <w:color w:val="000000" w:themeColor="text1"/>
                <w:kern w:val="0"/>
                <w:sz w:val="21"/>
                <w:szCs w:val="21"/>
              </w:rPr>
            </w:pPr>
          </w:p>
        </w:tc>
      </w:tr>
      <w:tr w:rsidR="00A67F21" w:rsidRPr="00B12FE0" w14:paraId="33669823" w14:textId="77777777">
        <w:trPr>
          <w:trHeight w:val="510"/>
        </w:trPr>
        <w:tc>
          <w:tcPr>
            <w:tcW w:w="421" w:type="dxa"/>
            <w:vAlign w:val="center"/>
          </w:tcPr>
          <w:p w14:paraId="096B1C50"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8</w:t>
            </w:r>
          </w:p>
        </w:tc>
        <w:tc>
          <w:tcPr>
            <w:tcW w:w="1285" w:type="dxa"/>
            <w:vAlign w:val="center"/>
          </w:tcPr>
          <w:p w14:paraId="6D29E873" w14:textId="77777777" w:rsidR="00A67F21" w:rsidRPr="00B12FE0" w:rsidRDefault="00000000">
            <w:pPr>
              <w:adjustRightInd w:val="0"/>
              <w:snapToGrid w:val="0"/>
              <w:jc w:val="center"/>
              <w:rPr>
                <w:color w:val="000000" w:themeColor="text1"/>
                <w:sz w:val="21"/>
                <w:szCs w:val="21"/>
                <w:vertAlign w:val="superscript"/>
              </w:rPr>
            </w:pPr>
            <w:r w:rsidRPr="00B12FE0">
              <w:rPr>
                <w:color w:val="000000" w:themeColor="text1"/>
                <w:sz w:val="21"/>
                <w:szCs w:val="21"/>
                <w:vertAlign w:val="superscript"/>
              </w:rPr>
              <w:t>131</w:t>
            </w:r>
            <w:r w:rsidRPr="00B12FE0">
              <w:rPr>
                <w:color w:val="000000" w:themeColor="text1"/>
                <w:sz w:val="21"/>
                <w:szCs w:val="21"/>
              </w:rPr>
              <w:t>I</w:t>
            </w:r>
          </w:p>
        </w:tc>
        <w:tc>
          <w:tcPr>
            <w:tcW w:w="1859" w:type="dxa"/>
            <w:vAlign w:val="center"/>
          </w:tcPr>
          <w:p w14:paraId="7BC7773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液态，中毒</w:t>
            </w:r>
            <w:r w:rsidRPr="00B12FE0">
              <w:rPr>
                <w:rFonts w:hint="eastAsia"/>
                <w:color w:val="000000" w:themeColor="text1"/>
                <w:sz w:val="21"/>
                <w:szCs w:val="21"/>
              </w:rPr>
              <w:t>，半衰期</w:t>
            </w:r>
            <w:r w:rsidRPr="00B12FE0">
              <w:rPr>
                <w:color w:val="000000" w:themeColor="text1"/>
                <w:sz w:val="21"/>
                <w:szCs w:val="21"/>
              </w:rPr>
              <w:t>8.02</w:t>
            </w:r>
            <w:r w:rsidRPr="00B12FE0">
              <w:rPr>
                <w:rFonts w:hint="eastAsia"/>
                <w:color w:val="000000" w:themeColor="text1"/>
                <w:sz w:val="21"/>
                <w:szCs w:val="21"/>
              </w:rPr>
              <w:t>d</w:t>
            </w:r>
          </w:p>
        </w:tc>
        <w:tc>
          <w:tcPr>
            <w:tcW w:w="939" w:type="dxa"/>
            <w:vAlign w:val="center"/>
          </w:tcPr>
          <w:p w14:paraId="2E365BEB"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使用</w:t>
            </w:r>
          </w:p>
        </w:tc>
        <w:tc>
          <w:tcPr>
            <w:tcW w:w="1470" w:type="dxa"/>
            <w:vAlign w:val="center"/>
          </w:tcPr>
          <w:p w14:paraId="76710A7A" w14:textId="77777777" w:rsidR="00A67F21" w:rsidRPr="00B12FE0" w:rsidRDefault="00000000">
            <w:pPr>
              <w:widowControl/>
              <w:jc w:val="center"/>
              <w:textAlignment w:val="center"/>
              <w:rPr>
                <w:color w:val="000000" w:themeColor="text1"/>
                <w:kern w:val="0"/>
                <w:sz w:val="21"/>
                <w:szCs w:val="21"/>
                <w:lang w:bidi="ar"/>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10</w:t>
            </w:r>
          </w:p>
        </w:tc>
        <w:tc>
          <w:tcPr>
            <w:tcW w:w="1470" w:type="dxa"/>
            <w:vAlign w:val="center"/>
          </w:tcPr>
          <w:p w14:paraId="69ABEECB" w14:textId="77777777" w:rsidR="00A67F21" w:rsidRPr="00B12FE0" w:rsidRDefault="00000000">
            <w:pPr>
              <w:widowControl/>
              <w:jc w:val="center"/>
              <w:textAlignment w:val="center"/>
              <w:rPr>
                <w:color w:val="000000" w:themeColor="text1"/>
                <w:kern w:val="0"/>
                <w:sz w:val="21"/>
                <w:szCs w:val="21"/>
                <w:lang w:bidi="ar"/>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9</w:t>
            </w:r>
          </w:p>
        </w:tc>
        <w:tc>
          <w:tcPr>
            <w:tcW w:w="1176" w:type="dxa"/>
            <w:vAlign w:val="center"/>
          </w:tcPr>
          <w:p w14:paraId="03F4C0FC"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lang w:bidi="ar"/>
              </w:rPr>
              <w:t>1.78</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2</w:t>
            </w:r>
          </w:p>
        </w:tc>
        <w:tc>
          <w:tcPr>
            <w:tcW w:w="1156" w:type="dxa"/>
            <w:vAlign w:val="center"/>
          </w:tcPr>
          <w:p w14:paraId="5F9C31DA" w14:textId="77777777" w:rsidR="00A67F21" w:rsidRPr="00B12FE0" w:rsidRDefault="00000000">
            <w:pPr>
              <w:widowControl/>
              <w:jc w:val="center"/>
              <w:textAlignment w:val="center"/>
              <w:rPr>
                <w:color w:val="000000" w:themeColor="text1"/>
                <w:kern w:val="0"/>
                <w:sz w:val="21"/>
                <w:szCs w:val="21"/>
                <w:lang w:bidi="ar"/>
              </w:rPr>
            </w:pPr>
            <w:proofErr w:type="gramStart"/>
            <w:r w:rsidRPr="00B12FE0">
              <w:rPr>
                <w:rFonts w:hint="eastAsia"/>
                <w:color w:val="000000" w:themeColor="text1"/>
                <w:kern w:val="0"/>
                <w:sz w:val="21"/>
                <w:szCs w:val="21"/>
                <w:lang w:bidi="ar"/>
              </w:rPr>
              <w:t>甲癌治疗</w:t>
            </w:r>
            <w:proofErr w:type="gramEnd"/>
          </w:p>
        </w:tc>
        <w:tc>
          <w:tcPr>
            <w:tcW w:w="1134" w:type="dxa"/>
            <w:vAlign w:val="center"/>
          </w:tcPr>
          <w:p w14:paraId="06315BC7" w14:textId="77777777" w:rsidR="00A67F21" w:rsidRPr="00B12FE0" w:rsidRDefault="00000000">
            <w:pPr>
              <w:widowControl/>
              <w:jc w:val="center"/>
              <w:textAlignment w:val="center"/>
              <w:rPr>
                <w:color w:val="000000" w:themeColor="text1"/>
                <w:kern w:val="0"/>
                <w:sz w:val="21"/>
                <w:szCs w:val="21"/>
                <w:lang w:bidi="ar"/>
              </w:rPr>
            </w:pPr>
            <w:r w:rsidRPr="00B12FE0">
              <w:rPr>
                <w:color w:val="000000" w:themeColor="text1"/>
                <w:kern w:val="0"/>
                <w:sz w:val="21"/>
                <w:szCs w:val="21"/>
                <w:lang w:bidi="ar"/>
              </w:rPr>
              <w:t>简单操作</w:t>
            </w:r>
          </w:p>
        </w:tc>
        <w:tc>
          <w:tcPr>
            <w:tcW w:w="1276" w:type="dxa"/>
            <w:vAlign w:val="center"/>
          </w:tcPr>
          <w:p w14:paraId="2E9AA42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肿瘤治疗中心综合楼二层</w:t>
            </w:r>
            <w:r w:rsidRPr="00B12FE0">
              <w:rPr>
                <w:color w:val="000000" w:themeColor="text1"/>
                <w:kern w:val="0"/>
                <w:sz w:val="21"/>
                <w:szCs w:val="21"/>
              </w:rPr>
              <w:t>核医学科</w:t>
            </w:r>
            <w:r w:rsidRPr="00B12FE0">
              <w:rPr>
                <w:rFonts w:hint="eastAsia"/>
                <w:color w:val="000000" w:themeColor="text1"/>
                <w:sz w:val="21"/>
                <w:szCs w:val="21"/>
              </w:rPr>
              <w:t>核素治疗场所</w:t>
            </w:r>
          </w:p>
        </w:tc>
        <w:tc>
          <w:tcPr>
            <w:tcW w:w="1784" w:type="dxa"/>
            <w:vAlign w:val="center"/>
          </w:tcPr>
          <w:p w14:paraId="7D9760B9"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由医院根据实际使用量订购，</w:t>
            </w:r>
            <w:r w:rsidRPr="00B12FE0">
              <w:rPr>
                <w:color w:val="000000" w:themeColor="text1"/>
                <w:kern w:val="0"/>
                <w:sz w:val="21"/>
                <w:szCs w:val="21"/>
              </w:rPr>
              <w:t>供</w:t>
            </w:r>
            <w:proofErr w:type="gramStart"/>
            <w:r w:rsidRPr="00B12FE0">
              <w:rPr>
                <w:color w:val="000000" w:themeColor="text1"/>
                <w:kern w:val="0"/>
                <w:sz w:val="21"/>
                <w:szCs w:val="21"/>
              </w:rPr>
              <w:t>药单位</w:t>
            </w:r>
            <w:r w:rsidRPr="00B12FE0">
              <w:rPr>
                <w:rFonts w:hint="eastAsia"/>
                <w:color w:val="000000" w:themeColor="text1"/>
                <w:kern w:val="0"/>
                <w:sz w:val="21"/>
                <w:szCs w:val="21"/>
              </w:rPr>
              <w:t>派专人</w:t>
            </w:r>
            <w:proofErr w:type="gramEnd"/>
            <w:r w:rsidRPr="00B12FE0">
              <w:rPr>
                <w:rFonts w:hint="eastAsia"/>
                <w:color w:val="000000" w:themeColor="text1"/>
                <w:kern w:val="0"/>
                <w:sz w:val="21"/>
                <w:szCs w:val="21"/>
              </w:rPr>
              <w:t>运送，运输来的药物连同包装放置于核素治疗场所储源室</w:t>
            </w:r>
          </w:p>
        </w:tc>
      </w:tr>
    </w:tbl>
    <w:p w14:paraId="01E7452B" w14:textId="77777777" w:rsidR="00A67F21" w:rsidRPr="00B12FE0" w:rsidRDefault="00000000">
      <w:pPr>
        <w:pStyle w:val="afb"/>
        <w:spacing w:beforeLines="50" w:before="120" w:after="0" w:line="360" w:lineRule="auto"/>
        <w:rPr>
          <w:color w:val="000000" w:themeColor="text1"/>
          <w:sz w:val="18"/>
          <w:szCs w:val="18"/>
        </w:rPr>
      </w:pPr>
      <w:r w:rsidRPr="00B12FE0">
        <w:rPr>
          <w:color w:val="000000" w:themeColor="text1"/>
          <w:sz w:val="18"/>
          <w:szCs w:val="18"/>
        </w:rPr>
        <w:t>注：日等效最大操作量和操作方式见《电离辐射防护与辐射源安全基本标准</w:t>
      </w:r>
      <w:r w:rsidRPr="00B12FE0">
        <w:rPr>
          <w:color w:val="000000" w:themeColor="text1"/>
          <w:spacing w:val="-90"/>
          <w:sz w:val="18"/>
          <w:szCs w:val="18"/>
        </w:rPr>
        <w:t>》</w:t>
      </w:r>
      <w:r w:rsidRPr="00B12FE0">
        <w:rPr>
          <w:color w:val="000000" w:themeColor="text1"/>
          <w:sz w:val="18"/>
          <w:szCs w:val="18"/>
        </w:rPr>
        <w:t>（</w:t>
      </w:r>
      <w:r w:rsidRPr="00B12FE0">
        <w:rPr>
          <w:color w:val="000000" w:themeColor="text1"/>
          <w:sz w:val="18"/>
          <w:szCs w:val="18"/>
        </w:rPr>
        <w:t>GB18871-2002</w:t>
      </w:r>
      <w:r w:rsidRPr="00B12FE0">
        <w:rPr>
          <w:color w:val="000000" w:themeColor="text1"/>
          <w:sz w:val="18"/>
          <w:szCs w:val="18"/>
        </w:rPr>
        <w:t>）。</w:t>
      </w:r>
    </w:p>
    <w:p w14:paraId="20553CEB" w14:textId="77777777" w:rsidR="00A67F21" w:rsidRPr="00B12FE0" w:rsidRDefault="00000000">
      <w:pPr>
        <w:spacing w:line="360" w:lineRule="auto"/>
        <w:outlineLvl w:val="0"/>
        <w:rPr>
          <w:b/>
          <w:color w:val="000000" w:themeColor="text1"/>
          <w:sz w:val="32"/>
          <w:szCs w:val="32"/>
        </w:rPr>
      </w:pPr>
      <w:bookmarkStart w:id="7" w:name="_Toc26175"/>
      <w:r w:rsidRPr="00B12FE0">
        <w:rPr>
          <w:b/>
          <w:color w:val="000000" w:themeColor="text1"/>
          <w:sz w:val="32"/>
          <w:szCs w:val="32"/>
        </w:rPr>
        <w:t>表</w:t>
      </w:r>
      <w:r w:rsidRPr="00B12FE0">
        <w:rPr>
          <w:b/>
          <w:color w:val="000000" w:themeColor="text1"/>
          <w:sz w:val="32"/>
          <w:szCs w:val="32"/>
        </w:rPr>
        <w:t xml:space="preserve">4 </w:t>
      </w:r>
      <w:r w:rsidRPr="00B12FE0">
        <w:rPr>
          <w:b/>
          <w:color w:val="000000" w:themeColor="text1"/>
          <w:sz w:val="32"/>
          <w:szCs w:val="32"/>
        </w:rPr>
        <w:t>射线装置</w:t>
      </w:r>
      <w:bookmarkEnd w:id="7"/>
    </w:p>
    <w:p w14:paraId="010EC2FE" w14:textId="77777777" w:rsidR="00A67F21" w:rsidRPr="00B12FE0" w:rsidRDefault="00000000">
      <w:pPr>
        <w:pStyle w:val="410"/>
        <w:autoSpaceDE/>
        <w:autoSpaceDN/>
        <w:snapToGrid w:val="0"/>
        <w:spacing w:before="0" w:line="360" w:lineRule="auto"/>
        <w:ind w:left="0"/>
        <w:contextualSpacing/>
        <w:outlineLvl w:val="9"/>
        <w:rPr>
          <w:rFonts w:ascii="Times New Roman"/>
          <w:color w:val="000000" w:themeColor="text1"/>
        </w:rPr>
      </w:pPr>
      <w:r w:rsidRPr="00B12FE0">
        <w:rPr>
          <w:rFonts w:ascii="Times New Roman"/>
          <w:color w:val="000000" w:themeColor="text1"/>
        </w:rPr>
        <w:t>（一）加速器：包括医用、工农业、科研、教学等用途的各种类型加速器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1"/>
        <w:gridCol w:w="714"/>
        <w:gridCol w:w="848"/>
        <w:gridCol w:w="566"/>
        <w:gridCol w:w="1018"/>
        <w:gridCol w:w="656"/>
        <w:gridCol w:w="1445"/>
        <w:gridCol w:w="4679"/>
        <w:gridCol w:w="1242"/>
        <w:gridCol w:w="1512"/>
        <w:gridCol w:w="569"/>
      </w:tblGrid>
      <w:tr w:rsidR="00A67F21" w:rsidRPr="00B12FE0" w14:paraId="24224FD8" w14:textId="77777777">
        <w:trPr>
          <w:trHeight w:val="340"/>
          <w:jc w:val="center"/>
        </w:trPr>
        <w:tc>
          <w:tcPr>
            <w:tcW w:w="251" w:type="pct"/>
            <w:tcBorders>
              <w:top w:val="single" w:sz="4" w:space="0" w:color="000000"/>
              <w:left w:val="single" w:sz="4" w:space="0" w:color="000000"/>
              <w:bottom w:val="single" w:sz="4" w:space="0" w:color="000000"/>
              <w:right w:val="single" w:sz="4" w:space="0" w:color="000000"/>
            </w:tcBorders>
            <w:vAlign w:val="center"/>
          </w:tcPr>
          <w:p w14:paraId="2E5B368F"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序号</w:t>
            </w:r>
          </w:p>
        </w:tc>
        <w:tc>
          <w:tcPr>
            <w:tcW w:w="256" w:type="pct"/>
            <w:tcBorders>
              <w:top w:val="single" w:sz="4" w:space="0" w:color="000000"/>
              <w:left w:val="nil"/>
              <w:bottom w:val="single" w:sz="4" w:space="0" w:color="000000"/>
              <w:right w:val="single" w:sz="4" w:space="0" w:color="000000"/>
            </w:tcBorders>
            <w:vAlign w:val="center"/>
          </w:tcPr>
          <w:p w14:paraId="7C48CCD6"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名称</w:t>
            </w:r>
          </w:p>
        </w:tc>
        <w:tc>
          <w:tcPr>
            <w:tcW w:w="304" w:type="pct"/>
            <w:tcBorders>
              <w:top w:val="single" w:sz="4" w:space="0" w:color="000000"/>
              <w:left w:val="nil"/>
              <w:bottom w:val="single" w:sz="4" w:space="0" w:color="000000"/>
              <w:right w:val="single" w:sz="4" w:space="0" w:color="000000"/>
            </w:tcBorders>
            <w:vAlign w:val="center"/>
          </w:tcPr>
          <w:p w14:paraId="0FE71EA0"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类别</w:t>
            </w:r>
          </w:p>
        </w:tc>
        <w:tc>
          <w:tcPr>
            <w:tcW w:w="203" w:type="pct"/>
            <w:tcBorders>
              <w:top w:val="single" w:sz="4" w:space="0" w:color="000000"/>
              <w:left w:val="nil"/>
              <w:bottom w:val="single" w:sz="4" w:space="0" w:color="000000"/>
              <w:right w:val="single" w:sz="4" w:space="0" w:color="000000"/>
            </w:tcBorders>
            <w:vAlign w:val="center"/>
          </w:tcPr>
          <w:p w14:paraId="308E9926"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数量</w:t>
            </w:r>
          </w:p>
        </w:tc>
        <w:tc>
          <w:tcPr>
            <w:tcW w:w="365" w:type="pct"/>
            <w:tcBorders>
              <w:top w:val="single" w:sz="4" w:space="0" w:color="000000"/>
              <w:left w:val="nil"/>
              <w:bottom w:val="single" w:sz="4" w:space="0" w:color="000000"/>
              <w:right w:val="single" w:sz="4" w:space="0" w:color="000000"/>
            </w:tcBorders>
            <w:vAlign w:val="center"/>
          </w:tcPr>
          <w:p w14:paraId="6996030B"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型号</w:t>
            </w:r>
          </w:p>
        </w:tc>
        <w:tc>
          <w:tcPr>
            <w:tcW w:w="235" w:type="pct"/>
            <w:tcBorders>
              <w:top w:val="single" w:sz="4" w:space="0" w:color="000000"/>
              <w:left w:val="nil"/>
              <w:bottom w:val="single" w:sz="4" w:space="0" w:color="000000"/>
              <w:right w:val="single" w:sz="4" w:space="0" w:color="000000"/>
            </w:tcBorders>
            <w:vAlign w:val="center"/>
          </w:tcPr>
          <w:p w14:paraId="3AFFBEB3"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加速</w:t>
            </w:r>
          </w:p>
          <w:p w14:paraId="00439C9E"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粒子</w:t>
            </w:r>
          </w:p>
        </w:tc>
        <w:tc>
          <w:tcPr>
            <w:tcW w:w="518" w:type="pct"/>
            <w:tcBorders>
              <w:top w:val="single" w:sz="4" w:space="0" w:color="000000"/>
              <w:left w:val="nil"/>
              <w:bottom w:val="single" w:sz="4" w:space="0" w:color="000000"/>
              <w:right w:val="single" w:sz="4" w:space="0" w:color="000000"/>
            </w:tcBorders>
            <w:vAlign w:val="center"/>
          </w:tcPr>
          <w:p w14:paraId="3CDC06BB"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最大能量</w:t>
            </w:r>
            <w:r w:rsidRPr="00B12FE0">
              <w:rPr>
                <w:rFonts w:hint="eastAsia"/>
                <w:color w:val="000000" w:themeColor="text1"/>
                <w:kern w:val="0"/>
                <w:sz w:val="21"/>
                <w:szCs w:val="21"/>
              </w:rPr>
              <w:t>（</w:t>
            </w:r>
            <w:r w:rsidRPr="00B12FE0">
              <w:rPr>
                <w:rFonts w:hint="eastAsia"/>
                <w:color w:val="000000" w:themeColor="text1"/>
                <w:kern w:val="0"/>
                <w:sz w:val="21"/>
                <w:szCs w:val="21"/>
              </w:rPr>
              <w:t>MeV</w:t>
            </w:r>
            <w:r w:rsidRPr="00B12FE0">
              <w:rPr>
                <w:rFonts w:hint="eastAsia"/>
                <w:color w:val="000000" w:themeColor="text1"/>
                <w:kern w:val="0"/>
                <w:sz w:val="21"/>
                <w:szCs w:val="21"/>
              </w:rPr>
              <w:t>）</w:t>
            </w:r>
          </w:p>
        </w:tc>
        <w:tc>
          <w:tcPr>
            <w:tcW w:w="1677" w:type="pct"/>
            <w:tcBorders>
              <w:top w:val="single" w:sz="4" w:space="0" w:color="000000"/>
              <w:left w:val="nil"/>
              <w:bottom w:val="single" w:sz="4" w:space="0" w:color="000000"/>
              <w:right w:val="single" w:sz="4" w:space="0" w:color="000000"/>
            </w:tcBorders>
            <w:vAlign w:val="center"/>
          </w:tcPr>
          <w:p w14:paraId="5FFB09A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额定电流</w:t>
            </w:r>
            <w:r w:rsidRPr="00B12FE0">
              <w:rPr>
                <w:rFonts w:hint="eastAsia"/>
                <w:color w:val="000000" w:themeColor="text1"/>
                <w:kern w:val="0"/>
                <w:sz w:val="21"/>
                <w:szCs w:val="21"/>
              </w:rPr>
              <w:t>（</w:t>
            </w:r>
            <w:r w:rsidRPr="00B12FE0">
              <w:rPr>
                <w:rFonts w:hint="eastAsia"/>
                <w:color w:val="000000" w:themeColor="text1"/>
                <w:kern w:val="0"/>
                <w:sz w:val="21"/>
                <w:szCs w:val="21"/>
              </w:rPr>
              <w:t>mA</w:t>
            </w:r>
            <w:r w:rsidRPr="00B12FE0">
              <w:rPr>
                <w:rFonts w:hint="eastAsia"/>
                <w:color w:val="000000" w:themeColor="text1"/>
                <w:kern w:val="0"/>
                <w:sz w:val="21"/>
                <w:szCs w:val="21"/>
              </w:rPr>
              <w:t>）</w:t>
            </w:r>
            <w:r w:rsidRPr="00B12FE0">
              <w:rPr>
                <w:color w:val="000000" w:themeColor="text1"/>
                <w:kern w:val="0"/>
                <w:sz w:val="21"/>
                <w:szCs w:val="21"/>
              </w:rPr>
              <w:t>/</w:t>
            </w:r>
          </w:p>
          <w:p w14:paraId="3CAE2C1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r w:rsidRPr="00B12FE0">
              <w:rPr>
                <w:color w:val="000000" w:themeColor="text1"/>
                <w:kern w:val="0"/>
                <w:sz w:val="21"/>
                <w:szCs w:val="21"/>
              </w:rPr>
              <w:t>剂量率</w:t>
            </w:r>
            <w:r w:rsidRPr="00B12FE0">
              <w:rPr>
                <w:rFonts w:hint="eastAsia"/>
                <w:color w:val="000000" w:themeColor="text1"/>
                <w:kern w:val="0"/>
                <w:sz w:val="21"/>
                <w:szCs w:val="21"/>
              </w:rPr>
              <w:t>（</w:t>
            </w:r>
            <w:r w:rsidRPr="00B12FE0">
              <w:rPr>
                <w:rFonts w:hint="eastAsia"/>
                <w:color w:val="000000" w:themeColor="text1"/>
                <w:kern w:val="0"/>
                <w:sz w:val="21"/>
                <w:szCs w:val="21"/>
              </w:rPr>
              <w:t>Gy</w:t>
            </w:r>
            <w:r w:rsidRPr="00B12FE0">
              <w:rPr>
                <w:color w:val="000000" w:themeColor="text1"/>
                <w:kern w:val="0"/>
                <w:sz w:val="21"/>
                <w:szCs w:val="21"/>
              </w:rPr>
              <w:t>/</w:t>
            </w:r>
            <w:r w:rsidRPr="00B12FE0">
              <w:rPr>
                <w:rFonts w:hint="eastAsia"/>
                <w:color w:val="000000" w:themeColor="text1"/>
                <w:kern w:val="0"/>
                <w:sz w:val="21"/>
                <w:szCs w:val="21"/>
              </w:rPr>
              <w:t>h</w:t>
            </w:r>
            <w:r w:rsidRPr="00B12FE0">
              <w:rPr>
                <w:rFonts w:hint="eastAsia"/>
                <w:color w:val="000000" w:themeColor="text1"/>
                <w:kern w:val="0"/>
                <w:sz w:val="21"/>
                <w:szCs w:val="21"/>
              </w:rPr>
              <w:t>）</w:t>
            </w:r>
          </w:p>
        </w:tc>
        <w:tc>
          <w:tcPr>
            <w:tcW w:w="445" w:type="pct"/>
            <w:tcBorders>
              <w:top w:val="single" w:sz="4" w:space="0" w:color="000000"/>
              <w:left w:val="nil"/>
              <w:bottom w:val="single" w:sz="4" w:space="0" w:color="000000"/>
              <w:right w:val="single" w:sz="4" w:space="0" w:color="000000"/>
            </w:tcBorders>
            <w:vAlign w:val="center"/>
          </w:tcPr>
          <w:p w14:paraId="00DEB286"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用途</w:t>
            </w:r>
          </w:p>
        </w:tc>
        <w:tc>
          <w:tcPr>
            <w:tcW w:w="542" w:type="pct"/>
            <w:tcBorders>
              <w:top w:val="single" w:sz="4" w:space="0" w:color="000000"/>
              <w:left w:val="nil"/>
              <w:bottom w:val="single" w:sz="4" w:space="0" w:color="000000"/>
              <w:right w:val="single" w:sz="4" w:space="0" w:color="000000"/>
            </w:tcBorders>
            <w:vAlign w:val="center"/>
          </w:tcPr>
          <w:p w14:paraId="7A736052"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工作场所</w:t>
            </w:r>
          </w:p>
        </w:tc>
        <w:tc>
          <w:tcPr>
            <w:tcW w:w="204" w:type="pct"/>
            <w:tcBorders>
              <w:top w:val="single" w:sz="4" w:space="0" w:color="000000"/>
              <w:left w:val="nil"/>
              <w:bottom w:val="single" w:sz="4" w:space="0" w:color="000000"/>
              <w:right w:val="single" w:sz="4" w:space="0" w:color="000000"/>
            </w:tcBorders>
            <w:vAlign w:val="center"/>
          </w:tcPr>
          <w:p w14:paraId="374318FC"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备注</w:t>
            </w:r>
          </w:p>
        </w:tc>
      </w:tr>
      <w:tr w:rsidR="00A67F21" w:rsidRPr="00B12FE0" w14:paraId="20E51B8F" w14:textId="77777777">
        <w:trPr>
          <w:trHeight w:val="395"/>
          <w:jc w:val="center"/>
        </w:trPr>
        <w:tc>
          <w:tcPr>
            <w:tcW w:w="251" w:type="pct"/>
            <w:tcBorders>
              <w:top w:val="single" w:sz="4" w:space="0" w:color="000000"/>
              <w:left w:val="single" w:sz="4" w:space="0" w:color="000000"/>
              <w:bottom w:val="single" w:sz="4" w:space="0" w:color="000000"/>
              <w:right w:val="single" w:sz="4" w:space="0" w:color="000000"/>
            </w:tcBorders>
            <w:vAlign w:val="center"/>
          </w:tcPr>
          <w:p w14:paraId="535DD235"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1</w:t>
            </w:r>
          </w:p>
        </w:tc>
        <w:tc>
          <w:tcPr>
            <w:tcW w:w="256" w:type="pct"/>
            <w:tcBorders>
              <w:top w:val="single" w:sz="4" w:space="0" w:color="000000"/>
              <w:left w:val="nil"/>
              <w:bottom w:val="single" w:sz="4" w:space="0" w:color="000000"/>
              <w:right w:val="single" w:sz="4" w:space="0" w:color="000000"/>
            </w:tcBorders>
            <w:vAlign w:val="center"/>
          </w:tcPr>
          <w:p w14:paraId="515612B2"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医用</w:t>
            </w:r>
            <w:r w:rsidRPr="00B12FE0">
              <w:rPr>
                <w:rFonts w:hint="eastAsia"/>
                <w:color w:val="000000" w:themeColor="text1"/>
                <w:sz w:val="21"/>
                <w:szCs w:val="21"/>
              </w:rPr>
              <w:t>电子</w:t>
            </w:r>
            <w:r w:rsidRPr="00B12FE0">
              <w:rPr>
                <w:color w:val="000000" w:themeColor="text1"/>
                <w:sz w:val="21"/>
                <w:szCs w:val="21"/>
              </w:rPr>
              <w:t>直线加速器</w:t>
            </w:r>
          </w:p>
        </w:tc>
        <w:tc>
          <w:tcPr>
            <w:tcW w:w="304" w:type="pct"/>
            <w:tcBorders>
              <w:top w:val="single" w:sz="4" w:space="0" w:color="000000"/>
              <w:left w:val="nil"/>
              <w:bottom w:val="single" w:sz="4" w:space="0" w:color="000000"/>
              <w:right w:val="single" w:sz="4" w:space="0" w:color="000000"/>
            </w:tcBorders>
            <w:vAlign w:val="center"/>
          </w:tcPr>
          <w:p w14:paraId="6E180F87"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Ⅱ</w:t>
            </w:r>
            <w:r w:rsidRPr="00B12FE0">
              <w:rPr>
                <w:color w:val="000000" w:themeColor="text1"/>
                <w:sz w:val="21"/>
                <w:szCs w:val="21"/>
              </w:rPr>
              <w:t>类</w:t>
            </w:r>
          </w:p>
        </w:tc>
        <w:tc>
          <w:tcPr>
            <w:tcW w:w="203" w:type="pct"/>
            <w:tcBorders>
              <w:top w:val="single" w:sz="4" w:space="0" w:color="000000"/>
              <w:left w:val="nil"/>
              <w:bottom w:val="single" w:sz="4" w:space="0" w:color="000000"/>
              <w:right w:val="single" w:sz="4" w:space="0" w:color="000000"/>
            </w:tcBorders>
            <w:vAlign w:val="center"/>
          </w:tcPr>
          <w:p w14:paraId="2C189838"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2</w:t>
            </w:r>
          </w:p>
        </w:tc>
        <w:tc>
          <w:tcPr>
            <w:tcW w:w="365" w:type="pct"/>
            <w:tcBorders>
              <w:top w:val="single" w:sz="4" w:space="0" w:color="000000"/>
              <w:left w:val="nil"/>
              <w:bottom w:val="single" w:sz="4" w:space="0" w:color="000000"/>
              <w:right w:val="single" w:sz="4" w:space="0" w:color="000000"/>
            </w:tcBorders>
            <w:vAlign w:val="center"/>
          </w:tcPr>
          <w:p w14:paraId="46945EA8"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待定</w:t>
            </w:r>
          </w:p>
        </w:tc>
        <w:tc>
          <w:tcPr>
            <w:tcW w:w="235" w:type="pct"/>
            <w:tcBorders>
              <w:top w:val="single" w:sz="4" w:space="0" w:color="000000"/>
              <w:left w:val="nil"/>
              <w:bottom w:val="single" w:sz="4" w:space="0" w:color="000000"/>
              <w:right w:val="single" w:sz="4" w:space="0" w:color="000000"/>
            </w:tcBorders>
            <w:vAlign w:val="center"/>
          </w:tcPr>
          <w:p w14:paraId="4500235B"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电子</w:t>
            </w:r>
          </w:p>
        </w:tc>
        <w:tc>
          <w:tcPr>
            <w:tcW w:w="518" w:type="pct"/>
            <w:tcBorders>
              <w:top w:val="nil"/>
              <w:left w:val="nil"/>
              <w:bottom w:val="single" w:sz="4" w:space="0" w:color="auto"/>
              <w:right w:val="single" w:sz="4" w:space="0" w:color="000000"/>
            </w:tcBorders>
            <w:vAlign w:val="center"/>
          </w:tcPr>
          <w:p w14:paraId="3159291C"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X</w:t>
            </w:r>
            <w:r w:rsidRPr="00B12FE0">
              <w:rPr>
                <w:rFonts w:hint="eastAsia"/>
                <w:color w:val="000000" w:themeColor="text1"/>
                <w:sz w:val="21"/>
                <w:szCs w:val="21"/>
              </w:rPr>
              <w:t>射线：</w:t>
            </w:r>
            <w:r w:rsidRPr="00B12FE0">
              <w:rPr>
                <w:rFonts w:hint="eastAsia"/>
                <w:color w:val="000000" w:themeColor="text1"/>
                <w:sz w:val="21"/>
                <w:szCs w:val="21"/>
              </w:rPr>
              <w:t>15MV/10MV/6MV</w:t>
            </w:r>
          </w:p>
          <w:p w14:paraId="448AE2D9"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电子线：</w:t>
            </w:r>
            <w:r w:rsidRPr="00B12FE0">
              <w:rPr>
                <w:rFonts w:hint="eastAsia"/>
                <w:color w:val="000000" w:themeColor="text1"/>
                <w:sz w:val="21"/>
                <w:szCs w:val="21"/>
              </w:rPr>
              <w:t>22MeV</w:t>
            </w:r>
          </w:p>
        </w:tc>
        <w:tc>
          <w:tcPr>
            <w:tcW w:w="1677" w:type="pct"/>
            <w:tcBorders>
              <w:top w:val="nil"/>
              <w:left w:val="nil"/>
              <w:bottom w:val="single" w:sz="4" w:space="0" w:color="auto"/>
              <w:right w:val="single" w:sz="4" w:space="0" w:color="000000"/>
            </w:tcBorders>
            <w:vAlign w:val="center"/>
          </w:tcPr>
          <w:p w14:paraId="1F2D8A35" w14:textId="77777777" w:rsidR="00A67F21" w:rsidRPr="00B12FE0" w:rsidRDefault="00000000">
            <w:pPr>
              <w:jc w:val="center"/>
              <w:rPr>
                <w:color w:val="000000" w:themeColor="text1"/>
                <w:kern w:val="0"/>
                <w:sz w:val="21"/>
                <w:szCs w:val="21"/>
              </w:rPr>
            </w:pPr>
            <w:r w:rsidRPr="00B12FE0">
              <w:rPr>
                <w:rFonts w:hint="eastAsia"/>
                <w:color w:val="000000" w:themeColor="text1"/>
                <w:kern w:val="0"/>
                <w:sz w:val="21"/>
                <w:szCs w:val="21"/>
              </w:rPr>
              <w:t>X</w:t>
            </w:r>
            <w:r w:rsidRPr="00B12FE0">
              <w:rPr>
                <w:rFonts w:hint="eastAsia"/>
                <w:color w:val="000000" w:themeColor="text1"/>
                <w:kern w:val="0"/>
                <w:sz w:val="21"/>
                <w:szCs w:val="21"/>
              </w:rPr>
              <w:t>射线</w:t>
            </w:r>
            <w:r w:rsidRPr="00B12FE0">
              <w:rPr>
                <w:rFonts w:hint="eastAsia"/>
                <w:color w:val="000000" w:themeColor="text1"/>
                <w:kern w:val="0"/>
                <w:sz w:val="21"/>
                <w:szCs w:val="21"/>
              </w:rPr>
              <w:t xml:space="preserve">6MV </w:t>
            </w:r>
            <w:r w:rsidRPr="00B12FE0">
              <w:rPr>
                <w:rFonts w:hint="eastAsia"/>
                <w:color w:val="000000" w:themeColor="text1"/>
                <w:kern w:val="0"/>
                <w:sz w:val="21"/>
                <w:szCs w:val="21"/>
              </w:rPr>
              <w:t>等中心最大剂量率</w:t>
            </w:r>
            <w:r w:rsidRPr="00B12FE0">
              <w:rPr>
                <w:rFonts w:hint="eastAsia"/>
                <w:color w:val="000000" w:themeColor="text1"/>
                <w:kern w:val="0"/>
                <w:sz w:val="21"/>
                <w:szCs w:val="21"/>
              </w:rPr>
              <w:t>360Gy/h</w:t>
            </w:r>
            <w:r w:rsidRPr="00B12FE0">
              <w:rPr>
                <w:rFonts w:hint="eastAsia"/>
                <w:color w:val="000000" w:themeColor="text1"/>
                <w:kern w:val="0"/>
                <w:sz w:val="21"/>
                <w:szCs w:val="21"/>
              </w:rPr>
              <w:t>，</w:t>
            </w:r>
          </w:p>
          <w:p w14:paraId="311BD1E5" w14:textId="77777777" w:rsidR="00A67F21" w:rsidRPr="00B12FE0" w:rsidRDefault="00000000">
            <w:pPr>
              <w:jc w:val="center"/>
              <w:rPr>
                <w:color w:val="000000" w:themeColor="text1"/>
                <w:kern w:val="0"/>
                <w:sz w:val="21"/>
                <w:szCs w:val="21"/>
              </w:rPr>
            </w:pPr>
            <w:r w:rsidRPr="00B12FE0">
              <w:rPr>
                <w:rFonts w:hint="eastAsia"/>
                <w:color w:val="000000" w:themeColor="text1"/>
                <w:kern w:val="0"/>
                <w:sz w:val="21"/>
                <w:szCs w:val="21"/>
              </w:rPr>
              <w:t>FFF</w:t>
            </w:r>
            <w:r w:rsidRPr="00B12FE0">
              <w:rPr>
                <w:rFonts w:hint="eastAsia"/>
                <w:color w:val="000000" w:themeColor="text1"/>
                <w:kern w:val="0"/>
                <w:sz w:val="21"/>
                <w:szCs w:val="21"/>
              </w:rPr>
              <w:t>模式等中心最大剂量率</w:t>
            </w:r>
            <w:r w:rsidRPr="00B12FE0">
              <w:rPr>
                <w:rFonts w:hint="eastAsia"/>
                <w:color w:val="000000" w:themeColor="text1"/>
                <w:kern w:val="0"/>
                <w:sz w:val="21"/>
                <w:szCs w:val="21"/>
              </w:rPr>
              <w:t>840Gy/h</w:t>
            </w:r>
            <w:r w:rsidRPr="00B12FE0">
              <w:rPr>
                <w:rFonts w:hint="eastAsia"/>
                <w:color w:val="000000" w:themeColor="text1"/>
                <w:kern w:val="0"/>
                <w:sz w:val="21"/>
                <w:szCs w:val="21"/>
              </w:rPr>
              <w:t>；</w:t>
            </w:r>
          </w:p>
          <w:p w14:paraId="13501257" w14:textId="77777777" w:rsidR="00A67F21" w:rsidRPr="00B12FE0" w:rsidRDefault="00000000">
            <w:pPr>
              <w:jc w:val="center"/>
              <w:rPr>
                <w:color w:val="000000" w:themeColor="text1"/>
                <w:kern w:val="0"/>
                <w:sz w:val="21"/>
                <w:szCs w:val="21"/>
              </w:rPr>
            </w:pPr>
            <w:r w:rsidRPr="00B12FE0">
              <w:rPr>
                <w:rFonts w:hint="eastAsia"/>
                <w:color w:val="000000" w:themeColor="text1"/>
                <w:kern w:val="0"/>
                <w:sz w:val="21"/>
                <w:szCs w:val="21"/>
              </w:rPr>
              <w:t>X</w:t>
            </w:r>
            <w:r w:rsidRPr="00B12FE0">
              <w:rPr>
                <w:rFonts w:hint="eastAsia"/>
                <w:color w:val="000000" w:themeColor="text1"/>
                <w:kern w:val="0"/>
                <w:sz w:val="21"/>
                <w:szCs w:val="21"/>
              </w:rPr>
              <w:t>射线</w:t>
            </w:r>
            <w:r w:rsidRPr="00B12FE0">
              <w:rPr>
                <w:rFonts w:hint="eastAsia"/>
                <w:color w:val="000000" w:themeColor="text1"/>
                <w:kern w:val="0"/>
                <w:sz w:val="21"/>
                <w:szCs w:val="21"/>
              </w:rPr>
              <w:t xml:space="preserve">10MV </w:t>
            </w:r>
            <w:r w:rsidRPr="00B12FE0">
              <w:rPr>
                <w:rFonts w:hint="eastAsia"/>
                <w:color w:val="000000" w:themeColor="text1"/>
                <w:kern w:val="0"/>
                <w:sz w:val="21"/>
                <w:szCs w:val="21"/>
              </w:rPr>
              <w:t>等中心最大剂量率</w:t>
            </w:r>
            <w:r w:rsidRPr="00B12FE0">
              <w:rPr>
                <w:rFonts w:hint="eastAsia"/>
                <w:color w:val="000000" w:themeColor="text1"/>
                <w:kern w:val="0"/>
                <w:sz w:val="21"/>
                <w:szCs w:val="21"/>
              </w:rPr>
              <w:t>360Gy/h</w:t>
            </w:r>
            <w:r w:rsidRPr="00B12FE0">
              <w:rPr>
                <w:rFonts w:hint="eastAsia"/>
                <w:color w:val="000000" w:themeColor="text1"/>
                <w:kern w:val="0"/>
                <w:sz w:val="21"/>
                <w:szCs w:val="21"/>
              </w:rPr>
              <w:t>，</w:t>
            </w:r>
          </w:p>
          <w:p w14:paraId="01DC4669" w14:textId="77777777" w:rsidR="00A67F21" w:rsidRPr="00B12FE0" w:rsidRDefault="00000000">
            <w:pPr>
              <w:jc w:val="center"/>
              <w:rPr>
                <w:color w:val="000000" w:themeColor="text1"/>
                <w:kern w:val="0"/>
                <w:sz w:val="21"/>
                <w:szCs w:val="21"/>
              </w:rPr>
            </w:pPr>
            <w:r w:rsidRPr="00B12FE0">
              <w:rPr>
                <w:rFonts w:hint="eastAsia"/>
                <w:color w:val="000000" w:themeColor="text1"/>
                <w:kern w:val="0"/>
                <w:sz w:val="21"/>
                <w:szCs w:val="21"/>
              </w:rPr>
              <w:t>FFF</w:t>
            </w:r>
            <w:r w:rsidRPr="00B12FE0">
              <w:rPr>
                <w:rFonts w:hint="eastAsia"/>
                <w:color w:val="000000" w:themeColor="text1"/>
                <w:kern w:val="0"/>
                <w:sz w:val="21"/>
                <w:szCs w:val="21"/>
              </w:rPr>
              <w:t>模式等中心最大剂量率</w:t>
            </w:r>
            <w:r w:rsidRPr="00B12FE0">
              <w:rPr>
                <w:rFonts w:hint="eastAsia"/>
                <w:color w:val="000000" w:themeColor="text1"/>
                <w:kern w:val="0"/>
                <w:sz w:val="21"/>
                <w:szCs w:val="21"/>
              </w:rPr>
              <w:t>1440Gy/h</w:t>
            </w:r>
            <w:r w:rsidRPr="00B12FE0">
              <w:rPr>
                <w:rFonts w:hint="eastAsia"/>
                <w:color w:val="000000" w:themeColor="text1"/>
                <w:kern w:val="0"/>
                <w:sz w:val="21"/>
                <w:szCs w:val="21"/>
              </w:rPr>
              <w:t>；</w:t>
            </w:r>
          </w:p>
          <w:p w14:paraId="7A85E376"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X</w:t>
            </w:r>
            <w:r w:rsidRPr="00B12FE0">
              <w:rPr>
                <w:rFonts w:hint="eastAsia"/>
                <w:color w:val="000000" w:themeColor="text1"/>
                <w:kern w:val="0"/>
                <w:sz w:val="21"/>
                <w:szCs w:val="21"/>
              </w:rPr>
              <w:t>射线</w:t>
            </w:r>
            <w:r w:rsidRPr="00B12FE0">
              <w:rPr>
                <w:rFonts w:hint="eastAsia"/>
                <w:color w:val="000000" w:themeColor="text1"/>
                <w:kern w:val="0"/>
                <w:sz w:val="21"/>
                <w:szCs w:val="21"/>
              </w:rPr>
              <w:t xml:space="preserve">15MV </w:t>
            </w:r>
            <w:r w:rsidRPr="00B12FE0">
              <w:rPr>
                <w:rFonts w:hint="eastAsia"/>
                <w:color w:val="000000" w:themeColor="text1"/>
                <w:kern w:val="0"/>
                <w:sz w:val="21"/>
                <w:szCs w:val="21"/>
              </w:rPr>
              <w:t>等中心</w:t>
            </w:r>
            <w:r w:rsidRPr="00B12FE0">
              <w:rPr>
                <w:rFonts w:hint="eastAsia"/>
                <w:color w:val="000000" w:themeColor="text1"/>
                <w:kern w:val="0"/>
                <w:sz w:val="21"/>
                <w:szCs w:val="21"/>
              </w:rPr>
              <w:t>1m</w:t>
            </w:r>
            <w:r w:rsidRPr="00B12FE0">
              <w:rPr>
                <w:rFonts w:hint="eastAsia"/>
                <w:color w:val="000000" w:themeColor="text1"/>
                <w:kern w:val="0"/>
                <w:sz w:val="21"/>
                <w:szCs w:val="21"/>
              </w:rPr>
              <w:t>处最大剂量率</w:t>
            </w:r>
            <w:r w:rsidRPr="00B12FE0">
              <w:rPr>
                <w:rFonts w:hint="eastAsia"/>
                <w:color w:val="000000" w:themeColor="text1"/>
                <w:kern w:val="0"/>
                <w:sz w:val="21"/>
                <w:szCs w:val="21"/>
              </w:rPr>
              <w:t>360Gy/h</w:t>
            </w:r>
            <w:r w:rsidRPr="00B12FE0">
              <w:rPr>
                <w:rFonts w:hint="eastAsia"/>
                <w:color w:val="000000" w:themeColor="text1"/>
                <w:kern w:val="0"/>
                <w:sz w:val="21"/>
                <w:szCs w:val="21"/>
              </w:rPr>
              <w:t>；</w:t>
            </w:r>
          </w:p>
        </w:tc>
        <w:tc>
          <w:tcPr>
            <w:tcW w:w="445" w:type="pct"/>
            <w:tcBorders>
              <w:top w:val="single" w:sz="4" w:space="0" w:color="000000"/>
              <w:left w:val="nil"/>
              <w:bottom w:val="single" w:sz="4" w:space="0" w:color="000000"/>
              <w:right w:val="single" w:sz="4" w:space="0" w:color="000000"/>
            </w:tcBorders>
            <w:vAlign w:val="center"/>
          </w:tcPr>
          <w:p w14:paraId="7D742458"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肿瘤治疗</w:t>
            </w:r>
          </w:p>
        </w:tc>
        <w:tc>
          <w:tcPr>
            <w:tcW w:w="542" w:type="pct"/>
            <w:tcBorders>
              <w:top w:val="single" w:sz="4" w:space="0" w:color="000000"/>
              <w:left w:val="nil"/>
              <w:bottom w:val="single" w:sz="4" w:space="0" w:color="000000"/>
              <w:right w:val="single" w:sz="4" w:space="0" w:color="000000"/>
            </w:tcBorders>
            <w:vAlign w:val="center"/>
          </w:tcPr>
          <w:p w14:paraId="6BA34C43"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bCs/>
                <w:color w:val="000000" w:themeColor="text1"/>
                <w:kern w:val="2"/>
                <w:sz w:val="21"/>
                <w:szCs w:val="21"/>
              </w:rPr>
              <w:t>肿瘤治疗中心综合楼一层北侧放疗科直线加速器机房</w:t>
            </w:r>
          </w:p>
        </w:tc>
        <w:tc>
          <w:tcPr>
            <w:tcW w:w="204" w:type="pct"/>
            <w:tcBorders>
              <w:top w:val="single" w:sz="4" w:space="0" w:color="000000"/>
              <w:left w:val="nil"/>
              <w:bottom w:val="single" w:sz="4" w:space="0" w:color="000000"/>
              <w:right w:val="single" w:sz="4" w:space="0" w:color="000000"/>
            </w:tcBorders>
            <w:vAlign w:val="center"/>
          </w:tcPr>
          <w:p w14:paraId="72B18FC3"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新购</w:t>
            </w:r>
          </w:p>
        </w:tc>
      </w:tr>
      <w:tr w:rsidR="00A67F21" w:rsidRPr="00B12FE0" w14:paraId="50E8D4B2" w14:textId="77777777">
        <w:trPr>
          <w:trHeight w:val="395"/>
          <w:jc w:val="center"/>
        </w:trPr>
        <w:tc>
          <w:tcPr>
            <w:tcW w:w="251" w:type="pct"/>
            <w:tcBorders>
              <w:top w:val="single" w:sz="4" w:space="0" w:color="000000"/>
              <w:left w:val="single" w:sz="4" w:space="0" w:color="000000"/>
              <w:bottom w:val="single" w:sz="4" w:space="0" w:color="000000"/>
              <w:right w:val="single" w:sz="4" w:space="0" w:color="000000"/>
            </w:tcBorders>
            <w:vAlign w:val="center"/>
          </w:tcPr>
          <w:p w14:paraId="105F1033"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2</w:t>
            </w:r>
          </w:p>
        </w:tc>
        <w:tc>
          <w:tcPr>
            <w:tcW w:w="256" w:type="pct"/>
            <w:tcBorders>
              <w:top w:val="single" w:sz="4" w:space="0" w:color="auto"/>
              <w:left w:val="single" w:sz="4" w:space="0" w:color="auto"/>
              <w:bottom w:val="single" w:sz="4" w:space="0" w:color="auto"/>
              <w:right w:val="single" w:sz="4" w:space="0" w:color="auto"/>
            </w:tcBorders>
            <w:vAlign w:val="center"/>
          </w:tcPr>
          <w:p w14:paraId="29FD2070"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回旋加速器</w:t>
            </w:r>
          </w:p>
        </w:tc>
        <w:tc>
          <w:tcPr>
            <w:tcW w:w="304" w:type="pct"/>
            <w:tcBorders>
              <w:top w:val="single" w:sz="4" w:space="0" w:color="auto"/>
              <w:left w:val="single" w:sz="4" w:space="0" w:color="auto"/>
              <w:bottom w:val="single" w:sz="4" w:space="0" w:color="auto"/>
              <w:right w:val="single" w:sz="4" w:space="0" w:color="auto"/>
            </w:tcBorders>
            <w:vAlign w:val="center"/>
          </w:tcPr>
          <w:p w14:paraId="6ED22D18"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Ⅱ</w:t>
            </w:r>
          </w:p>
        </w:tc>
        <w:tc>
          <w:tcPr>
            <w:tcW w:w="203" w:type="pct"/>
            <w:tcBorders>
              <w:top w:val="single" w:sz="4" w:space="0" w:color="auto"/>
              <w:left w:val="single" w:sz="4" w:space="0" w:color="auto"/>
              <w:bottom w:val="single" w:sz="4" w:space="0" w:color="auto"/>
              <w:right w:val="single" w:sz="4" w:space="0" w:color="auto"/>
            </w:tcBorders>
            <w:vAlign w:val="center"/>
          </w:tcPr>
          <w:p w14:paraId="1018EBB5"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1</w:t>
            </w:r>
          </w:p>
        </w:tc>
        <w:tc>
          <w:tcPr>
            <w:tcW w:w="365" w:type="pct"/>
            <w:tcBorders>
              <w:top w:val="single" w:sz="4" w:space="0" w:color="auto"/>
              <w:left w:val="single" w:sz="4" w:space="0" w:color="auto"/>
              <w:bottom w:val="single" w:sz="4" w:space="0" w:color="auto"/>
              <w:right w:val="single" w:sz="4" w:space="0" w:color="auto"/>
            </w:tcBorders>
            <w:vAlign w:val="center"/>
          </w:tcPr>
          <w:p w14:paraId="27172724" w14:textId="77777777" w:rsidR="00A67F21" w:rsidRPr="00B12FE0" w:rsidRDefault="00000000">
            <w:pPr>
              <w:jc w:val="center"/>
              <w:rPr>
                <w:color w:val="000000" w:themeColor="text1"/>
                <w:kern w:val="0"/>
                <w:sz w:val="21"/>
                <w:szCs w:val="21"/>
              </w:rPr>
            </w:pPr>
            <w:r w:rsidRPr="00B12FE0">
              <w:rPr>
                <w:color w:val="000000" w:themeColor="text1"/>
                <w:sz w:val="21"/>
                <w:szCs w:val="21"/>
              </w:rPr>
              <w:t>待定</w:t>
            </w:r>
          </w:p>
        </w:tc>
        <w:tc>
          <w:tcPr>
            <w:tcW w:w="235" w:type="pct"/>
            <w:tcBorders>
              <w:top w:val="single" w:sz="4" w:space="0" w:color="auto"/>
              <w:left w:val="single" w:sz="4" w:space="0" w:color="auto"/>
              <w:bottom w:val="single" w:sz="4" w:space="0" w:color="auto"/>
              <w:right w:val="single" w:sz="4" w:space="0" w:color="auto"/>
            </w:tcBorders>
            <w:vAlign w:val="center"/>
          </w:tcPr>
          <w:p w14:paraId="3E45663F"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质子</w:t>
            </w:r>
          </w:p>
        </w:tc>
        <w:tc>
          <w:tcPr>
            <w:tcW w:w="518" w:type="pct"/>
            <w:tcBorders>
              <w:top w:val="single" w:sz="4" w:space="0" w:color="auto"/>
              <w:left w:val="single" w:sz="4" w:space="0" w:color="auto"/>
              <w:bottom w:val="single" w:sz="4" w:space="0" w:color="auto"/>
              <w:right w:val="single" w:sz="4" w:space="0" w:color="auto"/>
            </w:tcBorders>
            <w:vAlign w:val="center"/>
          </w:tcPr>
          <w:p w14:paraId="07705462"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最大能量</w:t>
            </w:r>
            <w:r w:rsidRPr="00B12FE0">
              <w:rPr>
                <w:color w:val="000000" w:themeColor="text1"/>
                <w:kern w:val="0"/>
                <w:sz w:val="21"/>
                <w:szCs w:val="21"/>
              </w:rPr>
              <w:t>≤10MeV</w:t>
            </w:r>
          </w:p>
        </w:tc>
        <w:tc>
          <w:tcPr>
            <w:tcW w:w="1677" w:type="pct"/>
            <w:tcBorders>
              <w:top w:val="single" w:sz="4" w:space="0" w:color="auto"/>
              <w:left w:val="single" w:sz="4" w:space="0" w:color="auto"/>
              <w:bottom w:val="single" w:sz="4" w:space="0" w:color="auto"/>
              <w:right w:val="single" w:sz="4" w:space="0" w:color="auto"/>
            </w:tcBorders>
            <w:vAlign w:val="center"/>
          </w:tcPr>
          <w:p w14:paraId="7B61F0BD"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最大束流强度</w:t>
            </w:r>
          </w:p>
          <w:p w14:paraId="775D8B40"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≤100μA</w:t>
            </w:r>
          </w:p>
        </w:tc>
        <w:tc>
          <w:tcPr>
            <w:tcW w:w="445" w:type="pct"/>
            <w:tcBorders>
              <w:top w:val="single" w:sz="4" w:space="0" w:color="auto"/>
              <w:left w:val="single" w:sz="4" w:space="0" w:color="auto"/>
              <w:bottom w:val="single" w:sz="4" w:space="0" w:color="auto"/>
              <w:right w:val="single" w:sz="4" w:space="0" w:color="auto"/>
            </w:tcBorders>
            <w:vAlign w:val="center"/>
          </w:tcPr>
          <w:p w14:paraId="5AB41B8C"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制备放射性</w:t>
            </w:r>
          </w:p>
          <w:p w14:paraId="4A91A918"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药物</w:t>
            </w:r>
          </w:p>
        </w:tc>
        <w:tc>
          <w:tcPr>
            <w:tcW w:w="542" w:type="pct"/>
            <w:tcBorders>
              <w:top w:val="single" w:sz="4" w:space="0" w:color="auto"/>
              <w:left w:val="single" w:sz="4" w:space="0" w:color="auto"/>
              <w:bottom w:val="single" w:sz="4" w:space="0" w:color="auto"/>
              <w:right w:val="single" w:sz="4" w:space="0" w:color="auto"/>
            </w:tcBorders>
            <w:vAlign w:val="center"/>
          </w:tcPr>
          <w:p w14:paraId="5110D263"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肿瘤治疗中心综合楼一层</w:t>
            </w:r>
            <w:r w:rsidRPr="00B12FE0">
              <w:rPr>
                <w:rFonts w:hint="eastAsia"/>
                <w:color w:val="000000" w:themeColor="text1"/>
                <w:kern w:val="0"/>
                <w:sz w:val="21"/>
                <w:szCs w:val="21"/>
              </w:rPr>
              <w:t>西</w:t>
            </w:r>
            <w:r w:rsidRPr="00B12FE0">
              <w:rPr>
                <w:color w:val="000000" w:themeColor="text1"/>
                <w:kern w:val="0"/>
                <w:sz w:val="21"/>
                <w:szCs w:val="21"/>
              </w:rPr>
              <w:t>侧</w:t>
            </w:r>
            <w:r w:rsidRPr="00B12FE0">
              <w:rPr>
                <w:rFonts w:hint="eastAsia"/>
                <w:color w:val="000000" w:themeColor="text1"/>
                <w:kern w:val="0"/>
                <w:sz w:val="21"/>
                <w:szCs w:val="21"/>
              </w:rPr>
              <w:t>中部</w:t>
            </w:r>
            <w:r w:rsidRPr="00B12FE0">
              <w:rPr>
                <w:color w:val="000000" w:themeColor="text1"/>
                <w:kern w:val="0"/>
                <w:sz w:val="21"/>
                <w:szCs w:val="21"/>
              </w:rPr>
              <w:t>回旋加速器机房</w:t>
            </w:r>
          </w:p>
        </w:tc>
        <w:tc>
          <w:tcPr>
            <w:tcW w:w="204" w:type="pct"/>
            <w:tcBorders>
              <w:top w:val="single" w:sz="4" w:space="0" w:color="auto"/>
              <w:left w:val="single" w:sz="4" w:space="0" w:color="auto"/>
              <w:bottom w:val="single" w:sz="4" w:space="0" w:color="auto"/>
              <w:right w:val="single" w:sz="4" w:space="0" w:color="auto"/>
            </w:tcBorders>
            <w:vAlign w:val="center"/>
          </w:tcPr>
          <w:p w14:paraId="0D64038C"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新购</w:t>
            </w:r>
          </w:p>
        </w:tc>
      </w:tr>
      <w:tr w:rsidR="00A67F21" w:rsidRPr="00B12FE0" w14:paraId="6DD4C6FB" w14:textId="77777777">
        <w:trPr>
          <w:trHeight w:val="395"/>
          <w:jc w:val="center"/>
        </w:trPr>
        <w:tc>
          <w:tcPr>
            <w:tcW w:w="5000" w:type="pct"/>
            <w:gridSpan w:val="11"/>
            <w:tcBorders>
              <w:top w:val="single" w:sz="4" w:space="0" w:color="000000"/>
              <w:left w:val="single" w:sz="4" w:space="0" w:color="000000"/>
              <w:bottom w:val="single" w:sz="4" w:space="0" w:color="000000"/>
              <w:right w:val="single" w:sz="4" w:space="0" w:color="000000"/>
            </w:tcBorders>
            <w:vAlign w:val="center"/>
          </w:tcPr>
          <w:p w14:paraId="0F348B68" w14:textId="77777777" w:rsidR="00A67F21" w:rsidRPr="00B12FE0" w:rsidRDefault="00000000">
            <w:pPr>
              <w:pStyle w:val="TableParagraph"/>
              <w:autoSpaceDE/>
              <w:autoSpaceDN/>
              <w:snapToGrid w:val="0"/>
              <w:rPr>
                <w:color w:val="000000" w:themeColor="text1"/>
                <w:sz w:val="21"/>
                <w:szCs w:val="21"/>
              </w:rPr>
            </w:pPr>
            <w:r w:rsidRPr="00B12FE0">
              <w:rPr>
                <w:rFonts w:hint="eastAsia"/>
                <w:color w:val="000000" w:themeColor="text1"/>
                <w:sz w:val="21"/>
                <w:szCs w:val="21"/>
              </w:rPr>
              <w:t>注：本项目医用电子直线加速器集成配套</w:t>
            </w:r>
            <w:r w:rsidRPr="00B12FE0">
              <w:rPr>
                <w:rFonts w:hint="eastAsia"/>
                <w:color w:val="000000" w:themeColor="text1"/>
                <w:sz w:val="21"/>
                <w:szCs w:val="21"/>
              </w:rPr>
              <w:t>1</w:t>
            </w:r>
            <w:r w:rsidRPr="00B12FE0">
              <w:rPr>
                <w:rFonts w:hint="eastAsia"/>
                <w:color w:val="000000" w:themeColor="text1"/>
                <w:sz w:val="21"/>
                <w:szCs w:val="21"/>
              </w:rPr>
              <w:t>套锥形束</w:t>
            </w:r>
            <w:r w:rsidRPr="00B12FE0">
              <w:rPr>
                <w:rFonts w:hint="eastAsia"/>
                <w:color w:val="000000" w:themeColor="text1"/>
                <w:sz w:val="21"/>
                <w:szCs w:val="21"/>
              </w:rPr>
              <w:t>CT</w:t>
            </w:r>
            <w:r w:rsidRPr="00B12FE0">
              <w:rPr>
                <w:rFonts w:hint="eastAsia"/>
                <w:color w:val="000000" w:themeColor="text1"/>
                <w:sz w:val="21"/>
                <w:szCs w:val="21"/>
              </w:rPr>
              <w:t>（</w:t>
            </w:r>
            <w:r w:rsidRPr="00B12FE0">
              <w:rPr>
                <w:rFonts w:hint="eastAsia"/>
                <w:color w:val="000000" w:themeColor="text1"/>
                <w:sz w:val="21"/>
                <w:szCs w:val="21"/>
              </w:rPr>
              <w:t>CBCT</w:t>
            </w:r>
            <w:r w:rsidRPr="00B12FE0">
              <w:rPr>
                <w:rFonts w:hint="eastAsia"/>
                <w:color w:val="000000" w:themeColor="text1"/>
                <w:sz w:val="21"/>
                <w:szCs w:val="21"/>
              </w:rPr>
              <w:t>）影像引导设备，最大管电压</w:t>
            </w:r>
            <w:r w:rsidRPr="00B12FE0">
              <w:rPr>
                <w:rFonts w:hint="eastAsia"/>
                <w:color w:val="000000" w:themeColor="text1"/>
                <w:sz w:val="21"/>
                <w:szCs w:val="21"/>
              </w:rPr>
              <w:t>150kV</w:t>
            </w:r>
            <w:r w:rsidRPr="00B12FE0">
              <w:rPr>
                <w:rFonts w:hint="eastAsia"/>
                <w:color w:val="000000" w:themeColor="text1"/>
                <w:sz w:val="21"/>
                <w:szCs w:val="21"/>
              </w:rPr>
              <w:t>，最大管电流</w:t>
            </w:r>
            <w:r w:rsidRPr="00B12FE0">
              <w:rPr>
                <w:rFonts w:hint="eastAsia"/>
                <w:color w:val="000000" w:themeColor="text1"/>
                <w:sz w:val="21"/>
                <w:szCs w:val="21"/>
              </w:rPr>
              <w:t>1000mA</w:t>
            </w:r>
            <w:r w:rsidRPr="00B12FE0">
              <w:rPr>
                <w:rFonts w:hint="eastAsia"/>
                <w:color w:val="000000" w:themeColor="text1"/>
                <w:sz w:val="21"/>
                <w:szCs w:val="21"/>
              </w:rPr>
              <w:t>。</w:t>
            </w:r>
          </w:p>
        </w:tc>
      </w:tr>
    </w:tbl>
    <w:p w14:paraId="16E27FDA" w14:textId="77777777" w:rsidR="00A67F21" w:rsidRPr="00B12FE0" w:rsidRDefault="00000000">
      <w:pPr>
        <w:pStyle w:val="410"/>
        <w:autoSpaceDE/>
        <w:autoSpaceDN/>
        <w:snapToGrid w:val="0"/>
        <w:spacing w:beforeLines="50" w:before="120" w:line="360" w:lineRule="auto"/>
        <w:ind w:left="0"/>
        <w:contextualSpacing/>
        <w:outlineLvl w:val="9"/>
        <w:rPr>
          <w:rFonts w:ascii="Times New Roman"/>
          <w:color w:val="000000" w:themeColor="text1"/>
        </w:rPr>
      </w:pPr>
      <w:r w:rsidRPr="00B12FE0">
        <w:rPr>
          <w:rFonts w:ascii="Times New Roman"/>
          <w:color w:val="000000" w:themeColor="text1"/>
        </w:rPr>
        <w:lastRenderedPageBreak/>
        <w:t>（二）</w:t>
      </w:r>
      <w:r w:rsidRPr="00B12FE0">
        <w:rPr>
          <w:rFonts w:ascii="Times New Roman"/>
          <w:color w:val="000000" w:themeColor="text1"/>
        </w:rPr>
        <w:t>X</w:t>
      </w:r>
      <w:r w:rsidRPr="00B12FE0">
        <w:rPr>
          <w:rFonts w:ascii="Times New Roman"/>
          <w:color w:val="000000" w:themeColor="text1"/>
        </w:rPr>
        <w:t>射线机，包括工业探伤、医用诊断和治疗、分析等用途</w:t>
      </w:r>
    </w:p>
    <w:tbl>
      <w:tblPr>
        <w:tblW w:w="50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94"/>
        <w:gridCol w:w="1599"/>
        <w:gridCol w:w="739"/>
        <w:gridCol w:w="739"/>
        <w:gridCol w:w="1137"/>
        <w:gridCol w:w="1573"/>
        <w:gridCol w:w="1379"/>
        <w:gridCol w:w="1474"/>
        <w:gridCol w:w="3873"/>
        <w:gridCol w:w="635"/>
      </w:tblGrid>
      <w:tr w:rsidR="00A67F21" w:rsidRPr="00B12FE0" w14:paraId="1A3865DB" w14:textId="77777777">
        <w:trPr>
          <w:trHeight w:val="510"/>
          <w:jc w:val="center"/>
        </w:trPr>
        <w:tc>
          <w:tcPr>
            <w:tcW w:w="318" w:type="pct"/>
            <w:tcBorders>
              <w:top w:val="single" w:sz="4" w:space="0" w:color="000000"/>
              <w:left w:val="single" w:sz="4" w:space="0" w:color="000000"/>
              <w:bottom w:val="single" w:sz="4" w:space="0" w:color="000000"/>
              <w:right w:val="single" w:sz="4" w:space="0" w:color="000000"/>
            </w:tcBorders>
            <w:vAlign w:val="center"/>
          </w:tcPr>
          <w:p w14:paraId="0A4F7AA2"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序号</w:t>
            </w:r>
          </w:p>
        </w:tc>
        <w:tc>
          <w:tcPr>
            <w:tcW w:w="569" w:type="pct"/>
            <w:tcBorders>
              <w:top w:val="single" w:sz="4" w:space="0" w:color="000000"/>
              <w:left w:val="nil"/>
              <w:bottom w:val="single" w:sz="4" w:space="0" w:color="000000"/>
              <w:right w:val="single" w:sz="4" w:space="0" w:color="000000"/>
            </w:tcBorders>
            <w:vAlign w:val="center"/>
          </w:tcPr>
          <w:p w14:paraId="26204151"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名称</w:t>
            </w:r>
          </w:p>
        </w:tc>
        <w:tc>
          <w:tcPr>
            <w:tcW w:w="263" w:type="pct"/>
            <w:tcBorders>
              <w:top w:val="single" w:sz="4" w:space="0" w:color="000000"/>
              <w:left w:val="nil"/>
              <w:bottom w:val="single" w:sz="4" w:space="0" w:color="000000"/>
              <w:right w:val="single" w:sz="4" w:space="0" w:color="000000"/>
            </w:tcBorders>
            <w:vAlign w:val="center"/>
          </w:tcPr>
          <w:p w14:paraId="3E767733"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类别</w:t>
            </w:r>
          </w:p>
        </w:tc>
        <w:tc>
          <w:tcPr>
            <w:tcW w:w="263" w:type="pct"/>
            <w:tcBorders>
              <w:top w:val="single" w:sz="4" w:space="0" w:color="000000"/>
              <w:left w:val="nil"/>
              <w:bottom w:val="single" w:sz="4" w:space="0" w:color="000000"/>
              <w:right w:val="single" w:sz="4" w:space="0" w:color="000000"/>
            </w:tcBorders>
            <w:vAlign w:val="center"/>
          </w:tcPr>
          <w:p w14:paraId="61C7B0E6"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数量</w:t>
            </w:r>
          </w:p>
        </w:tc>
        <w:tc>
          <w:tcPr>
            <w:tcW w:w="405" w:type="pct"/>
            <w:tcBorders>
              <w:top w:val="single" w:sz="4" w:space="0" w:color="000000"/>
              <w:left w:val="nil"/>
              <w:bottom w:val="single" w:sz="4" w:space="0" w:color="000000"/>
              <w:right w:val="single" w:sz="4" w:space="0" w:color="000000"/>
            </w:tcBorders>
            <w:vAlign w:val="center"/>
          </w:tcPr>
          <w:p w14:paraId="44DA4B6F"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型号</w:t>
            </w:r>
          </w:p>
        </w:tc>
        <w:tc>
          <w:tcPr>
            <w:tcW w:w="560" w:type="pct"/>
            <w:tcBorders>
              <w:top w:val="single" w:sz="4" w:space="0" w:color="000000"/>
              <w:left w:val="nil"/>
              <w:bottom w:val="single" w:sz="4" w:space="0" w:color="000000"/>
              <w:right w:val="single" w:sz="4" w:space="0" w:color="000000"/>
            </w:tcBorders>
            <w:vAlign w:val="center"/>
          </w:tcPr>
          <w:p w14:paraId="058CC00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最大管电压</w:t>
            </w:r>
          </w:p>
          <w:p w14:paraId="03AFE387"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w:t>
            </w:r>
            <w:r w:rsidRPr="00B12FE0">
              <w:rPr>
                <w:color w:val="000000" w:themeColor="text1"/>
                <w:kern w:val="0"/>
                <w:sz w:val="21"/>
                <w:szCs w:val="21"/>
              </w:rPr>
              <w:t>kV</w:t>
            </w:r>
            <w:r w:rsidRPr="00B12FE0">
              <w:rPr>
                <w:rFonts w:hint="eastAsia"/>
                <w:color w:val="000000" w:themeColor="text1"/>
                <w:kern w:val="0"/>
                <w:sz w:val="21"/>
                <w:szCs w:val="21"/>
              </w:rPr>
              <w:t>）</w:t>
            </w:r>
          </w:p>
        </w:tc>
        <w:tc>
          <w:tcPr>
            <w:tcW w:w="491" w:type="pct"/>
            <w:tcBorders>
              <w:top w:val="single" w:sz="4" w:space="0" w:color="000000"/>
              <w:left w:val="nil"/>
              <w:bottom w:val="single" w:sz="4" w:space="0" w:color="000000"/>
              <w:right w:val="single" w:sz="4" w:space="0" w:color="000000"/>
            </w:tcBorders>
            <w:vAlign w:val="center"/>
          </w:tcPr>
          <w:p w14:paraId="0DB865BF"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最大管电流</w:t>
            </w:r>
          </w:p>
          <w:p w14:paraId="76241099"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w:t>
            </w:r>
            <w:r w:rsidRPr="00B12FE0">
              <w:rPr>
                <w:color w:val="000000" w:themeColor="text1"/>
                <w:kern w:val="0"/>
                <w:sz w:val="21"/>
                <w:szCs w:val="21"/>
              </w:rPr>
              <w:t>mA</w:t>
            </w:r>
            <w:r w:rsidRPr="00B12FE0">
              <w:rPr>
                <w:rFonts w:hint="eastAsia"/>
                <w:color w:val="000000" w:themeColor="text1"/>
                <w:kern w:val="0"/>
                <w:sz w:val="21"/>
                <w:szCs w:val="21"/>
              </w:rPr>
              <w:t>）</w:t>
            </w:r>
          </w:p>
        </w:tc>
        <w:tc>
          <w:tcPr>
            <w:tcW w:w="525" w:type="pct"/>
            <w:tcBorders>
              <w:top w:val="single" w:sz="4" w:space="0" w:color="000000"/>
              <w:left w:val="nil"/>
              <w:bottom w:val="single" w:sz="4" w:space="0" w:color="000000"/>
              <w:right w:val="single" w:sz="4" w:space="0" w:color="000000"/>
            </w:tcBorders>
            <w:vAlign w:val="center"/>
          </w:tcPr>
          <w:p w14:paraId="609DB0F8"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用途</w:t>
            </w:r>
          </w:p>
        </w:tc>
        <w:tc>
          <w:tcPr>
            <w:tcW w:w="1379" w:type="pct"/>
            <w:tcBorders>
              <w:top w:val="single" w:sz="4" w:space="0" w:color="000000"/>
              <w:left w:val="nil"/>
              <w:bottom w:val="single" w:sz="4" w:space="0" w:color="000000"/>
              <w:right w:val="single" w:sz="4" w:space="0" w:color="000000"/>
            </w:tcBorders>
            <w:vAlign w:val="center"/>
          </w:tcPr>
          <w:p w14:paraId="1C9B0FCF"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工作场所</w:t>
            </w:r>
          </w:p>
        </w:tc>
        <w:tc>
          <w:tcPr>
            <w:tcW w:w="226" w:type="pct"/>
            <w:tcBorders>
              <w:top w:val="single" w:sz="4" w:space="0" w:color="000000"/>
              <w:left w:val="nil"/>
              <w:bottom w:val="single" w:sz="4" w:space="0" w:color="000000"/>
              <w:right w:val="single" w:sz="4" w:space="0" w:color="000000"/>
            </w:tcBorders>
            <w:vAlign w:val="center"/>
          </w:tcPr>
          <w:p w14:paraId="03BA3964"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备注</w:t>
            </w:r>
          </w:p>
        </w:tc>
      </w:tr>
      <w:tr w:rsidR="00A67F21" w:rsidRPr="00B12FE0" w14:paraId="0E881ACE" w14:textId="77777777">
        <w:trPr>
          <w:trHeight w:val="510"/>
          <w:jc w:val="center"/>
        </w:trPr>
        <w:tc>
          <w:tcPr>
            <w:tcW w:w="318" w:type="pct"/>
            <w:tcBorders>
              <w:top w:val="single" w:sz="4" w:space="0" w:color="000000"/>
              <w:left w:val="single" w:sz="4" w:space="0" w:color="000000"/>
              <w:bottom w:val="single" w:sz="4" w:space="0" w:color="000000"/>
              <w:right w:val="single" w:sz="4" w:space="0" w:color="000000"/>
            </w:tcBorders>
            <w:vAlign w:val="center"/>
          </w:tcPr>
          <w:p w14:paraId="00A842B4"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1</w:t>
            </w:r>
          </w:p>
        </w:tc>
        <w:tc>
          <w:tcPr>
            <w:tcW w:w="569" w:type="pct"/>
            <w:tcBorders>
              <w:top w:val="single" w:sz="4" w:space="0" w:color="000000"/>
              <w:left w:val="nil"/>
              <w:bottom w:val="single" w:sz="4" w:space="0" w:color="000000"/>
              <w:right w:val="single" w:sz="4" w:space="0" w:color="000000"/>
            </w:tcBorders>
            <w:vAlign w:val="center"/>
          </w:tcPr>
          <w:p w14:paraId="52139316"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SPECT/CT</w:t>
            </w:r>
          </w:p>
        </w:tc>
        <w:tc>
          <w:tcPr>
            <w:tcW w:w="263" w:type="pct"/>
            <w:tcBorders>
              <w:top w:val="single" w:sz="4" w:space="0" w:color="000000"/>
              <w:left w:val="nil"/>
              <w:bottom w:val="single" w:sz="4" w:space="0" w:color="000000"/>
              <w:right w:val="single" w:sz="4" w:space="0" w:color="000000"/>
            </w:tcBorders>
            <w:vAlign w:val="center"/>
          </w:tcPr>
          <w:p w14:paraId="53FE8676"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Ⅲ</w:t>
            </w:r>
            <w:r w:rsidRPr="00B12FE0">
              <w:rPr>
                <w:color w:val="000000" w:themeColor="text1"/>
                <w:sz w:val="21"/>
                <w:szCs w:val="21"/>
              </w:rPr>
              <w:t>类</w:t>
            </w:r>
          </w:p>
        </w:tc>
        <w:tc>
          <w:tcPr>
            <w:tcW w:w="263" w:type="pct"/>
            <w:tcBorders>
              <w:top w:val="single" w:sz="4" w:space="0" w:color="000000"/>
              <w:left w:val="nil"/>
              <w:bottom w:val="single" w:sz="4" w:space="0" w:color="000000"/>
              <w:right w:val="single" w:sz="4" w:space="0" w:color="000000"/>
            </w:tcBorders>
            <w:vAlign w:val="center"/>
          </w:tcPr>
          <w:p w14:paraId="66794F81"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2</w:t>
            </w:r>
          </w:p>
        </w:tc>
        <w:tc>
          <w:tcPr>
            <w:tcW w:w="405" w:type="pct"/>
            <w:tcBorders>
              <w:top w:val="single" w:sz="4" w:space="0" w:color="000000"/>
              <w:left w:val="nil"/>
              <w:bottom w:val="single" w:sz="4" w:space="0" w:color="000000"/>
              <w:right w:val="single" w:sz="4" w:space="0" w:color="000000"/>
            </w:tcBorders>
            <w:vAlign w:val="center"/>
          </w:tcPr>
          <w:p w14:paraId="56EC049E"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待定</w:t>
            </w:r>
          </w:p>
        </w:tc>
        <w:tc>
          <w:tcPr>
            <w:tcW w:w="560" w:type="pct"/>
            <w:tcBorders>
              <w:top w:val="single" w:sz="4" w:space="0" w:color="000000"/>
              <w:left w:val="nil"/>
              <w:bottom w:val="single" w:sz="4" w:space="0" w:color="000000"/>
              <w:right w:val="single" w:sz="4" w:space="0" w:color="000000"/>
            </w:tcBorders>
            <w:vAlign w:val="center"/>
          </w:tcPr>
          <w:p w14:paraId="377A0BCC"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140</w:t>
            </w:r>
          </w:p>
        </w:tc>
        <w:tc>
          <w:tcPr>
            <w:tcW w:w="491" w:type="pct"/>
            <w:tcBorders>
              <w:top w:val="single" w:sz="4" w:space="0" w:color="000000"/>
              <w:left w:val="nil"/>
              <w:bottom w:val="single" w:sz="4" w:space="0" w:color="000000"/>
              <w:right w:val="single" w:sz="4" w:space="0" w:color="000000"/>
            </w:tcBorders>
            <w:vAlign w:val="center"/>
          </w:tcPr>
          <w:p w14:paraId="60236840"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1000</w:t>
            </w:r>
          </w:p>
        </w:tc>
        <w:tc>
          <w:tcPr>
            <w:tcW w:w="525" w:type="pct"/>
            <w:tcBorders>
              <w:top w:val="single" w:sz="4" w:space="0" w:color="000000"/>
              <w:left w:val="nil"/>
              <w:bottom w:val="single" w:sz="4" w:space="0" w:color="000000"/>
              <w:right w:val="single" w:sz="4" w:space="0" w:color="000000"/>
            </w:tcBorders>
            <w:vAlign w:val="center"/>
          </w:tcPr>
          <w:p w14:paraId="4963429B"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显像诊断</w:t>
            </w:r>
          </w:p>
        </w:tc>
        <w:tc>
          <w:tcPr>
            <w:tcW w:w="1379" w:type="pct"/>
            <w:tcBorders>
              <w:top w:val="single" w:sz="4" w:space="0" w:color="000000"/>
              <w:left w:val="nil"/>
              <w:bottom w:val="single" w:sz="4" w:space="0" w:color="000000"/>
              <w:right w:val="single" w:sz="4" w:space="0" w:color="000000"/>
            </w:tcBorders>
            <w:vAlign w:val="center"/>
          </w:tcPr>
          <w:p w14:paraId="7FFF0899"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肿瘤治疗中心综合楼一层南侧核医学科核素诊断场所</w:t>
            </w:r>
          </w:p>
        </w:tc>
        <w:tc>
          <w:tcPr>
            <w:tcW w:w="226" w:type="pct"/>
            <w:tcBorders>
              <w:top w:val="single" w:sz="4" w:space="0" w:color="000000"/>
              <w:left w:val="nil"/>
              <w:right w:val="single" w:sz="4" w:space="0" w:color="000000"/>
            </w:tcBorders>
            <w:vAlign w:val="center"/>
          </w:tcPr>
          <w:p w14:paraId="75F9E30B"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新购</w:t>
            </w:r>
          </w:p>
        </w:tc>
      </w:tr>
      <w:tr w:rsidR="00A67F21" w:rsidRPr="00B12FE0" w14:paraId="24DC167C" w14:textId="77777777">
        <w:trPr>
          <w:trHeight w:val="510"/>
          <w:jc w:val="center"/>
        </w:trPr>
        <w:tc>
          <w:tcPr>
            <w:tcW w:w="318" w:type="pct"/>
            <w:tcBorders>
              <w:top w:val="single" w:sz="4" w:space="0" w:color="000000"/>
              <w:left w:val="single" w:sz="4" w:space="0" w:color="000000"/>
              <w:bottom w:val="single" w:sz="4" w:space="0" w:color="000000"/>
              <w:right w:val="single" w:sz="4" w:space="0" w:color="000000"/>
            </w:tcBorders>
            <w:vAlign w:val="center"/>
          </w:tcPr>
          <w:p w14:paraId="1679036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2</w:t>
            </w:r>
          </w:p>
        </w:tc>
        <w:tc>
          <w:tcPr>
            <w:tcW w:w="569" w:type="pct"/>
            <w:tcBorders>
              <w:top w:val="single" w:sz="4" w:space="0" w:color="000000"/>
              <w:left w:val="nil"/>
              <w:bottom w:val="single" w:sz="4" w:space="0" w:color="000000"/>
              <w:right w:val="single" w:sz="4" w:space="0" w:color="000000"/>
            </w:tcBorders>
            <w:vAlign w:val="center"/>
          </w:tcPr>
          <w:p w14:paraId="3B84C449"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PET/CT</w:t>
            </w:r>
          </w:p>
        </w:tc>
        <w:tc>
          <w:tcPr>
            <w:tcW w:w="263" w:type="pct"/>
            <w:tcBorders>
              <w:top w:val="single" w:sz="4" w:space="0" w:color="000000"/>
              <w:left w:val="nil"/>
              <w:bottom w:val="single" w:sz="4" w:space="0" w:color="000000"/>
              <w:right w:val="single" w:sz="4" w:space="0" w:color="000000"/>
            </w:tcBorders>
            <w:vAlign w:val="center"/>
          </w:tcPr>
          <w:p w14:paraId="6F6B08FF"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Ⅲ</w:t>
            </w:r>
            <w:r w:rsidRPr="00B12FE0">
              <w:rPr>
                <w:color w:val="000000" w:themeColor="text1"/>
                <w:sz w:val="21"/>
                <w:szCs w:val="21"/>
              </w:rPr>
              <w:t>类</w:t>
            </w:r>
          </w:p>
        </w:tc>
        <w:tc>
          <w:tcPr>
            <w:tcW w:w="263" w:type="pct"/>
            <w:tcBorders>
              <w:top w:val="single" w:sz="4" w:space="0" w:color="000000"/>
              <w:left w:val="nil"/>
              <w:bottom w:val="single" w:sz="4" w:space="0" w:color="000000"/>
              <w:right w:val="single" w:sz="4" w:space="0" w:color="000000"/>
            </w:tcBorders>
            <w:vAlign w:val="center"/>
          </w:tcPr>
          <w:p w14:paraId="78450EBA"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1</w:t>
            </w:r>
          </w:p>
        </w:tc>
        <w:tc>
          <w:tcPr>
            <w:tcW w:w="405" w:type="pct"/>
            <w:tcBorders>
              <w:top w:val="single" w:sz="4" w:space="0" w:color="000000"/>
              <w:left w:val="nil"/>
              <w:bottom w:val="single" w:sz="4" w:space="0" w:color="000000"/>
              <w:right w:val="single" w:sz="4" w:space="0" w:color="000000"/>
            </w:tcBorders>
            <w:vAlign w:val="center"/>
          </w:tcPr>
          <w:p w14:paraId="0C52EB96"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待定</w:t>
            </w:r>
          </w:p>
        </w:tc>
        <w:tc>
          <w:tcPr>
            <w:tcW w:w="560" w:type="pct"/>
            <w:tcBorders>
              <w:top w:val="single" w:sz="4" w:space="0" w:color="000000"/>
              <w:left w:val="nil"/>
              <w:bottom w:val="single" w:sz="4" w:space="0" w:color="000000"/>
              <w:right w:val="single" w:sz="4" w:space="0" w:color="000000"/>
            </w:tcBorders>
            <w:vAlign w:val="center"/>
          </w:tcPr>
          <w:p w14:paraId="64249043"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140</w:t>
            </w:r>
          </w:p>
        </w:tc>
        <w:tc>
          <w:tcPr>
            <w:tcW w:w="491" w:type="pct"/>
            <w:tcBorders>
              <w:top w:val="single" w:sz="4" w:space="0" w:color="000000"/>
              <w:left w:val="nil"/>
              <w:bottom w:val="single" w:sz="4" w:space="0" w:color="000000"/>
              <w:right w:val="single" w:sz="4" w:space="0" w:color="000000"/>
            </w:tcBorders>
            <w:vAlign w:val="center"/>
          </w:tcPr>
          <w:p w14:paraId="69BF5213"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1000</w:t>
            </w:r>
          </w:p>
        </w:tc>
        <w:tc>
          <w:tcPr>
            <w:tcW w:w="525" w:type="pct"/>
            <w:tcBorders>
              <w:top w:val="single" w:sz="4" w:space="0" w:color="000000"/>
              <w:left w:val="nil"/>
              <w:bottom w:val="single" w:sz="4" w:space="0" w:color="000000"/>
              <w:right w:val="single" w:sz="4" w:space="0" w:color="000000"/>
            </w:tcBorders>
            <w:vAlign w:val="center"/>
          </w:tcPr>
          <w:p w14:paraId="6BBC86C8"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显像诊断</w:t>
            </w:r>
          </w:p>
        </w:tc>
        <w:tc>
          <w:tcPr>
            <w:tcW w:w="1379" w:type="pct"/>
            <w:tcBorders>
              <w:top w:val="single" w:sz="4" w:space="0" w:color="000000"/>
              <w:left w:val="nil"/>
              <w:bottom w:val="single" w:sz="4" w:space="0" w:color="000000"/>
              <w:right w:val="single" w:sz="4" w:space="0" w:color="000000"/>
            </w:tcBorders>
            <w:vAlign w:val="center"/>
          </w:tcPr>
          <w:p w14:paraId="3A8B855E"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肿瘤治疗中心综合楼一层南侧核医学科核素诊断场所</w:t>
            </w:r>
          </w:p>
        </w:tc>
        <w:tc>
          <w:tcPr>
            <w:tcW w:w="226" w:type="pct"/>
            <w:tcBorders>
              <w:top w:val="single" w:sz="4" w:space="0" w:color="000000"/>
              <w:left w:val="nil"/>
              <w:bottom w:val="single" w:sz="4" w:space="0" w:color="000000"/>
              <w:right w:val="single" w:sz="4" w:space="0" w:color="000000"/>
            </w:tcBorders>
            <w:vAlign w:val="center"/>
          </w:tcPr>
          <w:p w14:paraId="15883168"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新购</w:t>
            </w:r>
          </w:p>
        </w:tc>
      </w:tr>
      <w:tr w:rsidR="00A67F21" w:rsidRPr="00B12FE0" w14:paraId="529434E6" w14:textId="77777777">
        <w:trPr>
          <w:trHeight w:val="510"/>
          <w:jc w:val="center"/>
        </w:trPr>
        <w:tc>
          <w:tcPr>
            <w:tcW w:w="318" w:type="pct"/>
            <w:tcBorders>
              <w:top w:val="single" w:sz="4" w:space="0" w:color="000000"/>
              <w:left w:val="single" w:sz="4" w:space="0" w:color="000000"/>
              <w:bottom w:val="single" w:sz="4" w:space="0" w:color="000000"/>
              <w:right w:val="single" w:sz="4" w:space="0" w:color="000000"/>
            </w:tcBorders>
            <w:vAlign w:val="center"/>
          </w:tcPr>
          <w:p w14:paraId="2A575343"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3</w:t>
            </w:r>
          </w:p>
        </w:tc>
        <w:tc>
          <w:tcPr>
            <w:tcW w:w="569" w:type="pct"/>
            <w:tcBorders>
              <w:top w:val="single" w:sz="4" w:space="0" w:color="000000"/>
              <w:left w:val="nil"/>
              <w:bottom w:val="single" w:sz="4" w:space="0" w:color="000000"/>
              <w:right w:val="single" w:sz="4" w:space="0" w:color="000000"/>
            </w:tcBorders>
            <w:vAlign w:val="center"/>
          </w:tcPr>
          <w:p w14:paraId="7321FE5D"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aps/>
                <w:color w:val="000000" w:themeColor="text1"/>
                <w:sz w:val="21"/>
                <w:szCs w:val="21"/>
              </w:rPr>
              <w:t>模拟定位</w:t>
            </w:r>
            <w:r w:rsidRPr="00B12FE0">
              <w:rPr>
                <w:rFonts w:hint="eastAsia"/>
                <w:caps/>
                <w:color w:val="000000" w:themeColor="text1"/>
                <w:sz w:val="21"/>
                <w:szCs w:val="21"/>
              </w:rPr>
              <w:t>CT</w:t>
            </w:r>
          </w:p>
        </w:tc>
        <w:tc>
          <w:tcPr>
            <w:tcW w:w="263" w:type="pct"/>
            <w:tcBorders>
              <w:top w:val="single" w:sz="4" w:space="0" w:color="000000"/>
              <w:left w:val="nil"/>
              <w:bottom w:val="single" w:sz="4" w:space="0" w:color="000000"/>
              <w:right w:val="single" w:sz="4" w:space="0" w:color="000000"/>
            </w:tcBorders>
            <w:vAlign w:val="center"/>
          </w:tcPr>
          <w:p w14:paraId="7A282B7F" w14:textId="77777777" w:rsidR="00A67F21" w:rsidRPr="00B12FE0" w:rsidRDefault="00000000">
            <w:pPr>
              <w:pStyle w:val="TableParagraph"/>
              <w:autoSpaceDE/>
              <w:autoSpaceDN/>
              <w:snapToGrid w:val="0"/>
              <w:jc w:val="center"/>
              <w:rPr>
                <w:color w:val="000000" w:themeColor="text1"/>
                <w:sz w:val="21"/>
                <w:szCs w:val="21"/>
              </w:rPr>
            </w:pPr>
            <w:r w:rsidRPr="00B12FE0">
              <w:rPr>
                <w:bCs/>
                <w:color w:val="000000" w:themeColor="text1"/>
                <w:sz w:val="21"/>
                <w:szCs w:val="21"/>
              </w:rPr>
              <w:t>Ⅲ</w:t>
            </w:r>
            <w:r w:rsidRPr="00B12FE0">
              <w:rPr>
                <w:bCs/>
                <w:color w:val="000000" w:themeColor="text1"/>
                <w:sz w:val="21"/>
                <w:szCs w:val="21"/>
              </w:rPr>
              <w:t>类</w:t>
            </w:r>
          </w:p>
        </w:tc>
        <w:tc>
          <w:tcPr>
            <w:tcW w:w="263" w:type="pct"/>
            <w:tcBorders>
              <w:top w:val="single" w:sz="4" w:space="0" w:color="000000"/>
              <w:left w:val="nil"/>
              <w:bottom w:val="single" w:sz="4" w:space="0" w:color="000000"/>
              <w:right w:val="single" w:sz="4" w:space="0" w:color="000000"/>
            </w:tcBorders>
            <w:vAlign w:val="center"/>
          </w:tcPr>
          <w:p w14:paraId="72198EC3"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aps/>
                <w:color w:val="000000" w:themeColor="text1"/>
                <w:sz w:val="21"/>
                <w:szCs w:val="21"/>
              </w:rPr>
              <w:t>1</w:t>
            </w:r>
          </w:p>
        </w:tc>
        <w:tc>
          <w:tcPr>
            <w:tcW w:w="405" w:type="pct"/>
            <w:tcBorders>
              <w:top w:val="single" w:sz="4" w:space="0" w:color="000000"/>
              <w:left w:val="nil"/>
              <w:bottom w:val="single" w:sz="4" w:space="0" w:color="000000"/>
              <w:right w:val="single" w:sz="4" w:space="0" w:color="000000"/>
            </w:tcBorders>
            <w:vAlign w:val="center"/>
          </w:tcPr>
          <w:p w14:paraId="5986B0C5"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待定</w:t>
            </w:r>
          </w:p>
        </w:tc>
        <w:tc>
          <w:tcPr>
            <w:tcW w:w="560" w:type="pct"/>
            <w:tcBorders>
              <w:top w:val="single" w:sz="4" w:space="0" w:color="000000"/>
              <w:left w:val="nil"/>
              <w:bottom w:val="single" w:sz="4" w:space="0" w:color="000000"/>
              <w:right w:val="single" w:sz="4" w:space="0" w:color="000000"/>
            </w:tcBorders>
            <w:vAlign w:val="center"/>
          </w:tcPr>
          <w:p w14:paraId="1F385EFE"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140</w:t>
            </w:r>
          </w:p>
        </w:tc>
        <w:tc>
          <w:tcPr>
            <w:tcW w:w="491" w:type="pct"/>
            <w:tcBorders>
              <w:top w:val="single" w:sz="4" w:space="0" w:color="000000"/>
              <w:left w:val="nil"/>
              <w:bottom w:val="single" w:sz="4" w:space="0" w:color="000000"/>
              <w:right w:val="single" w:sz="4" w:space="0" w:color="000000"/>
            </w:tcBorders>
            <w:vAlign w:val="center"/>
          </w:tcPr>
          <w:p w14:paraId="50A0FF8D"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10</w:t>
            </w:r>
            <w:r w:rsidRPr="00B12FE0">
              <w:rPr>
                <w:color w:val="000000" w:themeColor="text1"/>
                <w:sz w:val="21"/>
                <w:szCs w:val="21"/>
              </w:rPr>
              <w:t>00</w:t>
            </w:r>
          </w:p>
        </w:tc>
        <w:tc>
          <w:tcPr>
            <w:tcW w:w="525" w:type="pct"/>
            <w:vAlign w:val="center"/>
          </w:tcPr>
          <w:p w14:paraId="4B78B6CA"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显像诊断</w:t>
            </w:r>
          </w:p>
        </w:tc>
        <w:tc>
          <w:tcPr>
            <w:tcW w:w="1379" w:type="pct"/>
            <w:vAlign w:val="center"/>
          </w:tcPr>
          <w:p w14:paraId="710932CE" w14:textId="77777777" w:rsidR="00A67F21" w:rsidRPr="00B12FE0" w:rsidRDefault="00000000">
            <w:pPr>
              <w:pStyle w:val="TableParagraph"/>
              <w:autoSpaceDE/>
              <w:autoSpaceDN/>
              <w:snapToGrid w:val="0"/>
              <w:jc w:val="center"/>
              <w:rPr>
                <w:color w:val="000000" w:themeColor="text1"/>
                <w:sz w:val="21"/>
                <w:szCs w:val="21"/>
              </w:rPr>
            </w:pPr>
            <w:r w:rsidRPr="00B12FE0">
              <w:rPr>
                <w:rFonts w:hint="eastAsia"/>
                <w:color w:val="000000" w:themeColor="text1"/>
                <w:sz w:val="21"/>
                <w:szCs w:val="21"/>
              </w:rPr>
              <w:t>肿瘤治疗中心综合楼一层北侧</w:t>
            </w:r>
            <w:r w:rsidRPr="00B12FE0">
              <w:rPr>
                <w:rFonts w:hint="eastAsia"/>
                <w:bCs/>
                <w:color w:val="000000" w:themeColor="text1"/>
                <w:sz w:val="21"/>
                <w:szCs w:val="21"/>
              </w:rPr>
              <w:t>放疗科模拟定位</w:t>
            </w:r>
            <w:r w:rsidRPr="00B12FE0">
              <w:rPr>
                <w:rFonts w:hint="eastAsia"/>
                <w:bCs/>
                <w:color w:val="000000" w:themeColor="text1"/>
                <w:sz w:val="21"/>
                <w:szCs w:val="21"/>
              </w:rPr>
              <w:t>CT</w:t>
            </w:r>
            <w:r w:rsidRPr="00B12FE0">
              <w:rPr>
                <w:rFonts w:hint="eastAsia"/>
                <w:bCs/>
                <w:color w:val="000000" w:themeColor="text1"/>
                <w:sz w:val="21"/>
                <w:szCs w:val="21"/>
              </w:rPr>
              <w:t>机房</w:t>
            </w:r>
          </w:p>
        </w:tc>
        <w:tc>
          <w:tcPr>
            <w:tcW w:w="226" w:type="pct"/>
            <w:tcBorders>
              <w:top w:val="single" w:sz="4" w:space="0" w:color="000000"/>
              <w:left w:val="nil"/>
              <w:bottom w:val="single" w:sz="4" w:space="0" w:color="000000"/>
              <w:right w:val="single" w:sz="4" w:space="0" w:color="000000"/>
            </w:tcBorders>
            <w:vAlign w:val="center"/>
          </w:tcPr>
          <w:p w14:paraId="08EEF75C" w14:textId="77777777" w:rsidR="00A67F21" w:rsidRPr="00B12FE0" w:rsidRDefault="00000000">
            <w:pPr>
              <w:pStyle w:val="TableParagraph"/>
              <w:autoSpaceDE/>
              <w:autoSpaceDN/>
              <w:snapToGrid w:val="0"/>
              <w:jc w:val="center"/>
              <w:rPr>
                <w:color w:val="000000" w:themeColor="text1"/>
                <w:sz w:val="21"/>
                <w:szCs w:val="21"/>
              </w:rPr>
            </w:pPr>
            <w:r w:rsidRPr="00B12FE0">
              <w:rPr>
                <w:color w:val="000000" w:themeColor="text1"/>
                <w:sz w:val="21"/>
                <w:szCs w:val="21"/>
              </w:rPr>
              <w:t>新购</w:t>
            </w:r>
          </w:p>
        </w:tc>
      </w:tr>
    </w:tbl>
    <w:p w14:paraId="1ABE4967" w14:textId="77777777" w:rsidR="00A67F21" w:rsidRPr="00B12FE0" w:rsidRDefault="00000000">
      <w:pPr>
        <w:pStyle w:val="410"/>
        <w:autoSpaceDE/>
        <w:autoSpaceDN/>
        <w:snapToGrid w:val="0"/>
        <w:spacing w:beforeLines="50" w:before="120" w:line="360" w:lineRule="auto"/>
        <w:ind w:left="0"/>
        <w:contextualSpacing/>
        <w:outlineLvl w:val="9"/>
        <w:rPr>
          <w:rFonts w:ascii="Times New Roman"/>
          <w:color w:val="000000" w:themeColor="text1"/>
        </w:rPr>
      </w:pPr>
      <w:r w:rsidRPr="00B12FE0">
        <w:rPr>
          <w:rFonts w:ascii="Times New Roman"/>
          <w:color w:val="000000" w:themeColor="text1"/>
        </w:rPr>
        <w:t>（三）中子发生器，包括中子管，但不包括放射性中子源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22"/>
        <w:gridCol w:w="1841"/>
        <w:gridCol w:w="427"/>
        <w:gridCol w:w="421"/>
        <w:gridCol w:w="1116"/>
        <w:gridCol w:w="1116"/>
        <w:gridCol w:w="1116"/>
        <w:gridCol w:w="1049"/>
        <w:gridCol w:w="764"/>
        <w:gridCol w:w="1116"/>
        <w:gridCol w:w="1381"/>
        <w:gridCol w:w="1275"/>
        <w:gridCol w:w="1133"/>
        <w:gridCol w:w="773"/>
      </w:tblGrid>
      <w:tr w:rsidR="00A67F21" w:rsidRPr="00B12FE0" w14:paraId="7C2CA454" w14:textId="77777777">
        <w:trPr>
          <w:trHeight w:hRule="exact" w:val="510"/>
          <w:jc w:val="center"/>
        </w:trPr>
        <w:tc>
          <w:tcPr>
            <w:tcW w:w="151" w:type="pct"/>
            <w:vMerge w:val="restart"/>
            <w:vAlign w:val="center"/>
          </w:tcPr>
          <w:p w14:paraId="1112B2D6"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序号</w:t>
            </w:r>
          </w:p>
        </w:tc>
        <w:tc>
          <w:tcPr>
            <w:tcW w:w="660" w:type="pct"/>
            <w:vMerge w:val="restart"/>
            <w:vAlign w:val="center"/>
          </w:tcPr>
          <w:p w14:paraId="15637AFC"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名称</w:t>
            </w:r>
          </w:p>
        </w:tc>
        <w:tc>
          <w:tcPr>
            <w:tcW w:w="153" w:type="pct"/>
            <w:vMerge w:val="restart"/>
            <w:vAlign w:val="center"/>
          </w:tcPr>
          <w:p w14:paraId="2471D4B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类别</w:t>
            </w:r>
          </w:p>
        </w:tc>
        <w:tc>
          <w:tcPr>
            <w:tcW w:w="151" w:type="pct"/>
            <w:vMerge w:val="restart"/>
            <w:vAlign w:val="center"/>
          </w:tcPr>
          <w:p w14:paraId="3DFA28AD"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数量</w:t>
            </w:r>
          </w:p>
        </w:tc>
        <w:tc>
          <w:tcPr>
            <w:tcW w:w="400" w:type="pct"/>
            <w:vMerge w:val="restart"/>
            <w:vAlign w:val="center"/>
          </w:tcPr>
          <w:p w14:paraId="40F7578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型号</w:t>
            </w:r>
          </w:p>
        </w:tc>
        <w:tc>
          <w:tcPr>
            <w:tcW w:w="400" w:type="pct"/>
            <w:vMerge w:val="restart"/>
            <w:vAlign w:val="center"/>
          </w:tcPr>
          <w:p w14:paraId="6BE5B859"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最大管电</w:t>
            </w:r>
          </w:p>
          <w:p w14:paraId="66DE1428"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压（</w:t>
            </w:r>
            <w:r w:rsidRPr="00B12FE0">
              <w:rPr>
                <w:color w:val="000000" w:themeColor="text1"/>
                <w:kern w:val="0"/>
                <w:sz w:val="21"/>
                <w:szCs w:val="21"/>
              </w:rPr>
              <w:t>kV</w:t>
            </w:r>
            <w:r w:rsidRPr="00B12FE0">
              <w:rPr>
                <w:color w:val="000000" w:themeColor="text1"/>
                <w:kern w:val="0"/>
                <w:sz w:val="21"/>
                <w:szCs w:val="21"/>
              </w:rPr>
              <w:t>）</w:t>
            </w:r>
          </w:p>
        </w:tc>
        <w:tc>
          <w:tcPr>
            <w:tcW w:w="400" w:type="pct"/>
            <w:vMerge w:val="restart"/>
            <w:vAlign w:val="center"/>
          </w:tcPr>
          <w:p w14:paraId="70B83D09"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最大靶电</w:t>
            </w:r>
          </w:p>
          <w:p w14:paraId="670A81CC"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流（</w:t>
            </w:r>
            <w:proofErr w:type="spellStart"/>
            <w:r w:rsidRPr="00B12FE0">
              <w:rPr>
                <w:color w:val="000000" w:themeColor="text1"/>
                <w:kern w:val="0"/>
                <w:sz w:val="21"/>
                <w:szCs w:val="21"/>
              </w:rPr>
              <w:t>μA</w:t>
            </w:r>
            <w:proofErr w:type="spellEnd"/>
            <w:r w:rsidRPr="00B12FE0">
              <w:rPr>
                <w:color w:val="000000" w:themeColor="text1"/>
                <w:kern w:val="0"/>
                <w:sz w:val="21"/>
                <w:szCs w:val="21"/>
              </w:rPr>
              <w:t>）</w:t>
            </w:r>
          </w:p>
        </w:tc>
        <w:tc>
          <w:tcPr>
            <w:tcW w:w="376" w:type="pct"/>
            <w:vMerge w:val="restart"/>
            <w:vAlign w:val="center"/>
          </w:tcPr>
          <w:p w14:paraId="19224EF2"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中子强</w:t>
            </w:r>
          </w:p>
          <w:p w14:paraId="543B599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度</w:t>
            </w:r>
            <w:r w:rsidRPr="00B12FE0">
              <w:rPr>
                <w:rFonts w:hint="eastAsia"/>
                <w:color w:val="000000" w:themeColor="text1"/>
                <w:kern w:val="0"/>
                <w:sz w:val="21"/>
                <w:szCs w:val="21"/>
              </w:rPr>
              <w:t>（</w:t>
            </w:r>
            <w:r w:rsidRPr="00B12FE0">
              <w:rPr>
                <w:color w:val="000000" w:themeColor="text1"/>
                <w:kern w:val="0"/>
                <w:sz w:val="21"/>
                <w:szCs w:val="21"/>
              </w:rPr>
              <w:t>n/s</w:t>
            </w:r>
            <w:r w:rsidRPr="00B12FE0">
              <w:rPr>
                <w:rFonts w:hint="eastAsia"/>
                <w:color w:val="000000" w:themeColor="text1"/>
                <w:kern w:val="0"/>
                <w:sz w:val="21"/>
                <w:szCs w:val="21"/>
              </w:rPr>
              <w:t>）</w:t>
            </w:r>
          </w:p>
        </w:tc>
        <w:tc>
          <w:tcPr>
            <w:tcW w:w="274" w:type="pct"/>
            <w:vMerge w:val="restart"/>
            <w:vAlign w:val="center"/>
          </w:tcPr>
          <w:p w14:paraId="03E951ED"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用途</w:t>
            </w:r>
          </w:p>
        </w:tc>
        <w:tc>
          <w:tcPr>
            <w:tcW w:w="400" w:type="pct"/>
            <w:vMerge w:val="restart"/>
            <w:vAlign w:val="center"/>
          </w:tcPr>
          <w:p w14:paraId="28F89092"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工作场所</w:t>
            </w:r>
          </w:p>
        </w:tc>
        <w:tc>
          <w:tcPr>
            <w:tcW w:w="1358" w:type="pct"/>
            <w:gridSpan w:val="3"/>
            <w:vAlign w:val="center"/>
          </w:tcPr>
          <w:p w14:paraId="62CEEF9A" w14:textId="77777777" w:rsidR="00A67F21" w:rsidRPr="00B12FE0" w:rsidRDefault="00000000">
            <w:pPr>
              <w:snapToGrid w:val="0"/>
              <w:jc w:val="center"/>
              <w:rPr>
                <w:color w:val="000000" w:themeColor="text1"/>
                <w:kern w:val="0"/>
                <w:sz w:val="21"/>
                <w:szCs w:val="21"/>
              </w:rPr>
            </w:pPr>
            <w:proofErr w:type="gramStart"/>
            <w:r w:rsidRPr="00B12FE0">
              <w:rPr>
                <w:color w:val="000000" w:themeColor="text1"/>
                <w:kern w:val="0"/>
                <w:sz w:val="21"/>
                <w:szCs w:val="21"/>
              </w:rPr>
              <w:t>氚靶情况</w:t>
            </w:r>
            <w:proofErr w:type="gramEnd"/>
          </w:p>
        </w:tc>
        <w:tc>
          <w:tcPr>
            <w:tcW w:w="277" w:type="pct"/>
            <w:vMerge w:val="restart"/>
            <w:vAlign w:val="center"/>
          </w:tcPr>
          <w:p w14:paraId="37CADA7C" w14:textId="77777777" w:rsidR="00A67F21" w:rsidRPr="00B12FE0" w:rsidRDefault="00000000">
            <w:pPr>
              <w:pStyle w:val="TableParagraph"/>
              <w:autoSpaceDE/>
              <w:autoSpaceDN/>
              <w:jc w:val="center"/>
              <w:rPr>
                <w:color w:val="000000" w:themeColor="text1"/>
                <w:sz w:val="21"/>
                <w:szCs w:val="21"/>
              </w:rPr>
            </w:pPr>
            <w:r w:rsidRPr="00B12FE0">
              <w:rPr>
                <w:color w:val="000000" w:themeColor="text1"/>
                <w:sz w:val="21"/>
                <w:szCs w:val="21"/>
              </w:rPr>
              <w:t>备注</w:t>
            </w:r>
          </w:p>
        </w:tc>
      </w:tr>
      <w:tr w:rsidR="00A67F21" w:rsidRPr="00B12FE0" w14:paraId="709EA5F4" w14:textId="77777777">
        <w:trPr>
          <w:trHeight w:hRule="exact" w:val="510"/>
          <w:jc w:val="center"/>
        </w:trPr>
        <w:tc>
          <w:tcPr>
            <w:tcW w:w="151" w:type="pct"/>
            <w:vMerge/>
            <w:vAlign w:val="center"/>
          </w:tcPr>
          <w:p w14:paraId="57A93030" w14:textId="77777777" w:rsidR="00A67F21" w:rsidRPr="00B12FE0" w:rsidRDefault="00A67F21">
            <w:pPr>
              <w:snapToGrid w:val="0"/>
              <w:jc w:val="center"/>
              <w:rPr>
                <w:color w:val="000000" w:themeColor="text1"/>
                <w:kern w:val="0"/>
                <w:sz w:val="21"/>
                <w:szCs w:val="21"/>
              </w:rPr>
            </w:pPr>
          </w:p>
        </w:tc>
        <w:tc>
          <w:tcPr>
            <w:tcW w:w="660" w:type="pct"/>
            <w:vMerge/>
            <w:vAlign w:val="center"/>
          </w:tcPr>
          <w:p w14:paraId="10AA7D14" w14:textId="77777777" w:rsidR="00A67F21" w:rsidRPr="00B12FE0" w:rsidRDefault="00A67F21">
            <w:pPr>
              <w:snapToGrid w:val="0"/>
              <w:jc w:val="center"/>
              <w:rPr>
                <w:color w:val="000000" w:themeColor="text1"/>
                <w:kern w:val="0"/>
                <w:sz w:val="21"/>
                <w:szCs w:val="21"/>
              </w:rPr>
            </w:pPr>
          </w:p>
        </w:tc>
        <w:tc>
          <w:tcPr>
            <w:tcW w:w="153" w:type="pct"/>
            <w:vMerge/>
            <w:vAlign w:val="center"/>
          </w:tcPr>
          <w:p w14:paraId="778D215C" w14:textId="77777777" w:rsidR="00A67F21" w:rsidRPr="00B12FE0" w:rsidRDefault="00A67F21">
            <w:pPr>
              <w:snapToGrid w:val="0"/>
              <w:jc w:val="center"/>
              <w:rPr>
                <w:color w:val="000000" w:themeColor="text1"/>
                <w:kern w:val="0"/>
                <w:sz w:val="21"/>
                <w:szCs w:val="21"/>
              </w:rPr>
            </w:pPr>
          </w:p>
        </w:tc>
        <w:tc>
          <w:tcPr>
            <w:tcW w:w="151" w:type="pct"/>
            <w:vMerge/>
            <w:vAlign w:val="center"/>
          </w:tcPr>
          <w:p w14:paraId="7C45AFFE" w14:textId="77777777" w:rsidR="00A67F21" w:rsidRPr="00B12FE0" w:rsidRDefault="00A67F21">
            <w:pPr>
              <w:snapToGrid w:val="0"/>
              <w:jc w:val="center"/>
              <w:rPr>
                <w:color w:val="000000" w:themeColor="text1"/>
                <w:kern w:val="0"/>
                <w:sz w:val="21"/>
                <w:szCs w:val="21"/>
              </w:rPr>
            </w:pPr>
          </w:p>
        </w:tc>
        <w:tc>
          <w:tcPr>
            <w:tcW w:w="400" w:type="pct"/>
            <w:vMerge/>
            <w:vAlign w:val="center"/>
          </w:tcPr>
          <w:p w14:paraId="187DA0EE" w14:textId="77777777" w:rsidR="00A67F21" w:rsidRPr="00B12FE0" w:rsidRDefault="00A67F21">
            <w:pPr>
              <w:snapToGrid w:val="0"/>
              <w:jc w:val="center"/>
              <w:rPr>
                <w:color w:val="000000" w:themeColor="text1"/>
                <w:kern w:val="0"/>
                <w:sz w:val="21"/>
                <w:szCs w:val="21"/>
              </w:rPr>
            </w:pPr>
          </w:p>
        </w:tc>
        <w:tc>
          <w:tcPr>
            <w:tcW w:w="400" w:type="pct"/>
            <w:vMerge/>
            <w:vAlign w:val="center"/>
          </w:tcPr>
          <w:p w14:paraId="26939577" w14:textId="77777777" w:rsidR="00A67F21" w:rsidRPr="00B12FE0" w:rsidRDefault="00A67F21">
            <w:pPr>
              <w:snapToGrid w:val="0"/>
              <w:jc w:val="center"/>
              <w:rPr>
                <w:color w:val="000000" w:themeColor="text1"/>
                <w:kern w:val="0"/>
                <w:sz w:val="21"/>
                <w:szCs w:val="21"/>
              </w:rPr>
            </w:pPr>
          </w:p>
        </w:tc>
        <w:tc>
          <w:tcPr>
            <w:tcW w:w="400" w:type="pct"/>
            <w:vMerge/>
            <w:vAlign w:val="center"/>
          </w:tcPr>
          <w:p w14:paraId="06D9C941" w14:textId="77777777" w:rsidR="00A67F21" w:rsidRPr="00B12FE0" w:rsidRDefault="00A67F21">
            <w:pPr>
              <w:snapToGrid w:val="0"/>
              <w:jc w:val="center"/>
              <w:rPr>
                <w:color w:val="000000" w:themeColor="text1"/>
                <w:kern w:val="0"/>
                <w:sz w:val="21"/>
                <w:szCs w:val="21"/>
              </w:rPr>
            </w:pPr>
          </w:p>
        </w:tc>
        <w:tc>
          <w:tcPr>
            <w:tcW w:w="376" w:type="pct"/>
            <w:vMerge/>
            <w:vAlign w:val="center"/>
          </w:tcPr>
          <w:p w14:paraId="6C0A7FFA" w14:textId="77777777" w:rsidR="00A67F21" w:rsidRPr="00B12FE0" w:rsidRDefault="00A67F21">
            <w:pPr>
              <w:snapToGrid w:val="0"/>
              <w:jc w:val="center"/>
              <w:rPr>
                <w:color w:val="000000" w:themeColor="text1"/>
                <w:kern w:val="0"/>
                <w:sz w:val="21"/>
                <w:szCs w:val="21"/>
              </w:rPr>
            </w:pPr>
          </w:p>
        </w:tc>
        <w:tc>
          <w:tcPr>
            <w:tcW w:w="274" w:type="pct"/>
            <w:vMerge/>
            <w:vAlign w:val="center"/>
          </w:tcPr>
          <w:p w14:paraId="69DC90F4" w14:textId="77777777" w:rsidR="00A67F21" w:rsidRPr="00B12FE0" w:rsidRDefault="00A67F21">
            <w:pPr>
              <w:snapToGrid w:val="0"/>
              <w:jc w:val="center"/>
              <w:rPr>
                <w:color w:val="000000" w:themeColor="text1"/>
                <w:kern w:val="0"/>
                <w:sz w:val="21"/>
                <w:szCs w:val="21"/>
              </w:rPr>
            </w:pPr>
          </w:p>
        </w:tc>
        <w:tc>
          <w:tcPr>
            <w:tcW w:w="400" w:type="pct"/>
            <w:vMerge/>
            <w:vAlign w:val="center"/>
          </w:tcPr>
          <w:p w14:paraId="4DB1D9A6" w14:textId="77777777" w:rsidR="00A67F21" w:rsidRPr="00B12FE0" w:rsidRDefault="00A67F21">
            <w:pPr>
              <w:snapToGrid w:val="0"/>
              <w:jc w:val="center"/>
              <w:rPr>
                <w:color w:val="000000" w:themeColor="text1"/>
                <w:kern w:val="0"/>
                <w:sz w:val="21"/>
                <w:szCs w:val="21"/>
              </w:rPr>
            </w:pPr>
          </w:p>
        </w:tc>
        <w:tc>
          <w:tcPr>
            <w:tcW w:w="495" w:type="pct"/>
            <w:vAlign w:val="center"/>
          </w:tcPr>
          <w:p w14:paraId="3AF79C8E"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活度（</w:t>
            </w:r>
            <w:r w:rsidRPr="00B12FE0">
              <w:rPr>
                <w:color w:val="000000" w:themeColor="text1"/>
                <w:kern w:val="0"/>
                <w:sz w:val="21"/>
                <w:szCs w:val="21"/>
              </w:rPr>
              <w:t>Bq</w:t>
            </w:r>
            <w:r w:rsidRPr="00B12FE0">
              <w:rPr>
                <w:color w:val="000000" w:themeColor="text1"/>
                <w:kern w:val="0"/>
                <w:sz w:val="21"/>
                <w:szCs w:val="21"/>
              </w:rPr>
              <w:t>）</w:t>
            </w:r>
          </w:p>
        </w:tc>
        <w:tc>
          <w:tcPr>
            <w:tcW w:w="457" w:type="pct"/>
            <w:vAlign w:val="center"/>
          </w:tcPr>
          <w:p w14:paraId="483DD8F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贮存方式</w:t>
            </w:r>
          </w:p>
        </w:tc>
        <w:tc>
          <w:tcPr>
            <w:tcW w:w="406" w:type="pct"/>
            <w:vAlign w:val="center"/>
          </w:tcPr>
          <w:p w14:paraId="07B94C5B"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数量</w:t>
            </w:r>
          </w:p>
        </w:tc>
        <w:tc>
          <w:tcPr>
            <w:tcW w:w="277" w:type="pct"/>
            <w:vMerge/>
            <w:vAlign w:val="center"/>
          </w:tcPr>
          <w:p w14:paraId="6AB3039E" w14:textId="77777777" w:rsidR="00A67F21" w:rsidRPr="00B12FE0" w:rsidRDefault="00A67F21">
            <w:pPr>
              <w:pStyle w:val="TableParagraph"/>
              <w:autoSpaceDE/>
              <w:autoSpaceDN/>
              <w:ind w:left="138"/>
              <w:jc w:val="center"/>
              <w:rPr>
                <w:color w:val="000000" w:themeColor="text1"/>
                <w:sz w:val="21"/>
                <w:szCs w:val="21"/>
              </w:rPr>
            </w:pPr>
          </w:p>
        </w:tc>
      </w:tr>
      <w:tr w:rsidR="00A67F21" w:rsidRPr="00B12FE0" w14:paraId="731132AE" w14:textId="77777777">
        <w:trPr>
          <w:trHeight w:hRule="exact" w:val="510"/>
          <w:jc w:val="center"/>
        </w:trPr>
        <w:tc>
          <w:tcPr>
            <w:tcW w:w="151" w:type="pct"/>
            <w:vAlign w:val="center"/>
          </w:tcPr>
          <w:p w14:paraId="11516E84" w14:textId="77777777" w:rsidR="00A67F21" w:rsidRPr="00B12FE0" w:rsidRDefault="00000000">
            <w:pPr>
              <w:jc w:val="center"/>
              <w:rPr>
                <w:rFonts w:ascii="宋体" w:hAnsi="宋体" w:hint="eastAsia"/>
                <w:color w:val="000000" w:themeColor="text1"/>
                <w:sz w:val="21"/>
                <w:szCs w:val="21"/>
              </w:rPr>
            </w:pPr>
            <w:r w:rsidRPr="00B12FE0">
              <w:rPr>
                <w:rFonts w:ascii="宋体" w:hAnsi="宋体" w:hint="eastAsia"/>
                <w:color w:val="000000" w:themeColor="text1"/>
                <w:sz w:val="21"/>
                <w:szCs w:val="21"/>
              </w:rPr>
              <w:t>/</w:t>
            </w:r>
          </w:p>
        </w:tc>
        <w:tc>
          <w:tcPr>
            <w:tcW w:w="660" w:type="pct"/>
            <w:vAlign w:val="center"/>
          </w:tcPr>
          <w:p w14:paraId="7C096E94" w14:textId="77777777" w:rsidR="00A67F21" w:rsidRPr="00B12FE0" w:rsidRDefault="00000000">
            <w:pPr>
              <w:jc w:val="center"/>
              <w:rPr>
                <w:rFonts w:ascii="宋体" w:hAnsi="宋体" w:hint="eastAsia"/>
                <w:color w:val="000000" w:themeColor="text1"/>
                <w:sz w:val="21"/>
                <w:szCs w:val="21"/>
              </w:rPr>
            </w:pPr>
            <w:r w:rsidRPr="00B12FE0">
              <w:rPr>
                <w:rFonts w:ascii="宋体" w:hAnsi="宋体" w:hint="eastAsia"/>
                <w:color w:val="000000" w:themeColor="text1"/>
                <w:sz w:val="21"/>
                <w:szCs w:val="21"/>
              </w:rPr>
              <w:t>/</w:t>
            </w:r>
          </w:p>
        </w:tc>
        <w:tc>
          <w:tcPr>
            <w:tcW w:w="153" w:type="pct"/>
            <w:vAlign w:val="center"/>
          </w:tcPr>
          <w:p w14:paraId="10E41F8D"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151" w:type="pct"/>
            <w:vAlign w:val="center"/>
          </w:tcPr>
          <w:p w14:paraId="1A9B1A66"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400" w:type="pct"/>
            <w:vAlign w:val="center"/>
          </w:tcPr>
          <w:p w14:paraId="4B507B0B"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400" w:type="pct"/>
            <w:vAlign w:val="center"/>
          </w:tcPr>
          <w:p w14:paraId="698D337A"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400" w:type="pct"/>
            <w:vAlign w:val="center"/>
          </w:tcPr>
          <w:p w14:paraId="68FCD165"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376" w:type="pct"/>
            <w:vAlign w:val="center"/>
          </w:tcPr>
          <w:p w14:paraId="45F9F61E"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274" w:type="pct"/>
            <w:vAlign w:val="center"/>
          </w:tcPr>
          <w:p w14:paraId="2163C25B"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400" w:type="pct"/>
            <w:vAlign w:val="center"/>
          </w:tcPr>
          <w:p w14:paraId="0B23CE4A"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495" w:type="pct"/>
            <w:vAlign w:val="center"/>
          </w:tcPr>
          <w:p w14:paraId="77ADAD51"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457" w:type="pct"/>
            <w:vAlign w:val="center"/>
          </w:tcPr>
          <w:p w14:paraId="5CDF04B8"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406" w:type="pct"/>
            <w:vAlign w:val="center"/>
          </w:tcPr>
          <w:p w14:paraId="72C4F044" w14:textId="77777777" w:rsidR="00A67F21" w:rsidRPr="00B12FE0" w:rsidRDefault="00000000">
            <w:pPr>
              <w:snapToGrid w:val="0"/>
              <w:jc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w:t>
            </w:r>
          </w:p>
        </w:tc>
        <w:tc>
          <w:tcPr>
            <w:tcW w:w="277" w:type="pct"/>
            <w:vAlign w:val="center"/>
          </w:tcPr>
          <w:p w14:paraId="0842505A" w14:textId="77777777" w:rsidR="00A67F21" w:rsidRPr="00B12FE0" w:rsidRDefault="00000000">
            <w:pPr>
              <w:jc w:val="center"/>
              <w:rPr>
                <w:rFonts w:ascii="宋体" w:hAnsi="宋体" w:hint="eastAsia"/>
                <w:color w:val="000000" w:themeColor="text1"/>
                <w:sz w:val="21"/>
                <w:szCs w:val="21"/>
              </w:rPr>
            </w:pPr>
            <w:r w:rsidRPr="00B12FE0">
              <w:rPr>
                <w:rFonts w:ascii="宋体" w:hAnsi="宋体" w:hint="eastAsia"/>
                <w:color w:val="000000" w:themeColor="text1"/>
                <w:sz w:val="21"/>
                <w:szCs w:val="21"/>
              </w:rPr>
              <w:t>/</w:t>
            </w:r>
          </w:p>
        </w:tc>
      </w:tr>
    </w:tbl>
    <w:p w14:paraId="75D240EF" w14:textId="77777777" w:rsidR="00A67F21" w:rsidRPr="00B12FE0" w:rsidRDefault="00A67F21">
      <w:pPr>
        <w:spacing w:before="120" w:after="120"/>
        <w:rPr>
          <w:b/>
          <w:color w:val="000000" w:themeColor="text1"/>
          <w:sz w:val="32"/>
          <w:szCs w:val="32"/>
        </w:rPr>
        <w:sectPr w:rsidR="00A67F21" w:rsidRPr="00B12FE0">
          <w:pgSz w:w="16840" w:h="11907" w:orient="landscape"/>
          <w:pgMar w:top="1440" w:right="1440" w:bottom="1440" w:left="1440" w:header="851" w:footer="851" w:gutter="0"/>
          <w:cols w:space="720"/>
          <w:docGrid w:linePitch="332"/>
        </w:sectPr>
      </w:pPr>
      <w:bookmarkStart w:id="8" w:name="_Toc12028"/>
    </w:p>
    <w:p w14:paraId="1E11F741" w14:textId="77777777" w:rsidR="00A67F21" w:rsidRPr="00B12FE0" w:rsidRDefault="00000000">
      <w:pPr>
        <w:spacing w:line="360" w:lineRule="auto"/>
        <w:outlineLvl w:val="0"/>
        <w:rPr>
          <w:b/>
          <w:color w:val="000000" w:themeColor="text1"/>
          <w:sz w:val="32"/>
          <w:szCs w:val="32"/>
        </w:rPr>
      </w:pPr>
      <w:r w:rsidRPr="00B12FE0">
        <w:rPr>
          <w:b/>
          <w:color w:val="000000" w:themeColor="text1"/>
          <w:sz w:val="32"/>
          <w:szCs w:val="32"/>
        </w:rPr>
        <w:lastRenderedPageBreak/>
        <w:t>表</w:t>
      </w:r>
      <w:r w:rsidRPr="00B12FE0">
        <w:rPr>
          <w:b/>
          <w:color w:val="000000" w:themeColor="text1"/>
          <w:sz w:val="32"/>
          <w:szCs w:val="32"/>
        </w:rPr>
        <w:t xml:space="preserve">5 </w:t>
      </w:r>
      <w:r w:rsidRPr="00B12FE0">
        <w:rPr>
          <w:b/>
          <w:color w:val="000000" w:themeColor="text1"/>
          <w:sz w:val="32"/>
          <w:szCs w:val="32"/>
        </w:rPr>
        <w:t>废弃物（重点是放射性废弃物）</w:t>
      </w:r>
      <w:bookmarkEnd w:id="8"/>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788"/>
        <w:gridCol w:w="851"/>
        <w:gridCol w:w="1132"/>
        <w:gridCol w:w="711"/>
        <w:gridCol w:w="742"/>
        <w:gridCol w:w="1157"/>
        <w:gridCol w:w="1361"/>
        <w:gridCol w:w="1726"/>
        <w:gridCol w:w="3575"/>
      </w:tblGrid>
      <w:tr w:rsidR="00A67F21" w:rsidRPr="00B12FE0" w14:paraId="57B01F26" w14:textId="77777777">
        <w:trPr>
          <w:trHeight w:val="20"/>
          <w:jc w:val="center"/>
        </w:trPr>
        <w:tc>
          <w:tcPr>
            <w:tcW w:w="964" w:type="pct"/>
            <w:gridSpan w:val="2"/>
            <w:vAlign w:val="center"/>
          </w:tcPr>
          <w:p w14:paraId="324737C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名称</w:t>
            </w:r>
          </w:p>
        </w:tc>
        <w:tc>
          <w:tcPr>
            <w:tcW w:w="305" w:type="pct"/>
            <w:vAlign w:val="center"/>
          </w:tcPr>
          <w:p w14:paraId="7133ABD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状态</w:t>
            </w:r>
          </w:p>
        </w:tc>
        <w:tc>
          <w:tcPr>
            <w:tcW w:w="406" w:type="pct"/>
            <w:vAlign w:val="center"/>
          </w:tcPr>
          <w:p w14:paraId="6654ACE0"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核素名称</w:t>
            </w:r>
          </w:p>
        </w:tc>
        <w:tc>
          <w:tcPr>
            <w:tcW w:w="255" w:type="pct"/>
            <w:vAlign w:val="center"/>
          </w:tcPr>
          <w:p w14:paraId="5978EFC1"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活度</w:t>
            </w:r>
          </w:p>
        </w:tc>
        <w:tc>
          <w:tcPr>
            <w:tcW w:w="266" w:type="pct"/>
            <w:vAlign w:val="center"/>
          </w:tcPr>
          <w:p w14:paraId="0F92ABE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月排放量</w:t>
            </w:r>
          </w:p>
        </w:tc>
        <w:tc>
          <w:tcPr>
            <w:tcW w:w="415" w:type="pct"/>
            <w:vAlign w:val="center"/>
          </w:tcPr>
          <w:p w14:paraId="08D9D999"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年排放总量</w:t>
            </w:r>
          </w:p>
        </w:tc>
        <w:tc>
          <w:tcPr>
            <w:tcW w:w="488" w:type="pct"/>
            <w:vAlign w:val="center"/>
          </w:tcPr>
          <w:p w14:paraId="287D6ECB"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排放口</w:t>
            </w:r>
          </w:p>
          <w:p w14:paraId="6F101BA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浓度</w:t>
            </w:r>
          </w:p>
        </w:tc>
        <w:tc>
          <w:tcPr>
            <w:tcW w:w="619" w:type="pct"/>
            <w:vAlign w:val="center"/>
          </w:tcPr>
          <w:p w14:paraId="58023241"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暂存情况</w:t>
            </w:r>
          </w:p>
        </w:tc>
        <w:tc>
          <w:tcPr>
            <w:tcW w:w="1282" w:type="pct"/>
            <w:vAlign w:val="center"/>
          </w:tcPr>
          <w:p w14:paraId="674EDE39"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最终去向</w:t>
            </w:r>
          </w:p>
        </w:tc>
      </w:tr>
      <w:tr w:rsidR="00A67F21" w:rsidRPr="00B12FE0" w14:paraId="1B6717D6" w14:textId="77777777">
        <w:trPr>
          <w:trHeight w:val="20"/>
          <w:jc w:val="center"/>
        </w:trPr>
        <w:tc>
          <w:tcPr>
            <w:tcW w:w="964" w:type="pct"/>
            <w:gridSpan w:val="2"/>
            <w:vAlign w:val="center"/>
          </w:tcPr>
          <w:p w14:paraId="1AA7EAF8"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核医学放射性废水</w:t>
            </w:r>
          </w:p>
        </w:tc>
        <w:tc>
          <w:tcPr>
            <w:tcW w:w="305" w:type="pct"/>
            <w:vAlign w:val="center"/>
          </w:tcPr>
          <w:p w14:paraId="36EDF0BB"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液态</w:t>
            </w:r>
          </w:p>
        </w:tc>
        <w:tc>
          <w:tcPr>
            <w:tcW w:w="406" w:type="pct"/>
            <w:vAlign w:val="center"/>
          </w:tcPr>
          <w:p w14:paraId="6138F818" w14:textId="77777777" w:rsidR="00A67F21" w:rsidRPr="00B12FE0" w:rsidRDefault="00000000">
            <w:pPr>
              <w:jc w:val="center"/>
              <w:rPr>
                <w:color w:val="000000" w:themeColor="text1"/>
                <w:sz w:val="21"/>
                <w:szCs w:val="21"/>
              </w:rPr>
            </w:pPr>
            <w:r w:rsidRPr="00B12FE0">
              <w:rPr>
                <w:color w:val="000000" w:themeColor="text1"/>
                <w:sz w:val="21"/>
                <w:szCs w:val="21"/>
                <w:vertAlign w:val="superscript"/>
              </w:rPr>
              <w:t>99m</w:t>
            </w:r>
            <w:r w:rsidRPr="00B12FE0">
              <w:rPr>
                <w:color w:val="000000" w:themeColor="text1"/>
                <w:sz w:val="21"/>
                <w:szCs w:val="21"/>
              </w:rPr>
              <w:t>Tc</w:t>
            </w:r>
            <w:r w:rsidRPr="00B12FE0">
              <w:rPr>
                <w:rFonts w:hint="eastAsia"/>
                <w:color w:val="000000" w:themeColor="text1"/>
                <w:sz w:val="21"/>
                <w:szCs w:val="21"/>
              </w:rPr>
              <w:t>、</w:t>
            </w:r>
            <w:r w:rsidRPr="00B12FE0">
              <w:rPr>
                <w:color w:val="000000" w:themeColor="text1"/>
                <w:sz w:val="21"/>
                <w:szCs w:val="21"/>
                <w:vertAlign w:val="superscript"/>
              </w:rPr>
              <w:t>18</w:t>
            </w:r>
            <w:r w:rsidRPr="00B12FE0">
              <w:rPr>
                <w:color w:val="000000" w:themeColor="text1"/>
                <w:sz w:val="21"/>
                <w:szCs w:val="21"/>
              </w:rPr>
              <w:t>F</w:t>
            </w:r>
            <w:r w:rsidRPr="00B12FE0">
              <w:rPr>
                <w:rFonts w:hint="eastAsia"/>
                <w:color w:val="000000" w:themeColor="text1"/>
                <w:sz w:val="21"/>
                <w:szCs w:val="21"/>
              </w:rPr>
              <w:t>、</w:t>
            </w:r>
            <w:r w:rsidRPr="00B12FE0">
              <w:rPr>
                <w:rFonts w:hAnsi="宋体"/>
                <w:bCs/>
                <w:color w:val="000000" w:themeColor="text1"/>
                <w:sz w:val="21"/>
                <w:szCs w:val="21"/>
                <w:vertAlign w:val="superscript"/>
              </w:rPr>
              <w:t>1</w:t>
            </w:r>
            <w:r w:rsidRPr="00B12FE0">
              <w:rPr>
                <w:rFonts w:hAnsi="宋体" w:hint="eastAsia"/>
                <w:bCs/>
                <w:color w:val="000000" w:themeColor="text1"/>
                <w:sz w:val="21"/>
                <w:szCs w:val="21"/>
                <w:vertAlign w:val="superscript"/>
              </w:rPr>
              <w:t>31</w:t>
            </w:r>
            <w:r w:rsidRPr="00B12FE0">
              <w:rPr>
                <w:rFonts w:hAnsi="宋体" w:hint="eastAsia"/>
                <w:bCs/>
                <w:color w:val="000000" w:themeColor="text1"/>
                <w:sz w:val="21"/>
                <w:szCs w:val="21"/>
              </w:rPr>
              <w:t>I</w:t>
            </w:r>
          </w:p>
        </w:tc>
        <w:tc>
          <w:tcPr>
            <w:tcW w:w="255" w:type="pct"/>
            <w:vAlign w:val="center"/>
          </w:tcPr>
          <w:p w14:paraId="6192997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266" w:type="pct"/>
            <w:vAlign w:val="center"/>
          </w:tcPr>
          <w:p w14:paraId="501667E2"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415" w:type="pct"/>
            <w:vAlign w:val="center"/>
          </w:tcPr>
          <w:p w14:paraId="069C3A66" w14:textId="77777777" w:rsidR="00A67F21" w:rsidRPr="00B12FE0" w:rsidRDefault="00000000">
            <w:pPr>
              <w:jc w:val="center"/>
              <w:rPr>
                <w:snapToGrid w:val="0"/>
                <w:color w:val="000000" w:themeColor="text1"/>
                <w:kern w:val="0"/>
                <w:sz w:val="21"/>
                <w:szCs w:val="21"/>
              </w:rPr>
            </w:pPr>
            <w:r w:rsidRPr="00B12FE0">
              <w:rPr>
                <w:rFonts w:hint="eastAsia"/>
                <w:color w:val="000000" w:themeColor="text1"/>
                <w:sz w:val="21"/>
                <w:szCs w:val="21"/>
              </w:rPr>
              <w:t>370</w:t>
            </w:r>
            <w:r w:rsidRPr="00B12FE0">
              <w:rPr>
                <w:color w:val="000000" w:themeColor="text1"/>
                <w:kern w:val="0"/>
                <w:sz w:val="21"/>
                <w:szCs w:val="21"/>
              </w:rPr>
              <w:t>m</w:t>
            </w:r>
            <w:r w:rsidRPr="00B12FE0">
              <w:rPr>
                <w:color w:val="000000" w:themeColor="text1"/>
                <w:kern w:val="0"/>
                <w:sz w:val="21"/>
                <w:szCs w:val="21"/>
                <w:vertAlign w:val="superscript"/>
              </w:rPr>
              <w:t>3</w:t>
            </w:r>
            <w:r w:rsidRPr="00B12FE0">
              <w:rPr>
                <w:color w:val="000000" w:themeColor="text1"/>
                <w:kern w:val="0"/>
                <w:sz w:val="21"/>
                <w:szCs w:val="21"/>
              </w:rPr>
              <w:t>/a</w:t>
            </w:r>
          </w:p>
        </w:tc>
        <w:tc>
          <w:tcPr>
            <w:tcW w:w="488" w:type="pct"/>
            <w:vAlign w:val="center"/>
          </w:tcPr>
          <w:p w14:paraId="327900BF"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总</w:t>
            </w:r>
            <w:r w:rsidRPr="00B12FE0">
              <w:rPr>
                <w:color w:val="000000" w:themeColor="text1"/>
                <w:kern w:val="0"/>
                <w:sz w:val="21"/>
                <w:szCs w:val="21"/>
              </w:rPr>
              <w:t>α≤1Bq/L</w:t>
            </w:r>
            <w:r w:rsidRPr="00B12FE0">
              <w:rPr>
                <w:color w:val="000000" w:themeColor="text1"/>
                <w:kern w:val="0"/>
                <w:sz w:val="21"/>
                <w:szCs w:val="21"/>
              </w:rPr>
              <w:t>总</w:t>
            </w:r>
            <w:r w:rsidRPr="00B12FE0">
              <w:rPr>
                <w:color w:val="000000" w:themeColor="text1"/>
                <w:kern w:val="0"/>
                <w:sz w:val="21"/>
                <w:szCs w:val="21"/>
              </w:rPr>
              <w:t>β≤10Bq/L</w:t>
            </w:r>
          </w:p>
          <w:p w14:paraId="671E60DF" w14:textId="77777777" w:rsidR="00A67F21" w:rsidRPr="00B12FE0" w:rsidRDefault="00000000">
            <w:pPr>
              <w:jc w:val="center"/>
              <w:rPr>
                <w:snapToGrid w:val="0"/>
                <w:color w:val="000000" w:themeColor="text1"/>
                <w:kern w:val="0"/>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color w:val="000000" w:themeColor="text1"/>
                <w:kern w:val="0"/>
                <w:sz w:val="21"/>
                <w:szCs w:val="21"/>
              </w:rPr>
              <w:t>活度浓度</w:t>
            </w:r>
            <w:r w:rsidRPr="00B12FE0">
              <w:rPr>
                <w:color w:val="000000" w:themeColor="text1"/>
                <w:kern w:val="0"/>
                <w:sz w:val="21"/>
                <w:szCs w:val="21"/>
              </w:rPr>
              <w:t>≤10Bq/L</w:t>
            </w:r>
          </w:p>
        </w:tc>
        <w:tc>
          <w:tcPr>
            <w:tcW w:w="619" w:type="pct"/>
            <w:vAlign w:val="center"/>
          </w:tcPr>
          <w:p w14:paraId="137741C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暂存于</w:t>
            </w:r>
            <w:r w:rsidRPr="00B12FE0">
              <w:rPr>
                <w:rFonts w:hint="eastAsia"/>
                <w:color w:val="000000" w:themeColor="text1"/>
                <w:kern w:val="0"/>
                <w:sz w:val="21"/>
                <w:szCs w:val="21"/>
              </w:rPr>
              <w:t>3</w:t>
            </w:r>
            <w:r w:rsidRPr="00B12FE0">
              <w:rPr>
                <w:color w:val="000000" w:themeColor="text1"/>
                <w:kern w:val="0"/>
                <w:sz w:val="21"/>
                <w:szCs w:val="21"/>
              </w:rPr>
              <w:t>个并联衰变池中</w:t>
            </w:r>
          </w:p>
        </w:tc>
        <w:tc>
          <w:tcPr>
            <w:tcW w:w="1282" w:type="pct"/>
            <w:vAlign w:val="center"/>
          </w:tcPr>
          <w:p w14:paraId="61231EF2" w14:textId="77777777" w:rsidR="00A67F21" w:rsidRPr="00B12FE0" w:rsidRDefault="00000000">
            <w:pPr>
              <w:snapToGrid w:val="0"/>
              <w:jc w:val="center"/>
              <w:rPr>
                <w:color w:val="000000" w:themeColor="text1"/>
                <w:kern w:val="0"/>
                <w:sz w:val="21"/>
                <w:szCs w:val="21"/>
              </w:rPr>
            </w:pPr>
            <w:r w:rsidRPr="00B12FE0">
              <w:rPr>
                <w:bCs/>
                <w:color w:val="000000" w:themeColor="text1"/>
                <w:sz w:val="21"/>
                <w:szCs w:val="21"/>
              </w:rPr>
              <w:t>在</w:t>
            </w:r>
            <w:r w:rsidRPr="00B12FE0">
              <w:rPr>
                <w:color w:val="000000" w:themeColor="text1"/>
                <w:sz w:val="21"/>
                <w:szCs w:val="21"/>
              </w:rPr>
              <w:t>衰变池暂存</w:t>
            </w:r>
            <w:r w:rsidRPr="00B12FE0">
              <w:rPr>
                <w:rFonts w:hint="eastAsia"/>
                <w:bCs/>
                <w:color w:val="000000" w:themeColor="text1"/>
                <w:sz w:val="21"/>
                <w:szCs w:val="21"/>
              </w:rPr>
              <w:t>224</w:t>
            </w:r>
            <w:r w:rsidRPr="00B12FE0">
              <w:rPr>
                <w:bCs/>
                <w:color w:val="000000" w:themeColor="text1"/>
                <w:sz w:val="21"/>
                <w:szCs w:val="21"/>
              </w:rPr>
              <w:t>天</w:t>
            </w:r>
            <w:r w:rsidRPr="00B12FE0">
              <w:rPr>
                <w:rFonts w:hint="eastAsia"/>
                <w:bCs/>
                <w:color w:val="000000" w:themeColor="text1"/>
                <w:sz w:val="21"/>
                <w:szCs w:val="21"/>
              </w:rPr>
              <w:t>后</w:t>
            </w:r>
            <w:r w:rsidRPr="00B12FE0">
              <w:rPr>
                <w:rFonts w:hint="eastAsia"/>
                <w:color w:val="000000" w:themeColor="text1"/>
                <w:sz w:val="21"/>
                <w:szCs w:val="21"/>
              </w:rPr>
              <w:t>可排入医院污水处理系统进一步处理</w:t>
            </w:r>
          </w:p>
        </w:tc>
      </w:tr>
      <w:tr w:rsidR="00A67F21" w:rsidRPr="00B12FE0" w14:paraId="5FA4826D" w14:textId="77777777">
        <w:trPr>
          <w:trHeight w:val="20"/>
          <w:jc w:val="center"/>
        </w:trPr>
        <w:tc>
          <w:tcPr>
            <w:tcW w:w="323" w:type="pct"/>
            <w:vMerge w:val="restart"/>
            <w:vAlign w:val="center"/>
          </w:tcPr>
          <w:p w14:paraId="5D0A3220"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放射性固废</w:t>
            </w:r>
            <w:r w:rsidRPr="00B12FE0">
              <w:rPr>
                <w:rFonts w:hint="eastAsia"/>
                <w:color w:val="000000" w:themeColor="text1"/>
                <w:kern w:val="0"/>
                <w:sz w:val="21"/>
                <w:szCs w:val="21"/>
              </w:rPr>
              <w:t>（核医学科）</w:t>
            </w:r>
          </w:p>
        </w:tc>
        <w:tc>
          <w:tcPr>
            <w:tcW w:w="641" w:type="pct"/>
            <w:vAlign w:val="center"/>
          </w:tcPr>
          <w:p w14:paraId="6B31D71B" w14:textId="77777777" w:rsidR="00A67F21" w:rsidRPr="00B12FE0" w:rsidRDefault="00000000">
            <w:pPr>
              <w:snapToGrid w:val="0"/>
              <w:rPr>
                <w:color w:val="000000" w:themeColor="text1"/>
                <w:kern w:val="0"/>
                <w:sz w:val="21"/>
                <w:szCs w:val="21"/>
              </w:rPr>
            </w:pPr>
            <w:r w:rsidRPr="00B12FE0">
              <w:rPr>
                <w:rFonts w:hint="eastAsia"/>
                <w:color w:val="000000" w:themeColor="text1"/>
                <w:kern w:val="0"/>
                <w:sz w:val="21"/>
                <w:szCs w:val="21"/>
              </w:rPr>
              <w:t>树脂、滤膜、操作手套、口罩、棉签、滤纸、清洁去污时用过的抹布、一次性注射器、废棉签、试纸、口罩、手套等</w:t>
            </w:r>
          </w:p>
        </w:tc>
        <w:tc>
          <w:tcPr>
            <w:tcW w:w="305" w:type="pct"/>
            <w:vMerge w:val="restart"/>
            <w:vAlign w:val="center"/>
          </w:tcPr>
          <w:p w14:paraId="72160CB5"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固态</w:t>
            </w:r>
          </w:p>
        </w:tc>
        <w:tc>
          <w:tcPr>
            <w:tcW w:w="406" w:type="pct"/>
            <w:vMerge w:val="restart"/>
            <w:vAlign w:val="center"/>
          </w:tcPr>
          <w:p w14:paraId="52F27D27" w14:textId="0C936E52" w:rsidR="00A67F21" w:rsidRPr="00B12FE0" w:rsidRDefault="00000000">
            <w:pPr>
              <w:jc w:val="center"/>
              <w:rPr>
                <w:color w:val="000000" w:themeColor="text1"/>
                <w:sz w:val="21"/>
                <w:szCs w:val="21"/>
              </w:rPr>
            </w:pPr>
            <w:r w:rsidRPr="00B12FE0">
              <w:rPr>
                <w:color w:val="000000" w:themeColor="text1"/>
                <w:sz w:val="21"/>
                <w:szCs w:val="21"/>
                <w:vertAlign w:val="superscript"/>
              </w:rPr>
              <w:t>99m</w:t>
            </w:r>
            <w:r w:rsidRPr="00B12FE0">
              <w:rPr>
                <w:color w:val="000000" w:themeColor="text1"/>
                <w:sz w:val="21"/>
                <w:szCs w:val="21"/>
              </w:rPr>
              <w:t>Tc</w:t>
            </w:r>
            <w:r w:rsidRPr="00B12FE0">
              <w:rPr>
                <w:rFonts w:hint="eastAsia"/>
                <w:color w:val="000000" w:themeColor="text1"/>
                <w:sz w:val="21"/>
                <w:szCs w:val="21"/>
              </w:rPr>
              <w:t>、</w:t>
            </w:r>
            <w:r w:rsidRPr="00B12FE0">
              <w:rPr>
                <w:color w:val="000000" w:themeColor="text1"/>
                <w:sz w:val="21"/>
                <w:szCs w:val="21"/>
                <w:vertAlign w:val="superscript"/>
              </w:rPr>
              <w:t>18</w:t>
            </w:r>
            <w:r w:rsidRPr="00B12FE0">
              <w:rPr>
                <w:color w:val="000000" w:themeColor="text1"/>
                <w:sz w:val="21"/>
                <w:szCs w:val="21"/>
              </w:rPr>
              <w:t>F</w:t>
            </w:r>
            <w:r w:rsidRPr="00B12FE0">
              <w:rPr>
                <w:rFonts w:hint="eastAsia"/>
                <w:color w:val="000000" w:themeColor="text1"/>
                <w:sz w:val="21"/>
                <w:szCs w:val="21"/>
              </w:rPr>
              <w:t>、</w:t>
            </w:r>
            <w:r w:rsidRPr="00B12FE0">
              <w:rPr>
                <w:rFonts w:hAnsi="宋体"/>
                <w:bCs/>
                <w:color w:val="000000" w:themeColor="text1"/>
                <w:sz w:val="21"/>
                <w:szCs w:val="21"/>
                <w:vertAlign w:val="superscript"/>
              </w:rPr>
              <w:t>1</w:t>
            </w:r>
            <w:r w:rsidRPr="00B12FE0">
              <w:rPr>
                <w:rFonts w:hAnsi="宋体" w:hint="eastAsia"/>
                <w:bCs/>
                <w:color w:val="000000" w:themeColor="text1"/>
                <w:sz w:val="21"/>
                <w:szCs w:val="21"/>
                <w:vertAlign w:val="superscript"/>
              </w:rPr>
              <w:t>31</w:t>
            </w:r>
            <w:r w:rsidRPr="00B12FE0">
              <w:rPr>
                <w:rFonts w:hAnsi="宋体" w:hint="eastAsia"/>
                <w:bCs/>
                <w:color w:val="000000" w:themeColor="text1"/>
                <w:sz w:val="21"/>
                <w:szCs w:val="21"/>
              </w:rPr>
              <w:t>I</w:t>
            </w:r>
            <w:r w:rsidRPr="00B12FE0">
              <w:rPr>
                <w:rFonts w:hint="eastAsia"/>
                <w:color w:val="000000" w:themeColor="text1"/>
                <w:sz w:val="21"/>
                <w:szCs w:val="21"/>
                <w:vertAlign w:val="superscript"/>
              </w:rPr>
              <w:t xml:space="preserve"> </w:t>
            </w:r>
            <w:r w:rsidRPr="00B12FE0">
              <w:rPr>
                <w:rFonts w:hint="eastAsia"/>
                <w:color w:val="000000" w:themeColor="text1"/>
                <w:sz w:val="21"/>
                <w:szCs w:val="21"/>
              </w:rPr>
              <w:t>、</w:t>
            </w:r>
            <w:r w:rsidRPr="00B12FE0">
              <w:rPr>
                <w:rFonts w:hint="eastAsia"/>
                <w:color w:val="000000" w:themeColor="text1"/>
                <w:sz w:val="21"/>
                <w:szCs w:val="21"/>
                <w:vertAlign w:val="superscript"/>
              </w:rPr>
              <w:t>32</w:t>
            </w:r>
            <w:r w:rsidRPr="00B12FE0">
              <w:rPr>
                <w:rFonts w:hint="eastAsia"/>
                <w:color w:val="000000" w:themeColor="text1"/>
                <w:sz w:val="21"/>
                <w:szCs w:val="21"/>
              </w:rPr>
              <w:t>P</w:t>
            </w:r>
          </w:p>
        </w:tc>
        <w:tc>
          <w:tcPr>
            <w:tcW w:w="255" w:type="pct"/>
            <w:vAlign w:val="center"/>
          </w:tcPr>
          <w:p w14:paraId="3BB835AF"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266" w:type="pct"/>
            <w:vAlign w:val="center"/>
          </w:tcPr>
          <w:p w14:paraId="24F03F5C"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415" w:type="pct"/>
            <w:vAlign w:val="center"/>
          </w:tcPr>
          <w:p w14:paraId="2FBB7C86"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1962.5</w:t>
            </w:r>
            <w:r w:rsidRPr="00B12FE0">
              <w:rPr>
                <w:color w:val="000000" w:themeColor="text1"/>
                <w:kern w:val="0"/>
                <w:sz w:val="21"/>
                <w:szCs w:val="21"/>
              </w:rPr>
              <w:t>kg/a</w:t>
            </w:r>
          </w:p>
        </w:tc>
        <w:tc>
          <w:tcPr>
            <w:tcW w:w="488" w:type="pct"/>
            <w:vAlign w:val="center"/>
          </w:tcPr>
          <w:p w14:paraId="46A4DAD3" w14:textId="77777777" w:rsidR="00A67F21" w:rsidRPr="00B12FE0" w:rsidRDefault="00000000">
            <w:pPr>
              <w:pStyle w:val="TableParagraph"/>
              <w:autoSpaceDE/>
              <w:autoSpaceDN/>
              <w:contextualSpacing/>
              <w:jc w:val="center"/>
              <w:rPr>
                <w:color w:val="000000" w:themeColor="text1"/>
                <w:spacing w:val="-20"/>
                <w:sz w:val="21"/>
                <w:szCs w:val="21"/>
              </w:rPr>
            </w:pPr>
            <w:r w:rsidRPr="00B12FE0">
              <w:rPr>
                <w:rFonts w:hint="eastAsia"/>
                <w:color w:val="000000" w:themeColor="text1"/>
                <w:spacing w:val="-20"/>
                <w:sz w:val="21"/>
                <w:szCs w:val="21"/>
              </w:rPr>
              <w:t>/</w:t>
            </w:r>
          </w:p>
        </w:tc>
        <w:tc>
          <w:tcPr>
            <w:tcW w:w="619" w:type="pct"/>
            <w:vMerge w:val="restart"/>
            <w:vAlign w:val="center"/>
          </w:tcPr>
          <w:p w14:paraId="3D6BA8B2"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暂存于各工作场所废物间内</w:t>
            </w:r>
          </w:p>
        </w:tc>
        <w:tc>
          <w:tcPr>
            <w:tcW w:w="1282" w:type="pct"/>
            <w:vMerge w:val="restart"/>
            <w:vAlign w:val="center"/>
          </w:tcPr>
          <w:p w14:paraId="6633788C" w14:textId="77777777" w:rsidR="00A67F21" w:rsidRPr="00B12FE0" w:rsidRDefault="00000000">
            <w:pPr>
              <w:snapToGrid w:val="0"/>
              <w:rPr>
                <w:color w:val="000000" w:themeColor="text1"/>
                <w:kern w:val="0"/>
                <w:sz w:val="21"/>
                <w:szCs w:val="21"/>
              </w:rPr>
            </w:pPr>
            <w:r w:rsidRPr="00B12FE0">
              <w:rPr>
                <w:color w:val="000000" w:themeColor="text1"/>
                <w:sz w:val="21"/>
                <w:szCs w:val="21"/>
              </w:rPr>
              <w:t>含</w:t>
            </w:r>
            <w:r w:rsidRPr="00B12FE0">
              <w:rPr>
                <w:color w:val="000000" w:themeColor="text1"/>
                <w:sz w:val="21"/>
                <w:szCs w:val="21"/>
                <w:vertAlign w:val="superscript"/>
              </w:rPr>
              <w:t>99m</w:t>
            </w:r>
            <w:r w:rsidRPr="00B12FE0">
              <w:rPr>
                <w:color w:val="000000" w:themeColor="text1"/>
                <w:sz w:val="21"/>
                <w:szCs w:val="21"/>
              </w:rPr>
              <w:t>Tc</w:t>
            </w:r>
            <w:r w:rsidRPr="00B12FE0">
              <w:rPr>
                <w:color w:val="000000" w:themeColor="text1"/>
                <w:sz w:val="21"/>
                <w:szCs w:val="21"/>
              </w:rPr>
              <w:t>、</w:t>
            </w:r>
            <w:r w:rsidRPr="00B12FE0">
              <w:rPr>
                <w:color w:val="000000" w:themeColor="text1"/>
                <w:sz w:val="21"/>
                <w:szCs w:val="21"/>
                <w:vertAlign w:val="superscript"/>
              </w:rPr>
              <w:t>18</w:t>
            </w:r>
            <w:r w:rsidRPr="00B12FE0">
              <w:rPr>
                <w:color w:val="000000" w:themeColor="text1"/>
                <w:sz w:val="21"/>
                <w:szCs w:val="21"/>
              </w:rPr>
              <w:t>F</w:t>
            </w:r>
            <w:r w:rsidRPr="00B12FE0">
              <w:rPr>
                <w:color w:val="000000" w:themeColor="text1"/>
                <w:sz w:val="21"/>
                <w:szCs w:val="21"/>
              </w:rPr>
              <w:t>核素的</w:t>
            </w:r>
            <w:r w:rsidRPr="00B12FE0">
              <w:rPr>
                <w:rFonts w:hint="eastAsia"/>
                <w:color w:val="000000" w:themeColor="text1"/>
                <w:sz w:val="21"/>
                <w:szCs w:val="21"/>
              </w:rPr>
              <w:t>放射性</w:t>
            </w:r>
            <w:r w:rsidRPr="00B12FE0">
              <w:rPr>
                <w:color w:val="000000" w:themeColor="text1"/>
                <w:sz w:val="21"/>
                <w:szCs w:val="21"/>
              </w:rPr>
              <w:t>固废</w:t>
            </w:r>
            <w:r w:rsidRPr="00B12FE0">
              <w:rPr>
                <w:rFonts w:hint="eastAsia"/>
                <w:color w:val="000000" w:themeColor="text1"/>
                <w:sz w:val="21"/>
                <w:szCs w:val="21"/>
              </w:rPr>
              <w:t>暂存时间超过</w:t>
            </w:r>
            <w:r w:rsidRPr="00B12FE0">
              <w:rPr>
                <w:color w:val="000000" w:themeColor="text1"/>
                <w:sz w:val="21"/>
                <w:szCs w:val="21"/>
              </w:rPr>
              <w:t>30</w:t>
            </w:r>
            <w:r w:rsidRPr="00B12FE0">
              <w:rPr>
                <w:color w:val="000000" w:themeColor="text1"/>
                <w:sz w:val="21"/>
                <w:szCs w:val="21"/>
              </w:rPr>
              <w:t>天，</w:t>
            </w:r>
            <w:r w:rsidRPr="00B12FE0">
              <w:rPr>
                <w:rFonts w:hint="eastAsia"/>
                <w:color w:val="000000" w:themeColor="text1"/>
                <w:sz w:val="21"/>
                <w:szCs w:val="21"/>
              </w:rPr>
              <w:t>含</w:t>
            </w:r>
            <w:r w:rsidRPr="00B12FE0">
              <w:rPr>
                <w:color w:val="000000" w:themeColor="text1"/>
                <w:kern w:val="0"/>
                <w:sz w:val="21"/>
                <w:szCs w:val="21"/>
                <w:vertAlign w:val="superscript"/>
              </w:rPr>
              <w:t>32</w:t>
            </w:r>
            <w:r w:rsidRPr="00B12FE0">
              <w:rPr>
                <w:color w:val="000000" w:themeColor="text1"/>
                <w:kern w:val="0"/>
                <w:sz w:val="21"/>
                <w:szCs w:val="21"/>
              </w:rPr>
              <w:t>P</w:t>
            </w:r>
            <w:r w:rsidRPr="00B12FE0">
              <w:rPr>
                <w:rFonts w:hint="eastAsia"/>
                <w:color w:val="000000" w:themeColor="text1"/>
                <w:sz w:val="21"/>
                <w:szCs w:val="21"/>
              </w:rPr>
              <w:t>核素的放射性固废暂存超过</w:t>
            </w:r>
            <w:r w:rsidRPr="00B12FE0">
              <w:rPr>
                <w:rFonts w:hint="eastAsia"/>
                <w:color w:val="000000" w:themeColor="text1"/>
                <w:sz w:val="21"/>
                <w:szCs w:val="21"/>
              </w:rPr>
              <w:t>143</w:t>
            </w:r>
            <w:r w:rsidRPr="00B12FE0">
              <w:rPr>
                <w:rFonts w:hint="eastAsia"/>
                <w:color w:val="000000" w:themeColor="text1"/>
                <w:sz w:val="21"/>
                <w:szCs w:val="21"/>
              </w:rPr>
              <w:t>天（核素最长半衰期的</w:t>
            </w:r>
            <w:r w:rsidRPr="00B12FE0">
              <w:rPr>
                <w:rFonts w:hint="eastAsia"/>
                <w:color w:val="000000" w:themeColor="text1"/>
                <w:sz w:val="21"/>
                <w:szCs w:val="21"/>
              </w:rPr>
              <w:t>1</w:t>
            </w:r>
            <w:r w:rsidRPr="00B12FE0">
              <w:rPr>
                <w:color w:val="000000" w:themeColor="text1"/>
                <w:sz w:val="21"/>
                <w:szCs w:val="21"/>
              </w:rPr>
              <w:t>0</w:t>
            </w:r>
            <w:r w:rsidRPr="00B12FE0">
              <w:rPr>
                <w:rFonts w:hint="eastAsia"/>
                <w:color w:val="000000" w:themeColor="text1"/>
                <w:sz w:val="21"/>
                <w:szCs w:val="21"/>
              </w:rPr>
              <w:t>倍），含</w:t>
            </w:r>
            <w:r w:rsidRPr="00B12FE0">
              <w:rPr>
                <w:rFonts w:hint="eastAsia"/>
                <w:color w:val="000000" w:themeColor="text1"/>
                <w:sz w:val="21"/>
                <w:szCs w:val="21"/>
                <w:vertAlign w:val="superscript"/>
              </w:rPr>
              <w:t>1</w:t>
            </w:r>
            <w:r w:rsidRPr="00B12FE0">
              <w:rPr>
                <w:color w:val="000000" w:themeColor="text1"/>
                <w:sz w:val="21"/>
                <w:szCs w:val="21"/>
                <w:vertAlign w:val="superscript"/>
              </w:rPr>
              <w:t>31</w:t>
            </w:r>
            <w:r w:rsidRPr="00B12FE0">
              <w:rPr>
                <w:rFonts w:hint="eastAsia"/>
                <w:color w:val="000000" w:themeColor="text1"/>
                <w:sz w:val="21"/>
                <w:szCs w:val="21"/>
              </w:rPr>
              <w:t>I</w:t>
            </w:r>
            <w:r w:rsidRPr="00B12FE0">
              <w:rPr>
                <w:rFonts w:hint="eastAsia"/>
                <w:color w:val="000000" w:themeColor="text1"/>
                <w:sz w:val="21"/>
                <w:szCs w:val="21"/>
              </w:rPr>
              <w:t>核素的放射性固废暂存时间超过</w:t>
            </w:r>
            <w:r w:rsidRPr="00B12FE0">
              <w:rPr>
                <w:rFonts w:hint="eastAsia"/>
                <w:color w:val="000000" w:themeColor="text1"/>
                <w:sz w:val="21"/>
                <w:szCs w:val="21"/>
              </w:rPr>
              <w:t>180</w:t>
            </w:r>
            <w:r w:rsidRPr="00B12FE0">
              <w:rPr>
                <w:rFonts w:hint="eastAsia"/>
                <w:color w:val="000000" w:themeColor="text1"/>
                <w:sz w:val="21"/>
                <w:szCs w:val="21"/>
              </w:rPr>
              <w:t>天，</w:t>
            </w:r>
            <w:r w:rsidRPr="00B12FE0">
              <w:rPr>
                <w:color w:val="000000" w:themeColor="text1"/>
                <w:sz w:val="21"/>
                <w:szCs w:val="21"/>
              </w:rPr>
              <w:t>经监测辐射剂量</w:t>
            </w:r>
            <w:proofErr w:type="gramStart"/>
            <w:r w:rsidRPr="00B12FE0">
              <w:rPr>
                <w:color w:val="000000" w:themeColor="text1"/>
                <w:sz w:val="21"/>
                <w:szCs w:val="21"/>
              </w:rPr>
              <w:t>率满足</w:t>
            </w:r>
            <w:proofErr w:type="gramEnd"/>
            <w:r w:rsidRPr="00B12FE0">
              <w:rPr>
                <w:color w:val="000000" w:themeColor="text1"/>
                <w:sz w:val="21"/>
                <w:szCs w:val="21"/>
              </w:rPr>
              <w:t>所处环境本底水平，</w:t>
            </w:r>
            <w:r w:rsidRPr="00B12FE0">
              <w:rPr>
                <w:color w:val="000000" w:themeColor="text1"/>
                <w:sz w:val="21"/>
                <w:szCs w:val="21"/>
              </w:rPr>
              <w:t>α</w:t>
            </w:r>
            <w:r w:rsidRPr="00B12FE0">
              <w:rPr>
                <w:rFonts w:hint="eastAsia"/>
                <w:color w:val="000000" w:themeColor="text1"/>
                <w:sz w:val="21"/>
                <w:szCs w:val="21"/>
              </w:rPr>
              <w:t>表面污染小于</w:t>
            </w:r>
            <w:r w:rsidRPr="00B12FE0">
              <w:rPr>
                <w:rFonts w:hint="eastAsia"/>
                <w:color w:val="000000" w:themeColor="text1"/>
                <w:sz w:val="21"/>
                <w:szCs w:val="21"/>
              </w:rPr>
              <w:t>0</w:t>
            </w:r>
            <w:r w:rsidRPr="00B12FE0">
              <w:rPr>
                <w:color w:val="000000" w:themeColor="text1"/>
                <w:sz w:val="21"/>
                <w:szCs w:val="21"/>
              </w:rPr>
              <w:t>.08Bq/cm</w:t>
            </w:r>
            <w:r w:rsidRPr="00B12FE0">
              <w:rPr>
                <w:color w:val="000000" w:themeColor="text1"/>
                <w:sz w:val="21"/>
                <w:szCs w:val="21"/>
                <w:vertAlign w:val="superscript"/>
              </w:rPr>
              <w:t>2</w:t>
            </w:r>
            <w:r w:rsidRPr="00B12FE0">
              <w:rPr>
                <w:rFonts w:hint="eastAsia"/>
                <w:color w:val="000000" w:themeColor="text1"/>
                <w:sz w:val="21"/>
                <w:szCs w:val="21"/>
              </w:rPr>
              <w:t>、</w:t>
            </w:r>
            <w:r w:rsidRPr="00B12FE0">
              <w:rPr>
                <w:color w:val="000000" w:themeColor="text1"/>
                <w:sz w:val="21"/>
                <w:szCs w:val="21"/>
              </w:rPr>
              <w:t>β</w:t>
            </w:r>
            <w:r w:rsidRPr="00B12FE0">
              <w:rPr>
                <w:color w:val="000000" w:themeColor="text1"/>
                <w:sz w:val="21"/>
                <w:szCs w:val="21"/>
              </w:rPr>
              <w:t>表面污染小于</w:t>
            </w:r>
            <w:r w:rsidRPr="00B12FE0">
              <w:rPr>
                <w:color w:val="000000" w:themeColor="text1"/>
                <w:sz w:val="21"/>
                <w:szCs w:val="21"/>
              </w:rPr>
              <w:t>0.8Bq/cm</w:t>
            </w:r>
            <w:r w:rsidRPr="00B12FE0">
              <w:rPr>
                <w:color w:val="000000" w:themeColor="text1"/>
                <w:sz w:val="21"/>
                <w:szCs w:val="21"/>
                <w:vertAlign w:val="superscript"/>
              </w:rPr>
              <w:t>2</w:t>
            </w:r>
            <w:r w:rsidRPr="00B12FE0">
              <w:rPr>
                <w:rFonts w:hint="eastAsia"/>
                <w:color w:val="000000" w:themeColor="text1"/>
                <w:sz w:val="21"/>
                <w:szCs w:val="21"/>
              </w:rPr>
              <w:t>，</w:t>
            </w:r>
            <w:r w:rsidRPr="00B12FE0">
              <w:rPr>
                <w:color w:val="000000" w:themeColor="text1"/>
                <w:sz w:val="21"/>
                <w:szCs w:val="21"/>
              </w:rPr>
              <w:t>可对其</w:t>
            </w:r>
            <w:proofErr w:type="gramStart"/>
            <w:r w:rsidRPr="00B12FE0">
              <w:rPr>
                <w:color w:val="000000" w:themeColor="text1"/>
                <w:sz w:val="21"/>
                <w:szCs w:val="21"/>
              </w:rPr>
              <w:t>清洁解控</w:t>
            </w:r>
            <w:r w:rsidRPr="00B12FE0">
              <w:rPr>
                <w:rFonts w:hint="eastAsia"/>
                <w:color w:val="000000" w:themeColor="text1"/>
                <w:sz w:val="21"/>
                <w:szCs w:val="21"/>
              </w:rPr>
              <w:t>并</w:t>
            </w:r>
            <w:proofErr w:type="gramEnd"/>
            <w:r w:rsidRPr="00B12FE0">
              <w:rPr>
                <w:color w:val="000000" w:themeColor="text1"/>
                <w:sz w:val="21"/>
                <w:szCs w:val="21"/>
              </w:rPr>
              <w:t>作为医疗废物</w:t>
            </w:r>
            <w:r w:rsidRPr="00B12FE0">
              <w:rPr>
                <w:rFonts w:hint="eastAsia"/>
                <w:color w:val="000000" w:themeColor="text1"/>
                <w:sz w:val="21"/>
                <w:szCs w:val="21"/>
              </w:rPr>
              <w:t>处理</w:t>
            </w:r>
          </w:p>
        </w:tc>
      </w:tr>
      <w:tr w:rsidR="00A67F21" w:rsidRPr="00B12FE0" w14:paraId="38A4F631" w14:textId="77777777">
        <w:trPr>
          <w:trHeight w:val="20"/>
          <w:jc w:val="center"/>
        </w:trPr>
        <w:tc>
          <w:tcPr>
            <w:tcW w:w="323" w:type="pct"/>
            <w:vMerge/>
            <w:vAlign w:val="center"/>
          </w:tcPr>
          <w:p w14:paraId="452C7B32" w14:textId="77777777" w:rsidR="00A67F21" w:rsidRPr="00B12FE0" w:rsidRDefault="00A67F21">
            <w:pPr>
              <w:snapToGrid w:val="0"/>
              <w:jc w:val="center"/>
              <w:rPr>
                <w:color w:val="000000" w:themeColor="text1"/>
                <w:kern w:val="0"/>
                <w:sz w:val="21"/>
                <w:szCs w:val="21"/>
              </w:rPr>
            </w:pPr>
          </w:p>
        </w:tc>
        <w:tc>
          <w:tcPr>
            <w:tcW w:w="641" w:type="pct"/>
            <w:vAlign w:val="center"/>
          </w:tcPr>
          <w:p w14:paraId="567F00B5"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废活性炭</w:t>
            </w:r>
          </w:p>
        </w:tc>
        <w:tc>
          <w:tcPr>
            <w:tcW w:w="305" w:type="pct"/>
            <w:vMerge/>
            <w:vAlign w:val="center"/>
          </w:tcPr>
          <w:p w14:paraId="614B0DE6" w14:textId="77777777" w:rsidR="00A67F21" w:rsidRPr="00B12FE0" w:rsidRDefault="00A67F21">
            <w:pPr>
              <w:snapToGrid w:val="0"/>
              <w:jc w:val="center"/>
              <w:rPr>
                <w:color w:val="000000" w:themeColor="text1"/>
                <w:kern w:val="0"/>
                <w:sz w:val="21"/>
                <w:szCs w:val="21"/>
              </w:rPr>
            </w:pPr>
          </w:p>
        </w:tc>
        <w:tc>
          <w:tcPr>
            <w:tcW w:w="406" w:type="pct"/>
            <w:vMerge/>
            <w:vAlign w:val="center"/>
          </w:tcPr>
          <w:p w14:paraId="17610AD9" w14:textId="77777777" w:rsidR="00A67F21" w:rsidRPr="00B12FE0" w:rsidRDefault="00A67F21">
            <w:pPr>
              <w:jc w:val="center"/>
              <w:rPr>
                <w:color w:val="000000" w:themeColor="text1"/>
                <w:sz w:val="21"/>
                <w:szCs w:val="21"/>
                <w:vertAlign w:val="superscript"/>
              </w:rPr>
            </w:pPr>
          </w:p>
        </w:tc>
        <w:tc>
          <w:tcPr>
            <w:tcW w:w="255" w:type="pct"/>
            <w:vAlign w:val="center"/>
          </w:tcPr>
          <w:p w14:paraId="00E9D597"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266" w:type="pct"/>
            <w:vAlign w:val="center"/>
          </w:tcPr>
          <w:p w14:paraId="25B3C285"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415" w:type="pct"/>
            <w:vAlign w:val="center"/>
          </w:tcPr>
          <w:p w14:paraId="7C3A38CA"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520kg</w:t>
            </w:r>
          </w:p>
        </w:tc>
        <w:tc>
          <w:tcPr>
            <w:tcW w:w="488" w:type="pct"/>
            <w:vAlign w:val="center"/>
          </w:tcPr>
          <w:p w14:paraId="60A185DE" w14:textId="77777777" w:rsidR="00A67F21" w:rsidRPr="00B12FE0" w:rsidRDefault="00000000">
            <w:pPr>
              <w:pStyle w:val="TableParagraph"/>
              <w:autoSpaceDE/>
              <w:autoSpaceDN/>
              <w:contextualSpacing/>
              <w:jc w:val="center"/>
              <w:rPr>
                <w:color w:val="000000" w:themeColor="text1"/>
                <w:sz w:val="21"/>
                <w:szCs w:val="21"/>
              </w:rPr>
            </w:pPr>
            <w:r w:rsidRPr="00B12FE0">
              <w:rPr>
                <w:color w:val="000000" w:themeColor="text1"/>
                <w:sz w:val="21"/>
                <w:szCs w:val="21"/>
              </w:rPr>
              <w:t>/</w:t>
            </w:r>
          </w:p>
        </w:tc>
        <w:tc>
          <w:tcPr>
            <w:tcW w:w="619" w:type="pct"/>
            <w:vMerge/>
            <w:vAlign w:val="center"/>
          </w:tcPr>
          <w:p w14:paraId="2F998E36" w14:textId="77777777" w:rsidR="00A67F21" w:rsidRPr="00B12FE0" w:rsidRDefault="00A67F21">
            <w:pPr>
              <w:snapToGrid w:val="0"/>
              <w:jc w:val="center"/>
              <w:rPr>
                <w:color w:val="000000" w:themeColor="text1"/>
                <w:kern w:val="0"/>
                <w:sz w:val="21"/>
                <w:szCs w:val="21"/>
              </w:rPr>
            </w:pPr>
          </w:p>
        </w:tc>
        <w:tc>
          <w:tcPr>
            <w:tcW w:w="1282" w:type="pct"/>
            <w:vMerge/>
            <w:vAlign w:val="center"/>
          </w:tcPr>
          <w:p w14:paraId="30F16B0F" w14:textId="77777777" w:rsidR="00A67F21" w:rsidRPr="00B12FE0" w:rsidRDefault="00A67F21">
            <w:pPr>
              <w:snapToGrid w:val="0"/>
              <w:jc w:val="center"/>
              <w:rPr>
                <w:color w:val="000000" w:themeColor="text1"/>
                <w:sz w:val="21"/>
                <w:szCs w:val="21"/>
              </w:rPr>
            </w:pPr>
          </w:p>
        </w:tc>
      </w:tr>
      <w:tr w:rsidR="00A67F21" w:rsidRPr="00B12FE0" w14:paraId="1573AF2A" w14:textId="77777777">
        <w:trPr>
          <w:trHeight w:val="20"/>
          <w:jc w:val="center"/>
        </w:trPr>
        <w:tc>
          <w:tcPr>
            <w:tcW w:w="323" w:type="pct"/>
            <w:vMerge/>
            <w:vAlign w:val="center"/>
          </w:tcPr>
          <w:p w14:paraId="2B85842D" w14:textId="77777777" w:rsidR="00A67F21" w:rsidRPr="00B12FE0" w:rsidRDefault="00A67F21">
            <w:pPr>
              <w:snapToGrid w:val="0"/>
              <w:jc w:val="center"/>
              <w:rPr>
                <w:color w:val="000000" w:themeColor="text1"/>
                <w:kern w:val="0"/>
                <w:sz w:val="21"/>
                <w:szCs w:val="21"/>
              </w:rPr>
            </w:pPr>
          </w:p>
        </w:tc>
        <w:tc>
          <w:tcPr>
            <w:tcW w:w="641" w:type="pct"/>
            <w:vAlign w:val="center"/>
          </w:tcPr>
          <w:p w14:paraId="3C2C8C0A"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废弃</w:t>
            </w:r>
            <w:proofErr w:type="gramStart"/>
            <w:r w:rsidRPr="00B12FE0">
              <w:rPr>
                <w:rFonts w:hint="eastAsia"/>
                <w:color w:val="000000" w:themeColor="text1"/>
                <w:kern w:val="0"/>
                <w:sz w:val="21"/>
                <w:szCs w:val="21"/>
              </w:rPr>
              <w:t>钼</w:t>
            </w:r>
            <w:proofErr w:type="gramEnd"/>
            <w:r w:rsidRPr="00B12FE0">
              <w:rPr>
                <w:rFonts w:hint="eastAsia"/>
                <w:color w:val="000000" w:themeColor="text1"/>
                <w:kern w:val="0"/>
                <w:sz w:val="21"/>
                <w:szCs w:val="21"/>
              </w:rPr>
              <w:t>锝发生器</w:t>
            </w:r>
          </w:p>
        </w:tc>
        <w:tc>
          <w:tcPr>
            <w:tcW w:w="305" w:type="pct"/>
            <w:vMerge/>
            <w:vAlign w:val="center"/>
          </w:tcPr>
          <w:p w14:paraId="14051F5F" w14:textId="77777777" w:rsidR="00A67F21" w:rsidRPr="00B12FE0" w:rsidRDefault="00A67F21">
            <w:pPr>
              <w:snapToGrid w:val="0"/>
              <w:jc w:val="center"/>
              <w:rPr>
                <w:color w:val="000000" w:themeColor="text1"/>
                <w:kern w:val="0"/>
                <w:sz w:val="21"/>
                <w:szCs w:val="21"/>
              </w:rPr>
            </w:pPr>
          </w:p>
        </w:tc>
        <w:tc>
          <w:tcPr>
            <w:tcW w:w="406" w:type="pct"/>
            <w:vMerge/>
            <w:vAlign w:val="center"/>
          </w:tcPr>
          <w:p w14:paraId="23913AC8" w14:textId="77777777" w:rsidR="00A67F21" w:rsidRPr="00B12FE0" w:rsidRDefault="00A67F21">
            <w:pPr>
              <w:jc w:val="center"/>
              <w:rPr>
                <w:color w:val="000000" w:themeColor="text1"/>
                <w:sz w:val="21"/>
                <w:szCs w:val="21"/>
                <w:vertAlign w:val="superscript"/>
              </w:rPr>
            </w:pPr>
          </w:p>
        </w:tc>
        <w:tc>
          <w:tcPr>
            <w:tcW w:w="255" w:type="pct"/>
            <w:vAlign w:val="center"/>
          </w:tcPr>
          <w:p w14:paraId="1588D823"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266" w:type="pct"/>
            <w:vAlign w:val="center"/>
          </w:tcPr>
          <w:p w14:paraId="3DD86326"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415" w:type="pct"/>
            <w:vAlign w:val="center"/>
          </w:tcPr>
          <w:p w14:paraId="316077A1"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30kg</w:t>
            </w:r>
          </w:p>
        </w:tc>
        <w:tc>
          <w:tcPr>
            <w:tcW w:w="488" w:type="pct"/>
            <w:vAlign w:val="center"/>
          </w:tcPr>
          <w:p w14:paraId="5CDA389F" w14:textId="77777777" w:rsidR="00A67F21" w:rsidRPr="00B12FE0" w:rsidRDefault="00000000">
            <w:pPr>
              <w:pStyle w:val="TableParagraph"/>
              <w:autoSpaceDE/>
              <w:autoSpaceDN/>
              <w:contextualSpacing/>
              <w:jc w:val="center"/>
              <w:rPr>
                <w:color w:val="000000" w:themeColor="text1"/>
                <w:sz w:val="21"/>
                <w:szCs w:val="21"/>
              </w:rPr>
            </w:pPr>
            <w:r w:rsidRPr="00B12FE0">
              <w:rPr>
                <w:color w:val="000000" w:themeColor="text1"/>
                <w:sz w:val="21"/>
                <w:szCs w:val="21"/>
              </w:rPr>
              <w:t>/</w:t>
            </w:r>
          </w:p>
        </w:tc>
        <w:tc>
          <w:tcPr>
            <w:tcW w:w="619" w:type="pct"/>
            <w:tcBorders>
              <w:top w:val="single" w:sz="4" w:space="0" w:color="auto"/>
              <w:left w:val="single" w:sz="4" w:space="0" w:color="auto"/>
              <w:bottom w:val="single" w:sz="4" w:space="0" w:color="auto"/>
              <w:right w:val="single" w:sz="4" w:space="0" w:color="auto"/>
            </w:tcBorders>
            <w:vAlign w:val="center"/>
          </w:tcPr>
          <w:p w14:paraId="3ABB237F"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暂存于核素诊断场所废物间内</w:t>
            </w:r>
          </w:p>
        </w:tc>
        <w:tc>
          <w:tcPr>
            <w:tcW w:w="1282" w:type="pct"/>
            <w:tcBorders>
              <w:top w:val="single" w:sz="4" w:space="0" w:color="auto"/>
              <w:left w:val="nil"/>
              <w:bottom w:val="single" w:sz="4" w:space="0" w:color="auto"/>
              <w:right w:val="single" w:sz="4" w:space="0" w:color="auto"/>
            </w:tcBorders>
            <w:vAlign w:val="center"/>
          </w:tcPr>
          <w:p w14:paraId="384DA304" w14:textId="77777777" w:rsidR="00A67F21" w:rsidRPr="00B12FE0" w:rsidRDefault="00000000">
            <w:pPr>
              <w:jc w:val="center"/>
              <w:rPr>
                <w:color w:val="000000" w:themeColor="text1"/>
                <w:kern w:val="0"/>
                <w:sz w:val="21"/>
                <w:szCs w:val="21"/>
              </w:rPr>
            </w:pPr>
            <w:r w:rsidRPr="00B12FE0">
              <w:rPr>
                <w:color w:val="000000" w:themeColor="text1"/>
                <w:kern w:val="0"/>
                <w:sz w:val="21"/>
                <w:szCs w:val="21"/>
              </w:rPr>
              <w:t>供货商回收</w:t>
            </w:r>
          </w:p>
        </w:tc>
      </w:tr>
      <w:tr w:rsidR="00A67F21" w:rsidRPr="00B12FE0" w14:paraId="2BFCEE33" w14:textId="77777777">
        <w:trPr>
          <w:trHeight w:val="20"/>
          <w:jc w:val="center"/>
        </w:trPr>
        <w:tc>
          <w:tcPr>
            <w:tcW w:w="964" w:type="pct"/>
            <w:gridSpan w:val="2"/>
            <w:vAlign w:val="center"/>
          </w:tcPr>
          <w:p w14:paraId="1213A884"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放射性废气</w:t>
            </w:r>
          </w:p>
        </w:tc>
        <w:tc>
          <w:tcPr>
            <w:tcW w:w="305" w:type="pct"/>
            <w:vAlign w:val="center"/>
          </w:tcPr>
          <w:p w14:paraId="173483A8"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气态</w:t>
            </w:r>
          </w:p>
        </w:tc>
        <w:tc>
          <w:tcPr>
            <w:tcW w:w="406" w:type="pct"/>
            <w:vAlign w:val="center"/>
          </w:tcPr>
          <w:p w14:paraId="54AB843E" w14:textId="77777777" w:rsidR="00A67F21" w:rsidRPr="00B12FE0" w:rsidRDefault="00000000">
            <w:pPr>
              <w:jc w:val="center"/>
              <w:rPr>
                <w:color w:val="000000" w:themeColor="text1"/>
                <w:sz w:val="21"/>
                <w:szCs w:val="21"/>
              </w:rPr>
            </w:pPr>
            <w:r w:rsidRPr="00B12FE0">
              <w:rPr>
                <w:color w:val="000000" w:themeColor="text1"/>
                <w:sz w:val="21"/>
                <w:szCs w:val="21"/>
                <w:vertAlign w:val="superscript"/>
              </w:rPr>
              <w:t>99m</w:t>
            </w:r>
            <w:r w:rsidRPr="00B12FE0">
              <w:rPr>
                <w:color w:val="000000" w:themeColor="text1"/>
                <w:sz w:val="21"/>
                <w:szCs w:val="21"/>
              </w:rPr>
              <w:t>Tc</w:t>
            </w:r>
            <w:r w:rsidRPr="00B12FE0">
              <w:rPr>
                <w:rFonts w:hint="eastAsia"/>
                <w:color w:val="000000" w:themeColor="text1"/>
                <w:sz w:val="21"/>
                <w:szCs w:val="21"/>
              </w:rPr>
              <w:t>、</w:t>
            </w:r>
            <w:r w:rsidRPr="00B12FE0">
              <w:rPr>
                <w:color w:val="000000" w:themeColor="text1"/>
                <w:sz w:val="21"/>
                <w:szCs w:val="21"/>
                <w:vertAlign w:val="superscript"/>
              </w:rPr>
              <w:t>18</w:t>
            </w:r>
            <w:r w:rsidRPr="00B12FE0">
              <w:rPr>
                <w:color w:val="000000" w:themeColor="text1"/>
                <w:sz w:val="21"/>
                <w:szCs w:val="21"/>
              </w:rPr>
              <w:t>F</w:t>
            </w:r>
            <w:r w:rsidRPr="00B12FE0">
              <w:rPr>
                <w:rFonts w:hint="eastAsia"/>
                <w:color w:val="000000" w:themeColor="text1"/>
                <w:sz w:val="21"/>
                <w:szCs w:val="21"/>
              </w:rPr>
              <w:t>、</w:t>
            </w:r>
            <w:r w:rsidRPr="00B12FE0">
              <w:rPr>
                <w:rFonts w:hAnsi="宋体"/>
                <w:bCs/>
                <w:color w:val="000000" w:themeColor="text1"/>
                <w:sz w:val="21"/>
                <w:szCs w:val="21"/>
                <w:vertAlign w:val="superscript"/>
              </w:rPr>
              <w:t>1</w:t>
            </w:r>
            <w:r w:rsidRPr="00B12FE0">
              <w:rPr>
                <w:rFonts w:hAnsi="宋体" w:hint="eastAsia"/>
                <w:bCs/>
                <w:color w:val="000000" w:themeColor="text1"/>
                <w:sz w:val="21"/>
                <w:szCs w:val="21"/>
                <w:vertAlign w:val="superscript"/>
              </w:rPr>
              <w:t>31</w:t>
            </w:r>
            <w:r w:rsidRPr="00B12FE0">
              <w:rPr>
                <w:rFonts w:hAnsi="宋体" w:hint="eastAsia"/>
                <w:bCs/>
                <w:color w:val="000000" w:themeColor="text1"/>
                <w:sz w:val="21"/>
                <w:szCs w:val="21"/>
              </w:rPr>
              <w:t>I</w:t>
            </w:r>
          </w:p>
        </w:tc>
        <w:tc>
          <w:tcPr>
            <w:tcW w:w="255" w:type="pct"/>
            <w:vAlign w:val="center"/>
          </w:tcPr>
          <w:p w14:paraId="52FD31EA"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266" w:type="pct"/>
            <w:vAlign w:val="center"/>
          </w:tcPr>
          <w:p w14:paraId="5670AD5B"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415" w:type="pct"/>
            <w:vAlign w:val="center"/>
          </w:tcPr>
          <w:p w14:paraId="3BB7639C"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w:t>
            </w:r>
          </w:p>
        </w:tc>
        <w:tc>
          <w:tcPr>
            <w:tcW w:w="488" w:type="pct"/>
            <w:vAlign w:val="center"/>
          </w:tcPr>
          <w:p w14:paraId="05753290" w14:textId="77777777" w:rsidR="00A67F21" w:rsidRPr="00B12FE0" w:rsidRDefault="00000000">
            <w:pPr>
              <w:pStyle w:val="TableParagraph"/>
              <w:autoSpaceDE/>
              <w:autoSpaceDN/>
              <w:contextualSpacing/>
              <w:jc w:val="center"/>
              <w:rPr>
                <w:color w:val="000000" w:themeColor="text1"/>
                <w:sz w:val="21"/>
                <w:szCs w:val="21"/>
              </w:rPr>
            </w:pPr>
            <w:r w:rsidRPr="00B12FE0">
              <w:rPr>
                <w:color w:val="000000" w:themeColor="text1"/>
                <w:sz w:val="21"/>
                <w:szCs w:val="21"/>
              </w:rPr>
              <w:t>/</w:t>
            </w:r>
          </w:p>
        </w:tc>
        <w:tc>
          <w:tcPr>
            <w:tcW w:w="1901" w:type="pct"/>
            <w:gridSpan w:val="2"/>
            <w:vAlign w:val="center"/>
          </w:tcPr>
          <w:p w14:paraId="7C217E73"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经活性炭过滤后引至</w:t>
            </w:r>
            <w:proofErr w:type="gramStart"/>
            <w:r w:rsidRPr="00B12FE0">
              <w:rPr>
                <w:rFonts w:hint="eastAsia"/>
                <w:color w:val="000000" w:themeColor="text1"/>
                <w:kern w:val="0"/>
                <w:sz w:val="21"/>
                <w:szCs w:val="21"/>
              </w:rPr>
              <w:t>感染楼</w:t>
            </w:r>
            <w:proofErr w:type="gramEnd"/>
            <w:r w:rsidRPr="00B12FE0">
              <w:rPr>
                <w:rFonts w:hint="eastAsia"/>
                <w:color w:val="000000" w:themeColor="text1"/>
                <w:kern w:val="0"/>
                <w:sz w:val="21"/>
                <w:szCs w:val="21"/>
              </w:rPr>
              <w:t>楼顶，最终高出楼顶排放</w:t>
            </w:r>
          </w:p>
        </w:tc>
      </w:tr>
      <w:tr w:rsidR="00A67F21" w:rsidRPr="00B12FE0" w14:paraId="74933C64" w14:textId="77777777">
        <w:trPr>
          <w:trHeight w:val="20"/>
          <w:jc w:val="center"/>
        </w:trPr>
        <w:tc>
          <w:tcPr>
            <w:tcW w:w="964" w:type="pct"/>
            <w:gridSpan w:val="2"/>
            <w:tcBorders>
              <w:top w:val="single" w:sz="4" w:space="0" w:color="auto"/>
              <w:left w:val="single" w:sz="4" w:space="0" w:color="auto"/>
              <w:bottom w:val="single" w:sz="4" w:space="0" w:color="auto"/>
              <w:right w:val="single" w:sz="4" w:space="0" w:color="auto"/>
            </w:tcBorders>
            <w:vAlign w:val="center"/>
          </w:tcPr>
          <w:p w14:paraId="214AEE13" w14:textId="77777777" w:rsidR="00A67F21" w:rsidRPr="00B12FE0" w:rsidRDefault="00000000">
            <w:pPr>
              <w:snapToGrid w:val="0"/>
              <w:jc w:val="center"/>
              <w:rPr>
                <w:color w:val="000000" w:themeColor="text1"/>
                <w:sz w:val="21"/>
                <w:szCs w:val="21"/>
              </w:rPr>
            </w:pPr>
            <w:proofErr w:type="gramStart"/>
            <w:r w:rsidRPr="00B12FE0">
              <w:rPr>
                <w:rFonts w:hint="eastAsia"/>
                <w:color w:val="000000" w:themeColor="text1"/>
                <w:sz w:val="21"/>
                <w:szCs w:val="21"/>
              </w:rPr>
              <w:t>直线加速器</w:t>
            </w:r>
            <w:r w:rsidRPr="00B12FE0">
              <w:rPr>
                <w:color w:val="000000" w:themeColor="text1"/>
                <w:sz w:val="21"/>
                <w:szCs w:val="21"/>
              </w:rPr>
              <w:t>废靶</w:t>
            </w:r>
            <w:proofErr w:type="gramEnd"/>
          </w:p>
        </w:tc>
        <w:tc>
          <w:tcPr>
            <w:tcW w:w="305" w:type="pct"/>
            <w:tcBorders>
              <w:top w:val="single" w:sz="4" w:space="0" w:color="auto"/>
              <w:left w:val="nil"/>
              <w:bottom w:val="single" w:sz="4" w:space="0" w:color="auto"/>
              <w:right w:val="single" w:sz="4" w:space="0" w:color="auto"/>
            </w:tcBorders>
            <w:vAlign w:val="center"/>
          </w:tcPr>
          <w:p w14:paraId="529C16AF" w14:textId="77777777" w:rsidR="00A67F21" w:rsidRPr="00B12FE0" w:rsidRDefault="00000000">
            <w:pPr>
              <w:snapToGrid w:val="0"/>
              <w:jc w:val="center"/>
              <w:rPr>
                <w:color w:val="000000" w:themeColor="text1"/>
                <w:sz w:val="21"/>
                <w:szCs w:val="21"/>
              </w:rPr>
            </w:pPr>
            <w:r w:rsidRPr="00B12FE0">
              <w:rPr>
                <w:color w:val="000000" w:themeColor="text1"/>
                <w:kern w:val="0"/>
                <w:sz w:val="21"/>
                <w:szCs w:val="21"/>
              </w:rPr>
              <w:t>固态</w:t>
            </w:r>
          </w:p>
        </w:tc>
        <w:tc>
          <w:tcPr>
            <w:tcW w:w="406" w:type="pct"/>
            <w:tcBorders>
              <w:top w:val="single" w:sz="4" w:space="0" w:color="auto"/>
              <w:left w:val="nil"/>
              <w:bottom w:val="single" w:sz="4" w:space="0" w:color="auto"/>
              <w:right w:val="single" w:sz="4" w:space="0" w:color="auto"/>
            </w:tcBorders>
            <w:vAlign w:val="center"/>
          </w:tcPr>
          <w:p w14:paraId="491F11DD" w14:textId="77777777" w:rsidR="00A67F21" w:rsidRPr="00B12FE0" w:rsidRDefault="00000000">
            <w:pPr>
              <w:jc w:val="center"/>
              <w:rPr>
                <w:color w:val="000000" w:themeColor="text1"/>
                <w:sz w:val="21"/>
                <w:szCs w:val="21"/>
                <w:vertAlign w:val="superscript"/>
              </w:rPr>
            </w:pPr>
            <w:r w:rsidRPr="00B12FE0">
              <w:rPr>
                <w:color w:val="000000" w:themeColor="text1"/>
                <w:kern w:val="0"/>
                <w:sz w:val="21"/>
                <w:szCs w:val="21"/>
              </w:rPr>
              <w:t>/</w:t>
            </w:r>
          </w:p>
        </w:tc>
        <w:tc>
          <w:tcPr>
            <w:tcW w:w="255" w:type="pct"/>
            <w:tcBorders>
              <w:top w:val="single" w:sz="4" w:space="0" w:color="auto"/>
              <w:left w:val="nil"/>
              <w:bottom w:val="single" w:sz="4" w:space="0" w:color="auto"/>
              <w:right w:val="single" w:sz="4" w:space="0" w:color="auto"/>
            </w:tcBorders>
            <w:vAlign w:val="center"/>
          </w:tcPr>
          <w:p w14:paraId="47FD2067" w14:textId="77777777" w:rsidR="00A67F21" w:rsidRPr="00B12FE0" w:rsidRDefault="00000000">
            <w:pPr>
              <w:snapToGrid w:val="0"/>
              <w:jc w:val="center"/>
              <w:rPr>
                <w:color w:val="000000" w:themeColor="text1"/>
                <w:sz w:val="21"/>
                <w:szCs w:val="21"/>
              </w:rPr>
            </w:pPr>
            <w:r w:rsidRPr="00B12FE0">
              <w:rPr>
                <w:color w:val="000000" w:themeColor="text1"/>
                <w:sz w:val="21"/>
                <w:szCs w:val="21"/>
              </w:rPr>
              <w:t>/</w:t>
            </w:r>
          </w:p>
        </w:tc>
        <w:tc>
          <w:tcPr>
            <w:tcW w:w="266" w:type="pct"/>
            <w:tcBorders>
              <w:top w:val="single" w:sz="4" w:space="0" w:color="auto"/>
              <w:left w:val="nil"/>
              <w:bottom w:val="single" w:sz="4" w:space="0" w:color="auto"/>
              <w:right w:val="single" w:sz="4" w:space="0" w:color="auto"/>
            </w:tcBorders>
            <w:vAlign w:val="center"/>
          </w:tcPr>
          <w:p w14:paraId="54D0F672" w14:textId="77777777" w:rsidR="00A67F21" w:rsidRPr="00B12FE0" w:rsidRDefault="00000000">
            <w:pPr>
              <w:snapToGrid w:val="0"/>
              <w:jc w:val="center"/>
              <w:rPr>
                <w:color w:val="000000" w:themeColor="text1"/>
                <w:sz w:val="21"/>
                <w:szCs w:val="21"/>
              </w:rPr>
            </w:pPr>
            <w:r w:rsidRPr="00B12FE0">
              <w:rPr>
                <w:color w:val="000000" w:themeColor="text1"/>
                <w:kern w:val="0"/>
                <w:sz w:val="21"/>
                <w:szCs w:val="21"/>
              </w:rPr>
              <w:t>/</w:t>
            </w:r>
          </w:p>
        </w:tc>
        <w:tc>
          <w:tcPr>
            <w:tcW w:w="415" w:type="pct"/>
            <w:tcBorders>
              <w:top w:val="single" w:sz="4" w:space="0" w:color="auto"/>
              <w:left w:val="nil"/>
              <w:bottom w:val="single" w:sz="4" w:space="0" w:color="auto"/>
              <w:right w:val="single" w:sz="4" w:space="0" w:color="auto"/>
            </w:tcBorders>
            <w:vAlign w:val="center"/>
          </w:tcPr>
          <w:p w14:paraId="6F8B43E2" w14:textId="77777777" w:rsidR="00A67F21" w:rsidRPr="00B12FE0" w:rsidRDefault="00000000">
            <w:pPr>
              <w:snapToGrid w:val="0"/>
              <w:jc w:val="center"/>
              <w:rPr>
                <w:color w:val="000000" w:themeColor="text1"/>
                <w:sz w:val="21"/>
                <w:szCs w:val="21"/>
              </w:rPr>
            </w:pPr>
            <w:r w:rsidRPr="00B12FE0">
              <w:rPr>
                <w:color w:val="000000" w:themeColor="text1"/>
                <w:kern w:val="0"/>
                <w:sz w:val="21"/>
                <w:szCs w:val="21"/>
              </w:rPr>
              <w:t>/</w:t>
            </w:r>
          </w:p>
        </w:tc>
        <w:tc>
          <w:tcPr>
            <w:tcW w:w="488" w:type="pct"/>
            <w:tcBorders>
              <w:top w:val="single" w:sz="4" w:space="0" w:color="auto"/>
              <w:left w:val="nil"/>
              <w:bottom w:val="single" w:sz="4" w:space="0" w:color="auto"/>
              <w:right w:val="single" w:sz="4" w:space="0" w:color="auto"/>
            </w:tcBorders>
            <w:vAlign w:val="center"/>
          </w:tcPr>
          <w:p w14:paraId="4CB83873" w14:textId="77777777" w:rsidR="00A67F21" w:rsidRPr="00B12FE0" w:rsidRDefault="00000000">
            <w:pPr>
              <w:pStyle w:val="TableParagraph"/>
              <w:autoSpaceDE/>
              <w:autoSpaceDN/>
              <w:contextualSpacing/>
              <w:jc w:val="center"/>
              <w:rPr>
                <w:color w:val="000000" w:themeColor="text1"/>
                <w:sz w:val="21"/>
                <w:szCs w:val="21"/>
              </w:rPr>
            </w:pPr>
            <w:r w:rsidRPr="00B12FE0">
              <w:rPr>
                <w:color w:val="000000" w:themeColor="text1"/>
                <w:sz w:val="21"/>
                <w:szCs w:val="21"/>
              </w:rPr>
              <w:t>/</w:t>
            </w:r>
          </w:p>
        </w:tc>
        <w:tc>
          <w:tcPr>
            <w:tcW w:w="1901" w:type="pct"/>
            <w:gridSpan w:val="2"/>
            <w:tcBorders>
              <w:top w:val="single" w:sz="4" w:space="0" w:color="auto"/>
              <w:left w:val="nil"/>
              <w:bottom w:val="single" w:sz="4" w:space="0" w:color="auto"/>
              <w:right w:val="single" w:sz="4" w:space="0" w:color="auto"/>
            </w:tcBorders>
            <w:vAlign w:val="center"/>
          </w:tcPr>
          <w:p w14:paraId="525A7DA6"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kern w:val="0"/>
                <w:sz w:val="21"/>
                <w:szCs w:val="21"/>
              </w:rPr>
              <w:t>在</w:t>
            </w:r>
            <w:proofErr w:type="gramStart"/>
            <w:r w:rsidRPr="00B12FE0">
              <w:rPr>
                <w:rFonts w:hint="eastAsia"/>
                <w:color w:val="000000" w:themeColor="text1"/>
                <w:kern w:val="0"/>
                <w:sz w:val="21"/>
                <w:szCs w:val="21"/>
              </w:rPr>
              <w:t>直线加速器靶件损坏</w:t>
            </w:r>
            <w:proofErr w:type="gramEnd"/>
            <w:r w:rsidRPr="00B12FE0">
              <w:rPr>
                <w:rFonts w:hint="eastAsia"/>
                <w:color w:val="000000" w:themeColor="text1"/>
                <w:kern w:val="0"/>
                <w:sz w:val="21"/>
                <w:szCs w:val="21"/>
              </w:rPr>
              <w:t>或报废退役时，会有</w:t>
            </w:r>
            <w:proofErr w:type="gramStart"/>
            <w:r w:rsidRPr="00B12FE0">
              <w:rPr>
                <w:rFonts w:hint="eastAsia"/>
                <w:color w:val="000000" w:themeColor="text1"/>
                <w:kern w:val="0"/>
                <w:sz w:val="21"/>
                <w:szCs w:val="21"/>
              </w:rPr>
              <w:t>活化废靶产生</w:t>
            </w:r>
            <w:proofErr w:type="gramEnd"/>
            <w:r w:rsidRPr="00B12FE0">
              <w:rPr>
                <w:rFonts w:hint="eastAsia"/>
                <w:color w:val="000000" w:themeColor="text1"/>
                <w:kern w:val="0"/>
                <w:sz w:val="21"/>
                <w:szCs w:val="21"/>
              </w:rPr>
              <w:t>。</w:t>
            </w:r>
            <w:proofErr w:type="gramStart"/>
            <w:r w:rsidRPr="00B12FE0">
              <w:rPr>
                <w:rFonts w:hint="eastAsia"/>
                <w:color w:val="000000" w:themeColor="text1"/>
                <w:kern w:val="0"/>
                <w:sz w:val="21"/>
                <w:szCs w:val="21"/>
              </w:rPr>
              <w:t>废靶由</w:t>
            </w:r>
            <w:proofErr w:type="gramEnd"/>
            <w:r w:rsidRPr="00B12FE0">
              <w:rPr>
                <w:rFonts w:hint="eastAsia"/>
                <w:color w:val="000000" w:themeColor="text1"/>
                <w:kern w:val="0"/>
                <w:sz w:val="21"/>
                <w:szCs w:val="21"/>
              </w:rPr>
              <w:t>设备厂家回收最终送交有资质的单位回收处置，医院不暂存</w:t>
            </w:r>
          </w:p>
        </w:tc>
      </w:tr>
      <w:tr w:rsidR="00A67F21" w:rsidRPr="00B12FE0" w14:paraId="69636082" w14:textId="77777777">
        <w:trPr>
          <w:trHeight w:val="20"/>
          <w:jc w:val="center"/>
        </w:trPr>
        <w:tc>
          <w:tcPr>
            <w:tcW w:w="964" w:type="pct"/>
            <w:gridSpan w:val="2"/>
            <w:tcBorders>
              <w:top w:val="single" w:sz="4" w:space="0" w:color="auto"/>
              <w:left w:val="single" w:sz="4" w:space="0" w:color="auto"/>
              <w:bottom w:val="single" w:sz="4" w:space="0" w:color="auto"/>
              <w:right w:val="single" w:sz="4" w:space="0" w:color="auto"/>
            </w:tcBorders>
            <w:vAlign w:val="center"/>
          </w:tcPr>
          <w:p w14:paraId="4F80C888"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后</w:t>
            </w:r>
            <w:proofErr w:type="gramStart"/>
            <w:r w:rsidRPr="00B12FE0">
              <w:rPr>
                <w:rFonts w:hint="eastAsia"/>
                <w:color w:val="000000" w:themeColor="text1"/>
                <w:sz w:val="21"/>
                <w:szCs w:val="21"/>
              </w:rPr>
              <w:t>装机</w:t>
            </w:r>
            <w:r w:rsidRPr="00B12FE0">
              <w:rPr>
                <w:color w:val="000000" w:themeColor="text1"/>
                <w:sz w:val="21"/>
                <w:szCs w:val="21"/>
              </w:rPr>
              <w:t>废源</w:t>
            </w:r>
            <w:proofErr w:type="gramEnd"/>
          </w:p>
        </w:tc>
        <w:tc>
          <w:tcPr>
            <w:tcW w:w="305" w:type="pct"/>
            <w:tcBorders>
              <w:top w:val="single" w:sz="4" w:space="0" w:color="auto"/>
              <w:left w:val="nil"/>
              <w:bottom w:val="single" w:sz="4" w:space="0" w:color="auto"/>
              <w:right w:val="single" w:sz="4" w:space="0" w:color="auto"/>
            </w:tcBorders>
            <w:vAlign w:val="center"/>
          </w:tcPr>
          <w:p w14:paraId="1A99DB28" w14:textId="77777777" w:rsidR="00A67F21" w:rsidRPr="00B12FE0" w:rsidRDefault="00000000">
            <w:pPr>
              <w:snapToGrid w:val="0"/>
              <w:jc w:val="center"/>
              <w:rPr>
                <w:color w:val="000000" w:themeColor="text1"/>
                <w:kern w:val="0"/>
                <w:sz w:val="21"/>
                <w:szCs w:val="21"/>
              </w:rPr>
            </w:pPr>
            <w:r w:rsidRPr="00B12FE0">
              <w:rPr>
                <w:color w:val="000000" w:themeColor="text1"/>
                <w:sz w:val="21"/>
                <w:szCs w:val="21"/>
              </w:rPr>
              <w:t>固态</w:t>
            </w:r>
          </w:p>
        </w:tc>
        <w:tc>
          <w:tcPr>
            <w:tcW w:w="406" w:type="pct"/>
            <w:tcBorders>
              <w:top w:val="single" w:sz="4" w:space="0" w:color="auto"/>
              <w:left w:val="nil"/>
              <w:bottom w:val="single" w:sz="4" w:space="0" w:color="auto"/>
              <w:right w:val="single" w:sz="4" w:space="0" w:color="auto"/>
            </w:tcBorders>
            <w:vAlign w:val="center"/>
          </w:tcPr>
          <w:p w14:paraId="1B794787" w14:textId="77777777" w:rsidR="00A67F21" w:rsidRPr="00B12FE0" w:rsidRDefault="00000000">
            <w:pPr>
              <w:jc w:val="center"/>
              <w:rPr>
                <w:color w:val="000000" w:themeColor="text1"/>
                <w:kern w:val="0"/>
                <w:sz w:val="21"/>
                <w:szCs w:val="21"/>
              </w:rPr>
            </w:pPr>
            <w:r w:rsidRPr="00B12FE0">
              <w:rPr>
                <w:color w:val="000000" w:themeColor="text1"/>
                <w:sz w:val="21"/>
                <w:szCs w:val="21"/>
                <w:vertAlign w:val="superscript"/>
              </w:rPr>
              <w:t>192</w:t>
            </w:r>
            <w:r w:rsidRPr="00B12FE0">
              <w:rPr>
                <w:color w:val="000000" w:themeColor="text1"/>
                <w:sz w:val="21"/>
                <w:szCs w:val="21"/>
              </w:rPr>
              <w:t>Ir</w:t>
            </w:r>
          </w:p>
        </w:tc>
        <w:tc>
          <w:tcPr>
            <w:tcW w:w="936" w:type="pct"/>
            <w:gridSpan w:val="3"/>
            <w:tcBorders>
              <w:top w:val="single" w:sz="4" w:space="0" w:color="auto"/>
              <w:left w:val="nil"/>
              <w:bottom w:val="single" w:sz="4" w:space="0" w:color="auto"/>
              <w:right w:val="single" w:sz="4" w:space="0" w:color="auto"/>
            </w:tcBorders>
            <w:vAlign w:val="center"/>
          </w:tcPr>
          <w:p w14:paraId="16B9D026"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sz w:val="21"/>
                <w:szCs w:val="21"/>
              </w:rPr>
              <w:t>一年</w:t>
            </w:r>
            <w:r w:rsidRPr="00B12FE0">
              <w:rPr>
                <w:color w:val="000000" w:themeColor="text1"/>
                <w:sz w:val="21"/>
                <w:szCs w:val="21"/>
              </w:rPr>
              <w:t>3</w:t>
            </w:r>
            <w:r w:rsidRPr="00B12FE0">
              <w:rPr>
                <w:rFonts w:hint="eastAsia"/>
                <w:color w:val="000000" w:themeColor="text1"/>
                <w:sz w:val="21"/>
                <w:szCs w:val="21"/>
              </w:rPr>
              <w:t>枚</w:t>
            </w:r>
          </w:p>
        </w:tc>
        <w:tc>
          <w:tcPr>
            <w:tcW w:w="488" w:type="pct"/>
            <w:tcBorders>
              <w:top w:val="single" w:sz="4" w:space="0" w:color="auto"/>
              <w:left w:val="nil"/>
              <w:bottom w:val="single" w:sz="4" w:space="0" w:color="auto"/>
              <w:right w:val="single" w:sz="4" w:space="0" w:color="auto"/>
            </w:tcBorders>
            <w:vAlign w:val="center"/>
          </w:tcPr>
          <w:p w14:paraId="71730DEE" w14:textId="77777777" w:rsidR="00A67F21" w:rsidRPr="00B12FE0" w:rsidRDefault="00000000">
            <w:pPr>
              <w:pStyle w:val="TableParagraph"/>
              <w:autoSpaceDE/>
              <w:autoSpaceDN/>
              <w:contextualSpacing/>
              <w:jc w:val="center"/>
              <w:rPr>
                <w:color w:val="000000" w:themeColor="text1"/>
                <w:sz w:val="21"/>
                <w:szCs w:val="21"/>
              </w:rPr>
            </w:pPr>
            <w:r w:rsidRPr="00B12FE0">
              <w:rPr>
                <w:rFonts w:hint="eastAsia"/>
                <w:color w:val="000000" w:themeColor="text1"/>
                <w:sz w:val="21"/>
                <w:szCs w:val="21"/>
              </w:rPr>
              <w:t>/</w:t>
            </w:r>
          </w:p>
        </w:tc>
        <w:tc>
          <w:tcPr>
            <w:tcW w:w="1901" w:type="pct"/>
            <w:gridSpan w:val="2"/>
            <w:tcBorders>
              <w:top w:val="single" w:sz="4" w:space="0" w:color="auto"/>
              <w:left w:val="nil"/>
              <w:bottom w:val="single" w:sz="4" w:space="0" w:color="auto"/>
              <w:right w:val="single" w:sz="4" w:space="0" w:color="auto"/>
            </w:tcBorders>
            <w:vAlign w:val="center"/>
          </w:tcPr>
          <w:p w14:paraId="65EA5247" w14:textId="77777777" w:rsidR="00A67F21" w:rsidRPr="00B12FE0" w:rsidRDefault="00000000">
            <w:pPr>
              <w:snapToGrid w:val="0"/>
              <w:jc w:val="center"/>
              <w:rPr>
                <w:color w:val="000000" w:themeColor="text1"/>
                <w:kern w:val="0"/>
                <w:sz w:val="21"/>
                <w:szCs w:val="21"/>
              </w:rPr>
            </w:pPr>
            <w:r w:rsidRPr="00B12FE0">
              <w:rPr>
                <w:rFonts w:ascii="宋体" w:hAnsi="宋体" w:hint="eastAsia"/>
                <w:color w:val="000000" w:themeColor="text1"/>
                <w:sz w:val="21"/>
                <w:szCs w:val="21"/>
              </w:rPr>
              <w:t>按照废旧放射源返回合同规定，将废旧放射源交回生产单位或者返回原出口方</w:t>
            </w:r>
            <w:r w:rsidRPr="00B12FE0">
              <w:rPr>
                <w:rFonts w:ascii="宋体" w:hAnsi="宋体"/>
                <w:color w:val="000000" w:themeColor="text1"/>
                <w:sz w:val="21"/>
                <w:szCs w:val="21"/>
              </w:rPr>
              <w:t>；若确实不能返回的，则交城市放射性废物库。</w:t>
            </w:r>
          </w:p>
        </w:tc>
      </w:tr>
      <w:tr w:rsidR="00A67F21" w:rsidRPr="00B12FE0" w14:paraId="3D844E2A" w14:textId="77777777">
        <w:trPr>
          <w:trHeight w:val="20"/>
          <w:jc w:val="center"/>
        </w:trPr>
        <w:tc>
          <w:tcPr>
            <w:tcW w:w="964" w:type="pct"/>
            <w:gridSpan w:val="2"/>
            <w:tcBorders>
              <w:top w:val="single" w:sz="4" w:space="0" w:color="auto"/>
              <w:left w:val="single" w:sz="4" w:space="0" w:color="auto"/>
              <w:bottom w:val="single" w:sz="4" w:space="0" w:color="auto"/>
              <w:right w:val="single" w:sz="4" w:space="0" w:color="auto"/>
            </w:tcBorders>
            <w:vAlign w:val="center"/>
          </w:tcPr>
          <w:p w14:paraId="247A3897" w14:textId="77777777" w:rsidR="00A67F21" w:rsidRPr="00B12FE0" w:rsidRDefault="00000000">
            <w:pPr>
              <w:snapToGrid w:val="0"/>
              <w:jc w:val="center"/>
              <w:rPr>
                <w:color w:val="000000" w:themeColor="text1"/>
                <w:sz w:val="21"/>
                <w:szCs w:val="21"/>
              </w:rPr>
            </w:pPr>
            <w:r w:rsidRPr="00B12FE0">
              <w:rPr>
                <w:color w:val="000000" w:themeColor="text1"/>
                <w:sz w:val="21"/>
                <w:szCs w:val="21"/>
              </w:rPr>
              <w:t>PET/CT</w:t>
            </w:r>
            <w:proofErr w:type="gramStart"/>
            <w:r w:rsidRPr="00B12FE0">
              <w:rPr>
                <w:rFonts w:hint="eastAsia"/>
                <w:color w:val="000000" w:themeColor="text1"/>
                <w:sz w:val="21"/>
                <w:szCs w:val="21"/>
              </w:rPr>
              <w:t>废</w:t>
            </w:r>
            <w:r w:rsidRPr="00B12FE0">
              <w:rPr>
                <w:color w:val="000000" w:themeColor="text1"/>
                <w:sz w:val="21"/>
                <w:szCs w:val="21"/>
              </w:rPr>
              <w:t>源</w:t>
            </w:r>
            <w:proofErr w:type="gramEnd"/>
          </w:p>
        </w:tc>
        <w:tc>
          <w:tcPr>
            <w:tcW w:w="305" w:type="pct"/>
            <w:tcBorders>
              <w:top w:val="single" w:sz="4" w:space="0" w:color="auto"/>
              <w:left w:val="nil"/>
              <w:bottom w:val="single" w:sz="4" w:space="0" w:color="auto"/>
              <w:right w:val="single" w:sz="4" w:space="0" w:color="auto"/>
            </w:tcBorders>
            <w:vAlign w:val="center"/>
          </w:tcPr>
          <w:p w14:paraId="7FD9B8C4" w14:textId="77777777" w:rsidR="00A67F21" w:rsidRPr="00B12FE0" w:rsidRDefault="00000000">
            <w:pPr>
              <w:snapToGrid w:val="0"/>
              <w:jc w:val="center"/>
              <w:rPr>
                <w:color w:val="000000" w:themeColor="text1"/>
                <w:kern w:val="0"/>
                <w:sz w:val="21"/>
                <w:szCs w:val="21"/>
              </w:rPr>
            </w:pPr>
            <w:r w:rsidRPr="00B12FE0">
              <w:rPr>
                <w:color w:val="000000" w:themeColor="text1"/>
                <w:kern w:val="0"/>
                <w:sz w:val="21"/>
                <w:szCs w:val="21"/>
              </w:rPr>
              <w:t>固态</w:t>
            </w:r>
          </w:p>
        </w:tc>
        <w:tc>
          <w:tcPr>
            <w:tcW w:w="406" w:type="pct"/>
            <w:tcBorders>
              <w:top w:val="single" w:sz="4" w:space="0" w:color="auto"/>
              <w:left w:val="nil"/>
              <w:bottom w:val="single" w:sz="4" w:space="0" w:color="auto"/>
              <w:right w:val="single" w:sz="4" w:space="0" w:color="auto"/>
            </w:tcBorders>
            <w:vAlign w:val="center"/>
          </w:tcPr>
          <w:p w14:paraId="5E923515" w14:textId="77777777" w:rsidR="00A67F21" w:rsidRPr="00B12FE0" w:rsidRDefault="00000000">
            <w:pPr>
              <w:jc w:val="center"/>
              <w:rPr>
                <w:color w:val="000000" w:themeColor="text1"/>
                <w:kern w:val="0"/>
                <w:sz w:val="21"/>
                <w:szCs w:val="21"/>
              </w:rPr>
            </w:pPr>
            <w:r w:rsidRPr="00B12FE0">
              <w:rPr>
                <w:color w:val="000000" w:themeColor="text1"/>
                <w:sz w:val="21"/>
                <w:szCs w:val="21"/>
                <w:vertAlign w:val="superscript"/>
              </w:rPr>
              <w:t>68</w:t>
            </w:r>
            <w:r w:rsidRPr="00B12FE0">
              <w:rPr>
                <w:color w:val="000000" w:themeColor="text1"/>
                <w:sz w:val="21"/>
                <w:szCs w:val="21"/>
              </w:rPr>
              <w:t>G</w:t>
            </w:r>
            <w:r w:rsidRPr="00B12FE0">
              <w:rPr>
                <w:rFonts w:hint="eastAsia"/>
                <w:color w:val="000000" w:themeColor="text1"/>
                <w:sz w:val="21"/>
                <w:szCs w:val="21"/>
              </w:rPr>
              <w:t>e</w:t>
            </w:r>
          </w:p>
        </w:tc>
        <w:tc>
          <w:tcPr>
            <w:tcW w:w="936" w:type="pct"/>
            <w:gridSpan w:val="3"/>
            <w:tcBorders>
              <w:top w:val="single" w:sz="4" w:space="0" w:color="auto"/>
              <w:left w:val="nil"/>
              <w:bottom w:val="single" w:sz="4" w:space="0" w:color="auto"/>
              <w:right w:val="single" w:sz="4" w:space="0" w:color="auto"/>
            </w:tcBorders>
            <w:vAlign w:val="center"/>
          </w:tcPr>
          <w:p w14:paraId="2A0B4677"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sz w:val="21"/>
                <w:szCs w:val="21"/>
              </w:rPr>
              <w:t>每</w:t>
            </w:r>
            <w:r w:rsidRPr="00B12FE0">
              <w:rPr>
                <w:rFonts w:hint="eastAsia"/>
                <w:color w:val="000000" w:themeColor="text1"/>
                <w:sz w:val="21"/>
                <w:szCs w:val="21"/>
              </w:rPr>
              <w:t>4</w:t>
            </w:r>
            <w:r w:rsidRPr="00B12FE0">
              <w:rPr>
                <w:rFonts w:hint="eastAsia"/>
                <w:color w:val="000000" w:themeColor="text1"/>
                <w:sz w:val="21"/>
                <w:szCs w:val="21"/>
              </w:rPr>
              <w:t>年产生</w:t>
            </w:r>
            <w:r w:rsidRPr="00B12FE0">
              <w:rPr>
                <w:rFonts w:hint="eastAsia"/>
                <w:color w:val="000000" w:themeColor="text1"/>
                <w:sz w:val="21"/>
                <w:szCs w:val="21"/>
              </w:rPr>
              <w:t>3</w:t>
            </w:r>
            <w:r w:rsidRPr="00B12FE0">
              <w:rPr>
                <w:rFonts w:hint="eastAsia"/>
                <w:color w:val="000000" w:themeColor="text1"/>
                <w:sz w:val="21"/>
                <w:szCs w:val="21"/>
              </w:rPr>
              <w:t>枚废</w:t>
            </w:r>
            <w:r w:rsidRPr="00B12FE0">
              <w:rPr>
                <w:color w:val="000000" w:themeColor="text1"/>
                <w:sz w:val="21"/>
                <w:szCs w:val="21"/>
                <w:vertAlign w:val="superscript"/>
              </w:rPr>
              <w:t>68</w:t>
            </w:r>
            <w:r w:rsidRPr="00B12FE0">
              <w:rPr>
                <w:color w:val="000000" w:themeColor="text1"/>
                <w:sz w:val="21"/>
                <w:szCs w:val="21"/>
              </w:rPr>
              <w:t>G</w:t>
            </w:r>
            <w:r w:rsidRPr="00B12FE0">
              <w:rPr>
                <w:rFonts w:hint="eastAsia"/>
                <w:color w:val="000000" w:themeColor="text1"/>
                <w:sz w:val="21"/>
                <w:szCs w:val="21"/>
              </w:rPr>
              <w:t>e</w:t>
            </w:r>
            <w:r w:rsidRPr="00B12FE0">
              <w:rPr>
                <w:rFonts w:hint="eastAsia"/>
                <w:color w:val="000000" w:themeColor="text1"/>
                <w:sz w:val="21"/>
                <w:szCs w:val="21"/>
              </w:rPr>
              <w:t>放射源</w:t>
            </w:r>
          </w:p>
        </w:tc>
        <w:tc>
          <w:tcPr>
            <w:tcW w:w="488" w:type="pct"/>
            <w:tcBorders>
              <w:top w:val="single" w:sz="4" w:space="0" w:color="auto"/>
              <w:left w:val="nil"/>
              <w:bottom w:val="single" w:sz="4" w:space="0" w:color="auto"/>
              <w:right w:val="single" w:sz="4" w:space="0" w:color="auto"/>
            </w:tcBorders>
            <w:vAlign w:val="center"/>
          </w:tcPr>
          <w:p w14:paraId="0D9B02EC" w14:textId="77777777" w:rsidR="00A67F21" w:rsidRPr="00B12FE0" w:rsidRDefault="00000000">
            <w:pPr>
              <w:pStyle w:val="TableParagraph"/>
              <w:autoSpaceDE/>
              <w:autoSpaceDN/>
              <w:contextualSpacing/>
              <w:jc w:val="center"/>
              <w:rPr>
                <w:color w:val="000000" w:themeColor="text1"/>
                <w:sz w:val="21"/>
                <w:szCs w:val="21"/>
              </w:rPr>
            </w:pPr>
            <w:r w:rsidRPr="00B12FE0">
              <w:rPr>
                <w:rFonts w:hint="eastAsia"/>
                <w:color w:val="000000" w:themeColor="text1"/>
                <w:sz w:val="21"/>
                <w:szCs w:val="21"/>
              </w:rPr>
              <w:t>/</w:t>
            </w:r>
          </w:p>
        </w:tc>
        <w:tc>
          <w:tcPr>
            <w:tcW w:w="1901" w:type="pct"/>
            <w:gridSpan w:val="2"/>
            <w:tcBorders>
              <w:top w:val="single" w:sz="4" w:space="0" w:color="auto"/>
              <w:left w:val="nil"/>
              <w:bottom w:val="single" w:sz="4" w:space="0" w:color="auto"/>
              <w:right w:val="single" w:sz="4" w:space="0" w:color="auto"/>
            </w:tcBorders>
            <w:vAlign w:val="center"/>
          </w:tcPr>
          <w:p w14:paraId="0ECBDA59" w14:textId="77777777" w:rsidR="00A67F21" w:rsidRPr="00B12FE0" w:rsidRDefault="00000000">
            <w:pPr>
              <w:snapToGrid w:val="0"/>
              <w:jc w:val="center"/>
              <w:rPr>
                <w:color w:val="000000" w:themeColor="text1"/>
                <w:kern w:val="0"/>
                <w:sz w:val="21"/>
                <w:szCs w:val="21"/>
              </w:rPr>
            </w:pPr>
            <w:r w:rsidRPr="00B12FE0">
              <w:rPr>
                <w:rFonts w:hint="eastAsia"/>
                <w:color w:val="000000" w:themeColor="text1"/>
                <w:sz w:val="21"/>
                <w:szCs w:val="21"/>
              </w:rPr>
              <w:t>按照废旧放射源返回合同规定，将废旧放射源交回生产单位或者返回原出口方；若确实不能返回的，则交城市放射性废物库。</w:t>
            </w:r>
          </w:p>
        </w:tc>
      </w:tr>
    </w:tbl>
    <w:p w14:paraId="17B78630" w14:textId="77777777" w:rsidR="00A67F21" w:rsidRPr="00B12FE0" w:rsidRDefault="00000000">
      <w:pPr>
        <w:pStyle w:val="afb"/>
        <w:spacing w:beforeLines="50" w:before="120" w:after="0" w:line="360" w:lineRule="auto"/>
        <w:rPr>
          <w:color w:val="000000" w:themeColor="text1"/>
          <w:spacing w:val="102"/>
          <w:sz w:val="18"/>
          <w:szCs w:val="18"/>
        </w:rPr>
      </w:pPr>
      <w:r w:rsidRPr="00B12FE0">
        <w:rPr>
          <w:color w:val="000000" w:themeColor="text1"/>
          <w:spacing w:val="-1"/>
          <w:sz w:val="18"/>
          <w:szCs w:val="18"/>
        </w:rPr>
        <w:t>注：</w:t>
      </w:r>
      <w:r w:rsidRPr="00B12FE0">
        <w:rPr>
          <w:color w:val="000000" w:themeColor="text1"/>
          <w:spacing w:val="-1"/>
          <w:sz w:val="18"/>
          <w:szCs w:val="18"/>
        </w:rPr>
        <w:t>1.</w:t>
      </w:r>
      <w:r w:rsidRPr="00B12FE0">
        <w:rPr>
          <w:color w:val="000000" w:themeColor="text1"/>
          <w:spacing w:val="-1"/>
          <w:sz w:val="18"/>
          <w:szCs w:val="18"/>
        </w:rPr>
        <w:t>常规废弃物排放浓度，对于液态单位为</w:t>
      </w:r>
      <w:r w:rsidRPr="00B12FE0">
        <w:rPr>
          <w:color w:val="000000" w:themeColor="text1"/>
          <w:spacing w:val="-1"/>
          <w:sz w:val="18"/>
          <w:szCs w:val="18"/>
        </w:rPr>
        <w:t>mg/L</w:t>
      </w:r>
      <w:r w:rsidRPr="00B12FE0">
        <w:rPr>
          <w:color w:val="000000" w:themeColor="text1"/>
          <w:spacing w:val="-1"/>
          <w:sz w:val="18"/>
          <w:szCs w:val="18"/>
        </w:rPr>
        <w:t>，固体为</w:t>
      </w:r>
      <w:r w:rsidRPr="00B12FE0">
        <w:rPr>
          <w:color w:val="000000" w:themeColor="text1"/>
          <w:spacing w:val="-1"/>
          <w:sz w:val="18"/>
          <w:szCs w:val="18"/>
        </w:rPr>
        <w:t>mg/kg</w:t>
      </w:r>
      <w:r w:rsidRPr="00B12FE0">
        <w:rPr>
          <w:color w:val="000000" w:themeColor="text1"/>
          <w:spacing w:val="-1"/>
          <w:sz w:val="18"/>
          <w:szCs w:val="18"/>
        </w:rPr>
        <w:t>，气态为</w:t>
      </w:r>
      <w:r w:rsidRPr="00B12FE0">
        <w:rPr>
          <w:color w:val="000000" w:themeColor="text1"/>
          <w:spacing w:val="-1"/>
          <w:sz w:val="18"/>
          <w:szCs w:val="18"/>
        </w:rPr>
        <w:t>mg/m</w:t>
      </w:r>
      <w:r w:rsidRPr="00B12FE0">
        <w:rPr>
          <w:color w:val="000000" w:themeColor="text1"/>
          <w:spacing w:val="-1"/>
          <w:sz w:val="18"/>
          <w:szCs w:val="18"/>
          <w:vertAlign w:val="superscript"/>
        </w:rPr>
        <w:t>3</w:t>
      </w:r>
      <w:r w:rsidRPr="00B12FE0">
        <w:rPr>
          <w:color w:val="000000" w:themeColor="text1"/>
          <w:spacing w:val="-1"/>
          <w:sz w:val="18"/>
          <w:szCs w:val="18"/>
        </w:rPr>
        <w:t>；年排放总量用</w:t>
      </w:r>
      <w:r w:rsidRPr="00B12FE0">
        <w:rPr>
          <w:color w:val="000000" w:themeColor="text1"/>
          <w:spacing w:val="-1"/>
          <w:sz w:val="18"/>
          <w:szCs w:val="18"/>
        </w:rPr>
        <w:t>kg</w:t>
      </w:r>
      <w:r w:rsidRPr="00B12FE0">
        <w:rPr>
          <w:color w:val="000000" w:themeColor="text1"/>
          <w:spacing w:val="-1"/>
          <w:sz w:val="18"/>
          <w:szCs w:val="18"/>
        </w:rPr>
        <w:t>。</w:t>
      </w:r>
    </w:p>
    <w:p w14:paraId="76A3AC9C" w14:textId="77777777" w:rsidR="00A67F21" w:rsidRPr="00B12FE0" w:rsidRDefault="00000000">
      <w:pPr>
        <w:pStyle w:val="afb"/>
        <w:spacing w:after="0" w:line="360" w:lineRule="auto"/>
        <w:ind w:firstLineChars="200" w:firstLine="358"/>
        <w:contextualSpacing/>
        <w:rPr>
          <w:color w:val="000000" w:themeColor="text1"/>
          <w:spacing w:val="-1"/>
          <w:sz w:val="18"/>
          <w:szCs w:val="18"/>
        </w:rPr>
      </w:pPr>
      <w:r w:rsidRPr="00B12FE0">
        <w:rPr>
          <w:color w:val="000000" w:themeColor="text1"/>
          <w:spacing w:val="-1"/>
          <w:sz w:val="18"/>
          <w:szCs w:val="18"/>
        </w:rPr>
        <w:lastRenderedPageBreak/>
        <w:t>2</w:t>
      </w:r>
      <w:r w:rsidRPr="00B12FE0">
        <w:rPr>
          <w:rFonts w:hint="eastAsia"/>
          <w:color w:val="000000" w:themeColor="text1"/>
          <w:spacing w:val="-1"/>
          <w:sz w:val="18"/>
          <w:szCs w:val="18"/>
        </w:rPr>
        <w:t>.</w:t>
      </w:r>
      <w:r w:rsidRPr="00B12FE0">
        <w:rPr>
          <w:color w:val="000000" w:themeColor="text1"/>
          <w:spacing w:val="-1"/>
          <w:sz w:val="18"/>
          <w:szCs w:val="18"/>
        </w:rPr>
        <w:t>含有放射性的废物要注明，其排放浓度、年排放总量分别用比活度（</w:t>
      </w:r>
      <w:r w:rsidRPr="00B12FE0">
        <w:rPr>
          <w:color w:val="000000" w:themeColor="text1"/>
          <w:spacing w:val="-1"/>
          <w:sz w:val="18"/>
          <w:szCs w:val="18"/>
        </w:rPr>
        <w:t>Bq/L</w:t>
      </w:r>
      <w:r w:rsidRPr="00B12FE0">
        <w:rPr>
          <w:color w:val="000000" w:themeColor="text1"/>
          <w:spacing w:val="-1"/>
          <w:sz w:val="18"/>
          <w:szCs w:val="18"/>
        </w:rPr>
        <w:t>或</w:t>
      </w:r>
      <w:r w:rsidRPr="00B12FE0">
        <w:rPr>
          <w:color w:val="000000" w:themeColor="text1"/>
          <w:spacing w:val="-1"/>
          <w:sz w:val="18"/>
          <w:szCs w:val="18"/>
        </w:rPr>
        <w:t>Bq/kg</w:t>
      </w:r>
      <w:r w:rsidRPr="00B12FE0">
        <w:rPr>
          <w:color w:val="000000" w:themeColor="text1"/>
          <w:spacing w:val="-1"/>
          <w:sz w:val="18"/>
          <w:szCs w:val="18"/>
        </w:rPr>
        <w:t>或</w:t>
      </w:r>
      <w:r w:rsidRPr="00B12FE0">
        <w:rPr>
          <w:color w:val="000000" w:themeColor="text1"/>
          <w:spacing w:val="-1"/>
          <w:sz w:val="18"/>
          <w:szCs w:val="18"/>
        </w:rPr>
        <w:t>Bq/m</w:t>
      </w:r>
      <w:r w:rsidRPr="00B12FE0">
        <w:rPr>
          <w:color w:val="000000" w:themeColor="text1"/>
          <w:spacing w:val="-1"/>
          <w:sz w:val="18"/>
          <w:szCs w:val="18"/>
          <w:vertAlign w:val="superscript"/>
        </w:rPr>
        <w:t>3</w:t>
      </w:r>
      <w:r w:rsidRPr="00B12FE0">
        <w:rPr>
          <w:color w:val="000000" w:themeColor="text1"/>
          <w:spacing w:val="-1"/>
          <w:sz w:val="18"/>
          <w:szCs w:val="18"/>
        </w:rPr>
        <w:t>）和活度（</w:t>
      </w:r>
      <w:r w:rsidRPr="00B12FE0">
        <w:rPr>
          <w:color w:val="000000" w:themeColor="text1"/>
          <w:spacing w:val="-1"/>
          <w:sz w:val="18"/>
          <w:szCs w:val="18"/>
        </w:rPr>
        <w:t>Bq</w:t>
      </w:r>
      <w:r w:rsidRPr="00B12FE0">
        <w:rPr>
          <w:color w:val="000000" w:themeColor="text1"/>
          <w:spacing w:val="-1"/>
          <w:sz w:val="18"/>
          <w:szCs w:val="18"/>
        </w:rPr>
        <w:t>）。</w:t>
      </w:r>
    </w:p>
    <w:p w14:paraId="0021E053" w14:textId="77777777" w:rsidR="00A67F21" w:rsidRPr="00B12FE0" w:rsidRDefault="00A67F21">
      <w:pPr>
        <w:spacing w:before="120" w:after="120" w:line="360" w:lineRule="auto"/>
        <w:ind w:firstLine="480"/>
        <w:rPr>
          <w:color w:val="000000" w:themeColor="text1"/>
        </w:rPr>
        <w:sectPr w:rsidR="00A67F21" w:rsidRPr="00B12FE0">
          <w:pgSz w:w="16840" w:h="11907" w:orient="landscape"/>
          <w:pgMar w:top="1440" w:right="1440" w:bottom="1440" w:left="1440" w:header="851" w:footer="851" w:gutter="0"/>
          <w:cols w:space="720"/>
          <w:docGrid w:linePitch="332"/>
        </w:sectPr>
      </w:pPr>
    </w:p>
    <w:p w14:paraId="2EA7892D" w14:textId="77777777" w:rsidR="00A67F21" w:rsidRPr="00B12FE0" w:rsidRDefault="00000000">
      <w:pPr>
        <w:spacing w:line="360" w:lineRule="auto"/>
        <w:outlineLvl w:val="0"/>
        <w:rPr>
          <w:b/>
          <w:color w:val="000000" w:themeColor="text1"/>
          <w:sz w:val="32"/>
          <w:szCs w:val="32"/>
        </w:rPr>
      </w:pPr>
      <w:bookmarkStart w:id="9" w:name="_Toc16278"/>
      <w:r w:rsidRPr="00B12FE0">
        <w:rPr>
          <w:b/>
          <w:color w:val="000000" w:themeColor="text1"/>
          <w:sz w:val="32"/>
          <w:szCs w:val="32"/>
        </w:rPr>
        <w:lastRenderedPageBreak/>
        <w:t>表</w:t>
      </w:r>
      <w:r w:rsidRPr="00B12FE0">
        <w:rPr>
          <w:b/>
          <w:color w:val="000000" w:themeColor="text1"/>
          <w:sz w:val="32"/>
          <w:szCs w:val="32"/>
        </w:rPr>
        <w:t xml:space="preserve">6 </w:t>
      </w:r>
      <w:r w:rsidRPr="00B12FE0">
        <w:rPr>
          <w:b/>
          <w:color w:val="000000" w:themeColor="text1"/>
          <w:sz w:val="32"/>
          <w:szCs w:val="32"/>
        </w:rPr>
        <w:t>评价依据</w:t>
      </w:r>
      <w:bookmarkEnd w:id="9"/>
    </w:p>
    <w:tbl>
      <w:tblPr>
        <w:tblW w:w="9015" w:type="dxa"/>
        <w:jc w:val="center"/>
        <w:tblLook w:val="04A0" w:firstRow="1" w:lastRow="0" w:firstColumn="1" w:lastColumn="0" w:noHBand="0" w:noVBand="1"/>
      </w:tblPr>
      <w:tblGrid>
        <w:gridCol w:w="846"/>
        <w:gridCol w:w="8169"/>
      </w:tblGrid>
      <w:tr w:rsidR="00A67F21" w:rsidRPr="00B12FE0" w14:paraId="46BFCC04"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C463F97" w14:textId="77777777" w:rsidR="00A67F21" w:rsidRPr="00B12FE0" w:rsidRDefault="00000000">
            <w:pPr>
              <w:pStyle w:val="TableParagraph"/>
              <w:autoSpaceDE/>
              <w:autoSpaceDN/>
              <w:snapToGrid w:val="0"/>
              <w:spacing w:line="360" w:lineRule="auto"/>
              <w:jc w:val="center"/>
              <w:rPr>
                <w:b/>
                <w:bCs/>
                <w:color w:val="000000" w:themeColor="text1"/>
              </w:rPr>
            </w:pPr>
            <w:r w:rsidRPr="00B12FE0">
              <w:rPr>
                <w:b/>
                <w:bCs/>
                <w:color w:val="000000" w:themeColor="text1"/>
              </w:rPr>
              <w:t>法规</w:t>
            </w:r>
          </w:p>
          <w:p w14:paraId="5E026D94" w14:textId="77777777" w:rsidR="00A67F21" w:rsidRPr="00B12FE0" w:rsidRDefault="00000000">
            <w:pPr>
              <w:pStyle w:val="TableParagraph"/>
              <w:autoSpaceDE/>
              <w:autoSpaceDN/>
              <w:snapToGrid w:val="0"/>
              <w:spacing w:line="360" w:lineRule="auto"/>
              <w:jc w:val="center"/>
              <w:rPr>
                <w:b/>
                <w:bCs/>
                <w:color w:val="000000" w:themeColor="text1"/>
                <w:w w:val="95"/>
              </w:rPr>
            </w:pPr>
            <w:r w:rsidRPr="00B12FE0">
              <w:rPr>
                <w:b/>
                <w:bCs/>
                <w:color w:val="000000" w:themeColor="text1"/>
              </w:rPr>
              <w:t>文件</w:t>
            </w:r>
          </w:p>
        </w:tc>
        <w:tc>
          <w:tcPr>
            <w:tcW w:w="8171" w:type="dxa"/>
            <w:tcBorders>
              <w:top w:val="single" w:sz="4" w:space="0" w:color="000000"/>
              <w:left w:val="single" w:sz="4" w:space="0" w:color="000000"/>
              <w:bottom w:val="single" w:sz="4" w:space="0" w:color="000000"/>
              <w:right w:val="single" w:sz="4" w:space="0" w:color="000000"/>
            </w:tcBorders>
            <w:vAlign w:val="center"/>
          </w:tcPr>
          <w:p w14:paraId="1E32ABFF"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w:t>
            </w:r>
            <w:r w:rsidRPr="00B12FE0">
              <w:rPr>
                <w:color w:val="000000" w:themeColor="text1"/>
                <w:szCs w:val="24"/>
              </w:rPr>
              <w:t>1</w:t>
            </w:r>
            <w:r w:rsidRPr="00B12FE0">
              <w:rPr>
                <w:color w:val="000000" w:themeColor="text1"/>
                <w:szCs w:val="24"/>
              </w:rPr>
              <w:t>）《中华人民共和国环境保护法》（</w:t>
            </w:r>
            <w:r w:rsidRPr="00B12FE0">
              <w:rPr>
                <w:color w:val="000000" w:themeColor="text1"/>
                <w:szCs w:val="24"/>
              </w:rPr>
              <w:t>1989</w:t>
            </w:r>
            <w:r w:rsidRPr="00B12FE0">
              <w:rPr>
                <w:color w:val="000000" w:themeColor="text1"/>
                <w:szCs w:val="24"/>
              </w:rPr>
              <w:t>年</w:t>
            </w:r>
            <w:r w:rsidRPr="00B12FE0">
              <w:rPr>
                <w:color w:val="000000" w:themeColor="text1"/>
                <w:szCs w:val="24"/>
              </w:rPr>
              <w:t>12</w:t>
            </w:r>
            <w:r w:rsidRPr="00B12FE0">
              <w:rPr>
                <w:color w:val="000000" w:themeColor="text1"/>
                <w:szCs w:val="24"/>
              </w:rPr>
              <w:t>月</w:t>
            </w:r>
            <w:r w:rsidRPr="00B12FE0">
              <w:rPr>
                <w:color w:val="000000" w:themeColor="text1"/>
                <w:szCs w:val="24"/>
              </w:rPr>
              <w:t>26</w:t>
            </w:r>
            <w:r w:rsidRPr="00B12FE0">
              <w:rPr>
                <w:color w:val="000000" w:themeColor="text1"/>
                <w:szCs w:val="24"/>
              </w:rPr>
              <w:t>日第七届全国人民代表大会常务委员会第十一次会议通过；</w:t>
            </w:r>
            <w:r w:rsidRPr="00B12FE0">
              <w:rPr>
                <w:color w:val="000000" w:themeColor="text1"/>
                <w:szCs w:val="24"/>
              </w:rPr>
              <w:t>2014</w:t>
            </w:r>
            <w:r w:rsidRPr="00B12FE0">
              <w:rPr>
                <w:color w:val="000000" w:themeColor="text1"/>
                <w:szCs w:val="24"/>
              </w:rPr>
              <w:t>年</w:t>
            </w:r>
            <w:r w:rsidRPr="00B12FE0">
              <w:rPr>
                <w:color w:val="000000" w:themeColor="text1"/>
                <w:szCs w:val="24"/>
              </w:rPr>
              <w:t>4</w:t>
            </w:r>
            <w:r w:rsidRPr="00B12FE0">
              <w:rPr>
                <w:color w:val="000000" w:themeColor="text1"/>
                <w:szCs w:val="24"/>
              </w:rPr>
              <w:t>月</w:t>
            </w:r>
            <w:r w:rsidRPr="00B12FE0">
              <w:rPr>
                <w:color w:val="000000" w:themeColor="text1"/>
                <w:szCs w:val="24"/>
              </w:rPr>
              <w:t>24</w:t>
            </w:r>
            <w:r w:rsidRPr="00B12FE0">
              <w:rPr>
                <w:color w:val="000000" w:themeColor="text1"/>
                <w:szCs w:val="24"/>
              </w:rPr>
              <w:t>日第十二届全国人民代表大会常务委员会第八次会议修订），</w:t>
            </w:r>
            <w:r w:rsidRPr="00B12FE0">
              <w:rPr>
                <w:color w:val="000000" w:themeColor="text1"/>
                <w:szCs w:val="24"/>
              </w:rPr>
              <w:t>2015</w:t>
            </w:r>
            <w:r w:rsidRPr="00B12FE0">
              <w:rPr>
                <w:color w:val="000000" w:themeColor="text1"/>
                <w:szCs w:val="24"/>
              </w:rPr>
              <w:t>年</w:t>
            </w:r>
            <w:r w:rsidRPr="00B12FE0">
              <w:rPr>
                <w:color w:val="000000" w:themeColor="text1"/>
                <w:szCs w:val="24"/>
              </w:rPr>
              <w:t>1</w:t>
            </w:r>
            <w:r w:rsidRPr="00B12FE0">
              <w:rPr>
                <w:color w:val="000000" w:themeColor="text1"/>
                <w:szCs w:val="24"/>
              </w:rPr>
              <w:t>月</w:t>
            </w:r>
            <w:r w:rsidRPr="00B12FE0">
              <w:rPr>
                <w:color w:val="000000" w:themeColor="text1"/>
                <w:szCs w:val="24"/>
              </w:rPr>
              <w:t>1</w:t>
            </w:r>
            <w:r w:rsidRPr="00B12FE0">
              <w:rPr>
                <w:color w:val="000000" w:themeColor="text1"/>
                <w:szCs w:val="24"/>
              </w:rPr>
              <w:t>日施行修订版；</w:t>
            </w:r>
          </w:p>
          <w:p w14:paraId="18FD1853"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w:t>
            </w:r>
            <w:r w:rsidRPr="00B12FE0">
              <w:rPr>
                <w:color w:val="000000" w:themeColor="text1"/>
                <w:szCs w:val="24"/>
              </w:rPr>
              <w:t>2</w:t>
            </w:r>
            <w:r w:rsidRPr="00B12FE0">
              <w:rPr>
                <w:color w:val="000000" w:themeColor="text1"/>
                <w:szCs w:val="24"/>
              </w:rPr>
              <w:t>）《中华人民共和国环境影响评价法》（</w:t>
            </w:r>
            <w:r w:rsidRPr="00B12FE0">
              <w:rPr>
                <w:color w:val="000000" w:themeColor="text1"/>
                <w:szCs w:val="24"/>
              </w:rPr>
              <w:t>2002</w:t>
            </w:r>
            <w:r w:rsidRPr="00B12FE0">
              <w:rPr>
                <w:color w:val="000000" w:themeColor="text1"/>
                <w:szCs w:val="24"/>
              </w:rPr>
              <w:t>年</w:t>
            </w:r>
            <w:r w:rsidRPr="00B12FE0">
              <w:rPr>
                <w:color w:val="000000" w:themeColor="text1"/>
                <w:szCs w:val="24"/>
              </w:rPr>
              <w:t>10</w:t>
            </w:r>
            <w:r w:rsidRPr="00B12FE0">
              <w:rPr>
                <w:color w:val="000000" w:themeColor="text1"/>
                <w:szCs w:val="24"/>
              </w:rPr>
              <w:t>月</w:t>
            </w:r>
            <w:r w:rsidRPr="00B12FE0">
              <w:rPr>
                <w:color w:val="000000" w:themeColor="text1"/>
                <w:szCs w:val="24"/>
              </w:rPr>
              <w:t>28</w:t>
            </w:r>
            <w:r w:rsidRPr="00B12FE0">
              <w:rPr>
                <w:color w:val="000000" w:themeColor="text1"/>
                <w:szCs w:val="24"/>
              </w:rPr>
              <w:t>日第九届全国人民代表大会常务委员会第三十次会议通过，自</w:t>
            </w:r>
            <w:r w:rsidRPr="00B12FE0">
              <w:rPr>
                <w:color w:val="000000" w:themeColor="text1"/>
                <w:szCs w:val="24"/>
              </w:rPr>
              <w:t>2003</w:t>
            </w:r>
            <w:r w:rsidRPr="00B12FE0">
              <w:rPr>
                <w:color w:val="000000" w:themeColor="text1"/>
                <w:szCs w:val="24"/>
              </w:rPr>
              <w:t>年</w:t>
            </w:r>
            <w:r w:rsidRPr="00B12FE0">
              <w:rPr>
                <w:color w:val="000000" w:themeColor="text1"/>
                <w:szCs w:val="24"/>
              </w:rPr>
              <w:t>9</w:t>
            </w:r>
            <w:r w:rsidRPr="00B12FE0">
              <w:rPr>
                <w:color w:val="000000" w:themeColor="text1"/>
                <w:szCs w:val="24"/>
              </w:rPr>
              <w:t>月</w:t>
            </w:r>
            <w:r w:rsidRPr="00B12FE0">
              <w:rPr>
                <w:color w:val="000000" w:themeColor="text1"/>
                <w:szCs w:val="24"/>
              </w:rPr>
              <w:t>1</w:t>
            </w:r>
            <w:r w:rsidRPr="00B12FE0">
              <w:rPr>
                <w:color w:val="000000" w:themeColor="text1"/>
                <w:szCs w:val="24"/>
              </w:rPr>
              <w:t>日起施行；</w:t>
            </w:r>
            <w:r w:rsidRPr="00B12FE0">
              <w:rPr>
                <w:color w:val="000000" w:themeColor="text1"/>
                <w:szCs w:val="24"/>
              </w:rPr>
              <w:t>2016</w:t>
            </w:r>
            <w:r w:rsidRPr="00B12FE0">
              <w:rPr>
                <w:color w:val="000000" w:themeColor="text1"/>
                <w:szCs w:val="24"/>
              </w:rPr>
              <w:t>年</w:t>
            </w:r>
            <w:r w:rsidRPr="00B12FE0">
              <w:rPr>
                <w:color w:val="000000" w:themeColor="text1"/>
                <w:szCs w:val="24"/>
              </w:rPr>
              <w:t>7</w:t>
            </w:r>
            <w:r w:rsidRPr="00B12FE0">
              <w:rPr>
                <w:color w:val="000000" w:themeColor="text1"/>
                <w:szCs w:val="24"/>
              </w:rPr>
              <w:t>月</w:t>
            </w:r>
            <w:r w:rsidRPr="00B12FE0">
              <w:rPr>
                <w:color w:val="000000" w:themeColor="text1"/>
                <w:szCs w:val="24"/>
              </w:rPr>
              <w:t>2</w:t>
            </w:r>
            <w:r w:rsidRPr="00B12FE0">
              <w:rPr>
                <w:color w:val="000000" w:themeColor="text1"/>
                <w:szCs w:val="24"/>
              </w:rPr>
              <w:t>日第一次修正；</w:t>
            </w:r>
            <w:r w:rsidRPr="00B12FE0">
              <w:rPr>
                <w:color w:val="000000" w:themeColor="text1"/>
                <w:szCs w:val="24"/>
              </w:rPr>
              <w:t>2018</w:t>
            </w:r>
            <w:r w:rsidRPr="00B12FE0">
              <w:rPr>
                <w:color w:val="000000" w:themeColor="text1"/>
                <w:szCs w:val="24"/>
              </w:rPr>
              <w:t>年</w:t>
            </w:r>
            <w:r w:rsidRPr="00B12FE0">
              <w:rPr>
                <w:color w:val="000000" w:themeColor="text1"/>
                <w:szCs w:val="24"/>
              </w:rPr>
              <w:t>12</w:t>
            </w:r>
            <w:r w:rsidRPr="00B12FE0">
              <w:rPr>
                <w:color w:val="000000" w:themeColor="text1"/>
                <w:szCs w:val="24"/>
              </w:rPr>
              <w:t>月</w:t>
            </w:r>
            <w:r w:rsidRPr="00B12FE0">
              <w:rPr>
                <w:color w:val="000000" w:themeColor="text1"/>
                <w:szCs w:val="24"/>
              </w:rPr>
              <w:t>29</w:t>
            </w:r>
            <w:r w:rsidRPr="00B12FE0">
              <w:rPr>
                <w:color w:val="000000" w:themeColor="text1"/>
                <w:szCs w:val="24"/>
              </w:rPr>
              <w:t>日第二次修正），</w:t>
            </w:r>
            <w:r w:rsidRPr="00B12FE0">
              <w:rPr>
                <w:color w:val="000000" w:themeColor="text1"/>
                <w:szCs w:val="24"/>
              </w:rPr>
              <w:t>2018</w:t>
            </w:r>
            <w:r w:rsidRPr="00B12FE0">
              <w:rPr>
                <w:color w:val="000000" w:themeColor="text1"/>
                <w:szCs w:val="24"/>
              </w:rPr>
              <w:t>年</w:t>
            </w:r>
            <w:r w:rsidRPr="00B12FE0">
              <w:rPr>
                <w:color w:val="000000" w:themeColor="text1"/>
                <w:szCs w:val="24"/>
              </w:rPr>
              <w:t>12</w:t>
            </w:r>
            <w:r w:rsidRPr="00B12FE0">
              <w:rPr>
                <w:color w:val="000000" w:themeColor="text1"/>
                <w:szCs w:val="24"/>
              </w:rPr>
              <w:t>月</w:t>
            </w:r>
            <w:r w:rsidRPr="00B12FE0">
              <w:rPr>
                <w:color w:val="000000" w:themeColor="text1"/>
                <w:szCs w:val="24"/>
              </w:rPr>
              <w:t>29</w:t>
            </w:r>
            <w:r w:rsidRPr="00B12FE0">
              <w:rPr>
                <w:color w:val="000000" w:themeColor="text1"/>
                <w:szCs w:val="24"/>
              </w:rPr>
              <w:t>日施行修</w:t>
            </w:r>
            <w:r w:rsidRPr="00B12FE0">
              <w:rPr>
                <w:rFonts w:hint="eastAsia"/>
                <w:color w:val="000000" w:themeColor="text1"/>
                <w:szCs w:val="24"/>
              </w:rPr>
              <w:t>正</w:t>
            </w:r>
            <w:r w:rsidRPr="00B12FE0">
              <w:rPr>
                <w:color w:val="000000" w:themeColor="text1"/>
                <w:szCs w:val="24"/>
              </w:rPr>
              <w:t>版；</w:t>
            </w:r>
          </w:p>
          <w:p w14:paraId="409AF4F4"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w:t>
            </w:r>
            <w:r w:rsidRPr="00B12FE0">
              <w:rPr>
                <w:color w:val="000000" w:themeColor="text1"/>
                <w:szCs w:val="24"/>
              </w:rPr>
              <w:t>3</w:t>
            </w:r>
            <w:r w:rsidRPr="00B12FE0">
              <w:rPr>
                <w:color w:val="000000" w:themeColor="text1"/>
                <w:szCs w:val="24"/>
              </w:rPr>
              <w:t>）《中华人民共和国放射性污染防治法》（</w:t>
            </w:r>
            <w:r w:rsidRPr="00B12FE0">
              <w:rPr>
                <w:color w:val="000000" w:themeColor="text1"/>
                <w:szCs w:val="24"/>
              </w:rPr>
              <w:t>2003</w:t>
            </w:r>
            <w:r w:rsidRPr="00B12FE0">
              <w:rPr>
                <w:color w:val="000000" w:themeColor="text1"/>
                <w:szCs w:val="24"/>
              </w:rPr>
              <w:t>年</w:t>
            </w:r>
            <w:r w:rsidRPr="00B12FE0">
              <w:rPr>
                <w:color w:val="000000" w:themeColor="text1"/>
                <w:szCs w:val="24"/>
              </w:rPr>
              <w:t>6</w:t>
            </w:r>
            <w:r w:rsidRPr="00B12FE0">
              <w:rPr>
                <w:color w:val="000000" w:themeColor="text1"/>
                <w:szCs w:val="24"/>
              </w:rPr>
              <w:t>月</w:t>
            </w:r>
            <w:r w:rsidRPr="00B12FE0">
              <w:rPr>
                <w:color w:val="000000" w:themeColor="text1"/>
                <w:szCs w:val="24"/>
              </w:rPr>
              <w:t>28</w:t>
            </w:r>
            <w:r w:rsidRPr="00B12FE0">
              <w:rPr>
                <w:color w:val="000000" w:themeColor="text1"/>
                <w:szCs w:val="24"/>
              </w:rPr>
              <w:t>日中华人民共和国第十届全国人民代表大会常务委员会第三次会议通过），</w:t>
            </w:r>
            <w:r w:rsidRPr="00B12FE0">
              <w:rPr>
                <w:color w:val="000000" w:themeColor="text1"/>
                <w:szCs w:val="24"/>
              </w:rPr>
              <w:t>2003</w:t>
            </w:r>
            <w:r w:rsidRPr="00B12FE0">
              <w:rPr>
                <w:color w:val="000000" w:themeColor="text1"/>
                <w:szCs w:val="24"/>
              </w:rPr>
              <w:t>年</w:t>
            </w:r>
            <w:r w:rsidRPr="00B12FE0">
              <w:rPr>
                <w:color w:val="000000" w:themeColor="text1"/>
                <w:szCs w:val="24"/>
              </w:rPr>
              <w:t>10</w:t>
            </w:r>
            <w:r w:rsidRPr="00B12FE0">
              <w:rPr>
                <w:color w:val="000000" w:themeColor="text1"/>
                <w:szCs w:val="24"/>
              </w:rPr>
              <w:t>月</w:t>
            </w:r>
            <w:r w:rsidRPr="00B12FE0">
              <w:rPr>
                <w:color w:val="000000" w:themeColor="text1"/>
                <w:szCs w:val="24"/>
              </w:rPr>
              <w:t>1</w:t>
            </w:r>
            <w:r w:rsidRPr="00B12FE0">
              <w:rPr>
                <w:color w:val="000000" w:themeColor="text1"/>
                <w:szCs w:val="24"/>
              </w:rPr>
              <w:t>日施行；</w:t>
            </w:r>
          </w:p>
          <w:p w14:paraId="13B41573"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w:t>
            </w:r>
            <w:r w:rsidRPr="00B12FE0">
              <w:rPr>
                <w:color w:val="000000" w:themeColor="text1"/>
                <w:szCs w:val="24"/>
              </w:rPr>
              <w:t>4</w:t>
            </w:r>
            <w:r w:rsidRPr="00B12FE0">
              <w:rPr>
                <w:color w:val="000000" w:themeColor="text1"/>
                <w:szCs w:val="24"/>
              </w:rPr>
              <w:t>）《建设项目环境保护管理条例》（</w:t>
            </w:r>
            <w:r w:rsidRPr="00B12FE0">
              <w:rPr>
                <w:color w:val="000000" w:themeColor="text1"/>
                <w:szCs w:val="24"/>
              </w:rPr>
              <w:t>1998</w:t>
            </w:r>
            <w:r w:rsidRPr="00B12FE0">
              <w:rPr>
                <w:color w:val="000000" w:themeColor="text1"/>
                <w:szCs w:val="24"/>
              </w:rPr>
              <w:t>年</w:t>
            </w:r>
            <w:r w:rsidRPr="00B12FE0">
              <w:rPr>
                <w:color w:val="000000" w:themeColor="text1"/>
                <w:szCs w:val="24"/>
              </w:rPr>
              <w:t>11</w:t>
            </w:r>
            <w:r w:rsidRPr="00B12FE0">
              <w:rPr>
                <w:color w:val="000000" w:themeColor="text1"/>
                <w:szCs w:val="24"/>
              </w:rPr>
              <w:t>月</w:t>
            </w:r>
            <w:r w:rsidRPr="00B12FE0">
              <w:rPr>
                <w:color w:val="000000" w:themeColor="text1"/>
                <w:szCs w:val="24"/>
              </w:rPr>
              <w:t>29</w:t>
            </w:r>
            <w:r w:rsidRPr="00B12FE0">
              <w:rPr>
                <w:color w:val="000000" w:themeColor="text1"/>
                <w:szCs w:val="24"/>
              </w:rPr>
              <w:t>日中华人民共和国国务院令第</w:t>
            </w:r>
            <w:r w:rsidRPr="00B12FE0">
              <w:rPr>
                <w:color w:val="000000" w:themeColor="text1"/>
                <w:szCs w:val="24"/>
              </w:rPr>
              <w:t>253</w:t>
            </w:r>
            <w:r w:rsidRPr="00B12FE0">
              <w:rPr>
                <w:color w:val="000000" w:themeColor="text1"/>
                <w:szCs w:val="24"/>
              </w:rPr>
              <w:t>号发布施行；</w:t>
            </w:r>
            <w:r w:rsidRPr="00B12FE0">
              <w:rPr>
                <w:color w:val="000000" w:themeColor="text1"/>
                <w:szCs w:val="24"/>
              </w:rPr>
              <w:t>2017</w:t>
            </w:r>
            <w:r w:rsidRPr="00B12FE0">
              <w:rPr>
                <w:color w:val="000000" w:themeColor="text1"/>
                <w:szCs w:val="24"/>
              </w:rPr>
              <w:t>年</w:t>
            </w:r>
            <w:r w:rsidRPr="00B12FE0">
              <w:rPr>
                <w:color w:val="000000" w:themeColor="text1"/>
                <w:szCs w:val="24"/>
              </w:rPr>
              <w:t>7</w:t>
            </w:r>
            <w:r w:rsidRPr="00B12FE0">
              <w:rPr>
                <w:color w:val="000000" w:themeColor="text1"/>
                <w:szCs w:val="24"/>
              </w:rPr>
              <w:t>月</w:t>
            </w:r>
            <w:r w:rsidRPr="00B12FE0">
              <w:rPr>
                <w:color w:val="000000" w:themeColor="text1"/>
                <w:szCs w:val="24"/>
              </w:rPr>
              <w:t>16</w:t>
            </w:r>
            <w:r w:rsidRPr="00B12FE0">
              <w:rPr>
                <w:color w:val="000000" w:themeColor="text1"/>
                <w:szCs w:val="24"/>
              </w:rPr>
              <w:t>日中华人民共和国国务院第</w:t>
            </w:r>
            <w:r w:rsidRPr="00B12FE0">
              <w:rPr>
                <w:color w:val="000000" w:themeColor="text1"/>
                <w:szCs w:val="24"/>
              </w:rPr>
              <w:t>682</w:t>
            </w:r>
            <w:r w:rsidRPr="00B12FE0">
              <w:rPr>
                <w:color w:val="000000" w:themeColor="text1"/>
                <w:szCs w:val="24"/>
              </w:rPr>
              <w:t>号令修订），自</w:t>
            </w:r>
            <w:r w:rsidRPr="00B12FE0">
              <w:rPr>
                <w:color w:val="000000" w:themeColor="text1"/>
                <w:szCs w:val="24"/>
              </w:rPr>
              <w:t>2017</w:t>
            </w:r>
            <w:r w:rsidRPr="00B12FE0">
              <w:rPr>
                <w:color w:val="000000" w:themeColor="text1"/>
                <w:szCs w:val="24"/>
              </w:rPr>
              <w:t>年</w:t>
            </w:r>
            <w:r w:rsidRPr="00B12FE0">
              <w:rPr>
                <w:color w:val="000000" w:themeColor="text1"/>
                <w:szCs w:val="24"/>
              </w:rPr>
              <w:t>10</w:t>
            </w:r>
            <w:r w:rsidRPr="00B12FE0">
              <w:rPr>
                <w:color w:val="000000" w:themeColor="text1"/>
                <w:szCs w:val="24"/>
              </w:rPr>
              <w:t>月</w:t>
            </w:r>
            <w:r w:rsidRPr="00B12FE0">
              <w:rPr>
                <w:color w:val="000000" w:themeColor="text1"/>
                <w:szCs w:val="24"/>
              </w:rPr>
              <w:t>1</w:t>
            </w:r>
            <w:r w:rsidRPr="00B12FE0">
              <w:rPr>
                <w:color w:val="000000" w:themeColor="text1"/>
                <w:szCs w:val="24"/>
              </w:rPr>
              <w:t>日起施行修订版；</w:t>
            </w:r>
          </w:p>
          <w:p w14:paraId="7EA7AA53"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w:t>
            </w:r>
            <w:r w:rsidRPr="00B12FE0">
              <w:rPr>
                <w:color w:val="000000" w:themeColor="text1"/>
                <w:szCs w:val="24"/>
              </w:rPr>
              <w:t>5</w:t>
            </w:r>
            <w:r w:rsidRPr="00B12FE0">
              <w:rPr>
                <w:color w:val="000000" w:themeColor="text1"/>
                <w:szCs w:val="24"/>
              </w:rPr>
              <w:t>）《放射性同位素与射线装置安全和防护条例》，（</w:t>
            </w:r>
            <w:r w:rsidRPr="00B12FE0">
              <w:rPr>
                <w:color w:val="000000" w:themeColor="text1"/>
                <w:szCs w:val="24"/>
              </w:rPr>
              <w:t>2005</w:t>
            </w:r>
            <w:r w:rsidRPr="00B12FE0">
              <w:rPr>
                <w:color w:val="000000" w:themeColor="text1"/>
                <w:szCs w:val="24"/>
              </w:rPr>
              <w:t>年</w:t>
            </w:r>
            <w:r w:rsidRPr="00B12FE0">
              <w:rPr>
                <w:color w:val="000000" w:themeColor="text1"/>
                <w:szCs w:val="24"/>
              </w:rPr>
              <w:t>9</w:t>
            </w:r>
            <w:r w:rsidRPr="00B12FE0">
              <w:rPr>
                <w:color w:val="000000" w:themeColor="text1"/>
                <w:szCs w:val="24"/>
              </w:rPr>
              <w:t>月</w:t>
            </w:r>
            <w:r w:rsidRPr="00B12FE0">
              <w:rPr>
                <w:color w:val="000000" w:themeColor="text1"/>
                <w:szCs w:val="24"/>
              </w:rPr>
              <w:t>14</w:t>
            </w:r>
            <w:r w:rsidRPr="00B12FE0">
              <w:rPr>
                <w:color w:val="000000" w:themeColor="text1"/>
                <w:szCs w:val="24"/>
              </w:rPr>
              <w:t>日经中华人民共和国国务院令第</w:t>
            </w:r>
            <w:r w:rsidRPr="00B12FE0">
              <w:rPr>
                <w:color w:val="000000" w:themeColor="text1"/>
                <w:szCs w:val="24"/>
              </w:rPr>
              <w:t>449</w:t>
            </w:r>
            <w:r w:rsidRPr="00B12FE0">
              <w:rPr>
                <w:color w:val="000000" w:themeColor="text1"/>
                <w:szCs w:val="24"/>
              </w:rPr>
              <w:t>号公布，</w:t>
            </w:r>
            <w:r w:rsidRPr="00B12FE0">
              <w:rPr>
                <w:color w:val="000000" w:themeColor="text1"/>
                <w:szCs w:val="24"/>
              </w:rPr>
              <w:t>2014</w:t>
            </w:r>
            <w:r w:rsidRPr="00B12FE0">
              <w:rPr>
                <w:color w:val="000000" w:themeColor="text1"/>
                <w:szCs w:val="24"/>
              </w:rPr>
              <w:t>年</w:t>
            </w:r>
            <w:r w:rsidRPr="00B12FE0">
              <w:rPr>
                <w:color w:val="000000" w:themeColor="text1"/>
                <w:szCs w:val="24"/>
              </w:rPr>
              <w:t>7</w:t>
            </w:r>
            <w:r w:rsidRPr="00B12FE0">
              <w:rPr>
                <w:color w:val="000000" w:themeColor="text1"/>
                <w:szCs w:val="24"/>
              </w:rPr>
              <w:t>月</w:t>
            </w:r>
            <w:r w:rsidRPr="00B12FE0">
              <w:rPr>
                <w:color w:val="000000" w:themeColor="text1"/>
                <w:szCs w:val="24"/>
              </w:rPr>
              <w:t>29</w:t>
            </w:r>
            <w:r w:rsidRPr="00B12FE0">
              <w:rPr>
                <w:color w:val="000000" w:themeColor="text1"/>
                <w:szCs w:val="24"/>
              </w:rPr>
              <w:t>日经中华人民共和国国务院令第</w:t>
            </w:r>
            <w:r w:rsidRPr="00B12FE0">
              <w:rPr>
                <w:color w:val="000000" w:themeColor="text1"/>
                <w:szCs w:val="24"/>
              </w:rPr>
              <w:t>653</w:t>
            </w:r>
            <w:r w:rsidRPr="00B12FE0">
              <w:rPr>
                <w:color w:val="000000" w:themeColor="text1"/>
                <w:szCs w:val="24"/>
              </w:rPr>
              <w:t>号修订，</w:t>
            </w:r>
            <w:r w:rsidRPr="00B12FE0">
              <w:rPr>
                <w:color w:val="000000" w:themeColor="text1"/>
                <w:szCs w:val="24"/>
              </w:rPr>
              <w:t>2019</w:t>
            </w:r>
            <w:r w:rsidRPr="00B12FE0">
              <w:rPr>
                <w:color w:val="000000" w:themeColor="text1"/>
                <w:szCs w:val="24"/>
              </w:rPr>
              <w:t>年</w:t>
            </w:r>
            <w:r w:rsidRPr="00B12FE0">
              <w:rPr>
                <w:color w:val="000000" w:themeColor="text1"/>
                <w:szCs w:val="24"/>
              </w:rPr>
              <w:t>3</w:t>
            </w:r>
            <w:r w:rsidRPr="00B12FE0">
              <w:rPr>
                <w:color w:val="000000" w:themeColor="text1"/>
                <w:szCs w:val="24"/>
              </w:rPr>
              <w:t>月</w:t>
            </w:r>
            <w:r w:rsidRPr="00B12FE0">
              <w:rPr>
                <w:color w:val="000000" w:themeColor="text1"/>
                <w:szCs w:val="24"/>
              </w:rPr>
              <w:t>2</w:t>
            </w:r>
            <w:r w:rsidRPr="00B12FE0">
              <w:rPr>
                <w:color w:val="000000" w:themeColor="text1"/>
                <w:szCs w:val="24"/>
              </w:rPr>
              <w:t>日经中华人民共和国国务院令第</w:t>
            </w:r>
            <w:r w:rsidRPr="00B12FE0">
              <w:rPr>
                <w:color w:val="000000" w:themeColor="text1"/>
                <w:szCs w:val="24"/>
              </w:rPr>
              <w:t>709</w:t>
            </w:r>
            <w:r w:rsidRPr="00B12FE0">
              <w:rPr>
                <w:color w:val="000000" w:themeColor="text1"/>
                <w:szCs w:val="24"/>
              </w:rPr>
              <w:t>号修订），自</w:t>
            </w:r>
            <w:r w:rsidRPr="00B12FE0">
              <w:rPr>
                <w:color w:val="000000" w:themeColor="text1"/>
                <w:szCs w:val="24"/>
              </w:rPr>
              <w:t>2019</w:t>
            </w:r>
            <w:r w:rsidRPr="00B12FE0">
              <w:rPr>
                <w:color w:val="000000" w:themeColor="text1"/>
                <w:szCs w:val="24"/>
              </w:rPr>
              <w:t>年</w:t>
            </w:r>
            <w:r w:rsidRPr="00B12FE0">
              <w:rPr>
                <w:color w:val="000000" w:themeColor="text1"/>
                <w:szCs w:val="24"/>
              </w:rPr>
              <w:t>3</w:t>
            </w:r>
            <w:r w:rsidRPr="00B12FE0">
              <w:rPr>
                <w:color w:val="000000" w:themeColor="text1"/>
                <w:szCs w:val="24"/>
              </w:rPr>
              <w:t>月</w:t>
            </w:r>
            <w:r w:rsidRPr="00B12FE0">
              <w:rPr>
                <w:color w:val="000000" w:themeColor="text1"/>
                <w:szCs w:val="24"/>
              </w:rPr>
              <w:t>2</w:t>
            </w:r>
            <w:r w:rsidRPr="00B12FE0">
              <w:rPr>
                <w:color w:val="000000" w:themeColor="text1"/>
                <w:szCs w:val="24"/>
              </w:rPr>
              <w:t>日起施行修订版；</w:t>
            </w:r>
          </w:p>
          <w:p w14:paraId="013E3249"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w:t>
            </w:r>
            <w:r w:rsidRPr="00B12FE0">
              <w:rPr>
                <w:color w:val="000000" w:themeColor="text1"/>
                <w:szCs w:val="24"/>
              </w:rPr>
              <w:t>6</w:t>
            </w:r>
            <w:r w:rsidRPr="00B12FE0">
              <w:rPr>
                <w:color w:val="000000" w:themeColor="text1"/>
                <w:szCs w:val="24"/>
              </w:rPr>
              <w:t>）《放射性同位素与射线装置安全许可管理办法》（</w:t>
            </w:r>
            <w:r w:rsidRPr="00B12FE0">
              <w:rPr>
                <w:color w:val="000000" w:themeColor="text1"/>
                <w:szCs w:val="24"/>
              </w:rPr>
              <w:t>2006</w:t>
            </w:r>
            <w:r w:rsidRPr="00B12FE0">
              <w:rPr>
                <w:color w:val="000000" w:themeColor="text1"/>
                <w:szCs w:val="24"/>
              </w:rPr>
              <w:t>年</w:t>
            </w:r>
            <w:r w:rsidRPr="00B12FE0">
              <w:rPr>
                <w:color w:val="000000" w:themeColor="text1"/>
                <w:szCs w:val="24"/>
              </w:rPr>
              <w:t>1</w:t>
            </w:r>
            <w:r w:rsidRPr="00B12FE0">
              <w:rPr>
                <w:color w:val="000000" w:themeColor="text1"/>
                <w:szCs w:val="24"/>
              </w:rPr>
              <w:t>月</w:t>
            </w:r>
            <w:r w:rsidRPr="00B12FE0">
              <w:rPr>
                <w:color w:val="000000" w:themeColor="text1"/>
                <w:szCs w:val="24"/>
              </w:rPr>
              <w:t>18</w:t>
            </w:r>
            <w:r w:rsidRPr="00B12FE0">
              <w:rPr>
                <w:color w:val="000000" w:themeColor="text1"/>
                <w:szCs w:val="24"/>
              </w:rPr>
              <w:t>日环境保护总局令第</w:t>
            </w:r>
            <w:r w:rsidRPr="00B12FE0">
              <w:rPr>
                <w:color w:val="000000" w:themeColor="text1"/>
                <w:szCs w:val="24"/>
              </w:rPr>
              <w:t>31</w:t>
            </w:r>
            <w:r w:rsidRPr="00B12FE0">
              <w:rPr>
                <w:color w:val="000000" w:themeColor="text1"/>
                <w:szCs w:val="24"/>
              </w:rPr>
              <w:t>号公布，</w:t>
            </w:r>
            <w:r w:rsidRPr="00B12FE0">
              <w:rPr>
                <w:color w:val="000000" w:themeColor="text1"/>
                <w:szCs w:val="24"/>
              </w:rPr>
              <w:t>2008</w:t>
            </w:r>
            <w:r w:rsidRPr="00B12FE0">
              <w:rPr>
                <w:color w:val="000000" w:themeColor="text1"/>
                <w:szCs w:val="24"/>
              </w:rPr>
              <w:t>年</w:t>
            </w:r>
            <w:r w:rsidRPr="00B12FE0">
              <w:rPr>
                <w:color w:val="000000" w:themeColor="text1"/>
                <w:szCs w:val="24"/>
              </w:rPr>
              <w:t>12</w:t>
            </w:r>
            <w:r w:rsidRPr="00B12FE0">
              <w:rPr>
                <w:color w:val="000000" w:themeColor="text1"/>
                <w:szCs w:val="24"/>
              </w:rPr>
              <w:t>月</w:t>
            </w:r>
            <w:r w:rsidRPr="00B12FE0">
              <w:rPr>
                <w:color w:val="000000" w:themeColor="text1"/>
                <w:szCs w:val="24"/>
              </w:rPr>
              <w:t>6</w:t>
            </w:r>
            <w:r w:rsidRPr="00B12FE0">
              <w:rPr>
                <w:color w:val="000000" w:themeColor="text1"/>
                <w:szCs w:val="24"/>
              </w:rPr>
              <w:t>日环境保护部令第</w:t>
            </w:r>
            <w:r w:rsidRPr="00B12FE0">
              <w:rPr>
                <w:color w:val="000000" w:themeColor="text1"/>
                <w:szCs w:val="24"/>
              </w:rPr>
              <w:t>3</w:t>
            </w:r>
            <w:r w:rsidRPr="00B12FE0">
              <w:rPr>
                <w:color w:val="000000" w:themeColor="text1"/>
                <w:szCs w:val="24"/>
              </w:rPr>
              <w:t>号第一次修正，根据</w:t>
            </w:r>
            <w:r w:rsidRPr="00B12FE0">
              <w:rPr>
                <w:color w:val="000000" w:themeColor="text1"/>
                <w:szCs w:val="24"/>
              </w:rPr>
              <w:t>2017</w:t>
            </w:r>
            <w:r w:rsidRPr="00B12FE0">
              <w:rPr>
                <w:color w:val="000000" w:themeColor="text1"/>
                <w:szCs w:val="24"/>
              </w:rPr>
              <w:t>年</w:t>
            </w:r>
            <w:r w:rsidRPr="00B12FE0">
              <w:rPr>
                <w:color w:val="000000" w:themeColor="text1"/>
                <w:szCs w:val="24"/>
              </w:rPr>
              <w:t>12</w:t>
            </w:r>
            <w:r w:rsidRPr="00B12FE0">
              <w:rPr>
                <w:color w:val="000000" w:themeColor="text1"/>
                <w:szCs w:val="24"/>
              </w:rPr>
              <w:t>月</w:t>
            </w:r>
            <w:r w:rsidRPr="00B12FE0">
              <w:rPr>
                <w:color w:val="000000" w:themeColor="text1"/>
                <w:szCs w:val="24"/>
              </w:rPr>
              <w:t>20</w:t>
            </w:r>
            <w:r w:rsidRPr="00B12FE0">
              <w:rPr>
                <w:color w:val="000000" w:themeColor="text1"/>
                <w:szCs w:val="24"/>
              </w:rPr>
              <w:t>日《环境保护部关于修改部分规章的决定》第二次修正，根据</w:t>
            </w:r>
            <w:r w:rsidRPr="00B12FE0">
              <w:rPr>
                <w:color w:val="000000" w:themeColor="text1"/>
                <w:szCs w:val="24"/>
              </w:rPr>
              <w:t>2019</w:t>
            </w:r>
            <w:r w:rsidRPr="00B12FE0">
              <w:rPr>
                <w:color w:val="000000" w:themeColor="text1"/>
                <w:szCs w:val="24"/>
              </w:rPr>
              <w:t>年</w:t>
            </w:r>
            <w:r w:rsidRPr="00B12FE0">
              <w:rPr>
                <w:color w:val="000000" w:themeColor="text1"/>
                <w:szCs w:val="24"/>
              </w:rPr>
              <w:t>8</w:t>
            </w:r>
            <w:r w:rsidRPr="00B12FE0">
              <w:rPr>
                <w:color w:val="000000" w:themeColor="text1"/>
                <w:szCs w:val="24"/>
              </w:rPr>
              <w:t>月</w:t>
            </w:r>
            <w:r w:rsidRPr="00B12FE0">
              <w:rPr>
                <w:color w:val="000000" w:themeColor="text1"/>
                <w:szCs w:val="24"/>
              </w:rPr>
              <w:t>22</w:t>
            </w:r>
            <w:r w:rsidRPr="00B12FE0">
              <w:rPr>
                <w:color w:val="000000" w:themeColor="text1"/>
                <w:szCs w:val="24"/>
              </w:rPr>
              <w:t>日《生态环境部关于废止、修改部分规章的决定》第三次修正，根据</w:t>
            </w:r>
            <w:r w:rsidRPr="00B12FE0">
              <w:rPr>
                <w:color w:val="000000" w:themeColor="text1"/>
                <w:szCs w:val="24"/>
              </w:rPr>
              <w:t>2021</w:t>
            </w:r>
            <w:r w:rsidRPr="00B12FE0">
              <w:rPr>
                <w:color w:val="000000" w:themeColor="text1"/>
                <w:szCs w:val="24"/>
              </w:rPr>
              <w:t>年</w:t>
            </w:r>
            <w:r w:rsidRPr="00B12FE0">
              <w:rPr>
                <w:color w:val="000000" w:themeColor="text1"/>
                <w:szCs w:val="24"/>
              </w:rPr>
              <w:t>1</w:t>
            </w:r>
            <w:r w:rsidRPr="00B12FE0">
              <w:rPr>
                <w:color w:val="000000" w:themeColor="text1"/>
                <w:szCs w:val="24"/>
              </w:rPr>
              <w:t>月</w:t>
            </w:r>
            <w:r w:rsidRPr="00B12FE0">
              <w:rPr>
                <w:color w:val="000000" w:themeColor="text1"/>
                <w:szCs w:val="24"/>
              </w:rPr>
              <w:t>4</w:t>
            </w:r>
            <w:r w:rsidRPr="00B12FE0">
              <w:rPr>
                <w:color w:val="000000" w:themeColor="text1"/>
                <w:szCs w:val="24"/>
              </w:rPr>
              <w:t>日《关于废止、修改部分生态环境规章和规范性文件的决定》第四次修正，自</w:t>
            </w:r>
            <w:r w:rsidRPr="00B12FE0">
              <w:rPr>
                <w:color w:val="000000" w:themeColor="text1"/>
                <w:szCs w:val="24"/>
              </w:rPr>
              <w:t>2021</w:t>
            </w:r>
            <w:r w:rsidRPr="00B12FE0">
              <w:rPr>
                <w:color w:val="000000" w:themeColor="text1"/>
                <w:szCs w:val="24"/>
              </w:rPr>
              <w:t>年</w:t>
            </w:r>
            <w:r w:rsidRPr="00B12FE0">
              <w:rPr>
                <w:color w:val="000000" w:themeColor="text1"/>
                <w:szCs w:val="24"/>
              </w:rPr>
              <w:t>1</w:t>
            </w:r>
            <w:r w:rsidRPr="00B12FE0">
              <w:rPr>
                <w:color w:val="000000" w:themeColor="text1"/>
                <w:szCs w:val="24"/>
              </w:rPr>
              <w:t>月</w:t>
            </w:r>
            <w:r w:rsidRPr="00B12FE0">
              <w:rPr>
                <w:color w:val="000000" w:themeColor="text1"/>
                <w:szCs w:val="24"/>
              </w:rPr>
              <w:t>4</w:t>
            </w:r>
            <w:r w:rsidRPr="00B12FE0">
              <w:rPr>
                <w:color w:val="000000" w:themeColor="text1"/>
                <w:szCs w:val="24"/>
              </w:rPr>
              <w:t>日起施行修改版；</w:t>
            </w:r>
          </w:p>
          <w:p w14:paraId="4A1BBF02"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w:t>
            </w:r>
            <w:r w:rsidRPr="00B12FE0">
              <w:rPr>
                <w:color w:val="000000" w:themeColor="text1"/>
                <w:szCs w:val="24"/>
              </w:rPr>
              <w:t>7</w:t>
            </w:r>
            <w:r w:rsidRPr="00B12FE0">
              <w:rPr>
                <w:color w:val="000000" w:themeColor="text1"/>
                <w:szCs w:val="24"/>
              </w:rPr>
              <w:t>）《放射性同位素与射线装置安全和防护管理办法》（</w:t>
            </w:r>
            <w:r w:rsidRPr="00B12FE0">
              <w:rPr>
                <w:color w:val="000000" w:themeColor="text1"/>
                <w:szCs w:val="24"/>
              </w:rPr>
              <w:t>2011</w:t>
            </w:r>
            <w:r w:rsidRPr="00B12FE0">
              <w:rPr>
                <w:color w:val="000000" w:themeColor="text1"/>
                <w:szCs w:val="24"/>
              </w:rPr>
              <w:t>年</w:t>
            </w:r>
            <w:r w:rsidRPr="00B12FE0">
              <w:rPr>
                <w:color w:val="000000" w:themeColor="text1"/>
                <w:szCs w:val="24"/>
              </w:rPr>
              <w:t>4</w:t>
            </w:r>
            <w:r w:rsidRPr="00B12FE0">
              <w:rPr>
                <w:color w:val="000000" w:themeColor="text1"/>
                <w:szCs w:val="24"/>
              </w:rPr>
              <w:t>月</w:t>
            </w:r>
            <w:r w:rsidRPr="00B12FE0">
              <w:rPr>
                <w:color w:val="000000" w:themeColor="text1"/>
                <w:szCs w:val="24"/>
              </w:rPr>
              <w:t>18</w:t>
            </w:r>
            <w:r w:rsidRPr="00B12FE0">
              <w:rPr>
                <w:color w:val="000000" w:themeColor="text1"/>
                <w:szCs w:val="24"/>
              </w:rPr>
              <w:t>日环境保护部令第</w:t>
            </w:r>
            <w:r w:rsidRPr="00B12FE0">
              <w:rPr>
                <w:color w:val="000000" w:themeColor="text1"/>
                <w:szCs w:val="24"/>
              </w:rPr>
              <w:t>18</w:t>
            </w:r>
            <w:r w:rsidRPr="00B12FE0">
              <w:rPr>
                <w:color w:val="000000" w:themeColor="text1"/>
                <w:szCs w:val="24"/>
              </w:rPr>
              <w:t>号），自</w:t>
            </w:r>
            <w:r w:rsidRPr="00B12FE0">
              <w:rPr>
                <w:color w:val="000000" w:themeColor="text1"/>
                <w:szCs w:val="24"/>
              </w:rPr>
              <w:t>2011</w:t>
            </w:r>
            <w:r w:rsidRPr="00B12FE0">
              <w:rPr>
                <w:color w:val="000000" w:themeColor="text1"/>
                <w:szCs w:val="24"/>
              </w:rPr>
              <w:t>年</w:t>
            </w:r>
            <w:r w:rsidRPr="00B12FE0">
              <w:rPr>
                <w:color w:val="000000" w:themeColor="text1"/>
                <w:szCs w:val="24"/>
              </w:rPr>
              <w:t>5</w:t>
            </w:r>
            <w:r w:rsidRPr="00B12FE0">
              <w:rPr>
                <w:color w:val="000000" w:themeColor="text1"/>
                <w:szCs w:val="24"/>
              </w:rPr>
              <w:t>月</w:t>
            </w:r>
            <w:r w:rsidRPr="00B12FE0">
              <w:rPr>
                <w:color w:val="000000" w:themeColor="text1"/>
                <w:szCs w:val="24"/>
              </w:rPr>
              <w:t>1</w:t>
            </w:r>
            <w:r w:rsidRPr="00B12FE0">
              <w:rPr>
                <w:color w:val="000000" w:themeColor="text1"/>
                <w:szCs w:val="24"/>
              </w:rPr>
              <w:t>日起施行；</w:t>
            </w:r>
          </w:p>
          <w:p w14:paraId="257B9B2D"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8</w:t>
            </w:r>
            <w:r w:rsidRPr="00B12FE0">
              <w:rPr>
                <w:rFonts w:hint="eastAsia"/>
                <w:color w:val="000000" w:themeColor="text1"/>
              </w:rPr>
              <w:t>）《放射性废物安全管理条例》（</w:t>
            </w:r>
            <w:r w:rsidRPr="00B12FE0">
              <w:rPr>
                <w:rFonts w:hint="eastAsia"/>
                <w:color w:val="000000" w:themeColor="text1"/>
              </w:rPr>
              <w:t>2011</w:t>
            </w:r>
            <w:r w:rsidRPr="00B12FE0">
              <w:rPr>
                <w:rFonts w:hint="eastAsia"/>
                <w:color w:val="000000" w:themeColor="text1"/>
              </w:rPr>
              <w:t>年</w:t>
            </w:r>
            <w:r w:rsidRPr="00B12FE0">
              <w:rPr>
                <w:rFonts w:hint="eastAsia"/>
                <w:color w:val="000000" w:themeColor="text1"/>
              </w:rPr>
              <w:t>12</w:t>
            </w:r>
            <w:r w:rsidRPr="00B12FE0">
              <w:rPr>
                <w:rFonts w:hint="eastAsia"/>
                <w:color w:val="000000" w:themeColor="text1"/>
              </w:rPr>
              <w:t>月</w:t>
            </w:r>
            <w:r w:rsidRPr="00B12FE0">
              <w:rPr>
                <w:rFonts w:hint="eastAsia"/>
                <w:color w:val="000000" w:themeColor="text1"/>
              </w:rPr>
              <w:t>20</w:t>
            </w:r>
            <w:r w:rsidRPr="00B12FE0">
              <w:rPr>
                <w:rFonts w:hint="eastAsia"/>
                <w:color w:val="000000" w:themeColor="text1"/>
              </w:rPr>
              <w:t>日中华人民共和国国务院令第</w:t>
            </w:r>
            <w:r w:rsidRPr="00B12FE0">
              <w:rPr>
                <w:rFonts w:hint="eastAsia"/>
                <w:color w:val="000000" w:themeColor="text1"/>
              </w:rPr>
              <w:t>612</w:t>
            </w:r>
            <w:r w:rsidRPr="00B12FE0">
              <w:rPr>
                <w:rFonts w:hint="eastAsia"/>
                <w:color w:val="000000" w:themeColor="text1"/>
              </w:rPr>
              <w:t>号公布），自</w:t>
            </w:r>
            <w:r w:rsidRPr="00B12FE0">
              <w:rPr>
                <w:rFonts w:hint="eastAsia"/>
                <w:color w:val="000000" w:themeColor="text1"/>
              </w:rPr>
              <w:t>2012</w:t>
            </w:r>
            <w:r w:rsidRPr="00B12FE0">
              <w:rPr>
                <w:rFonts w:hint="eastAsia"/>
                <w:color w:val="000000" w:themeColor="text1"/>
              </w:rPr>
              <w:t>年</w:t>
            </w:r>
            <w:r w:rsidRPr="00B12FE0">
              <w:rPr>
                <w:rFonts w:hint="eastAsia"/>
                <w:color w:val="000000" w:themeColor="text1"/>
              </w:rPr>
              <w:t>3</w:t>
            </w:r>
            <w:r w:rsidRPr="00B12FE0">
              <w:rPr>
                <w:rFonts w:hint="eastAsia"/>
                <w:color w:val="000000" w:themeColor="text1"/>
              </w:rPr>
              <w:t>月</w:t>
            </w:r>
            <w:r w:rsidRPr="00B12FE0">
              <w:rPr>
                <w:rFonts w:hint="eastAsia"/>
                <w:color w:val="000000" w:themeColor="text1"/>
              </w:rPr>
              <w:t>1</w:t>
            </w:r>
            <w:r w:rsidRPr="00B12FE0">
              <w:rPr>
                <w:rFonts w:hint="eastAsia"/>
                <w:color w:val="000000" w:themeColor="text1"/>
              </w:rPr>
              <w:t>日起施行；</w:t>
            </w:r>
          </w:p>
          <w:p w14:paraId="11FCDE6C"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lastRenderedPageBreak/>
              <w:t>（</w:t>
            </w:r>
            <w:r w:rsidRPr="00B12FE0">
              <w:rPr>
                <w:rFonts w:hint="eastAsia"/>
                <w:color w:val="000000" w:themeColor="text1"/>
              </w:rPr>
              <w:t>9</w:t>
            </w:r>
            <w:r w:rsidRPr="00B12FE0">
              <w:rPr>
                <w:rFonts w:hint="eastAsia"/>
                <w:color w:val="000000" w:themeColor="text1"/>
              </w:rPr>
              <w:t>）《关于发布〈射线装置分类〉的公告》（环境保护部</w:t>
            </w:r>
            <w:r w:rsidRPr="00B12FE0">
              <w:rPr>
                <w:rFonts w:hint="eastAsia"/>
                <w:color w:val="000000" w:themeColor="text1"/>
              </w:rPr>
              <w:t xml:space="preserve"> </w:t>
            </w:r>
            <w:r w:rsidRPr="00B12FE0">
              <w:rPr>
                <w:rFonts w:hint="eastAsia"/>
                <w:color w:val="000000" w:themeColor="text1"/>
              </w:rPr>
              <w:t>国家卫生和计划生育委员会</w:t>
            </w:r>
            <w:r w:rsidRPr="00B12FE0">
              <w:rPr>
                <w:rFonts w:hint="eastAsia"/>
                <w:color w:val="000000" w:themeColor="text1"/>
              </w:rPr>
              <w:t xml:space="preserve"> </w:t>
            </w:r>
            <w:r w:rsidRPr="00B12FE0">
              <w:rPr>
                <w:rFonts w:hint="eastAsia"/>
                <w:color w:val="000000" w:themeColor="text1"/>
              </w:rPr>
              <w:t>公告</w:t>
            </w:r>
            <w:r w:rsidRPr="00B12FE0">
              <w:rPr>
                <w:rFonts w:hint="eastAsia"/>
                <w:color w:val="000000" w:themeColor="text1"/>
              </w:rPr>
              <w:t>2017</w:t>
            </w:r>
            <w:r w:rsidRPr="00B12FE0">
              <w:rPr>
                <w:rFonts w:hint="eastAsia"/>
                <w:color w:val="000000" w:themeColor="text1"/>
              </w:rPr>
              <w:t>年第</w:t>
            </w:r>
            <w:r w:rsidRPr="00B12FE0">
              <w:rPr>
                <w:rFonts w:hint="eastAsia"/>
                <w:color w:val="000000" w:themeColor="text1"/>
              </w:rPr>
              <w:t>66</w:t>
            </w:r>
            <w:r w:rsidRPr="00B12FE0">
              <w:rPr>
                <w:rFonts w:hint="eastAsia"/>
                <w:color w:val="000000" w:themeColor="text1"/>
              </w:rPr>
              <w:t>号），自</w:t>
            </w:r>
            <w:r w:rsidRPr="00B12FE0">
              <w:rPr>
                <w:rFonts w:hint="eastAsia"/>
                <w:color w:val="000000" w:themeColor="text1"/>
              </w:rPr>
              <w:t>2017</w:t>
            </w:r>
            <w:r w:rsidRPr="00B12FE0">
              <w:rPr>
                <w:rFonts w:hint="eastAsia"/>
                <w:color w:val="000000" w:themeColor="text1"/>
              </w:rPr>
              <w:t>年</w:t>
            </w:r>
            <w:r w:rsidRPr="00B12FE0">
              <w:rPr>
                <w:rFonts w:hint="eastAsia"/>
                <w:color w:val="000000" w:themeColor="text1"/>
              </w:rPr>
              <w:t>12</w:t>
            </w:r>
            <w:r w:rsidRPr="00B12FE0">
              <w:rPr>
                <w:rFonts w:hint="eastAsia"/>
                <w:color w:val="000000" w:themeColor="text1"/>
              </w:rPr>
              <w:t>月</w:t>
            </w:r>
            <w:r w:rsidRPr="00B12FE0">
              <w:rPr>
                <w:rFonts w:hint="eastAsia"/>
                <w:color w:val="000000" w:themeColor="text1"/>
              </w:rPr>
              <w:t>5</w:t>
            </w:r>
            <w:r w:rsidRPr="00B12FE0">
              <w:rPr>
                <w:rFonts w:hint="eastAsia"/>
                <w:color w:val="000000" w:themeColor="text1"/>
              </w:rPr>
              <w:t>日起施行；</w:t>
            </w:r>
          </w:p>
          <w:p w14:paraId="2CED9D3E"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w:t>
            </w:r>
            <w:r w:rsidRPr="00B12FE0">
              <w:rPr>
                <w:color w:val="000000" w:themeColor="text1"/>
              </w:rPr>
              <w:t>0</w:t>
            </w:r>
            <w:r w:rsidRPr="00B12FE0">
              <w:rPr>
                <w:rFonts w:hint="eastAsia"/>
                <w:color w:val="000000" w:themeColor="text1"/>
              </w:rPr>
              <w:t>）《关于发布</w:t>
            </w:r>
            <w:r w:rsidRPr="00B12FE0">
              <w:rPr>
                <w:rFonts w:hint="eastAsia"/>
                <w:color w:val="000000" w:themeColor="text1"/>
              </w:rPr>
              <w:t>&lt;</w:t>
            </w:r>
            <w:r w:rsidRPr="00B12FE0">
              <w:rPr>
                <w:rFonts w:hint="eastAsia"/>
                <w:color w:val="000000" w:themeColor="text1"/>
              </w:rPr>
              <w:t>放射源分类办法</w:t>
            </w:r>
            <w:r w:rsidRPr="00B12FE0">
              <w:rPr>
                <w:rFonts w:hint="eastAsia"/>
                <w:color w:val="000000" w:themeColor="text1"/>
              </w:rPr>
              <w:t>&gt;</w:t>
            </w:r>
            <w:r w:rsidRPr="00B12FE0">
              <w:rPr>
                <w:rFonts w:hint="eastAsia"/>
                <w:color w:val="000000" w:themeColor="text1"/>
              </w:rPr>
              <w:t>的公告》（国家环境保护总局公告</w:t>
            </w:r>
            <w:r w:rsidRPr="00B12FE0">
              <w:rPr>
                <w:rFonts w:hint="eastAsia"/>
                <w:color w:val="000000" w:themeColor="text1"/>
              </w:rPr>
              <w:t>2005</w:t>
            </w:r>
            <w:r w:rsidRPr="00B12FE0">
              <w:rPr>
                <w:rFonts w:hint="eastAsia"/>
                <w:color w:val="000000" w:themeColor="text1"/>
              </w:rPr>
              <w:t>年第</w:t>
            </w:r>
            <w:r w:rsidRPr="00B12FE0">
              <w:rPr>
                <w:rFonts w:hint="eastAsia"/>
                <w:color w:val="000000" w:themeColor="text1"/>
              </w:rPr>
              <w:t>62</w:t>
            </w:r>
            <w:r w:rsidRPr="00B12FE0">
              <w:rPr>
                <w:rFonts w:hint="eastAsia"/>
                <w:color w:val="000000" w:themeColor="text1"/>
              </w:rPr>
              <w:t>号），自</w:t>
            </w:r>
            <w:r w:rsidRPr="00B12FE0">
              <w:rPr>
                <w:rFonts w:hint="eastAsia"/>
                <w:color w:val="000000" w:themeColor="text1"/>
              </w:rPr>
              <w:t>2005</w:t>
            </w:r>
            <w:r w:rsidRPr="00B12FE0">
              <w:rPr>
                <w:rFonts w:hint="eastAsia"/>
                <w:color w:val="000000" w:themeColor="text1"/>
              </w:rPr>
              <w:t>年</w:t>
            </w:r>
            <w:r w:rsidRPr="00B12FE0">
              <w:rPr>
                <w:rFonts w:hint="eastAsia"/>
                <w:color w:val="000000" w:themeColor="text1"/>
              </w:rPr>
              <w:t>12</w:t>
            </w:r>
            <w:r w:rsidRPr="00B12FE0">
              <w:rPr>
                <w:rFonts w:hint="eastAsia"/>
                <w:color w:val="000000" w:themeColor="text1"/>
              </w:rPr>
              <w:t>月</w:t>
            </w:r>
            <w:r w:rsidRPr="00B12FE0">
              <w:rPr>
                <w:rFonts w:hint="eastAsia"/>
                <w:color w:val="000000" w:themeColor="text1"/>
              </w:rPr>
              <w:t>23</w:t>
            </w:r>
            <w:r w:rsidRPr="00B12FE0">
              <w:rPr>
                <w:rFonts w:hint="eastAsia"/>
                <w:color w:val="000000" w:themeColor="text1"/>
              </w:rPr>
              <w:t>日起施行；</w:t>
            </w:r>
          </w:p>
          <w:p w14:paraId="32B61C5B"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11</w:t>
            </w:r>
            <w:r w:rsidRPr="00B12FE0">
              <w:rPr>
                <w:rFonts w:hint="eastAsia"/>
                <w:color w:val="000000" w:themeColor="text1"/>
              </w:rPr>
              <w:t>）《关于发布</w:t>
            </w:r>
            <w:r w:rsidRPr="00B12FE0">
              <w:rPr>
                <w:rFonts w:hint="eastAsia"/>
                <w:color w:val="000000" w:themeColor="text1"/>
              </w:rPr>
              <w:t>&lt;</w:t>
            </w:r>
            <w:r w:rsidRPr="00B12FE0">
              <w:rPr>
                <w:rFonts w:hint="eastAsia"/>
                <w:color w:val="000000" w:themeColor="text1"/>
              </w:rPr>
              <w:t>放射性废物分类</w:t>
            </w:r>
            <w:r w:rsidRPr="00B12FE0">
              <w:rPr>
                <w:rFonts w:hint="eastAsia"/>
                <w:color w:val="000000" w:themeColor="text1"/>
              </w:rPr>
              <w:t>&gt;</w:t>
            </w:r>
            <w:r w:rsidRPr="00B12FE0">
              <w:rPr>
                <w:rFonts w:hint="eastAsia"/>
                <w:color w:val="000000" w:themeColor="text1"/>
              </w:rPr>
              <w:t>的公告》（环境保护部、工业和信息化部、国家国防科技工业局</w:t>
            </w:r>
            <w:r w:rsidRPr="00B12FE0">
              <w:rPr>
                <w:rFonts w:hint="eastAsia"/>
                <w:color w:val="000000" w:themeColor="text1"/>
              </w:rPr>
              <w:t xml:space="preserve"> </w:t>
            </w:r>
            <w:r w:rsidRPr="00B12FE0">
              <w:rPr>
                <w:rFonts w:hint="eastAsia"/>
                <w:color w:val="000000" w:themeColor="text1"/>
              </w:rPr>
              <w:t>公告</w:t>
            </w:r>
            <w:r w:rsidRPr="00B12FE0">
              <w:rPr>
                <w:rFonts w:hint="eastAsia"/>
                <w:color w:val="000000" w:themeColor="text1"/>
              </w:rPr>
              <w:t>2017</w:t>
            </w:r>
            <w:r w:rsidRPr="00B12FE0">
              <w:rPr>
                <w:rFonts w:hint="eastAsia"/>
                <w:color w:val="000000" w:themeColor="text1"/>
              </w:rPr>
              <w:t>年第</w:t>
            </w:r>
            <w:r w:rsidRPr="00B12FE0">
              <w:rPr>
                <w:rFonts w:hint="eastAsia"/>
                <w:color w:val="000000" w:themeColor="text1"/>
              </w:rPr>
              <w:t>65</w:t>
            </w:r>
            <w:r w:rsidRPr="00B12FE0">
              <w:rPr>
                <w:rFonts w:hint="eastAsia"/>
                <w:color w:val="000000" w:themeColor="text1"/>
              </w:rPr>
              <w:t>号），自</w:t>
            </w:r>
            <w:r w:rsidRPr="00B12FE0">
              <w:rPr>
                <w:rFonts w:hint="eastAsia"/>
                <w:color w:val="000000" w:themeColor="text1"/>
              </w:rPr>
              <w:t>2018</w:t>
            </w:r>
            <w:r w:rsidRPr="00B12FE0">
              <w:rPr>
                <w:rFonts w:hint="eastAsia"/>
                <w:color w:val="000000" w:themeColor="text1"/>
              </w:rPr>
              <w:t>年</w:t>
            </w:r>
            <w:r w:rsidRPr="00B12FE0">
              <w:rPr>
                <w:rFonts w:hint="eastAsia"/>
                <w:color w:val="000000" w:themeColor="text1"/>
              </w:rPr>
              <w:t>1</w:t>
            </w:r>
            <w:r w:rsidRPr="00B12FE0">
              <w:rPr>
                <w:rFonts w:hint="eastAsia"/>
                <w:color w:val="000000" w:themeColor="text1"/>
              </w:rPr>
              <w:t>月</w:t>
            </w:r>
            <w:r w:rsidRPr="00B12FE0">
              <w:rPr>
                <w:rFonts w:hint="eastAsia"/>
                <w:color w:val="000000" w:themeColor="text1"/>
              </w:rPr>
              <w:t>1</w:t>
            </w:r>
            <w:r w:rsidRPr="00B12FE0">
              <w:rPr>
                <w:rFonts w:hint="eastAsia"/>
                <w:color w:val="000000" w:themeColor="text1"/>
              </w:rPr>
              <w:t>日起施行；</w:t>
            </w:r>
          </w:p>
          <w:p w14:paraId="0F6A97D1"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12</w:t>
            </w:r>
            <w:r w:rsidRPr="00B12FE0">
              <w:rPr>
                <w:rFonts w:hint="eastAsia"/>
                <w:color w:val="000000" w:themeColor="text1"/>
              </w:rPr>
              <w:t>）《建设项目环境影响评价分类管理名录（</w:t>
            </w:r>
            <w:r w:rsidRPr="00B12FE0">
              <w:rPr>
                <w:rFonts w:hint="eastAsia"/>
                <w:color w:val="000000" w:themeColor="text1"/>
              </w:rPr>
              <w:t>2021</w:t>
            </w:r>
            <w:r w:rsidRPr="00B12FE0">
              <w:rPr>
                <w:rFonts w:hint="eastAsia"/>
                <w:color w:val="000000" w:themeColor="text1"/>
              </w:rPr>
              <w:t>年版）》（中华人民共和国生态环境部令第</w:t>
            </w:r>
            <w:r w:rsidRPr="00B12FE0">
              <w:rPr>
                <w:rFonts w:hint="eastAsia"/>
                <w:color w:val="000000" w:themeColor="text1"/>
              </w:rPr>
              <w:t>16</w:t>
            </w:r>
            <w:r w:rsidRPr="00B12FE0">
              <w:rPr>
                <w:rFonts w:hint="eastAsia"/>
                <w:color w:val="000000" w:themeColor="text1"/>
              </w:rPr>
              <w:t>号），自</w:t>
            </w:r>
            <w:r w:rsidRPr="00B12FE0">
              <w:rPr>
                <w:rFonts w:hint="eastAsia"/>
                <w:color w:val="000000" w:themeColor="text1"/>
              </w:rPr>
              <w:t>2021</w:t>
            </w:r>
            <w:r w:rsidRPr="00B12FE0">
              <w:rPr>
                <w:rFonts w:hint="eastAsia"/>
                <w:color w:val="000000" w:themeColor="text1"/>
              </w:rPr>
              <w:t>年</w:t>
            </w:r>
            <w:r w:rsidRPr="00B12FE0">
              <w:rPr>
                <w:rFonts w:hint="eastAsia"/>
                <w:color w:val="000000" w:themeColor="text1"/>
              </w:rPr>
              <w:t>1</w:t>
            </w:r>
            <w:r w:rsidRPr="00B12FE0">
              <w:rPr>
                <w:rFonts w:hint="eastAsia"/>
                <w:color w:val="000000" w:themeColor="text1"/>
              </w:rPr>
              <w:t>月</w:t>
            </w:r>
            <w:r w:rsidRPr="00B12FE0">
              <w:rPr>
                <w:rFonts w:hint="eastAsia"/>
                <w:color w:val="000000" w:themeColor="text1"/>
              </w:rPr>
              <w:t>1</w:t>
            </w:r>
            <w:r w:rsidRPr="00B12FE0">
              <w:rPr>
                <w:rFonts w:hint="eastAsia"/>
                <w:color w:val="000000" w:themeColor="text1"/>
              </w:rPr>
              <w:t>日起施行；</w:t>
            </w:r>
          </w:p>
          <w:p w14:paraId="074EEEB7"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13</w:t>
            </w:r>
            <w:r w:rsidRPr="00B12FE0">
              <w:rPr>
                <w:rFonts w:hint="eastAsia"/>
                <w:color w:val="000000" w:themeColor="text1"/>
              </w:rPr>
              <w:t>）《产业结构调整指导目录（</w:t>
            </w:r>
            <w:r w:rsidRPr="00B12FE0">
              <w:rPr>
                <w:color w:val="000000" w:themeColor="text1"/>
              </w:rPr>
              <w:t>2024</w:t>
            </w:r>
            <w:r w:rsidRPr="00B12FE0">
              <w:rPr>
                <w:rFonts w:hint="eastAsia"/>
                <w:color w:val="000000" w:themeColor="text1"/>
              </w:rPr>
              <w:t>年本）》（</w:t>
            </w:r>
            <w:r w:rsidRPr="00B12FE0">
              <w:rPr>
                <w:color w:val="000000" w:themeColor="text1"/>
              </w:rPr>
              <w:t>2023</w:t>
            </w:r>
            <w:r w:rsidRPr="00B12FE0">
              <w:rPr>
                <w:rFonts w:hint="eastAsia"/>
                <w:color w:val="000000" w:themeColor="text1"/>
              </w:rPr>
              <w:t>年</w:t>
            </w:r>
            <w:r w:rsidRPr="00B12FE0">
              <w:rPr>
                <w:color w:val="000000" w:themeColor="text1"/>
              </w:rPr>
              <w:t>12</w:t>
            </w:r>
            <w:r w:rsidRPr="00B12FE0">
              <w:rPr>
                <w:rFonts w:hint="eastAsia"/>
                <w:color w:val="000000" w:themeColor="text1"/>
              </w:rPr>
              <w:t>月</w:t>
            </w:r>
            <w:r w:rsidRPr="00B12FE0">
              <w:rPr>
                <w:color w:val="000000" w:themeColor="text1"/>
              </w:rPr>
              <w:t>37</w:t>
            </w:r>
            <w:r w:rsidRPr="00B12FE0">
              <w:rPr>
                <w:rFonts w:hint="eastAsia"/>
                <w:color w:val="000000" w:themeColor="text1"/>
              </w:rPr>
              <w:t>日中华人民共和国国家发展和改革委员会令第</w:t>
            </w:r>
            <w:r w:rsidRPr="00B12FE0">
              <w:rPr>
                <w:color w:val="000000" w:themeColor="text1"/>
              </w:rPr>
              <w:t>7</w:t>
            </w:r>
            <w:r w:rsidRPr="00B12FE0">
              <w:rPr>
                <w:rFonts w:hint="eastAsia"/>
                <w:color w:val="000000" w:themeColor="text1"/>
              </w:rPr>
              <w:t>号公布，自</w:t>
            </w:r>
            <w:r w:rsidRPr="00B12FE0">
              <w:rPr>
                <w:color w:val="000000" w:themeColor="text1"/>
              </w:rPr>
              <w:t>2024</w:t>
            </w:r>
            <w:r w:rsidRPr="00B12FE0">
              <w:rPr>
                <w:rFonts w:hint="eastAsia"/>
                <w:color w:val="000000" w:themeColor="text1"/>
              </w:rPr>
              <w:t>年</w:t>
            </w:r>
            <w:r w:rsidRPr="00B12FE0">
              <w:rPr>
                <w:color w:val="000000" w:themeColor="text1"/>
              </w:rPr>
              <w:t>2</w:t>
            </w:r>
            <w:r w:rsidRPr="00B12FE0">
              <w:rPr>
                <w:rFonts w:hint="eastAsia"/>
                <w:color w:val="000000" w:themeColor="text1"/>
              </w:rPr>
              <w:t>月</w:t>
            </w:r>
            <w:r w:rsidRPr="00B12FE0">
              <w:rPr>
                <w:color w:val="000000" w:themeColor="text1"/>
              </w:rPr>
              <w:t>1</w:t>
            </w:r>
            <w:r w:rsidRPr="00B12FE0">
              <w:rPr>
                <w:rFonts w:hint="eastAsia"/>
                <w:color w:val="000000" w:themeColor="text1"/>
              </w:rPr>
              <w:t>日起施行；</w:t>
            </w:r>
          </w:p>
          <w:p w14:paraId="7A28A863"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14</w:t>
            </w:r>
            <w:r w:rsidRPr="00B12FE0">
              <w:rPr>
                <w:rFonts w:hint="eastAsia"/>
                <w:color w:val="000000" w:themeColor="text1"/>
              </w:rPr>
              <w:t>）《关于核技术利用辐射安全与防护培训和考核有关事项的公告》（生态环境部公告</w:t>
            </w:r>
            <w:r w:rsidRPr="00B12FE0">
              <w:rPr>
                <w:rFonts w:hint="eastAsia"/>
                <w:color w:val="000000" w:themeColor="text1"/>
              </w:rPr>
              <w:t>2019</w:t>
            </w:r>
            <w:r w:rsidRPr="00B12FE0">
              <w:rPr>
                <w:rFonts w:hint="eastAsia"/>
                <w:color w:val="000000" w:themeColor="text1"/>
              </w:rPr>
              <w:t>年第</w:t>
            </w:r>
            <w:r w:rsidRPr="00B12FE0">
              <w:rPr>
                <w:rFonts w:hint="eastAsia"/>
                <w:color w:val="000000" w:themeColor="text1"/>
              </w:rPr>
              <w:t>57</w:t>
            </w:r>
            <w:r w:rsidRPr="00B12FE0">
              <w:rPr>
                <w:rFonts w:hint="eastAsia"/>
                <w:color w:val="000000" w:themeColor="text1"/>
              </w:rPr>
              <w:t>号），自</w:t>
            </w:r>
            <w:r w:rsidRPr="00B12FE0">
              <w:rPr>
                <w:rFonts w:hint="eastAsia"/>
                <w:color w:val="000000" w:themeColor="text1"/>
              </w:rPr>
              <w:t>2020</w:t>
            </w:r>
            <w:r w:rsidRPr="00B12FE0">
              <w:rPr>
                <w:rFonts w:hint="eastAsia"/>
                <w:color w:val="000000" w:themeColor="text1"/>
              </w:rPr>
              <w:t>年</w:t>
            </w:r>
            <w:r w:rsidRPr="00B12FE0">
              <w:rPr>
                <w:rFonts w:hint="eastAsia"/>
                <w:color w:val="000000" w:themeColor="text1"/>
              </w:rPr>
              <w:t>1</w:t>
            </w:r>
            <w:r w:rsidRPr="00B12FE0">
              <w:rPr>
                <w:rFonts w:hint="eastAsia"/>
                <w:color w:val="000000" w:themeColor="text1"/>
              </w:rPr>
              <w:t>月</w:t>
            </w:r>
            <w:r w:rsidRPr="00B12FE0">
              <w:rPr>
                <w:rFonts w:hint="eastAsia"/>
                <w:color w:val="000000" w:themeColor="text1"/>
              </w:rPr>
              <w:t>1</w:t>
            </w:r>
            <w:r w:rsidRPr="00B12FE0">
              <w:rPr>
                <w:rFonts w:hint="eastAsia"/>
                <w:color w:val="000000" w:themeColor="text1"/>
              </w:rPr>
              <w:t>日起施行；</w:t>
            </w:r>
          </w:p>
          <w:p w14:paraId="04D0C9DE"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15</w:t>
            </w:r>
            <w:r w:rsidRPr="00B12FE0">
              <w:rPr>
                <w:rFonts w:hint="eastAsia"/>
                <w:color w:val="000000" w:themeColor="text1"/>
              </w:rPr>
              <w:t>）《关于进一步优化辐射安全考核的公告》（生态环境部公告</w:t>
            </w:r>
            <w:r w:rsidRPr="00B12FE0">
              <w:rPr>
                <w:rFonts w:hint="eastAsia"/>
                <w:color w:val="000000" w:themeColor="text1"/>
              </w:rPr>
              <w:t>2021</w:t>
            </w:r>
            <w:r w:rsidRPr="00B12FE0">
              <w:rPr>
                <w:rFonts w:hint="eastAsia"/>
                <w:color w:val="000000" w:themeColor="text1"/>
              </w:rPr>
              <w:t>年第</w:t>
            </w:r>
            <w:r w:rsidRPr="00B12FE0">
              <w:rPr>
                <w:rFonts w:hint="eastAsia"/>
                <w:color w:val="000000" w:themeColor="text1"/>
              </w:rPr>
              <w:t>9</w:t>
            </w:r>
            <w:r w:rsidRPr="00B12FE0">
              <w:rPr>
                <w:rFonts w:hint="eastAsia"/>
                <w:color w:val="000000" w:themeColor="text1"/>
              </w:rPr>
              <w:t>号），自</w:t>
            </w:r>
            <w:r w:rsidRPr="00B12FE0">
              <w:rPr>
                <w:rFonts w:hint="eastAsia"/>
                <w:color w:val="000000" w:themeColor="text1"/>
              </w:rPr>
              <w:t>2021</w:t>
            </w:r>
            <w:r w:rsidRPr="00B12FE0">
              <w:rPr>
                <w:rFonts w:hint="eastAsia"/>
                <w:color w:val="000000" w:themeColor="text1"/>
              </w:rPr>
              <w:t>年</w:t>
            </w:r>
            <w:r w:rsidRPr="00B12FE0">
              <w:rPr>
                <w:rFonts w:hint="eastAsia"/>
                <w:color w:val="000000" w:themeColor="text1"/>
              </w:rPr>
              <w:t>3</w:t>
            </w:r>
            <w:r w:rsidRPr="00B12FE0">
              <w:rPr>
                <w:rFonts w:hint="eastAsia"/>
                <w:color w:val="000000" w:themeColor="text1"/>
              </w:rPr>
              <w:t>月</w:t>
            </w:r>
            <w:r w:rsidRPr="00B12FE0">
              <w:rPr>
                <w:rFonts w:hint="eastAsia"/>
                <w:color w:val="000000" w:themeColor="text1"/>
              </w:rPr>
              <w:t>15</w:t>
            </w:r>
            <w:r w:rsidRPr="00B12FE0">
              <w:rPr>
                <w:rFonts w:hint="eastAsia"/>
                <w:color w:val="000000" w:themeColor="text1"/>
              </w:rPr>
              <w:t>日起施行；</w:t>
            </w:r>
          </w:p>
          <w:p w14:paraId="58DCEC57"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16</w:t>
            </w:r>
            <w:r w:rsidRPr="00B12FE0">
              <w:rPr>
                <w:rFonts w:hint="eastAsia"/>
                <w:color w:val="000000" w:themeColor="text1"/>
              </w:rPr>
              <w:t>）《建设项目竣工环境保护验收暂行办法》（国环</w:t>
            </w:r>
            <w:proofErr w:type="gramStart"/>
            <w:r w:rsidRPr="00B12FE0">
              <w:rPr>
                <w:rFonts w:hint="eastAsia"/>
                <w:color w:val="000000" w:themeColor="text1"/>
              </w:rPr>
              <w:t>规</w:t>
            </w:r>
            <w:proofErr w:type="gramEnd"/>
            <w:r w:rsidRPr="00B12FE0">
              <w:rPr>
                <w:rFonts w:hint="eastAsia"/>
                <w:color w:val="000000" w:themeColor="text1"/>
              </w:rPr>
              <w:t>环评</w:t>
            </w:r>
            <w:r w:rsidRPr="00B12FE0">
              <w:rPr>
                <w:rFonts w:hint="eastAsia"/>
                <w:color w:val="000000" w:themeColor="text1"/>
              </w:rPr>
              <w:t>[2017]4</w:t>
            </w:r>
            <w:r w:rsidRPr="00B12FE0">
              <w:rPr>
                <w:rFonts w:hint="eastAsia"/>
                <w:color w:val="000000" w:themeColor="text1"/>
              </w:rPr>
              <w:t>号），自</w:t>
            </w:r>
            <w:r w:rsidRPr="00B12FE0">
              <w:rPr>
                <w:rFonts w:hint="eastAsia"/>
                <w:color w:val="000000" w:themeColor="text1"/>
              </w:rPr>
              <w:t>2017</w:t>
            </w:r>
            <w:r w:rsidRPr="00B12FE0">
              <w:rPr>
                <w:rFonts w:hint="eastAsia"/>
                <w:color w:val="000000" w:themeColor="text1"/>
              </w:rPr>
              <w:t>年</w:t>
            </w:r>
            <w:r w:rsidRPr="00B12FE0">
              <w:rPr>
                <w:rFonts w:hint="eastAsia"/>
                <w:color w:val="000000" w:themeColor="text1"/>
              </w:rPr>
              <w:t>11</w:t>
            </w:r>
            <w:r w:rsidRPr="00B12FE0">
              <w:rPr>
                <w:rFonts w:hint="eastAsia"/>
                <w:color w:val="000000" w:themeColor="text1"/>
              </w:rPr>
              <w:t>月</w:t>
            </w:r>
            <w:r w:rsidRPr="00B12FE0">
              <w:rPr>
                <w:rFonts w:hint="eastAsia"/>
                <w:color w:val="000000" w:themeColor="text1"/>
              </w:rPr>
              <w:t>20</w:t>
            </w:r>
            <w:r w:rsidRPr="00B12FE0">
              <w:rPr>
                <w:rFonts w:hint="eastAsia"/>
                <w:color w:val="000000" w:themeColor="text1"/>
              </w:rPr>
              <w:t>日起施行；</w:t>
            </w:r>
          </w:p>
          <w:p w14:paraId="2E63A344"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17</w:t>
            </w:r>
            <w:r w:rsidRPr="00B12FE0">
              <w:rPr>
                <w:rFonts w:hint="eastAsia"/>
                <w:color w:val="000000" w:themeColor="text1"/>
              </w:rPr>
              <w:t>）《关于建立放射性同位素与射线装置辐射事故分级处理和报告制度的通知》（环发</w:t>
            </w:r>
            <w:r w:rsidRPr="00B12FE0">
              <w:rPr>
                <w:rFonts w:hint="eastAsia"/>
                <w:color w:val="000000" w:themeColor="text1"/>
              </w:rPr>
              <w:t>[2006]145</w:t>
            </w:r>
            <w:r w:rsidRPr="00B12FE0">
              <w:rPr>
                <w:rFonts w:hint="eastAsia"/>
                <w:color w:val="000000" w:themeColor="text1"/>
              </w:rPr>
              <w:t>号），自</w:t>
            </w:r>
            <w:r w:rsidRPr="00B12FE0">
              <w:rPr>
                <w:rFonts w:hint="eastAsia"/>
                <w:color w:val="000000" w:themeColor="text1"/>
              </w:rPr>
              <w:t>2006</w:t>
            </w:r>
            <w:r w:rsidRPr="00B12FE0">
              <w:rPr>
                <w:rFonts w:hint="eastAsia"/>
                <w:color w:val="000000" w:themeColor="text1"/>
              </w:rPr>
              <w:t>年</w:t>
            </w:r>
            <w:r w:rsidRPr="00B12FE0">
              <w:rPr>
                <w:rFonts w:hint="eastAsia"/>
                <w:color w:val="000000" w:themeColor="text1"/>
              </w:rPr>
              <w:t>9</w:t>
            </w:r>
            <w:r w:rsidRPr="00B12FE0">
              <w:rPr>
                <w:rFonts w:hint="eastAsia"/>
                <w:color w:val="000000" w:themeColor="text1"/>
              </w:rPr>
              <w:t>月</w:t>
            </w:r>
            <w:r w:rsidRPr="00B12FE0">
              <w:rPr>
                <w:rFonts w:hint="eastAsia"/>
                <w:color w:val="000000" w:themeColor="text1"/>
              </w:rPr>
              <w:t>26</w:t>
            </w:r>
            <w:r w:rsidRPr="00B12FE0">
              <w:rPr>
                <w:rFonts w:hint="eastAsia"/>
                <w:color w:val="000000" w:themeColor="text1"/>
              </w:rPr>
              <w:t>日起施行。</w:t>
            </w:r>
          </w:p>
          <w:p w14:paraId="3F7B437E"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18</w:t>
            </w:r>
            <w:r w:rsidRPr="00B12FE0">
              <w:rPr>
                <w:rFonts w:hint="eastAsia"/>
                <w:color w:val="000000" w:themeColor="text1"/>
              </w:rPr>
              <w:t>）《医疗废物管理条例》（</w:t>
            </w:r>
            <w:r w:rsidRPr="00B12FE0">
              <w:rPr>
                <w:rFonts w:hint="eastAsia"/>
                <w:color w:val="000000" w:themeColor="text1"/>
              </w:rPr>
              <w:t>2003</w:t>
            </w:r>
            <w:r w:rsidRPr="00B12FE0">
              <w:rPr>
                <w:rFonts w:hint="eastAsia"/>
                <w:color w:val="000000" w:themeColor="text1"/>
              </w:rPr>
              <w:t>年</w:t>
            </w:r>
            <w:r w:rsidRPr="00B12FE0">
              <w:rPr>
                <w:rFonts w:hint="eastAsia"/>
                <w:color w:val="000000" w:themeColor="text1"/>
              </w:rPr>
              <w:t>6</w:t>
            </w:r>
            <w:r w:rsidRPr="00B12FE0">
              <w:rPr>
                <w:rFonts w:hint="eastAsia"/>
                <w:color w:val="000000" w:themeColor="text1"/>
              </w:rPr>
              <w:t>月</w:t>
            </w:r>
            <w:r w:rsidRPr="00B12FE0">
              <w:rPr>
                <w:rFonts w:hint="eastAsia"/>
                <w:color w:val="000000" w:themeColor="text1"/>
              </w:rPr>
              <w:t>16</w:t>
            </w:r>
            <w:r w:rsidRPr="00B12FE0">
              <w:rPr>
                <w:rFonts w:hint="eastAsia"/>
                <w:color w:val="000000" w:themeColor="text1"/>
              </w:rPr>
              <w:t>日中华人民共和国国务院令第</w:t>
            </w:r>
            <w:r w:rsidRPr="00B12FE0">
              <w:rPr>
                <w:rFonts w:hint="eastAsia"/>
                <w:color w:val="000000" w:themeColor="text1"/>
              </w:rPr>
              <w:t>380</w:t>
            </w:r>
            <w:r w:rsidRPr="00B12FE0">
              <w:rPr>
                <w:rFonts w:hint="eastAsia"/>
                <w:color w:val="000000" w:themeColor="text1"/>
              </w:rPr>
              <w:t>号公布，根据</w:t>
            </w:r>
            <w:r w:rsidRPr="00B12FE0">
              <w:rPr>
                <w:rFonts w:hint="eastAsia"/>
                <w:color w:val="000000" w:themeColor="text1"/>
              </w:rPr>
              <w:t>2011</w:t>
            </w:r>
            <w:r w:rsidRPr="00B12FE0">
              <w:rPr>
                <w:rFonts w:hint="eastAsia"/>
                <w:color w:val="000000" w:themeColor="text1"/>
              </w:rPr>
              <w:t>年</w:t>
            </w:r>
            <w:r w:rsidRPr="00B12FE0">
              <w:rPr>
                <w:rFonts w:hint="eastAsia"/>
                <w:color w:val="000000" w:themeColor="text1"/>
              </w:rPr>
              <w:t>1</w:t>
            </w:r>
            <w:r w:rsidRPr="00B12FE0">
              <w:rPr>
                <w:rFonts w:hint="eastAsia"/>
                <w:color w:val="000000" w:themeColor="text1"/>
              </w:rPr>
              <w:t>月</w:t>
            </w:r>
            <w:r w:rsidRPr="00B12FE0">
              <w:rPr>
                <w:rFonts w:hint="eastAsia"/>
                <w:color w:val="000000" w:themeColor="text1"/>
              </w:rPr>
              <w:t>8</w:t>
            </w:r>
            <w:r w:rsidRPr="00B12FE0">
              <w:rPr>
                <w:rFonts w:hint="eastAsia"/>
                <w:color w:val="000000" w:themeColor="text1"/>
              </w:rPr>
              <w:t>日中华人民共和国国务院令第</w:t>
            </w:r>
            <w:r w:rsidRPr="00B12FE0">
              <w:rPr>
                <w:rFonts w:hint="eastAsia"/>
                <w:color w:val="000000" w:themeColor="text1"/>
              </w:rPr>
              <w:t>588</w:t>
            </w:r>
            <w:r w:rsidRPr="00B12FE0">
              <w:rPr>
                <w:rFonts w:hint="eastAsia"/>
                <w:color w:val="000000" w:themeColor="text1"/>
              </w:rPr>
              <w:t>号修订），自</w:t>
            </w:r>
            <w:r w:rsidRPr="00B12FE0">
              <w:rPr>
                <w:rFonts w:hint="eastAsia"/>
                <w:color w:val="000000" w:themeColor="text1"/>
              </w:rPr>
              <w:t>2011</w:t>
            </w:r>
            <w:r w:rsidRPr="00B12FE0">
              <w:rPr>
                <w:rFonts w:hint="eastAsia"/>
                <w:color w:val="000000" w:themeColor="text1"/>
              </w:rPr>
              <w:t>年</w:t>
            </w:r>
            <w:r w:rsidRPr="00B12FE0">
              <w:rPr>
                <w:rFonts w:hint="eastAsia"/>
                <w:color w:val="000000" w:themeColor="text1"/>
              </w:rPr>
              <w:t>1</w:t>
            </w:r>
            <w:r w:rsidRPr="00B12FE0">
              <w:rPr>
                <w:rFonts w:hint="eastAsia"/>
                <w:color w:val="000000" w:themeColor="text1"/>
              </w:rPr>
              <w:t>月</w:t>
            </w:r>
            <w:r w:rsidRPr="00B12FE0">
              <w:rPr>
                <w:rFonts w:hint="eastAsia"/>
                <w:color w:val="000000" w:themeColor="text1"/>
              </w:rPr>
              <w:t>8</w:t>
            </w:r>
            <w:r w:rsidRPr="00B12FE0">
              <w:rPr>
                <w:rFonts w:hint="eastAsia"/>
                <w:color w:val="000000" w:themeColor="text1"/>
              </w:rPr>
              <w:t>日实施修订版；</w:t>
            </w:r>
          </w:p>
          <w:p w14:paraId="76D8FFCD"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19</w:t>
            </w:r>
            <w:r w:rsidRPr="00B12FE0">
              <w:rPr>
                <w:rFonts w:hint="eastAsia"/>
                <w:color w:val="000000" w:themeColor="text1"/>
              </w:rPr>
              <w:t>）《国家危险废物名录（</w:t>
            </w:r>
            <w:r w:rsidRPr="00B12FE0">
              <w:rPr>
                <w:rFonts w:hint="eastAsia"/>
                <w:color w:val="000000" w:themeColor="text1"/>
              </w:rPr>
              <w:t>2025</w:t>
            </w:r>
            <w:r w:rsidRPr="00B12FE0">
              <w:rPr>
                <w:rFonts w:hint="eastAsia"/>
                <w:color w:val="000000" w:themeColor="text1"/>
              </w:rPr>
              <w:t>年版）》（</w:t>
            </w:r>
            <w:r w:rsidRPr="00B12FE0">
              <w:rPr>
                <w:rFonts w:hint="eastAsia"/>
                <w:color w:val="000000" w:themeColor="text1"/>
              </w:rPr>
              <w:t>2024</w:t>
            </w:r>
            <w:r w:rsidRPr="00B12FE0">
              <w:rPr>
                <w:rFonts w:hint="eastAsia"/>
                <w:color w:val="000000" w:themeColor="text1"/>
              </w:rPr>
              <w:t>年</w:t>
            </w:r>
            <w:r w:rsidRPr="00B12FE0">
              <w:rPr>
                <w:rFonts w:hint="eastAsia"/>
                <w:color w:val="000000" w:themeColor="text1"/>
              </w:rPr>
              <w:t>11</w:t>
            </w:r>
            <w:r w:rsidRPr="00B12FE0">
              <w:rPr>
                <w:rFonts w:hint="eastAsia"/>
                <w:color w:val="000000" w:themeColor="text1"/>
              </w:rPr>
              <w:t>月</w:t>
            </w:r>
            <w:r w:rsidRPr="00B12FE0">
              <w:rPr>
                <w:rFonts w:hint="eastAsia"/>
                <w:color w:val="000000" w:themeColor="text1"/>
              </w:rPr>
              <w:t>26</w:t>
            </w:r>
            <w:r w:rsidRPr="00B12FE0">
              <w:rPr>
                <w:rFonts w:hint="eastAsia"/>
                <w:color w:val="000000" w:themeColor="text1"/>
              </w:rPr>
              <w:t>日生态环境部、国家发展和改革委员会、公安部、交通运输部、国家卫生健康委员会令第</w:t>
            </w:r>
            <w:r w:rsidRPr="00B12FE0">
              <w:rPr>
                <w:rFonts w:hint="eastAsia"/>
                <w:color w:val="000000" w:themeColor="text1"/>
              </w:rPr>
              <w:t>36</w:t>
            </w:r>
            <w:r w:rsidRPr="00B12FE0">
              <w:rPr>
                <w:rFonts w:hint="eastAsia"/>
                <w:color w:val="000000" w:themeColor="text1"/>
              </w:rPr>
              <w:t>号公布），自</w:t>
            </w:r>
            <w:r w:rsidRPr="00B12FE0">
              <w:rPr>
                <w:rFonts w:hint="eastAsia"/>
                <w:color w:val="000000" w:themeColor="text1"/>
              </w:rPr>
              <w:t>2025</w:t>
            </w:r>
            <w:r w:rsidRPr="00B12FE0">
              <w:rPr>
                <w:rFonts w:hint="eastAsia"/>
                <w:color w:val="000000" w:themeColor="text1"/>
              </w:rPr>
              <w:t>年</w:t>
            </w:r>
            <w:r w:rsidRPr="00B12FE0">
              <w:rPr>
                <w:rFonts w:hint="eastAsia"/>
                <w:color w:val="000000" w:themeColor="text1"/>
              </w:rPr>
              <w:t>1</w:t>
            </w:r>
            <w:r w:rsidRPr="00B12FE0">
              <w:rPr>
                <w:rFonts w:hint="eastAsia"/>
                <w:color w:val="000000" w:themeColor="text1"/>
              </w:rPr>
              <w:t>月</w:t>
            </w:r>
            <w:r w:rsidRPr="00B12FE0">
              <w:rPr>
                <w:rFonts w:hint="eastAsia"/>
                <w:color w:val="000000" w:themeColor="text1"/>
              </w:rPr>
              <w:t>1</w:t>
            </w:r>
            <w:r w:rsidRPr="00B12FE0">
              <w:rPr>
                <w:rFonts w:hint="eastAsia"/>
                <w:color w:val="000000" w:themeColor="text1"/>
              </w:rPr>
              <w:t>日起施行；</w:t>
            </w:r>
          </w:p>
          <w:p w14:paraId="7DDA632A" w14:textId="77777777" w:rsidR="00A67F21" w:rsidRPr="00B12FE0" w:rsidRDefault="00000000">
            <w:pPr>
              <w:adjustRightInd w:val="0"/>
              <w:snapToGrid w:val="0"/>
              <w:spacing w:line="360" w:lineRule="auto"/>
              <w:ind w:firstLineChars="200" w:firstLine="480"/>
              <w:rPr>
                <w:color w:val="000000" w:themeColor="text1"/>
                <w:kern w:val="0"/>
              </w:rPr>
            </w:pPr>
            <w:r w:rsidRPr="00B12FE0">
              <w:rPr>
                <w:rFonts w:hint="eastAsia"/>
                <w:color w:val="000000" w:themeColor="text1"/>
                <w:kern w:val="0"/>
              </w:rPr>
              <w:t>（</w:t>
            </w:r>
            <w:r w:rsidRPr="00B12FE0">
              <w:rPr>
                <w:rFonts w:hint="eastAsia"/>
                <w:color w:val="000000" w:themeColor="text1"/>
                <w:kern w:val="0"/>
              </w:rPr>
              <w:t>20</w:t>
            </w:r>
            <w:r w:rsidRPr="00B12FE0">
              <w:rPr>
                <w:rFonts w:hint="eastAsia"/>
                <w:color w:val="000000" w:themeColor="text1"/>
                <w:kern w:val="0"/>
              </w:rPr>
              <w:t>）《新疆维吾尔自治区辐射污染防治办法》，</w:t>
            </w:r>
            <w:r w:rsidRPr="00B12FE0">
              <w:rPr>
                <w:rFonts w:hint="eastAsia"/>
                <w:color w:val="000000" w:themeColor="text1"/>
                <w:kern w:val="0"/>
              </w:rPr>
              <w:t xml:space="preserve">2015 </w:t>
            </w:r>
            <w:r w:rsidRPr="00B12FE0">
              <w:rPr>
                <w:rFonts w:hint="eastAsia"/>
                <w:color w:val="000000" w:themeColor="text1"/>
                <w:kern w:val="0"/>
              </w:rPr>
              <w:t>年</w:t>
            </w:r>
            <w:r w:rsidRPr="00B12FE0">
              <w:rPr>
                <w:rFonts w:hint="eastAsia"/>
                <w:color w:val="000000" w:themeColor="text1"/>
                <w:kern w:val="0"/>
              </w:rPr>
              <w:t xml:space="preserve"> 7 </w:t>
            </w:r>
            <w:r w:rsidRPr="00B12FE0">
              <w:rPr>
                <w:rFonts w:hint="eastAsia"/>
                <w:color w:val="000000" w:themeColor="text1"/>
                <w:kern w:val="0"/>
              </w:rPr>
              <w:t>月</w:t>
            </w:r>
            <w:r w:rsidRPr="00B12FE0">
              <w:rPr>
                <w:rFonts w:hint="eastAsia"/>
                <w:color w:val="000000" w:themeColor="text1"/>
                <w:kern w:val="0"/>
              </w:rPr>
              <w:t xml:space="preserve"> 1 </w:t>
            </w:r>
            <w:r w:rsidRPr="00B12FE0">
              <w:rPr>
                <w:rFonts w:hint="eastAsia"/>
                <w:color w:val="000000" w:themeColor="text1"/>
                <w:kern w:val="0"/>
              </w:rPr>
              <w:t>日实施；</w:t>
            </w:r>
          </w:p>
          <w:p w14:paraId="3E1B40AA" w14:textId="77777777" w:rsidR="00A67F21" w:rsidRPr="00B12FE0" w:rsidRDefault="00000000">
            <w:pPr>
              <w:adjustRightInd w:val="0"/>
              <w:snapToGrid w:val="0"/>
              <w:spacing w:line="360" w:lineRule="auto"/>
              <w:ind w:firstLineChars="200" w:firstLine="480"/>
              <w:rPr>
                <w:color w:val="000000" w:themeColor="text1"/>
                <w:kern w:val="0"/>
              </w:rPr>
            </w:pPr>
            <w:r w:rsidRPr="00B12FE0">
              <w:rPr>
                <w:rFonts w:hint="eastAsia"/>
                <w:color w:val="000000" w:themeColor="text1"/>
                <w:kern w:val="0"/>
              </w:rPr>
              <w:t>（</w:t>
            </w:r>
            <w:r w:rsidRPr="00B12FE0">
              <w:rPr>
                <w:rFonts w:hint="eastAsia"/>
                <w:color w:val="000000" w:themeColor="text1"/>
                <w:kern w:val="0"/>
              </w:rPr>
              <w:t>21</w:t>
            </w:r>
            <w:r w:rsidRPr="00B12FE0">
              <w:rPr>
                <w:rFonts w:hint="eastAsia"/>
                <w:color w:val="000000" w:themeColor="text1"/>
                <w:kern w:val="0"/>
              </w:rPr>
              <w:t>）《新疆维吾尔自治区环境保护条例》新疆维吾尔自治区第十三届</w:t>
            </w:r>
            <w:r w:rsidRPr="00B12FE0">
              <w:rPr>
                <w:rFonts w:hint="eastAsia"/>
                <w:color w:val="000000" w:themeColor="text1"/>
                <w:kern w:val="0"/>
              </w:rPr>
              <w:lastRenderedPageBreak/>
              <w:t>人民代表大会常务委员会公告</w:t>
            </w:r>
            <w:r w:rsidRPr="00B12FE0">
              <w:rPr>
                <w:rFonts w:hint="eastAsia"/>
                <w:color w:val="000000" w:themeColor="text1"/>
                <w:kern w:val="0"/>
              </w:rPr>
              <w:t xml:space="preserve"> </w:t>
            </w:r>
            <w:r w:rsidRPr="00B12FE0">
              <w:rPr>
                <w:rFonts w:hint="eastAsia"/>
                <w:color w:val="000000" w:themeColor="text1"/>
                <w:kern w:val="0"/>
              </w:rPr>
              <w:t>第</w:t>
            </w:r>
            <w:r w:rsidRPr="00B12FE0">
              <w:rPr>
                <w:rFonts w:hint="eastAsia"/>
                <w:color w:val="000000" w:themeColor="text1"/>
                <w:kern w:val="0"/>
              </w:rPr>
              <w:t>11</w:t>
            </w:r>
            <w:r w:rsidRPr="00B12FE0">
              <w:rPr>
                <w:rFonts w:hint="eastAsia"/>
                <w:color w:val="000000" w:themeColor="text1"/>
                <w:kern w:val="0"/>
              </w:rPr>
              <w:t>号，</w:t>
            </w:r>
            <w:r w:rsidRPr="00B12FE0">
              <w:rPr>
                <w:rFonts w:hint="eastAsia"/>
                <w:color w:val="000000" w:themeColor="text1"/>
                <w:kern w:val="0"/>
              </w:rPr>
              <w:t>2018</w:t>
            </w:r>
            <w:r w:rsidRPr="00B12FE0">
              <w:rPr>
                <w:rFonts w:hint="eastAsia"/>
                <w:color w:val="000000" w:themeColor="text1"/>
                <w:kern w:val="0"/>
              </w:rPr>
              <w:t>年</w:t>
            </w:r>
            <w:r w:rsidRPr="00B12FE0">
              <w:rPr>
                <w:rFonts w:hint="eastAsia"/>
                <w:color w:val="000000" w:themeColor="text1"/>
                <w:kern w:val="0"/>
              </w:rPr>
              <w:t>9</w:t>
            </w:r>
            <w:r w:rsidRPr="00B12FE0">
              <w:rPr>
                <w:rFonts w:hint="eastAsia"/>
                <w:color w:val="000000" w:themeColor="text1"/>
                <w:kern w:val="0"/>
              </w:rPr>
              <w:t>月</w:t>
            </w:r>
            <w:r w:rsidRPr="00B12FE0">
              <w:rPr>
                <w:rFonts w:hint="eastAsia"/>
                <w:color w:val="000000" w:themeColor="text1"/>
                <w:kern w:val="0"/>
              </w:rPr>
              <w:t>21</w:t>
            </w:r>
            <w:r w:rsidRPr="00B12FE0">
              <w:rPr>
                <w:rFonts w:hint="eastAsia"/>
                <w:color w:val="000000" w:themeColor="text1"/>
                <w:kern w:val="0"/>
              </w:rPr>
              <w:t>日修订并施行；</w:t>
            </w:r>
          </w:p>
          <w:p w14:paraId="368C7DB8"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kern w:val="0"/>
              </w:rPr>
              <w:t>（</w:t>
            </w:r>
            <w:r w:rsidRPr="00B12FE0">
              <w:rPr>
                <w:rFonts w:hint="eastAsia"/>
                <w:color w:val="000000" w:themeColor="text1"/>
                <w:kern w:val="0"/>
              </w:rPr>
              <w:t>22</w:t>
            </w:r>
            <w:r w:rsidRPr="00B12FE0">
              <w:rPr>
                <w:rFonts w:hint="eastAsia"/>
                <w:color w:val="000000" w:themeColor="text1"/>
                <w:kern w:val="0"/>
              </w:rPr>
              <w:t>）《</w:t>
            </w:r>
            <w:r w:rsidRPr="00B12FE0">
              <w:rPr>
                <w:color w:val="000000" w:themeColor="text1"/>
                <w:kern w:val="0"/>
              </w:rPr>
              <w:t>新疆维吾尔自治区生态环境厅审批环境影响评价文件的建设项目目录（</w:t>
            </w:r>
            <w:r w:rsidRPr="00B12FE0">
              <w:rPr>
                <w:color w:val="000000" w:themeColor="text1"/>
                <w:kern w:val="0"/>
              </w:rPr>
              <w:t>2026</w:t>
            </w:r>
            <w:r w:rsidRPr="00B12FE0">
              <w:rPr>
                <w:color w:val="000000" w:themeColor="text1"/>
                <w:kern w:val="0"/>
              </w:rPr>
              <w:t>年本）</w:t>
            </w:r>
            <w:r w:rsidRPr="00B12FE0">
              <w:rPr>
                <w:rFonts w:hint="eastAsia"/>
                <w:color w:val="000000" w:themeColor="text1"/>
                <w:kern w:val="0"/>
              </w:rPr>
              <w:t>》（</w:t>
            </w:r>
            <w:r w:rsidRPr="00B12FE0">
              <w:rPr>
                <w:color w:val="000000" w:themeColor="text1"/>
                <w:kern w:val="0"/>
              </w:rPr>
              <w:t>新环</w:t>
            </w:r>
            <w:proofErr w:type="gramStart"/>
            <w:r w:rsidRPr="00B12FE0">
              <w:rPr>
                <w:color w:val="000000" w:themeColor="text1"/>
                <w:kern w:val="0"/>
              </w:rPr>
              <w:t>规</w:t>
            </w:r>
            <w:proofErr w:type="gramEnd"/>
            <w:r w:rsidRPr="00B12FE0">
              <w:rPr>
                <w:color w:val="000000" w:themeColor="text1"/>
                <w:kern w:val="0"/>
              </w:rPr>
              <w:t>〔</w:t>
            </w:r>
            <w:r w:rsidRPr="00B12FE0">
              <w:rPr>
                <w:color w:val="000000" w:themeColor="text1"/>
                <w:kern w:val="0"/>
              </w:rPr>
              <w:t>2026</w:t>
            </w:r>
            <w:r w:rsidRPr="00B12FE0">
              <w:rPr>
                <w:color w:val="000000" w:themeColor="text1"/>
                <w:kern w:val="0"/>
              </w:rPr>
              <w:t>〕</w:t>
            </w:r>
            <w:r w:rsidRPr="00B12FE0">
              <w:rPr>
                <w:color w:val="000000" w:themeColor="text1"/>
                <w:kern w:val="0"/>
              </w:rPr>
              <w:t>1</w:t>
            </w:r>
            <w:r w:rsidRPr="00B12FE0">
              <w:rPr>
                <w:color w:val="000000" w:themeColor="text1"/>
                <w:kern w:val="0"/>
              </w:rPr>
              <w:t>号</w:t>
            </w:r>
            <w:r w:rsidRPr="00B12FE0">
              <w:rPr>
                <w:rFonts w:hint="eastAsia"/>
                <w:color w:val="000000" w:themeColor="text1"/>
                <w:kern w:val="0"/>
              </w:rPr>
              <w:t>），自</w:t>
            </w:r>
            <w:r w:rsidRPr="00B12FE0">
              <w:rPr>
                <w:rFonts w:hint="eastAsia"/>
                <w:color w:val="000000" w:themeColor="text1"/>
                <w:kern w:val="0"/>
              </w:rPr>
              <w:t>2026</w:t>
            </w:r>
            <w:r w:rsidRPr="00B12FE0">
              <w:rPr>
                <w:rFonts w:hint="eastAsia"/>
                <w:color w:val="000000" w:themeColor="text1"/>
                <w:kern w:val="0"/>
              </w:rPr>
              <w:t>年</w:t>
            </w:r>
            <w:r w:rsidRPr="00B12FE0">
              <w:rPr>
                <w:rFonts w:hint="eastAsia"/>
                <w:color w:val="000000" w:themeColor="text1"/>
                <w:kern w:val="0"/>
              </w:rPr>
              <w:t>3</w:t>
            </w:r>
            <w:r w:rsidRPr="00B12FE0">
              <w:rPr>
                <w:rFonts w:hint="eastAsia"/>
                <w:color w:val="000000" w:themeColor="text1"/>
                <w:kern w:val="0"/>
              </w:rPr>
              <w:t>月</w:t>
            </w:r>
            <w:r w:rsidRPr="00B12FE0">
              <w:rPr>
                <w:rFonts w:hint="eastAsia"/>
                <w:color w:val="000000" w:themeColor="text1"/>
                <w:kern w:val="0"/>
              </w:rPr>
              <w:t>1</w:t>
            </w:r>
            <w:r w:rsidRPr="00B12FE0">
              <w:rPr>
                <w:rFonts w:hint="eastAsia"/>
                <w:color w:val="000000" w:themeColor="text1"/>
                <w:kern w:val="0"/>
              </w:rPr>
              <w:t>日起施行</w:t>
            </w:r>
            <w:r w:rsidRPr="00B12FE0">
              <w:rPr>
                <w:rFonts w:hint="eastAsia"/>
                <w:color w:val="000000" w:themeColor="text1"/>
              </w:rPr>
              <w:t>。</w:t>
            </w:r>
          </w:p>
        </w:tc>
      </w:tr>
      <w:tr w:rsidR="00A67F21" w:rsidRPr="00B12FE0" w14:paraId="7616AE81"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7029CEE" w14:textId="77777777" w:rsidR="00A67F21" w:rsidRPr="00B12FE0" w:rsidRDefault="00000000">
            <w:pPr>
              <w:pStyle w:val="TableParagraph"/>
              <w:autoSpaceDE/>
              <w:autoSpaceDN/>
              <w:snapToGrid w:val="0"/>
              <w:spacing w:line="360" w:lineRule="auto"/>
              <w:jc w:val="center"/>
              <w:rPr>
                <w:b/>
                <w:bCs/>
                <w:color w:val="000000" w:themeColor="text1"/>
              </w:rPr>
            </w:pPr>
            <w:r w:rsidRPr="00B12FE0">
              <w:rPr>
                <w:b/>
                <w:bCs/>
                <w:color w:val="000000" w:themeColor="text1"/>
              </w:rPr>
              <w:lastRenderedPageBreak/>
              <w:t>技术</w:t>
            </w:r>
          </w:p>
          <w:p w14:paraId="4A4B2A61" w14:textId="77777777" w:rsidR="00A67F21" w:rsidRPr="00B12FE0" w:rsidRDefault="00000000">
            <w:pPr>
              <w:pStyle w:val="TableParagraph"/>
              <w:autoSpaceDE/>
              <w:autoSpaceDN/>
              <w:snapToGrid w:val="0"/>
              <w:spacing w:line="360" w:lineRule="auto"/>
              <w:jc w:val="center"/>
              <w:rPr>
                <w:b/>
                <w:bCs/>
                <w:color w:val="000000" w:themeColor="text1"/>
                <w:w w:val="95"/>
              </w:rPr>
            </w:pPr>
            <w:r w:rsidRPr="00B12FE0">
              <w:rPr>
                <w:b/>
                <w:bCs/>
                <w:color w:val="000000" w:themeColor="text1"/>
              </w:rPr>
              <w:t>标准</w:t>
            </w:r>
          </w:p>
        </w:tc>
        <w:tc>
          <w:tcPr>
            <w:tcW w:w="8171" w:type="dxa"/>
            <w:tcBorders>
              <w:top w:val="single" w:sz="4" w:space="0" w:color="000000"/>
              <w:left w:val="single" w:sz="4" w:space="0" w:color="000000"/>
              <w:bottom w:val="single" w:sz="4" w:space="0" w:color="000000"/>
              <w:right w:val="single" w:sz="4" w:space="0" w:color="000000"/>
            </w:tcBorders>
            <w:vAlign w:val="center"/>
          </w:tcPr>
          <w:p w14:paraId="40A5B5DD"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w:t>
            </w:r>
            <w:r w:rsidRPr="00B12FE0">
              <w:rPr>
                <w:rFonts w:hint="eastAsia"/>
                <w:color w:val="000000" w:themeColor="text1"/>
              </w:rPr>
              <w:t>）</w:t>
            </w:r>
            <w:r w:rsidRPr="00B12FE0">
              <w:rPr>
                <w:color w:val="000000" w:themeColor="text1"/>
              </w:rPr>
              <w:t>《辐射环境保护管理导则</w:t>
            </w:r>
            <w:r w:rsidRPr="00B12FE0">
              <w:rPr>
                <w:color w:val="000000" w:themeColor="text1"/>
              </w:rPr>
              <w:t xml:space="preserve"> </w:t>
            </w:r>
            <w:r w:rsidRPr="00B12FE0">
              <w:rPr>
                <w:color w:val="000000" w:themeColor="text1"/>
              </w:rPr>
              <w:t>核技术利用建设项目</w:t>
            </w:r>
            <w:r w:rsidRPr="00B12FE0">
              <w:rPr>
                <w:color w:val="000000" w:themeColor="text1"/>
              </w:rPr>
              <w:t xml:space="preserve"> </w:t>
            </w:r>
            <w:r w:rsidRPr="00B12FE0">
              <w:rPr>
                <w:color w:val="000000" w:themeColor="text1"/>
              </w:rPr>
              <w:t>环境影响评价文件的内容和格式》（</w:t>
            </w:r>
            <w:r w:rsidRPr="00B12FE0">
              <w:rPr>
                <w:color w:val="000000" w:themeColor="text1"/>
              </w:rPr>
              <w:t>HJ 10.1-2016</w:t>
            </w:r>
            <w:r w:rsidRPr="00B12FE0">
              <w:rPr>
                <w:color w:val="000000" w:themeColor="text1"/>
              </w:rPr>
              <w:t>）；</w:t>
            </w:r>
          </w:p>
          <w:p w14:paraId="303EA4F8"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2</w:t>
            </w:r>
            <w:r w:rsidRPr="00B12FE0">
              <w:rPr>
                <w:rFonts w:hint="eastAsia"/>
                <w:color w:val="000000" w:themeColor="text1"/>
              </w:rPr>
              <w:t>）</w:t>
            </w:r>
            <w:r w:rsidRPr="00B12FE0">
              <w:rPr>
                <w:color w:val="000000" w:themeColor="text1"/>
              </w:rPr>
              <w:t>《电离辐射防护与辐射源安全基本标准》（</w:t>
            </w:r>
            <w:r w:rsidRPr="00B12FE0">
              <w:rPr>
                <w:color w:val="000000" w:themeColor="text1"/>
              </w:rPr>
              <w:t>GB 18871-2002</w:t>
            </w:r>
            <w:r w:rsidRPr="00B12FE0">
              <w:rPr>
                <w:color w:val="000000" w:themeColor="text1"/>
              </w:rPr>
              <w:t>）；</w:t>
            </w:r>
          </w:p>
          <w:p w14:paraId="6E4B9515"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color w:val="000000" w:themeColor="text1"/>
              </w:rPr>
              <w:t>3</w:t>
            </w:r>
            <w:r w:rsidRPr="00B12FE0">
              <w:rPr>
                <w:color w:val="000000" w:themeColor="text1"/>
              </w:rPr>
              <w:t>）《环境</w:t>
            </w:r>
            <w:r w:rsidRPr="00B12FE0">
              <w:rPr>
                <w:color w:val="000000" w:themeColor="text1"/>
              </w:rPr>
              <w:t>γ</w:t>
            </w:r>
            <w:r w:rsidRPr="00B12FE0">
              <w:rPr>
                <w:color w:val="000000" w:themeColor="text1"/>
              </w:rPr>
              <w:t>辐射剂量率测量技术规范》（</w:t>
            </w:r>
            <w:r w:rsidRPr="00B12FE0">
              <w:rPr>
                <w:color w:val="000000" w:themeColor="text1"/>
              </w:rPr>
              <w:t>HJ 1157-2021</w:t>
            </w:r>
            <w:r w:rsidRPr="00B12FE0">
              <w:rPr>
                <w:color w:val="000000" w:themeColor="text1"/>
              </w:rPr>
              <w:t>）；</w:t>
            </w:r>
          </w:p>
          <w:p w14:paraId="64A34269"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color w:val="000000" w:themeColor="text1"/>
              </w:rPr>
              <w:t>4</w:t>
            </w:r>
            <w:r w:rsidRPr="00B12FE0">
              <w:rPr>
                <w:color w:val="000000" w:themeColor="text1"/>
              </w:rPr>
              <w:t>）《辐射环境监测技术规范》（</w:t>
            </w:r>
            <w:r w:rsidRPr="00B12FE0">
              <w:rPr>
                <w:color w:val="000000" w:themeColor="text1"/>
              </w:rPr>
              <w:t>HJ 61-2021</w:t>
            </w:r>
            <w:r w:rsidRPr="00B12FE0">
              <w:rPr>
                <w:color w:val="000000" w:themeColor="text1"/>
              </w:rPr>
              <w:t>）；</w:t>
            </w:r>
          </w:p>
          <w:p w14:paraId="663792AE" w14:textId="77777777" w:rsidR="00A67F21" w:rsidRPr="00B12FE0" w:rsidRDefault="00000000">
            <w:pPr>
              <w:overflowPunct w:val="0"/>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cs="宋体"/>
                <w:color w:val="000000" w:themeColor="text1"/>
                <w:szCs w:val="24"/>
              </w:rPr>
              <w:t>（</w:t>
            </w:r>
            <w:r w:rsidRPr="00B12FE0">
              <w:rPr>
                <w:rFonts w:cs="宋体"/>
                <w:color w:val="000000" w:themeColor="text1"/>
                <w:szCs w:val="24"/>
              </w:rPr>
              <w:t>5</w:t>
            </w:r>
            <w:r w:rsidRPr="00B12FE0">
              <w:rPr>
                <w:rFonts w:ascii="宋体" w:hAnsi="宋体" w:cs="宋体"/>
                <w:color w:val="000000" w:themeColor="text1"/>
                <w:szCs w:val="24"/>
              </w:rPr>
              <w:t>）</w:t>
            </w:r>
            <w:r w:rsidRPr="00B12FE0">
              <w:rPr>
                <w:rFonts w:ascii="宋体" w:hAnsi="宋体"/>
                <w:color w:val="000000" w:themeColor="text1"/>
                <w:szCs w:val="24"/>
              </w:rPr>
              <w:t>《职业性外照射个人监测规范》（</w:t>
            </w:r>
            <w:r w:rsidRPr="00B12FE0">
              <w:rPr>
                <w:color w:val="000000" w:themeColor="text1"/>
                <w:szCs w:val="24"/>
              </w:rPr>
              <w:t>GBZ 128-2019</w:t>
            </w:r>
            <w:r w:rsidRPr="00B12FE0">
              <w:rPr>
                <w:rFonts w:ascii="宋体" w:hAnsi="宋体"/>
                <w:color w:val="000000" w:themeColor="text1"/>
                <w:szCs w:val="24"/>
              </w:rPr>
              <w:t>）；</w:t>
            </w:r>
          </w:p>
          <w:p w14:paraId="7D03038F" w14:textId="77777777" w:rsidR="00A67F21" w:rsidRPr="00B12FE0" w:rsidRDefault="00000000">
            <w:pPr>
              <w:overflowPunct w:val="0"/>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cs="宋体"/>
                <w:color w:val="000000" w:themeColor="text1"/>
                <w:szCs w:val="24"/>
              </w:rPr>
              <w:t>（</w:t>
            </w:r>
            <w:r w:rsidRPr="00B12FE0">
              <w:rPr>
                <w:rFonts w:cs="宋体" w:hint="eastAsia"/>
                <w:color w:val="000000" w:themeColor="text1"/>
                <w:szCs w:val="24"/>
              </w:rPr>
              <w:t>6</w:t>
            </w:r>
            <w:r w:rsidRPr="00B12FE0">
              <w:rPr>
                <w:rFonts w:ascii="宋体" w:hAnsi="宋体" w:cs="宋体"/>
                <w:color w:val="000000" w:themeColor="text1"/>
                <w:szCs w:val="24"/>
              </w:rPr>
              <w:t>）</w:t>
            </w:r>
            <w:r w:rsidRPr="00B12FE0">
              <w:rPr>
                <w:rFonts w:ascii="宋体" w:hAnsi="宋体"/>
                <w:color w:val="000000" w:themeColor="text1"/>
                <w:szCs w:val="24"/>
              </w:rPr>
              <w:t>《职业性</w:t>
            </w:r>
            <w:r w:rsidRPr="00B12FE0">
              <w:rPr>
                <w:rFonts w:ascii="宋体" w:hAnsi="宋体" w:hint="eastAsia"/>
                <w:color w:val="000000" w:themeColor="text1"/>
                <w:szCs w:val="24"/>
              </w:rPr>
              <w:t>内</w:t>
            </w:r>
            <w:r w:rsidRPr="00B12FE0">
              <w:rPr>
                <w:rFonts w:ascii="宋体" w:hAnsi="宋体"/>
                <w:color w:val="000000" w:themeColor="text1"/>
                <w:szCs w:val="24"/>
              </w:rPr>
              <w:t>照射个人监测规范》（</w:t>
            </w:r>
            <w:r w:rsidRPr="00B12FE0">
              <w:rPr>
                <w:color w:val="000000" w:themeColor="text1"/>
                <w:szCs w:val="24"/>
              </w:rPr>
              <w:t>GBZ 12</w:t>
            </w:r>
            <w:r w:rsidRPr="00B12FE0">
              <w:rPr>
                <w:rFonts w:hint="eastAsia"/>
                <w:color w:val="000000" w:themeColor="text1"/>
                <w:szCs w:val="24"/>
              </w:rPr>
              <w:t>9</w:t>
            </w:r>
            <w:r w:rsidRPr="00B12FE0">
              <w:rPr>
                <w:color w:val="000000" w:themeColor="text1"/>
                <w:szCs w:val="24"/>
              </w:rPr>
              <w:t>-201</w:t>
            </w:r>
            <w:r w:rsidRPr="00B12FE0">
              <w:rPr>
                <w:rFonts w:hint="eastAsia"/>
                <w:color w:val="000000" w:themeColor="text1"/>
                <w:szCs w:val="24"/>
              </w:rPr>
              <w:t>6</w:t>
            </w:r>
            <w:r w:rsidRPr="00B12FE0">
              <w:rPr>
                <w:rFonts w:ascii="宋体" w:hAnsi="宋体"/>
                <w:color w:val="000000" w:themeColor="text1"/>
                <w:szCs w:val="24"/>
              </w:rPr>
              <w:t>）；</w:t>
            </w:r>
          </w:p>
          <w:p w14:paraId="77AC89CB"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7</w:t>
            </w:r>
            <w:r w:rsidRPr="00B12FE0">
              <w:rPr>
                <w:color w:val="000000" w:themeColor="text1"/>
              </w:rPr>
              <w:t>）《放射治疗辐射安全与防护要求》（</w:t>
            </w:r>
            <w:r w:rsidRPr="00B12FE0">
              <w:rPr>
                <w:color w:val="000000" w:themeColor="text1"/>
              </w:rPr>
              <w:t>HJ 1198-2021</w:t>
            </w:r>
            <w:r w:rsidRPr="00B12FE0">
              <w:rPr>
                <w:color w:val="000000" w:themeColor="text1"/>
              </w:rPr>
              <w:t>）</w:t>
            </w:r>
            <w:r w:rsidRPr="00B12FE0">
              <w:rPr>
                <w:rFonts w:hint="eastAsia"/>
                <w:color w:val="000000" w:themeColor="text1"/>
              </w:rPr>
              <w:t>；</w:t>
            </w:r>
          </w:p>
          <w:p w14:paraId="312F32E6"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8</w:t>
            </w:r>
            <w:r w:rsidRPr="00B12FE0">
              <w:rPr>
                <w:color w:val="000000" w:themeColor="text1"/>
              </w:rPr>
              <w:t>）《放射诊断放射防护要求》（</w:t>
            </w:r>
            <w:r w:rsidRPr="00B12FE0">
              <w:rPr>
                <w:color w:val="000000" w:themeColor="text1"/>
              </w:rPr>
              <w:t>GBZ 130-2020</w:t>
            </w:r>
            <w:r w:rsidRPr="00B12FE0">
              <w:rPr>
                <w:color w:val="000000" w:themeColor="text1"/>
              </w:rPr>
              <w:t>）；</w:t>
            </w:r>
          </w:p>
          <w:p w14:paraId="7AC068A9"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9</w:t>
            </w:r>
            <w:r w:rsidRPr="00B12FE0">
              <w:rPr>
                <w:color w:val="000000" w:themeColor="text1"/>
              </w:rPr>
              <w:t>）《核医学放射防护要求》（</w:t>
            </w:r>
            <w:r w:rsidRPr="00B12FE0">
              <w:rPr>
                <w:color w:val="000000" w:themeColor="text1"/>
              </w:rPr>
              <w:t>GBZ 120-2020</w:t>
            </w:r>
            <w:r w:rsidRPr="00B12FE0">
              <w:rPr>
                <w:color w:val="000000" w:themeColor="text1"/>
              </w:rPr>
              <w:t>）；</w:t>
            </w:r>
          </w:p>
          <w:p w14:paraId="427C03B2"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10</w:t>
            </w:r>
            <w:r w:rsidRPr="00B12FE0">
              <w:rPr>
                <w:color w:val="000000" w:themeColor="text1"/>
              </w:rPr>
              <w:t>）《核医学辐射防护与安全要求》（</w:t>
            </w:r>
            <w:r w:rsidRPr="00B12FE0">
              <w:rPr>
                <w:color w:val="000000" w:themeColor="text1"/>
              </w:rPr>
              <w:t>HJ 1188-2021</w:t>
            </w:r>
            <w:r w:rsidRPr="00B12FE0">
              <w:rPr>
                <w:color w:val="000000" w:themeColor="text1"/>
              </w:rPr>
              <w:t>）</w:t>
            </w:r>
            <w:r w:rsidRPr="00B12FE0">
              <w:rPr>
                <w:rFonts w:hint="eastAsia"/>
                <w:color w:val="000000" w:themeColor="text1"/>
              </w:rPr>
              <w:t>及《关于核医学标准相关条款咨询的复函》（辐射函〔</w:t>
            </w:r>
            <w:r w:rsidRPr="00B12FE0">
              <w:rPr>
                <w:color w:val="000000" w:themeColor="text1"/>
              </w:rPr>
              <w:t>2023</w:t>
            </w:r>
            <w:r w:rsidRPr="00B12FE0">
              <w:rPr>
                <w:rFonts w:hint="eastAsia"/>
                <w:color w:val="000000" w:themeColor="text1"/>
              </w:rPr>
              <w:t>〕</w:t>
            </w:r>
            <w:r w:rsidRPr="00B12FE0">
              <w:rPr>
                <w:color w:val="000000" w:themeColor="text1"/>
              </w:rPr>
              <w:t>20</w:t>
            </w:r>
            <w:r w:rsidRPr="00B12FE0">
              <w:rPr>
                <w:rFonts w:hint="eastAsia"/>
                <w:color w:val="000000" w:themeColor="text1"/>
              </w:rPr>
              <w:t>号）</w:t>
            </w:r>
            <w:r w:rsidRPr="00B12FE0">
              <w:rPr>
                <w:color w:val="000000" w:themeColor="text1"/>
              </w:rPr>
              <w:t>；</w:t>
            </w:r>
          </w:p>
          <w:p w14:paraId="2AA69783"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11</w:t>
            </w:r>
            <w:r w:rsidRPr="00B12FE0">
              <w:rPr>
                <w:color w:val="000000" w:themeColor="text1"/>
              </w:rPr>
              <w:t>）《放射治疗机房的辐射屏蔽规范</w:t>
            </w:r>
            <w:r w:rsidRPr="00B12FE0">
              <w:rPr>
                <w:color w:val="000000" w:themeColor="text1"/>
              </w:rPr>
              <w:t xml:space="preserve"> </w:t>
            </w:r>
            <w:r w:rsidRPr="00B12FE0">
              <w:rPr>
                <w:color w:val="000000" w:themeColor="text1"/>
              </w:rPr>
              <w:t>第</w:t>
            </w:r>
            <w:r w:rsidRPr="00B12FE0">
              <w:rPr>
                <w:color w:val="000000" w:themeColor="text1"/>
              </w:rPr>
              <w:t>1</w:t>
            </w:r>
            <w:r w:rsidRPr="00B12FE0">
              <w:rPr>
                <w:color w:val="000000" w:themeColor="text1"/>
              </w:rPr>
              <w:t>部分：一般原则》（</w:t>
            </w:r>
            <w:r w:rsidRPr="00B12FE0">
              <w:rPr>
                <w:color w:val="000000" w:themeColor="text1"/>
              </w:rPr>
              <w:t>GBZ/T 201.1-2007</w:t>
            </w:r>
            <w:r w:rsidRPr="00B12FE0">
              <w:rPr>
                <w:color w:val="000000" w:themeColor="text1"/>
              </w:rPr>
              <w:t>）；</w:t>
            </w:r>
          </w:p>
          <w:p w14:paraId="540F39E1"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12</w:t>
            </w:r>
            <w:r w:rsidRPr="00B12FE0">
              <w:rPr>
                <w:color w:val="000000" w:themeColor="text1"/>
              </w:rPr>
              <w:t>）《放射治疗机房的辐射屏蔽规范</w:t>
            </w:r>
            <w:r w:rsidRPr="00B12FE0">
              <w:rPr>
                <w:color w:val="000000" w:themeColor="text1"/>
              </w:rPr>
              <w:t xml:space="preserve"> </w:t>
            </w:r>
            <w:r w:rsidRPr="00B12FE0">
              <w:rPr>
                <w:color w:val="000000" w:themeColor="text1"/>
              </w:rPr>
              <w:t>第</w:t>
            </w:r>
            <w:r w:rsidRPr="00B12FE0">
              <w:rPr>
                <w:color w:val="000000" w:themeColor="text1"/>
              </w:rPr>
              <w:t>2</w:t>
            </w:r>
            <w:r w:rsidRPr="00B12FE0">
              <w:rPr>
                <w:color w:val="000000" w:themeColor="text1"/>
              </w:rPr>
              <w:t>部分：电子直线加速器放射治疗机</w:t>
            </w:r>
            <w:r w:rsidRPr="00B12FE0">
              <w:rPr>
                <w:rFonts w:hint="eastAsia"/>
                <w:color w:val="000000" w:themeColor="text1"/>
              </w:rPr>
              <w:t>房</w:t>
            </w:r>
            <w:r w:rsidRPr="00B12FE0">
              <w:rPr>
                <w:color w:val="000000" w:themeColor="text1"/>
              </w:rPr>
              <w:t>》（</w:t>
            </w:r>
            <w:r w:rsidRPr="00B12FE0">
              <w:rPr>
                <w:color w:val="000000" w:themeColor="text1"/>
              </w:rPr>
              <w:t>GBZ/T 201.2-2011</w:t>
            </w:r>
            <w:r w:rsidRPr="00B12FE0">
              <w:rPr>
                <w:color w:val="000000" w:themeColor="text1"/>
              </w:rPr>
              <w:t>）；</w:t>
            </w:r>
          </w:p>
          <w:p w14:paraId="672C5CE7"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13</w:t>
            </w:r>
            <w:r w:rsidRPr="00B12FE0">
              <w:rPr>
                <w:rFonts w:hint="eastAsia"/>
                <w:color w:val="000000" w:themeColor="text1"/>
              </w:rPr>
              <w:t>）</w:t>
            </w:r>
            <w:r w:rsidRPr="00B12FE0">
              <w:rPr>
                <w:color w:val="000000" w:themeColor="text1"/>
              </w:rPr>
              <w:t>《放射治疗机房的辐射屏蔽规范第</w:t>
            </w:r>
            <w:r w:rsidRPr="00B12FE0">
              <w:rPr>
                <w:color w:val="000000" w:themeColor="text1"/>
              </w:rPr>
              <w:t>3</w:t>
            </w:r>
            <w:r w:rsidRPr="00B12FE0">
              <w:rPr>
                <w:color w:val="000000" w:themeColor="text1"/>
              </w:rPr>
              <w:t>部分：</w:t>
            </w:r>
            <w:r w:rsidRPr="00B12FE0">
              <w:rPr>
                <w:color w:val="000000" w:themeColor="text1"/>
              </w:rPr>
              <w:t>γ</w:t>
            </w:r>
            <w:r w:rsidRPr="00B12FE0">
              <w:rPr>
                <w:color w:val="000000" w:themeColor="text1"/>
              </w:rPr>
              <w:t>射线源放射治疗机房》（</w:t>
            </w:r>
            <w:r w:rsidRPr="00B12FE0">
              <w:rPr>
                <w:color w:val="000000" w:themeColor="text1"/>
              </w:rPr>
              <w:t>GBZ/T201.3-2011</w:t>
            </w:r>
            <w:r w:rsidRPr="00B12FE0">
              <w:rPr>
                <w:color w:val="000000" w:themeColor="text1"/>
              </w:rPr>
              <w:t>）；</w:t>
            </w:r>
          </w:p>
          <w:p w14:paraId="2BF506E6"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color w:val="000000" w:themeColor="text1"/>
              </w:rPr>
              <w:t>1</w:t>
            </w:r>
            <w:r w:rsidRPr="00B12FE0">
              <w:rPr>
                <w:rFonts w:hint="eastAsia"/>
                <w:color w:val="000000" w:themeColor="text1"/>
              </w:rPr>
              <w:t>4</w:t>
            </w:r>
            <w:r w:rsidRPr="00B12FE0">
              <w:rPr>
                <w:color w:val="000000" w:themeColor="text1"/>
              </w:rPr>
              <w:t>）《放射治疗放射防护要求》（</w:t>
            </w:r>
            <w:r w:rsidRPr="00B12FE0">
              <w:rPr>
                <w:color w:val="000000" w:themeColor="text1"/>
              </w:rPr>
              <w:t>GBZ 121-2020</w:t>
            </w:r>
            <w:r w:rsidRPr="00B12FE0">
              <w:rPr>
                <w:color w:val="000000" w:themeColor="text1"/>
              </w:rPr>
              <w:t>）；</w:t>
            </w:r>
          </w:p>
          <w:p w14:paraId="72167E7E"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15</w:t>
            </w:r>
            <w:r w:rsidRPr="00B12FE0">
              <w:rPr>
                <w:rFonts w:hint="eastAsia"/>
                <w:color w:val="000000" w:themeColor="text1"/>
              </w:rPr>
              <w:t>）</w:t>
            </w:r>
            <w:r w:rsidRPr="00B12FE0">
              <w:rPr>
                <w:color w:val="000000" w:themeColor="text1"/>
              </w:rPr>
              <w:t>《粒子加速器辐射安全与防护规定》</w:t>
            </w:r>
            <w:r w:rsidRPr="00B12FE0">
              <w:rPr>
                <w:rFonts w:hint="eastAsia"/>
                <w:color w:val="000000" w:themeColor="text1"/>
              </w:rPr>
              <w:t>（</w:t>
            </w:r>
            <w:r w:rsidRPr="00B12FE0">
              <w:rPr>
                <w:color w:val="000000" w:themeColor="text1"/>
              </w:rPr>
              <w:t>GB5172-2025</w:t>
            </w:r>
            <w:r w:rsidRPr="00B12FE0">
              <w:rPr>
                <w:rFonts w:hint="eastAsia"/>
                <w:color w:val="000000" w:themeColor="text1"/>
              </w:rPr>
              <w:t>）；</w:t>
            </w:r>
          </w:p>
          <w:p w14:paraId="63FF98EA"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16</w:t>
            </w:r>
            <w:r w:rsidRPr="00B12FE0">
              <w:rPr>
                <w:rFonts w:hint="eastAsia"/>
                <w:color w:val="000000" w:themeColor="text1"/>
              </w:rPr>
              <w:t>）</w:t>
            </w:r>
            <w:r w:rsidRPr="00B12FE0">
              <w:rPr>
                <w:color w:val="000000" w:themeColor="text1"/>
              </w:rPr>
              <w:t>《操作非密封源的辐射防护规定》（</w:t>
            </w:r>
            <w:r w:rsidRPr="00B12FE0">
              <w:rPr>
                <w:color w:val="000000" w:themeColor="text1"/>
              </w:rPr>
              <w:t>GB 11930-2010</w:t>
            </w:r>
            <w:r w:rsidRPr="00B12FE0">
              <w:rPr>
                <w:color w:val="000000" w:themeColor="text1"/>
              </w:rPr>
              <w:t>）；</w:t>
            </w:r>
          </w:p>
          <w:p w14:paraId="5F9A2DA3"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color w:val="000000" w:themeColor="text1"/>
              </w:rPr>
              <w:t>（</w:t>
            </w:r>
            <w:r w:rsidRPr="00B12FE0">
              <w:rPr>
                <w:color w:val="000000" w:themeColor="text1"/>
              </w:rPr>
              <w:t>1</w:t>
            </w:r>
            <w:r w:rsidRPr="00B12FE0">
              <w:rPr>
                <w:rFonts w:hint="eastAsia"/>
                <w:color w:val="000000" w:themeColor="text1"/>
              </w:rPr>
              <w:t>7</w:t>
            </w:r>
            <w:r w:rsidRPr="00B12FE0">
              <w:rPr>
                <w:color w:val="000000" w:themeColor="text1"/>
              </w:rPr>
              <w:t>）《医疗机构水污染物排放标准》（</w:t>
            </w:r>
            <w:r w:rsidRPr="00B12FE0">
              <w:rPr>
                <w:color w:val="000000" w:themeColor="text1"/>
              </w:rPr>
              <w:t>GB 18466-2005</w:t>
            </w:r>
            <w:r w:rsidRPr="00B12FE0">
              <w:rPr>
                <w:color w:val="000000" w:themeColor="text1"/>
              </w:rPr>
              <w:t>）</w:t>
            </w:r>
            <w:r w:rsidRPr="00B12FE0">
              <w:rPr>
                <w:rFonts w:hint="eastAsia"/>
                <w:color w:val="000000" w:themeColor="text1"/>
              </w:rPr>
              <w:t>；</w:t>
            </w:r>
          </w:p>
          <w:p w14:paraId="38D59DE2" w14:textId="77777777" w:rsidR="00A67F21" w:rsidRPr="00B12FE0" w:rsidRDefault="00000000">
            <w:pPr>
              <w:overflowPunct w:val="0"/>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18</w:t>
            </w:r>
            <w:r w:rsidRPr="00B12FE0">
              <w:rPr>
                <w:rFonts w:hint="eastAsia"/>
                <w:color w:val="000000" w:themeColor="text1"/>
              </w:rPr>
              <w:t>）《建设项目竣工环境保护设施验收技术规范</w:t>
            </w:r>
            <w:r w:rsidRPr="00B12FE0">
              <w:rPr>
                <w:rFonts w:hint="eastAsia"/>
                <w:color w:val="000000" w:themeColor="text1"/>
              </w:rPr>
              <w:t xml:space="preserve"> </w:t>
            </w:r>
            <w:r w:rsidRPr="00B12FE0">
              <w:rPr>
                <w:rFonts w:hint="eastAsia"/>
                <w:color w:val="000000" w:themeColor="text1"/>
              </w:rPr>
              <w:t>核技术利用》（</w:t>
            </w:r>
            <w:r w:rsidRPr="00B12FE0">
              <w:rPr>
                <w:rFonts w:hint="eastAsia"/>
                <w:color w:val="000000" w:themeColor="text1"/>
              </w:rPr>
              <w:t>HJ 1326-2023</w:t>
            </w:r>
            <w:r w:rsidRPr="00B12FE0">
              <w:rPr>
                <w:rFonts w:hint="eastAsia"/>
                <w:color w:val="000000" w:themeColor="text1"/>
              </w:rPr>
              <w:t>）</w:t>
            </w:r>
            <w:r w:rsidRPr="00B12FE0">
              <w:rPr>
                <w:color w:val="000000" w:themeColor="text1"/>
              </w:rPr>
              <w:t>。</w:t>
            </w:r>
          </w:p>
        </w:tc>
      </w:tr>
      <w:tr w:rsidR="00A67F21" w:rsidRPr="00B12FE0" w14:paraId="7101F06A"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F318F09" w14:textId="77777777" w:rsidR="00A67F21" w:rsidRPr="00B12FE0" w:rsidRDefault="00000000">
            <w:pPr>
              <w:pStyle w:val="TableParagraph"/>
              <w:autoSpaceDE/>
              <w:autoSpaceDN/>
              <w:snapToGrid w:val="0"/>
              <w:spacing w:line="360" w:lineRule="auto"/>
              <w:jc w:val="center"/>
              <w:rPr>
                <w:b/>
                <w:bCs/>
                <w:color w:val="000000" w:themeColor="text1"/>
                <w:w w:val="95"/>
              </w:rPr>
            </w:pPr>
            <w:r w:rsidRPr="00B12FE0">
              <w:rPr>
                <w:b/>
                <w:bCs/>
                <w:color w:val="000000" w:themeColor="text1"/>
              </w:rPr>
              <w:t>其他</w:t>
            </w:r>
          </w:p>
        </w:tc>
        <w:tc>
          <w:tcPr>
            <w:tcW w:w="8171" w:type="dxa"/>
            <w:tcBorders>
              <w:top w:val="single" w:sz="4" w:space="0" w:color="000000"/>
              <w:left w:val="single" w:sz="4" w:space="0" w:color="000000"/>
              <w:bottom w:val="single" w:sz="4" w:space="0" w:color="000000"/>
              <w:right w:val="single" w:sz="4" w:space="0" w:color="000000"/>
            </w:tcBorders>
            <w:vAlign w:val="center"/>
          </w:tcPr>
          <w:p w14:paraId="0B4935FF"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w:t>
            </w:r>
            <w:r w:rsidRPr="00B12FE0">
              <w:rPr>
                <w:rFonts w:hint="eastAsia"/>
                <w:color w:val="000000" w:themeColor="text1"/>
              </w:rPr>
              <w:t>）</w:t>
            </w:r>
            <w:r w:rsidRPr="00B12FE0">
              <w:rPr>
                <w:color w:val="000000" w:themeColor="text1"/>
              </w:rPr>
              <w:t>《辐射防护手册》（第一分册），李德平、潘自强主编；</w:t>
            </w:r>
          </w:p>
          <w:p w14:paraId="12A9366E"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lastRenderedPageBreak/>
              <w:t>（</w:t>
            </w:r>
            <w:r w:rsidRPr="00B12FE0">
              <w:rPr>
                <w:color w:val="000000" w:themeColor="text1"/>
              </w:rPr>
              <w:t>2</w:t>
            </w:r>
            <w:r w:rsidRPr="00B12FE0">
              <w:rPr>
                <w:color w:val="000000" w:themeColor="text1"/>
              </w:rPr>
              <w:t>）《辐射防护手册》（第三分册），李德平、潘自强主编；</w:t>
            </w:r>
          </w:p>
          <w:p w14:paraId="0099D5AF"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3</w:t>
            </w:r>
            <w:r w:rsidRPr="00B12FE0">
              <w:rPr>
                <w:color w:val="000000" w:themeColor="text1"/>
              </w:rPr>
              <w:t>）《放射防护实用手册》，赵兰才、张丹枫；</w:t>
            </w:r>
          </w:p>
          <w:p w14:paraId="28A74523"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4</w:t>
            </w:r>
            <w:r w:rsidRPr="00B12FE0">
              <w:rPr>
                <w:color w:val="000000" w:themeColor="text1"/>
              </w:rPr>
              <w:t>）</w:t>
            </w:r>
            <w:r w:rsidRPr="00B12FE0">
              <w:rPr>
                <w:rFonts w:hint="eastAsia"/>
                <w:color w:val="000000" w:themeColor="text1"/>
              </w:rPr>
              <w:t>《新疆维吾尔自治区环境天然放射性水平调查报告》（</w:t>
            </w:r>
            <w:r w:rsidRPr="00B12FE0">
              <w:rPr>
                <w:rFonts w:hint="eastAsia"/>
                <w:color w:val="000000" w:themeColor="text1"/>
              </w:rPr>
              <w:t>1989</w:t>
            </w:r>
            <w:r w:rsidRPr="00B12FE0">
              <w:rPr>
                <w:rFonts w:hint="eastAsia"/>
                <w:color w:val="000000" w:themeColor="text1"/>
              </w:rPr>
              <w:t>年）</w:t>
            </w:r>
            <w:r w:rsidRPr="00B12FE0">
              <w:rPr>
                <w:color w:val="000000" w:themeColor="text1"/>
              </w:rPr>
              <w:t>；</w:t>
            </w:r>
          </w:p>
          <w:p w14:paraId="341409C9"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w:t>
            </w:r>
            <w:r w:rsidRPr="00B12FE0">
              <w:rPr>
                <w:rFonts w:hint="eastAsia"/>
                <w:color w:val="000000" w:themeColor="text1"/>
              </w:rPr>
              <w:t>5</w:t>
            </w:r>
            <w:r w:rsidRPr="00B12FE0">
              <w:rPr>
                <w:color w:val="000000" w:themeColor="text1"/>
              </w:rPr>
              <w:t>）医院提供的其它与本项目有关的技术资料；</w:t>
            </w:r>
            <w:r w:rsidRPr="00B12FE0">
              <w:rPr>
                <w:color w:val="000000" w:themeColor="text1"/>
              </w:rPr>
              <w:t xml:space="preserve"> </w:t>
            </w:r>
          </w:p>
          <w:p w14:paraId="7FC84097"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6</w:t>
            </w:r>
            <w:r w:rsidRPr="00B12FE0">
              <w:rPr>
                <w:color w:val="000000" w:themeColor="text1"/>
              </w:rPr>
              <w:t>）</w:t>
            </w:r>
            <w:r w:rsidRPr="00B12FE0">
              <w:rPr>
                <w:rFonts w:hint="eastAsia"/>
                <w:color w:val="000000" w:themeColor="text1"/>
              </w:rPr>
              <w:t>环评</w:t>
            </w:r>
            <w:r w:rsidRPr="00B12FE0">
              <w:rPr>
                <w:color w:val="000000" w:themeColor="text1"/>
              </w:rPr>
              <w:t>委托书。</w:t>
            </w:r>
          </w:p>
          <w:p w14:paraId="4062DDE0" w14:textId="77777777" w:rsidR="00A67F21" w:rsidRPr="00B12FE0" w:rsidRDefault="00A67F21">
            <w:pPr>
              <w:adjustRightInd w:val="0"/>
              <w:snapToGrid w:val="0"/>
              <w:spacing w:line="360" w:lineRule="auto"/>
              <w:ind w:firstLineChars="200" w:firstLine="480"/>
              <w:rPr>
                <w:color w:val="000000" w:themeColor="text1"/>
              </w:rPr>
            </w:pPr>
          </w:p>
          <w:p w14:paraId="2BE6A3BB" w14:textId="77777777" w:rsidR="00A67F21" w:rsidRPr="00B12FE0" w:rsidRDefault="00A67F21">
            <w:pPr>
              <w:adjustRightInd w:val="0"/>
              <w:snapToGrid w:val="0"/>
              <w:spacing w:line="360" w:lineRule="auto"/>
              <w:ind w:firstLineChars="200" w:firstLine="480"/>
              <w:rPr>
                <w:color w:val="000000" w:themeColor="text1"/>
              </w:rPr>
            </w:pPr>
          </w:p>
          <w:p w14:paraId="4A24101B" w14:textId="77777777" w:rsidR="00A67F21" w:rsidRPr="00B12FE0" w:rsidRDefault="00A67F21">
            <w:pPr>
              <w:adjustRightInd w:val="0"/>
              <w:snapToGrid w:val="0"/>
              <w:spacing w:line="360" w:lineRule="auto"/>
              <w:ind w:firstLineChars="200" w:firstLine="480"/>
              <w:rPr>
                <w:color w:val="000000" w:themeColor="text1"/>
              </w:rPr>
            </w:pPr>
          </w:p>
          <w:p w14:paraId="648AA71C" w14:textId="77777777" w:rsidR="00A67F21" w:rsidRPr="00B12FE0" w:rsidRDefault="00A67F21">
            <w:pPr>
              <w:adjustRightInd w:val="0"/>
              <w:snapToGrid w:val="0"/>
              <w:spacing w:line="360" w:lineRule="auto"/>
              <w:ind w:firstLineChars="200" w:firstLine="480"/>
              <w:rPr>
                <w:color w:val="000000" w:themeColor="text1"/>
              </w:rPr>
            </w:pPr>
          </w:p>
          <w:p w14:paraId="3639CC11" w14:textId="77777777" w:rsidR="00A67F21" w:rsidRPr="00B12FE0" w:rsidRDefault="00A67F21">
            <w:pPr>
              <w:adjustRightInd w:val="0"/>
              <w:snapToGrid w:val="0"/>
              <w:spacing w:line="360" w:lineRule="auto"/>
              <w:ind w:firstLineChars="200" w:firstLine="480"/>
              <w:rPr>
                <w:color w:val="000000" w:themeColor="text1"/>
              </w:rPr>
            </w:pPr>
          </w:p>
          <w:p w14:paraId="62567B6B" w14:textId="77777777" w:rsidR="00A67F21" w:rsidRPr="00B12FE0" w:rsidRDefault="00A67F21">
            <w:pPr>
              <w:adjustRightInd w:val="0"/>
              <w:snapToGrid w:val="0"/>
              <w:spacing w:line="360" w:lineRule="auto"/>
              <w:ind w:firstLineChars="200" w:firstLine="480"/>
              <w:rPr>
                <w:color w:val="000000" w:themeColor="text1"/>
              </w:rPr>
            </w:pPr>
          </w:p>
          <w:p w14:paraId="2AC9B082" w14:textId="77777777" w:rsidR="00A67F21" w:rsidRPr="00B12FE0" w:rsidRDefault="00A67F21">
            <w:pPr>
              <w:adjustRightInd w:val="0"/>
              <w:snapToGrid w:val="0"/>
              <w:spacing w:line="360" w:lineRule="auto"/>
              <w:ind w:firstLineChars="200" w:firstLine="480"/>
              <w:rPr>
                <w:color w:val="000000" w:themeColor="text1"/>
              </w:rPr>
            </w:pPr>
          </w:p>
          <w:p w14:paraId="16852FA4" w14:textId="77777777" w:rsidR="00A67F21" w:rsidRPr="00B12FE0" w:rsidRDefault="00A67F21">
            <w:pPr>
              <w:adjustRightInd w:val="0"/>
              <w:snapToGrid w:val="0"/>
              <w:spacing w:line="360" w:lineRule="auto"/>
              <w:ind w:firstLineChars="200" w:firstLine="480"/>
              <w:rPr>
                <w:color w:val="000000" w:themeColor="text1"/>
              </w:rPr>
            </w:pPr>
          </w:p>
          <w:p w14:paraId="0E8153D7" w14:textId="77777777" w:rsidR="00A67F21" w:rsidRPr="00B12FE0" w:rsidRDefault="00A67F21">
            <w:pPr>
              <w:adjustRightInd w:val="0"/>
              <w:snapToGrid w:val="0"/>
              <w:spacing w:line="360" w:lineRule="auto"/>
              <w:ind w:firstLineChars="200" w:firstLine="480"/>
              <w:rPr>
                <w:color w:val="000000" w:themeColor="text1"/>
              </w:rPr>
            </w:pPr>
          </w:p>
          <w:p w14:paraId="127A077F" w14:textId="77777777" w:rsidR="00A67F21" w:rsidRPr="00B12FE0" w:rsidRDefault="00A67F21">
            <w:pPr>
              <w:adjustRightInd w:val="0"/>
              <w:snapToGrid w:val="0"/>
              <w:spacing w:line="360" w:lineRule="auto"/>
              <w:ind w:firstLineChars="200" w:firstLine="480"/>
              <w:rPr>
                <w:color w:val="000000" w:themeColor="text1"/>
              </w:rPr>
            </w:pPr>
          </w:p>
          <w:p w14:paraId="6E7E42F0" w14:textId="77777777" w:rsidR="00A67F21" w:rsidRPr="00B12FE0" w:rsidRDefault="00A67F21">
            <w:pPr>
              <w:adjustRightInd w:val="0"/>
              <w:snapToGrid w:val="0"/>
              <w:spacing w:line="360" w:lineRule="auto"/>
              <w:ind w:firstLineChars="200" w:firstLine="480"/>
              <w:rPr>
                <w:color w:val="000000" w:themeColor="text1"/>
              </w:rPr>
            </w:pPr>
          </w:p>
          <w:p w14:paraId="7CDAED0A" w14:textId="77777777" w:rsidR="00A67F21" w:rsidRPr="00B12FE0" w:rsidRDefault="00A67F21">
            <w:pPr>
              <w:adjustRightInd w:val="0"/>
              <w:snapToGrid w:val="0"/>
              <w:spacing w:line="360" w:lineRule="auto"/>
              <w:ind w:firstLineChars="200" w:firstLine="480"/>
              <w:rPr>
                <w:color w:val="000000" w:themeColor="text1"/>
              </w:rPr>
            </w:pPr>
          </w:p>
          <w:p w14:paraId="75C4A293" w14:textId="77777777" w:rsidR="00A67F21" w:rsidRPr="00B12FE0" w:rsidRDefault="00A67F21">
            <w:pPr>
              <w:adjustRightInd w:val="0"/>
              <w:snapToGrid w:val="0"/>
              <w:spacing w:line="360" w:lineRule="auto"/>
              <w:ind w:firstLineChars="200" w:firstLine="480"/>
              <w:rPr>
                <w:color w:val="000000" w:themeColor="text1"/>
              </w:rPr>
            </w:pPr>
          </w:p>
          <w:p w14:paraId="139DCAAE" w14:textId="77777777" w:rsidR="00A67F21" w:rsidRPr="00B12FE0" w:rsidRDefault="00A67F21">
            <w:pPr>
              <w:adjustRightInd w:val="0"/>
              <w:snapToGrid w:val="0"/>
              <w:spacing w:line="360" w:lineRule="auto"/>
              <w:ind w:firstLineChars="200" w:firstLine="480"/>
              <w:rPr>
                <w:color w:val="000000" w:themeColor="text1"/>
              </w:rPr>
            </w:pPr>
          </w:p>
          <w:p w14:paraId="277530A2" w14:textId="77777777" w:rsidR="00A67F21" w:rsidRPr="00B12FE0" w:rsidRDefault="00A67F21">
            <w:pPr>
              <w:adjustRightInd w:val="0"/>
              <w:snapToGrid w:val="0"/>
              <w:spacing w:line="360" w:lineRule="auto"/>
              <w:ind w:firstLineChars="200" w:firstLine="480"/>
              <w:rPr>
                <w:color w:val="000000" w:themeColor="text1"/>
              </w:rPr>
            </w:pPr>
          </w:p>
          <w:p w14:paraId="55D76BE6" w14:textId="77777777" w:rsidR="00A67F21" w:rsidRPr="00B12FE0" w:rsidRDefault="00A67F21">
            <w:pPr>
              <w:adjustRightInd w:val="0"/>
              <w:snapToGrid w:val="0"/>
              <w:spacing w:line="360" w:lineRule="auto"/>
              <w:ind w:firstLineChars="200" w:firstLine="480"/>
              <w:rPr>
                <w:color w:val="000000" w:themeColor="text1"/>
              </w:rPr>
            </w:pPr>
          </w:p>
          <w:p w14:paraId="44534779" w14:textId="77777777" w:rsidR="00A67F21" w:rsidRPr="00B12FE0" w:rsidRDefault="00A67F21">
            <w:pPr>
              <w:adjustRightInd w:val="0"/>
              <w:snapToGrid w:val="0"/>
              <w:spacing w:line="360" w:lineRule="auto"/>
              <w:ind w:firstLineChars="200" w:firstLine="480"/>
              <w:rPr>
                <w:color w:val="000000" w:themeColor="text1"/>
              </w:rPr>
            </w:pPr>
          </w:p>
          <w:p w14:paraId="49E9BC88" w14:textId="77777777" w:rsidR="00A67F21" w:rsidRPr="00B12FE0" w:rsidRDefault="00A67F21">
            <w:pPr>
              <w:adjustRightInd w:val="0"/>
              <w:snapToGrid w:val="0"/>
              <w:spacing w:line="360" w:lineRule="auto"/>
              <w:ind w:firstLineChars="200" w:firstLine="480"/>
              <w:rPr>
                <w:color w:val="000000" w:themeColor="text1"/>
              </w:rPr>
            </w:pPr>
          </w:p>
          <w:p w14:paraId="26F28380" w14:textId="77777777" w:rsidR="00A67F21" w:rsidRPr="00B12FE0" w:rsidRDefault="00A67F21">
            <w:pPr>
              <w:pStyle w:val="21"/>
              <w:ind w:left="480" w:firstLine="480"/>
              <w:rPr>
                <w:color w:val="000000" w:themeColor="text1"/>
              </w:rPr>
            </w:pPr>
          </w:p>
          <w:p w14:paraId="40AB9406" w14:textId="77777777" w:rsidR="00A67F21" w:rsidRPr="00B12FE0" w:rsidRDefault="00A67F21">
            <w:pPr>
              <w:pStyle w:val="21"/>
              <w:ind w:left="480" w:firstLine="480"/>
              <w:rPr>
                <w:color w:val="000000" w:themeColor="text1"/>
              </w:rPr>
            </w:pPr>
          </w:p>
          <w:p w14:paraId="115A91CF" w14:textId="77777777" w:rsidR="00A67F21" w:rsidRPr="00B12FE0" w:rsidRDefault="00A67F21">
            <w:pPr>
              <w:pStyle w:val="21"/>
              <w:ind w:left="480" w:firstLine="480"/>
              <w:rPr>
                <w:color w:val="000000" w:themeColor="text1"/>
              </w:rPr>
            </w:pPr>
          </w:p>
          <w:p w14:paraId="5A986DB1" w14:textId="77777777" w:rsidR="00A67F21" w:rsidRPr="00B12FE0" w:rsidRDefault="00A67F21">
            <w:pPr>
              <w:pStyle w:val="21"/>
              <w:ind w:left="480" w:firstLine="480"/>
              <w:rPr>
                <w:color w:val="000000" w:themeColor="text1"/>
              </w:rPr>
            </w:pPr>
          </w:p>
          <w:p w14:paraId="24B501AF" w14:textId="77777777" w:rsidR="00A67F21" w:rsidRPr="00B12FE0" w:rsidRDefault="00A67F21">
            <w:pPr>
              <w:pStyle w:val="21"/>
              <w:ind w:left="480" w:firstLine="480"/>
              <w:rPr>
                <w:color w:val="000000" w:themeColor="text1"/>
              </w:rPr>
            </w:pPr>
          </w:p>
          <w:p w14:paraId="4F0E5D02" w14:textId="77777777" w:rsidR="00A67F21" w:rsidRPr="00B12FE0" w:rsidRDefault="00A67F21">
            <w:pPr>
              <w:adjustRightInd w:val="0"/>
              <w:snapToGrid w:val="0"/>
              <w:spacing w:line="360" w:lineRule="auto"/>
              <w:ind w:firstLineChars="200" w:firstLine="480"/>
              <w:rPr>
                <w:color w:val="000000" w:themeColor="text1"/>
              </w:rPr>
            </w:pPr>
          </w:p>
          <w:p w14:paraId="7512E5AC" w14:textId="77777777" w:rsidR="00A67F21" w:rsidRPr="00B12FE0" w:rsidRDefault="00A67F21">
            <w:pPr>
              <w:adjustRightInd w:val="0"/>
              <w:snapToGrid w:val="0"/>
              <w:spacing w:line="360" w:lineRule="auto"/>
              <w:rPr>
                <w:color w:val="000000" w:themeColor="text1"/>
              </w:rPr>
            </w:pPr>
          </w:p>
        </w:tc>
      </w:tr>
    </w:tbl>
    <w:p w14:paraId="7271194D" w14:textId="77777777" w:rsidR="00A67F21" w:rsidRPr="00B12FE0" w:rsidRDefault="00A67F21">
      <w:pPr>
        <w:spacing w:before="120" w:after="120" w:line="360" w:lineRule="auto"/>
        <w:rPr>
          <w:color w:val="000000" w:themeColor="text1"/>
        </w:rPr>
        <w:sectPr w:rsidR="00A67F21" w:rsidRPr="00B12FE0">
          <w:pgSz w:w="11907" w:h="16840"/>
          <w:pgMar w:top="1440" w:right="1440" w:bottom="1440" w:left="1440" w:header="851" w:footer="850" w:gutter="0"/>
          <w:cols w:space="720"/>
          <w:docGrid w:linePitch="332"/>
        </w:sectPr>
      </w:pPr>
    </w:p>
    <w:bookmarkStart w:id="10" w:name="_Toc11460"/>
    <w:p w14:paraId="77E4967B" w14:textId="77777777" w:rsidR="00A67F21" w:rsidRPr="00B12FE0" w:rsidRDefault="00000000">
      <w:pPr>
        <w:spacing w:line="360" w:lineRule="auto"/>
        <w:outlineLvl w:val="0"/>
        <w:rPr>
          <w:b/>
          <w:color w:val="000000" w:themeColor="text1"/>
          <w:sz w:val="32"/>
          <w:szCs w:val="32"/>
        </w:rPr>
      </w:pPr>
      <w:r w:rsidRPr="00B12FE0">
        <w:rPr>
          <w:noProof/>
          <w:color w:val="000000" w:themeColor="text1"/>
          <w:sz w:val="28"/>
        </w:rPr>
        <w:lastRenderedPageBreak/>
        <mc:AlternateContent>
          <mc:Choice Requires="wps">
            <w:drawing>
              <wp:anchor distT="0" distB="0" distL="114300" distR="114300" simplePos="0" relativeHeight="251665408" behindDoc="0" locked="0" layoutInCell="1" allowOverlap="1" wp14:anchorId="23B86A2C" wp14:editId="74CDDCE4">
                <wp:simplePos x="0" y="0"/>
                <wp:positionH relativeFrom="column">
                  <wp:posOffset>-90170</wp:posOffset>
                </wp:positionH>
                <wp:positionV relativeFrom="paragraph">
                  <wp:posOffset>311785</wp:posOffset>
                </wp:positionV>
                <wp:extent cx="5895340" cy="8489315"/>
                <wp:effectExtent l="4445" t="4445" r="5080" b="12700"/>
                <wp:wrapNone/>
                <wp:docPr id="25" name="矩形 25"/>
                <wp:cNvGraphicFramePr/>
                <a:graphic xmlns:a="http://schemas.openxmlformats.org/drawingml/2006/main">
                  <a:graphicData uri="http://schemas.microsoft.com/office/word/2010/wordprocessingShape">
                    <wps:wsp>
                      <wps:cNvSpPr/>
                      <wps:spPr>
                        <a:xfrm>
                          <a:off x="824230" y="1374140"/>
                          <a:ext cx="5895340" cy="8489315"/>
                        </a:xfrm>
                        <a:prstGeom prst="rect">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7.1pt;margin-top:24.55pt;height:668.45pt;width:464.2pt;z-index:251665408;v-text-anchor:middle;mso-width-relative:page;mso-height-relative:page;" filled="f" stroked="t" coordsize="21600,21600" o:gfxdata="UEsDBAoAAAAAAIdO4kAAAAAAAAAAAAAAAAAEAAAAZHJzL1BLAwQUAAAACACHTuJAL+LFv9gAAAAL&#10;AQAADwAAAGRycy9kb3ducmV2LnhtbE2PwU7DMAyG70i8Q2QkblvSUUpbmk4IicsOIAYSV6/NmorG&#10;qZp0HW+P4QJH259+f3+1PbtBnMwUek8akrUCYajxbU+dhve3p1UOIkSkFgdPRsOXCbCtLy8qLFu/&#10;0Ks57WMnOIRCiRpsjGMpZWiscRjWfjTEt6OfHEYep062Ey4c7ga5USqTDnviDxZH82hN87mfnYa8&#10;uJtv0yPO9uNl2T2TzR4atdP6+ipR9yCiOcc/GH70WR1qdjr4mdogBg2rJN0wqiEtEhAMFL+LA5M3&#10;eaZA1pX836H+BlBLAwQUAAAACACHTuJAe5DUgmkCAADBBAAADgAAAGRycy9lMm9Eb2MueG1srVRL&#10;btswEN0X6B0I7htZ/jSOETkwYqQoEDQB0qJrmiItAfyVpC2nlynQXQ+R4xS9Rh8p5dO0iyzqhTzD&#10;eZrhezOj07ODVmQvfGitqWh5NKJEGG7r1mwr+unjxZs5JSEyUzNljajorQj0bPn61WnnFmJsG6tq&#10;4QmSmLDoXEWbGN2iKAJvhGbhyDphEJTWaxbh+m1Re9Yhu1bFeDR6W3TW185bLkLA6boP0iGjf0lC&#10;K2XLxdrynRYm9lm9UCyCUmhaF+gy31ZKweOVlEFEoioKpjE/UQT2Jj2L5SlbbD1zTcuHK7CXXOEZ&#10;J81ag6IPqdYsMrLz7V+pdMu9DVbGI2510RPJioBFOXqmzU3DnMhcIHVwD6KH/5eWf9hfe9LWFR3P&#10;KDFMo+O/vv34efed4ADqdC4sALpx137wAsxE9SC9Tv8gQQ4VnY+n4wlkvcVQTY6n5XQQVxwi4YjP&#10;5iezCQ4JB2I+nZ9MylygeMzkfIjvhNUkGRX16F4Wle0vQ0R1QO8hqbCxF61SuYPKkK6ik/IYJDjD&#10;VEpMA0ztwCyYLSVMbTHuPPqcMVjV1untlCf47eZcebJnaUjyLzFHtT9gqfSahabH5dAAUwboJFQv&#10;TbI2tr6FsN72Exccv2jx/iUL8Zp5jBiEwBLGKzyksri8HSxKGuu//us84dF5RCnpMLJg9mXHvKBE&#10;vTeYiZNymvSN2ZnOjsdw/NPI5mnE7PS5BeES6+54NhM+qntTeqs/Y1dXqSpCzHDU7jUcnPPYrxK2&#10;nYvVKsMw147FS3PjeEreN2q1i1a2uYeP6gyiYbKz2MMWptV56mfU45dn+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v4sW/2AAAAAsBAAAPAAAAAAAAAAEAIAAAACIAAABkcnMvZG93bnJldi54bWxQ&#10;SwECFAAUAAAACACHTuJAe5DUgmkCAADBBAAADgAAAAAAAAABACAAAAAnAQAAZHJzL2Uyb0RvYy54&#10;bWxQSwUGAAAAAAYABgBZAQAAAgYAAAAA&#10;">
                <v:fill on="f" focussize="0,0"/>
                <v:stroke weight="0.25pt" color="#000000 [3213]" joinstyle="round"/>
                <v:imagedata o:title=""/>
                <o:lock v:ext="edit" aspectratio="f"/>
              </v:rect>
            </w:pict>
          </mc:Fallback>
        </mc:AlternateContent>
      </w:r>
      <w:r w:rsidRPr="00B12FE0">
        <w:rPr>
          <w:b/>
          <w:color w:val="000000" w:themeColor="text1"/>
          <w:sz w:val="32"/>
          <w:szCs w:val="32"/>
        </w:rPr>
        <w:t>表</w:t>
      </w:r>
      <w:r w:rsidRPr="00B12FE0">
        <w:rPr>
          <w:b/>
          <w:color w:val="000000" w:themeColor="text1"/>
          <w:sz w:val="32"/>
          <w:szCs w:val="32"/>
        </w:rPr>
        <w:t xml:space="preserve">7 </w:t>
      </w:r>
      <w:r w:rsidRPr="00B12FE0">
        <w:rPr>
          <w:b/>
          <w:color w:val="000000" w:themeColor="text1"/>
          <w:sz w:val="32"/>
          <w:szCs w:val="32"/>
        </w:rPr>
        <w:t>保护目标与评价标准</w:t>
      </w:r>
      <w:bookmarkEnd w:id="10"/>
    </w:p>
    <w:p w14:paraId="176DE219" w14:textId="77777777" w:rsidR="00A67F21" w:rsidRPr="00B12FE0" w:rsidRDefault="00000000">
      <w:pPr>
        <w:pStyle w:val="TableParagraph"/>
        <w:autoSpaceDE/>
        <w:autoSpaceDN/>
        <w:spacing w:line="360" w:lineRule="auto"/>
        <w:outlineLvl w:val="1"/>
        <w:rPr>
          <w:b/>
          <w:bCs/>
          <w:color w:val="000000" w:themeColor="text1"/>
          <w:spacing w:val="1"/>
          <w:sz w:val="28"/>
          <w:szCs w:val="28"/>
        </w:rPr>
      </w:pPr>
      <w:r w:rsidRPr="00B12FE0">
        <w:rPr>
          <w:b/>
          <w:bCs/>
          <w:color w:val="000000" w:themeColor="text1"/>
          <w:spacing w:val="1"/>
          <w:sz w:val="28"/>
          <w:szCs w:val="28"/>
        </w:rPr>
        <w:t>7.1</w:t>
      </w:r>
      <w:r w:rsidRPr="00B12FE0">
        <w:rPr>
          <w:b/>
          <w:bCs/>
          <w:color w:val="000000" w:themeColor="text1"/>
          <w:spacing w:val="1"/>
          <w:sz w:val="28"/>
          <w:szCs w:val="28"/>
        </w:rPr>
        <w:t>评价范围</w:t>
      </w:r>
    </w:p>
    <w:p w14:paraId="6D87A4D5" w14:textId="77777777" w:rsidR="00A67F21" w:rsidRPr="00B12FE0" w:rsidRDefault="00000000">
      <w:pPr>
        <w:pStyle w:val="aff"/>
        <w:spacing w:line="360" w:lineRule="auto"/>
        <w:ind w:firstLineChars="200" w:firstLine="480"/>
        <w:rPr>
          <w:rFonts w:ascii="Times New Roman" w:hAnsi="Times New Roman"/>
          <w:color w:val="000000" w:themeColor="text1"/>
          <w:sz w:val="24"/>
          <w:szCs w:val="24"/>
        </w:rPr>
      </w:pPr>
      <w:r w:rsidRPr="00B12FE0">
        <w:rPr>
          <w:noProof/>
          <w:color w:val="000000" w:themeColor="text1"/>
          <w:sz w:val="24"/>
        </w:rPr>
        <mc:AlternateContent>
          <mc:Choice Requires="wps">
            <w:drawing>
              <wp:anchor distT="0" distB="0" distL="114300" distR="114300" simplePos="0" relativeHeight="251666432" behindDoc="0" locked="0" layoutInCell="1" allowOverlap="1" wp14:anchorId="18A01EE7" wp14:editId="51CE3200">
                <wp:simplePos x="0" y="0"/>
                <wp:positionH relativeFrom="column">
                  <wp:posOffset>-79375</wp:posOffset>
                </wp:positionH>
                <wp:positionV relativeFrom="paragraph">
                  <wp:posOffset>1765935</wp:posOffset>
                </wp:positionV>
                <wp:extent cx="5894705" cy="10795"/>
                <wp:effectExtent l="0" t="4445" r="10795" b="13335"/>
                <wp:wrapNone/>
                <wp:docPr id="96" name="直接连接符 96"/>
                <wp:cNvGraphicFramePr/>
                <a:graphic xmlns:a="http://schemas.openxmlformats.org/drawingml/2006/main">
                  <a:graphicData uri="http://schemas.microsoft.com/office/word/2010/wordprocessingShape">
                    <wps:wsp>
                      <wps:cNvCnPr/>
                      <wps:spPr>
                        <a:xfrm flipV="1">
                          <a:off x="835025" y="3421380"/>
                          <a:ext cx="5894705" cy="1079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6.25pt;margin-top:139.05pt;height:0.85pt;width:464.15pt;z-index:251666432;mso-width-relative:page;mso-height-relative:page;" filled="f" stroked="t" coordsize="21600,21600" o:gfxdata="UEsDBAoAAAAAAIdO4kAAAAAAAAAAAAAAAAAEAAAAZHJzL1BLAwQUAAAACACHTuJAn5ALv9sAAAAL&#10;AQAADwAAAGRycy9kb3ducmV2LnhtbE2PTU/DMAyG70j8h8hI3LY0hbGuNJ0QHxJCQogNiWvWmLas&#10;caom3cq/xzvB0faj189brCfXiQMOofWkQc0TEEiVty3VGj62T7MMRIiGrOk8oYYfDLAuz88Kk1t/&#10;pHc8bGItOIRCbjQ0Mfa5lKFq0Jkw9z0S37784EzkcailHcyRw10n0yS5kc60xB8a0+N9g9V+MzoN&#10;b2l91T/a7f769aV6XmbTw93n+K315YVKbkFEnOIfDCd9VoeSnXZ+JBtEp2Gm0gWjGtJlpkAwsVIL&#10;LrM7bVYZyLKQ/zuUv1BLAwQUAAAACACHTuJAvZ66dvEBAAC1AwAADgAAAGRycy9lMm9Eb2MueG1s&#10;rVPNjtMwEL4j8Q6W7zRpu+22UdM9bLVcEFTi5+46dmLJf/J4m/YleAEkbnDiyJ23YXkMxk5YYLns&#10;gRwse+bzN/N9nmyuTkaTowignK3pdFJSIix3jbJtTd++uXm2ogQisw3TzoqangXQq+3TJ5veV2Lm&#10;OqcbEQiSWKh6X9MuRl8VBfBOGAYT54XFpHTBsIjH0BZNYD2yG13MynJZ9C40PjguADC6G5J0ZAyP&#10;IXRSKi52jt8aYePAGoRmESVBpzzQbe5WSsHjKylBRKJrikpjXrEI7g9pLbYbVrWB+U7xsQX2mBYe&#10;aDJMWSx6T7VjkZHboP6hMooHB07GCXemGIRkR1DFtHzgzeuOeZG1oNXg702H/0fLXx73gaimpusl&#10;JZYZfPG7D1+/v//049tHXO++fCaYQZt6DxWir+0+jCfw+5A0n2QwRGrl3+E8ZRdQFznVdDVflLMF&#10;Jeeazi9m0/lq9FucIuGYX6zWF5clAjgipuXlepEKFQNjYvYB4nPhDEmbmmplkx2sYscXEAfoL0gK&#10;W3ejtMY4q7QlfU2X2ACyMxxTieOBW+NRKtiWEqZbnH8eQ2YEp1WTbqfLENrDtQ7kyNLU5G9s7C9Y&#10;Kr1j0A24nBph2qKMZNhgUdodXHPOzuU4vmYWOk5eGpc/z/n2779t+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kAu/2wAAAAsBAAAPAAAAAAAAAAEAIAAAACIAAABkcnMvZG93bnJldi54bWxQSwEC&#10;FAAUAAAACACHTuJAvZ66dvEBAAC1AwAADgAAAAAAAAABACAAAAAqAQAAZHJzL2Uyb0RvYy54bWxQ&#10;SwUGAAAAAAYABgBZAQAAjQUAAAAA&#10;">
                <v:fill on="f" focussize="0,0"/>
                <v:stroke weight="0.5pt" color="#000000 [3213]" joinstyle="round"/>
                <v:imagedata o:title=""/>
                <o:lock v:ext="edit" aspectratio="f"/>
              </v:line>
            </w:pict>
          </mc:Fallback>
        </mc:AlternateContent>
      </w:r>
      <w:r w:rsidRPr="00B12FE0">
        <w:rPr>
          <w:rFonts w:ascii="Times New Roman" w:hAnsi="Times New Roman"/>
          <w:color w:val="000000" w:themeColor="text1"/>
          <w:sz w:val="24"/>
          <w:szCs w:val="24"/>
        </w:rPr>
        <w:t>参考《辐射环境保护管理导则</w:t>
      </w:r>
      <w:r w:rsidRPr="00B12FE0">
        <w:rPr>
          <w:rFonts w:ascii="Times New Roman" w:hAnsi="Times New Roman"/>
          <w:color w:val="000000" w:themeColor="text1"/>
          <w:sz w:val="24"/>
          <w:szCs w:val="24"/>
        </w:rPr>
        <w:t xml:space="preserve"> </w:t>
      </w:r>
      <w:r w:rsidRPr="00B12FE0">
        <w:rPr>
          <w:rFonts w:ascii="Times New Roman" w:hAnsi="Times New Roman"/>
          <w:color w:val="000000" w:themeColor="text1"/>
          <w:sz w:val="24"/>
          <w:szCs w:val="24"/>
        </w:rPr>
        <w:t>核技术利用建设项目</w:t>
      </w:r>
      <w:r w:rsidRPr="00B12FE0">
        <w:rPr>
          <w:rFonts w:ascii="Times New Roman" w:hAnsi="Times New Roman"/>
          <w:color w:val="000000" w:themeColor="text1"/>
          <w:sz w:val="24"/>
          <w:szCs w:val="24"/>
        </w:rPr>
        <w:t xml:space="preserve"> </w:t>
      </w:r>
      <w:r w:rsidRPr="00B12FE0">
        <w:rPr>
          <w:rFonts w:ascii="Times New Roman" w:hAnsi="Times New Roman"/>
          <w:color w:val="000000" w:themeColor="text1"/>
          <w:sz w:val="24"/>
          <w:szCs w:val="24"/>
        </w:rPr>
        <w:t>环境影响评价文件的内容和格式》（</w:t>
      </w:r>
      <w:r w:rsidRPr="00B12FE0">
        <w:rPr>
          <w:rFonts w:ascii="Times New Roman" w:hAnsi="Times New Roman"/>
          <w:color w:val="000000" w:themeColor="text1"/>
          <w:sz w:val="24"/>
          <w:szCs w:val="24"/>
        </w:rPr>
        <w:t>HJ 10.1-2016)</w:t>
      </w:r>
      <w:r w:rsidRPr="00B12FE0">
        <w:rPr>
          <w:rFonts w:ascii="Times New Roman" w:hAnsi="Times New Roman"/>
          <w:color w:val="000000" w:themeColor="text1"/>
          <w:sz w:val="24"/>
          <w:szCs w:val="24"/>
        </w:rPr>
        <w:t>中对编制环境影响报告书项目评价范围的相关规定</w:t>
      </w:r>
      <w:r w:rsidRPr="00B12FE0">
        <w:rPr>
          <w:rFonts w:ascii="Times New Roman" w:hAnsi="Times New Roman"/>
          <w:color w:val="000000" w:themeColor="text1"/>
          <w:sz w:val="24"/>
          <w:szCs w:val="24"/>
        </w:rPr>
        <w:t>“</w:t>
      </w:r>
      <w:r w:rsidRPr="00B12FE0">
        <w:rPr>
          <w:rFonts w:ascii="Times New Roman" w:hAnsi="Times New Roman"/>
          <w:color w:val="000000" w:themeColor="text1"/>
          <w:sz w:val="24"/>
          <w:szCs w:val="24"/>
        </w:rPr>
        <w:t>乙级非密封放射性物质工作场所项目的评价范围取半径</w:t>
      </w:r>
      <w:r w:rsidRPr="00B12FE0">
        <w:rPr>
          <w:rFonts w:ascii="Times New Roman" w:hAnsi="Times New Roman"/>
          <w:color w:val="000000" w:themeColor="text1"/>
          <w:sz w:val="24"/>
          <w:szCs w:val="24"/>
        </w:rPr>
        <w:t>50m</w:t>
      </w:r>
      <w:r w:rsidRPr="00B12FE0">
        <w:rPr>
          <w:rFonts w:ascii="Times New Roman" w:hAnsi="Times New Roman"/>
          <w:color w:val="000000" w:themeColor="text1"/>
          <w:sz w:val="24"/>
          <w:szCs w:val="24"/>
        </w:rPr>
        <w:t>的范围，放射源和射线装置应用项目的评价范围，通常取装置所在场所实体屏蔽物边界外</w:t>
      </w:r>
      <w:r w:rsidRPr="00B12FE0">
        <w:rPr>
          <w:rFonts w:ascii="Times New Roman" w:hAnsi="Times New Roman"/>
          <w:color w:val="000000" w:themeColor="text1"/>
          <w:sz w:val="24"/>
          <w:szCs w:val="24"/>
        </w:rPr>
        <w:t>50m</w:t>
      </w:r>
      <w:r w:rsidRPr="00B12FE0">
        <w:rPr>
          <w:rFonts w:ascii="Times New Roman" w:hAnsi="Times New Roman"/>
          <w:color w:val="000000" w:themeColor="text1"/>
          <w:sz w:val="24"/>
          <w:szCs w:val="24"/>
        </w:rPr>
        <w:t>的范围</w:t>
      </w:r>
      <w:r w:rsidRPr="00B12FE0">
        <w:rPr>
          <w:rFonts w:ascii="Times New Roman" w:hAnsi="Times New Roman"/>
          <w:color w:val="000000" w:themeColor="text1"/>
          <w:sz w:val="24"/>
          <w:szCs w:val="24"/>
        </w:rPr>
        <w:t>”</w:t>
      </w:r>
      <w:r w:rsidRPr="00B12FE0">
        <w:rPr>
          <w:rFonts w:ascii="Times New Roman" w:hAnsi="Times New Roman"/>
          <w:color w:val="000000" w:themeColor="text1"/>
          <w:sz w:val="24"/>
          <w:szCs w:val="24"/>
        </w:rPr>
        <w:t>，确定本项目评价范围为各拟建辐射工作场所实体屏蔽物边界外</w:t>
      </w:r>
      <w:r w:rsidRPr="00B12FE0">
        <w:rPr>
          <w:rFonts w:ascii="Times New Roman" w:hAnsi="Times New Roman"/>
          <w:color w:val="000000" w:themeColor="text1"/>
          <w:sz w:val="24"/>
          <w:szCs w:val="24"/>
        </w:rPr>
        <w:t>50m</w:t>
      </w:r>
      <w:r w:rsidRPr="00B12FE0">
        <w:rPr>
          <w:rFonts w:ascii="Times New Roman" w:hAnsi="Times New Roman"/>
          <w:color w:val="000000" w:themeColor="text1"/>
          <w:sz w:val="24"/>
          <w:szCs w:val="24"/>
        </w:rPr>
        <w:t>范围（不同工作场所对应区域重合时取较大范围）。</w:t>
      </w:r>
      <w:r w:rsidRPr="00B12FE0">
        <w:rPr>
          <w:rFonts w:ascii="Times New Roman" w:hAnsi="Times New Roman" w:hint="eastAsia"/>
          <w:color w:val="000000" w:themeColor="text1"/>
          <w:sz w:val="24"/>
          <w:szCs w:val="24"/>
        </w:rPr>
        <w:t>医院</w:t>
      </w:r>
      <w:r w:rsidRPr="00B12FE0">
        <w:rPr>
          <w:rFonts w:ascii="Times New Roman" w:hAnsi="Times New Roman"/>
          <w:color w:val="000000" w:themeColor="text1"/>
          <w:sz w:val="24"/>
          <w:szCs w:val="24"/>
        </w:rPr>
        <w:t>总平面布置图及</w:t>
      </w:r>
      <w:r w:rsidRPr="00B12FE0">
        <w:rPr>
          <w:rFonts w:ascii="Times New Roman" w:hAnsi="Times New Roman" w:hint="eastAsia"/>
          <w:color w:val="000000" w:themeColor="text1"/>
          <w:sz w:val="24"/>
          <w:szCs w:val="24"/>
        </w:rPr>
        <w:t>本项目</w:t>
      </w:r>
      <w:r w:rsidRPr="00B12FE0">
        <w:rPr>
          <w:rFonts w:ascii="Times New Roman" w:hAnsi="Times New Roman"/>
          <w:color w:val="000000" w:themeColor="text1"/>
          <w:sz w:val="24"/>
          <w:szCs w:val="24"/>
        </w:rPr>
        <w:t>评价范围示意图见附图</w:t>
      </w:r>
      <w:r w:rsidRPr="00B12FE0">
        <w:rPr>
          <w:rFonts w:ascii="Times New Roman" w:hAnsi="Times New Roman"/>
          <w:color w:val="000000" w:themeColor="text1"/>
          <w:sz w:val="24"/>
          <w:szCs w:val="24"/>
        </w:rPr>
        <w:t>3</w:t>
      </w:r>
      <w:r w:rsidRPr="00B12FE0">
        <w:rPr>
          <w:rFonts w:ascii="Times New Roman" w:hAnsi="Times New Roman"/>
          <w:color w:val="000000" w:themeColor="text1"/>
          <w:sz w:val="24"/>
          <w:szCs w:val="24"/>
        </w:rPr>
        <w:t>。</w:t>
      </w:r>
    </w:p>
    <w:p w14:paraId="07CB71B9" w14:textId="77777777" w:rsidR="00A67F21" w:rsidRPr="00B12FE0" w:rsidRDefault="00000000">
      <w:pPr>
        <w:pStyle w:val="TableParagraph"/>
        <w:autoSpaceDE/>
        <w:autoSpaceDN/>
        <w:spacing w:line="360" w:lineRule="auto"/>
        <w:outlineLvl w:val="1"/>
        <w:rPr>
          <w:b/>
          <w:bCs/>
          <w:color w:val="000000" w:themeColor="text1"/>
          <w:spacing w:val="1"/>
          <w:sz w:val="28"/>
          <w:szCs w:val="28"/>
        </w:rPr>
      </w:pPr>
      <w:r w:rsidRPr="00B12FE0">
        <w:rPr>
          <w:b/>
          <w:bCs/>
          <w:color w:val="000000" w:themeColor="text1"/>
          <w:spacing w:val="1"/>
          <w:sz w:val="28"/>
          <w:szCs w:val="28"/>
        </w:rPr>
        <w:t>7.2</w:t>
      </w:r>
      <w:r w:rsidRPr="00B12FE0">
        <w:rPr>
          <w:b/>
          <w:bCs/>
          <w:color w:val="000000" w:themeColor="text1"/>
          <w:spacing w:val="1"/>
          <w:sz w:val="28"/>
          <w:szCs w:val="28"/>
        </w:rPr>
        <w:t>保护目标</w:t>
      </w:r>
    </w:p>
    <w:p w14:paraId="22D680E1" w14:textId="77777777" w:rsidR="00A67F21" w:rsidRPr="00B12FE0" w:rsidRDefault="00000000">
      <w:pPr>
        <w:pStyle w:val="TableParagraph"/>
        <w:autoSpaceDE/>
        <w:autoSpaceDN/>
        <w:snapToGrid w:val="0"/>
        <w:spacing w:line="360" w:lineRule="auto"/>
        <w:ind w:firstLineChars="200" w:firstLine="480"/>
        <w:jc w:val="both"/>
        <w:rPr>
          <w:color w:val="000000" w:themeColor="text1"/>
        </w:rPr>
      </w:pPr>
      <w:r w:rsidRPr="00B12FE0">
        <w:rPr>
          <w:color w:val="000000" w:themeColor="text1"/>
        </w:rPr>
        <w:t>根据</w:t>
      </w:r>
      <w:r w:rsidRPr="00B12FE0">
        <w:rPr>
          <w:rFonts w:hint="eastAsia"/>
          <w:color w:val="000000" w:themeColor="text1"/>
        </w:rPr>
        <w:t>图纸设计及</w:t>
      </w:r>
      <w:r w:rsidRPr="00B12FE0">
        <w:rPr>
          <w:color w:val="000000" w:themeColor="text1"/>
        </w:rPr>
        <w:t>现场踏勘情况，</w:t>
      </w:r>
      <w:r w:rsidRPr="00B12FE0">
        <w:rPr>
          <w:rFonts w:hint="eastAsia"/>
          <w:color w:val="000000" w:themeColor="text1"/>
        </w:rPr>
        <w:t>本项目各拟建辐射工作场所实体屏蔽物边界外</w:t>
      </w:r>
      <w:r w:rsidRPr="00B12FE0">
        <w:rPr>
          <w:color w:val="000000" w:themeColor="text1"/>
        </w:rPr>
        <w:t>50m</w:t>
      </w:r>
      <w:r w:rsidRPr="00B12FE0">
        <w:rPr>
          <w:rFonts w:hint="eastAsia"/>
          <w:color w:val="000000" w:themeColor="text1"/>
        </w:rPr>
        <w:t>范围主要为院内道路、绿化、医疗综合楼、住院楼、后勤楼、液氧站及污水处理站，无自然保护区、风景名胜区、饮用水水源保护区、学校和行政办公区等环境敏感点。</w:t>
      </w:r>
    </w:p>
    <w:p w14:paraId="1A1AF3D5" w14:textId="77777777" w:rsidR="00A67F21" w:rsidRPr="00B12FE0" w:rsidRDefault="00000000">
      <w:pPr>
        <w:pStyle w:val="TableParagraph"/>
        <w:autoSpaceDE/>
        <w:autoSpaceDN/>
        <w:snapToGrid w:val="0"/>
        <w:spacing w:line="360" w:lineRule="auto"/>
        <w:ind w:firstLineChars="200" w:firstLine="480"/>
        <w:jc w:val="both"/>
        <w:rPr>
          <w:color w:val="000000" w:themeColor="text1"/>
        </w:rPr>
      </w:pPr>
      <w:r w:rsidRPr="00B12FE0">
        <w:rPr>
          <w:color w:val="000000" w:themeColor="text1"/>
        </w:rPr>
        <w:t>本项目环境保护目标为</w:t>
      </w:r>
      <w:r w:rsidRPr="00B12FE0">
        <w:rPr>
          <w:color w:val="000000" w:themeColor="text1"/>
          <w:kern w:val="2"/>
        </w:rPr>
        <w:t>评价范围内从事本项目辐射工作的职业人员及</w:t>
      </w:r>
      <w:r w:rsidRPr="00B12FE0">
        <w:rPr>
          <w:rFonts w:hint="eastAsia"/>
          <w:color w:val="000000" w:themeColor="text1"/>
          <w:kern w:val="2"/>
        </w:rPr>
        <w:t>评价</w:t>
      </w:r>
      <w:r w:rsidRPr="00B12FE0">
        <w:rPr>
          <w:color w:val="000000" w:themeColor="text1"/>
          <w:kern w:val="2"/>
        </w:rPr>
        <w:t>范围内活动的其他公众</w:t>
      </w:r>
      <w:r w:rsidRPr="00B12FE0">
        <w:rPr>
          <w:color w:val="000000" w:themeColor="text1"/>
        </w:rPr>
        <w:t>。</w:t>
      </w:r>
      <w:r w:rsidRPr="00B12FE0">
        <w:rPr>
          <w:rFonts w:hint="eastAsia"/>
          <w:color w:val="000000" w:themeColor="text1"/>
        </w:rPr>
        <w:t>本项目环境保护目标一览见表</w:t>
      </w:r>
      <w:r w:rsidRPr="00B12FE0">
        <w:rPr>
          <w:rFonts w:hint="eastAsia"/>
          <w:color w:val="000000" w:themeColor="text1"/>
        </w:rPr>
        <w:t>7</w:t>
      </w:r>
      <w:r w:rsidRPr="00B12FE0">
        <w:rPr>
          <w:color w:val="000000" w:themeColor="text1"/>
        </w:rPr>
        <w:t>.2-1</w:t>
      </w:r>
      <w:r w:rsidRPr="00B12FE0">
        <w:rPr>
          <w:rFonts w:hint="eastAsia"/>
          <w:color w:val="000000" w:themeColor="text1"/>
        </w:rPr>
        <w:t>。</w:t>
      </w:r>
    </w:p>
    <w:p w14:paraId="1708FFC8" w14:textId="77777777" w:rsidR="00A67F21" w:rsidRPr="00B12FE0" w:rsidRDefault="00000000">
      <w:pPr>
        <w:pStyle w:val="TableParagraph"/>
        <w:autoSpaceDE/>
        <w:autoSpaceDN/>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7.2-1</w:t>
      </w:r>
      <w:r w:rsidRPr="00B12FE0">
        <w:rPr>
          <w:rFonts w:hint="eastAsia"/>
          <w:b/>
          <w:color w:val="000000" w:themeColor="text1"/>
          <w:sz w:val="21"/>
          <w:szCs w:val="21"/>
        </w:rPr>
        <w:t xml:space="preserve">   </w:t>
      </w:r>
      <w:r w:rsidRPr="00B12FE0">
        <w:rPr>
          <w:b/>
          <w:color w:val="000000" w:themeColor="text1"/>
          <w:sz w:val="21"/>
          <w:szCs w:val="21"/>
        </w:rPr>
        <w:t>环境保护目标一览</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287"/>
        <w:gridCol w:w="54"/>
        <w:gridCol w:w="3100"/>
        <w:gridCol w:w="1081"/>
        <w:gridCol w:w="832"/>
        <w:gridCol w:w="2013"/>
        <w:gridCol w:w="236"/>
      </w:tblGrid>
      <w:tr w:rsidR="00A67F21" w:rsidRPr="00B12FE0" w14:paraId="704954C3" w14:textId="77777777">
        <w:trPr>
          <w:trHeight w:val="1346"/>
          <w:jc w:val="center"/>
        </w:trPr>
        <w:tc>
          <w:tcPr>
            <w:tcW w:w="4673" w:type="dxa"/>
            <w:gridSpan w:val="4"/>
            <w:noWrap/>
            <w:vAlign w:val="center"/>
          </w:tcPr>
          <w:p w14:paraId="4F49677C"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周围场所</w:t>
            </w:r>
          </w:p>
        </w:tc>
        <w:tc>
          <w:tcPr>
            <w:tcW w:w="1040" w:type="dxa"/>
            <w:noWrap/>
            <w:vAlign w:val="center"/>
          </w:tcPr>
          <w:p w14:paraId="4E13D2FE"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所在方位</w:t>
            </w:r>
          </w:p>
        </w:tc>
        <w:tc>
          <w:tcPr>
            <w:tcW w:w="800" w:type="dxa"/>
            <w:noWrap/>
            <w:vAlign w:val="center"/>
          </w:tcPr>
          <w:p w14:paraId="6992370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距离本项目实体边界距离（</w:t>
            </w:r>
            <w:r w:rsidRPr="00B12FE0">
              <w:rPr>
                <w:color w:val="000000" w:themeColor="text1"/>
                <w:kern w:val="0"/>
                <w:sz w:val="18"/>
                <w:szCs w:val="18"/>
                <w:lang w:bidi="ar"/>
              </w:rPr>
              <w:t>m</w:t>
            </w:r>
            <w:r w:rsidRPr="00B12FE0">
              <w:rPr>
                <w:color w:val="000000" w:themeColor="text1"/>
                <w:kern w:val="0"/>
                <w:sz w:val="18"/>
                <w:szCs w:val="18"/>
                <w:lang w:bidi="ar"/>
              </w:rPr>
              <w:t>）</w:t>
            </w:r>
          </w:p>
        </w:tc>
        <w:tc>
          <w:tcPr>
            <w:tcW w:w="1145" w:type="dxa"/>
            <w:noWrap/>
            <w:vAlign w:val="center"/>
          </w:tcPr>
          <w:p w14:paraId="2956292A"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人员</w:t>
            </w:r>
          </w:p>
          <w:p w14:paraId="6976026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规模</w:t>
            </w:r>
          </w:p>
        </w:tc>
        <w:tc>
          <w:tcPr>
            <w:tcW w:w="1368" w:type="dxa"/>
            <w:noWrap/>
            <w:vAlign w:val="center"/>
          </w:tcPr>
          <w:p w14:paraId="6F462012"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人员类别</w:t>
            </w:r>
          </w:p>
        </w:tc>
      </w:tr>
      <w:tr w:rsidR="00A67F21" w:rsidRPr="00B12FE0" w14:paraId="53067475" w14:textId="77777777">
        <w:trPr>
          <w:trHeight w:val="272"/>
          <w:jc w:val="center"/>
        </w:trPr>
        <w:tc>
          <w:tcPr>
            <w:tcW w:w="406" w:type="dxa"/>
            <w:vMerge w:val="restart"/>
            <w:noWrap/>
            <w:vAlign w:val="center"/>
          </w:tcPr>
          <w:p w14:paraId="4845B15A"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核医学科</w:t>
            </w:r>
          </w:p>
        </w:tc>
        <w:tc>
          <w:tcPr>
            <w:tcW w:w="1237" w:type="dxa"/>
            <w:vMerge w:val="restart"/>
            <w:noWrap/>
            <w:vAlign w:val="center"/>
          </w:tcPr>
          <w:p w14:paraId="34B1B4EB"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肿瘤治疗中心综合楼一层核医学科核素制备场所</w:t>
            </w:r>
          </w:p>
        </w:tc>
        <w:tc>
          <w:tcPr>
            <w:tcW w:w="3030" w:type="dxa"/>
            <w:gridSpan w:val="2"/>
            <w:noWrap/>
            <w:vAlign w:val="center"/>
          </w:tcPr>
          <w:p w14:paraId="2076727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核素制备场所（控制室、热室房间、</w:t>
            </w:r>
            <w:r w:rsidRPr="00B12FE0">
              <w:rPr>
                <w:rFonts w:hint="eastAsia"/>
                <w:color w:val="000000" w:themeColor="text1"/>
                <w:kern w:val="0"/>
                <w:sz w:val="18"/>
                <w:szCs w:val="18"/>
                <w:lang w:bidi="ar"/>
              </w:rPr>
              <w:t>放化实验</w:t>
            </w:r>
            <w:r w:rsidRPr="00B12FE0">
              <w:rPr>
                <w:color w:val="000000" w:themeColor="text1"/>
                <w:kern w:val="0"/>
                <w:sz w:val="18"/>
                <w:szCs w:val="18"/>
                <w:lang w:bidi="ar"/>
              </w:rPr>
              <w:t>室）</w:t>
            </w:r>
          </w:p>
        </w:tc>
        <w:tc>
          <w:tcPr>
            <w:tcW w:w="1040" w:type="dxa"/>
            <w:noWrap/>
            <w:vAlign w:val="center"/>
          </w:tcPr>
          <w:p w14:paraId="7B110F12"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场所内</w:t>
            </w:r>
          </w:p>
        </w:tc>
        <w:tc>
          <w:tcPr>
            <w:tcW w:w="800" w:type="dxa"/>
            <w:noWrap/>
            <w:vAlign w:val="center"/>
          </w:tcPr>
          <w:p w14:paraId="587C245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w:t>
            </w:r>
          </w:p>
        </w:tc>
        <w:tc>
          <w:tcPr>
            <w:tcW w:w="1145" w:type="dxa"/>
            <w:noWrap/>
            <w:vAlign w:val="center"/>
          </w:tcPr>
          <w:p w14:paraId="2D8A1E27"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4</w:t>
            </w:r>
            <w:r w:rsidRPr="00B12FE0">
              <w:rPr>
                <w:rFonts w:hint="eastAsia"/>
                <w:color w:val="000000" w:themeColor="text1"/>
                <w:sz w:val="18"/>
                <w:szCs w:val="18"/>
              </w:rPr>
              <w:t>人</w:t>
            </w:r>
          </w:p>
        </w:tc>
        <w:tc>
          <w:tcPr>
            <w:tcW w:w="1368" w:type="dxa"/>
            <w:vMerge w:val="restart"/>
            <w:noWrap/>
            <w:vAlign w:val="center"/>
          </w:tcPr>
          <w:p w14:paraId="26B39922"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职业</w:t>
            </w:r>
          </w:p>
        </w:tc>
      </w:tr>
      <w:tr w:rsidR="00A67F21" w:rsidRPr="00B12FE0" w14:paraId="58C96785" w14:textId="77777777">
        <w:trPr>
          <w:trHeight w:val="272"/>
          <w:jc w:val="center"/>
        </w:trPr>
        <w:tc>
          <w:tcPr>
            <w:tcW w:w="406" w:type="dxa"/>
            <w:vMerge/>
            <w:noWrap/>
            <w:vAlign w:val="center"/>
          </w:tcPr>
          <w:p w14:paraId="39AE94CE" w14:textId="77777777" w:rsidR="00A67F21" w:rsidRPr="00B12FE0" w:rsidRDefault="00A67F21">
            <w:pPr>
              <w:widowControl/>
              <w:jc w:val="center"/>
              <w:textAlignment w:val="center"/>
              <w:rPr>
                <w:color w:val="000000" w:themeColor="text1"/>
                <w:kern w:val="0"/>
                <w:sz w:val="18"/>
                <w:szCs w:val="18"/>
                <w:lang w:bidi="ar"/>
              </w:rPr>
            </w:pPr>
          </w:p>
        </w:tc>
        <w:tc>
          <w:tcPr>
            <w:tcW w:w="1237" w:type="dxa"/>
            <w:vMerge/>
            <w:noWrap/>
            <w:vAlign w:val="center"/>
          </w:tcPr>
          <w:p w14:paraId="798F76AD" w14:textId="77777777" w:rsidR="00A67F21" w:rsidRPr="00B12FE0" w:rsidRDefault="00A67F21">
            <w:pPr>
              <w:widowControl/>
              <w:jc w:val="center"/>
              <w:textAlignment w:val="center"/>
              <w:rPr>
                <w:color w:val="000000" w:themeColor="text1"/>
                <w:kern w:val="0"/>
                <w:sz w:val="18"/>
                <w:szCs w:val="18"/>
                <w:lang w:bidi="ar"/>
              </w:rPr>
            </w:pPr>
          </w:p>
        </w:tc>
        <w:tc>
          <w:tcPr>
            <w:tcW w:w="3030" w:type="dxa"/>
            <w:gridSpan w:val="2"/>
            <w:noWrap/>
            <w:vAlign w:val="center"/>
          </w:tcPr>
          <w:p w14:paraId="0FC8D4D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核素诊断场所</w:t>
            </w:r>
          </w:p>
        </w:tc>
        <w:tc>
          <w:tcPr>
            <w:tcW w:w="1040" w:type="dxa"/>
            <w:noWrap/>
            <w:vAlign w:val="center"/>
          </w:tcPr>
          <w:p w14:paraId="269B129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南侧</w:t>
            </w:r>
          </w:p>
        </w:tc>
        <w:tc>
          <w:tcPr>
            <w:tcW w:w="800" w:type="dxa"/>
            <w:noWrap/>
            <w:vAlign w:val="center"/>
          </w:tcPr>
          <w:p w14:paraId="26258280"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1.8</w:t>
            </w:r>
          </w:p>
        </w:tc>
        <w:tc>
          <w:tcPr>
            <w:tcW w:w="1145" w:type="dxa"/>
            <w:noWrap/>
            <w:vAlign w:val="center"/>
          </w:tcPr>
          <w:p w14:paraId="080C3934"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24</w:t>
            </w:r>
          </w:p>
        </w:tc>
        <w:tc>
          <w:tcPr>
            <w:tcW w:w="1368" w:type="dxa"/>
            <w:vMerge/>
            <w:noWrap/>
            <w:vAlign w:val="center"/>
          </w:tcPr>
          <w:p w14:paraId="57FB250E" w14:textId="77777777" w:rsidR="00A67F21" w:rsidRPr="00B12FE0" w:rsidRDefault="00A67F21">
            <w:pPr>
              <w:widowControl/>
              <w:jc w:val="center"/>
              <w:textAlignment w:val="center"/>
              <w:rPr>
                <w:color w:val="000000" w:themeColor="text1"/>
                <w:kern w:val="0"/>
                <w:sz w:val="18"/>
                <w:szCs w:val="18"/>
                <w:lang w:bidi="ar"/>
              </w:rPr>
            </w:pPr>
          </w:p>
        </w:tc>
      </w:tr>
      <w:tr w:rsidR="00A67F21" w:rsidRPr="00B12FE0" w14:paraId="361EFAF9" w14:textId="77777777">
        <w:trPr>
          <w:trHeight w:val="272"/>
          <w:jc w:val="center"/>
        </w:trPr>
        <w:tc>
          <w:tcPr>
            <w:tcW w:w="406" w:type="dxa"/>
            <w:vMerge/>
            <w:noWrap/>
            <w:vAlign w:val="center"/>
          </w:tcPr>
          <w:p w14:paraId="41954690" w14:textId="77777777" w:rsidR="00A67F21" w:rsidRPr="00B12FE0" w:rsidRDefault="00A67F21">
            <w:pPr>
              <w:widowControl/>
              <w:jc w:val="center"/>
              <w:textAlignment w:val="center"/>
              <w:rPr>
                <w:color w:val="000000" w:themeColor="text1"/>
                <w:kern w:val="0"/>
                <w:sz w:val="18"/>
                <w:szCs w:val="18"/>
                <w:lang w:bidi="ar"/>
              </w:rPr>
            </w:pPr>
          </w:p>
        </w:tc>
        <w:tc>
          <w:tcPr>
            <w:tcW w:w="1237" w:type="dxa"/>
            <w:vMerge/>
            <w:noWrap/>
            <w:vAlign w:val="center"/>
          </w:tcPr>
          <w:p w14:paraId="16C0D5B6" w14:textId="77777777" w:rsidR="00A67F21" w:rsidRPr="00B12FE0" w:rsidRDefault="00A67F21">
            <w:pPr>
              <w:widowControl/>
              <w:jc w:val="center"/>
              <w:textAlignment w:val="center"/>
              <w:rPr>
                <w:color w:val="000000" w:themeColor="text1"/>
                <w:kern w:val="0"/>
                <w:sz w:val="18"/>
                <w:szCs w:val="18"/>
                <w:lang w:bidi="ar"/>
              </w:rPr>
            </w:pPr>
          </w:p>
        </w:tc>
        <w:tc>
          <w:tcPr>
            <w:tcW w:w="3030" w:type="dxa"/>
            <w:gridSpan w:val="2"/>
            <w:noWrap/>
            <w:vAlign w:val="center"/>
          </w:tcPr>
          <w:p w14:paraId="7ED360F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sz w:val="18"/>
                <w:szCs w:val="18"/>
              </w:rPr>
              <w:t>院内道路及绿化</w:t>
            </w:r>
          </w:p>
        </w:tc>
        <w:tc>
          <w:tcPr>
            <w:tcW w:w="1040" w:type="dxa"/>
            <w:noWrap/>
            <w:vAlign w:val="center"/>
          </w:tcPr>
          <w:p w14:paraId="0E3B9FE7"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东侧</w:t>
            </w:r>
          </w:p>
        </w:tc>
        <w:tc>
          <w:tcPr>
            <w:tcW w:w="800" w:type="dxa"/>
            <w:noWrap/>
            <w:vAlign w:val="center"/>
          </w:tcPr>
          <w:p w14:paraId="20720F00"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w:t>
            </w:r>
          </w:p>
        </w:tc>
        <w:tc>
          <w:tcPr>
            <w:tcW w:w="1145" w:type="dxa"/>
            <w:noWrap/>
            <w:vAlign w:val="center"/>
          </w:tcPr>
          <w:p w14:paraId="52B641AD"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流动人员</w:t>
            </w:r>
          </w:p>
        </w:tc>
        <w:tc>
          <w:tcPr>
            <w:tcW w:w="1368" w:type="dxa"/>
            <w:vMerge w:val="restart"/>
            <w:noWrap/>
            <w:vAlign w:val="center"/>
          </w:tcPr>
          <w:p w14:paraId="3502590C" w14:textId="77777777" w:rsidR="00A67F21" w:rsidRPr="00B12FE0" w:rsidRDefault="00000000">
            <w:pPr>
              <w:jc w:val="center"/>
              <w:textAlignment w:val="center"/>
              <w:rPr>
                <w:color w:val="000000" w:themeColor="text1"/>
                <w:kern w:val="0"/>
                <w:sz w:val="18"/>
                <w:szCs w:val="18"/>
                <w:lang w:bidi="ar"/>
              </w:rPr>
            </w:pPr>
            <w:r w:rsidRPr="00B12FE0">
              <w:rPr>
                <w:color w:val="000000" w:themeColor="text1"/>
                <w:kern w:val="0"/>
                <w:sz w:val="18"/>
                <w:szCs w:val="18"/>
                <w:lang w:bidi="ar"/>
              </w:rPr>
              <w:t>公众</w:t>
            </w:r>
          </w:p>
        </w:tc>
      </w:tr>
      <w:tr w:rsidR="00A67F21" w:rsidRPr="00B12FE0" w14:paraId="42647FFF" w14:textId="77777777">
        <w:trPr>
          <w:trHeight w:val="272"/>
          <w:jc w:val="center"/>
        </w:trPr>
        <w:tc>
          <w:tcPr>
            <w:tcW w:w="406" w:type="dxa"/>
            <w:vMerge/>
            <w:noWrap/>
            <w:vAlign w:val="center"/>
          </w:tcPr>
          <w:p w14:paraId="5D8F0596" w14:textId="77777777" w:rsidR="00A67F21" w:rsidRPr="00B12FE0" w:rsidRDefault="00A67F21">
            <w:pPr>
              <w:widowControl/>
              <w:jc w:val="center"/>
              <w:textAlignment w:val="center"/>
              <w:rPr>
                <w:color w:val="000000" w:themeColor="text1"/>
                <w:kern w:val="0"/>
                <w:sz w:val="18"/>
                <w:szCs w:val="18"/>
                <w:lang w:bidi="ar"/>
              </w:rPr>
            </w:pPr>
          </w:p>
        </w:tc>
        <w:tc>
          <w:tcPr>
            <w:tcW w:w="1237" w:type="dxa"/>
            <w:vMerge/>
            <w:noWrap/>
            <w:vAlign w:val="center"/>
          </w:tcPr>
          <w:p w14:paraId="52D6313E" w14:textId="77777777" w:rsidR="00A67F21" w:rsidRPr="00B12FE0" w:rsidRDefault="00A67F21">
            <w:pPr>
              <w:widowControl/>
              <w:jc w:val="center"/>
              <w:textAlignment w:val="center"/>
              <w:rPr>
                <w:color w:val="000000" w:themeColor="text1"/>
                <w:kern w:val="0"/>
                <w:sz w:val="18"/>
                <w:szCs w:val="18"/>
                <w:lang w:bidi="ar"/>
              </w:rPr>
            </w:pPr>
          </w:p>
        </w:tc>
        <w:tc>
          <w:tcPr>
            <w:tcW w:w="3030" w:type="dxa"/>
            <w:gridSpan w:val="2"/>
            <w:noWrap/>
            <w:vAlign w:val="center"/>
          </w:tcPr>
          <w:p w14:paraId="7E2C0AFC"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楼梯间、卫生间、医护走道</w:t>
            </w:r>
          </w:p>
        </w:tc>
        <w:tc>
          <w:tcPr>
            <w:tcW w:w="1040" w:type="dxa"/>
            <w:noWrap/>
            <w:vAlign w:val="center"/>
          </w:tcPr>
          <w:p w14:paraId="7AAE6239"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南侧</w:t>
            </w:r>
          </w:p>
        </w:tc>
        <w:tc>
          <w:tcPr>
            <w:tcW w:w="800" w:type="dxa"/>
            <w:noWrap/>
            <w:vAlign w:val="center"/>
          </w:tcPr>
          <w:p w14:paraId="0EFB2E81"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5533BFD6"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10</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3D535EB1" w14:textId="77777777" w:rsidR="00A67F21" w:rsidRPr="00B12FE0" w:rsidRDefault="00A67F21">
            <w:pPr>
              <w:jc w:val="center"/>
              <w:textAlignment w:val="center"/>
              <w:rPr>
                <w:color w:val="000000" w:themeColor="text1"/>
                <w:kern w:val="0"/>
                <w:sz w:val="18"/>
                <w:szCs w:val="18"/>
                <w:lang w:bidi="ar"/>
              </w:rPr>
            </w:pPr>
          </w:p>
        </w:tc>
      </w:tr>
      <w:tr w:rsidR="00A67F21" w:rsidRPr="00B12FE0" w14:paraId="3133E5A5" w14:textId="77777777">
        <w:trPr>
          <w:trHeight w:val="90"/>
          <w:jc w:val="center"/>
        </w:trPr>
        <w:tc>
          <w:tcPr>
            <w:tcW w:w="406" w:type="dxa"/>
            <w:vMerge/>
            <w:noWrap/>
            <w:vAlign w:val="center"/>
          </w:tcPr>
          <w:p w14:paraId="248F2F5B" w14:textId="77777777" w:rsidR="00A67F21" w:rsidRPr="00B12FE0" w:rsidRDefault="00A67F21">
            <w:pPr>
              <w:jc w:val="center"/>
              <w:rPr>
                <w:color w:val="000000" w:themeColor="text1"/>
                <w:sz w:val="18"/>
                <w:szCs w:val="18"/>
              </w:rPr>
            </w:pPr>
          </w:p>
        </w:tc>
        <w:tc>
          <w:tcPr>
            <w:tcW w:w="1237" w:type="dxa"/>
            <w:vMerge/>
            <w:noWrap/>
            <w:vAlign w:val="center"/>
          </w:tcPr>
          <w:p w14:paraId="2418881B" w14:textId="77777777" w:rsidR="00A67F21" w:rsidRPr="00B12FE0" w:rsidRDefault="00A67F21">
            <w:pPr>
              <w:jc w:val="center"/>
              <w:rPr>
                <w:color w:val="000000" w:themeColor="text1"/>
                <w:sz w:val="18"/>
                <w:szCs w:val="18"/>
              </w:rPr>
            </w:pPr>
          </w:p>
        </w:tc>
        <w:tc>
          <w:tcPr>
            <w:tcW w:w="3030" w:type="dxa"/>
            <w:gridSpan w:val="2"/>
            <w:noWrap/>
            <w:vAlign w:val="center"/>
          </w:tcPr>
          <w:p w14:paraId="5C2A49AD"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院内道路及绿化</w:t>
            </w:r>
          </w:p>
        </w:tc>
        <w:tc>
          <w:tcPr>
            <w:tcW w:w="1040" w:type="dxa"/>
            <w:noWrap/>
            <w:vAlign w:val="center"/>
          </w:tcPr>
          <w:p w14:paraId="5D5951D4"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西侧</w:t>
            </w:r>
          </w:p>
        </w:tc>
        <w:tc>
          <w:tcPr>
            <w:tcW w:w="800" w:type="dxa"/>
            <w:noWrap/>
            <w:vAlign w:val="center"/>
          </w:tcPr>
          <w:p w14:paraId="46A5260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紧邻</w:t>
            </w:r>
          </w:p>
        </w:tc>
        <w:tc>
          <w:tcPr>
            <w:tcW w:w="1145" w:type="dxa"/>
            <w:noWrap/>
            <w:vAlign w:val="center"/>
          </w:tcPr>
          <w:p w14:paraId="48AFD518"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流动人员</w:t>
            </w:r>
          </w:p>
        </w:tc>
        <w:tc>
          <w:tcPr>
            <w:tcW w:w="1368" w:type="dxa"/>
            <w:vMerge/>
            <w:noWrap/>
            <w:vAlign w:val="center"/>
          </w:tcPr>
          <w:p w14:paraId="1C8EE6AB" w14:textId="77777777" w:rsidR="00A67F21" w:rsidRPr="00B12FE0" w:rsidRDefault="00A67F21">
            <w:pPr>
              <w:widowControl/>
              <w:jc w:val="center"/>
              <w:textAlignment w:val="center"/>
              <w:rPr>
                <w:color w:val="000000" w:themeColor="text1"/>
                <w:sz w:val="18"/>
                <w:szCs w:val="18"/>
              </w:rPr>
            </w:pPr>
          </w:p>
        </w:tc>
      </w:tr>
      <w:tr w:rsidR="00A67F21" w:rsidRPr="00B12FE0" w14:paraId="3ED1169A" w14:textId="77777777">
        <w:trPr>
          <w:trHeight w:val="272"/>
          <w:jc w:val="center"/>
        </w:trPr>
        <w:tc>
          <w:tcPr>
            <w:tcW w:w="406" w:type="dxa"/>
            <w:vMerge/>
            <w:noWrap/>
            <w:vAlign w:val="center"/>
          </w:tcPr>
          <w:p w14:paraId="2EFDB546" w14:textId="77777777" w:rsidR="00A67F21" w:rsidRPr="00B12FE0" w:rsidRDefault="00A67F21">
            <w:pPr>
              <w:jc w:val="center"/>
              <w:rPr>
                <w:color w:val="000000" w:themeColor="text1"/>
                <w:sz w:val="18"/>
                <w:szCs w:val="18"/>
              </w:rPr>
            </w:pPr>
          </w:p>
        </w:tc>
        <w:tc>
          <w:tcPr>
            <w:tcW w:w="1237" w:type="dxa"/>
            <w:vMerge/>
            <w:noWrap/>
            <w:vAlign w:val="center"/>
          </w:tcPr>
          <w:p w14:paraId="561FF919" w14:textId="77777777" w:rsidR="00A67F21" w:rsidRPr="00B12FE0" w:rsidRDefault="00A67F21">
            <w:pPr>
              <w:jc w:val="center"/>
              <w:rPr>
                <w:color w:val="000000" w:themeColor="text1"/>
                <w:sz w:val="18"/>
                <w:szCs w:val="18"/>
              </w:rPr>
            </w:pPr>
          </w:p>
        </w:tc>
        <w:tc>
          <w:tcPr>
            <w:tcW w:w="3030" w:type="dxa"/>
            <w:gridSpan w:val="2"/>
            <w:noWrap/>
            <w:vAlign w:val="center"/>
          </w:tcPr>
          <w:p w14:paraId="23A4168A"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放疗</w:t>
            </w:r>
            <w:proofErr w:type="gramStart"/>
            <w:r w:rsidRPr="00B12FE0">
              <w:rPr>
                <w:color w:val="000000" w:themeColor="text1"/>
                <w:kern w:val="0"/>
                <w:sz w:val="18"/>
                <w:szCs w:val="18"/>
                <w:lang w:bidi="ar"/>
              </w:rPr>
              <w:t>科区域</w:t>
            </w:r>
            <w:proofErr w:type="gramEnd"/>
            <w:r w:rsidRPr="00B12FE0">
              <w:rPr>
                <w:color w:val="000000" w:themeColor="text1"/>
                <w:kern w:val="0"/>
                <w:sz w:val="18"/>
                <w:szCs w:val="18"/>
                <w:lang w:bidi="ar"/>
              </w:rPr>
              <w:t>空调机房、以及医护人员更淋室、卫生间</w:t>
            </w:r>
          </w:p>
        </w:tc>
        <w:tc>
          <w:tcPr>
            <w:tcW w:w="1040" w:type="dxa"/>
            <w:noWrap/>
            <w:vAlign w:val="center"/>
          </w:tcPr>
          <w:p w14:paraId="6901798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北</w:t>
            </w:r>
            <w:r w:rsidRPr="00B12FE0">
              <w:rPr>
                <w:color w:val="000000" w:themeColor="text1"/>
                <w:kern w:val="0"/>
                <w:sz w:val="18"/>
                <w:szCs w:val="18"/>
                <w:lang w:bidi="ar"/>
              </w:rPr>
              <w:t>侧</w:t>
            </w:r>
          </w:p>
        </w:tc>
        <w:tc>
          <w:tcPr>
            <w:tcW w:w="800" w:type="dxa"/>
            <w:noWrap/>
            <w:vAlign w:val="center"/>
          </w:tcPr>
          <w:p w14:paraId="78A0489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紧邻</w:t>
            </w:r>
          </w:p>
        </w:tc>
        <w:tc>
          <w:tcPr>
            <w:tcW w:w="1145" w:type="dxa"/>
            <w:noWrap/>
            <w:vAlign w:val="center"/>
          </w:tcPr>
          <w:p w14:paraId="380DE887"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089E5FE2" w14:textId="77777777" w:rsidR="00A67F21" w:rsidRPr="00B12FE0" w:rsidRDefault="00A67F21">
            <w:pPr>
              <w:widowControl/>
              <w:jc w:val="center"/>
              <w:textAlignment w:val="center"/>
              <w:rPr>
                <w:color w:val="000000" w:themeColor="text1"/>
                <w:sz w:val="18"/>
                <w:szCs w:val="18"/>
              </w:rPr>
            </w:pPr>
          </w:p>
        </w:tc>
      </w:tr>
      <w:tr w:rsidR="00A67F21" w:rsidRPr="00B12FE0" w14:paraId="6C6C3BEF" w14:textId="77777777">
        <w:trPr>
          <w:trHeight w:val="272"/>
          <w:jc w:val="center"/>
        </w:trPr>
        <w:tc>
          <w:tcPr>
            <w:tcW w:w="406" w:type="dxa"/>
            <w:vMerge/>
            <w:noWrap/>
            <w:vAlign w:val="center"/>
          </w:tcPr>
          <w:p w14:paraId="765CDFF1" w14:textId="77777777" w:rsidR="00A67F21" w:rsidRPr="00B12FE0" w:rsidRDefault="00A67F21">
            <w:pPr>
              <w:jc w:val="center"/>
              <w:rPr>
                <w:color w:val="000000" w:themeColor="text1"/>
                <w:sz w:val="18"/>
                <w:szCs w:val="18"/>
              </w:rPr>
            </w:pPr>
          </w:p>
        </w:tc>
        <w:tc>
          <w:tcPr>
            <w:tcW w:w="1237" w:type="dxa"/>
            <w:vMerge w:val="restart"/>
            <w:noWrap/>
            <w:vAlign w:val="center"/>
          </w:tcPr>
          <w:p w14:paraId="6408241F"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肿瘤治疗中心综合楼一层核医学科核素</w:t>
            </w:r>
            <w:r w:rsidRPr="00B12FE0">
              <w:rPr>
                <w:rFonts w:hint="eastAsia"/>
                <w:color w:val="000000" w:themeColor="text1"/>
                <w:kern w:val="0"/>
                <w:sz w:val="18"/>
                <w:szCs w:val="18"/>
                <w:lang w:bidi="ar"/>
              </w:rPr>
              <w:t>诊断</w:t>
            </w:r>
            <w:r w:rsidRPr="00B12FE0">
              <w:rPr>
                <w:color w:val="000000" w:themeColor="text1"/>
                <w:kern w:val="0"/>
                <w:sz w:val="18"/>
                <w:szCs w:val="18"/>
                <w:lang w:bidi="ar"/>
              </w:rPr>
              <w:t>场所</w:t>
            </w:r>
          </w:p>
        </w:tc>
        <w:tc>
          <w:tcPr>
            <w:tcW w:w="3030" w:type="dxa"/>
            <w:gridSpan w:val="2"/>
            <w:noWrap/>
            <w:vAlign w:val="center"/>
          </w:tcPr>
          <w:p w14:paraId="275EB7F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核素诊断场所工作人员</w:t>
            </w:r>
          </w:p>
        </w:tc>
        <w:tc>
          <w:tcPr>
            <w:tcW w:w="1040" w:type="dxa"/>
            <w:noWrap/>
            <w:vAlign w:val="center"/>
          </w:tcPr>
          <w:p w14:paraId="77C45E7C"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场所内</w:t>
            </w:r>
          </w:p>
        </w:tc>
        <w:tc>
          <w:tcPr>
            <w:tcW w:w="800" w:type="dxa"/>
            <w:noWrap/>
            <w:vAlign w:val="center"/>
          </w:tcPr>
          <w:p w14:paraId="4369C07F"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w:t>
            </w:r>
          </w:p>
        </w:tc>
        <w:tc>
          <w:tcPr>
            <w:tcW w:w="1145" w:type="dxa"/>
            <w:vMerge w:val="restart"/>
            <w:noWrap/>
            <w:vAlign w:val="center"/>
          </w:tcPr>
          <w:p w14:paraId="4B0A8EF2"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24</w:t>
            </w:r>
            <w:r w:rsidRPr="00B12FE0">
              <w:rPr>
                <w:rFonts w:hint="eastAsia"/>
                <w:color w:val="000000" w:themeColor="text1"/>
                <w:sz w:val="18"/>
                <w:szCs w:val="18"/>
              </w:rPr>
              <w:t>人</w:t>
            </w:r>
          </w:p>
        </w:tc>
        <w:tc>
          <w:tcPr>
            <w:tcW w:w="1368" w:type="dxa"/>
            <w:vMerge w:val="restart"/>
            <w:noWrap/>
            <w:vAlign w:val="center"/>
          </w:tcPr>
          <w:p w14:paraId="6F1AA657"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职业</w:t>
            </w:r>
          </w:p>
        </w:tc>
      </w:tr>
      <w:tr w:rsidR="00A67F21" w:rsidRPr="00B12FE0" w14:paraId="7F6225E4" w14:textId="77777777">
        <w:trPr>
          <w:trHeight w:val="272"/>
          <w:jc w:val="center"/>
        </w:trPr>
        <w:tc>
          <w:tcPr>
            <w:tcW w:w="406" w:type="dxa"/>
            <w:vMerge/>
            <w:noWrap/>
            <w:vAlign w:val="center"/>
          </w:tcPr>
          <w:p w14:paraId="0F44220F" w14:textId="77777777" w:rsidR="00A67F21" w:rsidRPr="00B12FE0" w:rsidRDefault="00A67F21">
            <w:pPr>
              <w:jc w:val="center"/>
              <w:rPr>
                <w:color w:val="000000" w:themeColor="text1"/>
                <w:sz w:val="18"/>
                <w:szCs w:val="18"/>
              </w:rPr>
            </w:pPr>
          </w:p>
        </w:tc>
        <w:tc>
          <w:tcPr>
            <w:tcW w:w="1237" w:type="dxa"/>
            <w:vMerge/>
            <w:noWrap/>
            <w:vAlign w:val="center"/>
          </w:tcPr>
          <w:p w14:paraId="43DB5205" w14:textId="77777777" w:rsidR="00A67F21" w:rsidRPr="00B12FE0" w:rsidRDefault="00A67F21">
            <w:pPr>
              <w:widowControl/>
              <w:jc w:val="center"/>
              <w:textAlignment w:val="center"/>
              <w:rPr>
                <w:color w:val="000000" w:themeColor="text1"/>
                <w:kern w:val="0"/>
                <w:sz w:val="18"/>
                <w:szCs w:val="18"/>
                <w:lang w:bidi="ar"/>
              </w:rPr>
            </w:pPr>
          </w:p>
        </w:tc>
        <w:tc>
          <w:tcPr>
            <w:tcW w:w="3030" w:type="dxa"/>
            <w:gridSpan w:val="2"/>
            <w:noWrap/>
            <w:vAlign w:val="center"/>
          </w:tcPr>
          <w:p w14:paraId="4FE668FA"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护士站</w:t>
            </w:r>
          </w:p>
        </w:tc>
        <w:tc>
          <w:tcPr>
            <w:tcW w:w="1040" w:type="dxa"/>
            <w:noWrap/>
            <w:vAlign w:val="center"/>
          </w:tcPr>
          <w:p w14:paraId="55560C8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东</w:t>
            </w:r>
            <w:r w:rsidRPr="00B12FE0">
              <w:rPr>
                <w:color w:val="000000" w:themeColor="text1"/>
                <w:kern w:val="0"/>
                <w:sz w:val="18"/>
                <w:szCs w:val="18"/>
                <w:lang w:bidi="ar"/>
              </w:rPr>
              <w:t>侧</w:t>
            </w:r>
          </w:p>
        </w:tc>
        <w:tc>
          <w:tcPr>
            <w:tcW w:w="800" w:type="dxa"/>
            <w:noWrap/>
            <w:vAlign w:val="center"/>
          </w:tcPr>
          <w:p w14:paraId="612B3204"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vMerge/>
            <w:noWrap/>
            <w:vAlign w:val="center"/>
          </w:tcPr>
          <w:p w14:paraId="512AAC47" w14:textId="77777777" w:rsidR="00A67F21" w:rsidRPr="00B12FE0" w:rsidRDefault="00A67F21">
            <w:pPr>
              <w:jc w:val="center"/>
              <w:rPr>
                <w:color w:val="000000" w:themeColor="text1"/>
                <w:sz w:val="18"/>
                <w:szCs w:val="18"/>
              </w:rPr>
            </w:pPr>
          </w:p>
        </w:tc>
        <w:tc>
          <w:tcPr>
            <w:tcW w:w="1368" w:type="dxa"/>
            <w:vMerge/>
            <w:noWrap/>
            <w:vAlign w:val="center"/>
          </w:tcPr>
          <w:p w14:paraId="6D1FFE0D" w14:textId="77777777" w:rsidR="00A67F21" w:rsidRPr="00B12FE0" w:rsidRDefault="00A67F21">
            <w:pPr>
              <w:widowControl/>
              <w:jc w:val="center"/>
              <w:textAlignment w:val="center"/>
              <w:rPr>
                <w:color w:val="000000" w:themeColor="text1"/>
                <w:kern w:val="0"/>
                <w:sz w:val="18"/>
                <w:szCs w:val="18"/>
                <w:lang w:bidi="ar"/>
              </w:rPr>
            </w:pPr>
          </w:p>
        </w:tc>
      </w:tr>
      <w:tr w:rsidR="00A67F21" w:rsidRPr="00B12FE0" w14:paraId="4AA1F88D" w14:textId="77777777">
        <w:trPr>
          <w:trHeight w:val="272"/>
          <w:jc w:val="center"/>
        </w:trPr>
        <w:tc>
          <w:tcPr>
            <w:tcW w:w="406" w:type="dxa"/>
            <w:vMerge/>
            <w:noWrap/>
            <w:vAlign w:val="center"/>
          </w:tcPr>
          <w:p w14:paraId="73548EB1" w14:textId="77777777" w:rsidR="00A67F21" w:rsidRPr="00B12FE0" w:rsidRDefault="00A67F21">
            <w:pPr>
              <w:jc w:val="center"/>
              <w:rPr>
                <w:color w:val="000000" w:themeColor="text1"/>
                <w:sz w:val="18"/>
                <w:szCs w:val="18"/>
              </w:rPr>
            </w:pPr>
          </w:p>
        </w:tc>
        <w:tc>
          <w:tcPr>
            <w:tcW w:w="1237" w:type="dxa"/>
            <w:vMerge/>
            <w:noWrap/>
            <w:vAlign w:val="center"/>
          </w:tcPr>
          <w:p w14:paraId="0DF307AD" w14:textId="77777777" w:rsidR="00A67F21" w:rsidRPr="00B12FE0" w:rsidRDefault="00A67F21">
            <w:pPr>
              <w:widowControl/>
              <w:jc w:val="center"/>
              <w:textAlignment w:val="center"/>
              <w:rPr>
                <w:color w:val="000000" w:themeColor="text1"/>
                <w:kern w:val="0"/>
                <w:sz w:val="18"/>
                <w:szCs w:val="18"/>
                <w:lang w:bidi="ar"/>
              </w:rPr>
            </w:pPr>
          </w:p>
        </w:tc>
        <w:tc>
          <w:tcPr>
            <w:tcW w:w="3030" w:type="dxa"/>
            <w:gridSpan w:val="2"/>
            <w:noWrap/>
            <w:vAlign w:val="center"/>
          </w:tcPr>
          <w:p w14:paraId="3F7A3690"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sz w:val="18"/>
                <w:szCs w:val="18"/>
              </w:rPr>
              <w:t>办公室、值班室、读片室、医护走廊</w:t>
            </w:r>
          </w:p>
        </w:tc>
        <w:tc>
          <w:tcPr>
            <w:tcW w:w="1040" w:type="dxa"/>
            <w:noWrap/>
            <w:vAlign w:val="center"/>
          </w:tcPr>
          <w:p w14:paraId="4E8C0D6D"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西</w:t>
            </w:r>
            <w:r w:rsidRPr="00B12FE0">
              <w:rPr>
                <w:color w:val="000000" w:themeColor="text1"/>
                <w:kern w:val="0"/>
                <w:sz w:val="18"/>
                <w:szCs w:val="18"/>
                <w:lang w:bidi="ar"/>
              </w:rPr>
              <w:t>侧</w:t>
            </w:r>
          </w:p>
        </w:tc>
        <w:tc>
          <w:tcPr>
            <w:tcW w:w="800" w:type="dxa"/>
            <w:noWrap/>
            <w:vAlign w:val="center"/>
          </w:tcPr>
          <w:p w14:paraId="6DEBE3A4"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3.1</w:t>
            </w:r>
          </w:p>
        </w:tc>
        <w:tc>
          <w:tcPr>
            <w:tcW w:w="1145" w:type="dxa"/>
            <w:vMerge/>
            <w:noWrap/>
            <w:vAlign w:val="center"/>
          </w:tcPr>
          <w:p w14:paraId="0D88EAA4" w14:textId="77777777" w:rsidR="00A67F21" w:rsidRPr="00B12FE0" w:rsidRDefault="00A67F21">
            <w:pPr>
              <w:jc w:val="center"/>
              <w:rPr>
                <w:color w:val="000000" w:themeColor="text1"/>
                <w:sz w:val="18"/>
                <w:szCs w:val="18"/>
              </w:rPr>
            </w:pPr>
          </w:p>
        </w:tc>
        <w:tc>
          <w:tcPr>
            <w:tcW w:w="1368" w:type="dxa"/>
            <w:vMerge/>
            <w:noWrap/>
            <w:vAlign w:val="center"/>
          </w:tcPr>
          <w:p w14:paraId="589E43F5" w14:textId="77777777" w:rsidR="00A67F21" w:rsidRPr="00B12FE0" w:rsidRDefault="00A67F21">
            <w:pPr>
              <w:widowControl/>
              <w:jc w:val="center"/>
              <w:textAlignment w:val="center"/>
              <w:rPr>
                <w:color w:val="000000" w:themeColor="text1"/>
                <w:kern w:val="0"/>
                <w:sz w:val="18"/>
                <w:szCs w:val="18"/>
                <w:lang w:bidi="ar"/>
              </w:rPr>
            </w:pPr>
          </w:p>
        </w:tc>
      </w:tr>
      <w:tr w:rsidR="00A67F21" w:rsidRPr="00B12FE0" w14:paraId="6D93E729" w14:textId="77777777">
        <w:trPr>
          <w:trHeight w:val="272"/>
          <w:jc w:val="center"/>
        </w:trPr>
        <w:tc>
          <w:tcPr>
            <w:tcW w:w="406" w:type="dxa"/>
            <w:vMerge/>
            <w:noWrap/>
            <w:vAlign w:val="center"/>
          </w:tcPr>
          <w:p w14:paraId="42C91E4D" w14:textId="77777777" w:rsidR="00A67F21" w:rsidRPr="00B12FE0" w:rsidRDefault="00A67F21">
            <w:pPr>
              <w:jc w:val="center"/>
              <w:rPr>
                <w:color w:val="000000" w:themeColor="text1"/>
                <w:sz w:val="18"/>
                <w:szCs w:val="18"/>
              </w:rPr>
            </w:pPr>
          </w:p>
        </w:tc>
        <w:tc>
          <w:tcPr>
            <w:tcW w:w="1237" w:type="dxa"/>
            <w:vMerge/>
            <w:noWrap/>
            <w:vAlign w:val="center"/>
          </w:tcPr>
          <w:p w14:paraId="389C4B16" w14:textId="77777777" w:rsidR="00A67F21" w:rsidRPr="00B12FE0" w:rsidRDefault="00A67F21">
            <w:pPr>
              <w:jc w:val="center"/>
              <w:rPr>
                <w:color w:val="000000" w:themeColor="text1"/>
                <w:sz w:val="18"/>
                <w:szCs w:val="18"/>
              </w:rPr>
            </w:pPr>
          </w:p>
        </w:tc>
        <w:tc>
          <w:tcPr>
            <w:tcW w:w="3030" w:type="dxa"/>
            <w:gridSpan w:val="2"/>
            <w:noWrap/>
            <w:vAlign w:val="center"/>
          </w:tcPr>
          <w:p w14:paraId="5EF96009"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候诊区及其卫生间</w:t>
            </w:r>
          </w:p>
        </w:tc>
        <w:tc>
          <w:tcPr>
            <w:tcW w:w="1040" w:type="dxa"/>
            <w:noWrap/>
            <w:vAlign w:val="center"/>
          </w:tcPr>
          <w:p w14:paraId="1FE61954"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东侧</w:t>
            </w:r>
          </w:p>
        </w:tc>
        <w:tc>
          <w:tcPr>
            <w:tcW w:w="800" w:type="dxa"/>
            <w:noWrap/>
            <w:vAlign w:val="center"/>
          </w:tcPr>
          <w:p w14:paraId="5966801C"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tcPr>
          <w:p w14:paraId="4C4D8EC8"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流动人员</w:t>
            </w:r>
          </w:p>
        </w:tc>
        <w:tc>
          <w:tcPr>
            <w:tcW w:w="1368" w:type="dxa"/>
            <w:vMerge w:val="restart"/>
            <w:noWrap/>
            <w:vAlign w:val="center"/>
          </w:tcPr>
          <w:p w14:paraId="566B7BFA"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公众</w:t>
            </w:r>
          </w:p>
          <w:p w14:paraId="7480002E" w14:textId="77777777" w:rsidR="00A67F21" w:rsidRPr="00B12FE0" w:rsidRDefault="00A67F21">
            <w:pPr>
              <w:widowControl/>
              <w:jc w:val="center"/>
              <w:textAlignment w:val="center"/>
              <w:rPr>
                <w:color w:val="000000" w:themeColor="text1"/>
                <w:sz w:val="18"/>
                <w:szCs w:val="18"/>
              </w:rPr>
            </w:pPr>
          </w:p>
        </w:tc>
      </w:tr>
      <w:tr w:rsidR="00A67F21" w:rsidRPr="00B12FE0" w14:paraId="30E6968C" w14:textId="77777777">
        <w:trPr>
          <w:trHeight w:val="272"/>
          <w:jc w:val="center"/>
        </w:trPr>
        <w:tc>
          <w:tcPr>
            <w:tcW w:w="406" w:type="dxa"/>
            <w:vMerge/>
            <w:noWrap/>
            <w:vAlign w:val="center"/>
          </w:tcPr>
          <w:p w14:paraId="5E17F2E0" w14:textId="77777777" w:rsidR="00A67F21" w:rsidRPr="00B12FE0" w:rsidRDefault="00A67F21">
            <w:pPr>
              <w:jc w:val="center"/>
              <w:rPr>
                <w:color w:val="000000" w:themeColor="text1"/>
                <w:sz w:val="18"/>
                <w:szCs w:val="18"/>
              </w:rPr>
            </w:pPr>
          </w:p>
        </w:tc>
        <w:tc>
          <w:tcPr>
            <w:tcW w:w="1237" w:type="dxa"/>
            <w:vMerge/>
            <w:noWrap/>
            <w:vAlign w:val="center"/>
          </w:tcPr>
          <w:p w14:paraId="57CD5344" w14:textId="77777777" w:rsidR="00A67F21" w:rsidRPr="00B12FE0" w:rsidRDefault="00A67F21">
            <w:pPr>
              <w:jc w:val="center"/>
              <w:rPr>
                <w:color w:val="000000" w:themeColor="text1"/>
                <w:sz w:val="18"/>
                <w:szCs w:val="18"/>
              </w:rPr>
            </w:pPr>
          </w:p>
        </w:tc>
        <w:tc>
          <w:tcPr>
            <w:tcW w:w="3030" w:type="dxa"/>
            <w:gridSpan w:val="2"/>
            <w:noWrap/>
            <w:vAlign w:val="center"/>
          </w:tcPr>
          <w:p w14:paraId="7B003403"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院内道路</w:t>
            </w:r>
            <w:r w:rsidRPr="00B12FE0">
              <w:rPr>
                <w:rFonts w:hint="eastAsia"/>
                <w:color w:val="000000" w:themeColor="text1"/>
                <w:kern w:val="0"/>
                <w:sz w:val="18"/>
                <w:szCs w:val="18"/>
                <w:lang w:bidi="ar"/>
              </w:rPr>
              <w:t>及绿化</w:t>
            </w:r>
          </w:p>
        </w:tc>
        <w:tc>
          <w:tcPr>
            <w:tcW w:w="1040" w:type="dxa"/>
            <w:noWrap/>
            <w:vAlign w:val="center"/>
          </w:tcPr>
          <w:p w14:paraId="51D84EE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南</w:t>
            </w:r>
            <w:r w:rsidRPr="00B12FE0">
              <w:rPr>
                <w:color w:val="000000" w:themeColor="text1"/>
                <w:kern w:val="0"/>
                <w:sz w:val="18"/>
                <w:szCs w:val="18"/>
                <w:lang w:bidi="ar"/>
              </w:rPr>
              <w:t>侧</w:t>
            </w:r>
          </w:p>
        </w:tc>
        <w:tc>
          <w:tcPr>
            <w:tcW w:w="800" w:type="dxa"/>
            <w:noWrap/>
            <w:vAlign w:val="center"/>
          </w:tcPr>
          <w:p w14:paraId="7257B87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紧邻</w:t>
            </w:r>
          </w:p>
        </w:tc>
        <w:tc>
          <w:tcPr>
            <w:tcW w:w="1145" w:type="dxa"/>
            <w:noWrap/>
          </w:tcPr>
          <w:p w14:paraId="2A4D01E1"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流动人员</w:t>
            </w:r>
          </w:p>
        </w:tc>
        <w:tc>
          <w:tcPr>
            <w:tcW w:w="1368" w:type="dxa"/>
            <w:vMerge/>
            <w:noWrap/>
            <w:vAlign w:val="center"/>
          </w:tcPr>
          <w:p w14:paraId="674DDB65" w14:textId="77777777" w:rsidR="00A67F21" w:rsidRPr="00B12FE0" w:rsidRDefault="00A67F21">
            <w:pPr>
              <w:widowControl/>
              <w:jc w:val="center"/>
              <w:textAlignment w:val="center"/>
              <w:rPr>
                <w:color w:val="000000" w:themeColor="text1"/>
                <w:sz w:val="18"/>
                <w:szCs w:val="18"/>
              </w:rPr>
            </w:pPr>
          </w:p>
        </w:tc>
      </w:tr>
      <w:tr w:rsidR="00A67F21" w:rsidRPr="00B12FE0" w14:paraId="2C63393D" w14:textId="77777777">
        <w:trPr>
          <w:trHeight w:val="272"/>
          <w:jc w:val="center"/>
        </w:trPr>
        <w:tc>
          <w:tcPr>
            <w:tcW w:w="406" w:type="dxa"/>
            <w:vMerge/>
            <w:noWrap/>
            <w:vAlign w:val="center"/>
          </w:tcPr>
          <w:p w14:paraId="192A3F12" w14:textId="77777777" w:rsidR="00A67F21" w:rsidRPr="00B12FE0" w:rsidRDefault="00A67F21">
            <w:pPr>
              <w:jc w:val="center"/>
              <w:rPr>
                <w:color w:val="000000" w:themeColor="text1"/>
                <w:sz w:val="18"/>
                <w:szCs w:val="18"/>
              </w:rPr>
            </w:pPr>
          </w:p>
        </w:tc>
        <w:tc>
          <w:tcPr>
            <w:tcW w:w="1237" w:type="dxa"/>
            <w:vMerge/>
            <w:noWrap/>
            <w:vAlign w:val="center"/>
          </w:tcPr>
          <w:p w14:paraId="04C25096" w14:textId="77777777" w:rsidR="00A67F21" w:rsidRPr="00B12FE0" w:rsidRDefault="00A67F21">
            <w:pPr>
              <w:jc w:val="center"/>
              <w:rPr>
                <w:color w:val="000000" w:themeColor="text1"/>
                <w:sz w:val="18"/>
                <w:szCs w:val="18"/>
              </w:rPr>
            </w:pPr>
          </w:p>
        </w:tc>
        <w:tc>
          <w:tcPr>
            <w:tcW w:w="3030" w:type="dxa"/>
            <w:gridSpan w:val="2"/>
            <w:noWrap/>
            <w:vAlign w:val="center"/>
          </w:tcPr>
          <w:p w14:paraId="2D9A4311"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后勤中心楼</w:t>
            </w:r>
          </w:p>
        </w:tc>
        <w:tc>
          <w:tcPr>
            <w:tcW w:w="1040" w:type="dxa"/>
            <w:noWrap/>
            <w:vAlign w:val="center"/>
          </w:tcPr>
          <w:p w14:paraId="120B9BF9"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南</w:t>
            </w:r>
            <w:r w:rsidRPr="00B12FE0">
              <w:rPr>
                <w:color w:val="000000" w:themeColor="text1"/>
                <w:kern w:val="0"/>
                <w:sz w:val="18"/>
                <w:szCs w:val="18"/>
                <w:lang w:bidi="ar"/>
              </w:rPr>
              <w:t>侧</w:t>
            </w:r>
          </w:p>
        </w:tc>
        <w:tc>
          <w:tcPr>
            <w:tcW w:w="800" w:type="dxa"/>
            <w:noWrap/>
            <w:vAlign w:val="center"/>
          </w:tcPr>
          <w:p w14:paraId="626B6D2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40</w:t>
            </w:r>
          </w:p>
        </w:tc>
        <w:tc>
          <w:tcPr>
            <w:tcW w:w="1145" w:type="dxa"/>
            <w:noWrap/>
            <w:vAlign w:val="center"/>
          </w:tcPr>
          <w:p w14:paraId="4E477F3B"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20</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27E8E343" w14:textId="77777777" w:rsidR="00A67F21" w:rsidRPr="00B12FE0" w:rsidRDefault="00A67F21">
            <w:pPr>
              <w:widowControl/>
              <w:jc w:val="center"/>
              <w:textAlignment w:val="center"/>
              <w:rPr>
                <w:color w:val="000000" w:themeColor="text1"/>
                <w:sz w:val="18"/>
                <w:szCs w:val="18"/>
              </w:rPr>
            </w:pPr>
          </w:p>
        </w:tc>
      </w:tr>
      <w:tr w:rsidR="00A67F21" w:rsidRPr="00B12FE0" w14:paraId="56114A03" w14:textId="77777777">
        <w:trPr>
          <w:trHeight w:val="272"/>
          <w:jc w:val="center"/>
        </w:trPr>
        <w:tc>
          <w:tcPr>
            <w:tcW w:w="406" w:type="dxa"/>
            <w:vMerge/>
            <w:noWrap/>
            <w:vAlign w:val="center"/>
          </w:tcPr>
          <w:p w14:paraId="75979FF7" w14:textId="77777777" w:rsidR="00A67F21" w:rsidRPr="00B12FE0" w:rsidRDefault="00A67F21">
            <w:pPr>
              <w:jc w:val="center"/>
              <w:rPr>
                <w:color w:val="000000" w:themeColor="text1"/>
                <w:sz w:val="18"/>
                <w:szCs w:val="18"/>
              </w:rPr>
            </w:pPr>
          </w:p>
        </w:tc>
        <w:tc>
          <w:tcPr>
            <w:tcW w:w="1237" w:type="dxa"/>
            <w:vMerge/>
            <w:noWrap/>
            <w:vAlign w:val="center"/>
          </w:tcPr>
          <w:p w14:paraId="54E0B985" w14:textId="77777777" w:rsidR="00A67F21" w:rsidRPr="00B12FE0" w:rsidRDefault="00A67F21">
            <w:pPr>
              <w:jc w:val="center"/>
              <w:rPr>
                <w:color w:val="000000" w:themeColor="text1"/>
                <w:sz w:val="18"/>
                <w:szCs w:val="18"/>
              </w:rPr>
            </w:pPr>
          </w:p>
        </w:tc>
        <w:tc>
          <w:tcPr>
            <w:tcW w:w="3030" w:type="dxa"/>
            <w:gridSpan w:val="2"/>
            <w:noWrap/>
            <w:vAlign w:val="center"/>
          </w:tcPr>
          <w:p w14:paraId="4C3A07A5"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院内道路</w:t>
            </w:r>
            <w:r w:rsidRPr="00B12FE0">
              <w:rPr>
                <w:rFonts w:hint="eastAsia"/>
                <w:color w:val="000000" w:themeColor="text1"/>
                <w:kern w:val="0"/>
                <w:sz w:val="18"/>
                <w:szCs w:val="18"/>
                <w:lang w:bidi="ar"/>
              </w:rPr>
              <w:t>及绿化</w:t>
            </w:r>
          </w:p>
        </w:tc>
        <w:tc>
          <w:tcPr>
            <w:tcW w:w="1040" w:type="dxa"/>
            <w:noWrap/>
            <w:vAlign w:val="center"/>
          </w:tcPr>
          <w:p w14:paraId="6944271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西</w:t>
            </w:r>
            <w:r w:rsidRPr="00B12FE0">
              <w:rPr>
                <w:color w:val="000000" w:themeColor="text1"/>
                <w:kern w:val="0"/>
                <w:sz w:val="18"/>
                <w:szCs w:val="18"/>
                <w:lang w:bidi="ar"/>
              </w:rPr>
              <w:t>侧</w:t>
            </w:r>
          </w:p>
        </w:tc>
        <w:tc>
          <w:tcPr>
            <w:tcW w:w="800" w:type="dxa"/>
            <w:noWrap/>
            <w:vAlign w:val="center"/>
          </w:tcPr>
          <w:p w14:paraId="769CC1F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11.5</w:t>
            </w:r>
          </w:p>
        </w:tc>
        <w:tc>
          <w:tcPr>
            <w:tcW w:w="1145" w:type="dxa"/>
            <w:noWrap/>
            <w:vAlign w:val="center"/>
          </w:tcPr>
          <w:p w14:paraId="76CA49C4"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流动人员</w:t>
            </w:r>
          </w:p>
        </w:tc>
        <w:tc>
          <w:tcPr>
            <w:tcW w:w="1368" w:type="dxa"/>
            <w:vMerge/>
            <w:noWrap/>
            <w:vAlign w:val="center"/>
          </w:tcPr>
          <w:p w14:paraId="497CDC03" w14:textId="77777777" w:rsidR="00A67F21" w:rsidRPr="00B12FE0" w:rsidRDefault="00A67F21">
            <w:pPr>
              <w:widowControl/>
              <w:jc w:val="center"/>
              <w:textAlignment w:val="center"/>
              <w:rPr>
                <w:color w:val="000000" w:themeColor="text1"/>
                <w:sz w:val="18"/>
                <w:szCs w:val="18"/>
              </w:rPr>
            </w:pPr>
          </w:p>
        </w:tc>
      </w:tr>
      <w:tr w:rsidR="00A67F21" w:rsidRPr="00B12FE0" w14:paraId="38B6767D" w14:textId="77777777">
        <w:trPr>
          <w:trHeight w:val="272"/>
          <w:jc w:val="center"/>
        </w:trPr>
        <w:tc>
          <w:tcPr>
            <w:tcW w:w="406" w:type="dxa"/>
            <w:vMerge/>
            <w:noWrap/>
            <w:vAlign w:val="center"/>
          </w:tcPr>
          <w:p w14:paraId="705136A5" w14:textId="77777777" w:rsidR="00A67F21" w:rsidRPr="00B12FE0" w:rsidRDefault="00A67F21">
            <w:pPr>
              <w:jc w:val="center"/>
              <w:rPr>
                <w:color w:val="000000" w:themeColor="text1"/>
                <w:sz w:val="18"/>
                <w:szCs w:val="18"/>
              </w:rPr>
            </w:pPr>
          </w:p>
        </w:tc>
        <w:tc>
          <w:tcPr>
            <w:tcW w:w="1237" w:type="dxa"/>
            <w:vMerge/>
            <w:noWrap/>
            <w:vAlign w:val="center"/>
          </w:tcPr>
          <w:p w14:paraId="76AA44CF" w14:textId="77777777" w:rsidR="00A67F21" w:rsidRPr="00B12FE0" w:rsidRDefault="00A67F21">
            <w:pPr>
              <w:jc w:val="center"/>
              <w:rPr>
                <w:color w:val="000000" w:themeColor="text1"/>
                <w:sz w:val="18"/>
                <w:szCs w:val="18"/>
              </w:rPr>
            </w:pPr>
          </w:p>
        </w:tc>
        <w:tc>
          <w:tcPr>
            <w:tcW w:w="3030" w:type="dxa"/>
            <w:gridSpan w:val="2"/>
            <w:noWrap/>
            <w:vAlign w:val="center"/>
          </w:tcPr>
          <w:p w14:paraId="7D1EB68D"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医院规划道路及预留医疗用地</w:t>
            </w:r>
          </w:p>
        </w:tc>
        <w:tc>
          <w:tcPr>
            <w:tcW w:w="1040" w:type="dxa"/>
            <w:noWrap/>
            <w:vAlign w:val="center"/>
          </w:tcPr>
          <w:p w14:paraId="1E4E3B1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西</w:t>
            </w:r>
            <w:r w:rsidRPr="00B12FE0">
              <w:rPr>
                <w:color w:val="000000" w:themeColor="text1"/>
                <w:kern w:val="0"/>
                <w:sz w:val="18"/>
                <w:szCs w:val="18"/>
                <w:lang w:bidi="ar"/>
              </w:rPr>
              <w:t>侧</w:t>
            </w:r>
          </w:p>
        </w:tc>
        <w:tc>
          <w:tcPr>
            <w:tcW w:w="800" w:type="dxa"/>
            <w:noWrap/>
            <w:vAlign w:val="center"/>
          </w:tcPr>
          <w:p w14:paraId="3A3D51D9"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36.5</w:t>
            </w:r>
          </w:p>
        </w:tc>
        <w:tc>
          <w:tcPr>
            <w:tcW w:w="1145" w:type="dxa"/>
            <w:noWrap/>
            <w:vAlign w:val="center"/>
          </w:tcPr>
          <w:p w14:paraId="5D79B4AB"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20</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2114DEDD" w14:textId="77777777" w:rsidR="00A67F21" w:rsidRPr="00B12FE0" w:rsidRDefault="00A67F21">
            <w:pPr>
              <w:widowControl/>
              <w:jc w:val="center"/>
              <w:textAlignment w:val="center"/>
              <w:rPr>
                <w:color w:val="000000" w:themeColor="text1"/>
                <w:sz w:val="18"/>
                <w:szCs w:val="18"/>
              </w:rPr>
            </w:pPr>
          </w:p>
        </w:tc>
      </w:tr>
      <w:tr w:rsidR="00A67F21" w:rsidRPr="00B12FE0" w14:paraId="2F785B80" w14:textId="77777777">
        <w:trPr>
          <w:trHeight w:val="272"/>
          <w:jc w:val="center"/>
        </w:trPr>
        <w:tc>
          <w:tcPr>
            <w:tcW w:w="406" w:type="dxa"/>
            <w:vMerge/>
            <w:noWrap/>
            <w:vAlign w:val="center"/>
          </w:tcPr>
          <w:p w14:paraId="4AEC67B6" w14:textId="77777777" w:rsidR="00A67F21" w:rsidRPr="00B12FE0" w:rsidRDefault="00A67F21">
            <w:pPr>
              <w:jc w:val="center"/>
              <w:rPr>
                <w:color w:val="000000" w:themeColor="text1"/>
                <w:sz w:val="18"/>
                <w:szCs w:val="18"/>
              </w:rPr>
            </w:pPr>
          </w:p>
        </w:tc>
        <w:tc>
          <w:tcPr>
            <w:tcW w:w="1237" w:type="dxa"/>
            <w:vMerge/>
            <w:noWrap/>
            <w:vAlign w:val="center"/>
          </w:tcPr>
          <w:p w14:paraId="6A5383D6" w14:textId="77777777" w:rsidR="00A67F21" w:rsidRPr="00B12FE0" w:rsidRDefault="00A67F21">
            <w:pPr>
              <w:jc w:val="center"/>
              <w:rPr>
                <w:color w:val="000000" w:themeColor="text1"/>
                <w:sz w:val="18"/>
                <w:szCs w:val="18"/>
              </w:rPr>
            </w:pPr>
          </w:p>
        </w:tc>
        <w:tc>
          <w:tcPr>
            <w:tcW w:w="3030" w:type="dxa"/>
            <w:gridSpan w:val="2"/>
            <w:noWrap/>
            <w:vAlign w:val="center"/>
          </w:tcPr>
          <w:p w14:paraId="20F596F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医护走廊</w:t>
            </w:r>
          </w:p>
        </w:tc>
        <w:tc>
          <w:tcPr>
            <w:tcW w:w="1040" w:type="dxa"/>
            <w:noWrap/>
            <w:vAlign w:val="center"/>
          </w:tcPr>
          <w:p w14:paraId="08AD3CA1"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北侧</w:t>
            </w:r>
          </w:p>
        </w:tc>
        <w:tc>
          <w:tcPr>
            <w:tcW w:w="800" w:type="dxa"/>
            <w:noWrap/>
            <w:vAlign w:val="center"/>
          </w:tcPr>
          <w:p w14:paraId="78FB971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紧邻</w:t>
            </w:r>
          </w:p>
        </w:tc>
        <w:tc>
          <w:tcPr>
            <w:tcW w:w="1145" w:type="dxa"/>
            <w:vMerge w:val="restart"/>
            <w:noWrap/>
            <w:vAlign w:val="center"/>
          </w:tcPr>
          <w:p w14:paraId="66E167A9"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4</w:t>
            </w:r>
            <w:r w:rsidRPr="00B12FE0">
              <w:rPr>
                <w:rFonts w:hint="eastAsia"/>
                <w:color w:val="000000" w:themeColor="text1"/>
                <w:sz w:val="18"/>
                <w:szCs w:val="18"/>
              </w:rPr>
              <w:t>人</w:t>
            </w:r>
          </w:p>
        </w:tc>
        <w:tc>
          <w:tcPr>
            <w:tcW w:w="1368" w:type="dxa"/>
            <w:vMerge w:val="restart"/>
            <w:noWrap/>
            <w:vAlign w:val="center"/>
          </w:tcPr>
          <w:p w14:paraId="7052B1B5"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职业</w:t>
            </w:r>
          </w:p>
        </w:tc>
      </w:tr>
      <w:tr w:rsidR="00A67F21" w:rsidRPr="00B12FE0" w14:paraId="5A753575" w14:textId="77777777">
        <w:trPr>
          <w:trHeight w:val="272"/>
          <w:jc w:val="center"/>
        </w:trPr>
        <w:tc>
          <w:tcPr>
            <w:tcW w:w="406" w:type="dxa"/>
            <w:vMerge/>
            <w:noWrap/>
            <w:vAlign w:val="center"/>
          </w:tcPr>
          <w:p w14:paraId="375B02F6" w14:textId="77777777" w:rsidR="00A67F21" w:rsidRPr="00B12FE0" w:rsidRDefault="00A67F21">
            <w:pPr>
              <w:jc w:val="center"/>
              <w:rPr>
                <w:color w:val="000000" w:themeColor="text1"/>
                <w:sz w:val="18"/>
                <w:szCs w:val="18"/>
              </w:rPr>
            </w:pPr>
          </w:p>
        </w:tc>
        <w:tc>
          <w:tcPr>
            <w:tcW w:w="1237" w:type="dxa"/>
            <w:vMerge/>
            <w:noWrap/>
            <w:vAlign w:val="center"/>
          </w:tcPr>
          <w:p w14:paraId="398D5974" w14:textId="77777777" w:rsidR="00A67F21" w:rsidRPr="00B12FE0" w:rsidRDefault="00A67F21">
            <w:pPr>
              <w:jc w:val="center"/>
              <w:rPr>
                <w:color w:val="000000" w:themeColor="text1"/>
                <w:sz w:val="18"/>
                <w:szCs w:val="18"/>
              </w:rPr>
            </w:pPr>
          </w:p>
        </w:tc>
        <w:tc>
          <w:tcPr>
            <w:tcW w:w="3030" w:type="dxa"/>
            <w:gridSpan w:val="2"/>
            <w:noWrap/>
            <w:vAlign w:val="center"/>
          </w:tcPr>
          <w:p w14:paraId="7EAD98E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核素制备场所</w:t>
            </w:r>
          </w:p>
        </w:tc>
        <w:tc>
          <w:tcPr>
            <w:tcW w:w="1040" w:type="dxa"/>
            <w:noWrap/>
            <w:vAlign w:val="center"/>
          </w:tcPr>
          <w:p w14:paraId="64D0712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北侧</w:t>
            </w:r>
          </w:p>
        </w:tc>
        <w:tc>
          <w:tcPr>
            <w:tcW w:w="800" w:type="dxa"/>
            <w:noWrap/>
            <w:vAlign w:val="center"/>
          </w:tcPr>
          <w:p w14:paraId="2B91895C"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1.8</w:t>
            </w:r>
          </w:p>
        </w:tc>
        <w:tc>
          <w:tcPr>
            <w:tcW w:w="1145" w:type="dxa"/>
            <w:vMerge/>
            <w:noWrap/>
            <w:vAlign w:val="center"/>
          </w:tcPr>
          <w:p w14:paraId="094F5E00" w14:textId="77777777" w:rsidR="00A67F21" w:rsidRPr="00B12FE0" w:rsidRDefault="00A67F21">
            <w:pPr>
              <w:jc w:val="center"/>
              <w:rPr>
                <w:color w:val="000000" w:themeColor="text1"/>
                <w:sz w:val="18"/>
                <w:szCs w:val="18"/>
              </w:rPr>
            </w:pPr>
          </w:p>
        </w:tc>
        <w:tc>
          <w:tcPr>
            <w:tcW w:w="1368" w:type="dxa"/>
            <w:vMerge/>
            <w:noWrap/>
            <w:vAlign w:val="center"/>
          </w:tcPr>
          <w:p w14:paraId="44D5D5BB" w14:textId="77777777" w:rsidR="00A67F21" w:rsidRPr="00B12FE0" w:rsidRDefault="00A67F21">
            <w:pPr>
              <w:widowControl/>
              <w:jc w:val="center"/>
              <w:textAlignment w:val="center"/>
              <w:rPr>
                <w:color w:val="000000" w:themeColor="text1"/>
                <w:kern w:val="0"/>
                <w:sz w:val="18"/>
                <w:szCs w:val="18"/>
                <w:lang w:bidi="ar"/>
              </w:rPr>
            </w:pPr>
          </w:p>
        </w:tc>
      </w:tr>
      <w:tr w:rsidR="00A67F21" w:rsidRPr="00B12FE0" w14:paraId="607A0579" w14:textId="77777777">
        <w:trPr>
          <w:trHeight w:val="272"/>
          <w:jc w:val="center"/>
        </w:trPr>
        <w:tc>
          <w:tcPr>
            <w:tcW w:w="406" w:type="dxa"/>
            <w:vMerge/>
            <w:noWrap/>
            <w:vAlign w:val="center"/>
          </w:tcPr>
          <w:p w14:paraId="5D90B121" w14:textId="77777777" w:rsidR="00A67F21" w:rsidRPr="00B12FE0" w:rsidRDefault="00A67F21">
            <w:pPr>
              <w:jc w:val="center"/>
              <w:rPr>
                <w:color w:val="000000" w:themeColor="text1"/>
                <w:sz w:val="18"/>
                <w:szCs w:val="18"/>
              </w:rPr>
            </w:pPr>
          </w:p>
        </w:tc>
        <w:tc>
          <w:tcPr>
            <w:tcW w:w="1237" w:type="dxa"/>
            <w:vMerge/>
            <w:noWrap/>
            <w:vAlign w:val="center"/>
          </w:tcPr>
          <w:p w14:paraId="12E820D9" w14:textId="77777777" w:rsidR="00A67F21" w:rsidRPr="00B12FE0" w:rsidRDefault="00A67F21">
            <w:pPr>
              <w:jc w:val="center"/>
              <w:rPr>
                <w:color w:val="000000" w:themeColor="text1"/>
                <w:sz w:val="18"/>
                <w:szCs w:val="18"/>
              </w:rPr>
            </w:pPr>
          </w:p>
        </w:tc>
        <w:tc>
          <w:tcPr>
            <w:tcW w:w="3030" w:type="dxa"/>
            <w:gridSpan w:val="2"/>
            <w:noWrap/>
            <w:vAlign w:val="center"/>
          </w:tcPr>
          <w:p w14:paraId="6E40E0D9"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核素制备治疗场所</w:t>
            </w:r>
            <w:r w:rsidRPr="00B12FE0">
              <w:rPr>
                <w:rFonts w:hint="eastAsia"/>
                <w:b/>
                <w:bCs/>
                <w:color w:val="000000" w:themeColor="text1"/>
                <w:kern w:val="0"/>
                <w:sz w:val="18"/>
                <w:szCs w:val="18"/>
                <w:vertAlign w:val="superscript"/>
                <w:lang w:bidi="ar"/>
              </w:rPr>
              <w:t>①</w:t>
            </w:r>
          </w:p>
        </w:tc>
        <w:tc>
          <w:tcPr>
            <w:tcW w:w="1040" w:type="dxa"/>
            <w:noWrap/>
            <w:vAlign w:val="center"/>
          </w:tcPr>
          <w:p w14:paraId="49FED1A1" w14:textId="77777777" w:rsidR="00A67F21" w:rsidRPr="00B12FE0" w:rsidRDefault="00000000">
            <w:pPr>
              <w:widowControl/>
              <w:jc w:val="center"/>
              <w:textAlignment w:val="center"/>
              <w:rPr>
                <w:color w:val="000000" w:themeColor="text1"/>
                <w:sz w:val="18"/>
                <w:szCs w:val="18"/>
              </w:rPr>
            </w:pPr>
            <w:r w:rsidRPr="00B12FE0">
              <w:rPr>
                <w:rFonts w:ascii="Cambria Math" w:hAnsi="Cambria Math" w:cs="Cambria Math" w:hint="eastAsia"/>
                <w:color w:val="000000" w:themeColor="text1"/>
                <w:kern w:val="0"/>
                <w:sz w:val="18"/>
                <w:szCs w:val="18"/>
                <w:lang w:bidi="ar"/>
              </w:rPr>
              <w:t>上</w:t>
            </w:r>
            <w:r w:rsidRPr="00B12FE0">
              <w:rPr>
                <w:color w:val="000000" w:themeColor="text1"/>
                <w:kern w:val="0"/>
                <w:sz w:val="18"/>
                <w:szCs w:val="18"/>
                <w:lang w:bidi="ar"/>
              </w:rPr>
              <w:t>方</w:t>
            </w:r>
          </w:p>
        </w:tc>
        <w:tc>
          <w:tcPr>
            <w:tcW w:w="800" w:type="dxa"/>
            <w:noWrap/>
            <w:vAlign w:val="center"/>
          </w:tcPr>
          <w:p w14:paraId="4FBCDD7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4.5</w:t>
            </w:r>
          </w:p>
        </w:tc>
        <w:tc>
          <w:tcPr>
            <w:tcW w:w="1145" w:type="dxa"/>
            <w:noWrap/>
            <w:vAlign w:val="center"/>
          </w:tcPr>
          <w:p w14:paraId="1B87E443"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474C9842" w14:textId="77777777" w:rsidR="00A67F21" w:rsidRPr="00B12FE0" w:rsidRDefault="00A67F21">
            <w:pPr>
              <w:widowControl/>
              <w:jc w:val="center"/>
              <w:textAlignment w:val="center"/>
              <w:rPr>
                <w:color w:val="000000" w:themeColor="text1"/>
                <w:sz w:val="18"/>
                <w:szCs w:val="18"/>
              </w:rPr>
            </w:pPr>
          </w:p>
        </w:tc>
      </w:tr>
      <w:tr w:rsidR="00A67F21" w:rsidRPr="00B12FE0" w14:paraId="2AAD106E" w14:textId="77777777">
        <w:trPr>
          <w:trHeight w:val="272"/>
          <w:jc w:val="center"/>
        </w:trPr>
        <w:tc>
          <w:tcPr>
            <w:tcW w:w="406" w:type="dxa"/>
            <w:vMerge/>
            <w:noWrap/>
            <w:vAlign w:val="center"/>
          </w:tcPr>
          <w:p w14:paraId="4430E992" w14:textId="77777777" w:rsidR="00A67F21" w:rsidRPr="00B12FE0" w:rsidRDefault="00A67F21">
            <w:pPr>
              <w:jc w:val="center"/>
              <w:rPr>
                <w:color w:val="000000" w:themeColor="text1"/>
                <w:sz w:val="18"/>
                <w:szCs w:val="18"/>
              </w:rPr>
            </w:pPr>
          </w:p>
        </w:tc>
        <w:tc>
          <w:tcPr>
            <w:tcW w:w="1237" w:type="dxa"/>
            <w:vMerge w:val="restart"/>
            <w:noWrap/>
            <w:vAlign w:val="center"/>
          </w:tcPr>
          <w:p w14:paraId="237D4E1F" w14:textId="77777777" w:rsidR="00A67F21" w:rsidRPr="00B12FE0" w:rsidRDefault="00000000">
            <w:pPr>
              <w:jc w:val="center"/>
              <w:rPr>
                <w:color w:val="000000" w:themeColor="text1"/>
                <w:sz w:val="18"/>
                <w:szCs w:val="18"/>
              </w:rPr>
            </w:pPr>
            <w:r w:rsidRPr="00B12FE0">
              <w:rPr>
                <w:color w:val="000000" w:themeColor="text1"/>
                <w:kern w:val="0"/>
                <w:sz w:val="18"/>
                <w:szCs w:val="18"/>
                <w:lang w:bidi="ar"/>
              </w:rPr>
              <w:t>肿瘤治疗中心综合楼</w:t>
            </w:r>
            <w:r w:rsidRPr="00B12FE0">
              <w:rPr>
                <w:rFonts w:hint="eastAsia"/>
                <w:color w:val="000000" w:themeColor="text1"/>
                <w:kern w:val="0"/>
                <w:sz w:val="18"/>
                <w:szCs w:val="18"/>
                <w:lang w:bidi="ar"/>
              </w:rPr>
              <w:t>二</w:t>
            </w:r>
            <w:r w:rsidRPr="00B12FE0">
              <w:rPr>
                <w:color w:val="000000" w:themeColor="text1"/>
                <w:kern w:val="0"/>
                <w:sz w:val="18"/>
                <w:szCs w:val="18"/>
                <w:lang w:bidi="ar"/>
              </w:rPr>
              <w:t>层核医学科核素治疗场所</w:t>
            </w:r>
          </w:p>
        </w:tc>
        <w:tc>
          <w:tcPr>
            <w:tcW w:w="3030" w:type="dxa"/>
            <w:gridSpan w:val="2"/>
            <w:noWrap/>
            <w:vAlign w:val="center"/>
          </w:tcPr>
          <w:p w14:paraId="192ACB10"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核素治疗场所工作人员</w:t>
            </w:r>
          </w:p>
        </w:tc>
        <w:tc>
          <w:tcPr>
            <w:tcW w:w="1040" w:type="dxa"/>
            <w:noWrap/>
            <w:vAlign w:val="center"/>
          </w:tcPr>
          <w:p w14:paraId="19BCE973"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color w:val="000000" w:themeColor="text1"/>
                <w:kern w:val="0"/>
                <w:sz w:val="18"/>
                <w:szCs w:val="18"/>
                <w:lang w:bidi="ar"/>
              </w:rPr>
              <w:t>场所内</w:t>
            </w:r>
          </w:p>
        </w:tc>
        <w:tc>
          <w:tcPr>
            <w:tcW w:w="800" w:type="dxa"/>
            <w:noWrap/>
            <w:vAlign w:val="center"/>
          </w:tcPr>
          <w:p w14:paraId="7F54A2EF"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w:t>
            </w:r>
          </w:p>
        </w:tc>
        <w:tc>
          <w:tcPr>
            <w:tcW w:w="1145" w:type="dxa"/>
            <w:noWrap/>
            <w:vAlign w:val="center"/>
          </w:tcPr>
          <w:p w14:paraId="6CFBB9EF"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w:t>
            </w:r>
          </w:p>
        </w:tc>
        <w:tc>
          <w:tcPr>
            <w:tcW w:w="1368" w:type="dxa"/>
            <w:vMerge w:val="restart"/>
            <w:noWrap/>
            <w:vAlign w:val="center"/>
          </w:tcPr>
          <w:p w14:paraId="101903A2"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职业</w:t>
            </w:r>
          </w:p>
        </w:tc>
      </w:tr>
      <w:tr w:rsidR="00A67F21" w:rsidRPr="00B12FE0" w14:paraId="4AED7EC6" w14:textId="77777777">
        <w:trPr>
          <w:trHeight w:val="272"/>
          <w:jc w:val="center"/>
        </w:trPr>
        <w:tc>
          <w:tcPr>
            <w:tcW w:w="406" w:type="dxa"/>
            <w:vMerge/>
            <w:noWrap/>
            <w:vAlign w:val="center"/>
          </w:tcPr>
          <w:p w14:paraId="4C5C16BD" w14:textId="77777777" w:rsidR="00A67F21" w:rsidRPr="00B12FE0" w:rsidRDefault="00A67F21">
            <w:pPr>
              <w:jc w:val="center"/>
              <w:rPr>
                <w:color w:val="000000" w:themeColor="text1"/>
                <w:sz w:val="18"/>
                <w:szCs w:val="18"/>
              </w:rPr>
            </w:pPr>
          </w:p>
        </w:tc>
        <w:tc>
          <w:tcPr>
            <w:tcW w:w="1237" w:type="dxa"/>
            <w:vMerge/>
            <w:noWrap/>
            <w:vAlign w:val="center"/>
          </w:tcPr>
          <w:p w14:paraId="03E13525" w14:textId="77777777" w:rsidR="00A67F21" w:rsidRPr="00B12FE0" w:rsidRDefault="00A67F21">
            <w:pPr>
              <w:jc w:val="center"/>
              <w:rPr>
                <w:color w:val="000000" w:themeColor="text1"/>
                <w:kern w:val="0"/>
                <w:sz w:val="18"/>
                <w:szCs w:val="18"/>
                <w:lang w:bidi="ar"/>
              </w:rPr>
            </w:pPr>
          </w:p>
        </w:tc>
        <w:tc>
          <w:tcPr>
            <w:tcW w:w="3030" w:type="dxa"/>
            <w:gridSpan w:val="2"/>
            <w:noWrap/>
            <w:vAlign w:val="center"/>
          </w:tcPr>
          <w:p w14:paraId="71C06FC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护士站</w:t>
            </w:r>
          </w:p>
        </w:tc>
        <w:tc>
          <w:tcPr>
            <w:tcW w:w="1040" w:type="dxa"/>
            <w:noWrap/>
            <w:vAlign w:val="center"/>
          </w:tcPr>
          <w:p w14:paraId="7E8E27D8"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东侧</w:t>
            </w:r>
          </w:p>
        </w:tc>
        <w:tc>
          <w:tcPr>
            <w:tcW w:w="800" w:type="dxa"/>
            <w:noWrap/>
            <w:vAlign w:val="center"/>
          </w:tcPr>
          <w:p w14:paraId="2E9B8CF8"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w:t>
            </w:r>
          </w:p>
        </w:tc>
        <w:tc>
          <w:tcPr>
            <w:tcW w:w="1145" w:type="dxa"/>
            <w:noWrap/>
            <w:vAlign w:val="center"/>
          </w:tcPr>
          <w:p w14:paraId="207BD78B"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w:t>
            </w:r>
          </w:p>
        </w:tc>
        <w:tc>
          <w:tcPr>
            <w:tcW w:w="1368" w:type="dxa"/>
            <w:vMerge/>
            <w:noWrap/>
            <w:vAlign w:val="center"/>
          </w:tcPr>
          <w:p w14:paraId="4A08B3FB" w14:textId="77777777" w:rsidR="00A67F21" w:rsidRPr="00B12FE0" w:rsidRDefault="00A67F21">
            <w:pPr>
              <w:widowControl/>
              <w:jc w:val="center"/>
              <w:textAlignment w:val="center"/>
              <w:rPr>
                <w:color w:val="000000" w:themeColor="text1"/>
                <w:kern w:val="0"/>
                <w:sz w:val="18"/>
                <w:szCs w:val="18"/>
                <w:lang w:bidi="ar"/>
              </w:rPr>
            </w:pPr>
          </w:p>
        </w:tc>
      </w:tr>
      <w:tr w:rsidR="00A67F21" w:rsidRPr="00B12FE0" w14:paraId="574192B2" w14:textId="77777777">
        <w:trPr>
          <w:trHeight w:val="272"/>
          <w:jc w:val="center"/>
        </w:trPr>
        <w:tc>
          <w:tcPr>
            <w:tcW w:w="406" w:type="dxa"/>
            <w:vMerge/>
            <w:noWrap/>
            <w:vAlign w:val="center"/>
          </w:tcPr>
          <w:p w14:paraId="14253C90" w14:textId="77777777" w:rsidR="00A67F21" w:rsidRPr="00B12FE0" w:rsidRDefault="00A67F21">
            <w:pPr>
              <w:jc w:val="center"/>
              <w:rPr>
                <w:color w:val="000000" w:themeColor="text1"/>
                <w:sz w:val="18"/>
                <w:szCs w:val="18"/>
              </w:rPr>
            </w:pPr>
          </w:p>
        </w:tc>
        <w:tc>
          <w:tcPr>
            <w:tcW w:w="1237" w:type="dxa"/>
            <w:vMerge/>
            <w:noWrap/>
            <w:vAlign w:val="center"/>
          </w:tcPr>
          <w:p w14:paraId="7391107D" w14:textId="77777777" w:rsidR="00A67F21" w:rsidRPr="00B12FE0" w:rsidRDefault="00A67F21">
            <w:pPr>
              <w:jc w:val="center"/>
              <w:rPr>
                <w:color w:val="000000" w:themeColor="text1"/>
                <w:sz w:val="18"/>
                <w:szCs w:val="18"/>
              </w:rPr>
            </w:pPr>
          </w:p>
        </w:tc>
        <w:tc>
          <w:tcPr>
            <w:tcW w:w="3030" w:type="dxa"/>
            <w:gridSpan w:val="2"/>
            <w:noWrap/>
            <w:vAlign w:val="center"/>
          </w:tcPr>
          <w:p w14:paraId="1F3283BF"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候诊区及其卫生间、空调机房、库房及护士站</w:t>
            </w:r>
          </w:p>
        </w:tc>
        <w:tc>
          <w:tcPr>
            <w:tcW w:w="1040" w:type="dxa"/>
            <w:noWrap/>
            <w:vAlign w:val="center"/>
          </w:tcPr>
          <w:p w14:paraId="6FF5056F"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东侧</w:t>
            </w:r>
          </w:p>
        </w:tc>
        <w:tc>
          <w:tcPr>
            <w:tcW w:w="800" w:type="dxa"/>
            <w:noWrap/>
            <w:vAlign w:val="center"/>
          </w:tcPr>
          <w:p w14:paraId="25DE655E"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紧邻</w:t>
            </w:r>
          </w:p>
        </w:tc>
        <w:tc>
          <w:tcPr>
            <w:tcW w:w="1145" w:type="dxa"/>
            <w:noWrap/>
            <w:vAlign w:val="center"/>
          </w:tcPr>
          <w:p w14:paraId="5FE38C4E"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流动人口</w:t>
            </w:r>
          </w:p>
        </w:tc>
        <w:tc>
          <w:tcPr>
            <w:tcW w:w="1368" w:type="dxa"/>
            <w:vMerge w:val="restart"/>
            <w:noWrap/>
            <w:vAlign w:val="center"/>
          </w:tcPr>
          <w:p w14:paraId="378A7F4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公众</w:t>
            </w:r>
          </w:p>
        </w:tc>
      </w:tr>
      <w:tr w:rsidR="00A67F21" w:rsidRPr="00B12FE0" w14:paraId="70AC83E9" w14:textId="77777777">
        <w:trPr>
          <w:trHeight w:val="272"/>
          <w:jc w:val="center"/>
        </w:trPr>
        <w:tc>
          <w:tcPr>
            <w:tcW w:w="406" w:type="dxa"/>
            <w:vMerge/>
            <w:noWrap/>
            <w:vAlign w:val="center"/>
          </w:tcPr>
          <w:p w14:paraId="09A59095" w14:textId="77777777" w:rsidR="00A67F21" w:rsidRPr="00B12FE0" w:rsidRDefault="00A67F21">
            <w:pPr>
              <w:jc w:val="center"/>
              <w:rPr>
                <w:color w:val="000000" w:themeColor="text1"/>
                <w:sz w:val="18"/>
                <w:szCs w:val="18"/>
              </w:rPr>
            </w:pPr>
          </w:p>
        </w:tc>
        <w:tc>
          <w:tcPr>
            <w:tcW w:w="1237" w:type="dxa"/>
            <w:vMerge/>
            <w:noWrap/>
            <w:vAlign w:val="center"/>
          </w:tcPr>
          <w:p w14:paraId="2FA85668" w14:textId="77777777" w:rsidR="00A67F21" w:rsidRPr="00B12FE0" w:rsidRDefault="00A67F21">
            <w:pPr>
              <w:jc w:val="center"/>
              <w:rPr>
                <w:color w:val="000000" w:themeColor="text1"/>
                <w:sz w:val="18"/>
                <w:szCs w:val="18"/>
              </w:rPr>
            </w:pPr>
          </w:p>
        </w:tc>
        <w:tc>
          <w:tcPr>
            <w:tcW w:w="3030" w:type="dxa"/>
            <w:gridSpan w:val="2"/>
            <w:noWrap/>
            <w:vAlign w:val="center"/>
          </w:tcPr>
          <w:p w14:paraId="6807A90C"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空</w:t>
            </w:r>
            <w:r w:rsidRPr="00B12FE0">
              <w:rPr>
                <w:color w:val="000000" w:themeColor="text1"/>
                <w:kern w:val="0"/>
                <w:sz w:val="18"/>
                <w:szCs w:val="18"/>
                <w:lang w:bidi="ar"/>
              </w:rPr>
              <w:t>调机房</w:t>
            </w:r>
          </w:p>
        </w:tc>
        <w:tc>
          <w:tcPr>
            <w:tcW w:w="1040" w:type="dxa"/>
            <w:noWrap/>
            <w:vAlign w:val="center"/>
          </w:tcPr>
          <w:p w14:paraId="08ED2653"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color w:val="000000" w:themeColor="text1"/>
                <w:kern w:val="0"/>
                <w:sz w:val="18"/>
                <w:szCs w:val="18"/>
                <w:lang w:bidi="ar"/>
              </w:rPr>
              <w:t>北侧</w:t>
            </w:r>
          </w:p>
        </w:tc>
        <w:tc>
          <w:tcPr>
            <w:tcW w:w="800" w:type="dxa"/>
            <w:noWrap/>
            <w:vAlign w:val="center"/>
          </w:tcPr>
          <w:p w14:paraId="0CE40663"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紧邻</w:t>
            </w:r>
          </w:p>
        </w:tc>
        <w:tc>
          <w:tcPr>
            <w:tcW w:w="1145" w:type="dxa"/>
            <w:noWrap/>
            <w:vAlign w:val="center"/>
          </w:tcPr>
          <w:p w14:paraId="22D5BB57"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7C80B4FF" w14:textId="77777777" w:rsidR="00A67F21" w:rsidRPr="00B12FE0" w:rsidRDefault="00A67F21">
            <w:pPr>
              <w:widowControl/>
              <w:jc w:val="center"/>
              <w:textAlignment w:val="center"/>
              <w:rPr>
                <w:color w:val="000000" w:themeColor="text1"/>
                <w:sz w:val="18"/>
                <w:szCs w:val="18"/>
              </w:rPr>
            </w:pPr>
          </w:p>
        </w:tc>
      </w:tr>
      <w:tr w:rsidR="00A67F21" w:rsidRPr="00B12FE0" w14:paraId="7588C4E0" w14:textId="77777777">
        <w:trPr>
          <w:trHeight w:val="272"/>
          <w:jc w:val="center"/>
        </w:trPr>
        <w:tc>
          <w:tcPr>
            <w:tcW w:w="406" w:type="dxa"/>
            <w:vMerge/>
            <w:noWrap/>
            <w:vAlign w:val="center"/>
          </w:tcPr>
          <w:p w14:paraId="254D636E" w14:textId="77777777" w:rsidR="00A67F21" w:rsidRPr="00B12FE0" w:rsidRDefault="00A67F21">
            <w:pPr>
              <w:jc w:val="center"/>
              <w:rPr>
                <w:color w:val="000000" w:themeColor="text1"/>
                <w:sz w:val="18"/>
                <w:szCs w:val="18"/>
              </w:rPr>
            </w:pPr>
          </w:p>
        </w:tc>
        <w:tc>
          <w:tcPr>
            <w:tcW w:w="1237" w:type="dxa"/>
            <w:vMerge/>
            <w:noWrap/>
            <w:vAlign w:val="center"/>
          </w:tcPr>
          <w:p w14:paraId="24EC2816" w14:textId="77777777" w:rsidR="00A67F21" w:rsidRPr="00B12FE0" w:rsidRDefault="00A67F21">
            <w:pPr>
              <w:jc w:val="center"/>
              <w:rPr>
                <w:color w:val="000000" w:themeColor="text1"/>
                <w:sz w:val="18"/>
                <w:szCs w:val="18"/>
              </w:rPr>
            </w:pPr>
          </w:p>
        </w:tc>
        <w:tc>
          <w:tcPr>
            <w:tcW w:w="3030" w:type="dxa"/>
            <w:gridSpan w:val="2"/>
            <w:noWrap/>
            <w:vAlign w:val="center"/>
          </w:tcPr>
          <w:p w14:paraId="12CAA584"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医护走道</w:t>
            </w:r>
          </w:p>
        </w:tc>
        <w:tc>
          <w:tcPr>
            <w:tcW w:w="1040" w:type="dxa"/>
            <w:noWrap/>
            <w:vAlign w:val="center"/>
          </w:tcPr>
          <w:p w14:paraId="033C8469"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color w:val="000000" w:themeColor="text1"/>
                <w:kern w:val="0"/>
                <w:sz w:val="18"/>
                <w:szCs w:val="18"/>
                <w:lang w:bidi="ar"/>
              </w:rPr>
              <w:t>北侧</w:t>
            </w:r>
          </w:p>
        </w:tc>
        <w:tc>
          <w:tcPr>
            <w:tcW w:w="800" w:type="dxa"/>
            <w:noWrap/>
            <w:vAlign w:val="center"/>
          </w:tcPr>
          <w:p w14:paraId="43B06040"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紧邻</w:t>
            </w:r>
          </w:p>
        </w:tc>
        <w:tc>
          <w:tcPr>
            <w:tcW w:w="1145" w:type="dxa"/>
            <w:vMerge w:val="restart"/>
            <w:noWrap/>
            <w:vAlign w:val="center"/>
          </w:tcPr>
          <w:p w14:paraId="60694241"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4</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val="restart"/>
            <w:noWrap/>
            <w:vAlign w:val="center"/>
          </w:tcPr>
          <w:p w14:paraId="411FA1A3"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职业</w:t>
            </w:r>
          </w:p>
        </w:tc>
      </w:tr>
      <w:tr w:rsidR="00A67F21" w:rsidRPr="00B12FE0" w14:paraId="206A8129" w14:textId="77777777">
        <w:trPr>
          <w:trHeight w:val="272"/>
          <w:jc w:val="center"/>
        </w:trPr>
        <w:tc>
          <w:tcPr>
            <w:tcW w:w="406" w:type="dxa"/>
            <w:vMerge/>
            <w:noWrap/>
            <w:vAlign w:val="center"/>
          </w:tcPr>
          <w:p w14:paraId="1AF5BD56" w14:textId="77777777" w:rsidR="00A67F21" w:rsidRPr="00B12FE0" w:rsidRDefault="00A67F21">
            <w:pPr>
              <w:jc w:val="center"/>
              <w:rPr>
                <w:color w:val="000000" w:themeColor="text1"/>
                <w:sz w:val="18"/>
                <w:szCs w:val="18"/>
              </w:rPr>
            </w:pPr>
          </w:p>
        </w:tc>
        <w:tc>
          <w:tcPr>
            <w:tcW w:w="1237" w:type="dxa"/>
            <w:vMerge/>
            <w:noWrap/>
            <w:vAlign w:val="center"/>
          </w:tcPr>
          <w:p w14:paraId="606D5EBD" w14:textId="77777777" w:rsidR="00A67F21" w:rsidRPr="00B12FE0" w:rsidRDefault="00A67F21">
            <w:pPr>
              <w:jc w:val="center"/>
              <w:rPr>
                <w:color w:val="000000" w:themeColor="text1"/>
                <w:sz w:val="18"/>
                <w:szCs w:val="18"/>
              </w:rPr>
            </w:pPr>
          </w:p>
        </w:tc>
        <w:tc>
          <w:tcPr>
            <w:tcW w:w="3030" w:type="dxa"/>
            <w:gridSpan w:val="2"/>
            <w:noWrap/>
            <w:vAlign w:val="center"/>
          </w:tcPr>
          <w:p w14:paraId="5ED851F9"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净化机房、医生办公室、值班室</w:t>
            </w:r>
            <w:r w:rsidRPr="00B12FE0">
              <w:rPr>
                <w:rFonts w:hint="eastAsia"/>
                <w:color w:val="000000" w:themeColor="text1"/>
                <w:kern w:val="0"/>
                <w:sz w:val="18"/>
                <w:szCs w:val="18"/>
                <w:lang w:bidi="ar"/>
              </w:rPr>
              <w:t>等</w:t>
            </w:r>
          </w:p>
        </w:tc>
        <w:tc>
          <w:tcPr>
            <w:tcW w:w="1040" w:type="dxa"/>
            <w:noWrap/>
            <w:vAlign w:val="center"/>
          </w:tcPr>
          <w:p w14:paraId="2BCDAB14"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北侧</w:t>
            </w:r>
          </w:p>
        </w:tc>
        <w:tc>
          <w:tcPr>
            <w:tcW w:w="800" w:type="dxa"/>
            <w:noWrap/>
            <w:vAlign w:val="center"/>
          </w:tcPr>
          <w:p w14:paraId="0C28EE2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2</w:t>
            </w:r>
          </w:p>
        </w:tc>
        <w:tc>
          <w:tcPr>
            <w:tcW w:w="1145" w:type="dxa"/>
            <w:vMerge/>
            <w:noWrap/>
            <w:vAlign w:val="center"/>
          </w:tcPr>
          <w:p w14:paraId="1944A6AF" w14:textId="77777777" w:rsidR="00A67F21" w:rsidRPr="00B12FE0" w:rsidRDefault="00A67F21">
            <w:pPr>
              <w:jc w:val="center"/>
              <w:rPr>
                <w:color w:val="000000" w:themeColor="text1"/>
                <w:sz w:val="18"/>
                <w:szCs w:val="18"/>
              </w:rPr>
            </w:pPr>
          </w:p>
        </w:tc>
        <w:tc>
          <w:tcPr>
            <w:tcW w:w="1368" w:type="dxa"/>
            <w:vMerge/>
            <w:noWrap/>
            <w:vAlign w:val="center"/>
          </w:tcPr>
          <w:p w14:paraId="79BB459D" w14:textId="77777777" w:rsidR="00A67F21" w:rsidRPr="00B12FE0" w:rsidRDefault="00A67F21">
            <w:pPr>
              <w:jc w:val="center"/>
              <w:textAlignment w:val="center"/>
              <w:rPr>
                <w:color w:val="000000" w:themeColor="text1"/>
                <w:sz w:val="18"/>
                <w:szCs w:val="18"/>
              </w:rPr>
            </w:pPr>
          </w:p>
        </w:tc>
      </w:tr>
      <w:tr w:rsidR="00A67F21" w:rsidRPr="00B12FE0" w14:paraId="0D082DFC" w14:textId="77777777">
        <w:trPr>
          <w:trHeight w:val="272"/>
          <w:jc w:val="center"/>
        </w:trPr>
        <w:tc>
          <w:tcPr>
            <w:tcW w:w="406" w:type="dxa"/>
            <w:vMerge/>
            <w:noWrap/>
            <w:vAlign w:val="center"/>
          </w:tcPr>
          <w:p w14:paraId="30E9D5BE" w14:textId="77777777" w:rsidR="00A67F21" w:rsidRPr="00B12FE0" w:rsidRDefault="00A67F21">
            <w:pPr>
              <w:jc w:val="center"/>
              <w:rPr>
                <w:color w:val="000000" w:themeColor="text1"/>
                <w:sz w:val="18"/>
                <w:szCs w:val="18"/>
              </w:rPr>
            </w:pPr>
          </w:p>
        </w:tc>
        <w:tc>
          <w:tcPr>
            <w:tcW w:w="1237" w:type="dxa"/>
            <w:vMerge/>
            <w:noWrap/>
            <w:vAlign w:val="center"/>
          </w:tcPr>
          <w:p w14:paraId="15B99751" w14:textId="77777777" w:rsidR="00A67F21" w:rsidRPr="00B12FE0" w:rsidRDefault="00A67F21">
            <w:pPr>
              <w:jc w:val="center"/>
              <w:rPr>
                <w:color w:val="000000" w:themeColor="text1"/>
                <w:sz w:val="18"/>
                <w:szCs w:val="18"/>
              </w:rPr>
            </w:pPr>
          </w:p>
        </w:tc>
        <w:tc>
          <w:tcPr>
            <w:tcW w:w="3030" w:type="dxa"/>
            <w:gridSpan w:val="2"/>
            <w:noWrap/>
            <w:vAlign w:val="center"/>
          </w:tcPr>
          <w:p w14:paraId="0BEEC83C"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核素诊断场所</w:t>
            </w:r>
            <w:r w:rsidRPr="00B12FE0">
              <w:rPr>
                <w:color w:val="000000" w:themeColor="text1"/>
                <w:kern w:val="0"/>
                <w:sz w:val="18"/>
                <w:szCs w:val="18"/>
                <w:lang w:bidi="ar"/>
              </w:rPr>
              <w:t>以及核医学科办公室、值班室</w:t>
            </w:r>
            <w:r w:rsidRPr="00B12FE0">
              <w:rPr>
                <w:rFonts w:hint="eastAsia"/>
                <w:color w:val="000000" w:themeColor="text1"/>
                <w:kern w:val="0"/>
                <w:sz w:val="18"/>
                <w:szCs w:val="18"/>
                <w:vertAlign w:val="superscript"/>
                <w:lang w:bidi="ar"/>
              </w:rPr>
              <w:t>②</w:t>
            </w:r>
          </w:p>
        </w:tc>
        <w:tc>
          <w:tcPr>
            <w:tcW w:w="1040" w:type="dxa"/>
            <w:noWrap/>
            <w:vAlign w:val="center"/>
          </w:tcPr>
          <w:p w14:paraId="6284560D"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color w:val="000000" w:themeColor="text1"/>
                <w:kern w:val="0"/>
                <w:sz w:val="18"/>
                <w:szCs w:val="18"/>
                <w:lang w:bidi="ar"/>
              </w:rPr>
              <w:t>下方</w:t>
            </w:r>
          </w:p>
        </w:tc>
        <w:tc>
          <w:tcPr>
            <w:tcW w:w="800" w:type="dxa"/>
            <w:noWrap/>
            <w:vAlign w:val="center"/>
          </w:tcPr>
          <w:p w14:paraId="09E609A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4.5</w:t>
            </w:r>
          </w:p>
        </w:tc>
        <w:tc>
          <w:tcPr>
            <w:tcW w:w="1145" w:type="dxa"/>
            <w:noWrap/>
            <w:vAlign w:val="center"/>
          </w:tcPr>
          <w:p w14:paraId="590D8989"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24</w:t>
            </w:r>
            <w:r w:rsidRPr="00B12FE0">
              <w:rPr>
                <w:rFonts w:hint="eastAsia"/>
                <w:color w:val="000000" w:themeColor="text1"/>
                <w:sz w:val="18"/>
                <w:szCs w:val="18"/>
              </w:rPr>
              <w:t>人</w:t>
            </w:r>
          </w:p>
        </w:tc>
        <w:tc>
          <w:tcPr>
            <w:tcW w:w="1368" w:type="dxa"/>
            <w:vMerge/>
            <w:noWrap/>
            <w:vAlign w:val="center"/>
          </w:tcPr>
          <w:p w14:paraId="7762313F" w14:textId="77777777" w:rsidR="00A67F21" w:rsidRPr="00B12FE0" w:rsidRDefault="00A67F21">
            <w:pPr>
              <w:widowControl/>
              <w:jc w:val="center"/>
              <w:textAlignment w:val="center"/>
              <w:rPr>
                <w:color w:val="000000" w:themeColor="text1"/>
                <w:sz w:val="18"/>
                <w:szCs w:val="18"/>
              </w:rPr>
            </w:pPr>
          </w:p>
        </w:tc>
      </w:tr>
      <w:tr w:rsidR="00A67F21" w:rsidRPr="00B12FE0" w14:paraId="6BDDA43F" w14:textId="77777777">
        <w:trPr>
          <w:trHeight w:val="272"/>
          <w:jc w:val="center"/>
        </w:trPr>
        <w:tc>
          <w:tcPr>
            <w:tcW w:w="406" w:type="dxa"/>
            <w:vMerge w:val="restart"/>
            <w:noWrap/>
            <w:vAlign w:val="center"/>
          </w:tcPr>
          <w:p w14:paraId="0DD8C5D6"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放疗科</w:t>
            </w:r>
          </w:p>
        </w:tc>
        <w:tc>
          <w:tcPr>
            <w:tcW w:w="1237" w:type="dxa"/>
            <w:vMerge w:val="restart"/>
            <w:noWrap/>
            <w:vAlign w:val="center"/>
          </w:tcPr>
          <w:p w14:paraId="502A5970"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直线加速器机房</w:t>
            </w:r>
          </w:p>
        </w:tc>
        <w:tc>
          <w:tcPr>
            <w:tcW w:w="3030" w:type="dxa"/>
            <w:gridSpan w:val="2"/>
            <w:noWrap/>
            <w:vAlign w:val="center"/>
          </w:tcPr>
          <w:p w14:paraId="03B60E75"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机房内</w:t>
            </w:r>
          </w:p>
        </w:tc>
        <w:tc>
          <w:tcPr>
            <w:tcW w:w="1040" w:type="dxa"/>
            <w:noWrap/>
            <w:vAlign w:val="center"/>
          </w:tcPr>
          <w:p w14:paraId="7A556023"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color w:val="000000" w:themeColor="text1"/>
                <w:kern w:val="0"/>
                <w:sz w:val="18"/>
                <w:szCs w:val="18"/>
                <w:lang w:bidi="ar"/>
              </w:rPr>
              <w:t>场所内</w:t>
            </w:r>
          </w:p>
        </w:tc>
        <w:tc>
          <w:tcPr>
            <w:tcW w:w="800" w:type="dxa"/>
            <w:noWrap/>
            <w:vAlign w:val="center"/>
          </w:tcPr>
          <w:p w14:paraId="3856236A"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w:t>
            </w:r>
          </w:p>
        </w:tc>
        <w:tc>
          <w:tcPr>
            <w:tcW w:w="1145" w:type="dxa"/>
            <w:vMerge w:val="restart"/>
            <w:noWrap/>
            <w:vAlign w:val="center"/>
          </w:tcPr>
          <w:p w14:paraId="5B99675B"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16</w:t>
            </w:r>
            <w:r w:rsidRPr="00B12FE0">
              <w:rPr>
                <w:rFonts w:hint="eastAsia"/>
                <w:color w:val="000000" w:themeColor="text1"/>
                <w:sz w:val="18"/>
                <w:szCs w:val="18"/>
              </w:rPr>
              <w:t>人</w:t>
            </w:r>
          </w:p>
        </w:tc>
        <w:tc>
          <w:tcPr>
            <w:tcW w:w="1368" w:type="dxa"/>
            <w:vMerge w:val="restart"/>
            <w:noWrap/>
            <w:vAlign w:val="center"/>
          </w:tcPr>
          <w:p w14:paraId="271F03B3"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职业</w:t>
            </w:r>
          </w:p>
        </w:tc>
      </w:tr>
      <w:tr w:rsidR="00A67F21" w:rsidRPr="00B12FE0" w14:paraId="40132319" w14:textId="77777777">
        <w:trPr>
          <w:trHeight w:val="272"/>
          <w:jc w:val="center"/>
        </w:trPr>
        <w:tc>
          <w:tcPr>
            <w:tcW w:w="406" w:type="dxa"/>
            <w:vMerge/>
            <w:noWrap/>
            <w:vAlign w:val="center"/>
          </w:tcPr>
          <w:p w14:paraId="30F2E3E6" w14:textId="77777777" w:rsidR="00A67F21" w:rsidRPr="00B12FE0" w:rsidRDefault="00A67F21">
            <w:pPr>
              <w:jc w:val="center"/>
              <w:rPr>
                <w:color w:val="000000" w:themeColor="text1"/>
                <w:sz w:val="18"/>
                <w:szCs w:val="18"/>
              </w:rPr>
            </w:pPr>
          </w:p>
        </w:tc>
        <w:tc>
          <w:tcPr>
            <w:tcW w:w="1237" w:type="dxa"/>
            <w:vMerge/>
            <w:noWrap/>
            <w:vAlign w:val="center"/>
          </w:tcPr>
          <w:p w14:paraId="711DAE51" w14:textId="77777777" w:rsidR="00A67F21" w:rsidRPr="00B12FE0" w:rsidRDefault="00A67F21">
            <w:pPr>
              <w:jc w:val="center"/>
              <w:rPr>
                <w:color w:val="000000" w:themeColor="text1"/>
                <w:sz w:val="18"/>
                <w:szCs w:val="18"/>
              </w:rPr>
            </w:pPr>
          </w:p>
        </w:tc>
        <w:tc>
          <w:tcPr>
            <w:tcW w:w="3030" w:type="dxa"/>
            <w:gridSpan w:val="2"/>
            <w:noWrap/>
            <w:vAlign w:val="center"/>
          </w:tcPr>
          <w:p w14:paraId="1AB5495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控制室</w:t>
            </w:r>
          </w:p>
        </w:tc>
        <w:tc>
          <w:tcPr>
            <w:tcW w:w="1040" w:type="dxa"/>
            <w:noWrap/>
            <w:vAlign w:val="center"/>
          </w:tcPr>
          <w:p w14:paraId="37CC8360"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3BD8C6C1"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紧邻</w:t>
            </w:r>
          </w:p>
        </w:tc>
        <w:tc>
          <w:tcPr>
            <w:tcW w:w="1145" w:type="dxa"/>
            <w:vMerge/>
            <w:noWrap/>
            <w:vAlign w:val="center"/>
          </w:tcPr>
          <w:p w14:paraId="064D9B88" w14:textId="77777777" w:rsidR="00A67F21" w:rsidRPr="00B12FE0" w:rsidRDefault="00A67F21">
            <w:pPr>
              <w:jc w:val="center"/>
              <w:rPr>
                <w:color w:val="000000" w:themeColor="text1"/>
                <w:sz w:val="18"/>
                <w:szCs w:val="18"/>
              </w:rPr>
            </w:pPr>
          </w:p>
        </w:tc>
        <w:tc>
          <w:tcPr>
            <w:tcW w:w="1368" w:type="dxa"/>
            <w:vMerge/>
            <w:noWrap/>
            <w:vAlign w:val="center"/>
          </w:tcPr>
          <w:p w14:paraId="6A545378" w14:textId="77777777" w:rsidR="00A67F21" w:rsidRPr="00B12FE0" w:rsidRDefault="00A67F21">
            <w:pPr>
              <w:widowControl/>
              <w:jc w:val="center"/>
              <w:textAlignment w:val="center"/>
              <w:rPr>
                <w:color w:val="000000" w:themeColor="text1"/>
                <w:sz w:val="18"/>
                <w:szCs w:val="18"/>
              </w:rPr>
            </w:pPr>
          </w:p>
        </w:tc>
      </w:tr>
      <w:tr w:rsidR="00A67F21" w:rsidRPr="00B12FE0" w14:paraId="0DCF5DEA" w14:textId="77777777">
        <w:trPr>
          <w:trHeight w:val="272"/>
          <w:jc w:val="center"/>
        </w:trPr>
        <w:tc>
          <w:tcPr>
            <w:tcW w:w="406" w:type="dxa"/>
            <w:vMerge/>
            <w:noWrap/>
            <w:vAlign w:val="center"/>
          </w:tcPr>
          <w:p w14:paraId="39363D44" w14:textId="77777777" w:rsidR="00A67F21" w:rsidRPr="00B12FE0" w:rsidRDefault="00A67F21">
            <w:pPr>
              <w:jc w:val="center"/>
              <w:rPr>
                <w:color w:val="000000" w:themeColor="text1"/>
                <w:sz w:val="18"/>
                <w:szCs w:val="18"/>
              </w:rPr>
            </w:pPr>
          </w:p>
        </w:tc>
        <w:tc>
          <w:tcPr>
            <w:tcW w:w="1237" w:type="dxa"/>
            <w:vMerge/>
            <w:noWrap/>
            <w:vAlign w:val="center"/>
          </w:tcPr>
          <w:p w14:paraId="70D9229B" w14:textId="77777777" w:rsidR="00A67F21" w:rsidRPr="00B12FE0" w:rsidRDefault="00A67F21">
            <w:pPr>
              <w:jc w:val="center"/>
              <w:rPr>
                <w:color w:val="000000" w:themeColor="text1"/>
                <w:sz w:val="18"/>
                <w:szCs w:val="18"/>
              </w:rPr>
            </w:pPr>
          </w:p>
        </w:tc>
        <w:tc>
          <w:tcPr>
            <w:tcW w:w="3030" w:type="dxa"/>
            <w:gridSpan w:val="2"/>
            <w:noWrap/>
            <w:vAlign w:val="center"/>
          </w:tcPr>
          <w:p w14:paraId="55118A65"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后装机机房及其控制室</w:t>
            </w:r>
          </w:p>
        </w:tc>
        <w:tc>
          <w:tcPr>
            <w:tcW w:w="1040" w:type="dxa"/>
            <w:noWrap/>
            <w:vAlign w:val="center"/>
          </w:tcPr>
          <w:p w14:paraId="1CF728B9"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东侧</w:t>
            </w:r>
          </w:p>
        </w:tc>
        <w:tc>
          <w:tcPr>
            <w:tcW w:w="800" w:type="dxa"/>
            <w:noWrap/>
            <w:vAlign w:val="center"/>
          </w:tcPr>
          <w:p w14:paraId="50E2077D"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紧邻</w:t>
            </w:r>
          </w:p>
        </w:tc>
        <w:tc>
          <w:tcPr>
            <w:tcW w:w="1145" w:type="dxa"/>
            <w:noWrap/>
            <w:vAlign w:val="center"/>
          </w:tcPr>
          <w:p w14:paraId="0A462ECA"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8</w:t>
            </w:r>
            <w:r w:rsidRPr="00B12FE0">
              <w:rPr>
                <w:rFonts w:hint="eastAsia"/>
                <w:color w:val="000000" w:themeColor="text1"/>
                <w:sz w:val="18"/>
                <w:szCs w:val="18"/>
              </w:rPr>
              <w:t>人</w:t>
            </w:r>
          </w:p>
        </w:tc>
        <w:tc>
          <w:tcPr>
            <w:tcW w:w="1368" w:type="dxa"/>
            <w:vMerge/>
            <w:noWrap/>
            <w:vAlign w:val="center"/>
          </w:tcPr>
          <w:p w14:paraId="417DAFD5" w14:textId="77777777" w:rsidR="00A67F21" w:rsidRPr="00B12FE0" w:rsidRDefault="00A67F21">
            <w:pPr>
              <w:widowControl/>
              <w:jc w:val="center"/>
              <w:textAlignment w:val="center"/>
              <w:rPr>
                <w:color w:val="000000" w:themeColor="text1"/>
                <w:sz w:val="18"/>
                <w:szCs w:val="18"/>
              </w:rPr>
            </w:pPr>
          </w:p>
        </w:tc>
      </w:tr>
      <w:tr w:rsidR="00A67F21" w:rsidRPr="00B12FE0" w14:paraId="3EECB847" w14:textId="77777777">
        <w:trPr>
          <w:trHeight w:val="272"/>
          <w:jc w:val="center"/>
        </w:trPr>
        <w:tc>
          <w:tcPr>
            <w:tcW w:w="406" w:type="dxa"/>
            <w:vMerge/>
            <w:noWrap/>
            <w:vAlign w:val="center"/>
          </w:tcPr>
          <w:p w14:paraId="6752A42F" w14:textId="77777777" w:rsidR="00A67F21" w:rsidRPr="00B12FE0" w:rsidRDefault="00A67F21">
            <w:pPr>
              <w:jc w:val="center"/>
              <w:rPr>
                <w:color w:val="000000" w:themeColor="text1"/>
                <w:sz w:val="18"/>
                <w:szCs w:val="18"/>
              </w:rPr>
            </w:pPr>
          </w:p>
        </w:tc>
        <w:tc>
          <w:tcPr>
            <w:tcW w:w="1237" w:type="dxa"/>
            <w:vMerge/>
            <w:noWrap/>
            <w:vAlign w:val="center"/>
          </w:tcPr>
          <w:p w14:paraId="68719888" w14:textId="77777777" w:rsidR="00A67F21" w:rsidRPr="00B12FE0" w:rsidRDefault="00A67F21">
            <w:pPr>
              <w:jc w:val="center"/>
              <w:rPr>
                <w:color w:val="000000" w:themeColor="text1"/>
                <w:sz w:val="18"/>
                <w:szCs w:val="18"/>
              </w:rPr>
            </w:pPr>
          </w:p>
        </w:tc>
        <w:tc>
          <w:tcPr>
            <w:tcW w:w="3030" w:type="dxa"/>
            <w:gridSpan w:val="2"/>
            <w:noWrap/>
            <w:vAlign w:val="center"/>
          </w:tcPr>
          <w:p w14:paraId="68F5841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二次等候区</w:t>
            </w:r>
          </w:p>
        </w:tc>
        <w:tc>
          <w:tcPr>
            <w:tcW w:w="1040" w:type="dxa"/>
            <w:noWrap/>
            <w:vAlign w:val="center"/>
          </w:tcPr>
          <w:p w14:paraId="2DD9CC76"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17859DB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4.3</w:t>
            </w:r>
          </w:p>
        </w:tc>
        <w:tc>
          <w:tcPr>
            <w:tcW w:w="1145" w:type="dxa"/>
            <w:noWrap/>
            <w:vAlign w:val="center"/>
          </w:tcPr>
          <w:p w14:paraId="7C013173"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流动人口</w:t>
            </w:r>
          </w:p>
        </w:tc>
        <w:tc>
          <w:tcPr>
            <w:tcW w:w="1368" w:type="dxa"/>
            <w:vMerge w:val="restart"/>
            <w:noWrap/>
            <w:vAlign w:val="center"/>
          </w:tcPr>
          <w:p w14:paraId="54D3082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公众</w:t>
            </w:r>
          </w:p>
        </w:tc>
      </w:tr>
      <w:tr w:rsidR="00A67F21" w:rsidRPr="00B12FE0" w14:paraId="5E15F601" w14:textId="77777777">
        <w:trPr>
          <w:trHeight w:val="272"/>
          <w:jc w:val="center"/>
        </w:trPr>
        <w:tc>
          <w:tcPr>
            <w:tcW w:w="406" w:type="dxa"/>
            <w:vMerge/>
            <w:noWrap/>
            <w:vAlign w:val="center"/>
          </w:tcPr>
          <w:p w14:paraId="1A665C27" w14:textId="77777777" w:rsidR="00A67F21" w:rsidRPr="00B12FE0" w:rsidRDefault="00A67F21">
            <w:pPr>
              <w:jc w:val="center"/>
              <w:rPr>
                <w:color w:val="000000" w:themeColor="text1"/>
                <w:sz w:val="18"/>
                <w:szCs w:val="18"/>
              </w:rPr>
            </w:pPr>
          </w:p>
        </w:tc>
        <w:tc>
          <w:tcPr>
            <w:tcW w:w="1237" w:type="dxa"/>
            <w:vMerge/>
            <w:noWrap/>
            <w:vAlign w:val="center"/>
          </w:tcPr>
          <w:p w14:paraId="63EA0E45" w14:textId="77777777" w:rsidR="00A67F21" w:rsidRPr="00B12FE0" w:rsidRDefault="00A67F21">
            <w:pPr>
              <w:jc w:val="center"/>
              <w:rPr>
                <w:color w:val="000000" w:themeColor="text1"/>
                <w:sz w:val="18"/>
                <w:szCs w:val="18"/>
              </w:rPr>
            </w:pPr>
          </w:p>
        </w:tc>
        <w:tc>
          <w:tcPr>
            <w:tcW w:w="3030" w:type="dxa"/>
            <w:gridSpan w:val="2"/>
            <w:noWrap/>
            <w:vAlign w:val="center"/>
          </w:tcPr>
          <w:p w14:paraId="25325F8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放疗科其他机房及配套用房</w:t>
            </w:r>
          </w:p>
        </w:tc>
        <w:tc>
          <w:tcPr>
            <w:tcW w:w="1040" w:type="dxa"/>
            <w:noWrap/>
            <w:vAlign w:val="center"/>
          </w:tcPr>
          <w:p w14:paraId="1888B968"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503D970F"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11</w:t>
            </w:r>
          </w:p>
        </w:tc>
        <w:tc>
          <w:tcPr>
            <w:tcW w:w="1145" w:type="dxa"/>
            <w:noWrap/>
            <w:vAlign w:val="center"/>
          </w:tcPr>
          <w:p w14:paraId="65D8F0D7"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流动人口</w:t>
            </w:r>
          </w:p>
        </w:tc>
        <w:tc>
          <w:tcPr>
            <w:tcW w:w="1368" w:type="dxa"/>
            <w:vMerge/>
            <w:noWrap/>
            <w:vAlign w:val="center"/>
          </w:tcPr>
          <w:p w14:paraId="4E9C5281" w14:textId="77777777" w:rsidR="00A67F21" w:rsidRPr="00B12FE0" w:rsidRDefault="00A67F21">
            <w:pPr>
              <w:widowControl/>
              <w:jc w:val="center"/>
              <w:textAlignment w:val="center"/>
              <w:rPr>
                <w:color w:val="000000" w:themeColor="text1"/>
                <w:sz w:val="18"/>
                <w:szCs w:val="18"/>
              </w:rPr>
            </w:pPr>
          </w:p>
        </w:tc>
      </w:tr>
      <w:tr w:rsidR="00A67F21" w:rsidRPr="00B12FE0" w14:paraId="7937BCE7" w14:textId="77777777">
        <w:trPr>
          <w:trHeight w:val="272"/>
          <w:jc w:val="center"/>
        </w:trPr>
        <w:tc>
          <w:tcPr>
            <w:tcW w:w="406" w:type="dxa"/>
            <w:vMerge/>
            <w:noWrap/>
            <w:vAlign w:val="center"/>
          </w:tcPr>
          <w:p w14:paraId="0B8B67B9" w14:textId="77777777" w:rsidR="00A67F21" w:rsidRPr="00B12FE0" w:rsidRDefault="00A67F21">
            <w:pPr>
              <w:jc w:val="center"/>
              <w:rPr>
                <w:color w:val="000000" w:themeColor="text1"/>
                <w:sz w:val="18"/>
                <w:szCs w:val="18"/>
              </w:rPr>
            </w:pPr>
          </w:p>
        </w:tc>
        <w:tc>
          <w:tcPr>
            <w:tcW w:w="1237" w:type="dxa"/>
            <w:vMerge/>
            <w:noWrap/>
            <w:vAlign w:val="center"/>
          </w:tcPr>
          <w:p w14:paraId="7E16D222" w14:textId="77777777" w:rsidR="00A67F21" w:rsidRPr="00B12FE0" w:rsidRDefault="00A67F21">
            <w:pPr>
              <w:jc w:val="center"/>
              <w:rPr>
                <w:color w:val="000000" w:themeColor="text1"/>
                <w:sz w:val="18"/>
                <w:szCs w:val="18"/>
              </w:rPr>
            </w:pPr>
          </w:p>
        </w:tc>
        <w:tc>
          <w:tcPr>
            <w:tcW w:w="3030" w:type="dxa"/>
            <w:gridSpan w:val="2"/>
            <w:noWrap/>
            <w:vAlign w:val="center"/>
          </w:tcPr>
          <w:p w14:paraId="4C886FD1"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核素制备场所</w:t>
            </w:r>
          </w:p>
        </w:tc>
        <w:tc>
          <w:tcPr>
            <w:tcW w:w="1040" w:type="dxa"/>
            <w:noWrap/>
            <w:vAlign w:val="center"/>
          </w:tcPr>
          <w:p w14:paraId="29367C5E"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2A4DFB04"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32</w:t>
            </w:r>
          </w:p>
        </w:tc>
        <w:tc>
          <w:tcPr>
            <w:tcW w:w="1145" w:type="dxa"/>
            <w:noWrap/>
            <w:vAlign w:val="center"/>
          </w:tcPr>
          <w:p w14:paraId="0CA38C44"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4</w:t>
            </w:r>
            <w:r w:rsidRPr="00B12FE0">
              <w:rPr>
                <w:rFonts w:hint="eastAsia"/>
                <w:color w:val="000000" w:themeColor="text1"/>
                <w:sz w:val="18"/>
                <w:szCs w:val="18"/>
              </w:rPr>
              <w:t>人</w:t>
            </w:r>
          </w:p>
        </w:tc>
        <w:tc>
          <w:tcPr>
            <w:tcW w:w="1368" w:type="dxa"/>
            <w:noWrap/>
            <w:vAlign w:val="center"/>
          </w:tcPr>
          <w:p w14:paraId="7948CEF0"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职业</w:t>
            </w:r>
          </w:p>
        </w:tc>
      </w:tr>
      <w:tr w:rsidR="00A67F21" w:rsidRPr="00B12FE0" w14:paraId="198241DF" w14:textId="77777777">
        <w:trPr>
          <w:trHeight w:val="272"/>
          <w:jc w:val="center"/>
        </w:trPr>
        <w:tc>
          <w:tcPr>
            <w:tcW w:w="406" w:type="dxa"/>
            <w:vMerge/>
            <w:noWrap/>
            <w:vAlign w:val="center"/>
          </w:tcPr>
          <w:p w14:paraId="6A56E386" w14:textId="77777777" w:rsidR="00A67F21" w:rsidRPr="00B12FE0" w:rsidRDefault="00A67F21">
            <w:pPr>
              <w:jc w:val="center"/>
              <w:rPr>
                <w:color w:val="000000" w:themeColor="text1"/>
                <w:sz w:val="18"/>
                <w:szCs w:val="18"/>
              </w:rPr>
            </w:pPr>
          </w:p>
        </w:tc>
        <w:tc>
          <w:tcPr>
            <w:tcW w:w="1237" w:type="dxa"/>
            <w:vMerge/>
            <w:noWrap/>
            <w:vAlign w:val="center"/>
          </w:tcPr>
          <w:p w14:paraId="22638464" w14:textId="77777777" w:rsidR="00A67F21" w:rsidRPr="00B12FE0" w:rsidRDefault="00A67F21">
            <w:pPr>
              <w:jc w:val="center"/>
              <w:rPr>
                <w:color w:val="000000" w:themeColor="text1"/>
                <w:sz w:val="18"/>
                <w:szCs w:val="18"/>
              </w:rPr>
            </w:pPr>
          </w:p>
        </w:tc>
        <w:tc>
          <w:tcPr>
            <w:tcW w:w="3030" w:type="dxa"/>
            <w:gridSpan w:val="2"/>
            <w:noWrap/>
            <w:vAlign w:val="center"/>
          </w:tcPr>
          <w:p w14:paraId="5EDABBB4"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院内道路及绿化</w:t>
            </w:r>
          </w:p>
        </w:tc>
        <w:tc>
          <w:tcPr>
            <w:tcW w:w="1040" w:type="dxa"/>
            <w:noWrap/>
            <w:vAlign w:val="center"/>
          </w:tcPr>
          <w:p w14:paraId="085FDE42"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西侧</w:t>
            </w:r>
          </w:p>
        </w:tc>
        <w:tc>
          <w:tcPr>
            <w:tcW w:w="800" w:type="dxa"/>
            <w:noWrap/>
            <w:vAlign w:val="center"/>
          </w:tcPr>
          <w:p w14:paraId="60DE32BC"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474D4F4E"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流动人口</w:t>
            </w:r>
          </w:p>
        </w:tc>
        <w:tc>
          <w:tcPr>
            <w:tcW w:w="1368" w:type="dxa"/>
            <w:vMerge w:val="restart"/>
            <w:noWrap/>
            <w:vAlign w:val="center"/>
          </w:tcPr>
          <w:p w14:paraId="7BE84A95"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公众</w:t>
            </w:r>
          </w:p>
        </w:tc>
      </w:tr>
      <w:tr w:rsidR="00A67F21" w:rsidRPr="00B12FE0" w14:paraId="784591AB" w14:textId="77777777">
        <w:trPr>
          <w:trHeight w:val="272"/>
          <w:jc w:val="center"/>
        </w:trPr>
        <w:tc>
          <w:tcPr>
            <w:tcW w:w="406" w:type="dxa"/>
            <w:vMerge/>
            <w:noWrap/>
            <w:vAlign w:val="center"/>
          </w:tcPr>
          <w:p w14:paraId="3525D8B6" w14:textId="77777777" w:rsidR="00A67F21" w:rsidRPr="00B12FE0" w:rsidRDefault="00A67F21">
            <w:pPr>
              <w:jc w:val="center"/>
              <w:rPr>
                <w:color w:val="000000" w:themeColor="text1"/>
                <w:sz w:val="18"/>
                <w:szCs w:val="18"/>
              </w:rPr>
            </w:pPr>
          </w:p>
        </w:tc>
        <w:tc>
          <w:tcPr>
            <w:tcW w:w="1237" w:type="dxa"/>
            <w:vMerge/>
            <w:noWrap/>
            <w:vAlign w:val="center"/>
          </w:tcPr>
          <w:p w14:paraId="07F789A6" w14:textId="77777777" w:rsidR="00A67F21" w:rsidRPr="00B12FE0" w:rsidRDefault="00A67F21">
            <w:pPr>
              <w:jc w:val="center"/>
              <w:rPr>
                <w:color w:val="000000" w:themeColor="text1"/>
                <w:sz w:val="18"/>
                <w:szCs w:val="18"/>
              </w:rPr>
            </w:pPr>
          </w:p>
        </w:tc>
        <w:tc>
          <w:tcPr>
            <w:tcW w:w="3030" w:type="dxa"/>
            <w:gridSpan w:val="2"/>
            <w:noWrap/>
            <w:vAlign w:val="center"/>
          </w:tcPr>
          <w:p w14:paraId="3E685C61"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医院规划道路及医院预留用地</w:t>
            </w:r>
          </w:p>
        </w:tc>
        <w:tc>
          <w:tcPr>
            <w:tcW w:w="1040" w:type="dxa"/>
            <w:noWrap/>
            <w:vAlign w:val="center"/>
          </w:tcPr>
          <w:p w14:paraId="44ACBC1F"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西侧</w:t>
            </w:r>
          </w:p>
        </w:tc>
        <w:tc>
          <w:tcPr>
            <w:tcW w:w="800" w:type="dxa"/>
            <w:noWrap/>
            <w:vAlign w:val="center"/>
          </w:tcPr>
          <w:p w14:paraId="31B9C4A8"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25</w:t>
            </w:r>
          </w:p>
        </w:tc>
        <w:tc>
          <w:tcPr>
            <w:tcW w:w="1145" w:type="dxa"/>
            <w:noWrap/>
            <w:vAlign w:val="center"/>
          </w:tcPr>
          <w:p w14:paraId="3EBA413D"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20</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0A65A3B2" w14:textId="77777777" w:rsidR="00A67F21" w:rsidRPr="00B12FE0" w:rsidRDefault="00A67F21">
            <w:pPr>
              <w:widowControl/>
              <w:jc w:val="center"/>
              <w:textAlignment w:val="center"/>
              <w:rPr>
                <w:color w:val="000000" w:themeColor="text1"/>
                <w:sz w:val="18"/>
                <w:szCs w:val="18"/>
              </w:rPr>
            </w:pPr>
          </w:p>
        </w:tc>
      </w:tr>
      <w:tr w:rsidR="00A67F21" w:rsidRPr="00B12FE0" w14:paraId="39706AFB" w14:textId="77777777">
        <w:trPr>
          <w:trHeight w:val="272"/>
          <w:jc w:val="center"/>
        </w:trPr>
        <w:tc>
          <w:tcPr>
            <w:tcW w:w="406" w:type="dxa"/>
            <w:vMerge/>
            <w:noWrap/>
            <w:vAlign w:val="center"/>
          </w:tcPr>
          <w:p w14:paraId="1FF23B31" w14:textId="77777777" w:rsidR="00A67F21" w:rsidRPr="00B12FE0" w:rsidRDefault="00A67F21">
            <w:pPr>
              <w:jc w:val="center"/>
              <w:rPr>
                <w:color w:val="000000" w:themeColor="text1"/>
                <w:sz w:val="18"/>
                <w:szCs w:val="18"/>
              </w:rPr>
            </w:pPr>
          </w:p>
        </w:tc>
        <w:tc>
          <w:tcPr>
            <w:tcW w:w="1237" w:type="dxa"/>
            <w:vMerge w:val="restart"/>
            <w:noWrap/>
            <w:vAlign w:val="center"/>
          </w:tcPr>
          <w:p w14:paraId="2AD59A33"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后装机机房</w:t>
            </w:r>
          </w:p>
        </w:tc>
        <w:tc>
          <w:tcPr>
            <w:tcW w:w="3030" w:type="dxa"/>
            <w:gridSpan w:val="2"/>
            <w:noWrap/>
            <w:vAlign w:val="center"/>
          </w:tcPr>
          <w:p w14:paraId="5F89505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机房内</w:t>
            </w:r>
          </w:p>
        </w:tc>
        <w:tc>
          <w:tcPr>
            <w:tcW w:w="1040" w:type="dxa"/>
            <w:noWrap/>
            <w:vAlign w:val="center"/>
          </w:tcPr>
          <w:p w14:paraId="31DD2F0B"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color w:val="000000" w:themeColor="text1"/>
                <w:kern w:val="0"/>
                <w:sz w:val="18"/>
                <w:szCs w:val="18"/>
                <w:lang w:bidi="ar"/>
              </w:rPr>
              <w:t>场所内</w:t>
            </w:r>
          </w:p>
        </w:tc>
        <w:tc>
          <w:tcPr>
            <w:tcW w:w="800" w:type="dxa"/>
            <w:noWrap/>
            <w:vAlign w:val="center"/>
          </w:tcPr>
          <w:p w14:paraId="0D628D5E"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w:t>
            </w:r>
          </w:p>
        </w:tc>
        <w:tc>
          <w:tcPr>
            <w:tcW w:w="1145" w:type="dxa"/>
            <w:vMerge w:val="restart"/>
            <w:noWrap/>
            <w:vAlign w:val="center"/>
          </w:tcPr>
          <w:p w14:paraId="18D616DC"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8</w:t>
            </w:r>
            <w:r w:rsidRPr="00B12FE0">
              <w:rPr>
                <w:rFonts w:hint="eastAsia"/>
                <w:color w:val="000000" w:themeColor="text1"/>
                <w:sz w:val="18"/>
                <w:szCs w:val="18"/>
              </w:rPr>
              <w:t>人</w:t>
            </w:r>
          </w:p>
        </w:tc>
        <w:tc>
          <w:tcPr>
            <w:tcW w:w="1368" w:type="dxa"/>
            <w:vMerge w:val="restart"/>
            <w:noWrap/>
            <w:vAlign w:val="center"/>
          </w:tcPr>
          <w:p w14:paraId="6837A2E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职业</w:t>
            </w:r>
          </w:p>
        </w:tc>
      </w:tr>
      <w:tr w:rsidR="00A67F21" w:rsidRPr="00B12FE0" w14:paraId="78101E1E" w14:textId="77777777">
        <w:trPr>
          <w:trHeight w:val="272"/>
          <w:jc w:val="center"/>
        </w:trPr>
        <w:tc>
          <w:tcPr>
            <w:tcW w:w="406" w:type="dxa"/>
            <w:vMerge/>
            <w:noWrap/>
            <w:vAlign w:val="center"/>
          </w:tcPr>
          <w:p w14:paraId="28C4DF79" w14:textId="77777777" w:rsidR="00A67F21" w:rsidRPr="00B12FE0" w:rsidRDefault="00A67F21">
            <w:pPr>
              <w:jc w:val="center"/>
              <w:rPr>
                <w:color w:val="000000" w:themeColor="text1"/>
                <w:sz w:val="18"/>
                <w:szCs w:val="18"/>
              </w:rPr>
            </w:pPr>
          </w:p>
        </w:tc>
        <w:tc>
          <w:tcPr>
            <w:tcW w:w="1237" w:type="dxa"/>
            <w:vMerge/>
            <w:noWrap/>
            <w:vAlign w:val="center"/>
          </w:tcPr>
          <w:p w14:paraId="23BDF8F4" w14:textId="77777777" w:rsidR="00A67F21" w:rsidRPr="00B12FE0" w:rsidRDefault="00A67F21">
            <w:pPr>
              <w:jc w:val="center"/>
              <w:rPr>
                <w:color w:val="000000" w:themeColor="text1"/>
                <w:sz w:val="18"/>
                <w:szCs w:val="18"/>
              </w:rPr>
            </w:pPr>
          </w:p>
        </w:tc>
        <w:tc>
          <w:tcPr>
            <w:tcW w:w="3030" w:type="dxa"/>
            <w:gridSpan w:val="2"/>
            <w:noWrap/>
            <w:vAlign w:val="center"/>
          </w:tcPr>
          <w:p w14:paraId="4A0473D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控制室</w:t>
            </w:r>
          </w:p>
        </w:tc>
        <w:tc>
          <w:tcPr>
            <w:tcW w:w="1040" w:type="dxa"/>
            <w:noWrap/>
            <w:vAlign w:val="center"/>
          </w:tcPr>
          <w:p w14:paraId="27DDF393"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08D625C6"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紧邻</w:t>
            </w:r>
          </w:p>
        </w:tc>
        <w:tc>
          <w:tcPr>
            <w:tcW w:w="1145" w:type="dxa"/>
            <w:vMerge/>
            <w:noWrap/>
            <w:vAlign w:val="center"/>
          </w:tcPr>
          <w:p w14:paraId="1A73C877" w14:textId="77777777" w:rsidR="00A67F21" w:rsidRPr="00B12FE0" w:rsidRDefault="00A67F21">
            <w:pPr>
              <w:jc w:val="center"/>
              <w:rPr>
                <w:color w:val="000000" w:themeColor="text1"/>
                <w:sz w:val="18"/>
                <w:szCs w:val="18"/>
              </w:rPr>
            </w:pPr>
          </w:p>
        </w:tc>
        <w:tc>
          <w:tcPr>
            <w:tcW w:w="1368" w:type="dxa"/>
            <w:vMerge/>
            <w:noWrap/>
            <w:vAlign w:val="center"/>
          </w:tcPr>
          <w:p w14:paraId="66DE4529" w14:textId="77777777" w:rsidR="00A67F21" w:rsidRPr="00B12FE0" w:rsidRDefault="00A67F21">
            <w:pPr>
              <w:widowControl/>
              <w:jc w:val="center"/>
              <w:textAlignment w:val="center"/>
              <w:rPr>
                <w:color w:val="000000" w:themeColor="text1"/>
                <w:sz w:val="18"/>
                <w:szCs w:val="18"/>
              </w:rPr>
            </w:pPr>
          </w:p>
        </w:tc>
      </w:tr>
      <w:tr w:rsidR="00A67F21" w:rsidRPr="00B12FE0" w14:paraId="78E9735A" w14:textId="77777777">
        <w:trPr>
          <w:trHeight w:val="272"/>
          <w:jc w:val="center"/>
        </w:trPr>
        <w:tc>
          <w:tcPr>
            <w:tcW w:w="406" w:type="dxa"/>
            <w:vMerge/>
            <w:noWrap/>
            <w:vAlign w:val="center"/>
          </w:tcPr>
          <w:p w14:paraId="1D605824" w14:textId="77777777" w:rsidR="00A67F21" w:rsidRPr="00B12FE0" w:rsidRDefault="00A67F21">
            <w:pPr>
              <w:jc w:val="center"/>
              <w:rPr>
                <w:color w:val="000000" w:themeColor="text1"/>
                <w:sz w:val="18"/>
                <w:szCs w:val="18"/>
              </w:rPr>
            </w:pPr>
          </w:p>
        </w:tc>
        <w:tc>
          <w:tcPr>
            <w:tcW w:w="1237" w:type="dxa"/>
            <w:vMerge/>
            <w:noWrap/>
            <w:vAlign w:val="center"/>
          </w:tcPr>
          <w:p w14:paraId="14221EA5" w14:textId="77777777" w:rsidR="00A67F21" w:rsidRPr="00B12FE0" w:rsidRDefault="00A67F21">
            <w:pPr>
              <w:jc w:val="center"/>
              <w:rPr>
                <w:color w:val="000000" w:themeColor="text1"/>
                <w:sz w:val="18"/>
                <w:szCs w:val="18"/>
              </w:rPr>
            </w:pPr>
          </w:p>
        </w:tc>
        <w:tc>
          <w:tcPr>
            <w:tcW w:w="3030" w:type="dxa"/>
            <w:gridSpan w:val="2"/>
            <w:noWrap/>
            <w:vAlign w:val="center"/>
          </w:tcPr>
          <w:p w14:paraId="7BFE50F1"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直线加速器室内</w:t>
            </w:r>
          </w:p>
        </w:tc>
        <w:tc>
          <w:tcPr>
            <w:tcW w:w="1040" w:type="dxa"/>
            <w:noWrap/>
            <w:vAlign w:val="center"/>
          </w:tcPr>
          <w:p w14:paraId="667425CF"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西侧</w:t>
            </w:r>
          </w:p>
        </w:tc>
        <w:tc>
          <w:tcPr>
            <w:tcW w:w="800" w:type="dxa"/>
            <w:noWrap/>
            <w:vAlign w:val="center"/>
          </w:tcPr>
          <w:p w14:paraId="10DB6492"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4BADFDDE"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16</w:t>
            </w:r>
            <w:r w:rsidRPr="00B12FE0">
              <w:rPr>
                <w:rFonts w:hint="eastAsia"/>
                <w:color w:val="000000" w:themeColor="text1"/>
                <w:sz w:val="18"/>
                <w:szCs w:val="18"/>
              </w:rPr>
              <w:t>人</w:t>
            </w:r>
          </w:p>
        </w:tc>
        <w:tc>
          <w:tcPr>
            <w:tcW w:w="1368" w:type="dxa"/>
            <w:vMerge/>
            <w:noWrap/>
            <w:vAlign w:val="center"/>
          </w:tcPr>
          <w:p w14:paraId="6CF11CC4" w14:textId="77777777" w:rsidR="00A67F21" w:rsidRPr="00B12FE0" w:rsidRDefault="00A67F21">
            <w:pPr>
              <w:widowControl/>
              <w:jc w:val="center"/>
              <w:textAlignment w:val="center"/>
              <w:rPr>
                <w:color w:val="000000" w:themeColor="text1"/>
                <w:sz w:val="18"/>
                <w:szCs w:val="18"/>
              </w:rPr>
            </w:pPr>
          </w:p>
        </w:tc>
      </w:tr>
      <w:tr w:rsidR="00A67F21" w:rsidRPr="00B12FE0" w14:paraId="27ACD478" w14:textId="77777777">
        <w:trPr>
          <w:trHeight w:val="272"/>
          <w:jc w:val="center"/>
        </w:trPr>
        <w:tc>
          <w:tcPr>
            <w:tcW w:w="406" w:type="dxa"/>
            <w:vMerge/>
            <w:noWrap/>
            <w:vAlign w:val="center"/>
          </w:tcPr>
          <w:p w14:paraId="2EFB301E" w14:textId="77777777" w:rsidR="00A67F21" w:rsidRPr="00B12FE0" w:rsidRDefault="00A67F21">
            <w:pPr>
              <w:jc w:val="center"/>
              <w:rPr>
                <w:color w:val="000000" w:themeColor="text1"/>
                <w:sz w:val="18"/>
                <w:szCs w:val="18"/>
              </w:rPr>
            </w:pPr>
          </w:p>
        </w:tc>
        <w:tc>
          <w:tcPr>
            <w:tcW w:w="1237" w:type="dxa"/>
            <w:vMerge/>
            <w:noWrap/>
            <w:vAlign w:val="center"/>
          </w:tcPr>
          <w:p w14:paraId="7571C271" w14:textId="77777777" w:rsidR="00A67F21" w:rsidRPr="00B12FE0" w:rsidRDefault="00A67F21">
            <w:pPr>
              <w:jc w:val="center"/>
              <w:rPr>
                <w:color w:val="000000" w:themeColor="text1"/>
                <w:sz w:val="18"/>
                <w:szCs w:val="18"/>
              </w:rPr>
            </w:pPr>
          </w:p>
        </w:tc>
        <w:tc>
          <w:tcPr>
            <w:tcW w:w="3030" w:type="dxa"/>
            <w:gridSpan w:val="2"/>
            <w:noWrap/>
            <w:vAlign w:val="center"/>
          </w:tcPr>
          <w:p w14:paraId="283D5732"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变配电室及其他机房</w:t>
            </w:r>
          </w:p>
        </w:tc>
        <w:tc>
          <w:tcPr>
            <w:tcW w:w="1040" w:type="dxa"/>
            <w:noWrap/>
            <w:vAlign w:val="center"/>
          </w:tcPr>
          <w:p w14:paraId="5446F39A"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东侧</w:t>
            </w:r>
          </w:p>
        </w:tc>
        <w:tc>
          <w:tcPr>
            <w:tcW w:w="800" w:type="dxa"/>
            <w:noWrap/>
            <w:vAlign w:val="center"/>
          </w:tcPr>
          <w:p w14:paraId="40FC3E00"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27E364C9"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10</w:t>
            </w:r>
            <w:r w:rsidRPr="00B12FE0">
              <w:rPr>
                <w:rFonts w:hint="eastAsia"/>
                <w:color w:val="000000" w:themeColor="text1"/>
                <w:sz w:val="18"/>
                <w:szCs w:val="18"/>
              </w:rPr>
              <w:t>人</w:t>
            </w:r>
            <w:r w:rsidRPr="00B12FE0">
              <w:rPr>
                <w:rFonts w:hint="eastAsia"/>
                <w:color w:val="000000" w:themeColor="text1"/>
                <w:sz w:val="18"/>
                <w:szCs w:val="18"/>
              </w:rPr>
              <w:t>/d</w:t>
            </w:r>
          </w:p>
        </w:tc>
        <w:tc>
          <w:tcPr>
            <w:tcW w:w="1368" w:type="dxa"/>
            <w:vMerge w:val="restart"/>
            <w:noWrap/>
            <w:vAlign w:val="center"/>
          </w:tcPr>
          <w:p w14:paraId="599E443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公众</w:t>
            </w:r>
          </w:p>
        </w:tc>
      </w:tr>
      <w:tr w:rsidR="00A67F21" w:rsidRPr="00B12FE0" w14:paraId="40C6815F" w14:textId="77777777">
        <w:trPr>
          <w:trHeight w:val="272"/>
          <w:jc w:val="center"/>
        </w:trPr>
        <w:tc>
          <w:tcPr>
            <w:tcW w:w="406" w:type="dxa"/>
            <w:vMerge/>
            <w:noWrap/>
            <w:vAlign w:val="center"/>
          </w:tcPr>
          <w:p w14:paraId="2C5FC02F" w14:textId="77777777" w:rsidR="00A67F21" w:rsidRPr="00B12FE0" w:rsidRDefault="00A67F21">
            <w:pPr>
              <w:jc w:val="center"/>
              <w:rPr>
                <w:color w:val="000000" w:themeColor="text1"/>
                <w:sz w:val="18"/>
                <w:szCs w:val="18"/>
              </w:rPr>
            </w:pPr>
          </w:p>
        </w:tc>
        <w:tc>
          <w:tcPr>
            <w:tcW w:w="1237" w:type="dxa"/>
            <w:vMerge/>
            <w:noWrap/>
            <w:vAlign w:val="center"/>
          </w:tcPr>
          <w:p w14:paraId="705C9494" w14:textId="77777777" w:rsidR="00A67F21" w:rsidRPr="00B12FE0" w:rsidRDefault="00A67F21">
            <w:pPr>
              <w:jc w:val="center"/>
              <w:rPr>
                <w:color w:val="000000" w:themeColor="text1"/>
                <w:sz w:val="18"/>
                <w:szCs w:val="18"/>
              </w:rPr>
            </w:pPr>
          </w:p>
        </w:tc>
        <w:tc>
          <w:tcPr>
            <w:tcW w:w="3030" w:type="dxa"/>
            <w:gridSpan w:val="2"/>
            <w:noWrap/>
            <w:vAlign w:val="center"/>
          </w:tcPr>
          <w:p w14:paraId="2ABCD2E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二次等候区</w:t>
            </w:r>
          </w:p>
        </w:tc>
        <w:tc>
          <w:tcPr>
            <w:tcW w:w="1040" w:type="dxa"/>
            <w:noWrap/>
            <w:vAlign w:val="center"/>
          </w:tcPr>
          <w:p w14:paraId="28F29E70"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7EB4F7F7"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7.9</w:t>
            </w:r>
          </w:p>
        </w:tc>
        <w:tc>
          <w:tcPr>
            <w:tcW w:w="1145" w:type="dxa"/>
            <w:noWrap/>
            <w:vAlign w:val="center"/>
          </w:tcPr>
          <w:p w14:paraId="7F99B14B"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流动人口</w:t>
            </w:r>
          </w:p>
        </w:tc>
        <w:tc>
          <w:tcPr>
            <w:tcW w:w="1368" w:type="dxa"/>
            <w:vMerge/>
            <w:noWrap/>
            <w:vAlign w:val="center"/>
          </w:tcPr>
          <w:p w14:paraId="4633801C" w14:textId="77777777" w:rsidR="00A67F21" w:rsidRPr="00B12FE0" w:rsidRDefault="00A67F21">
            <w:pPr>
              <w:widowControl/>
              <w:jc w:val="center"/>
              <w:textAlignment w:val="center"/>
              <w:rPr>
                <w:color w:val="000000" w:themeColor="text1"/>
                <w:sz w:val="18"/>
                <w:szCs w:val="18"/>
              </w:rPr>
            </w:pPr>
          </w:p>
        </w:tc>
      </w:tr>
      <w:tr w:rsidR="00A67F21" w:rsidRPr="00B12FE0" w14:paraId="3C92FF70" w14:textId="77777777">
        <w:trPr>
          <w:trHeight w:val="272"/>
          <w:jc w:val="center"/>
        </w:trPr>
        <w:tc>
          <w:tcPr>
            <w:tcW w:w="406" w:type="dxa"/>
            <w:vMerge/>
            <w:noWrap/>
            <w:vAlign w:val="center"/>
          </w:tcPr>
          <w:p w14:paraId="1A5DF321" w14:textId="77777777" w:rsidR="00A67F21" w:rsidRPr="00B12FE0" w:rsidRDefault="00A67F21">
            <w:pPr>
              <w:jc w:val="center"/>
              <w:rPr>
                <w:color w:val="000000" w:themeColor="text1"/>
                <w:sz w:val="18"/>
                <w:szCs w:val="18"/>
              </w:rPr>
            </w:pPr>
          </w:p>
        </w:tc>
        <w:tc>
          <w:tcPr>
            <w:tcW w:w="1237" w:type="dxa"/>
            <w:vMerge/>
            <w:noWrap/>
            <w:vAlign w:val="center"/>
          </w:tcPr>
          <w:p w14:paraId="2144F5C2" w14:textId="77777777" w:rsidR="00A67F21" w:rsidRPr="00B12FE0" w:rsidRDefault="00A67F21">
            <w:pPr>
              <w:jc w:val="center"/>
              <w:rPr>
                <w:color w:val="000000" w:themeColor="text1"/>
                <w:sz w:val="18"/>
                <w:szCs w:val="18"/>
              </w:rPr>
            </w:pPr>
          </w:p>
        </w:tc>
        <w:tc>
          <w:tcPr>
            <w:tcW w:w="3030" w:type="dxa"/>
            <w:gridSpan w:val="2"/>
            <w:noWrap/>
            <w:vAlign w:val="center"/>
          </w:tcPr>
          <w:p w14:paraId="6D94D2DD"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放疗科其他机房及配套用房</w:t>
            </w:r>
          </w:p>
        </w:tc>
        <w:tc>
          <w:tcPr>
            <w:tcW w:w="1040" w:type="dxa"/>
            <w:noWrap/>
            <w:vAlign w:val="center"/>
          </w:tcPr>
          <w:p w14:paraId="016A5BC1"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684EAB24"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14.5</w:t>
            </w:r>
          </w:p>
        </w:tc>
        <w:tc>
          <w:tcPr>
            <w:tcW w:w="1145" w:type="dxa"/>
            <w:noWrap/>
            <w:vAlign w:val="center"/>
          </w:tcPr>
          <w:p w14:paraId="2D086E7B"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流动人口</w:t>
            </w:r>
          </w:p>
        </w:tc>
        <w:tc>
          <w:tcPr>
            <w:tcW w:w="1368" w:type="dxa"/>
            <w:vMerge/>
            <w:noWrap/>
            <w:vAlign w:val="center"/>
          </w:tcPr>
          <w:p w14:paraId="378320ED" w14:textId="77777777" w:rsidR="00A67F21" w:rsidRPr="00B12FE0" w:rsidRDefault="00A67F21">
            <w:pPr>
              <w:widowControl/>
              <w:jc w:val="center"/>
              <w:textAlignment w:val="center"/>
              <w:rPr>
                <w:color w:val="000000" w:themeColor="text1"/>
                <w:sz w:val="18"/>
                <w:szCs w:val="18"/>
              </w:rPr>
            </w:pPr>
          </w:p>
        </w:tc>
      </w:tr>
      <w:tr w:rsidR="00A67F21" w:rsidRPr="00B12FE0" w14:paraId="031DB01F" w14:textId="77777777">
        <w:trPr>
          <w:trHeight w:val="272"/>
          <w:jc w:val="center"/>
        </w:trPr>
        <w:tc>
          <w:tcPr>
            <w:tcW w:w="406" w:type="dxa"/>
            <w:vMerge/>
            <w:noWrap/>
            <w:vAlign w:val="center"/>
          </w:tcPr>
          <w:p w14:paraId="6E5E2F45" w14:textId="77777777" w:rsidR="00A67F21" w:rsidRPr="00B12FE0" w:rsidRDefault="00A67F21">
            <w:pPr>
              <w:jc w:val="center"/>
              <w:rPr>
                <w:color w:val="000000" w:themeColor="text1"/>
                <w:sz w:val="18"/>
                <w:szCs w:val="18"/>
              </w:rPr>
            </w:pPr>
          </w:p>
        </w:tc>
        <w:tc>
          <w:tcPr>
            <w:tcW w:w="1237" w:type="dxa"/>
            <w:vMerge w:val="restart"/>
            <w:noWrap/>
            <w:vAlign w:val="center"/>
          </w:tcPr>
          <w:p w14:paraId="2E486420"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模拟定位</w:t>
            </w:r>
            <w:r w:rsidRPr="00B12FE0">
              <w:rPr>
                <w:rFonts w:hint="eastAsia"/>
                <w:color w:val="000000" w:themeColor="text1"/>
                <w:sz w:val="18"/>
                <w:szCs w:val="18"/>
              </w:rPr>
              <w:t>CT</w:t>
            </w:r>
            <w:r w:rsidRPr="00B12FE0">
              <w:rPr>
                <w:rFonts w:hint="eastAsia"/>
                <w:color w:val="000000" w:themeColor="text1"/>
                <w:sz w:val="18"/>
                <w:szCs w:val="18"/>
              </w:rPr>
              <w:t>机房</w:t>
            </w:r>
          </w:p>
        </w:tc>
        <w:tc>
          <w:tcPr>
            <w:tcW w:w="3030" w:type="dxa"/>
            <w:gridSpan w:val="2"/>
            <w:noWrap/>
            <w:vAlign w:val="center"/>
          </w:tcPr>
          <w:p w14:paraId="2A35F56B"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更衣室及控制室</w:t>
            </w:r>
          </w:p>
        </w:tc>
        <w:tc>
          <w:tcPr>
            <w:tcW w:w="1040" w:type="dxa"/>
            <w:noWrap/>
            <w:vAlign w:val="center"/>
          </w:tcPr>
          <w:p w14:paraId="7314E2E2"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东侧</w:t>
            </w:r>
          </w:p>
        </w:tc>
        <w:tc>
          <w:tcPr>
            <w:tcW w:w="800" w:type="dxa"/>
            <w:noWrap/>
            <w:vAlign w:val="center"/>
          </w:tcPr>
          <w:p w14:paraId="0350F037"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531C280D"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w:t>
            </w:r>
            <w:r w:rsidRPr="00B12FE0">
              <w:rPr>
                <w:rFonts w:hint="eastAsia"/>
                <w:color w:val="000000" w:themeColor="text1"/>
                <w:sz w:val="18"/>
                <w:szCs w:val="18"/>
              </w:rPr>
              <w:t>/d</w:t>
            </w:r>
          </w:p>
        </w:tc>
        <w:tc>
          <w:tcPr>
            <w:tcW w:w="1368" w:type="dxa"/>
            <w:noWrap/>
            <w:vAlign w:val="center"/>
          </w:tcPr>
          <w:p w14:paraId="7A394BCB"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职业</w:t>
            </w:r>
          </w:p>
        </w:tc>
      </w:tr>
      <w:tr w:rsidR="00A67F21" w:rsidRPr="00B12FE0" w14:paraId="2B177B94" w14:textId="77777777">
        <w:trPr>
          <w:trHeight w:val="272"/>
          <w:jc w:val="center"/>
        </w:trPr>
        <w:tc>
          <w:tcPr>
            <w:tcW w:w="406" w:type="dxa"/>
            <w:vMerge/>
            <w:noWrap/>
            <w:vAlign w:val="center"/>
          </w:tcPr>
          <w:p w14:paraId="24FA5507" w14:textId="77777777" w:rsidR="00A67F21" w:rsidRPr="00B12FE0" w:rsidRDefault="00A67F21">
            <w:pPr>
              <w:jc w:val="center"/>
              <w:rPr>
                <w:color w:val="000000" w:themeColor="text1"/>
                <w:sz w:val="18"/>
                <w:szCs w:val="18"/>
              </w:rPr>
            </w:pPr>
          </w:p>
        </w:tc>
        <w:tc>
          <w:tcPr>
            <w:tcW w:w="1237" w:type="dxa"/>
            <w:vMerge/>
            <w:noWrap/>
            <w:vAlign w:val="center"/>
          </w:tcPr>
          <w:p w14:paraId="329CB720" w14:textId="77777777" w:rsidR="00A67F21" w:rsidRPr="00B12FE0" w:rsidRDefault="00A67F21">
            <w:pPr>
              <w:jc w:val="center"/>
              <w:rPr>
                <w:color w:val="000000" w:themeColor="text1"/>
                <w:sz w:val="18"/>
                <w:szCs w:val="18"/>
              </w:rPr>
            </w:pPr>
          </w:p>
        </w:tc>
        <w:tc>
          <w:tcPr>
            <w:tcW w:w="3030" w:type="dxa"/>
            <w:gridSpan w:val="2"/>
            <w:noWrap/>
            <w:vAlign w:val="center"/>
          </w:tcPr>
          <w:p w14:paraId="412A1F5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辅助机房</w:t>
            </w:r>
          </w:p>
        </w:tc>
        <w:tc>
          <w:tcPr>
            <w:tcW w:w="1040" w:type="dxa"/>
            <w:noWrap/>
            <w:vAlign w:val="center"/>
          </w:tcPr>
          <w:p w14:paraId="080128D9"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南侧</w:t>
            </w:r>
          </w:p>
        </w:tc>
        <w:tc>
          <w:tcPr>
            <w:tcW w:w="800" w:type="dxa"/>
            <w:noWrap/>
            <w:vAlign w:val="center"/>
          </w:tcPr>
          <w:p w14:paraId="2F88B0F3"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29F922E2"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w:t>
            </w:r>
            <w:r w:rsidRPr="00B12FE0">
              <w:rPr>
                <w:rFonts w:hint="eastAsia"/>
                <w:color w:val="000000" w:themeColor="text1"/>
                <w:sz w:val="18"/>
                <w:szCs w:val="18"/>
              </w:rPr>
              <w:t>/d</w:t>
            </w:r>
          </w:p>
        </w:tc>
        <w:tc>
          <w:tcPr>
            <w:tcW w:w="1368" w:type="dxa"/>
            <w:vMerge w:val="restart"/>
            <w:noWrap/>
            <w:vAlign w:val="center"/>
          </w:tcPr>
          <w:p w14:paraId="55BC1250" w14:textId="77777777" w:rsidR="00A67F21" w:rsidRPr="00B12FE0" w:rsidRDefault="00000000">
            <w:pPr>
              <w:jc w:val="center"/>
              <w:textAlignment w:val="center"/>
              <w:rPr>
                <w:color w:val="000000" w:themeColor="text1"/>
                <w:sz w:val="18"/>
                <w:szCs w:val="18"/>
              </w:rPr>
            </w:pPr>
            <w:r w:rsidRPr="00B12FE0">
              <w:rPr>
                <w:color w:val="000000" w:themeColor="text1"/>
                <w:kern w:val="0"/>
                <w:sz w:val="18"/>
                <w:szCs w:val="18"/>
                <w:lang w:bidi="ar"/>
              </w:rPr>
              <w:t>公众</w:t>
            </w:r>
          </w:p>
        </w:tc>
      </w:tr>
      <w:tr w:rsidR="00A67F21" w:rsidRPr="00B12FE0" w14:paraId="4C002DBA" w14:textId="77777777">
        <w:trPr>
          <w:trHeight w:val="272"/>
          <w:jc w:val="center"/>
        </w:trPr>
        <w:tc>
          <w:tcPr>
            <w:tcW w:w="406" w:type="dxa"/>
            <w:vMerge/>
            <w:noWrap/>
            <w:vAlign w:val="center"/>
          </w:tcPr>
          <w:p w14:paraId="3EECA18D" w14:textId="77777777" w:rsidR="00A67F21" w:rsidRPr="00B12FE0" w:rsidRDefault="00A67F21">
            <w:pPr>
              <w:jc w:val="center"/>
              <w:rPr>
                <w:color w:val="000000" w:themeColor="text1"/>
                <w:sz w:val="18"/>
                <w:szCs w:val="18"/>
              </w:rPr>
            </w:pPr>
          </w:p>
        </w:tc>
        <w:tc>
          <w:tcPr>
            <w:tcW w:w="1237" w:type="dxa"/>
            <w:vMerge/>
            <w:noWrap/>
            <w:vAlign w:val="center"/>
          </w:tcPr>
          <w:p w14:paraId="16FE6E53" w14:textId="77777777" w:rsidR="00A67F21" w:rsidRPr="00B12FE0" w:rsidRDefault="00A67F21">
            <w:pPr>
              <w:jc w:val="center"/>
              <w:rPr>
                <w:color w:val="000000" w:themeColor="text1"/>
                <w:sz w:val="18"/>
                <w:szCs w:val="18"/>
              </w:rPr>
            </w:pPr>
          </w:p>
        </w:tc>
        <w:tc>
          <w:tcPr>
            <w:tcW w:w="3030" w:type="dxa"/>
            <w:gridSpan w:val="2"/>
            <w:noWrap/>
            <w:vAlign w:val="center"/>
          </w:tcPr>
          <w:p w14:paraId="39DB204C"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电梯及楼梯间</w:t>
            </w:r>
          </w:p>
        </w:tc>
        <w:tc>
          <w:tcPr>
            <w:tcW w:w="1040" w:type="dxa"/>
            <w:noWrap/>
            <w:vAlign w:val="center"/>
          </w:tcPr>
          <w:p w14:paraId="2672DBA7"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西侧</w:t>
            </w:r>
          </w:p>
        </w:tc>
        <w:tc>
          <w:tcPr>
            <w:tcW w:w="800" w:type="dxa"/>
            <w:noWrap/>
          </w:tcPr>
          <w:p w14:paraId="1F61598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74B565CA" w14:textId="77777777" w:rsidR="00A67F21" w:rsidRPr="00B12FE0" w:rsidRDefault="00000000">
            <w:pPr>
              <w:jc w:val="center"/>
              <w:rPr>
                <w:color w:val="000000" w:themeColor="text1"/>
                <w:sz w:val="18"/>
                <w:szCs w:val="18"/>
              </w:rPr>
            </w:pPr>
            <w:r w:rsidRPr="00B12FE0">
              <w:rPr>
                <w:color w:val="000000" w:themeColor="text1"/>
                <w:sz w:val="18"/>
                <w:szCs w:val="18"/>
              </w:rPr>
              <w:t>流动人口</w:t>
            </w:r>
          </w:p>
        </w:tc>
        <w:tc>
          <w:tcPr>
            <w:tcW w:w="1368" w:type="dxa"/>
            <w:vMerge/>
            <w:noWrap/>
            <w:vAlign w:val="center"/>
          </w:tcPr>
          <w:p w14:paraId="6E0EE1FA" w14:textId="77777777" w:rsidR="00A67F21" w:rsidRPr="00B12FE0" w:rsidRDefault="00A67F21">
            <w:pPr>
              <w:jc w:val="center"/>
              <w:textAlignment w:val="center"/>
              <w:rPr>
                <w:color w:val="000000" w:themeColor="text1"/>
                <w:sz w:val="18"/>
                <w:szCs w:val="18"/>
              </w:rPr>
            </w:pPr>
          </w:p>
        </w:tc>
      </w:tr>
      <w:tr w:rsidR="00A67F21" w:rsidRPr="00B12FE0" w14:paraId="02BAD22F" w14:textId="77777777">
        <w:trPr>
          <w:trHeight w:val="272"/>
          <w:jc w:val="center"/>
        </w:trPr>
        <w:tc>
          <w:tcPr>
            <w:tcW w:w="406" w:type="dxa"/>
            <w:vMerge/>
            <w:noWrap/>
            <w:vAlign w:val="center"/>
          </w:tcPr>
          <w:p w14:paraId="3DE726CA" w14:textId="77777777" w:rsidR="00A67F21" w:rsidRPr="00B12FE0" w:rsidRDefault="00A67F21">
            <w:pPr>
              <w:jc w:val="center"/>
              <w:rPr>
                <w:color w:val="000000" w:themeColor="text1"/>
                <w:sz w:val="18"/>
                <w:szCs w:val="18"/>
              </w:rPr>
            </w:pPr>
          </w:p>
        </w:tc>
        <w:tc>
          <w:tcPr>
            <w:tcW w:w="1237" w:type="dxa"/>
            <w:vMerge/>
            <w:noWrap/>
            <w:vAlign w:val="center"/>
          </w:tcPr>
          <w:p w14:paraId="67C7F4A3" w14:textId="77777777" w:rsidR="00A67F21" w:rsidRPr="00B12FE0" w:rsidRDefault="00A67F21">
            <w:pPr>
              <w:jc w:val="center"/>
              <w:rPr>
                <w:color w:val="000000" w:themeColor="text1"/>
                <w:sz w:val="18"/>
                <w:szCs w:val="18"/>
              </w:rPr>
            </w:pPr>
          </w:p>
        </w:tc>
        <w:tc>
          <w:tcPr>
            <w:tcW w:w="3030" w:type="dxa"/>
            <w:gridSpan w:val="2"/>
            <w:noWrap/>
            <w:vAlign w:val="center"/>
          </w:tcPr>
          <w:p w14:paraId="7D010892"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制模室</w:t>
            </w:r>
          </w:p>
        </w:tc>
        <w:tc>
          <w:tcPr>
            <w:tcW w:w="1040" w:type="dxa"/>
            <w:noWrap/>
            <w:vAlign w:val="center"/>
          </w:tcPr>
          <w:p w14:paraId="2BB2D6CE"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西侧</w:t>
            </w:r>
          </w:p>
        </w:tc>
        <w:tc>
          <w:tcPr>
            <w:tcW w:w="800" w:type="dxa"/>
            <w:noWrap/>
          </w:tcPr>
          <w:p w14:paraId="06E769C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76D232C3"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w:t>
            </w:r>
            <w:r w:rsidRPr="00B12FE0">
              <w:rPr>
                <w:rFonts w:hint="eastAsia"/>
                <w:color w:val="000000" w:themeColor="text1"/>
                <w:sz w:val="18"/>
                <w:szCs w:val="18"/>
              </w:rPr>
              <w:t>/d</w:t>
            </w:r>
          </w:p>
        </w:tc>
        <w:tc>
          <w:tcPr>
            <w:tcW w:w="1368" w:type="dxa"/>
            <w:vMerge/>
            <w:noWrap/>
            <w:vAlign w:val="center"/>
          </w:tcPr>
          <w:p w14:paraId="78F24E82" w14:textId="77777777" w:rsidR="00A67F21" w:rsidRPr="00B12FE0" w:rsidRDefault="00A67F21">
            <w:pPr>
              <w:jc w:val="center"/>
              <w:textAlignment w:val="center"/>
              <w:rPr>
                <w:color w:val="000000" w:themeColor="text1"/>
                <w:sz w:val="18"/>
                <w:szCs w:val="18"/>
              </w:rPr>
            </w:pPr>
          </w:p>
        </w:tc>
      </w:tr>
      <w:tr w:rsidR="00A67F21" w:rsidRPr="00B12FE0" w14:paraId="7C40A614" w14:textId="77777777">
        <w:trPr>
          <w:trHeight w:val="272"/>
          <w:jc w:val="center"/>
        </w:trPr>
        <w:tc>
          <w:tcPr>
            <w:tcW w:w="406" w:type="dxa"/>
            <w:vMerge/>
            <w:noWrap/>
            <w:vAlign w:val="center"/>
          </w:tcPr>
          <w:p w14:paraId="541DF96A" w14:textId="77777777" w:rsidR="00A67F21" w:rsidRPr="00B12FE0" w:rsidRDefault="00A67F21">
            <w:pPr>
              <w:jc w:val="center"/>
              <w:rPr>
                <w:color w:val="000000" w:themeColor="text1"/>
                <w:sz w:val="18"/>
                <w:szCs w:val="18"/>
              </w:rPr>
            </w:pPr>
          </w:p>
        </w:tc>
        <w:tc>
          <w:tcPr>
            <w:tcW w:w="1237" w:type="dxa"/>
            <w:vMerge/>
            <w:noWrap/>
            <w:vAlign w:val="center"/>
          </w:tcPr>
          <w:p w14:paraId="1CF63506" w14:textId="77777777" w:rsidR="00A67F21" w:rsidRPr="00B12FE0" w:rsidRDefault="00A67F21">
            <w:pPr>
              <w:jc w:val="center"/>
              <w:rPr>
                <w:color w:val="000000" w:themeColor="text1"/>
                <w:sz w:val="18"/>
                <w:szCs w:val="18"/>
              </w:rPr>
            </w:pPr>
          </w:p>
        </w:tc>
        <w:tc>
          <w:tcPr>
            <w:tcW w:w="3030" w:type="dxa"/>
            <w:gridSpan w:val="2"/>
            <w:noWrap/>
            <w:vAlign w:val="center"/>
          </w:tcPr>
          <w:p w14:paraId="2C5CE5AC"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候诊区</w:t>
            </w:r>
          </w:p>
        </w:tc>
        <w:tc>
          <w:tcPr>
            <w:tcW w:w="1040" w:type="dxa"/>
            <w:noWrap/>
            <w:vAlign w:val="center"/>
          </w:tcPr>
          <w:p w14:paraId="02E3BDB2"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北侧</w:t>
            </w:r>
          </w:p>
        </w:tc>
        <w:tc>
          <w:tcPr>
            <w:tcW w:w="800" w:type="dxa"/>
            <w:noWrap/>
          </w:tcPr>
          <w:p w14:paraId="75F110B4"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3C1ACEB1" w14:textId="77777777" w:rsidR="00A67F21" w:rsidRPr="00B12FE0" w:rsidRDefault="00000000">
            <w:pPr>
              <w:jc w:val="center"/>
              <w:rPr>
                <w:color w:val="000000" w:themeColor="text1"/>
                <w:sz w:val="18"/>
                <w:szCs w:val="18"/>
              </w:rPr>
            </w:pPr>
            <w:r w:rsidRPr="00B12FE0">
              <w:rPr>
                <w:color w:val="000000" w:themeColor="text1"/>
                <w:sz w:val="18"/>
                <w:szCs w:val="18"/>
              </w:rPr>
              <w:t>流动人口</w:t>
            </w:r>
          </w:p>
        </w:tc>
        <w:tc>
          <w:tcPr>
            <w:tcW w:w="1368" w:type="dxa"/>
            <w:vMerge/>
            <w:noWrap/>
            <w:vAlign w:val="center"/>
          </w:tcPr>
          <w:p w14:paraId="6B782C19" w14:textId="77777777" w:rsidR="00A67F21" w:rsidRPr="00B12FE0" w:rsidRDefault="00A67F21">
            <w:pPr>
              <w:jc w:val="center"/>
              <w:textAlignment w:val="center"/>
              <w:rPr>
                <w:color w:val="000000" w:themeColor="text1"/>
                <w:sz w:val="18"/>
                <w:szCs w:val="18"/>
              </w:rPr>
            </w:pPr>
          </w:p>
        </w:tc>
      </w:tr>
      <w:tr w:rsidR="00A67F21" w:rsidRPr="00B12FE0" w14:paraId="1D7C355C" w14:textId="77777777">
        <w:trPr>
          <w:trHeight w:val="272"/>
          <w:jc w:val="center"/>
        </w:trPr>
        <w:tc>
          <w:tcPr>
            <w:tcW w:w="406" w:type="dxa"/>
            <w:vMerge/>
            <w:noWrap/>
            <w:vAlign w:val="center"/>
          </w:tcPr>
          <w:p w14:paraId="573035CA" w14:textId="77777777" w:rsidR="00A67F21" w:rsidRPr="00B12FE0" w:rsidRDefault="00A67F21">
            <w:pPr>
              <w:jc w:val="center"/>
              <w:rPr>
                <w:color w:val="000000" w:themeColor="text1"/>
                <w:sz w:val="18"/>
                <w:szCs w:val="18"/>
              </w:rPr>
            </w:pPr>
          </w:p>
        </w:tc>
        <w:tc>
          <w:tcPr>
            <w:tcW w:w="4267" w:type="dxa"/>
            <w:gridSpan w:val="3"/>
            <w:noWrap/>
            <w:vAlign w:val="center"/>
          </w:tcPr>
          <w:p w14:paraId="6F8C6F34"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院内道路及绿化</w:t>
            </w:r>
          </w:p>
        </w:tc>
        <w:tc>
          <w:tcPr>
            <w:tcW w:w="1040" w:type="dxa"/>
            <w:noWrap/>
            <w:vAlign w:val="center"/>
          </w:tcPr>
          <w:p w14:paraId="79932283"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北侧</w:t>
            </w:r>
          </w:p>
        </w:tc>
        <w:tc>
          <w:tcPr>
            <w:tcW w:w="800" w:type="dxa"/>
            <w:noWrap/>
            <w:vAlign w:val="center"/>
          </w:tcPr>
          <w:p w14:paraId="1C9FE8EA"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紧邻</w:t>
            </w:r>
          </w:p>
        </w:tc>
        <w:tc>
          <w:tcPr>
            <w:tcW w:w="1145" w:type="dxa"/>
            <w:noWrap/>
            <w:vAlign w:val="center"/>
          </w:tcPr>
          <w:p w14:paraId="3DB70D15"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流动人口</w:t>
            </w:r>
          </w:p>
        </w:tc>
        <w:tc>
          <w:tcPr>
            <w:tcW w:w="1368" w:type="dxa"/>
            <w:vMerge/>
            <w:noWrap/>
            <w:vAlign w:val="center"/>
          </w:tcPr>
          <w:p w14:paraId="327DC1AF" w14:textId="77777777" w:rsidR="00A67F21" w:rsidRPr="00B12FE0" w:rsidRDefault="00A67F21">
            <w:pPr>
              <w:jc w:val="center"/>
              <w:textAlignment w:val="center"/>
              <w:rPr>
                <w:color w:val="000000" w:themeColor="text1"/>
                <w:sz w:val="18"/>
                <w:szCs w:val="18"/>
              </w:rPr>
            </w:pPr>
          </w:p>
        </w:tc>
      </w:tr>
      <w:tr w:rsidR="00A67F21" w:rsidRPr="00B12FE0" w14:paraId="211B7107" w14:textId="77777777">
        <w:trPr>
          <w:trHeight w:val="272"/>
          <w:jc w:val="center"/>
        </w:trPr>
        <w:tc>
          <w:tcPr>
            <w:tcW w:w="406" w:type="dxa"/>
            <w:vMerge/>
            <w:noWrap/>
            <w:vAlign w:val="center"/>
          </w:tcPr>
          <w:p w14:paraId="4117DBA5" w14:textId="77777777" w:rsidR="00A67F21" w:rsidRPr="00B12FE0" w:rsidRDefault="00A67F21">
            <w:pPr>
              <w:jc w:val="center"/>
              <w:rPr>
                <w:color w:val="000000" w:themeColor="text1"/>
                <w:sz w:val="18"/>
                <w:szCs w:val="18"/>
              </w:rPr>
            </w:pPr>
          </w:p>
        </w:tc>
        <w:tc>
          <w:tcPr>
            <w:tcW w:w="4267" w:type="dxa"/>
            <w:gridSpan w:val="3"/>
            <w:noWrap/>
            <w:vAlign w:val="center"/>
          </w:tcPr>
          <w:p w14:paraId="4B521EE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液氧站</w:t>
            </w:r>
          </w:p>
        </w:tc>
        <w:tc>
          <w:tcPr>
            <w:tcW w:w="1040" w:type="dxa"/>
            <w:noWrap/>
            <w:vAlign w:val="center"/>
          </w:tcPr>
          <w:p w14:paraId="2877AB0E"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北侧</w:t>
            </w:r>
          </w:p>
        </w:tc>
        <w:tc>
          <w:tcPr>
            <w:tcW w:w="800" w:type="dxa"/>
            <w:noWrap/>
            <w:vAlign w:val="center"/>
          </w:tcPr>
          <w:p w14:paraId="11EA0198"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19</w:t>
            </w:r>
          </w:p>
        </w:tc>
        <w:tc>
          <w:tcPr>
            <w:tcW w:w="1145" w:type="dxa"/>
            <w:noWrap/>
            <w:vAlign w:val="center"/>
          </w:tcPr>
          <w:p w14:paraId="594BDEF6"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4EB56CCA" w14:textId="77777777" w:rsidR="00A67F21" w:rsidRPr="00B12FE0" w:rsidRDefault="00A67F21">
            <w:pPr>
              <w:jc w:val="center"/>
              <w:textAlignment w:val="center"/>
              <w:rPr>
                <w:color w:val="000000" w:themeColor="text1"/>
                <w:sz w:val="18"/>
                <w:szCs w:val="18"/>
              </w:rPr>
            </w:pPr>
          </w:p>
        </w:tc>
      </w:tr>
      <w:tr w:rsidR="00A67F21" w:rsidRPr="00B12FE0" w14:paraId="6F33A47C" w14:textId="77777777">
        <w:trPr>
          <w:trHeight w:val="272"/>
          <w:jc w:val="center"/>
        </w:trPr>
        <w:tc>
          <w:tcPr>
            <w:tcW w:w="406" w:type="dxa"/>
            <w:vMerge/>
            <w:noWrap/>
            <w:vAlign w:val="center"/>
          </w:tcPr>
          <w:p w14:paraId="34CBE5BF" w14:textId="77777777" w:rsidR="00A67F21" w:rsidRPr="00B12FE0" w:rsidRDefault="00A67F21">
            <w:pPr>
              <w:jc w:val="center"/>
              <w:rPr>
                <w:color w:val="000000" w:themeColor="text1"/>
                <w:sz w:val="18"/>
                <w:szCs w:val="18"/>
              </w:rPr>
            </w:pPr>
          </w:p>
        </w:tc>
        <w:tc>
          <w:tcPr>
            <w:tcW w:w="4267" w:type="dxa"/>
            <w:gridSpan w:val="3"/>
            <w:noWrap/>
            <w:vAlign w:val="center"/>
          </w:tcPr>
          <w:p w14:paraId="0D399FD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污水处理站</w:t>
            </w:r>
          </w:p>
        </w:tc>
        <w:tc>
          <w:tcPr>
            <w:tcW w:w="1040" w:type="dxa"/>
            <w:noWrap/>
            <w:vAlign w:val="center"/>
          </w:tcPr>
          <w:p w14:paraId="76B4B6B7"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rFonts w:ascii="Cambria Math" w:hAnsi="Cambria Math" w:cs="Cambria Math" w:hint="eastAsia"/>
                <w:color w:val="000000" w:themeColor="text1"/>
                <w:kern w:val="0"/>
                <w:sz w:val="18"/>
                <w:szCs w:val="18"/>
                <w:lang w:bidi="ar"/>
              </w:rPr>
              <w:t>北侧</w:t>
            </w:r>
          </w:p>
        </w:tc>
        <w:tc>
          <w:tcPr>
            <w:tcW w:w="800" w:type="dxa"/>
            <w:noWrap/>
            <w:vAlign w:val="center"/>
          </w:tcPr>
          <w:p w14:paraId="0DD2879D"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38</w:t>
            </w:r>
          </w:p>
        </w:tc>
        <w:tc>
          <w:tcPr>
            <w:tcW w:w="1145" w:type="dxa"/>
            <w:noWrap/>
            <w:vAlign w:val="center"/>
          </w:tcPr>
          <w:p w14:paraId="60A952B2"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w:t>
            </w:r>
            <w:r w:rsidRPr="00B12FE0">
              <w:rPr>
                <w:rFonts w:hint="eastAsia"/>
                <w:color w:val="000000" w:themeColor="text1"/>
                <w:sz w:val="18"/>
                <w:szCs w:val="18"/>
              </w:rPr>
              <w:t>人次</w:t>
            </w:r>
            <w:r w:rsidRPr="00B12FE0">
              <w:rPr>
                <w:rFonts w:hint="eastAsia"/>
                <w:color w:val="000000" w:themeColor="text1"/>
                <w:sz w:val="18"/>
                <w:szCs w:val="18"/>
              </w:rPr>
              <w:t>/d</w:t>
            </w:r>
          </w:p>
        </w:tc>
        <w:tc>
          <w:tcPr>
            <w:tcW w:w="1368" w:type="dxa"/>
            <w:vMerge/>
            <w:noWrap/>
            <w:vAlign w:val="center"/>
          </w:tcPr>
          <w:p w14:paraId="5AD66D80" w14:textId="77777777" w:rsidR="00A67F21" w:rsidRPr="00B12FE0" w:rsidRDefault="00A67F21">
            <w:pPr>
              <w:jc w:val="center"/>
              <w:textAlignment w:val="center"/>
              <w:rPr>
                <w:color w:val="000000" w:themeColor="text1"/>
                <w:sz w:val="18"/>
                <w:szCs w:val="18"/>
              </w:rPr>
            </w:pPr>
          </w:p>
        </w:tc>
      </w:tr>
      <w:tr w:rsidR="00A67F21" w:rsidRPr="00B12FE0" w14:paraId="47E7AB9C" w14:textId="77777777">
        <w:trPr>
          <w:trHeight w:val="272"/>
          <w:jc w:val="center"/>
        </w:trPr>
        <w:tc>
          <w:tcPr>
            <w:tcW w:w="1696" w:type="dxa"/>
            <w:gridSpan w:val="3"/>
            <w:noWrap/>
            <w:vAlign w:val="center"/>
          </w:tcPr>
          <w:p w14:paraId="2B3A12D9" w14:textId="77777777" w:rsidR="00A67F21" w:rsidRPr="00B12FE0" w:rsidRDefault="00000000">
            <w:pPr>
              <w:widowControl/>
              <w:jc w:val="center"/>
              <w:textAlignment w:val="center"/>
              <w:rPr>
                <w:color w:val="000000" w:themeColor="text1"/>
                <w:sz w:val="18"/>
                <w:szCs w:val="18"/>
              </w:rPr>
            </w:pPr>
            <w:r w:rsidRPr="00B12FE0">
              <w:rPr>
                <w:rStyle w:val="font31"/>
                <w:color w:val="000000" w:themeColor="text1"/>
                <w:sz w:val="18"/>
                <w:szCs w:val="18"/>
                <w:lang w:bidi="ar"/>
              </w:rPr>
              <w:t>50m</w:t>
            </w:r>
            <w:r w:rsidRPr="00B12FE0">
              <w:rPr>
                <w:rStyle w:val="font21"/>
                <w:color w:val="000000" w:themeColor="text1"/>
                <w:sz w:val="18"/>
                <w:szCs w:val="18"/>
                <w:lang w:bidi="ar"/>
              </w:rPr>
              <w:t>评价范围内</w:t>
            </w:r>
            <w:proofErr w:type="gramStart"/>
            <w:r w:rsidRPr="00B12FE0">
              <w:rPr>
                <w:rStyle w:val="font21"/>
                <w:rFonts w:hint="eastAsia"/>
                <w:color w:val="000000" w:themeColor="text1"/>
                <w:sz w:val="18"/>
                <w:szCs w:val="18"/>
                <w:lang w:bidi="ar"/>
              </w:rPr>
              <w:t>其他工众</w:t>
            </w:r>
            <w:proofErr w:type="gramEnd"/>
          </w:p>
        </w:tc>
        <w:tc>
          <w:tcPr>
            <w:tcW w:w="2977" w:type="dxa"/>
            <w:vAlign w:val="center"/>
          </w:tcPr>
          <w:p w14:paraId="6DF1D496" w14:textId="77777777" w:rsidR="00A67F21" w:rsidRPr="00B12FE0" w:rsidRDefault="00000000">
            <w:pPr>
              <w:widowControl/>
              <w:jc w:val="center"/>
              <w:textAlignment w:val="center"/>
              <w:rPr>
                <w:color w:val="000000" w:themeColor="text1"/>
                <w:sz w:val="18"/>
                <w:szCs w:val="18"/>
              </w:rPr>
            </w:pPr>
            <w:r w:rsidRPr="00B12FE0">
              <w:rPr>
                <w:rStyle w:val="font21"/>
                <w:color w:val="000000" w:themeColor="text1"/>
                <w:sz w:val="18"/>
                <w:szCs w:val="18"/>
                <w:lang w:bidi="ar"/>
              </w:rPr>
              <w:t>医院内建筑、院内道路</w:t>
            </w:r>
            <w:r w:rsidRPr="00B12FE0">
              <w:rPr>
                <w:rStyle w:val="font21"/>
                <w:rFonts w:hint="eastAsia"/>
                <w:color w:val="000000" w:themeColor="text1"/>
                <w:sz w:val="18"/>
                <w:szCs w:val="18"/>
                <w:lang w:bidi="ar"/>
              </w:rPr>
              <w:t>及绿化</w:t>
            </w:r>
            <w:r w:rsidRPr="00B12FE0">
              <w:rPr>
                <w:rStyle w:val="font21"/>
                <w:color w:val="000000" w:themeColor="text1"/>
                <w:sz w:val="18"/>
                <w:szCs w:val="18"/>
                <w:lang w:bidi="ar"/>
              </w:rPr>
              <w:t>、</w:t>
            </w:r>
            <w:r w:rsidRPr="00B12FE0">
              <w:rPr>
                <w:rStyle w:val="font01"/>
                <w:rFonts w:ascii="Times New Roman" w:hAnsi="Times New Roman" w:hint="default"/>
                <w:color w:val="000000" w:themeColor="text1"/>
                <w:sz w:val="18"/>
                <w:szCs w:val="18"/>
                <w:lang w:bidi="ar"/>
              </w:rPr>
              <w:t>院内规划用地</w:t>
            </w:r>
          </w:p>
        </w:tc>
        <w:tc>
          <w:tcPr>
            <w:tcW w:w="1040" w:type="dxa"/>
            <w:noWrap/>
            <w:vAlign w:val="center"/>
          </w:tcPr>
          <w:p w14:paraId="717582D0" w14:textId="77777777" w:rsidR="00A67F21" w:rsidRPr="00B12FE0" w:rsidRDefault="00000000">
            <w:pPr>
              <w:widowControl/>
              <w:jc w:val="center"/>
              <w:textAlignment w:val="center"/>
              <w:rPr>
                <w:rFonts w:ascii="Cambria Math" w:hAnsi="Cambria Math" w:cs="Cambria Math"/>
                <w:color w:val="000000" w:themeColor="text1"/>
                <w:kern w:val="0"/>
                <w:sz w:val="18"/>
                <w:szCs w:val="18"/>
                <w:lang w:bidi="ar"/>
              </w:rPr>
            </w:pPr>
            <w:r w:rsidRPr="00B12FE0">
              <w:rPr>
                <w:color w:val="000000" w:themeColor="text1"/>
                <w:kern w:val="0"/>
                <w:sz w:val="18"/>
                <w:szCs w:val="18"/>
                <w:lang w:bidi="ar"/>
              </w:rPr>
              <w:t>四周</w:t>
            </w:r>
          </w:p>
        </w:tc>
        <w:tc>
          <w:tcPr>
            <w:tcW w:w="800" w:type="dxa"/>
            <w:noWrap/>
            <w:vAlign w:val="center"/>
          </w:tcPr>
          <w:p w14:paraId="44285D5F"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50</w:t>
            </w:r>
          </w:p>
        </w:tc>
        <w:tc>
          <w:tcPr>
            <w:tcW w:w="1145" w:type="dxa"/>
            <w:noWrap/>
            <w:vAlign w:val="center"/>
          </w:tcPr>
          <w:p w14:paraId="5B92F06F"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2000</w:t>
            </w:r>
            <w:r w:rsidRPr="00B12FE0">
              <w:rPr>
                <w:rFonts w:hint="eastAsia"/>
                <w:color w:val="000000" w:themeColor="text1"/>
                <w:sz w:val="18"/>
                <w:szCs w:val="18"/>
              </w:rPr>
              <w:t>人次</w:t>
            </w:r>
          </w:p>
        </w:tc>
        <w:tc>
          <w:tcPr>
            <w:tcW w:w="1368" w:type="dxa"/>
            <w:vMerge/>
            <w:noWrap/>
            <w:vAlign w:val="center"/>
          </w:tcPr>
          <w:p w14:paraId="2F1EB3E2" w14:textId="77777777" w:rsidR="00A67F21" w:rsidRPr="00B12FE0" w:rsidRDefault="00A67F21">
            <w:pPr>
              <w:widowControl/>
              <w:jc w:val="center"/>
              <w:textAlignment w:val="center"/>
              <w:rPr>
                <w:color w:val="000000" w:themeColor="text1"/>
                <w:sz w:val="18"/>
                <w:szCs w:val="18"/>
              </w:rPr>
            </w:pPr>
          </w:p>
        </w:tc>
      </w:tr>
      <w:tr w:rsidR="00A67F21" w:rsidRPr="00B12FE0" w14:paraId="6A99AD4E" w14:textId="77777777">
        <w:trPr>
          <w:trHeight w:val="272"/>
          <w:jc w:val="center"/>
        </w:trPr>
        <w:tc>
          <w:tcPr>
            <w:tcW w:w="9026" w:type="dxa"/>
            <w:gridSpan w:val="8"/>
            <w:noWrap/>
            <w:vAlign w:val="center"/>
          </w:tcPr>
          <w:p w14:paraId="1DAF5697" w14:textId="77777777" w:rsidR="00A67F21" w:rsidRPr="00B12FE0" w:rsidRDefault="00000000">
            <w:pPr>
              <w:widowControl/>
              <w:textAlignment w:val="center"/>
              <w:rPr>
                <w:color w:val="000000" w:themeColor="text1"/>
                <w:kern w:val="0"/>
                <w:sz w:val="18"/>
                <w:szCs w:val="18"/>
                <w:lang w:bidi="ar"/>
              </w:rPr>
            </w:pPr>
            <w:r w:rsidRPr="00B12FE0">
              <w:rPr>
                <w:rFonts w:hint="eastAsia"/>
                <w:color w:val="000000" w:themeColor="text1"/>
                <w:kern w:val="0"/>
                <w:sz w:val="18"/>
                <w:szCs w:val="18"/>
                <w:lang w:bidi="ar"/>
              </w:rPr>
              <w:t>注：①核素诊断场所上方为核素治疗场所（</w:t>
            </w:r>
            <w:r w:rsidRPr="00B12FE0">
              <w:rPr>
                <w:color w:val="000000" w:themeColor="text1"/>
                <w:kern w:val="0"/>
                <w:sz w:val="18"/>
                <w:szCs w:val="18"/>
                <w:lang w:bidi="ar"/>
              </w:rPr>
              <w:t>主要为给药后患者和辐射工作人员居留区域</w:t>
            </w:r>
            <w:r w:rsidRPr="00B12FE0">
              <w:rPr>
                <w:rFonts w:hint="eastAsia"/>
                <w:color w:val="000000" w:themeColor="text1"/>
                <w:kern w:val="0"/>
                <w:sz w:val="18"/>
                <w:szCs w:val="18"/>
                <w:lang w:bidi="ar"/>
              </w:rPr>
              <w:t>）；②核素治疗场所下方部分为</w:t>
            </w:r>
            <w:r w:rsidRPr="00B12FE0">
              <w:rPr>
                <w:color w:val="000000" w:themeColor="text1"/>
                <w:kern w:val="0"/>
                <w:sz w:val="18"/>
                <w:szCs w:val="18"/>
                <w:lang w:bidi="ar"/>
              </w:rPr>
              <w:t>核素</w:t>
            </w:r>
            <w:r w:rsidRPr="00B12FE0">
              <w:rPr>
                <w:rFonts w:hint="eastAsia"/>
                <w:color w:val="000000" w:themeColor="text1"/>
                <w:kern w:val="0"/>
                <w:sz w:val="18"/>
                <w:szCs w:val="18"/>
                <w:lang w:bidi="ar"/>
              </w:rPr>
              <w:t>诊断</w:t>
            </w:r>
            <w:r w:rsidRPr="00B12FE0">
              <w:rPr>
                <w:color w:val="000000" w:themeColor="text1"/>
                <w:kern w:val="0"/>
                <w:sz w:val="18"/>
                <w:szCs w:val="18"/>
                <w:lang w:bidi="ar"/>
              </w:rPr>
              <w:t>场所和核医学科办公室、值班室、读片室</w:t>
            </w:r>
            <w:r w:rsidRPr="00B12FE0">
              <w:rPr>
                <w:rFonts w:hint="eastAsia"/>
                <w:color w:val="000000" w:themeColor="text1"/>
                <w:kern w:val="0"/>
                <w:sz w:val="18"/>
                <w:szCs w:val="18"/>
                <w:lang w:bidi="ar"/>
              </w:rPr>
              <w:t>，主要为核素诊断场所</w:t>
            </w:r>
            <w:r w:rsidRPr="00B12FE0">
              <w:rPr>
                <w:color w:val="000000" w:themeColor="text1"/>
                <w:kern w:val="0"/>
                <w:sz w:val="18"/>
                <w:szCs w:val="18"/>
                <w:lang w:bidi="ar"/>
              </w:rPr>
              <w:t>给药后患者</w:t>
            </w:r>
            <w:r w:rsidRPr="00B12FE0">
              <w:rPr>
                <w:rFonts w:hint="eastAsia"/>
                <w:color w:val="000000" w:themeColor="text1"/>
                <w:kern w:val="0"/>
                <w:sz w:val="18"/>
                <w:szCs w:val="18"/>
                <w:lang w:bidi="ar"/>
              </w:rPr>
              <w:t>和辐射工作人员居留区域。</w:t>
            </w:r>
          </w:p>
        </w:tc>
      </w:tr>
      <w:tr w:rsidR="00A67F21" w:rsidRPr="00B12FE0" w14:paraId="523C95B2" w14:textId="77777777">
        <w:trPr>
          <w:trHeight w:val="272"/>
          <w:jc w:val="center"/>
        </w:trPr>
        <w:tc>
          <w:tcPr>
            <w:tcW w:w="9026" w:type="dxa"/>
            <w:gridSpan w:val="8"/>
            <w:noWrap/>
            <w:vAlign w:val="center"/>
          </w:tcPr>
          <w:p w14:paraId="249A69FF" w14:textId="77777777" w:rsidR="00A67F21" w:rsidRPr="00B12FE0" w:rsidRDefault="00000000">
            <w:pPr>
              <w:pStyle w:val="TableParagraph"/>
              <w:autoSpaceDE/>
              <w:autoSpaceDN/>
              <w:spacing w:line="360" w:lineRule="auto"/>
              <w:outlineLvl w:val="1"/>
              <w:rPr>
                <w:b/>
                <w:bCs/>
                <w:color w:val="000000" w:themeColor="text1"/>
                <w:spacing w:val="1"/>
                <w:sz w:val="28"/>
                <w:szCs w:val="28"/>
              </w:rPr>
            </w:pPr>
            <w:r w:rsidRPr="00B12FE0">
              <w:rPr>
                <w:b/>
                <w:bCs/>
                <w:color w:val="000000" w:themeColor="text1"/>
                <w:spacing w:val="1"/>
                <w:sz w:val="28"/>
                <w:szCs w:val="28"/>
              </w:rPr>
              <w:t>7.3</w:t>
            </w:r>
            <w:r w:rsidRPr="00B12FE0">
              <w:rPr>
                <w:b/>
                <w:bCs/>
                <w:color w:val="000000" w:themeColor="text1"/>
                <w:spacing w:val="1"/>
                <w:sz w:val="28"/>
                <w:szCs w:val="28"/>
              </w:rPr>
              <w:t>评价标准</w:t>
            </w:r>
          </w:p>
          <w:p w14:paraId="52E11B40" w14:textId="77777777" w:rsidR="00A67F21" w:rsidRPr="00B12FE0" w:rsidRDefault="00000000">
            <w:pPr>
              <w:snapToGrid w:val="0"/>
              <w:spacing w:line="360" w:lineRule="auto"/>
              <w:contextualSpacing/>
              <w:rPr>
                <w:b/>
                <w:color w:val="000000" w:themeColor="text1"/>
                <w:kern w:val="0"/>
                <w:szCs w:val="24"/>
              </w:rPr>
            </w:pPr>
            <w:r w:rsidRPr="00B12FE0">
              <w:rPr>
                <w:b/>
                <w:color w:val="000000" w:themeColor="text1"/>
                <w:kern w:val="0"/>
                <w:szCs w:val="24"/>
              </w:rPr>
              <w:t>7.3.1</w:t>
            </w:r>
            <w:r w:rsidRPr="00B12FE0">
              <w:rPr>
                <w:b/>
                <w:color w:val="000000" w:themeColor="text1"/>
                <w:kern w:val="0"/>
                <w:szCs w:val="24"/>
              </w:rPr>
              <w:t>剂量限值</w:t>
            </w:r>
          </w:p>
          <w:p w14:paraId="20DF4842" w14:textId="77777777" w:rsidR="00A67F21" w:rsidRPr="00B12FE0" w:rsidRDefault="00000000">
            <w:pPr>
              <w:spacing w:line="360" w:lineRule="auto"/>
              <w:ind w:firstLineChars="200" w:firstLine="480"/>
              <w:rPr>
                <w:color w:val="000000" w:themeColor="text1"/>
              </w:rPr>
            </w:pPr>
            <w:r w:rsidRPr="00B12FE0">
              <w:rPr>
                <w:color w:val="000000" w:themeColor="text1"/>
                <w:kern w:val="0"/>
                <w:szCs w:val="24"/>
                <w:lang w:bidi="ar"/>
              </w:rPr>
              <w:t>剂量限值执行《电离辐射防护与辐射源安全基本标准》（</w:t>
            </w:r>
            <w:r w:rsidRPr="00B12FE0">
              <w:rPr>
                <w:color w:val="000000" w:themeColor="text1"/>
                <w:kern w:val="0"/>
                <w:szCs w:val="24"/>
                <w:lang w:bidi="ar"/>
              </w:rPr>
              <w:t>GB 18871-2002</w:t>
            </w:r>
            <w:r w:rsidRPr="00B12FE0">
              <w:rPr>
                <w:color w:val="000000" w:themeColor="text1"/>
                <w:kern w:val="0"/>
                <w:szCs w:val="24"/>
                <w:lang w:bidi="ar"/>
              </w:rPr>
              <w:t>）规定，工作人员的职业照射和公众照射的剂量限值如下：</w:t>
            </w:r>
          </w:p>
          <w:p w14:paraId="30E3D5EF" w14:textId="77777777" w:rsidR="00A67F21" w:rsidRPr="00B12FE0" w:rsidRDefault="00000000">
            <w:pPr>
              <w:spacing w:line="360" w:lineRule="auto"/>
              <w:ind w:firstLineChars="200" w:firstLine="480"/>
              <w:rPr>
                <w:rFonts w:eastAsia="楷体"/>
                <w:color w:val="000000" w:themeColor="text1"/>
              </w:rPr>
            </w:pPr>
            <w:r w:rsidRPr="00B12FE0">
              <w:rPr>
                <w:rFonts w:eastAsia="楷体"/>
                <w:color w:val="000000" w:themeColor="text1"/>
                <w:kern w:val="0"/>
                <w:szCs w:val="24"/>
                <w:lang w:bidi="ar"/>
              </w:rPr>
              <w:t>（</w:t>
            </w:r>
            <w:r w:rsidRPr="00B12FE0">
              <w:rPr>
                <w:rFonts w:eastAsia="楷体"/>
                <w:color w:val="000000" w:themeColor="text1"/>
                <w:kern w:val="0"/>
                <w:szCs w:val="24"/>
                <w:lang w:bidi="ar"/>
              </w:rPr>
              <w:t>1</w:t>
            </w:r>
            <w:r w:rsidRPr="00B12FE0">
              <w:rPr>
                <w:rFonts w:eastAsia="楷体"/>
                <w:color w:val="000000" w:themeColor="text1"/>
                <w:kern w:val="0"/>
                <w:szCs w:val="24"/>
                <w:lang w:bidi="ar"/>
              </w:rPr>
              <w:t>）职业照射</w:t>
            </w:r>
          </w:p>
          <w:p w14:paraId="2F92F004" w14:textId="77777777" w:rsidR="00A67F21" w:rsidRPr="00B12FE0" w:rsidRDefault="00000000">
            <w:pPr>
              <w:spacing w:line="360" w:lineRule="auto"/>
              <w:ind w:firstLineChars="200" w:firstLine="480"/>
              <w:rPr>
                <w:rFonts w:eastAsia="楷体"/>
                <w:color w:val="000000" w:themeColor="text1"/>
              </w:rPr>
            </w:pPr>
            <w:r w:rsidRPr="00B12FE0">
              <w:rPr>
                <w:rFonts w:eastAsia="楷体"/>
                <w:color w:val="000000" w:themeColor="text1"/>
                <w:kern w:val="0"/>
                <w:szCs w:val="24"/>
                <w:lang w:bidi="ar"/>
              </w:rPr>
              <w:t>应对任何工作人员职业照射水平进行控制，使之不超过下述限值：</w:t>
            </w:r>
          </w:p>
          <w:p w14:paraId="330E9A27" w14:textId="77777777" w:rsidR="00A67F21" w:rsidRPr="00B12FE0" w:rsidRDefault="00000000">
            <w:pPr>
              <w:spacing w:line="360" w:lineRule="auto"/>
              <w:ind w:firstLineChars="200" w:firstLine="480"/>
              <w:rPr>
                <w:rFonts w:eastAsia="楷体"/>
                <w:color w:val="000000" w:themeColor="text1"/>
              </w:rPr>
            </w:pPr>
            <w:r w:rsidRPr="00B12FE0">
              <w:rPr>
                <w:rFonts w:eastAsia="楷体"/>
                <w:color w:val="000000" w:themeColor="text1"/>
                <w:kern w:val="0"/>
                <w:szCs w:val="24"/>
                <w:lang w:bidi="ar"/>
              </w:rPr>
              <w:lastRenderedPageBreak/>
              <w:t>1</w:t>
            </w:r>
            <w:r w:rsidRPr="00B12FE0">
              <w:rPr>
                <w:rFonts w:eastAsia="楷体"/>
                <w:color w:val="000000" w:themeColor="text1"/>
                <w:kern w:val="0"/>
                <w:szCs w:val="24"/>
                <w:lang w:bidi="ar"/>
              </w:rPr>
              <w:t>）审管部门决定连续</w:t>
            </w:r>
            <w:r w:rsidRPr="00B12FE0">
              <w:rPr>
                <w:rFonts w:eastAsia="楷体"/>
                <w:color w:val="000000" w:themeColor="text1"/>
                <w:kern w:val="0"/>
                <w:szCs w:val="24"/>
                <w:lang w:bidi="ar"/>
              </w:rPr>
              <w:t>5</w:t>
            </w:r>
            <w:r w:rsidRPr="00B12FE0">
              <w:rPr>
                <w:rFonts w:eastAsia="楷体"/>
                <w:color w:val="000000" w:themeColor="text1"/>
                <w:kern w:val="0"/>
                <w:szCs w:val="24"/>
                <w:lang w:bidi="ar"/>
              </w:rPr>
              <w:t>年的年平均有效剂量（但不可作任何追溯性平均），</w:t>
            </w:r>
          </w:p>
        </w:tc>
      </w:tr>
      <w:tr w:rsidR="00A67F21" w:rsidRPr="00B12FE0" w14:paraId="26671E4C" w14:textId="77777777">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9" w:type="dxa"/>
          <w:trHeight w:val="20"/>
          <w:jc w:val="center"/>
        </w:trPr>
        <w:tc>
          <w:tcPr>
            <w:tcW w:w="5000" w:type="pct"/>
            <w:gridSpan w:val="7"/>
            <w:tcBorders>
              <w:top w:val="single" w:sz="4" w:space="0" w:color="000000"/>
              <w:left w:val="single" w:sz="4" w:space="0" w:color="000000"/>
              <w:bottom w:val="single" w:sz="4" w:space="0" w:color="000000"/>
              <w:right w:val="single" w:sz="4" w:space="0" w:color="000000"/>
            </w:tcBorders>
          </w:tcPr>
          <w:p w14:paraId="7947AB19" w14:textId="77777777" w:rsidR="00A67F21" w:rsidRPr="00B12FE0" w:rsidRDefault="00000000">
            <w:pPr>
              <w:spacing w:line="360" w:lineRule="auto"/>
              <w:rPr>
                <w:rFonts w:eastAsia="楷体"/>
                <w:color w:val="000000" w:themeColor="text1"/>
              </w:rPr>
            </w:pPr>
            <w:r w:rsidRPr="00B12FE0">
              <w:rPr>
                <w:rFonts w:eastAsia="楷体"/>
                <w:color w:val="000000" w:themeColor="text1"/>
                <w:kern w:val="0"/>
                <w:szCs w:val="24"/>
                <w:lang w:bidi="ar"/>
              </w:rPr>
              <w:lastRenderedPageBreak/>
              <w:t>20mSv</w:t>
            </w:r>
            <w:r w:rsidRPr="00B12FE0">
              <w:rPr>
                <w:rFonts w:eastAsia="楷体"/>
                <w:color w:val="000000" w:themeColor="text1"/>
                <w:kern w:val="0"/>
                <w:szCs w:val="24"/>
                <w:lang w:bidi="ar"/>
              </w:rPr>
              <w:t>；</w:t>
            </w:r>
          </w:p>
          <w:p w14:paraId="4D7BCB54" w14:textId="77777777" w:rsidR="00A67F21" w:rsidRPr="00B12FE0" w:rsidRDefault="00000000">
            <w:pPr>
              <w:spacing w:line="360" w:lineRule="auto"/>
              <w:ind w:firstLineChars="200" w:firstLine="480"/>
              <w:rPr>
                <w:rFonts w:eastAsia="楷体"/>
                <w:color w:val="000000" w:themeColor="text1"/>
              </w:rPr>
            </w:pPr>
            <w:r w:rsidRPr="00B12FE0">
              <w:rPr>
                <w:rFonts w:eastAsia="楷体"/>
                <w:color w:val="000000" w:themeColor="text1"/>
                <w:kern w:val="0"/>
                <w:szCs w:val="24"/>
                <w:lang w:bidi="ar"/>
              </w:rPr>
              <w:t>2</w:t>
            </w:r>
            <w:r w:rsidRPr="00B12FE0">
              <w:rPr>
                <w:rFonts w:eastAsia="楷体"/>
                <w:color w:val="000000" w:themeColor="text1"/>
                <w:kern w:val="0"/>
                <w:szCs w:val="24"/>
                <w:lang w:bidi="ar"/>
              </w:rPr>
              <w:t>）任何一年中的有效剂量，</w:t>
            </w:r>
            <w:r w:rsidRPr="00B12FE0">
              <w:rPr>
                <w:rFonts w:eastAsia="楷体"/>
                <w:color w:val="000000" w:themeColor="text1"/>
                <w:kern w:val="0"/>
                <w:szCs w:val="24"/>
                <w:lang w:bidi="ar"/>
              </w:rPr>
              <w:t>50mSv</w:t>
            </w:r>
            <w:r w:rsidRPr="00B12FE0">
              <w:rPr>
                <w:rFonts w:eastAsia="楷体"/>
                <w:color w:val="000000" w:themeColor="text1"/>
                <w:kern w:val="0"/>
                <w:szCs w:val="24"/>
                <w:lang w:bidi="ar"/>
              </w:rPr>
              <w:t>；</w:t>
            </w:r>
          </w:p>
          <w:p w14:paraId="21342910" w14:textId="77777777" w:rsidR="00A67F21" w:rsidRPr="00B12FE0" w:rsidRDefault="00000000">
            <w:pPr>
              <w:adjustRightInd w:val="0"/>
              <w:snapToGrid w:val="0"/>
              <w:spacing w:line="360" w:lineRule="auto"/>
              <w:ind w:firstLineChars="200" w:firstLine="480"/>
              <w:rPr>
                <w:rFonts w:eastAsia="楷体"/>
                <w:color w:val="000000" w:themeColor="text1"/>
              </w:rPr>
            </w:pPr>
            <w:r w:rsidRPr="00B12FE0">
              <w:rPr>
                <w:rFonts w:eastAsia="楷体" w:hint="eastAsia"/>
                <w:color w:val="000000" w:themeColor="text1"/>
                <w:kern w:val="0"/>
                <w:szCs w:val="24"/>
                <w:lang w:bidi="ar"/>
              </w:rPr>
              <w:t>（</w:t>
            </w:r>
            <w:r w:rsidRPr="00B12FE0">
              <w:rPr>
                <w:rFonts w:eastAsia="楷体"/>
                <w:color w:val="000000" w:themeColor="text1"/>
                <w:kern w:val="0"/>
                <w:szCs w:val="24"/>
                <w:lang w:bidi="ar"/>
              </w:rPr>
              <w:t>2</w:t>
            </w:r>
            <w:r w:rsidRPr="00B12FE0">
              <w:rPr>
                <w:rFonts w:eastAsia="楷体"/>
                <w:color w:val="000000" w:themeColor="text1"/>
                <w:kern w:val="0"/>
                <w:szCs w:val="24"/>
                <w:lang w:bidi="ar"/>
              </w:rPr>
              <w:t>）公众照射实践使公众中关键人群组的成员所受到的平均剂量估计值不应超过下述限值：</w:t>
            </w:r>
          </w:p>
          <w:p w14:paraId="69181297" w14:textId="77777777" w:rsidR="00A67F21" w:rsidRPr="00B12FE0" w:rsidRDefault="00000000">
            <w:pPr>
              <w:adjustRightInd w:val="0"/>
              <w:snapToGrid w:val="0"/>
              <w:spacing w:line="360" w:lineRule="auto"/>
              <w:ind w:firstLineChars="200" w:firstLine="480"/>
              <w:rPr>
                <w:rFonts w:eastAsia="楷体"/>
                <w:color w:val="000000" w:themeColor="text1"/>
              </w:rPr>
            </w:pPr>
            <w:r w:rsidRPr="00B12FE0">
              <w:rPr>
                <w:rFonts w:eastAsia="楷体"/>
                <w:color w:val="000000" w:themeColor="text1"/>
                <w:kern w:val="0"/>
                <w:szCs w:val="24"/>
                <w:lang w:bidi="ar"/>
              </w:rPr>
              <w:t>1</w:t>
            </w:r>
            <w:r w:rsidRPr="00B12FE0">
              <w:rPr>
                <w:rFonts w:eastAsia="楷体"/>
                <w:color w:val="000000" w:themeColor="text1"/>
                <w:kern w:val="0"/>
                <w:szCs w:val="24"/>
                <w:lang w:bidi="ar"/>
              </w:rPr>
              <w:t>）年有效剂量，</w:t>
            </w:r>
            <w:r w:rsidRPr="00B12FE0">
              <w:rPr>
                <w:rFonts w:eastAsia="楷体"/>
                <w:color w:val="000000" w:themeColor="text1"/>
                <w:kern w:val="0"/>
                <w:szCs w:val="24"/>
                <w:lang w:bidi="ar"/>
              </w:rPr>
              <w:t>1mSv</w:t>
            </w:r>
            <w:r w:rsidRPr="00B12FE0">
              <w:rPr>
                <w:rFonts w:eastAsia="楷体"/>
                <w:color w:val="000000" w:themeColor="text1"/>
                <w:kern w:val="0"/>
                <w:szCs w:val="24"/>
                <w:lang w:bidi="ar"/>
              </w:rPr>
              <w:t>；</w:t>
            </w:r>
          </w:p>
          <w:p w14:paraId="5B8E2B82" w14:textId="77777777" w:rsidR="00A67F21" w:rsidRPr="00B12FE0" w:rsidRDefault="00000000">
            <w:pPr>
              <w:adjustRightInd w:val="0"/>
              <w:snapToGrid w:val="0"/>
              <w:spacing w:line="360" w:lineRule="auto"/>
              <w:ind w:firstLineChars="200" w:firstLine="480"/>
              <w:rPr>
                <w:rFonts w:eastAsia="楷体"/>
                <w:color w:val="000000" w:themeColor="text1"/>
              </w:rPr>
            </w:pPr>
            <w:r w:rsidRPr="00B12FE0">
              <w:rPr>
                <w:rFonts w:eastAsia="楷体"/>
                <w:color w:val="000000" w:themeColor="text1"/>
                <w:kern w:val="0"/>
                <w:szCs w:val="24"/>
                <w:lang w:bidi="ar"/>
              </w:rPr>
              <w:t>2</w:t>
            </w:r>
            <w:r w:rsidRPr="00B12FE0">
              <w:rPr>
                <w:rFonts w:eastAsia="楷体"/>
                <w:color w:val="000000" w:themeColor="text1"/>
                <w:kern w:val="0"/>
                <w:szCs w:val="24"/>
                <w:lang w:bidi="ar"/>
              </w:rPr>
              <w:t>）特殊情况下，如果</w:t>
            </w:r>
            <w:r w:rsidRPr="00B12FE0">
              <w:rPr>
                <w:rFonts w:eastAsia="楷体"/>
                <w:color w:val="000000" w:themeColor="text1"/>
                <w:kern w:val="0"/>
                <w:szCs w:val="24"/>
                <w:lang w:bidi="ar"/>
              </w:rPr>
              <w:t>5</w:t>
            </w:r>
            <w:r w:rsidRPr="00B12FE0">
              <w:rPr>
                <w:rFonts w:eastAsia="楷体"/>
                <w:color w:val="000000" w:themeColor="text1"/>
                <w:kern w:val="0"/>
                <w:szCs w:val="24"/>
                <w:lang w:bidi="ar"/>
              </w:rPr>
              <w:t>个连续年的年平均剂量不超过</w:t>
            </w:r>
            <w:r w:rsidRPr="00B12FE0">
              <w:rPr>
                <w:rFonts w:eastAsia="楷体"/>
                <w:color w:val="000000" w:themeColor="text1"/>
                <w:kern w:val="0"/>
                <w:szCs w:val="24"/>
                <w:lang w:bidi="ar"/>
              </w:rPr>
              <w:t>1mSv</w:t>
            </w:r>
            <w:r w:rsidRPr="00B12FE0">
              <w:rPr>
                <w:rFonts w:eastAsia="楷体"/>
                <w:color w:val="000000" w:themeColor="text1"/>
                <w:kern w:val="0"/>
                <w:szCs w:val="24"/>
                <w:lang w:bidi="ar"/>
              </w:rPr>
              <w:t>，则某一单一年份的有效剂量可提高到</w:t>
            </w:r>
            <w:r w:rsidRPr="00B12FE0">
              <w:rPr>
                <w:rFonts w:eastAsia="楷体"/>
                <w:color w:val="000000" w:themeColor="text1"/>
                <w:kern w:val="0"/>
                <w:szCs w:val="24"/>
                <w:lang w:bidi="ar"/>
              </w:rPr>
              <w:t>5mSv</w:t>
            </w:r>
            <w:r w:rsidRPr="00B12FE0">
              <w:rPr>
                <w:rFonts w:eastAsia="楷体"/>
                <w:color w:val="000000" w:themeColor="text1"/>
                <w:kern w:val="0"/>
                <w:szCs w:val="24"/>
                <w:lang w:bidi="ar"/>
              </w:rPr>
              <w:t>；</w:t>
            </w:r>
          </w:p>
          <w:p w14:paraId="7827EF58" w14:textId="77777777" w:rsidR="00A67F21" w:rsidRPr="00B12FE0" w:rsidRDefault="00000000">
            <w:pPr>
              <w:adjustRightInd w:val="0"/>
              <w:snapToGrid w:val="0"/>
              <w:spacing w:line="360" w:lineRule="auto"/>
              <w:rPr>
                <w:b/>
                <w:color w:val="000000" w:themeColor="text1"/>
                <w:kern w:val="0"/>
                <w:szCs w:val="24"/>
              </w:rPr>
            </w:pPr>
            <w:r w:rsidRPr="00B12FE0">
              <w:rPr>
                <w:b/>
                <w:color w:val="000000" w:themeColor="text1"/>
                <w:kern w:val="0"/>
                <w:szCs w:val="24"/>
              </w:rPr>
              <w:t>7.3.2</w:t>
            </w:r>
            <w:r w:rsidRPr="00B12FE0">
              <w:rPr>
                <w:b/>
                <w:color w:val="000000" w:themeColor="text1"/>
                <w:kern w:val="0"/>
                <w:szCs w:val="24"/>
              </w:rPr>
              <w:t>剂量约束值</w:t>
            </w:r>
          </w:p>
          <w:p w14:paraId="2F15E9FF" w14:textId="77777777" w:rsidR="00A67F21" w:rsidRPr="00B12FE0" w:rsidRDefault="00000000">
            <w:pPr>
              <w:adjustRightInd w:val="0"/>
              <w:snapToGrid w:val="0"/>
              <w:spacing w:line="360" w:lineRule="auto"/>
              <w:ind w:firstLine="480"/>
              <w:rPr>
                <w:color w:val="000000" w:themeColor="text1"/>
                <w:kern w:val="0"/>
                <w:szCs w:val="24"/>
                <w:lang w:bidi="ar"/>
              </w:rPr>
            </w:pPr>
            <w:r w:rsidRPr="00B12FE0">
              <w:rPr>
                <w:rFonts w:hint="eastAsia"/>
                <w:color w:val="000000" w:themeColor="text1"/>
                <w:kern w:val="0"/>
                <w:szCs w:val="24"/>
                <w:lang w:bidi="ar"/>
              </w:rPr>
              <w:t>根据《核医学辐射防护与安全要求》（</w:t>
            </w:r>
            <w:r w:rsidRPr="00B12FE0">
              <w:rPr>
                <w:rFonts w:hint="eastAsia"/>
                <w:color w:val="000000" w:themeColor="text1"/>
                <w:kern w:val="0"/>
                <w:szCs w:val="24"/>
                <w:lang w:bidi="ar"/>
              </w:rPr>
              <w:t>HJ1188-2021</w:t>
            </w:r>
            <w:r w:rsidRPr="00B12FE0">
              <w:rPr>
                <w:rFonts w:hint="eastAsia"/>
                <w:color w:val="000000" w:themeColor="text1"/>
                <w:kern w:val="0"/>
                <w:szCs w:val="24"/>
                <w:lang w:bidi="ar"/>
              </w:rPr>
              <w:t>）</w:t>
            </w:r>
            <w:r w:rsidRPr="00B12FE0">
              <w:rPr>
                <w:rFonts w:hint="eastAsia"/>
                <w:color w:val="000000" w:themeColor="text1"/>
                <w:kern w:val="0"/>
                <w:szCs w:val="24"/>
                <w:lang w:bidi="ar"/>
              </w:rPr>
              <w:t>4.4.2</w:t>
            </w:r>
            <w:r w:rsidRPr="00B12FE0">
              <w:rPr>
                <w:rFonts w:hint="eastAsia"/>
                <w:color w:val="000000" w:themeColor="text1"/>
                <w:kern w:val="0"/>
                <w:szCs w:val="24"/>
                <w:lang w:bidi="ar"/>
              </w:rPr>
              <w:t>剂量约束值</w:t>
            </w:r>
          </w:p>
          <w:p w14:paraId="76BEAC2E" w14:textId="77777777" w:rsidR="00A67F21" w:rsidRPr="00B12FE0" w:rsidRDefault="00000000">
            <w:pPr>
              <w:adjustRightInd w:val="0"/>
              <w:snapToGrid w:val="0"/>
              <w:spacing w:line="360" w:lineRule="auto"/>
              <w:ind w:firstLine="480"/>
              <w:rPr>
                <w:color w:val="000000" w:themeColor="text1"/>
                <w:kern w:val="0"/>
                <w:szCs w:val="24"/>
                <w:lang w:bidi="ar"/>
              </w:rPr>
            </w:pPr>
            <w:r w:rsidRPr="00B12FE0">
              <w:rPr>
                <w:rFonts w:hint="eastAsia"/>
                <w:color w:val="000000" w:themeColor="text1"/>
                <w:kern w:val="0"/>
                <w:szCs w:val="24"/>
                <w:lang w:bidi="ar"/>
              </w:rPr>
              <w:t>4.4.2.1</w:t>
            </w:r>
            <w:r w:rsidRPr="00B12FE0">
              <w:rPr>
                <w:rFonts w:hint="eastAsia"/>
                <w:color w:val="000000" w:themeColor="text1"/>
                <w:kern w:val="0"/>
                <w:szCs w:val="24"/>
                <w:lang w:bidi="ar"/>
              </w:rPr>
              <w:t>一般情况下，职业照射的剂量约束值不超过</w:t>
            </w:r>
            <w:r w:rsidRPr="00B12FE0">
              <w:rPr>
                <w:rFonts w:hint="eastAsia"/>
                <w:color w:val="000000" w:themeColor="text1"/>
                <w:kern w:val="0"/>
                <w:szCs w:val="24"/>
                <w:lang w:bidi="ar"/>
              </w:rPr>
              <w:t>5mSv/a</w:t>
            </w:r>
            <w:r w:rsidRPr="00B12FE0">
              <w:rPr>
                <w:rFonts w:hint="eastAsia"/>
                <w:color w:val="000000" w:themeColor="text1"/>
                <w:kern w:val="0"/>
                <w:szCs w:val="24"/>
                <w:lang w:bidi="ar"/>
              </w:rPr>
              <w:t>；</w:t>
            </w:r>
          </w:p>
          <w:p w14:paraId="0BE06B08" w14:textId="77777777" w:rsidR="00A67F21" w:rsidRPr="00B12FE0" w:rsidRDefault="00000000">
            <w:pPr>
              <w:adjustRightInd w:val="0"/>
              <w:snapToGrid w:val="0"/>
              <w:spacing w:line="360" w:lineRule="auto"/>
              <w:ind w:firstLine="480"/>
              <w:rPr>
                <w:color w:val="000000" w:themeColor="text1"/>
                <w:kern w:val="0"/>
                <w:szCs w:val="24"/>
                <w:lang w:bidi="ar"/>
              </w:rPr>
            </w:pPr>
            <w:r w:rsidRPr="00B12FE0">
              <w:rPr>
                <w:rFonts w:hint="eastAsia"/>
                <w:color w:val="000000" w:themeColor="text1"/>
                <w:kern w:val="0"/>
                <w:szCs w:val="24"/>
                <w:lang w:bidi="ar"/>
              </w:rPr>
              <w:t>4.4.2.2</w:t>
            </w:r>
            <w:r w:rsidRPr="00B12FE0">
              <w:rPr>
                <w:rFonts w:hint="eastAsia"/>
                <w:color w:val="000000" w:themeColor="text1"/>
                <w:kern w:val="0"/>
                <w:szCs w:val="24"/>
                <w:lang w:bidi="ar"/>
              </w:rPr>
              <w:t>公众照射的剂量约束值不超过</w:t>
            </w:r>
            <w:r w:rsidRPr="00B12FE0">
              <w:rPr>
                <w:rFonts w:hint="eastAsia"/>
                <w:color w:val="000000" w:themeColor="text1"/>
                <w:kern w:val="0"/>
                <w:szCs w:val="24"/>
                <w:lang w:bidi="ar"/>
              </w:rPr>
              <w:t>0.1mSv/a</w:t>
            </w:r>
            <w:r w:rsidRPr="00B12FE0">
              <w:rPr>
                <w:rFonts w:hint="eastAsia"/>
                <w:color w:val="000000" w:themeColor="text1"/>
                <w:kern w:val="0"/>
                <w:szCs w:val="24"/>
                <w:lang w:bidi="ar"/>
              </w:rPr>
              <w:t>。</w:t>
            </w:r>
          </w:p>
          <w:p w14:paraId="3B76D15F" w14:textId="77777777" w:rsidR="00A67F21" w:rsidRPr="00B12FE0" w:rsidRDefault="00000000">
            <w:pPr>
              <w:adjustRightInd w:val="0"/>
              <w:snapToGrid w:val="0"/>
              <w:spacing w:line="360" w:lineRule="auto"/>
              <w:rPr>
                <w:color w:val="000000" w:themeColor="text1"/>
                <w:kern w:val="0"/>
                <w:szCs w:val="24"/>
                <w:lang w:bidi="ar"/>
              </w:rPr>
            </w:pPr>
            <w:r w:rsidRPr="00B12FE0">
              <w:rPr>
                <w:rFonts w:hint="eastAsia"/>
                <w:color w:val="000000" w:themeColor="text1"/>
                <w:kern w:val="0"/>
                <w:szCs w:val="24"/>
                <w:lang w:bidi="ar"/>
              </w:rPr>
              <w:t>本次评价中，对于职业人员取不超过</w:t>
            </w:r>
            <w:r w:rsidRPr="00B12FE0">
              <w:rPr>
                <w:rFonts w:hint="eastAsia"/>
                <w:color w:val="000000" w:themeColor="text1"/>
                <w:kern w:val="0"/>
                <w:szCs w:val="24"/>
                <w:lang w:bidi="ar"/>
              </w:rPr>
              <w:t>5mSv/a</w:t>
            </w:r>
            <w:r w:rsidRPr="00B12FE0">
              <w:rPr>
                <w:rFonts w:hint="eastAsia"/>
                <w:color w:val="000000" w:themeColor="text1"/>
                <w:kern w:val="0"/>
                <w:szCs w:val="24"/>
                <w:lang w:bidi="ar"/>
              </w:rPr>
              <w:t>作为年剂量约束值；对于公众取不超过</w:t>
            </w:r>
            <w:r w:rsidRPr="00B12FE0">
              <w:rPr>
                <w:rFonts w:hint="eastAsia"/>
                <w:color w:val="000000" w:themeColor="text1"/>
                <w:kern w:val="0"/>
                <w:szCs w:val="24"/>
                <w:lang w:bidi="ar"/>
              </w:rPr>
              <w:t>0.1mSv/a</w:t>
            </w:r>
            <w:r w:rsidRPr="00B12FE0">
              <w:rPr>
                <w:rFonts w:hint="eastAsia"/>
                <w:color w:val="000000" w:themeColor="text1"/>
                <w:kern w:val="0"/>
                <w:szCs w:val="24"/>
                <w:lang w:bidi="ar"/>
              </w:rPr>
              <w:t>作为年剂量约束值。</w:t>
            </w:r>
          </w:p>
          <w:p w14:paraId="584AFD95" w14:textId="77777777" w:rsidR="00A67F21" w:rsidRPr="00B12FE0" w:rsidRDefault="00000000">
            <w:pPr>
              <w:adjustRightInd w:val="0"/>
              <w:snapToGrid w:val="0"/>
              <w:spacing w:line="360" w:lineRule="auto"/>
              <w:rPr>
                <w:b/>
                <w:color w:val="000000" w:themeColor="text1"/>
                <w:kern w:val="0"/>
                <w:szCs w:val="24"/>
              </w:rPr>
            </w:pPr>
            <w:r w:rsidRPr="00B12FE0">
              <w:rPr>
                <w:b/>
                <w:color w:val="000000" w:themeColor="text1"/>
                <w:kern w:val="0"/>
                <w:szCs w:val="24"/>
              </w:rPr>
              <w:t>7.3.3</w:t>
            </w:r>
            <w:r w:rsidRPr="00B12FE0">
              <w:rPr>
                <w:b/>
                <w:color w:val="000000" w:themeColor="text1"/>
                <w:kern w:val="0"/>
                <w:szCs w:val="24"/>
              </w:rPr>
              <w:t>核医学工作场所评价标准</w:t>
            </w:r>
          </w:p>
          <w:p w14:paraId="4FEF0F53" w14:textId="77777777" w:rsidR="00A67F21" w:rsidRPr="00B12FE0" w:rsidRDefault="00000000">
            <w:pPr>
              <w:widowControl/>
              <w:autoSpaceDE w:val="0"/>
              <w:autoSpaceDN w:val="0"/>
              <w:adjustRightInd w:val="0"/>
              <w:snapToGrid w:val="0"/>
              <w:spacing w:line="360" w:lineRule="auto"/>
              <w:ind w:left="480"/>
              <w:jc w:val="left"/>
              <w:rPr>
                <w:b/>
                <w:color w:val="000000" w:themeColor="text1"/>
                <w:kern w:val="0"/>
                <w:szCs w:val="24"/>
              </w:rPr>
            </w:pPr>
            <w:r w:rsidRPr="00B12FE0">
              <w:rPr>
                <w:rFonts w:ascii="宋体" w:hAnsi="宋体"/>
                <w:b/>
                <w:color w:val="000000" w:themeColor="text1"/>
                <w:kern w:val="0"/>
                <w:szCs w:val="24"/>
              </w:rPr>
              <w:t>（</w:t>
            </w:r>
            <w:r w:rsidRPr="00B12FE0">
              <w:rPr>
                <w:b/>
                <w:color w:val="000000" w:themeColor="text1"/>
                <w:kern w:val="0"/>
                <w:szCs w:val="24"/>
              </w:rPr>
              <w:t>1</w:t>
            </w:r>
            <w:r w:rsidRPr="00B12FE0">
              <w:rPr>
                <w:rFonts w:ascii="宋体" w:hAnsi="宋体"/>
                <w:b/>
                <w:color w:val="000000" w:themeColor="text1"/>
                <w:kern w:val="0"/>
                <w:szCs w:val="24"/>
              </w:rPr>
              <w:t>）辐射防护分区</w:t>
            </w:r>
          </w:p>
          <w:p w14:paraId="212BC6F6" w14:textId="77777777" w:rsidR="00A67F21" w:rsidRPr="00B12FE0" w:rsidRDefault="00000000">
            <w:pPr>
              <w:adjustRightInd w:val="0"/>
              <w:snapToGrid w:val="0"/>
              <w:spacing w:line="360" w:lineRule="auto"/>
              <w:ind w:firstLineChars="200" w:firstLine="480"/>
              <w:rPr>
                <w:bCs/>
                <w:color w:val="000000" w:themeColor="text1"/>
                <w:kern w:val="0"/>
                <w:szCs w:val="24"/>
              </w:rPr>
            </w:pPr>
            <w:r w:rsidRPr="00B12FE0">
              <w:rPr>
                <w:rFonts w:ascii="宋体" w:hAnsi="宋体"/>
                <w:bCs/>
                <w:color w:val="000000" w:themeColor="text1"/>
                <w:kern w:val="0"/>
                <w:szCs w:val="24"/>
              </w:rPr>
              <w:t>根据《核医学辐射防护与安全要求》（</w:t>
            </w:r>
            <w:r w:rsidRPr="00B12FE0">
              <w:rPr>
                <w:bCs/>
                <w:color w:val="000000" w:themeColor="text1"/>
                <w:kern w:val="0"/>
                <w:szCs w:val="24"/>
              </w:rPr>
              <w:t>HJ1188-2021</w:t>
            </w:r>
            <w:r w:rsidRPr="00B12FE0">
              <w:rPr>
                <w:rFonts w:ascii="宋体" w:hAnsi="宋体"/>
                <w:bCs/>
                <w:color w:val="000000" w:themeColor="text1"/>
                <w:kern w:val="0"/>
                <w:szCs w:val="24"/>
              </w:rPr>
              <w:t>）：</w:t>
            </w:r>
          </w:p>
          <w:p w14:paraId="277C7CBF" w14:textId="77777777" w:rsidR="00A67F21" w:rsidRPr="00B12FE0" w:rsidRDefault="00000000">
            <w:pPr>
              <w:adjustRightInd w:val="0"/>
              <w:snapToGrid w:val="0"/>
              <w:spacing w:line="360" w:lineRule="auto"/>
              <w:ind w:firstLineChars="200" w:firstLine="480"/>
              <w:rPr>
                <w:rFonts w:eastAsia="楷体"/>
                <w:color w:val="000000" w:themeColor="text1"/>
                <w:szCs w:val="24"/>
              </w:rPr>
            </w:pPr>
            <w:r w:rsidRPr="00B12FE0">
              <w:rPr>
                <w:rFonts w:eastAsia="楷体"/>
                <w:color w:val="000000" w:themeColor="text1"/>
                <w:szCs w:val="24"/>
              </w:rPr>
              <w:t xml:space="preserve">4.3.2 </w:t>
            </w:r>
            <w:r w:rsidRPr="00B12FE0">
              <w:rPr>
                <w:rFonts w:ascii="楷体" w:eastAsia="楷体" w:hAnsi="楷体"/>
                <w:color w:val="000000" w:themeColor="text1"/>
                <w:szCs w:val="24"/>
              </w:rPr>
              <w:t>核医学工作场所的控制区主要包括回旋加速器机房、放射性药物合成和分装室、放射性药物贮存室、给药室、给药后候诊室、扫描室、核素治疗病房、给药后患者的专用卫生间、放射性废物暂存库、衰变池等区域。</w:t>
            </w:r>
          </w:p>
          <w:p w14:paraId="6DCA79C2" w14:textId="77777777" w:rsidR="00A67F21" w:rsidRPr="00B12FE0" w:rsidRDefault="00000000">
            <w:pPr>
              <w:adjustRightInd w:val="0"/>
              <w:snapToGrid w:val="0"/>
              <w:spacing w:line="360" w:lineRule="auto"/>
              <w:ind w:firstLineChars="200" w:firstLine="480"/>
              <w:rPr>
                <w:rFonts w:eastAsia="楷体"/>
                <w:color w:val="000000" w:themeColor="text1"/>
                <w:szCs w:val="24"/>
              </w:rPr>
            </w:pPr>
            <w:r w:rsidRPr="00B12FE0">
              <w:rPr>
                <w:rFonts w:eastAsia="楷体"/>
                <w:color w:val="000000" w:themeColor="text1"/>
                <w:szCs w:val="24"/>
              </w:rPr>
              <w:t xml:space="preserve">4.3.3 </w:t>
            </w:r>
            <w:r w:rsidRPr="00B12FE0">
              <w:rPr>
                <w:rFonts w:ascii="楷体" w:eastAsia="楷体" w:hAnsi="楷体"/>
                <w:color w:val="000000" w:themeColor="text1"/>
                <w:szCs w:val="24"/>
              </w:rPr>
              <w:t>核医学工作场所的监督区主要包括回旋加速器和显像设备控制室、卫生</w:t>
            </w:r>
            <w:proofErr w:type="gramStart"/>
            <w:r w:rsidRPr="00B12FE0">
              <w:rPr>
                <w:rFonts w:ascii="楷体" w:eastAsia="楷体" w:hAnsi="楷体"/>
                <w:color w:val="000000" w:themeColor="text1"/>
                <w:szCs w:val="24"/>
              </w:rPr>
              <w:t>通过间</w:t>
            </w:r>
            <w:proofErr w:type="gramEnd"/>
            <w:r w:rsidRPr="00B12FE0">
              <w:rPr>
                <w:rFonts w:ascii="楷体" w:eastAsia="楷体" w:hAnsi="楷体"/>
                <w:color w:val="000000" w:themeColor="text1"/>
                <w:szCs w:val="24"/>
              </w:rPr>
              <w:t xml:space="preserve">以及与控制区相连的其他场所或区域。 </w:t>
            </w:r>
          </w:p>
          <w:p w14:paraId="0BAE0788" w14:textId="77777777" w:rsidR="00A67F21" w:rsidRPr="00B12FE0" w:rsidRDefault="00000000">
            <w:pPr>
              <w:adjustRightInd w:val="0"/>
              <w:snapToGrid w:val="0"/>
              <w:spacing w:line="360" w:lineRule="auto"/>
              <w:ind w:firstLineChars="200" w:firstLine="482"/>
              <w:rPr>
                <w:b/>
                <w:bCs/>
                <w:color w:val="000000" w:themeColor="text1"/>
                <w:kern w:val="0"/>
                <w:szCs w:val="24"/>
                <w:lang w:bidi="ar"/>
              </w:rPr>
            </w:pPr>
            <w:r w:rsidRPr="00B12FE0">
              <w:rPr>
                <w:rFonts w:hint="eastAsia"/>
                <w:b/>
                <w:bCs/>
                <w:color w:val="000000" w:themeColor="text1"/>
                <w:kern w:val="0"/>
                <w:szCs w:val="24"/>
                <w:lang w:bidi="ar"/>
              </w:rPr>
              <w:t>（</w:t>
            </w:r>
            <w:r w:rsidRPr="00B12FE0">
              <w:rPr>
                <w:rFonts w:hint="eastAsia"/>
                <w:b/>
                <w:bCs/>
                <w:color w:val="000000" w:themeColor="text1"/>
                <w:kern w:val="0"/>
                <w:szCs w:val="24"/>
                <w:lang w:bidi="ar"/>
              </w:rPr>
              <w:t>2</w:t>
            </w:r>
            <w:r w:rsidRPr="00B12FE0">
              <w:rPr>
                <w:rFonts w:hint="eastAsia"/>
                <w:b/>
                <w:bCs/>
                <w:color w:val="000000" w:themeColor="text1"/>
                <w:kern w:val="0"/>
                <w:szCs w:val="24"/>
                <w:lang w:bidi="ar"/>
              </w:rPr>
              <w:t>）非密封放射性物质工作场所的分级</w:t>
            </w:r>
          </w:p>
          <w:p w14:paraId="2E63B038" w14:textId="77777777" w:rsidR="00A67F21" w:rsidRPr="00B12FE0" w:rsidRDefault="00000000">
            <w:pPr>
              <w:adjustRightInd w:val="0"/>
              <w:snapToGrid w:val="0"/>
              <w:spacing w:line="360" w:lineRule="auto"/>
              <w:ind w:firstLineChars="200" w:firstLine="480"/>
              <w:rPr>
                <w:color w:val="000000" w:themeColor="text1"/>
                <w:kern w:val="0"/>
                <w:szCs w:val="24"/>
                <w:lang w:bidi="ar"/>
              </w:rPr>
            </w:pPr>
            <w:r w:rsidRPr="00B12FE0">
              <w:rPr>
                <w:rFonts w:hint="eastAsia"/>
                <w:color w:val="000000" w:themeColor="text1"/>
                <w:kern w:val="0"/>
                <w:szCs w:val="24"/>
                <w:lang w:bidi="ar"/>
              </w:rPr>
              <w:t>根据《电离辐射防护与辐射源安全基本标准》（</w:t>
            </w:r>
            <w:r w:rsidRPr="00B12FE0">
              <w:rPr>
                <w:color w:val="000000" w:themeColor="text1"/>
                <w:kern w:val="0"/>
                <w:szCs w:val="24"/>
                <w:lang w:bidi="ar"/>
              </w:rPr>
              <w:t>GB 18871-2002</w:t>
            </w:r>
            <w:r w:rsidRPr="00B12FE0">
              <w:rPr>
                <w:rFonts w:hint="eastAsia"/>
                <w:color w:val="000000" w:themeColor="text1"/>
                <w:kern w:val="0"/>
                <w:szCs w:val="24"/>
                <w:lang w:bidi="ar"/>
              </w:rPr>
              <w:t>）附录</w:t>
            </w:r>
            <w:r w:rsidRPr="00B12FE0">
              <w:rPr>
                <w:color w:val="000000" w:themeColor="text1"/>
                <w:kern w:val="0"/>
                <w:szCs w:val="24"/>
                <w:lang w:bidi="ar"/>
              </w:rPr>
              <w:t>C</w:t>
            </w:r>
            <w:r w:rsidRPr="00B12FE0">
              <w:rPr>
                <w:rFonts w:hint="eastAsia"/>
                <w:color w:val="000000" w:themeColor="text1"/>
                <w:kern w:val="0"/>
                <w:szCs w:val="24"/>
                <w:lang w:bidi="ar"/>
              </w:rPr>
              <w:t>中的相关规定，非密封放射性物质工作场所的</w:t>
            </w:r>
            <w:proofErr w:type="gramStart"/>
            <w:r w:rsidRPr="00B12FE0">
              <w:rPr>
                <w:rFonts w:hint="eastAsia"/>
                <w:color w:val="000000" w:themeColor="text1"/>
                <w:kern w:val="0"/>
                <w:szCs w:val="24"/>
                <w:lang w:bidi="ar"/>
              </w:rPr>
              <w:t>分级见</w:t>
            </w:r>
            <w:proofErr w:type="gramEnd"/>
            <w:r w:rsidRPr="00B12FE0">
              <w:rPr>
                <w:rFonts w:hint="eastAsia"/>
                <w:color w:val="000000" w:themeColor="text1"/>
                <w:kern w:val="0"/>
                <w:szCs w:val="24"/>
                <w:lang w:bidi="ar"/>
              </w:rPr>
              <w:t>下表。</w:t>
            </w:r>
          </w:p>
          <w:p w14:paraId="416C1695" w14:textId="77777777" w:rsidR="00A67F21" w:rsidRPr="00B12FE0" w:rsidRDefault="00000000">
            <w:pPr>
              <w:adjustRightInd w:val="0"/>
              <w:snapToGrid w:val="0"/>
              <w:spacing w:line="360" w:lineRule="auto"/>
              <w:jc w:val="center"/>
              <w:rPr>
                <w:b/>
                <w:color w:val="000000" w:themeColor="text1"/>
                <w:sz w:val="21"/>
                <w:szCs w:val="21"/>
              </w:rPr>
            </w:pPr>
            <w:r w:rsidRPr="00B12FE0">
              <w:rPr>
                <w:rFonts w:hint="eastAsia"/>
                <w:b/>
                <w:color w:val="000000" w:themeColor="text1"/>
                <w:sz w:val="21"/>
                <w:szCs w:val="21"/>
              </w:rPr>
              <w:t>表</w:t>
            </w:r>
            <w:r w:rsidRPr="00B12FE0">
              <w:rPr>
                <w:b/>
                <w:color w:val="000000" w:themeColor="text1"/>
                <w:sz w:val="21"/>
                <w:szCs w:val="21"/>
              </w:rPr>
              <w:t>7.3</w:t>
            </w:r>
            <w:r w:rsidRPr="00B12FE0">
              <w:rPr>
                <w:rFonts w:hint="eastAsia"/>
                <w:b/>
                <w:color w:val="000000" w:themeColor="text1"/>
                <w:sz w:val="21"/>
                <w:szCs w:val="21"/>
              </w:rPr>
              <w:t>.3</w:t>
            </w:r>
            <w:r w:rsidRPr="00B12FE0">
              <w:rPr>
                <w:b/>
                <w:color w:val="000000" w:themeColor="text1"/>
                <w:sz w:val="21"/>
                <w:szCs w:val="21"/>
              </w:rPr>
              <w:t>-1</w:t>
            </w:r>
            <w:r w:rsidRPr="00B12FE0">
              <w:rPr>
                <w:rFonts w:hint="eastAsia"/>
                <w:b/>
                <w:color w:val="000000" w:themeColor="text1"/>
                <w:sz w:val="21"/>
                <w:szCs w:val="21"/>
              </w:rPr>
              <w:t xml:space="preserve">  </w:t>
            </w:r>
            <w:r w:rsidRPr="00B12FE0">
              <w:rPr>
                <w:rFonts w:hint="eastAsia"/>
                <w:b/>
                <w:color w:val="000000" w:themeColor="text1"/>
                <w:kern w:val="0"/>
                <w:sz w:val="21"/>
                <w:szCs w:val="21"/>
                <w:lang w:bidi="ar"/>
              </w:rPr>
              <w:t>非密封放射性物质工作场所的分级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4388"/>
            </w:tblGrid>
            <w:tr w:rsidR="00A67F21" w:rsidRPr="00B12FE0" w14:paraId="57352AA5" w14:textId="77777777">
              <w:trPr>
                <w:trHeight w:val="397"/>
                <w:jc w:val="center"/>
              </w:trPr>
              <w:tc>
                <w:tcPr>
                  <w:tcW w:w="2438" w:type="pct"/>
                  <w:tcBorders>
                    <w:top w:val="single" w:sz="4" w:space="0" w:color="auto"/>
                    <w:left w:val="single" w:sz="4" w:space="0" w:color="auto"/>
                    <w:bottom w:val="single" w:sz="4" w:space="0" w:color="auto"/>
                    <w:right w:val="single" w:sz="4" w:space="0" w:color="auto"/>
                  </w:tcBorders>
                  <w:vAlign w:val="center"/>
                </w:tcPr>
                <w:p w14:paraId="6AAB1B7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级别</w:t>
                  </w:r>
                </w:p>
              </w:tc>
              <w:tc>
                <w:tcPr>
                  <w:tcW w:w="2562" w:type="pct"/>
                  <w:tcBorders>
                    <w:top w:val="single" w:sz="4" w:space="0" w:color="auto"/>
                    <w:left w:val="nil"/>
                    <w:bottom w:val="single" w:sz="4" w:space="0" w:color="auto"/>
                    <w:right w:val="single" w:sz="4" w:space="0" w:color="auto"/>
                  </w:tcBorders>
                  <w:vAlign w:val="center"/>
                </w:tcPr>
                <w:p w14:paraId="414A373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日等效最大操作量</w:t>
                  </w:r>
                  <w:r w:rsidRPr="00B12FE0">
                    <w:rPr>
                      <w:color w:val="000000" w:themeColor="text1"/>
                      <w:sz w:val="21"/>
                      <w:szCs w:val="21"/>
                    </w:rPr>
                    <w:t>/Bq</w:t>
                  </w:r>
                </w:p>
              </w:tc>
            </w:tr>
            <w:tr w:rsidR="00A67F21" w:rsidRPr="00B12FE0" w14:paraId="74CC4A2E" w14:textId="77777777">
              <w:trPr>
                <w:trHeight w:val="397"/>
                <w:jc w:val="center"/>
              </w:trPr>
              <w:tc>
                <w:tcPr>
                  <w:tcW w:w="2438" w:type="pct"/>
                  <w:tcBorders>
                    <w:top w:val="nil"/>
                    <w:left w:val="single" w:sz="4" w:space="0" w:color="auto"/>
                    <w:bottom w:val="single" w:sz="4" w:space="0" w:color="auto"/>
                    <w:right w:val="single" w:sz="4" w:space="0" w:color="auto"/>
                  </w:tcBorders>
                  <w:vAlign w:val="center"/>
                </w:tcPr>
                <w:p w14:paraId="2DB1EAD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甲</w:t>
                  </w:r>
                </w:p>
              </w:tc>
              <w:tc>
                <w:tcPr>
                  <w:tcW w:w="2562" w:type="pct"/>
                  <w:tcBorders>
                    <w:top w:val="single" w:sz="4" w:space="0" w:color="auto"/>
                    <w:left w:val="nil"/>
                    <w:bottom w:val="single" w:sz="4" w:space="0" w:color="auto"/>
                    <w:right w:val="single" w:sz="4" w:space="0" w:color="auto"/>
                  </w:tcBorders>
                  <w:vAlign w:val="center"/>
                </w:tcPr>
                <w:p w14:paraId="1D8AE6F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4</w:t>
                  </w:r>
                  <w:r w:rsidRPr="00B12FE0">
                    <w:rPr>
                      <w:rFonts w:hint="eastAsia"/>
                      <w:color w:val="000000" w:themeColor="text1"/>
                      <w:sz w:val="21"/>
                      <w:szCs w:val="21"/>
                    </w:rPr>
                    <w:t>E+09</w:t>
                  </w:r>
                </w:p>
              </w:tc>
            </w:tr>
            <w:tr w:rsidR="00A67F21" w:rsidRPr="00B12FE0" w14:paraId="52300FBE" w14:textId="77777777">
              <w:trPr>
                <w:trHeight w:val="397"/>
                <w:jc w:val="center"/>
              </w:trPr>
              <w:tc>
                <w:tcPr>
                  <w:tcW w:w="2438" w:type="pct"/>
                  <w:tcBorders>
                    <w:top w:val="nil"/>
                    <w:left w:val="single" w:sz="4" w:space="0" w:color="auto"/>
                    <w:bottom w:val="single" w:sz="4" w:space="0" w:color="auto"/>
                    <w:right w:val="single" w:sz="4" w:space="0" w:color="auto"/>
                  </w:tcBorders>
                  <w:vAlign w:val="center"/>
                </w:tcPr>
                <w:p w14:paraId="5C46B17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乙</w:t>
                  </w:r>
                </w:p>
              </w:tc>
              <w:tc>
                <w:tcPr>
                  <w:tcW w:w="2562" w:type="pct"/>
                  <w:tcBorders>
                    <w:top w:val="nil"/>
                    <w:left w:val="nil"/>
                    <w:bottom w:val="single" w:sz="4" w:space="0" w:color="auto"/>
                    <w:right w:val="single" w:sz="4" w:space="0" w:color="auto"/>
                  </w:tcBorders>
                  <w:vAlign w:val="center"/>
                </w:tcPr>
                <w:p w14:paraId="1F13B5B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r w:rsidRPr="00B12FE0">
                    <w:rPr>
                      <w:rFonts w:hint="eastAsia"/>
                      <w:color w:val="000000" w:themeColor="text1"/>
                      <w:sz w:val="21"/>
                      <w:szCs w:val="21"/>
                    </w:rPr>
                    <w:t>E+07</w:t>
                  </w:r>
                  <w:r w:rsidRPr="00B12FE0">
                    <w:rPr>
                      <w:color w:val="000000" w:themeColor="text1"/>
                      <w:sz w:val="21"/>
                      <w:szCs w:val="21"/>
                    </w:rPr>
                    <w:t>~4</w:t>
                  </w:r>
                  <w:r w:rsidRPr="00B12FE0">
                    <w:rPr>
                      <w:rFonts w:hint="eastAsia"/>
                      <w:color w:val="000000" w:themeColor="text1"/>
                      <w:sz w:val="21"/>
                      <w:szCs w:val="21"/>
                    </w:rPr>
                    <w:t>E+09</w:t>
                  </w:r>
                </w:p>
              </w:tc>
            </w:tr>
            <w:tr w:rsidR="00A67F21" w:rsidRPr="00B12FE0" w14:paraId="06640BC5" w14:textId="77777777">
              <w:trPr>
                <w:trHeight w:val="397"/>
                <w:jc w:val="center"/>
              </w:trPr>
              <w:tc>
                <w:tcPr>
                  <w:tcW w:w="2438" w:type="pct"/>
                  <w:tcBorders>
                    <w:top w:val="single" w:sz="4" w:space="0" w:color="auto"/>
                    <w:left w:val="single" w:sz="4" w:space="0" w:color="auto"/>
                    <w:bottom w:val="single" w:sz="4" w:space="0" w:color="auto"/>
                    <w:right w:val="single" w:sz="4" w:space="0" w:color="auto"/>
                  </w:tcBorders>
                  <w:vAlign w:val="center"/>
                </w:tcPr>
                <w:p w14:paraId="18D8BE1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丙</w:t>
                  </w:r>
                </w:p>
              </w:tc>
              <w:tc>
                <w:tcPr>
                  <w:tcW w:w="2562" w:type="pct"/>
                  <w:tcBorders>
                    <w:top w:val="single" w:sz="4" w:space="0" w:color="auto"/>
                    <w:left w:val="nil"/>
                    <w:bottom w:val="single" w:sz="4" w:space="0" w:color="auto"/>
                    <w:right w:val="single" w:sz="4" w:space="0" w:color="auto"/>
                  </w:tcBorders>
                  <w:vAlign w:val="center"/>
                </w:tcPr>
                <w:p w14:paraId="4E008E6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豁免活度</w:t>
                  </w:r>
                  <w:proofErr w:type="gramStart"/>
                  <w:r w:rsidRPr="00B12FE0">
                    <w:rPr>
                      <w:rFonts w:hint="eastAsia"/>
                      <w:color w:val="000000" w:themeColor="text1"/>
                      <w:sz w:val="21"/>
                      <w:szCs w:val="21"/>
                    </w:rPr>
                    <w:t>值以上</w:t>
                  </w:r>
                  <w:proofErr w:type="gramEnd"/>
                  <w:r w:rsidRPr="00B12FE0">
                    <w:rPr>
                      <w:color w:val="000000" w:themeColor="text1"/>
                      <w:sz w:val="21"/>
                      <w:szCs w:val="21"/>
                    </w:rPr>
                    <w:t>~2</w:t>
                  </w:r>
                  <w:r w:rsidRPr="00B12FE0">
                    <w:rPr>
                      <w:rFonts w:hint="eastAsia"/>
                      <w:color w:val="000000" w:themeColor="text1"/>
                      <w:sz w:val="21"/>
                      <w:szCs w:val="21"/>
                    </w:rPr>
                    <w:t>E+07</w:t>
                  </w:r>
                </w:p>
              </w:tc>
            </w:tr>
          </w:tbl>
          <w:p w14:paraId="47242BD4" w14:textId="77777777" w:rsidR="00A67F21" w:rsidRPr="00B12FE0" w:rsidRDefault="00000000">
            <w:pPr>
              <w:adjustRightInd w:val="0"/>
              <w:snapToGrid w:val="0"/>
              <w:spacing w:line="360" w:lineRule="auto"/>
              <w:ind w:firstLineChars="200" w:firstLine="482"/>
              <w:jc w:val="left"/>
              <w:rPr>
                <w:b/>
                <w:bCs/>
                <w:color w:val="000000" w:themeColor="text1"/>
                <w:kern w:val="0"/>
                <w:szCs w:val="24"/>
                <w:lang w:bidi="ar"/>
              </w:rPr>
            </w:pPr>
            <w:r w:rsidRPr="00B12FE0">
              <w:rPr>
                <w:b/>
                <w:bCs/>
                <w:color w:val="000000" w:themeColor="text1"/>
                <w:kern w:val="0"/>
                <w:szCs w:val="24"/>
                <w:lang w:bidi="ar"/>
              </w:rPr>
              <w:lastRenderedPageBreak/>
              <w:t>（</w:t>
            </w:r>
            <w:r w:rsidRPr="00B12FE0">
              <w:rPr>
                <w:rFonts w:hint="eastAsia"/>
                <w:b/>
                <w:bCs/>
                <w:color w:val="000000" w:themeColor="text1"/>
                <w:kern w:val="0"/>
                <w:szCs w:val="24"/>
                <w:lang w:bidi="ar"/>
              </w:rPr>
              <w:t>3</w:t>
            </w:r>
            <w:r w:rsidRPr="00B12FE0">
              <w:rPr>
                <w:b/>
                <w:bCs/>
                <w:color w:val="000000" w:themeColor="text1"/>
                <w:kern w:val="0"/>
                <w:szCs w:val="24"/>
                <w:lang w:bidi="ar"/>
              </w:rPr>
              <w:t>）辐射工作场所屏蔽体外剂量率水平</w:t>
            </w:r>
          </w:p>
          <w:p w14:paraId="51B244BF" w14:textId="77777777" w:rsidR="00A67F21" w:rsidRPr="00B12FE0" w:rsidRDefault="00000000">
            <w:pPr>
              <w:adjustRightInd w:val="0"/>
              <w:snapToGrid w:val="0"/>
              <w:spacing w:line="360" w:lineRule="auto"/>
              <w:ind w:firstLineChars="200" w:firstLine="480"/>
              <w:rPr>
                <w:color w:val="000000" w:themeColor="text1"/>
                <w:kern w:val="0"/>
                <w:szCs w:val="24"/>
                <w:lang w:bidi="ar"/>
              </w:rPr>
            </w:pPr>
            <w:r w:rsidRPr="00B12FE0">
              <w:rPr>
                <w:color w:val="000000" w:themeColor="text1"/>
                <w:kern w:val="0"/>
                <w:szCs w:val="24"/>
                <w:lang w:bidi="ar"/>
              </w:rPr>
              <w:t>根据《核医学辐射防护与安全要求》（</w:t>
            </w:r>
            <w:r w:rsidRPr="00B12FE0">
              <w:rPr>
                <w:color w:val="000000" w:themeColor="text1"/>
                <w:kern w:val="0"/>
                <w:szCs w:val="24"/>
                <w:lang w:bidi="ar"/>
              </w:rPr>
              <w:t>HJ 1188-2021</w:t>
            </w:r>
            <w:r w:rsidRPr="00B12FE0">
              <w:rPr>
                <w:color w:val="000000" w:themeColor="text1"/>
                <w:kern w:val="0"/>
                <w:szCs w:val="24"/>
                <w:lang w:bidi="ar"/>
              </w:rPr>
              <w:t>）</w:t>
            </w:r>
            <w:r w:rsidRPr="00B12FE0">
              <w:rPr>
                <w:rFonts w:hint="eastAsia"/>
                <w:color w:val="000000" w:themeColor="text1"/>
              </w:rPr>
              <w:t>及《关于核医学标准相关条款咨询的复函》（辐射函〔</w:t>
            </w:r>
            <w:r w:rsidRPr="00B12FE0">
              <w:rPr>
                <w:color w:val="000000" w:themeColor="text1"/>
              </w:rPr>
              <w:t>2023</w:t>
            </w:r>
            <w:r w:rsidRPr="00B12FE0">
              <w:rPr>
                <w:rFonts w:hint="eastAsia"/>
                <w:color w:val="000000" w:themeColor="text1"/>
              </w:rPr>
              <w:t>〕</w:t>
            </w:r>
            <w:r w:rsidRPr="00B12FE0">
              <w:rPr>
                <w:color w:val="000000" w:themeColor="text1"/>
              </w:rPr>
              <w:t>20</w:t>
            </w:r>
            <w:r w:rsidRPr="00B12FE0">
              <w:rPr>
                <w:rFonts w:hint="eastAsia"/>
                <w:color w:val="000000" w:themeColor="text1"/>
              </w:rPr>
              <w:t>号）</w:t>
            </w:r>
            <w:r w:rsidRPr="00B12FE0">
              <w:rPr>
                <w:rFonts w:hint="eastAsia"/>
                <w:color w:val="000000" w:themeColor="text1"/>
                <w:kern w:val="0"/>
                <w:szCs w:val="24"/>
                <w:lang w:bidi="ar"/>
              </w:rPr>
              <w:t>中相关规定，本项目核医学工作场所辐射工作场所屏蔽体外剂量率控制水平见下表。</w:t>
            </w:r>
          </w:p>
          <w:p w14:paraId="3F044055" w14:textId="77777777" w:rsidR="00A67F21" w:rsidRPr="00B12FE0" w:rsidRDefault="00000000">
            <w:pPr>
              <w:adjustRightInd w:val="0"/>
              <w:snapToGrid w:val="0"/>
              <w:spacing w:line="360" w:lineRule="auto"/>
              <w:jc w:val="center"/>
              <w:rPr>
                <w:b/>
                <w:color w:val="000000" w:themeColor="text1"/>
                <w:sz w:val="21"/>
                <w:szCs w:val="21"/>
              </w:rPr>
            </w:pPr>
            <w:r w:rsidRPr="00B12FE0">
              <w:rPr>
                <w:rFonts w:hint="eastAsia"/>
                <w:b/>
                <w:color w:val="000000" w:themeColor="text1"/>
                <w:sz w:val="21"/>
                <w:szCs w:val="21"/>
              </w:rPr>
              <w:t>表</w:t>
            </w:r>
            <w:r w:rsidRPr="00B12FE0">
              <w:rPr>
                <w:b/>
                <w:color w:val="000000" w:themeColor="text1"/>
                <w:sz w:val="21"/>
                <w:szCs w:val="21"/>
              </w:rPr>
              <w:t>7.3</w:t>
            </w:r>
            <w:r w:rsidRPr="00B12FE0">
              <w:rPr>
                <w:rFonts w:hint="eastAsia"/>
                <w:b/>
                <w:color w:val="000000" w:themeColor="text1"/>
                <w:sz w:val="21"/>
                <w:szCs w:val="21"/>
              </w:rPr>
              <w:t>.3</w:t>
            </w:r>
            <w:r w:rsidRPr="00B12FE0">
              <w:rPr>
                <w:b/>
                <w:color w:val="000000" w:themeColor="text1"/>
                <w:sz w:val="21"/>
                <w:szCs w:val="21"/>
              </w:rPr>
              <w:t>-2</w:t>
            </w:r>
            <w:r w:rsidRPr="00B12FE0">
              <w:rPr>
                <w:rFonts w:hint="eastAsia"/>
                <w:b/>
                <w:color w:val="000000" w:themeColor="text1"/>
                <w:sz w:val="21"/>
                <w:szCs w:val="21"/>
              </w:rPr>
              <w:t xml:space="preserve">  </w:t>
            </w:r>
            <w:r w:rsidRPr="00B12FE0">
              <w:rPr>
                <w:rFonts w:hint="eastAsia"/>
                <w:b/>
                <w:color w:val="000000" w:themeColor="text1"/>
                <w:sz w:val="21"/>
                <w:szCs w:val="21"/>
              </w:rPr>
              <w:t>核医学工作场所辐射工作场所屏蔽体外剂量率控制水平</w:t>
            </w:r>
          </w:p>
          <w:tbl>
            <w:tblPr>
              <w:tblStyle w:val="affff"/>
              <w:tblW w:w="4998" w:type="pct"/>
              <w:jc w:val="center"/>
              <w:tblLook w:val="04A0" w:firstRow="1" w:lastRow="0" w:firstColumn="1" w:lastColumn="0" w:noHBand="0" w:noVBand="1"/>
            </w:tblPr>
            <w:tblGrid>
              <w:gridCol w:w="1182"/>
              <w:gridCol w:w="1747"/>
              <w:gridCol w:w="3444"/>
              <w:gridCol w:w="2188"/>
            </w:tblGrid>
            <w:tr w:rsidR="00A67F21" w:rsidRPr="00B12FE0" w14:paraId="0F661826" w14:textId="77777777">
              <w:trPr>
                <w:trHeight w:val="20"/>
                <w:jc w:val="center"/>
              </w:trPr>
              <w:tc>
                <w:tcPr>
                  <w:tcW w:w="690" w:type="pct"/>
                  <w:vAlign w:val="center"/>
                </w:tcPr>
                <w:p w14:paraId="2124DAC4"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场所</w:t>
                  </w:r>
                </w:p>
              </w:tc>
              <w:tc>
                <w:tcPr>
                  <w:tcW w:w="3031" w:type="pct"/>
                  <w:gridSpan w:val="2"/>
                  <w:vAlign w:val="center"/>
                </w:tcPr>
                <w:p w14:paraId="1DE95B89"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位置</w:t>
                  </w:r>
                </w:p>
              </w:tc>
              <w:tc>
                <w:tcPr>
                  <w:tcW w:w="1278" w:type="pct"/>
                  <w:vAlign w:val="center"/>
                </w:tcPr>
                <w:p w14:paraId="1C695171"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剂量率控制水平</w:t>
                  </w:r>
                  <w:r w:rsidRPr="00B12FE0">
                    <w:rPr>
                      <w:bCs/>
                      <w:color w:val="000000" w:themeColor="text1"/>
                      <w:sz w:val="21"/>
                      <w:szCs w:val="21"/>
                    </w:rPr>
                    <w:t>（</w:t>
                  </w:r>
                  <w:proofErr w:type="spellStart"/>
                  <w:r w:rsidRPr="00B12FE0">
                    <w:rPr>
                      <w:bCs/>
                      <w:color w:val="000000" w:themeColor="text1"/>
                      <w:sz w:val="21"/>
                      <w:szCs w:val="21"/>
                    </w:rPr>
                    <w:t>μSv</w:t>
                  </w:r>
                  <w:proofErr w:type="spellEnd"/>
                  <w:r w:rsidRPr="00B12FE0">
                    <w:rPr>
                      <w:bCs/>
                      <w:color w:val="000000" w:themeColor="text1"/>
                      <w:sz w:val="21"/>
                      <w:szCs w:val="21"/>
                    </w:rPr>
                    <w:t>/h</w:t>
                  </w:r>
                  <w:r w:rsidRPr="00B12FE0">
                    <w:rPr>
                      <w:bCs/>
                      <w:color w:val="000000" w:themeColor="text1"/>
                      <w:sz w:val="21"/>
                      <w:szCs w:val="21"/>
                    </w:rPr>
                    <w:t>）</w:t>
                  </w:r>
                </w:p>
              </w:tc>
            </w:tr>
            <w:tr w:rsidR="00A67F21" w:rsidRPr="00B12FE0" w14:paraId="19870C5A" w14:textId="77777777">
              <w:trPr>
                <w:trHeight w:val="20"/>
                <w:jc w:val="center"/>
              </w:trPr>
              <w:tc>
                <w:tcPr>
                  <w:tcW w:w="690" w:type="pct"/>
                  <w:vMerge w:val="restart"/>
                  <w:vAlign w:val="center"/>
                </w:tcPr>
                <w:p w14:paraId="5AB910D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核医学科</w:t>
                  </w:r>
                </w:p>
              </w:tc>
              <w:tc>
                <w:tcPr>
                  <w:tcW w:w="3031" w:type="pct"/>
                  <w:gridSpan w:val="2"/>
                  <w:vAlign w:val="center"/>
                </w:tcPr>
                <w:p w14:paraId="08C7FA4D"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控制区外人员可到达处，距屏蔽体外</w:t>
                  </w:r>
                  <w:r w:rsidRPr="00B12FE0">
                    <w:rPr>
                      <w:rFonts w:hint="eastAsia"/>
                      <w:bCs/>
                      <w:color w:val="000000" w:themeColor="text1"/>
                      <w:sz w:val="21"/>
                      <w:szCs w:val="21"/>
                    </w:rPr>
                    <w:t>3</w:t>
                  </w:r>
                  <w:r w:rsidRPr="00B12FE0">
                    <w:rPr>
                      <w:bCs/>
                      <w:color w:val="000000" w:themeColor="text1"/>
                      <w:sz w:val="21"/>
                      <w:szCs w:val="21"/>
                    </w:rPr>
                    <w:t>0</w:t>
                  </w:r>
                  <w:r w:rsidRPr="00B12FE0">
                    <w:rPr>
                      <w:rFonts w:hint="eastAsia"/>
                      <w:bCs/>
                      <w:color w:val="000000" w:themeColor="text1"/>
                      <w:sz w:val="21"/>
                      <w:szCs w:val="21"/>
                    </w:rPr>
                    <w:t>cm</w:t>
                  </w:r>
                  <w:r w:rsidRPr="00B12FE0">
                    <w:rPr>
                      <w:rFonts w:hint="eastAsia"/>
                      <w:bCs/>
                      <w:color w:val="000000" w:themeColor="text1"/>
                      <w:sz w:val="21"/>
                      <w:szCs w:val="21"/>
                    </w:rPr>
                    <w:t>处</w:t>
                  </w:r>
                </w:p>
              </w:tc>
              <w:tc>
                <w:tcPr>
                  <w:tcW w:w="1278" w:type="pct"/>
                  <w:vAlign w:val="center"/>
                </w:tcPr>
                <w:p w14:paraId="7ADA088D"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2</w:t>
                  </w:r>
                  <w:r w:rsidRPr="00B12FE0">
                    <w:rPr>
                      <w:bCs/>
                      <w:color w:val="000000" w:themeColor="text1"/>
                      <w:sz w:val="21"/>
                      <w:szCs w:val="21"/>
                    </w:rPr>
                    <w:t>.5</w:t>
                  </w:r>
                </w:p>
              </w:tc>
            </w:tr>
            <w:tr w:rsidR="00A67F21" w:rsidRPr="00B12FE0" w14:paraId="30C46EC9" w14:textId="77777777">
              <w:trPr>
                <w:trHeight w:val="20"/>
                <w:jc w:val="center"/>
              </w:trPr>
              <w:tc>
                <w:tcPr>
                  <w:tcW w:w="690" w:type="pct"/>
                  <w:vMerge/>
                  <w:vAlign w:val="center"/>
                </w:tcPr>
                <w:p w14:paraId="6CF18760" w14:textId="77777777" w:rsidR="00A67F21" w:rsidRPr="00B12FE0" w:rsidRDefault="00A67F21">
                  <w:pPr>
                    <w:adjustRightInd w:val="0"/>
                    <w:snapToGrid w:val="0"/>
                    <w:jc w:val="center"/>
                    <w:rPr>
                      <w:bCs/>
                      <w:color w:val="000000" w:themeColor="text1"/>
                      <w:sz w:val="21"/>
                      <w:szCs w:val="21"/>
                    </w:rPr>
                  </w:pPr>
                </w:p>
              </w:tc>
              <w:tc>
                <w:tcPr>
                  <w:tcW w:w="1020" w:type="pct"/>
                  <w:vMerge w:val="restart"/>
                  <w:tcBorders>
                    <w:right w:val="single" w:sz="4" w:space="0" w:color="auto"/>
                  </w:tcBorders>
                  <w:vAlign w:val="center"/>
                </w:tcPr>
                <w:p w14:paraId="08E34DF0"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控制区内房间防护门、观察窗和墙壁外表面</w:t>
                  </w:r>
                  <w:r w:rsidRPr="00B12FE0">
                    <w:rPr>
                      <w:bCs/>
                      <w:color w:val="000000" w:themeColor="text1"/>
                      <w:sz w:val="21"/>
                      <w:szCs w:val="21"/>
                    </w:rPr>
                    <w:t>30cm</w:t>
                  </w:r>
                  <w:r w:rsidRPr="00B12FE0">
                    <w:rPr>
                      <w:bCs/>
                      <w:color w:val="000000" w:themeColor="text1"/>
                      <w:sz w:val="21"/>
                      <w:szCs w:val="21"/>
                    </w:rPr>
                    <w:t>处</w:t>
                  </w:r>
                </w:p>
              </w:tc>
              <w:tc>
                <w:tcPr>
                  <w:tcW w:w="2010" w:type="pct"/>
                  <w:tcBorders>
                    <w:left w:val="single" w:sz="4" w:space="0" w:color="auto"/>
                    <w:bottom w:val="single" w:sz="4" w:space="0" w:color="auto"/>
                  </w:tcBorders>
                  <w:vAlign w:val="center"/>
                </w:tcPr>
                <w:p w14:paraId="13319E92"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控制区内工作人员经常性停留的场所（人员居留因子≥</w:t>
                  </w:r>
                  <w:r w:rsidRPr="00B12FE0">
                    <w:rPr>
                      <w:rFonts w:hint="eastAsia"/>
                      <w:bCs/>
                      <w:color w:val="000000" w:themeColor="text1"/>
                      <w:sz w:val="21"/>
                      <w:szCs w:val="21"/>
                    </w:rPr>
                    <w:t>1</w:t>
                  </w:r>
                  <w:r w:rsidRPr="00B12FE0">
                    <w:rPr>
                      <w:bCs/>
                      <w:color w:val="000000" w:themeColor="text1"/>
                      <w:sz w:val="21"/>
                      <w:szCs w:val="21"/>
                    </w:rPr>
                    <w:t>/2</w:t>
                  </w:r>
                  <w:r w:rsidRPr="00B12FE0">
                    <w:rPr>
                      <w:rFonts w:hint="eastAsia"/>
                      <w:bCs/>
                      <w:color w:val="000000" w:themeColor="text1"/>
                      <w:sz w:val="21"/>
                      <w:szCs w:val="21"/>
                    </w:rPr>
                    <w:t>）</w:t>
                  </w:r>
                </w:p>
              </w:tc>
              <w:tc>
                <w:tcPr>
                  <w:tcW w:w="1278" w:type="pct"/>
                  <w:tcBorders>
                    <w:bottom w:val="single" w:sz="4" w:space="0" w:color="auto"/>
                  </w:tcBorders>
                  <w:vAlign w:val="center"/>
                </w:tcPr>
                <w:p w14:paraId="719D0B39"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2.5</w:t>
                  </w:r>
                </w:p>
              </w:tc>
            </w:tr>
            <w:tr w:rsidR="00A67F21" w:rsidRPr="00B12FE0" w14:paraId="63FAF8F2" w14:textId="77777777">
              <w:trPr>
                <w:trHeight w:val="20"/>
                <w:jc w:val="center"/>
              </w:trPr>
              <w:tc>
                <w:tcPr>
                  <w:tcW w:w="690" w:type="pct"/>
                  <w:vMerge/>
                  <w:vAlign w:val="center"/>
                </w:tcPr>
                <w:p w14:paraId="7ADAF034" w14:textId="77777777" w:rsidR="00A67F21" w:rsidRPr="00B12FE0" w:rsidRDefault="00A67F21">
                  <w:pPr>
                    <w:adjustRightInd w:val="0"/>
                    <w:snapToGrid w:val="0"/>
                    <w:jc w:val="center"/>
                    <w:rPr>
                      <w:bCs/>
                      <w:color w:val="000000" w:themeColor="text1"/>
                      <w:sz w:val="21"/>
                      <w:szCs w:val="21"/>
                    </w:rPr>
                  </w:pPr>
                </w:p>
              </w:tc>
              <w:tc>
                <w:tcPr>
                  <w:tcW w:w="1020" w:type="pct"/>
                  <w:vMerge/>
                  <w:tcBorders>
                    <w:right w:val="single" w:sz="4" w:space="0" w:color="auto"/>
                  </w:tcBorders>
                  <w:vAlign w:val="center"/>
                </w:tcPr>
                <w:p w14:paraId="3C3DFD44" w14:textId="77777777" w:rsidR="00A67F21" w:rsidRPr="00B12FE0" w:rsidRDefault="00A67F21">
                  <w:pPr>
                    <w:adjustRightInd w:val="0"/>
                    <w:snapToGrid w:val="0"/>
                    <w:jc w:val="center"/>
                    <w:rPr>
                      <w:bCs/>
                      <w:color w:val="000000" w:themeColor="text1"/>
                      <w:sz w:val="21"/>
                      <w:szCs w:val="21"/>
                    </w:rPr>
                  </w:pPr>
                </w:p>
              </w:tc>
              <w:tc>
                <w:tcPr>
                  <w:tcW w:w="2010" w:type="pct"/>
                  <w:tcBorders>
                    <w:top w:val="single" w:sz="4" w:space="0" w:color="auto"/>
                    <w:left w:val="single" w:sz="4" w:space="0" w:color="auto"/>
                  </w:tcBorders>
                  <w:vAlign w:val="center"/>
                </w:tcPr>
                <w:p w14:paraId="3129F5A4"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控制区内工作人员较少停留或无需到达的场所（人员居留因子＜</w:t>
                  </w:r>
                  <w:r w:rsidRPr="00B12FE0">
                    <w:rPr>
                      <w:rFonts w:hint="eastAsia"/>
                      <w:bCs/>
                      <w:color w:val="000000" w:themeColor="text1"/>
                      <w:sz w:val="21"/>
                      <w:szCs w:val="21"/>
                    </w:rPr>
                    <w:t>1</w:t>
                  </w:r>
                  <w:r w:rsidRPr="00B12FE0">
                    <w:rPr>
                      <w:bCs/>
                      <w:color w:val="000000" w:themeColor="text1"/>
                      <w:sz w:val="21"/>
                      <w:szCs w:val="21"/>
                    </w:rPr>
                    <w:t>/2</w:t>
                  </w:r>
                  <w:r w:rsidRPr="00B12FE0">
                    <w:rPr>
                      <w:rFonts w:hint="eastAsia"/>
                      <w:bCs/>
                      <w:color w:val="000000" w:themeColor="text1"/>
                      <w:sz w:val="21"/>
                      <w:szCs w:val="21"/>
                    </w:rPr>
                    <w:t>）</w:t>
                  </w:r>
                </w:p>
              </w:tc>
              <w:tc>
                <w:tcPr>
                  <w:tcW w:w="1278" w:type="pct"/>
                  <w:tcBorders>
                    <w:top w:val="single" w:sz="4" w:space="0" w:color="auto"/>
                  </w:tcBorders>
                  <w:vAlign w:val="center"/>
                </w:tcPr>
                <w:p w14:paraId="31C1698C"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w:t>
                  </w:r>
                  <w:r w:rsidRPr="00B12FE0">
                    <w:rPr>
                      <w:bCs/>
                      <w:color w:val="000000" w:themeColor="text1"/>
                      <w:sz w:val="21"/>
                      <w:szCs w:val="21"/>
                    </w:rPr>
                    <w:t>0</w:t>
                  </w:r>
                </w:p>
              </w:tc>
            </w:tr>
            <w:tr w:rsidR="00A67F21" w:rsidRPr="00B12FE0" w14:paraId="5048C525" w14:textId="77777777">
              <w:trPr>
                <w:trHeight w:val="20"/>
                <w:jc w:val="center"/>
              </w:trPr>
              <w:tc>
                <w:tcPr>
                  <w:tcW w:w="690" w:type="pct"/>
                  <w:vMerge/>
                  <w:vAlign w:val="center"/>
                </w:tcPr>
                <w:p w14:paraId="2E2D5AFE" w14:textId="77777777" w:rsidR="00A67F21" w:rsidRPr="00B12FE0" w:rsidRDefault="00A67F21">
                  <w:pPr>
                    <w:adjustRightInd w:val="0"/>
                    <w:snapToGrid w:val="0"/>
                    <w:jc w:val="center"/>
                    <w:rPr>
                      <w:bCs/>
                      <w:color w:val="000000" w:themeColor="text1"/>
                      <w:sz w:val="21"/>
                      <w:szCs w:val="21"/>
                    </w:rPr>
                  </w:pPr>
                </w:p>
              </w:tc>
              <w:tc>
                <w:tcPr>
                  <w:tcW w:w="3031" w:type="pct"/>
                  <w:gridSpan w:val="2"/>
                  <w:vAlign w:val="center"/>
                </w:tcPr>
                <w:p w14:paraId="1D089E83"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放射性药物合成和分装的箱体、通风柜、注射窗等设备外表面</w:t>
                  </w:r>
                  <w:r w:rsidRPr="00B12FE0">
                    <w:rPr>
                      <w:rFonts w:hint="eastAsia"/>
                      <w:bCs/>
                      <w:color w:val="000000" w:themeColor="text1"/>
                      <w:sz w:val="21"/>
                      <w:szCs w:val="21"/>
                    </w:rPr>
                    <w:t xml:space="preserve"> 30cm</w:t>
                  </w:r>
                  <w:r w:rsidRPr="00B12FE0">
                    <w:rPr>
                      <w:rFonts w:hint="eastAsia"/>
                      <w:bCs/>
                      <w:color w:val="000000" w:themeColor="text1"/>
                      <w:sz w:val="21"/>
                      <w:szCs w:val="21"/>
                    </w:rPr>
                    <w:t>处人员操作位</w:t>
                  </w:r>
                </w:p>
              </w:tc>
              <w:tc>
                <w:tcPr>
                  <w:tcW w:w="1278" w:type="pct"/>
                  <w:vAlign w:val="center"/>
                </w:tcPr>
                <w:p w14:paraId="6EB5D211"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2.5</w:t>
                  </w:r>
                </w:p>
              </w:tc>
            </w:tr>
            <w:tr w:rsidR="00A67F21" w:rsidRPr="00B12FE0" w14:paraId="1D772C3A" w14:textId="77777777">
              <w:trPr>
                <w:trHeight w:val="20"/>
                <w:jc w:val="center"/>
              </w:trPr>
              <w:tc>
                <w:tcPr>
                  <w:tcW w:w="690" w:type="pct"/>
                  <w:vMerge/>
                  <w:vAlign w:val="center"/>
                </w:tcPr>
                <w:p w14:paraId="12BFF6BC" w14:textId="77777777" w:rsidR="00A67F21" w:rsidRPr="00B12FE0" w:rsidRDefault="00A67F21">
                  <w:pPr>
                    <w:adjustRightInd w:val="0"/>
                    <w:snapToGrid w:val="0"/>
                    <w:jc w:val="center"/>
                    <w:rPr>
                      <w:bCs/>
                      <w:color w:val="000000" w:themeColor="text1"/>
                      <w:sz w:val="21"/>
                      <w:szCs w:val="21"/>
                    </w:rPr>
                  </w:pPr>
                </w:p>
              </w:tc>
              <w:tc>
                <w:tcPr>
                  <w:tcW w:w="3031" w:type="pct"/>
                  <w:gridSpan w:val="2"/>
                  <w:vAlign w:val="center"/>
                </w:tcPr>
                <w:p w14:paraId="6969390D"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放射性药物合成和分装的箱体</w:t>
                  </w:r>
                  <w:r w:rsidRPr="00B12FE0">
                    <w:rPr>
                      <w:bCs/>
                      <w:color w:val="000000" w:themeColor="text1"/>
                      <w:sz w:val="21"/>
                      <w:szCs w:val="21"/>
                    </w:rPr>
                    <w:t>等设备外表面</w:t>
                  </w:r>
                  <w:r w:rsidRPr="00B12FE0">
                    <w:rPr>
                      <w:bCs/>
                      <w:color w:val="000000" w:themeColor="text1"/>
                      <w:sz w:val="21"/>
                      <w:szCs w:val="21"/>
                    </w:rPr>
                    <w:t xml:space="preserve"> 30cm</w:t>
                  </w:r>
                  <w:proofErr w:type="gramStart"/>
                  <w:r w:rsidRPr="00B12FE0">
                    <w:rPr>
                      <w:bCs/>
                      <w:color w:val="000000" w:themeColor="text1"/>
                      <w:sz w:val="21"/>
                      <w:szCs w:val="21"/>
                    </w:rPr>
                    <w:t>处</w:t>
                  </w:r>
                  <w:r w:rsidRPr="00B12FE0">
                    <w:rPr>
                      <w:rFonts w:hint="eastAsia"/>
                      <w:bCs/>
                      <w:color w:val="000000" w:themeColor="text1"/>
                      <w:sz w:val="21"/>
                      <w:szCs w:val="21"/>
                    </w:rPr>
                    <w:t>非正</w:t>
                  </w:r>
                  <w:proofErr w:type="gramEnd"/>
                  <w:r w:rsidRPr="00B12FE0">
                    <w:rPr>
                      <w:rFonts w:hint="eastAsia"/>
                      <w:bCs/>
                      <w:color w:val="000000" w:themeColor="text1"/>
                      <w:sz w:val="21"/>
                      <w:szCs w:val="21"/>
                    </w:rPr>
                    <w:t>对人员操作位</w:t>
                  </w:r>
                </w:p>
              </w:tc>
              <w:tc>
                <w:tcPr>
                  <w:tcW w:w="1278" w:type="pct"/>
                  <w:vAlign w:val="center"/>
                </w:tcPr>
                <w:p w14:paraId="04BE8EC1"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2</w:t>
                  </w:r>
                  <w:r w:rsidRPr="00B12FE0">
                    <w:rPr>
                      <w:bCs/>
                      <w:color w:val="000000" w:themeColor="text1"/>
                      <w:sz w:val="21"/>
                      <w:szCs w:val="21"/>
                    </w:rPr>
                    <w:t>5</w:t>
                  </w:r>
                </w:p>
              </w:tc>
            </w:tr>
            <w:tr w:rsidR="00A67F21" w:rsidRPr="00B12FE0" w14:paraId="0F0DA6DB" w14:textId="77777777">
              <w:trPr>
                <w:trHeight w:val="20"/>
                <w:jc w:val="center"/>
              </w:trPr>
              <w:tc>
                <w:tcPr>
                  <w:tcW w:w="690" w:type="pct"/>
                  <w:vMerge/>
                  <w:vAlign w:val="center"/>
                </w:tcPr>
                <w:p w14:paraId="7FE863B1" w14:textId="77777777" w:rsidR="00A67F21" w:rsidRPr="00B12FE0" w:rsidRDefault="00A67F21">
                  <w:pPr>
                    <w:adjustRightInd w:val="0"/>
                    <w:snapToGrid w:val="0"/>
                    <w:jc w:val="center"/>
                    <w:rPr>
                      <w:bCs/>
                      <w:color w:val="000000" w:themeColor="text1"/>
                      <w:sz w:val="21"/>
                      <w:szCs w:val="21"/>
                    </w:rPr>
                  </w:pPr>
                </w:p>
              </w:tc>
              <w:tc>
                <w:tcPr>
                  <w:tcW w:w="3031" w:type="pct"/>
                  <w:gridSpan w:val="2"/>
                  <w:vAlign w:val="center"/>
                </w:tcPr>
                <w:p w14:paraId="1145671A"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固体放射性废物收集桶、曝露于地面致使人员可以接近的放射性废液收集罐体和管道外表面</w:t>
                  </w:r>
                  <w:r w:rsidRPr="00B12FE0">
                    <w:rPr>
                      <w:bCs/>
                      <w:color w:val="000000" w:themeColor="text1"/>
                      <w:sz w:val="21"/>
                      <w:szCs w:val="21"/>
                    </w:rPr>
                    <w:t>30cm</w:t>
                  </w:r>
                  <w:r w:rsidRPr="00B12FE0">
                    <w:rPr>
                      <w:bCs/>
                      <w:color w:val="000000" w:themeColor="text1"/>
                      <w:sz w:val="21"/>
                      <w:szCs w:val="21"/>
                    </w:rPr>
                    <w:t>处</w:t>
                  </w:r>
                </w:p>
              </w:tc>
              <w:tc>
                <w:tcPr>
                  <w:tcW w:w="1278" w:type="pct"/>
                  <w:vAlign w:val="center"/>
                </w:tcPr>
                <w:p w14:paraId="2E911634"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2.5</w:t>
                  </w:r>
                </w:p>
              </w:tc>
            </w:tr>
          </w:tbl>
          <w:p w14:paraId="19C6CA7F" w14:textId="77777777" w:rsidR="00A67F21" w:rsidRPr="00B12FE0" w:rsidRDefault="00000000">
            <w:pPr>
              <w:adjustRightInd w:val="0"/>
              <w:snapToGrid w:val="0"/>
              <w:spacing w:beforeLines="50" w:before="120" w:line="360" w:lineRule="auto"/>
              <w:ind w:firstLineChars="200" w:firstLine="482"/>
              <w:jc w:val="left"/>
              <w:rPr>
                <w:color w:val="000000" w:themeColor="text1"/>
                <w:kern w:val="0"/>
                <w:szCs w:val="24"/>
                <w:lang w:bidi="ar"/>
              </w:rPr>
            </w:pPr>
            <w:r w:rsidRPr="00B12FE0">
              <w:rPr>
                <w:b/>
                <w:bCs/>
                <w:color w:val="000000" w:themeColor="text1"/>
                <w:kern w:val="0"/>
                <w:szCs w:val="24"/>
                <w:lang w:bidi="ar"/>
              </w:rPr>
              <w:t>（</w:t>
            </w:r>
            <w:r w:rsidRPr="00B12FE0">
              <w:rPr>
                <w:rFonts w:hint="eastAsia"/>
                <w:b/>
                <w:bCs/>
                <w:color w:val="000000" w:themeColor="text1"/>
                <w:kern w:val="0"/>
                <w:szCs w:val="24"/>
                <w:lang w:bidi="ar"/>
              </w:rPr>
              <w:t>4</w:t>
            </w:r>
            <w:r w:rsidRPr="00B12FE0">
              <w:rPr>
                <w:b/>
                <w:bCs/>
                <w:color w:val="000000" w:themeColor="text1"/>
                <w:kern w:val="0"/>
                <w:szCs w:val="24"/>
                <w:lang w:bidi="ar"/>
              </w:rPr>
              <w:t>）表面污染控制水平</w:t>
            </w:r>
          </w:p>
          <w:p w14:paraId="7A5320AE" w14:textId="77777777" w:rsidR="00A67F21" w:rsidRPr="00B12FE0" w:rsidRDefault="00000000">
            <w:pPr>
              <w:adjustRightInd w:val="0"/>
              <w:snapToGrid w:val="0"/>
              <w:spacing w:line="360" w:lineRule="auto"/>
              <w:ind w:firstLineChars="200" w:firstLine="480"/>
              <w:rPr>
                <w:color w:val="000000" w:themeColor="text1"/>
                <w:kern w:val="0"/>
                <w:szCs w:val="24"/>
                <w:lang w:bidi="ar"/>
              </w:rPr>
            </w:pPr>
            <w:r w:rsidRPr="00B12FE0">
              <w:rPr>
                <w:color w:val="000000" w:themeColor="text1"/>
                <w:kern w:val="0"/>
                <w:szCs w:val="24"/>
                <w:lang w:bidi="ar"/>
              </w:rPr>
              <w:t>根据《电离辐射防护与辐射源安全基本标准》（</w:t>
            </w:r>
            <w:r w:rsidRPr="00B12FE0">
              <w:rPr>
                <w:color w:val="000000" w:themeColor="text1"/>
                <w:kern w:val="0"/>
                <w:szCs w:val="24"/>
                <w:lang w:bidi="ar"/>
              </w:rPr>
              <w:t>GB 18871-2002</w:t>
            </w:r>
            <w:r w:rsidRPr="00B12FE0">
              <w:rPr>
                <w:color w:val="000000" w:themeColor="text1"/>
                <w:kern w:val="0"/>
                <w:szCs w:val="24"/>
                <w:lang w:bidi="ar"/>
              </w:rPr>
              <w:t>）和《核医学放射防护要求》（</w:t>
            </w:r>
            <w:r w:rsidRPr="00B12FE0">
              <w:rPr>
                <w:color w:val="000000" w:themeColor="text1"/>
                <w:kern w:val="0"/>
                <w:szCs w:val="24"/>
                <w:lang w:bidi="ar"/>
              </w:rPr>
              <w:t>GBZ 120-2020</w:t>
            </w:r>
            <w:r w:rsidRPr="00B12FE0">
              <w:rPr>
                <w:color w:val="000000" w:themeColor="text1"/>
                <w:kern w:val="0"/>
                <w:szCs w:val="24"/>
                <w:lang w:bidi="ar"/>
              </w:rPr>
              <w:t>）相关规定，核医学工作场所的放射性表面污染控制水平详</w:t>
            </w:r>
            <w:r w:rsidRPr="00B12FE0">
              <w:rPr>
                <w:rFonts w:hint="eastAsia"/>
                <w:color w:val="000000" w:themeColor="text1"/>
                <w:kern w:val="0"/>
                <w:szCs w:val="24"/>
                <w:lang w:bidi="ar"/>
              </w:rPr>
              <w:t>见下表</w:t>
            </w:r>
            <w:r w:rsidRPr="00B12FE0">
              <w:rPr>
                <w:color w:val="000000" w:themeColor="text1"/>
                <w:kern w:val="0"/>
                <w:szCs w:val="24"/>
                <w:lang w:bidi="ar"/>
              </w:rPr>
              <w:t>。</w:t>
            </w:r>
          </w:p>
          <w:p w14:paraId="6219BC67" w14:textId="77777777" w:rsidR="00A67F21" w:rsidRPr="00B12FE0" w:rsidRDefault="00000000">
            <w:pPr>
              <w:adjustRightInd w:val="0"/>
              <w:snapToGrid w:val="0"/>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7.3</w:t>
            </w:r>
            <w:r w:rsidRPr="00B12FE0">
              <w:rPr>
                <w:rFonts w:hint="eastAsia"/>
                <w:b/>
                <w:color w:val="000000" w:themeColor="text1"/>
                <w:sz w:val="21"/>
                <w:szCs w:val="21"/>
              </w:rPr>
              <w:t>.3</w:t>
            </w:r>
            <w:r w:rsidRPr="00B12FE0">
              <w:rPr>
                <w:b/>
                <w:color w:val="000000" w:themeColor="text1"/>
                <w:sz w:val="21"/>
                <w:szCs w:val="21"/>
              </w:rPr>
              <w:t>-3</w:t>
            </w:r>
            <w:r w:rsidRPr="00B12FE0">
              <w:rPr>
                <w:rFonts w:hint="eastAsia"/>
                <w:b/>
                <w:color w:val="000000" w:themeColor="text1"/>
                <w:sz w:val="21"/>
                <w:szCs w:val="21"/>
              </w:rPr>
              <w:t xml:space="preserve">  </w:t>
            </w:r>
            <w:r w:rsidRPr="00B12FE0">
              <w:rPr>
                <w:b/>
                <w:color w:val="000000" w:themeColor="text1"/>
                <w:sz w:val="21"/>
                <w:szCs w:val="21"/>
              </w:rPr>
              <w:t>核医学工作场所放射性表面污染控制水平</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081"/>
              <w:gridCol w:w="2611"/>
            </w:tblGrid>
            <w:tr w:rsidR="00A67F21" w:rsidRPr="00B12FE0" w14:paraId="27428EE5" w14:textId="77777777">
              <w:trPr>
                <w:trHeight w:val="397"/>
                <w:jc w:val="center"/>
              </w:trPr>
              <w:tc>
                <w:tcPr>
                  <w:tcW w:w="3475" w:type="pct"/>
                  <w:gridSpan w:val="2"/>
                  <w:vMerge w:val="restart"/>
                  <w:tcBorders>
                    <w:top w:val="single" w:sz="4" w:space="0" w:color="auto"/>
                    <w:left w:val="single" w:sz="4" w:space="0" w:color="auto"/>
                    <w:bottom w:val="single" w:sz="4" w:space="0" w:color="auto"/>
                    <w:right w:val="single" w:sz="4" w:space="0" w:color="auto"/>
                  </w:tcBorders>
                  <w:vAlign w:val="center"/>
                </w:tcPr>
                <w:p w14:paraId="105DABB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表面类型</w:t>
                  </w:r>
                </w:p>
              </w:tc>
              <w:tc>
                <w:tcPr>
                  <w:tcW w:w="1524" w:type="pct"/>
                  <w:vMerge w:val="restart"/>
                  <w:tcBorders>
                    <w:top w:val="single" w:sz="4" w:space="0" w:color="auto"/>
                    <w:left w:val="nil"/>
                    <w:bottom w:val="single" w:sz="4" w:space="0" w:color="auto"/>
                    <w:right w:val="single" w:sz="4" w:space="0" w:color="auto"/>
                  </w:tcBorders>
                  <w:vAlign w:val="center"/>
                </w:tcPr>
                <w:p w14:paraId="74922FD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β</w:t>
                  </w:r>
                  <w:r w:rsidRPr="00B12FE0">
                    <w:rPr>
                      <w:color w:val="000000" w:themeColor="text1"/>
                      <w:sz w:val="21"/>
                      <w:szCs w:val="21"/>
                    </w:rPr>
                    <w:t>放射性物质（</w:t>
                  </w:r>
                  <w:r w:rsidRPr="00B12FE0">
                    <w:rPr>
                      <w:color w:val="000000" w:themeColor="text1"/>
                      <w:sz w:val="21"/>
                      <w:szCs w:val="21"/>
                    </w:rPr>
                    <w:t>Bq/cm</w:t>
                  </w:r>
                  <w:r w:rsidRPr="00B12FE0">
                    <w:rPr>
                      <w:color w:val="000000" w:themeColor="text1"/>
                      <w:sz w:val="21"/>
                      <w:szCs w:val="21"/>
                      <w:vertAlign w:val="superscript"/>
                    </w:rPr>
                    <w:t>2</w:t>
                  </w:r>
                  <w:r w:rsidRPr="00B12FE0">
                    <w:rPr>
                      <w:color w:val="000000" w:themeColor="text1"/>
                      <w:sz w:val="21"/>
                      <w:szCs w:val="21"/>
                    </w:rPr>
                    <w:t>）</w:t>
                  </w:r>
                </w:p>
              </w:tc>
            </w:tr>
            <w:tr w:rsidR="00A67F21" w:rsidRPr="00B12FE0" w14:paraId="38946CEE" w14:textId="77777777">
              <w:trPr>
                <w:trHeight w:val="397"/>
                <w:jc w:val="center"/>
              </w:trPr>
              <w:tc>
                <w:tcPr>
                  <w:tcW w:w="3475" w:type="pct"/>
                  <w:gridSpan w:val="2"/>
                  <w:vMerge/>
                  <w:tcBorders>
                    <w:top w:val="single" w:sz="4" w:space="0" w:color="auto"/>
                    <w:left w:val="single" w:sz="4" w:space="0" w:color="auto"/>
                    <w:bottom w:val="single" w:sz="4" w:space="0" w:color="auto"/>
                    <w:right w:val="single" w:sz="4" w:space="0" w:color="auto"/>
                  </w:tcBorders>
                  <w:vAlign w:val="center"/>
                </w:tcPr>
                <w:p w14:paraId="3F70B2CB" w14:textId="77777777" w:rsidR="00A67F21" w:rsidRPr="00B12FE0" w:rsidRDefault="00A67F21">
                  <w:pPr>
                    <w:adjustRightInd w:val="0"/>
                    <w:snapToGrid w:val="0"/>
                    <w:rPr>
                      <w:color w:val="000000" w:themeColor="text1"/>
                      <w:sz w:val="21"/>
                      <w:szCs w:val="21"/>
                    </w:rPr>
                  </w:pPr>
                </w:p>
              </w:tc>
              <w:tc>
                <w:tcPr>
                  <w:tcW w:w="1524" w:type="pct"/>
                  <w:vMerge/>
                  <w:tcBorders>
                    <w:top w:val="single" w:sz="4" w:space="0" w:color="auto"/>
                    <w:left w:val="nil"/>
                    <w:bottom w:val="single" w:sz="4" w:space="0" w:color="auto"/>
                    <w:right w:val="single" w:sz="4" w:space="0" w:color="auto"/>
                  </w:tcBorders>
                  <w:vAlign w:val="center"/>
                </w:tcPr>
                <w:p w14:paraId="6187FA26" w14:textId="77777777" w:rsidR="00A67F21" w:rsidRPr="00B12FE0" w:rsidRDefault="00A67F21">
                  <w:pPr>
                    <w:adjustRightInd w:val="0"/>
                    <w:snapToGrid w:val="0"/>
                    <w:rPr>
                      <w:color w:val="000000" w:themeColor="text1"/>
                      <w:sz w:val="21"/>
                      <w:szCs w:val="21"/>
                    </w:rPr>
                  </w:pPr>
                </w:p>
              </w:tc>
            </w:tr>
            <w:tr w:rsidR="00A67F21" w:rsidRPr="00B12FE0" w14:paraId="4A6DC4AE" w14:textId="77777777">
              <w:trPr>
                <w:trHeight w:val="397"/>
                <w:jc w:val="center"/>
              </w:trPr>
              <w:tc>
                <w:tcPr>
                  <w:tcW w:w="2260" w:type="pct"/>
                  <w:vMerge w:val="restart"/>
                  <w:tcBorders>
                    <w:top w:val="nil"/>
                    <w:left w:val="single" w:sz="4" w:space="0" w:color="auto"/>
                    <w:bottom w:val="single" w:sz="4" w:space="0" w:color="auto"/>
                    <w:right w:val="single" w:sz="4" w:space="0" w:color="auto"/>
                  </w:tcBorders>
                  <w:vAlign w:val="center"/>
                </w:tcPr>
                <w:p w14:paraId="3123BA3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工作台、设备、墙壁、地面</w:t>
                  </w:r>
                </w:p>
              </w:tc>
              <w:tc>
                <w:tcPr>
                  <w:tcW w:w="1214" w:type="pct"/>
                  <w:tcBorders>
                    <w:top w:val="single" w:sz="4" w:space="0" w:color="auto"/>
                    <w:left w:val="nil"/>
                    <w:bottom w:val="single" w:sz="4" w:space="0" w:color="auto"/>
                    <w:right w:val="single" w:sz="4" w:space="0" w:color="auto"/>
                  </w:tcBorders>
                  <w:vAlign w:val="center"/>
                </w:tcPr>
                <w:p w14:paraId="42AC461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控制区</w:t>
                  </w:r>
                  <w:r w:rsidRPr="00B12FE0">
                    <w:rPr>
                      <w:color w:val="000000" w:themeColor="text1"/>
                      <w:sz w:val="21"/>
                      <w:szCs w:val="21"/>
                      <w:vertAlign w:val="superscript"/>
                    </w:rPr>
                    <w:t>1</w:t>
                  </w:r>
                  <w:r w:rsidRPr="00B12FE0">
                    <w:rPr>
                      <w:color w:val="000000" w:themeColor="text1"/>
                      <w:sz w:val="21"/>
                      <w:szCs w:val="21"/>
                      <w:vertAlign w:val="superscript"/>
                    </w:rPr>
                    <w:t>）</w:t>
                  </w:r>
                </w:p>
              </w:tc>
              <w:tc>
                <w:tcPr>
                  <w:tcW w:w="1524" w:type="pct"/>
                  <w:tcBorders>
                    <w:top w:val="single" w:sz="4" w:space="0" w:color="auto"/>
                    <w:left w:val="nil"/>
                    <w:bottom w:val="single" w:sz="4" w:space="0" w:color="auto"/>
                    <w:right w:val="single" w:sz="4" w:space="0" w:color="auto"/>
                  </w:tcBorders>
                  <w:vAlign w:val="center"/>
                </w:tcPr>
                <w:p w14:paraId="660AE12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4×10</w:t>
                  </w:r>
                </w:p>
              </w:tc>
            </w:tr>
            <w:tr w:rsidR="00A67F21" w:rsidRPr="00B12FE0" w14:paraId="25C3DFE6" w14:textId="77777777">
              <w:trPr>
                <w:trHeight w:val="397"/>
                <w:jc w:val="center"/>
              </w:trPr>
              <w:tc>
                <w:tcPr>
                  <w:tcW w:w="2260" w:type="pct"/>
                  <w:vMerge/>
                  <w:tcBorders>
                    <w:top w:val="nil"/>
                    <w:left w:val="single" w:sz="4" w:space="0" w:color="auto"/>
                    <w:bottom w:val="single" w:sz="4" w:space="0" w:color="auto"/>
                    <w:right w:val="single" w:sz="4" w:space="0" w:color="auto"/>
                  </w:tcBorders>
                  <w:vAlign w:val="center"/>
                </w:tcPr>
                <w:p w14:paraId="701F23AB" w14:textId="77777777" w:rsidR="00A67F21" w:rsidRPr="00B12FE0" w:rsidRDefault="00A67F21">
                  <w:pPr>
                    <w:adjustRightInd w:val="0"/>
                    <w:snapToGrid w:val="0"/>
                    <w:rPr>
                      <w:color w:val="000000" w:themeColor="text1"/>
                      <w:sz w:val="21"/>
                      <w:szCs w:val="21"/>
                    </w:rPr>
                  </w:pPr>
                </w:p>
              </w:tc>
              <w:tc>
                <w:tcPr>
                  <w:tcW w:w="1214" w:type="pct"/>
                  <w:tcBorders>
                    <w:top w:val="single" w:sz="4" w:space="0" w:color="auto"/>
                    <w:left w:val="nil"/>
                    <w:bottom w:val="single" w:sz="4" w:space="0" w:color="auto"/>
                    <w:right w:val="single" w:sz="4" w:space="0" w:color="auto"/>
                  </w:tcBorders>
                  <w:vAlign w:val="center"/>
                </w:tcPr>
                <w:p w14:paraId="75A85CD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监督区</w:t>
                  </w:r>
                </w:p>
              </w:tc>
              <w:tc>
                <w:tcPr>
                  <w:tcW w:w="1524" w:type="pct"/>
                  <w:tcBorders>
                    <w:top w:val="single" w:sz="4" w:space="0" w:color="auto"/>
                    <w:left w:val="nil"/>
                    <w:bottom w:val="single" w:sz="4" w:space="0" w:color="auto"/>
                    <w:right w:val="single" w:sz="4" w:space="0" w:color="auto"/>
                  </w:tcBorders>
                  <w:vAlign w:val="center"/>
                </w:tcPr>
                <w:p w14:paraId="56FF935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w:t>
                  </w:r>
                </w:p>
              </w:tc>
            </w:tr>
            <w:tr w:rsidR="00A67F21" w:rsidRPr="00B12FE0" w14:paraId="555CA50E" w14:textId="77777777">
              <w:trPr>
                <w:trHeight w:val="397"/>
                <w:jc w:val="center"/>
              </w:trPr>
              <w:tc>
                <w:tcPr>
                  <w:tcW w:w="2260" w:type="pct"/>
                  <w:vMerge w:val="restart"/>
                  <w:tcBorders>
                    <w:top w:val="nil"/>
                    <w:left w:val="single" w:sz="4" w:space="0" w:color="auto"/>
                    <w:bottom w:val="single" w:sz="4" w:space="0" w:color="auto"/>
                    <w:right w:val="single" w:sz="4" w:space="0" w:color="auto"/>
                  </w:tcBorders>
                  <w:vAlign w:val="center"/>
                </w:tcPr>
                <w:p w14:paraId="667140F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工作服、手套、工作鞋</w:t>
                  </w:r>
                </w:p>
              </w:tc>
              <w:tc>
                <w:tcPr>
                  <w:tcW w:w="1214" w:type="pct"/>
                  <w:tcBorders>
                    <w:top w:val="single" w:sz="4" w:space="0" w:color="auto"/>
                    <w:left w:val="nil"/>
                    <w:bottom w:val="single" w:sz="4" w:space="0" w:color="auto"/>
                    <w:right w:val="single" w:sz="4" w:space="0" w:color="auto"/>
                  </w:tcBorders>
                  <w:vAlign w:val="center"/>
                </w:tcPr>
                <w:p w14:paraId="21D6F9D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控制区</w:t>
                  </w:r>
                </w:p>
              </w:tc>
              <w:tc>
                <w:tcPr>
                  <w:tcW w:w="1524" w:type="pct"/>
                  <w:vMerge w:val="restart"/>
                  <w:tcBorders>
                    <w:top w:val="nil"/>
                    <w:left w:val="nil"/>
                    <w:bottom w:val="single" w:sz="4" w:space="0" w:color="auto"/>
                    <w:right w:val="single" w:sz="4" w:space="0" w:color="auto"/>
                  </w:tcBorders>
                  <w:vAlign w:val="center"/>
                </w:tcPr>
                <w:p w14:paraId="4F3C3F7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w:t>
                  </w:r>
                </w:p>
              </w:tc>
            </w:tr>
            <w:tr w:rsidR="00A67F21" w:rsidRPr="00B12FE0" w14:paraId="28EB519C" w14:textId="77777777">
              <w:trPr>
                <w:trHeight w:val="397"/>
                <w:jc w:val="center"/>
              </w:trPr>
              <w:tc>
                <w:tcPr>
                  <w:tcW w:w="2260" w:type="pct"/>
                  <w:vMerge/>
                  <w:tcBorders>
                    <w:top w:val="nil"/>
                    <w:left w:val="single" w:sz="4" w:space="0" w:color="auto"/>
                    <w:bottom w:val="single" w:sz="4" w:space="0" w:color="auto"/>
                    <w:right w:val="single" w:sz="4" w:space="0" w:color="auto"/>
                  </w:tcBorders>
                  <w:vAlign w:val="center"/>
                </w:tcPr>
                <w:p w14:paraId="5E34F395" w14:textId="77777777" w:rsidR="00A67F21" w:rsidRPr="00B12FE0" w:rsidRDefault="00A67F21">
                  <w:pPr>
                    <w:adjustRightInd w:val="0"/>
                    <w:snapToGrid w:val="0"/>
                    <w:rPr>
                      <w:color w:val="000000" w:themeColor="text1"/>
                      <w:sz w:val="21"/>
                      <w:szCs w:val="21"/>
                    </w:rPr>
                  </w:pPr>
                </w:p>
              </w:tc>
              <w:tc>
                <w:tcPr>
                  <w:tcW w:w="1214" w:type="pct"/>
                  <w:tcBorders>
                    <w:top w:val="single" w:sz="4" w:space="0" w:color="auto"/>
                    <w:left w:val="nil"/>
                    <w:bottom w:val="single" w:sz="4" w:space="0" w:color="auto"/>
                    <w:right w:val="single" w:sz="4" w:space="0" w:color="auto"/>
                  </w:tcBorders>
                  <w:vAlign w:val="center"/>
                </w:tcPr>
                <w:p w14:paraId="307191B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监督区</w:t>
                  </w:r>
                </w:p>
              </w:tc>
              <w:tc>
                <w:tcPr>
                  <w:tcW w:w="1524" w:type="pct"/>
                  <w:vMerge/>
                  <w:tcBorders>
                    <w:top w:val="nil"/>
                    <w:left w:val="nil"/>
                    <w:bottom w:val="single" w:sz="4" w:space="0" w:color="auto"/>
                    <w:right w:val="single" w:sz="4" w:space="0" w:color="auto"/>
                  </w:tcBorders>
                  <w:vAlign w:val="center"/>
                </w:tcPr>
                <w:p w14:paraId="0FF0EE1C" w14:textId="77777777" w:rsidR="00A67F21" w:rsidRPr="00B12FE0" w:rsidRDefault="00A67F21">
                  <w:pPr>
                    <w:adjustRightInd w:val="0"/>
                    <w:snapToGrid w:val="0"/>
                    <w:rPr>
                      <w:color w:val="000000" w:themeColor="text1"/>
                      <w:sz w:val="21"/>
                      <w:szCs w:val="21"/>
                    </w:rPr>
                  </w:pPr>
                </w:p>
              </w:tc>
            </w:tr>
            <w:tr w:rsidR="00A67F21" w:rsidRPr="00B12FE0" w14:paraId="1A3FBAAD" w14:textId="77777777">
              <w:trPr>
                <w:trHeight w:val="397"/>
                <w:jc w:val="center"/>
              </w:trPr>
              <w:tc>
                <w:tcPr>
                  <w:tcW w:w="3475" w:type="pct"/>
                  <w:gridSpan w:val="2"/>
                  <w:tcBorders>
                    <w:top w:val="single" w:sz="4" w:space="0" w:color="auto"/>
                    <w:left w:val="single" w:sz="4" w:space="0" w:color="auto"/>
                    <w:bottom w:val="single" w:sz="4" w:space="0" w:color="auto"/>
                    <w:right w:val="single" w:sz="4" w:space="0" w:color="auto"/>
                  </w:tcBorders>
                  <w:vAlign w:val="center"/>
                </w:tcPr>
                <w:p w14:paraId="66A6924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手、皮肤、内衣、工作袜</w:t>
                  </w:r>
                </w:p>
              </w:tc>
              <w:tc>
                <w:tcPr>
                  <w:tcW w:w="1524" w:type="pct"/>
                  <w:tcBorders>
                    <w:top w:val="single" w:sz="4" w:space="0" w:color="auto"/>
                    <w:left w:val="nil"/>
                    <w:bottom w:val="single" w:sz="4" w:space="0" w:color="auto"/>
                    <w:right w:val="single" w:sz="4" w:space="0" w:color="auto"/>
                  </w:tcBorders>
                  <w:vAlign w:val="center"/>
                </w:tcPr>
                <w:p w14:paraId="1F47A2D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w:t>
                  </w:r>
                  <w:r w:rsidRPr="00B12FE0">
                    <w:rPr>
                      <w:rFonts w:hint="eastAsia"/>
                      <w:color w:val="000000" w:themeColor="text1"/>
                      <w:sz w:val="21"/>
                      <w:szCs w:val="21"/>
                    </w:rPr>
                    <w:t>E-01</w:t>
                  </w:r>
                </w:p>
              </w:tc>
            </w:tr>
            <w:tr w:rsidR="00A67F21" w:rsidRPr="00B12FE0" w14:paraId="21DAB039" w14:textId="77777777">
              <w:trPr>
                <w:trHeight w:val="15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9E92FC7" w14:textId="77777777" w:rsidR="00A67F21" w:rsidRPr="00B12FE0" w:rsidRDefault="00000000">
                  <w:pPr>
                    <w:adjustRightInd w:val="0"/>
                    <w:snapToGrid w:val="0"/>
                    <w:rPr>
                      <w:color w:val="000000" w:themeColor="text1"/>
                      <w:sz w:val="18"/>
                      <w:szCs w:val="18"/>
                    </w:rPr>
                  </w:pPr>
                  <w:r w:rsidRPr="00B12FE0">
                    <w:rPr>
                      <w:color w:val="000000" w:themeColor="text1"/>
                      <w:sz w:val="18"/>
                      <w:szCs w:val="18"/>
                    </w:rPr>
                    <w:t>1</w:t>
                  </w:r>
                  <w:r w:rsidRPr="00B12FE0">
                    <w:rPr>
                      <w:color w:val="000000" w:themeColor="text1"/>
                      <w:sz w:val="18"/>
                      <w:szCs w:val="18"/>
                    </w:rPr>
                    <w:t>）该区内的高污染子区除外</w:t>
                  </w:r>
                </w:p>
              </w:tc>
            </w:tr>
          </w:tbl>
          <w:p w14:paraId="5DA746C2" w14:textId="77777777" w:rsidR="00A67F21" w:rsidRPr="00B12FE0" w:rsidRDefault="00000000">
            <w:pPr>
              <w:adjustRightInd w:val="0"/>
              <w:snapToGrid w:val="0"/>
              <w:spacing w:beforeLines="50" w:before="120" w:line="360" w:lineRule="auto"/>
              <w:ind w:firstLineChars="200" w:firstLine="482"/>
              <w:rPr>
                <w:b/>
                <w:color w:val="000000" w:themeColor="text1"/>
              </w:rPr>
            </w:pPr>
            <w:r w:rsidRPr="00B12FE0">
              <w:rPr>
                <w:b/>
                <w:color w:val="000000" w:themeColor="text1"/>
              </w:rPr>
              <w:t>（</w:t>
            </w:r>
            <w:r w:rsidRPr="00B12FE0">
              <w:rPr>
                <w:rFonts w:hint="eastAsia"/>
                <w:b/>
                <w:color w:val="000000" w:themeColor="text1"/>
              </w:rPr>
              <w:t>5</w:t>
            </w:r>
            <w:r w:rsidRPr="00B12FE0">
              <w:rPr>
                <w:b/>
                <w:color w:val="000000" w:themeColor="text1"/>
              </w:rPr>
              <w:t>）放射性废液排放</w:t>
            </w:r>
          </w:p>
          <w:p w14:paraId="75526853" w14:textId="77777777" w:rsidR="00A67F21" w:rsidRPr="00B12FE0" w:rsidRDefault="00000000">
            <w:pPr>
              <w:adjustRightInd w:val="0"/>
              <w:snapToGrid w:val="0"/>
              <w:spacing w:line="360" w:lineRule="auto"/>
              <w:ind w:firstLineChars="200" w:firstLine="480"/>
              <w:rPr>
                <w:color w:val="000000" w:themeColor="text1"/>
                <w:kern w:val="0"/>
                <w:szCs w:val="24"/>
                <w:lang w:bidi="ar"/>
              </w:rPr>
            </w:pPr>
            <w:r w:rsidRPr="00B12FE0">
              <w:rPr>
                <w:color w:val="000000" w:themeColor="text1"/>
                <w:kern w:val="0"/>
                <w:szCs w:val="24"/>
                <w:lang w:bidi="ar"/>
              </w:rPr>
              <w:t>根据《核医学辐射防护与安全要求》（</w:t>
            </w:r>
            <w:r w:rsidRPr="00B12FE0">
              <w:rPr>
                <w:color w:val="000000" w:themeColor="text1"/>
                <w:kern w:val="0"/>
                <w:szCs w:val="24"/>
                <w:lang w:bidi="ar"/>
              </w:rPr>
              <w:t>HJ 1188-2021</w:t>
            </w:r>
            <w:r w:rsidRPr="00B12FE0">
              <w:rPr>
                <w:color w:val="000000" w:themeColor="text1"/>
                <w:kern w:val="0"/>
                <w:szCs w:val="24"/>
                <w:lang w:bidi="ar"/>
              </w:rPr>
              <w:t>）中相关规定，结合本项目核素使用情况、衰变</w:t>
            </w:r>
            <w:proofErr w:type="gramStart"/>
            <w:r w:rsidRPr="00B12FE0">
              <w:rPr>
                <w:color w:val="000000" w:themeColor="text1"/>
                <w:kern w:val="0"/>
                <w:szCs w:val="24"/>
                <w:lang w:bidi="ar"/>
              </w:rPr>
              <w:t>池设计</w:t>
            </w:r>
            <w:proofErr w:type="gramEnd"/>
            <w:r w:rsidRPr="00B12FE0">
              <w:rPr>
                <w:color w:val="000000" w:themeColor="text1"/>
                <w:kern w:val="0"/>
                <w:szCs w:val="24"/>
                <w:lang w:bidi="ar"/>
              </w:rPr>
              <w:t>情况，放射性废液排放满足以下要求：</w:t>
            </w:r>
          </w:p>
          <w:p w14:paraId="75792EE9" w14:textId="77777777" w:rsidR="00A67F21" w:rsidRPr="00B12FE0" w:rsidRDefault="00000000">
            <w:pPr>
              <w:numPr>
                <w:ilvl w:val="0"/>
                <w:numId w:val="11"/>
              </w:numPr>
              <w:adjustRightInd w:val="0"/>
              <w:snapToGrid w:val="0"/>
              <w:spacing w:line="360" w:lineRule="auto"/>
              <w:ind w:firstLineChars="200" w:firstLine="480"/>
              <w:rPr>
                <w:rFonts w:eastAsia="楷体"/>
                <w:color w:val="000000" w:themeColor="text1"/>
              </w:rPr>
            </w:pPr>
            <w:r w:rsidRPr="00B12FE0">
              <w:rPr>
                <w:rFonts w:eastAsia="楷体"/>
                <w:color w:val="000000" w:themeColor="text1"/>
              </w:rPr>
              <w:t>所含核素半衰期</w:t>
            </w:r>
            <w:r w:rsidRPr="00B12FE0">
              <w:rPr>
                <w:rFonts w:eastAsia="楷体" w:hint="eastAsia"/>
                <w:color w:val="000000" w:themeColor="text1"/>
              </w:rPr>
              <w:t>小</w:t>
            </w:r>
            <w:r w:rsidRPr="00B12FE0">
              <w:rPr>
                <w:rFonts w:eastAsia="楷体"/>
                <w:color w:val="000000" w:themeColor="text1"/>
              </w:rPr>
              <w:t>于</w:t>
            </w:r>
            <w:r w:rsidRPr="00B12FE0">
              <w:rPr>
                <w:rFonts w:eastAsia="楷体"/>
                <w:color w:val="000000" w:themeColor="text1"/>
              </w:rPr>
              <w:t>24</w:t>
            </w:r>
            <w:r w:rsidRPr="00B12FE0">
              <w:rPr>
                <w:rFonts w:eastAsia="楷体"/>
                <w:color w:val="000000" w:themeColor="text1"/>
              </w:rPr>
              <w:t>小时的放射性废液暂存时间超过</w:t>
            </w:r>
            <w:r w:rsidRPr="00B12FE0">
              <w:rPr>
                <w:rFonts w:eastAsia="楷体"/>
                <w:color w:val="000000" w:themeColor="text1"/>
              </w:rPr>
              <w:t>30</w:t>
            </w:r>
            <w:r w:rsidRPr="00B12FE0">
              <w:rPr>
                <w:rFonts w:eastAsia="楷体" w:hint="eastAsia"/>
                <w:color w:val="000000" w:themeColor="text1"/>
              </w:rPr>
              <w:t>天后可直接解控排放；</w:t>
            </w:r>
          </w:p>
          <w:p w14:paraId="45099D1A" w14:textId="77777777" w:rsidR="00A67F21" w:rsidRPr="00B12FE0" w:rsidRDefault="00000000">
            <w:pPr>
              <w:widowControl/>
              <w:adjustRightInd w:val="0"/>
              <w:snapToGrid w:val="0"/>
              <w:spacing w:line="360" w:lineRule="auto"/>
              <w:ind w:firstLineChars="200" w:firstLine="480"/>
              <w:rPr>
                <w:color w:val="000000" w:themeColor="text1"/>
              </w:rPr>
            </w:pPr>
            <w:r w:rsidRPr="00B12FE0">
              <w:rPr>
                <w:color w:val="000000" w:themeColor="text1"/>
                <w:kern w:val="0"/>
                <w:szCs w:val="24"/>
                <w:lang w:bidi="ar"/>
              </w:rPr>
              <w:lastRenderedPageBreak/>
              <w:t>b</w:t>
            </w:r>
            <w:r w:rsidRPr="00B12FE0">
              <w:rPr>
                <w:rFonts w:ascii="楷体" w:eastAsia="楷体" w:hAnsi="楷体" w:cs="楷体"/>
                <w:color w:val="000000" w:themeColor="text1"/>
                <w:kern w:val="0"/>
                <w:szCs w:val="24"/>
                <w:lang w:bidi="ar"/>
              </w:rPr>
              <w:t xml:space="preserve">）所含核素半衰期大于 </w:t>
            </w:r>
            <w:r w:rsidRPr="00B12FE0">
              <w:rPr>
                <w:color w:val="000000" w:themeColor="text1"/>
                <w:kern w:val="0"/>
                <w:szCs w:val="24"/>
                <w:lang w:bidi="ar"/>
              </w:rPr>
              <w:t xml:space="preserve">24 </w:t>
            </w:r>
            <w:r w:rsidRPr="00B12FE0">
              <w:rPr>
                <w:rFonts w:ascii="楷体" w:eastAsia="楷体" w:hAnsi="楷体" w:cs="楷体" w:hint="eastAsia"/>
                <w:color w:val="000000" w:themeColor="text1"/>
                <w:kern w:val="0"/>
                <w:szCs w:val="24"/>
                <w:lang w:bidi="ar"/>
              </w:rPr>
              <w:t xml:space="preserve">小时的放射性废液暂存时间超过 </w:t>
            </w:r>
            <w:r w:rsidRPr="00B12FE0">
              <w:rPr>
                <w:color w:val="000000" w:themeColor="text1"/>
                <w:kern w:val="0"/>
                <w:szCs w:val="24"/>
                <w:lang w:bidi="ar"/>
              </w:rPr>
              <w:t xml:space="preserve">10 </w:t>
            </w:r>
            <w:proofErr w:type="gramStart"/>
            <w:r w:rsidRPr="00B12FE0">
              <w:rPr>
                <w:rFonts w:ascii="楷体" w:eastAsia="楷体" w:hAnsi="楷体" w:cs="楷体" w:hint="eastAsia"/>
                <w:color w:val="000000" w:themeColor="text1"/>
                <w:kern w:val="0"/>
                <w:szCs w:val="24"/>
                <w:lang w:bidi="ar"/>
              </w:rPr>
              <w:t>倍</w:t>
            </w:r>
            <w:proofErr w:type="gramEnd"/>
            <w:r w:rsidRPr="00B12FE0">
              <w:rPr>
                <w:rFonts w:ascii="楷体" w:eastAsia="楷体" w:hAnsi="楷体" w:cs="楷体" w:hint="eastAsia"/>
                <w:color w:val="000000" w:themeColor="text1"/>
                <w:kern w:val="0"/>
                <w:szCs w:val="24"/>
                <w:lang w:bidi="ar"/>
              </w:rPr>
              <w:t>最长半衰期（含碘</w:t>
            </w:r>
            <w:r w:rsidRPr="00B12FE0">
              <w:rPr>
                <w:color w:val="000000" w:themeColor="text1"/>
                <w:kern w:val="0"/>
                <w:szCs w:val="24"/>
                <w:lang w:bidi="ar"/>
              </w:rPr>
              <w:t>-131</w:t>
            </w:r>
            <w:r w:rsidRPr="00B12FE0">
              <w:rPr>
                <w:rFonts w:ascii="楷体" w:eastAsia="楷体" w:hAnsi="楷体" w:cs="楷体" w:hint="eastAsia"/>
                <w:color w:val="000000" w:themeColor="text1"/>
                <w:kern w:val="0"/>
                <w:szCs w:val="24"/>
                <w:lang w:bidi="ar"/>
              </w:rPr>
              <w:t xml:space="preserve">核素的暂存超过 </w:t>
            </w:r>
            <w:r w:rsidRPr="00B12FE0">
              <w:rPr>
                <w:color w:val="000000" w:themeColor="text1"/>
                <w:kern w:val="0"/>
                <w:szCs w:val="24"/>
                <w:lang w:bidi="ar"/>
              </w:rPr>
              <w:t xml:space="preserve">180 </w:t>
            </w:r>
            <w:r w:rsidRPr="00B12FE0">
              <w:rPr>
                <w:rFonts w:ascii="楷体" w:eastAsia="楷体" w:hAnsi="楷体" w:cs="楷体" w:hint="eastAsia"/>
                <w:color w:val="000000" w:themeColor="text1"/>
                <w:kern w:val="0"/>
                <w:szCs w:val="24"/>
                <w:lang w:bidi="ar"/>
              </w:rPr>
              <w:t>天），监测结果经审管部门认可后，排入医院污水处理系统 中，达到《医疗机构水污染物排放标准》（</w:t>
            </w:r>
            <w:r w:rsidRPr="00B12FE0">
              <w:rPr>
                <w:color w:val="000000" w:themeColor="text1"/>
                <w:kern w:val="0"/>
                <w:szCs w:val="24"/>
                <w:lang w:bidi="ar"/>
              </w:rPr>
              <w:t>GB18466-2005</w:t>
            </w:r>
            <w:r w:rsidRPr="00B12FE0">
              <w:rPr>
                <w:rFonts w:ascii="楷体" w:eastAsia="楷体" w:hAnsi="楷体" w:cs="楷体" w:hint="eastAsia"/>
                <w:color w:val="000000" w:themeColor="text1"/>
                <w:kern w:val="0"/>
                <w:szCs w:val="24"/>
                <w:lang w:bidi="ar"/>
              </w:rPr>
              <w:t>）后排放。放射性</w:t>
            </w:r>
            <w:proofErr w:type="gramStart"/>
            <w:r w:rsidRPr="00B12FE0">
              <w:rPr>
                <w:rFonts w:ascii="楷体" w:eastAsia="楷体" w:hAnsi="楷体" w:cs="楷体" w:hint="eastAsia"/>
                <w:color w:val="000000" w:themeColor="text1"/>
                <w:kern w:val="0"/>
                <w:szCs w:val="24"/>
                <w:lang w:bidi="ar"/>
              </w:rPr>
              <w:t>废液总</w:t>
            </w:r>
            <w:proofErr w:type="gramEnd"/>
            <w:r w:rsidRPr="00B12FE0">
              <w:rPr>
                <w:rFonts w:ascii="楷体" w:eastAsia="楷体" w:hAnsi="楷体" w:cs="楷体" w:hint="eastAsia"/>
                <w:color w:val="000000" w:themeColor="text1"/>
                <w:kern w:val="0"/>
                <w:szCs w:val="24"/>
                <w:lang w:bidi="ar"/>
              </w:rPr>
              <w:t>排放口总</w:t>
            </w:r>
            <w:r w:rsidRPr="00B12FE0">
              <w:rPr>
                <w:color w:val="000000" w:themeColor="text1"/>
                <w:kern w:val="0"/>
                <w:szCs w:val="24"/>
                <w:lang w:bidi="ar"/>
              </w:rPr>
              <w:t>α</w:t>
            </w:r>
            <w:r w:rsidRPr="00B12FE0">
              <w:rPr>
                <w:rFonts w:ascii="楷体" w:eastAsia="楷体" w:hAnsi="楷体" w:cs="楷体" w:hint="eastAsia"/>
                <w:color w:val="000000" w:themeColor="text1"/>
                <w:kern w:val="0"/>
                <w:szCs w:val="24"/>
                <w:lang w:bidi="ar"/>
              </w:rPr>
              <w:t xml:space="preserve">不大于 </w:t>
            </w:r>
            <w:r w:rsidRPr="00B12FE0">
              <w:rPr>
                <w:color w:val="000000" w:themeColor="text1"/>
                <w:kern w:val="0"/>
                <w:szCs w:val="24"/>
                <w:lang w:bidi="ar"/>
              </w:rPr>
              <w:t>1 Bq/L</w:t>
            </w:r>
            <w:r w:rsidRPr="00B12FE0">
              <w:rPr>
                <w:rFonts w:ascii="楷体" w:eastAsia="楷体" w:hAnsi="楷体" w:cs="楷体" w:hint="eastAsia"/>
                <w:color w:val="000000" w:themeColor="text1"/>
                <w:kern w:val="0"/>
                <w:szCs w:val="24"/>
                <w:lang w:bidi="ar"/>
              </w:rPr>
              <w:t>、总</w:t>
            </w:r>
            <w:r w:rsidRPr="00B12FE0">
              <w:rPr>
                <w:color w:val="000000" w:themeColor="text1"/>
                <w:kern w:val="0"/>
                <w:szCs w:val="24"/>
                <w:lang w:bidi="ar"/>
              </w:rPr>
              <w:t>β</w:t>
            </w:r>
            <w:r w:rsidRPr="00B12FE0">
              <w:rPr>
                <w:rFonts w:ascii="楷体" w:eastAsia="楷体" w:hAnsi="楷体" w:cs="楷体" w:hint="eastAsia"/>
                <w:color w:val="000000" w:themeColor="text1"/>
                <w:kern w:val="0"/>
                <w:szCs w:val="24"/>
                <w:lang w:bidi="ar"/>
              </w:rPr>
              <w:t xml:space="preserve">不大于 </w:t>
            </w:r>
            <w:r w:rsidRPr="00B12FE0">
              <w:rPr>
                <w:color w:val="000000" w:themeColor="text1"/>
                <w:kern w:val="0"/>
                <w:szCs w:val="24"/>
                <w:lang w:bidi="ar"/>
              </w:rPr>
              <w:t>10 Bq/L</w:t>
            </w:r>
            <w:r w:rsidRPr="00B12FE0">
              <w:rPr>
                <w:rFonts w:ascii="楷体" w:eastAsia="楷体" w:hAnsi="楷体" w:cs="楷体" w:hint="eastAsia"/>
                <w:color w:val="000000" w:themeColor="text1"/>
                <w:kern w:val="0"/>
                <w:szCs w:val="24"/>
                <w:lang w:bidi="ar"/>
              </w:rPr>
              <w:t>、碘</w:t>
            </w:r>
            <w:r w:rsidRPr="00B12FE0">
              <w:rPr>
                <w:color w:val="000000" w:themeColor="text1"/>
                <w:kern w:val="0"/>
                <w:szCs w:val="24"/>
                <w:lang w:bidi="ar"/>
              </w:rPr>
              <w:t xml:space="preserve">-131 </w:t>
            </w:r>
            <w:r w:rsidRPr="00B12FE0">
              <w:rPr>
                <w:rFonts w:ascii="楷体" w:eastAsia="楷体" w:hAnsi="楷体" w:cs="楷体" w:hint="eastAsia"/>
                <w:color w:val="000000" w:themeColor="text1"/>
                <w:kern w:val="0"/>
                <w:szCs w:val="24"/>
                <w:lang w:bidi="ar"/>
              </w:rPr>
              <w:t xml:space="preserve">的放射性活度浓度不大于 </w:t>
            </w:r>
            <w:r w:rsidRPr="00B12FE0">
              <w:rPr>
                <w:color w:val="000000" w:themeColor="text1"/>
                <w:kern w:val="0"/>
                <w:szCs w:val="24"/>
                <w:lang w:bidi="ar"/>
              </w:rPr>
              <w:t>10Bq/L</w:t>
            </w:r>
            <w:r w:rsidRPr="00B12FE0">
              <w:rPr>
                <w:rFonts w:ascii="楷体" w:eastAsia="楷体" w:hAnsi="楷体" w:cs="楷体" w:hint="eastAsia"/>
                <w:color w:val="000000" w:themeColor="text1"/>
                <w:kern w:val="0"/>
                <w:szCs w:val="24"/>
                <w:lang w:bidi="ar"/>
              </w:rPr>
              <w:t xml:space="preserve">。 </w:t>
            </w:r>
          </w:p>
          <w:p w14:paraId="1CDCBD0C" w14:textId="77777777" w:rsidR="00A67F21" w:rsidRPr="00B12FE0" w:rsidRDefault="00000000">
            <w:pPr>
              <w:widowControl/>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kern w:val="0"/>
                <w:szCs w:val="24"/>
                <w:lang w:bidi="ar"/>
              </w:rPr>
              <w:t>根据《关于核医学标准相关条款咨询的复函》（辐射函</w:t>
            </w:r>
            <w:r w:rsidRPr="00B12FE0">
              <w:rPr>
                <w:color w:val="000000" w:themeColor="text1"/>
                <w:kern w:val="0"/>
                <w:szCs w:val="24"/>
                <w:lang w:bidi="ar"/>
              </w:rPr>
              <w:t xml:space="preserve">[2023]20 </w:t>
            </w:r>
            <w:r w:rsidRPr="00B12FE0">
              <w:rPr>
                <w:rFonts w:ascii="宋体" w:hAnsi="宋体" w:cs="宋体" w:hint="eastAsia"/>
                <w:color w:val="000000" w:themeColor="text1"/>
                <w:kern w:val="0"/>
                <w:szCs w:val="24"/>
                <w:lang w:bidi="ar"/>
              </w:rPr>
              <w:t>号），关于槽式衰变池中含碘</w:t>
            </w:r>
            <w:r w:rsidRPr="00B12FE0">
              <w:rPr>
                <w:color w:val="000000" w:themeColor="text1"/>
                <w:kern w:val="0"/>
                <w:szCs w:val="24"/>
                <w:lang w:bidi="ar"/>
              </w:rPr>
              <w:t xml:space="preserve">-131 </w:t>
            </w:r>
            <w:r w:rsidRPr="00B12FE0">
              <w:rPr>
                <w:rFonts w:ascii="宋体" w:hAnsi="宋体" w:cs="宋体" w:hint="eastAsia"/>
                <w:color w:val="000000" w:themeColor="text1"/>
                <w:kern w:val="0"/>
                <w:szCs w:val="24"/>
                <w:lang w:bidi="ar"/>
              </w:rPr>
              <w:t>放射性废水排放：含碘</w:t>
            </w:r>
            <w:r w:rsidRPr="00B12FE0">
              <w:rPr>
                <w:color w:val="000000" w:themeColor="text1"/>
                <w:kern w:val="0"/>
                <w:szCs w:val="24"/>
                <w:lang w:bidi="ar"/>
              </w:rPr>
              <w:t xml:space="preserve">-131 </w:t>
            </w:r>
            <w:r w:rsidRPr="00B12FE0">
              <w:rPr>
                <w:rFonts w:ascii="宋体" w:hAnsi="宋体" w:cs="宋体" w:hint="eastAsia"/>
                <w:color w:val="000000" w:themeColor="text1"/>
                <w:kern w:val="0"/>
                <w:szCs w:val="24"/>
                <w:lang w:bidi="ar"/>
              </w:rPr>
              <w:t xml:space="preserve">放射性废水可按照下列任意一种方式进行排放： </w:t>
            </w:r>
          </w:p>
          <w:p w14:paraId="5B4D3D97" w14:textId="77777777" w:rsidR="00A67F21" w:rsidRPr="00B12FE0" w:rsidRDefault="00000000">
            <w:pPr>
              <w:widowControl/>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kern w:val="0"/>
                <w:szCs w:val="24"/>
                <w:lang w:bidi="ar"/>
              </w:rPr>
              <w:t xml:space="preserve">（一）根据《电离辐射防护与辐射源安全基本标准》第 </w:t>
            </w:r>
            <w:r w:rsidRPr="00B12FE0">
              <w:rPr>
                <w:color w:val="000000" w:themeColor="text1"/>
                <w:kern w:val="0"/>
                <w:szCs w:val="24"/>
                <w:lang w:bidi="ar"/>
              </w:rPr>
              <w:t xml:space="preserve">8.6.2 </w:t>
            </w:r>
            <w:r w:rsidRPr="00B12FE0">
              <w:rPr>
                <w:rFonts w:ascii="宋体" w:hAnsi="宋体" w:cs="宋体" w:hint="eastAsia"/>
                <w:color w:val="000000" w:themeColor="text1"/>
                <w:kern w:val="0"/>
                <w:szCs w:val="24"/>
                <w:lang w:bidi="ar"/>
              </w:rPr>
              <w:t>条规定，经监管部门确认单次排入普通下水道的废水中碘</w:t>
            </w:r>
            <w:r w:rsidRPr="00B12FE0">
              <w:rPr>
                <w:color w:val="000000" w:themeColor="text1"/>
                <w:kern w:val="0"/>
                <w:szCs w:val="24"/>
                <w:lang w:bidi="ar"/>
              </w:rPr>
              <w:t xml:space="preserve">-131 </w:t>
            </w:r>
            <w:r w:rsidRPr="00B12FE0">
              <w:rPr>
                <w:rFonts w:ascii="宋体" w:hAnsi="宋体" w:cs="宋体" w:hint="eastAsia"/>
                <w:color w:val="000000" w:themeColor="text1"/>
                <w:kern w:val="0"/>
                <w:szCs w:val="24"/>
                <w:lang w:bidi="ar"/>
              </w:rPr>
              <w:t xml:space="preserve">活度不超过 </w:t>
            </w:r>
            <w:r w:rsidRPr="00B12FE0">
              <w:rPr>
                <w:color w:val="000000" w:themeColor="text1"/>
                <w:kern w:val="0"/>
                <w:szCs w:val="24"/>
                <w:lang w:bidi="ar"/>
              </w:rPr>
              <w:t>1ALImin</w:t>
            </w:r>
            <w:r w:rsidRPr="00B12FE0">
              <w:rPr>
                <w:rFonts w:ascii="宋体" w:hAnsi="宋体" w:cs="宋体" w:hint="eastAsia"/>
                <w:color w:val="000000" w:themeColor="text1"/>
                <w:kern w:val="0"/>
                <w:szCs w:val="24"/>
                <w:lang w:bidi="ar"/>
              </w:rPr>
              <w:t>（</w:t>
            </w:r>
            <w:r w:rsidRPr="00B12FE0">
              <w:rPr>
                <w:color w:val="000000" w:themeColor="text1"/>
                <w:kern w:val="0"/>
                <w:szCs w:val="24"/>
                <w:lang w:bidi="ar"/>
              </w:rPr>
              <w:t xml:space="preserve">9E+5 </w:t>
            </w:r>
            <w:r w:rsidRPr="00B12FE0">
              <w:rPr>
                <w:rFonts w:ascii="宋体" w:hAnsi="宋体" w:cs="宋体" w:hint="eastAsia"/>
                <w:color w:val="000000" w:themeColor="text1"/>
                <w:kern w:val="0"/>
                <w:szCs w:val="24"/>
                <w:lang w:bidi="ar"/>
              </w:rPr>
              <w:t>贝可</w:t>
            </w:r>
            <w:r w:rsidRPr="00B12FE0">
              <w:rPr>
                <w:color w:val="000000" w:themeColor="text1"/>
                <w:kern w:val="0"/>
                <w:szCs w:val="24"/>
                <w:lang w:bidi="ar"/>
              </w:rPr>
              <w:t>)</w:t>
            </w:r>
            <w:r w:rsidRPr="00B12FE0">
              <w:rPr>
                <w:rFonts w:ascii="宋体" w:hAnsi="宋体" w:cs="宋体" w:hint="eastAsia"/>
                <w:color w:val="000000" w:themeColor="text1"/>
                <w:kern w:val="0"/>
                <w:szCs w:val="24"/>
                <w:lang w:bidi="ar"/>
              </w:rPr>
              <w:t>，每月排放的废水中碘</w:t>
            </w:r>
            <w:r w:rsidRPr="00B12FE0">
              <w:rPr>
                <w:color w:val="000000" w:themeColor="text1"/>
                <w:kern w:val="0"/>
                <w:szCs w:val="24"/>
                <w:lang w:bidi="ar"/>
              </w:rPr>
              <w:t xml:space="preserve">-131 </w:t>
            </w:r>
            <w:r w:rsidRPr="00B12FE0">
              <w:rPr>
                <w:rFonts w:ascii="宋体" w:hAnsi="宋体" w:cs="宋体" w:hint="eastAsia"/>
                <w:color w:val="000000" w:themeColor="text1"/>
                <w:kern w:val="0"/>
                <w:szCs w:val="24"/>
                <w:lang w:bidi="ar"/>
              </w:rPr>
              <w:t xml:space="preserve">总活度不超过 </w:t>
            </w:r>
            <w:r w:rsidRPr="00B12FE0">
              <w:rPr>
                <w:color w:val="000000" w:themeColor="text1"/>
                <w:kern w:val="0"/>
                <w:szCs w:val="24"/>
                <w:lang w:bidi="ar"/>
              </w:rPr>
              <w:t xml:space="preserve">10ALImin(9E+6 </w:t>
            </w:r>
            <w:r w:rsidRPr="00B12FE0">
              <w:rPr>
                <w:rFonts w:ascii="宋体" w:hAnsi="宋体" w:cs="宋体" w:hint="eastAsia"/>
                <w:color w:val="000000" w:themeColor="text1"/>
                <w:kern w:val="0"/>
                <w:szCs w:val="24"/>
                <w:lang w:bidi="ar"/>
              </w:rPr>
              <w:t>贝可</w:t>
            </w:r>
            <w:r w:rsidRPr="00B12FE0">
              <w:rPr>
                <w:color w:val="000000" w:themeColor="text1"/>
                <w:kern w:val="0"/>
                <w:szCs w:val="24"/>
                <w:lang w:bidi="ar"/>
              </w:rPr>
              <w:t>)</w:t>
            </w:r>
            <w:r w:rsidRPr="00B12FE0">
              <w:rPr>
                <w:rFonts w:ascii="宋体" w:hAnsi="宋体" w:cs="宋体" w:hint="eastAsia"/>
                <w:color w:val="000000" w:themeColor="text1"/>
                <w:kern w:val="0"/>
                <w:szCs w:val="24"/>
                <w:lang w:bidi="ar"/>
              </w:rPr>
              <w:t xml:space="preserve">。 </w:t>
            </w:r>
          </w:p>
          <w:p w14:paraId="3D40A797" w14:textId="77777777" w:rsidR="00A67F21" w:rsidRPr="00B12FE0" w:rsidRDefault="00000000">
            <w:pPr>
              <w:widowControl/>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kern w:val="0"/>
                <w:szCs w:val="24"/>
                <w:lang w:bidi="ar"/>
              </w:rPr>
              <w:t xml:space="preserve">（二）暂存 </w:t>
            </w:r>
            <w:r w:rsidRPr="00B12FE0">
              <w:rPr>
                <w:color w:val="000000" w:themeColor="text1"/>
                <w:kern w:val="0"/>
                <w:szCs w:val="24"/>
                <w:lang w:bidi="ar"/>
              </w:rPr>
              <w:t xml:space="preserve">180 </w:t>
            </w:r>
            <w:r w:rsidRPr="00B12FE0">
              <w:rPr>
                <w:rFonts w:ascii="宋体" w:hAnsi="宋体" w:cs="宋体" w:hint="eastAsia"/>
                <w:color w:val="000000" w:themeColor="text1"/>
                <w:kern w:val="0"/>
                <w:szCs w:val="24"/>
                <w:lang w:bidi="ar"/>
              </w:rPr>
              <w:t xml:space="preserve">天后，衰变池废水可以直接排放。 </w:t>
            </w:r>
          </w:p>
          <w:p w14:paraId="746A2E9C" w14:textId="77777777" w:rsidR="00A67F21" w:rsidRPr="00B12FE0" w:rsidRDefault="00000000">
            <w:pPr>
              <w:widowControl/>
              <w:adjustRightInd w:val="0"/>
              <w:snapToGrid w:val="0"/>
              <w:spacing w:line="360" w:lineRule="auto"/>
              <w:ind w:firstLineChars="200" w:firstLine="480"/>
              <w:rPr>
                <w:rFonts w:ascii="宋体" w:hAnsi="宋体" w:cs="宋体" w:hint="eastAsia"/>
                <w:color w:val="000000" w:themeColor="text1"/>
                <w:kern w:val="0"/>
                <w:szCs w:val="24"/>
                <w:lang w:bidi="ar"/>
              </w:rPr>
            </w:pPr>
            <w:r w:rsidRPr="00B12FE0">
              <w:rPr>
                <w:rFonts w:ascii="宋体" w:hAnsi="宋体" w:cs="宋体" w:hint="eastAsia"/>
                <w:color w:val="000000" w:themeColor="text1"/>
                <w:kern w:val="0"/>
                <w:szCs w:val="24"/>
                <w:lang w:bidi="ar"/>
              </w:rPr>
              <w:t xml:space="preserve">（三）暂存不满 </w:t>
            </w:r>
            <w:r w:rsidRPr="00B12FE0">
              <w:rPr>
                <w:color w:val="000000" w:themeColor="text1"/>
                <w:kern w:val="0"/>
                <w:szCs w:val="24"/>
                <w:lang w:bidi="ar"/>
              </w:rPr>
              <w:t xml:space="preserve">180 </w:t>
            </w:r>
            <w:r w:rsidRPr="00B12FE0">
              <w:rPr>
                <w:rFonts w:ascii="宋体" w:hAnsi="宋体" w:cs="宋体" w:hint="eastAsia"/>
                <w:color w:val="000000" w:themeColor="text1"/>
                <w:kern w:val="0"/>
                <w:szCs w:val="24"/>
                <w:lang w:bidi="ar"/>
              </w:rPr>
              <w:t>天但监测结果表明碘</w:t>
            </w:r>
            <w:r w:rsidRPr="00B12FE0">
              <w:rPr>
                <w:color w:val="000000" w:themeColor="text1"/>
                <w:kern w:val="0"/>
                <w:szCs w:val="24"/>
                <w:lang w:bidi="ar"/>
              </w:rPr>
              <w:t xml:space="preserve">-131 </w:t>
            </w:r>
            <w:r w:rsidRPr="00B12FE0">
              <w:rPr>
                <w:rFonts w:ascii="宋体" w:hAnsi="宋体" w:cs="宋体" w:hint="eastAsia"/>
                <w:color w:val="000000" w:themeColor="text1"/>
                <w:kern w:val="0"/>
                <w:szCs w:val="24"/>
                <w:lang w:bidi="ar"/>
              </w:rPr>
              <w:t xml:space="preserve">活度浓度已降至不高于 </w:t>
            </w:r>
            <w:r w:rsidRPr="00B12FE0">
              <w:rPr>
                <w:color w:val="000000" w:themeColor="text1"/>
                <w:kern w:val="0"/>
                <w:szCs w:val="24"/>
                <w:lang w:bidi="ar"/>
              </w:rPr>
              <w:t xml:space="preserve">10 </w:t>
            </w:r>
            <w:r w:rsidRPr="00B12FE0">
              <w:rPr>
                <w:rFonts w:ascii="宋体" w:hAnsi="宋体" w:cs="宋体" w:hint="eastAsia"/>
                <w:color w:val="000000" w:themeColor="text1"/>
                <w:kern w:val="0"/>
                <w:szCs w:val="24"/>
                <w:lang w:bidi="ar"/>
              </w:rPr>
              <w:t>贝可</w:t>
            </w:r>
            <w:r w:rsidRPr="00B12FE0">
              <w:rPr>
                <w:color w:val="000000" w:themeColor="text1"/>
                <w:kern w:val="0"/>
                <w:szCs w:val="24"/>
                <w:lang w:bidi="ar"/>
              </w:rPr>
              <w:t>/</w:t>
            </w:r>
            <w:r w:rsidRPr="00B12FE0">
              <w:rPr>
                <w:rFonts w:ascii="宋体" w:hAnsi="宋体" w:cs="宋体" w:hint="eastAsia"/>
                <w:color w:val="000000" w:themeColor="text1"/>
                <w:kern w:val="0"/>
                <w:szCs w:val="24"/>
                <w:lang w:bidi="ar"/>
              </w:rPr>
              <w:t xml:space="preserve">升水平，也可直接排放。 </w:t>
            </w:r>
          </w:p>
          <w:p w14:paraId="288AFFF3" w14:textId="77777777" w:rsidR="00A67F21" w:rsidRPr="00B12FE0" w:rsidRDefault="00000000">
            <w:pPr>
              <w:widowControl/>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kern w:val="0"/>
                <w:szCs w:val="24"/>
                <w:lang w:bidi="ar"/>
              </w:rPr>
              <w:t>医院应做好相关排放记录。</w:t>
            </w:r>
          </w:p>
          <w:p w14:paraId="7789C8B1" w14:textId="77777777" w:rsidR="00A67F21" w:rsidRPr="00B12FE0" w:rsidRDefault="00000000">
            <w:pPr>
              <w:adjustRightInd w:val="0"/>
              <w:snapToGrid w:val="0"/>
              <w:spacing w:line="360" w:lineRule="auto"/>
              <w:ind w:firstLineChars="200" w:firstLine="482"/>
              <w:rPr>
                <w:b/>
                <w:color w:val="000000" w:themeColor="text1"/>
                <w:kern w:val="0"/>
                <w:szCs w:val="24"/>
              </w:rPr>
            </w:pPr>
            <w:r w:rsidRPr="00B12FE0">
              <w:rPr>
                <w:b/>
                <w:color w:val="000000" w:themeColor="text1"/>
                <w:kern w:val="0"/>
                <w:szCs w:val="24"/>
              </w:rPr>
              <w:t>（</w:t>
            </w:r>
            <w:r w:rsidRPr="00B12FE0">
              <w:rPr>
                <w:rFonts w:hint="eastAsia"/>
                <w:b/>
                <w:color w:val="000000" w:themeColor="text1"/>
                <w:kern w:val="0"/>
                <w:szCs w:val="24"/>
              </w:rPr>
              <w:t>6</w:t>
            </w:r>
            <w:r w:rsidRPr="00B12FE0">
              <w:rPr>
                <w:b/>
                <w:color w:val="000000" w:themeColor="text1"/>
                <w:kern w:val="0"/>
                <w:szCs w:val="24"/>
              </w:rPr>
              <w:t>）放射性固废</w:t>
            </w:r>
            <w:r w:rsidRPr="00B12FE0">
              <w:rPr>
                <w:rFonts w:hint="eastAsia"/>
                <w:b/>
                <w:color w:val="000000" w:themeColor="text1"/>
                <w:kern w:val="0"/>
                <w:szCs w:val="24"/>
              </w:rPr>
              <w:t>处理</w:t>
            </w:r>
          </w:p>
          <w:p w14:paraId="7BE53013" w14:textId="77777777" w:rsidR="00A67F21" w:rsidRPr="00B12FE0" w:rsidRDefault="00000000">
            <w:pPr>
              <w:adjustRightInd w:val="0"/>
              <w:snapToGrid w:val="0"/>
              <w:spacing w:line="360" w:lineRule="auto"/>
              <w:ind w:firstLineChars="200" w:firstLine="480"/>
              <w:rPr>
                <w:b/>
                <w:color w:val="000000" w:themeColor="text1"/>
                <w:kern w:val="0"/>
                <w:szCs w:val="24"/>
              </w:rPr>
            </w:pPr>
            <w:r w:rsidRPr="00B12FE0">
              <w:rPr>
                <w:color w:val="000000" w:themeColor="text1"/>
                <w:kern w:val="0"/>
                <w:szCs w:val="24"/>
                <w:lang w:bidi="ar"/>
              </w:rPr>
              <w:t>根据《核医学辐射防护与安全要求》（</w:t>
            </w:r>
            <w:r w:rsidRPr="00B12FE0">
              <w:rPr>
                <w:color w:val="000000" w:themeColor="text1"/>
                <w:kern w:val="0"/>
                <w:szCs w:val="24"/>
                <w:lang w:bidi="ar"/>
              </w:rPr>
              <w:t>HJ 1188-2021</w:t>
            </w:r>
            <w:r w:rsidRPr="00B12FE0">
              <w:rPr>
                <w:color w:val="000000" w:themeColor="text1"/>
                <w:kern w:val="0"/>
                <w:szCs w:val="24"/>
                <w:lang w:bidi="ar"/>
              </w:rPr>
              <w:t>）中相关规定，固体放射性废物暂存和处理应满足以下要求：</w:t>
            </w:r>
          </w:p>
          <w:p w14:paraId="227239D2" w14:textId="77777777" w:rsidR="00A67F21" w:rsidRPr="00B12FE0" w:rsidRDefault="00000000">
            <w:pPr>
              <w:adjustRightInd w:val="0"/>
              <w:snapToGrid w:val="0"/>
              <w:spacing w:line="360" w:lineRule="auto"/>
              <w:ind w:firstLine="480"/>
              <w:rPr>
                <w:rFonts w:eastAsia="楷体"/>
                <w:color w:val="000000" w:themeColor="text1"/>
              </w:rPr>
            </w:pPr>
            <w:r w:rsidRPr="00B12FE0">
              <w:rPr>
                <w:rFonts w:eastAsia="楷体"/>
                <w:color w:val="000000" w:themeColor="text1"/>
              </w:rPr>
              <w:t>固体放射性废物暂存时间满足下列要求的，经监测辐射剂量</w:t>
            </w:r>
            <w:proofErr w:type="gramStart"/>
            <w:r w:rsidRPr="00B12FE0">
              <w:rPr>
                <w:rFonts w:eastAsia="楷体"/>
                <w:color w:val="000000" w:themeColor="text1"/>
              </w:rPr>
              <w:t>率满足</w:t>
            </w:r>
            <w:proofErr w:type="gramEnd"/>
            <w:r w:rsidRPr="00B12FE0">
              <w:rPr>
                <w:rFonts w:eastAsia="楷体"/>
                <w:color w:val="000000" w:themeColor="text1"/>
              </w:rPr>
              <w:t>所处环境本底水平，</w:t>
            </w:r>
            <w:r w:rsidRPr="00B12FE0">
              <w:rPr>
                <w:rFonts w:eastAsia="楷体"/>
                <w:color w:val="000000" w:themeColor="text1"/>
              </w:rPr>
              <w:t>α</w:t>
            </w:r>
            <w:r w:rsidRPr="00B12FE0">
              <w:rPr>
                <w:rFonts w:eastAsia="楷体"/>
                <w:color w:val="000000" w:themeColor="text1"/>
              </w:rPr>
              <w:t>表面污染小于</w:t>
            </w:r>
            <w:r w:rsidRPr="00B12FE0">
              <w:rPr>
                <w:rFonts w:eastAsia="楷体"/>
                <w:color w:val="000000" w:themeColor="text1"/>
              </w:rPr>
              <w:t>0.08Bq/cm</w:t>
            </w:r>
            <w:r w:rsidRPr="00B12FE0">
              <w:rPr>
                <w:rFonts w:eastAsia="楷体"/>
                <w:color w:val="000000" w:themeColor="text1"/>
                <w:vertAlign w:val="superscript"/>
              </w:rPr>
              <w:t>2</w:t>
            </w:r>
            <w:r w:rsidRPr="00B12FE0">
              <w:rPr>
                <w:rFonts w:eastAsia="楷体"/>
                <w:color w:val="000000" w:themeColor="text1"/>
              </w:rPr>
              <w:t>、</w:t>
            </w:r>
            <w:r w:rsidRPr="00B12FE0">
              <w:rPr>
                <w:rFonts w:eastAsia="楷体"/>
                <w:color w:val="000000" w:themeColor="text1"/>
              </w:rPr>
              <w:t>β</w:t>
            </w:r>
            <w:r w:rsidRPr="00B12FE0">
              <w:rPr>
                <w:rFonts w:eastAsia="楷体"/>
                <w:color w:val="000000" w:themeColor="text1"/>
              </w:rPr>
              <w:t>表面污染小于</w:t>
            </w:r>
            <w:r w:rsidRPr="00B12FE0">
              <w:rPr>
                <w:rFonts w:eastAsia="楷体"/>
                <w:color w:val="000000" w:themeColor="text1"/>
              </w:rPr>
              <w:t>0.8Bq/cm</w:t>
            </w:r>
            <w:r w:rsidRPr="00B12FE0">
              <w:rPr>
                <w:rFonts w:eastAsia="楷体"/>
                <w:color w:val="000000" w:themeColor="text1"/>
                <w:vertAlign w:val="superscript"/>
              </w:rPr>
              <w:t>2</w:t>
            </w:r>
            <w:r w:rsidRPr="00B12FE0">
              <w:rPr>
                <w:rFonts w:eastAsia="楷体"/>
                <w:color w:val="000000" w:themeColor="text1"/>
              </w:rPr>
              <w:t>的，可对废物</w:t>
            </w:r>
            <w:proofErr w:type="gramStart"/>
            <w:r w:rsidRPr="00B12FE0">
              <w:rPr>
                <w:rFonts w:eastAsia="楷体"/>
                <w:color w:val="000000" w:themeColor="text1"/>
              </w:rPr>
              <w:t>清洁解控并</w:t>
            </w:r>
            <w:proofErr w:type="gramEnd"/>
            <w:r w:rsidRPr="00B12FE0">
              <w:rPr>
                <w:rFonts w:eastAsia="楷体"/>
                <w:color w:val="000000" w:themeColor="text1"/>
              </w:rPr>
              <w:t>作为医疗废物处理：</w:t>
            </w:r>
          </w:p>
          <w:p w14:paraId="1320FCF1" w14:textId="77777777" w:rsidR="00A67F21" w:rsidRPr="00B12FE0" w:rsidRDefault="00000000">
            <w:pPr>
              <w:adjustRightInd w:val="0"/>
              <w:snapToGrid w:val="0"/>
              <w:spacing w:line="360" w:lineRule="auto"/>
              <w:ind w:firstLine="480"/>
              <w:rPr>
                <w:rFonts w:eastAsia="楷体"/>
                <w:color w:val="000000" w:themeColor="text1"/>
              </w:rPr>
            </w:pPr>
            <w:r w:rsidRPr="00B12FE0">
              <w:rPr>
                <w:rFonts w:eastAsia="楷体"/>
                <w:color w:val="000000" w:themeColor="text1"/>
              </w:rPr>
              <w:t>a</w:t>
            </w:r>
            <w:r w:rsidRPr="00B12FE0">
              <w:rPr>
                <w:rFonts w:eastAsia="楷体"/>
                <w:color w:val="000000" w:themeColor="text1"/>
              </w:rPr>
              <w:t>）所含核素半衰期小于</w:t>
            </w:r>
            <w:r w:rsidRPr="00B12FE0">
              <w:rPr>
                <w:rFonts w:eastAsia="楷体"/>
                <w:color w:val="000000" w:themeColor="text1"/>
              </w:rPr>
              <w:t>24</w:t>
            </w:r>
            <w:r w:rsidRPr="00B12FE0">
              <w:rPr>
                <w:rFonts w:eastAsia="楷体"/>
                <w:color w:val="000000" w:themeColor="text1"/>
              </w:rPr>
              <w:t>小时的放射性固体废物暂存时间超过</w:t>
            </w:r>
            <w:r w:rsidRPr="00B12FE0">
              <w:rPr>
                <w:rFonts w:eastAsia="楷体"/>
                <w:color w:val="000000" w:themeColor="text1"/>
              </w:rPr>
              <w:t>30</w:t>
            </w:r>
            <w:r w:rsidRPr="00B12FE0">
              <w:rPr>
                <w:rFonts w:eastAsia="楷体"/>
                <w:color w:val="000000" w:themeColor="text1"/>
              </w:rPr>
              <w:t>天；</w:t>
            </w:r>
          </w:p>
          <w:p w14:paraId="7394603F" w14:textId="77777777" w:rsidR="00A67F21" w:rsidRPr="00B12FE0" w:rsidRDefault="00000000">
            <w:pPr>
              <w:adjustRightInd w:val="0"/>
              <w:snapToGrid w:val="0"/>
              <w:spacing w:line="360" w:lineRule="auto"/>
              <w:ind w:firstLine="480"/>
              <w:rPr>
                <w:rFonts w:eastAsia="楷体"/>
                <w:color w:val="000000" w:themeColor="text1"/>
              </w:rPr>
            </w:pPr>
            <w:r w:rsidRPr="00B12FE0">
              <w:rPr>
                <w:rFonts w:eastAsia="楷体"/>
                <w:color w:val="000000" w:themeColor="text1"/>
              </w:rPr>
              <w:t>b</w:t>
            </w:r>
            <w:r w:rsidRPr="00B12FE0">
              <w:rPr>
                <w:rFonts w:eastAsia="楷体"/>
                <w:color w:val="000000" w:themeColor="text1"/>
              </w:rPr>
              <w:t>）所含核素半衰期大于</w:t>
            </w:r>
            <w:r w:rsidRPr="00B12FE0">
              <w:rPr>
                <w:rFonts w:eastAsia="楷体"/>
                <w:color w:val="000000" w:themeColor="text1"/>
              </w:rPr>
              <w:t>24</w:t>
            </w:r>
            <w:r w:rsidRPr="00B12FE0">
              <w:rPr>
                <w:rFonts w:eastAsia="楷体"/>
                <w:color w:val="000000" w:themeColor="text1"/>
              </w:rPr>
              <w:t>小时的放射性固体废物暂存时间超过核素最长半衰期的</w:t>
            </w:r>
            <w:r w:rsidRPr="00B12FE0">
              <w:rPr>
                <w:rFonts w:eastAsia="楷体"/>
                <w:color w:val="000000" w:themeColor="text1"/>
              </w:rPr>
              <w:t>10</w:t>
            </w:r>
            <w:r w:rsidRPr="00B12FE0">
              <w:rPr>
                <w:rFonts w:eastAsia="楷体"/>
                <w:color w:val="000000" w:themeColor="text1"/>
              </w:rPr>
              <w:t>倍；</w:t>
            </w:r>
          </w:p>
          <w:p w14:paraId="1E3D41A8" w14:textId="77777777" w:rsidR="00A67F21" w:rsidRPr="00B12FE0" w:rsidRDefault="00000000">
            <w:pPr>
              <w:adjustRightInd w:val="0"/>
              <w:snapToGrid w:val="0"/>
              <w:spacing w:line="360" w:lineRule="auto"/>
              <w:ind w:firstLine="480"/>
              <w:rPr>
                <w:rFonts w:eastAsia="楷体"/>
                <w:color w:val="000000" w:themeColor="text1"/>
              </w:rPr>
            </w:pPr>
            <w:r w:rsidRPr="00B12FE0">
              <w:rPr>
                <w:rFonts w:eastAsia="楷体"/>
                <w:snapToGrid w:val="0"/>
                <w:color w:val="000000" w:themeColor="text1"/>
                <w:szCs w:val="24"/>
                <w:lang w:bidi="ar"/>
              </w:rPr>
              <w:t>c</w:t>
            </w:r>
            <w:r w:rsidRPr="00B12FE0">
              <w:rPr>
                <w:rFonts w:eastAsia="楷体"/>
                <w:snapToGrid w:val="0"/>
                <w:color w:val="000000" w:themeColor="text1"/>
                <w:szCs w:val="24"/>
                <w:lang w:bidi="ar"/>
              </w:rPr>
              <w:t>）含碘</w:t>
            </w:r>
            <w:r w:rsidRPr="00B12FE0">
              <w:rPr>
                <w:rFonts w:eastAsia="楷体"/>
                <w:snapToGrid w:val="0"/>
                <w:color w:val="000000" w:themeColor="text1"/>
                <w:szCs w:val="24"/>
                <w:lang w:bidi="ar"/>
              </w:rPr>
              <w:t>-131</w:t>
            </w:r>
            <w:r w:rsidRPr="00B12FE0">
              <w:rPr>
                <w:rFonts w:eastAsia="楷体"/>
                <w:snapToGrid w:val="0"/>
                <w:color w:val="000000" w:themeColor="text1"/>
                <w:szCs w:val="24"/>
                <w:lang w:bidi="ar"/>
              </w:rPr>
              <w:t>核素的放射性固体废物暂存超过</w:t>
            </w:r>
            <w:r w:rsidRPr="00B12FE0">
              <w:rPr>
                <w:rFonts w:eastAsia="楷体"/>
                <w:snapToGrid w:val="0"/>
                <w:color w:val="000000" w:themeColor="text1"/>
                <w:szCs w:val="24"/>
                <w:lang w:bidi="ar"/>
              </w:rPr>
              <w:t>180</w:t>
            </w:r>
            <w:r w:rsidRPr="00B12FE0">
              <w:rPr>
                <w:rFonts w:eastAsia="楷体"/>
                <w:snapToGrid w:val="0"/>
                <w:color w:val="000000" w:themeColor="text1"/>
                <w:szCs w:val="24"/>
                <w:lang w:bidi="ar"/>
              </w:rPr>
              <w:t>天。</w:t>
            </w:r>
          </w:p>
          <w:p w14:paraId="2F0C8BBF" w14:textId="77777777" w:rsidR="00A67F21" w:rsidRPr="00B12FE0" w:rsidRDefault="00000000">
            <w:pPr>
              <w:adjustRightInd w:val="0"/>
              <w:snapToGrid w:val="0"/>
              <w:spacing w:line="360" w:lineRule="auto"/>
              <w:ind w:firstLineChars="200" w:firstLine="482"/>
              <w:rPr>
                <w:b/>
                <w:color w:val="000000" w:themeColor="text1"/>
                <w:kern w:val="0"/>
                <w:szCs w:val="24"/>
              </w:rPr>
            </w:pPr>
            <w:r w:rsidRPr="00B12FE0">
              <w:rPr>
                <w:b/>
                <w:color w:val="000000" w:themeColor="text1"/>
                <w:kern w:val="0"/>
                <w:szCs w:val="24"/>
              </w:rPr>
              <w:t>（</w:t>
            </w:r>
            <w:r w:rsidRPr="00B12FE0">
              <w:rPr>
                <w:rFonts w:hint="eastAsia"/>
                <w:b/>
                <w:color w:val="000000" w:themeColor="text1"/>
                <w:kern w:val="0"/>
                <w:szCs w:val="24"/>
              </w:rPr>
              <w:t>7</w:t>
            </w:r>
            <w:r w:rsidRPr="00B12FE0">
              <w:rPr>
                <w:b/>
                <w:color w:val="000000" w:themeColor="text1"/>
                <w:kern w:val="0"/>
                <w:szCs w:val="24"/>
              </w:rPr>
              <w:t>）核医学工作场所通风要求</w:t>
            </w:r>
          </w:p>
          <w:p w14:paraId="0F59DD54" w14:textId="77777777" w:rsidR="00A67F21" w:rsidRPr="00B12FE0" w:rsidRDefault="00000000">
            <w:pPr>
              <w:adjustRightInd w:val="0"/>
              <w:snapToGrid w:val="0"/>
              <w:spacing w:line="360" w:lineRule="auto"/>
              <w:ind w:firstLineChars="200" w:firstLine="480"/>
              <w:rPr>
                <w:bCs/>
                <w:color w:val="000000" w:themeColor="text1"/>
                <w:kern w:val="0"/>
                <w:szCs w:val="24"/>
              </w:rPr>
            </w:pPr>
            <w:r w:rsidRPr="00B12FE0">
              <w:rPr>
                <w:bCs/>
                <w:color w:val="000000" w:themeColor="text1"/>
                <w:kern w:val="0"/>
                <w:szCs w:val="24"/>
              </w:rPr>
              <w:t>根据</w:t>
            </w:r>
            <w:r w:rsidRPr="00B12FE0">
              <w:rPr>
                <w:color w:val="000000" w:themeColor="text1"/>
                <w:kern w:val="0"/>
                <w:szCs w:val="24"/>
                <w:lang w:bidi="ar"/>
              </w:rPr>
              <w:t>《核医学辐射防护与安全要求》（</w:t>
            </w:r>
            <w:r w:rsidRPr="00B12FE0">
              <w:rPr>
                <w:color w:val="000000" w:themeColor="text1"/>
                <w:kern w:val="0"/>
                <w:szCs w:val="24"/>
                <w:lang w:bidi="ar"/>
              </w:rPr>
              <w:t>HJ 1188-2021</w:t>
            </w:r>
            <w:r w:rsidRPr="00B12FE0">
              <w:rPr>
                <w:color w:val="000000" w:themeColor="text1"/>
                <w:kern w:val="0"/>
                <w:szCs w:val="24"/>
                <w:lang w:bidi="ar"/>
              </w:rPr>
              <w:t>）中相关规定</w:t>
            </w:r>
            <w:r w:rsidRPr="00B12FE0">
              <w:rPr>
                <w:bCs/>
                <w:color w:val="000000" w:themeColor="text1"/>
                <w:kern w:val="0"/>
                <w:szCs w:val="24"/>
              </w:rPr>
              <w:t>，核医学工作场所通风要求如下：</w:t>
            </w:r>
          </w:p>
          <w:p w14:paraId="058CA92D" w14:textId="77777777" w:rsidR="00A67F21" w:rsidRPr="00B12FE0" w:rsidRDefault="00000000">
            <w:pPr>
              <w:adjustRightInd w:val="0"/>
              <w:snapToGrid w:val="0"/>
              <w:spacing w:line="360" w:lineRule="auto"/>
              <w:ind w:firstLineChars="200" w:firstLine="480"/>
              <w:rPr>
                <w:rFonts w:eastAsia="楷体"/>
                <w:color w:val="000000" w:themeColor="text1"/>
              </w:rPr>
            </w:pPr>
            <w:r w:rsidRPr="00B12FE0">
              <w:rPr>
                <w:rFonts w:eastAsia="楷体"/>
                <w:color w:val="000000" w:themeColor="text1"/>
              </w:rPr>
              <w:t>6.3.1</w:t>
            </w:r>
            <w:r w:rsidRPr="00B12FE0">
              <w:rPr>
                <w:rFonts w:eastAsia="楷体"/>
                <w:color w:val="000000" w:themeColor="text1"/>
              </w:rPr>
              <w:t>核医学工作场所应保持良好的通风，工作场所的气流流向应遵循自清洁</w:t>
            </w:r>
            <w:r w:rsidRPr="00B12FE0">
              <w:rPr>
                <w:rFonts w:eastAsia="楷体"/>
                <w:color w:val="000000" w:themeColor="text1"/>
              </w:rPr>
              <w:lastRenderedPageBreak/>
              <w:t>区向监督区再向控制区的方向设计，保持工作场所的负压和各区之间的压差，以防止放射性气体及气溶胶对工作场所造成交叉污染。</w:t>
            </w:r>
          </w:p>
          <w:p w14:paraId="0042C5AB" w14:textId="77777777" w:rsidR="00A67F21" w:rsidRPr="00B12FE0" w:rsidRDefault="00000000">
            <w:pPr>
              <w:adjustRightInd w:val="0"/>
              <w:snapToGrid w:val="0"/>
              <w:spacing w:line="360" w:lineRule="auto"/>
              <w:ind w:firstLineChars="200" w:firstLine="480"/>
              <w:rPr>
                <w:rFonts w:eastAsia="楷体"/>
                <w:color w:val="000000" w:themeColor="text1"/>
              </w:rPr>
            </w:pPr>
            <w:r w:rsidRPr="00B12FE0">
              <w:rPr>
                <w:rFonts w:eastAsia="楷体"/>
                <w:color w:val="000000" w:themeColor="text1"/>
              </w:rPr>
              <w:t>6.3.4</w:t>
            </w:r>
            <w:r w:rsidRPr="00B12FE0">
              <w:rPr>
                <w:rFonts w:eastAsia="楷体"/>
                <w:color w:val="000000" w:themeColor="text1"/>
              </w:rPr>
              <w:t>放射性物质的合成、分装以及挥发性放射性核素的操作应在手套箱、通风橱等密闭设备中进行，防止放射性液体泄漏或放射性气体及气溶胶逸出。手套箱、通风橱等密闭设备应设计单独的排风系统，并在密闭设备的顶壁安装活性炭或其他过滤装置。</w:t>
            </w:r>
          </w:p>
          <w:p w14:paraId="1CA5EBF1" w14:textId="77777777" w:rsidR="00A67F21" w:rsidRPr="00B12FE0" w:rsidRDefault="00000000">
            <w:pPr>
              <w:adjustRightInd w:val="0"/>
              <w:snapToGrid w:val="0"/>
              <w:spacing w:line="360" w:lineRule="auto"/>
              <w:ind w:firstLineChars="200" w:firstLine="480"/>
              <w:rPr>
                <w:rFonts w:eastAsia="楷体"/>
                <w:color w:val="000000" w:themeColor="text1"/>
              </w:rPr>
            </w:pPr>
            <w:r w:rsidRPr="00B12FE0">
              <w:rPr>
                <w:rFonts w:eastAsia="楷体"/>
                <w:color w:val="000000" w:themeColor="text1"/>
              </w:rPr>
              <w:t>6.3.5</w:t>
            </w:r>
            <w:r w:rsidRPr="00B12FE0">
              <w:rPr>
                <w:rFonts w:eastAsia="楷体"/>
                <w:color w:val="000000" w:themeColor="text1"/>
              </w:rPr>
              <w:t>通风橱应有足够的通风能力。制备放射性药物的回旋加速器工作区域、碘</w:t>
            </w:r>
            <w:r w:rsidRPr="00B12FE0">
              <w:rPr>
                <w:rFonts w:eastAsia="楷体"/>
                <w:color w:val="000000" w:themeColor="text1"/>
              </w:rPr>
              <w:t>-131</w:t>
            </w:r>
            <w:r w:rsidRPr="00B12FE0">
              <w:rPr>
                <w:rFonts w:eastAsia="楷体"/>
                <w:color w:val="000000" w:themeColor="text1"/>
              </w:rPr>
              <w:t>治疗病房以及设有通风橱、手套箱等场所的通风系统排气口应高于本建筑物屋顶，尽可能远离邻近的高层建筑。</w:t>
            </w:r>
          </w:p>
          <w:p w14:paraId="24594695" w14:textId="77777777" w:rsidR="00A67F21" w:rsidRPr="00B12FE0" w:rsidRDefault="00000000">
            <w:pPr>
              <w:adjustRightInd w:val="0"/>
              <w:snapToGrid w:val="0"/>
              <w:spacing w:line="360" w:lineRule="auto"/>
              <w:ind w:firstLineChars="200" w:firstLine="480"/>
              <w:jc w:val="left"/>
              <w:outlineLvl w:val="1"/>
              <w:rPr>
                <w:rFonts w:eastAsia="楷体"/>
                <w:color w:val="000000" w:themeColor="text1"/>
                <w:szCs w:val="24"/>
              </w:rPr>
            </w:pPr>
            <w:r w:rsidRPr="00B12FE0">
              <w:rPr>
                <w:rFonts w:eastAsia="楷体"/>
                <w:color w:val="000000" w:themeColor="text1"/>
                <w:szCs w:val="24"/>
              </w:rPr>
              <w:t xml:space="preserve">7.4.1 </w:t>
            </w:r>
            <w:r w:rsidRPr="00B12FE0">
              <w:rPr>
                <w:rFonts w:ascii="楷体" w:eastAsia="楷体" w:hAnsi="楷体"/>
                <w:color w:val="000000" w:themeColor="text1"/>
                <w:szCs w:val="24"/>
              </w:rPr>
              <w:t>产生气态放射性废物的核医学场所应设置独立的通风系统，合理组织工作场所的气流，对排出工作场所的气体进行过滤净化，避免污染工作场所和环境。</w:t>
            </w:r>
          </w:p>
          <w:p w14:paraId="0FF595AD" w14:textId="77777777" w:rsidR="00A67F21" w:rsidRPr="00B12FE0" w:rsidRDefault="00000000">
            <w:pPr>
              <w:autoSpaceDE w:val="0"/>
              <w:autoSpaceDN w:val="0"/>
              <w:adjustRightInd w:val="0"/>
              <w:snapToGrid w:val="0"/>
              <w:spacing w:line="360" w:lineRule="auto"/>
              <w:ind w:firstLineChars="200" w:firstLine="480"/>
              <w:rPr>
                <w:rFonts w:ascii="楷体" w:eastAsia="楷体" w:hAnsi="楷体" w:hint="eastAsia"/>
                <w:color w:val="000000" w:themeColor="text1"/>
                <w:szCs w:val="24"/>
              </w:rPr>
            </w:pPr>
            <w:r w:rsidRPr="00B12FE0">
              <w:rPr>
                <w:rFonts w:eastAsia="楷体"/>
                <w:color w:val="000000" w:themeColor="text1"/>
                <w:szCs w:val="24"/>
              </w:rPr>
              <w:t xml:space="preserve">7.4.2 </w:t>
            </w:r>
            <w:r w:rsidRPr="00B12FE0">
              <w:rPr>
                <w:rFonts w:ascii="楷体" w:eastAsia="楷体" w:hAnsi="楷体"/>
                <w:color w:val="000000" w:themeColor="text1"/>
                <w:szCs w:val="24"/>
              </w:rPr>
              <w:t>应定期检查通风系统过滤净化器的有效性，及时更换失效的过滤器，更换周期不能</w:t>
            </w:r>
            <w:r w:rsidRPr="00B12FE0">
              <w:rPr>
                <w:rFonts w:ascii="楷体" w:eastAsia="楷体" w:hAnsi="楷体" w:hint="eastAsia"/>
                <w:color w:val="000000" w:themeColor="text1"/>
                <w:szCs w:val="24"/>
              </w:rPr>
              <w:t>超过厂家推荐的使用时间。更换下来的过滤器按放射性固体废物进行收集、处理。</w:t>
            </w:r>
          </w:p>
          <w:p w14:paraId="5B7BD5A1" w14:textId="77777777" w:rsidR="00A67F21" w:rsidRPr="00B12FE0" w:rsidRDefault="00000000">
            <w:pPr>
              <w:autoSpaceDE w:val="0"/>
              <w:autoSpaceDN w:val="0"/>
              <w:adjustRightInd w:val="0"/>
              <w:snapToGrid w:val="0"/>
              <w:spacing w:line="360" w:lineRule="auto"/>
              <w:ind w:firstLineChars="200" w:firstLine="480"/>
              <w:rPr>
                <w:rFonts w:cs="宋体"/>
                <w:color w:val="000000" w:themeColor="text1"/>
              </w:rPr>
            </w:pPr>
            <w:r w:rsidRPr="00B12FE0">
              <w:rPr>
                <w:rFonts w:cs="宋体"/>
                <w:color w:val="000000" w:themeColor="text1"/>
              </w:rPr>
              <w:t>根据《</w:t>
            </w:r>
            <w:bookmarkStart w:id="11" w:name="OLE_LINK5"/>
            <w:r w:rsidRPr="00B12FE0">
              <w:rPr>
                <w:rFonts w:cs="宋体"/>
                <w:color w:val="000000" w:themeColor="text1"/>
              </w:rPr>
              <w:t>关于核医学标准相关条款咨询的复函》（辐射函〔</w:t>
            </w:r>
            <w:r w:rsidRPr="00B12FE0">
              <w:rPr>
                <w:rFonts w:cs="宋体"/>
                <w:color w:val="000000" w:themeColor="text1"/>
              </w:rPr>
              <w:t>2023</w:t>
            </w:r>
            <w:r w:rsidRPr="00B12FE0">
              <w:rPr>
                <w:rFonts w:cs="宋体"/>
                <w:color w:val="000000" w:themeColor="text1"/>
              </w:rPr>
              <w:t>〕</w:t>
            </w:r>
            <w:r w:rsidRPr="00B12FE0">
              <w:rPr>
                <w:rFonts w:cs="宋体"/>
                <w:color w:val="000000" w:themeColor="text1"/>
              </w:rPr>
              <w:t>20</w:t>
            </w:r>
            <w:r w:rsidRPr="00B12FE0">
              <w:rPr>
                <w:rFonts w:cs="宋体"/>
                <w:color w:val="000000" w:themeColor="text1"/>
              </w:rPr>
              <w:t>号）</w:t>
            </w:r>
            <w:bookmarkEnd w:id="11"/>
            <w:r w:rsidRPr="00B12FE0">
              <w:rPr>
                <w:rFonts w:cs="宋体"/>
                <w:color w:val="000000" w:themeColor="text1"/>
              </w:rPr>
              <w:t>中关于独立通风要求</w:t>
            </w:r>
            <w:r w:rsidRPr="00B12FE0">
              <w:rPr>
                <w:rFonts w:cs="宋体" w:hint="eastAsia"/>
                <w:color w:val="000000" w:themeColor="text1"/>
              </w:rPr>
              <w:t>：</w:t>
            </w:r>
          </w:p>
          <w:p w14:paraId="38BF5BC7" w14:textId="77777777" w:rsidR="00A67F21" w:rsidRPr="00B12FE0" w:rsidRDefault="00000000">
            <w:pPr>
              <w:autoSpaceDE w:val="0"/>
              <w:autoSpaceDN w:val="0"/>
              <w:adjustRightInd w:val="0"/>
              <w:snapToGrid w:val="0"/>
              <w:spacing w:line="360" w:lineRule="auto"/>
              <w:ind w:firstLineChars="200" w:firstLine="480"/>
              <w:rPr>
                <w:rFonts w:eastAsia="楷体"/>
                <w:color w:val="000000" w:themeColor="text1"/>
                <w:szCs w:val="24"/>
              </w:rPr>
            </w:pPr>
            <w:r w:rsidRPr="00B12FE0">
              <w:rPr>
                <w:rFonts w:eastAsia="楷体"/>
                <w:color w:val="000000" w:themeColor="text1"/>
                <w:szCs w:val="24"/>
              </w:rPr>
              <w:t>核医学标准第</w:t>
            </w:r>
            <w:r w:rsidRPr="00B12FE0">
              <w:rPr>
                <w:rFonts w:eastAsia="楷体"/>
                <w:color w:val="000000" w:themeColor="text1"/>
                <w:szCs w:val="24"/>
              </w:rPr>
              <w:t>6.3.4</w:t>
            </w:r>
            <w:r w:rsidRPr="00B12FE0">
              <w:rPr>
                <w:rFonts w:eastAsia="楷体"/>
                <w:color w:val="000000" w:themeColor="text1"/>
                <w:szCs w:val="24"/>
              </w:rPr>
              <w:t>节规定，手套箱、通风橱等密闭设备应设计单独的排风系统。单独的排风系统意为手套箱、通风橱等设备的排风管道在汇入</w:t>
            </w:r>
            <w:r w:rsidRPr="00B12FE0">
              <w:rPr>
                <w:rFonts w:eastAsia="楷体"/>
                <w:color w:val="000000" w:themeColor="text1"/>
                <w:szCs w:val="24"/>
              </w:rPr>
              <w:t>“</w:t>
            </w:r>
            <w:r w:rsidRPr="00B12FE0">
              <w:rPr>
                <w:rFonts w:eastAsia="楷体"/>
                <w:color w:val="000000" w:themeColor="text1"/>
                <w:szCs w:val="24"/>
              </w:rPr>
              <w:t>主排风管道前</w:t>
            </w:r>
            <w:r w:rsidRPr="00B12FE0">
              <w:rPr>
                <w:rFonts w:eastAsia="楷体"/>
                <w:color w:val="000000" w:themeColor="text1"/>
                <w:szCs w:val="24"/>
              </w:rPr>
              <w:t>”</w:t>
            </w:r>
            <w:r w:rsidRPr="00B12FE0">
              <w:rPr>
                <w:rFonts w:eastAsia="楷体"/>
                <w:color w:val="000000" w:themeColor="text1"/>
                <w:szCs w:val="24"/>
              </w:rPr>
              <w:t>的部分，应独立设置，防止发生气体回流和交叉污染。经过滤后的气体汇入到一个主管道中排放不违反标准要求。</w:t>
            </w:r>
          </w:p>
          <w:p w14:paraId="2030B66A" w14:textId="77777777" w:rsidR="00A67F21" w:rsidRPr="00B12FE0" w:rsidRDefault="00000000">
            <w:pPr>
              <w:adjustRightInd w:val="0"/>
              <w:snapToGrid w:val="0"/>
              <w:spacing w:line="360" w:lineRule="auto"/>
              <w:ind w:firstLineChars="200" w:firstLine="482"/>
              <w:jc w:val="left"/>
              <w:outlineLvl w:val="1"/>
              <w:rPr>
                <w:b/>
                <w:color w:val="000000" w:themeColor="text1"/>
                <w:kern w:val="0"/>
                <w:szCs w:val="24"/>
              </w:rPr>
            </w:pPr>
            <w:r w:rsidRPr="00B12FE0">
              <w:rPr>
                <w:rFonts w:ascii="宋体" w:hAnsi="宋体"/>
                <w:b/>
                <w:color w:val="000000" w:themeColor="text1"/>
                <w:kern w:val="0"/>
                <w:szCs w:val="24"/>
              </w:rPr>
              <w:t>（</w:t>
            </w:r>
            <w:r w:rsidRPr="00B12FE0">
              <w:rPr>
                <w:rFonts w:hint="eastAsia"/>
                <w:b/>
                <w:color w:val="000000" w:themeColor="text1"/>
                <w:kern w:val="0"/>
                <w:szCs w:val="24"/>
              </w:rPr>
              <w:t>8</w:t>
            </w:r>
            <w:r w:rsidRPr="00B12FE0">
              <w:rPr>
                <w:rFonts w:ascii="宋体" w:hAnsi="宋体"/>
                <w:b/>
                <w:color w:val="000000" w:themeColor="text1"/>
                <w:kern w:val="0"/>
                <w:szCs w:val="24"/>
              </w:rPr>
              <w:t>）患者出院的管理要求</w:t>
            </w:r>
          </w:p>
          <w:p w14:paraId="07D2C12D" w14:textId="77777777" w:rsidR="00A67F21" w:rsidRPr="00B12FE0" w:rsidRDefault="00000000">
            <w:pPr>
              <w:adjustRightInd w:val="0"/>
              <w:snapToGrid w:val="0"/>
              <w:spacing w:line="360" w:lineRule="auto"/>
              <w:ind w:firstLineChars="200" w:firstLine="480"/>
              <w:rPr>
                <w:color w:val="000000" w:themeColor="text1"/>
                <w:kern w:val="0"/>
                <w:szCs w:val="24"/>
              </w:rPr>
            </w:pPr>
            <w:r w:rsidRPr="00B12FE0">
              <w:rPr>
                <w:rFonts w:ascii="宋体" w:hAnsi="宋体"/>
                <w:color w:val="000000" w:themeColor="text1"/>
                <w:kern w:val="0"/>
                <w:szCs w:val="24"/>
              </w:rPr>
              <w:t>根据《核医学辐射防护与安全要求》（</w:t>
            </w:r>
            <w:r w:rsidRPr="00B12FE0">
              <w:rPr>
                <w:color w:val="000000" w:themeColor="text1"/>
                <w:kern w:val="0"/>
                <w:szCs w:val="24"/>
              </w:rPr>
              <w:t>HJ1188-2021</w:t>
            </w:r>
            <w:r w:rsidRPr="00B12FE0">
              <w:rPr>
                <w:rFonts w:ascii="宋体" w:hAnsi="宋体"/>
                <w:color w:val="000000" w:themeColor="text1"/>
                <w:kern w:val="0"/>
                <w:szCs w:val="24"/>
              </w:rPr>
              <w:t>），</w:t>
            </w:r>
            <w:r w:rsidRPr="00B12FE0">
              <w:rPr>
                <w:rFonts w:eastAsia="楷体"/>
                <w:color w:val="000000" w:themeColor="text1"/>
                <w:szCs w:val="24"/>
                <w:vertAlign w:val="superscript"/>
              </w:rPr>
              <w:t>131</w:t>
            </w:r>
            <w:r w:rsidRPr="00B12FE0">
              <w:rPr>
                <w:rFonts w:eastAsia="楷体"/>
                <w:color w:val="000000" w:themeColor="text1"/>
                <w:szCs w:val="24"/>
              </w:rPr>
              <w:t>I</w:t>
            </w:r>
            <w:r w:rsidRPr="00B12FE0">
              <w:rPr>
                <w:rFonts w:ascii="宋体" w:hAnsi="宋体"/>
                <w:color w:val="000000" w:themeColor="text1"/>
                <w:szCs w:val="24"/>
              </w:rPr>
              <w:t>治疗的患者出院管理要求如下：</w:t>
            </w:r>
          </w:p>
          <w:p w14:paraId="3B498575" w14:textId="77777777" w:rsidR="00A67F21" w:rsidRPr="00B12FE0" w:rsidRDefault="00000000">
            <w:pPr>
              <w:adjustRightInd w:val="0"/>
              <w:snapToGrid w:val="0"/>
              <w:spacing w:line="360" w:lineRule="auto"/>
              <w:ind w:firstLineChars="200" w:firstLine="480"/>
              <w:rPr>
                <w:b/>
                <w:color w:val="000000" w:themeColor="text1"/>
                <w:szCs w:val="24"/>
              </w:rPr>
            </w:pPr>
            <w:r w:rsidRPr="00B12FE0">
              <w:rPr>
                <w:rFonts w:ascii="楷体" w:eastAsia="楷体" w:hAnsi="楷体"/>
                <w:color w:val="000000" w:themeColor="text1"/>
                <w:szCs w:val="24"/>
              </w:rPr>
              <w:t>接受</w:t>
            </w:r>
            <w:r w:rsidRPr="00B12FE0">
              <w:rPr>
                <w:rFonts w:eastAsia="楷体"/>
                <w:color w:val="000000" w:themeColor="text1"/>
                <w:szCs w:val="24"/>
                <w:vertAlign w:val="superscript"/>
              </w:rPr>
              <w:t>131</w:t>
            </w:r>
            <w:r w:rsidRPr="00B12FE0">
              <w:rPr>
                <w:rFonts w:eastAsia="楷体"/>
                <w:color w:val="000000" w:themeColor="text1"/>
                <w:szCs w:val="24"/>
              </w:rPr>
              <w:t>I</w:t>
            </w:r>
            <w:r w:rsidRPr="00B12FE0">
              <w:rPr>
                <w:rFonts w:ascii="楷体" w:eastAsia="楷体" w:hAnsi="楷体"/>
                <w:color w:val="000000" w:themeColor="text1"/>
                <w:szCs w:val="24"/>
              </w:rPr>
              <w:t>治疗的患者，应在其体内的放射性活度降至</w:t>
            </w:r>
            <w:r w:rsidRPr="00B12FE0">
              <w:rPr>
                <w:rFonts w:eastAsia="楷体"/>
                <w:color w:val="000000" w:themeColor="text1"/>
                <w:szCs w:val="24"/>
              </w:rPr>
              <w:t>400MBq</w:t>
            </w:r>
            <w:r w:rsidRPr="00B12FE0">
              <w:rPr>
                <w:rFonts w:ascii="楷体" w:eastAsia="楷体" w:hAnsi="楷体"/>
                <w:color w:val="000000" w:themeColor="text1"/>
                <w:szCs w:val="24"/>
              </w:rPr>
              <w:t>或距离患者体表</w:t>
            </w:r>
            <w:r w:rsidRPr="00B12FE0">
              <w:rPr>
                <w:rFonts w:eastAsia="楷体"/>
                <w:color w:val="000000" w:themeColor="text1"/>
                <w:szCs w:val="24"/>
              </w:rPr>
              <w:t>1m</w:t>
            </w:r>
            <w:r w:rsidRPr="00B12FE0">
              <w:rPr>
                <w:rFonts w:ascii="楷体" w:eastAsia="楷体" w:hAnsi="楷体"/>
                <w:color w:val="000000" w:themeColor="text1"/>
                <w:szCs w:val="24"/>
              </w:rPr>
              <w:t>处的周围剂量当量率不大于</w:t>
            </w:r>
            <w:r w:rsidRPr="00B12FE0">
              <w:rPr>
                <w:rFonts w:eastAsia="楷体"/>
                <w:color w:val="000000" w:themeColor="text1"/>
                <w:szCs w:val="24"/>
              </w:rPr>
              <w:t>25μSv/h</w:t>
            </w:r>
            <w:r w:rsidRPr="00B12FE0">
              <w:rPr>
                <w:rFonts w:ascii="楷体" w:eastAsia="楷体" w:hAnsi="楷体"/>
                <w:color w:val="000000" w:themeColor="text1"/>
                <w:szCs w:val="24"/>
              </w:rPr>
              <w:t>方可出院，以控制该患者家庭与公众成员可能受到的照射。</w:t>
            </w:r>
          </w:p>
          <w:p w14:paraId="0E91B67E" w14:textId="77777777" w:rsidR="00A67F21" w:rsidRPr="00B12FE0" w:rsidRDefault="00000000">
            <w:pPr>
              <w:adjustRightInd w:val="0"/>
              <w:snapToGrid w:val="0"/>
              <w:spacing w:line="360" w:lineRule="auto"/>
              <w:rPr>
                <w:b/>
                <w:color w:val="000000" w:themeColor="text1"/>
              </w:rPr>
            </w:pPr>
            <w:r w:rsidRPr="00B12FE0">
              <w:rPr>
                <w:b/>
                <w:color w:val="000000" w:themeColor="text1"/>
              </w:rPr>
              <w:t>7.3.4</w:t>
            </w:r>
            <w:r w:rsidRPr="00B12FE0">
              <w:rPr>
                <w:b/>
                <w:color w:val="000000" w:themeColor="text1"/>
              </w:rPr>
              <w:t>放射治疗工作场所评价标准</w:t>
            </w:r>
          </w:p>
          <w:p w14:paraId="0712C336" w14:textId="77777777" w:rsidR="00A67F21" w:rsidRPr="00B12FE0" w:rsidRDefault="00000000">
            <w:pPr>
              <w:adjustRightInd w:val="0"/>
              <w:snapToGrid w:val="0"/>
              <w:spacing w:line="360" w:lineRule="auto"/>
              <w:ind w:firstLineChars="200" w:firstLine="482"/>
              <w:rPr>
                <w:b/>
                <w:color w:val="000000" w:themeColor="text1"/>
              </w:rPr>
            </w:pPr>
            <w:r w:rsidRPr="00B12FE0">
              <w:rPr>
                <w:b/>
                <w:color w:val="000000" w:themeColor="text1"/>
              </w:rPr>
              <w:t>（</w:t>
            </w:r>
            <w:r w:rsidRPr="00B12FE0">
              <w:rPr>
                <w:b/>
                <w:color w:val="000000" w:themeColor="text1"/>
              </w:rPr>
              <w:t>1</w:t>
            </w:r>
            <w:r w:rsidRPr="00B12FE0">
              <w:rPr>
                <w:b/>
                <w:color w:val="000000" w:themeColor="text1"/>
              </w:rPr>
              <w:t>）工作场所屏蔽体外剂量率控制水平</w:t>
            </w:r>
          </w:p>
          <w:p w14:paraId="75D7B45F"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lastRenderedPageBreak/>
              <w:t>本项目放射治疗工作场所为</w:t>
            </w:r>
            <w:r w:rsidRPr="00B12FE0">
              <w:rPr>
                <w:rFonts w:hint="eastAsia"/>
                <w:color w:val="000000" w:themeColor="text1"/>
              </w:rPr>
              <w:t>2</w:t>
            </w:r>
            <w:r w:rsidRPr="00B12FE0">
              <w:rPr>
                <w:rFonts w:hint="eastAsia"/>
                <w:color w:val="000000" w:themeColor="text1"/>
              </w:rPr>
              <w:t>间</w:t>
            </w:r>
            <w:r w:rsidRPr="00B12FE0">
              <w:rPr>
                <w:color w:val="000000" w:themeColor="text1"/>
              </w:rPr>
              <w:t>直线加速器机房</w:t>
            </w:r>
            <w:r w:rsidRPr="00B12FE0">
              <w:rPr>
                <w:rFonts w:hint="eastAsia"/>
                <w:color w:val="000000" w:themeColor="text1"/>
              </w:rPr>
              <w:t>及</w:t>
            </w:r>
            <w:r w:rsidRPr="00B12FE0">
              <w:rPr>
                <w:rFonts w:hint="eastAsia"/>
                <w:color w:val="000000" w:themeColor="text1"/>
              </w:rPr>
              <w:t>1</w:t>
            </w:r>
            <w:r w:rsidRPr="00B12FE0">
              <w:rPr>
                <w:rFonts w:hint="eastAsia"/>
                <w:color w:val="000000" w:themeColor="text1"/>
              </w:rPr>
              <w:t>台后装机</w:t>
            </w:r>
            <w:r w:rsidRPr="00B12FE0">
              <w:rPr>
                <w:color w:val="000000" w:themeColor="text1"/>
              </w:rPr>
              <w:t>，根据《放射治疗辐射安全与防护要求》（</w:t>
            </w:r>
            <w:r w:rsidRPr="00B12FE0">
              <w:rPr>
                <w:color w:val="000000" w:themeColor="text1"/>
              </w:rPr>
              <w:t>HJ 1198-2021</w:t>
            </w:r>
            <w:r w:rsidRPr="00B12FE0">
              <w:rPr>
                <w:color w:val="000000" w:themeColor="text1"/>
              </w:rPr>
              <w:t>）相关规定，本项目放射治疗工作场所屏蔽体外剂量率控制水平</w:t>
            </w:r>
            <w:r w:rsidRPr="00B12FE0">
              <w:rPr>
                <w:rFonts w:hint="eastAsia"/>
                <w:color w:val="000000" w:themeColor="text1"/>
                <w:lang w:eastAsia="zh-Hans"/>
              </w:rPr>
              <w:t>要求如下</w:t>
            </w:r>
            <w:r w:rsidRPr="00B12FE0">
              <w:rPr>
                <w:color w:val="000000" w:themeColor="text1"/>
              </w:rPr>
              <w:t>。</w:t>
            </w:r>
          </w:p>
          <w:p w14:paraId="6F2FA4D5" w14:textId="77777777" w:rsidR="00A67F21" w:rsidRPr="00B12FE0" w:rsidRDefault="00000000">
            <w:pPr>
              <w:adjustRightInd w:val="0"/>
              <w:snapToGrid w:val="0"/>
              <w:spacing w:line="360" w:lineRule="auto"/>
              <w:ind w:firstLineChars="200" w:firstLine="480"/>
              <w:rPr>
                <w:rFonts w:eastAsia="楷体" w:cs="宋体"/>
                <w:color w:val="000000" w:themeColor="text1"/>
                <w:szCs w:val="24"/>
              </w:rPr>
            </w:pPr>
            <w:r w:rsidRPr="00B12FE0">
              <w:rPr>
                <w:rFonts w:eastAsia="楷体" w:cs="宋体"/>
                <w:color w:val="000000" w:themeColor="text1"/>
                <w:szCs w:val="24"/>
              </w:rPr>
              <w:t xml:space="preserve">5.2 </w:t>
            </w:r>
            <w:r w:rsidRPr="00B12FE0">
              <w:rPr>
                <w:rFonts w:ascii="楷体" w:eastAsia="楷体" w:hAnsi="楷体" w:cs="宋体"/>
                <w:color w:val="000000" w:themeColor="text1"/>
                <w:szCs w:val="24"/>
              </w:rPr>
              <w:t>分区原则</w:t>
            </w:r>
          </w:p>
          <w:p w14:paraId="11D37731" w14:textId="77777777" w:rsidR="00A67F21" w:rsidRPr="00B12FE0" w:rsidRDefault="00000000">
            <w:pPr>
              <w:adjustRightInd w:val="0"/>
              <w:snapToGrid w:val="0"/>
              <w:spacing w:line="360" w:lineRule="auto"/>
              <w:ind w:firstLineChars="200" w:firstLine="480"/>
              <w:rPr>
                <w:rFonts w:eastAsia="楷体" w:cs="宋体"/>
                <w:color w:val="000000" w:themeColor="text1"/>
                <w:szCs w:val="24"/>
              </w:rPr>
            </w:pPr>
            <w:r w:rsidRPr="00B12FE0">
              <w:rPr>
                <w:rFonts w:eastAsia="楷体" w:cs="宋体"/>
                <w:color w:val="000000" w:themeColor="text1"/>
                <w:szCs w:val="24"/>
              </w:rPr>
              <w:t xml:space="preserve">5.2.1 </w:t>
            </w:r>
            <w:r w:rsidRPr="00B12FE0">
              <w:rPr>
                <w:rFonts w:ascii="楷体" w:eastAsia="楷体" w:hAnsi="楷体" w:cs="宋体"/>
                <w:color w:val="000000" w:themeColor="text1"/>
                <w:szCs w:val="24"/>
              </w:rPr>
              <w:t>放射治疗场所应划分控制区和监督区。一般情况下，控制区包括加速器大厅、治疗室（含迷路）等场所，如质子</w:t>
            </w:r>
            <w:r w:rsidRPr="00B12FE0">
              <w:rPr>
                <w:rFonts w:eastAsia="楷体"/>
                <w:color w:val="000000" w:themeColor="text1"/>
                <w:szCs w:val="24"/>
              </w:rPr>
              <w:t>/</w:t>
            </w:r>
            <w:r w:rsidRPr="00B12FE0">
              <w:rPr>
                <w:rFonts w:ascii="楷体" w:eastAsia="楷体" w:hAnsi="楷体" w:cs="宋体"/>
                <w:color w:val="000000" w:themeColor="text1"/>
                <w:szCs w:val="24"/>
              </w:rPr>
              <w:t>重离子加速器大厅、束流输运通道和治疗室，直线加速器机房、</w:t>
            </w:r>
            <w:proofErr w:type="gramStart"/>
            <w:r w:rsidRPr="00B12FE0">
              <w:rPr>
                <w:rFonts w:ascii="楷体" w:eastAsia="楷体" w:hAnsi="楷体" w:cs="宋体"/>
                <w:color w:val="000000" w:themeColor="text1"/>
                <w:szCs w:val="24"/>
              </w:rPr>
              <w:t>含源装置</w:t>
            </w:r>
            <w:proofErr w:type="gramEnd"/>
            <w:r w:rsidRPr="00B12FE0">
              <w:rPr>
                <w:rFonts w:ascii="楷体" w:eastAsia="楷体" w:hAnsi="楷体" w:cs="宋体"/>
                <w:color w:val="000000" w:themeColor="text1"/>
                <w:szCs w:val="24"/>
              </w:rPr>
              <w:t>的治疗室、放射性废物暂存区域等。开展术中放射治疗时，术中放射治疗室应确定为临时控制区。</w:t>
            </w:r>
          </w:p>
          <w:p w14:paraId="7890575B" w14:textId="77777777" w:rsidR="00A67F21" w:rsidRPr="00B12FE0" w:rsidRDefault="00000000">
            <w:pPr>
              <w:adjustRightInd w:val="0"/>
              <w:snapToGrid w:val="0"/>
              <w:spacing w:line="360" w:lineRule="auto"/>
              <w:ind w:firstLineChars="200" w:firstLine="480"/>
              <w:rPr>
                <w:rFonts w:eastAsia="楷体" w:cs="宋体"/>
                <w:color w:val="000000" w:themeColor="text1"/>
                <w:szCs w:val="24"/>
              </w:rPr>
            </w:pPr>
            <w:r w:rsidRPr="00B12FE0">
              <w:rPr>
                <w:rFonts w:eastAsia="楷体" w:cs="宋体"/>
                <w:color w:val="000000" w:themeColor="text1"/>
                <w:szCs w:val="24"/>
              </w:rPr>
              <w:t xml:space="preserve">5.2.2 </w:t>
            </w:r>
            <w:r w:rsidRPr="00B12FE0">
              <w:rPr>
                <w:rFonts w:ascii="楷体" w:eastAsia="楷体" w:hAnsi="楷体" w:cs="宋体"/>
                <w:color w:val="000000" w:themeColor="text1"/>
                <w:szCs w:val="24"/>
              </w:rPr>
              <w:t>与控制区相邻的、不需要采取专门防护手段和安全控制措施，但需要经常对职业照射条件进行监督和评价的区域划定为监督区（如直线加速器治疗室相邻的控制室及与机房相邻区域等）。</w:t>
            </w:r>
          </w:p>
          <w:p w14:paraId="547445FA"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6.1.4</w:t>
            </w:r>
            <w:r w:rsidRPr="00B12FE0">
              <w:rPr>
                <w:rFonts w:eastAsia="楷体"/>
                <w:bCs/>
                <w:color w:val="000000" w:themeColor="text1"/>
                <w:szCs w:val="32"/>
              </w:rPr>
              <w:t>剂量控制应符合以下要求</w:t>
            </w:r>
            <w:r w:rsidRPr="00B12FE0">
              <w:rPr>
                <w:rFonts w:eastAsia="楷体"/>
                <w:bCs/>
                <w:color w:val="000000" w:themeColor="text1"/>
                <w:szCs w:val="32"/>
              </w:rPr>
              <w:t>:</w:t>
            </w:r>
          </w:p>
          <w:p w14:paraId="0BAD74D8"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a</w:t>
            </w:r>
            <w:r w:rsidRPr="00B12FE0">
              <w:rPr>
                <w:rFonts w:eastAsia="楷体"/>
                <w:bCs/>
                <w:color w:val="000000" w:themeColor="text1"/>
                <w:szCs w:val="32"/>
              </w:rPr>
              <w:t>）治疗室墙和入口门外表面</w:t>
            </w:r>
            <w:r w:rsidRPr="00B12FE0">
              <w:rPr>
                <w:rFonts w:eastAsia="楷体"/>
                <w:bCs/>
                <w:color w:val="000000" w:themeColor="text1"/>
                <w:szCs w:val="32"/>
              </w:rPr>
              <w:t>30cm</w:t>
            </w:r>
            <w:r w:rsidRPr="00B12FE0">
              <w:rPr>
                <w:rFonts w:eastAsia="楷体"/>
                <w:bCs/>
                <w:color w:val="000000" w:themeColor="text1"/>
                <w:szCs w:val="32"/>
              </w:rPr>
              <w:t>处、邻近治疗室的关注点、治疗室房顶外的地面附近和楼层及在治疗室上方已建、拟建二层建筑物或在治疗室旁邻近建筑物的高度超过自辐射源点治疗室房顶内表面边缘所张立体角区域时</w:t>
            </w:r>
            <w:r w:rsidRPr="00B12FE0">
              <w:rPr>
                <w:rFonts w:eastAsia="楷体"/>
                <w:bCs/>
                <w:color w:val="000000" w:themeColor="text1"/>
                <w:szCs w:val="32"/>
              </w:rPr>
              <w:t>,</w:t>
            </w:r>
            <w:r w:rsidRPr="00B12FE0">
              <w:rPr>
                <w:rFonts w:eastAsia="楷体"/>
                <w:bCs/>
                <w:color w:val="000000" w:themeColor="text1"/>
                <w:szCs w:val="32"/>
              </w:rPr>
              <w:t>距治疗室顶外表面</w:t>
            </w:r>
            <w:r w:rsidRPr="00B12FE0">
              <w:rPr>
                <w:rFonts w:eastAsia="楷体"/>
                <w:bCs/>
                <w:color w:val="000000" w:themeColor="text1"/>
                <w:szCs w:val="32"/>
              </w:rPr>
              <w:t>30cm</w:t>
            </w:r>
            <w:r w:rsidRPr="00B12FE0">
              <w:rPr>
                <w:rFonts w:eastAsia="楷体"/>
                <w:bCs/>
                <w:color w:val="000000" w:themeColor="text1"/>
                <w:szCs w:val="32"/>
              </w:rPr>
              <w:t>处和在该立体角区域内的高层建筑人员驻留处的周围剂量当量率应同时满足下列</w:t>
            </w:r>
            <w:r w:rsidRPr="00B12FE0">
              <w:rPr>
                <w:rFonts w:eastAsia="楷体"/>
                <w:bCs/>
                <w:color w:val="000000" w:themeColor="text1"/>
                <w:szCs w:val="32"/>
              </w:rPr>
              <w:t>1</w:t>
            </w:r>
            <w:r w:rsidRPr="00B12FE0">
              <w:rPr>
                <w:rFonts w:eastAsia="楷体"/>
                <w:bCs/>
                <w:color w:val="000000" w:themeColor="text1"/>
                <w:szCs w:val="32"/>
              </w:rPr>
              <w:t>）和</w:t>
            </w:r>
            <w:r w:rsidRPr="00B12FE0">
              <w:rPr>
                <w:rFonts w:eastAsia="楷体"/>
                <w:bCs/>
                <w:color w:val="000000" w:themeColor="text1"/>
                <w:szCs w:val="32"/>
              </w:rPr>
              <w:t>2</w:t>
            </w:r>
            <w:r w:rsidRPr="00B12FE0">
              <w:rPr>
                <w:rFonts w:eastAsia="楷体"/>
                <w:bCs/>
                <w:color w:val="000000" w:themeColor="text1"/>
                <w:szCs w:val="32"/>
              </w:rPr>
              <w:t>）所确定的剂量率参考控制水平</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m:t>
                  </m:r>
                </m:sub>
              </m:sSub>
            </m:oMath>
            <w:r w:rsidRPr="00B12FE0">
              <w:rPr>
                <w:rFonts w:eastAsia="楷体"/>
                <w:bCs/>
                <w:color w:val="000000" w:themeColor="text1"/>
                <w:szCs w:val="32"/>
              </w:rPr>
              <w:t>:</w:t>
            </w:r>
          </w:p>
          <w:p w14:paraId="186840F6"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1</w:t>
            </w:r>
            <w:r w:rsidRPr="00B12FE0">
              <w:rPr>
                <w:rFonts w:eastAsia="楷体"/>
                <w:bCs/>
                <w:color w:val="000000" w:themeColor="text1"/>
                <w:szCs w:val="32"/>
              </w:rPr>
              <w:t>）使用放射治疗周工作负荷、关注点位置的使用因子和居留因子（可依照附录</w:t>
            </w:r>
            <w:r w:rsidRPr="00B12FE0">
              <w:rPr>
                <w:rFonts w:eastAsia="楷体"/>
                <w:bCs/>
                <w:color w:val="000000" w:themeColor="text1"/>
                <w:szCs w:val="32"/>
              </w:rPr>
              <w:t>A</w:t>
            </w:r>
            <w:r w:rsidRPr="00B12FE0">
              <w:rPr>
                <w:rFonts w:eastAsia="楷体"/>
                <w:bCs/>
                <w:color w:val="000000" w:themeColor="text1"/>
                <w:szCs w:val="32"/>
              </w:rPr>
              <w:t>选取），由以下周剂量参考控制水平（</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m:t>
                  </m:r>
                </m:sub>
              </m:sSub>
            </m:oMath>
            <w:r w:rsidRPr="00B12FE0">
              <w:rPr>
                <w:rFonts w:eastAsia="楷体"/>
                <w:bCs/>
                <w:color w:val="000000" w:themeColor="text1"/>
                <w:szCs w:val="32"/>
              </w:rPr>
              <w:t>）求得关注点的导出剂量率参考控制水平</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c,d</m:t>
                  </m:r>
                </m:sub>
              </m:sSub>
            </m:oMath>
            <w:r w:rsidRPr="00B12FE0">
              <w:rPr>
                <w:rFonts w:eastAsia="楷体"/>
                <w:bCs/>
                <w:color w:val="000000" w:themeColor="text1"/>
                <w:szCs w:val="32"/>
              </w:rPr>
              <w:t>（</w:t>
            </w:r>
            <w:proofErr w:type="spellStart"/>
            <w:r w:rsidRPr="00B12FE0">
              <w:rPr>
                <w:rFonts w:eastAsia="楷体"/>
                <w:bCs/>
                <w:color w:val="000000" w:themeColor="text1"/>
                <w:szCs w:val="32"/>
              </w:rPr>
              <w:t>μSv</w:t>
            </w:r>
            <w:proofErr w:type="spellEnd"/>
            <w:r w:rsidRPr="00B12FE0">
              <w:rPr>
                <w:rFonts w:eastAsia="楷体"/>
                <w:bCs/>
                <w:color w:val="000000" w:themeColor="text1"/>
                <w:szCs w:val="32"/>
              </w:rPr>
              <w:t>/h</w:t>
            </w:r>
            <w:r w:rsidRPr="00B12FE0">
              <w:rPr>
                <w:rFonts w:eastAsia="楷体"/>
                <w:bCs/>
                <w:color w:val="000000" w:themeColor="text1"/>
                <w:szCs w:val="32"/>
              </w:rPr>
              <w:t>）</w:t>
            </w:r>
          </w:p>
          <w:p w14:paraId="7290E392"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机房外辐射工作人员</w:t>
            </w:r>
            <w:r w:rsidRPr="00B12FE0">
              <w:rPr>
                <w:rFonts w:eastAsia="楷体"/>
                <w:bCs/>
                <w:color w:val="000000" w:themeColor="text1"/>
                <w:szCs w:val="32"/>
              </w:rPr>
              <w:t>:</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m:t>
                  </m:r>
                </m:sub>
              </m:sSub>
            </m:oMath>
            <w:r w:rsidRPr="00B12FE0">
              <w:rPr>
                <w:rFonts w:eastAsia="楷体"/>
                <w:bCs/>
                <w:color w:val="000000" w:themeColor="text1"/>
                <w:szCs w:val="32"/>
              </w:rPr>
              <w:t>≤100μSv/</w:t>
            </w:r>
            <w:r w:rsidRPr="00B12FE0">
              <w:rPr>
                <w:rFonts w:eastAsia="楷体"/>
                <w:bCs/>
                <w:color w:val="000000" w:themeColor="text1"/>
                <w:szCs w:val="32"/>
              </w:rPr>
              <w:t>周；</w:t>
            </w:r>
          </w:p>
          <w:p w14:paraId="3B775FCF"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机房外非辐射工作人员</w:t>
            </w:r>
            <w:r w:rsidRPr="00B12FE0">
              <w:rPr>
                <w:rFonts w:eastAsia="楷体"/>
                <w:bCs/>
                <w:color w:val="000000" w:themeColor="text1"/>
                <w:szCs w:val="32"/>
              </w:rPr>
              <w:t>:</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m:t>
                  </m:r>
                </m:sub>
              </m:sSub>
            </m:oMath>
            <w:r w:rsidRPr="00B12FE0">
              <w:rPr>
                <w:rFonts w:eastAsia="楷体"/>
                <w:bCs/>
                <w:color w:val="000000" w:themeColor="text1"/>
                <w:szCs w:val="32"/>
              </w:rPr>
              <w:t>≤5μSv/</w:t>
            </w:r>
            <w:r w:rsidRPr="00B12FE0">
              <w:rPr>
                <w:rFonts w:eastAsia="楷体"/>
                <w:bCs/>
                <w:color w:val="000000" w:themeColor="text1"/>
                <w:szCs w:val="32"/>
              </w:rPr>
              <w:t>周。</w:t>
            </w:r>
          </w:p>
          <w:p w14:paraId="6DA36722"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2</w:t>
            </w:r>
            <w:r w:rsidRPr="00B12FE0">
              <w:rPr>
                <w:rFonts w:eastAsia="楷体"/>
                <w:bCs/>
                <w:color w:val="000000" w:themeColor="text1"/>
                <w:szCs w:val="32"/>
              </w:rPr>
              <w:t>）按照关注点人员居留因子的不同，分别确定关注点的最高剂量率参考控制水平</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c,max</m:t>
                  </m:r>
                </m:sub>
              </m:sSub>
            </m:oMath>
            <w:r w:rsidRPr="00B12FE0">
              <w:rPr>
                <w:rFonts w:eastAsia="楷体"/>
                <w:bCs/>
                <w:color w:val="000000" w:themeColor="text1"/>
                <w:szCs w:val="32"/>
              </w:rPr>
              <w:t>（</w:t>
            </w:r>
            <w:proofErr w:type="spellStart"/>
            <w:r w:rsidRPr="00B12FE0">
              <w:rPr>
                <w:rFonts w:eastAsia="楷体"/>
                <w:bCs/>
                <w:color w:val="000000" w:themeColor="text1"/>
                <w:szCs w:val="32"/>
              </w:rPr>
              <w:t>μSv</w:t>
            </w:r>
            <w:proofErr w:type="spellEnd"/>
            <w:r w:rsidRPr="00B12FE0">
              <w:rPr>
                <w:rFonts w:eastAsia="楷体"/>
                <w:bCs/>
                <w:color w:val="000000" w:themeColor="text1"/>
                <w:szCs w:val="32"/>
              </w:rPr>
              <w:t>/h</w:t>
            </w:r>
            <w:r w:rsidRPr="00B12FE0">
              <w:rPr>
                <w:rFonts w:eastAsia="楷体"/>
                <w:bCs/>
                <w:color w:val="000000" w:themeColor="text1"/>
                <w:szCs w:val="32"/>
              </w:rPr>
              <w:t>）</w:t>
            </w:r>
            <w:r w:rsidRPr="00B12FE0">
              <w:rPr>
                <w:rFonts w:eastAsia="楷体"/>
                <w:bCs/>
                <w:color w:val="000000" w:themeColor="text1"/>
                <w:szCs w:val="32"/>
              </w:rPr>
              <w:t>:</w:t>
            </w:r>
          </w:p>
          <w:p w14:paraId="30B86283"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人员居留因子</w:t>
            </w:r>
            <w:r w:rsidRPr="00B12FE0">
              <w:rPr>
                <w:rFonts w:eastAsia="楷体"/>
                <w:bCs/>
                <w:color w:val="000000" w:themeColor="text1"/>
                <w:szCs w:val="32"/>
              </w:rPr>
              <w:t>T&gt;1/2</w:t>
            </w:r>
            <w:r w:rsidRPr="00B12FE0">
              <w:rPr>
                <w:rFonts w:eastAsia="楷体"/>
                <w:bCs/>
                <w:color w:val="000000" w:themeColor="text1"/>
                <w:szCs w:val="32"/>
              </w:rPr>
              <w:t>的场所</w:t>
            </w:r>
            <w:r w:rsidRPr="00B12FE0">
              <w:rPr>
                <w:rFonts w:eastAsia="楷体"/>
                <w:bCs/>
                <w:color w:val="000000" w:themeColor="text1"/>
                <w:szCs w:val="32"/>
              </w:rPr>
              <w:t>:</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c,max</m:t>
                  </m:r>
                </m:sub>
              </m:sSub>
            </m:oMath>
            <w:r w:rsidRPr="00B12FE0">
              <w:rPr>
                <w:rFonts w:eastAsia="楷体"/>
                <w:bCs/>
                <w:color w:val="000000" w:themeColor="text1"/>
                <w:szCs w:val="32"/>
              </w:rPr>
              <w:t>≤2.5μSv/h</w:t>
            </w:r>
            <w:r w:rsidRPr="00B12FE0">
              <w:rPr>
                <w:rFonts w:eastAsia="楷体"/>
                <w:bCs/>
                <w:color w:val="000000" w:themeColor="text1"/>
                <w:szCs w:val="32"/>
              </w:rPr>
              <w:t>；</w:t>
            </w:r>
          </w:p>
          <w:p w14:paraId="2CA80971"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人员居留因子</w:t>
            </w:r>
            <w:r w:rsidRPr="00B12FE0">
              <w:rPr>
                <w:rFonts w:eastAsia="楷体"/>
                <w:bCs/>
                <w:color w:val="000000" w:themeColor="text1"/>
                <w:szCs w:val="32"/>
              </w:rPr>
              <w:t>T≤1/2</w:t>
            </w:r>
            <w:r w:rsidRPr="00B12FE0">
              <w:rPr>
                <w:rFonts w:eastAsia="楷体"/>
                <w:bCs/>
                <w:color w:val="000000" w:themeColor="text1"/>
                <w:szCs w:val="32"/>
              </w:rPr>
              <w:t>的场所</w:t>
            </w:r>
            <w:r w:rsidRPr="00B12FE0">
              <w:rPr>
                <w:rFonts w:eastAsia="楷体"/>
                <w:bCs/>
                <w:color w:val="000000" w:themeColor="text1"/>
                <w:szCs w:val="32"/>
              </w:rPr>
              <w:t>:</w:t>
            </w:r>
            <m:oMath>
              <m:sSub>
                <m:sSubPr>
                  <m:ctrlPr>
                    <w:rPr>
                      <w:rFonts w:ascii="Cambria Math" w:eastAsia="楷体" w:hAnsi="Cambria Math"/>
                      <w:bCs/>
                      <w:i/>
                      <w:color w:val="000000" w:themeColor="text1"/>
                      <w:szCs w:val="32"/>
                    </w:rPr>
                  </m:ctrlPr>
                </m:sSubPr>
                <m:e>
                  <m:acc>
                    <m:accPr>
                      <m:chr m:val="̇"/>
                      <m:ctrlPr>
                        <w:rPr>
                          <w:rFonts w:ascii="Cambria Math" w:eastAsia="楷体" w:hAnsi="Cambria Math"/>
                          <w:bCs/>
                          <w:i/>
                          <w:color w:val="000000" w:themeColor="text1"/>
                          <w:szCs w:val="32"/>
                        </w:rPr>
                      </m:ctrlPr>
                    </m:accPr>
                    <m:e>
                      <m:r>
                        <w:rPr>
                          <w:rFonts w:ascii="Cambria Math" w:eastAsia="楷体" w:hAnsi="Cambria Math"/>
                          <w:color w:val="000000" w:themeColor="text1"/>
                          <w:szCs w:val="32"/>
                        </w:rPr>
                        <m:t>H</m:t>
                      </m:r>
                    </m:e>
                  </m:acc>
                </m:e>
                <m:sub>
                  <m:r>
                    <w:rPr>
                      <w:rFonts w:ascii="Cambria Math" w:eastAsia="楷体" w:hAnsi="Cambria Math"/>
                      <w:color w:val="000000" w:themeColor="text1"/>
                      <w:szCs w:val="32"/>
                    </w:rPr>
                    <m:t>c,max</m:t>
                  </m:r>
                </m:sub>
              </m:sSub>
            </m:oMath>
            <w:r w:rsidRPr="00B12FE0">
              <w:rPr>
                <w:rFonts w:eastAsia="楷体"/>
                <w:bCs/>
                <w:color w:val="000000" w:themeColor="text1"/>
                <w:szCs w:val="32"/>
              </w:rPr>
              <w:t>≤10μSv/h</w:t>
            </w:r>
            <w:r w:rsidRPr="00B12FE0">
              <w:rPr>
                <w:rFonts w:eastAsia="楷体"/>
                <w:bCs/>
                <w:color w:val="000000" w:themeColor="text1"/>
                <w:szCs w:val="32"/>
              </w:rPr>
              <w:t>。</w:t>
            </w:r>
          </w:p>
          <w:p w14:paraId="457F0353"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b</w:t>
            </w:r>
            <w:r w:rsidRPr="00B12FE0">
              <w:rPr>
                <w:rFonts w:eastAsia="楷体"/>
                <w:bCs/>
                <w:color w:val="000000" w:themeColor="text1"/>
                <w:szCs w:val="32"/>
              </w:rPr>
              <w:t>）穿出机房顶的辐射对偶然到达机房顶外的人员的照射，以年剂量</w:t>
            </w:r>
            <w:r w:rsidRPr="00B12FE0">
              <w:rPr>
                <w:rFonts w:eastAsia="楷体"/>
                <w:bCs/>
                <w:color w:val="000000" w:themeColor="text1"/>
                <w:szCs w:val="32"/>
              </w:rPr>
              <w:t>250μSv</w:t>
            </w:r>
            <w:r w:rsidRPr="00B12FE0">
              <w:rPr>
                <w:rFonts w:eastAsia="楷体"/>
                <w:bCs/>
                <w:color w:val="000000" w:themeColor="text1"/>
                <w:szCs w:val="32"/>
              </w:rPr>
              <w:t>加以控制。</w:t>
            </w:r>
          </w:p>
          <w:p w14:paraId="34AF67BC" w14:textId="77777777" w:rsidR="00A67F21" w:rsidRPr="00B12FE0" w:rsidRDefault="00000000">
            <w:pPr>
              <w:adjustRightInd w:val="0"/>
              <w:snapToGrid w:val="0"/>
              <w:spacing w:line="360" w:lineRule="auto"/>
              <w:ind w:firstLineChars="200" w:firstLine="480"/>
              <w:rPr>
                <w:rFonts w:eastAsia="楷体"/>
                <w:bCs/>
                <w:color w:val="000000" w:themeColor="text1"/>
                <w:szCs w:val="32"/>
              </w:rPr>
            </w:pPr>
            <w:r w:rsidRPr="00B12FE0">
              <w:rPr>
                <w:rFonts w:eastAsia="楷体"/>
                <w:bCs/>
                <w:color w:val="000000" w:themeColor="text1"/>
                <w:szCs w:val="32"/>
              </w:rPr>
              <w:t>c</w:t>
            </w:r>
            <w:r w:rsidRPr="00B12FE0">
              <w:rPr>
                <w:rFonts w:eastAsia="楷体"/>
                <w:bCs/>
                <w:color w:val="000000" w:themeColor="text1"/>
                <w:szCs w:val="32"/>
              </w:rPr>
              <w:t>）对不需要人员到达并只有借助工具才能进入的机房顶，机房顶外表面</w:t>
            </w:r>
            <w:r w:rsidRPr="00B12FE0">
              <w:rPr>
                <w:rFonts w:eastAsia="楷体"/>
                <w:bCs/>
                <w:color w:val="000000" w:themeColor="text1"/>
                <w:szCs w:val="32"/>
              </w:rPr>
              <w:lastRenderedPageBreak/>
              <w:t>30cm</w:t>
            </w:r>
            <w:r w:rsidRPr="00B12FE0">
              <w:rPr>
                <w:rFonts w:eastAsia="楷体"/>
                <w:bCs/>
                <w:color w:val="000000" w:themeColor="text1"/>
                <w:szCs w:val="32"/>
              </w:rPr>
              <w:t>处的剂量率参考控制水平可按</w:t>
            </w:r>
            <w:r w:rsidRPr="00B12FE0">
              <w:rPr>
                <w:rFonts w:eastAsia="楷体"/>
                <w:bCs/>
                <w:color w:val="000000" w:themeColor="text1"/>
                <w:szCs w:val="32"/>
              </w:rPr>
              <w:t>100μSv/h</w:t>
            </w:r>
            <w:r w:rsidRPr="00B12FE0">
              <w:rPr>
                <w:rFonts w:eastAsia="楷体"/>
                <w:bCs/>
                <w:color w:val="000000" w:themeColor="text1"/>
                <w:szCs w:val="32"/>
              </w:rPr>
              <w:t>加以控制可在相应位置处设置辐射告示牌）。</w:t>
            </w:r>
          </w:p>
          <w:p w14:paraId="482B764E" w14:textId="77777777" w:rsidR="00A67F21" w:rsidRPr="00B12FE0" w:rsidRDefault="00000000">
            <w:pPr>
              <w:adjustRightInd w:val="0"/>
              <w:snapToGrid w:val="0"/>
              <w:spacing w:line="360" w:lineRule="auto"/>
              <w:ind w:firstLineChars="200" w:firstLine="482"/>
              <w:rPr>
                <w:b/>
                <w:color w:val="000000" w:themeColor="text1"/>
              </w:rPr>
            </w:pPr>
            <w:r w:rsidRPr="00B12FE0">
              <w:rPr>
                <w:b/>
                <w:color w:val="000000" w:themeColor="text1"/>
              </w:rPr>
              <w:t>（</w:t>
            </w:r>
            <w:r w:rsidRPr="00B12FE0">
              <w:rPr>
                <w:b/>
                <w:color w:val="000000" w:themeColor="text1"/>
              </w:rPr>
              <w:t>2</w:t>
            </w:r>
            <w:r w:rsidRPr="00B12FE0">
              <w:rPr>
                <w:b/>
                <w:color w:val="000000" w:themeColor="text1"/>
              </w:rPr>
              <w:t>）通风要求</w:t>
            </w:r>
          </w:p>
          <w:p w14:paraId="46667477"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根据《放射治疗辐射安全与防护要求》（</w:t>
            </w:r>
            <w:r w:rsidRPr="00B12FE0">
              <w:rPr>
                <w:color w:val="000000" w:themeColor="text1"/>
              </w:rPr>
              <w:t>HJ 1198-2021</w:t>
            </w:r>
            <w:r w:rsidRPr="00B12FE0">
              <w:rPr>
                <w:color w:val="000000" w:themeColor="text1"/>
              </w:rPr>
              <w:t>），</w:t>
            </w:r>
            <w:r w:rsidRPr="00B12FE0">
              <w:rPr>
                <w:rFonts w:hint="eastAsia"/>
                <w:color w:val="000000" w:themeColor="text1"/>
              </w:rPr>
              <w:t>本项目直线加速器气态废物管理要求如下：</w:t>
            </w:r>
          </w:p>
          <w:p w14:paraId="638EC2CF" w14:textId="77777777" w:rsidR="00A67F21" w:rsidRPr="00B12FE0" w:rsidRDefault="00000000">
            <w:pPr>
              <w:adjustRightInd w:val="0"/>
              <w:snapToGrid w:val="0"/>
              <w:spacing w:line="360" w:lineRule="auto"/>
              <w:ind w:firstLineChars="200" w:firstLine="480"/>
              <w:rPr>
                <w:rFonts w:eastAsia="楷体"/>
                <w:color w:val="000000" w:themeColor="text1"/>
              </w:rPr>
            </w:pPr>
            <w:r w:rsidRPr="00B12FE0">
              <w:rPr>
                <w:rFonts w:eastAsia="楷体"/>
                <w:color w:val="000000" w:themeColor="text1"/>
              </w:rPr>
              <w:t>8.4.1</w:t>
            </w:r>
            <w:r w:rsidRPr="00B12FE0">
              <w:rPr>
                <w:rFonts w:eastAsia="楷体"/>
                <w:color w:val="000000" w:themeColor="text1"/>
              </w:rPr>
              <w:t>放射治疗室内应设置强制排风系统，采取全排全送的通风方式，换气次数不少于</w:t>
            </w:r>
            <w:r w:rsidRPr="00B12FE0">
              <w:rPr>
                <w:rFonts w:eastAsia="楷体"/>
                <w:color w:val="000000" w:themeColor="text1"/>
              </w:rPr>
              <w:t>4</w:t>
            </w:r>
            <w:r w:rsidRPr="00B12FE0">
              <w:rPr>
                <w:rFonts w:eastAsia="楷体"/>
                <w:color w:val="000000" w:themeColor="text1"/>
              </w:rPr>
              <w:t>次</w:t>
            </w:r>
            <w:r w:rsidRPr="00B12FE0">
              <w:rPr>
                <w:rFonts w:eastAsia="楷体"/>
                <w:color w:val="000000" w:themeColor="text1"/>
              </w:rPr>
              <w:t>/h</w:t>
            </w:r>
            <w:r w:rsidRPr="00B12FE0">
              <w:rPr>
                <w:rFonts w:eastAsia="楷体"/>
                <w:color w:val="000000" w:themeColor="text1"/>
              </w:rPr>
              <w:t>，排气口位置不得设置在有门、窗或人流较大的过道等位置。</w:t>
            </w:r>
          </w:p>
          <w:p w14:paraId="76D46746" w14:textId="77777777" w:rsidR="00A67F21" w:rsidRPr="00B12FE0" w:rsidRDefault="00000000">
            <w:pPr>
              <w:adjustRightInd w:val="0"/>
              <w:snapToGrid w:val="0"/>
              <w:spacing w:line="360" w:lineRule="auto"/>
              <w:ind w:firstLineChars="200" w:firstLine="482"/>
              <w:rPr>
                <w:b/>
                <w:color w:val="000000" w:themeColor="text1"/>
              </w:rPr>
            </w:pPr>
            <w:r w:rsidRPr="00B12FE0">
              <w:rPr>
                <w:b/>
                <w:color w:val="000000" w:themeColor="text1"/>
              </w:rPr>
              <w:t>（</w:t>
            </w:r>
            <w:r w:rsidRPr="00B12FE0">
              <w:rPr>
                <w:b/>
                <w:color w:val="000000" w:themeColor="text1"/>
              </w:rPr>
              <w:t>3</w:t>
            </w:r>
            <w:r w:rsidRPr="00B12FE0">
              <w:rPr>
                <w:b/>
                <w:color w:val="000000" w:themeColor="text1"/>
              </w:rPr>
              <w:t>）</w:t>
            </w:r>
            <w:r w:rsidRPr="00B12FE0">
              <w:rPr>
                <w:rFonts w:hint="eastAsia"/>
                <w:b/>
                <w:color w:val="000000" w:themeColor="text1"/>
              </w:rPr>
              <w:t>放射性固体废物管理</w:t>
            </w:r>
            <w:r w:rsidRPr="00B12FE0">
              <w:rPr>
                <w:b/>
                <w:color w:val="000000" w:themeColor="text1"/>
              </w:rPr>
              <w:t>要求</w:t>
            </w:r>
          </w:p>
          <w:p w14:paraId="4D8ACDBB" w14:textId="77777777" w:rsidR="00A67F21" w:rsidRPr="00B12FE0" w:rsidRDefault="00000000">
            <w:pPr>
              <w:adjustRightInd w:val="0"/>
              <w:snapToGrid w:val="0"/>
              <w:spacing w:line="360" w:lineRule="auto"/>
              <w:ind w:firstLineChars="200" w:firstLine="480"/>
              <w:rPr>
                <w:rFonts w:eastAsia="楷体"/>
                <w:bCs/>
                <w:color w:val="000000" w:themeColor="text1"/>
              </w:rPr>
            </w:pPr>
            <w:r w:rsidRPr="00B12FE0">
              <w:rPr>
                <w:color w:val="000000" w:themeColor="text1"/>
              </w:rPr>
              <w:t>根据《放射治疗辐射安全与防护要求》（</w:t>
            </w:r>
            <w:r w:rsidRPr="00B12FE0">
              <w:rPr>
                <w:color w:val="000000" w:themeColor="text1"/>
              </w:rPr>
              <w:t>HJ 1198-2021</w:t>
            </w:r>
            <w:r w:rsidRPr="00B12FE0">
              <w:rPr>
                <w:color w:val="000000" w:themeColor="text1"/>
              </w:rPr>
              <w:t>）</w:t>
            </w:r>
            <w:r w:rsidRPr="00B12FE0">
              <w:rPr>
                <w:rFonts w:hint="eastAsia"/>
                <w:color w:val="000000" w:themeColor="text1"/>
              </w:rPr>
              <w:t>，本项目直线加速器放射性固体废物管理要求如下：</w:t>
            </w:r>
          </w:p>
          <w:p w14:paraId="61036EF3" w14:textId="77777777" w:rsidR="00A67F21" w:rsidRPr="00B12FE0" w:rsidRDefault="00000000">
            <w:pPr>
              <w:adjustRightInd w:val="0"/>
              <w:snapToGrid w:val="0"/>
              <w:spacing w:line="360" w:lineRule="auto"/>
              <w:ind w:firstLineChars="200" w:firstLine="480"/>
              <w:rPr>
                <w:rFonts w:eastAsia="楷体"/>
                <w:bCs/>
                <w:color w:val="000000" w:themeColor="text1"/>
              </w:rPr>
            </w:pPr>
            <w:r w:rsidRPr="00B12FE0">
              <w:rPr>
                <w:rFonts w:eastAsia="楷体"/>
                <w:bCs/>
                <w:color w:val="000000" w:themeColor="text1"/>
              </w:rPr>
              <w:t>8.2.2.1</w:t>
            </w:r>
            <w:r w:rsidRPr="00B12FE0">
              <w:rPr>
                <w:rFonts w:eastAsia="楷体"/>
                <w:bCs/>
                <w:color w:val="000000" w:themeColor="text1"/>
              </w:rPr>
              <w:t>质子</w:t>
            </w:r>
            <w:r w:rsidRPr="00B12FE0">
              <w:rPr>
                <w:rFonts w:eastAsia="楷体"/>
                <w:bCs/>
                <w:color w:val="000000" w:themeColor="text1"/>
              </w:rPr>
              <w:t>/</w:t>
            </w:r>
            <w:r w:rsidRPr="00B12FE0">
              <w:rPr>
                <w:rFonts w:eastAsia="楷体"/>
                <w:bCs/>
                <w:color w:val="000000" w:themeColor="text1"/>
              </w:rPr>
              <w:t>重离子直线加速器、直线加速器等治疗装置在调试及运行过程中，如活化后的回旋加速器、准直器、束流</w:t>
            </w:r>
            <w:proofErr w:type="gramStart"/>
            <w:r w:rsidRPr="00B12FE0">
              <w:rPr>
                <w:rFonts w:eastAsia="楷体"/>
                <w:bCs/>
                <w:color w:val="000000" w:themeColor="text1"/>
              </w:rPr>
              <w:t>阻止器</w:t>
            </w:r>
            <w:proofErr w:type="gramEnd"/>
            <w:r w:rsidRPr="00B12FE0">
              <w:rPr>
                <w:rFonts w:eastAsia="楷体"/>
                <w:bCs/>
                <w:color w:val="000000" w:themeColor="text1"/>
              </w:rPr>
              <w:t>及加速器靶等组成部件，在更换或退役时，应作为放射性固体废物处理，拆卸后先放进屏蔽容器或固态废物暂存间衰变暂存，最终送交有资质的单位收贮。</w:t>
            </w:r>
          </w:p>
          <w:p w14:paraId="5BC44F52" w14:textId="77777777" w:rsidR="00A67F21" w:rsidRPr="00B12FE0" w:rsidRDefault="00000000">
            <w:pPr>
              <w:adjustRightInd w:val="0"/>
              <w:snapToGrid w:val="0"/>
              <w:spacing w:line="360" w:lineRule="auto"/>
              <w:ind w:firstLineChars="200" w:firstLine="480"/>
              <w:rPr>
                <w:rFonts w:eastAsia="楷体"/>
                <w:color w:val="000000" w:themeColor="text1"/>
                <w:szCs w:val="24"/>
              </w:rPr>
            </w:pPr>
            <w:r w:rsidRPr="00B12FE0">
              <w:rPr>
                <w:rFonts w:eastAsia="楷体"/>
                <w:color w:val="000000" w:themeColor="text1"/>
                <w:szCs w:val="24"/>
              </w:rPr>
              <w:t xml:space="preserve">8.2.2.2  </w:t>
            </w:r>
            <w:r w:rsidRPr="00B12FE0">
              <w:rPr>
                <w:rFonts w:ascii="楷体" w:eastAsia="楷体" w:hAnsi="楷体"/>
                <w:color w:val="000000" w:themeColor="text1"/>
                <w:szCs w:val="24"/>
              </w:rPr>
              <w:t>低水平的活化部件如质子</w:t>
            </w:r>
            <w:r w:rsidRPr="00B12FE0">
              <w:rPr>
                <w:rFonts w:eastAsia="楷体"/>
                <w:color w:val="000000" w:themeColor="text1"/>
                <w:szCs w:val="24"/>
              </w:rPr>
              <w:t>/</w:t>
            </w:r>
            <w:r w:rsidRPr="00B12FE0">
              <w:rPr>
                <w:rFonts w:ascii="楷体" w:eastAsia="楷体" w:hAnsi="楷体"/>
                <w:color w:val="000000" w:themeColor="text1"/>
                <w:szCs w:val="24"/>
              </w:rPr>
              <w:t>重离子加速器治疗头器件、磁铁等，以及处理质子</w:t>
            </w:r>
            <w:r w:rsidRPr="00B12FE0">
              <w:rPr>
                <w:rFonts w:eastAsia="楷体"/>
                <w:color w:val="000000" w:themeColor="text1"/>
                <w:szCs w:val="24"/>
              </w:rPr>
              <w:t>/</w:t>
            </w:r>
            <w:r w:rsidRPr="00B12FE0">
              <w:rPr>
                <w:rFonts w:ascii="楷体" w:eastAsia="楷体" w:hAnsi="楷体"/>
                <w:color w:val="000000" w:themeColor="text1"/>
                <w:szCs w:val="24"/>
              </w:rPr>
              <w:t>重离子加速器冷却水的废树脂，集中放置在固态废物暂存间暂存衰变，经衰变后仍超出</w:t>
            </w:r>
            <w:proofErr w:type="gramStart"/>
            <w:r w:rsidRPr="00B12FE0">
              <w:rPr>
                <w:rFonts w:ascii="楷体" w:eastAsia="楷体" w:hAnsi="楷体"/>
                <w:color w:val="000000" w:themeColor="text1"/>
                <w:szCs w:val="24"/>
              </w:rPr>
              <w:t>清洁解</w:t>
            </w:r>
            <w:proofErr w:type="gramEnd"/>
            <w:r w:rsidRPr="00B12FE0">
              <w:rPr>
                <w:rFonts w:ascii="楷体" w:eastAsia="楷体" w:hAnsi="楷体"/>
                <w:color w:val="000000" w:themeColor="text1"/>
                <w:szCs w:val="24"/>
              </w:rPr>
              <w:t xml:space="preserve">控水平的（放射性废物豁免的活度、活度浓度见附录 </w:t>
            </w:r>
            <w:r w:rsidRPr="00B12FE0">
              <w:rPr>
                <w:rFonts w:eastAsia="楷体"/>
                <w:color w:val="000000" w:themeColor="text1"/>
                <w:szCs w:val="24"/>
              </w:rPr>
              <w:t>B</w:t>
            </w:r>
            <w:r w:rsidRPr="00B12FE0">
              <w:rPr>
                <w:rFonts w:ascii="楷体" w:eastAsia="楷体" w:hAnsi="楷体"/>
                <w:color w:val="000000" w:themeColor="text1"/>
                <w:szCs w:val="24"/>
              </w:rPr>
              <w:t xml:space="preserve">）送交有资质的单位收贮。 </w:t>
            </w:r>
          </w:p>
          <w:p w14:paraId="1523DDF9" w14:textId="77777777" w:rsidR="00A67F21" w:rsidRPr="00B12FE0" w:rsidRDefault="00000000">
            <w:pPr>
              <w:adjustRightInd w:val="0"/>
              <w:snapToGrid w:val="0"/>
              <w:spacing w:line="360" w:lineRule="auto"/>
              <w:ind w:firstLineChars="200" w:firstLine="480"/>
              <w:rPr>
                <w:rFonts w:ascii="楷体" w:eastAsia="楷体" w:hAnsi="楷体" w:hint="eastAsia"/>
                <w:color w:val="000000" w:themeColor="text1"/>
                <w:szCs w:val="24"/>
              </w:rPr>
            </w:pPr>
            <w:r w:rsidRPr="00B12FE0">
              <w:rPr>
                <w:rFonts w:eastAsia="楷体"/>
                <w:color w:val="000000" w:themeColor="text1"/>
                <w:szCs w:val="24"/>
              </w:rPr>
              <w:t xml:space="preserve">8.2.2.3  </w:t>
            </w:r>
            <w:r w:rsidRPr="00B12FE0">
              <w:rPr>
                <w:rFonts w:ascii="楷体" w:eastAsia="楷体" w:hAnsi="楷体"/>
                <w:color w:val="000000" w:themeColor="text1"/>
                <w:szCs w:val="24"/>
              </w:rPr>
              <w:t>建立放射性固态</w:t>
            </w:r>
            <w:proofErr w:type="gramStart"/>
            <w:r w:rsidRPr="00B12FE0">
              <w:rPr>
                <w:rFonts w:ascii="楷体" w:eastAsia="楷体" w:hAnsi="楷体"/>
                <w:color w:val="000000" w:themeColor="text1"/>
                <w:szCs w:val="24"/>
              </w:rPr>
              <w:t>废物台</w:t>
            </w:r>
            <w:proofErr w:type="gramEnd"/>
            <w:r w:rsidRPr="00B12FE0">
              <w:rPr>
                <w:rFonts w:ascii="楷体" w:eastAsia="楷体" w:hAnsi="楷体"/>
                <w:color w:val="000000" w:themeColor="text1"/>
                <w:szCs w:val="24"/>
              </w:rPr>
              <w:t>账，存放及处置前进行监测，记录部件名称、质量、辐射类别、监测设备、监测结果（剂量当量率</w:t>
            </w:r>
            <w:r w:rsidRPr="00B12FE0">
              <w:rPr>
                <w:rFonts w:eastAsia="楷体"/>
                <w:color w:val="000000" w:themeColor="text1"/>
                <w:szCs w:val="24"/>
              </w:rPr>
              <w:t>)</w:t>
            </w:r>
            <w:r w:rsidRPr="00B12FE0">
              <w:rPr>
                <w:rFonts w:ascii="楷体" w:eastAsia="楷体" w:hAnsi="楷体"/>
                <w:color w:val="000000" w:themeColor="text1"/>
                <w:szCs w:val="24"/>
              </w:rPr>
              <w:t>、监测日期、去向等相关信息，低于</w:t>
            </w:r>
            <w:proofErr w:type="gramStart"/>
            <w:r w:rsidRPr="00B12FE0">
              <w:rPr>
                <w:rFonts w:ascii="楷体" w:eastAsia="楷体" w:hAnsi="楷体"/>
                <w:color w:val="000000" w:themeColor="text1"/>
                <w:szCs w:val="24"/>
              </w:rPr>
              <w:t>清洁解</w:t>
            </w:r>
            <w:proofErr w:type="gramEnd"/>
            <w:r w:rsidRPr="00B12FE0">
              <w:rPr>
                <w:rFonts w:ascii="楷体" w:eastAsia="楷体" w:hAnsi="楷体"/>
                <w:color w:val="000000" w:themeColor="text1"/>
                <w:szCs w:val="24"/>
              </w:rPr>
              <w:t>控水平的可作为一般固态废物处置，并做好存档记录。</w:t>
            </w:r>
          </w:p>
          <w:p w14:paraId="1C07637D" w14:textId="77777777" w:rsidR="00A67F21" w:rsidRPr="00B12FE0" w:rsidRDefault="00000000">
            <w:pPr>
              <w:adjustRightInd w:val="0"/>
              <w:snapToGrid w:val="0"/>
              <w:spacing w:line="360" w:lineRule="auto"/>
              <w:ind w:firstLineChars="200" w:firstLine="482"/>
              <w:rPr>
                <w:rFonts w:cs="宋体"/>
                <w:b/>
                <w:color w:val="000000" w:themeColor="text1"/>
              </w:rPr>
            </w:pPr>
            <w:r w:rsidRPr="00B12FE0">
              <w:rPr>
                <w:rFonts w:cs="宋体"/>
                <w:b/>
                <w:color w:val="000000" w:themeColor="text1"/>
              </w:rPr>
              <w:t>（</w:t>
            </w:r>
            <w:r w:rsidRPr="00B12FE0">
              <w:rPr>
                <w:rFonts w:cs="宋体" w:hint="eastAsia"/>
                <w:b/>
                <w:color w:val="000000" w:themeColor="text1"/>
              </w:rPr>
              <w:t>4</w:t>
            </w:r>
            <w:r w:rsidRPr="00B12FE0">
              <w:rPr>
                <w:rFonts w:cs="宋体"/>
                <w:b/>
                <w:color w:val="000000" w:themeColor="text1"/>
              </w:rPr>
              <w:t>）废旧放射源管理要求</w:t>
            </w:r>
          </w:p>
          <w:p w14:paraId="62807791"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ascii="宋体" w:hAnsi="宋体" w:cs="宋体" w:hint="eastAsia"/>
                <w:bCs/>
                <w:color w:val="000000" w:themeColor="text1"/>
              </w:rPr>
              <w:t>①废旧放射源管理要求</w:t>
            </w:r>
          </w:p>
          <w:p w14:paraId="7577E89D" w14:textId="77777777" w:rsidR="00A67F21" w:rsidRPr="00B12FE0" w:rsidRDefault="00000000">
            <w:pPr>
              <w:adjustRightInd w:val="0"/>
              <w:snapToGrid w:val="0"/>
              <w:spacing w:line="360" w:lineRule="auto"/>
              <w:ind w:firstLineChars="200" w:firstLine="480"/>
              <w:rPr>
                <w:rFonts w:ascii="楷体" w:eastAsia="楷体" w:hAnsi="楷体" w:cs="宋体" w:hint="eastAsia"/>
                <w:bCs/>
                <w:color w:val="000000" w:themeColor="text1"/>
              </w:rPr>
            </w:pPr>
            <w:r w:rsidRPr="00B12FE0">
              <w:rPr>
                <w:rFonts w:ascii="楷体" w:eastAsia="楷体" w:hAnsi="楷体" w:cs="宋体" w:hint="eastAsia"/>
                <w:bCs/>
                <w:color w:val="000000" w:themeColor="text1"/>
              </w:rPr>
              <w:t>废旧放射源应按法律法规要求返回放射源生产厂家或原出口方。确定无法交回生产单位或者返回原出口方的，送交有相应资质的单位收贮，并承担相关费用。</w:t>
            </w:r>
          </w:p>
          <w:p w14:paraId="1423C14E"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ascii="宋体" w:hAnsi="宋体" w:cs="宋体" w:hint="eastAsia"/>
                <w:bCs/>
                <w:color w:val="000000" w:themeColor="text1"/>
              </w:rPr>
              <w:t>②其他固态废物管理要求</w:t>
            </w:r>
          </w:p>
          <w:p w14:paraId="3ABB80F6" w14:textId="77777777" w:rsidR="00A67F21" w:rsidRPr="00B12FE0" w:rsidRDefault="00000000">
            <w:pPr>
              <w:adjustRightInd w:val="0"/>
              <w:snapToGrid w:val="0"/>
              <w:spacing w:line="360" w:lineRule="auto"/>
              <w:ind w:firstLineChars="200" w:firstLine="480"/>
              <w:rPr>
                <w:rFonts w:ascii="楷体" w:eastAsia="楷体" w:hAnsi="楷体" w:cs="宋体" w:hint="eastAsia"/>
                <w:bCs/>
                <w:color w:val="000000" w:themeColor="text1"/>
              </w:rPr>
            </w:pPr>
            <w:r w:rsidRPr="00B12FE0">
              <w:rPr>
                <w:rFonts w:ascii="楷体" w:eastAsia="楷体" w:hAnsi="楷体" w:cs="宋体" w:hint="eastAsia"/>
                <w:bCs/>
                <w:color w:val="000000" w:themeColor="text1"/>
              </w:rPr>
              <w:t>直线加速器等治疗装置在调试及运行过程中，如活化后的回旋加速器、准直器、束流</w:t>
            </w:r>
            <w:proofErr w:type="gramStart"/>
            <w:r w:rsidRPr="00B12FE0">
              <w:rPr>
                <w:rFonts w:ascii="楷体" w:eastAsia="楷体" w:hAnsi="楷体" w:cs="宋体" w:hint="eastAsia"/>
                <w:bCs/>
                <w:color w:val="000000" w:themeColor="text1"/>
              </w:rPr>
              <w:t>阻止器</w:t>
            </w:r>
            <w:proofErr w:type="gramEnd"/>
            <w:r w:rsidRPr="00B12FE0">
              <w:rPr>
                <w:rFonts w:ascii="楷体" w:eastAsia="楷体" w:hAnsi="楷体" w:cs="宋体" w:hint="eastAsia"/>
                <w:bCs/>
                <w:color w:val="000000" w:themeColor="text1"/>
              </w:rPr>
              <w:t>及加速器靶等组成部件，在更换或退役时，应作为放射性固体废</w:t>
            </w:r>
            <w:r w:rsidRPr="00B12FE0">
              <w:rPr>
                <w:rFonts w:ascii="楷体" w:eastAsia="楷体" w:hAnsi="楷体" w:cs="宋体" w:hint="eastAsia"/>
                <w:bCs/>
                <w:color w:val="000000" w:themeColor="text1"/>
              </w:rPr>
              <w:lastRenderedPageBreak/>
              <w:t>物处理，拆卸后先放进屏蔽容器或固态废物暂存间衰变暂存，最终送交有资质的单位收贮。</w:t>
            </w:r>
          </w:p>
          <w:p w14:paraId="464F3CFA" w14:textId="77777777" w:rsidR="00A67F21" w:rsidRPr="00B12FE0" w:rsidRDefault="00000000">
            <w:pPr>
              <w:adjustRightInd w:val="0"/>
              <w:snapToGrid w:val="0"/>
              <w:spacing w:line="360" w:lineRule="auto"/>
              <w:rPr>
                <w:b/>
                <w:color w:val="000000" w:themeColor="text1"/>
              </w:rPr>
            </w:pPr>
            <w:r w:rsidRPr="00B12FE0">
              <w:rPr>
                <w:rFonts w:hint="eastAsia"/>
                <w:b/>
                <w:color w:val="000000" w:themeColor="text1"/>
              </w:rPr>
              <w:t xml:space="preserve">7.3.5 </w:t>
            </w:r>
            <w:r w:rsidRPr="00B12FE0">
              <w:rPr>
                <w:rFonts w:hint="eastAsia"/>
                <w:b/>
                <w:color w:val="000000" w:themeColor="text1"/>
              </w:rPr>
              <w:t>放射诊断工作场所评价标准</w:t>
            </w:r>
          </w:p>
          <w:p w14:paraId="68E313F7" w14:textId="77777777" w:rsidR="00A67F21" w:rsidRPr="00B12FE0" w:rsidRDefault="00000000">
            <w:pPr>
              <w:adjustRightInd w:val="0"/>
              <w:snapToGrid w:val="0"/>
              <w:spacing w:line="360" w:lineRule="auto"/>
              <w:rPr>
                <w:b/>
                <w:bCs/>
                <w:color w:val="000000" w:themeColor="text1"/>
                <w:szCs w:val="24"/>
              </w:rPr>
            </w:pPr>
            <w:r w:rsidRPr="00B12FE0">
              <w:rPr>
                <w:b/>
                <w:bCs/>
                <w:color w:val="000000" w:themeColor="text1"/>
                <w:szCs w:val="24"/>
              </w:rPr>
              <w:t xml:space="preserve">7.3.5.1 </w:t>
            </w:r>
            <w:r w:rsidRPr="00B12FE0">
              <w:rPr>
                <w:b/>
                <w:bCs/>
                <w:color w:val="000000" w:themeColor="text1"/>
                <w:szCs w:val="24"/>
              </w:rPr>
              <w:t>机房周围剂量率控制水平</w:t>
            </w:r>
          </w:p>
          <w:p w14:paraId="6A81E011"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根据《放射诊断放射防护要求》（</w:t>
            </w:r>
            <w:r w:rsidRPr="00B12FE0">
              <w:rPr>
                <w:color w:val="000000" w:themeColor="text1"/>
                <w:szCs w:val="24"/>
              </w:rPr>
              <w:t>GBZ 130-2020</w:t>
            </w:r>
            <w:r w:rsidRPr="00B12FE0">
              <w:rPr>
                <w:color w:val="000000" w:themeColor="text1"/>
                <w:szCs w:val="24"/>
              </w:rPr>
              <w:t>），机房外周围剂量控制水平按以下要求进行控制：</w:t>
            </w:r>
          </w:p>
          <w:p w14:paraId="137DD740"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b/>
                <w:color w:val="000000" w:themeColor="text1"/>
                <w:szCs w:val="24"/>
              </w:rPr>
              <w:t>6.3</w:t>
            </w:r>
            <w:r w:rsidRPr="00B12FE0">
              <w:rPr>
                <w:rFonts w:eastAsia="楷体"/>
                <w:bCs/>
                <w:color w:val="000000" w:themeColor="text1"/>
                <w:szCs w:val="24"/>
              </w:rPr>
              <w:t xml:space="preserve"> X</w:t>
            </w:r>
            <w:r w:rsidRPr="00B12FE0">
              <w:rPr>
                <w:rFonts w:eastAsia="楷体" w:hint="eastAsia"/>
                <w:bCs/>
                <w:color w:val="000000" w:themeColor="text1"/>
                <w:szCs w:val="24"/>
              </w:rPr>
              <w:t>射线设备机房屏蔽体外剂量水平</w:t>
            </w:r>
          </w:p>
          <w:p w14:paraId="5DB77B61"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bCs/>
                <w:color w:val="000000" w:themeColor="text1"/>
                <w:szCs w:val="24"/>
              </w:rPr>
              <w:t xml:space="preserve">6.3.1 </w:t>
            </w:r>
            <w:r w:rsidRPr="00B12FE0">
              <w:rPr>
                <w:rFonts w:eastAsia="楷体" w:hint="eastAsia"/>
                <w:bCs/>
                <w:color w:val="000000" w:themeColor="text1"/>
                <w:szCs w:val="24"/>
              </w:rPr>
              <w:t>机房的辐射屏蔽防护，应满足下列要求：</w:t>
            </w:r>
          </w:p>
          <w:p w14:paraId="63051CDD"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a</w:t>
            </w:r>
            <w:r w:rsidRPr="00B12FE0">
              <w:rPr>
                <w:rFonts w:eastAsia="楷体" w:hint="eastAsia"/>
                <w:bCs/>
                <w:color w:val="000000" w:themeColor="text1"/>
                <w:szCs w:val="24"/>
              </w:rPr>
              <w:t>）具有透视功能的</w:t>
            </w:r>
            <w:r w:rsidRPr="00B12FE0">
              <w:rPr>
                <w:rFonts w:eastAsia="楷体"/>
                <w:bCs/>
                <w:color w:val="000000" w:themeColor="text1"/>
                <w:szCs w:val="24"/>
              </w:rPr>
              <w:t>X</w:t>
            </w:r>
            <w:r w:rsidRPr="00B12FE0">
              <w:rPr>
                <w:rFonts w:eastAsia="楷体" w:hint="eastAsia"/>
                <w:bCs/>
                <w:color w:val="000000" w:themeColor="text1"/>
                <w:szCs w:val="24"/>
              </w:rPr>
              <w:t>射线设备在透视条件下检测时，周围剂量当量率应不大于</w:t>
            </w:r>
            <w:r w:rsidRPr="00B12FE0">
              <w:rPr>
                <w:rFonts w:eastAsia="楷体"/>
                <w:bCs/>
                <w:color w:val="000000" w:themeColor="text1"/>
                <w:szCs w:val="24"/>
              </w:rPr>
              <w:t>2.5μSv/h</w:t>
            </w:r>
            <w:r w:rsidRPr="00B12FE0">
              <w:rPr>
                <w:rFonts w:eastAsia="楷体" w:hint="eastAsia"/>
                <w:bCs/>
                <w:color w:val="000000" w:themeColor="text1"/>
                <w:szCs w:val="24"/>
              </w:rPr>
              <w:t>；测量时，</w:t>
            </w:r>
            <w:r w:rsidRPr="00B12FE0">
              <w:rPr>
                <w:rFonts w:eastAsia="楷体"/>
                <w:bCs/>
                <w:color w:val="000000" w:themeColor="text1"/>
                <w:szCs w:val="24"/>
              </w:rPr>
              <w:t>X</w:t>
            </w:r>
            <w:r w:rsidRPr="00B12FE0">
              <w:rPr>
                <w:rFonts w:eastAsia="楷体" w:hint="eastAsia"/>
                <w:bCs/>
                <w:color w:val="000000" w:themeColor="text1"/>
                <w:szCs w:val="24"/>
              </w:rPr>
              <w:t>射线设备</w:t>
            </w:r>
            <w:proofErr w:type="gramStart"/>
            <w:r w:rsidRPr="00B12FE0">
              <w:rPr>
                <w:rFonts w:eastAsia="楷体" w:hint="eastAsia"/>
                <w:bCs/>
                <w:color w:val="000000" w:themeColor="text1"/>
                <w:szCs w:val="24"/>
              </w:rPr>
              <w:t>连续出束时间</w:t>
            </w:r>
            <w:proofErr w:type="gramEnd"/>
            <w:r w:rsidRPr="00B12FE0">
              <w:rPr>
                <w:rFonts w:eastAsia="楷体" w:hint="eastAsia"/>
                <w:bCs/>
                <w:color w:val="000000" w:themeColor="text1"/>
                <w:szCs w:val="24"/>
              </w:rPr>
              <w:t>应大于仪器响应时间；</w:t>
            </w:r>
          </w:p>
          <w:p w14:paraId="56314850"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c</w:t>
            </w:r>
            <w:r w:rsidRPr="00B12FE0">
              <w:rPr>
                <w:rFonts w:eastAsia="楷体" w:hint="eastAsia"/>
                <w:bCs/>
                <w:color w:val="000000" w:themeColor="text1"/>
                <w:szCs w:val="24"/>
              </w:rPr>
              <w:t>）具有短时、高剂量率曝光的摄影程序（如</w:t>
            </w:r>
            <w:r w:rsidRPr="00B12FE0">
              <w:rPr>
                <w:rFonts w:eastAsia="楷体" w:hint="eastAsia"/>
                <w:bCs/>
                <w:color w:val="000000" w:themeColor="text1"/>
                <w:szCs w:val="24"/>
              </w:rPr>
              <w:t>DR</w:t>
            </w:r>
            <w:r w:rsidRPr="00B12FE0">
              <w:rPr>
                <w:rFonts w:eastAsia="楷体" w:hint="eastAsia"/>
                <w:bCs/>
                <w:color w:val="000000" w:themeColor="text1"/>
                <w:szCs w:val="24"/>
              </w:rPr>
              <w:t>、</w:t>
            </w:r>
            <w:r w:rsidRPr="00B12FE0">
              <w:rPr>
                <w:rFonts w:eastAsia="楷体" w:hint="eastAsia"/>
                <w:bCs/>
                <w:color w:val="000000" w:themeColor="text1"/>
                <w:szCs w:val="24"/>
              </w:rPr>
              <w:t>CR</w:t>
            </w:r>
            <w:r w:rsidRPr="00B12FE0">
              <w:rPr>
                <w:rFonts w:eastAsia="楷体" w:hint="eastAsia"/>
                <w:bCs/>
                <w:color w:val="000000" w:themeColor="text1"/>
                <w:szCs w:val="24"/>
              </w:rPr>
              <w:t>、</w:t>
            </w:r>
            <w:proofErr w:type="gramStart"/>
            <w:r w:rsidRPr="00B12FE0">
              <w:rPr>
                <w:rFonts w:eastAsia="楷体" w:hint="eastAsia"/>
                <w:bCs/>
                <w:color w:val="000000" w:themeColor="text1"/>
                <w:szCs w:val="24"/>
              </w:rPr>
              <w:t>屏片摄影</w:t>
            </w:r>
            <w:proofErr w:type="gramEnd"/>
            <w:r w:rsidRPr="00B12FE0">
              <w:rPr>
                <w:rFonts w:eastAsia="楷体" w:hint="eastAsia"/>
                <w:bCs/>
                <w:color w:val="000000" w:themeColor="text1"/>
                <w:szCs w:val="24"/>
              </w:rPr>
              <w:t>）机房外的周围剂量当量率应不大于</w:t>
            </w:r>
            <w:r w:rsidRPr="00B12FE0">
              <w:rPr>
                <w:rFonts w:eastAsia="楷体" w:hint="eastAsia"/>
                <w:bCs/>
                <w:color w:val="000000" w:themeColor="text1"/>
                <w:szCs w:val="24"/>
              </w:rPr>
              <w:t>25</w:t>
            </w:r>
            <w:r w:rsidRPr="00B12FE0">
              <w:rPr>
                <w:rFonts w:eastAsia="楷体"/>
                <w:bCs/>
                <w:color w:val="000000" w:themeColor="text1"/>
                <w:szCs w:val="24"/>
              </w:rPr>
              <w:t>μSv/h</w:t>
            </w:r>
            <w:r w:rsidRPr="00B12FE0">
              <w:rPr>
                <w:rFonts w:eastAsia="楷体" w:hint="eastAsia"/>
                <w:bCs/>
                <w:color w:val="000000" w:themeColor="text1"/>
                <w:szCs w:val="24"/>
              </w:rPr>
              <w:t>，当超过时应进行机房外人员的年有效剂量评估，应不大于</w:t>
            </w:r>
            <w:r w:rsidRPr="00B12FE0">
              <w:rPr>
                <w:rFonts w:eastAsia="楷体" w:hint="eastAsia"/>
                <w:bCs/>
                <w:color w:val="000000" w:themeColor="text1"/>
                <w:szCs w:val="24"/>
              </w:rPr>
              <w:t>0.25mSv</w:t>
            </w:r>
            <w:r w:rsidRPr="00B12FE0">
              <w:rPr>
                <w:rFonts w:eastAsia="楷体" w:hint="eastAsia"/>
                <w:bCs/>
                <w:color w:val="000000" w:themeColor="text1"/>
                <w:szCs w:val="24"/>
              </w:rPr>
              <w:t>。</w:t>
            </w:r>
          </w:p>
          <w:p w14:paraId="3BB012D5" w14:textId="77777777" w:rsidR="00A67F21" w:rsidRPr="00B12FE0" w:rsidRDefault="00000000">
            <w:pPr>
              <w:adjustRightInd w:val="0"/>
              <w:snapToGrid w:val="0"/>
              <w:spacing w:line="360" w:lineRule="auto"/>
              <w:rPr>
                <w:b/>
                <w:bCs/>
                <w:color w:val="000000" w:themeColor="text1"/>
                <w:szCs w:val="24"/>
              </w:rPr>
            </w:pPr>
            <w:r w:rsidRPr="00B12FE0">
              <w:rPr>
                <w:rFonts w:hint="eastAsia"/>
                <w:b/>
                <w:bCs/>
                <w:color w:val="000000" w:themeColor="text1"/>
                <w:szCs w:val="24"/>
              </w:rPr>
              <w:t>7.3.</w:t>
            </w:r>
            <w:r w:rsidRPr="00B12FE0">
              <w:rPr>
                <w:b/>
                <w:bCs/>
                <w:color w:val="000000" w:themeColor="text1"/>
                <w:szCs w:val="24"/>
              </w:rPr>
              <w:t>5.2</w:t>
            </w:r>
            <w:r w:rsidRPr="00B12FE0">
              <w:rPr>
                <w:rFonts w:hint="eastAsia"/>
                <w:b/>
                <w:bCs/>
                <w:color w:val="000000" w:themeColor="text1"/>
                <w:szCs w:val="24"/>
              </w:rPr>
              <w:t xml:space="preserve"> X</w:t>
            </w:r>
            <w:r w:rsidRPr="00B12FE0">
              <w:rPr>
                <w:rFonts w:hint="eastAsia"/>
                <w:b/>
                <w:bCs/>
                <w:color w:val="000000" w:themeColor="text1"/>
                <w:szCs w:val="24"/>
              </w:rPr>
              <w:t>射线设备机房使用面积、单边长度的规定</w:t>
            </w:r>
            <w:r w:rsidRPr="00B12FE0">
              <w:rPr>
                <w:rFonts w:hint="eastAsia"/>
                <w:b/>
                <w:bCs/>
                <w:color w:val="000000" w:themeColor="text1"/>
                <w:szCs w:val="24"/>
              </w:rPr>
              <w:t xml:space="preserve"> </w:t>
            </w:r>
          </w:p>
          <w:p w14:paraId="6CCF5330"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hint="eastAsia"/>
                <w:color w:val="000000" w:themeColor="text1"/>
                <w:szCs w:val="24"/>
              </w:rPr>
              <w:t>《放射诊断放射防护要求》（</w:t>
            </w:r>
            <w:r w:rsidRPr="00B12FE0">
              <w:rPr>
                <w:color w:val="000000" w:themeColor="text1"/>
                <w:szCs w:val="24"/>
              </w:rPr>
              <w:t>GBZ 130-2020</w:t>
            </w:r>
            <w:r w:rsidRPr="00B12FE0">
              <w:rPr>
                <w:rFonts w:hint="eastAsia"/>
                <w:color w:val="000000" w:themeColor="text1"/>
                <w:szCs w:val="24"/>
              </w:rPr>
              <w:t>）中对</w:t>
            </w:r>
            <w:r w:rsidRPr="00B12FE0">
              <w:rPr>
                <w:rFonts w:hint="eastAsia"/>
                <w:color w:val="000000" w:themeColor="text1"/>
                <w:szCs w:val="24"/>
              </w:rPr>
              <w:t>X</w:t>
            </w:r>
            <w:r w:rsidRPr="00B12FE0">
              <w:rPr>
                <w:rFonts w:hint="eastAsia"/>
                <w:color w:val="000000" w:themeColor="text1"/>
                <w:szCs w:val="24"/>
              </w:rPr>
              <w:t>射线设备机房（照射室）使用面积、单边长度做出了规定：</w:t>
            </w:r>
          </w:p>
          <w:p w14:paraId="68B74229" w14:textId="77777777" w:rsidR="00A67F21" w:rsidRPr="00B12FE0" w:rsidRDefault="00000000">
            <w:pPr>
              <w:adjustRightInd w:val="0"/>
              <w:snapToGrid w:val="0"/>
              <w:spacing w:line="360" w:lineRule="auto"/>
              <w:ind w:firstLine="482"/>
              <w:rPr>
                <w:rFonts w:eastAsia="楷体"/>
                <w:color w:val="000000" w:themeColor="text1"/>
                <w:sz w:val="21"/>
                <w:szCs w:val="24"/>
              </w:rPr>
            </w:pPr>
            <w:r w:rsidRPr="00B12FE0">
              <w:rPr>
                <w:rFonts w:eastAsia="楷体"/>
                <w:b/>
                <w:color w:val="000000" w:themeColor="text1"/>
                <w:szCs w:val="24"/>
              </w:rPr>
              <w:t>6</w:t>
            </w:r>
            <w:r w:rsidRPr="00B12FE0">
              <w:rPr>
                <w:rFonts w:eastAsia="楷体"/>
                <w:color w:val="000000" w:themeColor="text1"/>
                <w:szCs w:val="24"/>
              </w:rPr>
              <w:t xml:space="preserve"> X</w:t>
            </w:r>
            <w:r w:rsidRPr="00B12FE0">
              <w:rPr>
                <w:rFonts w:eastAsia="楷体" w:hAnsi="楷体" w:hint="eastAsia"/>
                <w:color w:val="000000" w:themeColor="text1"/>
                <w:szCs w:val="24"/>
              </w:rPr>
              <w:t>射线设备机房防护设施的技术要求</w:t>
            </w:r>
          </w:p>
          <w:p w14:paraId="5972041F" w14:textId="77777777" w:rsidR="00A67F21" w:rsidRPr="00B12FE0" w:rsidRDefault="00000000">
            <w:pPr>
              <w:adjustRightInd w:val="0"/>
              <w:snapToGrid w:val="0"/>
              <w:spacing w:line="360" w:lineRule="auto"/>
              <w:ind w:firstLine="482"/>
              <w:rPr>
                <w:rFonts w:eastAsia="楷体"/>
                <w:color w:val="000000" w:themeColor="text1"/>
                <w:sz w:val="21"/>
                <w:szCs w:val="24"/>
              </w:rPr>
            </w:pPr>
            <w:r w:rsidRPr="00B12FE0">
              <w:rPr>
                <w:rFonts w:eastAsia="楷体"/>
                <w:b/>
                <w:color w:val="000000" w:themeColor="text1"/>
                <w:szCs w:val="24"/>
              </w:rPr>
              <w:t>6.1</w:t>
            </w:r>
            <w:r w:rsidRPr="00B12FE0">
              <w:rPr>
                <w:rFonts w:eastAsia="楷体"/>
                <w:color w:val="000000" w:themeColor="text1"/>
                <w:szCs w:val="24"/>
              </w:rPr>
              <w:t xml:space="preserve"> X</w:t>
            </w:r>
            <w:r w:rsidRPr="00B12FE0">
              <w:rPr>
                <w:rFonts w:eastAsia="楷体" w:hint="eastAsia"/>
                <w:color w:val="000000" w:themeColor="text1"/>
                <w:szCs w:val="24"/>
              </w:rPr>
              <w:t>射线设备机房布局</w:t>
            </w:r>
          </w:p>
          <w:p w14:paraId="06150251" w14:textId="77777777" w:rsidR="00A67F21" w:rsidRPr="00B12FE0" w:rsidRDefault="00000000">
            <w:pPr>
              <w:adjustRightInd w:val="0"/>
              <w:snapToGrid w:val="0"/>
              <w:spacing w:line="360" w:lineRule="auto"/>
              <w:ind w:firstLine="480"/>
              <w:rPr>
                <w:rFonts w:eastAsia="楷体" w:hAnsi="楷体" w:hint="eastAsia"/>
                <w:color w:val="000000" w:themeColor="text1"/>
                <w:szCs w:val="24"/>
              </w:rPr>
            </w:pPr>
            <w:r w:rsidRPr="00B12FE0">
              <w:rPr>
                <w:rFonts w:eastAsia="楷体" w:hAnsi="楷体"/>
                <w:color w:val="000000" w:themeColor="text1"/>
                <w:szCs w:val="24"/>
              </w:rPr>
              <w:t>6.1.5</w:t>
            </w:r>
            <w:r w:rsidRPr="00B12FE0">
              <w:rPr>
                <w:rFonts w:eastAsia="楷体" w:hAnsi="楷体" w:hint="eastAsia"/>
                <w:color w:val="000000" w:themeColor="text1"/>
                <w:szCs w:val="24"/>
              </w:rPr>
              <w:t>除床旁摄影设备、便携式</w:t>
            </w:r>
            <w:r w:rsidRPr="00B12FE0">
              <w:rPr>
                <w:rFonts w:eastAsia="楷体" w:hAnsi="楷体"/>
                <w:color w:val="000000" w:themeColor="text1"/>
                <w:szCs w:val="24"/>
              </w:rPr>
              <w:t>X</w:t>
            </w:r>
            <w:r w:rsidRPr="00B12FE0">
              <w:rPr>
                <w:rFonts w:eastAsia="楷体" w:hAnsi="楷体" w:hint="eastAsia"/>
                <w:color w:val="000000" w:themeColor="text1"/>
                <w:szCs w:val="24"/>
              </w:rPr>
              <w:t>射线设备和车载式诊断</w:t>
            </w:r>
            <w:r w:rsidRPr="00B12FE0">
              <w:rPr>
                <w:rFonts w:eastAsia="楷体" w:hAnsi="楷体"/>
                <w:color w:val="000000" w:themeColor="text1"/>
                <w:szCs w:val="24"/>
              </w:rPr>
              <w:t>X</w:t>
            </w:r>
            <w:r w:rsidRPr="00B12FE0">
              <w:rPr>
                <w:rFonts w:eastAsia="楷体" w:hAnsi="楷体" w:hint="eastAsia"/>
                <w:color w:val="000000" w:themeColor="text1"/>
                <w:szCs w:val="24"/>
              </w:rPr>
              <w:t>射线设备外，对新建、改建和新建项目和技术改造、技术引进项目的</w:t>
            </w:r>
            <w:r w:rsidRPr="00B12FE0">
              <w:rPr>
                <w:rFonts w:eastAsia="楷体" w:hAnsi="楷体"/>
                <w:color w:val="000000" w:themeColor="text1"/>
                <w:szCs w:val="24"/>
              </w:rPr>
              <w:t>X</w:t>
            </w:r>
            <w:r w:rsidRPr="00B12FE0">
              <w:rPr>
                <w:rFonts w:eastAsia="楷体" w:hAnsi="楷体" w:hint="eastAsia"/>
                <w:color w:val="000000" w:themeColor="text1"/>
                <w:szCs w:val="24"/>
              </w:rPr>
              <w:t>射线设备机房，其最小有效使用面积、最小单边长度应符合表</w:t>
            </w:r>
            <w:r w:rsidRPr="00B12FE0">
              <w:rPr>
                <w:rFonts w:eastAsia="楷体" w:hAnsi="楷体" w:hint="eastAsia"/>
                <w:color w:val="000000" w:themeColor="text1"/>
                <w:szCs w:val="24"/>
              </w:rPr>
              <w:t>2</w:t>
            </w:r>
            <w:r w:rsidRPr="00B12FE0">
              <w:rPr>
                <w:rFonts w:eastAsia="楷体" w:hAnsi="楷体" w:hint="eastAsia"/>
                <w:color w:val="000000" w:themeColor="text1"/>
                <w:szCs w:val="24"/>
              </w:rPr>
              <w:t>（</w:t>
            </w:r>
            <w:r w:rsidRPr="00B12FE0">
              <w:rPr>
                <w:bCs/>
                <w:color w:val="000000" w:themeColor="text1"/>
                <w:szCs w:val="24"/>
              </w:rPr>
              <w:t>表</w:t>
            </w:r>
            <w:r w:rsidRPr="00B12FE0">
              <w:rPr>
                <w:bCs/>
                <w:color w:val="000000" w:themeColor="text1"/>
                <w:szCs w:val="24"/>
              </w:rPr>
              <w:t>7.3.5-1</w:t>
            </w:r>
            <w:r w:rsidRPr="00B12FE0">
              <w:rPr>
                <w:rFonts w:eastAsia="楷体" w:hAnsi="楷体" w:hint="eastAsia"/>
                <w:color w:val="000000" w:themeColor="text1"/>
                <w:szCs w:val="24"/>
              </w:rPr>
              <w:t>）的规定。</w:t>
            </w:r>
          </w:p>
          <w:p w14:paraId="6F0683DD" w14:textId="77777777" w:rsidR="00A67F21" w:rsidRPr="00B12FE0" w:rsidRDefault="00000000">
            <w:pPr>
              <w:adjustRightInd w:val="0"/>
              <w:snapToGrid w:val="0"/>
              <w:spacing w:afterLines="50" w:after="120"/>
              <w:jc w:val="center"/>
              <w:rPr>
                <w:rFonts w:eastAsia="楷体"/>
                <w:b/>
                <w:color w:val="000000" w:themeColor="text1"/>
                <w:sz w:val="21"/>
                <w:szCs w:val="21"/>
              </w:rPr>
            </w:pPr>
            <w:r w:rsidRPr="00B12FE0">
              <w:rPr>
                <w:rFonts w:eastAsia="楷体" w:hAnsi="楷体" w:hint="eastAsia"/>
                <w:b/>
                <w:color w:val="000000" w:themeColor="text1"/>
                <w:sz w:val="21"/>
                <w:szCs w:val="21"/>
              </w:rPr>
              <w:t>表</w:t>
            </w:r>
            <w:r w:rsidRPr="00B12FE0">
              <w:rPr>
                <w:rFonts w:eastAsia="楷体" w:hint="eastAsia"/>
                <w:b/>
                <w:color w:val="000000" w:themeColor="text1"/>
                <w:sz w:val="21"/>
                <w:szCs w:val="21"/>
              </w:rPr>
              <w:t>7.3.5-</w:t>
            </w:r>
            <w:r w:rsidRPr="00B12FE0">
              <w:rPr>
                <w:rFonts w:eastAsia="楷体"/>
                <w:b/>
                <w:color w:val="000000" w:themeColor="text1"/>
                <w:sz w:val="21"/>
                <w:szCs w:val="21"/>
              </w:rPr>
              <w:t>1</w:t>
            </w:r>
            <w:r w:rsidRPr="00B12FE0">
              <w:rPr>
                <w:rFonts w:eastAsia="楷体" w:hint="eastAsia"/>
                <w:b/>
                <w:color w:val="000000" w:themeColor="text1"/>
                <w:sz w:val="21"/>
                <w:szCs w:val="21"/>
              </w:rPr>
              <w:t xml:space="preserve">  </w:t>
            </w:r>
            <w:r w:rsidRPr="00B12FE0">
              <w:rPr>
                <w:rFonts w:eastAsia="楷体"/>
                <w:b/>
                <w:color w:val="000000" w:themeColor="text1"/>
                <w:sz w:val="21"/>
                <w:szCs w:val="21"/>
              </w:rPr>
              <w:t>X</w:t>
            </w:r>
            <w:r w:rsidRPr="00B12FE0">
              <w:rPr>
                <w:rFonts w:eastAsia="楷体" w:hAnsi="楷体" w:hint="eastAsia"/>
                <w:b/>
                <w:color w:val="000000" w:themeColor="text1"/>
                <w:sz w:val="21"/>
                <w:szCs w:val="21"/>
              </w:rPr>
              <w:t>射线设备机房（照射室）使用面积、单边长度的要求</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2898"/>
              <w:gridCol w:w="2769"/>
            </w:tblGrid>
            <w:tr w:rsidR="00A67F21" w:rsidRPr="00B12FE0" w14:paraId="200B2A16" w14:textId="77777777">
              <w:trPr>
                <w:trHeight w:val="397"/>
                <w:jc w:val="center"/>
              </w:trPr>
              <w:tc>
                <w:tcPr>
                  <w:tcW w:w="3179" w:type="dxa"/>
                  <w:tcBorders>
                    <w:top w:val="single" w:sz="4" w:space="0" w:color="auto"/>
                    <w:left w:val="single" w:sz="4" w:space="0" w:color="auto"/>
                    <w:bottom w:val="single" w:sz="4" w:space="0" w:color="auto"/>
                    <w:right w:val="single" w:sz="4" w:space="0" w:color="auto"/>
                  </w:tcBorders>
                  <w:vAlign w:val="center"/>
                </w:tcPr>
                <w:p w14:paraId="67FD9617"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设备类型</w:t>
                  </w:r>
                </w:p>
              </w:tc>
              <w:tc>
                <w:tcPr>
                  <w:tcW w:w="2898" w:type="dxa"/>
                  <w:tcBorders>
                    <w:top w:val="single" w:sz="4" w:space="0" w:color="auto"/>
                    <w:left w:val="single" w:sz="4" w:space="0" w:color="auto"/>
                    <w:bottom w:val="single" w:sz="4" w:space="0" w:color="auto"/>
                    <w:right w:val="single" w:sz="4" w:space="0" w:color="auto"/>
                  </w:tcBorders>
                  <w:vAlign w:val="center"/>
                </w:tcPr>
                <w:p w14:paraId="0673E446"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机房内最小有效使用面积</w:t>
                  </w:r>
                  <w:r w:rsidRPr="00B12FE0">
                    <w:rPr>
                      <w:rFonts w:eastAsia="楷体" w:hAnsi="楷体"/>
                      <w:color w:val="000000" w:themeColor="text1"/>
                      <w:sz w:val="21"/>
                      <w:szCs w:val="21"/>
                      <w:vertAlign w:val="superscript"/>
                    </w:rPr>
                    <w:t>d</w:t>
                  </w:r>
                  <w:r w:rsidRPr="00B12FE0">
                    <w:rPr>
                      <w:rFonts w:eastAsia="楷体"/>
                      <w:color w:val="000000" w:themeColor="text1"/>
                      <w:sz w:val="21"/>
                      <w:szCs w:val="21"/>
                    </w:rPr>
                    <w:t>m</w:t>
                  </w:r>
                  <w:r w:rsidRPr="00B12FE0">
                    <w:rPr>
                      <w:rFonts w:eastAsia="楷体"/>
                      <w:color w:val="000000" w:themeColor="text1"/>
                      <w:sz w:val="21"/>
                      <w:szCs w:val="21"/>
                      <w:vertAlign w:val="superscript"/>
                    </w:rPr>
                    <w:t>2</w:t>
                  </w:r>
                </w:p>
              </w:tc>
              <w:tc>
                <w:tcPr>
                  <w:tcW w:w="2769" w:type="dxa"/>
                  <w:tcBorders>
                    <w:top w:val="single" w:sz="4" w:space="0" w:color="auto"/>
                    <w:left w:val="single" w:sz="4" w:space="0" w:color="auto"/>
                    <w:bottom w:val="single" w:sz="4" w:space="0" w:color="auto"/>
                    <w:right w:val="single" w:sz="4" w:space="0" w:color="auto"/>
                  </w:tcBorders>
                  <w:vAlign w:val="center"/>
                </w:tcPr>
                <w:p w14:paraId="270904D5"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机房内最小单边长度</w:t>
                  </w:r>
                  <w:proofErr w:type="spellStart"/>
                  <w:r w:rsidRPr="00B12FE0">
                    <w:rPr>
                      <w:rFonts w:eastAsia="楷体" w:hAnsi="楷体"/>
                      <w:color w:val="000000" w:themeColor="text1"/>
                      <w:sz w:val="21"/>
                      <w:szCs w:val="21"/>
                      <w:vertAlign w:val="superscript"/>
                    </w:rPr>
                    <w:t>e</w:t>
                  </w:r>
                  <w:r w:rsidRPr="00B12FE0">
                    <w:rPr>
                      <w:rFonts w:eastAsia="楷体"/>
                      <w:color w:val="000000" w:themeColor="text1"/>
                      <w:sz w:val="21"/>
                      <w:szCs w:val="21"/>
                    </w:rPr>
                    <w:t>m</w:t>
                  </w:r>
                  <w:proofErr w:type="spellEnd"/>
                </w:p>
              </w:tc>
            </w:tr>
            <w:tr w:rsidR="00A67F21" w:rsidRPr="00B12FE0" w14:paraId="15999CE2" w14:textId="77777777">
              <w:trPr>
                <w:trHeight w:val="397"/>
                <w:jc w:val="center"/>
              </w:trPr>
              <w:tc>
                <w:tcPr>
                  <w:tcW w:w="3179" w:type="dxa"/>
                  <w:vAlign w:val="center"/>
                </w:tcPr>
                <w:p w14:paraId="675A4523"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snapToGrid w:val="0"/>
                      <w:color w:val="000000" w:themeColor="text1"/>
                      <w:sz w:val="21"/>
                      <w:szCs w:val="24"/>
                    </w:rPr>
                    <w:t>CT</w:t>
                  </w:r>
                  <w:r w:rsidRPr="00B12FE0">
                    <w:rPr>
                      <w:rFonts w:eastAsia="楷体" w:hAnsi="楷体"/>
                      <w:snapToGrid w:val="0"/>
                      <w:color w:val="000000" w:themeColor="text1"/>
                      <w:sz w:val="21"/>
                      <w:szCs w:val="24"/>
                    </w:rPr>
                    <w:t>机（不含头颅移动</w:t>
                  </w:r>
                  <w:r w:rsidRPr="00B12FE0">
                    <w:rPr>
                      <w:rFonts w:eastAsia="楷体"/>
                      <w:snapToGrid w:val="0"/>
                      <w:color w:val="000000" w:themeColor="text1"/>
                      <w:sz w:val="21"/>
                      <w:szCs w:val="24"/>
                    </w:rPr>
                    <w:t>CT</w:t>
                  </w:r>
                  <w:r w:rsidRPr="00B12FE0">
                    <w:rPr>
                      <w:rFonts w:eastAsia="楷体" w:hAnsi="楷体"/>
                      <w:snapToGrid w:val="0"/>
                      <w:color w:val="000000" w:themeColor="text1"/>
                      <w:sz w:val="21"/>
                      <w:szCs w:val="24"/>
                    </w:rPr>
                    <w:t>）</w:t>
                  </w:r>
                </w:p>
              </w:tc>
              <w:tc>
                <w:tcPr>
                  <w:tcW w:w="2898" w:type="dxa"/>
                  <w:vAlign w:val="center"/>
                </w:tcPr>
                <w:p w14:paraId="0D1B43EF"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snapToGrid w:val="0"/>
                      <w:color w:val="000000" w:themeColor="text1"/>
                      <w:sz w:val="21"/>
                      <w:szCs w:val="24"/>
                      <w:lang w:eastAsia="en-US"/>
                    </w:rPr>
                    <w:t>30</w:t>
                  </w:r>
                </w:p>
              </w:tc>
              <w:tc>
                <w:tcPr>
                  <w:tcW w:w="2769" w:type="dxa"/>
                  <w:vAlign w:val="center"/>
                </w:tcPr>
                <w:p w14:paraId="6A09D0BC"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snapToGrid w:val="0"/>
                      <w:color w:val="000000" w:themeColor="text1"/>
                      <w:sz w:val="21"/>
                      <w:szCs w:val="24"/>
                      <w:lang w:eastAsia="en-US"/>
                    </w:rPr>
                    <w:t>4.5</w:t>
                  </w:r>
                </w:p>
              </w:tc>
            </w:tr>
            <w:tr w:rsidR="00A67F21" w:rsidRPr="00B12FE0" w14:paraId="008BAD7C" w14:textId="77777777">
              <w:trPr>
                <w:trHeight w:val="397"/>
                <w:jc w:val="center"/>
              </w:trPr>
              <w:tc>
                <w:tcPr>
                  <w:tcW w:w="3179" w:type="dxa"/>
                  <w:tcBorders>
                    <w:top w:val="single" w:sz="4" w:space="0" w:color="auto"/>
                    <w:left w:val="single" w:sz="4" w:space="0" w:color="auto"/>
                    <w:bottom w:val="single" w:sz="4" w:space="0" w:color="auto"/>
                    <w:right w:val="single" w:sz="4" w:space="0" w:color="auto"/>
                  </w:tcBorders>
                  <w:vAlign w:val="center"/>
                </w:tcPr>
                <w:p w14:paraId="412442BF"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单管头</w:t>
                  </w:r>
                  <w:r w:rsidRPr="00B12FE0">
                    <w:rPr>
                      <w:rFonts w:eastAsia="楷体"/>
                      <w:color w:val="000000" w:themeColor="text1"/>
                      <w:sz w:val="21"/>
                      <w:szCs w:val="21"/>
                    </w:rPr>
                    <w:t>X</w:t>
                  </w:r>
                  <w:r w:rsidRPr="00B12FE0">
                    <w:rPr>
                      <w:rFonts w:eastAsia="楷体" w:hAnsi="楷体" w:hint="eastAsia"/>
                      <w:color w:val="000000" w:themeColor="text1"/>
                      <w:sz w:val="21"/>
                      <w:szCs w:val="21"/>
                    </w:rPr>
                    <w:t>射线设备</w:t>
                  </w:r>
                  <w:r w:rsidRPr="00B12FE0">
                    <w:rPr>
                      <w:rFonts w:eastAsia="楷体"/>
                      <w:color w:val="000000" w:themeColor="text1"/>
                      <w:sz w:val="21"/>
                      <w:szCs w:val="21"/>
                      <w:vertAlign w:val="superscript"/>
                    </w:rPr>
                    <w:t>b</w:t>
                  </w:r>
                  <w:r w:rsidRPr="00B12FE0">
                    <w:rPr>
                      <w:rFonts w:eastAsia="楷体" w:hint="eastAsia"/>
                      <w:color w:val="000000" w:themeColor="text1"/>
                      <w:sz w:val="21"/>
                      <w:szCs w:val="21"/>
                    </w:rPr>
                    <w:t>（含</w:t>
                  </w:r>
                  <w:r w:rsidRPr="00B12FE0">
                    <w:rPr>
                      <w:rFonts w:eastAsia="楷体"/>
                      <w:color w:val="000000" w:themeColor="text1"/>
                      <w:sz w:val="21"/>
                      <w:szCs w:val="21"/>
                    </w:rPr>
                    <w:t>C</w:t>
                  </w:r>
                  <w:r w:rsidRPr="00B12FE0">
                    <w:rPr>
                      <w:rFonts w:eastAsia="楷体" w:hint="eastAsia"/>
                      <w:color w:val="000000" w:themeColor="text1"/>
                      <w:sz w:val="21"/>
                      <w:szCs w:val="21"/>
                    </w:rPr>
                    <w:t>形臂，乳腺</w:t>
                  </w:r>
                  <w:r w:rsidRPr="00B12FE0">
                    <w:rPr>
                      <w:rFonts w:eastAsia="楷体"/>
                      <w:color w:val="000000" w:themeColor="text1"/>
                      <w:sz w:val="21"/>
                      <w:szCs w:val="21"/>
                    </w:rPr>
                    <w:t>CBCT</w:t>
                  </w:r>
                  <w:r w:rsidRPr="00B12FE0">
                    <w:rPr>
                      <w:rFonts w:eastAsia="楷体" w:hint="eastAsia"/>
                      <w:color w:val="000000" w:themeColor="text1"/>
                      <w:sz w:val="21"/>
                      <w:szCs w:val="21"/>
                    </w:rPr>
                    <w:t>）</w:t>
                  </w:r>
                </w:p>
              </w:tc>
              <w:tc>
                <w:tcPr>
                  <w:tcW w:w="2898" w:type="dxa"/>
                  <w:tcBorders>
                    <w:top w:val="single" w:sz="4" w:space="0" w:color="auto"/>
                    <w:left w:val="single" w:sz="4" w:space="0" w:color="auto"/>
                    <w:bottom w:val="single" w:sz="4" w:space="0" w:color="auto"/>
                    <w:right w:val="single" w:sz="4" w:space="0" w:color="auto"/>
                  </w:tcBorders>
                  <w:vAlign w:val="center"/>
                </w:tcPr>
                <w:p w14:paraId="27217F84"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color w:val="000000" w:themeColor="text1"/>
                      <w:sz w:val="21"/>
                      <w:szCs w:val="21"/>
                    </w:rPr>
                    <w:t>20</w:t>
                  </w:r>
                </w:p>
              </w:tc>
              <w:tc>
                <w:tcPr>
                  <w:tcW w:w="2769" w:type="dxa"/>
                  <w:tcBorders>
                    <w:top w:val="single" w:sz="4" w:space="0" w:color="auto"/>
                    <w:left w:val="single" w:sz="4" w:space="0" w:color="auto"/>
                    <w:bottom w:val="single" w:sz="4" w:space="0" w:color="auto"/>
                    <w:right w:val="single" w:sz="4" w:space="0" w:color="auto"/>
                  </w:tcBorders>
                  <w:vAlign w:val="center"/>
                </w:tcPr>
                <w:p w14:paraId="4B25B488"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color w:val="000000" w:themeColor="text1"/>
                      <w:sz w:val="21"/>
                      <w:szCs w:val="21"/>
                    </w:rPr>
                    <w:t>3.5</w:t>
                  </w:r>
                </w:p>
              </w:tc>
            </w:tr>
            <w:tr w:rsidR="00A67F21" w:rsidRPr="00B12FE0" w14:paraId="1BDCBE5B" w14:textId="77777777">
              <w:trPr>
                <w:trHeight w:val="397"/>
                <w:jc w:val="center"/>
              </w:trPr>
              <w:tc>
                <w:tcPr>
                  <w:tcW w:w="8846" w:type="dxa"/>
                  <w:gridSpan w:val="3"/>
                  <w:tcBorders>
                    <w:top w:val="single" w:sz="4" w:space="0" w:color="auto"/>
                    <w:left w:val="single" w:sz="4" w:space="0" w:color="auto"/>
                    <w:bottom w:val="single" w:sz="4" w:space="0" w:color="auto"/>
                    <w:right w:val="single" w:sz="4" w:space="0" w:color="auto"/>
                  </w:tcBorders>
                  <w:vAlign w:val="center"/>
                </w:tcPr>
                <w:p w14:paraId="098B2CFE" w14:textId="77777777" w:rsidR="00A67F21" w:rsidRPr="00B12FE0" w:rsidRDefault="00000000">
                  <w:pPr>
                    <w:adjustRightInd w:val="0"/>
                    <w:snapToGrid w:val="0"/>
                    <w:rPr>
                      <w:rFonts w:eastAsia="楷体" w:hAnsi="楷体" w:hint="eastAsia"/>
                      <w:color w:val="000000" w:themeColor="text1"/>
                      <w:sz w:val="21"/>
                      <w:szCs w:val="21"/>
                    </w:rPr>
                  </w:pPr>
                  <w:r w:rsidRPr="00B12FE0">
                    <w:rPr>
                      <w:rFonts w:eastAsia="楷体"/>
                      <w:color w:val="000000" w:themeColor="text1"/>
                      <w:sz w:val="21"/>
                      <w:szCs w:val="21"/>
                    </w:rPr>
                    <w:t>b</w:t>
                  </w:r>
                  <w:r w:rsidRPr="00B12FE0">
                    <w:rPr>
                      <w:rFonts w:eastAsia="楷体" w:hAnsi="楷体" w:hint="eastAsia"/>
                      <w:color w:val="000000" w:themeColor="text1"/>
                      <w:sz w:val="21"/>
                      <w:szCs w:val="21"/>
                    </w:rPr>
                    <w:t>单管头、双管头或多管头</w:t>
                  </w:r>
                  <w:r w:rsidRPr="00B12FE0">
                    <w:rPr>
                      <w:rFonts w:eastAsia="楷体"/>
                      <w:color w:val="000000" w:themeColor="text1"/>
                      <w:sz w:val="21"/>
                      <w:szCs w:val="21"/>
                    </w:rPr>
                    <w:t>X</w:t>
                  </w:r>
                  <w:r w:rsidRPr="00B12FE0">
                    <w:rPr>
                      <w:rFonts w:eastAsia="楷体" w:hAnsi="楷体" w:hint="eastAsia"/>
                      <w:color w:val="000000" w:themeColor="text1"/>
                      <w:sz w:val="21"/>
                      <w:szCs w:val="21"/>
                    </w:rPr>
                    <w:t>射线机的</w:t>
                  </w:r>
                  <w:proofErr w:type="gramStart"/>
                  <w:r w:rsidRPr="00B12FE0">
                    <w:rPr>
                      <w:rFonts w:eastAsia="楷体" w:hAnsi="楷体" w:hint="eastAsia"/>
                      <w:color w:val="000000" w:themeColor="text1"/>
                      <w:sz w:val="21"/>
                      <w:szCs w:val="21"/>
                    </w:rPr>
                    <w:t>每个管</w:t>
                  </w:r>
                  <w:proofErr w:type="gramEnd"/>
                  <w:r w:rsidRPr="00B12FE0">
                    <w:rPr>
                      <w:rFonts w:eastAsia="楷体" w:hAnsi="楷体" w:hint="eastAsia"/>
                      <w:color w:val="000000" w:themeColor="text1"/>
                      <w:sz w:val="21"/>
                      <w:szCs w:val="21"/>
                    </w:rPr>
                    <w:t>球各安装在</w:t>
                  </w:r>
                  <w:r w:rsidRPr="00B12FE0">
                    <w:rPr>
                      <w:rFonts w:eastAsia="楷体"/>
                      <w:color w:val="000000" w:themeColor="text1"/>
                      <w:sz w:val="21"/>
                      <w:szCs w:val="21"/>
                    </w:rPr>
                    <w:t>1</w:t>
                  </w:r>
                  <w:r w:rsidRPr="00B12FE0">
                    <w:rPr>
                      <w:rFonts w:eastAsia="楷体" w:hAnsi="楷体" w:hint="eastAsia"/>
                      <w:color w:val="000000" w:themeColor="text1"/>
                      <w:sz w:val="21"/>
                      <w:szCs w:val="21"/>
                    </w:rPr>
                    <w:t>个房间内；</w:t>
                  </w:r>
                </w:p>
                <w:p w14:paraId="3B49AF91" w14:textId="77777777" w:rsidR="00A67F21" w:rsidRPr="00B12FE0" w:rsidRDefault="00000000">
                  <w:pPr>
                    <w:adjustRightInd w:val="0"/>
                    <w:snapToGrid w:val="0"/>
                    <w:rPr>
                      <w:rFonts w:eastAsia="楷体" w:hAnsi="楷体" w:hint="eastAsia"/>
                      <w:color w:val="000000" w:themeColor="text1"/>
                      <w:sz w:val="21"/>
                      <w:szCs w:val="21"/>
                    </w:rPr>
                  </w:pPr>
                  <w:r w:rsidRPr="00B12FE0">
                    <w:rPr>
                      <w:rFonts w:eastAsia="楷体" w:hAnsi="楷体"/>
                      <w:color w:val="000000" w:themeColor="text1"/>
                      <w:sz w:val="21"/>
                      <w:szCs w:val="21"/>
                    </w:rPr>
                    <w:t>d</w:t>
                  </w:r>
                  <w:r w:rsidRPr="00B12FE0">
                    <w:rPr>
                      <w:rFonts w:eastAsia="楷体" w:hAnsi="楷体" w:hint="eastAsia"/>
                      <w:color w:val="000000" w:themeColor="text1"/>
                      <w:sz w:val="21"/>
                      <w:szCs w:val="21"/>
                    </w:rPr>
                    <w:t>机房内有效使用面积指机房内可划出的最大矩形面积；</w:t>
                  </w:r>
                </w:p>
                <w:p w14:paraId="14E121DC" w14:textId="77777777" w:rsidR="00A67F21" w:rsidRPr="00B12FE0" w:rsidRDefault="00000000">
                  <w:pPr>
                    <w:adjustRightInd w:val="0"/>
                    <w:snapToGrid w:val="0"/>
                    <w:rPr>
                      <w:rFonts w:eastAsia="楷体" w:hAnsi="楷体" w:hint="eastAsia"/>
                      <w:color w:val="000000" w:themeColor="text1"/>
                      <w:sz w:val="21"/>
                      <w:szCs w:val="21"/>
                    </w:rPr>
                  </w:pPr>
                  <w:r w:rsidRPr="00B12FE0">
                    <w:rPr>
                      <w:rFonts w:eastAsia="楷体" w:hAnsi="楷体"/>
                      <w:color w:val="000000" w:themeColor="text1"/>
                      <w:sz w:val="21"/>
                      <w:szCs w:val="21"/>
                    </w:rPr>
                    <w:t>e</w:t>
                  </w:r>
                  <w:r w:rsidRPr="00B12FE0">
                    <w:rPr>
                      <w:rFonts w:eastAsia="楷体" w:hAnsi="楷体" w:hint="eastAsia"/>
                      <w:color w:val="000000" w:themeColor="text1"/>
                      <w:sz w:val="21"/>
                      <w:szCs w:val="21"/>
                    </w:rPr>
                    <w:t>机房内单边长度指机房内有效使用面积的最小边长。</w:t>
                  </w:r>
                </w:p>
              </w:tc>
            </w:tr>
          </w:tbl>
          <w:p w14:paraId="7E7F5CD5"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hint="eastAsia"/>
                <w:color w:val="000000" w:themeColor="text1"/>
                <w:szCs w:val="24"/>
              </w:rPr>
              <w:t>本项目</w:t>
            </w:r>
            <w:r w:rsidRPr="00B12FE0">
              <w:rPr>
                <w:rFonts w:hint="eastAsia"/>
                <w:bCs/>
                <w:color w:val="000000" w:themeColor="text1"/>
              </w:rPr>
              <w:t>PET/CT</w:t>
            </w:r>
            <w:r w:rsidRPr="00B12FE0">
              <w:rPr>
                <w:rFonts w:hint="eastAsia"/>
                <w:bCs/>
                <w:color w:val="000000" w:themeColor="text1"/>
              </w:rPr>
              <w:t>和</w:t>
            </w:r>
            <w:r w:rsidRPr="00B12FE0">
              <w:rPr>
                <w:rFonts w:hint="eastAsia"/>
                <w:bCs/>
                <w:color w:val="000000" w:themeColor="text1"/>
              </w:rPr>
              <w:t>SPECT/CT</w:t>
            </w:r>
            <w:r w:rsidRPr="00B12FE0">
              <w:rPr>
                <w:rFonts w:hint="eastAsia"/>
                <w:bCs/>
                <w:color w:val="000000" w:themeColor="text1"/>
              </w:rPr>
              <w:t>配套用</w:t>
            </w:r>
            <w:r w:rsidRPr="00B12FE0">
              <w:rPr>
                <w:rFonts w:hint="eastAsia"/>
                <w:bCs/>
                <w:color w:val="000000" w:themeColor="text1"/>
              </w:rPr>
              <w:t>CT</w:t>
            </w:r>
            <w:r w:rsidRPr="00B12FE0">
              <w:rPr>
                <w:rFonts w:ascii="宋体" w:hAnsi="宋体" w:hint="eastAsia"/>
                <w:color w:val="000000" w:themeColor="text1"/>
                <w:szCs w:val="24"/>
              </w:rPr>
              <w:t>最小有效使用面积和最小单边长度按《放射诊断放射防护要求》（</w:t>
            </w:r>
            <w:r w:rsidRPr="00B12FE0">
              <w:rPr>
                <w:rFonts w:hint="eastAsia"/>
                <w:color w:val="000000" w:themeColor="text1"/>
                <w:szCs w:val="24"/>
              </w:rPr>
              <w:t>GBZ130-2020</w:t>
            </w:r>
            <w:r w:rsidRPr="00B12FE0">
              <w:rPr>
                <w:rFonts w:ascii="宋体" w:hAnsi="宋体" w:hint="eastAsia"/>
                <w:color w:val="000000" w:themeColor="text1"/>
                <w:szCs w:val="24"/>
              </w:rPr>
              <w:t>）中“</w:t>
            </w:r>
            <w:r w:rsidRPr="00B12FE0">
              <w:rPr>
                <w:color w:val="000000" w:themeColor="text1"/>
                <w:szCs w:val="24"/>
              </w:rPr>
              <w:t>CT</w:t>
            </w:r>
            <w:r w:rsidRPr="00B12FE0">
              <w:rPr>
                <w:color w:val="000000" w:themeColor="text1"/>
                <w:szCs w:val="24"/>
              </w:rPr>
              <w:t>机（不含头颅移动</w:t>
            </w:r>
            <w:r w:rsidRPr="00B12FE0">
              <w:rPr>
                <w:color w:val="000000" w:themeColor="text1"/>
                <w:szCs w:val="24"/>
              </w:rPr>
              <w:t>CT</w:t>
            </w:r>
            <w:r w:rsidRPr="00B12FE0">
              <w:rPr>
                <w:color w:val="000000" w:themeColor="text1"/>
                <w:szCs w:val="24"/>
              </w:rPr>
              <w:t>）</w:t>
            </w:r>
            <w:r w:rsidRPr="00B12FE0">
              <w:rPr>
                <w:rFonts w:ascii="宋体" w:hAnsi="宋体" w:cs="宋体" w:hint="eastAsia"/>
                <w:color w:val="000000" w:themeColor="text1"/>
                <w:szCs w:val="24"/>
              </w:rPr>
              <w:t>”</w:t>
            </w:r>
            <w:r w:rsidRPr="00B12FE0">
              <w:rPr>
                <w:color w:val="000000" w:themeColor="text1"/>
                <w:szCs w:val="24"/>
              </w:rPr>
              <w:t>的</w:t>
            </w:r>
            <w:r w:rsidRPr="00B12FE0">
              <w:rPr>
                <w:rFonts w:ascii="宋体" w:hAnsi="宋体" w:hint="eastAsia"/>
                <w:color w:val="000000" w:themeColor="text1"/>
                <w:szCs w:val="24"/>
              </w:rPr>
              <w:t>要求执行。</w:t>
            </w:r>
          </w:p>
          <w:p w14:paraId="771944EC" w14:textId="77777777" w:rsidR="00A67F21" w:rsidRPr="00B12FE0" w:rsidRDefault="00000000">
            <w:pPr>
              <w:adjustRightInd w:val="0"/>
              <w:snapToGrid w:val="0"/>
              <w:spacing w:line="360" w:lineRule="auto"/>
              <w:rPr>
                <w:b/>
                <w:bCs/>
                <w:color w:val="000000" w:themeColor="text1"/>
                <w:szCs w:val="24"/>
              </w:rPr>
            </w:pPr>
            <w:r w:rsidRPr="00B12FE0">
              <w:rPr>
                <w:rFonts w:hint="eastAsia"/>
                <w:b/>
                <w:bCs/>
                <w:color w:val="000000" w:themeColor="text1"/>
                <w:szCs w:val="24"/>
              </w:rPr>
              <w:lastRenderedPageBreak/>
              <w:t>7.3.5</w:t>
            </w:r>
            <w:r w:rsidRPr="00B12FE0">
              <w:rPr>
                <w:b/>
                <w:bCs/>
                <w:color w:val="000000" w:themeColor="text1"/>
                <w:szCs w:val="24"/>
              </w:rPr>
              <w:t>.3</w:t>
            </w:r>
            <w:r w:rsidRPr="00B12FE0">
              <w:rPr>
                <w:rFonts w:hint="eastAsia"/>
                <w:b/>
                <w:bCs/>
                <w:color w:val="000000" w:themeColor="text1"/>
                <w:szCs w:val="24"/>
              </w:rPr>
              <w:t xml:space="preserve"> </w:t>
            </w:r>
            <w:r w:rsidRPr="00B12FE0">
              <w:rPr>
                <w:rFonts w:hint="eastAsia"/>
                <w:b/>
                <w:bCs/>
                <w:color w:val="000000" w:themeColor="text1"/>
                <w:szCs w:val="24"/>
              </w:rPr>
              <w:t>射线装置及机房防护设施性能规定</w:t>
            </w:r>
          </w:p>
          <w:p w14:paraId="1F760128"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hint="eastAsia"/>
                <w:color w:val="000000" w:themeColor="text1"/>
                <w:szCs w:val="24"/>
              </w:rPr>
              <w:t>《放射诊断放射防护要求》（</w:t>
            </w:r>
            <w:r w:rsidRPr="00B12FE0">
              <w:rPr>
                <w:color w:val="000000" w:themeColor="text1"/>
                <w:szCs w:val="24"/>
              </w:rPr>
              <w:t>GBZ130-2020</w:t>
            </w:r>
            <w:r w:rsidRPr="00B12FE0">
              <w:rPr>
                <w:rFonts w:hint="eastAsia"/>
                <w:color w:val="000000" w:themeColor="text1"/>
                <w:szCs w:val="24"/>
              </w:rPr>
              <w:t>）中对不同类型</w:t>
            </w:r>
            <w:r w:rsidRPr="00B12FE0">
              <w:rPr>
                <w:rFonts w:hint="eastAsia"/>
                <w:color w:val="000000" w:themeColor="text1"/>
                <w:szCs w:val="24"/>
              </w:rPr>
              <w:t>X</w:t>
            </w:r>
            <w:r w:rsidRPr="00B12FE0">
              <w:rPr>
                <w:rFonts w:hint="eastAsia"/>
                <w:color w:val="000000" w:themeColor="text1"/>
                <w:szCs w:val="24"/>
              </w:rPr>
              <w:t>射线设备机房的屏蔽防护铅当量厚度做了如下要求：</w:t>
            </w:r>
          </w:p>
          <w:p w14:paraId="0D1712E8"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b/>
                <w:color w:val="000000" w:themeColor="text1"/>
                <w:szCs w:val="24"/>
              </w:rPr>
              <w:t>6.2</w:t>
            </w:r>
            <w:r w:rsidRPr="00B12FE0">
              <w:rPr>
                <w:rFonts w:eastAsia="楷体" w:hint="eastAsia"/>
                <w:bCs/>
                <w:color w:val="000000" w:themeColor="text1"/>
                <w:szCs w:val="24"/>
              </w:rPr>
              <w:t xml:space="preserve"> </w:t>
            </w:r>
            <w:r w:rsidRPr="00B12FE0">
              <w:rPr>
                <w:rFonts w:eastAsia="楷体"/>
                <w:bCs/>
                <w:color w:val="000000" w:themeColor="text1"/>
                <w:szCs w:val="24"/>
              </w:rPr>
              <w:t>X</w:t>
            </w:r>
            <w:r w:rsidRPr="00B12FE0">
              <w:rPr>
                <w:rFonts w:eastAsia="楷体" w:hint="eastAsia"/>
                <w:bCs/>
                <w:color w:val="000000" w:themeColor="text1"/>
                <w:szCs w:val="24"/>
              </w:rPr>
              <w:t>射线设备机房屏蔽</w:t>
            </w:r>
          </w:p>
          <w:p w14:paraId="493D0AAC" w14:textId="77777777" w:rsidR="00A67F21" w:rsidRPr="00B12FE0" w:rsidRDefault="00000000">
            <w:pPr>
              <w:adjustRightInd w:val="0"/>
              <w:snapToGrid w:val="0"/>
              <w:spacing w:line="360" w:lineRule="auto"/>
              <w:ind w:firstLine="482"/>
              <w:rPr>
                <w:rFonts w:eastAsia="楷体" w:hAnsi="楷体" w:hint="eastAsia"/>
                <w:b/>
                <w:color w:val="000000" w:themeColor="text1"/>
                <w:sz w:val="21"/>
                <w:szCs w:val="21"/>
              </w:rPr>
            </w:pPr>
            <w:r w:rsidRPr="00B12FE0">
              <w:rPr>
                <w:rFonts w:eastAsia="楷体"/>
                <w:bCs/>
                <w:color w:val="000000" w:themeColor="text1"/>
                <w:szCs w:val="24"/>
              </w:rPr>
              <w:t>6.2.1</w:t>
            </w:r>
            <w:r w:rsidRPr="00B12FE0">
              <w:rPr>
                <w:rFonts w:eastAsia="楷体" w:hint="eastAsia"/>
                <w:bCs/>
                <w:color w:val="000000" w:themeColor="text1"/>
                <w:szCs w:val="24"/>
              </w:rPr>
              <w:t>不同类型</w:t>
            </w:r>
            <w:r w:rsidRPr="00B12FE0">
              <w:rPr>
                <w:rFonts w:eastAsia="楷体"/>
                <w:bCs/>
                <w:color w:val="000000" w:themeColor="text1"/>
                <w:szCs w:val="24"/>
              </w:rPr>
              <w:t>X</w:t>
            </w:r>
            <w:r w:rsidRPr="00B12FE0">
              <w:rPr>
                <w:rFonts w:eastAsia="楷体" w:hint="eastAsia"/>
                <w:bCs/>
                <w:color w:val="000000" w:themeColor="text1"/>
                <w:szCs w:val="24"/>
              </w:rPr>
              <w:t>射线设备</w:t>
            </w:r>
            <w:r w:rsidRPr="00B12FE0">
              <w:rPr>
                <w:rFonts w:eastAsia="楷体"/>
                <w:bCs/>
                <w:color w:val="000000" w:themeColor="text1"/>
                <w:szCs w:val="24"/>
              </w:rPr>
              <w:t>(</w:t>
            </w:r>
            <w:r w:rsidRPr="00B12FE0">
              <w:rPr>
                <w:rFonts w:eastAsia="楷体" w:hint="eastAsia"/>
                <w:bCs/>
                <w:color w:val="000000" w:themeColor="text1"/>
                <w:szCs w:val="24"/>
              </w:rPr>
              <w:t>不含床旁摄影设备和便携式</w:t>
            </w:r>
            <w:r w:rsidRPr="00B12FE0">
              <w:rPr>
                <w:rFonts w:eastAsia="楷体"/>
                <w:bCs/>
                <w:color w:val="000000" w:themeColor="text1"/>
                <w:szCs w:val="24"/>
              </w:rPr>
              <w:t>x</w:t>
            </w:r>
            <w:r w:rsidRPr="00B12FE0">
              <w:rPr>
                <w:rFonts w:eastAsia="楷体" w:hint="eastAsia"/>
                <w:bCs/>
                <w:color w:val="000000" w:themeColor="text1"/>
                <w:szCs w:val="24"/>
              </w:rPr>
              <w:t>射线设备</w:t>
            </w:r>
            <w:r w:rsidRPr="00B12FE0">
              <w:rPr>
                <w:rFonts w:eastAsia="楷体"/>
                <w:bCs/>
                <w:color w:val="000000" w:themeColor="text1"/>
                <w:szCs w:val="24"/>
              </w:rPr>
              <w:t>)</w:t>
            </w:r>
            <w:r w:rsidRPr="00B12FE0">
              <w:rPr>
                <w:rFonts w:eastAsia="楷体" w:hint="eastAsia"/>
                <w:bCs/>
                <w:color w:val="000000" w:themeColor="text1"/>
                <w:szCs w:val="24"/>
              </w:rPr>
              <w:t>机房的屏蔽防护应不低于下表的规定。</w:t>
            </w:r>
          </w:p>
          <w:p w14:paraId="45CF51C2" w14:textId="77777777" w:rsidR="00A67F21" w:rsidRPr="00B12FE0" w:rsidRDefault="00000000">
            <w:pPr>
              <w:adjustRightInd w:val="0"/>
              <w:snapToGrid w:val="0"/>
              <w:spacing w:afterLines="50" w:after="120"/>
              <w:jc w:val="center"/>
              <w:rPr>
                <w:rFonts w:eastAsia="楷体" w:hAnsi="楷体" w:hint="eastAsia"/>
                <w:b/>
                <w:color w:val="000000" w:themeColor="text1"/>
                <w:sz w:val="21"/>
                <w:szCs w:val="21"/>
              </w:rPr>
            </w:pPr>
            <w:r w:rsidRPr="00B12FE0">
              <w:rPr>
                <w:rFonts w:eastAsia="楷体" w:hAnsi="楷体" w:hint="eastAsia"/>
                <w:b/>
                <w:color w:val="000000" w:themeColor="text1"/>
                <w:sz w:val="21"/>
                <w:szCs w:val="21"/>
              </w:rPr>
              <w:t>表</w:t>
            </w:r>
            <w:r w:rsidRPr="00B12FE0">
              <w:rPr>
                <w:rFonts w:eastAsia="楷体" w:hint="eastAsia"/>
                <w:b/>
                <w:color w:val="000000" w:themeColor="text1"/>
                <w:sz w:val="21"/>
                <w:szCs w:val="21"/>
              </w:rPr>
              <w:t>7.3.5-</w:t>
            </w:r>
            <w:r w:rsidRPr="00B12FE0">
              <w:rPr>
                <w:rFonts w:eastAsia="楷体" w:hAnsi="楷体" w:hint="eastAsia"/>
                <w:b/>
                <w:color w:val="000000" w:themeColor="text1"/>
                <w:sz w:val="21"/>
                <w:szCs w:val="21"/>
              </w:rPr>
              <w:t xml:space="preserve">2 </w:t>
            </w:r>
            <w:r w:rsidRPr="00B12FE0">
              <w:rPr>
                <w:rFonts w:eastAsia="楷体" w:hAnsi="楷体"/>
                <w:b/>
                <w:color w:val="000000" w:themeColor="text1"/>
                <w:sz w:val="21"/>
                <w:szCs w:val="21"/>
              </w:rPr>
              <w:t xml:space="preserve"> </w:t>
            </w:r>
            <w:r w:rsidRPr="00B12FE0">
              <w:rPr>
                <w:rFonts w:eastAsia="楷体" w:hAnsi="楷体" w:hint="eastAsia"/>
                <w:b/>
                <w:color w:val="000000" w:themeColor="text1"/>
                <w:sz w:val="21"/>
                <w:szCs w:val="21"/>
              </w:rPr>
              <w:t>不同类型</w:t>
            </w:r>
            <w:r w:rsidRPr="00B12FE0">
              <w:rPr>
                <w:rFonts w:eastAsia="楷体" w:hAnsi="楷体"/>
                <w:b/>
                <w:color w:val="000000" w:themeColor="text1"/>
                <w:sz w:val="21"/>
                <w:szCs w:val="21"/>
              </w:rPr>
              <w:t>X</w:t>
            </w:r>
            <w:r w:rsidRPr="00B12FE0">
              <w:rPr>
                <w:rFonts w:eastAsia="楷体" w:hAnsi="楷体" w:hint="eastAsia"/>
                <w:b/>
                <w:color w:val="000000" w:themeColor="text1"/>
                <w:sz w:val="21"/>
                <w:szCs w:val="21"/>
              </w:rPr>
              <w:t>射线装置设备机房的屏蔽防护铅当量厚度要求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1858"/>
              <w:gridCol w:w="1797"/>
            </w:tblGrid>
            <w:tr w:rsidR="00A67F21" w:rsidRPr="00B12FE0" w14:paraId="087D5E63" w14:textId="77777777">
              <w:trPr>
                <w:trHeight w:val="397"/>
                <w:jc w:val="center"/>
              </w:trPr>
              <w:tc>
                <w:tcPr>
                  <w:tcW w:w="2865" w:type="pct"/>
                  <w:tcBorders>
                    <w:top w:val="single" w:sz="4" w:space="0" w:color="auto"/>
                    <w:left w:val="single" w:sz="4" w:space="0" w:color="auto"/>
                    <w:bottom w:val="single" w:sz="4" w:space="0" w:color="auto"/>
                    <w:right w:val="single" w:sz="4" w:space="0" w:color="auto"/>
                  </w:tcBorders>
                  <w:vAlign w:val="center"/>
                </w:tcPr>
                <w:p w14:paraId="3D80612F" w14:textId="77777777" w:rsidR="00A67F21" w:rsidRPr="00B12FE0" w:rsidRDefault="00000000">
                  <w:pPr>
                    <w:adjustRightInd w:val="0"/>
                    <w:snapToGrid w:val="0"/>
                    <w:jc w:val="center"/>
                    <w:rPr>
                      <w:rFonts w:eastAsia="楷体"/>
                      <w:b/>
                      <w:color w:val="000000" w:themeColor="text1"/>
                      <w:sz w:val="21"/>
                      <w:szCs w:val="21"/>
                    </w:rPr>
                  </w:pPr>
                  <w:r w:rsidRPr="00B12FE0">
                    <w:rPr>
                      <w:rFonts w:eastAsia="楷体" w:hAnsi="楷体" w:hint="eastAsia"/>
                      <w:b/>
                      <w:color w:val="000000" w:themeColor="text1"/>
                      <w:sz w:val="21"/>
                      <w:szCs w:val="21"/>
                    </w:rPr>
                    <w:t>机房类型</w:t>
                  </w:r>
                </w:p>
              </w:tc>
              <w:tc>
                <w:tcPr>
                  <w:tcW w:w="1085" w:type="pct"/>
                  <w:tcBorders>
                    <w:top w:val="single" w:sz="4" w:space="0" w:color="auto"/>
                    <w:left w:val="single" w:sz="4" w:space="0" w:color="auto"/>
                    <w:bottom w:val="single" w:sz="4" w:space="0" w:color="auto"/>
                    <w:right w:val="single" w:sz="4" w:space="0" w:color="auto"/>
                  </w:tcBorders>
                  <w:vAlign w:val="center"/>
                </w:tcPr>
                <w:p w14:paraId="011D1C86" w14:textId="77777777" w:rsidR="00A67F21" w:rsidRPr="00B12FE0" w:rsidRDefault="00000000">
                  <w:pPr>
                    <w:adjustRightInd w:val="0"/>
                    <w:snapToGrid w:val="0"/>
                    <w:jc w:val="center"/>
                    <w:rPr>
                      <w:rFonts w:eastAsia="楷体"/>
                      <w:b/>
                      <w:color w:val="000000" w:themeColor="text1"/>
                      <w:sz w:val="21"/>
                      <w:szCs w:val="21"/>
                    </w:rPr>
                  </w:pPr>
                  <w:r w:rsidRPr="00B12FE0">
                    <w:rPr>
                      <w:rFonts w:eastAsia="楷体" w:hAnsi="楷体" w:hint="eastAsia"/>
                      <w:b/>
                      <w:color w:val="000000" w:themeColor="text1"/>
                      <w:sz w:val="21"/>
                      <w:szCs w:val="21"/>
                    </w:rPr>
                    <w:t>有用线束方向</w:t>
                  </w:r>
                </w:p>
                <w:p w14:paraId="54DBE8FD" w14:textId="77777777" w:rsidR="00A67F21" w:rsidRPr="00B12FE0" w:rsidRDefault="00000000">
                  <w:pPr>
                    <w:adjustRightInd w:val="0"/>
                    <w:snapToGrid w:val="0"/>
                    <w:jc w:val="center"/>
                    <w:rPr>
                      <w:rFonts w:eastAsia="楷体"/>
                      <w:b/>
                      <w:color w:val="000000" w:themeColor="text1"/>
                      <w:sz w:val="21"/>
                      <w:szCs w:val="21"/>
                    </w:rPr>
                  </w:pPr>
                  <w:r w:rsidRPr="00B12FE0">
                    <w:rPr>
                      <w:rFonts w:eastAsia="楷体" w:hAnsi="楷体" w:hint="eastAsia"/>
                      <w:b/>
                      <w:color w:val="000000" w:themeColor="text1"/>
                      <w:sz w:val="21"/>
                      <w:szCs w:val="21"/>
                    </w:rPr>
                    <w:t>铅当量</w:t>
                  </w:r>
                  <w:proofErr w:type="spellStart"/>
                  <w:r w:rsidRPr="00B12FE0">
                    <w:rPr>
                      <w:rFonts w:eastAsia="楷体"/>
                      <w:b/>
                      <w:color w:val="000000" w:themeColor="text1"/>
                      <w:sz w:val="21"/>
                      <w:szCs w:val="21"/>
                    </w:rPr>
                    <w:t>mmPb</w:t>
                  </w:r>
                  <w:proofErr w:type="spellEnd"/>
                </w:p>
              </w:tc>
              <w:tc>
                <w:tcPr>
                  <w:tcW w:w="1049" w:type="pct"/>
                  <w:tcBorders>
                    <w:top w:val="single" w:sz="4" w:space="0" w:color="auto"/>
                    <w:left w:val="single" w:sz="4" w:space="0" w:color="auto"/>
                    <w:bottom w:val="single" w:sz="4" w:space="0" w:color="auto"/>
                    <w:right w:val="single" w:sz="4" w:space="0" w:color="auto"/>
                  </w:tcBorders>
                  <w:vAlign w:val="center"/>
                </w:tcPr>
                <w:p w14:paraId="1386277A" w14:textId="77777777" w:rsidR="00A67F21" w:rsidRPr="00B12FE0" w:rsidRDefault="00000000">
                  <w:pPr>
                    <w:adjustRightInd w:val="0"/>
                    <w:snapToGrid w:val="0"/>
                    <w:jc w:val="center"/>
                    <w:rPr>
                      <w:rFonts w:eastAsia="楷体"/>
                      <w:b/>
                      <w:color w:val="000000" w:themeColor="text1"/>
                      <w:sz w:val="21"/>
                      <w:szCs w:val="21"/>
                    </w:rPr>
                  </w:pPr>
                  <w:r w:rsidRPr="00B12FE0">
                    <w:rPr>
                      <w:rFonts w:eastAsia="楷体" w:hAnsi="楷体" w:hint="eastAsia"/>
                      <w:b/>
                      <w:color w:val="000000" w:themeColor="text1"/>
                      <w:sz w:val="21"/>
                      <w:szCs w:val="21"/>
                    </w:rPr>
                    <w:t>非有用线束方向</w:t>
                  </w:r>
                </w:p>
                <w:p w14:paraId="1CA5320A" w14:textId="77777777" w:rsidR="00A67F21" w:rsidRPr="00B12FE0" w:rsidRDefault="00000000">
                  <w:pPr>
                    <w:adjustRightInd w:val="0"/>
                    <w:snapToGrid w:val="0"/>
                    <w:jc w:val="center"/>
                    <w:rPr>
                      <w:rFonts w:eastAsia="楷体"/>
                      <w:b/>
                      <w:color w:val="000000" w:themeColor="text1"/>
                      <w:sz w:val="21"/>
                      <w:szCs w:val="21"/>
                    </w:rPr>
                  </w:pPr>
                  <w:r w:rsidRPr="00B12FE0">
                    <w:rPr>
                      <w:rFonts w:eastAsia="楷体" w:hAnsi="楷体" w:hint="eastAsia"/>
                      <w:b/>
                      <w:color w:val="000000" w:themeColor="text1"/>
                      <w:sz w:val="21"/>
                      <w:szCs w:val="21"/>
                    </w:rPr>
                    <w:t>铅当量</w:t>
                  </w:r>
                  <w:proofErr w:type="spellStart"/>
                  <w:r w:rsidRPr="00B12FE0">
                    <w:rPr>
                      <w:rFonts w:eastAsia="楷体"/>
                      <w:b/>
                      <w:color w:val="000000" w:themeColor="text1"/>
                      <w:sz w:val="21"/>
                      <w:szCs w:val="21"/>
                    </w:rPr>
                    <w:t>mmPb</w:t>
                  </w:r>
                  <w:proofErr w:type="spellEnd"/>
                </w:p>
              </w:tc>
            </w:tr>
            <w:tr w:rsidR="00A67F21" w:rsidRPr="00B12FE0" w14:paraId="4151E3D5" w14:textId="77777777">
              <w:trPr>
                <w:trHeight w:val="318"/>
                <w:jc w:val="center"/>
              </w:trPr>
              <w:tc>
                <w:tcPr>
                  <w:tcW w:w="2865" w:type="pct"/>
                  <w:tcBorders>
                    <w:top w:val="single" w:sz="4" w:space="0" w:color="auto"/>
                    <w:left w:val="single" w:sz="4" w:space="0" w:color="auto"/>
                    <w:bottom w:val="single" w:sz="4" w:space="0" w:color="auto"/>
                    <w:right w:val="single" w:sz="4" w:space="0" w:color="auto"/>
                  </w:tcBorders>
                  <w:vAlign w:val="center"/>
                </w:tcPr>
                <w:p w14:paraId="4C9AAAA5"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hAnsi="楷体" w:hint="eastAsia"/>
                      <w:color w:val="000000" w:themeColor="text1"/>
                      <w:sz w:val="21"/>
                      <w:szCs w:val="21"/>
                    </w:rPr>
                    <w:t>标称</w:t>
                  </w:r>
                  <w:r w:rsidRPr="00B12FE0">
                    <w:rPr>
                      <w:rFonts w:eastAsia="楷体" w:hAnsi="楷体"/>
                      <w:color w:val="000000" w:themeColor="text1"/>
                      <w:sz w:val="21"/>
                      <w:szCs w:val="21"/>
                    </w:rPr>
                    <w:t>125</w:t>
                  </w:r>
                  <w:r w:rsidRPr="00B12FE0">
                    <w:rPr>
                      <w:rFonts w:eastAsia="楷体" w:hAnsi="楷体" w:hint="eastAsia"/>
                      <w:color w:val="000000" w:themeColor="text1"/>
                      <w:sz w:val="21"/>
                      <w:szCs w:val="21"/>
                    </w:rPr>
                    <w:t>kV</w:t>
                  </w:r>
                  <w:r w:rsidRPr="00B12FE0">
                    <w:rPr>
                      <w:rFonts w:eastAsia="楷体" w:hAnsi="楷体" w:hint="eastAsia"/>
                      <w:color w:val="000000" w:themeColor="text1"/>
                      <w:sz w:val="21"/>
                      <w:szCs w:val="21"/>
                    </w:rPr>
                    <w:t>及以下的摄影机房</w:t>
                  </w:r>
                </w:p>
              </w:tc>
              <w:tc>
                <w:tcPr>
                  <w:tcW w:w="1085" w:type="pct"/>
                  <w:tcBorders>
                    <w:top w:val="single" w:sz="4" w:space="0" w:color="auto"/>
                    <w:left w:val="single" w:sz="4" w:space="0" w:color="auto"/>
                    <w:bottom w:val="single" w:sz="4" w:space="0" w:color="auto"/>
                    <w:right w:val="single" w:sz="4" w:space="0" w:color="auto"/>
                  </w:tcBorders>
                  <w:vAlign w:val="center"/>
                </w:tcPr>
                <w:p w14:paraId="64915BFF"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hint="eastAsia"/>
                      <w:color w:val="000000" w:themeColor="text1"/>
                      <w:sz w:val="21"/>
                      <w:szCs w:val="21"/>
                    </w:rPr>
                    <w:t>2.0</w:t>
                  </w:r>
                </w:p>
              </w:tc>
              <w:tc>
                <w:tcPr>
                  <w:tcW w:w="1049" w:type="pct"/>
                  <w:tcBorders>
                    <w:top w:val="single" w:sz="4" w:space="0" w:color="auto"/>
                    <w:left w:val="single" w:sz="4" w:space="0" w:color="auto"/>
                    <w:bottom w:val="single" w:sz="4" w:space="0" w:color="auto"/>
                    <w:right w:val="single" w:sz="4" w:space="0" w:color="auto"/>
                  </w:tcBorders>
                  <w:vAlign w:val="center"/>
                </w:tcPr>
                <w:p w14:paraId="37834098"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hint="eastAsia"/>
                      <w:color w:val="000000" w:themeColor="text1"/>
                      <w:sz w:val="21"/>
                      <w:szCs w:val="21"/>
                    </w:rPr>
                    <w:t>1.0</w:t>
                  </w:r>
                </w:p>
              </w:tc>
            </w:tr>
            <w:tr w:rsidR="00A67F21" w:rsidRPr="00B12FE0" w14:paraId="6C5EF556" w14:textId="77777777">
              <w:trPr>
                <w:trHeight w:val="397"/>
                <w:jc w:val="center"/>
              </w:trPr>
              <w:tc>
                <w:tcPr>
                  <w:tcW w:w="2865" w:type="pct"/>
                  <w:tcBorders>
                    <w:top w:val="single" w:sz="4" w:space="0" w:color="auto"/>
                    <w:left w:val="single" w:sz="4" w:space="0" w:color="auto"/>
                    <w:bottom w:val="single" w:sz="4" w:space="0" w:color="auto"/>
                    <w:right w:val="single" w:sz="4" w:space="0" w:color="auto"/>
                  </w:tcBorders>
                  <w:vAlign w:val="center"/>
                </w:tcPr>
                <w:p w14:paraId="7D9E2955"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hAnsi="楷体" w:hint="eastAsia"/>
                      <w:color w:val="000000" w:themeColor="text1"/>
                      <w:sz w:val="21"/>
                      <w:szCs w:val="21"/>
                    </w:rPr>
                    <w:t>C</w:t>
                  </w:r>
                  <w:proofErr w:type="gramStart"/>
                  <w:r w:rsidRPr="00B12FE0">
                    <w:rPr>
                      <w:rFonts w:eastAsia="楷体" w:hAnsi="楷体" w:hint="eastAsia"/>
                      <w:color w:val="000000" w:themeColor="text1"/>
                      <w:sz w:val="21"/>
                      <w:szCs w:val="21"/>
                    </w:rPr>
                    <w:t>形臂</w:t>
                  </w:r>
                  <w:proofErr w:type="gramEnd"/>
                  <w:r w:rsidRPr="00B12FE0">
                    <w:rPr>
                      <w:rFonts w:eastAsia="楷体" w:hAnsi="楷体" w:hint="eastAsia"/>
                      <w:color w:val="000000" w:themeColor="text1"/>
                      <w:sz w:val="21"/>
                      <w:szCs w:val="21"/>
                    </w:rPr>
                    <w:t>X</w:t>
                  </w:r>
                  <w:r w:rsidRPr="00B12FE0">
                    <w:rPr>
                      <w:rFonts w:eastAsia="楷体" w:hAnsi="楷体" w:hint="eastAsia"/>
                      <w:color w:val="000000" w:themeColor="text1"/>
                      <w:sz w:val="21"/>
                      <w:szCs w:val="21"/>
                    </w:rPr>
                    <w:t>射线设备机房</w:t>
                  </w:r>
                </w:p>
              </w:tc>
              <w:tc>
                <w:tcPr>
                  <w:tcW w:w="1085" w:type="pct"/>
                  <w:tcBorders>
                    <w:top w:val="single" w:sz="4" w:space="0" w:color="auto"/>
                    <w:left w:val="single" w:sz="4" w:space="0" w:color="auto"/>
                    <w:bottom w:val="single" w:sz="4" w:space="0" w:color="auto"/>
                    <w:right w:val="single" w:sz="4" w:space="0" w:color="auto"/>
                  </w:tcBorders>
                  <w:vAlign w:val="center"/>
                </w:tcPr>
                <w:p w14:paraId="37A4A29B"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int="eastAsia"/>
                      <w:color w:val="000000" w:themeColor="text1"/>
                      <w:sz w:val="21"/>
                      <w:szCs w:val="21"/>
                    </w:rPr>
                    <w:t>2.0</w:t>
                  </w:r>
                </w:p>
              </w:tc>
              <w:tc>
                <w:tcPr>
                  <w:tcW w:w="1049" w:type="pct"/>
                  <w:tcBorders>
                    <w:top w:val="single" w:sz="4" w:space="0" w:color="auto"/>
                    <w:left w:val="single" w:sz="4" w:space="0" w:color="auto"/>
                    <w:bottom w:val="single" w:sz="4" w:space="0" w:color="auto"/>
                    <w:right w:val="single" w:sz="4" w:space="0" w:color="auto"/>
                  </w:tcBorders>
                  <w:vAlign w:val="center"/>
                </w:tcPr>
                <w:p w14:paraId="41FEF08C"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int="eastAsia"/>
                      <w:color w:val="000000" w:themeColor="text1"/>
                      <w:sz w:val="21"/>
                      <w:szCs w:val="21"/>
                    </w:rPr>
                    <w:t>2.0</w:t>
                  </w:r>
                </w:p>
              </w:tc>
            </w:tr>
            <w:tr w:rsidR="00A67F21" w:rsidRPr="00B12FE0" w14:paraId="2C251D15" w14:textId="77777777">
              <w:trPr>
                <w:trHeight w:val="397"/>
                <w:jc w:val="center"/>
              </w:trPr>
              <w:tc>
                <w:tcPr>
                  <w:tcW w:w="2865" w:type="pct"/>
                  <w:vAlign w:val="center"/>
                </w:tcPr>
                <w:p w14:paraId="11F6D337" w14:textId="77777777" w:rsidR="00A67F21" w:rsidRPr="00B12FE0" w:rsidRDefault="00000000">
                  <w:pPr>
                    <w:adjustRightInd w:val="0"/>
                    <w:snapToGrid w:val="0"/>
                    <w:jc w:val="center"/>
                    <w:rPr>
                      <w:rFonts w:ascii="Calibri" w:eastAsia="楷体" w:hAnsi="Calibri"/>
                      <w:snapToGrid w:val="0"/>
                      <w:color w:val="000000" w:themeColor="text1"/>
                      <w:sz w:val="21"/>
                      <w:szCs w:val="21"/>
                    </w:rPr>
                  </w:pPr>
                  <w:r w:rsidRPr="00B12FE0">
                    <w:rPr>
                      <w:rFonts w:eastAsia="楷体"/>
                      <w:snapToGrid w:val="0"/>
                      <w:color w:val="000000" w:themeColor="text1"/>
                      <w:sz w:val="21"/>
                      <w:szCs w:val="21"/>
                    </w:rPr>
                    <w:t>CT</w:t>
                  </w:r>
                  <w:r w:rsidRPr="00B12FE0">
                    <w:rPr>
                      <w:rFonts w:eastAsia="楷体" w:hAnsi="楷体"/>
                      <w:snapToGrid w:val="0"/>
                      <w:color w:val="000000" w:themeColor="text1"/>
                      <w:sz w:val="21"/>
                      <w:szCs w:val="21"/>
                    </w:rPr>
                    <w:t>机房（不含头颅移动</w:t>
                  </w:r>
                  <w:r w:rsidRPr="00B12FE0">
                    <w:rPr>
                      <w:rFonts w:eastAsia="楷体"/>
                      <w:snapToGrid w:val="0"/>
                      <w:color w:val="000000" w:themeColor="text1"/>
                      <w:sz w:val="21"/>
                      <w:szCs w:val="21"/>
                    </w:rPr>
                    <w:t>CT</w:t>
                  </w:r>
                  <w:r w:rsidRPr="00B12FE0">
                    <w:rPr>
                      <w:rFonts w:eastAsia="楷体" w:hAnsi="楷体"/>
                      <w:snapToGrid w:val="0"/>
                      <w:color w:val="000000" w:themeColor="text1"/>
                      <w:sz w:val="21"/>
                      <w:szCs w:val="21"/>
                    </w:rPr>
                    <w:t>）</w:t>
                  </w:r>
                </w:p>
                <w:p w14:paraId="451198E8"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snapToGrid w:val="0"/>
                      <w:color w:val="000000" w:themeColor="text1"/>
                      <w:sz w:val="21"/>
                      <w:szCs w:val="21"/>
                    </w:rPr>
                    <w:t>CT</w:t>
                  </w:r>
                  <w:r w:rsidRPr="00B12FE0">
                    <w:rPr>
                      <w:rFonts w:eastAsia="楷体" w:hAnsi="楷体"/>
                      <w:snapToGrid w:val="0"/>
                      <w:color w:val="000000" w:themeColor="text1"/>
                      <w:sz w:val="21"/>
                      <w:szCs w:val="21"/>
                    </w:rPr>
                    <w:t>模拟定位机房</w:t>
                  </w:r>
                </w:p>
              </w:tc>
              <w:tc>
                <w:tcPr>
                  <w:tcW w:w="2134" w:type="pct"/>
                  <w:gridSpan w:val="2"/>
                  <w:vAlign w:val="center"/>
                </w:tcPr>
                <w:p w14:paraId="4F23D166"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snapToGrid w:val="0"/>
                      <w:color w:val="000000" w:themeColor="text1"/>
                      <w:sz w:val="21"/>
                      <w:szCs w:val="21"/>
                    </w:rPr>
                    <w:t>2.5</w:t>
                  </w:r>
                </w:p>
              </w:tc>
            </w:tr>
          </w:tbl>
          <w:p w14:paraId="26D97F1B" w14:textId="77777777" w:rsidR="00A67F21" w:rsidRPr="00B12FE0" w:rsidRDefault="00000000">
            <w:pPr>
              <w:adjustRightInd w:val="0"/>
              <w:snapToGrid w:val="0"/>
              <w:spacing w:line="360" w:lineRule="auto"/>
              <w:ind w:firstLineChars="200" w:firstLine="480"/>
              <w:rPr>
                <w:bCs/>
                <w:color w:val="000000" w:themeColor="text1"/>
              </w:rPr>
            </w:pPr>
            <w:r w:rsidRPr="00B12FE0">
              <w:rPr>
                <w:rFonts w:ascii="宋体" w:hAnsi="宋体" w:hint="eastAsia"/>
                <w:color w:val="000000" w:themeColor="text1"/>
                <w:szCs w:val="24"/>
              </w:rPr>
              <w:t>本项目</w:t>
            </w:r>
            <w:r w:rsidRPr="00B12FE0">
              <w:rPr>
                <w:rFonts w:hint="eastAsia"/>
                <w:bCs/>
                <w:color w:val="000000" w:themeColor="text1"/>
              </w:rPr>
              <w:t>PET/CT</w:t>
            </w:r>
            <w:r w:rsidRPr="00B12FE0">
              <w:rPr>
                <w:rFonts w:hint="eastAsia"/>
                <w:bCs/>
                <w:color w:val="000000" w:themeColor="text1"/>
              </w:rPr>
              <w:t>和</w:t>
            </w:r>
            <w:r w:rsidRPr="00B12FE0">
              <w:rPr>
                <w:rFonts w:hint="eastAsia"/>
                <w:bCs/>
                <w:color w:val="000000" w:themeColor="text1"/>
              </w:rPr>
              <w:t>SPECT/CT</w:t>
            </w:r>
            <w:r w:rsidRPr="00B12FE0">
              <w:rPr>
                <w:rFonts w:hint="eastAsia"/>
                <w:bCs/>
                <w:color w:val="000000" w:themeColor="text1"/>
              </w:rPr>
              <w:t>配套用</w:t>
            </w:r>
            <w:r w:rsidRPr="00B12FE0">
              <w:rPr>
                <w:rFonts w:hint="eastAsia"/>
                <w:bCs/>
                <w:color w:val="000000" w:themeColor="text1"/>
              </w:rPr>
              <w:t>CT</w:t>
            </w:r>
            <w:r w:rsidRPr="00B12FE0">
              <w:rPr>
                <w:rFonts w:hint="eastAsia"/>
                <w:bCs/>
                <w:color w:val="000000" w:themeColor="text1"/>
              </w:rPr>
              <w:t>机房防护设施性能按照《放射诊断放射防护要求》（</w:t>
            </w:r>
            <w:r w:rsidRPr="00B12FE0">
              <w:rPr>
                <w:rFonts w:hint="eastAsia"/>
                <w:bCs/>
                <w:color w:val="000000" w:themeColor="text1"/>
              </w:rPr>
              <w:t>GBZ</w:t>
            </w:r>
            <w:r w:rsidRPr="00B12FE0">
              <w:rPr>
                <w:bCs/>
                <w:color w:val="000000" w:themeColor="text1"/>
              </w:rPr>
              <w:t>1</w:t>
            </w:r>
            <w:r w:rsidRPr="00B12FE0">
              <w:rPr>
                <w:rFonts w:hint="eastAsia"/>
                <w:bCs/>
                <w:color w:val="000000" w:themeColor="text1"/>
              </w:rPr>
              <w:t>30-2020</w:t>
            </w:r>
            <w:r w:rsidRPr="00B12FE0">
              <w:rPr>
                <w:rFonts w:hint="eastAsia"/>
                <w:bCs/>
                <w:color w:val="000000" w:themeColor="text1"/>
              </w:rPr>
              <w:t>）中对“</w:t>
            </w:r>
            <w:r w:rsidRPr="00B12FE0">
              <w:rPr>
                <w:rFonts w:hint="eastAsia"/>
                <w:bCs/>
                <w:color w:val="000000" w:themeColor="text1"/>
              </w:rPr>
              <w:t>CT</w:t>
            </w:r>
            <w:r w:rsidRPr="00B12FE0">
              <w:rPr>
                <w:rFonts w:hint="eastAsia"/>
                <w:bCs/>
                <w:color w:val="000000" w:themeColor="text1"/>
              </w:rPr>
              <w:t>机房（不含头颅移动</w:t>
            </w:r>
            <w:r w:rsidRPr="00B12FE0">
              <w:rPr>
                <w:rFonts w:hint="eastAsia"/>
                <w:bCs/>
                <w:color w:val="000000" w:themeColor="text1"/>
              </w:rPr>
              <w:t>CT</w:t>
            </w:r>
            <w:r w:rsidRPr="00B12FE0">
              <w:rPr>
                <w:rFonts w:hint="eastAsia"/>
                <w:bCs/>
                <w:color w:val="000000" w:themeColor="text1"/>
              </w:rPr>
              <w:t>）、</w:t>
            </w:r>
            <w:r w:rsidRPr="00B12FE0">
              <w:rPr>
                <w:rFonts w:hint="eastAsia"/>
                <w:bCs/>
                <w:color w:val="000000" w:themeColor="text1"/>
              </w:rPr>
              <w:t>CT</w:t>
            </w:r>
            <w:r w:rsidRPr="00B12FE0">
              <w:rPr>
                <w:rFonts w:hint="eastAsia"/>
                <w:bCs/>
                <w:color w:val="000000" w:themeColor="text1"/>
              </w:rPr>
              <w:t>模拟定位机房”屏蔽防护铅当量的要求执行。</w:t>
            </w:r>
          </w:p>
          <w:p w14:paraId="00EDE56F" w14:textId="77777777" w:rsidR="00A67F21" w:rsidRPr="00B12FE0" w:rsidRDefault="00000000">
            <w:pPr>
              <w:adjustRightInd w:val="0"/>
              <w:snapToGrid w:val="0"/>
              <w:spacing w:line="360" w:lineRule="auto"/>
              <w:rPr>
                <w:b/>
                <w:bCs/>
                <w:color w:val="000000" w:themeColor="text1"/>
                <w:szCs w:val="24"/>
              </w:rPr>
            </w:pPr>
            <w:r w:rsidRPr="00B12FE0">
              <w:rPr>
                <w:rFonts w:hint="eastAsia"/>
                <w:b/>
                <w:bCs/>
                <w:color w:val="000000" w:themeColor="text1"/>
                <w:szCs w:val="24"/>
              </w:rPr>
              <w:t>7.3.5</w:t>
            </w:r>
            <w:r w:rsidRPr="00B12FE0">
              <w:rPr>
                <w:b/>
                <w:bCs/>
                <w:color w:val="000000" w:themeColor="text1"/>
                <w:szCs w:val="24"/>
              </w:rPr>
              <w:t>.4</w:t>
            </w:r>
            <w:r w:rsidRPr="00B12FE0">
              <w:rPr>
                <w:rFonts w:hint="eastAsia"/>
                <w:b/>
                <w:bCs/>
                <w:color w:val="000000" w:themeColor="text1"/>
                <w:szCs w:val="24"/>
              </w:rPr>
              <w:t xml:space="preserve"> X</w:t>
            </w:r>
            <w:r w:rsidRPr="00B12FE0">
              <w:rPr>
                <w:rFonts w:hint="eastAsia"/>
                <w:b/>
                <w:bCs/>
                <w:color w:val="000000" w:themeColor="text1"/>
                <w:szCs w:val="24"/>
              </w:rPr>
              <w:t>射线设备工作场所防护</w:t>
            </w:r>
          </w:p>
          <w:p w14:paraId="418796C3"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hint="eastAsia"/>
                <w:color w:val="000000" w:themeColor="text1"/>
                <w:szCs w:val="24"/>
              </w:rPr>
              <w:t>《放射诊断放射防护要求》（</w:t>
            </w:r>
            <w:r w:rsidRPr="00B12FE0">
              <w:rPr>
                <w:color w:val="000000" w:themeColor="text1"/>
                <w:szCs w:val="24"/>
              </w:rPr>
              <w:t>GBZ130-2020</w:t>
            </w:r>
            <w:r w:rsidRPr="00B12FE0">
              <w:rPr>
                <w:rFonts w:hint="eastAsia"/>
                <w:color w:val="000000" w:themeColor="text1"/>
                <w:szCs w:val="24"/>
              </w:rPr>
              <w:t>）中对</w:t>
            </w:r>
            <w:r w:rsidRPr="00B12FE0">
              <w:rPr>
                <w:rFonts w:hint="eastAsia"/>
                <w:color w:val="000000" w:themeColor="text1"/>
                <w:szCs w:val="24"/>
              </w:rPr>
              <w:t>X</w:t>
            </w:r>
            <w:r w:rsidRPr="00B12FE0">
              <w:rPr>
                <w:rFonts w:hint="eastAsia"/>
                <w:color w:val="000000" w:themeColor="text1"/>
                <w:szCs w:val="24"/>
              </w:rPr>
              <w:t>射线设备工作场所防护做了如下规定：</w:t>
            </w:r>
          </w:p>
          <w:p w14:paraId="09AF7C9A"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6.4.1</w:t>
            </w:r>
            <w:r w:rsidRPr="00B12FE0">
              <w:rPr>
                <w:rFonts w:eastAsia="楷体" w:hint="eastAsia"/>
                <w:bCs/>
                <w:color w:val="000000" w:themeColor="text1"/>
                <w:szCs w:val="24"/>
              </w:rPr>
              <w:t>机房应设有观察窗或摄像监控装置，其设置的位置应便于观察到受检</w:t>
            </w:r>
            <w:proofErr w:type="gramStart"/>
            <w:r w:rsidRPr="00B12FE0">
              <w:rPr>
                <w:rFonts w:eastAsia="楷体" w:hint="eastAsia"/>
                <w:bCs/>
                <w:color w:val="000000" w:themeColor="text1"/>
                <w:szCs w:val="24"/>
              </w:rPr>
              <w:t>者状态</w:t>
            </w:r>
            <w:proofErr w:type="gramEnd"/>
            <w:r w:rsidRPr="00B12FE0">
              <w:rPr>
                <w:rFonts w:eastAsia="楷体" w:hint="eastAsia"/>
                <w:bCs/>
                <w:color w:val="000000" w:themeColor="text1"/>
                <w:szCs w:val="24"/>
              </w:rPr>
              <w:t>及防护门开闭情况。</w:t>
            </w:r>
          </w:p>
          <w:p w14:paraId="2C4BE302"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 xml:space="preserve">6.4.2 </w:t>
            </w:r>
            <w:r w:rsidRPr="00B12FE0">
              <w:rPr>
                <w:rFonts w:eastAsia="楷体" w:hint="eastAsia"/>
                <w:bCs/>
                <w:color w:val="000000" w:themeColor="text1"/>
                <w:szCs w:val="24"/>
              </w:rPr>
              <w:t>机房内不应堆放与该设备诊断工作无关的杂物。</w:t>
            </w:r>
          </w:p>
          <w:p w14:paraId="76508D01"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 xml:space="preserve">6.4.3 </w:t>
            </w:r>
            <w:r w:rsidRPr="00B12FE0">
              <w:rPr>
                <w:rFonts w:eastAsia="楷体" w:hint="eastAsia"/>
                <w:bCs/>
                <w:color w:val="000000" w:themeColor="text1"/>
                <w:szCs w:val="24"/>
              </w:rPr>
              <w:t>机房应设置动力通风装置，并保持良好的通风。</w:t>
            </w:r>
          </w:p>
          <w:p w14:paraId="0B3E51EF"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6.4.4</w:t>
            </w:r>
            <w:r w:rsidRPr="00B12FE0">
              <w:rPr>
                <w:rFonts w:eastAsia="楷体" w:hint="eastAsia"/>
                <w:bCs/>
                <w:color w:val="000000" w:themeColor="text1"/>
                <w:szCs w:val="24"/>
              </w:rPr>
              <w:t>机房门外应有电离辐射警告标志；机房门上方应有醒目的工作状态指示灯，灯箱上应设置如“射线有害、灯亮勿入”的可视警示语句；候诊区应设置放射防护注意事项告知栏。</w:t>
            </w:r>
          </w:p>
          <w:p w14:paraId="70D9E6F5"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6.4.5</w:t>
            </w:r>
            <w:r w:rsidRPr="00B12FE0">
              <w:rPr>
                <w:rFonts w:eastAsia="楷体" w:hint="eastAsia"/>
                <w:bCs/>
                <w:color w:val="000000" w:themeColor="text1"/>
                <w:szCs w:val="24"/>
              </w:rPr>
              <w:t>平开机房门应有自动闭门装置，推拉式机房门应设有曝光时关闭机房门的管理措施，工作状态指示灯能与机房门有效关联。</w:t>
            </w:r>
          </w:p>
          <w:p w14:paraId="727E3A7D"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hint="eastAsia"/>
                <w:bCs/>
                <w:color w:val="000000" w:themeColor="text1"/>
                <w:szCs w:val="24"/>
              </w:rPr>
              <w:t>6.4.6</w:t>
            </w:r>
            <w:r w:rsidRPr="00B12FE0">
              <w:rPr>
                <w:rFonts w:eastAsia="楷体" w:hint="eastAsia"/>
                <w:bCs/>
                <w:color w:val="000000" w:themeColor="text1"/>
                <w:szCs w:val="24"/>
              </w:rPr>
              <w:t>电动推拉门</w:t>
            </w:r>
            <w:proofErr w:type="gramStart"/>
            <w:r w:rsidRPr="00B12FE0">
              <w:rPr>
                <w:rFonts w:eastAsia="楷体" w:hint="eastAsia"/>
                <w:bCs/>
                <w:color w:val="000000" w:themeColor="text1"/>
                <w:szCs w:val="24"/>
              </w:rPr>
              <w:t>宜设置</w:t>
            </w:r>
            <w:proofErr w:type="gramEnd"/>
            <w:r w:rsidRPr="00B12FE0">
              <w:rPr>
                <w:rFonts w:eastAsia="楷体" w:hint="eastAsia"/>
                <w:bCs/>
                <w:color w:val="000000" w:themeColor="text1"/>
                <w:szCs w:val="24"/>
              </w:rPr>
              <w:t>防夹装置。</w:t>
            </w:r>
          </w:p>
          <w:p w14:paraId="6F96C66B"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b/>
                <w:color w:val="000000" w:themeColor="text1"/>
                <w:szCs w:val="24"/>
              </w:rPr>
              <w:t>6.5</w:t>
            </w:r>
            <w:r w:rsidRPr="00B12FE0">
              <w:rPr>
                <w:rFonts w:eastAsia="楷体" w:hint="eastAsia"/>
                <w:b/>
                <w:color w:val="000000" w:themeColor="text1"/>
                <w:szCs w:val="24"/>
              </w:rPr>
              <w:t xml:space="preserve"> </w:t>
            </w:r>
            <w:r w:rsidRPr="00B12FE0">
              <w:rPr>
                <w:rFonts w:eastAsia="楷体"/>
                <w:bCs/>
                <w:color w:val="000000" w:themeColor="text1"/>
                <w:szCs w:val="24"/>
              </w:rPr>
              <w:t>X</w:t>
            </w:r>
            <w:r w:rsidRPr="00B12FE0">
              <w:rPr>
                <w:rFonts w:eastAsia="楷体" w:hint="eastAsia"/>
                <w:bCs/>
                <w:color w:val="000000" w:themeColor="text1"/>
                <w:szCs w:val="24"/>
              </w:rPr>
              <w:t>射线设备工作场所防护用品及防护设施配置要求</w:t>
            </w:r>
          </w:p>
          <w:p w14:paraId="0646DE33"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bCs/>
                <w:color w:val="000000" w:themeColor="text1"/>
                <w:szCs w:val="24"/>
              </w:rPr>
              <w:t>6.5.1</w:t>
            </w:r>
            <w:r w:rsidRPr="00B12FE0">
              <w:rPr>
                <w:rFonts w:eastAsia="楷体" w:hint="eastAsia"/>
                <w:bCs/>
                <w:color w:val="000000" w:themeColor="text1"/>
                <w:szCs w:val="24"/>
              </w:rPr>
              <w:t>每台</w:t>
            </w:r>
            <w:r w:rsidRPr="00B12FE0">
              <w:rPr>
                <w:rFonts w:eastAsia="楷体"/>
                <w:bCs/>
                <w:color w:val="000000" w:themeColor="text1"/>
                <w:szCs w:val="24"/>
              </w:rPr>
              <w:t xml:space="preserve">X </w:t>
            </w:r>
            <w:r w:rsidRPr="00B12FE0">
              <w:rPr>
                <w:rFonts w:eastAsia="楷体" w:hint="eastAsia"/>
                <w:bCs/>
                <w:color w:val="000000" w:themeColor="text1"/>
                <w:szCs w:val="24"/>
              </w:rPr>
              <w:t>射线设备根据工作内容，现场应配备不少于表</w:t>
            </w:r>
            <w:r w:rsidRPr="00B12FE0">
              <w:rPr>
                <w:rFonts w:eastAsia="楷体" w:hint="eastAsia"/>
                <w:bCs/>
                <w:color w:val="000000" w:themeColor="text1"/>
                <w:szCs w:val="24"/>
              </w:rPr>
              <w:t>7.3.5-3</w:t>
            </w:r>
            <w:r w:rsidRPr="00B12FE0">
              <w:rPr>
                <w:rFonts w:eastAsia="楷体" w:hint="eastAsia"/>
                <w:bCs/>
                <w:color w:val="000000" w:themeColor="text1"/>
                <w:szCs w:val="24"/>
              </w:rPr>
              <w:t>基本种类要</w:t>
            </w:r>
            <w:r w:rsidRPr="00B12FE0">
              <w:rPr>
                <w:rFonts w:eastAsia="楷体" w:hint="eastAsia"/>
                <w:bCs/>
                <w:color w:val="000000" w:themeColor="text1"/>
                <w:szCs w:val="24"/>
              </w:rPr>
              <w:lastRenderedPageBreak/>
              <w:t>求的工作人员、受检者防护用品与辅助防护设施，其数量应满足开展工作需要，</w:t>
            </w:r>
            <w:proofErr w:type="gramStart"/>
            <w:r w:rsidRPr="00B12FE0">
              <w:rPr>
                <w:rFonts w:eastAsia="楷体" w:hint="eastAsia"/>
                <w:bCs/>
                <w:color w:val="000000" w:themeColor="text1"/>
                <w:szCs w:val="24"/>
              </w:rPr>
              <w:t>对陪检者</w:t>
            </w:r>
            <w:proofErr w:type="gramEnd"/>
            <w:r w:rsidRPr="00B12FE0">
              <w:rPr>
                <w:rFonts w:eastAsia="楷体" w:hint="eastAsia"/>
                <w:bCs/>
                <w:color w:val="000000" w:themeColor="text1"/>
                <w:szCs w:val="24"/>
              </w:rPr>
              <w:t>应至少配备铅橡胶防护衣。</w:t>
            </w:r>
          </w:p>
          <w:p w14:paraId="67C71095" w14:textId="77777777" w:rsidR="00A67F21" w:rsidRPr="00B12FE0" w:rsidRDefault="00000000">
            <w:pPr>
              <w:adjustRightInd w:val="0"/>
              <w:snapToGrid w:val="0"/>
              <w:spacing w:line="360" w:lineRule="auto"/>
              <w:ind w:firstLine="482"/>
              <w:rPr>
                <w:rFonts w:eastAsia="楷体"/>
                <w:bCs/>
                <w:color w:val="000000" w:themeColor="text1"/>
                <w:szCs w:val="24"/>
              </w:rPr>
            </w:pPr>
            <w:r w:rsidRPr="00B12FE0">
              <w:rPr>
                <w:rFonts w:eastAsia="楷体"/>
                <w:bCs/>
                <w:color w:val="000000" w:themeColor="text1"/>
                <w:szCs w:val="24"/>
              </w:rPr>
              <w:t>6.5.3</w:t>
            </w:r>
            <w:r w:rsidRPr="00B12FE0">
              <w:rPr>
                <w:rFonts w:eastAsia="楷体" w:hint="eastAsia"/>
                <w:bCs/>
                <w:color w:val="000000" w:themeColor="text1"/>
                <w:szCs w:val="24"/>
              </w:rPr>
              <w:t>除介入防护手套外，防护用品和辅助防护设施的铅当量应不小于</w:t>
            </w:r>
            <w:r w:rsidRPr="00B12FE0">
              <w:rPr>
                <w:rFonts w:eastAsia="楷体"/>
                <w:bCs/>
                <w:color w:val="000000" w:themeColor="text1"/>
                <w:szCs w:val="24"/>
              </w:rPr>
              <w:t>0.25mmPb</w:t>
            </w:r>
            <w:r w:rsidRPr="00B12FE0">
              <w:rPr>
                <w:rFonts w:eastAsia="楷体" w:hint="eastAsia"/>
                <w:bCs/>
                <w:color w:val="000000" w:themeColor="text1"/>
                <w:szCs w:val="24"/>
              </w:rPr>
              <w:t>；介入防护手套铅当量应不小于</w:t>
            </w:r>
            <w:r w:rsidRPr="00B12FE0">
              <w:rPr>
                <w:rFonts w:eastAsia="楷体"/>
                <w:bCs/>
                <w:color w:val="000000" w:themeColor="text1"/>
                <w:szCs w:val="24"/>
              </w:rPr>
              <w:t>0.025mmPb</w:t>
            </w:r>
            <w:r w:rsidRPr="00B12FE0">
              <w:rPr>
                <w:rFonts w:eastAsia="楷体" w:hint="eastAsia"/>
                <w:bCs/>
                <w:color w:val="000000" w:themeColor="text1"/>
                <w:szCs w:val="24"/>
              </w:rPr>
              <w:t>；甲状腺、性腺防护用品铅当量应不小于</w:t>
            </w:r>
            <w:r w:rsidRPr="00B12FE0">
              <w:rPr>
                <w:rFonts w:eastAsia="楷体"/>
                <w:bCs/>
                <w:color w:val="000000" w:themeColor="text1"/>
                <w:szCs w:val="24"/>
              </w:rPr>
              <w:t>0.5mmPb</w:t>
            </w:r>
            <w:r w:rsidRPr="00B12FE0">
              <w:rPr>
                <w:rFonts w:eastAsia="楷体" w:hint="eastAsia"/>
                <w:bCs/>
                <w:color w:val="000000" w:themeColor="text1"/>
                <w:szCs w:val="24"/>
              </w:rPr>
              <w:t>；移动铅防护屏风铅当量应不小于</w:t>
            </w:r>
            <w:r w:rsidRPr="00B12FE0">
              <w:rPr>
                <w:rFonts w:eastAsia="楷体"/>
                <w:bCs/>
                <w:color w:val="000000" w:themeColor="text1"/>
                <w:szCs w:val="24"/>
              </w:rPr>
              <w:t>2m</w:t>
            </w:r>
            <w:r w:rsidRPr="00B12FE0">
              <w:rPr>
                <w:rFonts w:eastAsia="楷体" w:hint="eastAsia"/>
                <w:bCs/>
                <w:color w:val="000000" w:themeColor="text1"/>
                <w:szCs w:val="24"/>
              </w:rPr>
              <w:t>m</w:t>
            </w:r>
            <w:r w:rsidRPr="00B12FE0">
              <w:rPr>
                <w:rFonts w:eastAsia="楷体"/>
                <w:bCs/>
                <w:color w:val="000000" w:themeColor="text1"/>
                <w:szCs w:val="24"/>
              </w:rPr>
              <w:t>Pb</w:t>
            </w:r>
            <w:r w:rsidRPr="00B12FE0">
              <w:rPr>
                <w:rFonts w:eastAsia="楷体" w:hint="eastAsia"/>
                <w:bCs/>
                <w:color w:val="000000" w:themeColor="text1"/>
                <w:szCs w:val="24"/>
              </w:rPr>
              <w:t>。</w:t>
            </w:r>
          </w:p>
          <w:p w14:paraId="5AD41DF6" w14:textId="77777777" w:rsidR="00A67F21" w:rsidRPr="00B12FE0" w:rsidRDefault="00000000">
            <w:pPr>
              <w:adjustRightInd w:val="0"/>
              <w:snapToGrid w:val="0"/>
              <w:spacing w:afterLines="50" w:after="120"/>
              <w:jc w:val="center"/>
              <w:rPr>
                <w:rFonts w:eastAsia="楷体" w:hAnsi="楷体" w:hint="eastAsia"/>
                <w:b/>
                <w:color w:val="000000" w:themeColor="text1"/>
                <w:sz w:val="21"/>
                <w:szCs w:val="21"/>
              </w:rPr>
            </w:pPr>
            <w:r w:rsidRPr="00B12FE0">
              <w:rPr>
                <w:rFonts w:eastAsia="楷体" w:hAnsi="楷体" w:hint="eastAsia"/>
                <w:b/>
                <w:color w:val="000000" w:themeColor="text1"/>
                <w:sz w:val="21"/>
                <w:szCs w:val="21"/>
              </w:rPr>
              <w:t>表</w:t>
            </w:r>
            <w:r w:rsidRPr="00B12FE0">
              <w:rPr>
                <w:rFonts w:eastAsia="楷体" w:hint="eastAsia"/>
                <w:b/>
                <w:color w:val="000000" w:themeColor="text1"/>
                <w:sz w:val="21"/>
                <w:szCs w:val="21"/>
              </w:rPr>
              <w:t>7.3.5</w:t>
            </w:r>
            <w:r w:rsidRPr="00B12FE0">
              <w:rPr>
                <w:rFonts w:eastAsia="楷体" w:hAnsi="楷体" w:hint="eastAsia"/>
                <w:b/>
                <w:color w:val="000000" w:themeColor="text1"/>
                <w:sz w:val="21"/>
                <w:szCs w:val="21"/>
              </w:rPr>
              <w:t xml:space="preserve">-3 </w:t>
            </w:r>
            <w:r w:rsidRPr="00B12FE0">
              <w:rPr>
                <w:rFonts w:eastAsia="楷体" w:hAnsi="楷体"/>
                <w:b/>
                <w:color w:val="000000" w:themeColor="text1"/>
                <w:sz w:val="21"/>
                <w:szCs w:val="21"/>
              </w:rPr>
              <w:t xml:space="preserve"> </w:t>
            </w:r>
            <w:r w:rsidRPr="00B12FE0">
              <w:rPr>
                <w:rFonts w:eastAsia="楷体" w:hAnsi="楷体" w:hint="eastAsia"/>
                <w:b/>
                <w:color w:val="000000" w:themeColor="text1"/>
                <w:sz w:val="21"/>
                <w:szCs w:val="21"/>
              </w:rPr>
              <w:t>个人防护用品好辅助防护设施配置要求</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2268"/>
              <w:gridCol w:w="1843"/>
              <w:gridCol w:w="1338"/>
            </w:tblGrid>
            <w:tr w:rsidR="00A67F21" w:rsidRPr="00B12FE0" w14:paraId="1BDCA8CE" w14:textId="77777777">
              <w:trPr>
                <w:trHeight w:val="397"/>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168E4D8C"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放射检查类型</w:t>
                  </w:r>
                </w:p>
              </w:tc>
              <w:tc>
                <w:tcPr>
                  <w:tcW w:w="4110" w:type="dxa"/>
                  <w:gridSpan w:val="2"/>
                  <w:tcBorders>
                    <w:top w:val="single" w:sz="4" w:space="0" w:color="auto"/>
                    <w:left w:val="single" w:sz="4" w:space="0" w:color="auto"/>
                    <w:bottom w:val="single" w:sz="4" w:space="0" w:color="auto"/>
                    <w:right w:val="single" w:sz="4" w:space="0" w:color="auto"/>
                  </w:tcBorders>
                  <w:vAlign w:val="center"/>
                </w:tcPr>
                <w:p w14:paraId="6C41ABE7"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工作人员</w:t>
                  </w:r>
                </w:p>
              </w:tc>
              <w:tc>
                <w:tcPr>
                  <w:tcW w:w="3181" w:type="dxa"/>
                  <w:gridSpan w:val="2"/>
                  <w:tcBorders>
                    <w:top w:val="single" w:sz="4" w:space="0" w:color="auto"/>
                    <w:left w:val="single" w:sz="4" w:space="0" w:color="auto"/>
                    <w:bottom w:val="single" w:sz="4" w:space="0" w:color="auto"/>
                    <w:right w:val="single" w:sz="4" w:space="0" w:color="auto"/>
                  </w:tcBorders>
                  <w:vAlign w:val="center"/>
                </w:tcPr>
                <w:p w14:paraId="2E6CB807"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患者和受检者</w:t>
                  </w:r>
                </w:p>
              </w:tc>
            </w:tr>
            <w:tr w:rsidR="00A67F21" w:rsidRPr="00B12FE0" w14:paraId="39CA56F6" w14:textId="77777777">
              <w:trPr>
                <w:trHeight w:val="397"/>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7B44AC84" w14:textId="77777777" w:rsidR="00A67F21" w:rsidRPr="00B12FE0" w:rsidRDefault="00A67F21">
                  <w:pPr>
                    <w:widowControl/>
                    <w:adjustRightInd w:val="0"/>
                    <w:snapToGrid w:val="0"/>
                    <w:jc w:val="left"/>
                    <w:rPr>
                      <w:rFonts w:eastAsia="楷体"/>
                      <w:color w:val="000000" w:themeColor="text1"/>
                      <w:sz w:val="2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149B4150"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个人防护用品</w:t>
                  </w:r>
                </w:p>
              </w:tc>
              <w:tc>
                <w:tcPr>
                  <w:tcW w:w="2268" w:type="dxa"/>
                  <w:tcBorders>
                    <w:top w:val="single" w:sz="4" w:space="0" w:color="auto"/>
                    <w:left w:val="single" w:sz="4" w:space="0" w:color="auto"/>
                    <w:bottom w:val="single" w:sz="4" w:space="0" w:color="auto"/>
                    <w:right w:val="single" w:sz="4" w:space="0" w:color="auto"/>
                  </w:tcBorders>
                  <w:vAlign w:val="center"/>
                </w:tcPr>
                <w:p w14:paraId="23254932"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辅助防护设施</w:t>
                  </w:r>
                </w:p>
              </w:tc>
              <w:tc>
                <w:tcPr>
                  <w:tcW w:w="1843" w:type="dxa"/>
                  <w:tcBorders>
                    <w:top w:val="single" w:sz="4" w:space="0" w:color="auto"/>
                    <w:left w:val="single" w:sz="4" w:space="0" w:color="auto"/>
                    <w:bottom w:val="single" w:sz="4" w:space="0" w:color="auto"/>
                    <w:right w:val="single" w:sz="4" w:space="0" w:color="auto"/>
                  </w:tcBorders>
                  <w:vAlign w:val="center"/>
                </w:tcPr>
                <w:p w14:paraId="6875C04E"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个人防护用品</w:t>
                  </w:r>
                </w:p>
              </w:tc>
              <w:tc>
                <w:tcPr>
                  <w:tcW w:w="1338" w:type="dxa"/>
                  <w:tcBorders>
                    <w:top w:val="single" w:sz="4" w:space="0" w:color="auto"/>
                    <w:left w:val="single" w:sz="4" w:space="0" w:color="auto"/>
                    <w:bottom w:val="single" w:sz="4" w:space="0" w:color="auto"/>
                    <w:right w:val="single" w:sz="4" w:space="0" w:color="auto"/>
                  </w:tcBorders>
                  <w:vAlign w:val="center"/>
                </w:tcPr>
                <w:p w14:paraId="085F5292"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hAnsi="楷体" w:hint="eastAsia"/>
                      <w:color w:val="000000" w:themeColor="text1"/>
                      <w:sz w:val="21"/>
                      <w:szCs w:val="21"/>
                    </w:rPr>
                    <w:t>辅助防护</w:t>
                  </w:r>
                </w:p>
                <w:p w14:paraId="4BEF6389"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hAnsi="楷体" w:hint="eastAsia"/>
                      <w:color w:val="000000" w:themeColor="text1"/>
                      <w:sz w:val="21"/>
                      <w:szCs w:val="21"/>
                    </w:rPr>
                    <w:t>设施</w:t>
                  </w:r>
                </w:p>
              </w:tc>
            </w:tr>
            <w:tr w:rsidR="00A67F21" w:rsidRPr="00B12FE0" w14:paraId="755E6621" w14:textId="77777777">
              <w:trPr>
                <w:trHeight w:val="397"/>
                <w:jc w:val="center"/>
              </w:trPr>
              <w:tc>
                <w:tcPr>
                  <w:tcW w:w="1555" w:type="dxa"/>
                  <w:vAlign w:val="center"/>
                </w:tcPr>
                <w:p w14:paraId="2276ED31" w14:textId="77777777" w:rsidR="00A67F21" w:rsidRPr="00B12FE0" w:rsidRDefault="00000000">
                  <w:pPr>
                    <w:autoSpaceDE w:val="0"/>
                    <w:autoSpaceDN w:val="0"/>
                    <w:adjustRightInd w:val="0"/>
                    <w:snapToGrid w:val="0"/>
                    <w:jc w:val="center"/>
                    <w:rPr>
                      <w:rFonts w:ascii="Calibri" w:eastAsia="楷体" w:hAnsi="Calibri"/>
                      <w:snapToGrid w:val="0"/>
                      <w:color w:val="000000" w:themeColor="text1"/>
                      <w:kern w:val="0"/>
                      <w:sz w:val="21"/>
                      <w:szCs w:val="21"/>
                    </w:rPr>
                  </w:pPr>
                  <w:r w:rsidRPr="00B12FE0">
                    <w:rPr>
                      <w:rFonts w:eastAsia="楷体"/>
                      <w:snapToGrid w:val="0"/>
                      <w:color w:val="000000" w:themeColor="text1"/>
                      <w:kern w:val="0"/>
                      <w:sz w:val="21"/>
                      <w:szCs w:val="21"/>
                    </w:rPr>
                    <w:t>CT</w:t>
                  </w:r>
                  <w:r w:rsidRPr="00B12FE0">
                    <w:rPr>
                      <w:rFonts w:eastAsia="楷体" w:hAnsi="楷体"/>
                      <w:snapToGrid w:val="0"/>
                      <w:color w:val="000000" w:themeColor="text1"/>
                      <w:kern w:val="0"/>
                      <w:sz w:val="21"/>
                      <w:szCs w:val="21"/>
                    </w:rPr>
                    <w:t>体层扫描</w:t>
                  </w:r>
                </w:p>
                <w:p w14:paraId="477631C3"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hAnsi="楷体"/>
                      <w:snapToGrid w:val="0"/>
                      <w:color w:val="000000" w:themeColor="text1"/>
                      <w:kern w:val="0"/>
                      <w:sz w:val="21"/>
                      <w:szCs w:val="21"/>
                    </w:rPr>
                    <w:t>（隔室）</w:t>
                  </w:r>
                </w:p>
              </w:tc>
              <w:tc>
                <w:tcPr>
                  <w:tcW w:w="1842" w:type="dxa"/>
                  <w:vAlign w:val="center"/>
                </w:tcPr>
                <w:p w14:paraId="1C5FF230"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snapToGrid w:val="0"/>
                      <w:color w:val="000000" w:themeColor="text1"/>
                      <w:kern w:val="0"/>
                      <w:sz w:val="21"/>
                      <w:szCs w:val="21"/>
                      <w:lang w:eastAsia="en-US"/>
                    </w:rPr>
                    <w:t>—</w:t>
                  </w:r>
                </w:p>
              </w:tc>
              <w:tc>
                <w:tcPr>
                  <w:tcW w:w="2268" w:type="dxa"/>
                  <w:vAlign w:val="center"/>
                </w:tcPr>
                <w:p w14:paraId="27DAE7F1" w14:textId="77777777" w:rsidR="00A67F21" w:rsidRPr="00B12FE0" w:rsidRDefault="00000000">
                  <w:pPr>
                    <w:adjustRightInd w:val="0"/>
                    <w:snapToGrid w:val="0"/>
                    <w:jc w:val="center"/>
                    <w:rPr>
                      <w:rFonts w:eastAsia="楷体" w:hAnsi="楷体" w:hint="eastAsia"/>
                      <w:color w:val="000000" w:themeColor="text1"/>
                      <w:sz w:val="21"/>
                      <w:szCs w:val="21"/>
                    </w:rPr>
                  </w:pPr>
                  <w:r w:rsidRPr="00B12FE0">
                    <w:rPr>
                      <w:rFonts w:eastAsia="楷体"/>
                      <w:snapToGrid w:val="0"/>
                      <w:color w:val="000000" w:themeColor="text1"/>
                      <w:kern w:val="0"/>
                      <w:sz w:val="21"/>
                      <w:szCs w:val="21"/>
                      <w:lang w:eastAsia="en-US"/>
                    </w:rPr>
                    <w:t>—</w:t>
                  </w:r>
                </w:p>
              </w:tc>
              <w:tc>
                <w:tcPr>
                  <w:tcW w:w="1843" w:type="dxa"/>
                  <w:vAlign w:val="center"/>
                </w:tcPr>
                <w:p w14:paraId="1400CD7D" w14:textId="77777777" w:rsidR="00A67F21" w:rsidRPr="00B12FE0" w:rsidRDefault="00000000">
                  <w:pPr>
                    <w:autoSpaceDE w:val="0"/>
                    <w:autoSpaceDN w:val="0"/>
                    <w:adjustRightInd w:val="0"/>
                    <w:snapToGrid w:val="0"/>
                    <w:jc w:val="center"/>
                    <w:rPr>
                      <w:rFonts w:ascii="Calibri" w:eastAsia="楷体" w:hAnsi="Calibri"/>
                      <w:snapToGrid w:val="0"/>
                      <w:color w:val="000000" w:themeColor="text1"/>
                      <w:kern w:val="0"/>
                      <w:sz w:val="21"/>
                      <w:szCs w:val="21"/>
                      <w:lang w:val="zh-CN" w:bidi="zh-CN"/>
                    </w:rPr>
                  </w:pPr>
                  <w:r w:rsidRPr="00B12FE0">
                    <w:rPr>
                      <w:rFonts w:eastAsia="楷体" w:hAnsi="楷体"/>
                      <w:snapToGrid w:val="0"/>
                      <w:color w:val="000000" w:themeColor="text1"/>
                      <w:kern w:val="0"/>
                      <w:sz w:val="21"/>
                      <w:szCs w:val="21"/>
                    </w:rPr>
                    <w:t>铅橡胶性腺防护围裙</w:t>
                  </w:r>
                </w:p>
                <w:p w14:paraId="7DD7EC14" w14:textId="77777777" w:rsidR="00A67F21" w:rsidRPr="00B12FE0" w:rsidRDefault="00000000">
                  <w:pPr>
                    <w:autoSpaceDE w:val="0"/>
                    <w:autoSpaceDN w:val="0"/>
                    <w:adjustRightInd w:val="0"/>
                    <w:snapToGrid w:val="0"/>
                    <w:jc w:val="center"/>
                    <w:rPr>
                      <w:rFonts w:ascii="Calibri" w:eastAsia="楷体" w:hAnsi="Calibri"/>
                      <w:snapToGrid w:val="0"/>
                      <w:color w:val="000000" w:themeColor="text1"/>
                      <w:kern w:val="0"/>
                      <w:sz w:val="21"/>
                      <w:szCs w:val="21"/>
                    </w:rPr>
                  </w:pPr>
                  <w:r w:rsidRPr="00B12FE0">
                    <w:rPr>
                      <w:rFonts w:eastAsia="楷体" w:hAnsi="楷体"/>
                      <w:snapToGrid w:val="0"/>
                      <w:color w:val="000000" w:themeColor="text1"/>
                      <w:kern w:val="0"/>
                      <w:sz w:val="21"/>
                      <w:szCs w:val="21"/>
                    </w:rPr>
                    <w:t>（方形）或方巾、铅橡胶颈套</w:t>
                  </w:r>
                </w:p>
                <w:p w14:paraId="5F88B9E5" w14:textId="77777777" w:rsidR="00A67F21" w:rsidRPr="00B12FE0" w:rsidRDefault="00000000">
                  <w:pPr>
                    <w:adjustRightInd w:val="0"/>
                    <w:snapToGrid w:val="0"/>
                    <w:jc w:val="center"/>
                    <w:rPr>
                      <w:rFonts w:eastAsia="楷体" w:hAnsi="楷体" w:hint="eastAsia"/>
                      <w:color w:val="000000" w:themeColor="text1"/>
                      <w:sz w:val="21"/>
                      <w:szCs w:val="21"/>
                    </w:rPr>
                  </w:pPr>
                  <w:proofErr w:type="spellStart"/>
                  <w:r w:rsidRPr="00B12FE0">
                    <w:rPr>
                      <w:rFonts w:eastAsia="楷体" w:hAnsi="楷体"/>
                      <w:snapToGrid w:val="0"/>
                      <w:color w:val="000000" w:themeColor="text1"/>
                      <w:kern w:val="0"/>
                      <w:sz w:val="21"/>
                      <w:szCs w:val="21"/>
                      <w:lang w:eastAsia="en-US"/>
                    </w:rPr>
                    <w:t>选配：铅橡胶帽子</w:t>
                  </w:r>
                  <w:proofErr w:type="spellEnd"/>
                </w:p>
              </w:tc>
              <w:tc>
                <w:tcPr>
                  <w:tcW w:w="1338" w:type="dxa"/>
                  <w:vAlign w:val="center"/>
                </w:tcPr>
                <w:p w14:paraId="1B505F22" w14:textId="77777777" w:rsidR="00A67F21" w:rsidRPr="00B12FE0" w:rsidRDefault="00000000">
                  <w:pPr>
                    <w:adjustRightInd w:val="0"/>
                    <w:snapToGrid w:val="0"/>
                    <w:jc w:val="center"/>
                    <w:rPr>
                      <w:rFonts w:eastAsia="楷体"/>
                      <w:color w:val="000000" w:themeColor="text1"/>
                      <w:sz w:val="21"/>
                      <w:szCs w:val="21"/>
                    </w:rPr>
                  </w:pPr>
                  <w:r w:rsidRPr="00B12FE0">
                    <w:rPr>
                      <w:rFonts w:eastAsia="楷体"/>
                      <w:snapToGrid w:val="0"/>
                      <w:color w:val="000000" w:themeColor="text1"/>
                      <w:kern w:val="0"/>
                      <w:sz w:val="21"/>
                      <w:szCs w:val="21"/>
                      <w:lang w:eastAsia="en-US"/>
                    </w:rPr>
                    <w:t>—</w:t>
                  </w:r>
                </w:p>
              </w:tc>
            </w:tr>
            <w:tr w:rsidR="00A67F21" w:rsidRPr="00B12FE0" w14:paraId="390EB4AC" w14:textId="77777777">
              <w:trPr>
                <w:trHeight w:val="397"/>
                <w:jc w:val="center"/>
              </w:trPr>
              <w:tc>
                <w:tcPr>
                  <w:tcW w:w="8846" w:type="dxa"/>
                  <w:gridSpan w:val="5"/>
                  <w:tcBorders>
                    <w:top w:val="single" w:sz="4" w:space="0" w:color="auto"/>
                    <w:left w:val="single" w:sz="4" w:space="0" w:color="auto"/>
                    <w:bottom w:val="single" w:sz="4" w:space="0" w:color="auto"/>
                    <w:right w:val="single" w:sz="4" w:space="0" w:color="auto"/>
                  </w:tcBorders>
                  <w:vAlign w:val="center"/>
                </w:tcPr>
                <w:p w14:paraId="4180E478" w14:textId="77777777" w:rsidR="00A67F21" w:rsidRPr="00B12FE0" w:rsidRDefault="00000000">
                  <w:pPr>
                    <w:adjustRightInd w:val="0"/>
                    <w:snapToGrid w:val="0"/>
                    <w:rPr>
                      <w:rFonts w:eastAsia="楷体" w:hAnsi="楷体" w:hint="eastAsia"/>
                      <w:color w:val="000000" w:themeColor="text1"/>
                      <w:sz w:val="21"/>
                      <w:szCs w:val="21"/>
                    </w:rPr>
                  </w:pPr>
                  <w:r w:rsidRPr="00B12FE0">
                    <w:rPr>
                      <w:rFonts w:eastAsia="楷体" w:hAnsi="楷体" w:hint="eastAsia"/>
                      <w:color w:val="000000" w:themeColor="text1"/>
                      <w:sz w:val="21"/>
                      <w:szCs w:val="21"/>
                    </w:rPr>
                    <w:t>注</w:t>
                  </w:r>
                  <w:r w:rsidRPr="00B12FE0">
                    <w:rPr>
                      <w:rFonts w:eastAsia="楷体" w:hAnsi="楷体" w:hint="eastAsia"/>
                      <w:color w:val="000000" w:themeColor="text1"/>
                      <w:sz w:val="21"/>
                      <w:szCs w:val="21"/>
                    </w:rPr>
                    <w:t>1</w:t>
                  </w:r>
                  <w:r w:rsidRPr="00B12FE0">
                    <w:rPr>
                      <w:rFonts w:eastAsia="楷体" w:hAnsi="楷体" w:hint="eastAsia"/>
                      <w:color w:val="000000" w:themeColor="text1"/>
                      <w:sz w:val="21"/>
                      <w:szCs w:val="21"/>
                    </w:rPr>
                    <w:t>：“—”表示不需要求。</w:t>
                  </w:r>
                </w:p>
                <w:p w14:paraId="08C99967" w14:textId="77777777" w:rsidR="00A67F21" w:rsidRPr="00B12FE0" w:rsidRDefault="00000000">
                  <w:pPr>
                    <w:adjustRightInd w:val="0"/>
                    <w:snapToGrid w:val="0"/>
                    <w:rPr>
                      <w:rFonts w:eastAsia="楷体" w:hAnsi="楷体" w:hint="eastAsia"/>
                      <w:color w:val="000000" w:themeColor="text1"/>
                      <w:sz w:val="21"/>
                      <w:szCs w:val="21"/>
                    </w:rPr>
                  </w:pPr>
                  <w:r w:rsidRPr="00B12FE0">
                    <w:rPr>
                      <w:rFonts w:eastAsia="楷体" w:hAnsi="楷体" w:hint="eastAsia"/>
                      <w:color w:val="000000" w:themeColor="text1"/>
                      <w:sz w:val="21"/>
                      <w:szCs w:val="21"/>
                    </w:rPr>
                    <w:t>注</w:t>
                  </w:r>
                  <w:r w:rsidRPr="00B12FE0">
                    <w:rPr>
                      <w:rFonts w:eastAsia="楷体" w:hAnsi="楷体" w:hint="eastAsia"/>
                      <w:color w:val="000000" w:themeColor="text1"/>
                      <w:sz w:val="21"/>
                      <w:szCs w:val="21"/>
                    </w:rPr>
                    <w:t>2</w:t>
                  </w:r>
                  <w:r w:rsidRPr="00B12FE0">
                    <w:rPr>
                      <w:rFonts w:eastAsia="楷体" w:hAnsi="楷体" w:hint="eastAsia"/>
                      <w:color w:val="000000" w:themeColor="text1"/>
                      <w:sz w:val="21"/>
                      <w:szCs w:val="21"/>
                    </w:rPr>
                    <w:t>：各类个人防护用品和肤质防护设施，指防电离辐射的用品和设施。鼓励使用</w:t>
                  </w:r>
                  <w:proofErr w:type="gramStart"/>
                  <w:r w:rsidRPr="00B12FE0">
                    <w:rPr>
                      <w:rFonts w:eastAsia="楷体" w:hAnsi="楷体" w:hint="eastAsia"/>
                      <w:color w:val="000000" w:themeColor="text1"/>
                      <w:sz w:val="21"/>
                      <w:szCs w:val="21"/>
                    </w:rPr>
                    <w:t>非铅材料</w:t>
                  </w:r>
                  <w:proofErr w:type="gramEnd"/>
                  <w:r w:rsidRPr="00B12FE0">
                    <w:rPr>
                      <w:rFonts w:eastAsia="楷体" w:hAnsi="楷体" w:hint="eastAsia"/>
                      <w:color w:val="000000" w:themeColor="text1"/>
                      <w:sz w:val="21"/>
                      <w:szCs w:val="21"/>
                    </w:rPr>
                    <w:t>防护用品，特别是非铅介入防护手套。</w:t>
                  </w:r>
                </w:p>
              </w:tc>
            </w:tr>
          </w:tbl>
          <w:p w14:paraId="0436036E" w14:textId="77777777" w:rsidR="00A67F21" w:rsidRPr="00B12FE0" w:rsidRDefault="00A67F21">
            <w:pPr>
              <w:adjustRightInd w:val="0"/>
              <w:snapToGrid w:val="0"/>
              <w:spacing w:line="360" w:lineRule="auto"/>
              <w:rPr>
                <w:rFonts w:eastAsia="楷体"/>
                <w:bCs/>
                <w:snapToGrid w:val="0"/>
                <w:color w:val="000000" w:themeColor="text1"/>
                <w:sz w:val="21"/>
                <w:szCs w:val="24"/>
              </w:rPr>
            </w:pPr>
          </w:p>
          <w:p w14:paraId="272E3761" w14:textId="77777777" w:rsidR="00A67F21" w:rsidRPr="00B12FE0" w:rsidRDefault="00A67F21">
            <w:pPr>
              <w:adjustRightInd w:val="0"/>
              <w:snapToGrid w:val="0"/>
              <w:spacing w:line="360" w:lineRule="auto"/>
              <w:ind w:firstLineChars="200" w:firstLine="480"/>
              <w:rPr>
                <w:color w:val="000000" w:themeColor="text1"/>
              </w:rPr>
            </w:pPr>
          </w:p>
          <w:p w14:paraId="330F425B" w14:textId="77777777" w:rsidR="00A67F21" w:rsidRPr="00B12FE0" w:rsidRDefault="00A67F21">
            <w:pPr>
              <w:pStyle w:val="TableParagraph"/>
              <w:autoSpaceDE/>
              <w:autoSpaceDN/>
              <w:snapToGrid w:val="0"/>
              <w:spacing w:line="360" w:lineRule="auto"/>
              <w:rPr>
                <w:b/>
                <w:bCs/>
                <w:color w:val="000000" w:themeColor="text1"/>
                <w:spacing w:val="1"/>
              </w:rPr>
            </w:pPr>
          </w:p>
          <w:p w14:paraId="6B7166C9" w14:textId="77777777" w:rsidR="00A67F21" w:rsidRPr="00B12FE0" w:rsidRDefault="00A67F21">
            <w:pPr>
              <w:pStyle w:val="TableParagraph"/>
              <w:autoSpaceDE/>
              <w:autoSpaceDN/>
              <w:snapToGrid w:val="0"/>
              <w:spacing w:line="360" w:lineRule="auto"/>
              <w:rPr>
                <w:b/>
                <w:bCs/>
                <w:color w:val="000000" w:themeColor="text1"/>
                <w:spacing w:val="1"/>
              </w:rPr>
            </w:pPr>
          </w:p>
          <w:p w14:paraId="78812307" w14:textId="77777777" w:rsidR="00A67F21" w:rsidRPr="00B12FE0" w:rsidRDefault="00A67F21">
            <w:pPr>
              <w:pStyle w:val="TableParagraph"/>
              <w:autoSpaceDE/>
              <w:autoSpaceDN/>
              <w:snapToGrid w:val="0"/>
              <w:spacing w:line="360" w:lineRule="auto"/>
              <w:rPr>
                <w:b/>
                <w:bCs/>
                <w:color w:val="000000" w:themeColor="text1"/>
                <w:spacing w:val="1"/>
              </w:rPr>
            </w:pPr>
          </w:p>
          <w:p w14:paraId="0D29C70C" w14:textId="77777777" w:rsidR="00A67F21" w:rsidRPr="00B12FE0" w:rsidRDefault="00A67F21">
            <w:pPr>
              <w:pStyle w:val="TableParagraph"/>
              <w:autoSpaceDE/>
              <w:autoSpaceDN/>
              <w:snapToGrid w:val="0"/>
              <w:spacing w:line="360" w:lineRule="auto"/>
              <w:rPr>
                <w:b/>
                <w:bCs/>
                <w:color w:val="000000" w:themeColor="text1"/>
                <w:spacing w:val="1"/>
              </w:rPr>
            </w:pPr>
          </w:p>
          <w:p w14:paraId="16C5C272" w14:textId="77777777" w:rsidR="00A67F21" w:rsidRPr="00B12FE0" w:rsidRDefault="00A67F21">
            <w:pPr>
              <w:pStyle w:val="TableParagraph"/>
              <w:autoSpaceDE/>
              <w:autoSpaceDN/>
              <w:snapToGrid w:val="0"/>
              <w:spacing w:line="360" w:lineRule="auto"/>
              <w:rPr>
                <w:b/>
                <w:bCs/>
                <w:color w:val="000000" w:themeColor="text1"/>
                <w:spacing w:val="1"/>
              </w:rPr>
            </w:pPr>
          </w:p>
          <w:p w14:paraId="3BC153E6" w14:textId="77777777" w:rsidR="00A67F21" w:rsidRPr="00B12FE0" w:rsidRDefault="00A67F21">
            <w:pPr>
              <w:pStyle w:val="TableParagraph"/>
              <w:autoSpaceDE/>
              <w:autoSpaceDN/>
              <w:snapToGrid w:val="0"/>
              <w:spacing w:line="360" w:lineRule="auto"/>
              <w:rPr>
                <w:b/>
                <w:bCs/>
                <w:color w:val="000000" w:themeColor="text1"/>
                <w:spacing w:val="1"/>
              </w:rPr>
            </w:pPr>
          </w:p>
          <w:p w14:paraId="02BC7926" w14:textId="77777777" w:rsidR="00A67F21" w:rsidRPr="00B12FE0" w:rsidRDefault="00A67F21">
            <w:pPr>
              <w:pStyle w:val="TableParagraph"/>
              <w:autoSpaceDE/>
              <w:autoSpaceDN/>
              <w:snapToGrid w:val="0"/>
              <w:spacing w:line="360" w:lineRule="auto"/>
              <w:rPr>
                <w:b/>
                <w:bCs/>
                <w:color w:val="000000" w:themeColor="text1"/>
                <w:spacing w:val="1"/>
              </w:rPr>
            </w:pPr>
          </w:p>
          <w:p w14:paraId="13804B13" w14:textId="77777777" w:rsidR="00A67F21" w:rsidRPr="00B12FE0" w:rsidRDefault="00A67F21">
            <w:pPr>
              <w:pStyle w:val="TableParagraph"/>
              <w:autoSpaceDE/>
              <w:autoSpaceDN/>
              <w:snapToGrid w:val="0"/>
              <w:spacing w:line="360" w:lineRule="auto"/>
              <w:rPr>
                <w:b/>
                <w:bCs/>
                <w:color w:val="000000" w:themeColor="text1"/>
                <w:spacing w:val="1"/>
              </w:rPr>
            </w:pPr>
          </w:p>
          <w:p w14:paraId="3BCCC816" w14:textId="77777777" w:rsidR="00A67F21" w:rsidRPr="00B12FE0" w:rsidRDefault="00A67F21">
            <w:pPr>
              <w:pStyle w:val="TableParagraph"/>
              <w:autoSpaceDE/>
              <w:autoSpaceDN/>
              <w:snapToGrid w:val="0"/>
              <w:spacing w:line="360" w:lineRule="auto"/>
              <w:rPr>
                <w:b/>
                <w:bCs/>
                <w:color w:val="000000" w:themeColor="text1"/>
                <w:spacing w:val="1"/>
              </w:rPr>
            </w:pPr>
          </w:p>
          <w:p w14:paraId="3A24B69B" w14:textId="77777777" w:rsidR="00A67F21" w:rsidRPr="00B12FE0" w:rsidRDefault="00A67F21">
            <w:pPr>
              <w:pStyle w:val="TableParagraph"/>
              <w:autoSpaceDE/>
              <w:autoSpaceDN/>
              <w:snapToGrid w:val="0"/>
              <w:spacing w:line="360" w:lineRule="auto"/>
              <w:rPr>
                <w:b/>
                <w:bCs/>
                <w:color w:val="000000" w:themeColor="text1"/>
                <w:spacing w:val="1"/>
              </w:rPr>
            </w:pPr>
          </w:p>
          <w:p w14:paraId="2D7E1E25" w14:textId="77777777" w:rsidR="00A67F21" w:rsidRPr="00B12FE0" w:rsidRDefault="00A67F21">
            <w:pPr>
              <w:pStyle w:val="TableParagraph"/>
              <w:autoSpaceDE/>
              <w:autoSpaceDN/>
              <w:snapToGrid w:val="0"/>
              <w:spacing w:line="360" w:lineRule="auto"/>
              <w:rPr>
                <w:b/>
                <w:bCs/>
                <w:color w:val="000000" w:themeColor="text1"/>
                <w:spacing w:val="1"/>
              </w:rPr>
            </w:pPr>
          </w:p>
          <w:p w14:paraId="5A573001" w14:textId="77777777" w:rsidR="00A67F21" w:rsidRPr="00B12FE0" w:rsidRDefault="00A67F21">
            <w:pPr>
              <w:pStyle w:val="TableParagraph"/>
              <w:autoSpaceDE/>
              <w:autoSpaceDN/>
              <w:snapToGrid w:val="0"/>
              <w:spacing w:line="360" w:lineRule="auto"/>
              <w:rPr>
                <w:b/>
                <w:bCs/>
                <w:color w:val="000000" w:themeColor="text1"/>
                <w:spacing w:val="1"/>
              </w:rPr>
            </w:pPr>
          </w:p>
          <w:p w14:paraId="5DD989E7" w14:textId="77777777" w:rsidR="00A67F21" w:rsidRPr="00B12FE0" w:rsidRDefault="00A67F21">
            <w:pPr>
              <w:pStyle w:val="TableParagraph"/>
              <w:autoSpaceDE/>
              <w:autoSpaceDN/>
              <w:snapToGrid w:val="0"/>
              <w:spacing w:line="360" w:lineRule="auto"/>
              <w:rPr>
                <w:b/>
                <w:bCs/>
                <w:color w:val="000000" w:themeColor="text1"/>
                <w:spacing w:val="1"/>
              </w:rPr>
            </w:pPr>
          </w:p>
          <w:p w14:paraId="7D8C4033" w14:textId="77777777" w:rsidR="00A67F21" w:rsidRPr="00B12FE0" w:rsidRDefault="00A67F21">
            <w:pPr>
              <w:pStyle w:val="TableParagraph"/>
              <w:autoSpaceDE/>
              <w:autoSpaceDN/>
              <w:snapToGrid w:val="0"/>
              <w:spacing w:line="360" w:lineRule="auto"/>
              <w:rPr>
                <w:b/>
                <w:bCs/>
                <w:color w:val="000000" w:themeColor="text1"/>
                <w:spacing w:val="1"/>
              </w:rPr>
            </w:pPr>
          </w:p>
          <w:p w14:paraId="0887EA34" w14:textId="77777777" w:rsidR="00A67F21" w:rsidRPr="00B12FE0" w:rsidRDefault="00A67F21">
            <w:pPr>
              <w:pStyle w:val="TableParagraph"/>
              <w:autoSpaceDE/>
              <w:autoSpaceDN/>
              <w:snapToGrid w:val="0"/>
              <w:spacing w:line="360" w:lineRule="auto"/>
              <w:rPr>
                <w:b/>
                <w:bCs/>
                <w:color w:val="000000" w:themeColor="text1"/>
                <w:spacing w:val="1"/>
              </w:rPr>
            </w:pPr>
          </w:p>
          <w:p w14:paraId="6130822A" w14:textId="77777777" w:rsidR="00A67F21" w:rsidRPr="00B12FE0" w:rsidRDefault="00A67F21">
            <w:pPr>
              <w:pStyle w:val="TableParagraph"/>
              <w:autoSpaceDE/>
              <w:autoSpaceDN/>
              <w:snapToGrid w:val="0"/>
              <w:spacing w:line="360" w:lineRule="auto"/>
              <w:rPr>
                <w:b/>
                <w:bCs/>
                <w:color w:val="000000" w:themeColor="text1"/>
                <w:spacing w:val="1"/>
              </w:rPr>
            </w:pPr>
          </w:p>
          <w:p w14:paraId="1CFE64B8" w14:textId="77777777" w:rsidR="00A67F21" w:rsidRPr="00B12FE0" w:rsidRDefault="00A67F21">
            <w:pPr>
              <w:pStyle w:val="TableParagraph"/>
              <w:autoSpaceDE/>
              <w:autoSpaceDN/>
              <w:snapToGrid w:val="0"/>
              <w:spacing w:line="360" w:lineRule="auto"/>
              <w:rPr>
                <w:b/>
                <w:bCs/>
                <w:color w:val="000000" w:themeColor="text1"/>
                <w:spacing w:val="1"/>
              </w:rPr>
            </w:pPr>
          </w:p>
          <w:p w14:paraId="666AAA0D" w14:textId="77777777" w:rsidR="00A67F21" w:rsidRPr="00B12FE0" w:rsidRDefault="00A67F21">
            <w:pPr>
              <w:pStyle w:val="TableParagraph"/>
              <w:autoSpaceDE/>
              <w:autoSpaceDN/>
              <w:snapToGrid w:val="0"/>
              <w:spacing w:line="360" w:lineRule="auto"/>
              <w:rPr>
                <w:b/>
                <w:bCs/>
                <w:color w:val="000000" w:themeColor="text1"/>
                <w:spacing w:val="1"/>
              </w:rPr>
            </w:pPr>
          </w:p>
          <w:p w14:paraId="250AB24E" w14:textId="77777777" w:rsidR="00A67F21" w:rsidRPr="00B12FE0" w:rsidRDefault="00A67F21">
            <w:pPr>
              <w:pStyle w:val="TableParagraph"/>
              <w:autoSpaceDE/>
              <w:autoSpaceDN/>
              <w:snapToGrid w:val="0"/>
              <w:rPr>
                <w:b/>
                <w:bCs/>
                <w:color w:val="000000" w:themeColor="text1"/>
                <w:spacing w:val="1"/>
                <w:sz w:val="21"/>
                <w:szCs w:val="21"/>
              </w:rPr>
            </w:pPr>
          </w:p>
        </w:tc>
      </w:tr>
    </w:tbl>
    <w:p w14:paraId="5D0219C8" w14:textId="77777777" w:rsidR="00A67F21" w:rsidRPr="00B12FE0" w:rsidRDefault="00A67F21">
      <w:pPr>
        <w:spacing w:before="120" w:after="120" w:line="360" w:lineRule="auto"/>
        <w:ind w:firstLine="480"/>
        <w:rPr>
          <w:color w:val="000000" w:themeColor="text1"/>
        </w:rPr>
        <w:sectPr w:rsidR="00A67F21" w:rsidRPr="00B12FE0">
          <w:pgSz w:w="11907" w:h="16840"/>
          <w:pgMar w:top="1440" w:right="1440" w:bottom="1440" w:left="1440" w:header="851" w:footer="851" w:gutter="0"/>
          <w:cols w:space="720"/>
          <w:docGrid w:linePitch="332"/>
        </w:sectPr>
      </w:pPr>
    </w:p>
    <w:bookmarkStart w:id="12" w:name="_Toc10741"/>
    <w:p w14:paraId="34A3F522" w14:textId="77777777" w:rsidR="00A67F21" w:rsidRPr="00B12FE0" w:rsidRDefault="00000000">
      <w:pPr>
        <w:adjustRightInd w:val="0"/>
        <w:snapToGrid w:val="0"/>
        <w:spacing w:line="360" w:lineRule="auto"/>
        <w:outlineLvl w:val="0"/>
        <w:rPr>
          <w:b/>
          <w:color w:val="000000" w:themeColor="text1"/>
          <w:sz w:val="32"/>
          <w:szCs w:val="32"/>
        </w:rPr>
      </w:pPr>
      <w:r w:rsidRPr="00B12FE0">
        <w:rPr>
          <w:noProof/>
          <w:color w:val="000000" w:themeColor="text1"/>
          <w:sz w:val="32"/>
        </w:rPr>
        <w:lastRenderedPageBreak/>
        <mc:AlternateContent>
          <mc:Choice Requires="wps">
            <w:drawing>
              <wp:anchor distT="0" distB="0" distL="114300" distR="114300" simplePos="0" relativeHeight="251663360" behindDoc="0" locked="0" layoutInCell="1" allowOverlap="1" wp14:anchorId="6E60F8AC" wp14:editId="1930D40D">
                <wp:simplePos x="0" y="0"/>
                <wp:positionH relativeFrom="column">
                  <wp:posOffset>-43180</wp:posOffset>
                </wp:positionH>
                <wp:positionV relativeFrom="paragraph">
                  <wp:posOffset>337820</wp:posOffset>
                </wp:positionV>
                <wp:extent cx="5878195" cy="8507095"/>
                <wp:effectExtent l="4445" t="4445" r="22860" b="22860"/>
                <wp:wrapNone/>
                <wp:docPr id="17" name="矩形 17"/>
                <wp:cNvGraphicFramePr/>
                <a:graphic xmlns:a="http://schemas.openxmlformats.org/drawingml/2006/main">
                  <a:graphicData uri="http://schemas.microsoft.com/office/word/2010/wordprocessingShape">
                    <wps:wsp>
                      <wps:cNvSpPr/>
                      <wps:spPr>
                        <a:xfrm>
                          <a:off x="713105" y="1252220"/>
                          <a:ext cx="5878195" cy="850709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4pt;margin-top:26.6pt;height:669.85pt;width:462.85pt;z-index:251663360;v-text-anchor:middle;mso-width-relative:page;mso-height-relative:page;" filled="f" stroked="t" coordsize="21600,21600" o:gfxdata="UEsDBAoAAAAAAIdO4kAAAAAAAAAAAAAAAAAEAAAAZHJzL1BLAwQUAAAACACHTuJAY9ysGNgAAAAK&#10;AQAADwAAAGRycy9kb3ducmV2LnhtbE2PwW7CMBBE75X4B2uRuIGToAJO4yCBRNUTEtAPMPE2iRqv&#10;o9gB2q/v9tQeRzOaeVNsH64TNxxC60lDukhAIFXetlRreL8c5hsQIRqypvOEGr4wwLacPBUmt/5O&#10;J7ydYy24hEJuNDQx9rmUoWrQmbDwPRJ7H35wJrIcamkHc+dy18ksSVbSmZZ4oTE97husPs+j0+CO&#10;3629jGs8xjf/urY75U6Z1Xo2TZMXEBEf8S8Mv/iMDiUzXf1INohOw3zF5FHD8zIDwb5KNwrElYNL&#10;lSmQZSH/Xyh/AFBLAwQUAAAACACHTuJAXZd0tWkCAADBBAAADgAAAGRycy9lMm9Eb2MueG1srVRL&#10;btswEN0X6B0I7htJjh07RuTAsJGiQNAESIuuaYqyBPBXkracXqZAdz1Ej1P0Gn2klDhNu8iiXtBD&#10;zvAN580bXVwelCR74XxrdEmLk5wSobmpWr0t6ccPV29mlPjAdMWk0aKk98LTy8XrVxednYuRaYys&#10;hCMA0X7e2ZI2Idh5lnneCMX8ibFCw1kbp1jA1m2zyrEO6Epmozw/yzrjKusMF97jdN076YDoXgJo&#10;6rrlYm34TgkdelQnJAsoyTet9XSRXlvXgoebuvYiEFlSVBrSiiSwN3HNFhdsvnXMNi0fnsBe8oRn&#10;NSnWaiR9hFqzwMjOtX9BqZY7400dTrhRWV9IYgRVFPkzbu4aZkWqBVR7+0i6/3+w/P3+1pG2ghKm&#10;lGim0PFfX7///PGN4ADsdNbPEXRnb92w8zBjqYfaqfiPIsihpNPitMgnlNwDajQZjUYDueIQCId/&#10;MpvOinMEcETMJvk0xwaQ2RHJOh/eCqNINErq0L1EKttf+9CHPoTExNpctVLinM2lJl1Jz04n6Ctn&#10;UGUNNcBUFpV5vaWEyS3kzoNLiN7Itoq342XvtpuVdGTPokjSb3jYH2Ex9Zr5po9LriFMapQRieqp&#10;idbGVPcg1plecd7yqxb3r5kPt8xBYngohjDcYKmlwePNYFHSGPflX+cxHp2Hl5IOkkVln3fMCUrk&#10;Ow1NnBfjcdR42ownU3SAuKeezVOP3qmVQcEFxt3yZMb4IB/M2hn1CbO6jFnhYpojd8/hsFmFfpQw&#10;7VwslykMurYsXOs7yyN436jlLpi6TT08sjOQBmUnFQxTGEfn6T5FHb88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3KwY2AAAAAoBAAAPAAAAAAAAAAEAIAAAACIAAABkcnMvZG93bnJldi54bWxQ&#10;SwECFAAUAAAACACHTuJAXZd0tWkCAADBBAAADgAAAAAAAAABACAAAAAnAQAAZHJzL2Uyb0RvYy54&#10;bWxQSwUGAAAAAAYABgBZAQAAAgYAAAAA&#10;">
                <v:fill on="f" focussize="0,0"/>
                <v:stroke weight="0.5pt" color="#000000 [3213]" joinstyle="round"/>
                <v:imagedata o:title=""/>
                <o:lock v:ext="edit" aspectratio="f"/>
              </v:rect>
            </w:pict>
          </mc:Fallback>
        </mc:AlternateContent>
      </w:r>
      <w:r w:rsidRPr="00B12FE0">
        <w:rPr>
          <w:b/>
          <w:color w:val="000000" w:themeColor="text1"/>
          <w:sz w:val="32"/>
          <w:szCs w:val="32"/>
        </w:rPr>
        <w:t>表</w:t>
      </w:r>
      <w:r w:rsidRPr="00B12FE0">
        <w:rPr>
          <w:b/>
          <w:color w:val="000000" w:themeColor="text1"/>
          <w:sz w:val="32"/>
          <w:szCs w:val="32"/>
        </w:rPr>
        <w:t xml:space="preserve">8 </w:t>
      </w:r>
      <w:r w:rsidRPr="00B12FE0">
        <w:rPr>
          <w:b/>
          <w:color w:val="000000" w:themeColor="text1"/>
          <w:sz w:val="32"/>
          <w:szCs w:val="32"/>
        </w:rPr>
        <w:t>环境质量和辐射现状</w:t>
      </w:r>
      <w:bookmarkEnd w:id="12"/>
    </w:p>
    <w:p w14:paraId="10FFED46" w14:textId="77777777" w:rsidR="00A67F21" w:rsidRPr="00B12FE0" w:rsidRDefault="00000000">
      <w:pPr>
        <w:pStyle w:val="TableParagraph"/>
        <w:pBdr>
          <w:top w:val="none" w:sz="0" w:space="1" w:color="auto"/>
          <w:left w:val="none" w:sz="0" w:space="4" w:color="auto"/>
          <w:bottom w:val="none" w:sz="0" w:space="1" w:color="auto"/>
          <w:right w:val="none" w:sz="0" w:space="4" w:color="auto"/>
        </w:pBdr>
        <w:autoSpaceDE/>
        <w:autoSpaceDN/>
        <w:spacing w:line="360" w:lineRule="auto"/>
        <w:outlineLvl w:val="1"/>
        <w:rPr>
          <w:b/>
          <w:bCs/>
          <w:color w:val="000000" w:themeColor="text1"/>
          <w:spacing w:val="1"/>
          <w:sz w:val="28"/>
          <w:szCs w:val="28"/>
        </w:rPr>
      </w:pPr>
      <w:r w:rsidRPr="00B12FE0">
        <w:rPr>
          <w:b/>
          <w:bCs/>
          <w:color w:val="000000" w:themeColor="text1"/>
          <w:spacing w:val="1"/>
          <w:sz w:val="28"/>
          <w:szCs w:val="28"/>
        </w:rPr>
        <w:t>8.1</w:t>
      </w:r>
      <w:r w:rsidRPr="00B12FE0">
        <w:rPr>
          <w:b/>
          <w:bCs/>
          <w:color w:val="000000" w:themeColor="text1"/>
          <w:spacing w:val="1"/>
          <w:sz w:val="28"/>
          <w:szCs w:val="28"/>
        </w:rPr>
        <w:t>项目地理和场所位置</w:t>
      </w:r>
    </w:p>
    <w:p w14:paraId="453E5AB0"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bCs/>
          <w:color w:val="000000" w:themeColor="text1"/>
        </w:rPr>
      </w:pPr>
      <w:r w:rsidRPr="00B12FE0">
        <w:rPr>
          <w:rFonts w:hint="eastAsia"/>
          <w:bCs/>
          <w:color w:val="000000" w:themeColor="text1"/>
        </w:rPr>
        <w:t>本项目</w:t>
      </w:r>
      <w:r w:rsidRPr="00B12FE0">
        <w:rPr>
          <w:rFonts w:hint="eastAsia"/>
          <w:color w:val="000000" w:themeColor="text1"/>
        </w:rPr>
        <w:t>选址于新疆阿拉尔市胜利大道西</w:t>
      </w:r>
      <w:r w:rsidRPr="00B12FE0">
        <w:rPr>
          <w:rFonts w:hint="eastAsia"/>
          <w:color w:val="000000" w:themeColor="text1"/>
        </w:rPr>
        <w:t>1155</w:t>
      </w:r>
      <w:r w:rsidRPr="00B12FE0">
        <w:rPr>
          <w:rFonts w:hint="eastAsia"/>
          <w:color w:val="000000" w:themeColor="text1"/>
        </w:rPr>
        <w:t>号浙江大学医学院附属邵逸夫医院新疆兵团阿拉尔医院内西侧</w:t>
      </w:r>
      <w:r w:rsidRPr="00B12FE0">
        <w:rPr>
          <w:rFonts w:hint="eastAsia"/>
          <w:bCs/>
          <w:color w:val="000000" w:themeColor="text1"/>
        </w:rPr>
        <w:t>。</w:t>
      </w:r>
    </w:p>
    <w:p w14:paraId="0429FDFD" w14:textId="77777777" w:rsidR="00A67F21" w:rsidRPr="00B12FE0" w:rsidRDefault="00000000">
      <w:pPr>
        <w:spacing w:line="360" w:lineRule="auto"/>
        <w:ind w:firstLineChars="200" w:firstLine="480"/>
        <w:rPr>
          <w:color w:val="000000" w:themeColor="text1"/>
          <w:szCs w:val="24"/>
        </w:rPr>
      </w:pPr>
      <w:r w:rsidRPr="00B12FE0">
        <w:rPr>
          <w:rFonts w:ascii="宋体" w:hAnsi="宋体"/>
          <w:color w:val="000000" w:themeColor="text1"/>
          <w:kern w:val="0"/>
          <w:szCs w:val="24"/>
        </w:rPr>
        <w:t>项目地理位置见</w:t>
      </w:r>
      <w:r w:rsidRPr="00B12FE0">
        <w:rPr>
          <w:rFonts w:ascii="宋体" w:hAnsi="宋体"/>
          <w:bCs/>
          <w:color w:val="000000" w:themeColor="text1"/>
          <w:kern w:val="0"/>
          <w:szCs w:val="24"/>
        </w:rPr>
        <w:t>附图</w:t>
      </w:r>
      <w:r w:rsidRPr="00B12FE0">
        <w:rPr>
          <w:bCs/>
          <w:color w:val="000000" w:themeColor="text1"/>
          <w:kern w:val="0"/>
          <w:szCs w:val="24"/>
        </w:rPr>
        <w:t>1</w:t>
      </w:r>
      <w:r w:rsidRPr="00B12FE0">
        <w:rPr>
          <w:rFonts w:ascii="宋体" w:hAnsi="宋体"/>
          <w:color w:val="000000" w:themeColor="text1"/>
          <w:szCs w:val="24"/>
        </w:rPr>
        <w:t>，目前项目处于基础建设阶段，项目所在地现状图</w:t>
      </w:r>
      <w:r w:rsidRPr="00B12FE0">
        <w:rPr>
          <w:color w:val="000000" w:themeColor="text1"/>
          <w:szCs w:val="24"/>
        </w:rPr>
        <w:t>8.1-1</w:t>
      </w:r>
      <w:r w:rsidRPr="00B12FE0">
        <w:rPr>
          <w:rFonts w:ascii="宋体" w:hAnsi="宋体"/>
          <w:color w:val="000000" w:themeColor="text1"/>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27"/>
      </w:tblGrid>
      <w:tr w:rsidR="00A67F21" w:rsidRPr="00B12FE0" w14:paraId="75A76FC2" w14:textId="77777777">
        <w:trPr>
          <w:jc w:val="center"/>
        </w:trPr>
        <w:tc>
          <w:tcPr>
            <w:tcW w:w="4390" w:type="dxa"/>
            <w:tcBorders>
              <w:top w:val="single" w:sz="4" w:space="0" w:color="auto"/>
              <w:left w:val="single" w:sz="4" w:space="0" w:color="auto"/>
              <w:bottom w:val="single" w:sz="4" w:space="0" w:color="auto"/>
              <w:right w:val="single" w:sz="4" w:space="0" w:color="auto"/>
            </w:tcBorders>
          </w:tcPr>
          <w:p w14:paraId="5A01838A" w14:textId="77777777" w:rsidR="00A67F21" w:rsidRPr="00B12FE0" w:rsidRDefault="00000000">
            <w:pPr>
              <w:adjustRightInd w:val="0"/>
              <w:snapToGrid w:val="0"/>
              <w:jc w:val="center"/>
              <w:rPr>
                <w:color w:val="000000" w:themeColor="text1"/>
                <w:sz w:val="21"/>
                <w:szCs w:val="21"/>
              </w:rPr>
            </w:pPr>
            <w:r w:rsidRPr="00B12FE0">
              <w:rPr>
                <w:noProof/>
                <w:color w:val="000000" w:themeColor="text1"/>
                <w:sz w:val="21"/>
                <w:szCs w:val="21"/>
              </w:rPr>
              <w:drawing>
                <wp:inline distT="0" distB="0" distL="0" distR="0" wp14:anchorId="0143AA0D" wp14:editId="1BDF7876">
                  <wp:extent cx="2114550" cy="1587500"/>
                  <wp:effectExtent l="0" t="0" r="0" b="0"/>
                  <wp:docPr id="171662806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28066" name="图片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28541" cy="1598532"/>
                          </a:xfrm>
                          <a:prstGeom prst="rect">
                            <a:avLst/>
                          </a:prstGeom>
                          <a:noFill/>
                          <a:ln>
                            <a:noFill/>
                          </a:ln>
                        </pic:spPr>
                      </pic:pic>
                    </a:graphicData>
                  </a:graphic>
                </wp:inline>
              </w:drawing>
            </w:r>
          </w:p>
        </w:tc>
        <w:tc>
          <w:tcPr>
            <w:tcW w:w="4627" w:type="dxa"/>
            <w:tcBorders>
              <w:top w:val="single" w:sz="4" w:space="0" w:color="auto"/>
              <w:left w:val="nil"/>
              <w:bottom w:val="single" w:sz="4" w:space="0" w:color="auto"/>
              <w:right w:val="single" w:sz="4" w:space="0" w:color="auto"/>
            </w:tcBorders>
          </w:tcPr>
          <w:p w14:paraId="07201A8E" w14:textId="77777777" w:rsidR="00A67F21" w:rsidRPr="00B12FE0" w:rsidRDefault="00000000">
            <w:pPr>
              <w:adjustRightInd w:val="0"/>
              <w:snapToGrid w:val="0"/>
              <w:jc w:val="center"/>
              <w:rPr>
                <w:color w:val="000000" w:themeColor="text1"/>
                <w:sz w:val="21"/>
                <w:szCs w:val="21"/>
              </w:rPr>
            </w:pPr>
            <w:r w:rsidRPr="00B12FE0">
              <w:rPr>
                <w:noProof/>
                <w:color w:val="000000" w:themeColor="text1"/>
                <w:sz w:val="21"/>
                <w:szCs w:val="21"/>
              </w:rPr>
              <w:drawing>
                <wp:inline distT="0" distB="0" distL="0" distR="0" wp14:anchorId="671D0222" wp14:editId="5EE7D1B1">
                  <wp:extent cx="2306320" cy="1573530"/>
                  <wp:effectExtent l="0" t="0" r="0" b="7620"/>
                  <wp:docPr id="120989568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5684" name="图片 57"/>
                          <pic:cNvPicPr>
                            <a:picLocks noChangeAspect="1" noChangeArrowheads="1"/>
                          </pic:cNvPicPr>
                        </pic:nvPicPr>
                        <pic:blipFill>
                          <a:blip r:embed="rId19" cstate="print">
                            <a:extLst>
                              <a:ext uri="{28A0092B-C50C-407E-A947-70E740481C1C}">
                                <a14:useLocalDpi xmlns:a14="http://schemas.microsoft.com/office/drawing/2010/main" val="0"/>
                              </a:ext>
                            </a:extLst>
                          </a:blip>
                          <a:srcRect l="16263"/>
                          <a:stretch>
                            <a:fillRect/>
                          </a:stretch>
                        </pic:blipFill>
                        <pic:spPr>
                          <a:xfrm>
                            <a:off x="0" y="0"/>
                            <a:ext cx="2365150" cy="1613422"/>
                          </a:xfrm>
                          <a:prstGeom prst="rect">
                            <a:avLst/>
                          </a:prstGeom>
                          <a:noFill/>
                          <a:ln>
                            <a:noFill/>
                          </a:ln>
                        </pic:spPr>
                      </pic:pic>
                    </a:graphicData>
                  </a:graphic>
                </wp:inline>
              </w:drawing>
            </w:r>
          </w:p>
        </w:tc>
      </w:tr>
      <w:tr w:rsidR="00A67F21" w:rsidRPr="00B12FE0" w14:paraId="0A97E3F5" w14:textId="77777777">
        <w:trPr>
          <w:jc w:val="center"/>
        </w:trPr>
        <w:tc>
          <w:tcPr>
            <w:tcW w:w="4390" w:type="dxa"/>
            <w:tcBorders>
              <w:top w:val="single" w:sz="4" w:space="0" w:color="auto"/>
              <w:left w:val="single" w:sz="4" w:space="0" w:color="auto"/>
              <w:bottom w:val="single" w:sz="4" w:space="0" w:color="auto"/>
              <w:right w:val="single" w:sz="4" w:space="0" w:color="auto"/>
            </w:tcBorders>
          </w:tcPr>
          <w:p w14:paraId="33774BD4"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肿瘤治疗中心综合楼</w:t>
            </w:r>
            <w:r w:rsidRPr="00B12FE0">
              <w:rPr>
                <w:rFonts w:ascii="宋体" w:hAnsi="宋体"/>
                <w:color w:val="000000" w:themeColor="text1"/>
                <w:sz w:val="21"/>
                <w:szCs w:val="21"/>
              </w:rPr>
              <w:t>东侧</w:t>
            </w:r>
          </w:p>
        </w:tc>
        <w:tc>
          <w:tcPr>
            <w:tcW w:w="4627" w:type="dxa"/>
            <w:tcBorders>
              <w:top w:val="single" w:sz="4" w:space="0" w:color="auto"/>
              <w:left w:val="nil"/>
              <w:bottom w:val="single" w:sz="4" w:space="0" w:color="auto"/>
              <w:right w:val="single" w:sz="4" w:space="0" w:color="auto"/>
            </w:tcBorders>
          </w:tcPr>
          <w:p w14:paraId="02A4E2A7"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肿瘤治疗中心综合楼南侧</w:t>
            </w:r>
          </w:p>
        </w:tc>
      </w:tr>
      <w:tr w:rsidR="00A67F21" w:rsidRPr="00B12FE0" w14:paraId="7AB87F6B" w14:textId="77777777">
        <w:trPr>
          <w:jc w:val="center"/>
        </w:trPr>
        <w:tc>
          <w:tcPr>
            <w:tcW w:w="4390" w:type="dxa"/>
            <w:tcBorders>
              <w:top w:val="single" w:sz="4" w:space="0" w:color="auto"/>
              <w:left w:val="single" w:sz="4" w:space="0" w:color="auto"/>
              <w:bottom w:val="single" w:sz="4" w:space="0" w:color="auto"/>
              <w:right w:val="single" w:sz="4" w:space="0" w:color="auto"/>
            </w:tcBorders>
          </w:tcPr>
          <w:p w14:paraId="0010E5D5" w14:textId="77777777" w:rsidR="00A67F21" w:rsidRPr="00B12FE0" w:rsidRDefault="00000000">
            <w:pPr>
              <w:adjustRightInd w:val="0"/>
              <w:snapToGrid w:val="0"/>
              <w:jc w:val="center"/>
              <w:rPr>
                <w:color w:val="000000" w:themeColor="text1"/>
                <w:sz w:val="21"/>
                <w:szCs w:val="21"/>
              </w:rPr>
            </w:pPr>
            <w:r w:rsidRPr="00B12FE0">
              <w:rPr>
                <w:noProof/>
                <w:color w:val="000000" w:themeColor="text1"/>
                <w:sz w:val="21"/>
                <w:szCs w:val="21"/>
              </w:rPr>
              <w:drawing>
                <wp:inline distT="0" distB="0" distL="0" distR="0" wp14:anchorId="7E6454B4" wp14:editId="6A1282B0">
                  <wp:extent cx="2019935" cy="1516380"/>
                  <wp:effectExtent l="0" t="0" r="0" b="7620"/>
                  <wp:docPr id="4743718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71817" name="图片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29996" cy="1524526"/>
                          </a:xfrm>
                          <a:prstGeom prst="rect">
                            <a:avLst/>
                          </a:prstGeom>
                          <a:noFill/>
                          <a:ln>
                            <a:noFill/>
                          </a:ln>
                        </pic:spPr>
                      </pic:pic>
                    </a:graphicData>
                  </a:graphic>
                </wp:inline>
              </w:drawing>
            </w:r>
          </w:p>
        </w:tc>
        <w:tc>
          <w:tcPr>
            <w:tcW w:w="4627" w:type="dxa"/>
            <w:tcBorders>
              <w:top w:val="single" w:sz="4" w:space="0" w:color="auto"/>
              <w:left w:val="nil"/>
              <w:bottom w:val="single" w:sz="4" w:space="0" w:color="auto"/>
              <w:right w:val="single" w:sz="4" w:space="0" w:color="auto"/>
            </w:tcBorders>
          </w:tcPr>
          <w:p w14:paraId="234DCCDA" w14:textId="77777777" w:rsidR="00A67F21" w:rsidRPr="00B12FE0" w:rsidRDefault="00000000">
            <w:pPr>
              <w:adjustRightInd w:val="0"/>
              <w:snapToGrid w:val="0"/>
              <w:jc w:val="center"/>
              <w:rPr>
                <w:color w:val="000000" w:themeColor="text1"/>
                <w:sz w:val="21"/>
                <w:szCs w:val="21"/>
              </w:rPr>
            </w:pPr>
            <w:r w:rsidRPr="00B12FE0">
              <w:rPr>
                <w:noProof/>
                <w:color w:val="000000" w:themeColor="text1"/>
                <w:sz w:val="21"/>
                <w:szCs w:val="21"/>
              </w:rPr>
              <w:drawing>
                <wp:inline distT="0" distB="0" distL="0" distR="0" wp14:anchorId="632C792B" wp14:editId="3C3161A7">
                  <wp:extent cx="2351405" cy="1539875"/>
                  <wp:effectExtent l="0" t="0" r="0" b="3175"/>
                  <wp:docPr id="1916284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8474" name="图片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94782" cy="1568566"/>
                          </a:xfrm>
                          <a:prstGeom prst="rect">
                            <a:avLst/>
                          </a:prstGeom>
                          <a:noFill/>
                          <a:ln>
                            <a:noFill/>
                          </a:ln>
                        </pic:spPr>
                      </pic:pic>
                    </a:graphicData>
                  </a:graphic>
                </wp:inline>
              </w:drawing>
            </w:r>
          </w:p>
        </w:tc>
      </w:tr>
      <w:tr w:rsidR="00A67F21" w:rsidRPr="00B12FE0" w14:paraId="3C4430E4" w14:textId="77777777">
        <w:trPr>
          <w:jc w:val="center"/>
        </w:trPr>
        <w:tc>
          <w:tcPr>
            <w:tcW w:w="4390" w:type="dxa"/>
            <w:tcBorders>
              <w:top w:val="single" w:sz="4" w:space="0" w:color="auto"/>
              <w:left w:val="single" w:sz="4" w:space="0" w:color="auto"/>
              <w:bottom w:val="single" w:sz="4" w:space="0" w:color="auto"/>
              <w:right w:val="single" w:sz="4" w:space="0" w:color="auto"/>
            </w:tcBorders>
          </w:tcPr>
          <w:p w14:paraId="12FD239C"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肿瘤治疗中心综合楼西侧</w:t>
            </w:r>
          </w:p>
        </w:tc>
        <w:tc>
          <w:tcPr>
            <w:tcW w:w="4627" w:type="dxa"/>
            <w:tcBorders>
              <w:top w:val="single" w:sz="4" w:space="0" w:color="auto"/>
              <w:left w:val="nil"/>
              <w:bottom w:val="single" w:sz="4" w:space="0" w:color="auto"/>
              <w:right w:val="single" w:sz="4" w:space="0" w:color="auto"/>
            </w:tcBorders>
          </w:tcPr>
          <w:p w14:paraId="144BD557"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肿瘤治疗中心综合楼北侧</w:t>
            </w:r>
          </w:p>
        </w:tc>
      </w:tr>
    </w:tbl>
    <w:p w14:paraId="1F145CD8" w14:textId="77777777" w:rsidR="00A67F21" w:rsidRPr="00B12FE0" w:rsidRDefault="00000000">
      <w:pPr>
        <w:spacing w:line="360" w:lineRule="auto"/>
        <w:ind w:firstLineChars="200" w:firstLine="422"/>
        <w:jc w:val="center"/>
        <w:rPr>
          <w:b/>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 xml:space="preserve">8.1-1  </w:t>
      </w:r>
      <w:r w:rsidRPr="00B12FE0">
        <w:rPr>
          <w:rFonts w:ascii="宋体" w:hAnsi="宋体"/>
          <w:b/>
          <w:color w:val="000000" w:themeColor="text1"/>
          <w:sz w:val="21"/>
          <w:szCs w:val="21"/>
        </w:rPr>
        <w:t>项目场址现状图</w:t>
      </w:r>
    </w:p>
    <w:p w14:paraId="6B3A7EEB"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color w:val="000000" w:themeColor="text1"/>
        </w:rPr>
        <w:t>本项目核医学科核素制备场所位于肿瘤治疗中心综合楼一层</w:t>
      </w:r>
      <w:r w:rsidRPr="00B12FE0">
        <w:rPr>
          <w:rFonts w:hint="eastAsia"/>
          <w:color w:val="000000" w:themeColor="text1"/>
        </w:rPr>
        <w:t>西</w:t>
      </w:r>
      <w:r w:rsidRPr="00B12FE0">
        <w:rPr>
          <w:color w:val="000000" w:themeColor="text1"/>
        </w:rPr>
        <w:t>侧、</w:t>
      </w:r>
      <w:r w:rsidRPr="00B12FE0">
        <w:rPr>
          <w:rFonts w:hint="eastAsia"/>
          <w:color w:val="000000" w:themeColor="text1"/>
        </w:rPr>
        <w:t>核素诊断场所</w:t>
      </w:r>
      <w:r w:rsidRPr="00B12FE0">
        <w:rPr>
          <w:color w:val="000000" w:themeColor="text1"/>
        </w:rPr>
        <w:t>位于一层</w:t>
      </w:r>
      <w:r w:rsidRPr="00B12FE0">
        <w:rPr>
          <w:rFonts w:hint="eastAsia"/>
          <w:color w:val="000000" w:themeColor="text1"/>
        </w:rPr>
        <w:t>南</w:t>
      </w:r>
      <w:r w:rsidRPr="00B12FE0">
        <w:rPr>
          <w:color w:val="000000" w:themeColor="text1"/>
        </w:rPr>
        <w:t>侧、核素治疗场所位于</w:t>
      </w:r>
      <w:r w:rsidRPr="00B12FE0">
        <w:rPr>
          <w:rFonts w:hint="eastAsia"/>
          <w:color w:val="000000" w:themeColor="text1"/>
        </w:rPr>
        <w:t>二</w:t>
      </w:r>
      <w:r w:rsidRPr="00B12FE0">
        <w:rPr>
          <w:color w:val="000000" w:themeColor="text1"/>
        </w:rPr>
        <w:t>层</w:t>
      </w:r>
      <w:r w:rsidRPr="00B12FE0">
        <w:rPr>
          <w:rFonts w:hint="eastAsia"/>
          <w:color w:val="000000" w:themeColor="text1"/>
        </w:rPr>
        <w:t>南</w:t>
      </w:r>
      <w:r w:rsidRPr="00B12FE0">
        <w:rPr>
          <w:color w:val="000000" w:themeColor="text1"/>
        </w:rPr>
        <w:t>侧，放疗科项目位于肿瘤治疗中心综合楼一层北侧。具体位置见附图</w:t>
      </w:r>
      <w:r w:rsidRPr="00B12FE0">
        <w:rPr>
          <w:rFonts w:hint="eastAsia"/>
          <w:color w:val="000000" w:themeColor="text1"/>
        </w:rPr>
        <w:t>3</w:t>
      </w:r>
      <w:r w:rsidRPr="00B12FE0">
        <w:rPr>
          <w:rFonts w:hint="eastAsia"/>
          <w:color w:val="000000" w:themeColor="text1"/>
        </w:rPr>
        <w:t>和</w:t>
      </w:r>
      <w:r w:rsidRPr="00B12FE0">
        <w:rPr>
          <w:color w:val="000000" w:themeColor="text1"/>
        </w:rPr>
        <w:t>附图</w:t>
      </w:r>
      <w:r w:rsidRPr="00B12FE0">
        <w:rPr>
          <w:rFonts w:hint="eastAsia"/>
          <w:color w:val="000000" w:themeColor="text1"/>
        </w:rPr>
        <w:t>4</w:t>
      </w:r>
      <w:r w:rsidRPr="00B12FE0">
        <w:rPr>
          <w:color w:val="000000" w:themeColor="text1"/>
        </w:rPr>
        <w:t>。</w:t>
      </w:r>
    </w:p>
    <w:p w14:paraId="3E23DCE8" w14:textId="77777777" w:rsidR="00A67F21" w:rsidRPr="00B12FE0" w:rsidRDefault="00000000">
      <w:pPr>
        <w:pStyle w:val="TableParagraph"/>
        <w:pBdr>
          <w:top w:val="none" w:sz="0" w:space="1" w:color="auto"/>
          <w:left w:val="none" w:sz="0" w:space="4" w:color="auto"/>
          <w:bottom w:val="none" w:sz="0" w:space="1" w:color="auto"/>
          <w:right w:val="none" w:sz="0" w:space="4" w:color="auto"/>
        </w:pBdr>
        <w:autoSpaceDE/>
        <w:autoSpaceDN/>
        <w:spacing w:line="360" w:lineRule="auto"/>
        <w:outlineLvl w:val="1"/>
        <w:rPr>
          <w:b/>
          <w:bCs/>
          <w:color w:val="000000" w:themeColor="text1"/>
          <w:spacing w:val="1"/>
          <w:sz w:val="28"/>
          <w:szCs w:val="28"/>
        </w:rPr>
      </w:pPr>
      <w:r w:rsidRPr="00B12FE0">
        <w:rPr>
          <w:b/>
          <w:bCs/>
          <w:color w:val="000000" w:themeColor="text1"/>
          <w:spacing w:val="1"/>
          <w:sz w:val="28"/>
          <w:szCs w:val="28"/>
        </w:rPr>
        <w:t>8.</w:t>
      </w:r>
      <w:r w:rsidRPr="00B12FE0">
        <w:rPr>
          <w:rFonts w:hint="eastAsia"/>
          <w:b/>
          <w:bCs/>
          <w:color w:val="000000" w:themeColor="text1"/>
          <w:spacing w:val="1"/>
          <w:sz w:val="28"/>
          <w:szCs w:val="28"/>
        </w:rPr>
        <w:t>2</w:t>
      </w:r>
      <w:r w:rsidRPr="00B12FE0">
        <w:rPr>
          <w:rFonts w:hint="eastAsia"/>
          <w:b/>
          <w:bCs/>
          <w:color w:val="000000" w:themeColor="text1"/>
          <w:spacing w:val="1"/>
          <w:sz w:val="28"/>
          <w:szCs w:val="28"/>
        </w:rPr>
        <w:t>环境现状评价的对象、监测因子和监测点位</w:t>
      </w:r>
    </w:p>
    <w:p w14:paraId="00DE7A8A"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outlineLvl w:val="2"/>
        <w:rPr>
          <w:b/>
          <w:bCs/>
          <w:color w:val="000000" w:themeColor="text1"/>
        </w:rPr>
      </w:pPr>
      <w:r w:rsidRPr="00B12FE0">
        <w:rPr>
          <w:rFonts w:hint="eastAsia"/>
          <w:b/>
          <w:bCs/>
          <w:color w:val="000000" w:themeColor="text1"/>
        </w:rPr>
        <w:t>8</w:t>
      </w:r>
      <w:r w:rsidRPr="00B12FE0">
        <w:rPr>
          <w:b/>
          <w:bCs/>
          <w:color w:val="000000" w:themeColor="text1"/>
        </w:rPr>
        <w:t>.</w:t>
      </w:r>
      <w:r w:rsidRPr="00B12FE0">
        <w:rPr>
          <w:rFonts w:hint="eastAsia"/>
          <w:b/>
          <w:bCs/>
          <w:color w:val="000000" w:themeColor="text1"/>
        </w:rPr>
        <w:t>2</w:t>
      </w:r>
      <w:r w:rsidRPr="00B12FE0">
        <w:rPr>
          <w:b/>
          <w:bCs/>
          <w:color w:val="000000" w:themeColor="text1"/>
        </w:rPr>
        <w:t>.1</w:t>
      </w:r>
      <w:r w:rsidRPr="00B12FE0">
        <w:rPr>
          <w:rFonts w:hint="eastAsia"/>
          <w:b/>
          <w:bCs/>
          <w:color w:val="000000" w:themeColor="text1"/>
        </w:rPr>
        <w:t>环境现状评价的对象</w:t>
      </w:r>
    </w:p>
    <w:p w14:paraId="720FB3D5"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color w:val="000000" w:themeColor="text1"/>
        </w:rPr>
        <w:t>拟建辐射项目区域及周边环境</w:t>
      </w:r>
    </w:p>
    <w:p w14:paraId="5F72D8F5"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outlineLvl w:val="2"/>
        <w:rPr>
          <w:b/>
          <w:bCs/>
          <w:color w:val="000000" w:themeColor="text1"/>
        </w:rPr>
      </w:pPr>
      <w:r w:rsidRPr="00B12FE0">
        <w:rPr>
          <w:rFonts w:hint="eastAsia"/>
          <w:b/>
          <w:bCs/>
          <w:color w:val="000000" w:themeColor="text1"/>
        </w:rPr>
        <w:t>8</w:t>
      </w:r>
      <w:r w:rsidRPr="00B12FE0">
        <w:rPr>
          <w:b/>
          <w:bCs/>
          <w:color w:val="000000" w:themeColor="text1"/>
        </w:rPr>
        <w:t>.</w:t>
      </w:r>
      <w:r w:rsidRPr="00B12FE0">
        <w:rPr>
          <w:rFonts w:hint="eastAsia"/>
          <w:b/>
          <w:bCs/>
          <w:color w:val="000000" w:themeColor="text1"/>
        </w:rPr>
        <w:t>2</w:t>
      </w:r>
      <w:r w:rsidRPr="00B12FE0">
        <w:rPr>
          <w:b/>
          <w:bCs/>
          <w:color w:val="000000" w:themeColor="text1"/>
        </w:rPr>
        <w:t>.2</w:t>
      </w:r>
      <w:r w:rsidRPr="00B12FE0">
        <w:rPr>
          <w:rFonts w:hint="eastAsia"/>
          <w:b/>
          <w:bCs/>
          <w:color w:val="000000" w:themeColor="text1"/>
        </w:rPr>
        <w:t>监测因子</w:t>
      </w:r>
    </w:p>
    <w:p w14:paraId="53FA07A5"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color w:val="000000" w:themeColor="text1"/>
        </w:rPr>
        <w:t>γ</w:t>
      </w:r>
      <w:r w:rsidRPr="00B12FE0">
        <w:rPr>
          <w:color w:val="000000" w:themeColor="text1"/>
        </w:rPr>
        <w:t>辐射剂量率、</w:t>
      </w:r>
      <w:r w:rsidRPr="00B12FE0">
        <w:rPr>
          <w:color w:val="000000" w:themeColor="text1"/>
        </w:rPr>
        <w:t>β</w:t>
      </w:r>
      <w:r w:rsidRPr="00B12FE0">
        <w:rPr>
          <w:color w:val="000000" w:themeColor="text1"/>
        </w:rPr>
        <w:t>表面污染、中子剂量当量率</w:t>
      </w:r>
    </w:p>
    <w:p w14:paraId="3A041A36" w14:textId="77777777" w:rsidR="00A67F21" w:rsidRPr="00B12FE0" w:rsidRDefault="00000000">
      <w:pPr>
        <w:pStyle w:val="TableParagraph"/>
        <w:pBdr>
          <w:top w:val="none" w:sz="0" w:space="1" w:color="auto"/>
          <w:left w:val="none" w:sz="0" w:space="4" w:color="auto"/>
          <w:bottom w:val="none" w:sz="0" w:space="1" w:color="auto"/>
          <w:right w:val="none" w:sz="0" w:space="4" w:color="auto"/>
        </w:pBdr>
        <w:autoSpaceDE/>
        <w:autoSpaceDN/>
        <w:spacing w:line="360" w:lineRule="auto"/>
        <w:outlineLvl w:val="2"/>
        <w:rPr>
          <w:b/>
          <w:bCs/>
          <w:color w:val="000000" w:themeColor="text1"/>
          <w:spacing w:val="1"/>
        </w:rPr>
      </w:pPr>
      <w:r w:rsidRPr="00B12FE0">
        <w:rPr>
          <w:rFonts w:hint="eastAsia"/>
          <w:b/>
          <w:bCs/>
          <w:color w:val="000000" w:themeColor="text1"/>
          <w:spacing w:val="1"/>
        </w:rPr>
        <w:t>8</w:t>
      </w:r>
      <w:r w:rsidRPr="00B12FE0">
        <w:rPr>
          <w:b/>
          <w:bCs/>
          <w:color w:val="000000" w:themeColor="text1"/>
          <w:spacing w:val="1"/>
        </w:rPr>
        <w:t>.</w:t>
      </w:r>
      <w:r w:rsidRPr="00B12FE0">
        <w:rPr>
          <w:rFonts w:hint="eastAsia"/>
          <w:b/>
          <w:bCs/>
          <w:color w:val="000000" w:themeColor="text1"/>
          <w:spacing w:val="1"/>
        </w:rPr>
        <w:t>2</w:t>
      </w:r>
      <w:r w:rsidRPr="00B12FE0">
        <w:rPr>
          <w:b/>
          <w:bCs/>
          <w:color w:val="000000" w:themeColor="text1"/>
          <w:spacing w:val="1"/>
        </w:rPr>
        <w:t>.3</w:t>
      </w:r>
      <w:r w:rsidRPr="00B12FE0">
        <w:rPr>
          <w:rFonts w:hint="eastAsia"/>
          <w:b/>
          <w:bCs/>
          <w:color w:val="000000" w:themeColor="text1"/>
          <w:spacing w:val="1"/>
        </w:rPr>
        <w:t>监测点位</w:t>
      </w:r>
    </w:p>
    <w:p w14:paraId="4A6E5837"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ind w:firstLineChars="200" w:firstLine="480"/>
        <w:rPr>
          <w:bCs/>
          <w:color w:val="000000" w:themeColor="text1"/>
        </w:rPr>
      </w:pPr>
      <w:r w:rsidRPr="00B12FE0">
        <w:rPr>
          <w:rFonts w:hint="eastAsia"/>
          <w:bCs/>
          <w:color w:val="000000" w:themeColor="text1"/>
        </w:rPr>
        <w:t>由于本项目拟建的辐射工作场所尚未建设完成，拟建区域内环境状况较为单一。考虑兼顾点位现状可到达性的条件下，在项目所在地块用地红线周边均匀布设监测</w:t>
      </w:r>
      <w:r w:rsidRPr="00B12FE0">
        <w:rPr>
          <w:rFonts w:hint="eastAsia"/>
          <w:bCs/>
          <w:color w:val="000000" w:themeColor="text1"/>
        </w:rPr>
        <w:lastRenderedPageBreak/>
        <w:t>点，并且在核技术利用项目所在区域拟建位置布设监测点，所布点位能反映本项目评价范围内拟建场所的辐射环境现状水平。具体周围辐射环境质量现状监测点位布置见下图、监测点位置描述见下表。</w:t>
      </w:r>
    </w:p>
    <w:p w14:paraId="063B2494" w14:textId="77777777" w:rsidR="00A67F21" w:rsidRPr="00B12FE0" w:rsidRDefault="00000000">
      <w:pPr>
        <w:pBdr>
          <w:top w:val="none" w:sz="0" w:space="1" w:color="auto"/>
          <w:left w:val="none" w:sz="0" w:space="4" w:color="auto"/>
          <w:bottom w:val="none" w:sz="0" w:space="1" w:color="auto"/>
          <w:right w:val="none" w:sz="0" w:space="4" w:color="auto"/>
        </w:pBdr>
        <w:jc w:val="center"/>
        <w:rPr>
          <w:b/>
          <w:color w:val="000000" w:themeColor="text1"/>
          <w:sz w:val="21"/>
          <w:szCs w:val="21"/>
        </w:rPr>
      </w:pPr>
      <w:r w:rsidRPr="00B12FE0">
        <w:rPr>
          <w:b/>
          <w:noProof/>
          <w:color w:val="000000" w:themeColor="text1"/>
          <w:sz w:val="21"/>
          <w:szCs w:val="21"/>
        </w:rPr>
        <w:drawing>
          <wp:inline distT="0" distB="0" distL="0" distR="0" wp14:anchorId="4D7C273F" wp14:editId="2EFA8516">
            <wp:extent cx="5732145" cy="3755390"/>
            <wp:effectExtent l="0" t="0" r="1905" b="0"/>
            <wp:docPr id="166011290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12900" name="图片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2145" cy="3755390"/>
                    </a:xfrm>
                    <a:prstGeom prst="rect">
                      <a:avLst/>
                    </a:prstGeom>
                    <a:noFill/>
                    <a:ln>
                      <a:noFill/>
                    </a:ln>
                  </pic:spPr>
                </pic:pic>
              </a:graphicData>
            </a:graphic>
          </wp:inline>
        </w:drawing>
      </w:r>
    </w:p>
    <w:p w14:paraId="25F6F924" w14:textId="77777777" w:rsidR="00A67F21" w:rsidRPr="00B12FE0" w:rsidRDefault="00000000">
      <w:pPr>
        <w:pBdr>
          <w:top w:val="none" w:sz="0" w:space="1" w:color="auto"/>
          <w:left w:val="none" w:sz="0" w:space="4" w:color="auto"/>
          <w:bottom w:val="none" w:sz="0" w:space="1" w:color="auto"/>
          <w:right w:val="none" w:sz="0" w:space="4" w:color="auto"/>
        </w:pBdr>
        <w:jc w:val="center"/>
        <w:rPr>
          <w:b/>
          <w:color w:val="000000" w:themeColor="text1"/>
          <w:sz w:val="21"/>
          <w:szCs w:val="21"/>
        </w:rPr>
      </w:pPr>
      <w:r w:rsidRPr="00B12FE0">
        <w:rPr>
          <w:b/>
          <w:color w:val="000000" w:themeColor="text1"/>
          <w:sz w:val="21"/>
          <w:szCs w:val="21"/>
        </w:rPr>
        <w:t>图</w:t>
      </w:r>
      <w:r w:rsidRPr="00B12FE0">
        <w:rPr>
          <w:b/>
          <w:color w:val="000000" w:themeColor="text1"/>
          <w:sz w:val="21"/>
          <w:szCs w:val="21"/>
        </w:rPr>
        <w:t>8.3</w:t>
      </w:r>
      <w:r w:rsidRPr="00B12FE0">
        <w:rPr>
          <w:rFonts w:hint="eastAsia"/>
          <w:b/>
          <w:color w:val="000000" w:themeColor="text1"/>
          <w:sz w:val="21"/>
          <w:szCs w:val="21"/>
        </w:rPr>
        <w:t>.3</w:t>
      </w:r>
      <w:r w:rsidRPr="00B12FE0">
        <w:rPr>
          <w:b/>
          <w:color w:val="000000" w:themeColor="text1"/>
          <w:sz w:val="21"/>
          <w:szCs w:val="21"/>
        </w:rPr>
        <w:t>-1</w:t>
      </w:r>
      <w:r w:rsidRPr="00B12FE0">
        <w:rPr>
          <w:rFonts w:hint="eastAsia"/>
          <w:b/>
          <w:color w:val="000000" w:themeColor="text1"/>
          <w:sz w:val="21"/>
          <w:szCs w:val="21"/>
        </w:rPr>
        <w:t xml:space="preserve">   </w:t>
      </w:r>
      <w:r w:rsidRPr="00B12FE0">
        <w:rPr>
          <w:b/>
          <w:color w:val="000000" w:themeColor="text1"/>
          <w:sz w:val="21"/>
          <w:szCs w:val="21"/>
        </w:rPr>
        <w:t>监测点位</w:t>
      </w:r>
      <w:r w:rsidRPr="00B12FE0">
        <w:rPr>
          <w:rFonts w:hint="eastAsia"/>
          <w:b/>
          <w:color w:val="000000" w:themeColor="text1"/>
          <w:sz w:val="21"/>
          <w:szCs w:val="21"/>
        </w:rPr>
        <w:t>布置</w:t>
      </w:r>
      <w:r w:rsidRPr="00B12FE0">
        <w:rPr>
          <w:b/>
          <w:color w:val="000000" w:themeColor="text1"/>
          <w:sz w:val="21"/>
          <w:szCs w:val="21"/>
        </w:rPr>
        <w:t>图</w:t>
      </w:r>
    </w:p>
    <w:p w14:paraId="0EC09679" w14:textId="77777777" w:rsidR="00A67F21" w:rsidRPr="00B12FE0" w:rsidRDefault="00A67F21">
      <w:pPr>
        <w:pBdr>
          <w:top w:val="none" w:sz="0" w:space="1" w:color="auto"/>
          <w:left w:val="none" w:sz="0" w:space="4" w:color="auto"/>
          <w:bottom w:val="none" w:sz="0" w:space="1" w:color="auto"/>
          <w:right w:val="none" w:sz="0" w:space="4" w:color="auto"/>
        </w:pBdr>
        <w:jc w:val="center"/>
        <w:rPr>
          <w:b/>
          <w:color w:val="000000" w:themeColor="text1"/>
          <w:sz w:val="21"/>
          <w:szCs w:val="21"/>
        </w:rPr>
      </w:pPr>
    </w:p>
    <w:p w14:paraId="0D5962DF" w14:textId="77777777" w:rsidR="00A67F21" w:rsidRPr="00B12FE0" w:rsidRDefault="00000000">
      <w:pPr>
        <w:pStyle w:val="TableParagraph"/>
        <w:pBdr>
          <w:top w:val="none" w:sz="0" w:space="1" w:color="auto"/>
          <w:left w:val="none" w:sz="0" w:space="4" w:color="auto"/>
          <w:bottom w:val="none" w:sz="0" w:space="1" w:color="auto"/>
          <w:right w:val="none" w:sz="0" w:space="4" w:color="auto"/>
        </w:pBdr>
        <w:autoSpaceDE/>
        <w:autoSpaceDN/>
        <w:spacing w:line="360" w:lineRule="auto"/>
        <w:outlineLvl w:val="1"/>
        <w:rPr>
          <w:b/>
          <w:bCs/>
          <w:color w:val="000000" w:themeColor="text1"/>
          <w:spacing w:val="1"/>
          <w:sz w:val="28"/>
          <w:szCs w:val="28"/>
        </w:rPr>
      </w:pPr>
      <w:r w:rsidRPr="00B12FE0">
        <w:rPr>
          <w:b/>
          <w:bCs/>
          <w:color w:val="000000" w:themeColor="text1"/>
          <w:spacing w:val="1"/>
          <w:sz w:val="28"/>
          <w:szCs w:val="28"/>
        </w:rPr>
        <w:t>8.4</w:t>
      </w:r>
      <w:r w:rsidRPr="00B12FE0">
        <w:rPr>
          <w:b/>
          <w:bCs/>
          <w:color w:val="000000" w:themeColor="text1"/>
          <w:spacing w:val="1"/>
          <w:sz w:val="28"/>
          <w:szCs w:val="28"/>
        </w:rPr>
        <w:t>监测</w:t>
      </w:r>
      <w:r w:rsidRPr="00B12FE0">
        <w:rPr>
          <w:rFonts w:hint="eastAsia"/>
          <w:b/>
          <w:bCs/>
          <w:color w:val="000000" w:themeColor="text1"/>
          <w:spacing w:val="1"/>
          <w:sz w:val="28"/>
          <w:szCs w:val="28"/>
        </w:rPr>
        <w:t>方案、质量保证措施</w:t>
      </w:r>
      <w:r w:rsidRPr="00B12FE0">
        <w:rPr>
          <w:b/>
          <w:bCs/>
          <w:color w:val="000000" w:themeColor="text1"/>
          <w:spacing w:val="1"/>
          <w:sz w:val="28"/>
          <w:szCs w:val="28"/>
        </w:rPr>
        <w:t>和监测结果</w:t>
      </w:r>
    </w:p>
    <w:p w14:paraId="3932C05B" w14:textId="77777777" w:rsidR="00A67F21" w:rsidRPr="00B12FE0" w:rsidRDefault="00000000">
      <w:pPr>
        <w:pStyle w:val="TableParagraph"/>
        <w:pBdr>
          <w:top w:val="none" w:sz="0" w:space="1" w:color="auto"/>
          <w:left w:val="none" w:sz="0" w:space="4" w:color="auto"/>
          <w:bottom w:val="none" w:sz="0" w:space="1" w:color="auto"/>
          <w:right w:val="none" w:sz="0" w:space="4" w:color="auto"/>
        </w:pBdr>
        <w:autoSpaceDE/>
        <w:autoSpaceDN/>
        <w:spacing w:line="360" w:lineRule="auto"/>
        <w:outlineLvl w:val="2"/>
        <w:rPr>
          <w:b/>
          <w:bCs/>
          <w:color w:val="000000" w:themeColor="text1"/>
          <w:spacing w:val="1"/>
        </w:rPr>
      </w:pPr>
      <w:r w:rsidRPr="00B12FE0">
        <w:rPr>
          <w:rFonts w:hint="eastAsia"/>
          <w:b/>
          <w:bCs/>
          <w:color w:val="000000" w:themeColor="text1"/>
          <w:spacing w:val="1"/>
        </w:rPr>
        <w:t>8.4.1</w:t>
      </w:r>
      <w:r w:rsidRPr="00B12FE0">
        <w:rPr>
          <w:rFonts w:hint="eastAsia"/>
          <w:b/>
          <w:bCs/>
          <w:color w:val="000000" w:themeColor="text1"/>
          <w:spacing w:val="1"/>
        </w:rPr>
        <w:t>监测方案</w:t>
      </w:r>
    </w:p>
    <w:p w14:paraId="6B0A3780"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rPr>
        <w:t>（</w:t>
      </w:r>
      <w:r w:rsidRPr="00B12FE0">
        <w:rPr>
          <w:color w:val="000000" w:themeColor="text1"/>
        </w:rPr>
        <w:t>1</w:t>
      </w:r>
      <w:r w:rsidRPr="00B12FE0">
        <w:rPr>
          <w:rFonts w:ascii="宋体" w:hAnsi="宋体" w:cs="宋体" w:hint="eastAsia"/>
          <w:color w:val="000000" w:themeColor="text1"/>
        </w:rPr>
        <w:t>）</w:t>
      </w:r>
      <w:r w:rsidRPr="00B12FE0">
        <w:rPr>
          <w:color w:val="000000" w:themeColor="text1"/>
        </w:rPr>
        <w:t>监测单位：浙江建安检测研究院有限公司</w:t>
      </w:r>
    </w:p>
    <w:p w14:paraId="02001E8B"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rPr>
        <w:t>（</w:t>
      </w:r>
      <w:r w:rsidRPr="00B12FE0">
        <w:rPr>
          <w:color w:val="000000" w:themeColor="text1"/>
        </w:rPr>
        <w:t>2</w:t>
      </w:r>
      <w:r w:rsidRPr="00B12FE0">
        <w:rPr>
          <w:rFonts w:ascii="宋体" w:hAnsi="宋体" w:cs="宋体" w:hint="eastAsia"/>
          <w:color w:val="000000" w:themeColor="text1"/>
        </w:rPr>
        <w:t>）</w:t>
      </w:r>
      <w:r w:rsidRPr="00B12FE0">
        <w:rPr>
          <w:color w:val="000000" w:themeColor="text1"/>
        </w:rPr>
        <w:t>监测日期：</w:t>
      </w:r>
      <w:r w:rsidRPr="00B12FE0">
        <w:rPr>
          <w:color w:val="000000" w:themeColor="text1"/>
        </w:rPr>
        <w:t>202</w:t>
      </w:r>
      <w:r w:rsidRPr="00B12FE0">
        <w:rPr>
          <w:rFonts w:hint="eastAsia"/>
          <w:color w:val="000000" w:themeColor="text1"/>
        </w:rPr>
        <w:t>6</w:t>
      </w:r>
      <w:r w:rsidRPr="00B12FE0">
        <w:rPr>
          <w:color w:val="000000" w:themeColor="text1"/>
        </w:rPr>
        <w:t>年</w:t>
      </w:r>
      <w:r w:rsidRPr="00B12FE0">
        <w:rPr>
          <w:rFonts w:hint="eastAsia"/>
          <w:color w:val="000000" w:themeColor="text1"/>
        </w:rPr>
        <w:t>1</w:t>
      </w:r>
      <w:r w:rsidRPr="00B12FE0">
        <w:rPr>
          <w:color w:val="000000" w:themeColor="text1"/>
        </w:rPr>
        <w:t>月</w:t>
      </w:r>
      <w:r w:rsidRPr="00B12FE0">
        <w:rPr>
          <w:rFonts w:hint="eastAsia"/>
          <w:color w:val="000000" w:themeColor="text1"/>
        </w:rPr>
        <w:t>21</w:t>
      </w:r>
      <w:r w:rsidRPr="00B12FE0">
        <w:rPr>
          <w:color w:val="000000" w:themeColor="text1"/>
        </w:rPr>
        <w:t>日</w:t>
      </w:r>
    </w:p>
    <w:p w14:paraId="59A0637B"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rPr>
        <w:t>（</w:t>
      </w:r>
      <w:r w:rsidRPr="00B12FE0">
        <w:rPr>
          <w:color w:val="000000" w:themeColor="text1"/>
        </w:rPr>
        <w:t>3</w:t>
      </w:r>
      <w:r w:rsidRPr="00B12FE0">
        <w:rPr>
          <w:rFonts w:ascii="宋体" w:hAnsi="宋体" w:cs="宋体" w:hint="eastAsia"/>
          <w:color w:val="000000" w:themeColor="text1"/>
        </w:rPr>
        <w:t>）</w:t>
      </w:r>
      <w:r w:rsidRPr="00B12FE0">
        <w:rPr>
          <w:color w:val="000000" w:themeColor="text1"/>
        </w:rPr>
        <w:t>监测条件：</w:t>
      </w:r>
      <w:r w:rsidRPr="00B12FE0">
        <w:rPr>
          <w:color w:val="000000" w:themeColor="text1"/>
          <w:szCs w:val="21"/>
        </w:rPr>
        <w:t>温度</w:t>
      </w:r>
      <w:r w:rsidRPr="00B12FE0">
        <w:rPr>
          <w:rFonts w:hint="eastAsia"/>
          <w:color w:val="000000" w:themeColor="text1"/>
          <w:szCs w:val="21"/>
        </w:rPr>
        <w:t>-8</w:t>
      </w:r>
      <w:r w:rsidRPr="00B12FE0">
        <w:rPr>
          <w:color w:val="000000" w:themeColor="text1"/>
          <w:szCs w:val="21"/>
        </w:rPr>
        <w:t>℃</w:t>
      </w:r>
      <w:r w:rsidRPr="00B12FE0">
        <w:rPr>
          <w:rFonts w:hint="eastAsia"/>
          <w:color w:val="000000" w:themeColor="text1"/>
          <w:szCs w:val="21"/>
        </w:rPr>
        <w:t>，</w:t>
      </w:r>
      <w:r w:rsidRPr="00B12FE0">
        <w:rPr>
          <w:color w:val="000000" w:themeColor="text1"/>
          <w:szCs w:val="21"/>
        </w:rPr>
        <w:t>相对湿度</w:t>
      </w:r>
      <w:r w:rsidRPr="00B12FE0">
        <w:rPr>
          <w:rFonts w:hint="eastAsia"/>
          <w:color w:val="000000" w:themeColor="text1"/>
          <w:szCs w:val="21"/>
        </w:rPr>
        <w:t>43</w:t>
      </w:r>
      <w:r w:rsidRPr="00B12FE0">
        <w:rPr>
          <w:color w:val="000000" w:themeColor="text1"/>
          <w:szCs w:val="21"/>
        </w:rPr>
        <w:t>%</w:t>
      </w:r>
      <w:r w:rsidRPr="00B12FE0">
        <w:rPr>
          <w:rFonts w:hint="eastAsia"/>
          <w:color w:val="000000" w:themeColor="text1"/>
          <w:szCs w:val="21"/>
        </w:rPr>
        <w:t>，晴</w:t>
      </w:r>
    </w:p>
    <w:p w14:paraId="79154D3C"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rPr>
        <w:t>（</w:t>
      </w:r>
      <w:r w:rsidRPr="00B12FE0">
        <w:rPr>
          <w:color w:val="000000" w:themeColor="text1"/>
        </w:rPr>
        <w:t>4</w:t>
      </w:r>
      <w:r w:rsidRPr="00B12FE0">
        <w:rPr>
          <w:rFonts w:ascii="宋体" w:hAnsi="宋体" w:cs="宋体" w:hint="eastAsia"/>
          <w:color w:val="000000" w:themeColor="text1"/>
        </w:rPr>
        <w:t>）</w:t>
      </w:r>
      <w:r w:rsidRPr="00B12FE0">
        <w:rPr>
          <w:color w:val="000000" w:themeColor="text1"/>
        </w:rPr>
        <w:t>监测</w:t>
      </w:r>
      <w:r w:rsidRPr="00B12FE0">
        <w:rPr>
          <w:rFonts w:hint="eastAsia"/>
          <w:color w:val="000000" w:themeColor="text1"/>
        </w:rPr>
        <w:t>依据</w:t>
      </w:r>
      <w:r w:rsidRPr="00B12FE0">
        <w:rPr>
          <w:color w:val="000000" w:themeColor="text1"/>
        </w:rPr>
        <w:t>：</w:t>
      </w:r>
    </w:p>
    <w:p w14:paraId="4140E8B0"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color w:val="000000" w:themeColor="text1"/>
        </w:rPr>
        <w:t>（</w:t>
      </w:r>
      <w:r w:rsidRPr="00B12FE0">
        <w:rPr>
          <w:color w:val="000000" w:themeColor="text1"/>
        </w:rPr>
        <w:t>HJ 1157-2021</w:t>
      </w:r>
      <w:r w:rsidRPr="00B12FE0">
        <w:rPr>
          <w:color w:val="000000" w:themeColor="text1"/>
        </w:rPr>
        <w:t>）《环境</w:t>
      </w:r>
      <w:r w:rsidRPr="00B12FE0">
        <w:rPr>
          <w:color w:val="000000" w:themeColor="text1"/>
        </w:rPr>
        <w:t>γ</w:t>
      </w:r>
      <w:r w:rsidRPr="00B12FE0">
        <w:rPr>
          <w:color w:val="000000" w:themeColor="text1"/>
        </w:rPr>
        <w:t>辐射剂量率测量技术规范》</w:t>
      </w:r>
    </w:p>
    <w:p w14:paraId="722B855F"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color w:val="000000" w:themeColor="text1"/>
        </w:rPr>
        <w:t>GB/T 14056.1-2008</w:t>
      </w:r>
      <w:r w:rsidRPr="00B12FE0">
        <w:rPr>
          <w:rFonts w:hint="eastAsia"/>
          <w:color w:val="000000" w:themeColor="text1"/>
        </w:rPr>
        <w:t>）</w:t>
      </w:r>
      <w:r w:rsidRPr="00B12FE0">
        <w:rPr>
          <w:color w:val="000000" w:themeColor="text1"/>
        </w:rPr>
        <w:t>《表面污染测定</w:t>
      </w:r>
      <w:r w:rsidRPr="00B12FE0">
        <w:rPr>
          <w:rFonts w:hint="eastAsia"/>
          <w:color w:val="000000" w:themeColor="text1"/>
        </w:rPr>
        <w:t xml:space="preserve"> </w:t>
      </w:r>
      <w:r w:rsidRPr="00B12FE0">
        <w:rPr>
          <w:color w:val="000000" w:themeColor="text1"/>
        </w:rPr>
        <w:t>第</w:t>
      </w:r>
      <w:r w:rsidRPr="00B12FE0">
        <w:rPr>
          <w:color w:val="000000" w:themeColor="text1"/>
        </w:rPr>
        <w:t>1</w:t>
      </w:r>
      <w:r w:rsidRPr="00B12FE0">
        <w:rPr>
          <w:color w:val="000000" w:themeColor="text1"/>
        </w:rPr>
        <w:t>部分：</w:t>
      </w:r>
      <w:r w:rsidRPr="00B12FE0">
        <w:rPr>
          <w:color w:val="000000" w:themeColor="text1"/>
        </w:rPr>
        <w:t>β</w:t>
      </w:r>
      <w:r w:rsidRPr="00B12FE0">
        <w:rPr>
          <w:color w:val="000000" w:themeColor="text1"/>
        </w:rPr>
        <w:t>发射体（</w:t>
      </w:r>
      <w:r w:rsidRPr="00B12FE0">
        <w:rPr>
          <w:color w:val="000000" w:themeColor="text1"/>
        </w:rPr>
        <w:t>E</w:t>
      </w:r>
      <w:r w:rsidRPr="00B12FE0">
        <w:rPr>
          <w:color w:val="000000" w:themeColor="text1"/>
          <w:vertAlign w:val="subscript"/>
        </w:rPr>
        <w:t>βmax</w:t>
      </w:r>
      <w:r w:rsidRPr="00B12FE0">
        <w:rPr>
          <w:color w:val="000000" w:themeColor="text1"/>
        </w:rPr>
        <w:t>＞</w:t>
      </w:r>
      <w:r w:rsidRPr="00B12FE0">
        <w:rPr>
          <w:color w:val="000000" w:themeColor="text1"/>
        </w:rPr>
        <w:t>0.15MeV</w:t>
      </w:r>
      <w:r w:rsidRPr="00B12FE0">
        <w:rPr>
          <w:color w:val="000000" w:themeColor="text1"/>
        </w:rPr>
        <w:t>）和</w:t>
      </w:r>
      <w:r w:rsidRPr="00B12FE0">
        <w:rPr>
          <w:color w:val="000000" w:themeColor="text1"/>
        </w:rPr>
        <w:t>α</w:t>
      </w:r>
      <w:r w:rsidRPr="00B12FE0">
        <w:rPr>
          <w:color w:val="000000" w:themeColor="text1"/>
        </w:rPr>
        <w:t>发射体》</w:t>
      </w:r>
    </w:p>
    <w:p w14:paraId="0AA87AC3"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color w:val="000000" w:themeColor="text1"/>
        </w:rPr>
        <w:t>HJ 61-2021</w:t>
      </w:r>
      <w:r w:rsidRPr="00B12FE0">
        <w:rPr>
          <w:rFonts w:hint="eastAsia"/>
          <w:color w:val="000000" w:themeColor="text1"/>
        </w:rPr>
        <w:t>）</w:t>
      </w:r>
      <w:r w:rsidRPr="00B12FE0">
        <w:rPr>
          <w:color w:val="000000" w:themeColor="text1"/>
        </w:rPr>
        <w:t>《辐射环境监测技术规范》</w:t>
      </w:r>
    </w:p>
    <w:p w14:paraId="7C7A3805"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szCs w:val="21"/>
        </w:rPr>
      </w:pPr>
      <w:r w:rsidRPr="00B12FE0">
        <w:rPr>
          <w:rFonts w:ascii="宋体" w:hAnsi="宋体" w:cs="宋体" w:hint="eastAsia"/>
          <w:color w:val="000000" w:themeColor="text1"/>
        </w:rPr>
        <w:t>（</w:t>
      </w:r>
      <w:r w:rsidRPr="00B12FE0">
        <w:rPr>
          <w:rFonts w:hint="eastAsia"/>
          <w:color w:val="000000" w:themeColor="text1"/>
        </w:rPr>
        <w:t>5</w:t>
      </w:r>
      <w:r w:rsidRPr="00B12FE0">
        <w:rPr>
          <w:rFonts w:ascii="宋体" w:hAnsi="宋体" w:cs="宋体" w:hint="eastAsia"/>
          <w:color w:val="000000" w:themeColor="text1"/>
        </w:rPr>
        <w:t>）</w:t>
      </w:r>
      <w:r w:rsidRPr="00B12FE0">
        <w:rPr>
          <w:color w:val="000000" w:themeColor="text1"/>
        </w:rPr>
        <w:t>监测仪器：</w:t>
      </w:r>
      <w:r w:rsidRPr="00B12FE0">
        <w:rPr>
          <w:rFonts w:hint="eastAsia"/>
          <w:color w:val="000000" w:themeColor="text1"/>
          <w:szCs w:val="21"/>
        </w:rPr>
        <w:t>见下表</w:t>
      </w:r>
    </w:p>
    <w:p w14:paraId="77C405F5"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8.4</w:t>
      </w:r>
      <w:r w:rsidRPr="00B12FE0">
        <w:rPr>
          <w:rFonts w:hint="eastAsia"/>
          <w:b/>
          <w:color w:val="000000" w:themeColor="text1"/>
          <w:sz w:val="21"/>
          <w:szCs w:val="21"/>
        </w:rPr>
        <w:t>.1</w:t>
      </w:r>
      <w:r w:rsidRPr="00B12FE0">
        <w:rPr>
          <w:b/>
          <w:color w:val="000000" w:themeColor="text1"/>
          <w:sz w:val="21"/>
          <w:szCs w:val="21"/>
        </w:rPr>
        <w:t>-1</w:t>
      </w:r>
      <w:r w:rsidRPr="00B12FE0">
        <w:rPr>
          <w:rFonts w:hint="eastAsia"/>
          <w:b/>
          <w:color w:val="000000" w:themeColor="text1"/>
          <w:sz w:val="21"/>
          <w:szCs w:val="21"/>
        </w:rPr>
        <w:t xml:space="preserve">  </w:t>
      </w:r>
      <w:r w:rsidRPr="00B12FE0">
        <w:rPr>
          <w:rFonts w:hint="eastAsia"/>
          <w:b/>
          <w:color w:val="000000" w:themeColor="text1"/>
          <w:sz w:val="21"/>
          <w:szCs w:val="21"/>
        </w:rPr>
        <w:t>便携式</w:t>
      </w:r>
      <w:r w:rsidRPr="00B12FE0">
        <w:rPr>
          <w:rFonts w:hint="eastAsia"/>
          <w:b/>
          <w:color w:val="000000" w:themeColor="text1"/>
          <w:sz w:val="21"/>
          <w:szCs w:val="21"/>
        </w:rPr>
        <w:t>X</w:t>
      </w:r>
      <w:r w:rsidRPr="00B12FE0">
        <w:rPr>
          <w:rFonts w:hint="eastAsia"/>
          <w:b/>
          <w:color w:val="000000" w:themeColor="text1"/>
          <w:sz w:val="21"/>
          <w:szCs w:val="21"/>
        </w:rPr>
        <w:t>、</w:t>
      </w:r>
      <w:r w:rsidRPr="00B12FE0">
        <w:rPr>
          <w:b/>
          <w:color w:val="000000" w:themeColor="text1"/>
          <w:sz w:val="21"/>
          <w:szCs w:val="21"/>
        </w:rPr>
        <w:t>γ</w:t>
      </w:r>
      <w:r w:rsidRPr="00B12FE0">
        <w:rPr>
          <w:rFonts w:hint="eastAsia"/>
          <w:b/>
          <w:color w:val="000000" w:themeColor="text1"/>
          <w:sz w:val="21"/>
          <w:szCs w:val="21"/>
        </w:rPr>
        <w:t>辐射周围剂量当量</w:t>
      </w:r>
      <w:proofErr w:type="gramStart"/>
      <w:r w:rsidRPr="00B12FE0">
        <w:rPr>
          <w:rFonts w:hint="eastAsia"/>
          <w:b/>
          <w:color w:val="000000" w:themeColor="text1"/>
          <w:sz w:val="21"/>
          <w:szCs w:val="21"/>
        </w:rPr>
        <w:t>率仪</w:t>
      </w:r>
      <w:r w:rsidRPr="00B12FE0">
        <w:rPr>
          <w:b/>
          <w:color w:val="000000" w:themeColor="text1"/>
          <w:sz w:val="21"/>
          <w:szCs w:val="21"/>
        </w:rPr>
        <w:t>相关</w:t>
      </w:r>
      <w:proofErr w:type="gramEnd"/>
      <w:r w:rsidRPr="00B12FE0">
        <w:rPr>
          <w:b/>
          <w:color w:val="000000" w:themeColor="text1"/>
          <w:sz w:val="21"/>
          <w:szCs w:val="21"/>
        </w:rPr>
        <w:t>信息</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6820"/>
      </w:tblGrid>
      <w:tr w:rsidR="00A67F21" w:rsidRPr="00B12FE0" w14:paraId="299CCE7C"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362588CE"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lastRenderedPageBreak/>
              <w:t>仪器型号</w:t>
            </w:r>
          </w:p>
        </w:tc>
        <w:tc>
          <w:tcPr>
            <w:tcW w:w="6981" w:type="dxa"/>
            <w:tcBorders>
              <w:top w:val="single" w:sz="4" w:space="0" w:color="auto"/>
              <w:left w:val="single" w:sz="4" w:space="0" w:color="auto"/>
              <w:bottom w:val="single" w:sz="4" w:space="0" w:color="auto"/>
              <w:right w:val="single" w:sz="4" w:space="0" w:color="auto"/>
            </w:tcBorders>
            <w:vAlign w:val="center"/>
          </w:tcPr>
          <w:p w14:paraId="58FE29F7"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color w:val="000000" w:themeColor="text1"/>
                <w:sz w:val="21"/>
                <w:szCs w:val="21"/>
              </w:rPr>
              <w:t>6150AD6/H+6150AD-b/H</w:t>
            </w:r>
          </w:p>
        </w:tc>
      </w:tr>
      <w:tr w:rsidR="00A67F21" w:rsidRPr="00B12FE0" w14:paraId="60FAE8B1"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7FAA3825"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仪器名称</w:t>
            </w:r>
          </w:p>
        </w:tc>
        <w:tc>
          <w:tcPr>
            <w:tcW w:w="6981" w:type="dxa"/>
            <w:tcBorders>
              <w:top w:val="single" w:sz="4" w:space="0" w:color="auto"/>
              <w:left w:val="single" w:sz="4" w:space="0" w:color="auto"/>
              <w:bottom w:val="single" w:sz="4" w:space="0" w:color="auto"/>
              <w:right w:val="single" w:sz="4" w:space="0" w:color="auto"/>
            </w:tcBorders>
            <w:vAlign w:val="center"/>
          </w:tcPr>
          <w:p w14:paraId="4038E01F"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color w:val="000000" w:themeColor="text1"/>
                <w:sz w:val="21"/>
                <w:szCs w:val="21"/>
              </w:rPr>
              <w:t>便携式</w:t>
            </w:r>
            <w:r w:rsidRPr="00B12FE0">
              <w:rPr>
                <w:color w:val="000000" w:themeColor="text1"/>
                <w:sz w:val="21"/>
                <w:szCs w:val="21"/>
              </w:rPr>
              <w:t>X</w:t>
            </w:r>
            <w:r w:rsidRPr="00B12FE0">
              <w:rPr>
                <w:color w:val="000000" w:themeColor="text1"/>
                <w:sz w:val="21"/>
                <w:szCs w:val="21"/>
              </w:rPr>
              <w:t>、</w:t>
            </w:r>
            <w:r w:rsidRPr="00B12FE0">
              <w:rPr>
                <w:color w:val="000000" w:themeColor="text1"/>
                <w:sz w:val="21"/>
                <w:szCs w:val="21"/>
              </w:rPr>
              <w:t>γ</w:t>
            </w:r>
            <w:r w:rsidRPr="00B12FE0">
              <w:rPr>
                <w:color w:val="000000" w:themeColor="text1"/>
                <w:sz w:val="21"/>
                <w:szCs w:val="21"/>
              </w:rPr>
              <w:t>辐射周围</w:t>
            </w:r>
            <w:proofErr w:type="gramStart"/>
            <w:r w:rsidRPr="00B12FE0">
              <w:rPr>
                <w:color w:val="000000" w:themeColor="text1"/>
                <w:sz w:val="21"/>
                <w:szCs w:val="21"/>
              </w:rPr>
              <w:t>剂量当量率仪</w:t>
            </w:r>
            <w:proofErr w:type="gramEnd"/>
          </w:p>
        </w:tc>
      </w:tr>
      <w:tr w:rsidR="00A67F21" w:rsidRPr="00B12FE0" w14:paraId="79F6010F"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14BDA991"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生产厂家</w:t>
            </w:r>
          </w:p>
        </w:tc>
        <w:tc>
          <w:tcPr>
            <w:tcW w:w="6981" w:type="dxa"/>
            <w:tcBorders>
              <w:top w:val="single" w:sz="4" w:space="0" w:color="auto"/>
              <w:left w:val="single" w:sz="4" w:space="0" w:color="auto"/>
              <w:bottom w:val="single" w:sz="4" w:space="0" w:color="auto"/>
              <w:right w:val="single" w:sz="4" w:space="0" w:color="auto"/>
            </w:tcBorders>
            <w:vAlign w:val="center"/>
          </w:tcPr>
          <w:p w14:paraId="4B1EDC4B"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proofErr w:type="spellStart"/>
            <w:r w:rsidRPr="00B12FE0">
              <w:rPr>
                <w:color w:val="000000" w:themeColor="text1"/>
                <w:sz w:val="21"/>
                <w:szCs w:val="21"/>
              </w:rPr>
              <w:t>automess</w:t>
            </w:r>
            <w:proofErr w:type="spellEnd"/>
          </w:p>
        </w:tc>
      </w:tr>
      <w:tr w:rsidR="00A67F21" w:rsidRPr="00B12FE0" w14:paraId="247CE581"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6D939827"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仪器编号</w:t>
            </w:r>
          </w:p>
        </w:tc>
        <w:tc>
          <w:tcPr>
            <w:tcW w:w="6981" w:type="dxa"/>
            <w:tcBorders>
              <w:top w:val="single" w:sz="4" w:space="0" w:color="auto"/>
              <w:left w:val="single" w:sz="4" w:space="0" w:color="auto"/>
              <w:bottom w:val="single" w:sz="4" w:space="0" w:color="auto"/>
              <w:right w:val="single" w:sz="4" w:space="0" w:color="auto"/>
            </w:tcBorders>
            <w:vAlign w:val="center"/>
          </w:tcPr>
          <w:p w14:paraId="52410C2C"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rFonts w:hint="eastAsia"/>
                <w:color w:val="000000" w:themeColor="text1"/>
                <w:sz w:val="21"/>
                <w:szCs w:val="21"/>
              </w:rPr>
              <w:t>05038417</w:t>
            </w:r>
          </w:p>
        </w:tc>
      </w:tr>
      <w:tr w:rsidR="00A67F21" w:rsidRPr="00B12FE0" w14:paraId="288618CC"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667D4075"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能量范围</w:t>
            </w:r>
          </w:p>
        </w:tc>
        <w:tc>
          <w:tcPr>
            <w:tcW w:w="6981" w:type="dxa"/>
            <w:tcBorders>
              <w:top w:val="single" w:sz="4" w:space="0" w:color="auto"/>
              <w:left w:val="single" w:sz="4" w:space="0" w:color="auto"/>
              <w:bottom w:val="single" w:sz="4" w:space="0" w:color="auto"/>
              <w:right w:val="single" w:sz="4" w:space="0" w:color="auto"/>
            </w:tcBorders>
            <w:vAlign w:val="center"/>
          </w:tcPr>
          <w:p w14:paraId="6E1EA3FD"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rFonts w:hint="eastAsia"/>
                <w:color w:val="000000" w:themeColor="text1"/>
                <w:sz w:val="21"/>
                <w:szCs w:val="21"/>
              </w:rPr>
              <w:t>38</w:t>
            </w:r>
            <w:r w:rsidRPr="00B12FE0">
              <w:rPr>
                <w:color w:val="000000" w:themeColor="text1"/>
                <w:sz w:val="21"/>
                <w:szCs w:val="21"/>
              </w:rPr>
              <w:t>KeV</w:t>
            </w:r>
            <w:r w:rsidRPr="00B12FE0">
              <w:rPr>
                <w:color w:val="000000" w:themeColor="text1"/>
                <w:sz w:val="21"/>
                <w:szCs w:val="21"/>
              </w:rPr>
              <w:t>～</w:t>
            </w:r>
            <w:r w:rsidRPr="00B12FE0">
              <w:rPr>
                <w:rFonts w:hint="eastAsia"/>
                <w:color w:val="000000" w:themeColor="text1"/>
                <w:sz w:val="21"/>
                <w:szCs w:val="21"/>
              </w:rPr>
              <w:t>7</w:t>
            </w:r>
            <w:r w:rsidRPr="00B12FE0">
              <w:rPr>
                <w:color w:val="000000" w:themeColor="text1"/>
                <w:sz w:val="21"/>
                <w:szCs w:val="21"/>
              </w:rPr>
              <w:t>MeV</w:t>
            </w:r>
          </w:p>
        </w:tc>
      </w:tr>
      <w:tr w:rsidR="00A67F21" w:rsidRPr="00B12FE0" w14:paraId="237AC2A9"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3B721590"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量程</w:t>
            </w:r>
          </w:p>
        </w:tc>
        <w:tc>
          <w:tcPr>
            <w:tcW w:w="6981" w:type="dxa"/>
            <w:tcBorders>
              <w:top w:val="single" w:sz="4" w:space="0" w:color="auto"/>
              <w:left w:val="single" w:sz="4" w:space="0" w:color="auto"/>
              <w:bottom w:val="single" w:sz="4" w:space="0" w:color="auto"/>
              <w:right w:val="single" w:sz="4" w:space="0" w:color="auto"/>
            </w:tcBorders>
            <w:vAlign w:val="center"/>
          </w:tcPr>
          <w:p w14:paraId="22B20BC8"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color w:val="000000" w:themeColor="text1"/>
                <w:sz w:val="21"/>
                <w:szCs w:val="21"/>
              </w:rPr>
              <w:t>模拟量程：</w:t>
            </w:r>
            <w:r w:rsidRPr="00B12FE0">
              <w:rPr>
                <w:color w:val="000000" w:themeColor="text1"/>
                <w:sz w:val="21"/>
                <w:szCs w:val="21"/>
              </w:rPr>
              <w:t>10nSv/h-100μSv/h</w:t>
            </w:r>
            <w:r w:rsidRPr="00B12FE0">
              <w:rPr>
                <w:color w:val="000000" w:themeColor="text1"/>
                <w:sz w:val="21"/>
                <w:szCs w:val="21"/>
              </w:rPr>
              <w:t>；数字量程：</w:t>
            </w:r>
            <w:r w:rsidRPr="00B12FE0">
              <w:rPr>
                <w:color w:val="000000" w:themeColor="text1"/>
                <w:sz w:val="21"/>
                <w:szCs w:val="21"/>
              </w:rPr>
              <w:t>1nSv/h-99.9μSv/h</w:t>
            </w:r>
          </w:p>
        </w:tc>
      </w:tr>
      <w:tr w:rsidR="00A67F21" w:rsidRPr="00B12FE0" w14:paraId="0DE582F0"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378AA06A"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hint="eastAsia"/>
                <w:color w:val="000000" w:themeColor="text1"/>
                <w:sz w:val="21"/>
                <w:szCs w:val="21"/>
              </w:rPr>
              <w:t>检定</w:t>
            </w:r>
            <w:r w:rsidRPr="00B12FE0">
              <w:rPr>
                <w:color w:val="000000" w:themeColor="text1"/>
                <w:sz w:val="21"/>
                <w:szCs w:val="21"/>
              </w:rPr>
              <w:t>单位</w:t>
            </w:r>
          </w:p>
        </w:tc>
        <w:tc>
          <w:tcPr>
            <w:tcW w:w="6981" w:type="dxa"/>
            <w:tcBorders>
              <w:top w:val="single" w:sz="4" w:space="0" w:color="auto"/>
              <w:left w:val="single" w:sz="4" w:space="0" w:color="auto"/>
              <w:bottom w:val="single" w:sz="4" w:space="0" w:color="auto"/>
              <w:right w:val="single" w:sz="4" w:space="0" w:color="auto"/>
            </w:tcBorders>
            <w:vAlign w:val="center"/>
          </w:tcPr>
          <w:p w14:paraId="5C38E63C"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color w:val="000000" w:themeColor="text1"/>
                <w:sz w:val="21"/>
                <w:szCs w:val="21"/>
              </w:rPr>
              <w:t>上海市计量测试技术研究院</w:t>
            </w:r>
            <w:r w:rsidRPr="00B12FE0">
              <w:rPr>
                <w:color w:val="000000" w:themeColor="text1"/>
                <w:sz w:val="21"/>
                <w:szCs w:val="21"/>
              </w:rPr>
              <w:t xml:space="preserve"> </w:t>
            </w:r>
            <w:r w:rsidRPr="00B12FE0">
              <w:rPr>
                <w:color w:val="000000" w:themeColor="text1"/>
                <w:sz w:val="21"/>
                <w:szCs w:val="21"/>
              </w:rPr>
              <w:t>华东国家计量测试中心</w:t>
            </w:r>
          </w:p>
        </w:tc>
      </w:tr>
      <w:tr w:rsidR="00A67F21" w:rsidRPr="00B12FE0" w14:paraId="45F70F11" w14:textId="77777777">
        <w:trPr>
          <w:trHeight w:val="455"/>
          <w:jc w:val="center"/>
        </w:trPr>
        <w:tc>
          <w:tcPr>
            <w:tcW w:w="2078" w:type="dxa"/>
            <w:tcBorders>
              <w:top w:val="single" w:sz="4" w:space="0" w:color="auto"/>
              <w:left w:val="single" w:sz="4" w:space="0" w:color="auto"/>
              <w:bottom w:val="single" w:sz="4" w:space="0" w:color="auto"/>
              <w:right w:val="single" w:sz="4" w:space="0" w:color="auto"/>
            </w:tcBorders>
            <w:vAlign w:val="center"/>
          </w:tcPr>
          <w:p w14:paraId="38DCDD52"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hint="eastAsia"/>
                <w:color w:val="000000" w:themeColor="text1"/>
                <w:sz w:val="21"/>
                <w:szCs w:val="21"/>
              </w:rPr>
              <w:t>检定</w:t>
            </w:r>
            <w:r w:rsidRPr="00B12FE0">
              <w:rPr>
                <w:color w:val="000000" w:themeColor="text1"/>
                <w:sz w:val="21"/>
                <w:szCs w:val="21"/>
              </w:rPr>
              <w:t>证书</w:t>
            </w:r>
          </w:p>
        </w:tc>
        <w:tc>
          <w:tcPr>
            <w:tcW w:w="6981" w:type="dxa"/>
            <w:tcBorders>
              <w:top w:val="single" w:sz="4" w:space="0" w:color="auto"/>
              <w:left w:val="single" w:sz="4" w:space="0" w:color="auto"/>
              <w:bottom w:val="single" w:sz="4" w:space="0" w:color="auto"/>
              <w:right w:val="single" w:sz="4" w:space="0" w:color="auto"/>
            </w:tcBorders>
            <w:vAlign w:val="center"/>
          </w:tcPr>
          <w:p w14:paraId="0C236C1B"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rFonts w:hint="eastAsia"/>
                <w:color w:val="000000" w:themeColor="text1"/>
                <w:sz w:val="21"/>
                <w:szCs w:val="21"/>
              </w:rPr>
              <w:t>NJYF-20250751506</w:t>
            </w:r>
            <w:r w:rsidRPr="00B12FE0">
              <w:rPr>
                <w:rFonts w:hint="eastAsia"/>
                <w:color w:val="000000" w:themeColor="text1"/>
                <w:sz w:val="21"/>
                <w:szCs w:val="21"/>
              </w:rPr>
              <w:t>、</w:t>
            </w:r>
            <w:r w:rsidRPr="00B12FE0">
              <w:rPr>
                <w:rFonts w:hint="eastAsia"/>
                <w:color w:val="000000" w:themeColor="text1"/>
                <w:sz w:val="21"/>
                <w:szCs w:val="21"/>
              </w:rPr>
              <w:t>NJYF-20250751504</w:t>
            </w:r>
          </w:p>
        </w:tc>
      </w:tr>
      <w:tr w:rsidR="00A67F21" w:rsidRPr="00B12FE0" w14:paraId="182EE18F" w14:textId="77777777">
        <w:trPr>
          <w:trHeight w:val="475"/>
          <w:jc w:val="center"/>
        </w:trPr>
        <w:tc>
          <w:tcPr>
            <w:tcW w:w="2078" w:type="dxa"/>
            <w:tcBorders>
              <w:top w:val="single" w:sz="4" w:space="0" w:color="auto"/>
              <w:left w:val="single" w:sz="4" w:space="0" w:color="auto"/>
              <w:bottom w:val="single" w:sz="4" w:space="0" w:color="auto"/>
              <w:right w:val="single" w:sz="4" w:space="0" w:color="auto"/>
            </w:tcBorders>
            <w:vAlign w:val="center"/>
          </w:tcPr>
          <w:p w14:paraId="3209CF0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hint="eastAsia"/>
                <w:color w:val="000000" w:themeColor="text1"/>
                <w:sz w:val="21"/>
                <w:szCs w:val="21"/>
              </w:rPr>
              <w:t>检定有效</w:t>
            </w:r>
            <w:r w:rsidRPr="00B12FE0">
              <w:rPr>
                <w:color w:val="000000" w:themeColor="text1"/>
                <w:sz w:val="21"/>
                <w:szCs w:val="21"/>
              </w:rPr>
              <w:t>期</w:t>
            </w:r>
          </w:p>
        </w:tc>
        <w:tc>
          <w:tcPr>
            <w:tcW w:w="6981" w:type="dxa"/>
            <w:tcBorders>
              <w:top w:val="single" w:sz="4" w:space="0" w:color="auto"/>
              <w:left w:val="single" w:sz="4" w:space="0" w:color="auto"/>
              <w:bottom w:val="single" w:sz="4" w:space="0" w:color="auto"/>
              <w:right w:val="single" w:sz="4" w:space="0" w:color="auto"/>
            </w:tcBorders>
            <w:vAlign w:val="center"/>
          </w:tcPr>
          <w:p w14:paraId="3D58F153" w14:textId="77777777" w:rsidR="00A67F21" w:rsidRPr="00B12FE0" w:rsidRDefault="00000000">
            <w:pPr>
              <w:pBdr>
                <w:top w:val="none" w:sz="0" w:space="1" w:color="auto"/>
                <w:left w:val="none" w:sz="0" w:space="4" w:color="auto"/>
                <w:bottom w:val="none" w:sz="0" w:space="1" w:color="auto"/>
                <w:right w:val="none" w:sz="0" w:space="4" w:color="auto"/>
              </w:pBdr>
              <w:ind w:firstLine="482"/>
              <w:jc w:val="center"/>
              <w:rPr>
                <w:color w:val="000000" w:themeColor="text1"/>
                <w:sz w:val="21"/>
                <w:szCs w:val="21"/>
              </w:rPr>
            </w:pPr>
            <w:r w:rsidRPr="00B12FE0">
              <w:rPr>
                <w:rFonts w:hint="eastAsia"/>
                <w:color w:val="000000" w:themeColor="text1"/>
                <w:sz w:val="21"/>
                <w:szCs w:val="21"/>
              </w:rPr>
              <w:t xml:space="preserve">2025 </w:t>
            </w:r>
            <w:r w:rsidRPr="00B12FE0">
              <w:rPr>
                <w:rFonts w:hint="eastAsia"/>
                <w:color w:val="000000" w:themeColor="text1"/>
                <w:sz w:val="21"/>
                <w:szCs w:val="21"/>
              </w:rPr>
              <w:t>年</w:t>
            </w:r>
            <w:r w:rsidRPr="00B12FE0">
              <w:rPr>
                <w:rFonts w:hint="eastAsia"/>
                <w:color w:val="000000" w:themeColor="text1"/>
                <w:sz w:val="21"/>
                <w:szCs w:val="21"/>
              </w:rPr>
              <w:t xml:space="preserve"> 07 </w:t>
            </w:r>
            <w:r w:rsidRPr="00B12FE0">
              <w:rPr>
                <w:rFonts w:hint="eastAsia"/>
                <w:color w:val="000000" w:themeColor="text1"/>
                <w:sz w:val="21"/>
                <w:szCs w:val="21"/>
              </w:rPr>
              <w:t>月</w:t>
            </w:r>
            <w:r w:rsidRPr="00B12FE0">
              <w:rPr>
                <w:rFonts w:hint="eastAsia"/>
                <w:color w:val="000000" w:themeColor="text1"/>
                <w:sz w:val="21"/>
                <w:szCs w:val="21"/>
              </w:rPr>
              <w:t xml:space="preserve"> 28 </w:t>
            </w:r>
            <w:r w:rsidRPr="00B12FE0">
              <w:rPr>
                <w:rFonts w:hint="eastAsia"/>
                <w:color w:val="000000" w:themeColor="text1"/>
                <w:sz w:val="21"/>
                <w:szCs w:val="21"/>
              </w:rPr>
              <w:t>日～</w:t>
            </w:r>
            <w:r w:rsidRPr="00B12FE0">
              <w:rPr>
                <w:rFonts w:hint="eastAsia"/>
                <w:color w:val="000000" w:themeColor="text1"/>
                <w:sz w:val="21"/>
                <w:szCs w:val="21"/>
              </w:rPr>
              <w:t xml:space="preserve">2026 </w:t>
            </w:r>
            <w:r w:rsidRPr="00B12FE0">
              <w:rPr>
                <w:rFonts w:hint="eastAsia"/>
                <w:color w:val="000000" w:themeColor="text1"/>
                <w:sz w:val="21"/>
                <w:szCs w:val="21"/>
              </w:rPr>
              <w:t>年</w:t>
            </w:r>
            <w:r w:rsidRPr="00B12FE0">
              <w:rPr>
                <w:rFonts w:hint="eastAsia"/>
                <w:color w:val="000000" w:themeColor="text1"/>
                <w:sz w:val="21"/>
                <w:szCs w:val="21"/>
              </w:rPr>
              <w:t xml:space="preserve"> 07 </w:t>
            </w:r>
            <w:r w:rsidRPr="00B12FE0">
              <w:rPr>
                <w:rFonts w:hint="eastAsia"/>
                <w:color w:val="000000" w:themeColor="text1"/>
                <w:sz w:val="21"/>
                <w:szCs w:val="21"/>
              </w:rPr>
              <w:t>月</w:t>
            </w:r>
            <w:r w:rsidRPr="00B12FE0">
              <w:rPr>
                <w:rFonts w:hint="eastAsia"/>
                <w:color w:val="000000" w:themeColor="text1"/>
                <w:sz w:val="21"/>
                <w:szCs w:val="21"/>
              </w:rPr>
              <w:t xml:space="preserve"> 27 </w:t>
            </w:r>
            <w:r w:rsidRPr="00B12FE0">
              <w:rPr>
                <w:rFonts w:hint="eastAsia"/>
                <w:color w:val="000000" w:themeColor="text1"/>
                <w:sz w:val="21"/>
                <w:szCs w:val="21"/>
              </w:rPr>
              <w:t>日</w:t>
            </w:r>
          </w:p>
        </w:tc>
      </w:tr>
    </w:tbl>
    <w:p w14:paraId="598FEDB6" w14:textId="77777777" w:rsidR="00A67F21" w:rsidRPr="00B12FE0" w:rsidRDefault="00000000">
      <w:pPr>
        <w:pBdr>
          <w:top w:val="none" w:sz="0" w:space="1" w:color="auto"/>
          <w:left w:val="none" w:sz="0" w:space="4" w:color="auto"/>
          <w:bottom w:val="none" w:sz="0" w:space="1" w:color="auto"/>
          <w:right w:val="none" w:sz="0" w:space="4" w:color="auto"/>
        </w:pBdr>
        <w:spacing w:beforeLines="50" w:before="120"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8.4</w:t>
      </w:r>
      <w:r w:rsidRPr="00B12FE0">
        <w:rPr>
          <w:rFonts w:hint="eastAsia"/>
          <w:b/>
          <w:color w:val="000000" w:themeColor="text1"/>
          <w:sz w:val="21"/>
          <w:szCs w:val="21"/>
        </w:rPr>
        <w:t>.1</w:t>
      </w:r>
      <w:r w:rsidRPr="00B12FE0">
        <w:rPr>
          <w:b/>
          <w:color w:val="000000" w:themeColor="text1"/>
          <w:sz w:val="21"/>
          <w:szCs w:val="21"/>
        </w:rPr>
        <w:t>-</w:t>
      </w:r>
      <w:r w:rsidRPr="00B12FE0">
        <w:rPr>
          <w:rFonts w:hint="eastAsia"/>
          <w:b/>
          <w:color w:val="000000" w:themeColor="text1"/>
          <w:sz w:val="21"/>
          <w:szCs w:val="21"/>
        </w:rPr>
        <w:t xml:space="preserve">2  </w:t>
      </w:r>
      <w:r w:rsidRPr="00B12FE0">
        <w:rPr>
          <w:b/>
          <w:color w:val="000000" w:themeColor="text1"/>
          <w:sz w:val="21"/>
          <w:szCs w:val="21"/>
        </w:rPr>
        <w:t xml:space="preserve"> α</w:t>
      </w:r>
      <w:r w:rsidRPr="00B12FE0">
        <w:rPr>
          <w:b/>
          <w:color w:val="000000" w:themeColor="text1"/>
          <w:sz w:val="21"/>
          <w:szCs w:val="21"/>
        </w:rPr>
        <w:t>、</w:t>
      </w:r>
      <w:r w:rsidRPr="00B12FE0">
        <w:rPr>
          <w:b/>
          <w:color w:val="000000" w:themeColor="text1"/>
          <w:sz w:val="21"/>
          <w:szCs w:val="21"/>
        </w:rPr>
        <w:t>β</w:t>
      </w:r>
      <w:r w:rsidRPr="00B12FE0">
        <w:rPr>
          <w:b/>
          <w:color w:val="000000" w:themeColor="text1"/>
          <w:sz w:val="21"/>
          <w:szCs w:val="21"/>
        </w:rPr>
        <w:t>表面污染</w:t>
      </w:r>
      <w:proofErr w:type="gramStart"/>
      <w:r w:rsidRPr="00B12FE0">
        <w:rPr>
          <w:b/>
          <w:color w:val="000000" w:themeColor="text1"/>
          <w:sz w:val="21"/>
          <w:szCs w:val="21"/>
        </w:rPr>
        <w:t>仪</w:t>
      </w:r>
      <w:r w:rsidRPr="00B12FE0">
        <w:rPr>
          <w:rFonts w:hint="eastAsia"/>
          <w:b/>
          <w:color w:val="000000" w:themeColor="text1"/>
          <w:sz w:val="21"/>
          <w:szCs w:val="21"/>
        </w:rPr>
        <w:t>相关</w:t>
      </w:r>
      <w:proofErr w:type="gramEnd"/>
      <w:r w:rsidRPr="00B12FE0">
        <w:rPr>
          <w:b/>
          <w:color w:val="000000" w:themeColor="text1"/>
          <w:sz w:val="21"/>
          <w:szCs w:val="21"/>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6573"/>
      </w:tblGrid>
      <w:tr w:rsidR="00A67F21" w:rsidRPr="00B12FE0" w14:paraId="0C68A519"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019F32E4"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仪器型号</w:t>
            </w:r>
          </w:p>
        </w:tc>
        <w:tc>
          <w:tcPr>
            <w:tcW w:w="3645" w:type="pct"/>
            <w:tcBorders>
              <w:top w:val="single" w:sz="4" w:space="0" w:color="auto"/>
              <w:left w:val="single" w:sz="4" w:space="0" w:color="auto"/>
              <w:bottom w:val="single" w:sz="4" w:space="0" w:color="auto"/>
              <w:right w:val="single" w:sz="4" w:space="0" w:color="auto"/>
            </w:tcBorders>
            <w:vAlign w:val="center"/>
          </w:tcPr>
          <w:p w14:paraId="53700B26"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CoMo170</w:t>
            </w:r>
          </w:p>
        </w:tc>
      </w:tr>
      <w:tr w:rsidR="00A67F21" w:rsidRPr="00B12FE0" w14:paraId="36D7B9AC"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25926B6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仪器名称</w:t>
            </w:r>
          </w:p>
        </w:tc>
        <w:tc>
          <w:tcPr>
            <w:tcW w:w="3645" w:type="pct"/>
            <w:tcBorders>
              <w:top w:val="single" w:sz="4" w:space="0" w:color="auto"/>
              <w:left w:val="single" w:sz="4" w:space="0" w:color="auto"/>
              <w:bottom w:val="single" w:sz="4" w:space="0" w:color="auto"/>
              <w:right w:val="single" w:sz="4" w:space="0" w:color="auto"/>
            </w:tcBorders>
            <w:vAlign w:val="center"/>
          </w:tcPr>
          <w:p w14:paraId="7D30090A"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α</w:t>
            </w:r>
            <w:r w:rsidRPr="00B12FE0">
              <w:rPr>
                <w:color w:val="000000" w:themeColor="text1"/>
                <w:sz w:val="21"/>
                <w:szCs w:val="21"/>
              </w:rPr>
              <w:t>、</w:t>
            </w:r>
            <w:r w:rsidRPr="00B12FE0">
              <w:rPr>
                <w:color w:val="000000" w:themeColor="text1"/>
                <w:sz w:val="21"/>
                <w:szCs w:val="21"/>
              </w:rPr>
              <w:t>β</w:t>
            </w:r>
            <w:r w:rsidRPr="00B12FE0">
              <w:rPr>
                <w:color w:val="000000" w:themeColor="text1"/>
                <w:sz w:val="21"/>
                <w:szCs w:val="21"/>
              </w:rPr>
              <w:t>表面污染仪</w:t>
            </w:r>
          </w:p>
        </w:tc>
      </w:tr>
      <w:tr w:rsidR="00A67F21" w:rsidRPr="00B12FE0" w14:paraId="2FAF695A"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0CFACAD6"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生产厂家</w:t>
            </w:r>
          </w:p>
        </w:tc>
        <w:tc>
          <w:tcPr>
            <w:tcW w:w="3645" w:type="pct"/>
            <w:tcBorders>
              <w:top w:val="single" w:sz="4" w:space="0" w:color="auto"/>
              <w:left w:val="single" w:sz="4" w:space="0" w:color="auto"/>
              <w:bottom w:val="single" w:sz="4" w:space="0" w:color="auto"/>
              <w:right w:val="single" w:sz="4" w:space="0" w:color="auto"/>
            </w:tcBorders>
            <w:vAlign w:val="center"/>
          </w:tcPr>
          <w:p w14:paraId="0C4434EF"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S.</w:t>
            </w:r>
            <w:proofErr w:type="gramStart"/>
            <w:r w:rsidRPr="00B12FE0">
              <w:rPr>
                <w:color w:val="000000" w:themeColor="text1"/>
                <w:sz w:val="21"/>
                <w:szCs w:val="21"/>
              </w:rPr>
              <w:t>E.A</w:t>
            </w:r>
            <w:proofErr w:type="gramEnd"/>
          </w:p>
        </w:tc>
      </w:tr>
      <w:tr w:rsidR="00A67F21" w:rsidRPr="00B12FE0" w14:paraId="0FB9D005"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776961D5"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仪器编号</w:t>
            </w:r>
          </w:p>
        </w:tc>
        <w:tc>
          <w:tcPr>
            <w:tcW w:w="3645" w:type="pct"/>
            <w:tcBorders>
              <w:top w:val="single" w:sz="4" w:space="0" w:color="auto"/>
              <w:left w:val="single" w:sz="4" w:space="0" w:color="auto"/>
              <w:bottom w:val="single" w:sz="4" w:space="0" w:color="auto"/>
              <w:right w:val="single" w:sz="4" w:space="0" w:color="auto"/>
            </w:tcBorders>
            <w:vAlign w:val="center"/>
          </w:tcPr>
          <w:p w14:paraId="20DB14C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0503</w:t>
            </w:r>
            <w:r w:rsidRPr="00B12FE0">
              <w:rPr>
                <w:rFonts w:hint="eastAsia"/>
                <w:color w:val="000000" w:themeColor="text1"/>
                <w:sz w:val="21"/>
                <w:szCs w:val="21"/>
              </w:rPr>
              <w:t>4714</w:t>
            </w:r>
          </w:p>
        </w:tc>
      </w:tr>
      <w:tr w:rsidR="00A67F21" w:rsidRPr="00B12FE0" w14:paraId="23229A22"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666E1798"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探测器灵敏窗面积</w:t>
            </w:r>
          </w:p>
        </w:tc>
        <w:tc>
          <w:tcPr>
            <w:tcW w:w="3645" w:type="pct"/>
            <w:tcBorders>
              <w:top w:val="single" w:sz="4" w:space="0" w:color="auto"/>
              <w:left w:val="single" w:sz="4" w:space="0" w:color="auto"/>
              <w:bottom w:val="single" w:sz="4" w:space="0" w:color="auto"/>
              <w:right w:val="single" w:sz="4" w:space="0" w:color="auto"/>
            </w:tcBorders>
            <w:vAlign w:val="center"/>
          </w:tcPr>
          <w:p w14:paraId="288C22DF"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170cm2</w:t>
            </w:r>
          </w:p>
        </w:tc>
      </w:tr>
      <w:tr w:rsidR="00A67F21" w:rsidRPr="00B12FE0" w14:paraId="67DAE915"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017FCB05"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探测器本底</w:t>
            </w:r>
          </w:p>
        </w:tc>
        <w:tc>
          <w:tcPr>
            <w:tcW w:w="3645" w:type="pct"/>
            <w:tcBorders>
              <w:top w:val="single" w:sz="4" w:space="0" w:color="auto"/>
              <w:left w:val="single" w:sz="4" w:space="0" w:color="auto"/>
              <w:bottom w:val="single" w:sz="4" w:space="0" w:color="auto"/>
              <w:right w:val="single" w:sz="4" w:space="0" w:color="auto"/>
            </w:tcBorders>
            <w:vAlign w:val="center"/>
          </w:tcPr>
          <w:p w14:paraId="1E9C28EE"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α:0.1CPS</w:t>
            </w:r>
            <w:r w:rsidRPr="00B12FE0">
              <w:rPr>
                <w:color w:val="000000" w:themeColor="text1"/>
                <w:sz w:val="21"/>
                <w:szCs w:val="21"/>
              </w:rPr>
              <w:t>；</w:t>
            </w:r>
            <w:r w:rsidRPr="00B12FE0">
              <w:rPr>
                <w:color w:val="000000" w:themeColor="text1"/>
                <w:sz w:val="21"/>
                <w:szCs w:val="21"/>
              </w:rPr>
              <w:t>β:15</w:t>
            </w:r>
            <w:r w:rsidRPr="00B12FE0">
              <w:rPr>
                <w:color w:val="000000" w:themeColor="text1"/>
                <w:sz w:val="21"/>
                <w:szCs w:val="21"/>
              </w:rPr>
              <w:t>～</w:t>
            </w:r>
            <w:r w:rsidRPr="00B12FE0">
              <w:rPr>
                <w:color w:val="000000" w:themeColor="text1"/>
                <w:sz w:val="21"/>
                <w:szCs w:val="21"/>
              </w:rPr>
              <w:t>25CPS</w:t>
            </w:r>
          </w:p>
        </w:tc>
      </w:tr>
      <w:tr w:rsidR="00A67F21" w:rsidRPr="00B12FE0" w14:paraId="4FA37016"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542CBFEE"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检定单位</w:t>
            </w:r>
          </w:p>
        </w:tc>
        <w:tc>
          <w:tcPr>
            <w:tcW w:w="3645" w:type="pct"/>
            <w:tcBorders>
              <w:top w:val="single" w:sz="4" w:space="0" w:color="auto"/>
              <w:left w:val="single" w:sz="4" w:space="0" w:color="auto"/>
              <w:bottom w:val="single" w:sz="4" w:space="0" w:color="auto"/>
              <w:right w:val="single" w:sz="4" w:space="0" w:color="auto"/>
            </w:tcBorders>
            <w:vAlign w:val="center"/>
          </w:tcPr>
          <w:p w14:paraId="53CBE1D4"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上海市计量测试技术研究院</w:t>
            </w:r>
            <w:r w:rsidRPr="00B12FE0">
              <w:rPr>
                <w:color w:val="000000" w:themeColor="text1"/>
                <w:sz w:val="21"/>
                <w:szCs w:val="21"/>
              </w:rPr>
              <w:t xml:space="preserve"> </w:t>
            </w:r>
            <w:r w:rsidRPr="00B12FE0">
              <w:rPr>
                <w:rFonts w:hint="eastAsia"/>
                <w:color w:val="000000" w:themeColor="text1"/>
                <w:sz w:val="21"/>
                <w:szCs w:val="21"/>
              </w:rPr>
              <w:t>，</w:t>
            </w:r>
            <w:r w:rsidRPr="00B12FE0">
              <w:rPr>
                <w:color w:val="000000" w:themeColor="text1"/>
                <w:sz w:val="21"/>
                <w:szCs w:val="21"/>
              </w:rPr>
              <w:t>华东国家计量测试中心</w:t>
            </w:r>
          </w:p>
        </w:tc>
      </w:tr>
      <w:tr w:rsidR="00A67F21" w:rsidRPr="00B12FE0" w14:paraId="781EB59F"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4C0FCF50"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检定证书</w:t>
            </w:r>
          </w:p>
        </w:tc>
        <w:tc>
          <w:tcPr>
            <w:tcW w:w="3645" w:type="pct"/>
            <w:tcBorders>
              <w:top w:val="single" w:sz="4" w:space="0" w:color="auto"/>
              <w:left w:val="single" w:sz="4" w:space="0" w:color="auto"/>
              <w:bottom w:val="single" w:sz="4" w:space="0" w:color="auto"/>
              <w:right w:val="single" w:sz="4" w:space="0" w:color="auto"/>
            </w:tcBorders>
            <w:vAlign w:val="center"/>
          </w:tcPr>
          <w:p w14:paraId="1591094E"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2025H21-20-57216280</w:t>
            </w:r>
            <w:r w:rsidRPr="00B12FE0">
              <w:rPr>
                <w:rFonts w:hint="eastAsia"/>
                <w:color w:val="000000" w:themeColor="text1"/>
                <w:sz w:val="21"/>
                <w:szCs w:val="21"/>
              </w:rPr>
              <w:t>03</w:t>
            </w:r>
          </w:p>
        </w:tc>
      </w:tr>
      <w:tr w:rsidR="00A67F21" w:rsidRPr="00B12FE0" w14:paraId="3A157A35" w14:textId="77777777">
        <w:trPr>
          <w:trHeight w:val="454"/>
          <w:jc w:val="center"/>
        </w:trPr>
        <w:tc>
          <w:tcPr>
            <w:tcW w:w="1355" w:type="pct"/>
            <w:tcBorders>
              <w:top w:val="single" w:sz="4" w:space="0" w:color="auto"/>
              <w:left w:val="single" w:sz="4" w:space="0" w:color="auto"/>
              <w:bottom w:val="single" w:sz="4" w:space="0" w:color="auto"/>
              <w:right w:val="single" w:sz="4" w:space="0" w:color="auto"/>
            </w:tcBorders>
            <w:vAlign w:val="center"/>
          </w:tcPr>
          <w:p w14:paraId="4D2A8F1F"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检定有效期</w:t>
            </w:r>
          </w:p>
        </w:tc>
        <w:tc>
          <w:tcPr>
            <w:tcW w:w="3645" w:type="pct"/>
            <w:tcBorders>
              <w:top w:val="single" w:sz="4" w:space="0" w:color="auto"/>
              <w:left w:val="single" w:sz="4" w:space="0" w:color="auto"/>
              <w:bottom w:val="single" w:sz="4" w:space="0" w:color="auto"/>
              <w:right w:val="single" w:sz="4" w:space="0" w:color="auto"/>
            </w:tcBorders>
            <w:vAlign w:val="center"/>
          </w:tcPr>
          <w:p w14:paraId="74C16390"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2025</w:t>
            </w:r>
            <w:r w:rsidRPr="00B12FE0">
              <w:rPr>
                <w:color w:val="000000" w:themeColor="text1"/>
                <w:sz w:val="21"/>
                <w:szCs w:val="21"/>
              </w:rPr>
              <w:t>年</w:t>
            </w:r>
            <w:r w:rsidRPr="00B12FE0">
              <w:rPr>
                <w:color w:val="000000" w:themeColor="text1"/>
                <w:sz w:val="21"/>
                <w:szCs w:val="21"/>
              </w:rPr>
              <w:t>01</w:t>
            </w:r>
            <w:r w:rsidRPr="00B12FE0">
              <w:rPr>
                <w:color w:val="000000" w:themeColor="text1"/>
                <w:sz w:val="21"/>
                <w:szCs w:val="21"/>
              </w:rPr>
              <w:t>月</w:t>
            </w:r>
            <w:r w:rsidRPr="00B12FE0">
              <w:rPr>
                <w:color w:val="000000" w:themeColor="text1"/>
                <w:sz w:val="21"/>
                <w:szCs w:val="21"/>
              </w:rPr>
              <w:t>22</w:t>
            </w:r>
            <w:r w:rsidRPr="00B12FE0">
              <w:rPr>
                <w:color w:val="000000" w:themeColor="text1"/>
                <w:sz w:val="21"/>
                <w:szCs w:val="21"/>
              </w:rPr>
              <w:t>日～</w:t>
            </w:r>
            <w:r w:rsidRPr="00B12FE0">
              <w:rPr>
                <w:color w:val="000000" w:themeColor="text1"/>
                <w:sz w:val="21"/>
                <w:szCs w:val="21"/>
              </w:rPr>
              <w:t>2026</w:t>
            </w:r>
            <w:r w:rsidRPr="00B12FE0">
              <w:rPr>
                <w:color w:val="000000" w:themeColor="text1"/>
                <w:sz w:val="21"/>
                <w:szCs w:val="21"/>
              </w:rPr>
              <w:t>年</w:t>
            </w:r>
            <w:r w:rsidRPr="00B12FE0">
              <w:rPr>
                <w:color w:val="000000" w:themeColor="text1"/>
                <w:sz w:val="21"/>
                <w:szCs w:val="21"/>
              </w:rPr>
              <w:t>01</w:t>
            </w:r>
            <w:r w:rsidRPr="00B12FE0">
              <w:rPr>
                <w:color w:val="000000" w:themeColor="text1"/>
                <w:sz w:val="21"/>
                <w:szCs w:val="21"/>
              </w:rPr>
              <w:t>月</w:t>
            </w:r>
            <w:r w:rsidRPr="00B12FE0">
              <w:rPr>
                <w:color w:val="000000" w:themeColor="text1"/>
                <w:sz w:val="21"/>
                <w:szCs w:val="21"/>
              </w:rPr>
              <w:t>21</w:t>
            </w:r>
            <w:r w:rsidRPr="00B12FE0">
              <w:rPr>
                <w:color w:val="000000" w:themeColor="text1"/>
                <w:sz w:val="21"/>
                <w:szCs w:val="21"/>
              </w:rPr>
              <w:t>日</w:t>
            </w:r>
          </w:p>
        </w:tc>
      </w:tr>
    </w:tbl>
    <w:p w14:paraId="64FE167F" w14:textId="77777777" w:rsidR="00A67F21" w:rsidRPr="00B12FE0" w:rsidRDefault="00000000">
      <w:pPr>
        <w:pBdr>
          <w:top w:val="none" w:sz="0" w:space="1" w:color="auto"/>
          <w:left w:val="none" w:sz="0" w:space="4" w:color="auto"/>
          <w:bottom w:val="none" w:sz="0" w:space="1" w:color="auto"/>
          <w:right w:val="none" w:sz="0" w:space="4" w:color="auto"/>
        </w:pBdr>
        <w:spacing w:beforeLines="50" w:before="120"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8.4</w:t>
      </w:r>
      <w:r w:rsidRPr="00B12FE0">
        <w:rPr>
          <w:rFonts w:hint="eastAsia"/>
          <w:b/>
          <w:color w:val="000000" w:themeColor="text1"/>
          <w:sz w:val="21"/>
          <w:szCs w:val="21"/>
        </w:rPr>
        <w:t>.1</w:t>
      </w:r>
      <w:r w:rsidRPr="00B12FE0">
        <w:rPr>
          <w:b/>
          <w:color w:val="000000" w:themeColor="text1"/>
          <w:sz w:val="21"/>
          <w:szCs w:val="21"/>
        </w:rPr>
        <w:t>-</w:t>
      </w:r>
      <w:r w:rsidRPr="00B12FE0">
        <w:rPr>
          <w:rFonts w:hint="eastAsia"/>
          <w:b/>
          <w:color w:val="000000" w:themeColor="text1"/>
          <w:sz w:val="21"/>
          <w:szCs w:val="21"/>
        </w:rPr>
        <w:t xml:space="preserve">3  </w:t>
      </w:r>
      <w:r w:rsidRPr="00B12FE0">
        <w:rPr>
          <w:rFonts w:hint="eastAsia"/>
          <w:b/>
          <w:color w:val="000000" w:themeColor="text1"/>
          <w:sz w:val="21"/>
          <w:szCs w:val="21"/>
        </w:rPr>
        <w:t>中子剂量当量</w:t>
      </w:r>
      <w:proofErr w:type="gramStart"/>
      <w:r w:rsidRPr="00B12FE0">
        <w:rPr>
          <w:b/>
          <w:color w:val="000000" w:themeColor="text1"/>
          <w:sz w:val="21"/>
          <w:szCs w:val="21"/>
        </w:rPr>
        <w:t>仪</w:t>
      </w:r>
      <w:r w:rsidRPr="00B12FE0">
        <w:rPr>
          <w:rFonts w:hint="eastAsia"/>
          <w:b/>
          <w:color w:val="000000" w:themeColor="text1"/>
          <w:sz w:val="21"/>
          <w:szCs w:val="21"/>
        </w:rPr>
        <w:t>相关</w:t>
      </w:r>
      <w:proofErr w:type="gramEnd"/>
      <w:r w:rsidRPr="00B12FE0">
        <w:rPr>
          <w:b/>
          <w:color w:val="000000" w:themeColor="text1"/>
          <w:sz w:val="21"/>
          <w:szCs w:val="21"/>
        </w:rPr>
        <w:t>参数</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6721"/>
      </w:tblGrid>
      <w:tr w:rsidR="00A67F21" w:rsidRPr="00B12FE0" w14:paraId="4E6AFB3A"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02B1FEC6"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仪器型号</w:t>
            </w:r>
          </w:p>
        </w:tc>
        <w:tc>
          <w:tcPr>
            <w:tcW w:w="6523" w:type="dxa"/>
            <w:tcBorders>
              <w:top w:val="single" w:sz="4" w:space="0" w:color="auto"/>
              <w:left w:val="single" w:sz="4" w:space="0" w:color="auto"/>
              <w:bottom w:val="single" w:sz="4" w:space="0" w:color="auto"/>
              <w:right w:val="single" w:sz="4" w:space="0" w:color="auto"/>
            </w:tcBorders>
            <w:vAlign w:val="center"/>
          </w:tcPr>
          <w:p w14:paraId="0187B658" w14:textId="77777777" w:rsidR="00A67F21" w:rsidRPr="00B12FE0" w:rsidRDefault="00000000">
            <w:pPr>
              <w:pBdr>
                <w:top w:val="none" w:sz="0" w:space="1" w:color="auto"/>
                <w:left w:val="none" w:sz="0" w:space="4" w:color="auto"/>
                <w:bottom w:val="none" w:sz="0" w:space="1" w:color="auto"/>
                <w:right w:val="none" w:sz="0" w:space="4" w:color="auto"/>
              </w:pBdr>
              <w:ind w:firstLine="420"/>
              <w:jc w:val="center"/>
              <w:rPr>
                <w:color w:val="000000" w:themeColor="text1"/>
                <w:sz w:val="21"/>
                <w:szCs w:val="21"/>
              </w:rPr>
            </w:pPr>
            <w:r w:rsidRPr="00B12FE0">
              <w:rPr>
                <w:color w:val="000000" w:themeColor="text1"/>
                <w:sz w:val="21"/>
                <w:szCs w:val="21"/>
              </w:rPr>
              <w:t>FH40G L-10+FHZ672</w:t>
            </w:r>
          </w:p>
        </w:tc>
      </w:tr>
      <w:tr w:rsidR="00A67F21" w:rsidRPr="00B12FE0" w14:paraId="247191C7"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7934C5D0"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仪器名称</w:t>
            </w:r>
          </w:p>
        </w:tc>
        <w:tc>
          <w:tcPr>
            <w:tcW w:w="6523" w:type="dxa"/>
            <w:tcBorders>
              <w:top w:val="single" w:sz="4" w:space="0" w:color="auto"/>
              <w:left w:val="single" w:sz="4" w:space="0" w:color="auto"/>
              <w:bottom w:val="single" w:sz="4" w:space="0" w:color="auto"/>
              <w:right w:val="single" w:sz="4" w:space="0" w:color="auto"/>
            </w:tcBorders>
            <w:vAlign w:val="center"/>
          </w:tcPr>
          <w:p w14:paraId="7895C348" w14:textId="77777777" w:rsidR="00A67F21" w:rsidRPr="00B12FE0" w:rsidRDefault="00000000">
            <w:pPr>
              <w:pBdr>
                <w:top w:val="none" w:sz="0" w:space="1" w:color="auto"/>
                <w:left w:val="none" w:sz="0" w:space="4" w:color="auto"/>
                <w:bottom w:val="none" w:sz="0" w:space="1" w:color="auto"/>
                <w:right w:val="none" w:sz="0" w:space="4" w:color="auto"/>
              </w:pBdr>
              <w:ind w:firstLine="420"/>
              <w:jc w:val="center"/>
              <w:rPr>
                <w:color w:val="000000" w:themeColor="text1"/>
                <w:sz w:val="21"/>
                <w:szCs w:val="21"/>
              </w:rPr>
            </w:pPr>
            <w:r w:rsidRPr="00B12FE0">
              <w:rPr>
                <w:color w:val="000000" w:themeColor="text1"/>
                <w:sz w:val="21"/>
                <w:szCs w:val="21"/>
              </w:rPr>
              <w:t>中子剂量当量仪</w:t>
            </w:r>
          </w:p>
        </w:tc>
      </w:tr>
      <w:tr w:rsidR="00A67F21" w:rsidRPr="00B12FE0" w14:paraId="618E821C"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33F23312"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生产厂家</w:t>
            </w:r>
          </w:p>
        </w:tc>
        <w:tc>
          <w:tcPr>
            <w:tcW w:w="6523" w:type="dxa"/>
            <w:tcBorders>
              <w:top w:val="single" w:sz="4" w:space="0" w:color="auto"/>
              <w:left w:val="single" w:sz="4" w:space="0" w:color="auto"/>
              <w:bottom w:val="single" w:sz="4" w:space="0" w:color="auto"/>
              <w:right w:val="single" w:sz="4" w:space="0" w:color="auto"/>
            </w:tcBorders>
            <w:vAlign w:val="center"/>
          </w:tcPr>
          <w:p w14:paraId="6D9E00B8" w14:textId="77777777" w:rsidR="00A67F21" w:rsidRPr="00B12FE0" w:rsidRDefault="00000000">
            <w:pPr>
              <w:pBdr>
                <w:top w:val="none" w:sz="0" w:space="1" w:color="auto"/>
                <w:left w:val="none" w:sz="0" w:space="4" w:color="auto"/>
                <w:bottom w:val="none" w:sz="0" w:space="1" w:color="auto"/>
                <w:right w:val="none" w:sz="0" w:space="4" w:color="auto"/>
              </w:pBdr>
              <w:ind w:firstLine="420"/>
              <w:jc w:val="center"/>
              <w:rPr>
                <w:color w:val="000000" w:themeColor="text1"/>
                <w:sz w:val="21"/>
                <w:szCs w:val="21"/>
              </w:rPr>
            </w:pPr>
            <w:proofErr w:type="spellStart"/>
            <w:r w:rsidRPr="00B12FE0">
              <w:rPr>
                <w:color w:val="000000" w:themeColor="text1"/>
                <w:sz w:val="21"/>
                <w:szCs w:val="21"/>
              </w:rPr>
              <w:t>Thermo</w:t>
            </w:r>
            <w:proofErr w:type="spellEnd"/>
            <w:r w:rsidRPr="00B12FE0">
              <w:rPr>
                <w:color w:val="000000" w:themeColor="text1"/>
                <w:sz w:val="21"/>
                <w:szCs w:val="21"/>
              </w:rPr>
              <w:t xml:space="preserve"> SCIENTIFIC</w:t>
            </w:r>
          </w:p>
        </w:tc>
      </w:tr>
      <w:tr w:rsidR="00A67F21" w:rsidRPr="00B12FE0" w14:paraId="68A316E6"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33226256"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仪器编号</w:t>
            </w:r>
          </w:p>
        </w:tc>
        <w:tc>
          <w:tcPr>
            <w:tcW w:w="6523" w:type="dxa"/>
            <w:tcBorders>
              <w:top w:val="single" w:sz="4" w:space="0" w:color="auto"/>
              <w:left w:val="single" w:sz="4" w:space="0" w:color="auto"/>
              <w:bottom w:val="single" w:sz="4" w:space="0" w:color="auto"/>
              <w:right w:val="single" w:sz="4" w:space="0" w:color="auto"/>
            </w:tcBorders>
            <w:vAlign w:val="center"/>
          </w:tcPr>
          <w:p w14:paraId="492341E0" w14:textId="77777777" w:rsidR="00A67F21" w:rsidRPr="00B12FE0" w:rsidRDefault="00000000">
            <w:pPr>
              <w:pBdr>
                <w:top w:val="none" w:sz="0" w:space="1" w:color="auto"/>
                <w:left w:val="none" w:sz="0" w:space="4" w:color="auto"/>
                <w:bottom w:val="none" w:sz="0" w:space="1" w:color="auto"/>
                <w:right w:val="none" w:sz="0" w:space="4" w:color="auto"/>
              </w:pBdr>
              <w:ind w:firstLine="420"/>
              <w:jc w:val="center"/>
              <w:rPr>
                <w:color w:val="000000" w:themeColor="text1"/>
                <w:sz w:val="21"/>
                <w:szCs w:val="21"/>
              </w:rPr>
            </w:pPr>
            <w:r w:rsidRPr="00B12FE0">
              <w:rPr>
                <w:color w:val="000000" w:themeColor="text1"/>
                <w:sz w:val="21"/>
                <w:szCs w:val="21"/>
              </w:rPr>
              <w:t>05034152</w:t>
            </w:r>
          </w:p>
        </w:tc>
      </w:tr>
      <w:tr w:rsidR="00A67F21" w:rsidRPr="00B12FE0" w14:paraId="1F89C46B"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53B25E4E"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能量范围</w:t>
            </w:r>
          </w:p>
        </w:tc>
        <w:tc>
          <w:tcPr>
            <w:tcW w:w="6523" w:type="dxa"/>
            <w:tcBorders>
              <w:top w:val="single" w:sz="4" w:space="0" w:color="auto"/>
              <w:left w:val="single" w:sz="4" w:space="0" w:color="auto"/>
              <w:bottom w:val="single" w:sz="4" w:space="0" w:color="auto"/>
              <w:right w:val="single" w:sz="4" w:space="0" w:color="auto"/>
            </w:tcBorders>
            <w:vAlign w:val="center"/>
          </w:tcPr>
          <w:p w14:paraId="7CD8ADA0" w14:textId="77777777" w:rsidR="00A67F21" w:rsidRPr="00B12FE0" w:rsidRDefault="00000000">
            <w:pPr>
              <w:pBdr>
                <w:top w:val="none" w:sz="0" w:space="1" w:color="auto"/>
                <w:left w:val="none" w:sz="0" w:space="4" w:color="auto"/>
                <w:bottom w:val="none" w:sz="0" w:space="1" w:color="auto"/>
                <w:right w:val="none" w:sz="0" w:space="4" w:color="auto"/>
              </w:pBdr>
              <w:ind w:firstLine="420"/>
              <w:jc w:val="center"/>
              <w:rPr>
                <w:color w:val="000000" w:themeColor="text1"/>
                <w:sz w:val="21"/>
                <w:szCs w:val="21"/>
              </w:rPr>
            </w:pPr>
            <w:r w:rsidRPr="00B12FE0">
              <w:rPr>
                <w:color w:val="000000" w:themeColor="text1"/>
                <w:sz w:val="21"/>
                <w:szCs w:val="21"/>
              </w:rPr>
              <w:t>热中子～</w:t>
            </w:r>
            <w:r w:rsidRPr="00B12FE0">
              <w:rPr>
                <w:color w:val="000000" w:themeColor="text1"/>
                <w:sz w:val="21"/>
                <w:szCs w:val="21"/>
              </w:rPr>
              <w:t>20MeV</w:t>
            </w:r>
          </w:p>
        </w:tc>
      </w:tr>
      <w:tr w:rsidR="00A67F21" w:rsidRPr="00B12FE0" w14:paraId="2EE1A3E5"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034108E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量</w:t>
            </w:r>
            <w:r w:rsidRPr="00B12FE0">
              <w:rPr>
                <w:color w:val="000000" w:themeColor="text1"/>
                <w:sz w:val="21"/>
                <w:szCs w:val="21"/>
              </w:rPr>
              <w:t xml:space="preserve">        </w:t>
            </w:r>
            <w:r w:rsidRPr="00B12FE0">
              <w:rPr>
                <w:color w:val="000000" w:themeColor="text1"/>
                <w:sz w:val="21"/>
                <w:szCs w:val="21"/>
              </w:rPr>
              <w:t>程</w:t>
            </w:r>
          </w:p>
        </w:tc>
        <w:tc>
          <w:tcPr>
            <w:tcW w:w="6523" w:type="dxa"/>
            <w:tcBorders>
              <w:top w:val="single" w:sz="4" w:space="0" w:color="auto"/>
              <w:left w:val="single" w:sz="4" w:space="0" w:color="auto"/>
              <w:bottom w:val="single" w:sz="4" w:space="0" w:color="auto"/>
              <w:right w:val="single" w:sz="4" w:space="0" w:color="auto"/>
            </w:tcBorders>
            <w:vAlign w:val="center"/>
          </w:tcPr>
          <w:p w14:paraId="71002D95" w14:textId="77777777" w:rsidR="00A67F21" w:rsidRPr="00B12FE0" w:rsidRDefault="00000000">
            <w:pPr>
              <w:pBdr>
                <w:top w:val="none" w:sz="0" w:space="1" w:color="auto"/>
                <w:left w:val="none" w:sz="0" w:space="4" w:color="auto"/>
                <w:bottom w:val="none" w:sz="0" w:space="1" w:color="auto"/>
                <w:right w:val="none" w:sz="0" w:space="4" w:color="auto"/>
              </w:pBdr>
              <w:ind w:firstLine="420"/>
              <w:jc w:val="center"/>
              <w:rPr>
                <w:color w:val="000000" w:themeColor="text1"/>
                <w:sz w:val="21"/>
                <w:szCs w:val="21"/>
              </w:rPr>
            </w:pPr>
            <w:r w:rsidRPr="00B12FE0">
              <w:rPr>
                <w:color w:val="000000" w:themeColor="text1"/>
                <w:sz w:val="21"/>
                <w:szCs w:val="21"/>
              </w:rPr>
              <w:t>1nSv/h</w:t>
            </w:r>
            <w:r w:rsidRPr="00B12FE0">
              <w:rPr>
                <w:color w:val="000000" w:themeColor="text1"/>
                <w:sz w:val="21"/>
                <w:szCs w:val="21"/>
              </w:rPr>
              <w:t>～</w:t>
            </w:r>
            <w:r w:rsidRPr="00B12FE0">
              <w:rPr>
                <w:color w:val="000000" w:themeColor="text1"/>
                <w:sz w:val="21"/>
                <w:szCs w:val="21"/>
              </w:rPr>
              <w:t>100mSv/h</w:t>
            </w:r>
          </w:p>
        </w:tc>
      </w:tr>
      <w:tr w:rsidR="00A67F21" w:rsidRPr="00B12FE0" w14:paraId="07F08926"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21594EDA" w14:textId="77777777" w:rsidR="00A67F21" w:rsidRPr="00B12FE0" w:rsidRDefault="00000000">
            <w:pPr>
              <w:pBdr>
                <w:top w:val="none" w:sz="0" w:space="1" w:color="auto"/>
                <w:left w:val="none" w:sz="0" w:space="4" w:color="auto"/>
                <w:bottom w:val="none" w:sz="0" w:space="1" w:color="auto"/>
                <w:right w:val="none" w:sz="0" w:space="4" w:color="auto"/>
              </w:pBdr>
              <w:autoSpaceDE w:val="0"/>
              <w:autoSpaceDN w:val="0"/>
              <w:jc w:val="center"/>
              <w:rPr>
                <w:color w:val="000000" w:themeColor="text1"/>
                <w:sz w:val="21"/>
                <w:szCs w:val="21"/>
              </w:rPr>
            </w:pPr>
            <w:r w:rsidRPr="00B12FE0">
              <w:rPr>
                <w:color w:val="000000" w:themeColor="text1"/>
                <w:sz w:val="21"/>
                <w:szCs w:val="21"/>
              </w:rPr>
              <w:t>检定单位</w:t>
            </w:r>
          </w:p>
        </w:tc>
        <w:tc>
          <w:tcPr>
            <w:tcW w:w="6523" w:type="dxa"/>
            <w:tcBorders>
              <w:top w:val="single" w:sz="4" w:space="0" w:color="auto"/>
              <w:left w:val="single" w:sz="4" w:space="0" w:color="auto"/>
              <w:bottom w:val="single" w:sz="4" w:space="0" w:color="auto"/>
              <w:right w:val="single" w:sz="4" w:space="0" w:color="auto"/>
            </w:tcBorders>
            <w:vAlign w:val="center"/>
          </w:tcPr>
          <w:p w14:paraId="7A32BFAF"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中国计量科学研究院</w:t>
            </w:r>
          </w:p>
        </w:tc>
      </w:tr>
      <w:tr w:rsidR="00A67F21" w:rsidRPr="00B12FE0" w14:paraId="128D1841"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31CA31E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检定证书</w:t>
            </w:r>
          </w:p>
        </w:tc>
        <w:tc>
          <w:tcPr>
            <w:tcW w:w="6523" w:type="dxa"/>
            <w:tcBorders>
              <w:top w:val="single" w:sz="4" w:space="0" w:color="auto"/>
              <w:left w:val="single" w:sz="4" w:space="0" w:color="auto"/>
              <w:bottom w:val="single" w:sz="4" w:space="0" w:color="auto"/>
              <w:right w:val="single" w:sz="4" w:space="0" w:color="auto"/>
            </w:tcBorders>
            <w:vAlign w:val="center"/>
          </w:tcPr>
          <w:p w14:paraId="34EA10A3"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DLjs2025-01822</w:t>
            </w:r>
          </w:p>
        </w:tc>
      </w:tr>
      <w:tr w:rsidR="00A67F21" w:rsidRPr="00B12FE0" w14:paraId="4A40A21E" w14:textId="77777777">
        <w:trPr>
          <w:trHeight w:val="454"/>
          <w:jc w:val="center"/>
        </w:trPr>
        <w:tc>
          <w:tcPr>
            <w:tcW w:w="2054" w:type="dxa"/>
            <w:tcBorders>
              <w:top w:val="single" w:sz="4" w:space="0" w:color="auto"/>
              <w:left w:val="single" w:sz="4" w:space="0" w:color="auto"/>
              <w:bottom w:val="single" w:sz="4" w:space="0" w:color="auto"/>
              <w:right w:val="single" w:sz="4" w:space="0" w:color="auto"/>
            </w:tcBorders>
            <w:vAlign w:val="center"/>
          </w:tcPr>
          <w:p w14:paraId="49E843B0"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color w:val="000000" w:themeColor="text1"/>
                <w:sz w:val="21"/>
                <w:szCs w:val="21"/>
              </w:rPr>
              <w:t>检定有效期</w:t>
            </w:r>
          </w:p>
        </w:tc>
        <w:tc>
          <w:tcPr>
            <w:tcW w:w="6523" w:type="dxa"/>
            <w:tcBorders>
              <w:top w:val="single" w:sz="4" w:space="0" w:color="auto"/>
              <w:left w:val="single" w:sz="4" w:space="0" w:color="auto"/>
              <w:bottom w:val="single" w:sz="4" w:space="0" w:color="auto"/>
              <w:right w:val="single" w:sz="4" w:space="0" w:color="auto"/>
            </w:tcBorders>
            <w:vAlign w:val="center"/>
          </w:tcPr>
          <w:p w14:paraId="6E799B1D" w14:textId="77777777" w:rsidR="00A67F21" w:rsidRPr="00B12FE0" w:rsidRDefault="00000000">
            <w:pPr>
              <w:pBdr>
                <w:top w:val="none" w:sz="0" w:space="1" w:color="auto"/>
                <w:left w:val="none" w:sz="0" w:space="4" w:color="auto"/>
                <w:bottom w:val="none" w:sz="0" w:space="1" w:color="auto"/>
                <w:right w:val="none" w:sz="0" w:space="4" w:color="auto"/>
              </w:pBdr>
              <w:ind w:firstLine="420"/>
              <w:jc w:val="center"/>
              <w:rPr>
                <w:color w:val="000000" w:themeColor="text1"/>
                <w:sz w:val="21"/>
                <w:szCs w:val="21"/>
              </w:rPr>
            </w:pPr>
            <w:r w:rsidRPr="00B12FE0">
              <w:rPr>
                <w:color w:val="000000" w:themeColor="text1"/>
                <w:sz w:val="21"/>
                <w:szCs w:val="21"/>
              </w:rPr>
              <w:t xml:space="preserve">2025 </w:t>
            </w:r>
            <w:r w:rsidRPr="00B12FE0">
              <w:rPr>
                <w:color w:val="000000" w:themeColor="text1"/>
                <w:sz w:val="21"/>
                <w:szCs w:val="21"/>
              </w:rPr>
              <w:t>年</w:t>
            </w:r>
            <w:r w:rsidRPr="00B12FE0">
              <w:rPr>
                <w:color w:val="000000" w:themeColor="text1"/>
                <w:sz w:val="21"/>
                <w:szCs w:val="21"/>
              </w:rPr>
              <w:t xml:space="preserve"> 06 </w:t>
            </w:r>
            <w:r w:rsidRPr="00B12FE0">
              <w:rPr>
                <w:color w:val="000000" w:themeColor="text1"/>
                <w:sz w:val="21"/>
                <w:szCs w:val="21"/>
              </w:rPr>
              <w:t>月</w:t>
            </w:r>
            <w:r w:rsidRPr="00B12FE0">
              <w:rPr>
                <w:color w:val="000000" w:themeColor="text1"/>
                <w:sz w:val="21"/>
                <w:szCs w:val="21"/>
              </w:rPr>
              <w:t xml:space="preserve"> 25 </w:t>
            </w:r>
            <w:r w:rsidRPr="00B12FE0">
              <w:rPr>
                <w:color w:val="000000" w:themeColor="text1"/>
                <w:sz w:val="21"/>
                <w:szCs w:val="21"/>
              </w:rPr>
              <w:t>日～</w:t>
            </w:r>
            <w:r w:rsidRPr="00B12FE0">
              <w:rPr>
                <w:color w:val="000000" w:themeColor="text1"/>
                <w:sz w:val="21"/>
                <w:szCs w:val="21"/>
              </w:rPr>
              <w:t xml:space="preserve">2026 </w:t>
            </w:r>
            <w:r w:rsidRPr="00B12FE0">
              <w:rPr>
                <w:color w:val="000000" w:themeColor="text1"/>
                <w:sz w:val="21"/>
                <w:szCs w:val="21"/>
              </w:rPr>
              <w:t>年</w:t>
            </w:r>
            <w:r w:rsidRPr="00B12FE0">
              <w:rPr>
                <w:color w:val="000000" w:themeColor="text1"/>
                <w:sz w:val="21"/>
                <w:szCs w:val="21"/>
              </w:rPr>
              <w:t xml:space="preserve"> 06 </w:t>
            </w:r>
            <w:r w:rsidRPr="00B12FE0">
              <w:rPr>
                <w:color w:val="000000" w:themeColor="text1"/>
                <w:sz w:val="21"/>
                <w:szCs w:val="21"/>
              </w:rPr>
              <w:t>月</w:t>
            </w:r>
            <w:r w:rsidRPr="00B12FE0">
              <w:rPr>
                <w:color w:val="000000" w:themeColor="text1"/>
                <w:sz w:val="21"/>
                <w:szCs w:val="21"/>
              </w:rPr>
              <w:t xml:space="preserve"> 24 </w:t>
            </w:r>
            <w:r w:rsidRPr="00B12FE0">
              <w:rPr>
                <w:color w:val="000000" w:themeColor="text1"/>
                <w:sz w:val="21"/>
                <w:szCs w:val="21"/>
              </w:rPr>
              <w:t>日</w:t>
            </w:r>
          </w:p>
        </w:tc>
      </w:tr>
    </w:tbl>
    <w:p w14:paraId="2C983908"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beforeLines="50" w:before="120" w:line="360" w:lineRule="auto"/>
        <w:outlineLvl w:val="2"/>
        <w:rPr>
          <w:b/>
          <w:bCs/>
          <w:color w:val="000000" w:themeColor="text1"/>
        </w:rPr>
      </w:pPr>
      <w:r w:rsidRPr="00B12FE0">
        <w:rPr>
          <w:rFonts w:hint="eastAsia"/>
          <w:b/>
          <w:bCs/>
          <w:color w:val="000000" w:themeColor="text1"/>
        </w:rPr>
        <w:lastRenderedPageBreak/>
        <w:t>8</w:t>
      </w:r>
      <w:r w:rsidRPr="00B12FE0">
        <w:rPr>
          <w:b/>
          <w:bCs/>
          <w:color w:val="000000" w:themeColor="text1"/>
        </w:rPr>
        <w:t>.4.2</w:t>
      </w:r>
      <w:r w:rsidRPr="00B12FE0">
        <w:rPr>
          <w:b/>
          <w:bCs/>
          <w:color w:val="000000" w:themeColor="text1"/>
        </w:rPr>
        <w:t>质量保证措施</w:t>
      </w:r>
    </w:p>
    <w:p w14:paraId="66D0C377"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ind w:firstLineChars="200" w:firstLine="480"/>
        <w:rPr>
          <w:color w:val="000000" w:themeColor="text1"/>
          <w:kern w:val="0"/>
        </w:rPr>
      </w:pPr>
      <w:r w:rsidRPr="00B12FE0">
        <w:rPr>
          <w:rFonts w:hint="eastAsia"/>
          <w:color w:val="000000" w:themeColor="text1"/>
          <w:kern w:val="0"/>
        </w:rPr>
        <w:t>（</w:t>
      </w:r>
      <w:r w:rsidRPr="00B12FE0">
        <w:rPr>
          <w:color w:val="000000" w:themeColor="text1"/>
          <w:kern w:val="0"/>
        </w:rPr>
        <w:t>1</w:t>
      </w:r>
      <w:r w:rsidRPr="00B12FE0">
        <w:rPr>
          <w:rFonts w:hint="eastAsia"/>
          <w:color w:val="000000" w:themeColor="text1"/>
          <w:kern w:val="0"/>
        </w:rPr>
        <w:t>）</w:t>
      </w:r>
      <w:r w:rsidRPr="00B12FE0">
        <w:rPr>
          <w:rFonts w:hint="eastAsia"/>
          <w:color w:val="000000" w:themeColor="text1"/>
        </w:rPr>
        <w:t>本项目辐射环境监测单位为浙江建安检测研究院有限公司，</w:t>
      </w:r>
      <w:r w:rsidRPr="00B12FE0">
        <w:rPr>
          <w:rFonts w:ascii="宋体" w:hAnsi="宋体"/>
          <w:color w:val="000000" w:themeColor="text1"/>
        </w:rPr>
        <w:t>具有浙江省市场监督管理局颁发的资质认定证书，</w:t>
      </w:r>
      <w:r w:rsidRPr="00B12FE0">
        <w:rPr>
          <w:rFonts w:hint="eastAsia"/>
          <w:color w:val="000000" w:themeColor="text1"/>
        </w:rPr>
        <w:t>并在允许范围内开展工作和出具有效的监测报告，保证了监测工作的合法性和有效性。</w:t>
      </w:r>
    </w:p>
    <w:p w14:paraId="71E7AB15"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ind w:firstLineChars="200" w:firstLine="480"/>
        <w:rPr>
          <w:color w:val="000000" w:themeColor="text1"/>
          <w:kern w:val="0"/>
        </w:rPr>
      </w:pPr>
      <w:r w:rsidRPr="00B12FE0">
        <w:rPr>
          <w:rFonts w:hint="eastAsia"/>
          <w:color w:val="000000" w:themeColor="text1"/>
          <w:kern w:val="0"/>
        </w:rPr>
        <w:t>（</w:t>
      </w:r>
      <w:r w:rsidRPr="00B12FE0">
        <w:rPr>
          <w:color w:val="000000" w:themeColor="text1"/>
          <w:kern w:val="0"/>
        </w:rPr>
        <w:t>2</w:t>
      </w:r>
      <w:r w:rsidRPr="00B12FE0">
        <w:rPr>
          <w:rFonts w:hint="eastAsia"/>
          <w:color w:val="000000" w:themeColor="text1"/>
          <w:kern w:val="0"/>
        </w:rPr>
        <w:t>）</w:t>
      </w:r>
      <w:r w:rsidRPr="00B12FE0">
        <w:rPr>
          <w:rFonts w:hint="eastAsia"/>
          <w:color w:val="000000" w:themeColor="text1"/>
        </w:rPr>
        <w:t>采用国家有关部门颁布的监测标准方法，每次测量前、后</w:t>
      </w:r>
      <w:proofErr w:type="gramStart"/>
      <w:r w:rsidRPr="00B12FE0">
        <w:rPr>
          <w:rFonts w:hint="eastAsia"/>
          <w:color w:val="000000" w:themeColor="text1"/>
        </w:rPr>
        <w:t>均检查</w:t>
      </w:r>
      <w:proofErr w:type="gramEnd"/>
      <w:r w:rsidRPr="00B12FE0">
        <w:rPr>
          <w:rFonts w:hint="eastAsia"/>
          <w:color w:val="000000" w:themeColor="text1"/>
        </w:rPr>
        <w:t>仪器的工作状态是否正常。</w:t>
      </w:r>
    </w:p>
    <w:p w14:paraId="5F9B3253"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spacing w:line="360" w:lineRule="auto"/>
        <w:ind w:firstLineChars="200" w:firstLine="480"/>
        <w:rPr>
          <w:color w:val="000000" w:themeColor="text1"/>
        </w:rPr>
      </w:pPr>
      <w:r w:rsidRPr="00B12FE0">
        <w:rPr>
          <w:rFonts w:hint="eastAsia"/>
          <w:color w:val="000000" w:themeColor="text1"/>
          <w:kern w:val="0"/>
        </w:rPr>
        <w:t>（</w:t>
      </w:r>
      <w:r w:rsidRPr="00B12FE0">
        <w:rPr>
          <w:color w:val="000000" w:themeColor="text1"/>
          <w:kern w:val="0"/>
        </w:rPr>
        <w:t>3</w:t>
      </w:r>
      <w:r w:rsidRPr="00B12FE0">
        <w:rPr>
          <w:rFonts w:hint="eastAsia"/>
          <w:color w:val="000000" w:themeColor="text1"/>
          <w:kern w:val="0"/>
        </w:rPr>
        <w:t>）</w:t>
      </w:r>
      <w:r w:rsidRPr="00B12FE0">
        <w:rPr>
          <w:color w:val="000000" w:themeColor="text1"/>
        </w:rPr>
        <w:t>监测仪器每年定期经计量部门检定或校准，满足要求后方可使用。</w:t>
      </w:r>
    </w:p>
    <w:p w14:paraId="5FE670FE"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ind w:firstLineChars="200" w:firstLine="480"/>
        <w:rPr>
          <w:color w:val="000000" w:themeColor="text1"/>
          <w:kern w:val="0"/>
        </w:rPr>
      </w:pPr>
      <w:r w:rsidRPr="00B12FE0">
        <w:rPr>
          <w:rFonts w:hint="eastAsia"/>
          <w:color w:val="000000" w:themeColor="text1"/>
          <w:kern w:val="0"/>
        </w:rPr>
        <w:t>（</w:t>
      </w:r>
      <w:r w:rsidRPr="00B12FE0">
        <w:rPr>
          <w:color w:val="000000" w:themeColor="text1"/>
          <w:kern w:val="0"/>
        </w:rPr>
        <w:t>4</w:t>
      </w:r>
      <w:r w:rsidRPr="00B12FE0">
        <w:rPr>
          <w:rFonts w:hint="eastAsia"/>
          <w:color w:val="000000" w:themeColor="text1"/>
          <w:kern w:val="0"/>
        </w:rPr>
        <w:t>）</w:t>
      </w:r>
      <w:r w:rsidRPr="00B12FE0">
        <w:rPr>
          <w:rFonts w:hint="eastAsia"/>
          <w:color w:val="000000" w:themeColor="text1"/>
        </w:rPr>
        <w:t>监测实行全过程的质量控制，严格按照浙江建安检测研究院有限公司《质量手册》、《程序文件》及仪器作业指导书的有关规定执行，监测人员经培训、考核合格后上岗。</w:t>
      </w:r>
    </w:p>
    <w:p w14:paraId="2689AE1F"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ind w:firstLineChars="200" w:firstLine="480"/>
        <w:rPr>
          <w:color w:val="000000" w:themeColor="text1"/>
          <w:kern w:val="0"/>
          <w:szCs w:val="24"/>
        </w:rPr>
      </w:pPr>
      <w:r w:rsidRPr="00B12FE0">
        <w:rPr>
          <w:rFonts w:hint="eastAsia"/>
          <w:color w:val="000000" w:themeColor="text1"/>
          <w:kern w:val="0"/>
          <w:szCs w:val="24"/>
        </w:rPr>
        <w:t>（</w:t>
      </w:r>
      <w:r w:rsidRPr="00B12FE0">
        <w:rPr>
          <w:color w:val="000000" w:themeColor="text1"/>
          <w:kern w:val="0"/>
          <w:szCs w:val="24"/>
        </w:rPr>
        <w:t>5</w:t>
      </w:r>
      <w:r w:rsidRPr="00B12FE0">
        <w:rPr>
          <w:rFonts w:hint="eastAsia"/>
          <w:color w:val="000000" w:themeColor="text1"/>
          <w:kern w:val="0"/>
          <w:szCs w:val="24"/>
        </w:rPr>
        <w:t>）</w:t>
      </w:r>
      <w:r w:rsidRPr="00B12FE0">
        <w:rPr>
          <w:rFonts w:hint="eastAsia"/>
          <w:color w:val="000000" w:themeColor="text1"/>
          <w:szCs w:val="24"/>
        </w:rPr>
        <w:t>监测报告严格实行三级审核制度，经校核、审核，最后由授权签字人审定。</w:t>
      </w:r>
    </w:p>
    <w:p w14:paraId="0AE999AE"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rPr>
          <w:b/>
          <w:bCs/>
          <w:color w:val="000000" w:themeColor="text1"/>
        </w:rPr>
      </w:pPr>
      <w:r w:rsidRPr="00B12FE0">
        <w:rPr>
          <w:b/>
          <w:bCs/>
          <w:color w:val="000000" w:themeColor="text1"/>
        </w:rPr>
        <w:t>8.4.3</w:t>
      </w:r>
      <w:r w:rsidRPr="00B12FE0">
        <w:rPr>
          <w:b/>
          <w:bCs/>
          <w:color w:val="000000" w:themeColor="text1"/>
        </w:rPr>
        <w:t>监测</w:t>
      </w:r>
      <w:r w:rsidRPr="00B12FE0">
        <w:rPr>
          <w:rFonts w:hint="eastAsia"/>
          <w:b/>
          <w:bCs/>
          <w:color w:val="000000" w:themeColor="text1"/>
          <w:lang w:eastAsia="zh-Hans"/>
        </w:rPr>
        <w:t>结果</w:t>
      </w:r>
    </w:p>
    <w:p w14:paraId="3EB96773"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ind w:firstLineChars="200" w:firstLine="480"/>
        <w:rPr>
          <w:color w:val="000000" w:themeColor="text1"/>
        </w:rPr>
      </w:pPr>
      <w:r w:rsidRPr="00B12FE0">
        <w:rPr>
          <w:color w:val="000000" w:themeColor="text1"/>
        </w:rPr>
        <w:t>本项目</w:t>
      </w:r>
      <w:r w:rsidRPr="00B12FE0">
        <w:rPr>
          <w:bCs/>
          <w:color w:val="000000" w:themeColor="text1"/>
        </w:rPr>
        <w:t>γ</w:t>
      </w:r>
      <w:r w:rsidRPr="00B12FE0">
        <w:rPr>
          <w:rFonts w:hint="eastAsia"/>
          <w:bCs/>
          <w:color w:val="000000" w:themeColor="text1"/>
        </w:rPr>
        <w:t>辐射</w:t>
      </w:r>
      <w:r w:rsidRPr="00B12FE0">
        <w:rPr>
          <w:bCs/>
          <w:color w:val="000000" w:themeColor="text1"/>
        </w:rPr>
        <w:t>空气吸收剂量率</w:t>
      </w:r>
      <w:r w:rsidRPr="00B12FE0">
        <w:rPr>
          <w:color w:val="000000" w:themeColor="text1"/>
        </w:rPr>
        <w:t>现状监测结果见表</w:t>
      </w:r>
      <w:r w:rsidRPr="00B12FE0">
        <w:rPr>
          <w:color w:val="000000" w:themeColor="text1"/>
        </w:rPr>
        <w:t>8.4</w:t>
      </w:r>
      <w:r w:rsidRPr="00B12FE0">
        <w:rPr>
          <w:rFonts w:hint="eastAsia"/>
          <w:color w:val="000000" w:themeColor="text1"/>
        </w:rPr>
        <w:t>.3-1</w:t>
      </w:r>
      <w:r w:rsidRPr="00B12FE0">
        <w:rPr>
          <w:color w:val="000000" w:themeColor="text1"/>
        </w:rPr>
        <w:t>。</w:t>
      </w:r>
    </w:p>
    <w:p w14:paraId="69C28C4E"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8.4</w:t>
      </w:r>
      <w:r w:rsidRPr="00B12FE0">
        <w:rPr>
          <w:rFonts w:hint="eastAsia"/>
          <w:b/>
          <w:color w:val="000000" w:themeColor="text1"/>
          <w:sz w:val="21"/>
          <w:szCs w:val="21"/>
        </w:rPr>
        <w:t>.3</w:t>
      </w:r>
      <w:r w:rsidRPr="00B12FE0">
        <w:rPr>
          <w:b/>
          <w:color w:val="000000" w:themeColor="text1"/>
          <w:sz w:val="21"/>
          <w:szCs w:val="21"/>
        </w:rPr>
        <w:t>-</w:t>
      </w:r>
      <w:r w:rsidRPr="00B12FE0">
        <w:rPr>
          <w:rFonts w:hint="eastAsia"/>
          <w:b/>
          <w:color w:val="000000" w:themeColor="text1"/>
          <w:sz w:val="21"/>
          <w:szCs w:val="21"/>
        </w:rPr>
        <w:t xml:space="preserve">1  </w:t>
      </w:r>
      <w:r w:rsidRPr="00B12FE0">
        <w:rPr>
          <w:b/>
          <w:color w:val="000000" w:themeColor="text1"/>
          <w:sz w:val="21"/>
          <w:szCs w:val="21"/>
        </w:rPr>
        <w:t>本项目</w:t>
      </w:r>
      <w:r w:rsidRPr="00B12FE0">
        <w:rPr>
          <w:b/>
          <w:color w:val="000000" w:themeColor="text1"/>
          <w:sz w:val="21"/>
          <w:szCs w:val="21"/>
        </w:rPr>
        <w:t>γ</w:t>
      </w:r>
      <w:r w:rsidRPr="00B12FE0">
        <w:rPr>
          <w:rFonts w:hint="eastAsia"/>
          <w:b/>
          <w:color w:val="000000" w:themeColor="text1"/>
          <w:sz w:val="21"/>
          <w:szCs w:val="21"/>
        </w:rPr>
        <w:t>辐射</w:t>
      </w:r>
      <w:r w:rsidRPr="00B12FE0">
        <w:rPr>
          <w:b/>
          <w:color w:val="000000" w:themeColor="text1"/>
          <w:sz w:val="21"/>
          <w:szCs w:val="21"/>
        </w:rPr>
        <w:t>空气吸收剂量率现状监测结果</w:t>
      </w:r>
    </w:p>
    <w:tbl>
      <w:tblPr>
        <w:tblW w:w="4900" w:type="pct"/>
        <w:jc w:val="center"/>
        <w:tblLook w:val="04A0" w:firstRow="1" w:lastRow="0" w:firstColumn="1" w:lastColumn="0" w:noHBand="0" w:noVBand="1"/>
      </w:tblPr>
      <w:tblGrid>
        <w:gridCol w:w="1556"/>
        <w:gridCol w:w="2967"/>
        <w:gridCol w:w="2154"/>
        <w:gridCol w:w="2160"/>
      </w:tblGrid>
      <w:tr w:rsidR="00A67F21" w:rsidRPr="00B12FE0" w14:paraId="4495D4AF"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678D6AE5"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监测点编号</w:t>
            </w:r>
          </w:p>
        </w:tc>
        <w:tc>
          <w:tcPr>
            <w:tcW w:w="1679" w:type="pct"/>
            <w:tcBorders>
              <w:top w:val="single" w:sz="4" w:space="0" w:color="auto"/>
              <w:left w:val="single" w:sz="4" w:space="0" w:color="auto"/>
              <w:bottom w:val="single" w:sz="4" w:space="0" w:color="auto"/>
              <w:right w:val="single" w:sz="4" w:space="0" w:color="auto"/>
            </w:tcBorders>
            <w:vAlign w:val="center"/>
          </w:tcPr>
          <w:p w14:paraId="374AB5D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监测点位置</w:t>
            </w:r>
          </w:p>
        </w:tc>
        <w:tc>
          <w:tcPr>
            <w:tcW w:w="1219" w:type="pct"/>
            <w:tcBorders>
              <w:top w:val="single" w:sz="4" w:space="0" w:color="auto"/>
              <w:left w:val="nil"/>
              <w:right w:val="single" w:sz="4" w:space="0" w:color="auto"/>
            </w:tcBorders>
            <w:vAlign w:val="center"/>
          </w:tcPr>
          <w:p w14:paraId="48300E5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监测结果（</w:t>
            </w:r>
            <w:proofErr w:type="spellStart"/>
            <w:r w:rsidRPr="00B12FE0">
              <w:rPr>
                <w:rFonts w:hint="eastAsia"/>
                <w:color w:val="000000" w:themeColor="text1"/>
                <w:sz w:val="21"/>
                <w:szCs w:val="21"/>
              </w:rPr>
              <w:t>nGy</w:t>
            </w:r>
            <w:proofErr w:type="spellEnd"/>
            <w:r w:rsidRPr="00B12FE0">
              <w:rPr>
                <w:rFonts w:hint="eastAsia"/>
                <w:color w:val="000000" w:themeColor="text1"/>
                <w:sz w:val="21"/>
                <w:szCs w:val="21"/>
              </w:rPr>
              <w:t>/h</w:t>
            </w:r>
            <w:r w:rsidRPr="00B12FE0">
              <w:rPr>
                <w:rFonts w:hint="eastAsia"/>
                <w:color w:val="000000" w:themeColor="text1"/>
                <w:sz w:val="21"/>
                <w:szCs w:val="21"/>
              </w:rPr>
              <w:t>）</w:t>
            </w:r>
          </w:p>
        </w:tc>
        <w:tc>
          <w:tcPr>
            <w:tcW w:w="1222" w:type="pct"/>
            <w:tcBorders>
              <w:top w:val="single" w:sz="4" w:space="0" w:color="auto"/>
              <w:left w:val="nil"/>
              <w:right w:val="single" w:sz="4" w:space="0" w:color="auto"/>
            </w:tcBorders>
            <w:vAlign w:val="center"/>
          </w:tcPr>
          <w:p w14:paraId="76A21F4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备注</w:t>
            </w:r>
          </w:p>
        </w:tc>
      </w:tr>
      <w:tr w:rsidR="00A67F21" w:rsidRPr="00B12FE0" w14:paraId="1DDBF157"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430D0FEC"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w:t>
            </w:r>
          </w:p>
        </w:tc>
        <w:tc>
          <w:tcPr>
            <w:tcW w:w="1679" w:type="pct"/>
            <w:tcBorders>
              <w:top w:val="single" w:sz="4" w:space="0" w:color="000000"/>
              <w:left w:val="single" w:sz="4" w:space="0" w:color="000000"/>
              <w:bottom w:val="single" w:sz="4" w:space="0" w:color="000000"/>
              <w:right w:val="single" w:sz="4" w:space="0" w:color="000000"/>
            </w:tcBorders>
            <w:vAlign w:val="center"/>
          </w:tcPr>
          <w:p w14:paraId="67289C1C"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1</w:t>
            </w:r>
          </w:p>
        </w:tc>
        <w:tc>
          <w:tcPr>
            <w:tcW w:w="1219" w:type="pct"/>
            <w:tcBorders>
              <w:top w:val="single" w:sz="4" w:space="0" w:color="auto"/>
              <w:left w:val="nil"/>
              <w:bottom w:val="single" w:sz="4" w:space="0" w:color="auto"/>
              <w:right w:val="single" w:sz="4" w:space="0" w:color="auto"/>
            </w:tcBorders>
            <w:vAlign w:val="center"/>
          </w:tcPr>
          <w:p w14:paraId="1BF9D40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66</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5A482C6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5A9BD3E4" w14:textId="77777777">
        <w:trPr>
          <w:trHeight w:val="340"/>
          <w:jc w:val="center"/>
        </w:trPr>
        <w:tc>
          <w:tcPr>
            <w:tcW w:w="880" w:type="pct"/>
            <w:tcBorders>
              <w:left w:val="single" w:sz="4" w:space="0" w:color="auto"/>
              <w:bottom w:val="single" w:sz="4" w:space="0" w:color="auto"/>
              <w:right w:val="single" w:sz="4" w:space="0" w:color="auto"/>
            </w:tcBorders>
            <w:vAlign w:val="center"/>
          </w:tcPr>
          <w:p w14:paraId="19C6577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2#</w:t>
            </w:r>
          </w:p>
        </w:tc>
        <w:tc>
          <w:tcPr>
            <w:tcW w:w="1679" w:type="pct"/>
            <w:tcBorders>
              <w:top w:val="single" w:sz="4" w:space="0" w:color="000000"/>
              <w:left w:val="single" w:sz="4" w:space="0" w:color="000000"/>
              <w:bottom w:val="single" w:sz="4" w:space="0" w:color="000000"/>
              <w:right w:val="single" w:sz="4" w:space="0" w:color="000000"/>
            </w:tcBorders>
            <w:vAlign w:val="center"/>
          </w:tcPr>
          <w:p w14:paraId="69176226"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2</w:t>
            </w:r>
          </w:p>
        </w:tc>
        <w:tc>
          <w:tcPr>
            <w:tcW w:w="1219" w:type="pct"/>
            <w:tcBorders>
              <w:top w:val="single" w:sz="4" w:space="0" w:color="auto"/>
              <w:left w:val="nil"/>
              <w:bottom w:val="single" w:sz="4" w:space="0" w:color="auto"/>
              <w:right w:val="single" w:sz="4" w:space="0" w:color="auto"/>
            </w:tcBorders>
            <w:vAlign w:val="center"/>
          </w:tcPr>
          <w:p w14:paraId="411D42C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65</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1A982A4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7E43F206" w14:textId="77777777">
        <w:trPr>
          <w:trHeight w:val="340"/>
          <w:jc w:val="center"/>
        </w:trPr>
        <w:tc>
          <w:tcPr>
            <w:tcW w:w="880" w:type="pct"/>
            <w:tcBorders>
              <w:left w:val="single" w:sz="4" w:space="0" w:color="auto"/>
              <w:bottom w:val="single" w:sz="4" w:space="0" w:color="auto"/>
              <w:right w:val="single" w:sz="4" w:space="0" w:color="auto"/>
            </w:tcBorders>
            <w:vAlign w:val="center"/>
          </w:tcPr>
          <w:p w14:paraId="271CBEB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3#</w:t>
            </w:r>
          </w:p>
        </w:tc>
        <w:tc>
          <w:tcPr>
            <w:tcW w:w="1679" w:type="pct"/>
            <w:tcBorders>
              <w:top w:val="single" w:sz="4" w:space="0" w:color="000000"/>
              <w:left w:val="single" w:sz="4" w:space="0" w:color="000000"/>
              <w:bottom w:val="single" w:sz="4" w:space="0" w:color="000000"/>
              <w:right w:val="single" w:sz="4" w:space="0" w:color="000000"/>
            </w:tcBorders>
            <w:vAlign w:val="center"/>
          </w:tcPr>
          <w:p w14:paraId="14CCAFF2"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3</w:t>
            </w:r>
          </w:p>
        </w:tc>
        <w:tc>
          <w:tcPr>
            <w:tcW w:w="1219" w:type="pct"/>
            <w:tcBorders>
              <w:top w:val="single" w:sz="4" w:space="0" w:color="auto"/>
              <w:left w:val="nil"/>
              <w:bottom w:val="single" w:sz="4" w:space="0" w:color="auto"/>
              <w:right w:val="single" w:sz="4" w:space="0" w:color="auto"/>
            </w:tcBorders>
            <w:vAlign w:val="center"/>
          </w:tcPr>
          <w:p w14:paraId="0B86A55E"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72</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4782C17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14B98FEE" w14:textId="77777777">
        <w:trPr>
          <w:trHeight w:val="340"/>
          <w:jc w:val="center"/>
        </w:trPr>
        <w:tc>
          <w:tcPr>
            <w:tcW w:w="880" w:type="pct"/>
            <w:tcBorders>
              <w:left w:val="single" w:sz="4" w:space="0" w:color="auto"/>
              <w:bottom w:val="single" w:sz="4" w:space="0" w:color="auto"/>
              <w:right w:val="single" w:sz="4" w:space="0" w:color="auto"/>
            </w:tcBorders>
            <w:vAlign w:val="center"/>
          </w:tcPr>
          <w:p w14:paraId="0FA8D88D"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4#</w:t>
            </w:r>
          </w:p>
        </w:tc>
        <w:tc>
          <w:tcPr>
            <w:tcW w:w="1679" w:type="pct"/>
            <w:tcBorders>
              <w:top w:val="single" w:sz="4" w:space="0" w:color="000000"/>
              <w:left w:val="single" w:sz="4" w:space="0" w:color="000000"/>
              <w:bottom w:val="single" w:sz="4" w:space="0" w:color="000000"/>
              <w:right w:val="single" w:sz="4" w:space="0" w:color="000000"/>
            </w:tcBorders>
            <w:vAlign w:val="center"/>
          </w:tcPr>
          <w:p w14:paraId="5B88632D"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4</w:t>
            </w:r>
          </w:p>
        </w:tc>
        <w:tc>
          <w:tcPr>
            <w:tcW w:w="1219" w:type="pct"/>
            <w:tcBorders>
              <w:top w:val="single" w:sz="4" w:space="0" w:color="auto"/>
              <w:left w:val="nil"/>
              <w:bottom w:val="single" w:sz="4" w:space="0" w:color="auto"/>
              <w:right w:val="single" w:sz="4" w:space="0" w:color="auto"/>
            </w:tcBorders>
            <w:vAlign w:val="center"/>
          </w:tcPr>
          <w:p w14:paraId="1A5199E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67</w:t>
            </w:r>
            <w:r w:rsidRPr="00B12FE0">
              <w:rPr>
                <w:rFonts w:hint="eastAsia"/>
                <w:color w:val="000000" w:themeColor="text1"/>
                <w:sz w:val="21"/>
                <w:szCs w:val="21"/>
              </w:rPr>
              <w:t>±</w:t>
            </w:r>
            <w:r w:rsidRPr="00B12FE0">
              <w:rPr>
                <w:rFonts w:hint="eastAsia"/>
                <w:color w:val="000000" w:themeColor="text1"/>
                <w:sz w:val="21"/>
                <w:szCs w:val="21"/>
              </w:rPr>
              <w:t>4</w:t>
            </w:r>
          </w:p>
        </w:tc>
        <w:tc>
          <w:tcPr>
            <w:tcW w:w="1222" w:type="pct"/>
            <w:tcBorders>
              <w:top w:val="single" w:sz="4" w:space="0" w:color="000000"/>
              <w:left w:val="single" w:sz="4" w:space="0" w:color="000000"/>
              <w:bottom w:val="single" w:sz="4" w:space="0" w:color="000000"/>
              <w:right w:val="single" w:sz="4" w:space="0" w:color="000000"/>
            </w:tcBorders>
            <w:vAlign w:val="center"/>
          </w:tcPr>
          <w:p w14:paraId="478A039E"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63925458" w14:textId="77777777">
        <w:trPr>
          <w:trHeight w:val="340"/>
          <w:jc w:val="center"/>
        </w:trPr>
        <w:tc>
          <w:tcPr>
            <w:tcW w:w="880" w:type="pct"/>
            <w:tcBorders>
              <w:left w:val="single" w:sz="4" w:space="0" w:color="auto"/>
              <w:bottom w:val="single" w:sz="4" w:space="0" w:color="auto"/>
              <w:right w:val="single" w:sz="4" w:space="0" w:color="auto"/>
            </w:tcBorders>
            <w:vAlign w:val="center"/>
          </w:tcPr>
          <w:p w14:paraId="2DD3548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5#</w:t>
            </w:r>
          </w:p>
        </w:tc>
        <w:tc>
          <w:tcPr>
            <w:tcW w:w="1679" w:type="pct"/>
            <w:tcBorders>
              <w:top w:val="single" w:sz="4" w:space="0" w:color="000000"/>
              <w:left w:val="single" w:sz="4" w:space="0" w:color="000000"/>
              <w:bottom w:val="single" w:sz="4" w:space="0" w:color="000000"/>
              <w:right w:val="single" w:sz="4" w:space="0" w:color="000000"/>
            </w:tcBorders>
            <w:vAlign w:val="center"/>
          </w:tcPr>
          <w:p w14:paraId="1F5ED2A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5</w:t>
            </w:r>
          </w:p>
        </w:tc>
        <w:tc>
          <w:tcPr>
            <w:tcW w:w="1219" w:type="pct"/>
            <w:tcBorders>
              <w:top w:val="single" w:sz="4" w:space="0" w:color="auto"/>
              <w:left w:val="nil"/>
              <w:bottom w:val="single" w:sz="4" w:space="0" w:color="auto"/>
              <w:right w:val="single" w:sz="4" w:space="0" w:color="auto"/>
            </w:tcBorders>
            <w:vAlign w:val="center"/>
          </w:tcPr>
          <w:p w14:paraId="13C4241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65</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66A85A05"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4C281A93" w14:textId="77777777">
        <w:trPr>
          <w:trHeight w:val="340"/>
          <w:jc w:val="center"/>
        </w:trPr>
        <w:tc>
          <w:tcPr>
            <w:tcW w:w="880" w:type="pct"/>
            <w:tcBorders>
              <w:left w:val="single" w:sz="4" w:space="0" w:color="auto"/>
              <w:bottom w:val="single" w:sz="4" w:space="0" w:color="auto"/>
              <w:right w:val="single" w:sz="4" w:space="0" w:color="auto"/>
            </w:tcBorders>
            <w:vAlign w:val="center"/>
          </w:tcPr>
          <w:p w14:paraId="7FBAAEB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w:t>
            </w:r>
          </w:p>
        </w:tc>
        <w:tc>
          <w:tcPr>
            <w:tcW w:w="1679" w:type="pct"/>
            <w:tcBorders>
              <w:top w:val="single" w:sz="4" w:space="0" w:color="000000"/>
              <w:left w:val="single" w:sz="4" w:space="0" w:color="000000"/>
              <w:bottom w:val="single" w:sz="4" w:space="0" w:color="000000"/>
              <w:right w:val="single" w:sz="4" w:space="0" w:color="000000"/>
            </w:tcBorders>
            <w:vAlign w:val="center"/>
          </w:tcPr>
          <w:p w14:paraId="37CCF71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6</w:t>
            </w:r>
          </w:p>
        </w:tc>
        <w:tc>
          <w:tcPr>
            <w:tcW w:w="1219" w:type="pct"/>
            <w:tcBorders>
              <w:top w:val="single" w:sz="4" w:space="0" w:color="auto"/>
              <w:left w:val="nil"/>
              <w:bottom w:val="single" w:sz="4" w:space="0" w:color="auto"/>
              <w:right w:val="single" w:sz="4" w:space="0" w:color="auto"/>
            </w:tcBorders>
            <w:vAlign w:val="center"/>
          </w:tcPr>
          <w:p w14:paraId="4D304D7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65</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5119218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2388CC75"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39904DC6"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7#</w:t>
            </w:r>
          </w:p>
        </w:tc>
        <w:tc>
          <w:tcPr>
            <w:tcW w:w="1679" w:type="pct"/>
            <w:tcBorders>
              <w:top w:val="single" w:sz="4" w:space="0" w:color="000000"/>
              <w:left w:val="single" w:sz="4" w:space="0" w:color="000000"/>
              <w:bottom w:val="single" w:sz="4" w:space="0" w:color="000000"/>
              <w:right w:val="single" w:sz="4" w:space="0" w:color="000000"/>
            </w:tcBorders>
            <w:vAlign w:val="center"/>
          </w:tcPr>
          <w:p w14:paraId="70046CA2"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7</w:t>
            </w:r>
          </w:p>
        </w:tc>
        <w:tc>
          <w:tcPr>
            <w:tcW w:w="1219" w:type="pct"/>
            <w:tcBorders>
              <w:top w:val="single" w:sz="4" w:space="0" w:color="auto"/>
              <w:left w:val="nil"/>
              <w:bottom w:val="single" w:sz="4" w:space="0" w:color="auto"/>
              <w:right w:val="single" w:sz="4" w:space="0" w:color="auto"/>
            </w:tcBorders>
            <w:vAlign w:val="center"/>
          </w:tcPr>
          <w:p w14:paraId="74C87C8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71</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4A5E6D02"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59E6BE26"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5218591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8#</w:t>
            </w:r>
          </w:p>
        </w:tc>
        <w:tc>
          <w:tcPr>
            <w:tcW w:w="1679" w:type="pct"/>
            <w:tcBorders>
              <w:top w:val="single" w:sz="4" w:space="0" w:color="000000"/>
              <w:left w:val="single" w:sz="4" w:space="0" w:color="000000"/>
              <w:bottom w:val="single" w:sz="4" w:space="0" w:color="auto"/>
              <w:right w:val="single" w:sz="4" w:space="0" w:color="000000"/>
            </w:tcBorders>
            <w:vAlign w:val="center"/>
          </w:tcPr>
          <w:p w14:paraId="0B1F27E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8</w:t>
            </w:r>
          </w:p>
        </w:tc>
        <w:tc>
          <w:tcPr>
            <w:tcW w:w="1219" w:type="pct"/>
            <w:tcBorders>
              <w:top w:val="single" w:sz="4" w:space="0" w:color="auto"/>
              <w:left w:val="nil"/>
              <w:bottom w:val="single" w:sz="4" w:space="0" w:color="auto"/>
              <w:right w:val="single" w:sz="4" w:space="0" w:color="auto"/>
            </w:tcBorders>
            <w:vAlign w:val="center"/>
          </w:tcPr>
          <w:p w14:paraId="454B244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67</w:t>
            </w:r>
            <w:r w:rsidRPr="00B12FE0">
              <w:rPr>
                <w:rFonts w:hint="eastAsia"/>
                <w:color w:val="000000" w:themeColor="text1"/>
                <w:sz w:val="21"/>
                <w:szCs w:val="21"/>
              </w:rPr>
              <w:t>±</w:t>
            </w:r>
            <w:r w:rsidRPr="00B12FE0">
              <w:rPr>
                <w:rFonts w:hint="eastAsia"/>
                <w:color w:val="000000" w:themeColor="text1"/>
                <w:sz w:val="21"/>
                <w:szCs w:val="21"/>
              </w:rPr>
              <w:t>4</w:t>
            </w:r>
          </w:p>
        </w:tc>
        <w:tc>
          <w:tcPr>
            <w:tcW w:w="1222" w:type="pct"/>
            <w:tcBorders>
              <w:top w:val="single" w:sz="4" w:space="0" w:color="000000"/>
              <w:left w:val="single" w:sz="4" w:space="0" w:color="000000"/>
              <w:bottom w:val="single" w:sz="4" w:space="0" w:color="000000"/>
              <w:right w:val="single" w:sz="4" w:space="0" w:color="000000"/>
            </w:tcBorders>
            <w:vAlign w:val="center"/>
          </w:tcPr>
          <w:p w14:paraId="6EBCBE8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0669FC1B"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0419A82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9#</w:t>
            </w:r>
          </w:p>
        </w:tc>
        <w:tc>
          <w:tcPr>
            <w:tcW w:w="1679" w:type="pct"/>
            <w:tcBorders>
              <w:top w:val="single" w:sz="4" w:space="0" w:color="auto"/>
              <w:left w:val="single" w:sz="4" w:space="0" w:color="auto"/>
              <w:bottom w:val="single" w:sz="4" w:space="0" w:color="auto"/>
              <w:right w:val="single" w:sz="4" w:space="0" w:color="auto"/>
            </w:tcBorders>
          </w:tcPr>
          <w:p w14:paraId="675391D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东侧院内道路</w:t>
            </w:r>
          </w:p>
        </w:tc>
        <w:tc>
          <w:tcPr>
            <w:tcW w:w="1219" w:type="pct"/>
            <w:tcBorders>
              <w:top w:val="single" w:sz="4" w:space="0" w:color="auto"/>
              <w:left w:val="nil"/>
              <w:bottom w:val="single" w:sz="4" w:space="0" w:color="auto"/>
              <w:right w:val="single" w:sz="4" w:space="0" w:color="auto"/>
            </w:tcBorders>
            <w:vAlign w:val="center"/>
          </w:tcPr>
          <w:p w14:paraId="0C0DCFA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80</w:t>
            </w:r>
            <w:r w:rsidRPr="00B12FE0">
              <w:rPr>
                <w:rFonts w:hint="eastAsia"/>
                <w:color w:val="000000" w:themeColor="text1"/>
                <w:sz w:val="21"/>
                <w:szCs w:val="21"/>
              </w:rPr>
              <w:t>±</w:t>
            </w:r>
            <w:r w:rsidRPr="00B12FE0">
              <w:rPr>
                <w:rFonts w:hint="eastAsia"/>
                <w:color w:val="000000" w:themeColor="text1"/>
                <w:sz w:val="21"/>
                <w:szCs w:val="21"/>
              </w:rPr>
              <w:t>4</w:t>
            </w:r>
          </w:p>
        </w:tc>
        <w:tc>
          <w:tcPr>
            <w:tcW w:w="1222" w:type="pct"/>
            <w:tcBorders>
              <w:top w:val="single" w:sz="4" w:space="0" w:color="000000"/>
              <w:left w:val="single" w:sz="4" w:space="0" w:color="000000"/>
              <w:bottom w:val="single" w:sz="4" w:space="0" w:color="000000"/>
              <w:right w:val="single" w:sz="4" w:space="0" w:color="000000"/>
            </w:tcBorders>
            <w:vAlign w:val="center"/>
          </w:tcPr>
          <w:p w14:paraId="08E2F8A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1D7F08DE"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2AF95EB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10#</w:t>
            </w:r>
          </w:p>
        </w:tc>
        <w:tc>
          <w:tcPr>
            <w:tcW w:w="1679" w:type="pct"/>
            <w:tcBorders>
              <w:top w:val="single" w:sz="4" w:space="0" w:color="auto"/>
              <w:left w:val="single" w:sz="4" w:space="0" w:color="auto"/>
              <w:bottom w:val="single" w:sz="4" w:space="0" w:color="auto"/>
              <w:right w:val="single" w:sz="4" w:space="0" w:color="auto"/>
            </w:tcBorders>
          </w:tcPr>
          <w:p w14:paraId="3BB27FB2"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东侧医疗综合楼</w:t>
            </w:r>
          </w:p>
        </w:tc>
        <w:tc>
          <w:tcPr>
            <w:tcW w:w="1219" w:type="pct"/>
            <w:tcBorders>
              <w:top w:val="single" w:sz="4" w:space="0" w:color="auto"/>
              <w:left w:val="nil"/>
              <w:bottom w:val="single" w:sz="4" w:space="0" w:color="auto"/>
              <w:right w:val="single" w:sz="4" w:space="0" w:color="auto"/>
            </w:tcBorders>
            <w:vAlign w:val="center"/>
          </w:tcPr>
          <w:p w14:paraId="49D9AFD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106</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3F3CE08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kern w:val="0"/>
                <w:sz w:val="21"/>
                <w:szCs w:val="21"/>
              </w:rPr>
              <w:t>建筑内部</w:t>
            </w:r>
          </w:p>
        </w:tc>
      </w:tr>
      <w:tr w:rsidR="00A67F21" w:rsidRPr="00B12FE0" w14:paraId="69CE4E73"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2D83F45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11#</w:t>
            </w:r>
          </w:p>
        </w:tc>
        <w:tc>
          <w:tcPr>
            <w:tcW w:w="1679" w:type="pct"/>
            <w:tcBorders>
              <w:top w:val="single" w:sz="4" w:space="0" w:color="auto"/>
              <w:left w:val="single" w:sz="4" w:space="0" w:color="auto"/>
              <w:bottom w:val="single" w:sz="4" w:space="0" w:color="auto"/>
              <w:right w:val="single" w:sz="4" w:space="0" w:color="auto"/>
            </w:tcBorders>
          </w:tcPr>
          <w:p w14:paraId="3A421A6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东南侧门急诊楼</w:t>
            </w:r>
          </w:p>
        </w:tc>
        <w:tc>
          <w:tcPr>
            <w:tcW w:w="1219" w:type="pct"/>
            <w:tcBorders>
              <w:top w:val="single" w:sz="4" w:space="0" w:color="auto"/>
              <w:left w:val="nil"/>
              <w:bottom w:val="single" w:sz="4" w:space="0" w:color="auto"/>
              <w:right w:val="single" w:sz="4" w:space="0" w:color="auto"/>
            </w:tcBorders>
            <w:vAlign w:val="center"/>
          </w:tcPr>
          <w:p w14:paraId="14FAD47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98</w:t>
            </w:r>
            <w:r w:rsidRPr="00B12FE0">
              <w:rPr>
                <w:rFonts w:hint="eastAsia"/>
                <w:color w:val="000000" w:themeColor="text1"/>
                <w:sz w:val="21"/>
                <w:szCs w:val="21"/>
              </w:rPr>
              <w:t>±</w:t>
            </w:r>
            <w:r w:rsidRPr="00B12FE0">
              <w:rPr>
                <w:rFonts w:hint="eastAsia"/>
                <w:color w:val="000000" w:themeColor="text1"/>
                <w:sz w:val="21"/>
                <w:szCs w:val="21"/>
              </w:rPr>
              <w:t>4</w:t>
            </w:r>
          </w:p>
        </w:tc>
        <w:tc>
          <w:tcPr>
            <w:tcW w:w="1222" w:type="pct"/>
            <w:tcBorders>
              <w:top w:val="single" w:sz="4" w:space="0" w:color="000000"/>
              <w:left w:val="single" w:sz="4" w:space="0" w:color="000000"/>
              <w:bottom w:val="single" w:sz="4" w:space="0" w:color="000000"/>
              <w:right w:val="single" w:sz="4" w:space="0" w:color="000000"/>
            </w:tcBorders>
            <w:vAlign w:val="center"/>
          </w:tcPr>
          <w:p w14:paraId="75B632F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kern w:val="0"/>
                <w:sz w:val="21"/>
                <w:szCs w:val="21"/>
              </w:rPr>
              <w:t>建筑内部</w:t>
            </w:r>
          </w:p>
        </w:tc>
      </w:tr>
      <w:tr w:rsidR="00A67F21" w:rsidRPr="00B12FE0" w14:paraId="66684407"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2AA48372"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12#</w:t>
            </w:r>
          </w:p>
        </w:tc>
        <w:tc>
          <w:tcPr>
            <w:tcW w:w="1679" w:type="pct"/>
            <w:tcBorders>
              <w:top w:val="single" w:sz="4" w:space="0" w:color="auto"/>
              <w:left w:val="single" w:sz="4" w:space="0" w:color="auto"/>
              <w:bottom w:val="single" w:sz="4" w:space="0" w:color="auto"/>
              <w:right w:val="single" w:sz="4" w:space="0" w:color="auto"/>
            </w:tcBorders>
          </w:tcPr>
          <w:p w14:paraId="045374F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南侧院内道路</w:t>
            </w:r>
          </w:p>
        </w:tc>
        <w:tc>
          <w:tcPr>
            <w:tcW w:w="1219" w:type="pct"/>
            <w:tcBorders>
              <w:top w:val="single" w:sz="4" w:space="0" w:color="auto"/>
              <w:left w:val="nil"/>
              <w:bottom w:val="single" w:sz="4" w:space="0" w:color="auto"/>
              <w:right w:val="single" w:sz="4" w:space="0" w:color="auto"/>
            </w:tcBorders>
            <w:vAlign w:val="center"/>
          </w:tcPr>
          <w:p w14:paraId="10BA3B2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84</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537C662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2F9EB015"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4906BA8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13#</w:t>
            </w:r>
          </w:p>
        </w:tc>
        <w:tc>
          <w:tcPr>
            <w:tcW w:w="1679" w:type="pct"/>
            <w:tcBorders>
              <w:top w:val="single" w:sz="4" w:space="0" w:color="auto"/>
              <w:left w:val="single" w:sz="4" w:space="0" w:color="auto"/>
              <w:bottom w:val="single" w:sz="4" w:space="0" w:color="auto"/>
              <w:right w:val="single" w:sz="4" w:space="0" w:color="auto"/>
            </w:tcBorders>
          </w:tcPr>
          <w:p w14:paraId="222E9BC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南侧</w:t>
            </w:r>
            <w:proofErr w:type="gramStart"/>
            <w:r w:rsidRPr="00B12FE0">
              <w:rPr>
                <w:rFonts w:ascii="宋体" w:hAnsi="宋体"/>
                <w:color w:val="000000" w:themeColor="text1"/>
                <w:sz w:val="21"/>
                <w:szCs w:val="21"/>
              </w:rPr>
              <w:t>后勤楼</w:t>
            </w:r>
            <w:proofErr w:type="gramEnd"/>
          </w:p>
        </w:tc>
        <w:tc>
          <w:tcPr>
            <w:tcW w:w="1219" w:type="pct"/>
            <w:tcBorders>
              <w:top w:val="single" w:sz="4" w:space="0" w:color="auto"/>
              <w:left w:val="nil"/>
              <w:bottom w:val="single" w:sz="4" w:space="0" w:color="auto"/>
              <w:right w:val="single" w:sz="4" w:space="0" w:color="auto"/>
            </w:tcBorders>
            <w:vAlign w:val="center"/>
          </w:tcPr>
          <w:p w14:paraId="711B90E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108</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4993368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kern w:val="0"/>
                <w:sz w:val="21"/>
                <w:szCs w:val="21"/>
              </w:rPr>
              <w:t>建筑内部</w:t>
            </w:r>
          </w:p>
        </w:tc>
      </w:tr>
      <w:tr w:rsidR="00A67F21" w:rsidRPr="00B12FE0" w14:paraId="4DBA3B46"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75D5D876"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14#</w:t>
            </w:r>
          </w:p>
        </w:tc>
        <w:tc>
          <w:tcPr>
            <w:tcW w:w="1679" w:type="pct"/>
            <w:tcBorders>
              <w:top w:val="single" w:sz="4" w:space="0" w:color="auto"/>
              <w:left w:val="single" w:sz="4" w:space="0" w:color="000000"/>
              <w:bottom w:val="single" w:sz="4" w:space="0" w:color="000000"/>
              <w:right w:val="single" w:sz="4" w:space="0" w:color="000000"/>
            </w:tcBorders>
          </w:tcPr>
          <w:p w14:paraId="27DE27F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西侧规划道路</w:t>
            </w:r>
            <w:r w:rsidRPr="00B12FE0">
              <w:rPr>
                <w:color w:val="000000" w:themeColor="text1"/>
                <w:sz w:val="21"/>
                <w:szCs w:val="21"/>
              </w:rPr>
              <w:t>1</w:t>
            </w:r>
            <w:r w:rsidRPr="00B12FE0">
              <w:rPr>
                <w:rFonts w:ascii="宋体" w:hAnsi="宋体"/>
                <w:color w:val="000000" w:themeColor="text1"/>
                <w:sz w:val="21"/>
                <w:szCs w:val="21"/>
              </w:rPr>
              <w:t>号点</w:t>
            </w:r>
          </w:p>
        </w:tc>
        <w:tc>
          <w:tcPr>
            <w:tcW w:w="1219" w:type="pct"/>
            <w:tcBorders>
              <w:top w:val="single" w:sz="4" w:space="0" w:color="auto"/>
              <w:left w:val="nil"/>
              <w:bottom w:val="single" w:sz="4" w:space="0" w:color="auto"/>
              <w:right w:val="single" w:sz="4" w:space="0" w:color="auto"/>
            </w:tcBorders>
            <w:vAlign w:val="center"/>
          </w:tcPr>
          <w:p w14:paraId="10B02DBD"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71</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51D75A9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12AE4302"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7C80DB05"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15#</w:t>
            </w:r>
          </w:p>
        </w:tc>
        <w:tc>
          <w:tcPr>
            <w:tcW w:w="1679" w:type="pct"/>
            <w:tcBorders>
              <w:top w:val="single" w:sz="4" w:space="0" w:color="000000"/>
              <w:left w:val="single" w:sz="4" w:space="0" w:color="000000"/>
              <w:bottom w:val="single" w:sz="4" w:space="0" w:color="000000"/>
              <w:right w:val="single" w:sz="4" w:space="0" w:color="000000"/>
            </w:tcBorders>
          </w:tcPr>
          <w:p w14:paraId="765F52E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西侧</w:t>
            </w:r>
            <w:r w:rsidRPr="00B12FE0">
              <w:rPr>
                <w:rFonts w:ascii="宋体" w:hAnsi="宋体" w:hint="eastAsia"/>
                <w:color w:val="000000" w:themeColor="text1"/>
                <w:sz w:val="21"/>
                <w:szCs w:val="21"/>
              </w:rPr>
              <w:t>预留</w:t>
            </w:r>
            <w:r w:rsidRPr="00B12FE0">
              <w:rPr>
                <w:rFonts w:ascii="宋体" w:hAnsi="宋体"/>
                <w:color w:val="000000" w:themeColor="text1"/>
                <w:sz w:val="21"/>
                <w:szCs w:val="21"/>
              </w:rPr>
              <w:t>用地</w:t>
            </w:r>
            <w:r w:rsidRPr="00B12FE0">
              <w:rPr>
                <w:color w:val="000000" w:themeColor="text1"/>
                <w:sz w:val="21"/>
                <w:szCs w:val="21"/>
              </w:rPr>
              <w:t>1</w:t>
            </w:r>
            <w:r w:rsidRPr="00B12FE0">
              <w:rPr>
                <w:rFonts w:ascii="宋体" w:hAnsi="宋体"/>
                <w:color w:val="000000" w:themeColor="text1"/>
                <w:sz w:val="21"/>
                <w:szCs w:val="21"/>
              </w:rPr>
              <w:t>号点</w:t>
            </w:r>
          </w:p>
        </w:tc>
        <w:tc>
          <w:tcPr>
            <w:tcW w:w="1219" w:type="pct"/>
            <w:tcBorders>
              <w:top w:val="single" w:sz="4" w:space="0" w:color="auto"/>
              <w:left w:val="nil"/>
              <w:bottom w:val="single" w:sz="4" w:space="0" w:color="auto"/>
              <w:right w:val="single" w:sz="4" w:space="0" w:color="auto"/>
            </w:tcBorders>
            <w:vAlign w:val="center"/>
          </w:tcPr>
          <w:p w14:paraId="41FCBDD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65</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180BAB1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1767C923"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424D4E1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16#</w:t>
            </w:r>
          </w:p>
        </w:tc>
        <w:tc>
          <w:tcPr>
            <w:tcW w:w="1679" w:type="pct"/>
            <w:tcBorders>
              <w:top w:val="single" w:sz="4" w:space="0" w:color="000000"/>
              <w:left w:val="single" w:sz="4" w:space="0" w:color="000000"/>
              <w:bottom w:val="single" w:sz="4" w:space="0" w:color="000000"/>
              <w:right w:val="single" w:sz="4" w:space="0" w:color="000000"/>
            </w:tcBorders>
          </w:tcPr>
          <w:p w14:paraId="2AB8875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西侧规划道路</w:t>
            </w:r>
            <w:r w:rsidRPr="00B12FE0">
              <w:rPr>
                <w:color w:val="000000" w:themeColor="text1"/>
                <w:sz w:val="21"/>
                <w:szCs w:val="21"/>
              </w:rPr>
              <w:t>2</w:t>
            </w:r>
            <w:r w:rsidRPr="00B12FE0">
              <w:rPr>
                <w:rFonts w:ascii="宋体" w:hAnsi="宋体"/>
                <w:color w:val="000000" w:themeColor="text1"/>
                <w:sz w:val="21"/>
                <w:szCs w:val="21"/>
              </w:rPr>
              <w:t>号点</w:t>
            </w:r>
          </w:p>
        </w:tc>
        <w:tc>
          <w:tcPr>
            <w:tcW w:w="1219" w:type="pct"/>
            <w:tcBorders>
              <w:top w:val="single" w:sz="4" w:space="0" w:color="auto"/>
              <w:left w:val="nil"/>
              <w:bottom w:val="single" w:sz="4" w:space="0" w:color="auto"/>
              <w:right w:val="single" w:sz="4" w:space="0" w:color="auto"/>
            </w:tcBorders>
            <w:vAlign w:val="center"/>
          </w:tcPr>
          <w:p w14:paraId="042CF20C"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73</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4B4E56E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1D255712"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039BFD9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17#</w:t>
            </w:r>
          </w:p>
        </w:tc>
        <w:tc>
          <w:tcPr>
            <w:tcW w:w="1679" w:type="pct"/>
            <w:tcBorders>
              <w:top w:val="single" w:sz="4" w:space="0" w:color="000000"/>
              <w:left w:val="single" w:sz="4" w:space="0" w:color="000000"/>
              <w:bottom w:val="single" w:sz="4" w:space="0" w:color="000000"/>
              <w:right w:val="single" w:sz="4" w:space="0" w:color="000000"/>
            </w:tcBorders>
          </w:tcPr>
          <w:p w14:paraId="125B397C"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西侧</w:t>
            </w:r>
            <w:r w:rsidRPr="00B12FE0">
              <w:rPr>
                <w:rFonts w:ascii="宋体" w:hAnsi="宋体" w:hint="eastAsia"/>
                <w:color w:val="000000" w:themeColor="text1"/>
                <w:sz w:val="21"/>
                <w:szCs w:val="21"/>
              </w:rPr>
              <w:t>预留</w:t>
            </w:r>
            <w:r w:rsidRPr="00B12FE0">
              <w:rPr>
                <w:rFonts w:ascii="宋体" w:hAnsi="宋体"/>
                <w:color w:val="000000" w:themeColor="text1"/>
                <w:sz w:val="21"/>
                <w:szCs w:val="21"/>
              </w:rPr>
              <w:t>用地</w:t>
            </w:r>
            <w:r w:rsidRPr="00B12FE0">
              <w:rPr>
                <w:color w:val="000000" w:themeColor="text1"/>
                <w:sz w:val="21"/>
                <w:szCs w:val="21"/>
              </w:rPr>
              <w:t>2</w:t>
            </w:r>
            <w:r w:rsidRPr="00B12FE0">
              <w:rPr>
                <w:rFonts w:ascii="宋体" w:hAnsi="宋体"/>
                <w:color w:val="000000" w:themeColor="text1"/>
                <w:sz w:val="21"/>
                <w:szCs w:val="21"/>
              </w:rPr>
              <w:t>号点</w:t>
            </w:r>
          </w:p>
        </w:tc>
        <w:tc>
          <w:tcPr>
            <w:tcW w:w="1219" w:type="pct"/>
            <w:tcBorders>
              <w:top w:val="single" w:sz="4" w:space="0" w:color="auto"/>
              <w:left w:val="nil"/>
              <w:bottom w:val="single" w:sz="4" w:space="0" w:color="auto"/>
              <w:right w:val="single" w:sz="4" w:space="0" w:color="auto"/>
            </w:tcBorders>
            <w:vAlign w:val="center"/>
          </w:tcPr>
          <w:p w14:paraId="50B8F80D"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66</w:t>
            </w:r>
            <w:r w:rsidRPr="00B12FE0">
              <w:rPr>
                <w:rFonts w:hint="eastAsia"/>
                <w:color w:val="000000" w:themeColor="text1"/>
                <w:sz w:val="21"/>
                <w:szCs w:val="21"/>
              </w:rPr>
              <w:t>±</w:t>
            </w:r>
            <w:r w:rsidRPr="00B12FE0">
              <w:rPr>
                <w:rFonts w:hint="eastAsia"/>
                <w:color w:val="000000" w:themeColor="text1"/>
                <w:sz w:val="21"/>
                <w:szCs w:val="21"/>
              </w:rPr>
              <w:t>4</w:t>
            </w:r>
          </w:p>
        </w:tc>
        <w:tc>
          <w:tcPr>
            <w:tcW w:w="1222" w:type="pct"/>
            <w:tcBorders>
              <w:top w:val="single" w:sz="4" w:space="0" w:color="000000"/>
              <w:left w:val="single" w:sz="4" w:space="0" w:color="000000"/>
              <w:bottom w:val="single" w:sz="4" w:space="0" w:color="000000"/>
              <w:right w:val="single" w:sz="4" w:space="0" w:color="000000"/>
            </w:tcBorders>
            <w:vAlign w:val="center"/>
          </w:tcPr>
          <w:p w14:paraId="6310F8C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60E10403"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3C8A006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18#</w:t>
            </w:r>
          </w:p>
        </w:tc>
        <w:tc>
          <w:tcPr>
            <w:tcW w:w="1679" w:type="pct"/>
            <w:tcBorders>
              <w:top w:val="single" w:sz="4" w:space="0" w:color="000000"/>
              <w:left w:val="single" w:sz="4" w:space="0" w:color="000000"/>
              <w:bottom w:val="single" w:sz="4" w:space="0" w:color="000000"/>
              <w:right w:val="single" w:sz="4" w:space="0" w:color="000000"/>
            </w:tcBorders>
          </w:tcPr>
          <w:p w14:paraId="153EC92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北侧院内道路</w:t>
            </w:r>
          </w:p>
        </w:tc>
        <w:tc>
          <w:tcPr>
            <w:tcW w:w="1219" w:type="pct"/>
            <w:tcBorders>
              <w:top w:val="single" w:sz="4" w:space="0" w:color="auto"/>
              <w:left w:val="nil"/>
              <w:bottom w:val="single" w:sz="4" w:space="0" w:color="auto"/>
              <w:right w:val="single" w:sz="4" w:space="0" w:color="auto"/>
            </w:tcBorders>
            <w:vAlign w:val="center"/>
          </w:tcPr>
          <w:p w14:paraId="24B7FDE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77</w:t>
            </w:r>
            <w:r w:rsidRPr="00B12FE0">
              <w:rPr>
                <w:rFonts w:hint="eastAsia"/>
                <w:color w:val="000000" w:themeColor="text1"/>
                <w:sz w:val="21"/>
                <w:szCs w:val="21"/>
              </w:rPr>
              <w:t>±</w:t>
            </w:r>
            <w:r w:rsidRPr="00B12FE0">
              <w:rPr>
                <w:rFonts w:hint="eastAsia"/>
                <w:color w:val="000000" w:themeColor="text1"/>
                <w:sz w:val="21"/>
                <w:szCs w:val="21"/>
              </w:rPr>
              <w:t>4</w:t>
            </w:r>
          </w:p>
        </w:tc>
        <w:tc>
          <w:tcPr>
            <w:tcW w:w="1222" w:type="pct"/>
            <w:tcBorders>
              <w:top w:val="single" w:sz="4" w:space="0" w:color="000000"/>
              <w:left w:val="single" w:sz="4" w:space="0" w:color="000000"/>
              <w:bottom w:val="single" w:sz="4" w:space="0" w:color="000000"/>
              <w:right w:val="single" w:sz="4" w:space="0" w:color="000000"/>
            </w:tcBorders>
            <w:vAlign w:val="center"/>
          </w:tcPr>
          <w:p w14:paraId="4193DF0E"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hint="eastAsia"/>
                <w:color w:val="000000" w:themeColor="text1"/>
                <w:kern w:val="0"/>
                <w:sz w:val="21"/>
                <w:szCs w:val="21"/>
              </w:rPr>
              <w:t>室外</w:t>
            </w:r>
          </w:p>
        </w:tc>
      </w:tr>
      <w:tr w:rsidR="00A67F21" w:rsidRPr="00B12FE0" w14:paraId="4168CFD3"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3363BE75"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19#</w:t>
            </w:r>
          </w:p>
        </w:tc>
        <w:tc>
          <w:tcPr>
            <w:tcW w:w="1679" w:type="pct"/>
            <w:tcBorders>
              <w:top w:val="single" w:sz="4" w:space="0" w:color="000000"/>
              <w:left w:val="single" w:sz="4" w:space="0" w:color="000000"/>
              <w:bottom w:val="single" w:sz="4" w:space="0" w:color="000000"/>
              <w:right w:val="single" w:sz="4" w:space="0" w:color="000000"/>
            </w:tcBorders>
          </w:tcPr>
          <w:p w14:paraId="148E606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液氧站</w:t>
            </w:r>
          </w:p>
        </w:tc>
        <w:tc>
          <w:tcPr>
            <w:tcW w:w="1219" w:type="pct"/>
            <w:tcBorders>
              <w:top w:val="single" w:sz="4" w:space="0" w:color="auto"/>
              <w:left w:val="nil"/>
              <w:bottom w:val="single" w:sz="4" w:space="0" w:color="auto"/>
              <w:right w:val="single" w:sz="4" w:space="0" w:color="auto"/>
            </w:tcBorders>
            <w:vAlign w:val="center"/>
          </w:tcPr>
          <w:p w14:paraId="3515175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84</w:t>
            </w:r>
            <w:r w:rsidRPr="00B12FE0">
              <w:rPr>
                <w:rFonts w:hint="eastAsia"/>
                <w:color w:val="000000" w:themeColor="text1"/>
                <w:sz w:val="21"/>
                <w:szCs w:val="21"/>
              </w:rPr>
              <w:t>±</w:t>
            </w:r>
            <w:r w:rsidRPr="00B12FE0">
              <w:rPr>
                <w:rFonts w:hint="eastAsia"/>
                <w:color w:val="000000" w:themeColor="text1"/>
                <w:sz w:val="21"/>
                <w:szCs w:val="21"/>
              </w:rPr>
              <w:t>4</w:t>
            </w:r>
          </w:p>
        </w:tc>
        <w:tc>
          <w:tcPr>
            <w:tcW w:w="1222" w:type="pct"/>
            <w:tcBorders>
              <w:top w:val="single" w:sz="4" w:space="0" w:color="000000"/>
              <w:left w:val="single" w:sz="4" w:space="0" w:color="000000"/>
              <w:bottom w:val="single" w:sz="4" w:space="0" w:color="000000"/>
              <w:right w:val="single" w:sz="4" w:space="0" w:color="000000"/>
            </w:tcBorders>
            <w:vAlign w:val="center"/>
          </w:tcPr>
          <w:p w14:paraId="052D999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kern w:val="0"/>
                <w:sz w:val="21"/>
                <w:szCs w:val="21"/>
              </w:rPr>
              <w:t>建筑</w:t>
            </w:r>
            <w:r w:rsidRPr="00B12FE0">
              <w:rPr>
                <w:rFonts w:ascii="宋体" w:hAnsi="宋体" w:hint="eastAsia"/>
                <w:color w:val="000000" w:themeColor="text1"/>
                <w:kern w:val="0"/>
                <w:sz w:val="21"/>
                <w:szCs w:val="21"/>
              </w:rPr>
              <w:t>外</w:t>
            </w:r>
            <w:r w:rsidRPr="00B12FE0">
              <w:rPr>
                <w:rFonts w:ascii="宋体" w:hAnsi="宋体"/>
                <w:color w:val="000000" w:themeColor="text1"/>
                <w:kern w:val="0"/>
                <w:sz w:val="21"/>
                <w:szCs w:val="21"/>
              </w:rPr>
              <w:t>部</w:t>
            </w:r>
          </w:p>
        </w:tc>
      </w:tr>
      <w:tr w:rsidR="00A67F21" w:rsidRPr="00B12FE0" w14:paraId="5BC57D32"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6CF9B96D"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20#</w:t>
            </w:r>
          </w:p>
        </w:tc>
        <w:tc>
          <w:tcPr>
            <w:tcW w:w="1679" w:type="pct"/>
            <w:tcBorders>
              <w:top w:val="single" w:sz="4" w:space="0" w:color="000000"/>
              <w:left w:val="single" w:sz="4" w:space="0" w:color="000000"/>
              <w:bottom w:val="single" w:sz="4" w:space="0" w:color="000000"/>
              <w:right w:val="single" w:sz="4" w:space="0" w:color="000000"/>
            </w:tcBorders>
          </w:tcPr>
          <w:p w14:paraId="434B7A6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污水及垃圾站</w:t>
            </w:r>
          </w:p>
        </w:tc>
        <w:tc>
          <w:tcPr>
            <w:tcW w:w="1219" w:type="pct"/>
            <w:tcBorders>
              <w:top w:val="single" w:sz="4" w:space="0" w:color="auto"/>
              <w:left w:val="nil"/>
              <w:bottom w:val="single" w:sz="4" w:space="0" w:color="auto"/>
              <w:right w:val="single" w:sz="4" w:space="0" w:color="auto"/>
            </w:tcBorders>
            <w:vAlign w:val="center"/>
          </w:tcPr>
          <w:p w14:paraId="41A3287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90</w:t>
            </w:r>
            <w:r w:rsidRPr="00B12FE0">
              <w:rPr>
                <w:rFonts w:hint="eastAsia"/>
                <w:color w:val="000000" w:themeColor="text1"/>
                <w:sz w:val="21"/>
                <w:szCs w:val="21"/>
              </w:rPr>
              <w:t>±</w:t>
            </w:r>
            <w:r w:rsidRPr="00B12FE0">
              <w:rPr>
                <w:rFonts w:hint="eastAsia"/>
                <w:color w:val="000000" w:themeColor="text1"/>
                <w:sz w:val="21"/>
                <w:szCs w:val="21"/>
              </w:rPr>
              <w:t>3</w:t>
            </w:r>
          </w:p>
        </w:tc>
        <w:tc>
          <w:tcPr>
            <w:tcW w:w="1222" w:type="pct"/>
            <w:tcBorders>
              <w:top w:val="single" w:sz="4" w:space="0" w:color="000000"/>
              <w:left w:val="single" w:sz="4" w:space="0" w:color="000000"/>
              <w:bottom w:val="single" w:sz="4" w:space="0" w:color="000000"/>
              <w:right w:val="single" w:sz="4" w:space="0" w:color="000000"/>
            </w:tcBorders>
            <w:vAlign w:val="center"/>
          </w:tcPr>
          <w:p w14:paraId="2B544AC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kern w:val="0"/>
                <w:sz w:val="21"/>
                <w:szCs w:val="21"/>
              </w:rPr>
              <w:t>建筑</w:t>
            </w:r>
            <w:r w:rsidRPr="00B12FE0">
              <w:rPr>
                <w:rFonts w:ascii="宋体" w:hAnsi="宋体" w:hint="eastAsia"/>
                <w:color w:val="000000" w:themeColor="text1"/>
                <w:kern w:val="0"/>
                <w:sz w:val="21"/>
                <w:szCs w:val="21"/>
              </w:rPr>
              <w:t>外</w:t>
            </w:r>
            <w:r w:rsidRPr="00B12FE0">
              <w:rPr>
                <w:rFonts w:ascii="宋体" w:hAnsi="宋体"/>
                <w:color w:val="000000" w:themeColor="text1"/>
                <w:kern w:val="0"/>
                <w:sz w:val="21"/>
                <w:szCs w:val="21"/>
              </w:rPr>
              <w:t>部</w:t>
            </w:r>
          </w:p>
        </w:tc>
      </w:tr>
      <w:tr w:rsidR="00A67F21" w:rsidRPr="00B12FE0" w14:paraId="3A7671A0" w14:textId="77777777">
        <w:trPr>
          <w:trHeight w:val="340"/>
          <w:jc w:val="center"/>
        </w:trPr>
        <w:tc>
          <w:tcPr>
            <w:tcW w:w="880" w:type="pct"/>
            <w:tcBorders>
              <w:top w:val="single" w:sz="4" w:space="0" w:color="auto"/>
              <w:left w:val="single" w:sz="4" w:space="0" w:color="auto"/>
              <w:bottom w:val="single" w:sz="4" w:space="0" w:color="auto"/>
              <w:right w:val="single" w:sz="4" w:space="0" w:color="auto"/>
            </w:tcBorders>
            <w:vAlign w:val="center"/>
          </w:tcPr>
          <w:p w14:paraId="4260DD4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lastRenderedPageBreak/>
              <w:t>21#</w:t>
            </w:r>
          </w:p>
        </w:tc>
        <w:tc>
          <w:tcPr>
            <w:tcW w:w="1679" w:type="pct"/>
            <w:tcBorders>
              <w:top w:val="single" w:sz="4" w:space="0" w:color="000000"/>
              <w:left w:val="single" w:sz="4" w:space="0" w:color="000000"/>
              <w:bottom w:val="single" w:sz="4" w:space="0" w:color="000000"/>
              <w:right w:val="single" w:sz="4" w:space="0" w:color="000000"/>
            </w:tcBorders>
          </w:tcPr>
          <w:p w14:paraId="1914C44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sz w:val="21"/>
                <w:szCs w:val="21"/>
              </w:rPr>
              <w:t>东北侧住院楼</w:t>
            </w:r>
          </w:p>
        </w:tc>
        <w:tc>
          <w:tcPr>
            <w:tcW w:w="1219" w:type="pct"/>
            <w:tcBorders>
              <w:top w:val="single" w:sz="4" w:space="0" w:color="auto"/>
              <w:left w:val="nil"/>
              <w:bottom w:val="single" w:sz="4" w:space="0" w:color="auto"/>
              <w:right w:val="single" w:sz="4" w:space="0" w:color="auto"/>
            </w:tcBorders>
            <w:vAlign w:val="center"/>
          </w:tcPr>
          <w:p w14:paraId="4CBAC47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105</w:t>
            </w:r>
            <w:r w:rsidRPr="00B12FE0">
              <w:rPr>
                <w:rFonts w:hint="eastAsia"/>
                <w:color w:val="000000" w:themeColor="text1"/>
                <w:sz w:val="21"/>
                <w:szCs w:val="21"/>
              </w:rPr>
              <w:t>±</w:t>
            </w:r>
            <w:r w:rsidRPr="00B12FE0">
              <w:rPr>
                <w:rFonts w:hint="eastAsia"/>
                <w:color w:val="000000" w:themeColor="text1"/>
                <w:sz w:val="21"/>
                <w:szCs w:val="21"/>
              </w:rPr>
              <w:t>5</w:t>
            </w:r>
          </w:p>
        </w:tc>
        <w:tc>
          <w:tcPr>
            <w:tcW w:w="1222" w:type="pct"/>
            <w:tcBorders>
              <w:top w:val="single" w:sz="4" w:space="0" w:color="000000"/>
              <w:left w:val="single" w:sz="4" w:space="0" w:color="000000"/>
              <w:bottom w:val="single" w:sz="4" w:space="0" w:color="000000"/>
              <w:right w:val="single" w:sz="4" w:space="0" w:color="000000"/>
            </w:tcBorders>
            <w:vAlign w:val="center"/>
          </w:tcPr>
          <w:p w14:paraId="340EE51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ascii="宋体" w:hAnsi="宋体"/>
                <w:color w:val="000000" w:themeColor="text1"/>
                <w:kern w:val="0"/>
                <w:sz w:val="21"/>
                <w:szCs w:val="21"/>
              </w:rPr>
              <w:t>建筑内部</w:t>
            </w:r>
          </w:p>
        </w:tc>
      </w:tr>
      <w:tr w:rsidR="00A67F21" w:rsidRPr="00B12FE0" w14:paraId="68EA2793" w14:textId="77777777">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CF1E6A8" w14:textId="77777777" w:rsidR="00A67F21" w:rsidRPr="00B12FE0" w:rsidRDefault="00000000">
            <w:pPr>
              <w:pBdr>
                <w:top w:val="none" w:sz="0" w:space="1" w:color="auto"/>
                <w:left w:val="none" w:sz="0" w:space="4" w:color="auto"/>
                <w:bottom w:val="none" w:sz="0" w:space="1" w:color="auto"/>
                <w:right w:val="none" w:sz="0" w:space="4" w:color="auto"/>
              </w:pBdr>
              <w:ind w:left="360" w:hangingChars="200" w:hanging="360"/>
              <w:rPr>
                <w:color w:val="000000" w:themeColor="text1"/>
                <w:sz w:val="18"/>
                <w:szCs w:val="18"/>
              </w:rPr>
            </w:pPr>
            <w:r w:rsidRPr="00B12FE0">
              <w:rPr>
                <w:color w:val="000000" w:themeColor="text1"/>
                <w:sz w:val="18"/>
                <w:szCs w:val="18"/>
              </w:rPr>
              <w:t>注：</w:t>
            </w:r>
            <w:r w:rsidRPr="00B12FE0">
              <w:rPr>
                <w:color w:val="000000" w:themeColor="text1"/>
                <w:sz w:val="18"/>
                <w:szCs w:val="18"/>
              </w:rPr>
              <w:t>1</w:t>
            </w:r>
            <w:r w:rsidRPr="00B12FE0">
              <w:rPr>
                <w:color w:val="000000" w:themeColor="text1"/>
                <w:sz w:val="18"/>
                <w:szCs w:val="18"/>
              </w:rPr>
              <w:t>、</w:t>
            </w:r>
            <w:r w:rsidRPr="00B12FE0">
              <w:rPr>
                <w:rFonts w:hint="eastAsia"/>
                <w:color w:val="000000" w:themeColor="text1"/>
                <w:sz w:val="18"/>
                <w:szCs w:val="18"/>
              </w:rPr>
              <w:t>测量时探头距离地面约</w:t>
            </w:r>
            <w:r w:rsidRPr="00B12FE0">
              <w:rPr>
                <w:rFonts w:hint="eastAsia"/>
                <w:color w:val="000000" w:themeColor="text1"/>
                <w:sz w:val="18"/>
                <w:szCs w:val="18"/>
              </w:rPr>
              <w:t>1m</w:t>
            </w:r>
            <w:r w:rsidRPr="00B12FE0">
              <w:rPr>
                <w:color w:val="000000" w:themeColor="text1"/>
                <w:sz w:val="18"/>
                <w:szCs w:val="18"/>
              </w:rPr>
              <w:t>；</w:t>
            </w:r>
          </w:p>
          <w:p w14:paraId="172AAB94" w14:textId="77777777" w:rsidR="00A67F21" w:rsidRPr="00B12FE0" w:rsidRDefault="00000000">
            <w:pPr>
              <w:pBdr>
                <w:top w:val="none" w:sz="0" w:space="1" w:color="auto"/>
                <w:left w:val="none" w:sz="0" w:space="4" w:color="auto"/>
                <w:bottom w:val="none" w:sz="0" w:space="1" w:color="auto"/>
                <w:right w:val="none" w:sz="0" w:space="4" w:color="auto"/>
              </w:pBdr>
              <w:ind w:firstLineChars="200" w:firstLine="360"/>
              <w:rPr>
                <w:color w:val="000000" w:themeColor="text1"/>
                <w:sz w:val="18"/>
                <w:szCs w:val="18"/>
              </w:rPr>
            </w:pPr>
            <w:r w:rsidRPr="00B12FE0">
              <w:rPr>
                <w:color w:val="000000" w:themeColor="text1"/>
                <w:sz w:val="18"/>
                <w:szCs w:val="18"/>
              </w:rPr>
              <w:t>2</w:t>
            </w:r>
            <w:r w:rsidRPr="00B12FE0">
              <w:rPr>
                <w:color w:val="000000" w:themeColor="text1"/>
                <w:sz w:val="18"/>
                <w:szCs w:val="18"/>
              </w:rPr>
              <w:t>、每个监测点测量</w:t>
            </w:r>
            <w:r w:rsidRPr="00B12FE0">
              <w:rPr>
                <w:color w:val="000000" w:themeColor="text1"/>
                <w:sz w:val="18"/>
                <w:szCs w:val="18"/>
              </w:rPr>
              <w:t>10</w:t>
            </w:r>
            <w:r w:rsidRPr="00B12FE0">
              <w:rPr>
                <w:color w:val="000000" w:themeColor="text1"/>
                <w:sz w:val="18"/>
                <w:szCs w:val="18"/>
              </w:rPr>
              <w:t>个数据取平均值</w:t>
            </w:r>
            <w:r w:rsidRPr="00B12FE0">
              <w:rPr>
                <w:rFonts w:hint="eastAsia"/>
                <w:color w:val="000000" w:themeColor="text1"/>
                <w:sz w:val="18"/>
                <w:szCs w:val="18"/>
              </w:rPr>
              <w:t>，</w:t>
            </w:r>
            <w:r w:rsidRPr="00B12FE0">
              <w:rPr>
                <w:color w:val="000000" w:themeColor="text1"/>
                <w:sz w:val="18"/>
                <w:szCs w:val="18"/>
              </w:rPr>
              <w:t>以上监测结果均已扣除仪器对宇宙射线的响应值</w:t>
            </w:r>
            <w:r w:rsidRPr="00B12FE0">
              <w:rPr>
                <w:rFonts w:hint="eastAsia"/>
                <w:color w:val="000000" w:themeColor="text1"/>
                <w:sz w:val="18"/>
                <w:szCs w:val="18"/>
              </w:rPr>
              <w:t>；</w:t>
            </w:r>
          </w:p>
          <w:p w14:paraId="5B04F9A5" w14:textId="77777777" w:rsidR="00A67F21" w:rsidRPr="00B12FE0" w:rsidRDefault="00000000">
            <w:pPr>
              <w:pBdr>
                <w:top w:val="none" w:sz="0" w:space="1" w:color="auto"/>
                <w:left w:val="none" w:sz="0" w:space="4" w:color="auto"/>
                <w:bottom w:val="none" w:sz="0" w:space="1" w:color="auto"/>
                <w:right w:val="none" w:sz="0" w:space="4" w:color="auto"/>
              </w:pBdr>
              <w:ind w:firstLineChars="200" w:firstLine="360"/>
              <w:rPr>
                <w:color w:val="000000" w:themeColor="text1"/>
                <w:sz w:val="18"/>
                <w:szCs w:val="18"/>
              </w:rPr>
            </w:pPr>
            <w:r w:rsidRPr="00B12FE0">
              <w:rPr>
                <w:color w:val="000000" w:themeColor="text1"/>
                <w:sz w:val="18"/>
                <w:szCs w:val="18"/>
              </w:rPr>
              <w:t>3</w:t>
            </w:r>
            <w:r w:rsidRPr="00B12FE0">
              <w:rPr>
                <w:color w:val="000000" w:themeColor="text1"/>
                <w:sz w:val="18"/>
                <w:szCs w:val="18"/>
              </w:rPr>
              <w:t>、环境</w:t>
            </w:r>
            <w:r w:rsidRPr="00B12FE0">
              <w:rPr>
                <w:color w:val="000000" w:themeColor="text1"/>
                <w:sz w:val="18"/>
                <w:szCs w:val="18"/>
              </w:rPr>
              <w:t>γ</w:t>
            </w:r>
            <w:r w:rsidRPr="00B12FE0">
              <w:rPr>
                <w:color w:val="000000" w:themeColor="text1"/>
                <w:sz w:val="18"/>
                <w:szCs w:val="18"/>
              </w:rPr>
              <w:t>辐射空气吸收剂量率</w:t>
            </w:r>
            <w:r w:rsidRPr="00B12FE0">
              <w:rPr>
                <w:color w:val="000000" w:themeColor="text1"/>
                <w:sz w:val="18"/>
                <w:szCs w:val="18"/>
              </w:rPr>
              <w:t>=</w:t>
            </w:r>
            <w:r w:rsidRPr="00B12FE0">
              <w:rPr>
                <w:color w:val="000000" w:themeColor="text1"/>
                <w:sz w:val="18"/>
                <w:szCs w:val="18"/>
              </w:rPr>
              <w:t>读数平均值</w:t>
            </w:r>
            <w:r w:rsidRPr="00B12FE0">
              <w:rPr>
                <w:color w:val="000000" w:themeColor="text1"/>
                <w:sz w:val="18"/>
                <w:szCs w:val="18"/>
              </w:rPr>
              <w:t>×</w:t>
            </w:r>
            <w:r w:rsidRPr="00B12FE0">
              <w:rPr>
                <w:color w:val="000000" w:themeColor="text1"/>
                <w:sz w:val="18"/>
                <w:szCs w:val="18"/>
              </w:rPr>
              <w:t>校准因子</w:t>
            </w:r>
            <w:r w:rsidRPr="00B12FE0">
              <w:rPr>
                <w:color w:val="000000" w:themeColor="text1"/>
                <w:sz w:val="18"/>
                <w:szCs w:val="18"/>
              </w:rPr>
              <w:t>k</w:t>
            </w:r>
            <w:r w:rsidRPr="00B12FE0">
              <w:rPr>
                <w:color w:val="000000" w:themeColor="text1"/>
                <w:sz w:val="18"/>
                <w:szCs w:val="18"/>
                <w:vertAlign w:val="subscript"/>
              </w:rPr>
              <w:t>1</w:t>
            </w:r>
            <w:r w:rsidRPr="00B12FE0">
              <w:rPr>
                <w:color w:val="000000" w:themeColor="text1"/>
                <w:sz w:val="18"/>
                <w:szCs w:val="18"/>
              </w:rPr>
              <w:t>×</w:t>
            </w:r>
            <w:r w:rsidRPr="00B12FE0">
              <w:rPr>
                <w:color w:val="000000" w:themeColor="text1"/>
                <w:sz w:val="18"/>
                <w:szCs w:val="18"/>
              </w:rPr>
              <w:t>仪器检验源效率因子</w:t>
            </w:r>
            <w:r w:rsidRPr="00B12FE0">
              <w:rPr>
                <w:color w:val="000000" w:themeColor="text1"/>
                <w:sz w:val="18"/>
                <w:szCs w:val="18"/>
              </w:rPr>
              <w:t>k</w:t>
            </w:r>
            <w:r w:rsidRPr="00B12FE0">
              <w:rPr>
                <w:color w:val="000000" w:themeColor="text1"/>
                <w:sz w:val="18"/>
                <w:szCs w:val="18"/>
                <w:vertAlign w:val="subscript"/>
              </w:rPr>
              <w:t>2</w:t>
            </w:r>
            <w:r w:rsidRPr="00B12FE0">
              <w:rPr>
                <w:color w:val="000000" w:themeColor="text1"/>
                <w:sz w:val="18"/>
                <w:szCs w:val="18"/>
              </w:rPr>
              <w:t>÷</w:t>
            </w:r>
            <w:proofErr w:type="gramStart"/>
            <w:r w:rsidRPr="00B12FE0">
              <w:rPr>
                <w:color w:val="000000" w:themeColor="text1"/>
                <w:sz w:val="18"/>
                <w:szCs w:val="18"/>
              </w:rPr>
              <w:t>空气比释动能</w:t>
            </w:r>
            <w:proofErr w:type="gramEnd"/>
            <w:r w:rsidRPr="00B12FE0">
              <w:rPr>
                <w:color w:val="000000" w:themeColor="text1"/>
                <w:sz w:val="18"/>
                <w:szCs w:val="18"/>
              </w:rPr>
              <w:t>和周围剂量当量的换算系数</w:t>
            </w:r>
            <w:r w:rsidRPr="00B12FE0">
              <w:rPr>
                <w:color w:val="000000" w:themeColor="text1"/>
                <w:sz w:val="18"/>
                <w:szCs w:val="18"/>
              </w:rPr>
              <w:t>-</w:t>
            </w:r>
            <w:r w:rsidRPr="00B12FE0">
              <w:rPr>
                <w:color w:val="000000" w:themeColor="text1"/>
                <w:sz w:val="18"/>
                <w:szCs w:val="18"/>
              </w:rPr>
              <w:t>屏蔽修正因子</w:t>
            </w:r>
            <w:r w:rsidRPr="00B12FE0">
              <w:rPr>
                <w:color w:val="000000" w:themeColor="text1"/>
                <w:sz w:val="18"/>
                <w:szCs w:val="18"/>
              </w:rPr>
              <w:t>k</w:t>
            </w:r>
            <w:r w:rsidRPr="00B12FE0">
              <w:rPr>
                <w:color w:val="000000" w:themeColor="text1"/>
                <w:sz w:val="18"/>
                <w:szCs w:val="18"/>
                <w:vertAlign w:val="subscript"/>
              </w:rPr>
              <w:t>3</w:t>
            </w:r>
            <w:r w:rsidRPr="00B12FE0">
              <w:rPr>
                <w:color w:val="000000" w:themeColor="text1"/>
                <w:sz w:val="18"/>
                <w:szCs w:val="18"/>
              </w:rPr>
              <w:t>×</w:t>
            </w:r>
            <w:r w:rsidRPr="00B12FE0">
              <w:rPr>
                <w:color w:val="000000" w:themeColor="text1"/>
                <w:sz w:val="18"/>
                <w:szCs w:val="18"/>
              </w:rPr>
              <w:t>测量点宇宙射线响应值</w:t>
            </w:r>
            <w:r w:rsidRPr="00B12FE0">
              <w:rPr>
                <w:color w:val="000000" w:themeColor="text1"/>
                <w:sz w:val="18"/>
                <w:szCs w:val="18"/>
              </w:rPr>
              <w:t>Dc</w:t>
            </w:r>
            <w:r w:rsidRPr="00B12FE0">
              <w:rPr>
                <w:color w:val="000000" w:themeColor="text1"/>
                <w:sz w:val="18"/>
                <w:szCs w:val="18"/>
              </w:rPr>
              <w:t>，校准因子</w:t>
            </w:r>
            <w:r w:rsidRPr="00B12FE0">
              <w:rPr>
                <w:color w:val="000000" w:themeColor="text1"/>
                <w:sz w:val="18"/>
                <w:szCs w:val="18"/>
              </w:rPr>
              <w:t>k</w:t>
            </w:r>
            <w:r w:rsidRPr="00B12FE0">
              <w:rPr>
                <w:color w:val="000000" w:themeColor="text1"/>
                <w:sz w:val="18"/>
                <w:szCs w:val="18"/>
                <w:vertAlign w:val="subscript"/>
              </w:rPr>
              <w:t>1</w:t>
            </w:r>
            <w:r w:rsidRPr="00B12FE0">
              <w:rPr>
                <w:color w:val="000000" w:themeColor="text1"/>
                <w:sz w:val="18"/>
                <w:szCs w:val="18"/>
              </w:rPr>
              <w:t>为</w:t>
            </w:r>
            <w:r w:rsidRPr="00B12FE0">
              <w:rPr>
                <w:rFonts w:hint="eastAsia"/>
                <w:color w:val="000000" w:themeColor="text1"/>
                <w:sz w:val="18"/>
                <w:szCs w:val="18"/>
              </w:rPr>
              <w:t>1.06</w:t>
            </w:r>
            <w:r w:rsidRPr="00B12FE0">
              <w:rPr>
                <w:color w:val="000000" w:themeColor="text1"/>
                <w:sz w:val="18"/>
                <w:szCs w:val="18"/>
              </w:rPr>
              <w:t>，仪器使用</w:t>
            </w:r>
            <w:r w:rsidRPr="00B12FE0">
              <w:rPr>
                <w:color w:val="000000" w:themeColor="text1"/>
                <w:sz w:val="18"/>
                <w:szCs w:val="18"/>
                <w:vertAlign w:val="superscript"/>
              </w:rPr>
              <w:t>137</w:t>
            </w:r>
            <w:r w:rsidRPr="00B12FE0">
              <w:rPr>
                <w:color w:val="000000" w:themeColor="text1"/>
                <w:sz w:val="18"/>
                <w:szCs w:val="18"/>
              </w:rPr>
              <w:t>Cs</w:t>
            </w:r>
            <w:r w:rsidRPr="00B12FE0">
              <w:rPr>
                <w:color w:val="000000" w:themeColor="text1"/>
                <w:sz w:val="18"/>
                <w:szCs w:val="18"/>
              </w:rPr>
              <w:t>进行校准，效率因子</w:t>
            </w:r>
            <w:r w:rsidRPr="00B12FE0">
              <w:rPr>
                <w:color w:val="000000" w:themeColor="text1"/>
                <w:sz w:val="18"/>
                <w:szCs w:val="18"/>
              </w:rPr>
              <w:t>k</w:t>
            </w:r>
            <w:r w:rsidRPr="00B12FE0">
              <w:rPr>
                <w:color w:val="000000" w:themeColor="text1"/>
                <w:sz w:val="18"/>
                <w:szCs w:val="18"/>
                <w:vertAlign w:val="subscript"/>
              </w:rPr>
              <w:t>2</w:t>
            </w:r>
            <w:r w:rsidRPr="00B12FE0">
              <w:rPr>
                <w:color w:val="000000" w:themeColor="text1"/>
                <w:sz w:val="18"/>
                <w:szCs w:val="18"/>
              </w:rPr>
              <w:t>取</w:t>
            </w:r>
            <w:r w:rsidRPr="00B12FE0">
              <w:rPr>
                <w:color w:val="000000" w:themeColor="text1"/>
                <w:sz w:val="18"/>
                <w:szCs w:val="18"/>
              </w:rPr>
              <w:t>1</w:t>
            </w:r>
            <w:r w:rsidRPr="00B12FE0">
              <w:rPr>
                <w:color w:val="000000" w:themeColor="text1"/>
                <w:sz w:val="18"/>
                <w:szCs w:val="18"/>
              </w:rPr>
              <w:t>，换算系数为</w:t>
            </w:r>
            <w:r w:rsidRPr="00B12FE0">
              <w:rPr>
                <w:color w:val="000000" w:themeColor="text1"/>
                <w:sz w:val="18"/>
                <w:szCs w:val="18"/>
              </w:rPr>
              <w:t>1.20Sv/Gy</w:t>
            </w:r>
            <w:r w:rsidRPr="00B12FE0">
              <w:rPr>
                <w:color w:val="000000" w:themeColor="text1"/>
                <w:sz w:val="18"/>
                <w:szCs w:val="18"/>
              </w:rPr>
              <w:t>，</w:t>
            </w:r>
            <w:r w:rsidRPr="00B12FE0">
              <w:rPr>
                <w:color w:val="000000" w:themeColor="text1"/>
                <w:sz w:val="18"/>
                <w:szCs w:val="18"/>
              </w:rPr>
              <w:t>k</w:t>
            </w:r>
            <w:r w:rsidRPr="00B12FE0">
              <w:rPr>
                <w:color w:val="000000" w:themeColor="text1"/>
                <w:sz w:val="18"/>
                <w:szCs w:val="18"/>
                <w:vertAlign w:val="subscript"/>
              </w:rPr>
              <w:t>3</w:t>
            </w:r>
            <w:r w:rsidRPr="00B12FE0">
              <w:rPr>
                <w:color w:val="000000" w:themeColor="text1"/>
                <w:sz w:val="18"/>
                <w:szCs w:val="18"/>
              </w:rPr>
              <w:t>楼房取</w:t>
            </w:r>
            <w:r w:rsidRPr="00B12FE0">
              <w:rPr>
                <w:color w:val="000000" w:themeColor="text1"/>
                <w:sz w:val="18"/>
                <w:szCs w:val="18"/>
              </w:rPr>
              <w:t>0.8</w:t>
            </w:r>
            <w:r w:rsidRPr="00B12FE0">
              <w:rPr>
                <w:color w:val="000000" w:themeColor="text1"/>
                <w:sz w:val="18"/>
                <w:szCs w:val="18"/>
              </w:rPr>
              <w:t>、平房取</w:t>
            </w:r>
            <w:r w:rsidRPr="00B12FE0">
              <w:rPr>
                <w:color w:val="000000" w:themeColor="text1"/>
                <w:sz w:val="18"/>
                <w:szCs w:val="18"/>
              </w:rPr>
              <w:t>0.9</w:t>
            </w:r>
            <w:r w:rsidRPr="00B12FE0">
              <w:rPr>
                <w:color w:val="000000" w:themeColor="text1"/>
                <w:sz w:val="18"/>
                <w:szCs w:val="18"/>
              </w:rPr>
              <w:t>、原野和道路取</w:t>
            </w:r>
            <w:r w:rsidRPr="00B12FE0">
              <w:rPr>
                <w:color w:val="000000" w:themeColor="text1"/>
                <w:sz w:val="18"/>
                <w:szCs w:val="18"/>
              </w:rPr>
              <w:t>1</w:t>
            </w:r>
            <w:r w:rsidRPr="00B12FE0">
              <w:rPr>
                <w:color w:val="000000" w:themeColor="text1"/>
                <w:sz w:val="18"/>
                <w:szCs w:val="18"/>
              </w:rPr>
              <w:t>，仪器对宇宙射线的响应值为</w:t>
            </w:r>
            <w:r w:rsidRPr="00B12FE0">
              <w:rPr>
                <w:rFonts w:hint="eastAsia"/>
                <w:color w:val="000000" w:themeColor="text1"/>
                <w:sz w:val="18"/>
                <w:szCs w:val="18"/>
              </w:rPr>
              <w:t>32</w:t>
            </w:r>
            <w:r w:rsidRPr="00B12FE0">
              <w:rPr>
                <w:color w:val="000000" w:themeColor="text1"/>
                <w:sz w:val="18"/>
                <w:szCs w:val="18"/>
              </w:rPr>
              <w:t>nGy/h</w:t>
            </w:r>
            <w:r w:rsidRPr="00B12FE0">
              <w:rPr>
                <w:rFonts w:hint="eastAsia"/>
                <w:color w:val="000000" w:themeColor="text1"/>
                <w:sz w:val="18"/>
                <w:szCs w:val="18"/>
              </w:rPr>
              <w:t>（监测地址：宁波东钱湖湖心水面，监测时间：</w:t>
            </w:r>
            <w:r w:rsidRPr="00B12FE0">
              <w:rPr>
                <w:rFonts w:hint="eastAsia"/>
                <w:color w:val="000000" w:themeColor="text1"/>
                <w:sz w:val="18"/>
                <w:szCs w:val="18"/>
              </w:rPr>
              <w:t xml:space="preserve"> 2024 </w:t>
            </w:r>
            <w:r w:rsidRPr="00B12FE0">
              <w:rPr>
                <w:rFonts w:hint="eastAsia"/>
                <w:color w:val="000000" w:themeColor="text1"/>
                <w:sz w:val="18"/>
                <w:szCs w:val="18"/>
              </w:rPr>
              <w:t>年</w:t>
            </w:r>
            <w:r w:rsidRPr="00B12FE0">
              <w:rPr>
                <w:rFonts w:hint="eastAsia"/>
                <w:color w:val="000000" w:themeColor="text1"/>
                <w:sz w:val="18"/>
                <w:szCs w:val="18"/>
              </w:rPr>
              <w:t xml:space="preserve"> 9 </w:t>
            </w:r>
            <w:r w:rsidRPr="00B12FE0">
              <w:rPr>
                <w:rFonts w:hint="eastAsia"/>
                <w:color w:val="000000" w:themeColor="text1"/>
                <w:sz w:val="18"/>
                <w:szCs w:val="18"/>
              </w:rPr>
              <w:t>月</w:t>
            </w:r>
            <w:r w:rsidRPr="00B12FE0">
              <w:rPr>
                <w:rFonts w:hint="eastAsia"/>
                <w:color w:val="000000" w:themeColor="text1"/>
                <w:sz w:val="18"/>
                <w:szCs w:val="18"/>
              </w:rPr>
              <w:t xml:space="preserve"> 12 </w:t>
            </w:r>
            <w:r w:rsidRPr="00B12FE0">
              <w:rPr>
                <w:rFonts w:hint="eastAsia"/>
                <w:color w:val="000000" w:themeColor="text1"/>
                <w:sz w:val="18"/>
                <w:szCs w:val="18"/>
              </w:rPr>
              <w:t>日）</w:t>
            </w:r>
            <w:r w:rsidRPr="00B12FE0">
              <w:rPr>
                <w:color w:val="000000" w:themeColor="text1"/>
                <w:sz w:val="18"/>
                <w:szCs w:val="18"/>
              </w:rPr>
              <w:t>。</w:t>
            </w:r>
          </w:p>
        </w:tc>
      </w:tr>
    </w:tbl>
    <w:p w14:paraId="79FD1D2C" w14:textId="77777777" w:rsidR="00A67F21" w:rsidRPr="00B12FE0" w:rsidRDefault="00000000">
      <w:pPr>
        <w:pBdr>
          <w:top w:val="none" w:sz="0" w:space="1" w:color="auto"/>
          <w:left w:val="none" w:sz="0" w:space="4" w:color="auto"/>
          <w:bottom w:val="none" w:sz="0" w:space="1" w:color="auto"/>
          <w:right w:val="none" w:sz="0" w:space="4" w:color="auto"/>
        </w:pBdr>
        <w:spacing w:beforeLines="50" w:before="120" w:line="360" w:lineRule="auto"/>
        <w:ind w:firstLineChars="200" w:firstLine="480"/>
        <w:rPr>
          <w:color w:val="000000" w:themeColor="text1"/>
        </w:rPr>
      </w:pPr>
      <w:r w:rsidRPr="00B12FE0">
        <w:rPr>
          <w:rFonts w:hint="eastAsia"/>
          <w:color w:val="000000" w:themeColor="text1"/>
        </w:rPr>
        <w:t>本</w:t>
      </w:r>
      <w:r w:rsidRPr="00B12FE0">
        <w:rPr>
          <w:color w:val="000000" w:themeColor="text1"/>
        </w:rPr>
        <w:t>项目</w:t>
      </w:r>
      <w:r w:rsidRPr="00B12FE0">
        <w:rPr>
          <w:color w:val="000000" w:themeColor="text1"/>
        </w:rPr>
        <w:t>β</w:t>
      </w:r>
      <w:r w:rsidRPr="00B12FE0">
        <w:rPr>
          <w:color w:val="000000" w:themeColor="text1"/>
        </w:rPr>
        <w:t>表面污染监测结果见表</w:t>
      </w:r>
      <w:r w:rsidRPr="00B12FE0">
        <w:rPr>
          <w:color w:val="000000" w:themeColor="text1"/>
        </w:rPr>
        <w:t>8.4</w:t>
      </w:r>
      <w:r w:rsidRPr="00B12FE0">
        <w:rPr>
          <w:rFonts w:hint="eastAsia"/>
          <w:color w:val="000000" w:themeColor="text1"/>
        </w:rPr>
        <w:t>.3-2</w:t>
      </w:r>
      <w:r w:rsidRPr="00B12FE0">
        <w:rPr>
          <w:color w:val="000000" w:themeColor="text1"/>
        </w:rPr>
        <w:t>。</w:t>
      </w:r>
    </w:p>
    <w:p w14:paraId="7E551AF7" w14:textId="77777777" w:rsidR="00A67F21" w:rsidRPr="00B12FE0" w:rsidRDefault="00000000">
      <w:pPr>
        <w:pBdr>
          <w:left w:val="none" w:sz="0" w:space="4" w:color="auto"/>
          <w:bottom w:val="none" w:sz="0" w:space="1" w:color="auto"/>
          <w:right w:val="none" w:sz="0" w:space="4" w:color="auto"/>
        </w:pBdr>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8.4</w:t>
      </w:r>
      <w:r w:rsidRPr="00B12FE0">
        <w:rPr>
          <w:rFonts w:hint="eastAsia"/>
          <w:b/>
          <w:color w:val="000000" w:themeColor="text1"/>
          <w:sz w:val="21"/>
          <w:szCs w:val="21"/>
        </w:rPr>
        <w:t>.3</w:t>
      </w:r>
      <w:r w:rsidRPr="00B12FE0">
        <w:rPr>
          <w:b/>
          <w:color w:val="000000" w:themeColor="text1"/>
          <w:sz w:val="21"/>
          <w:szCs w:val="21"/>
        </w:rPr>
        <w:t>-</w:t>
      </w:r>
      <w:r w:rsidRPr="00B12FE0">
        <w:rPr>
          <w:rFonts w:hint="eastAsia"/>
          <w:b/>
          <w:color w:val="000000" w:themeColor="text1"/>
          <w:sz w:val="21"/>
          <w:szCs w:val="21"/>
        </w:rPr>
        <w:t xml:space="preserve">2 </w:t>
      </w:r>
      <w:r w:rsidRPr="00B12FE0">
        <w:rPr>
          <w:b/>
          <w:color w:val="000000" w:themeColor="text1"/>
          <w:sz w:val="21"/>
          <w:szCs w:val="21"/>
        </w:rPr>
        <w:t>本项目</w:t>
      </w:r>
      <w:r w:rsidRPr="00B12FE0">
        <w:rPr>
          <w:b/>
          <w:bCs/>
          <w:color w:val="000000" w:themeColor="text1"/>
          <w:sz w:val="21"/>
          <w:szCs w:val="21"/>
        </w:rPr>
        <w:t>β</w:t>
      </w:r>
      <w:r w:rsidRPr="00B12FE0">
        <w:rPr>
          <w:b/>
          <w:bCs/>
          <w:color w:val="000000" w:themeColor="text1"/>
          <w:sz w:val="21"/>
          <w:szCs w:val="21"/>
        </w:rPr>
        <w:t>表</w:t>
      </w:r>
      <w:r w:rsidRPr="00B12FE0">
        <w:rPr>
          <w:b/>
          <w:color w:val="000000" w:themeColor="text1"/>
          <w:sz w:val="21"/>
          <w:szCs w:val="21"/>
        </w:rPr>
        <w:t>面污染现状监测结果</w:t>
      </w:r>
    </w:p>
    <w:tbl>
      <w:tblPr>
        <w:tblW w:w="4900" w:type="pct"/>
        <w:jc w:val="center"/>
        <w:tblLook w:val="04A0" w:firstRow="1" w:lastRow="0" w:firstColumn="1" w:lastColumn="0" w:noHBand="0" w:noVBand="1"/>
      </w:tblPr>
      <w:tblGrid>
        <w:gridCol w:w="1589"/>
        <w:gridCol w:w="4544"/>
        <w:gridCol w:w="2704"/>
      </w:tblGrid>
      <w:tr w:rsidR="00A67F21" w:rsidRPr="00B12FE0" w14:paraId="0A4F4D27"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21F86AD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color w:val="000000" w:themeColor="text1"/>
                <w:sz w:val="21"/>
                <w:szCs w:val="21"/>
              </w:rPr>
              <w:t>监测点编号</w:t>
            </w:r>
          </w:p>
        </w:tc>
        <w:tc>
          <w:tcPr>
            <w:tcW w:w="4544" w:type="dxa"/>
            <w:tcBorders>
              <w:top w:val="single" w:sz="4" w:space="0" w:color="auto"/>
              <w:left w:val="single" w:sz="4" w:space="0" w:color="auto"/>
              <w:bottom w:val="single" w:sz="4" w:space="0" w:color="auto"/>
              <w:right w:val="single" w:sz="4" w:space="0" w:color="auto"/>
            </w:tcBorders>
            <w:vAlign w:val="center"/>
          </w:tcPr>
          <w:p w14:paraId="5227B6B6"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color w:val="000000" w:themeColor="text1"/>
                <w:sz w:val="21"/>
                <w:szCs w:val="21"/>
              </w:rPr>
              <w:t>监测点位置</w:t>
            </w:r>
          </w:p>
        </w:tc>
        <w:tc>
          <w:tcPr>
            <w:tcW w:w="2704" w:type="dxa"/>
            <w:tcBorders>
              <w:top w:val="single" w:sz="4" w:space="0" w:color="auto"/>
              <w:left w:val="nil"/>
              <w:right w:val="single" w:sz="4" w:space="0" w:color="auto"/>
            </w:tcBorders>
            <w:vAlign w:val="center"/>
          </w:tcPr>
          <w:p w14:paraId="5899409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color w:val="000000" w:themeColor="text1"/>
                <w:sz w:val="21"/>
                <w:szCs w:val="21"/>
              </w:rPr>
              <w:t>监测结果（</w:t>
            </w:r>
            <w:r w:rsidRPr="00B12FE0">
              <w:rPr>
                <w:color w:val="000000" w:themeColor="text1"/>
                <w:sz w:val="21"/>
                <w:szCs w:val="21"/>
              </w:rPr>
              <w:t>Bq/cm</w:t>
            </w:r>
            <w:r w:rsidRPr="00B12FE0">
              <w:rPr>
                <w:color w:val="000000" w:themeColor="text1"/>
                <w:sz w:val="21"/>
                <w:szCs w:val="21"/>
                <w:vertAlign w:val="superscript"/>
              </w:rPr>
              <w:t>2</w:t>
            </w:r>
            <w:r w:rsidRPr="00B12FE0">
              <w:rPr>
                <w:color w:val="000000" w:themeColor="text1"/>
                <w:sz w:val="21"/>
                <w:szCs w:val="21"/>
              </w:rPr>
              <w:t>）</w:t>
            </w:r>
          </w:p>
        </w:tc>
      </w:tr>
      <w:tr w:rsidR="00A67F21" w:rsidRPr="00B12FE0" w14:paraId="243B628C"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1F4F8D6A"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adjustRightInd w:val="0"/>
              <w:snapToGrid w:val="0"/>
              <w:jc w:val="center"/>
              <w:rPr>
                <w:color w:val="000000" w:themeColor="text1"/>
                <w:sz w:val="21"/>
                <w:szCs w:val="21"/>
              </w:rPr>
            </w:pPr>
            <w:r w:rsidRPr="00B12FE0">
              <w:rPr>
                <w:color w:val="000000" w:themeColor="text1"/>
                <w:sz w:val="21"/>
                <w:szCs w:val="21"/>
              </w:rPr>
              <w:t>1#</w:t>
            </w:r>
          </w:p>
        </w:tc>
        <w:tc>
          <w:tcPr>
            <w:tcW w:w="4544" w:type="dxa"/>
            <w:tcBorders>
              <w:top w:val="single" w:sz="4" w:space="0" w:color="auto"/>
              <w:left w:val="single" w:sz="4" w:space="0" w:color="auto"/>
              <w:bottom w:val="single" w:sz="4" w:space="0" w:color="auto"/>
              <w:right w:val="single" w:sz="4" w:space="0" w:color="auto"/>
            </w:tcBorders>
            <w:vAlign w:val="center"/>
          </w:tcPr>
          <w:p w14:paraId="49F0D07B"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1</w:t>
            </w:r>
          </w:p>
        </w:tc>
        <w:tc>
          <w:tcPr>
            <w:tcW w:w="2704" w:type="dxa"/>
            <w:tcBorders>
              <w:top w:val="single" w:sz="4" w:space="0" w:color="auto"/>
              <w:left w:val="nil"/>
              <w:bottom w:val="single" w:sz="4" w:space="0" w:color="auto"/>
              <w:right w:val="single" w:sz="4" w:space="0" w:color="auto"/>
            </w:tcBorders>
            <w:vAlign w:val="center"/>
          </w:tcPr>
          <w:p w14:paraId="367AE8A2"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030F01F3" w14:textId="77777777">
        <w:trPr>
          <w:trHeight w:val="20"/>
          <w:jc w:val="center"/>
        </w:trPr>
        <w:tc>
          <w:tcPr>
            <w:tcW w:w="1589" w:type="dxa"/>
            <w:tcBorders>
              <w:left w:val="single" w:sz="4" w:space="0" w:color="auto"/>
              <w:bottom w:val="single" w:sz="4" w:space="0" w:color="auto"/>
              <w:right w:val="single" w:sz="4" w:space="0" w:color="auto"/>
            </w:tcBorders>
            <w:vAlign w:val="center"/>
          </w:tcPr>
          <w:p w14:paraId="15406A95"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2#</w:t>
            </w:r>
          </w:p>
        </w:tc>
        <w:tc>
          <w:tcPr>
            <w:tcW w:w="4544" w:type="dxa"/>
            <w:tcBorders>
              <w:left w:val="single" w:sz="4" w:space="0" w:color="auto"/>
              <w:bottom w:val="single" w:sz="4" w:space="0" w:color="auto"/>
              <w:right w:val="single" w:sz="4" w:space="0" w:color="auto"/>
            </w:tcBorders>
            <w:vAlign w:val="center"/>
          </w:tcPr>
          <w:p w14:paraId="634581CF"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2</w:t>
            </w:r>
          </w:p>
        </w:tc>
        <w:tc>
          <w:tcPr>
            <w:tcW w:w="2704" w:type="dxa"/>
            <w:tcBorders>
              <w:top w:val="single" w:sz="4" w:space="0" w:color="auto"/>
              <w:left w:val="nil"/>
              <w:bottom w:val="single" w:sz="4" w:space="0" w:color="auto"/>
              <w:right w:val="single" w:sz="4" w:space="0" w:color="auto"/>
            </w:tcBorders>
          </w:tcPr>
          <w:p w14:paraId="7C91DE6D"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654600C3" w14:textId="77777777">
        <w:trPr>
          <w:trHeight w:val="20"/>
          <w:jc w:val="center"/>
        </w:trPr>
        <w:tc>
          <w:tcPr>
            <w:tcW w:w="1589" w:type="dxa"/>
            <w:tcBorders>
              <w:left w:val="single" w:sz="4" w:space="0" w:color="auto"/>
              <w:bottom w:val="single" w:sz="4" w:space="0" w:color="auto"/>
              <w:right w:val="single" w:sz="4" w:space="0" w:color="auto"/>
            </w:tcBorders>
            <w:vAlign w:val="center"/>
          </w:tcPr>
          <w:p w14:paraId="71CA6E9D"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3#</w:t>
            </w:r>
          </w:p>
        </w:tc>
        <w:tc>
          <w:tcPr>
            <w:tcW w:w="4544" w:type="dxa"/>
            <w:tcBorders>
              <w:left w:val="single" w:sz="4" w:space="0" w:color="auto"/>
              <w:bottom w:val="single" w:sz="4" w:space="0" w:color="auto"/>
              <w:right w:val="single" w:sz="4" w:space="0" w:color="auto"/>
            </w:tcBorders>
            <w:vAlign w:val="center"/>
          </w:tcPr>
          <w:p w14:paraId="7E0264BC"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3</w:t>
            </w:r>
          </w:p>
        </w:tc>
        <w:tc>
          <w:tcPr>
            <w:tcW w:w="2704" w:type="dxa"/>
            <w:tcBorders>
              <w:top w:val="single" w:sz="4" w:space="0" w:color="auto"/>
              <w:left w:val="nil"/>
              <w:bottom w:val="single" w:sz="4" w:space="0" w:color="auto"/>
              <w:right w:val="single" w:sz="4" w:space="0" w:color="auto"/>
            </w:tcBorders>
          </w:tcPr>
          <w:p w14:paraId="3CDF803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16ABB740" w14:textId="77777777">
        <w:trPr>
          <w:trHeight w:val="20"/>
          <w:jc w:val="center"/>
        </w:trPr>
        <w:tc>
          <w:tcPr>
            <w:tcW w:w="1589" w:type="dxa"/>
            <w:tcBorders>
              <w:left w:val="single" w:sz="4" w:space="0" w:color="auto"/>
              <w:bottom w:val="single" w:sz="4" w:space="0" w:color="auto"/>
              <w:right w:val="single" w:sz="4" w:space="0" w:color="auto"/>
            </w:tcBorders>
            <w:vAlign w:val="center"/>
          </w:tcPr>
          <w:p w14:paraId="499829AE"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4#</w:t>
            </w:r>
          </w:p>
        </w:tc>
        <w:tc>
          <w:tcPr>
            <w:tcW w:w="4544" w:type="dxa"/>
            <w:tcBorders>
              <w:left w:val="single" w:sz="4" w:space="0" w:color="auto"/>
              <w:bottom w:val="single" w:sz="4" w:space="0" w:color="auto"/>
              <w:right w:val="single" w:sz="4" w:space="0" w:color="auto"/>
            </w:tcBorders>
            <w:vAlign w:val="center"/>
          </w:tcPr>
          <w:p w14:paraId="6D83E72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4</w:t>
            </w:r>
          </w:p>
        </w:tc>
        <w:tc>
          <w:tcPr>
            <w:tcW w:w="2704" w:type="dxa"/>
            <w:tcBorders>
              <w:top w:val="single" w:sz="4" w:space="0" w:color="auto"/>
              <w:left w:val="nil"/>
              <w:bottom w:val="single" w:sz="4" w:space="0" w:color="auto"/>
              <w:right w:val="single" w:sz="4" w:space="0" w:color="auto"/>
            </w:tcBorders>
          </w:tcPr>
          <w:p w14:paraId="7848A9EC"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0D461747" w14:textId="77777777">
        <w:trPr>
          <w:trHeight w:val="20"/>
          <w:jc w:val="center"/>
        </w:trPr>
        <w:tc>
          <w:tcPr>
            <w:tcW w:w="1589" w:type="dxa"/>
            <w:tcBorders>
              <w:left w:val="single" w:sz="4" w:space="0" w:color="auto"/>
              <w:bottom w:val="single" w:sz="4" w:space="0" w:color="auto"/>
              <w:right w:val="single" w:sz="4" w:space="0" w:color="auto"/>
            </w:tcBorders>
            <w:vAlign w:val="center"/>
          </w:tcPr>
          <w:p w14:paraId="54A1D71C"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5#</w:t>
            </w:r>
          </w:p>
        </w:tc>
        <w:tc>
          <w:tcPr>
            <w:tcW w:w="4544" w:type="dxa"/>
            <w:tcBorders>
              <w:left w:val="single" w:sz="4" w:space="0" w:color="auto"/>
              <w:bottom w:val="single" w:sz="4" w:space="0" w:color="auto"/>
              <w:right w:val="single" w:sz="4" w:space="0" w:color="auto"/>
            </w:tcBorders>
            <w:vAlign w:val="center"/>
          </w:tcPr>
          <w:p w14:paraId="5FC6243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5</w:t>
            </w:r>
          </w:p>
        </w:tc>
        <w:tc>
          <w:tcPr>
            <w:tcW w:w="2704" w:type="dxa"/>
            <w:tcBorders>
              <w:top w:val="single" w:sz="4" w:space="0" w:color="auto"/>
              <w:left w:val="nil"/>
              <w:bottom w:val="single" w:sz="4" w:space="0" w:color="auto"/>
              <w:right w:val="single" w:sz="4" w:space="0" w:color="auto"/>
            </w:tcBorders>
          </w:tcPr>
          <w:p w14:paraId="4F69148C"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646E81D2" w14:textId="77777777">
        <w:trPr>
          <w:trHeight w:val="20"/>
          <w:jc w:val="center"/>
        </w:trPr>
        <w:tc>
          <w:tcPr>
            <w:tcW w:w="1589" w:type="dxa"/>
            <w:tcBorders>
              <w:left w:val="single" w:sz="4" w:space="0" w:color="auto"/>
              <w:bottom w:val="single" w:sz="4" w:space="0" w:color="auto"/>
              <w:right w:val="single" w:sz="4" w:space="0" w:color="auto"/>
            </w:tcBorders>
            <w:vAlign w:val="center"/>
          </w:tcPr>
          <w:p w14:paraId="54F7BF28"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6#</w:t>
            </w:r>
          </w:p>
        </w:tc>
        <w:tc>
          <w:tcPr>
            <w:tcW w:w="4544" w:type="dxa"/>
            <w:tcBorders>
              <w:left w:val="single" w:sz="4" w:space="0" w:color="auto"/>
              <w:bottom w:val="single" w:sz="4" w:space="0" w:color="auto"/>
              <w:right w:val="single" w:sz="4" w:space="0" w:color="auto"/>
            </w:tcBorders>
            <w:vAlign w:val="center"/>
          </w:tcPr>
          <w:p w14:paraId="3F6D3C7F"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6</w:t>
            </w:r>
          </w:p>
        </w:tc>
        <w:tc>
          <w:tcPr>
            <w:tcW w:w="2704" w:type="dxa"/>
            <w:tcBorders>
              <w:top w:val="single" w:sz="4" w:space="0" w:color="auto"/>
              <w:left w:val="nil"/>
              <w:bottom w:val="single" w:sz="4" w:space="0" w:color="auto"/>
              <w:right w:val="single" w:sz="4" w:space="0" w:color="auto"/>
            </w:tcBorders>
          </w:tcPr>
          <w:p w14:paraId="5CB69B3E"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60530694"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7E774F7E"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7#</w:t>
            </w:r>
          </w:p>
        </w:tc>
        <w:tc>
          <w:tcPr>
            <w:tcW w:w="4544" w:type="dxa"/>
            <w:tcBorders>
              <w:top w:val="single" w:sz="4" w:space="0" w:color="auto"/>
              <w:left w:val="single" w:sz="4" w:space="0" w:color="auto"/>
              <w:bottom w:val="single" w:sz="4" w:space="0" w:color="auto"/>
              <w:right w:val="single" w:sz="4" w:space="0" w:color="auto"/>
            </w:tcBorders>
            <w:vAlign w:val="center"/>
          </w:tcPr>
          <w:p w14:paraId="42319ECB"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7</w:t>
            </w:r>
          </w:p>
        </w:tc>
        <w:tc>
          <w:tcPr>
            <w:tcW w:w="2704" w:type="dxa"/>
            <w:tcBorders>
              <w:top w:val="single" w:sz="4" w:space="0" w:color="auto"/>
              <w:left w:val="nil"/>
              <w:bottom w:val="single" w:sz="4" w:space="0" w:color="auto"/>
              <w:right w:val="single" w:sz="4" w:space="0" w:color="auto"/>
            </w:tcBorders>
          </w:tcPr>
          <w:p w14:paraId="04A59BB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16028EB6"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6C3052D3"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8#</w:t>
            </w:r>
          </w:p>
        </w:tc>
        <w:tc>
          <w:tcPr>
            <w:tcW w:w="4544" w:type="dxa"/>
            <w:tcBorders>
              <w:top w:val="single" w:sz="4" w:space="0" w:color="auto"/>
              <w:left w:val="single" w:sz="4" w:space="0" w:color="auto"/>
              <w:bottom w:val="single" w:sz="4" w:space="0" w:color="auto"/>
              <w:right w:val="single" w:sz="4" w:space="0" w:color="auto"/>
            </w:tcBorders>
            <w:vAlign w:val="center"/>
          </w:tcPr>
          <w:p w14:paraId="14E65A8C"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8</w:t>
            </w:r>
          </w:p>
        </w:tc>
        <w:tc>
          <w:tcPr>
            <w:tcW w:w="2704" w:type="dxa"/>
            <w:tcBorders>
              <w:top w:val="single" w:sz="4" w:space="0" w:color="auto"/>
              <w:left w:val="nil"/>
              <w:bottom w:val="single" w:sz="4" w:space="0" w:color="auto"/>
              <w:right w:val="single" w:sz="4" w:space="0" w:color="auto"/>
            </w:tcBorders>
          </w:tcPr>
          <w:p w14:paraId="642C63EE"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14D0D822"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7B298925"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9#</w:t>
            </w:r>
          </w:p>
        </w:tc>
        <w:tc>
          <w:tcPr>
            <w:tcW w:w="4544" w:type="dxa"/>
            <w:tcBorders>
              <w:top w:val="single" w:sz="4" w:space="0" w:color="auto"/>
              <w:left w:val="single" w:sz="4" w:space="0" w:color="auto"/>
              <w:bottom w:val="single" w:sz="4" w:space="0" w:color="auto"/>
              <w:right w:val="single" w:sz="4" w:space="0" w:color="auto"/>
            </w:tcBorders>
          </w:tcPr>
          <w:p w14:paraId="037F5704"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东侧院内道路</w:t>
            </w:r>
          </w:p>
        </w:tc>
        <w:tc>
          <w:tcPr>
            <w:tcW w:w="2704" w:type="dxa"/>
            <w:tcBorders>
              <w:top w:val="single" w:sz="4" w:space="0" w:color="auto"/>
              <w:left w:val="nil"/>
              <w:bottom w:val="single" w:sz="4" w:space="0" w:color="auto"/>
              <w:right w:val="single" w:sz="4" w:space="0" w:color="auto"/>
            </w:tcBorders>
          </w:tcPr>
          <w:p w14:paraId="4739F09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3464C57D"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2B00580F"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10#</w:t>
            </w:r>
          </w:p>
        </w:tc>
        <w:tc>
          <w:tcPr>
            <w:tcW w:w="4544" w:type="dxa"/>
            <w:tcBorders>
              <w:top w:val="single" w:sz="4" w:space="0" w:color="auto"/>
              <w:left w:val="single" w:sz="4" w:space="0" w:color="auto"/>
              <w:bottom w:val="single" w:sz="4" w:space="0" w:color="auto"/>
              <w:right w:val="single" w:sz="4" w:space="0" w:color="auto"/>
            </w:tcBorders>
          </w:tcPr>
          <w:p w14:paraId="473F0AC5"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东侧医疗综合楼</w:t>
            </w:r>
          </w:p>
        </w:tc>
        <w:tc>
          <w:tcPr>
            <w:tcW w:w="2704" w:type="dxa"/>
            <w:tcBorders>
              <w:top w:val="single" w:sz="4" w:space="0" w:color="auto"/>
              <w:left w:val="nil"/>
              <w:bottom w:val="single" w:sz="4" w:space="0" w:color="auto"/>
              <w:right w:val="single" w:sz="4" w:space="0" w:color="auto"/>
            </w:tcBorders>
          </w:tcPr>
          <w:p w14:paraId="588D00CE"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7E6C8B08"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18F92068"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11#</w:t>
            </w:r>
          </w:p>
        </w:tc>
        <w:tc>
          <w:tcPr>
            <w:tcW w:w="4544" w:type="dxa"/>
            <w:tcBorders>
              <w:top w:val="single" w:sz="4" w:space="0" w:color="auto"/>
              <w:left w:val="single" w:sz="4" w:space="0" w:color="auto"/>
              <w:bottom w:val="single" w:sz="4" w:space="0" w:color="auto"/>
              <w:right w:val="single" w:sz="4" w:space="0" w:color="auto"/>
            </w:tcBorders>
          </w:tcPr>
          <w:p w14:paraId="285D0103"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东南侧门急诊楼</w:t>
            </w:r>
          </w:p>
        </w:tc>
        <w:tc>
          <w:tcPr>
            <w:tcW w:w="2704" w:type="dxa"/>
            <w:tcBorders>
              <w:top w:val="single" w:sz="4" w:space="0" w:color="auto"/>
              <w:left w:val="nil"/>
              <w:bottom w:val="single" w:sz="4" w:space="0" w:color="auto"/>
              <w:right w:val="single" w:sz="4" w:space="0" w:color="auto"/>
            </w:tcBorders>
          </w:tcPr>
          <w:p w14:paraId="12FC91A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38ADCA8C"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251EAA2B"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color w:val="000000" w:themeColor="text1"/>
                <w:sz w:val="21"/>
                <w:szCs w:val="21"/>
              </w:rPr>
              <w:t>12#</w:t>
            </w:r>
          </w:p>
        </w:tc>
        <w:tc>
          <w:tcPr>
            <w:tcW w:w="4544" w:type="dxa"/>
            <w:tcBorders>
              <w:top w:val="single" w:sz="4" w:space="0" w:color="auto"/>
              <w:left w:val="single" w:sz="4" w:space="0" w:color="auto"/>
              <w:bottom w:val="single" w:sz="4" w:space="0" w:color="auto"/>
              <w:right w:val="single" w:sz="4" w:space="0" w:color="auto"/>
            </w:tcBorders>
          </w:tcPr>
          <w:p w14:paraId="2472FBA1"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南侧院内道路</w:t>
            </w:r>
          </w:p>
        </w:tc>
        <w:tc>
          <w:tcPr>
            <w:tcW w:w="2704" w:type="dxa"/>
            <w:tcBorders>
              <w:top w:val="single" w:sz="4" w:space="0" w:color="auto"/>
              <w:left w:val="nil"/>
              <w:bottom w:val="single" w:sz="4" w:space="0" w:color="auto"/>
              <w:right w:val="single" w:sz="4" w:space="0" w:color="auto"/>
            </w:tcBorders>
          </w:tcPr>
          <w:p w14:paraId="6A2C185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4F0573F4"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7E401EA5"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13#</w:t>
            </w:r>
          </w:p>
        </w:tc>
        <w:tc>
          <w:tcPr>
            <w:tcW w:w="4544" w:type="dxa"/>
            <w:tcBorders>
              <w:top w:val="single" w:sz="4" w:space="0" w:color="auto"/>
              <w:left w:val="single" w:sz="4" w:space="0" w:color="auto"/>
              <w:bottom w:val="single" w:sz="4" w:space="0" w:color="auto"/>
              <w:right w:val="single" w:sz="4" w:space="0" w:color="auto"/>
            </w:tcBorders>
          </w:tcPr>
          <w:p w14:paraId="7CE48C36"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南侧</w:t>
            </w:r>
            <w:proofErr w:type="gramStart"/>
            <w:r w:rsidRPr="00B12FE0">
              <w:rPr>
                <w:rFonts w:ascii="宋体" w:hAnsi="宋体"/>
                <w:color w:val="000000" w:themeColor="text1"/>
                <w:sz w:val="21"/>
                <w:szCs w:val="21"/>
              </w:rPr>
              <w:t>后勤楼</w:t>
            </w:r>
            <w:proofErr w:type="gramEnd"/>
          </w:p>
        </w:tc>
        <w:tc>
          <w:tcPr>
            <w:tcW w:w="2704" w:type="dxa"/>
            <w:tcBorders>
              <w:top w:val="single" w:sz="4" w:space="0" w:color="auto"/>
              <w:left w:val="nil"/>
              <w:bottom w:val="single" w:sz="4" w:space="0" w:color="auto"/>
              <w:right w:val="single" w:sz="4" w:space="0" w:color="auto"/>
            </w:tcBorders>
          </w:tcPr>
          <w:p w14:paraId="66E3DF96"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3AF52D0D"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1F3E3827"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14#</w:t>
            </w:r>
          </w:p>
        </w:tc>
        <w:tc>
          <w:tcPr>
            <w:tcW w:w="4544" w:type="dxa"/>
            <w:tcBorders>
              <w:top w:val="single" w:sz="4" w:space="0" w:color="auto"/>
              <w:left w:val="single" w:sz="4" w:space="0" w:color="auto"/>
              <w:bottom w:val="single" w:sz="4" w:space="0" w:color="auto"/>
              <w:right w:val="single" w:sz="4" w:space="0" w:color="auto"/>
            </w:tcBorders>
          </w:tcPr>
          <w:p w14:paraId="30FCE1D9"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西侧规划道路</w:t>
            </w:r>
            <w:r w:rsidRPr="00B12FE0">
              <w:rPr>
                <w:color w:val="000000" w:themeColor="text1"/>
                <w:sz w:val="21"/>
                <w:szCs w:val="21"/>
              </w:rPr>
              <w:t>1</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707105B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278E9FEE"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6ACE1107"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15#</w:t>
            </w:r>
          </w:p>
        </w:tc>
        <w:tc>
          <w:tcPr>
            <w:tcW w:w="4544" w:type="dxa"/>
            <w:tcBorders>
              <w:top w:val="single" w:sz="4" w:space="0" w:color="auto"/>
              <w:left w:val="single" w:sz="4" w:space="0" w:color="auto"/>
              <w:bottom w:val="single" w:sz="4" w:space="0" w:color="auto"/>
              <w:right w:val="single" w:sz="4" w:space="0" w:color="auto"/>
            </w:tcBorders>
          </w:tcPr>
          <w:p w14:paraId="7E703A6B"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w:t>
            </w:r>
            <w:r w:rsidRPr="00B12FE0">
              <w:rPr>
                <w:rFonts w:ascii="宋体" w:hAnsi="宋体" w:hint="eastAsia"/>
                <w:color w:val="000000" w:themeColor="text1"/>
                <w:sz w:val="21"/>
                <w:szCs w:val="21"/>
              </w:rPr>
              <w:t>预留</w:t>
            </w:r>
            <w:r w:rsidRPr="00B12FE0">
              <w:rPr>
                <w:rFonts w:ascii="宋体" w:hAnsi="宋体"/>
                <w:color w:val="000000" w:themeColor="text1"/>
                <w:sz w:val="21"/>
                <w:szCs w:val="21"/>
              </w:rPr>
              <w:t>用地</w:t>
            </w:r>
            <w:r w:rsidRPr="00B12FE0">
              <w:rPr>
                <w:color w:val="000000" w:themeColor="text1"/>
                <w:sz w:val="21"/>
                <w:szCs w:val="21"/>
              </w:rPr>
              <w:t>1</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327E04E5"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424A74A8"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259A4607"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16#</w:t>
            </w:r>
          </w:p>
        </w:tc>
        <w:tc>
          <w:tcPr>
            <w:tcW w:w="4544" w:type="dxa"/>
            <w:tcBorders>
              <w:top w:val="single" w:sz="4" w:space="0" w:color="auto"/>
              <w:left w:val="single" w:sz="4" w:space="0" w:color="auto"/>
              <w:bottom w:val="single" w:sz="4" w:space="0" w:color="auto"/>
              <w:right w:val="single" w:sz="4" w:space="0" w:color="auto"/>
            </w:tcBorders>
          </w:tcPr>
          <w:p w14:paraId="2A7D48D8"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西侧规划道路</w:t>
            </w:r>
            <w:r w:rsidRPr="00B12FE0">
              <w:rPr>
                <w:color w:val="000000" w:themeColor="text1"/>
                <w:sz w:val="21"/>
                <w:szCs w:val="21"/>
              </w:rPr>
              <w:t>2</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2360593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0B0E4E08"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3D6A324A"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17#</w:t>
            </w:r>
          </w:p>
        </w:tc>
        <w:tc>
          <w:tcPr>
            <w:tcW w:w="4544" w:type="dxa"/>
            <w:tcBorders>
              <w:top w:val="single" w:sz="4" w:space="0" w:color="auto"/>
              <w:left w:val="single" w:sz="4" w:space="0" w:color="auto"/>
              <w:bottom w:val="single" w:sz="4" w:space="0" w:color="auto"/>
              <w:right w:val="single" w:sz="4" w:space="0" w:color="auto"/>
            </w:tcBorders>
          </w:tcPr>
          <w:p w14:paraId="2E1811E2"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w:t>
            </w:r>
            <w:r w:rsidRPr="00B12FE0">
              <w:rPr>
                <w:rFonts w:ascii="宋体" w:hAnsi="宋体" w:hint="eastAsia"/>
                <w:color w:val="000000" w:themeColor="text1"/>
                <w:sz w:val="21"/>
                <w:szCs w:val="21"/>
              </w:rPr>
              <w:t>预留</w:t>
            </w:r>
            <w:r w:rsidRPr="00B12FE0">
              <w:rPr>
                <w:rFonts w:ascii="宋体" w:hAnsi="宋体"/>
                <w:color w:val="000000" w:themeColor="text1"/>
                <w:sz w:val="21"/>
                <w:szCs w:val="21"/>
              </w:rPr>
              <w:t>用地</w:t>
            </w:r>
            <w:r w:rsidRPr="00B12FE0">
              <w:rPr>
                <w:color w:val="000000" w:themeColor="text1"/>
                <w:sz w:val="21"/>
                <w:szCs w:val="21"/>
              </w:rPr>
              <w:t>2</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6C72CC2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57BCB25D"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3ED4515D"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18#</w:t>
            </w:r>
          </w:p>
        </w:tc>
        <w:tc>
          <w:tcPr>
            <w:tcW w:w="4544" w:type="dxa"/>
            <w:tcBorders>
              <w:top w:val="single" w:sz="4" w:space="0" w:color="auto"/>
              <w:left w:val="single" w:sz="4" w:space="0" w:color="auto"/>
              <w:bottom w:val="single" w:sz="4" w:space="0" w:color="auto"/>
              <w:right w:val="single" w:sz="4" w:space="0" w:color="auto"/>
            </w:tcBorders>
          </w:tcPr>
          <w:p w14:paraId="7242290F"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北侧院内道路</w:t>
            </w:r>
          </w:p>
        </w:tc>
        <w:tc>
          <w:tcPr>
            <w:tcW w:w="2704" w:type="dxa"/>
            <w:tcBorders>
              <w:top w:val="single" w:sz="4" w:space="0" w:color="auto"/>
              <w:left w:val="nil"/>
              <w:bottom w:val="single" w:sz="4" w:space="0" w:color="auto"/>
              <w:right w:val="single" w:sz="4" w:space="0" w:color="auto"/>
            </w:tcBorders>
          </w:tcPr>
          <w:p w14:paraId="6F2E213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060DA990"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7D1377F7"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19#</w:t>
            </w:r>
          </w:p>
        </w:tc>
        <w:tc>
          <w:tcPr>
            <w:tcW w:w="4544" w:type="dxa"/>
            <w:tcBorders>
              <w:top w:val="single" w:sz="4" w:space="0" w:color="auto"/>
              <w:left w:val="single" w:sz="4" w:space="0" w:color="auto"/>
              <w:bottom w:val="single" w:sz="4" w:space="0" w:color="auto"/>
              <w:right w:val="single" w:sz="4" w:space="0" w:color="auto"/>
            </w:tcBorders>
          </w:tcPr>
          <w:p w14:paraId="6EEE4B4B"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rFonts w:ascii="宋体" w:hAnsi="宋体"/>
                <w:color w:val="000000" w:themeColor="text1"/>
                <w:sz w:val="21"/>
                <w:szCs w:val="21"/>
              </w:rPr>
              <w:t>液氧站</w:t>
            </w:r>
          </w:p>
        </w:tc>
        <w:tc>
          <w:tcPr>
            <w:tcW w:w="2704" w:type="dxa"/>
            <w:tcBorders>
              <w:top w:val="single" w:sz="4" w:space="0" w:color="auto"/>
              <w:left w:val="nil"/>
              <w:bottom w:val="single" w:sz="4" w:space="0" w:color="auto"/>
              <w:right w:val="single" w:sz="4" w:space="0" w:color="auto"/>
            </w:tcBorders>
          </w:tcPr>
          <w:p w14:paraId="46CB732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15650E71"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552EBF98"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20#</w:t>
            </w:r>
          </w:p>
        </w:tc>
        <w:tc>
          <w:tcPr>
            <w:tcW w:w="4544" w:type="dxa"/>
            <w:tcBorders>
              <w:top w:val="single" w:sz="4" w:space="0" w:color="auto"/>
              <w:left w:val="single" w:sz="4" w:space="0" w:color="auto"/>
              <w:bottom w:val="single" w:sz="4" w:space="0" w:color="auto"/>
              <w:right w:val="single" w:sz="4" w:space="0" w:color="auto"/>
            </w:tcBorders>
          </w:tcPr>
          <w:p w14:paraId="7D791297"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rFonts w:ascii="宋体" w:hAnsi="宋体"/>
                <w:color w:val="000000" w:themeColor="text1"/>
                <w:sz w:val="21"/>
                <w:szCs w:val="21"/>
              </w:rPr>
              <w:t>污水及垃圾站</w:t>
            </w:r>
          </w:p>
        </w:tc>
        <w:tc>
          <w:tcPr>
            <w:tcW w:w="2704" w:type="dxa"/>
            <w:tcBorders>
              <w:top w:val="single" w:sz="4" w:space="0" w:color="auto"/>
              <w:left w:val="nil"/>
              <w:bottom w:val="single" w:sz="4" w:space="0" w:color="auto"/>
              <w:right w:val="single" w:sz="4" w:space="0" w:color="auto"/>
            </w:tcBorders>
          </w:tcPr>
          <w:p w14:paraId="28CB2C0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15753BAE"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60E7CF3A"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21#</w:t>
            </w:r>
          </w:p>
        </w:tc>
        <w:tc>
          <w:tcPr>
            <w:tcW w:w="4544" w:type="dxa"/>
            <w:tcBorders>
              <w:top w:val="single" w:sz="4" w:space="0" w:color="auto"/>
              <w:left w:val="single" w:sz="4" w:space="0" w:color="auto"/>
              <w:bottom w:val="single" w:sz="4" w:space="0" w:color="auto"/>
              <w:right w:val="single" w:sz="4" w:space="0" w:color="auto"/>
            </w:tcBorders>
          </w:tcPr>
          <w:p w14:paraId="3805DD88"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东北侧住院楼</w:t>
            </w:r>
          </w:p>
        </w:tc>
        <w:tc>
          <w:tcPr>
            <w:tcW w:w="2704" w:type="dxa"/>
            <w:tcBorders>
              <w:top w:val="single" w:sz="4" w:space="0" w:color="auto"/>
              <w:left w:val="nil"/>
              <w:bottom w:val="single" w:sz="4" w:space="0" w:color="auto"/>
              <w:right w:val="single" w:sz="4" w:space="0" w:color="auto"/>
            </w:tcBorders>
          </w:tcPr>
          <w:p w14:paraId="54106EBD"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0.06</w:t>
            </w:r>
          </w:p>
        </w:tc>
      </w:tr>
      <w:tr w:rsidR="00A67F21" w:rsidRPr="00B12FE0" w14:paraId="08142C3C" w14:textId="77777777">
        <w:trPr>
          <w:trHeight w:val="20"/>
          <w:jc w:val="center"/>
        </w:trPr>
        <w:tc>
          <w:tcPr>
            <w:tcW w:w="8837" w:type="dxa"/>
            <w:gridSpan w:val="3"/>
            <w:tcBorders>
              <w:top w:val="single" w:sz="4" w:space="0" w:color="auto"/>
              <w:left w:val="single" w:sz="4" w:space="0" w:color="auto"/>
              <w:bottom w:val="single" w:sz="4" w:space="0" w:color="auto"/>
              <w:right w:val="single" w:sz="4" w:space="0" w:color="auto"/>
            </w:tcBorders>
            <w:vAlign w:val="center"/>
          </w:tcPr>
          <w:p w14:paraId="4D7F2EB8" w14:textId="77777777" w:rsidR="00A67F21" w:rsidRPr="00B12FE0" w:rsidRDefault="00000000">
            <w:pPr>
              <w:pStyle w:val="a5"/>
              <w:pBdr>
                <w:top w:val="none" w:sz="0" w:space="1" w:color="auto"/>
                <w:left w:val="none" w:sz="0" w:space="4" w:color="auto"/>
                <w:bottom w:val="none" w:sz="0" w:space="1" w:color="auto"/>
                <w:right w:val="none" w:sz="0" w:space="4" w:color="auto"/>
              </w:pBdr>
              <w:adjustRightInd w:val="0"/>
              <w:snapToGrid w:val="0"/>
              <w:spacing w:after="0"/>
              <w:ind w:leftChars="0" w:left="0"/>
              <w:jc w:val="left"/>
              <w:rPr>
                <w:color w:val="000000" w:themeColor="text1"/>
                <w:sz w:val="18"/>
                <w:szCs w:val="18"/>
              </w:rPr>
            </w:pPr>
            <w:bookmarkStart w:id="13" w:name="_Hlk179375138"/>
            <w:r w:rsidRPr="00B12FE0">
              <w:rPr>
                <w:color w:val="000000" w:themeColor="text1"/>
                <w:sz w:val="18"/>
                <w:szCs w:val="18"/>
              </w:rPr>
              <w:t>注</w:t>
            </w:r>
            <w:r w:rsidRPr="00B12FE0">
              <w:rPr>
                <w:color w:val="000000" w:themeColor="text1"/>
                <w:sz w:val="18"/>
                <w:szCs w:val="18"/>
              </w:rPr>
              <w:t xml:space="preserve"> </w:t>
            </w:r>
            <w:r w:rsidRPr="00B12FE0">
              <w:rPr>
                <w:rFonts w:hint="eastAsia"/>
                <w:color w:val="000000" w:themeColor="text1"/>
                <w:sz w:val="18"/>
                <w:szCs w:val="18"/>
              </w:rPr>
              <w:t>1</w:t>
            </w:r>
            <w:r w:rsidRPr="00B12FE0">
              <w:rPr>
                <w:color w:val="000000" w:themeColor="text1"/>
                <w:sz w:val="18"/>
                <w:szCs w:val="18"/>
              </w:rPr>
              <w:t>：</w:t>
            </w:r>
            <w:r w:rsidRPr="00B12FE0">
              <w:rPr>
                <w:rFonts w:hint="eastAsia"/>
                <w:color w:val="000000" w:themeColor="text1"/>
                <w:sz w:val="18"/>
                <w:szCs w:val="18"/>
              </w:rPr>
              <w:t>上述检测结果均已扣除本底，每个监测点测量</w:t>
            </w:r>
            <w:r w:rsidRPr="00B12FE0">
              <w:rPr>
                <w:rFonts w:hint="eastAsia"/>
                <w:color w:val="000000" w:themeColor="text1"/>
                <w:sz w:val="18"/>
                <w:szCs w:val="18"/>
              </w:rPr>
              <w:t xml:space="preserve"> 10 </w:t>
            </w:r>
            <w:proofErr w:type="gramStart"/>
            <w:r w:rsidRPr="00B12FE0">
              <w:rPr>
                <w:rFonts w:hint="eastAsia"/>
                <w:color w:val="000000" w:themeColor="text1"/>
                <w:sz w:val="18"/>
                <w:szCs w:val="18"/>
              </w:rPr>
              <w:t>个</w:t>
            </w:r>
            <w:proofErr w:type="gramEnd"/>
            <w:r w:rsidRPr="00B12FE0">
              <w:rPr>
                <w:rFonts w:hint="eastAsia"/>
                <w:color w:val="000000" w:themeColor="text1"/>
                <w:sz w:val="18"/>
                <w:szCs w:val="18"/>
              </w:rPr>
              <w:t>数据取平均值；</w:t>
            </w:r>
          </w:p>
          <w:p w14:paraId="23301EA4" w14:textId="77777777" w:rsidR="00A67F21" w:rsidRPr="00B12FE0" w:rsidRDefault="00000000">
            <w:pPr>
              <w:pStyle w:val="a5"/>
              <w:pBdr>
                <w:top w:val="none" w:sz="0" w:space="1" w:color="auto"/>
                <w:left w:val="none" w:sz="0" w:space="4" w:color="auto"/>
                <w:bottom w:val="none" w:sz="0" w:space="1" w:color="auto"/>
                <w:right w:val="none" w:sz="0" w:space="4" w:color="auto"/>
              </w:pBdr>
              <w:adjustRightInd w:val="0"/>
              <w:snapToGrid w:val="0"/>
              <w:spacing w:after="0"/>
              <w:ind w:leftChars="0" w:left="0" w:firstLineChars="100" w:firstLine="180"/>
              <w:jc w:val="left"/>
              <w:rPr>
                <w:color w:val="000000" w:themeColor="text1"/>
                <w:sz w:val="18"/>
                <w:szCs w:val="18"/>
              </w:rPr>
            </w:pPr>
            <w:r w:rsidRPr="00B12FE0">
              <w:rPr>
                <w:rFonts w:hint="eastAsia"/>
                <w:color w:val="000000" w:themeColor="text1"/>
                <w:sz w:val="18"/>
                <w:szCs w:val="18"/>
              </w:rPr>
              <w:t>2</w:t>
            </w:r>
            <w:r w:rsidRPr="00B12FE0">
              <w:rPr>
                <w:color w:val="000000" w:themeColor="text1"/>
                <w:sz w:val="18"/>
                <w:szCs w:val="18"/>
              </w:rPr>
              <w:t>：为</w:t>
            </w:r>
            <w:proofErr w:type="spellStart"/>
            <w:r w:rsidRPr="00B12FE0">
              <w:rPr>
                <w:color w:val="000000" w:themeColor="text1"/>
                <w:sz w:val="18"/>
                <w:szCs w:val="18"/>
              </w:rPr>
              <w:t>CoMo</w:t>
            </w:r>
            <w:proofErr w:type="spellEnd"/>
            <w:r w:rsidRPr="00B12FE0">
              <w:rPr>
                <w:color w:val="000000" w:themeColor="text1"/>
                <w:sz w:val="18"/>
                <w:szCs w:val="18"/>
              </w:rPr>
              <w:t xml:space="preserve"> 170α</w:t>
            </w:r>
            <w:r w:rsidRPr="00B12FE0">
              <w:rPr>
                <w:color w:val="000000" w:themeColor="text1"/>
                <w:sz w:val="18"/>
                <w:szCs w:val="18"/>
              </w:rPr>
              <w:t>、</w:t>
            </w:r>
            <w:r w:rsidRPr="00B12FE0">
              <w:rPr>
                <w:color w:val="000000" w:themeColor="text1"/>
                <w:sz w:val="18"/>
                <w:szCs w:val="18"/>
              </w:rPr>
              <w:t>β</w:t>
            </w:r>
            <w:r w:rsidRPr="00B12FE0">
              <w:rPr>
                <w:color w:val="000000" w:themeColor="text1"/>
                <w:sz w:val="18"/>
                <w:szCs w:val="18"/>
              </w:rPr>
              <w:t>表面污染仪</w:t>
            </w:r>
            <w:r w:rsidRPr="00B12FE0">
              <w:rPr>
                <w:color w:val="000000" w:themeColor="text1"/>
                <w:sz w:val="18"/>
                <w:szCs w:val="18"/>
              </w:rPr>
              <w:t>/05034889</w:t>
            </w:r>
            <w:r w:rsidRPr="00B12FE0">
              <w:rPr>
                <w:color w:val="000000" w:themeColor="text1"/>
                <w:sz w:val="18"/>
                <w:szCs w:val="18"/>
              </w:rPr>
              <w:t>探测下限为</w:t>
            </w:r>
            <w:r w:rsidRPr="00B12FE0">
              <w:rPr>
                <w:color w:val="000000" w:themeColor="text1"/>
                <w:sz w:val="18"/>
                <w:szCs w:val="18"/>
              </w:rPr>
              <w:t>0.0</w:t>
            </w:r>
            <w:r w:rsidRPr="00B12FE0">
              <w:rPr>
                <w:rFonts w:hint="eastAsia"/>
                <w:color w:val="000000" w:themeColor="text1"/>
                <w:sz w:val="18"/>
                <w:szCs w:val="18"/>
              </w:rPr>
              <w:t>6</w:t>
            </w:r>
            <w:r w:rsidRPr="00B12FE0">
              <w:rPr>
                <w:color w:val="000000" w:themeColor="text1"/>
                <w:sz w:val="18"/>
                <w:szCs w:val="18"/>
              </w:rPr>
              <w:t>Bq/cm</w:t>
            </w:r>
            <w:r w:rsidRPr="00B12FE0">
              <w:rPr>
                <w:color w:val="000000" w:themeColor="text1"/>
                <w:sz w:val="18"/>
                <w:szCs w:val="18"/>
                <w:vertAlign w:val="superscript"/>
              </w:rPr>
              <w:t>2</w:t>
            </w:r>
            <w:r w:rsidRPr="00B12FE0">
              <w:rPr>
                <w:color w:val="000000" w:themeColor="text1"/>
                <w:sz w:val="18"/>
                <w:szCs w:val="18"/>
              </w:rPr>
              <w:t>。</w:t>
            </w:r>
          </w:p>
        </w:tc>
      </w:tr>
    </w:tbl>
    <w:bookmarkEnd w:id="13"/>
    <w:p w14:paraId="08F1A52F" w14:textId="77777777" w:rsidR="00A67F21" w:rsidRPr="00B12FE0" w:rsidRDefault="00000000">
      <w:pPr>
        <w:pBdr>
          <w:top w:val="none" w:sz="0" w:space="1" w:color="auto"/>
          <w:left w:val="none" w:sz="0" w:space="4" w:color="auto"/>
          <w:bottom w:val="none" w:sz="0" w:space="1" w:color="auto"/>
          <w:right w:val="none" w:sz="0" w:space="4" w:color="auto"/>
        </w:pBdr>
        <w:spacing w:beforeLines="50" w:before="120" w:line="360" w:lineRule="auto"/>
        <w:ind w:firstLineChars="200" w:firstLine="480"/>
        <w:rPr>
          <w:color w:val="000000" w:themeColor="text1"/>
        </w:rPr>
      </w:pPr>
      <w:r w:rsidRPr="00B12FE0">
        <w:rPr>
          <w:rFonts w:hint="eastAsia"/>
          <w:color w:val="000000" w:themeColor="text1"/>
        </w:rPr>
        <w:t>本</w:t>
      </w:r>
      <w:r w:rsidRPr="00B12FE0">
        <w:rPr>
          <w:color w:val="000000" w:themeColor="text1"/>
        </w:rPr>
        <w:t>项目</w:t>
      </w:r>
      <w:r w:rsidRPr="00B12FE0">
        <w:rPr>
          <w:rFonts w:hint="eastAsia"/>
          <w:color w:val="000000" w:themeColor="text1"/>
        </w:rPr>
        <w:t>中子射线外照射</w:t>
      </w:r>
      <w:r w:rsidRPr="00B12FE0">
        <w:rPr>
          <w:color w:val="000000" w:themeColor="text1"/>
        </w:rPr>
        <w:t>监测结果见表</w:t>
      </w:r>
      <w:r w:rsidRPr="00B12FE0">
        <w:rPr>
          <w:color w:val="000000" w:themeColor="text1"/>
        </w:rPr>
        <w:t>8.4</w:t>
      </w:r>
      <w:r w:rsidRPr="00B12FE0">
        <w:rPr>
          <w:rFonts w:hint="eastAsia"/>
          <w:color w:val="000000" w:themeColor="text1"/>
        </w:rPr>
        <w:t>.3-3</w:t>
      </w:r>
      <w:r w:rsidRPr="00B12FE0">
        <w:rPr>
          <w:color w:val="000000" w:themeColor="text1"/>
        </w:rPr>
        <w:t>。</w:t>
      </w:r>
    </w:p>
    <w:p w14:paraId="395AB612" w14:textId="77777777" w:rsidR="00A67F21" w:rsidRPr="00B12FE0" w:rsidRDefault="00000000">
      <w:pPr>
        <w:pBdr>
          <w:top w:val="none" w:sz="0" w:space="1" w:color="auto"/>
          <w:left w:val="none" w:sz="0" w:space="4" w:color="auto"/>
          <w:bottom w:val="none" w:sz="0" w:space="1" w:color="auto"/>
          <w:right w:val="none" w:sz="0" w:space="4" w:color="auto"/>
        </w:pBdr>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8.4</w:t>
      </w:r>
      <w:r w:rsidRPr="00B12FE0">
        <w:rPr>
          <w:rFonts w:hint="eastAsia"/>
          <w:b/>
          <w:color w:val="000000" w:themeColor="text1"/>
          <w:sz w:val="21"/>
          <w:szCs w:val="21"/>
        </w:rPr>
        <w:t>.3</w:t>
      </w:r>
      <w:r w:rsidRPr="00B12FE0">
        <w:rPr>
          <w:b/>
          <w:color w:val="000000" w:themeColor="text1"/>
          <w:sz w:val="21"/>
          <w:szCs w:val="21"/>
        </w:rPr>
        <w:t>-</w:t>
      </w:r>
      <w:r w:rsidRPr="00B12FE0">
        <w:rPr>
          <w:rFonts w:hint="eastAsia"/>
          <w:b/>
          <w:color w:val="000000" w:themeColor="text1"/>
          <w:sz w:val="21"/>
          <w:szCs w:val="21"/>
        </w:rPr>
        <w:t xml:space="preserve">3  </w:t>
      </w:r>
      <w:r w:rsidRPr="00B12FE0">
        <w:rPr>
          <w:rFonts w:hint="eastAsia"/>
          <w:b/>
          <w:color w:val="000000" w:themeColor="text1"/>
          <w:sz w:val="21"/>
          <w:szCs w:val="21"/>
        </w:rPr>
        <w:t>本项目中子射线外照射监测结果</w:t>
      </w:r>
    </w:p>
    <w:tbl>
      <w:tblPr>
        <w:tblW w:w="4900" w:type="pct"/>
        <w:jc w:val="center"/>
        <w:tblLook w:val="04A0" w:firstRow="1" w:lastRow="0" w:firstColumn="1" w:lastColumn="0" w:noHBand="0" w:noVBand="1"/>
      </w:tblPr>
      <w:tblGrid>
        <w:gridCol w:w="1589"/>
        <w:gridCol w:w="4544"/>
        <w:gridCol w:w="2704"/>
      </w:tblGrid>
      <w:tr w:rsidR="00A67F21" w:rsidRPr="00B12FE0" w14:paraId="20C88CEA"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68079AA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监测点编号</w:t>
            </w:r>
          </w:p>
        </w:tc>
        <w:tc>
          <w:tcPr>
            <w:tcW w:w="4544" w:type="dxa"/>
            <w:tcBorders>
              <w:top w:val="single" w:sz="4" w:space="0" w:color="auto"/>
              <w:left w:val="single" w:sz="4" w:space="0" w:color="auto"/>
              <w:bottom w:val="single" w:sz="4" w:space="0" w:color="auto"/>
              <w:right w:val="single" w:sz="4" w:space="0" w:color="auto"/>
            </w:tcBorders>
            <w:vAlign w:val="center"/>
          </w:tcPr>
          <w:p w14:paraId="06C4781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监测点位置</w:t>
            </w:r>
          </w:p>
        </w:tc>
        <w:tc>
          <w:tcPr>
            <w:tcW w:w="2704" w:type="dxa"/>
            <w:tcBorders>
              <w:top w:val="single" w:sz="4" w:space="0" w:color="auto"/>
              <w:left w:val="nil"/>
              <w:right w:val="single" w:sz="4" w:space="0" w:color="auto"/>
            </w:tcBorders>
            <w:vAlign w:val="center"/>
          </w:tcPr>
          <w:p w14:paraId="3A3F12F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监测</w:t>
            </w:r>
            <w:r w:rsidRPr="00B12FE0">
              <w:rPr>
                <w:color w:val="000000" w:themeColor="text1"/>
                <w:sz w:val="21"/>
                <w:szCs w:val="21"/>
              </w:rPr>
              <w:t>结果（</w:t>
            </w:r>
            <w:proofErr w:type="spellStart"/>
            <w:r w:rsidRPr="00B12FE0">
              <w:rPr>
                <w:color w:val="000000" w:themeColor="text1"/>
                <w:sz w:val="21"/>
                <w:szCs w:val="21"/>
              </w:rPr>
              <w:t>μSv</w:t>
            </w:r>
            <w:proofErr w:type="spellEnd"/>
            <w:r w:rsidRPr="00B12FE0">
              <w:rPr>
                <w:color w:val="000000" w:themeColor="text1"/>
                <w:sz w:val="21"/>
                <w:szCs w:val="21"/>
              </w:rPr>
              <w:t>/h</w:t>
            </w:r>
            <w:r w:rsidRPr="00B12FE0">
              <w:rPr>
                <w:color w:val="000000" w:themeColor="text1"/>
                <w:sz w:val="21"/>
                <w:szCs w:val="21"/>
              </w:rPr>
              <w:t>）</w:t>
            </w:r>
          </w:p>
        </w:tc>
      </w:tr>
      <w:tr w:rsidR="00A67F21" w:rsidRPr="00B12FE0" w14:paraId="66C93C82"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48D2C366"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w:t>
            </w:r>
          </w:p>
        </w:tc>
        <w:tc>
          <w:tcPr>
            <w:tcW w:w="4544" w:type="dxa"/>
            <w:tcBorders>
              <w:top w:val="single" w:sz="4" w:space="0" w:color="000000"/>
              <w:left w:val="single" w:sz="4" w:space="0" w:color="000000"/>
              <w:bottom w:val="single" w:sz="4" w:space="0" w:color="000000"/>
              <w:right w:val="single" w:sz="4" w:space="0" w:color="000000"/>
            </w:tcBorders>
            <w:vAlign w:val="center"/>
          </w:tcPr>
          <w:p w14:paraId="589F0A74"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1</w:t>
            </w:r>
          </w:p>
        </w:tc>
        <w:tc>
          <w:tcPr>
            <w:tcW w:w="2704" w:type="dxa"/>
            <w:tcBorders>
              <w:top w:val="single" w:sz="4" w:space="0" w:color="auto"/>
              <w:left w:val="nil"/>
              <w:bottom w:val="single" w:sz="4" w:space="0" w:color="auto"/>
              <w:right w:val="single" w:sz="4" w:space="0" w:color="auto"/>
            </w:tcBorders>
            <w:vAlign w:val="center"/>
          </w:tcPr>
          <w:p w14:paraId="6860DB4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0F4661BF" w14:textId="77777777">
        <w:trPr>
          <w:trHeight w:val="20"/>
          <w:jc w:val="center"/>
        </w:trPr>
        <w:tc>
          <w:tcPr>
            <w:tcW w:w="1589" w:type="dxa"/>
            <w:tcBorders>
              <w:left w:val="single" w:sz="4" w:space="0" w:color="auto"/>
              <w:bottom w:val="single" w:sz="4" w:space="0" w:color="auto"/>
              <w:right w:val="single" w:sz="4" w:space="0" w:color="auto"/>
            </w:tcBorders>
            <w:vAlign w:val="center"/>
          </w:tcPr>
          <w:p w14:paraId="512341E2"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2#</w:t>
            </w:r>
          </w:p>
        </w:tc>
        <w:tc>
          <w:tcPr>
            <w:tcW w:w="4544" w:type="dxa"/>
            <w:tcBorders>
              <w:top w:val="single" w:sz="4" w:space="0" w:color="000000"/>
              <w:left w:val="single" w:sz="4" w:space="0" w:color="000000"/>
              <w:bottom w:val="single" w:sz="4" w:space="0" w:color="000000"/>
              <w:right w:val="single" w:sz="4" w:space="0" w:color="000000"/>
            </w:tcBorders>
            <w:vAlign w:val="center"/>
          </w:tcPr>
          <w:p w14:paraId="50A36234"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2</w:t>
            </w:r>
          </w:p>
        </w:tc>
        <w:tc>
          <w:tcPr>
            <w:tcW w:w="2704" w:type="dxa"/>
            <w:tcBorders>
              <w:top w:val="single" w:sz="4" w:space="0" w:color="auto"/>
              <w:left w:val="nil"/>
              <w:bottom w:val="single" w:sz="4" w:space="0" w:color="auto"/>
              <w:right w:val="single" w:sz="4" w:space="0" w:color="auto"/>
            </w:tcBorders>
          </w:tcPr>
          <w:p w14:paraId="26FB3C55"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0757FF33" w14:textId="77777777">
        <w:trPr>
          <w:trHeight w:val="20"/>
          <w:jc w:val="center"/>
        </w:trPr>
        <w:tc>
          <w:tcPr>
            <w:tcW w:w="1589" w:type="dxa"/>
            <w:tcBorders>
              <w:left w:val="single" w:sz="4" w:space="0" w:color="auto"/>
              <w:bottom w:val="single" w:sz="4" w:space="0" w:color="auto"/>
              <w:right w:val="single" w:sz="4" w:space="0" w:color="auto"/>
            </w:tcBorders>
            <w:vAlign w:val="center"/>
          </w:tcPr>
          <w:p w14:paraId="1A20A033"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3#</w:t>
            </w:r>
          </w:p>
        </w:tc>
        <w:tc>
          <w:tcPr>
            <w:tcW w:w="4544" w:type="dxa"/>
            <w:tcBorders>
              <w:top w:val="single" w:sz="4" w:space="0" w:color="000000"/>
              <w:left w:val="single" w:sz="4" w:space="0" w:color="000000"/>
              <w:bottom w:val="single" w:sz="4" w:space="0" w:color="000000"/>
              <w:right w:val="single" w:sz="4" w:space="0" w:color="000000"/>
            </w:tcBorders>
            <w:vAlign w:val="center"/>
          </w:tcPr>
          <w:p w14:paraId="70AE86C3"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3</w:t>
            </w:r>
          </w:p>
        </w:tc>
        <w:tc>
          <w:tcPr>
            <w:tcW w:w="2704" w:type="dxa"/>
            <w:tcBorders>
              <w:top w:val="single" w:sz="4" w:space="0" w:color="auto"/>
              <w:left w:val="nil"/>
              <w:bottom w:val="single" w:sz="4" w:space="0" w:color="auto"/>
              <w:right w:val="single" w:sz="4" w:space="0" w:color="auto"/>
            </w:tcBorders>
          </w:tcPr>
          <w:p w14:paraId="7274D68E"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53C7966B" w14:textId="77777777">
        <w:trPr>
          <w:trHeight w:val="20"/>
          <w:jc w:val="center"/>
        </w:trPr>
        <w:tc>
          <w:tcPr>
            <w:tcW w:w="1589" w:type="dxa"/>
            <w:tcBorders>
              <w:left w:val="single" w:sz="4" w:space="0" w:color="auto"/>
              <w:bottom w:val="single" w:sz="4" w:space="0" w:color="auto"/>
              <w:right w:val="single" w:sz="4" w:space="0" w:color="auto"/>
            </w:tcBorders>
            <w:vAlign w:val="center"/>
          </w:tcPr>
          <w:p w14:paraId="55E5F382"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4#</w:t>
            </w:r>
          </w:p>
        </w:tc>
        <w:tc>
          <w:tcPr>
            <w:tcW w:w="4544" w:type="dxa"/>
            <w:tcBorders>
              <w:top w:val="single" w:sz="4" w:space="0" w:color="000000"/>
              <w:left w:val="single" w:sz="4" w:space="0" w:color="000000"/>
              <w:bottom w:val="single" w:sz="4" w:space="0" w:color="000000"/>
              <w:right w:val="single" w:sz="4" w:space="0" w:color="000000"/>
            </w:tcBorders>
            <w:vAlign w:val="center"/>
          </w:tcPr>
          <w:p w14:paraId="71BBB3F7"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4</w:t>
            </w:r>
          </w:p>
        </w:tc>
        <w:tc>
          <w:tcPr>
            <w:tcW w:w="2704" w:type="dxa"/>
            <w:tcBorders>
              <w:top w:val="single" w:sz="4" w:space="0" w:color="auto"/>
              <w:left w:val="nil"/>
              <w:bottom w:val="single" w:sz="4" w:space="0" w:color="auto"/>
              <w:right w:val="single" w:sz="4" w:space="0" w:color="auto"/>
            </w:tcBorders>
          </w:tcPr>
          <w:p w14:paraId="48F4009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3C445E8C" w14:textId="77777777">
        <w:trPr>
          <w:trHeight w:val="20"/>
          <w:jc w:val="center"/>
        </w:trPr>
        <w:tc>
          <w:tcPr>
            <w:tcW w:w="1589" w:type="dxa"/>
            <w:tcBorders>
              <w:left w:val="single" w:sz="4" w:space="0" w:color="auto"/>
              <w:bottom w:val="single" w:sz="4" w:space="0" w:color="auto"/>
              <w:right w:val="single" w:sz="4" w:space="0" w:color="auto"/>
            </w:tcBorders>
            <w:vAlign w:val="center"/>
          </w:tcPr>
          <w:p w14:paraId="2AE2607D"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5#</w:t>
            </w:r>
          </w:p>
        </w:tc>
        <w:tc>
          <w:tcPr>
            <w:tcW w:w="4544" w:type="dxa"/>
            <w:tcBorders>
              <w:top w:val="single" w:sz="4" w:space="0" w:color="000000"/>
              <w:left w:val="single" w:sz="4" w:space="0" w:color="000000"/>
              <w:bottom w:val="single" w:sz="4" w:space="0" w:color="000000"/>
              <w:right w:val="single" w:sz="4" w:space="0" w:color="000000"/>
            </w:tcBorders>
            <w:vAlign w:val="center"/>
          </w:tcPr>
          <w:p w14:paraId="499C582D"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5</w:t>
            </w:r>
          </w:p>
        </w:tc>
        <w:tc>
          <w:tcPr>
            <w:tcW w:w="2704" w:type="dxa"/>
            <w:tcBorders>
              <w:top w:val="single" w:sz="4" w:space="0" w:color="auto"/>
              <w:left w:val="nil"/>
              <w:bottom w:val="single" w:sz="4" w:space="0" w:color="auto"/>
              <w:right w:val="single" w:sz="4" w:space="0" w:color="auto"/>
            </w:tcBorders>
          </w:tcPr>
          <w:p w14:paraId="0DEF9C1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5A2B3F91" w14:textId="77777777">
        <w:trPr>
          <w:trHeight w:val="20"/>
          <w:jc w:val="center"/>
        </w:trPr>
        <w:tc>
          <w:tcPr>
            <w:tcW w:w="1589" w:type="dxa"/>
            <w:tcBorders>
              <w:left w:val="single" w:sz="4" w:space="0" w:color="auto"/>
              <w:bottom w:val="single" w:sz="4" w:space="0" w:color="auto"/>
              <w:right w:val="single" w:sz="4" w:space="0" w:color="auto"/>
            </w:tcBorders>
            <w:vAlign w:val="center"/>
          </w:tcPr>
          <w:p w14:paraId="25EBF72E"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6#</w:t>
            </w:r>
          </w:p>
        </w:tc>
        <w:tc>
          <w:tcPr>
            <w:tcW w:w="4544" w:type="dxa"/>
            <w:tcBorders>
              <w:top w:val="single" w:sz="4" w:space="0" w:color="000000"/>
              <w:left w:val="single" w:sz="4" w:space="0" w:color="000000"/>
              <w:bottom w:val="single" w:sz="4" w:space="0" w:color="000000"/>
              <w:right w:val="single" w:sz="4" w:space="0" w:color="000000"/>
            </w:tcBorders>
            <w:vAlign w:val="center"/>
          </w:tcPr>
          <w:p w14:paraId="68765CC6"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6</w:t>
            </w:r>
          </w:p>
        </w:tc>
        <w:tc>
          <w:tcPr>
            <w:tcW w:w="2704" w:type="dxa"/>
            <w:tcBorders>
              <w:top w:val="single" w:sz="4" w:space="0" w:color="auto"/>
              <w:left w:val="nil"/>
              <w:bottom w:val="single" w:sz="4" w:space="0" w:color="auto"/>
              <w:right w:val="single" w:sz="4" w:space="0" w:color="auto"/>
            </w:tcBorders>
          </w:tcPr>
          <w:p w14:paraId="1FD2198F"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05483BB5"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4832757E"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lastRenderedPageBreak/>
              <w:t>7#</w:t>
            </w:r>
          </w:p>
        </w:tc>
        <w:tc>
          <w:tcPr>
            <w:tcW w:w="4544" w:type="dxa"/>
            <w:tcBorders>
              <w:top w:val="single" w:sz="4" w:space="0" w:color="000000"/>
              <w:left w:val="single" w:sz="4" w:space="0" w:color="000000"/>
              <w:bottom w:val="single" w:sz="4" w:space="0" w:color="000000"/>
              <w:right w:val="single" w:sz="4" w:space="0" w:color="000000"/>
            </w:tcBorders>
            <w:vAlign w:val="center"/>
          </w:tcPr>
          <w:p w14:paraId="52D2381E"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7</w:t>
            </w:r>
          </w:p>
        </w:tc>
        <w:tc>
          <w:tcPr>
            <w:tcW w:w="2704" w:type="dxa"/>
            <w:tcBorders>
              <w:top w:val="single" w:sz="4" w:space="0" w:color="auto"/>
              <w:left w:val="nil"/>
              <w:bottom w:val="single" w:sz="4" w:space="0" w:color="auto"/>
              <w:right w:val="single" w:sz="4" w:space="0" w:color="auto"/>
            </w:tcBorders>
          </w:tcPr>
          <w:p w14:paraId="65BFAC77"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544E7A4F"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vAlign w:val="center"/>
          </w:tcPr>
          <w:p w14:paraId="3F274680"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8</w:t>
            </w:r>
            <w:r w:rsidRPr="00B12FE0">
              <w:rPr>
                <w:color w:val="000000" w:themeColor="text1"/>
                <w:sz w:val="21"/>
                <w:szCs w:val="21"/>
              </w:rPr>
              <w:t>#</w:t>
            </w:r>
          </w:p>
        </w:tc>
        <w:tc>
          <w:tcPr>
            <w:tcW w:w="4544" w:type="dxa"/>
            <w:tcBorders>
              <w:top w:val="single" w:sz="4" w:space="0" w:color="000000"/>
              <w:left w:val="single" w:sz="4" w:space="0" w:color="000000"/>
              <w:bottom w:val="single" w:sz="4" w:space="0" w:color="auto"/>
              <w:right w:val="single" w:sz="4" w:space="0" w:color="000000"/>
            </w:tcBorders>
            <w:vAlign w:val="center"/>
          </w:tcPr>
          <w:p w14:paraId="60C87BBB"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hint="eastAsia"/>
                <w:color w:val="000000" w:themeColor="text1"/>
                <w:sz w:val="21"/>
                <w:szCs w:val="21"/>
              </w:rPr>
              <w:t>项目所在地块点位</w:t>
            </w:r>
            <w:r w:rsidRPr="00B12FE0">
              <w:rPr>
                <w:rFonts w:hint="eastAsia"/>
                <w:color w:val="000000" w:themeColor="text1"/>
                <w:sz w:val="21"/>
                <w:szCs w:val="21"/>
              </w:rPr>
              <w:t>8</w:t>
            </w:r>
          </w:p>
        </w:tc>
        <w:tc>
          <w:tcPr>
            <w:tcW w:w="2704" w:type="dxa"/>
            <w:tcBorders>
              <w:top w:val="single" w:sz="4" w:space="0" w:color="auto"/>
              <w:left w:val="nil"/>
              <w:bottom w:val="single" w:sz="4" w:space="0" w:color="auto"/>
              <w:right w:val="single" w:sz="4" w:space="0" w:color="auto"/>
            </w:tcBorders>
          </w:tcPr>
          <w:p w14:paraId="063FAFF8"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6C9651DC"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61B711E6"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9#</w:t>
            </w:r>
          </w:p>
        </w:tc>
        <w:tc>
          <w:tcPr>
            <w:tcW w:w="4544" w:type="dxa"/>
            <w:tcBorders>
              <w:top w:val="single" w:sz="4" w:space="0" w:color="auto"/>
              <w:left w:val="single" w:sz="4" w:space="0" w:color="auto"/>
              <w:bottom w:val="single" w:sz="4" w:space="0" w:color="auto"/>
              <w:right w:val="single" w:sz="4" w:space="0" w:color="auto"/>
            </w:tcBorders>
          </w:tcPr>
          <w:p w14:paraId="47367F4B"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东侧院内道路</w:t>
            </w:r>
          </w:p>
        </w:tc>
        <w:tc>
          <w:tcPr>
            <w:tcW w:w="2704" w:type="dxa"/>
            <w:tcBorders>
              <w:top w:val="single" w:sz="4" w:space="0" w:color="auto"/>
              <w:left w:val="nil"/>
              <w:bottom w:val="single" w:sz="4" w:space="0" w:color="auto"/>
              <w:right w:val="single" w:sz="4" w:space="0" w:color="auto"/>
            </w:tcBorders>
          </w:tcPr>
          <w:p w14:paraId="10BE38D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5249721D"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5DCF5E01"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color w:val="000000" w:themeColor="text1"/>
                <w:sz w:val="21"/>
                <w:szCs w:val="21"/>
              </w:rPr>
              <w:t>10#</w:t>
            </w:r>
          </w:p>
        </w:tc>
        <w:tc>
          <w:tcPr>
            <w:tcW w:w="4544" w:type="dxa"/>
            <w:tcBorders>
              <w:top w:val="single" w:sz="4" w:space="0" w:color="auto"/>
              <w:left w:val="single" w:sz="4" w:space="0" w:color="auto"/>
              <w:bottom w:val="single" w:sz="4" w:space="0" w:color="auto"/>
              <w:right w:val="single" w:sz="4" w:space="0" w:color="auto"/>
            </w:tcBorders>
          </w:tcPr>
          <w:p w14:paraId="77563A94"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东侧医疗综合楼</w:t>
            </w:r>
          </w:p>
        </w:tc>
        <w:tc>
          <w:tcPr>
            <w:tcW w:w="2704" w:type="dxa"/>
            <w:tcBorders>
              <w:top w:val="single" w:sz="4" w:space="0" w:color="auto"/>
              <w:left w:val="nil"/>
              <w:bottom w:val="single" w:sz="4" w:space="0" w:color="auto"/>
              <w:right w:val="single" w:sz="4" w:space="0" w:color="auto"/>
            </w:tcBorders>
          </w:tcPr>
          <w:p w14:paraId="4212476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6E98DC12"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66AB9182"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1</w:t>
            </w:r>
            <w:r w:rsidRPr="00B12FE0">
              <w:rPr>
                <w:rFonts w:hint="eastAsia"/>
                <w:color w:val="000000" w:themeColor="text1"/>
                <w:sz w:val="21"/>
                <w:szCs w:val="21"/>
              </w:rPr>
              <w:t>#</w:t>
            </w:r>
          </w:p>
        </w:tc>
        <w:tc>
          <w:tcPr>
            <w:tcW w:w="4544" w:type="dxa"/>
            <w:tcBorders>
              <w:top w:val="single" w:sz="4" w:space="0" w:color="auto"/>
              <w:left w:val="single" w:sz="4" w:space="0" w:color="auto"/>
              <w:bottom w:val="single" w:sz="4" w:space="0" w:color="auto"/>
              <w:right w:val="single" w:sz="4" w:space="0" w:color="auto"/>
            </w:tcBorders>
          </w:tcPr>
          <w:p w14:paraId="5EFA134C"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东南侧门急诊楼</w:t>
            </w:r>
          </w:p>
        </w:tc>
        <w:tc>
          <w:tcPr>
            <w:tcW w:w="2704" w:type="dxa"/>
            <w:tcBorders>
              <w:top w:val="single" w:sz="4" w:space="0" w:color="auto"/>
              <w:left w:val="nil"/>
              <w:bottom w:val="single" w:sz="4" w:space="0" w:color="auto"/>
              <w:right w:val="single" w:sz="4" w:space="0" w:color="auto"/>
            </w:tcBorders>
          </w:tcPr>
          <w:p w14:paraId="3AC33A1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23F46316"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793F9C91"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2</w:t>
            </w:r>
            <w:r w:rsidRPr="00B12FE0">
              <w:rPr>
                <w:rFonts w:hint="eastAsia"/>
                <w:color w:val="000000" w:themeColor="text1"/>
                <w:sz w:val="21"/>
                <w:szCs w:val="21"/>
              </w:rPr>
              <w:t>#</w:t>
            </w:r>
          </w:p>
        </w:tc>
        <w:tc>
          <w:tcPr>
            <w:tcW w:w="4544" w:type="dxa"/>
            <w:tcBorders>
              <w:top w:val="single" w:sz="4" w:space="0" w:color="auto"/>
              <w:left w:val="single" w:sz="4" w:space="0" w:color="auto"/>
              <w:bottom w:val="single" w:sz="4" w:space="0" w:color="auto"/>
              <w:right w:val="single" w:sz="4" w:space="0" w:color="auto"/>
            </w:tcBorders>
          </w:tcPr>
          <w:p w14:paraId="18665499"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南侧院内道路</w:t>
            </w:r>
          </w:p>
        </w:tc>
        <w:tc>
          <w:tcPr>
            <w:tcW w:w="2704" w:type="dxa"/>
            <w:tcBorders>
              <w:top w:val="single" w:sz="4" w:space="0" w:color="auto"/>
              <w:left w:val="nil"/>
              <w:bottom w:val="single" w:sz="4" w:space="0" w:color="auto"/>
              <w:right w:val="single" w:sz="4" w:space="0" w:color="auto"/>
            </w:tcBorders>
          </w:tcPr>
          <w:p w14:paraId="28C8370B"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78EE016F"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7189FE68"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3</w:t>
            </w:r>
            <w:r w:rsidRPr="00B12FE0">
              <w:rPr>
                <w:rFonts w:hint="eastAsia"/>
                <w:color w:val="000000" w:themeColor="text1"/>
                <w:sz w:val="21"/>
                <w:szCs w:val="21"/>
              </w:rPr>
              <w:t>#</w:t>
            </w:r>
          </w:p>
        </w:tc>
        <w:tc>
          <w:tcPr>
            <w:tcW w:w="4544" w:type="dxa"/>
            <w:tcBorders>
              <w:top w:val="single" w:sz="4" w:space="0" w:color="auto"/>
              <w:left w:val="single" w:sz="4" w:space="0" w:color="auto"/>
              <w:bottom w:val="single" w:sz="4" w:space="0" w:color="auto"/>
              <w:right w:val="single" w:sz="4" w:space="0" w:color="auto"/>
            </w:tcBorders>
          </w:tcPr>
          <w:p w14:paraId="55F1DD8E" w14:textId="77777777" w:rsidR="00A67F21" w:rsidRPr="00B12FE0" w:rsidRDefault="00000000">
            <w:pPr>
              <w:pBdr>
                <w:top w:val="none" w:sz="0" w:space="1" w:color="auto"/>
                <w:left w:val="none" w:sz="0" w:space="4" w:color="auto"/>
                <w:bottom w:val="none" w:sz="0" w:space="1" w:color="auto"/>
                <w:right w:val="none" w:sz="0" w:space="4" w:color="auto"/>
              </w:pBdr>
              <w:jc w:val="center"/>
              <w:rPr>
                <w:color w:val="000000" w:themeColor="text1"/>
                <w:sz w:val="21"/>
                <w:szCs w:val="21"/>
              </w:rPr>
            </w:pPr>
            <w:r w:rsidRPr="00B12FE0">
              <w:rPr>
                <w:rFonts w:ascii="宋体" w:hAnsi="宋体"/>
                <w:color w:val="000000" w:themeColor="text1"/>
                <w:sz w:val="21"/>
                <w:szCs w:val="21"/>
              </w:rPr>
              <w:t>南侧</w:t>
            </w:r>
            <w:proofErr w:type="gramStart"/>
            <w:r w:rsidRPr="00B12FE0">
              <w:rPr>
                <w:rFonts w:ascii="宋体" w:hAnsi="宋体"/>
                <w:color w:val="000000" w:themeColor="text1"/>
                <w:sz w:val="21"/>
                <w:szCs w:val="21"/>
              </w:rPr>
              <w:t>后勤楼</w:t>
            </w:r>
            <w:proofErr w:type="gramEnd"/>
          </w:p>
        </w:tc>
        <w:tc>
          <w:tcPr>
            <w:tcW w:w="2704" w:type="dxa"/>
            <w:tcBorders>
              <w:top w:val="single" w:sz="4" w:space="0" w:color="auto"/>
              <w:left w:val="nil"/>
              <w:bottom w:val="single" w:sz="4" w:space="0" w:color="auto"/>
              <w:right w:val="single" w:sz="4" w:space="0" w:color="auto"/>
            </w:tcBorders>
          </w:tcPr>
          <w:p w14:paraId="3ACD8181"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341470FE"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5DB9FBC7"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4</w:t>
            </w:r>
            <w:r w:rsidRPr="00B12FE0">
              <w:rPr>
                <w:rFonts w:hint="eastAsia"/>
                <w:color w:val="000000" w:themeColor="text1"/>
                <w:sz w:val="21"/>
                <w:szCs w:val="21"/>
              </w:rPr>
              <w:t>#</w:t>
            </w:r>
          </w:p>
        </w:tc>
        <w:tc>
          <w:tcPr>
            <w:tcW w:w="4544" w:type="dxa"/>
            <w:tcBorders>
              <w:top w:val="single" w:sz="4" w:space="0" w:color="auto"/>
              <w:left w:val="single" w:sz="4" w:space="0" w:color="000000"/>
              <w:bottom w:val="single" w:sz="4" w:space="0" w:color="000000"/>
              <w:right w:val="single" w:sz="4" w:space="0" w:color="000000"/>
            </w:tcBorders>
          </w:tcPr>
          <w:p w14:paraId="42FCF642"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西侧规划道路</w:t>
            </w:r>
            <w:r w:rsidRPr="00B12FE0">
              <w:rPr>
                <w:color w:val="000000" w:themeColor="text1"/>
                <w:sz w:val="21"/>
                <w:szCs w:val="21"/>
              </w:rPr>
              <w:t>1</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7D800A34"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27DE16AF"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0F3F7CBE"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5</w:t>
            </w:r>
            <w:r w:rsidRPr="00B12FE0">
              <w:rPr>
                <w:rFonts w:hint="eastAsia"/>
                <w:color w:val="000000" w:themeColor="text1"/>
                <w:sz w:val="21"/>
                <w:szCs w:val="21"/>
              </w:rPr>
              <w:t>#</w:t>
            </w:r>
          </w:p>
        </w:tc>
        <w:tc>
          <w:tcPr>
            <w:tcW w:w="4544" w:type="dxa"/>
            <w:tcBorders>
              <w:top w:val="single" w:sz="4" w:space="0" w:color="000000"/>
              <w:left w:val="single" w:sz="4" w:space="0" w:color="000000"/>
              <w:bottom w:val="single" w:sz="4" w:space="0" w:color="000000"/>
              <w:right w:val="single" w:sz="4" w:space="0" w:color="000000"/>
            </w:tcBorders>
          </w:tcPr>
          <w:p w14:paraId="11A14EE8"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w:t>
            </w:r>
            <w:r w:rsidRPr="00B12FE0">
              <w:rPr>
                <w:rFonts w:ascii="宋体" w:hAnsi="宋体" w:hint="eastAsia"/>
                <w:color w:val="000000" w:themeColor="text1"/>
                <w:sz w:val="21"/>
                <w:szCs w:val="21"/>
              </w:rPr>
              <w:t>预留</w:t>
            </w:r>
            <w:r w:rsidRPr="00B12FE0">
              <w:rPr>
                <w:rFonts w:ascii="宋体" w:hAnsi="宋体"/>
                <w:color w:val="000000" w:themeColor="text1"/>
                <w:sz w:val="21"/>
                <w:szCs w:val="21"/>
              </w:rPr>
              <w:t>用地</w:t>
            </w:r>
            <w:r w:rsidRPr="00B12FE0">
              <w:rPr>
                <w:color w:val="000000" w:themeColor="text1"/>
                <w:sz w:val="21"/>
                <w:szCs w:val="21"/>
              </w:rPr>
              <w:t>1</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745CD180"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7E35FB00"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0E1902BB"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6</w:t>
            </w:r>
            <w:r w:rsidRPr="00B12FE0">
              <w:rPr>
                <w:rFonts w:hint="eastAsia"/>
                <w:color w:val="000000" w:themeColor="text1"/>
                <w:sz w:val="21"/>
                <w:szCs w:val="21"/>
              </w:rPr>
              <w:t>#</w:t>
            </w:r>
          </w:p>
        </w:tc>
        <w:tc>
          <w:tcPr>
            <w:tcW w:w="4544" w:type="dxa"/>
            <w:tcBorders>
              <w:top w:val="single" w:sz="4" w:space="0" w:color="000000"/>
              <w:left w:val="single" w:sz="4" w:space="0" w:color="000000"/>
              <w:bottom w:val="single" w:sz="4" w:space="0" w:color="000000"/>
              <w:right w:val="single" w:sz="4" w:space="0" w:color="000000"/>
            </w:tcBorders>
          </w:tcPr>
          <w:p w14:paraId="708A7A86"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西侧规划道路</w:t>
            </w:r>
            <w:r w:rsidRPr="00B12FE0">
              <w:rPr>
                <w:color w:val="000000" w:themeColor="text1"/>
                <w:sz w:val="21"/>
                <w:szCs w:val="21"/>
              </w:rPr>
              <w:t>2</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0B8B688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7C01A369"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77EB27C8"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7</w:t>
            </w:r>
            <w:r w:rsidRPr="00B12FE0">
              <w:rPr>
                <w:rFonts w:hint="eastAsia"/>
                <w:color w:val="000000" w:themeColor="text1"/>
                <w:sz w:val="21"/>
                <w:szCs w:val="21"/>
              </w:rPr>
              <w:t>#</w:t>
            </w:r>
          </w:p>
        </w:tc>
        <w:tc>
          <w:tcPr>
            <w:tcW w:w="4544" w:type="dxa"/>
            <w:tcBorders>
              <w:top w:val="single" w:sz="4" w:space="0" w:color="000000"/>
              <w:left w:val="single" w:sz="4" w:space="0" w:color="000000"/>
              <w:bottom w:val="single" w:sz="4" w:space="0" w:color="000000"/>
              <w:right w:val="single" w:sz="4" w:space="0" w:color="000000"/>
            </w:tcBorders>
          </w:tcPr>
          <w:p w14:paraId="13621C5E"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西侧</w:t>
            </w:r>
            <w:r w:rsidRPr="00B12FE0">
              <w:rPr>
                <w:rFonts w:ascii="宋体" w:hAnsi="宋体" w:hint="eastAsia"/>
                <w:color w:val="000000" w:themeColor="text1"/>
                <w:sz w:val="21"/>
                <w:szCs w:val="21"/>
              </w:rPr>
              <w:t>预留</w:t>
            </w:r>
            <w:r w:rsidRPr="00B12FE0">
              <w:rPr>
                <w:rFonts w:ascii="宋体" w:hAnsi="宋体"/>
                <w:color w:val="000000" w:themeColor="text1"/>
                <w:sz w:val="21"/>
                <w:szCs w:val="21"/>
              </w:rPr>
              <w:t>用地</w:t>
            </w:r>
            <w:r w:rsidRPr="00B12FE0">
              <w:rPr>
                <w:color w:val="000000" w:themeColor="text1"/>
                <w:sz w:val="21"/>
                <w:szCs w:val="21"/>
              </w:rPr>
              <w:t>2</w:t>
            </w:r>
            <w:r w:rsidRPr="00B12FE0">
              <w:rPr>
                <w:rFonts w:ascii="宋体" w:hAnsi="宋体"/>
                <w:color w:val="000000" w:themeColor="text1"/>
                <w:sz w:val="21"/>
                <w:szCs w:val="21"/>
              </w:rPr>
              <w:t>号点</w:t>
            </w:r>
          </w:p>
        </w:tc>
        <w:tc>
          <w:tcPr>
            <w:tcW w:w="2704" w:type="dxa"/>
            <w:tcBorders>
              <w:top w:val="single" w:sz="4" w:space="0" w:color="auto"/>
              <w:left w:val="nil"/>
              <w:bottom w:val="single" w:sz="4" w:space="0" w:color="auto"/>
              <w:right w:val="single" w:sz="4" w:space="0" w:color="auto"/>
            </w:tcBorders>
          </w:tcPr>
          <w:p w14:paraId="35E70D9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6168E614"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65E6E482"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18#</w:t>
            </w:r>
          </w:p>
        </w:tc>
        <w:tc>
          <w:tcPr>
            <w:tcW w:w="4544" w:type="dxa"/>
            <w:tcBorders>
              <w:top w:val="single" w:sz="4" w:space="0" w:color="000000"/>
              <w:left w:val="single" w:sz="4" w:space="0" w:color="000000"/>
              <w:bottom w:val="single" w:sz="4" w:space="0" w:color="000000"/>
              <w:right w:val="single" w:sz="4" w:space="0" w:color="000000"/>
            </w:tcBorders>
          </w:tcPr>
          <w:p w14:paraId="65D948AF"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北侧院内道路</w:t>
            </w:r>
          </w:p>
        </w:tc>
        <w:tc>
          <w:tcPr>
            <w:tcW w:w="2704" w:type="dxa"/>
            <w:tcBorders>
              <w:top w:val="single" w:sz="4" w:space="0" w:color="auto"/>
              <w:left w:val="nil"/>
              <w:bottom w:val="single" w:sz="4" w:space="0" w:color="auto"/>
              <w:right w:val="single" w:sz="4" w:space="0" w:color="auto"/>
            </w:tcBorders>
          </w:tcPr>
          <w:p w14:paraId="5BC64C45"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556F9C16"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104F8681"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19#</w:t>
            </w:r>
          </w:p>
        </w:tc>
        <w:tc>
          <w:tcPr>
            <w:tcW w:w="4544" w:type="dxa"/>
            <w:tcBorders>
              <w:top w:val="single" w:sz="4" w:space="0" w:color="000000"/>
              <w:left w:val="single" w:sz="4" w:space="0" w:color="000000"/>
              <w:bottom w:val="single" w:sz="4" w:space="0" w:color="000000"/>
              <w:right w:val="single" w:sz="4" w:space="0" w:color="000000"/>
            </w:tcBorders>
          </w:tcPr>
          <w:p w14:paraId="55E7B24B"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rFonts w:ascii="宋体" w:hAnsi="宋体"/>
                <w:color w:val="000000" w:themeColor="text1"/>
                <w:sz w:val="21"/>
                <w:szCs w:val="21"/>
              </w:rPr>
              <w:t>液氧站</w:t>
            </w:r>
          </w:p>
        </w:tc>
        <w:tc>
          <w:tcPr>
            <w:tcW w:w="2704" w:type="dxa"/>
            <w:tcBorders>
              <w:top w:val="single" w:sz="4" w:space="0" w:color="auto"/>
              <w:left w:val="nil"/>
              <w:bottom w:val="single" w:sz="4" w:space="0" w:color="auto"/>
              <w:right w:val="single" w:sz="4" w:space="0" w:color="auto"/>
            </w:tcBorders>
          </w:tcPr>
          <w:p w14:paraId="34AFC043"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6C6CFE66"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35C3D85A"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20#</w:t>
            </w:r>
          </w:p>
        </w:tc>
        <w:tc>
          <w:tcPr>
            <w:tcW w:w="4544" w:type="dxa"/>
            <w:tcBorders>
              <w:top w:val="single" w:sz="4" w:space="0" w:color="000000"/>
              <w:left w:val="single" w:sz="4" w:space="0" w:color="000000"/>
              <w:bottom w:val="single" w:sz="4" w:space="0" w:color="000000"/>
              <w:right w:val="single" w:sz="4" w:space="0" w:color="000000"/>
            </w:tcBorders>
          </w:tcPr>
          <w:p w14:paraId="354FBECD" w14:textId="77777777" w:rsidR="00A67F21" w:rsidRPr="00B12FE0" w:rsidRDefault="00000000">
            <w:pPr>
              <w:pBdr>
                <w:top w:val="none" w:sz="0" w:space="1" w:color="auto"/>
                <w:left w:val="none" w:sz="0" w:space="4" w:color="auto"/>
                <w:bottom w:val="none" w:sz="0" w:space="1" w:color="auto"/>
                <w:right w:val="none" w:sz="0" w:space="4" w:color="auto"/>
              </w:pBdr>
              <w:adjustRightInd w:val="0"/>
              <w:snapToGrid w:val="0"/>
              <w:jc w:val="center"/>
              <w:rPr>
                <w:color w:val="000000" w:themeColor="text1"/>
                <w:sz w:val="21"/>
                <w:szCs w:val="21"/>
              </w:rPr>
            </w:pPr>
            <w:r w:rsidRPr="00B12FE0">
              <w:rPr>
                <w:rFonts w:ascii="宋体" w:hAnsi="宋体"/>
                <w:color w:val="000000" w:themeColor="text1"/>
                <w:sz w:val="21"/>
                <w:szCs w:val="21"/>
              </w:rPr>
              <w:t>污水及垃圾站</w:t>
            </w:r>
          </w:p>
        </w:tc>
        <w:tc>
          <w:tcPr>
            <w:tcW w:w="2704" w:type="dxa"/>
            <w:tcBorders>
              <w:top w:val="single" w:sz="4" w:space="0" w:color="auto"/>
              <w:left w:val="nil"/>
              <w:bottom w:val="single" w:sz="4" w:space="0" w:color="auto"/>
              <w:right w:val="single" w:sz="4" w:space="0" w:color="auto"/>
            </w:tcBorders>
          </w:tcPr>
          <w:p w14:paraId="4F578A99"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1721B6F9" w14:textId="77777777">
        <w:trPr>
          <w:trHeight w:val="20"/>
          <w:jc w:val="center"/>
        </w:trPr>
        <w:tc>
          <w:tcPr>
            <w:tcW w:w="1589" w:type="dxa"/>
            <w:tcBorders>
              <w:top w:val="single" w:sz="4" w:space="0" w:color="auto"/>
              <w:left w:val="single" w:sz="4" w:space="0" w:color="auto"/>
              <w:bottom w:val="single" w:sz="4" w:space="0" w:color="auto"/>
              <w:right w:val="single" w:sz="4" w:space="0" w:color="auto"/>
            </w:tcBorders>
          </w:tcPr>
          <w:p w14:paraId="2C6881B2" w14:textId="77777777" w:rsidR="00A67F21" w:rsidRPr="00B12FE0" w:rsidRDefault="00000000">
            <w:pPr>
              <w:pBdr>
                <w:top w:val="none" w:sz="0" w:space="1" w:color="auto"/>
                <w:left w:val="none" w:sz="0" w:space="4" w:color="auto"/>
                <w:bottom w:val="none" w:sz="0" w:space="1" w:color="auto"/>
                <w:right w:val="none" w:sz="0" w:space="4" w:color="auto"/>
              </w:pBdr>
              <w:tabs>
                <w:tab w:val="left" w:pos="13020"/>
              </w:tabs>
              <w:jc w:val="center"/>
              <w:rPr>
                <w:color w:val="000000" w:themeColor="text1"/>
                <w:sz w:val="21"/>
                <w:szCs w:val="21"/>
              </w:rPr>
            </w:pPr>
            <w:r w:rsidRPr="00B12FE0">
              <w:rPr>
                <w:rFonts w:hint="eastAsia"/>
                <w:color w:val="000000" w:themeColor="text1"/>
                <w:sz w:val="21"/>
                <w:szCs w:val="21"/>
              </w:rPr>
              <w:t>21#</w:t>
            </w:r>
          </w:p>
        </w:tc>
        <w:tc>
          <w:tcPr>
            <w:tcW w:w="4544" w:type="dxa"/>
            <w:tcBorders>
              <w:top w:val="single" w:sz="4" w:space="0" w:color="000000"/>
              <w:left w:val="single" w:sz="4" w:space="0" w:color="000000"/>
              <w:bottom w:val="single" w:sz="4" w:space="0" w:color="000000"/>
              <w:right w:val="single" w:sz="4" w:space="0" w:color="000000"/>
            </w:tcBorders>
          </w:tcPr>
          <w:p w14:paraId="40446035" w14:textId="77777777" w:rsidR="00A67F21" w:rsidRPr="00B12FE0" w:rsidRDefault="00000000">
            <w:pPr>
              <w:widowControl/>
              <w:pBdr>
                <w:top w:val="none" w:sz="0" w:space="1" w:color="auto"/>
                <w:left w:val="none" w:sz="0" w:space="4" w:color="auto"/>
                <w:bottom w:val="none" w:sz="0" w:space="1" w:color="auto"/>
                <w:right w:val="none" w:sz="0" w:space="4" w:color="auto"/>
              </w:pBdr>
              <w:jc w:val="center"/>
              <w:textAlignment w:val="center"/>
              <w:rPr>
                <w:color w:val="000000" w:themeColor="text1"/>
                <w:sz w:val="21"/>
                <w:szCs w:val="21"/>
              </w:rPr>
            </w:pPr>
            <w:r w:rsidRPr="00B12FE0">
              <w:rPr>
                <w:rFonts w:ascii="宋体" w:hAnsi="宋体"/>
                <w:color w:val="000000" w:themeColor="text1"/>
                <w:sz w:val="21"/>
                <w:szCs w:val="21"/>
              </w:rPr>
              <w:t>东北侧住院楼</w:t>
            </w:r>
          </w:p>
        </w:tc>
        <w:tc>
          <w:tcPr>
            <w:tcW w:w="2704" w:type="dxa"/>
            <w:tcBorders>
              <w:top w:val="single" w:sz="4" w:space="0" w:color="auto"/>
              <w:left w:val="nil"/>
              <w:bottom w:val="single" w:sz="4" w:space="0" w:color="auto"/>
              <w:right w:val="single" w:sz="4" w:space="0" w:color="auto"/>
            </w:tcBorders>
          </w:tcPr>
          <w:p w14:paraId="1A2BA33A" w14:textId="77777777" w:rsidR="00A67F21" w:rsidRPr="00B12FE0" w:rsidRDefault="00000000">
            <w:pPr>
              <w:pBdr>
                <w:top w:val="none" w:sz="0" w:space="1" w:color="auto"/>
                <w:left w:val="none" w:sz="0" w:space="4" w:color="auto"/>
                <w:bottom w:val="none" w:sz="0" w:space="1" w:color="auto"/>
                <w:right w:val="none" w:sz="0" w:space="4" w:color="auto"/>
              </w:pBdr>
              <w:ind w:leftChars="33" w:left="79"/>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0.02</w:t>
            </w:r>
          </w:p>
        </w:tc>
      </w:tr>
      <w:tr w:rsidR="00A67F21" w:rsidRPr="00B12FE0" w14:paraId="06D94F8D" w14:textId="77777777">
        <w:trPr>
          <w:trHeight w:val="20"/>
          <w:jc w:val="center"/>
        </w:trPr>
        <w:tc>
          <w:tcPr>
            <w:tcW w:w="8837" w:type="dxa"/>
            <w:gridSpan w:val="3"/>
            <w:tcBorders>
              <w:top w:val="single" w:sz="4" w:space="0" w:color="auto"/>
              <w:left w:val="single" w:sz="4" w:space="0" w:color="auto"/>
              <w:bottom w:val="single" w:sz="4" w:space="0" w:color="auto"/>
              <w:right w:val="single" w:sz="4" w:space="0" w:color="auto"/>
            </w:tcBorders>
          </w:tcPr>
          <w:p w14:paraId="03752C34" w14:textId="77777777" w:rsidR="00A67F21" w:rsidRPr="00B12FE0" w:rsidRDefault="00000000">
            <w:pPr>
              <w:pStyle w:val="a5"/>
              <w:pBdr>
                <w:top w:val="none" w:sz="0" w:space="1" w:color="auto"/>
                <w:left w:val="none" w:sz="0" w:space="4" w:color="auto"/>
                <w:bottom w:val="none" w:sz="0" w:space="1" w:color="auto"/>
                <w:right w:val="none" w:sz="0" w:space="4" w:color="auto"/>
              </w:pBdr>
              <w:spacing w:after="0"/>
              <w:ind w:leftChars="0" w:left="0"/>
              <w:rPr>
                <w:color w:val="000000" w:themeColor="text1"/>
                <w:sz w:val="18"/>
                <w:szCs w:val="18"/>
              </w:rPr>
            </w:pPr>
            <w:r w:rsidRPr="00B12FE0">
              <w:rPr>
                <w:color w:val="000000" w:themeColor="text1"/>
                <w:sz w:val="18"/>
                <w:szCs w:val="18"/>
              </w:rPr>
              <w:t>注</w:t>
            </w:r>
            <w:r w:rsidRPr="00B12FE0">
              <w:rPr>
                <w:color w:val="000000" w:themeColor="text1"/>
                <w:sz w:val="18"/>
                <w:szCs w:val="18"/>
              </w:rPr>
              <w:t>1</w:t>
            </w:r>
            <w:r w:rsidRPr="00B12FE0">
              <w:rPr>
                <w:color w:val="000000" w:themeColor="text1"/>
                <w:sz w:val="18"/>
                <w:szCs w:val="18"/>
              </w:rPr>
              <w:t>：每个监测点测量</w:t>
            </w:r>
            <w:r w:rsidRPr="00B12FE0">
              <w:rPr>
                <w:color w:val="000000" w:themeColor="text1"/>
                <w:sz w:val="18"/>
                <w:szCs w:val="18"/>
              </w:rPr>
              <w:t xml:space="preserve"> 10 </w:t>
            </w:r>
            <w:proofErr w:type="gramStart"/>
            <w:r w:rsidRPr="00B12FE0">
              <w:rPr>
                <w:color w:val="000000" w:themeColor="text1"/>
                <w:sz w:val="18"/>
                <w:szCs w:val="18"/>
              </w:rPr>
              <w:t>个</w:t>
            </w:r>
            <w:proofErr w:type="gramEnd"/>
            <w:r w:rsidRPr="00B12FE0">
              <w:rPr>
                <w:color w:val="000000" w:themeColor="text1"/>
                <w:sz w:val="18"/>
                <w:szCs w:val="18"/>
              </w:rPr>
              <w:t>数据取平均值；</w:t>
            </w:r>
          </w:p>
          <w:p w14:paraId="412D6DC7" w14:textId="77777777" w:rsidR="00A67F21" w:rsidRPr="00B12FE0" w:rsidRDefault="00000000">
            <w:pPr>
              <w:pStyle w:val="a5"/>
              <w:pBdr>
                <w:top w:val="none" w:sz="0" w:space="1" w:color="auto"/>
                <w:left w:val="none" w:sz="0" w:space="4" w:color="auto"/>
                <w:bottom w:val="none" w:sz="0" w:space="1" w:color="auto"/>
                <w:right w:val="none" w:sz="0" w:space="4" w:color="auto"/>
              </w:pBdr>
              <w:spacing w:after="0"/>
              <w:ind w:leftChars="0" w:left="0" w:firstLineChars="100" w:firstLine="180"/>
              <w:rPr>
                <w:color w:val="000000" w:themeColor="text1"/>
                <w:sz w:val="18"/>
                <w:szCs w:val="18"/>
              </w:rPr>
            </w:pPr>
            <w:r w:rsidRPr="00B12FE0">
              <w:rPr>
                <w:color w:val="000000" w:themeColor="text1"/>
                <w:sz w:val="18"/>
                <w:szCs w:val="18"/>
              </w:rPr>
              <w:t>2</w:t>
            </w:r>
            <w:r w:rsidRPr="00B12FE0">
              <w:rPr>
                <w:color w:val="000000" w:themeColor="text1"/>
                <w:sz w:val="18"/>
                <w:szCs w:val="18"/>
              </w:rPr>
              <w:t>：</w:t>
            </w:r>
            <w:r w:rsidRPr="00B12FE0">
              <w:rPr>
                <w:color w:val="000000" w:themeColor="text1"/>
                <w:sz w:val="18"/>
                <w:szCs w:val="18"/>
              </w:rPr>
              <w:t xml:space="preserve">FH40G L-10+FHZ672 </w:t>
            </w:r>
            <w:r w:rsidRPr="00B12FE0">
              <w:rPr>
                <w:color w:val="000000" w:themeColor="text1"/>
                <w:sz w:val="18"/>
                <w:szCs w:val="18"/>
              </w:rPr>
              <w:t>型中子剂量当量仪的探测下限为</w:t>
            </w:r>
            <w:r w:rsidRPr="00B12FE0">
              <w:rPr>
                <w:color w:val="000000" w:themeColor="text1"/>
                <w:sz w:val="18"/>
                <w:szCs w:val="18"/>
              </w:rPr>
              <w:t xml:space="preserve"> 0.02μSv/h</w:t>
            </w:r>
            <w:r w:rsidRPr="00B12FE0">
              <w:rPr>
                <w:color w:val="000000" w:themeColor="text1"/>
                <w:sz w:val="18"/>
                <w:szCs w:val="18"/>
              </w:rPr>
              <w:t>。</w:t>
            </w:r>
          </w:p>
        </w:tc>
      </w:tr>
    </w:tbl>
    <w:p w14:paraId="59CD890C" w14:textId="77777777" w:rsidR="00A67F21" w:rsidRPr="00B12FE0" w:rsidRDefault="00000000">
      <w:pPr>
        <w:pStyle w:val="TableParagraph"/>
        <w:pBdr>
          <w:top w:val="none" w:sz="0" w:space="1" w:color="auto"/>
          <w:left w:val="none" w:sz="0" w:space="4" w:color="auto"/>
          <w:bottom w:val="none" w:sz="0" w:space="1" w:color="auto"/>
          <w:right w:val="none" w:sz="0" w:space="4" w:color="auto"/>
        </w:pBdr>
        <w:autoSpaceDE/>
        <w:autoSpaceDN/>
        <w:spacing w:beforeLines="50" w:before="120" w:line="360" w:lineRule="auto"/>
        <w:outlineLvl w:val="1"/>
        <w:rPr>
          <w:b/>
          <w:bCs/>
          <w:color w:val="000000" w:themeColor="text1"/>
          <w:spacing w:val="1"/>
          <w:sz w:val="28"/>
          <w:szCs w:val="28"/>
        </w:rPr>
      </w:pPr>
      <w:r w:rsidRPr="00B12FE0">
        <w:rPr>
          <w:b/>
          <w:bCs/>
          <w:color w:val="000000" w:themeColor="text1"/>
          <w:spacing w:val="1"/>
          <w:sz w:val="28"/>
          <w:szCs w:val="28"/>
        </w:rPr>
        <w:t>8.5</w:t>
      </w:r>
      <w:r w:rsidRPr="00B12FE0">
        <w:rPr>
          <w:rFonts w:hint="eastAsia"/>
          <w:b/>
          <w:bCs/>
          <w:color w:val="000000" w:themeColor="text1"/>
          <w:spacing w:val="1"/>
          <w:sz w:val="28"/>
          <w:szCs w:val="28"/>
        </w:rPr>
        <w:t>对环境现状调查结果的评价</w:t>
      </w:r>
    </w:p>
    <w:p w14:paraId="3D0F6D5F" w14:textId="77777777" w:rsidR="00A67F21" w:rsidRPr="00B12FE0" w:rsidRDefault="00000000">
      <w:pPr>
        <w:pStyle w:val="TableParagraph"/>
        <w:pBdr>
          <w:top w:val="none" w:sz="0" w:space="1" w:color="auto"/>
          <w:left w:val="none" w:sz="0" w:space="4" w:color="auto"/>
          <w:bottom w:val="none" w:sz="0" w:space="1" w:color="auto"/>
          <w:right w:val="none" w:sz="0" w:space="4" w:color="auto"/>
        </w:pBdr>
        <w:autoSpaceDE/>
        <w:autoSpaceDN/>
        <w:spacing w:line="360" w:lineRule="auto"/>
        <w:ind w:firstLineChars="200" w:firstLine="480"/>
        <w:jc w:val="both"/>
        <w:rPr>
          <w:color w:val="000000" w:themeColor="text1"/>
        </w:rPr>
      </w:pPr>
      <w:r w:rsidRPr="00B12FE0">
        <w:rPr>
          <w:color w:val="000000" w:themeColor="text1"/>
        </w:rPr>
        <w:t>根据表</w:t>
      </w:r>
      <w:r w:rsidRPr="00B12FE0">
        <w:rPr>
          <w:color w:val="000000" w:themeColor="text1"/>
        </w:rPr>
        <w:t>8.4</w:t>
      </w:r>
      <w:r w:rsidRPr="00B12FE0">
        <w:rPr>
          <w:rFonts w:hint="eastAsia"/>
          <w:color w:val="000000" w:themeColor="text1"/>
        </w:rPr>
        <w:t>.3-1</w:t>
      </w:r>
      <w:r w:rsidRPr="00B12FE0">
        <w:rPr>
          <w:color w:val="000000" w:themeColor="text1"/>
        </w:rPr>
        <w:t>可知，本项目拟建场址</w:t>
      </w:r>
      <w:r w:rsidRPr="00B12FE0">
        <w:rPr>
          <w:rFonts w:hint="eastAsia"/>
          <w:color w:val="000000" w:themeColor="text1"/>
        </w:rPr>
        <w:t>及周边</w:t>
      </w:r>
      <w:proofErr w:type="gramStart"/>
      <w:r w:rsidRPr="00B12FE0">
        <w:rPr>
          <w:rFonts w:hint="eastAsia"/>
          <w:color w:val="000000" w:themeColor="text1"/>
        </w:rPr>
        <w:t>室内点</w:t>
      </w:r>
      <w:proofErr w:type="gramEnd"/>
      <w:r w:rsidRPr="00B12FE0">
        <w:rPr>
          <w:rFonts w:hint="eastAsia"/>
          <w:color w:val="000000" w:themeColor="text1"/>
        </w:rPr>
        <w:t>位</w:t>
      </w:r>
      <w:r w:rsidRPr="00B12FE0">
        <w:rPr>
          <w:color w:val="000000" w:themeColor="text1"/>
        </w:rPr>
        <w:t>γ</w:t>
      </w:r>
      <w:r w:rsidRPr="00B12FE0">
        <w:rPr>
          <w:color w:val="000000" w:themeColor="text1"/>
        </w:rPr>
        <w:t>辐射剂量率</w:t>
      </w:r>
      <w:r w:rsidRPr="00B12FE0">
        <w:rPr>
          <w:rFonts w:hint="eastAsia"/>
          <w:color w:val="000000" w:themeColor="text1"/>
        </w:rPr>
        <w:t>处于</w:t>
      </w:r>
      <w:r w:rsidRPr="00B12FE0">
        <w:rPr>
          <w:rFonts w:hint="eastAsia"/>
          <w:color w:val="000000" w:themeColor="text1"/>
        </w:rPr>
        <w:t>98nGy</w:t>
      </w:r>
      <w:r w:rsidRPr="00B12FE0">
        <w:rPr>
          <w:color w:val="000000" w:themeColor="text1"/>
        </w:rPr>
        <w:t>/</w:t>
      </w:r>
      <w:r w:rsidRPr="00B12FE0">
        <w:rPr>
          <w:rFonts w:hint="eastAsia"/>
          <w:color w:val="000000" w:themeColor="text1"/>
        </w:rPr>
        <w:t>h</w:t>
      </w:r>
      <w:r w:rsidRPr="00B12FE0">
        <w:rPr>
          <w:color w:val="000000" w:themeColor="text1"/>
        </w:rPr>
        <w:t>~</w:t>
      </w:r>
      <w:r w:rsidRPr="00B12FE0">
        <w:rPr>
          <w:rFonts w:hint="eastAsia"/>
          <w:color w:val="000000" w:themeColor="text1"/>
        </w:rPr>
        <w:t>108nGy</w:t>
      </w:r>
      <w:r w:rsidRPr="00B12FE0">
        <w:rPr>
          <w:rFonts w:hint="eastAsia"/>
          <w:color w:val="000000" w:themeColor="text1"/>
        </w:rPr>
        <w:t>即</w:t>
      </w:r>
      <w:r w:rsidRPr="00B12FE0">
        <w:rPr>
          <w:rFonts w:hint="eastAsia"/>
          <w:color w:val="000000" w:themeColor="text1"/>
        </w:rPr>
        <w:t>9.8</w:t>
      </w:r>
      <w:r w:rsidRPr="00B12FE0">
        <w:rPr>
          <w:color w:val="000000" w:themeColor="text1"/>
        </w:rPr>
        <w:t>×10</w:t>
      </w:r>
      <w:r w:rsidRPr="00B12FE0">
        <w:rPr>
          <w:color w:val="000000" w:themeColor="text1"/>
          <w:vertAlign w:val="superscript"/>
        </w:rPr>
        <w:t>-8</w:t>
      </w:r>
      <w:r w:rsidRPr="00B12FE0">
        <w:rPr>
          <w:color w:val="000000" w:themeColor="text1"/>
        </w:rPr>
        <w:t>Gy/h~</w:t>
      </w:r>
      <w:r w:rsidRPr="00B12FE0">
        <w:rPr>
          <w:rFonts w:hint="eastAsia"/>
          <w:color w:val="000000" w:themeColor="text1"/>
        </w:rPr>
        <w:t>10.8</w:t>
      </w:r>
      <w:r w:rsidRPr="00B12FE0">
        <w:rPr>
          <w:color w:val="000000" w:themeColor="text1"/>
        </w:rPr>
        <w:t>×10</w:t>
      </w:r>
      <w:r w:rsidRPr="00B12FE0">
        <w:rPr>
          <w:color w:val="000000" w:themeColor="text1"/>
          <w:vertAlign w:val="superscript"/>
        </w:rPr>
        <w:t>-8</w:t>
      </w:r>
      <w:r w:rsidRPr="00B12FE0">
        <w:rPr>
          <w:color w:val="000000" w:themeColor="text1"/>
        </w:rPr>
        <w:t>Gy/h</w:t>
      </w:r>
      <w:r w:rsidRPr="00B12FE0">
        <w:rPr>
          <w:rFonts w:hint="eastAsia"/>
          <w:color w:val="000000" w:themeColor="text1"/>
        </w:rPr>
        <w:t>，室外道路点位</w:t>
      </w:r>
      <w:r w:rsidRPr="00B12FE0">
        <w:rPr>
          <w:color w:val="000000" w:themeColor="text1"/>
        </w:rPr>
        <w:t>γ</w:t>
      </w:r>
      <w:r w:rsidRPr="00B12FE0">
        <w:rPr>
          <w:color w:val="000000" w:themeColor="text1"/>
        </w:rPr>
        <w:t>辐射剂量率</w:t>
      </w:r>
      <w:r w:rsidRPr="00B12FE0">
        <w:rPr>
          <w:rFonts w:hint="eastAsia"/>
          <w:color w:val="000000" w:themeColor="text1"/>
        </w:rPr>
        <w:t>处于</w:t>
      </w:r>
      <w:r w:rsidRPr="00B12FE0">
        <w:rPr>
          <w:rFonts w:hint="eastAsia"/>
          <w:color w:val="000000" w:themeColor="text1"/>
        </w:rPr>
        <w:t>65nGy</w:t>
      </w:r>
      <w:r w:rsidRPr="00B12FE0">
        <w:rPr>
          <w:color w:val="000000" w:themeColor="text1"/>
        </w:rPr>
        <w:t>/</w:t>
      </w:r>
      <w:r w:rsidRPr="00B12FE0">
        <w:rPr>
          <w:rFonts w:hint="eastAsia"/>
          <w:color w:val="000000" w:themeColor="text1"/>
        </w:rPr>
        <w:t>h</w:t>
      </w:r>
      <w:r w:rsidRPr="00B12FE0">
        <w:rPr>
          <w:color w:val="000000" w:themeColor="text1"/>
        </w:rPr>
        <w:t>~</w:t>
      </w:r>
      <w:r w:rsidRPr="00B12FE0">
        <w:rPr>
          <w:rFonts w:hint="eastAsia"/>
          <w:color w:val="000000" w:themeColor="text1"/>
        </w:rPr>
        <w:t>90nGy</w:t>
      </w:r>
      <w:r w:rsidRPr="00B12FE0">
        <w:rPr>
          <w:rFonts w:hint="eastAsia"/>
          <w:color w:val="000000" w:themeColor="text1"/>
        </w:rPr>
        <w:t>即</w:t>
      </w:r>
      <w:r w:rsidRPr="00B12FE0">
        <w:rPr>
          <w:rFonts w:hint="eastAsia"/>
          <w:color w:val="000000" w:themeColor="text1"/>
        </w:rPr>
        <w:t>6.5</w:t>
      </w:r>
      <w:r w:rsidRPr="00B12FE0">
        <w:rPr>
          <w:color w:val="000000" w:themeColor="text1"/>
        </w:rPr>
        <w:t>×10</w:t>
      </w:r>
      <w:r w:rsidRPr="00B12FE0">
        <w:rPr>
          <w:color w:val="000000" w:themeColor="text1"/>
          <w:vertAlign w:val="superscript"/>
        </w:rPr>
        <w:t>-8</w:t>
      </w:r>
      <w:r w:rsidRPr="00B12FE0">
        <w:rPr>
          <w:color w:val="000000" w:themeColor="text1"/>
        </w:rPr>
        <w:t>Gy/h~</w:t>
      </w:r>
      <w:r w:rsidRPr="00B12FE0">
        <w:rPr>
          <w:rFonts w:hint="eastAsia"/>
          <w:color w:val="000000" w:themeColor="text1"/>
        </w:rPr>
        <w:t>9.0</w:t>
      </w:r>
      <w:r w:rsidRPr="00B12FE0">
        <w:rPr>
          <w:color w:val="000000" w:themeColor="text1"/>
        </w:rPr>
        <w:t>×10</w:t>
      </w:r>
      <w:r w:rsidRPr="00B12FE0">
        <w:rPr>
          <w:color w:val="000000" w:themeColor="text1"/>
          <w:vertAlign w:val="superscript"/>
        </w:rPr>
        <w:t>-8</w:t>
      </w:r>
      <w:r w:rsidRPr="00B12FE0">
        <w:rPr>
          <w:color w:val="000000" w:themeColor="text1"/>
        </w:rPr>
        <w:t>Gy/h</w:t>
      </w:r>
      <w:r w:rsidRPr="00B12FE0">
        <w:rPr>
          <w:rFonts w:hint="eastAsia"/>
          <w:color w:val="000000" w:themeColor="text1"/>
        </w:rPr>
        <w:t>。</w:t>
      </w:r>
    </w:p>
    <w:p w14:paraId="13E3B174" w14:textId="77777777" w:rsidR="00A67F21" w:rsidRPr="00B12FE0" w:rsidRDefault="00000000">
      <w:pPr>
        <w:spacing w:line="360" w:lineRule="auto"/>
        <w:ind w:firstLineChars="200" w:firstLine="480"/>
        <w:rPr>
          <w:rFonts w:ascii="宋体" w:hAnsi="宋体" w:hint="eastAsia"/>
          <w:color w:val="000000" w:themeColor="text1"/>
          <w:szCs w:val="24"/>
        </w:rPr>
      </w:pPr>
      <w:r w:rsidRPr="00B12FE0">
        <w:rPr>
          <w:rFonts w:ascii="宋体" w:hAnsi="宋体"/>
          <w:color w:val="000000" w:themeColor="text1"/>
          <w:szCs w:val="24"/>
        </w:rPr>
        <w:t>由</w:t>
      </w:r>
      <w:r w:rsidRPr="00B12FE0">
        <w:rPr>
          <w:rFonts w:ascii="宋体" w:hAnsi="宋体" w:hint="eastAsia"/>
          <w:color w:val="000000" w:themeColor="text1"/>
          <w:szCs w:val="24"/>
        </w:rPr>
        <w:t>新疆</w:t>
      </w:r>
      <w:r w:rsidRPr="00B12FE0">
        <w:rPr>
          <w:rFonts w:ascii="宋体" w:hAnsi="宋体"/>
          <w:color w:val="000000" w:themeColor="text1"/>
          <w:szCs w:val="24"/>
        </w:rPr>
        <w:t>环境天然</w:t>
      </w:r>
      <w:r w:rsidRPr="00B12FE0">
        <w:rPr>
          <w:rFonts w:ascii="宋体" w:hAnsi="宋体" w:hint="eastAsia"/>
          <w:color w:val="000000" w:themeColor="text1"/>
          <w:szCs w:val="24"/>
        </w:rPr>
        <w:t>贯穿辐射水平</w:t>
      </w:r>
      <w:r w:rsidRPr="00B12FE0">
        <w:rPr>
          <w:rFonts w:ascii="宋体" w:hAnsi="宋体"/>
          <w:color w:val="000000" w:themeColor="text1"/>
          <w:szCs w:val="24"/>
        </w:rPr>
        <w:t>调查</w:t>
      </w:r>
      <w:r w:rsidRPr="00B12FE0">
        <w:rPr>
          <w:rFonts w:ascii="宋体" w:hAnsi="宋体" w:hint="eastAsia"/>
          <w:color w:val="000000" w:themeColor="text1"/>
          <w:szCs w:val="24"/>
        </w:rPr>
        <w:t>研究</w:t>
      </w:r>
      <w:r w:rsidRPr="00B12FE0">
        <w:rPr>
          <w:rFonts w:ascii="宋体" w:hAnsi="宋体"/>
          <w:color w:val="000000" w:themeColor="text1"/>
          <w:szCs w:val="24"/>
        </w:rPr>
        <w:t>结果可知，</w:t>
      </w:r>
      <w:r w:rsidRPr="00B12FE0">
        <w:rPr>
          <w:rFonts w:ascii="宋体" w:hAnsi="宋体" w:hint="eastAsia"/>
          <w:color w:val="000000" w:themeColor="text1"/>
          <w:szCs w:val="24"/>
        </w:rPr>
        <w:t>阿克苏地区</w:t>
      </w:r>
      <w:proofErr w:type="gramStart"/>
      <w:r w:rsidRPr="00B12FE0">
        <w:rPr>
          <w:rFonts w:ascii="宋体" w:hAnsi="宋体" w:hint="eastAsia"/>
          <w:color w:val="000000" w:themeColor="text1"/>
          <w:szCs w:val="24"/>
        </w:rPr>
        <w:t>室内</w:t>
      </w:r>
      <w:r w:rsidRPr="00B12FE0">
        <w:rPr>
          <w:bCs/>
          <w:color w:val="000000" w:themeColor="text1"/>
          <w:szCs w:val="24"/>
        </w:rPr>
        <w:t>γ</w:t>
      </w:r>
      <w:proofErr w:type="gramEnd"/>
      <w:r w:rsidRPr="00B12FE0">
        <w:rPr>
          <w:rFonts w:ascii="宋体" w:hAnsi="宋体"/>
          <w:color w:val="000000" w:themeColor="text1"/>
          <w:kern w:val="0"/>
          <w:szCs w:val="24"/>
        </w:rPr>
        <w:t>辐射剂量率在</w:t>
      </w:r>
      <w:r w:rsidRPr="00B12FE0">
        <w:rPr>
          <w:rFonts w:hint="eastAsia"/>
          <w:color w:val="000000" w:themeColor="text1"/>
          <w:szCs w:val="24"/>
        </w:rPr>
        <w:t>5.06</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Gy/h ~</w:t>
      </w:r>
      <w:r w:rsidRPr="00B12FE0">
        <w:rPr>
          <w:rFonts w:hint="eastAsia"/>
          <w:color w:val="000000" w:themeColor="text1"/>
          <w:szCs w:val="24"/>
        </w:rPr>
        <w:t>18.73</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Gy/h</w:t>
      </w:r>
      <w:r w:rsidRPr="00B12FE0">
        <w:rPr>
          <w:rFonts w:ascii="宋体" w:hAnsi="宋体"/>
          <w:color w:val="000000" w:themeColor="text1"/>
          <w:kern w:val="0"/>
          <w:szCs w:val="24"/>
        </w:rPr>
        <w:t>之间；道路</w:t>
      </w:r>
      <w:r w:rsidRPr="00B12FE0">
        <w:rPr>
          <w:bCs/>
          <w:color w:val="000000" w:themeColor="text1"/>
          <w:szCs w:val="24"/>
        </w:rPr>
        <w:t>γ</w:t>
      </w:r>
      <w:r w:rsidRPr="00B12FE0">
        <w:rPr>
          <w:rFonts w:ascii="宋体" w:hAnsi="宋体"/>
          <w:color w:val="000000" w:themeColor="text1"/>
          <w:kern w:val="0"/>
          <w:szCs w:val="24"/>
        </w:rPr>
        <w:t>辐射剂量率在</w:t>
      </w:r>
      <w:r w:rsidRPr="00B12FE0">
        <w:rPr>
          <w:color w:val="000000" w:themeColor="text1"/>
          <w:szCs w:val="24"/>
        </w:rPr>
        <w:t>1.</w:t>
      </w:r>
      <w:r w:rsidRPr="00B12FE0">
        <w:rPr>
          <w:rFonts w:hint="eastAsia"/>
          <w:color w:val="000000" w:themeColor="text1"/>
          <w:szCs w:val="24"/>
        </w:rPr>
        <w:t>02</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Gy/h ~</w:t>
      </w:r>
      <w:r w:rsidRPr="00B12FE0">
        <w:rPr>
          <w:rFonts w:hint="eastAsia"/>
          <w:color w:val="000000" w:themeColor="text1"/>
          <w:szCs w:val="24"/>
        </w:rPr>
        <w:t>9.88</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Gy/h</w:t>
      </w:r>
      <w:r w:rsidRPr="00B12FE0">
        <w:rPr>
          <w:rFonts w:ascii="宋体" w:hAnsi="宋体"/>
          <w:color w:val="000000" w:themeColor="text1"/>
          <w:kern w:val="0"/>
          <w:szCs w:val="24"/>
        </w:rPr>
        <w:t>之间</w:t>
      </w:r>
      <w:r w:rsidRPr="00B12FE0">
        <w:rPr>
          <w:rFonts w:ascii="宋体" w:hAnsi="宋体" w:hint="eastAsia"/>
          <w:color w:val="000000" w:themeColor="text1"/>
          <w:szCs w:val="24"/>
        </w:rPr>
        <w:t>。</w:t>
      </w:r>
      <w:r w:rsidRPr="00B12FE0">
        <w:rPr>
          <w:rFonts w:ascii="宋体" w:hAnsi="宋体"/>
          <w:color w:val="000000" w:themeColor="text1"/>
          <w:szCs w:val="24"/>
        </w:rPr>
        <w:t>可见本项目拟建辐射工作场所及周围</w:t>
      </w:r>
      <w:r w:rsidRPr="00B12FE0">
        <w:rPr>
          <w:color w:val="000000" w:themeColor="text1"/>
          <w:szCs w:val="24"/>
        </w:rPr>
        <w:t>X-γ</w:t>
      </w:r>
      <w:r w:rsidRPr="00B12FE0">
        <w:rPr>
          <w:rFonts w:ascii="宋体" w:hAnsi="宋体"/>
          <w:color w:val="000000" w:themeColor="text1"/>
          <w:szCs w:val="24"/>
        </w:rPr>
        <w:t>辐射剂量率基本处于当地本底水平范围之内。</w:t>
      </w:r>
    </w:p>
    <w:p w14:paraId="211B5DC0"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rPr>
        <w:t>根据表</w:t>
      </w:r>
      <w:r w:rsidRPr="00B12FE0">
        <w:rPr>
          <w:color w:val="000000" w:themeColor="text1"/>
        </w:rPr>
        <w:t>8.4</w:t>
      </w:r>
      <w:r w:rsidRPr="00B12FE0">
        <w:rPr>
          <w:rFonts w:hint="eastAsia"/>
          <w:color w:val="000000" w:themeColor="text1"/>
        </w:rPr>
        <w:t>.3-2</w:t>
      </w:r>
      <w:r w:rsidRPr="00B12FE0">
        <w:rPr>
          <w:rFonts w:hint="eastAsia"/>
          <w:color w:val="000000" w:themeColor="text1"/>
        </w:rPr>
        <w:t>、</w:t>
      </w:r>
      <w:r w:rsidRPr="00B12FE0">
        <w:rPr>
          <w:color w:val="000000" w:themeColor="text1"/>
        </w:rPr>
        <w:t>8.4</w:t>
      </w:r>
      <w:r w:rsidRPr="00B12FE0">
        <w:rPr>
          <w:rFonts w:hint="eastAsia"/>
          <w:color w:val="000000" w:themeColor="text1"/>
        </w:rPr>
        <w:t>.3-3</w:t>
      </w:r>
      <w:r w:rsidRPr="00B12FE0">
        <w:rPr>
          <w:color w:val="000000" w:themeColor="text1"/>
        </w:rPr>
        <w:t>可知，</w:t>
      </w:r>
      <w:r w:rsidRPr="00B12FE0">
        <w:rPr>
          <w:rFonts w:ascii="宋体" w:hAnsi="宋体"/>
          <w:color w:val="000000" w:themeColor="text1"/>
          <w:szCs w:val="24"/>
        </w:rPr>
        <w:t>本项目拟建场地</w:t>
      </w:r>
      <w:r w:rsidRPr="00B12FE0">
        <w:rPr>
          <w:color w:val="000000" w:themeColor="text1"/>
          <w:szCs w:val="24"/>
        </w:rPr>
        <w:t>β</w:t>
      </w:r>
      <w:r w:rsidRPr="00B12FE0">
        <w:rPr>
          <w:rFonts w:ascii="宋体" w:hAnsi="宋体"/>
          <w:color w:val="000000" w:themeColor="text1"/>
          <w:szCs w:val="24"/>
        </w:rPr>
        <w:t>表面污染和中子剂量当量率监测结果未见异常</w:t>
      </w:r>
      <w:r w:rsidRPr="00B12FE0">
        <w:rPr>
          <w:color w:val="000000" w:themeColor="text1"/>
        </w:rPr>
        <w:t>。</w:t>
      </w:r>
    </w:p>
    <w:p w14:paraId="31E8417A" w14:textId="77777777" w:rsidR="00A67F21" w:rsidRPr="00B12FE0" w:rsidRDefault="00A67F21">
      <w:pPr>
        <w:pStyle w:val="aff"/>
        <w:rPr>
          <w:color w:val="000000" w:themeColor="text1"/>
        </w:rPr>
        <w:sectPr w:rsidR="00A67F21" w:rsidRPr="00B12FE0">
          <w:pgSz w:w="11907" w:h="16840"/>
          <w:pgMar w:top="1440" w:right="1440" w:bottom="1440" w:left="1440" w:header="851" w:footer="850" w:gutter="0"/>
          <w:pgBorders w:display="notFirstPage">
            <w:top w:val="single" w:sz="4" w:space="1" w:color="auto"/>
            <w:left w:val="single" w:sz="4" w:space="4" w:color="auto"/>
            <w:bottom w:val="single" w:sz="4" w:space="1" w:color="auto"/>
            <w:right w:val="single" w:sz="4" w:space="4" w:color="auto"/>
          </w:pgBorders>
          <w:cols w:space="720"/>
          <w:docGrid w:linePitch="332"/>
        </w:sectPr>
      </w:pPr>
    </w:p>
    <w:bookmarkStart w:id="14" w:name="_Toc16163"/>
    <w:p w14:paraId="3624BE09" w14:textId="77777777" w:rsidR="00A67F21" w:rsidRPr="00B12FE0" w:rsidRDefault="00000000">
      <w:pPr>
        <w:spacing w:line="360" w:lineRule="auto"/>
        <w:outlineLvl w:val="0"/>
        <w:rPr>
          <w:b/>
          <w:color w:val="000000" w:themeColor="text1"/>
          <w:sz w:val="32"/>
          <w:szCs w:val="32"/>
        </w:rPr>
      </w:pPr>
      <w:r w:rsidRPr="00B12FE0">
        <w:rPr>
          <w:noProof/>
          <w:color w:val="000000" w:themeColor="text1"/>
          <w:sz w:val="32"/>
        </w:rPr>
        <w:lastRenderedPageBreak/>
        <mc:AlternateContent>
          <mc:Choice Requires="wps">
            <w:drawing>
              <wp:anchor distT="0" distB="0" distL="114300" distR="114300" simplePos="0" relativeHeight="251664384" behindDoc="0" locked="0" layoutInCell="1" allowOverlap="1" wp14:anchorId="5BD077BB" wp14:editId="678E197F">
                <wp:simplePos x="0" y="0"/>
                <wp:positionH relativeFrom="column">
                  <wp:posOffset>-57785</wp:posOffset>
                </wp:positionH>
                <wp:positionV relativeFrom="paragraph">
                  <wp:posOffset>344170</wp:posOffset>
                </wp:positionV>
                <wp:extent cx="5862955" cy="8489315"/>
                <wp:effectExtent l="4445" t="4445" r="19050" b="21590"/>
                <wp:wrapNone/>
                <wp:docPr id="26" name="矩形 26"/>
                <wp:cNvGraphicFramePr/>
                <a:graphic xmlns:a="http://schemas.openxmlformats.org/drawingml/2006/main">
                  <a:graphicData uri="http://schemas.microsoft.com/office/word/2010/wordprocessingShape">
                    <wps:wsp>
                      <wps:cNvSpPr/>
                      <wps:spPr>
                        <a:xfrm>
                          <a:off x="829945" y="1258570"/>
                          <a:ext cx="5862955" cy="848931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55pt;margin-top:27.1pt;height:668.45pt;width:461.65pt;z-index:251664384;v-text-anchor:middle;mso-width-relative:page;mso-height-relative:page;" filled="f" stroked="t" coordsize="21600,21600" o:gfxdata="UEsDBAoAAAAAAIdO4kAAAAAAAAAAAAAAAAAEAAAAZHJzL1BLAwQUAAAACACHTuJAhK4YQdcAAAAK&#10;AQAADwAAAGRycy9kb3ducmV2LnhtbE2Py27CMBBF95X4B2uQugPH6YMmxEECqVVXSEA/wMTTJCIe&#10;R7EDtF/fYVV2M7pHd84Uq6vrxBmH0HrSoOYJCKTK25ZqDV+H99kbiBANWdN5Qg0/GGBVTh4Kk1t/&#10;oR2e97EWXEIhNxqaGPtcylA16EyY+x6Js28/OBN5HWppB3PhctfJNElepTMt8YXG9LhpsDrtR6fB&#10;bX9bexgXuI2f/mNh15nbpVbrx6lKliAiXuM/DDd9VoeSnY5+JBtEp2GWKSY1vDynIDjP1G04MviU&#10;KQWyLOT9C+UfUEsDBBQAAAAIAIdO4kAInx53agIAAMEEAAAOAAAAZHJzL2Uyb0RvYy54bWytVM1u&#10;EzEQviPxDpbvdJNtNk2ibqqoURFSRSsVxNnx2llL/mPsZFNeBokbD8HjIF6DsXfblMKhB3JwZjzj&#10;+fnmmz2/OBhN9gKCcram45MRJcJy1yi7renHD1dvZpSEyGzDtLOipvci0Ivl61fnnV+I0rVONwII&#10;BrFh0fmatjH6RVEE3grDwonzwqJROjAsogrbogHWYXSji3I0mhadg8aD4yIEvF33RjpEhJcEdFIq&#10;LtaO74ywsY8KQrOILYVW+UCXuVopBY83UgYRia4pdhrziUlQ3qSzWJ6zxRaYbxUfSmAvKeFZT4Yp&#10;i0kfQ61ZZGQH6q9QRnFwwcl4wp0p+kYyItjFePQMm7uWeZF7QaiDfwQ9/L+w/P3+FohqalpOKbHM&#10;4MR/ff3+88c3gheITufDAp3u/C0MWkAxtXqQYNI/NkEONZ2V8/mkouQeSVVWs+psAFccIuFor2bT&#10;cl6hA0eP2WQ2Px1XKUFxjOQhxLfCGZKEmgJOL4PK9tch9q4PLimxdVdKa7xnC21JV9PpaYVz5QxZ&#10;KZENKBqPnQW7pYTpLdKdR8gRg9OqSa/T4wDbzaUGsmeJJPk3FPaHW0q9ZqHt/bJpcNMW20hA9dAk&#10;aeOaewQWXM+44PmVwvfXLMRbBkgxLBSXMN7gIbXD4t0gUdI6+PKv++SPk0crJR1SFjv7vGMgKNHv&#10;LHJiPp5MEsezMqnOSlTgqWXz1GJ35tJhw2Ncd8+zmPyjfhAlOPMJd3WVsqKJWY65ewwH5TL2q4Tb&#10;zsVqld2Q157Fa3vneQreD2q1i06qPMMjOgNoyOzMgmEL0+o81bPX8cuz/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ErhhB1wAAAAoBAAAPAAAAAAAAAAEAIAAAACIAAABkcnMvZG93bnJldi54bWxQ&#10;SwECFAAUAAAACACHTuJACJ8ed2oCAADBBAAADgAAAAAAAAABACAAAAAmAQAAZHJzL2Uyb0RvYy54&#10;bWxQSwUGAAAAAAYABgBZAQAAAgYAAAAA&#10;">
                <v:fill on="f" focussize="0,0"/>
                <v:stroke weight="0.5pt" color="#000000 [3213]" joinstyle="round"/>
                <v:imagedata o:title=""/>
                <o:lock v:ext="edit" aspectratio="f"/>
              </v:rect>
            </w:pict>
          </mc:Fallback>
        </mc:AlternateContent>
      </w:r>
      <w:r w:rsidRPr="00B12FE0">
        <w:rPr>
          <w:b/>
          <w:color w:val="000000" w:themeColor="text1"/>
          <w:sz w:val="32"/>
          <w:szCs w:val="32"/>
        </w:rPr>
        <w:t>表</w:t>
      </w:r>
      <w:r w:rsidRPr="00B12FE0">
        <w:rPr>
          <w:b/>
          <w:color w:val="000000" w:themeColor="text1"/>
          <w:sz w:val="32"/>
          <w:szCs w:val="32"/>
        </w:rPr>
        <w:t xml:space="preserve">9 </w:t>
      </w:r>
      <w:r w:rsidRPr="00B12FE0">
        <w:rPr>
          <w:b/>
          <w:color w:val="000000" w:themeColor="text1"/>
          <w:sz w:val="32"/>
          <w:szCs w:val="32"/>
        </w:rPr>
        <w:t>项目工程分析与源项</w:t>
      </w:r>
      <w:bookmarkEnd w:id="14"/>
    </w:p>
    <w:p w14:paraId="3A9B3B82" w14:textId="77777777" w:rsidR="00A67F21" w:rsidRPr="00B12FE0" w:rsidRDefault="00000000">
      <w:pPr>
        <w:pStyle w:val="TableParagraph"/>
        <w:autoSpaceDE/>
        <w:autoSpaceDN/>
        <w:spacing w:line="360" w:lineRule="auto"/>
        <w:outlineLvl w:val="1"/>
        <w:rPr>
          <w:b/>
          <w:bCs/>
          <w:color w:val="000000" w:themeColor="text1"/>
          <w:spacing w:val="1"/>
          <w:sz w:val="28"/>
          <w:szCs w:val="28"/>
        </w:rPr>
      </w:pPr>
      <w:r w:rsidRPr="00B12FE0">
        <w:rPr>
          <w:b/>
          <w:bCs/>
          <w:color w:val="000000" w:themeColor="text1"/>
          <w:spacing w:val="1"/>
          <w:sz w:val="28"/>
          <w:szCs w:val="28"/>
        </w:rPr>
        <w:t>9.</w:t>
      </w:r>
      <w:r w:rsidRPr="00B12FE0">
        <w:rPr>
          <w:rFonts w:hint="eastAsia"/>
          <w:b/>
          <w:bCs/>
          <w:color w:val="000000" w:themeColor="text1"/>
          <w:spacing w:val="1"/>
          <w:sz w:val="28"/>
          <w:szCs w:val="28"/>
        </w:rPr>
        <w:t>1</w:t>
      </w:r>
      <w:r w:rsidRPr="00B12FE0">
        <w:rPr>
          <w:b/>
          <w:bCs/>
          <w:color w:val="000000" w:themeColor="text1"/>
          <w:spacing w:val="1"/>
          <w:sz w:val="28"/>
          <w:szCs w:val="28"/>
        </w:rPr>
        <w:t>工程设备和工艺分析</w:t>
      </w:r>
    </w:p>
    <w:p w14:paraId="7046B4B4" w14:textId="77777777" w:rsidR="00A67F21" w:rsidRPr="00B12FE0" w:rsidRDefault="00000000">
      <w:pPr>
        <w:snapToGrid w:val="0"/>
        <w:spacing w:line="360" w:lineRule="auto"/>
        <w:contextualSpacing/>
        <w:outlineLvl w:val="2"/>
        <w:rPr>
          <w:b/>
          <w:color w:val="000000" w:themeColor="text1"/>
        </w:rPr>
      </w:pPr>
      <w:r w:rsidRPr="00B12FE0">
        <w:rPr>
          <w:b/>
          <w:color w:val="000000" w:themeColor="text1"/>
        </w:rPr>
        <w:t>9.</w:t>
      </w:r>
      <w:r w:rsidRPr="00B12FE0">
        <w:rPr>
          <w:rFonts w:hint="eastAsia"/>
          <w:b/>
          <w:color w:val="000000" w:themeColor="text1"/>
        </w:rPr>
        <w:t>1</w:t>
      </w:r>
      <w:r w:rsidRPr="00B12FE0">
        <w:rPr>
          <w:b/>
          <w:color w:val="000000" w:themeColor="text1"/>
        </w:rPr>
        <w:t>.</w:t>
      </w:r>
      <w:r w:rsidRPr="00B12FE0">
        <w:rPr>
          <w:rFonts w:hint="eastAsia"/>
          <w:b/>
          <w:color w:val="000000" w:themeColor="text1"/>
        </w:rPr>
        <w:t>1</w:t>
      </w:r>
      <w:r w:rsidRPr="00B12FE0">
        <w:rPr>
          <w:b/>
          <w:color w:val="000000" w:themeColor="text1"/>
        </w:rPr>
        <w:t xml:space="preserve"> </w:t>
      </w:r>
      <w:r w:rsidRPr="00B12FE0">
        <w:rPr>
          <w:rFonts w:hint="eastAsia"/>
          <w:b/>
          <w:color w:val="000000" w:themeColor="text1"/>
        </w:rPr>
        <w:t>核医学科项目</w:t>
      </w:r>
    </w:p>
    <w:p w14:paraId="638F4C5C" w14:textId="77777777" w:rsidR="00A67F21" w:rsidRPr="00B12FE0" w:rsidRDefault="00000000">
      <w:pPr>
        <w:snapToGrid w:val="0"/>
        <w:spacing w:beforeLines="50" w:before="120" w:line="360" w:lineRule="auto"/>
        <w:contextualSpacing/>
        <w:outlineLvl w:val="3"/>
        <w:rPr>
          <w:b/>
          <w:color w:val="000000" w:themeColor="text1"/>
        </w:rPr>
      </w:pPr>
      <w:r w:rsidRPr="00B12FE0">
        <w:rPr>
          <w:b/>
          <w:color w:val="000000" w:themeColor="text1"/>
        </w:rPr>
        <w:t>9.</w:t>
      </w:r>
      <w:r w:rsidRPr="00B12FE0">
        <w:rPr>
          <w:rFonts w:hint="eastAsia"/>
          <w:b/>
          <w:color w:val="000000" w:themeColor="text1"/>
        </w:rPr>
        <w:t>1</w:t>
      </w:r>
      <w:r w:rsidRPr="00B12FE0">
        <w:rPr>
          <w:b/>
          <w:color w:val="000000" w:themeColor="text1"/>
        </w:rPr>
        <w:t>.1.</w:t>
      </w:r>
      <w:r w:rsidRPr="00B12FE0">
        <w:rPr>
          <w:rFonts w:hint="eastAsia"/>
          <w:b/>
          <w:color w:val="000000" w:themeColor="text1"/>
        </w:rPr>
        <w:t xml:space="preserve">1 </w:t>
      </w:r>
      <w:r w:rsidRPr="00B12FE0">
        <w:rPr>
          <w:rFonts w:hint="eastAsia"/>
          <w:b/>
          <w:color w:val="000000" w:themeColor="text1"/>
        </w:rPr>
        <w:t>本项目核医学科场所介绍</w:t>
      </w:r>
    </w:p>
    <w:p w14:paraId="0B713FB7" w14:textId="77777777" w:rsidR="00A67F21" w:rsidRPr="00B12FE0" w:rsidRDefault="00000000">
      <w:pPr>
        <w:overflowPunct w:val="0"/>
        <w:topLinePunct/>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根据《关于明确核技术利用辐射安全监管有关事项的通知》（</w:t>
      </w:r>
      <w:proofErr w:type="gramStart"/>
      <w:r w:rsidRPr="00B12FE0">
        <w:rPr>
          <w:rFonts w:ascii="宋体" w:hAnsi="宋体"/>
          <w:bCs/>
          <w:color w:val="000000" w:themeColor="text1"/>
          <w:szCs w:val="24"/>
        </w:rPr>
        <w:t>环办辐射</w:t>
      </w:r>
      <w:proofErr w:type="gramEnd"/>
      <w:r w:rsidRPr="00B12FE0">
        <w:rPr>
          <w:rFonts w:ascii="宋体" w:hAnsi="宋体"/>
          <w:bCs/>
          <w:color w:val="000000" w:themeColor="text1"/>
          <w:szCs w:val="24"/>
        </w:rPr>
        <w:t>函</w:t>
      </w:r>
      <w:r w:rsidRPr="00B12FE0">
        <w:rPr>
          <w:bCs/>
          <w:color w:val="000000" w:themeColor="text1"/>
          <w:szCs w:val="24"/>
        </w:rPr>
        <w:t>[2016]430</w:t>
      </w:r>
      <w:r w:rsidRPr="00B12FE0">
        <w:rPr>
          <w:rFonts w:ascii="宋体" w:hAnsi="宋体"/>
          <w:bCs/>
          <w:color w:val="000000" w:themeColor="text1"/>
          <w:szCs w:val="24"/>
        </w:rPr>
        <w:t>号），满足以下特点的放射性药品生产、使用场所，应当作为一个单独场所进行日等效操作量核算：</w:t>
      </w:r>
    </w:p>
    <w:p w14:paraId="12A5FE3D" w14:textId="77777777" w:rsidR="00A67F21" w:rsidRPr="00B12FE0" w:rsidRDefault="00000000">
      <w:pPr>
        <w:overflowPunct w:val="0"/>
        <w:topLinePunct/>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w:t>
      </w:r>
      <w:r w:rsidRPr="00B12FE0">
        <w:rPr>
          <w:bCs/>
          <w:color w:val="000000" w:themeColor="text1"/>
          <w:szCs w:val="24"/>
        </w:rPr>
        <w:t>1</w:t>
      </w:r>
      <w:r w:rsidRPr="00B12FE0">
        <w:rPr>
          <w:rFonts w:ascii="宋体" w:hAnsi="宋体"/>
          <w:bCs/>
          <w:color w:val="000000" w:themeColor="text1"/>
          <w:szCs w:val="24"/>
        </w:rPr>
        <w:t>）有相对独立、明确的监督区和控制区划分；</w:t>
      </w:r>
    </w:p>
    <w:p w14:paraId="05172AD4" w14:textId="77777777" w:rsidR="00A67F21" w:rsidRPr="00B12FE0" w:rsidRDefault="00000000">
      <w:pPr>
        <w:overflowPunct w:val="0"/>
        <w:topLinePunct/>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w:t>
      </w:r>
      <w:r w:rsidRPr="00B12FE0">
        <w:rPr>
          <w:bCs/>
          <w:color w:val="000000" w:themeColor="text1"/>
          <w:szCs w:val="24"/>
        </w:rPr>
        <w:t>2</w:t>
      </w:r>
      <w:r w:rsidRPr="00B12FE0">
        <w:rPr>
          <w:rFonts w:ascii="宋体" w:hAnsi="宋体"/>
          <w:bCs/>
          <w:color w:val="000000" w:themeColor="text1"/>
          <w:szCs w:val="24"/>
        </w:rPr>
        <w:t>）工艺流程连续完整；</w:t>
      </w:r>
    </w:p>
    <w:p w14:paraId="64D2B120" w14:textId="77777777" w:rsidR="00A67F21" w:rsidRPr="00B12FE0" w:rsidRDefault="00000000">
      <w:pPr>
        <w:overflowPunct w:val="0"/>
        <w:topLinePunct/>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w:t>
      </w:r>
      <w:r w:rsidRPr="00B12FE0">
        <w:rPr>
          <w:bCs/>
          <w:color w:val="000000" w:themeColor="text1"/>
          <w:szCs w:val="24"/>
        </w:rPr>
        <w:t>3</w:t>
      </w:r>
      <w:r w:rsidRPr="00B12FE0">
        <w:rPr>
          <w:rFonts w:ascii="宋体" w:hAnsi="宋体"/>
          <w:bCs/>
          <w:color w:val="000000" w:themeColor="text1"/>
          <w:szCs w:val="24"/>
        </w:rPr>
        <w:t>）有相对独立的辐射防护措施。</w:t>
      </w:r>
    </w:p>
    <w:p w14:paraId="01E1F59D" w14:textId="77777777" w:rsidR="00A67F21" w:rsidRPr="00B12FE0" w:rsidRDefault="00000000">
      <w:pPr>
        <w:overflowPunct w:val="0"/>
        <w:topLinePunct/>
        <w:adjustRightInd w:val="0"/>
        <w:snapToGrid w:val="0"/>
        <w:spacing w:line="360" w:lineRule="auto"/>
        <w:ind w:firstLineChars="200" w:firstLine="480"/>
        <w:rPr>
          <w:color w:val="000000" w:themeColor="text1"/>
          <w:sz w:val="21"/>
          <w:szCs w:val="21"/>
        </w:rPr>
      </w:pPr>
      <w:r w:rsidRPr="00B12FE0">
        <w:rPr>
          <w:rFonts w:ascii="宋体" w:hAnsi="宋体"/>
          <w:bCs/>
          <w:color w:val="000000" w:themeColor="text1"/>
          <w:kern w:val="0"/>
          <w:szCs w:val="24"/>
        </w:rPr>
        <w:t>本项目核医学科位于肿瘤治疗中心综合楼，核医学科核素制备场所位于一层</w:t>
      </w:r>
      <w:r w:rsidRPr="00B12FE0">
        <w:rPr>
          <w:rFonts w:ascii="宋体" w:hAnsi="宋体" w:hint="eastAsia"/>
          <w:bCs/>
          <w:color w:val="000000" w:themeColor="text1"/>
          <w:kern w:val="0"/>
          <w:szCs w:val="24"/>
        </w:rPr>
        <w:t>西侧中部</w:t>
      </w:r>
      <w:r w:rsidRPr="00B12FE0">
        <w:rPr>
          <w:rFonts w:ascii="宋体" w:hAnsi="宋体"/>
          <w:bCs/>
          <w:color w:val="000000" w:themeColor="text1"/>
          <w:kern w:val="0"/>
          <w:szCs w:val="24"/>
        </w:rPr>
        <w:t>、核素诊断场所位于一层</w:t>
      </w:r>
      <w:r w:rsidRPr="00B12FE0">
        <w:rPr>
          <w:rFonts w:ascii="宋体" w:hAnsi="宋体" w:hint="eastAsia"/>
          <w:bCs/>
          <w:color w:val="000000" w:themeColor="text1"/>
          <w:kern w:val="0"/>
          <w:szCs w:val="24"/>
        </w:rPr>
        <w:t>南</w:t>
      </w:r>
      <w:r w:rsidRPr="00B12FE0">
        <w:rPr>
          <w:rFonts w:ascii="宋体" w:hAnsi="宋体"/>
          <w:bCs/>
          <w:color w:val="000000" w:themeColor="text1"/>
          <w:kern w:val="0"/>
          <w:szCs w:val="24"/>
        </w:rPr>
        <w:t>侧、核素治疗场所位于</w:t>
      </w:r>
      <w:r w:rsidRPr="00B12FE0">
        <w:rPr>
          <w:rFonts w:ascii="宋体" w:hAnsi="宋体" w:hint="eastAsia"/>
          <w:bCs/>
          <w:color w:val="000000" w:themeColor="text1"/>
          <w:kern w:val="0"/>
          <w:szCs w:val="24"/>
        </w:rPr>
        <w:t>二</w:t>
      </w:r>
      <w:r w:rsidRPr="00B12FE0">
        <w:rPr>
          <w:rFonts w:ascii="宋体" w:hAnsi="宋体"/>
          <w:bCs/>
          <w:color w:val="000000" w:themeColor="text1"/>
          <w:kern w:val="0"/>
          <w:szCs w:val="24"/>
        </w:rPr>
        <w:t>层</w:t>
      </w:r>
      <w:r w:rsidRPr="00B12FE0">
        <w:rPr>
          <w:rFonts w:ascii="宋体" w:hAnsi="宋体" w:hint="eastAsia"/>
          <w:bCs/>
          <w:color w:val="000000" w:themeColor="text1"/>
          <w:kern w:val="0"/>
          <w:szCs w:val="24"/>
        </w:rPr>
        <w:t>南</w:t>
      </w:r>
      <w:r w:rsidRPr="00B12FE0">
        <w:rPr>
          <w:rFonts w:ascii="宋体" w:hAnsi="宋体"/>
          <w:bCs/>
          <w:color w:val="000000" w:themeColor="text1"/>
          <w:kern w:val="0"/>
          <w:szCs w:val="24"/>
        </w:rPr>
        <w:t>侧，三个场所</w:t>
      </w:r>
      <w:r w:rsidRPr="00B12FE0">
        <w:rPr>
          <w:rFonts w:ascii="宋体" w:hAnsi="宋体"/>
          <w:bCs/>
          <w:color w:val="000000" w:themeColor="text1"/>
          <w:szCs w:val="24"/>
        </w:rPr>
        <w:t>各自满足相对独立、具有明确的监督区和控制区划分，工艺流程连续完整，有相对独立的辐射防护措施，除此以外，三个工作场所布局各自独立、工作人员也各自独立配置，因此将</w:t>
      </w:r>
      <w:r w:rsidRPr="00B12FE0">
        <w:rPr>
          <w:rFonts w:ascii="宋体" w:hAnsi="宋体"/>
          <w:bCs/>
          <w:color w:val="000000" w:themeColor="text1"/>
          <w:kern w:val="0"/>
          <w:szCs w:val="24"/>
        </w:rPr>
        <w:t>核医学科核素制备场所、核素诊断场所和核素治疗场所作为</w:t>
      </w:r>
      <w:r w:rsidRPr="00B12FE0">
        <w:rPr>
          <w:rFonts w:ascii="宋体" w:hAnsi="宋体"/>
          <w:bCs/>
          <w:color w:val="000000" w:themeColor="text1"/>
          <w:szCs w:val="24"/>
        </w:rPr>
        <w:t>三个单独场所进行日等效操作量核算。</w:t>
      </w:r>
    </w:p>
    <w:p w14:paraId="54984B78" w14:textId="77777777" w:rsidR="00A67F21" w:rsidRPr="00B12FE0" w:rsidRDefault="00000000">
      <w:pPr>
        <w:snapToGrid w:val="0"/>
        <w:spacing w:beforeLines="50" w:before="120" w:line="360" w:lineRule="auto"/>
        <w:contextualSpacing/>
        <w:outlineLvl w:val="3"/>
        <w:rPr>
          <w:b/>
          <w:color w:val="000000" w:themeColor="text1"/>
        </w:rPr>
      </w:pPr>
      <w:r w:rsidRPr="00B12FE0">
        <w:rPr>
          <w:b/>
          <w:color w:val="000000" w:themeColor="text1"/>
        </w:rPr>
        <w:t>9.</w:t>
      </w:r>
      <w:r w:rsidRPr="00B12FE0">
        <w:rPr>
          <w:rFonts w:hint="eastAsia"/>
          <w:b/>
          <w:color w:val="000000" w:themeColor="text1"/>
        </w:rPr>
        <w:t>1</w:t>
      </w:r>
      <w:r w:rsidRPr="00B12FE0">
        <w:rPr>
          <w:b/>
          <w:color w:val="000000" w:themeColor="text1"/>
        </w:rPr>
        <w:t>.1.</w:t>
      </w:r>
      <w:r w:rsidRPr="00B12FE0">
        <w:rPr>
          <w:rFonts w:hint="eastAsia"/>
          <w:b/>
          <w:color w:val="000000" w:themeColor="text1"/>
        </w:rPr>
        <w:t xml:space="preserve">2 </w:t>
      </w:r>
      <w:r w:rsidRPr="00B12FE0">
        <w:rPr>
          <w:rFonts w:hint="eastAsia"/>
          <w:b/>
          <w:color w:val="000000" w:themeColor="text1"/>
        </w:rPr>
        <w:t>核医学科核素制备场所设备和工艺分析</w:t>
      </w:r>
    </w:p>
    <w:p w14:paraId="719426B7" w14:textId="77777777" w:rsidR="00A67F21" w:rsidRPr="00B12FE0" w:rsidRDefault="00000000">
      <w:pPr>
        <w:snapToGrid w:val="0"/>
        <w:spacing w:line="360" w:lineRule="auto"/>
        <w:ind w:firstLineChars="200" w:firstLine="482"/>
        <w:rPr>
          <w:b/>
          <w:color w:val="000000" w:themeColor="text1"/>
        </w:rPr>
      </w:pPr>
      <w:r w:rsidRPr="00B12FE0">
        <w:rPr>
          <w:rFonts w:hint="eastAsia"/>
          <w:b/>
          <w:color w:val="000000" w:themeColor="text1"/>
        </w:rPr>
        <w:t>（</w:t>
      </w:r>
      <w:r w:rsidRPr="00B12FE0">
        <w:rPr>
          <w:rFonts w:hint="eastAsia"/>
          <w:b/>
          <w:color w:val="000000" w:themeColor="text1"/>
        </w:rPr>
        <w:t>1</w:t>
      </w:r>
      <w:r w:rsidRPr="00B12FE0">
        <w:rPr>
          <w:rFonts w:hint="eastAsia"/>
          <w:b/>
          <w:color w:val="000000" w:themeColor="text1"/>
        </w:rPr>
        <w:t>）设备组成</w:t>
      </w:r>
    </w:p>
    <w:p w14:paraId="5B9E2F71" w14:textId="77777777" w:rsidR="00A67F21" w:rsidRPr="00B12FE0" w:rsidRDefault="00000000">
      <w:pPr>
        <w:adjustRightInd w:val="0"/>
        <w:snapToGrid w:val="0"/>
        <w:spacing w:line="360" w:lineRule="auto"/>
        <w:ind w:firstLineChars="200" w:firstLine="482"/>
        <w:rPr>
          <w:b/>
          <w:color w:val="000000" w:themeColor="text1"/>
        </w:rPr>
      </w:pPr>
      <w:r w:rsidRPr="00B12FE0">
        <w:rPr>
          <w:rFonts w:hint="eastAsia"/>
          <w:b/>
          <w:color w:val="000000" w:themeColor="text1"/>
        </w:rPr>
        <w:t>①回旋加速器设备</w:t>
      </w:r>
    </w:p>
    <w:p w14:paraId="5E8EF0B8"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回旋加速器一般由磁场系统、射频系统、真空系统、离子源系统、束流提取系统、诊断系统、靶系统和冷却系统等组成，各系统的主要作用如下：</w:t>
      </w:r>
    </w:p>
    <w:p w14:paraId="2CB5A78D"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磁场系统：由上下磁轭、线路极片、磁场线圈、磁场电源等组成，其作用就是提供偏转力使束流维持在上下磁极之间中心平面的准环形轨迹上。磁场线圈使束流在上下磁极之间加速。磁场非匀场，而是采用深谷设计，对束流粒子在加速的中心层面提供了强聚焦力，引导粒子返回中心层面，产生高的束流引出效率。</w:t>
      </w:r>
    </w:p>
    <w:p w14:paraId="4FE9847E"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射频系统：包括监测与控制元件、频率合成器、中级放大器、</w:t>
      </w:r>
      <w:r w:rsidRPr="00B12FE0">
        <w:rPr>
          <w:bCs/>
          <w:color w:val="000000" w:themeColor="text1"/>
          <w:szCs w:val="24"/>
        </w:rPr>
        <w:t>RF</w:t>
      </w:r>
      <w:r w:rsidRPr="00B12FE0">
        <w:rPr>
          <w:rFonts w:ascii="宋体" w:hAnsi="宋体"/>
          <w:bCs/>
          <w:color w:val="000000" w:themeColor="text1"/>
          <w:szCs w:val="24"/>
        </w:rPr>
        <w:t>电源振幅器、共轴透射线、耦合网络和</w:t>
      </w:r>
      <w:r w:rsidRPr="00B12FE0">
        <w:rPr>
          <w:bCs/>
          <w:color w:val="000000" w:themeColor="text1"/>
          <w:szCs w:val="24"/>
        </w:rPr>
        <w:t>D</w:t>
      </w:r>
      <w:proofErr w:type="gramStart"/>
      <w:r w:rsidRPr="00B12FE0">
        <w:rPr>
          <w:rFonts w:ascii="宋体" w:hAnsi="宋体"/>
          <w:bCs/>
          <w:color w:val="000000" w:themeColor="text1"/>
          <w:szCs w:val="24"/>
        </w:rPr>
        <w:t>型盒结构</w:t>
      </w:r>
      <w:proofErr w:type="gramEnd"/>
      <w:r w:rsidRPr="00B12FE0">
        <w:rPr>
          <w:rFonts w:ascii="宋体" w:hAnsi="宋体"/>
          <w:bCs/>
          <w:color w:val="000000" w:themeColor="text1"/>
          <w:szCs w:val="24"/>
        </w:rPr>
        <w:t>等，其作用就是对</w:t>
      </w:r>
      <w:r w:rsidRPr="00B12FE0">
        <w:rPr>
          <w:bCs/>
          <w:color w:val="000000" w:themeColor="text1"/>
          <w:szCs w:val="24"/>
        </w:rPr>
        <w:t>D</w:t>
      </w:r>
      <w:proofErr w:type="gramStart"/>
      <w:r w:rsidRPr="00B12FE0">
        <w:rPr>
          <w:rFonts w:ascii="宋体" w:hAnsi="宋体"/>
          <w:bCs/>
          <w:color w:val="000000" w:themeColor="text1"/>
          <w:szCs w:val="24"/>
        </w:rPr>
        <w:t>型盒提供一</w:t>
      </w:r>
      <w:proofErr w:type="gramEnd"/>
      <w:r w:rsidRPr="00B12FE0">
        <w:rPr>
          <w:rFonts w:ascii="宋体" w:hAnsi="宋体"/>
          <w:bCs/>
          <w:color w:val="000000" w:themeColor="text1"/>
          <w:szCs w:val="24"/>
        </w:rPr>
        <w:t>交替的高电压电势，并将能量转至</w:t>
      </w:r>
      <w:r w:rsidRPr="00B12FE0">
        <w:rPr>
          <w:bCs/>
          <w:color w:val="000000" w:themeColor="text1"/>
          <w:szCs w:val="24"/>
        </w:rPr>
        <w:t>H</w:t>
      </w:r>
      <w:r w:rsidRPr="00B12FE0">
        <w:rPr>
          <w:bCs/>
          <w:color w:val="000000" w:themeColor="text1"/>
          <w:szCs w:val="24"/>
          <w:vertAlign w:val="superscript"/>
        </w:rPr>
        <w:t>-</w:t>
      </w:r>
      <w:r w:rsidRPr="00B12FE0">
        <w:rPr>
          <w:rFonts w:ascii="宋体" w:hAnsi="宋体"/>
          <w:bCs/>
          <w:color w:val="000000" w:themeColor="text1"/>
          <w:szCs w:val="24"/>
        </w:rPr>
        <w:t>离子。随着束流加速得到能量，其轨道半径逐渐增加，这种轨迹被称为准螺旋形。当束流到达提取半径时，其能量也将达到预定能量。正常工作时，射频</w:t>
      </w:r>
      <w:r w:rsidRPr="00B12FE0">
        <w:rPr>
          <w:rFonts w:ascii="宋体" w:hAnsi="宋体"/>
          <w:bCs/>
          <w:color w:val="000000" w:themeColor="text1"/>
          <w:szCs w:val="24"/>
        </w:rPr>
        <w:lastRenderedPageBreak/>
        <w:t>频率自动受</w:t>
      </w:r>
      <w:r w:rsidRPr="00B12FE0">
        <w:rPr>
          <w:bCs/>
          <w:color w:val="000000" w:themeColor="text1"/>
          <w:szCs w:val="24"/>
        </w:rPr>
        <w:t>RF</w:t>
      </w:r>
      <w:r w:rsidRPr="00B12FE0">
        <w:rPr>
          <w:rFonts w:ascii="宋体" w:hAnsi="宋体"/>
          <w:bCs/>
          <w:color w:val="000000" w:themeColor="text1"/>
          <w:szCs w:val="24"/>
        </w:rPr>
        <w:t>控制元件调整以维持</w:t>
      </w:r>
      <w:r w:rsidRPr="00B12FE0">
        <w:rPr>
          <w:bCs/>
          <w:color w:val="000000" w:themeColor="text1"/>
          <w:szCs w:val="24"/>
        </w:rPr>
        <w:t>D</w:t>
      </w:r>
      <w:proofErr w:type="gramStart"/>
      <w:r w:rsidRPr="00B12FE0">
        <w:rPr>
          <w:rFonts w:ascii="宋体" w:hAnsi="宋体"/>
          <w:bCs/>
          <w:color w:val="000000" w:themeColor="text1"/>
          <w:szCs w:val="24"/>
        </w:rPr>
        <w:t>型盒结构</w:t>
      </w:r>
      <w:proofErr w:type="gramEnd"/>
      <w:r w:rsidRPr="00B12FE0">
        <w:rPr>
          <w:rFonts w:ascii="宋体" w:hAnsi="宋体"/>
          <w:bCs/>
          <w:color w:val="000000" w:themeColor="text1"/>
          <w:szCs w:val="24"/>
        </w:rPr>
        <w:t>的共振。</w:t>
      </w:r>
    </w:p>
    <w:p w14:paraId="4C8CBF6C"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真空系统：包括真空室、排气泵、仪表和控制元件等。真空仪表和控制元件用于监测并显示真空室的压力以及在系统出现故障时对仪器起到保护作用。真空室需要连续不断地抽气以排除来源于离子源及真空室内表面的气体。</w:t>
      </w:r>
    </w:p>
    <w:p w14:paraId="4E98706B"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离子源系统：包括离子源、</w:t>
      </w:r>
      <w:r w:rsidRPr="00B12FE0">
        <w:rPr>
          <w:bCs/>
          <w:color w:val="000000" w:themeColor="text1"/>
          <w:szCs w:val="24"/>
        </w:rPr>
        <w:t>ARC</w:t>
      </w:r>
      <w:r w:rsidRPr="00B12FE0">
        <w:rPr>
          <w:rFonts w:ascii="宋体" w:hAnsi="宋体"/>
          <w:bCs/>
          <w:color w:val="000000" w:themeColor="text1"/>
          <w:szCs w:val="24"/>
        </w:rPr>
        <w:t>源、偏向电源与氢气流量控制器等。离子源产生</w:t>
      </w:r>
      <w:r w:rsidRPr="00B12FE0">
        <w:rPr>
          <w:bCs/>
          <w:color w:val="000000" w:themeColor="text1"/>
          <w:szCs w:val="24"/>
        </w:rPr>
        <w:t>H</w:t>
      </w:r>
      <w:r w:rsidRPr="00B12FE0">
        <w:rPr>
          <w:bCs/>
          <w:color w:val="000000" w:themeColor="text1"/>
          <w:szCs w:val="24"/>
          <w:vertAlign w:val="superscript"/>
        </w:rPr>
        <w:t>-</w:t>
      </w:r>
      <w:r w:rsidRPr="00B12FE0">
        <w:rPr>
          <w:rFonts w:ascii="宋体" w:hAnsi="宋体"/>
          <w:bCs/>
          <w:color w:val="000000" w:themeColor="text1"/>
          <w:szCs w:val="24"/>
        </w:rPr>
        <w:t>离子，在正常操作中不需要进行调试或干预性操作。离子源存在电势差，用于电离氢气形成等离子浓聚体。进入离子源的氢气流量由电子质流控制器调控以与变化的离子源和加速器运行条件相匹配。等离子体的电源（或</w:t>
      </w:r>
      <w:r w:rsidRPr="00B12FE0">
        <w:rPr>
          <w:bCs/>
          <w:color w:val="000000" w:themeColor="text1"/>
          <w:szCs w:val="24"/>
        </w:rPr>
        <w:t>ARC</w:t>
      </w:r>
      <w:r w:rsidRPr="00B12FE0">
        <w:rPr>
          <w:rFonts w:ascii="宋体" w:hAnsi="宋体"/>
          <w:bCs/>
          <w:color w:val="000000" w:themeColor="text1"/>
          <w:szCs w:val="24"/>
        </w:rPr>
        <w:t>）由电流调节的开关型电源提供，在正常运行时，控制系统调节离子源的</w:t>
      </w:r>
      <w:r w:rsidRPr="00B12FE0">
        <w:rPr>
          <w:bCs/>
          <w:color w:val="000000" w:themeColor="text1"/>
          <w:szCs w:val="24"/>
        </w:rPr>
        <w:t>ARC</w:t>
      </w:r>
      <w:r w:rsidRPr="00B12FE0">
        <w:rPr>
          <w:rFonts w:ascii="宋体" w:hAnsi="宋体"/>
          <w:bCs/>
          <w:color w:val="000000" w:themeColor="text1"/>
          <w:szCs w:val="24"/>
        </w:rPr>
        <w:t>电流以维持期望的靶电流。</w:t>
      </w:r>
    </w:p>
    <w:p w14:paraId="491D9F13"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束流提取系统：包括一个或者两个束流提取器。其作用就是当</w:t>
      </w:r>
      <w:r w:rsidRPr="00B12FE0">
        <w:rPr>
          <w:bCs/>
          <w:color w:val="000000" w:themeColor="text1"/>
          <w:szCs w:val="24"/>
        </w:rPr>
        <w:t>H</w:t>
      </w:r>
      <w:r w:rsidRPr="00B12FE0">
        <w:rPr>
          <w:bCs/>
          <w:color w:val="000000" w:themeColor="text1"/>
          <w:szCs w:val="24"/>
          <w:vertAlign w:val="superscript"/>
        </w:rPr>
        <w:t>-</w:t>
      </w:r>
      <w:r w:rsidRPr="00B12FE0">
        <w:rPr>
          <w:rFonts w:ascii="宋体" w:hAnsi="宋体"/>
          <w:bCs/>
          <w:color w:val="000000" w:themeColor="text1"/>
          <w:szCs w:val="24"/>
        </w:rPr>
        <w:t>通过碳提取膜时，剥离其与氢</w:t>
      </w:r>
      <w:proofErr w:type="gramStart"/>
      <w:r w:rsidRPr="00B12FE0">
        <w:rPr>
          <w:rFonts w:ascii="宋体" w:hAnsi="宋体"/>
          <w:bCs/>
          <w:color w:val="000000" w:themeColor="text1"/>
          <w:szCs w:val="24"/>
        </w:rPr>
        <w:t>核结合</w:t>
      </w:r>
      <w:proofErr w:type="gramEnd"/>
      <w:r w:rsidRPr="00B12FE0">
        <w:rPr>
          <w:rFonts w:ascii="宋体" w:hAnsi="宋体"/>
          <w:bCs/>
          <w:color w:val="000000" w:themeColor="text1"/>
          <w:szCs w:val="24"/>
        </w:rPr>
        <w:t>松散的两个电子，从而使束流由负电性变成正电性。</w:t>
      </w:r>
    </w:p>
    <w:p w14:paraId="106C6C74"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靶系统：是完成特定核反应而产生正电子核素的装置，一般包括靶体、准直器、靶膜、管路阀门等。</w:t>
      </w:r>
      <w:proofErr w:type="gramStart"/>
      <w:r w:rsidRPr="00B12FE0">
        <w:rPr>
          <w:rFonts w:ascii="宋体" w:hAnsi="宋体"/>
          <w:bCs/>
          <w:color w:val="000000" w:themeColor="text1"/>
          <w:szCs w:val="24"/>
        </w:rPr>
        <w:t>靶材料</w:t>
      </w:r>
      <w:proofErr w:type="gramEnd"/>
      <w:r w:rsidRPr="00B12FE0">
        <w:rPr>
          <w:rFonts w:ascii="宋体" w:hAnsi="宋体"/>
          <w:bCs/>
          <w:color w:val="000000" w:themeColor="text1"/>
          <w:szCs w:val="24"/>
        </w:rPr>
        <w:t>包括液态、气态和固态靶三种类型。</w:t>
      </w:r>
    </w:p>
    <w:p w14:paraId="2A895BBC"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bCs/>
          <w:color w:val="000000" w:themeColor="text1"/>
          <w:szCs w:val="24"/>
        </w:rPr>
        <w:t>冷却系统：从不同系统中将热量带出，带出的热量在二级冷却系统中进行热交换，并将热量传送到初级冷却系统。</w:t>
      </w:r>
    </w:p>
    <w:p w14:paraId="7290FA9C" w14:textId="77777777" w:rsidR="00A67F21" w:rsidRPr="00B12FE0" w:rsidRDefault="00000000">
      <w:pPr>
        <w:adjustRightInd w:val="0"/>
        <w:snapToGrid w:val="0"/>
        <w:spacing w:line="360" w:lineRule="auto"/>
        <w:ind w:firstLineChars="200" w:firstLine="482"/>
        <w:rPr>
          <w:b/>
          <w:bCs/>
          <w:color w:val="000000" w:themeColor="text1"/>
          <w:sz w:val="21"/>
          <w:szCs w:val="21"/>
        </w:rPr>
      </w:pPr>
      <w:r w:rsidRPr="00B12FE0">
        <w:rPr>
          <w:rFonts w:ascii="Cambria Math" w:hAnsi="Cambria Math" w:cs="Cambria Math"/>
          <w:b/>
          <w:bCs/>
          <w:color w:val="000000" w:themeColor="text1"/>
          <w:szCs w:val="24"/>
        </w:rPr>
        <w:t>②</w:t>
      </w:r>
      <w:r w:rsidRPr="00B12FE0">
        <w:rPr>
          <w:rFonts w:ascii="宋体" w:hAnsi="宋体"/>
          <w:b/>
          <w:bCs/>
          <w:color w:val="000000" w:themeColor="text1"/>
          <w:szCs w:val="24"/>
        </w:rPr>
        <w:t>化学合成系统</w:t>
      </w:r>
    </w:p>
    <w:p w14:paraId="3EEB1F2B" w14:textId="77777777" w:rsidR="00A67F21" w:rsidRPr="00B12FE0" w:rsidRDefault="00000000">
      <w:pPr>
        <w:adjustRightInd w:val="0"/>
        <w:snapToGrid w:val="0"/>
        <w:spacing w:line="360" w:lineRule="auto"/>
        <w:ind w:firstLine="480"/>
        <w:rPr>
          <w:bCs/>
          <w:color w:val="000000" w:themeColor="text1"/>
          <w:szCs w:val="24"/>
        </w:rPr>
      </w:pPr>
      <w:r w:rsidRPr="00B12FE0">
        <w:rPr>
          <w:rFonts w:ascii="宋体" w:hAnsi="宋体"/>
          <w:bCs/>
          <w:color w:val="000000" w:themeColor="text1"/>
          <w:szCs w:val="24"/>
        </w:rPr>
        <w:t>该系统包括合成分装</w:t>
      </w:r>
      <w:proofErr w:type="gramStart"/>
      <w:r w:rsidRPr="00B12FE0">
        <w:rPr>
          <w:rFonts w:ascii="宋体" w:hAnsi="宋体"/>
          <w:bCs/>
          <w:color w:val="000000" w:themeColor="text1"/>
          <w:szCs w:val="24"/>
        </w:rPr>
        <w:t>柜以及</w:t>
      </w:r>
      <w:proofErr w:type="gramEnd"/>
      <w:r w:rsidRPr="00B12FE0">
        <w:rPr>
          <w:rFonts w:ascii="宋体" w:hAnsi="宋体"/>
          <w:bCs/>
          <w:color w:val="000000" w:themeColor="text1"/>
          <w:szCs w:val="24"/>
        </w:rPr>
        <w:t>相应的仪器设备，用于合成和分装</w:t>
      </w:r>
      <w:r w:rsidRPr="00B12FE0">
        <w:rPr>
          <w:rFonts w:ascii="宋体" w:hAnsi="宋体"/>
          <w:color w:val="000000" w:themeColor="text1"/>
          <w:szCs w:val="24"/>
        </w:rPr>
        <w:t>放射性药物</w:t>
      </w:r>
      <w:r w:rsidRPr="00B12FE0">
        <w:rPr>
          <w:rFonts w:ascii="宋体" w:hAnsi="宋体"/>
          <w:bCs/>
          <w:color w:val="000000" w:themeColor="text1"/>
          <w:szCs w:val="24"/>
        </w:rPr>
        <w:t>。回旋加速器打靶产生的放射性核素由屏蔽输送管道直接输送到热室房间内的合成分装柜中，由自动合成分装柜在计算机控制下自动化地完成药物的合成分装。</w:t>
      </w:r>
    </w:p>
    <w:p w14:paraId="5D178F0F" w14:textId="77777777" w:rsidR="00A67F21" w:rsidRPr="00B12FE0" w:rsidRDefault="00000000">
      <w:pPr>
        <w:adjustRightInd w:val="0"/>
        <w:snapToGrid w:val="0"/>
        <w:spacing w:line="360" w:lineRule="auto"/>
        <w:ind w:firstLineChars="200" w:firstLine="482"/>
        <w:rPr>
          <w:b/>
          <w:bCs/>
          <w:color w:val="000000" w:themeColor="text1"/>
          <w:sz w:val="21"/>
          <w:szCs w:val="21"/>
        </w:rPr>
      </w:pPr>
      <w:r w:rsidRPr="00B12FE0">
        <w:rPr>
          <w:rFonts w:ascii="宋体" w:hAnsi="宋体"/>
          <w:b/>
          <w:color w:val="000000" w:themeColor="text1"/>
          <w:szCs w:val="24"/>
        </w:rPr>
        <w:t>（</w:t>
      </w:r>
      <w:r w:rsidRPr="00B12FE0">
        <w:rPr>
          <w:b/>
          <w:color w:val="000000" w:themeColor="text1"/>
          <w:szCs w:val="24"/>
        </w:rPr>
        <w:t>2</w:t>
      </w:r>
      <w:r w:rsidRPr="00B12FE0">
        <w:rPr>
          <w:rFonts w:ascii="宋体" w:hAnsi="宋体"/>
          <w:b/>
          <w:color w:val="000000" w:themeColor="text1"/>
          <w:szCs w:val="24"/>
        </w:rPr>
        <w:t>）</w:t>
      </w:r>
      <w:r w:rsidRPr="00B12FE0">
        <w:rPr>
          <w:rFonts w:ascii="宋体" w:hAnsi="宋体"/>
          <w:b/>
          <w:bCs/>
          <w:color w:val="000000" w:themeColor="text1"/>
          <w:szCs w:val="24"/>
        </w:rPr>
        <w:t>工作原理</w:t>
      </w:r>
    </w:p>
    <w:p w14:paraId="6BD81581" w14:textId="77777777" w:rsidR="00A67F21" w:rsidRPr="00B12FE0" w:rsidRDefault="00000000">
      <w:pPr>
        <w:adjustRightInd w:val="0"/>
        <w:snapToGrid w:val="0"/>
        <w:spacing w:line="360" w:lineRule="auto"/>
        <w:ind w:firstLineChars="200" w:firstLine="480"/>
        <w:rPr>
          <w:bCs/>
          <w:color w:val="000000" w:themeColor="text1"/>
          <w:sz w:val="21"/>
          <w:szCs w:val="21"/>
        </w:rPr>
      </w:pPr>
      <w:r w:rsidRPr="00B12FE0">
        <w:rPr>
          <w:rFonts w:ascii="宋体" w:hAnsi="宋体"/>
          <w:color w:val="000000" w:themeColor="text1"/>
          <w:szCs w:val="24"/>
        </w:rPr>
        <w:t>回旋加速器通过电流和磁场使带电粒子得到加速轰击靶核后引起的核反应生产放射性核素。在回旋加速器中心部位的离子源（</w:t>
      </w:r>
      <w:proofErr w:type="spellStart"/>
      <w:r w:rsidRPr="00B12FE0">
        <w:rPr>
          <w:color w:val="000000" w:themeColor="text1"/>
          <w:szCs w:val="24"/>
        </w:rPr>
        <w:t>IonSource</w:t>
      </w:r>
      <w:proofErr w:type="spellEnd"/>
      <w:r w:rsidRPr="00B12FE0">
        <w:rPr>
          <w:rFonts w:ascii="宋体" w:hAnsi="宋体"/>
          <w:color w:val="000000" w:themeColor="text1"/>
          <w:szCs w:val="24"/>
        </w:rPr>
        <w:t>）经高压电弧放电而使气体电离发射出粒子束流，该粒子束流在称为</w:t>
      </w:r>
      <w:r w:rsidRPr="00B12FE0">
        <w:rPr>
          <w:color w:val="000000" w:themeColor="text1"/>
          <w:szCs w:val="24"/>
        </w:rPr>
        <w:t>Dees</w:t>
      </w:r>
      <w:r w:rsidRPr="00B12FE0">
        <w:rPr>
          <w:rFonts w:ascii="宋体" w:hAnsi="宋体"/>
          <w:color w:val="000000" w:themeColor="text1"/>
          <w:szCs w:val="24"/>
        </w:rPr>
        <w:t>的半圆形电极盒（简称</w:t>
      </w:r>
      <w:r w:rsidRPr="00B12FE0">
        <w:rPr>
          <w:color w:val="000000" w:themeColor="text1"/>
          <w:szCs w:val="24"/>
        </w:rPr>
        <w:t>D</w:t>
      </w:r>
      <w:r w:rsidRPr="00B12FE0">
        <w:rPr>
          <w:rFonts w:ascii="宋体" w:hAnsi="宋体"/>
          <w:color w:val="000000" w:themeColor="text1"/>
          <w:szCs w:val="24"/>
        </w:rPr>
        <w:t>型盒）中运动。</w:t>
      </w:r>
      <w:r w:rsidRPr="00B12FE0">
        <w:rPr>
          <w:color w:val="000000" w:themeColor="text1"/>
          <w:szCs w:val="24"/>
        </w:rPr>
        <w:t>D</w:t>
      </w:r>
      <w:proofErr w:type="gramStart"/>
      <w:r w:rsidRPr="00B12FE0">
        <w:rPr>
          <w:rFonts w:ascii="宋体" w:hAnsi="宋体"/>
          <w:color w:val="000000" w:themeColor="text1"/>
          <w:szCs w:val="24"/>
        </w:rPr>
        <w:t>型盒与</w:t>
      </w:r>
      <w:proofErr w:type="gramEnd"/>
      <w:r w:rsidRPr="00B12FE0">
        <w:rPr>
          <w:rFonts w:ascii="宋体" w:hAnsi="宋体"/>
          <w:color w:val="000000" w:themeColor="text1"/>
          <w:szCs w:val="24"/>
        </w:rPr>
        <w:t>高频振荡电源相联为加速粒子提供交变的电场。在磁场和电场的作用下被加速的粒子在近似于螺旋的轨道中运动飞行。带电粒子经多次加速后，圆周轨道直径达到最大而接近</w:t>
      </w:r>
      <w:r w:rsidRPr="00B12FE0">
        <w:rPr>
          <w:color w:val="000000" w:themeColor="text1"/>
          <w:szCs w:val="24"/>
        </w:rPr>
        <w:t>Dees</w:t>
      </w:r>
      <w:r w:rsidRPr="00B12FE0">
        <w:rPr>
          <w:rFonts w:ascii="宋体" w:hAnsi="宋体"/>
          <w:color w:val="000000" w:themeColor="text1"/>
          <w:szCs w:val="24"/>
        </w:rPr>
        <w:t>的边缘并具有最大的能量，在该点粒子经过束流提取系统的剥离碳膜。被加速的负粒子在通过碳</w:t>
      </w:r>
      <w:proofErr w:type="gramStart"/>
      <w:r w:rsidRPr="00B12FE0">
        <w:rPr>
          <w:rFonts w:ascii="宋体" w:hAnsi="宋体"/>
          <w:color w:val="000000" w:themeColor="text1"/>
          <w:szCs w:val="24"/>
        </w:rPr>
        <w:t>膜期间</w:t>
      </w:r>
      <w:proofErr w:type="gramEnd"/>
      <w:r w:rsidRPr="00B12FE0">
        <w:rPr>
          <w:rFonts w:ascii="宋体" w:hAnsi="宋体"/>
          <w:color w:val="000000" w:themeColor="text1"/>
          <w:szCs w:val="24"/>
        </w:rPr>
        <w:t>被脱去</w:t>
      </w:r>
      <w:r w:rsidRPr="00B12FE0">
        <w:rPr>
          <w:rFonts w:ascii="宋体" w:hAnsi="宋体" w:hint="eastAsia"/>
          <w:color w:val="000000" w:themeColor="text1"/>
          <w:szCs w:val="24"/>
        </w:rPr>
        <w:t>两个</w:t>
      </w:r>
      <w:r w:rsidRPr="00B12FE0">
        <w:rPr>
          <w:rFonts w:ascii="宋体" w:hAnsi="宋体"/>
          <w:color w:val="000000" w:themeColor="text1"/>
          <w:szCs w:val="24"/>
        </w:rPr>
        <w:t>电子，变成带正电的阳离子，此时，在磁场中粒子的运行轨道是逆时针方向偏转，直接将具有最大能量的带电粒子从真空室引出，通过调整提取膜的位置使引出的束流引导进入所确定的同位素生产靶系统，以一定的初始速度轰击靶体内填充的物质引发核反应。根据</w:t>
      </w:r>
      <w:proofErr w:type="gramStart"/>
      <w:r w:rsidRPr="00B12FE0">
        <w:rPr>
          <w:rFonts w:ascii="宋体" w:hAnsi="宋体"/>
          <w:color w:val="000000" w:themeColor="text1"/>
          <w:szCs w:val="24"/>
        </w:rPr>
        <w:t>靶物质</w:t>
      </w:r>
      <w:proofErr w:type="gramEnd"/>
      <w:r w:rsidRPr="00B12FE0">
        <w:rPr>
          <w:rFonts w:ascii="宋体" w:hAnsi="宋体"/>
          <w:color w:val="000000" w:themeColor="text1"/>
          <w:szCs w:val="24"/>
        </w:rPr>
        <w:t>的不同，该系统在</w:t>
      </w:r>
      <w:r w:rsidRPr="00B12FE0">
        <w:rPr>
          <w:rFonts w:ascii="宋体" w:hAnsi="宋体"/>
          <w:color w:val="000000" w:themeColor="text1"/>
          <w:szCs w:val="24"/>
        </w:rPr>
        <w:lastRenderedPageBreak/>
        <w:t>离子加速打靶后可完成临床上所需要的</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等放射性同位素。其中</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是目前临床使用标记示踪剂最多的正电子放射性核素。</w:t>
      </w:r>
    </w:p>
    <w:p w14:paraId="5BBDD4A5" w14:textId="77777777" w:rsidR="00A67F21" w:rsidRPr="00B12FE0" w:rsidRDefault="00000000">
      <w:pPr>
        <w:adjustRightInd w:val="0"/>
        <w:snapToGrid w:val="0"/>
        <w:spacing w:line="360" w:lineRule="auto"/>
        <w:ind w:firstLineChars="200" w:firstLine="480"/>
        <w:rPr>
          <w:bCs/>
          <w:color w:val="000000" w:themeColor="text1"/>
          <w:sz w:val="21"/>
          <w:szCs w:val="21"/>
        </w:rPr>
      </w:pPr>
      <w:r w:rsidRPr="00B12FE0">
        <w:rPr>
          <w:rFonts w:ascii="宋体" w:hAnsi="宋体"/>
          <w:bCs/>
          <w:color w:val="000000" w:themeColor="text1"/>
          <w:szCs w:val="24"/>
        </w:rPr>
        <w:t>回旋加速器工作原理见下图。</w:t>
      </w:r>
    </w:p>
    <w:p w14:paraId="1C93B59B" w14:textId="77777777" w:rsidR="00A67F21" w:rsidRPr="00B12FE0" w:rsidRDefault="00000000">
      <w:pPr>
        <w:tabs>
          <w:tab w:val="left" w:pos="719"/>
        </w:tabs>
        <w:kinsoku w:val="0"/>
        <w:overflowPunct w:val="0"/>
        <w:adjustRightInd w:val="0"/>
        <w:snapToGrid w:val="0"/>
        <w:ind w:leftChars="50" w:left="120" w:rightChars="50" w:right="120"/>
        <w:jc w:val="center"/>
        <w:rPr>
          <w:b/>
          <w:bCs/>
          <w:color w:val="000000" w:themeColor="text1"/>
          <w:sz w:val="21"/>
          <w:szCs w:val="21"/>
        </w:rPr>
      </w:pPr>
      <w:r w:rsidRPr="00B12FE0">
        <w:rPr>
          <w:noProof/>
          <w:color w:val="000000" w:themeColor="text1"/>
          <w:sz w:val="21"/>
          <w:szCs w:val="21"/>
        </w:rPr>
        <w:drawing>
          <wp:inline distT="0" distB="0" distL="0" distR="0" wp14:anchorId="517511CD" wp14:editId="1338B832">
            <wp:extent cx="3891280" cy="2732405"/>
            <wp:effectExtent l="0" t="0" r="0" b="0"/>
            <wp:docPr id="45780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0876"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91280" cy="2732405"/>
                    </a:xfrm>
                    <a:prstGeom prst="rect">
                      <a:avLst/>
                    </a:prstGeom>
                    <a:noFill/>
                    <a:ln>
                      <a:noFill/>
                    </a:ln>
                  </pic:spPr>
                </pic:pic>
              </a:graphicData>
            </a:graphic>
          </wp:inline>
        </w:drawing>
      </w:r>
      <w:r w:rsidRPr="00B12FE0">
        <w:rPr>
          <w:b/>
          <w:bCs/>
          <w:color w:val="000000" w:themeColor="text1"/>
          <w:sz w:val="21"/>
          <w:szCs w:val="21"/>
        </w:rPr>
        <w:t xml:space="preserve"> </w:t>
      </w:r>
    </w:p>
    <w:p w14:paraId="69AAB1DB" w14:textId="77777777" w:rsidR="00A67F21" w:rsidRPr="00B12FE0" w:rsidRDefault="00000000">
      <w:pPr>
        <w:tabs>
          <w:tab w:val="left" w:pos="719"/>
        </w:tabs>
        <w:kinsoku w:val="0"/>
        <w:overflowPunct w:val="0"/>
        <w:adjustRightInd w:val="0"/>
        <w:snapToGrid w:val="0"/>
        <w:ind w:leftChars="50" w:left="120" w:rightChars="50" w:right="120"/>
        <w:contextualSpacing/>
        <w:jc w:val="center"/>
        <w:rPr>
          <w:bCs/>
          <w:color w:val="000000" w:themeColor="text1"/>
          <w:szCs w:val="24"/>
        </w:rPr>
      </w:pPr>
      <w:r w:rsidRPr="00B12FE0">
        <w:rPr>
          <w:rFonts w:ascii="宋体" w:hAnsi="宋体"/>
          <w:b/>
          <w:color w:val="000000" w:themeColor="text1"/>
          <w:sz w:val="21"/>
          <w:szCs w:val="21"/>
        </w:rPr>
        <w:t>图</w:t>
      </w:r>
      <w:r w:rsidRPr="00B12FE0">
        <w:rPr>
          <w:b/>
          <w:color w:val="000000" w:themeColor="text1"/>
          <w:sz w:val="21"/>
          <w:szCs w:val="21"/>
        </w:rPr>
        <w:t>9.1.1.2-</w:t>
      </w:r>
      <w:r w:rsidRPr="00B12FE0">
        <w:rPr>
          <w:rFonts w:hint="eastAsia"/>
          <w:b/>
          <w:color w:val="000000" w:themeColor="text1"/>
          <w:sz w:val="21"/>
          <w:szCs w:val="21"/>
        </w:rPr>
        <w:t>1</w:t>
      </w:r>
      <w:r w:rsidRPr="00B12FE0">
        <w:rPr>
          <w:b/>
          <w:color w:val="000000" w:themeColor="text1"/>
          <w:sz w:val="21"/>
          <w:szCs w:val="21"/>
        </w:rPr>
        <w:t xml:space="preserve">  </w:t>
      </w:r>
      <w:r w:rsidRPr="00B12FE0">
        <w:rPr>
          <w:rFonts w:ascii="宋体" w:hAnsi="宋体"/>
          <w:b/>
          <w:color w:val="000000" w:themeColor="text1"/>
          <w:sz w:val="21"/>
          <w:szCs w:val="21"/>
        </w:rPr>
        <w:t>回旋加速器工作原理示意图</w:t>
      </w:r>
    </w:p>
    <w:p w14:paraId="54760163" w14:textId="77777777" w:rsidR="00A67F21" w:rsidRPr="00B12FE0" w:rsidRDefault="00000000">
      <w:pPr>
        <w:adjustRightInd w:val="0"/>
        <w:snapToGrid w:val="0"/>
        <w:spacing w:line="360" w:lineRule="auto"/>
        <w:ind w:firstLineChars="200" w:firstLine="482"/>
        <w:rPr>
          <w:b/>
          <w:bCs/>
          <w:color w:val="000000" w:themeColor="text1"/>
          <w:sz w:val="21"/>
          <w:szCs w:val="21"/>
        </w:rPr>
      </w:pPr>
      <w:r w:rsidRPr="00B12FE0">
        <w:rPr>
          <w:rFonts w:ascii="宋体" w:hAnsi="宋体"/>
          <w:b/>
          <w:bCs/>
          <w:color w:val="000000" w:themeColor="text1"/>
          <w:szCs w:val="24"/>
        </w:rPr>
        <w:t>（</w:t>
      </w:r>
      <w:r w:rsidRPr="00B12FE0">
        <w:rPr>
          <w:b/>
          <w:bCs/>
          <w:color w:val="000000" w:themeColor="text1"/>
          <w:szCs w:val="24"/>
        </w:rPr>
        <w:t>3</w:t>
      </w:r>
      <w:r w:rsidRPr="00B12FE0">
        <w:rPr>
          <w:rFonts w:ascii="宋体" w:hAnsi="宋体"/>
          <w:b/>
          <w:bCs/>
          <w:color w:val="000000" w:themeColor="text1"/>
          <w:szCs w:val="24"/>
        </w:rPr>
        <w:t>）回旋加速器技术参数</w:t>
      </w:r>
    </w:p>
    <w:p w14:paraId="4E202335" w14:textId="77777777" w:rsidR="00A67F21" w:rsidRPr="00B12FE0" w:rsidRDefault="00000000">
      <w:pPr>
        <w:adjustRightInd w:val="0"/>
        <w:snapToGrid w:val="0"/>
        <w:spacing w:line="360" w:lineRule="auto"/>
        <w:ind w:firstLineChars="200" w:firstLine="480"/>
        <w:rPr>
          <w:color w:val="000000" w:themeColor="text1"/>
          <w:sz w:val="21"/>
          <w:szCs w:val="21"/>
        </w:rPr>
      </w:pPr>
      <w:r w:rsidRPr="00B12FE0">
        <w:rPr>
          <w:rFonts w:ascii="宋体" w:hAnsi="宋体"/>
          <w:color w:val="000000" w:themeColor="text1"/>
          <w:szCs w:val="24"/>
        </w:rPr>
        <w:t>设备具体参数见表</w:t>
      </w:r>
      <w:r w:rsidRPr="00B12FE0">
        <w:rPr>
          <w:color w:val="000000" w:themeColor="text1"/>
          <w:szCs w:val="24"/>
        </w:rPr>
        <w:t>9.1.1.2-1</w:t>
      </w:r>
      <w:r w:rsidRPr="00B12FE0">
        <w:rPr>
          <w:rFonts w:ascii="宋体" w:hAnsi="宋体"/>
          <w:color w:val="000000" w:themeColor="text1"/>
          <w:szCs w:val="24"/>
        </w:rPr>
        <w:t>。</w:t>
      </w:r>
    </w:p>
    <w:p w14:paraId="41F385D7"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9.1.1.2-1  </w:t>
      </w:r>
      <w:r w:rsidRPr="00B12FE0">
        <w:rPr>
          <w:rFonts w:ascii="宋体" w:hAnsi="宋体"/>
          <w:b/>
          <w:color w:val="000000" w:themeColor="text1"/>
          <w:sz w:val="21"/>
          <w:szCs w:val="21"/>
        </w:rPr>
        <w:t>回旋加速器主要技术参数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5"/>
        <w:gridCol w:w="4402"/>
      </w:tblGrid>
      <w:tr w:rsidR="00A67F21" w:rsidRPr="00B12FE0" w14:paraId="5C413035" w14:textId="77777777">
        <w:trPr>
          <w:trHeight w:val="397"/>
          <w:jc w:val="center"/>
        </w:trPr>
        <w:tc>
          <w:tcPr>
            <w:tcW w:w="4614" w:type="dxa"/>
            <w:tcBorders>
              <w:top w:val="single" w:sz="4" w:space="0" w:color="auto"/>
              <w:left w:val="single" w:sz="4" w:space="0" w:color="auto"/>
              <w:bottom w:val="single" w:sz="4" w:space="0" w:color="auto"/>
              <w:right w:val="single" w:sz="4" w:space="0" w:color="auto"/>
            </w:tcBorders>
            <w:vAlign w:val="center"/>
          </w:tcPr>
          <w:p w14:paraId="36625DED" w14:textId="77777777" w:rsidR="00A67F21" w:rsidRPr="00B12FE0" w:rsidRDefault="00000000">
            <w:pPr>
              <w:adjustRightInd w:val="0"/>
              <w:snapToGrid w:val="0"/>
              <w:jc w:val="center"/>
              <w:rPr>
                <w:b/>
                <w:bCs/>
                <w:color w:val="000000" w:themeColor="text1"/>
                <w:sz w:val="21"/>
                <w:szCs w:val="21"/>
              </w:rPr>
            </w:pPr>
            <w:r w:rsidRPr="00B12FE0">
              <w:rPr>
                <w:rFonts w:ascii="宋体" w:hAnsi="宋体"/>
                <w:b/>
                <w:bCs/>
                <w:color w:val="000000" w:themeColor="text1"/>
                <w:sz w:val="21"/>
                <w:szCs w:val="21"/>
              </w:rPr>
              <w:t>项目</w:t>
            </w:r>
          </w:p>
        </w:tc>
        <w:tc>
          <w:tcPr>
            <w:tcW w:w="4402" w:type="dxa"/>
            <w:tcBorders>
              <w:top w:val="single" w:sz="4" w:space="0" w:color="auto"/>
              <w:left w:val="single" w:sz="4" w:space="0" w:color="auto"/>
              <w:bottom w:val="single" w:sz="4" w:space="0" w:color="auto"/>
              <w:right w:val="single" w:sz="4" w:space="0" w:color="auto"/>
            </w:tcBorders>
            <w:vAlign w:val="center"/>
          </w:tcPr>
          <w:p w14:paraId="76BA183F" w14:textId="77777777" w:rsidR="00A67F21" w:rsidRPr="00B12FE0" w:rsidRDefault="00000000">
            <w:pPr>
              <w:adjustRightInd w:val="0"/>
              <w:snapToGrid w:val="0"/>
              <w:jc w:val="center"/>
              <w:rPr>
                <w:b/>
                <w:bCs/>
                <w:color w:val="000000" w:themeColor="text1"/>
                <w:sz w:val="21"/>
                <w:szCs w:val="21"/>
              </w:rPr>
            </w:pPr>
            <w:r w:rsidRPr="00B12FE0">
              <w:rPr>
                <w:b/>
                <w:bCs/>
                <w:color w:val="000000" w:themeColor="text1"/>
                <w:sz w:val="21"/>
                <w:szCs w:val="21"/>
              </w:rPr>
              <w:t>有关参数</w:t>
            </w:r>
          </w:p>
        </w:tc>
      </w:tr>
      <w:tr w:rsidR="00A67F21" w:rsidRPr="00B12FE0" w14:paraId="13609819" w14:textId="77777777">
        <w:trPr>
          <w:trHeight w:val="397"/>
          <w:jc w:val="center"/>
        </w:trPr>
        <w:tc>
          <w:tcPr>
            <w:tcW w:w="4614" w:type="dxa"/>
            <w:tcBorders>
              <w:top w:val="single" w:sz="4" w:space="0" w:color="auto"/>
              <w:left w:val="single" w:sz="4" w:space="0" w:color="auto"/>
              <w:bottom w:val="single" w:sz="4" w:space="0" w:color="auto"/>
              <w:right w:val="single" w:sz="4" w:space="0" w:color="auto"/>
            </w:tcBorders>
            <w:vAlign w:val="center"/>
          </w:tcPr>
          <w:p w14:paraId="4BE33CE4"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ascii="宋体" w:hAnsi="宋体"/>
                <w:color w:val="000000" w:themeColor="text1"/>
                <w:sz w:val="21"/>
                <w:szCs w:val="21"/>
              </w:rPr>
              <w:t>回旋加速器类型</w:t>
            </w:r>
          </w:p>
        </w:tc>
        <w:tc>
          <w:tcPr>
            <w:tcW w:w="4402" w:type="dxa"/>
            <w:tcBorders>
              <w:top w:val="single" w:sz="4" w:space="0" w:color="auto"/>
              <w:left w:val="single" w:sz="4" w:space="0" w:color="auto"/>
              <w:bottom w:val="single" w:sz="4" w:space="0" w:color="auto"/>
              <w:right w:val="single" w:sz="4" w:space="0" w:color="auto"/>
            </w:tcBorders>
            <w:vAlign w:val="center"/>
          </w:tcPr>
          <w:p w14:paraId="67A3D64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自屏蔽回旋加速</w:t>
            </w:r>
          </w:p>
        </w:tc>
      </w:tr>
      <w:tr w:rsidR="00A67F21" w:rsidRPr="00B12FE0" w14:paraId="0A05900E" w14:textId="77777777">
        <w:trPr>
          <w:trHeight w:val="397"/>
          <w:jc w:val="center"/>
        </w:trPr>
        <w:tc>
          <w:tcPr>
            <w:tcW w:w="4614" w:type="dxa"/>
            <w:tcBorders>
              <w:top w:val="single" w:sz="4" w:space="0" w:color="auto"/>
              <w:left w:val="single" w:sz="4" w:space="0" w:color="auto"/>
              <w:bottom w:val="single" w:sz="4" w:space="0" w:color="auto"/>
              <w:right w:val="single" w:sz="4" w:space="0" w:color="auto"/>
            </w:tcBorders>
            <w:vAlign w:val="center"/>
          </w:tcPr>
          <w:p w14:paraId="7BB7A7EF"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ascii="宋体" w:hAnsi="宋体"/>
                <w:color w:val="000000" w:themeColor="text1"/>
                <w:sz w:val="21"/>
                <w:szCs w:val="21"/>
              </w:rPr>
              <w:t>型号</w:t>
            </w:r>
          </w:p>
        </w:tc>
        <w:tc>
          <w:tcPr>
            <w:tcW w:w="4402" w:type="dxa"/>
            <w:tcBorders>
              <w:top w:val="single" w:sz="4" w:space="0" w:color="auto"/>
              <w:left w:val="single" w:sz="4" w:space="0" w:color="auto"/>
              <w:bottom w:val="single" w:sz="4" w:space="0" w:color="auto"/>
              <w:right w:val="single" w:sz="4" w:space="0" w:color="auto"/>
            </w:tcBorders>
            <w:vAlign w:val="center"/>
          </w:tcPr>
          <w:p w14:paraId="4FB2662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待定</w:t>
            </w:r>
          </w:p>
        </w:tc>
      </w:tr>
      <w:tr w:rsidR="00A67F21" w:rsidRPr="00B12FE0" w14:paraId="212909DF" w14:textId="77777777">
        <w:trPr>
          <w:trHeight w:val="397"/>
          <w:jc w:val="center"/>
        </w:trPr>
        <w:tc>
          <w:tcPr>
            <w:tcW w:w="4614" w:type="dxa"/>
            <w:tcBorders>
              <w:top w:val="single" w:sz="4" w:space="0" w:color="auto"/>
              <w:left w:val="single" w:sz="4" w:space="0" w:color="auto"/>
              <w:bottom w:val="single" w:sz="4" w:space="0" w:color="auto"/>
              <w:right w:val="single" w:sz="4" w:space="0" w:color="auto"/>
            </w:tcBorders>
            <w:vAlign w:val="center"/>
          </w:tcPr>
          <w:p w14:paraId="1274312C"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ascii="宋体" w:hAnsi="宋体"/>
                <w:color w:val="000000" w:themeColor="text1"/>
                <w:sz w:val="21"/>
                <w:szCs w:val="21"/>
              </w:rPr>
              <w:t>加速质子</w:t>
            </w:r>
            <w:r w:rsidRPr="00B12FE0">
              <w:rPr>
                <w:rFonts w:ascii="宋体" w:hAnsi="宋体" w:hint="eastAsia"/>
                <w:color w:val="000000" w:themeColor="text1"/>
                <w:sz w:val="21"/>
                <w:szCs w:val="21"/>
              </w:rPr>
              <w:t>最大</w:t>
            </w:r>
            <w:r w:rsidRPr="00B12FE0">
              <w:rPr>
                <w:rFonts w:ascii="宋体" w:hAnsi="宋体"/>
                <w:color w:val="000000" w:themeColor="text1"/>
                <w:sz w:val="21"/>
                <w:szCs w:val="21"/>
              </w:rPr>
              <w:t>能量</w:t>
            </w:r>
          </w:p>
        </w:tc>
        <w:tc>
          <w:tcPr>
            <w:tcW w:w="4402" w:type="dxa"/>
            <w:tcBorders>
              <w:top w:val="single" w:sz="4" w:space="0" w:color="auto"/>
              <w:left w:val="single" w:sz="4" w:space="0" w:color="auto"/>
              <w:bottom w:val="single" w:sz="4" w:space="0" w:color="auto"/>
              <w:right w:val="single" w:sz="4" w:space="0" w:color="auto"/>
            </w:tcBorders>
            <w:vAlign w:val="center"/>
          </w:tcPr>
          <w:p w14:paraId="0E8F0E6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10MeV</w:t>
            </w:r>
          </w:p>
        </w:tc>
      </w:tr>
      <w:tr w:rsidR="00A67F21" w:rsidRPr="00B12FE0" w14:paraId="778E0596" w14:textId="77777777">
        <w:trPr>
          <w:trHeight w:val="397"/>
          <w:jc w:val="center"/>
        </w:trPr>
        <w:tc>
          <w:tcPr>
            <w:tcW w:w="4614" w:type="dxa"/>
            <w:tcBorders>
              <w:top w:val="single" w:sz="4" w:space="0" w:color="auto"/>
              <w:left w:val="single" w:sz="4" w:space="0" w:color="auto"/>
              <w:bottom w:val="single" w:sz="4" w:space="0" w:color="auto"/>
              <w:right w:val="single" w:sz="4" w:space="0" w:color="auto"/>
            </w:tcBorders>
            <w:vAlign w:val="center"/>
          </w:tcPr>
          <w:p w14:paraId="3E6C722C"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ascii="宋体" w:hAnsi="宋体"/>
                <w:color w:val="000000" w:themeColor="text1"/>
                <w:sz w:val="21"/>
                <w:szCs w:val="21"/>
              </w:rPr>
              <w:t>最大束流</w:t>
            </w:r>
          </w:p>
        </w:tc>
        <w:tc>
          <w:tcPr>
            <w:tcW w:w="4402" w:type="dxa"/>
            <w:tcBorders>
              <w:top w:val="single" w:sz="4" w:space="0" w:color="auto"/>
              <w:left w:val="single" w:sz="4" w:space="0" w:color="auto"/>
              <w:bottom w:val="single" w:sz="4" w:space="0" w:color="auto"/>
              <w:right w:val="single" w:sz="4" w:space="0" w:color="auto"/>
            </w:tcBorders>
            <w:vAlign w:val="center"/>
          </w:tcPr>
          <w:p w14:paraId="6164EAB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100μA</w:t>
            </w:r>
          </w:p>
        </w:tc>
      </w:tr>
    </w:tbl>
    <w:p w14:paraId="1E793CC9" w14:textId="77777777" w:rsidR="00A67F21" w:rsidRPr="00B12FE0" w:rsidRDefault="00000000">
      <w:pPr>
        <w:adjustRightInd w:val="0"/>
        <w:snapToGrid w:val="0"/>
        <w:spacing w:line="360" w:lineRule="auto"/>
        <w:ind w:firstLineChars="200" w:firstLine="482"/>
        <w:rPr>
          <w:b/>
          <w:bCs/>
          <w:color w:val="000000" w:themeColor="text1"/>
          <w:sz w:val="21"/>
          <w:szCs w:val="21"/>
        </w:rPr>
      </w:pPr>
      <w:r w:rsidRPr="00B12FE0">
        <w:rPr>
          <w:rFonts w:ascii="宋体" w:hAnsi="宋体"/>
          <w:b/>
          <w:bCs/>
          <w:color w:val="000000" w:themeColor="text1"/>
          <w:szCs w:val="24"/>
        </w:rPr>
        <w:t>（</w:t>
      </w:r>
      <w:r w:rsidRPr="00B12FE0">
        <w:rPr>
          <w:b/>
          <w:bCs/>
          <w:color w:val="000000" w:themeColor="text1"/>
          <w:szCs w:val="24"/>
        </w:rPr>
        <w:t>4</w:t>
      </w:r>
      <w:r w:rsidRPr="00B12FE0">
        <w:rPr>
          <w:rFonts w:ascii="宋体" w:hAnsi="宋体"/>
          <w:b/>
          <w:bCs/>
          <w:color w:val="000000" w:themeColor="text1"/>
          <w:szCs w:val="24"/>
        </w:rPr>
        <w:t>）制药规划</w:t>
      </w:r>
    </w:p>
    <w:p w14:paraId="2C1DB713"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回旋加速器药物制备项目，每年工作</w:t>
      </w:r>
      <w:r w:rsidRPr="00B12FE0">
        <w:rPr>
          <w:bCs/>
          <w:color w:val="000000" w:themeColor="text1"/>
          <w:szCs w:val="24"/>
        </w:rPr>
        <w:t>250</w:t>
      </w:r>
      <w:r w:rsidRPr="00B12FE0">
        <w:rPr>
          <w:rFonts w:ascii="宋体" w:hAnsi="宋体"/>
          <w:bCs/>
          <w:color w:val="000000" w:themeColor="text1"/>
          <w:szCs w:val="24"/>
        </w:rPr>
        <w:t>天，每周工作</w:t>
      </w:r>
      <w:r w:rsidRPr="00B12FE0">
        <w:rPr>
          <w:bCs/>
          <w:color w:val="000000" w:themeColor="text1"/>
          <w:szCs w:val="24"/>
        </w:rPr>
        <w:t>5</w:t>
      </w:r>
      <w:r w:rsidRPr="00B12FE0">
        <w:rPr>
          <w:rFonts w:ascii="宋体" w:hAnsi="宋体"/>
          <w:bCs/>
          <w:color w:val="000000" w:themeColor="text1"/>
          <w:szCs w:val="24"/>
        </w:rPr>
        <w:t>天。根据医院核医学科</w:t>
      </w:r>
      <w:r w:rsidRPr="00B12FE0">
        <w:rPr>
          <w:bCs/>
          <w:color w:val="000000" w:themeColor="text1"/>
          <w:szCs w:val="24"/>
        </w:rPr>
        <w:t>PET</w:t>
      </w:r>
      <w:r w:rsidRPr="00B12FE0">
        <w:rPr>
          <w:rFonts w:ascii="宋体" w:hAnsi="宋体"/>
          <w:bCs/>
          <w:color w:val="000000" w:themeColor="text1"/>
          <w:szCs w:val="24"/>
        </w:rPr>
        <w:t>诊断项目的临床使用需求，</w:t>
      </w:r>
      <w:r w:rsidRPr="00B12FE0">
        <w:rPr>
          <w:rFonts w:ascii="宋体" w:hAnsi="宋体"/>
          <w:color w:val="000000" w:themeColor="text1"/>
          <w:szCs w:val="24"/>
        </w:rPr>
        <w:t>制备放射性核素</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用于显像诊断</w:t>
      </w:r>
      <w:r w:rsidRPr="00B12FE0">
        <w:rPr>
          <w:rFonts w:ascii="宋体" w:hAnsi="宋体"/>
          <w:bCs/>
          <w:color w:val="000000" w:themeColor="text1"/>
          <w:szCs w:val="24"/>
        </w:rPr>
        <w:t>。</w:t>
      </w:r>
    </w:p>
    <w:p w14:paraId="0B051565"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考虑到放射性药物自身的衰变，为保证每批次最后一位患者放射性药物量注射量均满足要求，拟采取增加放射性药物制备</w:t>
      </w:r>
      <w:proofErr w:type="gramStart"/>
      <w:r w:rsidRPr="00B12FE0">
        <w:rPr>
          <w:rFonts w:ascii="宋体" w:hAnsi="宋体"/>
          <w:color w:val="000000" w:themeColor="text1"/>
          <w:szCs w:val="24"/>
        </w:rPr>
        <w:t>量确保</w:t>
      </w:r>
      <w:proofErr w:type="gramEnd"/>
      <w:r w:rsidRPr="00B12FE0">
        <w:rPr>
          <w:rFonts w:ascii="宋体" w:hAnsi="宋体"/>
          <w:color w:val="000000" w:themeColor="text1"/>
          <w:szCs w:val="24"/>
        </w:rPr>
        <w:t>活度满足使用要求。因此按照核医学科核素诊断场所放射性药物使用量的</w:t>
      </w:r>
      <w:r w:rsidRPr="00B12FE0">
        <w:rPr>
          <w:color w:val="000000" w:themeColor="text1"/>
          <w:szCs w:val="24"/>
        </w:rPr>
        <w:t>3</w:t>
      </w:r>
      <w:r w:rsidRPr="00B12FE0">
        <w:rPr>
          <w:rFonts w:ascii="宋体" w:hAnsi="宋体"/>
          <w:color w:val="000000" w:themeColor="text1"/>
          <w:szCs w:val="24"/>
        </w:rPr>
        <w:t>倍进行制药。</w:t>
      </w:r>
    </w:p>
    <w:p w14:paraId="5D126DBA" w14:textId="77777777" w:rsidR="00A67F21" w:rsidRPr="00B12FE0" w:rsidRDefault="00000000">
      <w:pPr>
        <w:adjustRightInd w:val="0"/>
        <w:snapToGrid w:val="0"/>
        <w:spacing w:line="360" w:lineRule="auto"/>
        <w:ind w:firstLineChars="200" w:firstLine="480"/>
        <w:rPr>
          <w:rFonts w:ascii="宋体" w:hAnsi="宋体" w:hint="eastAsia"/>
          <w:bCs/>
          <w:color w:val="000000" w:themeColor="text1"/>
          <w:szCs w:val="24"/>
        </w:rPr>
      </w:pPr>
      <w:r w:rsidRPr="00B12FE0">
        <w:rPr>
          <w:rFonts w:ascii="宋体" w:hAnsi="宋体"/>
          <w:bCs/>
          <w:color w:val="000000" w:themeColor="text1"/>
          <w:szCs w:val="24"/>
        </w:rPr>
        <w:t>每个工作日都进行核素生产，</w:t>
      </w:r>
      <w:r w:rsidRPr="00B12FE0">
        <w:rPr>
          <w:rFonts w:hint="eastAsia"/>
          <w:color w:val="000000" w:themeColor="text1"/>
        </w:rPr>
        <w:t>按本项目用药规划满负荷的情况考虑，</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核素上下午各生产一次，每次开机打靶需</w:t>
      </w:r>
      <w:r w:rsidRPr="00B12FE0">
        <w:rPr>
          <w:color w:val="000000" w:themeColor="text1"/>
          <w:szCs w:val="24"/>
        </w:rPr>
        <w:t>2</w:t>
      </w:r>
      <w:r w:rsidRPr="00B12FE0">
        <w:rPr>
          <w:rFonts w:ascii="宋体" w:hAnsi="宋体"/>
          <w:color w:val="000000" w:themeColor="text1"/>
          <w:szCs w:val="24"/>
        </w:rPr>
        <w:t>小时，</w:t>
      </w:r>
      <w:r w:rsidRPr="00B12FE0">
        <w:rPr>
          <w:rFonts w:ascii="宋体" w:hAnsi="宋体"/>
          <w:bCs/>
          <w:color w:val="000000" w:themeColor="text1"/>
          <w:szCs w:val="24"/>
        </w:rPr>
        <w:t>核素最大日产量及其相关技术参数见表</w:t>
      </w:r>
      <w:r w:rsidRPr="00B12FE0">
        <w:rPr>
          <w:bCs/>
          <w:color w:val="000000" w:themeColor="text1"/>
          <w:szCs w:val="24"/>
        </w:rPr>
        <w:t>9.1.1.2-2</w:t>
      </w:r>
      <w:r w:rsidRPr="00B12FE0">
        <w:rPr>
          <w:rFonts w:ascii="宋体" w:hAnsi="宋体"/>
          <w:bCs/>
          <w:color w:val="000000" w:themeColor="text1"/>
          <w:szCs w:val="24"/>
        </w:rPr>
        <w:t>。</w:t>
      </w:r>
    </w:p>
    <w:p w14:paraId="27084E97" w14:textId="77777777" w:rsidR="00A67F21" w:rsidRPr="00B12FE0" w:rsidRDefault="00A67F21">
      <w:pPr>
        <w:pStyle w:val="21"/>
        <w:ind w:left="480" w:firstLine="480"/>
        <w:rPr>
          <w:color w:val="000000" w:themeColor="text1"/>
        </w:rPr>
      </w:pPr>
    </w:p>
    <w:p w14:paraId="04BBBE6A"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lastRenderedPageBreak/>
        <w:t>表</w:t>
      </w:r>
      <w:r w:rsidRPr="00B12FE0">
        <w:rPr>
          <w:b/>
          <w:bCs/>
          <w:color w:val="000000" w:themeColor="text1"/>
          <w:sz w:val="21"/>
          <w:szCs w:val="21"/>
        </w:rPr>
        <w:t>9</w:t>
      </w:r>
      <w:r w:rsidRPr="00B12FE0">
        <w:rPr>
          <w:b/>
          <w:color w:val="000000" w:themeColor="text1"/>
          <w:sz w:val="21"/>
          <w:szCs w:val="21"/>
        </w:rPr>
        <w:t>.1.1.2</w:t>
      </w:r>
      <w:r w:rsidRPr="00B12FE0">
        <w:rPr>
          <w:b/>
          <w:bCs/>
          <w:color w:val="000000" w:themeColor="text1"/>
          <w:sz w:val="21"/>
          <w:szCs w:val="21"/>
        </w:rPr>
        <w:t xml:space="preserve">-2  </w:t>
      </w:r>
      <w:r w:rsidRPr="00B12FE0">
        <w:rPr>
          <w:rFonts w:ascii="宋体" w:hAnsi="宋体"/>
          <w:b/>
          <w:bCs/>
          <w:color w:val="000000" w:themeColor="text1"/>
          <w:sz w:val="21"/>
          <w:szCs w:val="21"/>
        </w:rPr>
        <w:t>拟制备放射性核素的相关信息</w:t>
      </w:r>
    </w:p>
    <w:tbl>
      <w:tblPr>
        <w:tblW w:w="5000" w:type="pct"/>
        <w:jc w:val="center"/>
        <w:tblLook w:val="04A0" w:firstRow="1" w:lastRow="0" w:firstColumn="1" w:lastColumn="0" w:noHBand="0" w:noVBand="1"/>
      </w:tblPr>
      <w:tblGrid>
        <w:gridCol w:w="1034"/>
        <w:gridCol w:w="1059"/>
        <w:gridCol w:w="1021"/>
        <w:gridCol w:w="1330"/>
        <w:gridCol w:w="1447"/>
        <w:gridCol w:w="1605"/>
        <w:gridCol w:w="1521"/>
      </w:tblGrid>
      <w:tr w:rsidR="00A67F21" w:rsidRPr="00B12FE0" w14:paraId="43962DB3" w14:textId="77777777">
        <w:trPr>
          <w:trHeight w:val="340"/>
          <w:jc w:val="center"/>
        </w:trPr>
        <w:tc>
          <w:tcPr>
            <w:tcW w:w="580" w:type="pct"/>
            <w:tcBorders>
              <w:top w:val="single" w:sz="4" w:space="0" w:color="000000"/>
              <w:left w:val="single" w:sz="4" w:space="0" w:color="000000"/>
              <w:bottom w:val="single" w:sz="4" w:space="0" w:color="000000"/>
              <w:right w:val="single" w:sz="4" w:space="0" w:color="000000"/>
            </w:tcBorders>
            <w:vAlign w:val="center"/>
          </w:tcPr>
          <w:p w14:paraId="3184ADE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w:t>
            </w:r>
          </w:p>
        </w:tc>
        <w:tc>
          <w:tcPr>
            <w:tcW w:w="594" w:type="pct"/>
            <w:tcBorders>
              <w:top w:val="single" w:sz="4" w:space="0" w:color="000000"/>
              <w:left w:val="nil"/>
              <w:bottom w:val="single" w:sz="4" w:space="0" w:color="000000"/>
              <w:right w:val="single" w:sz="4" w:space="0" w:color="000000"/>
            </w:tcBorders>
            <w:vAlign w:val="center"/>
          </w:tcPr>
          <w:p w14:paraId="4A0FE54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物理状态</w:t>
            </w:r>
          </w:p>
        </w:tc>
        <w:tc>
          <w:tcPr>
            <w:tcW w:w="573" w:type="pct"/>
            <w:tcBorders>
              <w:top w:val="single" w:sz="4" w:space="0" w:color="000000"/>
              <w:left w:val="nil"/>
              <w:bottom w:val="single" w:sz="4" w:space="0" w:color="000000"/>
              <w:right w:val="single" w:sz="4" w:space="0" w:color="000000"/>
            </w:tcBorders>
            <w:vAlign w:val="center"/>
          </w:tcPr>
          <w:p w14:paraId="5EDCED9A"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毒性</w:t>
            </w:r>
          </w:p>
        </w:tc>
        <w:tc>
          <w:tcPr>
            <w:tcW w:w="744" w:type="pct"/>
            <w:tcBorders>
              <w:top w:val="single" w:sz="4" w:space="0" w:color="000000"/>
              <w:left w:val="nil"/>
              <w:bottom w:val="single" w:sz="4" w:space="0" w:color="000000"/>
              <w:right w:val="single" w:sz="4" w:space="0" w:color="000000"/>
            </w:tcBorders>
            <w:vAlign w:val="center"/>
          </w:tcPr>
          <w:p w14:paraId="5C9407FB"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半衰期</w:t>
            </w:r>
          </w:p>
        </w:tc>
        <w:tc>
          <w:tcPr>
            <w:tcW w:w="809" w:type="pct"/>
            <w:tcBorders>
              <w:top w:val="single" w:sz="4" w:space="0" w:color="000000"/>
              <w:left w:val="nil"/>
              <w:bottom w:val="single" w:sz="4" w:space="0" w:color="000000"/>
              <w:right w:val="single" w:sz="4" w:space="0" w:color="000000"/>
            </w:tcBorders>
            <w:vAlign w:val="center"/>
          </w:tcPr>
          <w:p w14:paraId="36031CA0"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日产额（</w:t>
            </w:r>
            <w:r w:rsidRPr="00B12FE0">
              <w:rPr>
                <w:color w:val="000000" w:themeColor="text1"/>
                <w:kern w:val="0"/>
                <w:sz w:val="21"/>
                <w:szCs w:val="21"/>
              </w:rPr>
              <w:t>Bq</w:t>
            </w:r>
            <w:r w:rsidRPr="00B12FE0">
              <w:rPr>
                <w:rFonts w:ascii="宋体" w:hAnsi="宋体"/>
                <w:color w:val="000000" w:themeColor="text1"/>
                <w:kern w:val="0"/>
                <w:sz w:val="21"/>
                <w:szCs w:val="21"/>
              </w:rPr>
              <w:t>）</w:t>
            </w:r>
          </w:p>
        </w:tc>
        <w:tc>
          <w:tcPr>
            <w:tcW w:w="850" w:type="pct"/>
            <w:tcBorders>
              <w:top w:val="single" w:sz="4" w:space="0" w:color="000000"/>
              <w:left w:val="nil"/>
              <w:bottom w:val="single" w:sz="4" w:space="0" w:color="000000"/>
              <w:right w:val="single" w:sz="4" w:space="0" w:color="000000"/>
            </w:tcBorders>
            <w:noWrap/>
            <w:vAlign w:val="center"/>
          </w:tcPr>
          <w:p w14:paraId="306DE3F1" w14:textId="77777777" w:rsidR="00A67F21" w:rsidRPr="00B12FE0" w:rsidRDefault="00000000">
            <w:pPr>
              <w:widowControl/>
              <w:jc w:val="center"/>
              <w:textAlignment w:val="center"/>
              <w:rPr>
                <w:color w:val="000000" w:themeColor="text1"/>
                <w:kern w:val="0"/>
                <w:sz w:val="21"/>
                <w:szCs w:val="21"/>
              </w:rPr>
            </w:pPr>
            <w:r w:rsidRPr="00B12FE0">
              <w:rPr>
                <w:rFonts w:ascii="宋体" w:hAnsi="宋体"/>
                <w:color w:val="000000" w:themeColor="text1"/>
                <w:kern w:val="0"/>
                <w:sz w:val="21"/>
                <w:szCs w:val="21"/>
              </w:rPr>
              <w:t>核反应</w:t>
            </w:r>
          </w:p>
        </w:tc>
        <w:tc>
          <w:tcPr>
            <w:tcW w:w="850" w:type="pct"/>
            <w:tcBorders>
              <w:top w:val="single" w:sz="4" w:space="0" w:color="000000"/>
              <w:left w:val="nil"/>
              <w:bottom w:val="single" w:sz="4" w:space="0" w:color="000000"/>
              <w:right w:val="single" w:sz="4" w:space="0" w:color="000000"/>
            </w:tcBorders>
            <w:noWrap/>
            <w:vAlign w:val="center"/>
          </w:tcPr>
          <w:p w14:paraId="02CE68C6" w14:textId="77777777" w:rsidR="00A67F21" w:rsidRPr="00B12FE0" w:rsidRDefault="00000000">
            <w:pPr>
              <w:widowControl/>
              <w:jc w:val="center"/>
              <w:textAlignment w:val="center"/>
              <w:rPr>
                <w:color w:val="000000" w:themeColor="text1"/>
                <w:sz w:val="21"/>
                <w:szCs w:val="21"/>
              </w:rPr>
            </w:pPr>
            <w:proofErr w:type="gramStart"/>
            <w:r w:rsidRPr="00B12FE0">
              <w:rPr>
                <w:rFonts w:ascii="宋体" w:hAnsi="宋体"/>
                <w:color w:val="000000" w:themeColor="text1"/>
                <w:kern w:val="0"/>
                <w:sz w:val="21"/>
                <w:szCs w:val="21"/>
              </w:rPr>
              <w:t>靶类型</w:t>
            </w:r>
            <w:proofErr w:type="gramEnd"/>
          </w:p>
        </w:tc>
      </w:tr>
      <w:tr w:rsidR="00A67F21" w:rsidRPr="00B12FE0" w14:paraId="043F2358" w14:textId="77777777">
        <w:trPr>
          <w:trHeight w:val="340"/>
          <w:jc w:val="center"/>
        </w:trPr>
        <w:tc>
          <w:tcPr>
            <w:tcW w:w="580" w:type="pct"/>
            <w:tcBorders>
              <w:top w:val="single" w:sz="4" w:space="0" w:color="000000"/>
              <w:left w:val="single" w:sz="4" w:space="0" w:color="000000"/>
              <w:bottom w:val="single" w:sz="4" w:space="0" w:color="000000"/>
              <w:right w:val="single" w:sz="4" w:space="0" w:color="000000"/>
            </w:tcBorders>
            <w:noWrap/>
            <w:vAlign w:val="center"/>
          </w:tcPr>
          <w:p w14:paraId="7364079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18</w:t>
            </w:r>
            <w:r w:rsidRPr="00B12FE0">
              <w:rPr>
                <w:color w:val="000000" w:themeColor="text1"/>
                <w:kern w:val="0"/>
                <w:sz w:val="21"/>
                <w:szCs w:val="21"/>
              </w:rPr>
              <w:t>F</w:t>
            </w:r>
          </w:p>
        </w:tc>
        <w:tc>
          <w:tcPr>
            <w:tcW w:w="594" w:type="pct"/>
            <w:tcBorders>
              <w:top w:val="single" w:sz="4" w:space="0" w:color="000000"/>
              <w:left w:val="nil"/>
              <w:bottom w:val="single" w:sz="4" w:space="0" w:color="000000"/>
              <w:right w:val="single" w:sz="4" w:space="0" w:color="000000"/>
            </w:tcBorders>
            <w:noWrap/>
            <w:vAlign w:val="center"/>
          </w:tcPr>
          <w:p w14:paraId="5F841B5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液态</w:t>
            </w:r>
          </w:p>
        </w:tc>
        <w:tc>
          <w:tcPr>
            <w:tcW w:w="573" w:type="pct"/>
            <w:tcBorders>
              <w:top w:val="single" w:sz="4" w:space="0" w:color="000000"/>
              <w:left w:val="nil"/>
              <w:bottom w:val="single" w:sz="4" w:space="0" w:color="000000"/>
              <w:right w:val="single" w:sz="4" w:space="0" w:color="000000"/>
            </w:tcBorders>
            <w:noWrap/>
            <w:vAlign w:val="center"/>
          </w:tcPr>
          <w:p w14:paraId="6A1A09F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低毒</w:t>
            </w:r>
          </w:p>
        </w:tc>
        <w:tc>
          <w:tcPr>
            <w:tcW w:w="744" w:type="pct"/>
            <w:tcBorders>
              <w:top w:val="single" w:sz="4" w:space="0" w:color="000000"/>
              <w:left w:val="nil"/>
              <w:bottom w:val="single" w:sz="4" w:space="0" w:color="000000"/>
              <w:right w:val="single" w:sz="4" w:space="0" w:color="000000"/>
            </w:tcBorders>
            <w:noWrap/>
            <w:vAlign w:val="center"/>
          </w:tcPr>
          <w:p w14:paraId="03FCFA0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109.8min</w:t>
            </w:r>
          </w:p>
        </w:tc>
        <w:tc>
          <w:tcPr>
            <w:tcW w:w="809" w:type="pct"/>
            <w:tcBorders>
              <w:top w:val="single" w:sz="4" w:space="0" w:color="000000"/>
              <w:left w:val="nil"/>
              <w:bottom w:val="single" w:sz="4" w:space="0" w:color="000000"/>
              <w:right w:val="single" w:sz="4" w:space="0" w:color="000000"/>
            </w:tcBorders>
            <w:noWrap/>
            <w:vAlign w:val="center"/>
          </w:tcPr>
          <w:p w14:paraId="1B10F2AE"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850" w:type="pct"/>
            <w:tcBorders>
              <w:top w:val="single" w:sz="4" w:space="0" w:color="000000"/>
              <w:left w:val="nil"/>
              <w:bottom w:val="single" w:sz="4" w:space="0" w:color="000000"/>
              <w:right w:val="single" w:sz="4" w:space="0" w:color="000000"/>
            </w:tcBorders>
            <w:noWrap/>
            <w:vAlign w:val="center"/>
          </w:tcPr>
          <w:p w14:paraId="743AB4A8"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vertAlign w:val="superscript"/>
              </w:rPr>
              <w:t>18</w:t>
            </w:r>
            <w:r w:rsidRPr="00B12FE0">
              <w:rPr>
                <w:color w:val="000000" w:themeColor="text1"/>
                <w:kern w:val="0"/>
                <w:sz w:val="21"/>
                <w:szCs w:val="21"/>
              </w:rPr>
              <w:t>O</w:t>
            </w:r>
            <w:r w:rsidRPr="00B12FE0">
              <w:rPr>
                <w:rFonts w:ascii="宋体" w:hAnsi="宋体"/>
                <w:color w:val="000000" w:themeColor="text1"/>
                <w:kern w:val="0"/>
                <w:sz w:val="21"/>
                <w:szCs w:val="21"/>
              </w:rPr>
              <w:t>（</w:t>
            </w:r>
            <w:r w:rsidRPr="00B12FE0">
              <w:rPr>
                <w:color w:val="000000" w:themeColor="text1"/>
                <w:kern w:val="0"/>
                <w:sz w:val="21"/>
                <w:szCs w:val="21"/>
              </w:rPr>
              <w:t>p</w:t>
            </w:r>
            <w:r w:rsidRPr="00B12FE0">
              <w:rPr>
                <w:rFonts w:ascii="宋体" w:hAnsi="宋体"/>
                <w:color w:val="000000" w:themeColor="text1"/>
                <w:kern w:val="0"/>
                <w:sz w:val="21"/>
                <w:szCs w:val="21"/>
              </w:rPr>
              <w:t>，</w:t>
            </w:r>
            <w:r w:rsidRPr="00B12FE0">
              <w:rPr>
                <w:color w:val="000000" w:themeColor="text1"/>
                <w:kern w:val="0"/>
                <w:sz w:val="21"/>
                <w:szCs w:val="21"/>
              </w:rPr>
              <w:t>n</w:t>
            </w:r>
            <w:r w:rsidRPr="00B12FE0">
              <w:rPr>
                <w:rFonts w:ascii="宋体" w:hAnsi="宋体"/>
                <w:color w:val="000000" w:themeColor="text1"/>
                <w:kern w:val="0"/>
                <w:sz w:val="21"/>
                <w:szCs w:val="21"/>
              </w:rPr>
              <w:t>）</w:t>
            </w:r>
            <w:r w:rsidRPr="00B12FE0">
              <w:rPr>
                <w:color w:val="000000" w:themeColor="text1"/>
                <w:kern w:val="0"/>
                <w:sz w:val="21"/>
                <w:szCs w:val="21"/>
                <w:vertAlign w:val="superscript"/>
              </w:rPr>
              <w:t>18</w:t>
            </w:r>
            <w:r w:rsidRPr="00B12FE0">
              <w:rPr>
                <w:color w:val="000000" w:themeColor="text1"/>
                <w:kern w:val="0"/>
                <w:sz w:val="21"/>
                <w:szCs w:val="21"/>
              </w:rPr>
              <w:t>F</w:t>
            </w:r>
          </w:p>
        </w:tc>
        <w:tc>
          <w:tcPr>
            <w:tcW w:w="850" w:type="pct"/>
            <w:tcBorders>
              <w:top w:val="single" w:sz="4" w:space="0" w:color="000000"/>
              <w:left w:val="nil"/>
              <w:bottom w:val="single" w:sz="4" w:space="0" w:color="000000"/>
              <w:right w:val="single" w:sz="4" w:space="0" w:color="000000"/>
            </w:tcBorders>
            <w:noWrap/>
            <w:vAlign w:val="center"/>
          </w:tcPr>
          <w:p w14:paraId="0B317AC2"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液体靶</w:t>
            </w:r>
          </w:p>
        </w:tc>
      </w:tr>
    </w:tbl>
    <w:p w14:paraId="053BA9A9" w14:textId="77777777" w:rsidR="00A67F21" w:rsidRPr="00B12FE0" w:rsidRDefault="00000000">
      <w:pPr>
        <w:adjustRightInd w:val="0"/>
        <w:snapToGrid w:val="0"/>
        <w:spacing w:line="360" w:lineRule="auto"/>
        <w:ind w:firstLineChars="147" w:firstLine="354"/>
        <w:rPr>
          <w:b/>
          <w:bCs/>
          <w:color w:val="000000" w:themeColor="text1"/>
          <w:sz w:val="21"/>
          <w:szCs w:val="21"/>
        </w:rPr>
      </w:pPr>
      <w:r w:rsidRPr="00B12FE0">
        <w:rPr>
          <w:rFonts w:ascii="宋体" w:hAnsi="宋体"/>
          <w:b/>
          <w:color w:val="000000" w:themeColor="text1"/>
          <w:szCs w:val="24"/>
        </w:rPr>
        <w:t>（</w:t>
      </w:r>
      <w:r w:rsidRPr="00B12FE0">
        <w:rPr>
          <w:b/>
          <w:color w:val="000000" w:themeColor="text1"/>
          <w:szCs w:val="24"/>
        </w:rPr>
        <w:t>5</w:t>
      </w:r>
      <w:r w:rsidRPr="00B12FE0">
        <w:rPr>
          <w:rFonts w:ascii="宋体" w:hAnsi="宋体"/>
          <w:b/>
          <w:color w:val="000000" w:themeColor="text1"/>
          <w:szCs w:val="24"/>
        </w:rPr>
        <w:t>）</w:t>
      </w:r>
      <w:r w:rsidRPr="00B12FE0">
        <w:rPr>
          <w:rFonts w:ascii="宋体" w:hAnsi="宋体"/>
          <w:b/>
          <w:bCs/>
          <w:color w:val="000000" w:themeColor="text1"/>
          <w:szCs w:val="24"/>
        </w:rPr>
        <w:t>工作流程</w:t>
      </w:r>
      <w:proofErr w:type="gramStart"/>
      <w:r w:rsidRPr="00B12FE0">
        <w:rPr>
          <w:rFonts w:ascii="宋体" w:hAnsi="宋体"/>
          <w:b/>
          <w:bCs/>
          <w:color w:val="000000" w:themeColor="text1"/>
          <w:szCs w:val="24"/>
        </w:rPr>
        <w:t>及产污环节</w:t>
      </w:r>
      <w:proofErr w:type="gramEnd"/>
    </w:p>
    <w:p w14:paraId="5CE85ED5" w14:textId="77777777" w:rsidR="00A67F21" w:rsidRPr="00B12FE0" w:rsidRDefault="00000000">
      <w:pPr>
        <w:adjustRightInd w:val="0"/>
        <w:snapToGrid w:val="0"/>
        <w:spacing w:line="360" w:lineRule="auto"/>
        <w:ind w:firstLineChars="200" w:firstLine="480"/>
        <w:rPr>
          <w:bCs/>
          <w:color w:val="000000" w:themeColor="text1"/>
          <w:sz w:val="21"/>
          <w:szCs w:val="21"/>
        </w:rPr>
      </w:pPr>
      <w:r w:rsidRPr="00B12FE0">
        <w:rPr>
          <w:rFonts w:ascii="宋体" w:hAnsi="宋体"/>
          <w:color w:val="000000" w:themeColor="text1"/>
          <w:szCs w:val="24"/>
        </w:rPr>
        <w:t>回旋加速器可完成临床上所需要的</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放射性同位素制备。其中</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是目前临床使用标记示踪剂最多的正电子放射性核素。</w:t>
      </w:r>
    </w:p>
    <w:p w14:paraId="598AF22F" w14:textId="77777777" w:rsidR="00A67F21" w:rsidRPr="00B12FE0" w:rsidRDefault="00000000">
      <w:pPr>
        <w:adjustRightInd w:val="0"/>
        <w:snapToGrid w:val="0"/>
        <w:spacing w:line="360" w:lineRule="auto"/>
        <w:ind w:firstLine="482"/>
        <w:rPr>
          <w:bCs/>
          <w:color w:val="000000" w:themeColor="text1"/>
          <w:szCs w:val="24"/>
        </w:rPr>
      </w:pPr>
      <w:r w:rsidRPr="00B12FE0">
        <w:rPr>
          <w:rFonts w:ascii="Cambria Math" w:hAnsi="Cambria Math" w:cs="Cambria Math"/>
          <w:b/>
          <w:bCs/>
          <w:color w:val="000000" w:themeColor="text1"/>
          <w:szCs w:val="24"/>
        </w:rPr>
        <w:t>①</w:t>
      </w:r>
      <w:r w:rsidRPr="00B12FE0">
        <w:rPr>
          <w:rFonts w:ascii="宋体" w:hAnsi="宋体"/>
          <w:b/>
          <w:bCs/>
          <w:color w:val="000000" w:themeColor="text1"/>
          <w:szCs w:val="24"/>
        </w:rPr>
        <w:t>确认药量：</w:t>
      </w:r>
      <w:r w:rsidRPr="00B12FE0">
        <w:rPr>
          <w:rFonts w:ascii="宋体" w:hAnsi="宋体"/>
          <w:bCs/>
          <w:color w:val="000000" w:themeColor="text1"/>
          <w:szCs w:val="24"/>
        </w:rPr>
        <w:t>根据预约的病人量及病人就诊时间选择靶材及综合制剂单元，进行放射性同位素生产前的物料准备，严格控制放射性药物制备量，做到</w:t>
      </w:r>
      <w:proofErr w:type="gramStart"/>
      <w:r w:rsidRPr="00B12FE0">
        <w:rPr>
          <w:rFonts w:ascii="宋体" w:hAnsi="宋体"/>
          <w:bCs/>
          <w:color w:val="000000" w:themeColor="text1"/>
          <w:szCs w:val="24"/>
        </w:rPr>
        <w:t>即产即用</w:t>
      </w:r>
      <w:proofErr w:type="gramEnd"/>
      <w:r w:rsidRPr="00B12FE0">
        <w:rPr>
          <w:rFonts w:ascii="宋体" w:hAnsi="宋体"/>
          <w:bCs/>
          <w:color w:val="000000" w:themeColor="text1"/>
          <w:szCs w:val="24"/>
        </w:rPr>
        <w:t>，不存在暂存以及销售的情况。</w:t>
      </w:r>
    </w:p>
    <w:p w14:paraId="4279E8FD" w14:textId="77777777" w:rsidR="00A67F21" w:rsidRPr="00B12FE0" w:rsidRDefault="00000000">
      <w:pPr>
        <w:adjustRightInd w:val="0"/>
        <w:snapToGrid w:val="0"/>
        <w:spacing w:line="360" w:lineRule="auto"/>
        <w:ind w:firstLine="482"/>
        <w:rPr>
          <w:color w:val="000000" w:themeColor="text1"/>
          <w:kern w:val="0"/>
          <w:szCs w:val="24"/>
        </w:rPr>
      </w:pPr>
      <w:r w:rsidRPr="00B12FE0">
        <w:rPr>
          <w:rFonts w:ascii="Cambria Math" w:hAnsi="Cambria Math" w:cs="Cambria Math"/>
          <w:b/>
          <w:bCs/>
          <w:color w:val="000000" w:themeColor="text1"/>
          <w:szCs w:val="24"/>
        </w:rPr>
        <w:t>②</w:t>
      </w:r>
      <w:r w:rsidRPr="00B12FE0">
        <w:rPr>
          <w:rFonts w:ascii="宋体" w:hAnsi="宋体"/>
          <w:b/>
          <w:bCs/>
          <w:color w:val="000000" w:themeColor="text1"/>
          <w:szCs w:val="24"/>
        </w:rPr>
        <w:t>确认机房安全措施：</w:t>
      </w:r>
      <w:r w:rsidRPr="00B12FE0">
        <w:rPr>
          <w:rFonts w:ascii="宋体" w:hAnsi="宋体"/>
          <w:bCs/>
          <w:color w:val="000000" w:themeColor="text1"/>
          <w:szCs w:val="24"/>
        </w:rPr>
        <w:t>在回旋加速器开机前，工作人员先通过视频或者进入机房进行巡视，确保机房内无人及各个环节准备（靶物质、冷却系统、通风系统等）就绪后，关闭回旋加速器机房防护</w:t>
      </w:r>
      <w:r w:rsidRPr="00B12FE0">
        <w:rPr>
          <w:rFonts w:ascii="宋体" w:hAnsi="宋体"/>
          <w:color w:val="000000" w:themeColor="text1"/>
          <w:kern w:val="0"/>
          <w:szCs w:val="24"/>
        </w:rPr>
        <w:t>门，进入回旋加速器控制室内开启回旋加速器。</w:t>
      </w:r>
    </w:p>
    <w:p w14:paraId="59EC0BAC" w14:textId="77777777" w:rsidR="00A67F21" w:rsidRPr="00B12FE0" w:rsidRDefault="00000000">
      <w:pPr>
        <w:autoSpaceDE w:val="0"/>
        <w:adjustRightInd w:val="0"/>
        <w:snapToGrid w:val="0"/>
        <w:spacing w:line="360" w:lineRule="auto"/>
        <w:ind w:firstLine="482"/>
        <w:rPr>
          <w:bCs/>
          <w:color w:val="000000" w:themeColor="text1"/>
          <w:szCs w:val="24"/>
        </w:rPr>
      </w:pPr>
      <w:r w:rsidRPr="00B12FE0">
        <w:rPr>
          <w:rFonts w:ascii="Cambria Math" w:hAnsi="Cambria Math" w:cs="Cambria Math"/>
          <w:b/>
          <w:bCs/>
          <w:color w:val="000000" w:themeColor="text1"/>
          <w:szCs w:val="24"/>
        </w:rPr>
        <w:t>③</w:t>
      </w:r>
      <w:r w:rsidRPr="00B12FE0">
        <w:rPr>
          <w:rFonts w:ascii="宋体" w:hAnsi="宋体"/>
          <w:b/>
          <w:bCs/>
          <w:color w:val="000000" w:themeColor="text1"/>
          <w:szCs w:val="24"/>
        </w:rPr>
        <w:t>准备靶材料：</w:t>
      </w:r>
      <w:r w:rsidRPr="00B12FE0">
        <w:rPr>
          <w:rFonts w:ascii="宋体" w:hAnsi="宋体"/>
          <w:bCs/>
          <w:color w:val="000000" w:themeColor="text1"/>
          <w:szCs w:val="24"/>
        </w:rPr>
        <w:t>生产核素</w:t>
      </w:r>
      <w:r w:rsidRPr="00B12FE0">
        <w:rPr>
          <w:bCs/>
          <w:color w:val="000000" w:themeColor="text1"/>
          <w:szCs w:val="24"/>
          <w:vertAlign w:val="superscript"/>
        </w:rPr>
        <w:t>18</w:t>
      </w:r>
      <w:r w:rsidRPr="00B12FE0">
        <w:rPr>
          <w:bCs/>
          <w:color w:val="000000" w:themeColor="text1"/>
          <w:szCs w:val="24"/>
        </w:rPr>
        <w:t>F</w:t>
      </w:r>
      <w:r w:rsidRPr="00B12FE0">
        <w:rPr>
          <w:rFonts w:ascii="宋体" w:hAnsi="宋体"/>
          <w:color w:val="000000" w:themeColor="text1"/>
          <w:szCs w:val="24"/>
        </w:rPr>
        <w:t>使用</w:t>
      </w:r>
      <w:r w:rsidRPr="00B12FE0">
        <w:rPr>
          <w:rFonts w:ascii="宋体" w:hAnsi="宋体"/>
          <w:bCs/>
          <w:color w:val="000000" w:themeColor="text1"/>
          <w:szCs w:val="24"/>
        </w:rPr>
        <w:t>液体靶，回旋加速器采用外部注射模块，所有原料都从外部自动控制输送，操作人员无需进入加速器机房内，即可完成</w:t>
      </w:r>
      <w:proofErr w:type="gramStart"/>
      <w:r w:rsidRPr="00B12FE0">
        <w:rPr>
          <w:rFonts w:ascii="宋体" w:hAnsi="宋体"/>
          <w:bCs/>
          <w:color w:val="000000" w:themeColor="text1"/>
          <w:szCs w:val="24"/>
        </w:rPr>
        <w:t>靶材料</w:t>
      </w:r>
      <w:proofErr w:type="gramEnd"/>
      <w:r w:rsidRPr="00B12FE0">
        <w:rPr>
          <w:rFonts w:ascii="宋体" w:hAnsi="宋体"/>
          <w:bCs/>
          <w:color w:val="000000" w:themeColor="text1"/>
          <w:szCs w:val="24"/>
        </w:rPr>
        <w:t>的添加。液体靶外部注射模块与加速器上的靶通过地沟内的管线进行连接，通过高纯氦气</w:t>
      </w:r>
      <w:proofErr w:type="gramStart"/>
      <w:r w:rsidRPr="00B12FE0">
        <w:rPr>
          <w:rFonts w:ascii="宋体" w:hAnsi="宋体"/>
          <w:bCs/>
          <w:color w:val="000000" w:themeColor="text1"/>
          <w:szCs w:val="24"/>
        </w:rPr>
        <w:t>把靶原料</w:t>
      </w:r>
      <w:proofErr w:type="gramEnd"/>
      <w:r w:rsidRPr="00B12FE0">
        <w:rPr>
          <w:rFonts w:ascii="宋体" w:hAnsi="宋体"/>
          <w:bCs/>
          <w:color w:val="000000" w:themeColor="text1"/>
          <w:szCs w:val="24"/>
        </w:rPr>
        <w:t>压入靶内。</w:t>
      </w:r>
    </w:p>
    <w:p w14:paraId="4F88B68D" w14:textId="77777777" w:rsidR="00A67F21" w:rsidRPr="00B12FE0" w:rsidRDefault="00000000">
      <w:pPr>
        <w:autoSpaceDE w:val="0"/>
        <w:adjustRightInd w:val="0"/>
        <w:snapToGrid w:val="0"/>
        <w:spacing w:line="360" w:lineRule="auto"/>
        <w:ind w:firstLineChars="200" w:firstLine="482"/>
        <w:rPr>
          <w:color w:val="000000" w:themeColor="text1"/>
          <w:szCs w:val="24"/>
        </w:rPr>
      </w:pPr>
      <w:r w:rsidRPr="00B12FE0">
        <w:rPr>
          <w:rFonts w:ascii="Cambria Math" w:hAnsi="Cambria Math" w:cs="Cambria Math"/>
          <w:b/>
          <w:bCs/>
          <w:color w:val="000000" w:themeColor="text1"/>
          <w:szCs w:val="24"/>
        </w:rPr>
        <w:t>④</w:t>
      </w:r>
      <w:r w:rsidRPr="00B12FE0">
        <w:rPr>
          <w:rFonts w:ascii="宋体" w:hAnsi="宋体"/>
          <w:b/>
          <w:bCs/>
          <w:color w:val="000000" w:themeColor="text1"/>
          <w:szCs w:val="24"/>
        </w:rPr>
        <w:t>生产：</w:t>
      </w:r>
      <w:r w:rsidRPr="00B12FE0">
        <w:rPr>
          <w:rFonts w:ascii="宋体" w:hAnsi="宋体"/>
          <w:bCs/>
          <w:color w:val="000000" w:themeColor="text1"/>
          <w:szCs w:val="24"/>
        </w:rPr>
        <w:t>回旋加速器运行中粒子打击靶材料。回旋加速器生成</w:t>
      </w:r>
      <w:r w:rsidRPr="00B12FE0">
        <w:rPr>
          <w:bCs/>
          <w:color w:val="000000" w:themeColor="text1"/>
          <w:szCs w:val="24"/>
          <w:vertAlign w:val="superscript"/>
        </w:rPr>
        <w:t>18</w:t>
      </w:r>
      <w:r w:rsidRPr="00B12FE0">
        <w:rPr>
          <w:bCs/>
          <w:color w:val="000000" w:themeColor="text1"/>
          <w:szCs w:val="24"/>
        </w:rPr>
        <w:t>F</w:t>
      </w:r>
      <w:r w:rsidRPr="00B12FE0">
        <w:rPr>
          <w:rFonts w:ascii="宋体" w:hAnsi="宋体"/>
          <w:bCs/>
          <w:color w:val="000000" w:themeColor="text1"/>
          <w:szCs w:val="24"/>
        </w:rPr>
        <w:t>核素后，通过高纯</w:t>
      </w:r>
      <w:proofErr w:type="gramStart"/>
      <w:r w:rsidRPr="00B12FE0">
        <w:rPr>
          <w:rFonts w:ascii="宋体" w:hAnsi="宋体"/>
          <w:bCs/>
          <w:color w:val="000000" w:themeColor="text1"/>
          <w:szCs w:val="24"/>
        </w:rPr>
        <w:t>氦气将靶内</w:t>
      </w:r>
      <w:proofErr w:type="gramEnd"/>
      <w:r w:rsidRPr="00B12FE0">
        <w:rPr>
          <w:rFonts w:ascii="宋体" w:hAnsi="宋体"/>
          <w:bCs/>
          <w:color w:val="000000" w:themeColor="text1"/>
          <w:szCs w:val="24"/>
        </w:rPr>
        <w:t>的核素通过传输管道（核素传输地沟采用混凝土浇筑，地沟盖板采用</w:t>
      </w:r>
      <w:r w:rsidRPr="00B12FE0">
        <w:rPr>
          <w:bCs/>
          <w:color w:val="000000" w:themeColor="text1"/>
          <w:szCs w:val="24"/>
        </w:rPr>
        <w:t>70mm</w:t>
      </w:r>
      <w:proofErr w:type="gramStart"/>
      <w:r w:rsidRPr="00B12FE0">
        <w:rPr>
          <w:rFonts w:ascii="宋体" w:hAnsi="宋体"/>
          <w:bCs/>
          <w:color w:val="000000" w:themeColor="text1"/>
          <w:szCs w:val="24"/>
        </w:rPr>
        <w:t>厚铅防护</w:t>
      </w:r>
      <w:proofErr w:type="gramEnd"/>
      <w:r w:rsidRPr="00B12FE0">
        <w:rPr>
          <w:rFonts w:ascii="宋体" w:hAnsi="宋体"/>
          <w:bCs/>
          <w:color w:val="000000" w:themeColor="text1"/>
          <w:szCs w:val="24"/>
        </w:rPr>
        <w:t>）传输进入热室房间进行标记合成。回旋加速器运行期间，工作人员不进入回旋加速器机房内，仅在控制室操作。</w:t>
      </w:r>
      <w:r w:rsidRPr="00B12FE0">
        <w:rPr>
          <w:bCs/>
          <w:color w:val="000000" w:themeColor="text1"/>
          <w:szCs w:val="24"/>
          <w:vertAlign w:val="superscript"/>
        </w:rPr>
        <w:t>18</w:t>
      </w:r>
      <w:r w:rsidRPr="00B12FE0">
        <w:rPr>
          <w:bCs/>
          <w:color w:val="000000" w:themeColor="text1"/>
          <w:szCs w:val="24"/>
        </w:rPr>
        <w:t>F</w:t>
      </w:r>
      <w:r w:rsidRPr="00B12FE0">
        <w:rPr>
          <w:rFonts w:ascii="宋体" w:hAnsi="宋体"/>
          <w:color w:val="000000" w:themeColor="text1"/>
          <w:szCs w:val="24"/>
        </w:rPr>
        <w:t>每次开机打靶需</w:t>
      </w:r>
      <w:r w:rsidRPr="00B12FE0">
        <w:rPr>
          <w:color w:val="000000" w:themeColor="text1"/>
          <w:szCs w:val="24"/>
        </w:rPr>
        <w:t>2</w:t>
      </w:r>
      <w:r w:rsidRPr="00B12FE0">
        <w:rPr>
          <w:rFonts w:ascii="宋体" w:hAnsi="宋体"/>
          <w:color w:val="000000" w:themeColor="text1"/>
          <w:szCs w:val="24"/>
        </w:rPr>
        <w:t>小时。</w:t>
      </w:r>
    </w:p>
    <w:p w14:paraId="4AD01CBC" w14:textId="77777777" w:rsidR="00A67F21" w:rsidRPr="00B12FE0" w:rsidRDefault="00000000">
      <w:pPr>
        <w:autoSpaceDE w:val="0"/>
        <w:adjustRightInd w:val="0"/>
        <w:snapToGrid w:val="0"/>
        <w:spacing w:line="360" w:lineRule="auto"/>
        <w:ind w:firstLine="482"/>
        <w:rPr>
          <w:bCs/>
          <w:color w:val="000000" w:themeColor="text1"/>
          <w:szCs w:val="24"/>
        </w:rPr>
      </w:pPr>
      <w:r w:rsidRPr="00B12FE0">
        <w:rPr>
          <w:rFonts w:ascii="Cambria Math" w:hAnsi="Cambria Math" w:cs="Cambria Math"/>
          <w:b/>
          <w:bCs/>
          <w:color w:val="000000" w:themeColor="text1"/>
          <w:szCs w:val="24"/>
        </w:rPr>
        <w:t>⑤</w:t>
      </w:r>
      <w:r w:rsidRPr="00B12FE0">
        <w:rPr>
          <w:rFonts w:ascii="宋体" w:hAnsi="宋体"/>
          <w:b/>
          <w:bCs/>
          <w:color w:val="000000" w:themeColor="text1"/>
          <w:szCs w:val="24"/>
        </w:rPr>
        <w:t>合成、分装：</w:t>
      </w:r>
      <w:r w:rsidRPr="00B12FE0">
        <w:rPr>
          <w:rFonts w:ascii="宋体" w:hAnsi="宋体"/>
          <w:bCs/>
          <w:color w:val="000000" w:themeColor="text1"/>
          <w:szCs w:val="24"/>
        </w:rPr>
        <w:t>热室房间</w:t>
      </w:r>
      <w:r w:rsidRPr="00B12FE0">
        <w:rPr>
          <w:rFonts w:ascii="宋体" w:hAnsi="宋体"/>
          <w:color w:val="000000" w:themeColor="text1"/>
          <w:szCs w:val="24"/>
        </w:rPr>
        <w:t>内</w:t>
      </w:r>
      <w:r w:rsidRPr="00B12FE0">
        <w:rPr>
          <w:rFonts w:ascii="宋体" w:hAnsi="宋体"/>
          <w:bCs/>
          <w:color w:val="000000" w:themeColor="text1"/>
          <w:szCs w:val="24"/>
        </w:rPr>
        <w:t>合成柜</w:t>
      </w:r>
      <w:r w:rsidRPr="00B12FE0">
        <w:rPr>
          <w:rFonts w:ascii="宋体" w:hAnsi="宋体"/>
          <w:color w:val="000000" w:themeColor="text1"/>
          <w:szCs w:val="24"/>
        </w:rPr>
        <w:t>（六面</w:t>
      </w:r>
      <w:r w:rsidRPr="00B12FE0">
        <w:rPr>
          <w:bCs/>
          <w:color w:val="000000" w:themeColor="text1"/>
          <w:szCs w:val="24"/>
        </w:rPr>
        <w:t>70mmPb</w:t>
      </w:r>
      <w:r w:rsidRPr="00B12FE0">
        <w:rPr>
          <w:rFonts w:ascii="宋体" w:hAnsi="宋体"/>
          <w:bCs/>
          <w:color w:val="000000" w:themeColor="text1"/>
          <w:szCs w:val="24"/>
        </w:rPr>
        <w:t>）进行化学合成。核素药品合成完成后，合成的药物通过管道传输至</w:t>
      </w:r>
      <w:r w:rsidRPr="00B12FE0">
        <w:rPr>
          <w:rFonts w:ascii="宋体" w:hAnsi="宋体"/>
          <w:color w:val="000000" w:themeColor="text1"/>
          <w:szCs w:val="24"/>
        </w:rPr>
        <w:t>分装</w:t>
      </w:r>
      <w:r w:rsidRPr="00B12FE0">
        <w:rPr>
          <w:rFonts w:ascii="宋体" w:hAnsi="宋体" w:hint="eastAsia"/>
          <w:color w:val="000000" w:themeColor="text1"/>
          <w:szCs w:val="24"/>
        </w:rPr>
        <w:t>柜</w:t>
      </w:r>
      <w:r w:rsidRPr="00B12FE0">
        <w:rPr>
          <w:rFonts w:ascii="宋体" w:hAnsi="宋体"/>
          <w:color w:val="000000" w:themeColor="text1"/>
          <w:szCs w:val="24"/>
        </w:rPr>
        <w:t>（六面</w:t>
      </w:r>
      <w:r w:rsidRPr="00B12FE0">
        <w:rPr>
          <w:bCs/>
          <w:color w:val="000000" w:themeColor="text1"/>
          <w:szCs w:val="24"/>
        </w:rPr>
        <w:t>70mmPb</w:t>
      </w:r>
      <w:r w:rsidRPr="00B12FE0">
        <w:rPr>
          <w:rFonts w:ascii="宋体" w:hAnsi="宋体"/>
          <w:bCs/>
          <w:color w:val="000000" w:themeColor="text1"/>
          <w:szCs w:val="24"/>
        </w:rPr>
        <w:t>）</w:t>
      </w:r>
      <w:r w:rsidRPr="00B12FE0">
        <w:rPr>
          <w:rFonts w:ascii="宋体" w:hAnsi="宋体"/>
          <w:color w:val="000000" w:themeColor="text1"/>
          <w:szCs w:val="24"/>
        </w:rPr>
        <w:t>内</w:t>
      </w:r>
      <w:r w:rsidRPr="00B12FE0">
        <w:rPr>
          <w:rFonts w:ascii="宋体" w:hAnsi="宋体"/>
          <w:bCs/>
          <w:color w:val="000000" w:themeColor="text1"/>
          <w:szCs w:val="24"/>
        </w:rPr>
        <w:t>分装模块进行自动分装。</w:t>
      </w:r>
      <w:r w:rsidRPr="00B12FE0">
        <w:rPr>
          <w:rFonts w:ascii="宋体" w:hAnsi="宋体" w:hint="eastAsia"/>
          <w:color w:val="000000" w:themeColor="text1"/>
          <w:kern w:val="0"/>
          <w:szCs w:val="24"/>
        </w:rPr>
        <w:t>此过程热室房间内无工作人员。</w:t>
      </w:r>
    </w:p>
    <w:p w14:paraId="2CEB2626" w14:textId="77777777" w:rsidR="00A67F21" w:rsidRPr="00B12FE0" w:rsidRDefault="00000000">
      <w:pPr>
        <w:autoSpaceDE w:val="0"/>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核素在合成柜中合成过程中，无需人员干预，核素药品的合成均采用计算机程序自动控制。核素药品合成完成后，进入合成柜的药物分装模块。药物分装过程也采用计算机全自动控制，无需人工干预，药物在自动分装模块中将根据预先设计的程序，经高效除菌过滤膜过滤被收集在西林瓶中。西林瓶自动掉入专用的铅防护罐中，罐子的盖子为卡扣盖子，不易松动。合成过程均采用计算机程序全自动控制，无需人工干预。</w:t>
      </w:r>
    </w:p>
    <w:p w14:paraId="54234F14" w14:textId="77777777" w:rsidR="00A67F21" w:rsidRPr="00B12FE0" w:rsidRDefault="00000000">
      <w:pPr>
        <w:adjustRightInd w:val="0"/>
        <w:snapToGrid w:val="0"/>
        <w:spacing w:line="360" w:lineRule="auto"/>
        <w:ind w:firstLineChars="200" w:firstLine="482"/>
        <w:rPr>
          <w:bCs/>
          <w:color w:val="000000" w:themeColor="text1"/>
          <w:szCs w:val="24"/>
        </w:rPr>
      </w:pPr>
      <w:r w:rsidRPr="00B12FE0">
        <w:rPr>
          <w:rFonts w:ascii="Cambria Math" w:hAnsi="Cambria Math" w:cs="Cambria Math"/>
          <w:b/>
          <w:color w:val="000000" w:themeColor="text1"/>
          <w:szCs w:val="24"/>
        </w:rPr>
        <w:t>⑥</w:t>
      </w:r>
      <w:r w:rsidRPr="00B12FE0">
        <w:rPr>
          <w:rFonts w:ascii="宋体" w:hAnsi="宋体"/>
          <w:b/>
          <w:color w:val="000000" w:themeColor="text1"/>
          <w:szCs w:val="24"/>
        </w:rPr>
        <w:t>质控：</w:t>
      </w:r>
      <w:r w:rsidRPr="00B12FE0">
        <w:rPr>
          <w:rFonts w:ascii="宋体" w:hAnsi="宋体"/>
          <w:bCs/>
          <w:color w:val="000000" w:themeColor="text1"/>
          <w:szCs w:val="24"/>
        </w:rPr>
        <w:t>送药前需要质控，质控药物（</w:t>
      </w:r>
      <w:r w:rsidRPr="00B12FE0">
        <w:rPr>
          <w:bCs/>
          <w:color w:val="000000" w:themeColor="text1"/>
          <w:szCs w:val="24"/>
        </w:rPr>
        <w:t>0.1mCi</w:t>
      </w:r>
      <w:r w:rsidRPr="00B12FE0">
        <w:rPr>
          <w:rFonts w:ascii="宋体" w:hAnsi="宋体"/>
          <w:bCs/>
          <w:color w:val="000000" w:themeColor="text1"/>
          <w:szCs w:val="24"/>
        </w:rPr>
        <w:t>左右）由分装模块自动分装于铅防</w:t>
      </w:r>
      <w:r w:rsidRPr="00B12FE0">
        <w:rPr>
          <w:rFonts w:ascii="宋体" w:hAnsi="宋体"/>
          <w:bCs/>
          <w:color w:val="000000" w:themeColor="text1"/>
          <w:szCs w:val="24"/>
        </w:rPr>
        <w:lastRenderedPageBreak/>
        <w:t>护罐中，通过传递窗到外包间，然后再到放化实验室。质</w:t>
      </w:r>
      <w:proofErr w:type="gramStart"/>
      <w:r w:rsidRPr="00B12FE0">
        <w:rPr>
          <w:rFonts w:ascii="宋体" w:hAnsi="宋体"/>
          <w:bCs/>
          <w:color w:val="000000" w:themeColor="text1"/>
          <w:szCs w:val="24"/>
        </w:rPr>
        <w:t>控可分为点板</w:t>
      </w:r>
      <w:proofErr w:type="gramEnd"/>
      <w:r w:rsidRPr="00B12FE0">
        <w:rPr>
          <w:rFonts w:ascii="宋体" w:hAnsi="宋体"/>
          <w:bCs/>
          <w:color w:val="000000" w:themeColor="text1"/>
          <w:szCs w:val="24"/>
        </w:rPr>
        <w:t>和仪器自动检测两个环节。</w:t>
      </w:r>
      <w:proofErr w:type="gramStart"/>
      <w:r w:rsidRPr="00B12FE0">
        <w:rPr>
          <w:rFonts w:ascii="宋体" w:hAnsi="宋体"/>
          <w:bCs/>
          <w:color w:val="000000" w:themeColor="text1"/>
          <w:szCs w:val="24"/>
        </w:rPr>
        <w:t>点板为</w:t>
      </w:r>
      <w:proofErr w:type="gramEnd"/>
      <w:r w:rsidRPr="00B12FE0">
        <w:rPr>
          <w:rFonts w:ascii="宋体" w:hAnsi="宋体"/>
          <w:bCs/>
          <w:color w:val="000000" w:themeColor="text1"/>
          <w:szCs w:val="24"/>
        </w:rPr>
        <w:t>操作药物的环节，质控工作人员在</w:t>
      </w:r>
      <w:r w:rsidRPr="00B12FE0">
        <w:rPr>
          <w:rFonts w:ascii="宋体" w:hAnsi="宋体" w:hint="eastAsia"/>
          <w:bCs/>
          <w:color w:val="000000" w:themeColor="text1"/>
          <w:szCs w:val="24"/>
        </w:rPr>
        <w:t>放化实验室</w:t>
      </w:r>
      <w:r w:rsidRPr="00B12FE0">
        <w:rPr>
          <w:rFonts w:ascii="宋体" w:hAnsi="宋体"/>
          <w:bCs/>
          <w:color w:val="000000" w:themeColor="text1"/>
          <w:szCs w:val="24"/>
        </w:rPr>
        <w:t>通风橱中用毛细吸管吸取放射性药液涂在质控硅胶板上，将</w:t>
      </w:r>
      <w:proofErr w:type="gramStart"/>
      <w:r w:rsidRPr="00B12FE0">
        <w:rPr>
          <w:rFonts w:ascii="宋体" w:hAnsi="宋体"/>
          <w:bCs/>
          <w:color w:val="000000" w:themeColor="text1"/>
          <w:szCs w:val="24"/>
        </w:rPr>
        <w:t>点板完成</w:t>
      </w:r>
      <w:proofErr w:type="gramEnd"/>
      <w:r w:rsidRPr="00B12FE0">
        <w:rPr>
          <w:rFonts w:ascii="宋体" w:hAnsi="宋体"/>
          <w:bCs/>
          <w:color w:val="000000" w:themeColor="text1"/>
          <w:szCs w:val="24"/>
        </w:rPr>
        <w:t>的硅胶板放在含有乙腈溶液的玻璃</w:t>
      </w:r>
      <w:proofErr w:type="gramStart"/>
      <w:r w:rsidRPr="00B12FE0">
        <w:rPr>
          <w:rFonts w:ascii="宋体" w:hAnsi="宋体"/>
          <w:bCs/>
          <w:color w:val="000000" w:themeColor="text1"/>
          <w:szCs w:val="24"/>
        </w:rPr>
        <w:t>皿</w:t>
      </w:r>
      <w:proofErr w:type="gramEnd"/>
      <w:r w:rsidRPr="00B12FE0">
        <w:rPr>
          <w:rFonts w:ascii="宋体" w:hAnsi="宋体"/>
          <w:bCs/>
          <w:color w:val="000000" w:themeColor="text1"/>
          <w:szCs w:val="24"/>
        </w:rPr>
        <w:t>中进行跑板。将</w:t>
      </w:r>
      <w:proofErr w:type="gramStart"/>
      <w:r w:rsidRPr="00B12FE0">
        <w:rPr>
          <w:rFonts w:ascii="宋体" w:hAnsi="宋体"/>
          <w:bCs/>
          <w:color w:val="000000" w:themeColor="text1"/>
          <w:szCs w:val="24"/>
        </w:rPr>
        <w:t>跑板完成</w:t>
      </w:r>
      <w:proofErr w:type="gramEnd"/>
      <w:r w:rsidRPr="00B12FE0">
        <w:rPr>
          <w:rFonts w:ascii="宋体" w:hAnsi="宋体"/>
          <w:bCs/>
          <w:color w:val="000000" w:themeColor="text1"/>
          <w:szCs w:val="24"/>
        </w:rPr>
        <w:t>后的硅胶板放入</w:t>
      </w:r>
      <w:r w:rsidRPr="00B12FE0">
        <w:rPr>
          <w:bCs/>
          <w:color w:val="000000" w:themeColor="text1"/>
          <w:szCs w:val="24"/>
        </w:rPr>
        <w:t>TLC</w:t>
      </w:r>
      <w:r w:rsidRPr="00B12FE0">
        <w:rPr>
          <w:rFonts w:ascii="宋体" w:hAnsi="宋体"/>
          <w:bCs/>
          <w:color w:val="000000" w:themeColor="text1"/>
          <w:szCs w:val="24"/>
        </w:rPr>
        <w:t>仪器内进行自动质控。质控后产生的质</w:t>
      </w:r>
      <w:r w:rsidRPr="00B12FE0">
        <w:rPr>
          <w:bCs/>
          <w:color w:val="000000" w:themeColor="text1"/>
          <w:szCs w:val="24"/>
        </w:rPr>
        <w:t>控废弃物（硅胶板、一次性毛细吸管）暂存在</w:t>
      </w:r>
      <w:r w:rsidRPr="00B12FE0">
        <w:rPr>
          <w:rFonts w:hint="eastAsia"/>
          <w:bCs/>
          <w:color w:val="000000" w:themeColor="text1"/>
          <w:szCs w:val="24"/>
        </w:rPr>
        <w:t>放化实验</w:t>
      </w:r>
      <w:r w:rsidRPr="00B12FE0">
        <w:rPr>
          <w:bCs/>
          <w:color w:val="000000" w:themeColor="text1"/>
          <w:szCs w:val="24"/>
        </w:rPr>
        <w:t>室的放射性废物铅桶（</w:t>
      </w:r>
      <w:r w:rsidRPr="00B12FE0">
        <w:rPr>
          <w:bCs/>
          <w:color w:val="000000" w:themeColor="text1"/>
          <w:szCs w:val="24"/>
        </w:rPr>
        <w:t>10mmPb</w:t>
      </w:r>
      <w:r w:rsidRPr="00B12FE0">
        <w:rPr>
          <w:bCs/>
          <w:color w:val="000000" w:themeColor="text1"/>
          <w:szCs w:val="24"/>
        </w:rPr>
        <w:t>）中。药物质控每次</w:t>
      </w:r>
      <w:r w:rsidRPr="00B12FE0">
        <w:rPr>
          <w:bCs/>
          <w:color w:val="000000" w:themeColor="text1"/>
          <w:szCs w:val="24"/>
        </w:rPr>
        <w:t>5</w:t>
      </w:r>
      <w:r w:rsidRPr="00B12FE0">
        <w:rPr>
          <w:bCs/>
          <w:color w:val="000000" w:themeColor="text1"/>
          <w:szCs w:val="24"/>
        </w:rPr>
        <w:t>分钟。全检质控室内开展的阳性对照、无菌检测、微生物检测和内毒素检测质控样品，放置至少</w:t>
      </w:r>
      <w:r w:rsidRPr="00B12FE0">
        <w:rPr>
          <w:bCs/>
          <w:color w:val="000000" w:themeColor="text1"/>
          <w:szCs w:val="24"/>
        </w:rPr>
        <w:t>10</w:t>
      </w:r>
      <w:r w:rsidRPr="00B12FE0">
        <w:rPr>
          <w:bCs/>
          <w:color w:val="000000" w:themeColor="text1"/>
          <w:szCs w:val="24"/>
        </w:rPr>
        <w:t>个半衰期后，放射性活度降至本底水平后进行。</w:t>
      </w:r>
    </w:p>
    <w:p w14:paraId="699D92D9" w14:textId="77777777" w:rsidR="00A67F21" w:rsidRPr="00B12FE0" w:rsidRDefault="00000000">
      <w:pPr>
        <w:adjustRightInd w:val="0"/>
        <w:snapToGrid w:val="0"/>
        <w:spacing w:line="360" w:lineRule="auto"/>
        <w:ind w:rightChars="50" w:right="120" w:firstLineChars="200" w:firstLine="482"/>
        <w:rPr>
          <w:bCs/>
          <w:color w:val="000000" w:themeColor="text1"/>
          <w:szCs w:val="24"/>
        </w:rPr>
      </w:pPr>
      <w:r w:rsidRPr="00B12FE0">
        <w:rPr>
          <w:rFonts w:ascii="Cambria Math" w:hAnsi="Cambria Math" w:cs="Cambria Math"/>
          <w:b/>
          <w:bCs/>
          <w:color w:val="000000" w:themeColor="text1"/>
          <w:szCs w:val="24"/>
        </w:rPr>
        <w:t>⑦</w:t>
      </w:r>
      <w:r w:rsidRPr="00B12FE0">
        <w:rPr>
          <w:rFonts w:ascii="宋体" w:hAnsi="宋体"/>
          <w:b/>
          <w:color w:val="000000" w:themeColor="text1"/>
          <w:szCs w:val="24"/>
        </w:rPr>
        <w:t>取药</w:t>
      </w:r>
      <w:r w:rsidRPr="00B12FE0">
        <w:rPr>
          <w:b/>
          <w:color w:val="000000" w:themeColor="text1"/>
          <w:szCs w:val="24"/>
        </w:rPr>
        <w:t>/</w:t>
      </w:r>
      <w:r w:rsidRPr="00B12FE0">
        <w:rPr>
          <w:rFonts w:ascii="宋体" w:hAnsi="宋体"/>
          <w:b/>
          <w:color w:val="000000" w:themeColor="text1"/>
          <w:szCs w:val="24"/>
        </w:rPr>
        <w:t>运输：</w:t>
      </w:r>
      <w:r w:rsidRPr="00B12FE0">
        <w:rPr>
          <w:rFonts w:ascii="宋体" w:hAnsi="宋体"/>
          <w:color w:val="000000" w:themeColor="text1"/>
          <w:szCs w:val="24"/>
        </w:rPr>
        <w:t>加速器生产出的放射性核素通过相应的地下管道直接传输至热室房间内的模块箱中，进行后续自动合成及分装。会根据需要将放射性物质分装于</w:t>
      </w:r>
      <w:r w:rsidRPr="00B12FE0">
        <w:rPr>
          <w:rFonts w:ascii="宋体" w:hAnsi="宋体"/>
          <w:bCs/>
          <w:color w:val="000000" w:themeColor="text1"/>
          <w:szCs w:val="24"/>
        </w:rPr>
        <w:t>铅防护罐</w:t>
      </w:r>
      <w:r w:rsidRPr="00B12FE0">
        <w:rPr>
          <w:bCs/>
          <w:color w:val="000000" w:themeColor="text1"/>
          <w:szCs w:val="24"/>
        </w:rPr>
        <w:t>（</w:t>
      </w:r>
      <w:r w:rsidRPr="00B12FE0">
        <w:rPr>
          <w:bCs/>
          <w:color w:val="000000" w:themeColor="text1"/>
          <w:szCs w:val="24"/>
        </w:rPr>
        <w:t>50mmPb</w:t>
      </w:r>
      <w:r w:rsidRPr="00B12FE0">
        <w:rPr>
          <w:bCs/>
          <w:color w:val="000000" w:themeColor="text1"/>
          <w:szCs w:val="24"/>
        </w:rPr>
        <w:t>）</w:t>
      </w:r>
      <w:r w:rsidRPr="00B12FE0">
        <w:rPr>
          <w:rFonts w:ascii="宋体" w:hAnsi="宋体"/>
          <w:color w:val="000000" w:themeColor="text1"/>
          <w:szCs w:val="24"/>
        </w:rPr>
        <w:t>中。质检合格后，工作人员从热室房间中取出铅罐（热室房间合成分装</w:t>
      </w:r>
      <w:proofErr w:type="gramStart"/>
      <w:r w:rsidRPr="00B12FE0">
        <w:rPr>
          <w:rFonts w:ascii="宋体" w:hAnsi="宋体"/>
          <w:color w:val="000000" w:themeColor="text1"/>
          <w:szCs w:val="24"/>
        </w:rPr>
        <w:t>柜分为</w:t>
      </w:r>
      <w:proofErr w:type="gramEnd"/>
      <w:r w:rsidRPr="00B12FE0">
        <w:rPr>
          <w:rFonts w:ascii="宋体" w:hAnsi="宋体"/>
          <w:color w:val="000000" w:themeColor="text1"/>
          <w:szCs w:val="24"/>
        </w:rPr>
        <w:t>上下两层，药物分装好后，合成分装柜下层打开上层关闭，</w:t>
      </w:r>
      <w:proofErr w:type="gramStart"/>
      <w:r w:rsidRPr="00B12FE0">
        <w:rPr>
          <w:rFonts w:ascii="宋体" w:hAnsi="宋体"/>
          <w:color w:val="000000" w:themeColor="text1"/>
          <w:szCs w:val="24"/>
        </w:rPr>
        <w:t>铅罐从</w:t>
      </w:r>
      <w:proofErr w:type="gramEnd"/>
      <w:r w:rsidRPr="00B12FE0">
        <w:rPr>
          <w:rFonts w:ascii="宋体" w:hAnsi="宋体"/>
          <w:color w:val="000000" w:themeColor="text1"/>
          <w:szCs w:val="24"/>
        </w:rPr>
        <w:t>下层取出，工作人员不会与放射性物质直接接触）。分装好的药物储存在铅罐中通过传递窗运至外包间，</w:t>
      </w:r>
      <w:r w:rsidRPr="00B12FE0">
        <w:rPr>
          <w:rFonts w:ascii="宋体" w:hAnsi="宋体" w:hint="eastAsia"/>
          <w:color w:val="000000" w:themeColor="text1"/>
          <w:szCs w:val="24"/>
        </w:rPr>
        <w:t>在外包间进行封闭包装、贴标签等工作，然后</w:t>
      </w:r>
      <w:r w:rsidRPr="00B12FE0">
        <w:rPr>
          <w:rFonts w:ascii="宋体" w:hAnsi="宋体"/>
          <w:color w:val="000000" w:themeColor="text1"/>
          <w:szCs w:val="24"/>
        </w:rPr>
        <w:t>经外包间</w:t>
      </w:r>
      <w:r w:rsidRPr="00B12FE0">
        <w:rPr>
          <w:rFonts w:ascii="宋体" w:hAnsi="宋体"/>
          <w:bCs/>
          <w:color w:val="000000" w:themeColor="text1"/>
          <w:szCs w:val="24"/>
        </w:rPr>
        <w:t>由专人使用转运小推车，</w:t>
      </w:r>
      <w:r w:rsidRPr="00B12FE0">
        <w:rPr>
          <w:rFonts w:ascii="宋体" w:hAnsi="宋体"/>
          <w:color w:val="000000" w:themeColor="text1"/>
          <w:szCs w:val="24"/>
        </w:rPr>
        <w:t>沿着东侧</w:t>
      </w:r>
      <w:r w:rsidRPr="00B12FE0">
        <w:rPr>
          <w:rFonts w:ascii="宋体" w:hAnsi="宋体" w:hint="eastAsia"/>
          <w:color w:val="000000" w:themeColor="text1"/>
          <w:szCs w:val="24"/>
        </w:rPr>
        <w:t>医护走廊</w:t>
      </w:r>
      <w:r w:rsidRPr="00B12FE0">
        <w:rPr>
          <w:rFonts w:ascii="宋体" w:hAnsi="宋体"/>
          <w:color w:val="000000" w:themeColor="text1"/>
          <w:szCs w:val="24"/>
        </w:rPr>
        <w:t>运输至核素诊断场所</w:t>
      </w:r>
      <w:r w:rsidRPr="00B12FE0">
        <w:rPr>
          <w:rFonts w:ascii="宋体" w:hAnsi="宋体"/>
          <w:bCs/>
          <w:color w:val="000000" w:themeColor="text1"/>
          <w:szCs w:val="24"/>
        </w:rPr>
        <w:t>。</w:t>
      </w:r>
    </w:p>
    <w:p w14:paraId="5D176DD7" w14:textId="77777777" w:rsidR="00A67F21" w:rsidRPr="00B12FE0" w:rsidRDefault="00000000">
      <w:pPr>
        <w:adjustRightInd w:val="0"/>
        <w:snapToGrid w:val="0"/>
        <w:spacing w:line="360" w:lineRule="auto"/>
        <w:ind w:firstLineChars="200" w:firstLine="420"/>
        <w:jc w:val="center"/>
        <w:rPr>
          <w:b/>
          <w:bCs/>
          <w:color w:val="000000" w:themeColor="text1"/>
          <w:szCs w:val="24"/>
        </w:rPr>
      </w:pPr>
      <w:r w:rsidRPr="00B12FE0">
        <w:rPr>
          <w:noProof/>
          <w:color w:val="000000" w:themeColor="text1"/>
          <w:sz w:val="21"/>
          <w:szCs w:val="21"/>
        </w:rPr>
        <w:drawing>
          <wp:inline distT="0" distB="0" distL="0" distR="0" wp14:anchorId="01FF1E06" wp14:editId="332F8713">
            <wp:extent cx="3904615" cy="4039870"/>
            <wp:effectExtent l="0" t="0" r="0" b="0"/>
            <wp:docPr id="13380769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76947"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22209" cy="4058219"/>
                    </a:xfrm>
                    <a:prstGeom prst="rect">
                      <a:avLst/>
                    </a:prstGeom>
                    <a:noFill/>
                    <a:ln>
                      <a:noFill/>
                    </a:ln>
                  </pic:spPr>
                </pic:pic>
              </a:graphicData>
            </a:graphic>
          </wp:inline>
        </w:drawing>
      </w:r>
    </w:p>
    <w:p w14:paraId="66DDB73B"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9.1.1.2-</w:t>
      </w:r>
      <w:r w:rsidRPr="00B12FE0">
        <w:rPr>
          <w:rFonts w:hint="eastAsia"/>
          <w:b/>
          <w:color w:val="000000" w:themeColor="text1"/>
          <w:sz w:val="21"/>
          <w:szCs w:val="21"/>
        </w:rPr>
        <w:t>2</w:t>
      </w:r>
      <w:r w:rsidRPr="00B12FE0">
        <w:rPr>
          <w:b/>
          <w:color w:val="000000" w:themeColor="text1"/>
          <w:sz w:val="21"/>
          <w:szCs w:val="21"/>
        </w:rPr>
        <w:t xml:space="preserve"> </w:t>
      </w:r>
      <w:r w:rsidRPr="00B12FE0">
        <w:rPr>
          <w:rFonts w:ascii="宋体" w:hAnsi="宋体"/>
          <w:b/>
          <w:color w:val="000000" w:themeColor="text1"/>
          <w:sz w:val="21"/>
          <w:szCs w:val="21"/>
        </w:rPr>
        <w:t>核素制备场所工艺流程</w:t>
      </w:r>
      <w:proofErr w:type="gramStart"/>
      <w:r w:rsidRPr="00B12FE0">
        <w:rPr>
          <w:rFonts w:ascii="宋体" w:hAnsi="宋体"/>
          <w:b/>
          <w:color w:val="000000" w:themeColor="text1"/>
          <w:sz w:val="21"/>
          <w:szCs w:val="21"/>
        </w:rPr>
        <w:t>及产污环节</w:t>
      </w:r>
      <w:proofErr w:type="gramEnd"/>
      <w:r w:rsidRPr="00B12FE0">
        <w:rPr>
          <w:rFonts w:ascii="宋体" w:hAnsi="宋体"/>
          <w:b/>
          <w:color w:val="000000" w:themeColor="text1"/>
          <w:sz w:val="21"/>
          <w:szCs w:val="21"/>
        </w:rPr>
        <w:t>图</w:t>
      </w:r>
    </w:p>
    <w:p w14:paraId="62CB4260"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lastRenderedPageBreak/>
        <w:t>因此，核素制备场所污染因子主要是：</w:t>
      </w:r>
      <w:r w:rsidRPr="00B12FE0">
        <w:rPr>
          <w:color w:val="000000" w:themeColor="text1"/>
          <w:szCs w:val="24"/>
        </w:rPr>
        <w:t>γ</w:t>
      </w:r>
      <w:r w:rsidRPr="00B12FE0">
        <w:rPr>
          <w:rFonts w:ascii="宋体" w:hAnsi="宋体"/>
          <w:color w:val="000000" w:themeColor="text1"/>
          <w:szCs w:val="24"/>
        </w:rPr>
        <w:t>射线、中子、</w:t>
      </w:r>
      <w:r w:rsidRPr="00B12FE0">
        <w:rPr>
          <w:color w:val="000000" w:themeColor="text1"/>
          <w:szCs w:val="24"/>
        </w:rPr>
        <w:t>β</w:t>
      </w:r>
      <w:r w:rsidRPr="00B12FE0">
        <w:rPr>
          <w:rFonts w:ascii="宋体" w:hAnsi="宋体"/>
          <w:color w:val="000000" w:themeColor="text1"/>
          <w:szCs w:val="24"/>
        </w:rPr>
        <w:t>表面污染、放射性废</w:t>
      </w:r>
      <w:r w:rsidRPr="00B12FE0">
        <w:rPr>
          <w:rFonts w:ascii="宋体" w:hAnsi="宋体" w:hint="eastAsia"/>
          <w:color w:val="000000" w:themeColor="text1"/>
          <w:szCs w:val="24"/>
        </w:rPr>
        <w:t>水</w:t>
      </w:r>
      <w:r w:rsidRPr="00B12FE0">
        <w:rPr>
          <w:rFonts w:ascii="宋体" w:hAnsi="宋体"/>
          <w:color w:val="000000" w:themeColor="text1"/>
          <w:szCs w:val="24"/>
        </w:rPr>
        <w:t>、放射性废气、放射性</w:t>
      </w:r>
      <w:r w:rsidRPr="00B12FE0">
        <w:rPr>
          <w:rFonts w:ascii="宋体" w:hAnsi="宋体" w:hint="eastAsia"/>
          <w:color w:val="000000" w:themeColor="text1"/>
          <w:szCs w:val="24"/>
        </w:rPr>
        <w:t>固体废物</w:t>
      </w:r>
      <w:r w:rsidRPr="00B12FE0">
        <w:rPr>
          <w:rFonts w:ascii="宋体" w:hAnsi="宋体"/>
          <w:color w:val="000000" w:themeColor="text1"/>
          <w:szCs w:val="24"/>
        </w:rPr>
        <w:t>、感生放射性、臭氧和氮氧化物。</w:t>
      </w:r>
    </w:p>
    <w:p w14:paraId="2ABE44F4" w14:textId="77777777" w:rsidR="00A67F21" w:rsidRPr="00B12FE0" w:rsidRDefault="00000000">
      <w:pPr>
        <w:adjustRightInd w:val="0"/>
        <w:snapToGrid w:val="0"/>
        <w:spacing w:line="360" w:lineRule="auto"/>
        <w:ind w:firstLineChars="200" w:firstLine="482"/>
        <w:rPr>
          <w:b/>
          <w:bCs/>
          <w:color w:val="000000" w:themeColor="text1"/>
          <w:szCs w:val="24"/>
        </w:rPr>
      </w:pPr>
      <w:r w:rsidRPr="00B12FE0">
        <w:rPr>
          <w:rFonts w:ascii="宋体" w:hAnsi="宋体"/>
          <w:b/>
          <w:bCs/>
          <w:color w:val="000000" w:themeColor="text1"/>
          <w:szCs w:val="24"/>
        </w:rPr>
        <w:t>（</w:t>
      </w:r>
      <w:r w:rsidRPr="00B12FE0">
        <w:rPr>
          <w:b/>
          <w:bCs/>
          <w:color w:val="000000" w:themeColor="text1"/>
          <w:szCs w:val="24"/>
        </w:rPr>
        <w:t>6</w:t>
      </w:r>
      <w:r w:rsidRPr="00B12FE0">
        <w:rPr>
          <w:rFonts w:ascii="宋体" w:hAnsi="宋体"/>
          <w:b/>
          <w:bCs/>
          <w:color w:val="000000" w:themeColor="text1"/>
          <w:szCs w:val="24"/>
        </w:rPr>
        <w:t>）</w:t>
      </w:r>
      <w:r w:rsidRPr="00B12FE0">
        <w:rPr>
          <w:rFonts w:ascii="宋体" w:hAnsi="宋体"/>
          <w:b/>
          <w:color w:val="000000" w:themeColor="text1"/>
          <w:szCs w:val="24"/>
        </w:rPr>
        <w:t>工作场所</w:t>
      </w:r>
      <w:r w:rsidRPr="00B12FE0">
        <w:rPr>
          <w:rFonts w:ascii="宋体" w:hAnsi="宋体"/>
          <w:b/>
          <w:bCs/>
          <w:color w:val="000000" w:themeColor="text1"/>
          <w:szCs w:val="24"/>
        </w:rPr>
        <w:t>人员、物流路径规划（见附图</w:t>
      </w:r>
      <w:r w:rsidRPr="00B12FE0">
        <w:rPr>
          <w:b/>
          <w:bCs/>
          <w:color w:val="000000" w:themeColor="text1"/>
          <w:szCs w:val="24"/>
        </w:rPr>
        <w:t>7</w:t>
      </w:r>
      <w:r w:rsidRPr="00B12FE0">
        <w:rPr>
          <w:rFonts w:ascii="宋体" w:hAnsi="宋体"/>
          <w:b/>
          <w:bCs/>
          <w:color w:val="000000" w:themeColor="text1"/>
          <w:szCs w:val="24"/>
        </w:rPr>
        <w:t>）</w:t>
      </w:r>
    </w:p>
    <w:p w14:paraId="60680394" w14:textId="77777777" w:rsidR="00A67F21" w:rsidRPr="00B12FE0" w:rsidRDefault="00000000">
      <w:pPr>
        <w:adjustRightInd w:val="0"/>
        <w:snapToGrid w:val="0"/>
        <w:spacing w:line="360" w:lineRule="auto"/>
        <w:ind w:firstLine="482"/>
        <w:rPr>
          <w:color w:val="000000" w:themeColor="text1"/>
          <w:szCs w:val="24"/>
        </w:rPr>
      </w:pPr>
      <w:r w:rsidRPr="00B12FE0">
        <w:rPr>
          <w:rFonts w:ascii="Cambria Math" w:hAnsi="Cambria Math" w:cs="Cambria Math"/>
          <w:bCs/>
          <w:color w:val="000000" w:themeColor="text1"/>
          <w:szCs w:val="24"/>
        </w:rPr>
        <w:t>①</w:t>
      </w:r>
      <w:r w:rsidRPr="00B12FE0">
        <w:rPr>
          <w:rFonts w:ascii="宋体" w:hAnsi="宋体"/>
          <w:bCs/>
          <w:color w:val="000000" w:themeColor="text1"/>
          <w:szCs w:val="24"/>
        </w:rPr>
        <w:t>工</w:t>
      </w:r>
      <w:r w:rsidRPr="00B12FE0">
        <w:rPr>
          <w:rFonts w:ascii="宋体" w:hAnsi="宋体"/>
          <w:color w:val="000000" w:themeColor="text1"/>
          <w:szCs w:val="24"/>
        </w:rPr>
        <w:t>作人员路径</w:t>
      </w:r>
    </w:p>
    <w:p w14:paraId="115E34C9" w14:textId="77777777" w:rsidR="00A67F21" w:rsidRPr="00B12FE0" w:rsidRDefault="00000000">
      <w:pPr>
        <w:adjustRightInd w:val="0"/>
        <w:snapToGrid w:val="0"/>
        <w:spacing w:line="360" w:lineRule="auto"/>
        <w:ind w:firstLine="482"/>
        <w:rPr>
          <w:color w:val="000000" w:themeColor="text1"/>
          <w:szCs w:val="24"/>
        </w:rPr>
      </w:pPr>
      <w:r w:rsidRPr="00B12FE0">
        <w:rPr>
          <w:rFonts w:ascii="宋体" w:hAnsi="宋体"/>
          <w:color w:val="000000" w:themeColor="text1"/>
          <w:szCs w:val="24"/>
        </w:rPr>
        <w:t>回旋加速器控制室工作人员沿着</w:t>
      </w:r>
      <w:r w:rsidRPr="00B12FE0">
        <w:rPr>
          <w:rFonts w:ascii="宋体" w:hAnsi="宋体" w:hint="eastAsia"/>
          <w:color w:val="000000" w:themeColor="text1"/>
          <w:szCs w:val="24"/>
        </w:rPr>
        <w:t>走道</w:t>
      </w:r>
      <w:r w:rsidRPr="00B12FE0">
        <w:rPr>
          <w:rFonts w:ascii="宋体" w:hAnsi="宋体"/>
          <w:color w:val="000000" w:themeColor="text1"/>
          <w:szCs w:val="24"/>
        </w:rPr>
        <w:t>进入控制室，在控制室进行操作，工作结束后原路返回。热室房间工作人员经</w:t>
      </w:r>
      <w:proofErr w:type="gramStart"/>
      <w:r w:rsidRPr="00B12FE0">
        <w:rPr>
          <w:rFonts w:ascii="宋体" w:hAnsi="宋体"/>
          <w:color w:val="000000" w:themeColor="text1"/>
          <w:szCs w:val="24"/>
        </w:rPr>
        <w:t>一</w:t>
      </w:r>
      <w:proofErr w:type="gramEnd"/>
      <w:r w:rsidRPr="00B12FE0">
        <w:rPr>
          <w:rFonts w:ascii="宋体" w:hAnsi="宋体"/>
          <w:color w:val="000000" w:themeColor="text1"/>
          <w:szCs w:val="24"/>
        </w:rPr>
        <w:t>更、二更、</w:t>
      </w:r>
      <w:r w:rsidRPr="00B12FE0">
        <w:rPr>
          <w:rFonts w:ascii="宋体" w:hAnsi="宋体" w:hint="eastAsia"/>
          <w:color w:val="000000" w:themeColor="text1"/>
          <w:szCs w:val="24"/>
        </w:rPr>
        <w:t>洁净</w:t>
      </w:r>
      <w:r w:rsidRPr="00B12FE0">
        <w:rPr>
          <w:rFonts w:ascii="宋体" w:hAnsi="宋体"/>
          <w:color w:val="000000" w:themeColor="text1"/>
          <w:szCs w:val="24"/>
        </w:rPr>
        <w:t>走廊，通过</w:t>
      </w:r>
      <w:proofErr w:type="gramStart"/>
      <w:r w:rsidRPr="00B12FE0">
        <w:rPr>
          <w:rFonts w:ascii="宋体" w:hAnsi="宋体"/>
          <w:color w:val="000000" w:themeColor="text1"/>
          <w:szCs w:val="24"/>
        </w:rPr>
        <w:t>缓冲间</w:t>
      </w:r>
      <w:proofErr w:type="gramEnd"/>
      <w:r w:rsidRPr="00B12FE0">
        <w:rPr>
          <w:rFonts w:ascii="宋体" w:hAnsi="宋体"/>
          <w:color w:val="000000" w:themeColor="text1"/>
          <w:szCs w:val="24"/>
        </w:rPr>
        <w:t>进入热室房间，在热室房间内进行药物的转移，工作结束后，</w:t>
      </w:r>
      <w:bookmarkStart w:id="15" w:name="_Hlk146204416"/>
      <w:r w:rsidRPr="00B12FE0">
        <w:rPr>
          <w:rFonts w:ascii="宋体" w:hAnsi="宋体"/>
          <w:color w:val="000000" w:themeColor="text1"/>
          <w:szCs w:val="24"/>
        </w:rPr>
        <w:t>监测确认无表面污染后（如监测有污染则进行去污至监测达标后）原路返回。</w:t>
      </w:r>
      <w:bookmarkEnd w:id="15"/>
      <w:r w:rsidRPr="00B12FE0">
        <w:rPr>
          <w:rFonts w:ascii="宋体" w:hAnsi="宋体" w:hint="eastAsia"/>
          <w:color w:val="000000" w:themeColor="text1"/>
          <w:szCs w:val="24"/>
        </w:rPr>
        <w:t>放化实验室</w:t>
      </w:r>
      <w:r w:rsidRPr="00B12FE0">
        <w:rPr>
          <w:rFonts w:ascii="宋体" w:hAnsi="宋体"/>
          <w:color w:val="000000" w:themeColor="text1"/>
          <w:szCs w:val="24"/>
        </w:rPr>
        <w:t>工作人员沿着走道进入</w:t>
      </w:r>
      <w:r w:rsidRPr="00B12FE0">
        <w:rPr>
          <w:rFonts w:ascii="宋体" w:hAnsi="宋体" w:hint="eastAsia"/>
          <w:color w:val="000000" w:themeColor="text1"/>
          <w:szCs w:val="24"/>
        </w:rPr>
        <w:t>放化实验室</w:t>
      </w:r>
      <w:r w:rsidRPr="00B12FE0">
        <w:rPr>
          <w:rFonts w:ascii="宋体" w:hAnsi="宋体"/>
          <w:color w:val="000000" w:themeColor="text1"/>
          <w:szCs w:val="24"/>
        </w:rPr>
        <w:t>，在放化实验室内进行药品质检，</w:t>
      </w:r>
      <w:r w:rsidRPr="00B12FE0">
        <w:rPr>
          <w:rFonts w:ascii="宋体" w:hAnsi="宋体" w:hint="eastAsia"/>
          <w:color w:val="000000" w:themeColor="text1"/>
          <w:szCs w:val="24"/>
        </w:rPr>
        <w:t>质检完成后</w:t>
      </w:r>
      <w:r w:rsidRPr="00B12FE0">
        <w:rPr>
          <w:rFonts w:ascii="宋体" w:hAnsi="宋体"/>
          <w:color w:val="000000" w:themeColor="text1"/>
          <w:szCs w:val="24"/>
        </w:rPr>
        <w:t>原路返回。</w:t>
      </w:r>
    </w:p>
    <w:p w14:paraId="661BCBB3" w14:textId="77777777" w:rsidR="00A67F21" w:rsidRPr="00B12FE0" w:rsidRDefault="00000000">
      <w:pPr>
        <w:topLinePunct/>
        <w:adjustRightInd w:val="0"/>
        <w:snapToGrid w:val="0"/>
        <w:spacing w:line="360" w:lineRule="auto"/>
        <w:ind w:firstLineChars="200" w:firstLine="480"/>
        <w:rPr>
          <w:bCs/>
          <w:color w:val="000000" w:themeColor="text1"/>
          <w:szCs w:val="24"/>
        </w:rPr>
      </w:pPr>
      <w:r w:rsidRPr="00B12FE0">
        <w:rPr>
          <w:rFonts w:ascii="Cambria Math" w:hAnsi="Cambria Math" w:cs="Cambria Math"/>
          <w:bCs/>
          <w:color w:val="000000" w:themeColor="text1"/>
          <w:szCs w:val="24"/>
        </w:rPr>
        <w:t>②</w:t>
      </w:r>
      <w:r w:rsidRPr="00B12FE0">
        <w:rPr>
          <w:rFonts w:ascii="宋体" w:hAnsi="宋体"/>
          <w:bCs/>
          <w:color w:val="000000" w:themeColor="text1"/>
          <w:szCs w:val="24"/>
        </w:rPr>
        <w:t>放射性药物路径</w:t>
      </w:r>
    </w:p>
    <w:p w14:paraId="53627335"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加速器生产出的放射性核素通过相应的地下管道直接传输至热室房间内的模块箱中，进行后续自动合成及分装。制备完成的药物最终自动放置于</w:t>
      </w:r>
      <w:r w:rsidRPr="00B12FE0">
        <w:rPr>
          <w:color w:val="000000" w:themeColor="text1"/>
          <w:szCs w:val="24"/>
        </w:rPr>
        <w:t>50mmPb</w:t>
      </w:r>
      <w:r w:rsidRPr="00B12FE0">
        <w:rPr>
          <w:rFonts w:ascii="宋体" w:hAnsi="宋体"/>
          <w:color w:val="000000" w:themeColor="text1"/>
          <w:szCs w:val="24"/>
        </w:rPr>
        <w:t>铅罐内，再由工作人员从模块箱内取出，再通过传递窗转运至外包间进行封闭包装、贴标签等后续工作。外包完后药物沿着东侧</w:t>
      </w:r>
      <w:r w:rsidRPr="00B12FE0">
        <w:rPr>
          <w:rFonts w:ascii="宋体" w:hAnsi="宋体" w:hint="eastAsia"/>
          <w:color w:val="000000" w:themeColor="text1"/>
          <w:szCs w:val="24"/>
        </w:rPr>
        <w:t>走道</w:t>
      </w:r>
      <w:r w:rsidRPr="00B12FE0">
        <w:rPr>
          <w:rFonts w:ascii="宋体" w:hAnsi="宋体"/>
          <w:color w:val="000000" w:themeColor="text1"/>
          <w:szCs w:val="24"/>
        </w:rPr>
        <w:t>运输至核素诊断场所储源室；质</w:t>
      </w:r>
      <w:proofErr w:type="gramStart"/>
      <w:r w:rsidRPr="00B12FE0">
        <w:rPr>
          <w:rFonts w:ascii="宋体" w:hAnsi="宋体"/>
          <w:color w:val="000000" w:themeColor="text1"/>
          <w:szCs w:val="24"/>
        </w:rPr>
        <w:t>控药物</w:t>
      </w:r>
      <w:proofErr w:type="gramEnd"/>
      <w:r w:rsidRPr="00B12FE0">
        <w:rPr>
          <w:rFonts w:ascii="宋体" w:hAnsi="宋体"/>
          <w:color w:val="000000" w:themeColor="text1"/>
          <w:szCs w:val="24"/>
        </w:rPr>
        <w:t>运输至</w:t>
      </w:r>
      <w:r w:rsidRPr="00B12FE0">
        <w:rPr>
          <w:rFonts w:ascii="宋体" w:hAnsi="宋体" w:hint="eastAsia"/>
          <w:color w:val="000000" w:themeColor="text1"/>
          <w:szCs w:val="24"/>
        </w:rPr>
        <w:t>放化实验室</w:t>
      </w:r>
      <w:r w:rsidRPr="00B12FE0">
        <w:rPr>
          <w:rFonts w:ascii="宋体" w:hAnsi="宋体"/>
          <w:color w:val="000000" w:themeColor="text1"/>
          <w:szCs w:val="24"/>
        </w:rPr>
        <w:t>。</w:t>
      </w:r>
    </w:p>
    <w:p w14:paraId="02EAA8A7" w14:textId="77777777" w:rsidR="00A67F21" w:rsidRPr="00B12FE0" w:rsidRDefault="00000000">
      <w:pPr>
        <w:topLinePunct/>
        <w:adjustRightInd w:val="0"/>
        <w:snapToGrid w:val="0"/>
        <w:spacing w:line="360" w:lineRule="auto"/>
        <w:ind w:firstLineChars="200" w:firstLine="480"/>
        <w:rPr>
          <w:bCs/>
          <w:color w:val="000000" w:themeColor="text1"/>
          <w:sz w:val="21"/>
          <w:szCs w:val="21"/>
        </w:rPr>
      </w:pPr>
      <w:r w:rsidRPr="00B12FE0">
        <w:rPr>
          <w:rFonts w:ascii="Cambria Math" w:hAnsi="Cambria Math" w:cs="Cambria Math"/>
          <w:bCs/>
          <w:color w:val="000000" w:themeColor="text1"/>
          <w:szCs w:val="24"/>
        </w:rPr>
        <w:t>③</w:t>
      </w:r>
      <w:r w:rsidRPr="00B12FE0">
        <w:rPr>
          <w:rFonts w:ascii="宋体" w:hAnsi="宋体"/>
          <w:bCs/>
          <w:color w:val="000000" w:themeColor="text1"/>
          <w:szCs w:val="24"/>
        </w:rPr>
        <w:t>污物路径</w:t>
      </w:r>
    </w:p>
    <w:p w14:paraId="7F54AD76"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回旋加速器换下</w:t>
      </w:r>
      <w:proofErr w:type="gramStart"/>
      <w:r w:rsidRPr="00B12FE0">
        <w:rPr>
          <w:rFonts w:ascii="宋体" w:hAnsi="宋体"/>
          <w:color w:val="000000" w:themeColor="text1"/>
          <w:szCs w:val="24"/>
        </w:rPr>
        <w:t>的废靶拆卸</w:t>
      </w:r>
      <w:proofErr w:type="gramEnd"/>
      <w:r w:rsidRPr="00B12FE0">
        <w:rPr>
          <w:rFonts w:ascii="宋体" w:hAnsi="宋体"/>
          <w:color w:val="000000" w:themeColor="text1"/>
          <w:szCs w:val="24"/>
        </w:rPr>
        <w:t>后先放入屏蔽容器，由设备生产厂家回收最终送交有资质的单位回收处置，医院不暂存。合成、分装产生的放射性固体废物放入热室房间内放射性废物铅桶内，质</w:t>
      </w:r>
      <w:proofErr w:type="gramStart"/>
      <w:r w:rsidRPr="00B12FE0">
        <w:rPr>
          <w:rFonts w:ascii="宋体" w:hAnsi="宋体"/>
          <w:color w:val="000000" w:themeColor="text1"/>
          <w:szCs w:val="24"/>
        </w:rPr>
        <w:t>控过程</w:t>
      </w:r>
      <w:proofErr w:type="gramEnd"/>
      <w:r w:rsidRPr="00B12FE0">
        <w:rPr>
          <w:rFonts w:ascii="宋体" w:hAnsi="宋体"/>
          <w:color w:val="000000" w:themeColor="text1"/>
          <w:szCs w:val="24"/>
        </w:rPr>
        <w:t>中产生的放射性固体废物放入</w:t>
      </w:r>
      <w:r w:rsidRPr="00B12FE0">
        <w:rPr>
          <w:rFonts w:ascii="宋体" w:hAnsi="宋体" w:hint="eastAsia"/>
          <w:color w:val="000000" w:themeColor="text1"/>
          <w:szCs w:val="24"/>
        </w:rPr>
        <w:t>放化实验室</w:t>
      </w:r>
      <w:r w:rsidRPr="00B12FE0">
        <w:rPr>
          <w:rFonts w:ascii="宋体" w:hAnsi="宋体"/>
          <w:color w:val="000000" w:themeColor="text1"/>
          <w:szCs w:val="24"/>
        </w:rPr>
        <w:t>内放射性废物铅桶内，每天下班前将当天产生的放射性废物及时转移至废物间内，暂存于废物衰变箱内衰变。</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核素半衰期小于</w:t>
      </w:r>
      <w:r w:rsidRPr="00B12FE0">
        <w:rPr>
          <w:color w:val="000000" w:themeColor="text1"/>
          <w:szCs w:val="24"/>
        </w:rPr>
        <w:t>24</w:t>
      </w:r>
      <w:r w:rsidRPr="00B12FE0">
        <w:rPr>
          <w:rFonts w:ascii="宋体" w:hAnsi="宋体"/>
          <w:color w:val="000000" w:themeColor="text1"/>
          <w:szCs w:val="24"/>
        </w:rPr>
        <w:t>小时，所含</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核素放射性固体废物暂存时间超过</w:t>
      </w:r>
      <w:r w:rsidRPr="00B12FE0">
        <w:rPr>
          <w:color w:val="000000" w:themeColor="text1"/>
          <w:szCs w:val="24"/>
        </w:rPr>
        <w:t>30</w:t>
      </w:r>
      <w:r w:rsidRPr="00B12FE0">
        <w:rPr>
          <w:rFonts w:ascii="宋体" w:hAnsi="宋体"/>
          <w:color w:val="000000" w:themeColor="text1"/>
          <w:szCs w:val="24"/>
        </w:rPr>
        <w:t>天，</w:t>
      </w:r>
      <w:proofErr w:type="gramStart"/>
      <w:r w:rsidRPr="00B12FE0">
        <w:rPr>
          <w:rFonts w:ascii="宋体" w:hAnsi="宋体"/>
          <w:color w:val="000000" w:themeColor="text1"/>
          <w:szCs w:val="24"/>
        </w:rPr>
        <w:t>待满足解</w:t>
      </w:r>
      <w:proofErr w:type="gramEnd"/>
      <w:r w:rsidRPr="00B12FE0">
        <w:rPr>
          <w:rFonts w:ascii="宋体" w:hAnsi="宋体"/>
          <w:color w:val="000000" w:themeColor="text1"/>
          <w:szCs w:val="24"/>
        </w:rPr>
        <w:t>控水平后，转移至医院医疗废物</w:t>
      </w:r>
      <w:proofErr w:type="gramStart"/>
      <w:r w:rsidRPr="00B12FE0">
        <w:rPr>
          <w:rFonts w:ascii="宋体" w:hAnsi="宋体"/>
          <w:color w:val="000000" w:themeColor="text1"/>
          <w:szCs w:val="24"/>
        </w:rPr>
        <w:t>库集中</w:t>
      </w:r>
      <w:proofErr w:type="gramEnd"/>
      <w:r w:rsidRPr="00B12FE0">
        <w:rPr>
          <w:rFonts w:ascii="宋体" w:hAnsi="宋体"/>
          <w:color w:val="000000" w:themeColor="text1"/>
          <w:szCs w:val="24"/>
        </w:rPr>
        <w:t>收集后按照医疗废物处置。</w:t>
      </w:r>
    </w:p>
    <w:p w14:paraId="6E8F7ACF" w14:textId="77777777" w:rsidR="00A67F21" w:rsidRPr="00B12FE0" w:rsidRDefault="00000000">
      <w:pPr>
        <w:overflowPunct w:val="0"/>
        <w:topLinePunct/>
        <w:adjustRightInd w:val="0"/>
        <w:snapToGrid w:val="0"/>
        <w:spacing w:line="360" w:lineRule="auto"/>
        <w:outlineLvl w:val="3"/>
        <w:rPr>
          <w:b/>
          <w:bCs/>
          <w:color w:val="000000" w:themeColor="text1"/>
          <w:sz w:val="21"/>
          <w:szCs w:val="21"/>
        </w:rPr>
      </w:pPr>
      <w:r w:rsidRPr="00B12FE0">
        <w:rPr>
          <w:b/>
          <w:bCs/>
          <w:color w:val="000000" w:themeColor="text1"/>
          <w:szCs w:val="24"/>
        </w:rPr>
        <w:t>9.1.1.3</w:t>
      </w:r>
      <w:r w:rsidRPr="00B12FE0">
        <w:rPr>
          <w:rFonts w:ascii="宋体" w:hAnsi="宋体"/>
          <w:b/>
          <w:bCs/>
          <w:color w:val="000000" w:themeColor="text1"/>
          <w:szCs w:val="24"/>
        </w:rPr>
        <w:t>核医学科核素诊断场所</w:t>
      </w:r>
      <w:r w:rsidRPr="00B12FE0">
        <w:rPr>
          <w:rFonts w:ascii="宋体" w:hAnsi="宋体"/>
          <w:b/>
          <w:color w:val="000000" w:themeColor="text1"/>
          <w:szCs w:val="24"/>
        </w:rPr>
        <w:t>设备和工艺分析</w:t>
      </w:r>
      <w:r w:rsidRPr="00B12FE0">
        <w:rPr>
          <w:rFonts w:ascii="宋体" w:hAnsi="宋体"/>
          <w:b/>
          <w:bCs/>
          <w:color w:val="000000" w:themeColor="text1"/>
          <w:szCs w:val="24"/>
        </w:rPr>
        <w:t>（肿瘤治疗中心综合楼一层）</w:t>
      </w:r>
    </w:p>
    <w:p w14:paraId="11673A2F" w14:textId="77777777" w:rsidR="00A67F21" w:rsidRPr="00B12FE0" w:rsidRDefault="00000000">
      <w:pPr>
        <w:adjustRightInd w:val="0"/>
        <w:snapToGrid w:val="0"/>
        <w:spacing w:line="360" w:lineRule="auto"/>
        <w:outlineLvl w:val="4"/>
        <w:rPr>
          <w:color w:val="000000" w:themeColor="text1"/>
          <w:sz w:val="21"/>
          <w:szCs w:val="21"/>
        </w:rPr>
      </w:pPr>
      <w:r w:rsidRPr="00B12FE0">
        <w:rPr>
          <w:b/>
          <w:color w:val="000000" w:themeColor="text1"/>
          <w:szCs w:val="24"/>
        </w:rPr>
        <w:t>9.1.1.3.1</w:t>
      </w:r>
      <w:proofErr w:type="gramStart"/>
      <w:r w:rsidRPr="00B12FE0">
        <w:rPr>
          <w:rFonts w:ascii="宋体" w:hAnsi="宋体"/>
          <w:b/>
          <w:color w:val="000000" w:themeColor="text1"/>
          <w:szCs w:val="24"/>
        </w:rPr>
        <w:t>钼</w:t>
      </w:r>
      <w:proofErr w:type="gramEnd"/>
      <w:r w:rsidRPr="00B12FE0">
        <w:rPr>
          <w:rFonts w:ascii="宋体" w:hAnsi="宋体"/>
          <w:b/>
          <w:color w:val="000000" w:themeColor="text1"/>
          <w:szCs w:val="24"/>
        </w:rPr>
        <w:t>锝发生器</w:t>
      </w:r>
      <w:r w:rsidRPr="00B12FE0">
        <w:rPr>
          <w:rFonts w:ascii="宋体" w:hAnsi="宋体"/>
          <w:b/>
          <w:bCs/>
          <w:color w:val="000000" w:themeColor="text1"/>
          <w:szCs w:val="24"/>
        </w:rPr>
        <w:t>工作原理</w:t>
      </w:r>
    </w:p>
    <w:p w14:paraId="402FCE9A" w14:textId="77777777" w:rsidR="00A67F21" w:rsidRPr="00B12FE0" w:rsidRDefault="00000000">
      <w:pPr>
        <w:adjustRightInd w:val="0"/>
        <w:snapToGrid w:val="0"/>
        <w:spacing w:line="360" w:lineRule="auto"/>
        <w:ind w:firstLine="480"/>
        <w:rPr>
          <w:bCs/>
          <w:color w:val="000000" w:themeColor="text1"/>
          <w:szCs w:val="24"/>
        </w:rPr>
      </w:pPr>
      <w:r w:rsidRPr="00B12FE0">
        <w:rPr>
          <w:rFonts w:ascii="宋体" w:hAnsi="宋体"/>
          <w:bCs/>
          <w:color w:val="000000" w:themeColor="text1"/>
          <w:szCs w:val="24"/>
        </w:rPr>
        <w:t>本项目显像诊断使用的</w:t>
      </w:r>
      <w:r w:rsidRPr="00B12FE0">
        <w:rPr>
          <w:color w:val="000000" w:themeColor="text1"/>
          <w:szCs w:val="24"/>
          <w:vertAlign w:val="superscript"/>
        </w:rPr>
        <w:t>99m</w:t>
      </w:r>
      <w:r w:rsidRPr="00B12FE0">
        <w:rPr>
          <w:color w:val="000000" w:themeColor="text1"/>
          <w:szCs w:val="24"/>
        </w:rPr>
        <w:t>Tc</w:t>
      </w:r>
      <w:r w:rsidRPr="00B12FE0">
        <w:rPr>
          <w:rFonts w:ascii="宋体" w:hAnsi="宋体"/>
          <w:bCs/>
          <w:color w:val="000000" w:themeColor="text1"/>
          <w:szCs w:val="24"/>
        </w:rPr>
        <w:t>由</w:t>
      </w:r>
      <w:proofErr w:type="gramStart"/>
      <w:r w:rsidRPr="00B12FE0">
        <w:rPr>
          <w:rFonts w:ascii="宋体" w:hAnsi="宋体"/>
          <w:bCs/>
          <w:color w:val="000000" w:themeColor="text1"/>
          <w:szCs w:val="24"/>
        </w:rPr>
        <w:t>钼</w:t>
      </w:r>
      <w:proofErr w:type="gramEnd"/>
      <w:r w:rsidRPr="00B12FE0">
        <w:rPr>
          <w:rFonts w:ascii="宋体" w:hAnsi="宋体"/>
          <w:bCs/>
          <w:color w:val="000000" w:themeColor="text1"/>
          <w:szCs w:val="24"/>
        </w:rPr>
        <w:t>锝发生器淋洗而成，该发生器属于裂变</w:t>
      </w:r>
      <w:r w:rsidRPr="00B12FE0">
        <w:rPr>
          <w:color w:val="000000" w:themeColor="text1"/>
          <w:szCs w:val="24"/>
          <w:vertAlign w:val="superscript"/>
        </w:rPr>
        <w:t>99</w:t>
      </w:r>
      <w:r w:rsidRPr="00B12FE0">
        <w:rPr>
          <w:color w:val="000000" w:themeColor="text1"/>
          <w:szCs w:val="24"/>
        </w:rPr>
        <w:t>Mo</w:t>
      </w:r>
      <w:r w:rsidRPr="00B12FE0">
        <w:rPr>
          <w:bCs/>
          <w:color w:val="000000" w:themeColor="text1"/>
          <w:szCs w:val="24"/>
        </w:rPr>
        <w:t>-</w:t>
      </w:r>
      <w:r w:rsidRPr="00B12FE0">
        <w:rPr>
          <w:color w:val="000000" w:themeColor="text1"/>
          <w:szCs w:val="24"/>
          <w:vertAlign w:val="superscript"/>
        </w:rPr>
        <w:t>99m</w:t>
      </w:r>
      <w:r w:rsidRPr="00B12FE0">
        <w:rPr>
          <w:color w:val="000000" w:themeColor="text1"/>
          <w:szCs w:val="24"/>
        </w:rPr>
        <w:t>Tc</w:t>
      </w:r>
      <w:r w:rsidRPr="00B12FE0">
        <w:rPr>
          <w:rFonts w:ascii="宋体" w:hAnsi="宋体"/>
          <w:bCs/>
          <w:color w:val="000000" w:themeColor="text1"/>
          <w:szCs w:val="24"/>
        </w:rPr>
        <w:t>色层发生器，基本部件是钼酸锆柱、淋洗系统和用于保护工作人员的辐射屏蔽套。</w:t>
      </w:r>
    </w:p>
    <w:p w14:paraId="0515C643" w14:textId="77777777" w:rsidR="00A67F21" w:rsidRPr="00B12FE0" w:rsidRDefault="00000000">
      <w:pPr>
        <w:adjustRightInd w:val="0"/>
        <w:snapToGrid w:val="0"/>
        <w:spacing w:line="360" w:lineRule="auto"/>
        <w:ind w:firstLine="480"/>
        <w:rPr>
          <w:bCs/>
          <w:color w:val="000000" w:themeColor="text1"/>
          <w:szCs w:val="24"/>
        </w:rPr>
      </w:pPr>
      <w:r w:rsidRPr="00B12FE0">
        <w:rPr>
          <w:color w:val="000000" w:themeColor="text1"/>
          <w:szCs w:val="24"/>
          <w:vertAlign w:val="superscript"/>
        </w:rPr>
        <w:t>99</w:t>
      </w:r>
      <w:r w:rsidRPr="00B12FE0">
        <w:rPr>
          <w:color w:val="000000" w:themeColor="text1"/>
          <w:szCs w:val="24"/>
        </w:rPr>
        <w:t>Mo</w:t>
      </w:r>
      <w:r w:rsidRPr="00B12FE0">
        <w:rPr>
          <w:rFonts w:ascii="宋体" w:hAnsi="宋体"/>
          <w:bCs/>
          <w:color w:val="000000" w:themeColor="text1"/>
          <w:szCs w:val="24"/>
        </w:rPr>
        <w:t>的衰变方式为</w:t>
      </w:r>
      <w:r w:rsidRPr="00B12FE0">
        <w:rPr>
          <w:bCs/>
          <w:color w:val="000000" w:themeColor="text1"/>
          <w:szCs w:val="24"/>
        </w:rPr>
        <w:t>β</w:t>
      </w:r>
      <w:r w:rsidRPr="00B12FE0">
        <w:rPr>
          <w:bCs/>
          <w:color w:val="000000" w:themeColor="text1"/>
          <w:szCs w:val="24"/>
          <w:vertAlign w:val="superscript"/>
        </w:rPr>
        <w:t>-</w:t>
      </w:r>
      <w:r w:rsidRPr="00B12FE0">
        <w:rPr>
          <w:rFonts w:ascii="宋体" w:hAnsi="宋体"/>
          <w:bCs/>
          <w:color w:val="000000" w:themeColor="text1"/>
          <w:szCs w:val="24"/>
        </w:rPr>
        <w:t>，其衰变过程详见图</w:t>
      </w:r>
      <w:r w:rsidRPr="00B12FE0">
        <w:rPr>
          <w:bCs/>
          <w:color w:val="000000" w:themeColor="text1"/>
          <w:szCs w:val="24"/>
        </w:rPr>
        <w:t>9.1.1.3-1</w:t>
      </w:r>
      <w:r w:rsidRPr="00B12FE0">
        <w:rPr>
          <w:rFonts w:ascii="宋体" w:hAnsi="宋体"/>
          <w:bCs/>
          <w:color w:val="000000" w:themeColor="text1"/>
          <w:szCs w:val="24"/>
        </w:rPr>
        <w:t>。</w:t>
      </w:r>
    </w:p>
    <w:p w14:paraId="2F63A36D" w14:textId="77777777" w:rsidR="00A67F21" w:rsidRPr="00B12FE0" w:rsidRDefault="00000000">
      <w:pPr>
        <w:adjustRightInd w:val="0"/>
        <w:snapToGrid w:val="0"/>
        <w:jc w:val="center"/>
        <w:rPr>
          <w:bCs/>
          <w:color w:val="000000" w:themeColor="text1"/>
          <w:szCs w:val="24"/>
        </w:rPr>
      </w:pPr>
      <w:r w:rsidRPr="00B12FE0">
        <w:rPr>
          <w:noProof/>
          <w:color w:val="000000" w:themeColor="text1"/>
          <w:sz w:val="21"/>
          <w:szCs w:val="21"/>
        </w:rPr>
        <w:lastRenderedPageBreak/>
        <w:drawing>
          <wp:inline distT="0" distB="0" distL="0" distR="0" wp14:anchorId="415DB4E7" wp14:editId="42F1D9F5">
            <wp:extent cx="5238750" cy="2095500"/>
            <wp:effectExtent l="0" t="0" r="0" b="0"/>
            <wp:docPr id="7085673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67316"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38750" cy="2095500"/>
                    </a:xfrm>
                    <a:prstGeom prst="rect">
                      <a:avLst/>
                    </a:prstGeom>
                    <a:noFill/>
                    <a:ln>
                      <a:noFill/>
                    </a:ln>
                  </pic:spPr>
                </pic:pic>
              </a:graphicData>
            </a:graphic>
          </wp:inline>
        </w:drawing>
      </w:r>
      <w:r w:rsidRPr="00B12FE0">
        <w:rPr>
          <w:bCs/>
          <w:color w:val="000000" w:themeColor="text1"/>
          <w:szCs w:val="24"/>
        </w:rPr>
        <w:t xml:space="preserve"> </w:t>
      </w:r>
    </w:p>
    <w:p w14:paraId="1C815116"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t>图</w:t>
      </w:r>
      <w:r w:rsidRPr="00B12FE0">
        <w:rPr>
          <w:b/>
          <w:bCs/>
          <w:color w:val="000000" w:themeColor="text1"/>
          <w:sz w:val="21"/>
          <w:szCs w:val="21"/>
        </w:rPr>
        <w:t xml:space="preserve">9.1.1.3-1  </w:t>
      </w:r>
      <w:proofErr w:type="gramStart"/>
      <w:r w:rsidRPr="00B12FE0">
        <w:rPr>
          <w:rFonts w:ascii="宋体" w:hAnsi="宋体"/>
          <w:b/>
          <w:bCs/>
          <w:color w:val="000000" w:themeColor="text1"/>
          <w:sz w:val="21"/>
          <w:szCs w:val="21"/>
        </w:rPr>
        <w:t>钼</w:t>
      </w:r>
      <w:proofErr w:type="gramEnd"/>
      <w:r w:rsidRPr="00B12FE0">
        <w:rPr>
          <w:rFonts w:ascii="宋体" w:hAnsi="宋体"/>
          <w:b/>
          <w:bCs/>
          <w:color w:val="000000" w:themeColor="text1"/>
          <w:sz w:val="21"/>
          <w:szCs w:val="21"/>
        </w:rPr>
        <w:t>锝发生器衰变过程图</w:t>
      </w:r>
    </w:p>
    <w:p w14:paraId="28106D38" w14:textId="77777777" w:rsidR="00A67F21" w:rsidRPr="00B12FE0" w:rsidRDefault="00000000">
      <w:pPr>
        <w:adjustRightInd w:val="0"/>
        <w:snapToGrid w:val="0"/>
        <w:spacing w:line="360" w:lineRule="auto"/>
        <w:ind w:firstLine="480"/>
        <w:rPr>
          <w:bCs/>
          <w:color w:val="000000" w:themeColor="text1"/>
          <w:szCs w:val="24"/>
        </w:rPr>
      </w:pPr>
      <w:r w:rsidRPr="00B12FE0">
        <w:rPr>
          <w:color w:val="000000" w:themeColor="text1"/>
          <w:szCs w:val="24"/>
          <w:vertAlign w:val="superscript"/>
        </w:rPr>
        <w:t>99m</w:t>
      </w:r>
      <w:r w:rsidRPr="00B12FE0">
        <w:rPr>
          <w:color w:val="000000" w:themeColor="text1"/>
          <w:szCs w:val="24"/>
        </w:rPr>
        <w:t>Tc</w:t>
      </w:r>
      <w:r w:rsidRPr="00B12FE0">
        <w:rPr>
          <w:rFonts w:ascii="宋体" w:hAnsi="宋体"/>
          <w:bCs/>
          <w:color w:val="000000" w:themeColor="text1"/>
          <w:szCs w:val="24"/>
        </w:rPr>
        <w:t>由钼酸</w:t>
      </w:r>
      <w:proofErr w:type="gramStart"/>
      <w:r w:rsidRPr="00B12FE0">
        <w:rPr>
          <w:rFonts w:ascii="宋体" w:hAnsi="宋体"/>
          <w:bCs/>
          <w:color w:val="000000" w:themeColor="text1"/>
          <w:szCs w:val="24"/>
        </w:rPr>
        <w:t>锆</w:t>
      </w:r>
      <w:proofErr w:type="gramEnd"/>
      <w:r w:rsidRPr="00B12FE0">
        <w:rPr>
          <w:rFonts w:ascii="宋体" w:hAnsi="宋体"/>
          <w:bCs/>
          <w:color w:val="000000" w:themeColor="text1"/>
          <w:szCs w:val="24"/>
        </w:rPr>
        <w:t>柱内</w:t>
      </w:r>
      <w:r w:rsidRPr="00B12FE0">
        <w:rPr>
          <w:color w:val="000000" w:themeColor="text1"/>
          <w:szCs w:val="24"/>
          <w:vertAlign w:val="superscript"/>
        </w:rPr>
        <w:t>99</w:t>
      </w:r>
      <w:r w:rsidRPr="00B12FE0">
        <w:rPr>
          <w:color w:val="000000" w:themeColor="text1"/>
          <w:szCs w:val="24"/>
        </w:rPr>
        <w:t>Mo</w:t>
      </w:r>
      <w:r w:rsidRPr="00B12FE0">
        <w:rPr>
          <w:rFonts w:ascii="宋体" w:hAnsi="宋体"/>
          <w:bCs/>
          <w:color w:val="000000" w:themeColor="text1"/>
          <w:szCs w:val="24"/>
        </w:rPr>
        <w:t>不断衰变产生，并被</w:t>
      </w:r>
      <w:proofErr w:type="gramStart"/>
      <w:r w:rsidRPr="00B12FE0">
        <w:rPr>
          <w:rFonts w:ascii="宋体" w:hAnsi="宋体"/>
          <w:bCs/>
          <w:color w:val="000000" w:themeColor="text1"/>
          <w:szCs w:val="24"/>
        </w:rPr>
        <w:t>钼酸锆柱吸附</w:t>
      </w:r>
      <w:proofErr w:type="gramEnd"/>
      <w:r w:rsidRPr="00B12FE0">
        <w:rPr>
          <w:rFonts w:ascii="宋体" w:hAnsi="宋体"/>
          <w:bCs/>
          <w:color w:val="000000" w:themeColor="text1"/>
          <w:szCs w:val="24"/>
        </w:rPr>
        <w:t>，当加入适当的淋洗剂时，</w:t>
      </w:r>
      <w:r w:rsidRPr="00B12FE0">
        <w:rPr>
          <w:color w:val="000000" w:themeColor="text1"/>
          <w:szCs w:val="24"/>
          <w:vertAlign w:val="superscript"/>
        </w:rPr>
        <w:t>99m</w:t>
      </w:r>
      <w:r w:rsidRPr="00B12FE0">
        <w:rPr>
          <w:color w:val="000000" w:themeColor="text1"/>
          <w:szCs w:val="24"/>
        </w:rPr>
        <w:t>Tc</w:t>
      </w:r>
      <w:r w:rsidRPr="00B12FE0">
        <w:rPr>
          <w:rFonts w:ascii="宋体" w:hAnsi="宋体"/>
          <w:bCs/>
          <w:color w:val="000000" w:themeColor="text1"/>
          <w:szCs w:val="24"/>
        </w:rPr>
        <w:t>便以</w:t>
      </w:r>
      <w:r w:rsidRPr="00B12FE0">
        <w:rPr>
          <w:bCs/>
          <w:color w:val="000000" w:themeColor="text1"/>
          <w:szCs w:val="24"/>
          <w:vertAlign w:val="superscript"/>
        </w:rPr>
        <w:t>99m</w:t>
      </w:r>
      <w:r w:rsidRPr="00B12FE0">
        <w:rPr>
          <w:bCs/>
          <w:color w:val="000000" w:themeColor="text1"/>
          <w:szCs w:val="24"/>
        </w:rPr>
        <w:t>TcO</w:t>
      </w:r>
      <w:r w:rsidRPr="00B12FE0">
        <w:rPr>
          <w:bCs/>
          <w:color w:val="000000" w:themeColor="text1"/>
          <w:szCs w:val="24"/>
          <w:vertAlign w:val="superscript"/>
        </w:rPr>
        <w:t>4</w:t>
      </w:r>
      <w:r w:rsidRPr="00B12FE0">
        <w:rPr>
          <w:rFonts w:ascii="宋体" w:hAnsi="宋体"/>
          <w:bCs/>
          <w:color w:val="000000" w:themeColor="text1"/>
          <w:szCs w:val="24"/>
          <w:vertAlign w:val="superscript"/>
        </w:rPr>
        <w:t>－</w:t>
      </w:r>
      <w:r w:rsidRPr="00B12FE0">
        <w:rPr>
          <w:rFonts w:ascii="宋体" w:hAnsi="宋体"/>
          <w:bCs/>
          <w:color w:val="000000" w:themeColor="text1"/>
          <w:szCs w:val="24"/>
        </w:rPr>
        <w:t>的形式被淋洗出来，称之为</w:t>
      </w:r>
      <w:r w:rsidRPr="00B12FE0">
        <w:rPr>
          <w:bCs/>
          <w:color w:val="000000" w:themeColor="text1"/>
          <w:szCs w:val="24"/>
        </w:rPr>
        <w:t>“</w:t>
      </w:r>
      <w:r w:rsidRPr="00B12FE0">
        <w:rPr>
          <w:rFonts w:ascii="宋体" w:hAnsi="宋体"/>
          <w:bCs/>
          <w:color w:val="000000" w:themeColor="text1"/>
          <w:szCs w:val="24"/>
        </w:rPr>
        <w:t>挤奶</w:t>
      </w:r>
      <w:r w:rsidRPr="00B12FE0">
        <w:rPr>
          <w:bCs/>
          <w:color w:val="000000" w:themeColor="text1"/>
          <w:szCs w:val="24"/>
        </w:rPr>
        <w:t>”</w:t>
      </w:r>
      <w:r w:rsidRPr="00B12FE0">
        <w:rPr>
          <w:rFonts w:ascii="宋体" w:hAnsi="宋体"/>
          <w:bCs/>
          <w:color w:val="000000" w:themeColor="text1"/>
          <w:szCs w:val="24"/>
        </w:rPr>
        <w:t>。为了使用方便，一套</w:t>
      </w:r>
      <w:proofErr w:type="gramStart"/>
      <w:r w:rsidRPr="00B12FE0">
        <w:rPr>
          <w:rFonts w:ascii="宋体" w:hAnsi="宋体"/>
          <w:bCs/>
          <w:color w:val="000000" w:themeColor="text1"/>
          <w:szCs w:val="24"/>
        </w:rPr>
        <w:t>钼</w:t>
      </w:r>
      <w:proofErr w:type="gramEnd"/>
      <w:r w:rsidRPr="00B12FE0">
        <w:rPr>
          <w:rFonts w:ascii="宋体" w:hAnsi="宋体"/>
          <w:bCs/>
          <w:color w:val="000000" w:themeColor="text1"/>
          <w:szCs w:val="24"/>
        </w:rPr>
        <w:t>锝发生器除基本部件外，常附加子体核素（</w:t>
      </w:r>
      <w:r w:rsidRPr="00B12FE0">
        <w:rPr>
          <w:bCs/>
          <w:color w:val="000000" w:themeColor="text1"/>
          <w:szCs w:val="24"/>
          <w:vertAlign w:val="superscript"/>
        </w:rPr>
        <w:t>99m</w:t>
      </w:r>
      <w:r w:rsidRPr="00B12FE0">
        <w:rPr>
          <w:bCs/>
          <w:color w:val="000000" w:themeColor="text1"/>
          <w:szCs w:val="24"/>
        </w:rPr>
        <w:t>Tc</w:t>
      </w:r>
      <w:r w:rsidRPr="00B12FE0">
        <w:rPr>
          <w:rFonts w:ascii="宋体" w:hAnsi="宋体"/>
          <w:bCs/>
          <w:color w:val="000000" w:themeColor="text1"/>
          <w:szCs w:val="24"/>
        </w:rPr>
        <w:t>）溶液接收瓶（即负压瓶）和一定量的淋洗剂（生理盐水）。由于母体核素的不断衰变就不断地产生子体核素，因而核素发生器可以反复淋洗制得子体核素。</w:t>
      </w:r>
      <w:proofErr w:type="gramStart"/>
      <w:r w:rsidRPr="00B12FE0">
        <w:rPr>
          <w:rFonts w:ascii="宋体" w:hAnsi="宋体"/>
          <w:bCs/>
          <w:color w:val="000000" w:themeColor="text1"/>
          <w:szCs w:val="24"/>
        </w:rPr>
        <w:t>钼</w:t>
      </w:r>
      <w:proofErr w:type="gramEnd"/>
      <w:r w:rsidRPr="00B12FE0">
        <w:rPr>
          <w:rFonts w:ascii="宋体" w:hAnsi="宋体"/>
          <w:bCs/>
          <w:color w:val="000000" w:themeColor="text1"/>
          <w:szCs w:val="24"/>
        </w:rPr>
        <w:t>锝发生器的内部结构见图</w:t>
      </w:r>
      <w:r w:rsidRPr="00B12FE0">
        <w:rPr>
          <w:bCs/>
          <w:color w:val="000000" w:themeColor="text1"/>
          <w:szCs w:val="24"/>
        </w:rPr>
        <w:t>9.1.1.3-2</w:t>
      </w:r>
      <w:r w:rsidRPr="00B12FE0">
        <w:rPr>
          <w:rFonts w:ascii="宋体" w:hAnsi="宋体"/>
          <w:bCs/>
          <w:color w:val="000000" w:themeColor="text1"/>
          <w:szCs w:val="24"/>
        </w:rPr>
        <w:t>。</w:t>
      </w:r>
    </w:p>
    <w:p w14:paraId="193AC7FA" w14:textId="77777777" w:rsidR="00A67F21" w:rsidRPr="00B12FE0" w:rsidRDefault="00000000">
      <w:pPr>
        <w:adjustRightInd w:val="0"/>
        <w:snapToGrid w:val="0"/>
        <w:spacing w:line="360" w:lineRule="auto"/>
        <w:jc w:val="center"/>
        <w:rPr>
          <w:bCs/>
          <w:color w:val="000000" w:themeColor="text1"/>
          <w:szCs w:val="24"/>
        </w:rPr>
      </w:pPr>
      <w:r w:rsidRPr="00B12FE0">
        <w:rPr>
          <w:noProof/>
          <w:color w:val="000000" w:themeColor="text1"/>
          <w:sz w:val="21"/>
          <w:szCs w:val="21"/>
        </w:rPr>
        <w:drawing>
          <wp:inline distT="0" distB="0" distL="0" distR="0" wp14:anchorId="53437640" wp14:editId="5E1C64D1">
            <wp:extent cx="4510405" cy="2800350"/>
            <wp:effectExtent l="0" t="0" r="4445" b="0"/>
            <wp:docPr id="9244955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95517"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12466" cy="2801489"/>
                    </a:xfrm>
                    <a:prstGeom prst="rect">
                      <a:avLst/>
                    </a:prstGeom>
                    <a:noFill/>
                    <a:ln>
                      <a:noFill/>
                    </a:ln>
                  </pic:spPr>
                </pic:pic>
              </a:graphicData>
            </a:graphic>
          </wp:inline>
        </w:drawing>
      </w:r>
      <w:r w:rsidRPr="00B12FE0">
        <w:rPr>
          <w:bCs/>
          <w:color w:val="000000" w:themeColor="text1"/>
          <w:szCs w:val="24"/>
        </w:rPr>
        <w:t xml:space="preserve"> </w:t>
      </w:r>
    </w:p>
    <w:p w14:paraId="7F1671FF"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t>图</w:t>
      </w:r>
      <w:r w:rsidRPr="00B12FE0">
        <w:rPr>
          <w:b/>
          <w:bCs/>
          <w:color w:val="000000" w:themeColor="text1"/>
          <w:sz w:val="21"/>
          <w:szCs w:val="21"/>
        </w:rPr>
        <w:t xml:space="preserve">9.1.1.3-2  </w:t>
      </w:r>
      <w:proofErr w:type="gramStart"/>
      <w:r w:rsidRPr="00B12FE0">
        <w:rPr>
          <w:rFonts w:ascii="宋体" w:hAnsi="宋体"/>
          <w:b/>
          <w:bCs/>
          <w:color w:val="000000" w:themeColor="text1"/>
          <w:sz w:val="21"/>
          <w:szCs w:val="21"/>
        </w:rPr>
        <w:t>钼</w:t>
      </w:r>
      <w:proofErr w:type="gramEnd"/>
      <w:r w:rsidRPr="00B12FE0">
        <w:rPr>
          <w:rFonts w:ascii="宋体" w:hAnsi="宋体"/>
          <w:b/>
          <w:bCs/>
          <w:color w:val="000000" w:themeColor="text1"/>
          <w:sz w:val="21"/>
          <w:szCs w:val="21"/>
        </w:rPr>
        <w:t>锝发生器的内部结构及实景图</w:t>
      </w:r>
    </w:p>
    <w:p w14:paraId="1B203BF9" w14:textId="77777777" w:rsidR="00A67F21" w:rsidRPr="00B12FE0" w:rsidRDefault="00000000">
      <w:pPr>
        <w:adjustRightInd w:val="0"/>
        <w:snapToGrid w:val="0"/>
        <w:spacing w:line="360" w:lineRule="auto"/>
        <w:ind w:firstLine="480"/>
        <w:rPr>
          <w:bCs/>
          <w:color w:val="000000" w:themeColor="text1"/>
          <w:szCs w:val="24"/>
        </w:rPr>
      </w:pPr>
      <w:r w:rsidRPr="00B12FE0">
        <w:rPr>
          <w:rFonts w:ascii="宋体" w:hAnsi="宋体"/>
          <w:bCs/>
          <w:color w:val="000000" w:themeColor="text1"/>
          <w:szCs w:val="24"/>
        </w:rPr>
        <w:t>（</w:t>
      </w:r>
      <w:r w:rsidRPr="00B12FE0">
        <w:rPr>
          <w:bCs/>
          <w:color w:val="000000" w:themeColor="text1"/>
          <w:szCs w:val="24"/>
        </w:rPr>
        <w:t>2</w:t>
      </w:r>
      <w:r w:rsidRPr="00B12FE0">
        <w:rPr>
          <w:rFonts w:ascii="宋体" w:hAnsi="宋体"/>
          <w:bCs/>
          <w:color w:val="000000" w:themeColor="text1"/>
          <w:szCs w:val="24"/>
        </w:rPr>
        <w:t>）放射性核素使用情况</w:t>
      </w:r>
    </w:p>
    <w:p w14:paraId="3EA98E82" w14:textId="77777777" w:rsidR="00A67F21" w:rsidRPr="00B12FE0" w:rsidRDefault="00000000">
      <w:pPr>
        <w:adjustRightInd w:val="0"/>
        <w:snapToGrid w:val="0"/>
        <w:spacing w:line="360" w:lineRule="auto"/>
        <w:ind w:firstLine="480"/>
        <w:rPr>
          <w:color w:val="000000" w:themeColor="text1"/>
          <w:sz w:val="21"/>
          <w:szCs w:val="21"/>
        </w:rPr>
      </w:pPr>
      <w:r w:rsidRPr="00B12FE0">
        <w:rPr>
          <w:bCs/>
          <w:color w:val="000000" w:themeColor="text1"/>
          <w:szCs w:val="24"/>
        </w:rPr>
        <w:t>SPECT/CT</w:t>
      </w:r>
      <w:r w:rsidRPr="00B12FE0">
        <w:rPr>
          <w:rFonts w:ascii="宋体" w:hAnsi="宋体"/>
          <w:color w:val="000000" w:themeColor="text1"/>
          <w:szCs w:val="24"/>
        </w:rPr>
        <w:t>使用显像剂</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核素显像诊断预计最大诊断量为</w:t>
      </w:r>
      <w:r w:rsidRPr="00B12FE0">
        <w:rPr>
          <w:rFonts w:hint="eastAsia"/>
          <w:color w:val="000000" w:themeColor="text1"/>
          <w:szCs w:val="24"/>
        </w:rPr>
        <w:t>3</w:t>
      </w:r>
      <w:r w:rsidRPr="00B12FE0">
        <w:rPr>
          <w:color w:val="000000" w:themeColor="text1"/>
          <w:szCs w:val="24"/>
        </w:rPr>
        <w:t>0</w:t>
      </w:r>
      <w:r w:rsidRPr="00B12FE0">
        <w:rPr>
          <w:rFonts w:ascii="宋体" w:hAnsi="宋体"/>
          <w:color w:val="000000" w:themeColor="text1"/>
          <w:szCs w:val="24"/>
        </w:rPr>
        <w:t>人</w:t>
      </w:r>
      <w:r w:rsidRPr="00B12FE0">
        <w:rPr>
          <w:color w:val="000000" w:themeColor="text1"/>
          <w:szCs w:val="24"/>
        </w:rPr>
        <w:t>/</w:t>
      </w:r>
      <w:r w:rsidRPr="00B12FE0">
        <w:rPr>
          <w:rFonts w:ascii="宋体" w:hAnsi="宋体"/>
          <w:color w:val="000000" w:themeColor="text1"/>
          <w:szCs w:val="24"/>
        </w:rPr>
        <w:t>天，最大注射量为</w:t>
      </w:r>
      <w:r w:rsidRPr="00B12FE0">
        <w:rPr>
          <w:color w:val="000000" w:themeColor="text1"/>
          <w:szCs w:val="24"/>
        </w:rPr>
        <w:t>9.25×</w:t>
      </w:r>
      <w:r w:rsidRPr="00B12FE0">
        <w:rPr>
          <w:bCs/>
          <w:color w:val="000000" w:themeColor="text1"/>
          <w:szCs w:val="24"/>
        </w:rPr>
        <w:t>10</w:t>
      </w:r>
      <w:r w:rsidRPr="00B12FE0">
        <w:rPr>
          <w:bCs/>
          <w:color w:val="000000" w:themeColor="text1"/>
          <w:szCs w:val="24"/>
          <w:vertAlign w:val="superscript"/>
        </w:rPr>
        <w:t>8</w:t>
      </w:r>
      <w:r w:rsidRPr="00B12FE0">
        <w:rPr>
          <w:bCs/>
          <w:color w:val="000000" w:themeColor="text1"/>
          <w:szCs w:val="24"/>
        </w:rPr>
        <w:t>Bq</w:t>
      </w:r>
      <w:r w:rsidRPr="00B12FE0">
        <w:rPr>
          <w:rFonts w:ascii="宋体" w:hAnsi="宋体"/>
          <w:bCs/>
          <w:color w:val="000000" w:themeColor="text1"/>
          <w:szCs w:val="24"/>
        </w:rPr>
        <w:t>（</w:t>
      </w:r>
      <w:r w:rsidRPr="00B12FE0">
        <w:rPr>
          <w:bCs/>
          <w:color w:val="000000" w:themeColor="text1"/>
          <w:szCs w:val="24"/>
        </w:rPr>
        <w:t>25mCi</w:t>
      </w:r>
      <w:r w:rsidRPr="00B12FE0">
        <w:rPr>
          <w:rFonts w:ascii="宋体" w:hAnsi="宋体"/>
          <w:bCs/>
          <w:color w:val="000000" w:themeColor="text1"/>
          <w:szCs w:val="24"/>
        </w:rPr>
        <w:t>）。</w:t>
      </w:r>
      <w:r w:rsidRPr="00B12FE0">
        <w:rPr>
          <w:bCs/>
          <w:color w:val="000000" w:themeColor="text1"/>
          <w:szCs w:val="24"/>
          <w:vertAlign w:val="superscript"/>
        </w:rPr>
        <w:t>99m</w:t>
      </w:r>
      <w:r w:rsidRPr="00B12FE0">
        <w:rPr>
          <w:bCs/>
          <w:color w:val="000000" w:themeColor="text1"/>
          <w:szCs w:val="24"/>
        </w:rPr>
        <w:t>Tc</w:t>
      </w:r>
      <w:r w:rsidRPr="00B12FE0">
        <w:rPr>
          <w:rFonts w:ascii="宋体" w:hAnsi="宋体"/>
          <w:bCs/>
          <w:color w:val="000000" w:themeColor="text1"/>
          <w:szCs w:val="24"/>
        </w:rPr>
        <w:t>核素由</w:t>
      </w:r>
      <w:proofErr w:type="gramStart"/>
      <w:r w:rsidRPr="00B12FE0">
        <w:rPr>
          <w:rFonts w:ascii="宋体" w:hAnsi="宋体"/>
          <w:bCs/>
          <w:color w:val="000000" w:themeColor="text1"/>
          <w:szCs w:val="24"/>
        </w:rPr>
        <w:t>钼</w:t>
      </w:r>
      <w:proofErr w:type="gramEnd"/>
      <w:r w:rsidRPr="00B12FE0">
        <w:rPr>
          <w:rFonts w:ascii="宋体" w:hAnsi="宋体"/>
          <w:bCs/>
          <w:color w:val="000000" w:themeColor="text1"/>
          <w:szCs w:val="24"/>
        </w:rPr>
        <w:t>锝发生器淋洗标记，单次购买发生器规格为</w:t>
      </w:r>
      <w:r w:rsidRPr="00B12FE0">
        <w:rPr>
          <w:rFonts w:hint="eastAsia"/>
          <w:bCs/>
          <w:color w:val="000000" w:themeColor="text1"/>
          <w:szCs w:val="24"/>
        </w:rPr>
        <w:t>0.9</w:t>
      </w:r>
      <w:r w:rsidRPr="00B12FE0">
        <w:rPr>
          <w:bCs/>
          <w:color w:val="000000" w:themeColor="text1"/>
          <w:szCs w:val="24"/>
        </w:rPr>
        <w:t>Ci</w:t>
      </w:r>
      <w:r w:rsidRPr="00B12FE0">
        <w:rPr>
          <w:rFonts w:ascii="宋体" w:hAnsi="宋体"/>
          <w:bCs/>
          <w:color w:val="000000" w:themeColor="text1"/>
          <w:szCs w:val="24"/>
        </w:rPr>
        <w:t>，一周订购</w:t>
      </w:r>
      <w:r w:rsidRPr="00B12FE0">
        <w:rPr>
          <w:bCs/>
          <w:color w:val="000000" w:themeColor="text1"/>
          <w:szCs w:val="24"/>
        </w:rPr>
        <w:t>1</w:t>
      </w:r>
      <w:r w:rsidRPr="00B12FE0">
        <w:rPr>
          <w:rFonts w:ascii="宋体" w:hAnsi="宋体"/>
          <w:bCs/>
          <w:color w:val="000000" w:themeColor="text1"/>
          <w:szCs w:val="24"/>
        </w:rPr>
        <w:t>次，一次订购</w:t>
      </w:r>
      <w:r w:rsidRPr="00B12FE0">
        <w:rPr>
          <w:bCs/>
          <w:color w:val="000000" w:themeColor="text1"/>
          <w:szCs w:val="24"/>
        </w:rPr>
        <w:t>1</w:t>
      </w:r>
      <w:r w:rsidRPr="00B12FE0">
        <w:rPr>
          <w:rFonts w:ascii="宋体" w:hAnsi="宋体"/>
          <w:bCs/>
          <w:color w:val="000000" w:themeColor="text1"/>
          <w:szCs w:val="24"/>
        </w:rPr>
        <w:t>个。一天进行</w:t>
      </w:r>
      <w:r w:rsidRPr="00B12FE0">
        <w:rPr>
          <w:bCs/>
          <w:color w:val="000000" w:themeColor="text1"/>
          <w:szCs w:val="24"/>
        </w:rPr>
        <w:t>1</w:t>
      </w:r>
      <w:r w:rsidRPr="00B12FE0">
        <w:rPr>
          <w:rFonts w:ascii="宋体" w:hAnsi="宋体"/>
          <w:bCs/>
          <w:color w:val="000000" w:themeColor="text1"/>
          <w:szCs w:val="24"/>
        </w:rPr>
        <w:t>次淋洗，根据表</w:t>
      </w:r>
      <w:r w:rsidRPr="00B12FE0">
        <w:rPr>
          <w:bCs/>
          <w:color w:val="000000" w:themeColor="text1"/>
          <w:szCs w:val="24"/>
        </w:rPr>
        <w:t>1.1-2</w:t>
      </w:r>
      <w:r w:rsidRPr="00B12FE0">
        <w:rPr>
          <w:rFonts w:ascii="宋体" w:hAnsi="宋体"/>
          <w:bCs/>
          <w:color w:val="000000" w:themeColor="text1"/>
          <w:szCs w:val="24"/>
        </w:rPr>
        <w:t>注解中</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kern w:val="0"/>
          <w:szCs w:val="24"/>
        </w:rPr>
        <w:t>的日最大操作量</w:t>
      </w:r>
      <w:r w:rsidRPr="00B12FE0">
        <w:rPr>
          <w:rFonts w:hint="eastAsia"/>
          <w:color w:val="000000" w:themeColor="text1"/>
          <w:kern w:val="0"/>
          <w:szCs w:val="24"/>
        </w:rPr>
        <w:t>3.33</w:t>
      </w:r>
      <w:r w:rsidRPr="00B12FE0">
        <w:rPr>
          <w:color w:val="000000" w:themeColor="text1"/>
          <w:kern w:val="0"/>
          <w:szCs w:val="24"/>
        </w:rPr>
        <w:t>×10</w:t>
      </w:r>
      <w:r w:rsidRPr="00B12FE0">
        <w:rPr>
          <w:color w:val="000000" w:themeColor="text1"/>
          <w:kern w:val="0"/>
          <w:szCs w:val="24"/>
          <w:vertAlign w:val="superscript"/>
        </w:rPr>
        <w:t>10</w:t>
      </w:r>
      <w:r w:rsidRPr="00B12FE0">
        <w:rPr>
          <w:color w:val="000000" w:themeColor="text1"/>
          <w:kern w:val="0"/>
          <w:szCs w:val="24"/>
        </w:rPr>
        <w:t>Bq</w:t>
      </w:r>
      <w:r w:rsidRPr="00B12FE0">
        <w:rPr>
          <w:rFonts w:ascii="宋体" w:hAnsi="宋体"/>
          <w:color w:val="000000" w:themeColor="text1"/>
          <w:kern w:val="0"/>
          <w:szCs w:val="24"/>
        </w:rPr>
        <w:t>（单次淋洗量）</w:t>
      </w:r>
      <w:r w:rsidRPr="00B12FE0">
        <w:rPr>
          <w:rFonts w:ascii="宋体" w:hAnsi="宋体"/>
          <w:bCs/>
          <w:color w:val="000000" w:themeColor="text1"/>
          <w:szCs w:val="24"/>
        </w:rPr>
        <w:t>，如果门诊预约达到最大就诊人数，则上午</w:t>
      </w:r>
      <w:r w:rsidRPr="00B12FE0">
        <w:rPr>
          <w:rFonts w:hint="eastAsia"/>
          <w:bCs/>
          <w:color w:val="000000" w:themeColor="text1"/>
          <w:szCs w:val="24"/>
        </w:rPr>
        <w:t>15</w:t>
      </w:r>
      <w:r w:rsidRPr="00B12FE0">
        <w:rPr>
          <w:rFonts w:ascii="宋体" w:hAnsi="宋体"/>
          <w:bCs/>
          <w:color w:val="000000" w:themeColor="text1"/>
          <w:szCs w:val="24"/>
        </w:rPr>
        <w:t>人，下午</w:t>
      </w:r>
      <w:r w:rsidRPr="00B12FE0">
        <w:rPr>
          <w:rFonts w:hint="eastAsia"/>
          <w:bCs/>
          <w:color w:val="000000" w:themeColor="text1"/>
          <w:szCs w:val="24"/>
        </w:rPr>
        <w:t>15</w:t>
      </w:r>
      <w:r w:rsidRPr="00B12FE0">
        <w:rPr>
          <w:rFonts w:ascii="宋体" w:hAnsi="宋体"/>
          <w:bCs/>
          <w:color w:val="000000" w:themeColor="text1"/>
          <w:szCs w:val="24"/>
        </w:rPr>
        <w:t>人，则单次淋洗量满足日就诊人数用量需求。</w:t>
      </w:r>
    </w:p>
    <w:p w14:paraId="09CCDCE8" w14:textId="77777777" w:rsidR="00A67F21" w:rsidRPr="00B12FE0" w:rsidRDefault="00000000">
      <w:pPr>
        <w:adjustRightInd w:val="0"/>
        <w:snapToGrid w:val="0"/>
        <w:spacing w:line="360" w:lineRule="auto"/>
        <w:outlineLvl w:val="4"/>
        <w:rPr>
          <w:b/>
          <w:bCs/>
          <w:color w:val="000000" w:themeColor="text1"/>
          <w:szCs w:val="24"/>
        </w:rPr>
      </w:pPr>
      <w:r w:rsidRPr="00B12FE0">
        <w:rPr>
          <w:b/>
          <w:bCs/>
          <w:color w:val="000000" w:themeColor="text1"/>
          <w:szCs w:val="24"/>
        </w:rPr>
        <w:lastRenderedPageBreak/>
        <w:t>9.1.1.3.2  SPECT/CT</w:t>
      </w:r>
      <w:r w:rsidRPr="00B12FE0">
        <w:rPr>
          <w:rFonts w:ascii="宋体" w:hAnsi="宋体"/>
          <w:b/>
          <w:bCs/>
          <w:color w:val="000000" w:themeColor="text1"/>
          <w:szCs w:val="24"/>
        </w:rPr>
        <w:t>显像检查</w:t>
      </w:r>
    </w:p>
    <w:p w14:paraId="1343754B" w14:textId="77777777" w:rsidR="00A67F21" w:rsidRPr="00B12FE0" w:rsidRDefault="00000000">
      <w:pPr>
        <w:autoSpaceDE w:val="0"/>
        <w:adjustRightInd w:val="0"/>
        <w:snapToGrid w:val="0"/>
        <w:spacing w:line="360" w:lineRule="auto"/>
        <w:ind w:firstLine="480"/>
        <w:rPr>
          <w:b/>
          <w:color w:val="000000" w:themeColor="text1"/>
          <w:szCs w:val="24"/>
        </w:rPr>
      </w:pPr>
      <w:r w:rsidRPr="00B12FE0">
        <w:rPr>
          <w:rFonts w:ascii="宋体" w:hAnsi="宋体"/>
          <w:b/>
          <w:color w:val="000000" w:themeColor="text1"/>
          <w:szCs w:val="24"/>
        </w:rPr>
        <w:t>（</w:t>
      </w:r>
      <w:r w:rsidRPr="00B12FE0">
        <w:rPr>
          <w:b/>
          <w:color w:val="000000" w:themeColor="text1"/>
          <w:szCs w:val="24"/>
        </w:rPr>
        <w:t>1</w:t>
      </w:r>
      <w:r w:rsidRPr="00B12FE0">
        <w:rPr>
          <w:rFonts w:ascii="宋体" w:hAnsi="宋体"/>
          <w:b/>
          <w:color w:val="000000" w:themeColor="text1"/>
          <w:szCs w:val="24"/>
        </w:rPr>
        <w:t>）工作原理</w:t>
      </w:r>
    </w:p>
    <w:p w14:paraId="1DF77CE3" w14:textId="77777777" w:rsidR="00A67F21" w:rsidRPr="00B12FE0" w:rsidRDefault="00000000">
      <w:pPr>
        <w:adjustRightInd w:val="0"/>
        <w:snapToGrid w:val="0"/>
        <w:spacing w:line="360" w:lineRule="auto"/>
        <w:ind w:firstLineChars="200" w:firstLine="480"/>
        <w:rPr>
          <w:color w:val="000000" w:themeColor="text1"/>
        </w:rPr>
      </w:pPr>
      <w:r w:rsidRPr="00B12FE0">
        <w:rPr>
          <w:bCs/>
          <w:color w:val="000000" w:themeColor="text1"/>
        </w:rPr>
        <w:t>SPECT</w:t>
      </w:r>
      <w:r w:rsidRPr="00B12FE0">
        <w:rPr>
          <w:bCs/>
          <w:color w:val="000000" w:themeColor="text1"/>
        </w:rPr>
        <w:t>（</w:t>
      </w:r>
      <w:r w:rsidRPr="00B12FE0">
        <w:rPr>
          <w:bCs/>
          <w:color w:val="000000" w:themeColor="text1"/>
        </w:rPr>
        <w:t>Single</w:t>
      </w:r>
      <w:r w:rsidRPr="00B12FE0">
        <w:rPr>
          <w:rFonts w:hint="eastAsia"/>
          <w:bCs/>
          <w:color w:val="000000" w:themeColor="text1"/>
        </w:rPr>
        <w:t xml:space="preserve"> </w:t>
      </w:r>
      <w:r w:rsidRPr="00B12FE0">
        <w:rPr>
          <w:bCs/>
          <w:color w:val="000000" w:themeColor="text1"/>
        </w:rPr>
        <w:t>Photon</w:t>
      </w:r>
      <w:r w:rsidRPr="00B12FE0">
        <w:rPr>
          <w:rFonts w:hint="eastAsia"/>
          <w:bCs/>
          <w:color w:val="000000" w:themeColor="text1"/>
        </w:rPr>
        <w:t xml:space="preserve"> </w:t>
      </w:r>
      <w:r w:rsidRPr="00B12FE0">
        <w:rPr>
          <w:bCs/>
          <w:color w:val="000000" w:themeColor="text1"/>
        </w:rPr>
        <w:t>Emission</w:t>
      </w:r>
      <w:r w:rsidRPr="00B12FE0">
        <w:rPr>
          <w:rFonts w:hint="eastAsia"/>
          <w:bCs/>
          <w:color w:val="000000" w:themeColor="text1"/>
        </w:rPr>
        <w:t xml:space="preserve"> </w:t>
      </w:r>
      <w:r w:rsidRPr="00B12FE0">
        <w:rPr>
          <w:bCs/>
          <w:color w:val="000000" w:themeColor="text1"/>
        </w:rPr>
        <w:t>Computed</w:t>
      </w:r>
      <w:r w:rsidRPr="00B12FE0">
        <w:rPr>
          <w:rFonts w:hint="eastAsia"/>
          <w:bCs/>
          <w:color w:val="000000" w:themeColor="text1"/>
        </w:rPr>
        <w:t xml:space="preserve"> </w:t>
      </w:r>
      <w:r w:rsidRPr="00B12FE0">
        <w:rPr>
          <w:bCs/>
          <w:color w:val="000000" w:themeColor="text1"/>
        </w:rPr>
        <w:t>Tomography</w:t>
      </w:r>
      <w:r w:rsidRPr="00B12FE0">
        <w:rPr>
          <w:bCs/>
          <w:color w:val="000000" w:themeColor="text1"/>
        </w:rPr>
        <w:t>，单光子发射型计算机体层显像），是一种利用放射性核素的检查方法。</w:t>
      </w:r>
      <w:r w:rsidRPr="00B12FE0">
        <w:rPr>
          <w:bCs/>
          <w:color w:val="000000" w:themeColor="text1"/>
        </w:rPr>
        <w:t>SPECT</w:t>
      </w:r>
      <w:r w:rsidRPr="00B12FE0">
        <w:rPr>
          <w:bCs/>
          <w:color w:val="000000" w:themeColor="text1"/>
        </w:rPr>
        <w:t>其使用放射性核素进行诊断的基本原理是：受检者注射含放射性核素的药物，放射性核素在特定的器官或组织发射出</w:t>
      </w:r>
      <w:r w:rsidRPr="00B12FE0">
        <w:rPr>
          <w:bCs/>
          <w:color w:val="000000" w:themeColor="text1"/>
        </w:rPr>
        <w:t>γ</w:t>
      </w:r>
      <w:r w:rsidRPr="00B12FE0">
        <w:rPr>
          <w:bCs/>
          <w:color w:val="000000" w:themeColor="text1"/>
        </w:rPr>
        <w:t>射线，穿过组织器官后到达</w:t>
      </w:r>
      <w:r w:rsidRPr="00B12FE0">
        <w:rPr>
          <w:bCs/>
          <w:color w:val="000000" w:themeColor="text1"/>
        </w:rPr>
        <w:t>SPECT</w:t>
      </w:r>
      <w:r w:rsidRPr="00B12FE0">
        <w:rPr>
          <w:bCs/>
          <w:color w:val="000000" w:themeColor="text1"/>
        </w:rPr>
        <w:t>探测器。</w:t>
      </w:r>
      <w:r w:rsidRPr="00B12FE0">
        <w:rPr>
          <w:bCs/>
          <w:color w:val="000000" w:themeColor="text1"/>
        </w:rPr>
        <w:t>SPECT</w:t>
      </w:r>
      <w:r w:rsidRPr="00B12FE0">
        <w:rPr>
          <w:bCs/>
          <w:color w:val="000000" w:themeColor="text1"/>
        </w:rPr>
        <w:t>使用低能准直器对</w:t>
      </w:r>
      <w:r w:rsidRPr="00B12FE0">
        <w:rPr>
          <w:bCs/>
          <w:color w:val="000000" w:themeColor="text1"/>
        </w:rPr>
        <w:t>γ</w:t>
      </w:r>
      <w:r w:rsidRPr="00B12FE0">
        <w:rPr>
          <w:bCs/>
          <w:color w:val="000000" w:themeColor="text1"/>
        </w:rPr>
        <w:t>射线进行准直，通过闪烁体将</w:t>
      </w:r>
      <w:r w:rsidRPr="00B12FE0">
        <w:rPr>
          <w:bCs/>
          <w:color w:val="000000" w:themeColor="text1"/>
        </w:rPr>
        <w:t>γ</w:t>
      </w:r>
      <w:r w:rsidRPr="00B12FE0">
        <w:rPr>
          <w:bCs/>
          <w:color w:val="000000" w:themeColor="text1"/>
        </w:rPr>
        <w:t>射线能力转换为光信号，再通过光电倍增管将光信号转化</w:t>
      </w:r>
      <w:r w:rsidRPr="00B12FE0">
        <w:rPr>
          <w:color w:val="000000" w:themeColor="text1"/>
        </w:rPr>
        <w:t>为电信号并进行放大，得到的测量值代表在该投影线上的放射性大小，再利用计算机从投影求解断层图形。其主要的功能特点是：除了显示脏器形态结构外，更重要的是可观察到脏器血流灌注、功能和代谢的变化。临床主要应用于骨骼显像、心脏灌注断层显像、甲状腺显像、</w:t>
      </w:r>
      <w:r w:rsidRPr="00B12FE0">
        <w:rPr>
          <w:rFonts w:hint="eastAsia"/>
          <w:color w:val="000000" w:themeColor="text1"/>
        </w:rPr>
        <w:t>肺显像、</w:t>
      </w:r>
      <w:r w:rsidRPr="00B12FE0">
        <w:rPr>
          <w:color w:val="000000" w:themeColor="text1"/>
        </w:rPr>
        <w:t>肾动态显像等。</w:t>
      </w:r>
    </w:p>
    <w:p w14:paraId="3A7EE49C"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SPECT/CT</w:t>
      </w:r>
      <w:r w:rsidRPr="00B12FE0">
        <w:rPr>
          <w:color w:val="000000" w:themeColor="text1"/>
        </w:rPr>
        <w:t>主要由三部分组成，即探头、旋转运动机架、计算机及其辅助设备。探头部分主要由准直器、晶体、光导、光电倍增管、模拟定位计算电路组成。</w:t>
      </w:r>
      <w:r w:rsidRPr="00B12FE0">
        <w:rPr>
          <w:color w:val="000000" w:themeColor="text1"/>
        </w:rPr>
        <w:t>SPECT/CT</w:t>
      </w:r>
      <w:r w:rsidRPr="00B12FE0">
        <w:rPr>
          <w:color w:val="000000" w:themeColor="text1"/>
        </w:rPr>
        <w:t>自身带有一个</w:t>
      </w:r>
      <w:r w:rsidRPr="00B12FE0">
        <w:rPr>
          <w:color w:val="000000" w:themeColor="text1"/>
        </w:rPr>
        <w:t>CT</w:t>
      </w:r>
      <w:r w:rsidRPr="00B12FE0">
        <w:rPr>
          <w:color w:val="000000" w:themeColor="text1"/>
        </w:rPr>
        <w:t>球管，在</w:t>
      </w:r>
      <w:r w:rsidRPr="00B12FE0">
        <w:rPr>
          <w:color w:val="000000" w:themeColor="text1"/>
        </w:rPr>
        <w:t>SPECT</w:t>
      </w:r>
      <w:r w:rsidRPr="00B12FE0">
        <w:rPr>
          <w:color w:val="000000" w:themeColor="text1"/>
        </w:rPr>
        <w:t>核素扫描的基础上，可以同时获得</w:t>
      </w:r>
      <w:r w:rsidRPr="00B12FE0">
        <w:rPr>
          <w:color w:val="000000" w:themeColor="text1"/>
        </w:rPr>
        <w:t>CT</w:t>
      </w:r>
      <w:r w:rsidRPr="00B12FE0">
        <w:rPr>
          <w:color w:val="000000" w:themeColor="text1"/>
        </w:rPr>
        <w:t>解剖图像，从而更有利于对疾病</w:t>
      </w:r>
      <w:r w:rsidRPr="00B12FE0">
        <w:rPr>
          <w:rFonts w:hint="eastAsia"/>
          <w:color w:val="000000" w:themeColor="text1"/>
        </w:rPr>
        <w:t>做</w:t>
      </w:r>
      <w:r w:rsidRPr="00B12FE0">
        <w:rPr>
          <w:color w:val="000000" w:themeColor="text1"/>
        </w:rPr>
        <w:t>出全面、准确的判断。本项目</w:t>
      </w:r>
      <w:r w:rsidRPr="00B12FE0">
        <w:rPr>
          <w:rFonts w:hint="eastAsia"/>
          <w:color w:val="000000" w:themeColor="text1"/>
        </w:rPr>
        <w:t>核医学工作场所</w:t>
      </w:r>
      <w:r w:rsidRPr="00B12FE0">
        <w:rPr>
          <w:color w:val="000000" w:themeColor="text1"/>
        </w:rPr>
        <w:t>拟配置的</w:t>
      </w:r>
      <w:r w:rsidRPr="00B12FE0">
        <w:rPr>
          <w:color w:val="000000" w:themeColor="text1"/>
        </w:rPr>
        <w:t>SPECT/CT</w:t>
      </w:r>
      <w:r w:rsidRPr="00B12FE0">
        <w:rPr>
          <w:color w:val="000000" w:themeColor="text1"/>
        </w:rPr>
        <w:t>，型号尚未确定，</w:t>
      </w:r>
      <w:proofErr w:type="gramStart"/>
      <w:r w:rsidRPr="00B12FE0">
        <w:rPr>
          <w:color w:val="000000" w:themeColor="text1"/>
        </w:rPr>
        <w:t>仅确定</w:t>
      </w:r>
      <w:proofErr w:type="gramEnd"/>
      <w:r w:rsidRPr="00B12FE0">
        <w:rPr>
          <w:color w:val="000000" w:themeColor="text1"/>
        </w:rPr>
        <w:t>其中使用的</w:t>
      </w:r>
      <w:r w:rsidRPr="00B12FE0">
        <w:rPr>
          <w:color w:val="000000" w:themeColor="text1"/>
        </w:rPr>
        <w:t>CT</w:t>
      </w:r>
      <w:r w:rsidRPr="00B12FE0">
        <w:rPr>
          <w:color w:val="000000" w:themeColor="text1"/>
        </w:rPr>
        <w:t>最大管电压不超过</w:t>
      </w:r>
      <w:r w:rsidRPr="00B12FE0">
        <w:rPr>
          <w:color w:val="000000" w:themeColor="text1"/>
        </w:rPr>
        <w:t>140kV</w:t>
      </w:r>
      <w:r w:rsidRPr="00B12FE0">
        <w:rPr>
          <w:color w:val="000000" w:themeColor="text1"/>
        </w:rPr>
        <w:t>，电流不超过</w:t>
      </w:r>
      <w:r w:rsidRPr="00B12FE0">
        <w:rPr>
          <w:rFonts w:hint="eastAsia"/>
          <w:color w:val="000000" w:themeColor="text1"/>
        </w:rPr>
        <w:t>1000</w:t>
      </w:r>
      <w:r w:rsidRPr="00B12FE0">
        <w:rPr>
          <w:color w:val="000000" w:themeColor="text1"/>
        </w:rPr>
        <w:t>mA</w:t>
      </w:r>
      <w:r w:rsidRPr="00B12FE0">
        <w:rPr>
          <w:color w:val="000000" w:themeColor="text1"/>
        </w:rPr>
        <w:t>。</w:t>
      </w:r>
    </w:p>
    <w:p w14:paraId="31150DD6" w14:textId="77777777" w:rsidR="00A67F21" w:rsidRPr="00B12FE0" w:rsidRDefault="00000000">
      <w:pPr>
        <w:pStyle w:val="21"/>
        <w:spacing w:after="0"/>
        <w:ind w:leftChars="0" w:left="0" w:firstLineChars="0" w:firstLine="0"/>
        <w:jc w:val="center"/>
        <w:rPr>
          <w:b/>
          <w:color w:val="000000" w:themeColor="text1"/>
        </w:rPr>
      </w:pPr>
      <w:r w:rsidRPr="00B12FE0">
        <w:rPr>
          <w:noProof/>
          <w:color w:val="000000" w:themeColor="text1"/>
        </w:rPr>
        <w:drawing>
          <wp:inline distT="0" distB="0" distL="0" distR="0" wp14:anchorId="02549187" wp14:editId="015F953B">
            <wp:extent cx="3829050" cy="2639060"/>
            <wp:effectExtent l="0" t="0" r="0" b="8890"/>
            <wp:docPr id="98550107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01075" name="图片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31576" cy="2641183"/>
                    </a:xfrm>
                    <a:prstGeom prst="rect">
                      <a:avLst/>
                    </a:prstGeom>
                    <a:noFill/>
                    <a:ln>
                      <a:noFill/>
                    </a:ln>
                  </pic:spPr>
                </pic:pic>
              </a:graphicData>
            </a:graphic>
          </wp:inline>
        </w:drawing>
      </w:r>
    </w:p>
    <w:p w14:paraId="0FC0AA6E" w14:textId="77777777" w:rsidR="00A67F21" w:rsidRPr="00B12FE0" w:rsidRDefault="00000000">
      <w:pPr>
        <w:pStyle w:val="21"/>
        <w:ind w:leftChars="0" w:left="0" w:firstLineChars="0" w:firstLine="0"/>
        <w:jc w:val="center"/>
        <w:rPr>
          <w:bCs/>
          <w:color w:val="000000" w:themeColor="text1"/>
          <w:sz w:val="21"/>
          <w:szCs w:val="21"/>
        </w:rPr>
      </w:pPr>
      <w:r w:rsidRPr="00B12FE0">
        <w:rPr>
          <w:b/>
          <w:color w:val="000000" w:themeColor="text1"/>
          <w:sz w:val="21"/>
          <w:szCs w:val="21"/>
        </w:rPr>
        <w:t>图</w:t>
      </w:r>
      <w:r w:rsidRPr="00B12FE0">
        <w:rPr>
          <w:b/>
          <w:color w:val="000000" w:themeColor="text1"/>
          <w:sz w:val="21"/>
          <w:szCs w:val="21"/>
        </w:rPr>
        <w:t xml:space="preserve">9.1.1.3-3  </w:t>
      </w:r>
      <w:r w:rsidRPr="00B12FE0">
        <w:rPr>
          <w:b/>
          <w:color w:val="000000" w:themeColor="text1"/>
          <w:sz w:val="21"/>
          <w:szCs w:val="21"/>
        </w:rPr>
        <w:t>常见</w:t>
      </w:r>
      <w:r w:rsidRPr="00B12FE0">
        <w:rPr>
          <w:b/>
          <w:color w:val="000000" w:themeColor="text1"/>
          <w:sz w:val="21"/>
          <w:szCs w:val="21"/>
        </w:rPr>
        <w:t>SPECT/CT</w:t>
      </w:r>
      <w:r w:rsidRPr="00B12FE0">
        <w:rPr>
          <w:b/>
          <w:color w:val="000000" w:themeColor="text1"/>
          <w:sz w:val="21"/>
          <w:szCs w:val="21"/>
        </w:rPr>
        <w:t>外观图</w:t>
      </w:r>
    </w:p>
    <w:p w14:paraId="6D56EFB6" w14:textId="77777777" w:rsidR="00A67F21" w:rsidRPr="00B12FE0" w:rsidRDefault="00000000">
      <w:pPr>
        <w:spacing w:line="360" w:lineRule="auto"/>
        <w:ind w:firstLineChars="200" w:firstLine="480"/>
        <w:rPr>
          <w:color w:val="000000" w:themeColor="text1"/>
        </w:rPr>
      </w:pPr>
      <w:r w:rsidRPr="00B12FE0">
        <w:rPr>
          <w:rFonts w:hint="eastAsia"/>
          <w:bCs/>
          <w:color w:val="000000" w:themeColor="text1"/>
        </w:rPr>
        <w:t>（</w:t>
      </w:r>
      <w:r w:rsidRPr="00B12FE0">
        <w:rPr>
          <w:rFonts w:hint="eastAsia"/>
          <w:bCs/>
          <w:color w:val="000000" w:themeColor="text1"/>
        </w:rPr>
        <w:t>2</w:t>
      </w:r>
      <w:r w:rsidRPr="00B12FE0">
        <w:rPr>
          <w:rFonts w:hint="eastAsia"/>
          <w:bCs/>
          <w:color w:val="000000" w:themeColor="text1"/>
        </w:rPr>
        <w:t>）</w:t>
      </w:r>
      <w:r w:rsidRPr="00B12FE0">
        <w:rPr>
          <w:rFonts w:hint="eastAsia"/>
          <w:color w:val="000000" w:themeColor="text1"/>
        </w:rPr>
        <w:t>工作原理</w:t>
      </w:r>
    </w:p>
    <w:p w14:paraId="3B370A56" w14:textId="77777777" w:rsidR="00A67F21" w:rsidRPr="00B12FE0" w:rsidRDefault="00000000">
      <w:pPr>
        <w:adjustRightInd w:val="0"/>
        <w:snapToGrid w:val="0"/>
        <w:spacing w:line="360" w:lineRule="auto"/>
        <w:ind w:firstLineChars="200" w:firstLine="480"/>
        <w:rPr>
          <w:color w:val="000000" w:themeColor="text1"/>
        </w:rPr>
      </w:pPr>
      <w:r w:rsidRPr="00B12FE0">
        <w:rPr>
          <w:bCs/>
          <w:color w:val="000000" w:themeColor="text1"/>
        </w:rPr>
        <w:t>SPECT</w:t>
      </w:r>
      <w:r w:rsidRPr="00B12FE0">
        <w:rPr>
          <w:rFonts w:hint="eastAsia"/>
          <w:bCs/>
          <w:color w:val="000000" w:themeColor="text1"/>
        </w:rPr>
        <w:t>其使用放射性核素进行诊断的基本原理是：受检者注射含放射性核素的药物，放射性核素在特定的器官或组织发射出</w:t>
      </w:r>
      <w:r w:rsidRPr="00B12FE0">
        <w:rPr>
          <w:bCs/>
          <w:color w:val="000000" w:themeColor="text1"/>
        </w:rPr>
        <w:t>γ</w:t>
      </w:r>
      <w:r w:rsidRPr="00B12FE0">
        <w:rPr>
          <w:rFonts w:hint="eastAsia"/>
          <w:bCs/>
          <w:color w:val="000000" w:themeColor="text1"/>
        </w:rPr>
        <w:t>射线，穿过组织器官后到达</w:t>
      </w:r>
      <w:r w:rsidRPr="00B12FE0">
        <w:rPr>
          <w:bCs/>
          <w:color w:val="000000" w:themeColor="text1"/>
        </w:rPr>
        <w:t>SPECT</w:t>
      </w:r>
      <w:r w:rsidRPr="00B12FE0">
        <w:rPr>
          <w:rFonts w:hint="eastAsia"/>
          <w:bCs/>
          <w:color w:val="000000" w:themeColor="text1"/>
        </w:rPr>
        <w:t>探测</w:t>
      </w:r>
      <w:r w:rsidRPr="00B12FE0">
        <w:rPr>
          <w:rFonts w:hint="eastAsia"/>
          <w:bCs/>
          <w:color w:val="000000" w:themeColor="text1"/>
        </w:rPr>
        <w:lastRenderedPageBreak/>
        <w:t>器。</w:t>
      </w:r>
      <w:r w:rsidRPr="00B12FE0">
        <w:rPr>
          <w:bCs/>
          <w:color w:val="000000" w:themeColor="text1"/>
        </w:rPr>
        <w:t>SPECT</w:t>
      </w:r>
      <w:r w:rsidRPr="00B12FE0">
        <w:rPr>
          <w:rFonts w:hint="eastAsia"/>
          <w:bCs/>
          <w:color w:val="000000" w:themeColor="text1"/>
        </w:rPr>
        <w:t>使用低能准直器对</w:t>
      </w:r>
      <w:r w:rsidRPr="00B12FE0">
        <w:rPr>
          <w:bCs/>
          <w:color w:val="000000" w:themeColor="text1"/>
        </w:rPr>
        <w:t>γ</w:t>
      </w:r>
      <w:r w:rsidRPr="00B12FE0">
        <w:rPr>
          <w:rFonts w:hint="eastAsia"/>
          <w:bCs/>
          <w:color w:val="000000" w:themeColor="text1"/>
        </w:rPr>
        <w:t>射线进行准直，通过闪烁体将</w:t>
      </w:r>
      <w:r w:rsidRPr="00B12FE0">
        <w:rPr>
          <w:bCs/>
          <w:color w:val="000000" w:themeColor="text1"/>
        </w:rPr>
        <w:t>γ</w:t>
      </w:r>
      <w:r w:rsidRPr="00B12FE0">
        <w:rPr>
          <w:rFonts w:hint="eastAsia"/>
          <w:bCs/>
          <w:color w:val="000000" w:themeColor="text1"/>
        </w:rPr>
        <w:t>射线能力转换为光信号，再通过光电倍增管将光信号转化</w:t>
      </w:r>
      <w:r w:rsidRPr="00B12FE0">
        <w:rPr>
          <w:rFonts w:hint="eastAsia"/>
          <w:color w:val="000000" w:themeColor="text1"/>
        </w:rPr>
        <w:t>为电信号并进行放大，得到的测量值代表在该投影线上的放射性大小，再利用计算机从投影求解断层图形。其主要的功能特点是：除了显示脏器形态结构外，更重要的是可观察到脏器血流灌注、功能和代谢的变化。临床主要应用于骨骼显像、心脏灌注断层显像、甲状腺显像、肺显像、肾动态显像等。</w:t>
      </w:r>
      <w:r w:rsidRPr="00B12FE0">
        <w:rPr>
          <w:rFonts w:hint="eastAsia"/>
          <w:color w:val="000000" w:themeColor="text1"/>
        </w:rPr>
        <w:t xml:space="preserve"> </w:t>
      </w:r>
    </w:p>
    <w:p w14:paraId="49944A67" w14:textId="77777777" w:rsidR="00A67F21" w:rsidRPr="00B12FE0" w:rsidRDefault="00000000">
      <w:pPr>
        <w:spacing w:line="360" w:lineRule="auto"/>
        <w:ind w:firstLineChars="200" w:firstLine="480"/>
        <w:rPr>
          <w:color w:val="000000" w:themeColor="text1"/>
        </w:rPr>
      </w:pPr>
      <w:r w:rsidRPr="00B12FE0">
        <w:rPr>
          <w:rFonts w:hint="eastAsia"/>
          <w:bCs/>
          <w:color w:val="000000" w:themeColor="text1"/>
        </w:rPr>
        <w:t>（</w:t>
      </w:r>
      <w:r w:rsidRPr="00B12FE0">
        <w:rPr>
          <w:rFonts w:hint="eastAsia"/>
          <w:bCs/>
          <w:color w:val="000000" w:themeColor="text1"/>
        </w:rPr>
        <w:t>2</w:t>
      </w:r>
      <w:r w:rsidRPr="00B12FE0">
        <w:rPr>
          <w:rFonts w:hint="eastAsia"/>
          <w:bCs/>
          <w:color w:val="000000" w:themeColor="text1"/>
        </w:rPr>
        <w:t>）</w:t>
      </w:r>
      <w:r w:rsidRPr="00B12FE0">
        <w:rPr>
          <w:rFonts w:hint="eastAsia"/>
          <w:color w:val="000000" w:themeColor="text1"/>
        </w:rPr>
        <w:t>诊断规划</w:t>
      </w:r>
    </w:p>
    <w:p w14:paraId="58F71DFE" w14:textId="77777777" w:rsidR="00A67F21" w:rsidRPr="00B12FE0" w:rsidRDefault="00000000">
      <w:pPr>
        <w:spacing w:line="360" w:lineRule="auto"/>
        <w:ind w:firstLine="480"/>
        <w:rPr>
          <w:color w:val="000000" w:themeColor="text1"/>
        </w:rPr>
      </w:pPr>
      <w:r w:rsidRPr="00B12FE0">
        <w:rPr>
          <w:bCs/>
          <w:color w:val="000000" w:themeColor="text1"/>
        </w:rPr>
        <w:t>项目正式开展后，</w:t>
      </w:r>
      <w:r w:rsidRPr="00B12FE0">
        <w:rPr>
          <w:color w:val="000000" w:themeColor="text1"/>
          <w:szCs w:val="24"/>
        </w:rPr>
        <w:t>每天最多</w:t>
      </w:r>
      <w:r w:rsidRPr="00B12FE0">
        <w:rPr>
          <w:rFonts w:hint="eastAsia"/>
          <w:color w:val="000000" w:themeColor="text1"/>
          <w:szCs w:val="24"/>
        </w:rPr>
        <w:t>治疗</w:t>
      </w:r>
      <w:r w:rsidRPr="00B12FE0">
        <w:rPr>
          <w:rFonts w:hint="eastAsia"/>
          <w:color w:val="000000" w:themeColor="text1"/>
          <w:szCs w:val="24"/>
        </w:rPr>
        <w:t>30</w:t>
      </w:r>
      <w:r w:rsidRPr="00B12FE0">
        <w:rPr>
          <w:color w:val="000000" w:themeColor="text1"/>
          <w:szCs w:val="24"/>
        </w:rPr>
        <w:t>人，每周工作</w:t>
      </w:r>
      <w:r w:rsidRPr="00B12FE0">
        <w:rPr>
          <w:color w:val="000000" w:themeColor="text1"/>
          <w:szCs w:val="24"/>
        </w:rPr>
        <w:t>5</w:t>
      </w:r>
      <w:r w:rsidRPr="00B12FE0">
        <w:rPr>
          <w:color w:val="000000" w:themeColor="text1"/>
          <w:szCs w:val="24"/>
        </w:rPr>
        <w:t>天，每年工作</w:t>
      </w:r>
      <w:r w:rsidRPr="00B12FE0">
        <w:rPr>
          <w:color w:val="000000" w:themeColor="text1"/>
          <w:szCs w:val="24"/>
        </w:rPr>
        <w:t>250</w:t>
      </w:r>
      <w:r w:rsidRPr="00B12FE0">
        <w:rPr>
          <w:color w:val="000000" w:themeColor="text1"/>
          <w:szCs w:val="24"/>
        </w:rPr>
        <w:t>天，年</w:t>
      </w:r>
      <w:r w:rsidRPr="00B12FE0">
        <w:rPr>
          <w:rFonts w:hint="eastAsia"/>
          <w:color w:val="000000" w:themeColor="text1"/>
          <w:szCs w:val="24"/>
        </w:rPr>
        <w:t>治疗</w:t>
      </w:r>
      <w:r w:rsidRPr="00B12FE0">
        <w:rPr>
          <w:color w:val="000000" w:themeColor="text1"/>
          <w:szCs w:val="24"/>
        </w:rPr>
        <w:t>患者</w:t>
      </w:r>
      <w:r w:rsidRPr="00B12FE0">
        <w:rPr>
          <w:rFonts w:hint="eastAsia"/>
          <w:color w:val="000000" w:themeColor="text1"/>
          <w:szCs w:val="24"/>
        </w:rPr>
        <w:t>7500</w:t>
      </w:r>
      <w:r w:rsidRPr="00B12FE0">
        <w:rPr>
          <w:color w:val="000000" w:themeColor="text1"/>
          <w:szCs w:val="24"/>
        </w:rPr>
        <w:t>人。</w:t>
      </w:r>
      <w:r w:rsidRPr="00B12FE0">
        <w:rPr>
          <w:rFonts w:hint="eastAsia"/>
          <w:bCs/>
          <w:color w:val="000000" w:themeColor="text1"/>
        </w:rPr>
        <w:t>医院</w:t>
      </w:r>
      <w:r w:rsidRPr="00B12FE0">
        <w:rPr>
          <w:bCs/>
          <w:color w:val="000000" w:themeColor="text1"/>
        </w:rPr>
        <w:t>拟在</w:t>
      </w:r>
      <w:r w:rsidRPr="00B12FE0">
        <w:rPr>
          <w:bCs/>
          <w:color w:val="000000" w:themeColor="text1"/>
        </w:rPr>
        <w:t>SPECT/CT</w:t>
      </w:r>
      <w:r w:rsidRPr="00B12FE0">
        <w:rPr>
          <w:bCs/>
          <w:color w:val="000000" w:themeColor="text1"/>
        </w:rPr>
        <w:t>机房内新增</w:t>
      </w:r>
      <w:r w:rsidRPr="00B12FE0">
        <w:rPr>
          <w:rFonts w:hint="eastAsia"/>
          <w:bCs/>
          <w:color w:val="000000" w:themeColor="text1"/>
        </w:rPr>
        <w:t>2</w:t>
      </w:r>
      <w:r w:rsidRPr="00B12FE0">
        <w:rPr>
          <w:bCs/>
          <w:color w:val="000000" w:themeColor="text1"/>
        </w:rPr>
        <w:t>台</w:t>
      </w:r>
      <w:r w:rsidRPr="00B12FE0">
        <w:rPr>
          <w:bCs/>
          <w:color w:val="000000" w:themeColor="text1"/>
        </w:rPr>
        <w:t>SPECT/CT</w:t>
      </w:r>
      <w:r w:rsidRPr="00B12FE0">
        <w:rPr>
          <w:bCs/>
          <w:color w:val="000000" w:themeColor="text1"/>
        </w:rPr>
        <w:t>，使用</w:t>
      </w:r>
      <w:r w:rsidRPr="00B12FE0">
        <w:rPr>
          <w:bCs/>
          <w:color w:val="000000" w:themeColor="text1"/>
          <w:vertAlign w:val="superscript"/>
        </w:rPr>
        <w:t>99m</w:t>
      </w:r>
      <w:r w:rsidRPr="00B12FE0">
        <w:rPr>
          <w:bCs/>
          <w:color w:val="000000" w:themeColor="text1"/>
        </w:rPr>
        <w:t>Tc</w:t>
      </w:r>
      <w:r w:rsidRPr="00B12FE0">
        <w:rPr>
          <w:bCs/>
          <w:color w:val="000000" w:themeColor="text1"/>
        </w:rPr>
        <w:t>核素用于显像诊断，每人最大用量为</w:t>
      </w:r>
      <w:r w:rsidRPr="00B12FE0">
        <w:rPr>
          <w:bCs/>
          <w:color w:val="000000" w:themeColor="text1"/>
        </w:rPr>
        <w:t>9.25</w:t>
      </w:r>
      <w:r w:rsidRPr="00B12FE0">
        <w:rPr>
          <w:rFonts w:hint="eastAsia"/>
          <w:bCs/>
          <w:color w:val="000000" w:themeColor="text1"/>
        </w:rPr>
        <w:t>E+08</w:t>
      </w:r>
      <w:r w:rsidRPr="00B12FE0">
        <w:rPr>
          <w:bCs/>
          <w:color w:val="000000" w:themeColor="text1"/>
        </w:rPr>
        <w:t>Bq</w:t>
      </w:r>
      <w:r w:rsidRPr="00B12FE0">
        <w:rPr>
          <w:bCs/>
          <w:color w:val="000000" w:themeColor="text1"/>
        </w:rPr>
        <w:t>（</w:t>
      </w:r>
      <w:r w:rsidRPr="00B12FE0">
        <w:rPr>
          <w:bCs/>
          <w:color w:val="000000" w:themeColor="text1"/>
        </w:rPr>
        <w:t>25mCi</w:t>
      </w:r>
      <w:r w:rsidRPr="00B12FE0">
        <w:rPr>
          <w:bCs/>
          <w:color w:val="000000" w:themeColor="text1"/>
        </w:rPr>
        <w:t>）</w:t>
      </w:r>
      <w:r w:rsidRPr="00B12FE0">
        <w:rPr>
          <w:rFonts w:hint="eastAsia"/>
          <w:bCs/>
          <w:color w:val="000000" w:themeColor="text1"/>
        </w:rPr>
        <w:t>。</w:t>
      </w:r>
    </w:p>
    <w:p w14:paraId="1B468B8B" w14:textId="77777777" w:rsidR="00A67F21" w:rsidRPr="00B12FE0" w:rsidRDefault="00000000">
      <w:pPr>
        <w:adjustRightInd w:val="0"/>
        <w:snapToGrid w:val="0"/>
        <w:jc w:val="center"/>
        <w:rPr>
          <w:bCs/>
          <w:color w:val="000000" w:themeColor="text1"/>
          <w:sz w:val="21"/>
          <w:szCs w:val="21"/>
        </w:rPr>
      </w:pPr>
      <w:r w:rsidRPr="00B12FE0">
        <w:rPr>
          <w:b/>
          <w:bCs/>
          <w:color w:val="000000" w:themeColor="text1"/>
          <w:sz w:val="21"/>
          <w:szCs w:val="21"/>
        </w:rPr>
        <w:t>表</w:t>
      </w:r>
      <w:r w:rsidRPr="00B12FE0">
        <w:rPr>
          <w:b/>
          <w:bCs/>
          <w:color w:val="000000" w:themeColor="text1"/>
          <w:sz w:val="21"/>
          <w:szCs w:val="21"/>
        </w:rPr>
        <w:t>9.1.1.3-</w:t>
      </w:r>
      <w:r w:rsidRPr="00B12FE0">
        <w:rPr>
          <w:rFonts w:hint="eastAsia"/>
          <w:b/>
          <w:bCs/>
          <w:color w:val="000000" w:themeColor="text1"/>
          <w:sz w:val="21"/>
          <w:szCs w:val="21"/>
        </w:rPr>
        <w:t>1</w:t>
      </w:r>
      <w:r w:rsidRPr="00B12FE0">
        <w:rPr>
          <w:b/>
          <w:bCs/>
          <w:color w:val="000000" w:themeColor="text1"/>
          <w:sz w:val="21"/>
          <w:szCs w:val="21"/>
        </w:rPr>
        <w:t xml:space="preserve">  SPECT</w:t>
      </w:r>
      <w:r w:rsidRPr="00B12FE0">
        <w:rPr>
          <w:b/>
          <w:bCs/>
          <w:color w:val="000000" w:themeColor="text1"/>
          <w:sz w:val="21"/>
          <w:szCs w:val="21"/>
        </w:rPr>
        <w:t>诊断项目诊疗规划</w:t>
      </w:r>
    </w:p>
    <w:tbl>
      <w:tblPr>
        <w:tblStyle w:val="affff"/>
        <w:tblW w:w="4900" w:type="pct"/>
        <w:jc w:val="center"/>
        <w:tblLook w:val="04A0" w:firstRow="1" w:lastRow="0" w:firstColumn="1" w:lastColumn="0" w:noHBand="0" w:noVBand="1"/>
      </w:tblPr>
      <w:tblGrid>
        <w:gridCol w:w="1127"/>
        <w:gridCol w:w="1127"/>
        <w:gridCol w:w="1776"/>
        <w:gridCol w:w="1941"/>
        <w:gridCol w:w="1113"/>
        <w:gridCol w:w="1753"/>
      </w:tblGrid>
      <w:tr w:rsidR="00A67F21" w:rsidRPr="00B12FE0" w14:paraId="24549E16" w14:textId="77777777">
        <w:trPr>
          <w:trHeight w:val="454"/>
          <w:jc w:val="center"/>
        </w:trPr>
        <w:tc>
          <w:tcPr>
            <w:tcW w:w="637" w:type="pct"/>
            <w:vAlign w:val="center"/>
          </w:tcPr>
          <w:p w14:paraId="7C64070B"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诊疗项目</w:t>
            </w:r>
          </w:p>
        </w:tc>
        <w:tc>
          <w:tcPr>
            <w:tcW w:w="637" w:type="pct"/>
            <w:vAlign w:val="center"/>
          </w:tcPr>
          <w:p w14:paraId="246F3000"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诊断核素</w:t>
            </w:r>
          </w:p>
        </w:tc>
        <w:tc>
          <w:tcPr>
            <w:tcW w:w="1005" w:type="pct"/>
            <w:vAlign w:val="center"/>
          </w:tcPr>
          <w:p w14:paraId="58914558"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患者数量</w:t>
            </w:r>
          </w:p>
        </w:tc>
        <w:tc>
          <w:tcPr>
            <w:tcW w:w="1098" w:type="pct"/>
            <w:vAlign w:val="center"/>
          </w:tcPr>
          <w:p w14:paraId="581E1689"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核素用量</w:t>
            </w:r>
          </w:p>
        </w:tc>
        <w:tc>
          <w:tcPr>
            <w:tcW w:w="630" w:type="pct"/>
            <w:vAlign w:val="center"/>
          </w:tcPr>
          <w:p w14:paraId="1553703F"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给药</w:t>
            </w:r>
            <w:r w:rsidRPr="00B12FE0">
              <w:rPr>
                <w:rFonts w:hint="eastAsia"/>
                <w:bCs/>
                <w:color w:val="000000" w:themeColor="text1"/>
                <w:sz w:val="21"/>
                <w:szCs w:val="21"/>
              </w:rPr>
              <w:t>方式</w:t>
            </w:r>
          </w:p>
        </w:tc>
        <w:tc>
          <w:tcPr>
            <w:tcW w:w="992" w:type="pct"/>
            <w:vAlign w:val="center"/>
          </w:tcPr>
          <w:p w14:paraId="3D05D8A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来源</w:t>
            </w:r>
          </w:p>
        </w:tc>
      </w:tr>
      <w:tr w:rsidR="00A67F21" w:rsidRPr="00B12FE0" w14:paraId="3DE7F564" w14:textId="77777777">
        <w:trPr>
          <w:trHeight w:val="454"/>
          <w:jc w:val="center"/>
        </w:trPr>
        <w:tc>
          <w:tcPr>
            <w:tcW w:w="637" w:type="pct"/>
            <w:vAlign w:val="center"/>
          </w:tcPr>
          <w:p w14:paraId="5D4186A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SPECT</w:t>
            </w:r>
            <w:r w:rsidRPr="00B12FE0">
              <w:rPr>
                <w:rFonts w:hint="eastAsia"/>
                <w:color w:val="000000" w:themeColor="text1"/>
                <w:sz w:val="21"/>
                <w:szCs w:val="21"/>
              </w:rPr>
              <w:t>显像诊断</w:t>
            </w:r>
          </w:p>
        </w:tc>
        <w:tc>
          <w:tcPr>
            <w:tcW w:w="637" w:type="pct"/>
            <w:vAlign w:val="center"/>
          </w:tcPr>
          <w:p w14:paraId="35D7E4FA"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vertAlign w:val="superscript"/>
              </w:rPr>
              <w:t>99m</w:t>
            </w:r>
            <w:r w:rsidRPr="00B12FE0">
              <w:rPr>
                <w:color w:val="000000" w:themeColor="text1"/>
                <w:sz w:val="21"/>
                <w:szCs w:val="21"/>
              </w:rPr>
              <w:t>T</w:t>
            </w:r>
            <w:r w:rsidRPr="00B12FE0">
              <w:rPr>
                <w:rFonts w:hint="eastAsia"/>
                <w:color w:val="000000" w:themeColor="text1"/>
                <w:sz w:val="21"/>
                <w:szCs w:val="21"/>
              </w:rPr>
              <w:t>c</w:t>
            </w:r>
          </w:p>
        </w:tc>
        <w:tc>
          <w:tcPr>
            <w:tcW w:w="1005" w:type="pct"/>
            <w:vAlign w:val="center"/>
          </w:tcPr>
          <w:p w14:paraId="36780DA8"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30</w:t>
            </w:r>
            <w:r w:rsidRPr="00B12FE0">
              <w:rPr>
                <w:bCs/>
                <w:color w:val="000000" w:themeColor="text1"/>
                <w:sz w:val="21"/>
                <w:szCs w:val="21"/>
              </w:rPr>
              <w:t>人</w:t>
            </w:r>
            <w:r w:rsidRPr="00B12FE0">
              <w:rPr>
                <w:bCs/>
                <w:color w:val="000000" w:themeColor="text1"/>
                <w:sz w:val="21"/>
                <w:szCs w:val="21"/>
              </w:rPr>
              <w:t>/</w:t>
            </w:r>
            <w:r w:rsidRPr="00B12FE0">
              <w:rPr>
                <w:bCs/>
                <w:color w:val="000000" w:themeColor="text1"/>
                <w:sz w:val="21"/>
                <w:szCs w:val="21"/>
              </w:rPr>
              <w:t>天</w:t>
            </w:r>
          </w:p>
        </w:tc>
        <w:tc>
          <w:tcPr>
            <w:tcW w:w="1098" w:type="pct"/>
            <w:vAlign w:val="center"/>
          </w:tcPr>
          <w:p w14:paraId="36B0C0C5"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9.25</w:t>
            </w:r>
            <w:r w:rsidRPr="00B12FE0">
              <w:rPr>
                <w:rFonts w:hint="eastAsia"/>
                <w:color w:val="000000" w:themeColor="text1"/>
                <w:sz w:val="21"/>
                <w:szCs w:val="21"/>
              </w:rPr>
              <w:t>E+08</w:t>
            </w:r>
            <w:r w:rsidRPr="00B12FE0">
              <w:rPr>
                <w:color w:val="000000" w:themeColor="text1"/>
                <w:sz w:val="21"/>
                <w:szCs w:val="21"/>
              </w:rPr>
              <w:t>Bq/</w:t>
            </w:r>
            <w:r w:rsidRPr="00B12FE0">
              <w:rPr>
                <w:color w:val="000000" w:themeColor="text1"/>
                <w:sz w:val="21"/>
                <w:szCs w:val="21"/>
              </w:rPr>
              <w:t>人</w:t>
            </w:r>
          </w:p>
        </w:tc>
        <w:tc>
          <w:tcPr>
            <w:tcW w:w="630" w:type="pct"/>
            <w:vAlign w:val="center"/>
          </w:tcPr>
          <w:p w14:paraId="35E01E22"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静脉注射</w:t>
            </w:r>
          </w:p>
        </w:tc>
        <w:tc>
          <w:tcPr>
            <w:tcW w:w="992" w:type="pct"/>
            <w:vAlign w:val="center"/>
          </w:tcPr>
          <w:p w14:paraId="71F0CCA6"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外购</w:t>
            </w:r>
            <w:proofErr w:type="gramStart"/>
            <w:r w:rsidRPr="00B12FE0">
              <w:rPr>
                <w:rFonts w:hint="eastAsia"/>
                <w:bCs/>
                <w:color w:val="000000" w:themeColor="text1"/>
                <w:sz w:val="21"/>
                <w:szCs w:val="21"/>
              </w:rPr>
              <w:t>钼</w:t>
            </w:r>
            <w:proofErr w:type="gramEnd"/>
            <w:r w:rsidRPr="00B12FE0">
              <w:rPr>
                <w:rFonts w:hint="eastAsia"/>
                <w:bCs/>
                <w:color w:val="000000" w:themeColor="text1"/>
                <w:sz w:val="21"/>
                <w:szCs w:val="21"/>
              </w:rPr>
              <w:t>锝发生器淋洗标记</w:t>
            </w:r>
          </w:p>
        </w:tc>
      </w:tr>
    </w:tbl>
    <w:p w14:paraId="06BDC530" w14:textId="77777777" w:rsidR="00A67F21" w:rsidRPr="00B12FE0" w:rsidRDefault="00000000">
      <w:pPr>
        <w:overflowPunct w:val="0"/>
        <w:adjustRightInd w:val="0"/>
        <w:snapToGrid w:val="0"/>
        <w:spacing w:line="360" w:lineRule="auto"/>
        <w:ind w:firstLine="482"/>
        <w:rPr>
          <w:color w:val="000000" w:themeColor="text1"/>
          <w:szCs w:val="24"/>
        </w:rPr>
      </w:pPr>
      <w:r w:rsidRPr="00B12FE0">
        <w:rPr>
          <w:rFonts w:hint="eastAsia"/>
          <w:bCs/>
          <w:color w:val="000000" w:themeColor="text1"/>
        </w:rPr>
        <w:t>（</w:t>
      </w:r>
      <w:r w:rsidRPr="00B12FE0">
        <w:rPr>
          <w:rFonts w:hint="eastAsia"/>
          <w:bCs/>
          <w:color w:val="000000" w:themeColor="text1"/>
        </w:rPr>
        <w:t>4</w:t>
      </w:r>
      <w:r w:rsidRPr="00B12FE0">
        <w:rPr>
          <w:rFonts w:hint="eastAsia"/>
          <w:bCs/>
          <w:color w:val="000000" w:themeColor="text1"/>
        </w:rPr>
        <w:t>）</w:t>
      </w:r>
      <w:r w:rsidRPr="00B12FE0">
        <w:rPr>
          <w:rFonts w:hint="eastAsia"/>
          <w:color w:val="000000" w:themeColor="text1"/>
        </w:rPr>
        <w:t>工艺</w:t>
      </w:r>
      <w:r w:rsidRPr="00B12FE0">
        <w:rPr>
          <w:color w:val="000000" w:themeColor="text1"/>
        </w:rPr>
        <w:t>流程</w:t>
      </w:r>
      <w:proofErr w:type="gramStart"/>
      <w:r w:rsidRPr="00B12FE0">
        <w:rPr>
          <w:rFonts w:hint="eastAsia"/>
          <w:color w:val="000000" w:themeColor="text1"/>
        </w:rPr>
        <w:t>与</w:t>
      </w:r>
      <w:r w:rsidRPr="00B12FE0">
        <w:rPr>
          <w:color w:val="000000" w:themeColor="text1"/>
        </w:rPr>
        <w:t>产污环节</w:t>
      </w:r>
      <w:proofErr w:type="gramEnd"/>
    </w:p>
    <w:p w14:paraId="39427D55"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A</w:t>
      </w:r>
      <w:r w:rsidRPr="00B12FE0">
        <w:rPr>
          <w:color w:val="000000" w:themeColor="text1"/>
          <w:szCs w:val="24"/>
        </w:rPr>
        <w:t>、</w:t>
      </w:r>
      <w:r w:rsidRPr="00B12FE0">
        <w:rPr>
          <w:rFonts w:hint="eastAsia"/>
          <w:color w:val="000000" w:themeColor="text1"/>
          <w:szCs w:val="24"/>
        </w:rPr>
        <w:t>订购</w:t>
      </w:r>
      <w:proofErr w:type="gramStart"/>
      <w:r w:rsidRPr="00B12FE0">
        <w:rPr>
          <w:color w:val="000000" w:themeColor="text1"/>
          <w:szCs w:val="24"/>
        </w:rPr>
        <w:t>钼</w:t>
      </w:r>
      <w:proofErr w:type="gramEnd"/>
      <w:r w:rsidRPr="00B12FE0">
        <w:rPr>
          <w:color w:val="000000" w:themeColor="text1"/>
          <w:szCs w:val="24"/>
        </w:rPr>
        <w:t>锝发生器：根据病人的预约情况进行预订，然后制定制药计划，进行</w:t>
      </w:r>
      <w:r w:rsidRPr="00B12FE0">
        <w:rPr>
          <w:rFonts w:hint="eastAsia"/>
          <w:color w:val="000000" w:themeColor="text1"/>
          <w:szCs w:val="24"/>
        </w:rPr>
        <w:t>订购</w:t>
      </w:r>
      <w:r w:rsidRPr="00B12FE0">
        <w:rPr>
          <w:color w:val="000000" w:themeColor="text1"/>
          <w:szCs w:val="24"/>
        </w:rPr>
        <w:t>。</w:t>
      </w:r>
    </w:p>
    <w:p w14:paraId="46CEF6E0"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B</w:t>
      </w:r>
      <w:r w:rsidRPr="00B12FE0">
        <w:rPr>
          <w:color w:val="000000" w:themeColor="text1"/>
          <w:szCs w:val="24"/>
        </w:rPr>
        <w:t>、检查药盒完整性：负责标记操作的工作人员</w:t>
      </w:r>
      <w:proofErr w:type="gramStart"/>
      <w:r w:rsidRPr="00B12FE0">
        <w:rPr>
          <w:color w:val="000000" w:themeColor="text1"/>
          <w:szCs w:val="24"/>
        </w:rPr>
        <w:t>穿戴铅衣等</w:t>
      </w:r>
      <w:proofErr w:type="gramEnd"/>
      <w:r w:rsidRPr="00B12FE0">
        <w:rPr>
          <w:color w:val="000000" w:themeColor="text1"/>
          <w:szCs w:val="24"/>
        </w:rPr>
        <w:t>防护用品，在淋洗操作前检查待标记药盒的完整性，主要内容为检查药盒是否破损、过期，厂家药品名是否不符。经检查合格后，放入防护罐中用</w:t>
      </w:r>
      <w:r w:rsidRPr="00B12FE0">
        <w:rPr>
          <w:color w:val="000000" w:themeColor="text1"/>
          <w:szCs w:val="24"/>
        </w:rPr>
        <w:t>75%</w:t>
      </w:r>
      <w:r w:rsidRPr="00B12FE0">
        <w:rPr>
          <w:color w:val="000000" w:themeColor="text1"/>
          <w:szCs w:val="24"/>
        </w:rPr>
        <w:t>酒精棉球消毒瓶口</w:t>
      </w:r>
      <w:r w:rsidRPr="00B12FE0">
        <w:rPr>
          <w:color w:val="000000" w:themeColor="text1"/>
          <w:szCs w:val="24"/>
        </w:rPr>
        <w:t>2</w:t>
      </w:r>
      <w:r w:rsidRPr="00B12FE0">
        <w:rPr>
          <w:color w:val="000000" w:themeColor="text1"/>
          <w:szCs w:val="24"/>
        </w:rPr>
        <w:t>遍，盖上盖子备用。</w:t>
      </w:r>
    </w:p>
    <w:p w14:paraId="0CE1D6C8"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C</w:t>
      </w:r>
      <w:r w:rsidRPr="00B12FE0">
        <w:rPr>
          <w:color w:val="000000" w:themeColor="text1"/>
          <w:szCs w:val="24"/>
        </w:rPr>
        <w:t>、</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淋洗：发生器从生产厂家购入后即进入储源室内存放，淋洗时，在</w:t>
      </w:r>
      <w:proofErr w:type="gramStart"/>
      <w:r w:rsidRPr="00B12FE0">
        <w:rPr>
          <w:color w:val="000000" w:themeColor="text1"/>
          <w:szCs w:val="24"/>
        </w:rPr>
        <w:t>高活室</w:t>
      </w:r>
      <w:proofErr w:type="gramEnd"/>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淋洗手套箱内即可对发生器进行淋洗操作。具体的淋洗操作如下：</w:t>
      </w:r>
    </w:p>
    <w:p w14:paraId="4EF95D3E"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D</w:t>
      </w:r>
      <w:r w:rsidRPr="00B12FE0">
        <w:rPr>
          <w:color w:val="000000" w:themeColor="text1"/>
          <w:szCs w:val="24"/>
        </w:rPr>
        <w:t>、准备：开负压瓶、</w:t>
      </w:r>
      <w:r w:rsidRPr="00B12FE0">
        <w:rPr>
          <w:color w:val="000000" w:themeColor="text1"/>
          <w:szCs w:val="24"/>
        </w:rPr>
        <w:t>0.9%</w:t>
      </w:r>
      <w:r w:rsidRPr="00B12FE0">
        <w:rPr>
          <w:color w:val="000000" w:themeColor="text1"/>
          <w:szCs w:val="24"/>
        </w:rPr>
        <w:t>生理盐水瓶，把负压瓶装入铅制的防护罐。</w:t>
      </w:r>
    </w:p>
    <w:p w14:paraId="4F7B0244"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E</w:t>
      </w:r>
      <w:r w:rsidRPr="00B12FE0">
        <w:rPr>
          <w:color w:val="000000" w:themeColor="text1"/>
          <w:szCs w:val="24"/>
        </w:rPr>
        <w:t>、消毒：用</w:t>
      </w:r>
      <w:r w:rsidRPr="00B12FE0">
        <w:rPr>
          <w:color w:val="000000" w:themeColor="text1"/>
          <w:szCs w:val="24"/>
        </w:rPr>
        <w:t>75%</w:t>
      </w:r>
      <w:r w:rsidRPr="00B12FE0">
        <w:rPr>
          <w:color w:val="000000" w:themeColor="text1"/>
          <w:szCs w:val="24"/>
        </w:rPr>
        <w:t>酒精擦拭负压瓶、</w:t>
      </w:r>
      <w:r w:rsidRPr="00B12FE0">
        <w:rPr>
          <w:color w:val="000000" w:themeColor="text1"/>
          <w:szCs w:val="24"/>
        </w:rPr>
        <w:t>0.9%</w:t>
      </w:r>
      <w:r w:rsidRPr="00B12FE0">
        <w:rPr>
          <w:color w:val="000000" w:themeColor="text1"/>
          <w:szCs w:val="24"/>
        </w:rPr>
        <w:t>生理盐水瓶。</w:t>
      </w:r>
    </w:p>
    <w:p w14:paraId="3D12D660"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F</w:t>
      </w:r>
      <w:r w:rsidRPr="00B12FE0">
        <w:rPr>
          <w:color w:val="000000" w:themeColor="text1"/>
          <w:szCs w:val="24"/>
        </w:rPr>
        <w:t>、淋洗：先把</w:t>
      </w:r>
      <w:r w:rsidRPr="00B12FE0">
        <w:rPr>
          <w:color w:val="000000" w:themeColor="text1"/>
          <w:szCs w:val="24"/>
        </w:rPr>
        <w:t>0.9%</w:t>
      </w:r>
      <w:r w:rsidRPr="00B12FE0">
        <w:rPr>
          <w:color w:val="000000" w:themeColor="text1"/>
          <w:szCs w:val="24"/>
        </w:rPr>
        <w:t>生理盐水瓶插入发生器的双针，然后把外有防护罐的负压瓶插入发生器的单针，直至</w:t>
      </w:r>
      <w:r w:rsidRPr="00B12FE0">
        <w:rPr>
          <w:color w:val="000000" w:themeColor="text1"/>
          <w:szCs w:val="24"/>
        </w:rPr>
        <w:t>0.9%</w:t>
      </w:r>
      <w:r w:rsidRPr="00B12FE0">
        <w:rPr>
          <w:color w:val="000000" w:themeColor="text1"/>
          <w:szCs w:val="24"/>
        </w:rPr>
        <w:t>生理盐水被吸干，</w:t>
      </w:r>
      <w:r w:rsidRPr="00B12FE0">
        <w:rPr>
          <w:color w:val="000000" w:themeColor="text1"/>
          <w:szCs w:val="24"/>
        </w:rPr>
        <w:t>1min</w:t>
      </w:r>
      <w:r w:rsidRPr="00B12FE0">
        <w:rPr>
          <w:color w:val="000000" w:themeColor="text1"/>
          <w:szCs w:val="24"/>
        </w:rPr>
        <w:t>后整体拔下外有防护罐的负压瓶，即制得</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淋洗液，制得的淋洗液贮存于外有防护罐的负压瓶之中。通常整个淋洗过程约需</w:t>
      </w:r>
      <w:r w:rsidRPr="00B12FE0">
        <w:rPr>
          <w:color w:val="000000" w:themeColor="text1"/>
          <w:szCs w:val="24"/>
        </w:rPr>
        <w:t>5min</w:t>
      </w:r>
      <w:r w:rsidRPr="00B12FE0">
        <w:rPr>
          <w:color w:val="000000" w:themeColor="text1"/>
          <w:szCs w:val="24"/>
        </w:rPr>
        <w:t>。</w:t>
      </w:r>
    </w:p>
    <w:p w14:paraId="16B6FB64"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vertAlign w:val="superscript"/>
        </w:rPr>
        <w:t>99</w:t>
      </w:r>
      <w:r w:rsidRPr="00B12FE0">
        <w:rPr>
          <w:color w:val="000000" w:themeColor="text1"/>
          <w:szCs w:val="24"/>
        </w:rPr>
        <w:t>Mo</w:t>
      </w:r>
      <w:r w:rsidRPr="00B12FE0">
        <w:rPr>
          <w:color w:val="000000" w:themeColor="text1"/>
          <w:szCs w:val="24"/>
        </w:rPr>
        <w:t>装在</w:t>
      </w:r>
      <w:proofErr w:type="gramStart"/>
      <w:r w:rsidRPr="00B12FE0">
        <w:rPr>
          <w:color w:val="000000" w:themeColor="text1"/>
          <w:szCs w:val="24"/>
        </w:rPr>
        <w:t>钼</w:t>
      </w:r>
      <w:proofErr w:type="gramEnd"/>
      <w:r w:rsidRPr="00B12FE0">
        <w:rPr>
          <w:color w:val="000000" w:themeColor="text1"/>
          <w:szCs w:val="24"/>
        </w:rPr>
        <w:t>锝发生器内，发生器外用壁厚约</w:t>
      </w:r>
      <w:r w:rsidRPr="00B12FE0">
        <w:rPr>
          <w:color w:val="000000" w:themeColor="text1"/>
          <w:szCs w:val="24"/>
        </w:rPr>
        <w:t>10mmPb</w:t>
      </w:r>
      <w:proofErr w:type="gramStart"/>
      <w:r w:rsidRPr="00B12FE0">
        <w:rPr>
          <w:color w:val="000000" w:themeColor="text1"/>
          <w:szCs w:val="24"/>
        </w:rPr>
        <w:t>的铅罐包装</w:t>
      </w:r>
      <w:proofErr w:type="gramEnd"/>
      <w:r w:rsidRPr="00B12FE0">
        <w:rPr>
          <w:color w:val="000000" w:themeColor="text1"/>
          <w:szCs w:val="24"/>
        </w:rPr>
        <w:t>，在整个使用过程中</w:t>
      </w:r>
      <w:r w:rsidRPr="00B12FE0">
        <w:rPr>
          <w:color w:val="000000" w:themeColor="text1"/>
          <w:szCs w:val="24"/>
          <w:vertAlign w:val="superscript"/>
        </w:rPr>
        <w:t>99</w:t>
      </w:r>
      <w:r w:rsidRPr="00B12FE0">
        <w:rPr>
          <w:color w:val="000000" w:themeColor="text1"/>
          <w:szCs w:val="24"/>
        </w:rPr>
        <w:t>Mo</w:t>
      </w:r>
      <w:r w:rsidRPr="00B12FE0">
        <w:rPr>
          <w:color w:val="000000" w:themeColor="text1"/>
          <w:szCs w:val="24"/>
        </w:rPr>
        <w:t>都保持在发生器柱子里，使用后的柱子</w:t>
      </w:r>
      <w:proofErr w:type="gramStart"/>
      <w:r w:rsidRPr="00B12FE0">
        <w:rPr>
          <w:color w:val="000000" w:themeColor="text1"/>
          <w:szCs w:val="24"/>
        </w:rPr>
        <w:t>随铅罐</w:t>
      </w:r>
      <w:proofErr w:type="gramEnd"/>
      <w:r w:rsidRPr="00B12FE0">
        <w:rPr>
          <w:color w:val="000000" w:themeColor="text1"/>
          <w:szCs w:val="24"/>
        </w:rPr>
        <w:t>包装一同回收至发生器生产厂家，</w:t>
      </w:r>
      <w:r w:rsidRPr="00B12FE0">
        <w:rPr>
          <w:color w:val="000000" w:themeColor="text1"/>
          <w:szCs w:val="24"/>
          <w:vertAlign w:val="superscript"/>
        </w:rPr>
        <w:t>99</w:t>
      </w:r>
      <w:r w:rsidRPr="00B12FE0">
        <w:rPr>
          <w:color w:val="000000" w:themeColor="text1"/>
          <w:szCs w:val="24"/>
        </w:rPr>
        <w:t>Mo</w:t>
      </w:r>
      <w:r w:rsidRPr="00B12FE0">
        <w:rPr>
          <w:color w:val="000000" w:themeColor="text1"/>
          <w:szCs w:val="24"/>
        </w:rPr>
        <w:t>也就随包装而被完全转移到厂家。</w:t>
      </w:r>
    </w:p>
    <w:p w14:paraId="04D6EEFE" w14:textId="77777777" w:rsidR="00A67F21" w:rsidRPr="00B12FE0" w:rsidRDefault="00000000">
      <w:pPr>
        <w:overflowPunct w:val="0"/>
        <w:adjustRightInd w:val="0"/>
        <w:snapToGrid w:val="0"/>
        <w:spacing w:line="360" w:lineRule="auto"/>
        <w:ind w:firstLineChars="200" w:firstLine="480"/>
        <w:rPr>
          <w:color w:val="000000" w:themeColor="text1"/>
          <w:szCs w:val="24"/>
        </w:rPr>
      </w:pPr>
      <w:r w:rsidRPr="00B12FE0">
        <w:rPr>
          <w:color w:val="000000" w:themeColor="text1"/>
          <w:szCs w:val="24"/>
        </w:rPr>
        <w:lastRenderedPageBreak/>
        <w:t>G</w:t>
      </w:r>
      <w:r w:rsidRPr="00B12FE0">
        <w:rPr>
          <w:color w:val="000000" w:themeColor="text1"/>
          <w:szCs w:val="24"/>
        </w:rPr>
        <w:t>、测量活度：测量活度在</w:t>
      </w:r>
      <w:r w:rsidRPr="00B12FE0">
        <w:rPr>
          <w:color w:val="000000" w:themeColor="text1"/>
          <w:szCs w:val="24"/>
        </w:rPr>
        <w:t>99mTc</w:t>
      </w:r>
      <w:r w:rsidRPr="00B12FE0">
        <w:rPr>
          <w:color w:val="000000" w:themeColor="text1"/>
          <w:szCs w:val="24"/>
        </w:rPr>
        <w:t>淋洗手套箱内进行，由负责标记的工作人员完成。工作人员用注射器吸取上一步制得的少量淋洗液（</w:t>
      </w:r>
      <w:r w:rsidRPr="00B12FE0">
        <w:rPr>
          <w:color w:val="000000" w:themeColor="text1"/>
          <w:szCs w:val="24"/>
        </w:rPr>
        <w:t>0.1mL</w:t>
      </w:r>
      <w:r w:rsidRPr="00B12FE0">
        <w:rPr>
          <w:color w:val="000000" w:themeColor="text1"/>
          <w:szCs w:val="24"/>
        </w:rPr>
        <w:t>），垂直放入活度计井中，测量其放射性活度，得出该瓶淋洗液的比活度，同时可测量淋洗液的纯度。</w:t>
      </w:r>
    </w:p>
    <w:p w14:paraId="449B3A93"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H</w:t>
      </w:r>
      <w:r w:rsidRPr="00B12FE0">
        <w:rPr>
          <w:color w:val="000000" w:themeColor="text1"/>
          <w:szCs w:val="24"/>
        </w:rPr>
        <w:t>、标记：标记在</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淋洗手套箱内进行，工作人员同测量活度的人员为同一人，用于标记的冻干药盒在标记操作前经完整性检查后传递至</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淋洗手套箱内。用注射器将已测量好活度的淋洗液迅速</w:t>
      </w:r>
      <w:proofErr w:type="gramStart"/>
      <w:r w:rsidRPr="00B12FE0">
        <w:rPr>
          <w:color w:val="000000" w:themeColor="text1"/>
          <w:szCs w:val="24"/>
        </w:rPr>
        <w:t>转移至冻干</w:t>
      </w:r>
      <w:proofErr w:type="gramEnd"/>
      <w:r w:rsidRPr="00B12FE0">
        <w:rPr>
          <w:color w:val="000000" w:themeColor="text1"/>
          <w:szCs w:val="24"/>
        </w:rPr>
        <w:t>药盒，并充分摇匀，稀释到预设体积，室温放置</w:t>
      </w:r>
      <w:r w:rsidRPr="00B12FE0">
        <w:rPr>
          <w:color w:val="000000" w:themeColor="text1"/>
          <w:szCs w:val="24"/>
        </w:rPr>
        <w:t>5min</w:t>
      </w:r>
      <w:r w:rsidRPr="00B12FE0">
        <w:rPr>
          <w:color w:val="000000" w:themeColor="text1"/>
          <w:szCs w:val="24"/>
        </w:rPr>
        <w:t>。</w:t>
      </w:r>
    </w:p>
    <w:p w14:paraId="1222EB01" w14:textId="77777777" w:rsidR="00A67F21" w:rsidRPr="00B12FE0" w:rsidRDefault="00000000">
      <w:pPr>
        <w:overflowPunct w:val="0"/>
        <w:adjustRightInd w:val="0"/>
        <w:snapToGrid w:val="0"/>
        <w:spacing w:line="360" w:lineRule="auto"/>
        <w:ind w:firstLine="482"/>
        <w:rPr>
          <w:color w:val="000000" w:themeColor="text1"/>
          <w:szCs w:val="24"/>
        </w:rPr>
      </w:pPr>
      <w:r w:rsidRPr="00B12FE0">
        <w:rPr>
          <w:bCs/>
          <w:color w:val="000000" w:themeColor="text1"/>
          <w:szCs w:val="24"/>
        </w:rPr>
        <w:t>I</w:t>
      </w:r>
      <w:r w:rsidRPr="00B12FE0">
        <w:rPr>
          <w:bCs/>
          <w:color w:val="000000" w:themeColor="text1"/>
          <w:szCs w:val="24"/>
        </w:rPr>
        <w:t>、</w:t>
      </w:r>
      <w:r w:rsidRPr="00B12FE0">
        <w:rPr>
          <w:rFonts w:hint="eastAsia"/>
          <w:color w:val="000000" w:themeColor="text1"/>
        </w:rPr>
        <w:t>叫号：通过语音系统呼叫患者，患者进入</w:t>
      </w:r>
      <w:r w:rsidRPr="00B12FE0">
        <w:rPr>
          <w:rFonts w:hint="eastAsia"/>
          <w:color w:val="000000" w:themeColor="text1"/>
        </w:rPr>
        <w:t>SP</w:t>
      </w:r>
      <w:r w:rsidRPr="00B12FE0">
        <w:rPr>
          <w:color w:val="000000" w:themeColor="text1"/>
        </w:rPr>
        <w:t>ECT</w:t>
      </w:r>
      <w:r w:rsidRPr="00B12FE0">
        <w:rPr>
          <w:rFonts w:hint="eastAsia"/>
          <w:color w:val="000000" w:themeColor="text1"/>
        </w:rPr>
        <w:t>诊断场所注射室，工作人员再次核对并记录患者身份信息</w:t>
      </w:r>
      <w:r w:rsidRPr="00B12FE0">
        <w:rPr>
          <w:bCs/>
          <w:color w:val="000000" w:themeColor="text1"/>
          <w:szCs w:val="24"/>
        </w:rPr>
        <w:t>。</w:t>
      </w:r>
    </w:p>
    <w:p w14:paraId="609E316B"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J</w:t>
      </w:r>
      <w:r w:rsidRPr="00B12FE0">
        <w:rPr>
          <w:color w:val="000000" w:themeColor="text1"/>
          <w:szCs w:val="24"/>
        </w:rPr>
        <w:t>、给药、核素显像诊断：受检者给药采用注射方式进行给药，注射室工作人员（</w:t>
      </w:r>
      <w:r w:rsidRPr="00B12FE0">
        <w:rPr>
          <w:rFonts w:hint="eastAsia"/>
          <w:color w:val="000000" w:themeColor="text1"/>
          <w:szCs w:val="24"/>
        </w:rPr>
        <w:t>做好</w:t>
      </w:r>
      <w:r w:rsidRPr="00B12FE0">
        <w:rPr>
          <w:color w:val="000000" w:themeColor="text1"/>
          <w:szCs w:val="24"/>
        </w:rPr>
        <w:t>防护措施，</w:t>
      </w:r>
      <w:proofErr w:type="gramStart"/>
      <w:r w:rsidRPr="00B12FE0">
        <w:rPr>
          <w:color w:val="000000" w:themeColor="text1"/>
          <w:szCs w:val="24"/>
        </w:rPr>
        <w:t>穿铅衣</w:t>
      </w:r>
      <w:proofErr w:type="gramEnd"/>
      <w:r w:rsidRPr="00B12FE0">
        <w:rPr>
          <w:color w:val="000000" w:themeColor="text1"/>
          <w:szCs w:val="24"/>
        </w:rPr>
        <w:t>、铅手套等）从</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淋洗手套箱内将装入药物的铅转运</w:t>
      </w:r>
      <w:proofErr w:type="gramStart"/>
      <w:r w:rsidRPr="00B12FE0">
        <w:rPr>
          <w:color w:val="000000" w:themeColor="text1"/>
          <w:szCs w:val="24"/>
        </w:rPr>
        <w:t>盒转移</w:t>
      </w:r>
      <w:proofErr w:type="gramEnd"/>
      <w:r w:rsidRPr="00B12FE0">
        <w:rPr>
          <w:color w:val="000000" w:themeColor="text1"/>
          <w:szCs w:val="24"/>
        </w:rPr>
        <w:t>至注射窗口操作台，注射窗口操作台安装不小于</w:t>
      </w:r>
      <w:r w:rsidRPr="00B12FE0">
        <w:rPr>
          <w:color w:val="000000" w:themeColor="text1"/>
          <w:szCs w:val="24"/>
        </w:rPr>
        <w:t>5mmPb</w:t>
      </w:r>
      <w:r w:rsidRPr="00B12FE0">
        <w:rPr>
          <w:color w:val="000000" w:themeColor="text1"/>
          <w:szCs w:val="24"/>
        </w:rPr>
        <w:t>当量的铅玻璃，注射药物时，工作人员在铅玻璃窗后从铅转运盒内取出药物进行注射，每个病人注射药量最大活度为</w:t>
      </w:r>
      <w:r w:rsidRPr="00B12FE0">
        <w:rPr>
          <w:color w:val="000000" w:themeColor="text1"/>
          <w:szCs w:val="24"/>
        </w:rPr>
        <w:t>25mCi</w:t>
      </w:r>
      <w:r w:rsidRPr="00B12FE0">
        <w:rPr>
          <w:color w:val="000000" w:themeColor="text1"/>
          <w:szCs w:val="24"/>
        </w:rPr>
        <w:t>；每一位病人注射</w:t>
      </w:r>
      <w:proofErr w:type="gramStart"/>
      <w:r w:rsidRPr="00B12FE0">
        <w:rPr>
          <w:color w:val="000000" w:themeColor="text1"/>
          <w:szCs w:val="24"/>
        </w:rPr>
        <w:t>完药物</w:t>
      </w:r>
      <w:proofErr w:type="gramEnd"/>
      <w:r w:rsidRPr="00B12FE0">
        <w:rPr>
          <w:color w:val="000000" w:themeColor="text1"/>
          <w:szCs w:val="24"/>
        </w:rPr>
        <w:t>后进入注射后</w:t>
      </w:r>
      <w:r w:rsidRPr="00B12FE0">
        <w:rPr>
          <w:color w:val="000000" w:themeColor="text1"/>
          <w:szCs w:val="24"/>
        </w:rPr>
        <w:t>SPECT</w:t>
      </w:r>
      <w:r w:rsidRPr="00B12FE0">
        <w:rPr>
          <w:color w:val="000000" w:themeColor="text1"/>
          <w:szCs w:val="24"/>
        </w:rPr>
        <w:t>候诊室，期间非必要情况下禁止人员陪护，病人不得离开休息室；注射</w:t>
      </w:r>
      <w:proofErr w:type="gramStart"/>
      <w:r w:rsidRPr="00B12FE0">
        <w:rPr>
          <w:color w:val="000000" w:themeColor="text1"/>
          <w:szCs w:val="24"/>
        </w:rPr>
        <w:t>完药物</w:t>
      </w:r>
      <w:proofErr w:type="gramEnd"/>
      <w:r w:rsidRPr="00B12FE0">
        <w:rPr>
          <w:color w:val="000000" w:themeColor="text1"/>
          <w:szCs w:val="24"/>
        </w:rPr>
        <w:t>的病人观察</w:t>
      </w:r>
      <w:r w:rsidRPr="00B12FE0">
        <w:rPr>
          <w:color w:val="000000" w:themeColor="text1"/>
          <w:szCs w:val="24"/>
        </w:rPr>
        <w:t>30min~40min</w:t>
      </w:r>
      <w:r w:rsidRPr="00B12FE0">
        <w:rPr>
          <w:color w:val="000000" w:themeColor="text1"/>
          <w:szCs w:val="24"/>
        </w:rPr>
        <w:t>，</w:t>
      </w:r>
      <w:proofErr w:type="gramStart"/>
      <w:r w:rsidRPr="00B12FE0">
        <w:rPr>
          <w:color w:val="000000" w:themeColor="text1"/>
          <w:szCs w:val="24"/>
        </w:rPr>
        <w:t>待药物</w:t>
      </w:r>
      <w:proofErr w:type="gramEnd"/>
      <w:r w:rsidRPr="00B12FE0">
        <w:rPr>
          <w:color w:val="000000" w:themeColor="text1"/>
          <w:szCs w:val="24"/>
        </w:rPr>
        <w:t>充分代谢后，排空小便，进入</w:t>
      </w:r>
      <w:r w:rsidRPr="00B12FE0">
        <w:rPr>
          <w:color w:val="000000" w:themeColor="text1"/>
          <w:szCs w:val="24"/>
        </w:rPr>
        <w:t>SPECT/CT</w:t>
      </w:r>
      <w:r w:rsidRPr="00B12FE0">
        <w:rPr>
          <w:color w:val="000000" w:themeColor="text1"/>
          <w:szCs w:val="24"/>
        </w:rPr>
        <w:t>机房进行扫描照片</w:t>
      </w:r>
      <w:r w:rsidRPr="00B12FE0">
        <w:rPr>
          <w:rFonts w:hint="eastAsia"/>
          <w:color w:val="000000" w:themeColor="text1"/>
          <w:szCs w:val="24"/>
        </w:rPr>
        <w:t>。</w:t>
      </w:r>
      <w:r w:rsidRPr="00B12FE0">
        <w:rPr>
          <w:color w:val="000000" w:themeColor="text1"/>
          <w:szCs w:val="24"/>
        </w:rPr>
        <w:t>SPECT/CT</w:t>
      </w:r>
      <w:r w:rsidRPr="00B12FE0">
        <w:rPr>
          <w:bCs/>
          <w:color w:val="000000" w:themeColor="text1"/>
        </w:rPr>
        <w:t>机房</w:t>
      </w:r>
      <w:r w:rsidRPr="00B12FE0">
        <w:rPr>
          <w:rFonts w:hint="eastAsia"/>
          <w:bCs/>
          <w:color w:val="000000" w:themeColor="text1"/>
        </w:rPr>
        <w:t>技师</w:t>
      </w:r>
      <w:r w:rsidRPr="00B12FE0">
        <w:rPr>
          <w:bCs/>
          <w:color w:val="000000" w:themeColor="text1"/>
        </w:rPr>
        <w:t>在控制室内进行语音提示摆位，必要时进入机房指导，摆位完成后离开机房返回控制室。</w:t>
      </w:r>
      <w:r w:rsidRPr="00B12FE0">
        <w:rPr>
          <w:rFonts w:hint="eastAsia"/>
          <w:bCs/>
          <w:color w:val="000000" w:themeColor="text1"/>
        </w:rPr>
        <w:t>技师</w:t>
      </w:r>
      <w:r w:rsidRPr="00B12FE0">
        <w:rPr>
          <w:bCs/>
          <w:color w:val="000000" w:themeColor="text1"/>
        </w:rPr>
        <w:t>隔室操作对患者进行</w:t>
      </w:r>
      <w:r w:rsidRPr="00B12FE0">
        <w:rPr>
          <w:color w:val="000000" w:themeColor="text1"/>
          <w:szCs w:val="24"/>
        </w:rPr>
        <w:t>SPECT/CT</w:t>
      </w:r>
      <w:r w:rsidRPr="00B12FE0">
        <w:rPr>
          <w:bCs/>
          <w:color w:val="000000" w:themeColor="text1"/>
        </w:rPr>
        <w:t>扫描诊断</w:t>
      </w:r>
      <w:r w:rsidRPr="00B12FE0">
        <w:rPr>
          <w:rFonts w:hint="eastAsia"/>
          <w:bCs/>
          <w:color w:val="000000" w:themeColor="text1"/>
        </w:rPr>
        <w:t>。</w:t>
      </w:r>
      <w:r w:rsidRPr="00B12FE0">
        <w:rPr>
          <w:color w:val="000000" w:themeColor="text1"/>
          <w:szCs w:val="24"/>
        </w:rPr>
        <w:t>每次</w:t>
      </w:r>
      <w:proofErr w:type="gramStart"/>
      <w:r w:rsidRPr="00B12FE0">
        <w:rPr>
          <w:color w:val="000000" w:themeColor="text1"/>
          <w:szCs w:val="24"/>
        </w:rPr>
        <w:t>扫描约</w:t>
      </w:r>
      <w:proofErr w:type="gramEnd"/>
      <w:r w:rsidRPr="00B12FE0">
        <w:rPr>
          <w:color w:val="000000" w:themeColor="text1"/>
          <w:szCs w:val="24"/>
        </w:rPr>
        <w:t>15min</w:t>
      </w:r>
      <w:r w:rsidRPr="00B12FE0">
        <w:rPr>
          <w:color w:val="000000" w:themeColor="text1"/>
          <w:szCs w:val="24"/>
        </w:rPr>
        <w:t>。扫描完成后，受检者离开检查机房，</w:t>
      </w:r>
      <w:r w:rsidRPr="00B12FE0">
        <w:rPr>
          <w:rFonts w:hint="eastAsia"/>
          <w:bCs/>
          <w:color w:val="000000" w:themeColor="text1"/>
        </w:rPr>
        <w:t>到</w:t>
      </w:r>
      <w:r w:rsidRPr="00B12FE0">
        <w:rPr>
          <w:bCs/>
          <w:color w:val="000000" w:themeColor="text1"/>
        </w:rPr>
        <w:t>留观室内留观，</w:t>
      </w:r>
      <w:r w:rsidRPr="00B12FE0">
        <w:rPr>
          <w:rFonts w:hint="eastAsia"/>
          <w:bCs/>
          <w:color w:val="000000" w:themeColor="text1"/>
        </w:rPr>
        <w:t>留</w:t>
      </w:r>
      <w:proofErr w:type="gramStart"/>
      <w:r w:rsidRPr="00B12FE0">
        <w:rPr>
          <w:rFonts w:hint="eastAsia"/>
          <w:bCs/>
          <w:color w:val="000000" w:themeColor="text1"/>
        </w:rPr>
        <w:t>观结束</w:t>
      </w:r>
      <w:proofErr w:type="gramEnd"/>
      <w:r w:rsidRPr="00B12FE0">
        <w:rPr>
          <w:bCs/>
          <w:color w:val="000000" w:themeColor="text1"/>
        </w:rPr>
        <w:t>后由患者出口离开。</w:t>
      </w:r>
    </w:p>
    <w:p w14:paraId="2FDACE95" w14:textId="77777777" w:rsidR="00A67F21" w:rsidRPr="00B12FE0" w:rsidRDefault="00000000">
      <w:pPr>
        <w:overflowPunct w:val="0"/>
        <w:adjustRightInd w:val="0"/>
        <w:snapToGrid w:val="0"/>
        <w:spacing w:line="360" w:lineRule="auto"/>
        <w:ind w:firstLine="482"/>
        <w:rPr>
          <w:color w:val="000000" w:themeColor="text1"/>
          <w:szCs w:val="24"/>
        </w:rPr>
      </w:pPr>
      <w:r w:rsidRPr="00B12FE0">
        <w:rPr>
          <w:rFonts w:ascii="宋体" w:hAnsi="宋体"/>
          <w:color w:val="000000" w:themeColor="text1"/>
          <w:szCs w:val="24"/>
        </w:rPr>
        <w:t>具体检查流程如下：</w:t>
      </w:r>
    </w:p>
    <w:p w14:paraId="7833F581"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1</w:t>
      </w:r>
      <w:r w:rsidRPr="00B12FE0">
        <w:rPr>
          <w:rFonts w:ascii="宋体" w:hAnsi="宋体"/>
          <w:color w:val="000000" w:themeColor="text1"/>
          <w:szCs w:val="24"/>
        </w:rPr>
        <w:t>）预约检查，核医学科接收患者，并告知患者诊断过</w:t>
      </w:r>
      <w:r w:rsidRPr="00B12FE0">
        <w:rPr>
          <w:rFonts w:ascii="宋体" w:hAnsi="宋体" w:hint="eastAsia"/>
          <w:color w:val="000000" w:themeColor="text1"/>
          <w:szCs w:val="24"/>
        </w:rPr>
        <w:t>程中</w:t>
      </w:r>
      <w:r w:rsidRPr="00B12FE0">
        <w:rPr>
          <w:rFonts w:ascii="宋体" w:hAnsi="宋体"/>
          <w:color w:val="000000" w:themeColor="text1"/>
          <w:szCs w:val="24"/>
        </w:rPr>
        <w:t>存在的辐射危害；</w:t>
      </w:r>
    </w:p>
    <w:p w14:paraId="7C5E4BB9"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2</w:t>
      </w:r>
      <w:r w:rsidRPr="00B12FE0">
        <w:rPr>
          <w:rFonts w:ascii="宋体" w:hAnsi="宋体"/>
          <w:color w:val="000000" w:themeColor="text1"/>
          <w:szCs w:val="24"/>
        </w:rPr>
        <w:t>）医生根据病情确定使用核素的剂量；根据核素用量，采用</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锝发生器淋洗标记。</w:t>
      </w:r>
    </w:p>
    <w:p w14:paraId="488BEDC5"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3</w:t>
      </w:r>
      <w:r w:rsidRPr="00B12FE0">
        <w:rPr>
          <w:rFonts w:ascii="宋体" w:hAnsi="宋体"/>
          <w:color w:val="000000" w:themeColor="text1"/>
          <w:szCs w:val="24"/>
        </w:rPr>
        <w:t>）病人通过注射将放射性药物</w:t>
      </w:r>
      <w:r w:rsidRPr="00B12FE0">
        <w:rPr>
          <w:rFonts w:ascii="宋体" w:hAnsi="宋体" w:hint="eastAsia"/>
          <w:color w:val="000000" w:themeColor="text1"/>
          <w:szCs w:val="24"/>
        </w:rPr>
        <w:t>注</w:t>
      </w:r>
      <w:r w:rsidRPr="00B12FE0">
        <w:rPr>
          <w:rFonts w:ascii="宋体" w:hAnsi="宋体"/>
          <w:color w:val="000000" w:themeColor="text1"/>
          <w:szCs w:val="24"/>
        </w:rPr>
        <w:t>入。在药品</w:t>
      </w:r>
      <w:r w:rsidRPr="00B12FE0">
        <w:rPr>
          <w:rFonts w:ascii="宋体" w:hAnsi="宋体" w:hint="eastAsia"/>
          <w:color w:val="000000" w:themeColor="text1"/>
          <w:szCs w:val="24"/>
        </w:rPr>
        <w:t>注</w:t>
      </w:r>
      <w:r w:rsidRPr="00B12FE0">
        <w:rPr>
          <w:rFonts w:ascii="宋体" w:hAnsi="宋体"/>
          <w:color w:val="000000" w:themeColor="text1"/>
          <w:szCs w:val="24"/>
        </w:rPr>
        <w:t>入过程中存在</w:t>
      </w:r>
      <w:r w:rsidRPr="00B12FE0">
        <w:rPr>
          <w:color w:val="000000" w:themeColor="text1"/>
          <w:szCs w:val="24"/>
        </w:rPr>
        <w:t>γ</w:t>
      </w:r>
      <w:r w:rsidRPr="00B12FE0">
        <w:rPr>
          <w:rFonts w:ascii="宋体" w:hAnsi="宋体"/>
          <w:color w:val="000000" w:themeColor="text1"/>
          <w:szCs w:val="24"/>
        </w:rPr>
        <w:t>射线污染，同时会产生放射性废水、</w:t>
      </w:r>
      <w:r w:rsidRPr="00B12FE0">
        <w:rPr>
          <w:rFonts w:ascii="宋体" w:hAnsi="宋体" w:hint="eastAsia"/>
          <w:color w:val="000000" w:themeColor="text1"/>
          <w:szCs w:val="24"/>
        </w:rPr>
        <w:t>固体废物</w:t>
      </w:r>
      <w:r w:rsidRPr="00B12FE0">
        <w:rPr>
          <w:color w:val="000000" w:themeColor="text1"/>
          <w:szCs w:val="24"/>
        </w:rPr>
        <w:t>(</w:t>
      </w:r>
      <w:r w:rsidRPr="00B12FE0">
        <w:rPr>
          <w:rFonts w:ascii="宋体" w:hAnsi="宋体"/>
          <w:color w:val="000000" w:themeColor="text1"/>
          <w:szCs w:val="24"/>
        </w:rPr>
        <w:t>注射器、棉球、一次性手套等</w:t>
      </w:r>
      <w:r w:rsidRPr="00B12FE0">
        <w:rPr>
          <w:color w:val="000000" w:themeColor="text1"/>
          <w:szCs w:val="24"/>
        </w:rPr>
        <w:t>)</w:t>
      </w:r>
      <w:r w:rsidRPr="00B12FE0">
        <w:rPr>
          <w:rFonts w:ascii="宋体" w:hAnsi="宋体"/>
          <w:color w:val="000000" w:themeColor="text1"/>
          <w:szCs w:val="24"/>
        </w:rPr>
        <w:t>；</w:t>
      </w:r>
    </w:p>
    <w:p w14:paraId="3B2D7842" w14:textId="77777777" w:rsidR="00A67F21" w:rsidRPr="00B12FE0" w:rsidRDefault="00000000">
      <w:pPr>
        <w:overflowPunct w:val="0"/>
        <w:adjustRightInd w:val="0"/>
        <w:snapToGrid w:val="0"/>
        <w:spacing w:line="360" w:lineRule="auto"/>
        <w:ind w:firstLine="482"/>
        <w:rPr>
          <w:color w:val="000000" w:themeColor="text1"/>
          <w:szCs w:val="24"/>
        </w:rPr>
      </w:pPr>
      <w:r w:rsidRPr="00B12FE0">
        <w:rPr>
          <w:color w:val="000000" w:themeColor="text1"/>
          <w:szCs w:val="24"/>
        </w:rPr>
        <w:t>4</w:t>
      </w:r>
      <w:r w:rsidRPr="00B12FE0">
        <w:rPr>
          <w:rFonts w:ascii="宋体" w:hAnsi="宋体"/>
          <w:color w:val="000000" w:themeColor="text1"/>
          <w:szCs w:val="24"/>
        </w:rPr>
        <w:t>）病人</w:t>
      </w:r>
      <w:r w:rsidRPr="00B12FE0">
        <w:rPr>
          <w:rFonts w:ascii="宋体" w:hAnsi="宋体" w:hint="eastAsia"/>
          <w:color w:val="000000" w:themeColor="text1"/>
          <w:szCs w:val="24"/>
        </w:rPr>
        <w:t>注入</w:t>
      </w:r>
      <w:r w:rsidRPr="00B12FE0">
        <w:rPr>
          <w:rFonts w:ascii="宋体" w:hAnsi="宋体"/>
          <w:color w:val="000000" w:themeColor="text1"/>
          <w:szCs w:val="24"/>
        </w:rPr>
        <w:t>药品后通过仪器进行器官显像和病情检查。在此过程中病人体内放射性药物发出</w:t>
      </w:r>
      <w:r w:rsidRPr="00B12FE0">
        <w:rPr>
          <w:color w:val="000000" w:themeColor="text1"/>
          <w:szCs w:val="24"/>
        </w:rPr>
        <w:t>γ</w:t>
      </w:r>
      <w:r w:rsidRPr="00B12FE0">
        <w:rPr>
          <w:rFonts w:ascii="宋体" w:hAnsi="宋体"/>
          <w:color w:val="000000" w:themeColor="text1"/>
          <w:szCs w:val="24"/>
        </w:rPr>
        <w:t>射线。整个检查过程大约要</w:t>
      </w:r>
      <w:r w:rsidRPr="00B12FE0">
        <w:rPr>
          <w:color w:val="000000" w:themeColor="text1"/>
          <w:szCs w:val="24"/>
        </w:rPr>
        <w:t>15min</w:t>
      </w:r>
      <w:r w:rsidRPr="00B12FE0">
        <w:rPr>
          <w:rFonts w:ascii="宋体" w:hAnsi="宋体"/>
          <w:color w:val="000000" w:themeColor="text1"/>
          <w:szCs w:val="24"/>
        </w:rPr>
        <w:t>，检查完毕后无异常情况后经指定路线离开核医学科。</w:t>
      </w:r>
    </w:p>
    <w:p w14:paraId="5A6B3FB6"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bCs/>
          <w:color w:val="000000" w:themeColor="text1"/>
          <w:szCs w:val="24"/>
        </w:rPr>
        <w:t>PET/</w:t>
      </w:r>
      <w:r w:rsidRPr="00B12FE0">
        <w:rPr>
          <w:rFonts w:hint="eastAsia"/>
          <w:bCs/>
          <w:color w:val="000000" w:themeColor="text1"/>
          <w:szCs w:val="24"/>
        </w:rPr>
        <w:t>CT</w:t>
      </w:r>
      <w:r w:rsidRPr="00B12FE0">
        <w:rPr>
          <w:rFonts w:hint="eastAsia"/>
          <w:bCs/>
          <w:color w:val="000000" w:themeColor="text1"/>
          <w:szCs w:val="24"/>
        </w:rPr>
        <w:t>显像</w:t>
      </w:r>
      <w:r w:rsidRPr="00B12FE0">
        <w:rPr>
          <w:bCs/>
          <w:color w:val="000000" w:themeColor="text1"/>
          <w:szCs w:val="24"/>
        </w:rPr>
        <w:t>诊断</w:t>
      </w:r>
      <w:r w:rsidRPr="00B12FE0">
        <w:rPr>
          <w:rFonts w:hint="eastAsia"/>
          <w:bCs/>
          <w:color w:val="000000" w:themeColor="text1"/>
          <w:szCs w:val="24"/>
        </w:rPr>
        <w:t>的</w:t>
      </w:r>
      <w:r w:rsidRPr="00B12FE0">
        <w:rPr>
          <w:bCs/>
          <w:color w:val="000000" w:themeColor="text1"/>
          <w:szCs w:val="24"/>
        </w:rPr>
        <w:t>工作流程</w:t>
      </w:r>
      <w:proofErr w:type="gramStart"/>
      <w:r w:rsidRPr="00B12FE0">
        <w:rPr>
          <w:bCs/>
          <w:color w:val="000000" w:themeColor="text1"/>
          <w:szCs w:val="24"/>
        </w:rPr>
        <w:t>与</w:t>
      </w:r>
      <w:r w:rsidRPr="00B12FE0">
        <w:rPr>
          <w:rFonts w:hint="eastAsia"/>
          <w:bCs/>
          <w:color w:val="000000" w:themeColor="text1"/>
          <w:szCs w:val="24"/>
        </w:rPr>
        <w:t>产污</w:t>
      </w:r>
      <w:r w:rsidRPr="00B12FE0">
        <w:rPr>
          <w:bCs/>
          <w:color w:val="000000" w:themeColor="text1"/>
          <w:szCs w:val="24"/>
        </w:rPr>
        <w:t>环节</w:t>
      </w:r>
      <w:proofErr w:type="gramEnd"/>
      <w:r w:rsidRPr="00B12FE0">
        <w:rPr>
          <w:bCs/>
          <w:color w:val="000000" w:themeColor="text1"/>
          <w:szCs w:val="24"/>
        </w:rPr>
        <w:t>见</w:t>
      </w:r>
      <w:r w:rsidRPr="00B12FE0">
        <w:rPr>
          <w:rFonts w:hint="eastAsia"/>
          <w:bCs/>
          <w:color w:val="000000" w:themeColor="text1"/>
          <w:szCs w:val="24"/>
        </w:rPr>
        <w:t>下图</w:t>
      </w:r>
      <w:r w:rsidRPr="00B12FE0">
        <w:rPr>
          <w:bCs/>
          <w:color w:val="000000" w:themeColor="text1"/>
          <w:szCs w:val="24"/>
        </w:rPr>
        <w:t>。</w:t>
      </w:r>
    </w:p>
    <w:p w14:paraId="5F780ABF" w14:textId="77777777" w:rsidR="00A67F21" w:rsidRPr="00B12FE0" w:rsidRDefault="00000000">
      <w:pPr>
        <w:adjustRightInd w:val="0"/>
        <w:snapToGrid w:val="0"/>
        <w:spacing w:beforeLines="50" w:before="120"/>
        <w:jc w:val="center"/>
        <w:rPr>
          <w:b/>
          <w:color w:val="000000" w:themeColor="text1"/>
          <w:sz w:val="21"/>
          <w:szCs w:val="24"/>
        </w:rPr>
      </w:pPr>
      <w:r w:rsidRPr="00B12FE0">
        <w:rPr>
          <w:b/>
          <w:noProof/>
          <w:color w:val="000000" w:themeColor="text1"/>
          <w:sz w:val="21"/>
          <w:szCs w:val="21"/>
        </w:rPr>
        <w:lastRenderedPageBreak/>
        <mc:AlternateContent>
          <mc:Choice Requires="wpc">
            <w:drawing>
              <wp:inline distT="0" distB="0" distL="0" distR="0" wp14:anchorId="4AEC99DB" wp14:editId="71D7317A">
                <wp:extent cx="5506720" cy="3204845"/>
                <wp:effectExtent l="0" t="0" r="17780" b="0"/>
                <wp:docPr id="5926" name="画布 59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 name="Rectangle 5927"/>
                        <wps:cNvSpPr>
                          <a:spLocks noChangeArrowheads="1"/>
                        </wps:cNvSpPr>
                        <wps:spPr bwMode="auto">
                          <a:xfrm>
                            <a:off x="183205" y="0"/>
                            <a:ext cx="2758440" cy="466725"/>
                          </a:xfrm>
                          <a:prstGeom prst="rect">
                            <a:avLst/>
                          </a:prstGeom>
                          <a:noFill/>
                          <a:ln w="9525">
                            <a:solidFill>
                              <a:srgbClr val="000000"/>
                            </a:solidFill>
                            <a:miter lim="800000"/>
                          </a:ln>
                        </wps:spPr>
                        <wps:txbx>
                          <w:txbxContent>
                            <w:p w14:paraId="48C20962" w14:textId="77777777" w:rsidR="00A67F21" w:rsidRDefault="00000000">
                              <w:pPr>
                                <w:jc w:val="center"/>
                                <w:rPr>
                                  <w:sz w:val="21"/>
                                  <w:szCs w:val="21"/>
                                </w:rPr>
                              </w:pPr>
                              <w:r>
                                <w:rPr>
                                  <w:rFonts w:hint="eastAsia"/>
                                  <w:sz w:val="21"/>
                                  <w:szCs w:val="21"/>
                                </w:rPr>
                                <w:t>病人预约检查，医生根据病人实际情况确定药物用量</w:t>
                              </w:r>
                            </w:p>
                          </w:txbxContent>
                        </wps:txbx>
                        <wps:bodyPr rot="0" vert="horz" wrap="square" lIns="91440" tIns="45720" rIns="91440" bIns="45720" anchor="t" anchorCtr="0" upright="1">
                          <a:noAutofit/>
                        </wps:bodyPr>
                      </wps:wsp>
                      <wps:wsp>
                        <wps:cNvPr id="34" name="Rectangle 5943"/>
                        <wps:cNvSpPr>
                          <a:spLocks noChangeArrowheads="1"/>
                        </wps:cNvSpPr>
                        <wps:spPr bwMode="auto">
                          <a:xfrm>
                            <a:off x="183205" y="669945"/>
                            <a:ext cx="2758440" cy="659130"/>
                          </a:xfrm>
                          <a:prstGeom prst="rect">
                            <a:avLst/>
                          </a:prstGeom>
                          <a:noFill/>
                          <a:ln w="9525">
                            <a:solidFill>
                              <a:srgbClr val="000000"/>
                            </a:solidFill>
                            <a:miter lim="800000"/>
                          </a:ln>
                        </wps:spPr>
                        <wps:txbx>
                          <w:txbxContent>
                            <w:p w14:paraId="23612BFE" w14:textId="77777777" w:rsidR="00A67F21" w:rsidRDefault="00000000">
                              <w:pPr>
                                <w:jc w:val="center"/>
                                <w:rPr>
                                  <w:sz w:val="21"/>
                                  <w:szCs w:val="21"/>
                                </w:rPr>
                              </w:pPr>
                              <w:r>
                                <w:rPr>
                                  <w:rFonts w:hint="eastAsia"/>
                                  <w:sz w:val="21"/>
                                  <w:szCs w:val="21"/>
                                </w:rPr>
                                <w:t>使用钼锝发生器根据前一天预定量在</w:t>
                              </w:r>
                              <w:r>
                                <w:rPr>
                                  <w:rFonts w:hint="eastAsia"/>
                                  <w:sz w:val="21"/>
                                  <w:szCs w:val="21"/>
                                  <w:vertAlign w:val="superscript"/>
                                </w:rPr>
                                <w:t>99m</w:t>
                              </w:r>
                              <w:r>
                                <w:rPr>
                                  <w:rFonts w:hint="eastAsia"/>
                                  <w:sz w:val="21"/>
                                  <w:szCs w:val="21"/>
                                </w:rPr>
                                <w:t>Tc</w:t>
                              </w:r>
                              <w:r>
                                <w:rPr>
                                  <w:rFonts w:hint="eastAsia"/>
                                  <w:sz w:val="21"/>
                                  <w:szCs w:val="21"/>
                                </w:rPr>
                                <w:t>淋洗手套箱中淋洗标记药物，完成后由护士在手套箱进行分装测量。</w:t>
                              </w:r>
                            </w:p>
                          </w:txbxContent>
                        </wps:txbx>
                        <wps:bodyPr rot="0" vert="horz" wrap="square" lIns="91440" tIns="45720" rIns="91440" bIns="45720" anchor="t" anchorCtr="0" upright="1">
                          <a:noAutofit/>
                        </wps:bodyPr>
                      </wps:wsp>
                      <wps:wsp>
                        <wps:cNvPr id="35" name="Rectangle 5944"/>
                        <wps:cNvSpPr>
                          <a:spLocks noChangeArrowheads="1"/>
                        </wps:cNvSpPr>
                        <wps:spPr bwMode="auto">
                          <a:xfrm>
                            <a:off x="183205" y="1547456"/>
                            <a:ext cx="2758440" cy="248535"/>
                          </a:xfrm>
                          <a:prstGeom prst="rect">
                            <a:avLst/>
                          </a:prstGeom>
                          <a:noFill/>
                          <a:ln w="9525">
                            <a:solidFill>
                              <a:srgbClr val="000000"/>
                            </a:solidFill>
                            <a:miter lim="800000"/>
                          </a:ln>
                        </wps:spPr>
                        <wps:txbx>
                          <w:txbxContent>
                            <w:p w14:paraId="1F008CA4" w14:textId="77777777" w:rsidR="00A67F21" w:rsidRDefault="00000000">
                              <w:pPr>
                                <w:jc w:val="center"/>
                                <w:rPr>
                                  <w:sz w:val="21"/>
                                  <w:szCs w:val="21"/>
                                </w:rPr>
                              </w:pPr>
                              <w:r>
                                <w:rPr>
                                  <w:rFonts w:hint="eastAsia"/>
                                  <w:sz w:val="21"/>
                                  <w:szCs w:val="21"/>
                                </w:rPr>
                                <w:t>显像患者在注射窗接受</w:t>
                              </w:r>
                              <w:r>
                                <w:rPr>
                                  <w:bCs/>
                                  <w:sz w:val="21"/>
                                  <w:szCs w:val="21"/>
                                  <w:vertAlign w:val="superscript"/>
                                </w:rPr>
                                <w:t>99m</w:t>
                              </w:r>
                              <w:r>
                                <w:rPr>
                                  <w:bCs/>
                                  <w:sz w:val="21"/>
                                  <w:szCs w:val="21"/>
                                </w:rPr>
                                <w:t>Tc</w:t>
                              </w:r>
                              <w:r>
                                <w:rPr>
                                  <w:rFonts w:hint="eastAsia"/>
                                  <w:sz w:val="21"/>
                                  <w:szCs w:val="21"/>
                                </w:rPr>
                                <w:t>注射</w:t>
                              </w:r>
                            </w:p>
                          </w:txbxContent>
                        </wps:txbx>
                        <wps:bodyPr rot="0" vert="horz" wrap="square" lIns="91440" tIns="45720" rIns="91440" bIns="45720" anchor="t" anchorCtr="0" upright="1">
                          <a:noAutofit/>
                        </wps:bodyPr>
                      </wps:wsp>
                      <wps:wsp>
                        <wps:cNvPr id="36" name="Rectangle 5945"/>
                        <wps:cNvSpPr>
                          <a:spLocks noChangeArrowheads="1"/>
                        </wps:cNvSpPr>
                        <wps:spPr bwMode="auto">
                          <a:xfrm>
                            <a:off x="178181" y="1973714"/>
                            <a:ext cx="2758440" cy="460886"/>
                          </a:xfrm>
                          <a:prstGeom prst="rect">
                            <a:avLst/>
                          </a:prstGeom>
                          <a:noFill/>
                          <a:ln w="9525">
                            <a:solidFill>
                              <a:srgbClr val="000000"/>
                            </a:solidFill>
                            <a:miter lim="800000"/>
                          </a:ln>
                        </wps:spPr>
                        <wps:txbx>
                          <w:txbxContent>
                            <w:p w14:paraId="3301C0DB" w14:textId="77777777" w:rsidR="00A67F21" w:rsidRDefault="00000000">
                              <w:pPr>
                                <w:rPr>
                                  <w:sz w:val="21"/>
                                  <w:szCs w:val="21"/>
                                </w:rPr>
                              </w:pPr>
                              <w:r>
                                <w:rPr>
                                  <w:rFonts w:hint="eastAsia"/>
                                  <w:sz w:val="21"/>
                                  <w:szCs w:val="21"/>
                                </w:rPr>
                                <w:t>患者注射后进入</w:t>
                              </w:r>
                              <w:r>
                                <w:rPr>
                                  <w:rFonts w:hint="eastAsia"/>
                                  <w:sz w:val="21"/>
                                  <w:szCs w:val="21"/>
                                </w:rPr>
                                <w:t>SPECT</w:t>
                              </w:r>
                              <w:r>
                                <w:rPr>
                                  <w:rFonts w:hint="eastAsia"/>
                                  <w:sz w:val="21"/>
                                  <w:szCs w:val="21"/>
                                </w:rPr>
                                <w:t>候诊室候诊，直至通知进入</w:t>
                              </w:r>
                              <w:r>
                                <w:rPr>
                                  <w:rFonts w:hint="eastAsia"/>
                                  <w:sz w:val="21"/>
                                  <w:szCs w:val="21"/>
                                </w:rPr>
                                <w:t>SPECT</w:t>
                              </w:r>
                              <w:r>
                                <w:rPr>
                                  <w:sz w:val="21"/>
                                  <w:szCs w:val="21"/>
                                </w:rPr>
                                <w:t>/CT</w:t>
                              </w:r>
                              <w:r>
                                <w:rPr>
                                  <w:rFonts w:hint="eastAsia"/>
                                  <w:sz w:val="21"/>
                                  <w:szCs w:val="21"/>
                                </w:rPr>
                                <w:t>机房进行扫描检查</w:t>
                              </w:r>
                            </w:p>
                          </w:txbxContent>
                        </wps:txbx>
                        <wps:bodyPr rot="0" vert="horz" wrap="square" lIns="91440" tIns="45720" rIns="91440" bIns="45720" anchor="t" anchorCtr="0" upright="1">
                          <a:noAutofit/>
                        </wps:bodyPr>
                      </wps:wsp>
                      <wps:wsp>
                        <wps:cNvPr id="37" name="Rectangle 5946"/>
                        <wps:cNvSpPr>
                          <a:spLocks noChangeArrowheads="1"/>
                        </wps:cNvSpPr>
                        <wps:spPr bwMode="auto">
                          <a:xfrm>
                            <a:off x="130176" y="2647767"/>
                            <a:ext cx="2887345" cy="479425"/>
                          </a:xfrm>
                          <a:prstGeom prst="rect">
                            <a:avLst/>
                          </a:prstGeom>
                          <a:noFill/>
                          <a:ln w="9525">
                            <a:solidFill>
                              <a:schemeClr val="tx1">
                                <a:lumMod val="100000"/>
                                <a:lumOff val="0"/>
                              </a:schemeClr>
                            </a:solidFill>
                            <a:miter lim="800000"/>
                          </a:ln>
                        </wps:spPr>
                        <wps:txbx>
                          <w:txbxContent>
                            <w:p w14:paraId="54D3EC2A" w14:textId="77777777" w:rsidR="00A67F21" w:rsidRDefault="00000000">
                              <w:pPr>
                                <w:jc w:val="center"/>
                                <w:rPr>
                                  <w:sz w:val="21"/>
                                  <w:szCs w:val="21"/>
                                </w:rPr>
                              </w:pPr>
                              <w:r>
                                <w:rPr>
                                  <w:rFonts w:hint="eastAsia"/>
                                  <w:sz w:val="21"/>
                                  <w:szCs w:val="21"/>
                                </w:rPr>
                                <w:t>扫描完成后，到留观室留观</w:t>
                              </w:r>
                            </w:p>
                            <w:p w14:paraId="6117DC99" w14:textId="77777777" w:rsidR="00A67F21" w:rsidRDefault="00000000">
                              <w:pPr>
                                <w:jc w:val="center"/>
                                <w:rPr>
                                  <w:sz w:val="21"/>
                                  <w:szCs w:val="21"/>
                                </w:rPr>
                              </w:pPr>
                              <w:r>
                                <w:rPr>
                                  <w:rFonts w:hint="eastAsia"/>
                                  <w:sz w:val="21"/>
                                  <w:szCs w:val="21"/>
                                </w:rPr>
                                <w:t>由患者出口离开医院</w:t>
                              </w:r>
                            </w:p>
                          </w:txbxContent>
                        </wps:txbx>
                        <wps:bodyPr rot="0" vert="horz" wrap="square" lIns="91440" tIns="45720" rIns="91440" bIns="45720" anchor="t" anchorCtr="0" upright="1">
                          <a:noAutofit/>
                        </wps:bodyPr>
                      </wps:wsp>
                      <wps:wsp>
                        <wps:cNvPr id="38" name="AutoShape 5947"/>
                        <wps:cNvCnPr>
                          <a:cxnSpLocks noChangeShapeType="1"/>
                        </wps:cNvCnPr>
                        <wps:spPr bwMode="auto">
                          <a:xfrm>
                            <a:off x="1562425" y="466725"/>
                            <a:ext cx="0" cy="203220"/>
                          </a:xfrm>
                          <a:prstGeom prst="straightConnector1">
                            <a:avLst/>
                          </a:prstGeom>
                          <a:noFill/>
                          <a:ln w="9525">
                            <a:solidFill>
                              <a:schemeClr val="tx1">
                                <a:lumMod val="100000"/>
                                <a:lumOff val="0"/>
                              </a:schemeClr>
                            </a:solidFill>
                            <a:round/>
                            <a:tailEnd type="triangle" w="med" len="med"/>
                          </a:ln>
                        </wps:spPr>
                        <wps:bodyPr/>
                      </wps:wsp>
                      <wps:wsp>
                        <wps:cNvPr id="39" name="AutoShape 5948"/>
                        <wps:cNvCnPr>
                          <a:cxnSpLocks noChangeShapeType="1"/>
                        </wps:cNvCnPr>
                        <wps:spPr bwMode="auto">
                          <a:xfrm>
                            <a:off x="1562291" y="1328901"/>
                            <a:ext cx="0" cy="218546"/>
                          </a:xfrm>
                          <a:prstGeom prst="straightConnector1">
                            <a:avLst/>
                          </a:prstGeom>
                          <a:noFill/>
                          <a:ln w="9525">
                            <a:solidFill>
                              <a:schemeClr val="tx1">
                                <a:lumMod val="100000"/>
                                <a:lumOff val="0"/>
                              </a:schemeClr>
                            </a:solidFill>
                            <a:round/>
                            <a:tailEnd type="triangle" w="med" len="med"/>
                          </a:ln>
                        </wps:spPr>
                        <wps:bodyPr/>
                      </wps:wsp>
                      <wps:wsp>
                        <wps:cNvPr id="44" name="AutoShape 5949"/>
                        <wps:cNvCnPr>
                          <a:cxnSpLocks noChangeShapeType="1"/>
                        </wps:cNvCnPr>
                        <wps:spPr bwMode="auto">
                          <a:xfrm>
                            <a:off x="1562291" y="1795767"/>
                            <a:ext cx="0" cy="183759"/>
                          </a:xfrm>
                          <a:prstGeom prst="straightConnector1">
                            <a:avLst/>
                          </a:prstGeom>
                          <a:noFill/>
                          <a:ln w="9525">
                            <a:solidFill>
                              <a:schemeClr val="tx1">
                                <a:lumMod val="100000"/>
                                <a:lumOff val="0"/>
                              </a:schemeClr>
                            </a:solidFill>
                            <a:round/>
                            <a:tailEnd type="triangle" w="med" len="med"/>
                          </a:ln>
                        </wps:spPr>
                        <wps:bodyPr/>
                      </wps:wsp>
                      <wps:wsp>
                        <wps:cNvPr id="54" name="AutoShape 5950"/>
                        <wps:cNvCnPr>
                          <a:cxnSpLocks noChangeShapeType="1"/>
                        </wps:cNvCnPr>
                        <wps:spPr bwMode="auto">
                          <a:xfrm>
                            <a:off x="1564196" y="2444211"/>
                            <a:ext cx="1905" cy="203530"/>
                          </a:xfrm>
                          <a:prstGeom prst="straightConnector1">
                            <a:avLst/>
                          </a:prstGeom>
                          <a:noFill/>
                          <a:ln w="9525">
                            <a:solidFill>
                              <a:schemeClr val="tx1">
                                <a:lumMod val="100000"/>
                                <a:lumOff val="0"/>
                              </a:schemeClr>
                            </a:solidFill>
                            <a:round/>
                            <a:tailEnd type="triangle" w="med" len="med"/>
                          </a:ln>
                        </wps:spPr>
                        <wps:bodyPr/>
                      </wps:wsp>
                      <wps:wsp>
                        <wps:cNvPr id="55" name="Rectangle 5951"/>
                        <wps:cNvSpPr>
                          <a:spLocks noChangeArrowheads="1"/>
                        </wps:cNvSpPr>
                        <wps:spPr bwMode="auto">
                          <a:xfrm>
                            <a:off x="3654468" y="698716"/>
                            <a:ext cx="1852930" cy="601980"/>
                          </a:xfrm>
                          <a:prstGeom prst="rect">
                            <a:avLst/>
                          </a:prstGeom>
                          <a:noFill/>
                          <a:ln w="6350">
                            <a:solidFill>
                              <a:srgbClr val="000000"/>
                            </a:solidFill>
                            <a:prstDash val="dash"/>
                            <a:miter lim="800000"/>
                          </a:ln>
                        </wps:spPr>
                        <wps:txbx>
                          <w:txbxContent>
                            <w:p w14:paraId="48E9ED10" w14:textId="77777777" w:rsidR="00A67F21" w:rsidRDefault="00000000">
                              <w:pPr>
                                <w:rPr>
                                  <w:sz w:val="21"/>
                                  <w:szCs w:val="21"/>
                                </w:rPr>
                              </w:pPr>
                              <w:r>
                                <w:rPr>
                                  <w:sz w:val="21"/>
                                  <w:szCs w:val="21"/>
                                  <w:lang w:val="el-GR"/>
                                </w:rPr>
                                <w:t>γ</w:t>
                              </w:r>
                              <w:r>
                                <w:rPr>
                                  <w:rFonts w:hAnsi="宋体" w:hint="eastAsia"/>
                                  <w:sz w:val="21"/>
                                  <w:szCs w:val="21"/>
                                  <w:lang w:val="zh-CN"/>
                                </w:rPr>
                                <w:t>射线、</w:t>
                              </w:r>
                              <w:r>
                                <w:rPr>
                                  <w:sz w:val="21"/>
                                  <w:szCs w:val="21"/>
                                  <w:lang w:val="el-GR"/>
                                </w:rPr>
                                <w:t>β</w:t>
                              </w:r>
                              <w:r>
                                <w:rPr>
                                  <w:rFonts w:ascii="宋体" w:hAnsi="宋体" w:hint="eastAsia"/>
                                  <w:sz w:val="21"/>
                                  <w:szCs w:val="21"/>
                                  <w:lang w:val="zh-CN"/>
                                </w:rPr>
                                <w:t>表面污染</w:t>
                              </w:r>
                              <w:r>
                                <w:rPr>
                                  <w:rFonts w:hAnsi="宋体" w:hint="eastAsia"/>
                                  <w:sz w:val="21"/>
                                  <w:szCs w:val="21"/>
                                  <w:lang w:val="zh-CN"/>
                                </w:rPr>
                                <w:t>、放射性固废、放射性废气、放射性废水</w:t>
                              </w:r>
                            </w:p>
                          </w:txbxContent>
                        </wps:txbx>
                        <wps:bodyPr rot="0" vert="horz" wrap="square" lIns="91440" tIns="45720" rIns="91440" bIns="45720" anchor="t" anchorCtr="0" upright="1">
                          <a:noAutofit/>
                        </wps:bodyPr>
                      </wps:wsp>
                      <wps:wsp>
                        <wps:cNvPr id="56" name="Rectangle 5952"/>
                        <wps:cNvSpPr>
                          <a:spLocks noChangeArrowheads="1"/>
                        </wps:cNvSpPr>
                        <wps:spPr bwMode="auto">
                          <a:xfrm>
                            <a:off x="3654256" y="1687650"/>
                            <a:ext cx="1852930" cy="743723"/>
                          </a:xfrm>
                          <a:prstGeom prst="rect">
                            <a:avLst/>
                          </a:prstGeom>
                          <a:noFill/>
                          <a:ln w="9525">
                            <a:solidFill>
                              <a:srgbClr val="000000"/>
                            </a:solidFill>
                            <a:prstDash val="dash"/>
                            <a:miter lim="800000"/>
                          </a:ln>
                        </wps:spPr>
                        <wps:txbx>
                          <w:txbxContent>
                            <w:p w14:paraId="7A5488D6" w14:textId="77777777" w:rsidR="00A67F21" w:rsidRDefault="00000000">
                              <w:pPr>
                                <w:rPr>
                                  <w:rFonts w:hAnsi="宋体" w:hint="eastAsia"/>
                                  <w:color w:val="FF0000"/>
                                  <w:sz w:val="21"/>
                                  <w:szCs w:val="21"/>
                                  <w:lang w:val="zh-CN"/>
                                </w:rPr>
                              </w:pPr>
                              <w:r>
                                <w:rPr>
                                  <w:sz w:val="21"/>
                                  <w:szCs w:val="21"/>
                                  <w:lang w:val="el-GR"/>
                                </w:rPr>
                                <w:t>γ</w:t>
                              </w:r>
                              <w:r>
                                <w:rPr>
                                  <w:rFonts w:hAnsi="宋体" w:hint="eastAsia"/>
                                  <w:sz w:val="21"/>
                                  <w:szCs w:val="21"/>
                                  <w:lang w:val="zh-CN"/>
                                </w:rPr>
                                <w:t>射线、</w:t>
                              </w:r>
                              <w:r>
                                <w:rPr>
                                  <w:sz w:val="21"/>
                                  <w:szCs w:val="21"/>
                                  <w:lang w:val="el-GR"/>
                                </w:rPr>
                                <w:t>β</w:t>
                              </w:r>
                              <w:r>
                                <w:rPr>
                                  <w:rFonts w:hAnsi="宋体" w:hint="eastAsia"/>
                                  <w:sz w:val="21"/>
                                  <w:szCs w:val="21"/>
                                  <w:lang w:val="zh-CN"/>
                                </w:rPr>
                                <w:t>表面污染、放射性废水、放射性固废、</w:t>
                              </w:r>
                              <w:r>
                                <w:rPr>
                                  <w:rFonts w:hAnsi="宋体" w:hint="eastAsia"/>
                                  <w:sz w:val="21"/>
                                  <w:szCs w:val="21"/>
                                  <w:lang w:val="zh-CN"/>
                                </w:rPr>
                                <w:t>X</w:t>
                              </w:r>
                              <w:r>
                                <w:rPr>
                                  <w:rFonts w:hAnsi="宋体"/>
                                  <w:sz w:val="21"/>
                                  <w:szCs w:val="21"/>
                                  <w:lang w:val="zh-CN"/>
                                </w:rPr>
                                <w:t>射线</w:t>
                              </w:r>
                              <w:r>
                                <w:rPr>
                                  <w:rFonts w:hAnsi="宋体" w:hint="eastAsia"/>
                                  <w:sz w:val="21"/>
                                  <w:szCs w:val="21"/>
                                  <w:lang w:val="zh-CN"/>
                                </w:rPr>
                                <w:t>、臭氧、氮氧化物</w:t>
                              </w:r>
                            </w:p>
                          </w:txbxContent>
                        </wps:txbx>
                        <wps:bodyPr rot="0" vert="horz" wrap="square" lIns="91440" tIns="45720" rIns="91440" bIns="45720" anchor="t" anchorCtr="0" upright="1">
                          <a:noAutofit/>
                        </wps:bodyPr>
                      </wps:wsp>
                      <wps:wsp>
                        <wps:cNvPr id="57" name="AutoShape 5954"/>
                        <wps:cNvCnPr>
                          <a:cxnSpLocks noChangeShapeType="1"/>
                        </wps:cNvCnPr>
                        <wps:spPr bwMode="auto">
                          <a:xfrm>
                            <a:off x="2941645" y="999510"/>
                            <a:ext cx="712823" cy="196"/>
                          </a:xfrm>
                          <a:prstGeom prst="straightConnector1">
                            <a:avLst/>
                          </a:prstGeom>
                          <a:noFill/>
                          <a:ln w="12700">
                            <a:solidFill>
                              <a:schemeClr val="tx1">
                                <a:lumMod val="100000"/>
                                <a:lumOff val="0"/>
                              </a:schemeClr>
                            </a:solidFill>
                            <a:prstDash val="dash"/>
                            <a:round/>
                            <a:tailEnd type="triangle" w="med" len="med"/>
                          </a:ln>
                        </wps:spPr>
                        <wps:bodyPr/>
                      </wps:wsp>
                      <wps:wsp>
                        <wps:cNvPr id="58" name="Rectangle 6074"/>
                        <wps:cNvSpPr>
                          <a:spLocks noChangeArrowheads="1"/>
                        </wps:cNvSpPr>
                        <wps:spPr bwMode="auto">
                          <a:xfrm>
                            <a:off x="87945" y="1437849"/>
                            <a:ext cx="2943225" cy="1074239"/>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wps:wsp>
                        <wps:cNvPr id="59" name="AutoShape 6075"/>
                        <wps:cNvCnPr>
                          <a:cxnSpLocks noChangeShapeType="1"/>
                        </wps:cNvCnPr>
                        <wps:spPr bwMode="auto">
                          <a:xfrm>
                            <a:off x="3031180" y="2054900"/>
                            <a:ext cx="623076" cy="4612"/>
                          </a:xfrm>
                          <a:prstGeom prst="straightConnector1">
                            <a:avLst/>
                          </a:prstGeom>
                          <a:noFill/>
                          <a:ln w="12700">
                            <a:solidFill>
                              <a:schemeClr val="tx1">
                                <a:lumMod val="100000"/>
                                <a:lumOff val="0"/>
                              </a:schemeClr>
                            </a:solidFill>
                            <a:prstDash val="dash"/>
                            <a:round/>
                            <a:tailEnd type="triangle" w="med" len="med"/>
                          </a:ln>
                        </wps:spPr>
                        <wps:bodyPr/>
                      </wps:wsp>
                    </wpc:wpc>
                  </a:graphicData>
                </a:graphic>
              </wp:inline>
            </w:drawing>
          </mc:Choice>
          <mc:Fallback>
            <w:pict>
              <v:group w14:anchorId="4AEC99DB" id="画布 5926" o:spid="_x0000_s1026" editas="canvas" style="width:433.6pt;height:252.35pt;mso-position-horizontal-relative:char;mso-position-vertical-relative:line" coordsize="55067,3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wBRQUAAMMkAAAOAAAAZHJzL2Uyb0RvYy54bWzsWttu4zYQfS/QfxD03likSF2MKIuF0y0K&#10;bNtFs/0AWpJtoRKpknLs9Ot3OJJlJZGbZr1xmsJ5cHQlh8PDmXNGvHy3rUrnNtemUDJxyYXnOrlM&#10;VVbIZeL+8fnDD5HrmEbITJRK5ol7lxv33dX3311u6mlO1UqVWa4daESa6aZO3FXT1NPJxKSrvBLm&#10;QtW5hJsLpSvRwKleTjItNtB6VU6o5wWTjdJZrVWaGwNXr9ub7hW2v1jkafPbYmHyxikTF2xr8Ffj&#10;79z+Tq4uxXSpRb0q0s4M8RVWVKKQ0Gnf1LVohLPWxaOmqiLVyqhFc5GqaqIWiyLNcQwwGuI9GM1M&#10;yFthcDApeGdnIBx9w3bnS2u3VB+KsgRvTKD1qb1m/29gfnK4uKlhdkzdz5M5rv+blahzHJaZpr/e&#10;ftJOkSUuDV1HigpA8jtMm5DLMnd4DFc7A+DJm/qTttaa+qNK/zSOVLMVPJi/11ptVrnIwDBin4dR&#10;YNPtC/bEwKvOfPOLyqADsW4UTtd2oSvbIEyEs4V3I5963HXuemjk28ZJ4Q4NecQYICiFeywIQsqx&#10;HzHdNVFr0/yUq8qxB4mrYQzYhbj9aBprkpjuHrnncDEtpbNJ3JhDkzg4VRaZnQ080cv5rNTOrbAA&#10;xr+uXzN8rCoaWEZlUSVuNHyolJ0v7PDbeWy2823n0bnK7sArWrXLApYxHKyU/tt1NrAkEtf8tRY6&#10;d53yZwmejQl6oMETxkMK7tDDO/PhHSFTaCpxG9dpD2dNu+7WtS6WK+iJ4HCleg+zsSjQR3amWqs6&#10;uwF1J4Kfz8bgx/zXgV8QxDFDiInpKAYDHhMf4xcA6y1iENc8Ltb9pJ+hiF7xIQQ9joSMvQ4UCWch&#10;44Ht/AAWKYs42NwGuTeLRbpz7zksDrKyH4xiEWf7XpJ9wawcRiQimJVJHPohwYVwAIss8KIIwfqW&#10;42Kfdc5YHGJxlCEynO1TYdH3SAhLAlggDVgYBkhPB1iMotCHxN3yxDBmp+KJVjDlPVNsti25KtcV&#10;MN6WPZKeGALlXFegizpW2QVu1Fy2CeSqx9BLTGJ9tjpDeAhh0MNtaresF4UQiBw2FDkz2YqcdCtv&#10;HugcfP7zXQ0S5p7MaV+xS+DfyRweUAtMi+K9ltmDuJM51PMpcPx/TOum0cKy+ZmSEhSP0i3ujhQ9&#10;LwpmrdYyQzLTiKL8UWZOgx5tdIGiE8RP4lZ5BrInh5qGPWpdMCKmWmzb29b5JxQr8SiMoh2FAa18&#10;GhjRuEvMPo1iD0H5GEck4m2QPpySzzgCJX56HIGmGAtH8evhKIz5o6TaxSOozoQcTTvjyJaT/kPx&#10;iI/iiGPy6JjZSeIRI3FHzhhjlDyIRyS2xT1bwYPUxp+qnpxD0quEJD5a/OB9pegEZWA/4IwFwNQA&#10;KUEcheRB8QPyGY0BPgilwCNx9ARLenYxOPBh7XxtMdiWma+FWbX0PoMjG87F9JlFYmTxvc4/s/gB&#10;i4dq2EiBjvcVpBNhlFo7AKMkiMKgDbZ78nUPpCHzQ4pFhcOp89kgPeqLxbcEaV8AOIN0CNK+WjKU&#10;mpCpIRicLCfTmJHA1kMApnEcc4KRco/SkNAIgImR1OZuS4EPfs84MiMTGnpjUfVF1eYhnP8fVCjv&#10;ixn7L7aBFw4RdvPCX2wjKLG16CIQ4iKG8mAPL4Af1DA60kfANOo/ISDeXBQ8x7xhzBupiwAiexZz&#10;krqI7/mEACW0MQ+2E7AYog4SsN2H3ID6ni0it3sJCNKGc9SzGz6OrL3h5hXYuIJJpNvVY7fiDM+x&#10;Vrffe3T1BQAA//8DAFBLAwQUAAYACAAAACEAc9xPatwAAAAFAQAADwAAAGRycy9kb3ducmV2Lnht&#10;bEyPS0/DMBCE70j8B2uRuFGH9KmQTYVAXOgpBRWObrx5CHsdxW4a/j2GS7msNJrRzLf5drJGjDT4&#10;zjHC/SwBQVw53XGD8P72crcB4YNirYxjQvgmD9vi+ipXmXZnLmnch0bEEvaZQmhD6DMpfdWSVX7m&#10;euLo1W6wKkQ5NFIP6hzLrZFpkqykVR3HhVb19NRS9bU/WQRdmtF/vNb1uEvnu/J5+XmYHxaItzfT&#10;4wOIQFO4hOEXP6JDEZmO7sTaC4MQHwl/N3qb1ToFcURYJos1yCKX/+mLHwAAAP//AwBQSwECLQAU&#10;AAYACAAAACEAtoM4kv4AAADhAQAAEwAAAAAAAAAAAAAAAAAAAAAAW0NvbnRlbnRfVHlwZXNdLnht&#10;bFBLAQItABQABgAIAAAAIQA4/SH/1gAAAJQBAAALAAAAAAAAAAAAAAAAAC8BAABfcmVscy8ucmVs&#10;c1BLAQItABQABgAIAAAAIQCTBgwBRQUAAMMkAAAOAAAAAAAAAAAAAAAAAC4CAABkcnMvZTJvRG9j&#10;LnhtbFBLAQItABQABgAIAAAAIQBz3E9q3AAAAAUBAAAPAAAAAAAAAAAAAAAAAJ8HAABkcnMvZG93&#10;bnJldi54bWxQSwUGAAAAAAQABADzAAAAq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67;height:32048;visibility:visible;mso-wrap-style:square">
                  <v:fill o:detectmouseclick="t"/>
                  <v:path o:connecttype="none"/>
                </v:shape>
                <v:rect id="Rectangle 5927" o:spid="_x0000_s1028" style="position:absolute;left:1832;width:2758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v:textbox>
                    <w:txbxContent>
                      <w:p w14:paraId="48C20962" w14:textId="77777777" w:rsidR="00A67F21" w:rsidRDefault="00000000">
                        <w:pPr>
                          <w:jc w:val="center"/>
                          <w:rPr>
                            <w:sz w:val="21"/>
                            <w:szCs w:val="21"/>
                          </w:rPr>
                        </w:pPr>
                        <w:r>
                          <w:rPr>
                            <w:rFonts w:hint="eastAsia"/>
                            <w:sz w:val="21"/>
                            <w:szCs w:val="21"/>
                          </w:rPr>
                          <w:t>病人预约检查，医生根据病人实际情况确定药物用量</w:t>
                        </w:r>
                      </w:p>
                    </w:txbxContent>
                  </v:textbox>
                </v:rect>
                <v:rect id="Rectangle 5943" o:spid="_x0000_s1029" style="position:absolute;left:1832;top:6699;width:27584;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textbox>
                    <w:txbxContent>
                      <w:p w14:paraId="23612BFE" w14:textId="77777777" w:rsidR="00A67F21" w:rsidRDefault="00000000">
                        <w:pPr>
                          <w:jc w:val="center"/>
                          <w:rPr>
                            <w:sz w:val="21"/>
                            <w:szCs w:val="21"/>
                          </w:rPr>
                        </w:pPr>
                        <w:r>
                          <w:rPr>
                            <w:rFonts w:hint="eastAsia"/>
                            <w:sz w:val="21"/>
                            <w:szCs w:val="21"/>
                          </w:rPr>
                          <w:t>使用钼锝发生器根据前一天预定量在</w:t>
                        </w:r>
                        <w:r>
                          <w:rPr>
                            <w:rFonts w:hint="eastAsia"/>
                            <w:sz w:val="21"/>
                            <w:szCs w:val="21"/>
                            <w:vertAlign w:val="superscript"/>
                          </w:rPr>
                          <w:t>99m</w:t>
                        </w:r>
                        <w:r>
                          <w:rPr>
                            <w:rFonts w:hint="eastAsia"/>
                            <w:sz w:val="21"/>
                            <w:szCs w:val="21"/>
                          </w:rPr>
                          <w:t>Tc</w:t>
                        </w:r>
                        <w:r>
                          <w:rPr>
                            <w:rFonts w:hint="eastAsia"/>
                            <w:sz w:val="21"/>
                            <w:szCs w:val="21"/>
                          </w:rPr>
                          <w:t>淋洗手套箱中淋洗标记药物，完成后由护士在手套箱进行分装测量。</w:t>
                        </w:r>
                      </w:p>
                    </w:txbxContent>
                  </v:textbox>
                </v:rect>
                <v:rect id="Rectangle 5944" o:spid="_x0000_s1030" style="position:absolute;left:1832;top:15474;width:27584;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v:textbox>
                    <w:txbxContent>
                      <w:p w14:paraId="1F008CA4" w14:textId="77777777" w:rsidR="00A67F21" w:rsidRDefault="00000000">
                        <w:pPr>
                          <w:jc w:val="center"/>
                          <w:rPr>
                            <w:sz w:val="21"/>
                            <w:szCs w:val="21"/>
                          </w:rPr>
                        </w:pPr>
                        <w:r>
                          <w:rPr>
                            <w:rFonts w:hint="eastAsia"/>
                            <w:sz w:val="21"/>
                            <w:szCs w:val="21"/>
                          </w:rPr>
                          <w:t>显像患者在注射窗接受</w:t>
                        </w:r>
                        <w:r>
                          <w:rPr>
                            <w:bCs/>
                            <w:sz w:val="21"/>
                            <w:szCs w:val="21"/>
                            <w:vertAlign w:val="superscript"/>
                          </w:rPr>
                          <w:t>99m</w:t>
                        </w:r>
                        <w:r>
                          <w:rPr>
                            <w:bCs/>
                            <w:sz w:val="21"/>
                            <w:szCs w:val="21"/>
                          </w:rPr>
                          <w:t>Tc</w:t>
                        </w:r>
                        <w:r>
                          <w:rPr>
                            <w:rFonts w:hint="eastAsia"/>
                            <w:sz w:val="21"/>
                            <w:szCs w:val="21"/>
                          </w:rPr>
                          <w:t>注射</w:t>
                        </w:r>
                      </w:p>
                    </w:txbxContent>
                  </v:textbox>
                </v:rect>
                <v:rect id="Rectangle 5945" o:spid="_x0000_s1031" style="position:absolute;left:1781;top:19737;width:27585;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textbox>
                    <w:txbxContent>
                      <w:p w14:paraId="3301C0DB" w14:textId="77777777" w:rsidR="00A67F21" w:rsidRDefault="00000000">
                        <w:pPr>
                          <w:rPr>
                            <w:sz w:val="21"/>
                            <w:szCs w:val="21"/>
                          </w:rPr>
                        </w:pPr>
                        <w:r>
                          <w:rPr>
                            <w:rFonts w:hint="eastAsia"/>
                            <w:sz w:val="21"/>
                            <w:szCs w:val="21"/>
                          </w:rPr>
                          <w:t>患者注射后进入</w:t>
                        </w:r>
                        <w:r>
                          <w:rPr>
                            <w:rFonts w:hint="eastAsia"/>
                            <w:sz w:val="21"/>
                            <w:szCs w:val="21"/>
                          </w:rPr>
                          <w:t>SPECT</w:t>
                        </w:r>
                        <w:r>
                          <w:rPr>
                            <w:rFonts w:hint="eastAsia"/>
                            <w:sz w:val="21"/>
                            <w:szCs w:val="21"/>
                          </w:rPr>
                          <w:t>候诊室候诊，直至通知进入</w:t>
                        </w:r>
                        <w:r>
                          <w:rPr>
                            <w:rFonts w:hint="eastAsia"/>
                            <w:sz w:val="21"/>
                            <w:szCs w:val="21"/>
                          </w:rPr>
                          <w:t>SPECT</w:t>
                        </w:r>
                        <w:r>
                          <w:rPr>
                            <w:sz w:val="21"/>
                            <w:szCs w:val="21"/>
                          </w:rPr>
                          <w:t>/CT</w:t>
                        </w:r>
                        <w:r>
                          <w:rPr>
                            <w:rFonts w:hint="eastAsia"/>
                            <w:sz w:val="21"/>
                            <w:szCs w:val="21"/>
                          </w:rPr>
                          <w:t>机房进行扫描检查</w:t>
                        </w:r>
                      </w:p>
                    </w:txbxContent>
                  </v:textbox>
                </v:rect>
                <v:rect id="Rectangle 5946" o:spid="_x0000_s1032" style="position:absolute;left:1301;top:26477;width:28874;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sxAAAANsAAAAPAAAAZHJzL2Rvd25yZXYueG1sRI9PawIx&#10;FMTvhX6H8Aq91WxbsLIapWhbKl78B14fm+dm3eRlSVJdv70pFHocZuY3zGTWOyvOFGLjWcHzoABB&#10;XHndcK1gv/t8GoGICVmj9UwKrhRhNr2/m2Cp/YU3dN6mWmQIxxIVmJS6UspYGXIYB74jzt7RB4cp&#10;y1BLHfCS4c7Kl6IYSocN5wWDHc0NVe32xylolqvwsbB2NV98mXa9q/an7tAq9fjQv49BJOrTf/iv&#10;/a0VvL7B75f8A+T0BgAA//8DAFBLAQItABQABgAIAAAAIQDb4fbL7gAAAIUBAAATAAAAAAAAAAAA&#10;AAAAAAAAAABbQ29udGVudF9UeXBlc10ueG1sUEsBAi0AFAAGAAgAAAAhAFr0LFu/AAAAFQEAAAsA&#10;AAAAAAAAAAAAAAAAHwEAAF9yZWxzLy5yZWxzUEsBAi0AFAAGAAgAAAAhAMo0f6zEAAAA2wAAAA8A&#10;AAAAAAAAAAAAAAAABwIAAGRycy9kb3ducmV2LnhtbFBLBQYAAAAAAwADALcAAAD4AgAAAAA=&#10;" filled="f" strokecolor="black [3213]">
                  <v:textbox>
                    <w:txbxContent>
                      <w:p w14:paraId="54D3EC2A" w14:textId="77777777" w:rsidR="00A67F21" w:rsidRDefault="00000000">
                        <w:pPr>
                          <w:jc w:val="center"/>
                          <w:rPr>
                            <w:sz w:val="21"/>
                            <w:szCs w:val="21"/>
                          </w:rPr>
                        </w:pPr>
                        <w:r>
                          <w:rPr>
                            <w:rFonts w:hint="eastAsia"/>
                            <w:sz w:val="21"/>
                            <w:szCs w:val="21"/>
                          </w:rPr>
                          <w:t>扫描完成后，到留观室留观</w:t>
                        </w:r>
                      </w:p>
                      <w:p w14:paraId="6117DC99" w14:textId="77777777" w:rsidR="00A67F21" w:rsidRDefault="00000000">
                        <w:pPr>
                          <w:jc w:val="center"/>
                          <w:rPr>
                            <w:sz w:val="21"/>
                            <w:szCs w:val="21"/>
                          </w:rPr>
                        </w:pPr>
                        <w:r>
                          <w:rPr>
                            <w:rFonts w:hint="eastAsia"/>
                            <w:sz w:val="21"/>
                            <w:szCs w:val="21"/>
                          </w:rPr>
                          <w:t>由患者出口离开医院</w:t>
                        </w:r>
                      </w:p>
                    </w:txbxContent>
                  </v:textbox>
                </v:rect>
                <v:shapetype id="_x0000_t32" coordsize="21600,21600" o:spt="32" o:oned="t" path="m,l21600,21600e" filled="f">
                  <v:path arrowok="t" fillok="f" o:connecttype="none"/>
                  <o:lock v:ext="edit" shapetype="t"/>
                </v:shapetype>
                <v:shape id="AutoShape 5947" o:spid="_x0000_s1033" type="#_x0000_t32" style="position:absolute;left:15624;top:4667;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jxwgAAANsAAAAPAAAAZHJzL2Rvd25yZXYueG1sRE/Pa8Iw&#10;FL4P/B/CE7zNdBPGqEZxjsHw5OpEvD2aZ1NtXmoS2+6/Xw6DHT++34vVYBvRkQ+1YwVP0wwEcel0&#10;zZWC7/3H4yuIEJE1No5JwQ8FWC1HDwvMtev5i7oiViKFcMhRgYmxzaUMpSGLYepa4sSdnbcYE/SV&#10;1B77FG4b+ZxlL9JizanBYEsbQ+W1uFsFTbftb4f75Wbed92+2BxP5s23Sk3Gw3oOItIQ/8V/7k+t&#10;YJbGpi/pB8jlLwAAAP//AwBQSwECLQAUAAYACAAAACEA2+H2y+4AAACFAQAAEwAAAAAAAAAAAAAA&#10;AAAAAAAAW0NvbnRlbnRfVHlwZXNdLnhtbFBLAQItABQABgAIAAAAIQBa9CxbvwAAABUBAAALAAAA&#10;AAAAAAAAAAAAAB8BAABfcmVscy8ucmVsc1BLAQItABQABgAIAAAAIQCkW8jxwgAAANsAAAAPAAAA&#10;AAAAAAAAAAAAAAcCAABkcnMvZG93bnJldi54bWxQSwUGAAAAAAMAAwC3AAAA9gIAAAAA&#10;" strokecolor="black [3213]">
                  <v:stroke endarrow="block"/>
                </v:shape>
                <v:shape id="AutoShape 5948" o:spid="_x0000_s1034" type="#_x0000_t32" style="position:absolute;left:15622;top:13289;width:0;height:2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1qxQAAANsAAAAPAAAAZHJzL2Rvd25yZXYueG1sRI9BSwMx&#10;FITvQv9DeIXebLYKRdemxVaE0lPdKuLtsXluVjcv2yTd3f77piB4HGbmG2axGmwjOvKhdqxgNs1A&#10;EJdO11wpeD+83j6ACBFZY+OYFJwpwGo5ullgrl3Pb9QVsRIJwiFHBSbGNpcylIYshqlriZP37bzF&#10;mKSvpPbYJ7ht5F2WzaXFmtOCwZY2hsrf4mQVNN2uP36cfo7mZd8dis3nl1n7VqnJeHh+AhFpiP/h&#10;v/ZWK7h/hOuX9APk8gIAAP//AwBQSwECLQAUAAYACAAAACEA2+H2y+4AAACFAQAAEwAAAAAAAAAA&#10;AAAAAAAAAAAAW0NvbnRlbnRfVHlwZXNdLnhtbFBLAQItABQABgAIAAAAIQBa9CxbvwAAABUBAAAL&#10;AAAAAAAAAAAAAAAAAB8BAABfcmVscy8ucmVsc1BLAQItABQABgAIAAAAIQDLF21qxQAAANsAAAAP&#10;AAAAAAAAAAAAAAAAAAcCAABkcnMvZG93bnJldi54bWxQSwUGAAAAAAMAAwC3AAAA+QIAAAAA&#10;" strokecolor="black [3213]">
                  <v:stroke endarrow="block"/>
                </v:shape>
                <v:shape id="AutoShape 5949" o:spid="_x0000_s1035" type="#_x0000_t32" style="position:absolute;left:15622;top:17957;width:0;height:1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GJxQAAANsAAAAPAAAAZHJzL2Rvd25yZXYueG1sRI/NasMw&#10;EITvhbyD2EBvjZwQSnGjhPxQKD01TkvpbbG2lhtr5UiK7bx9FCj0OMzMN8xiNdhGdORD7VjBdJKB&#10;IC6drrlS8HF4eXgCESKyxsYxKbhQgNVydLfAXLue99QVsRIJwiFHBSbGNpcylIYsholriZP347zF&#10;mKSvpPbYJ7ht5CzLHqXFmtOCwZa2hspjcbYKmu6tP32ef09m994diu3Xt9n4Vqn78bB+BhFpiP/h&#10;v/arVjCfw+1L+gFyeQUAAP//AwBQSwECLQAUAAYACAAAACEA2+H2y+4AAACFAQAAEwAAAAAAAAAA&#10;AAAAAAAAAAAAW0NvbnRlbnRfVHlwZXNdLnhtbFBLAQItABQABgAIAAAAIQBa9CxbvwAAABUBAAAL&#10;AAAAAAAAAAAAAAAAAB8BAABfcmVscy8ucmVsc1BLAQItABQABgAIAAAAIQB9ELGJxQAAANsAAAAP&#10;AAAAAAAAAAAAAAAAAAcCAABkcnMvZG93bnJldi54bWxQSwUGAAAAAAMAAwC3AAAA+QIAAAAA&#10;" strokecolor="black [3213]">
                  <v:stroke endarrow="block"/>
                </v:shape>
                <v:shape id="AutoShape 5950" o:spid="_x0000_s1036" type="#_x0000_t32" style="position:absolute;left:15641;top:24442;width:20;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dUxQAAANsAAAAPAAAAZHJzL2Rvd25yZXYueG1sRI9BSwMx&#10;FITvQv9DeIXebLZiRd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4ySdUxQAAANsAAAAP&#10;AAAAAAAAAAAAAAAAAAcCAABkcnMvZG93bnJldi54bWxQSwUGAAAAAAMAAwC3AAAA+QIAAAAA&#10;" strokecolor="black [3213]">
                  <v:stroke endarrow="block"/>
                </v:shape>
                <v:rect id="Rectangle 5951" o:spid="_x0000_s1037" style="position:absolute;left:36544;top:6987;width:18529;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SvkwgAAANsAAAAPAAAAZHJzL2Rvd25yZXYueG1sRI9Ba8JA&#10;FITvQv/D8gq96caComk2IkKgJ7FR8PrIviaL2bchuyaxv75bKHgcZuYbJttNthUD9d44VrBcJCCI&#10;K6cN1wou52K+AeEDssbWMSl4kIdd/jLLMNVu5C8aylCLCGGfooImhC6V0lcNWfQL1xFH79v1FkOU&#10;fS11j2OE21a+J8laWjQcFxrs6NBQdSvvVkE4jeanXMvL5krT9qTt8jiaQqm312n/ASLQFJ7h//an&#10;VrBawd+X+ANk/gsAAP//AwBQSwECLQAUAAYACAAAACEA2+H2y+4AAACFAQAAEwAAAAAAAAAAAAAA&#10;AAAAAAAAW0NvbnRlbnRfVHlwZXNdLnhtbFBLAQItABQABgAIAAAAIQBa9CxbvwAAABUBAAALAAAA&#10;AAAAAAAAAAAAAB8BAABfcmVscy8ucmVsc1BLAQItABQABgAIAAAAIQA19SvkwgAAANsAAAAPAAAA&#10;AAAAAAAAAAAAAAcCAABkcnMvZG93bnJldi54bWxQSwUGAAAAAAMAAwC3AAAA9gIAAAAA&#10;" filled="f" strokeweight=".5pt">
                  <v:stroke dashstyle="dash"/>
                  <v:textbox>
                    <w:txbxContent>
                      <w:p w14:paraId="48E9ED10" w14:textId="77777777" w:rsidR="00A67F21" w:rsidRDefault="00000000">
                        <w:pPr>
                          <w:rPr>
                            <w:sz w:val="21"/>
                            <w:szCs w:val="21"/>
                          </w:rPr>
                        </w:pPr>
                        <w:r>
                          <w:rPr>
                            <w:sz w:val="21"/>
                            <w:szCs w:val="21"/>
                            <w:lang w:val="el-GR"/>
                          </w:rPr>
                          <w:t>γ</w:t>
                        </w:r>
                        <w:r>
                          <w:rPr>
                            <w:rFonts w:hAnsi="宋体" w:hint="eastAsia"/>
                            <w:sz w:val="21"/>
                            <w:szCs w:val="21"/>
                            <w:lang w:val="zh-CN"/>
                          </w:rPr>
                          <w:t>射线、</w:t>
                        </w:r>
                        <w:r>
                          <w:rPr>
                            <w:sz w:val="21"/>
                            <w:szCs w:val="21"/>
                            <w:lang w:val="el-GR"/>
                          </w:rPr>
                          <w:t>β</w:t>
                        </w:r>
                        <w:r>
                          <w:rPr>
                            <w:rFonts w:ascii="宋体" w:hAnsi="宋体" w:hint="eastAsia"/>
                            <w:sz w:val="21"/>
                            <w:szCs w:val="21"/>
                            <w:lang w:val="zh-CN"/>
                          </w:rPr>
                          <w:t>表面污染</w:t>
                        </w:r>
                        <w:r>
                          <w:rPr>
                            <w:rFonts w:hAnsi="宋体" w:hint="eastAsia"/>
                            <w:sz w:val="21"/>
                            <w:szCs w:val="21"/>
                            <w:lang w:val="zh-CN"/>
                          </w:rPr>
                          <w:t>、放射性固废、放射性废气、放射性废水</w:t>
                        </w:r>
                      </w:p>
                    </w:txbxContent>
                  </v:textbox>
                </v:rect>
                <v:rect id="Rectangle 5952" o:spid="_x0000_s1038" style="position:absolute;left:36542;top:16876;width:18529;height:7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JFwgAAANsAAAAPAAAAZHJzL2Rvd25yZXYueG1sRI9fa8Iw&#10;FMXfB/sO4Q72Mma64UqpTUVkgk/CdLDXS3LXFpObkkSt334ZCD4ezp8fp1lOzoozhTh4VvA2K0AQ&#10;a28G7hR8HzavFYiYkA1az6TgShGW7eNDg7XxF/6i8z51Io9wrFFBn9JYSxl1Tw7jzI/E2fv1wWHK&#10;MnTSBLzkcWfle1GU0uHAmdDjSOue9HF/chmiP0+F3drdhq8/ZSrnOrxwpdTz07RagEg0pXv41t4a&#10;BR8l/H/JP0C2fwAAAP//AwBQSwECLQAUAAYACAAAACEA2+H2y+4AAACFAQAAEwAAAAAAAAAAAAAA&#10;AAAAAAAAW0NvbnRlbnRfVHlwZXNdLnhtbFBLAQItABQABgAIAAAAIQBa9CxbvwAAABUBAAALAAAA&#10;AAAAAAAAAAAAAB8BAABfcmVscy8ucmVsc1BLAQItABQABgAIAAAAIQDmKdJFwgAAANsAAAAPAAAA&#10;AAAAAAAAAAAAAAcCAABkcnMvZG93bnJldi54bWxQSwUGAAAAAAMAAwC3AAAA9gIAAAAA&#10;" filled="f">
                  <v:stroke dashstyle="dash"/>
                  <v:textbox>
                    <w:txbxContent>
                      <w:p w14:paraId="7A5488D6" w14:textId="77777777" w:rsidR="00A67F21" w:rsidRDefault="00000000">
                        <w:pPr>
                          <w:rPr>
                            <w:rFonts w:hAnsi="宋体" w:hint="eastAsia"/>
                            <w:color w:val="FF0000"/>
                            <w:sz w:val="21"/>
                            <w:szCs w:val="21"/>
                            <w:lang w:val="zh-CN"/>
                          </w:rPr>
                        </w:pPr>
                        <w:r>
                          <w:rPr>
                            <w:sz w:val="21"/>
                            <w:szCs w:val="21"/>
                            <w:lang w:val="el-GR"/>
                          </w:rPr>
                          <w:t>γ</w:t>
                        </w:r>
                        <w:r>
                          <w:rPr>
                            <w:rFonts w:hAnsi="宋体" w:hint="eastAsia"/>
                            <w:sz w:val="21"/>
                            <w:szCs w:val="21"/>
                            <w:lang w:val="zh-CN"/>
                          </w:rPr>
                          <w:t>射线、</w:t>
                        </w:r>
                        <w:r>
                          <w:rPr>
                            <w:sz w:val="21"/>
                            <w:szCs w:val="21"/>
                            <w:lang w:val="el-GR"/>
                          </w:rPr>
                          <w:t>β</w:t>
                        </w:r>
                        <w:r>
                          <w:rPr>
                            <w:rFonts w:hAnsi="宋体" w:hint="eastAsia"/>
                            <w:sz w:val="21"/>
                            <w:szCs w:val="21"/>
                            <w:lang w:val="zh-CN"/>
                          </w:rPr>
                          <w:t>表面污染、放射性废水、放射性固废、</w:t>
                        </w:r>
                        <w:r>
                          <w:rPr>
                            <w:rFonts w:hAnsi="宋体" w:hint="eastAsia"/>
                            <w:sz w:val="21"/>
                            <w:szCs w:val="21"/>
                            <w:lang w:val="zh-CN"/>
                          </w:rPr>
                          <w:t>X</w:t>
                        </w:r>
                        <w:r>
                          <w:rPr>
                            <w:rFonts w:hAnsi="宋体"/>
                            <w:sz w:val="21"/>
                            <w:szCs w:val="21"/>
                            <w:lang w:val="zh-CN"/>
                          </w:rPr>
                          <w:t>射线</w:t>
                        </w:r>
                        <w:r>
                          <w:rPr>
                            <w:rFonts w:hAnsi="宋体" w:hint="eastAsia"/>
                            <w:sz w:val="21"/>
                            <w:szCs w:val="21"/>
                            <w:lang w:val="zh-CN"/>
                          </w:rPr>
                          <w:t>、臭氧、氮氧化物</w:t>
                        </w:r>
                      </w:p>
                    </w:txbxContent>
                  </v:textbox>
                </v:rect>
                <v:shape id="AutoShape 5954" o:spid="_x0000_s1039" type="#_x0000_t32" style="position:absolute;left:29416;top:9995;width:712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Y4xQAAANsAAAAPAAAAZHJzL2Rvd25yZXYueG1sRI/RasJA&#10;FETfC/7DcgVfSt0oWCV1FREEW6kYmw+4ZK9JaPZu3N2a9O/dQsHHYWbOMMt1bxpxI+drywom4wQE&#10;cWF1zaWC/Gv3sgDhA7LGxjIp+CUP69XgaYmpth1ndDuHUkQI+xQVVCG0qZS+qMigH9uWOHoX6wyG&#10;KF0ptcMuwk0jp0nyKg3WHBcqbGlbUfF9/jEKMpd/dDKfvH8es8v1eMDT7Pl6Umo07DdvIAL14RH+&#10;b++1gtkc/r7EHyBXdwAAAP//AwBQSwECLQAUAAYACAAAACEA2+H2y+4AAACFAQAAEwAAAAAAAAAA&#10;AAAAAAAAAAAAW0NvbnRlbnRfVHlwZXNdLnhtbFBLAQItABQABgAIAAAAIQBa9CxbvwAAABUBAAAL&#10;AAAAAAAAAAAAAAAAAB8BAABfcmVscy8ucmVsc1BLAQItABQABgAIAAAAIQCkiXY4xQAAANsAAAAP&#10;AAAAAAAAAAAAAAAAAAcCAABkcnMvZG93bnJldi54bWxQSwUGAAAAAAMAAwC3AAAA+QIAAAAA&#10;" strokecolor="black [3213]" strokeweight="1pt">
                  <v:stroke dashstyle="dash" endarrow="block"/>
                </v:shape>
                <v:rect id="Rectangle 6074" o:spid="_x0000_s1040" style="position:absolute;left:879;top:14378;width:29432;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svwAAANsAAAAPAAAAZHJzL2Rvd25yZXYueG1sRE9NawIx&#10;EL0X+h/CCL2UmrXURVajFKngqVBb6HVIxt3FZLIkUdd/3zkIPT7e92ozBq8ulHIf2cBsWoEittH1&#10;3Br4+d69LEDlguzQRyYDN8qwWT8+rLBx8cpfdDmUVkkI5wYNdKUMjdbZdhQwT+NALNwxpoBFYGq1&#10;S3iV8OD1a1XVOmDP0tDhQNuO7OlwDlJiP86V3/vPHd9+61K/2fTMC2OeJuP7ElShsfyL7+69MzCX&#10;sfJFfoBe/wEAAP//AwBQSwECLQAUAAYACAAAACEA2+H2y+4AAACFAQAAEwAAAAAAAAAAAAAAAAAA&#10;AAAAW0NvbnRlbnRfVHlwZXNdLnhtbFBLAQItABQABgAIAAAAIQBa9CxbvwAAABUBAAALAAAAAAAA&#10;AAAAAAAAAB8BAABfcmVscy8ucmVsc1BLAQItABQABgAIAAAAIQD4+uOsvwAAANsAAAAPAAAAAAAA&#10;AAAAAAAAAAcCAABkcnMvZG93bnJldi54bWxQSwUGAAAAAAMAAwC3AAAA8wIAAAAA&#10;" filled="f">
                  <v:stroke dashstyle="dash"/>
                </v:rect>
                <v:shape id="AutoShape 6075" o:spid="_x0000_s1041" type="#_x0000_t32" style="position:absolute;left:30311;top:20549;width:6231;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fRxQAAANsAAAAPAAAAZHJzL2Rvd25yZXYueG1sRI/RasJA&#10;FETfC/7DcgVfSt0oWDR1FREEW6kYmw+4ZK9JaPZu3N2a9O/dQsHHYWbOMMt1bxpxI+drywom4wQE&#10;cWF1zaWC/Gv3MgfhA7LGxjIp+CUP69XgaYmpth1ndDuHUkQI+xQVVCG0qZS+qMigH9uWOHoX6wyG&#10;KF0ptcMuwk0jp0nyKg3WHBcqbGlbUfF9/jEKMpd/dDKfvH8es8v1eMDT7Pl6Umo07DdvIAL14RH+&#10;b++1gtkC/r7EHyBXdwAAAP//AwBQSwECLQAUAAYACAAAACEA2+H2y+4AAACFAQAAEwAAAAAAAAAA&#10;AAAAAAAAAAAAW0NvbnRlbnRfVHlwZXNdLnhtbFBLAQItABQABgAIAAAAIQBa9CxbvwAAABUBAAAL&#10;AAAAAAAAAAAAAAAAAB8BAABfcmVscy8ucmVsc1BLAQItABQABgAIAAAAIQC6WkfRxQAAANsAAAAP&#10;AAAAAAAAAAAAAAAAAAcCAABkcnMvZG93bnJldi54bWxQSwUGAAAAAAMAAwC3AAAA+QIAAAAA&#10;" strokecolor="black [3213]" strokeweight="1pt">
                  <v:stroke dashstyle="dash" endarrow="block"/>
                </v:shape>
                <w10:anchorlock/>
              </v:group>
            </w:pict>
          </mc:Fallback>
        </mc:AlternateContent>
      </w:r>
    </w:p>
    <w:p w14:paraId="1B41353A" w14:textId="77777777" w:rsidR="00A67F21" w:rsidRPr="00B12FE0" w:rsidRDefault="00000000">
      <w:pPr>
        <w:adjustRightInd w:val="0"/>
        <w:snapToGrid w:val="0"/>
        <w:spacing w:line="360" w:lineRule="auto"/>
        <w:jc w:val="center"/>
        <w:rPr>
          <w:b/>
          <w:bCs/>
          <w:color w:val="000000" w:themeColor="text1"/>
          <w:sz w:val="21"/>
          <w:szCs w:val="24"/>
        </w:rPr>
      </w:pPr>
      <w:r w:rsidRPr="00B12FE0">
        <w:rPr>
          <w:b/>
          <w:color w:val="000000" w:themeColor="text1"/>
          <w:sz w:val="21"/>
          <w:szCs w:val="24"/>
        </w:rPr>
        <w:t>图</w:t>
      </w:r>
      <w:r w:rsidRPr="00B12FE0">
        <w:rPr>
          <w:b/>
          <w:color w:val="000000" w:themeColor="text1"/>
          <w:sz w:val="21"/>
          <w:szCs w:val="24"/>
        </w:rPr>
        <w:t>9.1.1.3-</w:t>
      </w:r>
      <w:r w:rsidRPr="00B12FE0">
        <w:rPr>
          <w:rFonts w:hint="eastAsia"/>
          <w:b/>
          <w:color w:val="000000" w:themeColor="text1"/>
          <w:sz w:val="21"/>
          <w:szCs w:val="24"/>
        </w:rPr>
        <w:t xml:space="preserve">4  </w:t>
      </w:r>
      <w:r w:rsidRPr="00B12FE0">
        <w:rPr>
          <w:b/>
          <w:bCs/>
          <w:color w:val="000000" w:themeColor="text1"/>
          <w:sz w:val="21"/>
          <w:szCs w:val="21"/>
        </w:rPr>
        <w:t>SPECT/CT</w:t>
      </w:r>
      <w:r w:rsidRPr="00B12FE0">
        <w:rPr>
          <w:rFonts w:hint="eastAsia"/>
          <w:b/>
          <w:bCs/>
          <w:color w:val="000000" w:themeColor="text1"/>
          <w:sz w:val="21"/>
          <w:szCs w:val="21"/>
        </w:rPr>
        <w:t>显像</w:t>
      </w:r>
      <w:r w:rsidRPr="00B12FE0">
        <w:rPr>
          <w:b/>
          <w:color w:val="000000" w:themeColor="text1"/>
          <w:sz w:val="21"/>
          <w:szCs w:val="24"/>
        </w:rPr>
        <w:t>诊断</w:t>
      </w:r>
      <w:r w:rsidRPr="00B12FE0">
        <w:rPr>
          <w:rFonts w:hint="eastAsia"/>
          <w:b/>
          <w:color w:val="000000" w:themeColor="text1"/>
          <w:sz w:val="21"/>
          <w:szCs w:val="24"/>
        </w:rPr>
        <w:t>的</w:t>
      </w:r>
      <w:r w:rsidRPr="00B12FE0">
        <w:rPr>
          <w:b/>
          <w:color w:val="000000" w:themeColor="text1"/>
          <w:sz w:val="21"/>
          <w:szCs w:val="24"/>
        </w:rPr>
        <w:t>工作流程</w:t>
      </w:r>
      <w:proofErr w:type="gramStart"/>
      <w:r w:rsidRPr="00B12FE0">
        <w:rPr>
          <w:rFonts w:hint="eastAsia"/>
          <w:b/>
          <w:color w:val="000000" w:themeColor="text1"/>
          <w:sz w:val="21"/>
          <w:szCs w:val="24"/>
        </w:rPr>
        <w:t>与</w:t>
      </w:r>
      <w:r w:rsidRPr="00B12FE0">
        <w:rPr>
          <w:b/>
          <w:color w:val="000000" w:themeColor="text1"/>
          <w:sz w:val="21"/>
          <w:szCs w:val="24"/>
        </w:rPr>
        <w:t>产污环节</w:t>
      </w:r>
      <w:proofErr w:type="gramEnd"/>
      <w:r w:rsidRPr="00B12FE0">
        <w:rPr>
          <w:b/>
          <w:bCs/>
          <w:color w:val="000000" w:themeColor="text1"/>
          <w:sz w:val="21"/>
          <w:szCs w:val="24"/>
        </w:rPr>
        <w:t>图</w:t>
      </w:r>
    </w:p>
    <w:p w14:paraId="2FA3C4DE" w14:textId="77777777" w:rsidR="00A67F21" w:rsidRPr="00B12FE0" w:rsidRDefault="00000000">
      <w:pPr>
        <w:snapToGrid w:val="0"/>
        <w:spacing w:line="360" w:lineRule="auto"/>
        <w:ind w:firstLineChars="200" w:firstLine="480"/>
        <w:rPr>
          <w:color w:val="000000" w:themeColor="text1"/>
        </w:rPr>
      </w:pPr>
      <w:r w:rsidRPr="00B12FE0">
        <w:rPr>
          <w:rFonts w:hint="eastAsia"/>
          <w:color w:val="000000" w:themeColor="text1"/>
        </w:rPr>
        <w:t>因此，本项目</w:t>
      </w:r>
      <w:r w:rsidRPr="00B12FE0">
        <w:rPr>
          <w:rFonts w:hint="eastAsia"/>
          <w:color w:val="000000" w:themeColor="text1"/>
        </w:rPr>
        <w:t>S</w:t>
      </w:r>
      <w:r w:rsidRPr="00B12FE0">
        <w:rPr>
          <w:color w:val="000000" w:themeColor="text1"/>
        </w:rPr>
        <w:t>PE</w:t>
      </w:r>
      <w:r w:rsidRPr="00B12FE0">
        <w:rPr>
          <w:rFonts w:hint="eastAsia"/>
          <w:color w:val="000000" w:themeColor="text1"/>
        </w:rPr>
        <w:t>C</w:t>
      </w:r>
      <w:r w:rsidRPr="00B12FE0">
        <w:rPr>
          <w:color w:val="000000" w:themeColor="text1"/>
        </w:rPr>
        <w:t>T/CT</w:t>
      </w:r>
      <w:r w:rsidRPr="00B12FE0">
        <w:rPr>
          <w:rFonts w:hint="eastAsia"/>
          <w:color w:val="000000" w:themeColor="text1"/>
        </w:rPr>
        <w:t>使用</w:t>
      </w:r>
      <w:r w:rsidRPr="00B12FE0">
        <w:rPr>
          <w:bCs/>
          <w:color w:val="000000" w:themeColor="text1"/>
          <w:szCs w:val="24"/>
          <w:vertAlign w:val="superscript"/>
        </w:rPr>
        <w:t>99</w:t>
      </w:r>
      <w:r w:rsidRPr="00B12FE0">
        <w:rPr>
          <w:rFonts w:hint="eastAsia"/>
          <w:bCs/>
          <w:color w:val="000000" w:themeColor="text1"/>
          <w:szCs w:val="24"/>
          <w:vertAlign w:val="superscript"/>
        </w:rPr>
        <w:t>m</w:t>
      </w:r>
      <w:r w:rsidRPr="00B12FE0">
        <w:rPr>
          <w:rFonts w:hint="eastAsia"/>
          <w:bCs/>
          <w:color w:val="000000" w:themeColor="text1"/>
          <w:szCs w:val="24"/>
        </w:rPr>
        <w:t>Tc</w:t>
      </w:r>
      <w:r w:rsidRPr="00B12FE0">
        <w:rPr>
          <w:rFonts w:hint="eastAsia"/>
          <w:bCs/>
          <w:color w:val="000000" w:themeColor="text1"/>
          <w:szCs w:val="24"/>
        </w:rPr>
        <w:t>核素进行显像诊断的污染因子为</w:t>
      </w:r>
      <w:r w:rsidRPr="00B12FE0">
        <w:rPr>
          <w:bCs/>
          <w:color w:val="000000" w:themeColor="text1"/>
          <w:szCs w:val="24"/>
        </w:rPr>
        <w:t>γ</w:t>
      </w:r>
      <w:r w:rsidRPr="00B12FE0">
        <w:rPr>
          <w:rFonts w:hint="eastAsia"/>
          <w:bCs/>
          <w:color w:val="000000" w:themeColor="text1"/>
          <w:szCs w:val="24"/>
        </w:rPr>
        <w:t>射线、</w:t>
      </w:r>
      <w:r w:rsidRPr="00B12FE0">
        <w:rPr>
          <w:bCs/>
          <w:color w:val="000000" w:themeColor="text1"/>
          <w:szCs w:val="24"/>
        </w:rPr>
        <w:t>β</w:t>
      </w:r>
      <w:r w:rsidRPr="00B12FE0">
        <w:rPr>
          <w:rFonts w:hint="eastAsia"/>
          <w:bCs/>
          <w:color w:val="000000" w:themeColor="text1"/>
          <w:szCs w:val="24"/>
        </w:rPr>
        <w:t>表面污染、放射性废水、放射性废气、放射性固体废物以及</w:t>
      </w:r>
      <w:r w:rsidRPr="00B12FE0">
        <w:rPr>
          <w:rFonts w:hint="eastAsia"/>
          <w:bCs/>
          <w:color w:val="000000" w:themeColor="text1"/>
          <w:szCs w:val="24"/>
        </w:rPr>
        <w:t>X</w:t>
      </w:r>
      <w:r w:rsidRPr="00B12FE0">
        <w:rPr>
          <w:rFonts w:hint="eastAsia"/>
          <w:bCs/>
          <w:color w:val="000000" w:themeColor="text1"/>
          <w:szCs w:val="24"/>
        </w:rPr>
        <w:t>射线、臭氧、氮氧化物。</w:t>
      </w:r>
    </w:p>
    <w:p w14:paraId="38C44779" w14:textId="77777777" w:rsidR="00A67F21" w:rsidRPr="00B12FE0" w:rsidRDefault="00000000">
      <w:pPr>
        <w:snapToGrid w:val="0"/>
        <w:spacing w:beforeLines="50" w:before="120" w:line="360" w:lineRule="auto"/>
        <w:contextualSpacing/>
        <w:outlineLvl w:val="4"/>
        <w:rPr>
          <w:b/>
          <w:color w:val="000000" w:themeColor="text1"/>
        </w:rPr>
      </w:pPr>
      <w:r w:rsidRPr="00B12FE0">
        <w:rPr>
          <w:b/>
          <w:color w:val="000000" w:themeColor="text1"/>
        </w:rPr>
        <w:t>9.</w:t>
      </w:r>
      <w:r w:rsidRPr="00B12FE0">
        <w:rPr>
          <w:rFonts w:hint="eastAsia"/>
          <w:b/>
          <w:color w:val="000000" w:themeColor="text1"/>
        </w:rPr>
        <w:t xml:space="preserve">1.1.3.3 </w:t>
      </w:r>
      <w:r w:rsidRPr="00B12FE0">
        <w:rPr>
          <w:b/>
          <w:color w:val="000000" w:themeColor="text1"/>
        </w:rPr>
        <w:t>PET/CT</w:t>
      </w:r>
      <w:r w:rsidRPr="00B12FE0">
        <w:rPr>
          <w:rFonts w:hint="eastAsia"/>
          <w:b/>
          <w:color w:val="000000" w:themeColor="text1"/>
        </w:rPr>
        <w:t>诊断项目</w:t>
      </w:r>
    </w:p>
    <w:p w14:paraId="5CF6CA17" w14:textId="77777777" w:rsidR="00A67F21" w:rsidRPr="00B12FE0" w:rsidRDefault="00000000">
      <w:pPr>
        <w:snapToGrid w:val="0"/>
        <w:spacing w:line="360" w:lineRule="auto"/>
        <w:ind w:firstLineChars="200" w:firstLine="480"/>
        <w:rPr>
          <w:bCs/>
          <w:color w:val="000000" w:themeColor="text1"/>
        </w:rPr>
      </w:pPr>
      <w:r w:rsidRPr="00B12FE0">
        <w:rPr>
          <w:rFonts w:hint="eastAsia"/>
          <w:bCs/>
          <w:color w:val="000000" w:themeColor="text1"/>
        </w:rPr>
        <w:t>（</w:t>
      </w:r>
      <w:r w:rsidRPr="00B12FE0">
        <w:rPr>
          <w:rFonts w:hint="eastAsia"/>
          <w:bCs/>
          <w:color w:val="000000" w:themeColor="text1"/>
        </w:rPr>
        <w:t>1</w:t>
      </w:r>
      <w:r w:rsidRPr="00B12FE0">
        <w:rPr>
          <w:rFonts w:hint="eastAsia"/>
          <w:bCs/>
          <w:color w:val="000000" w:themeColor="text1"/>
        </w:rPr>
        <w:t>）</w:t>
      </w:r>
      <w:r w:rsidRPr="00B12FE0">
        <w:rPr>
          <w:rFonts w:hint="eastAsia"/>
          <w:bCs/>
          <w:color w:val="000000" w:themeColor="text1"/>
          <w:szCs w:val="28"/>
        </w:rPr>
        <w:t>设备组成</w:t>
      </w:r>
    </w:p>
    <w:p w14:paraId="02B3CC18" w14:textId="77777777" w:rsidR="00A67F21" w:rsidRPr="00B12FE0" w:rsidRDefault="00000000">
      <w:pPr>
        <w:adjustRightInd w:val="0"/>
        <w:snapToGrid w:val="0"/>
        <w:spacing w:line="360" w:lineRule="auto"/>
        <w:ind w:firstLineChars="200" w:firstLine="480"/>
        <w:rPr>
          <w:bCs/>
          <w:color w:val="000000" w:themeColor="text1"/>
        </w:rPr>
      </w:pPr>
      <w:r w:rsidRPr="00B12FE0">
        <w:rPr>
          <w:bCs/>
          <w:color w:val="000000" w:themeColor="text1"/>
        </w:rPr>
        <w:t>PET</w:t>
      </w:r>
      <w:r w:rsidRPr="00B12FE0">
        <w:rPr>
          <w:bCs/>
          <w:color w:val="000000" w:themeColor="text1"/>
        </w:rPr>
        <w:t>（</w:t>
      </w:r>
      <w:r w:rsidRPr="00B12FE0">
        <w:rPr>
          <w:bCs/>
          <w:color w:val="000000" w:themeColor="text1"/>
        </w:rPr>
        <w:t>Positron</w:t>
      </w:r>
      <w:r w:rsidRPr="00B12FE0">
        <w:rPr>
          <w:rFonts w:hint="eastAsia"/>
          <w:bCs/>
          <w:color w:val="000000" w:themeColor="text1"/>
        </w:rPr>
        <w:t xml:space="preserve"> </w:t>
      </w:r>
      <w:r w:rsidRPr="00B12FE0">
        <w:rPr>
          <w:bCs/>
          <w:color w:val="000000" w:themeColor="text1"/>
        </w:rPr>
        <w:t>Emission</w:t>
      </w:r>
      <w:r w:rsidRPr="00B12FE0">
        <w:rPr>
          <w:rFonts w:hint="eastAsia"/>
          <w:bCs/>
          <w:color w:val="000000" w:themeColor="text1"/>
        </w:rPr>
        <w:t xml:space="preserve"> </w:t>
      </w:r>
      <w:r w:rsidRPr="00B12FE0">
        <w:rPr>
          <w:bCs/>
          <w:color w:val="000000" w:themeColor="text1"/>
        </w:rPr>
        <w:t>Tomography</w:t>
      </w:r>
      <w:r w:rsidRPr="00B12FE0">
        <w:rPr>
          <w:bCs/>
          <w:color w:val="000000" w:themeColor="text1"/>
        </w:rPr>
        <w:t>，正电子发射断层扫描）的工作原理是通过正电子核素或其标记的示踪剂，示踪人体内特定生物物质的生物活动，采用多层、环形排列于发射体周围的探头，由体外探测正电子示踪剂湮灭辐射所产生的光子，然后将获得的信息，通过计算机处理，以解剖影像的形式及其相应的生理参数，显示靶器官或病变组织的状况，</w:t>
      </w:r>
      <w:r w:rsidRPr="00B12FE0">
        <w:rPr>
          <w:rFonts w:hint="eastAsia"/>
          <w:bCs/>
          <w:color w:val="000000" w:themeColor="text1"/>
        </w:rPr>
        <w:t>借此诊断</w:t>
      </w:r>
      <w:r w:rsidRPr="00B12FE0">
        <w:rPr>
          <w:bCs/>
          <w:color w:val="000000" w:themeColor="text1"/>
        </w:rPr>
        <w:t>疾病，又称为生化显像或功能因子显像，是目前唯一可以在活体分子水平完成生物学显示的影像技术。</w:t>
      </w:r>
      <w:r w:rsidRPr="00B12FE0">
        <w:rPr>
          <w:rFonts w:hint="eastAsia"/>
          <w:bCs/>
          <w:color w:val="000000" w:themeColor="text1"/>
        </w:rPr>
        <w:t>PET</w:t>
      </w:r>
      <w:r w:rsidRPr="00B12FE0">
        <w:rPr>
          <w:rFonts w:hint="eastAsia"/>
          <w:bCs/>
          <w:color w:val="000000" w:themeColor="text1"/>
        </w:rPr>
        <w:t>的主要部件包括机架、环形探测器、符合电路、检查床及工作站等。探测系统是整个正电子发射显像系统中的主要部分，它采用的块状探测结构有利于消除散射、提高计数率。许多块结构组成一个环，再由数十个</w:t>
      </w:r>
      <w:proofErr w:type="gramStart"/>
      <w:r w:rsidRPr="00B12FE0">
        <w:rPr>
          <w:rFonts w:hint="eastAsia"/>
          <w:bCs/>
          <w:color w:val="000000" w:themeColor="text1"/>
        </w:rPr>
        <w:t>环构成</w:t>
      </w:r>
      <w:proofErr w:type="gramEnd"/>
      <w:r w:rsidRPr="00B12FE0">
        <w:rPr>
          <w:rFonts w:hint="eastAsia"/>
          <w:bCs/>
          <w:color w:val="000000" w:themeColor="text1"/>
        </w:rPr>
        <w:t>整个探测器。</w:t>
      </w:r>
    </w:p>
    <w:p w14:paraId="46A9723C" w14:textId="77777777" w:rsidR="00A67F21" w:rsidRPr="00B12FE0" w:rsidRDefault="00000000">
      <w:pPr>
        <w:adjustRightInd w:val="0"/>
        <w:snapToGrid w:val="0"/>
        <w:spacing w:line="360" w:lineRule="auto"/>
        <w:ind w:firstLineChars="200" w:firstLine="480"/>
        <w:rPr>
          <w:color w:val="000000" w:themeColor="text1"/>
        </w:rPr>
      </w:pPr>
      <w:r w:rsidRPr="00B12FE0">
        <w:rPr>
          <w:bCs/>
          <w:color w:val="000000" w:themeColor="text1"/>
        </w:rPr>
        <w:t>PET/CT</w:t>
      </w:r>
      <w:r w:rsidRPr="00B12FE0">
        <w:rPr>
          <w:bCs/>
          <w:color w:val="000000" w:themeColor="text1"/>
        </w:rPr>
        <w:t>是将</w:t>
      </w:r>
      <w:r w:rsidRPr="00B12FE0">
        <w:rPr>
          <w:bCs/>
          <w:color w:val="000000" w:themeColor="text1"/>
        </w:rPr>
        <w:t>PET</w:t>
      </w:r>
      <w:r w:rsidRPr="00B12FE0">
        <w:rPr>
          <w:bCs/>
          <w:color w:val="000000" w:themeColor="text1"/>
        </w:rPr>
        <w:t>和</w:t>
      </w:r>
      <w:r w:rsidRPr="00B12FE0">
        <w:rPr>
          <w:bCs/>
          <w:color w:val="000000" w:themeColor="text1"/>
        </w:rPr>
        <w:t>X</w:t>
      </w:r>
      <w:r w:rsidRPr="00B12FE0">
        <w:rPr>
          <w:bCs/>
          <w:color w:val="000000" w:themeColor="text1"/>
        </w:rPr>
        <w:t>线计算机断层扫描（</w:t>
      </w:r>
      <w:r w:rsidRPr="00B12FE0">
        <w:rPr>
          <w:bCs/>
          <w:color w:val="000000" w:themeColor="text1"/>
        </w:rPr>
        <w:t>Computer</w:t>
      </w:r>
      <w:r w:rsidRPr="00B12FE0">
        <w:rPr>
          <w:rFonts w:hint="eastAsia"/>
          <w:bCs/>
          <w:color w:val="000000" w:themeColor="text1"/>
        </w:rPr>
        <w:t xml:space="preserve"> </w:t>
      </w:r>
      <w:r w:rsidRPr="00B12FE0">
        <w:rPr>
          <w:bCs/>
          <w:color w:val="000000" w:themeColor="text1"/>
        </w:rPr>
        <w:t>Tomography</w:t>
      </w:r>
      <w:r w:rsidRPr="00B12FE0">
        <w:rPr>
          <w:bCs/>
          <w:color w:val="000000" w:themeColor="text1"/>
        </w:rPr>
        <w:t>，</w:t>
      </w:r>
      <w:r w:rsidRPr="00B12FE0">
        <w:rPr>
          <w:bCs/>
          <w:color w:val="000000" w:themeColor="text1"/>
        </w:rPr>
        <w:t>CT</w:t>
      </w:r>
      <w:r w:rsidRPr="00B12FE0">
        <w:rPr>
          <w:bCs/>
          <w:color w:val="000000" w:themeColor="text1"/>
        </w:rPr>
        <w:t>）组合而成的多模式成像系统，是目前全球最高端的医学影像设备，同时也是一种可以在分子水平成像的影像技术。</w:t>
      </w:r>
      <w:r w:rsidRPr="00B12FE0">
        <w:rPr>
          <w:bCs/>
          <w:color w:val="000000" w:themeColor="text1"/>
        </w:rPr>
        <w:t>PET/CT</w:t>
      </w:r>
      <w:r w:rsidRPr="00B12FE0">
        <w:rPr>
          <w:bCs/>
          <w:color w:val="000000" w:themeColor="text1"/>
        </w:rPr>
        <w:t>将</w:t>
      </w:r>
      <w:r w:rsidRPr="00B12FE0">
        <w:rPr>
          <w:bCs/>
          <w:color w:val="000000" w:themeColor="text1"/>
        </w:rPr>
        <w:t>PET</w:t>
      </w:r>
      <w:r w:rsidRPr="00B12FE0">
        <w:rPr>
          <w:bCs/>
          <w:color w:val="000000" w:themeColor="text1"/>
        </w:rPr>
        <w:t>与</w:t>
      </w:r>
      <w:r w:rsidRPr="00B12FE0">
        <w:rPr>
          <w:bCs/>
          <w:color w:val="000000" w:themeColor="text1"/>
        </w:rPr>
        <w:t>CT</w:t>
      </w:r>
      <w:r w:rsidRPr="00B12FE0">
        <w:rPr>
          <w:bCs/>
          <w:color w:val="000000" w:themeColor="text1"/>
        </w:rPr>
        <w:t>融为一体，使两种成像技术优势互补，</w:t>
      </w:r>
      <w:r w:rsidRPr="00B12FE0">
        <w:rPr>
          <w:bCs/>
          <w:color w:val="000000" w:themeColor="text1"/>
        </w:rPr>
        <w:t>PET</w:t>
      </w:r>
      <w:r w:rsidRPr="00B12FE0">
        <w:rPr>
          <w:bCs/>
          <w:color w:val="000000" w:themeColor="text1"/>
        </w:rPr>
        <w:t>图像提供功能和代谢等分子信息，</w:t>
      </w:r>
      <w:r w:rsidRPr="00B12FE0">
        <w:rPr>
          <w:bCs/>
          <w:color w:val="000000" w:themeColor="text1"/>
        </w:rPr>
        <w:t>CT</w:t>
      </w:r>
      <w:r w:rsidRPr="00B12FE0">
        <w:rPr>
          <w:bCs/>
          <w:color w:val="000000" w:themeColor="text1"/>
        </w:rPr>
        <w:t>提供精细的解剖和病理信息，通过融合技术，一次诊断即可获得疾病的病理生理变化和形态学改变。</w:t>
      </w:r>
      <w:r w:rsidRPr="00B12FE0">
        <w:rPr>
          <w:rFonts w:hint="eastAsia"/>
          <w:bCs/>
          <w:color w:val="000000" w:themeColor="text1"/>
        </w:rPr>
        <w:t>CT</w:t>
      </w:r>
      <w:r w:rsidRPr="00B12FE0">
        <w:rPr>
          <w:rFonts w:hint="eastAsia"/>
          <w:bCs/>
          <w:color w:val="000000" w:themeColor="text1"/>
        </w:rPr>
        <w:t>主要由扫描部分、计算机系统、</w:t>
      </w:r>
      <w:r w:rsidRPr="00B12FE0">
        <w:rPr>
          <w:rFonts w:hint="eastAsia"/>
          <w:bCs/>
          <w:color w:val="000000" w:themeColor="text1"/>
        </w:rPr>
        <w:lastRenderedPageBreak/>
        <w:t>图像显示和存储系统组成，其中扫描部分由</w:t>
      </w:r>
      <w:r w:rsidRPr="00B12FE0">
        <w:rPr>
          <w:rFonts w:hint="eastAsia"/>
          <w:bCs/>
          <w:color w:val="000000" w:themeColor="text1"/>
        </w:rPr>
        <w:t>X</w:t>
      </w:r>
      <w:r w:rsidRPr="00B12FE0">
        <w:rPr>
          <w:rFonts w:hint="eastAsia"/>
          <w:bCs/>
          <w:color w:val="000000" w:themeColor="text1"/>
        </w:rPr>
        <w:t>线管、探测器和扫描架组成。</w:t>
      </w:r>
    </w:p>
    <w:p w14:paraId="6D904682" w14:textId="77777777" w:rsidR="00A67F21" w:rsidRPr="00B12FE0" w:rsidRDefault="00000000">
      <w:pPr>
        <w:spacing w:line="360" w:lineRule="auto"/>
        <w:ind w:firstLineChars="200" w:firstLine="480"/>
        <w:rPr>
          <w:color w:val="000000" w:themeColor="text1"/>
        </w:rPr>
      </w:pPr>
      <w:r w:rsidRPr="00B12FE0">
        <w:rPr>
          <w:rFonts w:hint="eastAsia"/>
          <w:bCs/>
          <w:color w:val="000000" w:themeColor="text1"/>
        </w:rPr>
        <w:t>（</w:t>
      </w:r>
      <w:r w:rsidRPr="00B12FE0">
        <w:rPr>
          <w:rFonts w:hint="eastAsia"/>
          <w:bCs/>
          <w:color w:val="000000" w:themeColor="text1"/>
        </w:rPr>
        <w:t>2</w:t>
      </w:r>
      <w:r w:rsidRPr="00B12FE0">
        <w:rPr>
          <w:rFonts w:hint="eastAsia"/>
          <w:bCs/>
          <w:color w:val="000000" w:themeColor="text1"/>
        </w:rPr>
        <w:t>）</w:t>
      </w:r>
      <w:r w:rsidRPr="00B12FE0">
        <w:rPr>
          <w:rFonts w:hint="eastAsia"/>
          <w:color w:val="000000" w:themeColor="text1"/>
        </w:rPr>
        <w:t>工作原理</w:t>
      </w:r>
    </w:p>
    <w:p w14:paraId="52EDCA7C" w14:textId="77777777" w:rsidR="00A67F21" w:rsidRPr="00B12FE0" w:rsidRDefault="00000000">
      <w:pPr>
        <w:adjustRightInd w:val="0"/>
        <w:snapToGrid w:val="0"/>
        <w:spacing w:line="360" w:lineRule="auto"/>
        <w:ind w:firstLineChars="200" w:firstLine="480"/>
        <w:rPr>
          <w:bCs/>
          <w:color w:val="000000" w:themeColor="text1"/>
        </w:rPr>
      </w:pPr>
      <w:r w:rsidRPr="00B12FE0">
        <w:rPr>
          <w:bCs/>
          <w:color w:val="000000" w:themeColor="text1"/>
        </w:rPr>
        <w:t>PET/CT</w:t>
      </w:r>
      <w:r w:rsidRPr="00B12FE0">
        <w:rPr>
          <w:bCs/>
          <w:color w:val="000000" w:themeColor="text1"/>
        </w:rPr>
        <w:t>的工作原理是通过正电子核素或其标记的示踪剂，示踪人体内特定生物物质的生物活动，采用多层、环形排列于发射体周围的探头，由体外探测正电子示踪剂湮灭辐射所产生的光子，然后将获得的信息，通过计算机处理，以解剖影像的形式及其相应的生理参数，显示靶器官或病变组织的状况，</w:t>
      </w:r>
      <w:r w:rsidRPr="00B12FE0">
        <w:rPr>
          <w:rFonts w:hint="eastAsia"/>
          <w:bCs/>
          <w:color w:val="000000" w:themeColor="text1"/>
        </w:rPr>
        <w:t>借此诊断</w:t>
      </w:r>
      <w:r w:rsidRPr="00B12FE0">
        <w:rPr>
          <w:bCs/>
          <w:color w:val="000000" w:themeColor="text1"/>
        </w:rPr>
        <w:t>疾病，又称为生化显像或功能因子显像，是目前唯一可以在活体分子水平完成生物学显示的影像技术。</w:t>
      </w:r>
    </w:p>
    <w:p w14:paraId="077DC833"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w:t>
      </w:r>
      <w:r w:rsidRPr="00B12FE0">
        <w:rPr>
          <w:color w:val="000000" w:themeColor="text1"/>
        </w:rPr>
        <w:t>3</w:t>
      </w:r>
      <w:r w:rsidRPr="00B12FE0">
        <w:rPr>
          <w:color w:val="000000" w:themeColor="text1"/>
        </w:rPr>
        <w:t>）诊疗规划</w:t>
      </w:r>
    </w:p>
    <w:p w14:paraId="7F75F523" w14:textId="77777777" w:rsidR="00A67F21" w:rsidRPr="00B12FE0" w:rsidRDefault="00000000">
      <w:pPr>
        <w:adjustRightInd w:val="0"/>
        <w:snapToGrid w:val="0"/>
        <w:spacing w:line="360" w:lineRule="auto"/>
        <w:ind w:firstLineChars="200" w:firstLine="480"/>
        <w:rPr>
          <w:color w:val="000000" w:themeColor="text1"/>
        </w:rPr>
      </w:pPr>
      <w:r w:rsidRPr="00B12FE0">
        <w:rPr>
          <w:bCs/>
          <w:color w:val="000000" w:themeColor="text1"/>
        </w:rPr>
        <w:t>PET</w:t>
      </w:r>
      <w:r w:rsidRPr="00B12FE0">
        <w:rPr>
          <w:bCs/>
          <w:color w:val="000000" w:themeColor="text1"/>
        </w:rPr>
        <w:t>诊断项目正式开展后，使用</w:t>
      </w:r>
      <w:r w:rsidRPr="00B12FE0">
        <w:rPr>
          <w:bCs/>
          <w:color w:val="000000" w:themeColor="text1"/>
        </w:rPr>
        <w:t>1</w:t>
      </w:r>
      <w:r w:rsidRPr="00B12FE0">
        <w:rPr>
          <w:bCs/>
          <w:color w:val="000000" w:themeColor="text1"/>
        </w:rPr>
        <w:t>台</w:t>
      </w:r>
      <w:r w:rsidRPr="00B12FE0">
        <w:rPr>
          <w:bCs/>
          <w:color w:val="000000" w:themeColor="text1"/>
        </w:rPr>
        <w:t>PET/CT</w:t>
      </w:r>
      <w:r w:rsidRPr="00B12FE0">
        <w:rPr>
          <w:bCs/>
          <w:color w:val="000000" w:themeColor="text1"/>
        </w:rPr>
        <w:t>开展工作，每年工作</w:t>
      </w:r>
      <w:r w:rsidRPr="00B12FE0">
        <w:rPr>
          <w:bCs/>
          <w:color w:val="000000" w:themeColor="text1"/>
        </w:rPr>
        <w:t>250</w:t>
      </w:r>
      <w:r w:rsidRPr="00B12FE0">
        <w:rPr>
          <w:bCs/>
          <w:color w:val="000000" w:themeColor="text1"/>
        </w:rPr>
        <w:t>天，</w:t>
      </w:r>
      <w:r w:rsidRPr="00B12FE0">
        <w:rPr>
          <w:rFonts w:hint="eastAsia"/>
          <w:bCs/>
          <w:color w:val="000000" w:themeColor="text1"/>
        </w:rPr>
        <w:t>每天</w:t>
      </w:r>
      <w:r w:rsidRPr="00B12FE0">
        <w:rPr>
          <w:rFonts w:hint="eastAsia"/>
          <w:bCs/>
          <w:color w:val="000000" w:themeColor="text1"/>
        </w:rPr>
        <w:t>40</w:t>
      </w:r>
      <w:r w:rsidRPr="00B12FE0">
        <w:rPr>
          <w:rFonts w:hint="eastAsia"/>
          <w:bCs/>
          <w:color w:val="000000" w:themeColor="text1"/>
        </w:rPr>
        <w:t>人，</w:t>
      </w:r>
      <w:r w:rsidRPr="00B12FE0">
        <w:rPr>
          <w:bCs/>
          <w:color w:val="000000" w:themeColor="text1"/>
        </w:rPr>
        <w:t>每周工作</w:t>
      </w:r>
      <w:r w:rsidRPr="00B12FE0">
        <w:rPr>
          <w:bCs/>
          <w:color w:val="000000" w:themeColor="text1"/>
        </w:rPr>
        <w:t>5</w:t>
      </w:r>
      <w:r w:rsidRPr="00B12FE0">
        <w:rPr>
          <w:bCs/>
          <w:color w:val="000000" w:themeColor="text1"/>
        </w:rPr>
        <w:t>天，每天工作</w:t>
      </w:r>
      <w:r w:rsidRPr="00B12FE0">
        <w:rPr>
          <w:bCs/>
          <w:color w:val="000000" w:themeColor="text1"/>
        </w:rPr>
        <w:t>8h</w:t>
      </w:r>
      <w:r w:rsidRPr="00B12FE0">
        <w:rPr>
          <w:color w:val="000000" w:themeColor="text1"/>
          <w:szCs w:val="24"/>
        </w:rPr>
        <w:t>，年</w:t>
      </w:r>
      <w:r w:rsidRPr="00B12FE0">
        <w:rPr>
          <w:rFonts w:hint="eastAsia"/>
          <w:color w:val="000000" w:themeColor="text1"/>
          <w:szCs w:val="24"/>
        </w:rPr>
        <w:t>治疗</w:t>
      </w:r>
      <w:r w:rsidRPr="00B12FE0">
        <w:rPr>
          <w:color w:val="000000" w:themeColor="text1"/>
          <w:szCs w:val="24"/>
        </w:rPr>
        <w:t>患者</w:t>
      </w:r>
      <w:r w:rsidRPr="00B12FE0">
        <w:rPr>
          <w:rFonts w:hint="eastAsia"/>
          <w:color w:val="000000" w:themeColor="text1"/>
          <w:szCs w:val="24"/>
        </w:rPr>
        <w:t>10</w:t>
      </w:r>
      <w:r w:rsidRPr="00B12FE0">
        <w:rPr>
          <w:color w:val="000000" w:themeColor="text1"/>
          <w:szCs w:val="24"/>
        </w:rPr>
        <w:t>00</w:t>
      </w:r>
      <w:r w:rsidRPr="00B12FE0">
        <w:rPr>
          <w:rFonts w:hint="eastAsia"/>
          <w:color w:val="000000" w:themeColor="text1"/>
          <w:szCs w:val="24"/>
        </w:rPr>
        <w:t>0</w:t>
      </w:r>
      <w:r w:rsidRPr="00B12FE0">
        <w:rPr>
          <w:color w:val="000000" w:themeColor="text1"/>
          <w:szCs w:val="24"/>
        </w:rPr>
        <w:t>人。</w:t>
      </w:r>
      <w:r w:rsidRPr="00B12FE0">
        <w:rPr>
          <w:bCs/>
          <w:color w:val="000000" w:themeColor="text1"/>
        </w:rPr>
        <w:t>1</w:t>
      </w:r>
      <w:r w:rsidRPr="00B12FE0">
        <w:rPr>
          <w:bCs/>
          <w:color w:val="000000" w:themeColor="text1"/>
        </w:rPr>
        <w:t>台</w:t>
      </w:r>
      <w:r w:rsidRPr="00B12FE0">
        <w:rPr>
          <w:bCs/>
          <w:color w:val="000000" w:themeColor="text1"/>
        </w:rPr>
        <w:t>PET/CT</w:t>
      </w:r>
      <w:r w:rsidRPr="00B12FE0">
        <w:rPr>
          <w:bCs/>
          <w:color w:val="000000" w:themeColor="text1"/>
        </w:rPr>
        <w:t>共规划使用</w:t>
      </w:r>
      <w:r w:rsidRPr="00B12FE0">
        <w:rPr>
          <w:rFonts w:hint="eastAsia"/>
          <w:bCs/>
          <w:color w:val="000000" w:themeColor="text1"/>
        </w:rPr>
        <w:t>1</w:t>
      </w:r>
      <w:r w:rsidRPr="00B12FE0">
        <w:rPr>
          <w:bCs/>
          <w:color w:val="000000" w:themeColor="text1"/>
        </w:rPr>
        <w:t>种</w:t>
      </w:r>
      <w:r w:rsidRPr="00B12FE0">
        <w:rPr>
          <w:bCs/>
          <w:color w:val="000000" w:themeColor="text1"/>
          <w:kern w:val="0"/>
        </w:rPr>
        <w:t>核</w:t>
      </w:r>
      <w:r w:rsidRPr="00B12FE0">
        <w:rPr>
          <w:bCs/>
          <w:color w:val="000000" w:themeColor="text1"/>
          <w:szCs w:val="24"/>
          <w:vertAlign w:val="superscript"/>
        </w:rPr>
        <w:t>18</w:t>
      </w:r>
      <w:r w:rsidRPr="00B12FE0">
        <w:rPr>
          <w:bCs/>
          <w:color w:val="000000" w:themeColor="text1"/>
          <w:szCs w:val="24"/>
        </w:rPr>
        <w:t>F</w:t>
      </w:r>
      <w:r w:rsidRPr="00B12FE0">
        <w:rPr>
          <w:bCs/>
          <w:color w:val="000000" w:themeColor="text1"/>
          <w:kern w:val="0"/>
        </w:rPr>
        <w:t>进行显像诊断</w:t>
      </w:r>
      <w:r w:rsidRPr="00B12FE0">
        <w:rPr>
          <w:bCs/>
          <w:color w:val="000000" w:themeColor="text1"/>
        </w:rPr>
        <w:t>。</w:t>
      </w:r>
    </w:p>
    <w:p w14:paraId="6B4A2AC9" w14:textId="77777777" w:rsidR="00A67F21" w:rsidRPr="00B12FE0" w:rsidRDefault="00000000">
      <w:pPr>
        <w:adjustRightInd w:val="0"/>
        <w:snapToGrid w:val="0"/>
        <w:jc w:val="center"/>
        <w:rPr>
          <w:bCs/>
          <w:color w:val="000000" w:themeColor="text1"/>
          <w:sz w:val="21"/>
          <w:szCs w:val="21"/>
        </w:rPr>
      </w:pPr>
      <w:r w:rsidRPr="00B12FE0">
        <w:rPr>
          <w:b/>
          <w:bCs/>
          <w:color w:val="000000" w:themeColor="text1"/>
          <w:sz w:val="21"/>
          <w:szCs w:val="21"/>
        </w:rPr>
        <w:t>表</w:t>
      </w:r>
      <w:r w:rsidRPr="00B12FE0">
        <w:rPr>
          <w:b/>
          <w:bCs/>
          <w:color w:val="000000" w:themeColor="text1"/>
          <w:sz w:val="21"/>
          <w:szCs w:val="21"/>
        </w:rPr>
        <w:t>9.1.1.3-2  PET</w:t>
      </w:r>
      <w:r w:rsidRPr="00B12FE0">
        <w:rPr>
          <w:b/>
          <w:bCs/>
          <w:color w:val="000000" w:themeColor="text1"/>
          <w:sz w:val="21"/>
          <w:szCs w:val="21"/>
        </w:rPr>
        <w:t>诊断项目诊疗规划</w:t>
      </w:r>
    </w:p>
    <w:tbl>
      <w:tblPr>
        <w:tblStyle w:val="affff"/>
        <w:tblW w:w="4900" w:type="pct"/>
        <w:jc w:val="center"/>
        <w:tblLook w:val="04A0" w:firstRow="1" w:lastRow="0" w:firstColumn="1" w:lastColumn="0" w:noHBand="0" w:noVBand="1"/>
      </w:tblPr>
      <w:tblGrid>
        <w:gridCol w:w="1127"/>
        <w:gridCol w:w="1127"/>
        <w:gridCol w:w="1776"/>
        <w:gridCol w:w="1941"/>
        <w:gridCol w:w="1113"/>
        <w:gridCol w:w="1753"/>
      </w:tblGrid>
      <w:tr w:rsidR="00A67F21" w:rsidRPr="00B12FE0" w14:paraId="2BBDE152" w14:textId="77777777">
        <w:trPr>
          <w:trHeight w:val="454"/>
          <w:jc w:val="center"/>
        </w:trPr>
        <w:tc>
          <w:tcPr>
            <w:tcW w:w="637" w:type="pct"/>
            <w:vAlign w:val="center"/>
          </w:tcPr>
          <w:p w14:paraId="17585097"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诊疗项目</w:t>
            </w:r>
          </w:p>
        </w:tc>
        <w:tc>
          <w:tcPr>
            <w:tcW w:w="637" w:type="pct"/>
            <w:vAlign w:val="center"/>
          </w:tcPr>
          <w:p w14:paraId="3218762A"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诊断核素</w:t>
            </w:r>
          </w:p>
        </w:tc>
        <w:tc>
          <w:tcPr>
            <w:tcW w:w="1005" w:type="pct"/>
            <w:vAlign w:val="center"/>
          </w:tcPr>
          <w:p w14:paraId="6F7A03C5"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患者数量</w:t>
            </w:r>
          </w:p>
        </w:tc>
        <w:tc>
          <w:tcPr>
            <w:tcW w:w="1098" w:type="pct"/>
            <w:vAlign w:val="center"/>
          </w:tcPr>
          <w:p w14:paraId="36EF869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核素用量</w:t>
            </w:r>
          </w:p>
        </w:tc>
        <w:tc>
          <w:tcPr>
            <w:tcW w:w="630" w:type="pct"/>
            <w:vAlign w:val="center"/>
          </w:tcPr>
          <w:p w14:paraId="1E0B2999"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给药</w:t>
            </w:r>
            <w:r w:rsidRPr="00B12FE0">
              <w:rPr>
                <w:rFonts w:hint="eastAsia"/>
                <w:bCs/>
                <w:color w:val="000000" w:themeColor="text1"/>
                <w:sz w:val="21"/>
                <w:szCs w:val="21"/>
              </w:rPr>
              <w:t>方式</w:t>
            </w:r>
          </w:p>
        </w:tc>
        <w:tc>
          <w:tcPr>
            <w:tcW w:w="992" w:type="pct"/>
            <w:vAlign w:val="center"/>
          </w:tcPr>
          <w:p w14:paraId="2D4784C9"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来源</w:t>
            </w:r>
          </w:p>
        </w:tc>
      </w:tr>
      <w:tr w:rsidR="00A67F21" w:rsidRPr="00B12FE0" w14:paraId="04F01DEC" w14:textId="77777777">
        <w:trPr>
          <w:trHeight w:val="454"/>
          <w:jc w:val="center"/>
        </w:trPr>
        <w:tc>
          <w:tcPr>
            <w:tcW w:w="637" w:type="pct"/>
            <w:vAlign w:val="center"/>
          </w:tcPr>
          <w:p w14:paraId="2E79D98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PET</w:t>
            </w:r>
            <w:r w:rsidRPr="00B12FE0">
              <w:rPr>
                <w:rFonts w:hint="eastAsia"/>
                <w:color w:val="000000" w:themeColor="text1"/>
                <w:sz w:val="21"/>
                <w:szCs w:val="21"/>
              </w:rPr>
              <w:t>显像诊断</w:t>
            </w:r>
          </w:p>
        </w:tc>
        <w:tc>
          <w:tcPr>
            <w:tcW w:w="637" w:type="pct"/>
            <w:vAlign w:val="center"/>
          </w:tcPr>
          <w:p w14:paraId="139A3E73"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Cs w:val="24"/>
                <w:vertAlign w:val="superscript"/>
              </w:rPr>
              <w:t>18</w:t>
            </w:r>
            <w:r w:rsidRPr="00B12FE0">
              <w:rPr>
                <w:bCs/>
                <w:color w:val="000000" w:themeColor="text1"/>
                <w:szCs w:val="24"/>
              </w:rPr>
              <w:t>F</w:t>
            </w:r>
          </w:p>
        </w:tc>
        <w:tc>
          <w:tcPr>
            <w:tcW w:w="1005" w:type="pct"/>
            <w:vAlign w:val="center"/>
          </w:tcPr>
          <w:p w14:paraId="1F5A7CAC"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40</w:t>
            </w:r>
            <w:r w:rsidRPr="00B12FE0">
              <w:rPr>
                <w:bCs/>
                <w:color w:val="000000" w:themeColor="text1"/>
                <w:sz w:val="21"/>
                <w:szCs w:val="21"/>
              </w:rPr>
              <w:t>人</w:t>
            </w:r>
            <w:r w:rsidRPr="00B12FE0">
              <w:rPr>
                <w:bCs/>
                <w:color w:val="000000" w:themeColor="text1"/>
                <w:sz w:val="21"/>
                <w:szCs w:val="21"/>
              </w:rPr>
              <w:t>/</w:t>
            </w:r>
            <w:r w:rsidRPr="00B12FE0">
              <w:rPr>
                <w:bCs/>
                <w:color w:val="000000" w:themeColor="text1"/>
                <w:sz w:val="21"/>
                <w:szCs w:val="21"/>
              </w:rPr>
              <w:t>天</w:t>
            </w:r>
          </w:p>
        </w:tc>
        <w:tc>
          <w:tcPr>
            <w:tcW w:w="1098" w:type="pct"/>
            <w:vAlign w:val="center"/>
          </w:tcPr>
          <w:p w14:paraId="6D6DA37B"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sz w:val="21"/>
                <w:szCs w:val="21"/>
              </w:rPr>
              <w:t>3.7E+08</w:t>
            </w:r>
            <w:r w:rsidRPr="00B12FE0">
              <w:rPr>
                <w:color w:val="000000" w:themeColor="text1"/>
                <w:sz w:val="21"/>
                <w:szCs w:val="21"/>
              </w:rPr>
              <w:t>Bq/</w:t>
            </w:r>
            <w:r w:rsidRPr="00B12FE0">
              <w:rPr>
                <w:color w:val="000000" w:themeColor="text1"/>
                <w:sz w:val="21"/>
                <w:szCs w:val="21"/>
              </w:rPr>
              <w:t>人</w:t>
            </w:r>
          </w:p>
        </w:tc>
        <w:tc>
          <w:tcPr>
            <w:tcW w:w="630" w:type="pct"/>
            <w:vAlign w:val="center"/>
          </w:tcPr>
          <w:p w14:paraId="22258D16"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静脉注射</w:t>
            </w:r>
          </w:p>
        </w:tc>
        <w:tc>
          <w:tcPr>
            <w:tcW w:w="992" w:type="pct"/>
            <w:vAlign w:val="center"/>
          </w:tcPr>
          <w:p w14:paraId="15A251F2"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医院回旋加速器</w:t>
            </w:r>
          </w:p>
          <w:p w14:paraId="0F2E794C"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自行生产</w:t>
            </w:r>
          </w:p>
        </w:tc>
      </w:tr>
    </w:tbl>
    <w:p w14:paraId="0AB89AE3" w14:textId="77777777" w:rsidR="00A67F21" w:rsidRPr="00B12FE0" w:rsidRDefault="00000000">
      <w:pPr>
        <w:spacing w:line="360" w:lineRule="auto"/>
        <w:ind w:firstLineChars="200" w:firstLine="480"/>
        <w:rPr>
          <w:color w:val="000000" w:themeColor="text1"/>
        </w:rPr>
      </w:pPr>
      <w:r w:rsidRPr="00B12FE0">
        <w:rPr>
          <w:rFonts w:hint="eastAsia"/>
          <w:bCs/>
          <w:color w:val="000000" w:themeColor="text1"/>
        </w:rPr>
        <w:t>（</w:t>
      </w:r>
      <w:r w:rsidRPr="00B12FE0">
        <w:rPr>
          <w:rFonts w:hint="eastAsia"/>
          <w:bCs/>
          <w:color w:val="000000" w:themeColor="text1"/>
        </w:rPr>
        <w:t>4</w:t>
      </w:r>
      <w:r w:rsidRPr="00B12FE0">
        <w:rPr>
          <w:rFonts w:hint="eastAsia"/>
          <w:bCs/>
          <w:color w:val="000000" w:themeColor="text1"/>
        </w:rPr>
        <w:t>）</w:t>
      </w:r>
      <w:r w:rsidRPr="00B12FE0">
        <w:rPr>
          <w:rFonts w:hint="eastAsia"/>
          <w:color w:val="000000" w:themeColor="text1"/>
        </w:rPr>
        <w:t>工艺</w:t>
      </w:r>
      <w:r w:rsidRPr="00B12FE0">
        <w:rPr>
          <w:color w:val="000000" w:themeColor="text1"/>
        </w:rPr>
        <w:t>流程</w:t>
      </w:r>
      <w:proofErr w:type="gramStart"/>
      <w:r w:rsidRPr="00B12FE0">
        <w:rPr>
          <w:rFonts w:hint="eastAsia"/>
          <w:color w:val="000000" w:themeColor="text1"/>
        </w:rPr>
        <w:t>与</w:t>
      </w:r>
      <w:r w:rsidRPr="00B12FE0">
        <w:rPr>
          <w:color w:val="000000" w:themeColor="text1"/>
        </w:rPr>
        <w:t>产污环节</w:t>
      </w:r>
      <w:proofErr w:type="gramEnd"/>
    </w:p>
    <w:p w14:paraId="671ABA1F" w14:textId="77777777" w:rsidR="00A67F21" w:rsidRPr="00B12FE0" w:rsidRDefault="00000000">
      <w:pPr>
        <w:adjustRightInd w:val="0"/>
        <w:snapToGrid w:val="0"/>
        <w:spacing w:line="360" w:lineRule="auto"/>
        <w:ind w:firstLineChars="200" w:firstLine="482"/>
        <w:rPr>
          <w:bCs/>
          <w:color w:val="000000" w:themeColor="text1"/>
          <w:szCs w:val="24"/>
        </w:rPr>
      </w:pPr>
      <w:r w:rsidRPr="00B12FE0">
        <w:rPr>
          <w:rFonts w:ascii="宋体" w:hAnsi="宋体"/>
          <w:b/>
          <w:bCs/>
          <w:color w:val="000000" w:themeColor="text1"/>
          <w:szCs w:val="24"/>
        </w:rPr>
        <w:t>制药：</w:t>
      </w:r>
      <w:r w:rsidRPr="00B12FE0">
        <w:rPr>
          <w:bCs/>
          <w:color w:val="000000" w:themeColor="text1"/>
          <w:szCs w:val="24"/>
        </w:rPr>
        <w:t>PET</w:t>
      </w:r>
      <w:r w:rsidRPr="00B12FE0">
        <w:rPr>
          <w:rFonts w:ascii="宋体" w:hAnsi="宋体"/>
          <w:bCs/>
          <w:color w:val="000000" w:themeColor="text1"/>
          <w:szCs w:val="24"/>
        </w:rPr>
        <w:t>诊断用的放射性核素</w:t>
      </w:r>
      <w:r w:rsidRPr="00B12FE0">
        <w:rPr>
          <w:color w:val="000000" w:themeColor="text1"/>
          <w:szCs w:val="24"/>
          <w:vertAlign w:val="superscript"/>
        </w:rPr>
        <w:t>18</w:t>
      </w:r>
      <w:r w:rsidRPr="00B12FE0">
        <w:rPr>
          <w:color w:val="000000" w:themeColor="text1"/>
          <w:szCs w:val="24"/>
        </w:rPr>
        <w:t>F</w:t>
      </w:r>
      <w:r w:rsidRPr="00B12FE0">
        <w:rPr>
          <w:rFonts w:ascii="宋体" w:hAnsi="宋体"/>
          <w:bCs/>
          <w:color w:val="000000" w:themeColor="text1"/>
          <w:szCs w:val="24"/>
        </w:rPr>
        <w:t>由医院回旋加速器自行生产。工作人员根据临床诊断所需用药量、病人预约情况确定诊断所需药物的使用量，提前生产药物。回旋加速器药物生产完毕后自动进入转运铅罐，</w:t>
      </w:r>
      <w:r w:rsidRPr="00B12FE0">
        <w:rPr>
          <w:rFonts w:ascii="宋体" w:hAnsi="宋体"/>
          <w:color w:val="000000" w:themeColor="text1"/>
          <w:szCs w:val="24"/>
        </w:rPr>
        <w:t>由工作人员从模块箱内取出，再通过传递窗转运至外包间进行封闭包装、贴标签等后续工作。外包完后药物</w:t>
      </w:r>
      <w:r w:rsidRPr="00B12FE0">
        <w:rPr>
          <w:rFonts w:ascii="宋体" w:hAnsi="宋体"/>
          <w:bCs/>
          <w:color w:val="000000" w:themeColor="text1"/>
          <w:szCs w:val="24"/>
        </w:rPr>
        <w:t>由专人使用转运小推车，</w:t>
      </w:r>
      <w:r w:rsidRPr="00B12FE0">
        <w:rPr>
          <w:rFonts w:ascii="宋体" w:hAnsi="宋体"/>
          <w:color w:val="000000" w:themeColor="text1"/>
          <w:szCs w:val="24"/>
        </w:rPr>
        <w:t>沿着</w:t>
      </w:r>
      <w:r w:rsidRPr="00B12FE0">
        <w:rPr>
          <w:rFonts w:ascii="宋体" w:hAnsi="宋体" w:hint="eastAsia"/>
          <w:color w:val="000000" w:themeColor="text1"/>
          <w:szCs w:val="24"/>
        </w:rPr>
        <w:t>南侧工作走道至室外过道及绿化，后从核素入口进入</w:t>
      </w:r>
      <w:r w:rsidRPr="00B12FE0">
        <w:rPr>
          <w:rFonts w:ascii="宋体" w:hAnsi="宋体"/>
          <w:color w:val="000000" w:themeColor="text1"/>
          <w:szCs w:val="24"/>
        </w:rPr>
        <w:t>核素诊断场所，</w:t>
      </w:r>
      <w:r w:rsidRPr="00B12FE0">
        <w:rPr>
          <w:rFonts w:ascii="宋体" w:hAnsi="宋体"/>
          <w:bCs/>
          <w:color w:val="000000" w:themeColor="text1"/>
          <w:szCs w:val="24"/>
        </w:rPr>
        <w:t>定点</w:t>
      </w:r>
      <w:proofErr w:type="gramStart"/>
      <w:r w:rsidRPr="00B12FE0">
        <w:rPr>
          <w:rFonts w:ascii="宋体" w:hAnsi="宋体"/>
          <w:bCs/>
          <w:color w:val="000000" w:themeColor="text1"/>
          <w:szCs w:val="24"/>
        </w:rPr>
        <w:t>运送到储源室</w:t>
      </w:r>
      <w:proofErr w:type="gramEnd"/>
      <w:r w:rsidRPr="00B12FE0">
        <w:rPr>
          <w:rFonts w:ascii="宋体" w:hAnsi="宋体"/>
          <w:bCs/>
          <w:color w:val="000000" w:themeColor="text1"/>
          <w:szCs w:val="24"/>
        </w:rPr>
        <w:t>内。</w:t>
      </w:r>
    </w:p>
    <w:p w14:paraId="0763384B" w14:textId="77777777" w:rsidR="00A67F21" w:rsidRPr="00B12FE0" w:rsidRDefault="00000000">
      <w:pPr>
        <w:adjustRightInd w:val="0"/>
        <w:snapToGrid w:val="0"/>
        <w:spacing w:line="360" w:lineRule="auto"/>
        <w:ind w:firstLineChars="200" w:firstLine="482"/>
        <w:rPr>
          <w:color w:val="000000" w:themeColor="text1"/>
          <w:szCs w:val="24"/>
        </w:rPr>
      </w:pPr>
      <w:r w:rsidRPr="00B12FE0">
        <w:rPr>
          <w:b/>
          <w:bCs/>
          <w:color w:val="000000" w:themeColor="text1"/>
          <w:szCs w:val="24"/>
        </w:rPr>
        <w:t>分装注射</w:t>
      </w:r>
      <w:r w:rsidRPr="00B12FE0">
        <w:rPr>
          <w:rFonts w:hint="eastAsia"/>
          <w:b/>
          <w:bCs/>
          <w:color w:val="000000" w:themeColor="text1"/>
          <w:szCs w:val="24"/>
        </w:rPr>
        <w:t>：</w:t>
      </w:r>
      <w:r w:rsidRPr="00B12FE0">
        <w:rPr>
          <w:rFonts w:hint="eastAsia"/>
          <w:bCs/>
          <w:color w:val="000000" w:themeColor="text1"/>
          <w:szCs w:val="24"/>
        </w:rPr>
        <w:t>分装注射人员在操作放射性药物前应穿戴相应防护用品，规范佩戴个人剂量计。</w:t>
      </w:r>
      <w:r w:rsidRPr="00B12FE0">
        <w:rPr>
          <w:bCs/>
          <w:color w:val="000000" w:themeColor="text1"/>
        </w:rPr>
        <w:t>所使用</w:t>
      </w:r>
      <w:r w:rsidRPr="00B12FE0">
        <w:rPr>
          <w:bCs/>
          <w:color w:val="000000" w:themeColor="text1"/>
          <w:szCs w:val="24"/>
          <w:vertAlign w:val="superscript"/>
        </w:rPr>
        <w:t>18</w:t>
      </w:r>
      <w:r w:rsidRPr="00B12FE0">
        <w:rPr>
          <w:bCs/>
          <w:color w:val="000000" w:themeColor="text1"/>
          <w:szCs w:val="24"/>
        </w:rPr>
        <w:t>F</w:t>
      </w:r>
      <w:r w:rsidRPr="00B12FE0">
        <w:rPr>
          <w:rFonts w:hint="eastAsia"/>
          <w:bCs/>
          <w:color w:val="000000" w:themeColor="text1"/>
          <w:szCs w:val="24"/>
        </w:rPr>
        <w:t>核素</w:t>
      </w:r>
      <w:r w:rsidRPr="00B12FE0">
        <w:rPr>
          <w:color w:val="000000" w:themeColor="text1"/>
        </w:rPr>
        <w:t>根据病人的需要进行自动分装，分装后放入</w:t>
      </w:r>
      <w:r w:rsidRPr="00B12FE0">
        <w:rPr>
          <w:rFonts w:cs="宋体"/>
          <w:color w:val="000000" w:themeColor="text1"/>
        </w:rPr>
        <w:t>带防护套的注射器</w:t>
      </w:r>
      <w:r w:rsidRPr="00B12FE0">
        <w:rPr>
          <w:color w:val="000000" w:themeColor="text1"/>
        </w:rPr>
        <w:t>内</w:t>
      </w:r>
      <w:r w:rsidRPr="00B12FE0">
        <w:rPr>
          <w:rFonts w:hint="eastAsia"/>
          <w:color w:val="000000" w:themeColor="text1"/>
        </w:rPr>
        <w:t>，</w:t>
      </w:r>
      <w:r w:rsidRPr="00B12FE0">
        <w:rPr>
          <w:bCs/>
          <w:color w:val="000000" w:themeColor="text1"/>
        </w:rPr>
        <w:t>由医务人员</w:t>
      </w:r>
      <w:r w:rsidRPr="00B12FE0">
        <w:rPr>
          <w:color w:val="000000" w:themeColor="text1"/>
        </w:rPr>
        <w:t>在注射室的铅屏蔽窗的屏蔽下为病人静脉注射</w:t>
      </w:r>
      <w:r w:rsidRPr="00B12FE0">
        <w:rPr>
          <w:rFonts w:hint="eastAsia"/>
          <w:bCs/>
          <w:color w:val="000000" w:themeColor="text1"/>
        </w:rPr>
        <w:t>。</w:t>
      </w:r>
      <w:r w:rsidRPr="00B12FE0">
        <w:rPr>
          <w:rFonts w:hint="eastAsia"/>
          <w:color w:val="000000" w:themeColor="text1"/>
          <w:szCs w:val="24"/>
        </w:rPr>
        <w:t>医护人员提前为患者做好留置针，这样可以节省注射时间</w:t>
      </w:r>
      <w:r w:rsidRPr="00B12FE0">
        <w:rPr>
          <w:color w:val="000000" w:themeColor="text1"/>
          <w:szCs w:val="24"/>
        </w:rPr>
        <w:t>和减少职业人员受照时间。</w:t>
      </w:r>
    </w:p>
    <w:p w14:paraId="0473407C" w14:textId="77777777" w:rsidR="00A67F21" w:rsidRPr="00B12FE0" w:rsidRDefault="00000000">
      <w:pPr>
        <w:pStyle w:val="TableParagraph"/>
        <w:autoSpaceDE/>
        <w:autoSpaceDN/>
        <w:spacing w:line="360" w:lineRule="auto"/>
        <w:ind w:firstLineChars="200" w:firstLine="482"/>
        <w:rPr>
          <w:bCs/>
          <w:color w:val="000000" w:themeColor="text1"/>
        </w:rPr>
      </w:pPr>
      <w:r w:rsidRPr="00B12FE0">
        <w:rPr>
          <w:b/>
          <w:bCs/>
          <w:color w:val="000000" w:themeColor="text1"/>
        </w:rPr>
        <w:t>诊断</w:t>
      </w:r>
      <w:r w:rsidRPr="00B12FE0">
        <w:rPr>
          <w:rFonts w:hint="eastAsia"/>
          <w:b/>
          <w:bCs/>
          <w:color w:val="000000" w:themeColor="text1"/>
        </w:rPr>
        <w:t>：</w:t>
      </w:r>
      <w:r w:rsidRPr="00B12FE0">
        <w:rPr>
          <w:rFonts w:hint="eastAsia"/>
          <w:bCs/>
          <w:color w:val="000000" w:themeColor="text1"/>
        </w:rPr>
        <w:t>患者</w:t>
      </w:r>
      <w:r w:rsidRPr="00B12FE0">
        <w:rPr>
          <w:bCs/>
          <w:color w:val="000000" w:themeColor="text1"/>
        </w:rPr>
        <w:t>注射放射性药物后根据工作人员指导，患者注射后在</w:t>
      </w:r>
      <w:r w:rsidRPr="00B12FE0">
        <w:rPr>
          <w:rFonts w:hint="eastAsia"/>
          <w:bCs/>
          <w:color w:val="000000" w:themeColor="text1"/>
        </w:rPr>
        <w:t>相应</w:t>
      </w:r>
      <w:r w:rsidRPr="00B12FE0">
        <w:rPr>
          <w:bCs/>
          <w:color w:val="000000" w:themeColor="text1"/>
        </w:rPr>
        <w:t>PET/CT</w:t>
      </w:r>
      <w:r w:rsidRPr="00B12FE0">
        <w:rPr>
          <w:rFonts w:hint="eastAsia"/>
          <w:bCs/>
          <w:color w:val="000000" w:themeColor="text1"/>
        </w:rPr>
        <w:t>候诊室</w:t>
      </w:r>
      <w:r w:rsidRPr="00B12FE0">
        <w:rPr>
          <w:bCs/>
          <w:color w:val="000000" w:themeColor="text1"/>
        </w:rPr>
        <w:t>内</w:t>
      </w:r>
      <w:r w:rsidRPr="00B12FE0">
        <w:rPr>
          <w:rFonts w:hint="eastAsia"/>
          <w:bCs/>
          <w:color w:val="000000" w:themeColor="text1"/>
        </w:rPr>
        <w:t>候诊</w:t>
      </w:r>
      <w:r w:rsidRPr="00B12FE0">
        <w:rPr>
          <w:bCs/>
          <w:color w:val="000000" w:themeColor="text1"/>
        </w:rPr>
        <w:t>，</w:t>
      </w:r>
      <w:proofErr w:type="gramStart"/>
      <w:r w:rsidRPr="00B12FE0">
        <w:rPr>
          <w:bCs/>
          <w:color w:val="000000" w:themeColor="text1"/>
        </w:rPr>
        <w:t>待药物</w:t>
      </w:r>
      <w:proofErr w:type="gramEnd"/>
      <w:r w:rsidRPr="00B12FE0">
        <w:rPr>
          <w:bCs/>
          <w:color w:val="000000" w:themeColor="text1"/>
        </w:rPr>
        <w:t>充分代谢后，通过语音呼叫，进入</w:t>
      </w:r>
      <w:r w:rsidRPr="00B12FE0">
        <w:rPr>
          <w:bCs/>
          <w:color w:val="000000" w:themeColor="text1"/>
        </w:rPr>
        <w:t>PET/CT</w:t>
      </w:r>
      <w:r w:rsidRPr="00B12FE0">
        <w:rPr>
          <w:bCs/>
          <w:color w:val="000000" w:themeColor="text1"/>
        </w:rPr>
        <w:t>机房</w:t>
      </w:r>
      <w:r w:rsidRPr="00B12FE0">
        <w:rPr>
          <w:rFonts w:hint="eastAsia"/>
          <w:bCs/>
          <w:color w:val="000000" w:themeColor="text1"/>
        </w:rPr>
        <w:t>扫描。</w:t>
      </w:r>
      <w:r w:rsidRPr="00B12FE0">
        <w:rPr>
          <w:bCs/>
          <w:color w:val="000000" w:themeColor="text1"/>
        </w:rPr>
        <w:t>PET/CT</w:t>
      </w:r>
      <w:r w:rsidRPr="00B12FE0">
        <w:rPr>
          <w:bCs/>
          <w:color w:val="000000" w:themeColor="text1"/>
        </w:rPr>
        <w:t>机房</w:t>
      </w:r>
      <w:r w:rsidRPr="00B12FE0">
        <w:rPr>
          <w:rFonts w:hint="eastAsia"/>
          <w:bCs/>
          <w:color w:val="000000" w:themeColor="text1"/>
        </w:rPr>
        <w:t>技师</w:t>
      </w:r>
      <w:r w:rsidRPr="00B12FE0">
        <w:rPr>
          <w:bCs/>
          <w:color w:val="000000" w:themeColor="text1"/>
        </w:rPr>
        <w:t>在控制室内进行语音提示摆位，必要时进入机房指导，摆位完成后离开机房返回控制室。</w:t>
      </w:r>
      <w:r w:rsidRPr="00B12FE0">
        <w:rPr>
          <w:rFonts w:hint="eastAsia"/>
          <w:bCs/>
          <w:color w:val="000000" w:themeColor="text1"/>
        </w:rPr>
        <w:t>技师</w:t>
      </w:r>
      <w:r w:rsidRPr="00B12FE0">
        <w:rPr>
          <w:bCs/>
          <w:color w:val="000000" w:themeColor="text1"/>
        </w:rPr>
        <w:t>隔室操作对患者进行</w:t>
      </w:r>
      <w:r w:rsidRPr="00B12FE0">
        <w:rPr>
          <w:bCs/>
          <w:color w:val="000000" w:themeColor="text1"/>
        </w:rPr>
        <w:t>PET/</w:t>
      </w:r>
      <w:r w:rsidRPr="00B12FE0">
        <w:rPr>
          <w:rFonts w:hint="eastAsia"/>
          <w:bCs/>
          <w:color w:val="000000" w:themeColor="text1"/>
        </w:rPr>
        <w:t>CT</w:t>
      </w:r>
      <w:r w:rsidRPr="00B12FE0">
        <w:rPr>
          <w:bCs/>
          <w:color w:val="000000" w:themeColor="text1"/>
        </w:rPr>
        <w:t>扫描诊断</w:t>
      </w:r>
      <w:r w:rsidRPr="00B12FE0">
        <w:rPr>
          <w:rFonts w:hint="eastAsia"/>
          <w:bCs/>
          <w:color w:val="000000" w:themeColor="text1"/>
        </w:rPr>
        <w:t>。</w:t>
      </w:r>
      <w:r w:rsidRPr="00B12FE0">
        <w:rPr>
          <w:bCs/>
          <w:color w:val="000000" w:themeColor="text1"/>
        </w:rPr>
        <w:t>扫描完成后，患者离开</w:t>
      </w:r>
      <w:r w:rsidRPr="00B12FE0">
        <w:rPr>
          <w:bCs/>
          <w:color w:val="000000" w:themeColor="text1"/>
        </w:rPr>
        <w:t>PET/</w:t>
      </w:r>
      <w:r w:rsidRPr="00B12FE0">
        <w:rPr>
          <w:rFonts w:hint="eastAsia"/>
          <w:bCs/>
          <w:color w:val="000000" w:themeColor="text1"/>
        </w:rPr>
        <w:t>CT</w:t>
      </w:r>
      <w:r w:rsidRPr="00B12FE0">
        <w:rPr>
          <w:bCs/>
          <w:color w:val="000000" w:themeColor="text1"/>
        </w:rPr>
        <w:t>机房，</w:t>
      </w:r>
      <w:r w:rsidRPr="00B12FE0">
        <w:rPr>
          <w:rFonts w:hint="eastAsia"/>
          <w:bCs/>
          <w:color w:val="000000" w:themeColor="text1"/>
        </w:rPr>
        <w:t>到</w:t>
      </w:r>
      <w:r w:rsidRPr="00B12FE0">
        <w:rPr>
          <w:bCs/>
          <w:color w:val="000000" w:themeColor="text1"/>
        </w:rPr>
        <w:t>留观室内留观，</w:t>
      </w:r>
      <w:r w:rsidRPr="00B12FE0">
        <w:rPr>
          <w:rFonts w:hint="eastAsia"/>
          <w:bCs/>
          <w:color w:val="000000" w:themeColor="text1"/>
        </w:rPr>
        <w:t>留</w:t>
      </w:r>
      <w:proofErr w:type="gramStart"/>
      <w:r w:rsidRPr="00B12FE0">
        <w:rPr>
          <w:rFonts w:hint="eastAsia"/>
          <w:bCs/>
          <w:color w:val="000000" w:themeColor="text1"/>
        </w:rPr>
        <w:t>观结束</w:t>
      </w:r>
      <w:proofErr w:type="gramEnd"/>
      <w:r w:rsidRPr="00B12FE0">
        <w:rPr>
          <w:bCs/>
          <w:color w:val="000000" w:themeColor="text1"/>
        </w:rPr>
        <w:t>后由患者出口离开。</w:t>
      </w:r>
    </w:p>
    <w:p w14:paraId="547D811B"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bCs/>
          <w:color w:val="000000" w:themeColor="text1"/>
          <w:szCs w:val="24"/>
        </w:rPr>
        <w:lastRenderedPageBreak/>
        <w:t>PET/</w:t>
      </w:r>
      <w:r w:rsidRPr="00B12FE0">
        <w:rPr>
          <w:rFonts w:hint="eastAsia"/>
          <w:bCs/>
          <w:color w:val="000000" w:themeColor="text1"/>
          <w:szCs w:val="24"/>
        </w:rPr>
        <w:t>CT</w:t>
      </w:r>
      <w:r w:rsidRPr="00B12FE0">
        <w:rPr>
          <w:rFonts w:hint="eastAsia"/>
          <w:bCs/>
          <w:color w:val="000000" w:themeColor="text1"/>
          <w:szCs w:val="24"/>
        </w:rPr>
        <w:t>显像</w:t>
      </w:r>
      <w:r w:rsidRPr="00B12FE0">
        <w:rPr>
          <w:bCs/>
          <w:color w:val="000000" w:themeColor="text1"/>
          <w:szCs w:val="24"/>
        </w:rPr>
        <w:t>诊断</w:t>
      </w:r>
      <w:r w:rsidRPr="00B12FE0">
        <w:rPr>
          <w:rFonts w:hint="eastAsia"/>
          <w:bCs/>
          <w:color w:val="000000" w:themeColor="text1"/>
          <w:szCs w:val="24"/>
        </w:rPr>
        <w:t>的</w:t>
      </w:r>
      <w:r w:rsidRPr="00B12FE0">
        <w:rPr>
          <w:bCs/>
          <w:color w:val="000000" w:themeColor="text1"/>
          <w:szCs w:val="24"/>
        </w:rPr>
        <w:t>工作流程与产物环节见</w:t>
      </w:r>
      <w:r w:rsidRPr="00B12FE0">
        <w:rPr>
          <w:rFonts w:hint="eastAsia"/>
          <w:bCs/>
          <w:color w:val="000000" w:themeColor="text1"/>
          <w:szCs w:val="24"/>
        </w:rPr>
        <w:t>下图</w:t>
      </w:r>
      <w:r w:rsidRPr="00B12FE0">
        <w:rPr>
          <w:bCs/>
          <w:color w:val="000000" w:themeColor="text1"/>
          <w:szCs w:val="24"/>
        </w:rPr>
        <w:t>。</w:t>
      </w:r>
    </w:p>
    <w:p w14:paraId="6DCEBB27" w14:textId="77777777" w:rsidR="00A67F21" w:rsidRPr="00B12FE0" w:rsidRDefault="00000000">
      <w:pPr>
        <w:adjustRightInd w:val="0"/>
        <w:snapToGrid w:val="0"/>
        <w:spacing w:line="360" w:lineRule="auto"/>
        <w:jc w:val="center"/>
        <w:rPr>
          <w:b/>
          <w:bCs/>
          <w:color w:val="000000" w:themeColor="text1"/>
          <w:sz w:val="21"/>
          <w:szCs w:val="24"/>
        </w:rPr>
      </w:pPr>
      <w:r w:rsidRPr="00B12FE0">
        <w:rPr>
          <w:bCs/>
          <w:noProof/>
          <w:color w:val="000000" w:themeColor="text1"/>
        </w:rPr>
        <mc:AlternateContent>
          <mc:Choice Requires="wpc">
            <w:drawing>
              <wp:inline distT="0" distB="0" distL="0" distR="0" wp14:anchorId="67921AFE" wp14:editId="6B225DE9">
                <wp:extent cx="5539740" cy="3363595"/>
                <wp:effectExtent l="0" t="0" r="3810" b="0"/>
                <wp:docPr id="1413472166" name="画布 1413472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Rectangle 5661"/>
                        <wps:cNvSpPr>
                          <a:spLocks noChangeArrowheads="1"/>
                        </wps:cNvSpPr>
                        <wps:spPr bwMode="auto">
                          <a:xfrm>
                            <a:off x="361949" y="40299"/>
                            <a:ext cx="2619789" cy="466725"/>
                          </a:xfrm>
                          <a:prstGeom prst="rect">
                            <a:avLst/>
                          </a:prstGeom>
                          <a:noFill/>
                          <a:ln w="9525">
                            <a:solidFill>
                              <a:schemeClr val="tx1">
                                <a:lumMod val="100000"/>
                                <a:lumOff val="0"/>
                              </a:schemeClr>
                            </a:solidFill>
                            <a:miter lim="800000"/>
                          </a:ln>
                        </wps:spPr>
                        <wps:txbx>
                          <w:txbxContent>
                            <w:p w14:paraId="16789AB3" w14:textId="77777777" w:rsidR="00A67F21" w:rsidRDefault="00000000">
                              <w:pPr>
                                <w:jc w:val="center"/>
                                <w:rPr>
                                  <w:sz w:val="21"/>
                                  <w:szCs w:val="21"/>
                                </w:rPr>
                              </w:pPr>
                              <w:r>
                                <w:rPr>
                                  <w:rFonts w:hint="eastAsia"/>
                                  <w:sz w:val="21"/>
                                  <w:szCs w:val="21"/>
                                </w:rPr>
                                <w:t>病人预约检查，医生根据病人实际情况确定药物用量</w:t>
                              </w:r>
                            </w:p>
                          </w:txbxContent>
                        </wps:txbx>
                        <wps:bodyPr rot="0" vert="horz" wrap="square" lIns="91440" tIns="45720" rIns="91440" bIns="45720" anchor="t" anchorCtr="0" upright="1">
                          <a:noAutofit/>
                        </wps:bodyPr>
                      </wps:wsp>
                      <wps:wsp>
                        <wps:cNvPr id="61" name="AutoShape 5662"/>
                        <wps:cNvCnPr>
                          <a:cxnSpLocks noChangeShapeType="1"/>
                          <a:endCxn id="67" idx="0"/>
                        </wps:cNvCnPr>
                        <wps:spPr bwMode="auto">
                          <a:xfrm flipH="1">
                            <a:off x="1667608" y="507024"/>
                            <a:ext cx="4236" cy="211555"/>
                          </a:xfrm>
                          <a:prstGeom prst="straightConnector1">
                            <a:avLst/>
                          </a:prstGeom>
                          <a:noFill/>
                          <a:ln w="9525">
                            <a:solidFill>
                              <a:schemeClr val="tx1">
                                <a:lumMod val="100000"/>
                                <a:lumOff val="0"/>
                              </a:schemeClr>
                            </a:solidFill>
                            <a:round/>
                            <a:tailEnd type="triangle" w="med" len="med"/>
                          </a:ln>
                        </wps:spPr>
                        <wps:bodyPr/>
                      </wps:wsp>
                      <wps:wsp>
                        <wps:cNvPr id="67" name="Rectangle 5663"/>
                        <wps:cNvSpPr>
                          <a:spLocks noChangeArrowheads="1"/>
                        </wps:cNvSpPr>
                        <wps:spPr bwMode="auto">
                          <a:xfrm>
                            <a:off x="353738" y="718579"/>
                            <a:ext cx="2627740" cy="838199"/>
                          </a:xfrm>
                          <a:prstGeom prst="rect">
                            <a:avLst/>
                          </a:prstGeom>
                          <a:noFill/>
                          <a:ln w="9525">
                            <a:solidFill>
                              <a:schemeClr val="tx1">
                                <a:lumMod val="100000"/>
                                <a:lumOff val="0"/>
                              </a:schemeClr>
                            </a:solidFill>
                            <a:miter lim="800000"/>
                          </a:ln>
                        </wps:spPr>
                        <wps:txbx>
                          <w:txbxContent>
                            <w:p w14:paraId="6D943E12" w14:textId="77777777" w:rsidR="00A67F21" w:rsidRDefault="00000000">
                              <w:pPr>
                                <w:jc w:val="center"/>
                                <w:rPr>
                                  <w:sz w:val="21"/>
                                  <w:szCs w:val="21"/>
                                </w:rPr>
                              </w:pPr>
                              <w:r>
                                <w:rPr>
                                  <w:rFonts w:hint="eastAsia"/>
                                  <w:sz w:val="21"/>
                                  <w:szCs w:val="21"/>
                                </w:rPr>
                                <w:t>回旋加速器根据前一天预定量制备核素，制备完成后送至核素诊断场所储源室，由护士在手套箱中进行分装、活度测量后注射给药</w:t>
                              </w:r>
                            </w:p>
                            <w:p w14:paraId="6B1E39B7" w14:textId="77777777" w:rsidR="00A67F21" w:rsidRDefault="00A67F21">
                              <w:pPr>
                                <w:rPr>
                                  <w:sz w:val="21"/>
                                  <w:szCs w:val="21"/>
                                </w:rPr>
                              </w:pPr>
                            </w:p>
                          </w:txbxContent>
                        </wps:txbx>
                        <wps:bodyPr rot="0" vert="horz" wrap="square" lIns="91440" tIns="45720" rIns="91440" bIns="45720" anchor="t" anchorCtr="0" upright="1">
                          <a:noAutofit/>
                        </wps:bodyPr>
                      </wps:wsp>
                      <wps:wsp>
                        <wps:cNvPr id="68" name="AutoShape 5664"/>
                        <wps:cNvCnPr>
                          <a:cxnSpLocks noChangeShapeType="1"/>
                        </wps:cNvCnPr>
                        <wps:spPr bwMode="auto">
                          <a:xfrm>
                            <a:off x="1667869" y="1558948"/>
                            <a:ext cx="130" cy="246902"/>
                          </a:xfrm>
                          <a:prstGeom prst="straightConnector1">
                            <a:avLst/>
                          </a:prstGeom>
                          <a:noFill/>
                          <a:ln w="9525">
                            <a:solidFill>
                              <a:schemeClr val="tx1">
                                <a:lumMod val="100000"/>
                                <a:lumOff val="0"/>
                              </a:schemeClr>
                            </a:solidFill>
                            <a:round/>
                            <a:tailEnd type="triangle" w="med" len="med"/>
                          </a:ln>
                        </wps:spPr>
                        <wps:bodyPr/>
                      </wps:wsp>
                      <wps:wsp>
                        <wps:cNvPr id="69" name="Rectangle 5666"/>
                        <wps:cNvSpPr>
                          <a:spLocks noChangeArrowheads="1"/>
                        </wps:cNvSpPr>
                        <wps:spPr bwMode="auto">
                          <a:xfrm>
                            <a:off x="343951" y="1805850"/>
                            <a:ext cx="2628000" cy="484505"/>
                          </a:xfrm>
                          <a:prstGeom prst="rect">
                            <a:avLst/>
                          </a:prstGeom>
                          <a:noFill/>
                          <a:ln w="9525">
                            <a:solidFill>
                              <a:schemeClr val="tx1">
                                <a:lumMod val="100000"/>
                                <a:lumOff val="0"/>
                              </a:schemeClr>
                            </a:solidFill>
                            <a:miter lim="800000"/>
                          </a:ln>
                        </wps:spPr>
                        <wps:txbx>
                          <w:txbxContent>
                            <w:p w14:paraId="65C8C0B5" w14:textId="77777777" w:rsidR="00A67F21" w:rsidRDefault="00000000">
                              <w:pPr>
                                <w:rPr>
                                  <w:sz w:val="21"/>
                                  <w:szCs w:val="21"/>
                                </w:rPr>
                              </w:pPr>
                              <w:r>
                                <w:rPr>
                                  <w:rFonts w:hint="eastAsia"/>
                                  <w:sz w:val="21"/>
                                  <w:szCs w:val="21"/>
                                </w:rPr>
                                <w:t>病人注射后进入</w:t>
                              </w:r>
                              <w:r>
                                <w:rPr>
                                  <w:sz w:val="21"/>
                                  <w:szCs w:val="21"/>
                                </w:rPr>
                                <w:t>PET</w:t>
                              </w:r>
                              <w:r>
                                <w:rPr>
                                  <w:rFonts w:hint="eastAsia"/>
                                  <w:sz w:val="21"/>
                                  <w:szCs w:val="21"/>
                                </w:rPr>
                                <w:t>候诊室等候，直至通知进入</w:t>
                              </w:r>
                              <w:r>
                                <w:rPr>
                                  <w:sz w:val="21"/>
                                  <w:szCs w:val="21"/>
                                </w:rPr>
                                <w:t>PET</w:t>
                              </w:r>
                              <w:r>
                                <w:rPr>
                                  <w:rFonts w:hint="eastAsia"/>
                                  <w:sz w:val="21"/>
                                  <w:szCs w:val="21"/>
                                </w:rPr>
                                <w:t>/CT</w:t>
                              </w:r>
                              <w:r>
                                <w:rPr>
                                  <w:rFonts w:hint="eastAsia"/>
                                  <w:sz w:val="21"/>
                                  <w:szCs w:val="21"/>
                                </w:rPr>
                                <w:t>机房扫描检查</w:t>
                              </w:r>
                            </w:p>
                          </w:txbxContent>
                        </wps:txbx>
                        <wps:bodyPr rot="0" vert="horz" wrap="square" lIns="91440" tIns="45720" rIns="91440" bIns="45720" anchor="t" anchorCtr="0" upright="1">
                          <a:noAutofit/>
                        </wps:bodyPr>
                      </wps:wsp>
                      <wps:wsp>
                        <wps:cNvPr id="70" name="AutoShape 5667"/>
                        <wps:cNvCnPr>
                          <a:cxnSpLocks noChangeShapeType="1"/>
                        </wps:cNvCnPr>
                        <wps:spPr bwMode="auto">
                          <a:xfrm flipV="1">
                            <a:off x="2981739" y="1064719"/>
                            <a:ext cx="480916" cy="2210"/>
                          </a:xfrm>
                          <a:prstGeom prst="straightConnector1">
                            <a:avLst/>
                          </a:prstGeom>
                          <a:noFill/>
                          <a:ln w="9525">
                            <a:solidFill>
                              <a:schemeClr val="tx1">
                                <a:lumMod val="100000"/>
                                <a:lumOff val="0"/>
                              </a:schemeClr>
                            </a:solidFill>
                            <a:prstDash val="dash"/>
                            <a:round/>
                            <a:tailEnd type="triangle" w="med" len="med"/>
                          </a:ln>
                        </wps:spPr>
                        <wps:bodyPr/>
                      </wps:wsp>
                      <wps:wsp>
                        <wps:cNvPr id="71" name="Rectangle 5668"/>
                        <wps:cNvSpPr>
                          <a:spLocks noChangeArrowheads="1"/>
                        </wps:cNvSpPr>
                        <wps:spPr bwMode="auto">
                          <a:xfrm>
                            <a:off x="3462655" y="761617"/>
                            <a:ext cx="2058035" cy="618613"/>
                          </a:xfrm>
                          <a:prstGeom prst="rect">
                            <a:avLst/>
                          </a:prstGeom>
                          <a:noFill/>
                          <a:ln w="9525">
                            <a:solidFill>
                              <a:schemeClr val="tx1">
                                <a:lumMod val="100000"/>
                                <a:lumOff val="0"/>
                              </a:schemeClr>
                            </a:solidFill>
                            <a:prstDash val="dash"/>
                            <a:miter lim="800000"/>
                          </a:ln>
                        </wps:spPr>
                        <wps:txbx>
                          <w:txbxContent>
                            <w:p w14:paraId="480678F7" w14:textId="77777777" w:rsidR="00A67F21" w:rsidRDefault="00000000">
                              <w:pPr>
                                <w:rPr>
                                  <w:sz w:val="21"/>
                                  <w:szCs w:val="21"/>
                                </w:rPr>
                              </w:pPr>
                              <w:r>
                                <w:rPr>
                                  <w:sz w:val="21"/>
                                  <w:szCs w:val="21"/>
                                  <w:lang w:val="el-GR"/>
                                </w:rPr>
                                <w:t>γ</w:t>
                              </w:r>
                              <w:r>
                                <w:rPr>
                                  <w:rFonts w:hAnsi="宋体" w:hint="eastAsia"/>
                                  <w:sz w:val="21"/>
                                  <w:szCs w:val="21"/>
                                  <w:lang w:val="zh-CN"/>
                                </w:rPr>
                                <w:t>射线、</w:t>
                              </w:r>
                              <w:r>
                                <w:rPr>
                                  <w:sz w:val="21"/>
                                  <w:szCs w:val="21"/>
                                  <w:lang w:val="el-GR"/>
                                </w:rPr>
                                <w:t>β</w:t>
                              </w:r>
                              <w:r>
                                <w:rPr>
                                  <w:rFonts w:hint="eastAsia"/>
                                  <w:sz w:val="21"/>
                                  <w:szCs w:val="21"/>
                                  <w:lang w:val="el-GR"/>
                                </w:rPr>
                                <w:t>射线、</w:t>
                              </w:r>
                              <w:r>
                                <w:rPr>
                                  <w:sz w:val="21"/>
                                  <w:szCs w:val="21"/>
                                  <w:lang w:val="el-GR"/>
                                </w:rPr>
                                <w:t>β</w:t>
                              </w:r>
                              <w:r>
                                <w:rPr>
                                  <w:rFonts w:ascii="宋体" w:hAnsi="宋体" w:hint="eastAsia"/>
                                  <w:sz w:val="21"/>
                                  <w:szCs w:val="21"/>
                                  <w:lang w:val="zh-CN"/>
                                </w:rPr>
                                <w:t>表面污染</w:t>
                              </w:r>
                              <w:r>
                                <w:rPr>
                                  <w:rFonts w:hAnsi="宋体" w:hint="eastAsia"/>
                                  <w:sz w:val="21"/>
                                  <w:szCs w:val="21"/>
                                  <w:lang w:val="zh-CN"/>
                                </w:rPr>
                                <w:t>、放射性固体废物、放射性废气、放射性废水</w:t>
                              </w:r>
                            </w:p>
                          </w:txbxContent>
                        </wps:txbx>
                        <wps:bodyPr rot="0" vert="horz" wrap="square" lIns="91440" tIns="45720" rIns="91440" bIns="45720" anchor="t" anchorCtr="0" upright="1">
                          <a:noAutofit/>
                        </wps:bodyPr>
                      </wps:wsp>
                      <wps:wsp>
                        <wps:cNvPr id="72" name="AutoShape 5669"/>
                        <wps:cNvCnPr>
                          <a:cxnSpLocks noChangeShapeType="1"/>
                        </wps:cNvCnPr>
                        <wps:spPr bwMode="auto">
                          <a:xfrm>
                            <a:off x="1667999" y="2301073"/>
                            <a:ext cx="305" cy="182058"/>
                          </a:xfrm>
                          <a:prstGeom prst="straightConnector1">
                            <a:avLst/>
                          </a:prstGeom>
                          <a:noFill/>
                          <a:ln w="9525">
                            <a:solidFill>
                              <a:schemeClr val="tx1">
                                <a:lumMod val="100000"/>
                                <a:lumOff val="0"/>
                              </a:schemeClr>
                            </a:solidFill>
                            <a:round/>
                            <a:tailEnd type="triangle" w="med" len="med"/>
                          </a:ln>
                        </wps:spPr>
                        <wps:bodyPr/>
                      </wps:wsp>
                      <wps:wsp>
                        <wps:cNvPr id="73" name="Rectangle 5670"/>
                        <wps:cNvSpPr>
                          <a:spLocks noChangeArrowheads="1"/>
                        </wps:cNvSpPr>
                        <wps:spPr bwMode="auto">
                          <a:xfrm>
                            <a:off x="353738" y="2475297"/>
                            <a:ext cx="2628000" cy="288000"/>
                          </a:xfrm>
                          <a:prstGeom prst="rect">
                            <a:avLst/>
                          </a:prstGeom>
                          <a:noFill/>
                          <a:ln w="9525">
                            <a:solidFill>
                              <a:schemeClr val="tx1">
                                <a:lumMod val="100000"/>
                                <a:lumOff val="0"/>
                              </a:schemeClr>
                            </a:solidFill>
                            <a:miter lim="800000"/>
                          </a:ln>
                        </wps:spPr>
                        <wps:txbx>
                          <w:txbxContent>
                            <w:p w14:paraId="415AD573" w14:textId="77777777" w:rsidR="00A67F21" w:rsidRDefault="00000000">
                              <w:pPr>
                                <w:jc w:val="center"/>
                                <w:rPr>
                                  <w:sz w:val="21"/>
                                  <w:szCs w:val="21"/>
                                </w:rPr>
                              </w:pPr>
                              <w:r>
                                <w:rPr>
                                  <w:rFonts w:hint="eastAsia"/>
                                  <w:sz w:val="21"/>
                                  <w:szCs w:val="21"/>
                                </w:rPr>
                                <w:t>扫描完成后，到留观室留观</w:t>
                              </w:r>
                            </w:p>
                          </w:txbxContent>
                        </wps:txbx>
                        <wps:bodyPr rot="0" vert="horz" wrap="square" lIns="91440" tIns="45720" rIns="91440" bIns="45720" anchor="t" anchorCtr="0" upright="1">
                          <a:noAutofit/>
                        </wps:bodyPr>
                      </wps:wsp>
                      <wps:wsp>
                        <wps:cNvPr id="74" name="AutoShape 5671"/>
                        <wps:cNvCnPr>
                          <a:cxnSpLocks noChangeShapeType="1"/>
                        </wps:cNvCnPr>
                        <wps:spPr bwMode="auto">
                          <a:xfrm>
                            <a:off x="3132814" y="2132403"/>
                            <a:ext cx="329841" cy="3654"/>
                          </a:xfrm>
                          <a:prstGeom prst="straightConnector1">
                            <a:avLst/>
                          </a:prstGeom>
                          <a:noFill/>
                          <a:ln w="9525">
                            <a:solidFill>
                              <a:schemeClr val="tx1">
                                <a:lumMod val="100000"/>
                                <a:lumOff val="0"/>
                              </a:schemeClr>
                            </a:solidFill>
                            <a:prstDash val="dash"/>
                            <a:round/>
                            <a:tailEnd type="triangle" w="med" len="med"/>
                          </a:ln>
                        </wps:spPr>
                        <wps:bodyPr/>
                      </wps:wsp>
                      <wps:wsp>
                        <wps:cNvPr id="75" name="Rectangle 5672"/>
                        <wps:cNvSpPr>
                          <a:spLocks noChangeArrowheads="1"/>
                        </wps:cNvSpPr>
                        <wps:spPr bwMode="auto">
                          <a:xfrm>
                            <a:off x="3462655" y="1902366"/>
                            <a:ext cx="1976120" cy="656684"/>
                          </a:xfrm>
                          <a:prstGeom prst="rect">
                            <a:avLst/>
                          </a:prstGeom>
                          <a:noFill/>
                          <a:ln w="9525">
                            <a:solidFill>
                              <a:schemeClr val="tx1">
                                <a:lumMod val="100000"/>
                                <a:lumOff val="0"/>
                              </a:schemeClr>
                            </a:solidFill>
                            <a:prstDash val="dash"/>
                            <a:miter lim="800000"/>
                          </a:ln>
                        </wps:spPr>
                        <wps:txbx>
                          <w:txbxContent>
                            <w:p w14:paraId="35E7E6E6" w14:textId="77777777" w:rsidR="00A67F21" w:rsidRDefault="00000000">
                              <w:pPr>
                                <w:rPr>
                                  <w:rFonts w:hAnsi="宋体" w:hint="eastAsia"/>
                                  <w:sz w:val="21"/>
                                  <w:szCs w:val="21"/>
                                  <w:lang w:val="zh-CN"/>
                                </w:rPr>
                              </w:pPr>
                              <w:r>
                                <w:rPr>
                                  <w:sz w:val="21"/>
                                  <w:szCs w:val="21"/>
                                  <w:lang w:val="el-GR"/>
                                </w:rPr>
                                <w:t>γ</w:t>
                              </w:r>
                              <w:r>
                                <w:rPr>
                                  <w:rFonts w:hAnsi="宋体" w:hint="eastAsia"/>
                                  <w:sz w:val="21"/>
                                  <w:szCs w:val="21"/>
                                  <w:lang w:val="zh-CN"/>
                                </w:rPr>
                                <w:t>射线、</w:t>
                              </w:r>
                              <w:r>
                                <w:rPr>
                                  <w:sz w:val="21"/>
                                  <w:szCs w:val="21"/>
                                  <w:lang w:val="el-GR"/>
                                </w:rPr>
                                <w:t>β</w:t>
                              </w:r>
                              <w:r>
                                <w:rPr>
                                  <w:rFonts w:hAnsi="宋体" w:hint="eastAsia"/>
                                  <w:sz w:val="21"/>
                                  <w:szCs w:val="21"/>
                                  <w:lang w:val="zh-CN"/>
                                </w:rPr>
                                <w:t>表面污染、放射性废水、放射性固废、</w:t>
                              </w:r>
                              <w:r>
                                <w:rPr>
                                  <w:rFonts w:hAnsi="宋体" w:hint="eastAsia"/>
                                  <w:sz w:val="21"/>
                                  <w:szCs w:val="21"/>
                                  <w:lang w:val="zh-CN"/>
                                </w:rPr>
                                <w:t>X</w:t>
                              </w:r>
                              <w:r>
                                <w:rPr>
                                  <w:rFonts w:hAnsi="宋体"/>
                                  <w:sz w:val="21"/>
                                  <w:szCs w:val="21"/>
                                  <w:lang w:val="zh-CN"/>
                                </w:rPr>
                                <w:t>射线</w:t>
                              </w:r>
                              <w:r>
                                <w:rPr>
                                  <w:rFonts w:hAnsi="宋体" w:hint="eastAsia"/>
                                  <w:sz w:val="21"/>
                                  <w:szCs w:val="21"/>
                                  <w:lang w:val="zh-CN"/>
                                </w:rPr>
                                <w:t>、臭氧、氮氧化物</w:t>
                              </w:r>
                            </w:p>
                          </w:txbxContent>
                        </wps:txbx>
                        <wps:bodyPr rot="0" vert="horz" wrap="square" lIns="91440" tIns="45720" rIns="91440" bIns="45720" anchor="t" anchorCtr="0" upright="1">
                          <a:noAutofit/>
                        </wps:bodyPr>
                      </wps:wsp>
                      <wps:wsp>
                        <wps:cNvPr id="76" name="AutoShape 5673"/>
                        <wps:cNvCnPr>
                          <a:cxnSpLocks noChangeShapeType="1"/>
                        </wps:cNvCnPr>
                        <wps:spPr bwMode="auto">
                          <a:xfrm flipH="1">
                            <a:off x="1670871" y="2763297"/>
                            <a:ext cx="2485" cy="179877"/>
                          </a:xfrm>
                          <a:prstGeom prst="straightConnector1">
                            <a:avLst/>
                          </a:prstGeom>
                          <a:noFill/>
                          <a:ln w="9525">
                            <a:solidFill>
                              <a:schemeClr val="tx1">
                                <a:lumMod val="100000"/>
                                <a:lumOff val="0"/>
                              </a:schemeClr>
                            </a:solidFill>
                            <a:round/>
                            <a:tailEnd type="triangle" w="med" len="med"/>
                          </a:ln>
                        </wps:spPr>
                        <wps:bodyPr/>
                      </wps:wsp>
                      <wps:wsp>
                        <wps:cNvPr id="77" name="Rectangle 5674"/>
                        <wps:cNvSpPr>
                          <a:spLocks noChangeArrowheads="1"/>
                        </wps:cNvSpPr>
                        <wps:spPr bwMode="auto">
                          <a:xfrm>
                            <a:off x="356871" y="2943174"/>
                            <a:ext cx="2628000" cy="288000"/>
                          </a:xfrm>
                          <a:prstGeom prst="rect">
                            <a:avLst/>
                          </a:prstGeom>
                          <a:noFill/>
                          <a:ln w="9525">
                            <a:solidFill>
                              <a:schemeClr val="tx1">
                                <a:lumMod val="100000"/>
                                <a:lumOff val="0"/>
                              </a:schemeClr>
                            </a:solidFill>
                            <a:miter lim="800000"/>
                          </a:ln>
                        </wps:spPr>
                        <wps:txbx>
                          <w:txbxContent>
                            <w:p w14:paraId="24142D47" w14:textId="77777777" w:rsidR="00A67F21" w:rsidRDefault="00000000">
                              <w:pPr>
                                <w:jc w:val="center"/>
                                <w:rPr>
                                  <w:sz w:val="21"/>
                                  <w:szCs w:val="21"/>
                                </w:rPr>
                              </w:pPr>
                              <w:r>
                                <w:rPr>
                                  <w:rFonts w:hint="eastAsia"/>
                                  <w:sz w:val="21"/>
                                  <w:szCs w:val="21"/>
                                </w:rPr>
                                <w:t>留观结束后，由病人出口离开医院</w:t>
                              </w:r>
                            </w:p>
                          </w:txbxContent>
                        </wps:txbx>
                        <wps:bodyPr rot="0" vert="horz" wrap="square" lIns="91440" tIns="45720" rIns="91440" bIns="45720" anchor="t" anchorCtr="0" upright="1">
                          <a:noAutofit/>
                        </wps:bodyPr>
                      </wps:wsp>
                      <wps:wsp>
                        <wps:cNvPr id="78" name="矩形 1899714415"/>
                        <wps:cNvSpPr/>
                        <wps:spPr>
                          <a:xfrm>
                            <a:off x="226663" y="1656784"/>
                            <a:ext cx="2894275" cy="1169138"/>
                          </a:xfrm>
                          <a:prstGeom prst="rect">
                            <a:avLst/>
                          </a:prstGeom>
                          <a:noFill/>
                          <a:ln w="9525">
                            <a:solidFill>
                              <a:schemeClr val="tx1">
                                <a:lumMod val="100000"/>
                                <a:lumOff val="0"/>
                              </a:schemeClr>
                            </a:solidFill>
                            <a:prstDash val="dash"/>
                            <a:miter lim="800000"/>
                          </a:ln>
                        </wps:spPr>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w14:anchorId="67921AFE" id="画布 1413472166" o:spid="_x0000_s1042" editas="canvas" style="width:436.2pt;height:264.85pt;mso-position-horizontal-relative:char;mso-position-vertical-relative:line" coordsize="55397,3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LeBwYAAOEmAAAOAAAAZHJzL2Uyb0RvYy54bWzsWtFu2zYUfR+wfxD0vlqkJEoy6hSBu24D&#10;sjVYu+2ZkeRYmERqlBw7+5kBe9tH7HOG/cYOSclWHLttsiZbXOdBoUiauuQ9PPde8j5/sapK5ypX&#10;TSHFxCXPPNfJRSqzQlxO3B/evvoidp2m5SLjpRT5xL3OG/fFyeefPV/W45zKuSyzXDkYRDTjZT1x&#10;521bj0ejJp3nFW+eyToXaJxJVfEWr+pylCm+xOhVOaKex0ZLqbJayTRvGtS+tI3uiRl/NsvT9vVs&#10;1uStU05cyNaapzLPC/0cnTzn40vF63mRdmLwe0hR8ULgo+uhXvKWOwtV3BqqKlIlGzlrn6WyGsnZ&#10;rEhzMwfMhnhbs5lyccUbM5kUq9MLiNJHHPfiUsst5KuiLLEaI4w+1nX6/xL6yVG5rKGdpl7rqfl3&#10;338z53VuptWM0++uzpVTZBOXQT+CVwDJ91AbF5dl7oSMEa0jLQB6vqnPlZa2qc9k+nPjCDmdo2N+&#10;qpRcznOeQTDTH7MY/EC/NPipc7H8Vmb4AF+00qhrNVOVHhCKcFYT12ckCRLXuZ64gUeTxMIjX7VO&#10;ilaK1ihGc6rbGYtoqDuM+LgfplZN+1UuK0cXJq7CPMxn+NVZ09qufZcbi87HpXCWEzcJMaSZoCyL&#10;TGvEvOjNkE9L5VxxwLhdEdOnXFSYja0jnv6z4qIemLf1pgoCmv2khzDiNsPRq6LFDiyLauLG61Hw&#10;k1IYMNiVsxpoVxcro6qo18mFzK6xrkrajQUiQGEu1a+us8SmmrjNLwuuctcpvxHQTUKCQO9C8xKE&#10;EcWLGrZcDFu4SDEUJuw6tjht7c5d1Kq4nONLdiGEPIU+Z4VZYa1rK1UnPnD7WAAmPYC1PAbkGsC0&#10;XywAeCosgNOVeLOFYdP/7XUNeBoI83EusulK2L0RufgPDFqFdui2o70b3c6sLOqv+6XqcE4AXuaB&#10;mgHk0Is8Gljo9EgPqM8szCkhYfgemDet4lofUykEEC+VVcv/GfRKLkSGDcnHLS/KL0XmtGblW1UY&#10;4gF8J26VZwBuDrumS3b77tgVFm26WWviEeEGTOzgS38Atwfny9CPfAujiMRhdIswaRTpDa8JM/Zj&#10;Yhn1EyTMuFfKkTCHFh/QsQi+QZiGjG5QHB9/AGH2Nv9DWFHv/AEXxswafXBdnARGWaDfzuwTv0Mw&#10;DVjiGTbfj+AjF8If+A+4EPrbwYWs33aP4TsGfhLCAwDVkdgL47Bzx3oYUUa1f9V5j3EQeu8xqwfr&#10;PRoroff3kQwHZBgBGjvIcO1q3817vAsZGhfxxy0XkSYxifyOFj0WRGTLuAexl5DeS6SkjzT2hEJP&#10;kBd1pPaSN3MbSWUoaTbh40PwHaN1qHIj1l67KY/Cl4wyhBaaMCNGGDFI35hdCg71fLRr55GRmBHj&#10;2e43vU+CL/eB6j5RuN1zRyLtT4e6c6SI7iTStdV5OCLd8ioThDsa3dTH0V5k0LuBtw/zb6BNYo10&#10;TS37of0E2fMgWNLvkTRkSRhqKKuLTx4xwqZBFNJkmyWHXiWNjYf5Tig9CZa8FxuuD4qPbuXQrQx6&#10;DA9jbNj/DYbvcCh5F7dywIY+8WlMIIlmQ5QDb5sN4W4G8Em0rfdZaE4ADooO99n9g6BJWLLbwTfM&#10;8AZiD06TwcaZJDik8ZkJ/TfmFjc3jOjrBuNN4lQ+fg/GngRP7kPVvfhzra8jfw75EyHu7bDcenMP&#10;e0a55+Ym8mIdvWkmjZh/2yEI4t6xjJI4Mu7CQTHpQTDmzqubaHjw/eCMGbI1jpLAJ/bjG8K8cVz5&#10;aTuW6xu1IzEOiXF9efP3b3/89efvDomTJMIFPzHn2oP4qHMDmi55oz8h7O5fKGWMIdACoREWssga&#10;5gEQcSNDo57TCEsIbhyffojzEUz3FhybOn1V4MzyjDftOVdIY4K7ozMyXuMxKyVutGVXch2do7Gr&#10;/uNmcIhFNZVIWYG9gnSmCJlUW/bFmZLVT8jgOtV5I2jqUz7SVvUv0y7pAzlgaX56arohd6rm7Rly&#10;KJAJ9cFJIAheTBqVOWnpcr50otbw3dzibzLTTv4BAAD//wMAUEsDBBQABgAIAAAAIQAQjW813QAA&#10;AAUBAAAPAAAAZHJzL2Rvd25yZXYueG1sTI/NTsMwEITvSLyDtUjcqEPa0hLiVAjEhZ5SUOHoxpsf&#10;Ya+j2E3D27P0ApeVRjOa+TbfTM6KEYfQeVJwO0tAIFXedNQoeH97uVmDCFGT0dYTKvjGAJvi8iLX&#10;mfEnKnHcxUZwCYVMK2hj7DMpQ9Wi02HmeyT2aj84HVkOjTSDPnG5szJNkjvpdEe80Ooen1qsvnZH&#10;p8CUdgwfr3U9btP5tnxefu7n+4VS11fT4wOIiFP8C8MvPqNDwUwHfyQThFXAj8TzZW+9ShcgDgqW&#10;6f0KZJHL//TFDwAAAP//AwBQSwECLQAUAAYACAAAACEAtoM4kv4AAADhAQAAEwAAAAAAAAAAAAAA&#10;AAAAAAAAW0NvbnRlbnRfVHlwZXNdLnhtbFBLAQItABQABgAIAAAAIQA4/SH/1gAAAJQBAAALAAAA&#10;AAAAAAAAAAAAAC8BAABfcmVscy8ucmVsc1BLAQItABQABgAIAAAAIQBe0XLeBwYAAOEmAAAOAAAA&#10;AAAAAAAAAAAAAC4CAABkcnMvZTJvRG9jLnhtbFBLAQItABQABgAIAAAAIQAQjW813QAAAAUBAAAP&#10;AAAAAAAAAAAAAAAAAGEIAABkcnMvZG93bnJldi54bWxQSwUGAAAAAAQABADzAAAAawkAAAAA&#10;">
                <v:shape id="_x0000_s1043" type="#_x0000_t75" style="position:absolute;width:55397;height:33635;visibility:visible;mso-wrap-style:square">
                  <v:fill o:detectmouseclick="t"/>
                  <v:path o:connecttype="none"/>
                </v:shape>
                <v:rect id="Rectangle 5661" o:spid="_x0000_s1044" style="position:absolute;left:3619;top:402;width:26198;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jFwAAAANsAAAAPAAAAZHJzL2Rvd25yZXYueG1sRE9NawIx&#10;EL0X/A9hhN5q1h6krEYRtVLx0qrgddiMm3WTyZJEXf99cyj0+Hjfs0XvrLhTiI1nBeNRAYK48rrh&#10;WsHp+Pn2ASImZI3WMyl4UoTFfPAyw1L7B//Q/ZBqkUM4lqjApNSVUsbKkMM48h1x5i4+OEwZhlrq&#10;gI8c7qx8L4qJdNhwbjDY0cpQ1R5uTkGz24fN2tr9ar017fexOl27c6vU67BfTkEk6tO/+M/9pRVM&#10;8vr8Jf8AOf8FAAD//wMAUEsBAi0AFAAGAAgAAAAhANvh9svuAAAAhQEAABMAAAAAAAAAAAAAAAAA&#10;AAAAAFtDb250ZW50X1R5cGVzXS54bWxQSwECLQAUAAYACAAAACEAWvQsW78AAAAVAQAACwAAAAAA&#10;AAAAAAAAAAAfAQAAX3JlbHMvLnJlbHNQSwECLQAUAAYACAAAACEAVm7IxcAAAADbAAAADwAAAAAA&#10;AAAAAAAAAAAHAgAAZHJzL2Rvd25yZXYueG1sUEsFBgAAAAADAAMAtwAAAPQCAAAAAA==&#10;" filled="f" strokecolor="black [3213]">
                  <v:textbox>
                    <w:txbxContent>
                      <w:p w14:paraId="16789AB3" w14:textId="77777777" w:rsidR="00A67F21" w:rsidRDefault="00000000">
                        <w:pPr>
                          <w:jc w:val="center"/>
                          <w:rPr>
                            <w:sz w:val="21"/>
                            <w:szCs w:val="21"/>
                          </w:rPr>
                        </w:pPr>
                        <w:r>
                          <w:rPr>
                            <w:rFonts w:hint="eastAsia"/>
                            <w:sz w:val="21"/>
                            <w:szCs w:val="21"/>
                          </w:rPr>
                          <w:t>病人预约检查，医生根据病人实际情况确定药物用量</w:t>
                        </w:r>
                      </w:p>
                    </w:txbxContent>
                  </v:textbox>
                </v:rect>
                <v:shape id="AutoShape 5662" o:spid="_x0000_s1045" type="#_x0000_t32" style="position:absolute;left:16676;top:5070;width:42;height:2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eXxQAAANsAAAAPAAAAZHJzL2Rvd25yZXYueG1sRI/NasMw&#10;EITvhbyD2EBvjWwH8uNGCcGQNO2tTqDtbbE2tom1MpZqu29fFQI9DjPzDbPZjaYRPXWutqwgnkUg&#10;iAuray4VXM6HpxUI55E1NpZJwQ852G0nDxtMtR34nfrclyJA2KWooPK+TaV0RUUG3cy2xMG72s6g&#10;D7Irpe5wCHDTyCSKFtJgzWGhwpayiopb/m0ULOXHS7QqTkm8nl8+v7Lcvr4drVKP03H/DMLT6P/D&#10;9/ZJK1jE8Pcl/AC5/QUAAP//AwBQSwECLQAUAAYACAAAACEA2+H2y+4AAACFAQAAEwAAAAAAAAAA&#10;AAAAAAAAAAAAW0NvbnRlbnRfVHlwZXNdLnhtbFBLAQItABQABgAIAAAAIQBa9CxbvwAAABUBAAAL&#10;AAAAAAAAAAAAAAAAAB8BAABfcmVscy8ucmVsc1BLAQItABQABgAIAAAAIQCDYJeXxQAAANsAAAAP&#10;AAAAAAAAAAAAAAAAAAcCAABkcnMvZG93bnJldi54bWxQSwUGAAAAAAMAAwC3AAAA+QIAAAAA&#10;" strokecolor="black [3213]">
                  <v:stroke endarrow="block"/>
                </v:shape>
                <v:rect id="Rectangle 5663" o:spid="_x0000_s1046" style="position:absolute;left:3537;top:7185;width:26277;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1CxxAAAANsAAAAPAAAAZHJzL2Rvd25yZXYueG1sRI9PawIx&#10;FMTvBb9DeIXearYebNkaRfxHi5dWhV4fm9fNusnLkkTdfvtGEDwOM/MbZjLrnRVnCrHxrOBlWIAg&#10;rrxuuFZw2K+f30DEhKzReiYFfxRhNh08TLDU/sLfdN6lWmQIxxIVmJS6UspYGXIYh74jzt6vDw5T&#10;lqGWOuAlw52Vo6IYS4cN5wWDHS0MVe3u5BQ0n9uwWlq7XSw3pv3aV4dj99Mq9fTYz99BJOrTPXxr&#10;f2gF41e4fsk/QE7/AQAA//8DAFBLAQItABQABgAIAAAAIQDb4fbL7gAAAIUBAAATAAAAAAAAAAAA&#10;AAAAAAAAAABbQ29udGVudF9UeXBlc10ueG1sUEsBAi0AFAAGAAgAAAAhAFr0LFu/AAAAFQEAAAsA&#10;AAAAAAAAAAAAAAAAHwEAAF9yZWxzLy5yZWxzUEsBAi0AFAAGAAgAAAAhANmHULHEAAAA2wAAAA8A&#10;AAAAAAAAAAAAAAAABwIAAGRycy9kb3ducmV2LnhtbFBLBQYAAAAAAwADALcAAAD4AgAAAAA=&#10;" filled="f" strokecolor="black [3213]">
                  <v:textbox>
                    <w:txbxContent>
                      <w:p w14:paraId="6D943E12" w14:textId="77777777" w:rsidR="00A67F21" w:rsidRDefault="00000000">
                        <w:pPr>
                          <w:jc w:val="center"/>
                          <w:rPr>
                            <w:sz w:val="21"/>
                            <w:szCs w:val="21"/>
                          </w:rPr>
                        </w:pPr>
                        <w:r>
                          <w:rPr>
                            <w:rFonts w:hint="eastAsia"/>
                            <w:sz w:val="21"/>
                            <w:szCs w:val="21"/>
                          </w:rPr>
                          <w:t>回旋加速器根据前一天预定量制备核素，制备完成后送至核素诊断场所储源室，由护士在手套箱中进行分装、活度测量后注射给药</w:t>
                        </w:r>
                      </w:p>
                      <w:p w14:paraId="6B1E39B7" w14:textId="77777777" w:rsidR="00A67F21" w:rsidRDefault="00A67F21">
                        <w:pPr>
                          <w:rPr>
                            <w:sz w:val="21"/>
                            <w:szCs w:val="21"/>
                          </w:rPr>
                        </w:pPr>
                      </w:p>
                    </w:txbxContent>
                  </v:textbox>
                </v:rect>
                <v:shape id="AutoShape 5664" o:spid="_x0000_s1047" type="#_x0000_t32" style="position:absolute;left:16678;top:15589;width:1;height:2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OfswQAAANsAAAAPAAAAZHJzL2Rvd25yZXYueG1sRE/Pa8Iw&#10;FL4P/B/CE3abqTvI6IzilIF4mlUZuz2at6auealJbOt/vxwEjx/f7/lysI3oyIfasYLpJANBXDpd&#10;c6XgePh8eQMRIrLGxjEpuFGA5WL0NMdcu5731BWxEimEQ44KTIxtLmUoDVkME9cSJ+7XeYsxQV9J&#10;7bFP4baRr1k2kxZrTg0GW1obKv+Kq1XQdLv+crqeL2bz1R2K9feP+fCtUs/jYfUOItIQH+K7e6sV&#10;zNLY9CX9ALn4BwAA//8DAFBLAQItABQABgAIAAAAIQDb4fbL7gAAAIUBAAATAAAAAAAAAAAAAAAA&#10;AAAAAABbQ29udGVudF9UeXBlc10ueG1sUEsBAi0AFAAGAAgAAAAhAFr0LFu/AAAAFQEAAAsAAAAA&#10;AAAAAAAAAAAAHwEAAF9yZWxzLy5yZWxzUEsBAi0AFAAGAAgAAAAhALfo5+zBAAAA2wAAAA8AAAAA&#10;AAAAAAAAAAAABwIAAGRycy9kb3ducmV2LnhtbFBLBQYAAAAAAwADALcAAAD1AgAAAAA=&#10;" strokecolor="black [3213]">
                  <v:stroke endarrow="block"/>
                </v:shape>
                <v:rect id="Rectangle 5666" o:spid="_x0000_s1048" style="position:absolute;left:3439;top:18058;width:26280;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FYxAAAANsAAAAPAAAAZHJzL2Rvd25yZXYueG1sRI9PawIx&#10;FMTvBb9DeIXearYepN0aRfxHi5dWhV4fm9fNusnLkkTdfvtGEDwOM/MbZjLrnRVnCrHxrOBlWIAg&#10;rrxuuFZw2K+fX0HEhKzReiYFfxRhNh08TLDU/sLfdN6lWmQIxxIVmJS6UspYGXIYh74jzt6vDw5T&#10;lqGWOuAlw52Vo6IYS4cN5wWDHS0MVe3u5BQ0n9uwWlq7XSw3pv3aV4dj99Mq9fTYz99BJOrTPXxr&#10;f2gF4ze4fsk/QE7/AQAA//8DAFBLAQItABQABgAIAAAAIQDb4fbL7gAAAIUBAAATAAAAAAAAAAAA&#10;AAAAAAAAAABbQ29udGVudF9UeXBlc10ueG1sUEsBAi0AFAAGAAgAAAAhAFr0LFu/AAAAFQEAAAsA&#10;AAAAAAAAAAAAAAAAHwEAAF9yZWxzLy5yZWxzUEsBAi0AFAAGAAgAAAAhAMdUYVjEAAAA2wAAAA8A&#10;AAAAAAAAAAAAAAAABwIAAGRycy9kb3ducmV2LnhtbFBLBQYAAAAAAwADALcAAAD4AgAAAAA=&#10;" filled="f" strokecolor="black [3213]">
                  <v:textbox>
                    <w:txbxContent>
                      <w:p w14:paraId="65C8C0B5" w14:textId="77777777" w:rsidR="00A67F21" w:rsidRDefault="00000000">
                        <w:pPr>
                          <w:rPr>
                            <w:sz w:val="21"/>
                            <w:szCs w:val="21"/>
                          </w:rPr>
                        </w:pPr>
                        <w:r>
                          <w:rPr>
                            <w:rFonts w:hint="eastAsia"/>
                            <w:sz w:val="21"/>
                            <w:szCs w:val="21"/>
                          </w:rPr>
                          <w:t>病人注射后进入</w:t>
                        </w:r>
                        <w:r>
                          <w:rPr>
                            <w:sz w:val="21"/>
                            <w:szCs w:val="21"/>
                          </w:rPr>
                          <w:t>PET</w:t>
                        </w:r>
                        <w:r>
                          <w:rPr>
                            <w:rFonts w:hint="eastAsia"/>
                            <w:sz w:val="21"/>
                            <w:szCs w:val="21"/>
                          </w:rPr>
                          <w:t>候诊室等候，直至通知进入</w:t>
                        </w:r>
                        <w:r>
                          <w:rPr>
                            <w:sz w:val="21"/>
                            <w:szCs w:val="21"/>
                          </w:rPr>
                          <w:t>PET</w:t>
                        </w:r>
                        <w:r>
                          <w:rPr>
                            <w:rFonts w:hint="eastAsia"/>
                            <w:sz w:val="21"/>
                            <w:szCs w:val="21"/>
                          </w:rPr>
                          <w:t>/CT</w:t>
                        </w:r>
                        <w:r>
                          <w:rPr>
                            <w:rFonts w:hint="eastAsia"/>
                            <w:sz w:val="21"/>
                            <w:szCs w:val="21"/>
                          </w:rPr>
                          <w:t>机房扫描检查</w:t>
                        </w:r>
                      </w:p>
                    </w:txbxContent>
                  </v:textbox>
                </v:rect>
                <v:shape id="AutoShape 5667" o:spid="_x0000_s1049" type="#_x0000_t32" style="position:absolute;left:29817;top:10647;width:4809;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kwwAAAANsAAAAPAAAAZHJzL2Rvd25yZXYueG1sRE9Na8JA&#10;EL0X/A/LCN7qpiK2ja6iQkEPFkyLeByyYxKanQ3ZaRL/vXso9Ph436vN4GrVURsqzwZepgko4tzb&#10;igsD318fz2+ggiBbrD2TgTsF2KxHTytMre/5TF0mhYohHFI0UIo0qdYhL8lhmPqGOHI33zqUCNtC&#10;2xb7GO5qPUuShXZYcWwosaF9SflP9usMfO6u80N/ucuJ34Wvx6wLwd6MmYyH7RKU0CD/4j/3wRp4&#10;jevjl/gD9PoBAAD//wMAUEsBAi0AFAAGAAgAAAAhANvh9svuAAAAhQEAABMAAAAAAAAAAAAAAAAA&#10;AAAAAFtDb250ZW50X1R5cGVzXS54bWxQSwECLQAUAAYACAAAACEAWvQsW78AAAAVAQAACwAAAAAA&#10;AAAAAAAAAAAfAQAAX3JlbHMvLnJlbHNQSwECLQAUAAYACAAAACEADWvZMMAAAADbAAAADwAAAAAA&#10;AAAAAAAAAAAHAgAAZHJzL2Rvd25yZXYueG1sUEsFBgAAAAADAAMAtwAAAPQCAAAAAA==&#10;" strokecolor="black [3213]">
                  <v:stroke dashstyle="dash" endarrow="block"/>
                </v:shape>
                <v:rect id="Rectangle 5668" o:spid="_x0000_s1050" style="position:absolute;left:34626;top:7616;width:20580;height: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lCxQAAANsAAAAPAAAAZHJzL2Rvd25yZXYueG1sRI9Ba8JA&#10;FITvBf/D8oTe6iZSrKSuImJpBQ81Vmhvj+wzG8y+jdmtif++WxA8DjPzDTNb9LYWF2p95VhBOkpA&#10;EBdOV1wq+Nq/PU1B+ICssXZMCq7kYTEfPMww067jHV3yUIoIYZ+hAhNCk0npC0MW/cg1xNE7utZi&#10;iLItpW6xi3Bby3GSTKTFiuOCwYZWhopT/msVvJ9TL5fdYb2r8s/vg9luND7/KPU47JevIAL14R6+&#10;tT+0gpcU/r/EHyDnfwAAAP//AwBQSwECLQAUAAYACAAAACEA2+H2y+4AAACFAQAAEwAAAAAAAAAA&#10;AAAAAAAAAAAAW0NvbnRlbnRfVHlwZXNdLnhtbFBLAQItABQABgAIAAAAIQBa9CxbvwAAABUBAAAL&#10;AAAAAAAAAAAAAAAAAB8BAABfcmVscy8ucmVsc1BLAQItABQABgAIAAAAIQBXd1lCxQAAANsAAAAP&#10;AAAAAAAAAAAAAAAAAAcCAABkcnMvZG93bnJldi54bWxQSwUGAAAAAAMAAwC3AAAA+QIAAAAA&#10;" filled="f" strokecolor="black [3213]">
                  <v:stroke dashstyle="dash"/>
                  <v:textbox>
                    <w:txbxContent>
                      <w:p w14:paraId="480678F7" w14:textId="77777777" w:rsidR="00A67F21" w:rsidRDefault="00000000">
                        <w:pPr>
                          <w:rPr>
                            <w:sz w:val="21"/>
                            <w:szCs w:val="21"/>
                          </w:rPr>
                        </w:pPr>
                        <w:r>
                          <w:rPr>
                            <w:sz w:val="21"/>
                            <w:szCs w:val="21"/>
                            <w:lang w:val="el-GR"/>
                          </w:rPr>
                          <w:t>γ</w:t>
                        </w:r>
                        <w:r>
                          <w:rPr>
                            <w:rFonts w:hAnsi="宋体" w:hint="eastAsia"/>
                            <w:sz w:val="21"/>
                            <w:szCs w:val="21"/>
                            <w:lang w:val="zh-CN"/>
                          </w:rPr>
                          <w:t>射线、</w:t>
                        </w:r>
                        <w:r>
                          <w:rPr>
                            <w:sz w:val="21"/>
                            <w:szCs w:val="21"/>
                            <w:lang w:val="el-GR"/>
                          </w:rPr>
                          <w:t>β</w:t>
                        </w:r>
                        <w:r>
                          <w:rPr>
                            <w:rFonts w:hint="eastAsia"/>
                            <w:sz w:val="21"/>
                            <w:szCs w:val="21"/>
                            <w:lang w:val="el-GR"/>
                          </w:rPr>
                          <w:t>射线、</w:t>
                        </w:r>
                        <w:r>
                          <w:rPr>
                            <w:sz w:val="21"/>
                            <w:szCs w:val="21"/>
                            <w:lang w:val="el-GR"/>
                          </w:rPr>
                          <w:t>β</w:t>
                        </w:r>
                        <w:r>
                          <w:rPr>
                            <w:rFonts w:ascii="宋体" w:hAnsi="宋体" w:hint="eastAsia"/>
                            <w:sz w:val="21"/>
                            <w:szCs w:val="21"/>
                            <w:lang w:val="zh-CN"/>
                          </w:rPr>
                          <w:t>表面污染</w:t>
                        </w:r>
                        <w:r>
                          <w:rPr>
                            <w:rFonts w:hAnsi="宋体" w:hint="eastAsia"/>
                            <w:sz w:val="21"/>
                            <w:szCs w:val="21"/>
                            <w:lang w:val="zh-CN"/>
                          </w:rPr>
                          <w:t>、放射性固体废物、放射性废气、放射性废水</w:t>
                        </w:r>
                      </w:p>
                    </w:txbxContent>
                  </v:textbox>
                </v:rect>
                <v:shape id="AutoShape 5669" o:spid="_x0000_s1051" type="#_x0000_t32" style="position:absolute;left:16679;top:23010;width:4;height:1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bbxQAAANsAAAAPAAAAZHJzL2Rvd25yZXYueG1sRI/NasMw&#10;EITvhbyD2EBujZwc2uJGCfkhUHJqnYbQ22JtLTfWypEU2337qlDocZiZb5jFarCN6MiH2rGC2TQD&#10;QVw6XXOl4P24v38CESKyxsYxKfimAKvl6G6BuXY9v1FXxEokCIccFZgY21zKUBqyGKauJU7ep/MW&#10;Y5K+ktpjn+C2kfMse5AWa04LBlvaGiovxc0qaLpDfz3dvq5m99odi+35w2x8q9RkPKyfQUQa4n/4&#10;r/2iFTzO4fdL+gFy+QMAAP//AwBQSwECLQAUAAYACAAAACEA2+H2y+4AAACFAQAAEwAAAAAAAAAA&#10;AAAAAAAAAAAAW0NvbnRlbnRfVHlwZXNdLnhtbFBLAQItABQABgAIAAAAIQBa9CxbvwAAABUBAAAL&#10;AAAAAAAAAAAAAAAAAB8BAABfcmVscy8ucmVsc1BLAQItABQABgAIAAAAIQBT2UbbxQAAANsAAAAP&#10;AAAAAAAAAAAAAAAAAAcCAABkcnMvZG93bnJldi54bWxQSwUGAAAAAAMAAwC3AAAA+QIAAAAA&#10;" strokecolor="black [3213]">
                  <v:stroke endarrow="block"/>
                </v:shape>
                <v:rect id="Rectangle 5670" o:spid="_x0000_s1052" style="position:absolute;left:3537;top:24752;width:262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BvxAAAANsAAAAPAAAAZHJzL2Rvd25yZXYueG1sRI9PawIx&#10;FMTvhX6H8Aq91WxbsLIapWhbKl78B14fm+dm3eRlSVJdv70pFHocZuY3zGTWOyvOFGLjWcHzoABB&#10;XHndcK1gv/t8GoGICVmj9UwKrhRhNr2/m2Cp/YU3dN6mWmQIxxIVmJS6UspYGXIYB74jzt7RB4cp&#10;y1BLHfCS4c7Kl6IYSocN5wWDHc0NVe32xylolqvwsbB2NV98mXa9q/an7tAq9fjQv49BJOrTf/iv&#10;/a0VvL3C75f8A+T0BgAA//8DAFBLAQItABQABgAIAAAAIQDb4fbL7gAAAIUBAAATAAAAAAAAAAAA&#10;AAAAAAAAAABbQ29udGVudF9UeXBlc10ueG1sUEsBAi0AFAAGAAgAAAAhAFr0LFu/AAAAFQEAAAsA&#10;AAAAAAAAAAAAAAAAHwEAAF9yZWxzLy5yZWxzUEsBAi0AFAAGAAgAAAAhACNlwG/EAAAA2wAAAA8A&#10;AAAAAAAAAAAAAAAABwIAAGRycy9kb3ducmV2LnhtbFBLBQYAAAAAAwADALcAAAD4AgAAAAA=&#10;" filled="f" strokecolor="black [3213]">
                  <v:textbox>
                    <w:txbxContent>
                      <w:p w14:paraId="415AD573" w14:textId="77777777" w:rsidR="00A67F21" w:rsidRDefault="00000000">
                        <w:pPr>
                          <w:jc w:val="center"/>
                          <w:rPr>
                            <w:sz w:val="21"/>
                            <w:szCs w:val="21"/>
                          </w:rPr>
                        </w:pPr>
                        <w:r>
                          <w:rPr>
                            <w:rFonts w:hint="eastAsia"/>
                            <w:sz w:val="21"/>
                            <w:szCs w:val="21"/>
                          </w:rPr>
                          <w:t>扫描完成后，到留观室留观</w:t>
                        </w:r>
                      </w:p>
                    </w:txbxContent>
                  </v:textbox>
                </v:rect>
                <v:shape id="AutoShape 5671" o:spid="_x0000_s1053" type="#_x0000_t32" style="position:absolute;left:31328;top:21324;width:3298;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xixAAAANsAAAAPAAAAZHJzL2Rvd25yZXYueG1sRI9Pi8Iw&#10;FMTvgt8hPMHbmvqHulajiOCyeNK6iMdH82yLzUttslq//UZY8DjMzG+Yxao1lbhT40rLCoaDCARx&#10;ZnXJuYKf4/bjE4TzyBory6TgSQ5Wy25ngYm2Dz7QPfW5CBB2CSoovK8TKV1WkEE3sDVx8C62MeiD&#10;bHKpG3wEuKnkKIpiabDksFBgTZuCsmv6axTU+3MaT+LnjmfV1/hWbvanWZYr1e+16zkIT61/h//b&#10;31rBdAKvL+EHyOUfAAAA//8DAFBLAQItABQABgAIAAAAIQDb4fbL7gAAAIUBAAATAAAAAAAAAAAA&#10;AAAAAAAAAABbQ29udGVudF9UeXBlc10ueG1sUEsBAi0AFAAGAAgAAAAhAFr0LFu/AAAAFQEAAAsA&#10;AAAAAAAAAAAAAAAAHwEAAF9yZWxzLy5yZWxzUEsBAi0AFAAGAAgAAAAhAHK6PGLEAAAA2wAAAA8A&#10;AAAAAAAAAAAAAAAABwIAAGRycy9kb3ducmV2LnhtbFBLBQYAAAAAAwADALcAAAD4AgAAAAA=&#10;" strokecolor="black [3213]">
                  <v:stroke dashstyle="dash" endarrow="block"/>
                </v:shape>
                <v:rect id="Rectangle 5672" o:spid="_x0000_s1054" style="position:absolute;left:34626;top:19023;width:19761;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9BxQAAANsAAAAPAAAAZHJzL2Rvd25yZXYueG1sRI9Ba8JA&#10;FITvgv9heYI33VhsLamrSFFswYOmFdrbI/vMBrNvY3Zr0n/fFQoeh5n5hpkvO1uJKzW+dKxgMk5A&#10;EOdOl1wo+PzYjJ5B+ICssXJMCn7Jw3LR780x1a7lA12zUIgIYZ+iAhNCnUrpc0MW/djVxNE7ucZi&#10;iLIppG6wjXBbyYckeZIWS44LBmt6NZSfsx+rYHuZeLlqj+tDme2/jmb3rnH6rdRw0K1eQATqwj38&#10;337TCmaPcPsSf4Bc/AEAAP//AwBQSwECLQAUAAYACAAAACEA2+H2y+4AAACFAQAAEwAAAAAAAAAA&#10;AAAAAAAAAAAAW0NvbnRlbnRfVHlwZXNdLnhtbFBLAQItABQABgAIAAAAIQBa9CxbvwAAABUBAAAL&#10;AAAAAAAAAAAAAAAAAB8BAABfcmVscy8ucmVsc1BLAQItABQABgAIAAAAIQAoTF9BxQAAANsAAAAP&#10;AAAAAAAAAAAAAAAAAAcCAABkcnMvZG93bnJldi54bWxQSwUGAAAAAAMAAwC3AAAA+QIAAAAA&#10;" filled="f" strokecolor="black [3213]">
                  <v:stroke dashstyle="dash"/>
                  <v:textbox>
                    <w:txbxContent>
                      <w:p w14:paraId="35E7E6E6" w14:textId="77777777" w:rsidR="00A67F21" w:rsidRDefault="00000000">
                        <w:pPr>
                          <w:rPr>
                            <w:rFonts w:hAnsi="宋体" w:hint="eastAsia"/>
                            <w:sz w:val="21"/>
                            <w:szCs w:val="21"/>
                            <w:lang w:val="zh-CN"/>
                          </w:rPr>
                        </w:pPr>
                        <w:r>
                          <w:rPr>
                            <w:sz w:val="21"/>
                            <w:szCs w:val="21"/>
                            <w:lang w:val="el-GR"/>
                          </w:rPr>
                          <w:t>γ</w:t>
                        </w:r>
                        <w:r>
                          <w:rPr>
                            <w:rFonts w:hAnsi="宋体" w:hint="eastAsia"/>
                            <w:sz w:val="21"/>
                            <w:szCs w:val="21"/>
                            <w:lang w:val="zh-CN"/>
                          </w:rPr>
                          <w:t>射线、</w:t>
                        </w:r>
                        <w:r>
                          <w:rPr>
                            <w:sz w:val="21"/>
                            <w:szCs w:val="21"/>
                            <w:lang w:val="el-GR"/>
                          </w:rPr>
                          <w:t>β</w:t>
                        </w:r>
                        <w:r>
                          <w:rPr>
                            <w:rFonts w:hAnsi="宋体" w:hint="eastAsia"/>
                            <w:sz w:val="21"/>
                            <w:szCs w:val="21"/>
                            <w:lang w:val="zh-CN"/>
                          </w:rPr>
                          <w:t>表面污染、放射性废水、放射性固废、</w:t>
                        </w:r>
                        <w:r>
                          <w:rPr>
                            <w:rFonts w:hAnsi="宋体" w:hint="eastAsia"/>
                            <w:sz w:val="21"/>
                            <w:szCs w:val="21"/>
                            <w:lang w:val="zh-CN"/>
                          </w:rPr>
                          <w:t>X</w:t>
                        </w:r>
                        <w:r>
                          <w:rPr>
                            <w:rFonts w:hAnsi="宋体"/>
                            <w:sz w:val="21"/>
                            <w:szCs w:val="21"/>
                            <w:lang w:val="zh-CN"/>
                          </w:rPr>
                          <w:t>射线</w:t>
                        </w:r>
                        <w:r>
                          <w:rPr>
                            <w:rFonts w:hAnsi="宋体" w:hint="eastAsia"/>
                            <w:sz w:val="21"/>
                            <w:szCs w:val="21"/>
                            <w:lang w:val="zh-CN"/>
                          </w:rPr>
                          <w:t>、臭氧、氮氧化物</w:t>
                        </w:r>
                      </w:p>
                    </w:txbxContent>
                  </v:textbox>
                </v:rect>
                <v:shape id="AutoShape 5673" o:spid="_x0000_s1055" type="#_x0000_t32" style="position:absolute;left:16708;top:27632;width:25;height:17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k+wgAAANsAAAAPAAAAZHJzL2Rvd25yZXYueG1sRI9Bi8Iw&#10;FITvgv8hPMGbpiq4Wo0igq7uzSqot0fzbIvNS2midv+9WVjwOMx8M8x82ZhSPKl2hWUFg34Egji1&#10;uuBMwem46U1AOI+ssbRMCn7JwXLRbs0x1vbFB3omPhOhhF2MCnLvq1hKl+Zk0PVtRRy8m60N+iDr&#10;TOoaX6HclHIYRWNpsOCwkGNF65zSe/IwCr7k+TuapLvhYDo6Xa7rxO5/tlapbqdZzUB4avwn/E/v&#10;dODG8Pcl/AC5eAMAAP//AwBQSwECLQAUAAYACAAAACEA2+H2y+4AAACFAQAAEwAAAAAAAAAAAAAA&#10;AAAAAAAAW0NvbnRlbnRfVHlwZXNdLnhtbFBLAQItABQABgAIAAAAIQBa9CxbvwAAABUBAAALAAAA&#10;AAAAAAAAAAAAAB8BAABfcmVscy8ucmVsc1BLAQItABQABgAIAAAAIQCJUJk+wgAAANsAAAAPAAAA&#10;AAAAAAAAAAAAAAcCAABkcnMvZG93bnJldi54bWxQSwUGAAAAAAMAAwC3AAAA9gIAAAAA&#10;" strokecolor="black [3213]">
                  <v:stroke endarrow="block"/>
                </v:shape>
                <v:rect id="Rectangle 5674" o:spid="_x0000_s1056" style="position:absolute;left:3568;top:29431;width:262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ZsxAAAANsAAAAPAAAAZHJzL2Rvd25yZXYueG1sRI9BawIx&#10;FITvQv9DeIXeNNseatkaRbQtipdWhV4fm9fNusnLkqS6/nsjCB6HmfmGmcx6Z8WRQmw8K3geFSCI&#10;K68brhXsd5/DNxAxIWu0nknBmSLMpg+DCZban/iHjttUiwzhWKICk1JXShkrQw7jyHfE2fvzwWHK&#10;MtRSBzxluLPypShepcOG84LBjhaGqnb77xQ06034WFq7WSy/TPu9q/aH7rdV6umxn7+DSNSne/jW&#10;XmkF4zFcv+QfIKcXAAAA//8DAFBLAQItABQABgAIAAAAIQDb4fbL7gAAAIUBAAATAAAAAAAAAAAA&#10;AAAAAAAAAABbQ29udGVudF9UeXBlc10ueG1sUEsBAi0AFAAGAAgAAAAhAFr0LFu/AAAAFQEAAAsA&#10;AAAAAAAAAAAAAAAAHwEAAF9yZWxzLy5yZWxzUEsBAi0AFAAGAAgAAAAhAFxexmzEAAAA2wAAAA8A&#10;AAAAAAAAAAAAAAAABwIAAGRycy9kb3ducmV2LnhtbFBLBQYAAAAAAwADALcAAAD4AgAAAAA=&#10;" filled="f" strokecolor="black [3213]">
                  <v:textbox>
                    <w:txbxContent>
                      <w:p w14:paraId="24142D47" w14:textId="77777777" w:rsidR="00A67F21" w:rsidRDefault="00000000">
                        <w:pPr>
                          <w:jc w:val="center"/>
                          <w:rPr>
                            <w:sz w:val="21"/>
                            <w:szCs w:val="21"/>
                          </w:rPr>
                        </w:pPr>
                        <w:r>
                          <w:rPr>
                            <w:rFonts w:hint="eastAsia"/>
                            <w:sz w:val="21"/>
                            <w:szCs w:val="21"/>
                          </w:rPr>
                          <w:t>留观结束后，由病人出口离开医院</w:t>
                        </w:r>
                      </w:p>
                    </w:txbxContent>
                  </v:textbox>
                </v:rect>
                <v:rect id="矩形 1899714415" o:spid="_x0000_s1057" style="position:absolute;left:2266;top:16567;width:28943;height:1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5kwQAAANsAAAAPAAAAZHJzL2Rvd25yZXYueG1sRE9Na8JA&#10;EL0X/A/LCN7qRgVboquIIJRWC7UWPA670yQ0Oxuz0xj/vXso9Ph438t172vVURurwAYm4wwUsQ2u&#10;4sLA6XP3+AwqCrLDOjAZuFGE9WrwsMTchSt/UHeUQqUQjjkaKEWaXOtoS/IYx6EhTtx3aD1Kgm2h&#10;XYvXFO5rPc2yufZYcWoosaFtSfbn+OsNvFtrZ3OZvtpLt8++qvPhbXMSY0bDfrMAJdTLv/jP/eIM&#10;PKWx6Uv6AXp1BwAA//8DAFBLAQItABQABgAIAAAAIQDb4fbL7gAAAIUBAAATAAAAAAAAAAAAAAAA&#10;AAAAAABbQ29udGVudF9UeXBlc10ueG1sUEsBAi0AFAAGAAgAAAAhAFr0LFu/AAAAFQEAAAsAAAAA&#10;AAAAAAAAAAAAHwEAAF9yZWxzLy5yZWxzUEsBAi0AFAAGAAgAAAAhAA0m3mTBAAAA2wAAAA8AAAAA&#10;AAAAAAAAAAAABwIAAGRycy9kb3ducmV2LnhtbFBLBQYAAAAAAwADALcAAAD1AgAAAAA=&#10;" filled="f" strokecolor="black [3213]">
                  <v:stroke dashstyle="dash"/>
                </v:rect>
                <w10:anchorlock/>
              </v:group>
            </w:pict>
          </mc:Fallback>
        </mc:AlternateContent>
      </w:r>
    </w:p>
    <w:p w14:paraId="2EEEB8E9" w14:textId="77777777" w:rsidR="00A67F21" w:rsidRPr="00B12FE0" w:rsidRDefault="00000000">
      <w:pPr>
        <w:adjustRightInd w:val="0"/>
        <w:snapToGrid w:val="0"/>
        <w:spacing w:line="360" w:lineRule="auto"/>
        <w:jc w:val="center"/>
        <w:rPr>
          <w:b/>
          <w:bCs/>
          <w:color w:val="000000" w:themeColor="text1"/>
          <w:sz w:val="21"/>
          <w:szCs w:val="24"/>
        </w:rPr>
      </w:pPr>
      <w:r w:rsidRPr="00B12FE0">
        <w:rPr>
          <w:b/>
          <w:bCs/>
          <w:color w:val="000000" w:themeColor="text1"/>
          <w:sz w:val="21"/>
          <w:szCs w:val="24"/>
        </w:rPr>
        <w:t>图</w:t>
      </w:r>
      <w:r w:rsidRPr="00B12FE0">
        <w:rPr>
          <w:b/>
          <w:bCs/>
          <w:color w:val="000000" w:themeColor="text1"/>
          <w:sz w:val="21"/>
          <w:szCs w:val="24"/>
        </w:rPr>
        <w:t>9.</w:t>
      </w:r>
      <w:r w:rsidRPr="00B12FE0">
        <w:rPr>
          <w:rFonts w:hint="eastAsia"/>
          <w:b/>
          <w:bCs/>
          <w:color w:val="000000" w:themeColor="text1"/>
          <w:sz w:val="21"/>
          <w:szCs w:val="24"/>
        </w:rPr>
        <w:t>1.1.3-5</w:t>
      </w:r>
      <w:r w:rsidRPr="00B12FE0">
        <w:rPr>
          <w:b/>
          <w:bCs/>
          <w:color w:val="000000" w:themeColor="text1"/>
          <w:sz w:val="21"/>
          <w:szCs w:val="24"/>
        </w:rPr>
        <w:t xml:space="preserve"> PET/CT</w:t>
      </w:r>
      <w:r w:rsidRPr="00B12FE0">
        <w:rPr>
          <w:rFonts w:hint="eastAsia"/>
          <w:b/>
          <w:bCs/>
          <w:color w:val="000000" w:themeColor="text1"/>
          <w:sz w:val="21"/>
          <w:szCs w:val="24"/>
        </w:rPr>
        <w:t>显像</w:t>
      </w:r>
      <w:r w:rsidRPr="00B12FE0">
        <w:rPr>
          <w:b/>
          <w:bCs/>
          <w:color w:val="000000" w:themeColor="text1"/>
          <w:sz w:val="21"/>
          <w:szCs w:val="24"/>
        </w:rPr>
        <w:t>诊断</w:t>
      </w:r>
      <w:r w:rsidRPr="00B12FE0">
        <w:rPr>
          <w:rFonts w:hint="eastAsia"/>
          <w:b/>
          <w:bCs/>
          <w:color w:val="000000" w:themeColor="text1"/>
          <w:sz w:val="21"/>
          <w:szCs w:val="24"/>
        </w:rPr>
        <w:t>的</w:t>
      </w:r>
      <w:r w:rsidRPr="00B12FE0">
        <w:rPr>
          <w:b/>
          <w:bCs/>
          <w:color w:val="000000" w:themeColor="text1"/>
          <w:sz w:val="21"/>
          <w:szCs w:val="24"/>
        </w:rPr>
        <w:t>工艺流程</w:t>
      </w:r>
      <w:proofErr w:type="gramStart"/>
      <w:r w:rsidRPr="00B12FE0">
        <w:rPr>
          <w:rFonts w:hint="eastAsia"/>
          <w:b/>
          <w:bCs/>
          <w:color w:val="000000" w:themeColor="text1"/>
          <w:sz w:val="21"/>
          <w:szCs w:val="24"/>
        </w:rPr>
        <w:t>与</w:t>
      </w:r>
      <w:r w:rsidRPr="00B12FE0">
        <w:rPr>
          <w:b/>
          <w:bCs/>
          <w:color w:val="000000" w:themeColor="text1"/>
          <w:sz w:val="21"/>
          <w:szCs w:val="24"/>
        </w:rPr>
        <w:t>产污环节</w:t>
      </w:r>
      <w:proofErr w:type="gramEnd"/>
      <w:r w:rsidRPr="00B12FE0">
        <w:rPr>
          <w:b/>
          <w:bCs/>
          <w:color w:val="000000" w:themeColor="text1"/>
          <w:sz w:val="21"/>
          <w:szCs w:val="24"/>
        </w:rPr>
        <w:t>图</w:t>
      </w:r>
    </w:p>
    <w:p w14:paraId="1738924C" w14:textId="77777777" w:rsidR="00A67F21" w:rsidRPr="00B12FE0" w:rsidRDefault="00000000">
      <w:pPr>
        <w:snapToGrid w:val="0"/>
        <w:spacing w:line="360" w:lineRule="auto"/>
        <w:ind w:firstLineChars="200" w:firstLine="480"/>
        <w:rPr>
          <w:bCs/>
          <w:color w:val="000000" w:themeColor="text1"/>
          <w:szCs w:val="24"/>
        </w:rPr>
      </w:pPr>
      <w:r w:rsidRPr="00B12FE0">
        <w:rPr>
          <w:rFonts w:hint="eastAsia"/>
          <w:color w:val="000000" w:themeColor="text1"/>
        </w:rPr>
        <w:t>因此，</w:t>
      </w:r>
      <w:r w:rsidRPr="00B12FE0">
        <w:rPr>
          <w:color w:val="000000" w:themeColor="text1"/>
        </w:rPr>
        <w:t>PET/CT</w:t>
      </w:r>
      <w:r w:rsidRPr="00B12FE0">
        <w:rPr>
          <w:rFonts w:hint="eastAsia"/>
          <w:color w:val="000000" w:themeColor="text1"/>
        </w:rPr>
        <w:t>使用</w:t>
      </w:r>
      <w:r w:rsidRPr="00B12FE0">
        <w:rPr>
          <w:bCs/>
          <w:color w:val="000000" w:themeColor="text1"/>
          <w:szCs w:val="24"/>
          <w:vertAlign w:val="superscript"/>
        </w:rPr>
        <w:t>18</w:t>
      </w:r>
      <w:r w:rsidRPr="00B12FE0">
        <w:rPr>
          <w:bCs/>
          <w:color w:val="000000" w:themeColor="text1"/>
          <w:szCs w:val="24"/>
        </w:rPr>
        <w:t>F</w:t>
      </w:r>
      <w:r w:rsidRPr="00B12FE0">
        <w:rPr>
          <w:rFonts w:hint="eastAsia"/>
          <w:bCs/>
          <w:color w:val="000000" w:themeColor="text1"/>
          <w:szCs w:val="24"/>
        </w:rPr>
        <w:t>核素进行显像诊断的污染因子为</w:t>
      </w:r>
      <w:r w:rsidRPr="00B12FE0">
        <w:rPr>
          <w:bCs/>
          <w:color w:val="000000" w:themeColor="text1"/>
          <w:szCs w:val="24"/>
        </w:rPr>
        <w:t>γ</w:t>
      </w:r>
      <w:r w:rsidRPr="00B12FE0">
        <w:rPr>
          <w:rFonts w:hint="eastAsia"/>
          <w:bCs/>
          <w:color w:val="000000" w:themeColor="text1"/>
          <w:szCs w:val="24"/>
        </w:rPr>
        <w:t>射线、</w:t>
      </w:r>
      <w:r w:rsidRPr="00B12FE0">
        <w:rPr>
          <w:bCs/>
          <w:color w:val="000000" w:themeColor="text1"/>
          <w:szCs w:val="24"/>
        </w:rPr>
        <w:t>β</w:t>
      </w:r>
      <w:r w:rsidRPr="00B12FE0">
        <w:rPr>
          <w:rFonts w:hint="eastAsia"/>
          <w:bCs/>
          <w:color w:val="000000" w:themeColor="text1"/>
          <w:szCs w:val="24"/>
        </w:rPr>
        <w:t>射线、</w:t>
      </w:r>
      <w:r w:rsidRPr="00B12FE0">
        <w:rPr>
          <w:bCs/>
          <w:color w:val="000000" w:themeColor="text1"/>
          <w:szCs w:val="24"/>
        </w:rPr>
        <w:t>β</w:t>
      </w:r>
      <w:r w:rsidRPr="00B12FE0">
        <w:rPr>
          <w:rFonts w:hint="eastAsia"/>
          <w:bCs/>
          <w:color w:val="000000" w:themeColor="text1"/>
          <w:szCs w:val="24"/>
        </w:rPr>
        <w:t>表面污染、放射性废水、放射性废气和放射性固体废物、</w:t>
      </w:r>
      <w:r w:rsidRPr="00B12FE0">
        <w:rPr>
          <w:rFonts w:hint="eastAsia"/>
          <w:bCs/>
          <w:color w:val="000000" w:themeColor="text1"/>
          <w:szCs w:val="24"/>
        </w:rPr>
        <w:t>X</w:t>
      </w:r>
      <w:r w:rsidRPr="00B12FE0">
        <w:rPr>
          <w:rFonts w:hint="eastAsia"/>
          <w:bCs/>
          <w:color w:val="000000" w:themeColor="text1"/>
          <w:szCs w:val="24"/>
        </w:rPr>
        <w:t>射线、臭氧、氮氧化物。</w:t>
      </w:r>
    </w:p>
    <w:p w14:paraId="7051244E" w14:textId="77777777" w:rsidR="00A67F21" w:rsidRPr="00B12FE0" w:rsidRDefault="00000000">
      <w:pPr>
        <w:snapToGrid w:val="0"/>
        <w:spacing w:line="360" w:lineRule="auto"/>
        <w:outlineLvl w:val="4"/>
        <w:rPr>
          <w:b/>
          <w:color w:val="000000" w:themeColor="text1"/>
        </w:rPr>
      </w:pPr>
      <w:r w:rsidRPr="00B12FE0">
        <w:rPr>
          <w:b/>
          <w:color w:val="000000" w:themeColor="text1"/>
        </w:rPr>
        <w:t>9.</w:t>
      </w:r>
      <w:r w:rsidRPr="00B12FE0">
        <w:rPr>
          <w:rFonts w:hint="eastAsia"/>
          <w:b/>
          <w:color w:val="000000" w:themeColor="text1"/>
        </w:rPr>
        <w:t>1.1.3.4  PET</w:t>
      </w:r>
      <w:r w:rsidRPr="00B12FE0">
        <w:rPr>
          <w:rFonts w:hint="eastAsia"/>
          <w:b/>
          <w:color w:val="000000" w:themeColor="text1"/>
        </w:rPr>
        <w:t>配套校准源</w:t>
      </w:r>
    </w:p>
    <w:p w14:paraId="73EAB51A" w14:textId="77777777" w:rsidR="00A67F21" w:rsidRPr="00B12FE0" w:rsidRDefault="00000000">
      <w:pPr>
        <w:adjustRightInd w:val="0"/>
        <w:snapToGrid w:val="0"/>
        <w:spacing w:line="360" w:lineRule="auto"/>
        <w:ind w:firstLineChars="200" w:firstLine="480"/>
        <w:rPr>
          <w:bCs/>
          <w:color w:val="000000" w:themeColor="text1"/>
        </w:rPr>
      </w:pPr>
      <w:r w:rsidRPr="00B12FE0">
        <w:rPr>
          <w:bCs/>
          <w:color w:val="000000" w:themeColor="text1"/>
        </w:rPr>
        <w:t>PET/CT</w:t>
      </w:r>
      <w:r w:rsidRPr="00B12FE0">
        <w:rPr>
          <w:rFonts w:hint="eastAsia"/>
          <w:bCs/>
          <w:color w:val="000000" w:themeColor="text1"/>
        </w:rPr>
        <w:t>需</w:t>
      </w:r>
      <w:r w:rsidRPr="00B12FE0">
        <w:rPr>
          <w:bCs/>
          <w:color w:val="000000" w:themeColor="text1"/>
        </w:rPr>
        <w:t>配置校准源，</w:t>
      </w:r>
      <w:r w:rsidRPr="00B12FE0">
        <w:rPr>
          <w:rFonts w:hint="eastAsia"/>
          <w:bCs/>
          <w:color w:val="000000" w:themeColor="text1"/>
        </w:rPr>
        <w:t>因本项目</w:t>
      </w:r>
      <w:r w:rsidRPr="00B12FE0">
        <w:rPr>
          <w:bCs/>
          <w:color w:val="000000" w:themeColor="text1"/>
        </w:rPr>
        <w:t>PET/CT</w:t>
      </w:r>
      <w:r w:rsidRPr="00B12FE0">
        <w:rPr>
          <w:rFonts w:hint="eastAsia"/>
          <w:bCs/>
          <w:color w:val="000000" w:themeColor="text1"/>
        </w:rPr>
        <w:t>尚未确定型号，故尚不能明确其校准源活度和数量，本报告保守按照市场主流型号</w:t>
      </w:r>
      <w:r w:rsidRPr="00B12FE0">
        <w:rPr>
          <w:bCs/>
          <w:color w:val="000000" w:themeColor="text1"/>
        </w:rPr>
        <w:t>PET/CT</w:t>
      </w:r>
      <w:r w:rsidRPr="00B12FE0">
        <w:rPr>
          <w:rFonts w:hint="eastAsia"/>
          <w:bCs/>
          <w:color w:val="000000" w:themeColor="text1"/>
        </w:rPr>
        <w:t>所配备最大活度校准源和数量，即</w:t>
      </w:r>
      <w:r w:rsidRPr="00B12FE0">
        <w:rPr>
          <w:bCs/>
          <w:color w:val="000000" w:themeColor="text1"/>
        </w:rPr>
        <w:t>1</w:t>
      </w:r>
      <w:r w:rsidRPr="00B12FE0">
        <w:rPr>
          <w:bCs/>
          <w:color w:val="000000" w:themeColor="text1"/>
        </w:rPr>
        <w:t>枚</w:t>
      </w:r>
      <w:r w:rsidRPr="00B12FE0">
        <w:rPr>
          <w:bCs/>
          <w:color w:val="000000" w:themeColor="text1"/>
        </w:rPr>
        <w:t>1.11</w:t>
      </w:r>
      <w:r w:rsidRPr="00B12FE0">
        <w:rPr>
          <w:rFonts w:hint="eastAsia"/>
          <w:bCs/>
          <w:color w:val="000000" w:themeColor="text1"/>
        </w:rPr>
        <w:t>E+08</w:t>
      </w:r>
      <w:r w:rsidRPr="00B12FE0">
        <w:rPr>
          <w:bCs/>
          <w:color w:val="000000" w:themeColor="text1"/>
        </w:rPr>
        <w:t>Bq</w:t>
      </w:r>
      <w:r w:rsidRPr="00B12FE0">
        <w:rPr>
          <w:rFonts w:hint="eastAsia"/>
          <w:bCs/>
          <w:color w:val="000000" w:themeColor="text1"/>
        </w:rPr>
        <w:t>的</w:t>
      </w:r>
      <w:r w:rsidRPr="00B12FE0">
        <w:rPr>
          <w:bCs/>
          <w:color w:val="000000" w:themeColor="text1"/>
          <w:vertAlign w:val="superscript"/>
        </w:rPr>
        <w:t>68</w:t>
      </w:r>
      <w:r w:rsidRPr="00B12FE0">
        <w:rPr>
          <w:bCs/>
          <w:color w:val="000000" w:themeColor="text1"/>
        </w:rPr>
        <w:t>Ge</w:t>
      </w:r>
      <w:r w:rsidRPr="00B12FE0">
        <w:rPr>
          <w:bCs/>
          <w:color w:val="000000" w:themeColor="text1"/>
        </w:rPr>
        <w:t>校准源和</w:t>
      </w:r>
      <w:r w:rsidRPr="00B12FE0">
        <w:rPr>
          <w:rFonts w:hint="eastAsia"/>
          <w:bCs/>
          <w:color w:val="000000" w:themeColor="text1"/>
        </w:rPr>
        <w:t>2</w:t>
      </w:r>
      <w:r w:rsidRPr="00B12FE0">
        <w:rPr>
          <w:bCs/>
          <w:color w:val="000000" w:themeColor="text1"/>
        </w:rPr>
        <w:t>枚</w:t>
      </w:r>
      <w:r w:rsidRPr="00B12FE0">
        <w:rPr>
          <w:bCs/>
          <w:color w:val="000000" w:themeColor="text1"/>
        </w:rPr>
        <w:t>5.55</w:t>
      </w:r>
      <w:r w:rsidRPr="00B12FE0">
        <w:rPr>
          <w:rFonts w:hint="eastAsia"/>
          <w:bCs/>
          <w:color w:val="000000" w:themeColor="text1"/>
        </w:rPr>
        <w:t>E+07</w:t>
      </w:r>
      <w:r w:rsidRPr="00B12FE0">
        <w:rPr>
          <w:bCs/>
          <w:color w:val="000000" w:themeColor="text1"/>
        </w:rPr>
        <w:t>Bq</w:t>
      </w:r>
      <w:r w:rsidRPr="00B12FE0">
        <w:rPr>
          <w:rFonts w:hint="eastAsia"/>
          <w:bCs/>
          <w:color w:val="000000" w:themeColor="text1"/>
        </w:rPr>
        <w:t>的</w:t>
      </w:r>
      <w:r w:rsidRPr="00B12FE0">
        <w:rPr>
          <w:bCs/>
          <w:color w:val="000000" w:themeColor="text1"/>
          <w:vertAlign w:val="superscript"/>
        </w:rPr>
        <w:t>68</w:t>
      </w:r>
      <w:r w:rsidRPr="00B12FE0">
        <w:rPr>
          <w:bCs/>
          <w:color w:val="000000" w:themeColor="text1"/>
        </w:rPr>
        <w:t>Ge</w:t>
      </w:r>
      <w:r w:rsidRPr="00B12FE0">
        <w:rPr>
          <w:bCs/>
          <w:color w:val="000000" w:themeColor="text1"/>
        </w:rPr>
        <w:t>校准源</w:t>
      </w:r>
      <w:r w:rsidRPr="00B12FE0">
        <w:rPr>
          <w:rFonts w:hint="eastAsia"/>
          <w:bCs/>
          <w:color w:val="000000" w:themeColor="text1"/>
        </w:rPr>
        <w:t>，均为</w:t>
      </w:r>
      <w:r w:rsidRPr="00B12FE0">
        <w:rPr>
          <w:rFonts w:hint="eastAsia"/>
          <w:bCs/>
          <w:color w:val="000000" w:themeColor="text1"/>
        </w:rPr>
        <w:t>V</w:t>
      </w:r>
      <w:r w:rsidRPr="00B12FE0">
        <w:rPr>
          <w:rFonts w:hint="eastAsia"/>
          <w:bCs/>
          <w:color w:val="000000" w:themeColor="text1"/>
        </w:rPr>
        <w:t>类放射源</w:t>
      </w:r>
      <w:r w:rsidRPr="00B12FE0">
        <w:rPr>
          <w:bCs/>
          <w:color w:val="000000" w:themeColor="text1"/>
        </w:rPr>
        <w:t>。</w:t>
      </w:r>
    </w:p>
    <w:p w14:paraId="0E328E86" w14:textId="77777777" w:rsidR="00A67F21" w:rsidRPr="00B12FE0" w:rsidRDefault="00000000">
      <w:pPr>
        <w:pStyle w:val="afb"/>
        <w:topLinePunct/>
        <w:adjustRightInd w:val="0"/>
        <w:snapToGrid w:val="0"/>
        <w:spacing w:after="0" w:line="360" w:lineRule="auto"/>
        <w:ind w:firstLineChars="200" w:firstLine="480"/>
        <w:rPr>
          <w:color w:val="000000" w:themeColor="text1"/>
        </w:rPr>
      </w:pPr>
      <w:r w:rsidRPr="00B12FE0">
        <w:rPr>
          <w:color w:val="000000" w:themeColor="text1"/>
        </w:rPr>
        <w:t>密封校准源</w:t>
      </w:r>
      <w:r w:rsidRPr="00B12FE0">
        <w:rPr>
          <w:bCs/>
          <w:color w:val="000000" w:themeColor="text1"/>
          <w:vertAlign w:val="superscript"/>
        </w:rPr>
        <w:t>68</w:t>
      </w:r>
      <w:r w:rsidRPr="00B12FE0">
        <w:rPr>
          <w:bCs/>
          <w:color w:val="000000" w:themeColor="text1"/>
        </w:rPr>
        <w:t>Ge</w:t>
      </w:r>
      <w:r w:rsidRPr="00B12FE0">
        <w:rPr>
          <w:color w:val="000000" w:themeColor="text1"/>
        </w:rPr>
        <w:t>主要用于</w:t>
      </w:r>
      <w:r w:rsidRPr="00B12FE0">
        <w:rPr>
          <w:color w:val="000000" w:themeColor="text1"/>
        </w:rPr>
        <w:t>PET</w:t>
      </w:r>
      <w:r w:rsidRPr="00B12FE0">
        <w:rPr>
          <w:color w:val="000000" w:themeColor="text1"/>
        </w:rPr>
        <w:t>的能量及图像校准，</w:t>
      </w:r>
      <w:r w:rsidRPr="00B12FE0">
        <w:rPr>
          <w:rFonts w:hint="eastAsia"/>
          <w:color w:val="000000" w:themeColor="text1"/>
        </w:rPr>
        <w:t>3</w:t>
      </w:r>
      <w:r w:rsidRPr="00B12FE0">
        <w:rPr>
          <w:color w:val="000000" w:themeColor="text1"/>
        </w:rPr>
        <w:t>枚</w:t>
      </w:r>
      <w:r w:rsidRPr="00B12FE0">
        <w:rPr>
          <w:bCs/>
          <w:color w:val="000000" w:themeColor="text1"/>
          <w:vertAlign w:val="superscript"/>
        </w:rPr>
        <w:t>68</w:t>
      </w:r>
      <w:r w:rsidRPr="00B12FE0">
        <w:rPr>
          <w:bCs/>
          <w:color w:val="000000" w:themeColor="text1"/>
        </w:rPr>
        <w:t>Ge</w:t>
      </w:r>
      <w:r w:rsidRPr="00B12FE0">
        <w:rPr>
          <w:color w:val="000000" w:themeColor="text1"/>
        </w:rPr>
        <w:t>校准源平常存放于</w:t>
      </w:r>
      <w:r w:rsidRPr="00B12FE0">
        <w:rPr>
          <w:rFonts w:hint="eastAsia"/>
          <w:color w:val="000000" w:themeColor="text1"/>
        </w:rPr>
        <w:t>核医学工作场所储源室</w:t>
      </w:r>
      <w:r w:rsidRPr="00B12FE0">
        <w:rPr>
          <w:color w:val="000000" w:themeColor="text1"/>
        </w:rPr>
        <w:t>保险箱内。当</w:t>
      </w:r>
      <w:r w:rsidRPr="00B12FE0">
        <w:rPr>
          <w:color w:val="000000" w:themeColor="text1"/>
        </w:rPr>
        <w:t>PET</w:t>
      </w:r>
      <w:r w:rsidRPr="00B12FE0">
        <w:rPr>
          <w:color w:val="000000" w:themeColor="text1"/>
        </w:rPr>
        <w:t>图像空间位置不准确时，由专人从校准保险箱内取出，在</w:t>
      </w:r>
      <w:r w:rsidRPr="00B12FE0">
        <w:rPr>
          <w:bCs/>
          <w:color w:val="000000" w:themeColor="text1"/>
          <w:kern w:val="2"/>
        </w:rPr>
        <w:t>PET/CT</w:t>
      </w:r>
      <w:r w:rsidRPr="00B12FE0">
        <w:rPr>
          <w:color w:val="000000" w:themeColor="text1"/>
        </w:rPr>
        <w:t>机房使用，一般每</w:t>
      </w:r>
      <w:r w:rsidRPr="00B12FE0">
        <w:rPr>
          <w:rFonts w:hint="eastAsia"/>
          <w:color w:val="000000" w:themeColor="text1"/>
        </w:rPr>
        <w:t>个月</w:t>
      </w:r>
      <w:r w:rsidRPr="00B12FE0">
        <w:rPr>
          <w:color w:val="000000" w:themeColor="text1"/>
        </w:rPr>
        <w:t>校准一次。工作人员将含密封校准</w:t>
      </w:r>
      <w:proofErr w:type="gramStart"/>
      <w:r w:rsidRPr="00B12FE0">
        <w:rPr>
          <w:color w:val="000000" w:themeColor="text1"/>
        </w:rPr>
        <w:t>源铅罐</w:t>
      </w:r>
      <w:proofErr w:type="gramEnd"/>
      <w:r w:rsidRPr="00B12FE0">
        <w:rPr>
          <w:color w:val="000000" w:themeColor="text1"/>
        </w:rPr>
        <w:t>推至设备外挂放射源支架上，工作人员退出机房，设备进行校准。校准</w:t>
      </w:r>
      <w:proofErr w:type="gramStart"/>
      <w:r w:rsidRPr="00B12FE0">
        <w:rPr>
          <w:color w:val="000000" w:themeColor="text1"/>
        </w:rPr>
        <w:t>源使用</w:t>
      </w:r>
      <w:proofErr w:type="gramEnd"/>
      <w:r w:rsidRPr="00B12FE0">
        <w:rPr>
          <w:color w:val="000000" w:themeColor="text1"/>
        </w:rPr>
        <w:t>过程中不产生放射性废物，图像配准及能量校准过程中释放出</w:t>
      </w:r>
      <w:r w:rsidRPr="00B12FE0">
        <w:rPr>
          <w:color w:val="000000" w:themeColor="text1"/>
        </w:rPr>
        <w:t>γ</w:t>
      </w:r>
      <w:r w:rsidRPr="00B12FE0">
        <w:rPr>
          <w:color w:val="000000" w:themeColor="text1"/>
        </w:rPr>
        <w:t>射线贯穿屏蔽层对操作人员产生影响甚微。</w:t>
      </w:r>
    </w:p>
    <w:p w14:paraId="449269B2" w14:textId="77777777" w:rsidR="00A67F21" w:rsidRPr="00B12FE0" w:rsidRDefault="00000000">
      <w:pPr>
        <w:pStyle w:val="afb"/>
        <w:topLinePunct/>
        <w:adjustRightInd w:val="0"/>
        <w:snapToGrid w:val="0"/>
        <w:spacing w:after="0" w:line="360" w:lineRule="auto"/>
        <w:ind w:firstLineChars="200" w:firstLine="480"/>
        <w:rPr>
          <w:color w:val="000000" w:themeColor="text1"/>
        </w:rPr>
      </w:pPr>
      <w:r w:rsidRPr="00B12FE0">
        <w:rPr>
          <w:rFonts w:hint="eastAsia"/>
          <w:color w:val="000000" w:themeColor="text1"/>
        </w:rPr>
        <w:t>因此，</w:t>
      </w:r>
      <w:r w:rsidRPr="00B12FE0">
        <w:rPr>
          <w:color w:val="000000" w:themeColor="text1"/>
          <w:vertAlign w:val="superscript"/>
        </w:rPr>
        <w:t>68</w:t>
      </w:r>
      <w:r w:rsidRPr="00B12FE0">
        <w:rPr>
          <w:color w:val="000000" w:themeColor="text1"/>
        </w:rPr>
        <w:t>Ge</w:t>
      </w:r>
      <w:r w:rsidRPr="00B12FE0">
        <w:rPr>
          <w:rFonts w:hint="eastAsia"/>
          <w:color w:val="000000" w:themeColor="text1"/>
        </w:rPr>
        <w:t>校准</w:t>
      </w:r>
      <w:r w:rsidRPr="00B12FE0">
        <w:rPr>
          <w:color w:val="000000" w:themeColor="text1"/>
        </w:rPr>
        <w:t>源衰变放出</w:t>
      </w:r>
      <w:r w:rsidRPr="00B12FE0">
        <w:rPr>
          <w:color w:val="000000" w:themeColor="text1"/>
        </w:rPr>
        <w:t>γ</w:t>
      </w:r>
      <w:r w:rsidRPr="00B12FE0">
        <w:rPr>
          <w:color w:val="000000" w:themeColor="text1"/>
        </w:rPr>
        <w:t>射线，</w:t>
      </w:r>
      <w:r w:rsidRPr="00B12FE0">
        <w:rPr>
          <w:rFonts w:hint="eastAsia"/>
          <w:color w:val="000000" w:themeColor="text1"/>
        </w:rPr>
        <w:t>同时也会产生废旧放射源。</w:t>
      </w:r>
    </w:p>
    <w:p w14:paraId="3FEDA24A" w14:textId="77777777" w:rsidR="00A67F21" w:rsidRPr="00B12FE0" w:rsidRDefault="00000000">
      <w:pPr>
        <w:snapToGrid w:val="0"/>
        <w:spacing w:line="360" w:lineRule="auto"/>
        <w:outlineLvl w:val="4"/>
        <w:rPr>
          <w:b/>
          <w:color w:val="000000" w:themeColor="text1"/>
        </w:rPr>
      </w:pPr>
      <w:r w:rsidRPr="00B12FE0">
        <w:rPr>
          <w:b/>
          <w:color w:val="000000" w:themeColor="text1"/>
        </w:rPr>
        <w:t>9.</w:t>
      </w:r>
      <w:r w:rsidRPr="00B12FE0">
        <w:rPr>
          <w:rFonts w:hint="eastAsia"/>
          <w:b/>
          <w:color w:val="000000" w:themeColor="text1"/>
        </w:rPr>
        <w:t>1.1.3.5  SPECT/CT</w:t>
      </w:r>
      <w:r w:rsidRPr="00B12FE0">
        <w:rPr>
          <w:rFonts w:hint="eastAsia"/>
          <w:b/>
          <w:color w:val="000000" w:themeColor="text1"/>
        </w:rPr>
        <w:t>和</w:t>
      </w:r>
      <w:r w:rsidRPr="00B12FE0">
        <w:rPr>
          <w:rFonts w:hint="eastAsia"/>
          <w:b/>
          <w:color w:val="000000" w:themeColor="text1"/>
        </w:rPr>
        <w:t>PET/CT</w:t>
      </w:r>
      <w:r w:rsidRPr="00B12FE0">
        <w:rPr>
          <w:rFonts w:hint="eastAsia"/>
          <w:b/>
          <w:color w:val="000000" w:themeColor="text1"/>
        </w:rPr>
        <w:t>配套用</w:t>
      </w:r>
      <w:r w:rsidRPr="00B12FE0">
        <w:rPr>
          <w:rFonts w:hint="eastAsia"/>
          <w:b/>
          <w:color w:val="000000" w:themeColor="text1"/>
        </w:rPr>
        <w:t>CT</w:t>
      </w:r>
    </w:p>
    <w:p w14:paraId="1A77B572" w14:textId="77777777" w:rsidR="00A67F21" w:rsidRPr="00B12FE0" w:rsidRDefault="00000000">
      <w:pPr>
        <w:spacing w:line="360" w:lineRule="auto"/>
        <w:ind w:firstLineChars="200" w:firstLine="480"/>
        <w:rPr>
          <w:rFonts w:eastAsiaTheme="minorEastAsia" w:hAnsiTheme="minorEastAsia" w:hint="eastAsia"/>
          <w:bCs/>
          <w:color w:val="000000" w:themeColor="text1"/>
        </w:rPr>
      </w:pPr>
      <w:r w:rsidRPr="00B12FE0">
        <w:rPr>
          <w:rFonts w:eastAsiaTheme="minorEastAsia" w:hAnsiTheme="minorEastAsia" w:hint="eastAsia"/>
          <w:bCs/>
          <w:color w:val="000000" w:themeColor="text1"/>
        </w:rPr>
        <w:t>SPECT/CT</w:t>
      </w:r>
      <w:r w:rsidRPr="00B12FE0">
        <w:rPr>
          <w:rFonts w:eastAsiaTheme="minorEastAsia" w:hAnsiTheme="minorEastAsia" w:hint="eastAsia"/>
          <w:bCs/>
          <w:color w:val="000000" w:themeColor="text1"/>
        </w:rPr>
        <w:t>和</w:t>
      </w:r>
      <w:r w:rsidRPr="00B12FE0">
        <w:rPr>
          <w:rFonts w:eastAsiaTheme="minorEastAsia" w:hAnsiTheme="minorEastAsia" w:hint="eastAsia"/>
          <w:bCs/>
          <w:color w:val="000000" w:themeColor="text1"/>
        </w:rPr>
        <w:t>PET/CT</w:t>
      </w:r>
      <w:r w:rsidRPr="00B12FE0">
        <w:rPr>
          <w:rFonts w:eastAsiaTheme="minorEastAsia" w:hAnsiTheme="minorEastAsia" w:hint="eastAsia"/>
          <w:bCs/>
          <w:color w:val="000000" w:themeColor="text1"/>
        </w:rPr>
        <w:t>配套用</w:t>
      </w:r>
      <w:r w:rsidRPr="00B12FE0">
        <w:rPr>
          <w:rFonts w:eastAsiaTheme="minorEastAsia" w:hAnsiTheme="minorEastAsia" w:hint="eastAsia"/>
          <w:bCs/>
          <w:color w:val="000000" w:themeColor="text1"/>
        </w:rPr>
        <w:t>CT</w:t>
      </w:r>
      <w:r w:rsidRPr="00B12FE0">
        <w:rPr>
          <w:rFonts w:eastAsiaTheme="minorEastAsia" w:hAnsiTheme="minorEastAsia" w:hint="eastAsia"/>
          <w:bCs/>
          <w:color w:val="000000" w:themeColor="text1"/>
        </w:rPr>
        <w:t>为</w:t>
      </w:r>
      <w:r w:rsidRPr="00B12FE0">
        <w:rPr>
          <w:color w:val="000000" w:themeColor="text1"/>
        </w:rPr>
        <w:t>X</w:t>
      </w:r>
      <w:r w:rsidRPr="00B12FE0">
        <w:rPr>
          <w:color w:val="000000" w:themeColor="text1"/>
        </w:rPr>
        <w:t>射线装置</w:t>
      </w:r>
      <w:r w:rsidRPr="00B12FE0">
        <w:rPr>
          <w:rFonts w:hint="eastAsia"/>
          <w:color w:val="000000" w:themeColor="text1"/>
        </w:rPr>
        <w:t>。</w:t>
      </w:r>
      <w:r w:rsidRPr="00B12FE0">
        <w:rPr>
          <w:rFonts w:eastAsiaTheme="minorEastAsia" w:hAnsiTheme="minorEastAsia" w:hint="eastAsia"/>
          <w:bCs/>
          <w:color w:val="000000" w:themeColor="text1"/>
        </w:rPr>
        <w:t>产生</w:t>
      </w:r>
      <w:r w:rsidRPr="00B12FE0">
        <w:rPr>
          <w:rFonts w:eastAsiaTheme="minorEastAsia"/>
          <w:bCs/>
          <w:color w:val="000000" w:themeColor="text1"/>
        </w:rPr>
        <w:t>X</w:t>
      </w:r>
      <w:r w:rsidRPr="00B12FE0">
        <w:rPr>
          <w:rFonts w:eastAsiaTheme="minorEastAsia" w:hAnsiTheme="minorEastAsia" w:hint="eastAsia"/>
          <w:bCs/>
          <w:color w:val="000000" w:themeColor="text1"/>
        </w:rPr>
        <w:t>射线的装置主要由</w:t>
      </w:r>
      <w:r w:rsidRPr="00B12FE0">
        <w:rPr>
          <w:rFonts w:eastAsiaTheme="minorEastAsia"/>
          <w:bCs/>
          <w:color w:val="000000" w:themeColor="text1"/>
        </w:rPr>
        <w:t>X</w:t>
      </w:r>
      <w:r w:rsidRPr="00B12FE0">
        <w:rPr>
          <w:rFonts w:eastAsiaTheme="minorEastAsia" w:hAnsiTheme="minorEastAsia" w:hint="eastAsia"/>
          <w:bCs/>
          <w:color w:val="000000" w:themeColor="text1"/>
        </w:rPr>
        <w:t>射线管和高压电源组成，</w:t>
      </w:r>
      <w:r w:rsidRPr="00B12FE0">
        <w:rPr>
          <w:rFonts w:eastAsiaTheme="minorEastAsia"/>
          <w:bCs/>
          <w:color w:val="000000" w:themeColor="text1"/>
        </w:rPr>
        <w:t>X</w:t>
      </w:r>
      <w:proofErr w:type="gramStart"/>
      <w:r w:rsidRPr="00B12FE0">
        <w:rPr>
          <w:rFonts w:eastAsiaTheme="minorEastAsia" w:hAnsiTheme="minorEastAsia" w:hint="eastAsia"/>
          <w:bCs/>
          <w:color w:val="000000" w:themeColor="text1"/>
        </w:rPr>
        <w:t>射线管由安装</w:t>
      </w:r>
      <w:proofErr w:type="gramEnd"/>
      <w:r w:rsidRPr="00B12FE0">
        <w:rPr>
          <w:rFonts w:eastAsiaTheme="minorEastAsia" w:hAnsiTheme="minorEastAsia" w:hint="eastAsia"/>
          <w:bCs/>
          <w:color w:val="000000" w:themeColor="text1"/>
        </w:rPr>
        <w:t>在真空玻璃壳中的阴极和阳极组成，阴极</w:t>
      </w:r>
      <w:proofErr w:type="gramStart"/>
      <w:r w:rsidRPr="00B12FE0">
        <w:rPr>
          <w:rFonts w:eastAsiaTheme="minorEastAsia" w:hAnsiTheme="minorEastAsia" w:hint="eastAsia"/>
          <w:bCs/>
          <w:color w:val="000000" w:themeColor="text1"/>
        </w:rPr>
        <w:t>是钨制</w:t>
      </w:r>
      <w:r w:rsidRPr="00B12FE0">
        <w:rPr>
          <w:rFonts w:eastAsiaTheme="minorEastAsia" w:hAnsiTheme="minorEastAsia" w:hint="eastAsia"/>
          <w:bCs/>
          <w:color w:val="000000" w:themeColor="text1"/>
        </w:rPr>
        <w:lastRenderedPageBreak/>
        <w:t>灯丝</w:t>
      </w:r>
      <w:proofErr w:type="gramEnd"/>
      <w:r w:rsidRPr="00B12FE0">
        <w:rPr>
          <w:rFonts w:eastAsiaTheme="minorEastAsia" w:hAnsiTheme="minorEastAsia" w:hint="eastAsia"/>
          <w:bCs/>
          <w:color w:val="000000" w:themeColor="text1"/>
        </w:rPr>
        <w:t>，它装在聚焦杯中，当灯丝通电加热时，电子</w:t>
      </w:r>
      <w:r w:rsidRPr="00B12FE0">
        <w:rPr>
          <w:rFonts w:ascii="宋体" w:hAnsi="宋体" w:hint="eastAsia"/>
          <w:bCs/>
          <w:color w:val="000000" w:themeColor="text1"/>
        </w:rPr>
        <w:t>就“蒸发”出</w:t>
      </w:r>
      <w:r w:rsidRPr="00B12FE0">
        <w:rPr>
          <w:rFonts w:eastAsiaTheme="minorEastAsia" w:hAnsiTheme="minorEastAsia" w:hint="eastAsia"/>
          <w:bCs/>
          <w:color w:val="000000" w:themeColor="text1"/>
        </w:rPr>
        <w:t>来，而</w:t>
      </w:r>
      <w:proofErr w:type="gramStart"/>
      <w:r w:rsidRPr="00B12FE0">
        <w:rPr>
          <w:rFonts w:eastAsiaTheme="minorEastAsia" w:hAnsiTheme="minorEastAsia" w:hint="eastAsia"/>
          <w:bCs/>
          <w:color w:val="000000" w:themeColor="text1"/>
        </w:rPr>
        <w:t>聚焦杯使这些</w:t>
      </w:r>
      <w:proofErr w:type="gramEnd"/>
      <w:r w:rsidRPr="00B12FE0">
        <w:rPr>
          <w:rFonts w:eastAsiaTheme="minorEastAsia" w:hAnsiTheme="minorEastAsia" w:hint="eastAsia"/>
          <w:bCs/>
          <w:color w:val="000000" w:themeColor="text1"/>
        </w:rPr>
        <w:t>电子聚集成束，直接向嵌在金属阳极中</w:t>
      </w:r>
      <w:proofErr w:type="gramStart"/>
      <w:r w:rsidRPr="00B12FE0">
        <w:rPr>
          <w:rFonts w:eastAsiaTheme="minorEastAsia" w:hAnsiTheme="minorEastAsia" w:hint="eastAsia"/>
          <w:bCs/>
          <w:color w:val="000000" w:themeColor="text1"/>
        </w:rPr>
        <w:t>的靶体射击</w:t>
      </w:r>
      <w:proofErr w:type="gramEnd"/>
      <w:r w:rsidRPr="00B12FE0">
        <w:rPr>
          <w:rFonts w:eastAsiaTheme="minorEastAsia" w:hAnsiTheme="minorEastAsia" w:hint="eastAsia"/>
          <w:bCs/>
          <w:color w:val="000000" w:themeColor="text1"/>
        </w:rPr>
        <w:t>。</w:t>
      </w:r>
      <w:proofErr w:type="gramStart"/>
      <w:r w:rsidRPr="00B12FE0">
        <w:rPr>
          <w:rFonts w:eastAsiaTheme="minorEastAsia" w:hAnsiTheme="minorEastAsia" w:hint="eastAsia"/>
          <w:bCs/>
          <w:color w:val="000000" w:themeColor="text1"/>
        </w:rPr>
        <w:t>靶体一般</w:t>
      </w:r>
      <w:proofErr w:type="gramEnd"/>
      <w:r w:rsidRPr="00B12FE0">
        <w:rPr>
          <w:rFonts w:eastAsiaTheme="minorEastAsia" w:hAnsiTheme="minorEastAsia" w:hint="eastAsia"/>
          <w:bCs/>
          <w:color w:val="000000" w:themeColor="text1"/>
        </w:rPr>
        <w:t>采用高原子序数的难熔金属制成。高电压加在</w:t>
      </w:r>
      <w:r w:rsidRPr="00B12FE0">
        <w:rPr>
          <w:rFonts w:eastAsiaTheme="minorEastAsia"/>
          <w:bCs/>
          <w:color w:val="000000" w:themeColor="text1"/>
        </w:rPr>
        <w:t>X</w:t>
      </w:r>
      <w:r w:rsidRPr="00B12FE0">
        <w:rPr>
          <w:rFonts w:eastAsiaTheme="minorEastAsia" w:hAnsiTheme="minorEastAsia" w:hint="eastAsia"/>
          <w:bCs/>
          <w:color w:val="000000" w:themeColor="text1"/>
        </w:rPr>
        <w:t>射线管的两极之间，使电子在射到</w:t>
      </w:r>
      <w:proofErr w:type="gramStart"/>
      <w:r w:rsidRPr="00B12FE0">
        <w:rPr>
          <w:rFonts w:eastAsiaTheme="minorEastAsia" w:hAnsiTheme="minorEastAsia" w:hint="eastAsia"/>
          <w:bCs/>
          <w:color w:val="000000" w:themeColor="text1"/>
        </w:rPr>
        <w:t>靶体之前</w:t>
      </w:r>
      <w:proofErr w:type="gramEnd"/>
      <w:r w:rsidRPr="00B12FE0">
        <w:rPr>
          <w:rFonts w:eastAsiaTheme="minorEastAsia" w:hAnsiTheme="minorEastAsia" w:hint="eastAsia"/>
          <w:bCs/>
          <w:color w:val="000000" w:themeColor="text1"/>
        </w:rPr>
        <w:t>被加速达到很高的速度，这些高速电子到达靶面</w:t>
      </w:r>
      <w:proofErr w:type="gramStart"/>
      <w:r w:rsidRPr="00B12FE0">
        <w:rPr>
          <w:rFonts w:eastAsiaTheme="minorEastAsia" w:hAnsiTheme="minorEastAsia" w:hint="eastAsia"/>
          <w:bCs/>
          <w:color w:val="000000" w:themeColor="text1"/>
        </w:rPr>
        <w:t>为靶所突然</w:t>
      </w:r>
      <w:proofErr w:type="gramEnd"/>
      <w:r w:rsidRPr="00B12FE0">
        <w:rPr>
          <w:rFonts w:eastAsiaTheme="minorEastAsia" w:hAnsiTheme="minorEastAsia" w:hint="eastAsia"/>
          <w:bCs/>
          <w:color w:val="000000" w:themeColor="text1"/>
        </w:rPr>
        <w:t>阻挡从而产生</w:t>
      </w:r>
      <w:r w:rsidRPr="00B12FE0">
        <w:rPr>
          <w:rFonts w:eastAsiaTheme="minorEastAsia"/>
          <w:bCs/>
          <w:color w:val="000000" w:themeColor="text1"/>
        </w:rPr>
        <w:t>X</w:t>
      </w:r>
      <w:r w:rsidRPr="00B12FE0">
        <w:rPr>
          <w:rFonts w:eastAsiaTheme="minorEastAsia" w:hAnsiTheme="minorEastAsia" w:hint="eastAsia"/>
          <w:bCs/>
          <w:color w:val="000000" w:themeColor="text1"/>
        </w:rPr>
        <w:t>射线。典型</w:t>
      </w:r>
      <w:r w:rsidRPr="00B12FE0">
        <w:rPr>
          <w:rFonts w:eastAsiaTheme="minorEastAsia"/>
          <w:bCs/>
          <w:color w:val="000000" w:themeColor="text1"/>
        </w:rPr>
        <w:t>X</w:t>
      </w:r>
      <w:r w:rsidRPr="00B12FE0">
        <w:rPr>
          <w:rFonts w:eastAsiaTheme="minorEastAsia" w:hAnsiTheme="minorEastAsia" w:hint="eastAsia"/>
          <w:bCs/>
          <w:color w:val="000000" w:themeColor="text1"/>
        </w:rPr>
        <w:t>射线</w:t>
      </w:r>
      <w:proofErr w:type="gramStart"/>
      <w:r w:rsidRPr="00B12FE0">
        <w:rPr>
          <w:rFonts w:eastAsiaTheme="minorEastAsia" w:hAnsiTheme="minorEastAsia" w:hint="eastAsia"/>
          <w:bCs/>
          <w:color w:val="000000" w:themeColor="text1"/>
        </w:rPr>
        <w:t>管结构见</w:t>
      </w:r>
      <w:proofErr w:type="gramEnd"/>
      <w:r w:rsidRPr="00B12FE0">
        <w:rPr>
          <w:rFonts w:eastAsiaTheme="minorEastAsia" w:hAnsiTheme="minorEastAsia" w:hint="eastAsia"/>
          <w:bCs/>
          <w:color w:val="000000" w:themeColor="text1"/>
        </w:rPr>
        <w:t>下图。</w:t>
      </w:r>
    </w:p>
    <w:p w14:paraId="7D78919B" w14:textId="77777777" w:rsidR="00A67F21" w:rsidRPr="00B12FE0" w:rsidRDefault="00000000">
      <w:pPr>
        <w:pStyle w:val="Default1"/>
        <w:autoSpaceDE/>
        <w:autoSpaceDN/>
        <w:spacing w:line="360" w:lineRule="auto"/>
        <w:jc w:val="center"/>
        <w:rPr>
          <w:rFonts w:hint="default"/>
          <w:color w:val="000000" w:themeColor="text1"/>
        </w:rPr>
      </w:pPr>
      <w:r w:rsidRPr="00B12FE0">
        <w:rPr>
          <w:noProof/>
          <w:color w:val="000000" w:themeColor="text1"/>
        </w:rPr>
        <w:drawing>
          <wp:inline distT="0" distB="0" distL="0" distR="0" wp14:anchorId="2079931B" wp14:editId="730D362B">
            <wp:extent cx="4772025" cy="2176145"/>
            <wp:effectExtent l="0" t="0" r="9525" b="14605"/>
            <wp:docPr id="85371916" name="图片 85371916" descr="X射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1916" name="图片 85371916" descr="X射线"/>
                    <pic:cNvPicPr>
                      <a:picLocks noChangeAspect="1" noChangeArrowheads="1"/>
                    </pic:cNvPicPr>
                  </pic:nvPicPr>
                  <pic:blipFill>
                    <a:blip r:embed="rId28">
                      <a:lum bright="18000" contrast="24000"/>
                      <a:extLst>
                        <a:ext uri="{28A0092B-C50C-407E-A947-70E740481C1C}">
                          <a14:useLocalDpi xmlns:a14="http://schemas.microsoft.com/office/drawing/2010/main" val="0"/>
                        </a:ext>
                      </a:extLst>
                    </a:blip>
                    <a:srcRect r="-650"/>
                    <a:stretch>
                      <a:fillRect/>
                    </a:stretch>
                  </pic:blipFill>
                  <pic:spPr>
                    <a:xfrm>
                      <a:off x="0" y="0"/>
                      <a:ext cx="4793513" cy="2185981"/>
                    </a:xfrm>
                    <a:prstGeom prst="rect">
                      <a:avLst/>
                    </a:prstGeom>
                    <a:noFill/>
                    <a:ln>
                      <a:noFill/>
                    </a:ln>
                  </pic:spPr>
                </pic:pic>
              </a:graphicData>
            </a:graphic>
          </wp:inline>
        </w:drawing>
      </w:r>
    </w:p>
    <w:p w14:paraId="1576D42F" w14:textId="77777777" w:rsidR="00A67F21" w:rsidRPr="00B12FE0" w:rsidRDefault="00000000">
      <w:pPr>
        <w:spacing w:line="360" w:lineRule="auto"/>
        <w:jc w:val="center"/>
        <w:rPr>
          <w:b/>
          <w:color w:val="000000" w:themeColor="text1"/>
          <w:sz w:val="21"/>
          <w:szCs w:val="18"/>
        </w:rPr>
      </w:pPr>
      <w:r w:rsidRPr="00B12FE0">
        <w:rPr>
          <w:b/>
          <w:bCs/>
          <w:color w:val="000000" w:themeColor="text1"/>
          <w:sz w:val="21"/>
          <w:szCs w:val="24"/>
        </w:rPr>
        <w:t>图</w:t>
      </w:r>
      <w:r w:rsidRPr="00B12FE0">
        <w:rPr>
          <w:b/>
          <w:bCs/>
          <w:color w:val="000000" w:themeColor="text1"/>
          <w:sz w:val="21"/>
          <w:szCs w:val="24"/>
        </w:rPr>
        <w:t>9.1.1.3-6</w:t>
      </w:r>
      <w:r w:rsidRPr="00B12FE0">
        <w:rPr>
          <w:rFonts w:hint="eastAsia"/>
          <w:b/>
          <w:bCs/>
          <w:color w:val="000000" w:themeColor="text1"/>
          <w:sz w:val="21"/>
          <w:szCs w:val="24"/>
        </w:rPr>
        <w:t xml:space="preserve"> </w:t>
      </w:r>
      <w:r w:rsidRPr="00B12FE0">
        <w:rPr>
          <w:b/>
          <w:bCs/>
          <w:color w:val="000000" w:themeColor="text1"/>
          <w:sz w:val="21"/>
          <w:szCs w:val="24"/>
        </w:rPr>
        <w:t xml:space="preserve"> </w:t>
      </w:r>
      <w:r w:rsidRPr="00B12FE0">
        <w:rPr>
          <w:rFonts w:hint="eastAsia"/>
          <w:b/>
          <w:color w:val="000000" w:themeColor="text1"/>
          <w:sz w:val="21"/>
          <w:szCs w:val="18"/>
        </w:rPr>
        <w:t>典型</w:t>
      </w:r>
      <w:r w:rsidRPr="00B12FE0">
        <w:rPr>
          <w:b/>
          <w:color w:val="000000" w:themeColor="text1"/>
          <w:sz w:val="21"/>
          <w:szCs w:val="18"/>
        </w:rPr>
        <w:t>X</w:t>
      </w:r>
      <w:r w:rsidRPr="00B12FE0">
        <w:rPr>
          <w:rFonts w:hint="eastAsia"/>
          <w:b/>
          <w:color w:val="000000" w:themeColor="text1"/>
          <w:sz w:val="21"/>
          <w:szCs w:val="18"/>
        </w:rPr>
        <w:t>射线管结构图</w:t>
      </w:r>
    </w:p>
    <w:p w14:paraId="0AB6BFB5" w14:textId="77777777" w:rsidR="00A67F21" w:rsidRPr="00B12FE0" w:rsidRDefault="00000000">
      <w:pPr>
        <w:spacing w:line="360" w:lineRule="auto"/>
        <w:ind w:firstLineChars="200" w:firstLine="480"/>
        <w:rPr>
          <w:rFonts w:eastAsiaTheme="minorEastAsia" w:hAnsiTheme="minorEastAsia" w:hint="eastAsia"/>
          <w:bCs/>
          <w:color w:val="000000" w:themeColor="text1"/>
          <w:szCs w:val="24"/>
        </w:rPr>
      </w:pPr>
      <w:r w:rsidRPr="00B12FE0">
        <w:rPr>
          <w:rFonts w:eastAsiaTheme="minorEastAsia" w:hAnsiTheme="minorEastAsia" w:hint="eastAsia"/>
          <w:bCs/>
          <w:color w:val="000000" w:themeColor="text1"/>
        </w:rPr>
        <w:t>虽然不同用途的</w:t>
      </w:r>
      <w:r w:rsidRPr="00B12FE0">
        <w:rPr>
          <w:rFonts w:eastAsiaTheme="minorEastAsia" w:hAnsiTheme="minorEastAsia"/>
          <w:bCs/>
          <w:color w:val="000000" w:themeColor="text1"/>
        </w:rPr>
        <w:t>X</w:t>
      </w:r>
      <w:r w:rsidRPr="00B12FE0">
        <w:rPr>
          <w:rFonts w:eastAsiaTheme="minorEastAsia" w:hAnsiTheme="minorEastAsia" w:hint="eastAsia"/>
          <w:bCs/>
          <w:color w:val="000000" w:themeColor="text1"/>
        </w:rPr>
        <w:t>射线机因诊疗目的不同有较大的差别，但其基本结构都是由产生</w:t>
      </w:r>
      <w:r w:rsidRPr="00B12FE0">
        <w:rPr>
          <w:rFonts w:eastAsiaTheme="minorEastAsia" w:hAnsiTheme="minorEastAsia"/>
          <w:bCs/>
          <w:color w:val="000000" w:themeColor="text1"/>
        </w:rPr>
        <w:t>X</w:t>
      </w:r>
      <w:r w:rsidRPr="00B12FE0">
        <w:rPr>
          <w:rFonts w:eastAsiaTheme="minorEastAsia" w:hAnsiTheme="minorEastAsia" w:hint="eastAsia"/>
          <w:bCs/>
          <w:color w:val="000000" w:themeColor="text1"/>
        </w:rPr>
        <w:t>射线的</w:t>
      </w:r>
      <w:r w:rsidRPr="00B12FE0">
        <w:rPr>
          <w:rFonts w:eastAsiaTheme="minorEastAsia" w:hAnsiTheme="minorEastAsia"/>
          <w:bCs/>
          <w:color w:val="000000" w:themeColor="text1"/>
        </w:rPr>
        <w:t>X</w:t>
      </w:r>
      <w:r w:rsidRPr="00B12FE0">
        <w:rPr>
          <w:rFonts w:eastAsiaTheme="minorEastAsia" w:hAnsiTheme="minorEastAsia" w:hint="eastAsia"/>
          <w:bCs/>
          <w:color w:val="000000" w:themeColor="text1"/>
        </w:rPr>
        <w:t>射线管、供给</w:t>
      </w:r>
      <w:r w:rsidRPr="00B12FE0">
        <w:rPr>
          <w:rFonts w:eastAsiaTheme="minorEastAsia" w:hAnsiTheme="minorEastAsia"/>
          <w:bCs/>
          <w:color w:val="000000" w:themeColor="text1"/>
        </w:rPr>
        <w:t>X</w:t>
      </w:r>
      <w:r w:rsidRPr="00B12FE0">
        <w:rPr>
          <w:rFonts w:eastAsiaTheme="minorEastAsia" w:hAnsiTheme="minorEastAsia" w:hint="eastAsia"/>
          <w:bCs/>
          <w:color w:val="000000" w:themeColor="text1"/>
        </w:rPr>
        <w:t>射线管灯丝电压及管电压的高压发生器、控制</w:t>
      </w:r>
      <w:r w:rsidRPr="00B12FE0">
        <w:rPr>
          <w:rFonts w:eastAsiaTheme="minorEastAsia" w:hAnsiTheme="minorEastAsia"/>
          <w:bCs/>
          <w:color w:val="000000" w:themeColor="text1"/>
        </w:rPr>
        <w:t>X</w:t>
      </w:r>
      <w:r w:rsidRPr="00B12FE0">
        <w:rPr>
          <w:rFonts w:eastAsiaTheme="minorEastAsia" w:hAnsiTheme="minorEastAsia" w:hint="eastAsia"/>
          <w:bCs/>
          <w:color w:val="000000" w:themeColor="text1"/>
        </w:rPr>
        <w:t>射线的“量”和“质”及曝光时间的控制装置，以及为满足诊断需要而装配的各种机械装置和辅助装置组成。</w:t>
      </w:r>
    </w:p>
    <w:p w14:paraId="1FE531D0"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rPr>
        <w:t>由</w:t>
      </w:r>
      <w:r w:rsidRPr="00B12FE0">
        <w:rPr>
          <w:color w:val="000000" w:themeColor="text1"/>
        </w:rPr>
        <w:t>X</w:t>
      </w:r>
      <w:r w:rsidRPr="00B12FE0">
        <w:rPr>
          <w:color w:val="000000" w:themeColor="text1"/>
        </w:rPr>
        <w:t>射线装置的工作原理可知，</w:t>
      </w:r>
      <w:r w:rsidRPr="00B12FE0">
        <w:rPr>
          <w:color w:val="000000" w:themeColor="text1"/>
        </w:rPr>
        <w:t>X</w:t>
      </w:r>
      <w:r w:rsidRPr="00B12FE0">
        <w:rPr>
          <w:color w:val="000000" w:themeColor="text1"/>
        </w:rPr>
        <w:t>射线是随机器的开、关而产生和消失。因此，</w:t>
      </w:r>
      <w:r w:rsidRPr="00B12FE0">
        <w:rPr>
          <w:color w:val="000000" w:themeColor="text1"/>
        </w:rPr>
        <w:t>CT</w:t>
      </w:r>
      <w:r w:rsidRPr="00B12FE0">
        <w:rPr>
          <w:color w:val="000000" w:themeColor="text1"/>
        </w:rPr>
        <w:t>装置在非诊断状态下不产生射线，只有在开机时才会发出</w:t>
      </w:r>
      <w:r w:rsidRPr="00B12FE0">
        <w:rPr>
          <w:color w:val="000000" w:themeColor="text1"/>
        </w:rPr>
        <w:t>X</w:t>
      </w:r>
      <w:r w:rsidRPr="00B12FE0">
        <w:rPr>
          <w:color w:val="000000" w:themeColor="text1"/>
        </w:rPr>
        <w:t>射线。因此，在开机期间，</w:t>
      </w:r>
      <w:r w:rsidRPr="00B12FE0">
        <w:rPr>
          <w:color w:val="000000" w:themeColor="text1"/>
        </w:rPr>
        <w:t>X</w:t>
      </w:r>
      <w:r w:rsidRPr="00B12FE0">
        <w:rPr>
          <w:color w:val="000000" w:themeColor="text1"/>
        </w:rPr>
        <w:t>射线成为污染环境的主要因子。另外，</w:t>
      </w:r>
      <w:r w:rsidRPr="00B12FE0">
        <w:rPr>
          <w:color w:val="000000" w:themeColor="text1"/>
        </w:rPr>
        <w:t>X</w:t>
      </w:r>
      <w:r w:rsidRPr="00B12FE0">
        <w:rPr>
          <w:color w:val="000000" w:themeColor="text1"/>
        </w:rPr>
        <w:t>射线会与空气发生电离作用，会产生少量臭氧和氮氧化物。</w:t>
      </w:r>
    </w:p>
    <w:p w14:paraId="36B4AEBD"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rPr>
        <w:t>因此，在开机期间，</w:t>
      </w:r>
      <w:r w:rsidRPr="00B12FE0">
        <w:rPr>
          <w:rFonts w:eastAsiaTheme="minorEastAsia" w:hAnsiTheme="minorEastAsia" w:hint="eastAsia"/>
          <w:bCs/>
          <w:color w:val="000000" w:themeColor="text1"/>
        </w:rPr>
        <w:t>SPECT/CT</w:t>
      </w:r>
      <w:r w:rsidRPr="00B12FE0">
        <w:rPr>
          <w:rFonts w:eastAsiaTheme="minorEastAsia" w:hAnsiTheme="minorEastAsia" w:hint="eastAsia"/>
          <w:bCs/>
          <w:color w:val="000000" w:themeColor="text1"/>
        </w:rPr>
        <w:t>和</w:t>
      </w:r>
      <w:r w:rsidRPr="00B12FE0">
        <w:rPr>
          <w:rFonts w:eastAsiaTheme="minorEastAsia" w:hAnsiTheme="minorEastAsia" w:hint="eastAsia"/>
          <w:bCs/>
          <w:color w:val="000000" w:themeColor="text1"/>
        </w:rPr>
        <w:t>PET/CT</w:t>
      </w:r>
      <w:r w:rsidRPr="00B12FE0">
        <w:rPr>
          <w:rFonts w:eastAsiaTheme="minorEastAsia" w:hAnsiTheme="minorEastAsia" w:hint="eastAsia"/>
          <w:bCs/>
          <w:color w:val="000000" w:themeColor="text1"/>
        </w:rPr>
        <w:t>配套用</w:t>
      </w:r>
      <w:r w:rsidRPr="00B12FE0">
        <w:rPr>
          <w:rFonts w:eastAsiaTheme="minorEastAsia" w:hAnsiTheme="minorEastAsia" w:hint="eastAsia"/>
          <w:bCs/>
          <w:color w:val="000000" w:themeColor="text1"/>
        </w:rPr>
        <w:t>CT</w:t>
      </w:r>
      <w:r w:rsidRPr="00B12FE0">
        <w:rPr>
          <w:rFonts w:hint="eastAsia"/>
          <w:color w:val="000000" w:themeColor="text1"/>
        </w:rPr>
        <w:t>污染</w:t>
      </w:r>
      <w:r w:rsidRPr="00B12FE0">
        <w:rPr>
          <w:color w:val="000000" w:themeColor="text1"/>
        </w:rPr>
        <w:t>因子主要为</w:t>
      </w:r>
      <w:r w:rsidRPr="00B12FE0">
        <w:rPr>
          <w:color w:val="000000" w:themeColor="text1"/>
        </w:rPr>
        <w:t>X</w:t>
      </w:r>
      <w:r w:rsidRPr="00B12FE0">
        <w:rPr>
          <w:color w:val="000000" w:themeColor="text1"/>
        </w:rPr>
        <w:t>射线、臭氧、氮氧化物。</w:t>
      </w:r>
    </w:p>
    <w:p w14:paraId="4CA048A6" w14:textId="77777777" w:rsidR="00A67F21" w:rsidRPr="00B12FE0" w:rsidRDefault="00000000">
      <w:pPr>
        <w:pStyle w:val="11112"/>
        <w:spacing w:line="360" w:lineRule="auto"/>
        <w:outlineLvl w:val="3"/>
        <w:rPr>
          <w:color w:val="000000" w:themeColor="text1"/>
        </w:rPr>
      </w:pPr>
      <w:r w:rsidRPr="00B12FE0">
        <w:rPr>
          <w:rFonts w:hint="eastAsia"/>
          <w:color w:val="000000" w:themeColor="text1"/>
        </w:rPr>
        <w:t xml:space="preserve">9.1.1.3.6  </w:t>
      </w:r>
      <w:r w:rsidRPr="00B12FE0">
        <w:rPr>
          <w:rFonts w:hint="eastAsia"/>
          <w:color w:val="000000" w:themeColor="text1"/>
          <w:vertAlign w:val="superscript"/>
        </w:rPr>
        <w:t>32</w:t>
      </w:r>
      <w:r w:rsidRPr="00B12FE0">
        <w:rPr>
          <w:color w:val="000000" w:themeColor="text1"/>
        </w:rPr>
        <w:t>P</w:t>
      </w:r>
      <w:r w:rsidRPr="00B12FE0">
        <w:rPr>
          <w:rFonts w:hint="eastAsia"/>
          <w:color w:val="000000" w:themeColor="text1"/>
        </w:rPr>
        <w:t>敷贴治疗</w:t>
      </w:r>
    </w:p>
    <w:p w14:paraId="3C0FE6CA" w14:textId="77777777" w:rsidR="00A67F21" w:rsidRPr="00B12FE0" w:rsidRDefault="00000000">
      <w:pPr>
        <w:spacing w:line="360" w:lineRule="auto"/>
        <w:ind w:firstLineChars="200" w:firstLine="482"/>
        <w:rPr>
          <w:b/>
          <w:bCs/>
          <w:color w:val="000000" w:themeColor="text1"/>
        </w:rPr>
      </w:pPr>
      <w:r w:rsidRPr="00B12FE0">
        <w:rPr>
          <w:b/>
          <w:bCs/>
          <w:color w:val="000000" w:themeColor="text1"/>
        </w:rPr>
        <w:t>（</w:t>
      </w:r>
      <w:r w:rsidRPr="00B12FE0">
        <w:rPr>
          <w:b/>
          <w:bCs/>
          <w:color w:val="000000" w:themeColor="text1"/>
        </w:rPr>
        <w:t>1</w:t>
      </w:r>
      <w:r w:rsidRPr="00B12FE0">
        <w:rPr>
          <w:b/>
          <w:bCs/>
          <w:color w:val="000000" w:themeColor="text1"/>
        </w:rPr>
        <w:t>）工作原理</w:t>
      </w:r>
    </w:p>
    <w:p w14:paraId="4915AF18"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hint="eastAsia"/>
          <w:bCs/>
          <w:color w:val="000000" w:themeColor="text1"/>
        </w:rPr>
        <w:t>当患者患有血管瘤、痣、疤痕疙瘩、酒渣鼻、毛细血管扩张、神经性皮炎、局限性慢性湿疹、局限性皮肤瘙痒和某些皮肤癌时，通过某些放射性同位素（如</w:t>
      </w:r>
      <w:r w:rsidRPr="00B12FE0">
        <w:rPr>
          <w:bCs/>
          <w:color w:val="000000" w:themeColor="text1"/>
          <w:vertAlign w:val="superscript"/>
        </w:rPr>
        <w:t>32</w:t>
      </w:r>
      <w:r w:rsidRPr="00B12FE0">
        <w:rPr>
          <w:bCs/>
          <w:color w:val="000000" w:themeColor="text1"/>
        </w:rPr>
        <w:t>P</w:t>
      </w:r>
      <w:r w:rsidRPr="00B12FE0">
        <w:rPr>
          <w:rFonts w:hint="eastAsia"/>
          <w:bCs/>
          <w:color w:val="000000" w:themeColor="text1"/>
        </w:rPr>
        <w:t>）的敷贴照射，让敷贴</w:t>
      </w:r>
      <w:proofErr w:type="gramStart"/>
      <w:r w:rsidRPr="00B12FE0">
        <w:rPr>
          <w:rFonts w:hint="eastAsia"/>
          <w:bCs/>
          <w:color w:val="000000" w:themeColor="text1"/>
        </w:rPr>
        <w:t>器充分</w:t>
      </w:r>
      <w:proofErr w:type="gramEnd"/>
      <w:r w:rsidRPr="00B12FE0">
        <w:rPr>
          <w:rFonts w:hint="eastAsia"/>
          <w:bCs/>
          <w:color w:val="000000" w:themeColor="text1"/>
        </w:rPr>
        <w:t>接近病变皮肤，通过核素在衰变过程中释放的纯</w:t>
      </w:r>
      <w:r w:rsidRPr="00B12FE0">
        <w:rPr>
          <w:bCs/>
          <w:color w:val="000000" w:themeColor="text1"/>
        </w:rPr>
        <w:t>β</w:t>
      </w:r>
      <w:r w:rsidRPr="00B12FE0">
        <w:rPr>
          <w:rFonts w:hint="eastAsia"/>
          <w:bCs/>
          <w:color w:val="000000" w:themeColor="text1"/>
        </w:rPr>
        <w:t>射线，作用于增生组织细胞，可以降低细胞分裂速度，延长核分裂周期，闭塞毛细血管及止痒和</w:t>
      </w:r>
      <w:r w:rsidRPr="00B12FE0">
        <w:rPr>
          <w:rFonts w:hint="eastAsia"/>
          <w:bCs/>
          <w:color w:val="000000" w:themeColor="text1"/>
        </w:rPr>
        <w:lastRenderedPageBreak/>
        <w:t>镇痛等作用而达到诊疗目的。本项目</w:t>
      </w:r>
      <w:r w:rsidRPr="00B12FE0">
        <w:rPr>
          <w:rFonts w:hint="eastAsia"/>
          <w:color w:val="000000" w:themeColor="text1"/>
        </w:rPr>
        <w:t>所用</w:t>
      </w:r>
      <w:r w:rsidRPr="00B12FE0">
        <w:rPr>
          <w:rFonts w:hint="eastAsia"/>
          <w:bCs/>
          <w:color w:val="000000" w:themeColor="text1"/>
        </w:rPr>
        <w:t>敷贴</w:t>
      </w:r>
      <w:proofErr w:type="gramStart"/>
      <w:r w:rsidRPr="00B12FE0">
        <w:rPr>
          <w:rFonts w:hint="eastAsia"/>
          <w:bCs/>
          <w:color w:val="000000" w:themeColor="text1"/>
        </w:rPr>
        <w:t>器涉及</w:t>
      </w:r>
      <w:proofErr w:type="gramEnd"/>
      <w:r w:rsidRPr="00B12FE0">
        <w:rPr>
          <w:rFonts w:hint="eastAsia"/>
          <w:bCs/>
          <w:color w:val="000000" w:themeColor="text1"/>
        </w:rPr>
        <w:t>的</w:t>
      </w:r>
      <w:r w:rsidRPr="00B12FE0">
        <w:rPr>
          <w:bCs/>
          <w:color w:val="000000" w:themeColor="text1"/>
          <w:vertAlign w:val="superscript"/>
        </w:rPr>
        <w:t>32</w:t>
      </w:r>
      <w:r w:rsidRPr="00B12FE0">
        <w:rPr>
          <w:bCs/>
          <w:color w:val="000000" w:themeColor="text1"/>
        </w:rPr>
        <w:t>P</w:t>
      </w:r>
      <w:r w:rsidRPr="00B12FE0">
        <w:rPr>
          <w:rFonts w:hint="eastAsia"/>
          <w:bCs/>
          <w:color w:val="000000" w:themeColor="text1"/>
        </w:rPr>
        <w:t>为纯</w:t>
      </w:r>
      <w:r w:rsidRPr="00B12FE0">
        <w:rPr>
          <w:bCs/>
          <w:color w:val="000000" w:themeColor="text1"/>
        </w:rPr>
        <w:t>β</w:t>
      </w:r>
      <w:r w:rsidRPr="00B12FE0">
        <w:rPr>
          <w:rFonts w:hint="eastAsia"/>
          <w:bCs/>
          <w:color w:val="000000" w:themeColor="text1"/>
        </w:rPr>
        <w:t>放射性核素。</w:t>
      </w:r>
    </w:p>
    <w:p w14:paraId="5FEB1225" w14:textId="77777777" w:rsidR="00A67F21" w:rsidRPr="00B12FE0" w:rsidRDefault="00000000">
      <w:pPr>
        <w:spacing w:line="360" w:lineRule="auto"/>
        <w:rPr>
          <w:b/>
          <w:bCs/>
          <w:color w:val="000000" w:themeColor="text1"/>
        </w:rPr>
      </w:pPr>
      <w:r w:rsidRPr="00B12FE0">
        <w:rPr>
          <w:b/>
          <w:bCs/>
          <w:color w:val="000000" w:themeColor="text1"/>
        </w:rPr>
        <w:t>（</w:t>
      </w:r>
      <w:r w:rsidRPr="00B12FE0">
        <w:rPr>
          <w:b/>
          <w:bCs/>
          <w:color w:val="000000" w:themeColor="text1"/>
        </w:rPr>
        <w:t>2</w:t>
      </w:r>
      <w:r w:rsidRPr="00B12FE0">
        <w:rPr>
          <w:b/>
          <w:bCs/>
          <w:color w:val="000000" w:themeColor="text1"/>
        </w:rPr>
        <w:t>）诊疗规划</w:t>
      </w:r>
    </w:p>
    <w:p w14:paraId="5823FAE5" w14:textId="77777777" w:rsidR="00A67F21" w:rsidRPr="00B12FE0" w:rsidRDefault="00000000">
      <w:pPr>
        <w:spacing w:line="360" w:lineRule="auto"/>
        <w:ind w:firstLine="480"/>
        <w:rPr>
          <w:b/>
          <w:color w:val="000000" w:themeColor="text1"/>
          <w:szCs w:val="24"/>
        </w:rPr>
      </w:pPr>
      <w:r w:rsidRPr="00B12FE0">
        <w:rPr>
          <w:rFonts w:hint="eastAsia"/>
          <w:bCs/>
          <w:color w:val="000000" w:themeColor="text1"/>
          <w:szCs w:val="24"/>
        </w:rPr>
        <w:t>本项目计划使用</w:t>
      </w:r>
      <w:r w:rsidRPr="00B12FE0">
        <w:rPr>
          <w:bCs/>
          <w:color w:val="000000" w:themeColor="text1"/>
          <w:kern w:val="0"/>
          <w:szCs w:val="24"/>
          <w:vertAlign w:val="superscript"/>
        </w:rPr>
        <w:t>32</w:t>
      </w:r>
      <w:r w:rsidRPr="00B12FE0">
        <w:rPr>
          <w:bCs/>
          <w:color w:val="000000" w:themeColor="text1"/>
          <w:kern w:val="0"/>
          <w:szCs w:val="24"/>
        </w:rPr>
        <w:t>P</w:t>
      </w:r>
      <w:r w:rsidRPr="00B12FE0">
        <w:rPr>
          <w:rFonts w:hint="eastAsia"/>
          <w:bCs/>
          <w:color w:val="000000" w:themeColor="text1"/>
          <w:kern w:val="0"/>
          <w:szCs w:val="24"/>
        </w:rPr>
        <w:t>开展敷贴治疗</w:t>
      </w:r>
      <w:r w:rsidRPr="00B12FE0">
        <w:rPr>
          <w:rFonts w:hint="eastAsia"/>
          <w:color w:val="000000" w:themeColor="text1"/>
          <w:szCs w:val="24"/>
        </w:rPr>
        <w:t>，</w:t>
      </w:r>
      <w:r w:rsidRPr="00B12FE0">
        <w:rPr>
          <w:color w:val="000000" w:themeColor="text1"/>
          <w:szCs w:val="24"/>
        </w:rPr>
        <w:t>单人最大用药量为</w:t>
      </w:r>
      <w:r w:rsidRPr="00B12FE0">
        <w:rPr>
          <w:rFonts w:hint="eastAsia"/>
          <w:color w:val="000000" w:themeColor="text1"/>
          <w:szCs w:val="24"/>
        </w:rPr>
        <w:t>3.70E+07</w:t>
      </w:r>
      <w:r w:rsidRPr="00B12FE0">
        <w:rPr>
          <w:color w:val="000000" w:themeColor="text1"/>
          <w:szCs w:val="24"/>
        </w:rPr>
        <w:t>Bq</w:t>
      </w:r>
      <w:r w:rsidRPr="00B12FE0">
        <w:rPr>
          <w:color w:val="000000" w:themeColor="text1"/>
          <w:szCs w:val="24"/>
        </w:rPr>
        <w:t>（</w:t>
      </w:r>
      <w:r w:rsidRPr="00B12FE0">
        <w:rPr>
          <w:color w:val="000000" w:themeColor="text1"/>
          <w:szCs w:val="24"/>
        </w:rPr>
        <w:t>1mCi</w:t>
      </w:r>
      <w:r w:rsidRPr="00B12FE0">
        <w:rPr>
          <w:color w:val="000000" w:themeColor="text1"/>
          <w:szCs w:val="24"/>
        </w:rPr>
        <w:t>），每天最多</w:t>
      </w:r>
      <w:r w:rsidRPr="00B12FE0">
        <w:rPr>
          <w:rFonts w:hint="eastAsia"/>
          <w:color w:val="000000" w:themeColor="text1"/>
          <w:szCs w:val="24"/>
        </w:rPr>
        <w:t>治疗</w:t>
      </w:r>
      <w:r w:rsidRPr="00B12FE0">
        <w:rPr>
          <w:rFonts w:hint="eastAsia"/>
          <w:color w:val="000000" w:themeColor="text1"/>
          <w:szCs w:val="24"/>
        </w:rPr>
        <w:t>3</w:t>
      </w:r>
      <w:r w:rsidRPr="00B12FE0">
        <w:rPr>
          <w:color w:val="000000" w:themeColor="text1"/>
          <w:szCs w:val="24"/>
        </w:rPr>
        <w:t>人，每周工作</w:t>
      </w:r>
      <w:r w:rsidRPr="00B12FE0">
        <w:rPr>
          <w:color w:val="000000" w:themeColor="text1"/>
          <w:szCs w:val="24"/>
        </w:rPr>
        <w:t>5</w:t>
      </w:r>
      <w:r w:rsidRPr="00B12FE0">
        <w:rPr>
          <w:color w:val="000000" w:themeColor="text1"/>
          <w:szCs w:val="24"/>
        </w:rPr>
        <w:t>天，每年工作</w:t>
      </w:r>
      <w:r w:rsidRPr="00B12FE0">
        <w:rPr>
          <w:color w:val="000000" w:themeColor="text1"/>
          <w:szCs w:val="24"/>
        </w:rPr>
        <w:t>250</w:t>
      </w:r>
      <w:r w:rsidRPr="00B12FE0">
        <w:rPr>
          <w:color w:val="000000" w:themeColor="text1"/>
          <w:szCs w:val="24"/>
        </w:rPr>
        <w:t>天，年</w:t>
      </w:r>
      <w:r w:rsidRPr="00B12FE0">
        <w:rPr>
          <w:rFonts w:hint="eastAsia"/>
          <w:color w:val="000000" w:themeColor="text1"/>
          <w:szCs w:val="24"/>
        </w:rPr>
        <w:t>治疗</w:t>
      </w:r>
      <w:r w:rsidRPr="00B12FE0">
        <w:rPr>
          <w:color w:val="000000" w:themeColor="text1"/>
          <w:szCs w:val="24"/>
        </w:rPr>
        <w:t>患者</w:t>
      </w:r>
      <w:r w:rsidRPr="00B12FE0">
        <w:rPr>
          <w:rFonts w:hint="eastAsia"/>
          <w:color w:val="000000" w:themeColor="text1"/>
          <w:szCs w:val="24"/>
        </w:rPr>
        <w:t>75</w:t>
      </w:r>
      <w:r w:rsidRPr="00B12FE0">
        <w:rPr>
          <w:color w:val="000000" w:themeColor="text1"/>
          <w:szCs w:val="24"/>
        </w:rPr>
        <w:t>0</w:t>
      </w:r>
      <w:r w:rsidRPr="00B12FE0">
        <w:rPr>
          <w:color w:val="000000" w:themeColor="text1"/>
          <w:szCs w:val="24"/>
        </w:rPr>
        <w:t>人。</w:t>
      </w:r>
    </w:p>
    <w:p w14:paraId="775CFAC8" w14:textId="77777777" w:rsidR="00A67F21" w:rsidRPr="00B12FE0" w:rsidRDefault="00000000">
      <w:pPr>
        <w:adjustRightInd w:val="0"/>
        <w:snapToGrid w:val="0"/>
        <w:jc w:val="center"/>
        <w:rPr>
          <w:bCs/>
          <w:color w:val="000000" w:themeColor="text1"/>
          <w:sz w:val="21"/>
          <w:szCs w:val="21"/>
        </w:rPr>
      </w:pPr>
      <w:r w:rsidRPr="00B12FE0">
        <w:rPr>
          <w:b/>
          <w:bCs/>
          <w:color w:val="000000" w:themeColor="text1"/>
          <w:sz w:val="21"/>
          <w:szCs w:val="21"/>
        </w:rPr>
        <w:t>表</w:t>
      </w:r>
      <w:r w:rsidRPr="00B12FE0">
        <w:rPr>
          <w:b/>
          <w:bCs/>
          <w:color w:val="000000" w:themeColor="text1"/>
          <w:sz w:val="21"/>
          <w:szCs w:val="24"/>
        </w:rPr>
        <w:t>9</w:t>
      </w:r>
      <w:r w:rsidRPr="00B12FE0">
        <w:rPr>
          <w:rFonts w:hint="eastAsia"/>
          <w:b/>
          <w:bCs/>
          <w:color w:val="000000" w:themeColor="text1"/>
          <w:sz w:val="21"/>
          <w:szCs w:val="24"/>
        </w:rPr>
        <w:t>.1.1.3</w:t>
      </w:r>
      <w:r w:rsidRPr="00B12FE0">
        <w:rPr>
          <w:b/>
          <w:bCs/>
          <w:color w:val="000000" w:themeColor="text1"/>
          <w:sz w:val="21"/>
          <w:szCs w:val="24"/>
        </w:rPr>
        <w:t>-</w:t>
      </w:r>
      <w:r w:rsidRPr="00B12FE0">
        <w:rPr>
          <w:rFonts w:hint="eastAsia"/>
          <w:b/>
          <w:bCs/>
          <w:color w:val="000000" w:themeColor="text1"/>
          <w:sz w:val="21"/>
          <w:szCs w:val="21"/>
        </w:rPr>
        <w:t>3</w:t>
      </w:r>
      <w:r w:rsidRPr="00B12FE0">
        <w:rPr>
          <w:b/>
          <w:bCs/>
          <w:color w:val="000000" w:themeColor="text1"/>
          <w:sz w:val="21"/>
          <w:szCs w:val="21"/>
        </w:rPr>
        <w:t xml:space="preserve">  </w:t>
      </w:r>
      <w:r w:rsidRPr="00B12FE0">
        <w:rPr>
          <w:rFonts w:hint="eastAsia"/>
          <w:b/>
          <w:bCs/>
          <w:color w:val="000000" w:themeColor="text1"/>
          <w:sz w:val="21"/>
          <w:szCs w:val="21"/>
        </w:rPr>
        <w:t>敷贴</w:t>
      </w:r>
      <w:r w:rsidRPr="00B12FE0">
        <w:rPr>
          <w:b/>
          <w:bCs/>
          <w:color w:val="000000" w:themeColor="text1"/>
          <w:sz w:val="21"/>
          <w:szCs w:val="21"/>
        </w:rPr>
        <w:t>治疗项目诊疗规划</w:t>
      </w:r>
    </w:p>
    <w:tbl>
      <w:tblPr>
        <w:tblStyle w:val="affff"/>
        <w:tblW w:w="4900" w:type="pct"/>
        <w:jc w:val="center"/>
        <w:tblLook w:val="04A0" w:firstRow="1" w:lastRow="0" w:firstColumn="1" w:lastColumn="0" w:noHBand="0" w:noVBand="1"/>
      </w:tblPr>
      <w:tblGrid>
        <w:gridCol w:w="1625"/>
        <w:gridCol w:w="1160"/>
        <w:gridCol w:w="1159"/>
        <w:gridCol w:w="1645"/>
        <w:gridCol w:w="1161"/>
        <w:gridCol w:w="2087"/>
      </w:tblGrid>
      <w:tr w:rsidR="00A67F21" w:rsidRPr="00B12FE0" w14:paraId="56D0235E" w14:textId="77777777">
        <w:trPr>
          <w:trHeight w:val="454"/>
          <w:jc w:val="center"/>
        </w:trPr>
        <w:tc>
          <w:tcPr>
            <w:tcW w:w="918" w:type="pct"/>
            <w:vAlign w:val="center"/>
          </w:tcPr>
          <w:p w14:paraId="450DB175" w14:textId="77777777" w:rsidR="00A67F21" w:rsidRPr="00B12FE0" w:rsidRDefault="00000000">
            <w:pPr>
              <w:adjustRightInd w:val="0"/>
              <w:snapToGrid w:val="0"/>
              <w:jc w:val="center"/>
              <w:rPr>
                <w:b/>
                <w:color w:val="000000" w:themeColor="text1"/>
                <w:sz w:val="21"/>
                <w:szCs w:val="21"/>
              </w:rPr>
            </w:pPr>
            <w:r w:rsidRPr="00B12FE0">
              <w:rPr>
                <w:rFonts w:hint="eastAsia"/>
                <w:b/>
                <w:color w:val="000000" w:themeColor="text1"/>
                <w:sz w:val="21"/>
                <w:szCs w:val="21"/>
              </w:rPr>
              <w:t>诊疗</w:t>
            </w:r>
            <w:r w:rsidRPr="00B12FE0">
              <w:rPr>
                <w:b/>
                <w:color w:val="000000" w:themeColor="text1"/>
                <w:sz w:val="21"/>
                <w:szCs w:val="21"/>
              </w:rPr>
              <w:t>项目</w:t>
            </w:r>
          </w:p>
        </w:tc>
        <w:tc>
          <w:tcPr>
            <w:tcW w:w="656" w:type="pct"/>
            <w:vAlign w:val="center"/>
          </w:tcPr>
          <w:p w14:paraId="395DB770"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治疗核素</w:t>
            </w:r>
          </w:p>
        </w:tc>
        <w:tc>
          <w:tcPr>
            <w:tcW w:w="656" w:type="pct"/>
            <w:vAlign w:val="center"/>
          </w:tcPr>
          <w:p w14:paraId="5B5306AC"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患者数量</w:t>
            </w:r>
          </w:p>
        </w:tc>
        <w:tc>
          <w:tcPr>
            <w:tcW w:w="930" w:type="pct"/>
            <w:vAlign w:val="center"/>
          </w:tcPr>
          <w:p w14:paraId="1B33DD29"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核素用量</w:t>
            </w:r>
          </w:p>
        </w:tc>
        <w:tc>
          <w:tcPr>
            <w:tcW w:w="657" w:type="pct"/>
            <w:vAlign w:val="center"/>
          </w:tcPr>
          <w:p w14:paraId="2FB83E38"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给药</w:t>
            </w:r>
            <w:r w:rsidRPr="00B12FE0">
              <w:rPr>
                <w:rFonts w:hint="eastAsia"/>
                <w:b/>
                <w:color w:val="000000" w:themeColor="text1"/>
                <w:sz w:val="21"/>
                <w:szCs w:val="21"/>
              </w:rPr>
              <w:t>方式</w:t>
            </w:r>
          </w:p>
        </w:tc>
        <w:tc>
          <w:tcPr>
            <w:tcW w:w="1180" w:type="pct"/>
            <w:vAlign w:val="center"/>
          </w:tcPr>
          <w:p w14:paraId="4A37B965"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来源</w:t>
            </w:r>
          </w:p>
        </w:tc>
      </w:tr>
      <w:tr w:rsidR="00A67F21" w:rsidRPr="00B12FE0" w14:paraId="36475EE1" w14:textId="77777777">
        <w:trPr>
          <w:trHeight w:val="454"/>
          <w:jc w:val="center"/>
        </w:trPr>
        <w:tc>
          <w:tcPr>
            <w:tcW w:w="918" w:type="pct"/>
            <w:vAlign w:val="center"/>
          </w:tcPr>
          <w:p w14:paraId="09E9B886"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敷贴</w:t>
            </w:r>
            <w:r w:rsidRPr="00B12FE0">
              <w:rPr>
                <w:bCs/>
                <w:color w:val="000000" w:themeColor="text1"/>
                <w:sz w:val="21"/>
                <w:szCs w:val="21"/>
              </w:rPr>
              <w:t>治疗</w:t>
            </w:r>
          </w:p>
        </w:tc>
        <w:tc>
          <w:tcPr>
            <w:tcW w:w="656" w:type="pct"/>
            <w:vAlign w:val="center"/>
          </w:tcPr>
          <w:p w14:paraId="6658AB51" w14:textId="77777777" w:rsidR="00A67F21" w:rsidRPr="00B12FE0" w:rsidRDefault="00000000">
            <w:pPr>
              <w:adjustRightInd w:val="0"/>
              <w:snapToGrid w:val="0"/>
              <w:jc w:val="center"/>
              <w:rPr>
                <w:bCs/>
                <w:color w:val="000000" w:themeColor="text1"/>
                <w:sz w:val="21"/>
                <w:szCs w:val="21"/>
              </w:rPr>
            </w:pPr>
            <w:r w:rsidRPr="00B12FE0">
              <w:rPr>
                <w:bCs/>
                <w:color w:val="000000" w:themeColor="text1"/>
                <w:kern w:val="0"/>
                <w:sz w:val="21"/>
                <w:szCs w:val="21"/>
                <w:vertAlign w:val="superscript"/>
              </w:rPr>
              <w:t>32</w:t>
            </w:r>
            <w:r w:rsidRPr="00B12FE0">
              <w:rPr>
                <w:bCs/>
                <w:color w:val="000000" w:themeColor="text1"/>
                <w:kern w:val="0"/>
                <w:sz w:val="21"/>
                <w:szCs w:val="21"/>
              </w:rPr>
              <w:t>P</w:t>
            </w:r>
          </w:p>
        </w:tc>
        <w:tc>
          <w:tcPr>
            <w:tcW w:w="656" w:type="pct"/>
            <w:vAlign w:val="center"/>
          </w:tcPr>
          <w:p w14:paraId="72B13CEE"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3</w:t>
            </w:r>
            <w:r w:rsidRPr="00B12FE0">
              <w:rPr>
                <w:bCs/>
                <w:color w:val="000000" w:themeColor="text1"/>
                <w:sz w:val="21"/>
                <w:szCs w:val="21"/>
              </w:rPr>
              <w:t>人</w:t>
            </w:r>
            <w:r w:rsidRPr="00B12FE0">
              <w:rPr>
                <w:bCs/>
                <w:color w:val="000000" w:themeColor="text1"/>
                <w:sz w:val="21"/>
                <w:szCs w:val="21"/>
              </w:rPr>
              <w:t>/</w:t>
            </w:r>
            <w:r w:rsidRPr="00B12FE0">
              <w:rPr>
                <w:bCs/>
                <w:color w:val="000000" w:themeColor="text1"/>
                <w:sz w:val="21"/>
                <w:szCs w:val="21"/>
              </w:rPr>
              <w:t>天</w:t>
            </w:r>
          </w:p>
        </w:tc>
        <w:tc>
          <w:tcPr>
            <w:tcW w:w="930" w:type="pct"/>
            <w:vAlign w:val="center"/>
          </w:tcPr>
          <w:p w14:paraId="147B75FE"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sz w:val="21"/>
                <w:szCs w:val="21"/>
              </w:rPr>
              <w:t>3.70E+07</w:t>
            </w:r>
            <w:r w:rsidRPr="00B12FE0">
              <w:rPr>
                <w:color w:val="000000" w:themeColor="text1"/>
                <w:sz w:val="21"/>
                <w:szCs w:val="21"/>
              </w:rPr>
              <w:t>Bq/</w:t>
            </w:r>
            <w:r w:rsidRPr="00B12FE0">
              <w:rPr>
                <w:color w:val="000000" w:themeColor="text1"/>
                <w:sz w:val="21"/>
                <w:szCs w:val="21"/>
              </w:rPr>
              <w:t>人</w:t>
            </w:r>
          </w:p>
        </w:tc>
        <w:tc>
          <w:tcPr>
            <w:tcW w:w="657" w:type="pct"/>
            <w:vAlign w:val="center"/>
          </w:tcPr>
          <w:p w14:paraId="5F6A4ABE"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敷贴</w:t>
            </w:r>
          </w:p>
        </w:tc>
        <w:tc>
          <w:tcPr>
            <w:tcW w:w="1180" w:type="pct"/>
            <w:vAlign w:val="center"/>
          </w:tcPr>
          <w:p w14:paraId="0BC24114"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外购药物，自行制备敷贴器</w:t>
            </w:r>
          </w:p>
        </w:tc>
      </w:tr>
    </w:tbl>
    <w:p w14:paraId="6B0FA392" w14:textId="77777777" w:rsidR="00A67F21" w:rsidRPr="00B12FE0" w:rsidRDefault="00000000">
      <w:pPr>
        <w:spacing w:line="360" w:lineRule="auto"/>
        <w:ind w:firstLineChars="200" w:firstLine="482"/>
        <w:rPr>
          <w:b/>
          <w:bCs/>
          <w:color w:val="000000" w:themeColor="text1"/>
        </w:rPr>
      </w:pPr>
      <w:r w:rsidRPr="00B12FE0">
        <w:rPr>
          <w:b/>
          <w:bCs/>
          <w:color w:val="000000" w:themeColor="text1"/>
        </w:rPr>
        <w:t>（</w:t>
      </w:r>
      <w:r w:rsidRPr="00B12FE0">
        <w:rPr>
          <w:b/>
          <w:bCs/>
          <w:color w:val="000000" w:themeColor="text1"/>
        </w:rPr>
        <w:t>3</w:t>
      </w:r>
      <w:r w:rsidRPr="00B12FE0">
        <w:rPr>
          <w:b/>
          <w:bCs/>
          <w:color w:val="000000" w:themeColor="text1"/>
        </w:rPr>
        <w:t>）工作流程</w:t>
      </w:r>
      <w:proofErr w:type="gramStart"/>
      <w:r w:rsidRPr="00B12FE0">
        <w:rPr>
          <w:b/>
          <w:bCs/>
          <w:color w:val="000000" w:themeColor="text1"/>
        </w:rPr>
        <w:t>及产污环节</w:t>
      </w:r>
      <w:proofErr w:type="gramEnd"/>
    </w:p>
    <w:p w14:paraId="5202FCF7" w14:textId="77777777" w:rsidR="00A67F21" w:rsidRPr="00B12FE0" w:rsidRDefault="00000000">
      <w:pPr>
        <w:adjustRightInd w:val="0"/>
        <w:snapToGrid w:val="0"/>
        <w:spacing w:line="360" w:lineRule="auto"/>
        <w:ind w:firstLineChars="200" w:firstLine="480"/>
        <w:rPr>
          <w:bCs/>
          <w:color w:val="000000" w:themeColor="text1"/>
          <w:kern w:val="0"/>
          <w:szCs w:val="24"/>
        </w:rPr>
      </w:pPr>
      <w:r w:rsidRPr="00B12FE0">
        <w:rPr>
          <w:rFonts w:hint="eastAsia"/>
          <w:color w:val="000000" w:themeColor="text1"/>
          <w:szCs w:val="24"/>
        </w:rPr>
        <w:t>①订药：由于</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敷贴器需要在使用前进行制作，</w:t>
      </w:r>
      <w:r w:rsidRPr="00B12FE0">
        <w:rPr>
          <w:rFonts w:hint="eastAsia"/>
          <w:bCs/>
          <w:color w:val="000000" w:themeColor="text1"/>
          <w:kern w:val="0"/>
          <w:szCs w:val="24"/>
        </w:rPr>
        <w:t>因</w:t>
      </w:r>
      <w:r w:rsidRPr="00B12FE0">
        <w:rPr>
          <w:bCs/>
          <w:color w:val="000000" w:themeColor="text1"/>
          <w:kern w:val="0"/>
          <w:szCs w:val="24"/>
          <w:vertAlign w:val="superscript"/>
        </w:rPr>
        <w:t>32</w:t>
      </w:r>
      <w:r w:rsidRPr="00B12FE0">
        <w:rPr>
          <w:bCs/>
          <w:color w:val="000000" w:themeColor="text1"/>
          <w:kern w:val="0"/>
          <w:szCs w:val="24"/>
        </w:rPr>
        <w:t>P</w:t>
      </w:r>
      <w:r w:rsidRPr="00B12FE0">
        <w:rPr>
          <w:rFonts w:hint="eastAsia"/>
          <w:bCs/>
          <w:color w:val="000000" w:themeColor="text1"/>
          <w:kern w:val="0"/>
          <w:szCs w:val="24"/>
        </w:rPr>
        <w:t>核素半衰期（</w:t>
      </w:r>
      <w:r w:rsidRPr="00B12FE0">
        <w:rPr>
          <w:bCs/>
          <w:color w:val="000000" w:themeColor="text1"/>
          <w:kern w:val="0"/>
          <w:szCs w:val="24"/>
        </w:rPr>
        <w:t>14.3d</w:t>
      </w:r>
      <w:r w:rsidRPr="00B12FE0">
        <w:rPr>
          <w:rFonts w:hint="eastAsia"/>
          <w:bCs/>
          <w:color w:val="000000" w:themeColor="text1"/>
          <w:kern w:val="0"/>
          <w:szCs w:val="24"/>
        </w:rPr>
        <w:t>）较长，并结合医院诊疗规划，供药单</w:t>
      </w:r>
      <w:proofErr w:type="gramStart"/>
      <w:r w:rsidRPr="00B12FE0">
        <w:rPr>
          <w:rFonts w:hint="eastAsia"/>
          <w:bCs/>
          <w:color w:val="000000" w:themeColor="text1"/>
          <w:kern w:val="0"/>
          <w:szCs w:val="24"/>
        </w:rPr>
        <w:t>位计划</w:t>
      </w:r>
      <w:proofErr w:type="gramEnd"/>
      <w:r w:rsidRPr="00B12FE0">
        <w:rPr>
          <w:rFonts w:hint="eastAsia"/>
          <w:bCs/>
          <w:color w:val="000000" w:themeColor="text1"/>
          <w:kern w:val="0"/>
          <w:szCs w:val="24"/>
        </w:rPr>
        <w:t>每周一集中送该周所需药至肿瘤治疗中心综合楼一层</w:t>
      </w:r>
      <w:r w:rsidRPr="00B12FE0">
        <w:rPr>
          <w:bCs/>
          <w:color w:val="000000" w:themeColor="text1"/>
          <w:szCs w:val="24"/>
        </w:rPr>
        <w:t>核医学科</w:t>
      </w:r>
      <w:r w:rsidRPr="00B12FE0">
        <w:rPr>
          <w:rFonts w:hint="eastAsia"/>
          <w:bCs/>
          <w:color w:val="000000" w:themeColor="text1"/>
          <w:szCs w:val="24"/>
        </w:rPr>
        <w:t>工作场所</w:t>
      </w:r>
      <w:r w:rsidRPr="00B12FE0">
        <w:rPr>
          <w:rFonts w:hint="eastAsia"/>
          <w:bCs/>
          <w:color w:val="000000" w:themeColor="text1"/>
          <w:kern w:val="0"/>
          <w:szCs w:val="24"/>
        </w:rPr>
        <w:t>，</w:t>
      </w:r>
      <w:r w:rsidRPr="00B12FE0">
        <w:rPr>
          <w:rFonts w:hint="eastAsia"/>
          <w:bCs/>
          <w:color w:val="000000" w:themeColor="text1"/>
          <w:szCs w:val="24"/>
        </w:rPr>
        <w:t>药品以单个货包</w:t>
      </w:r>
      <w:r w:rsidRPr="00B12FE0">
        <w:rPr>
          <w:bCs/>
          <w:color w:val="000000" w:themeColor="text1"/>
          <w:szCs w:val="24"/>
        </w:rPr>
        <w:t>的形式送达，单个货包药量最大值为</w:t>
      </w:r>
      <w:r w:rsidRPr="00B12FE0">
        <w:rPr>
          <w:rFonts w:hint="eastAsia"/>
          <w:color w:val="000000" w:themeColor="text1"/>
          <w:szCs w:val="24"/>
        </w:rPr>
        <w:t>5.55</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Bq</w:t>
      </w:r>
      <w:r w:rsidRPr="00B12FE0">
        <w:rPr>
          <w:color w:val="000000" w:themeColor="text1"/>
          <w:szCs w:val="24"/>
        </w:rPr>
        <w:t>；</w:t>
      </w:r>
      <w:r w:rsidRPr="00B12FE0">
        <w:rPr>
          <w:bCs/>
          <w:color w:val="000000" w:themeColor="text1"/>
          <w:kern w:val="0"/>
          <w:szCs w:val="24"/>
        </w:rPr>
        <w:t>核医学</w:t>
      </w:r>
      <w:proofErr w:type="gramStart"/>
      <w:r w:rsidRPr="00B12FE0">
        <w:rPr>
          <w:bCs/>
          <w:color w:val="000000" w:themeColor="text1"/>
          <w:kern w:val="0"/>
          <w:szCs w:val="24"/>
        </w:rPr>
        <w:t>科安排</w:t>
      </w:r>
      <w:proofErr w:type="gramEnd"/>
      <w:r w:rsidRPr="00B12FE0">
        <w:rPr>
          <w:bCs/>
          <w:color w:val="000000" w:themeColor="text1"/>
          <w:kern w:val="0"/>
          <w:szCs w:val="24"/>
        </w:rPr>
        <w:t>专人接收药物，经确认无误完成相关交接、登记手续后，将药品转移至</w:t>
      </w:r>
      <w:proofErr w:type="gramStart"/>
      <w:r w:rsidRPr="00B12FE0">
        <w:rPr>
          <w:bCs/>
          <w:color w:val="000000" w:themeColor="text1"/>
          <w:kern w:val="0"/>
          <w:szCs w:val="24"/>
        </w:rPr>
        <w:t>高活室有机玻璃</w:t>
      </w:r>
      <w:proofErr w:type="gramEnd"/>
      <w:r w:rsidRPr="00B12FE0">
        <w:rPr>
          <w:bCs/>
          <w:color w:val="000000" w:themeColor="text1"/>
          <w:kern w:val="0"/>
          <w:szCs w:val="24"/>
        </w:rPr>
        <w:t>手套箱内，</w:t>
      </w:r>
      <w:r w:rsidRPr="00B12FE0">
        <w:rPr>
          <w:rFonts w:hint="eastAsia"/>
          <w:bCs/>
          <w:color w:val="000000" w:themeColor="text1"/>
          <w:kern w:val="0"/>
          <w:szCs w:val="24"/>
        </w:rPr>
        <w:t>根据患者需求进行敷贴器制作</w:t>
      </w:r>
      <w:r w:rsidRPr="00B12FE0">
        <w:rPr>
          <w:rFonts w:ascii="宋体" w:cs="宋体" w:hint="eastAsia"/>
          <w:bCs/>
          <w:color w:val="000000" w:themeColor="text1"/>
          <w:kern w:val="0"/>
          <w:szCs w:val="24"/>
        </w:rPr>
        <w:t>。</w:t>
      </w:r>
    </w:p>
    <w:p w14:paraId="57AF8358"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hint="eastAsia"/>
          <w:color w:val="000000" w:themeColor="text1"/>
          <w:szCs w:val="24"/>
        </w:rPr>
        <w:t>②制作</w:t>
      </w:r>
      <w:r w:rsidRPr="00B12FE0">
        <w:rPr>
          <w:bCs/>
          <w:color w:val="000000" w:themeColor="text1"/>
          <w:szCs w:val="24"/>
          <w:vertAlign w:val="superscript"/>
        </w:rPr>
        <w:t>32</w:t>
      </w:r>
      <w:r w:rsidRPr="00B12FE0">
        <w:rPr>
          <w:bCs/>
          <w:color w:val="000000" w:themeColor="text1"/>
          <w:szCs w:val="24"/>
        </w:rPr>
        <w:t>P</w:t>
      </w:r>
      <w:r w:rsidRPr="00B12FE0">
        <w:rPr>
          <w:rFonts w:hint="eastAsia"/>
          <w:color w:val="000000" w:themeColor="text1"/>
          <w:szCs w:val="24"/>
        </w:rPr>
        <w:t>敷贴器：</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药物密封于专用屏蔽容器中，使用前由护士在</w:t>
      </w:r>
      <w:proofErr w:type="gramStart"/>
      <w:r w:rsidRPr="00B12FE0">
        <w:rPr>
          <w:rFonts w:hint="eastAsia"/>
          <w:bCs/>
          <w:color w:val="000000" w:themeColor="text1"/>
          <w:szCs w:val="24"/>
        </w:rPr>
        <w:t>高活室</w:t>
      </w:r>
      <w:r w:rsidRPr="00B12FE0">
        <w:rPr>
          <w:rFonts w:hAnsi="宋体" w:hint="eastAsia"/>
          <w:color w:val="000000" w:themeColor="text1"/>
          <w:szCs w:val="24"/>
        </w:rPr>
        <w:t>有机玻璃</w:t>
      </w:r>
      <w:proofErr w:type="gramEnd"/>
      <w:r w:rsidRPr="00B12FE0">
        <w:rPr>
          <w:rFonts w:hAnsi="宋体" w:hint="eastAsia"/>
          <w:color w:val="000000" w:themeColor="text1"/>
          <w:szCs w:val="24"/>
        </w:rPr>
        <w:t>手套箱</w:t>
      </w:r>
      <w:r w:rsidRPr="00B12FE0">
        <w:rPr>
          <w:rFonts w:hAnsi="宋体" w:hint="eastAsia"/>
          <w:color w:val="000000" w:themeColor="text1"/>
          <w:szCs w:val="24"/>
        </w:rPr>
        <w:t>2</w:t>
      </w:r>
      <w:r w:rsidRPr="00B12FE0">
        <w:rPr>
          <w:rFonts w:hint="eastAsia"/>
          <w:bCs/>
          <w:color w:val="000000" w:themeColor="text1"/>
          <w:szCs w:val="24"/>
        </w:rPr>
        <w:t>中进行制作。制作方法如下：</w:t>
      </w:r>
      <w:r w:rsidRPr="00B12FE0">
        <w:rPr>
          <w:rFonts w:hint="eastAsia"/>
          <w:bCs/>
          <w:color w:val="000000" w:themeColor="text1"/>
          <w:szCs w:val="24"/>
        </w:rPr>
        <w:t>a</w:t>
      </w:r>
      <w:r w:rsidRPr="00B12FE0">
        <w:rPr>
          <w:bCs/>
          <w:color w:val="000000" w:themeColor="text1"/>
          <w:szCs w:val="24"/>
        </w:rPr>
        <w:t>.</w:t>
      </w:r>
      <w:r w:rsidRPr="00B12FE0">
        <w:rPr>
          <w:rFonts w:hint="eastAsia"/>
          <w:bCs/>
          <w:color w:val="000000" w:themeColor="text1"/>
          <w:szCs w:val="24"/>
        </w:rPr>
        <w:t>采用优质滤纸按病变形状要求剪成规格大小及形状不同的纸片，作为</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溶液的支持物，滤纸上画有格子；</w:t>
      </w:r>
      <w:r w:rsidRPr="00B12FE0">
        <w:rPr>
          <w:rFonts w:hint="eastAsia"/>
          <w:bCs/>
          <w:color w:val="000000" w:themeColor="text1"/>
          <w:szCs w:val="24"/>
        </w:rPr>
        <w:t>b</w:t>
      </w:r>
      <w:r w:rsidRPr="00B12FE0">
        <w:rPr>
          <w:bCs/>
          <w:color w:val="000000" w:themeColor="text1"/>
          <w:szCs w:val="24"/>
        </w:rPr>
        <w:t>.</w:t>
      </w:r>
      <w:r w:rsidRPr="00B12FE0">
        <w:rPr>
          <w:rFonts w:hint="eastAsia"/>
          <w:bCs/>
          <w:color w:val="000000" w:themeColor="text1"/>
          <w:szCs w:val="24"/>
        </w:rPr>
        <w:t>用生理盐水分别将不同大小与形状的滤纸做一次吸水试验以确定滴加</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溶液的毫升数；</w:t>
      </w:r>
      <w:r w:rsidRPr="00B12FE0">
        <w:rPr>
          <w:rFonts w:hint="eastAsia"/>
          <w:bCs/>
          <w:color w:val="000000" w:themeColor="text1"/>
          <w:szCs w:val="24"/>
        </w:rPr>
        <w:t>c</w:t>
      </w:r>
      <w:r w:rsidRPr="00B12FE0">
        <w:rPr>
          <w:bCs/>
          <w:color w:val="000000" w:themeColor="text1"/>
          <w:szCs w:val="24"/>
        </w:rPr>
        <w:t>.</w:t>
      </w:r>
      <w:r w:rsidRPr="00B12FE0">
        <w:rPr>
          <w:rFonts w:hint="eastAsia"/>
          <w:bCs/>
          <w:color w:val="000000" w:themeColor="text1"/>
          <w:szCs w:val="24"/>
        </w:rPr>
        <w:t>用手控移液管吸取预先计算好的混有色剂的</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溶液，按每张滤纸的吸水量分格滴加</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溶液，通过颜色的深浅来调整</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活度的分布均匀性；</w:t>
      </w:r>
      <w:r w:rsidRPr="00B12FE0">
        <w:rPr>
          <w:rFonts w:hint="eastAsia"/>
          <w:bCs/>
          <w:color w:val="000000" w:themeColor="text1"/>
          <w:szCs w:val="24"/>
        </w:rPr>
        <w:t>d</w:t>
      </w:r>
      <w:r w:rsidRPr="00B12FE0">
        <w:rPr>
          <w:bCs/>
          <w:color w:val="000000" w:themeColor="text1"/>
          <w:szCs w:val="24"/>
        </w:rPr>
        <w:t>.</w:t>
      </w:r>
      <w:r w:rsidRPr="00B12FE0">
        <w:rPr>
          <w:rFonts w:hint="eastAsia"/>
          <w:bCs/>
          <w:color w:val="000000" w:themeColor="text1"/>
          <w:szCs w:val="24"/>
        </w:rPr>
        <w:t>调整色剂均匀分布后经自然晾干，用优质塑料薄膜与胶布套封，保证其密封性。在胶布上注明敷贴器的名称、制作日期、放射性活度等。经检测表面无放射性污染后即可使用。</w:t>
      </w:r>
      <w:r w:rsidRPr="00B12FE0">
        <w:rPr>
          <w:rFonts w:hint="eastAsia"/>
          <w:bCs/>
          <w:color w:val="000000" w:themeColor="text1"/>
          <w:kern w:val="0"/>
          <w:szCs w:val="24"/>
        </w:rPr>
        <w:t>制作完成后工作人员用</w:t>
      </w:r>
      <w:r w:rsidRPr="00B12FE0">
        <w:rPr>
          <w:rFonts w:hint="eastAsia"/>
          <w:bCs/>
          <w:color w:val="000000" w:themeColor="text1"/>
          <w:szCs w:val="24"/>
        </w:rPr>
        <w:t>长柄工具</w:t>
      </w:r>
      <w:r w:rsidRPr="00B12FE0">
        <w:rPr>
          <w:rFonts w:hint="eastAsia"/>
          <w:bCs/>
          <w:color w:val="000000" w:themeColor="text1"/>
          <w:kern w:val="0"/>
          <w:szCs w:val="24"/>
        </w:rPr>
        <w:t>将敷贴器放入</w:t>
      </w:r>
      <w:proofErr w:type="gramStart"/>
      <w:r w:rsidRPr="00B12FE0">
        <w:rPr>
          <w:rFonts w:hint="eastAsia"/>
          <w:bCs/>
          <w:color w:val="000000" w:themeColor="text1"/>
          <w:kern w:val="0"/>
          <w:szCs w:val="24"/>
        </w:rPr>
        <w:t>储源铅箱并</w:t>
      </w:r>
      <w:proofErr w:type="gramEnd"/>
      <w:r w:rsidRPr="00B12FE0">
        <w:rPr>
          <w:rFonts w:hint="eastAsia"/>
          <w:bCs/>
          <w:color w:val="000000" w:themeColor="text1"/>
          <w:kern w:val="0"/>
          <w:szCs w:val="24"/>
        </w:rPr>
        <w:t>均</w:t>
      </w:r>
      <w:r w:rsidRPr="00B12FE0">
        <w:rPr>
          <w:rFonts w:ascii="宋体" w:cs="宋体" w:hint="eastAsia"/>
          <w:bCs/>
          <w:color w:val="000000" w:themeColor="text1"/>
          <w:kern w:val="0"/>
          <w:szCs w:val="24"/>
        </w:rPr>
        <w:t>暂存在储源室内。</w:t>
      </w:r>
    </w:p>
    <w:p w14:paraId="034EAB3A"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hint="eastAsia"/>
          <w:bCs/>
          <w:color w:val="000000" w:themeColor="text1"/>
          <w:szCs w:val="24"/>
        </w:rPr>
        <w:t>③预约、制定治疗方案：医务人员提前了解患者瘤、痣、疤痕疙瘩等需要治疗部位的形状和情况，进而确定采用的敷贴治疗方案，根据病人预约情况安排治疗。治疗前，医生先根据敷贴治疗的适应症和禁忌症，对具有正当理由的患者开具敷贴治疗申请单，并预约登记，医生根据病情制定治疗方案。</w:t>
      </w:r>
    </w:p>
    <w:p w14:paraId="7C0B84E4"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hint="eastAsia"/>
          <w:bCs/>
          <w:color w:val="000000" w:themeColor="text1"/>
          <w:szCs w:val="24"/>
        </w:rPr>
        <w:t>④治疗：</w:t>
      </w:r>
      <w:r w:rsidRPr="00B12FE0">
        <w:rPr>
          <w:bCs/>
          <w:snapToGrid w:val="0"/>
          <w:color w:val="000000" w:themeColor="text1"/>
          <w:szCs w:val="24"/>
        </w:rPr>
        <w:t>治疗时，治疗人员将敷贴器摆放至治疗部位后，在不接触患者皮肤的面用</w:t>
      </w:r>
      <w:r w:rsidRPr="00B12FE0">
        <w:rPr>
          <w:bCs/>
          <w:snapToGrid w:val="0"/>
          <w:color w:val="000000" w:themeColor="text1"/>
          <w:szCs w:val="24"/>
        </w:rPr>
        <w:t>3mm</w:t>
      </w:r>
      <w:r w:rsidRPr="00B12FE0">
        <w:rPr>
          <w:bCs/>
          <w:snapToGrid w:val="0"/>
          <w:color w:val="000000" w:themeColor="text1"/>
          <w:szCs w:val="24"/>
        </w:rPr>
        <w:t>厚的橡皮泥覆盖屏蔽。辐射工作人员在</w:t>
      </w:r>
      <w:r w:rsidRPr="00B12FE0">
        <w:rPr>
          <w:rFonts w:hint="eastAsia"/>
          <w:bCs/>
          <w:snapToGrid w:val="0"/>
          <w:color w:val="000000" w:themeColor="text1"/>
          <w:szCs w:val="24"/>
        </w:rPr>
        <w:t>高活室内</w:t>
      </w:r>
      <w:r w:rsidRPr="00B12FE0">
        <w:rPr>
          <w:bCs/>
          <w:snapToGrid w:val="0"/>
          <w:color w:val="000000" w:themeColor="text1"/>
          <w:szCs w:val="24"/>
        </w:rPr>
        <w:t>制成</w:t>
      </w:r>
      <w:r w:rsidRPr="00B12FE0">
        <w:rPr>
          <w:bCs/>
          <w:snapToGrid w:val="0"/>
          <w:color w:val="000000" w:themeColor="text1"/>
          <w:szCs w:val="24"/>
          <w:vertAlign w:val="superscript"/>
        </w:rPr>
        <w:t>32</w:t>
      </w:r>
      <w:r w:rsidRPr="00B12FE0">
        <w:rPr>
          <w:bCs/>
          <w:snapToGrid w:val="0"/>
          <w:color w:val="000000" w:themeColor="text1"/>
          <w:szCs w:val="24"/>
        </w:rPr>
        <w:t>P</w:t>
      </w:r>
      <w:r w:rsidRPr="00B12FE0">
        <w:rPr>
          <w:bCs/>
          <w:snapToGrid w:val="0"/>
          <w:color w:val="000000" w:themeColor="text1"/>
          <w:szCs w:val="24"/>
        </w:rPr>
        <w:t>敷贴器，送至敷贴治疗室为患者进行敷贴治疗</w:t>
      </w:r>
      <w:r w:rsidRPr="00B12FE0">
        <w:rPr>
          <w:rFonts w:hint="eastAsia"/>
          <w:bCs/>
          <w:color w:val="000000" w:themeColor="text1"/>
          <w:szCs w:val="24"/>
        </w:rPr>
        <w:t>。</w:t>
      </w:r>
      <w:r w:rsidRPr="00B12FE0">
        <w:rPr>
          <w:rFonts w:hint="eastAsia"/>
          <w:color w:val="000000" w:themeColor="text1"/>
          <w:szCs w:val="24"/>
        </w:rPr>
        <w:t>本项目</w:t>
      </w:r>
      <w:r w:rsidRPr="00B12FE0">
        <w:rPr>
          <w:rFonts w:hint="eastAsia"/>
          <w:bCs/>
          <w:color w:val="000000" w:themeColor="text1"/>
          <w:szCs w:val="24"/>
        </w:rPr>
        <w:t>敷贴治疗时间约为</w:t>
      </w:r>
      <w:r w:rsidRPr="00B12FE0">
        <w:rPr>
          <w:rFonts w:hint="eastAsia"/>
          <w:bCs/>
          <w:color w:val="000000" w:themeColor="text1"/>
          <w:szCs w:val="24"/>
        </w:rPr>
        <w:t>1h</w:t>
      </w:r>
      <w:r w:rsidRPr="00B12FE0">
        <w:rPr>
          <w:rFonts w:hint="eastAsia"/>
          <w:bCs/>
          <w:color w:val="000000" w:themeColor="text1"/>
          <w:szCs w:val="24"/>
        </w:rPr>
        <w:t>左右，</w:t>
      </w:r>
      <w:r w:rsidRPr="00B12FE0">
        <w:rPr>
          <w:rFonts w:hint="eastAsia"/>
          <w:bCs/>
          <w:snapToGrid w:val="0"/>
          <w:color w:val="000000" w:themeColor="text1"/>
          <w:szCs w:val="24"/>
        </w:rPr>
        <w:t>敷贴治疗室每次仅容纳一名患者</w:t>
      </w:r>
      <w:r w:rsidRPr="00B12FE0">
        <w:rPr>
          <w:rFonts w:hint="eastAsia"/>
          <w:bCs/>
          <w:color w:val="000000" w:themeColor="text1"/>
          <w:szCs w:val="24"/>
        </w:rPr>
        <w:t>，敷贴治疗时，禁止无关人员进入敷贴室。</w:t>
      </w:r>
      <w:r w:rsidRPr="00B12FE0">
        <w:rPr>
          <w:bCs/>
          <w:snapToGrid w:val="0"/>
          <w:color w:val="000000" w:themeColor="text1"/>
          <w:szCs w:val="24"/>
        </w:rPr>
        <w:t>治疗结束后患者离开核医学科，</w:t>
      </w:r>
      <w:r w:rsidRPr="00B12FE0">
        <w:rPr>
          <w:bCs/>
          <w:snapToGrid w:val="0"/>
          <w:color w:val="000000" w:themeColor="text1"/>
          <w:szCs w:val="24"/>
        </w:rPr>
        <w:lastRenderedPageBreak/>
        <w:t>使用后的敷贴器由医生回收放置在装有塑料袋的放射性废物桶中进行衰变处理。</w:t>
      </w:r>
      <w:r w:rsidRPr="00B12FE0">
        <w:rPr>
          <w:bCs/>
          <w:color w:val="000000" w:themeColor="text1"/>
          <w:szCs w:val="24"/>
          <w:vertAlign w:val="superscript"/>
        </w:rPr>
        <w:t>32</w:t>
      </w:r>
      <w:r w:rsidRPr="00B12FE0">
        <w:rPr>
          <w:bCs/>
          <w:color w:val="000000" w:themeColor="text1"/>
          <w:szCs w:val="24"/>
        </w:rPr>
        <w:t>P</w:t>
      </w:r>
      <w:r w:rsidRPr="00B12FE0">
        <w:rPr>
          <w:rFonts w:hint="eastAsia"/>
          <w:bCs/>
          <w:color w:val="000000" w:themeColor="text1"/>
          <w:szCs w:val="24"/>
        </w:rPr>
        <w:t>敷贴治疗工艺流程</w:t>
      </w:r>
      <w:proofErr w:type="gramStart"/>
      <w:r w:rsidRPr="00B12FE0">
        <w:rPr>
          <w:rFonts w:hint="eastAsia"/>
          <w:bCs/>
          <w:color w:val="000000" w:themeColor="text1"/>
          <w:szCs w:val="24"/>
        </w:rPr>
        <w:t>及产污环节</w:t>
      </w:r>
      <w:proofErr w:type="gramEnd"/>
      <w:r w:rsidRPr="00B12FE0">
        <w:rPr>
          <w:rFonts w:hint="eastAsia"/>
          <w:bCs/>
          <w:color w:val="000000" w:themeColor="text1"/>
          <w:szCs w:val="24"/>
        </w:rPr>
        <w:t>见下图。</w:t>
      </w:r>
    </w:p>
    <w:p w14:paraId="60F62134" w14:textId="77777777" w:rsidR="00A67F21" w:rsidRPr="00B12FE0" w:rsidRDefault="00000000">
      <w:pPr>
        <w:adjustRightInd w:val="0"/>
        <w:snapToGrid w:val="0"/>
        <w:jc w:val="center"/>
        <w:rPr>
          <w:b/>
          <w:bCs/>
          <w:color w:val="000000" w:themeColor="text1"/>
          <w:sz w:val="21"/>
          <w:szCs w:val="21"/>
        </w:rPr>
      </w:pPr>
      <w:r w:rsidRPr="00B12FE0">
        <w:rPr>
          <w:b/>
          <w:bCs/>
          <w:color w:val="000000" w:themeColor="text1"/>
          <w:sz w:val="21"/>
          <w:szCs w:val="21"/>
        </w:rPr>
        <w:object w:dxaOrig="6748" w:dyaOrig="4740" w14:anchorId="5CE3F4C6">
          <v:shape id="_x0000_i1025" type="#_x0000_t75" style="width:337.55pt;height:236.55pt" o:ole="">
            <v:imagedata r:id="rId29" o:title=""/>
            <o:lock v:ext="edit" aspectratio="f"/>
          </v:shape>
          <o:OLEObject Type="Embed" ProgID="Visio.Drawing.15" ShapeID="_x0000_i1025" DrawAspect="Content" ObjectID="_1843190425" r:id="rId30"/>
        </w:object>
      </w:r>
    </w:p>
    <w:p w14:paraId="5D64BAE7"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hint="eastAsia"/>
          <w:b/>
          <w:bCs/>
          <w:color w:val="000000" w:themeColor="text1"/>
          <w:sz w:val="21"/>
          <w:szCs w:val="21"/>
        </w:rPr>
        <w:t>图</w:t>
      </w:r>
      <w:r w:rsidRPr="00B12FE0">
        <w:rPr>
          <w:b/>
          <w:bCs/>
          <w:color w:val="000000" w:themeColor="text1"/>
          <w:sz w:val="21"/>
          <w:szCs w:val="21"/>
        </w:rPr>
        <w:t>9.1.1.</w:t>
      </w:r>
      <w:r w:rsidRPr="00B12FE0">
        <w:rPr>
          <w:rFonts w:hint="eastAsia"/>
          <w:b/>
          <w:bCs/>
          <w:color w:val="000000" w:themeColor="text1"/>
          <w:sz w:val="21"/>
          <w:szCs w:val="21"/>
        </w:rPr>
        <w:t>3</w:t>
      </w:r>
      <w:r w:rsidRPr="00B12FE0">
        <w:rPr>
          <w:b/>
          <w:bCs/>
          <w:color w:val="000000" w:themeColor="text1"/>
          <w:sz w:val="21"/>
          <w:szCs w:val="21"/>
        </w:rPr>
        <w:t>-</w:t>
      </w:r>
      <w:r w:rsidRPr="00B12FE0">
        <w:rPr>
          <w:rFonts w:hint="eastAsia"/>
          <w:b/>
          <w:bCs/>
          <w:color w:val="000000" w:themeColor="text1"/>
          <w:sz w:val="21"/>
          <w:szCs w:val="21"/>
        </w:rPr>
        <w:t>7</w:t>
      </w:r>
      <w:r w:rsidRPr="00B12FE0">
        <w:rPr>
          <w:b/>
          <w:bCs/>
          <w:color w:val="000000" w:themeColor="text1"/>
          <w:sz w:val="21"/>
          <w:szCs w:val="21"/>
        </w:rPr>
        <w:t xml:space="preserve"> </w:t>
      </w:r>
      <w:r w:rsidRPr="00B12FE0">
        <w:rPr>
          <w:b/>
          <w:bCs/>
          <w:color w:val="000000" w:themeColor="text1"/>
          <w:sz w:val="21"/>
          <w:szCs w:val="21"/>
          <w:vertAlign w:val="superscript"/>
        </w:rPr>
        <w:t>32</w:t>
      </w:r>
      <w:r w:rsidRPr="00B12FE0">
        <w:rPr>
          <w:b/>
          <w:bCs/>
          <w:color w:val="000000" w:themeColor="text1"/>
          <w:sz w:val="21"/>
          <w:szCs w:val="21"/>
        </w:rPr>
        <w:t>P</w:t>
      </w:r>
      <w:r w:rsidRPr="00B12FE0">
        <w:rPr>
          <w:rFonts w:hint="eastAsia"/>
          <w:b/>
          <w:bCs/>
          <w:color w:val="000000" w:themeColor="text1"/>
          <w:sz w:val="21"/>
          <w:szCs w:val="21"/>
        </w:rPr>
        <w:t>敷贴治疗工艺流程</w:t>
      </w:r>
      <w:proofErr w:type="gramStart"/>
      <w:r w:rsidRPr="00B12FE0">
        <w:rPr>
          <w:rFonts w:hint="eastAsia"/>
          <w:b/>
          <w:bCs/>
          <w:color w:val="000000" w:themeColor="text1"/>
          <w:sz w:val="21"/>
          <w:szCs w:val="21"/>
        </w:rPr>
        <w:t>及产污环节</w:t>
      </w:r>
      <w:proofErr w:type="gramEnd"/>
      <w:r w:rsidRPr="00B12FE0">
        <w:rPr>
          <w:rFonts w:hint="eastAsia"/>
          <w:b/>
          <w:bCs/>
          <w:color w:val="000000" w:themeColor="text1"/>
          <w:sz w:val="21"/>
          <w:szCs w:val="21"/>
        </w:rPr>
        <w:t>图</w:t>
      </w:r>
    </w:p>
    <w:p w14:paraId="7C632926"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bCs/>
          <w:color w:val="000000" w:themeColor="text1"/>
          <w:szCs w:val="24"/>
        </w:rPr>
        <w:t>因此，</w:t>
      </w:r>
      <w:r w:rsidRPr="00B12FE0">
        <w:rPr>
          <w:rFonts w:hint="eastAsia"/>
          <w:bCs/>
          <w:color w:val="000000" w:themeColor="text1"/>
          <w:szCs w:val="24"/>
        </w:rPr>
        <w:t>敷贴</w:t>
      </w:r>
      <w:r w:rsidRPr="00B12FE0">
        <w:rPr>
          <w:bCs/>
          <w:color w:val="000000" w:themeColor="text1"/>
          <w:szCs w:val="24"/>
        </w:rPr>
        <w:t>治疗项目污染因子</w:t>
      </w:r>
      <w:r w:rsidRPr="00B12FE0">
        <w:rPr>
          <w:rFonts w:hint="eastAsia"/>
          <w:bCs/>
          <w:color w:val="000000" w:themeColor="text1"/>
          <w:szCs w:val="24"/>
        </w:rPr>
        <w:t>为</w:t>
      </w:r>
      <w:r w:rsidRPr="00B12FE0">
        <w:rPr>
          <w:bCs/>
          <w:color w:val="000000" w:themeColor="text1"/>
          <w:szCs w:val="24"/>
        </w:rPr>
        <w:t>β</w:t>
      </w:r>
      <w:r w:rsidRPr="00B12FE0">
        <w:rPr>
          <w:bCs/>
          <w:color w:val="000000" w:themeColor="text1"/>
          <w:szCs w:val="24"/>
        </w:rPr>
        <w:t>射线、</w:t>
      </w:r>
      <w:r w:rsidRPr="00B12FE0">
        <w:rPr>
          <w:rFonts w:hint="eastAsia"/>
          <w:bCs/>
          <w:color w:val="000000" w:themeColor="text1"/>
          <w:szCs w:val="24"/>
        </w:rPr>
        <w:t>轫致</w:t>
      </w:r>
      <w:r w:rsidRPr="00B12FE0">
        <w:rPr>
          <w:bCs/>
          <w:color w:val="000000" w:themeColor="text1"/>
          <w:szCs w:val="24"/>
        </w:rPr>
        <w:t>辐射、</w:t>
      </w:r>
      <w:r w:rsidRPr="00B12FE0">
        <w:rPr>
          <w:bCs/>
          <w:color w:val="000000" w:themeColor="text1"/>
          <w:szCs w:val="24"/>
        </w:rPr>
        <w:t>β</w:t>
      </w:r>
      <w:r w:rsidRPr="00B12FE0">
        <w:rPr>
          <w:bCs/>
          <w:color w:val="000000" w:themeColor="text1"/>
          <w:szCs w:val="24"/>
        </w:rPr>
        <w:t>表面污染、放射性</w:t>
      </w:r>
      <w:r w:rsidRPr="00B12FE0">
        <w:rPr>
          <w:rFonts w:hint="eastAsia"/>
          <w:bCs/>
          <w:color w:val="000000" w:themeColor="text1"/>
          <w:szCs w:val="24"/>
        </w:rPr>
        <w:t>废水</w:t>
      </w:r>
      <w:r w:rsidRPr="00B12FE0">
        <w:rPr>
          <w:bCs/>
          <w:color w:val="000000" w:themeColor="text1"/>
          <w:szCs w:val="24"/>
        </w:rPr>
        <w:t>、放射性固废</w:t>
      </w:r>
      <w:r w:rsidRPr="00B12FE0">
        <w:rPr>
          <w:rFonts w:hint="eastAsia"/>
          <w:bCs/>
          <w:color w:val="000000" w:themeColor="text1"/>
          <w:szCs w:val="24"/>
        </w:rPr>
        <w:t>、</w:t>
      </w:r>
      <w:r w:rsidRPr="00B12FE0">
        <w:rPr>
          <w:bCs/>
          <w:color w:val="000000" w:themeColor="text1"/>
          <w:szCs w:val="24"/>
        </w:rPr>
        <w:t>放射性</w:t>
      </w:r>
      <w:r w:rsidRPr="00B12FE0">
        <w:rPr>
          <w:rFonts w:hint="eastAsia"/>
          <w:bCs/>
          <w:color w:val="000000" w:themeColor="text1"/>
          <w:szCs w:val="24"/>
        </w:rPr>
        <w:t>废气</w:t>
      </w:r>
      <w:r w:rsidRPr="00B12FE0">
        <w:rPr>
          <w:bCs/>
          <w:color w:val="000000" w:themeColor="text1"/>
          <w:szCs w:val="24"/>
        </w:rPr>
        <w:t>。</w:t>
      </w:r>
    </w:p>
    <w:p w14:paraId="032E92F7" w14:textId="77777777" w:rsidR="00A67F21" w:rsidRPr="00B12FE0" w:rsidRDefault="00000000">
      <w:pPr>
        <w:snapToGrid w:val="0"/>
        <w:spacing w:line="360" w:lineRule="auto"/>
        <w:outlineLvl w:val="3"/>
        <w:rPr>
          <w:b/>
          <w:color w:val="000000" w:themeColor="text1"/>
        </w:rPr>
      </w:pPr>
      <w:r w:rsidRPr="00B12FE0">
        <w:rPr>
          <w:rFonts w:hint="eastAsia"/>
          <w:b/>
          <w:color w:val="000000" w:themeColor="text1"/>
        </w:rPr>
        <w:t xml:space="preserve">9.1.1.3.7 </w:t>
      </w:r>
      <w:r w:rsidRPr="00B12FE0">
        <w:rPr>
          <w:rFonts w:hint="eastAsia"/>
          <w:b/>
          <w:color w:val="000000" w:themeColor="text1"/>
          <w:vertAlign w:val="superscript"/>
        </w:rPr>
        <w:t>131</w:t>
      </w:r>
      <w:r w:rsidRPr="00B12FE0">
        <w:rPr>
          <w:rFonts w:hint="eastAsia"/>
          <w:b/>
          <w:color w:val="000000" w:themeColor="text1"/>
        </w:rPr>
        <w:t>I</w:t>
      </w:r>
      <w:r w:rsidRPr="00B12FE0">
        <w:rPr>
          <w:rFonts w:hint="eastAsia"/>
          <w:b/>
          <w:color w:val="000000" w:themeColor="text1"/>
        </w:rPr>
        <w:t>甲状腺功能测定（甲测）</w:t>
      </w:r>
    </w:p>
    <w:p w14:paraId="2CC8C075" w14:textId="77777777" w:rsidR="00A67F21" w:rsidRPr="00B12FE0" w:rsidRDefault="00000000">
      <w:pPr>
        <w:spacing w:line="360" w:lineRule="auto"/>
        <w:ind w:firstLine="480"/>
        <w:rPr>
          <w:b/>
          <w:bCs/>
          <w:color w:val="000000" w:themeColor="text1"/>
        </w:rPr>
      </w:pPr>
      <w:r w:rsidRPr="00B12FE0">
        <w:rPr>
          <w:rFonts w:hint="eastAsia"/>
          <w:b/>
          <w:bCs/>
          <w:color w:val="000000" w:themeColor="text1"/>
        </w:rPr>
        <w:t>（</w:t>
      </w:r>
      <w:r w:rsidRPr="00B12FE0">
        <w:rPr>
          <w:rFonts w:hint="eastAsia"/>
          <w:b/>
          <w:bCs/>
          <w:color w:val="000000" w:themeColor="text1"/>
        </w:rPr>
        <w:t>1</w:t>
      </w:r>
      <w:r w:rsidRPr="00B12FE0">
        <w:rPr>
          <w:rFonts w:hint="eastAsia"/>
          <w:b/>
          <w:bCs/>
          <w:color w:val="000000" w:themeColor="text1"/>
        </w:rPr>
        <w:t>）工作</w:t>
      </w:r>
      <w:r w:rsidRPr="00B12FE0">
        <w:rPr>
          <w:b/>
          <w:bCs/>
          <w:color w:val="000000" w:themeColor="text1"/>
        </w:rPr>
        <w:t>原理</w:t>
      </w:r>
    </w:p>
    <w:p w14:paraId="2C8C2139" w14:textId="77777777" w:rsidR="00A67F21" w:rsidRPr="00B12FE0" w:rsidRDefault="00000000">
      <w:pPr>
        <w:snapToGrid w:val="0"/>
        <w:spacing w:line="360" w:lineRule="auto"/>
        <w:ind w:firstLineChars="200" w:firstLine="480"/>
        <w:rPr>
          <w:color w:val="000000" w:themeColor="text1"/>
        </w:rPr>
      </w:pPr>
      <w:r w:rsidRPr="00B12FE0">
        <w:rPr>
          <w:bCs/>
          <w:color w:val="000000" w:themeColor="text1"/>
          <w:kern w:val="0"/>
        </w:rPr>
        <w:t>甲状腺吸</w:t>
      </w:r>
      <w:proofErr w:type="gramStart"/>
      <w:r w:rsidRPr="00B12FE0">
        <w:rPr>
          <w:bCs/>
          <w:color w:val="000000" w:themeColor="text1"/>
          <w:kern w:val="0"/>
        </w:rPr>
        <w:t>碘功能</w:t>
      </w:r>
      <w:proofErr w:type="gramEnd"/>
      <w:r w:rsidRPr="00B12FE0">
        <w:rPr>
          <w:bCs/>
          <w:color w:val="000000" w:themeColor="text1"/>
          <w:kern w:val="0"/>
        </w:rPr>
        <w:t>测定简称为甲测。</w:t>
      </w:r>
      <w:r w:rsidRPr="00B12FE0">
        <w:rPr>
          <w:color w:val="000000" w:themeColor="text1"/>
        </w:rPr>
        <w:t>甲状腺具有选择性摄取和</w:t>
      </w:r>
      <w:proofErr w:type="gramStart"/>
      <w:r w:rsidRPr="00B12FE0">
        <w:rPr>
          <w:color w:val="000000" w:themeColor="text1"/>
        </w:rPr>
        <w:t>浓聚碘的</w:t>
      </w:r>
      <w:proofErr w:type="gramEnd"/>
      <w:r w:rsidRPr="00B12FE0">
        <w:rPr>
          <w:color w:val="000000" w:themeColor="text1"/>
        </w:rPr>
        <w:t>功能，其摄碘的速度和数量以及碘在甲状腺的停留时间，均取决于甲状腺的功能状态。食物中的碘为</w:t>
      </w:r>
      <w:r w:rsidRPr="00B12FE0">
        <w:rPr>
          <w:color w:val="000000" w:themeColor="text1"/>
          <w:vertAlign w:val="superscript"/>
        </w:rPr>
        <w:t>127</w:t>
      </w:r>
      <w:r w:rsidRPr="00B12FE0">
        <w:rPr>
          <w:color w:val="000000" w:themeColor="text1"/>
        </w:rPr>
        <w:t>I</w:t>
      </w:r>
      <w:r w:rsidRPr="00B12FE0">
        <w:rPr>
          <w:color w:val="000000" w:themeColor="text1"/>
        </w:rPr>
        <w:t>，而</w:t>
      </w:r>
      <w:r w:rsidRPr="00B12FE0">
        <w:rPr>
          <w:color w:val="000000" w:themeColor="text1"/>
          <w:vertAlign w:val="superscript"/>
        </w:rPr>
        <w:t>131</w:t>
      </w:r>
      <w:r w:rsidRPr="00B12FE0">
        <w:rPr>
          <w:color w:val="000000" w:themeColor="text1"/>
        </w:rPr>
        <w:t>I</w:t>
      </w:r>
      <w:r w:rsidRPr="00B12FE0">
        <w:rPr>
          <w:color w:val="000000" w:themeColor="text1"/>
        </w:rPr>
        <w:t>为其同位素，具有相同的理化性质，但</w:t>
      </w:r>
      <w:r w:rsidRPr="00B12FE0">
        <w:rPr>
          <w:color w:val="000000" w:themeColor="text1"/>
          <w:vertAlign w:val="superscript"/>
        </w:rPr>
        <w:t>131</w:t>
      </w:r>
      <w:r w:rsidRPr="00B12FE0">
        <w:rPr>
          <w:color w:val="000000" w:themeColor="text1"/>
        </w:rPr>
        <w:t>I</w:t>
      </w:r>
      <w:r w:rsidRPr="00B12FE0">
        <w:rPr>
          <w:color w:val="000000" w:themeColor="text1"/>
        </w:rPr>
        <w:t>具有放射性，在其衰变时发出</w:t>
      </w:r>
      <w:r w:rsidRPr="00B12FE0">
        <w:rPr>
          <w:color w:val="000000" w:themeColor="text1"/>
        </w:rPr>
        <w:t>γ</w:t>
      </w:r>
      <w:r w:rsidRPr="00B12FE0">
        <w:rPr>
          <w:color w:val="000000" w:themeColor="text1"/>
        </w:rPr>
        <w:t>射线。因此，给检查者口服一定量的</w:t>
      </w:r>
      <w:r w:rsidRPr="00B12FE0">
        <w:rPr>
          <w:color w:val="000000" w:themeColor="text1"/>
          <w:vertAlign w:val="superscript"/>
        </w:rPr>
        <w:t>131</w:t>
      </w:r>
      <w:r w:rsidRPr="00B12FE0">
        <w:rPr>
          <w:color w:val="000000" w:themeColor="text1"/>
        </w:rPr>
        <w:t>I</w:t>
      </w:r>
      <w:r w:rsidRPr="00B12FE0">
        <w:rPr>
          <w:color w:val="000000" w:themeColor="text1"/>
        </w:rPr>
        <w:t>后，即被甲状腺所摄取，在体外用特定的</w:t>
      </w:r>
      <w:r w:rsidRPr="00B12FE0">
        <w:rPr>
          <w:color w:val="000000" w:themeColor="text1"/>
        </w:rPr>
        <w:t>γ</w:t>
      </w:r>
      <w:r w:rsidRPr="00B12FE0">
        <w:rPr>
          <w:color w:val="000000" w:themeColor="text1"/>
        </w:rPr>
        <w:t>射线探测仪就可测得甲状腺对</w:t>
      </w:r>
      <w:r w:rsidRPr="00B12FE0">
        <w:rPr>
          <w:color w:val="000000" w:themeColor="text1"/>
          <w:vertAlign w:val="superscript"/>
        </w:rPr>
        <w:t>131</w:t>
      </w:r>
      <w:r w:rsidRPr="00B12FE0">
        <w:rPr>
          <w:color w:val="000000" w:themeColor="text1"/>
        </w:rPr>
        <w:t>I</w:t>
      </w:r>
      <w:r w:rsidRPr="00B12FE0">
        <w:rPr>
          <w:color w:val="000000" w:themeColor="text1"/>
        </w:rPr>
        <w:t>的吸收情况，从而判断甲状腺的功能状况。</w:t>
      </w:r>
    </w:p>
    <w:p w14:paraId="16E35496" w14:textId="77777777" w:rsidR="00A67F21" w:rsidRPr="00B12FE0" w:rsidRDefault="00000000">
      <w:pPr>
        <w:adjustRightInd w:val="0"/>
        <w:snapToGrid w:val="0"/>
        <w:spacing w:line="360" w:lineRule="auto"/>
        <w:ind w:firstLineChars="200" w:firstLine="482"/>
        <w:rPr>
          <w:b/>
          <w:bCs/>
          <w:color w:val="000000" w:themeColor="text1"/>
        </w:rPr>
      </w:pPr>
      <w:r w:rsidRPr="00B12FE0">
        <w:rPr>
          <w:b/>
          <w:bCs/>
          <w:color w:val="000000" w:themeColor="text1"/>
        </w:rPr>
        <w:t>（</w:t>
      </w:r>
      <w:r w:rsidRPr="00B12FE0">
        <w:rPr>
          <w:rFonts w:hint="eastAsia"/>
          <w:b/>
          <w:bCs/>
          <w:color w:val="000000" w:themeColor="text1"/>
        </w:rPr>
        <w:t>2</w:t>
      </w:r>
      <w:r w:rsidRPr="00B12FE0">
        <w:rPr>
          <w:b/>
          <w:bCs/>
          <w:color w:val="000000" w:themeColor="text1"/>
        </w:rPr>
        <w:t>）诊疗规划</w:t>
      </w:r>
    </w:p>
    <w:p w14:paraId="2A30BFE8" w14:textId="77777777" w:rsidR="00A67F21" w:rsidRPr="00B12FE0" w:rsidRDefault="00000000">
      <w:pPr>
        <w:spacing w:line="360" w:lineRule="auto"/>
        <w:ind w:firstLineChars="200" w:firstLine="480"/>
        <w:rPr>
          <w:bCs/>
          <w:color w:val="000000" w:themeColor="text1"/>
        </w:rPr>
      </w:pPr>
      <w:proofErr w:type="gramStart"/>
      <w:r w:rsidRPr="00B12FE0">
        <w:rPr>
          <w:color w:val="000000" w:themeColor="text1"/>
        </w:rPr>
        <w:t>甲测项目</w:t>
      </w:r>
      <w:proofErr w:type="gramEnd"/>
      <w:r w:rsidRPr="00B12FE0">
        <w:rPr>
          <w:bCs/>
          <w:color w:val="000000" w:themeColor="text1"/>
        </w:rPr>
        <w:t>正式开展后，规划使用放射性核素</w:t>
      </w:r>
      <w:r w:rsidRPr="00B12FE0">
        <w:rPr>
          <w:color w:val="000000" w:themeColor="text1"/>
          <w:vertAlign w:val="superscript"/>
        </w:rPr>
        <w:t>131</w:t>
      </w:r>
      <w:r w:rsidRPr="00B12FE0">
        <w:rPr>
          <w:color w:val="000000" w:themeColor="text1"/>
        </w:rPr>
        <w:t>I</w:t>
      </w:r>
      <w:proofErr w:type="gramStart"/>
      <w:r w:rsidRPr="00B12FE0">
        <w:rPr>
          <w:color w:val="000000" w:themeColor="text1"/>
        </w:rPr>
        <w:t>进行甲功测定</w:t>
      </w:r>
      <w:proofErr w:type="gramEnd"/>
      <w:r w:rsidRPr="00B12FE0">
        <w:rPr>
          <w:color w:val="000000" w:themeColor="text1"/>
        </w:rPr>
        <w:t>。</w:t>
      </w:r>
      <w:r w:rsidRPr="00B12FE0">
        <w:rPr>
          <w:bCs/>
          <w:color w:val="000000" w:themeColor="text1"/>
        </w:rPr>
        <w:t>每年工作</w:t>
      </w:r>
      <w:r w:rsidRPr="00B12FE0">
        <w:rPr>
          <w:bCs/>
          <w:color w:val="000000" w:themeColor="text1"/>
        </w:rPr>
        <w:t>250</w:t>
      </w:r>
      <w:r w:rsidRPr="00B12FE0">
        <w:rPr>
          <w:bCs/>
          <w:color w:val="000000" w:themeColor="text1"/>
        </w:rPr>
        <w:t>天，日最大接诊量为</w:t>
      </w:r>
      <w:r w:rsidRPr="00B12FE0">
        <w:rPr>
          <w:rFonts w:hint="eastAsia"/>
          <w:bCs/>
          <w:color w:val="000000" w:themeColor="text1"/>
        </w:rPr>
        <w:t>10</w:t>
      </w:r>
      <w:r w:rsidRPr="00B12FE0">
        <w:rPr>
          <w:bCs/>
          <w:color w:val="000000" w:themeColor="text1"/>
        </w:rPr>
        <w:t>人，</w:t>
      </w:r>
      <w:r w:rsidRPr="00B12FE0">
        <w:rPr>
          <w:color w:val="000000" w:themeColor="text1"/>
          <w:szCs w:val="24"/>
        </w:rPr>
        <w:t>年</w:t>
      </w:r>
      <w:r w:rsidRPr="00B12FE0">
        <w:rPr>
          <w:rFonts w:hint="eastAsia"/>
          <w:color w:val="000000" w:themeColor="text1"/>
          <w:szCs w:val="24"/>
        </w:rPr>
        <w:t>治疗</w:t>
      </w:r>
      <w:r w:rsidRPr="00B12FE0">
        <w:rPr>
          <w:color w:val="000000" w:themeColor="text1"/>
          <w:szCs w:val="24"/>
        </w:rPr>
        <w:t>患者</w:t>
      </w:r>
      <w:r w:rsidRPr="00B12FE0">
        <w:rPr>
          <w:rFonts w:hint="eastAsia"/>
          <w:color w:val="000000" w:themeColor="text1"/>
          <w:szCs w:val="24"/>
        </w:rPr>
        <w:t>2500</w:t>
      </w:r>
      <w:r w:rsidRPr="00B12FE0">
        <w:rPr>
          <w:color w:val="000000" w:themeColor="text1"/>
          <w:szCs w:val="24"/>
        </w:rPr>
        <w:t>人。</w:t>
      </w:r>
      <w:r w:rsidRPr="00B12FE0">
        <w:rPr>
          <w:bCs/>
          <w:color w:val="000000" w:themeColor="text1"/>
        </w:rPr>
        <w:t>每名患者最大服药量为</w:t>
      </w:r>
      <w:r w:rsidRPr="00B12FE0">
        <w:rPr>
          <w:rFonts w:hint="eastAsia"/>
          <w:bCs/>
          <w:color w:val="000000" w:themeColor="text1"/>
        </w:rPr>
        <w:t>1.85</w:t>
      </w:r>
      <w:r w:rsidRPr="00B12FE0">
        <w:rPr>
          <w:rFonts w:hint="eastAsia"/>
          <w:bCs/>
          <w:color w:val="000000" w:themeColor="text1"/>
        </w:rPr>
        <w:t>×</w:t>
      </w:r>
      <w:r w:rsidRPr="00B12FE0">
        <w:rPr>
          <w:bCs/>
          <w:color w:val="000000" w:themeColor="text1"/>
        </w:rPr>
        <w:t>10</w:t>
      </w:r>
      <w:r w:rsidRPr="00B12FE0">
        <w:rPr>
          <w:rFonts w:hint="eastAsia"/>
          <w:bCs/>
          <w:color w:val="000000" w:themeColor="text1"/>
          <w:vertAlign w:val="superscript"/>
        </w:rPr>
        <w:t>6</w:t>
      </w:r>
      <w:r w:rsidRPr="00B12FE0">
        <w:rPr>
          <w:bCs/>
          <w:color w:val="000000" w:themeColor="text1"/>
        </w:rPr>
        <w:t>Bq</w:t>
      </w:r>
      <w:r w:rsidRPr="00B12FE0">
        <w:rPr>
          <w:bCs/>
          <w:color w:val="000000" w:themeColor="text1"/>
        </w:rPr>
        <w:t>（</w:t>
      </w:r>
      <w:r w:rsidRPr="00B12FE0">
        <w:rPr>
          <w:rFonts w:hint="eastAsia"/>
          <w:bCs/>
          <w:color w:val="000000" w:themeColor="text1"/>
        </w:rPr>
        <w:t>5</w:t>
      </w:r>
      <w:r w:rsidRPr="00B12FE0">
        <w:rPr>
          <w:bCs/>
          <w:color w:val="000000" w:themeColor="text1"/>
        </w:rPr>
        <w:t>μCi</w:t>
      </w:r>
      <w:r w:rsidRPr="00B12FE0">
        <w:rPr>
          <w:bCs/>
          <w:color w:val="000000" w:themeColor="text1"/>
        </w:rPr>
        <w:t>）。</w:t>
      </w:r>
    </w:p>
    <w:p w14:paraId="2B3EF0B6" w14:textId="77777777" w:rsidR="00A67F21" w:rsidRPr="00B12FE0" w:rsidRDefault="00000000">
      <w:pPr>
        <w:adjustRightInd w:val="0"/>
        <w:snapToGrid w:val="0"/>
        <w:spacing w:line="360" w:lineRule="auto"/>
        <w:jc w:val="center"/>
        <w:rPr>
          <w:bCs/>
          <w:color w:val="000000" w:themeColor="text1"/>
          <w:sz w:val="21"/>
          <w:szCs w:val="21"/>
        </w:rPr>
      </w:pPr>
      <w:r w:rsidRPr="00B12FE0">
        <w:rPr>
          <w:b/>
          <w:bCs/>
          <w:color w:val="000000" w:themeColor="text1"/>
          <w:sz w:val="21"/>
          <w:szCs w:val="21"/>
        </w:rPr>
        <w:t>表</w:t>
      </w:r>
      <w:r w:rsidRPr="00B12FE0">
        <w:rPr>
          <w:b/>
          <w:bCs/>
          <w:color w:val="000000" w:themeColor="text1"/>
          <w:sz w:val="21"/>
          <w:szCs w:val="21"/>
        </w:rPr>
        <w:t>9.</w:t>
      </w:r>
      <w:r w:rsidRPr="00B12FE0">
        <w:rPr>
          <w:rFonts w:hint="eastAsia"/>
          <w:b/>
          <w:bCs/>
          <w:color w:val="000000" w:themeColor="text1"/>
          <w:sz w:val="21"/>
          <w:szCs w:val="21"/>
        </w:rPr>
        <w:t>1.1.3</w:t>
      </w:r>
      <w:r w:rsidRPr="00B12FE0">
        <w:rPr>
          <w:b/>
          <w:bCs/>
          <w:color w:val="000000" w:themeColor="text1"/>
          <w:sz w:val="21"/>
          <w:szCs w:val="21"/>
        </w:rPr>
        <w:t>-</w:t>
      </w:r>
      <w:r w:rsidRPr="00B12FE0">
        <w:rPr>
          <w:rFonts w:hint="eastAsia"/>
          <w:b/>
          <w:bCs/>
          <w:color w:val="000000" w:themeColor="text1"/>
          <w:sz w:val="21"/>
          <w:szCs w:val="21"/>
        </w:rPr>
        <w:t>4</w:t>
      </w:r>
      <w:r w:rsidRPr="00B12FE0">
        <w:rPr>
          <w:b/>
          <w:bCs/>
          <w:color w:val="000000" w:themeColor="text1"/>
          <w:sz w:val="21"/>
          <w:szCs w:val="21"/>
        </w:rPr>
        <w:t xml:space="preserve">  </w:t>
      </w:r>
      <w:proofErr w:type="gramStart"/>
      <w:r w:rsidRPr="00B12FE0">
        <w:rPr>
          <w:rFonts w:hint="eastAsia"/>
          <w:b/>
          <w:bCs/>
          <w:color w:val="000000" w:themeColor="text1"/>
          <w:sz w:val="21"/>
          <w:szCs w:val="21"/>
        </w:rPr>
        <w:t>甲测</w:t>
      </w:r>
      <w:r w:rsidRPr="00B12FE0">
        <w:rPr>
          <w:b/>
          <w:bCs/>
          <w:color w:val="000000" w:themeColor="text1"/>
          <w:sz w:val="21"/>
          <w:szCs w:val="21"/>
        </w:rPr>
        <w:t>项目</w:t>
      </w:r>
      <w:proofErr w:type="gramEnd"/>
      <w:r w:rsidRPr="00B12FE0">
        <w:rPr>
          <w:b/>
          <w:bCs/>
          <w:color w:val="000000" w:themeColor="text1"/>
          <w:sz w:val="21"/>
          <w:szCs w:val="21"/>
        </w:rPr>
        <w:t>诊疗规划</w:t>
      </w:r>
    </w:p>
    <w:tbl>
      <w:tblPr>
        <w:tblStyle w:val="affff"/>
        <w:tblW w:w="5000" w:type="pct"/>
        <w:jc w:val="center"/>
        <w:tblLook w:val="04A0" w:firstRow="1" w:lastRow="0" w:firstColumn="1" w:lastColumn="0" w:noHBand="0" w:noVBand="1"/>
      </w:tblPr>
      <w:tblGrid>
        <w:gridCol w:w="1274"/>
        <w:gridCol w:w="995"/>
        <w:gridCol w:w="1262"/>
        <w:gridCol w:w="1720"/>
        <w:gridCol w:w="1261"/>
        <w:gridCol w:w="2505"/>
      </w:tblGrid>
      <w:tr w:rsidR="00A67F21" w:rsidRPr="00B12FE0" w14:paraId="278AE7CA" w14:textId="77777777">
        <w:trPr>
          <w:trHeight w:val="454"/>
          <w:jc w:val="center"/>
        </w:trPr>
        <w:tc>
          <w:tcPr>
            <w:tcW w:w="706" w:type="pct"/>
            <w:vAlign w:val="center"/>
          </w:tcPr>
          <w:p w14:paraId="28A55042" w14:textId="77777777" w:rsidR="00A67F21" w:rsidRPr="00B12FE0" w:rsidRDefault="00000000">
            <w:pPr>
              <w:adjustRightInd w:val="0"/>
              <w:snapToGrid w:val="0"/>
              <w:jc w:val="center"/>
              <w:rPr>
                <w:b/>
                <w:color w:val="000000" w:themeColor="text1"/>
                <w:sz w:val="21"/>
                <w:szCs w:val="21"/>
              </w:rPr>
            </w:pPr>
            <w:r w:rsidRPr="00B12FE0">
              <w:rPr>
                <w:rFonts w:hint="eastAsia"/>
                <w:b/>
                <w:color w:val="000000" w:themeColor="text1"/>
                <w:sz w:val="21"/>
                <w:szCs w:val="21"/>
              </w:rPr>
              <w:t>诊疗项目</w:t>
            </w:r>
          </w:p>
        </w:tc>
        <w:tc>
          <w:tcPr>
            <w:tcW w:w="552" w:type="pct"/>
            <w:vAlign w:val="center"/>
          </w:tcPr>
          <w:p w14:paraId="6904BB28" w14:textId="77777777" w:rsidR="00A67F21" w:rsidRPr="00B12FE0" w:rsidRDefault="00000000">
            <w:pPr>
              <w:adjustRightInd w:val="0"/>
              <w:snapToGrid w:val="0"/>
              <w:jc w:val="center"/>
              <w:rPr>
                <w:b/>
                <w:color w:val="000000" w:themeColor="text1"/>
                <w:sz w:val="21"/>
                <w:szCs w:val="21"/>
              </w:rPr>
            </w:pPr>
            <w:r w:rsidRPr="00B12FE0">
              <w:rPr>
                <w:rFonts w:hint="eastAsia"/>
                <w:b/>
                <w:color w:val="000000" w:themeColor="text1"/>
                <w:sz w:val="21"/>
                <w:szCs w:val="21"/>
              </w:rPr>
              <w:t>诊疗</w:t>
            </w:r>
            <w:r w:rsidRPr="00B12FE0">
              <w:rPr>
                <w:b/>
                <w:color w:val="000000" w:themeColor="text1"/>
                <w:sz w:val="21"/>
                <w:szCs w:val="21"/>
              </w:rPr>
              <w:t>核素</w:t>
            </w:r>
          </w:p>
        </w:tc>
        <w:tc>
          <w:tcPr>
            <w:tcW w:w="700" w:type="pct"/>
            <w:vAlign w:val="center"/>
          </w:tcPr>
          <w:p w14:paraId="758CDCCC"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患者数量</w:t>
            </w:r>
          </w:p>
        </w:tc>
        <w:tc>
          <w:tcPr>
            <w:tcW w:w="954" w:type="pct"/>
            <w:vAlign w:val="center"/>
          </w:tcPr>
          <w:p w14:paraId="37FF7432"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核素用量</w:t>
            </w:r>
          </w:p>
        </w:tc>
        <w:tc>
          <w:tcPr>
            <w:tcW w:w="699" w:type="pct"/>
            <w:vAlign w:val="center"/>
          </w:tcPr>
          <w:p w14:paraId="5E198631"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给药</w:t>
            </w:r>
            <w:r w:rsidRPr="00B12FE0">
              <w:rPr>
                <w:rFonts w:hint="eastAsia"/>
                <w:b/>
                <w:color w:val="000000" w:themeColor="text1"/>
                <w:sz w:val="21"/>
                <w:szCs w:val="21"/>
              </w:rPr>
              <w:t>方式</w:t>
            </w:r>
          </w:p>
        </w:tc>
        <w:tc>
          <w:tcPr>
            <w:tcW w:w="1390" w:type="pct"/>
            <w:vAlign w:val="center"/>
          </w:tcPr>
          <w:p w14:paraId="143DF273"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来源</w:t>
            </w:r>
          </w:p>
        </w:tc>
      </w:tr>
      <w:tr w:rsidR="00A67F21" w:rsidRPr="00B12FE0" w14:paraId="5CC019E5" w14:textId="77777777">
        <w:trPr>
          <w:trHeight w:val="454"/>
          <w:jc w:val="center"/>
        </w:trPr>
        <w:tc>
          <w:tcPr>
            <w:tcW w:w="706" w:type="pct"/>
            <w:vAlign w:val="center"/>
          </w:tcPr>
          <w:p w14:paraId="16EB0B33" w14:textId="77777777" w:rsidR="00A67F21" w:rsidRPr="00B12FE0" w:rsidRDefault="00000000">
            <w:pPr>
              <w:adjustRightInd w:val="0"/>
              <w:snapToGrid w:val="0"/>
              <w:jc w:val="center"/>
              <w:rPr>
                <w:color w:val="000000" w:themeColor="text1"/>
                <w:sz w:val="21"/>
                <w:szCs w:val="21"/>
              </w:rPr>
            </w:pPr>
            <w:proofErr w:type="gramStart"/>
            <w:r w:rsidRPr="00B12FE0">
              <w:rPr>
                <w:rFonts w:hint="eastAsia"/>
                <w:color w:val="000000" w:themeColor="text1"/>
                <w:sz w:val="21"/>
                <w:szCs w:val="21"/>
              </w:rPr>
              <w:t>甲测</w:t>
            </w:r>
            <w:proofErr w:type="gramEnd"/>
          </w:p>
        </w:tc>
        <w:tc>
          <w:tcPr>
            <w:tcW w:w="552" w:type="pct"/>
            <w:vAlign w:val="center"/>
          </w:tcPr>
          <w:p w14:paraId="52195CB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vertAlign w:val="superscript"/>
              </w:rPr>
              <w:t>1</w:t>
            </w:r>
            <w:r w:rsidRPr="00B12FE0">
              <w:rPr>
                <w:rFonts w:hint="eastAsia"/>
                <w:bCs/>
                <w:color w:val="000000" w:themeColor="text1"/>
                <w:sz w:val="21"/>
                <w:szCs w:val="21"/>
                <w:vertAlign w:val="superscript"/>
              </w:rPr>
              <w:t>31</w:t>
            </w:r>
            <w:r w:rsidRPr="00B12FE0">
              <w:rPr>
                <w:rFonts w:hint="eastAsia"/>
                <w:bCs/>
                <w:color w:val="000000" w:themeColor="text1"/>
                <w:sz w:val="21"/>
                <w:szCs w:val="21"/>
              </w:rPr>
              <w:t>I</w:t>
            </w:r>
          </w:p>
        </w:tc>
        <w:tc>
          <w:tcPr>
            <w:tcW w:w="700" w:type="pct"/>
            <w:vAlign w:val="center"/>
          </w:tcPr>
          <w:p w14:paraId="32060935"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10</w:t>
            </w:r>
            <w:r w:rsidRPr="00B12FE0">
              <w:rPr>
                <w:bCs/>
                <w:color w:val="000000" w:themeColor="text1"/>
                <w:sz w:val="21"/>
                <w:szCs w:val="21"/>
              </w:rPr>
              <w:t>人</w:t>
            </w:r>
            <w:r w:rsidRPr="00B12FE0">
              <w:rPr>
                <w:bCs/>
                <w:color w:val="000000" w:themeColor="text1"/>
                <w:sz w:val="21"/>
                <w:szCs w:val="21"/>
              </w:rPr>
              <w:t>/</w:t>
            </w:r>
            <w:r w:rsidRPr="00B12FE0">
              <w:rPr>
                <w:bCs/>
                <w:color w:val="000000" w:themeColor="text1"/>
                <w:sz w:val="21"/>
                <w:szCs w:val="21"/>
              </w:rPr>
              <w:t>天</w:t>
            </w:r>
          </w:p>
        </w:tc>
        <w:tc>
          <w:tcPr>
            <w:tcW w:w="954" w:type="pct"/>
            <w:vAlign w:val="center"/>
          </w:tcPr>
          <w:p w14:paraId="2C9C095A" w14:textId="77777777" w:rsidR="00A67F21" w:rsidRPr="00B12FE0" w:rsidRDefault="00000000">
            <w:pPr>
              <w:adjustRightInd w:val="0"/>
              <w:snapToGrid w:val="0"/>
              <w:jc w:val="center"/>
              <w:rPr>
                <w:bCs/>
                <w:color w:val="000000" w:themeColor="text1"/>
                <w:sz w:val="21"/>
                <w:szCs w:val="21"/>
              </w:rPr>
            </w:pPr>
            <w:r w:rsidRPr="00B12FE0">
              <w:rPr>
                <w:rFonts w:hint="eastAsia"/>
                <w:color w:val="000000" w:themeColor="text1"/>
                <w:sz w:val="21"/>
                <w:szCs w:val="21"/>
              </w:rPr>
              <w:t>1.85E+05</w:t>
            </w:r>
            <w:r w:rsidRPr="00B12FE0">
              <w:rPr>
                <w:color w:val="000000" w:themeColor="text1"/>
                <w:sz w:val="21"/>
                <w:szCs w:val="21"/>
              </w:rPr>
              <w:t>Bq/</w:t>
            </w:r>
            <w:r w:rsidRPr="00B12FE0">
              <w:rPr>
                <w:color w:val="000000" w:themeColor="text1"/>
                <w:sz w:val="21"/>
                <w:szCs w:val="21"/>
              </w:rPr>
              <w:t>人</w:t>
            </w:r>
          </w:p>
        </w:tc>
        <w:tc>
          <w:tcPr>
            <w:tcW w:w="699" w:type="pct"/>
            <w:vAlign w:val="center"/>
          </w:tcPr>
          <w:p w14:paraId="791F8607"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口服</w:t>
            </w:r>
          </w:p>
        </w:tc>
        <w:tc>
          <w:tcPr>
            <w:tcW w:w="1390" w:type="pct"/>
            <w:vAlign w:val="center"/>
          </w:tcPr>
          <w:p w14:paraId="4965AD8F"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外购药物，自动分装</w:t>
            </w:r>
          </w:p>
        </w:tc>
      </w:tr>
    </w:tbl>
    <w:p w14:paraId="50AE42F4" w14:textId="77777777" w:rsidR="00A67F21" w:rsidRPr="00B12FE0" w:rsidRDefault="00000000">
      <w:pPr>
        <w:adjustRightInd w:val="0"/>
        <w:spacing w:beforeLines="50" w:before="120" w:line="360" w:lineRule="auto"/>
        <w:ind w:firstLine="482"/>
        <w:jc w:val="left"/>
        <w:rPr>
          <w:b/>
          <w:bCs/>
          <w:color w:val="000000" w:themeColor="text1"/>
        </w:rPr>
      </w:pPr>
      <w:r w:rsidRPr="00B12FE0">
        <w:rPr>
          <w:rFonts w:hint="eastAsia"/>
          <w:b/>
          <w:bCs/>
          <w:color w:val="000000" w:themeColor="text1"/>
        </w:rPr>
        <w:lastRenderedPageBreak/>
        <w:t>（</w:t>
      </w:r>
      <w:r w:rsidRPr="00B12FE0">
        <w:rPr>
          <w:rFonts w:hint="eastAsia"/>
          <w:b/>
          <w:bCs/>
          <w:color w:val="000000" w:themeColor="text1"/>
        </w:rPr>
        <w:t>3</w:t>
      </w:r>
      <w:r w:rsidRPr="00B12FE0">
        <w:rPr>
          <w:rFonts w:hint="eastAsia"/>
          <w:b/>
          <w:bCs/>
          <w:color w:val="000000" w:themeColor="text1"/>
        </w:rPr>
        <w:t>）</w:t>
      </w:r>
      <w:r w:rsidRPr="00B12FE0">
        <w:rPr>
          <w:b/>
          <w:bCs/>
          <w:color w:val="000000" w:themeColor="text1"/>
        </w:rPr>
        <w:t>工艺流程</w:t>
      </w:r>
      <w:proofErr w:type="gramStart"/>
      <w:r w:rsidRPr="00B12FE0">
        <w:rPr>
          <w:rFonts w:hint="eastAsia"/>
          <w:b/>
          <w:bCs/>
          <w:color w:val="000000" w:themeColor="text1"/>
        </w:rPr>
        <w:t>与</w:t>
      </w:r>
      <w:r w:rsidRPr="00B12FE0">
        <w:rPr>
          <w:b/>
          <w:bCs/>
          <w:color w:val="000000" w:themeColor="text1"/>
        </w:rPr>
        <w:t>产污环节</w:t>
      </w:r>
      <w:proofErr w:type="gramEnd"/>
    </w:p>
    <w:p w14:paraId="484B5F89" w14:textId="77777777" w:rsidR="00A67F21" w:rsidRPr="00B12FE0" w:rsidRDefault="00000000">
      <w:pPr>
        <w:spacing w:line="360" w:lineRule="auto"/>
        <w:ind w:firstLine="480"/>
        <w:rPr>
          <w:color w:val="000000" w:themeColor="text1"/>
        </w:rPr>
      </w:pPr>
      <w:r w:rsidRPr="00B12FE0">
        <w:rPr>
          <w:rFonts w:hint="eastAsia"/>
          <w:color w:val="000000" w:themeColor="text1"/>
        </w:rPr>
        <w:t>①订药：</w:t>
      </w:r>
      <w:r w:rsidRPr="00B12FE0">
        <w:rPr>
          <w:color w:val="000000" w:themeColor="text1"/>
        </w:rPr>
        <w:t>本项目</w:t>
      </w:r>
      <w:r w:rsidRPr="00B12FE0">
        <w:rPr>
          <w:color w:val="000000" w:themeColor="text1"/>
          <w:vertAlign w:val="superscript"/>
        </w:rPr>
        <w:t>131</w:t>
      </w:r>
      <w:r w:rsidRPr="00B12FE0">
        <w:rPr>
          <w:color w:val="000000" w:themeColor="text1"/>
        </w:rPr>
        <w:t>I</w:t>
      </w:r>
      <w:r w:rsidRPr="00B12FE0">
        <w:rPr>
          <w:rFonts w:hint="eastAsia"/>
          <w:color w:val="000000" w:themeColor="text1"/>
        </w:rPr>
        <w:t>为药罐装载货</w:t>
      </w:r>
      <w:proofErr w:type="gramStart"/>
      <w:r w:rsidRPr="00B12FE0">
        <w:rPr>
          <w:rFonts w:hint="eastAsia"/>
          <w:color w:val="000000" w:themeColor="text1"/>
        </w:rPr>
        <w:t>包形式</w:t>
      </w:r>
      <w:proofErr w:type="gramEnd"/>
      <w:r w:rsidRPr="00B12FE0">
        <w:rPr>
          <w:rFonts w:hint="eastAsia"/>
          <w:color w:val="000000" w:themeColor="text1"/>
        </w:rPr>
        <w:t>的</w:t>
      </w:r>
      <w:r w:rsidRPr="00B12FE0">
        <w:rPr>
          <w:color w:val="000000" w:themeColor="text1"/>
        </w:rPr>
        <w:t>外购</w:t>
      </w:r>
      <w:r w:rsidRPr="00B12FE0">
        <w:rPr>
          <w:rFonts w:hint="eastAsia"/>
          <w:color w:val="000000" w:themeColor="text1"/>
        </w:rPr>
        <w:t>药物。工作人员根据临床诊断所需用药量、患者预约情况，提前一天向放射性核素供应单位订购药品，在约定的时间由药物供应单位负责运送至肿瘤治疗中心综合楼一层核医学诊断场所，安排专人接收放射性核素，经确认无误完成相关交接、登记手续后，暂存在储源室。药物当日用完，</w:t>
      </w:r>
      <w:r w:rsidRPr="00B12FE0">
        <w:rPr>
          <w:color w:val="000000" w:themeColor="text1"/>
        </w:rPr>
        <w:t>不贮存。</w:t>
      </w:r>
    </w:p>
    <w:p w14:paraId="0E9CDCE5" w14:textId="77777777" w:rsidR="00A67F21" w:rsidRPr="00B12FE0" w:rsidRDefault="00000000">
      <w:pPr>
        <w:spacing w:line="360" w:lineRule="auto"/>
        <w:ind w:firstLine="480"/>
        <w:rPr>
          <w:color w:val="000000" w:themeColor="text1"/>
        </w:rPr>
      </w:pPr>
      <w:r w:rsidRPr="00B12FE0">
        <w:rPr>
          <w:rFonts w:hint="eastAsia"/>
          <w:color w:val="000000" w:themeColor="text1"/>
        </w:rPr>
        <w:t>②给药：</w:t>
      </w:r>
      <w:r w:rsidRPr="00B12FE0">
        <w:rPr>
          <w:color w:val="000000" w:themeColor="text1"/>
        </w:rPr>
        <w:t>医护人员</w:t>
      </w:r>
      <w:r w:rsidRPr="00B12FE0">
        <w:rPr>
          <w:rFonts w:hint="eastAsia"/>
          <w:color w:val="000000" w:themeColor="text1"/>
        </w:rPr>
        <w:t>从储源室取出</w:t>
      </w:r>
      <w:r w:rsidRPr="00B12FE0">
        <w:rPr>
          <w:rFonts w:hint="eastAsia"/>
          <w:color w:val="000000" w:themeColor="text1"/>
          <w:vertAlign w:val="superscript"/>
        </w:rPr>
        <w:t>131</w:t>
      </w:r>
      <w:r w:rsidRPr="00B12FE0">
        <w:rPr>
          <w:rFonts w:hint="eastAsia"/>
          <w:color w:val="000000" w:themeColor="text1"/>
        </w:rPr>
        <w:t>I</w:t>
      </w:r>
      <w:r w:rsidRPr="00B12FE0">
        <w:rPr>
          <w:rFonts w:hint="eastAsia"/>
          <w:color w:val="000000" w:themeColor="text1"/>
        </w:rPr>
        <w:t>铅罐，转移并安装于</w:t>
      </w:r>
      <w:proofErr w:type="gramStart"/>
      <w:r w:rsidRPr="00B12FE0">
        <w:rPr>
          <w:rFonts w:hint="eastAsia"/>
          <w:color w:val="000000" w:themeColor="text1"/>
        </w:rPr>
        <w:t>服碘室</w:t>
      </w:r>
      <w:proofErr w:type="gramEnd"/>
      <w:r w:rsidRPr="00B12FE0">
        <w:rPr>
          <w:rFonts w:hint="eastAsia"/>
          <w:color w:val="000000" w:themeColor="text1"/>
        </w:rPr>
        <w:t>的自动</w:t>
      </w:r>
      <w:proofErr w:type="gramStart"/>
      <w:r w:rsidRPr="00B12FE0">
        <w:rPr>
          <w:rFonts w:hint="eastAsia"/>
          <w:color w:val="000000" w:themeColor="text1"/>
        </w:rPr>
        <w:t>分碘仪</w:t>
      </w:r>
      <w:proofErr w:type="gramEnd"/>
      <w:r w:rsidRPr="00B12FE0">
        <w:rPr>
          <w:rFonts w:hint="eastAsia"/>
          <w:color w:val="000000" w:themeColor="text1"/>
        </w:rPr>
        <w:t>中</w:t>
      </w:r>
      <w:r w:rsidRPr="00B12FE0">
        <w:rPr>
          <w:color w:val="000000" w:themeColor="text1"/>
        </w:rPr>
        <w:t>。</w:t>
      </w:r>
      <w:r w:rsidRPr="00B12FE0">
        <w:rPr>
          <w:rFonts w:hint="eastAsia"/>
          <w:color w:val="000000" w:themeColor="text1"/>
        </w:rPr>
        <w:t>远程</w:t>
      </w:r>
      <w:r w:rsidRPr="00B12FE0">
        <w:rPr>
          <w:color w:val="000000" w:themeColor="text1"/>
        </w:rPr>
        <w:t>通过电脑控制系统操作自动</w:t>
      </w:r>
      <w:proofErr w:type="gramStart"/>
      <w:r w:rsidRPr="00B12FE0">
        <w:rPr>
          <w:color w:val="000000" w:themeColor="text1"/>
        </w:rPr>
        <w:t>分碘仪</w:t>
      </w:r>
      <w:proofErr w:type="gramEnd"/>
      <w:r w:rsidRPr="00B12FE0">
        <w:rPr>
          <w:color w:val="000000" w:themeColor="text1"/>
        </w:rPr>
        <w:t>自动分装药物，</w:t>
      </w:r>
      <w:r w:rsidRPr="00B12FE0">
        <w:rPr>
          <w:rFonts w:hint="eastAsia"/>
          <w:color w:val="000000" w:themeColor="text1"/>
        </w:rPr>
        <w:t>通过视频及</w:t>
      </w:r>
      <w:r w:rsidRPr="00B12FE0">
        <w:rPr>
          <w:color w:val="000000" w:themeColor="text1"/>
        </w:rPr>
        <w:t>语音</w:t>
      </w:r>
      <w:r w:rsidRPr="00B12FE0">
        <w:rPr>
          <w:rFonts w:hint="eastAsia"/>
          <w:color w:val="000000" w:themeColor="text1"/>
        </w:rPr>
        <w:t>系统</w:t>
      </w:r>
      <w:r w:rsidRPr="00B12FE0">
        <w:rPr>
          <w:color w:val="000000" w:themeColor="text1"/>
        </w:rPr>
        <w:t>指导患者在</w:t>
      </w:r>
      <w:proofErr w:type="gramStart"/>
      <w:r w:rsidRPr="00B12FE0">
        <w:rPr>
          <w:rFonts w:hint="eastAsia"/>
          <w:color w:val="000000" w:themeColor="text1"/>
        </w:rPr>
        <w:t>服碘室</w:t>
      </w:r>
      <w:proofErr w:type="gramEnd"/>
      <w:r w:rsidRPr="00B12FE0">
        <w:rPr>
          <w:color w:val="000000" w:themeColor="text1"/>
        </w:rPr>
        <w:t>服药</w:t>
      </w:r>
      <w:r w:rsidRPr="00B12FE0">
        <w:rPr>
          <w:rFonts w:hint="eastAsia"/>
          <w:color w:val="000000" w:themeColor="text1"/>
        </w:rPr>
        <w:t>。</w:t>
      </w:r>
    </w:p>
    <w:p w14:paraId="32D2F3AA" w14:textId="77777777" w:rsidR="00A67F21" w:rsidRPr="00B12FE0" w:rsidRDefault="00000000">
      <w:pPr>
        <w:spacing w:line="360" w:lineRule="auto"/>
        <w:ind w:firstLine="480"/>
        <w:rPr>
          <w:color w:val="000000" w:themeColor="text1"/>
        </w:rPr>
      </w:pPr>
      <w:r w:rsidRPr="00B12FE0">
        <w:rPr>
          <w:rFonts w:hint="eastAsia"/>
          <w:color w:val="000000" w:themeColor="text1"/>
        </w:rPr>
        <w:t>③服药后检查：</w:t>
      </w:r>
      <w:r w:rsidRPr="00B12FE0">
        <w:rPr>
          <w:color w:val="000000" w:themeColor="text1"/>
        </w:rPr>
        <w:t>患者分别于服药后</w:t>
      </w:r>
      <w:r w:rsidRPr="00B12FE0">
        <w:rPr>
          <w:color w:val="000000" w:themeColor="text1"/>
        </w:rPr>
        <w:t>2h</w:t>
      </w:r>
      <w:r w:rsidRPr="00B12FE0">
        <w:rPr>
          <w:color w:val="000000" w:themeColor="text1"/>
        </w:rPr>
        <w:t>、</w:t>
      </w:r>
      <w:r w:rsidRPr="00B12FE0">
        <w:rPr>
          <w:color w:val="000000" w:themeColor="text1"/>
        </w:rPr>
        <w:t>4h</w:t>
      </w:r>
      <w:r w:rsidRPr="00B12FE0">
        <w:rPr>
          <w:color w:val="000000" w:themeColor="text1"/>
        </w:rPr>
        <w:t>、</w:t>
      </w:r>
      <w:r w:rsidRPr="00B12FE0">
        <w:rPr>
          <w:color w:val="000000" w:themeColor="text1"/>
        </w:rPr>
        <w:t>6h</w:t>
      </w:r>
      <w:r w:rsidRPr="00B12FE0">
        <w:rPr>
          <w:color w:val="000000" w:themeColor="text1"/>
        </w:rPr>
        <w:t>、</w:t>
      </w:r>
      <w:r w:rsidRPr="00B12FE0">
        <w:rPr>
          <w:color w:val="000000" w:themeColor="text1"/>
        </w:rPr>
        <w:t>24h</w:t>
      </w:r>
      <w:r w:rsidRPr="00B12FE0">
        <w:rPr>
          <w:color w:val="000000" w:themeColor="text1"/>
        </w:rPr>
        <w:t>由核医学入口进入</w:t>
      </w:r>
      <w:proofErr w:type="gramStart"/>
      <w:r w:rsidRPr="00B12FE0">
        <w:rPr>
          <w:rFonts w:hint="eastAsia"/>
          <w:color w:val="000000" w:themeColor="text1"/>
        </w:rPr>
        <w:t>甲测室</w:t>
      </w:r>
      <w:proofErr w:type="gramEnd"/>
      <w:r w:rsidRPr="00B12FE0">
        <w:rPr>
          <w:rFonts w:hint="eastAsia"/>
          <w:color w:val="000000" w:themeColor="text1"/>
        </w:rPr>
        <w:t>通过</w:t>
      </w:r>
      <w:r w:rsidRPr="00B12FE0">
        <w:rPr>
          <w:color w:val="000000" w:themeColor="text1"/>
        </w:rPr>
        <w:t>γ</w:t>
      </w:r>
      <w:r w:rsidRPr="00B12FE0">
        <w:rPr>
          <w:rFonts w:hint="eastAsia"/>
          <w:color w:val="000000" w:themeColor="text1"/>
        </w:rPr>
        <w:t>射线探测仪进行检查和评估</w:t>
      </w:r>
      <w:r w:rsidRPr="00B12FE0">
        <w:rPr>
          <w:color w:val="000000" w:themeColor="text1"/>
        </w:rPr>
        <w:t>。</w:t>
      </w:r>
      <w:proofErr w:type="gramStart"/>
      <w:r w:rsidRPr="00B12FE0">
        <w:rPr>
          <w:color w:val="000000" w:themeColor="text1"/>
        </w:rPr>
        <w:t>甲测患者</w:t>
      </w:r>
      <w:proofErr w:type="gramEnd"/>
      <w:r w:rsidRPr="00B12FE0">
        <w:rPr>
          <w:rFonts w:hint="eastAsia"/>
          <w:color w:val="000000" w:themeColor="text1"/>
        </w:rPr>
        <w:t>不</w:t>
      </w:r>
      <w:r w:rsidRPr="00B12FE0">
        <w:rPr>
          <w:color w:val="000000" w:themeColor="text1"/>
        </w:rPr>
        <w:t>在</w:t>
      </w:r>
      <w:r w:rsidRPr="00B12FE0">
        <w:rPr>
          <w:rFonts w:hint="eastAsia"/>
          <w:color w:val="000000" w:themeColor="text1"/>
        </w:rPr>
        <w:t>核医学工作场所内</w:t>
      </w:r>
      <w:r w:rsidRPr="00B12FE0">
        <w:rPr>
          <w:color w:val="000000" w:themeColor="text1"/>
        </w:rPr>
        <w:t>候诊，患者服药后</w:t>
      </w:r>
      <w:r w:rsidRPr="00B12FE0">
        <w:rPr>
          <w:rFonts w:hint="eastAsia"/>
          <w:color w:val="000000" w:themeColor="text1"/>
        </w:rPr>
        <w:t>直接有核医学科核素诊断场所患者出口</w:t>
      </w:r>
      <w:r w:rsidRPr="00B12FE0">
        <w:rPr>
          <w:color w:val="000000" w:themeColor="text1"/>
        </w:rPr>
        <w:t>离开。</w:t>
      </w:r>
      <w:r w:rsidRPr="00B12FE0">
        <w:rPr>
          <w:rFonts w:hint="eastAsia"/>
          <w:color w:val="000000" w:themeColor="text1"/>
        </w:rPr>
        <w:t>等检测时间到后患者由核医学入口进入</w:t>
      </w:r>
      <w:proofErr w:type="gramStart"/>
      <w:r w:rsidRPr="00B12FE0">
        <w:rPr>
          <w:rFonts w:hint="eastAsia"/>
          <w:color w:val="000000" w:themeColor="text1"/>
        </w:rPr>
        <w:t>甲测室</w:t>
      </w:r>
      <w:proofErr w:type="gramEnd"/>
      <w:r w:rsidRPr="00B12FE0">
        <w:rPr>
          <w:rFonts w:hint="eastAsia"/>
          <w:color w:val="000000" w:themeColor="text1"/>
        </w:rPr>
        <w:t>进行测量，每次测定约</w:t>
      </w:r>
      <w:r w:rsidRPr="00B12FE0">
        <w:rPr>
          <w:rFonts w:hint="eastAsia"/>
          <w:color w:val="000000" w:themeColor="text1"/>
        </w:rPr>
        <w:t>1min</w:t>
      </w:r>
      <w:r w:rsidRPr="00B12FE0">
        <w:rPr>
          <w:rFonts w:hint="eastAsia"/>
          <w:color w:val="000000" w:themeColor="text1"/>
        </w:rPr>
        <w:t>，测定结束后打印报告，检查结束离开医院。</w:t>
      </w:r>
    </w:p>
    <w:p w14:paraId="61DA9C9E" w14:textId="77777777" w:rsidR="00A67F21" w:rsidRPr="00B12FE0" w:rsidRDefault="00000000">
      <w:pPr>
        <w:spacing w:line="360" w:lineRule="auto"/>
        <w:ind w:firstLine="480"/>
        <w:rPr>
          <w:color w:val="000000" w:themeColor="text1"/>
        </w:rPr>
      </w:pPr>
      <w:r w:rsidRPr="00B12FE0">
        <w:rPr>
          <w:rFonts w:hint="eastAsia"/>
          <w:color w:val="000000" w:themeColor="text1"/>
        </w:rPr>
        <w:t>④</w:t>
      </w:r>
      <w:r w:rsidRPr="00B12FE0">
        <w:rPr>
          <w:color w:val="000000" w:themeColor="text1"/>
        </w:rPr>
        <w:t>患者离开：本项目</w:t>
      </w:r>
      <w:r w:rsidRPr="00B12FE0">
        <w:rPr>
          <w:color w:val="000000" w:themeColor="text1"/>
          <w:vertAlign w:val="superscript"/>
        </w:rPr>
        <w:t>131</w:t>
      </w:r>
      <w:r w:rsidRPr="00B12FE0">
        <w:rPr>
          <w:color w:val="000000" w:themeColor="text1"/>
        </w:rPr>
        <w:t>I</w:t>
      </w:r>
      <w:proofErr w:type="gramStart"/>
      <w:r w:rsidRPr="00B12FE0">
        <w:rPr>
          <w:color w:val="000000" w:themeColor="text1"/>
        </w:rPr>
        <w:t>甲测患者</w:t>
      </w:r>
      <w:proofErr w:type="gramEnd"/>
      <w:r w:rsidRPr="00B12FE0">
        <w:rPr>
          <w:color w:val="000000" w:themeColor="text1"/>
        </w:rPr>
        <w:t>单人用药量为</w:t>
      </w:r>
      <w:r w:rsidRPr="00B12FE0">
        <w:rPr>
          <w:color w:val="000000" w:themeColor="text1"/>
        </w:rPr>
        <w:t>0.</w:t>
      </w:r>
      <w:r w:rsidRPr="00B12FE0">
        <w:rPr>
          <w:rFonts w:hint="eastAsia"/>
          <w:color w:val="000000" w:themeColor="text1"/>
        </w:rPr>
        <w:t>185</w:t>
      </w:r>
      <w:r w:rsidRPr="00B12FE0">
        <w:rPr>
          <w:color w:val="000000" w:themeColor="text1"/>
        </w:rPr>
        <w:t>MBq</w:t>
      </w:r>
      <w:r w:rsidRPr="00B12FE0">
        <w:rPr>
          <w:color w:val="000000" w:themeColor="text1"/>
        </w:rPr>
        <w:t>（</w:t>
      </w:r>
      <w:r w:rsidRPr="00B12FE0">
        <w:rPr>
          <w:rFonts w:hint="eastAsia"/>
          <w:color w:val="000000" w:themeColor="text1"/>
        </w:rPr>
        <w:t>5</w:t>
      </w:r>
      <w:r w:rsidRPr="00B12FE0">
        <w:rPr>
          <w:color w:val="000000" w:themeColor="text1"/>
        </w:rPr>
        <w:t>μCi</w:t>
      </w:r>
      <w:r w:rsidRPr="00B12FE0">
        <w:rPr>
          <w:color w:val="000000" w:themeColor="text1"/>
        </w:rPr>
        <w:t>），体内放射性活度低于</w:t>
      </w:r>
      <w:r w:rsidRPr="00B12FE0">
        <w:rPr>
          <w:color w:val="000000" w:themeColor="text1"/>
        </w:rPr>
        <w:t>400MBq</w:t>
      </w:r>
      <w:r w:rsidRPr="00B12FE0">
        <w:rPr>
          <w:color w:val="000000" w:themeColor="text1"/>
        </w:rPr>
        <w:t>，根据《核医学辐射防护与安全要求》（</w:t>
      </w:r>
      <w:r w:rsidRPr="00B12FE0">
        <w:rPr>
          <w:color w:val="000000" w:themeColor="text1"/>
        </w:rPr>
        <w:t>HJ1188-2021</w:t>
      </w:r>
      <w:r w:rsidRPr="00B12FE0">
        <w:rPr>
          <w:color w:val="000000" w:themeColor="text1"/>
        </w:rPr>
        <w:t>），</w:t>
      </w:r>
      <w:proofErr w:type="gramStart"/>
      <w:r w:rsidRPr="00B12FE0">
        <w:rPr>
          <w:color w:val="000000" w:themeColor="text1"/>
        </w:rPr>
        <w:t>甲测患者</w:t>
      </w:r>
      <w:proofErr w:type="gramEnd"/>
      <w:r w:rsidRPr="00B12FE0">
        <w:rPr>
          <w:color w:val="000000" w:themeColor="text1"/>
        </w:rPr>
        <w:t>服药后可不必住院，</w:t>
      </w:r>
      <w:r w:rsidRPr="00B12FE0">
        <w:rPr>
          <w:rFonts w:hint="eastAsia"/>
          <w:color w:val="000000" w:themeColor="text1"/>
        </w:rPr>
        <w:t>原路返回</w:t>
      </w:r>
      <w:r w:rsidRPr="00B12FE0">
        <w:rPr>
          <w:color w:val="000000" w:themeColor="text1"/>
        </w:rPr>
        <w:t>离开核医学</w:t>
      </w:r>
      <w:r w:rsidRPr="00B12FE0">
        <w:rPr>
          <w:rFonts w:hint="eastAsia"/>
          <w:color w:val="000000" w:themeColor="text1"/>
        </w:rPr>
        <w:t>工作场所</w:t>
      </w:r>
      <w:r w:rsidRPr="00B12FE0">
        <w:rPr>
          <w:color w:val="000000" w:themeColor="text1"/>
        </w:rPr>
        <w:t>。</w:t>
      </w:r>
    </w:p>
    <w:p w14:paraId="1AB74DC4" w14:textId="77777777" w:rsidR="00A67F21" w:rsidRPr="00B12FE0" w:rsidRDefault="00000000">
      <w:pPr>
        <w:adjustRightInd w:val="0"/>
        <w:snapToGrid w:val="0"/>
        <w:spacing w:line="360" w:lineRule="auto"/>
        <w:ind w:firstLine="480"/>
        <w:rPr>
          <w:color w:val="000000" w:themeColor="text1"/>
        </w:rPr>
      </w:pPr>
      <w:proofErr w:type="gramStart"/>
      <w:r w:rsidRPr="00B12FE0">
        <w:rPr>
          <w:rFonts w:hint="eastAsia"/>
          <w:color w:val="000000" w:themeColor="text1"/>
        </w:rPr>
        <w:t>甲测的</w:t>
      </w:r>
      <w:proofErr w:type="gramEnd"/>
      <w:r w:rsidRPr="00B12FE0">
        <w:rPr>
          <w:rFonts w:hint="eastAsia"/>
          <w:color w:val="000000" w:themeColor="text1"/>
        </w:rPr>
        <w:t>工艺流程</w:t>
      </w:r>
      <w:proofErr w:type="gramStart"/>
      <w:r w:rsidRPr="00B12FE0">
        <w:rPr>
          <w:rFonts w:hint="eastAsia"/>
          <w:color w:val="000000" w:themeColor="text1"/>
        </w:rPr>
        <w:t>与产污环节</w:t>
      </w:r>
      <w:proofErr w:type="gramEnd"/>
      <w:r w:rsidRPr="00B12FE0">
        <w:rPr>
          <w:rFonts w:hint="eastAsia"/>
          <w:color w:val="000000" w:themeColor="text1"/>
        </w:rPr>
        <w:t>见图</w:t>
      </w:r>
      <w:r w:rsidRPr="00B12FE0">
        <w:rPr>
          <w:rFonts w:hint="eastAsia"/>
          <w:color w:val="000000" w:themeColor="text1"/>
        </w:rPr>
        <w:t>9.1.1.3.7-8</w:t>
      </w:r>
      <w:r w:rsidRPr="00B12FE0">
        <w:rPr>
          <w:rFonts w:hint="eastAsia"/>
          <w:color w:val="000000" w:themeColor="text1"/>
        </w:rPr>
        <w:t>。</w:t>
      </w:r>
    </w:p>
    <w:p w14:paraId="052F0F0E" w14:textId="77777777" w:rsidR="00A67F21" w:rsidRPr="00B12FE0" w:rsidRDefault="00000000">
      <w:pPr>
        <w:adjustRightInd w:val="0"/>
        <w:snapToGrid w:val="0"/>
        <w:spacing w:line="360" w:lineRule="auto"/>
        <w:ind w:firstLine="480"/>
        <w:jc w:val="center"/>
        <w:rPr>
          <w:color w:val="000000" w:themeColor="text1"/>
        </w:rPr>
      </w:pPr>
      <w:r w:rsidRPr="00B12FE0">
        <w:rPr>
          <w:color w:val="000000" w:themeColor="text1"/>
        </w:rPr>
        <w:object w:dxaOrig="6565" w:dyaOrig="4454" w14:anchorId="30323229">
          <v:shape id="_x0000_i1026" type="#_x0000_t75" style="width:328.2pt;height:222.55pt" o:ole="">
            <v:imagedata r:id="rId31" o:title="" cropbottom="5468f" cropleft="7982f" cropright="1761f"/>
          </v:shape>
          <o:OLEObject Type="Embed" ProgID="Visio.Drawing.15" ShapeID="_x0000_i1026" DrawAspect="Content" ObjectID="_1843190426" r:id="rId32"/>
        </w:object>
      </w:r>
    </w:p>
    <w:p w14:paraId="79613E0F" w14:textId="77777777" w:rsidR="00A67F21" w:rsidRPr="00B12FE0" w:rsidRDefault="00000000">
      <w:pPr>
        <w:adjustRightInd w:val="0"/>
        <w:spacing w:line="360" w:lineRule="auto"/>
        <w:jc w:val="center"/>
        <w:rPr>
          <w:b/>
          <w:color w:val="000000" w:themeColor="text1"/>
          <w:sz w:val="21"/>
          <w:szCs w:val="21"/>
        </w:rPr>
      </w:pPr>
      <w:r w:rsidRPr="00B12FE0">
        <w:rPr>
          <w:b/>
          <w:color w:val="000000" w:themeColor="text1"/>
          <w:sz w:val="21"/>
          <w:szCs w:val="21"/>
        </w:rPr>
        <w:t>图</w:t>
      </w:r>
      <w:r w:rsidRPr="00B12FE0">
        <w:rPr>
          <w:b/>
          <w:color w:val="000000" w:themeColor="text1"/>
          <w:sz w:val="21"/>
          <w:szCs w:val="21"/>
        </w:rPr>
        <w:t>9.</w:t>
      </w:r>
      <w:r w:rsidRPr="00B12FE0">
        <w:rPr>
          <w:rFonts w:hint="eastAsia"/>
          <w:b/>
          <w:color w:val="000000" w:themeColor="text1"/>
          <w:sz w:val="21"/>
          <w:szCs w:val="21"/>
        </w:rPr>
        <w:t>1.1.3.7</w:t>
      </w:r>
      <w:r w:rsidRPr="00B12FE0">
        <w:rPr>
          <w:b/>
          <w:color w:val="000000" w:themeColor="text1"/>
          <w:sz w:val="21"/>
          <w:szCs w:val="21"/>
        </w:rPr>
        <w:t>-</w:t>
      </w:r>
      <w:r w:rsidRPr="00B12FE0">
        <w:rPr>
          <w:rFonts w:hint="eastAsia"/>
          <w:b/>
          <w:color w:val="000000" w:themeColor="text1"/>
          <w:sz w:val="21"/>
          <w:szCs w:val="21"/>
        </w:rPr>
        <w:t>8</w:t>
      </w:r>
      <w:r w:rsidRPr="00B12FE0">
        <w:rPr>
          <w:b/>
          <w:color w:val="000000" w:themeColor="text1"/>
          <w:sz w:val="21"/>
          <w:szCs w:val="21"/>
        </w:rPr>
        <w:t xml:space="preserve"> </w:t>
      </w:r>
      <w:proofErr w:type="gramStart"/>
      <w:r w:rsidRPr="00B12FE0">
        <w:rPr>
          <w:rFonts w:hint="eastAsia"/>
          <w:b/>
          <w:color w:val="000000" w:themeColor="text1"/>
          <w:sz w:val="21"/>
          <w:szCs w:val="21"/>
        </w:rPr>
        <w:t>甲测的</w:t>
      </w:r>
      <w:proofErr w:type="gramEnd"/>
      <w:r w:rsidRPr="00B12FE0">
        <w:rPr>
          <w:rFonts w:hint="eastAsia"/>
          <w:b/>
          <w:color w:val="000000" w:themeColor="text1"/>
          <w:sz w:val="21"/>
          <w:szCs w:val="21"/>
        </w:rPr>
        <w:t>工艺流程</w:t>
      </w:r>
      <w:proofErr w:type="gramStart"/>
      <w:r w:rsidRPr="00B12FE0">
        <w:rPr>
          <w:rFonts w:hint="eastAsia"/>
          <w:b/>
          <w:color w:val="000000" w:themeColor="text1"/>
          <w:sz w:val="21"/>
          <w:szCs w:val="21"/>
        </w:rPr>
        <w:t>与产污环节</w:t>
      </w:r>
      <w:proofErr w:type="gramEnd"/>
      <w:r w:rsidRPr="00B12FE0">
        <w:rPr>
          <w:rFonts w:hint="eastAsia"/>
          <w:b/>
          <w:color w:val="000000" w:themeColor="text1"/>
          <w:sz w:val="21"/>
          <w:szCs w:val="21"/>
        </w:rPr>
        <w:t>图</w:t>
      </w:r>
    </w:p>
    <w:p w14:paraId="2296CB93" w14:textId="77777777" w:rsidR="00A67F21" w:rsidRPr="00B12FE0" w:rsidRDefault="00000000">
      <w:pPr>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hint="eastAsia"/>
          <w:color w:val="000000" w:themeColor="text1"/>
          <w:szCs w:val="24"/>
        </w:rPr>
        <w:t>综上所述</w:t>
      </w:r>
      <w:r w:rsidRPr="00B12FE0">
        <w:rPr>
          <w:rFonts w:ascii="宋体" w:hAnsi="宋体"/>
          <w:color w:val="000000" w:themeColor="text1"/>
          <w:szCs w:val="24"/>
        </w:rPr>
        <w:t>，</w:t>
      </w:r>
      <w:r w:rsidRPr="00B12FE0">
        <w:rPr>
          <w:rFonts w:ascii="宋体" w:hAnsi="宋体" w:hint="eastAsia"/>
          <w:color w:val="000000" w:themeColor="text1"/>
          <w:szCs w:val="24"/>
        </w:rPr>
        <w:t>使用</w:t>
      </w:r>
      <w:r w:rsidRPr="00B12FE0">
        <w:rPr>
          <w:rFonts w:hint="eastAsia"/>
          <w:color w:val="000000" w:themeColor="text1"/>
          <w:szCs w:val="24"/>
          <w:vertAlign w:val="superscript"/>
        </w:rPr>
        <w:t>131</w:t>
      </w:r>
      <w:r w:rsidRPr="00B12FE0">
        <w:rPr>
          <w:rFonts w:hint="eastAsia"/>
          <w:color w:val="000000" w:themeColor="text1"/>
          <w:szCs w:val="24"/>
        </w:rPr>
        <w:t>I</w:t>
      </w:r>
      <w:r w:rsidRPr="00B12FE0">
        <w:rPr>
          <w:rFonts w:ascii="宋体" w:hAnsi="宋体" w:hint="eastAsia"/>
          <w:color w:val="000000" w:themeColor="text1"/>
          <w:szCs w:val="24"/>
        </w:rPr>
        <w:t>核素</w:t>
      </w:r>
      <w:proofErr w:type="gramStart"/>
      <w:r w:rsidRPr="00B12FE0">
        <w:rPr>
          <w:rFonts w:ascii="宋体" w:hAnsi="宋体" w:hint="eastAsia"/>
          <w:color w:val="000000" w:themeColor="text1"/>
          <w:szCs w:val="24"/>
        </w:rPr>
        <w:t>开展甲测</w:t>
      </w:r>
      <w:proofErr w:type="gramEnd"/>
      <w:r w:rsidRPr="00B12FE0">
        <w:rPr>
          <w:rFonts w:ascii="宋体" w:hAnsi="宋体" w:hint="eastAsia"/>
          <w:bCs/>
          <w:color w:val="000000" w:themeColor="text1"/>
          <w:szCs w:val="24"/>
        </w:rPr>
        <w:t>期间，其</w:t>
      </w:r>
      <w:r w:rsidRPr="00B12FE0">
        <w:rPr>
          <w:rFonts w:ascii="宋体" w:hAnsi="宋体"/>
          <w:color w:val="000000" w:themeColor="text1"/>
          <w:szCs w:val="24"/>
        </w:rPr>
        <w:t>污染因子</w:t>
      </w:r>
      <w:r w:rsidRPr="00B12FE0">
        <w:rPr>
          <w:rFonts w:ascii="宋体" w:hAnsi="宋体" w:hint="eastAsia"/>
          <w:color w:val="000000" w:themeColor="text1"/>
          <w:szCs w:val="24"/>
        </w:rPr>
        <w:t>主要</w:t>
      </w:r>
      <w:r w:rsidRPr="00B12FE0">
        <w:rPr>
          <w:rFonts w:ascii="宋体" w:hAnsi="宋体"/>
          <w:color w:val="000000" w:themeColor="text1"/>
          <w:szCs w:val="24"/>
        </w:rPr>
        <w:t>是</w:t>
      </w:r>
      <w:r w:rsidRPr="00B12FE0">
        <w:rPr>
          <w:color w:val="000000" w:themeColor="text1"/>
          <w:szCs w:val="24"/>
        </w:rPr>
        <w:t>γ</w:t>
      </w:r>
      <w:r w:rsidRPr="00B12FE0">
        <w:rPr>
          <w:rFonts w:ascii="宋体" w:hAnsi="宋体"/>
          <w:color w:val="000000" w:themeColor="text1"/>
          <w:szCs w:val="24"/>
        </w:rPr>
        <w:t>射线、</w:t>
      </w:r>
      <w:r w:rsidRPr="00B12FE0">
        <w:rPr>
          <w:color w:val="000000" w:themeColor="text1"/>
          <w:szCs w:val="24"/>
        </w:rPr>
        <w:t>β</w:t>
      </w:r>
      <w:r w:rsidRPr="00B12FE0">
        <w:rPr>
          <w:rFonts w:ascii="宋体" w:hAnsi="宋体"/>
          <w:color w:val="000000" w:themeColor="text1"/>
          <w:szCs w:val="24"/>
        </w:rPr>
        <w:t>射线、</w:t>
      </w:r>
      <w:r w:rsidRPr="00B12FE0">
        <w:rPr>
          <w:color w:val="000000" w:themeColor="text1"/>
          <w:szCs w:val="24"/>
        </w:rPr>
        <w:t>β</w:t>
      </w:r>
      <w:r w:rsidRPr="00B12FE0">
        <w:rPr>
          <w:rFonts w:ascii="宋体" w:hAnsi="宋体"/>
          <w:color w:val="000000" w:themeColor="text1"/>
          <w:szCs w:val="24"/>
        </w:rPr>
        <w:t>表面污染、</w:t>
      </w:r>
      <w:r w:rsidRPr="00B12FE0">
        <w:rPr>
          <w:rFonts w:ascii="宋体" w:hAnsi="宋体" w:hint="eastAsia"/>
          <w:color w:val="000000" w:themeColor="text1"/>
          <w:szCs w:val="24"/>
        </w:rPr>
        <w:t>放射性固体废物、放射性废水和放射性废气</w:t>
      </w:r>
      <w:r w:rsidRPr="00B12FE0">
        <w:rPr>
          <w:rFonts w:ascii="宋体" w:hAnsi="宋体"/>
          <w:color w:val="000000" w:themeColor="text1"/>
          <w:szCs w:val="24"/>
        </w:rPr>
        <w:t>。</w:t>
      </w:r>
    </w:p>
    <w:p w14:paraId="0E0C7F47" w14:textId="77777777" w:rsidR="00A67F21" w:rsidRPr="00B12FE0" w:rsidRDefault="00000000">
      <w:pPr>
        <w:snapToGrid w:val="0"/>
        <w:spacing w:line="360" w:lineRule="auto"/>
        <w:outlineLvl w:val="3"/>
        <w:rPr>
          <w:b/>
          <w:color w:val="000000" w:themeColor="text1"/>
        </w:rPr>
      </w:pPr>
      <w:r w:rsidRPr="00B12FE0">
        <w:rPr>
          <w:rFonts w:hint="eastAsia"/>
          <w:b/>
          <w:color w:val="000000" w:themeColor="text1"/>
        </w:rPr>
        <w:lastRenderedPageBreak/>
        <w:t xml:space="preserve">9.1.1.3.8  </w:t>
      </w:r>
      <w:r w:rsidRPr="00B12FE0">
        <w:rPr>
          <w:rFonts w:hint="eastAsia"/>
          <w:b/>
          <w:color w:val="000000" w:themeColor="text1"/>
          <w:vertAlign w:val="superscript"/>
        </w:rPr>
        <w:t>131</w:t>
      </w:r>
      <w:r w:rsidRPr="00B12FE0">
        <w:rPr>
          <w:rFonts w:hint="eastAsia"/>
          <w:b/>
          <w:color w:val="000000" w:themeColor="text1"/>
        </w:rPr>
        <w:t>I</w:t>
      </w:r>
      <w:r w:rsidRPr="00B12FE0">
        <w:rPr>
          <w:rFonts w:hint="eastAsia"/>
          <w:b/>
          <w:color w:val="000000" w:themeColor="text1"/>
        </w:rPr>
        <w:t>甲亢治疗</w:t>
      </w:r>
    </w:p>
    <w:p w14:paraId="107B751A" w14:textId="77777777" w:rsidR="00A67F21" w:rsidRPr="00B12FE0" w:rsidRDefault="00000000">
      <w:pPr>
        <w:spacing w:line="360" w:lineRule="auto"/>
        <w:ind w:firstLine="480"/>
        <w:rPr>
          <w:b/>
          <w:bCs/>
          <w:color w:val="000000" w:themeColor="text1"/>
        </w:rPr>
      </w:pPr>
      <w:r w:rsidRPr="00B12FE0">
        <w:rPr>
          <w:rFonts w:hint="eastAsia"/>
          <w:b/>
          <w:bCs/>
          <w:color w:val="000000" w:themeColor="text1"/>
        </w:rPr>
        <w:t>（</w:t>
      </w:r>
      <w:r w:rsidRPr="00B12FE0">
        <w:rPr>
          <w:rFonts w:hint="eastAsia"/>
          <w:b/>
          <w:bCs/>
          <w:color w:val="000000" w:themeColor="text1"/>
        </w:rPr>
        <w:t>1</w:t>
      </w:r>
      <w:r w:rsidRPr="00B12FE0">
        <w:rPr>
          <w:rFonts w:hint="eastAsia"/>
          <w:b/>
          <w:bCs/>
          <w:color w:val="000000" w:themeColor="text1"/>
        </w:rPr>
        <w:t>）工作</w:t>
      </w:r>
      <w:r w:rsidRPr="00B12FE0">
        <w:rPr>
          <w:b/>
          <w:bCs/>
          <w:color w:val="000000" w:themeColor="text1"/>
        </w:rPr>
        <w:t>原理</w:t>
      </w:r>
    </w:p>
    <w:p w14:paraId="6B4823A9" w14:textId="77777777" w:rsidR="00A67F21" w:rsidRPr="00B12FE0" w:rsidRDefault="00000000">
      <w:pPr>
        <w:snapToGrid w:val="0"/>
        <w:spacing w:line="360" w:lineRule="auto"/>
        <w:ind w:firstLineChars="200" w:firstLine="480"/>
        <w:rPr>
          <w:color w:val="000000" w:themeColor="text1"/>
        </w:rPr>
      </w:pPr>
      <w:r w:rsidRPr="00B12FE0">
        <w:rPr>
          <w:color w:val="000000" w:themeColor="text1"/>
        </w:rPr>
        <w:t>甲状腺具有高度选择性摄取</w:t>
      </w:r>
      <w:r w:rsidRPr="00B12FE0">
        <w:rPr>
          <w:color w:val="000000" w:themeColor="text1"/>
          <w:vertAlign w:val="superscript"/>
        </w:rPr>
        <w:t>131</w:t>
      </w:r>
      <w:r w:rsidRPr="00B12FE0">
        <w:rPr>
          <w:color w:val="000000" w:themeColor="text1"/>
        </w:rPr>
        <w:t>I</w:t>
      </w:r>
      <w:r w:rsidRPr="00B12FE0">
        <w:rPr>
          <w:color w:val="000000" w:themeColor="text1"/>
        </w:rPr>
        <w:t>的能力，功能亢进的甲状腺组织摄取量将更多，可高达血浆的几百倍，且在甲状腺内停留的时间较长，有效半衰期可达</w:t>
      </w:r>
      <w:r w:rsidRPr="00B12FE0">
        <w:rPr>
          <w:color w:val="000000" w:themeColor="text1"/>
        </w:rPr>
        <w:t>7.6</w:t>
      </w:r>
      <w:r w:rsidRPr="00B12FE0">
        <w:rPr>
          <w:color w:val="000000" w:themeColor="text1"/>
        </w:rPr>
        <w:t>天。在患者服用</w:t>
      </w:r>
      <w:r w:rsidRPr="00B12FE0">
        <w:rPr>
          <w:color w:val="000000" w:themeColor="text1"/>
          <w:vertAlign w:val="superscript"/>
        </w:rPr>
        <w:t>131</w:t>
      </w:r>
      <w:r w:rsidRPr="00B12FE0">
        <w:rPr>
          <w:color w:val="000000" w:themeColor="text1"/>
        </w:rPr>
        <w:t>I</w:t>
      </w:r>
      <w:r w:rsidRPr="00B12FE0">
        <w:rPr>
          <w:color w:val="000000" w:themeColor="text1"/>
        </w:rPr>
        <w:t>后，</w:t>
      </w:r>
      <w:r w:rsidRPr="00B12FE0">
        <w:rPr>
          <w:color w:val="000000" w:themeColor="text1"/>
        </w:rPr>
        <w:t>90%</w:t>
      </w:r>
      <w:r w:rsidRPr="00B12FE0">
        <w:rPr>
          <w:color w:val="000000" w:themeColor="text1"/>
        </w:rPr>
        <w:t>以上的</w:t>
      </w:r>
      <w:r w:rsidRPr="00B12FE0">
        <w:rPr>
          <w:color w:val="000000" w:themeColor="text1"/>
          <w:vertAlign w:val="superscript"/>
        </w:rPr>
        <w:t>131</w:t>
      </w:r>
      <w:r w:rsidRPr="00B12FE0">
        <w:rPr>
          <w:color w:val="000000" w:themeColor="text1"/>
        </w:rPr>
        <w:t>I</w:t>
      </w:r>
      <w:r w:rsidRPr="00B12FE0">
        <w:rPr>
          <w:color w:val="000000" w:themeColor="text1"/>
        </w:rPr>
        <w:t>都会聚集到患者的甲状腺，其余的</w:t>
      </w:r>
      <w:r w:rsidRPr="00B12FE0">
        <w:rPr>
          <w:color w:val="000000" w:themeColor="text1"/>
          <w:vertAlign w:val="superscript"/>
        </w:rPr>
        <w:t>131</w:t>
      </w:r>
      <w:r w:rsidRPr="00B12FE0">
        <w:rPr>
          <w:color w:val="000000" w:themeColor="text1"/>
        </w:rPr>
        <w:t>I</w:t>
      </w:r>
      <w:r w:rsidRPr="00B12FE0">
        <w:rPr>
          <w:color w:val="000000" w:themeColor="text1"/>
        </w:rPr>
        <w:t>随代谢排出体外。</w:t>
      </w:r>
      <w:r w:rsidRPr="00B12FE0">
        <w:rPr>
          <w:color w:val="000000" w:themeColor="text1"/>
          <w:vertAlign w:val="superscript"/>
        </w:rPr>
        <w:t>131</w:t>
      </w:r>
      <w:r w:rsidRPr="00B12FE0">
        <w:rPr>
          <w:color w:val="000000" w:themeColor="text1"/>
        </w:rPr>
        <w:t>I</w:t>
      </w:r>
      <w:r w:rsidRPr="00B12FE0">
        <w:rPr>
          <w:color w:val="000000" w:themeColor="text1"/>
        </w:rPr>
        <w:t>衰变为</w:t>
      </w:r>
      <w:r w:rsidRPr="00B12FE0">
        <w:rPr>
          <w:color w:val="000000" w:themeColor="text1"/>
          <w:vertAlign w:val="superscript"/>
        </w:rPr>
        <w:t>131</w:t>
      </w:r>
      <w:r w:rsidRPr="00B12FE0">
        <w:rPr>
          <w:color w:val="000000" w:themeColor="text1"/>
        </w:rPr>
        <w:t>Xe</w:t>
      </w:r>
      <w:r w:rsidRPr="00B12FE0">
        <w:rPr>
          <w:color w:val="000000" w:themeColor="text1"/>
        </w:rPr>
        <w:t>时放射出</w:t>
      </w:r>
      <w:r w:rsidRPr="00B12FE0">
        <w:rPr>
          <w:color w:val="000000" w:themeColor="text1"/>
        </w:rPr>
        <w:t>95%</w:t>
      </w:r>
      <w:r w:rsidRPr="00B12FE0">
        <w:rPr>
          <w:color w:val="000000" w:themeColor="text1"/>
        </w:rPr>
        <w:t>的</w:t>
      </w:r>
      <w:r w:rsidRPr="00B12FE0">
        <w:rPr>
          <w:color w:val="000000" w:themeColor="text1"/>
        </w:rPr>
        <w:t>β</w:t>
      </w:r>
      <w:r w:rsidRPr="00B12FE0">
        <w:rPr>
          <w:color w:val="000000" w:themeColor="text1"/>
        </w:rPr>
        <w:t>射线，该射线能量低，在甲状腺内的平均射程仅有</w:t>
      </w:r>
      <w:r w:rsidRPr="00B12FE0">
        <w:rPr>
          <w:color w:val="000000" w:themeColor="text1"/>
        </w:rPr>
        <w:t>0.5mm</w:t>
      </w:r>
      <w:r w:rsidRPr="00B12FE0">
        <w:rPr>
          <w:color w:val="000000" w:themeColor="text1"/>
        </w:rPr>
        <w:t>，一般不会造成甲状腺周围组织例如甲状旁腺、喉返神经等的辐射损伤。因此，</w:t>
      </w:r>
      <w:r w:rsidRPr="00B12FE0">
        <w:rPr>
          <w:color w:val="000000" w:themeColor="text1"/>
          <w:vertAlign w:val="superscript"/>
        </w:rPr>
        <w:t>131</w:t>
      </w:r>
      <w:r w:rsidRPr="00B12FE0">
        <w:rPr>
          <w:color w:val="000000" w:themeColor="text1"/>
        </w:rPr>
        <w:t>I</w:t>
      </w:r>
      <w:r w:rsidRPr="00B12FE0">
        <w:rPr>
          <w:color w:val="000000" w:themeColor="text1"/>
        </w:rPr>
        <w:t>治疗可使部分甲状腺组织受到</w:t>
      </w:r>
      <w:r w:rsidRPr="00B12FE0">
        <w:rPr>
          <w:color w:val="000000" w:themeColor="text1"/>
        </w:rPr>
        <w:t>β</w:t>
      </w:r>
      <w:r w:rsidRPr="00B12FE0">
        <w:rPr>
          <w:color w:val="000000" w:themeColor="text1"/>
        </w:rPr>
        <w:t>射线的集中照射，使部分甲状腺细胞发炎症、萎缩、直至功能丧失，从而减少甲状腺激素的分泌，使亢进的功能恢复正常，达到治疗的目的。</w:t>
      </w:r>
    </w:p>
    <w:p w14:paraId="498CF398" w14:textId="77777777" w:rsidR="00A67F21" w:rsidRPr="00B12FE0" w:rsidRDefault="00000000">
      <w:pPr>
        <w:adjustRightInd w:val="0"/>
        <w:snapToGrid w:val="0"/>
        <w:spacing w:line="360" w:lineRule="auto"/>
        <w:ind w:firstLineChars="200" w:firstLine="482"/>
        <w:rPr>
          <w:b/>
          <w:bCs/>
          <w:color w:val="000000" w:themeColor="text1"/>
        </w:rPr>
      </w:pPr>
      <w:r w:rsidRPr="00B12FE0">
        <w:rPr>
          <w:b/>
          <w:bCs/>
          <w:color w:val="000000" w:themeColor="text1"/>
        </w:rPr>
        <w:t>（</w:t>
      </w:r>
      <w:r w:rsidRPr="00B12FE0">
        <w:rPr>
          <w:rFonts w:hint="eastAsia"/>
          <w:b/>
          <w:bCs/>
          <w:color w:val="000000" w:themeColor="text1"/>
        </w:rPr>
        <w:t>2</w:t>
      </w:r>
      <w:r w:rsidRPr="00B12FE0">
        <w:rPr>
          <w:b/>
          <w:bCs/>
          <w:color w:val="000000" w:themeColor="text1"/>
        </w:rPr>
        <w:t>）诊疗规划</w:t>
      </w:r>
    </w:p>
    <w:p w14:paraId="3F69E8F5" w14:textId="77777777" w:rsidR="00A67F21" w:rsidRPr="00B12FE0" w:rsidRDefault="00000000">
      <w:pPr>
        <w:adjustRightInd w:val="0"/>
        <w:snapToGrid w:val="0"/>
        <w:spacing w:line="360" w:lineRule="auto"/>
        <w:ind w:firstLineChars="200" w:firstLine="480"/>
        <w:rPr>
          <w:color w:val="000000" w:themeColor="text1"/>
        </w:rPr>
      </w:pPr>
      <w:r w:rsidRPr="00B12FE0">
        <w:rPr>
          <w:bCs/>
          <w:color w:val="000000" w:themeColor="text1"/>
        </w:rPr>
        <w:t>甲亢治疗项目正式开展后，规划使用放射性核素</w:t>
      </w:r>
      <w:r w:rsidRPr="00B12FE0">
        <w:rPr>
          <w:color w:val="000000" w:themeColor="text1"/>
          <w:vertAlign w:val="superscript"/>
        </w:rPr>
        <w:t>131</w:t>
      </w:r>
      <w:r w:rsidRPr="00B12FE0">
        <w:rPr>
          <w:color w:val="000000" w:themeColor="text1"/>
        </w:rPr>
        <w:t>I</w:t>
      </w:r>
      <w:r w:rsidRPr="00B12FE0">
        <w:rPr>
          <w:color w:val="000000" w:themeColor="text1"/>
        </w:rPr>
        <w:t>进行治疗。</w:t>
      </w:r>
      <w:r w:rsidRPr="00B12FE0">
        <w:rPr>
          <w:bCs/>
          <w:color w:val="000000" w:themeColor="text1"/>
        </w:rPr>
        <w:t>每年工作</w:t>
      </w:r>
      <w:r w:rsidRPr="00B12FE0">
        <w:rPr>
          <w:bCs/>
          <w:color w:val="000000" w:themeColor="text1"/>
        </w:rPr>
        <w:t>250</w:t>
      </w:r>
      <w:r w:rsidRPr="00B12FE0">
        <w:rPr>
          <w:bCs/>
          <w:color w:val="000000" w:themeColor="text1"/>
        </w:rPr>
        <w:t>天，每周工作</w:t>
      </w:r>
      <w:r w:rsidRPr="00B12FE0">
        <w:rPr>
          <w:bCs/>
          <w:color w:val="000000" w:themeColor="text1"/>
        </w:rPr>
        <w:t>5</w:t>
      </w:r>
      <w:r w:rsidRPr="00B12FE0">
        <w:rPr>
          <w:bCs/>
          <w:color w:val="000000" w:themeColor="text1"/>
        </w:rPr>
        <w:t>天，日最大就诊人数为</w:t>
      </w:r>
      <w:r w:rsidRPr="00B12FE0">
        <w:rPr>
          <w:bCs/>
          <w:color w:val="000000" w:themeColor="text1"/>
        </w:rPr>
        <w:t>10</w:t>
      </w:r>
      <w:r w:rsidRPr="00B12FE0">
        <w:rPr>
          <w:bCs/>
          <w:color w:val="000000" w:themeColor="text1"/>
        </w:rPr>
        <w:t>人</w:t>
      </w:r>
      <w:r w:rsidRPr="00B12FE0">
        <w:rPr>
          <w:rFonts w:hint="eastAsia"/>
          <w:bCs/>
          <w:color w:val="000000" w:themeColor="text1"/>
        </w:rPr>
        <w:t>，</w:t>
      </w:r>
      <w:r w:rsidRPr="00B12FE0">
        <w:rPr>
          <w:color w:val="000000" w:themeColor="text1"/>
          <w:szCs w:val="24"/>
        </w:rPr>
        <w:t>年</w:t>
      </w:r>
      <w:r w:rsidRPr="00B12FE0">
        <w:rPr>
          <w:rFonts w:hint="eastAsia"/>
          <w:color w:val="000000" w:themeColor="text1"/>
          <w:szCs w:val="24"/>
        </w:rPr>
        <w:t>治疗</w:t>
      </w:r>
      <w:r w:rsidRPr="00B12FE0">
        <w:rPr>
          <w:color w:val="000000" w:themeColor="text1"/>
          <w:szCs w:val="24"/>
        </w:rPr>
        <w:t>患者</w:t>
      </w:r>
      <w:r w:rsidRPr="00B12FE0">
        <w:rPr>
          <w:rFonts w:hint="eastAsia"/>
          <w:color w:val="000000" w:themeColor="text1"/>
          <w:szCs w:val="24"/>
        </w:rPr>
        <w:t>2500</w:t>
      </w:r>
      <w:r w:rsidRPr="00B12FE0">
        <w:rPr>
          <w:color w:val="000000" w:themeColor="text1"/>
          <w:szCs w:val="24"/>
        </w:rPr>
        <w:t>人。</w:t>
      </w:r>
      <w:r w:rsidRPr="00B12FE0">
        <w:rPr>
          <w:color w:val="000000" w:themeColor="text1"/>
        </w:rPr>
        <w:t>甲亢治疗</w:t>
      </w:r>
      <w:r w:rsidRPr="00B12FE0">
        <w:rPr>
          <w:bCs/>
          <w:color w:val="000000" w:themeColor="text1"/>
        </w:rPr>
        <w:t>核素</w:t>
      </w:r>
      <w:proofErr w:type="gramStart"/>
      <w:r w:rsidRPr="00B12FE0">
        <w:rPr>
          <w:bCs/>
          <w:color w:val="000000" w:themeColor="text1"/>
        </w:rPr>
        <w:t>单人次</w:t>
      </w:r>
      <w:proofErr w:type="gramEnd"/>
      <w:r w:rsidRPr="00B12FE0">
        <w:rPr>
          <w:bCs/>
          <w:color w:val="000000" w:themeColor="text1"/>
        </w:rPr>
        <w:t>最大使用量为</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bCs/>
          <w:color w:val="000000" w:themeColor="text1"/>
        </w:rPr>
        <w:t>（</w:t>
      </w:r>
      <w:r w:rsidRPr="00B12FE0">
        <w:rPr>
          <w:bCs/>
          <w:color w:val="000000" w:themeColor="text1"/>
        </w:rPr>
        <w:t>10mCi</w:t>
      </w:r>
      <w:r w:rsidRPr="00B12FE0">
        <w:rPr>
          <w:bCs/>
          <w:color w:val="000000" w:themeColor="text1"/>
        </w:rPr>
        <w:t>）</w:t>
      </w:r>
      <w:r w:rsidRPr="00B12FE0">
        <w:rPr>
          <w:color w:val="000000" w:themeColor="text1"/>
        </w:rPr>
        <w:t>。</w:t>
      </w:r>
    </w:p>
    <w:p w14:paraId="5D1AD791" w14:textId="77777777" w:rsidR="00A67F21" w:rsidRPr="00B12FE0" w:rsidRDefault="00000000">
      <w:pPr>
        <w:adjustRightInd w:val="0"/>
        <w:snapToGrid w:val="0"/>
        <w:spacing w:line="360" w:lineRule="auto"/>
        <w:jc w:val="center"/>
        <w:rPr>
          <w:bCs/>
          <w:color w:val="000000" w:themeColor="text1"/>
          <w:sz w:val="21"/>
          <w:szCs w:val="21"/>
        </w:rPr>
      </w:pPr>
      <w:r w:rsidRPr="00B12FE0">
        <w:rPr>
          <w:b/>
          <w:bCs/>
          <w:color w:val="000000" w:themeColor="text1"/>
          <w:sz w:val="21"/>
          <w:szCs w:val="21"/>
        </w:rPr>
        <w:t>表</w:t>
      </w:r>
      <w:r w:rsidRPr="00B12FE0">
        <w:rPr>
          <w:rFonts w:hint="eastAsia"/>
          <w:b/>
          <w:bCs/>
          <w:color w:val="000000" w:themeColor="text1"/>
          <w:sz w:val="21"/>
          <w:szCs w:val="21"/>
        </w:rPr>
        <w:t>9.1.1.3-5</w:t>
      </w:r>
      <w:r w:rsidRPr="00B12FE0">
        <w:rPr>
          <w:b/>
          <w:bCs/>
          <w:color w:val="000000" w:themeColor="text1"/>
          <w:sz w:val="21"/>
          <w:szCs w:val="21"/>
        </w:rPr>
        <w:t xml:space="preserve">  </w:t>
      </w:r>
      <w:r w:rsidRPr="00B12FE0">
        <w:rPr>
          <w:rFonts w:hint="eastAsia"/>
          <w:b/>
          <w:bCs/>
          <w:color w:val="000000" w:themeColor="text1"/>
          <w:sz w:val="21"/>
          <w:szCs w:val="21"/>
        </w:rPr>
        <w:t>甲亢治疗</w:t>
      </w:r>
      <w:r w:rsidRPr="00B12FE0">
        <w:rPr>
          <w:b/>
          <w:bCs/>
          <w:color w:val="000000" w:themeColor="text1"/>
          <w:sz w:val="21"/>
          <w:szCs w:val="21"/>
        </w:rPr>
        <w:t>项目诊疗规划</w:t>
      </w:r>
    </w:p>
    <w:tbl>
      <w:tblPr>
        <w:tblStyle w:val="affff"/>
        <w:tblW w:w="5000" w:type="pct"/>
        <w:jc w:val="center"/>
        <w:tblLook w:val="04A0" w:firstRow="1" w:lastRow="0" w:firstColumn="1" w:lastColumn="0" w:noHBand="0" w:noVBand="1"/>
      </w:tblPr>
      <w:tblGrid>
        <w:gridCol w:w="1274"/>
        <w:gridCol w:w="995"/>
        <w:gridCol w:w="1262"/>
        <w:gridCol w:w="1720"/>
        <w:gridCol w:w="1261"/>
        <w:gridCol w:w="2505"/>
      </w:tblGrid>
      <w:tr w:rsidR="00A67F21" w:rsidRPr="00B12FE0" w14:paraId="515073A2" w14:textId="77777777">
        <w:trPr>
          <w:trHeight w:val="454"/>
          <w:jc w:val="center"/>
        </w:trPr>
        <w:tc>
          <w:tcPr>
            <w:tcW w:w="706" w:type="pct"/>
            <w:vAlign w:val="center"/>
          </w:tcPr>
          <w:p w14:paraId="69CCCA56" w14:textId="77777777" w:rsidR="00A67F21" w:rsidRPr="00B12FE0" w:rsidRDefault="00000000">
            <w:pPr>
              <w:adjustRightInd w:val="0"/>
              <w:snapToGrid w:val="0"/>
              <w:jc w:val="center"/>
              <w:rPr>
                <w:b/>
                <w:color w:val="000000" w:themeColor="text1"/>
                <w:sz w:val="21"/>
                <w:szCs w:val="21"/>
              </w:rPr>
            </w:pPr>
            <w:r w:rsidRPr="00B12FE0">
              <w:rPr>
                <w:rFonts w:hint="eastAsia"/>
                <w:b/>
                <w:color w:val="000000" w:themeColor="text1"/>
                <w:sz w:val="21"/>
                <w:szCs w:val="21"/>
              </w:rPr>
              <w:t>诊疗项目</w:t>
            </w:r>
          </w:p>
        </w:tc>
        <w:tc>
          <w:tcPr>
            <w:tcW w:w="552" w:type="pct"/>
            <w:vAlign w:val="center"/>
          </w:tcPr>
          <w:p w14:paraId="707B3E53" w14:textId="77777777" w:rsidR="00A67F21" w:rsidRPr="00B12FE0" w:rsidRDefault="00000000">
            <w:pPr>
              <w:adjustRightInd w:val="0"/>
              <w:snapToGrid w:val="0"/>
              <w:jc w:val="center"/>
              <w:rPr>
                <w:b/>
                <w:color w:val="000000" w:themeColor="text1"/>
                <w:sz w:val="21"/>
                <w:szCs w:val="21"/>
              </w:rPr>
            </w:pPr>
            <w:r w:rsidRPr="00B12FE0">
              <w:rPr>
                <w:rFonts w:hint="eastAsia"/>
                <w:b/>
                <w:color w:val="000000" w:themeColor="text1"/>
                <w:sz w:val="21"/>
                <w:szCs w:val="21"/>
              </w:rPr>
              <w:t>诊疗</w:t>
            </w:r>
            <w:r w:rsidRPr="00B12FE0">
              <w:rPr>
                <w:b/>
                <w:color w:val="000000" w:themeColor="text1"/>
                <w:sz w:val="21"/>
                <w:szCs w:val="21"/>
              </w:rPr>
              <w:t>核素</w:t>
            </w:r>
          </w:p>
        </w:tc>
        <w:tc>
          <w:tcPr>
            <w:tcW w:w="700" w:type="pct"/>
            <w:vAlign w:val="center"/>
          </w:tcPr>
          <w:p w14:paraId="4312E45F"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患者数量</w:t>
            </w:r>
          </w:p>
        </w:tc>
        <w:tc>
          <w:tcPr>
            <w:tcW w:w="954" w:type="pct"/>
            <w:vAlign w:val="center"/>
          </w:tcPr>
          <w:p w14:paraId="46CFF1D8"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核素用量</w:t>
            </w:r>
          </w:p>
        </w:tc>
        <w:tc>
          <w:tcPr>
            <w:tcW w:w="699" w:type="pct"/>
            <w:vAlign w:val="center"/>
          </w:tcPr>
          <w:p w14:paraId="327DC370"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给药</w:t>
            </w:r>
            <w:r w:rsidRPr="00B12FE0">
              <w:rPr>
                <w:rFonts w:hint="eastAsia"/>
                <w:b/>
                <w:color w:val="000000" w:themeColor="text1"/>
                <w:sz w:val="21"/>
                <w:szCs w:val="21"/>
              </w:rPr>
              <w:t>方式</w:t>
            </w:r>
          </w:p>
        </w:tc>
        <w:tc>
          <w:tcPr>
            <w:tcW w:w="1390" w:type="pct"/>
            <w:vAlign w:val="center"/>
          </w:tcPr>
          <w:p w14:paraId="1DBF5C9B" w14:textId="77777777" w:rsidR="00A67F21" w:rsidRPr="00B12FE0" w:rsidRDefault="00000000">
            <w:pPr>
              <w:adjustRightInd w:val="0"/>
              <w:snapToGrid w:val="0"/>
              <w:jc w:val="center"/>
              <w:rPr>
                <w:b/>
                <w:color w:val="000000" w:themeColor="text1"/>
                <w:sz w:val="21"/>
                <w:szCs w:val="21"/>
              </w:rPr>
            </w:pPr>
            <w:r w:rsidRPr="00B12FE0">
              <w:rPr>
                <w:b/>
                <w:color w:val="000000" w:themeColor="text1"/>
                <w:sz w:val="21"/>
                <w:szCs w:val="21"/>
              </w:rPr>
              <w:t>来源</w:t>
            </w:r>
          </w:p>
        </w:tc>
      </w:tr>
      <w:tr w:rsidR="00A67F21" w:rsidRPr="00B12FE0" w14:paraId="0EDC9C5E" w14:textId="77777777">
        <w:trPr>
          <w:trHeight w:val="454"/>
          <w:jc w:val="center"/>
        </w:trPr>
        <w:tc>
          <w:tcPr>
            <w:tcW w:w="706" w:type="pct"/>
            <w:vAlign w:val="center"/>
          </w:tcPr>
          <w:p w14:paraId="1670F91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甲亢治疗</w:t>
            </w:r>
          </w:p>
        </w:tc>
        <w:tc>
          <w:tcPr>
            <w:tcW w:w="552" w:type="pct"/>
            <w:vAlign w:val="center"/>
          </w:tcPr>
          <w:p w14:paraId="071024F9" w14:textId="77777777" w:rsidR="00A67F21" w:rsidRPr="00B12FE0" w:rsidRDefault="00000000">
            <w:pPr>
              <w:adjustRightInd w:val="0"/>
              <w:snapToGrid w:val="0"/>
              <w:jc w:val="center"/>
              <w:rPr>
                <w:bCs/>
                <w:color w:val="000000" w:themeColor="text1"/>
                <w:szCs w:val="24"/>
                <w:vertAlign w:val="superscript"/>
              </w:rPr>
            </w:pPr>
            <w:r w:rsidRPr="00B12FE0">
              <w:rPr>
                <w:bCs/>
                <w:color w:val="000000" w:themeColor="text1"/>
                <w:szCs w:val="24"/>
                <w:vertAlign w:val="superscript"/>
              </w:rPr>
              <w:t>1</w:t>
            </w:r>
            <w:r w:rsidRPr="00B12FE0">
              <w:rPr>
                <w:rFonts w:hint="eastAsia"/>
                <w:bCs/>
                <w:color w:val="000000" w:themeColor="text1"/>
                <w:szCs w:val="24"/>
                <w:vertAlign w:val="superscript"/>
              </w:rPr>
              <w:t>31</w:t>
            </w:r>
            <w:r w:rsidRPr="00B12FE0">
              <w:rPr>
                <w:rFonts w:hint="eastAsia"/>
                <w:bCs/>
                <w:color w:val="000000" w:themeColor="text1"/>
                <w:szCs w:val="24"/>
              </w:rPr>
              <w:t>I</w:t>
            </w:r>
          </w:p>
        </w:tc>
        <w:tc>
          <w:tcPr>
            <w:tcW w:w="700" w:type="pct"/>
            <w:vAlign w:val="center"/>
          </w:tcPr>
          <w:p w14:paraId="11671A7C"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10</w:t>
            </w:r>
            <w:r w:rsidRPr="00B12FE0">
              <w:rPr>
                <w:bCs/>
                <w:color w:val="000000" w:themeColor="text1"/>
                <w:sz w:val="21"/>
                <w:szCs w:val="21"/>
              </w:rPr>
              <w:t>人</w:t>
            </w:r>
            <w:r w:rsidRPr="00B12FE0">
              <w:rPr>
                <w:bCs/>
                <w:color w:val="000000" w:themeColor="text1"/>
                <w:sz w:val="21"/>
                <w:szCs w:val="21"/>
              </w:rPr>
              <w:t>/</w:t>
            </w:r>
            <w:r w:rsidRPr="00B12FE0">
              <w:rPr>
                <w:bCs/>
                <w:color w:val="000000" w:themeColor="text1"/>
                <w:sz w:val="21"/>
                <w:szCs w:val="21"/>
              </w:rPr>
              <w:t>天</w:t>
            </w:r>
            <w:r w:rsidRPr="00B12FE0">
              <w:rPr>
                <w:rFonts w:hint="eastAsia"/>
                <w:bCs/>
                <w:color w:val="000000" w:themeColor="text1"/>
                <w:sz w:val="21"/>
                <w:szCs w:val="21"/>
              </w:rPr>
              <w:t>/</w:t>
            </w:r>
            <w:r w:rsidRPr="00B12FE0">
              <w:rPr>
                <w:rFonts w:hint="eastAsia"/>
                <w:bCs/>
                <w:color w:val="000000" w:themeColor="text1"/>
                <w:sz w:val="21"/>
                <w:szCs w:val="21"/>
              </w:rPr>
              <w:t>周</w:t>
            </w:r>
          </w:p>
        </w:tc>
        <w:tc>
          <w:tcPr>
            <w:tcW w:w="954" w:type="pct"/>
            <w:vAlign w:val="center"/>
          </w:tcPr>
          <w:p w14:paraId="3B6FB91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3.7E+08</w:t>
            </w:r>
            <w:r w:rsidRPr="00B12FE0">
              <w:rPr>
                <w:color w:val="000000" w:themeColor="text1"/>
                <w:sz w:val="21"/>
                <w:szCs w:val="21"/>
              </w:rPr>
              <w:t>Bq/</w:t>
            </w:r>
            <w:r w:rsidRPr="00B12FE0">
              <w:rPr>
                <w:color w:val="000000" w:themeColor="text1"/>
                <w:sz w:val="21"/>
                <w:szCs w:val="21"/>
              </w:rPr>
              <w:t>人</w:t>
            </w:r>
          </w:p>
        </w:tc>
        <w:tc>
          <w:tcPr>
            <w:tcW w:w="699" w:type="pct"/>
            <w:vAlign w:val="center"/>
          </w:tcPr>
          <w:p w14:paraId="481CDAC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口服</w:t>
            </w:r>
          </w:p>
        </w:tc>
        <w:tc>
          <w:tcPr>
            <w:tcW w:w="1390" w:type="pct"/>
            <w:vAlign w:val="center"/>
          </w:tcPr>
          <w:p w14:paraId="1603122A"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外购药物，自动分装</w:t>
            </w:r>
          </w:p>
        </w:tc>
      </w:tr>
    </w:tbl>
    <w:p w14:paraId="40678416" w14:textId="77777777" w:rsidR="00A67F21" w:rsidRPr="00B12FE0" w:rsidRDefault="00000000">
      <w:pPr>
        <w:adjustRightInd w:val="0"/>
        <w:spacing w:beforeLines="50" w:before="120" w:line="360" w:lineRule="auto"/>
        <w:ind w:firstLine="482"/>
        <w:jc w:val="left"/>
        <w:rPr>
          <w:b/>
          <w:bCs/>
          <w:color w:val="000000" w:themeColor="text1"/>
        </w:rPr>
      </w:pPr>
      <w:r w:rsidRPr="00B12FE0">
        <w:rPr>
          <w:rFonts w:hint="eastAsia"/>
          <w:b/>
          <w:bCs/>
          <w:color w:val="000000" w:themeColor="text1"/>
        </w:rPr>
        <w:t>（</w:t>
      </w:r>
      <w:r w:rsidRPr="00B12FE0">
        <w:rPr>
          <w:rFonts w:hint="eastAsia"/>
          <w:b/>
          <w:bCs/>
          <w:color w:val="000000" w:themeColor="text1"/>
        </w:rPr>
        <w:t>3</w:t>
      </w:r>
      <w:r w:rsidRPr="00B12FE0">
        <w:rPr>
          <w:rFonts w:hint="eastAsia"/>
          <w:b/>
          <w:bCs/>
          <w:color w:val="000000" w:themeColor="text1"/>
        </w:rPr>
        <w:t>）</w:t>
      </w:r>
      <w:r w:rsidRPr="00B12FE0">
        <w:rPr>
          <w:b/>
          <w:bCs/>
          <w:color w:val="000000" w:themeColor="text1"/>
        </w:rPr>
        <w:t>工艺流程</w:t>
      </w:r>
      <w:proofErr w:type="gramStart"/>
      <w:r w:rsidRPr="00B12FE0">
        <w:rPr>
          <w:rFonts w:hint="eastAsia"/>
          <w:b/>
          <w:bCs/>
          <w:color w:val="000000" w:themeColor="text1"/>
        </w:rPr>
        <w:t>与</w:t>
      </w:r>
      <w:r w:rsidRPr="00B12FE0">
        <w:rPr>
          <w:b/>
          <w:bCs/>
          <w:color w:val="000000" w:themeColor="text1"/>
        </w:rPr>
        <w:t>产污环节</w:t>
      </w:r>
      <w:proofErr w:type="gramEnd"/>
    </w:p>
    <w:p w14:paraId="5E4313D6" w14:textId="77777777" w:rsidR="00A67F21" w:rsidRPr="00B12FE0" w:rsidRDefault="00000000">
      <w:pPr>
        <w:spacing w:line="360" w:lineRule="auto"/>
        <w:ind w:firstLine="480"/>
        <w:rPr>
          <w:color w:val="000000" w:themeColor="text1"/>
        </w:rPr>
      </w:pPr>
      <w:r w:rsidRPr="00B12FE0">
        <w:rPr>
          <w:rFonts w:hint="eastAsia"/>
          <w:color w:val="000000" w:themeColor="text1"/>
        </w:rPr>
        <w:t>①订药：</w:t>
      </w:r>
      <w:r w:rsidRPr="00B12FE0">
        <w:rPr>
          <w:color w:val="000000" w:themeColor="text1"/>
        </w:rPr>
        <w:t>本项目</w:t>
      </w:r>
      <w:r w:rsidRPr="00B12FE0">
        <w:rPr>
          <w:color w:val="000000" w:themeColor="text1"/>
          <w:vertAlign w:val="superscript"/>
        </w:rPr>
        <w:t>131</w:t>
      </w:r>
      <w:r w:rsidRPr="00B12FE0">
        <w:rPr>
          <w:color w:val="000000" w:themeColor="text1"/>
        </w:rPr>
        <w:t>I</w:t>
      </w:r>
      <w:r w:rsidRPr="00B12FE0">
        <w:rPr>
          <w:rFonts w:hint="eastAsia"/>
          <w:color w:val="000000" w:themeColor="text1"/>
        </w:rPr>
        <w:t>为药罐装载货</w:t>
      </w:r>
      <w:proofErr w:type="gramStart"/>
      <w:r w:rsidRPr="00B12FE0">
        <w:rPr>
          <w:rFonts w:hint="eastAsia"/>
          <w:color w:val="000000" w:themeColor="text1"/>
        </w:rPr>
        <w:t>包形式</w:t>
      </w:r>
      <w:proofErr w:type="gramEnd"/>
      <w:r w:rsidRPr="00B12FE0">
        <w:rPr>
          <w:rFonts w:hint="eastAsia"/>
          <w:color w:val="000000" w:themeColor="text1"/>
        </w:rPr>
        <w:t>的</w:t>
      </w:r>
      <w:r w:rsidRPr="00B12FE0">
        <w:rPr>
          <w:color w:val="000000" w:themeColor="text1"/>
        </w:rPr>
        <w:t>外购</w:t>
      </w:r>
      <w:r w:rsidRPr="00B12FE0">
        <w:rPr>
          <w:rFonts w:hint="eastAsia"/>
          <w:color w:val="000000" w:themeColor="text1"/>
        </w:rPr>
        <w:t>药物。工作人员根据临床诊断所需用药量、患者预约情况，提前一天向放射性核素供应单位订购药品，在约定的时间由药物供应单位负责运送至核医学核素治疗场所，安排专人接收放射性核素，经确认无误完成相关交接、登记手续后，暂存在储源室。药物当日用完，</w:t>
      </w:r>
      <w:r w:rsidRPr="00B12FE0">
        <w:rPr>
          <w:color w:val="000000" w:themeColor="text1"/>
        </w:rPr>
        <w:t>不贮存。</w:t>
      </w:r>
    </w:p>
    <w:p w14:paraId="4E5CDC65" w14:textId="77777777" w:rsidR="00A67F21" w:rsidRPr="00B12FE0" w:rsidRDefault="00000000">
      <w:pPr>
        <w:spacing w:line="360" w:lineRule="auto"/>
        <w:ind w:firstLine="480"/>
        <w:rPr>
          <w:color w:val="000000" w:themeColor="text1"/>
        </w:rPr>
      </w:pPr>
      <w:r w:rsidRPr="00B12FE0">
        <w:rPr>
          <w:rFonts w:hint="eastAsia"/>
          <w:color w:val="000000" w:themeColor="text1"/>
        </w:rPr>
        <w:t>②给药：</w:t>
      </w:r>
      <w:r w:rsidRPr="00B12FE0">
        <w:rPr>
          <w:color w:val="000000" w:themeColor="text1"/>
        </w:rPr>
        <w:t>医护人员</w:t>
      </w:r>
      <w:r w:rsidRPr="00B12FE0">
        <w:rPr>
          <w:rFonts w:hint="eastAsia"/>
          <w:color w:val="000000" w:themeColor="text1"/>
        </w:rPr>
        <w:t>从储源室取出</w:t>
      </w:r>
      <w:r w:rsidRPr="00B12FE0">
        <w:rPr>
          <w:rFonts w:hint="eastAsia"/>
          <w:color w:val="000000" w:themeColor="text1"/>
          <w:vertAlign w:val="superscript"/>
        </w:rPr>
        <w:t>131</w:t>
      </w:r>
      <w:r w:rsidRPr="00B12FE0">
        <w:rPr>
          <w:rFonts w:hint="eastAsia"/>
          <w:color w:val="000000" w:themeColor="text1"/>
        </w:rPr>
        <w:t>I</w:t>
      </w:r>
      <w:r w:rsidRPr="00B12FE0">
        <w:rPr>
          <w:rFonts w:hint="eastAsia"/>
          <w:color w:val="000000" w:themeColor="text1"/>
        </w:rPr>
        <w:t>铅罐，转移并安装于</w:t>
      </w:r>
      <w:proofErr w:type="gramStart"/>
      <w:r w:rsidRPr="00B12FE0">
        <w:rPr>
          <w:rFonts w:hint="eastAsia"/>
          <w:color w:val="000000" w:themeColor="text1"/>
        </w:rPr>
        <w:t>服碘室</w:t>
      </w:r>
      <w:proofErr w:type="gramEnd"/>
      <w:r w:rsidRPr="00B12FE0">
        <w:rPr>
          <w:rFonts w:hint="eastAsia"/>
          <w:color w:val="000000" w:themeColor="text1"/>
        </w:rPr>
        <w:t>的</w:t>
      </w:r>
      <w:r w:rsidRPr="00B12FE0">
        <w:rPr>
          <w:color w:val="000000" w:themeColor="text1"/>
        </w:rPr>
        <w:t>自动</w:t>
      </w:r>
      <w:proofErr w:type="gramStart"/>
      <w:r w:rsidRPr="00B12FE0">
        <w:rPr>
          <w:color w:val="000000" w:themeColor="text1"/>
        </w:rPr>
        <w:t>分碘仪</w:t>
      </w:r>
      <w:proofErr w:type="gramEnd"/>
      <w:r w:rsidRPr="00B12FE0">
        <w:rPr>
          <w:rFonts w:hint="eastAsia"/>
          <w:color w:val="000000" w:themeColor="text1"/>
        </w:rPr>
        <w:t>中</w:t>
      </w:r>
      <w:r w:rsidRPr="00B12FE0">
        <w:rPr>
          <w:color w:val="000000" w:themeColor="text1"/>
        </w:rPr>
        <w:t>。</w:t>
      </w:r>
      <w:r w:rsidRPr="00B12FE0">
        <w:rPr>
          <w:rFonts w:hint="eastAsia"/>
          <w:color w:val="000000" w:themeColor="text1"/>
        </w:rPr>
        <w:t>远程</w:t>
      </w:r>
      <w:r w:rsidRPr="00B12FE0">
        <w:rPr>
          <w:color w:val="000000" w:themeColor="text1"/>
        </w:rPr>
        <w:t>通过电脑控制系统操作自动</w:t>
      </w:r>
      <w:proofErr w:type="gramStart"/>
      <w:r w:rsidRPr="00B12FE0">
        <w:rPr>
          <w:color w:val="000000" w:themeColor="text1"/>
        </w:rPr>
        <w:t>分碘仪</w:t>
      </w:r>
      <w:proofErr w:type="gramEnd"/>
      <w:r w:rsidRPr="00B12FE0">
        <w:rPr>
          <w:color w:val="000000" w:themeColor="text1"/>
        </w:rPr>
        <w:t>自动分装药物，</w:t>
      </w:r>
      <w:r w:rsidRPr="00B12FE0">
        <w:rPr>
          <w:rFonts w:hint="eastAsia"/>
          <w:color w:val="000000" w:themeColor="text1"/>
        </w:rPr>
        <w:t>通过视频及</w:t>
      </w:r>
      <w:r w:rsidRPr="00B12FE0">
        <w:rPr>
          <w:color w:val="000000" w:themeColor="text1"/>
        </w:rPr>
        <w:t>语音</w:t>
      </w:r>
      <w:r w:rsidRPr="00B12FE0">
        <w:rPr>
          <w:rFonts w:hint="eastAsia"/>
          <w:color w:val="000000" w:themeColor="text1"/>
        </w:rPr>
        <w:t>系统</w:t>
      </w:r>
      <w:r w:rsidRPr="00B12FE0">
        <w:rPr>
          <w:color w:val="000000" w:themeColor="text1"/>
        </w:rPr>
        <w:t>指导患者在</w:t>
      </w:r>
      <w:proofErr w:type="gramStart"/>
      <w:r w:rsidRPr="00B12FE0">
        <w:rPr>
          <w:rFonts w:hint="eastAsia"/>
          <w:color w:val="000000" w:themeColor="text1"/>
        </w:rPr>
        <w:t>服碘室</w:t>
      </w:r>
      <w:proofErr w:type="gramEnd"/>
      <w:r w:rsidRPr="00B12FE0">
        <w:rPr>
          <w:color w:val="000000" w:themeColor="text1"/>
        </w:rPr>
        <w:t>服药</w:t>
      </w:r>
      <w:r w:rsidRPr="00B12FE0">
        <w:rPr>
          <w:rFonts w:hint="eastAsia"/>
          <w:color w:val="000000" w:themeColor="text1"/>
        </w:rPr>
        <w:t>。</w:t>
      </w:r>
    </w:p>
    <w:p w14:paraId="5B7FFEDC"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③患者离开：</w:t>
      </w:r>
      <w:r w:rsidRPr="00B12FE0">
        <w:rPr>
          <w:rFonts w:hAnsi="宋体" w:hint="eastAsia"/>
          <w:color w:val="000000" w:themeColor="text1"/>
        </w:rPr>
        <w:t>本项目</w:t>
      </w:r>
      <w:r w:rsidRPr="00B12FE0">
        <w:rPr>
          <w:rFonts w:hAnsi="宋体" w:hint="eastAsia"/>
          <w:color w:val="000000" w:themeColor="text1"/>
          <w:vertAlign w:val="superscript"/>
        </w:rPr>
        <w:t>131</w:t>
      </w:r>
      <w:r w:rsidRPr="00B12FE0">
        <w:rPr>
          <w:rFonts w:hAnsi="宋体" w:hint="eastAsia"/>
          <w:color w:val="000000" w:themeColor="text1"/>
        </w:rPr>
        <w:t>I</w:t>
      </w:r>
      <w:r w:rsidRPr="00B12FE0">
        <w:rPr>
          <w:rFonts w:hAnsi="宋体" w:hint="eastAsia"/>
          <w:color w:val="000000" w:themeColor="text1"/>
        </w:rPr>
        <w:t>甲亢治疗患者单人用药量为</w:t>
      </w:r>
      <w:r w:rsidRPr="00B12FE0">
        <w:rPr>
          <w:bCs/>
          <w:color w:val="000000" w:themeColor="text1"/>
        </w:rPr>
        <w:t>370</w:t>
      </w:r>
      <w:r w:rsidRPr="00B12FE0">
        <w:rPr>
          <w:color w:val="000000" w:themeColor="text1"/>
        </w:rPr>
        <w:t>M</w:t>
      </w:r>
      <w:r w:rsidRPr="00B12FE0">
        <w:rPr>
          <w:bCs/>
          <w:color w:val="000000" w:themeColor="text1"/>
        </w:rPr>
        <w:t>Bq</w:t>
      </w:r>
      <w:r w:rsidRPr="00B12FE0">
        <w:rPr>
          <w:rFonts w:hAnsi="宋体" w:hint="eastAsia"/>
          <w:color w:val="000000" w:themeColor="text1"/>
        </w:rPr>
        <w:t>（</w:t>
      </w:r>
      <w:r w:rsidRPr="00B12FE0">
        <w:rPr>
          <w:rFonts w:hAnsi="宋体" w:hint="eastAsia"/>
          <w:color w:val="000000" w:themeColor="text1"/>
        </w:rPr>
        <w:t>10mCi</w:t>
      </w:r>
      <w:r w:rsidRPr="00B12FE0">
        <w:rPr>
          <w:rFonts w:hAnsi="宋体" w:hint="eastAsia"/>
          <w:color w:val="000000" w:themeColor="text1"/>
        </w:rPr>
        <w:t>），体内放射性活度低于</w:t>
      </w:r>
      <w:r w:rsidRPr="00B12FE0">
        <w:rPr>
          <w:rFonts w:hAnsi="宋体" w:hint="eastAsia"/>
          <w:color w:val="000000" w:themeColor="text1"/>
        </w:rPr>
        <w:t>400MBq</w:t>
      </w:r>
      <w:r w:rsidRPr="00B12FE0">
        <w:rPr>
          <w:rFonts w:hAnsi="宋体" w:hint="eastAsia"/>
          <w:color w:val="000000" w:themeColor="text1"/>
        </w:rPr>
        <w:t>，根据《核医学辐射防护与安全要求》（</w:t>
      </w:r>
      <w:r w:rsidRPr="00B12FE0">
        <w:rPr>
          <w:rFonts w:hAnsi="宋体" w:hint="eastAsia"/>
          <w:color w:val="000000" w:themeColor="text1"/>
        </w:rPr>
        <w:t>HJ1188-2021</w:t>
      </w:r>
      <w:r w:rsidRPr="00B12FE0">
        <w:rPr>
          <w:rFonts w:hAnsi="宋体" w:hint="eastAsia"/>
          <w:color w:val="000000" w:themeColor="text1"/>
        </w:rPr>
        <w:t>），甲亢患者服药后可不必住院，</w:t>
      </w:r>
      <w:r w:rsidRPr="00B12FE0">
        <w:rPr>
          <w:rFonts w:hint="eastAsia"/>
          <w:color w:val="000000" w:themeColor="text1"/>
        </w:rPr>
        <w:t>在甲亢</w:t>
      </w:r>
      <w:proofErr w:type="gramStart"/>
      <w:r w:rsidRPr="00B12FE0">
        <w:rPr>
          <w:rFonts w:hint="eastAsia"/>
          <w:color w:val="000000" w:themeColor="text1"/>
        </w:rPr>
        <w:t>留观室</w:t>
      </w:r>
      <w:r w:rsidRPr="00B12FE0">
        <w:rPr>
          <w:color w:val="000000" w:themeColor="text1"/>
        </w:rPr>
        <w:t>短暂</w:t>
      </w:r>
      <w:r w:rsidRPr="00B12FE0">
        <w:rPr>
          <w:rFonts w:hint="eastAsia"/>
          <w:color w:val="000000" w:themeColor="text1"/>
        </w:rPr>
        <w:t>留观</w:t>
      </w:r>
      <w:r w:rsidRPr="00B12FE0">
        <w:rPr>
          <w:color w:val="000000" w:themeColor="text1"/>
        </w:rPr>
        <w:t>约</w:t>
      </w:r>
      <w:proofErr w:type="gramEnd"/>
      <w:r w:rsidRPr="00B12FE0">
        <w:rPr>
          <w:color w:val="000000" w:themeColor="text1"/>
        </w:rPr>
        <w:t>10min</w:t>
      </w:r>
      <w:r w:rsidRPr="00B12FE0">
        <w:rPr>
          <w:color w:val="000000" w:themeColor="text1"/>
        </w:rPr>
        <w:t>，</w:t>
      </w:r>
      <w:r w:rsidRPr="00B12FE0">
        <w:rPr>
          <w:rFonts w:hAnsi="宋体" w:hint="eastAsia"/>
          <w:color w:val="000000" w:themeColor="text1"/>
        </w:rPr>
        <w:t>无碍后</w:t>
      </w:r>
      <w:r w:rsidRPr="00B12FE0">
        <w:rPr>
          <w:rFonts w:hint="eastAsia"/>
          <w:color w:val="000000" w:themeColor="text1"/>
        </w:rPr>
        <w:t>由患者入口进入北侧电梯或楼梯</w:t>
      </w:r>
      <w:r w:rsidRPr="00B12FE0">
        <w:rPr>
          <w:color w:val="000000" w:themeColor="text1"/>
        </w:rPr>
        <w:t>离开</w:t>
      </w:r>
      <w:r w:rsidRPr="00B12FE0">
        <w:rPr>
          <w:rFonts w:hint="eastAsia"/>
          <w:color w:val="000000" w:themeColor="text1"/>
        </w:rPr>
        <w:t>核医学工作场所</w:t>
      </w:r>
      <w:r w:rsidRPr="00B12FE0">
        <w:rPr>
          <w:color w:val="000000" w:themeColor="text1"/>
        </w:rPr>
        <w:t>。</w:t>
      </w:r>
    </w:p>
    <w:p w14:paraId="5861148A"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lastRenderedPageBreak/>
        <w:t>甲亢治疗的工艺流程</w:t>
      </w:r>
      <w:proofErr w:type="gramStart"/>
      <w:r w:rsidRPr="00B12FE0">
        <w:rPr>
          <w:rFonts w:hint="eastAsia"/>
          <w:color w:val="000000" w:themeColor="text1"/>
        </w:rPr>
        <w:t>与产污环节</w:t>
      </w:r>
      <w:proofErr w:type="gramEnd"/>
      <w:r w:rsidRPr="00B12FE0">
        <w:rPr>
          <w:rFonts w:hint="eastAsia"/>
          <w:color w:val="000000" w:themeColor="text1"/>
        </w:rPr>
        <w:t>见图</w:t>
      </w:r>
      <w:r w:rsidRPr="00B12FE0">
        <w:rPr>
          <w:color w:val="000000" w:themeColor="text1"/>
        </w:rPr>
        <w:t>9.1.1.3.7-</w:t>
      </w:r>
      <w:r w:rsidRPr="00B12FE0">
        <w:rPr>
          <w:rFonts w:hint="eastAsia"/>
          <w:color w:val="000000" w:themeColor="text1"/>
        </w:rPr>
        <w:t>9</w:t>
      </w:r>
      <w:r w:rsidRPr="00B12FE0">
        <w:rPr>
          <w:rFonts w:hint="eastAsia"/>
          <w:color w:val="000000" w:themeColor="text1"/>
        </w:rPr>
        <w:t>。</w:t>
      </w:r>
    </w:p>
    <w:p w14:paraId="1F5DCB13" w14:textId="77777777" w:rsidR="00A67F21" w:rsidRPr="00B12FE0" w:rsidRDefault="00000000">
      <w:pPr>
        <w:adjustRightInd w:val="0"/>
        <w:spacing w:line="360" w:lineRule="auto"/>
        <w:jc w:val="center"/>
        <w:rPr>
          <w:b/>
          <w:color w:val="000000" w:themeColor="text1"/>
          <w:sz w:val="21"/>
          <w:szCs w:val="21"/>
        </w:rPr>
      </w:pPr>
      <w:r w:rsidRPr="00B12FE0">
        <w:rPr>
          <w:color w:val="000000" w:themeColor="text1"/>
        </w:rPr>
        <w:object w:dxaOrig="8919" w:dyaOrig="5455" w14:anchorId="10BB2DC2">
          <v:shape id="_x0000_i1027" type="#_x0000_t75" style="width:446.05pt;height:273.05pt" o:ole="">
            <v:imagedata r:id="rId33" o:title=""/>
          </v:shape>
          <o:OLEObject Type="Embed" ProgID="Visio.Drawing.15" ShapeID="_x0000_i1027" DrawAspect="Content" ObjectID="_1843190427" r:id="rId34"/>
        </w:object>
      </w:r>
    </w:p>
    <w:p w14:paraId="6C4462AE" w14:textId="77777777" w:rsidR="00A67F21" w:rsidRPr="00B12FE0" w:rsidRDefault="00000000">
      <w:pPr>
        <w:adjustRightInd w:val="0"/>
        <w:spacing w:line="360" w:lineRule="auto"/>
        <w:jc w:val="center"/>
        <w:rPr>
          <w:b/>
          <w:color w:val="000000" w:themeColor="text1"/>
          <w:sz w:val="21"/>
          <w:szCs w:val="21"/>
        </w:rPr>
      </w:pPr>
      <w:r w:rsidRPr="00B12FE0">
        <w:rPr>
          <w:b/>
          <w:color w:val="000000" w:themeColor="text1"/>
          <w:sz w:val="21"/>
          <w:szCs w:val="21"/>
        </w:rPr>
        <w:t>图</w:t>
      </w:r>
      <w:r w:rsidRPr="00B12FE0">
        <w:rPr>
          <w:b/>
          <w:color w:val="000000" w:themeColor="text1"/>
          <w:sz w:val="21"/>
          <w:szCs w:val="21"/>
        </w:rPr>
        <w:t>9.1.1.3.7-</w:t>
      </w:r>
      <w:r w:rsidRPr="00B12FE0">
        <w:rPr>
          <w:rFonts w:hint="eastAsia"/>
          <w:b/>
          <w:color w:val="000000" w:themeColor="text1"/>
          <w:sz w:val="21"/>
          <w:szCs w:val="21"/>
        </w:rPr>
        <w:t>9</w:t>
      </w:r>
      <w:r w:rsidRPr="00B12FE0">
        <w:rPr>
          <w:rFonts w:hint="eastAsia"/>
          <w:b/>
          <w:color w:val="000000" w:themeColor="text1"/>
          <w:sz w:val="21"/>
          <w:szCs w:val="21"/>
        </w:rPr>
        <w:t>甲亢治疗的工艺流程</w:t>
      </w:r>
      <w:proofErr w:type="gramStart"/>
      <w:r w:rsidRPr="00B12FE0">
        <w:rPr>
          <w:rFonts w:hint="eastAsia"/>
          <w:b/>
          <w:color w:val="000000" w:themeColor="text1"/>
          <w:sz w:val="21"/>
          <w:szCs w:val="21"/>
        </w:rPr>
        <w:t>与产污环节</w:t>
      </w:r>
      <w:proofErr w:type="gramEnd"/>
      <w:r w:rsidRPr="00B12FE0">
        <w:rPr>
          <w:rFonts w:hint="eastAsia"/>
          <w:b/>
          <w:color w:val="000000" w:themeColor="text1"/>
          <w:sz w:val="21"/>
          <w:szCs w:val="21"/>
        </w:rPr>
        <w:t>图</w:t>
      </w:r>
    </w:p>
    <w:p w14:paraId="168A91B1" w14:textId="77777777" w:rsidR="00A67F21" w:rsidRPr="00B12FE0" w:rsidRDefault="00000000">
      <w:pPr>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hint="eastAsia"/>
          <w:color w:val="000000" w:themeColor="text1"/>
          <w:szCs w:val="24"/>
        </w:rPr>
        <w:t>综上所述</w:t>
      </w:r>
      <w:r w:rsidRPr="00B12FE0">
        <w:rPr>
          <w:rFonts w:ascii="宋体" w:hAnsi="宋体"/>
          <w:color w:val="000000" w:themeColor="text1"/>
          <w:szCs w:val="24"/>
        </w:rPr>
        <w:t>，</w:t>
      </w:r>
      <w:r w:rsidRPr="00B12FE0">
        <w:rPr>
          <w:rFonts w:ascii="宋体" w:hAnsi="宋体" w:hint="eastAsia"/>
          <w:color w:val="000000" w:themeColor="text1"/>
          <w:szCs w:val="24"/>
        </w:rPr>
        <w:t>使用</w:t>
      </w:r>
      <w:r w:rsidRPr="00B12FE0">
        <w:rPr>
          <w:rFonts w:hint="eastAsia"/>
          <w:color w:val="000000" w:themeColor="text1"/>
          <w:szCs w:val="24"/>
          <w:vertAlign w:val="superscript"/>
        </w:rPr>
        <w:t>131</w:t>
      </w:r>
      <w:r w:rsidRPr="00B12FE0">
        <w:rPr>
          <w:rFonts w:hint="eastAsia"/>
          <w:color w:val="000000" w:themeColor="text1"/>
          <w:szCs w:val="24"/>
        </w:rPr>
        <w:t>I</w:t>
      </w:r>
      <w:r w:rsidRPr="00B12FE0">
        <w:rPr>
          <w:rFonts w:ascii="宋体" w:hAnsi="宋体" w:hint="eastAsia"/>
          <w:color w:val="000000" w:themeColor="text1"/>
          <w:szCs w:val="24"/>
        </w:rPr>
        <w:t>核素开展甲亢治疗</w:t>
      </w:r>
      <w:r w:rsidRPr="00B12FE0">
        <w:rPr>
          <w:rFonts w:ascii="宋体" w:hAnsi="宋体" w:hint="eastAsia"/>
          <w:bCs/>
          <w:color w:val="000000" w:themeColor="text1"/>
          <w:szCs w:val="24"/>
        </w:rPr>
        <w:t>期间，其</w:t>
      </w:r>
      <w:r w:rsidRPr="00B12FE0">
        <w:rPr>
          <w:rFonts w:ascii="宋体" w:hAnsi="宋体"/>
          <w:color w:val="000000" w:themeColor="text1"/>
          <w:szCs w:val="24"/>
        </w:rPr>
        <w:t>污染因子</w:t>
      </w:r>
      <w:r w:rsidRPr="00B12FE0">
        <w:rPr>
          <w:rFonts w:ascii="宋体" w:hAnsi="宋体" w:hint="eastAsia"/>
          <w:color w:val="000000" w:themeColor="text1"/>
          <w:szCs w:val="24"/>
        </w:rPr>
        <w:t>主要</w:t>
      </w:r>
      <w:r w:rsidRPr="00B12FE0">
        <w:rPr>
          <w:rFonts w:ascii="宋体" w:hAnsi="宋体"/>
          <w:color w:val="000000" w:themeColor="text1"/>
          <w:szCs w:val="24"/>
        </w:rPr>
        <w:t>是</w:t>
      </w:r>
      <w:r w:rsidRPr="00B12FE0">
        <w:rPr>
          <w:color w:val="000000" w:themeColor="text1"/>
          <w:szCs w:val="24"/>
        </w:rPr>
        <w:t>γ</w:t>
      </w:r>
      <w:r w:rsidRPr="00B12FE0">
        <w:rPr>
          <w:rFonts w:ascii="宋体" w:hAnsi="宋体"/>
          <w:color w:val="000000" w:themeColor="text1"/>
          <w:szCs w:val="24"/>
        </w:rPr>
        <w:t>射线、</w:t>
      </w:r>
      <w:r w:rsidRPr="00B12FE0">
        <w:rPr>
          <w:color w:val="000000" w:themeColor="text1"/>
          <w:szCs w:val="24"/>
        </w:rPr>
        <w:t>β</w:t>
      </w:r>
      <w:r w:rsidRPr="00B12FE0">
        <w:rPr>
          <w:rFonts w:ascii="宋体" w:hAnsi="宋体"/>
          <w:color w:val="000000" w:themeColor="text1"/>
          <w:szCs w:val="24"/>
        </w:rPr>
        <w:t>射线、</w:t>
      </w:r>
      <w:r w:rsidRPr="00B12FE0">
        <w:rPr>
          <w:color w:val="000000" w:themeColor="text1"/>
          <w:szCs w:val="24"/>
        </w:rPr>
        <w:t>β</w:t>
      </w:r>
      <w:r w:rsidRPr="00B12FE0">
        <w:rPr>
          <w:rFonts w:ascii="宋体" w:hAnsi="宋体"/>
          <w:color w:val="000000" w:themeColor="text1"/>
          <w:szCs w:val="24"/>
        </w:rPr>
        <w:t>表面污染、</w:t>
      </w:r>
      <w:r w:rsidRPr="00B12FE0">
        <w:rPr>
          <w:rFonts w:ascii="宋体" w:hAnsi="宋体" w:hint="eastAsia"/>
          <w:color w:val="000000" w:themeColor="text1"/>
          <w:szCs w:val="24"/>
        </w:rPr>
        <w:t>放射性固体废物、放射性废水和放射性废气</w:t>
      </w:r>
      <w:r w:rsidRPr="00B12FE0">
        <w:rPr>
          <w:rFonts w:ascii="宋体" w:hAnsi="宋体"/>
          <w:color w:val="000000" w:themeColor="text1"/>
          <w:szCs w:val="24"/>
        </w:rPr>
        <w:t>。</w:t>
      </w:r>
    </w:p>
    <w:p w14:paraId="5D03FD1B" w14:textId="77777777" w:rsidR="00A67F21" w:rsidRPr="00B12FE0" w:rsidRDefault="00000000">
      <w:pPr>
        <w:spacing w:line="360" w:lineRule="auto"/>
        <w:rPr>
          <w:b/>
          <w:color w:val="000000" w:themeColor="text1"/>
          <w:sz w:val="21"/>
          <w:szCs w:val="21"/>
        </w:rPr>
      </w:pPr>
      <w:r w:rsidRPr="00B12FE0">
        <w:rPr>
          <w:b/>
          <w:color w:val="000000" w:themeColor="text1"/>
          <w:szCs w:val="24"/>
        </w:rPr>
        <w:t>9.1.1.</w:t>
      </w:r>
      <w:r w:rsidRPr="00B12FE0">
        <w:rPr>
          <w:rFonts w:hint="eastAsia"/>
          <w:b/>
          <w:color w:val="000000" w:themeColor="text1"/>
          <w:szCs w:val="24"/>
        </w:rPr>
        <w:t>3.8</w:t>
      </w:r>
      <w:r w:rsidRPr="00B12FE0">
        <w:rPr>
          <w:rFonts w:ascii="宋体" w:hAnsi="宋体"/>
          <w:b/>
          <w:color w:val="000000" w:themeColor="text1"/>
          <w:szCs w:val="24"/>
        </w:rPr>
        <w:t>人流</w:t>
      </w:r>
      <w:r w:rsidRPr="00B12FE0">
        <w:rPr>
          <w:rFonts w:ascii="宋体" w:hAnsi="宋体"/>
          <w:b/>
          <w:bCs/>
          <w:color w:val="000000" w:themeColor="text1"/>
          <w:szCs w:val="24"/>
        </w:rPr>
        <w:t>、物流路径规划（见附图</w:t>
      </w:r>
      <w:r w:rsidRPr="00B12FE0">
        <w:rPr>
          <w:rFonts w:hint="eastAsia"/>
          <w:b/>
          <w:bCs/>
          <w:color w:val="000000" w:themeColor="text1"/>
          <w:szCs w:val="24"/>
        </w:rPr>
        <w:t>7</w:t>
      </w:r>
      <w:r w:rsidRPr="00B12FE0">
        <w:rPr>
          <w:rFonts w:ascii="宋体" w:hAnsi="宋体"/>
          <w:b/>
          <w:bCs/>
          <w:color w:val="000000" w:themeColor="text1"/>
          <w:szCs w:val="24"/>
        </w:rPr>
        <w:t>）</w:t>
      </w:r>
    </w:p>
    <w:p w14:paraId="7D11CB6C" w14:textId="77777777" w:rsidR="00A67F21" w:rsidRPr="00B12FE0" w:rsidRDefault="00000000">
      <w:pPr>
        <w:topLinePunct/>
        <w:adjustRightInd w:val="0"/>
        <w:snapToGrid w:val="0"/>
        <w:spacing w:line="360" w:lineRule="auto"/>
        <w:ind w:firstLineChars="200" w:firstLine="482"/>
        <w:rPr>
          <w:b/>
          <w:color w:val="000000" w:themeColor="text1"/>
          <w:sz w:val="21"/>
          <w:szCs w:val="21"/>
        </w:rPr>
      </w:pPr>
      <w:r w:rsidRPr="00B12FE0">
        <w:rPr>
          <w:rFonts w:ascii="Cambria Math" w:hAnsi="Cambria Math" w:cs="Cambria Math"/>
          <w:b/>
          <w:color w:val="000000" w:themeColor="text1"/>
          <w:szCs w:val="24"/>
        </w:rPr>
        <w:t>①</w:t>
      </w:r>
      <w:r w:rsidRPr="00B12FE0">
        <w:rPr>
          <w:rFonts w:ascii="宋体" w:hAnsi="宋体"/>
          <w:b/>
          <w:color w:val="000000" w:themeColor="text1"/>
          <w:szCs w:val="24"/>
        </w:rPr>
        <w:t>工作人员路径</w:t>
      </w:r>
    </w:p>
    <w:p w14:paraId="2EB5ED8A" w14:textId="77777777" w:rsidR="00A67F21" w:rsidRPr="00B12FE0" w:rsidRDefault="00000000">
      <w:pPr>
        <w:autoSpaceDE w:val="0"/>
        <w:adjustRightInd w:val="0"/>
        <w:snapToGrid w:val="0"/>
        <w:spacing w:line="360" w:lineRule="auto"/>
        <w:ind w:firstLineChars="200" w:firstLine="482"/>
        <w:rPr>
          <w:bCs/>
          <w:color w:val="000000" w:themeColor="text1"/>
          <w:szCs w:val="24"/>
        </w:rPr>
      </w:pPr>
      <w:r w:rsidRPr="00B12FE0">
        <w:rPr>
          <w:rFonts w:ascii="宋体" w:hAnsi="宋体" w:hint="eastAsia"/>
          <w:b/>
          <w:bCs/>
          <w:color w:val="000000" w:themeColor="text1"/>
          <w:szCs w:val="24"/>
        </w:rPr>
        <w:t>辐射工作</w:t>
      </w:r>
      <w:r w:rsidRPr="00B12FE0">
        <w:rPr>
          <w:rFonts w:ascii="宋体" w:hAnsi="宋体"/>
          <w:b/>
          <w:bCs/>
          <w:color w:val="000000" w:themeColor="text1"/>
          <w:szCs w:val="24"/>
        </w:rPr>
        <w:t>人员</w:t>
      </w:r>
      <w:r w:rsidRPr="00B12FE0">
        <w:rPr>
          <w:rFonts w:ascii="宋体" w:hAnsi="宋体"/>
          <w:color w:val="000000" w:themeColor="text1"/>
          <w:szCs w:val="24"/>
        </w:rPr>
        <w:t>：医护人员从一层核医学科核素诊断场所北侧的医护通道经</w:t>
      </w:r>
      <w:r w:rsidRPr="00B12FE0">
        <w:rPr>
          <w:rFonts w:ascii="宋体" w:hAnsi="宋体" w:hint="eastAsia"/>
          <w:color w:val="000000" w:themeColor="text1"/>
          <w:szCs w:val="24"/>
        </w:rPr>
        <w:t>更衣、缓冲</w:t>
      </w:r>
      <w:r w:rsidRPr="00B12FE0">
        <w:rPr>
          <w:rFonts w:ascii="宋体" w:hAnsi="宋体"/>
          <w:color w:val="000000" w:themeColor="text1"/>
          <w:szCs w:val="24"/>
        </w:rPr>
        <w:t>进入</w:t>
      </w:r>
      <w:r w:rsidRPr="00B12FE0">
        <w:rPr>
          <w:rFonts w:ascii="宋体" w:hAnsi="宋体" w:hint="eastAsia"/>
          <w:color w:val="000000" w:themeColor="text1"/>
          <w:szCs w:val="24"/>
        </w:rPr>
        <w:t>高活</w:t>
      </w:r>
      <w:r w:rsidRPr="00B12FE0">
        <w:rPr>
          <w:rFonts w:ascii="宋体" w:hAnsi="宋体"/>
          <w:color w:val="000000" w:themeColor="text1"/>
          <w:szCs w:val="24"/>
        </w:rPr>
        <w:t>室，在</w:t>
      </w:r>
      <w:r w:rsidRPr="00B12FE0">
        <w:rPr>
          <w:rFonts w:ascii="宋体" w:hAnsi="宋体" w:hint="eastAsia"/>
          <w:color w:val="000000" w:themeColor="text1"/>
          <w:szCs w:val="24"/>
        </w:rPr>
        <w:t>高活室内进行核素的</w:t>
      </w:r>
      <w:r w:rsidRPr="00B12FE0">
        <w:rPr>
          <w:rFonts w:ascii="宋体" w:hAnsi="宋体"/>
          <w:color w:val="000000" w:themeColor="text1"/>
          <w:szCs w:val="24"/>
        </w:rPr>
        <w:t>淋洗、标记</w:t>
      </w:r>
      <w:r w:rsidRPr="00B12FE0">
        <w:rPr>
          <w:rFonts w:ascii="宋体" w:hAnsi="宋体" w:hint="eastAsia"/>
          <w:color w:val="000000" w:themeColor="text1"/>
          <w:szCs w:val="24"/>
        </w:rPr>
        <w:t>、</w:t>
      </w:r>
      <w:r w:rsidRPr="00B12FE0">
        <w:rPr>
          <w:rFonts w:ascii="宋体" w:hAnsi="宋体"/>
          <w:color w:val="000000" w:themeColor="text1"/>
          <w:szCs w:val="24"/>
        </w:rPr>
        <w:t>分装、测活；</w:t>
      </w:r>
      <w:r w:rsidRPr="00B12FE0">
        <w:rPr>
          <w:rFonts w:ascii="宋体" w:hAnsi="宋体" w:hint="eastAsia"/>
          <w:color w:val="000000" w:themeColor="text1"/>
          <w:szCs w:val="24"/>
        </w:rPr>
        <w:t>在</w:t>
      </w:r>
      <w:proofErr w:type="gramStart"/>
      <w:r w:rsidRPr="00B12FE0">
        <w:rPr>
          <w:rFonts w:ascii="宋体" w:hAnsi="宋体" w:hint="eastAsia"/>
          <w:color w:val="000000" w:themeColor="text1"/>
          <w:szCs w:val="24"/>
        </w:rPr>
        <w:t>分装室</w:t>
      </w:r>
      <w:r w:rsidRPr="00B12FE0">
        <w:rPr>
          <w:rFonts w:ascii="宋体" w:hAnsi="宋体"/>
          <w:color w:val="000000" w:themeColor="text1"/>
          <w:szCs w:val="24"/>
        </w:rPr>
        <w:t>注射</w:t>
      </w:r>
      <w:r w:rsidRPr="00B12FE0">
        <w:rPr>
          <w:rFonts w:ascii="宋体" w:hAnsi="宋体" w:hint="eastAsia"/>
          <w:color w:val="000000" w:themeColor="text1"/>
          <w:szCs w:val="24"/>
        </w:rPr>
        <w:t>区</w:t>
      </w:r>
      <w:proofErr w:type="gramEnd"/>
      <w:r w:rsidRPr="00B12FE0">
        <w:rPr>
          <w:rFonts w:ascii="宋体" w:hAnsi="宋体"/>
          <w:color w:val="000000" w:themeColor="text1"/>
          <w:szCs w:val="24"/>
        </w:rPr>
        <w:t>专用注射窗对患者进行注射给药，完成注射给药后仍需经卫生</w:t>
      </w:r>
      <w:proofErr w:type="gramStart"/>
      <w:r w:rsidRPr="00B12FE0">
        <w:rPr>
          <w:rFonts w:ascii="宋体" w:hAnsi="宋体"/>
          <w:color w:val="000000" w:themeColor="text1"/>
          <w:szCs w:val="24"/>
        </w:rPr>
        <w:t>通过间</w:t>
      </w:r>
      <w:proofErr w:type="gramEnd"/>
      <w:r w:rsidRPr="00B12FE0">
        <w:rPr>
          <w:rFonts w:ascii="宋体" w:hAnsi="宋体"/>
          <w:color w:val="000000" w:themeColor="text1"/>
          <w:szCs w:val="24"/>
        </w:rPr>
        <w:t>淋浴更衣，监测表面污染合格后才能回到非辐射工作场所。</w:t>
      </w:r>
    </w:p>
    <w:p w14:paraId="146691FD" w14:textId="77777777" w:rsidR="00A67F21" w:rsidRPr="00B12FE0" w:rsidRDefault="00000000">
      <w:pPr>
        <w:autoSpaceDE w:val="0"/>
        <w:adjustRightInd w:val="0"/>
        <w:snapToGrid w:val="0"/>
        <w:spacing w:line="360" w:lineRule="auto"/>
        <w:ind w:firstLineChars="200" w:firstLine="482"/>
        <w:rPr>
          <w:bCs/>
          <w:color w:val="000000" w:themeColor="text1"/>
          <w:szCs w:val="24"/>
        </w:rPr>
      </w:pPr>
      <w:r w:rsidRPr="00B12FE0">
        <w:rPr>
          <w:rFonts w:ascii="宋体" w:hAnsi="宋体"/>
          <w:b/>
          <w:bCs/>
          <w:color w:val="000000" w:themeColor="text1"/>
          <w:szCs w:val="24"/>
        </w:rPr>
        <w:t>设备操作人员：</w:t>
      </w:r>
      <w:r w:rsidRPr="00B12FE0">
        <w:rPr>
          <w:color w:val="000000" w:themeColor="text1"/>
          <w:szCs w:val="24"/>
        </w:rPr>
        <w:t>PET</w:t>
      </w:r>
      <w:r w:rsidRPr="00B12FE0">
        <w:rPr>
          <w:rFonts w:ascii="宋体" w:hAnsi="宋体"/>
          <w:color w:val="000000" w:themeColor="text1"/>
          <w:szCs w:val="24"/>
        </w:rPr>
        <w:t>控制室工作人员</w:t>
      </w:r>
      <w:r w:rsidRPr="00B12FE0">
        <w:rPr>
          <w:rFonts w:ascii="宋体" w:hAnsi="宋体" w:hint="eastAsia"/>
          <w:color w:val="000000" w:themeColor="text1"/>
          <w:szCs w:val="24"/>
        </w:rPr>
        <w:t>、</w:t>
      </w:r>
      <w:r w:rsidRPr="00B12FE0">
        <w:rPr>
          <w:color w:val="000000" w:themeColor="text1"/>
          <w:szCs w:val="24"/>
        </w:rPr>
        <w:t>SPECT</w:t>
      </w:r>
      <w:r w:rsidRPr="00B12FE0">
        <w:rPr>
          <w:rFonts w:ascii="宋体" w:hAnsi="宋体"/>
          <w:color w:val="000000" w:themeColor="text1"/>
          <w:szCs w:val="24"/>
        </w:rPr>
        <w:t>控制室工作人员经核医学科核素诊断场所北侧医护通道进入控制室操作，必要时技师进入机房指导、协助患者摆位</w:t>
      </w:r>
      <w:r w:rsidRPr="00B12FE0">
        <w:rPr>
          <w:rFonts w:ascii="宋体" w:hAnsi="宋体"/>
          <w:bCs/>
          <w:color w:val="000000" w:themeColor="text1"/>
          <w:szCs w:val="24"/>
        </w:rPr>
        <w:t>；本区域所有工作人员完成工作后均原路返回。</w:t>
      </w:r>
    </w:p>
    <w:p w14:paraId="3DFB5BFF" w14:textId="77777777" w:rsidR="00A67F21" w:rsidRPr="00B12FE0" w:rsidRDefault="00000000">
      <w:pPr>
        <w:topLinePunct/>
        <w:autoSpaceDE w:val="0"/>
        <w:adjustRightInd w:val="0"/>
        <w:snapToGrid w:val="0"/>
        <w:spacing w:line="360" w:lineRule="auto"/>
        <w:ind w:firstLineChars="200" w:firstLine="482"/>
        <w:rPr>
          <w:b/>
          <w:color w:val="000000" w:themeColor="text1"/>
          <w:sz w:val="21"/>
          <w:szCs w:val="21"/>
        </w:rPr>
      </w:pPr>
      <w:r w:rsidRPr="00B12FE0">
        <w:rPr>
          <w:rFonts w:ascii="Cambria Math" w:hAnsi="Cambria Math" w:cs="Cambria Math"/>
          <w:b/>
          <w:color w:val="000000" w:themeColor="text1"/>
          <w:szCs w:val="24"/>
        </w:rPr>
        <w:t>②</w:t>
      </w:r>
      <w:r w:rsidRPr="00B12FE0">
        <w:rPr>
          <w:rFonts w:ascii="宋体" w:hAnsi="宋体"/>
          <w:b/>
          <w:color w:val="000000" w:themeColor="text1"/>
          <w:szCs w:val="24"/>
        </w:rPr>
        <w:t>患者路径</w:t>
      </w:r>
    </w:p>
    <w:p w14:paraId="6F050B3E" w14:textId="77777777" w:rsidR="00A67F21" w:rsidRPr="00B12FE0" w:rsidRDefault="00000000">
      <w:pPr>
        <w:autoSpaceDE w:val="0"/>
        <w:adjustRightInd w:val="0"/>
        <w:snapToGrid w:val="0"/>
        <w:spacing w:line="360" w:lineRule="auto"/>
        <w:ind w:firstLineChars="200" w:firstLine="480"/>
        <w:rPr>
          <w:color w:val="000000" w:themeColor="text1"/>
          <w:szCs w:val="24"/>
        </w:rPr>
      </w:pPr>
      <w:r w:rsidRPr="00B12FE0">
        <w:rPr>
          <w:color w:val="000000" w:themeColor="text1"/>
          <w:szCs w:val="24"/>
        </w:rPr>
        <w:t>PET</w:t>
      </w:r>
      <w:r w:rsidRPr="00B12FE0">
        <w:rPr>
          <w:rFonts w:ascii="宋体" w:hAnsi="宋体"/>
          <w:color w:val="000000" w:themeColor="text1"/>
          <w:szCs w:val="24"/>
        </w:rPr>
        <w:t>显像检查患者路径：根据预约时间由一层核医学科入口进入候诊区，在护士</w:t>
      </w:r>
      <w:proofErr w:type="gramStart"/>
      <w:r w:rsidRPr="00B12FE0">
        <w:rPr>
          <w:rFonts w:ascii="宋体" w:hAnsi="宋体"/>
          <w:color w:val="000000" w:themeColor="text1"/>
          <w:szCs w:val="24"/>
        </w:rPr>
        <w:t>站登记</w:t>
      </w:r>
      <w:proofErr w:type="gramEnd"/>
      <w:r w:rsidRPr="00B12FE0">
        <w:rPr>
          <w:rFonts w:ascii="宋体" w:hAnsi="宋体"/>
          <w:color w:val="000000" w:themeColor="text1"/>
          <w:szCs w:val="24"/>
        </w:rPr>
        <w:t>信息，根据工作人员指导、语音呼叫系统提示，进入核素诊断场所病人通道。</w:t>
      </w:r>
    </w:p>
    <w:p w14:paraId="2F8D3FE9" w14:textId="77777777" w:rsidR="00A67F21" w:rsidRPr="00B12FE0" w:rsidRDefault="00000000">
      <w:pPr>
        <w:autoSpaceDE w:val="0"/>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在注射室注射窗口进行注射，注射后在</w:t>
      </w:r>
      <w:r w:rsidRPr="00B12FE0">
        <w:rPr>
          <w:color w:val="000000" w:themeColor="text1"/>
          <w:szCs w:val="24"/>
        </w:rPr>
        <w:t>PET</w:t>
      </w:r>
      <w:r w:rsidRPr="00B12FE0">
        <w:rPr>
          <w:rFonts w:ascii="宋体" w:hAnsi="宋体"/>
          <w:color w:val="000000" w:themeColor="text1"/>
          <w:szCs w:val="24"/>
        </w:rPr>
        <w:t>休息室候诊，候诊完成后，根据语音呼叫系统提示进入机房进行扫描检查，在完成扫描检查后根据工作人员语音指导及路</w:t>
      </w:r>
      <w:r w:rsidRPr="00B12FE0">
        <w:rPr>
          <w:rFonts w:ascii="宋体" w:hAnsi="宋体"/>
          <w:color w:val="000000" w:themeColor="text1"/>
          <w:szCs w:val="24"/>
        </w:rPr>
        <w:lastRenderedPageBreak/>
        <w:t>线指示进入</w:t>
      </w:r>
      <w:r w:rsidRPr="00B12FE0">
        <w:rPr>
          <w:color w:val="000000" w:themeColor="text1"/>
          <w:szCs w:val="24"/>
        </w:rPr>
        <w:t>PET</w:t>
      </w:r>
      <w:r w:rsidRPr="00B12FE0">
        <w:rPr>
          <w:rFonts w:ascii="宋体" w:hAnsi="宋体"/>
          <w:color w:val="000000" w:themeColor="text1"/>
          <w:szCs w:val="24"/>
        </w:rPr>
        <w:t>留</w:t>
      </w:r>
      <w:proofErr w:type="gramStart"/>
      <w:r w:rsidRPr="00B12FE0">
        <w:rPr>
          <w:rFonts w:ascii="宋体" w:hAnsi="宋体"/>
          <w:color w:val="000000" w:themeColor="text1"/>
          <w:szCs w:val="24"/>
        </w:rPr>
        <w:t>观室留</w:t>
      </w:r>
      <w:proofErr w:type="gramEnd"/>
      <w:r w:rsidRPr="00B12FE0">
        <w:rPr>
          <w:rFonts w:ascii="宋体" w:hAnsi="宋体"/>
          <w:color w:val="000000" w:themeColor="text1"/>
          <w:szCs w:val="24"/>
        </w:rPr>
        <w:t>观，最终由南侧病人出口离开。</w:t>
      </w:r>
    </w:p>
    <w:p w14:paraId="58D9A72F" w14:textId="77777777" w:rsidR="00A67F21" w:rsidRPr="00B12FE0" w:rsidRDefault="00000000">
      <w:pPr>
        <w:autoSpaceDE w:val="0"/>
        <w:adjustRightInd w:val="0"/>
        <w:snapToGrid w:val="0"/>
        <w:spacing w:line="360" w:lineRule="auto"/>
        <w:ind w:firstLineChars="200" w:firstLine="480"/>
        <w:rPr>
          <w:rFonts w:ascii="宋体" w:hAnsi="宋体" w:hint="eastAsia"/>
          <w:color w:val="000000" w:themeColor="text1"/>
          <w:szCs w:val="24"/>
        </w:rPr>
      </w:pPr>
      <w:r w:rsidRPr="00B12FE0">
        <w:rPr>
          <w:color w:val="000000" w:themeColor="text1"/>
          <w:szCs w:val="24"/>
        </w:rPr>
        <w:t>SPECT</w:t>
      </w:r>
      <w:r w:rsidRPr="00B12FE0">
        <w:rPr>
          <w:rFonts w:ascii="宋体" w:hAnsi="宋体"/>
          <w:color w:val="000000" w:themeColor="text1"/>
          <w:szCs w:val="24"/>
        </w:rPr>
        <w:t>显像检查患者路径：根据预约时间由一层核医学科入口进入候诊区，在护士</w:t>
      </w:r>
      <w:proofErr w:type="gramStart"/>
      <w:r w:rsidRPr="00B12FE0">
        <w:rPr>
          <w:rFonts w:ascii="宋体" w:hAnsi="宋体"/>
          <w:color w:val="000000" w:themeColor="text1"/>
          <w:szCs w:val="24"/>
        </w:rPr>
        <w:t>站登记</w:t>
      </w:r>
      <w:proofErr w:type="gramEnd"/>
      <w:r w:rsidRPr="00B12FE0">
        <w:rPr>
          <w:rFonts w:ascii="宋体" w:hAnsi="宋体"/>
          <w:color w:val="000000" w:themeColor="text1"/>
          <w:szCs w:val="24"/>
        </w:rPr>
        <w:t>信息，根据工作人员指导、语音呼叫系统提示，进入核素诊断场所病人通道。在注射室注射窗口进行注射，注射后在</w:t>
      </w:r>
      <w:r w:rsidRPr="00B12FE0">
        <w:rPr>
          <w:color w:val="000000" w:themeColor="text1"/>
          <w:szCs w:val="24"/>
        </w:rPr>
        <w:t>SPECT</w:t>
      </w:r>
      <w:r w:rsidRPr="00B12FE0">
        <w:rPr>
          <w:rFonts w:ascii="宋体" w:hAnsi="宋体"/>
          <w:color w:val="000000" w:themeColor="text1"/>
          <w:szCs w:val="24"/>
        </w:rPr>
        <w:t>休息室候诊，候诊完成后，根据语音呼叫系统提示进入机房进行扫描检查，检查后直接由南侧病人出口离开。</w:t>
      </w:r>
    </w:p>
    <w:p w14:paraId="30EF923D" w14:textId="77777777" w:rsidR="00A67F21" w:rsidRPr="00B12FE0" w:rsidRDefault="00000000">
      <w:pPr>
        <w:adjustRightInd w:val="0"/>
        <w:snapToGrid w:val="0"/>
        <w:spacing w:line="360" w:lineRule="auto"/>
        <w:ind w:firstLineChars="200" w:firstLine="480"/>
        <w:rPr>
          <w:rFonts w:cs="宋体"/>
          <w:color w:val="000000" w:themeColor="text1"/>
          <w:kern w:val="0"/>
        </w:rPr>
      </w:pPr>
      <w:r w:rsidRPr="00B12FE0">
        <w:rPr>
          <w:rFonts w:hint="eastAsia"/>
          <w:color w:val="000000" w:themeColor="text1"/>
        </w:rPr>
        <w:t xml:space="preserve"> </w:t>
      </w:r>
      <w:r w:rsidRPr="00B12FE0">
        <w:rPr>
          <w:color w:val="000000" w:themeColor="text1"/>
        </w:rPr>
        <w:t>敷贴治疗患者</w:t>
      </w:r>
      <w:r w:rsidRPr="00B12FE0">
        <w:rPr>
          <w:rFonts w:hint="eastAsia"/>
          <w:color w:val="000000" w:themeColor="text1"/>
        </w:rPr>
        <w:t>路径：患者</w:t>
      </w:r>
      <w:r w:rsidRPr="00B12FE0">
        <w:rPr>
          <w:color w:val="000000" w:themeColor="text1"/>
        </w:rPr>
        <w:t>由</w:t>
      </w:r>
      <w:r w:rsidRPr="00B12FE0">
        <w:rPr>
          <w:rFonts w:hint="eastAsia"/>
          <w:color w:val="000000" w:themeColor="text1"/>
        </w:rPr>
        <w:t>一层核医学科入口进入候诊区</w:t>
      </w:r>
      <w:r w:rsidRPr="00B12FE0">
        <w:rPr>
          <w:rFonts w:cs="宋体" w:hint="eastAsia"/>
          <w:color w:val="000000" w:themeColor="text1"/>
          <w:kern w:val="0"/>
        </w:rPr>
        <w:t>，后经</w:t>
      </w:r>
      <w:proofErr w:type="gramStart"/>
      <w:r w:rsidRPr="00B12FE0">
        <w:rPr>
          <w:rFonts w:cs="宋体" w:hint="eastAsia"/>
          <w:color w:val="000000" w:themeColor="text1"/>
          <w:kern w:val="0"/>
        </w:rPr>
        <w:t>敷贴室</w:t>
      </w:r>
      <w:proofErr w:type="gramEnd"/>
      <w:r w:rsidRPr="00B12FE0">
        <w:rPr>
          <w:rFonts w:cs="宋体" w:hint="eastAsia"/>
          <w:color w:val="000000" w:themeColor="text1"/>
          <w:kern w:val="0"/>
        </w:rPr>
        <w:t>东侧门进入</w:t>
      </w:r>
      <w:r w:rsidRPr="00B12FE0">
        <w:rPr>
          <w:rFonts w:hint="eastAsia"/>
          <w:color w:val="000000" w:themeColor="text1"/>
        </w:rPr>
        <w:t>敷贴治疗室，</w:t>
      </w:r>
      <w:r w:rsidRPr="00B12FE0">
        <w:rPr>
          <w:color w:val="000000" w:themeColor="text1"/>
        </w:rPr>
        <w:t>在治疗室接受治疗后，</w:t>
      </w:r>
      <w:r w:rsidRPr="00B12FE0">
        <w:rPr>
          <w:rFonts w:hint="eastAsia"/>
          <w:color w:val="000000" w:themeColor="text1"/>
        </w:rPr>
        <w:t>由原路返回，离开核医学科。</w:t>
      </w:r>
    </w:p>
    <w:p w14:paraId="71C9F1AB" w14:textId="77777777" w:rsidR="00A67F21" w:rsidRPr="00B12FE0" w:rsidRDefault="00000000">
      <w:pPr>
        <w:adjustRightInd w:val="0"/>
        <w:snapToGrid w:val="0"/>
        <w:spacing w:line="360" w:lineRule="auto"/>
        <w:ind w:firstLineChars="200" w:firstLine="480"/>
        <w:rPr>
          <w:rFonts w:cs="宋体"/>
          <w:color w:val="000000" w:themeColor="text1"/>
          <w:kern w:val="0"/>
        </w:rPr>
      </w:pPr>
      <w:proofErr w:type="gramStart"/>
      <w:r w:rsidRPr="00B12FE0">
        <w:rPr>
          <w:rFonts w:cs="宋体" w:hint="eastAsia"/>
          <w:color w:val="000000" w:themeColor="text1"/>
          <w:kern w:val="0"/>
        </w:rPr>
        <w:t>甲功能</w:t>
      </w:r>
      <w:proofErr w:type="gramEnd"/>
      <w:r w:rsidRPr="00B12FE0">
        <w:rPr>
          <w:rFonts w:cs="宋体" w:hint="eastAsia"/>
          <w:color w:val="000000" w:themeColor="text1"/>
          <w:kern w:val="0"/>
        </w:rPr>
        <w:t>测定患者路径：患者</w:t>
      </w:r>
      <w:r w:rsidRPr="00B12FE0">
        <w:rPr>
          <w:rFonts w:hint="eastAsia"/>
          <w:color w:val="000000" w:themeColor="text1"/>
        </w:rPr>
        <w:t>一层核医学科入口进入候诊区</w:t>
      </w:r>
      <w:r w:rsidRPr="00B12FE0">
        <w:rPr>
          <w:rFonts w:cs="宋体" w:hint="eastAsia"/>
          <w:color w:val="000000" w:themeColor="text1"/>
          <w:kern w:val="0"/>
        </w:rPr>
        <w:t>，在</w:t>
      </w:r>
      <w:proofErr w:type="gramStart"/>
      <w:r w:rsidRPr="00B12FE0">
        <w:rPr>
          <w:rFonts w:cs="宋体" w:hint="eastAsia"/>
          <w:color w:val="000000" w:themeColor="text1"/>
          <w:kern w:val="0"/>
        </w:rPr>
        <w:t>服碘室</w:t>
      </w:r>
      <w:proofErr w:type="gramEnd"/>
      <w:r w:rsidRPr="00B12FE0">
        <w:rPr>
          <w:rFonts w:cs="宋体" w:hint="eastAsia"/>
          <w:color w:val="000000" w:themeColor="text1"/>
          <w:kern w:val="0"/>
        </w:rPr>
        <w:t>服药后经核医学科出口离开核医学科，后</w:t>
      </w:r>
      <w:proofErr w:type="gramStart"/>
      <w:r w:rsidRPr="00B12FE0">
        <w:rPr>
          <w:rFonts w:cs="宋体" w:hint="eastAsia"/>
          <w:color w:val="000000" w:themeColor="text1"/>
          <w:kern w:val="0"/>
        </w:rPr>
        <w:t>经患甲测室</w:t>
      </w:r>
      <w:proofErr w:type="gramEnd"/>
      <w:r w:rsidRPr="00B12FE0">
        <w:rPr>
          <w:rFonts w:cs="宋体" w:hint="eastAsia"/>
          <w:color w:val="000000" w:themeColor="text1"/>
          <w:kern w:val="0"/>
        </w:rPr>
        <w:t>东侧防护门进入</w:t>
      </w:r>
      <w:proofErr w:type="gramStart"/>
      <w:r w:rsidRPr="00B12FE0">
        <w:rPr>
          <w:rFonts w:cs="宋体" w:hint="eastAsia"/>
          <w:color w:val="000000" w:themeColor="text1"/>
          <w:kern w:val="0"/>
        </w:rPr>
        <w:t>甲测室</w:t>
      </w:r>
      <w:proofErr w:type="gramEnd"/>
      <w:r w:rsidRPr="00B12FE0">
        <w:rPr>
          <w:rFonts w:cs="宋体" w:hint="eastAsia"/>
          <w:color w:val="000000" w:themeColor="text1"/>
          <w:kern w:val="0"/>
        </w:rPr>
        <w:t>检查测定，然后</w:t>
      </w:r>
      <w:r w:rsidRPr="00B12FE0">
        <w:rPr>
          <w:rFonts w:hint="eastAsia"/>
          <w:color w:val="000000" w:themeColor="text1"/>
        </w:rPr>
        <w:t>由原路返回、离开核医学科</w:t>
      </w:r>
      <w:r w:rsidRPr="00B12FE0">
        <w:rPr>
          <w:rFonts w:cs="宋体" w:hint="eastAsia"/>
          <w:color w:val="000000" w:themeColor="text1"/>
          <w:kern w:val="0"/>
        </w:rPr>
        <w:t>。等到检查时间后再通过核医学科核素诊断场所候诊区进入</w:t>
      </w:r>
      <w:proofErr w:type="gramStart"/>
      <w:r w:rsidRPr="00B12FE0">
        <w:rPr>
          <w:rFonts w:cs="宋体" w:hint="eastAsia"/>
          <w:color w:val="000000" w:themeColor="text1"/>
          <w:kern w:val="0"/>
        </w:rPr>
        <w:t>甲测室</w:t>
      </w:r>
      <w:proofErr w:type="gramEnd"/>
      <w:r w:rsidRPr="00B12FE0">
        <w:rPr>
          <w:rFonts w:cs="宋体" w:hint="eastAsia"/>
          <w:color w:val="000000" w:themeColor="text1"/>
          <w:kern w:val="0"/>
        </w:rPr>
        <w:t>检查测定，检查完毕后由</w:t>
      </w:r>
      <w:r w:rsidRPr="00B12FE0">
        <w:rPr>
          <w:rFonts w:hint="eastAsia"/>
          <w:color w:val="000000" w:themeColor="text1"/>
        </w:rPr>
        <w:t>原路返回离开核医学科</w:t>
      </w:r>
      <w:r w:rsidRPr="00B12FE0">
        <w:rPr>
          <w:rFonts w:cs="宋体" w:hint="eastAsia"/>
          <w:color w:val="000000" w:themeColor="text1"/>
          <w:kern w:val="0"/>
        </w:rPr>
        <w:t>。</w:t>
      </w:r>
    </w:p>
    <w:p w14:paraId="6B492035" w14:textId="77777777" w:rsidR="00A67F21" w:rsidRPr="00B12FE0" w:rsidRDefault="00000000">
      <w:pPr>
        <w:adjustRightInd w:val="0"/>
        <w:snapToGrid w:val="0"/>
        <w:spacing w:line="360" w:lineRule="auto"/>
        <w:ind w:firstLineChars="200" w:firstLine="480"/>
        <w:rPr>
          <w:rFonts w:cs="宋体"/>
          <w:color w:val="000000" w:themeColor="text1"/>
          <w:kern w:val="0"/>
        </w:rPr>
      </w:pPr>
      <w:r w:rsidRPr="00B12FE0">
        <w:rPr>
          <w:rFonts w:cs="宋体" w:hint="eastAsia"/>
          <w:color w:val="000000" w:themeColor="text1"/>
          <w:kern w:val="0"/>
        </w:rPr>
        <w:t>甲亢患者路径：甲亢患者</w:t>
      </w:r>
      <w:r w:rsidRPr="00B12FE0">
        <w:rPr>
          <w:color w:val="000000" w:themeColor="text1"/>
        </w:rPr>
        <w:t>由</w:t>
      </w:r>
      <w:r w:rsidRPr="00B12FE0">
        <w:rPr>
          <w:rFonts w:hint="eastAsia"/>
          <w:color w:val="000000" w:themeColor="text1"/>
        </w:rPr>
        <w:t>一层核医学科入口进入候诊区</w:t>
      </w:r>
      <w:r w:rsidRPr="00B12FE0">
        <w:rPr>
          <w:rFonts w:cs="宋体" w:hint="eastAsia"/>
          <w:color w:val="000000" w:themeColor="text1"/>
          <w:kern w:val="0"/>
        </w:rPr>
        <w:t>，经患者通道进入</w:t>
      </w:r>
      <w:proofErr w:type="gramStart"/>
      <w:r w:rsidRPr="00B12FE0">
        <w:rPr>
          <w:rFonts w:cs="宋体" w:hint="eastAsia"/>
          <w:color w:val="000000" w:themeColor="text1"/>
          <w:kern w:val="0"/>
        </w:rPr>
        <w:t>服碘室</w:t>
      </w:r>
      <w:proofErr w:type="gramEnd"/>
      <w:r w:rsidRPr="00B12FE0">
        <w:rPr>
          <w:rFonts w:cs="宋体" w:hint="eastAsia"/>
          <w:color w:val="000000" w:themeColor="text1"/>
          <w:kern w:val="0"/>
        </w:rPr>
        <w:t>服药，服药后进入甲亢留</w:t>
      </w:r>
      <w:proofErr w:type="gramStart"/>
      <w:r w:rsidRPr="00B12FE0">
        <w:rPr>
          <w:rFonts w:cs="宋体" w:hint="eastAsia"/>
          <w:color w:val="000000" w:themeColor="text1"/>
          <w:kern w:val="0"/>
        </w:rPr>
        <w:t>观室留</w:t>
      </w:r>
      <w:proofErr w:type="gramEnd"/>
      <w:r w:rsidRPr="00B12FE0">
        <w:rPr>
          <w:rFonts w:cs="宋体" w:hint="eastAsia"/>
          <w:color w:val="000000" w:themeColor="text1"/>
          <w:kern w:val="0"/>
        </w:rPr>
        <w:t>观，留</w:t>
      </w:r>
      <w:proofErr w:type="gramStart"/>
      <w:r w:rsidRPr="00B12FE0">
        <w:rPr>
          <w:rFonts w:cs="宋体" w:hint="eastAsia"/>
          <w:color w:val="000000" w:themeColor="text1"/>
          <w:kern w:val="0"/>
        </w:rPr>
        <w:t>观结束</w:t>
      </w:r>
      <w:proofErr w:type="gramEnd"/>
      <w:r w:rsidRPr="00B12FE0">
        <w:rPr>
          <w:rFonts w:cs="宋体" w:hint="eastAsia"/>
          <w:color w:val="000000" w:themeColor="text1"/>
          <w:kern w:val="0"/>
        </w:rPr>
        <w:t>后</w:t>
      </w:r>
      <w:r w:rsidRPr="00B12FE0">
        <w:rPr>
          <w:bCs/>
          <w:color w:val="000000" w:themeColor="text1"/>
        </w:rPr>
        <w:t>患者将从核医学科</w:t>
      </w:r>
      <w:r w:rsidRPr="00B12FE0">
        <w:rPr>
          <w:rFonts w:hint="eastAsia"/>
          <w:bCs/>
          <w:color w:val="000000" w:themeColor="text1"/>
        </w:rPr>
        <w:t>核素诊断场所南</w:t>
      </w:r>
      <w:r w:rsidRPr="00B12FE0">
        <w:rPr>
          <w:bCs/>
          <w:color w:val="000000" w:themeColor="text1"/>
        </w:rPr>
        <w:t>侧的</w:t>
      </w:r>
      <w:r w:rsidRPr="00B12FE0">
        <w:rPr>
          <w:rFonts w:hint="eastAsia"/>
          <w:bCs/>
          <w:color w:val="000000" w:themeColor="text1"/>
        </w:rPr>
        <w:t>病人出口</w:t>
      </w:r>
      <w:r w:rsidRPr="00B12FE0">
        <w:rPr>
          <w:bCs/>
          <w:color w:val="000000" w:themeColor="text1"/>
        </w:rPr>
        <w:t>离开核医学科</w:t>
      </w:r>
      <w:r w:rsidRPr="00B12FE0">
        <w:rPr>
          <w:rFonts w:hint="eastAsia"/>
          <w:bCs/>
          <w:color w:val="000000" w:themeColor="text1"/>
        </w:rPr>
        <w:t>核素诊断</w:t>
      </w:r>
      <w:r w:rsidRPr="00B12FE0">
        <w:rPr>
          <w:bCs/>
          <w:color w:val="000000" w:themeColor="text1"/>
        </w:rPr>
        <w:t>场所</w:t>
      </w:r>
      <w:r w:rsidRPr="00B12FE0">
        <w:rPr>
          <w:rFonts w:cs="宋体" w:hint="eastAsia"/>
          <w:color w:val="000000" w:themeColor="text1"/>
          <w:kern w:val="0"/>
        </w:rPr>
        <w:t>。</w:t>
      </w:r>
    </w:p>
    <w:p w14:paraId="6F659174" w14:textId="77777777" w:rsidR="00A67F21" w:rsidRPr="00B12FE0" w:rsidRDefault="00000000">
      <w:pPr>
        <w:adjustRightInd w:val="0"/>
        <w:snapToGrid w:val="0"/>
        <w:spacing w:line="360" w:lineRule="auto"/>
        <w:ind w:firstLineChars="200" w:firstLine="480"/>
        <w:rPr>
          <w:color w:val="000000" w:themeColor="text1"/>
        </w:rPr>
      </w:pPr>
      <w:r w:rsidRPr="00B12FE0">
        <w:rPr>
          <w:rFonts w:cs="宋体" w:hint="eastAsia"/>
          <w:color w:val="000000" w:themeColor="text1"/>
          <w:kern w:val="0"/>
        </w:rPr>
        <w:t>医院应加强</w:t>
      </w:r>
      <w:r w:rsidRPr="00B12FE0">
        <w:rPr>
          <w:rFonts w:hint="eastAsia"/>
          <w:color w:val="000000" w:themeColor="text1"/>
        </w:rPr>
        <w:t>对于敷贴治疗患者</w:t>
      </w:r>
      <w:proofErr w:type="gramStart"/>
      <w:r w:rsidRPr="00B12FE0">
        <w:rPr>
          <w:rFonts w:hint="eastAsia"/>
          <w:color w:val="000000" w:themeColor="text1"/>
        </w:rPr>
        <w:t>和甲测患者</w:t>
      </w:r>
      <w:proofErr w:type="gramEnd"/>
      <w:r w:rsidRPr="00B12FE0">
        <w:rPr>
          <w:rFonts w:hint="eastAsia"/>
          <w:color w:val="000000" w:themeColor="text1"/>
        </w:rPr>
        <w:t>的</w:t>
      </w:r>
      <w:r w:rsidRPr="00B12FE0">
        <w:rPr>
          <w:rFonts w:cs="宋体" w:hint="eastAsia"/>
          <w:color w:val="000000" w:themeColor="text1"/>
          <w:kern w:val="0"/>
        </w:rPr>
        <w:t>管理，患者检查治疗完成后应及时按照指定路线离开核医学科核素诊断场所，避免受到不必要的照射。</w:t>
      </w:r>
    </w:p>
    <w:p w14:paraId="268A0741" w14:textId="77777777" w:rsidR="00A67F21" w:rsidRPr="00B12FE0" w:rsidRDefault="00000000">
      <w:pPr>
        <w:topLinePunct/>
        <w:adjustRightInd w:val="0"/>
        <w:snapToGrid w:val="0"/>
        <w:spacing w:line="360" w:lineRule="auto"/>
        <w:ind w:firstLineChars="200" w:firstLine="482"/>
        <w:rPr>
          <w:b/>
          <w:color w:val="000000" w:themeColor="text1"/>
          <w:sz w:val="21"/>
          <w:szCs w:val="21"/>
        </w:rPr>
      </w:pPr>
      <w:r w:rsidRPr="00B12FE0">
        <w:rPr>
          <w:rFonts w:ascii="Cambria Math" w:hAnsi="Cambria Math" w:cs="Cambria Math"/>
          <w:b/>
          <w:color w:val="000000" w:themeColor="text1"/>
          <w:szCs w:val="24"/>
        </w:rPr>
        <w:t>③</w:t>
      </w:r>
      <w:r w:rsidRPr="00B12FE0">
        <w:rPr>
          <w:rFonts w:ascii="宋体" w:hAnsi="宋体"/>
          <w:b/>
          <w:color w:val="000000" w:themeColor="text1"/>
          <w:szCs w:val="24"/>
        </w:rPr>
        <w:t>放射性药物路径</w:t>
      </w:r>
    </w:p>
    <w:p w14:paraId="184502AF" w14:textId="77777777" w:rsidR="00A67F21" w:rsidRPr="00B12FE0" w:rsidRDefault="00000000">
      <w:pPr>
        <w:overflowPunct w:val="0"/>
        <w:topLinePunct/>
        <w:adjustRightInd w:val="0"/>
        <w:snapToGrid w:val="0"/>
        <w:spacing w:line="360" w:lineRule="auto"/>
        <w:ind w:firstLine="480"/>
        <w:rPr>
          <w:color w:val="000000" w:themeColor="text1"/>
          <w:szCs w:val="24"/>
        </w:rPr>
      </w:pP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由</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锝发生器淋洗标记，</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锝发生器运输路线为从核医学科核素诊断场所一层北侧经</w:t>
      </w:r>
      <w:r w:rsidRPr="00B12FE0">
        <w:rPr>
          <w:rFonts w:ascii="宋体" w:hAnsi="宋体" w:hint="eastAsia"/>
          <w:color w:val="000000" w:themeColor="text1"/>
          <w:szCs w:val="24"/>
        </w:rPr>
        <w:t>卫生</w:t>
      </w:r>
      <w:proofErr w:type="gramStart"/>
      <w:r w:rsidRPr="00B12FE0">
        <w:rPr>
          <w:rFonts w:ascii="宋体" w:hAnsi="宋体" w:hint="eastAsia"/>
          <w:color w:val="000000" w:themeColor="text1"/>
          <w:szCs w:val="24"/>
        </w:rPr>
        <w:t>通过间</w:t>
      </w:r>
      <w:proofErr w:type="gramEnd"/>
      <w:r w:rsidRPr="00B12FE0">
        <w:rPr>
          <w:rFonts w:ascii="宋体" w:hAnsi="宋体"/>
          <w:color w:val="000000" w:themeColor="text1"/>
          <w:szCs w:val="24"/>
        </w:rPr>
        <w:t>入</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放入</w:t>
      </w:r>
      <w:proofErr w:type="gramEnd"/>
      <w:r w:rsidRPr="00B12FE0">
        <w:rPr>
          <w:rFonts w:ascii="宋体" w:hAnsi="宋体"/>
          <w:color w:val="000000" w:themeColor="text1"/>
          <w:szCs w:val="24"/>
        </w:rPr>
        <w:t>储源室。</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淋洗时将</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锝发生器从储源室取出，放置于</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的</w:t>
      </w:r>
      <w:proofErr w:type="gramEnd"/>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淋洗手套箱内，药物</w:t>
      </w:r>
      <w:proofErr w:type="gramStart"/>
      <w:r w:rsidRPr="00B12FE0">
        <w:rPr>
          <w:rFonts w:ascii="宋体" w:hAnsi="宋体"/>
          <w:color w:val="000000" w:themeColor="text1"/>
          <w:szCs w:val="24"/>
        </w:rPr>
        <w:t>锝</w:t>
      </w:r>
      <w:proofErr w:type="gramEnd"/>
      <w:r w:rsidRPr="00B12FE0">
        <w:rPr>
          <w:rFonts w:ascii="宋体" w:hAnsi="宋体"/>
          <w:color w:val="000000" w:themeColor="text1"/>
          <w:szCs w:val="24"/>
        </w:rPr>
        <w:t>淋洗标记在手套箱中完成，药物通过传递窗送到。</w:t>
      </w:r>
    </w:p>
    <w:p w14:paraId="2A84C4A6" w14:textId="77777777" w:rsidR="00A67F21" w:rsidRPr="00B12FE0" w:rsidRDefault="00000000">
      <w:pPr>
        <w:adjustRightInd w:val="0"/>
        <w:snapToGrid w:val="0"/>
        <w:spacing w:line="360" w:lineRule="auto"/>
        <w:ind w:firstLineChars="200" w:firstLine="480"/>
        <w:rPr>
          <w:rFonts w:ascii="宋体" w:hAnsi="宋体" w:hint="eastAsia"/>
          <w:color w:val="000000" w:themeColor="text1"/>
          <w:szCs w:val="24"/>
        </w:rPr>
      </w:pPr>
      <w:r w:rsidRPr="00B12FE0">
        <w:rPr>
          <w:bCs/>
          <w:color w:val="000000" w:themeColor="text1"/>
          <w:szCs w:val="24"/>
          <w:vertAlign w:val="superscript"/>
        </w:rPr>
        <w:t>18</w:t>
      </w:r>
      <w:r w:rsidRPr="00B12FE0">
        <w:rPr>
          <w:bCs/>
          <w:color w:val="000000" w:themeColor="text1"/>
          <w:szCs w:val="24"/>
        </w:rPr>
        <w:t>F</w:t>
      </w:r>
      <w:r w:rsidRPr="00B12FE0">
        <w:rPr>
          <w:rFonts w:ascii="宋体" w:hAnsi="宋体"/>
          <w:bCs/>
          <w:color w:val="000000" w:themeColor="text1"/>
          <w:szCs w:val="24"/>
        </w:rPr>
        <w:t>药物从一层核素制备场所外包间</w:t>
      </w:r>
      <w:r w:rsidRPr="00B12FE0">
        <w:rPr>
          <w:rFonts w:ascii="宋体" w:hAnsi="宋体"/>
          <w:color w:val="000000" w:themeColor="text1"/>
          <w:szCs w:val="24"/>
        </w:rPr>
        <w:t>东侧</w:t>
      </w:r>
      <w:r w:rsidRPr="00B12FE0">
        <w:rPr>
          <w:rFonts w:ascii="宋体" w:hAnsi="宋体" w:hint="eastAsia"/>
          <w:color w:val="000000" w:themeColor="text1"/>
          <w:szCs w:val="24"/>
        </w:rPr>
        <w:t>工作走道</w:t>
      </w:r>
      <w:r w:rsidRPr="00B12FE0">
        <w:rPr>
          <w:rFonts w:ascii="宋体" w:hAnsi="宋体"/>
          <w:color w:val="000000" w:themeColor="text1"/>
          <w:szCs w:val="24"/>
        </w:rPr>
        <w:t>至核素诊断场所储源室，使用时再从储源室取出，放置于</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的</w:t>
      </w:r>
      <w:proofErr w:type="gramEnd"/>
      <w:r w:rsidRPr="00B12FE0">
        <w:rPr>
          <w:bCs/>
          <w:color w:val="000000" w:themeColor="text1"/>
          <w:szCs w:val="24"/>
          <w:vertAlign w:val="superscript"/>
        </w:rPr>
        <w:t>18</w:t>
      </w:r>
      <w:r w:rsidRPr="00B12FE0">
        <w:rPr>
          <w:bCs/>
          <w:color w:val="000000" w:themeColor="text1"/>
          <w:szCs w:val="24"/>
        </w:rPr>
        <w:t>F</w:t>
      </w:r>
      <w:r w:rsidRPr="00B12FE0">
        <w:rPr>
          <w:rFonts w:ascii="宋体" w:hAnsi="宋体"/>
          <w:color w:val="000000" w:themeColor="text1"/>
          <w:szCs w:val="24"/>
        </w:rPr>
        <w:t>手套箱内，药物分装、标记在手套箱中完成，药物通过传递窗送到。</w:t>
      </w:r>
    </w:p>
    <w:p w14:paraId="4278DC50"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敷贴、</w:t>
      </w:r>
      <w:proofErr w:type="gramStart"/>
      <w:r w:rsidRPr="00B12FE0">
        <w:rPr>
          <w:rFonts w:hint="eastAsia"/>
          <w:color w:val="000000" w:themeColor="text1"/>
        </w:rPr>
        <w:t>甲测和</w:t>
      </w:r>
      <w:proofErr w:type="gramEnd"/>
      <w:r w:rsidRPr="00B12FE0">
        <w:rPr>
          <w:rFonts w:hint="eastAsia"/>
          <w:color w:val="000000" w:themeColor="text1"/>
        </w:rPr>
        <w:t>甲亢治疗项目使用</w:t>
      </w:r>
      <w:r w:rsidRPr="00B12FE0">
        <w:rPr>
          <w:color w:val="000000" w:themeColor="text1"/>
        </w:rPr>
        <w:t>放射性核素为均外购成品药物。</w:t>
      </w:r>
      <w:r w:rsidRPr="00B12FE0">
        <w:rPr>
          <w:rFonts w:hint="eastAsia"/>
          <w:color w:val="000000" w:themeColor="text1"/>
        </w:rPr>
        <w:t>按照医院与专业放射性同位素供货商的协定，放射性药物配送人员</w:t>
      </w:r>
      <w:r w:rsidRPr="00B12FE0">
        <w:rPr>
          <w:color w:val="000000" w:themeColor="text1"/>
        </w:rPr>
        <w:t>每天早上在开展诊疗工作前提前到达核医学科核素</w:t>
      </w:r>
      <w:r w:rsidRPr="00B12FE0">
        <w:rPr>
          <w:rFonts w:hint="eastAsia"/>
          <w:color w:val="000000" w:themeColor="text1"/>
        </w:rPr>
        <w:t>诊断</w:t>
      </w:r>
      <w:r w:rsidRPr="00B12FE0">
        <w:rPr>
          <w:color w:val="000000" w:themeColor="text1"/>
        </w:rPr>
        <w:t>场所</w:t>
      </w:r>
      <w:r w:rsidRPr="00B12FE0">
        <w:rPr>
          <w:rFonts w:hint="eastAsia"/>
          <w:color w:val="000000" w:themeColor="text1"/>
        </w:rPr>
        <w:t>，</w:t>
      </w:r>
      <w:r w:rsidRPr="00B12FE0">
        <w:rPr>
          <w:color w:val="000000" w:themeColor="text1"/>
        </w:rPr>
        <w:t>避开候诊病人，</w:t>
      </w:r>
      <w:r w:rsidRPr="00B12FE0">
        <w:rPr>
          <w:rFonts w:hint="eastAsia"/>
          <w:color w:val="000000" w:themeColor="text1"/>
        </w:rPr>
        <w:t>通过卫生</w:t>
      </w:r>
      <w:proofErr w:type="gramStart"/>
      <w:r w:rsidRPr="00B12FE0">
        <w:rPr>
          <w:rFonts w:hint="eastAsia"/>
          <w:color w:val="000000" w:themeColor="text1"/>
        </w:rPr>
        <w:t>通过间</w:t>
      </w:r>
      <w:proofErr w:type="gramEnd"/>
      <w:r w:rsidRPr="00B12FE0">
        <w:rPr>
          <w:rFonts w:hint="eastAsia"/>
          <w:color w:val="000000" w:themeColor="text1"/>
        </w:rPr>
        <w:t>进入高活室，</w:t>
      </w:r>
      <w:r w:rsidRPr="00B12FE0">
        <w:rPr>
          <w:color w:val="000000" w:themeColor="text1"/>
        </w:rPr>
        <w:t>在摄像头监控下与医院工作人员核对放射性药物信息量，双方办理交接手续并存档，并将药物暂存在储源室内。</w:t>
      </w:r>
    </w:p>
    <w:p w14:paraId="31A8B1E5" w14:textId="77777777" w:rsidR="00A67F21" w:rsidRPr="00B12FE0" w:rsidRDefault="00000000">
      <w:pPr>
        <w:topLinePunct/>
        <w:adjustRightInd w:val="0"/>
        <w:snapToGrid w:val="0"/>
        <w:spacing w:line="360" w:lineRule="auto"/>
        <w:ind w:firstLineChars="200" w:firstLine="480"/>
        <w:rPr>
          <w:bCs/>
          <w:color w:val="000000" w:themeColor="text1"/>
          <w:sz w:val="21"/>
          <w:szCs w:val="21"/>
        </w:rPr>
      </w:pPr>
      <w:r w:rsidRPr="00B12FE0">
        <w:rPr>
          <w:rFonts w:ascii="Cambria Math" w:hAnsi="Cambria Math" w:cs="Cambria Math"/>
          <w:bCs/>
          <w:color w:val="000000" w:themeColor="text1"/>
          <w:szCs w:val="24"/>
        </w:rPr>
        <w:t>④</w:t>
      </w:r>
      <w:r w:rsidRPr="00B12FE0">
        <w:rPr>
          <w:rFonts w:ascii="宋体" w:hAnsi="宋体"/>
          <w:bCs/>
          <w:color w:val="000000" w:themeColor="text1"/>
          <w:szCs w:val="24"/>
        </w:rPr>
        <w:t>污物路径</w:t>
      </w:r>
    </w:p>
    <w:p w14:paraId="2FBD66F3" w14:textId="77777777" w:rsidR="00A67F21" w:rsidRPr="00B12FE0" w:rsidRDefault="00000000">
      <w:pPr>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bCs/>
          <w:color w:val="000000" w:themeColor="text1"/>
          <w:szCs w:val="24"/>
        </w:rPr>
        <w:lastRenderedPageBreak/>
        <w:t>核医学科核素诊断场所的</w:t>
      </w:r>
      <w:r w:rsidRPr="00B12FE0">
        <w:rPr>
          <w:rFonts w:ascii="宋体" w:hAnsi="宋体"/>
          <w:color w:val="000000" w:themeColor="text1"/>
          <w:szCs w:val="24"/>
        </w:rPr>
        <w:t>放射性废物在废物间衰变至符合</w:t>
      </w:r>
      <w:proofErr w:type="gramStart"/>
      <w:r w:rsidRPr="00B12FE0">
        <w:rPr>
          <w:rFonts w:ascii="宋体" w:hAnsi="宋体"/>
          <w:color w:val="000000" w:themeColor="text1"/>
          <w:szCs w:val="24"/>
        </w:rPr>
        <w:t>清洁解</w:t>
      </w:r>
      <w:proofErr w:type="gramEnd"/>
      <w:r w:rsidRPr="00B12FE0">
        <w:rPr>
          <w:rFonts w:ascii="宋体" w:hAnsi="宋体"/>
          <w:color w:val="000000" w:themeColor="text1"/>
          <w:szCs w:val="24"/>
        </w:rPr>
        <w:t>控水平后，由废物间送至医院医疗废物库收集后按照医疗废物处置。</w:t>
      </w:r>
    </w:p>
    <w:p w14:paraId="10233A11"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核医学</w:t>
      </w:r>
      <w:r w:rsidRPr="00B12FE0">
        <w:rPr>
          <w:bCs/>
          <w:color w:val="000000" w:themeColor="text1"/>
        </w:rPr>
        <w:t>科</w:t>
      </w:r>
      <w:r w:rsidRPr="00B12FE0">
        <w:rPr>
          <w:rFonts w:hint="eastAsia"/>
          <w:bCs/>
          <w:color w:val="000000" w:themeColor="text1"/>
        </w:rPr>
        <w:t>核素诊断场所</w:t>
      </w:r>
      <w:r w:rsidRPr="00B12FE0">
        <w:rPr>
          <w:rFonts w:hint="eastAsia"/>
          <w:color w:val="000000" w:themeColor="text1"/>
        </w:rPr>
        <w:t>设立相对独立的工作人员、患者、放射性药物和放射性废物路径。工作人员通道和患者通道分开，减少给药后患者对其他人员的照射。注射放射性药物后患者与注射放射性药物前患者不交叉，人员与放射性药物通道不交叉，放射性药物和放射性废物运送通道尽可能短捷，满足</w:t>
      </w:r>
      <w:r w:rsidRPr="00B12FE0">
        <w:rPr>
          <w:rFonts w:cs="宋体" w:hint="eastAsia"/>
          <w:color w:val="000000" w:themeColor="text1"/>
          <w:lang w:val="en-GB"/>
        </w:rPr>
        <w:t>《核医学辐射防护与安全要求》（</w:t>
      </w:r>
      <w:r w:rsidRPr="00B12FE0">
        <w:rPr>
          <w:rFonts w:cs="宋体" w:hint="eastAsia"/>
          <w:color w:val="000000" w:themeColor="text1"/>
          <w:lang w:val="en-GB"/>
        </w:rPr>
        <w:t>HJ1188-2021</w:t>
      </w:r>
      <w:r w:rsidRPr="00B12FE0">
        <w:rPr>
          <w:rFonts w:cs="宋体" w:hint="eastAsia"/>
          <w:color w:val="000000" w:themeColor="text1"/>
          <w:lang w:val="en-GB"/>
        </w:rPr>
        <w:t>）相关要求</w:t>
      </w:r>
      <w:r w:rsidRPr="00B12FE0">
        <w:rPr>
          <w:rFonts w:hint="eastAsia"/>
          <w:color w:val="000000" w:themeColor="text1"/>
        </w:rPr>
        <w:t>。</w:t>
      </w:r>
    </w:p>
    <w:p w14:paraId="32776416" w14:textId="77777777" w:rsidR="00A67F21" w:rsidRPr="00B12FE0" w:rsidRDefault="00000000">
      <w:pPr>
        <w:overflowPunct w:val="0"/>
        <w:topLinePunct/>
        <w:adjustRightInd w:val="0"/>
        <w:snapToGrid w:val="0"/>
        <w:spacing w:line="360" w:lineRule="auto"/>
        <w:outlineLvl w:val="3"/>
        <w:rPr>
          <w:b/>
          <w:bCs/>
          <w:color w:val="000000" w:themeColor="text1"/>
          <w:sz w:val="21"/>
          <w:szCs w:val="21"/>
        </w:rPr>
      </w:pPr>
      <w:r w:rsidRPr="00B12FE0">
        <w:rPr>
          <w:b/>
          <w:bCs/>
          <w:color w:val="000000" w:themeColor="text1"/>
          <w:szCs w:val="24"/>
        </w:rPr>
        <w:t>9.1.1.</w:t>
      </w:r>
      <w:r w:rsidRPr="00B12FE0">
        <w:rPr>
          <w:rFonts w:hint="eastAsia"/>
          <w:b/>
          <w:bCs/>
          <w:color w:val="000000" w:themeColor="text1"/>
          <w:szCs w:val="24"/>
        </w:rPr>
        <w:t>4</w:t>
      </w:r>
      <w:r w:rsidRPr="00B12FE0">
        <w:rPr>
          <w:rFonts w:ascii="宋体" w:hAnsi="宋体"/>
          <w:b/>
          <w:bCs/>
          <w:color w:val="000000" w:themeColor="text1"/>
          <w:szCs w:val="24"/>
        </w:rPr>
        <w:t>核医学科核素</w:t>
      </w:r>
      <w:r w:rsidRPr="00B12FE0">
        <w:rPr>
          <w:rFonts w:ascii="宋体" w:hAnsi="宋体" w:hint="eastAsia"/>
          <w:b/>
          <w:bCs/>
          <w:color w:val="000000" w:themeColor="text1"/>
          <w:szCs w:val="24"/>
        </w:rPr>
        <w:t>治疗</w:t>
      </w:r>
      <w:r w:rsidRPr="00B12FE0">
        <w:rPr>
          <w:rFonts w:ascii="宋体" w:hAnsi="宋体"/>
          <w:b/>
          <w:color w:val="000000" w:themeColor="text1"/>
          <w:szCs w:val="24"/>
        </w:rPr>
        <w:t>场所设备和工艺分析</w:t>
      </w:r>
      <w:r w:rsidRPr="00B12FE0">
        <w:rPr>
          <w:rFonts w:ascii="宋体" w:hAnsi="宋体"/>
          <w:b/>
          <w:bCs/>
          <w:color w:val="000000" w:themeColor="text1"/>
          <w:szCs w:val="24"/>
        </w:rPr>
        <w:t>（肿瘤治疗中心综合楼</w:t>
      </w:r>
      <w:r w:rsidRPr="00B12FE0">
        <w:rPr>
          <w:rFonts w:ascii="宋体" w:hAnsi="宋体" w:hint="eastAsia"/>
          <w:b/>
          <w:bCs/>
          <w:color w:val="000000" w:themeColor="text1"/>
          <w:szCs w:val="24"/>
        </w:rPr>
        <w:t>二</w:t>
      </w:r>
      <w:r w:rsidRPr="00B12FE0">
        <w:rPr>
          <w:rFonts w:ascii="宋体" w:hAnsi="宋体"/>
          <w:b/>
          <w:bCs/>
          <w:color w:val="000000" w:themeColor="text1"/>
          <w:szCs w:val="24"/>
        </w:rPr>
        <w:t>层）</w:t>
      </w:r>
    </w:p>
    <w:p w14:paraId="29476587" w14:textId="77777777" w:rsidR="00A67F21" w:rsidRPr="00B12FE0" w:rsidRDefault="00000000">
      <w:pPr>
        <w:snapToGrid w:val="0"/>
        <w:spacing w:line="360" w:lineRule="auto"/>
        <w:outlineLvl w:val="3"/>
        <w:rPr>
          <w:b/>
          <w:color w:val="000000" w:themeColor="text1"/>
        </w:rPr>
      </w:pPr>
      <w:r w:rsidRPr="00B12FE0">
        <w:rPr>
          <w:rFonts w:hint="eastAsia"/>
          <w:b/>
          <w:color w:val="000000" w:themeColor="text1"/>
        </w:rPr>
        <w:t xml:space="preserve">9.1.1.4.1  </w:t>
      </w:r>
      <w:r w:rsidRPr="00B12FE0">
        <w:rPr>
          <w:rFonts w:hint="eastAsia"/>
          <w:b/>
          <w:color w:val="000000" w:themeColor="text1"/>
          <w:vertAlign w:val="superscript"/>
        </w:rPr>
        <w:t>131</w:t>
      </w:r>
      <w:r w:rsidRPr="00B12FE0">
        <w:rPr>
          <w:rFonts w:hint="eastAsia"/>
          <w:b/>
          <w:color w:val="000000" w:themeColor="text1"/>
        </w:rPr>
        <w:t>I</w:t>
      </w:r>
      <w:proofErr w:type="gramStart"/>
      <w:r w:rsidRPr="00B12FE0">
        <w:rPr>
          <w:rFonts w:hint="eastAsia"/>
          <w:b/>
          <w:color w:val="000000" w:themeColor="text1"/>
        </w:rPr>
        <w:t>甲癌治疗</w:t>
      </w:r>
      <w:proofErr w:type="gramEnd"/>
    </w:p>
    <w:p w14:paraId="330EB519" w14:textId="77777777" w:rsidR="00A67F21" w:rsidRPr="00B12FE0" w:rsidRDefault="00000000">
      <w:pPr>
        <w:spacing w:line="360" w:lineRule="auto"/>
        <w:ind w:firstLine="480"/>
        <w:rPr>
          <w:b/>
          <w:bCs/>
          <w:color w:val="000000" w:themeColor="text1"/>
        </w:rPr>
      </w:pPr>
      <w:r w:rsidRPr="00B12FE0">
        <w:rPr>
          <w:rFonts w:hint="eastAsia"/>
          <w:b/>
          <w:bCs/>
          <w:color w:val="000000" w:themeColor="text1"/>
        </w:rPr>
        <w:t>（</w:t>
      </w:r>
      <w:r w:rsidRPr="00B12FE0">
        <w:rPr>
          <w:rFonts w:hint="eastAsia"/>
          <w:b/>
          <w:bCs/>
          <w:color w:val="000000" w:themeColor="text1"/>
        </w:rPr>
        <w:t>1</w:t>
      </w:r>
      <w:r w:rsidRPr="00B12FE0">
        <w:rPr>
          <w:rFonts w:hint="eastAsia"/>
          <w:b/>
          <w:bCs/>
          <w:color w:val="000000" w:themeColor="text1"/>
        </w:rPr>
        <w:t>）工作</w:t>
      </w:r>
      <w:r w:rsidRPr="00B12FE0">
        <w:rPr>
          <w:b/>
          <w:bCs/>
          <w:color w:val="000000" w:themeColor="text1"/>
        </w:rPr>
        <w:t>原理</w:t>
      </w:r>
    </w:p>
    <w:p w14:paraId="56465DBE" w14:textId="77777777" w:rsidR="00A67F21" w:rsidRPr="00B12FE0" w:rsidRDefault="00000000">
      <w:pPr>
        <w:topLinePunct/>
        <w:autoSpaceDE w:val="0"/>
        <w:adjustRightInd w:val="0"/>
        <w:snapToGrid w:val="0"/>
        <w:spacing w:line="360" w:lineRule="auto"/>
        <w:ind w:firstLineChars="200" w:firstLine="480"/>
        <w:rPr>
          <w:color w:val="000000" w:themeColor="text1"/>
        </w:rPr>
      </w:pPr>
      <w:r w:rsidRPr="00B12FE0">
        <w:rPr>
          <w:color w:val="000000" w:themeColor="text1"/>
        </w:rPr>
        <w:t>放射性核素</w:t>
      </w:r>
      <w:r w:rsidRPr="00B12FE0">
        <w:rPr>
          <w:color w:val="000000" w:themeColor="text1"/>
          <w:vertAlign w:val="superscript"/>
        </w:rPr>
        <w:t>131</w:t>
      </w:r>
      <w:r w:rsidRPr="00B12FE0">
        <w:rPr>
          <w:color w:val="000000" w:themeColor="text1"/>
        </w:rPr>
        <w:t>I</w:t>
      </w:r>
      <w:r w:rsidRPr="00B12FE0">
        <w:rPr>
          <w:color w:val="000000" w:themeColor="text1"/>
        </w:rPr>
        <w:t>可以高度选择性聚集在分化型甲状腺癌及转移灶，</w:t>
      </w:r>
      <w:r w:rsidRPr="00B12FE0">
        <w:rPr>
          <w:color w:val="000000" w:themeColor="text1"/>
          <w:vertAlign w:val="superscript"/>
        </w:rPr>
        <w:t>131</w:t>
      </w:r>
      <w:r w:rsidRPr="00B12FE0">
        <w:rPr>
          <w:color w:val="000000" w:themeColor="text1"/>
        </w:rPr>
        <w:t>I</w:t>
      </w:r>
      <w:r w:rsidRPr="00B12FE0">
        <w:rPr>
          <w:color w:val="000000" w:themeColor="text1"/>
        </w:rPr>
        <w:t>衰变时发射出射程很短的</w:t>
      </w:r>
      <w:r w:rsidRPr="00B12FE0">
        <w:rPr>
          <w:color w:val="000000" w:themeColor="text1"/>
        </w:rPr>
        <w:t>β</w:t>
      </w:r>
      <w:r w:rsidRPr="00B12FE0">
        <w:rPr>
          <w:color w:val="000000" w:themeColor="text1"/>
        </w:rPr>
        <w:t>射线和能量跃迁时发出的</w:t>
      </w:r>
      <w:r w:rsidRPr="00B12FE0">
        <w:rPr>
          <w:color w:val="000000" w:themeColor="text1"/>
        </w:rPr>
        <w:t>γ</w:t>
      </w:r>
      <w:r w:rsidRPr="00B12FE0">
        <w:rPr>
          <w:color w:val="000000" w:themeColor="text1"/>
        </w:rPr>
        <w:t>射线，从而对病变组织进行内照射治疗，在局部产生足够的电离辐射生物学效应，达到抑制或破坏病变组织的目的，而邻近的正常组织吸收剂量很低，从而达到治疗目的。</w:t>
      </w:r>
    </w:p>
    <w:p w14:paraId="64871DCF" w14:textId="77777777" w:rsidR="00A67F21" w:rsidRPr="00B12FE0" w:rsidRDefault="00000000">
      <w:pPr>
        <w:adjustRightInd w:val="0"/>
        <w:snapToGrid w:val="0"/>
        <w:spacing w:line="360" w:lineRule="auto"/>
        <w:ind w:firstLineChars="200" w:firstLine="482"/>
        <w:rPr>
          <w:b/>
          <w:bCs/>
          <w:color w:val="000000" w:themeColor="text1"/>
        </w:rPr>
      </w:pPr>
      <w:r w:rsidRPr="00B12FE0">
        <w:rPr>
          <w:b/>
          <w:bCs/>
          <w:color w:val="000000" w:themeColor="text1"/>
        </w:rPr>
        <w:t>（</w:t>
      </w:r>
      <w:r w:rsidRPr="00B12FE0">
        <w:rPr>
          <w:rFonts w:hint="eastAsia"/>
          <w:b/>
          <w:bCs/>
          <w:color w:val="000000" w:themeColor="text1"/>
        </w:rPr>
        <w:t>2</w:t>
      </w:r>
      <w:r w:rsidRPr="00B12FE0">
        <w:rPr>
          <w:b/>
          <w:bCs/>
          <w:color w:val="000000" w:themeColor="text1"/>
        </w:rPr>
        <w:t>）诊疗规划</w:t>
      </w:r>
    </w:p>
    <w:p w14:paraId="2E8F7B99" w14:textId="77777777" w:rsidR="00A67F21" w:rsidRPr="00B12FE0" w:rsidRDefault="00000000">
      <w:pPr>
        <w:overflowPunct w:val="0"/>
        <w:adjustRightInd w:val="0"/>
        <w:snapToGrid w:val="0"/>
        <w:spacing w:line="360" w:lineRule="auto"/>
        <w:ind w:firstLine="480"/>
        <w:rPr>
          <w:bCs/>
          <w:color w:val="000000" w:themeColor="text1"/>
          <w:szCs w:val="24"/>
        </w:rPr>
      </w:pPr>
      <w:r w:rsidRPr="00B12FE0">
        <w:rPr>
          <w:rFonts w:ascii="宋体" w:hAnsi="宋体"/>
          <w:bCs/>
          <w:color w:val="000000" w:themeColor="text1"/>
          <w:szCs w:val="24"/>
        </w:rPr>
        <w:t>本项目核素治疗场所共设置有</w:t>
      </w:r>
      <w:r w:rsidRPr="00B12FE0">
        <w:rPr>
          <w:rFonts w:hint="eastAsia"/>
          <w:bCs/>
          <w:color w:val="000000" w:themeColor="text1"/>
          <w:szCs w:val="24"/>
        </w:rPr>
        <w:t>8</w:t>
      </w:r>
      <w:r w:rsidRPr="00B12FE0">
        <w:rPr>
          <w:rFonts w:ascii="宋体" w:hAnsi="宋体"/>
          <w:bCs/>
          <w:color w:val="000000" w:themeColor="text1"/>
          <w:szCs w:val="24"/>
        </w:rPr>
        <w:t>间单人核素病房，</w:t>
      </w:r>
      <w:proofErr w:type="gramStart"/>
      <w:r w:rsidRPr="00B12FE0">
        <w:rPr>
          <w:rFonts w:ascii="宋体" w:hAnsi="宋体"/>
          <w:bCs/>
          <w:color w:val="000000" w:themeColor="text1"/>
          <w:szCs w:val="24"/>
        </w:rPr>
        <w:t>甲癌日</w:t>
      </w:r>
      <w:proofErr w:type="gramEnd"/>
      <w:r w:rsidRPr="00B12FE0">
        <w:rPr>
          <w:rFonts w:ascii="宋体" w:hAnsi="宋体"/>
          <w:bCs/>
          <w:color w:val="000000" w:themeColor="text1"/>
          <w:szCs w:val="24"/>
        </w:rPr>
        <w:t>最大治疗人数</w:t>
      </w:r>
      <w:r w:rsidRPr="00B12FE0">
        <w:rPr>
          <w:rFonts w:hint="eastAsia"/>
          <w:bCs/>
          <w:color w:val="000000" w:themeColor="text1"/>
          <w:szCs w:val="24"/>
        </w:rPr>
        <w:t>8</w:t>
      </w:r>
      <w:r w:rsidRPr="00B12FE0">
        <w:rPr>
          <w:rFonts w:ascii="宋体" w:hAnsi="宋体"/>
          <w:bCs/>
          <w:color w:val="000000" w:themeColor="text1"/>
          <w:szCs w:val="24"/>
        </w:rPr>
        <w:t>人，每周一安排服药，</w:t>
      </w:r>
      <w:proofErr w:type="gramStart"/>
      <w:r w:rsidRPr="00B12FE0">
        <w:rPr>
          <w:rFonts w:ascii="宋体" w:hAnsi="宋体"/>
          <w:bCs/>
          <w:color w:val="000000" w:themeColor="text1"/>
          <w:szCs w:val="24"/>
        </w:rPr>
        <w:t>甲癌治疗</w:t>
      </w:r>
      <w:proofErr w:type="gramEnd"/>
      <w:r w:rsidRPr="00B12FE0">
        <w:rPr>
          <w:rFonts w:ascii="宋体" w:hAnsi="宋体"/>
          <w:bCs/>
          <w:color w:val="000000" w:themeColor="text1"/>
          <w:szCs w:val="24"/>
        </w:rPr>
        <w:t>患者需在病房内住院治疗，一般情况下最多住院</w:t>
      </w:r>
      <w:r w:rsidRPr="00B12FE0">
        <w:rPr>
          <w:bCs/>
          <w:color w:val="000000" w:themeColor="text1"/>
          <w:szCs w:val="24"/>
        </w:rPr>
        <w:t>5</w:t>
      </w:r>
      <w:r w:rsidRPr="00B12FE0">
        <w:rPr>
          <w:rFonts w:ascii="宋体" w:hAnsi="宋体"/>
          <w:bCs/>
          <w:color w:val="000000" w:themeColor="text1"/>
          <w:szCs w:val="24"/>
        </w:rPr>
        <w:t>天。</w:t>
      </w:r>
    </w:p>
    <w:p w14:paraId="5185578D" w14:textId="77777777" w:rsidR="00A67F21" w:rsidRPr="00B12FE0" w:rsidRDefault="00000000">
      <w:pPr>
        <w:adjustRightInd w:val="0"/>
        <w:snapToGrid w:val="0"/>
        <w:spacing w:line="360" w:lineRule="auto"/>
        <w:jc w:val="center"/>
        <w:rPr>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9.1.1.</w:t>
      </w:r>
      <w:r w:rsidRPr="00B12FE0">
        <w:rPr>
          <w:rFonts w:hint="eastAsia"/>
          <w:b/>
          <w:bCs/>
          <w:color w:val="000000" w:themeColor="text1"/>
          <w:sz w:val="21"/>
          <w:szCs w:val="21"/>
        </w:rPr>
        <w:t>4</w:t>
      </w:r>
      <w:r w:rsidRPr="00B12FE0">
        <w:rPr>
          <w:b/>
          <w:bCs/>
          <w:color w:val="000000" w:themeColor="text1"/>
          <w:sz w:val="21"/>
          <w:szCs w:val="21"/>
        </w:rPr>
        <w:t>-</w:t>
      </w:r>
      <w:r w:rsidRPr="00B12FE0">
        <w:rPr>
          <w:rFonts w:hint="eastAsia"/>
          <w:b/>
          <w:bCs/>
          <w:color w:val="000000" w:themeColor="text1"/>
          <w:sz w:val="21"/>
          <w:szCs w:val="21"/>
        </w:rPr>
        <w:t>1</w:t>
      </w:r>
      <w:r w:rsidRPr="00B12FE0">
        <w:rPr>
          <w:b/>
          <w:bCs/>
          <w:color w:val="000000" w:themeColor="text1"/>
          <w:sz w:val="21"/>
          <w:szCs w:val="21"/>
        </w:rPr>
        <w:t xml:space="preserve">  </w:t>
      </w:r>
      <w:r w:rsidRPr="00B12FE0">
        <w:rPr>
          <w:rFonts w:ascii="宋体" w:hAnsi="宋体" w:hint="eastAsia"/>
          <w:b/>
          <w:bCs/>
          <w:color w:val="000000" w:themeColor="text1"/>
          <w:sz w:val="21"/>
          <w:szCs w:val="21"/>
        </w:rPr>
        <w:t>甲亢治疗项目诊疗</w:t>
      </w:r>
      <w:r w:rsidRPr="00B12FE0">
        <w:rPr>
          <w:rFonts w:ascii="宋体" w:hAnsi="宋体"/>
          <w:b/>
          <w:bCs/>
          <w:color w:val="000000" w:themeColor="text1"/>
          <w:sz w:val="21"/>
          <w:szCs w:val="21"/>
        </w:rPr>
        <w:t>规划</w:t>
      </w:r>
    </w:p>
    <w:tbl>
      <w:tblPr>
        <w:tblW w:w="9026" w:type="dxa"/>
        <w:jc w:val="center"/>
        <w:tblLayout w:type="fixed"/>
        <w:tblLook w:val="04A0" w:firstRow="1" w:lastRow="0" w:firstColumn="1" w:lastColumn="0" w:noHBand="0" w:noVBand="1"/>
      </w:tblPr>
      <w:tblGrid>
        <w:gridCol w:w="1324"/>
        <w:gridCol w:w="1595"/>
        <w:gridCol w:w="2321"/>
        <w:gridCol w:w="1584"/>
        <w:gridCol w:w="2202"/>
      </w:tblGrid>
      <w:tr w:rsidR="00A67F21" w:rsidRPr="00B12FE0" w14:paraId="12CA1929" w14:textId="77777777">
        <w:trPr>
          <w:trHeight w:val="272"/>
          <w:jc w:val="center"/>
        </w:trPr>
        <w:tc>
          <w:tcPr>
            <w:tcW w:w="1324" w:type="dxa"/>
            <w:tcBorders>
              <w:top w:val="single" w:sz="4" w:space="0" w:color="000000"/>
              <w:left w:val="single" w:sz="4" w:space="0" w:color="000000"/>
              <w:bottom w:val="single" w:sz="4" w:space="0" w:color="000000"/>
              <w:right w:val="single" w:sz="4" w:space="0" w:color="000000"/>
            </w:tcBorders>
            <w:vAlign w:val="center"/>
          </w:tcPr>
          <w:p w14:paraId="037C943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治疗核素</w:t>
            </w:r>
          </w:p>
        </w:tc>
        <w:tc>
          <w:tcPr>
            <w:tcW w:w="1595" w:type="dxa"/>
            <w:tcBorders>
              <w:top w:val="single" w:sz="4" w:space="0" w:color="000000"/>
              <w:left w:val="nil"/>
              <w:bottom w:val="single" w:sz="4" w:space="0" w:color="000000"/>
              <w:right w:val="single" w:sz="4" w:space="0" w:color="000000"/>
            </w:tcBorders>
            <w:vAlign w:val="center"/>
          </w:tcPr>
          <w:p w14:paraId="5D4DD8B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患者数量</w:t>
            </w:r>
          </w:p>
        </w:tc>
        <w:tc>
          <w:tcPr>
            <w:tcW w:w="2321" w:type="dxa"/>
            <w:tcBorders>
              <w:top w:val="single" w:sz="4" w:space="0" w:color="000000"/>
              <w:left w:val="nil"/>
              <w:bottom w:val="single" w:sz="4" w:space="0" w:color="000000"/>
              <w:right w:val="single" w:sz="4" w:space="0" w:color="000000"/>
            </w:tcBorders>
            <w:vAlign w:val="center"/>
          </w:tcPr>
          <w:p w14:paraId="0E7FD82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核素用量（</w:t>
            </w:r>
            <w:r w:rsidRPr="00B12FE0">
              <w:rPr>
                <w:color w:val="000000" w:themeColor="text1"/>
                <w:kern w:val="0"/>
                <w:sz w:val="21"/>
                <w:szCs w:val="21"/>
              </w:rPr>
              <w:t>Bq/</w:t>
            </w:r>
            <w:r w:rsidRPr="00B12FE0">
              <w:rPr>
                <w:rFonts w:ascii="宋体" w:hAnsi="宋体"/>
                <w:color w:val="000000" w:themeColor="text1"/>
                <w:kern w:val="0"/>
                <w:sz w:val="21"/>
                <w:szCs w:val="21"/>
              </w:rPr>
              <w:t>人）</w:t>
            </w:r>
          </w:p>
        </w:tc>
        <w:tc>
          <w:tcPr>
            <w:tcW w:w="1584" w:type="dxa"/>
            <w:tcBorders>
              <w:top w:val="single" w:sz="4" w:space="0" w:color="000000"/>
              <w:left w:val="nil"/>
              <w:bottom w:val="single" w:sz="4" w:space="0" w:color="000000"/>
              <w:right w:val="single" w:sz="4" w:space="0" w:color="000000"/>
            </w:tcBorders>
            <w:vAlign w:val="center"/>
          </w:tcPr>
          <w:p w14:paraId="5994D4D8"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给药放射</w:t>
            </w:r>
          </w:p>
        </w:tc>
        <w:tc>
          <w:tcPr>
            <w:tcW w:w="2202" w:type="dxa"/>
            <w:tcBorders>
              <w:top w:val="single" w:sz="4" w:space="0" w:color="000000"/>
              <w:left w:val="nil"/>
              <w:bottom w:val="single" w:sz="4" w:space="0" w:color="000000"/>
              <w:right w:val="single" w:sz="4" w:space="0" w:color="000000"/>
            </w:tcBorders>
            <w:vAlign w:val="center"/>
          </w:tcPr>
          <w:p w14:paraId="3DB6398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来源</w:t>
            </w:r>
          </w:p>
        </w:tc>
      </w:tr>
      <w:tr w:rsidR="00A67F21" w:rsidRPr="00B12FE0" w14:paraId="1F0D92AE" w14:textId="77777777">
        <w:trPr>
          <w:trHeight w:val="272"/>
          <w:jc w:val="center"/>
        </w:trPr>
        <w:tc>
          <w:tcPr>
            <w:tcW w:w="1324" w:type="dxa"/>
            <w:tcBorders>
              <w:top w:val="single" w:sz="4" w:space="0" w:color="000000"/>
              <w:left w:val="single" w:sz="4" w:space="0" w:color="000000"/>
              <w:bottom w:val="single" w:sz="4" w:space="0" w:color="000000"/>
              <w:right w:val="single" w:sz="4" w:space="0" w:color="000000"/>
            </w:tcBorders>
            <w:vAlign w:val="center"/>
          </w:tcPr>
          <w:p w14:paraId="6E33EBF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甲癌</w:t>
            </w:r>
            <w:proofErr w:type="gramEnd"/>
          </w:p>
        </w:tc>
        <w:tc>
          <w:tcPr>
            <w:tcW w:w="1595" w:type="dxa"/>
            <w:tcBorders>
              <w:top w:val="single" w:sz="4" w:space="0" w:color="000000"/>
              <w:left w:val="nil"/>
              <w:bottom w:val="single" w:sz="4" w:space="0" w:color="000000"/>
              <w:right w:val="single" w:sz="4" w:space="0" w:color="000000"/>
            </w:tcBorders>
            <w:vAlign w:val="center"/>
          </w:tcPr>
          <w:p w14:paraId="58EF89A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w:t>
            </w:r>
            <w:r w:rsidRPr="00B12FE0">
              <w:rPr>
                <w:rFonts w:ascii="宋体" w:hAnsi="宋体"/>
                <w:color w:val="000000" w:themeColor="text1"/>
                <w:kern w:val="0"/>
                <w:sz w:val="21"/>
                <w:szCs w:val="21"/>
              </w:rPr>
              <w:t>人</w:t>
            </w:r>
            <w:r w:rsidRPr="00B12FE0">
              <w:rPr>
                <w:color w:val="000000" w:themeColor="text1"/>
                <w:kern w:val="0"/>
                <w:sz w:val="21"/>
                <w:szCs w:val="21"/>
              </w:rPr>
              <w:t>/</w:t>
            </w:r>
            <w:r w:rsidRPr="00B12FE0">
              <w:rPr>
                <w:rFonts w:ascii="宋体" w:hAnsi="宋体"/>
                <w:color w:val="000000" w:themeColor="text1"/>
                <w:kern w:val="0"/>
                <w:sz w:val="21"/>
                <w:szCs w:val="21"/>
              </w:rPr>
              <w:t>天</w:t>
            </w:r>
            <w:r w:rsidRPr="00B12FE0">
              <w:rPr>
                <w:color w:val="000000" w:themeColor="text1"/>
                <w:kern w:val="0"/>
                <w:sz w:val="21"/>
                <w:szCs w:val="21"/>
              </w:rPr>
              <w:t>/</w:t>
            </w:r>
            <w:r w:rsidRPr="00B12FE0">
              <w:rPr>
                <w:rFonts w:ascii="宋体" w:hAnsi="宋体"/>
                <w:color w:val="000000" w:themeColor="text1"/>
                <w:kern w:val="0"/>
                <w:sz w:val="21"/>
                <w:szCs w:val="21"/>
              </w:rPr>
              <w:t>周</w:t>
            </w:r>
          </w:p>
        </w:tc>
        <w:tc>
          <w:tcPr>
            <w:tcW w:w="2321" w:type="dxa"/>
            <w:tcBorders>
              <w:top w:val="single" w:sz="4" w:space="0" w:color="000000"/>
              <w:left w:val="nil"/>
              <w:bottom w:val="single" w:sz="4" w:space="0" w:color="000000"/>
              <w:right w:val="single" w:sz="4" w:space="0" w:color="000000"/>
            </w:tcBorders>
            <w:noWrap/>
            <w:vAlign w:val="center"/>
          </w:tcPr>
          <w:p w14:paraId="7880339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4.44E+09</w:t>
            </w:r>
            <w:r w:rsidRPr="00B12FE0">
              <w:rPr>
                <w:color w:val="000000" w:themeColor="text1"/>
                <w:sz w:val="21"/>
                <w:szCs w:val="21"/>
              </w:rPr>
              <w:t>Bq/</w:t>
            </w:r>
            <w:r w:rsidRPr="00B12FE0">
              <w:rPr>
                <w:color w:val="000000" w:themeColor="text1"/>
                <w:sz w:val="21"/>
                <w:szCs w:val="21"/>
              </w:rPr>
              <w:t>人</w:t>
            </w:r>
          </w:p>
        </w:tc>
        <w:tc>
          <w:tcPr>
            <w:tcW w:w="1584" w:type="dxa"/>
            <w:tcBorders>
              <w:top w:val="single" w:sz="4" w:space="0" w:color="000000"/>
              <w:left w:val="nil"/>
              <w:bottom w:val="single" w:sz="4" w:space="0" w:color="000000"/>
              <w:right w:val="single" w:sz="4" w:space="0" w:color="000000"/>
            </w:tcBorders>
            <w:vAlign w:val="center"/>
          </w:tcPr>
          <w:p w14:paraId="6949027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口服</w:t>
            </w:r>
          </w:p>
        </w:tc>
        <w:tc>
          <w:tcPr>
            <w:tcW w:w="2202" w:type="dxa"/>
            <w:tcBorders>
              <w:top w:val="single" w:sz="4" w:space="0" w:color="000000"/>
              <w:left w:val="nil"/>
              <w:bottom w:val="single" w:sz="4" w:space="0" w:color="000000"/>
              <w:right w:val="single" w:sz="4" w:space="0" w:color="000000"/>
            </w:tcBorders>
            <w:vAlign w:val="center"/>
          </w:tcPr>
          <w:p w14:paraId="30F0C04A"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外购药物，自动分装</w:t>
            </w:r>
          </w:p>
        </w:tc>
      </w:tr>
    </w:tbl>
    <w:p w14:paraId="66C0CEBD" w14:textId="77777777" w:rsidR="00A67F21" w:rsidRPr="00B12FE0" w:rsidRDefault="00000000">
      <w:pPr>
        <w:adjustRightInd w:val="0"/>
        <w:snapToGrid w:val="0"/>
        <w:spacing w:line="360" w:lineRule="auto"/>
        <w:ind w:firstLineChars="200" w:firstLine="482"/>
        <w:rPr>
          <w:b/>
          <w:bCs/>
          <w:color w:val="000000" w:themeColor="text1"/>
          <w:sz w:val="21"/>
          <w:szCs w:val="21"/>
        </w:rPr>
      </w:pPr>
      <w:r w:rsidRPr="00B12FE0">
        <w:rPr>
          <w:rFonts w:ascii="宋体" w:hAnsi="宋体"/>
          <w:b/>
          <w:bCs/>
          <w:color w:val="000000" w:themeColor="text1"/>
          <w:szCs w:val="24"/>
        </w:rPr>
        <w:t>（</w:t>
      </w:r>
      <w:r w:rsidRPr="00B12FE0">
        <w:rPr>
          <w:rFonts w:hint="eastAsia"/>
          <w:b/>
          <w:bCs/>
          <w:color w:val="000000" w:themeColor="text1"/>
          <w:szCs w:val="24"/>
        </w:rPr>
        <w:t>3</w:t>
      </w:r>
      <w:r w:rsidRPr="00B12FE0">
        <w:rPr>
          <w:rFonts w:ascii="宋体" w:hAnsi="宋体"/>
          <w:b/>
          <w:bCs/>
          <w:color w:val="000000" w:themeColor="text1"/>
          <w:szCs w:val="24"/>
        </w:rPr>
        <w:t>）工作流程</w:t>
      </w:r>
      <w:proofErr w:type="gramStart"/>
      <w:r w:rsidRPr="00B12FE0">
        <w:rPr>
          <w:rFonts w:ascii="宋体" w:hAnsi="宋体"/>
          <w:b/>
          <w:bCs/>
          <w:color w:val="000000" w:themeColor="text1"/>
          <w:szCs w:val="24"/>
        </w:rPr>
        <w:t>及产污环节</w:t>
      </w:r>
      <w:proofErr w:type="gramEnd"/>
    </w:p>
    <w:p w14:paraId="0DC804FA" w14:textId="77777777" w:rsidR="00A67F21" w:rsidRPr="00B12FE0" w:rsidRDefault="00000000">
      <w:pPr>
        <w:overflowPunct w:val="0"/>
        <w:adjustRightInd w:val="0"/>
        <w:snapToGrid w:val="0"/>
        <w:spacing w:line="360" w:lineRule="auto"/>
        <w:rPr>
          <w:bCs/>
          <w:color w:val="000000" w:themeColor="text1"/>
          <w:szCs w:val="24"/>
        </w:rPr>
      </w:pPr>
      <w:r w:rsidRPr="00B12FE0">
        <w:rPr>
          <w:color w:val="000000" w:themeColor="text1"/>
        </w:rPr>
        <w:tab/>
      </w:r>
      <w:r w:rsidRPr="00B12FE0">
        <w:rPr>
          <w:b/>
          <w:color w:val="000000" w:themeColor="text1"/>
          <w:szCs w:val="24"/>
        </w:rPr>
        <w:t>订药</w:t>
      </w:r>
      <w:r w:rsidRPr="00B12FE0">
        <w:rPr>
          <w:bCs/>
          <w:color w:val="000000" w:themeColor="text1"/>
          <w:szCs w:val="24"/>
        </w:rPr>
        <w:t>：本项目</w:t>
      </w:r>
      <w:r w:rsidRPr="00B12FE0">
        <w:rPr>
          <w:bCs/>
          <w:color w:val="000000" w:themeColor="text1"/>
          <w:szCs w:val="24"/>
          <w:vertAlign w:val="superscript"/>
        </w:rPr>
        <w:t>131</w:t>
      </w:r>
      <w:r w:rsidRPr="00B12FE0">
        <w:rPr>
          <w:bCs/>
          <w:color w:val="000000" w:themeColor="text1"/>
          <w:szCs w:val="24"/>
        </w:rPr>
        <w:t>I</w:t>
      </w:r>
      <w:r w:rsidRPr="00B12FE0">
        <w:rPr>
          <w:bCs/>
          <w:color w:val="000000" w:themeColor="text1"/>
          <w:szCs w:val="24"/>
        </w:rPr>
        <w:t>为药罐装载货</w:t>
      </w:r>
      <w:proofErr w:type="gramStart"/>
      <w:r w:rsidRPr="00B12FE0">
        <w:rPr>
          <w:bCs/>
          <w:color w:val="000000" w:themeColor="text1"/>
          <w:szCs w:val="24"/>
        </w:rPr>
        <w:t>包形式</w:t>
      </w:r>
      <w:proofErr w:type="gramEnd"/>
      <w:r w:rsidRPr="00B12FE0">
        <w:rPr>
          <w:bCs/>
          <w:color w:val="000000" w:themeColor="text1"/>
          <w:szCs w:val="24"/>
        </w:rPr>
        <w:t>的外购药物。工作人员根据临床诊断所需药物的使用量、预约检查的人数，提前</w:t>
      </w:r>
      <w:proofErr w:type="gramStart"/>
      <w:r w:rsidRPr="00B12FE0">
        <w:rPr>
          <w:bCs/>
          <w:color w:val="000000" w:themeColor="text1"/>
          <w:szCs w:val="24"/>
        </w:rPr>
        <w:t>一天向供药单</w:t>
      </w:r>
      <w:proofErr w:type="gramEnd"/>
      <w:r w:rsidRPr="00B12FE0">
        <w:rPr>
          <w:bCs/>
          <w:color w:val="000000" w:themeColor="text1"/>
          <w:szCs w:val="24"/>
        </w:rPr>
        <w:t>位订购放射性药物，供药单位在用药当天送达药品，经确认无误完成相关交接、登记手续后，将</w:t>
      </w:r>
      <w:r w:rsidRPr="00B12FE0">
        <w:rPr>
          <w:bCs/>
          <w:color w:val="000000" w:themeColor="text1"/>
          <w:szCs w:val="24"/>
          <w:vertAlign w:val="superscript"/>
        </w:rPr>
        <w:t>131</w:t>
      </w:r>
      <w:r w:rsidRPr="00B12FE0">
        <w:rPr>
          <w:bCs/>
          <w:color w:val="000000" w:themeColor="text1"/>
          <w:szCs w:val="24"/>
        </w:rPr>
        <w:t>I</w:t>
      </w:r>
      <w:r w:rsidRPr="00B12FE0">
        <w:rPr>
          <w:bCs/>
          <w:color w:val="000000" w:themeColor="text1"/>
          <w:szCs w:val="24"/>
        </w:rPr>
        <w:t>药物先放于核素治疗场所的储源室，使用时再从储源室拿出来放在</w:t>
      </w:r>
      <w:r w:rsidRPr="00B12FE0">
        <w:rPr>
          <w:rFonts w:hint="eastAsia"/>
          <w:bCs/>
          <w:color w:val="000000" w:themeColor="text1"/>
          <w:szCs w:val="24"/>
        </w:rPr>
        <w:t>给药</w:t>
      </w:r>
      <w:r w:rsidRPr="00B12FE0">
        <w:rPr>
          <w:bCs/>
          <w:color w:val="000000" w:themeColor="text1"/>
          <w:szCs w:val="24"/>
        </w:rPr>
        <w:t>室的自动</w:t>
      </w:r>
      <w:proofErr w:type="gramStart"/>
      <w:r w:rsidRPr="00B12FE0">
        <w:rPr>
          <w:bCs/>
          <w:color w:val="000000" w:themeColor="text1"/>
          <w:szCs w:val="24"/>
        </w:rPr>
        <w:t>分碘仪</w:t>
      </w:r>
      <w:proofErr w:type="gramEnd"/>
      <w:r w:rsidRPr="00B12FE0">
        <w:rPr>
          <w:bCs/>
          <w:color w:val="000000" w:themeColor="text1"/>
          <w:szCs w:val="24"/>
        </w:rPr>
        <w:t>里面。</w:t>
      </w:r>
    </w:p>
    <w:p w14:paraId="4D7395E7" w14:textId="77777777" w:rsidR="00A67F21" w:rsidRPr="00B12FE0" w:rsidRDefault="00000000">
      <w:pPr>
        <w:overflowPunct w:val="0"/>
        <w:adjustRightInd w:val="0"/>
        <w:snapToGrid w:val="0"/>
        <w:spacing w:line="360" w:lineRule="auto"/>
        <w:ind w:firstLine="480"/>
        <w:rPr>
          <w:bCs/>
          <w:color w:val="000000" w:themeColor="text1"/>
          <w:szCs w:val="24"/>
        </w:rPr>
      </w:pPr>
      <w:r w:rsidRPr="00B12FE0">
        <w:rPr>
          <w:b/>
          <w:color w:val="000000" w:themeColor="text1"/>
          <w:szCs w:val="24"/>
        </w:rPr>
        <w:t>给药</w:t>
      </w:r>
      <w:r w:rsidRPr="00B12FE0">
        <w:rPr>
          <w:bCs/>
          <w:color w:val="000000" w:themeColor="text1"/>
          <w:szCs w:val="24"/>
        </w:rPr>
        <w:t>：</w:t>
      </w:r>
      <w:proofErr w:type="gramStart"/>
      <w:r w:rsidRPr="00B12FE0">
        <w:rPr>
          <w:bCs/>
          <w:color w:val="000000" w:themeColor="text1"/>
          <w:szCs w:val="24"/>
        </w:rPr>
        <w:t>开展甲癌</w:t>
      </w:r>
      <w:proofErr w:type="gramEnd"/>
      <w:r w:rsidRPr="00B12FE0">
        <w:rPr>
          <w:bCs/>
          <w:color w:val="000000" w:themeColor="text1"/>
          <w:szCs w:val="24"/>
        </w:rPr>
        <w:t>治疗时，</w:t>
      </w:r>
      <w:proofErr w:type="gramStart"/>
      <w:r w:rsidRPr="00B12FE0">
        <w:rPr>
          <w:bCs/>
          <w:color w:val="000000" w:themeColor="text1"/>
          <w:szCs w:val="24"/>
        </w:rPr>
        <w:t>甲癌患者</w:t>
      </w:r>
      <w:proofErr w:type="gramEnd"/>
      <w:r w:rsidRPr="00B12FE0">
        <w:rPr>
          <w:bCs/>
          <w:color w:val="000000" w:themeColor="text1"/>
          <w:szCs w:val="24"/>
        </w:rPr>
        <w:t>进入核素治疗场所，医护人员在护士站远程通过电脑控制系统操作自动</w:t>
      </w:r>
      <w:proofErr w:type="gramStart"/>
      <w:r w:rsidRPr="00B12FE0">
        <w:rPr>
          <w:bCs/>
          <w:color w:val="000000" w:themeColor="text1"/>
          <w:szCs w:val="24"/>
        </w:rPr>
        <w:t>分碘仪</w:t>
      </w:r>
      <w:proofErr w:type="gramEnd"/>
      <w:r w:rsidRPr="00B12FE0">
        <w:rPr>
          <w:bCs/>
          <w:color w:val="000000" w:themeColor="text1"/>
          <w:szCs w:val="24"/>
        </w:rPr>
        <w:t>自动分装药物，通过视频及语音系统指导患者在</w:t>
      </w:r>
      <w:r w:rsidRPr="00B12FE0">
        <w:rPr>
          <w:rFonts w:hint="eastAsia"/>
          <w:bCs/>
          <w:color w:val="000000" w:themeColor="text1"/>
          <w:szCs w:val="24"/>
        </w:rPr>
        <w:t>给药</w:t>
      </w:r>
      <w:r w:rsidRPr="00B12FE0">
        <w:rPr>
          <w:bCs/>
          <w:color w:val="000000" w:themeColor="text1"/>
          <w:szCs w:val="24"/>
        </w:rPr>
        <w:t>室服药。</w:t>
      </w:r>
    </w:p>
    <w:p w14:paraId="664AA9C4" w14:textId="77777777" w:rsidR="00A67F21" w:rsidRPr="00B12FE0" w:rsidRDefault="00000000">
      <w:pPr>
        <w:overflowPunct w:val="0"/>
        <w:adjustRightInd w:val="0"/>
        <w:snapToGrid w:val="0"/>
        <w:spacing w:line="360" w:lineRule="auto"/>
        <w:ind w:firstLine="480"/>
        <w:rPr>
          <w:bCs/>
          <w:color w:val="000000" w:themeColor="text1"/>
          <w:szCs w:val="24"/>
        </w:rPr>
      </w:pPr>
      <w:r w:rsidRPr="00B12FE0">
        <w:rPr>
          <w:b/>
          <w:color w:val="000000" w:themeColor="text1"/>
          <w:szCs w:val="24"/>
        </w:rPr>
        <w:t>服药后住院</w:t>
      </w:r>
      <w:r w:rsidRPr="00B12FE0">
        <w:rPr>
          <w:bCs/>
          <w:color w:val="000000" w:themeColor="text1"/>
          <w:szCs w:val="24"/>
        </w:rPr>
        <w:t>：</w:t>
      </w:r>
      <w:proofErr w:type="gramStart"/>
      <w:r w:rsidRPr="00B12FE0">
        <w:rPr>
          <w:bCs/>
          <w:color w:val="000000" w:themeColor="text1"/>
          <w:szCs w:val="24"/>
        </w:rPr>
        <w:t>甲癌患者</w:t>
      </w:r>
      <w:proofErr w:type="gramEnd"/>
      <w:r w:rsidRPr="00B12FE0">
        <w:rPr>
          <w:bCs/>
          <w:color w:val="000000" w:themeColor="text1"/>
          <w:szCs w:val="24"/>
        </w:rPr>
        <w:t>服药后，根据医护人员语音指导和路线指示标志</w:t>
      </w:r>
      <w:proofErr w:type="gramStart"/>
      <w:r w:rsidRPr="00B12FE0">
        <w:rPr>
          <w:bCs/>
          <w:color w:val="000000" w:themeColor="text1"/>
          <w:szCs w:val="24"/>
        </w:rPr>
        <w:t>进入甲癌病房</w:t>
      </w:r>
      <w:proofErr w:type="gramEnd"/>
      <w:r w:rsidRPr="00B12FE0">
        <w:rPr>
          <w:bCs/>
          <w:color w:val="000000" w:themeColor="text1"/>
          <w:szCs w:val="24"/>
        </w:rPr>
        <w:t>住院治疗，</w:t>
      </w:r>
      <w:proofErr w:type="gramStart"/>
      <w:r w:rsidRPr="00B12FE0">
        <w:rPr>
          <w:bCs/>
          <w:color w:val="000000" w:themeColor="text1"/>
          <w:szCs w:val="24"/>
        </w:rPr>
        <w:t>甲癌患者</w:t>
      </w:r>
      <w:proofErr w:type="gramEnd"/>
      <w:r w:rsidRPr="00B12FE0">
        <w:rPr>
          <w:bCs/>
          <w:color w:val="000000" w:themeColor="text1"/>
          <w:szCs w:val="24"/>
        </w:rPr>
        <w:t>一般住院</w:t>
      </w:r>
      <w:r w:rsidRPr="00B12FE0">
        <w:rPr>
          <w:bCs/>
          <w:color w:val="000000" w:themeColor="text1"/>
          <w:szCs w:val="24"/>
        </w:rPr>
        <w:t>5</w:t>
      </w:r>
      <w:r w:rsidRPr="00B12FE0">
        <w:rPr>
          <w:bCs/>
          <w:color w:val="000000" w:themeColor="text1"/>
          <w:szCs w:val="24"/>
        </w:rPr>
        <w:t>天。</w:t>
      </w:r>
    </w:p>
    <w:p w14:paraId="595F9ECA" w14:textId="77777777" w:rsidR="00A67F21" w:rsidRPr="00B12FE0" w:rsidRDefault="00000000">
      <w:pPr>
        <w:adjustRightInd w:val="0"/>
        <w:snapToGrid w:val="0"/>
        <w:spacing w:line="360" w:lineRule="auto"/>
        <w:ind w:firstLineChars="200" w:firstLine="482"/>
        <w:rPr>
          <w:bCs/>
          <w:color w:val="000000" w:themeColor="text1"/>
          <w:szCs w:val="24"/>
        </w:rPr>
      </w:pPr>
      <w:r w:rsidRPr="00B12FE0">
        <w:rPr>
          <w:b/>
          <w:color w:val="000000" w:themeColor="text1"/>
          <w:szCs w:val="24"/>
        </w:rPr>
        <w:lastRenderedPageBreak/>
        <w:t>出院</w:t>
      </w:r>
      <w:r w:rsidRPr="00B12FE0">
        <w:rPr>
          <w:bCs/>
          <w:color w:val="000000" w:themeColor="text1"/>
          <w:szCs w:val="24"/>
        </w:rPr>
        <w:t>：</w:t>
      </w:r>
      <w:proofErr w:type="gramStart"/>
      <w:r w:rsidRPr="00B12FE0">
        <w:rPr>
          <w:bCs/>
          <w:color w:val="000000" w:themeColor="text1"/>
          <w:szCs w:val="24"/>
        </w:rPr>
        <w:t>在甲癌治疗</w:t>
      </w:r>
      <w:proofErr w:type="gramEnd"/>
      <w:r w:rsidRPr="00B12FE0">
        <w:rPr>
          <w:bCs/>
          <w:color w:val="000000" w:themeColor="text1"/>
          <w:szCs w:val="24"/>
        </w:rPr>
        <w:t>病房区出口通道门禁内</w:t>
      </w:r>
      <w:proofErr w:type="gramStart"/>
      <w:r w:rsidRPr="00B12FE0">
        <w:rPr>
          <w:bCs/>
          <w:color w:val="000000" w:themeColor="text1"/>
          <w:szCs w:val="24"/>
        </w:rPr>
        <w:t>一</w:t>
      </w:r>
      <w:proofErr w:type="gramEnd"/>
      <w:r w:rsidRPr="00B12FE0">
        <w:rPr>
          <w:bCs/>
          <w:color w:val="000000" w:themeColor="text1"/>
          <w:szCs w:val="24"/>
        </w:rPr>
        <w:t>侧墙体上设置固定式辐射剂量率监测仪，住院病人住院时间到期根据医生安排，通过监测体内放射性活度确认满足低于</w:t>
      </w:r>
      <w:r w:rsidRPr="00B12FE0">
        <w:rPr>
          <w:bCs/>
          <w:color w:val="000000" w:themeColor="text1"/>
          <w:szCs w:val="24"/>
        </w:rPr>
        <w:t>400MBq</w:t>
      </w:r>
      <w:r w:rsidRPr="00B12FE0">
        <w:rPr>
          <w:bCs/>
          <w:color w:val="000000" w:themeColor="text1"/>
          <w:szCs w:val="24"/>
        </w:rPr>
        <w:t>要求（辐射剂量率监测仪监测患者体表</w:t>
      </w:r>
      <w:r w:rsidRPr="00B12FE0">
        <w:rPr>
          <w:bCs/>
          <w:color w:val="000000" w:themeColor="text1"/>
          <w:szCs w:val="24"/>
        </w:rPr>
        <w:t>1m</w:t>
      </w:r>
      <w:r w:rsidRPr="00B12FE0">
        <w:rPr>
          <w:bCs/>
          <w:color w:val="000000" w:themeColor="text1"/>
          <w:szCs w:val="24"/>
        </w:rPr>
        <w:t>处的周围剂量当量率低于</w:t>
      </w:r>
      <w:r w:rsidRPr="00B12FE0">
        <w:rPr>
          <w:bCs/>
          <w:color w:val="000000" w:themeColor="text1"/>
          <w:szCs w:val="24"/>
        </w:rPr>
        <w:t>25μSv/h</w:t>
      </w:r>
      <w:r w:rsidRPr="00B12FE0">
        <w:rPr>
          <w:bCs/>
          <w:color w:val="000000" w:themeColor="text1"/>
          <w:szCs w:val="24"/>
        </w:rPr>
        <w:t>）后，方可离开核素治疗场所出院。</w:t>
      </w:r>
    </w:p>
    <w:p w14:paraId="445B9C60" w14:textId="77777777" w:rsidR="00A67F21" w:rsidRPr="00B12FE0" w:rsidRDefault="00000000">
      <w:pPr>
        <w:spacing w:line="360" w:lineRule="auto"/>
        <w:ind w:firstLine="480"/>
        <w:contextualSpacing/>
        <w:rPr>
          <w:rFonts w:eastAsia="仿宋_GB2312"/>
          <w:color w:val="000000" w:themeColor="text1"/>
          <w:sz w:val="21"/>
          <w:szCs w:val="21"/>
        </w:rPr>
      </w:pPr>
      <w:r w:rsidRPr="00B12FE0">
        <w:rPr>
          <w:rFonts w:ascii="宋体" w:hAnsi="宋体"/>
          <w:color w:val="000000" w:themeColor="text1"/>
          <w:szCs w:val="24"/>
        </w:rPr>
        <w:t>项目的工艺流程详见下图。</w:t>
      </w:r>
    </w:p>
    <w:p w14:paraId="098AE56C" w14:textId="77777777" w:rsidR="00A67F21" w:rsidRPr="00B12FE0" w:rsidRDefault="00000000">
      <w:pPr>
        <w:adjustRightInd w:val="0"/>
        <w:snapToGrid w:val="0"/>
        <w:spacing w:line="360" w:lineRule="auto"/>
        <w:jc w:val="center"/>
        <w:rPr>
          <w:b/>
          <w:snapToGrid w:val="0"/>
          <w:color w:val="000000" w:themeColor="text1"/>
          <w:sz w:val="21"/>
          <w:szCs w:val="21"/>
        </w:rPr>
      </w:pPr>
      <w:r w:rsidRPr="00B12FE0">
        <w:rPr>
          <w:noProof/>
          <w:snapToGrid w:val="0"/>
          <w:color w:val="000000" w:themeColor="text1"/>
          <w:sz w:val="21"/>
          <w:szCs w:val="24"/>
        </w:rPr>
        <mc:AlternateContent>
          <mc:Choice Requires="wpc">
            <w:drawing>
              <wp:inline distT="0" distB="0" distL="0" distR="0" wp14:anchorId="77D71D4D" wp14:editId="128C0B29">
                <wp:extent cx="5143500" cy="3938905"/>
                <wp:effectExtent l="0" t="0" r="0" b="4445"/>
                <wp:docPr id="2033957653" name="画布 149"/>
                <wp:cNvGraphicFramePr/>
                <a:graphic xmlns:a="http://schemas.openxmlformats.org/drawingml/2006/main">
                  <a:graphicData uri="http://schemas.microsoft.com/office/word/2010/wordprocessingCanvas">
                    <wpc:wpc>
                      <wpc:bg>
                        <a:solidFill>
                          <a:srgbClr val="FFFFFF"/>
                        </a:solidFill>
                      </wpc:bg>
                      <wpc:whole>
                        <a:ln>
                          <a:noFill/>
                        </a:ln>
                      </wpc:whole>
                      <wps:wsp>
                        <wps:cNvPr id="1549479590" name="矩形 139"/>
                        <wps:cNvSpPr>
                          <a:spLocks noChangeArrowheads="1"/>
                        </wps:cNvSpPr>
                        <wps:spPr bwMode="auto">
                          <a:xfrm>
                            <a:off x="311840" y="1633855"/>
                            <a:ext cx="2339975" cy="286385"/>
                          </a:xfrm>
                          <a:prstGeom prst="rect">
                            <a:avLst/>
                          </a:prstGeom>
                          <a:solidFill>
                            <a:srgbClr val="FFFFFF"/>
                          </a:solidFill>
                          <a:ln w="9525">
                            <a:solidFill>
                              <a:srgbClr val="000000"/>
                            </a:solidFill>
                            <a:miter lim="800000"/>
                          </a:ln>
                        </wps:spPr>
                        <wps:txbx>
                          <w:txbxContent>
                            <w:p w14:paraId="390CF064" w14:textId="77777777" w:rsidR="00A67F21" w:rsidRDefault="00000000">
                              <w:pPr>
                                <w:jc w:val="center"/>
                                <w:rPr>
                                  <w:color w:val="000000"/>
                                  <w:sz w:val="21"/>
                                  <w:szCs w:val="21"/>
                                </w:rPr>
                              </w:pPr>
                              <w:r>
                                <w:rPr>
                                  <w:rFonts w:hint="eastAsia"/>
                                  <w:color w:val="000000"/>
                                  <w:sz w:val="21"/>
                                  <w:szCs w:val="21"/>
                                </w:rPr>
                                <w:t>根据用量分装药物（自动分装）</w:t>
                              </w:r>
                            </w:p>
                          </w:txbxContent>
                        </wps:txbx>
                        <wps:bodyPr rot="0" vert="horz" wrap="square" lIns="91440" tIns="45720" rIns="91440" bIns="45720" anchor="ctr" anchorCtr="0" upright="1">
                          <a:noAutofit/>
                        </wps:bodyPr>
                      </wps:wsp>
                      <wps:wsp>
                        <wps:cNvPr id="264903602" name="矩形 140"/>
                        <wps:cNvSpPr>
                          <a:spLocks noChangeArrowheads="1"/>
                        </wps:cNvSpPr>
                        <wps:spPr bwMode="auto">
                          <a:xfrm>
                            <a:off x="313110" y="2132965"/>
                            <a:ext cx="2339975" cy="254635"/>
                          </a:xfrm>
                          <a:prstGeom prst="rect">
                            <a:avLst/>
                          </a:prstGeom>
                          <a:solidFill>
                            <a:srgbClr val="FFFFFF"/>
                          </a:solidFill>
                          <a:ln w="9525">
                            <a:solidFill>
                              <a:srgbClr val="000000"/>
                            </a:solidFill>
                            <a:miter lim="800000"/>
                          </a:ln>
                        </wps:spPr>
                        <wps:txbx>
                          <w:txbxContent>
                            <w:p w14:paraId="7B445435" w14:textId="77777777" w:rsidR="00A67F21" w:rsidRDefault="00000000">
                              <w:pPr>
                                <w:jc w:val="center"/>
                                <w:rPr>
                                  <w:color w:val="000000"/>
                                  <w:sz w:val="21"/>
                                  <w:szCs w:val="21"/>
                                </w:rPr>
                              </w:pPr>
                              <w:r>
                                <w:rPr>
                                  <w:rFonts w:hint="eastAsia"/>
                                  <w:color w:val="000000"/>
                                  <w:sz w:val="21"/>
                                  <w:szCs w:val="21"/>
                                </w:rPr>
                                <w:t>患者在甲癌服药室服药</w:t>
                              </w:r>
                            </w:p>
                          </w:txbxContent>
                        </wps:txbx>
                        <wps:bodyPr rot="0" vert="horz" wrap="square" lIns="91440" tIns="45720" rIns="91440" bIns="45720" anchor="ctr" anchorCtr="0" upright="1">
                          <a:noAutofit/>
                        </wps:bodyPr>
                      </wps:wsp>
                      <wps:wsp>
                        <wps:cNvPr id="836826907" name="矩形 141"/>
                        <wps:cNvSpPr>
                          <a:spLocks noChangeArrowheads="1"/>
                        </wps:cNvSpPr>
                        <wps:spPr bwMode="auto">
                          <a:xfrm>
                            <a:off x="313110" y="2508707"/>
                            <a:ext cx="2339975" cy="266065"/>
                          </a:xfrm>
                          <a:prstGeom prst="rect">
                            <a:avLst/>
                          </a:prstGeom>
                          <a:solidFill>
                            <a:srgbClr val="FFFFFF"/>
                          </a:solidFill>
                          <a:ln w="9525">
                            <a:solidFill>
                              <a:srgbClr val="000000"/>
                            </a:solidFill>
                            <a:miter lim="800000"/>
                          </a:ln>
                        </wps:spPr>
                        <wps:txbx>
                          <w:txbxContent>
                            <w:p w14:paraId="741E5BC4" w14:textId="77777777" w:rsidR="00A67F21" w:rsidRDefault="00000000">
                              <w:pPr>
                                <w:jc w:val="center"/>
                                <w:rPr>
                                  <w:color w:val="000000"/>
                                  <w:sz w:val="21"/>
                                  <w:szCs w:val="21"/>
                                </w:rPr>
                              </w:pPr>
                              <w:r>
                                <w:rPr>
                                  <w:rFonts w:hint="eastAsia"/>
                                  <w:color w:val="000000"/>
                                  <w:sz w:val="21"/>
                                  <w:szCs w:val="21"/>
                                </w:rPr>
                                <w:t>住院治疗</w:t>
                              </w:r>
                            </w:p>
                          </w:txbxContent>
                        </wps:txbx>
                        <wps:bodyPr rot="0" vert="horz" wrap="square" lIns="91440" tIns="45720" rIns="91440" bIns="45720" anchor="ctr" anchorCtr="0" upright="1">
                          <a:noAutofit/>
                        </wps:bodyPr>
                      </wps:wsp>
                      <wps:wsp>
                        <wps:cNvPr id="742775120" name="矩形 151"/>
                        <wps:cNvSpPr>
                          <a:spLocks noChangeArrowheads="1"/>
                        </wps:cNvSpPr>
                        <wps:spPr bwMode="auto">
                          <a:xfrm>
                            <a:off x="228600" y="2925836"/>
                            <a:ext cx="2679755" cy="484114"/>
                          </a:xfrm>
                          <a:prstGeom prst="rect">
                            <a:avLst/>
                          </a:prstGeom>
                          <a:solidFill>
                            <a:srgbClr val="FFFFFF"/>
                          </a:solidFill>
                          <a:ln w="9525">
                            <a:solidFill>
                              <a:srgbClr val="000000"/>
                            </a:solidFill>
                            <a:miter lim="800000"/>
                          </a:ln>
                        </wps:spPr>
                        <wps:txbx>
                          <w:txbxContent>
                            <w:p w14:paraId="3B52181E" w14:textId="77777777" w:rsidR="00A67F21" w:rsidRDefault="00000000">
                              <w:pPr>
                                <w:jc w:val="center"/>
                                <w:rPr>
                                  <w:color w:val="000000"/>
                                  <w:sz w:val="21"/>
                                  <w:szCs w:val="21"/>
                                </w:rPr>
                              </w:pPr>
                              <w:r>
                                <w:rPr>
                                  <w:rFonts w:hint="eastAsia"/>
                                  <w:sz w:val="21"/>
                                  <w:szCs w:val="21"/>
                                </w:rPr>
                                <w:t>经辐射计量检查</w:t>
                              </w:r>
                              <w:r>
                                <w:rPr>
                                  <w:rFonts w:hint="eastAsia"/>
                                  <w:color w:val="000000"/>
                                  <w:sz w:val="21"/>
                                  <w:szCs w:val="21"/>
                                </w:rPr>
                                <w:t>满足出院要求后出院（告知出院后注意事项以及复诊时间和内容）</w:t>
                              </w:r>
                            </w:p>
                          </w:txbxContent>
                        </wps:txbx>
                        <wps:bodyPr rot="0" vert="horz" wrap="square" lIns="91440" tIns="45720" rIns="91440" bIns="45720" anchor="ctr" anchorCtr="0" upright="1">
                          <a:noAutofit/>
                        </wps:bodyPr>
                      </wps:wsp>
                      <wps:wsp>
                        <wps:cNvPr id="1229474049" name="Rectangle 5973"/>
                        <wps:cNvSpPr>
                          <a:spLocks noChangeArrowheads="1"/>
                        </wps:cNvSpPr>
                        <wps:spPr bwMode="auto">
                          <a:xfrm>
                            <a:off x="3390900" y="1820367"/>
                            <a:ext cx="1638300" cy="688340"/>
                          </a:xfrm>
                          <a:prstGeom prst="rect">
                            <a:avLst/>
                          </a:prstGeom>
                          <a:solidFill>
                            <a:srgbClr val="FFFFFF"/>
                          </a:solidFill>
                          <a:ln w="9525">
                            <a:solidFill>
                              <a:sysClr val="windowText" lastClr="000000">
                                <a:lumMod val="100000"/>
                                <a:lumOff val="0"/>
                              </a:sysClr>
                            </a:solidFill>
                            <a:prstDash val="dash"/>
                            <a:miter lim="800000"/>
                          </a:ln>
                        </wps:spPr>
                        <wps:txbx>
                          <w:txbxContent>
                            <w:p w14:paraId="17183DD9" w14:textId="77777777" w:rsidR="00A67F21" w:rsidRDefault="00000000">
                              <w:pPr>
                                <w:jc w:val="left"/>
                                <w:rPr>
                                  <w:color w:val="000000"/>
                                  <w:szCs w:val="21"/>
                                </w:rPr>
                              </w:pPr>
                              <w:r>
                                <w:rPr>
                                  <w:color w:val="000000"/>
                                  <w:sz w:val="21"/>
                                  <w:szCs w:val="21"/>
                                </w:rPr>
                                <w:t>γ</w:t>
                              </w:r>
                              <w:r>
                                <w:rPr>
                                  <w:rFonts w:hint="eastAsia"/>
                                  <w:color w:val="000000"/>
                                  <w:sz w:val="21"/>
                                  <w:szCs w:val="21"/>
                                </w:rPr>
                                <w:t>射线、</w:t>
                              </w:r>
                              <w:r>
                                <w:rPr>
                                  <w:bCs/>
                                  <w:sz w:val="21"/>
                                  <w:szCs w:val="21"/>
                                </w:rPr>
                                <w:t>β</w:t>
                              </w:r>
                              <w:r>
                                <w:rPr>
                                  <w:bCs/>
                                  <w:sz w:val="21"/>
                                  <w:szCs w:val="21"/>
                                </w:rPr>
                                <w:t>射线、</w:t>
                              </w:r>
                              <w:r>
                                <w:rPr>
                                  <w:color w:val="000000"/>
                                  <w:sz w:val="21"/>
                                  <w:szCs w:val="21"/>
                                </w:rPr>
                                <w:t>β</w:t>
                              </w:r>
                              <w:r>
                                <w:rPr>
                                  <w:rFonts w:hint="eastAsia"/>
                                  <w:color w:val="000000"/>
                                  <w:sz w:val="21"/>
                                  <w:szCs w:val="21"/>
                                </w:rPr>
                                <w:t>表面污染、放射性废水、放射性固废、放射性废气</w:t>
                              </w:r>
                            </w:p>
                          </w:txbxContent>
                        </wps:txbx>
                        <wps:bodyPr rot="0" vert="horz" wrap="square" lIns="91440" tIns="45720" rIns="91440" bIns="45720" anchor="ctr" anchorCtr="0" upright="1">
                          <a:noAutofit/>
                        </wps:bodyPr>
                      </wps:wsp>
                      <wps:wsp>
                        <wps:cNvPr id="540201801" name="矩形 133"/>
                        <wps:cNvSpPr>
                          <a:spLocks noChangeArrowheads="1"/>
                        </wps:cNvSpPr>
                        <wps:spPr bwMode="auto">
                          <a:xfrm>
                            <a:off x="311840" y="0"/>
                            <a:ext cx="2339975" cy="271780"/>
                          </a:xfrm>
                          <a:prstGeom prst="rect">
                            <a:avLst/>
                          </a:prstGeom>
                          <a:solidFill>
                            <a:srgbClr val="FFFFFF"/>
                          </a:solidFill>
                          <a:ln w="9525">
                            <a:solidFill>
                              <a:srgbClr val="000000"/>
                            </a:solidFill>
                            <a:miter lim="800000"/>
                          </a:ln>
                        </wps:spPr>
                        <wps:txbx>
                          <w:txbxContent>
                            <w:p w14:paraId="3D9BA634" w14:textId="77777777" w:rsidR="00A67F21" w:rsidRDefault="00000000">
                              <w:pPr>
                                <w:jc w:val="center"/>
                                <w:rPr>
                                  <w:color w:val="000000"/>
                                  <w:sz w:val="21"/>
                                  <w:szCs w:val="21"/>
                                </w:rPr>
                              </w:pPr>
                              <w:r>
                                <w:rPr>
                                  <w:rFonts w:hint="eastAsia"/>
                                  <w:color w:val="000000"/>
                                  <w:sz w:val="21"/>
                                  <w:szCs w:val="21"/>
                                </w:rPr>
                                <w:t>预约接诊、确认信息</w:t>
                              </w:r>
                            </w:p>
                          </w:txbxContent>
                        </wps:txbx>
                        <wps:bodyPr rot="0" vert="horz" wrap="square" lIns="91440" tIns="45720" rIns="91440" bIns="45720" anchor="ctr" anchorCtr="0" upright="1">
                          <a:noAutofit/>
                        </wps:bodyPr>
                      </wps:wsp>
                      <wps:wsp>
                        <wps:cNvPr id="970827130" name="矩形 136"/>
                        <wps:cNvSpPr>
                          <a:spLocks noChangeArrowheads="1"/>
                        </wps:cNvSpPr>
                        <wps:spPr bwMode="auto">
                          <a:xfrm>
                            <a:off x="311840" y="467990"/>
                            <a:ext cx="2339975" cy="322585"/>
                          </a:xfrm>
                          <a:prstGeom prst="rect">
                            <a:avLst/>
                          </a:prstGeom>
                          <a:solidFill>
                            <a:srgbClr val="FFFFFF"/>
                          </a:solidFill>
                          <a:ln w="9525">
                            <a:solidFill>
                              <a:srgbClr val="000000"/>
                            </a:solidFill>
                            <a:miter lim="800000"/>
                          </a:ln>
                        </wps:spPr>
                        <wps:txbx>
                          <w:txbxContent>
                            <w:p w14:paraId="25565B03" w14:textId="77777777" w:rsidR="00A67F21" w:rsidRDefault="00000000">
                              <w:pPr>
                                <w:jc w:val="center"/>
                                <w:rPr>
                                  <w:color w:val="000000"/>
                                  <w:sz w:val="21"/>
                                  <w:szCs w:val="21"/>
                                </w:rPr>
                              </w:pPr>
                              <w:r>
                                <w:rPr>
                                  <w:rFonts w:hint="eastAsia"/>
                                  <w:color w:val="000000"/>
                                  <w:sz w:val="21"/>
                                  <w:szCs w:val="21"/>
                                </w:rPr>
                                <w:t>办理住院手续，治疗前准备、谈话</w:t>
                              </w:r>
                            </w:p>
                            <w:p w14:paraId="7CEE491E" w14:textId="77777777" w:rsidR="00A67F21" w:rsidRDefault="00A67F21">
                              <w:pPr>
                                <w:jc w:val="center"/>
                                <w:rPr>
                                  <w:color w:val="000000"/>
                                  <w:szCs w:val="18"/>
                                </w:rPr>
                              </w:pPr>
                            </w:p>
                          </w:txbxContent>
                        </wps:txbx>
                        <wps:bodyPr rot="0" vert="horz" wrap="square" lIns="91440" tIns="45720" rIns="91440" bIns="45720" anchor="ctr" anchorCtr="0" upright="1">
                          <a:noAutofit/>
                        </wps:bodyPr>
                      </wps:wsp>
                      <wps:wsp>
                        <wps:cNvPr id="1537748167" name="矩形 137"/>
                        <wps:cNvSpPr>
                          <a:spLocks noChangeArrowheads="1"/>
                        </wps:cNvSpPr>
                        <wps:spPr bwMode="auto">
                          <a:xfrm>
                            <a:off x="313110" y="918210"/>
                            <a:ext cx="2339975" cy="465455"/>
                          </a:xfrm>
                          <a:prstGeom prst="rect">
                            <a:avLst/>
                          </a:prstGeom>
                          <a:solidFill>
                            <a:srgbClr val="FFFFFF"/>
                          </a:solidFill>
                          <a:ln w="9525">
                            <a:solidFill>
                              <a:srgbClr val="000000"/>
                            </a:solidFill>
                            <a:miter lim="800000"/>
                          </a:ln>
                        </wps:spPr>
                        <wps:txbx>
                          <w:txbxContent>
                            <w:p w14:paraId="04619E43" w14:textId="77777777" w:rsidR="00A67F21" w:rsidRDefault="00000000">
                              <w:pPr>
                                <w:jc w:val="center"/>
                                <w:rPr>
                                  <w:color w:val="000000"/>
                                  <w:sz w:val="21"/>
                                  <w:szCs w:val="21"/>
                                </w:rPr>
                              </w:pPr>
                              <w:r>
                                <w:rPr>
                                  <w:rFonts w:hint="eastAsia"/>
                                  <w:color w:val="000000"/>
                                  <w:sz w:val="21"/>
                                  <w:szCs w:val="21"/>
                                </w:rPr>
                                <w:t>告知辐射危害和注意事项，签署知情同意书</w:t>
                              </w:r>
                            </w:p>
                            <w:p w14:paraId="3001343A" w14:textId="77777777" w:rsidR="00A67F21" w:rsidRDefault="00A67F21"/>
                          </w:txbxContent>
                        </wps:txbx>
                        <wps:bodyPr rot="0" vert="horz" wrap="square" lIns="91440" tIns="45720" rIns="91440" bIns="45720" anchor="ctr" anchorCtr="0" upright="1">
                          <a:noAutofit/>
                        </wps:bodyPr>
                      </wps:wsp>
                      <wps:wsp>
                        <wps:cNvPr id="825255098" name="矩形 151"/>
                        <wps:cNvSpPr>
                          <a:spLocks noChangeArrowheads="1"/>
                        </wps:cNvSpPr>
                        <wps:spPr bwMode="auto">
                          <a:xfrm>
                            <a:off x="351896" y="3608469"/>
                            <a:ext cx="2339975" cy="294659"/>
                          </a:xfrm>
                          <a:prstGeom prst="rect">
                            <a:avLst/>
                          </a:prstGeom>
                          <a:solidFill>
                            <a:srgbClr val="FFFFFF"/>
                          </a:solidFill>
                          <a:ln w="9525">
                            <a:solidFill>
                              <a:srgbClr val="000000"/>
                            </a:solidFill>
                            <a:miter lim="800000"/>
                          </a:ln>
                        </wps:spPr>
                        <wps:txbx>
                          <w:txbxContent>
                            <w:p w14:paraId="02568F08" w14:textId="77777777" w:rsidR="00A67F21" w:rsidRDefault="00000000">
                              <w:pPr>
                                <w:jc w:val="center"/>
                                <w:rPr>
                                  <w:sz w:val="21"/>
                                  <w:szCs w:val="21"/>
                                  <w:lang w:val="zh-CN"/>
                                </w:rPr>
                              </w:pPr>
                              <w:r>
                                <w:rPr>
                                  <w:rFonts w:hAnsi="宋体" w:hint="eastAsia"/>
                                  <w:sz w:val="21"/>
                                  <w:szCs w:val="21"/>
                                  <w:lang w:val="zh-CN"/>
                                </w:rPr>
                                <w:t>乘坐电梯至一层核医学科出口</w:t>
                              </w:r>
                              <w:r>
                                <w:rPr>
                                  <w:rFonts w:hAnsi="宋体"/>
                                  <w:sz w:val="21"/>
                                  <w:szCs w:val="21"/>
                                  <w:lang w:val="zh-CN"/>
                                </w:rPr>
                                <w:t>离开</w:t>
                              </w:r>
                            </w:p>
                            <w:p w14:paraId="4DB9D316" w14:textId="77777777" w:rsidR="00A67F21" w:rsidRDefault="00A67F21">
                              <w:pPr>
                                <w:rPr>
                                  <w:szCs w:val="18"/>
                                </w:rPr>
                              </w:pPr>
                            </w:p>
                          </w:txbxContent>
                        </wps:txbx>
                        <wps:bodyPr rot="0" vert="horz" wrap="square" lIns="91440" tIns="45720" rIns="91440" bIns="45720" anchor="ctr" anchorCtr="0" upright="1">
                          <a:noAutofit/>
                        </wps:bodyPr>
                      </wps:wsp>
                      <wps:wsp>
                        <wps:cNvPr id="1523517992" name="AutoShape 6125"/>
                        <wps:cNvCnPr>
                          <a:cxnSpLocks noChangeShapeType="1"/>
                        </wps:cNvCnPr>
                        <wps:spPr bwMode="auto">
                          <a:xfrm>
                            <a:off x="1481828" y="271780"/>
                            <a:ext cx="0" cy="196210"/>
                          </a:xfrm>
                          <a:prstGeom prst="straightConnector1">
                            <a:avLst/>
                          </a:prstGeom>
                          <a:noFill/>
                          <a:ln w="12700">
                            <a:solidFill>
                              <a:sysClr val="windowText" lastClr="000000">
                                <a:lumMod val="100000"/>
                                <a:lumOff val="0"/>
                              </a:sysClr>
                            </a:solidFill>
                            <a:round/>
                            <a:tailEnd type="triangle" w="med" len="med"/>
                          </a:ln>
                        </wps:spPr>
                        <wps:bodyPr/>
                      </wps:wsp>
                      <wps:wsp>
                        <wps:cNvPr id="1648040841" name="AutoShape 6126"/>
                        <wps:cNvCnPr>
                          <a:cxnSpLocks noChangeShapeType="1"/>
                        </wps:cNvCnPr>
                        <wps:spPr bwMode="auto">
                          <a:xfrm>
                            <a:off x="1481828" y="790575"/>
                            <a:ext cx="1270" cy="127635"/>
                          </a:xfrm>
                          <a:prstGeom prst="straightConnector1">
                            <a:avLst/>
                          </a:prstGeom>
                          <a:noFill/>
                          <a:ln w="12700">
                            <a:solidFill>
                              <a:sysClr val="windowText" lastClr="000000">
                                <a:lumMod val="100000"/>
                                <a:lumOff val="0"/>
                              </a:sysClr>
                            </a:solidFill>
                            <a:round/>
                            <a:tailEnd type="triangle" w="med" len="med"/>
                          </a:ln>
                        </wps:spPr>
                        <wps:bodyPr/>
                      </wps:wsp>
                      <wps:wsp>
                        <wps:cNvPr id="859625678" name="AutoShape 6127"/>
                        <wps:cNvCnPr>
                          <a:cxnSpLocks noChangeShapeType="1"/>
                        </wps:cNvCnPr>
                        <wps:spPr bwMode="auto">
                          <a:xfrm flipH="1">
                            <a:off x="1481828" y="1383665"/>
                            <a:ext cx="1270" cy="250190"/>
                          </a:xfrm>
                          <a:prstGeom prst="straightConnector1">
                            <a:avLst/>
                          </a:prstGeom>
                          <a:noFill/>
                          <a:ln w="12700">
                            <a:solidFill>
                              <a:sysClr val="windowText" lastClr="000000">
                                <a:lumMod val="100000"/>
                                <a:lumOff val="0"/>
                              </a:sysClr>
                            </a:solidFill>
                            <a:round/>
                            <a:tailEnd type="triangle" w="med" len="med"/>
                          </a:ln>
                        </wps:spPr>
                        <wps:bodyPr/>
                      </wps:wsp>
                      <wps:wsp>
                        <wps:cNvPr id="967548496" name="AutoShape 6129"/>
                        <wps:cNvCnPr>
                          <a:cxnSpLocks noChangeShapeType="1"/>
                        </wps:cNvCnPr>
                        <wps:spPr bwMode="auto">
                          <a:xfrm>
                            <a:off x="1481828" y="1920240"/>
                            <a:ext cx="1270" cy="212725"/>
                          </a:xfrm>
                          <a:prstGeom prst="straightConnector1">
                            <a:avLst/>
                          </a:prstGeom>
                          <a:noFill/>
                          <a:ln w="12700">
                            <a:solidFill>
                              <a:sysClr val="windowText" lastClr="000000">
                                <a:lumMod val="100000"/>
                                <a:lumOff val="0"/>
                              </a:sysClr>
                            </a:solidFill>
                            <a:round/>
                            <a:tailEnd type="triangle" w="med" len="med"/>
                          </a:ln>
                        </wps:spPr>
                        <wps:bodyPr/>
                      </wps:wsp>
                      <wps:wsp>
                        <wps:cNvPr id="759771083" name="AutoShape 6130"/>
                        <wps:cNvCnPr>
                          <a:cxnSpLocks noChangeShapeType="1"/>
                        </wps:cNvCnPr>
                        <wps:spPr bwMode="auto">
                          <a:xfrm flipH="1">
                            <a:off x="1481828" y="2387362"/>
                            <a:ext cx="1270" cy="143697"/>
                          </a:xfrm>
                          <a:prstGeom prst="straightConnector1">
                            <a:avLst/>
                          </a:prstGeom>
                          <a:noFill/>
                          <a:ln w="12700">
                            <a:solidFill>
                              <a:sysClr val="windowText" lastClr="000000">
                                <a:lumMod val="100000"/>
                                <a:lumOff val="0"/>
                              </a:sysClr>
                            </a:solidFill>
                            <a:round/>
                            <a:tailEnd type="triangle" w="med" len="med"/>
                          </a:ln>
                        </wps:spPr>
                        <wps:bodyPr/>
                      </wps:wsp>
                      <wps:wsp>
                        <wps:cNvPr id="734840888" name="AutoShape 6131"/>
                        <wps:cNvCnPr>
                          <a:cxnSpLocks noChangeShapeType="1"/>
                        </wps:cNvCnPr>
                        <wps:spPr bwMode="auto">
                          <a:xfrm flipH="1">
                            <a:off x="1481828" y="2774495"/>
                            <a:ext cx="1270" cy="158900"/>
                          </a:xfrm>
                          <a:prstGeom prst="straightConnector1">
                            <a:avLst/>
                          </a:prstGeom>
                          <a:noFill/>
                          <a:ln w="12700">
                            <a:solidFill>
                              <a:sysClr val="windowText" lastClr="000000">
                                <a:lumMod val="100000"/>
                                <a:lumOff val="0"/>
                              </a:sysClr>
                            </a:solidFill>
                            <a:round/>
                            <a:tailEnd type="triangle" w="med" len="med"/>
                          </a:ln>
                        </wps:spPr>
                        <wps:bodyPr/>
                      </wps:wsp>
                      <wps:wsp>
                        <wps:cNvPr id="880806161" name="Rectangle 6133"/>
                        <wps:cNvSpPr>
                          <a:spLocks noChangeArrowheads="1"/>
                        </wps:cNvSpPr>
                        <wps:spPr bwMode="auto">
                          <a:xfrm>
                            <a:off x="88955" y="1508612"/>
                            <a:ext cx="2819400" cy="1329686"/>
                          </a:xfrm>
                          <a:prstGeom prst="rect">
                            <a:avLst/>
                          </a:prstGeom>
                          <a:noFill/>
                          <a:ln w="9525">
                            <a:solidFill>
                              <a:sysClr val="windowText" lastClr="000000">
                                <a:lumMod val="100000"/>
                                <a:lumOff val="0"/>
                              </a:sysClr>
                            </a:solidFill>
                            <a:prstDash val="dash"/>
                            <a:miter lim="800000"/>
                          </a:ln>
                        </wps:spPr>
                        <wps:bodyPr rot="0" vert="horz" wrap="square" lIns="91440" tIns="45720" rIns="91440" bIns="45720" anchor="t" anchorCtr="0" upright="1">
                          <a:noAutofit/>
                        </wps:bodyPr>
                      </wps:wsp>
                      <wps:wsp>
                        <wps:cNvPr id="220810768" name="AutoShape 6134"/>
                        <wps:cNvCnPr>
                          <a:cxnSpLocks noChangeShapeType="1"/>
                        </wps:cNvCnPr>
                        <wps:spPr bwMode="auto">
                          <a:xfrm flipV="1">
                            <a:off x="2908355" y="2164537"/>
                            <a:ext cx="482545" cy="8918"/>
                          </a:xfrm>
                          <a:prstGeom prst="straightConnector1">
                            <a:avLst/>
                          </a:prstGeom>
                          <a:noFill/>
                          <a:ln w="9525">
                            <a:solidFill>
                              <a:sysClr val="windowText" lastClr="000000">
                                <a:lumMod val="100000"/>
                                <a:lumOff val="0"/>
                              </a:sysClr>
                            </a:solidFill>
                            <a:prstDash val="dash"/>
                            <a:round/>
                            <a:tailEnd type="triangle" w="med" len="med"/>
                          </a:ln>
                        </wps:spPr>
                        <wps:bodyPr/>
                      </wps:wsp>
                      <wps:wsp>
                        <wps:cNvPr id="496261832" name="直接箭头连接符 496261832"/>
                        <wps:cNvCnPr/>
                        <wps:spPr>
                          <a:xfrm>
                            <a:off x="1514475" y="3429000"/>
                            <a:ext cx="0" cy="190500"/>
                          </a:xfrm>
                          <a:prstGeom prst="straightConnector1">
                            <a:avLst/>
                          </a:prstGeom>
                          <a:noFill/>
                          <a:ln w="12700">
                            <a:solidFill>
                              <a:sysClr val="windowText" lastClr="000000">
                                <a:lumMod val="100000"/>
                                <a:lumOff val="0"/>
                              </a:sysClr>
                            </a:solidFill>
                            <a:round/>
                            <a:tailEnd type="triangle" w="med" len="med"/>
                          </a:ln>
                        </wps:spPr>
                        <wps:bodyPr/>
                      </wps:wsp>
                    </wpc:wpc>
                  </a:graphicData>
                </a:graphic>
              </wp:inline>
            </w:drawing>
          </mc:Choice>
          <mc:Fallback>
            <w:pict>
              <v:group w14:anchorId="77D71D4D" id="画布 149" o:spid="_x0000_s1058" editas="canvas" style="width:405pt;height:310.15pt;mso-position-horizontal-relative:char;mso-position-vertical-relative:line" coordsize="51435,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dCkAYAAG8xAAAOAAAAZHJzL2Uyb0RvYy54bWzsW92O3DQUvkfiHaLc04l/4tijzlbVlgJS&#10;gYoW7j1JZiYiiYOT3ZntQ/ACSCAhQEICrnqLeJpSHoNjO8n87AyFtptu2dmLrDNxPP75/J3vnOO5&#10;fWdV5N55qutMlRMf3Qp8Ly1jlWTlfOJ//vj+e9z36kaWicxVmU78i7T275y8+87tZTVOsVqoPEm1&#10;B42U9XhZTfxF01Tj0aiOF2kh61uqSkt4OFO6kA3c6vko0XIJrRf5CAcBGy2VTiqt4rSu4dN77qF/&#10;YtufzdK4+XQ2q9PGyyc+9K2xV22vU3MdndyW47mW1SKL227Il+hFIbMSvrRv6p5spHems0tNFVms&#10;Va1mza1YFSM1m2VxascAo0HBzmhOZXkuazuYGGan6yCUXmO707npd63yLLmf5bm90fPpaa69cwmz&#10;dt/+mYkabVUbQTfG5mXzfwkLmZpX89JcS2Wacq+YT2zdts6ygpWuq37N61cby6OFrFI7RfU4/uT8&#10;ofayBIAYUkEjEQpY81IWALzn3/387PfvPUSEGYrpBNR+VD3UdsDVAxV/WXulOl3Icp7e1VotF6lM&#10;oHPIDn3rBXNTw6vedPmxSqBxedYou/yrmS5Mg7Cw3mriE4Q4hS5cQDOMEB6GDnDpqvFieI4JESIK&#10;fS+GGpgzqNFOdNdQpevmg1QVnilMfA2Atl8kzx/UjZvgroodyH9eRrNk3nLiixCHtuXDSAjsX9vB&#10;rWpF1sAuzrNi4vPNSu3au9lys96spiu3RNS0ZKZyqpILmEyt3O4ENoHCQuknvreEnTnx66/OpE59&#10;L/+ohAURiJo5bewNDSMMN3rzyXTziSxjaGrix432PXdz2jgCOKt0Nl/AdyE78FLdhWWcZXZa1/2y&#10;6LWQdb29cuxiRkVAWIB3oQujHhK6AF4HXYwIFuwfoRtSRm4QdO1Q1xA5QrelXU4Yx0wE0SXoWhY1&#10;MzYI666hGwY8gu7AvpHj/azLWOCwDebtBrAu6zjkyLoOjS10I4qjKETGmGwLhnBI6GIQAUHLugKH&#10;sJ92oMsi0AutYKCcImSt6M2Art3GR9YFsdISaQtdhDGIXRpQ0WH3M5CJoGPz1AtFRLodPwT1EhGI&#10;FsCIY5AxO9wLMpgTU8EoXsY5caLmGgH4ou5dH/AzE7V8DHYDtKesG3gAPqMTuMag5GcF6H/nJqFe&#10;99rPwet0n1vNZjwn2+6uEyXHRr3fk/XC1U6g5Hb8S0lq3i31kdy3yD2kAbjXPEDdBum9wUE3x9ob&#10;bAMP+xVJhCLeweYGKJLeIT+Cdgu0Igo4jhC5pEicKBhMTPchDAriAwIqh7U0wSBZbo4bCFrxGMHY&#10;H30jUUQ5AuO/I6ZJr+GGECOo9wMFiBGIZhyGLmUhddG5ayRFNsOwreyAERgxsRnmexmlgHun5ki6&#10;W6TLMcRBw0BA2uINuoEkRFwwGzeGQCCnzNrIQxEMAeC1FW4GdPGRdQ/kPDDgBkx0Hzg28WybH/EY&#10;guh+a6yAeU9Ll/eIV+WjndSHrf/4ooKsxlbmw71iRMe/ynwgoH+OYReZxEYvaNcIbj1AJFjLy4ex&#10;Wzdamjj9qSpL8GuVduH6AxmQPvXUJTYQjsDfvJwcGdjP0+qsTKz9aWSWv18mXmMnudGZ9dQh1zHx&#10;izQBTzOFTKopOa7fk0NxnG0em/WAhMRAmQnEKA8o8FHvR20hrA8tDo6wSAQhpNHs9HY+lVl3F2aA&#10;0guzE0eQOTCZzb2ZlRseZDwETghZ1FvgLYxt6scrYjFvlmfVh11WsM3kbvIZghAW282HreGGwwA5&#10;N+nIadef0wSLQgikG7XlBN8W3PrYxOCUhgQOsAuOrq3mBsig6Ez6EWTXH2QRhOEjFHCyD2QQ4AGW&#10;bcM5b4rTMOERYVZa74MbooQJy71HuL0FcCPAaAHne00o6V3/q+O0F5pQyLVSKg4rtpCbLJIRHweT&#10;8kfFdm0UGw94wBDrvYJ1+pEhMmSGhXNhkuPmuB0c/ACnd9slwBwJ2iUf7aEmbn2WwyB70Xm7S97m&#10;gWN0AzubryGpOEhcEPKqb8eRPBxwFERsP6H2BxmvmFC/2PFJsABF0eIdg28euuj62n5TiGbS9rAI&#10;hxD4lRLq9Ub+/yH8Ak4KZoiTPr73/Junf3794/Pffn32w9O//vjWlH/5yVtX25aV7Z3z8NdmtXNw&#10;QzhWa44iA3kSCtBy9ncNpi6YAqGWo2k2Z2teMWLnzsRXsdU47S8QzM8GNu9thG/9O4mTvwEAAP//&#10;AwBQSwMEFAAGAAgAAAAhAECrRenZAAAABQEAAA8AAABkcnMvZG93bnJldi54bWxMj8FOwzAQRO9I&#10;/IO1SNyonSCqErKpEBKIS0EUPsCNt0mEvY5itw1/z8IFLiONZjXztl7PwasjTWmIjFAsDCjiNrqB&#10;O4SP98erFaiULTvrIxPCFyVYN+dnta1cPPEbHbe5U1LCqbIIfc5jpXVqewo2LeJILNk+TsFmsVOn&#10;3WRPUh68Lo1Z6mAHloXejvTQU/u5PQSE14JLN/rbzd4/x5fNbMru6SYgXl7M93egMs357xh+8AUd&#10;GmHaxQO7pDyCPJJ/VbJVYcTuEJaluQbd1Po/ffMNAAD//wMAUEsBAi0AFAAGAAgAAAAhALaDOJL+&#10;AAAA4QEAABMAAAAAAAAAAAAAAAAAAAAAAFtDb250ZW50X1R5cGVzXS54bWxQSwECLQAUAAYACAAA&#10;ACEAOP0h/9YAAACUAQAACwAAAAAAAAAAAAAAAAAvAQAAX3JlbHMvLnJlbHNQSwECLQAUAAYACAAA&#10;ACEAIKV3QpAGAABvMQAADgAAAAAAAAAAAAAAAAAuAgAAZHJzL2Uyb0RvYy54bWxQSwECLQAUAAYA&#10;CAAAACEAQKtF6dkAAAAFAQAADwAAAAAAAAAAAAAAAADqCAAAZHJzL2Rvd25yZXYueG1sUEsFBgAA&#10;AAAEAAQA8wAAAPAJAAAAAA==&#10;">
                <v:shape id="_x0000_s1059" type="#_x0000_t75" style="position:absolute;width:51435;height:39389;visibility:visible;mso-wrap-style:square" filled="t">
                  <v:fill o:detectmouseclick="t"/>
                  <v:path o:connecttype="none"/>
                </v:shape>
                <v:rect id="矩形 139" o:spid="_x0000_s1060" style="position:absolute;left:3118;top:16338;width:23400;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zzAAAAOMAAAAPAAAAZHJzL2Rvd25yZXYueG1sRI9BT8Mw&#10;DIXvSPyHyEhc0JaCNljLsqlCIEBwoB0XblZjmorGqZrQlX+PD0gcbT+/977tfva9mmiMXWADl8sM&#10;FHETbMetgffDw2IDKiZki31gMvBDEfa705MtFjYcuaKpTq0SE44FGnApDYXWsXHkMS7DQCy3zzB6&#10;TDKOrbYjHsXc9/oqy661x44lweFAd46ar/rbG/gIr+G+zOhxcIfnNF2U1ctbXRlzfjaXt6ASzelf&#10;/Pf9ZKX+epWvbvJ1LhTCJAvQu18AAAD//wMAUEsBAi0AFAAGAAgAAAAhANvh9svuAAAAhQEAABMA&#10;AAAAAAAAAAAAAAAAAAAAAFtDb250ZW50X1R5cGVzXS54bWxQSwECLQAUAAYACAAAACEAWvQsW78A&#10;AAAVAQAACwAAAAAAAAAAAAAAAAAfAQAAX3JlbHMvLnJlbHNQSwECLQAUAAYACAAAACEAv+SXs8wA&#10;AADjAAAADwAAAAAAAAAAAAAAAAAHAgAAZHJzL2Rvd25yZXYueG1sUEsFBgAAAAADAAMAtwAAAAAD&#10;AAAAAA==&#10;">
                  <v:textbox>
                    <w:txbxContent>
                      <w:p w14:paraId="390CF064" w14:textId="77777777" w:rsidR="00A67F21" w:rsidRDefault="00000000">
                        <w:pPr>
                          <w:jc w:val="center"/>
                          <w:rPr>
                            <w:color w:val="000000"/>
                            <w:sz w:val="21"/>
                            <w:szCs w:val="21"/>
                          </w:rPr>
                        </w:pPr>
                        <w:r>
                          <w:rPr>
                            <w:rFonts w:hint="eastAsia"/>
                            <w:color w:val="000000"/>
                            <w:sz w:val="21"/>
                            <w:szCs w:val="21"/>
                          </w:rPr>
                          <w:t>根据用量分装药物（自动分装）</w:t>
                        </w:r>
                      </w:p>
                    </w:txbxContent>
                  </v:textbox>
                </v:rect>
                <v:rect id="矩形 140" o:spid="_x0000_s1061" style="position:absolute;left:3131;top:21329;width:23399;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mqygAAAOIAAAAPAAAAZHJzL2Rvd25yZXYueG1sRI9BS8Qw&#10;FITvgv8hPMGLuMlWKVo3uxRRVHYPtuvF26N5NmWbl9LEbv33RhD2OMzMN8xqM7teTDSGzrOG5UKB&#10;IG686bjV8LF/vr4DESKywd4zafihAJv1+dkKC+OPXNFUx1YkCIcCNdgYh0LK0FhyGBZ+IE7elx8d&#10;xiTHVpoRjwnuepkplUuHHacFiwM9WmoO9bfT8Ol3/qlU9DLY/Vucrspq+15XWl9ezOUDiEhzPIX/&#10;269GQ5bf3qubXGXwdyndAbn+BQAA//8DAFBLAQItABQABgAIAAAAIQDb4fbL7gAAAIUBAAATAAAA&#10;AAAAAAAAAAAAAAAAAABbQ29udGVudF9UeXBlc10ueG1sUEsBAi0AFAAGAAgAAAAhAFr0LFu/AAAA&#10;FQEAAAsAAAAAAAAAAAAAAAAAHwEAAF9yZWxzLy5yZWxzUEsBAi0AFAAGAAgAAAAhAMKiaarKAAAA&#10;4gAAAA8AAAAAAAAAAAAAAAAABwIAAGRycy9kb3ducmV2LnhtbFBLBQYAAAAAAwADALcAAAD+AgAA&#10;AAA=&#10;">
                  <v:textbox>
                    <w:txbxContent>
                      <w:p w14:paraId="7B445435" w14:textId="77777777" w:rsidR="00A67F21" w:rsidRDefault="00000000">
                        <w:pPr>
                          <w:jc w:val="center"/>
                          <w:rPr>
                            <w:color w:val="000000"/>
                            <w:sz w:val="21"/>
                            <w:szCs w:val="21"/>
                          </w:rPr>
                        </w:pPr>
                        <w:r>
                          <w:rPr>
                            <w:rFonts w:hint="eastAsia"/>
                            <w:color w:val="000000"/>
                            <w:sz w:val="21"/>
                            <w:szCs w:val="21"/>
                          </w:rPr>
                          <w:t>患者在甲癌服药室服药</w:t>
                        </w:r>
                      </w:p>
                    </w:txbxContent>
                  </v:textbox>
                </v:rect>
                <v:rect id="矩形 141" o:spid="_x0000_s1062" style="position:absolute;left:3131;top:25087;width:2339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5Q7ygAAAOIAAAAPAAAAZHJzL2Rvd25yZXYueG1sRI9BS8Qw&#10;FITvwv6H8Ba8iJvsCrXWzS5FFBU92K4Xb4/m2ZRtXkoTu/XfG0HwOMzMN8x2P7teTDSGzrOG9UqB&#10;IG686bjV8H54uMxBhIhssPdMGr4pwH63ONtiYfyJK5rq2IoE4VCgBhvjUEgZGksOw8oPxMn79KPD&#10;mOTYSjPiKcFdLzdKZdJhx2nB4kB3lppj/eU0fPhXf18qehzs4TlOF2X18lZXWp8v5/IWRKQ5/of/&#10;2k9GQ36V5ZvsRl3D76V0B+TuBwAA//8DAFBLAQItABQABgAIAAAAIQDb4fbL7gAAAIUBAAATAAAA&#10;AAAAAAAAAAAAAAAAAABbQ29udGVudF9UeXBlc10ueG1sUEsBAi0AFAAGAAgAAAAhAFr0LFu/AAAA&#10;FQEAAAsAAAAAAAAAAAAAAAAAHwEAAF9yZWxzLy5yZWxzUEsBAi0AFAAGAAgAAAAhAIh3lDvKAAAA&#10;4gAAAA8AAAAAAAAAAAAAAAAABwIAAGRycy9kb3ducmV2LnhtbFBLBQYAAAAAAwADALcAAAD+AgAA&#10;AAA=&#10;">
                  <v:textbox>
                    <w:txbxContent>
                      <w:p w14:paraId="741E5BC4" w14:textId="77777777" w:rsidR="00A67F21" w:rsidRDefault="00000000">
                        <w:pPr>
                          <w:jc w:val="center"/>
                          <w:rPr>
                            <w:color w:val="000000"/>
                            <w:sz w:val="21"/>
                            <w:szCs w:val="21"/>
                          </w:rPr>
                        </w:pPr>
                        <w:r>
                          <w:rPr>
                            <w:rFonts w:hint="eastAsia"/>
                            <w:color w:val="000000"/>
                            <w:sz w:val="21"/>
                            <w:szCs w:val="21"/>
                          </w:rPr>
                          <w:t>住院治疗</w:t>
                        </w:r>
                      </w:p>
                    </w:txbxContent>
                  </v:textbox>
                </v:rect>
                <v:rect id="矩形 151" o:spid="_x0000_s1063" style="position:absolute;left:2286;top:29258;width:26797;height:4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aMygAAAOIAAAAPAAAAZHJzL2Rvd25yZXYueG1sRI/NSsNA&#10;FIX3gu8wXKEbsZMGNSXttASxVKkLk3bT3SVzzQQzd0Jmmsa3dxaCy8P541tvJ9uJkQbfOlawmCcg&#10;iGunW24UnI67hyUIH5A1do5JwQ952G5ub9aYa3flksYqNCKOsM9RgQmhz6X0tSGLfu564uh9ucFi&#10;iHJopB7wGsdtJ9MkeZYWW44PBnt6MVR/Vxer4Ow+3GuR0L43x/cw3hfl4bMqlZrdTcUKRKAp/If/&#10;2m9aQfaYZtnTIo0QESnigNz8AgAA//8DAFBLAQItABQABgAIAAAAIQDb4fbL7gAAAIUBAAATAAAA&#10;AAAAAAAAAAAAAAAAAABbQ29udGVudF9UeXBlc10ueG1sUEsBAi0AFAAGAAgAAAAhAFr0LFu/AAAA&#10;FQEAAAsAAAAAAAAAAAAAAAAAHwEAAF9yZWxzLy5yZWxzUEsBAi0AFAAGAAgAAAAhAKydpozKAAAA&#10;4gAAAA8AAAAAAAAAAAAAAAAABwIAAGRycy9kb3ducmV2LnhtbFBLBQYAAAAAAwADALcAAAD+AgAA&#10;AAA=&#10;">
                  <v:textbox>
                    <w:txbxContent>
                      <w:p w14:paraId="3B52181E" w14:textId="77777777" w:rsidR="00A67F21" w:rsidRDefault="00000000">
                        <w:pPr>
                          <w:jc w:val="center"/>
                          <w:rPr>
                            <w:color w:val="000000"/>
                            <w:sz w:val="21"/>
                            <w:szCs w:val="21"/>
                          </w:rPr>
                        </w:pPr>
                        <w:r>
                          <w:rPr>
                            <w:rFonts w:hint="eastAsia"/>
                            <w:sz w:val="21"/>
                            <w:szCs w:val="21"/>
                          </w:rPr>
                          <w:t>经辐射计量检查</w:t>
                        </w:r>
                        <w:r>
                          <w:rPr>
                            <w:rFonts w:hint="eastAsia"/>
                            <w:color w:val="000000"/>
                            <w:sz w:val="21"/>
                            <w:szCs w:val="21"/>
                          </w:rPr>
                          <w:t>满足出院要求后出院（告知出院后注意事项以及复诊时间和内容）</w:t>
                        </w:r>
                      </w:p>
                    </w:txbxContent>
                  </v:textbox>
                </v:rect>
                <v:rect id="Rectangle 5973" o:spid="_x0000_s1064" style="position:absolute;left:33909;top:18203;width:16383;height:6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X3yQAAAOMAAAAPAAAAZHJzL2Rvd25yZXYueG1sRE9fa8Iw&#10;EH8X9h3CDXyRmVqKm51RRsUxBAdze9jj0ZxtaHMpTdT67ZeB4OP9/t9yPdhWnKn3xrGC2TQBQVw6&#10;bbhS8PO9fXoB4QOyxtYxKbiSh/XqYbTEXLsLf9H5ECoRQ9jnqKAOocul9GVNFv3UdcSRO7reYohn&#10;X0nd4yWG21amSTKXFg3Hhho7Kmoqm8PJKmj0pEGz2X/+7q/Fdufei2MzN0qNH4e3VxCBhnAX39wf&#10;Os5P00X2nCXZAv5/igDI1R8AAAD//wMAUEsBAi0AFAAGAAgAAAAhANvh9svuAAAAhQEAABMAAAAA&#10;AAAAAAAAAAAAAAAAAFtDb250ZW50X1R5cGVzXS54bWxQSwECLQAUAAYACAAAACEAWvQsW78AAAAV&#10;AQAACwAAAAAAAAAAAAAAAAAfAQAAX3JlbHMvLnJlbHNQSwECLQAUAAYACAAAACEA/T3V98kAAADj&#10;AAAADwAAAAAAAAAAAAAAAAAHAgAAZHJzL2Rvd25yZXYueG1sUEsFBgAAAAADAAMAtwAAAP0CAAAA&#10;AA==&#10;">
                  <v:stroke dashstyle="dash"/>
                  <v:textbox>
                    <w:txbxContent>
                      <w:p w14:paraId="17183DD9" w14:textId="77777777" w:rsidR="00A67F21" w:rsidRDefault="00000000">
                        <w:pPr>
                          <w:jc w:val="left"/>
                          <w:rPr>
                            <w:color w:val="000000"/>
                            <w:szCs w:val="21"/>
                          </w:rPr>
                        </w:pPr>
                        <w:r>
                          <w:rPr>
                            <w:color w:val="000000"/>
                            <w:sz w:val="21"/>
                            <w:szCs w:val="21"/>
                          </w:rPr>
                          <w:t>γ</w:t>
                        </w:r>
                        <w:r>
                          <w:rPr>
                            <w:rFonts w:hint="eastAsia"/>
                            <w:color w:val="000000"/>
                            <w:sz w:val="21"/>
                            <w:szCs w:val="21"/>
                          </w:rPr>
                          <w:t>射线、</w:t>
                        </w:r>
                        <w:r>
                          <w:rPr>
                            <w:bCs/>
                            <w:sz w:val="21"/>
                            <w:szCs w:val="21"/>
                          </w:rPr>
                          <w:t>β</w:t>
                        </w:r>
                        <w:r>
                          <w:rPr>
                            <w:bCs/>
                            <w:sz w:val="21"/>
                            <w:szCs w:val="21"/>
                          </w:rPr>
                          <w:t>射线、</w:t>
                        </w:r>
                        <w:r>
                          <w:rPr>
                            <w:color w:val="000000"/>
                            <w:sz w:val="21"/>
                            <w:szCs w:val="21"/>
                          </w:rPr>
                          <w:t>β</w:t>
                        </w:r>
                        <w:r>
                          <w:rPr>
                            <w:rFonts w:hint="eastAsia"/>
                            <w:color w:val="000000"/>
                            <w:sz w:val="21"/>
                            <w:szCs w:val="21"/>
                          </w:rPr>
                          <w:t>表面污染、放射性废水、放射性固废、放射性废气</w:t>
                        </w:r>
                      </w:p>
                    </w:txbxContent>
                  </v:textbox>
                </v:rect>
                <v:rect id="矩形 133" o:spid="_x0000_s1065" style="position:absolute;left:3118;width:23400;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iVygAAAOIAAAAPAAAAZHJzL2Rvd25yZXYueG1sRI9BS8NA&#10;FITvQv/D8gpeit1NUSlptyWIomIPJvXS2yP7zAazb0N2TeO/d4WCx2FmvmG2+8l1YqQhtJ41ZEsF&#10;grj2puVGw8fx6WYNIkRkg51n0vBDAfa72dUWc+PPXNJYxUYkCIccNdgY+1zKUFtyGJa+J07epx8c&#10;xiSHRpoBzwnuOrlS6l46bDktWOzpwVL9VX07DSd/8I+FoufeHl/juCjKt/eq1Pp6PhUbEJGm+B++&#10;tF+MhrtbtVLZWmXwdyndAbn7BQAA//8DAFBLAQItABQABgAIAAAAIQDb4fbL7gAAAIUBAAATAAAA&#10;AAAAAAAAAAAAAAAAAABbQ29udGVudF9UeXBlc10ueG1sUEsBAi0AFAAGAAgAAAAhAFr0LFu/AAAA&#10;FQEAAAsAAAAAAAAAAAAAAAAAHwEAAF9yZWxzLy5yZWxzUEsBAi0AFAAGAAgAAAAhAF33OJXKAAAA&#10;4gAAAA8AAAAAAAAAAAAAAAAABwIAAGRycy9kb3ducmV2LnhtbFBLBQYAAAAAAwADALcAAAD+AgAA&#10;AAA=&#10;">
                  <v:textbox>
                    <w:txbxContent>
                      <w:p w14:paraId="3D9BA634" w14:textId="77777777" w:rsidR="00A67F21" w:rsidRDefault="00000000">
                        <w:pPr>
                          <w:jc w:val="center"/>
                          <w:rPr>
                            <w:color w:val="000000"/>
                            <w:sz w:val="21"/>
                            <w:szCs w:val="21"/>
                          </w:rPr>
                        </w:pPr>
                        <w:r>
                          <w:rPr>
                            <w:rFonts w:hint="eastAsia"/>
                            <w:color w:val="000000"/>
                            <w:sz w:val="21"/>
                            <w:szCs w:val="21"/>
                          </w:rPr>
                          <w:t>预约接诊、确认信息</w:t>
                        </w:r>
                      </w:p>
                    </w:txbxContent>
                  </v:textbox>
                </v:rect>
                <v:rect id="矩形 136" o:spid="_x0000_s1066" style="position:absolute;left:3118;top:4679;width:23400;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f6ygAAAOIAAAAPAAAAZHJzL2Rvd25yZXYueG1sRI9PS8Mw&#10;GMbvA79DeAUvwyWbsM26bJQx0aEH23nx9tK8NsXmTWliV7+9OQx2fHj+8dvsRteKgfrQeNYwnykQ&#10;xJU3DdcaPk/P92sQISIbbD2Thj8KsNveTDaYGX/mgoYy1iKNcMhQg42xy6QMlSWHYeY74uR9+95h&#10;TLKvpenxnMZdKxdKLaXDhtODxY72lqqf8tdp+PLv/pAreuns6RiHaV68fZSF1ne3Y/4EItIYr+FL&#10;+9VoeFyp9WI1f0gQCSnhgNz+AwAA//8DAFBLAQItABQABgAIAAAAIQDb4fbL7gAAAIUBAAATAAAA&#10;AAAAAAAAAAAAAAAAAABbQ29udGVudF9UeXBlc10ueG1sUEsBAi0AFAAGAAgAAAAhAFr0LFu/AAAA&#10;FQEAAAsAAAAAAAAAAAAAAAAAHwEAAF9yZWxzLy5yZWxzUEsBAi0AFAAGAAgAAAAhADa9F/rKAAAA&#10;4gAAAA8AAAAAAAAAAAAAAAAABwIAAGRycy9kb3ducmV2LnhtbFBLBQYAAAAAAwADALcAAAD+AgAA&#10;AAA=&#10;">
                  <v:textbox>
                    <w:txbxContent>
                      <w:p w14:paraId="25565B03" w14:textId="77777777" w:rsidR="00A67F21" w:rsidRDefault="00000000">
                        <w:pPr>
                          <w:jc w:val="center"/>
                          <w:rPr>
                            <w:color w:val="000000"/>
                            <w:sz w:val="21"/>
                            <w:szCs w:val="21"/>
                          </w:rPr>
                        </w:pPr>
                        <w:r>
                          <w:rPr>
                            <w:rFonts w:hint="eastAsia"/>
                            <w:color w:val="000000"/>
                            <w:sz w:val="21"/>
                            <w:szCs w:val="21"/>
                          </w:rPr>
                          <w:t>办理住院手续，治疗前准备、谈话</w:t>
                        </w:r>
                      </w:p>
                      <w:p w14:paraId="7CEE491E" w14:textId="77777777" w:rsidR="00A67F21" w:rsidRDefault="00A67F21">
                        <w:pPr>
                          <w:jc w:val="center"/>
                          <w:rPr>
                            <w:color w:val="000000"/>
                            <w:szCs w:val="18"/>
                          </w:rPr>
                        </w:pPr>
                      </w:p>
                    </w:txbxContent>
                  </v:textbox>
                </v:rect>
                <v:rect id="矩形 137" o:spid="_x0000_s1067" style="position:absolute;left:3131;top:9182;width:23399;height:4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pyQAAAOMAAAAPAAAAZHJzL2Rvd25yZXYueG1sRE/NSsNA&#10;EL4XfIdlhF7Eblq1KbHbEkSxpR5M6sXbkB2zwexsyK5pfPuuIPQ43/+st6NtxUC9bxwrmM8SEMSV&#10;0w3XCj6OL7crED4ga2wdk4Jf8rDdXE3WmGl34oKGMtQihrDPUIEJocuk9JUhi37mOuLIfbneYohn&#10;X0vd4ymG21YukmQpLTYcGwx29GSo+i5/rIJP9+ae84ReO3Pch+EmLw7vZaHU9HrMH0EEGsNF/O/e&#10;6Tj/4S5N71fzZQp/P0UA5OYMAAD//wMAUEsBAi0AFAAGAAgAAAAhANvh9svuAAAAhQEAABMAAAAA&#10;AAAAAAAAAAAAAAAAAFtDb250ZW50X1R5cGVzXS54bWxQSwECLQAUAAYACAAAACEAWvQsW78AAAAV&#10;AQAACwAAAAAAAAAAAAAAAAAfAQAAX3JlbHMvLnJlbHNQSwECLQAUAAYACAAAACEAQvppackAAADj&#10;AAAADwAAAAAAAAAAAAAAAAAHAgAAZHJzL2Rvd25yZXYueG1sUEsFBgAAAAADAAMAtwAAAP0CAAAA&#10;AA==&#10;">
                  <v:textbox>
                    <w:txbxContent>
                      <w:p w14:paraId="04619E43" w14:textId="77777777" w:rsidR="00A67F21" w:rsidRDefault="00000000">
                        <w:pPr>
                          <w:jc w:val="center"/>
                          <w:rPr>
                            <w:color w:val="000000"/>
                            <w:sz w:val="21"/>
                            <w:szCs w:val="21"/>
                          </w:rPr>
                        </w:pPr>
                        <w:r>
                          <w:rPr>
                            <w:rFonts w:hint="eastAsia"/>
                            <w:color w:val="000000"/>
                            <w:sz w:val="21"/>
                            <w:szCs w:val="21"/>
                          </w:rPr>
                          <w:t>告知辐射危害和注意事项，签署知情同意书</w:t>
                        </w:r>
                      </w:p>
                      <w:p w14:paraId="3001343A" w14:textId="77777777" w:rsidR="00A67F21" w:rsidRDefault="00A67F21"/>
                    </w:txbxContent>
                  </v:textbox>
                </v:rect>
                <v:rect id="矩形 151" o:spid="_x0000_s1068" style="position:absolute;left:3518;top:36084;width:23400;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xwAAAOIAAAAPAAAAZHJzL2Rvd25yZXYueG1sRE/PS8Mw&#10;FL4L+x/CE7zIlliobHXZKENR0YPtdtnt0TybYvNSmtjV/94cBI8f3+/tfna9mGgMnWcNdysFgrjx&#10;puNWw+n4tFyDCBHZYO+ZNPxQgP1ucbXFwvgLVzTVsRUphEOBGmyMQyFlaCw5DCs/ECfu048OY4Jj&#10;K82IlxTuepkpdS8ddpwaLA50sNR81d9Ow9m/+8dS0fNgj69xui2rt4+60vrmei4fQESa47/4z/1i&#10;NKyzPMtztUmb06V0B+TuFwAA//8DAFBLAQItABQABgAIAAAAIQDb4fbL7gAAAIUBAAATAAAAAAAA&#10;AAAAAAAAAAAAAABbQ29udGVudF9UeXBlc10ueG1sUEsBAi0AFAAGAAgAAAAhAFr0LFu/AAAAFQEA&#10;AAsAAAAAAAAAAAAAAAAAHwEAAF9yZWxzLy5yZWxzUEsBAi0AFAAGAAgAAAAhAD4ND4PHAAAA4gAA&#10;AA8AAAAAAAAAAAAAAAAABwIAAGRycy9kb3ducmV2LnhtbFBLBQYAAAAAAwADALcAAAD7AgAAAAA=&#10;">
                  <v:textbox>
                    <w:txbxContent>
                      <w:p w14:paraId="02568F08" w14:textId="77777777" w:rsidR="00A67F21" w:rsidRDefault="00000000">
                        <w:pPr>
                          <w:jc w:val="center"/>
                          <w:rPr>
                            <w:sz w:val="21"/>
                            <w:szCs w:val="21"/>
                            <w:lang w:val="zh-CN"/>
                          </w:rPr>
                        </w:pPr>
                        <w:r>
                          <w:rPr>
                            <w:rFonts w:hAnsi="宋体" w:hint="eastAsia"/>
                            <w:sz w:val="21"/>
                            <w:szCs w:val="21"/>
                            <w:lang w:val="zh-CN"/>
                          </w:rPr>
                          <w:t>乘坐电梯至一层核医学科出口</w:t>
                        </w:r>
                        <w:r>
                          <w:rPr>
                            <w:rFonts w:hAnsi="宋体"/>
                            <w:sz w:val="21"/>
                            <w:szCs w:val="21"/>
                            <w:lang w:val="zh-CN"/>
                          </w:rPr>
                          <w:t>离开</w:t>
                        </w:r>
                      </w:p>
                      <w:p w14:paraId="4DB9D316" w14:textId="77777777" w:rsidR="00A67F21" w:rsidRDefault="00A67F21">
                        <w:pPr>
                          <w:rPr>
                            <w:szCs w:val="18"/>
                          </w:rPr>
                        </w:pPr>
                      </w:p>
                    </w:txbxContent>
                  </v:textbox>
                </v:rect>
                <v:shape id="AutoShape 6125" o:spid="_x0000_s1069" type="#_x0000_t32" style="position:absolute;left:14818;top:2717;width:0;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XFxgAAAOMAAAAPAAAAZHJzL2Rvd25yZXYueG1sRE9LT8Mw&#10;DL4j8R8iI3Fj6UMD1i2bBtKA67aKs9WYpqNxQhPW7t8TJCSO/t5ebSbbizMNoXOsIJ9lIIgbpztu&#10;FdTH3d0jiBCRNfaOScGFAmzW11crrLQbeU/nQ2xFCuFQoQITo6+kDI0hi2HmPHHiPtxgMaZzaKUe&#10;cEzhtpdFlt1Lix2nBoOeng01n4dvq8DXpcu3X5fXXXM0vh7z96fy9KLU7c20XYKINMV/8Z/7Taf5&#10;86Kc5w+LRQG/PyUA5PoHAAD//wMAUEsBAi0AFAAGAAgAAAAhANvh9svuAAAAhQEAABMAAAAAAAAA&#10;AAAAAAAAAAAAAFtDb250ZW50X1R5cGVzXS54bWxQSwECLQAUAAYACAAAACEAWvQsW78AAAAVAQAA&#10;CwAAAAAAAAAAAAAAAAAfAQAAX3JlbHMvLnJlbHNQSwECLQAUAAYACAAAACEArfBVxcYAAADjAAAA&#10;DwAAAAAAAAAAAAAAAAAHAgAAZHJzL2Rvd25yZXYueG1sUEsFBgAAAAADAAMAtwAAAPoCAAAAAA==&#10;" strokeweight="1pt">
                  <v:stroke endarrow="block"/>
                </v:shape>
                <v:shape id="AutoShape 6126" o:spid="_x0000_s1070" type="#_x0000_t32" style="position:absolute;left:14818;top:7905;width:12;height:1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yyxQAAAOMAAAAPAAAAZHJzL2Rvd25yZXYueG1sRE9fS8Mw&#10;EH8X/A7hBN9cUldGqcvGFKa+upU9H83ZVJtLbOLafXsjCD7e7/+tt7MbxJnG2HvWUCwUCOLWm547&#10;Dc1xf1eBiAnZ4OCZNFwownZzfbXG2viJ3+h8SJ3IIRxr1GBTCrWUsbXkMC58IM7cux8dpnyOnTQj&#10;TjncDfJeqZV02HNusBjoyVL7efh2GkKz9MXu6/Kyb482NFNxelx+PGt9ezPvHkAkmtO/+M/9avL8&#10;VVmpUlVlAb8/ZQDk5gcAAP//AwBQSwECLQAUAAYACAAAACEA2+H2y+4AAACFAQAAEwAAAAAAAAAA&#10;AAAAAAAAAAAAW0NvbnRlbnRfVHlwZXNdLnhtbFBLAQItABQABgAIAAAAIQBa9CxbvwAAABUBAAAL&#10;AAAAAAAAAAAAAAAAAB8BAABfcmVscy8ucmVsc1BLAQItABQABgAIAAAAIQBiqLyyxQAAAOMAAAAP&#10;AAAAAAAAAAAAAAAAAAcCAABkcnMvZG93bnJldi54bWxQSwUGAAAAAAMAAwC3AAAA+QIAAAAA&#10;" strokeweight="1pt">
                  <v:stroke endarrow="block"/>
                </v:shape>
                <v:shape id="AutoShape 6127" o:spid="_x0000_s1071" type="#_x0000_t32" style="position:absolute;left:14818;top:13836;width:12;height:2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uGygAAAOIAAAAPAAAAZHJzL2Rvd25yZXYueG1sRI/BTgIx&#10;EIbvJr5DMybcpOsGVlgpxJAQMPECeuA42Y7bxXa6tgWWt7cHE4+Tf/5vvlmsBmfFhULsPCt4Ghcg&#10;iBuvO24VfH5sHmcgYkLWaD2TghtFWC3v7xZYa3/lPV0OqRUZwrFGBSalvpYyNoYcxrHviXP25YPD&#10;lMfQSh3wmuHOyrIoKumw43zBYE9rQ8334eyyxun0bu1W3tr95OcYyu3mbWKsUqOH4fUFRKIh/S//&#10;tXdawWw6r8pp9Zyd80uZA3L5CwAA//8DAFBLAQItABQABgAIAAAAIQDb4fbL7gAAAIUBAAATAAAA&#10;AAAAAAAAAAAAAAAAAABbQ29udGVudF9UeXBlc10ueG1sUEsBAi0AFAAGAAgAAAAhAFr0LFu/AAAA&#10;FQEAAAsAAAAAAAAAAAAAAAAAHwEAAF9yZWxzLy5yZWxzUEsBAi0AFAAGAAgAAAAhAGJem4bKAAAA&#10;4gAAAA8AAAAAAAAAAAAAAAAABwIAAGRycy9kb3ducmV2LnhtbFBLBQYAAAAAAwADALcAAAD+AgAA&#10;AAA=&#10;" strokeweight="1pt">
                  <v:stroke endarrow="block"/>
                </v:shape>
                <v:shape id="AutoShape 6129" o:spid="_x0000_s1072" type="#_x0000_t32" style="position:absolute;left:14818;top:19202;width:12;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cvyQAAAOIAAAAPAAAAZHJzL2Rvd25yZXYueG1sRI/BTsMw&#10;EETvSPyDtUjcqBNaQpvWrQpSoVfaiPMq3saBeG1i06R/j5GQOI5m5o1mtRltJ87Uh9axgnySgSCu&#10;nW65UVAdd3dzECEia+wck4ILBdisr69WWGo38BudD7ERCcKhRAUmRl9KGWpDFsPEeeLknVxvMSbZ&#10;N1L3OCS47eR9lhXSYstpwaCnZ0P15+HbKvDV1OXbr8vrrj4aXw35+9P040Wp25txuwQRaYz/4b/2&#10;XitYFI8Ps/lsUcDvpXQH5PoHAAD//wMAUEsBAi0AFAAGAAgAAAAhANvh9svuAAAAhQEAABMAAAAA&#10;AAAAAAAAAAAAAAAAAFtDb250ZW50X1R5cGVzXS54bWxQSwECLQAUAAYACAAAACEAWvQsW78AAAAV&#10;AQAACwAAAAAAAAAAAAAAAAAfAQAAX3JlbHMvLnJlbHNQSwECLQAUAAYACAAAACEAj2JnL8kAAADi&#10;AAAADwAAAAAAAAAAAAAAAAAHAgAAZHJzL2Rvd25yZXYueG1sUEsFBgAAAAADAAMAtwAAAP0CAAAA&#10;AA==&#10;" strokeweight="1pt">
                  <v:stroke endarrow="block"/>
                </v:shape>
                <v:shape id="AutoShape 6130" o:spid="_x0000_s1073" type="#_x0000_t32" style="position:absolute;left:14818;top:23873;width:12;height:14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cjywAAAOIAAAAPAAAAZHJzL2Rvd25yZXYueG1sRI9BTwIx&#10;EIXvJv6HZky8SRdEFlYKMSYESbwAHjxOtsN2sZ2ubYXl31sSE48vb9735s2XvbPiRCG2nhUMBwUI&#10;4trrlhsFH/vVwxRETMgarWdScKEIy8XtzRwr7c+8pdMuNSJDOFaowKTUVVLG2pDDOPAdcfYOPjhM&#10;WYZG6oDnDHdWjopiIh22nBsMdvRqqP7a/bj8xvH4bu1aXprt+PszjNarzdhYpe7v+pdnEIn69H/8&#10;l37TCsqnWVkOi+kjXCdlDsjFLwAAAP//AwBQSwECLQAUAAYACAAAACEA2+H2y+4AAACFAQAAEwAA&#10;AAAAAAAAAAAAAAAAAAAAW0NvbnRlbnRfVHlwZXNdLnhtbFBLAQItABQABgAIAAAAIQBa9CxbvwAA&#10;ABUBAAALAAAAAAAAAAAAAAAAAB8BAABfcmVscy8ucmVsc1BLAQItABQABgAIAAAAIQD4Z6cjywAA&#10;AOIAAAAPAAAAAAAAAAAAAAAAAAcCAABkcnMvZG93bnJldi54bWxQSwUGAAAAAAMAAwC3AAAA/wIA&#10;AAAA&#10;" strokeweight="1pt">
                  <v:stroke endarrow="block"/>
                </v:shape>
                <v:shape id="AutoShape 6131" o:spid="_x0000_s1074" type="#_x0000_t32" style="position:absolute;left:14818;top:27744;width:12;height:15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pZyQAAAOIAAAAPAAAAZHJzL2Rvd25yZXYueG1sRI/BTsMw&#10;DIbvSLxDZCRuLGVUUJVlE0KaBhKXbRw4Wo1pOhKnJGHr3h4fkDhav//PnxerKXh1pJSHyAZuZxUo&#10;4i7agXsD7/v1TQMqF2SLPjIZOFOG1fLyYoGtjSfe0nFXeiUQzi0acKWMrda5cxQwz+JILNlnTAGL&#10;jKnXNuFJ4MHreVXd64ADywWHIz076r52P0E0Doc37zf63G/r748036xfa+eNub6anh5BFZrK//Jf&#10;+8UaeLirm7pqGnGWl4QDevkLAAD//wMAUEsBAi0AFAAGAAgAAAAhANvh9svuAAAAhQEAABMAAAAA&#10;AAAAAAAAAAAAAAAAAFtDb250ZW50X1R5cGVzXS54bWxQSwECLQAUAAYACAAAACEAWvQsW78AAAAV&#10;AQAACwAAAAAAAAAAAAAAAAAfAQAAX3JlbHMvLnJlbHNQSwECLQAUAAYACAAAACEA90WqWckAAADi&#10;AAAADwAAAAAAAAAAAAAAAAAHAgAAZHJzL2Rvd25yZXYueG1sUEsFBgAAAAADAAMAtwAAAP0CAAAA&#10;AA==&#10;" strokeweight="1pt">
                  <v:stroke endarrow="block"/>
                </v:shape>
                <v:rect id="Rectangle 6133" o:spid="_x0000_s1075" style="position:absolute;left:889;top:15086;width:28194;height:1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sExgAAAOIAAAAPAAAAZHJzL2Rvd25yZXYueG1sRI/NagIx&#10;FIX3Bd8hXKGbUpMpJYSpUUQUXBVqhW5DcjszmNwMSdTx7ZtCocvD+fk4y/UUPLtiykMkDc1CAEOy&#10;0Q3UaTh97p8VsFwMOeMjoYY7ZlivZg9L07p4ow+8HkvH6gjl1mjoSxlbzrPtMZi8iCNS9b5jCqZU&#10;mTrukrnV8eD5ixCSBzNQJfRmxG2P9ny8hAqxu4vwB/++p/uXLPLVpidSWj/Op80bsIJT+Q//tQ9O&#10;g1JCCdnIBn4v1TvAVz8AAAD//wMAUEsBAi0AFAAGAAgAAAAhANvh9svuAAAAhQEAABMAAAAAAAAA&#10;AAAAAAAAAAAAAFtDb250ZW50X1R5cGVzXS54bWxQSwECLQAUAAYACAAAACEAWvQsW78AAAAVAQAA&#10;CwAAAAAAAAAAAAAAAAAfAQAAX3JlbHMvLnJlbHNQSwECLQAUAAYACAAAACEA28WrBMYAAADiAAAA&#10;DwAAAAAAAAAAAAAAAAAHAgAAZHJzL2Rvd25yZXYueG1sUEsFBgAAAAADAAMAtwAAAPoCAAAAAA==&#10;" filled="f">
                  <v:stroke dashstyle="dash"/>
                </v:rect>
                <v:shape id="AutoShape 6134" o:spid="_x0000_s1076" type="#_x0000_t32" style="position:absolute;left:29083;top:21645;width:4826;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7VxQAAAOIAAAAPAAAAZHJzL2Rvd25yZXYueG1sRE/NasJA&#10;EL4X+g7LCL3V3cRWY3SVUijYo8YHGLLTJDQ7GzLbGN++eyj0+PH974+z79VEo3SBLWRLA4q4Dq7j&#10;xsK1+nguQElEdtgHJgt3EjgeHh/2WLpw4zNNl9ioFMJSooU2xqHUWuqWPMoyDMSJ+wqjx5jg2Gg3&#10;4i2F+17nxqy1x45TQ4sDvbdUf19+vIVJNp8vq2y+S7Gt4krOr9VpO1j7tJjfdqAizfFf/Oc+OQt5&#10;borMbNZpc7qU7oA+/AIAAP//AwBQSwECLQAUAAYACAAAACEA2+H2y+4AAACFAQAAEwAAAAAAAAAA&#10;AAAAAAAAAAAAW0NvbnRlbnRfVHlwZXNdLnhtbFBLAQItABQABgAIAAAAIQBa9CxbvwAAABUBAAAL&#10;AAAAAAAAAAAAAAAAAB8BAABfcmVscy8ucmVsc1BLAQItABQABgAIAAAAIQCPkL7VxQAAAOIAAAAP&#10;AAAAAAAAAAAAAAAAAAcCAABkcnMvZG93bnJldi54bWxQSwUGAAAAAAMAAwC3AAAA+QIAAAAA&#10;">
                  <v:stroke dashstyle="dash" endarrow="block"/>
                </v:shape>
                <v:shape id="直接箭头连接符 496261832" o:spid="_x0000_s1077" type="#_x0000_t32" style="position:absolute;left:15144;top:3429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3yQAAAOIAAAAPAAAAZHJzL2Rvd25yZXYueG1sRI/NTsMw&#10;EITvSLyDtUjcqPODojatWxWkAlfaiPMqXuJAvDaxadK3x0hIHEcz841ms5vtIM40ht6xgnyRgSBu&#10;ne65U9CcDndLECEiaxwck4ILBdhtr682WGs38Sudj7ETCcKhRgUmRl9LGVpDFsPCeeLkvbvRYkxy&#10;7KQecUpwO8giyyppsee0YNDTo6H28/htFfimdPn+6/J8aE/GN1P+9lB+PCl1ezPv1yAizfE//Nd+&#10;0QruV1VR5cuygN9L6Q7I7Q8AAAD//wMAUEsBAi0AFAAGAAgAAAAhANvh9svuAAAAhQEAABMAAAAA&#10;AAAAAAAAAAAAAAAAAFtDb250ZW50X1R5cGVzXS54bWxQSwECLQAUAAYACAAAACEAWvQsW78AAAAV&#10;AQAACwAAAAAAAAAAAAAAAAAfAQAAX3JlbHMvLnJlbHNQSwECLQAUAAYACAAAACEAPsYX98kAAADi&#10;AAAADwAAAAAAAAAAAAAAAAAHAgAAZHJzL2Rvd25yZXYueG1sUEsFBgAAAAADAAMAtwAAAP0CAAAA&#10;AA==&#10;" strokeweight="1pt">
                  <v:stroke endarrow="block"/>
                </v:shape>
                <w10:anchorlock/>
              </v:group>
            </w:pict>
          </mc:Fallback>
        </mc:AlternateContent>
      </w:r>
    </w:p>
    <w:p w14:paraId="30900BD8" w14:textId="77777777" w:rsidR="00A67F21" w:rsidRPr="00B12FE0" w:rsidRDefault="00000000">
      <w:pPr>
        <w:pStyle w:val="21"/>
        <w:tabs>
          <w:tab w:val="left" w:pos="975"/>
        </w:tabs>
        <w:ind w:leftChars="0" w:left="0" w:firstLineChars="0" w:firstLine="0"/>
        <w:jc w:val="center"/>
        <w:rPr>
          <w:rFonts w:ascii="宋体" w:hAnsi="宋体" w:hint="eastAsia"/>
          <w:b/>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9.1.1.</w:t>
      </w:r>
      <w:r w:rsidRPr="00B12FE0">
        <w:rPr>
          <w:rFonts w:hint="eastAsia"/>
          <w:b/>
          <w:color w:val="000000" w:themeColor="text1"/>
          <w:sz w:val="21"/>
          <w:szCs w:val="21"/>
        </w:rPr>
        <w:t>4</w:t>
      </w:r>
      <w:r w:rsidRPr="00B12FE0">
        <w:rPr>
          <w:b/>
          <w:color w:val="000000" w:themeColor="text1"/>
          <w:sz w:val="21"/>
          <w:szCs w:val="21"/>
        </w:rPr>
        <w:t>-</w:t>
      </w:r>
      <w:r w:rsidRPr="00B12FE0">
        <w:rPr>
          <w:rFonts w:hint="eastAsia"/>
          <w:b/>
          <w:color w:val="000000" w:themeColor="text1"/>
          <w:sz w:val="21"/>
          <w:szCs w:val="21"/>
        </w:rPr>
        <w:t>1</w:t>
      </w:r>
      <w:r w:rsidRPr="00B12FE0">
        <w:rPr>
          <w:b/>
          <w:color w:val="000000" w:themeColor="text1"/>
          <w:sz w:val="21"/>
          <w:szCs w:val="21"/>
        </w:rPr>
        <w:t xml:space="preserve">  </w:t>
      </w:r>
      <w:proofErr w:type="gramStart"/>
      <w:r w:rsidRPr="00B12FE0">
        <w:rPr>
          <w:rFonts w:ascii="宋体" w:hAnsi="宋体"/>
          <w:b/>
          <w:color w:val="000000" w:themeColor="text1"/>
          <w:sz w:val="21"/>
          <w:szCs w:val="21"/>
        </w:rPr>
        <w:t>甲癌治疗</w:t>
      </w:r>
      <w:proofErr w:type="gramEnd"/>
      <w:r w:rsidRPr="00B12FE0">
        <w:rPr>
          <w:rFonts w:ascii="宋体" w:hAnsi="宋体"/>
          <w:b/>
          <w:color w:val="000000" w:themeColor="text1"/>
          <w:sz w:val="21"/>
          <w:szCs w:val="21"/>
        </w:rPr>
        <w:t>工艺流程</w:t>
      </w:r>
      <w:proofErr w:type="gramStart"/>
      <w:r w:rsidRPr="00B12FE0">
        <w:rPr>
          <w:rFonts w:ascii="宋体" w:hAnsi="宋体"/>
          <w:b/>
          <w:color w:val="000000" w:themeColor="text1"/>
          <w:sz w:val="21"/>
          <w:szCs w:val="21"/>
        </w:rPr>
        <w:t>及产污环节</w:t>
      </w:r>
      <w:proofErr w:type="gramEnd"/>
    </w:p>
    <w:p w14:paraId="21232C5F"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bCs/>
          <w:snapToGrid w:val="0"/>
          <w:color w:val="000000" w:themeColor="text1"/>
          <w:szCs w:val="24"/>
        </w:rPr>
        <w:t>因此，</w:t>
      </w:r>
      <w:proofErr w:type="gramStart"/>
      <w:r w:rsidRPr="00B12FE0">
        <w:rPr>
          <w:bCs/>
          <w:snapToGrid w:val="0"/>
          <w:color w:val="000000" w:themeColor="text1"/>
          <w:szCs w:val="24"/>
        </w:rPr>
        <w:t>甲癌治疗</w:t>
      </w:r>
      <w:proofErr w:type="gramEnd"/>
      <w:r w:rsidRPr="00B12FE0">
        <w:rPr>
          <w:bCs/>
          <w:snapToGrid w:val="0"/>
          <w:color w:val="000000" w:themeColor="text1"/>
          <w:szCs w:val="24"/>
        </w:rPr>
        <w:t>项目污染因子是：</w:t>
      </w:r>
      <w:r w:rsidRPr="00B12FE0">
        <w:rPr>
          <w:bCs/>
          <w:snapToGrid w:val="0"/>
          <w:color w:val="000000" w:themeColor="text1"/>
          <w:szCs w:val="24"/>
        </w:rPr>
        <w:t>γ</w:t>
      </w:r>
      <w:r w:rsidRPr="00B12FE0">
        <w:rPr>
          <w:bCs/>
          <w:snapToGrid w:val="0"/>
          <w:color w:val="000000" w:themeColor="text1"/>
          <w:szCs w:val="24"/>
        </w:rPr>
        <w:t>射线、</w:t>
      </w:r>
      <w:r w:rsidRPr="00B12FE0">
        <w:rPr>
          <w:bCs/>
          <w:snapToGrid w:val="0"/>
          <w:color w:val="000000" w:themeColor="text1"/>
          <w:szCs w:val="24"/>
        </w:rPr>
        <w:t>β</w:t>
      </w:r>
      <w:r w:rsidRPr="00B12FE0">
        <w:rPr>
          <w:bCs/>
          <w:snapToGrid w:val="0"/>
          <w:color w:val="000000" w:themeColor="text1"/>
          <w:szCs w:val="24"/>
        </w:rPr>
        <w:t>射线、</w:t>
      </w:r>
      <w:r w:rsidRPr="00B12FE0">
        <w:rPr>
          <w:bCs/>
          <w:snapToGrid w:val="0"/>
          <w:color w:val="000000" w:themeColor="text1"/>
          <w:szCs w:val="24"/>
        </w:rPr>
        <w:t>β</w:t>
      </w:r>
      <w:r w:rsidRPr="00B12FE0">
        <w:rPr>
          <w:bCs/>
          <w:snapToGrid w:val="0"/>
          <w:color w:val="000000" w:themeColor="text1"/>
          <w:szCs w:val="24"/>
        </w:rPr>
        <w:t>表面污染、放射性废</w:t>
      </w:r>
      <w:r w:rsidRPr="00B12FE0">
        <w:rPr>
          <w:rFonts w:hint="eastAsia"/>
          <w:bCs/>
          <w:snapToGrid w:val="0"/>
          <w:color w:val="000000" w:themeColor="text1"/>
          <w:szCs w:val="24"/>
        </w:rPr>
        <w:t>水</w:t>
      </w:r>
      <w:r w:rsidRPr="00B12FE0">
        <w:rPr>
          <w:bCs/>
          <w:snapToGrid w:val="0"/>
          <w:color w:val="000000" w:themeColor="text1"/>
          <w:szCs w:val="24"/>
        </w:rPr>
        <w:t>、放射性固废、放射性废气。</w:t>
      </w:r>
    </w:p>
    <w:p w14:paraId="5D69F640" w14:textId="77777777" w:rsidR="00A67F21" w:rsidRPr="00B12FE0" w:rsidRDefault="00000000">
      <w:pPr>
        <w:spacing w:line="360" w:lineRule="auto"/>
        <w:rPr>
          <w:b/>
          <w:color w:val="000000" w:themeColor="text1"/>
          <w:sz w:val="21"/>
          <w:szCs w:val="21"/>
        </w:rPr>
      </w:pPr>
      <w:r w:rsidRPr="00B12FE0">
        <w:rPr>
          <w:rFonts w:hint="eastAsia"/>
          <w:b/>
          <w:color w:val="000000" w:themeColor="text1"/>
        </w:rPr>
        <w:t xml:space="preserve">9.1.1.4.3 </w:t>
      </w:r>
      <w:r w:rsidRPr="00B12FE0">
        <w:rPr>
          <w:rFonts w:hint="eastAsia"/>
          <w:b/>
          <w:color w:val="000000" w:themeColor="text1"/>
        </w:rPr>
        <w:t>核医学科核素治疗场所人员、物流路径规划</w:t>
      </w:r>
      <w:r w:rsidRPr="00B12FE0">
        <w:rPr>
          <w:rFonts w:ascii="宋体" w:hAnsi="宋体"/>
          <w:b/>
          <w:bCs/>
          <w:color w:val="000000" w:themeColor="text1"/>
          <w:szCs w:val="24"/>
        </w:rPr>
        <w:t>（见附图</w:t>
      </w:r>
      <w:r w:rsidRPr="00B12FE0">
        <w:rPr>
          <w:b/>
          <w:bCs/>
          <w:color w:val="000000" w:themeColor="text1"/>
          <w:szCs w:val="24"/>
        </w:rPr>
        <w:t>1</w:t>
      </w:r>
      <w:r w:rsidRPr="00B12FE0">
        <w:rPr>
          <w:rFonts w:hint="eastAsia"/>
          <w:b/>
          <w:bCs/>
          <w:color w:val="000000" w:themeColor="text1"/>
          <w:szCs w:val="24"/>
        </w:rPr>
        <w:t>0</w:t>
      </w:r>
      <w:r w:rsidRPr="00B12FE0">
        <w:rPr>
          <w:rFonts w:ascii="宋体" w:hAnsi="宋体"/>
          <w:b/>
          <w:bCs/>
          <w:color w:val="000000" w:themeColor="text1"/>
          <w:szCs w:val="24"/>
        </w:rPr>
        <w:t>）</w:t>
      </w:r>
    </w:p>
    <w:p w14:paraId="4518E8DD" w14:textId="77777777" w:rsidR="00A67F21" w:rsidRPr="00B12FE0" w:rsidRDefault="00000000">
      <w:pPr>
        <w:adjustRightInd w:val="0"/>
        <w:snapToGrid w:val="0"/>
        <w:spacing w:line="360" w:lineRule="auto"/>
        <w:ind w:firstLineChars="200" w:firstLine="482"/>
        <w:rPr>
          <w:b/>
          <w:bCs/>
          <w:color w:val="000000" w:themeColor="text1"/>
        </w:rPr>
      </w:pPr>
      <w:r w:rsidRPr="00B12FE0">
        <w:rPr>
          <w:rFonts w:ascii="宋体" w:hAnsi="宋体" w:cs="宋体" w:hint="eastAsia"/>
          <w:b/>
          <w:bCs/>
          <w:color w:val="000000" w:themeColor="text1"/>
        </w:rPr>
        <w:t>①</w:t>
      </w:r>
      <w:r w:rsidRPr="00B12FE0">
        <w:rPr>
          <w:b/>
          <w:bCs/>
          <w:color w:val="000000" w:themeColor="text1"/>
        </w:rPr>
        <w:t>工作人员路径</w:t>
      </w:r>
    </w:p>
    <w:p w14:paraId="67AA4A8A" w14:textId="77777777" w:rsidR="00A67F21" w:rsidRPr="00B12FE0" w:rsidRDefault="00000000">
      <w:pPr>
        <w:adjustRightInd w:val="0"/>
        <w:snapToGrid w:val="0"/>
        <w:spacing w:line="360" w:lineRule="auto"/>
        <w:ind w:firstLine="482"/>
        <w:rPr>
          <w:color w:val="000000" w:themeColor="text1"/>
        </w:rPr>
      </w:pPr>
      <w:r w:rsidRPr="00B12FE0">
        <w:rPr>
          <w:color w:val="000000" w:themeColor="text1"/>
        </w:rPr>
        <w:t>工作人员</w:t>
      </w:r>
      <w:r w:rsidRPr="00B12FE0">
        <w:rPr>
          <w:rFonts w:hint="eastAsia"/>
          <w:color w:val="000000" w:themeColor="text1"/>
        </w:rPr>
        <w:t>由</w:t>
      </w:r>
      <w:r w:rsidRPr="00B12FE0">
        <w:rPr>
          <w:color w:val="000000" w:themeColor="text1"/>
        </w:rPr>
        <w:t>核医学科</w:t>
      </w:r>
      <w:r w:rsidRPr="00B12FE0">
        <w:rPr>
          <w:rFonts w:hint="eastAsia"/>
          <w:color w:val="000000" w:themeColor="text1"/>
        </w:rPr>
        <w:t>核素治疗场所北侧医护通道进入更衣室，经更衣后</w:t>
      </w:r>
      <w:r w:rsidRPr="00B12FE0">
        <w:rPr>
          <w:color w:val="000000" w:themeColor="text1"/>
        </w:rPr>
        <w:t>进入</w:t>
      </w:r>
      <w:r w:rsidRPr="00B12FE0">
        <w:rPr>
          <w:rFonts w:hint="eastAsia"/>
          <w:color w:val="000000" w:themeColor="text1"/>
        </w:rPr>
        <w:t>高活室</w:t>
      </w:r>
      <w:r w:rsidRPr="00B12FE0">
        <w:rPr>
          <w:color w:val="000000" w:themeColor="text1"/>
        </w:rPr>
        <w:t>，使用计算机程序操作碘自动分装仪进行分装，通过监控系统指挥患者服药。</w:t>
      </w:r>
    </w:p>
    <w:p w14:paraId="0AFA6B53" w14:textId="77777777" w:rsidR="00A67F21" w:rsidRPr="00B12FE0" w:rsidRDefault="00000000">
      <w:pPr>
        <w:adjustRightInd w:val="0"/>
        <w:snapToGrid w:val="0"/>
        <w:spacing w:line="360" w:lineRule="auto"/>
        <w:ind w:firstLineChars="200" w:firstLine="482"/>
        <w:rPr>
          <w:b/>
          <w:bCs/>
          <w:color w:val="000000" w:themeColor="text1"/>
        </w:rPr>
      </w:pPr>
      <w:r w:rsidRPr="00B12FE0">
        <w:rPr>
          <w:rFonts w:ascii="宋体" w:hAnsi="宋体" w:cs="宋体" w:hint="eastAsia"/>
          <w:b/>
          <w:bCs/>
          <w:color w:val="000000" w:themeColor="text1"/>
        </w:rPr>
        <w:t>②</w:t>
      </w:r>
      <w:r w:rsidRPr="00B12FE0">
        <w:rPr>
          <w:b/>
          <w:bCs/>
          <w:color w:val="000000" w:themeColor="text1"/>
        </w:rPr>
        <w:t>患者路径</w:t>
      </w:r>
    </w:p>
    <w:p w14:paraId="43F404CD" w14:textId="77777777" w:rsidR="00A67F21" w:rsidRPr="00B12FE0" w:rsidRDefault="00000000">
      <w:pPr>
        <w:adjustRightInd w:val="0"/>
        <w:snapToGrid w:val="0"/>
        <w:spacing w:line="360" w:lineRule="auto"/>
        <w:ind w:firstLineChars="200" w:firstLine="480"/>
        <w:rPr>
          <w:color w:val="000000" w:themeColor="text1"/>
        </w:rPr>
      </w:pPr>
      <w:proofErr w:type="gramStart"/>
      <w:r w:rsidRPr="00B12FE0">
        <w:rPr>
          <w:rFonts w:hint="eastAsia"/>
          <w:color w:val="000000" w:themeColor="text1"/>
        </w:rPr>
        <w:t>甲癌患者</w:t>
      </w:r>
      <w:proofErr w:type="gramEnd"/>
      <w:r w:rsidRPr="00B12FE0">
        <w:rPr>
          <w:rFonts w:hint="eastAsia"/>
          <w:color w:val="000000" w:themeColor="text1"/>
        </w:rPr>
        <w:t>由核医学科核素治疗场所东侧</w:t>
      </w:r>
      <w:r w:rsidRPr="00B12FE0">
        <w:rPr>
          <w:color w:val="000000" w:themeColor="text1"/>
        </w:rPr>
        <w:t>进入</w:t>
      </w:r>
      <w:r w:rsidRPr="00B12FE0">
        <w:rPr>
          <w:rFonts w:hint="eastAsia"/>
          <w:color w:val="000000" w:themeColor="text1"/>
        </w:rPr>
        <w:t>核素治疗场所</w:t>
      </w:r>
      <w:r w:rsidRPr="00B12FE0">
        <w:rPr>
          <w:color w:val="000000" w:themeColor="text1"/>
        </w:rPr>
        <w:t>，先在</w:t>
      </w:r>
      <w:r w:rsidRPr="00B12FE0">
        <w:rPr>
          <w:rFonts w:hint="eastAsia"/>
          <w:color w:val="000000" w:themeColor="text1"/>
        </w:rPr>
        <w:t>护士站</w:t>
      </w:r>
      <w:r w:rsidRPr="00B12FE0">
        <w:rPr>
          <w:color w:val="000000" w:themeColor="text1"/>
        </w:rPr>
        <w:t>进行登记、安排住院</w:t>
      </w:r>
      <w:r w:rsidRPr="00B12FE0">
        <w:rPr>
          <w:rFonts w:hint="eastAsia"/>
          <w:color w:val="000000" w:themeColor="text1"/>
        </w:rPr>
        <w:t>，后在大厅等候区等待叫号</w:t>
      </w:r>
      <w:r w:rsidRPr="00B12FE0">
        <w:rPr>
          <w:color w:val="000000" w:themeColor="text1"/>
        </w:rPr>
        <w:t>，</w:t>
      </w:r>
      <w:proofErr w:type="gramStart"/>
      <w:r w:rsidRPr="00B12FE0">
        <w:rPr>
          <w:color w:val="000000" w:themeColor="text1"/>
        </w:rPr>
        <w:t>随后甲癌患者</w:t>
      </w:r>
      <w:proofErr w:type="gramEnd"/>
      <w:r w:rsidRPr="00B12FE0">
        <w:rPr>
          <w:rFonts w:hint="eastAsia"/>
          <w:color w:val="000000" w:themeColor="text1"/>
        </w:rPr>
        <w:t>由患者</w:t>
      </w:r>
      <w:r w:rsidRPr="00B12FE0">
        <w:rPr>
          <w:color w:val="000000" w:themeColor="text1"/>
        </w:rPr>
        <w:t>入口</w:t>
      </w:r>
      <w:r w:rsidRPr="00B12FE0">
        <w:rPr>
          <w:rFonts w:hint="eastAsia"/>
          <w:color w:val="000000" w:themeColor="text1"/>
        </w:rPr>
        <w:t>经走廊</w:t>
      </w:r>
      <w:proofErr w:type="gramStart"/>
      <w:r w:rsidRPr="00B12FE0">
        <w:rPr>
          <w:color w:val="000000" w:themeColor="text1"/>
        </w:rPr>
        <w:t>进入</w:t>
      </w:r>
      <w:r w:rsidRPr="00B12FE0">
        <w:rPr>
          <w:rFonts w:hint="eastAsia"/>
          <w:color w:val="000000" w:themeColor="text1"/>
        </w:rPr>
        <w:t>甲癌服药</w:t>
      </w:r>
      <w:proofErr w:type="gramEnd"/>
      <w:r w:rsidRPr="00B12FE0">
        <w:rPr>
          <w:color w:val="000000" w:themeColor="text1"/>
        </w:rPr>
        <w:t>室服药，服药后进入</w:t>
      </w:r>
      <w:r w:rsidRPr="00B12FE0">
        <w:rPr>
          <w:rFonts w:hint="eastAsia"/>
          <w:color w:val="000000" w:themeColor="text1"/>
        </w:rPr>
        <w:t>相应核素</w:t>
      </w:r>
      <w:r w:rsidRPr="00B12FE0">
        <w:rPr>
          <w:color w:val="000000" w:themeColor="text1"/>
        </w:rPr>
        <w:t>病房进行住院</w:t>
      </w:r>
      <w:r w:rsidRPr="00B12FE0">
        <w:rPr>
          <w:rFonts w:hint="eastAsia"/>
          <w:color w:val="000000" w:themeColor="text1"/>
        </w:rPr>
        <w:t>。住院结束后</w:t>
      </w:r>
      <w:r w:rsidRPr="00B12FE0">
        <w:rPr>
          <w:color w:val="000000" w:themeColor="text1"/>
        </w:rPr>
        <w:t>，</w:t>
      </w:r>
      <w:r w:rsidRPr="00B12FE0">
        <w:rPr>
          <w:rFonts w:hint="eastAsia"/>
          <w:color w:val="000000" w:themeColor="text1"/>
        </w:rPr>
        <w:t>经北侧出院患者电梯处辐</w:t>
      </w:r>
      <w:r w:rsidRPr="00B12FE0">
        <w:rPr>
          <w:rFonts w:hint="eastAsia"/>
          <w:color w:val="000000" w:themeColor="text1"/>
        </w:rPr>
        <w:lastRenderedPageBreak/>
        <w:t>射剂量检查室进行剂量检查，检查达标后乘电梯至一层核医学科出口离开</w:t>
      </w:r>
      <w:r w:rsidRPr="00B12FE0">
        <w:rPr>
          <w:color w:val="000000" w:themeColor="text1"/>
        </w:rPr>
        <w:t>。</w:t>
      </w:r>
    </w:p>
    <w:p w14:paraId="0369086A" w14:textId="77777777" w:rsidR="00A67F21" w:rsidRPr="00B12FE0" w:rsidRDefault="00000000">
      <w:pPr>
        <w:topLinePunct/>
        <w:adjustRightInd w:val="0"/>
        <w:snapToGrid w:val="0"/>
        <w:spacing w:line="360" w:lineRule="auto"/>
        <w:ind w:firstLineChars="200" w:firstLine="482"/>
        <w:rPr>
          <w:b/>
          <w:color w:val="000000" w:themeColor="text1"/>
          <w:sz w:val="21"/>
          <w:szCs w:val="21"/>
        </w:rPr>
      </w:pPr>
      <w:r w:rsidRPr="00B12FE0">
        <w:rPr>
          <w:rFonts w:ascii="Cambria Math" w:hAnsi="Cambria Math" w:cs="Cambria Math"/>
          <w:b/>
          <w:color w:val="000000" w:themeColor="text1"/>
          <w:szCs w:val="24"/>
        </w:rPr>
        <w:t>③</w:t>
      </w:r>
      <w:r w:rsidRPr="00B12FE0">
        <w:rPr>
          <w:rFonts w:ascii="宋体" w:hAnsi="宋体"/>
          <w:b/>
          <w:color w:val="000000" w:themeColor="text1"/>
          <w:szCs w:val="24"/>
        </w:rPr>
        <w:t>放射性药物路径</w:t>
      </w:r>
    </w:p>
    <w:p w14:paraId="6F74791C" w14:textId="77777777" w:rsidR="00A67F21" w:rsidRPr="00B12FE0" w:rsidRDefault="00000000">
      <w:pPr>
        <w:adjustRightInd w:val="0"/>
        <w:snapToGrid w:val="0"/>
        <w:spacing w:line="360" w:lineRule="auto"/>
        <w:ind w:firstLineChars="200" w:firstLine="480"/>
        <w:rPr>
          <w:color w:val="000000" w:themeColor="text1"/>
        </w:rPr>
      </w:pPr>
      <w:proofErr w:type="gramStart"/>
      <w:r w:rsidRPr="00B12FE0">
        <w:rPr>
          <w:rFonts w:hint="eastAsia"/>
          <w:color w:val="000000" w:themeColor="text1"/>
        </w:rPr>
        <w:t>甲癌治疗</w:t>
      </w:r>
      <w:proofErr w:type="gramEnd"/>
      <w:r w:rsidRPr="00B12FE0">
        <w:rPr>
          <w:rFonts w:hint="eastAsia"/>
          <w:color w:val="000000" w:themeColor="text1"/>
        </w:rPr>
        <w:t>项目使用</w:t>
      </w:r>
      <w:r w:rsidRPr="00B12FE0">
        <w:rPr>
          <w:color w:val="000000" w:themeColor="text1"/>
        </w:rPr>
        <w:t>放射性核素为外购成品药物。</w:t>
      </w:r>
      <w:r w:rsidRPr="00B12FE0">
        <w:rPr>
          <w:rFonts w:hint="eastAsia"/>
          <w:color w:val="000000" w:themeColor="text1"/>
        </w:rPr>
        <w:t>按照医院与专业放射性同位素供货商的协定，放射性药物配送人员</w:t>
      </w:r>
      <w:r w:rsidRPr="00B12FE0">
        <w:rPr>
          <w:color w:val="000000" w:themeColor="text1"/>
        </w:rPr>
        <w:t>每天早上在开展诊疗工作前提前到达核医学科核素</w:t>
      </w:r>
      <w:r w:rsidRPr="00B12FE0">
        <w:rPr>
          <w:rFonts w:hint="eastAsia"/>
          <w:color w:val="000000" w:themeColor="text1"/>
        </w:rPr>
        <w:t>诊断</w:t>
      </w:r>
      <w:r w:rsidRPr="00B12FE0">
        <w:rPr>
          <w:color w:val="000000" w:themeColor="text1"/>
        </w:rPr>
        <w:t>场所</w:t>
      </w:r>
      <w:r w:rsidRPr="00B12FE0">
        <w:rPr>
          <w:rFonts w:hint="eastAsia"/>
          <w:color w:val="000000" w:themeColor="text1"/>
        </w:rPr>
        <w:t>，</w:t>
      </w:r>
      <w:r w:rsidRPr="00B12FE0">
        <w:rPr>
          <w:color w:val="000000" w:themeColor="text1"/>
        </w:rPr>
        <w:t>避开候诊病人，</w:t>
      </w:r>
      <w:r w:rsidRPr="00B12FE0">
        <w:rPr>
          <w:rFonts w:hint="eastAsia"/>
          <w:color w:val="000000" w:themeColor="text1"/>
        </w:rPr>
        <w:t>通过一层核素诊断场所楼梯进入二层核素治疗场所高活室，</w:t>
      </w:r>
      <w:r w:rsidRPr="00B12FE0">
        <w:rPr>
          <w:color w:val="000000" w:themeColor="text1"/>
        </w:rPr>
        <w:t>在摄像头监控下与医院工作人员核对放射性药物信息量，双方办理交接手续并存档，并将药物暂存在储源室内。</w:t>
      </w:r>
    </w:p>
    <w:p w14:paraId="625726A0" w14:textId="77777777" w:rsidR="00A67F21" w:rsidRPr="00B12FE0" w:rsidRDefault="00000000">
      <w:pPr>
        <w:topLinePunct/>
        <w:autoSpaceDE w:val="0"/>
        <w:adjustRightInd w:val="0"/>
        <w:snapToGrid w:val="0"/>
        <w:spacing w:line="360" w:lineRule="auto"/>
        <w:ind w:firstLineChars="200" w:firstLine="482"/>
        <w:rPr>
          <w:b/>
          <w:color w:val="000000" w:themeColor="text1"/>
        </w:rPr>
      </w:pPr>
      <w:r w:rsidRPr="00B12FE0">
        <w:rPr>
          <w:rFonts w:ascii="宋体" w:hAnsi="宋体" w:cs="宋体" w:hint="eastAsia"/>
          <w:b/>
          <w:color w:val="000000" w:themeColor="text1"/>
        </w:rPr>
        <w:t>④</w:t>
      </w:r>
      <w:r w:rsidRPr="00B12FE0">
        <w:rPr>
          <w:b/>
          <w:color w:val="000000" w:themeColor="text1"/>
        </w:rPr>
        <w:t>污物路径</w:t>
      </w:r>
    </w:p>
    <w:p w14:paraId="4471A0EA" w14:textId="77777777" w:rsidR="00A67F21" w:rsidRPr="00B12FE0" w:rsidRDefault="00000000">
      <w:pPr>
        <w:adjustRightInd w:val="0"/>
        <w:snapToGrid w:val="0"/>
        <w:spacing w:line="360" w:lineRule="auto"/>
        <w:ind w:firstLineChars="200" w:firstLine="480"/>
        <w:rPr>
          <w:color w:val="000000" w:themeColor="text1"/>
        </w:rPr>
      </w:pPr>
      <w:r w:rsidRPr="00B12FE0">
        <w:rPr>
          <w:bCs/>
          <w:color w:val="000000" w:themeColor="text1"/>
        </w:rPr>
        <w:t>核医学科核素治疗场所的</w:t>
      </w:r>
      <w:r w:rsidRPr="00B12FE0">
        <w:rPr>
          <w:color w:val="000000" w:themeColor="text1"/>
        </w:rPr>
        <w:t>放射性废物在</w:t>
      </w:r>
      <w:r w:rsidRPr="00B12FE0">
        <w:rPr>
          <w:rFonts w:hint="eastAsia"/>
          <w:color w:val="000000" w:themeColor="text1"/>
        </w:rPr>
        <w:t>污物</w:t>
      </w:r>
      <w:r w:rsidRPr="00B12FE0">
        <w:rPr>
          <w:color w:val="000000" w:themeColor="text1"/>
        </w:rPr>
        <w:t>间衰变</w:t>
      </w:r>
      <w:r w:rsidRPr="00B12FE0">
        <w:rPr>
          <w:rFonts w:hint="eastAsia"/>
          <w:color w:val="000000" w:themeColor="text1"/>
        </w:rPr>
        <w:t>，衰变时间满足要求且经监测</w:t>
      </w:r>
      <w:r w:rsidRPr="00B12FE0">
        <w:rPr>
          <w:color w:val="000000" w:themeColor="text1"/>
        </w:rPr>
        <w:t>符合</w:t>
      </w:r>
      <w:proofErr w:type="gramStart"/>
      <w:r w:rsidRPr="00B12FE0">
        <w:rPr>
          <w:color w:val="000000" w:themeColor="text1"/>
        </w:rPr>
        <w:t>清洁解</w:t>
      </w:r>
      <w:proofErr w:type="gramEnd"/>
      <w:r w:rsidRPr="00B12FE0">
        <w:rPr>
          <w:color w:val="000000" w:themeColor="text1"/>
        </w:rPr>
        <w:t>控水平后，由放射性</w:t>
      </w:r>
      <w:r w:rsidRPr="00B12FE0">
        <w:rPr>
          <w:rFonts w:hint="eastAsia"/>
          <w:color w:val="000000" w:themeColor="text1"/>
        </w:rPr>
        <w:t>污物</w:t>
      </w:r>
      <w:r w:rsidRPr="00B12FE0">
        <w:rPr>
          <w:color w:val="000000" w:themeColor="text1"/>
        </w:rPr>
        <w:t>间经</w:t>
      </w:r>
      <w:r w:rsidRPr="00B12FE0">
        <w:rPr>
          <w:rFonts w:hint="eastAsia"/>
          <w:color w:val="000000" w:themeColor="text1"/>
        </w:rPr>
        <w:t>患者出口</w:t>
      </w:r>
      <w:r w:rsidRPr="00B12FE0">
        <w:rPr>
          <w:color w:val="000000" w:themeColor="text1"/>
        </w:rPr>
        <w:t>送医院医疗废物库收集后按照医疗废物处置。</w:t>
      </w:r>
    </w:p>
    <w:p w14:paraId="56371436"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核医学</w:t>
      </w:r>
      <w:r w:rsidRPr="00B12FE0">
        <w:rPr>
          <w:bCs/>
          <w:color w:val="000000" w:themeColor="text1"/>
        </w:rPr>
        <w:t>科核素治疗场所</w:t>
      </w:r>
      <w:r w:rsidRPr="00B12FE0">
        <w:rPr>
          <w:rFonts w:hint="eastAsia"/>
          <w:color w:val="000000" w:themeColor="text1"/>
        </w:rPr>
        <w:t>设立相对独立的工作人员、患者、放射性药物和放射性废物路径。工作人员通道和患者通道分开，减少给药后患者对其他人员的照射。注射放射性药物后患者与注射放射性药物前患者不交叉，人员与放射性药物通道不交叉，放射性药物和放射性废物运送通道尽可能短捷，满足</w:t>
      </w:r>
      <w:r w:rsidRPr="00B12FE0">
        <w:rPr>
          <w:rFonts w:cs="宋体" w:hint="eastAsia"/>
          <w:color w:val="000000" w:themeColor="text1"/>
          <w:lang w:val="en-GB"/>
        </w:rPr>
        <w:t>《核医学辐射防护与安全要求》（</w:t>
      </w:r>
      <w:r w:rsidRPr="00B12FE0">
        <w:rPr>
          <w:rFonts w:cs="宋体" w:hint="eastAsia"/>
          <w:color w:val="000000" w:themeColor="text1"/>
          <w:lang w:val="en-GB"/>
        </w:rPr>
        <w:t>HJ1188-2021</w:t>
      </w:r>
      <w:r w:rsidRPr="00B12FE0">
        <w:rPr>
          <w:rFonts w:cs="宋体" w:hint="eastAsia"/>
          <w:color w:val="000000" w:themeColor="text1"/>
          <w:lang w:val="en-GB"/>
        </w:rPr>
        <w:t>）相关要求</w:t>
      </w:r>
      <w:r w:rsidRPr="00B12FE0">
        <w:rPr>
          <w:rFonts w:hint="eastAsia"/>
          <w:color w:val="000000" w:themeColor="text1"/>
        </w:rPr>
        <w:t>。</w:t>
      </w:r>
    </w:p>
    <w:p w14:paraId="1A0F4857" w14:textId="77777777" w:rsidR="00A67F21" w:rsidRPr="00B12FE0" w:rsidRDefault="00000000">
      <w:pPr>
        <w:adjustRightInd w:val="0"/>
        <w:snapToGrid w:val="0"/>
        <w:spacing w:line="360" w:lineRule="auto"/>
        <w:outlineLvl w:val="3"/>
        <w:rPr>
          <w:b/>
          <w:color w:val="000000" w:themeColor="text1"/>
        </w:rPr>
      </w:pPr>
      <w:r w:rsidRPr="00B12FE0">
        <w:rPr>
          <w:b/>
          <w:bCs/>
          <w:color w:val="000000" w:themeColor="text1"/>
        </w:rPr>
        <w:t>9.</w:t>
      </w:r>
      <w:r w:rsidRPr="00B12FE0">
        <w:rPr>
          <w:rFonts w:hint="eastAsia"/>
          <w:b/>
          <w:bCs/>
          <w:color w:val="000000" w:themeColor="text1"/>
        </w:rPr>
        <w:t>1.1.5</w:t>
      </w:r>
      <w:r w:rsidRPr="00B12FE0">
        <w:rPr>
          <w:b/>
          <w:bCs/>
          <w:color w:val="000000" w:themeColor="text1"/>
        </w:rPr>
        <w:t>核医学科</w:t>
      </w:r>
      <w:r w:rsidRPr="00B12FE0">
        <w:rPr>
          <w:b/>
          <w:color w:val="000000" w:themeColor="text1"/>
        </w:rPr>
        <w:t>工作负荷</w:t>
      </w:r>
    </w:p>
    <w:p w14:paraId="5756FA96" w14:textId="77777777" w:rsidR="00A67F21" w:rsidRPr="00B12FE0" w:rsidRDefault="00000000">
      <w:pPr>
        <w:adjustRightInd w:val="0"/>
        <w:snapToGrid w:val="0"/>
        <w:spacing w:line="360" w:lineRule="auto"/>
        <w:ind w:firstLineChars="196" w:firstLine="472"/>
        <w:outlineLvl w:val="3"/>
        <w:rPr>
          <w:b/>
          <w:bCs/>
          <w:color w:val="000000" w:themeColor="text1"/>
        </w:rPr>
      </w:pPr>
      <w:r w:rsidRPr="00B12FE0">
        <w:rPr>
          <w:b/>
          <w:color w:val="000000" w:themeColor="text1"/>
        </w:rPr>
        <w:t>（</w:t>
      </w:r>
      <w:r w:rsidRPr="00B12FE0">
        <w:rPr>
          <w:b/>
          <w:color w:val="000000" w:themeColor="text1"/>
        </w:rPr>
        <w:t>1</w:t>
      </w:r>
      <w:r w:rsidRPr="00B12FE0">
        <w:rPr>
          <w:b/>
          <w:color w:val="000000" w:themeColor="text1"/>
        </w:rPr>
        <w:t>）</w:t>
      </w:r>
      <w:r w:rsidRPr="00B12FE0">
        <w:rPr>
          <w:b/>
          <w:bCs/>
          <w:color w:val="000000" w:themeColor="text1"/>
        </w:rPr>
        <w:t>放射性核素相关放射性属性</w:t>
      </w:r>
    </w:p>
    <w:p w14:paraId="3ED8232F" w14:textId="77777777" w:rsidR="00A67F21" w:rsidRPr="00B12FE0" w:rsidRDefault="00000000">
      <w:pPr>
        <w:adjustRightInd w:val="0"/>
        <w:snapToGrid w:val="0"/>
        <w:spacing w:line="360" w:lineRule="auto"/>
        <w:ind w:firstLineChars="200" w:firstLine="480"/>
        <w:rPr>
          <w:bCs/>
          <w:color w:val="000000" w:themeColor="text1"/>
        </w:rPr>
      </w:pPr>
      <w:r w:rsidRPr="00B12FE0">
        <w:rPr>
          <w:bCs/>
          <w:color w:val="000000" w:themeColor="text1"/>
        </w:rPr>
        <w:t>本项目拟使用放射性核素的有关参数见表</w:t>
      </w:r>
      <w:r w:rsidRPr="00B12FE0">
        <w:rPr>
          <w:rFonts w:hint="eastAsia"/>
          <w:bCs/>
          <w:color w:val="000000" w:themeColor="text1"/>
        </w:rPr>
        <w:t>9.1.1.5</w:t>
      </w:r>
      <w:r w:rsidRPr="00B12FE0">
        <w:rPr>
          <w:bCs/>
          <w:color w:val="000000" w:themeColor="text1"/>
        </w:rPr>
        <w:t>-1</w:t>
      </w:r>
      <w:r w:rsidRPr="00B12FE0">
        <w:rPr>
          <w:rFonts w:hint="eastAsia"/>
          <w:bCs/>
          <w:color w:val="000000" w:themeColor="text1"/>
        </w:rPr>
        <w:t>~9.1.1.5-2</w:t>
      </w:r>
      <w:r w:rsidRPr="00B12FE0">
        <w:rPr>
          <w:bCs/>
          <w:color w:val="000000" w:themeColor="text1"/>
        </w:rPr>
        <w:t>。</w:t>
      </w:r>
    </w:p>
    <w:p w14:paraId="04CAA1FD" w14:textId="77777777" w:rsidR="00A67F21" w:rsidRPr="00B12FE0" w:rsidRDefault="00000000">
      <w:pPr>
        <w:adjustRightInd w:val="0"/>
        <w:snapToGrid w:val="0"/>
        <w:spacing w:line="360" w:lineRule="auto"/>
        <w:jc w:val="center"/>
        <w:rPr>
          <w:b/>
          <w:bCs/>
          <w:color w:val="000000" w:themeColor="text1"/>
          <w:sz w:val="21"/>
          <w:szCs w:val="21"/>
        </w:rPr>
      </w:pPr>
      <w:r w:rsidRPr="00B12FE0">
        <w:rPr>
          <w:b/>
          <w:bCs/>
          <w:color w:val="000000" w:themeColor="text1"/>
          <w:sz w:val="21"/>
          <w:szCs w:val="21"/>
        </w:rPr>
        <w:t>表</w:t>
      </w:r>
      <w:r w:rsidRPr="00B12FE0">
        <w:rPr>
          <w:rFonts w:hint="eastAsia"/>
          <w:b/>
          <w:bCs/>
          <w:color w:val="000000" w:themeColor="text1"/>
          <w:sz w:val="21"/>
          <w:szCs w:val="21"/>
        </w:rPr>
        <w:t>9.1.1.5</w:t>
      </w:r>
      <w:r w:rsidRPr="00B12FE0">
        <w:rPr>
          <w:b/>
          <w:bCs/>
          <w:color w:val="000000" w:themeColor="text1"/>
          <w:sz w:val="21"/>
          <w:szCs w:val="21"/>
        </w:rPr>
        <w:t xml:space="preserve">-1  </w:t>
      </w:r>
      <w:r w:rsidRPr="00B12FE0">
        <w:rPr>
          <w:b/>
          <w:bCs/>
          <w:color w:val="000000" w:themeColor="text1"/>
          <w:sz w:val="21"/>
          <w:szCs w:val="21"/>
        </w:rPr>
        <w:t>放射性</w:t>
      </w:r>
      <w:r w:rsidRPr="00B12FE0">
        <w:rPr>
          <w:rFonts w:hint="eastAsia"/>
          <w:b/>
          <w:bCs/>
          <w:color w:val="000000" w:themeColor="text1"/>
          <w:sz w:val="21"/>
          <w:szCs w:val="21"/>
        </w:rPr>
        <w:t>核素</w:t>
      </w:r>
      <w:r w:rsidRPr="00B12FE0">
        <w:rPr>
          <w:b/>
          <w:bCs/>
          <w:color w:val="000000" w:themeColor="text1"/>
          <w:sz w:val="21"/>
          <w:szCs w:val="21"/>
        </w:rPr>
        <w:t>的相关放射性属性</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2"/>
        <w:gridCol w:w="721"/>
        <w:gridCol w:w="1044"/>
        <w:gridCol w:w="803"/>
        <w:gridCol w:w="1273"/>
        <w:gridCol w:w="1419"/>
        <w:gridCol w:w="1844"/>
        <w:gridCol w:w="1273"/>
      </w:tblGrid>
      <w:tr w:rsidR="00A67F21" w:rsidRPr="00B12FE0" w14:paraId="2548DBA9" w14:textId="77777777">
        <w:trPr>
          <w:trHeight w:val="340"/>
          <w:jc w:val="center"/>
        </w:trPr>
        <w:tc>
          <w:tcPr>
            <w:tcW w:w="234" w:type="pct"/>
            <w:tcBorders>
              <w:top w:val="single" w:sz="4" w:space="0" w:color="auto"/>
              <w:left w:val="single" w:sz="4" w:space="0" w:color="auto"/>
              <w:bottom w:val="single" w:sz="4" w:space="0" w:color="auto"/>
              <w:right w:val="single" w:sz="4" w:space="0" w:color="auto"/>
            </w:tcBorders>
            <w:vAlign w:val="center"/>
          </w:tcPr>
          <w:p w14:paraId="6CB50734" w14:textId="77777777" w:rsidR="00A67F21" w:rsidRPr="00B12FE0" w:rsidRDefault="00000000">
            <w:pPr>
              <w:pStyle w:val="a5"/>
              <w:ind w:leftChars="0" w:left="0"/>
              <w:rPr>
                <w:b/>
                <w:color w:val="000000" w:themeColor="text1"/>
                <w:szCs w:val="21"/>
              </w:rPr>
            </w:pPr>
            <w:r w:rsidRPr="00B12FE0">
              <w:rPr>
                <w:rFonts w:hint="eastAsia"/>
                <w:b/>
                <w:color w:val="000000" w:themeColor="text1"/>
                <w:szCs w:val="21"/>
              </w:rPr>
              <w:t>序号</w:t>
            </w:r>
          </w:p>
        </w:tc>
        <w:tc>
          <w:tcPr>
            <w:tcW w:w="410" w:type="pct"/>
            <w:tcBorders>
              <w:top w:val="single" w:sz="4" w:space="0" w:color="auto"/>
              <w:left w:val="single" w:sz="4" w:space="0" w:color="auto"/>
              <w:bottom w:val="single" w:sz="4" w:space="0" w:color="auto"/>
              <w:right w:val="single" w:sz="4" w:space="0" w:color="auto"/>
            </w:tcBorders>
            <w:vAlign w:val="center"/>
          </w:tcPr>
          <w:p w14:paraId="77E23ABE" w14:textId="77777777" w:rsidR="00A67F21" w:rsidRPr="00B12FE0" w:rsidRDefault="00000000">
            <w:pPr>
              <w:pStyle w:val="a5"/>
              <w:ind w:leftChars="0" w:left="0"/>
              <w:rPr>
                <w:b/>
                <w:color w:val="000000" w:themeColor="text1"/>
                <w:szCs w:val="21"/>
              </w:rPr>
            </w:pPr>
            <w:r w:rsidRPr="00B12FE0">
              <w:rPr>
                <w:rFonts w:hint="eastAsia"/>
                <w:b/>
                <w:color w:val="000000" w:themeColor="text1"/>
                <w:szCs w:val="21"/>
              </w:rPr>
              <w:t>核素名称</w:t>
            </w:r>
          </w:p>
        </w:tc>
        <w:tc>
          <w:tcPr>
            <w:tcW w:w="594" w:type="pct"/>
            <w:tcBorders>
              <w:top w:val="single" w:sz="4" w:space="0" w:color="auto"/>
              <w:left w:val="single" w:sz="4" w:space="0" w:color="auto"/>
              <w:bottom w:val="single" w:sz="4" w:space="0" w:color="auto"/>
              <w:right w:val="single" w:sz="4" w:space="0" w:color="auto"/>
            </w:tcBorders>
            <w:vAlign w:val="center"/>
          </w:tcPr>
          <w:p w14:paraId="3CF477BF" w14:textId="77777777" w:rsidR="00A67F21" w:rsidRPr="00B12FE0" w:rsidRDefault="00000000">
            <w:pPr>
              <w:pStyle w:val="a5"/>
              <w:ind w:leftChars="0" w:left="0"/>
              <w:rPr>
                <w:b/>
                <w:color w:val="000000" w:themeColor="text1"/>
                <w:szCs w:val="21"/>
              </w:rPr>
            </w:pPr>
            <w:r w:rsidRPr="00B12FE0">
              <w:rPr>
                <w:rFonts w:hint="eastAsia"/>
                <w:b/>
                <w:color w:val="000000" w:themeColor="text1"/>
                <w:szCs w:val="21"/>
              </w:rPr>
              <w:t>半衰期</w:t>
            </w:r>
          </w:p>
        </w:tc>
        <w:tc>
          <w:tcPr>
            <w:tcW w:w="457" w:type="pct"/>
            <w:tcBorders>
              <w:top w:val="single" w:sz="4" w:space="0" w:color="auto"/>
              <w:left w:val="single" w:sz="4" w:space="0" w:color="auto"/>
              <w:bottom w:val="single" w:sz="4" w:space="0" w:color="auto"/>
              <w:right w:val="single" w:sz="4" w:space="0" w:color="auto"/>
            </w:tcBorders>
            <w:vAlign w:val="center"/>
          </w:tcPr>
          <w:p w14:paraId="09A2A372" w14:textId="77777777" w:rsidR="00A67F21" w:rsidRPr="00B12FE0" w:rsidRDefault="00000000">
            <w:pPr>
              <w:pStyle w:val="a5"/>
              <w:ind w:leftChars="0" w:left="0"/>
              <w:rPr>
                <w:b/>
                <w:color w:val="000000" w:themeColor="text1"/>
                <w:szCs w:val="21"/>
              </w:rPr>
            </w:pPr>
            <w:r w:rsidRPr="00B12FE0">
              <w:rPr>
                <w:rFonts w:hint="eastAsia"/>
                <w:b/>
                <w:color w:val="000000" w:themeColor="text1"/>
                <w:szCs w:val="21"/>
              </w:rPr>
              <w:t>衰变方式</w:t>
            </w:r>
          </w:p>
        </w:tc>
        <w:tc>
          <w:tcPr>
            <w:tcW w:w="724" w:type="pct"/>
            <w:tcBorders>
              <w:top w:val="single" w:sz="4" w:space="0" w:color="auto"/>
              <w:left w:val="single" w:sz="4" w:space="0" w:color="auto"/>
              <w:bottom w:val="single" w:sz="4" w:space="0" w:color="auto"/>
              <w:right w:val="single" w:sz="4" w:space="0" w:color="auto"/>
            </w:tcBorders>
            <w:vAlign w:val="center"/>
          </w:tcPr>
          <w:p w14:paraId="3F6503B6" w14:textId="77777777" w:rsidR="00A67F21" w:rsidRPr="00B12FE0" w:rsidRDefault="00000000">
            <w:pPr>
              <w:pStyle w:val="a5"/>
              <w:ind w:leftChars="0" w:left="0"/>
              <w:rPr>
                <w:b/>
                <w:color w:val="000000" w:themeColor="text1"/>
                <w:szCs w:val="21"/>
              </w:rPr>
            </w:pPr>
            <w:r w:rsidRPr="00B12FE0">
              <w:rPr>
                <w:rFonts w:hint="eastAsia"/>
                <w:b/>
                <w:color w:val="000000" w:themeColor="text1"/>
                <w:szCs w:val="21"/>
              </w:rPr>
              <w:t>最大粒子能量（</w:t>
            </w:r>
            <w:r w:rsidRPr="00B12FE0">
              <w:rPr>
                <w:b/>
                <w:color w:val="000000" w:themeColor="text1"/>
                <w:szCs w:val="21"/>
              </w:rPr>
              <w:t>MeV</w:t>
            </w:r>
            <w:r w:rsidRPr="00B12FE0">
              <w:rPr>
                <w:rFonts w:hint="eastAsia"/>
                <w:b/>
                <w:color w:val="000000" w:themeColor="text1"/>
                <w:szCs w:val="21"/>
              </w:rPr>
              <w:t>）</w:t>
            </w:r>
          </w:p>
        </w:tc>
        <w:tc>
          <w:tcPr>
            <w:tcW w:w="807" w:type="pct"/>
            <w:tcBorders>
              <w:top w:val="single" w:sz="4" w:space="0" w:color="auto"/>
              <w:left w:val="single" w:sz="4" w:space="0" w:color="auto"/>
              <w:bottom w:val="single" w:sz="4" w:space="0" w:color="auto"/>
              <w:right w:val="single" w:sz="4" w:space="0" w:color="auto"/>
            </w:tcBorders>
            <w:vAlign w:val="center"/>
          </w:tcPr>
          <w:p w14:paraId="214C38E8" w14:textId="77777777" w:rsidR="00A67F21" w:rsidRPr="00B12FE0" w:rsidRDefault="00000000">
            <w:pPr>
              <w:pStyle w:val="a5"/>
              <w:ind w:leftChars="0" w:left="0"/>
              <w:rPr>
                <w:b/>
                <w:color w:val="000000" w:themeColor="text1"/>
                <w:szCs w:val="21"/>
              </w:rPr>
            </w:pPr>
            <w:r w:rsidRPr="00B12FE0">
              <w:rPr>
                <w:rFonts w:hint="eastAsia"/>
                <w:b/>
                <w:color w:val="000000" w:themeColor="text1"/>
                <w:szCs w:val="21"/>
              </w:rPr>
              <w:t>主要</w:t>
            </w:r>
            <w:r w:rsidRPr="00B12FE0">
              <w:rPr>
                <w:b/>
                <w:color w:val="000000" w:themeColor="text1"/>
                <w:szCs w:val="21"/>
              </w:rPr>
              <w:t>γ</w:t>
            </w:r>
            <w:r w:rsidRPr="00B12FE0">
              <w:rPr>
                <w:rFonts w:hint="eastAsia"/>
                <w:b/>
                <w:color w:val="000000" w:themeColor="text1"/>
                <w:szCs w:val="21"/>
              </w:rPr>
              <w:t>射线能量（</w:t>
            </w:r>
            <w:r w:rsidRPr="00B12FE0">
              <w:rPr>
                <w:b/>
                <w:color w:val="000000" w:themeColor="text1"/>
                <w:szCs w:val="21"/>
              </w:rPr>
              <w:t>MeV</w:t>
            </w:r>
            <w:r w:rsidRPr="00B12FE0">
              <w:rPr>
                <w:rFonts w:hint="eastAsia"/>
                <w:b/>
                <w:color w:val="000000" w:themeColor="text1"/>
                <w:szCs w:val="21"/>
              </w:rPr>
              <w:t>）</w:t>
            </w:r>
          </w:p>
        </w:tc>
        <w:tc>
          <w:tcPr>
            <w:tcW w:w="1049" w:type="pct"/>
            <w:tcBorders>
              <w:top w:val="single" w:sz="4" w:space="0" w:color="auto"/>
              <w:left w:val="single" w:sz="4" w:space="0" w:color="auto"/>
              <w:bottom w:val="single" w:sz="4" w:space="0" w:color="auto"/>
              <w:right w:val="single" w:sz="4" w:space="0" w:color="auto"/>
            </w:tcBorders>
            <w:vAlign w:val="center"/>
          </w:tcPr>
          <w:p w14:paraId="042FE351" w14:textId="77777777" w:rsidR="00A67F21" w:rsidRPr="00B12FE0" w:rsidRDefault="00000000">
            <w:pPr>
              <w:pStyle w:val="a5"/>
              <w:ind w:leftChars="0" w:left="0"/>
              <w:rPr>
                <w:rFonts w:eastAsia="方正仿宋_GBK"/>
                <w:b/>
                <w:color w:val="000000" w:themeColor="text1"/>
                <w:szCs w:val="21"/>
              </w:rPr>
            </w:pPr>
            <w:r w:rsidRPr="00B12FE0">
              <w:rPr>
                <w:rFonts w:hint="eastAsia"/>
                <w:b/>
                <w:color w:val="000000" w:themeColor="text1"/>
                <w:szCs w:val="21"/>
              </w:rPr>
              <w:t>周围剂量当量率常数</w:t>
            </w:r>
            <w:r w:rsidRPr="00B12FE0">
              <w:rPr>
                <w:rFonts w:eastAsia="方正仿宋_GBK"/>
                <w:b/>
                <w:color w:val="000000" w:themeColor="text1"/>
                <w:szCs w:val="21"/>
              </w:rPr>
              <w:t>(μSv·m</w:t>
            </w:r>
            <w:r w:rsidRPr="00B12FE0">
              <w:rPr>
                <w:rFonts w:eastAsia="方正仿宋_GBK"/>
                <w:b/>
                <w:color w:val="000000" w:themeColor="text1"/>
                <w:szCs w:val="21"/>
                <w:vertAlign w:val="superscript"/>
              </w:rPr>
              <w:t>2</w:t>
            </w:r>
            <w:r w:rsidRPr="00B12FE0">
              <w:rPr>
                <w:rFonts w:eastAsia="方正仿宋_GBK"/>
                <w:b/>
                <w:color w:val="000000" w:themeColor="text1"/>
                <w:szCs w:val="21"/>
              </w:rPr>
              <w:t>/</w:t>
            </w:r>
            <w:proofErr w:type="spellStart"/>
            <w:r w:rsidRPr="00B12FE0">
              <w:rPr>
                <w:rFonts w:eastAsia="方正仿宋_GBK"/>
                <w:b/>
                <w:color w:val="000000" w:themeColor="text1"/>
                <w:szCs w:val="21"/>
              </w:rPr>
              <w:t>MBq·h</w:t>
            </w:r>
            <w:proofErr w:type="spellEnd"/>
            <w:r w:rsidRPr="00B12FE0">
              <w:rPr>
                <w:rFonts w:eastAsia="方正仿宋_GBK"/>
                <w:b/>
                <w:color w:val="000000" w:themeColor="text1"/>
                <w:szCs w:val="21"/>
              </w:rPr>
              <w:t>)</w:t>
            </w:r>
          </w:p>
        </w:tc>
        <w:tc>
          <w:tcPr>
            <w:tcW w:w="724" w:type="pct"/>
            <w:tcBorders>
              <w:top w:val="single" w:sz="4" w:space="0" w:color="auto"/>
              <w:left w:val="single" w:sz="4" w:space="0" w:color="auto"/>
              <w:bottom w:val="single" w:sz="4" w:space="0" w:color="auto"/>
              <w:right w:val="single" w:sz="4" w:space="0" w:color="auto"/>
            </w:tcBorders>
            <w:vAlign w:val="center"/>
          </w:tcPr>
          <w:p w14:paraId="3C305565" w14:textId="77777777" w:rsidR="00A67F21" w:rsidRPr="00B12FE0" w:rsidRDefault="00000000">
            <w:pPr>
              <w:pStyle w:val="a5"/>
              <w:ind w:leftChars="0" w:left="0"/>
              <w:rPr>
                <w:b/>
                <w:color w:val="000000" w:themeColor="text1"/>
                <w:szCs w:val="21"/>
              </w:rPr>
            </w:pPr>
            <w:r w:rsidRPr="00B12FE0">
              <w:rPr>
                <w:rFonts w:hint="eastAsia"/>
                <w:b/>
                <w:color w:val="000000" w:themeColor="text1"/>
                <w:szCs w:val="21"/>
              </w:rPr>
              <w:t>活动种类及用途</w:t>
            </w:r>
          </w:p>
        </w:tc>
      </w:tr>
      <w:tr w:rsidR="00A67F21" w:rsidRPr="00B12FE0" w14:paraId="0A31E22A" w14:textId="77777777">
        <w:trPr>
          <w:trHeight w:val="340"/>
          <w:jc w:val="center"/>
        </w:trPr>
        <w:tc>
          <w:tcPr>
            <w:tcW w:w="234" w:type="pct"/>
            <w:tcBorders>
              <w:top w:val="single" w:sz="4" w:space="0" w:color="auto"/>
              <w:left w:val="single" w:sz="4" w:space="0" w:color="auto"/>
              <w:bottom w:val="single" w:sz="4" w:space="0" w:color="auto"/>
              <w:right w:val="single" w:sz="4" w:space="0" w:color="auto"/>
            </w:tcBorders>
            <w:vAlign w:val="center"/>
          </w:tcPr>
          <w:p w14:paraId="771F9F4F" w14:textId="77777777" w:rsidR="00A67F21" w:rsidRPr="00B12FE0" w:rsidRDefault="00000000">
            <w:pPr>
              <w:pStyle w:val="a5"/>
              <w:ind w:leftChars="0" w:left="0"/>
              <w:jc w:val="center"/>
              <w:rPr>
                <w:color w:val="000000" w:themeColor="text1"/>
                <w:szCs w:val="21"/>
              </w:rPr>
            </w:pPr>
            <w:r w:rsidRPr="00B12FE0">
              <w:rPr>
                <w:color w:val="000000" w:themeColor="text1"/>
                <w:szCs w:val="21"/>
              </w:rPr>
              <w:t>1</w:t>
            </w:r>
          </w:p>
        </w:tc>
        <w:tc>
          <w:tcPr>
            <w:tcW w:w="410" w:type="pct"/>
            <w:tcBorders>
              <w:top w:val="single" w:sz="4" w:space="0" w:color="auto"/>
              <w:left w:val="single" w:sz="4" w:space="0" w:color="auto"/>
              <w:bottom w:val="single" w:sz="4" w:space="0" w:color="auto"/>
              <w:right w:val="single" w:sz="4" w:space="0" w:color="auto"/>
            </w:tcBorders>
            <w:vAlign w:val="center"/>
          </w:tcPr>
          <w:p w14:paraId="132F8D64" w14:textId="77777777" w:rsidR="00A67F21" w:rsidRPr="00B12FE0" w:rsidRDefault="00000000">
            <w:pPr>
              <w:pStyle w:val="a5"/>
              <w:ind w:leftChars="0" w:left="0"/>
              <w:jc w:val="center"/>
              <w:rPr>
                <w:color w:val="000000" w:themeColor="text1"/>
                <w:szCs w:val="21"/>
              </w:rPr>
            </w:pPr>
            <w:r w:rsidRPr="00B12FE0">
              <w:rPr>
                <w:color w:val="000000" w:themeColor="text1"/>
                <w:szCs w:val="21"/>
                <w:vertAlign w:val="superscript"/>
              </w:rPr>
              <w:t>18</w:t>
            </w:r>
            <w:r w:rsidRPr="00B12FE0">
              <w:rPr>
                <w:color w:val="000000" w:themeColor="text1"/>
                <w:szCs w:val="21"/>
              </w:rPr>
              <w:t>F</w:t>
            </w:r>
          </w:p>
        </w:tc>
        <w:tc>
          <w:tcPr>
            <w:tcW w:w="594" w:type="pct"/>
            <w:tcBorders>
              <w:top w:val="single" w:sz="4" w:space="0" w:color="auto"/>
              <w:left w:val="single" w:sz="4" w:space="0" w:color="auto"/>
              <w:bottom w:val="single" w:sz="4" w:space="0" w:color="auto"/>
              <w:right w:val="single" w:sz="4" w:space="0" w:color="auto"/>
            </w:tcBorders>
            <w:vAlign w:val="center"/>
          </w:tcPr>
          <w:p w14:paraId="224FFA30" w14:textId="77777777" w:rsidR="00A67F21" w:rsidRPr="00B12FE0" w:rsidRDefault="00000000">
            <w:pPr>
              <w:pStyle w:val="a5"/>
              <w:ind w:leftChars="0" w:left="0"/>
              <w:jc w:val="center"/>
              <w:rPr>
                <w:color w:val="000000" w:themeColor="text1"/>
                <w:szCs w:val="21"/>
              </w:rPr>
            </w:pPr>
            <w:r w:rsidRPr="00B12FE0">
              <w:rPr>
                <w:color w:val="000000" w:themeColor="text1"/>
                <w:szCs w:val="21"/>
              </w:rPr>
              <w:t>109.8min</w:t>
            </w:r>
          </w:p>
        </w:tc>
        <w:tc>
          <w:tcPr>
            <w:tcW w:w="457" w:type="pct"/>
            <w:tcBorders>
              <w:top w:val="single" w:sz="4" w:space="0" w:color="auto"/>
              <w:left w:val="single" w:sz="4" w:space="0" w:color="auto"/>
              <w:bottom w:val="single" w:sz="4" w:space="0" w:color="auto"/>
              <w:right w:val="single" w:sz="4" w:space="0" w:color="auto"/>
            </w:tcBorders>
            <w:vAlign w:val="center"/>
          </w:tcPr>
          <w:p w14:paraId="713DDA80" w14:textId="77777777" w:rsidR="00A67F21" w:rsidRPr="00B12FE0" w:rsidRDefault="00000000">
            <w:pPr>
              <w:pStyle w:val="a5"/>
              <w:ind w:leftChars="0" w:left="0"/>
              <w:jc w:val="center"/>
              <w:rPr>
                <w:color w:val="000000" w:themeColor="text1"/>
                <w:szCs w:val="21"/>
              </w:rPr>
            </w:pPr>
            <w:r w:rsidRPr="00B12FE0">
              <w:rPr>
                <w:color w:val="000000" w:themeColor="text1"/>
                <w:szCs w:val="21"/>
              </w:rPr>
              <w:t>EC</w:t>
            </w:r>
            <w:r w:rsidRPr="00B12FE0">
              <w:rPr>
                <w:rFonts w:hint="eastAsia"/>
                <w:color w:val="000000" w:themeColor="text1"/>
                <w:szCs w:val="21"/>
              </w:rPr>
              <w:t>、</w:t>
            </w:r>
            <w:r w:rsidRPr="00B12FE0">
              <w:rPr>
                <w:color w:val="000000" w:themeColor="text1"/>
                <w:szCs w:val="21"/>
              </w:rPr>
              <w:t>β+</w:t>
            </w:r>
          </w:p>
        </w:tc>
        <w:tc>
          <w:tcPr>
            <w:tcW w:w="724" w:type="pct"/>
            <w:tcBorders>
              <w:top w:val="single" w:sz="4" w:space="0" w:color="auto"/>
              <w:left w:val="single" w:sz="4" w:space="0" w:color="auto"/>
              <w:bottom w:val="single" w:sz="4" w:space="0" w:color="auto"/>
              <w:right w:val="single" w:sz="4" w:space="0" w:color="auto"/>
            </w:tcBorders>
            <w:vAlign w:val="center"/>
          </w:tcPr>
          <w:p w14:paraId="6CF4633F" w14:textId="77777777" w:rsidR="00A67F21" w:rsidRPr="00B12FE0" w:rsidRDefault="00000000">
            <w:pPr>
              <w:pStyle w:val="a5"/>
              <w:ind w:leftChars="0" w:left="0"/>
              <w:jc w:val="center"/>
              <w:rPr>
                <w:color w:val="000000" w:themeColor="text1"/>
                <w:szCs w:val="21"/>
              </w:rPr>
            </w:pPr>
            <w:r w:rsidRPr="00B12FE0">
              <w:rPr>
                <w:color w:val="000000" w:themeColor="text1"/>
                <w:szCs w:val="21"/>
              </w:rPr>
              <w:t>0.63</w:t>
            </w:r>
          </w:p>
        </w:tc>
        <w:tc>
          <w:tcPr>
            <w:tcW w:w="807" w:type="pct"/>
            <w:tcBorders>
              <w:top w:val="single" w:sz="4" w:space="0" w:color="auto"/>
              <w:left w:val="single" w:sz="4" w:space="0" w:color="auto"/>
              <w:bottom w:val="single" w:sz="4" w:space="0" w:color="auto"/>
              <w:right w:val="single" w:sz="4" w:space="0" w:color="auto"/>
            </w:tcBorders>
            <w:vAlign w:val="center"/>
          </w:tcPr>
          <w:p w14:paraId="769066BD" w14:textId="77777777" w:rsidR="00A67F21" w:rsidRPr="00B12FE0" w:rsidRDefault="00000000">
            <w:pPr>
              <w:pStyle w:val="a5"/>
              <w:ind w:leftChars="0" w:left="0"/>
              <w:jc w:val="center"/>
              <w:rPr>
                <w:color w:val="000000" w:themeColor="text1"/>
                <w:szCs w:val="21"/>
              </w:rPr>
            </w:pPr>
            <w:r w:rsidRPr="00B12FE0">
              <w:rPr>
                <w:color w:val="000000" w:themeColor="text1"/>
                <w:szCs w:val="21"/>
              </w:rPr>
              <w:t>0.511</w:t>
            </w:r>
          </w:p>
        </w:tc>
        <w:tc>
          <w:tcPr>
            <w:tcW w:w="1049" w:type="pct"/>
            <w:tcBorders>
              <w:top w:val="single" w:sz="4" w:space="0" w:color="auto"/>
              <w:left w:val="single" w:sz="4" w:space="0" w:color="auto"/>
              <w:bottom w:val="single" w:sz="4" w:space="0" w:color="auto"/>
              <w:right w:val="single" w:sz="4" w:space="0" w:color="auto"/>
            </w:tcBorders>
            <w:vAlign w:val="center"/>
          </w:tcPr>
          <w:p w14:paraId="1CC24E6F" w14:textId="77777777" w:rsidR="00A67F21" w:rsidRPr="00B12FE0" w:rsidRDefault="00000000">
            <w:pPr>
              <w:pStyle w:val="a5"/>
              <w:ind w:leftChars="0" w:left="0"/>
              <w:jc w:val="center"/>
              <w:rPr>
                <w:color w:val="000000" w:themeColor="text1"/>
                <w:szCs w:val="21"/>
              </w:rPr>
            </w:pPr>
            <w:r w:rsidRPr="00B12FE0">
              <w:rPr>
                <w:color w:val="000000" w:themeColor="text1"/>
                <w:szCs w:val="21"/>
              </w:rPr>
              <w:t>0.143</w:t>
            </w:r>
          </w:p>
        </w:tc>
        <w:tc>
          <w:tcPr>
            <w:tcW w:w="724" w:type="pct"/>
            <w:tcBorders>
              <w:top w:val="single" w:sz="4" w:space="0" w:color="auto"/>
              <w:left w:val="single" w:sz="4" w:space="0" w:color="auto"/>
              <w:bottom w:val="single" w:sz="4" w:space="0" w:color="auto"/>
              <w:right w:val="single" w:sz="4" w:space="0" w:color="auto"/>
            </w:tcBorders>
            <w:vAlign w:val="center"/>
          </w:tcPr>
          <w:p w14:paraId="6547AFD8"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rPr>
              <w:t>生产</w:t>
            </w:r>
            <w:r w:rsidRPr="00B12FE0">
              <w:rPr>
                <w:color w:val="000000" w:themeColor="text1"/>
                <w:szCs w:val="21"/>
              </w:rPr>
              <w:t>/</w:t>
            </w:r>
            <w:r w:rsidRPr="00B12FE0">
              <w:rPr>
                <w:rFonts w:hint="eastAsia"/>
                <w:color w:val="000000" w:themeColor="text1"/>
                <w:szCs w:val="21"/>
              </w:rPr>
              <w:t>使用，显像诊断</w:t>
            </w:r>
          </w:p>
        </w:tc>
      </w:tr>
      <w:tr w:rsidR="00A67F21" w:rsidRPr="00B12FE0" w14:paraId="40A91F40" w14:textId="77777777">
        <w:trPr>
          <w:trHeight w:val="340"/>
          <w:jc w:val="center"/>
        </w:trPr>
        <w:tc>
          <w:tcPr>
            <w:tcW w:w="234" w:type="pct"/>
            <w:tcBorders>
              <w:top w:val="single" w:sz="4" w:space="0" w:color="auto"/>
              <w:left w:val="single" w:sz="4" w:space="0" w:color="auto"/>
              <w:bottom w:val="single" w:sz="4" w:space="0" w:color="auto"/>
              <w:right w:val="single" w:sz="4" w:space="0" w:color="auto"/>
            </w:tcBorders>
            <w:vAlign w:val="center"/>
          </w:tcPr>
          <w:p w14:paraId="36BE1FED" w14:textId="77777777" w:rsidR="00A67F21" w:rsidRPr="00B12FE0" w:rsidRDefault="00000000">
            <w:pPr>
              <w:pStyle w:val="a5"/>
              <w:ind w:leftChars="0" w:left="0"/>
              <w:jc w:val="center"/>
              <w:rPr>
                <w:color w:val="000000" w:themeColor="text1"/>
                <w:szCs w:val="21"/>
              </w:rPr>
            </w:pPr>
            <w:r w:rsidRPr="00B12FE0">
              <w:rPr>
                <w:color w:val="000000" w:themeColor="text1"/>
                <w:szCs w:val="21"/>
              </w:rPr>
              <w:t>2</w:t>
            </w:r>
          </w:p>
        </w:tc>
        <w:tc>
          <w:tcPr>
            <w:tcW w:w="410" w:type="pct"/>
            <w:tcBorders>
              <w:top w:val="single" w:sz="4" w:space="0" w:color="auto"/>
              <w:left w:val="single" w:sz="4" w:space="0" w:color="auto"/>
              <w:bottom w:val="single" w:sz="4" w:space="0" w:color="auto"/>
              <w:right w:val="single" w:sz="4" w:space="0" w:color="auto"/>
            </w:tcBorders>
            <w:vAlign w:val="center"/>
          </w:tcPr>
          <w:p w14:paraId="36DBA98E"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vertAlign w:val="superscript"/>
              </w:rPr>
              <w:t>9</w:t>
            </w:r>
            <w:r w:rsidRPr="00B12FE0">
              <w:rPr>
                <w:color w:val="000000" w:themeColor="text1"/>
                <w:szCs w:val="21"/>
                <w:vertAlign w:val="superscript"/>
              </w:rPr>
              <w:t>9</w:t>
            </w:r>
            <w:r w:rsidRPr="00B12FE0">
              <w:rPr>
                <w:color w:val="000000" w:themeColor="text1"/>
                <w:szCs w:val="21"/>
              </w:rPr>
              <w:t>Mo -</w:t>
            </w:r>
            <w:r w:rsidRPr="00B12FE0">
              <w:rPr>
                <w:color w:val="000000" w:themeColor="text1"/>
                <w:szCs w:val="21"/>
                <w:vertAlign w:val="superscript"/>
              </w:rPr>
              <w:t>99m</w:t>
            </w:r>
            <w:r w:rsidRPr="00B12FE0">
              <w:rPr>
                <w:color w:val="000000" w:themeColor="text1"/>
                <w:szCs w:val="21"/>
              </w:rPr>
              <w:t>Tc</w:t>
            </w:r>
          </w:p>
        </w:tc>
        <w:tc>
          <w:tcPr>
            <w:tcW w:w="594" w:type="pct"/>
            <w:tcBorders>
              <w:top w:val="single" w:sz="4" w:space="0" w:color="auto"/>
              <w:left w:val="single" w:sz="4" w:space="0" w:color="auto"/>
              <w:bottom w:val="single" w:sz="4" w:space="0" w:color="auto"/>
              <w:right w:val="single" w:sz="4" w:space="0" w:color="auto"/>
            </w:tcBorders>
            <w:vAlign w:val="center"/>
          </w:tcPr>
          <w:p w14:paraId="240479FD" w14:textId="77777777" w:rsidR="00A67F21" w:rsidRPr="00B12FE0" w:rsidRDefault="00000000">
            <w:pPr>
              <w:pStyle w:val="a5"/>
              <w:ind w:leftChars="0" w:left="0"/>
              <w:jc w:val="center"/>
              <w:rPr>
                <w:color w:val="000000" w:themeColor="text1"/>
                <w:szCs w:val="21"/>
              </w:rPr>
            </w:pPr>
            <w:r w:rsidRPr="00B12FE0">
              <w:rPr>
                <w:color w:val="000000" w:themeColor="text1"/>
                <w:szCs w:val="21"/>
              </w:rPr>
              <w:t>67h</w:t>
            </w:r>
          </w:p>
        </w:tc>
        <w:tc>
          <w:tcPr>
            <w:tcW w:w="457" w:type="pct"/>
            <w:tcBorders>
              <w:top w:val="single" w:sz="4" w:space="0" w:color="auto"/>
              <w:left w:val="single" w:sz="4" w:space="0" w:color="auto"/>
              <w:bottom w:val="single" w:sz="4" w:space="0" w:color="auto"/>
              <w:right w:val="single" w:sz="4" w:space="0" w:color="auto"/>
            </w:tcBorders>
            <w:vAlign w:val="center"/>
          </w:tcPr>
          <w:p w14:paraId="5AC8AABC" w14:textId="77777777" w:rsidR="00A67F21" w:rsidRPr="00B12FE0" w:rsidRDefault="00000000">
            <w:pPr>
              <w:pStyle w:val="a5"/>
              <w:ind w:leftChars="0" w:left="0"/>
              <w:jc w:val="center"/>
              <w:rPr>
                <w:color w:val="000000" w:themeColor="text1"/>
                <w:szCs w:val="21"/>
              </w:rPr>
            </w:pPr>
            <w:r w:rsidRPr="00B12FE0">
              <w:rPr>
                <w:color w:val="000000" w:themeColor="text1"/>
                <w:szCs w:val="21"/>
              </w:rPr>
              <w:t>β-</w:t>
            </w:r>
          </w:p>
        </w:tc>
        <w:tc>
          <w:tcPr>
            <w:tcW w:w="724" w:type="pct"/>
            <w:tcBorders>
              <w:top w:val="single" w:sz="4" w:space="0" w:color="auto"/>
              <w:left w:val="single" w:sz="4" w:space="0" w:color="auto"/>
              <w:bottom w:val="single" w:sz="4" w:space="0" w:color="auto"/>
              <w:right w:val="single" w:sz="4" w:space="0" w:color="auto"/>
            </w:tcBorders>
            <w:vAlign w:val="center"/>
          </w:tcPr>
          <w:p w14:paraId="5F4AE79B" w14:textId="77777777" w:rsidR="00A67F21" w:rsidRPr="00B12FE0" w:rsidRDefault="00000000">
            <w:pPr>
              <w:pStyle w:val="a5"/>
              <w:ind w:leftChars="0" w:left="0"/>
              <w:jc w:val="center"/>
              <w:rPr>
                <w:color w:val="000000" w:themeColor="text1"/>
                <w:szCs w:val="21"/>
              </w:rPr>
            </w:pPr>
            <w:r w:rsidRPr="00B12FE0">
              <w:rPr>
                <w:color w:val="000000" w:themeColor="text1"/>
                <w:szCs w:val="21"/>
              </w:rPr>
              <w:t>1.23</w:t>
            </w:r>
          </w:p>
        </w:tc>
        <w:tc>
          <w:tcPr>
            <w:tcW w:w="807" w:type="pct"/>
            <w:tcBorders>
              <w:top w:val="single" w:sz="4" w:space="0" w:color="auto"/>
              <w:left w:val="single" w:sz="4" w:space="0" w:color="auto"/>
              <w:bottom w:val="single" w:sz="4" w:space="0" w:color="auto"/>
              <w:right w:val="single" w:sz="4" w:space="0" w:color="auto"/>
            </w:tcBorders>
            <w:vAlign w:val="center"/>
          </w:tcPr>
          <w:p w14:paraId="57A40212" w14:textId="77777777" w:rsidR="00A67F21" w:rsidRPr="00B12FE0" w:rsidRDefault="00000000">
            <w:pPr>
              <w:pStyle w:val="a5"/>
              <w:ind w:leftChars="0" w:left="0"/>
              <w:jc w:val="center"/>
              <w:rPr>
                <w:color w:val="000000" w:themeColor="text1"/>
                <w:szCs w:val="21"/>
              </w:rPr>
            </w:pPr>
            <w:r w:rsidRPr="00B12FE0">
              <w:rPr>
                <w:color w:val="000000" w:themeColor="text1"/>
                <w:szCs w:val="21"/>
              </w:rPr>
              <w:t>0.140</w:t>
            </w:r>
          </w:p>
        </w:tc>
        <w:tc>
          <w:tcPr>
            <w:tcW w:w="1049" w:type="pct"/>
            <w:tcBorders>
              <w:top w:val="single" w:sz="4" w:space="0" w:color="auto"/>
              <w:left w:val="single" w:sz="4" w:space="0" w:color="auto"/>
              <w:bottom w:val="single" w:sz="4" w:space="0" w:color="auto"/>
              <w:right w:val="single" w:sz="4" w:space="0" w:color="auto"/>
            </w:tcBorders>
            <w:vAlign w:val="center"/>
          </w:tcPr>
          <w:p w14:paraId="49F0416F" w14:textId="77777777" w:rsidR="00A67F21" w:rsidRPr="00B12FE0" w:rsidRDefault="00000000">
            <w:pPr>
              <w:pStyle w:val="a5"/>
              <w:ind w:leftChars="0" w:left="0"/>
              <w:jc w:val="center"/>
              <w:rPr>
                <w:color w:val="000000" w:themeColor="text1"/>
                <w:szCs w:val="21"/>
              </w:rPr>
            </w:pPr>
            <w:r w:rsidRPr="00B12FE0">
              <w:rPr>
                <w:color w:val="000000" w:themeColor="text1"/>
                <w:szCs w:val="21"/>
              </w:rPr>
              <w:t>0.0303</w:t>
            </w:r>
          </w:p>
        </w:tc>
        <w:tc>
          <w:tcPr>
            <w:tcW w:w="724" w:type="pct"/>
            <w:tcBorders>
              <w:top w:val="single" w:sz="4" w:space="0" w:color="auto"/>
              <w:left w:val="single" w:sz="4" w:space="0" w:color="auto"/>
              <w:bottom w:val="single" w:sz="4" w:space="0" w:color="auto"/>
              <w:right w:val="single" w:sz="4" w:space="0" w:color="auto"/>
            </w:tcBorders>
            <w:vAlign w:val="center"/>
          </w:tcPr>
          <w:p w14:paraId="210B1173"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rPr>
              <w:t>使用，制备</w:t>
            </w:r>
            <w:r w:rsidRPr="00B12FE0">
              <w:rPr>
                <w:color w:val="000000" w:themeColor="text1"/>
                <w:szCs w:val="21"/>
                <w:vertAlign w:val="superscript"/>
              </w:rPr>
              <w:t>99m</w:t>
            </w:r>
            <w:r w:rsidRPr="00B12FE0">
              <w:rPr>
                <w:color w:val="000000" w:themeColor="text1"/>
                <w:szCs w:val="21"/>
              </w:rPr>
              <w:t>Tc</w:t>
            </w:r>
          </w:p>
        </w:tc>
      </w:tr>
      <w:tr w:rsidR="00A67F21" w:rsidRPr="00B12FE0" w14:paraId="12A11553" w14:textId="77777777">
        <w:trPr>
          <w:trHeight w:val="340"/>
          <w:jc w:val="center"/>
        </w:trPr>
        <w:tc>
          <w:tcPr>
            <w:tcW w:w="234" w:type="pct"/>
            <w:tcBorders>
              <w:top w:val="single" w:sz="4" w:space="0" w:color="auto"/>
              <w:left w:val="single" w:sz="4" w:space="0" w:color="auto"/>
              <w:bottom w:val="single" w:sz="4" w:space="0" w:color="auto"/>
              <w:right w:val="single" w:sz="4" w:space="0" w:color="auto"/>
            </w:tcBorders>
            <w:vAlign w:val="center"/>
          </w:tcPr>
          <w:p w14:paraId="3320B61D" w14:textId="77777777" w:rsidR="00A67F21" w:rsidRPr="00B12FE0" w:rsidRDefault="00000000">
            <w:pPr>
              <w:pStyle w:val="a5"/>
              <w:ind w:leftChars="0" w:left="0"/>
              <w:jc w:val="center"/>
              <w:rPr>
                <w:color w:val="000000" w:themeColor="text1"/>
                <w:szCs w:val="21"/>
              </w:rPr>
            </w:pPr>
            <w:r w:rsidRPr="00B12FE0">
              <w:rPr>
                <w:color w:val="000000" w:themeColor="text1"/>
                <w:szCs w:val="21"/>
              </w:rPr>
              <w:t>3</w:t>
            </w:r>
          </w:p>
        </w:tc>
        <w:tc>
          <w:tcPr>
            <w:tcW w:w="410" w:type="pct"/>
            <w:tcBorders>
              <w:top w:val="single" w:sz="4" w:space="0" w:color="auto"/>
              <w:left w:val="single" w:sz="4" w:space="0" w:color="auto"/>
              <w:bottom w:val="single" w:sz="4" w:space="0" w:color="auto"/>
              <w:right w:val="single" w:sz="4" w:space="0" w:color="auto"/>
            </w:tcBorders>
            <w:vAlign w:val="center"/>
          </w:tcPr>
          <w:p w14:paraId="08F7448A" w14:textId="77777777" w:rsidR="00A67F21" w:rsidRPr="00B12FE0" w:rsidRDefault="00000000">
            <w:pPr>
              <w:pStyle w:val="a5"/>
              <w:ind w:leftChars="0" w:left="0"/>
              <w:jc w:val="center"/>
              <w:rPr>
                <w:color w:val="000000" w:themeColor="text1"/>
                <w:szCs w:val="21"/>
              </w:rPr>
            </w:pPr>
            <w:r w:rsidRPr="00B12FE0">
              <w:rPr>
                <w:color w:val="000000" w:themeColor="text1"/>
                <w:szCs w:val="21"/>
                <w:vertAlign w:val="superscript"/>
              </w:rPr>
              <w:t>99m</w:t>
            </w:r>
            <w:r w:rsidRPr="00B12FE0">
              <w:rPr>
                <w:color w:val="000000" w:themeColor="text1"/>
                <w:szCs w:val="21"/>
              </w:rPr>
              <w:t>Tc</w:t>
            </w:r>
          </w:p>
        </w:tc>
        <w:tc>
          <w:tcPr>
            <w:tcW w:w="594" w:type="pct"/>
            <w:tcBorders>
              <w:top w:val="single" w:sz="4" w:space="0" w:color="auto"/>
              <w:left w:val="single" w:sz="4" w:space="0" w:color="auto"/>
              <w:bottom w:val="single" w:sz="4" w:space="0" w:color="auto"/>
              <w:right w:val="single" w:sz="4" w:space="0" w:color="auto"/>
            </w:tcBorders>
            <w:vAlign w:val="center"/>
          </w:tcPr>
          <w:p w14:paraId="110D18FC" w14:textId="77777777" w:rsidR="00A67F21" w:rsidRPr="00B12FE0" w:rsidRDefault="00000000">
            <w:pPr>
              <w:pStyle w:val="a5"/>
              <w:ind w:leftChars="0" w:left="0"/>
              <w:jc w:val="center"/>
              <w:rPr>
                <w:color w:val="000000" w:themeColor="text1"/>
                <w:szCs w:val="21"/>
              </w:rPr>
            </w:pPr>
            <w:r w:rsidRPr="00B12FE0">
              <w:rPr>
                <w:color w:val="000000" w:themeColor="text1"/>
                <w:szCs w:val="21"/>
              </w:rPr>
              <w:t>6.02h</w:t>
            </w:r>
          </w:p>
        </w:tc>
        <w:tc>
          <w:tcPr>
            <w:tcW w:w="457" w:type="pct"/>
            <w:tcBorders>
              <w:top w:val="single" w:sz="4" w:space="0" w:color="auto"/>
              <w:left w:val="single" w:sz="4" w:space="0" w:color="auto"/>
              <w:bottom w:val="single" w:sz="4" w:space="0" w:color="auto"/>
              <w:right w:val="single" w:sz="4" w:space="0" w:color="auto"/>
            </w:tcBorders>
            <w:vAlign w:val="center"/>
          </w:tcPr>
          <w:p w14:paraId="3E842D86" w14:textId="77777777" w:rsidR="00A67F21" w:rsidRPr="00B12FE0" w:rsidRDefault="00000000">
            <w:pPr>
              <w:pStyle w:val="a5"/>
              <w:ind w:leftChars="0" w:left="0"/>
              <w:jc w:val="center"/>
              <w:rPr>
                <w:color w:val="000000" w:themeColor="text1"/>
                <w:szCs w:val="21"/>
              </w:rPr>
            </w:pPr>
            <w:r w:rsidRPr="00B12FE0">
              <w:rPr>
                <w:color w:val="000000" w:themeColor="text1"/>
                <w:szCs w:val="21"/>
              </w:rPr>
              <w:t>I.T.</w:t>
            </w:r>
          </w:p>
        </w:tc>
        <w:tc>
          <w:tcPr>
            <w:tcW w:w="724" w:type="pct"/>
            <w:tcBorders>
              <w:top w:val="single" w:sz="4" w:space="0" w:color="auto"/>
              <w:left w:val="single" w:sz="4" w:space="0" w:color="auto"/>
              <w:bottom w:val="single" w:sz="4" w:space="0" w:color="auto"/>
              <w:right w:val="single" w:sz="4" w:space="0" w:color="auto"/>
            </w:tcBorders>
            <w:vAlign w:val="center"/>
          </w:tcPr>
          <w:p w14:paraId="6FD34D6F" w14:textId="77777777" w:rsidR="00A67F21" w:rsidRPr="00B12FE0" w:rsidRDefault="00000000">
            <w:pPr>
              <w:pStyle w:val="a5"/>
              <w:ind w:leftChars="0" w:left="0"/>
              <w:jc w:val="center"/>
              <w:rPr>
                <w:color w:val="000000" w:themeColor="text1"/>
                <w:szCs w:val="21"/>
              </w:rPr>
            </w:pPr>
            <w:r w:rsidRPr="00B12FE0">
              <w:rPr>
                <w:color w:val="000000" w:themeColor="text1"/>
                <w:szCs w:val="21"/>
              </w:rPr>
              <w:t>/</w:t>
            </w:r>
          </w:p>
        </w:tc>
        <w:tc>
          <w:tcPr>
            <w:tcW w:w="807" w:type="pct"/>
            <w:tcBorders>
              <w:top w:val="single" w:sz="4" w:space="0" w:color="auto"/>
              <w:left w:val="single" w:sz="4" w:space="0" w:color="auto"/>
              <w:bottom w:val="single" w:sz="4" w:space="0" w:color="auto"/>
              <w:right w:val="single" w:sz="4" w:space="0" w:color="auto"/>
            </w:tcBorders>
            <w:vAlign w:val="center"/>
          </w:tcPr>
          <w:p w14:paraId="184EA0C6" w14:textId="77777777" w:rsidR="00A67F21" w:rsidRPr="00B12FE0" w:rsidRDefault="00000000">
            <w:pPr>
              <w:pStyle w:val="a5"/>
              <w:ind w:leftChars="0" w:left="0"/>
              <w:jc w:val="center"/>
              <w:rPr>
                <w:color w:val="000000" w:themeColor="text1"/>
                <w:szCs w:val="21"/>
              </w:rPr>
            </w:pPr>
            <w:r w:rsidRPr="00B12FE0">
              <w:rPr>
                <w:color w:val="000000" w:themeColor="text1"/>
                <w:szCs w:val="21"/>
              </w:rPr>
              <w:t>0.140</w:t>
            </w:r>
          </w:p>
        </w:tc>
        <w:tc>
          <w:tcPr>
            <w:tcW w:w="1049" w:type="pct"/>
            <w:tcBorders>
              <w:top w:val="single" w:sz="4" w:space="0" w:color="auto"/>
              <w:left w:val="single" w:sz="4" w:space="0" w:color="auto"/>
              <w:bottom w:val="single" w:sz="4" w:space="0" w:color="auto"/>
              <w:right w:val="single" w:sz="4" w:space="0" w:color="auto"/>
            </w:tcBorders>
            <w:vAlign w:val="center"/>
          </w:tcPr>
          <w:p w14:paraId="1B7A92BD" w14:textId="77777777" w:rsidR="00A67F21" w:rsidRPr="00B12FE0" w:rsidRDefault="00000000">
            <w:pPr>
              <w:pStyle w:val="a5"/>
              <w:ind w:leftChars="0" w:left="0"/>
              <w:jc w:val="center"/>
              <w:rPr>
                <w:color w:val="000000" w:themeColor="text1"/>
                <w:szCs w:val="21"/>
              </w:rPr>
            </w:pPr>
            <w:r w:rsidRPr="00B12FE0">
              <w:rPr>
                <w:color w:val="000000" w:themeColor="text1"/>
                <w:szCs w:val="21"/>
              </w:rPr>
              <w:t>0.0303</w:t>
            </w:r>
          </w:p>
        </w:tc>
        <w:tc>
          <w:tcPr>
            <w:tcW w:w="724" w:type="pct"/>
            <w:tcBorders>
              <w:top w:val="single" w:sz="4" w:space="0" w:color="auto"/>
              <w:left w:val="single" w:sz="4" w:space="0" w:color="auto"/>
              <w:bottom w:val="single" w:sz="4" w:space="0" w:color="auto"/>
              <w:right w:val="single" w:sz="4" w:space="0" w:color="auto"/>
            </w:tcBorders>
            <w:vAlign w:val="center"/>
          </w:tcPr>
          <w:p w14:paraId="485C2916"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rPr>
              <w:t>使用，显像诊断</w:t>
            </w:r>
          </w:p>
        </w:tc>
      </w:tr>
      <w:tr w:rsidR="00A67F21" w:rsidRPr="00B12FE0" w14:paraId="0BE2A0A6" w14:textId="77777777">
        <w:trPr>
          <w:trHeight w:val="340"/>
          <w:jc w:val="center"/>
        </w:trPr>
        <w:tc>
          <w:tcPr>
            <w:tcW w:w="234" w:type="pct"/>
            <w:tcBorders>
              <w:top w:val="single" w:sz="4" w:space="0" w:color="auto"/>
              <w:left w:val="single" w:sz="4" w:space="0" w:color="auto"/>
              <w:bottom w:val="single" w:sz="4" w:space="0" w:color="auto"/>
              <w:right w:val="single" w:sz="4" w:space="0" w:color="auto"/>
            </w:tcBorders>
            <w:vAlign w:val="center"/>
          </w:tcPr>
          <w:p w14:paraId="48BBCCF2" w14:textId="77777777" w:rsidR="00A67F21" w:rsidRPr="00B12FE0" w:rsidRDefault="00000000">
            <w:pPr>
              <w:pStyle w:val="a5"/>
              <w:ind w:leftChars="0" w:left="0"/>
              <w:jc w:val="center"/>
              <w:rPr>
                <w:color w:val="000000" w:themeColor="text1"/>
                <w:szCs w:val="21"/>
              </w:rPr>
            </w:pPr>
            <w:r w:rsidRPr="00B12FE0">
              <w:rPr>
                <w:color w:val="000000" w:themeColor="text1"/>
                <w:szCs w:val="21"/>
              </w:rPr>
              <w:t>4</w:t>
            </w:r>
          </w:p>
        </w:tc>
        <w:tc>
          <w:tcPr>
            <w:tcW w:w="410" w:type="pct"/>
            <w:tcBorders>
              <w:top w:val="single" w:sz="4" w:space="0" w:color="auto"/>
              <w:left w:val="single" w:sz="4" w:space="0" w:color="auto"/>
              <w:bottom w:val="single" w:sz="4" w:space="0" w:color="auto"/>
              <w:right w:val="single" w:sz="4" w:space="0" w:color="auto"/>
            </w:tcBorders>
            <w:vAlign w:val="center"/>
          </w:tcPr>
          <w:p w14:paraId="67B237CE" w14:textId="77777777" w:rsidR="00A67F21" w:rsidRPr="00B12FE0" w:rsidRDefault="00000000">
            <w:pPr>
              <w:pStyle w:val="a5"/>
              <w:ind w:leftChars="0" w:left="0"/>
              <w:jc w:val="center"/>
              <w:rPr>
                <w:color w:val="000000" w:themeColor="text1"/>
                <w:szCs w:val="21"/>
              </w:rPr>
            </w:pPr>
            <w:r w:rsidRPr="00B12FE0">
              <w:rPr>
                <w:color w:val="000000" w:themeColor="text1"/>
                <w:szCs w:val="21"/>
                <w:vertAlign w:val="superscript"/>
              </w:rPr>
              <w:t>32</w:t>
            </w:r>
            <w:r w:rsidRPr="00B12FE0">
              <w:rPr>
                <w:color w:val="000000" w:themeColor="text1"/>
                <w:szCs w:val="21"/>
              </w:rPr>
              <w:t>P</w:t>
            </w:r>
          </w:p>
        </w:tc>
        <w:tc>
          <w:tcPr>
            <w:tcW w:w="594" w:type="pct"/>
            <w:tcBorders>
              <w:top w:val="single" w:sz="4" w:space="0" w:color="auto"/>
              <w:left w:val="single" w:sz="4" w:space="0" w:color="auto"/>
              <w:bottom w:val="single" w:sz="4" w:space="0" w:color="auto"/>
              <w:right w:val="single" w:sz="4" w:space="0" w:color="auto"/>
            </w:tcBorders>
            <w:vAlign w:val="center"/>
          </w:tcPr>
          <w:p w14:paraId="3B13B626" w14:textId="77777777" w:rsidR="00A67F21" w:rsidRPr="00B12FE0" w:rsidRDefault="00000000">
            <w:pPr>
              <w:pStyle w:val="a5"/>
              <w:ind w:leftChars="0" w:left="0"/>
              <w:jc w:val="center"/>
              <w:rPr>
                <w:color w:val="000000" w:themeColor="text1"/>
                <w:szCs w:val="21"/>
              </w:rPr>
            </w:pPr>
            <w:r w:rsidRPr="00B12FE0">
              <w:rPr>
                <w:color w:val="000000" w:themeColor="text1"/>
                <w:szCs w:val="21"/>
              </w:rPr>
              <w:t>14.26d</w:t>
            </w:r>
          </w:p>
        </w:tc>
        <w:tc>
          <w:tcPr>
            <w:tcW w:w="457" w:type="pct"/>
            <w:tcBorders>
              <w:top w:val="single" w:sz="4" w:space="0" w:color="auto"/>
              <w:left w:val="single" w:sz="4" w:space="0" w:color="auto"/>
              <w:bottom w:val="single" w:sz="4" w:space="0" w:color="auto"/>
              <w:right w:val="single" w:sz="4" w:space="0" w:color="auto"/>
            </w:tcBorders>
            <w:vAlign w:val="center"/>
          </w:tcPr>
          <w:p w14:paraId="7E3FA140" w14:textId="77777777" w:rsidR="00A67F21" w:rsidRPr="00B12FE0" w:rsidRDefault="00000000">
            <w:pPr>
              <w:pStyle w:val="a5"/>
              <w:ind w:leftChars="0" w:left="0"/>
              <w:jc w:val="center"/>
              <w:rPr>
                <w:color w:val="000000" w:themeColor="text1"/>
                <w:szCs w:val="21"/>
              </w:rPr>
            </w:pPr>
            <w:r w:rsidRPr="00B12FE0">
              <w:rPr>
                <w:color w:val="000000" w:themeColor="text1"/>
                <w:szCs w:val="21"/>
              </w:rPr>
              <w:t>β-</w:t>
            </w:r>
          </w:p>
        </w:tc>
        <w:tc>
          <w:tcPr>
            <w:tcW w:w="724" w:type="pct"/>
            <w:tcBorders>
              <w:top w:val="single" w:sz="4" w:space="0" w:color="auto"/>
              <w:left w:val="single" w:sz="4" w:space="0" w:color="auto"/>
              <w:bottom w:val="single" w:sz="4" w:space="0" w:color="auto"/>
              <w:right w:val="single" w:sz="4" w:space="0" w:color="auto"/>
            </w:tcBorders>
            <w:vAlign w:val="center"/>
          </w:tcPr>
          <w:p w14:paraId="6A19FF18" w14:textId="77777777" w:rsidR="00A67F21" w:rsidRPr="00B12FE0" w:rsidRDefault="00000000">
            <w:pPr>
              <w:pStyle w:val="a5"/>
              <w:ind w:leftChars="0" w:left="0"/>
              <w:jc w:val="center"/>
              <w:rPr>
                <w:color w:val="000000" w:themeColor="text1"/>
                <w:szCs w:val="21"/>
              </w:rPr>
            </w:pPr>
            <w:r w:rsidRPr="00B12FE0">
              <w:rPr>
                <w:color w:val="000000" w:themeColor="text1"/>
                <w:szCs w:val="21"/>
              </w:rPr>
              <w:t>1.71</w:t>
            </w:r>
          </w:p>
        </w:tc>
        <w:tc>
          <w:tcPr>
            <w:tcW w:w="807" w:type="pct"/>
            <w:tcBorders>
              <w:top w:val="single" w:sz="4" w:space="0" w:color="auto"/>
              <w:left w:val="single" w:sz="4" w:space="0" w:color="auto"/>
              <w:bottom w:val="single" w:sz="4" w:space="0" w:color="auto"/>
              <w:right w:val="single" w:sz="4" w:space="0" w:color="auto"/>
            </w:tcBorders>
            <w:vAlign w:val="center"/>
          </w:tcPr>
          <w:p w14:paraId="025C3CD3" w14:textId="77777777" w:rsidR="00A67F21" w:rsidRPr="00B12FE0" w:rsidRDefault="00000000">
            <w:pPr>
              <w:pStyle w:val="a5"/>
              <w:ind w:leftChars="0" w:left="0"/>
              <w:jc w:val="center"/>
              <w:rPr>
                <w:color w:val="000000" w:themeColor="text1"/>
                <w:szCs w:val="21"/>
              </w:rPr>
            </w:pPr>
            <w:r w:rsidRPr="00B12FE0">
              <w:rPr>
                <w:color w:val="000000" w:themeColor="text1"/>
                <w:szCs w:val="21"/>
              </w:rPr>
              <w:t>/</w:t>
            </w:r>
          </w:p>
        </w:tc>
        <w:tc>
          <w:tcPr>
            <w:tcW w:w="1049" w:type="pct"/>
            <w:tcBorders>
              <w:top w:val="single" w:sz="4" w:space="0" w:color="auto"/>
              <w:left w:val="single" w:sz="4" w:space="0" w:color="auto"/>
              <w:bottom w:val="single" w:sz="4" w:space="0" w:color="auto"/>
              <w:right w:val="single" w:sz="4" w:space="0" w:color="auto"/>
            </w:tcBorders>
            <w:vAlign w:val="center"/>
          </w:tcPr>
          <w:p w14:paraId="27961CDB" w14:textId="77777777" w:rsidR="00A67F21" w:rsidRPr="00B12FE0" w:rsidRDefault="00000000">
            <w:pPr>
              <w:pStyle w:val="a5"/>
              <w:ind w:leftChars="0" w:left="0"/>
              <w:jc w:val="center"/>
              <w:rPr>
                <w:color w:val="000000" w:themeColor="text1"/>
                <w:szCs w:val="21"/>
              </w:rPr>
            </w:pPr>
            <w:r w:rsidRPr="00B12FE0">
              <w:rPr>
                <w:color w:val="000000" w:themeColor="text1"/>
                <w:szCs w:val="21"/>
              </w:rPr>
              <w:t>/</w:t>
            </w:r>
          </w:p>
        </w:tc>
        <w:tc>
          <w:tcPr>
            <w:tcW w:w="724" w:type="pct"/>
            <w:tcBorders>
              <w:top w:val="single" w:sz="4" w:space="0" w:color="auto"/>
              <w:left w:val="single" w:sz="4" w:space="0" w:color="auto"/>
              <w:bottom w:val="single" w:sz="4" w:space="0" w:color="auto"/>
              <w:right w:val="single" w:sz="4" w:space="0" w:color="auto"/>
            </w:tcBorders>
            <w:vAlign w:val="center"/>
          </w:tcPr>
          <w:p w14:paraId="44DDCBDC"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rPr>
              <w:t>使用，治疗</w:t>
            </w:r>
          </w:p>
        </w:tc>
      </w:tr>
      <w:tr w:rsidR="00A67F21" w:rsidRPr="00B12FE0" w14:paraId="695920AD" w14:textId="77777777">
        <w:trPr>
          <w:trHeight w:val="340"/>
          <w:jc w:val="center"/>
        </w:trPr>
        <w:tc>
          <w:tcPr>
            <w:tcW w:w="234" w:type="pct"/>
            <w:tcBorders>
              <w:top w:val="single" w:sz="4" w:space="0" w:color="auto"/>
              <w:left w:val="single" w:sz="4" w:space="0" w:color="auto"/>
              <w:bottom w:val="single" w:sz="4" w:space="0" w:color="auto"/>
              <w:right w:val="single" w:sz="4" w:space="0" w:color="auto"/>
            </w:tcBorders>
            <w:vAlign w:val="center"/>
          </w:tcPr>
          <w:p w14:paraId="1039BF19" w14:textId="77777777" w:rsidR="00A67F21" w:rsidRPr="00B12FE0" w:rsidRDefault="00000000">
            <w:pPr>
              <w:pStyle w:val="a5"/>
              <w:ind w:leftChars="0" w:left="0"/>
              <w:jc w:val="center"/>
              <w:rPr>
                <w:color w:val="000000" w:themeColor="text1"/>
                <w:szCs w:val="21"/>
              </w:rPr>
            </w:pPr>
            <w:r w:rsidRPr="00B12FE0">
              <w:rPr>
                <w:color w:val="000000" w:themeColor="text1"/>
                <w:szCs w:val="21"/>
              </w:rPr>
              <w:t>5</w:t>
            </w:r>
          </w:p>
        </w:tc>
        <w:tc>
          <w:tcPr>
            <w:tcW w:w="410" w:type="pct"/>
            <w:tcBorders>
              <w:top w:val="single" w:sz="4" w:space="0" w:color="auto"/>
              <w:left w:val="single" w:sz="4" w:space="0" w:color="auto"/>
              <w:bottom w:val="single" w:sz="4" w:space="0" w:color="auto"/>
              <w:right w:val="single" w:sz="4" w:space="0" w:color="auto"/>
            </w:tcBorders>
            <w:vAlign w:val="center"/>
          </w:tcPr>
          <w:p w14:paraId="1264DDCE" w14:textId="77777777" w:rsidR="00A67F21" w:rsidRPr="00B12FE0" w:rsidRDefault="00000000">
            <w:pPr>
              <w:pStyle w:val="a5"/>
              <w:ind w:leftChars="0" w:left="0"/>
              <w:jc w:val="center"/>
              <w:rPr>
                <w:color w:val="000000" w:themeColor="text1"/>
                <w:szCs w:val="21"/>
              </w:rPr>
            </w:pPr>
            <w:r w:rsidRPr="00B12FE0">
              <w:rPr>
                <w:color w:val="000000" w:themeColor="text1"/>
                <w:szCs w:val="21"/>
                <w:vertAlign w:val="superscript"/>
              </w:rPr>
              <w:t>131</w:t>
            </w:r>
            <w:r w:rsidRPr="00B12FE0">
              <w:rPr>
                <w:color w:val="000000" w:themeColor="text1"/>
                <w:szCs w:val="21"/>
              </w:rPr>
              <w:t>I</w:t>
            </w:r>
          </w:p>
        </w:tc>
        <w:tc>
          <w:tcPr>
            <w:tcW w:w="594" w:type="pct"/>
            <w:tcBorders>
              <w:top w:val="single" w:sz="4" w:space="0" w:color="auto"/>
              <w:left w:val="single" w:sz="4" w:space="0" w:color="auto"/>
              <w:bottom w:val="single" w:sz="4" w:space="0" w:color="auto"/>
              <w:right w:val="single" w:sz="4" w:space="0" w:color="auto"/>
            </w:tcBorders>
            <w:vAlign w:val="center"/>
          </w:tcPr>
          <w:p w14:paraId="429DD265" w14:textId="77777777" w:rsidR="00A67F21" w:rsidRPr="00B12FE0" w:rsidRDefault="00000000">
            <w:pPr>
              <w:pStyle w:val="a5"/>
              <w:ind w:leftChars="0" w:left="0"/>
              <w:jc w:val="center"/>
              <w:rPr>
                <w:color w:val="000000" w:themeColor="text1"/>
                <w:szCs w:val="21"/>
              </w:rPr>
            </w:pPr>
            <w:r w:rsidRPr="00B12FE0">
              <w:rPr>
                <w:color w:val="000000" w:themeColor="text1"/>
                <w:szCs w:val="21"/>
              </w:rPr>
              <w:t>8.02d</w:t>
            </w:r>
          </w:p>
        </w:tc>
        <w:tc>
          <w:tcPr>
            <w:tcW w:w="457" w:type="pct"/>
            <w:tcBorders>
              <w:top w:val="single" w:sz="4" w:space="0" w:color="auto"/>
              <w:left w:val="single" w:sz="4" w:space="0" w:color="auto"/>
              <w:bottom w:val="single" w:sz="4" w:space="0" w:color="auto"/>
              <w:right w:val="single" w:sz="4" w:space="0" w:color="auto"/>
            </w:tcBorders>
            <w:vAlign w:val="center"/>
          </w:tcPr>
          <w:p w14:paraId="3B9D4D20" w14:textId="77777777" w:rsidR="00A67F21" w:rsidRPr="00B12FE0" w:rsidRDefault="00000000">
            <w:pPr>
              <w:pStyle w:val="a5"/>
              <w:ind w:leftChars="0" w:left="0"/>
              <w:jc w:val="center"/>
              <w:rPr>
                <w:color w:val="000000" w:themeColor="text1"/>
                <w:szCs w:val="21"/>
              </w:rPr>
            </w:pPr>
            <w:r w:rsidRPr="00B12FE0">
              <w:rPr>
                <w:color w:val="000000" w:themeColor="text1"/>
                <w:szCs w:val="21"/>
              </w:rPr>
              <w:t>β-</w:t>
            </w:r>
          </w:p>
        </w:tc>
        <w:tc>
          <w:tcPr>
            <w:tcW w:w="724" w:type="pct"/>
            <w:tcBorders>
              <w:top w:val="single" w:sz="4" w:space="0" w:color="auto"/>
              <w:left w:val="single" w:sz="4" w:space="0" w:color="auto"/>
              <w:bottom w:val="single" w:sz="4" w:space="0" w:color="auto"/>
              <w:right w:val="single" w:sz="4" w:space="0" w:color="auto"/>
            </w:tcBorders>
            <w:vAlign w:val="center"/>
          </w:tcPr>
          <w:p w14:paraId="1CA495B3" w14:textId="77777777" w:rsidR="00A67F21" w:rsidRPr="00B12FE0" w:rsidRDefault="00000000">
            <w:pPr>
              <w:pStyle w:val="a5"/>
              <w:ind w:leftChars="0" w:left="0"/>
              <w:jc w:val="center"/>
              <w:rPr>
                <w:color w:val="000000" w:themeColor="text1"/>
                <w:szCs w:val="21"/>
              </w:rPr>
            </w:pPr>
            <w:r w:rsidRPr="00B12FE0">
              <w:rPr>
                <w:color w:val="000000" w:themeColor="text1"/>
                <w:szCs w:val="21"/>
              </w:rPr>
              <w:t>0.602</w:t>
            </w:r>
          </w:p>
        </w:tc>
        <w:tc>
          <w:tcPr>
            <w:tcW w:w="807" w:type="pct"/>
            <w:tcBorders>
              <w:top w:val="single" w:sz="4" w:space="0" w:color="auto"/>
              <w:left w:val="single" w:sz="4" w:space="0" w:color="auto"/>
              <w:bottom w:val="single" w:sz="4" w:space="0" w:color="auto"/>
              <w:right w:val="single" w:sz="4" w:space="0" w:color="auto"/>
            </w:tcBorders>
            <w:vAlign w:val="center"/>
          </w:tcPr>
          <w:p w14:paraId="710FBC08" w14:textId="77777777" w:rsidR="00A67F21" w:rsidRPr="00B12FE0" w:rsidRDefault="00000000">
            <w:pPr>
              <w:pStyle w:val="a5"/>
              <w:ind w:leftChars="0" w:left="0"/>
              <w:jc w:val="center"/>
              <w:rPr>
                <w:color w:val="000000" w:themeColor="text1"/>
                <w:szCs w:val="21"/>
              </w:rPr>
            </w:pPr>
            <w:r w:rsidRPr="00B12FE0">
              <w:rPr>
                <w:color w:val="000000" w:themeColor="text1"/>
                <w:szCs w:val="21"/>
              </w:rPr>
              <w:t>0.365</w:t>
            </w:r>
          </w:p>
        </w:tc>
        <w:tc>
          <w:tcPr>
            <w:tcW w:w="1049" w:type="pct"/>
            <w:tcBorders>
              <w:top w:val="single" w:sz="4" w:space="0" w:color="auto"/>
              <w:left w:val="single" w:sz="4" w:space="0" w:color="auto"/>
              <w:bottom w:val="single" w:sz="4" w:space="0" w:color="auto"/>
              <w:right w:val="single" w:sz="4" w:space="0" w:color="auto"/>
            </w:tcBorders>
            <w:vAlign w:val="center"/>
          </w:tcPr>
          <w:p w14:paraId="03AD6E1B" w14:textId="77777777" w:rsidR="00A67F21" w:rsidRPr="00B12FE0" w:rsidRDefault="00000000">
            <w:pPr>
              <w:pStyle w:val="a5"/>
              <w:ind w:leftChars="0" w:left="0"/>
              <w:jc w:val="center"/>
              <w:rPr>
                <w:color w:val="000000" w:themeColor="text1"/>
                <w:szCs w:val="21"/>
              </w:rPr>
            </w:pPr>
            <w:r w:rsidRPr="00B12FE0">
              <w:rPr>
                <w:color w:val="000000" w:themeColor="text1"/>
                <w:szCs w:val="21"/>
              </w:rPr>
              <w:t>0.0595</w:t>
            </w:r>
          </w:p>
        </w:tc>
        <w:tc>
          <w:tcPr>
            <w:tcW w:w="724" w:type="pct"/>
            <w:tcBorders>
              <w:top w:val="single" w:sz="4" w:space="0" w:color="auto"/>
              <w:left w:val="single" w:sz="4" w:space="0" w:color="auto"/>
              <w:bottom w:val="single" w:sz="4" w:space="0" w:color="auto"/>
              <w:right w:val="single" w:sz="4" w:space="0" w:color="auto"/>
            </w:tcBorders>
            <w:vAlign w:val="center"/>
          </w:tcPr>
          <w:p w14:paraId="2F65A434"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rPr>
              <w:t>使用，诊断</w:t>
            </w:r>
            <w:r w:rsidRPr="00B12FE0">
              <w:rPr>
                <w:color w:val="000000" w:themeColor="text1"/>
                <w:szCs w:val="21"/>
              </w:rPr>
              <w:t>/</w:t>
            </w:r>
            <w:r w:rsidRPr="00B12FE0">
              <w:rPr>
                <w:rFonts w:hint="eastAsia"/>
                <w:color w:val="000000" w:themeColor="text1"/>
                <w:szCs w:val="21"/>
              </w:rPr>
              <w:t>治疗</w:t>
            </w:r>
          </w:p>
        </w:tc>
      </w:tr>
    </w:tbl>
    <w:p w14:paraId="1B47791F" w14:textId="77777777" w:rsidR="00A67F21" w:rsidRPr="00B12FE0" w:rsidRDefault="00000000">
      <w:pPr>
        <w:adjustRightInd w:val="0"/>
        <w:snapToGrid w:val="0"/>
        <w:spacing w:line="360" w:lineRule="auto"/>
        <w:jc w:val="center"/>
        <w:rPr>
          <w:b/>
          <w:bCs/>
          <w:color w:val="000000" w:themeColor="text1"/>
          <w:sz w:val="21"/>
          <w:szCs w:val="21"/>
        </w:rPr>
      </w:pPr>
      <w:r w:rsidRPr="00B12FE0">
        <w:rPr>
          <w:b/>
          <w:bCs/>
          <w:color w:val="000000" w:themeColor="text1"/>
          <w:sz w:val="21"/>
          <w:szCs w:val="21"/>
        </w:rPr>
        <w:t>表</w:t>
      </w:r>
      <w:r w:rsidRPr="00B12FE0">
        <w:rPr>
          <w:rFonts w:hint="eastAsia"/>
          <w:b/>
          <w:bCs/>
          <w:color w:val="000000" w:themeColor="text1"/>
          <w:sz w:val="21"/>
          <w:szCs w:val="21"/>
        </w:rPr>
        <w:t>9.1.1.5</w:t>
      </w:r>
      <w:r w:rsidRPr="00B12FE0">
        <w:rPr>
          <w:b/>
          <w:bCs/>
          <w:color w:val="000000" w:themeColor="text1"/>
          <w:sz w:val="21"/>
          <w:szCs w:val="21"/>
        </w:rPr>
        <w:t>-</w:t>
      </w:r>
      <w:r w:rsidRPr="00B12FE0">
        <w:rPr>
          <w:rFonts w:hint="eastAsia"/>
          <w:b/>
          <w:bCs/>
          <w:color w:val="000000" w:themeColor="text1"/>
          <w:sz w:val="21"/>
          <w:szCs w:val="21"/>
        </w:rPr>
        <w:t>2</w:t>
      </w:r>
      <w:r w:rsidRPr="00B12FE0">
        <w:rPr>
          <w:b/>
          <w:bCs/>
          <w:color w:val="000000" w:themeColor="text1"/>
          <w:sz w:val="21"/>
          <w:szCs w:val="21"/>
        </w:rPr>
        <w:t xml:space="preserve"> </w:t>
      </w:r>
      <w:r w:rsidRPr="00B12FE0">
        <w:rPr>
          <w:b/>
          <w:bCs/>
          <w:color w:val="000000" w:themeColor="text1"/>
          <w:sz w:val="21"/>
          <w:szCs w:val="21"/>
        </w:rPr>
        <w:t>放射源的相关放射性属性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7"/>
        <w:gridCol w:w="649"/>
        <w:gridCol w:w="727"/>
        <w:gridCol w:w="582"/>
        <w:gridCol w:w="1160"/>
        <w:gridCol w:w="1017"/>
        <w:gridCol w:w="1892"/>
        <w:gridCol w:w="1307"/>
        <w:gridCol w:w="1306"/>
      </w:tblGrid>
      <w:tr w:rsidR="00A67F21" w:rsidRPr="00B12FE0" w14:paraId="3D6680D8" w14:textId="77777777">
        <w:trPr>
          <w:trHeight w:val="340"/>
          <w:jc w:val="center"/>
        </w:trPr>
        <w:tc>
          <w:tcPr>
            <w:tcW w:w="209" w:type="pct"/>
            <w:tcBorders>
              <w:top w:val="single" w:sz="4" w:space="0" w:color="auto"/>
              <w:left w:val="single" w:sz="4" w:space="0" w:color="auto"/>
              <w:bottom w:val="single" w:sz="4" w:space="0" w:color="auto"/>
              <w:right w:val="single" w:sz="4" w:space="0" w:color="auto"/>
            </w:tcBorders>
            <w:vAlign w:val="center"/>
          </w:tcPr>
          <w:p w14:paraId="1FFE5FCC"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t>序</w:t>
            </w:r>
            <w:r w:rsidRPr="00B12FE0">
              <w:rPr>
                <w:rFonts w:hint="eastAsia"/>
                <w:b/>
                <w:color w:val="000000" w:themeColor="text1"/>
                <w:szCs w:val="21"/>
              </w:rPr>
              <w:lastRenderedPageBreak/>
              <w:t>号</w:t>
            </w:r>
          </w:p>
        </w:tc>
        <w:tc>
          <w:tcPr>
            <w:tcW w:w="360" w:type="pct"/>
            <w:tcBorders>
              <w:top w:val="single" w:sz="4" w:space="0" w:color="auto"/>
              <w:left w:val="single" w:sz="4" w:space="0" w:color="auto"/>
              <w:bottom w:val="single" w:sz="4" w:space="0" w:color="auto"/>
              <w:right w:val="single" w:sz="4" w:space="0" w:color="auto"/>
            </w:tcBorders>
            <w:vAlign w:val="center"/>
          </w:tcPr>
          <w:p w14:paraId="7CADDE29"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lastRenderedPageBreak/>
              <w:t>核素</w:t>
            </w:r>
            <w:r w:rsidRPr="00B12FE0">
              <w:rPr>
                <w:rFonts w:hint="eastAsia"/>
                <w:b/>
                <w:color w:val="000000" w:themeColor="text1"/>
                <w:szCs w:val="21"/>
              </w:rPr>
              <w:lastRenderedPageBreak/>
              <w:t>名称</w:t>
            </w:r>
          </w:p>
        </w:tc>
        <w:tc>
          <w:tcPr>
            <w:tcW w:w="403" w:type="pct"/>
            <w:tcBorders>
              <w:top w:val="single" w:sz="4" w:space="0" w:color="auto"/>
              <w:left w:val="single" w:sz="4" w:space="0" w:color="auto"/>
              <w:bottom w:val="single" w:sz="4" w:space="0" w:color="auto"/>
              <w:right w:val="single" w:sz="4" w:space="0" w:color="auto"/>
            </w:tcBorders>
            <w:vAlign w:val="center"/>
          </w:tcPr>
          <w:p w14:paraId="3530CEEB"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lastRenderedPageBreak/>
              <w:t>半衰</w:t>
            </w:r>
            <w:r w:rsidRPr="00B12FE0">
              <w:rPr>
                <w:rFonts w:hint="eastAsia"/>
                <w:b/>
                <w:color w:val="000000" w:themeColor="text1"/>
                <w:szCs w:val="21"/>
              </w:rPr>
              <w:lastRenderedPageBreak/>
              <w:t>期</w:t>
            </w:r>
          </w:p>
        </w:tc>
        <w:tc>
          <w:tcPr>
            <w:tcW w:w="323" w:type="pct"/>
            <w:tcBorders>
              <w:top w:val="single" w:sz="4" w:space="0" w:color="auto"/>
              <w:left w:val="single" w:sz="4" w:space="0" w:color="auto"/>
              <w:bottom w:val="single" w:sz="4" w:space="0" w:color="auto"/>
              <w:right w:val="single" w:sz="4" w:space="0" w:color="auto"/>
            </w:tcBorders>
            <w:vAlign w:val="center"/>
          </w:tcPr>
          <w:p w14:paraId="2C7EE94F"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lastRenderedPageBreak/>
              <w:t>衰变</w:t>
            </w:r>
            <w:r w:rsidRPr="00B12FE0">
              <w:rPr>
                <w:rFonts w:hint="eastAsia"/>
                <w:b/>
                <w:color w:val="000000" w:themeColor="text1"/>
                <w:szCs w:val="21"/>
              </w:rPr>
              <w:lastRenderedPageBreak/>
              <w:t>方式</w:t>
            </w:r>
          </w:p>
        </w:tc>
        <w:tc>
          <w:tcPr>
            <w:tcW w:w="643" w:type="pct"/>
            <w:tcBorders>
              <w:top w:val="single" w:sz="4" w:space="0" w:color="auto"/>
              <w:left w:val="single" w:sz="4" w:space="0" w:color="auto"/>
              <w:bottom w:val="single" w:sz="4" w:space="0" w:color="auto"/>
              <w:right w:val="single" w:sz="4" w:space="0" w:color="auto"/>
            </w:tcBorders>
            <w:vAlign w:val="center"/>
          </w:tcPr>
          <w:p w14:paraId="1BC950AC"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lastRenderedPageBreak/>
              <w:t>最大粒子</w:t>
            </w:r>
            <w:r w:rsidRPr="00B12FE0">
              <w:rPr>
                <w:rFonts w:hint="eastAsia"/>
                <w:b/>
                <w:color w:val="000000" w:themeColor="text1"/>
                <w:szCs w:val="21"/>
              </w:rPr>
              <w:lastRenderedPageBreak/>
              <w:t>能量（</w:t>
            </w:r>
            <w:r w:rsidRPr="00B12FE0">
              <w:rPr>
                <w:b/>
                <w:color w:val="000000" w:themeColor="text1"/>
                <w:szCs w:val="21"/>
              </w:rPr>
              <w:t>MeV</w:t>
            </w:r>
            <w:r w:rsidRPr="00B12FE0">
              <w:rPr>
                <w:rFonts w:hint="eastAsia"/>
                <w:b/>
                <w:color w:val="000000" w:themeColor="text1"/>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15288937"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lastRenderedPageBreak/>
              <w:t>主要</w:t>
            </w:r>
            <w:r w:rsidRPr="00B12FE0">
              <w:rPr>
                <w:b/>
                <w:color w:val="000000" w:themeColor="text1"/>
                <w:szCs w:val="21"/>
              </w:rPr>
              <w:t>γ</w:t>
            </w:r>
            <w:r w:rsidRPr="00B12FE0">
              <w:rPr>
                <w:rFonts w:hint="eastAsia"/>
                <w:b/>
                <w:color w:val="000000" w:themeColor="text1"/>
                <w:szCs w:val="21"/>
              </w:rPr>
              <w:t>射</w:t>
            </w:r>
            <w:r w:rsidRPr="00B12FE0">
              <w:rPr>
                <w:rFonts w:hint="eastAsia"/>
                <w:b/>
                <w:color w:val="000000" w:themeColor="text1"/>
                <w:szCs w:val="21"/>
              </w:rPr>
              <w:lastRenderedPageBreak/>
              <w:t>线能量（</w:t>
            </w:r>
            <w:r w:rsidRPr="00B12FE0">
              <w:rPr>
                <w:b/>
                <w:color w:val="000000" w:themeColor="text1"/>
                <w:szCs w:val="21"/>
              </w:rPr>
              <w:t>MeV</w:t>
            </w:r>
            <w:r w:rsidRPr="00B12FE0">
              <w:rPr>
                <w:rFonts w:hint="eastAsia"/>
                <w:b/>
                <w:color w:val="000000" w:themeColor="text1"/>
                <w:szCs w:val="21"/>
              </w:rPr>
              <w:t>）</w:t>
            </w:r>
          </w:p>
        </w:tc>
        <w:tc>
          <w:tcPr>
            <w:tcW w:w="1049" w:type="pct"/>
            <w:tcBorders>
              <w:top w:val="single" w:sz="4" w:space="0" w:color="auto"/>
              <w:left w:val="single" w:sz="4" w:space="0" w:color="auto"/>
              <w:bottom w:val="single" w:sz="4" w:space="0" w:color="auto"/>
              <w:right w:val="single" w:sz="4" w:space="0" w:color="auto"/>
            </w:tcBorders>
            <w:vAlign w:val="center"/>
          </w:tcPr>
          <w:p w14:paraId="4F24B555" w14:textId="77777777" w:rsidR="00A67F21" w:rsidRPr="00B12FE0" w:rsidRDefault="00000000">
            <w:pPr>
              <w:pStyle w:val="a5"/>
              <w:ind w:leftChars="0" w:left="0"/>
              <w:jc w:val="center"/>
              <w:rPr>
                <w:rFonts w:eastAsia="方正仿宋_GBK"/>
                <w:b/>
                <w:color w:val="000000" w:themeColor="text1"/>
                <w:szCs w:val="21"/>
              </w:rPr>
            </w:pPr>
            <w:r w:rsidRPr="00B12FE0">
              <w:rPr>
                <w:rFonts w:hint="eastAsia"/>
                <w:b/>
                <w:color w:val="000000" w:themeColor="text1"/>
                <w:szCs w:val="21"/>
              </w:rPr>
              <w:lastRenderedPageBreak/>
              <w:t>周围剂量当量率常</w:t>
            </w:r>
            <w:r w:rsidRPr="00B12FE0">
              <w:rPr>
                <w:rFonts w:hint="eastAsia"/>
                <w:b/>
                <w:color w:val="000000" w:themeColor="text1"/>
                <w:szCs w:val="21"/>
              </w:rPr>
              <w:lastRenderedPageBreak/>
              <w:t>数</w:t>
            </w:r>
            <w:r w:rsidRPr="00B12FE0">
              <w:rPr>
                <w:rFonts w:eastAsia="方正仿宋_GBK"/>
                <w:b/>
                <w:color w:val="000000" w:themeColor="text1"/>
                <w:szCs w:val="21"/>
              </w:rPr>
              <w:t>(μSv·m</w:t>
            </w:r>
            <w:r w:rsidRPr="00B12FE0">
              <w:rPr>
                <w:rFonts w:eastAsia="方正仿宋_GBK"/>
                <w:b/>
                <w:color w:val="000000" w:themeColor="text1"/>
                <w:szCs w:val="21"/>
                <w:vertAlign w:val="superscript"/>
              </w:rPr>
              <w:t>2</w:t>
            </w:r>
            <w:r w:rsidRPr="00B12FE0">
              <w:rPr>
                <w:rFonts w:eastAsia="方正仿宋_GBK"/>
                <w:b/>
                <w:color w:val="000000" w:themeColor="text1"/>
                <w:szCs w:val="21"/>
              </w:rPr>
              <w:t>/</w:t>
            </w:r>
            <w:proofErr w:type="spellStart"/>
            <w:r w:rsidRPr="00B12FE0">
              <w:rPr>
                <w:rFonts w:eastAsia="方正仿宋_GBK"/>
                <w:b/>
                <w:color w:val="000000" w:themeColor="text1"/>
                <w:szCs w:val="21"/>
              </w:rPr>
              <w:t>MBq·h</w:t>
            </w:r>
            <w:proofErr w:type="spellEnd"/>
            <w:r w:rsidRPr="00B12FE0">
              <w:rPr>
                <w:rFonts w:eastAsia="方正仿宋_GBK"/>
                <w:b/>
                <w:color w:val="000000" w:themeColor="text1"/>
                <w:szCs w:val="21"/>
              </w:rPr>
              <w:t>)</w:t>
            </w:r>
          </w:p>
        </w:tc>
        <w:tc>
          <w:tcPr>
            <w:tcW w:w="725" w:type="pct"/>
            <w:tcBorders>
              <w:top w:val="single" w:sz="4" w:space="0" w:color="auto"/>
              <w:left w:val="single" w:sz="4" w:space="0" w:color="auto"/>
              <w:bottom w:val="single" w:sz="4" w:space="0" w:color="auto"/>
              <w:right w:val="single" w:sz="4" w:space="0" w:color="auto"/>
            </w:tcBorders>
            <w:vAlign w:val="center"/>
          </w:tcPr>
          <w:p w14:paraId="4E4D5A1D"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lastRenderedPageBreak/>
              <w:t>活动种类及</w:t>
            </w:r>
            <w:r w:rsidRPr="00B12FE0">
              <w:rPr>
                <w:rFonts w:hint="eastAsia"/>
                <w:b/>
                <w:color w:val="000000" w:themeColor="text1"/>
                <w:szCs w:val="21"/>
              </w:rPr>
              <w:lastRenderedPageBreak/>
              <w:t>用途</w:t>
            </w:r>
          </w:p>
        </w:tc>
        <w:tc>
          <w:tcPr>
            <w:tcW w:w="724" w:type="pct"/>
            <w:tcBorders>
              <w:top w:val="single" w:sz="4" w:space="0" w:color="auto"/>
              <w:left w:val="single" w:sz="4" w:space="0" w:color="auto"/>
              <w:bottom w:val="single" w:sz="4" w:space="0" w:color="auto"/>
              <w:right w:val="single" w:sz="4" w:space="0" w:color="auto"/>
            </w:tcBorders>
            <w:vAlign w:val="center"/>
          </w:tcPr>
          <w:p w14:paraId="0886FB62" w14:textId="77777777" w:rsidR="00A67F21" w:rsidRPr="00B12FE0" w:rsidRDefault="00000000">
            <w:pPr>
              <w:pStyle w:val="a5"/>
              <w:ind w:leftChars="0" w:left="0"/>
              <w:jc w:val="center"/>
              <w:rPr>
                <w:b/>
                <w:color w:val="000000" w:themeColor="text1"/>
                <w:szCs w:val="21"/>
              </w:rPr>
            </w:pPr>
            <w:r w:rsidRPr="00B12FE0">
              <w:rPr>
                <w:rFonts w:hint="eastAsia"/>
                <w:b/>
                <w:color w:val="000000" w:themeColor="text1"/>
                <w:szCs w:val="21"/>
              </w:rPr>
              <w:lastRenderedPageBreak/>
              <w:t>贮存</w:t>
            </w:r>
            <w:r w:rsidRPr="00B12FE0">
              <w:rPr>
                <w:b/>
                <w:color w:val="000000" w:themeColor="text1"/>
                <w:szCs w:val="21"/>
              </w:rPr>
              <w:t>地点</w:t>
            </w:r>
          </w:p>
        </w:tc>
      </w:tr>
      <w:tr w:rsidR="00A67F21" w:rsidRPr="00B12FE0" w14:paraId="381C39A1" w14:textId="77777777">
        <w:trPr>
          <w:trHeight w:val="340"/>
          <w:jc w:val="center"/>
        </w:trPr>
        <w:tc>
          <w:tcPr>
            <w:tcW w:w="209" w:type="pct"/>
            <w:tcBorders>
              <w:top w:val="single" w:sz="4" w:space="0" w:color="auto"/>
              <w:left w:val="single" w:sz="4" w:space="0" w:color="auto"/>
              <w:bottom w:val="single" w:sz="4" w:space="0" w:color="auto"/>
              <w:right w:val="single" w:sz="4" w:space="0" w:color="auto"/>
            </w:tcBorders>
            <w:vAlign w:val="center"/>
          </w:tcPr>
          <w:p w14:paraId="2069B8AF" w14:textId="77777777" w:rsidR="00A67F21" w:rsidRPr="00B12FE0" w:rsidRDefault="00000000">
            <w:pPr>
              <w:pStyle w:val="a5"/>
              <w:ind w:leftChars="0" w:left="0"/>
              <w:jc w:val="center"/>
              <w:rPr>
                <w:color w:val="000000" w:themeColor="text1"/>
                <w:szCs w:val="21"/>
              </w:rPr>
            </w:pPr>
            <w:r w:rsidRPr="00B12FE0">
              <w:rPr>
                <w:color w:val="000000" w:themeColor="text1"/>
                <w:szCs w:val="21"/>
              </w:rPr>
              <w:t>1</w:t>
            </w:r>
          </w:p>
        </w:tc>
        <w:tc>
          <w:tcPr>
            <w:tcW w:w="360" w:type="pct"/>
            <w:tcBorders>
              <w:top w:val="single" w:sz="4" w:space="0" w:color="auto"/>
              <w:left w:val="single" w:sz="4" w:space="0" w:color="auto"/>
              <w:bottom w:val="single" w:sz="4" w:space="0" w:color="auto"/>
              <w:right w:val="single" w:sz="4" w:space="0" w:color="auto"/>
            </w:tcBorders>
            <w:vAlign w:val="center"/>
          </w:tcPr>
          <w:p w14:paraId="12DEDFBA" w14:textId="77777777" w:rsidR="00A67F21" w:rsidRPr="00B12FE0" w:rsidRDefault="00000000">
            <w:pPr>
              <w:pStyle w:val="a5"/>
              <w:ind w:leftChars="0" w:left="0"/>
              <w:jc w:val="center"/>
              <w:rPr>
                <w:color w:val="000000" w:themeColor="text1"/>
                <w:szCs w:val="21"/>
                <w:vertAlign w:val="superscript"/>
              </w:rPr>
            </w:pPr>
            <w:r w:rsidRPr="00B12FE0">
              <w:rPr>
                <w:bCs/>
                <w:color w:val="000000" w:themeColor="text1"/>
                <w:szCs w:val="21"/>
                <w:vertAlign w:val="superscript"/>
              </w:rPr>
              <w:t>68</w:t>
            </w:r>
            <w:r w:rsidRPr="00B12FE0">
              <w:rPr>
                <w:bCs/>
                <w:color w:val="000000" w:themeColor="text1"/>
                <w:szCs w:val="21"/>
              </w:rPr>
              <w:t>Ge</w:t>
            </w:r>
          </w:p>
        </w:tc>
        <w:tc>
          <w:tcPr>
            <w:tcW w:w="403" w:type="pct"/>
            <w:tcBorders>
              <w:top w:val="single" w:sz="4" w:space="0" w:color="auto"/>
              <w:left w:val="single" w:sz="4" w:space="0" w:color="auto"/>
              <w:bottom w:val="single" w:sz="4" w:space="0" w:color="auto"/>
              <w:right w:val="single" w:sz="4" w:space="0" w:color="auto"/>
            </w:tcBorders>
            <w:vAlign w:val="center"/>
          </w:tcPr>
          <w:p w14:paraId="0B39A75C" w14:textId="77777777" w:rsidR="00A67F21" w:rsidRPr="00B12FE0" w:rsidRDefault="00000000">
            <w:pPr>
              <w:pStyle w:val="a5"/>
              <w:ind w:leftChars="0" w:left="0"/>
              <w:jc w:val="center"/>
              <w:rPr>
                <w:color w:val="000000" w:themeColor="text1"/>
                <w:szCs w:val="21"/>
              </w:rPr>
            </w:pPr>
            <w:r w:rsidRPr="00B12FE0">
              <w:rPr>
                <w:bCs/>
                <w:color w:val="000000" w:themeColor="text1"/>
                <w:szCs w:val="21"/>
              </w:rPr>
              <w:t>288d</w:t>
            </w:r>
          </w:p>
        </w:tc>
        <w:tc>
          <w:tcPr>
            <w:tcW w:w="323" w:type="pct"/>
            <w:tcBorders>
              <w:top w:val="single" w:sz="4" w:space="0" w:color="auto"/>
              <w:left w:val="single" w:sz="4" w:space="0" w:color="auto"/>
              <w:bottom w:val="single" w:sz="4" w:space="0" w:color="auto"/>
              <w:right w:val="single" w:sz="4" w:space="0" w:color="auto"/>
            </w:tcBorders>
            <w:vAlign w:val="center"/>
          </w:tcPr>
          <w:p w14:paraId="3DD61E28" w14:textId="77777777" w:rsidR="00A67F21" w:rsidRPr="00B12FE0" w:rsidRDefault="00000000">
            <w:pPr>
              <w:pStyle w:val="a5"/>
              <w:ind w:leftChars="0" w:left="0"/>
              <w:jc w:val="center"/>
              <w:rPr>
                <w:color w:val="000000" w:themeColor="text1"/>
                <w:szCs w:val="21"/>
              </w:rPr>
            </w:pPr>
            <w:r w:rsidRPr="00B12FE0">
              <w:rPr>
                <w:color w:val="000000" w:themeColor="text1"/>
                <w:szCs w:val="21"/>
              </w:rPr>
              <w:t>EC</w:t>
            </w:r>
          </w:p>
        </w:tc>
        <w:tc>
          <w:tcPr>
            <w:tcW w:w="643" w:type="pct"/>
            <w:tcBorders>
              <w:top w:val="single" w:sz="4" w:space="0" w:color="auto"/>
              <w:left w:val="single" w:sz="4" w:space="0" w:color="auto"/>
              <w:bottom w:val="single" w:sz="4" w:space="0" w:color="auto"/>
              <w:right w:val="single" w:sz="4" w:space="0" w:color="auto"/>
            </w:tcBorders>
            <w:vAlign w:val="center"/>
          </w:tcPr>
          <w:p w14:paraId="5A4FC50A" w14:textId="77777777" w:rsidR="00A67F21" w:rsidRPr="00B12FE0" w:rsidRDefault="00000000">
            <w:pPr>
              <w:pStyle w:val="a5"/>
              <w:ind w:leftChars="0" w:left="0"/>
              <w:jc w:val="center"/>
              <w:rPr>
                <w:color w:val="000000" w:themeColor="text1"/>
                <w:szCs w:val="21"/>
              </w:rPr>
            </w:pPr>
            <w:r w:rsidRPr="00B12FE0">
              <w:rPr>
                <w:color w:val="000000" w:themeColor="text1"/>
                <w:szCs w:val="21"/>
              </w:rPr>
              <w:t>1.89</w:t>
            </w:r>
          </w:p>
        </w:tc>
        <w:tc>
          <w:tcPr>
            <w:tcW w:w="564" w:type="pct"/>
            <w:tcBorders>
              <w:top w:val="single" w:sz="4" w:space="0" w:color="auto"/>
              <w:left w:val="single" w:sz="4" w:space="0" w:color="auto"/>
              <w:bottom w:val="single" w:sz="4" w:space="0" w:color="auto"/>
              <w:right w:val="single" w:sz="4" w:space="0" w:color="auto"/>
            </w:tcBorders>
            <w:vAlign w:val="center"/>
          </w:tcPr>
          <w:p w14:paraId="4146E8AC" w14:textId="77777777" w:rsidR="00A67F21" w:rsidRPr="00B12FE0" w:rsidRDefault="00000000">
            <w:pPr>
              <w:pStyle w:val="a5"/>
              <w:ind w:leftChars="0" w:left="0"/>
              <w:jc w:val="center"/>
              <w:rPr>
                <w:color w:val="000000" w:themeColor="text1"/>
                <w:szCs w:val="21"/>
              </w:rPr>
            </w:pPr>
            <w:r w:rsidRPr="00B12FE0">
              <w:rPr>
                <w:color w:val="000000" w:themeColor="text1"/>
                <w:szCs w:val="21"/>
              </w:rPr>
              <w:t>0.51</w:t>
            </w:r>
          </w:p>
        </w:tc>
        <w:tc>
          <w:tcPr>
            <w:tcW w:w="1049" w:type="pct"/>
            <w:tcBorders>
              <w:top w:val="single" w:sz="4" w:space="0" w:color="auto"/>
              <w:left w:val="single" w:sz="4" w:space="0" w:color="auto"/>
              <w:bottom w:val="single" w:sz="4" w:space="0" w:color="auto"/>
              <w:right w:val="single" w:sz="4" w:space="0" w:color="auto"/>
            </w:tcBorders>
            <w:vAlign w:val="center"/>
          </w:tcPr>
          <w:p w14:paraId="5858F8BB" w14:textId="77777777" w:rsidR="00A67F21" w:rsidRPr="00B12FE0" w:rsidRDefault="00000000">
            <w:pPr>
              <w:pStyle w:val="a5"/>
              <w:ind w:leftChars="0" w:left="0"/>
              <w:jc w:val="center"/>
              <w:rPr>
                <w:color w:val="000000" w:themeColor="text1"/>
                <w:szCs w:val="21"/>
              </w:rPr>
            </w:pPr>
            <w:r w:rsidRPr="00B12FE0">
              <w:rPr>
                <w:color w:val="000000" w:themeColor="text1"/>
                <w:szCs w:val="21"/>
              </w:rPr>
              <w:t>0.01</w:t>
            </w:r>
          </w:p>
        </w:tc>
        <w:tc>
          <w:tcPr>
            <w:tcW w:w="725" w:type="pct"/>
            <w:tcBorders>
              <w:top w:val="single" w:sz="4" w:space="0" w:color="auto"/>
              <w:left w:val="single" w:sz="4" w:space="0" w:color="auto"/>
              <w:bottom w:val="single" w:sz="4" w:space="0" w:color="auto"/>
              <w:right w:val="single" w:sz="4" w:space="0" w:color="auto"/>
            </w:tcBorders>
            <w:vAlign w:val="center"/>
          </w:tcPr>
          <w:p w14:paraId="684B0D80"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rPr>
              <w:t>使用，仪器校准</w:t>
            </w:r>
          </w:p>
        </w:tc>
        <w:tc>
          <w:tcPr>
            <w:tcW w:w="724" w:type="pct"/>
            <w:tcBorders>
              <w:top w:val="single" w:sz="4" w:space="0" w:color="auto"/>
              <w:left w:val="single" w:sz="4" w:space="0" w:color="auto"/>
              <w:bottom w:val="single" w:sz="4" w:space="0" w:color="auto"/>
              <w:right w:val="single" w:sz="4" w:space="0" w:color="auto"/>
            </w:tcBorders>
            <w:vAlign w:val="center"/>
          </w:tcPr>
          <w:p w14:paraId="2251D319" w14:textId="77777777" w:rsidR="00A67F21" w:rsidRPr="00B12FE0" w:rsidRDefault="00000000">
            <w:pPr>
              <w:pStyle w:val="a5"/>
              <w:ind w:leftChars="0" w:left="0"/>
              <w:jc w:val="center"/>
              <w:rPr>
                <w:color w:val="000000" w:themeColor="text1"/>
                <w:szCs w:val="21"/>
              </w:rPr>
            </w:pPr>
            <w:r w:rsidRPr="00B12FE0">
              <w:rPr>
                <w:rFonts w:hint="eastAsia"/>
                <w:color w:val="000000" w:themeColor="text1"/>
                <w:szCs w:val="21"/>
              </w:rPr>
              <w:t>核医学科核素诊断场所储源室</w:t>
            </w:r>
          </w:p>
        </w:tc>
      </w:tr>
    </w:tbl>
    <w:p w14:paraId="2DDB9D45" w14:textId="77777777" w:rsidR="00A67F21" w:rsidRPr="00B12FE0" w:rsidRDefault="00000000">
      <w:pPr>
        <w:adjustRightInd w:val="0"/>
        <w:snapToGrid w:val="0"/>
        <w:spacing w:line="360" w:lineRule="auto"/>
        <w:ind w:firstLineChars="98" w:firstLine="236"/>
        <w:rPr>
          <w:b/>
          <w:color w:val="000000" w:themeColor="text1"/>
        </w:rPr>
      </w:pPr>
      <w:r w:rsidRPr="00B12FE0">
        <w:rPr>
          <w:b/>
          <w:color w:val="000000" w:themeColor="text1"/>
        </w:rPr>
        <w:t>（</w:t>
      </w:r>
      <w:r w:rsidRPr="00B12FE0">
        <w:rPr>
          <w:b/>
          <w:color w:val="000000" w:themeColor="text1"/>
        </w:rPr>
        <w:t>2</w:t>
      </w:r>
      <w:r w:rsidRPr="00B12FE0">
        <w:rPr>
          <w:b/>
          <w:color w:val="000000" w:themeColor="text1"/>
        </w:rPr>
        <w:t>）工作人员配备和工作负荷</w:t>
      </w:r>
    </w:p>
    <w:p w14:paraId="5D2D3A5B" w14:textId="77777777" w:rsidR="00A67F21" w:rsidRPr="00B12FE0" w:rsidRDefault="00000000">
      <w:pPr>
        <w:adjustRightInd w:val="0"/>
        <w:snapToGrid w:val="0"/>
        <w:spacing w:line="360" w:lineRule="auto"/>
        <w:ind w:firstLineChars="200" w:firstLine="480"/>
        <w:rPr>
          <w:bCs/>
          <w:color w:val="000000" w:themeColor="text1"/>
        </w:rPr>
      </w:pPr>
      <w:r w:rsidRPr="00B12FE0">
        <w:rPr>
          <w:bCs/>
          <w:color w:val="000000" w:themeColor="text1"/>
        </w:rPr>
        <w:t>根据医院提供的资料，项目正式开展后，每年工作</w:t>
      </w:r>
      <w:r w:rsidRPr="00B12FE0">
        <w:rPr>
          <w:bCs/>
          <w:color w:val="000000" w:themeColor="text1"/>
        </w:rPr>
        <w:t>250</w:t>
      </w:r>
      <w:r w:rsidRPr="00B12FE0">
        <w:rPr>
          <w:bCs/>
          <w:color w:val="000000" w:themeColor="text1"/>
        </w:rPr>
        <w:t>天，每周工作</w:t>
      </w:r>
      <w:r w:rsidRPr="00B12FE0">
        <w:rPr>
          <w:bCs/>
          <w:color w:val="000000" w:themeColor="text1"/>
        </w:rPr>
        <w:t>5</w:t>
      </w:r>
      <w:r w:rsidRPr="00B12FE0">
        <w:rPr>
          <w:bCs/>
          <w:color w:val="000000" w:themeColor="text1"/>
        </w:rPr>
        <w:t>天，每天工作</w:t>
      </w:r>
      <w:r w:rsidRPr="00B12FE0">
        <w:rPr>
          <w:bCs/>
          <w:color w:val="000000" w:themeColor="text1"/>
        </w:rPr>
        <w:t>8h</w:t>
      </w:r>
      <w:r w:rsidRPr="00B12FE0">
        <w:rPr>
          <w:bCs/>
          <w:color w:val="000000" w:themeColor="text1"/>
        </w:rPr>
        <w:t>，</w:t>
      </w:r>
      <w:r w:rsidRPr="00B12FE0">
        <w:rPr>
          <w:rFonts w:hint="eastAsia"/>
          <w:bCs/>
          <w:color w:val="000000" w:themeColor="text1"/>
        </w:rPr>
        <w:t>核医学科核素制备场所、</w:t>
      </w:r>
      <w:r w:rsidRPr="00B12FE0">
        <w:rPr>
          <w:color w:val="000000" w:themeColor="text1"/>
        </w:rPr>
        <w:t>核素诊断场所、核素治疗场所</w:t>
      </w:r>
      <w:r w:rsidRPr="00B12FE0">
        <w:rPr>
          <w:bCs/>
          <w:color w:val="000000" w:themeColor="text1"/>
        </w:rPr>
        <w:t>各工序涉及辐射工作人员情况以及工作负荷见下表。</w:t>
      </w:r>
    </w:p>
    <w:p w14:paraId="2B248A2E" w14:textId="77777777" w:rsidR="00A67F21" w:rsidRPr="00B12FE0" w:rsidRDefault="00000000">
      <w:pPr>
        <w:adjustRightInd w:val="0"/>
        <w:snapToGrid w:val="0"/>
        <w:spacing w:line="360" w:lineRule="auto"/>
        <w:jc w:val="center"/>
        <w:rPr>
          <w:b/>
          <w:bCs/>
          <w:color w:val="000000" w:themeColor="text1"/>
          <w:sz w:val="21"/>
          <w:szCs w:val="16"/>
        </w:rPr>
      </w:pPr>
      <w:r w:rsidRPr="00B12FE0">
        <w:rPr>
          <w:b/>
          <w:bCs/>
          <w:color w:val="000000" w:themeColor="text1"/>
          <w:sz w:val="21"/>
          <w:szCs w:val="16"/>
        </w:rPr>
        <w:t>表</w:t>
      </w:r>
      <w:r w:rsidRPr="00B12FE0">
        <w:rPr>
          <w:rFonts w:hint="eastAsia"/>
          <w:b/>
          <w:bCs/>
          <w:color w:val="000000" w:themeColor="text1"/>
          <w:sz w:val="21"/>
          <w:szCs w:val="16"/>
        </w:rPr>
        <w:t>9.1.1.5-3</w:t>
      </w:r>
      <w:r w:rsidRPr="00B12FE0">
        <w:rPr>
          <w:b/>
          <w:bCs/>
          <w:color w:val="000000" w:themeColor="text1"/>
          <w:sz w:val="21"/>
          <w:szCs w:val="16"/>
        </w:rPr>
        <w:t xml:space="preserve">  </w:t>
      </w:r>
      <w:r w:rsidRPr="00B12FE0">
        <w:rPr>
          <w:b/>
          <w:bCs/>
          <w:color w:val="000000" w:themeColor="text1"/>
          <w:sz w:val="21"/>
          <w:szCs w:val="16"/>
        </w:rPr>
        <w:t>各工序涉及辐射工作人员情况以及工作负荷一览表</w:t>
      </w:r>
    </w:p>
    <w:tbl>
      <w:tblPr>
        <w:tblStyle w:val="1b"/>
        <w:tblW w:w="5000" w:type="pct"/>
        <w:jc w:val="center"/>
        <w:tblLook w:val="04A0" w:firstRow="1" w:lastRow="0" w:firstColumn="1" w:lastColumn="0" w:noHBand="0" w:noVBand="1"/>
      </w:tblPr>
      <w:tblGrid>
        <w:gridCol w:w="2052"/>
        <w:gridCol w:w="2700"/>
        <w:gridCol w:w="2756"/>
        <w:gridCol w:w="1509"/>
      </w:tblGrid>
      <w:tr w:rsidR="00A67F21" w:rsidRPr="00B12FE0" w14:paraId="5C4EB0D4"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33D5C760" w14:textId="77777777" w:rsidR="00A67F21" w:rsidRPr="00B12FE0" w:rsidRDefault="00000000">
            <w:pPr>
              <w:adjustRightInd w:val="0"/>
              <w:jc w:val="center"/>
              <w:rPr>
                <w:bCs/>
                <w:color w:val="000000" w:themeColor="text1"/>
                <w:kern w:val="0"/>
                <w:sz w:val="21"/>
                <w:szCs w:val="21"/>
              </w:rPr>
            </w:pPr>
            <w:r w:rsidRPr="00B12FE0">
              <w:rPr>
                <w:bCs/>
                <w:color w:val="000000" w:themeColor="text1"/>
                <w:kern w:val="0"/>
                <w:sz w:val="21"/>
                <w:szCs w:val="21"/>
              </w:rPr>
              <w:t>工作场所</w:t>
            </w:r>
          </w:p>
        </w:tc>
        <w:tc>
          <w:tcPr>
            <w:tcW w:w="1497" w:type="pct"/>
            <w:tcBorders>
              <w:top w:val="single" w:sz="4" w:space="0" w:color="auto"/>
              <w:left w:val="single" w:sz="4" w:space="0" w:color="auto"/>
              <w:bottom w:val="single" w:sz="4" w:space="0" w:color="auto"/>
              <w:right w:val="single" w:sz="4" w:space="0" w:color="auto"/>
            </w:tcBorders>
            <w:vAlign w:val="center"/>
          </w:tcPr>
          <w:p w14:paraId="2B4E7E59" w14:textId="77777777" w:rsidR="00A67F21" w:rsidRPr="00B12FE0" w:rsidRDefault="00000000">
            <w:pPr>
              <w:adjustRightInd w:val="0"/>
              <w:jc w:val="center"/>
              <w:rPr>
                <w:bCs/>
                <w:color w:val="000000" w:themeColor="text1"/>
                <w:sz w:val="21"/>
                <w:szCs w:val="21"/>
              </w:rPr>
            </w:pPr>
            <w:r w:rsidRPr="00B12FE0">
              <w:rPr>
                <w:bCs/>
                <w:color w:val="000000" w:themeColor="text1"/>
                <w:kern w:val="0"/>
                <w:sz w:val="21"/>
                <w:szCs w:val="21"/>
              </w:rPr>
              <w:t>操作内容</w:t>
            </w:r>
          </w:p>
        </w:tc>
        <w:tc>
          <w:tcPr>
            <w:tcW w:w="1528" w:type="pct"/>
            <w:tcBorders>
              <w:top w:val="single" w:sz="4" w:space="0" w:color="auto"/>
              <w:left w:val="single" w:sz="4" w:space="0" w:color="auto"/>
              <w:bottom w:val="single" w:sz="4" w:space="0" w:color="auto"/>
              <w:right w:val="single" w:sz="4" w:space="0" w:color="auto"/>
            </w:tcBorders>
            <w:vAlign w:val="center"/>
          </w:tcPr>
          <w:p w14:paraId="7D51F951" w14:textId="77777777" w:rsidR="00A67F21" w:rsidRPr="00B12FE0" w:rsidRDefault="00000000">
            <w:pPr>
              <w:adjustRightInd w:val="0"/>
              <w:jc w:val="center"/>
              <w:rPr>
                <w:bCs/>
                <w:color w:val="000000" w:themeColor="text1"/>
                <w:kern w:val="0"/>
                <w:sz w:val="21"/>
                <w:szCs w:val="21"/>
              </w:rPr>
            </w:pPr>
            <w:r w:rsidRPr="00B12FE0">
              <w:rPr>
                <w:bCs/>
                <w:color w:val="000000" w:themeColor="text1"/>
                <w:kern w:val="0"/>
                <w:sz w:val="21"/>
                <w:szCs w:val="21"/>
              </w:rPr>
              <w:t>操作时间</w:t>
            </w:r>
          </w:p>
        </w:tc>
        <w:tc>
          <w:tcPr>
            <w:tcW w:w="837" w:type="pct"/>
            <w:tcBorders>
              <w:top w:val="single" w:sz="4" w:space="0" w:color="auto"/>
              <w:left w:val="single" w:sz="4" w:space="0" w:color="auto"/>
              <w:right w:val="single" w:sz="4" w:space="0" w:color="auto"/>
            </w:tcBorders>
            <w:vAlign w:val="center"/>
          </w:tcPr>
          <w:p w14:paraId="4CD68239" w14:textId="77777777" w:rsidR="00A67F21" w:rsidRPr="00B12FE0" w:rsidRDefault="00000000">
            <w:pPr>
              <w:adjustRightInd w:val="0"/>
              <w:jc w:val="center"/>
              <w:rPr>
                <w:bCs/>
                <w:color w:val="000000" w:themeColor="text1"/>
                <w:kern w:val="0"/>
                <w:sz w:val="21"/>
                <w:szCs w:val="21"/>
              </w:rPr>
            </w:pPr>
            <w:r w:rsidRPr="00B12FE0">
              <w:rPr>
                <w:bCs/>
                <w:color w:val="000000" w:themeColor="text1"/>
                <w:kern w:val="0"/>
                <w:sz w:val="21"/>
                <w:szCs w:val="21"/>
              </w:rPr>
              <w:t>人员数量</w:t>
            </w:r>
          </w:p>
        </w:tc>
      </w:tr>
      <w:tr w:rsidR="00A67F21" w:rsidRPr="00B12FE0" w14:paraId="7C2D521D" w14:textId="77777777">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1E292FA" w14:textId="77777777" w:rsidR="00A67F21" w:rsidRPr="00B12FE0" w:rsidRDefault="00000000">
            <w:pPr>
              <w:adjustRightInd w:val="0"/>
              <w:jc w:val="center"/>
              <w:rPr>
                <w:bCs/>
                <w:color w:val="000000" w:themeColor="text1"/>
                <w:kern w:val="0"/>
                <w:sz w:val="21"/>
                <w:szCs w:val="21"/>
              </w:rPr>
            </w:pPr>
            <w:r w:rsidRPr="00B12FE0">
              <w:rPr>
                <w:rFonts w:ascii="宋体" w:hAnsi="宋体"/>
                <w:b/>
                <w:bCs/>
                <w:color w:val="000000" w:themeColor="text1"/>
                <w:kern w:val="0"/>
                <w:sz w:val="21"/>
                <w:szCs w:val="21"/>
              </w:rPr>
              <w:t>核素制备场所</w:t>
            </w:r>
          </w:p>
        </w:tc>
      </w:tr>
      <w:tr w:rsidR="00A67F21" w:rsidRPr="00B12FE0" w14:paraId="5A879E04"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71B425CF" w14:textId="77777777" w:rsidR="00A67F21" w:rsidRPr="00B12FE0" w:rsidRDefault="00000000">
            <w:pPr>
              <w:adjustRightInd w:val="0"/>
              <w:jc w:val="center"/>
              <w:rPr>
                <w:bCs/>
                <w:color w:val="000000" w:themeColor="text1"/>
                <w:kern w:val="0"/>
                <w:sz w:val="21"/>
                <w:szCs w:val="21"/>
              </w:rPr>
            </w:pPr>
            <w:r w:rsidRPr="00B12FE0">
              <w:rPr>
                <w:rStyle w:val="150"/>
                <w:color w:val="000000" w:themeColor="text1"/>
                <w:sz w:val="21"/>
                <w:szCs w:val="21"/>
              </w:rPr>
              <w:t>回旋加速器控制室</w:t>
            </w:r>
          </w:p>
        </w:tc>
        <w:tc>
          <w:tcPr>
            <w:tcW w:w="1497" w:type="pct"/>
            <w:tcBorders>
              <w:top w:val="single" w:sz="4" w:space="0" w:color="auto"/>
              <w:left w:val="single" w:sz="4" w:space="0" w:color="auto"/>
              <w:bottom w:val="single" w:sz="4" w:space="0" w:color="auto"/>
              <w:right w:val="single" w:sz="4" w:space="0" w:color="auto"/>
            </w:tcBorders>
            <w:vAlign w:val="center"/>
          </w:tcPr>
          <w:p w14:paraId="271B5908" w14:textId="77777777" w:rsidR="00A67F21" w:rsidRPr="00B12FE0" w:rsidRDefault="00000000">
            <w:pPr>
              <w:adjustRightInd w:val="0"/>
              <w:jc w:val="center"/>
              <w:rPr>
                <w:bCs/>
                <w:color w:val="000000" w:themeColor="text1"/>
                <w:kern w:val="0"/>
                <w:sz w:val="21"/>
                <w:szCs w:val="21"/>
              </w:rPr>
            </w:pPr>
            <w:r w:rsidRPr="00B12FE0">
              <w:rPr>
                <w:rStyle w:val="150"/>
                <w:color w:val="000000" w:themeColor="text1"/>
                <w:sz w:val="21"/>
                <w:szCs w:val="21"/>
              </w:rPr>
              <w:t>操作回旋加速器打靶制备核素</w:t>
            </w:r>
          </w:p>
        </w:tc>
        <w:tc>
          <w:tcPr>
            <w:tcW w:w="1528" w:type="pct"/>
            <w:tcBorders>
              <w:top w:val="single" w:sz="4" w:space="0" w:color="auto"/>
              <w:left w:val="single" w:sz="4" w:space="0" w:color="auto"/>
              <w:bottom w:val="single" w:sz="4" w:space="0" w:color="auto"/>
              <w:right w:val="single" w:sz="4" w:space="0" w:color="auto"/>
            </w:tcBorders>
            <w:vAlign w:val="center"/>
          </w:tcPr>
          <w:p w14:paraId="5F3351DC" w14:textId="77777777" w:rsidR="00A67F21" w:rsidRPr="00B12FE0" w:rsidRDefault="00000000">
            <w:pPr>
              <w:adjustRightInd w:val="0"/>
              <w:jc w:val="center"/>
              <w:rPr>
                <w:bCs/>
                <w:color w:val="000000" w:themeColor="text1"/>
                <w:kern w:val="0"/>
                <w:sz w:val="21"/>
                <w:szCs w:val="21"/>
              </w:rPr>
            </w:pPr>
            <w:r w:rsidRPr="00B12FE0">
              <w:rPr>
                <w:rStyle w:val="170"/>
                <w:rFonts w:ascii="Times New Roman" w:hAnsi="Times New Roman" w:cs="Times New Roman" w:hint="default"/>
                <w:color w:val="000000" w:themeColor="text1"/>
                <w:vertAlign w:val="superscript"/>
              </w:rPr>
              <w:t>18</w:t>
            </w:r>
            <w:r w:rsidRPr="00B12FE0">
              <w:rPr>
                <w:rStyle w:val="160"/>
                <w:rFonts w:ascii="Times New Roman" w:hAnsi="Times New Roman" w:cs="Times New Roman" w:hint="default"/>
                <w:color w:val="000000" w:themeColor="text1"/>
                <w:sz w:val="21"/>
                <w:szCs w:val="21"/>
              </w:rPr>
              <w:t>F</w:t>
            </w:r>
            <w:r w:rsidRPr="00B12FE0">
              <w:rPr>
                <w:rStyle w:val="150"/>
                <w:rFonts w:ascii="Times New Roman" w:hAnsi="Times New Roman" w:cs="Times New Roman"/>
                <w:color w:val="000000" w:themeColor="text1"/>
                <w:sz w:val="21"/>
                <w:szCs w:val="21"/>
              </w:rPr>
              <w:t>每次打靶</w:t>
            </w:r>
            <w:r w:rsidRPr="00B12FE0">
              <w:rPr>
                <w:rStyle w:val="160"/>
                <w:rFonts w:ascii="Times New Roman" w:hAnsi="Times New Roman" w:cs="Times New Roman" w:hint="default"/>
                <w:color w:val="000000" w:themeColor="text1"/>
                <w:sz w:val="21"/>
                <w:szCs w:val="21"/>
              </w:rPr>
              <w:t>2</w:t>
            </w:r>
            <w:r w:rsidRPr="00B12FE0">
              <w:rPr>
                <w:rStyle w:val="150"/>
                <w:rFonts w:ascii="Times New Roman" w:hAnsi="Times New Roman" w:cs="Times New Roman"/>
                <w:color w:val="000000" w:themeColor="text1"/>
                <w:sz w:val="21"/>
                <w:szCs w:val="21"/>
              </w:rPr>
              <w:t>小时</w:t>
            </w:r>
          </w:p>
        </w:tc>
        <w:tc>
          <w:tcPr>
            <w:tcW w:w="837" w:type="pct"/>
            <w:tcBorders>
              <w:top w:val="single" w:sz="4" w:space="0" w:color="auto"/>
              <w:left w:val="single" w:sz="4" w:space="0" w:color="auto"/>
              <w:right w:val="single" w:sz="4" w:space="0" w:color="auto"/>
            </w:tcBorders>
            <w:vAlign w:val="center"/>
          </w:tcPr>
          <w:p w14:paraId="4ED8497A" w14:textId="77777777" w:rsidR="00A67F21" w:rsidRPr="00B12FE0" w:rsidRDefault="00000000">
            <w:pPr>
              <w:adjustRightInd w:val="0"/>
              <w:jc w:val="center"/>
              <w:rPr>
                <w:bCs/>
                <w:color w:val="000000" w:themeColor="text1"/>
                <w:kern w:val="0"/>
                <w:sz w:val="21"/>
                <w:szCs w:val="21"/>
              </w:rPr>
            </w:pPr>
            <w:r w:rsidRPr="00B12FE0">
              <w:rPr>
                <w:rFonts w:hint="eastAsia"/>
                <w:bCs/>
                <w:color w:val="000000" w:themeColor="text1"/>
                <w:kern w:val="0"/>
                <w:sz w:val="21"/>
                <w:szCs w:val="21"/>
              </w:rPr>
              <w:t>2</w:t>
            </w:r>
          </w:p>
        </w:tc>
      </w:tr>
      <w:tr w:rsidR="00A67F21" w:rsidRPr="00B12FE0" w14:paraId="51D5EF60"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1FC5F159" w14:textId="77777777" w:rsidR="00A67F21" w:rsidRPr="00B12FE0" w:rsidRDefault="00000000">
            <w:pPr>
              <w:adjustRightInd w:val="0"/>
              <w:jc w:val="center"/>
              <w:rPr>
                <w:bCs/>
                <w:color w:val="000000" w:themeColor="text1"/>
                <w:kern w:val="0"/>
                <w:sz w:val="21"/>
                <w:szCs w:val="21"/>
              </w:rPr>
            </w:pPr>
            <w:r w:rsidRPr="00B12FE0">
              <w:rPr>
                <w:rFonts w:ascii="宋体" w:hAnsi="宋体"/>
                <w:color w:val="000000" w:themeColor="text1"/>
                <w:kern w:val="0"/>
                <w:sz w:val="21"/>
                <w:szCs w:val="21"/>
              </w:rPr>
              <w:t>热室房间</w:t>
            </w:r>
          </w:p>
        </w:tc>
        <w:tc>
          <w:tcPr>
            <w:tcW w:w="1497" w:type="pct"/>
            <w:tcBorders>
              <w:top w:val="single" w:sz="4" w:space="0" w:color="auto"/>
              <w:left w:val="single" w:sz="4" w:space="0" w:color="auto"/>
              <w:bottom w:val="single" w:sz="4" w:space="0" w:color="auto"/>
              <w:right w:val="single" w:sz="4" w:space="0" w:color="auto"/>
            </w:tcBorders>
            <w:vAlign w:val="center"/>
          </w:tcPr>
          <w:p w14:paraId="07C89A68" w14:textId="77777777" w:rsidR="00A67F21" w:rsidRPr="00B12FE0" w:rsidRDefault="00000000">
            <w:pPr>
              <w:adjustRightInd w:val="0"/>
              <w:jc w:val="center"/>
              <w:rPr>
                <w:bCs/>
                <w:color w:val="000000" w:themeColor="text1"/>
                <w:kern w:val="0"/>
                <w:sz w:val="21"/>
                <w:szCs w:val="21"/>
              </w:rPr>
            </w:pPr>
            <w:r w:rsidRPr="00B12FE0">
              <w:rPr>
                <w:rFonts w:ascii="宋体" w:hAnsi="宋体"/>
                <w:color w:val="000000" w:themeColor="text1"/>
                <w:kern w:val="0"/>
                <w:sz w:val="21"/>
                <w:szCs w:val="21"/>
              </w:rPr>
              <w:t>核素合成分装</w:t>
            </w:r>
          </w:p>
        </w:tc>
        <w:tc>
          <w:tcPr>
            <w:tcW w:w="1528" w:type="pct"/>
            <w:tcBorders>
              <w:top w:val="single" w:sz="4" w:space="0" w:color="auto"/>
              <w:left w:val="single" w:sz="4" w:space="0" w:color="auto"/>
              <w:bottom w:val="single" w:sz="4" w:space="0" w:color="auto"/>
              <w:right w:val="single" w:sz="4" w:space="0" w:color="auto"/>
            </w:tcBorders>
            <w:vAlign w:val="center"/>
          </w:tcPr>
          <w:p w14:paraId="35D84EAA" w14:textId="77777777" w:rsidR="00A67F21" w:rsidRPr="00B12FE0" w:rsidRDefault="00000000">
            <w:pPr>
              <w:adjustRightInd w:val="0"/>
              <w:jc w:val="center"/>
              <w:rPr>
                <w:bCs/>
                <w:color w:val="000000" w:themeColor="text1"/>
                <w:kern w:val="0"/>
                <w:sz w:val="21"/>
                <w:szCs w:val="21"/>
              </w:rPr>
            </w:pPr>
            <w:r w:rsidRPr="00B12FE0">
              <w:rPr>
                <w:color w:val="000000" w:themeColor="text1"/>
                <w:kern w:val="0"/>
                <w:sz w:val="21"/>
                <w:szCs w:val="21"/>
              </w:rPr>
              <w:t>合成分装</w:t>
            </w:r>
            <w:r w:rsidRPr="00B12FE0">
              <w:rPr>
                <w:rFonts w:hint="eastAsia"/>
                <w:color w:val="000000" w:themeColor="text1"/>
                <w:kern w:val="0"/>
                <w:sz w:val="21"/>
                <w:szCs w:val="21"/>
              </w:rPr>
              <w:t>30</w:t>
            </w:r>
            <w:r w:rsidRPr="00B12FE0">
              <w:rPr>
                <w:rFonts w:hint="eastAsia"/>
                <w:color w:val="000000" w:themeColor="text1"/>
                <w:kern w:val="0"/>
                <w:sz w:val="21"/>
                <w:szCs w:val="21"/>
              </w:rPr>
              <w:t>分钟</w:t>
            </w:r>
          </w:p>
        </w:tc>
        <w:tc>
          <w:tcPr>
            <w:tcW w:w="837" w:type="pct"/>
            <w:vMerge w:val="restart"/>
            <w:tcBorders>
              <w:top w:val="single" w:sz="4" w:space="0" w:color="auto"/>
              <w:left w:val="single" w:sz="4" w:space="0" w:color="auto"/>
              <w:right w:val="single" w:sz="4" w:space="0" w:color="auto"/>
            </w:tcBorders>
            <w:vAlign w:val="center"/>
          </w:tcPr>
          <w:p w14:paraId="464EA327" w14:textId="77777777" w:rsidR="00A67F21" w:rsidRPr="00B12FE0" w:rsidRDefault="00000000">
            <w:pPr>
              <w:adjustRightInd w:val="0"/>
              <w:jc w:val="center"/>
              <w:rPr>
                <w:bCs/>
                <w:color w:val="000000" w:themeColor="text1"/>
                <w:kern w:val="0"/>
                <w:sz w:val="21"/>
                <w:szCs w:val="21"/>
              </w:rPr>
            </w:pPr>
            <w:r w:rsidRPr="00B12FE0">
              <w:rPr>
                <w:rFonts w:hint="eastAsia"/>
                <w:bCs/>
                <w:color w:val="000000" w:themeColor="text1"/>
                <w:kern w:val="0"/>
                <w:sz w:val="21"/>
                <w:szCs w:val="21"/>
              </w:rPr>
              <w:t>2</w:t>
            </w:r>
          </w:p>
        </w:tc>
      </w:tr>
      <w:tr w:rsidR="00A67F21" w:rsidRPr="00B12FE0" w14:paraId="22D25AE8"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174D1869" w14:textId="77777777" w:rsidR="00A67F21" w:rsidRPr="00B12FE0" w:rsidRDefault="00000000">
            <w:pPr>
              <w:adjustRightInd w:val="0"/>
              <w:jc w:val="center"/>
              <w:rPr>
                <w:bCs/>
                <w:color w:val="000000" w:themeColor="text1"/>
                <w:kern w:val="0"/>
                <w:sz w:val="21"/>
                <w:szCs w:val="21"/>
              </w:rPr>
            </w:pPr>
            <w:r w:rsidRPr="00B12FE0">
              <w:rPr>
                <w:rFonts w:ascii="宋体" w:hAnsi="宋体" w:hint="eastAsia"/>
                <w:color w:val="000000" w:themeColor="text1"/>
                <w:kern w:val="0"/>
                <w:sz w:val="21"/>
                <w:szCs w:val="21"/>
              </w:rPr>
              <w:t>放化实验</w:t>
            </w:r>
            <w:r w:rsidRPr="00B12FE0">
              <w:rPr>
                <w:rFonts w:ascii="宋体" w:hAnsi="宋体"/>
                <w:color w:val="000000" w:themeColor="text1"/>
                <w:kern w:val="0"/>
                <w:sz w:val="21"/>
                <w:szCs w:val="21"/>
              </w:rPr>
              <w:t>室</w:t>
            </w:r>
          </w:p>
        </w:tc>
        <w:tc>
          <w:tcPr>
            <w:tcW w:w="1497" w:type="pct"/>
            <w:tcBorders>
              <w:top w:val="single" w:sz="4" w:space="0" w:color="auto"/>
              <w:left w:val="single" w:sz="4" w:space="0" w:color="auto"/>
              <w:bottom w:val="single" w:sz="4" w:space="0" w:color="auto"/>
              <w:right w:val="single" w:sz="4" w:space="0" w:color="auto"/>
            </w:tcBorders>
            <w:vAlign w:val="center"/>
          </w:tcPr>
          <w:p w14:paraId="03AE2228" w14:textId="77777777" w:rsidR="00A67F21" w:rsidRPr="00B12FE0" w:rsidRDefault="00000000">
            <w:pPr>
              <w:adjustRightInd w:val="0"/>
              <w:jc w:val="center"/>
              <w:rPr>
                <w:bCs/>
                <w:color w:val="000000" w:themeColor="text1"/>
                <w:kern w:val="0"/>
                <w:sz w:val="21"/>
                <w:szCs w:val="21"/>
              </w:rPr>
            </w:pPr>
            <w:r w:rsidRPr="00B12FE0">
              <w:rPr>
                <w:rStyle w:val="150"/>
                <w:color w:val="000000" w:themeColor="text1"/>
                <w:sz w:val="21"/>
                <w:szCs w:val="21"/>
              </w:rPr>
              <w:t>药物质控</w:t>
            </w:r>
          </w:p>
        </w:tc>
        <w:tc>
          <w:tcPr>
            <w:tcW w:w="1528" w:type="pct"/>
            <w:tcBorders>
              <w:top w:val="single" w:sz="4" w:space="0" w:color="auto"/>
              <w:left w:val="single" w:sz="4" w:space="0" w:color="auto"/>
              <w:bottom w:val="single" w:sz="4" w:space="0" w:color="auto"/>
              <w:right w:val="single" w:sz="4" w:space="0" w:color="auto"/>
            </w:tcBorders>
            <w:vAlign w:val="center"/>
          </w:tcPr>
          <w:p w14:paraId="4A60F9E0" w14:textId="77777777" w:rsidR="00A67F21" w:rsidRPr="00B12FE0" w:rsidRDefault="00000000">
            <w:pPr>
              <w:adjustRightInd w:val="0"/>
              <w:jc w:val="center"/>
              <w:rPr>
                <w:bCs/>
                <w:color w:val="000000" w:themeColor="text1"/>
                <w:kern w:val="0"/>
                <w:sz w:val="21"/>
                <w:szCs w:val="21"/>
              </w:rPr>
            </w:pPr>
            <w:r w:rsidRPr="00B12FE0">
              <w:rPr>
                <w:rStyle w:val="160"/>
                <w:rFonts w:ascii="Times New Roman" w:hAnsi="Times New Roman" w:cs="Times New Roman" w:hint="default"/>
                <w:color w:val="000000" w:themeColor="text1"/>
                <w:sz w:val="21"/>
                <w:szCs w:val="21"/>
              </w:rPr>
              <w:t>5</w:t>
            </w:r>
            <w:r w:rsidRPr="00B12FE0">
              <w:rPr>
                <w:rStyle w:val="150"/>
                <w:rFonts w:ascii="Times New Roman" w:hAnsi="Times New Roman" w:cs="Times New Roman"/>
                <w:color w:val="000000" w:themeColor="text1"/>
                <w:sz w:val="21"/>
                <w:szCs w:val="21"/>
              </w:rPr>
              <w:t>分钟</w:t>
            </w:r>
            <w:r w:rsidRPr="00B12FE0">
              <w:rPr>
                <w:rStyle w:val="160"/>
                <w:rFonts w:ascii="Times New Roman" w:hAnsi="Times New Roman" w:cs="Times New Roman" w:hint="default"/>
                <w:color w:val="000000" w:themeColor="text1"/>
                <w:sz w:val="21"/>
                <w:szCs w:val="21"/>
              </w:rPr>
              <w:t>/</w:t>
            </w:r>
            <w:r w:rsidRPr="00B12FE0">
              <w:rPr>
                <w:rStyle w:val="150"/>
                <w:rFonts w:ascii="Times New Roman" w:hAnsi="Times New Roman" w:cs="Times New Roman"/>
                <w:color w:val="000000" w:themeColor="text1"/>
                <w:sz w:val="21"/>
                <w:szCs w:val="21"/>
              </w:rPr>
              <w:t>次</w:t>
            </w:r>
          </w:p>
        </w:tc>
        <w:tc>
          <w:tcPr>
            <w:tcW w:w="837" w:type="pct"/>
            <w:vMerge/>
            <w:tcBorders>
              <w:left w:val="single" w:sz="4" w:space="0" w:color="auto"/>
              <w:right w:val="single" w:sz="4" w:space="0" w:color="auto"/>
            </w:tcBorders>
            <w:vAlign w:val="center"/>
          </w:tcPr>
          <w:p w14:paraId="055ED9B3" w14:textId="77777777" w:rsidR="00A67F21" w:rsidRPr="00B12FE0" w:rsidRDefault="00A67F21">
            <w:pPr>
              <w:adjustRightInd w:val="0"/>
              <w:jc w:val="center"/>
              <w:rPr>
                <w:bCs/>
                <w:color w:val="000000" w:themeColor="text1"/>
                <w:kern w:val="0"/>
                <w:sz w:val="21"/>
                <w:szCs w:val="21"/>
              </w:rPr>
            </w:pPr>
          </w:p>
        </w:tc>
      </w:tr>
      <w:tr w:rsidR="00A67F21" w:rsidRPr="00B12FE0" w14:paraId="330FBA12"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7AF63691" w14:textId="77777777" w:rsidR="00A67F21" w:rsidRPr="00B12FE0" w:rsidRDefault="00000000">
            <w:pPr>
              <w:adjustRightInd w:val="0"/>
              <w:jc w:val="center"/>
              <w:rPr>
                <w:bCs/>
                <w:color w:val="000000" w:themeColor="text1"/>
                <w:kern w:val="0"/>
                <w:sz w:val="21"/>
                <w:szCs w:val="21"/>
              </w:rPr>
            </w:pPr>
            <w:r w:rsidRPr="00B12FE0">
              <w:rPr>
                <w:rStyle w:val="150"/>
                <w:color w:val="000000" w:themeColor="text1"/>
                <w:sz w:val="21"/>
                <w:szCs w:val="21"/>
              </w:rPr>
              <w:t>药物运输通道</w:t>
            </w:r>
          </w:p>
        </w:tc>
        <w:tc>
          <w:tcPr>
            <w:tcW w:w="1497" w:type="pct"/>
            <w:tcBorders>
              <w:top w:val="single" w:sz="4" w:space="0" w:color="auto"/>
              <w:left w:val="single" w:sz="4" w:space="0" w:color="auto"/>
              <w:bottom w:val="single" w:sz="4" w:space="0" w:color="auto"/>
              <w:right w:val="single" w:sz="4" w:space="0" w:color="auto"/>
            </w:tcBorders>
            <w:vAlign w:val="center"/>
          </w:tcPr>
          <w:p w14:paraId="52985308" w14:textId="77777777" w:rsidR="00A67F21" w:rsidRPr="00B12FE0" w:rsidRDefault="00000000">
            <w:pPr>
              <w:adjustRightInd w:val="0"/>
              <w:jc w:val="center"/>
              <w:rPr>
                <w:bCs/>
                <w:color w:val="000000" w:themeColor="text1"/>
                <w:kern w:val="0"/>
                <w:sz w:val="21"/>
                <w:szCs w:val="21"/>
              </w:rPr>
            </w:pPr>
            <w:r w:rsidRPr="00B12FE0">
              <w:rPr>
                <w:rStyle w:val="150"/>
                <w:color w:val="000000" w:themeColor="text1"/>
                <w:sz w:val="21"/>
                <w:szCs w:val="21"/>
              </w:rPr>
              <w:t>药物运输至核素</w:t>
            </w:r>
            <w:r w:rsidRPr="00B12FE0">
              <w:rPr>
                <w:rStyle w:val="150"/>
                <w:rFonts w:hint="eastAsia"/>
                <w:color w:val="000000" w:themeColor="text1"/>
                <w:sz w:val="21"/>
                <w:szCs w:val="21"/>
              </w:rPr>
              <w:t>诊断</w:t>
            </w:r>
            <w:r w:rsidRPr="00B12FE0">
              <w:rPr>
                <w:rStyle w:val="150"/>
                <w:color w:val="000000" w:themeColor="text1"/>
                <w:sz w:val="21"/>
                <w:szCs w:val="21"/>
              </w:rPr>
              <w:t>场所</w:t>
            </w:r>
          </w:p>
        </w:tc>
        <w:tc>
          <w:tcPr>
            <w:tcW w:w="1528" w:type="pct"/>
            <w:tcBorders>
              <w:top w:val="single" w:sz="4" w:space="0" w:color="auto"/>
              <w:left w:val="single" w:sz="4" w:space="0" w:color="auto"/>
              <w:bottom w:val="single" w:sz="4" w:space="0" w:color="auto"/>
              <w:right w:val="single" w:sz="4" w:space="0" w:color="auto"/>
            </w:tcBorders>
            <w:vAlign w:val="center"/>
          </w:tcPr>
          <w:p w14:paraId="38B64B93" w14:textId="77777777" w:rsidR="00A67F21" w:rsidRPr="00B12FE0" w:rsidRDefault="00000000">
            <w:pPr>
              <w:adjustRightInd w:val="0"/>
              <w:jc w:val="center"/>
              <w:rPr>
                <w:bCs/>
                <w:color w:val="000000" w:themeColor="text1"/>
                <w:kern w:val="0"/>
                <w:sz w:val="21"/>
                <w:szCs w:val="21"/>
              </w:rPr>
            </w:pPr>
            <w:r w:rsidRPr="00B12FE0">
              <w:rPr>
                <w:rStyle w:val="160"/>
                <w:rFonts w:ascii="Times New Roman" w:hAnsi="Times New Roman" w:cs="Times New Roman" w:hint="default"/>
                <w:color w:val="000000" w:themeColor="text1"/>
                <w:sz w:val="21"/>
                <w:szCs w:val="21"/>
              </w:rPr>
              <w:t>5</w:t>
            </w:r>
            <w:r w:rsidRPr="00B12FE0">
              <w:rPr>
                <w:rStyle w:val="150"/>
                <w:rFonts w:ascii="Times New Roman" w:hAnsi="Times New Roman" w:cs="Times New Roman"/>
                <w:color w:val="000000" w:themeColor="text1"/>
                <w:sz w:val="21"/>
                <w:szCs w:val="21"/>
              </w:rPr>
              <w:t>分钟</w:t>
            </w:r>
            <w:r w:rsidRPr="00B12FE0">
              <w:rPr>
                <w:rStyle w:val="160"/>
                <w:rFonts w:ascii="Times New Roman" w:hAnsi="Times New Roman" w:cs="Times New Roman" w:hint="default"/>
                <w:color w:val="000000" w:themeColor="text1"/>
                <w:sz w:val="21"/>
                <w:szCs w:val="21"/>
              </w:rPr>
              <w:t>/</w:t>
            </w:r>
            <w:r w:rsidRPr="00B12FE0">
              <w:rPr>
                <w:rStyle w:val="150"/>
                <w:rFonts w:ascii="Times New Roman" w:hAnsi="Times New Roman" w:cs="Times New Roman"/>
                <w:color w:val="000000" w:themeColor="text1"/>
                <w:sz w:val="21"/>
                <w:szCs w:val="21"/>
              </w:rPr>
              <w:t>次</w:t>
            </w:r>
          </w:p>
        </w:tc>
        <w:tc>
          <w:tcPr>
            <w:tcW w:w="837" w:type="pct"/>
            <w:vMerge/>
            <w:tcBorders>
              <w:left w:val="single" w:sz="4" w:space="0" w:color="auto"/>
              <w:right w:val="single" w:sz="4" w:space="0" w:color="auto"/>
            </w:tcBorders>
            <w:vAlign w:val="center"/>
          </w:tcPr>
          <w:p w14:paraId="447E0EEF" w14:textId="77777777" w:rsidR="00A67F21" w:rsidRPr="00B12FE0" w:rsidRDefault="00A67F21">
            <w:pPr>
              <w:adjustRightInd w:val="0"/>
              <w:jc w:val="center"/>
              <w:rPr>
                <w:bCs/>
                <w:color w:val="000000" w:themeColor="text1"/>
                <w:kern w:val="0"/>
                <w:sz w:val="21"/>
                <w:szCs w:val="21"/>
              </w:rPr>
            </w:pPr>
          </w:p>
        </w:tc>
      </w:tr>
      <w:tr w:rsidR="00A67F21" w:rsidRPr="00B12FE0" w14:paraId="3711EDF9" w14:textId="77777777">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D6216CF" w14:textId="77777777" w:rsidR="00A67F21" w:rsidRPr="00B12FE0" w:rsidRDefault="00000000">
            <w:pPr>
              <w:adjustRightInd w:val="0"/>
              <w:jc w:val="center"/>
              <w:rPr>
                <w:bCs/>
                <w:color w:val="000000" w:themeColor="text1"/>
                <w:kern w:val="0"/>
                <w:sz w:val="21"/>
                <w:szCs w:val="21"/>
              </w:rPr>
            </w:pPr>
            <w:r w:rsidRPr="00B12FE0">
              <w:rPr>
                <w:rFonts w:ascii="宋体" w:hAnsi="宋体" w:hint="eastAsia"/>
                <w:b/>
                <w:bCs/>
                <w:color w:val="000000" w:themeColor="text1"/>
                <w:kern w:val="0"/>
                <w:sz w:val="21"/>
                <w:szCs w:val="21"/>
              </w:rPr>
              <w:t>核素诊断场所</w:t>
            </w:r>
          </w:p>
        </w:tc>
      </w:tr>
      <w:tr w:rsidR="00A67F21" w:rsidRPr="00B12FE0" w14:paraId="2EECD77D" w14:textId="77777777">
        <w:trPr>
          <w:trHeight w:val="454"/>
          <w:jc w:val="center"/>
        </w:trPr>
        <w:tc>
          <w:tcPr>
            <w:tcW w:w="1138" w:type="pct"/>
            <w:vMerge w:val="restart"/>
            <w:tcBorders>
              <w:top w:val="single" w:sz="4" w:space="0" w:color="auto"/>
              <w:left w:val="single" w:sz="4" w:space="0" w:color="auto"/>
              <w:right w:val="single" w:sz="4" w:space="0" w:color="auto"/>
            </w:tcBorders>
            <w:vAlign w:val="center"/>
          </w:tcPr>
          <w:p w14:paraId="45E33D27" w14:textId="77777777" w:rsidR="00A67F21" w:rsidRPr="00B12FE0" w:rsidRDefault="00000000">
            <w:pPr>
              <w:adjustRightInd w:val="0"/>
              <w:jc w:val="center"/>
              <w:rPr>
                <w:bCs/>
                <w:color w:val="000000" w:themeColor="text1"/>
                <w:kern w:val="0"/>
                <w:sz w:val="21"/>
                <w:szCs w:val="21"/>
              </w:rPr>
            </w:pPr>
            <w:proofErr w:type="gramStart"/>
            <w:r w:rsidRPr="00B12FE0">
              <w:rPr>
                <w:rFonts w:hint="eastAsia"/>
                <w:bCs/>
                <w:color w:val="000000" w:themeColor="text1"/>
                <w:kern w:val="0"/>
                <w:sz w:val="21"/>
                <w:szCs w:val="21"/>
              </w:rPr>
              <w:t>高活室</w:t>
            </w:r>
            <w:proofErr w:type="gramEnd"/>
          </w:p>
        </w:tc>
        <w:tc>
          <w:tcPr>
            <w:tcW w:w="1497" w:type="pct"/>
            <w:tcBorders>
              <w:top w:val="single" w:sz="4" w:space="0" w:color="auto"/>
              <w:left w:val="single" w:sz="4" w:space="0" w:color="auto"/>
              <w:bottom w:val="single" w:sz="4" w:space="0" w:color="auto"/>
              <w:right w:val="single" w:sz="4" w:space="0" w:color="auto"/>
            </w:tcBorders>
            <w:vAlign w:val="center"/>
          </w:tcPr>
          <w:p w14:paraId="39ADD6E3" w14:textId="77777777" w:rsidR="00A67F21" w:rsidRPr="00B12FE0" w:rsidRDefault="00000000">
            <w:pPr>
              <w:adjustRightInd w:val="0"/>
              <w:jc w:val="center"/>
              <w:rPr>
                <w:bCs/>
                <w:color w:val="000000" w:themeColor="text1"/>
                <w:kern w:val="0"/>
                <w:sz w:val="21"/>
                <w:szCs w:val="21"/>
              </w:rPr>
            </w:pPr>
            <w:r w:rsidRPr="00B12FE0">
              <w:rPr>
                <w:rStyle w:val="170"/>
                <w:rFonts w:ascii="Times New Roman" w:hAnsi="Times New Roman" w:cs="Times New Roman" w:hint="default"/>
                <w:color w:val="000000" w:themeColor="text1"/>
                <w:vertAlign w:val="superscript"/>
              </w:rPr>
              <w:t>99m</w:t>
            </w:r>
            <w:r w:rsidRPr="00B12FE0">
              <w:rPr>
                <w:rStyle w:val="170"/>
                <w:rFonts w:ascii="Times New Roman" w:hAnsi="Times New Roman" w:cs="Times New Roman" w:hint="default"/>
                <w:color w:val="000000" w:themeColor="text1"/>
              </w:rPr>
              <w:t>Tc</w:t>
            </w:r>
            <w:r w:rsidRPr="00B12FE0">
              <w:rPr>
                <w:rStyle w:val="150"/>
                <w:rFonts w:ascii="Times New Roman" w:hAnsi="Times New Roman" w:cs="Times New Roman"/>
                <w:color w:val="000000" w:themeColor="text1"/>
                <w:sz w:val="21"/>
                <w:szCs w:val="21"/>
              </w:rPr>
              <w:t>淋洗标记</w:t>
            </w:r>
          </w:p>
        </w:tc>
        <w:tc>
          <w:tcPr>
            <w:tcW w:w="1528" w:type="pct"/>
            <w:tcBorders>
              <w:top w:val="single" w:sz="4" w:space="0" w:color="auto"/>
              <w:left w:val="single" w:sz="4" w:space="0" w:color="auto"/>
              <w:bottom w:val="single" w:sz="4" w:space="0" w:color="auto"/>
              <w:right w:val="single" w:sz="4" w:space="0" w:color="auto"/>
            </w:tcBorders>
            <w:vAlign w:val="center"/>
          </w:tcPr>
          <w:p w14:paraId="5D199483" w14:textId="77777777" w:rsidR="00A67F21" w:rsidRPr="00B12FE0" w:rsidRDefault="00000000">
            <w:pPr>
              <w:adjustRightInd w:val="0"/>
              <w:jc w:val="center"/>
              <w:rPr>
                <w:bCs/>
                <w:color w:val="000000" w:themeColor="text1"/>
                <w:kern w:val="0"/>
                <w:sz w:val="21"/>
                <w:szCs w:val="21"/>
              </w:rPr>
            </w:pPr>
            <w:r w:rsidRPr="00B12FE0">
              <w:rPr>
                <w:color w:val="000000" w:themeColor="text1"/>
                <w:kern w:val="0"/>
                <w:sz w:val="21"/>
                <w:szCs w:val="21"/>
              </w:rPr>
              <w:t>20</w:t>
            </w:r>
            <w:r w:rsidRPr="00B12FE0">
              <w:rPr>
                <w:color w:val="000000" w:themeColor="text1"/>
                <w:kern w:val="0"/>
                <w:sz w:val="21"/>
                <w:szCs w:val="21"/>
              </w:rPr>
              <w:t>分钟</w:t>
            </w:r>
            <w:r w:rsidRPr="00B12FE0">
              <w:rPr>
                <w:color w:val="000000" w:themeColor="text1"/>
                <w:kern w:val="0"/>
                <w:sz w:val="21"/>
                <w:szCs w:val="21"/>
              </w:rPr>
              <w:t>/</w:t>
            </w:r>
            <w:r w:rsidRPr="00B12FE0">
              <w:rPr>
                <w:color w:val="000000" w:themeColor="text1"/>
                <w:kern w:val="0"/>
                <w:sz w:val="21"/>
                <w:szCs w:val="21"/>
              </w:rPr>
              <w:t>次</w:t>
            </w:r>
          </w:p>
        </w:tc>
        <w:tc>
          <w:tcPr>
            <w:tcW w:w="837" w:type="pct"/>
            <w:vMerge w:val="restart"/>
            <w:tcBorders>
              <w:top w:val="single" w:sz="4" w:space="0" w:color="auto"/>
              <w:left w:val="single" w:sz="4" w:space="0" w:color="auto"/>
              <w:right w:val="single" w:sz="4" w:space="0" w:color="auto"/>
            </w:tcBorders>
            <w:vAlign w:val="center"/>
          </w:tcPr>
          <w:p w14:paraId="39633B75" w14:textId="77777777" w:rsidR="00A67F21" w:rsidRPr="00B12FE0" w:rsidRDefault="00000000">
            <w:pPr>
              <w:adjustRightInd w:val="0"/>
              <w:jc w:val="center"/>
              <w:rPr>
                <w:bCs/>
                <w:color w:val="000000" w:themeColor="text1"/>
                <w:kern w:val="0"/>
                <w:sz w:val="21"/>
                <w:szCs w:val="21"/>
              </w:rPr>
            </w:pPr>
            <w:r w:rsidRPr="00B12FE0">
              <w:rPr>
                <w:rFonts w:hint="eastAsia"/>
                <w:bCs/>
                <w:color w:val="000000" w:themeColor="text1"/>
                <w:kern w:val="0"/>
                <w:sz w:val="21"/>
                <w:szCs w:val="21"/>
              </w:rPr>
              <w:t>8</w:t>
            </w:r>
            <w:r w:rsidRPr="00B12FE0">
              <w:rPr>
                <w:rFonts w:hint="eastAsia"/>
                <w:bCs/>
                <w:color w:val="000000" w:themeColor="text1"/>
                <w:kern w:val="0"/>
                <w:sz w:val="21"/>
                <w:szCs w:val="21"/>
              </w:rPr>
              <w:t>人（</w:t>
            </w:r>
            <w:r w:rsidRPr="00B12FE0">
              <w:rPr>
                <w:rFonts w:hint="eastAsia"/>
                <w:bCs/>
                <w:color w:val="000000" w:themeColor="text1"/>
                <w:kern w:val="0"/>
                <w:sz w:val="21"/>
                <w:szCs w:val="21"/>
              </w:rPr>
              <w:t>4</w:t>
            </w:r>
            <w:r w:rsidRPr="00B12FE0">
              <w:rPr>
                <w:rFonts w:hint="eastAsia"/>
                <w:bCs/>
                <w:color w:val="000000" w:themeColor="text1"/>
                <w:kern w:val="0"/>
                <w:sz w:val="21"/>
                <w:szCs w:val="21"/>
              </w:rPr>
              <w:t>人</w:t>
            </w:r>
            <w:r w:rsidRPr="00B12FE0">
              <w:rPr>
                <w:bCs/>
                <w:color w:val="000000" w:themeColor="text1"/>
                <w:kern w:val="0"/>
                <w:sz w:val="21"/>
                <w:szCs w:val="21"/>
              </w:rPr>
              <w:t>一组轮岗</w:t>
            </w:r>
            <w:r w:rsidRPr="00B12FE0">
              <w:rPr>
                <w:rFonts w:hint="eastAsia"/>
                <w:bCs/>
                <w:color w:val="000000" w:themeColor="text1"/>
                <w:kern w:val="0"/>
                <w:sz w:val="21"/>
                <w:szCs w:val="21"/>
              </w:rPr>
              <w:t>）</w:t>
            </w:r>
          </w:p>
        </w:tc>
      </w:tr>
      <w:tr w:rsidR="00A67F21" w:rsidRPr="00B12FE0" w14:paraId="0AE7D1E1" w14:textId="77777777">
        <w:trPr>
          <w:trHeight w:val="454"/>
          <w:jc w:val="center"/>
        </w:trPr>
        <w:tc>
          <w:tcPr>
            <w:tcW w:w="1138" w:type="pct"/>
            <w:vMerge/>
            <w:tcBorders>
              <w:left w:val="single" w:sz="4" w:space="0" w:color="auto"/>
              <w:right w:val="single" w:sz="4" w:space="0" w:color="auto"/>
            </w:tcBorders>
            <w:vAlign w:val="center"/>
          </w:tcPr>
          <w:p w14:paraId="4F13A409" w14:textId="77777777" w:rsidR="00A67F21" w:rsidRPr="00B12FE0" w:rsidRDefault="00A67F21">
            <w:pPr>
              <w:adjustRightInd w:val="0"/>
              <w:jc w:val="center"/>
              <w:rPr>
                <w:bCs/>
                <w:color w:val="000000" w:themeColor="text1"/>
                <w:kern w:val="0"/>
                <w:sz w:val="21"/>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3F88CE01" w14:textId="77777777" w:rsidR="00A67F21" w:rsidRPr="00B12FE0" w:rsidRDefault="00000000">
            <w:pPr>
              <w:adjustRightInd w:val="0"/>
              <w:jc w:val="center"/>
              <w:rPr>
                <w:bCs/>
                <w:color w:val="000000" w:themeColor="text1"/>
                <w:kern w:val="0"/>
                <w:sz w:val="21"/>
                <w:szCs w:val="21"/>
              </w:rPr>
            </w:pPr>
            <w:r w:rsidRPr="00B12FE0">
              <w:rPr>
                <w:rFonts w:hint="eastAsia"/>
                <w:color w:val="000000" w:themeColor="text1"/>
                <w:kern w:val="0"/>
                <w:sz w:val="21"/>
                <w:szCs w:val="21"/>
                <w:vertAlign w:val="superscript"/>
              </w:rPr>
              <w:t>18</w:t>
            </w:r>
            <w:r w:rsidRPr="00B12FE0">
              <w:rPr>
                <w:rFonts w:hint="eastAsia"/>
                <w:color w:val="000000" w:themeColor="text1"/>
                <w:kern w:val="0"/>
                <w:sz w:val="21"/>
                <w:szCs w:val="21"/>
              </w:rPr>
              <w:t>F</w:t>
            </w:r>
            <w:r w:rsidRPr="00B12FE0">
              <w:rPr>
                <w:rFonts w:hint="eastAsia"/>
                <w:color w:val="000000" w:themeColor="text1"/>
                <w:kern w:val="0"/>
                <w:sz w:val="21"/>
                <w:szCs w:val="21"/>
              </w:rPr>
              <w:t>药物</w:t>
            </w:r>
            <w:r w:rsidRPr="00B12FE0">
              <w:rPr>
                <w:color w:val="000000" w:themeColor="text1"/>
                <w:kern w:val="0"/>
                <w:sz w:val="21"/>
                <w:szCs w:val="21"/>
              </w:rPr>
              <w:t>分装、测活</w:t>
            </w:r>
          </w:p>
        </w:tc>
        <w:tc>
          <w:tcPr>
            <w:tcW w:w="1528" w:type="pct"/>
            <w:tcBorders>
              <w:top w:val="single" w:sz="4" w:space="0" w:color="auto"/>
              <w:left w:val="single" w:sz="4" w:space="0" w:color="auto"/>
              <w:bottom w:val="single" w:sz="4" w:space="0" w:color="auto"/>
              <w:right w:val="single" w:sz="4" w:space="0" w:color="auto"/>
            </w:tcBorders>
            <w:vAlign w:val="center"/>
          </w:tcPr>
          <w:p w14:paraId="7E53C2F1" w14:textId="77777777" w:rsidR="00A67F21" w:rsidRPr="00B12FE0" w:rsidRDefault="00000000">
            <w:pPr>
              <w:adjustRightInd w:val="0"/>
              <w:jc w:val="center"/>
              <w:rPr>
                <w:bCs/>
                <w:color w:val="000000" w:themeColor="text1"/>
                <w:kern w:val="0"/>
                <w:sz w:val="21"/>
                <w:szCs w:val="21"/>
              </w:rPr>
            </w:pPr>
            <w:r w:rsidRPr="00B12FE0">
              <w:rPr>
                <w:rStyle w:val="160"/>
                <w:rFonts w:ascii="Times New Roman" w:hAnsi="Times New Roman" w:cs="Times New Roman" w:hint="default"/>
                <w:color w:val="000000" w:themeColor="text1"/>
                <w:sz w:val="21"/>
                <w:szCs w:val="21"/>
              </w:rPr>
              <w:t>30</w:t>
            </w:r>
            <w:r w:rsidRPr="00B12FE0">
              <w:rPr>
                <w:rStyle w:val="150"/>
                <w:rFonts w:ascii="Times New Roman" w:hAnsi="Times New Roman" w:cs="Times New Roman"/>
                <w:color w:val="000000" w:themeColor="text1"/>
                <w:sz w:val="21"/>
                <w:szCs w:val="21"/>
              </w:rPr>
              <w:t>秒</w:t>
            </w:r>
            <w:r w:rsidRPr="00B12FE0">
              <w:rPr>
                <w:rStyle w:val="160"/>
                <w:rFonts w:ascii="Times New Roman" w:hAnsi="Times New Roman" w:cs="Times New Roman" w:hint="default"/>
                <w:color w:val="000000" w:themeColor="text1"/>
                <w:sz w:val="21"/>
                <w:szCs w:val="21"/>
              </w:rPr>
              <w:t>/</w:t>
            </w:r>
            <w:r w:rsidRPr="00B12FE0">
              <w:rPr>
                <w:rStyle w:val="150"/>
                <w:rFonts w:ascii="Times New Roman" w:hAnsi="Times New Roman" w:cs="Times New Roman"/>
                <w:color w:val="000000" w:themeColor="text1"/>
                <w:sz w:val="21"/>
                <w:szCs w:val="21"/>
              </w:rPr>
              <w:t>次</w:t>
            </w:r>
          </w:p>
        </w:tc>
        <w:tc>
          <w:tcPr>
            <w:tcW w:w="837" w:type="pct"/>
            <w:vMerge/>
            <w:tcBorders>
              <w:left w:val="single" w:sz="4" w:space="0" w:color="auto"/>
              <w:right w:val="single" w:sz="4" w:space="0" w:color="auto"/>
            </w:tcBorders>
            <w:vAlign w:val="center"/>
          </w:tcPr>
          <w:p w14:paraId="6E6A9BCC" w14:textId="77777777" w:rsidR="00A67F21" w:rsidRPr="00B12FE0" w:rsidRDefault="00A67F21">
            <w:pPr>
              <w:adjustRightInd w:val="0"/>
              <w:jc w:val="center"/>
              <w:rPr>
                <w:bCs/>
                <w:color w:val="000000" w:themeColor="text1"/>
                <w:kern w:val="0"/>
                <w:sz w:val="21"/>
                <w:szCs w:val="21"/>
              </w:rPr>
            </w:pPr>
          </w:p>
        </w:tc>
      </w:tr>
      <w:tr w:rsidR="00A67F21" w:rsidRPr="00B12FE0" w14:paraId="78354CDB" w14:textId="77777777">
        <w:trPr>
          <w:trHeight w:val="454"/>
          <w:jc w:val="center"/>
        </w:trPr>
        <w:tc>
          <w:tcPr>
            <w:tcW w:w="1138" w:type="pct"/>
            <w:vMerge/>
            <w:tcBorders>
              <w:left w:val="single" w:sz="4" w:space="0" w:color="auto"/>
              <w:right w:val="single" w:sz="4" w:space="0" w:color="auto"/>
            </w:tcBorders>
            <w:vAlign w:val="center"/>
          </w:tcPr>
          <w:p w14:paraId="7A6B6672" w14:textId="77777777" w:rsidR="00A67F21" w:rsidRPr="00B12FE0" w:rsidRDefault="00A67F21">
            <w:pPr>
              <w:adjustRightInd w:val="0"/>
              <w:jc w:val="center"/>
              <w:rPr>
                <w:bCs/>
                <w:color w:val="000000" w:themeColor="text1"/>
                <w:kern w:val="0"/>
                <w:sz w:val="21"/>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05462F16" w14:textId="77777777" w:rsidR="00A67F21" w:rsidRPr="00B12FE0" w:rsidRDefault="00000000">
            <w:pPr>
              <w:adjustRightInd w:val="0"/>
              <w:jc w:val="center"/>
              <w:rPr>
                <w:bCs/>
                <w:color w:val="000000" w:themeColor="text1"/>
                <w:kern w:val="0"/>
                <w:sz w:val="21"/>
                <w:szCs w:val="21"/>
              </w:rPr>
            </w:pPr>
            <w:r w:rsidRPr="00B12FE0">
              <w:rPr>
                <w:rStyle w:val="170"/>
                <w:rFonts w:ascii="Times New Roman" w:hAnsi="Times New Roman" w:cs="Times New Roman" w:hint="default"/>
                <w:color w:val="000000" w:themeColor="text1"/>
                <w:vertAlign w:val="superscript"/>
              </w:rPr>
              <w:t>99m</w:t>
            </w:r>
            <w:r w:rsidRPr="00B12FE0">
              <w:rPr>
                <w:rStyle w:val="160"/>
                <w:rFonts w:ascii="Times New Roman" w:hAnsi="Times New Roman" w:cs="Times New Roman" w:hint="default"/>
                <w:color w:val="000000" w:themeColor="text1"/>
                <w:sz w:val="21"/>
                <w:szCs w:val="21"/>
              </w:rPr>
              <w:t>Tc</w:t>
            </w:r>
            <w:r w:rsidRPr="00B12FE0">
              <w:rPr>
                <w:rStyle w:val="150"/>
                <w:rFonts w:ascii="Times New Roman" w:hAnsi="Times New Roman" w:cs="Times New Roman"/>
                <w:color w:val="000000" w:themeColor="text1"/>
                <w:sz w:val="21"/>
                <w:szCs w:val="21"/>
              </w:rPr>
              <w:t>药品测活</w:t>
            </w:r>
          </w:p>
        </w:tc>
        <w:tc>
          <w:tcPr>
            <w:tcW w:w="1528" w:type="pct"/>
            <w:tcBorders>
              <w:top w:val="single" w:sz="4" w:space="0" w:color="auto"/>
              <w:left w:val="single" w:sz="4" w:space="0" w:color="auto"/>
              <w:bottom w:val="single" w:sz="4" w:space="0" w:color="auto"/>
              <w:right w:val="single" w:sz="4" w:space="0" w:color="auto"/>
            </w:tcBorders>
            <w:vAlign w:val="center"/>
          </w:tcPr>
          <w:p w14:paraId="70890248" w14:textId="77777777" w:rsidR="00A67F21" w:rsidRPr="00B12FE0" w:rsidRDefault="00000000">
            <w:pPr>
              <w:adjustRightInd w:val="0"/>
              <w:jc w:val="center"/>
              <w:rPr>
                <w:bCs/>
                <w:color w:val="000000" w:themeColor="text1"/>
                <w:kern w:val="0"/>
                <w:sz w:val="21"/>
                <w:szCs w:val="21"/>
              </w:rPr>
            </w:pPr>
            <w:r w:rsidRPr="00B12FE0">
              <w:rPr>
                <w:rStyle w:val="160"/>
                <w:rFonts w:ascii="Times New Roman" w:hAnsi="Times New Roman" w:cs="Times New Roman" w:hint="default"/>
                <w:color w:val="000000" w:themeColor="text1"/>
                <w:sz w:val="21"/>
                <w:szCs w:val="21"/>
              </w:rPr>
              <w:t>30</w:t>
            </w:r>
            <w:r w:rsidRPr="00B12FE0">
              <w:rPr>
                <w:rStyle w:val="150"/>
                <w:rFonts w:ascii="Times New Roman" w:hAnsi="Times New Roman" w:cs="Times New Roman"/>
                <w:color w:val="000000" w:themeColor="text1"/>
                <w:sz w:val="21"/>
                <w:szCs w:val="21"/>
              </w:rPr>
              <w:t>秒</w:t>
            </w:r>
            <w:r w:rsidRPr="00B12FE0">
              <w:rPr>
                <w:rStyle w:val="160"/>
                <w:rFonts w:ascii="Times New Roman" w:hAnsi="Times New Roman" w:cs="Times New Roman" w:hint="default"/>
                <w:color w:val="000000" w:themeColor="text1"/>
                <w:sz w:val="21"/>
                <w:szCs w:val="21"/>
              </w:rPr>
              <w:t>/</w:t>
            </w:r>
            <w:r w:rsidRPr="00B12FE0">
              <w:rPr>
                <w:rStyle w:val="150"/>
                <w:rFonts w:ascii="Times New Roman" w:hAnsi="Times New Roman" w:cs="Times New Roman"/>
                <w:color w:val="000000" w:themeColor="text1"/>
                <w:sz w:val="21"/>
                <w:szCs w:val="21"/>
              </w:rPr>
              <w:t>次</w:t>
            </w:r>
          </w:p>
        </w:tc>
        <w:tc>
          <w:tcPr>
            <w:tcW w:w="837" w:type="pct"/>
            <w:vMerge/>
            <w:tcBorders>
              <w:left w:val="single" w:sz="4" w:space="0" w:color="auto"/>
              <w:right w:val="single" w:sz="4" w:space="0" w:color="auto"/>
            </w:tcBorders>
            <w:vAlign w:val="center"/>
          </w:tcPr>
          <w:p w14:paraId="53297333" w14:textId="77777777" w:rsidR="00A67F21" w:rsidRPr="00B12FE0" w:rsidRDefault="00A67F21">
            <w:pPr>
              <w:adjustRightInd w:val="0"/>
              <w:jc w:val="center"/>
              <w:rPr>
                <w:bCs/>
                <w:color w:val="000000" w:themeColor="text1"/>
                <w:kern w:val="0"/>
                <w:sz w:val="21"/>
                <w:szCs w:val="21"/>
              </w:rPr>
            </w:pPr>
          </w:p>
        </w:tc>
      </w:tr>
      <w:tr w:rsidR="00A67F21" w:rsidRPr="00B12FE0" w14:paraId="180CF815" w14:textId="77777777">
        <w:trPr>
          <w:trHeight w:val="454"/>
          <w:jc w:val="center"/>
        </w:trPr>
        <w:tc>
          <w:tcPr>
            <w:tcW w:w="1138" w:type="pct"/>
            <w:vMerge/>
            <w:tcBorders>
              <w:left w:val="single" w:sz="4" w:space="0" w:color="auto"/>
              <w:right w:val="single" w:sz="4" w:space="0" w:color="auto"/>
            </w:tcBorders>
            <w:vAlign w:val="center"/>
          </w:tcPr>
          <w:p w14:paraId="2FD26BE4" w14:textId="77777777" w:rsidR="00A67F21" w:rsidRPr="00B12FE0" w:rsidRDefault="00A67F21">
            <w:pPr>
              <w:adjustRightInd w:val="0"/>
              <w:jc w:val="center"/>
              <w:rPr>
                <w:bCs/>
                <w:color w:val="000000" w:themeColor="text1"/>
                <w:kern w:val="0"/>
                <w:sz w:val="21"/>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3681C6E5" w14:textId="77777777" w:rsidR="00A67F21" w:rsidRPr="00B12FE0" w:rsidRDefault="00000000">
            <w:pPr>
              <w:adjustRightInd w:val="0"/>
              <w:jc w:val="center"/>
              <w:rPr>
                <w:bCs/>
                <w:color w:val="000000" w:themeColor="text1"/>
                <w:kern w:val="0"/>
                <w:sz w:val="21"/>
                <w:szCs w:val="21"/>
              </w:rPr>
            </w:pPr>
            <w:r w:rsidRPr="00B12FE0">
              <w:rPr>
                <w:rStyle w:val="150"/>
                <w:rFonts w:ascii="Times New Roman" w:hAnsi="Times New Roman" w:cs="Times New Roman"/>
                <w:color w:val="000000" w:themeColor="text1"/>
                <w:sz w:val="21"/>
                <w:szCs w:val="21"/>
              </w:rPr>
              <w:t>给患者注</w:t>
            </w:r>
            <w:r w:rsidRPr="00B12FE0">
              <w:rPr>
                <w:rStyle w:val="150"/>
                <w:rFonts w:ascii="Times New Roman" w:hAnsi="Times New Roman" w:cs="Times New Roman" w:hint="eastAsia"/>
                <w:color w:val="000000" w:themeColor="text1"/>
                <w:sz w:val="21"/>
                <w:szCs w:val="21"/>
              </w:rPr>
              <w:t>射</w:t>
            </w:r>
            <w:r w:rsidRPr="00B12FE0">
              <w:rPr>
                <w:rFonts w:hint="eastAsia"/>
                <w:color w:val="000000" w:themeColor="text1"/>
                <w:kern w:val="0"/>
                <w:sz w:val="21"/>
                <w:szCs w:val="21"/>
                <w:vertAlign w:val="superscript"/>
              </w:rPr>
              <w:t>18</w:t>
            </w:r>
            <w:r w:rsidRPr="00B12FE0">
              <w:rPr>
                <w:rFonts w:hint="eastAsia"/>
                <w:color w:val="000000" w:themeColor="text1"/>
                <w:kern w:val="0"/>
                <w:sz w:val="21"/>
                <w:szCs w:val="21"/>
              </w:rPr>
              <w:t>F</w:t>
            </w:r>
          </w:p>
        </w:tc>
        <w:tc>
          <w:tcPr>
            <w:tcW w:w="1528" w:type="pct"/>
            <w:tcBorders>
              <w:top w:val="single" w:sz="4" w:space="0" w:color="auto"/>
              <w:left w:val="single" w:sz="4" w:space="0" w:color="auto"/>
              <w:bottom w:val="single" w:sz="4" w:space="0" w:color="auto"/>
              <w:right w:val="single" w:sz="4" w:space="0" w:color="auto"/>
            </w:tcBorders>
            <w:vAlign w:val="center"/>
          </w:tcPr>
          <w:p w14:paraId="2BB81A75" w14:textId="77777777" w:rsidR="00A67F21" w:rsidRPr="00B12FE0" w:rsidRDefault="00000000">
            <w:pPr>
              <w:adjustRightInd w:val="0"/>
              <w:jc w:val="center"/>
              <w:rPr>
                <w:bCs/>
                <w:color w:val="000000" w:themeColor="text1"/>
                <w:kern w:val="0"/>
                <w:sz w:val="21"/>
                <w:szCs w:val="21"/>
              </w:rPr>
            </w:pPr>
            <w:r w:rsidRPr="00B12FE0">
              <w:rPr>
                <w:rStyle w:val="160"/>
                <w:rFonts w:ascii="Times New Roman" w:hAnsi="Times New Roman" w:cs="Times New Roman" w:hint="default"/>
                <w:color w:val="000000" w:themeColor="text1"/>
                <w:sz w:val="21"/>
                <w:szCs w:val="21"/>
              </w:rPr>
              <w:t>30</w:t>
            </w:r>
            <w:r w:rsidRPr="00B12FE0">
              <w:rPr>
                <w:rStyle w:val="150"/>
                <w:rFonts w:ascii="Times New Roman" w:hAnsi="Times New Roman" w:cs="Times New Roman"/>
                <w:color w:val="000000" w:themeColor="text1"/>
                <w:sz w:val="21"/>
                <w:szCs w:val="21"/>
              </w:rPr>
              <w:t>秒</w:t>
            </w:r>
            <w:r w:rsidRPr="00B12FE0">
              <w:rPr>
                <w:rStyle w:val="160"/>
                <w:rFonts w:ascii="Times New Roman" w:hAnsi="Times New Roman" w:cs="Times New Roman" w:hint="default"/>
                <w:color w:val="000000" w:themeColor="text1"/>
                <w:sz w:val="21"/>
                <w:szCs w:val="21"/>
              </w:rPr>
              <w:t>/</w:t>
            </w:r>
            <w:r w:rsidRPr="00B12FE0">
              <w:rPr>
                <w:rStyle w:val="150"/>
                <w:rFonts w:ascii="Times New Roman" w:hAnsi="Times New Roman" w:cs="Times New Roman"/>
                <w:color w:val="000000" w:themeColor="text1"/>
                <w:sz w:val="21"/>
                <w:szCs w:val="21"/>
              </w:rPr>
              <w:t>次</w:t>
            </w:r>
          </w:p>
        </w:tc>
        <w:tc>
          <w:tcPr>
            <w:tcW w:w="837" w:type="pct"/>
            <w:vMerge/>
            <w:tcBorders>
              <w:left w:val="single" w:sz="4" w:space="0" w:color="auto"/>
              <w:right w:val="single" w:sz="4" w:space="0" w:color="auto"/>
            </w:tcBorders>
            <w:vAlign w:val="center"/>
          </w:tcPr>
          <w:p w14:paraId="50DBB71F" w14:textId="77777777" w:rsidR="00A67F21" w:rsidRPr="00B12FE0" w:rsidRDefault="00A67F21">
            <w:pPr>
              <w:adjustRightInd w:val="0"/>
              <w:jc w:val="center"/>
              <w:rPr>
                <w:bCs/>
                <w:color w:val="000000" w:themeColor="text1"/>
                <w:kern w:val="0"/>
                <w:sz w:val="21"/>
                <w:szCs w:val="21"/>
              </w:rPr>
            </w:pPr>
          </w:p>
        </w:tc>
      </w:tr>
      <w:tr w:rsidR="00A67F21" w:rsidRPr="00B12FE0" w14:paraId="1DED889A" w14:textId="77777777">
        <w:trPr>
          <w:trHeight w:val="454"/>
          <w:jc w:val="center"/>
        </w:trPr>
        <w:tc>
          <w:tcPr>
            <w:tcW w:w="1138" w:type="pct"/>
            <w:vMerge/>
            <w:tcBorders>
              <w:left w:val="single" w:sz="4" w:space="0" w:color="auto"/>
              <w:right w:val="single" w:sz="4" w:space="0" w:color="auto"/>
            </w:tcBorders>
            <w:vAlign w:val="center"/>
          </w:tcPr>
          <w:p w14:paraId="4495EC9C" w14:textId="77777777" w:rsidR="00A67F21" w:rsidRPr="00B12FE0" w:rsidRDefault="00A67F21">
            <w:pPr>
              <w:adjustRightInd w:val="0"/>
              <w:jc w:val="center"/>
              <w:rPr>
                <w:bCs/>
                <w:color w:val="000000" w:themeColor="text1"/>
                <w:kern w:val="0"/>
                <w:sz w:val="21"/>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46A2F23D" w14:textId="77777777" w:rsidR="00A67F21" w:rsidRPr="00B12FE0" w:rsidRDefault="00000000">
            <w:pPr>
              <w:adjustRightInd w:val="0"/>
              <w:jc w:val="center"/>
              <w:rPr>
                <w:bCs/>
                <w:color w:val="000000" w:themeColor="text1"/>
                <w:kern w:val="0"/>
                <w:sz w:val="21"/>
                <w:szCs w:val="21"/>
              </w:rPr>
            </w:pPr>
            <w:r w:rsidRPr="00B12FE0">
              <w:rPr>
                <w:rStyle w:val="150"/>
                <w:rFonts w:ascii="Times New Roman" w:hAnsi="Times New Roman" w:cs="Times New Roman"/>
                <w:color w:val="000000" w:themeColor="text1"/>
                <w:sz w:val="21"/>
                <w:szCs w:val="21"/>
              </w:rPr>
              <w:t>给患者注射</w:t>
            </w:r>
            <w:r w:rsidRPr="00B12FE0">
              <w:rPr>
                <w:rStyle w:val="170"/>
                <w:rFonts w:ascii="Times New Roman" w:hAnsi="Times New Roman" w:cs="Times New Roman" w:hint="default"/>
                <w:color w:val="000000" w:themeColor="text1"/>
                <w:vertAlign w:val="superscript"/>
              </w:rPr>
              <w:t>99m</w:t>
            </w:r>
            <w:r w:rsidRPr="00B12FE0">
              <w:rPr>
                <w:rStyle w:val="160"/>
                <w:rFonts w:ascii="Times New Roman" w:hAnsi="Times New Roman" w:cs="Times New Roman" w:hint="default"/>
                <w:color w:val="000000" w:themeColor="text1"/>
                <w:sz w:val="21"/>
                <w:szCs w:val="21"/>
              </w:rPr>
              <w:t>Tc</w:t>
            </w:r>
          </w:p>
        </w:tc>
        <w:tc>
          <w:tcPr>
            <w:tcW w:w="1528" w:type="pct"/>
            <w:tcBorders>
              <w:top w:val="single" w:sz="4" w:space="0" w:color="auto"/>
              <w:left w:val="single" w:sz="4" w:space="0" w:color="auto"/>
              <w:bottom w:val="single" w:sz="4" w:space="0" w:color="auto"/>
              <w:right w:val="single" w:sz="4" w:space="0" w:color="auto"/>
            </w:tcBorders>
            <w:vAlign w:val="center"/>
          </w:tcPr>
          <w:p w14:paraId="7433F8A1" w14:textId="77777777" w:rsidR="00A67F21" w:rsidRPr="00B12FE0" w:rsidRDefault="00000000">
            <w:pPr>
              <w:adjustRightInd w:val="0"/>
              <w:jc w:val="center"/>
              <w:rPr>
                <w:bCs/>
                <w:color w:val="000000" w:themeColor="text1"/>
                <w:kern w:val="0"/>
                <w:sz w:val="21"/>
                <w:szCs w:val="21"/>
              </w:rPr>
            </w:pPr>
            <w:r w:rsidRPr="00B12FE0">
              <w:rPr>
                <w:rStyle w:val="160"/>
                <w:rFonts w:ascii="Times New Roman" w:hAnsi="Times New Roman" w:cs="Times New Roman" w:hint="default"/>
                <w:color w:val="000000" w:themeColor="text1"/>
                <w:sz w:val="21"/>
                <w:szCs w:val="21"/>
              </w:rPr>
              <w:t>30</w:t>
            </w:r>
            <w:r w:rsidRPr="00B12FE0">
              <w:rPr>
                <w:rStyle w:val="150"/>
                <w:rFonts w:ascii="Times New Roman" w:hAnsi="Times New Roman" w:cs="Times New Roman"/>
                <w:color w:val="000000" w:themeColor="text1"/>
                <w:sz w:val="21"/>
                <w:szCs w:val="21"/>
              </w:rPr>
              <w:t>秒</w:t>
            </w:r>
            <w:r w:rsidRPr="00B12FE0">
              <w:rPr>
                <w:rStyle w:val="160"/>
                <w:rFonts w:ascii="Times New Roman" w:hAnsi="Times New Roman" w:cs="Times New Roman" w:hint="default"/>
                <w:color w:val="000000" w:themeColor="text1"/>
                <w:sz w:val="21"/>
                <w:szCs w:val="21"/>
              </w:rPr>
              <w:t>/</w:t>
            </w:r>
            <w:r w:rsidRPr="00B12FE0">
              <w:rPr>
                <w:rStyle w:val="150"/>
                <w:rFonts w:ascii="Times New Roman" w:hAnsi="Times New Roman" w:cs="Times New Roman"/>
                <w:color w:val="000000" w:themeColor="text1"/>
                <w:sz w:val="21"/>
                <w:szCs w:val="21"/>
              </w:rPr>
              <w:t>次</w:t>
            </w:r>
          </w:p>
        </w:tc>
        <w:tc>
          <w:tcPr>
            <w:tcW w:w="837" w:type="pct"/>
            <w:vMerge/>
            <w:tcBorders>
              <w:left w:val="single" w:sz="4" w:space="0" w:color="auto"/>
              <w:right w:val="single" w:sz="4" w:space="0" w:color="auto"/>
            </w:tcBorders>
            <w:vAlign w:val="center"/>
          </w:tcPr>
          <w:p w14:paraId="08D63CF7" w14:textId="77777777" w:rsidR="00A67F21" w:rsidRPr="00B12FE0" w:rsidRDefault="00A67F21">
            <w:pPr>
              <w:adjustRightInd w:val="0"/>
              <w:jc w:val="center"/>
              <w:rPr>
                <w:bCs/>
                <w:color w:val="000000" w:themeColor="text1"/>
                <w:kern w:val="0"/>
                <w:sz w:val="21"/>
                <w:szCs w:val="21"/>
              </w:rPr>
            </w:pPr>
          </w:p>
        </w:tc>
      </w:tr>
      <w:tr w:rsidR="00A67F21" w:rsidRPr="00B12FE0" w14:paraId="7E622A55" w14:textId="77777777">
        <w:trPr>
          <w:trHeight w:val="454"/>
          <w:jc w:val="center"/>
        </w:trPr>
        <w:tc>
          <w:tcPr>
            <w:tcW w:w="1138" w:type="pct"/>
            <w:vMerge/>
            <w:tcBorders>
              <w:left w:val="single" w:sz="4" w:space="0" w:color="auto"/>
              <w:right w:val="single" w:sz="4" w:space="0" w:color="auto"/>
            </w:tcBorders>
            <w:vAlign w:val="center"/>
          </w:tcPr>
          <w:p w14:paraId="3C9E509D" w14:textId="77777777" w:rsidR="00A67F21" w:rsidRPr="00B12FE0" w:rsidRDefault="00A67F21">
            <w:pPr>
              <w:adjustRightInd w:val="0"/>
              <w:jc w:val="center"/>
              <w:rPr>
                <w:bCs/>
                <w:color w:val="000000" w:themeColor="text1"/>
                <w:kern w:val="0"/>
                <w:sz w:val="21"/>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20877A9E" w14:textId="77777777" w:rsidR="00A67F21" w:rsidRPr="00B12FE0" w:rsidRDefault="00000000">
            <w:pPr>
              <w:adjustRightInd w:val="0"/>
              <w:jc w:val="center"/>
              <w:rPr>
                <w:rStyle w:val="150"/>
                <w:rFonts w:ascii="Times New Roman" w:hAnsi="Times New Roman" w:cs="Times New Roman"/>
                <w:color w:val="000000" w:themeColor="text1"/>
                <w:sz w:val="21"/>
                <w:szCs w:val="21"/>
              </w:rPr>
            </w:pPr>
            <w:r w:rsidRPr="00B12FE0">
              <w:rPr>
                <w:rFonts w:hint="eastAsia"/>
                <w:bCs/>
                <w:color w:val="000000" w:themeColor="text1"/>
                <w:sz w:val="21"/>
                <w:szCs w:val="21"/>
              </w:rPr>
              <w:t>远程操控</w:t>
            </w:r>
            <w:r w:rsidRPr="00B12FE0">
              <w:rPr>
                <w:bCs/>
                <w:color w:val="000000" w:themeColor="text1"/>
                <w:sz w:val="21"/>
                <w:szCs w:val="21"/>
              </w:rPr>
              <w:t>药品自动分装</w:t>
            </w:r>
            <w:r w:rsidRPr="00B12FE0">
              <w:rPr>
                <w:rFonts w:hint="eastAsia"/>
                <w:bCs/>
                <w:color w:val="000000" w:themeColor="text1"/>
                <w:sz w:val="21"/>
                <w:szCs w:val="21"/>
              </w:rPr>
              <w:t>，并</w:t>
            </w:r>
            <w:r w:rsidRPr="00B12FE0">
              <w:rPr>
                <w:bCs/>
                <w:color w:val="000000" w:themeColor="text1"/>
                <w:kern w:val="0"/>
                <w:sz w:val="21"/>
                <w:szCs w:val="21"/>
              </w:rPr>
              <w:t>指导患者在</w:t>
            </w:r>
            <w:proofErr w:type="gramStart"/>
            <w:r w:rsidRPr="00B12FE0">
              <w:rPr>
                <w:rFonts w:hint="eastAsia"/>
                <w:bCs/>
                <w:color w:val="000000" w:themeColor="text1"/>
                <w:kern w:val="0"/>
                <w:sz w:val="21"/>
                <w:szCs w:val="21"/>
              </w:rPr>
              <w:t>服碘</w:t>
            </w:r>
            <w:r w:rsidRPr="00B12FE0">
              <w:rPr>
                <w:bCs/>
                <w:color w:val="000000" w:themeColor="text1"/>
                <w:kern w:val="0"/>
                <w:sz w:val="21"/>
                <w:szCs w:val="21"/>
              </w:rPr>
              <w:t>室</w:t>
            </w:r>
            <w:proofErr w:type="gramEnd"/>
            <w:r w:rsidRPr="00B12FE0">
              <w:rPr>
                <w:bCs/>
                <w:color w:val="000000" w:themeColor="text1"/>
                <w:kern w:val="0"/>
                <w:sz w:val="21"/>
                <w:szCs w:val="21"/>
              </w:rPr>
              <w:t>服药</w:t>
            </w:r>
          </w:p>
        </w:tc>
        <w:tc>
          <w:tcPr>
            <w:tcW w:w="1528" w:type="pct"/>
            <w:tcBorders>
              <w:top w:val="single" w:sz="4" w:space="0" w:color="auto"/>
              <w:left w:val="single" w:sz="4" w:space="0" w:color="auto"/>
              <w:bottom w:val="single" w:sz="4" w:space="0" w:color="auto"/>
              <w:right w:val="single" w:sz="4" w:space="0" w:color="auto"/>
            </w:tcBorders>
            <w:vAlign w:val="center"/>
          </w:tcPr>
          <w:p w14:paraId="0877C23D" w14:textId="77777777" w:rsidR="00A67F21" w:rsidRPr="00B12FE0" w:rsidRDefault="00000000">
            <w:pPr>
              <w:adjustRightInd w:val="0"/>
              <w:jc w:val="center"/>
              <w:rPr>
                <w:rStyle w:val="160"/>
                <w:rFonts w:ascii="Times New Roman" w:hAnsi="Times New Roman" w:cs="Times New Roman" w:hint="default"/>
                <w:color w:val="000000" w:themeColor="text1"/>
                <w:sz w:val="21"/>
                <w:szCs w:val="21"/>
              </w:rPr>
            </w:pPr>
            <w:r w:rsidRPr="00B12FE0">
              <w:rPr>
                <w:bCs/>
                <w:color w:val="000000" w:themeColor="text1"/>
                <w:kern w:val="0"/>
                <w:sz w:val="21"/>
                <w:szCs w:val="21"/>
              </w:rPr>
              <w:t>1</w:t>
            </w:r>
            <w:r w:rsidRPr="00B12FE0">
              <w:rPr>
                <w:rFonts w:hint="eastAsia"/>
                <w:bCs/>
                <w:color w:val="000000" w:themeColor="text1"/>
                <w:kern w:val="0"/>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tcBorders>
              <w:left w:val="single" w:sz="4" w:space="0" w:color="auto"/>
              <w:right w:val="single" w:sz="4" w:space="0" w:color="auto"/>
            </w:tcBorders>
            <w:vAlign w:val="center"/>
          </w:tcPr>
          <w:p w14:paraId="75635288" w14:textId="77777777" w:rsidR="00A67F21" w:rsidRPr="00B12FE0" w:rsidRDefault="00A67F21">
            <w:pPr>
              <w:adjustRightInd w:val="0"/>
              <w:jc w:val="center"/>
              <w:rPr>
                <w:bCs/>
                <w:color w:val="000000" w:themeColor="text1"/>
                <w:kern w:val="0"/>
                <w:sz w:val="21"/>
                <w:szCs w:val="21"/>
              </w:rPr>
            </w:pPr>
          </w:p>
        </w:tc>
      </w:tr>
      <w:tr w:rsidR="00A67F21" w:rsidRPr="00B12FE0" w14:paraId="781071F4" w14:textId="77777777">
        <w:trPr>
          <w:trHeight w:val="454"/>
          <w:jc w:val="center"/>
        </w:trPr>
        <w:tc>
          <w:tcPr>
            <w:tcW w:w="1138" w:type="pct"/>
            <w:vMerge/>
            <w:tcBorders>
              <w:left w:val="single" w:sz="4" w:space="0" w:color="auto"/>
              <w:bottom w:val="single" w:sz="4" w:space="0" w:color="auto"/>
              <w:right w:val="single" w:sz="4" w:space="0" w:color="auto"/>
            </w:tcBorders>
            <w:vAlign w:val="center"/>
          </w:tcPr>
          <w:p w14:paraId="16FEF3B2" w14:textId="77777777" w:rsidR="00A67F21" w:rsidRPr="00B12FE0" w:rsidRDefault="00A67F21">
            <w:pPr>
              <w:adjustRightInd w:val="0"/>
              <w:jc w:val="center"/>
              <w:rPr>
                <w:bCs/>
                <w:color w:val="000000" w:themeColor="text1"/>
                <w:kern w:val="0"/>
                <w:sz w:val="21"/>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4DD7AE08" w14:textId="77777777" w:rsidR="00A67F21" w:rsidRPr="00B12FE0" w:rsidRDefault="00000000">
            <w:pPr>
              <w:adjustRightInd w:val="0"/>
              <w:jc w:val="center"/>
              <w:rPr>
                <w:bCs/>
                <w:color w:val="000000" w:themeColor="text1"/>
                <w:sz w:val="21"/>
                <w:szCs w:val="21"/>
              </w:rPr>
            </w:pPr>
            <w:proofErr w:type="gramStart"/>
            <w:r w:rsidRPr="00B12FE0">
              <w:rPr>
                <w:rFonts w:hint="eastAsia"/>
                <w:bCs/>
                <w:color w:val="000000" w:themeColor="text1"/>
                <w:kern w:val="0"/>
                <w:sz w:val="21"/>
                <w:szCs w:val="21"/>
              </w:rPr>
              <w:t>将铅罐安装</w:t>
            </w:r>
            <w:proofErr w:type="gramEnd"/>
            <w:r w:rsidRPr="00B12FE0">
              <w:rPr>
                <w:rFonts w:hint="eastAsia"/>
                <w:bCs/>
                <w:color w:val="000000" w:themeColor="text1"/>
                <w:kern w:val="0"/>
                <w:sz w:val="21"/>
                <w:szCs w:val="21"/>
              </w:rPr>
              <w:t>到自动</w:t>
            </w:r>
            <w:proofErr w:type="gramStart"/>
            <w:r w:rsidRPr="00B12FE0">
              <w:rPr>
                <w:rFonts w:hint="eastAsia"/>
                <w:bCs/>
                <w:color w:val="000000" w:themeColor="text1"/>
                <w:kern w:val="0"/>
                <w:sz w:val="21"/>
                <w:szCs w:val="21"/>
              </w:rPr>
              <w:t>分碘仪</w:t>
            </w:r>
            <w:proofErr w:type="gramEnd"/>
          </w:p>
        </w:tc>
        <w:tc>
          <w:tcPr>
            <w:tcW w:w="1528" w:type="pct"/>
            <w:tcBorders>
              <w:top w:val="single" w:sz="4" w:space="0" w:color="auto"/>
              <w:left w:val="single" w:sz="4" w:space="0" w:color="auto"/>
              <w:bottom w:val="single" w:sz="4" w:space="0" w:color="auto"/>
              <w:right w:val="single" w:sz="4" w:space="0" w:color="auto"/>
            </w:tcBorders>
            <w:vAlign w:val="center"/>
          </w:tcPr>
          <w:p w14:paraId="663C55DA" w14:textId="77777777" w:rsidR="00A67F21" w:rsidRPr="00B12FE0" w:rsidRDefault="00000000">
            <w:pPr>
              <w:adjustRightInd w:val="0"/>
              <w:jc w:val="center"/>
              <w:rPr>
                <w:bCs/>
                <w:color w:val="000000" w:themeColor="text1"/>
                <w:kern w:val="0"/>
                <w:sz w:val="21"/>
                <w:szCs w:val="21"/>
              </w:rPr>
            </w:pPr>
            <w:r w:rsidRPr="00B12FE0">
              <w:rPr>
                <w:bCs/>
                <w:color w:val="000000" w:themeColor="text1"/>
                <w:kern w:val="0"/>
                <w:sz w:val="21"/>
                <w:szCs w:val="21"/>
              </w:rPr>
              <w:t>4</w:t>
            </w:r>
            <w:r w:rsidRPr="00B12FE0">
              <w:rPr>
                <w:rFonts w:hint="eastAsia"/>
                <w:bCs/>
                <w:color w:val="000000" w:themeColor="text1"/>
                <w:kern w:val="0"/>
                <w:sz w:val="21"/>
                <w:szCs w:val="21"/>
              </w:rPr>
              <w:t>分钟</w:t>
            </w:r>
            <w:r w:rsidRPr="00B12FE0">
              <w:rPr>
                <w:rFonts w:hint="eastAsia"/>
                <w:bCs/>
                <w:color w:val="000000" w:themeColor="text1"/>
                <w:kern w:val="0"/>
                <w:sz w:val="21"/>
                <w:szCs w:val="21"/>
              </w:rPr>
              <w:t>/</w:t>
            </w:r>
            <w:r w:rsidRPr="00B12FE0">
              <w:rPr>
                <w:rFonts w:hint="eastAsia"/>
                <w:bCs/>
                <w:color w:val="000000" w:themeColor="text1"/>
                <w:kern w:val="0"/>
                <w:sz w:val="21"/>
                <w:szCs w:val="21"/>
              </w:rPr>
              <w:t>次</w:t>
            </w:r>
          </w:p>
        </w:tc>
        <w:tc>
          <w:tcPr>
            <w:tcW w:w="837" w:type="pct"/>
            <w:vMerge/>
            <w:tcBorders>
              <w:left w:val="single" w:sz="4" w:space="0" w:color="auto"/>
              <w:right w:val="single" w:sz="4" w:space="0" w:color="auto"/>
            </w:tcBorders>
            <w:vAlign w:val="center"/>
          </w:tcPr>
          <w:p w14:paraId="33B66A15" w14:textId="77777777" w:rsidR="00A67F21" w:rsidRPr="00B12FE0" w:rsidRDefault="00A67F21">
            <w:pPr>
              <w:adjustRightInd w:val="0"/>
              <w:jc w:val="center"/>
              <w:rPr>
                <w:bCs/>
                <w:color w:val="000000" w:themeColor="text1"/>
                <w:kern w:val="0"/>
                <w:sz w:val="21"/>
                <w:szCs w:val="21"/>
              </w:rPr>
            </w:pPr>
          </w:p>
        </w:tc>
      </w:tr>
      <w:tr w:rsidR="00A67F21" w:rsidRPr="00B12FE0" w14:paraId="13E427AC"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29F0A50A" w14:textId="77777777" w:rsidR="00A67F21" w:rsidRPr="00B12FE0" w:rsidRDefault="00000000">
            <w:pPr>
              <w:adjustRightInd w:val="0"/>
              <w:jc w:val="center"/>
              <w:rPr>
                <w:bCs/>
                <w:color w:val="000000" w:themeColor="text1"/>
                <w:kern w:val="0"/>
                <w:sz w:val="21"/>
                <w:szCs w:val="21"/>
              </w:rPr>
            </w:pPr>
            <w:r w:rsidRPr="00B12FE0">
              <w:rPr>
                <w:bCs/>
                <w:color w:val="000000" w:themeColor="text1"/>
                <w:kern w:val="0"/>
                <w:sz w:val="21"/>
                <w:szCs w:val="21"/>
              </w:rPr>
              <w:t>运动负荷室</w:t>
            </w:r>
          </w:p>
        </w:tc>
        <w:tc>
          <w:tcPr>
            <w:tcW w:w="1497" w:type="pct"/>
            <w:tcBorders>
              <w:top w:val="single" w:sz="4" w:space="0" w:color="auto"/>
              <w:left w:val="single" w:sz="4" w:space="0" w:color="auto"/>
              <w:bottom w:val="single" w:sz="4" w:space="0" w:color="auto"/>
              <w:right w:val="single" w:sz="4" w:space="0" w:color="auto"/>
            </w:tcBorders>
            <w:vAlign w:val="center"/>
          </w:tcPr>
          <w:p w14:paraId="0FF82CCE" w14:textId="77777777" w:rsidR="00A67F21" w:rsidRPr="00B12FE0" w:rsidRDefault="00000000">
            <w:pPr>
              <w:adjustRightInd w:val="0"/>
              <w:jc w:val="center"/>
              <w:rPr>
                <w:bCs/>
                <w:color w:val="000000" w:themeColor="text1"/>
                <w:kern w:val="0"/>
                <w:sz w:val="21"/>
                <w:szCs w:val="21"/>
              </w:rPr>
            </w:pPr>
            <w:r w:rsidRPr="00B12FE0">
              <w:rPr>
                <w:bCs/>
                <w:color w:val="000000" w:themeColor="text1"/>
                <w:sz w:val="21"/>
                <w:szCs w:val="21"/>
              </w:rPr>
              <w:t>给患者注射</w:t>
            </w:r>
            <w:r w:rsidRPr="00B12FE0">
              <w:rPr>
                <w:bCs/>
                <w:color w:val="000000" w:themeColor="text1"/>
                <w:sz w:val="21"/>
                <w:szCs w:val="21"/>
                <w:vertAlign w:val="superscript"/>
              </w:rPr>
              <w:t>99m</w:t>
            </w:r>
            <w:r w:rsidRPr="00B12FE0">
              <w:rPr>
                <w:bCs/>
                <w:color w:val="000000" w:themeColor="text1"/>
                <w:sz w:val="21"/>
                <w:szCs w:val="21"/>
              </w:rPr>
              <w:t>Tc</w:t>
            </w:r>
            <w:r w:rsidRPr="00B12FE0">
              <w:rPr>
                <w:bCs/>
                <w:color w:val="000000" w:themeColor="text1"/>
                <w:sz w:val="21"/>
                <w:szCs w:val="21"/>
              </w:rPr>
              <w:t>药物</w:t>
            </w:r>
          </w:p>
        </w:tc>
        <w:tc>
          <w:tcPr>
            <w:tcW w:w="1528" w:type="pct"/>
            <w:tcBorders>
              <w:top w:val="single" w:sz="4" w:space="0" w:color="auto"/>
              <w:left w:val="single" w:sz="4" w:space="0" w:color="auto"/>
              <w:bottom w:val="single" w:sz="4" w:space="0" w:color="auto"/>
              <w:right w:val="single" w:sz="4" w:space="0" w:color="auto"/>
            </w:tcBorders>
            <w:vAlign w:val="center"/>
          </w:tcPr>
          <w:p w14:paraId="3EDB88D8" w14:textId="77777777" w:rsidR="00A67F21" w:rsidRPr="00B12FE0" w:rsidRDefault="00000000">
            <w:pPr>
              <w:adjustRightInd w:val="0"/>
              <w:jc w:val="center"/>
              <w:rPr>
                <w:bCs/>
                <w:color w:val="000000" w:themeColor="text1"/>
                <w:kern w:val="0"/>
                <w:sz w:val="21"/>
                <w:szCs w:val="21"/>
              </w:rPr>
            </w:pPr>
            <w:r w:rsidRPr="00B12FE0">
              <w:rPr>
                <w:bCs/>
                <w:color w:val="000000" w:themeColor="text1"/>
                <w:sz w:val="21"/>
                <w:szCs w:val="21"/>
              </w:rPr>
              <w:t>30</w:t>
            </w:r>
            <w:r w:rsidRPr="00B12FE0">
              <w:rPr>
                <w:bCs/>
                <w:color w:val="000000" w:themeColor="text1"/>
                <w:sz w:val="21"/>
                <w:szCs w:val="21"/>
              </w:rPr>
              <w:t>秒</w:t>
            </w:r>
            <w:r w:rsidRPr="00B12FE0">
              <w:rPr>
                <w:bCs/>
                <w:color w:val="000000" w:themeColor="text1"/>
                <w:sz w:val="21"/>
                <w:szCs w:val="21"/>
              </w:rPr>
              <w:t>/</w:t>
            </w:r>
            <w:r w:rsidRPr="00B12FE0">
              <w:rPr>
                <w:bCs/>
                <w:color w:val="000000" w:themeColor="text1"/>
                <w:sz w:val="21"/>
                <w:szCs w:val="21"/>
              </w:rPr>
              <w:t>次</w:t>
            </w:r>
          </w:p>
        </w:tc>
        <w:tc>
          <w:tcPr>
            <w:tcW w:w="837" w:type="pct"/>
            <w:vMerge/>
            <w:tcBorders>
              <w:left w:val="single" w:sz="4" w:space="0" w:color="auto"/>
              <w:right w:val="single" w:sz="4" w:space="0" w:color="auto"/>
            </w:tcBorders>
            <w:vAlign w:val="center"/>
          </w:tcPr>
          <w:p w14:paraId="071D8E2E" w14:textId="77777777" w:rsidR="00A67F21" w:rsidRPr="00B12FE0" w:rsidRDefault="00A67F21">
            <w:pPr>
              <w:adjustRightInd w:val="0"/>
              <w:jc w:val="center"/>
              <w:rPr>
                <w:bCs/>
                <w:color w:val="000000" w:themeColor="text1"/>
                <w:kern w:val="0"/>
                <w:sz w:val="21"/>
                <w:szCs w:val="21"/>
              </w:rPr>
            </w:pPr>
          </w:p>
        </w:tc>
      </w:tr>
      <w:tr w:rsidR="00A67F21" w:rsidRPr="00B12FE0" w14:paraId="53653A95" w14:textId="77777777">
        <w:trPr>
          <w:trHeight w:val="454"/>
          <w:jc w:val="center"/>
        </w:trPr>
        <w:tc>
          <w:tcPr>
            <w:tcW w:w="1138" w:type="pct"/>
            <w:tcBorders>
              <w:left w:val="single" w:sz="4" w:space="0" w:color="auto"/>
              <w:bottom w:val="single" w:sz="4" w:space="0" w:color="auto"/>
              <w:right w:val="single" w:sz="4" w:space="0" w:color="auto"/>
            </w:tcBorders>
            <w:vAlign w:val="center"/>
          </w:tcPr>
          <w:p w14:paraId="32D2A45D" w14:textId="77777777" w:rsidR="00A67F21" w:rsidRPr="00B12FE0" w:rsidRDefault="00000000">
            <w:pPr>
              <w:adjustRightInd w:val="0"/>
              <w:jc w:val="center"/>
              <w:rPr>
                <w:bCs/>
                <w:color w:val="000000" w:themeColor="text1"/>
                <w:sz w:val="21"/>
                <w:szCs w:val="21"/>
              </w:rPr>
            </w:pPr>
            <w:proofErr w:type="gramStart"/>
            <w:r w:rsidRPr="00B12FE0">
              <w:rPr>
                <w:bCs/>
                <w:color w:val="000000" w:themeColor="text1"/>
                <w:sz w:val="21"/>
                <w:szCs w:val="21"/>
              </w:rPr>
              <w:t>敷贴室</w:t>
            </w:r>
            <w:proofErr w:type="gramEnd"/>
          </w:p>
        </w:tc>
        <w:tc>
          <w:tcPr>
            <w:tcW w:w="1497" w:type="pct"/>
            <w:tcBorders>
              <w:top w:val="single" w:sz="4" w:space="0" w:color="auto"/>
              <w:left w:val="single" w:sz="4" w:space="0" w:color="auto"/>
              <w:bottom w:val="single" w:sz="4" w:space="0" w:color="auto"/>
              <w:right w:val="single" w:sz="4" w:space="0" w:color="auto"/>
            </w:tcBorders>
            <w:vAlign w:val="center"/>
          </w:tcPr>
          <w:p w14:paraId="55F84413" w14:textId="77777777" w:rsidR="00A67F21" w:rsidRPr="00B12FE0" w:rsidRDefault="00000000">
            <w:pPr>
              <w:adjustRightInd w:val="0"/>
              <w:jc w:val="center"/>
              <w:rPr>
                <w:bCs/>
                <w:color w:val="000000" w:themeColor="text1"/>
                <w:sz w:val="21"/>
                <w:szCs w:val="21"/>
              </w:rPr>
            </w:pPr>
            <w:r w:rsidRPr="00B12FE0">
              <w:rPr>
                <w:rFonts w:hint="eastAsia"/>
                <w:color w:val="000000" w:themeColor="text1"/>
                <w:sz w:val="21"/>
                <w:szCs w:val="21"/>
              </w:rPr>
              <w:t>敷贴制备</w:t>
            </w:r>
          </w:p>
        </w:tc>
        <w:tc>
          <w:tcPr>
            <w:tcW w:w="1528" w:type="pct"/>
            <w:tcBorders>
              <w:top w:val="single" w:sz="4" w:space="0" w:color="auto"/>
              <w:left w:val="single" w:sz="4" w:space="0" w:color="auto"/>
              <w:bottom w:val="single" w:sz="4" w:space="0" w:color="auto"/>
              <w:right w:val="single" w:sz="4" w:space="0" w:color="auto"/>
            </w:tcBorders>
            <w:vAlign w:val="center"/>
          </w:tcPr>
          <w:p w14:paraId="305860E6" w14:textId="77777777" w:rsidR="00A67F21" w:rsidRPr="00B12FE0" w:rsidRDefault="00000000">
            <w:pPr>
              <w:widowControl/>
              <w:jc w:val="center"/>
              <w:rPr>
                <w:bCs/>
                <w:color w:val="000000" w:themeColor="text1"/>
                <w:sz w:val="21"/>
                <w:szCs w:val="21"/>
              </w:rPr>
            </w:pPr>
            <w:r w:rsidRPr="00B12FE0">
              <w:rPr>
                <w:bCs/>
                <w:color w:val="000000" w:themeColor="text1"/>
                <w:kern w:val="0"/>
                <w:sz w:val="21"/>
                <w:szCs w:val="21"/>
              </w:rPr>
              <w:t>1</w:t>
            </w:r>
            <w:r w:rsidRPr="00B12FE0">
              <w:rPr>
                <w:bCs/>
                <w:color w:val="000000" w:themeColor="text1"/>
                <w:kern w:val="0"/>
                <w:sz w:val="21"/>
                <w:szCs w:val="21"/>
              </w:rPr>
              <w:t>分钟</w:t>
            </w:r>
            <w:r w:rsidRPr="00B12FE0">
              <w:rPr>
                <w:bCs/>
                <w:color w:val="000000" w:themeColor="text1"/>
                <w:kern w:val="0"/>
                <w:sz w:val="21"/>
                <w:szCs w:val="21"/>
              </w:rPr>
              <w:t>/</w:t>
            </w:r>
            <w:r w:rsidRPr="00B12FE0">
              <w:rPr>
                <w:bCs/>
                <w:color w:val="000000" w:themeColor="text1"/>
                <w:kern w:val="0"/>
                <w:sz w:val="21"/>
                <w:szCs w:val="21"/>
              </w:rPr>
              <w:t>次</w:t>
            </w:r>
          </w:p>
        </w:tc>
        <w:tc>
          <w:tcPr>
            <w:tcW w:w="837" w:type="pct"/>
            <w:vMerge/>
            <w:tcBorders>
              <w:left w:val="single" w:sz="4" w:space="0" w:color="auto"/>
              <w:right w:val="single" w:sz="4" w:space="0" w:color="auto"/>
            </w:tcBorders>
            <w:vAlign w:val="center"/>
          </w:tcPr>
          <w:p w14:paraId="498A22C8" w14:textId="77777777" w:rsidR="00A67F21" w:rsidRPr="00B12FE0" w:rsidRDefault="00A67F21">
            <w:pPr>
              <w:jc w:val="center"/>
              <w:rPr>
                <w:bCs/>
                <w:color w:val="000000" w:themeColor="text1"/>
                <w:sz w:val="21"/>
                <w:szCs w:val="21"/>
              </w:rPr>
            </w:pPr>
          </w:p>
        </w:tc>
      </w:tr>
      <w:tr w:rsidR="00A67F21" w:rsidRPr="00B12FE0" w14:paraId="7564F6E1" w14:textId="77777777">
        <w:trPr>
          <w:trHeight w:val="454"/>
          <w:jc w:val="center"/>
        </w:trPr>
        <w:tc>
          <w:tcPr>
            <w:tcW w:w="1138" w:type="pct"/>
            <w:tcBorders>
              <w:top w:val="single" w:sz="4" w:space="0" w:color="auto"/>
              <w:left w:val="single" w:sz="4" w:space="0" w:color="auto"/>
              <w:right w:val="single" w:sz="4" w:space="0" w:color="auto"/>
            </w:tcBorders>
            <w:vAlign w:val="center"/>
          </w:tcPr>
          <w:p w14:paraId="6D853D7E" w14:textId="77777777" w:rsidR="00A67F21" w:rsidRPr="00B12FE0" w:rsidRDefault="00000000">
            <w:pPr>
              <w:adjustRightInd w:val="0"/>
              <w:jc w:val="center"/>
              <w:rPr>
                <w:bCs/>
                <w:color w:val="000000" w:themeColor="text1"/>
                <w:sz w:val="21"/>
                <w:szCs w:val="21"/>
              </w:rPr>
            </w:pPr>
            <w:proofErr w:type="gramStart"/>
            <w:r w:rsidRPr="00B12FE0">
              <w:rPr>
                <w:rFonts w:hint="eastAsia"/>
                <w:bCs/>
                <w:color w:val="000000" w:themeColor="text1"/>
                <w:sz w:val="21"/>
                <w:szCs w:val="21"/>
              </w:rPr>
              <w:t>甲测室</w:t>
            </w:r>
            <w:proofErr w:type="gramEnd"/>
          </w:p>
        </w:tc>
        <w:tc>
          <w:tcPr>
            <w:tcW w:w="1497" w:type="pct"/>
            <w:tcBorders>
              <w:top w:val="single" w:sz="4" w:space="0" w:color="auto"/>
              <w:left w:val="single" w:sz="4" w:space="0" w:color="auto"/>
              <w:bottom w:val="single" w:sz="4" w:space="0" w:color="auto"/>
              <w:right w:val="single" w:sz="4" w:space="0" w:color="auto"/>
            </w:tcBorders>
            <w:vAlign w:val="center"/>
          </w:tcPr>
          <w:p w14:paraId="2B950309" w14:textId="77777777" w:rsidR="00A67F21" w:rsidRPr="00B12FE0" w:rsidRDefault="00000000">
            <w:pPr>
              <w:adjustRightInd w:val="0"/>
              <w:jc w:val="center"/>
              <w:rPr>
                <w:bCs/>
                <w:color w:val="000000" w:themeColor="text1"/>
                <w:sz w:val="21"/>
                <w:szCs w:val="21"/>
              </w:rPr>
            </w:pPr>
            <w:r w:rsidRPr="00B12FE0">
              <w:rPr>
                <w:bCs/>
                <w:color w:val="000000" w:themeColor="text1"/>
                <w:kern w:val="0"/>
                <w:sz w:val="21"/>
                <w:szCs w:val="21"/>
              </w:rPr>
              <w:t>在</w:t>
            </w:r>
            <w:proofErr w:type="gramStart"/>
            <w:r w:rsidRPr="00B12FE0">
              <w:rPr>
                <w:rFonts w:hint="eastAsia"/>
                <w:bCs/>
                <w:color w:val="000000" w:themeColor="text1"/>
                <w:sz w:val="21"/>
                <w:szCs w:val="21"/>
              </w:rPr>
              <w:t>甲测室</w:t>
            </w:r>
            <w:proofErr w:type="gramEnd"/>
            <w:r w:rsidRPr="00B12FE0">
              <w:rPr>
                <w:rFonts w:hint="eastAsia"/>
                <w:bCs/>
                <w:color w:val="000000" w:themeColor="text1"/>
                <w:sz w:val="21"/>
                <w:szCs w:val="21"/>
              </w:rPr>
              <w:t>对患者进行甲状腺功能测定</w:t>
            </w:r>
          </w:p>
        </w:tc>
        <w:tc>
          <w:tcPr>
            <w:tcW w:w="1528" w:type="pct"/>
            <w:tcBorders>
              <w:top w:val="single" w:sz="4" w:space="0" w:color="auto"/>
              <w:left w:val="single" w:sz="4" w:space="0" w:color="auto"/>
              <w:bottom w:val="single" w:sz="4" w:space="0" w:color="auto"/>
              <w:right w:val="single" w:sz="4" w:space="0" w:color="auto"/>
            </w:tcBorders>
            <w:vAlign w:val="center"/>
          </w:tcPr>
          <w:p w14:paraId="0EA23847" w14:textId="77777777" w:rsidR="00A67F21" w:rsidRPr="00B12FE0" w:rsidRDefault="00000000">
            <w:pPr>
              <w:widowControl/>
              <w:jc w:val="center"/>
              <w:rPr>
                <w:bCs/>
                <w:color w:val="000000" w:themeColor="text1"/>
                <w:sz w:val="21"/>
                <w:szCs w:val="21"/>
              </w:rPr>
            </w:pPr>
            <w:r w:rsidRPr="00B12FE0">
              <w:rPr>
                <w:bCs/>
                <w:color w:val="000000" w:themeColor="text1"/>
                <w:kern w:val="0"/>
                <w:sz w:val="21"/>
                <w:szCs w:val="21"/>
              </w:rPr>
              <w:t>1</w:t>
            </w:r>
            <w:r w:rsidRPr="00B12FE0">
              <w:rPr>
                <w:rFonts w:hint="eastAsia"/>
                <w:bCs/>
                <w:color w:val="000000" w:themeColor="text1"/>
                <w:kern w:val="0"/>
                <w:sz w:val="21"/>
                <w:szCs w:val="21"/>
              </w:rPr>
              <w:t>分钟</w:t>
            </w:r>
            <w:r w:rsidRPr="00B12FE0">
              <w:rPr>
                <w:bCs/>
                <w:color w:val="000000" w:themeColor="text1"/>
                <w:kern w:val="0"/>
                <w:sz w:val="21"/>
                <w:szCs w:val="21"/>
              </w:rPr>
              <w:t>/</w:t>
            </w:r>
            <w:r w:rsidRPr="00B12FE0">
              <w:rPr>
                <w:bCs/>
                <w:color w:val="000000" w:themeColor="text1"/>
                <w:kern w:val="0"/>
                <w:sz w:val="21"/>
                <w:szCs w:val="21"/>
              </w:rPr>
              <w:t>次</w:t>
            </w:r>
          </w:p>
        </w:tc>
        <w:tc>
          <w:tcPr>
            <w:tcW w:w="837" w:type="pct"/>
            <w:vMerge/>
            <w:tcBorders>
              <w:left w:val="single" w:sz="4" w:space="0" w:color="auto"/>
              <w:right w:val="single" w:sz="4" w:space="0" w:color="auto"/>
            </w:tcBorders>
            <w:vAlign w:val="center"/>
          </w:tcPr>
          <w:p w14:paraId="0055C4A1" w14:textId="77777777" w:rsidR="00A67F21" w:rsidRPr="00B12FE0" w:rsidRDefault="00A67F21">
            <w:pPr>
              <w:jc w:val="center"/>
              <w:rPr>
                <w:bCs/>
                <w:color w:val="000000" w:themeColor="text1"/>
                <w:sz w:val="21"/>
                <w:szCs w:val="21"/>
              </w:rPr>
            </w:pPr>
          </w:p>
        </w:tc>
      </w:tr>
      <w:tr w:rsidR="00A67F21" w:rsidRPr="00B12FE0" w14:paraId="5CC848EF" w14:textId="77777777">
        <w:trPr>
          <w:trHeight w:val="454"/>
          <w:jc w:val="center"/>
        </w:trPr>
        <w:tc>
          <w:tcPr>
            <w:tcW w:w="1138" w:type="pct"/>
            <w:tcBorders>
              <w:top w:val="single" w:sz="4" w:space="0" w:color="auto"/>
              <w:left w:val="single" w:sz="4" w:space="0" w:color="auto"/>
              <w:right w:val="single" w:sz="4" w:space="0" w:color="auto"/>
            </w:tcBorders>
            <w:vAlign w:val="center"/>
          </w:tcPr>
          <w:p w14:paraId="3D5FFDE4" w14:textId="77777777" w:rsidR="00A67F21" w:rsidRPr="00B12FE0" w:rsidRDefault="00000000">
            <w:pPr>
              <w:adjustRightInd w:val="0"/>
              <w:jc w:val="center"/>
              <w:rPr>
                <w:bCs/>
                <w:color w:val="000000" w:themeColor="text1"/>
                <w:sz w:val="21"/>
                <w:szCs w:val="21"/>
              </w:rPr>
            </w:pPr>
            <w:proofErr w:type="gramStart"/>
            <w:r w:rsidRPr="00B12FE0">
              <w:rPr>
                <w:rFonts w:hint="eastAsia"/>
                <w:bCs/>
                <w:color w:val="000000" w:themeColor="text1"/>
                <w:sz w:val="21"/>
                <w:szCs w:val="21"/>
              </w:rPr>
              <w:t>服碘室</w:t>
            </w:r>
            <w:proofErr w:type="gramEnd"/>
          </w:p>
        </w:tc>
        <w:tc>
          <w:tcPr>
            <w:tcW w:w="1497" w:type="pct"/>
            <w:tcBorders>
              <w:top w:val="single" w:sz="4" w:space="0" w:color="auto"/>
              <w:left w:val="single" w:sz="4" w:space="0" w:color="auto"/>
              <w:bottom w:val="single" w:sz="4" w:space="0" w:color="auto"/>
              <w:right w:val="single" w:sz="4" w:space="0" w:color="auto"/>
            </w:tcBorders>
            <w:vAlign w:val="center"/>
          </w:tcPr>
          <w:p w14:paraId="269BE820" w14:textId="77777777" w:rsidR="00A67F21" w:rsidRPr="00B12FE0" w:rsidRDefault="00000000">
            <w:pPr>
              <w:adjustRightInd w:val="0"/>
              <w:jc w:val="center"/>
              <w:rPr>
                <w:bCs/>
                <w:color w:val="000000" w:themeColor="text1"/>
                <w:kern w:val="0"/>
                <w:sz w:val="21"/>
                <w:szCs w:val="21"/>
              </w:rPr>
            </w:pPr>
            <w:proofErr w:type="gramStart"/>
            <w:r w:rsidRPr="00B12FE0">
              <w:rPr>
                <w:rFonts w:hint="eastAsia"/>
                <w:bCs/>
                <w:color w:val="000000" w:themeColor="text1"/>
                <w:kern w:val="0"/>
                <w:sz w:val="21"/>
                <w:szCs w:val="21"/>
              </w:rPr>
              <w:t>铅罐安装</w:t>
            </w:r>
            <w:proofErr w:type="gramEnd"/>
          </w:p>
        </w:tc>
        <w:tc>
          <w:tcPr>
            <w:tcW w:w="1528" w:type="pct"/>
            <w:tcBorders>
              <w:top w:val="single" w:sz="4" w:space="0" w:color="auto"/>
              <w:left w:val="single" w:sz="4" w:space="0" w:color="auto"/>
              <w:bottom w:val="single" w:sz="4" w:space="0" w:color="auto"/>
              <w:right w:val="single" w:sz="4" w:space="0" w:color="auto"/>
            </w:tcBorders>
            <w:vAlign w:val="center"/>
          </w:tcPr>
          <w:p w14:paraId="4624D45D" w14:textId="77777777" w:rsidR="00A67F21" w:rsidRPr="00B12FE0" w:rsidRDefault="00000000">
            <w:pPr>
              <w:widowControl/>
              <w:jc w:val="center"/>
              <w:rPr>
                <w:bCs/>
                <w:color w:val="000000" w:themeColor="text1"/>
                <w:kern w:val="0"/>
                <w:sz w:val="21"/>
                <w:szCs w:val="21"/>
              </w:rPr>
            </w:pPr>
            <w:r w:rsidRPr="00B12FE0">
              <w:rPr>
                <w:rFonts w:hint="eastAsia"/>
                <w:bCs/>
                <w:color w:val="000000" w:themeColor="text1"/>
                <w:kern w:val="0"/>
                <w:sz w:val="21"/>
                <w:szCs w:val="21"/>
              </w:rPr>
              <w:t>3</w:t>
            </w:r>
            <w:r w:rsidRPr="00B12FE0">
              <w:rPr>
                <w:rFonts w:hint="eastAsia"/>
                <w:bCs/>
                <w:color w:val="000000" w:themeColor="text1"/>
                <w:kern w:val="0"/>
                <w:sz w:val="21"/>
                <w:szCs w:val="21"/>
              </w:rPr>
              <w:t>分钟</w:t>
            </w:r>
            <w:r w:rsidRPr="00B12FE0">
              <w:rPr>
                <w:bCs/>
                <w:color w:val="000000" w:themeColor="text1"/>
                <w:kern w:val="0"/>
                <w:sz w:val="21"/>
                <w:szCs w:val="21"/>
              </w:rPr>
              <w:t>/</w:t>
            </w:r>
            <w:r w:rsidRPr="00B12FE0">
              <w:rPr>
                <w:rFonts w:hint="eastAsia"/>
                <w:bCs/>
                <w:color w:val="000000" w:themeColor="text1"/>
                <w:kern w:val="0"/>
                <w:sz w:val="21"/>
                <w:szCs w:val="21"/>
              </w:rPr>
              <w:t>次（每一次）</w:t>
            </w:r>
          </w:p>
        </w:tc>
        <w:tc>
          <w:tcPr>
            <w:tcW w:w="837" w:type="pct"/>
            <w:vMerge/>
            <w:tcBorders>
              <w:left w:val="single" w:sz="4" w:space="0" w:color="auto"/>
              <w:right w:val="single" w:sz="4" w:space="0" w:color="auto"/>
            </w:tcBorders>
            <w:vAlign w:val="center"/>
          </w:tcPr>
          <w:p w14:paraId="0DF3CB3B" w14:textId="77777777" w:rsidR="00A67F21" w:rsidRPr="00B12FE0" w:rsidRDefault="00A67F21">
            <w:pPr>
              <w:jc w:val="center"/>
              <w:rPr>
                <w:bCs/>
                <w:color w:val="000000" w:themeColor="text1"/>
                <w:sz w:val="21"/>
                <w:szCs w:val="21"/>
              </w:rPr>
            </w:pPr>
          </w:p>
        </w:tc>
      </w:tr>
      <w:tr w:rsidR="00A67F21" w:rsidRPr="00B12FE0" w14:paraId="113C17EE" w14:textId="77777777">
        <w:trPr>
          <w:trHeight w:val="454"/>
          <w:jc w:val="center"/>
        </w:trPr>
        <w:tc>
          <w:tcPr>
            <w:tcW w:w="1138" w:type="pct"/>
            <w:tcBorders>
              <w:top w:val="single" w:sz="4" w:space="0" w:color="auto"/>
              <w:left w:val="single" w:sz="4" w:space="0" w:color="auto"/>
              <w:right w:val="single" w:sz="4" w:space="0" w:color="auto"/>
            </w:tcBorders>
            <w:vAlign w:val="center"/>
          </w:tcPr>
          <w:p w14:paraId="0AA2E300"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护士站</w:t>
            </w:r>
          </w:p>
        </w:tc>
        <w:tc>
          <w:tcPr>
            <w:tcW w:w="1497" w:type="pct"/>
            <w:tcBorders>
              <w:top w:val="single" w:sz="4" w:space="0" w:color="auto"/>
              <w:left w:val="single" w:sz="4" w:space="0" w:color="auto"/>
              <w:bottom w:val="single" w:sz="4" w:space="0" w:color="auto"/>
              <w:right w:val="single" w:sz="4" w:space="0" w:color="auto"/>
            </w:tcBorders>
            <w:vAlign w:val="center"/>
          </w:tcPr>
          <w:p w14:paraId="25EB393D" w14:textId="77777777" w:rsidR="00A67F21" w:rsidRPr="00B12FE0" w:rsidRDefault="00000000">
            <w:pPr>
              <w:adjustRightInd w:val="0"/>
              <w:jc w:val="center"/>
              <w:rPr>
                <w:bCs/>
                <w:color w:val="000000" w:themeColor="text1"/>
                <w:kern w:val="0"/>
                <w:sz w:val="21"/>
                <w:szCs w:val="21"/>
              </w:rPr>
            </w:pPr>
            <w:r w:rsidRPr="00B12FE0">
              <w:rPr>
                <w:rFonts w:hint="eastAsia"/>
                <w:bCs/>
                <w:color w:val="000000" w:themeColor="text1"/>
                <w:sz w:val="21"/>
                <w:szCs w:val="21"/>
              </w:rPr>
              <w:t>预约登记</w:t>
            </w:r>
          </w:p>
        </w:tc>
        <w:tc>
          <w:tcPr>
            <w:tcW w:w="1528" w:type="pct"/>
            <w:tcBorders>
              <w:top w:val="single" w:sz="4" w:space="0" w:color="auto"/>
              <w:left w:val="single" w:sz="4" w:space="0" w:color="auto"/>
              <w:bottom w:val="single" w:sz="4" w:space="0" w:color="auto"/>
              <w:right w:val="single" w:sz="4" w:space="0" w:color="auto"/>
            </w:tcBorders>
            <w:vAlign w:val="center"/>
          </w:tcPr>
          <w:p w14:paraId="4BFFA284" w14:textId="77777777" w:rsidR="00A67F21" w:rsidRPr="00B12FE0" w:rsidRDefault="00000000">
            <w:pPr>
              <w:widowControl/>
              <w:jc w:val="center"/>
              <w:rPr>
                <w:bCs/>
                <w:color w:val="000000" w:themeColor="text1"/>
                <w:sz w:val="21"/>
                <w:szCs w:val="21"/>
              </w:rPr>
            </w:pPr>
            <w:r w:rsidRPr="00B12FE0">
              <w:rPr>
                <w:bCs/>
                <w:color w:val="000000" w:themeColor="text1"/>
                <w:kern w:val="0"/>
                <w:sz w:val="21"/>
                <w:szCs w:val="21"/>
              </w:rPr>
              <w:t>8</w:t>
            </w:r>
            <w:r w:rsidRPr="00B12FE0">
              <w:rPr>
                <w:rFonts w:hint="eastAsia"/>
                <w:bCs/>
                <w:color w:val="000000" w:themeColor="text1"/>
                <w:kern w:val="0"/>
                <w:sz w:val="21"/>
                <w:szCs w:val="21"/>
              </w:rPr>
              <w:t>h</w:t>
            </w:r>
            <w:r w:rsidRPr="00B12FE0">
              <w:rPr>
                <w:bCs/>
                <w:color w:val="000000" w:themeColor="text1"/>
                <w:kern w:val="0"/>
                <w:sz w:val="21"/>
                <w:szCs w:val="21"/>
              </w:rPr>
              <w:t>/</w:t>
            </w:r>
            <w:r w:rsidRPr="00B12FE0">
              <w:rPr>
                <w:rFonts w:hint="eastAsia"/>
                <w:bCs/>
                <w:color w:val="000000" w:themeColor="text1"/>
                <w:kern w:val="0"/>
                <w:sz w:val="21"/>
                <w:szCs w:val="21"/>
              </w:rPr>
              <w:t>天</w:t>
            </w:r>
          </w:p>
        </w:tc>
        <w:tc>
          <w:tcPr>
            <w:tcW w:w="837" w:type="pct"/>
            <w:vMerge/>
            <w:tcBorders>
              <w:left w:val="single" w:sz="4" w:space="0" w:color="auto"/>
              <w:right w:val="single" w:sz="4" w:space="0" w:color="auto"/>
            </w:tcBorders>
            <w:vAlign w:val="center"/>
          </w:tcPr>
          <w:p w14:paraId="290A7520" w14:textId="77777777" w:rsidR="00A67F21" w:rsidRPr="00B12FE0" w:rsidRDefault="00A67F21">
            <w:pPr>
              <w:widowControl/>
              <w:jc w:val="center"/>
              <w:rPr>
                <w:bCs/>
                <w:color w:val="000000" w:themeColor="text1"/>
                <w:sz w:val="21"/>
                <w:szCs w:val="21"/>
              </w:rPr>
            </w:pPr>
          </w:p>
        </w:tc>
      </w:tr>
      <w:tr w:rsidR="00A67F21" w:rsidRPr="00B12FE0" w14:paraId="7CAE4165" w14:textId="77777777">
        <w:trPr>
          <w:trHeight w:val="454"/>
          <w:jc w:val="center"/>
        </w:trPr>
        <w:tc>
          <w:tcPr>
            <w:tcW w:w="1138" w:type="pct"/>
            <w:tcBorders>
              <w:top w:val="single" w:sz="4" w:space="0" w:color="auto"/>
              <w:left w:val="single" w:sz="4" w:space="0" w:color="auto"/>
              <w:right w:val="single" w:sz="4" w:space="0" w:color="auto"/>
            </w:tcBorders>
            <w:vAlign w:val="center"/>
          </w:tcPr>
          <w:p w14:paraId="496ECDFE"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抢救室</w:t>
            </w:r>
          </w:p>
        </w:tc>
        <w:tc>
          <w:tcPr>
            <w:tcW w:w="1497" w:type="pct"/>
            <w:tcBorders>
              <w:top w:val="single" w:sz="4" w:space="0" w:color="auto"/>
              <w:left w:val="single" w:sz="4" w:space="0" w:color="auto"/>
              <w:bottom w:val="single" w:sz="4" w:space="0" w:color="auto"/>
              <w:right w:val="single" w:sz="4" w:space="0" w:color="auto"/>
            </w:tcBorders>
            <w:vAlign w:val="center"/>
          </w:tcPr>
          <w:p w14:paraId="3AE15C85"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抢救</w:t>
            </w:r>
          </w:p>
        </w:tc>
        <w:tc>
          <w:tcPr>
            <w:tcW w:w="1528" w:type="pct"/>
            <w:tcBorders>
              <w:top w:val="single" w:sz="4" w:space="0" w:color="auto"/>
              <w:left w:val="single" w:sz="4" w:space="0" w:color="auto"/>
              <w:bottom w:val="single" w:sz="4" w:space="0" w:color="auto"/>
              <w:right w:val="single" w:sz="4" w:space="0" w:color="auto"/>
            </w:tcBorders>
            <w:vAlign w:val="center"/>
          </w:tcPr>
          <w:p w14:paraId="72A72C96" w14:textId="77777777" w:rsidR="00A67F21" w:rsidRPr="00B12FE0" w:rsidRDefault="00000000">
            <w:pPr>
              <w:widowControl/>
              <w:jc w:val="center"/>
              <w:rPr>
                <w:bCs/>
                <w:color w:val="000000" w:themeColor="text1"/>
                <w:kern w:val="0"/>
                <w:sz w:val="21"/>
                <w:szCs w:val="21"/>
              </w:rPr>
            </w:pPr>
            <w:r w:rsidRPr="00B12FE0">
              <w:rPr>
                <w:bCs/>
                <w:color w:val="000000" w:themeColor="text1"/>
                <w:kern w:val="0"/>
                <w:sz w:val="21"/>
                <w:szCs w:val="21"/>
              </w:rPr>
              <w:t>每次</w:t>
            </w:r>
            <w:proofErr w:type="gramStart"/>
            <w:r w:rsidRPr="00B12FE0">
              <w:rPr>
                <w:bCs/>
                <w:color w:val="000000" w:themeColor="text1"/>
                <w:kern w:val="0"/>
                <w:sz w:val="21"/>
                <w:szCs w:val="21"/>
              </w:rPr>
              <w:t>抢救按</w:t>
            </w:r>
            <w:proofErr w:type="gramEnd"/>
            <w:r w:rsidRPr="00B12FE0">
              <w:rPr>
                <w:bCs/>
                <w:color w:val="000000" w:themeColor="text1"/>
                <w:kern w:val="0"/>
                <w:sz w:val="21"/>
                <w:szCs w:val="21"/>
              </w:rPr>
              <w:t>30</w:t>
            </w:r>
            <w:r w:rsidRPr="00B12FE0">
              <w:rPr>
                <w:bCs/>
                <w:color w:val="000000" w:themeColor="text1"/>
                <w:kern w:val="0"/>
                <w:sz w:val="21"/>
                <w:szCs w:val="21"/>
              </w:rPr>
              <w:t>分钟计，一年不超过</w:t>
            </w:r>
            <w:r w:rsidRPr="00B12FE0">
              <w:rPr>
                <w:bCs/>
                <w:color w:val="000000" w:themeColor="text1"/>
                <w:kern w:val="0"/>
                <w:sz w:val="21"/>
                <w:szCs w:val="21"/>
              </w:rPr>
              <w:t>10</w:t>
            </w:r>
            <w:r w:rsidRPr="00B12FE0">
              <w:rPr>
                <w:bCs/>
                <w:color w:val="000000" w:themeColor="text1"/>
                <w:kern w:val="0"/>
                <w:sz w:val="21"/>
                <w:szCs w:val="21"/>
              </w:rPr>
              <w:t>次</w:t>
            </w:r>
          </w:p>
        </w:tc>
        <w:tc>
          <w:tcPr>
            <w:tcW w:w="837" w:type="pct"/>
            <w:vMerge w:val="restart"/>
            <w:tcBorders>
              <w:left w:val="single" w:sz="4" w:space="0" w:color="auto"/>
              <w:right w:val="single" w:sz="4" w:space="0" w:color="auto"/>
            </w:tcBorders>
            <w:vAlign w:val="center"/>
          </w:tcPr>
          <w:p w14:paraId="12666145" w14:textId="77777777" w:rsidR="00A67F21" w:rsidRPr="00B12FE0" w:rsidRDefault="00000000">
            <w:pPr>
              <w:widowControl/>
              <w:jc w:val="center"/>
              <w:rPr>
                <w:bCs/>
                <w:color w:val="000000" w:themeColor="text1"/>
                <w:sz w:val="21"/>
                <w:szCs w:val="21"/>
              </w:rPr>
            </w:pPr>
            <w:r w:rsidRPr="00B12FE0">
              <w:rPr>
                <w:rFonts w:hint="eastAsia"/>
                <w:bCs/>
                <w:color w:val="000000" w:themeColor="text1"/>
                <w:kern w:val="0"/>
                <w:sz w:val="21"/>
                <w:szCs w:val="21"/>
              </w:rPr>
              <w:t>2</w:t>
            </w:r>
            <w:r w:rsidRPr="00B12FE0">
              <w:rPr>
                <w:bCs/>
                <w:color w:val="000000" w:themeColor="text1"/>
                <w:kern w:val="0"/>
                <w:sz w:val="21"/>
                <w:szCs w:val="21"/>
              </w:rPr>
              <w:t>人</w:t>
            </w:r>
            <w:r w:rsidRPr="00B12FE0">
              <w:rPr>
                <w:rFonts w:hint="eastAsia"/>
                <w:bCs/>
                <w:color w:val="000000" w:themeColor="text1"/>
                <w:kern w:val="0"/>
                <w:sz w:val="21"/>
                <w:szCs w:val="21"/>
              </w:rPr>
              <w:t>（每班</w:t>
            </w:r>
            <w:r w:rsidRPr="00B12FE0">
              <w:rPr>
                <w:rFonts w:hint="eastAsia"/>
                <w:bCs/>
                <w:color w:val="000000" w:themeColor="text1"/>
                <w:kern w:val="0"/>
                <w:sz w:val="21"/>
                <w:szCs w:val="21"/>
              </w:rPr>
              <w:t>1</w:t>
            </w:r>
            <w:r w:rsidRPr="00B12FE0">
              <w:rPr>
                <w:rFonts w:hint="eastAsia"/>
                <w:bCs/>
                <w:color w:val="000000" w:themeColor="text1"/>
                <w:kern w:val="0"/>
                <w:sz w:val="21"/>
                <w:szCs w:val="21"/>
              </w:rPr>
              <w:t>人）</w:t>
            </w:r>
          </w:p>
        </w:tc>
      </w:tr>
      <w:tr w:rsidR="00A67F21" w:rsidRPr="00B12FE0" w14:paraId="01F6D65D" w14:textId="77777777">
        <w:trPr>
          <w:trHeight w:val="454"/>
          <w:jc w:val="center"/>
        </w:trPr>
        <w:tc>
          <w:tcPr>
            <w:tcW w:w="1138" w:type="pct"/>
            <w:tcBorders>
              <w:top w:val="single" w:sz="4" w:space="0" w:color="auto"/>
              <w:left w:val="single" w:sz="4" w:space="0" w:color="auto"/>
              <w:right w:val="single" w:sz="4" w:space="0" w:color="auto"/>
            </w:tcBorders>
            <w:vAlign w:val="center"/>
          </w:tcPr>
          <w:p w14:paraId="440FBBC6"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lastRenderedPageBreak/>
              <w:t>诊室</w:t>
            </w:r>
          </w:p>
        </w:tc>
        <w:tc>
          <w:tcPr>
            <w:tcW w:w="1497" w:type="pct"/>
            <w:tcBorders>
              <w:top w:val="single" w:sz="4" w:space="0" w:color="auto"/>
              <w:left w:val="single" w:sz="4" w:space="0" w:color="auto"/>
              <w:bottom w:val="single" w:sz="4" w:space="0" w:color="auto"/>
              <w:right w:val="single" w:sz="4" w:space="0" w:color="auto"/>
            </w:tcBorders>
            <w:vAlign w:val="center"/>
          </w:tcPr>
          <w:p w14:paraId="2AA36CFA"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接诊</w:t>
            </w:r>
          </w:p>
        </w:tc>
        <w:tc>
          <w:tcPr>
            <w:tcW w:w="1528" w:type="pct"/>
            <w:tcBorders>
              <w:top w:val="single" w:sz="4" w:space="0" w:color="auto"/>
              <w:left w:val="single" w:sz="4" w:space="0" w:color="auto"/>
              <w:bottom w:val="single" w:sz="4" w:space="0" w:color="auto"/>
              <w:right w:val="single" w:sz="4" w:space="0" w:color="auto"/>
            </w:tcBorders>
            <w:vAlign w:val="center"/>
          </w:tcPr>
          <w:p w14:paraId="5A9888B0" w14:textId="77777777" w:rsidR="00A67F21" w:rsidRPr="00B12FE0" w:rsidRDefault="00000000">
            <w:pPr>
              <w:widowControl/>
              <w:jc w:val="center"/>
              <w:rPr>
                <w:bCs/>
                <w:color w:val="000000" w:themeColor="text1"/>
                <w:kern w:val="0"/>
                <w:sz w:val="21"/>
                <w:szCs w:val="21"/>
              </w:rPr>
            </w:pPr>
            <w:r w:rsidRPr="00B12FE0">
              <w:rPr>
                <w:bCs/>
                <w:color w:val="000000" w:themeColor="text1"/>
                <w:kern w:val="0"/>
                <w:sz w:val="21"/>
                <w:szCs w:val="21"/>
              </w:rPr>
              <w:t>8</w:t>
            </w:r>
            <w:r w:rsidRPr="00B12FE0">
              <w:rPr>
                <w:rFonts w:hint="eastAsia"/>
                <w:bCs/>
                <w:color w:val="000000" w:themeColor="text1"/>
                <w:kern w:val="0"/>
                <w:sz w:val="21"/>
                <w:szCs w:val="21"/>
              </w:rPr>
              <w:t>h</w:t>
            </w:r>
            <w:r w:rsidRPr="00B12FE0">
              <w:rPr>
                <w:bCs/>
                <w:color w:val="000000" w:themeColor="text1"/>
                <w:kern w:val="0"/>
                <w:sz w:val="21"/>
                <w:szCs w:val="21"/>
              </w:rPr>
              <w:t>/</w:t>
            </w:r>
            <w:r w:rsidRPr="00B12FE0">
              <w:rPr>
                <w:rFonts w:hint="eastAsia"/>
                <w:bCs/>
                <w:color w:val="000000" w:themeColor="text1"/>
                <w:kern w:val="0"/>
                <w:sz w:val="21"/>
                <w:szCs w:val="21"/>
              </w:rPr>
              <w:t>天</w:t>
            </w:r>
          </w:p>
        </w:tc>
        <w:tc>
          <w:tcPr>
            <w:tcW w:w="837" w:type="pct"/>
            <w:vMerge/>
            <w:tcBorders>
              <w:left w:val="single" w:sz="4" w:space="0" w:color="auto"/>
              <w:right w:val="single" w:sz="4" w:space="0" w:color="auto"/>
            </w:tcBorders>
            <w:vAlign w:val="center"/>
          </w:tcPr>
          <w:p w14:paraId="28C0A7EC" w14:textId="77777777" w:rsidR="00A67F21" w:rsidRPr="00B12FE0" w:rsidRDefault="00A67F21">
            <w:pPr>
              <w:widowControl/>
              <w:jc w:val="center"/>
              <w:rPr>
                <w:bCs/>
                <w:color w:val="000000" w:themeColor="text1"/>
                <w:sz w:val="21"/>
                <w:szCs w:val="21"/>
              </w:rPr>
            </w:pPr>
          </w:p>
        </w:tc>
      </w:tr>
      <w:tr w:rsidR="00A67F21" w:rsidRPr="00B12FE0" w14:paraId="63D477AB"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758A6827"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PET/CT</w:t>
            </w:r>
            <w:r w:rsidRPr="00B12FE0">
              <w:rPr>
                <w:bCs/>
                <w:color w:val="000000" w:themeColor="text1"/>
                <w:sz w:val="21"/>
                <w:szCs w:val="21"/>
              </w:rPr>
              <w:t>机房</w:t>
            </w:r>
          </w:p>
        </w:tc>
        <w:tc>
          <w:tcPr>
            <w:tcW w:w="1497" w:type="pct"/>
            <w:tcBorders>
              <w:top w:val="single" w:sz="4" w:space="0" w:color="auto"/>
              <w:left w:val="single" w:sz="4" w:space="0" w:color="auto"/>
              <w:bottom w:val="single" w:sz="4" w:space="0" w:color="auto"/>
              <w:right w:val="single" w:sz="4" w:space="0" w:color="auto"/>
            </w:tcBorders>
            <w:vAlign w:val="center"/>
          </w:tcPr>
          <w:p w14:paraId="59CA8D1D"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指导</w:t>
            </w:r>
            <w:proofErr w:type="gramStart"/>
            <w:r w:rsidRPr="00B12FE0">
              <w:rPr>
                <w:bCs/>
                <w:color w:val="000000" w:themeColor="text1"/>
                <w:sz w:val="21"/>
                <w:szCs w:val="21"/>
              </w:rPr>
              <w:t>患者躺至正确</w:t>
            </w:r>
            <w:proofErr w:type="gramEnd"/>
            <w:r w:rsidRPr="00B12FE0">
              <w:rPr>
                <w:bCs/>
                <w:color w:val="000000" w:themeColor="text1"/>
                <w:sz w:val="21"/>
                <w:szCs w:val="21"/>
              </w:rPr>
              <w:t>的位置</w:t>
            </w:r>
          </w:p>
        </w:tc>
        <w:tc>
          <w:tcPr>
            <w:tcW w:w="1528" w:type="pct"/>
            <w:tcBorders>
              <w:top w:val="single" w:sz="4" w:space="0" w:color="auto"/>
              <w:left w:val="single" w:sz="4" w:space="0" w:color="auto"/>
              <w:bottom w:val="single" w:sz="4" w:space="0" w:color="auto"/>
              <w:right w:val="single" w:sz="4" w:space="0" w:color="auto"/>
            </w:tcBorders>
            <w:vAlign w:val="center"/>
          </w:tcPr>
          <w:p w14:paraId="4A94867F" w14:textId="77777777" w:rsidR="00A67F21" w:rsidRPr="00B12FE0" w:rsidRDefault="00000000">
            <w:pPr>
              <w:adjustRightInd w:val="0"/>
              <w:jc w:val="center"/>
              <w:rPr>
                <w:bCs/>
                <w:color w:val="000000" w:themeColor="text1"/>
                <w:kern w:val="0"/>
                <w:sz w:val="21"/>
                <w:szCs w:val="21"/>
              </w:rPr>
            </w:pPr>
            <w:r w:rsidRPr="00B12FE0">
              <w:rPr>
                <w:bCs/>
                <w:color w:val="000000" w:themeColor="text1"/>
                <w:sz w:val="21"/>
                <w:szCs w:val="21"/>
              </w:rPr>
              <w:t>1</w:t>
            </w:r>
            <w:r w:rsidRPr="00B12FE0">
              <w:rPr>
                <w:bCs/>
                <w:color w:val="000000" w:themeColor="text1"/>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val="restart"/>
            <w:tcBorders>
              <w:top w:val="single" w:sz="4" w:space="0" w:color="auto"/>
              <w:left w:val="single" w:sz="4" w:space="0" w:color="auto"/>
              <w:right w:val="single" w:sz="4" w:space="0" w:color="auto"/>
            </w:tcBorders>
            <w:vAlign w:val="center"/>
          </w:tcPr>
          <w:p w14:paraId="3EF8A4BB"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kern w:val="0"/>
                <w:sz w:val="21"/>
                <w:szCs w:val="21"/>
              </w:rPr>
              <w:t>4</w:t>
            </w:r>
            <w:r w:rsidRPr="00B12FE0">
              <w:rPr>
                <w:bCs/>
                <w:color w:val="000000" w:themeColor="text1"/>
                <w:kern w:val="0"/>
                <w:sz w:val="21"/>
                <w:szCs w:val="21"/>
              </w:rPr>
              <w:t>人</w:t>
            </w:r>
            <w:r w:rsidRPr="00B12FE0">
              <w:rPr>
                <w:rFonts w:hint="eastAsia"/>
                <w:bCs/>
                <w:color w:val="000000" w:themeColor="text1"/>
                <w:kern w:val="0"/>
                <w:sz w:val="21"/>
                <w:szCs w:val="21"/>
              </w:rPr>
              <w:t>（</w:t>
            </w:r>
            <w:r w:rsidRPr="00B12FE0">
              <w:rPr>
                <w:rFonts w:hint="eastAsia"/>
                <w:bCs/>
                <w:color w:val="000000" w:themeColor="text1"/>
                <w:kern w:val="0"/>
                <w:sz w:val="21"/>
                <w:szCs w:val="21"/>
              </w:rPr>
              <w:t>2</w:t>
            </w:r>
            <w:r w:rsidRPr="00B12FE0">
              <w:rPr>
                <w:rFonts w:hint="eastAsia"/>
                <w:bCs/>
                <w:color w:val="000000" w:themeColor="text1"/>
                <w:kern w:val="0"/>
                <w:sz w:val="21"/>
                <w:szCs w:val="21"/>
              </w:rPr>
              <w:t>人一组轮岗）</w:t>
            </w:r>
          </w:p>
        </w:tc>
      </w:tr>
      <w:tr w:rsidR="00A67F21" w:rsidRPr="00B12FE0" w14:paraId="796A2271" w14:textId="77777777">
        <w:trPr>
          <w:trHeight w:val="454"/>
          <w:jc w:val="center"/>
        </w:trPr>
        <w:tc>
          <w:tcPr>
            <w:tcW w:w="1138" w:type="pct"/>
            <w:vMerge w:val="restart"/>
            <w:tcBorders>
              <w:top w:val="single" w:sz="4" w:space="0" w:color="auto"/>
              <w:left w:val="single" w:sz="4" w:space="0" w:color="auto"/>
              <w:right w:val="single" w:sz="4" w:space="0" w:color="auto"/>
            </w:tcBorders>
            <w:vAlign w:val="center"/>
          </w:tcPr>
          <w:p w14:paraId="68FFBDE0"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PET/CT</w:t>
            </w:r>
            <w:r w:rsidRPr="00B12FE0">
              <w:rPr>
                <w:bCs/>
                <w:color w:val="000000" w:themeColor="text1"/>
                <w:sz w:val="21"/>
                <w:szCs w:val="21"/>
              </w:rPr>
              <w:t>控制室</w:t>
            </w:r>
          </w:p>
        </w:tc>
        <w:tc>
          <w:tcPr>
            <w:tcW w:w="1497" w:type="pct"/>
            <w:vMerge w:val="restart"/>
            <w:tcBorders>
              <w:top w:val="single" w:sz="4" w:space="0" w:color="auto"/>
              <w:left w:val="single" w:sz="4" w:space="0" w:color="auto"/>
              <w:right w:val="single" w:sz="4" w:space="0" w:color="auto"/>
            </w:tcBorders>
            <w:vAlign w:val="center"/>
          </w:tcPr>
          <w:p w14:paraId="362423A6"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技师在控制室操纵设备进行扫描</w:t>
            </w:r>
          </w:p>
        </w:tc>
        <w:tc>
          <w:tcPr>
            <w:tcW w:w="1528" w:type="pct"/>
            <w:tcBorders>
              <w:top w:val="single" w:sz="4" w:space="0" w:color="auto"/>
              <w:left w:val="single" w:sz="4" w:space="0" w:color="auto"/>
              <w:bottom w:val="single" w:sz="4" w:space="0" w:color="auto"/>
              <w:right w:val="single" w:sz="4" w:space="0" w:color="auto"/>
            </w:tcBorders>
            <w:vAlign w:val="center"/>
          </w:tcPr>
          <w:p w14:paraId="23787903"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10</w:t>
            </w:r>
            <w:r w:rsidRPr="00B12FE0">
              <w:rPr>
                <w:bCs/>
                <w:color w:val="000000" w:themeColor="text1"/>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tcBorders>
              <w:left w:val="single" w:sz="4" w:space="0" w:color="auto"/>
              <w:right w:val="single" w:sz="4" w:space="0" w:color="auto"/>
            </w:tcBorders>
            <w:vAlign w:val="center"/>
          </w:tcPr>
          <w:p w14:paraId="5FC73C88" w14:textId="77777777" w:rsidR="00A67F21" w:rsidRPr="00B12FE0" w:rsidRDefault="00A67F21">
            <w:pPr>
              <w:adjustRightInd w:val="0"/>
              <w:jc w:val="center"/>
              <w:rPr>
                <w:bCs/>
                <w:color w:val="000000" w:themeColor="text1"/>
                <w:sz w:val="21"/>
                <w:szCs w:val="21"/>
              </w:rPr>
            </w:pPr>
          </w:p>
        </w:tc>
      </w:tr>
      <w:tr w:rsidR="00A67F21" w:rsidRPr="00B12FE0" w14:paraId="283F6755" w14:textId="77777777">
        <w:trPr>
          <w:trHeight w:val="454"/>
          <w:jc w:val="center"/>
        </w:trPr>
        <w:tc>
          <w:tcPr>
            <w:tcW w:w="1138" w:type="pct"/>
            <w:vMerge/>
            <w:tcBorders>
              <w:left w:val="single" w:sz="4" w:space="0" w:color="auto"/>
              <w:bottom w:val="single" w:sz="4" w:space="0" w:color="auto"/>
              <w:right w:val="single" w:sz="4" w:space="0" w:color="auto"/>
            </w:tcBorders>
            <w:vAlign w:val="center"/>
          </w:tcPr>
          <w:p w14:paraId="77B83E9C" w14:textId="77777777" w:rsidR="00A67F21" w:rsidRPr="00B12FE0" w:rsidRDefault="00A67F21">
            <w:pPr>
              <w:adjustRightInd w:val="0"/>
              <w:jc w:val="center"/>
              <w:rPr>
                <w:bCs/>
                <w:color w:val="000000" w:themeColor="text1"/>
                <w:sz w:val="21"/>
                <w:szCs w:val="21"/>
              </w:rPr>
            </w:pPr>
          </w:p>
        </w:tc>
        <w:tc>
          <w:tcPr>
            <w:tcW w:w="1497" w:type="pct"/>
            <w:vMerge/>
            <w:tcBorders>
              <w:left w:val="single" w:sz="4" w:space="0" w:color="auto"/>
              <w:bottom w:val="single" w:sz="4" w:space="0" w:color="auto"/>
              <w:right w:val="single" w:sz="4" w:space="0" w:color="auto"/>
            </w:tcBorders>
            <w:vAlign w:val="center"/>
          </w:tcPr>
          <w:p w14:paraId="7246E6B9" w14:textId="77777777" w:rsidR="00A67F21" w:rsidRPr="00B12FE0" w:rsidRDefault="00A67F21">
            <w:pPr>
              <w:adjustRightInd w:val="0"/>
              <w:jc w:val="center"/>
              <w:rPr>
                <w:bCs/>
                <w:color w:val="000000" w:themeColor="text1"/>
                <w:sz w:val="21"/>
                <w:szCs w:val="21"/>
              </w:rPr>
            </w:pPr>
          </w:p>
        </w:tc>
        <w:tc>
          <w:tcPr>
            <w:tcW w:w="1528" w:type="pct"/>
            <w:tcBorders>
              <w:top w:val="single" w:sz="4" w:space="0" w:color="auto"/>
              <w:left w:val="single" w:sz="4" w:space="0" w:color="auto"/>
              <w:bottom w:val="single" w:sz="4" w:space="0" w:color="auto"/>
              <w:right w:val="single" w:sz="4" w:space="0" w:color="auto"/>
            </w:tcBorders>
            <w:vAlign w:val="center"/>
          </w:tcPr>
          <w:p w14:paraId="250E3162"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C</w:t>
            </w:r>
            <w:r w:rsidRPr="00B12FE0">
              <w:rPr>
                <w:bCs/>
                <w:color w:val="000000" w:themeColor="text1"/>
                <w:sz w:val="21"/>
                <w:szCs w:val="21"/>
              </w:rPr>
              <w:t>T</w:t>
            </w:r>
            <w:r w:rsidRPr="00B12FE0">
              <w:rPr>
                <w:rFonts w:hint="eastAsia"/>
                <w:bCs/>
                <w:color w:val="000000" w:themeColor="text1"/>
                <w:sz w:val="21"/>
                <w:szCs w:val="21"/>
              </w:rPr>
              <w:t>扫描每人次</w:t>
            </w:r>
            <w:r w:rsidRPr="00B12FE0">
              <w:rPr>
                <w:rFonts w:hint="eastAsia"/>
                <w:bCs/>
                <w:color w:val="000000" w:themeColor="text1"/>
                <w:sz w:val="21"/>
                <w:szCs w:val="21"/>
              </w:rPr>
              <w:t>1</w:t>
            </w:r>
            <w:r w:rsidRPr="00B12FE0">
              <w:rPr>
                <w:bCs/>
                <w:color w:val="000000" w:themeColor="text1"/>
                <w:sz w:val="21"/>
                <w:szCs w:val="21"/>
              </w:rPr>
              <w:t>0</w:t>
            </w:r>
            <w:r w:rsidRPr="00B12FE0">
              <w:rPr>
                <w:rFonts w:hint="eastAsia"/>
                <w:bCs/>
                <w:color w:val="000000" w:themeColor="text1"/>
                <w:sz w:val="21"/>
                <w:szCs w:val="21"/>
              </w:rPr>
              <w:t>秒</w:t>
            </w:r>
          </w:p>
        </w:tc>
        <w:tc>
          <w:tcPr>
            <w:tcW w:w="837" w:type="pct"/>
            <w:vMerge/>
            <w:tcBorders>
              <w:left w:val="single" w:sz="4" w:space="0" w:color="auto"/>
              <w:right w:val="single" w:sz="4" w:space="0" w:color="auto"/>
            </w:tcBorders>
            <w:vAlign w:val="center"/>
          </w:tcPr>
          <w:p w14:paraId="2C893EEA" w14:textId="77777777" w:rsidR="00A67F21" w:rsidRPr="00B12FE0" w:rsidRDefault="00A67F21">
            <w:pPr>
              <w:adjustRightInd w:val="0"/>
              <w:jc w:val="center"/>
              <w:rPr>
                <w:bCs/>
                <w:color w:val="000000" w:themeColor="text1"/>
                <w:sz w:val="21"/>
                <w:szCs w:val="21"/>
              </w:rPr>
            </w:pPr>
          </w:p>
        </w:tc>
      </w:tr>
      <w:tr w:rsidR="00A67F21" w:rsidRPr="00B12FE0" w14:paraId="18BC78A8"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236BF6EE"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SPECT/CT1</w:t>
            </w:r>
            <w:r w:rsidRPr="00B12FE0">
              <w:rPr>
                <w:bCs/>
                <w:color w:val="000000" w:themeColor="text1"/>
                <w:sz w:val="21"/>
                <w:szCs w:val="21"/>
              </w:rPr>
              <w:t>机房</w:t>
            </w:r>
          </w:p>
        </w:tc>
        <w:tc>
          <w:tcPr>
            <w:tcW w:w="1497" w:type="pct"/>
            <w:tcBorders>
              <w:top w:val="single" w:sz="4" w:space="0" w:color="auto"/>
              <w:left w:val="single" w:sz="4" w:space="0" w:color="auto"/>
              <w:bottom w:val="single" w:sz="4" w:space="0" w:color="auto"/>
              <w:right w:val="single" w:sz="4" w:space="0" w:color="auto"/>
            </w:tcBorders>
            <w:vAlign w:val="center"/>
          </w:tcPr>
          <w:p w14:paraId="7FECD423"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指导</w:t>
            </w:r>
            <w:proofErr w:type="gramStart"/>
            <w:r w:rsidRPr="00B12FE0">
              <w:rPr>
                <w:bCs/>
                <w:color w:val="000000" w:themeColor="text1"/>
                <w:sz w:val="21"/>
                <w:szCs w:val="21"/>
              </w:rPr>
              <w:t>患者躺至正确</w:t>
            </w:r>
            <w:proofErr w:type="gramEnd"/>
            <w:r w:rsidRPr="00B12FE0">
              <w:rPr>
                <w:bCs/>
                <w:color w:val="000000" w:themeColor="text1"/>
                <w:sz w:val="21"/>
                <w:szCs w:val="21"/>
              </w:rPr>
              <w:t>的位置</w:t>
            </w:r>
          </w:p>
        </w:tc>
        <w:tc>
          <w:tcPr>
            <w:tcW w:w="1528" w:type="pct"/>
            <w:tcBorders>
              <w:top w:val="single" w:sz="4" w:space="0" w:color="auto"/>
              <w:left w:val="single" w:sz="4" w:space="0" w:color="auto"/>
              <w:bottom w:val="single" w:sz="4" w:space="0" w:color="auto"/>
              <w:right w:val="single" w:sz="4" w:space="0" w:color="auto"/>
            </w:tcBorders>
            <w:vAlign w:val="center"/>
          </w:tcPr>
          <w:p w14:paraId="3B932E16" w14:textId="77777777" w:rsidR="00A67F21" w:rsidRPr="00B12FE0" w:rsidRDefault="00000000">
            <w:pPr>
              <w:adjustRightInd w:val="0"/>
              <w:jc w:val="center"/>
              <w:rPr>
                <w:bCs/>
                <w:color w:val="000000" w:themeColor="text1"/>
                <w:kern w:val="0"/>
                <w:sz w:val="21"/>
                <w:szCs w:val="21"/>
              </w:rPr>
            </w:pPr>
            <w:r w:rsidRPr="00B12FE0">
              <w:rPr>
                <w:bCs/>
                <w:color w:val="000000" w:themeColor="text1"/>
                <w:sz w:val="21"/>
                <w:szCs w:val="21"/>
              </w:rPr>
              <w:t>1</w:t>
            </w:r>
            <w:r w:rsidRPr="00B12FE0">
              <w:rPr>
                <w:bCs/>
                <w:color w:val="000000" w:themeColor="text1"/>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val="restart"/>
            <w:tcBorders>
              <w:left w:val="single" w:sz="4" w:space="0" w:color="auto"/>
              <w:right w:val="single" w:sz="4" w:space="0" w:color="auto"/>
            </w:tcBorders>
            <w:vAlign w:val="center"/>
          </w:tcPr>
          <w:p w14:paraId="185BE713"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kern w:val="0"/>
                <w:sz w:val="21"/>
                <w:szCs w:val="21"/>
              </w:rPr>
              <w:t>8</w:t>
            </w:r>
            <w:r w:rsidRPr="00B12FE0">
              <w:rPr>
                <w:rFonts w:hint="eastAsia"/>
                <w:bCs/>
                <w:color w:val="000000" w:themeColor="text1"/>
                <w:kern w:val="0"/>
                <w:sz w:val="21"/>
                <w:szCs w:val="21"/>
              </w:rPr>
              <w:t>人（</w:t>
            </w:r>
            <w:r w:rsidRPr="00B12FE0">
              <w:rPr>
                <w:rFonts w:hint="eastAsia"/>
                <w:bCs/>
                <w:color w:val="000000" w:themeColor="text1"/>
                <w:kern w:val="0"/>
                <w:sz w:val="21"/>
                <w:szCs w:val="21"/>
              </w:rPr>
              <w:t>4</w:t>
            </w:r>
            <w:r w:rsidRPr="00B12FE0">
              <w:rPr>
                <w:rFonts w:hint="eastAsia"/>
                <w:bCs/>
                <w:color w:val="000000" w:themeColor="text1"/>
                <w:kern w:val="0"/>
                <w:sz w:val="21"/>
                <w:szCs w:val="21"/>
              </w:rPr>
              <w:t>人一组轮岗）</w:t>
            </w:r>
          </w:p>
        </w:tc>
      </w:tr>
      <w:tr w:rsidR="00A67F21" w:rsidRPr="00B12FE0" w14:paraId="3F3A2737" w14:textId="77777777">
        <w:trPr>
          <w:trHeight w:val="454"/>
          <w:jc w:val="center"/>
        </w:trPr>
        <w:tc>
          <w:tcPr>
            <w:tcW w:w="1138" w:type="pct"/>
            <w:vMerge w:val="restart"/>
            <w:tcBorders>
              <w:top w:val="single" w:sz="4" w:space="0" w:color="auto"/>
              <w:left w:val="single" w:sz="4" w:space="0" w:color="auto"/>
              <w:right w:val="single" w:sz="4" w:space="0" w:color="auto"/>
            </w:tcBorders>
            <w:vAlign w:val="center"/>
          </w:tcPr>
          <w:p w14:paraId="116D73B7"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SPECT/CT1</w:t>
            </w:r>
            <w:r w:rsidRPr="00B12FE0">
              <w:rPr>
                <w:bCs/>
                <w:color w:val="000000" w:themeColor="text1"/>
                <w:sz w:val="21"/>
                <w:szCs w:val="21"/>
              </w:rPr>
              <w:t>机房控制室</w:t>
            </w:r>
          </w:p>
        </w:tc>
        <w:tc>
          <w:tcPr>
            <w:tcW w:w="1497" w:type="pct"/>
            <w:vMerge w:val="restart"/>
            <w:tcBorders>
              <w:top w:val="single" w:sz="4" w:space="0" w:color="auto"/>
              <w:left w:val="single" w:sz="4" w:space="0" w:color="auto"/>
              <w:right w:val="single" w:sz="4" w:space="0" w:color="auto"/>
            </w:tcBorders>
            <w:vAlign w:val="center"/>
          </w:tcPr>
          <w:p w14:paraId="2EFCED2D"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技师在控制室操纵设备进行扫描</w:t>
            </w:r>
          </w:p>
        </w:tc>
        <w:tc>
          <w:tcPr>
            <w:tcW w:w="1528" w:type="pct"/>
            <w:tcBorders>
              <w:top w:val="single" w:sz="4" w:space="0" w:color="auto"/>
              <w:left w:val="single" w:sz="4" w:space="0" w:color="auto"/>
              <w:bottom w:val="single" w:sz="4" w:space="0" w:color="auto"/>
              <w:right w:val="single" w:sz="4" w:space="0" w:color="auto"/>
            </w:tcBorders>
            <w:vAlign w:val="center"/>
          </w:tcPr>
          <w:p w14:paraId="3823ABF1"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15</w:t>
            </w:r>
            <w:r w:rsidRPr="00B12FE0">
              <w:rPr>
                <w:bCs/>
                <w:color w:val="000000" w:themeColor="text1"/>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tcBorders>
              <w:left w:val="single" w:sz="4" w:space="0" w:color="auto"/>
              <w:right w:val="single" w:sz="4" w:space="0" w:color="auto"/>
            </w:tcBorders>
            <w:vAlign w:val="center"/>
          </w:tcPr>
          <w:p w14:paraId="4B881929" w14:textId="77777777" w:rsidR="00A67F21" w:rsidRPr="00B12FE0" w:rsidRDefault="00A67F21">
            <w:pPr>
              <w:adjustRightInd w:val="0"/>
              <w:jc w:val="center"/>
              <w:rPr>
                <w:bCs/>
                <w:color w:val="000000" w:themeColor="text1"/>
                <w:sz w:val="21"/>
                <w:szCs w:val="21"/>
              </w:rPr>
            </w:pPr>
          </w:p>
        </w:tc>
      </w:tr>
      <w:tr w:rsidR="00A67F21" w:rsidRPr="00B12FE0" w14:paraId="3A423DBA" w14:textId="77777777">
        <w:trPr>
          <w:trHeight w:val="454"/>
          <w:jc w:val="center"/>
        </w:trPr>
        <w:tc>
          <w:tcPr>
            <w:tcW w:w="1138" w:type="pct"/>
            <w:vMerge/>
            <w:tcBorders>
              <w:left w:val="single" w:sz="4" w:space="0" w:color="auto"/>
              <w:bottom w:val="single" w:sz="4" w:space="0" w:color="auto"/>
              <w:right w:val="single" w:sz="4" w:space="0" w:color="auto"/>
            </w:tcBorders>
            <w:vAlign w:val="center"/>
          </w:tcPr>
          <w:p w14:paraId="34FF4358" w14:textId="77777777" w:rsidR="00A67F21" w:rsidRPr="00B12FE0" w:rsidRDefault="00A67F21">
            <w:pPr>
              <w:adjustRightInd w:val="0"/>
              <w:jc w:val="center"/>
              <w:rPr>
                <w:bCs/>
                <w:color w:val="000000" w:themeColor="text1"/>
                <w:sz w:val="21"/>
                <w:szCs w:val="21"/>
              </w:rPr>
            </w:pPr>
          </w:p>
        </w:tc>
        <w:tc>
          <w:tcPr>
            <w:tcW w:w="1497" w:type="pct"/>
            <w:vMerge/>
            <w:tcBorders>
              <w:left w:val="single" w:sz="4" w:space="0" w:color="auto"/>
              <w:bottom w:val="single" w:sz="4" w:space="0" w:color="auto"/>
              <w:right w:val="single" w:sz="4" w:space="0" w:color="auto"/>
            </w:tcBorders>
            <w:vAlign w:val="center"/>
          </w:tcPr>
          <w:p w14:paraId="3FC7630E" w14:textId="77777777" w:rsidR="00A67F21" w:rsidRPr="00B12FE0" w:rsidRDefault="00A67F21">
            <w:pPr>
              <w:adjustRightInd w:val="0"/>
              <w:jc w:val="center"/>
              <w:rPr>
                <w:bCs/>
                <w:color w:val="000000" w:themeColor="text1"/>
                <w:sz w:val="21"/>
                <w:szCs w:val="21"/>
              </w:rPr>
            </w:pPr>
          </w:p>
        </w:tc>
        <w:tc>
          <w:tcPr>
            <w:tcW w:w="1528" w:type="pct"/>
            <w:tcBorders>
              <w:top w:val="single" w:sz="4" w:space="0" w:color="auto"/>
              <w:left w:val="single" w:sz="4" w:space="0" w:color="auto"/>
              <w:bottom w:val="single" w:sz="4" w:space="0" w:color="auto"/>
              <w:right w:val="single" w:sz="4" w:space="0" w:color="auto"/>
            </w:tcBorders>
            <w:vAlign w:val="center"/>
          </w:tcPr>
          <w:p w14:paraId="5F2FF2FD"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C</w:t>
            </w:r>
            <w:r w:rsidRPr="00B12FE0">
              <w:rPr>
                <w:bCs/>
                <w:color w:val="000000" w:themeColor="text1"/>
                <w:sz w:val="21"/>
                <w:szCs w:val="21"/>
              </w:rPr>
              <w:t>T</w:t>
            </w:r>
            <w:r w:rsidRPr="00B12FE0">
              <w:rPr>
                <w:rFonts w:hint="eastAsia"/>
                <w:bCs/>
                <w:color w:val="000000" w:themeColor="text1"/>
                <w:sz w:val="21"/>
                <w:szCs w:val="21"/>
              </w:rPr>
              <w:t>扫描每人次</w:t>
            </w:r>
            <w:r w:rsidRPr="00B12FE0">
              <w:rPr>
                <w:rFonts w:hint="eastAsia"/>
                <w:bCs/>
                <w:color w:val="000000" w:themeColor="text1"/>
                <w:sz w:val="21"/>
                <w:szCs w:val="21"/>
              </w:rPr>
              <w:t>1</w:t>
            </w:r>
            <w:r w:rsidRPr="00B12FE0">
              <w:rPr>
                <w:bCs/>
                <w:color w:val="000000" w:themeColor="text1"/>
                <w:sz w:val="21"/>
                <w:szCs w:val="21"/>
              </w:rPr>
              <w:t>0</w:t>
            </w:r>
            <w:r w:rsidRPr="00B12FE0">
              <w:rPr>
                <w:rFonts w:hint="eastAsia"/>
                <w:bCs/>
                <w:color w:val="000000" w:themeColor="text1"/>
                <w:sz w:val="21"/>
                <w:szCs w:val="21"/>
              </w:rPr>
              <w:t>秒</w:t>
            </w:r>
          </w:p>
        </w:tc>
        <w:tc>
          <w:tcPr>
            <w:tcW w:w="837" w:type="pct"/>
            <w:vMerge/>
            <w:tcBorders>
              <w:left w:val="single" w:sz="4" w:space="0" w:color="auto"/>
              <w:right w:val="single" w:sz="4" w:space="0" w:color="auto"/>
            </w:tcBorders>
            <w:vAlign w:val="center"/>
          </w:tcPr>
          <w:p w14:paraId="4D89CB1F" w14:textId="77777777" w:rsidR="00A67F21" w:rsidRPr="00B12FE0" w:rsidRDefault="00A67F21">
            <w:pPr>
              <w:adjustRightInd w:val="0"/>
              <w:jc w:val="center"/>
              <w:rPr>
                <w:bCs/>
                <w:color w:val="000000" w:themeColor="text1"/>
                <w:sz w:val="21"/>
                <w:szCs w:val="21"/>
              </w:rPr>
            </w:pPr>
          </w:p>
        </w:tc>
      </w:tr>
      <w:tr w:rsidR="00A67F21" w:rsidRPr="00B12FE0" w14:paraId="57F73C8B"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1A46DDC4"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SPECT/CT2</w:t>
            </w:r>
            <w:r w:rsidRPr="00B12FE0">
              <w:rPr>
                <w:bCs/>
                <w:color w:val="000000" w:themeColor="text1"/>
                <w:sz w:val="21"/>
                <w:szCs w:val="21"/>
              </w:rPr>
              <w:t>机房</w:t>
            </w:r>
          </w:p>
        </w:tc>
        <w:tc>
          <w:tcPr>
            <w:tcW w:w="1497" w:type="pct"/>
            <w:tcBorders>
              <w:top w:val="single" w:sz="4" w:space="0" w:color="auto"/>
              <w:left w:val="single" w:sz="4" w:space="0" w:color="auto"/>
              <w:bottom w:val="single" w:sz="4" w:space="0" w:color="auto"/>
              <w:right w:val="single" w:sz="4" w:space="0" w:color="auto"/>
            </w:tcBorders>
            <w:vAlign w:val="center"/>
          </w:tcPr>
          <w:p w14:paraId="2BB66FD6"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指导</w:t>
            </w:r>
            <w:proofErr w:type="gramStart"/>
            <w:r w:rsidRPr="00B12FE0">
              <w:rPr>
                <w:bCs/>
                <w:color w:val="000000" w:themeColor="text1"/>
                <w:sz w:val="21"/>
                <w:szCs w:val="21"/>
              </w:rPr>
              <w:t>患者躺至正确</w:t>
            </w:r>
            <w:proofErr w:type="gramEnd"/>
            <w:r w:rsidRPr="00B12FE0">
              <w:rPr>
                <w:bCs/>
                <w:color w:val="000000" w:themeColor="text1"/>
                <w:sz w:val="21"/>
                <w:szCs w:val="21"/>
              </w:rPr>
              <w:t>的位置</w:t>
            </w:r>
          </w:p>
        </w:tc>
        <w:tc>
          <w:tcPr>
            <w:tcW w:w="1528" w:type="pct"/>
            <w:tcBorders>
              <w:top w:val="single" w:sz="4" w:space="0" w:color="auto"/>
              <w:left w:val="single" w:sz="4" w:space="0" w:color="auto"/>
              <w:bottom w:val="single" w:sz="4" w:space="0" w:color="auto"/>
              <w:right w:val="single" w:sz="4" w:space="0" w:color="auto"/>
            </w:tcBorders>
            <w:vAlign w:val="center"/>
          </w:tcPr>
          <w:p w14:paraId="10ED3119"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1</w:t>
            </w:r>
            <w:r w:rsidRPr="00B12FE0">
              <w:rPr>
                <w:bCs/>
                <w:color w:val="000000" w:themeColor="text1"/>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tcBorders>
              <w:left w:val="single" w:sz="4" w:space="0" w:color="auto"/>
              <w:right w:val="single" w:sz="4" w:space="0" w:color="auto"/>
            </w:tcBorders>
            <w:vAlign w:val="center"/>
          </w:tcPr>
          <w:p w14:paraId="76814314" w14:textId="77777777" w:rsidR="00A67F21" w:rsidRPr="00B12FE0" w:rsidRDefault="00A67F21">
            <w:pPr>
              <w:adjustRightInd w:val="0"/>
              <w:jc w:val="center"/>
              <w:rPr>
                <w:bCs/>
                <w:color w:val="000000" w:themeColor="text1"/>
                <w:sz w:val="21"/>
                <w:szCs w:val="21"/>
              </w:rPr>
            </w:pPr>
          </w:p>
        </w:tc>
      </w:tr>
      <w:tr w:rsidR="00A67F21" w:rsidRPr="00B12FE0" w14:paraId="5AD18BD6" w14:textId="77777777">
        <w:trPr>
          <w:trHeight w:val="454"/>
          <w:jc w:val="center"/>
        </w:trPr>
        <w:tc>
          <w:tcPr>
            <w:tcW w:w="1138" w:type="pct"/>
            <w:vMerge w:val="restart"/>
            <w:tcBorders>
              <w:top w:val="single" w:sz="4" w:space="0" w:color="auto"/>
              <w:left w:val="single" w:sz="4" w:space="0" w:color="auto"/>
              <w:right w:val="single" w:sz="4" w:space="0" w:color="auto"/>
            </w:tcBorders>
            <w:vAlign w:val="center"/>
          </w:tcPr>
          <w:p w14:paraId="42DA7816"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SPECT/CT2</w:t>
            </w:r>
            <w:r w:rsidRPr="00B12FE0">
              <w:rPr>
                <w:bCs/>
                <w:color w:val="000000" w:themeColor="text1"/>
                <w:sz w:val="21"/>
                <w:szCs w:val="21"/>
              </w:rPr>
              <w:t>机房控制室</w:t>
            </w:r>
          </w:p>
        </w:tc>
        <w:tc>
          <w:tcPr>
            <w:tcW w:w="1497" w:type="pct"/>
            <w:vMerge w:val="restart"/>
            <w:tcBorders>
              <w:top w:val="single" w:sz="4" w:space="0" w:color="auto"/>
              <w:left w:val="single" w:sz="4" w:space="0" w:color="auto"/>
              <w:right w:val="single" w:sz="4" w:space="0" w:color="auto"/>
            </w:tcBorders>
            <w:vAlign w:val="center"/>
          </w:tcPr>
          <w:p w14:paraId="523DCACB"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技师在控制室操纵设备进行扫描</w:t>
            </w:r>
          </w:p>
        </w:tc>
        <w:tc>
          <w:tcPr>
            <w:tcW w:w="1528" w:type="pct"/>
            <w:tcBorders>
              <w:top w:val="single" w:sz="4" w:space="0" w:color="auto"/>
              <w:left w:val="single" w:sz="4" w:space="0" w:color="auto"/>
              <w:bottom w:val="single" w:sz="4" w:space="0" w:color="auto"/>
              <w:right w:val="single" w:sz="4" w:space="0" w:color="auto"/>
            </w:tcBorders>
            <w:vAlign w:val="center"/>
          </w:tcPr>
          <w:p w14:paraId="2799AFAE"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15</w:t>
            </w:r>
            <w:r w:rsidRPr="00B12FE0">
              <w:rPr>
                <w:bCs/>
                <w:color w:val="000000" w:themeColor="text1"/>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tcBorders>
              <w:left w:val="single" w:sz="4" w:space="0" w:color="auto"/>
              <w:right w:val="single" w:sz="4" w:space="0" w:color="auto"/>
            </w:tcBorders>
            <w:vAlign w:val="center"/>
          </w:tcPr>
          <w:p w14:paraId="4DF56932" w14:textId="77777777" w:rsidR="00A67F21" w:rsidRPr="00B12FE0" w:rsidRDefault="00A67F21">
            <w:pPr>
              <w:adjustRightInd w:val="0"/>
              <w:jc w:val="center"/>
              <w:rPr>
                <w:bCs/>
                <w:color w:val="000000" w:themeColor="text1"/>
                <w:sz w:val="21"/>
                <w:szCs w:val="21"/>
              </w:rPr>
            </w:pPr>
          </w:p>
        </w:tc>
      </w:tr>
      <w:tr w:rsidR="00A67F21" w:rsidRPr="00B12FE0" w14:paraId="7FDF2A67" w14:textId="77777777">
        <w:trPr>
          <w:trHeight w:val="454"/>
          <w:jc w:val="center"/>
        </w:trPr>
        <w:tc>
          <w:tcPr>
            <w:tcW w:w="1138" w:type="pct"/>
            <w:vMerge/>
            <w:tcBorders>
              <w:left w:val="single" w:sz="4" w:space="0" w:color="auto"/>
              <w:bottom w:val="single" w:sz="4" w:space="0" w:color="auto"/>
              <w:right w:val="single" w:sz="4" w:space="0" w:color="auto"/>
            </w:tcBorders>
            <w:vAlign w:val="center"/>
          </w:tcPr>
          <w:p w14:paraId="33EE876E" w14:textId="77777777" w:rsidR="00A67F21" w:rsidRPr="00B12FE0" w:rsidRDefault="00A67F21">
            <w:pPr>
              <w:adjustRightInd w:val="0"/>
              <w:jc w:val="center"/>
              <w:rPr>
                <w:bCs/>
                <w:color w:val="000000" w:themeColor="text1"/>
                <w:sz w:val="21"/>
                <w:szCs w:val="21"/>
              </w:rPr>
            </w:pPr>
          </w:p>
        </w:tc>
        <w:tc>
          <w:tcPr>
            <w:tcW w:w="1497" w:type="pct"/>
            <w:vMerge/>
            <w:tcBorders>
              <w:left w:val="single" w:sz="4" w:space="0" w:color="auto"/>
              <w:bottom w:val="single" w:sz="4" w:space="0" w:color="auto"/>
              <w:right w:val="single" w:sz="4" w:space="0" w:color="auto"/>
            </w:tcBorders>
            <w:vAlign w:val="center"/>
          </w:tcPr>
          <w:p w14:paraId="60CE5602" w14:textId="77777777" w:rsidR="00A67F21" w:rsidRPr="00B12FE0" w:rsidRDefault="00A67F21">
            <w:pPr>
              <w:adjustRightInd w:val="0"/>
              <w:jc w:val="center"/>
              <w:rPr>
                <w:bCs/>
                <w:color w:val="000000" w:themeColor="text1"/>
                <w:sz w:val="21"/>
                <w:szCs w:val="21"/>
              </w:rPr>
            </w:pPr>
          </w:p>
        </w:tc>
        <w:tc>
          <w:tcPr>
            <w:tcW w:w="1528" w:type="pct"/>
            <w:tcBorders>
              <w:top w:val="single" w:sz="4" w:space="0" w:color="auto"/>
              <w:left w:val="single" w:sz="4" w:space="0" w:color="auto"/>
              <w:bottom w:val="single" w:sz="4" w:space="0" w:color="auto"/>
              <w:right w:val="single" w:sz="4" w:space="0" w:color="auto"/>
            </w:tcBorders>
            <w:vAlign w:val="center"/>
          </w:tcPr>
          <w:p w14:paraId="66C67CC4"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C</w:t>
            </w:r>
            <w:r w:rsidRPr="00B12FE0">
              <w:rPr>
                <w:bCs/>
                <w:color w:val="000000" w:themeColor="text1"/>
                <w:sz w:val="21"/>
                <w:szCs w:val="21"/>
              </w:rPr>
              <w:t>T</w:t>
            </w:r>
            <w:r w:rsidRPr="00B12FE0">
              <w:rPr>
                <w:rFonts w:hint="eastAsia"/>
                <w:bCs/>
                <w:color w:val="000000" w:themeColor="text1"/>
                <w:sz w:val="21"/>
                <w:szCs w:val="21"/>
              </w:rPr>
              <w:t>扫描每人次</w:t>
            </w:r>
            <w:r w:rsidRPr="00B12FE0">
              <w:rPr>
                <w:rFonts w:hint="eastAsia"/>
                <w:bCs/>
                <w:color w:val="000000" w:themeColor="text1"/>
                <w:sz w:val="21"/>
                <w:szCs w:val="21"/>
              </w:rPr>
              <w:t>1</w:t>
            </w:r>
            <w:r w:rsidRPr="00B12FE0">
              <w:rPr>
                <w:bCs/>
                <w:color w:val="000000" w:themeColor="text1"/>
                <w:sz w:val="21"/>
                <w:szCs w:val="21"/>
              </w:rPr>
              <w:t>0</w:t>
            </w:r>
            <w:r w:rsidRPr="00B12FE0">
              <w:rPr>
                <w:rFonts w:hint="eastAsia"/>
                <w:bCs/>
                <w:color w:val="000000" w:themeColor="text1"/>
                <w:sz w:val="21"/>
                <w:szCs w:val="21"/>
              </w:rPr>
              <w:t>秒</w:t>
            </w:r>
          </w:p>
        </w:tc>
        <w:tc>
          <w:tcPr>
            <w:tcW w:w="837" w:type="pct"/>
            <w:vMerge/>
            <w:tcBorders>
              <w:left w:val="single" w:sz="4" w:space="0" w:color="auto"/>
              <w:right w:val="single" w:sz="4" w:space="0" w:color="auto"/>
            </w:tcBorders>
            <w:vAlign w:val="center"/>
          </w:tcPr>
          <w:p w14:paraId="67AD5693" w14:textId="77777777" w:rsidR="00A67F21" w:rsidRPr="00B12FE0" w:rsidRDefault="00A67F21">
            <w:pPr>
              <w:adjustRightInd w:val="0"/>
              <w:jc w:val="center"/>
              <w:rPr>
                <w:bCs/>
                <w:color w:val="000000" w:themeColor="text1"/>
                <w:sz w:val="21"/>
                <w:szCs w:val="21"/>
              </w:rPr>
            </w:pPr>
          </w:p>
        </w:tc>
      </w:tr>
      <w:tr w:rsidR="00A67F21" w:rsidRPr="00B12FE0" w14:paraId="2A527C57" w14:textId="77777777">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F6AABED" w14:textId="77777777" w:rsidR="00A67F21" w:rsidRPr="00B12FE0" w:rsidRDefault="00000000">
            <w:pPr>
              <w:adjustRightInd w:val="0"/>
              <w:jc w:val="center"/>
              <w:rPr>
                <w:rFonts w:ascii="宋体" w:hAnsi="宋体" w:hint="eastAsia"/>
                <w:b/>
                <w:bCs/>
                <w:color w:val="000000" w:themeColor="text1"/>
                <w:kern w:val="0"/>
                <w:sz w:val="21"/>
                <w:szCs w:val="21"/>
              </w:rPr>
            </w:pPr>
            <w:r w:rsidRPr="00B12FE0">
              <w:rPr>
                <w:rFonts w:ascii="宋体" w:hAnsi="宋体" w:hint="eastAsia"/>
                <w:b/>
                <w:bCs/>
                <w:color w:val="000000" w:themeColor="text1"/>
                <w:kern w:val="0"/>
                <w:sz w:val="21"/>
                <w:szCs w:val="21"/>
              </w:rPr>
              <w:t>核素治疗场所</w:t>
            </w:r>
          </w:p>
        </w:tc>
      </w:tr>
      <w:tr w:rsidR="00A67F21" w:rsidRPr="00B12FE0" w14:paraId="3767C7F1" w14:textId="77777777">
        <w:trPr>
          <w:trHeight w:val="454"/>
          <w:jc w:val="center"/>
        </w:trPr>
        <w:tc>
          <w:tcPr>
            <w:tcW w:w="1138" w:type="pct"/>
            <w:tcBorders>
              <w:top w:val="single" w:sz="4" w:space="0" w:color="auto"/>
              <w:left w:val="single" w:sz="4" w:space="0" w:color="auto"/>
              <w:bottom w:val="single" w:sz="4" w:space="0" w:color="auto"/>
              <w:right w:val="single" w:sz="4" w:space="0" w:color="auto"/>
            </w:tcBorders>
            <w:vAlign w:val="center"/>
          </w:tcPr>
          <w:p w14:paraId="3978D5E5"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工作场所</w:t>
            </w:r>
          </w:p>
        </w:tc>
        <w:tc>
          <w:tcPr>
            <w:tcW w:w="1497" w:type="pct"/>
            <w:tcBorders>
              <w:top w:val="single" w:sz="4" w:space="0" w:color="auto"/>
              <w:left w:val="single" w:sz="4" w:space="0" w:color="auto"/>
              <w:bottom w:val="single" w:sz="4" w:space="0" w:color="auto"/>
              <w:right w:val="single" w:sz="4" w:space="0" w:color="auto"/>
            </w:tcBorders>
            <w:vAlign w:val="center"/>
          </w:tcPr>
          <w:p w14:paraId="6BB2862F" w14:textId="77777777" w:rsidR="00A67F21" w:rsidRPr="00B12FE0" w:rsidRDefault="00000000">
            <w:pPr>
              <w:adjustRightInd w:val="0"/>
              <w:jc w:val="center"/>
              <w:rPr>
                <w:bCs/>
                <w:color w:val="000000" w:themeColor="text1"/>
                <w:sz w:val="21"/>
                <w:szCs w:val="21"/>
              </w:rPr>
            </w:pPr>
            <w:r w:rsidRPr="00B12FE0">
              <w:rPr>
                <w:bCs/>
                <w:color w:val="000000" w:themeColor="text1"/>
                <w:kern w:val="0"/>
                <w:sz w:val="21"/>
                <w:szCs w:val="21"/>
              </w:rPr>
              <w:t>操作内容</w:t>
            </w:r>
          </w:p>
        </w:tc>
        <w:tc>
          <w:tcPr>
            <w:tcW w:w="1528" w:type="pct"/>
            <w:tcBorders>
              <w:top w:val="single" w:sz="4" w:space="0" w:color="auto"/>
              <w:left w:val="single" w:sz="4" w:space="0" w:color="auto"/>
              <w:bottom w:val="single" w:sz="4" w:space="0" w:color="auto"/>
              <w:right w:val="single" w:sz="4" w:space="0" w:color="auto"/>
            </w:tcBorders>
            <w:vAlign w:val="center"/>
          </w:tcPr>
          <w:p w14:paraId="3AD2AAAB" w14:textId="77777777" w:rsidR="00A67F21" w:rsidRPr="00B12FE0" w:rsidRDefault="00000000">
            <w:pPr>
              <w:adjustRightInd w:val="0"/>
              <w:jc w:val="center"/>
              <w:rPr>
                <w:bCs/>
                <w:color w:val="000000" w:themeColor="text1"/>
                <w:kern w:val="0"/>
                <w:sz w:val="21"/>
                <w:szCs w:val="21"/>
              </w:rPr>
            </w:pPr>
            <w:r w:rsidRPr="00B12FE0">
              <w:rPr>
                <w:bCs/>
                <w:color w:val="000000" w:themeColor="text1"/>
                <w:kern w:val="0"/>
                <w:sz w:val="21"/>
                <w:szCs w:val="21"/>
              </w:rPr>
              <w:t>操作时间</w:t>
            </w:r>
          </w:p>
        </w:tc>
        <w:tc>
          <w:tcPr>
            <w:tcW w:w="837" w:type="pct"/>
            <w:tcBorders>
              <w:left w:val="single" w:sz="4" w:space="0" w:color="auto"/>
              <w:right w:val="single" w:sz="4" w:space="0" w:color="auto"/>
            </w:tcBorders>
            <w:vAlign w:val="center"/>
          </w:tcPr>
          <w:p w14:paraId="3EEA23AF" w14:textId="77777777" w:rsidR="00A67F21" w:rsidRPr="00B12FE0" w:rsidRDefault="00000000">
            <w:pPr>
              <w:adjustRightInd w:val="0"/>
              <w:jc w:val="center"/>
              <w:rPr>
                <w:bCs/>
                <w:color w:val="000000" w:themeColor="text1"/>
                <w:sz w:val="21"/>
                <w:szCs w:val="21"/>
              </w:rPr>
            </w:pPr>
            <w:r w:rsidRPr="00B12FE0">
              <w:rPr>
                <w:bCs/>
                <w:color w:val="000000" w:themeColor="text1"/>
                <w:kern w:val="0"/>
                <w:sz w:val="21"/>
                <w:szCs w:val="21"/>
              </w:rPr>
              <w:t>人员数量</w:t>
            </w:r>
          </w:p>
        </w:tc>
      </w:tr>
      <w:tr w:rsidR="00A67F21" w:rsidRPr="00B12FE0" w14:paraId="09F5913B" w14:textId="77777777">
        <w:trPr>
          <w:trHeight w:val="454"/>
          <w:jc w:val="center"/>
        </w:trPr>
        <w:tc>
          <w:tcPr>
            <w:tcW w:w="1138" w:type="pct"/>
            <w:vMerge w:val="restart"/>
            <w:tcBorders>
              <w:top w:val="single" w:sz="4" w:space="0" w:color="auto"/>
              <w:left w:val="single" w:sz="4" w:space="0" w:color="auto"/>
              <w:right w:val="single" w:sz="4" w:space="0" w:color="auto"/>
            </w:tcBorders>
            <w:vAlign w:val="center"/>
          </w:tcPr>
          <w:p w14:paraId="236E3A73" w14:textId="77777777" w:rsidR="00A67F21" w:rsidRPr="00B12FE0" w:rsidRDefault="00000000">
            <w:pPr>
              <w:adjustRightInd w:val="0"/>
              <w:jc w:val="center"/>
              <w:rPr>
                <w:bCs/>
                <w:color w:val="000000" w:themeColor="text1"/>
                <w:sz w:val="21"/>
                <w:szCs w:val="21"/>
              </w:rPr>
            </w:pPr>
            <w:proofErr w:type="gramStart"/>
            <w:r w:rsidRPr="00B12FE0">
              <w:rPr>
                <w:rFonts w:hint="eastAsia"/>
                <w:bCs/>
                <w:color w:val="000000" w:themeColor="text1"/>
                <w:sz w:val="21"/>
                <w:szCs w:val="21"/>
              </w:rPr>
              <w:t>高活室</w:t>
            </w:r>
            <w:proofErr w:type="gramEnd"/>
          </w:p>
        </w:tc>
        <w:tc>
          <w:tcPr>
            <w:tcW w:w="1497" w:type="pct"/>
            <w:tcBorders>
              <w:top w:val="single" w:sz="4" w:space="0" w:color="auto"/>
              <w:left w:val="single" w:sz="4" w:space="0" w:color="auto"/>
              <w:bottom w:val="single" w:sz="4" w:space="0" w:color="auto"/>
              <w:right w:val="single" w:sz="4" w:space="0" w:color="auto"/>
            </w:tcBorders>
            <w:vAlign w:val="center"/>
          </w:tcPr>
          <w:p w14:paraId="56C515B5" w14:textId="77777777" w:rsidR="00A67F21" w:rsidRPr="00B12FE0" w:rsidRDefault="00000000">
            <w:pPr>
              <w:adjustRightInd w:val="0"/>
              <w:jc w:val="center"/>
              <w:rPr>
                <w:bCs/>
                <w:color w:val="000000" w:themeColor="text1"/>
                <w:sz w:val="21"/>
                <w:szCs w:val="21"/>
              </w:rPr>
            </w:pPr>
            <w:proofErr w:type="gramStart"/>
            <w:r w:rsidRPr="00B12FE0">
              <w:rPr>
                <w:rFonts w:hint="eastAsia"/>
                <w:bCs/>
                <w:color w:val="000000" w:themeColor="text1"/>
                <w:kern w:val="0"/>
                <w:sz w:val="21"/>
                <w:szCs w:val="21"/>
              </w:rPr>
              <w:t>将铅罐安装</w:t>
            </w:r>
            <w:proofErr w:type="gramEnd"/>
            <w:r w:rsidRPr="00B12FE0">
              <w:rPr>
                <w:rFonts w:hint="eastAsia"/>
                <w:bCs/>
                <w:color w:val="000000" w:themeColor="text1"/>
                <w:kern w:val="0"/>
                <w:sz w:val="21"/>
                <w:szCs w:val="21"/>
              </w:rPr>
              <w:t>到自动</w:t>
            </w:r>
            <w:proofErr w:type="gramStart"/>
            <w:r w:rsidRPr="00B12FE0">
              <w:rPr>
                <w:rFonts w:hint="eastAsia"/>
                <w:bCs/>
                <w:color w:val="000000" w:themeColor="text1"/>
                <w:kern w:val="0"/>
                <w:sz w:val="21"/>
                <w:szCs w:val="21"/>
              </w:rPr>
              <w:t>分碘仪</w:t>
            </w:r>
            <w:proofErr w:type="gramEnd"/>
          </w:p>
        </w:tc>
        <w:tc>
          <w:tcPr>
            <w:tcW w:w="1528" w:type="pct"/>
            <w:tcBorders>
              <w:top w:val="single" w:sz="4" w:space="0" w:color="auto"/>
              <w:left w:val="single" w:sz="4" w:space="0" w:color="auto"/>
              <w:bottom w:val="single" w:sz="4" w:space="0" w:color="auto"/>
              <w:right w:val="single" w:sz="4" w:space="0" w:color="auto"/>
            </w:tcBorders>
            <w:vAlign w:val="center"/>
          </w:tcPr>
          <w:p w14:paraId="61DEA8FA" w14:textId="77777777" w:rsidR="00A67F21" w:rsidRPr="00B12FE0" w:rsidRDefault="00000000">
            <w:pPr>
              <w:adjustRightInd w:val="0"/>
              <w:jc w:val="center"/>
              <w:rPr>
                <w:bCs/>
                <w:color w:val="000000" w:themeColor="text1"/>
                <w:kern w:val="0"/>
                <w:sz w:val="21"/>
                <w:szCs w:val="21"/>
              </w:rPr>
            </w:pPr>
            <w:r w:rsidRPr="00B12FE0">
              <w:rPr>
                <w:rFonts w:hint="eastAsia"/>
                <w:bCs/>
                <w:color w:val="000000" w:themeColor="text1"/>
                <w:kern w:val="0"/>
                <w:sz w:val="21"/>
                <w:szCs w:val="21"/>
              </w:rPr>
              <w:t>3</w:t>
            </w:r>
            <w:r w:rsidRPr="00B12FE0">
              <w:rPr>
                <w:rFonts w:hint="eastAsia"/>
                <w:bCs/>
                <w:color w:val="000000" w:themeColor="text1"/>
                <w:kern w:val="0"/>
                <w:sz w:val="21"/>
                <w:szCs w:val="21"/>
              </w:rPr>
              <w:t>分钟</w:t>
            </w:r>
            <w:r w:rsidRPr="00B12FE0">
              <w:rPr>
                <w:rFonts w:hint="eastAsia"/>
                <w:bCs/>
                <w:color w:val="000000" w:themeColor="text1"/>
                <w:kern w:val="0"/>
                <w:sz w:val="21"/>
                <w:szCs w:val="21"/>
              </w:rPr>
              <w:t>/</w:t>
            </w:r>
            <w:r w:rsidRPr="00B12FE0">
              <w:rPr>
                <w:rFonts w:hint="eastAsia"/>
                <w:bCs/>
                <w:color w:val="000000" w:themeColor="text1"/>
                <w:kern w:val="0"/>
                <w:sz w:val="21"/>
                <w:szCs w:val="21"/>
              </w:rPr>
              <w:t>次</w:t>
            </w:r>
          </w:p>
        </w:tc>
        <w:tc>
          <w:tcPr>
            <w:tcW w:w="837" w:type="pct"/>
            <w:vMerge w:val="restart"/>
            <w:tcBorders>
              <w:left w:val="single" w:sz="4" w:space="0" w:color="auto"/>
              <w:right w:val="single" w:sz="4" w:space="0" w:color="auto"/>
            </w:tcBorders>
            <w:vAlign w:val="center"/>
          </w:tcPr>
          <w:p w14:paraId="36057210"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kern w:val="0"/>
                <w:sz w:val="21"/>
                <w:szCs w:val="21"/>
              </w:rPr>
              <w:t>4</w:t>
            </w:r>
            <w:r w:rsidRPr="00B12FE0">
              <w:rPr>
                <w:bCs/>
                <w:color w:val="000000" w:themeColor="text1"/>
                <w:kern w:val="0"/>
                <w:sz w:val="21"/>
                <w:szCs w:val="21"/>
              </w:rPr>
              <w:t>人</w:t>
            </w:r>
            <w:r w:rsidRPr="00B12FE0">
              <w:rPr>
                <w:rFonts w:hint="eastAsia"/>
                <w:bCs/>
                <w:color w:val="000000" w:themeColor="text1"/>
                <w:kern w:val="0"/>
                <w:sz w:val="21"/>
                <w:szCs w:val="21"/>
              </w:rPr>
              <w:t>（</w:t>
            </w:r>
            <w:r w:rsidRPr="00B12FE0">
              <w:rPr>
                <w:rFonts w:hint="eastAsia"/>
                <w:bCs/>
                <w:color w:val="000000" w:themeColor="text1"/>
                <w:kern w:val="0"/>
                <w:sz w:val="21"/>
                <w:szCs w:val="21"/>
              </w:rPr>
              <w:t>2</w:t>
            </w:r>
            <w:r w:rsidRPr="00B12FE0">
              <w:rPr>
                <w:rFonts w:hint="eastAsia"/>
                <w:bCs/>
                <w:color w:val="000000" w:themeColor="text1"/>
                <w:kern w:val="0"/>
                <w:sz w:val="21"/>
                <w:szCs w:val="21"/>
              </w:rPr>
              <w:t>人一组轮岗）</w:t>
            </w:r>
          </w:p>
        </w:tc>
      </w:tr>
      <w:tr w:rsidR="00A67F21" w:rsidRPr="00B12FE0" w14:paraId="02AF34DB" w14:textId="77777777">
        <w:trPr>
          <w:trHeight w:val="454"/>
          <w:jc w:val="center"/>
        </w:trPr>
        <w:tc>
          <w:tcPr>
            <w:tcW w:w="1138" w:type="pct"/>
            <w:vMerge/>
            <w:tcBorders>
              <w:left w:val="single" w:sz="4" w:space="0" w:color="auto"/>
              <w:right w:val="single" w:sz="4" w:space="0" w:color="auto"/>
            </w:tcBorders>
            <w:vAlign w:val="center"/>
          </w:tcPr>
          <w:p w14:paraId="2CD12780" w14:textId="77777777" w:rsidR="00A67F21" w:rsidRPr="00B12FE0" w:rsidRDefault="00A67F21">
            <w:pPr>
              <w:adjustRightInd w:val="0"/>
              <w:jc w:val="center"/>
              <w:rPr>
                <w:bCs/>
                <w:color w:val="000000" w:themeColor="text1"/>
                <w:sz w:val="21"/>
                <w:szCs w:val="21"/>
              </w:rPr>
            </w:pPr>
          </w:p>
        </w:tc>
        <w:tc>
          <w:tcPr>
            <w:tcW w:w="1497" w:type="pct"/>
            <w:tcBorders>
              <w:top w:val="single" w:sz="4" w:space="0" w:color="auto"/>
              <w:left w:val="single" w:sz="4" w:space="0" w:color="auto"/>
              <w:bottom w:val="single" w:sz="4" w:space="0" w:color="auto"/>
              <w:right w:val="single" w:sz="4" w:space="0" w:color="auto"/>
            </w:tcBorders>
            <w:vAlign w:val="center"/>
          </w:tcPr>
          <w:p w14:paraId="6EE533A3"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远程操控</w:t>
            </w:r>
            <w:r w:rsidRPr="00B12FE0">
              <w:rPr>
                <w:bCs/>
                <w:color w:val="000000" w:themeColor="text1"/>
                <w:sz w:val="21"/>
                <w:szCs w:val="21"/>
              </w:rPr>
              <w:t>药品自动分装</w:t>
            </w:r>
            <w:r w:rsidRPr="00B12FE0">
              <w:rPr>
                <w:rFonts w:hint="eastAsia"/>
                <w:bCs/>
                <w:color w:val="000000" w:themeColor="text1"/>
                <w:sz w:val="21"/>
                <w:szCs w:val="21"/>
              </w:rPr>
              <w:t>，并</w:t>
            </w:r>
            <w:r w:rsidRPr="00B12FE0">
              <w:rPr>
                <w:bCs/>
                <w:color w:val="000000" w:themeColor="text1"/>
                <w:kern w:val="0"/>
                <w:sz w:val="21"/>
                <w:szCs w:val="21"/>
              </w:rPr>
              <w:t>指导患者在</w:t>
            </w:r>
            <w:proofErr w:type="gramStart"/>
            <w:r w:rsidRPr="00B12FE0">
              <w:rPr>
                <w:rFonts w:hint="eastAsia"/>
                <w:bCs/>
                <w:color w:val="000000" w:themeColor="text1"/>
                <w:kern w:val="0"/>
                <w:sz w:val="21"/>
                <w:szCs w:val="21"/>
              </w:rPr>
              <w:t>服碘</w:t>
            </w:r>
            <w:r w:rsidRPr="00B12FE0">
              <w:rPr>
                <w:bCs/>
                <w:color w:val="000000" w:themeColor="text1"/>
                <w:kern w:val="0"/>
                <w:sz w:val="21"/>
                <w:szCs w:val="21"/>
              </w:rPr>
              <w:t>室</w:t>
            </w:r>
            <w:proofErr w:type="gramEnd"/>
            <w:r w:rsidRPr="00B12FE0">
              <w:rPr>
                <w:bCs/>
                <w:color w:val="000000" w:themeColor="text1"/>
                <w:kern w:val="0"/>
                <w:sz w:val="21"/>
                <w:szCs w:val="21"/>
              </w:rPr>
              <w:t>服药</w:t>
            </w:r>
          </w:p>
        </w:tc>
        <w:tc>
          <w:tcPr>
            <w:tcW w:w="1528" w:type="pct"/>
            <w:tcBorders>
              <w:top w:val="single" w:sz="4" w:space="0" w:color="auto"/>
              <w:left w:val="single" w:sz="4" w:space="0" w:color="auto"/>
              <w:bottom w:val="single" w:sz="4" w:space="0" w:color="auto"/>
              <w:right w:val="single" w:sz="4" w:space="0" w:color="auto"/>
            </w:tcBorders>
            <w:vAlign w:val="center"/>
          </w:tcPr>
          <w:p w14:paraId="69FAE1C2" w14:textId="77777777" w:rsidR="00A67F21" w:rsidRPr="00B12FE0" w:rsidRDefault="00000000">
            <w:pPr>
              <w:adjustRightInd w:val="0"/>
              <w:jc w:val="center"/>
              <w:rPr>
                <w:bCs/>
                <w:color w:val="000000" w:themeColor="text1"/>
                <w:sz w:val="21"/>
                <w:szCs w:val="21"/>
              </w:rPr>
            </w:pPr>
            <w:r w:rsidRPr="00B12FE0">
              <w:rPr>
                <w:bCs/>
                <w:color w:val="000000" w:themeColor="text1"/>
                <w:kern w:val="0"/>
                <w:sz w:val="21"/>
                <w:szCs w:val="21"/>
              </w:rPr>
              <w:t>1</w:t>
            </w:r>
            <w:r w:rsidRPr="00B12FE0">
              <w:rPr>
                <w:rFonts w:hint="eastAsia"/>
                <w:bCs/>
                <w:color w:val="000000" w:themeColor="text1"/>
                <w:kern w:val="0"/>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vMerge/>
            <w:tcBorders>
              <w:left w:val="single" w:sz="4" w:space="0" w:color="auto"/>
              <w:right w:val="single" w:sz="4" w:space="0" w:color="auto"/>
            </w:tcBorders>
            <w:vAlign w:val="center"/>
          </w:tcPr>
          <w:p w14:paraId="58B3BEE5" w14:textId="77777777" w:rsidR="00A67F21" w:rsidRPr="00B12FE0" w:rsidRDefault="00A67F21">
            <w:pPr>
              <w:adjustRightInd w:val="0"/>
              <w:jc w:val="center"/>
              <w:rPr>
                <w:bCs/>
                <w:color w:val="000000" w:themeColor="text1"/>
                <w:sz w:val="21"/>
                <w:szCs w:val="21"/>
              </w:rPr>
            </w:pPr>
          </w:p>
        </w:tc>
      </w:tr>
      <w:tr w:rsidR="00A67F21" w:rsidRPr="00B12FE0" w14:paraId="07D449D1" w14:textId="77777777">
        <w:trPr>
          <w:trHeight w:val="454"/>
          <w:jc w:val="center"/>
        </w:trPr>
        <w:tc>
          <w:tcPr>
            <w:tcW w:w="1138" w:type="pct"/>
            <w:tcBorders>
              <w:left w:val="single" w:sz="4" w:space="0" w:color="auto"/>
              <w:bottom w:val="single" w:sz="4" w:space="0" w:color="auto"/>
              <w:right w:val="single" w:sz="4" w:space="0" w:color="auto"/>
            </w:tcBorders>
            <w:vAlign w:val="center"/>
          </w:tcPr>
          <w:p w14:paraId="168B6AFC"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病房</w:t>
            </w:r>
          </w:p>
        </w:tc>
        <w:tc>
          <w:tcPr>
            <w:tcW w:w="1497" w:type="pct"/>
            <w:tcBorders>
              <w:top w:val="single" w:sz="4" w:space="0" w:color="auto"/>
              <w:left w:val="single" w:sz="4" w:space="0" w:color="auto"/>
              <w:bottom w:val="single" w:sz="4" w:space="0" w:color="auto"/>
              <w:right w:val="single" w:sz="4" w:space="0" w:color="auto"/>
            </w:tcBorders>
            <w:vAlign w:val="center"/>
          </w:tcPr>
          <w:p w14:paraId="7D940C94"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查房</w:t>
            </w:r>
          </w:p>
        </w:tc>
        <w:tc>
          <w:tcPr>
            <w:tcW w:w="1528" w:type="pct"/>
            <w:tcBorders>
              <w:top w:val="single" w:sz="4" w:space="0" w:color="auto"/>
              <w:left w:val="single" w:sz="4" w:space="0" w:color="auto"/>
              <w:bottom w:val="single" w:sz="4" w:space="0" w:color="auto"/>
              <w:right w:val="single" w:sz="4" w:space="0" w:color="auto"/>
            </w:tcBorders>
            <w:vAlign w:val="center"/>
          </w:tcPr>
          <w:p w14:paraId="33B3821A" w14:textId="77777777" w:rsidR="00A67F21" w:rsidRPr="00B12FE0" w:rsidRDefault="00000000">
            <w:pPr>
              <w:adjustRightInd w:val="0"/>
              <w:jc w:val="center"/>
              <w:rPr>
                <w:bCs/>
                <w:color w:val="000000" w:themeColor="text1"/>
                <w:kern w:val="0"/>
                <w:sz w:val="21"/>
                <w:szCs w:val="21"/>
              </w:rPr>
            </w:pPr>
            <w:r w:rsidRPr="00B12FE0">
              <w:rPr>
                <w:rFonts w:hint="eastAsia"/>
                <w:bCs/>
                <w:color w:val="000000" w:themeColor="text1"/>
                <w:sz w:val="21"/>
                <w:szCs w:val="21"/>
              </w:rPr>
              <w:t>1</w:t>
            </w:r>
            <w:r w:rsidRPr="00B12FE0">
              <w:rPr>
                <w:rFonts w:hint="eastAsia"/>
                <w:bCs/>
                <w:color w:val="000000" w:themeColor="text1"/>
                <w:kern w:val="0"/>
                <w:sz w:val="21"/>
                <w:szCs w:val="21"/>
              </w:rPr>
              <w:t>分钟</w:t>
            </w:r>
            <w:r w:rsidRPr="00B12FE0">
              <w:rPr>
                <w:bCs/>
                <w:color w:val="000000" w:themeColor="text1"/>
                <w:sz w:val="21"/>
                <w:szCs w:val="21"/>
              </w:rPr>
              <w:t>/</w:t>
            </w:r>
            <w:r w:rsidRPr="00B12FE0">
              <w:rPr>
                <w:bCs/>
                <w:color w:val="000000" w:themeColor="text1"/>
                <w:sz w:val="21"/>
                <w:szCs w:val="21"/>
              </w:rPr>
              <w:t>次</w:t>
            </w:r>
          </w:p>
        </w:tc>
        <w:tc>
          <w:tcPr>
            <w:tcW w:w="837" w:type="pct"/>
            <w:tcBorders>
              <w:left w:val="single" w:sz="4" w:space="0" w:color="auto"/>
              <w:right w:val="single" w:sz="4" w:space="0" w:color="auto"/>
            </w:tcBorders>
            <w:vAlign w:val="center"/>
          </w:tcPr>
          <w:p w14:paraId="0892EE80" w14:textId="77777777" w:rsidR="00A67F21" w:rsidRPr="00B12FE0" w:rsidRDefault="00000000">
            <w:pPr>
              <w:adjustRightInd w:val="0"/>
              <w:jc w:val="center"/>
              <w:rPr>
                <w:bCs/>
                <w:color w:val="000000" w:themeColor="text1"/>
                <w:sz w:val="21"/>
                <w:szCs w:val="21"/>
              </w:rPr>
            </w:pPr>
            <w:r w:rsidRPr="00B12FE0">
              <w:rPr>
                <w:bCs/>
                <w:color w:val="000000" w:themeColor="text1"/>
                <w:sz w:val="21"/>
                <w:szCs w:val="21"/>
              </w:rPr>
              <w:t>4</w:t>
            </w:r>
            <w:r w:rsidRPr="00B12FE0">
              <w:rPr>
                <w:bCs/>
                <w:color w:val="000000" w:themeColor="text1"/>
                <w:sz w:val="21"/>
                <w:szCs w:val="21"/>
              </w:rPr>
              <w:t>人（</w:t>
            </w:r>
            <w:r w:rsidRPr="00B12FE0">
              <w:rPr>
                <w:bCs/>
                <w:color w:val="000000" w:themeColor="text1"/>
                <w:sz w:val="21"/>
                <w:szCs w:val="21"/>
              </w:rPr>
              <w:t>2</w:t>
            </w:r>
            <w:r w:rsidRPr="00B12FE0">
              <w:rPr>
                <w:bCs/>
                <w:color w:val="000000" w:themeColor="text1"/>
                <w:sz w:val="21"/>
                <w:szCs w:val="21"/>
              </w:rPr>
              <w:t>人一组轮岗）</w:t>
            </w:r>
          </w:p>
        </w:tc>
      </w:tr>
    </w:tbl>
    <w:p w14:paraId="76209BEF" w14:textId="77777777" w:rsidR="00A67F21" w:rsidRPr="00B12FE0" w:rsidRDefault="00000000">
      <w:pPr>
        <w:adjustRightInd w:val="0"/>
        <w:snapToGrid w:val="0"/>
        <w:spacing w:line="360" w:lineRule="auto"/>
        <w:ind w:firstLineChars="200" w:firstLine="482"/>
        <w:rPr>
          <w:b/>
          <w:color w:val="000000" w:themeColor="text1"/>
          <w:sz w:val="21"/>
          <w:szCs w:val="21"/>
        </w:rPr>
      </w:pPr>
      <w:r w:rsidRPr="00B12FE0">
        <w:rPr>
          <w:rFonts w:ascii="宋体" w:hAnsi="宋体"/>
          <w:b/>
          <w:color w:val="000000" w:themeColor="text1"/>
          <w:szCs w:val="24"/>
        </w:rPr>
        <w:t>（</w:t>
      </w:r>
      <w:r w:rsidRPr="00B12FE0">
        <w:rPr>
          <w:b/>
          <w:color w:val="000000" w:themeColor="text1"/>
          <w:szCs w:val="24"/>
        </w:rPr>
        <w:t>3</w:t>
      </w:r>
      <w:r w:rsidRPr="00B12FE0">
        <w:rPr>
          <w:rFonts w:ascii="宋体" w:hAnsi="宋体"/>
          <w:b/>
          <w:color w:val="000000" w:themeColor="text1"/>
          <w:szCs w:val="24"/>
        </w:rPr>
        <w:t>）</w:t>
      </w:r>
      <w:proofErr w:type="gramStart"/>
      <w:r w:rsidRPr="00B12FE0">
        <w:rPr>
          <w:rFonts w:ascii="宋体" w:hAnsi="宋体"/>
          <w:b/>
          <w:color w:val="000000" w:themeColor="text1"/>
          <w:szCs w:val="24"/>
        </w:rPr>
        <w:t>核素日</w:t>
      </w:r>
      <w:proofErr w:type="gramEnd"/>
      <w:r w:rsidRPr="00B12FE0">
        <w:rPr>
          <w:rFonts w:ascii="宋体" w:hAnsi="宋体"/>
          <w:b/>
          <w:color w:val="000000" w:themeColor="text1"/>
          <w:szCs w:val="24"/>
        </w:rPr>
        <w:t>最大操作量</w:t>
      </w:r>
    </w:p>
    <w:p w14:paraId="5C0B04D3"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核医学科核素制备场所、核素诊断场所、核素治疗场所所有核素使用情况详见表</w:t>
      </w:r>
      <w:r w:rsidRPr="00B12FE0">
        <w:rPr>
          <w:color w:val="000000" w:themeColor="text1"/>
          <w:szCs w:val="24"/>
        </w:rPr>
        <w:t>9.1.1.5-</w:t>
      </w:r>
      <w:r w:rsidRPr="00B12FE0">
        <w:rPr>
          <w:rFonts w:hint="eastAsia"/>
          <w:color w:val="000000" w:themeColor="text1"/>
          <w:szCs w:val="24"/>
        </w:rPr>
        <w:t>4</w:t>
      </w:r>
      <w:r w:rsidRPr="00B12FE0">
        <w:rPr>
          <w:color w:val="000000" w:themeColor="text1"/>
          <w:szCs w:val="24"/>
        </w:rPr>
        <w:t>~</w:t>
      </w:r>
      <w:r w:rsidRPr="00B12FE0">
        <w:rPr>
          <w:rFonts w:hint="eastAsia"/>
          <w:color w:val="000000" w:themeColor="text1"/>
          <w:szCs w:val="24"/>
        </w:rPr>
        <w:t>6</w:t>
      </w:r>
      <w:r w:rsidRPr="00B12FE0">
        <w:rPr>
          <w:rFonts w:ascii="宋体" w:hAnsi="宋体"/>
          <w:color w:val="000000" w:themeColor="text1"/>
          <w:szCs w:val="24"/>
        </w:rPr>
        <w:t>。</w:t>
      </w:r>
    </w:p>
    <w:p w14:paraId="2DC50D29"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9.1.1.5-</w:t>
      </w:r>
      <w:r w:rsidRPr="00B12FE0">
        <w:rPr>
          <w:rFonts w:hint="eastAsia"/>
          <w:b/>
          <w:bCs/>
          <w:color w:val="000000" w:themeColor="text1"/>
          <w:sz w:val="21"/>
          <w:szCs w:val="21"/>
        </w:rPr>
        <w:t>4</w:t>
      </w:r>
      <w:r w:rsidRPr="00B12FE0">
        <w:rPr>
          <w:b/>
          <w:bCs/>
          <w:color w:val="000000" w:themeColor="text1"/>
          <w:sz w:val="21"/>
          <w:szCs w:val="21"/>
        </w:rPr>
        <w:t xml:space="preserve">  </w:t>
      </w:r>
      <w:r w:rsidRPr="00B12FE0">
        <w:rPr>
          <w:rFonts w:ascii="宋体" w:hAnsi="宋体"/>
          <w:b/>
          <w:bCs/>
          <w:color w:val="000000" w:themeColor="text1"/>
          <w:sz w:val="21"/>
          <w:szCs w:val="21"/>
        </w:rPr>
        <w:t>核医学科核素制备场所回旋加速器核素生产量</w:t>
      </w:r>
    </w:p>
    <w:tbl>
      <w:tblPr>
        <w:tblStyle w:val="affff"/>
        <w:tblW w:w="0" w:type="auto"/>
        <w:jc w:val="center"/>
        <w:tblLook w:val="04A0" w:firstRow="1" w:lastRow="0" w:firstColumn="1" w:lastColumn="0" w:noHBand="0" w:noVBand="1"/>
      </w:tblPr>
      <w:tblGrid>
        <w:gridCol w:w="988"/>
        <w:gridCol w:w="1134"/>
        <w:gridCol w:w="1701"/>
        <w:gridCol w:w="1134"/>
        <w:gridCol w:w="1417"/>
        <w:gridCol w:w="2643"/>
      </w:tblGrid>
      <w:tr w:rsidR="00A67F21" w:rsidRPr="00B12FE0" w14:paraId="2A65CF96" w14:textId="77777777">
        <w:trPr>
          <w:jc w:val="center"/>
        </w:trPr>
        <w:tc>
          <w:tcPr>
            <w:tcW w:w="988" w:type="dxa"/>
            <w:vAlign w:val="center"/>
          </w:tcPr>
          <w:p w14:paraId="7B96B70E"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序号</w:t>
            </w:r>
          </w:p>
        </w:tc>
        <w:tc>
          <w:tcPr>
            <w:tcW w:w="1134" w:type="dxa"/>
            <w:vAlign w:val="center"/>
          </w:tcPr>
          <w:p w14:paraId="5FF99A22"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核素</w:t>
            </w:r>
          </w:p>
        </w:tc>
        <w:tc>
          <w:tcPr>
            <w:tcW w:w="1701" w:type="dxa"/>
            <w:vAlign w:val="center"/>
          </w:tcPr>
          <w:p w14:paraId="059AE28C"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最大日生产量（</w:t>
            </w:r>
            <w:r w:rsidRPr="00B12FE0">
              <w:rPr>
                <w:rFonts w:hint="eastAsia"/>
                <w:bCs/>
                <w:color w:val="000000" w:themeColor="text1"/>
                <w:sz w:val="21"/>
                <w:szCs w:val="21"/>
              </w:rPr>
              <w:t>Bq</w:t>
            </w:r>
            <w:r w:rsidRPr="00B12FE0">
              <w:rPr>
                <w:rFonts w:hint="eastAsia"/>
                <w:bCs/>
                <w:color w:val="000000" w:themeColor="text1"/>
                <w:sz w:val="21"/>
                <w:szCs w:val="21"/>
              </w:rPr>
              <w:t>）</w:t>
            </w:r>
          </w:p>
        </w:tc>
        <w:tc>
          <w:tcPr>
            <w:tcW w:w="1134" w:type="dxa"/>
            <w:vAlign w:val="center"/>
          </w:tcPr>
          <w:p w14:paraId="21F1C052"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年生产天数（天）</w:t>
            </w:r>
          </w:p>
        </w:tc>
        <w:tc>
          <w:tcPr>
            <w:tcW w:w="1417" w:type="dxa"/>
            <w:vAlign w:val="center"/>
          </w:tcPr>
          <w:p w14:paraId="526BCAC0"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年最大生产量（</w:t>
            </w:r>
            <w:r w:rsidRPr="00B12FE0">
              <w:rPr>
                <w:rFonts w:hint="eastAsia"/>
                <w:bCs/>
                <w:color w:val="000000" w:themeColor="text1"/>
                <w:sz w:val="21"/>
                <w:szCs w:val="21"/>
              </w:rPr>
              <w:t>Bq</w:t>
            </w:r>
            <w:r w:rsidRPr="00B12FE0">
              <w:rPr>
                <w:rFonts w:hint="eastAsia"/>
                <w:bCs/>
                <w:color w:val="000000" w:themeColor="text1"/>
                <w:sz w:val="21"/>
                <w:szCs w:val="21"/>
              </w:rPr>
              <w:t>）</w:t>
            </w:r>
          </w:p>
        </w:tc>
        <w:tc>
          <w:tcPr>
            <w:tcW w:w="2643" w:type="dxa"/>
            <w:vAlign w:val="center"/>
          </w:tcPr>
          <w:p w14:paraId="0C4E141A" w14:textId="77777777" w:rsidR="00A67F21" w:rsidRPr="00B12FE0" w:rsidRDefault="00000000">
            <w:pPr>
              <w:adjustRightInd w:val="0"/>
              <w:jc w:val="center"/>
              <w:rPr>
                <w:bCs/>
                <w:color w:val="000000" w:themeColor="text1"/>
                <w:sz w:val="21"/>
                <w:szCs w:val="21"/>
              </w:rPr>
            </w:pPr>
            <w:r w:rsidRPr="00B12FE0">
              <w:rPr>
                <w:rFonts w:hint="eastAsia"/>
                <w:bCs/>
                <w:color w:val="000000" w:themeColor="text1"/>
                <w:sz w:val="21"/>
                <w:szCs w:val="21"/>
              </w:rPr>
              <w:t>用途及使用</w:t>
            </w:r>
          </w:p>
        </w:tc>
      </w:tr>
      <w:tr w:rsidR="00A67F21" w:rsidRPr="00B12FE0" w14:paraId="5491E474" w14:textId="77777777">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1ED9726E" w14:textId="77777777" w:rsidR="00A67F21" w:rsidRPr="00B12FE0" w:rsidRDefault="00000000">
            <w:pPr>
              <w:adjustRightInd w:val="0"/>
              <w:snapToGrid w:val="0"/>
              <w:jc w:val="center"/>
              <w:rPr>
                <w:b/>
                <w:bCs/>
                <w:color w:val="000000" w:themeColor="text1"/>
                <w:sz w:val="21"/>
                <w:szCs w:val="21"/>
              </w:rPr>
            </w:pPr>
            <w:r w:rsidRPr="00B12FE0">
              <w:rPr>
                <w:bCs/>
                <w:color w:val="000000" w:themeColor="text1"/>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17079DA3" w14:textId="77777777" w:rsidR="00A67F21" w:rsidRPr="00B12FE0" w:rsidRDefault="00000000">
            <w:pPr>
              <w:adjustRightInd w:val="0"/>
              <w:snapToGrid w:val="0"/>
              <w:jc w:val="center"/>
              <w:rPr>
                <w:b/>
                <w:bCs/>
                <w:color w:val="000000" w:themeColor="text1"/>
                <w:sz w:val="21"/>
                <w:szCs w:val="21"/>
              </w:rPr>
            </w:pPr>
            <w:r w:rsidRPr="00B12FE0">
              <w:rPr>
                <w:bCs/>
                <w:color w:val="000000" w:themeColor="text1"/>
                <w:sz w:val="21"/>
                <w:szCs w:val="21"/>
                <w:vertAlign w:val="superscript"/>
              </w:rPr>
              <w:t>18</w:t>
            </w:r>
            <w:r w:rsidRPr="00B12FE0">
              <w:rPr>
                <w:bCs/>
                <w:color w:val="000000" w:themeColor="text1"/>
                <w:sz w:val="21"/>
                <w:szCs w:val="21"/>
              </w:rPr>
              <w:t>F</w:t>
            </w:r>
          </w:p>
        </w:tc>
        <w:tc>
          <w:tcPr>
            <w:tcW w:w="1701" w:type="dxa"/>
            <w:tcBorders>
              <w:top w:val="single" w:sz="4" w:space="0" w:color="auto"/>
              <w:left w:val="single" w:sz="4" w:space="0" w:color="auto"/>
              <w:bottom w:val="single" w:sz="4" w:space="0" w:color="auto"/>
              <w:right w:val="single" w:sz="4" w:space="0" w:color="auto"/>
            </w:tcBorders>
            <w:vAlign w:val="center"/>
          </w:tcPr>
          <w:p w14:paraId="1A37281F" w14:textId="77777777" w:rsidR="00A67F21" w:rsidRPr="00B12FE0" w:rsidRDefault="00000000">
            <w:pPr>
              <w:adjustRightInd w:val="0"/>
              <w:snapToGrid w:val="0"/>
              <w:jc w:val="center"/>
              <w:rPr>
                <w:b/>
                <w:bCs/>
                <w:color w:val="000000" w:themeColor="text1"/>
                <w:sz w:val="21"/>
                <w:szCs w:val="21"/>
              </w:rPr>
            </w:pPr>
            <w:r w:rsidRPr="00B12FE0">
              <w:rPr>
                <w:rFonts w:hint="eastAsia"/>
                <w:bCs/>
                <w:color w:val="000000" w:themeColor="text1"/>
                <w:sz w:val="21"/>
                <w:szCs w:val="21"/>
              </w:rPr>
              <w:t>4.44</w:t>
            </w:r>
            <w:r w:rsidRPr="00B12FE0">
              <w:rPr>
                <w:bCs/>
                <w:color w:val="000000" w:themeColor="text1"/>
                <w:sz w:val="21"/>
                <w:szCs w:val="21"/>
              </w:rPr>
              <w:t>×10</w:t>
            </w:r>
            <w:r w:rsidRPr="00B12FE0">
              <w:rPr>
                <w:bCs/>
                <w:color w:val="000000" w:themeColor="text1"/>
                <w:sz w:val="21"/>
                <w:szCs w:val="21"/>
                <w:vertAlign w:val="superscript"/>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10ADFB0" w14:textId="77777777" w:rsidR="00A67F21" w:rsidRPr="00B12FE0" w:rsidRDefault="00000000">
            <w:pPr>
              <w:adjustRightInd w:val="0"/>
              <w:snapToGrid w:val="0"/>
              <w:jc w:val="center"/>
              <w:rPr>
                <w:b/>
                <w:bCs/>
                <w:color w:val="000000" w:themeColor="text1"/>
                <w:sz w:val="21"/>
                <w:szCs w:val="21"/>
              </w:rPr>
            </w:pPr>
            <w:r w:rsidRPr="00B12FE0">
              <w:rPr>
                <w:bCs/>
                <w:color w:val="000000" w:themeColor="text1"/>
                <w:sz w:val="21"/>
                <w:szCs w:val="21"/>
              </w:rPr>
              <w:t>250</w:t>
            </w:r>
          </w:p>
        </w:tc>
        <w:tc>
          <w:tcPr>
            <w:tcW w:w="1417" w:type="dxa"/>
            <w:tcBorders>
              <w:top w:val="single" w:sz="4" w:space="0" w:color="auto"/>
              <w:left w:val="single" w:sz="4" w:space="0" w:color="auto"/>
              <w:bottom w:val="single" w:sz="4" w:space="0" w:color="auto"/>
              <w:right w:val="single" w:sz="4" w:space="0" w:color="auto"/>
            </w:tcBorders>
            <w:vAlign w:val="center"/>
          </w:tcPr>
          <w:p w14:paraId="29344625" w14:textId="77777777" w:rsidR="00A67F21" w:rsidRPr="00B12FE0" w:rsidRDefault="00000000">
            <w:pPr>
              <w:adjustRightInd w:val="0"/>
              <w:snapToGrid w:val="0"/>
              <w:jc w:val="center"/>
              <w:rPr>
                <w:b/>
                <w:bCs/>
                <w:color w:val="000000" w:themeColor="text1"/>
                <w:sz w:val="21"/>
                <w:szCs w:val="21"/>
              </w:rPr>
            </w:pPr>
            <w:r w:rsidRPr="00B12FE0">
              <w:rPr>
                <w:rFonts w:hint="eastAsia"/>
                <w:bCs/>
                <w:color w:val="000000" w:themeColor="text1"/>
                <w:sz w:val="21"/>
                <w:szCs w:val="21"/>
              </w:rPr>
              <w:t>1.11</w:t>
            </w:r>
            <w:r w:rsidRPr="00B12FE0">
              <w:rPr>
                <w:bCs/>
                <w:color w:val="000000" w:themeColor="text1"/>
                <w:sz w:val="21"/>
                <w:szCs w:val="21"/>
              </w:rPr>
              <w:t>×10</w:t>
            </w:r>
            <w:r w:rsidRPr="00B12FE0">
              <w:rPr>
                <w:bCs/>
                <w:color w:val="000000" w:themeColor="text1"/>
                <w:sz w:val="21"/>
                <w:szCs w:val="21"/>
                <w:vertAlign w:val="superscript"/>
              </w:rPr>
              <w:t>1</w:t>
            </w:r>
            <w:r w:rsidRPr="00B12FE0">
              <w:rPr>
                <w:rFonts w:hint="eastAsia"/>
                <w:bCs/>
                <w:color w:val="000000" w:themeColor="text1"/>
                <w:sz w:val="21"/>
                <w:szCs w:val="21"/>
                <w:vertAlign w:val="superscript"/>
              </w:rPr>
              <w:t>3</w:t>
            </w:r>
          </w:p>
        </w:tc>
        <w:tc>
          <w:tcPr>
            <w:tcW w:w="2643" w:type="dxa"/>
            <w:vAlign w:val="center"/>
          </w:tcPr>
          <w:p w14:paraId="5573BFCC" w14:textId="77777777" w:rsidR="00A67F21" w:rsidRPr="00B12FE0" w:rsidRDefault="00000000">
            <w:pPr>
              <w:adjustRightInd w:val="0"/>
              <w:snapToGrid w:val="0"/>
              <w:jc w:val="center"/>
              <w:rPr>
                <w:b/>
                <w:bCs/>
                <w:color w:val="000000" w:themeColor="text1"/>
                <w:sz w:val="21"/>
                <w:szCs w:val="21"/>
              </w:rPr>
            </w:pPr>
            <w:r w:rsidRPr="00B12FE0">
              <w:rPr>
                <w:bCs/>
                <w:color w:val="000000" w:themeColor="text1"/>
                <w:sz w:val="21"/>
                <w:szCs w:val="21"/>
              </w:rPr>
              <w:t>仅用于医院自己核医学显像场所的使用，不外售</w:t>
            </w:r>
          </w:p>
        </w:tc>
      </w:tr>
    </w:tbl>
    <w:p w14:paraId="7BF60CD4"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9.1.1.5-</w:t>
      </w:r>
      <w:r w:rsidRPr="00B12FE0">
        <w:rPr>
          <w:rFonts w:hint="eastAsia"/>
          <w:b/>
          <w:bCs/>
          <w:color w:val="000000" w:themeColor="text1"/>
          <w:sz w:val="21"/>
          <w:szCs w:val="21"/>
        </w:rPr>
        <w:t>5</w:t>
      </w:r>
      <w:r w:rsidRPr="00B12FE0">
        <w:rPr>
          <w:b/>
          <w:bCs/>
          <w:color w:val="000000" w:themeColor="text1"/>
          <w:sz w:val="21"/>
          <w:szCs w:val="21"/>
        </w:rPr>
        <w:t xml:space="preserve">  </w:t>
      </w:r>
      <w:r w:rsidRPr="00B12FE0">
        <w:rPr>
          <w:rFonts w:ascii="宋体" w:hAnsi="宋体"/>
          <w:b/>
          <w:bCs/>
          <w:color w:val="000000" w:themeColor="text1"/>
          <w:sz w:val="21"/>
          <w:szCs w:val="21"/>
        </w:rPr>
        <w:t>核医学科核素诊断场所放射性核素使用量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074"/>
        <w:gridCol w:w="1261"/>
        <w:gridCol w:w="1160"/>
        <w:gridCol w:w="1600"/>
        <w:gridCol w:w="1014"/>
        <w:gridCol w:w="1125"/>
        <w:gridCol w:w="1324"/>
      </w:tblGrid>
      <w:tr w:rsidR="00A67F21" w:rsidRPr="00B12FE0" w14:paraId="7BBA9E44" w14:textId="77777777">
        <w:trPr>
          <w:trHeight w:val="397"/>
        </w:trPr>
        <w:tc>
          <w:tcPr>
            <w:tcW w:w="255" w:type="pct"/>
            <w:tcBorders>
              <w:top w:val="single" w:sz="4" w:space="0" w:color="auto"/>
              <w:left w:val="single" w:sz="4" w:space="0" w:color="auto"/>
              <w:bottom w:val="single" w:sz="4" w:space="0" w:color="auto"/>
              <w:right w:val="single" w:sz="4" w:space="0" w:color="auto"/>
            </w:tcBorders>
            <w:vAlign w:val="center"/>
          </w:tcPr>
          <w:p w14:paraId="2957274A"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序号</w:t>
            </w:r>
          </w:p>
        </w:tc>
        <w:tc>
          <w:tcPr>
            <w:tcW w:w="596" w:type="pct"/>
            <w:tcBorders>
              <w:top w:val="single" w:sz="4" w:space="0" w:color="auto"/>
              <w:left w:val="nil"/>
              <w:bottom w:val="single" w:sz="4" w:space="0" w:color="auto"/>
              <w:right w:val="single" w:sz="4" w:space="0" w:color="auto"/>
            </w:tcBorders>
            <w:vAlign w:val="center"/>
          </w:tcPr>
          <w:p w14:paraId="0F8B088B"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核素</w:t>
            </w:r>
          </w:p>
        </w:tc>
        <w:tc>
          <w:tcPr>
            <w:tcW w:w="699" w:type="pct"/>
            <w:tcBorders>
              <w:top w:val="single" w:sz="4" w:space="0" w:color="auto"/>
              <w:left w:val="nil"/>
              <w:bottom w:val="single" w:sz="4" w:space="0" w:color="auto"/>
              <w:right w:val="single" w:sz="4" w:space="0" w:color="auto"/>
            </w:tcBorders>
            <w:vAlign w:val="center"/>
          </w:tcPr>
          <w:p w14:paraId="63D37AFC"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单人最大用量（</w:t>
            </w:r>
            <w:r w:rsidRPr="00B12FE0">
              <w:rPr>
                <w:bCs/>
                <w:color w:val="000000" w:themeColor="text1"/>
                <w:sz w:val="21"/>
                <w:szCs w:val="21"/>
              </w:rPr>
              <w:t>Bq</w:t>
            </w:r>
            <w:r w:rsidRPr="00B12FE0">
              <w:rPr>
                <w:rFonts w:ascii="宋体" w:hAnsi="宋体"/>
                <w:bCs/>
                <w:color w:val="000000" w:themeColor="text1"/>
                <w:sz w:val="21"/>
                <w:szCs w:val="21"/>
              </w:rPr>
              <w:t>）</w:t>
            </w:r>
          </w:p>
        </w:tc>
        <w:tc>
          <w:tcPr>
            <w:tcW w:w="643" w:type="pct"/>
            <w:tcBorders>
              <w:top w:val="single" w:sz="4" w:space="0" w:color="auto"/>
              <w:left w:val="nil"/>
              <w:bottom w:val="single" w:sz="4" w:space="0" w:color="auto"/>
              <w:right w:val="single" w:sz="4" w:space="0" w:color="auto"/>
            </w:tcBorders>
            <w:vAlign w:val="center"/>
          </w:tcPr>
          <w:p w14:paraId="4322021E"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日最大诊疗人数</w:t>
            </w:r>
          </w:p>
        </w:tc>
        <w:tc>
          <w:tcPr>
            <w:tcW w:w="887" w:type="pct"/>
            <w:tcBorders>
              <w:top w:val="single" w:sz="4" w:space="0" w:color="auto"/>
              <w:left w:val="nil"/>
              <w:bottom w:val="single" w:sz="4" w:space="0" w:color="auto"/>
              <w:right w:val="single" w:sz="4" w:space="0" w:color="auto"/>
            </w:tcBorders>
            <w:vAlign w:val="center"/>
          </w:tcPr>
          <w:p w14:paraId="0AB81A4F"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日实际最大操作量（</w:t>
            </w:r>
            <w:r w:rsidRPr="00B12FE0">
              <w:rPr>
                <w:bCs/>
                <w:color w:val="000000" w:themeColor="text1"/>
                <w:sz w:val="21"/>
                <w:szCs w:val="21"/>
              </w:rPr>
              <w:t>Bq</w:t>
            </w:r>
            <w:r w:rsidRPr="00B12FE0">
              <w:rPr>
                <w:rFonts w:ascii="宋体" w:hAnsi="宋体"/>
                <w:bCs/>
                <w:color w:val="000000" w:themeColor="text1"/>
                <w:sz w:val="21"/>
                <w:szCs w:val="21"/>
              </w:rPr>
              <w:t>）</w:t>
            </w:r>
          </w:p>
        </w:tc>
        <w:tc>
          <w:tcPr>
            <w:tcW w:w="562" w:type="pct"/>
            <w:tcBorders>
              <w:top w:val="single" w:sz="4" w:space="0" w:color="auto"/>
              <w:left w:val="nil"/>
              <w:bottom w:val="single" w:sz="4" w:space="0" w:color="auto"/>
              <w:right w:val="single" w:sz="4" w:space="0" w:color="auto"/>
            </w:tcBorders>
            <w:vAlign w:val="center"/>
          </w:tcPr>
          <w:p w14:paraId="53D60145"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年诊疗天数</w:t>
            </w:r>
          </w:p>
        </w:tc>
        <w:tc>
          <w:tcPr>
            <w:tcW w:w="624" w:type="pct"/>
            <w:tcBorders>
              <w:top w:val="single" w:sz="4" w:space="0" w:color="auto"/>
              <w:left w:val="nil"/>
              <w:bottom w:val="single" w:sz="4" w:space="0" w:color="auto"/>
              <w:right w:val="single" w:sz="4" w:space="0" w:color="auto"/>
            </w:tcBorders>
            <w:vAlign w:val="center"/>
          </w:tcPr>
          <w:p w14:paraId="53FB9339"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年诊疗人数</w:t>
            </w:r>
          </w:p>
        </w:tc>
        <w:tc>
          <w:tcPr>
            <w:tcW w:w="734" w:type="pct"/>
            <w:tcBorders>
              <w:top w:val="single" w:sz="4" w:space="0" w:color="auto"/>
              <w:left w:val="nil"/>
              <w:bottom w:val="single" w:sz="4" w:space="0" w:color="auto"/>
              <w:right w:val="single" w:sz="4" w:space="0" w:color="auto"/>
            </w:tcBorders>
            <w:vAlign w:val="center"/>
          </w:tcPr>
          <w:p w14:paraId="754BE5C5"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年最大用量（</w:t>
            </w:r>
            <w:r w:rsidRPr="00B12FE0">
              <w:rPr>
                <w:bCs/>
                <w:color w:val="000000" w:themeColor="text1"/>
                <w:sz w:val="21"/>
                <w:szCs w:val="21"/>
              </w:rPr>
              <w:t>Bq</w:t>
            </w:r>
            <w:r w:rsidRPr="00B12FE0">
              <w:rPr>
                <w:rFonts w:ascii="宋体" w:hAnsi="宋体"/>
                <w:bCs/>
                <w:color w:val="000000" w:themeColor="text1"/>
                <w:sz w:val="21"/>
                <w:szCs w:val="21"/>
              </w:rPr>
              <w:t>）</w:t>
            </w:r>
          </w:p>
        </w:tc>
      </w:tr>
      <w:tr w:rsidR="00A67F21" w:rsidRPr="00B12FE0" w14:paraId="17B32472" w14:textId="77777777">
        <w:trPr>
          <w:trHeight w:val="397"/>
        </w:trPr>
        <w:tc>
          <w:tcPr>
            <w:tcW w:w="255" w:type="pct"/>
            <w:tcBorders>
              <w:top w:val="single" w:sz="4" w:space="0" w:color="auto"/>
              <w:left w:val="single" w:sz="4" w:space="0" w:color="auto"/>
              <w:bottom w:val="single" w:sz="4" w:space="0" w:color="auto"/>
              <w:right w:val="single" w:sz="4" w:space="0" w:color="auto"/>
            </w:tcBorders>
            <w:vAlign w:val="center"/>
          </w:tcPr>
          <w:p w14:paraId="41567F87"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1</w:t>
            </w:r>
          </w:p>
        </w:tc>
        <w:tc>
          <w:tcPr>
            <w:tcW w:w="596" w:type="pct"/>
            <w:tcBorders>
              <w:top w:val="single" w:sz="4" w:space="0" w:color="auto"/>
              <w:left w:val="nil"/>
              <w:bottom w:val="single" w:sz="4" w:space="0" w:color="auto"/>
              <w:right w:val="single" w:sz="4" w:space="0" w:color="auto"/>
            </w:tcBorders>
            <w:vAlign w:val="center"/>
          </w:tcPr>
          <w:p w14:paraId="2E673C6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Cs w:val="24"/>
                <w:vertAlign w:val="superscript"/>
              </w:rPr>
              <w:t>18</w:t>
            </w:r>
            <w:r w:rsidRPr="00B12FE0">
              <w:rPr>
                <w:color w:val="000000" w:themeColor="text1"/>
                <w:sz w:val="21"/>
                <w:szCs w:val="21"/>
              </w:rPr>
              <w:t>F</w:t>
            </w:r>
          </w:p>
          <w:p w14:paraId="49842303" w14:textId="77777777" w:rsidR="00A67F21" w:rsidRPr="00B12FE0" w:rsidRDefault="00000000">
            <w:pPr>
              <w:widowControl/>
              <w:jc w:val="center"/>
              <w:textAlignment w:val="center"/>
              <w:rPr>
                <w:color w:val="000000" w:themeColor="text1"/>
                <w:sz w:val="21"/>
                <w:szCs w:val="21"/>
              </w:rPr>
            </w:pPr>
            <w:r w:rsidRPr="00B12FE0">
              <w:rPr>
                <w:rFonts w:ascii="宋体" w:hAnsi="宋体" w:hint="eastAsia"/>
                <w:color w:val="000000" w:themeColor="text1"/>
                <w:sz w:val="21"/>
                <w:szCs w:val="21"/>
              </w:rPr>
              <w:t>（使用）</w:t>
            </w:r>
          </w:p>
        </w:tc>
        <w:tc>
          <w:tcPr>
            <w:tcW w:w="699" w:type="pct"/>
            <w:tcBorders>
              <w:top w:val="single" w:sz="4" w:space="0" w:color="auto"/>
              <w:left w:val="nil"/>
              <w:bottom w:val="single" w:sz="4" w:space="0" w:color="auto"/>
              <w:right w:val="single" w:sz="4" w:space="0" w:color="auto"/>
            </w:tcBorders>
            <w:vAlign w:val="center"/>
          </w:tcPr>
          <w:p w14:paraId="6D4018C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3.70×10</w:t>
            </w:r>
            <w:r w:rsidRPr="00B12FE0">
              <w:rPr>
                <w:color w:val="000000" w:themeColor="text1"/>
                <w:sz w:val="21"/>
                <w:szCs w:val="21"/>
                <w:vertAlign w:val="superscript"/>
              </w:rPr>
              <w:t>8</w:t>
            </w:r>
          </w:p>
          <w:p w14:paraId="4F02AF2E" w14:textId="77777777" w:rsidR="00A67F21" w:rsidRPr="00B12FE0" w:rsidRDefault="00000000">
            <w:pPr>
              <w:adjustRightInd w:val="0"/>
              <w:snapToGrid w:val="0"/>
              <w:spacing w:line="240" w:lineRule="atLeast"/>
              <w:jc w:val="center"/>
              <w:rPr>
                <w:color w:val="000000" w:themeColor="text1"/>
                <w:sz w:val="21"/>
                <w:szCs w:val="21"/>
              </w:rPr>
            </w:pPr>
            <w:r w:rsidRPr="00B12FE0">
              <w:rPr>
                <w:rFonts w:ascii="宋体" w:hAnsi="宋体"/>
                <w:color w:val="000000" w:themeColor="text1"/>
                <w:sz w:val="21"/>
                <w:szCs w:val="21"/>
              </w:rPr>
              <w:t>（</w:t>
            </w:r>
            <w:r w:rsidRPr="00B12FE0">
              <w:rPr>
                <w:color w:val="000000" w:themeColor="text1"/>
                <w:sz w:val="21"/>
                <w:szCs w:val="21"/>
              </w:rPr>
              <w:t>10mCi</w:t>
            </w:r>
            <w:r w:rsidRPr="00B12FE0">
              <w:rPr>
                <w:rFonts w:ascii="宋体" w:hAnsi="宋体"/>
                <w:color w:val="000000" w:themeColor="text1"/>
                <w:sz w:val="21"/>
                <w:szCs w:val="21"/>
              </w:rPr>
              <w:t>）</w:t>
            </w:r>
          </w:p>
        </w:tc>
        <w:tc>
          <w:tcPr>
            <w:tcW w:w="643" w:type="pct"/>
            <w:tcBorders>
              <w:top w:val="single" w:sz="4" w:space="0" w:color="auto"/>
              <w:left w:val="nil"/>
              <w:bottom w:val="single" w:sz="4" w:space="0" w:color="auto"/>
              <w:right w:val="single" w:sz="4" w:space="0" w:color="auto"/>
            </w:tcBorders>
            <w:vAlign w:val="center"/>
          </w:tcPr>
          <w:p w14:paraId="35075659"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4</w:t>
            </w:r>
            <w:r w:rsidRPr="00B12FE0">
              <w:rPr>
                <w:color w:val="000000" w:themeColor="text1"/>
                <w:sz w:val="21"/>
                <w:szCs w:val="21"/>
              </w:rPr>
              <w:t>0</w:t>
            </w:r>
            <w:r w:rsidRPr="00B12FE0">
              <w:rPr>
                <w:rFonts w:ascii="宋体" w:hAnsi="宋体"/>
                <w:color w:val="000000" w:themeColor="text1"/>
                <w:sz w:val="21"/>
                <w:szCs w:val="21"/>
              </w:rPr>
              <w:t>人</w:t>
            </w:r>
          </w:p>
        </w:tc>
        <w:tc>
          <w:tcPr>
            <w:tcW w:w="887" w:type="pct"/>
            <w:tcBorders>
              <w:top w:val="single" w:sz="4" w:space="0" w:color="auto"/>
              <w:left w:val="nil"/>
              <w:bottom w:val="single" w:sz="4" w:space="0" w:color="auto"/>
              <w:right w:val="single" w:sz="4" w:space="0" w:color="auto"/>
            </w:tcBorders>
            <w:vAlign w:val="center"/>
          </w:tcPr>
          <w:p w14:paraId="7588579D"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10</w:t>
            </w:r>
          </w:p>
        </w:tc>
        <w:tc>
          <w:tcPr>
            <w:tcW w:w="562" w:type="pct"/>
            <w:tcBorders>
              <w:top w:val="single" w:sz="4" w:space="0" w:color="auto"/>
              <w:left w:val="nil"/>
              <w:bottom w:val="single" w:sz="4" w:space="0" w:color="auto"/>
              <w:right w:val="single" w:sz="4" w:space="0" w:color="auto"/>
            </w:tcBorders>
            <w:vAlign w:val="center"/>
          </w:tcPr>
          <w:p w14:paraId="0A962696"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250</w:t>
            </w:r>
            <w:r w:rsidRPr="00B12FE0">
              <w:rPr>
                <w:rFonts w:ascii="宋体" w:hAnsi="宋体"/>
                <w:bCs/>
                <w:color w:val="000000" w:themeColor="text1"/>
                <w:sz w:val="21"/>
                <w:szCs w:val="21"/>
              </w:rPr>
              <w:t>天</w:t>
            </w:r>
          </w:p>
        </w:tc>
        <w:tc>
          <w:tcPr>
            <w:tcW w:w="624" w:type="pct"/>
            <w:tcBorders>
              <w:top w:val="single" w:sz="4" w:space="0" w:color="auto"/>
              <w:left w:val="nil"/>
              <w:bottom w:val="single" w:sz="4" w:space="0" w:color="auto"/>
              <w:right w:val="single" w:sz="4" w:space="0" w:color="auto"/>
            </w:tcBorders>
            <w:vAlign w:val="center"/>
          </w:tcPr>
          <w:p w14:paraId="3D530868"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10</w:t>
            </w:r>
            <w:r w:rsidRPr="00B12FE0">
              <w:rPr>
                <w:color w:val="000000" w:themeColor="text1"/>
                <w:sz w:val="21"/>
                <w:szCs w:val="21"/>
              </w:rPr>
              <w:t>000</w:t>
            </w:r>
            <w:r w:rsidRPr="00B12FE0">
              <w:rPr>
                <w:rFonts w:ascii="宋体" w:hAnsi="宋体"/>
                <w:color w:val="000000" w:themeColor="text1"/>
                <w:sz w:val="21"/>
                <w:szCs w:val="21"/>
              </w:rPr>
              <w:t>人</w:t>
            </w:r>
          </w:p>
        </w:tc>
        <w:tc>
          <w:tcPr>
            <w:tcW w:w="734" w:type="pct"/>
            <w:tcBorders>
              <w:top w:val="single" w:sz="4" w:space="0" w:color="auto"/>
              <w:left w:val="nil"/>
              <w:bottom w:val="single" w:sz="4" w:space="0" w:color="auto"/>
              <w:right w:val="single" w:sz="4" w:space="0" w:color="auto"/>
            </w:tcBorders>
            <w:vAlign w:val="center"/>
          </w:tcPr>
          <w:p w14:paraId="3576554C" w14:textId="77777777" w:rsidR="00A67F21" w:rsidRPr="00B12FE0" w:rsidRDefault="00000000">
            <w:pPr>
              <w:widowControl/>
              <w:adjustRightInd w:val="0"/>
              <w:snapToGrid w:val="0"/>
              <w:jc w:val="center"/>
              <w:rPr>
                <w:color w:val="000000" w:themeColor="text1"/>
                <w:kern w:val="0"/>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color w:val="000000" w:themeColor="text1"/>
                <w:sz w:val="21"/>
                <w:szCs w:val="21"/>
                <w:vertAlign w:val="superscript"/>
              </w:rPr>
              <w:t>12</w:t>
            </w:r>
          </w:p>
        </w:tc>
      </w:tr>
      <w:tr w:rsidR="00A67F21" w:rsidRPr="00B12FE0" w14:paraId="0E24442B" w14:textId="77777777">
        <w:trPr>
          <w:trHeight w:val="397"/>
        </w:trPr>
        <w:tc>
          <w:tcPr>
            <w:tcW w:w="255" w:type="pct"/>
            <w:tcBorders>
              <w:top w:val="single" w:sz="4" w:space="0" w:color="auto"/>
              <w:left w:val="single" w:sz="4" w:space="0" w:color="auto"/>
              <w:bottom w:val="single" w:sz="4" w:space="0" w:color="auto"/>
              <w:right w:val="single" w:sz="4" w:space="0" w:color="auto"/>
            </w:tcBorders>
            <w:vAlign w:val="center"/>
          </w:tcPr>
          <w:p w14:paraId="4E89E91A" w14:textId="77777777" w:rsidR="00A67F21" w:rsidRPr="00B12FE0" w:rsidRDefault="00000000">
            <w:pPr>
              <w:adjustRightInd w:val="0"/>
              <w:snapToGrid w:val="0"/>
              <w:jc w:val="center"/>
              <w:rPr>
                <w:bCs/>
                <w:color w:val="000000" w:themeColor="text1"/>
                <w:sz w:val="21"/>
                <w:szCs w:val="21"/>
              </w:rPr>
            </w:pPr>
            <w:r w:rsidRPr="00B12FE0">
              <w:rPr>
                <w:color w:val="000000" w:themeColor="text1"/>
                <w:sz w:val="21"/>
                <w:szCs w:val="21"/>
              </w:rPr>
              <w:t>2</w:t>
            </w:r>
          </w:p>
        </w:tc>
        <w:tc>
          <w:tcPr>
            <w:tcW w:w="596" w:type="pct"/>
            <w:tcBorders>
              <w:top w:val="single" w:sz="4" w:space="0" w:color="auto"/>
              <w:left w:val="nil"/>
              <w:bottom w:val="single" w:sz="4" w:space="0" w:color="auto"/>
              <w:right w:val="single" w:sz="4" w:space="0" w:color="auto"/>
            </w:tcBorders>
            <w:vAlign w:val="center"/>
          </w:tcPr>
          <w:p w14:paraId="1BC0736C"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 w:val="21"/>
                <w:szCs w:val="21"/>
                <w:vertAlign w:val="superscript"/>
              </w:rPr>
              <w:t>99m</w:t>
            </w:r>
            <w:r w:rsidRPr="00B12FE0">
              <w:rPr>
                <w:color w:val="000000" w:themeColor="text1"/>
                <w:sz w:val="21"/>
                <w:szCs w:val="21"/>
              </w:rPr>
              <w:t>Tc</w:t>
            </w:r>
          </w:p>
        </w:tc>
        <w:tc>
          <w:tcPr>
            <w:tcW w:w="699" w:type="pct"/>
            <w:tcBorders>
              <w:top w:val="single" w:sz="4" w:space="0" w:color="auto"/>
              <w:left w:val="nil"/>
              <w:bottom w:val="single" w:sz="4" w:space="0" w:color="auto"/>
              <w:right w:val="single" w:sz="4" w:space="0" w:color="auto"/>
            </w:tcBorders>
            <w:vAlign w:val="center"/>
          </w:tcPr>
          <w:p w14:paraId="4118BC1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9.25×10</w:t>
            </w:r>
            <w:r w:rsidRPr="00B12FE0">
              <w:rPr>
                <w:color w:val="000000" w:themeColor="text1"/>
                <w:sz w:val="21"/>
                <w:szCs w:val="21"/>
                <w:vertAlign w:val="superscript"/>
              </w:rPr>
              <w:t>8</w:t>
            </w:r>
          </w:p>
          <w:p w14:paraId="6CF3BD1A" w14:textId="77777777" w:rsidR="00A67F21" w:rsidRPr="00B12FE0" w:rsidRDefault="00000000">
            <w:pPr>
              <w:adjustRightInd w:val="0"/>
              <w:snapToGrid w:val="0"/>
              <w:spacing w:line="240" w:lineRule="atLeast"/>
              <w:jc w:val="center"/>
              <w:rPr>
                <w:color w:val="000000" w:themeColor="text1"/>
                <w:sz w:val="21"/>
                <w:szCs w:val="21"/>
              </w:rPr>
            </w:pPr>
            <w:r w:rsidRPr="00B12FE0">
              <w:rPr>
                <w:rFonts w:ascii="宋体" w:hAnsi="宋体"/>
                <w:color w:val="000000" w:themeColor="text1"/>
                <w:sz w:val="21"/>
                <w:szCs w:val="21"/>
              </w:rPr>
              <w:t>（</w:t>
            </w:r>
            <w:r w:rsidRPr="00B12FE0">
              <w:rPr>
                <w:color w:val="000000" w:themeColor="text1"/>
                <w:sz w:val="21"/>
                <w:szCs w:val="21"/>
              </w:rPr>
              <w:t>25mCi</w:t>
            </w:r>
            <w:r w:rsidRPr="00B12FE0">
              <w:rPr>
                <w:rFonts w:ascii="宋体" w:hAnsi="宋体"/>
                <w:color w:val="000000" w:themeColor="text1"/>
                <w:sz w:val="21"/>
                <w:szCs w:val="21"/>
              </w:rPr>
              <w:t>）</w:t>
            </w:r>
          </w:p>
        </w:tc>
        <w:tc>
          <w:tcPr>
            <w:tcW w:w="643" w:type="pct"/>
            <w:tcBorders>
              <w:top w:val="single" w:sz="4" w:space="0" w:color="auto"/>
              <w:left w:val="nil"/>
              <w:bottom w:val="single" w:sz="4" w:space="0" w:color="auto"/>
              <w:right w:val="single" w:sz="4" w:space="0" w:color="auto"/>
            </w:tcBorders>
            <w:vAlign w:val="center"/>
          </w:tcPr>
          <w:p w14:paraId="5DAA81FC"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30</w:t>
            </w:r>
            <w:r w:rsidRPr="00B12FE0">
              <w:rPr>
                <w:rFonts w:ascii="宋体" w:hAnsi="宋体"/>
                <w:color w:val="000000" w:themeColor="text1"/>
                <w:sz w:val="21"/>
                <w:szCs w:val="21"/>
              </w:rPr>
              <w:t>人</w:t>
            </w:r>
          </w:p>
        </w:tc>
        <w:tc>
          <w:tcPr>
            <w:tcW w:w="887" w:type="pct"/>
            <w:tcBorders>
              <w:top w:val="single" w:sz="4" w:space="0" w:color="auto"/>
              <w:left w:val="nil"/>
              <w:bottom w:val="single" w:sz="4" w:space="0" w:color="auto"/>
              <w:right w:val="single" w:sz="4" w:space="0" w:color="auto"/>
            </w:tcBorders>
            <w:vAlign w:val="center"/>
          </w:tcPr>
          <w:p w14:paraId="71497DFB"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3.0</w:t>
            </w:r>
            <w:r w:rsidRPr="00B12FE0">
              <w:rPr>
                <w:color w:val="000000" w:themeColor="text1"/>
                <w:sz w:val="21"/>
                <w:szCs w:val="21"/>
              </w:rPr>
              <w:t>×10</w:t>
            </w:r>
            <w:r w:rsidRPr="00B12FE0">
              <w:rPr>
                <w:color w:val="000000" w:themeColor="text1"/>
                <w:sz w:val="21"/>
                <w:szCs w:val="21"/>
                <w:vertAlign w:val="superscript"/>
              </w:rPr>
              <w:t>10</w:t>
            </w:r>
          </w:p>
        </w:tc>
        <w:tc>
          <w:tcPr>
            <w:tcW w:w="562" w:type="pct"/>
            <w:tcBorders>
              <w:top w:val="single" w:sz="4" w:space="0" w:color="auto"/>
              <w:left w:val="nil"/>
              <w:bottom w:val="single" w:sz="4" w:space="0" w:color="auto"/>
              <w:right w:val="single" w:sz="4" w:space="0" w:color="auto"/>
            </w:tcBorders>
            <w:vAlign w:val="center"/>
          </w:tcPr>
          <w:p w14:paraId="2B72F36E"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250</w:t>
            </w:r>
            <w:r w:rsidRPr="00B12FE0">
              <w:rPr>
                <w:rFonts w:ascii="宋体" w:hAnsi="宋体"/>
                <w:bCs/>
                <w:color w:val="000000" w:themeColor="text1"/>
                <w:sz w:val="21"/>
                <w:szCs w:val="21"/>
              </w:rPr>
              <w:t>天</w:t>
            </w:r>
          </w:p>
        </w:tc>
        <w:tc>
          <w:tcPr>
            <w:tcW w:w="624" w:type="pct"/>
            <w:tcBorders>
              <w:top w:val="single" w:sz="4" w:space="0" w:color="auto"/>
              <w:left w:val="nil"/>
              <w:bottom w:val="single" w:sz="4" w:space="0" w:color="auto"/>
              <w:right w:val="single" w:sz="4" w:space="0" w:color="auto"/>
            </w:tcBorders>
            <w:vAlign w:val="center"/>
          </w:tcPr>
          <w:p w14:paraId="73F19681"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7</w:t>
            </w:r>
            <w:r w:rsidRPr="00B12FE0">
              <w:rPr>
                <w:color w:val="000000" w:themeColor="text1"/>
                <w:sz w:val="21"/>
                <w:szCs w:val="21"/>
              </w:rPr>
              <w:t>500</w:t>
            </w:r>
            <w:r w:rsidRPr="00B12FE0">
              <w:rPr>
                <w:rFonts w:ascii="宋体" w:hAnsi="宋体"/>
                <w:color w:val="000000" w:themeColor="text1"/>
                <w:sz w:val="21"/>
                <w:szCs w:val="21"/>
              </w:rPr>
              <w:t>人</w:t>
            </w:r>
          </w:p>
        </w:tc>
        <w:tc>
          <w:tcPr>
            <w:tcW w:w="734" w:type="pct"/>
            <w:tcBorders>
              <w:top w:val="single" w:sz="4" w:space="0" w:color="auto"/>
              <w:left w:val="nil"/>
              <w:bottom w:val="single" w:sz="4" w:space="0" w:color="auto"/>
              <w:right w:val="single" w:sz="4" w:space="0" w:color="auto"/>
            </w:tcBorders>
            <w:vAlign w:val="center"/>
          </w:tcPr>
          <w:p w14:paraId="1627C103" w14:textId="77777777" w:rsidR="00A67F21" w:rsidRPr="00B12FE0" w:rsidRDefault="00000000">
            <w:pPr>
              <w:widowControl/>
              <w:adjustRightInd w:val="0"/>
              <w:snapToGrid w:val="0"/>
              <w:jc w:val="center"/>
              <w:rPr>
                <w:color w:val="000000" w:themeColor="text1"/>
                <w:sz w:val="21"/>
                <w:szCs w:val="21"/>
              </w:rPr>
            </w:pPr>
            <w:r w:rsidRPr="00B12FE0">
              <w:rPr>
                <w:rFonts w:hint="eastAsia"/>
                <w:color w:val="000000" w:themeColor="text1"/>
                <w:sz w:val="21"/>
                <w:szCs w:val="21"/>
              </w:rPr>
              <w:t>7.50</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2</w:t>
            </w:r>
          </w:p>
        </w:tc>
      </w:tr>
      <w:tr w:rsidR="00A67F21" w:rsidRPr="00B12FE0" w14:paraId="19CAE549" w14:textId="77777777">
        <w:trPr>
          <w:trHeight w:val="397"/>
        </w:trPr>
        <w:tc>
          <w:tcPr>
            <w:tcW w:w="255" w:type="pct"/>
            <w:tcBorders>
              <w:top w:val="single" w:sz="4" w:space="0" w:color="auto"/>
              <w:left w:val="single" w:sz="4" w:space="0" w:color="auto"/>
              <w:bottom w:val="single" w:sz="4" w:space="0" w:color="auto"/>
              <w:right w:val="single" w:sz="4" w:space="0" w:color="auto"/>
            </w:tcBorders>
            <w:vAlign w:val="center"/>
          </w:tcPr>
          <w:p w14:paraId="2057E25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3</w:t>
            </w:r>
          </w:p>
        </w:tc>
        <w:tc>
          <w:tcPr>
            <w:tcW w:w="596" w:type="pct"/>
            <w:tcBorders>
              <w:top w:val="single" w:sz="4" w:space="0" w:color="auto"/>
              <w:left w:val="nil"/>
              <w:bottom w:val="single" w:sz="4" w:space="0" w:color="auto"/>
              <w:right w:val="single" w:sz="4" w:space="0" w:color="auto"/>
            </w:tcBorders>
            <w:vAlign w:val="center"/>
          </w:tcPr>
          <w:p w14:paraId="6691F5D8" w14:textId="77777777" w:rsidR="00A67F21" w:rsidRPr="00B12FE0" w:rsidRDefault="00000000">
            <w:pPr>
              <w:widowControl/>
              <w:jc w:val="center"/>
              <w:rPr>
                <w:color w:val="000000" w:themeColor="text1"/>
                <w:sz w:val="21"/>
                <w:szCs w:val="21"/>
                <w:vertAlign w:val="superscript"/>
              </w:rPr>
            </w:pPr>
            <w:r w:rsidRPr="00B12FE0">
              <w:rPr>
                <w:color w:val="000000" w:themeColor="text1"/>
                <w:sz w:val="21"/>
                <w:szCs w:val="21"/>
                <w:vertAlign w:val="superscript"/>
              </w:rPr>
              <w:t>99</w:t>
            </w:r>
            <w:r w:rsidRPr="00B12FE0">
              <w:rPr>
                <w:color w:val="000000" w:themeColor="text1"/>
                <w:sz w:val="21"/>
                <w:szCs w:val="21"/>
              </w:rPr>
              <w:t>Mo</w:t>
            </w:r>
          </w:p>
        </w:tc>
        <w:tc>
          <w:tcPr>
            <w:tcW w:w="699" w:type="pct"/>
            <w:tcBorders>
              <w:top w:val="single" w:sz="4" w:space="0" w:color="auto"/>
              <w:left w:val="nil"/>
              <w:bottom w:val="single" w:sz="4" w:space="0" w:color="auto"/>
              <w:right w:val="single" w:sz="4" w:space="0" w:color="auto"/>
            </w:tcBorders>
            <w:vAlign w:val="center"/>
          </w:tcPr>
          <w:p w14:paraId="0891570F" w14:textId="77777777" w:rsidR="00A67F21" w:rsidRPr="00B12FE0" w:rsidRDefault="00000000">
            <w:pPr>
              <w:adjustRightInd w:val="0"/>
              <w:snapToGrid w:val="0"/>
              <w:spacing w:line="240" w:lineRule="atLeast"/>
              <w:jc w:val="center"/>
              <w:rPr>
                <w:color w:val="000000" w:themeColor="text1"/>
                <w:sz w:val="21"/>
                <w:szCs w:val="21"/>
              </w:rPr>
            </w:pPr>
            <w:r w:rsidRPr="00B12FE0">
              <w:rPr>
                <w:color w:val="000000" w:themeColor="text1"/>
                <w:sz w:val="21"/>
                <w:szCs w:val="21"/>
              </w:rPr>
              <w:t>/</w:t>
            </w:r>
          </w:p>
        </w:tc>
        <w:tc>
          <w:tcPr>
            <w:tcW w:w="643" w:type="pct"/>
            <w:tcBorders>
              <w:top w:val="single" w:sz="4" w:space="0" w:color="auto"/>
              <w:left w:val="nil"/>
              <w:bottom w:val="single" w:sz="4" w:space="0" w:color="auto"/>
              <w:right w:val="single" w:sz="4" w:space="0" w:color="auto"/>
            </w:tcBorders>
            <w:vAlign w:val="center"/>
          </w:tcPr>
          <w:p w14:paraId="4AC58A07" w14:textId="77777777" w:rsidR="00A67F21" w:rsidRPr="00B12FE0" w:rsidRDefault="00000000">
            <w:pPr>
              <w:adjustRightInd w:val="0"/>
              <w:snapToGrid w:val="0"/>
              <w:spacing w:line="240" w:lineRule="atLeast"/>
              <w:jc w:val="center"/>
              <w:rPr>
                <w:color w:val="000000" w:themeColor="text1"/>
                <w:sz w:val="21"/>
                <w:szCs w:val="21"/>
              </w:rPr>
            </w:pPr>
            <w:r w:rsidRPr="00B12FE0">
              <w:rPr>
                <w:color w:val="000000" w:themeColor="text1"/>
                <w:sz w:val="21"/>
                <w:szCs w:val="21"/>
              </w:rPr>
              <w:t>/</w:t>
            </w:r>
          </w:p>
        </w:tc>
        <w:tc>
          <w:tcPr>
            <w:tcW w:w="887" w:type="pct"/>
            <w:tcBorders>
              <w:top w:val="single" w:sz="4" w:space="0" w:color="auto"/>
              <w:left w:val="nil"/>
              <w:bottom w:val="single" w:sz="4" w:space="0" w:color="auto"/>
              <w:right w:val="single" w:sz="4" w:space="0" w:color="auto"/>
            </w:tcBorders>
            <w:vAlign w:val="center"/>
          </w:tcPr>
          <w:p w14:paraId="174D157F"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562" w:type="pct"/>
            <w:tcBorders>
              <w:top w:val="single" w:sz="4" w:space="0" w:color="auto"/>
              <w:left w:val="nil"/>
              <w:bottom w:val="single" w:sz="4" w:space="0" w:color="auto"/>
              <w:right w:val="single" w:sz="4" w:space="0" w:color="auto"/>
            </w:tcBorders>
            <w:vAlign w:val="center"/>
          </w:tcPr>
          <w:p w14:paraId="033E72A5"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w:t>
            </w:r>
          </w:p>
        </w:tc>
        <w:tc>
          <w:tcPr>
            <w:tcW w:w="624" w:type="pct"/>
            <w:tcBorders>
              <w:top w:val="single" w:sz="4" w:space="0" w:color="auto"/>
              <w:left w:val="nil"/>
              <w:bottom w:val="single" w:sz="4" w:space="0" w:color="auto"/>
              <w:right w:val="single" w:sz="4" w:space="0" w:color="auto"/>
            </w:tcBorders>
            <w:vAlign w:val="center"/>
          </w:tcPr>
          <w:p w14:paraId="0DC0DEB0" w14:textId="77777777" w:rsidR="00A67F21" w:rsidRPr="00B12FE0" w:rsidRDefault="00000000">
            <w:pPr>
              <w:adjustRightInd w:val="0"/>
              <w:snapToGrid w:val="0"/>
              <w:spacing w:line="240" w:lineRule="atLeast"/>
              <w:jc w:val="center"/>
              <w:rPr>
                <w:color w:val="000000" w:themeColor="text1"/>
                <w:sz w:val="21"/>
                <w:szCs w:val="21"/>
              </w:rPr>
            </w:pPr>
            <w:r w:rsidRPr="00B12FE0">
              <w:rPr>
                <w:color w:val="000000" w:themeColor="text1"/>
                <w:sz w:val="21"/>
                <w:szCs w:val="21"/>
              </w:rPr>
              <w:t>/</w:t>
            </w:r>
          </w:p>
        </w:tc>
        <w:tc>
          <w:tcPr>
            <w:tcW w:w="734" w:type="pct"/>
            <w:tcBorders>
              <w:top w:val="single" w:sz="4" w:space="0" w:color="auto"/>
              <w:left w:val="nil"/>
              <w:bottom w:val="single" w:sz="4" w:space="0" w:color="auto"/>
              <w:right w:val="single" w:sz="4" w:space="0" w:color="auto"/>
            </w:tcBorders>
            <w:vAlign w:val="center"/>
          </w:tcPr>
          <w:p w14:paraId="3B2BC900" w14:textId="77777777" w:rsidR="00A67F21" w:rsidRPr="00B12FE0" w:rsidRDefault="00000000">
            <w:pPr>
              <w:widowControl/>
              <w:adjustRightInd w:val="0"/>
              <w:snapToGrid w:val="0"/>
              <w:jc w:val="center"/>
              <w:rPr>
                <w:color w:val="000000" w:themeColor="text1"/>
                <w:kern w:val="0"/>
                <w:sz w:val="21"/>
                <w:szCs w:val="21"/>
              </w:rPr>
            </w:pPr>
            <w:r w:rsidRPr="00B12FE0">
              <w:rPr>
                <w:rFonts w:hint="eastAsia"/>
                <w:color w:val="000000" w:themeColor="text1"/>
                <w:sz w:val="21"/>
                <w:szCs w:val="21"/>
              </w:rPr>
              <w:t>1.67</w:t>
            </w:r>
            <w:r w:rsidRPr="00B12FE0">
              <w:rPr>
                <w:color w:val="000000" w:themeColor="text1"/>
                <w:sz w:val="21"/>
                <w:szCs w:val="21"/>
              </w:rPr>
              <w:t>×10</w:t>
            </w:r>
            <w:r w:rsidRPr="00B12FE0">
              <w:rPr>
                <w:color w:val="000000" w:themeColor="text1"/>
                <w:sz w:val="21"/>
                <w:szCs w:val="21"/>
                <w:vertAlign w:val="superscript"/>
              </w:rPr>
              <w:t>12</w:t>
            </w:r>
          </w:p>
        </w:tc>
      </w:tr>
      <w:tr w:rsidR="00A67F21" w:rsidRPr="00B12FE0" w14:paraId="0AD38055" w14:textId="77777777">
        <w:trPr>
          <w:trHeight w:val="397"/>
        </w:trPr>
        <w:tc>
          <w:tcPr>
            <w:tcW w:w="255" w:type="pct"/>
            <w:tcBorders>
              <w:top w:val="single" w:sz="4" w:space="0" w:color="auto"/>
              <w:left w:val="single" w:sz="4" w:space="0" w:color="auto"/>
              <w:bottom w:val="single" w:sz="4" w:space="0" w:color="auto"/>
              <w:right w:val="single" w:sz="4" w:space="0" w:color="auto"/>
            </w:tcBorders>
            <w:vAlign w:val="center"/>
          </w:tcPr>
          <w:p w14:paraId="17CAE4A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4</w:t>
            </w:r>
          </w:p>
        </w:tc>
        <w:tc>
          <w:tcPr>
            <w:tcW w:w="596" w:type="pct"/>
            <w:tcBorders>
              <w:top w:val="single" w:sz="4" w:space="0" w:color="auto"/>
              <w:left w:val="nil"/>
              <w:bottom w:val="single" w:sz="4" w:space="0" w:color="auto"/>
              <w:right w:val="single" w:sz="4" w:space="0" w:color="auto"/>
            </w:tcBorders>
            <w:vAlign w:val="center"/>
          </w:tcPr>
          <w:p w14:paraId="5DB2D147" w14:textId="77777777" w:rsidR="00A67F21" w:rsidRPr="00B12FE0" w:rsidRDefault="00000000">
            <w:pPr>
              <w:widowControl/>
              <w:jc w:val="center"/>
              <w:rPr>
                <w:color w:val="000000" w:themeColor="text1"/>
                <w:sz w:val="21"/>
                <w:szCs w:val="21"/>
                <w:vertAlign w:val="superscript"/>
              </w:rPr>
            </w:pPr>
            <w:r w:rsidRPr="00B12FE0">
              <w:rPr>
                <w:rFonts w:hint="eastAsia"/>
                <w:color w:val="000000" w:themeColor="text1"/>
                <w:sz w:val="21"/>
                <w:szCs w:val="21"/>
                <w:vertAlign w:val="superscript"/>
              </w:rPr>
              <w:t>32</w:t>
            </w:r>
            <w:r w:rsidRPr="00B12FE0">
              <w:rPr>
                <w:rFonts w:hint="eastAsia"/>
                <w:color w:val="000000" w:themeColor="text1"/>
                <w:sz w:val="21"/>
                <w:szCs w:val="21"/>
              </w:rPr>
              <w:t>P</w:t>
            </w:r>
          </w:p>
        </w:tc>
        <w:tc>
          <w:tcPr>
            <w:tcW w:w="699" w:type="pct"/>
            <w:tcBorders>
              <w:top w:val="single" w:sz="4" w:space="0" w:color="auto"/>
              <w:left w:val="nil"/>
              <w:bottom w:val="single" w:sz="4" w:space="0" w:color="auto"/>
              <w:right w:val="single" w:sz="4" w:space="0" w:color="auto"/>
            </w:tcBorders>
            <w:vAlign w:val="center"/>
          </w:tcPr>
          <w:p w14:paraId="30137F3D" w14:textId="77777777" w:rsidR="00A67F21" w:rsidRPr="00B12FE0" w:rsidRDefault="00000000">
            <w:pPr>
              <w:adjustRightInd w:val="0"/>
              <w:snapToGrid w:val="0"/>
              <w:spacing w:line="240" w:lineRule="atLeast"/>
              <w:jc w:val="center"/>
              <w:rPr>
                <w:color w:val="000000" w:themeColor="text1"/>
                <w:sz w:val="21"/>
                <w:szCs w:val="21"/>
              </w:rPr>
            </w:pPr>
            <w:r w:rsidRPr="00B12FE0">
              <w:rPr>
                <w:color w:val="000000" w:themeColor="text1"/>
                <w:sz w:val="21"/>
                <w:szCs w:val="21"/>
              </w:rPr>
              <w:t>7.4×10</w:t>
            </w:r>
            <w:r w:rsidRPr="00B12FE0">
              <w:rPr>
                <w:color w:val="000000" w:themeColor="text1"/>
                <w:sz w:val="21"/>
                <w:szCs w:val="21"/>
                <w:vertAlign w:val="superscript"/>
              </w:rPr>
              <w:t>6</w:t>
            </w:r>
            <w:r w:rsidRPr="00B12FE0">
              <w:rPr>
                <w:color w:val="000000" w:themeColor="text1"/>
                <w:sz w:val="21"/>
                <w:szCs w:val="21"/>
              </w:rPr>
              <w:t>Bq</w:t>
            </w:r>
          </w:p>
          <w:p w14:paraId="770516F5"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w:t>
            </w:r>
            <w:r w:rsidRPr="00B12FE0">
              <w:rPr>
                <w:rFonts w:hint="eastAsia"/>
                <w:color w:val="000000" w:themeColor="text1"/>
                <w:sz w:val="21"/>
                <w:szCs w:val="21"/>
              </w:rPr>
              <w:t>0.2mCi</w:t>
            </w:r>
            <w:r w:rsidRPr="00B12FE0">
              <w:rPr>
                <w:rFonts w:hint="eastAsia"/>
                <w:color w:val="000000" w:themeColor="text1"/>
                <w:sz w:val="21"/>
                <w:szCs w:val="21"/>
              </w:rPr>
              <w:t>）</w:t>
            </w:r>
          </w:p>
        </w:tc>
        <w:tc>
          <w:tcPr>
            <w:tcW w:w="643" w:type="pct"/>
            <w:tcBorders>
              <w:top w:val="single" w:sz="4" w:space="0" w:color="auto"/>
              <w:left w:val="nil"/>
              <w:bottom w:val="single" w:sz="4" w:space="0" w:color="auto"/>
              <w:right w:val="single" w:sz="4" w:space="0" w:color="auto"/>
            </w:tcBorders>
            <w:vAlign w:val="center"/>
          </w:tcPr>
          <w:p w14:paraId="194EA001"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3</w:t>
            </w:r>
            <w:r w:rsidRPr="00B12FE0">
              <w:rPr>
                <w:rFonts w:hint="eastAsia"/>
                <w:color w:val="000000" w:themeColor="text1"/>
                <w:sz w:val="21"/>
                <w:szCs w:val="21"/>
              </w:rPr>
              <w:t>人</w:t>
            </w:r>
          </w:p>
        </w:tc>
        <w:tc>
          <w:tcPr>
            <w:tcW w:w="887" w:type="pct"/>
            <w:tcBorders>
              <w:top w:val="single" w:sz="4" w:space="0" w:color="auto"/>
              <w:left w:val="nil"/>
              <w:bottom w:val="single" w:sz="4" w:space="0" w:color="auto"/>
              <w:right w:val="single" w:sz="4" w:space="0" w:color="auto"/>
            </w:tcBorders>
            <w:vAlign w:val="center"/>
          </w:tcPr>
          <w:p w14:paraId="785D0886"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562" w:type="pct"/>
            <w:tcBorders>
              <w:top w:val="single" w:sz="4" w:space="0" w:color="auto"/>
              <w:left w:val="nil"/>
              <w:bottom w:val="single" w:sz="4" w:space="0" w:color="auto"/>
              <w:right w:val="single" w:sz="4" w:space="0" w:color="auto"/>
            </w:tcBorders>
            <w:vAlign w:val="center"/>
          </w:tcPr>
          <w:p w14:paraId="241CE56E"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250</w:t>
            </w:r>
            <w:r w:rsidRPr="00B12FE0">
              <w:rPr>
                <w:rFonts w:ascii="宋体" w:hAnsi="宋体"/>
                <w:bCs/>
                <w:color w:val="000000" w:themeColor="text1"/>
                <w:sz w:val="21"/>
                <w:szCs w:val="21"/>
              </w:rPr>
              <w:t>天</w:t>
            </w:r>
          </w:p>
        </w:tc>
        <w:tc>
          <w:tcPr>
            <w:tcW w:w="624" w:type="pct"/>
            <w:tcBorders>
              <w:top w:val="single" w:sz="4" w:space="0" w:color="auto"/>
              <w:left w:val="nil"/>
              <w:bottom w:val="single" w:sz="4" w:space="0" w:color="auto"/>
              <w:right w:val="single" w:sz="4" w:space="0" w:color="auto"/>
            </w:tcBorders>
            <w:vAlign w:val="center"/>
          </w:tcPr>
          <w:p w14:paraId="039A8468"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750</w:t>
            </w:r>
            <w:r w:rsidRPr="00B12FE0">
              <w:rPr>
                <w:rFonts w:ascii="宋体" w:hAnsi="宋体"/>
                <w:color w:val="000000" w:themeColor="text1"/>
                <w:sz w:val="21"/>
                <w:szCs w:val="21"/>
              </w:rPr>
              <w:t>人</w:t>
            </w:r>
          </w:p>
        </w:tc>
        <w:tc>
          <w:tcPr>
            <w:tcW w:w="734" w:type="pct"/>
            <w:tcBorders>
              <w:top w:val="single" w:sz="4" w:space="0" w:color="auto"/>
              <w:left w:val="nil"/>
              <w:bottom w:val="single" w:sz="4" w:space="0" w:color="auto"/>
              <w:right w:val="single" w:sz="4" w:space="0" w:color="auto"/>
            </w:tcBorders>
            <w:vAlign w:val="center"/>
          </w:tcPr>
          <w:p w14:paraId="59D63C48" w14:textId="77777777" w:rsidR="00A67F21" w:rsidRPr="00B12FE0" w:rsidRDefault="00000000">
            <w:pPr>
              <w:widowControl/>
              <w:adjustRightInd w:val="0"/>
              <w:snapToGrid w:val="0"/>
              <w:jc w:val="center"/>
              <w:rPr>
                <w:color w:val="000000" w:themeColor="text1"/>
                <w:sz w:val="21"/>
                <w:szCs w:val="21"/>
              </w:rPr>
            </w:pPr>
            <w:r w:rsidRPr="00B12FE0">
              <w:rPr>
                <w:rFonts w:hint="eastAsia"/>
                <w:color w:val="000000" w:themeColor="text1"/>
                <w:sz w:val="21"/>
                <w:szCs w:val="21"/>
              </w:rPr>
              <w:t>5.55</w:t>
            </w:r>
            <w:r w:rsidRPr="00B12FE0">
              <w:rPr>
                <w:color w:val="000000" w:themeColor="text1"/>
                <w:sz w:val="21"/>
                <w:szCs w:val="21"/>
              </w:rPr>
              <w:t>×10</w:t>
            </w:r>
            <w:r w:rsidRPr="00B12FE0">
              <w:rPr>
                <w:rFonts w:hint="eastAsia"/>
                <w:color w:val="000000" w:themeColor="text1"/>
                <w:sz w:val="21"/>
                <w:szCs w:val="21"/>
                <w:vertAlign w:val="superscript"/>
              </w:rPr>
              <w:t>9</w:t>
            </w:r>
          </w:p>
        </w:tc>
      </w:tr>
      <w:tr w:rsidR="00A67F21" w:rsidRPr="00B12FE0" w14:paraId="75DCBFC3" w14:textId="77777777">
        <w:trPr>
          <w:trHeight w:val="397"/>
        </w:trPr>
        <w:tc>
          <w:tcPr>
            <w:tcW w:w="255" w:type="pct"/>
            <w:tcBorders>
              <w:top w:val="single" w:sz="4" w:space="0" w:color="auto"/>
              <w:left w:val="single" w:sz="4" w:space="0" w:color="auto"/>
              <w:bottom w:val="single" w:sz="4" w:space="0" w:color="auto"/>
              <w:right w:val="single" w:sz="4" w:space="0" w:color="auto"/>
            </w:tcBorders>
            <w:vAlign w:val="center"/>
          </w:tcPr>
          <w:p w14:paraId="6EEEFF1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5</w:t>
            </w:r>
          </w:p>
        </w:tc>
        <w:tc>
          <w:tcPr>
            <w:tcW w:w="596" w:type="pct"/>
            <w:tcBorders>
              <w:top w:val="single" w:sz="4" w:space="0" w:color="auto"/>
              <w:left w:val="nil"/>
              <w:bottom w:val="single" w:sz="4" w:space="0" w:color="auto"/>
              <w:right w:val="single" w:sz="4" w:space="0" w:color="auto"/>
            </w:tcBorders>
            <w:vAlign w:val="center"/>
          </w:tcPr>
          <w:p w14:paraId="61BDEB40" w14:textId="77777777" w:rsidR="00A67F21" w:rsidRPr="00B12FE0" w:rsidRDefault="00000000">
            <w:pPr>
              <w:widowControl/>
              <w:jc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甲测</w:t>
            </w:r>
            <w:proofErr w:type="gramEnd"/>
          </w:p>
        </w:tc>
        <w:tc>
          <w:tcPr>
            <w:tcW w:w="699" w:type="pct"/>
            <w:tcBorders>
              <w:top w:val="single" w:sz="4" w:space="0" w:color="auto"/>
              <w:left w:val="nil"/>
              <w:bottom w:val="single" w:sz="4" w:space="0" w:color="auto"/>
              <w:right w:val="single" w:sz="4" w:space="0" w:color="auto"/>
            </w:tcBorders>
            <w:vAlign w:val="center"/>
          </w:tcPr>
          <w:p w14:paraId="4DF6EFD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1.85×10</w:t>
            </w:r>
            <w:r w:rsidRPr="00B12FE0">
              <w:rPr>
                <w:color w:val="000000" w:themeColor="text1"/>
                <w:sz w:val="21"/>
                <w:szCs w:val="21"/>
                <w:vertAlign w:val="superscript"/>
              </w:rPr>
              <w:t>5</w:t>
            </w:r>
          </w:p>
          <w:p w14:paraId="155C9D32" w14:textId="77777777" w:rsidR="00A67F21" w:rsidRPr="00B12FE0" w:rsidRDefault="00000000">
            <w:pPr>
              <w:adjustRightInd w:val="0"/>
              <w:snapToGrid w:val="0"/>
              <w:spacing w:line="240" w:lineRule="atLeast"/>
              <w:jc w:val="center"/>
              <w:rPr>
                <w:color w:val="000000" w:themeColor="text1"/>
                <w:sz w:val="21"/>
                <w:szCs w:val="21"/>
              </w:rPr>
            </w:pPr>
            <w:r w:rsidRPr="00B12FE0">
              <w:rPr>
                <w:rFonts w:ascii="宋体" w:hAnsi="宋体"/>
                <w:color w:val="000000" w:themeColor="text1"/>
                <w:sz w:val="21"/>
                <w:szCs w:val="21"/>
              </w:rPr>
              <w:lastRenderedPageBreak/>
              <w:t>（</w:t>
            </w:r>
            <w:r w:rsidRPr="00B12FE0">
              <w:rPr>
                <w:color w:val="000000" w:themeColor="text1"/>
                <w:sz w:val="21"/>
                <w:szCs w:val="21"/>
              </w:rPr>
              <w:t>5μCi</w:t>
            </w:r>
            <w:r w:rsidRPr="00B12FE0">
              <w:rPr>
                <w:rFonts w:ascii="宋体" w:hAnsi="宋体"/>
                <w:color w:val="000000" w:themeColor="text1"/>
                <w:sz w:val="21"/>
                <w:szCs w:val="21"/>
              </w:rPr>
              <w:t>）</w:t>
            </w:r>
          </w:p>
        </w:tc>
        <w:tc>
          <w:tcPr>
            <w:tcW w:w="643" w:type="pct"/>
            <w:tcBorders>
              <w:top w:val="single" w:sz="4" w:space="0" w:color="auto"/>
              <w:left w:val="nil"/>
              <w:bottom w:val="single" w:sz="4" w:space="0" w:color="auto"/>
              <w:right w:val="single" w:sz="4" w:space="0" w:color="auto"/>
            </w:tcBorders>
            <w:vAlign w:val="center"/>
          </w:tcPr>
          <w:p w14:paraId="1D074B93"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lastRenderedPageBreak/>
              <w:t>10</w:t>
            </w:r>
            <w:r w:rsidRPr="00B12FE0">
              <w:rPr>
                <w:rFonts w:hint="eastAsia"/>
                <w:color w:val="000000" w:themeColor="text1"/>
                <w:sz w:val="21"/>
                <w:szCs w:val="21"/>
              </w:rPr>
              <w:t>人</w:t>
            </w:r>
          </w:p>
        </w:tc>
        <w:tc>
          <w:tcPr>
            <w:tcW w:w="887" w:type="pct"/>
            <w:tcBorders>
              <w:top w:val="single" w:sz="4" w:space="0" w:color="auto"/>
              <w:left w:val="nil"/>
              <w:bottom w:val="single" w:sz="4" w:space="0" w:color="auto"/>
              <w:right w:val="single" w:sz="4" w:space="0" w:color="auto"/>
            </w:tcBorders>
            <w:vAlign w:val="center"/>
          </w:tcPr>
          <w:p w14:paraId="3BEB1A06"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1.85</w:t>
            </w:r>
            <w:r w:rsidRPr="00B12FE0">
              <w:rPr>
                <w:color w:val="000000" w:themeColor="text1"/>
                <w:sz w:val="21"/>
                <w:szCs w:val="21"/>
              </w:rPr>
              <w:t>×10</w:t>
            </w:r>
            <w:r w:rsidRPr="00B12FE0">
              <w:rPr>
                <w:rFonts w:hint="eastAsia"/>
                <w:color w:val="000000" w:themeColor="text1"/>
                <w:sz w:val="21"/>
                <w:szCs w:val="21"/>
                <w:vertAlign w:val="superscript"/>
              </w:rPr>
              <w:t>6</w:t>
            </w:r>
          </w:p>
        </w:tc>
        <w:tc>
          <w:tcPr>
            <w:tcW w:w="562" w:type="pct"/>
            <w:tcBorders>
              <w:top w:val="single" w:sz="4" w:space="0" w:color="auto"/>
              <w:left w:val="nil"/>
              <w:bottom w:val="single" w:sz="4" w:space="0" w:color="auto"/>
              <w:right w:val="single" w:sz="4" w:space="0" w:color="auto"/>
            </w:tcBorders>
            <w:vAlign w:val="center"/>
          </w:tcPr>
          <w:p w14:paraId="455226EE"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250</w:t>
            </w:r>
            <w:r w:rsidRPr="00B12FE0">
              <w:rPr>
                <w:rFonts w:ascii="宋体" w:hAnsi="宋体"/>
                <w:bCs/>
                <w:color w:val="000000" w:themeColor="text1"/>
                <w:sz w:val="21"/>
                <w:szCs w:val="21"/>
              </w:rPr>
              <w:t>天</w:t>
            </w:r>
          </w:p>
        </w:tc>
        <w:tc>
          <w:tcPr>
            <w:tcW w:w="624" w:type="pct"/>
            <w:tcBorders>
              <w:top w:val="single" w:sz="4" w:space="0" w:color="auto"/>
              <w:left w:val="nil"/>
              <w:bottom w:val="single" w:sz="4" w:space="0" w:color="auto"/>
              <w:right w:val="single" w:sz="4" w:space="0" w:color="auto"/>
            </w:tcBorders>
            <w:vAlign w:val="center"/>
          </w:tcPr>
          <w:p w14:paraId="7BAC4EA0"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2500</w:t>
            </w:r>
            <w:r w:rsidRPr="00B12FE0">
              <w:rPr>
                <w:rFonts w:ascii="宋体" w:hAnsi="宋体"/>
                <w:color w:val="000000" w:themeColor="text1"/>
                <w:sz w:val="21"/>
                <w:szCs w:val="21"/>
              </w:rPr>
              <w:t>人</w:t>
            </w:r>
          </w:p>
        </w:tc>
        <w:tc>
          <w:tcPr>
            <w:tcW w:w="734" w:type="pct"/>
            <w:tcBorders>
              <w:top w:val="single" w:sz="4" w:space="0" w:color="auto"/>
              <w:left w:val="single" w:sz="4" w:space="0" w:color="auto"/>
              <w:bottom w:val="single" w:sz="4" w:space="0" w:color="auto"/>
              <w:right w:val="single" w:sz="4" w:space="0" w:color="auto"/>
            </w:tcBorders>
            <w:vAlign w:val="center"/>
          </w:tcPr>
          <w:p w14:paraId="1C514BFC" w14:textId="77777777" w:rsidR="00A67F21" w:rsidRPr="00B12FE0" w:rsidRDefault="00000000">
            <w:pPr>
              <w:widowControl/>
              <w:adjustRightInd w:val="0"/>
              <w:snapToGrid w:val="0"/>
              <w:jc w:val="center"/>
              <w:rPr>
                <w:color w:val="000000" w:themeColor="text1"/>
                <w:sz w:val="21"/>
                <w:szCs w:val="21"/>
              </w:rPr>
            </w:pPr>
            <w:r w:rsidRPr="00B12FE0">
              <w:rPr>
                <w:rFonts w:hint="eastAsia"/>
                <w:color w:val="000000" w:themeColor="text1"/>
                <w:kern w:val="0"/>
                <w:sz w:val="21"/>
                <w:szCs w:val="21"/>
              </w:rPr>
              <w:t>9.25</w:t>
            </w:r>
            <w:r w:rsidRPr="00B12FE0">
              <w:rPr>
                <w:color w:val="000000" w:themeColor="text1"/>
                <w:sz w:val="21"/>
                <w:szCs w:val="21"/>
              </w:rPr>
              <w:t>×10</w:t>
            </w:r>
            <w:r w:rsidRPr="00B12FE0">
              <w:rPr>
                <w:rFonts w:hint="eastAsia"/>
                <w:color w:val="000000" w:themeColor="text1"/>
                <w:sz w:val="21"/>
                <w:szCs w:val="21"/>
                <w:vertAlign w:val="superscript"/>
              </w:rPr>
              <w:t>7</w:t>
            </w:r>
          </w:p>
        </w:tc>
      </w:tr>
      <w:tr w:rsidR="00A67F21" w:rsidRPr="00B12FE0" w14:paraId="7A94D818" w14:textId="77777777">
        <w:trPr>
          <w:trHeight w:val="397"/>
        </w:trPr>
        <w:tc>
          <w:tcPr>
            <w:tcW w:w="255" w:type="pct"/>
            <w:tcBorders>
              <w:top w:val="single" w:sz="4" w:space="0" w:color="auto"/>
              <w:left w:val="single" w:sz="4" w:space="0" w:color="auto"/>
              <w:bottom w:val="single" w:sz="4" w:space="0" w:color="auto"/>
              <w:right w:val="single" w:sz="4" w:space="0" w:color="auto"/>
            </w:tcBorders>
            <w:vAlign w:val="center"/>
          </w:tcPr>
          <w:p w14:paraId="30B5850A"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6</w:t>
            </w:r>
          </w:p>
        </w:tc>
        <w:tc>
          <w:tcPr>
            <w:tcW w:w="596" w:type="pct"/>
            <w:tcBorders>
              <w:top w:val="single" w:sz="4" w:space="0" w:color="auto"/>
              <w:left w:val="nil"/>
              <w:bottom w:val="single" w:sz="4" w:space="0" w:color="auto"/>
              <w:right w:val="single" w:sz="4" w:space="0" w:color="auto"/>
            </w:tcBorders>
            <w:vAlign w:val="center"/>
          </w:tcPr>
          <w:p w14:paraId="3EBDAB5F" w14:textId="77777777" w:rsidR="00A67F21" w:rsidRPr="00B12FE0" w:rsidRDefault="00000000">
            <w:pPr>
              <w:widowControl/>
              <w:jc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kern w:val="0"/>
                <w:sz w:val="21"/>
                <w:szCs w:val="21"/>
              </w:rPr>
              <w:t>甲亢</w:t>
            </w:r>
          </w:p>
        </w:tc>
        <w:tc>
          <w:tcPr>
            <w:tcW w:w="699" w:type="pct"/>
            <w:tcBorders>
              <w:top w:val="single" w:sz="8" w:space="0" w:color="000000"/>
              <w:left w:val="nil"/>
              <w:bottom w:val="single" w:sz="8" w:space="0" w:color="000000"/>
              <w:right w:val="single" w:sz="8" w:space="0" w:color="000000"/>
            </w:tcBorders>
            <w:vAlign w:val="center"/>
          </w:tcPr>
          <w:p w14:paraId="0D64341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3.70×10</w:t>
            </w:r>
            <w:r w:rsidRPr="00B12FE0">
              <w:rPr>
                <w:color w:val="000000" w:themeColor="text1"/>
                <w:sz w:val="21"/>
                <w:szCs w:val="21"/>
                <w:vertAlign w:val="superscript"/>
              </w:rPr>
              <w:t>8</w:t>
            </w:r>
          </w:p>
          <w:p w14:paraId="582EB191" w14:textId="77777777" w:rsidR="00A67F21" w:rsidRPr="00B12FE0" w:rsidRDefault="00000000">
            <w:pPr>
              <w:adjustRightInd w:val="0"/>
              <w:snapToGrid w:val="0"/>
              <w:spacing w:line="240" w:lineRule="atLeast"/>
              <w:jc w:val="center"/>
              <w:rPr>
                <w:color w:val="000000" w:themeColor="text1"/>
                <w:sz w:val="21"/>
                <w:szCs w:val="21"/>
              </w:rPr>
            </w:pPr>
            <w:r w:rsidRPr="00B12FE0">
              <w:rPr>
                <w:rFonts w:ascii="宋体" w:hAnsi="宋体"/>
                <w:color w:val="000000" w:themeColor="text1"/>
                <w:sz w:val="21"/>
                <w:szCs w:val="21"/>
              </w:rPr>
              <w:t>（</w:t>
            </w:r>
            <w:r w:rsidRPr="00B12FE0">
              <w:rPr>
                <w:color w:val="000000" w:themeColor="text1"/>
                <w:sz w:val="21"/>
                <w:szCs w:val="21"/>
              </w:rPr>
              <w:t>10mCi</w:t>
            </w:r>
            <w:r w:rsidRPr="00B12FE0">
              <w:rPr>
                <w:rFonts w:ascii="宋体" w:hAnsi="宋体"/>
                <w:color w:val="000000" w:themeColor="text1"/>
                <w:sz w:val="21"/>
                <w:szCs w:val="21"/>
              </w:rPr>
              <w:t>）</w:t>
            </w:r>
          </w:p>
        </w:tc>
        <w:tc>
          <w:tcPr>
            <w:tcW w:w="643" w:type="pct"/>
            <w:tcBorders>
              <w:top w:val="single" w:sz="4" w:space="0" w:color="auto"/>
              <w:left w:val="nil"/>
              <w:bottom w:val="single" w:sz="4" w:space="0" w:color="auto"/>
              <w:right w:val="single" w:sz="4" w:space="0" w:color="auto"/>
            </w:tcBorders>
            <w:vAlign w:val="center"/>
          </w:tcPr>
          <w:p w14:paraId="125EDA66"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10</w:t>
            </w:r>
            <w:r w:rsidRPr="00B12FE0">
              <w:rPr>
                <w:rFonts w:hint="eastAsia"/>
                <w:color w:val="000000" w:themeColor="text1"/>
                <w:sz w:val="21"/>
                <w:szCs w:val="21"/>
              </w:rPr>
              <w:t>人</w:t>
            </w:r>
          </w:p>
        </w:tc>
        <w:tc>
          <w:tcPr>
            <w:tcW w:w="887" w:type="pct"/>
            <w:tcBorders>
              <w:top w:val="single" w:sz="4" w:space="0" w:color="auto"/>
              <w:left w:val="nil"/>
              <w:bottom w:val="single" w:sz="4" w:space="0" w:color="auto"/>
              <w:right w:val="single" w:sz="4" w:space="0" w:color="auto"/>
            </w:tcBorders>
            <w:vAlign w:val="center"/>
          </w:tcPr>
          <w:p w14:paraId="5BED42E9"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3.70</w:t>
            </w:r>
            <w:r w:rsidRPr="00B12FE0">
              <w:rPr>
                <w:color w:val="000000" w:themeColor="text1"/>
                <w:sz w:val="21"/>
                <w:szCs w:val="21"/>
              </w:rPr>
              <w:t>×10</w:t>
            </w:r>
            <w:r w:rsidRPr="00B12FE0">
              <w:rPr>
                <w:rFonts w:hint="eastAsia"/>
                <w:color w:val="000000" w:themeColor="text1"/>
                <w:sz w:val="21"/>
                <w:szCs w:val="21"/>
                <w:vertAlign w:val="superscript"/>
              </w:rPr>
              <w:t>9</w:t>
            </w:r>
          </w:p>
        </w:tc>
        <w:tc>
          <w:tcPr>
            <w:tcW w:w="562" w:type="pct"/>
            <w:tcBorders>
              <w:top w:val="single" w:sz="4" w:space="0" w:color="auto"/>
              <w:left w:val="nil"/>
              <w:bottom w:val="single" w:sz="4" w:space="0" w:color="auto"/>
              <w:right w:val="single" w:sz="4" w:space="0" w:color="auto"/>
            </w:tcBorders>
            <w:vAlign w:val="center"/>
          </w:tcPr>
          <w:p w14:paraId="382CC5E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250</w:t>
            </w:r>
            <w:r w:rsidRPr="00B12FE0">
              <w:rPr>
                <w:rFonts w:ascii="宋体" w:hAnsi="宋体"/>
                <w:bCs/>
                <w:color w:val="000000" w:themeColor="text1"/>
                <w:sz w:val="21"/>
                <w:szCs w:val="21"/>
              </w:rPr>
              <w:t>天</w:t>
            </w:r>
          </w:p>
        </w:tc>
        <w:tc>
          <w:tcPr>
            <w:tcW w:w="624" w:type="pct"/>
            <w:tcBorders>
              <w:top w:val="single" w:sz="4" w:space="0" w:color="auto"/>
              <w:left w:val="nil"/>
              <w:bottom w:val="single" w:sz="4" w:space="0" w:color="auto"/>
              <w:right w:val="single" w:sz="4" w:space="0" w:color="auto"/>
            </w:tcBorders>
            <w:vAlign w:val="center"/>
          </w:tcPr>
          <w:p w14:paraId="28B0FFEB"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2500</w:t>
            </w:r>
            <w:r w:rsidRPr="00B12FE0">
              <w:rPr>
                <w:rFonts w:ascii="宋体" w:hAnsi="宋体"/>
                <w:color w:val="000000" w:themeColor="text1"/>
                <w:sz w:val="21"/>
                <w:szCs w:val="21"/>
              </w:rPr>
              <w:t>人</w:t>
            </w:r>
          </w:p>
        </w:tc>
        <w:tc>
          <w:tcPr>
            <w:tcW w:w="734" w:type="pct"/>
            <w:tcBorders>
              <w:top w:val="single" w:sz="8" w:space="0" w:color="000000"/>
              <w:left w:val="nil"/>
              <w:bottom w:val="single" w:sz="8" w:space="0" w:color="000000"/>
              <w:right w:val="single" w:sz="8" w:space="0" w:color="000000"/>
            </w:tcBorders>
            <w:vAlign w:val="center"/>
          </w:tcPr>
          <w:p w14:paraId="29569B69" w14:textId="77777777" w:rsidR="00A67F21" w:rsidRPr="00B12FE0" w:rsidRDefault="00000000">
            <w:pPr>
              <w:widowControl/>
              <w:adjustRightInd w:val="0"/>
              <w:snapToGrid w:val="0"/>
              <w:jc w:val="center"/>
              <w:rPr>
                <w:color w:val="000000" w:themeColor="text1"/>
                <w:sz w:val="21"/>
                <w:szCs w:val="21"/>
              </w:rPr>
            </w:pPr>
            <w:r w:rsidRPr="00B12FE0">
              <w:rPr>
                <w:rFonts w:hint="eastAsia"/>
                <w:color w:val="000000" w:themeColor="text1"/>
                <w:kern w:val="0"/>
                <w:sz w:val="21"/>
                <w:szCs w:val="21"/>
              </w:rPr>
              <w:t>1.85</w:t>
            </w:r>
            <w:r w:rsidRPr="00B12FE0">
              <w:rPr>
                <w:color w:val="000000" w:themeColor="text1"/>
                <w:sz w:val="21"/>
                <w:szCs w:val="21"/>
              </w:rPr>
              <w:t>×10</w:t>
            </w:r>
            <w:r w:rsidRPr="00B12FE0">
              <w:rPr>
                <w:rFonts w:hint="eastAsia"/>
                <w:color w:val="000000" w:themeColor="text1"/>
                <w:sz w:val="21"/>
                <w:szCs w:val="21"/>
                <w:vertAlign w:val="superscript"/>
              </w:rPr>
              <w:t>11</w:t>
            </w:r>
          </w:p>
        </w:tc>
      </w:tr>
      <w:tr w:rsidR="00A67F21" w:rsidRPr="00B12FE0" w14:paraId="626E7163" w14:textId="77777777">
        <w:trPr>
          <w:trHeight w:val="397"/>
        </w:trPr>
        <w:tc>
          <w:tcPr>
            <w:tcW w:w="5000" w:type="pct"/>
            <w:gridSpan w:val="8"/>
            <w:tcBorders>
              <w:top w:val="single" w:sz="4" w:space="0" w:color="auto"/>
              <w:left w:val="single" w:sz="4" w:space="0" w:color="auto"/>
              <w:bottom w:val="single" w:sz="4" w:space="0" w:color="auto"/>
              <w:right w:val="single" w:sz="8" w:space="0" w:color="000000"/>
            </w:tcBorders>
            <w:vAlign w:val="center"/>
          </w:tcPr>
          <w:p w14:paraId="3B32FF77" w14:textId="77777777" w:rsidR="00A67F21" w:rsidRPr="00B12FE0" w:rsidRDefault="00000000">
            <w:pPr>
              <w:widowControl/>
              <w:jc w:val="left"/>
              <w:textAlignment w:val="center"/>
              <w:rPr>
                <w:color w:val="000000" w:themeColor="text1"/>
                <w:sz w:val="18"/>
                <w:szCs w:val="18"/>
              </w:rPr>
            </w:pPr>
            <w:r w:rsidRPr="00B12FE0">
              <w:rPr>
                <w:rFonts w:hint="eastAsia"/>
                <w:color w:val="000000" w:themeColor="text1"/>
                <w:kern w:val="0"/>
                <w:sz w:val="21"/>
                <w:szCs w:val="21"/>
              </w:rPr>
              <w:t>注：</w:t>
            </w:r>
            <w:r w:rsidRPr="00B12FE0">
              <w:rPr>
                <w:rFonts w:ascii="Cambria Math" w:eastAsia="TimesNewRoman" w:hAnsi="Cambria Math" w:cs="Cambria Math" w:hint="eastAsia"/>
                <w:color w:val="000000" w:themeColor="text1"/>
                <w:kern w:val="0"/>
                <w:sz w:val="18"/>
                <w:szCs w:val="18"/>
              </w:rPr>
              <w:t>①</w:t>
            </w: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和</w:t>
            </w: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日和年最大用量均按生产量进行计算。</w:t>
            </w:r>
          </w:p>
          <w:p w14:paraId="2E7F3DB1" w14:textId="77777777" w:rsidR="00A67F21" w:rsidRPr="00B12FE0" w:rsidRDefault="00000000">
            <w:pPr>
              <w:widowControl/>
              <w:adjustRightInd w:val="0"/>
              <w:snapToGrid w:val="0"/>
              <w:rPr>
                <w:color w:val="000000" w:themeColor="text1"/>
                <w:kern w:val="0"/>
                <w:sz w:val="21"/>
                <w:szCs w:val="21"/>
              </w:rPr>
            </w:pPr>
            <w:r w:rsidRPr="00B12FE0">
              <w:rPr>
                <w:rFonts w:hint="eastAsia"/>
                <w:color w:val="000000" w:themeColor="text1"/>
                <w:sz w:val="18"/>
                <w:szCs w:val="18"/>
              </w:rPr>
              <w:t>②</w:t>
            </w:r>
            <w:r w:rsidRPr="00B12FE0">
              <w:rPr>
                <w:color w:val="000000" w:themeColor="text1"/>
                <w:sz w:val="18"/>
                <w:szCs w:val="18"/>
                <w:vertAlign w:val="superscript"/>
              </w:rPr>
              <w:t>32</w:t>
            </w:r>
            <w:r w:rsidRPr="00B12FE0">
              <w:rPr>
                <w:color w:val="000000" w:themeColor="text1"/>
                <w:sz w:val="18"/>
                <w:szCs w:val="18"/>
              </w:rPr>
              <w:t>P</w:t>
            </w:r>
            <w:r w:rsidRPr="00B12FE0">
              <w:rPr>
                <w:rFonts w:hint="eastAsia"/>
                <w:color w:val="000000" w:themeColor="text1"/>
                <w:sz w:val="18"/>
                <w:szCs w:val="18"/>
              </w:rPr>
              <w:t>每周一集中送该周所需药，送药后医院根据患者需求进行敷贴器制作，因此日最大操作量保守考虑制贴时使用的一周用量。</w:t>
            </w:r>
          </w:p>
        </w:tc>
      </w:tr>
    </w:tbl>
    <w:p w14:paraId="4200C4BF"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9.1.1.5-</w:t>
      </w:r>
      <w:r w:rsidRPr="00B12FE0">
        <w:rPr>
          <w:rFonts w:hint="eastAsia"/>
          <w:b/>
          <w:bCs/>
          <w:color w:val="000000" w:themeColor="text1"/>
          <w:sz w:val="21"/>
          <w:szCs w:val="21"/>
        </w:rPr>
        <w:t>6</w:t>
      </w:r>
      <w:r w:rsidRPr="00B12FE0">
        <w:rPr>
          <w:b/>
          <w:bCs/>
          <w:color w:val="000000" w:themeColor="text1"/>
          <w:sz w:val="21"/>
          <w:szCs w:val="21"/>
        </w:rPr>
        <w:t xml:space="preserve">  </w:t>
      </w:r>
      <w:r w:rsidRPr="00B12FE0">
        <w:rPr>
          <w:rFonts w:ascii="宋体" w:hAnsi="宋体"/>
          <w:b/>
          <w:bCs/>
          <w:color w:val="000000" w:themeColor="text1"/>
          <w:sz w:val="21"/>
          <w:szCs w:val="21"/>
        </w:rPr>
        <w:t>核医学科核素治疗场所放射性核素使用量</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867"/>
        <w:gridCol w:w="1444"/>
        <w:gridCol w:w="1157"/>
        <w:gridCol w:w="1444"/>
        <w:gridCol w:w="1298"/>
        <w:gridCol w:w="1011"/>
        <w:gridCol w:w="1334"/>
      </w:tblGrid>
      <w:tr w:rsidR="00A67F21" w:rsidRPr="00B12FE0" w14:paraId="46F73F79" w14:textId="77777777">
        <w:trPr>
          <w:trHeight w:val="397"/>
        </w:trPr>
        <w:tc>
          <w:tcPr>
            <w:tcW w:w="462" w:type="dxa"/>
            <w:tcBorders>
              <w:top w:val="single" w:sz="4" w:space="0" w:color="auto"/>
              <w:left w:val="single" w:sz="4" w:space="0" w:color="auto"/>
              <w:bottom w:val="single" w:sz="4" w:space="0" w:color="auto"/>
              <w:right w:val="single" w:sz="4" w:space="0" w:color="auto"/>
            </w:tcBorders>
            <w:vAlign w:val="center"/>
          </w:tcPr>
          <w:p w14:paraId="3288AECD"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序号</w:t>
            </w:r>
          </w:p>
        </w:tc>
        <w:tc>
          <w:tcPr>
            <w:tcW w:w="867" w:type="dxa"/>
            <w:tcBorders>
              <w:top w:val="single" w:sz="4" w:space="0" w:color="auto"/>
              <w:left w:val="nil"/>
              <w:bottom w:val="single" w:sz="4" w:space="0" w:color="auto"/>
              <w:right w:val="single" w:sz="4" w:space="0" w:color="auto"/>
            </w:tcBorders>
            <w:vAlign w:val="center"/>
          </w:tcPr>
          <w:p w14:paraId="40A6B907"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核素</w:t>
            </w:r>
          </w:p>
        </w:tc>
        <w:tc>
          <w:tcPr>
            <w:tcW w:w="1444" w:type="dxa"/>
            <w:tcBorders>
              <w:top w:val="single" w:sz="4" w:space="0" w:color="auto"/>
              <w:left w:val="nil"/>
              <w:bottom w:val="single" w:sz="4" w:space="0" w:color="auto"/>
              <w:right w:val="single" w:sz="4" w:space="0" w:color="auto"/>
            </w:tcBorders>
            <w:vAlign w:val="center"/>
          </w:tcPr>
          <w:p w14:paraId="5715111E"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单人最大用量（</w:t>
            </w:r>
            <w:r w:rsidRPr="00B12FE0">
              <w:rPr>
                <w:bCs/>
                <w:color w:val="000000" w:themeColor="text1"/>
                <w:sz w:val="21"/>
                <w:szCs w:val="21"/>
              </w:rPr>
              <w:t>Bq</w:t>
            </w:r>
            <w:r w:rsidRPr="00B12FE0">
              <w:rPr>
                <w:rFonts w:ascii="宋体" w:hAnsi="宋体"/>
                <w:bCs/>
                <w:color w:val="000000" w:themeColor="text1"/>
                <w:sz w:val="21"/>
                <w:szCs w:val="21"/>
              </w:rPr>
              <w:t>）</w:t>
            </w:r>
          </w:p>
        </w:tc>
        <w:tc>
          <w:tcPr>
            <w:tcW w:w="1157" w:type="dxa"/>
            <w:tcBorders>
              <w:top w:val="single" w:sz="4" w:space="0" w:color="auto"/>
              <w:left w:val="nil"/>
              <w:bottom w:val="single" w:sz="4" w:space="0" w:color="auto"/>
              <w:right w:val="single" w:sz="4" w:space="0" w:color="auto"/>
            </w:tcBorders>
            <w:vAlign w:val="center"/>
          </w:tcPr>
          <w:p w14:paraId="5E3E81FD"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日最大诊疗人数</w:t>
            </w:r>
          </w:p>
        </w:tc>
        <w:tc>
          <w:tcPr>
            <w:tcW w:w="1444" w:type="dxa"/>
            <w:tcBorders>
              <w:top w:val="single" w:sz="4" w:space="0" w:color="auto"/>
              <w:left w:val="nil"/>
              <w:bottom w:val="single" w:sz="4" w:space="0" w:color="auto"/>
              <w:right w:val="single" w:sz="4" w:space="0" w:color="auto"/>
            </w:tcBorders>
            <w:vAlign w:val="center"/>
          </w:tcPr>
          <w:p w14:paraId="1F0DBBCD"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日实际最大操作量（</w:t>
            </w:r>
            <w:r w:rsidRPr="00B12FE0">
              <w:rPr>
                <w:bCs/>
                <w:color w:val="000000" w:themeColor="text1"/>
                <w:sz w:val="21"/>
                <w:szCs w:val="21"/>
              </w:rPr>
              <w:t>Bq</w:t>
            </w:r>
            <w:r w:rsidRPr="00B12FE0">
              <w:rPr>
                <w:rFonts w:ascii="宋体" w:hAnsi="宋体"/>
                <w:bCs/>
                <w:color w:val="000000" w:themeColor="text1"/>
                <w:sz w:val="21"/>
                <w:szCs w:val="21"/>
              </w:rPr>
              <w:t>）</w:t>
            </w:r>
          </w:p>
        </w:tc>
        <w:tc>
          <w:tcPr>
            <w:tcW w:w="1298" w:type="dxa"/>
            <w:tcBorders>
              <w:top w:val="single" w:sz="4" w:space="0" w:color="auto"/>
              <w:left w:val="nil"/>
              <w:bottom w:val="single" w:sz="4" w:space="0" w:color="auto"/>
              <w:right w:val="single" w:sz="4" w:space="0" w:color="auto"/>
            </w:tcBorders>
            <w:vAlign w:val="center"/>
          </w:tcPr>
          <w:p w14:paraId="6CEA68BC"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年诊疗天数</w:t>
            </w:r>
          </w:p>
        </w:tc>
        <w:tc>
          <w:tcPr>
            <w:tcW w:w="1011" w:type="dxa"/>
            <w:tcBorders>
              <w:top w:val="single" w:sz="4" w:space="0" w:color="auto"/>
              <w:left w:val="nil"/>
              <w:bottom w:val="single" w:sz="4" w:space="0" w:color="auto"/>
              <w:right w:val="single" w:sz="4" w:space="0" w:color="auto"/>
            </w:tcBorders>
            <w:vAlign w:val="center"/>
          </w:tcPr>
          <w:p w14:paraId="77C0D626"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年诊疗人数</w:t>
            </w:r>
          </w:p>
        </w:tc>
        <w:tc>
          <w:tcPr>
            <w:tcW w:w="1334" w:type="dxa"/>
            <w:tcBorders>
              <w:top w:val="single" w:sz="4" w:space="0" w:color="auto"/>
              <w:left w:val="nil"/>
              <w:bottom w:val="single" w:sz="4" w:space="0" w:color="auto"/>
              <w:right w:val="single" w:sz="4" w:space="0" w:color="auto"/>
            </w:tcBorders>
            <w:vAlign w:val="center"/>
          </w:tcPr>
          <w:p w14:paraId="3BE478B3" w14:textId="77777777" w:rsidR="00A67F21" w:rsidRPr="00B12FE0" w:rsidRDefault="00000000">
            <w:pPr>
              <w:adjustRightInd w:val="0"/>
              <w:snapToGrid w:val="0"/>
              <w:jc w:val="center"/>
              <w:rPr>
                <w:bCs/>
                <w:color w:val="000000" w:themeColor="text1"/>
                <w:sz w:val="21"/>
                <w:szCs w:val="21"/>
              </w:rPr>
            </w:pPr>
            <w:r w:rsidRPr="00B12FE0">
              <w:rPr>
                <w:rFonts w:ascii="宋体" w:hAnsi="宋体"/>
                <w:bCs/>
                <w:color w:val="000000" w:themeColor="text1"/>
                <w:sz w:val="21"/>
                <w:szCs w:val="21"/>
              </w:rPr>
              <w:t>年最大用量（</w:t>
            </w:r>
            <w:r w:rsidRPr="00B12FE0">
              <w:rPr>
                <w:bCs/>
                <w:color w:val="000000" w:themeColor="text1"/>
                <w:sz w:val="21"/>
                <w:szCs w:val="21"/>
              </w:rPr>
              <w:t>Bq</w:t>
            </w:r>
            <w:r w:rsidRPr="00B12FE0">
              <w:rPr>
                <w:rFonts w:ascii="宋体" w:hAnsi="宋体"/>
                <w:bCs/>
                <w:color w:val="000000" w:themeColor="text1"/>
                <w:sz w:val="21"/>
                <w:szCs w:val="21"/>
              </w:rPr>
              <w:t>）</w:t>
            </w:r>
          </w:p>
        </w:tc>
      </w:tr>
      <w:tr w:rsidR="00A67F21" w:rsidRPr="00B12FE0" w14:paraId="65B259F6" w14:textId="77777777">
        <w:trPr>
          <w:trHeight w:val="397"/>
        </w:trPr>
        <w:tc>
          <w:tcPr>
            <w:tcW w:w="462" w:type="dxa"/>
            <w:tcBorders>
              <w:top w:val="single" w:sz="4" w:space="0" w:color="auto"/>
              <w:left w:val="single" w:sz="4" w:space="0" w:color="auto"/>
              <w:bottom w:val="single" w:sz="4" w:space="0" w:color="auto"/>
              <w:right w:val="single" w:sz="4" w:space="0" w:color="auto"/>
            </w:tcBorders>
            <w:vAlign w:val="center"/>
          </w:tcPr>
          <w:p w14:paraId="164AD3A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1</w:t>
            </w:r>
          </w:p>
        </w:tc>
        <w:tc>
          <w:tcPr>
            <w:tcW w:w="867" w:type="dxa"/>
            <w:tcBorders>
              <w:top w:val="single" w:sz="4" w:space="0" w:color="auto"/>
              <w:left w:val="nil"/>
              <w:bottom w:val="single" w:sz="4" w:space="0" w:color="auto"/>
              <w:right w:val="single" w:sz="4" w:space="0" w:color="auto"/>
            </w:tcBorders>
            <w:vAlign w:val="center"/>
          </w:tcPr>
          <w:p w14:paraId="4FA5BD0D" w14:textId="77777777" w:rsidR="00A67F21" w:rsidRPr="00B12FE0" w:rsidRDefault="00000000">
            <w:pPr>
              <w:widowControl/>
              <w:spacing w:line="240" w:lineRule="atLeast"/>
              <w:jc w:val="center"/>
              <w:rPr>
                <w:bCs/>
                <w:color w:val="000000" w:themeColor="text1"/>
                <w:spacing w:val="2"/>
                <w:kern w:val="0"/>
                <w:sz w:val="21"/>
                <w:szCs w:val="21"/>
              </w:rPr>
            </w:pPr>
            <w:r w:rsidRPr="00B12FE0">
              <w:rPr>
                <w:bCs/>
                <w:color w:val="000000" w:themeColor="text1"/>
                <w:spacing w:val="2"/>
                <w:kern w:val="0"/>
                <w:sz w:val="21"/>
                <w:szCs w:val="21"/>
                <w:vertAlign w:val="superscript"/>
              </w:rPr>
              <w:t>131</w:t>
            </w:r>
            <w:r w:rsidRPr="00B12FE0">
              <w:rPr>
                <w:bCs/>
                <w:color w:val="000000" w:themeColor="text1"/>
                <w:spacing w:val="2"/>
                <w:kern w:val="0"/>
                <w:sz w:val="21"/>
                <w:szCs w:val="21"/>
              </w:rPr>
              <w:t>I</w:t>
            </w:r>
          </w:p>
          <w:p w14:paraId="24527557" w14:textId="77777777" w:rsidR="00A67F21" w:rsidRPr="00B12FE0" w:rsidRDefault="00000000">
            <w:pPr>
              <w:widowControl/>
              <w:spacing w:line="240" w:lineRule="atLeast"/>
              <w:jc w:val="center"/>
              <w:rPr>
                <w:bCs/>
                <w:color w:val="000000" w:themeColor="text1"/>
                <w:spacing w:val="2"/>
                <w:kern w:val="0"/>
                <w:sz w:val="18"/>
                <w:szCs w:val="18"/>
              </w:rPr>
            </w:pPr>
            <w:proofErr w:type="gramStart"/>
            <w:r w:rsidRPr="00B12FE0">
              <w:rPr>
                <w:rFonts w:ascii="宋体" w:hAnsi="宋体"/>
                <w:bCs/>
                <w:color w:val="000000" w:themeColor="text1"/>
                <w:spacing w:val="2"/>
                <w:kern w:val="0"/>
                <w:sz w:val="18"/>
                <w:szCs w:val="18"/>
              </w:rPr>
              <w:t>甲癌</w:t>
            </w:r>
            <w:proofErr w:type="gramEnd"/>
          </w:p>
        </w:tc>
        <w:tc>
          <w:tcPr>
            <w:tcW w:w="1444" w:type="dxa"/>
            <w:tcBorders>
              <w:top w:val="single" w:sz="4" w:space="0" w:color="auto"/>
              <w:left w:val="nil"/>
              <w:bottom w:val="single" w:sz="4" w:space="0" w:color="auto"/>
              <w:right w:val="single" w:sz="4" w:space="0" w:color="auto"/>
            </w:tcBorders>
            <w:vAlign w:val="center"/>
          </w:tcPr>
          <w:p w14:paraId="0A6C4760" w14:textId="77777777" w:rsidR="00A67F21" w:rsidRPr="00B12FE0" w:rsidRDefault="00000000">
            <w:pPr>
              <w:adjustRightInd w:val="0"/>
              <w:snapToGrid w:val="0"/>
              <w:spacing w:line="240" w:lineRule="atLeast"/>
              <w:jc w:val="center"/>
              <w:rPr>
                <w:color w:val="000000" w:themeColor="text1"/>
                <w:sz w:val="21"/>
                <w:szCs w:val="21"/>
                <w:vertAlign w:val="superscript"/>
              </w:rPr>
            </w:pPr>
            <w:r w:rsidRPr="00B12FE0">
              <w:rPr>
                <w:rFonts w:hint="eastAsia"/>
                <w:color w:val="000000" w:themeColor="text1"/>
                <w:sz w:val="21"/>
                <w:szCs w:val="21"/>
              </w:rPr>
              <w:t>4.44</w:t>
            </w:r>
            <w:r w:rsidRPr="00B12FE0">
              <w:rPr>
                <w:color w:val="000000" w:themeColor="text1"/>
                <w:sz w:val="21"/>
                <w:szCs w:val="21"/>
              </w:rPr>
              <w:t>×10</w:t>
            </w:r>
            <w:r w:rsidRPr="00B12FE0">
              <w:rPr>
                <w:color w:val="000000" w:themeColor="text1"/>
                <w:sz w:val="21"/>
                <w:szCs w:val="21"/>
                <w:vertAlign w:val="superscript"/>
              </w:rPr>
              <w:t>9</w:t>
            </w:r>
          </w:p>
          <w:p w14:paraId="76FAED43" w14:textId="77777777" w:rsidR="00A67F21" w:rsidRPr="00B12FE0" w:rsidRDefault="00000000">
            <w:pPr>
              <w:adjustRightInd w:val="0"/>
              <w:snapToGrid w:val="0"/>
              <w:spacing w:line="240" w:lineRule="atLeast"/>
              <w:jc w:val="center"/>
              <w:rPr>
                <w:color w:val="000000" w:themeColor="text1"/>
                <w:sz w:val="21"/>
                <w:szCs w:val="21"/>
              </w:rPr>
            </w:pPr>
            <w:r w:rsidRPr="00B12FE0">
              <w:rPr>
                <w:rFonts w:ascii="宋体" w:hAnsi="宋体"/>
                <w:color w:val="000000" w:themeColor="text1"/>
                <w:sz w:val="21"/>
                <w:szCs w:val="21"/>
              </w:rPr>
              <w:t>（</w:t>
            </w:r>
            <w:r w:rsidRPr="00B12FE0">
              <w:rPr>
                <w:color w:val="000000" w:themeColor="text1"/>
                <w:sz w:val="21"/>
                <w:szCs w:val="21"/>
              </w:rPr>
              <w:t>1</w:t>
            </w:r>
            <w:r w:rsidRPr="00B12FE0">
              <w:rPr>
                <w:rFonts w:hint="eastAsia"/>
                <w:color w:val="000000" w:themeColor="text1"/>
                <w:sz w:val="21"/>
                <w:szCs w:val="21"/>
              </w:rPr>
              <w:t>2</w:t>
            </w:r>
            <w:r w:rsidRPr="00B12FE0">
              <w:rPr>
                <w:color w:val="000000" w:themeColor="text1"/>
                <w:sz w:val="21"/>
                <w:szCs w:val="21"/>
              </w:rPr>
              <w:t>0mCi</w:t>
            </w:r>
            <w:r w:rsidRPr="00B12FE0">
              <w:rPr>
                <w:rFonts w:ascii="宋体" w:hAnsi="宋体"/>
                <w:color w:val="000000" w:themeColor="text1"/>
                <w:sz w:val="21"/>
                <w:szCs w:val="21"/>
              </w:rPr>
              <w:t>）</w:t>
            </w:r>
          </w:p>
        </w:tc>
        <w:tc>
          <w:tcPr>
            <w:tcW w:w="1157" w:type="dxa"/>
            <w:tcBorders>
              <w:top w:val="single" w:sz="4" w:space="0" w:color="auto"/>
              <w:left w:val="nil"/>
              <w:bottom w:val="single" w:sz="4" w:space="0" w:color="auto"/>
              <w:right w:val="single" w:sz="4" w:space="0" w:color="auto"/>
            </w:tcBorders>
            <w:vAlign w:val="center"/>
          </w:tcPr>
          <w:p w14:paraId="136D16CF"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8</w:t>
            </w:r>
            <w:r w:rsidRPr="00B12FE0">
              <w:rPr>
                <w:rFonts w:ascii="宋体" w:hAnsi="宋体"/>
                <w:color w:val="000000" w:themeColor="text1"/>
                <w:sz w:val="21"/>
                <w:szCs w:val="21"/>
              </w:rPr>
              <w:t>人</w:t>
            </w:r>
          </w:p>
        </w:tc>
        <w:tc>
          <w:tcPr>
            <w:tcW w:w="1444" w:type="dxa"/>
            <w:tcBorders>
              <w:top w:val="single" w:sz="4" w:space="0" w:color="auto"/>
              <w:left w:val="nil"/>
              <w:bottom w:val="single" w:sz="4" w:space="0" w:color="auto"/>
              <w:right w:val="single" w:sz="4" w:space="0" w:color="auto"/>
            </w:tcBorders>
            <w:vAlign w:val="center"/>
          </w:tcPr>
          <w:p w14:paraId="5B10B33A" w14:textId="77777777" w:rsidR="00A67F21" w:rsidRPr="00B12FE0" w:rsidRDefault="00000000">
            <w:pPr>
              <w:jc w:val="center"/>
              <w:rPr>
                <w:color w:val="000000" w:themeColor="text1"/>
                <w:sz w:val="21"/>
                <w:szCs w:val="21"/>
              </w:rPr>
            </w:pPr>
            <w:r w:rsidRPr="00B12FE0">
              <w:rPr>
                <w:color w:val="000000" w:themeColor="text1"/>
                <w:sz w:val="21"/>
                <w:szCs w:val="21"/>
              </w:rPr>
              <w:t>3.</w:t>
            </w:r>
            <w:r w:rsidRPr="00B12FE0">
              <w:rPr>
                <w:rFonts w:hint="eastAsia"/>
                <w:color w:val="000000" w:themeColor="text1"/>
                <w:sz w:val="21"/>
                <w:szCs w:val="21"/>
              </w:rPr>
              <w:t>55</w:t>
            </w:r>
            <w:r w:rsidRPr="00B12FE0">
              <w:rPr>
                <w:color w:val="000000" w:themeColor="text1"/>
                <w:sz w:val="21"/>
                <w:szCs w:val="21"/>
              </w:rPr>
              <w:t>×10</w:t>
            </w:r>
            <w:r w:rsidRPr="00B12FE0">
              <w:rPr>
                <w:color w:val="000000" w:themeColor="text1"/>
                <w:sz w:val="21"/>
                <w:szCs w:val="21"/>
                <w:vertAlign w:val="superscript"/>
              </w:rPr>
              <w:t>10</w:t>
            </w:r>
          </w:p>
        </w:tc>
        <w:tc>
          <w:tcPr>
            <w:tcW w:w="1298" w:type="dxa"/>
            <w:tcBorders>
              <w:top w:val="nil"/>
              <w:left w:val="nil"/>
              <w:bottom w:val="single" w:sz="4" w:space="0" w:color="auto"/>
              <w:right w:val="single" w:sz="4" w:space="0" w:color="auto"/>
            </w:tcBorders>
            <w:vAlign w:val="center"/>
          </w:tcPr>
          <w:p w14:paraId="2AB8A278"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250</w:t>
            </w:r>
            <w:r w:rsidRPr="00B12FE0">
              <w:rPr>
                <w:rFonts w:ascii="宋体" w:hAnsi="宋体"/>
                <w:bCs/>
                <w:color w:val="000000" w:themeColor="text1"/>
                <w:sz w:val="21"/>
                <w:szCs w:val="21"/>
              </w:rPr>
              <w:t>天</w:t>
            </w:r>
          </w:p>
        </w:tc>
        <w:tc>
          <w:tcPr>
            <w:tcW w:w="1011" w:type="dxa"/>
            <w:tcBorders>
              <w:top w:val="single" w:sz="4" w:space="0" w:color="auto"/>
              <w:left w:val="nil"/>
              <w:bottom w:val="single" w:sz="4" w:space="0" w:color="auto"/>
              <w:right w:val="single" w:sz="4" w:space="0" w:color="auto"/>
            </w:tcBorders>
            <w:vAlign w:val="center"/>
          </w:tcPr>
          <w:p w14:paraId="083DACBD" w14:textId="77777777" w:rsidR="00A67F21" w:rsidRPr="00B12FE0" w:rsidRDefault="00000000">
            <w:pPr>
              <w:adjustRightInd w:val="0"/>
              <w:snapToGrid w:val="0"/>
              <w:spacing w:line="240" w:lineRule="atLeast"/>
              <w:jc w:val="center"/>
              <w:rPr>
                <w:color w:val="000000" w:themeColor="text1"/>
                <w:sz w:val="21"/>
                <w:szCs w:val="21"/>
              </w:rPr>
            </w:pPr>
            <w:r w:rsidRPr="00B12FE0">
              <w:rPr>
                <w:rFonts w:hint="eastAsia"/>
                <w:color w:val="000000" w:themeColor="text1"/>
                <w:sz w:val="21"/>
                <w:szCs w:val="21"/>
              </w:rPr>
              <w:t>4</w:t>
            </w:r>
            <w:r w:rsidRPr="00B12FE0">
              <w:rPr>
                <w:color w:val="000000" w:themeColor="text1"/>
                <w:sz w:val="21"/>
                <w:szCs w:val="21"/>
              </w:rPr>
              <w:t>00</w:t>
            </w:r>
            <w:r w:rsidRPr="00B12FE0">
              <w:rPr>
                <w:rFonts w:ascii="宋体" w:hAnsi="宋体"/>
                <w:color w:val="000000" w:themeColor="text1"/>
                <w:sz w:val="21"/>
                <w:szCs w:val="21"/>
              </w:rPr>
              <w:t>人</w:t>
            </w:r>
          </w:p>
        </w:tc>
        <w:tc>
          <w:tcPr>
            <w:tcW w:w="1334" w:type="dxa"/>
            <w:tcBorders>
              <w:top w:val="single" w:sz="4" w:space="0" w:color="auto"/>
              <w:left w:val="nil"/>
              <w:bottom w:val="single" w:sz="4" w:space="0" w:color="auto"/>
              <w:right w:val="single" w:sz="4" w:space="0" w:color="auto"/>
            </w:tcBorders>
            <w:vAlign w:val="center"/>
          </w:tcPr>
          <w:p w14:paraId="41188BA7" w14:textId="77777777" w:rsidR="00A67F21" w:rsidRPr="00B12FE0" w:rsidRDefault="00000000">
            <w:pPr>
              <w:widowControl/>
              <w:adjustRightInd w:val="0"/>
              <w:snapToGrid w:val="0"/>
              <w:jc w:val="center"/>
              <w:rPr>
                <w:color w:val="000000" w:themeColor="text1"/>
                <w:kern w:val="0"/>
                <w:sz w:val="21"/>
                <w:szCs w:val="21"/>
              </w:rPr>
            </w:pPr>
            <w:r w:rsidRPr="00B12FE0">
              <w:rPr>
                <w:rFonts w:hint="eastAsia"/>
                <w:color w:val="000000" w:themeColor="text1"/>
                <w:kern w:val="0"/>
                <w:sz w:val="21"/>
                <w:szCs w:val="21"/>
              </w:rPr>
              <w:t>1.78</w:t>
            </w:r>
            <w:r w:rsidRPr="00B12FE0">
              <w:rPr>
                <w:color w:val="000000" w:themeColor="text1"/>
                <w:sz w:val="21"/>
                <w:szCs w:val="21"/>
              </w:rPr>
              <w:t>×10</w:t>
            </w:r>
            <w:r w:rsidRPr="00B12FE0">
              <w:rPr>
                <w:rFonts w:hint="eastAsia"/>
                <w:color w:val="000000" w:themeColor="text1"/>
                <w:sz w:val="21"/>
                <w:szCs w:val="21"/>
                <w:vertAlign w:val="superscript"/>
              </w:rPr>
              <w:t>12</w:t>
            </w:r>
          </w:p>
        </w:tc>
      </w:tr>
      <w:tr w:rsidR="00A67F21" w:rsidRPr="00B12FE0" w14:paraId="4B07E809" w14:textId="77777777">
        <w:trPr>
          <w:trHeight w:val="397"/>
        </w:trPr>
        <w:tc>
          <w:tcPr>
            <w:tcW w:w="9017" w:type="dxa"/>
            <w:gridSpan w:val="8"/>
            <w:tcBorders>
              <w:top w:val="single" w:sz="4" w:space="0" w:color="auto"/>
              <w:left w:val="single" w:sz="4" w:space="0" w:color="auto"/>
              <w:bottom w:val="single" w:sz="4" w:space="0" w:color="auto"/>
              <w:right w:val="single" w:sz="4" w:space="0" w:color="auto"/>
            </w:tcBorders>
            <w:vAlign w:val="center"/>
          </w:tcPr>
          <w:p w14:paraId="06321979" w14:textId="77777777" w:rsidR="00A67F21" w:rsidRPr="00B12FE0" w:rsidRDefault="00000000">
            <w:pPr>
              <w:widowControl/>
              <w:adjustRightInd w:val="0"/>
              <w:snapToGrid w:val="0"/>
              <w:rPr>
                <w:color w:val="000000" w:themeColor="text1"/>
                <w:kern w:val="0"/>
                <w:sz w:val="21"/>
                <w:szCs w:val="21"/>
              </w:rPr>
            </w:pPr>
            <w:r w:rsidRPr="00B12FE0">
              <w:rPr>
                <w:rFonts w:ascii="宋体" w:hAnsi="宋体"/>
                <w:color w:val="000000" w:themeColor="text1"/>
                <w:kern w:val="0"/>
                <w:sz w:val="21"/>
                <w:szCs w:val="21"/>
              </w:rPr>
              <w:t>注：</w:t>
            </w:r>
            <w:proofErr w:type="gramStart"/>
            <w:r w:rsidRPr="00B12FE0">
              <w:rPr>
                <w:rFonts w:ascii="宋体" w:hAnsi="宋体"/>
                <w:color w:val="000000" w:themeColor="text1"/>
                <w:sz w:val="21"/>
                <w:szCs w:val="21"/>
              </w:rPr>
              <w:t>甲癌都是</w:t>
            </w:r>
            <w:proofErr w:type="gramEnd"/>
            <w:r w:rsidRPr="00B12FE0">
              <w:rPr>
                <w:rFonts w:ascii="宋体" w:hAnsi="宋体"/>
                <w:color w:val="000000" w:themeColor="text1"/>
                <w:sz w:val="21"/>
                <w:szCs w:val="21"/>
              </w:rPr>
              <w:t>每周一安排给药治疗。</w:t>
            </w:r>
          </w:p>
        </w:tc>
      </w:tr>
    </w:tbl>
    <w:p w14:paraId="095D7A23"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 xml:space="preserve"> </w:t>
      </w:r>
      <w:r w:rsidRPr="00B12FE0">
        <w:rPr>
          <w:rFonts w:ascii="宋体" w:hAnsi="宋体"/>
          <w:color w:val="000000" w:themeColor="text1"/>
          <w:kern w:val="0"/>
          <w:szCs w:val="24"/>
        </w:rPr>
        <w:t>根据</w:t>
      </w:r>
      <w:r w:rsidRPr="00B12FE0">
        <w:rPr>
          <w:color w:val="000000" w:themeColor="text1"/>
          <w:kern w:val="0"/>
          <w:szCs w:val="24"/>
        </w:rPr>
        <w:t>10.1.1.4</w:t>
      </w:r>
      <w:r w:rsidRPr="00B12FE0">
        <w:rPr>
          <w:rFonts w:ascii="宋体" w:hAnsi="宋体"/>
          <w:color w:val="000000" w:themeColor="text1"/>
          <w:kern w:val="0"/>
          <w:szCs w:val="24"/>
        </w:rPr>
        <w:t>计算</w:t>
      </w:r>
      <w:r w:rsidRPr="00B12FE0">
        <w:rPr>
          <w:rFonts w:ascii="宋体" w:hAnsi="宋体"/>
          <w:color w:val="000000" w:themeColor="text1"/>
          <w:szCs w:val="24"/>
        </w:rPr>
        <w:t>，本项目核医学科</w:t>
      </w:r>
      <w:r w:rsidRPr="00B12FE0">
        <w:rPr>
          <w:rFonts w:ascii="宋体" w:hAnsi="宋体"/>
          <w:bCs/>
          <w:color w:val="000000" w:themeColor="text1"/>
          <w:kern w:val="0"/>
          <w:szCs w:val="24"/>
        </w:rPr>
        <w:t>核素制备场所、核素显像诊断场所和核素治疗场所</w:t>
      </w:r>
      <w:r w:rsidRPr="00B12FE0">
        <w:rPr>
          <w:rFonts w:ascii="宋体" w:hAnsi="宋体"/>
          <w:color w:val="000000" w:themeColor="text1"/>
          <w:szCs w:val="24"/>
        </w:rPr>
        <w:t>放射性核素日等效最大操作量分别为</w:t>
      </w:r>
      <w:r w:rsidRPr="00B12FE0">
        <w:rPr>
          <w:rFonts w:hint="eastAsia"/>
          <w:color w:val="000000" w:themeColor="text1"/>
          <w:szCs w:val="24"/>
        </w:rPr>
        <w:t>4.44</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Bq</w:t>
      </w:r>
      <w:r w:rsidRPr="00B12FE0">
        <w:rPr>
          <w:rFonts w:ascii="宋体" w:hAnsi="宋体"/>
          <w:color w:val="000000" w:themeColor="text1"/>
          <w:szCs w:val="24"/>
        </w:rPr>
        <w:t>、</w:t>
      </w:r>
      <w:r w:rsidRPr="00B12FE0">
        <w:rPr>
          <w:rFonts w:hint="eastAsia"/>
          <w:color w:val="000000" w:themeColor="text1"/>
          <w:szCs w:val="24"/>
        </w:rPr>
        <w:t>7.59</w:t>
      </w:r>
      <w:r w:rsidRPr="00B12FE0">
        <w:rPr>
          <w:color w:val="000000" w:themeColor="text1"/>
          <w:szCs w:val="24"/>
        </w:rPr>
        <w:t>×10</w:t>
      </w:r>
      <w:r w:rsidRPr="00B12FE0">
        <w:rPr>
          <w:rFonts w:hint="eastAsia"/>
          <w:color w:val="000000" w:themeColor="text1"/>
          <w:szCs w:val="24"/>
          <w:vertAlign w:val="superscript"/>
        </w:rPr>
        <w:t>8</w:t>
      </w:r>
      <w:r w:rsidRPr="00B12FE0">
        <w:rPr>
          <w:color w:val="000000" w:themeColor="text1"/>
          <w:szCs w:val="24"/>
        </w:rPr>
        <w:t>Bq</w:t>
      </w:r>
      <w:r w:rsidRPr="00B12FE0">
        <w:rPr>
          <w:rFonts w:ascii="宋体" w:hAnsi="宋体"/>
          <w:color w:val="000000" w:themeColor="text1"/>
          <w:szCs w:val="24"/>
        </w:rPr>
        <w:t>和</w:t>
      </w:r>
      <w:r w:rsidRPr="00B12FE0">
        <w:rPr>
          <w:color w:val="000000" w:themeColor="text1"/>
          <w:szCs w:val="24"/>
        </w:rPr>
        <w:t>3.</w:t>
      </w:r>
      <w:r w:rsidRPr="00B12FE0">
        <w:rPr>
          <w:rFonts w:hint="eastAsia"/>
          <w:color w:val="000000" w:themeColor="text1"/>
          <w:szCs w:val="24"/>
        </w:rPr>
        <w:t>55</w:t>
      </w:r>
      <w:r w:rsidRPr="00B12FE0">
        <w:rPr>
          <w:color w:val="000000" w:themeColor="text1"/>
          <w:szCs w:val="24"/>
        </w:rPr>
        <w:t>×10</w:t>
      </w:r>
      <w:r w:rsidRPr="00B12FE0">
        <w:rPr>
          <w:color w:val="000000" w:themeColor="text1"/>
          <w:szCs w:val="24"/>
          <w:vertAlign w:val="superscript"/>
        </w:rPr>
        <w:t>9</w:t>
      </w:r>
      <w:r w:rsidRPr="00B12FE0">
        <w:rPr>
          <w:color w:val="000000" w:themeColor="text1"/>
          <w:szCs w:val="24"/>
        </w:rPr>
        <w:t>Bq</w:t>
      </w:r>
      <w:r w:rsidRPr="00B12FE0">
        <w:rPr>
          <w:rFonts w:ascii="宋体" w:hAnsi="宋体"/>
          <w:color w:val="000000" w:themeColor="text1"/>
          <w:szCs w:val="24"/>
        </w:rPr>
        <w:t>，日等效最大操作</w:t>
      </w:r>
      <w:proofErr w:type="gramStart"/>
      <w:r w:rsidRPr="00B12FE0">
        <w:rPr>
          <w:rFonts w:ascii="宋体" w:hAnsi="宋体"/>
          <w:color w:val="000000" w:themeColor="text1"/>
          <w:szCs w:val="24"/>
        </w:rPr>
        <w:t>量属于</w:t>
      </w:r>
      <w:proofErr w:type="gramEnd"/>
      <w:r w:rsidRPr="00B12FE0">
        <w:rPr>
          <w:color w:val="000000" w:themeColor="text1"/>
          <w:szCs w:val="24"/>
        </w:rPr>
        <w:t>2×10</w:t>
      </w:r>
      <w:r w:rsidRPr="00B12FE0">
        <w:rPr>
          <w:color w:val="000000" w:themeColor="text1"/>
          <w:szCs w:val="24"/>
          <w:vertAlign w:val="superscript"/>
        </w:rPr>
        <w:t>7</w:t>
      </w:r>
      <w:r w:rsidRPr="00B12FE0">
        <w:rPr>
          <w:color w:val="000000" w:themeColor="text1"/>
          <w:szCs w:val="24"/>
        </w:rPr>
        <w:t>Bq ~4×10</w:t>
      </w:r>
      <w:r w:rsidRPr="00B12FE0">
        <w:rPr>
          <w:color w:val="000000" w:themeColor="text1"/>
          <w:szCs w:val="24"/>
          <w:vertAlign w:val="superscript"/>
        </w:rPr>
        <w:t>9</w:t>
      </w:r>
      <w:r w:rsidRPr="00B12FE0">
        <w:rPr>
          <w:color w:val="000000" w:themeColor="text1"/>
          <w:szCs w:val="24"/>
        </w:rPr>
        <w:t>Bq</w:t>
      </w:r>
      <w:r w:rsidRPr="00B12FE0">
        <w:rPr>
          <w:rFonts w:ascii="宋体" w:hAnsi="宋体"/>
          <w:color w:val="000000" w:themeColor="text1"/>
          <w:szCs w:val="24"/>
        </w:rPr>
        <w:t>的范围，以上三个场所均属于乙级非密封放射性物质工作场所。</w:t>
      </w:r>
    </w:p>
    <w:p w14:paraId="62235486" w14:textId="77777777" w:rsidR="00A67F21" w:rsidRPr="00B12FE0" w:rsidRDefault="00000000">
      <w:pPr>
        <w:snapToGrid w:val="0"/>
        <w:spacing w:line="360" w:lineRule="auto"/>
        <w:contextualSpacing/>
        <w:outlineLvl w:val="2"/>
        <w:rPr>
          <w:b/>
          <w:color w:val="000000" w:themeColor="text1"/>
        </w:rPr>
      </w:pPr>
      <w:r w:rsidRPr="00B12FE0">
        <w:rPr>
          <w:b/>
          <w:color w:val="000000" w:themeColor="text1"/>
        </w:rPr>
        <w:t>9.</w:t>
      </w:r>
      <w:r w:rsidRPr="00B12FE0">
        <w:rPr>
          <w:rFonts w:hint="eastAsia"/>
          <w:b/>
          <w:color w:val="000000" w:themeColor="text1"/>
        </w:rPr>
        <w:t>1</w:t>
      </w:r>
      <w:r w:rsidRPr="00B12FE0">
        <w:rPr>
          <w:b/>
          <w:color w:val="000000" w:themeColor="text1"/>
        </w:rPr>
        <w:t>.2</w:t>
      </w:r>
      <w:r w:rsidRPr="00B12FE0">
        <w:rPr>
          <w:rFonts w:hint="eastAsia"/>
          <w:b/>
          <w:color w:val="000000" w:themeColor="text1"/>
        </w:rPr>
        <w:t>放疗科项目</w:t>
      </w:r>
    </w:p>
    <w:p w14:paraId="006E8149" w14:textId="77777777" w:rsidR="00A67F21" w:rsidRPr="00B12FE0" w:rsidRDefault="00000000">
      <w:pPr>
        <w:snapToGrid w:val="0"/>
        <w:spacing w:line="360" w:lineRule="auto"/>
        <w:outlineLvl w:val="3"/>
        <w:rPr>
          <w:b/>
          <w:color w:val="000000" w:themeColor="text1"/>
        </w:rPr>
      </w:pPr>
      <w:r w:rsidRPr="00B12FE0">
        <w:rPr>
          <w:rFonts w:hint="eastAsia"/>
          <w:b/>
          <w:color w:val="000000" w:themeColor="text1"/>
        </w:rPr>
        <w:t xml:space="preserve">9.1.2.1 </w:t>
      </w:r>
      <w:r w:rsidRPr="00B12FE0">
        <w:rPr>
          <w:rFonts w:hint="eastAsia"/>
          <w:b/>
          <w:color w:val="000000" w:themeColor="text1"/>
        </w:rPr>
        <w:t>直线加速器</w:t>
      </w:r>
    </w:p>
    <w:p w14:paraId="2A627083" w14:textId="77777777" w:rsidR="00A67F21" w:rsidRPr="00B12FE0" w:rsidRDefault="00000000">
      <w:pPr>
        <w:adjustRightInd w:val="0"/>
        <w:snapToGrid w:val="0"/>
        <w:spacing w:line="360" w:lineRule="auto"/>
        <w:ind w:firstLineChars="200" w:firstLine="482"/>
        <w:rPr>
          <w:b/>
          <w:color w:val="000000" w:themeColor="text1"/>
        </w:rPr>
      </w:pPr>
      <w:r w:rsidRPr="00B12FE0">
        <w:rPr>
          <w:b/>
          <w:color w:val="000000" w:themeColor="text1"/>
        </w:rPr>
        <w:t>（</w:t>
      </w:r>
      <w:r w:rsidRPr="00B12FE0">
        <w:rPr>
          <w:b/>
          <w:color w:val="000000" w:themeColor="text1"/>
        </w:rPr>
        <w:t>1</w:t>
      </w:r>
      <w:r w:rsidRPr="00B12FE0">
        <w:rPr>
          <w:b/>
          <w:color w:val="000000" w:themeColor="text1"/>
        </w:rPr>
        <w:t>）设备参数</w:t>
      </w:r>
    </w:p>
    <w:p w14:paraId="1D8324C4"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根据医院提供的资料，本项目拟新增的医用直线加速器的主要参数见表</w:t>
      </w:r>
      <w:r w:rsidRPr="00B12FE0">
        <w:rPr>
          <w:color w:val="000000" w:themeColor="text1"/>
        </w:rPr>
        <w:t xml:space="preserve">9. </w:t>
      </w:r>
      <w:r w:rsidRPr="00B12FE0">
        <w:rPr>
          <w:rFonts w:hint="eastAsia"/>
          <w:color w:val="000000" w:themeColor="text1"/>
        </w:rPr>
        <w:t>1</w:t>
      </w:r>
      <w:r w:rsidRPr="00B12FE0">
        <w:rPr>
          <w:color w:val="000000" w:themeColor="text1"/>
        </w:rPr>
        <w:t>.2-1</w:t>
      </w:r>
      <w:r w:rsidRPr="00B12FE0">
        <w:rPr>
          <w:color w:val="000000" w:themeColor="text1"/>
        </w:rPr>
        <w:t>。</w:t>
      </w:r>
    </w:p>
    <w:p w14:paraId="4B2623A5" w14:textId="77777777" w:rsidR="00A67F21" w:rsidRPr="00B12FE0" w:rsidRDefault="00000000">
      <w:pPr>
        <w:adjustRightInd w:val="0"/>
        <w:snapToGrid w:val="0"/>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 xml:space="preserve">.2-1  </w:t>
      </w:r>
      <w:r w:rsidRPr="00B12FE0">
        <w:rPr>
          <w:b/>
          <w:color w:val="000000" w:themeColor="text1"/>
          <w:sz w:val="21"/>
          <w:szCs w:val="21"/>
        </w:rPr>
        <w:t>医用直线加速器的主要参数表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5774"/>
      </w:tblGrid>
      <w:tr w:rsidR="00A67F21" w:rsidRPr="00B12FE0" w14:paraId="5FF9CCD9"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11324820" w14:textId="77777777" w:rsidR="00A67F21" w:rsidRPr="00B12FE0" w:rsidRDefault="00000000">
            <w:pPr>
              <w:adjustRightInd w:val="0"/>
              <w:snapToGrid w:val="0"/>
              <w:jc w:val="center"/>
              <w:rPr>
                <w:b/>
                <w:bCs/>
                <w:color w:val="000000" w:themeColor="text1"/>
                <w:sz w:val="21"/>
                <w:szCs w:val="21"/>
              </w:rPr>
            </w:pPr>
            <w:r w:rsidRPr="00B12FE0">
              <w:rPr>
                <w:b/>
                <w:bCs/>
                <w:color w:val="000000" w:themeColor="text1"/>
                <w:sz w:val="21"/>
                <w:szCs w:val="21"/>
              </w:rPr>
              <w:t>参数名称</w:t>
            </w:r>
          </w:p>
        </w:tc>
        <w:tc>
          <w:tcPr>
            <w:tcW w:w="3202" w:type="pct"/>
            <w:tcBorders>
              <w:top w:val="single" w:sz="4" w:space="0" w:color="auto"/>
              <w:left w:val="single" w:sz="4" w:space="0" w:color="auto"/>
              <w:bottom w:val="single" w:sz="4" w:space="0" w:color="auto"/>
              <w:right w:val="single" w:sz="4" w:space="0" w:color="auto"/>
            </w:tcBorders>
            <w:vAlign w:val="center"/>
          </w:tcPr>
          <w:p w14:paraId="5105A0E2" w14:textId="77777777" w:rsidR="00A67F21" w:rsidRPr="00B12FE0" w:rsidRDefault="00000000">
            <w:pPr>
              <w:adjustRightInd w:val="0"/>
              <w:snapToGrid w:val="0"/>
              <w:jc w:val="center"/>
              <w:rPr>
                <w:b/>
                <w:bCs/>
                <w:color w:val="000000" w:themeColor="text1"/>
                <w:sz w:val="21"/>
                <w:szCs w:val="21"/>
              </w:rPr>
            </w:pPr>
            <w:r w:rsidRPr="00B12FE0">
              <w:rPr>
                <w:b/>
                <w:bCs/>
                <w:color w:val="000000" w:themeColor="text1"/>
                <w:sz w:val="21"/>
                <w:szCs w:val="21"/>
              </w:rPr>
              <w:t>参数值</w:t>
            </w:r>
          </w:p>
        </w:tc>
      </w:tr>
      <w:tr w:rsidR="00A67F21" w:rsidRPr="00B12FE0" w14:paraId="46475D4C"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0D349D5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型号</w:t>
            </w:r>
          </w:p>
        </w:tc>
        <w:tc>
          <w:tcPr>
            <w:tcW w:w="3202" w:type="pct"/>
            <w:tcBorders>
              <w:top w:val="single" w:sz="4" w:space="0" w:color="auto"/>
              <w:left w:val="nil"/>
              <w:bottom w:val="single" w:sz="4" w:space="0" w:color="auto"/>
              <w:right w:val="single" w:sz="4" w:space="0" w:color="auto"/>
            </w:tcBorders>
            <w:vAlign w:val="center"/>
          </w:tcPr>
          <w:p w14:paraId="3685CE4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待定</w:t>
            </w:r>
          </w:p>
        </w:tc>
      </w:tr>
      <w:tr w:rsidR="00A67F21" w:rsidRPr="00B12FE0" w14:paraId="1EE2D7EC"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3AD30ED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能量</w:t>
            </w:r>
          </w:p>
        </w:tc>
        <w:tc>
          <w:tcPr>
            <w:tcW w:w="3202" w:type="pct"/>
            <w:tcBorders>
              <w:top w:val="single" w:sz="4" w:space="0" w:color="auto"/>
              <w:left w:val="nil"/>
              <w:bottom w:val="single" w:sz="4" w:space="0" w:color="auto"/>
              <w:right w:val="single" w:sz="4" w:space="0" w:color="auto"/>
            </w:tcBorders>
            <w:vAlign w:val="center"/>
          </w:tcPr>
          <w:p w14:paraId="4DED2CF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X</w:t>
            </w:r>
            <w:r w:rsidRPr="00B12FE0">
              <w:rPr>
                <w:color w:val="000000" w:themeColor="text1"/>
                <w:sz w:val="21"/>
                <w:szCs w:val="21"/>
              </w:rPr>
              <w:t>射线：</w:t>
            </w:r>
            <w:r w:rsidRPr="00B12FE0">
              <w:rPr>
                <w:color w:val="000000" w:themeColor="text1"/>
                <w:sz w:val="21"/>
                <w:szCs w:val="21"/>
              </w:rPr>
              <w:t>15MV</w:t>
            </w:r>
            <w:r w:rsidRPr="00B12FE0">
              <w:rPr>
                <w:color w:val="000000" w:themeColor="text1"/>
                <w:sz w:val="21"/>
                <w:szCs w:val="21"/>
              </w:rPr>
              <w:t>、</w:t>
            </w:r>
            <w:r w:rsidRPr="00B12FE0">
              <w:rPr>
                <w:color w:val="000000" w:themeColor="text1"/>
                <w:sz w:val="21"/>
                <w:szCs w:val="21"/>
              </w:rPr>
              <w:t>10MV</w:t>
            </w:r>
            <w:r w:rsidRPr="00B12FE0">
              <w:rPr>
                <w:color w:val="000000" w:themeColor="text1"/>
                <w:sz w:val="21"/>
                <w:szCs w:val="21"/>
              </w:rPr>
              <w:t>、</w:t>
            </w:r>
            <w:r w:rsidRPr="00B12FE0">
              <w:rPr>
                <w:color w:val="000000" w:themeColor="text1"/>
                <w:sz w:val="21"/>
                <w:szCs w:val="21"/>
              </w:rPr>
              <w:t xml:space="preserve">6MV  </w:t>
            </w:r>
            <w:r w:rsidRPr="00B12FE0">
              <w:rPr>
                <w:color w:val="000000" w:themeColor="text1"/>
                <w:sz w:val="21"/>
                <w:szCs w:val="21"/>
              </w:rPr>
              <w:t>电子线：</w:t>
            </w:r>
            <w:r w:rsidRPr="00B12FE0">
              <w:rPr>
                <w:color w:val="000000" w:themeColor="text1"/>
                <w:sz w:val="21"/>
                <w:szCs w:val="21"/>
              </w:rPr>
              <w:t>22MeV</w:t>
            </w:r>
          </w:p>
        </w:tc>
      </w:tr>
      <w:tr w:rsidR="00A67F21" w:rsidRPr="00B12FE0" w14:paraId="0D5CA712"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7F824A8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X</w:t>
            </w:r>
            <w:r w:rsidRPr="00B12FE0">
              <w:rPr>
                <w:color w:val="000000" w:themeColor="text1"/>
                <w:sz w:val="21"/>
                <w:szCs w:val="21"/>
              </w:rPr>
              <w:t>射线泄漏率</w:t>
            </w:r>
          </w:p>
        </w:tc>
        <w:tc>
          <w:tcPr>
            <w:tcW w:w="3202" w:type="pct"/>
            <w:tcBorders>
              <w:top w:val="single" w:sz="4" w:space="0" w:color="auto"/>
              <w:left w:val="single" w:sz="4" w:space="0" w:color="auto"/>
              <w:bottom w:val="single" w:sz="4" w:space="0" w:color="auto"/>
              <w:right w:val="single" w:sz="4" w:space="0" w:color="auto"/>
            </w:tcBorders>
            <w:vAlign w:val="center"/>
          </w:tcPr>
          <w:p w14:paraId="447310E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≤0.1%</w:t>
            </w:r>
          </w:p>
        </w:tc>
      </w:tr>
      <w:tr w:rsidR="00A67F21" w:rsidRPr="00B12FE0" w14:paraId="511EB44F"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36820AA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源轴距</w:t>
            </w:r>
            <w:r w:rsidRPr="00B12FE0">
              <w:rPr>
                <w:color w:val="000000" w:themeColor="text1"/>
                <w:sz w:val="21"/>
                <w:szCs w:val="21"/>
              </w:rPr>
              <w:t>SAD</w:t>
            </w:r>
          </w:p>
        </w:tc>
        <w:tc>
          <w:tcPr>
            <w:tcW w:w="3202" w:type="pct"/>
            <w:tcBorders>
              <w:top w:val="single" w:sz="4" w:space="0" w:color="auto"/>
              <w:left w:val="single" w:sz="4" w:space="0" w:color="auto"/>
              <w:bottom w:val="single" w:sz="4" w:space="0" w:color="auto"/>
              <w:right w:val="single" w:sz="4" w:space="0" w:color="auto"/>
            </w:tcBorders>
            <w:vAlign w:val="center"/>
          </w:tcPr>
          <w:p w14:paraId="35DF431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1m</w:t>
            </w:r>
          </w:p>
        </w:tc>
      </w:tr>
      <w:tr w:rsidR="00A67F21" w:rsidRPr="00B12FE0" w14:paraId="63086EA9"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21F80F7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等中心高度</w:t>
            </w:r>
          </w:p>
        </w:tc>
        <w:tc>
          <w:tcPr>
            <w:tcW w:w="3202" w:type="pct"/>
            <w:tcBorders>
              <w:top w:val="single" w:sz="4" w:space="0" w:color="auto"/>
              <w:left w:val="single" w:sz="4" w:space="0" w:color="auto"/>
              <w:bottom w:val="single" w:sz="4" w:space="0" w:color="auto"/>
              <w:right w:val="single" w:sz="4" w:space="0" w:color="auto"/>
            </w:tcBorders>
            <w:vAlign w:val="center"/>
          </w:tcPr>
          <w:p w14:paraId="44754C9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1.3m</w:t>
            </w:r>
          </w:p>
        </w:tc>
      </w:tr>
      <w:tr w:rsidR="00A67F21" w:rsidRPr="00B12FE0" w14:paraId="0D7DFBBC"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558A2482" w14:textId="77777777" w:rsidR="00A67F21" w:rsidRPr="00B12FE0" w:rsidRDefault="00000000">
            <w:pPr>
              <w:adjustRightInd w:val="0"/>
              <w:snapToGrid w:val="0"/>
              <w:jc w:val="center"/>
              <w:rPr>
                <w:color w:val="000000" w:themeColor="text1"/>
                <w:sz w:val="21"/>
                <w:szCs w:val="21"/>
              </w:rPr>
            </w:pPr>
            <w:proofErr w:type="gramStart"/>
            <w:r w:rsidRPr="00B12FE0">
              <w:rPr>
                <w:color w:val="000000" w:themeColor="text1"/>
                <w:sz w:val="21"/>
                <w:szCs w:val="21"/>
              </w:rPr>
              <w:t>距靶</w:t>
            </w:r>
            <w:proofErr w:type="gramEnd"/>
            <w:r w:rsidRPr="00B12FE0">
              <w:rPr>
                <w:color w:val="000000" w:themeColor="text1"/>
                <w:sz w:val="21"/>
                <w:szCs w:val="21"/>
              </w:rPr>
              <w:t>1m</w:t>
            </w:r>
            <w:r w:rsidRPr="00B12FE0">
              <w:rPr>
                <w:color w:val="000000" w:themeColor="text1"/>
                <w:sz w:val="21"/>
                <w:szCs w:val="21"/>
              </w:rPr>
              <w:t>处常用最高剂量率</w:t>
            </w:r>
          </w:p>
        </w:tc>
        <w:tc>
          <w:tcPr>
            <w:tcW w:w="3202" w:type="pct"/>
            <w:tcBorders>
              <w:top w:val="single" w:sz="4" w:space="0" w:color="auto"/>
              <w:left w:val="single" w:sz="4" w:space="0" w:color="auto"/>
              <w:bottom w:val="single" w:sz="4" w:space="0" w:color="auto"/>
              <w:right w:val="single" w:sz="4" w:space="0" w:color="auto"/>
            </w:tcBorders>
            <w:vAlign w:val="center"/>
          </w:tcPr>
          <w:p w14:paraId="2FA7644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X</w:t>
            </w:r>
            <w:r w:rsidRPr="00B12FE0">
              <w:rPr>
                <w:color w:val="000000" w:themeColor="text1"/>
                <w:sz w:val="21"/>
                <w:szCs w:val="21"/>
              </w:rPr>
              <w:t>射线</w:t>
            </w:r>
            <w:r w:rsidRPr="00B12FE0">
              <w:rPr>
                <w:color w:val="000000" w:themeColor="text1"/>
                <w:sz w:val="21"/>
                <w:szCs w:val="21"/>
              </w:rPr>
              <w:t>6MV</w:t>
            </w:r>
            <w:r w:rsidRPr="00B12FE0">
              <w:rPr>
                <w:color w:val="000000" w:themeColor="text1"/>
                <w:sz w:val="21"/>
                <w:szCs w:val="21"/>
              </w:rPr>
              <w:t>等中心最大剂量率</w:t>
            </w:r>
            <w:r w:rsidRPr="00B12FE0">
              <w:rPr>
                <w:color w:val="000000" w:themeColor="text1"/>
                <w:sz w:val="21"/>
                <w:szCs w:val="21"/>
              </w:rPr>
              <w:t>360Gy/h</w:t>
            </w:r>
            <w:r w:rsidRPr="00B12FE0">
              <w:rPr>
                <w:color w:val="000000" w:themeColor="text1"/>
                <w:sz w:val="21"/>
                <w:szCs w:val="21"/>
              </w:rPr>
              <w:t>，</w:t>
            </w:r>
          </w:p>
          <w:p w14:paraId="43BE8B2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FFF</w:t>
            </w:r>
            <w:r w:rsidRPr="00B12FE0">
              <w:rPr>
                <w:color w:val="000000" w:themeColor="text1"/>
                <w:sz w:val="21"/>
                <w:szCs w:val="21"/>
              </w:rPr>
              <w:t>模式等中心最大剂量率</w:t>
            </w:r>
            <w:r w:rsidRPr="00B12FE0">
              <w:rPr>
                <w:color w:val="000000" w:themeColor="text1"/>
                <w:sz w:val="21"/>
                <w:szCs w:val="21"/>
              </w:rPr>
              <w:t>840Gy/h</w:t>
            </w:r>
            <w:r w:rsidRPr="00B12FE0">
              <w:rPr>
                <w:color w:val="000000" w:themeColor="text1"/>
                <w:sz w:val="21"/>
                <w:szCs w:val="21"/>
              </w:rPr>
              <w:t>；</w:t>
            </w:r>
          </w:p>
          <w:p w14:paraId="7FEC1F3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X</w:t>
            </w:r>
            <w:r w:rsidRPr="00B12FE0">
              <w:rPr>
                <w:color w:val="000000" w:themeColor="text1"/>
                <w:sz w:val="21"/>
                <w:szCs w:val="21"/>
              </w:rPr>
              <w:t>射线</w:t>
            </w:r>
            <w:r w:rsidRPr="00B12FE0">
              <w:rPr>
                <w:color w:val="000000" w:themeColor="text1"/>
                <w:sz w:val="21"/>
                <w:szCs w:val="21"/>
              </w:rPr>
              <w:t>10MV</w:t>
            </w:r>
            <w:r w:rsidRPr="00B12FE0">
              <w:rPr>
                <w:color w:val="000000" w:themeColor="text1"/>
                <w:sz w:val="21"/>
                <w:szCs w:val="21"/>
              </w:rPr>
              <w:t>等中心最大剂量率</w:t>
            </w:r>
            <w:r w:rsidRPr="00B12FE0">
              <w:rPr>
                <w:color w:val="000000" w:themeColor="text1"/>
                <w:sz w:val="21"/>
                <w:szCs w:val="21"/>
              </w:rPr>
              <w:t>360Gy/h</w:t>
            </w:r>
            <w:r w:rsidRPr="00B12FE0">
              <w:rPr>
                <w:color w:val="000000" w:themeColor="text1"/>
                <w:sz w:val="21"/>
                <w:szCs w:val="21"/>
              </w:rPr>
              <w:t>，</w:t>
            </w:r>
          </w:p>
          <w:p w14:paraId="207683F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FFF</w:t>
            </w:r>
            <w:r w:rsidRPr="00B12FE0">
              <w:rPr>
                <w:color w:val="000000" w:themeColor="text1"/>
                <w:sz w:val="21"/>
                <w:szCs w:val="21"/>
              </w:rPr>
              <w:t>模式等中心最大剂量率</w:t>
            </w:r>
            <w:r w:rsidRPr="00B12FE0">
              <w:rPr>
                <w:color w:val="000000" w:themeColor="text1"/>
                <w:sz w:val="21"/>
                <w:szCs w:val="21"/>
              </w:rPr>
              <w:t>1440Gy/h</w:t>
            </w:r>
            <w:r w:rsidRPr="00B12FE0">
              <w:rPr>
                <w:color w:val="000000" w:themeColor="text1"/>
                <w:sz w:val="21"/>
                <w:szCs w:val="21"/>
              </w:rPr>
              <w:t>；</w:t>
            </w:r>
          </w:p>
          <w:p w14:paraId="7DB114F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X</w:t>
            </w:r>
            <w:r w:rsidRPr="00B12FE0">
              <w:rPr>
                <w:color w:val="000000" w:themeColor="text1"/>
                <w:sz w:val="21"/>
                <w:szCs w:val="21"/>
              </w:rPr>
              <w:t>射线</w:t>
            </w:r>
            <w:r w:rsidRPr="00B12FE0">
              <w:rPr>
                <w:color w:val="000000" w:themeColor="text1"/>
                <w:sz w:val="21"/>
                <w:szCs w:val="21"/>
              </w:rPr>
              <w:t>15MV</w:t>
            </w:r>
            <w:r w:rsidRPr="00B12FE0">
              <w:rPr>
                <w:color w:val="000000" w:themeColor="text1"/>
                <w:sz w:val="21"/>
                <w:szCs w:val="21"/>
              </w:rPr>
              <w:t>等中心</w:t>
            </w:r>
            <w:r w:rsidRPr="00B12FE0">
              <w:rPr>
                <w:color w:val="000000" w:themeColor="text1"/>
                <w:sz w:val="21"/>
                <w:szCs w:val="21"/>
              </w:rPr>
              <w:t>1m</w:t>
            </w:r>
            <w:r w:rsidRPr="00B12FE0">
              <w:rPr>
                <w:color w:val="000000" w:themeColor="text1"/>
                <w:sz w:val="21"/>
                <w:szCs w:val="21"/>
              </w:rPr>
              <w:t>处最大剂量率</w:t>
            </w:r>
            <w:r w:rsidRPr="00B12FE0">
              <w:rPr>
                <w:color w:val="000000" w:themeColor="text1"/>
                <w:sz w:val="21"/>
                <w:szCs w:val="21"/>
              </w:rPr>
              <w:t>360Gy/h</w:t>
            </w:r>
          </w:p>
        </w:tc>
      </w:tr>
      <w:tr w:rsidR="00A67F21" w:rsidRPr="00B12FE0" w14:paraId="023690D7"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352F112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最大照射野大小</w:t>
            </w:r>
          </w:p>
        </w:tc>
        <w:tc>
          <w:tcPr>
            <w:tcW w:w="3202" w:type="pct"/>
            <w:tcBorders>
              <w:top w:val="single" w:sz="4" w:space="0" w:color="auto"/>
              <w:left w:val="single" w:sz="4" w:space="0" w:color="auto"/>
              <w:bottom w:val="single" w:sz="4" w:space="0" w:color="auto"/>
              <w:right w:val="single" w:sz="4" w:space="0" w:color="auto"/>
            </w:tcBorders>
            <w:vAlign w:val="center"/>
          </w:tcPr>
          <w:p w14:paraId="69B28F7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40cm*40cm</w:t>
            </w:r>
          </w:p>
        </w:tc>
      </w:tr>
      <w:tr w:rsidR="00A67F21" w:rsidRPr="00B12FE0" w14:paraId="06227E51"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025F3BF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机架旋转角度</w:t>
            </w:r>
          </w:p>
        </w:tc>
        <w:tc>
          <w:tcPr>
            <w:tcW w:w="3202" w:type="pct"/>
            <w:tcBorders>
              <w:top w:val="single" w:sz="4" w:space="0" w:color="auto"/>
              <w:left w:val="single" w:sz="4" w:space="0" w:color="auto"/>
              <w:bottom w:val="single" w:sz="4" w:space="0" w:color="auto"/>
              <w:right w:val="single" w:sz="4" w:space="0" w:color="auto"/>
            </w:tcBorders>
            <w:vAlign w:val="center"/>
          </w:tcPr>
          <w:p w14:paraId="1A8BF42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±180°</w:t>
            </w:r>
          </w:p>
        </w:tc>
      </w:tr>
      <w:tr w:rsidR="00A67F21" w:rsidRPr="00B12FE0" w14:paraId="50C0A863"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7454A8D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X</w:t>
            </w:r>
            <w:r w:rsidRPr="00B12FE0">
              <w:rPr>
                <w:color w:val="000000" w:themeColor="text1"/>
                <w:sz w:val="21"/>
                <w:szCs w:val="21"/>
              </w:rPr>
              <w:t>射线有用线束张角（</w:t>
            </w:r>
            <w:r w:rsidRPr="00B12FE0">
              <w:rPr>
                <w:color w:val="000000" w:themeColor="text1"/>
                <w:sz w:val="21"/>
                <w:szCs w:val="21"/>
              </w:rPr>
              <w:t>°</w:t>
            </w:r>
            <w:r w:rsidRPr="00B12FE0">
              <w:rPr>
                <w:color w:val="000000" w:themeColor="text1"/>
                <w:sz w:val="21"/>
                <w:szCs w:val="21"/>
              </w:rPr>
              <w:t>）</w:t>
            </w:r>
          </w:p>
        </w:tc>
        <w:tc>
          <w:tcPr>
            <w:tcW w:w="3202" w:type="pct"/>
            <w:tcBorders>
              <w:top w:val="single" w:sz="4" w:space="0" w:color="auto"/>
              <w:left w:val="nil"/>
              <w:bottom w:val="single" w:sz="4" w:space="0" w:color="auto"/>
              <w:right w:val="single" w:sz="4" w:space="0" w:color="auto"/>
            </w:tcBorders>
            <w:vAlign w:val="center"/>
          </w:tcPr>
          <w:p w14:paraId="6EDDDEF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≤28</w:t>
            </w:r>
          </w:p>
        </w:tc>
      </w:tr>
      <w:tr w:rsidR="00A67F21" w:rsidRPr="00B12FE0" w14:paraId="19499FC2" w14:textId="77777777">
        <w:trPr>
          <w:cantSplit/>
          <w:trHeight w:val="340"/>
          <w:jc w:val="center"/>
        </w:trPr>
        <w:tc>
          <w:tcPr>
            <w:tcW w:w="1798" w:type="pct"/>
            <w:tcBorders>
              <w:top w:val="single" w:sz="4" w:space="0" w:color="auto"/>
              <w:left w:val="single" w:sz="4" w:space="0" w:color="auto"/>
              <w:bottom w:val="single" w:sz="4" w:space="0" w:color="auto"/>
              <w:right w:val="single" w:sz="4" w:space="0" w:color="auto"/>
            </w:tcBorders>
            <w:vAlign w:val="center"/>
          </w:tcPr>
          <w:p w14:paraId="0A08D06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集成配套设施</w:t>
            </w:r>
          </w:p>
        </w:tc>
        <w:tc>
          <w:tcPr>
            <w:tcW w:w="3202" w:type="pct"/>
            <w:tcBorders>
              <w:top w:val="single" w:sz="4" w:space="0" w:color="auto"/>
              <w:left w:val="single" w:sz="4" w:space="0" w:color="auto"/>
              <w:bottom w:val="single" w:sz="4" w:space="0" w:color="auto"/>
              <w:right w:val="single" w:sz="4" w:space="0" w:color="auto"/>
            </w:tcBorders>
            <w:vAlign w:val="center"/>
          </w:tcPr>
          <w:p w14:paraId="0F2F011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CBCT</w:t>
            </w:r>
            <w:r w:rsidRPr="00B12FE0">
              <w:rPr>
                <w:color w:val="000000" w:themeColor="text1"/>
                <w:sz w:val="21"/>
                <w:szCs w:val="21"/>
              </w:rPr>
              <w:t>：最大管电压</w:t>
            </w:r>
            <w:r w:rsidRPr="00B12FE0">
              <w:rPr>
                <w:color w:val="000000" w:themeColor="text1"/>
                <w:sz w:val="21"/>
                <w:szCs w:val="21"/>
              </w:rPr>
              <w:t>150KV</w:t>
            </w:r>
            <w:r w:rsidRPr="00B12FE0">
              <w:rPr>
                <w:color w:val="000000" w:themeColor="text1"/>
                <w:sz w:val="21"/>
                <w:szCs w:val="21"/>
              </w:rPr>
              <w:t>，最大管电流</w:t>
            </w:r>
            <w:r w:rsidRPr="00B12FE0">
              <w:rPr>
                <w:color w:val="000000" w:themeColor="text1"/>
                <w:sz w:val="21"/>
                <w:szCs w:val="21"/>
              </w:rPr>
              <w:t>1000mA</w:t>
            </w:r>
          </w:p>
        </w:tc>
      </w:tr>
    </w:tbl>
    <w:p w14:paraId="38828522" w14:textId="77777777" w:rsidR="00A67F21" w:rsidRPr="00B12FE0" w:rsidRDefault="00000000">
      <w:pPr>
        <w:adjustRightInd w:val="0"/>
        <w:snapToGrid w:val="0"/>
        <w:spacing w:line="360" w:lineRule="auto"/>
        <w:ind w:firstLineChars="200" w:firstLine="482"/>
        <w:rPr>
          <w:b/>
          <w:color w:val="000000" w:themeColor="text1"/>
        </w:rPr>
      </w:pPr>
      <w:r w:rsidRPr="00B12FE0">
        <w:rPr>
          <w:rFonts w:hint="eastAsia"/>
          <w:b/>
          <w:color w:val="000000" w:themeColor="text1"/>
        </w:rPr>
        <w:t>（</w:t>
      </w:r>
      <w:r w:rsidRPr="00B12FE0">
        <w:rPr>
          <w:rFonts w:hint="eastAsia"/>
          <w:b/>
          <w:color w:val="000000" w:themeColor="text1"/>
        </w:rPr>
        <w:t>2</w:t>
      </w:r>
      <w:r w:rsidRPr="00B12FE0">
        <w:rPr>
          <w:rFonts w:hint="eastAsia"/>
          <w:b/>
          <w:color w:val="000000" w:themeColor="text1"/>
        </w:rPr>
        <w:t>）工作原理</w:t>
      </w:r>
    </w:p>
    <w:p w14:paraId="023A30EA" w14:textId="77777777" w:rsidR="00A67F21" w:rsidRPr="00B12FE0" w:rsidRDefault="00000000">
      <w:pPr>
        <w:adjustRightInd w:val="0"/>
        <w:snapToGrid w:val="0"/>
        <w:spacing w:line="360" w:lineRule="auto"/>
        <w:ind w:firstLineChars="200" w:firstLine="480"/>
        <w:rPr>
          <w:color w:val="000000" w:themeColor="text1"/>
          <w:sz w:val="21"/>
          <w:szCs w:val="21"/>
        </w:rPr>
      </w:pPr>
      <w:r w:rsidRPr="00B12FE0">
        <w:rPr>
          <w:rFonts w:ascii="宋体" w:hAnsi="宋体"/>
          <w:color w:val="000000" w:themeColor="text1"/>
          <w:szCs w:val="24"/>
        </w:rPr>
        <w:t>直线加速器是将电子枪产生的电子经加速管加速后形成电子束的装置。电子枪产</w:t>
      </w:r>
      <w:r w:rsidRPr="00B12FE0">
        <w:rPr>
          <w:rFonts w:ascii="宋体" w:hAnsi="宋体"/>
          <w:color w:val="000000" w:themeColor="text1"/>
          <w:szCs w:val="24"/>
        </w:rPr>
        <w:lastRenderedPageBreak/>
        <w:t>生的电子束由微波加速波导管加速后进入偏转磁场，所形成的电子束由电子窗口射出，经调制、准直后射向患者病灶；或电子束</w:t>
      </w:r>
      <w:proofErr w:type="gramStart"/>
      <w:r w:rsidRPr="00B12FE0">
        <w:rPr>
          <w:rFonts w:ascii="宋体" w:hAnsi="宋体"/>
          <w:color w:val="000000" w:themeColor="text1"/>
          <w:szCs w:val="24"/>
        </w:rPr>
        <w:t>靶物质</w:t>
      </w:r>
      <w:proofErr w:type="gramEnd"/>
      <w:r w:rsidRPr="00B12FE0">
        <w:rPr>
          <w:rFonts w:ascii="宋体" w:hAnsi="宋体"/>
          <w:color w:val="000000" w:themeColor="text1"/>
          <w:szCs w:val="24"/>
        </w:rPr>
        <w:t>相互作用产生轫致辐射</w:t>
      </w:r>
      <w:r w:rsidRPr="00B12FE0">
        <w:rPr>
          <w:color w:val="000000" w:themeColor="text1"/>
          <w:szCs w:val="24"/>
        </w:rPr>
        <w:t>X</w:t>
      </w:r>
      <w:r w:rsidRPr="00B12FE0">
        <w:rPr>
          <w:rFonts w:ascii="宋体" w:hAnsi="宋体"/>
          <w:color w:val="000000" w:themeColor="text1"/>
          <w:szCs w:val="24"/>
        </w:rPr>
        <w:t>射线束，经一次准直器和</w:t>
      </w:r>
      <w:proofErr w:type="gramStart"/>
      <w:r w:rsidRPr="00B12FE0">
        <w:rPr>
          <w:rFonts w:ascii="宋体" w:hAnsi="宋体"/>
          <w:color w:val="000000" w:themeColor="text1"/>
          <w:szCs w:val="24"/>
        </w:rPr>
        <w:t>滤线器</w:t>
      </w:r>
      <w:proofErr w:type="gramEnd"/>
      <w:r w:rsidRPr="00B12FE0">
        <w:rPr>
          <w:rFonts w:ascii="宋体" w:hAnsi="宋体"/>
          <w:color w:val="000000" w:themeColor="text1"/>
          <w:szCs w:val="24"/>
        </w:rPr>
        <w:t>形成剂量均匀的</w:t>
      </w:r>
      <w:r w:rsidRPr="00B12FE0">
        <w:rPr>
          <w:color w:val="000000" w:themeColor="text1"/>
          <w:szCs w:val="24"/>
        </w:rPr>
        <w:t>X</w:t>
      </w:r>
      <w:r w:rsidRPr="00B12FE0">
        <w:rPr>
          <w:rFonts w:ascii="宋体" w:hAnsi="宋体"/>
          <w:color w:val="000000" w:themeColor="text1"/>
          <w:szCs w:val="24"/>
        </w:rPr>
        <w:t>射线束，再经监测电离室和二次准直</w:t>
      </w:r>
      <w:proofErr w:type="gramStart"/>
      <w:r w:rsidRPr="00B12FE0">
        <w:rPr>
          <w:rFonts w:ascii="宋体" w:hAnsi="宋体"/>
          <w:color w:val="000000" w:themeColor="text1"/>
          <w:szCs w:val="24"/>
        </w:rPr>
        <w:t>器限束</w:t>
      </w:r>
      <w:proofErr w:type="gramEnd"/>
      <w:r w:rsidRPr="00B12FE0">
        <w:rPr>
          <w:rFonts w:ascii="宋体" w:hAnsi="宋体"/>
          <w:color w:val="000000" w:themeColor="text1"/>
          <w:szCs w:val="24"/>
        </w:rPr>
        <w:t>，到达患者病灶实现治疗目的。</w:t>
      </w:r>
    </w:p>
    <w:p w14:paraId="0D732008"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因此，作为一种体外照射的放射治疗设备，直线加速器利用产生的电子束或</w:t>
      </w:r>
      <w:r w:rsidRPr="00B12FE0">
        <w:rPr>
          <w:color w:val="000000" w:themeColor="text1"/>
          <w:szCs w:val="24"/>
        </w:rPr>
        <w:t>X</w:t>
      </w:r>
      <w:r w:rsidRPr="00B12FE0">
        <w:rPr>
          <w:rFonts w:ascii="宋体" w:hAnsi="宋体"/>
          <w:color w:val="000000" w:themeColor="text1"/>
          <w:szCs w:val="24"/>
        </w:rPr>
        <w:t>射线，对人体病灶部位进行照射，使肿瘤组织受到不可逆损伤。根据癌症类型及其所在位置、患者的身体状况等，选择不同的输出方式对肿瘤进行照射，同时使肿瘤周围正常组织得到最大限度的保护，达到治疗肿瘤的目的。</w:t>
      </w:r>
    </w:p>
    <w:p w14:paraId="14A08E08"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本项目配备的加速器具备有</w:t>
      </w:r>
      <w:r w:rsidRPr="00B12FE0">
        <w:rPr>
          <w:color w:val="000000" w:themeColor="text1"/>
          <w:szCs w:val="24"/>
        </w:rPr>
        <w:t>CBCT</w:t>
      </w:r>
      <w:r w:rsidRPr="00B12FE0">
        <w:rPr>
          <w:rFonts w:ascii="宋体" w:hAnsi="宋体"/>
          <w:color w:val="000000" w:themeColor="text1"/>
          <w:szCs w:val="24"/>
        </w:rPr>
        <w:t>影响引导设备，使用锥形束</w:t>
      </w:r>
      <w:r w:rsidRPr="00B12FE0">
        <w:rPr>
          <w:color w:val="000000" w:themeColor="text1"/>
          <w:szCs w:val="24"/>
        </w:rPr>
        <w:t>X</w:t>
      </w:r>
      <w:r w:rsidRPr="00B12FE0">
        <w:rPr>
          <w:rFonts w:ascii="宋体" w:hAnsi="宋体"/>
          <w:color w:val="000000" w:themeColor="text1"/>
          <w:szCs w:val="24"/>
        </w:rPr>
        <w:t>射线进行信息采集的计算机体层成像技术。它与传统多排探测器</w:t>
      </w:r>
      <w:r w:rsidRPr="00B12FE0">
        <w:rPr>
          <w:color w:val="000000" w:themeColor="text1"/>
          <w:szCs w:val="24"/>
        </w:rPr>
        <w:t>CT</w:t>
      </w:r>
      <w:r w:rsidRPr="00B12FE0">
        <w:rPr>
          <w:rFonts w:ascii="宋体" w:hAnsi="宋体"/>
          <w:color w:val="000000" w:themeColor="text1"/>
          <w:szCs w:val="24"/>
        </w:rPr>
        <w:t>最显著的区别是使用二维数字平板探测器，在一次旋转中产生三维容积图像。</w:t>
      </w:r>
      <w:r w:rsidRPr="00B12FE0">
        <w:rPr>
          <w:color w:val="000000" w:themeColor="text1"/>
          <w:szCs w:val="24"/>
        </w:rPr>
        <w:t>CBCT</w:t>
      </w:r>
      <w:r w:rsidRPr="00B12FE0">
        <w:rPr>
          <w:rFonts w:ascii="宋体" w:hAnsi="宋体"/>
          <w:color w:val="000000" w:themeColor="text1"/>
          <w:szCs w:val="24"/>
        </w:rPr>
        <w:t>由影像板</w:t>
      </w:r>
      <w:proofErr w:type="gramStart"/>
      <w:r w:rsidRPr="00B12FE0">
        <w:rPr>
          <w:rFonts w:ascii="宋体" w:hAnsi="宋体"/>
          <w:color w:val="000000" w:themeColor="text1"/>
          <w:szCs w:val="24"/>
        </w:rPr>
        <w:t>和球管等</w:t>
      </w:r>
      <w:proofErr w:type="gramEnd"/>
      <w:r w:rsidRPr="00B12FE0">
        <w:rPr>
          <w:rFonts w:ascii="宋体" w:hAnsi="宋体"/>
          <w:color w:val="000000" w:themeColor="text1"/>
          <w:szCs w:val="24"/>
        </w:rPr>
        <w:t>硬件及控制软件组成，</w:t>
      </w:r>
      <w:proofErr w:type="gramStart"/>
      <w:r w:rsidRPr="00B12FE0">
        <w:rPr>
          <w:rFonts w:ascii="宋体" w:hAnsi="宋体"/>
          <w:color w:val="000000" w:themeColor="text1"/>
          <w:szCs w:val="24"/>
        </w:rPr>
        <w:t>球管产生</w:t>
      </w:r>
      <w:proofErr w:type="gramEnd"/>
      <w:r w:rsidRPr="00B12FE0">
        <w:rPr>
          <w:color w:val="000000" w:themeColor="text1"/>
          <w:szCs w:val="24"/>
        </w:rPr>
        <w:t>kV</w:t>
      </w:r>
      <w:r w:rsidRPr="00B12FE0">
        <w:rPr>
          <w:rFonts w:ascii="宋体" w:hAnsi="宋体"/>
          <w:color w:val="000000" w:themeColor="text1"/>
          <w:szCs w:val="24"/>
        </w:rPr>
        <w:t>级</w:t>
      </w:r>
      <w:r w:rsidRPr="00B12FE0">
        <w:rPr>
          <w:color w:val="000000" w:themeColor="text1"/>
          <w:szCs w:val="24"/>
        </w:rPr>
        <w:t>X</w:t>
      </w:r>
      <w:r w:rsidRPr="00B12FE0">
        <w:rPr>
          <w:rFonts w:ascii="宋体" w:hAnsi="宋体"/>
          <w:color w:val="000000" w:themeColor="text1"/>
          <w:szCs w:val="24"/>
        </w:rPr>
        <w:t>射线，</w:t>
      </w:r>
      <w:r w:rsidRPr="00B12FE0">
        <w:rPr>
          <w:color w:val="000000" w:themeColor="text1"/>
          <w:szCs w:val="24"/>
        </w:rPr>
        <w:t>X</w:t>
      </w:r>
      <w:r w:rsidRPr="00B12FE0">
        <w:rPr>
          <w:rFonts w:ascii="宋体" w:hAnsi="宋体"/>
          <w:color w:val="000000" w:themeColor="text1"/>
          <w:szCs w:val="24"/>
        </w:rPr>
        <w:t>射线穿过物体投影到影像板成像。</w:t>
      </w:r>
    </w:p>
    <w:p w14:paraId="6E757915"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治疗计划选择</w:t>
      </w:r>
      <w:r w:rsidRPr="00B12FE0">
        <w:rPr>
          <w:color w:val="000000" w:themeColor="text1"/>
          <w:szCs w:val="24"/>
        </w:rPr>
        <w:t>CBCT</w:t>
      </w:r>
      <w:r w:rsidRPr="00B12FE0">
        <w:rPr>
          <w:rFonts w:ascii="宋体" w:hAnsi="宋体"/>
          <w:color w:val="000000" w:themeColor="text1"/>
          <w:szCs w:val="24"/>
        </w:rPr>
        <w:t>图像验证时，病人在加速器治疗室开始治疗前，先完成病人肿瘤位置的验证，控制系统使</w:t>
      </w:r>
      <w:r w:rsidRPr="00B12FE0">
        <w:rPr>
          <w:color w:val="000000" w:themeColor="text1"/>
          <w:szCs w:val="24"/>
        </w:rPr>
        <w:t>CBCT</w:t>
      </w:r>
      <w:r w:rsidRPr="00B12FE0">
        <w:rPr>
          <w:rFonts w:ascii="宋体" w:hAnsi="宋体"/>
          <w:color w:val="000000" w:themeColor="text1"/>
          <w:szCs w:val="24"/>
        </w:rPr>
        <w:t>高压发生器产生高压，</w:t>
      </w:r>
      <w:proofErr w:type="gramStart"/>
      <w:r w:rsidRPr="00B12FE0">
        <w:rPr>
          <w:rFonts w:ascii="宋体" w:hAnsi="宋体"/>
          <w:color w:val="000000" w:themeColor="text1"/>
          <w:szCs w:val="24"/>
        </w:rPr>
        <w:t>球管产生</w:t>
      </w:r>
      <w:proofErr w:type="gramEnd"/>
      <w:r w:rsidRPr="00B12FE0">
        <w:rPr>
          <w:color w:val="000000" w:themeColor="text1"/>
          <w:szCs w:val="24"/>
        </w:rPr>
        <w:t>X</w:t>
      </w:r>
      <w:r w:rsidRPr="00B12FE0">
        <w:rPr>
          <w:rFonts w:ascii="宋体" w:hAnsi="宋体"/>
          <w:color w:val="000000" w:themeColor="text1"/>
          <w:szCs w:val="24"/>
        </w:rPr>
        <w:t>射线，控制系统将使用</w:t>
      </w:r>
      <w:r w:rsidRPr="00B12FE0">
        <w:rPr>
          <w:color w:val="000000" w:themeColor="text1"/>
          <w:szCs w:val="24"/>
        </w:rPr>
        <w:t>CBCT</w:t>
      </w:r>
      <w:r w:rsidRPr="00B12FE0">
        <w:rPr>
          <w:rFonts w:ascii="宋体" w:hAnsi="宋体"/>
          <w:color w:val="000000" w:themeColor="text1"/>
          <w:szCs w:val="24"/>
        </w:rPr>
        <w:t>功能扫描病人，信号经过处理和图像完成重建后，对治疗计划中肿瘤位置图像进行优化和确认，完成图像引导，随后根据控制系统指令，加速器的电子枪产生电子，经加速管加速电子到相应能量打靶形成治疗所需的加速器</w:t>
      </w:r>
      <w:r w:rsidRPr="00B12FE0">
        <w:rPr>
          <w:color w:val="000000" w:themeColor="text1"/>
          <w:szCs w:val="24"/>
        </w:rPr>
        <w:t>X</w:t>
      </w:r>
      <w:r w:rsidRPr="00B12FE0">
        <w:rPr>
          <w:rFonts w:ascii="宋体" w:hAnsi="宋体"/>
          <w:color w:val="000000" w:themeColor="text1"/>
          <w:szCs w:val="24"/>
        </w:rPr>
        <w:t>射线，根据物理师的治疗计划完成肿瘤的照射。</w:t>
      </w:r>
      <w:r w:rsidRPr="00B12FE0">
        <w:rPr>
          <w:color w:val="000000" w:themeColor="text1"/>
          <w:szCs w:val="24"/>
        </w:rPr>
        <w:t>CBCT</w:t>
      </w:r>
      <w:r w:rsidRPr="00B12FE0">
        <w:rPr>
          <w:rFonts w:ascii="宋体" w:hAnsi="宋体"/>
          <w:color w:val="000000" w:themeColor="text1"/>
          <w:szCs w:val="24"/>
        </w:rPr>
        <w:t>影像引导和加速器</w:t>
      </w:r>
      <w:proofErr w:type="gramStart"/>
      <w:r w:rsidRPr="00B12FE0">
        <w:rPr>
          <w:rFonts w:ascii="宋体" w:hAnsi="宋体"/>
          <w:color w:val="000000" w:themeColor="text1"/>
          <w:szCs w:val="24"/>
        </w:rPr>
        <w:t>出束治疗</w:t>
      </w:r>
      <w:proofErr w:type="gramEnd"/>
      <w:r w:rsidRPr="00B12FE0">
        <w:rPr>
          <w:rFonts w:ascii="宋体" w:hAnsi="宋体"/>
          <w:color w:val="000000" w:themeColor="text1"/>
          <w:szCs w:val="24"/>
        </w:rPr>
        <w:t>不会同时进行。通常是交替开机。</w:t>
      </w:r>
    </w:p>
    <w:p w14:paraId="2BB312F7"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CBCT</w:t>
      </w:r>
      <w:r w:rsidRPr="00B12FE0">
        <w:rPr>
          <w:rFonts w:ascii="宋体" w:hAnsi="宋体"/>
          <w:color w:val="000000" w:themeColor="text1"/>
          <w:szCs w:val="24"/>
        </w:rPr>
        <w:t>的优势在于重复</w:t>
      </w:r>
      <w:r w:rsidRPr="00B12FE0">
        <w:rPr>
          <w:color w:val="000000" w:themeColor="text1"/>
          <w:szCs w:val="24"/>
        </w:rPr>
        <w:t>CT</w:t>
      </w:r>
      <w:r w:rsidRPr="00B12FE0">
        <w:rPr>
          <w:rFonts w:ascii="宋体" w:hAnsi="宋体"/>
          <w:color w:val="000000" w:themeColor="text1"/>
          <w:szCs w:val="24"/>
        </w:rPr>
        <w:t>模拟定位时的体位，保证与计划设计时靶区、靶区与危及器官和</w:t>
      </w:r>
      <w:proofErr w:type="gramStart"/>
      <w:r w:rsidRPr="00B12FE0">
        <w:rPr>
          <w:rFonts w:ascii="宋体" w:hAnsi="宋体"/>
          <w:color w:val="000000" w:themeColor="text1"/>
          <w:szCs w:val="24"/>
        </w:rPr>
        <w:t>射野位置</w:t>
      </w:r>
      <w:proofErr w:type="gramEnd"/>
      <w:r w:rsidRPr="00B12FE0">
        <w:rPr>
          <w:rFonts w:ascii="宋体" w:hAnsi="宋体"/>
          <w:color w:val="000000" w:themeColor="text1"/>
          <w:szCs w:val="24"/>
        </w:rPr>
        <w:t>空间关系一致性，使肿瘤组织得到精准照射，提高治愈率，减少放疗副作用。图像引导放射治疗通过</w:t>
      </w:r>
      <w:r w:rsidRPr="00B12FE0">
        <w:rPr>
          <w:color w:val="000000" w:themeColor="text1"/>
          <w:szCs w:val="24"/>
        </w:rPr>
        <w:t>CBCT</w:t>
      </w:r>
      <w:r w:rsidRPr="00B12FE0">
        <w:rPr>
          <w:rFonts w:ascii="宋体" w:hAnsi="宋体"/>
          <w:color w:val="000000" w:themeColor="text1"/>
          <w:szCs w:val="24"/>
        </w:rPr>
        <w:t>图像引导配准，可以实现病人凸显的在线或离线配准，保证病人每次治疗体位的重复性和一致性。</w:t>
      </w:r>
    </w:p>
    <w:p w14:paraId="0FEB5CC8" w14:textId="77777777" w:rsidR="00A67F21" w:rsidRPr="00B12FE0" w:rsidRDefault="00000000">
      <w:pPr>
        <w:adjustRightInd w:val="0"/>
        <w:snapToGrid w:val="0"/>
        <w:jc w:val="center"/>
        <w:rPr>
          <w:color w:val="000000" w:themeColor="text1"/>
          <w:sz w:val="21"/>
          <w:szCs w:val="21"/>
        </w:rPr>
      </w:pPr>
      <w:r w:rsidRPr="00B12FE0">
        <w:rPr>
          <w:noProof/>
          <w:color w:val="000000" w:themeColor="text1"/>
          <w:sz w:val="21"/>
          <w:szCs w:val="21"/>
        </w:rPr>
        <w:lastRenderedPageBreak/>
        <w:drawing>
          <wp:inline distT="0" distB="0" distL="0" distR="0" wp14:anchorId="2194E4DC" wp14:editId="681C91E7">
            <wp:extent cx="3366770" cy="3829685"/>
            <wp:effectExtent l="0" t="0" r="5080" b="0"/>
            <wp:docPr id="734697566" name="图片 73469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97566" name="图片 7346975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378346" cy="3842212"/>
                    </a:xfrm>
                    <a:prstGeom prst="rect">
                      <a:avLst/>
                    </a:prstGeom>
                    <a:noFill/>
                    <a:ln>
                      <a:noFill/>
                    </a:ln>
                  </pic:spPr>
                </pic:pic>
              </a:graphicData>
            </a:graphic>
          </wp:inline>
        </w:drawing>
      </w:r>
      <w:r w:rsidRPr="00B12FE0">
        <w:rPr>
          <w:color w:val="000000" w:themeColor="text1"/>
          <w:sz w:val="21"/>
          <w:szCs w:val="21"/>
        </w:rPr>
        <w:t xml:space="preserve"> </w:t>
      </w:r>
    </w:p>
    <w:p w14:paraId="53533055" w14:textId="77777777" w:rsidR="00A67F21" w:rsidRPr="00B12FE0" w:rsidRDefault="00000000">
      <w:pPr>
        <w:adjustRightInd w:val="0"/>
        <w:snapToGrid w:val="0"/>
        <w:jc w:val="center"/>
        <w:rPr>
          <w:b/>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.2-1  CBCT</w:t>
      </w:r>
      <w:r w:rsidRPr="00B12FE0">
        <w:rPr>
          <w:rFonts w:ascii="宋体" w:hAnsi="宋体"/>
          <w:b/>
          <w:color w:val="000000" w:themeColor="text1"/>
          <w:sz w:val="21"/>
          <w:szCs w:val="21"/>
        </w:rPr>
        <w:t>和</w:t>
      </w:r>
      <w:proofErr w:type="gramStart"/>
      <w:r w:rsidRPr="00B12FE0">
        <w:rPr>
          <w:rFonts w:ascii="宋体" w:hAnsi="宋体"/>
          <w:b/>
          <w:color w:val="000000" w:themeColor="text1"/>
          <w:sz w:val="21"/>
          <w:szCs w:val="21"/>
        </w:rPr>
        <w:t>直线加速器出束示意图</w:t>
      </w:r>
      <w:proofErr w:type="gramEnd"/>
    </w:p>
    <w:p w14:paraId="39721840" w14:textId="77777777" w:rsidR="00A67F21" w:rsidRPr="00B12FE0" w:rsidRDefault="00000000">
      <w:pPr>
        <w:adjustRightInd w:val="0"/>
        <w:snapToGrid w:val="0"/>
        <w:spacing w:line="360" w:lineRule="auto"/>
        <w:ind w:firstLineChars="200" w:firstLine="482"/>
        <w:rPr>
          <w:b/>
          <w:bCs/>
          <w:color w:val="000000" w:themeColor="text1"/>
          <w:sz w:val="21"/>
          <w:szCs w:val="21"/>
        </w:rPr>
      </w:pPr>
      <w:r w:rsidRPr="00B12FE0">
        <w:rPr>
          <w:rFonts w:ascii="宋体" w:hAnsi="宋体"/>
          <w:b/>
          <w:bCs/>
          <w:color w:val="000000" w:themeColor="text1"/>
          <w:szCs w:val="24"/>
        </w:rPr>
        <w:t>（</w:t>
      </w:r>
      <w:r w:rsidRPr="00B12FE0">
        <w:rPr>
          <w:b/>
          <w:bCs/>
          <w:color w:val="000000" w:themeColor="text1"/>
          <w:szCs w:val="24"/>
        </w:rPr>
        <w:t>3</w:t>
      </w:r>
      <w:r w:rsidRPr="00B12FE0">
        <w:rPr>
          <w:rFonts w:ascii="宋体" w:hAnsi="宋体"/>
          <w:b/>
          <w:bCs/>
          <w:color w:val="000000" w:themeColor="text1"/>
          <w:szCs w:val="24"/>
        </w:rPr>
        <w:t>）设备组成</w:t>
      </w:r>
    </w:p>
    <w:p w14:paraId="69193440" w14:textId="77777777" w:rsidR="00A67F21" w:rsidRPr="00B12FE0" w:rsidRDefault="00000000">
      <w:pPr>
        <w:adjustRightInd w:val="0"/>
        <w:snapToGrid w:val="0"/>
        <w:spacing w:line="360" w:lineRule="auto"/>
        <w:ind w:firstLine="480"/>
        <w:rPr>
          <w:color w:val="000000" w:themeColor="text1"/>
          <w:sz w:val="21"/>
          <w:szCs w:val="21"/>
        </w:rPr>
      </w:pPr>
      <w:r w:rsidRPr="00B12FE0">
        <w:rPr>
          <w:rFonts w:ascii="宋体" w:hAnsi="宋体"/>
          <w:color w:val="000000" w:themeColor="text1"/>
          <w:szCs w:val="24"/>
        </w:rPr>
        <w:t>直线加速器主要由三大部分组成：电子发射单元，电子加速单元和电子束引出单元。它的结构单元为：加速管、电子枪、微波系统、调制器、束流传输系统及准直系统、真空系统、恒温水冷系统和控制保护系统。电子治疗子系统基本组成部件主要包括初级准直器、散射箔、托盘、均整器、电离室、光阑、附件接口、</w:t>
      </w:r>
      <w:proofErr w:type="gramStart"/>
      <w:r w:rsidRPr="00B12FE0">
        <w:rPr>
          <w:rFonts w:ascii="宋体" w:hAnsi="宋体"/>
          <w:color w:val="000000" w:themeColor="text1"/>
          <w:szCs w:val="24"/>
        </w:rPr>
        <w:t>限光筒</w:t>
      </w:r>
      <w:proofErr w:type="gramEnd"/>
      <w:r w:rsidRPr="00B12FE0">
        <w:rPr>
          <w:rFonts w:ascii="宋体" w:hAnsi="宋体"/>
          <w:color w:val="000000" w:themeColor="text1"/>
          <w:szCs w:val="24"/>
        </w:rPr>
        <w:t>。</w:t>
      </w:r>
    </w:p>
    <w:p w14:paraId="06F675C3"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典型直线加速器外部结构示意如</w:t>
      </w:r>
      <w:r w:rsidRPr="00B12FE0">
        <w:rPr>
          <w:color w:val="000000" w:themeColor="text1"/>
          <w:szCs w:val="24"/>
        </w:rPr>
        <w:t>9.</w:t>
      </w:r>
      <w:r w:rsidRPr="00B12FE0">
        <w:rPr>
          <w:rFonts w:hint="eastAsia"/>
          <w:color w:val="000000" w:themeColor="text1"/>
          <w:szCs w:val="24"/>
        </w:rPr>
        <w:t>2</w:t>
      </w:r>
      <w:r w:rsidRPr="00B12FE0">
        <w:rPr>
          <w:color w:val="000000" w:themeColor="text1"/>
          <w:szCs w:val="24"/>
        </w:rPr>
        <w:t>.</w:t>
      </w:r>
      <w:r w:rsidRPr="00B12FE0">
        <w:rPr>
          <w:rFonts w:hint="eastAsia"/>
          <w:color w:val="000000" w:themeColor="text1"/>
          <w:szCs w:val="24"/>
        </w:rPr>
        <w:t>2</w:t>
      </w:r>
      <w:r w:rsidRPr="00B12FE0">
        <w:rPr>
          <w:color w:val="000000" w:themeColor="text1"/>
          <w:szCs w:val="24"/>
        </w:rPr>
        <w:t>-2</w:t>
      </w:r>
      <w:r w:rsidRPr="00B12FE0">
        <w:rPr>
          <w:rFonts w:ascii="宋体" w:hAnsi="宋体"/>
          <w:color w:val="000000" w:themeColor="text1"/>
          <w:szCs w:val="24"/>
        </w:rPr>
        <w:t>所示，内部结构示意图如</w:t>
      </w:r>
      <w:r w:rsidRPr="00B12FE0">
        <w:rPr>
          <w:color w:val="000000" w:themeColor="text1"/>
          <w:szCs w:val="24"/>
        </w:rPr>
        <w:t>9.</w:t>
      </w:r>
      <w:r w:rsidRPr="00B12FE0">
        <w:rPr>
          <w:rFonts w:hint="eastAsia"/>
          <w:color w:val="000000" w:themeColor="text1"/>
          <w:szCs w:val="24"/>
        </w:rPr>
        <w:t>2</w:t>
      </w:r>
      <w:r w:rsidRPr="00B12FE0">
        <w:rPr>
          <w:color w:val="000000" w:themeColor="text1"/>
          <w:szCs w:val="24"/>
        </w:rPr>
        <w:t>.</w:t>
      </w:r>
      <w:r w:rsidRPr="00B12FE0">
        <w:rPr>
          <w:rFonts w:hint="eastAsia"/>
          <w:color w:val="000000" w:themeColor="text1"/>
          <w:szCs w:val="24"/>
        </w:rPr>
        <w:t>2</w:t>
      </w:r>
      <w:r w:rsidRPr="00B12FE0">
        <w:rPr>
          <w:color w:val="000000" w:themeColor="text1"/>
          <w:szCs w:val="24"/>
        </w:rPr>
        <w:t>-3</w:t>
      </w:r>
      <w:r w:rsidRPr="00B12FE0">
        <w:rPr>
          <w:rFonts w:ascii="宋体" w:hAnsi="宋体"/>
          <w:color w:val="000000" w:themeColor="text1"/>
          <w:szCs w:val="24"/>
        </w:rPr>
        <w:t>所示。本项目直线加速器均有电子束和</w:t>
      </w:r>
      <w:r w:rsidRPr="00B12FE0">
        <w:rPr>
          <w:color w:val="000000" w:themeColor="text1"/>
          <w:szCs w:val="24"/>
        </w:rPr>
        <w:t>X</w:t>
      </w:r>
      <w:r w:rsidRPr="00B12FE0">
        <w:rPr>
          <w:rFonts w:ascii="宋体" w:hAnsi="宋体"/>
          <w:color w:val="000000" w:themeColor="text1"/>
          <w:szCs w:val="24"/>
        </w:rPr>
        <w:t>射线两种治疗模式，示意图如</w:t>
      </w:r>
      <w:r w:rsidRPr="00B12FE0">
        <w:rPr>
          <w:color w:val="000000" w:themeColor="text1"/>
          <w:szCs w:val="24"/>
        </w:rPr>
        <w:t>9.</w:t>
      </w:r>
      <w:r w:rsidRPr="00B12FE0">
        <w:rPr>
          <w:rFonts w:hint="eastAsia"/>
          <w:color w:val="000000" w:themeColor="text1"/>
          <w:szCs w:val="24"/>
        </w:rPr>
        <w:t>2</w:t>
      </w:r>
      <w:r w:rsidRPr="00B12FE0">
        <w:rPr>
          <w:color w:val="000000" w:themeColor="text1"/>
          <w:szCs w:val="24"/>
        </w:rPr>
        <w:t>.</w:t>
      </w:r>
      <w:r w:rsidRPr="00B12FE0">
        <w:rPr>
          <w:rFonts w:hint="eastAsia"/>
          <w:color w:val="000000" w:themeColor="text1"/>
          <w:szCs w:val="24"/>
        </w:rPr>
        <w:t>2</w:t>
      </w:r>
      <w:r w:rsidRPr="00B12FE0">
        <w:rPr>
          <w:color w:val="000000" w:themeColor="text1"/>
          <w:szCs w:val="24"/>
        </w:rPr>
        <w:t>-4</w:t>
      </w:r>
      <w:r w:rsidRPr="00B12FE0">
        <w:rPr>
          <w:rFonts w:ascii="宋体" w:hAnsi="宋体"/>
          <w:color w:val="000000" w:themeColor="text1"/>
          <w:szCs w:val="24"/>
        </w:rPr>
        <w:t>所示。</w:t>
      </w:r>
    </w:p>
    <w:p w14:paraId="38106CA4" w14:textId="77777777" w:rsidR="00A67F21" w:rsidRPr="00B12FE0" w:rsidRDefault="00000000">
      <w:pPr>
        <w:adjustRightInd w:val="0"/>
        <w:snapToGrid w:val="0"/>
        <w:spacing w:line="360" w:lineRule="auto"/>
        <w:jc w:val="center"/>
        <w:rPr>
          <w:rFonts w:eastAsia="黑体"/>
          <w:color w:val="000000" w:themeColor="text1"/>
          <w:sz w:val="21"/>
          <w:szCs w:val="21"/>
        </w:rPr>
      </w:pPr>
      <w:r w:rsidRPr="00B12FE0">
        <w:rPr>
          <w:noProof/>
          <w:color w:val="000000" w:themeColor="text1"/>
          <w:sz w:val="21"/>
          <w:szCs w:val="21"/>
        </w:rPr>
        <w:lastRenderedPageBreak/>
        <w:drawing>
          <wp:inline distT="0" distB="0" distL="0" distR="0" wp14:anchorId="2B163DC9" wp14:editId="0F4D0CF5">
            <wp:extent cx="4636135" cy="337693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641817" cy="3380850"/>
                    </a:xfrm>
                    <a:prstGeom prst="rect">
                      <a:avLst/>
                    </a:prstGeom>
                    <a:noFill/>
                    <a:ln>
                      <a:noFill/>
                    </a:ln>
                  </pic:spPr>
                </pic:pic>
              </a:graphicData>
            </a:graphic>
          </wp:inline>
        </w:drawing>
      </w:r>
      <w:r w:rsidRPr="00B12FE0">
        <w:rPr>
          <w:rFonts w:eastAsia="黑体"/>
          <w:color w:val="000000" w:themeColor="text1"/>
          <w:sz w:val="21"/>
          <w:szCs w:val="21"/>
        </w:rPr>
        <w:t xml:space="preserve"> </w:t>
      </w:r>
    </w:p>
    <w:p w14:paraId="6924AF42"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w:t>
      </w:r>
      <w:r w:rsidRPr="00B12FE0">
        <w:rPr>
          <w:rFonts w:hint="eastAsia"/>
          <w:b/>
          <w:color w:val="000000" w:themeColor="text1"/>
          <w:sz w:val="21"/>
          <w:szCs w:val="21"/>
        </w:rPr>
        <w:t>2</w:t>
      </w:r>
      <w:r w:rsidRPr="00B12FE0">
        <w:rPr>
          <w:b/>
          <w:color w:val="000000" w:themeColor="text1"/>
          <w:sz w:val="21"/>
          <w:szCs w:val="21"/>
        </w:rPr>
        <w:t xml:space="preserve">-2  </w:t>
      </w:r>
      <w:r w:rsidRPr="00B12FE0">
        <w:rPr>
          <w:rFonts w:ascii="宋体" w:hAnsi="宋体"/>
          <w:b/>
          <w:color w:val="000000" w:themeColor="text1"/>
          <w:sz w:val="21"/>
          <w:szCs w:val="21"/>
        </w:rPr>
        <w:t>典型医用电子直线加速器机外部结构示意图</w:t>
      </w:r>
    </w:p>
    <w:p w14:paraId="3F647575" w14:textId="77777777" w:rsidR="00A67F21" w:rsidRPr="00B12FE0" w:rsidRDefault="00000000">
      <w:pPr>
        <w:adjustRightInd w:val="0"/>
        <w:snapToGrid w:val="0"/>
        <w:spacing w:beforeLines="50" w:before="120" w:line="360" w:lineRule="auto"/>
        <w:jc w:val="center"/>
        <w:rPr>
          <w:bCs/>
          <w:color w:val="000000" w:themeColor="text1"/>
          <w:sz w:val="21"/>
          <w:szCs w:val="21"/>
        </w:rPr>
      </w:pPr>
      <w:r w:rsidRPr="00B12FE0">
        <w:rPr>
          <w:noProof/>
          <w:color w:val="000000" w:themeColor="text1"/>
          <w:sz w:val="21"/>
          <w:szCs w:val="21"/>
        </w:rPr>
        <w:drawing>
          <wp:inline distT="0" distB="0" distL="0" distR="0" wp14:anchorId="19F6CAAE" wp14:editId="2BCA271D">
            <wp:extent cx="4456430" cy="2639060"/>
            <wp:effectExtent l="0" t="0" r="1270" b="8890"/>
            <wp:docPr id="6234420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2038"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459316" cy="2640865"/>
                    </a:xfrm>
                    <a:prstGeom prst="rect">
                      <a:avLst/>
                    </a:prstGeom>
                    <a:noFill/>
                    <a:ln>
                      <a:noFill/>
                    </a:ln>
                  </pic:spPr>
                </pic:pic>
              </a:graphicData>
            </a:graphic>
          </wp:inline>
        </w:drawing>
      </w:r>
      <w:r w:rsidRPr="00B12FE0">
        <w:rPr>
          <w:bCs/>
          <w:color w:val="000000" w:themeColor="text1"/>
          <w:sz w:val="21"/>
          <w:szCs w:val="21"/>
        </w:rPr>
        <w:t xml:space="preserve"> </w:t>
      </w:r>
    </w:p>
    <w:p w14:paraId="0BFAD45C"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w:t>
      </w:r>
      <w:r w:rsidRPr="00B12FE0">
        <w:rPr>
          <w:rFonts w:hint="eastAsia"/>
          <w:b/>
          <w:color w:val="000000" w:themeColor="text1"/>
          <w:sz w:val="21"/>
          <w:szCs w:val="21"/>
        </w:rPr>
        <w:t>2</w:t>
      </w:r>
      <w:r w:rsidRPr="00B12FE0">
        <w:rPr>
          <w:b/>
          <w:color w:val="000000" w:themeColor="text1"/>
          <w:sz w:val="21"/>
          <w:szCs w:val="21"/>
        </w:rPr>
        <w:t xml:space="preserve">-3  </w:t>
      </w:r>
      <w:r w:rsidRPr="00B12FE0">
        <w:rPr>
          <w:rFonts w:ascii="宋体" w:hAnsi="宋体"/>
          <w:b/>
          <w:color w:val="000000" w:themeColor="text1"/>
          <w:sz w:val="21"/>
          <w:szCs w:val="21"/>
        </w:rPr>
        <w:t>典型医用电子直线加速器机内部结构示意图</w:t>
      </w:r>
    </w:p>
    <w:p w14:paraId="30B19282" w14:textId="77777777" w:rsidR="00A67F21" w:rsidRPr="00B12FE0" w:rsidRDefault="00000000">
      <w:pPr>
        <w:adjustRightInd w:val="0"/>
        <w:snapToGrid w:val="0"/>
        <w:spacing w:line="360" w:lineRule="auto"/>
        <w:jc w:val="center"/>
        <w:rPr>
          <w:b/>
          <w:color w:val="000000" w:themeColor="text1"/>
          <w:sz w:val="21"/>
          <w:szCs w:val="21"/>
        </w:rPr>
      </w:pPr>
      <w:r w:rsidRPr="00B12FE0">
        <w:rPr>
          <w:b/>
          <w:color w:val="000000" w:themeColor="text1"/>
          <w:sz w:val="21"/>
          <w:szCs w:val="21"/>
        </w:rPr>
        <w:t xml:space="preserve"> </w:t>
      </w:r>
    </w:p>
    <w:p w14:paraId="274E4AD6" w14:textId="77777777" w:rsidR="00A67F21" w:rsidRPr="00B12FE0" w:rsidRDefault="00000000">
      <w:pPr>
        <w:adjustRightInd w:val="0"/>
        <w:snapToGrid w:val="0"/>
        <w:spacing w:line="360" w:lineRule="auto"/>
        <w:jc w:val="center"/>
        <w:rPr>
          <w:bCs/>
          <w:color w:val="000000" w:themeColor="text1"/>
          <w:sz w:val="21"/>
          <w:szCs w:val="21"/>
        </w:rPr>
      </w:pPr>
      <w:r w:rsidRPr="00B12FE0">
        <w:rPr>
          <w:noProof/>
          <w:color w:val="000000" w:themeColor="text1"/>
          <w:sz w:val="21"/>
          <w:szCs w:val="21"/>
        </w:rPr>
        <w:lastRenderedPageBreak/>
        <w:drawing>
          <wp:inline distT="0" distB="0" distL="0" distR="0" wp14:anchorId="054B5C54" wp14:editId="3721BF5C">
            <wp:extent cx="5191125" cy="3829050"/>
            <wp:effectExtent l="0" t="0" r="9525" b="0"/>
            <wp:docPr id="310431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732"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191125" cy="3829050"/>
                    </a:xfrm>
                    <a:prstGeom prst="rect">
                      <a:avLst/>
                    </a:prstGeom>
                    <a:noFill/>
                    <a:ln>
                      <a:noFill/>
                    </a:ln>
                  </pic:spPr>
                </pic:pic>
              </a:graphicData>
            </a:graphic>
          </wp:inline>
        </w:drawing>
      </w:r>
      <w:r w:rsidRPr="00B12FE0">
        <w:rPr>
          <w:bCs/>
          <w:color w:val="000000" w:themeColor="text1"/>
          <w:sz w:val="21"/>
          <w:szCs w:val="21"/>
        </w:rPr>
        <w:t xml:space="preserve"> </w:t>
      </w:r>
    </w:p>
    <w:p w14:paraId="0199C3C5" w14:textId="77777777" w:rsidR="00A67F21" w:rsidRPr="00B12FE0" w:rsidRDefault="00000000">
      <w:pPr>
        <w:adjustRightInd w:val="0"/>
        <w:snapToGrid w:val="0"/>
        <w:spacing w:line="360" w:lineRule="auto"/>
        <w:jc w:val="center"/>
        <w:rPr>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.2-4  X</w:t>
      </w:r>
      <w:r w:rsidRPr="00B12FE0">
        <w:rPr>
          <w:rFonts w:ascii="宋体" w:hAnsi="宋体"/>
          <w:b/>
          <w:color w:val="000000" w:themeColor="text1"/>
          <w:sz w:val="21"/>
          <w:szCs w:val="21"/>
        </w:rPr>
        <w:t>射线和电子束治疗模式结构示意图</w:t>
      </w:r>
    </w:p>
    <w:p w14:paraId="02F80FBF" w14:textId="77777777" w:rsidR="00A67F21" w:rsidRPr="00B12FE0" w:rsidRDefault="00000000">
      <w:pPr>
        <w:adjustRightInd w:val="0"/>
        <w:snapToGrid w:val="0"/>
        <w:spacing w:line="360" w:lineRule="auto"/>
        <w:ind w:firstLineChars="200" w:firstLine="482"/>
        <w:rPr>
          <w:b/>
          <w:bCs/>
          <w:color w:val="000000" w:themeColor="text1"/>
          <w:szCs w:val="24"/>
        </w:rPr>
      </w:pPr>
      <w:r w:rsidRPr="00B12FE0">
        <w:rPr>
          <w:rFonts w:ascii="宋体" w:hAnsi="宋体"/>
          <w:b/>
          <w:bCs/>
          <w:color w:val="000000" w:themeColor="text1"/>
          <w:szCs w:val="24"/>
        </w:rPr>
        <w:t>（</w:t>
      </w:r>
      <w:r w:rsidRPr="00B12FE0">
        <w:rPr>
          <w:b/>
          <w:bCs/>
          <w:color w:val="000000" w:themeColor="text1"/>
          <w:szCs w:val="24"/>
        </w:rPr>
        <w:t>4</w:t>
      </w:r>
      <w:r w:rsidRPr="00B12FE0">
        <w:rPr>
          <w:rFonts w:ascii="宋体" w:hAnsi="宋体"/>
          <w:b/>
          <w:bCs/>
          <w:color w:val="000000" w:themeColor="text1"/>
          <w:szCs w:val="24"/>
        </w:rPr>
        <w:t>）工作流程</w:t>
      </w:r>
      <w:proofErr w:type="gramStart"/>
      <w:r w:rsidRPr="00B12FE0">
        <w:rPr>
          <w:rFonts w:ascii="宋体" w:hAnsi="宋体"/>
          <w:b/>
          <w:bCs/>
          <w:color w:val="000000" w:themeColor="text1"/>
          <w:szCs w:val="24"/>
        </w:rPr>
        <w:t>及产污环节</w:t>
      </w:r>
      <w:proofErr w:type="gramEnd"/>
    </w:p>
    <w:p w14:paraId="0180C831" w14:textId="77777777" w:rsidR="00A67F21" w:rsidRPr="00B12FE0" w:rsidRDefault="00000000">
      <w:pPr>
        <w:adjustRightInd w:val="0"/>
        <w:snapToGrid w:val="0"/>
        <w:spacing w:line="360" w:lineRule="auto"/>
        <w:ind w:firstLine="480"/>
        <w:rPr>
          <w:bCs/>
          <w:color w:val="000000" w:themeColor="text1"/>
          <w:szCs w:val="24"/>
        </w:rPr>
      </w:pPr>
      <w:r w:rsidRPr="00B12FE0">
        <w:rPr>
          <w:rFonts w:ascii="宋体" w:hAnsi="宋体"/>
          <w:bCs/>
          <w:color w:val="000000" w:themeColor="text1"/>
          <w:szCs w:val="24"/>
        </w:rPr>
        <w:t>直线加速器在进行放射治疗时，患者在射线机房内，医护操作人员位于射线机房外隔室操作。治疗时，射线机房可为医护人员以及墙外停留或通过的人员提供足够的屏蔽防护，并可防止在开机过程中，无关人员误入射线机房。</w:t>
      </w:r>
    </w:p>
    <w:p w14:paraId="448CA872" w14:textId="77777777" w:rsidR="00A67F21" w:rsidRPr="00B12FE0" w:rsidRDefault="00000000">
      <w:pPr>
        <w:adjustRightInd w:val="0"/>
        <w:snapToGrid w:val="0"/>
        <w:spacing w:line="360" w:lineRule="auto"/>
        <w:ind w:firstLine="480"/>
        <w:rPr>
          <w:bCs/>
          <w:color w:val="000000" w:themeColor="text1"/>
          <w:szCs w:val="24"/>
        </w:rPr>
      </w:pPr>
      <w:r w:rsidRPr="00B12FE0">
        <w:rPr>
          <w:rFonts w:ascii="宋体" w:hAnsi="宋体"/>
          <w:bCs/>
          <w:color w:val="000000" w:themeColor="text1"/>
          <w:szCs w:val="24"/>
        </w:rPr>
        <w:t>直线加速器治疗项目的操作流程如下，其工作流程</w:t>
      </w:r>
      <w:proofErr w:type="gramStart"/>
      <w:r w:rsidRPr="00B12FE0">
        <w:rPr>
          <w:rFonts w:ascii="宋体" w:hAnsi="宋体"/>
          <w:bCs/>
          <w:color w:val="000000" w:themeColor="text1"/>
          <w:szCs w:val="24"/>
        </w:rPr>
        <w:t>及产污环节</w:t>
      </w:r>
      <w:proofErr w:type="gramEnd"/>
      <w:r w:rsidRPr="00B12FE0">
        <w:rPr>
          <w:rFonts w:ascii="宋体" w:hAnsi="宋体"/>
          <w:bCs/>
          <w:color w:val="000000" w:themeColor="text1"/>
          <w:szCs w:val="24"/>
        </w:rPr>
        <w:t>见图</w:t>
      </w:r>
      <w:r w:rsidRPr="00B12FE0">
        <w:rPr>
          <w:rFonts w:hint="eastAsia"/>
          <w:bCs/>
          <w:color w:val="000000" w:themeColor="text1"/>
          <w:szCs w:val="24"/>
        </w:rPr>
        <w:t>9.1.2-5</w:t>
      </w:r>
      <w:r w:rsidRPr="00B12FE0">
        <w:rPr>
          <w:rFonts w:ascii="宋体" w:hAnsi="宋体"/>
          <w:bCs/>
          <w:color w:val="000000" w:themeColor="text1"/>
          <w:szCs w:val="24"/>
        </w:rPr>
        <w:t>：</w:t>
      </w:r>
    </w:p>
    <w:p w14:paraId="63270828" w14:textId="77777777" w:rsidR="00A67F21" w:rsidRPr="00B12FE0" w:rsidRDefault="00000000">
      <w:pPr>
        <w:adjustRightInd w:val="0"/>
        <w:snapToGrid w:val="0"/>
        <w:spacing w:line="360" w:lineRule="auto"/>
        <w:ind w:firstLine="480"/>
        <w:rPr>
          <w:bCs/>
          <w:color w:val="000000" w:themeColor="text1"/>
          <w:szCs w:val="24"/>
        </w:rPr>
      </w:pPr>
      <w:r w:rsidRPr="00B12FE0">
        <w:rPr>
          <w:rFonts w:ascii="Cambria Math" w:hAnsi="Cambria Math" w:cs="Cambria Math"/>
          <w:bCs/>
          <w:color w:val="000000" w:themeColor="text1"/>
          <w:szCs w:val="24"/>
        </w:rPr>
        <w:t>①</w:t>
      </w:r>
      <w:r w:rsidRPr="00B12FE0">
        <w:rPr>
          <w:rFonts w:ascii="宋体" w:hAnsi="宋体"/>
          <w:bCs/>
          <w:color w:val="000000" w:themeColor="text1"/>
          <w:szCs w:val="24"/>
        </w:rPr>
        <w:t>根据医生指导意见，需要接受治疗的患者提前预约登记，以确定治疗时间；</w:t>
      </w:r>
    </w:p>
    <w:p w14:paraId="6B70CDA1" w14:textId="77777777" w:rsidR="00A67F21" w:rsidRPr="00B12FE0" w:rsidRDefault="00000000">
      <w:pPr>
        <w:adjustRightInd w:val="0"/>
        <w:snapToGrid w:val="0"/>
        <w:spacing w:line="360" w:lineRule="auto"/>
        <w:ind w:firstLine="480"/>
        <w:rPr>
          <w:bCs/>
          <w:color w:val="000000" w:themeColor="text1"/>
          <w:szCs w:val="24"/>
        </w:rPr>
      </w:pPr>
      <w:r w:rsidRPr="00B12FE0">
        <w:rPr>
          <w:rFonts w:ascii="Cambria Math" w:hAnsi="Cambria Math" w:cs="Cambria Math"/>
          <w:bCs/>
          <w:color w:val="000000" w:themeColor="text1"/>
          <w:szCs w:val="24"/>
        </w:rPr>
        <w:t>②</w:t>
      </w:r>
      <w:r w:rsidRPr="00B12FE0">
        <w:rPr>
          <w:rFonts w:ascii="宋体" w:hAnsi="宋体"/>
          <w:bCs/>
          <w:color w:val="000000" w:themeColor="text1"/>
          <w:szCs w:val="24"/>
        </w:rPr>
        <w:t>预约病人先在</w:t>
      </w:r>
      <w:r w:rsidRPr="00B12FE0">
        <w:rPr>
          <w:bCs/>
          <w:color w:val="000000" w:themeColor="text1"/>
          <w:szCs w:val="24"/>
        </w:rPr>
        <w:t>CT</w:t>
      </w:r>
      <w:r w:rsidRPr="00B12FE0">
        <w:rPr>
          <w:rFonts w:ascii="宋体" w:hAnsi="宋体"/>
          <w:bCs/>
          <w:color w:val="000000" w:themeColor="text1"/>
          <w:szCs w:val="24"/>
        </w:rPr>
        <w:t>模拟定位机或者</w:t>
      </w:r>
      <w:r w:rsidRPr="00B12FE0">
        <w:rPr>
          <w:rFonts w:hint="eastAsia"/>
          <w:bCs/>
          <w:color w:val="000000" w:themeColor="text1"/>
          <w:szCs w:val="24"/>
        </w:rPr>
        <w:t>MR</w:t>
      </w:r>
      <w:r w:rsidRPr="00B12FE0">
        <w:rPr>
          <w:rFonts w:ascii="宋体" w:hAnsi="宋体"/>
          <w:bCs/>
          <w:color w:val="000000" w:themeColor="text1"/>
          <w:szCs w:val="24"/>
        </w:rPr>
        <w:t>上进行肿瘤定位，确定肿瘤的具体位置和形状，确定治疗中心，工作人员隔室操作；</w:t>
      </w:r>
    </w:p>
    <w:p w14:paraId="618D974B" w14:textId="77777777" w:rsidR="00A67F21" w:rsidRPr="00B12FE0" w:rsidRDefault="00000000">
      <w:pPr>
        <w:adjustRightInd w:val="0"/>
        <w:snapToGrid w:val="0"/>
        <w:spacing w:line="360" w:lineRule="auto"/>
        <w:ind w:firstLine="480"/>
        <w:rPr>
          <w:bCs/>
          <w:color w:val="000000" w:themeColor="text1"/>
          <w:szCs w:val="24"/>
        </w:rPr>
      </w:pPr>
      <w:r w:rsidRPr="00B12FE0">
        <w:rPr>
          <w:rFonts w:ascii="Cambria Math" w:hAnsi="Cambria Math" w:cs="Cambria Math"/>
          <w:bCs/>
          <w:color w:val="000000" w:themeColor="text1"/>
          <w:szCs w:val="24"/>
        </w:rPr>
        <w:t>③</w:t>
      </w:r>
      <w:r w:rsidRPr="00B12FE0">
        <w:rPr>
          <w:rFonts w:ascii="宋体" w:hAnsi="宋体"/>
          <w:bCs/>
          <w:color w:val="000000" w:themeColor="text1"/>
          <w:szCs w:val="24"/>
        </w:rPr>
        <w:t>确定肿瘤位置和形状后，物理人员根据医师给出的治疗剂量，通过治疗计划系统（</w:t>
      </w:r>
      <w:r w:rsidRPr="00B12FE0">
        <w:rPr>
          <w:bCs/>
          <w:color w:val="000000" w:themeColor="text1"/>
          <w:szCs w:val="24"/>
        </w:rPr>
        <w:t>TPS</w:t>
      </w:r>
      <w:r w:rsidRPr="00B12FE0">
        <w:rPr>
          <w:rFonts w:ascii="宋体" w:hAnsi="宋体"/>
          <w:bCs/>
          <w:color w:val="000000" w:themeColor="text1"/>
          <w:szCs w:val="24"/>
        </w:rPr>
        <w:t>）制定治疗计划，该过程通常在电脑上完成；</w:t>
      </w:r>
    </w:p>
    <w:p w14:paraId="0FF1F130" w14:textId="77777777" w:rsidR="00A67F21" w:rsidRPr="00B12FE0" w:rsidRDefault="00000000">
      <w:pPr>
        <w:adjustRightInd w:val="0"/>
        <w:snapToGrid w:val="0"/>
        <w:spacing w:line="360" w:lineRule="auto"/>
        <w:ind w:firstLine="480"/>
        <w:rPr>
          <w:bCs/>
          <w:color w:val="000000" w:themeColor="text1"/>
          <w:szCs w:val="24"/>
        </w:rPr>
      </w:pPr>
      <w:r w:rsidRPr="00B12FE0">
        <w:rPr>
          <w:rFonts w:ascii="Cambria Math" w:hAnsi="Cambria Math" w:cs="Cambria Math"/>
          <w:bCs/>
          <w:color w:val="000000" w:themeColor="text1"/>
          <w:szCs w:val="24"/>
        </w:rPr>
        <w:t>④</w:t>
      </w:r>
      <w:r w:rsidRPr="00B12FE0">
        <w:rPr>
          <w:rFonts w:ascii="宋体" w:hAnsi="宋体"/>
          <w:bCs/>
          <w:color w:val="000000" w:themeColor="text1"/>
          <w:szCs w:val="24"/>
        </w:rPr>
        <w:t>医护人员和患者进入直线加速器机房，医护人员进行指导摆位，随后医护人员撤出直线加速器机房，确认机房内除了受诊患者无其他人员；</w:t>
      </w:r>
    </w:p>
    <w:p w14:paraId="4FBE8937" w14:textId="77777777" w:rsidR="00A67F21" w:rsidRPr="00B12FE0" w:rsidRDefault="00000000">
      <w:pPr>
        <w:adjustRightInd w:val="0"/>
        <w:snapToGrid w:val="0"/>
        <w:spacing w:line="360" w:lineRule="auto"/>
        <w:ind w:firstLine="480"/>
        <w:rPr>
          <w:bCs/>
          <w:color w:val="000000" w:themeColor="text1"/>
          <w:szCs w:val="24"/>
        </w:rPr>
      </w:pPr>
      <w:r w:rsidRPr="00B12FE0">
        <w:rPr>
          <w:rFonts w:ascii="Cambria Math" w:hAnsi="Cambria Math" w:cs="Cambria Math"/>
          <w:bCs/>
          <w:color w:val="000000" w:themeColor="text1"/>
          <w:szCs w:val="24"/>
        </w:rPr>
        <w:t>⑤</w:t>
      </w:r>
      <w:r w:rsidRPr="00B12FE0">
        <w:rPr>
          <w:rFonts w:ascii="宋体" w:hAnsi="宋体"/>
          <w:bCs/>
          <w:color w:val="000000" w:themeColor="text1"/>
          <w:szCs w:val="24"/>
        </w:rPr>
        <w:t>启动加速器，锥形束计算机断层扫描系统（</w:t>
      </w:r>
      <w:r w:rsidRPr="00B12FE0">
        <w:rPr>
          <w:bCs/>
          <w:color w:val="000000" w:themeColor="text1"/>
          <w:szCs w:val="24"/>
        </w:rPr>
        <w:t>CBCT</w:t>
      </w:r>
      <w:r w:rsidRPr="00B12FE0">
        <w:rPr>
          <w:rFonts w:ascii="宋体" w:hAnsi="宋体"/>
          <w:bCs/>
          <w:color w:val="000000" w:themeColor="text1"/>
          <w:szCs w:val="24"/>
        </w:rPr>
        <w:t>）进行图像引导系统拍摄放疗体位下的照射部位数字影像，与放疗计划系统进行对比，并校正放疗体位，</w:t>
      </w:r>
      <w:proofErr w:type="gramStart"/>
      <w:r w:rsidRPr="00B12FE0">
        <w:rPr>
          <w:rFonts w:ascii="宋体" w:hAnsi="宋体"/>
          <w:bCs/>
          <w:color w:val="000000" w:themeColor="text1"/>
          <w:szCs w:val="24"/>
        </w:rPr>
        <w:t>出束治疗</w:t>
      </w:r>
      <w:proofErr w:type="gramEnd"/>
      <w:r w:rsidRPr="00B12FE0">
        <w:rPr>
          <w:rFonts w:ascii="宋体" w:hAnsi="宋体"/>
          <w:bCs/>
          <w:color w:val="000000" w:themeColor="text1"/>
          <w:szCs w:val="24"/>
        </w:rPr>
        <w:t>；</w:t>
      </w:r>
    </w:p>
    <w:p w14:paraId="5BA2E775" w14:textId="77777777" w:rsidR="00A67F21" w:rsidRPr="00B12FE0" w:rsidRDefault="00000000">
      <w:pPr>
        <w:adjustRightInd w:val="0"/>
        <w:snapToGrid w:val="0"/>
        <w:spacing w:line="360" w:lineRule="auto"/>
        <w:ind w:firstLine="480"/>
        <w:rPr>
          <w:bCs/>
          <w:color w:val="000000" w:themeColor="text1"/>
          <w:szCs w:val="24"/>
        </w:rPr>
      </w:pPr>
      <w:r w:rsidRPr="00B12FE0">
        <w:rPr>
          <w:rFonts w:ascii="Cambria Math" w:hAnsi="Cambria Math" w:cs="Cambria Math"/>
          <w:bCs/>
          <w:color w:val="000000" w:themeColor="text1"/>
          <w:szCs w:val="24"/>
        </w:rPr>
        <w:t>⑥</w:t>
      </w:r>
      <w:r w:rsidRPr="00B12FE0">
        <w:rPr>
          <w:rFonts w:ascii="宋体" w:hAnsi="宋体"/>
          <w:bCs/>
          <w:color w:val="000000" w:themeColor="text1"/>
          <w:szCs w:val="24"/>
        </w:rPr>
        <w:t>治疗结束，医护人员关闭加速器，并进入机房指导协助患者离开。</w:t>
      </w:r>
    </w:p>
    <w:p w14:paraId="1396639A" w14:textId="77777777" w:rsidR="00A67F21" w:rsidRPr="00B12FE0" w:rsidRDefault="00000000">
      <w:pPr>
        <w:adjustRightInd w:val="0"/>
        <w:snapToGrid w:val="0"/>
        <w:spacing w:line="360" w:lineRule="auto"/>
        <w:jc w:val="center"/>
        <w:rPr>
          <w:bCs/>
          <w:color w:val="000000" w:themeColor="text1"/>
          <w:szCs w:val="24"/>
        </w:rPr>
      </w:pPr>
      <w:r w:rsidRPr="00B12FE0">
        <w:rPr>
          <w:noProof/>
          <w:color w:val="000000" w:themeColor="text1"/>
          <w:sz w:val="21"/>
          <w:szCs w:val="21"/>
        </w:rPr>
        <w:lastRenderedPageBreak/>
        <w:drawing>
          <wp:inline distT="0" distB="0" distL="0" distR="0" wp14:anchorId="24B6F2C8" wp14:editId="198CABA4">
            <wp:extent cx="5572125" cy="2047875"/>
            <wp:effectExtent l="0" t="0" r="9525" b="9525"/>
            <wp:docPr id="1135113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315"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72125" cy="2047875"/>
                    </a:xfrm>
                    <a:prstGeom prst="rect">
                      <a:avLst/>
                    </a:prstGeom>
                    <a:noFill/>
                    <a:ln>
                      <a:noFill/>
                    </a:ln>
                  </pic:spPr>
                </pic:pic>
              </a:graphicData>
            </a:graphic>
          </wp:inline>
        </w:drawing>
      </w:r>
      <w:r w:rsidRPr="00B12FE0">
        <w:rPr>
          <w:bCs/>
          <w:color w:val="000000" w:themeColor="text1"/>
          <w:szCs w:val="24"/>
        </w:rPr>
        <w:t xml:space="preserve"> </w:t>
      </w:r>
    </w:p>
    <w:p w14:paraId="0B77B43C" w14:textId="77777777" w:rsidR="00A67F21" w:rsidRPr="00B12FE0" w:rsidRDefault="00000000">
      <w:pPr>
        <w:autoSpaceDE w:val="0"/>
        <w:spacing w:line="360" w:lineRule="auto"/>
        <w:jc w:val="center"/>
        <w:rPr>
          <w:b/>
          <w:bCs/>
          <w:color w:val="000000" w:themeColor="text1"/>
          <w:sz w:val="21"/>
          <w:szCs w:val="21"/>
        </w:rPr>
      </w:pPr>
      <w:r w:rsidRPr="00B12FE0">
        <w:rPr>
          <w:rFonts w:ascii="宋体" w:hAnsi="宋体"/>
          <w:b/>
          <w:bCs/>
          <w:color w:val="000000" w:themeColor="text1"/>
          <w:sz w:val="21"/>
          <w:szCs w:val="21"/>
        </w:rPr>
        <w:t>图</w:t>
      </w:r>
      <w:r w:rsidRPr="00B12FE0">
        <w:rPr>
          <w:b/>
          <w:bCs/>
          <w:color w:val="000000" w:themeColor="text1"/>
          <w:sz w:val="21"/>
          <w:szCs w:val="21"/>
        </w:rPr>
        <w:t>9.</w:t>
      </w:r>
      <w:r w:rsidRPr="00B12FE0">
        <w:rPr>
          <w:rFonts w:hint="eastAsia"/>
          <w:b/>
          <w:bCs/>
          <w:color w:val="000000" w:themeColor="text1"/>
          <w:sz w:val="21"/>
          <w:szCs w:val="21"/>
        </w:rPr>
        <w:t>1</w:t>
      </w:r>
      <w:r w:rsidRPr="00B12FE0">
        <w:rPr>
          <w:b/>
          <w:bCs/>
          <w:color w:val="000000" w:themeColor="text1"/>
          <w:sz w:val="21"/>
          <w:szCs w:val="21"/>
        </w:rPr>
        <w:t xml:space="preserve">.2-5  </w:t>
      </w:r>
      <w:r w:rsidRPr="00B12FE0">
        <w:rPr>
          <w:rFonts w:ascii="宋体" w:hAnsi="宋体"/>
          <w:b/>
          <w:bCs/>
          <w:color w:val="000000" w:themeColor="text1"/>
          <w:sz w:val="21"/>
          <w:szCs w:val="21"/>
        </w:rPr>
        <w:t>加速器放疗流程</w:t>
      </w:r>
      <w:proofErr w:type="gramStart"/>
      <w:r w:rsidRPr="00B12FE0">
        <w:rPr>
          <w:rFonts w:ascii="宋体" w:hAnsi="宋体"/>
          <w:b/>
          <w:bCs/>
          <w:color w:val="000000" w:themeColor="text1"/>
          <w:sz w:val="21"/>
          <w:szCs w:val="21"/>
        </w:rPr>
        <w:t>及产污环节</w:t>
      </w:r>
      <w:proofErr w:type="gramEnd"/>
      <w:r w:rsidRPr="00B12FE0">
        <w:rPr>
          <w:rFonts w:ascii="宋体" w:hAnsi="宋体"/>
          <w:b/>
          <w:bCs/>
          <w:color w:val="000000" w:themeColor="text1"/>
          <w:sz w:val="21"/>
          <w:szCs w:val="21"/>
        </w:rPr>
        <w:t>示意图</w:t>
      </w:r>
    </w:p>
    <w:p w14:paraId="0A4A1880" w14:textId="77777777" w:rsidR="00A67F21" w:rsidRPr="00B12FE0" w:rsidRDefault="00000000">
      <w:pPr>
        <w:autoSpaceDE w:val="0"/>
        <w:adjustRightInd w:val="0"/>
        <w:snapToGrid w:val="0"/>
        <w:spacing w:line="360" w:lineRule="auto"/>
        <w:ind w:firstLine="480"/>
        <w:rPr>
          <w:bCs/>
          <w:color w:val="000000" w:themeColor="text1"/>
          <w:szCs w:val="24"/>
        </w:rPr>
      </w:pPr>
      <w:r w:rsidRPr="00B12FE0">
        <w:rPr>
          <w:rFonts w:ascii="宋体" w:hAnsi="宋体"/>
          <w:bCs/>
          <w:color w:val="000000" w:themeColor="text1"/>
          <w:szCs w:val="24"/>
        </w:rPr>
        <w:t>正常工况时，射线装置治疗污染源项主要为开机状态下产生的</w:t>
      </w:r>
      <w:r w:rsidRPr="00B12FE0">
        <w:rPr>
          <w:bCs/>
          <w:color w:val="000000" w:themeColor="text1"/>
          <w:szCs w:val="24"/>
        </w:rPr>
        <w:t>X</w:t>
      </w:r>
      <w:r w:rsidRPr="00B12FE0">
        <w:rPr>
          <w:rFonts w:ascii="宋体" w:hAnsi="宋体"/>
          <w:bCs/>
          <w:color w:val="000000" w:themeColor="text1"/>
          <w:szCs w:val="24"/>
        </w:rPr>
        <w:t>射线、电子线、中子和感生放射性，同时会产生少量臭氧及氮氧化物。另外，加速器的</w:t>
      </w:r>
      <w:proofErr w:type="gramStart"/>
      <w:r w:rsidRPr="00B12FE0">
        <w:rPr>
          <w:rFonts w:ascii="宋体" w:hAnsi="宋体"/>
          <w:bCs/>
          <w:color w:val="000000" w:themeColor="text1"/>
          <w:szCs w:val="24"/>
        </w:rPr>
        <w:t>金属靶件更换</w:t>
      </w:r>
      <w:proofErr w:type="gramEnd"/>
      <w:r w:rsidRPr="00B12FE0">
        <w:rPr>
          <w:rFonts w:ascii="宋体" w:hAnsi="宋体"/>
          <w:bCs/>
          <w:color w:val="000000" w:themeColor="text1"/>
          <w:szCs w:val="24"/>
        </w:rPr>
        <w:t>时会有</w:t>
      </w:r>
      <w:proofErr w:type="gramStart"/>
      <w:r w:rsidRPr="00B12FE0">
        <w:rPr>
          <w:rFonts w:ascii="宋体" w:hAnsi="宋体"/>
          <w:bCs/>
          <w:color w:val="000000" w:themeColor="text1"/>
          <w:szCs w:val="24"/>
        </w:rPr>
        <w:t>废靶件</w:t>
      </w:r>
      <w:proofErr w:type="gramEnd"/>
      <w:r w:rsidRPr="00B12FE0">
        <w:rPr>
          <w:rFonts w:ascii="宋体" w:hAnsi="宋体"/>
          <w:bCs/>
          <w:color w:val="000000" w:themeColor="text1"/>
          <w:szCs w:val="24"/>
        </w:rPr>
        <w:t>产生。</w:t>
      </w:r>
    </w:p>
    <w:p w14:paraId="579A8A8A" w14:textId="77777777" w:rsidR="00A67F21" w:rsidRPr="00B12FE0" w:rsidRDefault="00000000">
      <w:pPr>
        <w:adjustRightInd w:val="0"/>
        <w:snapToGrid w:val="0"/>
        <w:spacing w:line="360" w:lineRule="auto"/>
        <w:ind w:firstLineChars="200" w:firstLine="482"/>
        <w:rPr>
          <w:b/>
          <w:color w:val="000000" w:themeColor="text1"/>
          <w:sz w:val="21"/>
          <w:szCs w:val="21"/>
        </w:rPr>
      </w:pPr>
      <w:r w:rsidRPr="00B12FE0">
        <w:rPr>
          <w:rFonts w:ascii="宋体" w:hAnsi="宋体"/>
          <w:b/>
          <w:color w:val="000000" w:themeColor="text1"/>
          <w:szCs w:val="24"/>
        </w:rPr>
        <w:t>（</w:t>
      </w:r>
      <w:r w:rsidRPr="00B12FE0">
        <w:rPr>
          <w:b/>
          <w:color w:val="000000" w:themeColor="text1"/>
          <w:szCs w:val="24"/>
        </w:rPr>
        <w:t>5</w:t>
      </w:r>
      <w:r w:rsidRPr="00B12FE0">
        <w:rPr>
          <w:rFonts w:ascii="宋体" w:hAnsi="宋体"/>
          <w:b/>
          <w:color w:val="000000" w:themeColor="text1"/>
          <w:szCs w:val="24"/>
        </w:rPr>
        <w:t>）工作负荷</w:t>
      </w:r>
    </w:p>
    <w:p w14:paraId="5EC1B822" w14:textId="77777777" w:rsidR="00A67F21" w:rsidRPr="00B12FE0" w:rsidRDefault="00000000">
      <w:pPr>
        <w:adjustRightInd w:val="0"/>
        <w:snapToGrid w:val="0"/>
        <w:spacing w:line="360" w:lineRule="auto"/>
        <w:ind w:firstLineChars="200" w:firstLine="480"/>
        <w:rPr>
          <w:rFonts w:ascii="宋体" w:hAnsi="宋体" w:hint="eastAsia"/>
          <w:color w:val="000000" w:themeColor="text1"/>
          <w:kern w:val="0"/>
          <w:szCs w:val="24"/>
        </w:rPr>
      </w:pPr>
      <w:r w:rsidRPr="00B12FE0">
        <w:rPr>
          <w:rFonts w:ascii="宋体" w:hAnsi="宋体"/>
          <w:color w:val="000000" w:themeColor="text1"/>
          <w:kern w:val="0"/>
          <w:szCs w:val="24"/>
        </w:rPr>
        <w:t>本项目放疗科</w:t>
      </w:r>
      <w:r w:rsidRPr="00B12FE0">
        <w:rPr>
          <w:rFonts w:ascii="宋体" w:hAnsi="宋体" w:hint="eastAsia"/>
          <w:color w:val="000000" w:themeColor="text1"/>
          <w:kern w:val="0"/>
          <w:szCs w:val="24"/>
        </w:rPr>
        <w:t>每间</w:t>
      </w:r>
      <w:r w:rsidRPr="00B12FE0">
        <w:rPr>
          <w:rFonts w:ascii="宋体" w:hAnsi="宋体"/>
          <w:color w:val="000000" w:themeColor="text1"/>
          <w:kern w:val="0"/>
          <w:szCs w:val="24"/>
        </w:rPr>
        <w:t>直线加速器机房配备</w:t>
      </w:r>
      <w:r w:rsidRPr="00B12FE0">
        <w:rPr>
          <w:color w:val="000000" w:themeColor="text1"/>
          <w:kern w:val="0"/>
          <w:szCs w:val="24"/>
        </w:rPr>
        <w:t>2</w:t>
      </w:r>
      <w:r w:rsidRPr="00B12FE0">
        <w:rPr>
          <w:rFonts w:ascii="宋体" w:hAnsi="宋体"/>
          <w:color w:val="000000" w:themeColor="text1"/>
          <w:kern w:val="0"/>
          <w:szCs w:val="24"/>
        </w:rPr>
        <w:t>名医生</w:t>
      </w:r>
      <w:r w:rsidRPr="00B12FE0">
        <w:rPr>
          <w:rFonts w:ascii="宋体" w:hAnsi="宋体" w:hint="eastAsia"/>
          <w:color w:val="000000" w:themeColor="text1"/>
          <w:kern w:val="0"/>
          <w:szCs w:val="24"/>
        </w:rPr>
        <w:t>、</w:t>
      </w:r>
      <w:r w:rsidRPr="00B12FE0">
        <w:rPr>
          <w:color w:val="000000" w:themeColor="text1"/>
          <w:kern w:val="0"/>
          <w:szCs w:val="24"/>
        </w:rPr>
        <w:t>2</w:t>
      </w:r>
      <w:r w:rsidRPr="00B12FE0">
        <w:rPr>
          <w:rFonts w:ascii="宋体" w:hAnsi="宋体"/>
          <w:color w:val="000000" w:themeColor="text1"/>
          <w:kern w:val="0"/>
          <w:szCs w:val="24"/>
        </w:rPr>
        <w:t>名技师和</w:t>
      </w:r>
      <w:r w:rsidRPr="00B12FE0">
        <w:rPr>
          <w:rFonts w:hint="eastAsia"/>
          <w:color w:val="000000" w:themeColor="text1"/>
          <w:kern w:val="0"/>
          <w:szCs w:val="24"/>
        </w:rPr>
        <w:t>1</w:t>
      </w:r>
      <w:r w:rsidRPr="00B12FE0">
        <w:rPr>
          <w:rFonts w:ascii="宋体" w:hAnsi="宋体"/>
          <w:color w:val="000000" w:themeColor="text1"/>
          <w:kern w:val="0"/>
          <w:szCs w:val="24"/>
        </w:rPr>
        <w:t>名物理计划师，</w:t>
      </w:r>
      <w:r w:rsidRPr="00B12FE0">
        <w:rPr>
          <w:rFonts w:hint="eastAsia"/>
          <w:color w:val="000000" w:themeColor="text1"/>
          <w:kern w:val="0"/>
          <w:szCs w:val="24"/>
        </w:rPr>
        <w:t>2</w:t>
      </w:r>
      <w:r w:rsidRPr="00B12FE0">
        <w:rPr>
          <w:color w:val="000000" w:themeColor="text1"/>
          <w:kern w:val="0"/>
          <w:szCs w:val="24"/>
        </w:rPr>
        <w:t>间加速器机房共配备</w:t>
      </w:r>
      <w:r w:rsidRPr="00B12FE0">
        <w:rPr>
          <w:rFonts w:hint="eastAsia"/>
          <w:color w:val="000000" w:themeColor="text1"/>
          <w:kern w:val="0"/>
          <w:szCs w:val="24"/>
        </w:rPr>
        <w:t>10</w:t>
      </w:r>
      <w:r w:rsidRPr="00B12FE0">
        <w:rPr>
          <w:color w:val="000000" w:themeColor="text1"/>
          <w:kern w:val="0"/>
          <w:szCs w:val="24"/>
        </w:rPr>
        <w:t>名辐射工作人员。</w:t>
      </w:r>
    </w:p>
    <w:p w14:paraId="48C1CEB0" w14:textId="77777777" w:rsidR="00A67F21" w:rsidRPr="00B12FE0" w:rsidRDefault="00000000">
      <w:pPr>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color w:val="000000" w:themeColor="text1"/>
          <w:szCs w:val="24"/>
        </w:rPr>
        <w:t>本项目拟新建</w:t>
      </w:r>
      <w:r w:rsidRPr="00B12FE0">
        <w:rPr>
          <w:rFonts w:hint="eastAsia"/>
          <w:color w:val="000000" w:themeColor="text1"/>
          <w:szCs w:val="24"/>
        </w:rPr>
        <w:t>2</w:t>
      </w:r>
      <w:r w:rsidRPr="00B12FE0">
        <w:rPr>
          <w:rFonts w:ascii="宋体" w:hAnsi="宋体"/>
          <w:color w:val="000000" w:themeColor="text1"/>
          <w:szCs w:val="24"/>
        </w:rPr>
        <w:t>间直线加速器机房，安装</w:t>
      </w:r>
      <w:r w:rsidRPr="00B12FE0">
        <w:rPr>
          <w:rFonts w:hint="eastAsia"/>
          <w:color w:val="000000" w:themeColor="text1"/>
          <w:szCs w:val="24"/>
        </w:rPr>
        <w:t>2</w:t>
      </w:r>
      <w:r w:rsidRPr="00B12FE0">
        <w:rPr>
          <w:rFonts w:ascii="宋体" w:hAnsi="宋体"/>
          <w:color w:val="000000" w:themeColor="text1"/>
          <w:szCs w:val="24"/>
        </w:rPr>
        <w:t>台电子直线加速器，投入使用后，预计每台加速器每天放射治疗患者最多为</w:t>
      </w:r>
      <w:r w:rsidRPr="00B12FE0">
        <w:rPr>
          <w:color w:val="000000" w:themeColor="text1"/>
          <w:szCs w:val="24"/>
        </w:rPr>
        <w:t>60</w:t>
      </w:r>
      <w:r w:rsidRPr="00B12FE0">
        <w:rPr>
          <w:rFonts w:ascii="宋体" w:hAnsi="宋体"/>
          <w:color w:val="000000" w:themeColor="text1"/>
          <w:szCs w:val="24"/>
        </w:rPr>
        <w:t>人次，平均每名患者治疗</w:t>
      </w:r>
      <w:proofErr w:type="gramStart"/>
      <w:r w:rsidRPr="00B12FE0">
        <w:rPr>
          <w:rFonts w:ascii="宋体" w:hAnsi="宋体" w:hint="eastAsia"/>
          <w:bCs/>
          <w:color w:val="000000" w:themeColor="text1"/>
          <w:szCs w:val="24"/>
        </w:rPr>
        <w:t>出束</w:t>
      </w:r>
      <w:r w:rsidRPr="00B12FE0">
        <w:rPr>
          <w:rFonts w:ascii="宋体" w:hAnsi="宋体"/>
          <w:color w:val="000000" w:themeColor="text1"/>
          <w:szCs w:val="24"/>
        </w:rPr>
        <w:t>最大</w:t>
      </w:r>
      <w:proofErr w:type="gramEnd"/>
      <w:r w:rsidRPr="00B12FE0">
        <w:rPr>
          <w:rFonts w:ascii="宋体" w:hAnsi="宋体"/>
          <w:color w:val="000000" w:themeColor="text1"/>
          <w:szCs w:val="24"/>
        </w:rPr>
        <w:t>时间为</w:t>
      </w:r>
      <w:r w:rsidRPr="00B12FE0">
        <w:rPr>
          <w:color w:val="000000" w:themeColor="text1"/>
          <w:szCs w:val="24"/>
        </w:rPr>
        <w:t>1.5min</w:t>
      </w:r>
      <w:r w:rsidRPr="00B12FE0">
        <w:rPr>
          <w:rFonts w:ascii="宋体" w:hAnsi="宋体"/>
          <w:color w:val="000000" w:themeColor="text1"/>
          <w:szCs w:val="24"/>
        </w:rPr>
        <w:t>，每周工作</w:t>
      </w:r>
      <w:r w:rsidRPr="00B12FE0">
        <w:rPr>
          <w:color w:val="000000" w:themeColor="text1"/>
          <w:szCs w:val="24"/>
        </w:rPr>
        <w:t>5</w:t>
      </w:r>
      <w:r w:rsidRPr="00B12FE0">
        <w:rPr>
          <w:rFonts w:ascii="宋体" w:hAnsi="宋体"/>
          <w:color w:val="000000" w:themeColor="text1"/>
          <w:szCs w:val="24"/>
        </w:rPr>
        <w:t>天，则直线加速器日</w:t>
      </w:r>
      <w:r w:rsidRPr="00B12FE0">
        <w:rPr>
          <w:rFonts w:ascii="宋体" w:hAnsi="宋体" w:hint="eastAsia"/>
          <w:color w:val="000000" w:themeColor="text1"/>
          <w:szCs w:val="24"/>
        </w:rPr>
        <w:t>出束</w:t>
      </w:r>
      <w:r w:rsidRPr="00B12FE0">
        <w:rPr>
          <w:rFonts w:ascii="宋体" w:hAnsi="宋体"/>
          <w:color w:val="000000" w:themeColor="text1"/>
          <w:szCs w:val="24"/>
        </w:rPr>
        <w:t>时间为</w:t>
      </w:r>
      <w:r w:rsidRPr="00B12FE0">
        <w:rPr>
          <w:color w:val="000000" w:themeColor="text1"/>
          <w:szCs w:val="24"/>
        </w:rPr>
        <w:t>1.5h</w:t>
      </w:r>
      <w:r w:rsidRPr="00B12FE0">
        <w:rPr>
          <w:rFonts w:ascii="宋体" w:hAnsi="宋体"/>
          <w:color w:val="000000" w:themeColor="text1"/>
          <w:szCs w:val="24"/>
        </w:rPr>
        <w:t>，</w:t>
      </w:r>
      <w:proofErr w:type="gramStart"/>
      <w:r w:rsidRPr="00B12FE0">
        <w:rPr>
          <w:rFonts w:ascii="宋体" w:hAnsi="宋体"/>
          <w:color w:val="000000" w:themeColor="text1"/>
          <w:szCs w:val="24"/>
        </w:rPr>
        <w:t>周</w:t>
      </w:r>
      <w:r w:rsidRPr="00B12FE0">
        <w:rPr>
          <w:rFonts w:ascii="宋体" w:hAnsi="宋体" w:hint="eastAsia"/>
          <w:bCs/>
          <w:color w:val="000000" w:themeColor="text1"/>
          <w:szCs w:val="24"/>
        </w:rPr>
        <w:t>出束</w:t>
      </w:r>
      <w:r w:rsidRPr="00B12FE0">
        <w:rPr>
          <w:rFonts w:ascii="宋体" w:hAnsi="宋体"/>
          <w:color w:val="000000" w:themeColor="text1"/>
          <w:szCs w:val="24"/>
        </w:rPr>
        <w:t>时间</w:t>
      </w:r>
      <w:proofErr w:type="gramEnd"/>
      <w:r w:rsidRPr="00B12FE0">
        <w:rPr>
          <w:rFonts w:ascii="宋体" w:hAnsi="宋体"/>
          <w:color w:val="000000" w:themeColor="text1"/>
          <w:szCs w:val="24"/>
        </w:rPr>
        <w:t>为</w:t>
      </w:r>
      <w:r w:rsidRPr="00B12FE0">
        <w:rPr>
          <w:color w:val="000000" w:themeColor="text1"/>
          <w:szCs w:val="24"/>
        </w:rPr>
        <w:t>7.5h</w:t>
      </w:r>
      <w:r w:rsidRPr="00B12FE0">
        <w:rPr>
          <w:rFonts w:ascii="宋体" w:hAnsi="宋体"/>
          <w:color w:val="000000" w:themeColor="text1"/>
          <w:szCs w:val="24"/>
        </w:rPr>
        <w:t>，</w:t>
      </w:r>
      <w:proofErr w:type="gramStart"/>
      <w:r w:rsidRPr="00B12FE0">
        <w:rPr>
          <w:rFonts w:ascii="宋体" w:hAnsi="宋体"/>
          <w:color w:val="000000" w:themeColor="text1"/>
          <w:szCs w:val="24"/>
        </w:rPr>
        <w:t>年</w:t>
      </w:r>
      <w:r w:rsidRPr="00B12FE0">
        <w:rPr>
          <w:rFonts w:ascii="宋体" w:hAnsi="宋体" w:hint="eastAsia"/>
          <w:bCs/>
          <w:color w:val="000000" w:themeColor="text1"/>
          <w:szCs w:val="24"/>
        </w:rPr>
        <w:t>出束</w:t>
      </w:r>
      <w:r w:rsidRPr="00B12FE0">
        <w:rPr>
          <w:rFonts w:ascii="宋体" w:hAnsi="宋体"/>
          <w:color w:val="000000" w:themeColor="text1"/>
          <w:szCs w:val="24"/>
        </w:rPr>
        <w:t>时间</w:t>
      </w:r>
      <w:proofErr w:type="gramEnd"/>
      <w:r w:rsidRPr="00B12FE0">
        <w:rPr>
          <w:rFonts w:ascii="宋体" w:hAnsi="宋体"/>
          <w:color w:val="000000" w:themeColor="text1"/>
          <w:szCs w:val="24"/>
        </w:rPr>
        <w:t>为</w:t>
      </w:r>
      <w:r w:rsidRPr="00B12FE0">
        <w:rPr>
          <w:color w:val="000000" w:themeColor="text1"/>
          <w:szCs w:val="24"/>
        </w:rPr>
        <w:t>375h</w:t>
      </w:r>
      <w:r w:rsidRPr="00B12FE0">
        <w:rPr>
          <w:rFonts w:ascii="宋体" w:hAnsi="宋体"/>
          <w:color w:val="000000" w:themeColor="text1"/>
          <w:szCs w:val="24"/>
        </w:rPr>
        <w:t>。</w:t>
      </w:r>
    </w:p>
    <w:p w14:paraId="4E2303B6" w14:textId="77777777" w:rsidR="00A67F21" w:rsidRPr="00B12FE0" w:rsidRDefault="00000000">
      <w:pPr>
        <w:adjustRightInd w:val="0"/>
        <w:snapToGrid w:val="0"/>
        <w:spacing w:line="360" w:lineRule="auto"/>
        <w:ind w:firstLineChars="200" w:firstLine="482"/>
        <w:rPr>
          <w:b/>
          <w:bCs/>
          <w:color w:val="000000" w:themeColor="text1"/>
          <w:szCs w:val="24"/>
        </w:rPr>
      </w:pPr>
      <w:r w:rsidRPr="00B12FE0">
        <w:rPr>
          <w:rFonts w:ascii="宋体" w:hAnsi="宋体"/>
          <w:b/>
          <w:bCs/>
          <w:color w:val="000000" w:themeColor="text1"/>
          <w:szCs w:val="24"/>
        </w:rPr>
        <w:t>（</w:t>
      </w:r>
      <w:r w:rsidRPr="00B12FE0">
        <w:rPr>
          <w:b/>
          <w:bCs/>
          <w:color w:val="000000" w:themeColor="text1"/>
          <w:szCs w:val="24"/>
        </w:rPr>
        <w:t>6</w:t>
      </w:r>
      <w:r w:rsidRPr="00B12FE0">
        <w:rPr>
          <w:rFonts w:ascii="宋体" w:hAnsi="宋体"/>
          <w:b/>
          <w:bCs/>
          <w:color w:val="000000" w:themeColor="text1"/>
          <w:szCs w:val="24"/>
        </w:rPr>
        <w:t>）人流路径规划（见附图</w:t>
      </w:r>
      <w:r w:rsidRPr="00B12FE0">
        <w:rPr>
          <w:rFonts w:hint="eastAsia"/>
          <w:b/>
          <w:bCs/>
          <w:color w:val="000000" w:themeColor="text1"/>
          <w:szCs w:val="24"/>
        </w:rPr>
        <w:t>13</w:t>
      </w:r>
      <w:r w:rsidRPr="00B12FE0">
        <w:rPr>
          <w:rFonts w:ascii="宋体" w:hAnsi="宋体"/>
          <w:b/>
          <w:bCs/>
          <w:color w:val="000000" w:themeColor="text1"/>
          <w:szCs w:val="24"/>
        </w:rPr>
        <w:t>）</w:t>
      </w:r>
    </w:p>
    <w:p w14:paraId="30524BCA"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Cambria Math" w:hAnsi="Cambria Math" w:cs="Cambria Math"/>
          <w:color w:val="000000" w:themeColor="text1"/>
          <w:szCs w:val="24"/>
        </w:rPr>
        <w:t>①</w:t>
      </w:r>
      <w:r w:rsidRPr="00B12FE0">
        <w:rPr>
          <w:rFonts w:ascii="宋体" w:hAnsi="宋体"/>
          <w:color w:val="000000" w:themeColor="text1"/>
          <w:szCs w:val="24"/>
        </w:rPr>
        <w:t>患者路径</w:t>
      </w:r>
    </w:p>
    <w:p w14:paraId="603242B9"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患者在放疗科南侧候诊区进行候诊，根据叫号后经</w:t>
      </w:r>
      <w:proofErr w:type="gramStart"/>
      <w:r w:rsidRPr="00B12FE0">
        <w:rPr>
          <w:rFonts w:ascii="宋体" w:hAnsi="宋体" w:hint="eastAsia"/>
          <w:color w:val="000000" w:themeColor="text1"/>
          <w:szCs w:val="24"/>
        </w:rPr>
        <w:t>准备室</w:t>
      </w:r>
      <w:proofErr w:type="gramEnd"/>
      <w:r w:rsidRPr="00B12FE0">
        <w:rPr>
          <w:rFonts w:ascii="宋体" w:hAnsi="宋体"/>
          <w:color w:val="000000" w:themeColor="text1"/>
          <w:szCs w:val="24"/>
        </w:rPr>
        <w:t>进入加速器机房进行治疗，治疗结束后原路离开。</w:t>
      </w:r>
    </w:p>
    <w:p w14:paraId="033691D8"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Cambria Math" w:hAnsi="Cambria Math" w:cs="Cambria Math"/>
          <w:color w:val="000000" w:themeColor="text1"/>
          <w:szCs w:val="24"/>
        </w:rPr>
        <w:t>②</w:t>
      </w:r>
      <w:r w:rsidRPr="00B12FE0">
        <w:rPr>
          <w:rFonts w:ascii="宋体" w:hAnsi="宋体"/>
          <w:color w:val="000000" w:themeColor="text1"/>
          <w:szCs w:val="24"/>
        </w:rPr>
        <w:t>医护人员路径</w:t>
      </w:r>
    </w:p>
    <w:p w14:paraId="5F85CEC1"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医护人员从放疗中心</w:t>
      </w:r>
      <w:r w:rsidRPr="00B12FE0">
        <w:rPr>
          <w:rFonts w:ascii="宋体" w:hAnsi="宋体" w:hint="eastAsia"/>
          <w:color w:val="000000" w:themeColor="text1"/>
          <w:szCs w:val="24"/>
        </w:rPr>
        <w:t>南</w:t>
      </w:r>
      <w:r w:rsidRPr="00B12FE0">
        <w:rPr>
          <w:rFonts w:ascii="宋体" w:hAnsi="宋体"/>
          <w:color w:val="000000" w:themeColor="text1"/>
          <w:szCs w:val="24"/>
        </w:rPr>
        <w:t>侧进入加速器机房的控制室，通过加速器机房南侧防护门进入治疗室对患者进行摆位，</w:t>
      </w:r>
      <w:r w:rsidRPr="00B12FE0">
        <w:rPr>
          <w:rFonts w:ascii="宋体" w:hAnsi="宋体"/>
          <w:bCs/>
          <w:color w:val="000000" w:themeColor="text1"/>
          <w:szCs w:val="24"/>
        </w:rPr>
        <w:t>完成工作后原路返回控制室</w:t>
      </w:r>
      <w:r w:rsidRPr="00B12FE0">
        <w:rPr>
          <w:rFonts w:ascii="宋体" w:hAnsi="宋体"/>
          <w:color w:val="000000" w:themeColor="text1"/>
          <w:szCs w:val="24"/>
        </w:rPr>
        <w:t>。</w:t>
      </w:r>
    </w:p>
    <w:p w14:paraId="2B59A04D" w14:textId="77777777" w:rsidR="00A67F21" w:rsidRPr="00B12FE0" w:rsidRDefault="00000000">
      <w:pPr>
        <w:snapToGrid w:val="0"/>
        <w:spacing w:line="360" w:lineRule="auto"/>
        <w:outlineLvl w:val="3"/>
        <w:rPr>
          <w:b/>
          <w:color w:val="000000" w:themeColor="text1"/>
        </w:rPr>
      </w:pPr>
      <w:r w:rsidRPr="00B12FE0">
        <w:rPr>
          <w:rFonts w:hint="eastAsia"/>
          <w:b/>
          <w:color w:val="000000" w:themeColor="text1"/>
        </w:rPr>
        <w:t xml:space="preserve">9.1.2.2 </w:t>
      </w:r>
      <w:r w:rsidRPr="00B12FE0">
        <w:rPr>
          <w:rFonts w:hint="eastAsia"/>
          <w:b/>
          <w:color w:val="000000" w:themeColor="text1"/>
        </w:rPr>
        <w:t>后装机</w:t>
      </w:r>
    </w:p>
    <w:p w14:paraId="286780D1" w14:textId="77777777" w:rsidR="00A67F21" w:rsidRPr="00B12FE0" w:rsidRDefault="00000000">
      <w:pPr>
        <w:adjustRightInd w:val="0"/>
        <w:snapToGrid w:val="0"/>
        <w:spacing w:line="360" w:lineRule="auto"/>
        <w:ind w:firstLineChars="200" w:firstLine="482"/>
        <w:rPr>
          <w:b/>
          <w:bCs/>
          <w:color w:val="000000" w:themeColor="text1"/>
        </w:rPr>
      </w:pPr>
      <w:r w:rsidRPr="00B12FE0">
        <w:rPr>
          <w:b/>
          <w:bCs/>
          <w:color w:val="000000" w:themeColor="text1"/>
        </w:rPr>
        <w:t>（</w:t>
      </w:r>
      <w:r w:rsidRPr="00B12FE0">
        <w:rPr>
          <w:b/>
          <w:bCs/>
          <w:color w:val="000000" w:themeColor="text1"/>
        </w:rPr>
        <w:t>1</w:t>
      </w:r>
      <w:r w:rsidRPr="00B12FE0">
        <w:rPr>
          <w:b/>
          <w:bCs/>
          <w:color w:val="000000" w:themeColor="text1"/>
        </w:rPr>
        <w:t>）后装机基本情况</w:t>
      </w:r>
    </w:p>
    <w:p w14:paraId="25C59969"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本项目后装机采用</w:t>
      </w:r>
      <w:r w:rsidRPr="00B12FE0">
        <w:rPr>
          <w:color w:val="000000" w:themeColor="text1"/>
          <w:vertAlign w:val="superscript"/>
        </w:rPr>
        <w:t>192</w:t>
      </w:r>
      <w:r w:rsidRPr="00B12FE0">
        <w:rPr>
          <w:color w:val="000000" w:themeColor="text1"/>
        </w:rPr>
        <w:t>Ir</w:t>
      </w:r>
      <w:r w:rsidRPr="00B12FE0">
        <w:rPr>
          <w:color w:val="000000" w:themeColor="text1"/>
        </w:rPr>
        <w:t>核素为放射源，后装机配备</w:t>
      </w:r>
      <w:r w:rsidRPr="00B12FE0">
        <w:rPr>
          <w:rFonts w:hint="eastAsia"/>
          <w:color w:val="000000" w:themeColor="text1"/>
        </w:rPr>
        <w:t>4</w:t>
      </w:r>
      <w:r w:rsidRPr="00B12FE0">
        <w:rPr>
          <w:color w:val="000000" w:themeColor="text1"/>
        </w:rPr>
        <w:t>名辐射工作人员，</w:t>
      </w:r>
      <w:r w:rsidRPr="00B12FE0">
        <w:rPr>
          <w:color w:val="000000" w:themeColor="text1"/>
          <w:szCs w:val="28"/>
        </w:rPr>
        <w:t>包括医师</w:t>
      </w:r>
      <w:r w:rsidRPr="00B12FE0">
        <w:rPr>
          <w:color w:val="000000" w:themeColor="text1"/>
          <w:szCs w:val="28"/>
        </w:rPr>
        <w:t>1</w:t>
      </w:r>
      <w:r w:rsidRPr="00B12FE0">
        <w:rPr>
          <w:color w:val="000000" w:themeColor="text1"/>
          <w:szCs w:val="28"/>
        </w:rPr>
        <w:t>人，</w:t>
      </w:r>
      <w:r w:rsidRPr="00B12FE0">
        <w:rPr>
          <w:rFonts w:hint="eastAsia"/>
          <w:color w:val="000000" w:themeColor="text1"/>
          <w:szCs w:val="28"/>
        </w:rPr>
        <w:t>物理师</w:t>
      </w:r>
      <w:r w:rsidRPr="00B12FE0">
        <w:rPr>
          <w:rFonts w:hint="eastAsia"/>
          <w:color w:val="000000" w:themeColor="text1"/>
          <w:szCs w:val="28"/>
        </w:rPr>
        <w:t>1</w:t>
      </w:r>
      <w:r w:rsidRPr="00B12FE0">
        <w:rPr>
          <w:rFonts w:hint="eastAsia"/>
          <w:color w:val="000000" w:themeColor="text1"/>
          <w:szCs w:val="28"/>
        </w:rPr>
        <w:t>人，</w:t>
      </w:r>
      <w:r w:rsidRPr="00B12FE0">
        <w:rPr>
          <w:color w:val="000000" w:themeColor="text1"/>
          <w:szCs w:val="28"/>
        </w:rPr>
        <w:t>技师</w:t>
      </w:r>
      <w:r w:rsidRPr="00B12FE0">
        <w:rPr>
          <w:color w:val="000000" w:themeColor="text1"/>
          <w:szCs w:val="28"/>
        </w:rPr>
        <w:t>2</w:t>
      </w:r>
      <w:r w:rsidRPr="00B12FE0">
        <w:rPr>
          <w:color w:val="000000" w:themeColor="text1"/>
          <w:szCs w:val="28"/>
        </w:rPr>
        <w:t>人，</w:t>
      </w:r>
      <w:r w:rsidRPr="00B12FE0">
        <w:rPr>
          <w:color w:val="000000" w:themeColor="text1"/>
        </w:rPr>
        <w:t>均为新聘辐射工作人员，每天工作</w:t>
      </w:r>
      <w:r w:rsidRPr="00B12FE0">
        <w:rPr>
          <w:color w:val="000000" w:themeColor="text1"/>
        </w:rPr>
        <w:t>8</w:t>
      </w:r>
      <w:r w:rsidRPr="00B12FE0">
        <w:rPr>
          <w:color w:val="000000" w:themeColor="text1"/>
        </w:rPr>
        <w:t>小时，每年工作</w:t>
      </w:r>
      <w:r w:rsidRPr="00B12FE0">
        <w:rPr>
          <w:color w:val="000000" w:themeColor="text1"/>
        </w:rPr>
        <w:t>250</w:t>
      </w:r>
      <w:r w:rsidRPr="00B12FE0">
        <w:rPr>
          <w:color w:val="000000" w:themeColor="text1"/>
        </w:rPr>
        <w:t>天。后装机设计治疗</w:t>
      </w:r>
      <w:r w:rsidRPr="00B12FE0">
        <w:rPr>
          <w:color w:val="000000" w:themeColor="text1"/>
        </w:rPr>
        <w:t>20</w:t>
      </w:r>
      <w:r w:rsidRPr="00B12FE0">
        <w:rPr>
          <w:color w:val="000000" w:themeColor="text1"/>
        </w:rPr>
        <w:t>人次</w:t>
      </w:r>
      <w:r w:rsidRPr="00B12FE0">
        <w:rPr>
          <w:color w:val="000000" w:themeColor="text1"/>
        </w:rPr>
        <w:t>/d</w:t>
      </w:r>
      <w:r w:rsidRPr="00B12FE0">
        <w:rPr>
          <w:color w:val="000000" w:themeColor="text1"/>
        </w:rPr>
        <w:t>，平均每名患者治疗时间为</w:t>
      </w:r>
      <w:r w:rsidRPr="00B12FE0">
        <w:rPr>
          <w:color w:val="000000" w:themeColor="text1"/>
        </w:rPr>
        <w:t>6min/</w:t>
      </w:r>
      <w:r w:rsidRPr="00B12FE0">
        <w:rPr>
          <w:color w:val="000000" w:themeColor="text1"/>
        </w:rPr>
        <w:t>人次，年工作</w:t>
      </w:r>
      <w:r w:rsidRPr="00B12FE0">
        <w:rPr>
          <w:color w:val="000000" w:themeColor="text1"/>
        </w:rPr>
        <w:t>250d</w:t>
      </w:r>
      <w:r w:rsidRPr="00B12FE0">
        <w:rPr>
          <w:color w:val="000000" w:themeColor="text1"/>
        </w:rPr>
        <w:t>，</w:t>
      </w:r>
      <w:r w:rsidRPr="00B12FE0">
        <w:rPr>
          <w:color w:val="000000" w:themeColor="text1"/>
        </w:rPr>
        <w:lastRenderedPageBreak/>
        <w:t>则年工作时间为</w:t>
      </w:r>
      <w:r w:rsidRPr="00B12FE0">
        <w:rPr>
          <w:color w:val="000000" w:themeColor="text1"/>
        </w:rPr>
        <w:t>375h</w:t>
      </w:r>
      <w:r w:rsidRPr="00B12FE0">
        <w:rPr>
          <w:color w:val="000000" w:themeColor="text1"/>
        </w:rPr>
        <w:t>。</w:t>
      </w:r>
    </w:p>
    <w:p w14:paraId="289B0F90" w14:textId="77777777" w:rsidR="00A67F21" w:rsidRPr="00B12FE0" w:rsidRDefault="00000000">
      <w:pPr>
        <w:adjustRightInd w:val="0"/>
        <w:snapToGrid w:val="0"/>
        <w:spacing w:line="360" w:lineRule="auto"/>
        <w:jc w:val="center"/>
        <w:rPr>
          <w:b/>
          <w:color w:val="000000" w:themeColor="text1"/>
          <w:szCs w:val="21"/>
        </w:rPr>
      </w:pPr>
      <w:r w:rsidRPr="00B12FE0">
        <w:rPr>
          <w:b/>
          <w:color w:val="000000" w:themeColor="text1"/>
          <w:sz w:val="21"/>
          <w:szCs w:val="21"/>
        </w:rPr>
        <w:t>表</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.2-</w:t>
      </w:r>
      <w:r w:rsidRPr="00B12FE0">
        <w:rPr>
          <w:rFonts w:hint="eastAsia"/>
          <w:b/>
          <w:color w:val="000000" w:themeColor="text1"/>
          <w:sz w:val="21"/>
          <w:szCs w:val="21"/>
        </w:rPr>
        <w:t>2</w:t>
      </w:r>
      <w:r w:rsidRPr="00B12FE0">
        <w:rPr>
          <w:b/>
          <w:color w:val="000000" w:themeColor="text1"/>
          <w:sz w:val="21"/>
          <w:szCs w:val="21"/>
        </w:rPr>
        <w:t xml:space="preserve"> </w:t>
      </w:r>
      <w:r w:rsidRPr="00B12FE0">
        <w:rPr>
          <w:b/>
          <w:color w:val="000000" w:themeColor="text1"/>
          <w:sz w:val="21"/>
          <w:szCs w:val="21"/>
        </w:rPr>
        <w:t>放射源</w:t>
      </w:r>
      <w:r w:rsidRPr="00B12FE0">
        <w:rPr>
          <w:b/>
          <w:color w:val="000000" w:themeColor="text1"/>
          <w:sz w:val="21"/>
          <w:szCs w:val="21"/>
          <w:vertAlign w:val="superscript"/>
        </w:rPr>
        <w:t>192</w:t>
      </w:r>
      <w:r w:rsidRPr="00B12FE0">
        <w:rPr>
          <w:b/>
          <w:color w:val="000000" w:themeColor="text1"/>
          <w:sz w:val="21"/>
          <w:szCs w:val="21"/>
        </w:rPr>
        <w:t>Ir</w:t>
      </w:r>
      <w:r w:rsidRPr="00B12FE0">
        <w:rPr>
          <w:b/>
          <w:color w:val="000000" w:themeColor="text1"/>
          <w:sz w:val="21"/>
          <w:szCs w:val="21"/>
        </w:rPr>
        <w:t>的性能参数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765"/>
        <w:gridCol w:w="705"/>
        <w:gridCol w:w="947"/>
        <w:gridCol w:w="563"/>
        <w:gridCol w:w="1877"/>
        <w:gridCol w:w="1133"/>
        <w:gridCol w:w="2206"/>
      </w:tblGrid>
      <w:tr w:rsidR="00A67F21" w:rsidRPr="00B12FE0" w14:paraId="6C4BDFF2" w14:textId="77777777">
        <w:trPr>
          <w:trHeight w:val="331"/>
          <w:jc w:val="center"/>
        </w:trPr>
        <w:tc>
          <w:tcPr>
            <w:tcW w:w="455" w:type="pct"/>
            <w:tcBorders>
              <w:top w:val="single" w:sz="4" w:space="0" w:color="auto"/>
              <w:left w:val="single" w:sz="4" w:space="0" w:color="auto"/>
              <w:bottom w:val="single" w:sz="4" w:space="0" w:color="auto"/>
              <w:right w:val="single" w:sz="4" w:space="0" w:color="auto"/>
            </w:tcBorders>
            <w:vAlign w:val="center"/>
          </w:tcPr>
          <w:p w14:paraId="5FB0C68D" w14:textId="77777777" w:rsidR="00A67F21" w:rsidRPr="00B12FE0" w:rsidRDefault="00000000">
            <w:pPr>
              <w:jc w:val="center"/>
              <w:rPr>
                <w:color w:val="000000" w:themeColor="text1"/>
                <w:sz w:val="21"/>
                <w:szCs w:val="21"/>
              </w:rPr>
            </w:pPr>
            <w:r w:rsidRPr="00B12FE0">
              <w:rPr>
                <w:color w:val="000000" w:themeColor="text1"/>
                <w:sz w:val="21"/>
                <w:szCs w:val="21"/>
              </w:rPr>
              <w:t>放射源</w:t>
            </w:r>
          </w:p>
        </w:tc>
        <w:tc>
          <w:tcPr>
            <w:tcW w:w="424" w:type="pct"/>
            <w:tcBorders>
              <w:top w:val="single" w:sz="4" w:space="0" w:color="auto"/>
              <w:left w:val="single" w:sz="4" w:space="0" w:color="auto"/>
              <w:bottom w:val="single" w:sz="4" w:space="0" w:color="auto"/>
              <w:right w:val="single" w:sz="4" w:space="0" w:color="auto"/>
            </w:tcBorders>
            <w:vAlign w:val="center"/>
          </w:tcPr>
          <w:p w14:paraId="1BBDF4C1" w14:textId="77777777" w:rsidR="00A67F21" w:rsidRPr="00B12FE0" w:rsidRDefault="00000000">
            <w:pPr>
              <w:jc w:val="center"/>
              <w:rPr>
                <w:color w:val="000000" w:themeColor="text1"/>
                <w:sz w:val="21"/>
                <w:szCs w:val="21"/>
              </w:rPr>
            </w:pPr>
            <w:r w:rsidRPr="00B12FE0">
              <w:rPr>
                <w:color w:val="000000" w:themeColor="text1"/>
                <w:sz w:val="21"/>
                <w:szCs w:val="21"/>
              </w:rPr>
              <w:t>类别</w:t>
            </w:r>
          </w:p>
        </w:tc>
        <w:tc>
          <w:tcPr>
            <w:tcW w:w="391" w:type="pct"/>
            <w:tcBorders>
              <w:top w:val="single" w:sz="4" w:space="0" w:color="auto"/>
              <w:left w:val="single" w:sz="4" w:space="0" w:color="auto"/>
              <w:bottom w:val="single" w:sz="4" w:space="0" w:color="auto"/>
              <w:right w:val="single" w:sz="4" w:space="0" w:color="auto"/>
            </w:tcBorders>
            <w:vAlign w:val="center"/>
          </w:tcPr>
          <w:p w14:paraId="6163484F" w14:textId="77777777" w:rsidR="00A67F21" w:rsidRPr="00B12FE0" w:rsidRDefault="00000000">
            <w:pPr>
              <w:jc w:val="center"/>
              <w:rPr>
                <w:color w:val="000000" w:themeColor="text1"/>
                <w:sz w:val="21"/>
                <w:szCs w:val="21"/>
              </w:rPr>
            </w:pPr>
            <w:r w:rsidRPr="00B12FE0">
              <w:rPr>
                <w:color w:val="000000" w:themeColor="text1"/>
                <w:sz w:val="21"/>
                <w:szCs w:val="21"/>
              </w:rPr>
              <w:t>数量</w:t>
            </w:r>
          </w:p>
        </w:tc>
        <w:tc>
          <w:tcPr>
            <w:tcW w:w="525" w:type="pct"/>
            <w:tcBorders>
              <w:top w:val="single" w:sz="4" w:space="0" w:color="auto"/>
              <w:left w:val="single" w:sz="4" w:space="0" w:color="auto"/>
              <w:bottom w:val="single" w:sz="4" w:space="0" w:color="auto"/>
              <w:right w:val="single" w:sz="4" w:space="0" w:color="auto"/>
            </w:tcBorders>
            <w:vAlign w:val="center"/>
          </w:tcPr>
          <w:p w14:paraId="38D9E161" w14:textId="77777777" w:rsidR="00A67F21" w:rsidRPr="00B12FE0" w:rsidRDefault="00000000">
            <w:pPr>
              <w:jc w:val="center"/>
              <w:rPr>
                <w:color w:val="000000" w:themeColor="text1"/>
                <w:sz w:val="21"/>
                <w:szCs w:val="21"/>
              </w:rPr>
            </w:pPr>
            <w:r w:rsidRPr="00B12FE0">
              <w:rPr>
                <w:color w:val="000000" w:themeColor="text1"/>
                <w:sz w:val="21"/>
                <w:szCs w:val="21"/>
              </w:rPr>
              <w:t>半衰期</w:t>
            </w:r>
          </w:p>
        </w:tc>
        <w:tc>
          <w:tcPr>
            <w:tcW w:w="312" w:type="pct"/>
            <w:tcBorders>
              <w:top w:val="single" w:sz="4" w:space="0" w:color="auto"/>
              <w:left w:val="single" w:sz="4" w:space="0" w:color="auto"/>
              <w:bottom w:val="single" w:sz="4" w:space="0" w:color="auto"/>
              <w:right w:val="single" w:sz="4" w:space="0" w:color="auto"/>
            </w:tcBorders>
            <w:vAlign w:val="center"/>
          </w:tcPr>
          <w:p w14:paraId="19A8288C" w14:textId="77777777" w:rsidR="00A67F21" w:rsidRPr="00B12FE0" w:rsidRDefault="00000000">
            <w:pPr>
              <w:jc w:val="center"/>
              <w:rPr>
                <w:color w:val="000000" w:themeColor="text1"/>
                <w:sz w:val="21"/>
                <w:szCs w:val="21"/>
              </w:rPr>
            </w:pPr>
            <w:r w:rsidRPr="00B12FE0">
              <w:rPr>
                <w:color w:val="000000" w:themeColor="text1"/>
                <w:sz w:val="21"/>
                <w:szCs w:val="21"/>
              </w:rPr>
              <w:t>状态</w:t>
            </w:r>
          </w:p>
        </w:tc>
        <w:tc>
          <w:tcPr>
            <w:tcW w:w="1041" w:type="pct"/>
            <w:tcBorders>
              <w:top w:val="single" w:sz="4" w:space="0" w:color="auto"/>
              <w:left w:val="single" w:sz="4" w:space="0" w:color="auto"/>
              <w:bottom w:val="single" w:sz="4" w:space="0" w:color="auto"/>
              <w:right w:val="single" w:sz="4" w:space="0" w:color="auto"/>
            </w:tcBorders>
            <w:vAlign w:val="center"/>
          </w:tcPr>
          <w:p w14:paraId="63284252" w14:textId="77777777" w:rsidR="00A67F21" w:rsidRPr="00B12FE0" w:rsidRDefault="00000000">
            <w:pPr>
              <w:jc w:val="center"/>
              <w:rPr>
                <w:color w:val="000000" w:themeColor="text1"/>
                <w:sz w:val="21"/>
                <w:szCs w:val="21"/>
              </w:rPr>
            </w:pPr>
            <w:r w:rsidRPr="00B12FE0">
              <w:rPr>
                <w:color w:val="000000" w:themeColor="text1"/>
                <w:sz w:val="21"/>
                <w:szCs w:val="21"/>
              </w:rPr>
              <w:t>衰变类型及分支比（</w:t>
            </w:r>
            <w:r w:rsidRPr="00B12FE0">
              <w:rPr>
                <w:color w:val="000000" w:themeColor="text1"/>
                <w:sz w:val="21"/>
                <w:szCs w:val="21"/>
              </w:rPr>
              <w:t>%</w:t>
            </w:r>
            <w:r w:rsidRPr="00B12FE0">
              <w:rPr>
                <w:color w:val="000000" w:themeColor="text1"/>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1A853E39" w14:textId="77777777" w:rsidR="00A67F21" w:rsidRPr="00B12FE0" w:rsidRDefault="00000000">
            <w:pPr>
              <w:jc w:val="center"/>
              <w:rPr>
                <w:color w:val="000000" w:themeColor="text1"/>
                <w:sz w:val="21"/>
                <w:szCs w:val="21"/>
              </w:rPr>
            </w:pPr>
            <w:r w:rsidRPr="00B12FE0">
              <w:rPr>
                <w:color w:val="000000" w:themeColor="text1"/>
                <w:sz w:val="21"/>
                <w:szCs w:val="21"/>
              </w:rPr>
              <w:t>初始活度（</w:t>
            </w:r>
            <w:r w:rsidRPr="00B12FE0">
              <w:rPr>
                <w:color w:val="000000" w:themeColor="text1"/>
                <w:sz w:val="21"/>
                <w:szCs w:val="21"/>
              </w:rPr>
              <w:t>Bq</w:t>
            </w:r>
            <w:r w:rsidRPr="00B12FE0">
              <w:rPr>
                <w:color w:val="000000" w:themeColor="text1"/>
                <w:sz w:val="21"/>
                <w:szCs w:val="21"/>
              </w:rPr>
              <w:t>）</w:t>
            </w:r>
          </w:p>
        </w:tc>
        <w:tc>
          <w:tcPr>
            <w:tcW w:w="1223" w:type="pct"/>
            <w:tcBorders>
              <w:top w:val="single" w:sz="4" w:space="0" w:color="auto"/>
              <w:left w:val="single" w:sz="4" w:space="0" w:color="auto"/>
              <w:bottom w:val="single" w:sz="4" w:space="0" w:color="auto"/>
              <w:right w:val="single" w:sz="4" w:space="0" w:color="auto"/>
            </w:tcBorders>
            <w:vAlign w:val="center"/>
          </w:tcPr>
          <w:p w14:paraId="04B0E2E8" w14:textId="77777777" w:rsidR="00A67F21" w:rsidRPr="00B12FE0" w:rsidRDefault="00000000">
            <w:pPr>
              <w:jc w:val="center"/>
              <w:rPr>
                <w:color w:val="000000" w:themeColor="text1"/>
                <w:sz w:val="21"/>
                <w:szCs w:val="21"/>
              </w:rPr>
            </w:pPr>
            <w:proofErr w:type="gramStart"/>
            <w:r w:rsidRPr="00B12FE0">
              <w:rPr>
                <w:color w:val="000000" w:themeColor="text1"/>
                <w:sz w:val="21"/>
                <w:szCs w:val="21"/>
              </w:rPr>
              <w:t>空气比释动能</w:t>
            </w:r>
            <w:proofErr w:type="gramEnd"/>
            <w:r w:rsidRPr="00B12FE0">
              <w:rPr>
                <w:color w:val="000000" w:themeColor="text1"/>
                <w:sz w:val="21"/>
                <w:szCs w:val="21"/>
              </w:rPr>
              <w:t>率常数</w:t>
            </w:r>
          </w:p>
          <w:p w14:paraId="10FD9BBA" w14:textId="77777777" w:rsidR="00A67F21" w:rsidRPr="00B12FE0" w:rsidRDefault="00000000">
            <w:pPr>
              <w:jc w:val="center"/>
              <w:rPr>
                <w:color w:val="000000" w:themeColor="text1"/>
                <w:sz w:val="21"/>
                <w:szCs w:val="21"/>
              </w:rPr>
            </w:pPr>
            <w:r w:rsidRPr="00B12FE0">
              <w:rPr>
                <w:color w:val="000000" w:themeColor="text1"/>
                <w:sz w:val="21"/>
                <w:szCs w:val="21"/>
              </w:rPr>
              <w:t>[</w:t>
            </w:r>
            <w:proofErr w:type="spellStart"/>
            <w:r w:rsidRPr="00B12FE0">
              <w:rPr>
                <w:color w:val="000000" w:themeColor="text1"/>
                <w:sz w:val="21"/>
                <w:szCs w:val="21"/>
              </w:rPr>
              <w:t>μSv</w:t>
            </w:r>
            <w:proofErr w:type="spellEnd"/>
            <w:r w:rsidRPr="00B12FE0">
              <w:rPr>
                <w:color w:val="000000" w:themeColor="text1"/>
                <w:sz w:val="21"/>
                <w:szCs w:val="21"/>
              </w:rPr>
              <w:t>/</w:t>
            </w:r>
            <w:r w:rsidRPr="00B12FE0">
              <w:rPr>
                <w:color w:val="000000" w:themeColor="text1"/>
                <w:sz w:val="21"/>
                <w:szCs w:val="21"/>
              </w:rPr>
              <w:t>（</w:t>
            </w:r>
            <w:proofErr w:type="spellStart"/>
            <w:r w:rsidRPr="00B12FE0">
              <w:rPr>
                <w:color w:val="000000" w:themeColor="text1"/>
                <w:sz w:val="21"/>
                <w:szCs w:val="21"/>
              </w:rPr>
              <w:t>h·MBq</w:t>
            </w:r>
            <w:proofErr w:type="spellEnd"/>
            <w:r w:rsidRPr="00B12FE0">
              <w:rPr>
                <w:color w:val="000000" w:themeColor="text1"/>
                <w:sz w:val="21"/>
                <w:szCs w:val="21"/>
              </w:rPr>
              <w:t>）</w:t>
            </w:r>
            <w:r w:rsidRPr="00B12FE0">
              <w:rPr>
                <w:color w:val="000000" w:themeColor="text1"/>
                <w:sz w:val="21"/>
                <w:szCs w:val="21"/>
              </w:rPr>
              <w:t>]</w:t>
            </w:r>
          </w:p>
        </w:tc>
      </w:tr>
      <w:tr w:rsidR="00A67F21" w:rsidRPr="00B12FE0" w14:paraId="330190E3" w14:textId="77777777">
        <w:trPr>
          <w:trHeight w:val="331"/>
          <w:jc w:val="center"/>
        </w:trPr>
        <w:tc>
          <w:tcPr>
            <w:tcW w:w="455" w:type="pct"/>
            <w:tcBorders>
              <w:top w:val="single" w:sz="4" w:space="0" w:color="auto"/>
              <w:left w:val="single" w:sz="4" w:space="0" w:color="auto"/>
              <w:bottom w:val="single" w:sz="4" w:space="0" w:color="auto"/>
              <w:right w:val="single" w:sz="4" w:space="0" w:color="auto"/>
            </w:tcBorders>
            <w:vAlign w:val="center"/>
          </w:tcPr>
          <w:p w14:paraId="35DB3BA7" w14:textId="77777777" w:rsidR="00A67F21" w:rsidRPr="00B12FE0" w:rsidRDefault="00000000">
            <w:pPr>
              <w:jc w:val="center"/>
              <w:rPr>
                <w:color w:val="000000" w:themeColor="text1"/>
                <w:sz w:val="21"/>
                <w:szCs w:val="21"/>
              </w:rPr>
            </w:pPr>
            <w:r w:rsidRPr="00B12FE0">
              <w:rPr>
                <w:color w:val="000000" w:themeColor="text1"/>
                <w:sz w:val="21"/>
                <w:szCs w:val="21"/>
                <w:vertAlign w:val="superscript"/>
              </w:rPr>
              <w:t>192</w:t>
            </w:r>
            <w:r w:rsidRPr="00B12FE0">
              <w:rPr>
                <w:color w:val="000000" w:themeColor="text1"/>
                <w:sz w:val="21"/>
                <w:szCs w:val="21"/>
              </w:rPr>
              <w:t>Ir</w:t>
            </w:r>
          </w:p>
        </w:tc>
        <w:tc>
          <w:tcPr>
            <w:tcW w:w="424" w:type="pct"/>
            <w:tcBorders>
              <w:top w:val="single" w:sz="4" w:space="0" w:color="auto"/>
              <w:left w:val="single" w:sz="4" w:space="0" w:color="auto"/>
              <w:bottom w:val="single" w:sz="4" w:space="0" w:color="auto"/>
              <w:right w:val="single" w:sz="4" w:space="0" w:color="auto"/>
            </w:tcBorders>
            <w:vAlign w:val="center"/>
          </w:tcPr>
          <w:p w14:paraId="368C4F82" w14:textId="77777777" w:rsidR="00A67F21" w:rsidRPr="00B12FE0" w:rsidRDefault="00000000">
            <w:pPr>
              <w:jc w:val="center"/>
              <w:rPr>
                <w:color w:val="000000" w:themeColor="text1"/>
                <w:sz w:val="21"/>
                <w:szCs w:val="21"/>
              </w:rPr>
            </w:pPr>
            <w:r w:rsidRPr="00B12FE0">
              <w:rPr>
                <w:color w:val="000000" w:themeColor="text1"/>
                <w:sz w:val="21"/>
                <w:szCs w:val="21"/>
              </w:rPr>
              <w:t>Ⅲ</w:t>
            </w:r>
          </w:p>
        </w:tc>
        <w:tc>
          <w:tcPr>
            <w:tcW w:w="391" w:type="pct"/>
            <w:tcBorders>
              <w:top w:val="single" w:sz="4" w:space="0" w:color="auto"/>
              <w:left w:val="single" w:sz="4" w:space="0" w:color="auto"/>
              <w:bottom w:val="single" w:sz="4" w:space="0" w:color="auto"/>
              <w:right w:val="single" w:sz="4" w:space="0" w:color="auto"/>
            </w:tcBorders>
            <w:vAlign w:val="center"/>
          </w:tcPr>
          <w:p w14:paraId="3FD2FFE6" w14:textId="77777777" w:rsidR="00A67F21" w:rsidRPr="00B12FE0" w:rsidRDefault="00000000">
            <w:pPr>
              <w:jc w:val="center"/>
              <w:rPr>
                <w:color w:val="000000" w:themeColor="text1"/>
                <w:sz w:val="21"/>
                <w:szCs w:val="21"/>
              </w:rPr>
            </w:pPr>
            <w:r w:rsidRPr="00B12FE0">
              <w:rPr>
                <w:color w:val="000000" w:themeColor="text1"/>
                <w:sz w:val="21"/>
                <w:szCs w:val="21"/>
              </w:rPr>
              <w:t>1</w:t>
            </w:r>
          </w:p>
        </w:tc>
        <w:tc>
          <w:tcPr>
            <w:tcW w:w="525" w:type="pct"/>
            <w:tcBorders>
              <w:top w:val="single" w:sz="4" w:space="0" w:color="auto"/>
              <w:left w:val="single" w:sz="4" w:space="0" w:color="auto"/>
              <w:bottom w:val="single" w:sz="4" w:space="0" w:color="auto"/>
              <w:right w:val="single" w:sz="4" w:space="0" w:color="auto"/>
            </w:tcBorders>
            <w:vAlign w:val="center"/>
          </w:tcPr>
          <w:p w14:paraId="1CAFF3F2" w14:textId="77777777" w:rsidR="00A67F21" w:rsidRPr="00B12FE0" w:rsidRDefault="00000000">
            <w:pPr>
              <w:jc w:val="center"/>
              <w:rPr>
                <w:color w:val="000000" w:themeColor="text1"/>
                <w:sz w:val="21"/>
                <w:szCs w:val="21"/>
              </w:rPr>
            </w:pPr>
            <w:r w:rsidRPr="00B12FE0">
              <w:rPr>
                <w:color w:val="000000" w:themeColor="text1"/>
                <w:sz w:val="21"/>
                <w:szCs w:val="21"/>
              </w:rPr>
              <w:t>74.02d</w:t>
            </w:r>
          </w:p>
        </w:tc>
        <w:tc>
          <w:tcPr>
            <w:tcW w:w="312" w:type="pct"/>
            <w:tcBorders>
              <w:top w:val="single" w:sz="4" w:space="0" w:color="auto"/>
              <w:left w:val="single" w:sz="4" w:space="0" w:color="auto"/>
              <w:bottom w:val="single" w:sz="4" w:space="0" w:color="auto"/>
              <w:right w:val="single" w:sz="4" w:space="0" w:color="auto"/>
            </w:tcBorders>
            <w:vAlign w:val="center"/>
          </w:tcPr>
          <w:p w14:paraId="252E5924" w14:textId="77777777" w:rsidR="00A67F21" w:rsidRPr="00B12FE0" w:rsidRDefault="00000000">
            <w:pPr>
              <w:jc w:val="center"/>
              <w:rPr>
                <w:color w:val="000000" w:themeColor="text1"/>
                <w:sz w:val="21"/>
                <w:szCs w:val="21"/>
              </w:rPr>
            </w:pPr>
            <w:r w:rsidRPr="00B12FE0">
              <w:rPr>
                <w:color w:val="000000" w:themeColor="text1"/>
                <w:sz w:val="21"/>
                <w:szCs w:val="21"/>
              </w:rPr>
              <w:t>固态</w:t>
            </w:r>
          </w:p>
        </w:tc>
        <w:tc>
          <w:tcPr>
            <w:tcW w:w="1041" w:type="pct"/>
            <w:tcBorders>
              <w:top w:val="single" w:sz="4" w:space="0" w:color="auto"/>
              <w:left w:val="single" w:sz="4" w:space="0" w:color="auto"/>
              <w:bottom w:val="single" w:sz="4" w:space="0" w:color="auto"/>
              <w:right w:val="single" w:sz="4" w:space="0" w:color="auto"/>
            </w:tcBorders>
            <w:vAlign w:val="center"/>
          </w:tcPr>
          <w:p w14:paraId="7E1E85D4" w14:textId="77777777" w:rsidR="00A67F21" w:rsidRPr="00B12FE0" w:rsidRDefault="00000000">
            <w:pPr>
              <w:jc w:val="center"/>
              <w:rPr>
                <w:color w:val="000000" w:themeColor="text1"/>
                <w:sz w:val="21"/>
                <w:szCs w:val="21"/>
              </w:rPr>
            </w:pPr>
            <w:r w:rsidRPr="00B12FE0">
              <w:rPr>
                <w:color w:val="000000" w:themeColor="text1"/>
                <w:sz w:val="21"/>
                <w:szCs w:val="21"/>
              </w:rPr>
              <w:t>γ</w:t>
            </w:r>
            <w:r w:rsidRPr="00B12FE0">
              <w:rPr>
                <w:color w:val="000000" w:themeColor="text1"/>
                <w:sz w:val="21"/>
                <w:szCs w:val="21"/>
              </w:rPr>
              <w:t>衰变、</w:t>
            </w:r>
            <w:r w:rsidRPr="00B12FE0">
              <w:rPr>
                <w:color w:val="000000" w:themeColor="text1"/>
                <w:sz w:val="21"/>
                <w:szCs w:val="21"/>
              </w:rPr>
              <w:t>β</w:t>
            </w:r>
            <w:r w:rsidRPr="00B12FE0">
              <w:rPr>
                <w:color w:val="000000" w:themeColor="text1"/>
                <w:sz w:val="21"/>
                <w:szCs w:val="21"/>
              </w:rPr>
              <w:t>衰变</w:t>
            </w:r>
            <w:r w:rsidRPr="00B12FE0">
              <w:rPr>
                <w:rFonts w:hint="eastAsia"/>
                <w:color w:val="000000" w:themeColor="text1"/>
                <w:sz w:val="21"/>
                <w:szCs w:val="21"/>
              </w:rPr>
              <w:t>（</w:t>
            </w:r>
            <w:r w:rsidRPr="00B12FE0">
              <w:rPr>
                <w:color w:val="000000" w:themeColor="text1"/>
                <w:sz w:val="21"/>
                <w:szCs w:val="21"/>
              </w:rPr>
              <w:t>95.22%)</w:t>
            </w:r>
            <w:r w:rsidRPr="00B12FE0">
              <w:rPr>
                <w:color w:val="000000" w:themeColor="text1"/>
                <w:sz w:val="21"/>
                <w:szCs w:val="21"/>
              </w:rPr>
              <w:t>电子俘获（</w:t>
            </w:r>
            <w:r w:rsidRPr="00B12FE0">
              <w:rPr>
                <w:color w:val="000000" w:themeColor="text1"/>
                <w:sz w:val="21"/>
                <w:szCs w:val="21"/>
              </w:rPr>
              <w:t>4.78%</w:t>
            </w:r>
            <w:r w:rsidRPr="00B12FE0">
              <w:rPr>
                <w:color w:val="000000" w:themeColor="text1"/>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7401085A" w14:textId="77777777" w:rsidR="00A67F21" w:rsidRPr="00B12FE0" w:rsidRDefault="00000000">
            <w:pPr>
              <w:jc w:val="center"/>
              <w:rPr>
                <w:color w:val="000000" w:themeColor="text1"/>
                <w:sz w:val="21"/>
                <w:szCs w:val="21"/>
              </w:rPr>
            </w:pPr>
            <w:r w:rsidRPr="00B12FE0">
              <w:rPr>
                <w:color w:val="000000" w:themeColor="text1"/>
                <w:sz w:val="21"/>
                <w:szCs w:val="21"/>
              </w:rPr>
              <w:t>3.7×10</w:t>
            </w:r>
            <w:r w:rsidRPr="00B12FE0">
              <w:rPr>
                <w:color w:val="000000" w:themeColor="text1"/>
                <w:sz w:val="21"/>
                <w:szCs w:val="21"/>
                <w:vertAlign w:val="superscript"/>
              </w:rPr>
              <w:t>11</w:t>
            </w:r>
          </w:p>
        </w:tc>
        <w:tc>
          <w:tcPr>
            <w:tcW w:w="1223" w:type="pct"/>
            <w:tcBorders>
              <w:top w:val="single" w:sz="4" w:space="0" w:color="auto"/>
              <w:left w:val="single" w:sz="4" w:space="0" w:color="auto"/>
              <w:bottom w:val="single" w:sz="4" w:space="0" w:color="auto"/>
              <w:right w:val="single" w:sz="4" w:space="0" w:color="auto"/>
            </w:tcBorders>
            <w:vAlign w:val="center"/>
          </w:tcPr>
          <w:p w14:paraId="66AA6C17" w14:textId="77777777" w:rsidR="00A67F21" w:rsidRPr="00B12FE0" w:rsidRDefault="00000000">
            <w:pPr>
              <w:jc w:val="center"/>
              <w:rPr>
                <w:color w:val="000000" w:themeColor="text1"/>
                <w:sz w:val="21"/>
                <w:szCs w:val="21"/>
              </w:rPr>
            </w:pPr>
            <w:r w:rsidRPr="00B12FE0">
              <w:rPr>
                <w:color w:val="000000" w:themeColor="text1"/>
                <w:sz w:val="21"/>
                <w:szCs w:val="21"/>
              </w:rPr>
              <w:t>0.111</w:t>
            </w:r>
          </w:p>
        </w:tc>
      </w:tr>
    </w:tbl>
    <w:p w14:paraId="5E2028D5" w14:textId="77777777" w:rsidR="00A67F21" w:rsidRPr="00B12FE0" w:rsidRDefault="00000000">
      <w:pPr>
        <w:adjustRightInd w:val="0"/>
        <w:snapToGrid w:val="0"/>
        <w:spacing w:line="360" w:lineRule="auto"/>
        <w:ind w:firstLine="480"/>
        <w:rPr>
          <w:b/>
          <w:bCs/>
          <w:color w:val="000000" w:themeColor="text1"/>
        </w:rPr>
      </w:pPr>
      <w:r w:rsidRPr="00B12FE0">
        <w:rPr>
          <w:b/>
          <w:bCs/>
          <w:color w:val="000000" w:themeColor="text1"/>
        </w:rPr>
        <w:t>（</w:t>
      </w:r>
      <w:r w:rsidRPr="00B12FE0">
        <w:rPr>
          <w:b/>
          <w:bCs/>
          <w:color w:val="000000" w:themeColor="text1"/>
        </w:rPr>
        <w:t>2</w:t>
      </w:r>
      <w:r w:rsidRPr="00B12FE0">
        <w:rPr>
          <w:b/>
          <w:bCs/>
          <w:color w:val="000000" w:themeColor="text1"/>
        </w:rPr>
        <w:t>）设备组成</w:t>
      </w:r>
    </w:p>
    <w:p w14:paraId="12CB6174"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后装机为计算机控制的遥控后装系统，包括后装主机、</w:t>
      </w:r>
      <w:r w:rsidRPr="00B12FE0">
        <w:rPr>
          <w:color w:val="000000" w:themeColor="text1"/>
        </w:rPr>
        <w:t>3D</w:t>
      </w:r>
      <w:r w:rsidRPr="00B12FE0">
        <w:rPr>
          <w:color w:val="000000" w:themeColor="text1"/>
        </w:rPr>
        <w:t>近距离治疗计划系统和</w:t>
      </w:r>
      <w:proofErr w:type="gramStart"/>
      <w:r w:rsidRPr="00B12FE0">
        <w:rPr>
          <w:color w:val="000000" w:themeColor="text1"/>
        </w:rPr>
        <w:t>各种施源器</w:t>
      </w:r>
      <w:proofErr w:type="gramEnd"/>
      <w:r w:rsidRPr="00B12FE0">
        <w:rPr>
          <w:color w:val="000000" w:themeColor="text1"/>
        </w:rPr>
        <w:t>。后装主机部分包括后装治疗机和控制台，后装治疗机安装在治疗室内，控制台电脑安放在控制室内，遥控操作。配备</w:t>
      </w:r>
      <w:r w:rsidRPr="00B12FE0">
        <w:rPr>
          <w:bCs/>
          <w:color w:val="000000" w:themeColor="text1"/>
        </w:rPr>
        <w:t>彩色闭路电视监视系统和对讲机系统，监视系统包含</w:t>
      </w:r>
      <w:r w:rsidRPr="00B12FE0">
        <w:rPr>
          <w:bCs/>
          <w:color w:val="000000" w:themeColor="text1"/>
        </w:rPr>
        <w:t>“</w:t>
      </w:r>
      <w:r w:rsidRPr="00B12FE0">
        <w:rPr>
          <w:bCs/>
          <w:color w:val="000000" w:themeColor="text1"/>
        </w:rPr>
        <w:t>推、拉、摇、移</w:t>
      </w:r>
      <w:r w:rsidRPr="00B12FE0">
        <w:rPr>
          <w:bCs/>
          <w:color w:val="000000" w:themeColor="text1"/>
        </w:rPr>
        <w:t>”</w:t>
      </w:r>
      <w:r w:rsidRPr="00B12FE0">
        <w:rPr>
          <w:bCs/>
          <w:color w:val="000000" w:themeColor="text1"/>
        </w:rPr>
        <w:t>功能的云台、摄像头、监视器和控制面板；对讲机系统，用于治疗师和病人之间的通话；系统自带独立的射线监测装置，并</w:t>
      </w:r>
      <w:r w:rsidRPr="00B12FE0">
        <w:rPr>
          <w:color w:val="000000" w:themeColor="text1"/>
        </w:rPr>
        <w:t>在治疗室内及控制台处装有声光显示。</w:t>
      </w:r>
    </w:p>
    <w:p w14:paraId="1F664C1A" w14:textId="77777777" w:rsidR="00A67F21" w:rsidRPr="00B12FE0" w:rsidRDefault="00000000">
      <w:pPr>
        <w:adjustRightInd w:val="0"/>
        <w:snapToGrid w:val="0"/>
        <w:spacing w:line="360" w:lineRule="auto"/>
        <w:ind w:firstLineChars="200" w:firstLine="480"/>
        <w:rPr>
          <w:iCs/>
          <w:color w:val="000000" w:themeColor="text1"/>
          <w:szCs w:val="28"/>
        </w:rPr>
      </w:pPr>
      <w:proofErr w:type="gramStart"/>
      <w:r w:rsidRPr="00B12FE0">
        <w:rPr>
          <w:iCs/>
          <w:color w:val="000000" w:themeColor="text1"/>
          <w:szCs w:val="28"/>
        </w:rPr>
        <w:t>贮源器</w:t>
      </w:r>
      <w:proofErr w:type="gramEnd"/>
      <w:r w:rsidRPr="00B12FE0">
        <w:rPr>
          <w:iCs/>
          <w:color w:val="000000" w:themeColor="text1"/>
          <w:szCs w:val="28"/>
        </w:rPr>
        <w:t>是贮存后装治疗用放射源的容器，包括供运输（或暂存）放射治疗源用的</w:t>
      </w:r>
      <w:proofErr w:type="gramStart"/>
      <w:r w:rsidRPr="00B12FE0">
        <w:rPr>
          <w:iCs/>
          <w:color w:val="000000" w:themeColor="text1"/>
          <w:szCs w:val="28"/>
        </w:rPr>
        <w:t>运输贮源器</w:t>
      </w:r>
      <w:proofErr w:type="gramEnd"/>
      <w:r w:rsidRPr="00B12FE0">
        <w:rPr>
          <w:iCs/>
          <w:color w:val="000000" w:themeColor="text1"/>
          <w:szCs w:val="28"/>
        </w:rPr>
        <w:t>和供后装机配套用的</w:t>
      </w:r>
      <w:proofErr w:type="gramStart"/>
      <w:r w:rsidRPr="00B12FE0">
        <w:rPr>
          <w:iCs/>
          <w:color w:val="000000" w:themeColor="text1"/>
          <w:szCs w:val="28"/>
        </w:rPr>
        <w:t>工作贮源器</w:t>
      </w:r>
      <w:proofErr w:type="gramEnd"/>
      <w:r w:rsidRPr="00B12FE0">
        <w:rPr>
          <w:iCs/>
          <w:color w:val="000000" w:themeColor="text1"/>
          <w:szCs w:val="28"/>
        </w:rPr>
        <w:t>，工作</w:t>
      </w:r>
      <w:proofErr w:type="gramStart"/>
      <w:r w:rsidRPr="00B12FE0">
        <w:rPr>
          <w:iCs/>
          <w:color w:val="000000" w:themeColor="text1"/>
          <w:szCs w:val="28"/>
        </w:rPr>
        <w:t>贮源器位于</w:t>
      </w:r>
      <w:proofErr w:type="gramEnd"/>
      <w:r w:rsidRPr="00B12FE0">
        <w:rPr>
          <w:iCs/>
          <w:color w:val="000000" w:themeColor="text1"/>
          <w:szCs w:val="28"/>
        </w:rPr>
        <w:t>后装机机体中央，一般采用</w:t>
      </w:r>
      <w:proofErr w:type="gramStart"/>
      <w:r w:rsidRPr="00B12FE0">
        <w:rPr>
          <w:iCs/>
          <w:color w:val="000000" w:themeColor="text1"/>
          <w:szCs w:val="28"/>
        </w:rPr>
        <w:t>钨</w:t>
      </w:r>
      <w:proofErr w:type="gramEnd"/>
      <w:r w:rsidRPr="00B12FE0">
        <w:rPr>
          <w:iCs/>
          <w:color w:val="000000" w:themeColor="text1"/>
          <w:szCs w:val="28"/>
        </w:rPr>
        <w:t>合金屏蔽材料，</w:t>
      </w:r>
      <w:proofErr w:type="gramStart"/>
      <w:r w:rsidRPr="00B12FE0">
        <w:rPr>
          <w:iCs/>
          <w:color w:val="000000" w:themeColor="text1"/>
          <w:szCs w:val="28"/>
        </w:rPr>
        <w:t>保证贮源器</w:t>
      </w:r>
      <w:proofErr w:type="gramEnd"/>
      <w:r w:rsidRPr="00B12FE0">
        <w:rPr>
          <w:iCs/>
          <w:color w:val="000000" w:themeColor="text1"/>
          <w:szCs w:val="28"/>
        </w:rPr>
        <w:t>没有</w:t>
      </w:r>
      <w:r w:rsidRPr="00B12FE0">
        <w:rPr>
          <w:rFonts w:hint="eastAsia"/>
          <w:color w:val="000000" w:themeColor="text1"/>
        </w:rPr>
        <w:t>γ</w:t>
      </w:r>
      <w:r w:rsidRPr="00B12FE0">
        <w:rPr>
          <w:iCs/>
          <w:color w:val="000000" w:themeColor="text1"/>
          <w:szCs w:val="28"/>
        </w:rPr>
        <w:t>射线泄漏的直接路径。运输（或紧急</w:t>
      </w:r>
      <w:r w:rsidRPr="00B12FE0">
        <w:rPr>
          <w:iCs/>
          <w:color w:val="000000" w:themeColor="text1"/>
          <w:szCs w:val="28"/>
        </w:rPr>
        <w:t>/</w:t>
      </w:r>
      <w:r w:rsidRPr="00B12FE0">
        <w:rPr>
          <w:iCs/>
          <w:color w:val="000000" w:themeColor="text1"/>
          <w:szCs w:val="28"/>
        </w:rPr>
        <w:t>维修）</w:t>
      </w:r>
      <w:proofErr w:type="gramStart"/>
      <w:r w:rsidRPr="00B12FE0">
        <w:rPr>
          <w:iCs/>
          <w:color w:val="000000" w:themeColor="text1"/>
          <w:szCs w:val="28"/>
        </w:rPr>
        <w:t>贮源器用</w:t>
      </w:r>
      <w:proofErr w:type="gramEnd"/>
      <w:r w:rsidRPr="00B12FE0">
        <w:rPr>
          <w:iCs/>
          <w:color w:val="000000" w:themeColor="text1"/>
          <w:szCs w:val="28"/>
        </w:rPr>
        <w:t>于放射源的运输、在放射源不能进入后装机</w:t>
      </w:r>
      <w:proofErr w:type="gramStart"/>
      <w:r w:rsidRPr="00B12FE0">
        <w:rPr>
          <w:iCs/>
          <w:color w:val="000000" w:themeColor="text1"/>
          <w:szCs w:val="28"/>
        </w:rPr>
        <w:t>的贮源器</w:t>
      </w:r>
      <w:proofErr w:type="gramEnd"/>
      <w:r w:rsidRPr="00B12FE0">
        <w:rPr>
          <w:iCs/>
          <w:color w:val="000000" w:themeColor="text1"/>
          <w:szCs w:val="28"/>
        </w:rPr>
        <w:t>，或在维修后装机驱动机械部分时，临时存放放射源，</w:t>
      </w:r>
      <w:proofErr w:type="gramStart"/>
      <w:r w:rsidRPr="00B12FE0">
        <w:rPr>
          <w:iCs/>
          <w:color w:val="000000" w:themeColor="text1"/>
          <w:szCs w:val="28"/>
        </w:rPr>
        <w:t>运输贮源器</w:t>
      </w:r>
      <w:proofErr w:type="gramEnd"/>
      <w:r w:rsidRPr="00B12FE0">
        <w:rPr>
          <w:iCs/>
          <w:color w:val="000000" w:themeColor="text1"/>
          <w:szCs w:val="28"/>
        </w:rPr>
        <w:t>由设备供货厂家提供并同放射源一起更换。</w:t>
      </w:r>
    </w:p>
    <w:p w14:paraId="32823453" w14:textId="77777777" w:rsidR="00A67F21" w:rsidRPr="00B12FE0" w:rsidRDefault="00000000">
      <w:pPr>
        <w:adjustRightInd w:val="0"/>
        <w:snapToGrid w:val="0"/>
        <w:spacing w:line="360" w:lineRule="auto"/>
        <w:ind w:firstLineChars="200" w:firstLine="480"/>
        <w:rPr>
          <w:color w:val="000000" w:themeColor="text1"/>
        </w:rPr>
      </w:pPr>
      <w:proofErr w:type="gramStart"/>
      <w:r w:rsidRPr="00B12FE0">
        <w:rPr>
          <w:iCs/>
          <w:color w:val="000000" w:themeColor="text1"/>
          <w:szCs w:val="28"/>
        </w:rPr>
        <w:t>施源器</w:t>
      </w:r>
      <w:proofErr w:type="gramEnd"/>
      <w:r w:rsidRPr="00B12FE0">
        <w:rPr>
          <w:iCs/>
          <w:color w:val="000000" w:themeColor="text1"/>
          <w:szCs w:val="28"/>
        </w:rPr>
        <w:t>是预先放入人体腔、管道或组织间，供放射源驻留或运动，并实施治疗的特殊容器；通道是在后装机中专供密封放射源或其组件在其中运动的轨迹，此通道</w:t>
      </w:r>
      <w:proofErr w:type="gramStart"/>
      <w:r w:rsidRPr="00B12FE0">
        <w:rPr>
          <w:iCs/>
          <w:color w:val="000000" w:themeColor="text1"/>
          <w:szCs w:val="28"/>
        </w:rPr>
        <w:t>与贮源器</w:t>
      </w:r>
      <w:proofErr w:type="gramEnd"/>
      <w:r w:rsidRPr="00B12FE0">
        <w:rPr>
          <w:iCs/>
          <w:color w:val="000000" w:themeColor="text1"/>
          <w:szCs w:val="28"/>
        </w:rPr>
        <w:t>和施源器相连接。典型</w:t>
      </w:r>
      <w:r w:rsidRPr="00B12FE0">
        <w:rPr>
          <w:color w:val="000000" w:themeColor="text1"/>
        </w:rPr>
        <w:t>后装机和施源器外形图如图</w:t>
      </w:r>
      <w:r w:rsidRPr="00B12FE0">
        <w:rPr>
          <w:color w:val="000000" w:themeColor="text1"/>
        </w:rPr>
        <w:t>9.</w:t>
      </w:r>
      <w:r w:rsidRPr="00B12FE0">
        <w:rPr>
          <w:rFonts w:hint="eastAsia"/>
          <w:color w:val="000000" w:themeColor="text1"/>
        </w:rPr>
        <w:t>1</w:t>
      </w:r>
      <w:r w:rsidRPr="00B12FE0">
        <w:rPr>
          <w:color w:val="000000" w:themeColor="text1"/>
        </w:rPr>
        <w:t>.2-</w:t>
      </w:r>
      <w:r w:rsidRPr="00B12FE0">
        <w:rPr>
          <w:rFonts w:hint="eastAsia"/>
          <w:color w:val="000000" w:themeColor="text1"/>
        </w:rPr>
        <w:t>6</w:t>
      </w:r>
      <w:r w:rsidRPr="00B12FE0">
        <w:rPr>
          <w:color w:val="000000" w:themeColor="text1"/>
        </w:rPr>
        <w:t>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4711"/>
      </w:tblGrid>
      <w:tr w:rsidR="00A67F21" w:rsidRPr="00B12FE0" w14:paraId="1675F162" w14:textId="77777777">
        <w:trPr>
          <w:trHeight w:val="3008"/>
          <w:jc w:val="center"/>
        </w:trPr>
        <w:tc>
          <w:tcPr>
            <w:tcW w:w="2820" w:type="dxa"/>
            <w:tcBorders>
              <w:top w:val="single" w:sz="4" w:space="0" w:color="auto"/>
              <w:left w:val="single" w:sz="4" w:space="0" w:color="auto"/>
              <w:bottom w:val="single" w:sz="4" w:space="0" w:color="auto"/>
              <w:right w:val="single" w:sz="4" w:space="0" w:color="auto"/>
            </w:tcBorders>
            <w:vAlign w:val="center"/>
          </w:tcPr>
          <w:p w14:paraId="481E1471" w14:textId="77777777" w:rsidR="00A67F21" w:rsidRPr="00B12FE0" w:rsidRDefault="00000000">
            <w:pPr>
              <w:adjustRightInd w:val="0"/>
              <w:snapToGrid w:val="0"/>
              <w:spacing w:beforeLines="50" w:before="120"/>
              <w:jc w:val="center"/>
              <w:rPr>
                <w:color w:val="000000" w:themeColor="text1"/>
              </w:rPr>
            </w:pPr>
            <w:r w:rsidRPr="00B12FE0">
              <w:rPr>
                <w:noProof/>
                <w:color w:val="000000" w:themeColor="text1"/>
              </w:rPr>
              <w:drawing>
                <wp:inline distT="0" distB="0" distL="114300" distR="114300" wp14:anchorId="44A162E8" wp14:editId="7E5C3E30">
                  <wp:extent cx="1240155" cy="1892300"/>
                  <wp:effectExtent l="0" t="0" r="0" b="0"/>
                  <wp:docPr id="207443044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0442" name="图片 78"/>
                          <pic:cNvPicPr>
                            <a:picLocks noChangeAspect="1"/>
                          </pic:cNvPicPr>
                        </pic:nvPicPr>
                        <pic:blipFill>
                          <a:blip r:embed="rId40"/>
                          <a:stretch>
                            <a:fillRect/>
                          </a:stretch>
                        </pic:blipFill>
                        <pic:spPr>
                          <a:xfrm>
                            <a:off x="0" y="0"/>
                            <a:ext cx="1241475" cy="1894221"/>
                          </a:xfrm>
                          <a:prstGeom prst="rect">
                            <a:avLst/>
                          </a:prstGeom>
                          <a:noFill/>
                          <a:ln w="9525">
                            <a:noFill/>
                          </a:ln>
                        </pic:spPr>
                      </pic:pic>
                    </a:graphicData>
                  </a:graphic>
                </wp:inline>
              </w:drawing>
            </w:r>
          </w:p>
          <w:p w14:paraId="4503070C" w14:textId="77777777" w:rsidR="00A67F21" w:rsidRPr="00B12FE0" w:rsidRDefault="00000000">
            <w:pPr>
              <w:adjustRightInd w:val="0"/>
              <w:snapToGrid w:val="0"/>
              <w:ind w:right="482" w:firstLine="420"/>
              <w:jc w:val="center"/>
              <w:rPr>
                <w:color w:val="000000" w:themeColor="text1"/>
                <w:szCs w:val="21"/>
              </w:rPr>
            </w:pPr>
            <w:r w:rsidRPr="00B12FE0">
              <w:rPr>
                <w:color w:val="000000" w:themeColor="text1"/>
                <w:szCs w:val="21"/>
              </w:rPr>
              <w:t>后装机</w:t>
            </w:r>
          </w:p>
        </w:tc>
        <w:tc>
          <w:tcPr>
            <w:tcW w:w="4711" w:type="dxa"/>
            <w:tcBorders>
              <w:top w:val="single" w:sz="4" w:space="0" w:color="auto"/>
              <w:left w:val="single" w:sz="4" w:space="0" w:color="auto"/>
              <w:bottom w:val="single" w:sz="4" w:space="0" w:color="auto"/>
              <w:right w:val="single" w:sz="4" w:space="0" w:color="auto"/>
            </w:tcBorders>
            <w:vAlign w:val="center"/>
          </w:tcPr>
          <w:p w14:paraId="20322297" w14:textId="77777777" w:rsidR="00A67F21" w:rsidRPr="00B12FE0" w:rsidRDefault="00000000">
            <w:pPr>
              <w:adjustRightInd w:val="0"/>
              <w:snapToGrid w:val="0"/>
              <w:jc w:val="center"/>
              <w:rPr>
                <w:color w:val="000000" w:themeColor="text1"/>
              </w:rPr>
            </w:pPr>
            <w:r w:rsidRPr="00B12FE0">
              <w:rPr>
                <w:noProof/>
                <w:color w:val="000000" w:themeColor="text1"/>
              </w:rPr>
              <w:drawing>
                <wp:inline distT="0" distB="0" distL="114300" distR="114300" wp14:anchorId="33CAA476" wp14:editId="00140170">
                  <wp:extent cx="2076450" cy="920115"/>
                  <wp:effectExtent l="0" t="0" r="0" b="0"/>
                  <wp:docPr id="2098358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58155" name="Picture 1"/>
                          <pic:cNvPicPr>
                            <a:picLocks noChangeAspect="1"/>
                          </pic:cNvPicPr>
                        </pic:nvPicPr>
                        <pic:blipFill>
                          <a:blip r:embed="rId41"/>
                          <a:srcRect t="2611"/>
                          <a:stretch>
                            <a:fillRect/>
                          </a:stretch>
                        </pic:blipFill>
                        <pic:spPr>
                          <a:xfrm>
                            <a:off x="0" y="0"/>
                            <a:ext cx="2079811" cy="921658"/>
                          </a:xfrm>
                          <a:prstGeom prst="rect">
                            <a:avLst/>
                          </a:prstGeom>
                          <a:noFill/>
                          <a:ln w="9525">
                            <a:noFill/>
                          </a:ln>
                        </pic:spPr>
                      </pic:pic>
                    </a:graphicData>
                  </a:graphic>
                </wp:inline>
              </w:drawing>
            </w:r>
          </w:p>
          <w:p w14:paraId="3E65BC6B" w14:textId="77777777" w:rsidR="00A67F21" w:rsidRPr="00B12FE0" w:rsidRDefault="00000000">
            <w:pPr>
              <w:adjustRightInd w:val="0"/>
              <w:snapToGrid w:val="0"/>
              <w:ind w:firstLine="420"/>
              <w:jc w:val="center"/>
              <w:rPr>
                <w:color w:val="000000" w:themeColor="text1"/>
                <w:szCs w:val="21"/>
              </w:rPr>
            </w:pPr>
            <w:r w:rsidRPr="00B12FE0">
              <w:rPr>
                <w:color w:val="000000" w:themeColor="text1"/>
                <w:szCs w:val="21"/>
              </w:rPr>
              <w:t>妇科施源器</w:t>
            </w:r>
          </w:p>
          <w:p w14:paraId="5FFA2C3C" w14:textId="77777777" w:rsidR="00A67F21" w:rsidRPr="00B12FE0" w:rsidRDefault="00000000">
            <w:pPr>
              <w:adjustRightInd w:val="0"/>
              <w:snapToGrid w:val="0"/>
              <w:jc w:val="center"/>
              <w:rPr>
                <w:color w:val="000000" w:themeColor="text1"/>
              </w:rPr>
            </w:pPr>
            <w:r w:rsidRPr="00B12FE0">
              <w:rPr>
                <w:noProof/>
                <w:color w:val="000000" w:themeColor="text1"/>
              </w:rPr>
              <w:drawing>
                <wp:inline distT="0" distB="0" distL="114300" distR="114300" wp14:anchorId="1A87CC81" wp14:editId="66BD27C9">
                  <wp:extent cx="1891030" cy="1090930"/>
                  <wp:effectExtent l="0" t="0" r="0" b="0"/>
                  <wp:docPr id="2147142087" name="图片 12" descr="说明: C:\Users\cnliuzhe\Desktop\snip_2015122917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42087" name="图片 12" descr="说明: C:\Users\cnliuzhe\Desktop\snip_20151229170940.jpg"/>
                          <pic:cNvPicPr>
                            <a:picLocks noChangeAspect="1"/>
                          </pic:cNvPicPr>
                        </pic:nvPicPr>
                        <pic:blipFill>
                          <a:blip r:embed="rId42"/>
                          <a:stretch>
                            <a:fillRect/>
                          </a:stretch>
                        </pic:blipFill>
                        <pic:spPr>
                          <a:xfrm>
                            <a:off x="0" y="0"/>
                            <a:ext cx="1894245" cy="1092924"/>
                          </a:xfrm>
                          <a:prstGeom prst="rect">
                            <a:avLst/>
                          </a:prstGeom>
                          <a:noFill/>
                          <a:ln w="9525">
                            <a:noFill/>
                          </a:ln>
                        </pic:spPr>
                      </pic:pic>
                    </a:graphicData>
                  </a:graphic>
                </wp:inline>
              </w:drawing>
            </w:r>
          </w:p>
          <w:p w14:paraId="1B7FF20F" w14:textId="77777777" w:rsidR="00A67F21" w:rsidRPr="00B12FE0" w:rsidRDefault="00000000">
            <w:pPr>
              <w:adjustRightInd w:val="0"/>
              <w:snapToGrid w:val="0"/>
              <w:ind w:firstLine="420"/>
              <w:jc w:val="center"/>
              <w:rPr>
                <w:color w:val="000000" w:themeColor="text1"/>
                <w:szCs w:val="21"/>
              </w:rPr>
            </w:pPr>
            <w:r w:rsidRPr="00B12FE0">
              <w:rPr>
                <w:color w:val="000000" w:themeColor="text1"/>
                <w:szCs w:val="21"/>
              </w:rPr>
              <w:t>鼻咽施源器</w:t>
            </w:r>
          </w:p>
        </w:tc>
      </w:tr>
    </w:tbl>
    <w:p w14:paraId="45B9FE77" w14:textId="77777777" w:rsidR="00A67F21" w:rsidRPr="00B12FE0" w:rsidRDefault="00000000">
      <w:pPr>
        <w:adjustRightInd w:val="0"/>
        <w:snapToGrid w:val="0"/>
        <w:spacing w:beforeLines="50" w:before="120" w:line="360" w:lineRule="auto"/>
        <w:ind w:right="482" w:firstLine="422"/>
        <w:jc w:val="center"/>
        <w:rPr>
          <w:b/>
          <w:color w:val="000000" w:themeColor="text1"/>
          <w:sz w:val="21"/>
          <w:szCs w:val="21"/>
        </w:rPr>
      </w:pPr>
      <w:r w:rsidRPr="00B12FE0">
        <w:rPr>
          <w:b/>
          <w:color w:val="000000" w:themeColor="text1"/>
          <w:sz w:val="21"/>
          <w:szCs w:val="21"/>
        </w:rPr>
        <w:t>图</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.2-</w:t>
      </w:r>
      <w:r w:rsidRPr="00B12FE0">
        <w:rPr>
          <w:rFonts w:hint="eastAsia"/>
          <w:b/>
          <w:color w:val="000000" w:themeColor="text1"/>
          <w:sz w:val="21"/>
          <w:szCs w:val="21"/>
        </w:rPr>
        <w:t>6</w:t>
      </w:r>
      <w:r w:rsidRPr="00B12FE0">
        <w:rPr>
          <w:b/>
          <w:color w:val="000000" w:themeColor="text1"/>
          <w:sz w:val="21"/>
          <w:szCs w:val="21"/>
        </w:rPr>
        <w:t xml:space="preserve"> </w:t>
      </w:r>
      <w:r w:rsidRPr="00B12FE0">
        <w:rPr>
          <w:b/>
          <w:color w:val="000000" w:themeColor="text1"/>
          <w:sz w:val="21"/>
          <w:szCs w:val="21"/>
        </w:rPr>
        <w:t>典型后装机和施源器外形图</w:t>
      </w:r>
    </w:p>
    <w:p w14:paraId="0B63E81C" w14:textId="77777777" w:rsidR="00A67F21" w:rsidRPr="00B12FE0" w:rsidRDefault="00000000">
      <w:pPr>
        <w:adjustRightInd w:val="0"/>
        <w:snapToGrid w:val="0"/>
        <w:spacing w:line="360" w:lineRule="auto"/>
        <w:ind w:firstLine="480"/>
        <w:jc w:val="left"/>
        <w:rPr>
          <w:color w:val="000000" w:themeColor="text1"/>
        </w:rPr>
      </w:pPr>
      <w:r w:rsidRPr="00B12FE0">
        <w:rPr>
          <w:color w:val="000000" w:themeColor="text1"/>
        </w:rPr>
        <w:lastRenderedPageBreak/>
        <w:t>后装机是一种新型的</w:t>
      </w:r>
      <w:r w:rsidRPr="00B12FE0">
        <w:rPr>
          <w:color w:val="000000" w:themeColor="text1"/>
        </w:rPr>
        <w:t>γ</w:t>
      </w:r>
      <w:r w:rsidRPr="00B12FE0">
        <w:rPr>
          <w:color w:val="000000" w:themeColor="text1"/>
        </w:rPr>
        <w:t>源近距离放射治疗设备，用遥控或手动的传送方式，将一个或多个密封源</w:t>
      </w:r>
      <w:proofErr w:type="gramStart"/>
      <w:r w:rsidRPr="00B12FE0">
        <w:rPr>
          <w:color w:val="000000" w:themeColor="text1"/>
        </w:rPr>
        <w:t>从贮源器</w:t>
      </w:r>
      <w:proofErr w:type="gramEnd"/>
      <w:r w:rsidRPr="00B12FE0">
        <w:rPr>
          <w:color w:val="000000" w:themeColor="text1"/>
        </w:rPr>
        <w:t>到预先设定好位置的施源器之间传送，在患者身体腔内利用放射源的</w:t>
      </w:r>
      <w:r w:rsidRPr="00B12FE0">
        <w:rPr>
          <w:color w:val="000000" w:themeColor="text1"/>
        </w:rPr>
        <w:t>γ</w:t>
      </w:r>
      <w:r w:rsidRPr="00B12FE0">
        <w:rPr>
          <w:color w:val="000000" w:themeColor="text1"/>
        </w:rPr>
        <w:t>射线对肿瘤进行治疗。通过施源器结构、形状的特殊设计，能够将放射源准确安全地输送到患者需要治疗的部位进行放射治疗，可最大限度地保护患者肿瘤部位邻近正常组织和器官，同时可避免放射治疗过程中放射源对医务人员的影响。</w:t>
      </w:r>
    </w:p>
    <w:p w14:paraId="12CC3B96" w14:textId="77777777" w:rsidR="00A67F21" w:rsidRPr="00B12FE0" w:rsidRDefault="00000000">
      <w:pPr>
        <w:adjustRightInd w:val="0"/>
        <w:snapToGrid w:val="0"/>
        <w:spacing w:line="360" w:lineRule="auto"/>
        <w:ind w:firstLine="480"/>
        <w:jc w:val="left"/>
        <w:rPr>
          <w:color w:val="000000" w:themeColor="text1"/>
        </w:rPr>
      </w:pPr>
      <w:r w:rsidRPr="00B12FE0">
        <w:rPr>
          <w:color w:val="000000" w:themeColor="text1"/>
        </w:rPr>
        <w:t>后装机是将施源器放置于人体腔、管道或组织间瘤体表面，在衰变过程中不断放出</w:t>
      </w:r>
      <w:r w:rsidRPr="00B12FE0">
        <w:rPr>
          <w:color w:val="000000" w:themeColor="text1"/>
        </w:rPr>
        <w:t>γ</w:t>
      </w:r>
      <w:r w:rsidRPr="00B12FE0">
        <w:rPr>
          <w:color w:val="000000" w:themeColor="text1"/>
        </w:rPr>
        <w:t>射线，通过计算机控制系统，使放射源直接在瘤体表面或瘤体内进行放疗。</w:t>
      </w:r>
    </w:p>
    <w:p w14:paraId="4016B2EC" w14:textId="77777777" w:rsidR="00A67F21" w:rsidRPr="00B12FE0" w:rsidRDefault="00000000">
      <w:pPr>
        <w:adjustRightInd w:val="0"/>
        <w:snapToGrid w:val="0"/>
        <w:spacing w:line="360" w:lineRule="auto"/>
        <w:ind w:firstLine="480"/>
        <w:jc w:val="left"/>
        <w:rPr>
          <w:b/>
          <w:bCs/>
          <w:color w:val="000000" w:themeColor="text1"/>
        </w:rPr>
      </w:pPr>
      <w:r w:rsidRPr="00B12FE0">
        <w:rPr>
          <w:b/>
          <w:bCs/>
          <w:color w:val="000000" w:themeColor="text1"/>
        </w:rPr>
        <w:t>（</w:t>
      </w:r>
      <w:r w:rsidRPr="00B12FE0">
        <w:rPr>
          <w:b/>
          <w:bCs/>
          <w:color w:val="000000" w:themeColor="text1"/>
        </w:rPr>
        <w:t>3</w:t>
      </w:r>
      <w:r w:rsidRPr="00B12FE0">
        <w:rPr>
          <w:b/>
          <w:bCs/>
          <w:color w:val="000000" w:themeColor="text1"/>
        </w:rPr>
        <w:t>）治疗工艺流程</w:t>
      </w:r>
    </w:p>
    <w:p w14:paraId="41DAE1E0" w14:textId="77777777" w:rsidR="00A67F21" w:rsidRPr="00B12FE0" w:rsidRDefault="00000000">
      <w:pPr>
        <w:adjustRightInd w:val="0"/>
        <w:snapToGrid w:val="0"/>
        <w:spacing w:line="360" w:lineRule="auto"/>
        <w:ind w:firstLine="480"/>
        <w:rPr>
          <w:b/>
          <w:bCs/>
          <w:color w:val="000000" w:themeColor="text1"/>
        </w:rPr>
      </w:pPr>
      <w:r w:rsidRPr="00B12FE0">
        <w:rPr>
          <w:color w:val="000000" w:themeColor="text1"/>
        </w:rPr>
        <w:t>本项目后装治疗机使用</w:t>
      </w:r>
      <w:r w:rsidRPr="00B12FE0">
        <w:rPr>
          <w:color w:val="000000" w:themeColor="text1"/>
        </w:rPr>
        <w:t>1</w:t>
      </w:r>
      <w:r w:rsidRPr="00B12FE0">
        <w:rPr>
          <w:color w:val="000000" w:themeColor="text1"/>
        </w:rPr>
        <w:t>枚</w:t>
      </w:r>
      <w:r w:rsidRPr="00B12FE0">
        <w:rPr>
          <w:color w:val="000000" w:themeColor="text1"/>
          <w:vertAlign w:val="superscript"/>
        </w:rPr>
        <w:t>192</w:t>
      </w:r>
      <w:r w:rsidRPr="00B12FE0">
        <w:rPr>
          <w:color w:val="000000" w:themeColor="text1"/>
        </w:rPr>
        <w:t>Ir</w:t>
      </w:r>
      <w:r w:rsidRPr="00B12FE0">
        <w:rPr>
          <w:color w:val="000000" w:themeColor="text1"/>
        </w:rPr>
        <w:t>放射源，</w:t>
      </w:r>
      <w:r w:rsidRPr="00B12FE0">
        <w:rPr>
          <w:rFonts w:hint="eastAsia"/>
          <w:color w:val="000000" w:themeColor="text1"/>
          <w:lang w:eastAsia="zh-Hans"/>
        </w:rPr>
        <w:t>初始</w:t>
      </w:r>
      <w:r w:rsidRPr="00B12FE0">
        <w:rPr>
          <w:color w:val="000000" w:themeColor="text1"/>
        </w:rPr>
        <w:t>活度大约</w:t>
      </w:r>
      <w:r w:rsidRPr="00B12FE0">
        <w:rPr>
          <w:color w:val="000000" w:themeColor="text1"/>
        </w:rPr>
        <w:t>370GBq(10Ci)</w:t>
      </w:r>
      <w:r w:rsidRPr="00B12FE0">
        <w:rPr>
          <w:color w:val="000000" w:themeColor="text1"/>
        </w:rPr>
        <w:t>，其直径</w:t>
      </w:r>
      <w:r w:rsidRPr="00B12FE0">
        <w:rPr>
          <w:color w:val="000000" w:themeColor="text1"/>
        </w:rPr>
        <w:t>&lt;1.0mm</w:t>
      </w:r>
      <w:r w:rsidRPr="00B12FE0">
        <w:rPr>
          <w:color w:val="000000" w:themeColor="text1"/>
        </w:rPr>
        <w:t>，长度</w:t>
      </w:r>
      <w:r w:rsidRPr="00B12FE0">
        <w:rPr>
          <w:color w:val="000000" w:themeColor="text1"/>
        </w:rPr>
        <w:t>&lt;4.6mm</w:t>
      </w:r>
      <w:r w:rsidRPr="00B12FE0">
        <w:rPr>
          <w:color w:val="000000" w:themeColor="text1"/>
        </w:rPr>
        <w:t>，用激光焊接于弹性驱动线缆上，从分度盘至最远的位置为</w:t>
      </w:r>
      <w:r w:rsidRPr="00B12FE0">
        <w:rPr>
          <w:color w:val="000000" w:themeColor="text1"/>
        </w:rPr>
        <w:t>1500mm</w:t>
      </w:r>
      <w:r w:rsidRPr="00B12FE0">
        <w:rPr>
          <w:color w:val="000000" w:themeColor="text1"/>
        </w:rPr>
        <w:t>。治疗过程施源方式为遥控，通过视频系统可清晰观察后装机及放射源的情况，系统配有</w:t>
      </w:r>
      <w:r w:rsidRPr="00B12FE0">
        <w:rPr>
          <w:bCs/>
          <w:color w:val="000000" w:themeColor="text1"/>
        </w:rPr>
        <w:t>后装机放射源位置模拟尺、放射源位置检查尺和</w:t>
      </w:r>
      <w:r w:rsidRPr="00B12FE0">
        <w:rPr>
          <w:bCs/>
          <w:color w:val="000000" w:themeColor="text1"/>
        </w:rPr>
        <w:t>GAFCHROMIC</w:t>
      </w:r>
      <w:r w:rsidRPr="00B12FE0">
        <w:rPr>
          <w:bCs/>
          <w:color w:val="000000" w:themeColor="text1"/>
        </w:rPr>
        <w:t>胶片条，后装机放射源位置模拟</w:t>
      </w:r>
      <w:proofErr w:type="gramStart"/>
      <w:r w:rsidRPr="00B12FE0">
        <w:rPr>
          <w:bCs/>
          <w:color w:val="000000" w:themeColor="text1"/>
        </w:rPr>
        <w:t>尺</w:t>
      </w:r>
      <w:proofErr w:type="gramEnd"/>
      <w:r w:rsidRPr="00B12FE0">
        <w:rPr>
          <w:bCs/>
          <w:color w:val="000000" w:themeColor="text1"/>
        </w:rPr>
        <w:t>用于测量施源器内部长度和在透视片中显示驻留位置</w:t>
      </w:r>
      <w:r w:rsidRPr="00B12FE0">
        <w:rPr>
          <w:bCs/>
          <w:color w:val="000000" w:themeColor="text1"/>
          <w:lang w:val="de-DE"/>
        </w:rPr>
        <w:t>；</w:t>
      </w:r>
      <w:r w:rsidRPr="00B12FE0">
        <w:rPr>
          <w:bCs/>
          <w:color w:val="000000" w:themeColor="text1"/>
        </w:rPr>
        <w:t>放射源位置检查</w:t>
      </w:r>
      <w:proofErr w:type="gramStart"/>
      <w:r w:rsidRPr="00B12FE0">
        <w:rPr>
          <w:bCs/>
          <w:color w:val="000000" w:themeColor="text1"/>
        </w:rPr>
        <w:t>尺</w:t>
      </w:r>
      <w:proofErr w:type="gramEnd"/>
      <w:r w:rsidRPr="00B12FE0">
        <w:rPr>
          <w:bCs/>
          <w:color w:val="000000" w:themeColor="text1"/>
        </w:rPr>
        <w:t>专用于测量和验证放射源的位置（末端位置）。放射源验证系统用于测量后装机放射源的强度。</w:t>
      </w:r>
    </w:p>
    <w:p w14:paraId="05181590" w14:textId="77777777" w:rsidR="00A67F21" w:rsidRPr="00B12FE0" w:rsidRDefault="00000000">
      <w:pPr>
        <w:adjustRightInd w:val="0"/>
        <w:snapToGrid w:val="0"/>
        <w:spacing w:line="360" w:lineRule="auto"/>
        <w:ind w:firstLine="480"/>
        <w:jc w:val="left"/>
        <w:rPr>
          <w:color w:val="000000" w:themeColor="text1"/>
        </w:rPr>
      </w:pPr>
      <w:r w:rsidRPr="00B12FE0">
        <w:rPr>
          <w:color w:val="000000" w:themeColor="text1"/>
        </w:rPr>
        <w:t>治疗前先由放疗技师根据患者病患情况放置施源器，然后由工作人员将病人送入后装治疗室内，接上与源相连的导管，然后借助后装治疗机将源送到需要照射的部位，放射源的输送由工作人员在控制室遥控操作。先</w:t>
      </w:r>
      <w:proofErr w:type="gramStart"/>
      <w:r w:rsidRPr="00B12FE0">
        <w:rPr>
          <w:color w:val="000000" w:themeColor="text1"/>
        </w:rPr>
        <w:t>驱动假源</w:t>
      </w:r>
      <w:proofErr w:type="gramEnd"/>
      <w:r w:rsidRPr="00B12FE0">
        <w:rPr>
          <w:color w:val="000000" w:themeColor="text1"/>
        </w:rPr>
        <w:t>探路，正常后</w:t>
      </w:r>
      <w:proofErr w:type="gramStart"/>
      <w:r w:rsidRPr="00B12FE0">
        <w:rPr>
          <w:color w:val="000000" w:themeColor="text1"/>
        </w:rPr>
        <w:t>缩回假源</w:t>
      </w:r>
      <w:proofErr w:type="gramEnd"/>
      <w:r w:rsidRPr="00B12FE0">
        <w:rPr>
          <w:color w:val="000000" w:themeColor="text1"/>
        </w:rPr>
        <w:t>，再</w:t>
      </w:r>
      <w:proofErr w:type="gramStart"/>
      <w:r w:rsidRPr="00B12FE0">
        <w:rPr>
          <w:color w:val="000000" w:themeColor="text1"/>
        </w:rPr>
        <w:t>驱动真源按计划</w:t>
      </w:r>
      <w:proofErr w:type="gramEnd"/>
      <w:r w:rsidRPr="00B12FE0">
        <w:rPr>
          <w:color w:val="000000" w:themeColor="text1"/>
        </w:rPr>
        <w:t>执行治疗，放射源到位精度为</w:t>
      </w:r>
      <w:r w:rsidRPr="00B12FE0">
        <w:rPr>
          <w:color w:val="000000" w:themeColor="text1"/>
        </w:rPr>
        <w:t>mm</w:t>
      </w:r>
      <w:r w:rsidRPr="00B12FE0">
        <w:rPr>
          <w:color w:val="000000" w:themeColor="text1"/>
        </w:rPr>
        <w:t>级。</w:t>
      </w:r>
    </w:p>
    <w:p w14:paraId="07FFD7DC" w14:textId="77777777" w:rsidR="00A67F21" w:rsidRPr="00B12FE0" w:rsidRDefault="00000000">
      <w:pPr>
        <w:adjustRightInd w:val="0"/>
        <w:snapToGrid w:val="0"/>
        <w:spacing w:line="360" w:lineRule="auto"/>
        <w:ind w:firstLineChars="230" w:firstLine="552"/>
        <w:rPr>
          <w:color w:val="000000" w:themeColor="text1"/>
        </w:rPr>
      </w:pPr>
      <w:r w:rsidRPr="00B12FE0">
        <w:rPr>
          <w:color w:val="000000" w:themeColor="text1"/>
        </w:rPr>
        <w:t>治疗结束后，通过遥控控制源</w:t>
      </w:r>
      <w:proofErr w:type="gramStart"/>
      <w:r w:rsidRPr="00B12FE0">
        <w:rPr>
          <w:color w:val="000000" w:themeColor="text1"/>
        </w:rPr>
        <w:t>返回贮源器</w:t>
      </w:r>
      <w:proofErr w:type="gramEnd"/>
      <w:r w:rsidRPr="00B12FE0">
        <w:rPr>
          <w:color w:val="000000" w:themeColor="text1"/>
        </w:rPr>
        <w:t>内，系统装有联锁装置，在治疗室的门未关闭或按下紧急按钮时，</w:t>
      </w:r>
      <w:proofErr w:type="gramStart"/>
      <w:r w:rsidRPr="00B12FE0">
        <w:rPr>
          <w:color w:val="000000" w:themeColor="text1"/>
        </w:rPr>
        <w:t>源不会</w:t>
      </w:r>
      <w:proofErr w:type="gramEnd"/>
      <w:r w:rsidRPr="00B12FE0">
        <w:rPr>
          <w:color w:val="000000" w:themeColor="text1"/>
        </w:rPr>
        <w:t>送出或将已送出的源撤回，确认源安全</w:t>
      </w:r>
      <w:proofErr w:type="gramStart"/>
      <w:r w:rsidRPr="00B12FE0">
        <w:rPr>
          <w:color w:val="000000" w:themeColor="text1"/>
        </w:rPr>
        <w:t>返回贮源器</w:t>
      </w:r>
      <w:proofErr w:type="gramEnd"/>
      <w:r w:rsidRPr="00B12FE0">
        <w:rPr>
          <w:color w:val="000000" w:themeColor="text1"/>
        </w:rPr>
        <w:t>内，方可通过操作台控制打开迷路防护门，辐射工作人员将病人送出治疗室。</w:t>
      </w:r>
    </w:p>
    <w:p w14:paraId="7D08BC47" w14:textId="77777777" w:rsidR="00A67F21" w:rsidRPr="00B12FE0" w:rsidRDefault="00000000">
      <w:pPr>
        <w:tabs>
          <w:tab w:val="left" w:pos="5475"/>
        </w:tabs>
        <w:jc w:val="center"/>
        <w:rPr>
          <w:b/>
          <w:color w:val="000000" w:themeColor="text1"/>
          <w:sz w:val="21"/>
          <w:szCs w:val="21"/>
        </w:rPr>
      </w:pPr>
      <w:r w:rsidRPr="00B12FE0">
        <w:rPr>
          <w:b/>
          <w:noProof/>
          <w:color w:val="000000" w:themeColor="text1"/>
          <w:sz w:val="21"/>
          <w:szCs w:val="21"/>
        </w:rPr>
        <w:drawing>
          <wp:inline distT="0" distB="0" distL="114300" distR="114300" wp14:anchorId="01AC36FD" wp14:editId="46C63791">
            <wp:extent cx="5728335" cy="1732280"/>
            <wp:effectExtent l="0" t="0" r="0" b="0"/>
            <wp:docPr id="219871463" name="图片 202" descr="后装机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71463" name="图片 202" descr="后装机工艺流程图"/>
                    <pic:cNvPicPr>
                      <a:picLocks noChangeAspect="1"/>
                    </pic:cNvPicPr>
                  </pic:nvPicPr>
                  <pic:blipFill>
                    <a:blip r:embed="rId43"/>
                    <a:stretch>
                      <a:fillRect/>
                    </a:stretch>
                  </pic:blipFill>
                  <pic:spPr>
                    <a:xfrm>
                      <a:off x="0" y="0"/>
                      <a:ext cx="5728335" cy="1732280"/>
                    </a:xfrm>
                    <a:prstGeom prst="rect">
                      <a:avLst/>
                    </a:prstGeom>
                    <a:noFill/>
                    <a:ln w="9525">
                      <a:noFill/>
                    </a:ln>
                  </pic:spPr>
                </pic:pic>
              </a:graphicData>
            </a:graphic>
          </wp:inline>
        </w:drawing>
      </w:r>
    </w:p>
    <w:p w14:paraId="532BFA2F" w14:textId="77777777" w:rsidR="00A67F21" w:rsidRPr="00B12FE0" w:rsidRDefault="00000000">
      <w:pPr>
        <w:tabs>
          <w:tab w:val="left" w:pos="5475"/>
        </w:tabs>
        <w:spacing w:line="440" w:lineRule="exact"/>
        <w:ind w:firstLine="422"/>
        <w:jc w:val="center"/>
        <w:rPr>
          <w:b/>
          <w:color w:val="000000" w:themeColor="text1"/>
          <w:sz w:val="21"/>
          <w:szCs w:val="21"/>
        </w:rPr>
      </w:pPr>
      <w:r w:rsidRPr="00B12FE0">
        <w:rPr>
          <w:b/>
          <w:color w:val="000000" w:themeColor="text1"/>
          <w:sz w:val="21"/>
          <w:szCs w:val="21"/>
        </w:rPr>
        <w:t>图</w:t>
      </w:r>
      <w:r w:rsidRPr="00B12FE0">
        <w:rPr>
          <w:b/>
          <w:color w:val="000000" w:themeColor="text1"/>
          <w:sz w:val="21"/>
          <w:szCs w:val="21"/>
        </w:rPr>
        <w:t>9.</w:t>
      </w:r>
      <w:r w:rsidRPr="00B12FE0">
        <w:rPr>
          <w:rFonts w:hint="eastAsia"/>
          <w:b/>
          <w:color w:val="000000" w:themeColor="text1"/>
          <w:sz w:val="21"/>
          <w:szCs w:val="21"/>
        </w:rPr>
        <w:t>1</w:t>
      </w:r>
      <w:r w:rsidRPr="00B12FE0">
        <w:rPr>
          <w:b/>
          <w:color w:val="000000" w:themeColor="text1"/>
          <w:sz w:val="21"/>
          <w:szCs w:val="21"/>
        </w:rPr>
        <w:t>.2 -</w:t>
      </w:r>
      <w:r w:rsidRPr="00B12FE0">
        <w:rPr>
          <w:rFonts w:hint="eastAsia"/>
          <w:b/>
          <w:color w:val="000000" w:themeColor="text1"/>
          <w:sz w:val="21"/>
          <w:szCs w:val="21"/>
        </w:rPr>
        <w:t>7</w:t>
      </w:r>
      <w:r w:rsidRPr="00B12FE0">
        <w:rPr>
          <w:b/>
          <w:color w:val="000000" w:themeColor="text1"/>
          <w:sz w:val="21"/>
          <w:szCs w:val="21"/>
        </w:rPr>
        <w:t xml:space="preserve"> </w:t>
      </w:r>
      <w:r w:rsidRPr="00B12FE0">
        <w:rPr>
          <w:b/>
          <w:color w:val="000000" w:themeColor="text1"/>
          <w:sz w:val="21"/>
          <w:szCs w:val="21"/>
        </w:rPr>
        <w:t>后装机近距离治疗工作流程</w:t>
      </w:r>
      <w:proofErr w:type="gramStart"/>
      <w:r w:rsidRPr="00B12FE0">
        <w:rPr>
          <w:b/>
          <w:color w:val="000000" w:themeColor="text1"/>
          <w:sz w:val="21"/>
          <w:szCs w:val="21"/>
        </w:rPr>
        <w:t>及产污环节</w:t>
      </w:r>
      <w:proofErr w:type="gramEnd"/>
      <w:r w:rsidRPr="00B12FE0">
        <w:rPr>
          <w:b/>
          <w:color w:val="000000" w:themeColor="text1"/>
          <w:sz w:val="21"/>
          <w:szCs w:val="21"/>
        </w:rPr>
        <w:t>示意图</w:t>
      </w:r>
    </w:p>
    <w:p w14:paraId="5929C9CB" w14:textId="77777777" w:rsidR="00A67F21" w:rsidRPr="00B12FE0" w:rsidRDefault="00000000">
      <w:pPr>
        <w:widowControl/>
        <w:adjustRightInd w:val="0"/>
        <w:snapToGrid w:val="0"/>
        <w:spacing w:line="360" w:lineRule="auto"/>
        <w:ind w:firstLine="480"/>
        <w:rPr>
          <w:bCs/>
          <w:color w:val="000000" w:themeColor="text1"/>
        </w:rPr>
      </w:pPr>
      <w:r w:rsidRPr="00B12FE0">
        <w:rPr>
          <w:bCs/>
          <w:color w:val="000000" w:themeColor="text1"/>
        </w:rPr>
        <w:t>（</w:t>
      </w:r>
      <w:r w:rsidRPr="00B12FE0">
        <w:rPr>
          <w:bCs/>
          <w:color w:val="000000" w:themeColor="text1"/>
        </w:rPr>
        <w:t>4</w:t>
      </w:r>
      <w:r w:rsidRPr="00B12FE0">
        <w:rPr>
          <w:bCs/>
          <w:color w:val="000000" w:themeColor="text1"/>
        </w:rPr>
        <w:t>）</w:t>
      </w:r>
      <w:proofErr w:type="gramStart"/>
      <w:r w:rsidRPr="00B12FE0">
        <w:rPr>
          <w:bCs/>
          <w:color w:val="000000" w:themeColor="text1"/>
        </w:rPr>
        <w:t>换源操作</w:t>
      </w:r>
      <w:proofErr w:type="gramEnd"/>
    </w:p>
    <w:p w14:paraId="332F6017" w14:textId="77777777" w:rsidR="00A67F21" w:rsidRPr="00B12FE0" w:rsidRDefault="00000000">
      <w:pPr>
        <w:widowControl/>
        <w:adjustRightInd w:val="0"/>
        <w:snapToGrid w:val="0"/>
        <w:spacing w:line="360" w:lineRule="auto"/>
        <w:ind w:firstLine="480"/>
        <w:rPr>
          <w:bCs/>
          <w:color w:val="000000" w:themeColor="text1"/>
        </w:rPr>
      </w:pPr>
      <w:r w:rsidRPr="00B12FE0">
        <w:rPr>
          <w:bCs/>
          <w:color w:val="000000" w:themeColor="text1"/>
        </w:rPr>
        <w:lastRenderedPageBreak/>
        <w:t>根据放射源出厂活度，</w:t>
      </w:r>
      <w:r w:rsidRPr="00B12FE0">
        <w:rPr>
          <w:color w:val="000000" w:themeColor="text1"/>
        </w:rPr>
        <w:t>后装治疗机使用的</w:t>
      </w:r>
      <w:r w:rsidRPr="00B12FE0">
        <w:rPr>
          <w:color w:val="000000" w:themeColor="text1"/>
          <w:vertAlign w:val="superscript"/>
        </w:rPr>
        <w:t>192</w:t>
      </w:r>
      <w:r w:rsidRPr="00B12FE0">
        <w:rPr>
          <w:color w:val="000000" w:themeColor="text1"/>
        </w:rPr>
        <w:t>Ir</w:t>
      </w:r>
      <w:r w:rsidRPr="00B12FE0">
        <w:rPr>
          <w:color w:val="000000" w:themeColor="text1"/>
        </w:rPr>
        <w:t>放射源半衰期为</w:t>
      </w:r>
      <w:r w:rsidRPr="00B12FE0">
        <w:rPr>
          <w:color w:val="000000" w:themeColor="text1"/>
        </w:rPr>
        <w:t>74</w:t>
      </w:r>
      <w:r w:rsidRPr="00B12FE0">
        <w:rPr>
          <w:color w:val="000000" w:themeColor="text1"/>
        </w:rPr>
        <w:t>天，</w:t>
      </w:r>
      <w:r w:rsidRPr="00B12FE0">
        <w:rPr>
          <w:color w:val="000000" w:themeColor="text1"/>
          <w:spacing w:val="-3"/>
        </w:rPr>
        <w:t>使用达到</w:t>
      </w:r>
      <w:r w:rsidRPr="00B12FE0">
        <w:rPr>
          <w:color w:val="000000" w:themeColor="text1"/>
          <w:spacing w:val="-3"/>
        </w:rPr>
        <w:t>1.5</w:t>
      </w:r>
      <w:r w:rsidRPr="00B12FE0">
        <w:rPr>
          <w:color w:val="000000" w:themeColor="text1"/>
          <w:spacing w:val="-3"/>
        </w:rPr>
        <w:t>个半衰期时需更换</w:t>
      </w:r>
      <w:r w:rsidRPr="00B12FE0">
        <w:rPr>
          <w:rFonts w:hint="eastAsia"/>
          <w:color w:val="000000" w:themeColor="text1"/>
          <w:spacing w:val="-3"/>
        </w:rPr>
        <w:t>，</w:t>
      </w:r>
      <w:r w:rsidRPr="00B12FE0">
        <w:rPr>
          <w:bCs/>
          <w:color w:val="000000" w:themeColor="text1"/>
        </w:rPr>
        <w:t>后装机每年需要更新放射源</w:t>
      </w:r>
      <w:r w:rsidRPr="00B12FE0">
        <w:rPr>
          <w:rFonts w:hint="eastAsia"/>
          <w:bCs/>
          <w:color w:val="000000" w:themeColor="text1"/>
        </w:rPr>
        <w:t>3</w:t>
      </w:r>
      <w:r w:rsidRPr="00B12FE0">
        <w:rPr>
          <w:bCs/>
          <w:color w:val="000000" w:themeColor="text1"/>
        </w:rPr>
        <w:t>次。</w:t>
      </w:r>
      <w:proofErr w:type="gramStart"/>
      <w:r w:rsidRPr="00B12FE0">
        <w:rPr>
          <w:bCs/>
          <w:color w:val="000000" w:themeColor="text1"/>
        </w:rPr>
        <w:t>废源由</w:t>
      </w:r>
      <w:proofErr w:type="gramEnd"/>
      <w:r w:rsidRPr="00B12FE0">
        <w:rPr>
          <w:bCs/>
          <w:color w:val="000000" w:themeColor="text1"/>
        </w:rPr>
        <w:t>设备厂家按照合同协定负责调换、运输、处置，医院负责日常安全使用及管理。</w:t>
      </w:r>
      <w:r w:rsidRPr="00B12FE0">
        <w:rPr>
          <w:bCs/>
          <w:color w:val="000000" w:themeColor="text1"/>
          <w:vertAlign w:val="superscript"/>
        </w:rPr>
        <w:t>192</w:t>
      </w:r>
      <w:r w:rsidRPr="00B12FE0">
        <w:rPr>
          <w:bCs/>
          <w:color w:val="000000" w:themeColor="text1"/>
        </w:rPr>
        <w:t>Ir</w:t>
      </w:r>
      <w:r w:rsidRPr="00B12FE0">
        <w:rPr>
          <w:bCs/>
          <w:color w:val="000000" w:themeColor="text1"/>
        </w:rPr>
        <w:t>后</w:t>
      </w:r>
      <w:proofErr w:type="gramStart"/>
      <w:r w:rsidRPr="00B12FE0">
        <w:rPr>
          <w:bCs/>
          <w:color w:val="000000" w:themeColor="text1"/>
        </w:rPr>
        <w:t>装机换源时</w:t>
      </w:r>
      <w:proofErr w:type="gramEnd"/>
      <w:r w:rsidRPr="00B12FE0">
        <w:rPr>
          <w:bCs/>
          <w:color w:val="000000" w:themeColor="text1"/>
        </w:rPr>
        <w:t>需制定周密的计划，并且报相关部门备案。</w:t>
      </w:r>
    </w:p>
    <w:p w14:paraId="3B86290C" w14:textId="77777777" w:rsidR="00A67F21" w:rsidRPr="00B12FE0" w:rsidRDefault="00000000">
      <w:pPr>
        <w:widowControl/>
        <w:adjustRightInd w:val="0"/>
        <w:snapToGrid w:val="0"/>
        <w:spacing w:line="360" w:lineRule="auto"/>
        <w:ind w:firstLine="480"/>
        <w:rPr>
          <w:bCs/>
          <w:color w:val="000000" w:themeColor="text1"/>
        </w:rPr>
      </w:pPr>
      <w:r w:rsidRPr="00B12FE0">
        <w:rPr>
          <w:bCs/>
          <w:color w:val="000000" w:themeColor="text1"/>
        </w:rPr>
        <w:t>换源流</w:t>
      </w:r>
      <w:proofErr w:type="gramStart"/>
      <w:r w:rsidRPr="00B12FE0">
        <w:rPr>
          <w:bCs/>
          <w:color w:val="000000" w:themeColor="text1"/>
        </w:rPr>
        <w:t>程具体</w:t>
      </w:r>
      <w:proofErr w:type="gramEnd"/>
      <w:r w:rsidRPr="00B12FE0">
        <w:rPr>
          <w:bCs/>
          <w:color w:val="000000" w:themeColor="text1"/>
        </w:rPr>
        <w:t>如下：</w:t>
      </w:r>
      <w:proofErr w:type="gramStart"/>
      <w:r w:rsidRPr="00B12FE0">
        <w:rPr>
          <w:bCs/>
          <w:color w:val="000000" w:themeColor="text1"/>
        </w:rPr>
        <w:t>换源工作人员</w:t>
      </w:r>
      <w:proofErr w:type="gramEnd"/>
      <w:r w:rsidRPr="00B12FE0">
        <w:rPr>
          <w:bCs/>
          <w:color w:val="000000" w:themeColor="text1"/>
        </w:rPr>
        <w:t>先行将专用</w:t>
      </w:r>
      <w:proofErr w:type="gramStart"/>
      <w:r w:rsidRPr="00B12FE0">
        <w:rPr>
          <w:bCs/>
          <w:color w:val="000000" w:themeColor="text1"/>
        </w:rPr>
        <w:t>的贮源器</w:t>
      </w:r>
      <w:proofErr w:type="gramEnd"/>
      <w:r w:rsidRPr="00B12FE0">
        <w:rPr>
          <w:bCs/>
          <w:color w:val="000000" w:themeColor="text1"/>
        </w:rPr>
        <w:t>（</w:t>
      </w:r>
      <w:proofErr w:type="gramStart"/>
      <w:r w:rsidRPr="00B12FE0">
        <w:rPr>
          <w:bCs/>
          <w:color w:val="000000" w:themeColor="text1"/>
        </w:rPr>
        <w:t>专用贮源器</w:t>
      </w:r>
      <w:proofErr w:type="gramEnd"/>
      <w:r w:rsidRPr="00B12FE0">
        <w:rPr>
          <w:bCs/>
          <w:color w:val="000000" w:themeColor="text1"/>
        </w:rPr>
        <w:t>的屏蔽能力与后装机未出源时的屏蔽能力基本一致）与后装机</w:t>
      </w:r>
      <w:proofErr w:type="gramStart"/>
      <w:r w:rsidRPr="00B12FE0">
        <w:rPr>
          <w:bCs/>
          <w:color w:val="000000" w:themeColor="text1"/>
        </w:rPr>
        <w:t>用输源管</w:t>
      </w:r>
      <w:proofErr w:type="gramEnd"/>
      <w:r w:rsidRPr="00B12FE0">
        <w:rPr>
          <w:bCs/>
          <w:color w:val="000000" w:themeColor="text1"/>
        </w:rPr>
        <w:t>连接，然后退出机房，关闭防护门，通过电脑控制其出源，</w:t>
      </w:r>
      <w:proofErr w:type="gramStart"/>
      <w:r w:rsidRPr="00B12FE0">
        <w:rPr>
          <w:bCs/>
          <w:color w:val="000000" w:themeColor="text1"/>
        </w:rPr>
        <w:t>源进入</w:t>
      </w:r>
      <w:proofErr w:type="gramEnd"/>
      <w:r w:rsidRPr="00B12FE0">
        <w:rPr>
          <w:bCs/>
          <w:color w:val="000000" w:themeColor="text1"/>
        </w:rPr>
        <w:t>专用</w:t>
      </w:r>
      <w:proofErr w:type="gramStart"/>
      <w:r w:rsidRPr="00B12FE0">
        <w:rPr>
          <w:bCs/>
          <w:color w:val="000000" w:themeColor="text1"/>
        </w:rPr>
        <w:t>的贮源器</w:t>
      </w:r>
      <w:proofErr w:type="gramEnd"/>
      <w:r w:rsidRPr="00B12FE0">
        <w:rPr>
          <w:bCs/>
          <w:color w:val="000000" w:themeColor="text1"/>
        </w:rPr>
        <w:t>后，待回收；</w:t>
      </w:r>
      <w:proofErr w:type="gramStart"/>
      <w:r w:rsidRPr="00B12FE0">
        <w:rPr>
          <w:bCs/>
          <w:color w:val="000000" w:themeColor="text1"/>
        </w:rPr>
        <w:t>然后换源工作人员</w:t>
      </w:r>
      <w:proofErr w:type="gramEnd"/>
      <w:r w:rsidRPr="00B12FE0">
        <w:rPr>
          <w:bCs/>
          <w:color w:val="000000" w:themeColor="text1"/>
        </w:rPr>
        <w:t>将含有新源的</w:t>
      </w:r>
      <w:proofErr w:type="gramStart"/>
      <w:r w:rsidRPr="00B12FE0">
        <w:rPr>
          <w:bCs/>
          <w:color w:val="000000" w:themeColor="text1"/>
        </w:rPr>
        <w:t>专用贮源器</w:t>
      </w:r>
      <w:proofErr w:type="gramEnd"/>
      <w:r w:rsidRPr="00B12FE0">
        <w:rPr>
          <w:bCs/>
          <w:color w:val="000000" w:themeColor="text1"/>
        </w:rPr>
        <w:t>上一根长约</w:t>
      </w:r>
      <w:r w:rsidRPr="00B12FE0">
        <w:rPr>
          <w:bCs/>
          <w:color w:val="000000" w:themeColor="text1"/>
        </w:rPr>
        <w:t>1m</w:t>
      </w:r>
      <w:r w:rsidRPr="00B12FE0">
        <w:rPr>
          <w:bCs/>
          <w:color w:val="000000" w:themeColor="text1"/>
        </w:rPr>
        <w:t>的钢丝连接到后装机（钢丝的另一端即为新源），然后退出机房，关闭防护门，通过电脑控制将钢丝连同新源一起进入后装机，完成</w:t>
      </w:r>
      <w:proofErr w:type="gramStart"/>
      <w:r w:rsidRPr="00B12FE0">
        <w:rPr>
          <w:bCs/>
          <w:color w:val="000000" w:themeColor="text1"/>
        </w:rPr>
        <w:t>一次换源工作</w:t>
      </w:r>
      <w:proofErr w:type="gramEnd"/>
      <w:r w:rsidRPr="00B12FE0">
        <w:rPr>
          <w:bCs/>
          <w:color w:val="000000" w:themeColor="text1"/>
        </w:rPr>
        <w:t>，</w:t>
      </w:r>
      <w:proofErr w:type="gramStart"/>
      <w:r w:rsidRPr="00B12FE0">
        <w:rPr>
          <w:bCs/>
          <w:color w:val="000000" w:themeColor="text1"/>
        </w:rPr>
        <w:t>废源由</w:t>
      </w:r>
      <w:proofErr w:type="gramEnd"/>
      <w:r w:rsidRPr="00B12FE0">
        <w:rPr>
          <w:bCs/>
          <w:color w:val="000000" w:themeColor="text1"/>
        </w:rPr>
        <w:t>放射源供货单位负责回收，不在医院后装机房内暂存。</w:t>
      </w:r>
    </w:p>
    <w:p w14:paraId="24E19145" w14:textId="77777777" w:rsidR="00A67F21" w:rsidRPr="00B12FE0" w:rsidRDefault="00000000">
      <w:pPr>
        <w:widowControl/>
        <w:adjustRightInd w:val="0"/>
        <w:snapToGrid w:val="0"/>
        <w:spacing w:line="360" w:lineRule="auto"/>
        <w:ind w:firstLineChars="200" w:firstLine="482"/>
        <w:rPr>
          <w:b/>
          <w:color w:val="000000" w:themeColor="text1"/>
        </w:rPr>
      </w:pPr>
      <w:r w:rsidRPr="00B12FE0">
        <w:rPr>
          <w:b/>
          <w:color w:val="000000" w:themeColor="text1"/>
        </w:rPr>
        <w:t>（</w:t>
      </w:r>
      <w:r w:rsidRPr="00B12FE0">
        <w:rPr>
          <w:b/>
          <w:color w:val="000000" w:themeColor="text1"/>
        </w:rPr>
        <w:t>5</w:t>
      </w:r>
      <w:r w:rsidRPr="00B12FE0">
        <w:rPr>
          <w:b/>
          <w:color w:val="000000" w:themeColor="text1"/>
        </w:rPr>
        <w:t>）人员路径（</w:t>
      </w:r>
      <w:r w:rsidRPr="00B12FE0">
        <w:rPr>
          <w:rFonts w:hint="eastAsia"/>
          <w:b/>
          <w:color w:val="000000" w:themeColor="text1"/>
          <w:lang w:eastAsia="zh-Hans"/>
        </w:rPr>
        <w:t>详见附图</w:t>
      </w:r>
      <w:r w:rsidRPr="00B12FE0">
        <w:rPr>
          <w:rFonts w:hint="eastAsia"/>
          <w:b/>
          <w:color w:val="000000" w:themeColor="text1"/>
        </w:rPr>
        <w:t>13</w:t>
      </w:r>
      <w:r w:rsidRPr="00B12FE0">
        <w:rPr>
          <w:b/>
          <w:color w:val="000000" w:themeColor="text1"/>
          <w:lang w:eastAsia="zh-Hans"/>
        </w:rPr>
        <w:t>）</w:t>
      </w:r>
    </w:p>
    <w:p w14:paraId="7C8ECAB8" w14:textId="77777777" w:rsidR="00A67F21" w:rsidRPr="00B12FE0" w:rsidRDefault="00000000">
      <w:pPr>
        <w:topLinePunct/>
        <w:autoSpaceDE w:val="0"/>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rPr>
        <w:t>①</w:t>
      </w:r>
      <w:r w:rsidRPr="00B12FE0">
        <w:rPr>
          <w:color w:val="000000" w:themeColor="text1"/>
        </w:rPr>
        <w:t>患者路径</w:t>
      </w:r>
    </w:p>
    <w:p w14:paraId="0D040010" w14:textId="77777777" w:rsidR="00A67F21" w:rsidRPr="00B12FE0" w:rsidRDefault="00000000">
      <w:pPr>
        <w:topLinePunct/>
        <w:autoSpaceDE w:val="0"/>
        <w:adjustRightInd w:val="0"/>
        <w:snapToGrid w:val="0"/>
        <w:spacing w:line="360" w:lineRule="auto"/>
        <w:ind w:firstLineChars="200" w:firstLine="480"/>
        <w:rPr>
          <w:color w:val="000000" w:themeColor="text1"/>
        </w:rPr>
      </w:pPr>
      <w:r w:rsidRPr="00B12FE0">
        <w:rPr>
          <w:rFonts w:hint="eastAsia"/>
          <w:color w:val="000000" w:themeColor="text1"/>
        </w:rPr>
        <w:t>患者在放疗科南侧候诊区进行候诊，</w:t>
      </w:r>
      <w:r w:rsidRPr="00B12FE0">
        <w:rPr>
          <w:color w:val="000000" w:themeColor="text1"/>
        </w:rPr>
        <w:t>患者</w:t>
      </w:r>
      <w:r w:rsidRPr="00B12FE0">
        <w:rPr>
          <w:rFonts w:hint="eastAsia"/>
          <w:color w:val="000000" w:themeColor="text1"/>
        </w:rPr>
        <w:t>后装机机房南侧</w:t>
      </w:r>
      <w:proofErr w:type="gramStart"/>
      <w:r w:rsidRPr="00B12FE0">
        <w:rPr>
          <w:rFonts w:hint="eastAsia"/>
          <w:color w:val="000000" w:themeColor="text1"/>
          <w:szCs w:val="24"/>
        </w:rPr>
        <w:t>医</w:t>
      </w:r>
      <w:proofErr w:type="gramEnd"/>
      <w:r w:rsidRPr="00B12FE0">
        <w:rPr>
          <w:rFonts w:hint="eastAsia"/>
          <w:color w:val="000000" w:themeColor="text1"/>
          <w:szCs w:val="24"/>
        </w:rPr>
        <w:t>患</w:t>
      </w:r>
      <w:r w:rsidRPr="00B12FE0">
        <w:rPr>
          <w:color w:val="000000" w:themeColor="text1"/>
          <w:szCs w:val="24"/>
        </w:rPr>
        <w:t>通道</w:t>
      </w:r>
      <w:r w:rsidRPr="00B12FE0">
        <w:rPr>
          <w:color w:val="000000" w:themeColor="text1"/>
        </w:rPr>
        <w:t>进入</w:t>
      </w:r>
      <w:r w:rsidRPr="00B12FE0">
        <w:rPr>
          <w:rFonts w:hint="eastAsia"/>
          <w:color w:val="000000" w:themeColor="text1"/>
        </w:rPr>
        <w:t>缓冲区，由缓冲区进入</w:t>
      </w:r>
      <w:r w:rsidRPr="00B12FE0">
        <w:rPr>
          <w:color w:val="000000" w:themeColor="text1"/>
        </w:rPr>
        <w:t>患者</w:t>
      </w:r>
      <w:r w:rsidRPr="00B12FE0">
        <w:rPr>
          <w:rFonts w:hint="eastAsia"/>
          <w:color w:val="000000" w:themeColor="text1"/>
        </w:rPr>
        <w:t>准备</w:t>
      </w:r>
      <w:r w:rsidRPr="00B12FE0">
        <w:rPr>
          <w:color w:val="000000" w:themeColor="text1"/>
        </w:rPr>
        <w:t>区，根据叫号后进入后装机房进行治疗，治疗结束后原路返回。</w:t>
      </w:r>
    </w:p>
    <w:p w14:paraId="6D832C2B" w14:textId="77777777" w:rsidR="00A67F21" w:rsidRPr="00B12FE0" w:rsidRDefault="00000000">
      <w:pPr>
        <w:topLinePunct/>
        <w:autoSpaceDE w:val="0"/>
        <w:adjustRightInd w:val="0"/>
        <w:snapToGrid w:val="0"/>
        <w:spacing w:line="360" w:lineRule="auto"/>
        <w:ind w:firstLineChars="200" w:firstLine="480"/>
        <w:rPr>
          <w:color w:val="000000" w:themeColor="text1"/>
        </w:rPr>
      </w:pPr>
      <w:r w:rsidRPr="00B12FE0">
        <w:rPr>
          <w:rFonts w:ascii="宋体" w:hAnsi="宋体" w:cs="宋体" w:hint="eastAsia"/>
          <w:color w:val="000000" w:themeColor="text1"/>
        </w:rPr>
        <w:t>②</w:t>
      </w:r>
      <w:r w:rsidRPr="00B12FE0">
        <w:rPr>
          <w:color w:val="000000" w:themeColor="text1"/>
        </w:rPr>
        <w:t>医护人员路径</w:t>
      </w:r>
    </w:p>
    <w:p w14:paraId="5C425CF7" w14:textId="77777777" w:rsidR="00A67F21" w:rsidRPr="00B12FE0" w:rsidRDefault="00000000">
      <w:pPr>
        <w:topLinePunct/>
        <w:autoSpaceDE w:val="0"/>
        <w:adjustRightInd w:val="0"/>
        <w:snapToGrid w:val="0"/>
        <w:spacing w:line="360" w:lineRule="auto"/>
        <w:ind w:firstLineChars="200" w:firstLine="480"/>
        <w:rPr>
          <w:bCs/>
          <w:color w:val="000000" w:themeColor="text1"/>
        </w:rPr>
      </w:pPr>
      <w:r w:rsidRPr="00B12FE0">
        <w:rPr>
          <w:color w:val="000000" w:themeColor="text1"/>
        </w:rPr>
        <w:t>医护人员通过</w:t>
      </w:r>
      <w:proofErr w:type="gramStart"/>
      <w:r w:rsidRPr="00B12FE0">
        <w:rPr>
          <w:rFonts w:hint="eastAsia"/>
          <w:color w:val="000000" w:themeColor="text1"/>
        </w:rPr>
        <w:t>医</w:t>
      </w:r>
      <w:proofErr w:type="gramEnd"/>
      <w:r w:rsidRPr="00B12FE0">
        <w:rPr>
          <w:rFonts w:hint="eastAsia"/>
          <w:color w:val="000000" w:themeColor="text1"/>
        </w:rPr>
        <w:t>患通道</w:t>
      </w:r>
      <w:r w:rsidRPr="00B12FE0">
        <w:rPr>
          <w:color w:val="000000" w:themeColor="text1"/>
        </w:rPr>
        <w:t>进入放疗</w:t>
      </w:r>
      <w:proofErr w:type="gramStart"/>
      <w:r w:rsidRPr="00B12FE0">
        <w:rPr>
          <w:color w:val="000000" w:themeColor="text1"/>
        </w:rPr>
        <w:t>科</w:t>
      </w:r>
      <w:r w:rsidRPr="00B12FE0">
        <w:rPr>
          <w:rFonts w:hint="eastAsia"/>
          <w:color w:val="000000" w:themeColor="text1"/>
        </w:rPr>
        <w:t>患者</w:t>
      </w:r>
      <w:proofErr w:type="gramEnd"/>
      <w:r w:rsidRPr="00B12FE0">
        <w:rPr>
          <w:rFonts w:hint="eastAsia"/>
          <w:color w:val="000000" w:themeColor="text1"/>
        </w:rPr>
        <w:t>候诊区，</w:t>
      </w:r>
      <w:r w:rsidRPr="00B12FE0">
        <w:rPr>
          <w:color w:val="000000" w:themeColor="text1"/>
        </w:rPr>
        <w:t>随后进入后装机房的控制室，</w:t>
      </w:r>
      <w:r w:rsidRPr="00B12FE0">
        <w:rPr>
          <w:bCs/>
          <w:color w:val="000000" w:themeColor="text1"/>
        </w:rPr>
        <w:t>完成工作后原路返回。</w:t>
      </w:r>
    </w:p>
    <w:p w14:paraId="78F54692" w14:textId="77777777" w:rsidR="00A67F21" w:rsidRPr="00B12FE0" w:rsidRDefault="00000000">
      <w:pPr>
        <w:spacing w:line="360" w:lineRule="auto"/>
        <w:rPr>
          <w:b/>
          <w:snapToGrid w:val="0"/>
          <w:color w:val="000000" w:themeColor="text1"/>
          <w:szCs w:val="24"/>
        </w:rPr>
      </w:pPr>
      <w:r w:rsidRPr="00B12FE0">
        <w:rPr>
          <w:b/>
          <w:bCs/>
          <w:snapToGrid w:val="0"/>
          <w:color w:val="000000" w:themeColor="text1"/>
          <w:szCs w:val="24"/>
        </w:rPr>
        <w:t>9.</w:t>
      </w:r>
      <w:r w:rsidRPr="00B12FE0">
        <w:rPr>
          <w:rFonts w:hint="eastAsia"/>
          <w:b/>
          <w:bCs/>
          <w:snapToGrid w:val="0"/>
          <w:color w:val="000000" w:themeColor="text1"/>
          <w:szCs w:val="24"/>
        </w:rPr>
        <w:t>1.2.3</w:t>
      </w:r>
      <w:r w:rsidRPr="00B12FE0">
        <w:rPr>
          <w:b/>
          <w:snapToGrid w:val="0"/>
          <w:color w:val="000000" w:themeColor="text1"/>
          <w:szCs w:val="24"/>
        </w:rPr>
        <w:t>模拟定位</w:t>
      </w:r>
      <w:r w:rsidRPr="00B12FE0">
        <w:rPr>
          <w:b/>
          <w:snapToGrid w:val="0"/>
          <w:color w:val="000000" w:themeColor="text1"/>
          <w:szCs w:val="24"/>
        </w:rPr>
        <w:t>CT</w:t>
      </w:r>
      <w:r w:rsidRPr="00B12FE0">
        <w:rPr>
          <w:b/>
          <w:snapToGrid w:val="0"/>
          <w:color w:val="000000" w:themeColor="text1"/>
          <w:szCs w:val="24"/>
        </w:rPr>
        <w:t>机</w:t>
      </w:r>
    </w:p>
    <w:p w14:paraId="74A13CE2" w14:textId="77777777" w:rsidR="00A67F21" w:rsidRPr="00B12FE0" w:rsidRDefault="00000000">
      <w:pPr>
        <w:adjustRightInd w:val="0"/>
        <w:snapToGrid w:val="0"/>
        <w:spacing w:line="360" w:lineRule="auto"/>
        <w:ind w:firstLine="480"/>
        <w:rPr>
          <w:b/>
          <w:bCs/>
          <w:snapToGrid w:val="0"/>
          <w:color w:val="000000" w:themeColor="text1"/>
          <w:szCs w:val="24"/>
        </w:rPr>
      </w:pPr>
      <w:r w:rsidRPr="00B12FE0">
        <w:rPr>
          <w:b/>
          <w:bCs/>
          <w:snapToGrid w:val="0"/>
          <w:color w:val="000000" w:themeColor="text1"/>
          <w:szCs w:val="24"/>
        </w:rPr>
        <w:t>（</w:t>
      </w:r>
      <w:r w:rsidRPr="00B12FE0">
        <w:rPr>
          <w:b/>
          <w:bCs/>
          <w:snapToGrid w:val="0"/>
          <w:color w:val="000000" w:themeColor="text1"/>
          <w:szCs w:val="24"/>
        </w:rPr>
        <w:t>1</w:t>
      </w:r>
      <w:r w:rsidRPr="00B12FE0">
        <w:rPr>
          <w:b/>
          <w:bCs/>
          <w:snapToGrid w:val="0"/>
          <w:color w:val="000000" w:themeColor="text1"/>
          <w:szCs w:val="24"/>
        </w:rPr>
        <w:t>）设备技术参数</w:t>
      </w:r>
    </w:p>
    <w:p w14:paraId="68A98F07" w14:textId="77777777" w:rsidR="00A67F21" w:rsidRPr="00B12FE0" w:rsidRDefault="00000000">
      <w:pPr>
        <w:adjustRightInd w:val="0"/>
        <w:snapToGrid w:val="0"/>
        <w:spacing w:line="360" w:lineRule="auto"/>
        <w:ind w:firstLine="480"/>
        <w:rPr>
          <w:bCs/>
          <w:snapToGrid w:val="0"/>
          <w:color w:val="000000" w:themeColor="text1"/>
          <w:szCs w:val="24"/>
        </w:rPr>
      </w:pPr>
      <w:r w:rsidRPr="00B12FE0">
        <w:rPr>
          <w:bCs/>
          <w:snapToGrid w:val="0"/>
          <w:color w:val="000000" w:themeColor="text1"/>
          <w:szCs w:val="24"/>
        </w:rPr>
        <w:t>根据建设单位配置计划，拟购</w:t>
      </w:r>
      <w:r w:rsidRPr="00B12FE0">
        <w:rPr>
          <w:bCs/>
          <w:snapToGrid w:val="0"/>
          <w:color w:val="000000" w:themeColor="text1"/>
          <w:szCs w:val="24"/>
        </w:rPr>
        <w:t>1</w:t>
      </w:r>
      <w:r w:rsidRPr="00B12FE0">
        <w:rPr>
          <w:bCs/>
          <w:snapToGrid w:val="0"/>
          <w:color w:val="000000" w:themeColor="text1"/>
          <w:szCs w:val="24"/>
        </w:rPr>
        <w:t>台模拟定位</w:t>
      </w:r>
      <w:r w:rsidRPr="00B12FE0">
        <w:rPr>
          <w:bCs/>
          <w:snapToGrid w:val="0"/>
          <w:color w:val="000000" w:themeColor="text1"/>
          <w:szCs w:val="24"/>
        </w:rPr>
        <w:t>CT</w:t>
      </w:r>
      <w:r w:rsidRPr="00B12FE0">
        <w:rPr>
          <w:bCs/>
          <w:snapToGrid w:val="0"/>
          <w:color w:val="000000" w:themeColor="text1"/>
          <w:szCs w:val="24"/>
        </w:rPr>
        <w:t>机，主要技术参数如下表所示。</w:t>
      </w:r>
    </w:p>
    <w:p w14:paraId="4BE0F328" w14:textId="77777777" w:rsidR="00A67F21" w:rsidRPr="00B12FE0" w:rsidRDefault="00000000">
      <w:pPr>
        <w:jc w:val="center"/>
        <w:rPr>
          <w:b/>
          <w:snapToGrid w:val="0"/>
          <w:color w:val="000000" w:themeColor="text1"/>
          <w:sz w:val="21"/>
          <w:szCs w:val="21"/>
        </w:rPr>
      </w:pPr>
      <w:r w:rsidRPr="00B12FE0">
        <w:rPr>
          <w:rFonts w:ascii="宋体" w:hAnsi="宋体"/>
          <w:b/>
          <w:snapToGrid w:val="0"/>
          <w:color w:val="000000" w:themeColor="text1"/>
          <w:sz w:val="21"/>
          <w:szCs w:val="21"/>
        </w:rPr>
        <w:t>表</w:t>
      </w:r>
      <w:r w:rsidRPr="00B12FE0">
        <w:rPr>
          <w:b/>
          <w:snapToGrid w:val="0"/>
          <w:color w:val="000000" w:themeColor="text1"/>
          <w:sz w:val="21"/>
          <w:szCs w:val="21"/>
        </w:rPr>
        <w:t>9.</w:t>
      </w:r>
      <w:r w:rsidRPr="00B12FE0">
        <w:rPr>
          <w:rFonts w:hint="eastAsia"/>
          <w:b/>
          <w:snapToGrid w:val="0"/>
          <w:color w:val="000000" w:themeColor="text1"/>
          <w:sz w:val="21"/>
          <w:szCs w:val="21"/>
        </w:rPr>
        <w:t>1</w:t>
      </w:r>
      <w:r w:rsidRPr="00B12FE0">
        <w:rPr>
          <w:b/>
          <w:snapToGrid w:val="0"/>
          <w:color w:val="000000" w:themeColor="text1"/>
          <w:sz w:val="21"/>
          <w:szCs w:val="21"/>
        </w:rPr>
        <w:t xml:space="preserve">.2-3 </w:t>
      </w:r>
      <w:r w:rsidRPr="00B12FE0">
        <w:rPr>
          <w:rFonts w:ascii="宋体" w:hAnsi="宋体"/>
          <w:b/>
          <w:snapToGrid w:val="0"/>
          <w:color w:val="000000" w:themeColor="text1"/>
          <w:sz w:val="21"/>
          <w:szCs w:val="21"/>
        </w:rPr>
        <w:t>模拟定位机的技术参数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931"/>
        <w:gridCol w:w="967"/>
        <w:gridCol w:w="756"/>
        <w:gridCol w:w="1276"/>
        <w:gridCol w:w="1276"/>
        <w:gridCol w:w="2244"/>
      </w:tblGrid>
      <w:tr w:rsidR="00A67F21" w:rsidRPr="00B12FE0" w14:paraId="6851C94A" w14:textId="77777777">
        <w:trPr>
          <w:trHeight w:val="340"/>
          <w:jc w:val="center"/>
        </w:trPr>
        <w:tc>
          <w:tcPr>
            <w:tcW w:w="1340" w:type="dxa"/>
            <w:tcBorders>
              <w:top w:val="single" w:sz="4" w:space="0" w:color="auto"/>
              <w:left w:val="single" w:sz="4" w:space="0" w:color="auto"/>
              <w:bottom w:val="single" w:sz="4" w:space="0" w:color="auto"/>
              <w:right w:val="single" w:sz="4" w:space="0" w:color="auto"/>
            </w:tcBorders>
            <w:vAlign w:val="center"/>
          </w:tcPr>
          <w:p w14:paraId="0FDD29CA"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装置名称</w:t>
            </w:r>
          </w:p>
        </w:tc>
        <w:tc>
          <w:tcPr>
            <w:tcW w:w="931" w:type="dxa"/>
            <w:tcBorders>
              <w:top w:val="single" w:sz="4" w:space="0" w:color="auto"/>
              <w:left w:val="single" w:sz="4" w:space="0" w:color="auto"/>
              <w:bottom w:val="single" w:sz="4" w:space="0" w:color="auto"/>
              <w:right w:val="single" w:sz="4" w:space="0" w:color="auto"/>
            </w:tcBorders>
            <w:vAlign w:val="center"/>
          </w:tcPr>
          <w:p w14:paraId="3298DF35"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类别</w:t>
            </w:r>
          </w:p>
        </w:tc>
        <w:tc>
          <w:tcPr>
            <w:tcW w:w="967" w:type="dxa"/>
            <w:tcBorders>
              <w:top w:val="single" w:sz="4" w:space="0" w:color="auto"/>
              <w:left w:val="single" w:sz="4" w:space="0" w:color="auto"/>
              <w:bottom w:val="single" w:sz="4" w:space="0" w:color="auto"/>
              <w:right w:val="single" w:sz="4" w:space="0" w:color="auto"/>
            </w:tcBorders>
            <w:vAlign w:val="center"/>
          </w:tcPr>
          <w:p w14:paraId="2DB7D044"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数量</w:t>
            </w:r>
          </w:p>
        </w:tc>
        <w:tc>
          <w:tcPr>
            <w:tcW w:w="756" w:type="dxa"/>
            <w:tcBorders>
              <w:top w:val="single" w:sz="4" w:space="0" w:color="auto"/>
              <w:left w:val="single" w:sz="4" w:space="0" w:color="auto"/>
              <w:bottom w:val="single" w:sz="4" w:space="0" w:color="auto"/>
              <w:right w:val="single" w:sz="4" w:space="0" w:color="auto"/>
            </w:tcBorders>
            <w:vAlign w:val="center"/>
          </w:tcPr>
          <w:p w14:paraId="7FBD9CA3"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型号</w:t>
            </w:r>
          </w:p>
        </w:tc>
        <w:tc>
          <w:tcPr>
            <w:tcW w:w="1276" w:type="dxa"/>
            <w:tcBorders>
              <w:top w:val="single" w:sz="4" w:space="0" w:color="auto"/>
              <w:left w:val="single" w:sz="4" w:space="0" w:color="auto"/>
              <w:bottom w:val="single" w:sz="4" w:space="0" w:color="auto"/>
              <w:right w:val="single" w:sz="4" w:space="0" w:color="auto"/>
            </w:tcBorders>
            <w:vAlign w:val="center"/>
          </w:tcPr>
          <w:p w14:paraId="282F148C"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最大管电压</w:t>
            </w:r>
          </w:p>
        </w:tc>
        <w:tc>
          <w:tcPr>
            <w:tcW w:w="1276" w:type="dxa"/>
            <w:tcBorders>
              <w:top w:val="single" w:sz="4" w:space="0" w:color="auto"/>
              <w:left w:val="single" w:sz="4" w:space="0" w:color="auto"/>
              <w:bottom w:val="single" w:sz="4" w:space="0" w:color="auto"/>
              <w:right w:val="single" w:sz="4" w:space="0" w:color="auto"/>
            </w:tcBorders>
            <w:vAlign w:val="center"/>
          </w:tcPr>
          <w:p w14:paraId="3134181A"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最大管电流</w:t>
            </w:r>
          </w:p>
        </w:tc>
        <w:tc>
          <w:tcPr>
            <w:tcW w:w="2244" w:type="dxa"/>
            <w:tcBorders>
              <w:top w:val="single" w:sz="4" w:space="0" w:color="auto"/>
              <w:left w:val="single" w:sz="4" w:space="0" w:color="auto"/>
              <w:bottom w:val="single" w:sz="4" w:space="0" w:color="auto"/>
              <w:right w:val="single" w:sz="4" w:space="0" w:color="auto"/>
            </w:tcBorders>
            <w:vAlign w:val="center"/>
          </w:tcPr>
          <w:p w14:paraId="368D5DBC"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使用位置</w:t>
            </w:r>
          </w:p>
        </w:tc>
      </w:tr>
      <w:tr w:rsidR="00A67F21" w:rsidRPr="00B12FE0" w14:paraId="64208D34" w14:textId="77777777">
        <w:trPr>
          <w:trHeight w:val="340"/>
          <w:jc w:val="center"/>
        </w:trPr>
        <w:tc>
          <w:tcPr>
            <w:tcW w:w="1340" w:type="dxa"/>
            <w:tcBorders>
              <w:top w:val="single" w:sz="4" w:space="0" w:color="auto"/>
              <w:left w:val="single" w:sz="4" w:space="0" w:color="auto"/>
              <w:bottom w:val="single" w:sz="4" w:space="0" w:color="auto"/>
              <w:right w:val="single" w:sz="4" w:space="0" w:color="auto"/>
            </w:tcBorders>
            <w:vAlign w:val="center"/>
          </w:tcPr>
          <w:p w14:paraId="24A40D7A"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模拟定位</w:t>
            </w:r>
            <w:r w:rsidRPr="00B12FE0">
              <w:rPr>
                <w:snapToGrid w:val="0"/>
                <w:color w:val="000000" w:themeColor="text1"/>
                <w:sz w:val="21"/>
                <w:szCs w:val="21"/>
              </w:rPr>
              <w:t>CT</w:t>
            </w:r>
            <w:r w:rsidRPr="00B12FE0">
              <w:rPr>
                <w:rFonts w:ascii="宋体" w:hAnsi="宋体"/>
                <w:snapToGrid w:val="0"/>
                <w:color w:val="000000" w:themeColor="text1"/>
                <w:sz w:val="21"/>
                <w:szCs w:val="21"/>
              </w:rPr>
              <w:t>机</w:t>
            </w:r>
          </w:p>
        </w:tc>
        <w:tc>
          <w:tcPr>
            <w:tcW w:w="931" w:type="dxa"/>
            <w:tcBorders>
              <w:top w:val="single" w:sz="4" w:space="0" w:color="auto"/>
              <w:left w:val="single" w:sz="4" w:space="0" w:color="auto"/>
              <w:bottom w:val="single" w:sz="4" w:space="0" w:color="auto"/>
              <w:right w:val="single" w:sz="4" w:space="0" w:color="auto"/>
            </w:tcBorders>
            <w:vAlign w:val="center"/>
          </w:tcPr>
          <w:p w14:paraId="44A5C2E2"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Ⅲ</w:t>
            </w:r>
            <w:r w:rsidRPr="00B12FE0">
              <w:rPr>
                <w:rFonts w:ascii="宋体" w:hAnsi="宋体"/>
                <w:snapToGrid w:val="0"/>
                <w:color w:val="000000" w:themeColor="text1"/>
                <w:sz w:val="21"/>
                <w:szCs w:val="21"/>
              </w:rPr>
              <w:t>类</w:t>
            </w:r>
          </w:p>
        </w:tc>
        <w:tc>
          <w:tcPr>
            <w:tcW w:w="967" w:type="dxa"/>
            <w:tcBorders>
              <w:top w:val="single" w:sz="4" w:space="0" w:color="auto"/>
              <w:left w:val="single" w:sz="4" w:space="0" w:color="auto"/>
              <w:bottom w:val="single" w:sz="4" w:space="0" w:color="auto"/>
              <w:right w:val="single" w:sz="4" w:space="0" w:color="auto"/>
            </w:tcBorders>
            <w:vAlign w:val="center"/>
          </w:tcPr>
          <w:p w14:paraId="26322F78"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w:t>
            </w:r>
            <w:r w:rsidRPr="00B12FE0">
              <w:rPr>
                <w:rFonts w:ascii="宋体" w:hAnsi="宋体"/>
                <w:snapToGrid w:val="0"/>
                <w:color w:val="000000" w:themeColor="text1"/>
                <w:sz w:val="21"/>
                <w:szCs w:val="21"/>
              </w:rPr>
              <w:t>台</w:t>
            </w:r>
          </w:p>
        </w:tc>
        <w:tc>
          <w:tcPr>
            <w:tcW w:w="756" w:type="dxa"/>
            <w:tcBorders>
              <w:top w:val="single" w:sz="4" w:space="0" w:color="auto"/>
              <w:left w:val="single" w:sz="4" w:space="0" w:color="auto"/>
              <w:bottom w:val="single" w:sz="4" w:space="0" w:color="auto"/>
              <w:right w:val="single" w:sz="4" w:space="0" w:color="auto"/>
            </w:tcBorders>
            <w:vAlign w:val="center"/>
          </w:tcPr>
          <w:p w14:paraId="6E53E07D" w14:textId="77777777" w:rsidR="00A67F21" w:rsidRPr="00B12FE0" w:rsidRDefault="00000000">
            <w:pPr>
              <w:adjustRightInd w:val="0"/>
              <w:snapToGrid w:val="0"/>
              <w:jc w:val="center"/>
              <w:rPr>
                <w:snapToGrid w:val="0"/>
                <w:color w:val="000000" w:themeColor="text1"/>
                <w:sz w:val="21"/>
                <w:szCs w:val="21"/>
              </w:rPr>
            </w:pPr>
            <w:r w:rsidRPr="00B12FE0">
              <w:rPr>
                <w:rFonts w:ascii="宋体" w:hAnsi="宋体"/>
                <w:snapToGrid w:val="0"/>
                <w:color w:val="000000" w:themeColor="text1"/>
                <w:sz w:val="21"/>
                <w:szCs w:val="21"/>
              </w:rPr>
              <w:t>待定</w:t>
            </w:r>
          </w:p>
        </w:tc>
        <w:tc>
          <w:tcPr>
            <w:tcW w:w="1276" w:type="dxa"/>
            <w:tcBorders>
              <w:top w:val="single" w:sz="4" w:space="0" w:color="auto"/>
              <w:left w:val="single" w:sz="4" w:space="0" w:color="auto"/>
              <w:bottom w:val="single" w:sz="4" w:space="0" w:color="auto"/>
              <w:right w:val="single" w:sz="4" w:space="0" w:color="auto"/>
            </w:tcBorders>
            <w:vAlign w:val="center"/>
          </w:tcPr>
          <w:p w14:paraId="22D809B5"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150kV</w:t>
            </w:r>
          </w:p>
        </w:tc>
        <w:tc>
          <w:tcPr>
            <w:tcW w:w="1276" w:type="dxa"/>
            <w:tcBorders>
              <w:top w:val="single" w:sz="4" w:space="0" w:color="auto"/>
              <w:left w:val="single" w:sz="4" w:space="0" w:color="auto"/>
              <w:bottom w:val="single" w:sz="4" w:space="0" w:color="auto"/>
              <w:right w:val="single" w:sz="4" w:space="0" w:color="auto"/>
            </w:tcBorders>
            <w:vAlign w:val="center"/>
          </w:tcPr>
          <w:p w14:paraId="54F9269D"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1300mA</w:t>
            </w:r>
          </w:p>
        </w:tc>
        <w:tc>
          <w:tcPr>
            <w:tcW w:w="2244" w:type="dxa"/>
            <w:tcBorders>
              <w:top w:val="single" w:sz="4" w:space="0" w:color="auto"/>
              <w:left w:val="single" w:sz="4" w:space="0" w:color="auto"/>
              <w:bottom w:val="single" w:sz="4" w:space="0" w:color="auto"/>
              <w:right w:val="single" w:sz="4" w:space="0" w:color="auto"/>
            </w:tcBorders>
            <w:vAlign w:val="center"/>
          </w:tcPr>
          <w:p w14:paraId="754B4846" w14:textId="77777777" w:rsidR="00A67F21" w:rsidRPr="00B12FE0" w:rsidRDefault="00000000">
            <w:pPr>
              <w:adjustRightInd w:val="0"/>
              <w:snapToGrid w:val="0"/>
              <w:jc w:val="center"/>
              <w:rPr>
                <w:snapToGrid w:val="0"/>
                <w:color w:val="000000" w:themeColor="text1"/>
                <w:sz w:val="21"/>
                <w:szCs w:val="21"/>
              </w:rPr>
            </w:pPr>
            <w:proofErr w:type="gramStart"/>
            <w:r w:rsidRPr="00B12FE0">
              <w:rPr>
                <w:rFonts w:ascii="宋体" w:hAnsi="宋体"/>
                <w:snapToGrid w:val="0"/>
                <w:color w:val="000000" w:themeColor="text1"/>
                <w:sz w:val="21"/>
                <w:szCs w:val="21"/>
              </w:rPr>
              <w:t>放疗楼</w:t>
            </w:r>
            <w:proofErr w:type="gramEnd"/>
            <w:r w:rsidRPr="00B12FE0">
              <w:rPr>
                <w:rFonts w:ascii="宋体" w:hAnsi="宋体"/>
                <w:snapToGrid w:val="0"/>
                <w:color w:val="000000" w:themeColor="text1"/>
                <w:sz w:val="21"/>
                <w:szCs w:val="21"/>
              </w:rPr>
              <w:t>一层模拟定位</w:t>
            </w:r>
            <w:r w:rsidRPr="00B12FE0">
              <w:rPr>
                <w:snapToGrid w:val="0"/>
                <w:color w:val="000000" w:themeColor="text1"/>
                <w:sz w:val="21"/>
                <w:szCs w:val="21"/>
              </w:rPr>
              <w:t>CT</w:t>
            </w:r>
            <w:r w:rsidRPr="00B12FE0">
              <w:rPr>
                <w:rFonts w:ascii="宋体" w:hAnsi="宋体"/>
                <w:snapToGrid w:val="0"/>
                <w:color w:val="000000" w:themeColor="text1"/>
                <w:sz w:val="21"/>
                <w:szCs w:val="21"/>
              </w:rPr>
              <w:t>机房</w:t>
            </w:r>
          </w:p>
        </w:tc>
      </w:tr>
    </w:tbl>
    <w:p w14:paraId="4FD5F3C2" w14:textId="77777777" w:rsidR="00A67F21" w:rsidRPr="00B12FE0" w:rsidRDefault="00000000">
      <w:pPr>
        <w:adjustRightInd w:val="0"/>
        <w:snapToGrid w:val="0"/>
        <w:spacing w:beforeLines="50" w:before="120" w:line="360" w:lineRule="auto"/>
        <w:ind w:firstLine="480"/>
        <w:rPr>
          <w:b/>
          <w:bCs/>
          <w:snapToGrid w:val="0"/>
          <w:color w:val="000000" w:themeColor="text1"/>
          <w:szCs w:val="24"/>
        </w:rPr>
      </w:pPr>
      <w:r w:rsidRPr="00B12FE0">
        <w:rPr>
          <w:b/>
          <w:bCs/>
          <w:snapToGrid w:val="0"/>
          <w:color w:val="000000" w:themeColor="text1"/>
          <w:szCs w:val="24"/>
        </w:rPr>
        <w:t>（</w:t>
      </w:r>
      <w:r w:rsidRPr="00B12FE0">
        <w:rPr>
          <w:b/>
          <w:bCs/>
          <w:snapToGrid w:val="0"/>
          <w:color w:val="000000" w:themeColor="text1"/>
          <w:szCs w:val="24"/>
        </w:rPr>
        <w:t>2</w:t>
      </w:r>
      <w:r w:rsidRPr="00B12FE0">
        <w:rPr>
          <w:b/>
          <w:bCs/>
          <w:snapToGrid w:val="0"/>
          <w:color w:val="000000" w:themeColor="text1"/>
          <w:szCs w:val="24"/>
        </w:rPr>
        <w:t>）工作原理</w:t>
      </w:r>
    </w:p>
    <w:p w14:paraId="5DF53A95" w14:textId="77777777" w:rsidR="00A67F21" w:rsidRPr="00B12FE0" w:rsidRDefault="00000000">
      <w:pPr>
        <w:kinsoku w:val="0"/>
        <w:overflowPunct w:val="0"/>
        <w:autoSpaceDE w:val="0"/>
        <w:autoSpaceDN w:val="0"/>
        <w:adjustRightInd w:val="0"/>
        <w:snapToGrid w:val="0"/>
        <w:spacing w:line="360" w:lineRule="auto"/>
        <w:ind w:firstLineChars="200" w:firstLine="480"/>
        <w:rPr>
          <w:snapToGrid w:val="0"/>
          <w:color w:val="000000" w:themeColor="text1"/>
          <w:szCs w:val="24"/>
        </w:rPr>
      </w:pPr>
      <w:r w:rsidRPr="00B12FE0">
        <w:rPr>
          <w:rFonts w:hint="eastAsia"/>
          <w:snapToGrid w:val="0"/>
          <w:color w:val="000000" w:themeColor="text1"/>
          <w:szCs w:val="24"/>
        </w:rPr>
        <w:t>模拟定位</w:t>
      </w:r>
      <w:r w:rsidRPr="00B12FE0">
        <w:rPr>
          <w:rFonts w:hint="eastAsia"/>
          <w:snapToGrid w:val="0"/>
          <w:color w:val="000000" w:themeColor="text1"/>
          <w:szCs w:val="24"/>
        </w:rPr>
        <w:t>CT</w:t>
      </w:r>
      <w:r w:rsidRPr="00B12FE0">
        <w:rPr>
          <w:rFonts w:hint="eastAsia"/>
          <w:snapToGrid w:val="0"/>
          <w:color w:val="000000" w:themeColor="text1"/>
          <w:szCs w:val="24"/>
        </w:rPr>
        <w:t>使用了精确准直的</w:t>
      </w:r>
      <w:r w:rsidRPr="00B12FE0">
        <w:rPr>
          <w:rFonts w:hint="eastAsia"/>
          <w:snapToGrid w:val="0"/>
          <w:color w:val="000000" w:themeColor="text1"/>
          <w:szCs w:val="24"/>
        </w:rPr>
        <w:t>X</w:t>
      </w:r>
      <w:r w:rsidRPr="00B12FE0">
        <w:rPr>
          <w:rFonts w:hint="eastAsia"/>
          <w:snapToGrid w:val="0"/>
          <w:color w:val="000000" w:themeColor="text1"/>
          <w:szCs w:val="24"/>
        </w:rPr>
        <w:t>射线从各种不同的离散角度扫描所关注的平面，利用探测器记录透射光束的衰减量，并经过数学运算，电子计算机处理相应数据。它根据人体不同组织对</w:t>
      </w:r>
      <w:r w:rsidRPr="00B12FE0">
        <w:rPr>
          <w:rFonts w:hint="eastAsia"/>
          <w:snapToGrid w:val="0"/>
          <w:color w:val="000000" w:themeColor="text1"/>
          <w:szCs w:val="24"/>
        </w:rPr>
        <w:t>X</w:t>
      </w:r>
      <w:r w:rsidRPr="00B12FE0">
        <w:rPr>
          <w:rFonts w:hint="eastAsia"/>
          <w:snapToGrid w:val="0"/>
          <w:color w:val="000000" w:themeColor="text1"/>
          <w:szCs w:val="24"/>
        </w:rPr>
        <w:t>线的吸收与透过率的不同，应用灵敏度极高的仪器对人体进行测量，然后将测量所获取的数据输入电子计算机，电子计算机对数据进行处理后，就可摄下人体被检查部位的断面或立体的图像，发现体内任何部位的细小病变。</w:t>
      </w:r>
    </w:p>
    <w:p w14:paraId="23D54F8E" w14:textId="77777777" w:rsidR="00A67F21" w:rsidRPr="00B12FE0" w:rsidRDefault="00000000">
      <w:pPr>
        <w:kinsoku w:val="0"/>
        <w:overflowPunct w:val="0"/>
        <w:autoSpaceDE w:val="0"/>
        <w:autoSpaceDN w:val="0"/>
        <w:adjustRightInd w:val="0"/>
        <w:snapToGrid w:val="0"/>
        <w:spacing w:line="360" w:lineRule="auto"/>
        <w:ind w:firstLineChars="200" w:firstLine="480"/>
        <w:rPr>
          <w:snapToGrid w:val="0"/>
          <w:color w:val="000000" w:themeColor="text1"/>
          <w:szCs w:val="24"/>
        </w:rPr>
      </w:pPr>
      <w:r w:rsidRPr="00B12FE0">
        <w:rPr>
          <w:rFonts w:hint="eastAsia"/>
          <w:snapToGrid w:val="0"/>
          <w:color w:val="000000" w:themeColor="text1"/>
          <w:szCs w:val="24"/>
        </w:rPr>
        <w:t>X</w:t>
      </w:r>
      <w:r w:rsidRPr="00B12FE0">
        <w:rPr>
          <w:rFonts w:hint="eastAsia"/>
          <w:snapToGrid w:val="0"/>
          <w:color w:val="000000" w:themeColor="text1"/>
          <w:szCs w:val="24"/>
        </w:rPr>
        <w:t>射线装置产生</w:t>
      </w:r>
      <w:r w:rsidRPr="00B12FE0">
        <w:rPr>
          <w:rFonts w:hint="eastAsia"/>
          <w:snapToGrid w:val="0"/>
          <w:color w:val="000000" w:themeColor="text1"/>
          <w:szCs w:val="24"/>
        </w:rPr>
        <w:t>X</w:t>
      </w:r>
      <w:r w:rsidRPr="00B12FE0">
        <w:rPr>
          <w:rFonts w:hint="eastAsia"/>
          <w:snapToGrid w:val="0"/>
          <w:color w:val="000000" w:themeColor="text1"/>
          <w:szCs w:val="24"/>
        </w:rPr>
        <w:t>射线的原理具体见</w:t>
      </w:r>
      <w:r w:rsidRPr="00B12FE0">
        <w:rPr>
          <w:rFonts w:hint="eastAsia"/>
          <w:snapToGrid w:val="0"/>
          <w:color w:val="000000" w:themeColor="text1"/>
          <w:szCs w:val="24"/>
        </w:rPr>
        <w:t>9</w:t>
      </w:r>
      <w:r w:rsidRPr="00B12FE0">
        <w:rPr>
          <w:snapToGrid w:val="0"/>
          <w:color w:val="000000" w:themeColor="text1"/>
          <w:szCs w:val="24"/>
        </w:rPr>
        <w:t>.1.1.3.5PET/CT</w:t>
      </w:r>
      <w:r w:rsidRPr="00B12FE0">
        <w:rPr>
          <w:snapToGrid w:val="0"/>
          <w:color w:val="000000" w:themeColor="text1"/>
          <w:szCs w:val="24"/>
        </w:rPr>
        <w:t>和</w:t>
      </w:r>
      <w:r w:rsidRPr="00B12FE0">
        <w:rPr>
          <w:snapToGrid w:val="0"/>
          <w:color w:val="000000" w:themeColor="text1"/>
          <w:szCs w:val="24"/>
        </w:rPr>
        <w:t>SPECT/CT</w:t>
      </w:r>
      <w:r w:rsidRPr="00B12FE0">
        <w:rPr>
          <w:snapToGrid w:val="0"/>
          <w:color w:val="000000" w:themeColor="text1"/>
          <w:szCs w:val="24"/>
        </w:rPr>
        <w:t>配套</w:t>
      </w:r>
      <w:r w:rsidRPr="00B12FE0">
        <w:rPr>
          <w:snapToGrid w:val="0"/>
          <w:color w:val="000000" w:themeColor="text1"/>
          <w:szCs w:val="24"/>
        </w:rPr>
        <w:t>CT</w:t>
      </w:r>
      <w:r w:rsidRPr="00B12FE0">
        <w:rPr>
          <w:snapToGrid w:val="0"/>
          <w:color w:val="000000" w:themeColor="text1"/>
          <w:szCs w:val="24"/>
        </w:rPr>
        <w:t>。</w:t>
      </w:r>
    </w:p>
    <w:p w14:paraId="4959C3DE" w14:textId="77777777" w:rsidR="00A67F21" w:rsidRPr="00B12FE0" w:rsidRDefault="00000000">
      <w:pPr>
        <w:spacing w:line="360" w:lineRule="auto"/>
        <w:ind w:firstLineChars="200" w:firstLine="482"/>
        <w:outlineLvl w:val="3"/>
        <w:rPr>
          <w:b/>
          <w:bCs/>
          <w:snapToGrid w:val="0"/>
          <w:color w:val="000000" w:themeColor="text1"/>
          <w:szCs w:val="24"/>
        </w:rPr>
      </w:pPr>
      <w:r w:rsidRPr="00B12FE0">
        <w:rPr>
          <w:b/>
          <w:bCs/>
          <w:snapToGrid w:val="0"/>
          <w:color w:val="000000" w:themeColor="text1"/>
          <w:szCs w:val="24"/>
        </w:rPr>
        <w:lastRenderedPageBreak/>
        <w:t>（</w:t>
      </w:r>
      <w:r w:rsidRPr="00B12FE0">
        <w:rPr>
          <w:b/>
          <w:bCs/>
          <w:snapToGrid w:val="0"/>
          <w:color w:val="000000" w:themeColor="text1"/>
          <w:szCs w:val="24"/>
        </w:rPr>
        <w:t>3</w:t>
      </w:r>
      <w:r w:rsidRPr="00B12FE0">
        <w:rPr>
          <w:b/>
          <w:bCs/>
          <w:snapToGrid w:val="0"/>
          <w:color w:val="000000" w:themeColor="text1"/>
          <w:szCs w:val="24"/>
        </w:rPr>
        <w:t>）工作流程</w:t>
      </w:r>
      <w:proofErr w:type="gramStart"/>
      <w:r w:rsidRPr="00B12FE0">
        <w:rPr>
          <w:b/>
          <w:bCs/>
          <w:snapToGrid w:val="0"/>
          <w:color w:val="000000" w:themeColor="text1"/>
          <w:szCs w:val="24"/>
        </w:rPr>
        <w:t>及产污环节</w:t>
      </w:r>
      <w:proofErr w:type="gramEnd"/>
    </w:p>
    <w:p w14:paraId="13BBE7DB" w14:textId="77777777" w:rsidR="00A67F21" w:rsidRPr="00B12FE0" w:rsidRDefault="00000000">
      <w:pPr>
        <w:spacing w:line="360" w:lineRule="auto"/>
        <w:ind w:firstLineChars="200" w:firstLine="480"/>
        <w:rPr>
          <w:bCs/>
          <w:snapToGrid w:val="0"/>
          <w:color w:val="000000" w:themeColor="text1"/>
          <w:szCs w:val="24"/>
        </w:rPr>
      </w:pPr>
      <w:r w:rsidRPr="00B12FE0">
        <w:rPr>
          <w:bCs/>
          <w:snapToGrid w:val="0"/>
          <w:color w:val="000000" w:themeColor="text1"/>
          <w:szCs w:val="24"/>
        </w:rPr>
        <w:t>模拟定位</w:t>
      </w:r>
      <w:r w:rsidRPr="00B12FE0">
        <w:rPr>
          <w:bCs/>
          <w:snapToGrid w:val="0"/>
          <w:color w:val="000000" w:themeColor="text1"/>
          <w:szCs w:val="24"/>
        </w:rPr>
        <w:t>CT</w:t>
      </w:r>
      <w:r w:rsidRPr="00B12FE0">
        <w:rPr>
          <w:bCs/>
          <w:snapToGrid w:val="0"/>
          <w:color w:val="000000" w:themeColor="text1"/>
          <w:szCs w:val="24"/>
        </w:rPr>
        <w:t>影像诊断是指利用</w:t>
      </w:r>
      <w:r w:rsidRPr="00B12FE0">
        <w:rPr>
          <w:bCs/>
          <w:snapToGrid w:val="0"/>
          <w:color w:val="000000" w:themeColor="text1"/>
          <w:szCs w:val="24"/>
        </w:rPr>
        <w:t>X</w:t>
      </w:r>
      <w:r w:rsidRPr="00B12FE0">
        <w:rPr>
          <w:bCs/>
          <w:snapToGrid w:val="0"/>
          <w:color w:val="000000" w:themeColor="text1"/>
          <w:szCs w:val="24"/>
        </w:rPr>
        <w:t>射线的穿透性取得人体内器官与组织的影像信息以判断肿瘤大小、位置的技术，本项目模拟定位</w:t>
      </w:r>
      <w:r w:rsidRPr="00B12FE0">
        <w:rPr>
          <w:bCs/>
          <w:snapToGrid w:val="0"/>
          <w:color w:val="000000" w:themeColor="text1"/>
          <w:szCs w:val="24"/>
        </w:rPr>
        <w:t>CT</w:t>
      </w:r>
      <w:r w:rsidRPr="00B12FE0">
        <w:rPr>
          <w:bCs/>
          <w:snapToGrid w:val="0"/>
          <w:color w:val="000000" w:themeColor="text1"/>
          <w:szCs w:val="24"/>
        </w:rPr>
        <w:t>机诊断流程如下：</w:t>
      </w:r>
    </w:p>
    <w:p w14:paraId="2ABA659F" w14:textId="77777777" w:rsidR="00A67F21" w:rsidRPr="00B12FE0" w:rsidRDefault="00000000">
      <w:pPr>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szCs w:val="24"/>
        </w:rPr>
        <w:t>①</w:t>
      </w:r>
      <w:r w:rsidRPr="00B12FE0">
        <w:rPr>
          <w:bCs/>
          <w:snapToGrid w:val="0"/>
          <w:color w:val="000000" w:themeColor="text1"/>
          <w:szCs w:val="24"/>
        </w:rPr>
        <w:t>病人经医生诊断、正当性判断后，确定需要</w:t>
      </w:r>
      <w:r w:rsidRPr="00B12FE0">
        <w:rPr>
          <w:bCs/>
          <w:snapToGrid w:val="0"/>
          <w:color w:val="000000" w:themeColor="text1"/>
          <w:szCs w:val="24"/>
        </w:rPr>
        <w:t>X</w:t>
      </w:r>
      <w:r w:rsidRPr="00B12FE0">
        <w:rPr>
          <w:bCs/>
          <w:snapToGrid w:val="0"/>
          <w:color w:val="000000" w:themeColor="text1"/>
          <w:szCs w:val="24"/>
        </w:rPr>
        <w:t>射线影像诊断的病人与放疗科预约登记；</w:t>
      </w:r>
    </w:p>
    <w:p w14:paraId="4BD94CEB" w14:textId="77777777" w:rsidR="00A67F21" w:rsidRPr="00B12FE0" w:rsidRDefault="00000000">
      <w:pPr>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szCs w:val="24"/>
        </w:rPr>
        <w:t>②</w:t>
      </w:r>
      <w:r w:rsidRPr="00B12FE0">
        <w:rPr>
          <w:bCs/>
          <w:snapToGrid w:val="0"/>
          <w:color w:val="000000" w:themeColor="text1"/>
          <w:szCs w:val="24"/>
        </w:rPr>
        <w:t>患者在医护人员的指导下正确摆位；</w:t>
      </w:r>
    </w:p>
    <w:p w14:paraId="6A68AA23" w14:textId="77777777" w:rsidR="00A67F21" w:rsidRPr="00B12FE0" w:rsidRDefault="00000000">
      <w:pPr>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szCs w:val="24"/>
        </w:rPr>
        <w:t>③</w:t>
      </w:r>
      <w:r w:rsidRPr="00B12FE0">
        <w:rPr>
          <w:bCs/>
          <w:snapToGrid w:val="0"/>
          <w:color w:val="000000" w:themeColor="text1"/>
          <w:szCs w:val="24"/>
        </w:rPr>
        <w:t>进行隔室操作，利用模拟定位</w:t>
      </w:r>
      <w:r w:rsidRPr="00B12FE0">
        <w:rPr>
          <w:bCs/>
          <w:snapToGrid w:val="0"/>
          <w:color w:val="000000" w:themeColor="text1"/>
          <w:szCs w:val="24"/>
        </w:rPr>
        <w:t>CT</w:t>
      </w:r>
      <w:r w:rsidRPr="00B12FE0">
        <w:rPr>
          <w:bCs/>
          <w:snapToGrid w:val="0"/>
          <w:color w:val="000000" w:themeColor="text1"/>
          <w:szCs w:val="24"/>
        </w:rPr>
        <w:t>机进行肿瘤定位；</w:t>
      </w:r>
    </w:p>
    <w:p w14:paraId="4C53E797" w14:textId="77777777" w:rsidR="00A67F21" w:rsidRPr="00B12FE0" w:rsidRDefault="00000000">
      <w:pPr>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szCs w:val="24"/>
        </w:rPr>
        <w:t>④</w:t>
      </w:r>
      <w:r w:rsidRPr="00B12FE0">
        <w:rPr>
          <w:bCs/>
          <w:snapToGrid w:val="0"/>
          <w:color w:val="000000" w:themeColor="text1"/>
          <w:szCs w:val="24"/>
        </w:rPr>
        <w:t>检查结束离开检查室。</w:t>
      </w:r>
    </w:p>
    <w:p w14:paraId="49E874C1" w14:textId="77777777" w:rsidR="00A67F21" w:rsidRPr="00B12FE0" w:rsidRDefault="00000000">
      <w:pPr>
        <w:spacing w:line="360" w:lineRule="auto"/>
        <w:ind w:firstLineChars="200" w:firstLine="480"/>
        <w:rPr>
          <w:bCs/>
          <w:snapToGrid w:val="0"/>
          <w:color w:val="000000" w:themeColor="text1"/>
          <w:szCs w:val="24"/>
        </w:rPr>
      </w:pPr>
      <w:r w:rsidRPr="00B12FE0">
        <w:rPr>
          <w:bCs/>
          <w:snapToGrid w:val="0"/>
          <w:color w:val="000000" w:themeColor="text1"/>
          <w:szCs w:val="24"/>
        </w:rPr>
        <w:t>诊断流程</w:t>
      </w:r>
      <w:proofErr w:type="gramStart"/>
      <w:r w:rsidRPr="00B12FE0">
        <w:rPr>
          <w:bCs/>
          <w:snapToGrid w:val="0"/>
          <w:color w:val="000000" w:themeColor="text1"/>
          <w:szCs w:val="24"/>
        </w:rPr>
        <w:t>及产污环节</w:t>
      </w:r>
      <w:proofErr w:type="gramEnd"/>
      <w:r w:rsidRPr="00B12FE0">
        <w:rPr>
          <w:bCs/>
          <w:snapToGrid w:val="0"/>
          <w:color w:val="000000" w:themeColor="text1"/>
          <w:szCs w:val="24"/>
        </w:rPr>
        <w:t>见下图。</w:t>
      </w:r>
    </w:p>
    <w:p w14:paraId="75D3F557" w14:textId="77777777" w:rsidR="00A67F21" w:rsidRPr="00B12FE0" w:rsidRDefault="00000000">
      <w:pPr>
        <w:jc w:val="center"/>
        <w:rPr>
          <w:snapToGrid w:val="0"/>
          <w:color w:val="000000" w:themeColor="text1"/>
          <w:sz w:val="21"/>
          <w:szCs w:val="24"/>
        </w:rPr>
      </w:pPr>
      <w:r w:rsidRPr="00B12FE0">
        <w:rPr>
          <w:rFonts w:ascii="宋体" w:hAnsi="宋体"/>
          <w:noProof/>
          <w:snapToGrid w:val="0"/>
          <w:color w:val="000000" w:themeColor="text1"/>
          <w:sz w:val="21"/>
          <w:szCs w:val="24"/>
        </w:rPr>
        <mc:AlternateContent>
          <mc:Choice Requires="wpc">
            <w:drawing>
              <wp:inline distT="0" distB="0" distL="0" distR="0" wp14:anchorId="3D4E7D3C" wp14:editId="07274330">
                <wp:extent cx="5242560" cy="800100"/>
                <wp:effectExtent l="0" t="0" r="15240" b="19050"/>
                <wp:docPr id="941531250" name="画布 9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a:solidFill>
                            <a:schemeClr val="tx1"/>
                          </a:solidFill>
                        </a:ln>
                      </wpc:whole>
                      <wps:wsp>
                        <wps:cNvPr id="987056788" name="文本框 990"/>
                        <wps:cNvSpPr txBox="1">
                          <a:spLocks noChangeArrowheads="1"/>
                        </wps:cNvSpPr>
                        <wps:spPr bwMode="auto">
                          <a:xfrm>
                            <a:off x="15043" y="35999"/>
                            <a:ext cx="810895" cy="269875"/>
                          </a:xfrm>
                          <a:prstGeom prst="rect">
                            <a:avLst/>
                          </a:prstGeom>
                          <a:noFill/>
                          <a:ln w="6350">
                            <a:solidFill>
                              <a:srgbClr val="000000"/>
                            </a:solidFill>
                            <a:miter lim="800000"/>
                          </a:ln>
                        </wps:spPr>
                        <wps:txbx>
                          <w:txbxContent>
                            <w:p w14:paraId="7D40ED01" w14:textId="77777777" w:rsidR="00A67F21" w:rsidRDefault="00000000">
                              <w:pPr>
                                <w:jc w:val="center"/>
                                <w:rPr>
                                  <w:sz w:val="21"/>
                                  <w:szCs w:val="21"/>
                                </w:rPr>
                              </w:pPr>
                              <w:r>
                                <w:rPr>
                                  <w:rFonts w:hint="eastAsia"/>
                                  <w:sz w:val="21"/>
                                  <w:szCs w:val="21"/>
                                </w:rPr>
                                <w:t>预约登记</w:t>
                              </w:r>
                            </w:p>
                          </w:txbxContent>
                        </wps:txbx>
                        <wps:bodyPr rot="0" vert="horz" wrap="square" lIns="91440" tIns="45720" rIns="91440" bIns="45720" anchor="t" anchorCtr="0" upright="1">
                          <a:noAutofit/>
                        </wps:bodyPr>
                      </wps:wsp>
                      <wps:wsp>
                        <wps:cNvPr id="312859831" name="文本框 991"/>
                        <wps:cNvSpPr txBox="1">
                          <a:spLocks noChangeArrowheads="1"/>
                        </wps:cNvSpPr>
                        <wps:spPr bwMode="auto">
                          <a:xfrm>
                            <a:off x="1167265" y="35999"/>
                            <a:ext cx="534670" cy="269875"/>
                          </a:xfrm>
                          <a:prstGeom prst="rect">
                            <a:avLst/>
                          </a:prstGeom>
                          <a:noFill/>
                          <a:ln w="6350">
                            <a:solidFill>
                              <a:srgbClr val="000000"/>
                            </a:solidFill>
                            <a:miter lim="800000"/>
                          </a:ln>
                        </wps:spPr>
                        <wps:txbx>
                          <w:txbxContent>
                            <w:p w14:paraId="7A6F8737" w14:textId="77777777" w:rsidR="00A67F21" w:rsidRDefault="00000000">
                              <w:pPr>
                                <w:jc w:val="center"/>
                                <w:rPr>
                                  <w:sz w:val="21"/>
                                  <w:szCs w:val="21"/>
                                </w:rPr>
                              </w:pPr>
                              <w:r>
                                <w:rPr>
                                  <w:rFonts w:hint="eastAsia"/>
                                  <w:sz w:val="21"/>
                                  <w:szCs w:val="21"/>
                                </w:rPr>
                                <w:t>候诊</w:t>
                              </w:r>
                            </w:p>
                          </w:txbxContent>
                        </wps:txbx>
                        <wps:bodyPr rot="0" vert="horz" wrap="square" lIns="91440" tIns="45720" rIns="91440" bIns="45720" anchor="t" anchorCtr="0" upright="1">
                          <a:noAutofit/>
                        </wps:bodyPr>
                      </wps:wsp>
                      <wps:wsp>
                        <wps:cNvPr id="1278102078" name="自选图形 995"/>
                        <wps:cNvCnPr>
                          <a:cxnSpLocks noChangeShapeType="1"/>
                        </wps:cNvCnPr>
                        <wps:spPr bwMode="auto">
                          <a:xfrm>
                            <a:off x="825938" y="170937"/>
                            <a:ext cx="341327" cy="0"/>
                          </a:xfrm>
                          <a:prstGeom prst="straightConnector1">
                            <a:avLst/>
                          </a:prstGeom>
                          <a:noFill/>
                          <a:ln w="3175">
                            <a:solidFill>
                              <a:srgbClr val="000000"/>
                            </a:solidFill>
                            <a:round/>
                            <a:tailEnd type="triangle" w="med" len="med"/>
                          </a:ln>
                        </wps:spPr>
                        <wps:bodyPr/>
                      </wps:wsp>
                      <wps:wsp>
                        <wps:cNvPr id="745504840" name="文本框 997"/>
                        <wps:cNvSpPr txBox="1">
                          <a:spLocks noChangeArrowheads="1"/>
                        </wps:cNvSpPr>
                        <wps:spPr bwMode="auto">
                          <a:xfrm>
                            <a:off x="2068176" y="35999"/>
                            <a:ext cx="548005" cy="269875"/>
                          </a:xfrm>
                          <a:prstGeom prst="rect">
                            <a:avLst/>
                          </a:prstGeom>
                          <a:noFill/>
                          <a:ln w="6350">
                            <a:solidFill>
                              <a:srgbClr val="000000"/>
                            </a:solidFill>
                            <a:miter lim="800000"/>
                          </a:ln>
                        </wps:spPr>
                        <wps:txbx>
                          <w:txbxContent>
                            <w:p w14:paraId="49DC862A" w14:textId="77777777" w:rsidR="00A67F21" w:rsidRDefault="00000000">
                              <w:pPr>
                                <w:jc w:val="center"/>
                                <w:rPr>
                                  <w:sz w:val="21"/>
                                  <w:szCs w:val="21"/>
                                </w:rPr>
                              </w:pPr>
                              <w:r>
                                <w:rPr>
                                  <w:rFonts w:hint="eastAsia"/>
                                  <w:sz w:val="21"/>
                                  <w:szCs w:val="21"/>
                                </w:rPr>
                                <w:t>摆位</w:t>
                              </w:r>
                            </w:p>
                          </w:txbxContent>
                        </wps:txbx>
                        <wps:bodyPr rot="0" vert="horz" wrap="square" lIns="91440" tIns="45720" rIns="91440" bIns="45720" anchor="t" anchorCtr="0" upright="1">
                          <a:noAutofit/>
                        </wps:bodyPr>
                      </wps:wsp>
                      <wps:wsp>
                        <wps:cNvPr id="314717123" name="文本框 998"/>
                        <wps:cNvSpPr txBox="1">
                          <a:spLocks noChangeArrowheads="1"/>
                        </wps:cNvSpPr>
                        <wps:spPr bwMode="auto">
                          <a:xfrm>
                            <a:off x="3042493" y="35999"/>
                            <a:ext cx="923925" cy="269875"/>
                          </a:xfrm>
                          <a:prstGeom prst="rect">
                            <a:avLst/>
                          </a:prstGeom>
                          <a:noFill/>
                          <a:ln w="6350">
                            <a:solidFill>
                              <a:sysClr val="windowText" lastClr="000000"/>
                            </a:solidFill>
                            <a:miter lim="800000"/>
                          </a:ln>
                        </wps:spPr>
                        <wps:txbx>
                          <w:txbxContent>
                            <w:p w14:paraId="0EFDDE9D" w14:textId="77777777" w:rsidR="00A67F21" w:rsidRDefault="00000000">
                              <w:pPr>
                                <w:jc w:val="center"/>
                                <w:rPr>
                                  <w:sz w:val="21"/>
                                  <w:szCs w:val="21"/>
                                </w:rPr>
                              </w:pPr>
                              <w:r>
                                <w:rPr>
                                  <w:rFonts w:hint="eastAsia"/>
                                  <w:sz w:val="21"/>
                                  <w:szCs w:val="21"/>
                                </w:rPr>
                                <w:t>曝光、定位</w:t>
                              </w:r>
                            </w:p>
                          </w:txbxContent>
                        </wps:txbx>
                        <wps:bodyPr rot="0" vert="horz" wrap="square" lIns="91440" tIns="45720" rIns="91440" bIns="45720" anchor="t" anchorCtr="0" upright="1">
                          <a:noAutofit/>
                        </wps:bodyPr>
                      </wps:wsp>
                      <wps:wsp>
                        <wps:cNvPr id="1859409433" name="文本框 999"/>
                        <wps:cNvSpPr txBox="1">
                          <a:spLocks noChangeArrowheads="1"/>
                        </wps:cNvSpPr>
                        <wps:spPr bwMode="auto">
                          <a:xfrm>
                            <a:off x="4360347" y="35999"/>
                            <a:ext cx="861695" cy="269875"/>
                          </a:xfrm>
                          <a:prstGeom prst="rect">
                            <a:avLst/>
                          </a:prstGeom>
                          <a:noFill/>
                          <a:ln w="6350">
                            <a:solidFill>
                              <a:srgbClr val="000000"/>
                            </a:solidFill>
                            <a:miter lim="800000"/>
                          </a:ln>
                        </wps:spPr>
                        <wps:txbx>
                          <w:txbxContent>
                            <w:p w14:paraId="2A4A4858" w14:textId="77777777" w:rsidR="00A67F21" w:rsidRDefault="00000000">
                              <w:pPr>
                                <w:jc w:val="center"/>
                              </w:pPr>
                              <w:r>
                                <w:rPr>
                                  <w:rFonts w:hint="eastAsia"/>
                                  <w:sz w:val="21"/>
                                  <w:szCs w:val="21"/>
                                </w:rPr>
                                <w:t>离开检查</w:t>
                              </w:r>
                              <w:r>
                                <w:rPr>
                                  <w:rFonts w:hint="eastAsia"/>
                                </w:rPr>
                                <w:t>室</w:t>
                              </w:r>
                              <w:r>
                                <w:rPr>
                                  <w:rFonts w:hint="eastAsia"/>
                                </w:rPr>
                                <w:t>jianchashi</w:t>
                              </w:r>
                            </w:p>
                          </w:txbxContent>
                        </wps:txbx>
                        <wps:bodyPr rot="0" vert="horz" wrap="square" lIns="91440" tIns="45720" rIns="91440" bIns="45720" anchor="t" anchorCtr="0" upright="1">
                          <a:noAutofit/>
                        </wps:bodyPr>
                      </wps:wsp>
                      <wps:wsp>
                        <wps:cNvPr id="1898171849" name="自选图形 1000"/>
                        <wps:cNvCnPr>
                          <a:cxnSpLocks noChangeShapeType="1"/>
                        </wps:cNvCnPr>
                        <wps:spPr bwMode="auto">
                          <a:xfrm>
                            <a:off x="3966418" y="170937"/>
                            <a:ext cx="393929" cy="0"/>
                          </a:xfrm>
                          <a:prstGeom prst="straightConnector1">
                            <a:avLst/>
                          </a:prstGeom>
                          <a:noFill/>
                          <a:ln w="3175">
                            <a:solidFill>
                              <a:srgbClr val="000000"/>
                            </a:solidFill>
                            <a:round/>
                            <a:tailEnd type="triangle" w="med" len="med"/>
                          </a:ln>
                        </wps:spPr>
                        <wps:bodyPr/>
                      </wps:wsp>
                      <wps:wsp>
                        <wps:cNvPr id="1616208316" name="自选图形 1001"/>
                        <wps:cNvCnPr>
                          <a:cxnSpLocks noChangeShapeType="1"/>
                        </wps:cNvCnPr>
                        <wps:spPr bwMode="auto">
                          <a:xfrm>
                            <a:off x="2616181" y="170937"/>
                            <a:ext cx="426312" cy="0"/>
                          </a:xfrm>
                          <a:prstGeom prst="straightConnector1">
                            <a:avLst/>
                          </a:prstGeom>
                          <a:noFill/>
                          <a:ln w="3175">
                            <a:solidFill>
                              <a:srgbClr val="000000"/>
                            </a:solidFill>
                            <a:round/>
                            <a:tailEnd type="triangle" w="med" len="med"/>
                          </a:ln>
                        </wps:spPr>
                        <wps:bodyPr/>
                      </wps:wsp>
                      <wps:wsp>
                        <wps:cNvPr id="1129222859" name="自选图形 1002"/>
                        <wps:cNvCnPr>
                          <a:cxnSpLocks noChangeShapeType="1"/>
                        </wps:cNvCnPr>
                        <wps:spPr bwMode="auto">
                          <a:xfrm>
                            <a:off x="1701935" y="170937"/>
                            <a:ext cx="366241" cy="0"/>
                          </a:xfrm>
                          <a:prstGeom prst="straightConnector1">
                            <a:avLst/>
                          </a:prstGeom>
                          <a:noFill/>
                          <a:ln w="3175">
                            <a:solidFill>
                              <a:srgbClr val="000000"/>
                            </a:solidFill>
                            <a:round/>
                            <a:tailEnd type="triangle" w="med" len="med"/>
                          </a:ln>
                        </wps:spPr>
                        <wps:bodyPr/>
                      </wps:wsp>
                      <wps:wsp>
                        <wps:cNvPr id="1163498795" name="自选图形 1003"/>
                        <wps:cNvCnPr>
                          <a:cxnSpLocks noChangeShapeType="1"/>
                        </wps:cNvCnPr>
                        <wps:spPr bwMode="auto">
                          <a:xfrm>
                            <a:off x="3504456" y="305874"/>
                            <a:ext cx="3529" cy="224485"/>
                          </a:xfrm>
                          <a:prstGeom prst="straightConnector1">
                            <a:avLst/>
                          </a:prstGeom>
                          <a:noFill/>
                          <a:ln w="3175">
                            <a:solidFill>
                              <a:srgbClr val="000000"/>
                            </a:solidFill>
                            <a:round/>
                            <a:tailEnd type="triangle" w="med" len="med"/>
                          </a:ln>
                        </wps:spPr>
                        <wps:bodyPr/>
                      </wps:wsp>
                      <wps:wsp>
                        <wps:cNvPr id="441136994" name="文本框 1004"/>
                        <wps:cNvSpPr txBox="1">
                          <a:spLocks noChangeArrowheads="1"/>
                        </wps:cNvSpPr>
                        <wps:spPr bwMode="auto">
                          <a:xfrm>
                            <a:off x="2672007" y="530359"/>
                            <a:ext cx="1671955" cy="269875"/>
                          </a:xfrm>
                          <a:prstGeom prst="rect">
                            <a:avLst/>
                          </a:prstGeom>
                          <a:noFill/>
                          <a:ln w="6350">
                            <a:solidFill>
                              <a:srgbClr val="000000"/>
                            </a:solidFill>
                            <a:miter lim="800000"/>
                          </a:ln>
                        </wps:spPr>
                        <wps:txbx>
                          <w:txbxContent>
                            <w:p w14:paraId="118EE51C" w14:textId="77777777" w:rsidR="00A67F21" w:rsidRDefault="00000000">
                              <w:r>
                                <w:rPr>
                                  <w:rFonts w:hint="eastAsia"/>
                                  <w:sz w:val="21"/>
                                  <w:szCs w:val="21"/>
                                </w:rPr>
                                <w:t>X</w:t>
                              </w:r>
                              <w:r>
                                <w:rPr>
                                  <w:rFonts w:hint="eastAsia"/>
                                  <w:sz w:val="21"/>
                                  <w:szCs w:val="21"/>
                                </w:rPr>
                                <w:t>射线、臭氧、氮氧</w:t>
                              </w:r>
                              <w:r>
                                <w:rPr>
                                  <w:rFonts w:hint="eastAsia"/>
                                </w:rPr>
                                <w:t>化物</w:t>
                              </w:r>
                            </w:p>
                          </w:txbxContent>
                        </wps:txbx>
                        <wps:bodyPr rot="0" vert="horz" wrap="square" lIns="91440" tIns="45720" rIns="91440" bIns="45720" anchor="t" anchorCtr="0" upright="1">
                          <a:noAutofit/>
                        </wps:bodyPr>
                      </wps:wsp>
                    </wpc:wpc>
                  </a:graphicData>
                </a:graphic>
              </wp:inline>
            </w:drawing>
          </mc:Choice>
          <mc:Fallback>
            <w:pict>
              <v:group w14:anchorId="3D4E7D3C" id="画布 989" o:spid="_x0000_s1078" editas="canvas" style="width:412.8pt;height:63pt;mso-position-horizontal-relative:char;mso-position-vertical-relative:line" coordsize="524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we0gQAAK8cAAAOAAAAZHJzL2Uyb0RvYy54bWzsWd1u40QUvkfiHSzf03h+/DNR09WSZRHS&#10;Aiu1PMDEniQW9oyZmTYpV1yx4gW4gRu4RLwCvM1W8BacGceJ2yYQFZoVVXrhjjP28ZlzvvnOz5w+&#10;W9ZVcCW0KZUchegkCgMhc1WUcjYKv7h4+UEWBsZyWfBKSTEKr4UJn529/97pohkKrOaqKoQOQIg0&#10;w0UzCufWNsPBwORzUXNzohohYXKqdM0t3OrZoNB8AdLraoCjKBkslC4arXJhDPz6op0Mz7z86VTk&#10;9vPp1AgbVKMQdLP+qv114q6Ds1M+nGnezMt8pQZ/gBY1LyV8dC3qBbc8uNTlPVF1mWtl1NSe5Koe&#10;qOm0zIVfA6wGRXdWM+byihu/mBys0ykIo/9Q7mTm9JbqZVlVYI0BSB+639z/BfhHuOlKBotRSFAa&#10;+1UaVZWFe8HNeV+JcaWDKw5WtkvkrDqAic1TcFfJlfCV0EUDHjfN2vfm363pfM4b4U1lhvlnV691&#10;UBajkGVpFCdpBiiUvAb83Xz/5ubHX29++jZgzHvfqQHPnzfwhl1+qJaA4naNzSuVf2kCqcZzLmfi&#10;udZqMRe8AEXbFfZedeYyQ+OETBafqgK+xC+t8oKWU107O4GzAyc9jigJg2swZ8wYaxEoljbIYTJD&#10;UcbiMMhhGiegfbyyZSek0cZ+LFQduMEo1ABw/xF+9crY1uzdI7fc2rkwIXHULm/jHPCUnk3WDoz8&#10;330f8mFdWtisVVmDov2HVq5tDdCawi4nS+8BTJwkZ52JKq7BPlq1mxBIAwZzpb8OgwVswFFovrrk&#10;WoRB9YkEGzNEqdux/obGKYYb3Z+Z9Ge4zEEUoC8M2uHYtrv8stHlbA5far0q1XPwy7T0ttpo5aHp&#10;8djq+ujAJAhnMcsI2gZMD68eug4ETJSkOAHwbYdmTGiSgg+eEDTpEZpbOBPhFGgIR+maNP9488uf&#10;33z39off3/72M/Cm56QVPMfytXZEky/l+R3C9Ix8cd0AF97iy/YV9/5efJnhmBFQBVCJ0oiR1DmN&#10;DzvGJBQRnLaw9IQOoWYHWRqrueOCsZISeFPplhL2pc4d0W8/6tTqUhZeccvL6iNZBNZbxuoSgksF&#10;rAfxtRYFsJ+ARMqNWjbfwq0tkbppZ0SgqgNxVkpjiF2ZY+X7wdS75eCchaMkQ2myk7MoxKmnFU7X&#10;m+8YTnt5HkE0RSmCZGMLNLOO5g+a55GIYsp2ZnoME4bfATSvzTrRgzKqUIsLYFJgHW4sTEBJ1E/s&#10;ehn8A7O/pLP9Ea49uCLI/WjEKNmKV18THJxKKUkiQiGSbk//sgQlT6wyWYesIzZvYZNBSEUZZR2X&#10;3kr/EPBDt6eBTx8//yMsSSj6mwSQAZGCrq4uOSaAXSftUbopCDgAR1C0QsLVZoB3odGvXB8fGhj0&#10;QRmU0DtqA4oTqLOP0DhAow0hzDB2PY1d0MAHZQ0oFREjbTNja9mYJJgCco6s8eitLoQSQqGV6bKH&#10;7ayxbhEeJqBAEUvjVc0YxVnq20C9jkLchROMKc3+oQN7bCrse5qxvUNPKUIkYYx24Nh06CHVWHfo&#10;Dlq6YWiERlGbCsckgj69464NQqBRilj8Doq3/XpND2rTr4vk/0sy7A+q4JDKHzWtTvDcsVv/3rfI&#10;NueMZ38BAAD//wMAUEsDBBQABgAIAAAAIQCFUVHD2gAAAAUBAAAPAAAAZHJzL2Rvd25yZXYueG1s&#10;TI/BasMwEETvhf6D2EJvjRzRmOBaDqGlJNBTnH6AYqm2qbQy1iZ2/z6bXtrLwjLDzJtyMwcvLm5M&#10;fUQNy0UGwmETbY+ths/j+9MaRCKD1viITsOPS7Cp7u9KU9g44cFdamoFh2AqjIaOaCikTE3ngkmL&#10;ODhk7SuOwRC/YyvtaCYOD16qLMtlMD1yQ2cG99q55rs+By7ZPb/VtBtyf/jYr7aKwnLaK60fH+bt&#10;CwhyM/2Z4YbP6FAx0yme0SbhNfAQ+r2srdUqB3Fik8ozkFUp/9NXVwAAAP//AwBQSwECLQAUAAYA&#10;CAAAACEAtoM4kv4AAADhAQAAEwAAAAAAAAAAAAAAAAAAAAAAW0NvbnRlbnRfVHlwZXNdLnhtbFBL&#10;AQItABQABgAIAAAAIQA4/SH/1gAAAJQBAAALAAAAAAAAAAAAAAAAAC8BAABfcmVscy8ucmVsc1BL&#10;AQItABQABgAIAAAAIQCEbNwe0gQAAK8cAAAOAAAAAAAAAAAAAAAAAC4CAABkcnMvZTJvRG9jLnht&#10;bFBLAQItABQABgAIAAAAIQCFUVHD2gAAAAUBAAAPAAAAAAAAAAAAAAAAACwHAABkcnMvZG93bnJl&#10;di54bWxQSwUGAAAAAAQABADzAAAAMwgAAAAA&#10;">
                <v:shape id="_x0000_s1079" type="#_x0000_t75" style="position:absolute;width:52425;height:8001;visibility:visible;mso-wrap-style:square" stroked="t" strokecolor="black [3213]" strokeweight=".25pt">
                  <v:fill o:detectmouseclick="t"/>
                  <v:path o:connecttype="none"/>
                </v:shape>
                <v:shapetype id="_x0000_t202" coordsize="21600,21600" o:spt="202" path="m,l,21600r21600,l21600,xe">
                  <v:stroke joinstyle="miter"/>
                  <v:path gradientshapeok="t" o:connecttype="rect"/>
                </v:shapetype>
                <v:shape id="文本框 990" o:spid="_x0000_s1080" type="#_x0000_t202" style="position:absolute;left:150;top:359;width:810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BLyAAAAOIAAAAPAAAAZHJzL2Rvd25yZXYueG1sRE9dS8Mw&#10;FH0X/A/hDnxzyYSttS4bIg4URHAT5+Ndc22KyU1tYlf99eZB2OPhfC/Xo3dioD62gTXMpgoEcR1M&#10;y42G193msgQRE7JBF5g0/FCE9er8bImVCUd+oWGbGpFDOFaowabUVVLG2pLHOA0dceY+Qu8xZdg3&#10;0vR4zOHeySulFtJjy7nBYkd3lurP7bfX8PS2/7rfPL+rPR1cOx9cYR9/D1pfTMbbGxCJxnQS/7sf&#10;jIbrslDzRVHmzflSvgNy9QcAAP//AwBQSwECLQAUAAYACAAAACEA2+H2y+4AAACFAQAAEwAAAAAA&#10;AAAAAAAAAAAAAAAAW0NvbnRlbnRfVHlwZXNdLnhtbFBLAQItABQABgAIAAAAIQBa9CxbvwAAABUB&#10;AAALAAAAAAAAAAAAAAAAAB8BAABfcmVscy8ucmVsc1BLAQItABQABgAIAAAAIQDqcXBLyAAAAOIA&#10;AAAPAAAAAAAAAAAAAAAAAAcCAABkcnMvZG93bnJldi54bWxQSwUGAAAAAAMAAwC3AAAA/AIAAAAA&#10;" filled="f" strokeweight=".5pt">
                  <v:textbox>
                    <w:txbxContent>
                      <w:p w14:paraId="7D40ED01" w14:textId="77777777" w:rsidR="00A67F21" w:rsidRDefault="00000000">
                        <w:pPr>
                          <w:jc w:val="center"/>
                          <w:rPr>
                            <w:sz w:val="21"/>
                            <w:szCs w:val="21"/>
                          </w:rPr>
                        </w:pPr>
                        <w:r>
                          <w:rPr>
                            <w:rFonts w:hint="eastAsia"/>
                            <w:sz w:val="21"/>
                            <w:szCs w:val="21"/>
                          </w:rPr>
                          <w:t>预约登记</w:t>
                        </w:r>
                      </w:p>
                    </w:txbxContent>
                  </v:textbox>
                </v:shape>
                <v:shape id="文本框 991" o:spid="_x0000_s1081" type="#_x0000_t202" style="position:absolute;left:11672;top:359;width:534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C4zAAAAOIAAAAPAAAAZHJzL2Rvd25yZXYueG1sRI9RS8Mw&#10;FIXfBf9DuIJvLu3GZu2WDREHCmPgFLfHu+baFJOb2sSu+uuNIPh4OOd8h7NYDc6KnrrQeFaQjzIQ&#10;xJXXDdcKXp7XVwWIEJE1Ws+k4IsCrJbnZwsstT/xE/W7WIsE4VCiAhNjW0oZKkMOw8i3xMl7853D&#10;mGRXS93hKcGdleMsm0mHDacFgy3dGared59OweZ1/3G/3h6yPR1tM+3ttXn8Pip1eTHczkFEGuJ/&#10;+K/9oBVM8nExvSkmOfxeSndALn8AAAD//wMAUEsBAi0AFAAGAAgAAAAhANvh9svuAAAAhQEAABMA&#10;AAAAAAAAAAAAAAAAAAAAAFtDb250ZW50X1R5cGVzXS54bWxQSwECLQAUAAYACAAAACEAWvQsW78A&#10;AAAVAQAACwAAAAAAAAAAAAAAAAAfAQAAX3JlbHMvLnJlbHNQSwECLQAUAAYACAAAACEAKZCwuMwA&#10;AADiAAAADwAAAAAAAAAAAAAAAAAHAgAAZHJzL2Rvd25yZXYueG1sUEsFBgAAAAADAAMAtwAAAAAD&#10;AAAAAA==&#10;" filled="f" strokeweight=".5pt">
                  <v:textbox>
                    <w:txbxContent>
                      <w:p w14:paraId="7A6F8737" w14:textId="77777777" w:rsidR="00A67F21" w:rsidRDefault="00000000">
                        <w:pPr>
                          <w:jc w:val="center"/>
                          <w:rPr>
                            <w:sz w:val="21"/>
                            <w:szCs w:val="21"/>
                          </w:rPr>
                        </w:pPr>
                        <w:r>
                          <w:rPr>
                            <w:rFonts w:hint="eastAsia"/>
                            <w:sz w:val="21"/>
                            <w:szCs w:val="21"/>
                          </w:rPr>
                          <w:t>候诊</w:t>
                        </w:r>
                      </w:p>
                    </w:txbxContent>
                  </v:textbox>
                </v:shape>
                <v:shape id="自选图形 995" o:spid="_x0000_s1082" type="#_x0000_t32" style="position:absolute;left:8259;top:1709;width:3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2wyQAAAOMAAAAPAAAAZHJzL2Rvd25yZXYueG1sRI9BS8NA&#10;EIXvgv9hGcGb3W0OpsRuSy0KngRjQY9DdpqEZmdDZmyjv949CB5n3pv3vllv5ziYM03SJ/awXDgw&#10;xE0KPbceDu/PdyswosgBh8Tk4ZsEtpvrqzVWIV34jc61tiaHsFTooVMdK2ul6SiiLNJInLVjmiJq&#10;HqfWhgkvOTwOtnDu3kbsOTd0ONK+o+ZUf0UP+vT4OhzLk9XPj7qQ/U/rRHbe397MuwcwSrP+m/+u&#10;X0LGL8rV0hWuzND5p7wAu/kFAAD//wMAUEsBAi0AFAAGAAgAAAAhANvh9svuAAAAhQEAABMAAAAA&#10;AAAAAAAAAAAAAAAAAFtDb250ZW50X1R5cGVzXS54bWxQSwECLQAUAAYACAAAACEAWvQsW78AAAAV&#10;AQAACwAAAAAAAAAAAAAAAAAfAQAAX3JlbHMvLnJlbHNQSwECLQAUAAYACAAAACEAKGgtsMkAAADj&#10;AAAADwAAAAAAAAAAAAAAAAAHAgAAZHJzL2Rvd25yZXYueG1sUEsFBgAAAAADAAMAtwAAAP0CAAAA&#10;AA==&#10;" strokeweight=".25pt">
                  <v:stroke endarrow="block"/>
                </v:shape>
                <v:shape id="文本框 997" o:spid="_x0000_s1083" type="#_x0000_t202" style="position:absolute;left:20681;top:359;width:548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ZbygAAAOIAAAAPAAAAZHJzL2Rvd25yZXYueG1sRI9dS8Mw&#10;FIbvhf2HcAbeuURp3ajLxhAHCiI4xXl51hybsuSkNrGr/npzIXj58n7xLNejd2KgPraBNVzOFAji&#10;OpiWGw2vL9uLBYiYkA26wKThmyKsV5OzJVYmnPiZhl1qRB7hWKEGm1JXSRlrSx7jLHTE2fsIvceU&#10;Zd9I0+Mpj3snr5S6lh5bzg8WO7q1VB93X17D49v+82779K72dHBtObi5ffg5aH0+HTc3IBKN6T/8&#10;1743GuZFWapiUWSIjJRxQK5+AQAA//8DAFBLAQItABQABgAIAAAAIQDb4fbL7gAAAIUBAAATAAAA&#10;AAAAAAAAAAAAAAAAAABbQ29udGVudF9UeXBlc10ueG1sUEsBAi0AFAAGAAgAAAAhAFr0LFu/AAAA&#10;FQEAAAsAAAAAAAAAAAAAAAAAHwEAAF9yZWxzLy5yZWxzUEsBAi0AFAAGAAgAAAAhAJG6xlvKAAAA&#10;4gAAAA8AAAAAAAAAAAAAAAAABwIAAGRycy9kb3ducmV2LnhtbFBLBQYAAAAAAwADALcAAAD+AgAA&#10;AAA=&#10;" filled="f" strokeweight=".5pt">
                  <v:textbox>
                    <w:txbxContent>
                      <w:p w14:paraId="49DC862A" w14:textId="77777777" w:rsidR="00A67F21" w:rsidRDefault="00000000">
                        <w:pPr>
                          <w:jc w:val="center"/>
                          <w:rPr>
                            <w:sz w:val="21"/>
                            <w:szCs w:val="21"/>
                          </w:rPr>
                        </w:pPr>
                        <w:r>
                          <w:rPr>
                            <w:rFonts w:hint="eastAsia"/>
                            <w:sz w:val="21"/>
                            <w:szCs w:val="21"/>
                          </w:rPr>
                          <w:t>摆位</w:t>
                        </w:r>
                      </w:p>
                    </w:txbxContent>
                  </v:textbox>
                </v:shape>
                <v:shape id="文本框 998" o:spid="_x0000_s1084" type="#_x0000_t202" style="position:absolute;left:30424;top:359;width:924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yxygAAAOIAAAAPAAAAZHJzL2Rvd25yZXYueG1sRI9PS8Qw&#10;FMTvwn6H8ARvbtqtuNrd7KKi1IP4pwp7fTTPtmzzEpLY1m9vBMHjMDO/Ybb72QxiJB96ywryZQaC&#10;uLG651bBx/vD+RWIEJE1DpZJwTcF2O8WJ1sstZ34jcY6tiJBOJSooIvRlVKGpiODYWkdcfI+rTcY&#10;k/St1B6nBDeDXGXZpTTYc1ro0NFdR82x/jIKRn+tp7Z6ebLOFa/j4baq758rpc5O55sNiEhz/A//&#10;tR+1giK/WOfrfFXA76V0B+TuBwAA//8DAFBLAQItABQABgAIAAAAIQDb4fbL7gAAAIUBAAATAAAA&#10;AAAAAAAAAAAAAAAAAABbQ29udGVudF9UeXBlc10ueG1sUEsBAi0AFAAGAAgAAAAhAFr0LFu/AAAA&#10;FQEAAAsAAAAAAAAAAAAAAAAAHwEAAF9yZWxzLy5yZWxzUEsBAi0AFAAGAAgAAAAhAIqEfLHKAAAA&#10;4gAAAA8AAAAAAAAAAAAAAAAABwIAAGRycy9kb3ducmV2LnhtbFBLBQYAAAAAAwADALcAAAD+AgAA&#10;AAA=&#10;" filled="f" strokecolor="windowText" strokeweight=".5pt">
                  <v:textbox>
                    <w:txbxContent>
                      <w:p w14:paraId="0EFDDE9D" w14:textId="77777777" w:rsidR="00A67F21" w:rsidRDefault="00000000">
                        <w:pPr>
                          <w:jc w:val="center"/>
                          <w:rPr>
                            <w:sz w:val="21"/>
                            <w:szCs w:val="21"/>
                          </w:rPr>
                        </w:pPr>
                        <w:r>
                          <w:rPr>
                            <w:rFonts w:hint="eastAsia"/>
                            <w:sz w:val="21"/>
                            <w:szCs w:val="21"/>
                          </w:rPr>
                          <w:t>曝光、定位</w:t>
                        </w:r>
                      </w:p>
                    </w:txbxContent>
                  </v:textbox>
                </v:shape>
                <v:shape id="文本框 999" o:spid="_x0000_s1085" type="#_x0000_t202" style="position:absolute;left:43603;top:359;width:86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zoyQAAAOMAAAAPAAAAZHJzL2Rvd25yZXYueG1sRE9LSwMx&#10;EL4L/ocwgjebaB+226ZFxIKCCK1iPU43081iMlk3cbv6640geJzvPYtV753oqI11YA2XAwWCuAym&#10;5krDy/P6YgoiJmSDLjBp+KIIq+XpyQILE468oW6bKpFDOBaowabUFFLG0pLHOAgNceYOofWY8tlW&#10;0rR4zOHeySulJtJjzbnBYkO3lsr37afX8Pi6+7hbP72pHe1dPe7ctX343mt9ftbfzEEk6tO/+M99&#10;b/L86Xg2UrPRcAi/P2UA5PIHAAD//wMAUEsBAi0AFAAGAAgAAAAhANvh9svuAAAAhQEAABMAAAAA&#10;AAAAAAAAAAAAAAAAAFtDb250ZW50X1R5cGVzXS54bWxQSwECLQAUAAYACAAAACEAWvQsW78AAAAV&#10;AQAACwAAAAAAAAAAAAAAAAAfAQAAX3JlbHMvLnJlbHNQSwECLQAUAAYACAAAACEAYrIM6MkAAADj&#10;AAAADwAAAAAAAAAAAAAAAAAHAgAAZHJzL2Rvd25yZXYueG1sUEsFBgAAAAADAAMAtwAAAP0CAAAA&#10;AA==&#10;" filled="f" strokeweight=".5pt">
                  <v:textbox>
                    <w:txbxContent>
                      <w:p w14:paraId="2A4A4858" w14:textId="77777777" w:rsidR="00A67F21" w:rsidRDefault="00000000">
                        <w:pPr>
                          <w:jc w:val="center"/>
                        </w:pPr>
                        <w:r>
                          <w:rPr>
                            <w:rFonts w:hint="eastAsia"/>
                            <w:sz w:val="21"/>
                            <w:szCs w:val="21"/>
                          </w:rPr>
                          <w:t>离开检查</w:t>
                        </w:r>
                        <w:r>
                          <w:rPr>
                            <w:rFonts w:hint="eastAsia"/>
                          </w:rPr>
                          <w:t>室</w:t>
                        </w:r>
                        <w:r>
                          <w:rPr>
                            <w:rFonts w:hint="eastAsia"/>
                          </w:rPr>
                          <w:t>jianchashi</w:t>
                        </w:r>
                      </w:p>
                    </w:txbxContent>
                  </v:textbox>
                </v:shape>
                <v:shape id="自选图形 1000" o:spid="_x0000_s1086" type="#_x0000_t32" style="position:absolute;left:39664;top:1709;width:3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eKxwAAAOMAAAAPAAAAZHJzL2Rvd25yZXYueG1sRE/NSsNA&#10;EL4LvsMygje7SRGbxm5LLQqeBKOgxyE7TUKzsyEzttGndwWhx/n+Z7WZQm+ONEoX2UE+y8AQ19F3&#10;3Dh4f3u6KcCIInvsI5ODbxLYrC8vVlj6eOJXOlbamBTCUqKDVnUorZW6pYAyiwNx4vZxDKjpHBvr&#10;Rzyl8NDbeZbd2YAdp4YWB9q1VB+qr+BAHx9e+v3iYPXzo5rL7qfJRLbOXV9N23swSpOexf/uZ5/m&#10;F8siX+TF7RL+fkoA2PUvAAAA//8DAFBLAQItABQABgAIAAAAIQDb4fbL7gAAAIUBAAATAAAAAAAA&#10;AAAAAAAAAAAAAABbQ29udGVudF9UeXBlc10ueG1sUEsBAi0AFAAGAAgAAAAhAFr0LFu/AAAAFQEA&#10;AAsAAAAAAAAAAAAAAAAAHwEAAF9yZWxzLy5yZWxzUEsBAi0AFAAGAAgAAAAhABty94rHAAAA4wAA&#10;AA8AAAAAAAAAAAAAAAAABwIAAGRycy9kb3ducmV2LnhtbFBLBQYAAAAAAwADALcAAAD7AgAAAAA=&#10;" strokeweight=".25pt">
                  <v:stroke endarrow="block"/>
                </v:shape>
                <v:shape id="自选图形 1001" o:spid="_x0000_s1087" type="#_x0000_t32" style="position:absolute;left:26161;top:1709;width:42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F7xwAAAOMAAAAPAAAAZHJzL2Rvd25yZXYueG1sRE/NSsNA&#10;EL4LvsMygje7mwixxG5LWxQ8CaaFehyy0yQ0Oxuy0zb69K4geJzvfxaryffqQmPsAlvIZgYUcR1c&#10;x42F/e71YQ4qCrLDPjBZ+KIIq+XtzQJLF678QZdKGpVCOJZooRUZSq1j3ZLHOAsDceKOYfQo6Rwb&#10;7Ua8pnDf69yYQnvsODW0ONC2pfpUnb0Fedm898enk5bPQ5XH7XdjYlxbe383rZ9BCU3yL/5zv7k0&#10;v8iK3MwfswJ+f0oA6OUPAAAA//8DAFBLAQItABQABgAIAAAAIQDb4fbL7gAAAIUBAAATAAAAAAAA&#10;AAAAAAAAAAAAAABbQ29udGVudF9UeXBlc10ueG1sUEsBAi0AFAAGAAgAAAAhAFr0LFu/AAAAFQEA&#10;AAsAAAAAAAAAAAAAAAAAHwEAAF9yZWxzLy5yZWxzUEsBAi0AFAAGAAgAAAAhAGGVEXvHAAAA4wAA&#10;AA8AAAAAAAAAAAAAAAAABwIAAGRycy9kb3ducmV2LnhtbFBLBQYAAAAAAwADALcAAAD7AgAAAAA=&#10;" strokeweight=".25pt">
                  <v:stroke endarrow="block"/>
                </v:shape>
                <v:shape id="自选图形 1002" o:spid="_x0000_s1088" type="#_x0000_t32" style="position:absolute;left:17019;top:1709;width:36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bSxgAAAOMAAAAPAAAAZHJzL2Rvd25yZXYueG1sRE/NSsNA&#10;EL4LvsMygje76YLaxm5LLQqeBKOgxyE7TUKzsyEzttGndwXB43z/s9pMsTdHGqVL7GE+K8AQ1yl0&#10;3Hh4e328WoARRQ7YJyYPXySwWZ+frbAM6cQvdKy0MTmEpUQPrepQWit1SxFllgbizO3TGFHzOTY2&#10;jHjK4bG3rihubMSOc0OLA+1aqg/VZ/SgD/fP/f72YPXjvXKy+24Kka33lxfT9g6M0qT/4j/3U8jz&#10;527pnFtcL+H3pwyAXf8AAAD//wMAUEsBAi0AFAAGAAgAAAAhANvh9svuAAAAhQEAABMAAAAAAAAA&#10;AAAAAAAAAAAAAFtDb250ZW50X1R5cGVzXS54bWxQSwECLQAUAAYACAAAACEAWvQsW78AAAAVAQAA&#10;CwAAAAAAAAAAAAAAAAAfAQAAX3JlbHMvLnJlbHNQSwECLQAUAAYACAAAACEATIfG0sYAAADjAAAA&#10;DwAAAAAAAAAAAAAAAAAHAgAAZHJzL2Rvd25yZXYueG1sUEsFBgAAAAADAAMAtwAAAPoCAAAAAA==&#10;" strokeweight=".25pt">
                  <v:stroke endarrow="block"/>
                </v:shape>
                <v:shape id="自选图形 1003" o:spid="_x0000_s1089" type="#_x0000_t32" style="position:absolute;left:35044;top:3058;width:35;height:2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96yAAAAOMAAAAPAAAAZHJzL2Rvd25yZXYueG1sRE9LS8NA&#10;EL4L/odlBG9206p9pN2WWhQ8CUbBHofsNAnNzobM2EZ/vSsIHud7z2ozhNacqJcmsoPxKANDXEbf&#10;cOXg/e3pZg5GFNljG5kcfJHAZn15scLcxzO/0qnQyqQQlhwd1Kpdbq2UNQWUUeyIE3eIfUBNZ19Z&#10;3+M5hYfWTrJsagM2nBpq7GhXU3ksPoMDfXx4aQ+zo9X9RzGR3XeViWydu74atkswSoP+i//czz7N&#10;H09v7xbz2eIefn9KANj1DwAAAP//AwBQSwECLQAUAAYACAAAACEA2+H2y+4AAACFAQAAEwAAAAAA&#10;AAAAAAAAAAAAAAAAW0NvbnRlbnRfVHlwZXNdLnhtbFBLAQItABQABgAIAAAAIQBa9CxbvwAAABUB&#10;AAALAAAAAAAAAAAAAAAAAB8BAABfcmVscy8ucmVsc1BLAQItABQABgAIAAAAIQAO7u96yAAAAOMA&#10;AAAPAAAAAAAAAAAAAAAAAAcCAABkcnMvZG93bnJldi54bWxQSwUGAAAAAAMAAwC3AAAA/AIAAAAA&#10;" strokeweight=".25pt">
                  <v:stroke endarrow="block"/>
                </v:shape>
                <v:shape id="文本框 1004" o:spid="_x0000_s1090" type="#_x0000_t202" style="position:absolute;left:26720;top:5303;width:167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TUzAAAAOIAAAAPAAAAZHJzL2Rvd25yZXYueG1sRI9RS8Mw&#10;FIXfhf2HcAe+ubRap6vLhogDhSE4ZdvjXXNtislNbWJX/fVGEHw8nHO+w5kvB2dFT11oPCvIJxkI&#10;4srrhmsFry+rs2sQISJrtJ5JwRcFWC5GJ3MstT/yM/WbWIsE4VCiAhNjW0oZKkMOw8S3xMl7853D&#10;mGRXS93hMcGdledZNpUOG04LBlu6M1S9bz6dgvV293G/etpnOzrY5rK3V+bx+6DU6Xi4vQERaYj/&#10;4b/2g1ZQFHl+MZ3NCvi9lO6AXPwAAAD//wMAUEsBAi0AFAAGAAgAAAAhANvh9svuAAAAhQEAABMA&#10;AAAAAAAAAAAAAAAAAAAAAFtDb250ZW50X1R5cGVzXS54bWxQSwECLQAUAAYACAAAACEAWvQsW78A&#10;AAAVAQAACwAAAAAAAAAAAAAAAAAfAQAAX3JlbHMvLnJlbHNQSwECLQAUAAYACAAAACEAhrik1MwA&#10;AADiAAAADwAAAAAAAAAAAAAAAAAHAgAAZHJzL2Rvd25yZXYueG1sUEsFBgAAAAADAAMAtwAAAAAD&#10;AAAAAA==&#10;" filled="f" strokeweight=".5pt">
                  <v:textbox>
                    <w:txbxContent>
                      <w:p w14:paraId="118EE51C" w14:textId="77777777" w:rsidR="00A67F21" w:rsidRDefault="00000000">
                        <w:r>
                          <w:rPr>
                            <w:rFonts w:hint="eastAsia"/>
                            <w:sz w:val="21"/>
                            <w:szCs w:val="21"/>
                          </w:rPr>
                          <w:t>X</w:t>
                        </w:r>
                        <w:r>
                          <w:rPr>
                            <w:rFonts w:hint="eastAsia"/>
                            <w:sz w:val="21"/>
                            <w:szCs w:val="21"/>
                          </w:rPr>
                          <w:t>射线、臭氧、氮氧</w:t>
                        </w:r>
                        <w:r>
                          <w:rPr>
                            <w:rFonts w:hint="eastAsia"/>
                          </w:rPr>
                          <w:t>化物</w:t>
                        </w:r>
                      </w:p>
                    </w:txbxContent>
                  </v:textbox>
                </v:shape>
                <w10:anchorlock/>
              </v:group>
            </w:pict>
          </mc:Fallback>
        </mc:AlternateContent>
      </w:r>
    </w:p>
    <w:p w14:paraId="5F77F3A7" w14:textId="77777777" w:rsidR="00A67F21" w:rsidRPr="00B12FE0" w:rsidRDefault="00000000">
      <w:pPr>
        <w:jc w:val="center"/>
        <w:rPr>
          <w:b/>
          <w:snapToGrid w:val="0"/>
          <w:color w:val="000000" w:themeColor="text1"/>
          <w:sz w:val="21"/>
          <w:szCs w:val="21"/>
        </w:rPr>
      </w:pPr>
      <w:r w:rsidRPr="00B12FE0">
        <w:rPr>
          <w:rFonts w:ascii="宋体" w:hAnsi="宋体"/>
          <w:b/>
          <w:snapToGrid w:val="0"/>
          <w:color w:val="000000" w:themeColor="text1"/>
          <w:sz w:val="21"/>
          <w:szCs w:val="21"/>
        </w:rPr>
        <w:t>图</w:t>
      </w:r>
      <w:r w:rsidRPr="00B12FE0">
        <w:rPr>
          <w:b/>
          <w:snapToGrid w:val="0"/>
          <w:color w:val="000000" w:themeColor="text1"/>
          <w:sz w:val="21"/>
          <w:szCs w:val="21"/>
        </w:rPr>
        <w:t>9.</w:t>
      </w:r>
      <w:r w:rsidRPr="00B12FE0">
        <w:rPr>
          <w:rFonts w:hint="eastAsia"/>
          <w:b/>
          <w:snapToGrid w:val="0"/>
          <w:color w:val="000000" w:themeColor="text1"/>
          <w:sz w:val="21"/>
          <w:szCs w:val="21"/>
        </w:rPr>
        <w:t>1</w:t>
      </w:r>
      <w:r w:rsidRPr="00B12FE0">
        <w:rPr>
          <w:b/>
          <w:snapToGrid w:val="0"/>
          <w:color w:val="000000" w:themeColor="text1"/>
          <w:sz w:val="21"/>
          <w:szCs w:val="21"/>
        </w:rPr>
        <w:t>.2-</w:t>
      </w:r>
      <w:r w:rsidRPr="00B12FE0">
        <w:rPr>
          <w:rFonts w:hint="eastAsia"/>
          <w:b/>
          <w:snapToGrid w:val="0"/>
          <w:color w:val="000000" w:themeColor="text1"/>
          <w:sz w:val="21"/>
          <w:szCs w:val="21"/>
        </w:rPr>
        <w:t>8</w:t>
      </w:r>
      <w:r w:rsidRPr="00B12FE0">
        <w:rPr>
          <w:b/>
          <w:snapToGrid w:val="0"/>
          <w:color w:val="000000" w:themeColor="text1"/>
          <w:sz w:val="21"/>
          <w:szCs w:val="21"/>
        </w:rPr>
        <w:t xml:space="preserve">  </w:t>
      </w:r>
      <w:r w:rsidRPr="00B12FE0">
        <w:rPr>
          <w:rFonts w:ascii="宋体" w:hAnsi="宋体"/>
          <w:b/>
          <w:snapToGrid w:val="0"/>
          <w:color w:val="000000" w:themeColor="text1"/>
          <w:sz w:val="21"/>
          <w:szCs w:val="21"/>
        </w:rPr>
        <w:t>模拟定位诊断流程</w:t>
      </w:r>
      <w:proofErr w:type="gramStart"/>
      <w:r w:rsidRPr="00B12FE0">
        <w:rPr>
          <w:rFonts w:ascii="宋体" w:hAnsi="宋体"/>
          <w:b/>
          <w:snapToGrid w:val="0"/>
          <w:color w:val="000000" w:themeColor="text1"/>
          <w:sz w:val="21"/>
          <w:szCs w:val="21"/>
        </w:rPr>
        <w:t>及产污环节</w:t>
      </w:r>
      <w:proofErr w:type="gramEnd"/>
    </w:p>
    <w:p w14:paraId="17CB40FC" w14:textId="77777777" w:rsidR="00A67F21" w:rsidRPr="00B12FE0" w:rsidRDefault="00000000">
      <w:pPr>
        <w:adjustRightInd w:val="0"/>
        <w:snapToGrid w:val="0"/>
        <w:spacing w:beforeLines="50" w:before="120" w:line="360" w:lineRule="auto"/>
        <w:ind w:firstLine="482"/>
        <w:rPr>
          <w:snapToGrid w:val="0"/>
          <w:color w:val="000000" w:themeColor="text1"/>
          <w:szCs w:val="24"/>
        </w:rPr>
      </w:pPr>
      <w:r w:rsidRPr="00B12FE0">
        <w:rPr>
          <w:snapToGrid w:val="0"/>
          <w:color w:val="000000" w:themeColor="text1"/>
          <w:szCs w:val="24"/>
        </w:rPr>
        <w:t>综上所述，模拟定位</w:t>
      </w:r>
      <w:r w:rsidRPr="00B12FE0">
        <w:rPr>
          <w:snapToGrid w:val="0"/>
          <w:color w:val="000000" w:themeColor="text1"/>
          <w:szCs w:val="24"/>
        </w:rPr>
        <w:t>CT</w:t>
      </w:r>
      <w:proofErr w:type="gramStart"/>
      <w:r w:rsidRPr="00B12FE0">
        <w:rPr>
          <w:snapToGrid w:val="0"/>
          <w:color w:val="000000" w:themeColor="text1"/>
          <w:szCs w:val="24"/>
        </w:rPr>
        <w:t>机正常</w:t>
      </w:r>
      <w:proofErr w:type="gramEnd"/>
      <w:r w:rsidRPr="00B12FE0">
        <w:rPr>
          <w:snapToGrid w:val="0"/>
          <w:color w:val="000000" w:themeColor="text1"/>
          <w:szCs w:val="24"/>
        </w:rPr>
        <w:t>工况下，污染源项主要为开机状态下产生的</w:t>
      </w:r>
      <w:r w:rsidRPr="00B12FE0">
        <w:rPr>
          <w:snapToGrid w:val="0"/>
          <w:color w:val="000000" w:themeColor="text1"/>
          <w:szCs w:val="24"/>
        </w:rPr>
        <w:t>X</w:t>
      </w:r>
      <w:r w:rsidRPr="00B12FE0">
        <w:rPr>
          <w:snapToGrid w:val="0"/>
          <w:color w:val="000000" w:themeColor="text1"/>
          <w:szCs w:val="24"/>
        </w:rPr>
        <w:t>射线，同时产生少量臭氧和氮氧化物。</w:t>
      </w:r>
    </w:p>
    <w:p w14:paraId="6B88CBED" w14:textId="77777777" w:rsidR="00A67F21" w:rsidRPr="00B12FE0" w:rsidRDefault="00000000">
      <w:pPr>
        <w:adjustRightInd w:val="0"/>
        <w:snapToGrid w:val="0"/>
        <w:spacing w:line="360" w:lineRule="auto"/>
        <w:ind w:firstLine="482"/>
        <w:rPr>
          <w:b/>
          <w:snapToGrid w:val="0"/>
          <w:color w:val="000000" w:themeColor="text1"/>
          <w:szCs w:val="24"/>
        </w:rPr>
      </w:pPr>
      <w:r w:rsidRPr="00B12FE0">
        <w:rPr>
          <w:b/>
          <w:snapToGrid w:val="0"/>
          <w:color w:val="000000" w:themeColor="text1"/>
          <w:szCs w:val="24"/>
        </w:rPr>
        <w:t>（</w:t>
      </w:r>
      <w:r w:rsidRPr="00B12FE0">
        <w:rPr>
          <w:b/>
          <w:snapToGrid w:val="0"/>
          <w:color w:val="000000" w:themeColor="text1"/>
          <w:szCs w:val="24"/>
        </w:rPr>
        <w:t>4</w:t>
      </w:r>
      <w:r w:rsidRPr="00B12FE0">
        <w:rPr>
          <w:b/>
          <w:snapToGrid w:val="0"/>
          <w:color w:val="000000" w:themeColor="text1"/>
          <w:szCs w:val="24"/>
        </w:rPr>
        <w:t>）人员路径（附图</w:t>
      </w:r>
      <w:r w:rsidRPr="00B12FE0">
        <w:rPr>
          <w:rFonts w:hint="eastAsia"/>
          <w:b/>
          <w:snapToGrid w:val="0"/>
          <w:color w:val="000000" w:themeColor="text1"/>
          <w:szCs w:val="24"/>
        </w:rPr>
        <w:t>13</w:t>
      </w:r>
      <w:r w:rsidRPr="00B12FE0">
        <w:rPr>
          <w:b/>
          <w:snapToGrid w:val="0"/>
          <w:color w:val="000000" w:themeColor="text1"/>
          <w:szCs w:val="24"/>
        </w:rPr>
        <w:t>）</w:t>
      </w:r>
    </w:p>
    <w:p w14:paraId="7A042EC4"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szCs w:val="24"/>
        </w:rPr>
        <w:t>①</w:t>
      </w:r>
      <w:r w:rsidRPr="00B12FE0">
        <w:rPr>
          <w:bCs/>
          <w:snapToGrid w:val="0"/>
          <w:color w:val="000000" w:themeColor="text1"/>
          <w:szCs w:val="24"/>
        </w:rPr>
        <w:t>患者路径：患者由放疗</w:t>
      </w:r>
      <w:r w:rsidRPr="00B12FE0">
        <w:rPr>
          <w:rFonts w:hint="eastAsia"/>
          <w:bCs/>
          <w:snapToGrid w:val="0"/>
          <w:color w:val="000000" w:themeColor="text1"/>
          <w:szCs w:val="24"/>
        </w:rPr>
        <w:t>科</w:t>
      </w:r>
      <w:r w:rsidRPr="00B12FE0">
        <w:rPr>
          <w:bCs/>
          <w:snapToGrid w:val="0"/>
          <w:color w:val="000000" w:themeColor="text1"/>
          <w:szCs w:val="24"/>
        </w:rPr>
        <w:t>入口进入候诊区等候，经候诊区后由机房</w:t>
      </w:r>
      <w:r w:rsidRPr="00B12FE0">
        <w:rPr>
          <w:rFonts w:hint="eastAsia"/>
          <w:bCs/>
          <w:snapToGrid w:val="0"/>
          <w:color w:val="000000" w:themeColor="text1"/>
          <w:szCs w:val="24"/>
        </w:rPr>
        <w:t>北</w:t>
      </w:r>
      <w:r w:rsidRPr="00B12FE0">
        <w:rPr>
          <w:bCs/>
          <w:snapToGrid w:val="0"/>
          <w:color w:val="000000" w:themeColor="text1"/>
          <w:szCs w:val="24"/>
        </w:rPr>
        <w:t>侧防护门进入模拟定位</w:t>
      </w:r>
      <w:r w:rsidRPr="00B12FE0">
        <w:rPr>
          <w:bCs/>
          <w:snapToGrid w:val="0"/>
          <w:color w:val="000000" w:themeColor="text1"/>
          <w:szCs w:val="24"/>
        </w:rPr>
        <w:t>CT</w:t>
      </w:r>
      <w:r w:rsidRPr="00B12FE0">
        <w:rPr>
          <w:bCs/>
          <w:snapToGrid w:val="0"/>
          <w:color w:val="000000" w:themeColor="text1"/>
          <w:szCs w:val="24"/>
        </w:rPr>
        <w:t>机房进行模拟定位，结束后沿原路返回。</w:t>
      </w:r>
    </w:p>
    <w:p w14:paraId="0D831628"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szCs w:val="24"/>
        </w:rPr>
        <w:t>②</w:t>
      </w:r>
      <w:r w:rsidRPr="00B12FE0">
        <w:rPr>
          <w:bCs/>
          <w:snapToGrid w:val="0"/>
          <w:color w:val="000000" w:themeColor="text1"/>
          <w:szCs w:val="24"/>
        </w:rPr>
        <w:t>医护人员路径：医护人员由放疗科入口进入候诊区，随后由</w:t>
      </w:r>
      <w:r w:rsidRPr="00B12FE0">
        <w:rPr>
          <w:rFonts w:hint="eastAsia"/>
          <w:bCs/>
          <w:snapToGrid w:val="0"/>
          <w:color w:val="000000" w:themeColor="text1"/>
          <w:szCs w:val="24"/>
        </w:rPr>
        <w:t>北</w:t>
      </w:r>
      <w:r w:rsidRPr="00B12FE0">
        <w:rPr>
          <w:bCs/>
          <w:snapToGrid w:val="0"/>
          <w:color w:val="000000" w:themeColor="text1"/>
          <w:szCs w:val="24"/>
        </w:rPr>
        <w:t>侧防护门进入模拟定位</w:t>
      </w:r>
      <w:r w:rsidRPr="00B12FE0">
        <w:rPr>
          <w:bCs/>
          <w:snapToGrid w:val="0"/>
          <w:color w:val="000000" w:themeColor="text1"/>
          <w:szCs w:val="24"/>
        </w:rPr>
        <w:t>CT</w:t>
      </w:r>
      <w:r w:rsidRPr="00B12FE0">
        <w:rPr>
          <w:bCs/>
          <w:snapToGrid w:val="0"/>
          <w:color w:val="000000" w:themeColor="text1"/>
          <w:szCs w:val="24"/>
        </w:rPr>
        <w:t>机房</w:t>
      </w:r>
      <w:r w:rsidRPr="00B12FE0">
        <w:rPr>
          <w:rFonts w:hint="eastAsia"/>
          <w:bCs/>
          <w:snapToGrid w:val="0"/>
          <w:color w:val="000000" w:themeColor="text1"/>
          <w:szCs w:val="24"/>
        </w:rPr>
        <w:t>后经机房东侧防护门进入</w:t>
      </w:r>
      <w:r w:rsidRPr="00B12FE0">
        <w:rPr>
          <w:bCs/>
          <w:snapToGrid w:val="0"/>
          <w:color w:val="000000" w:themeColor="text1"/>
          <w:szCs w:val="24"/>
        </w:rPr>
        <w:t>控制室，摆</w:t>
      </w:r>
      <w:proofErr w:type="gramStart"/>
      <w:r w:rsidRPr="00B12FE0">
        <w:rPr>
          <w:bCs/>
          <w:snapToGrid w:val="0"/>
          <w:color w:val="000000" w:themeColor="text1"/>
          <w:szCs w:val="24"/>
        </w:rPr>
        <w:t>位人员</w:t>
      </w:r>
      <w:proofErr w:type="gramEnd"/>
      <w:r w:rsidRPr="00B12FE0">
        <w:rPr>
          <w:bCs/>
          <w:snapToGrid w:val="0"/>
          <w:color w:val="000000" w:themeColor="text1"/>
          <w:szCs w:val="24"/>
        </w:rPr>
        <w:t>由模拟定位</w:t>
      </w:r>
      <w:r w:rsidRPr="00B12FE0">
        <w:rPr>
          <w:bCs/>
          <w:snapToGrid w:val="0"/>
          <w:color w:val="000000" w:themeColor="text1"/>
          <w:szCs w:val="24"/>
        </w:rPr>
        <w:t>CT</w:t>
      </w:r>
      <w:r w:rsidRPr="00B12FE0">
        <w:rPr>
          <w:bCs/>
          <w:snapToGrid w:val="0"/>
          <w:color w:val="000000" w:themeColor="text1"/>
          <w:szCs w:val="24"/>
        </w:rPr>
        <w:t>机房</w:t>
      </w:r>
      <w:r w:rsidRPr="00B12FE0">
        <w:rPr>
          <w:rFonts w:hint="eastAsia"/>
          <w:bCs/>
          <w:snapToGrid w:val="0"/>
          <w:color w:val="000000" w:themeColor="text1"/>
          <w:szCs w:val="24"/>
        </w:rPr>
        <w:t>东</w:t>
      </w:r>
      <w:r w:rsidRPr="00B12FE0">
        <w:rPr>
          <w:bCs/>
          <w:snapToGrid w:val="0"/>
          <w:color w:val="000000" w:themeColor="text1"/>
          <w:szCs w:val="24"/>
        </w:rPr>
        <w:t>侧防护门进入机房对患者进行摆位，完成工作后原路返回控制室。</w:t>
      </w:r>
    </w:p>
    <w:p w14:paraId="78F5C73B" w14:textId="77777777" w:rsidR="00A67F21" w:rsidRPr="00B12FE0" w:rsidRDefault="00000000">
      <w:pPr>
        <w:snapToGrid w:val="0"/>
        <w:spacing w:line="360" w:lineRule="auto"/>
        <w:contextualSpacing/>
        <w:outlineLvl w:val="1"/>
        <w:rPr>
          <w:b/>
          <w:color w:val="000000" w:themeColor="text1"/>
          <w:sz w:val="28"/>
          <w:szCs w:val="28"/>
        </w:rPr>
      </w:pPr>
      <w:r w:rsidRPr="00B12FE0">
        <w:rPr>
          <w:b/>
          <w:color w:val="000000" w:themeColor="text1"/>
          <w:sz w:val="28"/>
          <w:szCs w:val="28"/>
        </w:rPr>
        <w:t>9.</w:t>
      </w:r>
      <w:r w:rsidRPr="00B12FE0">
        <w:rPr>
          <w:rFonts w:hint="eastAsia"/>
          <w:b/>
          <w:color w:val="000000" w:themeColor="text1"/>
          <w:sz w:val="28"/>
          <w:szCs w:val="28"/>
        </w:rPr>
        <w:t>2</w:t>
      </w:r>
      <w:r w:rsidRPr="00B12FE0">
        <w:rPr>
          <w:b/>
          <w:color w:val="000000" w:themeColor="text1"/>
          <w:sz w:val="28"/>
          <w:szCs w:val="28"/>
        </w:rPr>
        <w:t>污染源项描述</w:t>
      </w:r>
    </w:p>
    <w:p w14:paraId="07E92650" w14:textId="77777777" w:rsidR="00A67F21" w:rsidRPr="00B12FE0" w:rsidRDefault="00000000">
      <w:pPr>
        <w:snapToGrid w:val="0"/>
        <w:spacing w:line="360" w:lineRule="auto"/>
        <w:contextualSpacing/>
        <w:outlineLvl w:val="2"/>
        <w:rPr>
          <w:b/>
          <w:color w:val="000000" w:themeColor="text1"/>
          <w:szCs w:val="24"/>
        </w:rPr>
      </w:pPr>
      <w:r w:rsidRPr="00B12FE0">
        <w:rPr>
          <w:b/>
          <w:color w:val="000000" w:themeColor="text1"/>
          <w:szCs w:val="24"/>
        </w:rPr>
        <w:t>9.</w:t>
      </w:r>
      <w:r w:rsidRPr="00B12FE0">
        <w:rPr>
          <w:rFonts w:hint="eastAsia"/>
          <w:b/>
          <w:color w:val="000000" w:themeColor="text1"/>
          <w:szCs w:val="24"/>
        </w:rPr>
        <w:t>2.</w:t>
      </w:r>
      <w:r w:rsidRPr="00B12FE0">
        <w:rPr>
          <w:b/>
          <w:color w:val="000000" w:themeColor="text1"/>
          <w:szCs w:val="24"/>
        </w:rPr>
        <w:t>1</w:t>
      </w:r>
      <w:r w:rsidRPr="00B12FE0">
        <w:rPr>
          <w:b/>
          <w:color w:val="000000" w:themeColor="text1"/>
          <w:szCs w:val="24"/>
        </w:rPr>
        <w:t>正常工况下污染源项描述</w:t>
      </w:r>
    </w:p>
    <w:p w14:paraId="166F728D" w14:textId="77777777" w:rsidR="00A67F21" w:rsidRPr="00B12FE0" w:rsidRDefault="00000000">
      <w:pPr>
        <w:widowControl/>
        <w:topLinePunct/>
        <w:spacing w:line="360" w:lineRule="auto"/>
        <w:ind w:firstLineChars="200" w:firstLine="480"/>
        <w:rPr>
          <w:color w:val="000000" w:themeColor="text1"/>
          <w:sz w:val="21"/>
          <w:szCs w:val="21"/>
        </w:rPr>
      </w:pPr>
      <w:r w:rsidRPr="00B12FE0">
        <w:rPr>
          <w:rFonts w:ascii="宋体" w:hAnsi="宋体"/>
          <w:color w:val="000000" w:themeColor="text1"/>
          <w:szCs w:val="24"/>
        </w:rPr>
        <w:t>由前文核医学工作流程可知，射线外照射将伴随核素在核医学诊疗项目整个开展过程中，包括制药、质控、测活、注射（服药）等过程。受诊患者注射（服药）放射性药物后，本身短时间内也成为一个</w:t>
      </w:r>
      <w:r w:rsidRPr="00B12FE0">
        <w:rPr>
          <w:color w:val="000000" w:themeColor="text1"/>
          <w:szCs w:val="24"/>
        </w:rPr>
        <w:t>“</w:t>
      </w:r>
      <w:r w:rsidRPr="00B12FE0">
        <w:rPr>
          <w:rFonts w:ascii="宋体" w:hAnsi="宋体"/>
          <w:color w:val="000000" w:themeColor="text1"/>
          <w:szCs w:val="24"/>
        </w:rPr>
        <w:t>辐射体</w:t>
      </w:r>
      <w:r w:rsidRPr="00B12FE0">
        <w:rPr>
          <w:color w:val="000000" w:themeColor="text1"/>
          <w:szCs w:val="24"/>
        </w:rPr>
        <w:t>”</w:t>
      </w:r>
      <w:r w:rsidRPr="00B12FE0">
        <w:rPr>
          <w:rFonts w:ascii="宋体" w:hAnsi="宋体"/>
          <w:color w:val="000000" w:themeColor="text1"/>
          <w:szCs w:val="24"/>
        </w:rPr>
        <w:t>，随着患者的移动，将对周围环境造成辐射影响，排泄物也成为放射性污染物。在诊疗过程产生的固体废物也可能受放射性污染而成为放射性固体废物。本项目核医学科放射性核素的相关性状见</w:t>
      </w:r>
      <w:r w:rsidRPr="00B12FE0">
        <w:rPr>
          <w:bCs/>
          <w:color w:val="000000" w:themeColor="text1"/>
        </w:rPr>
        <w:t>表</w:t>
      </w:r>
      <w:r w:rsidRPr="00B12FE0">
        <w:rPr>
          <w:rFonts w:hint="eastAsia"/>
          <w:bCs/>
          <w:color w:val="000000" w:themeColor="text1"/>
        </w:rPr>
        <w:t>9.1.1.5</w:t>
      </w:r>
      <w:r w:rsidRPr="00B12FE0">
        <w:rPr>
          <w:bCs/>
          <w:color w:val="000000" w:themeColor="text1"/>
        </w:rPr>
        <w:t>-1</w:t>
      </w:r>
      <w:r w:rsidRPr="00B12FE0">
        <w:rPr>
          <w:rFonts w:hint="eastAsia"/>
          <w:bCs/>
          <w:color w:val="000000" w:themeColor="text1"/>
        </w:rPr>
        <w:t>~9.1.1.5-2</w:t>
      </w:r>
      <w:r w:rsidRPr="00B12FE0">
        <w:rPr>
          <w:rFonts w:ascii="宋体" w:hAnsi="宋体"/>
          <w:color w:val="000000" w:themeColor="text1"/>
          <w:szCs w:val="24"/>
        </w:rPr>
        <w:t>。</w:t>
      </w:r>
    </w:p>
    <w:p w14:paraId="4C8A5A7F" w14:textId="77777777" w:rsidR="00A67F21" w:rsidRPr="00B12FE0" w:rsidRDefault="00000000">
      <w:pPr>
        <w:adjustRightInd w:val="0"/>
        <w:snapToGrid w:val="0"/>
        <w:spacing w:line="360" w:lineRule="auto"/>
        <w:jc w:val="left"/>
        <w:rPr>
          <w:b/>
          <w:color w:val="000000" w:themeColor="text1"/>
          <w:szCs w:val="24"/>
        </w:rPr>
      </w:pPr>
      <w:r w:rsidRPr="00B12FE0">
        <w:rPr>
          <w:rFonts w:hint="eastAsia"/>
          <w:b/>
          <w:color w:val="000000" w:themeColor="text1"/>
          <w:szCs w:val="24"/>
        </w:rPr>
        <w:t xml:space="preserve">9.2.1.1 </w:t>
      </w:r>
      <w:r w:rsidRPr="00B12FE0">
        <w:rPr>
          <w:rFonts w:ascii="宋体" w:hAnsi="宋体" w:hint="eastAsia"/>
          <w:b/>
          <w:color w:val="000000" w:themeColor="text1"/>
          <w:szCs w:val="24"/>
        </w:rPr>
        <w:t>核医学科核素制备场所污染源项分析</w:t>
      </w:r>
    </w:p>
    <w:p w14:paraId="72BE9AB7" w14:textId="77777777" w:rsidR="00A67F21" w:rsidRPr="00B12FE0" w:rsidRDefault="00000000">
      <w:pPr>
        <w:adjustRightInd w:val="0"/>
        <w:snapToGrid w:val="0"/>
        <w:spacing w:line="360" w:lineRule="auto"/>
        <w:ind w:firstLine="480"/>
        <w:rPr>
          <w:b/>
          <w:bCs/>
          <w:color w:val="000000" w:themeColor="text1"/>
          <w:szCs w:val="24"/>
        </w:rPr>
      </w:pPr>
      <w:r w:rsidRPr="00B12FE0">
        <w:rPr>
          <w:rFonts w:ascii="宋体" w:hAnsi="宋体"/>
          <w:color w:val="000000" w:themeColor="text1"/>
          <w:szCs w:val="24"/>
        </w:rPr>
        <w:lastRenderedPageBreak/>
        <w:t>核素制备场所污染因子主要是：中子、</w:t>
      </w:r>
      <w:r w:rsidRPr="00B12FE0">
        <w:rPr>
          <w:color w:val="000000" w:themeColor="text1"/>
          <w:szCs w:val="24"/>
        </w:rPr>
        <w:t>γ</w:t>
      </w:r>
      <w:r w:rsidRPr="00B12FE0">
        <w:rPr>
          <w:rFonts w:ascii="宋体" w:hAnsi="宋体"/>
          <w:color w:val="000000" w:themeColor="text1"/>
          <w:szCs w:val="24"/>
        </w:rPr>
        <w:t>射线、</w:t>
      </w:r>
      <w:r w:rsidRPr="00B12FE0">
        <w:rPr>
          <w:color w:val="000000" w:themeColor="text1"/>
          <w:szCs w:val="24"/>
        </w:rPr>
        <w:t>β</w:t>
      </w:r>
      <w:r w:rsidRPr="00B12FE0">
        <w:rPr>
          <w:rFonts w:ascii="宋体" w:hAnsi="宋体"/>
          <w:color w:val="000000" w:themeColor="text1"/>
          <w:szCs w:val="24"/>
        </w:rPr>
        <w:t>表面污染、放射性</w:t>
      </w:r>
      <w:r w:rsidRPr="00B12FE0">
        <w:rPr>
          <w:rFonts w:ascii="宋体" w:hAnsi="宋体" w:hint="eastAsia"/>
          <w:color w:val="000000" w:themeColor="text1"/>
          <w:szCs w:val="24"/>
        </w:rPr>
        <w:t>固体废物</w:t>
      </w:r>
      <w:r w:rsidRPr="00B12FE0">
        <w:rPr>
          <w:rFonts w:ascii="宋体" w:hAnsi="宋体"/>
          <w:color w:val="000000" w:themeColor="text1"/>
          <w:szCs w:val="24"/>
        </w:rPr>
        <w:t>、放射性废</w:t>
      </w:r>
      <w:r w:rsidRPr="00B12FE0">
        <w:rPr>
          <w:rFonts w:ascii="宋体" w:hAnsi="宋体" w:hint="eastAsia"/>
          <w:color w:val="000000" w:themeColor="text1"/>
          <w:szCs w:val="24"/>
        </w:rPr>
        <w:t>水</w:t>
      </w:r>
      <w:r w:rsidRPr="00B12FE0">
        <w:rPr>
          <w:rFonts w:ascii="宋体" w:hAnsi="宋体"/>
          <w:color w:val="000000" w:themeColor="text1"/>
          <w:szCs w:val="24"/>
        </w:rPr>
        <w:t>、放射性废气、感生放射性、臭氧和氮氧化物。</w:t>
      </w:r>
    </w:p>
    <w:p w14:paraId="154263DB" w14:textId="77777777" w:rsidR="00A67F21" w:rsidRPr="00B12FE0" w:rsidRDefault="00000000">
      <w:pPr>
        <w:spacing w:line="360" w:lineRule="auto"/>
        <w:ind w:firstLineChars="200" w:firstLine="482"/>
        <w:rPr>
          <w:b/>
          <w:bCs/>
          <w:color w:val="000000" w:themeColor="text1"/>
          <w:szCs w:val="24"/>
        </w:rPr>
      </w:pPr>
      <w:r w:rsidRPr="00B12FE0">
        <w:rPr>
          <w:rFonts w:ascii="宋体" w:hAnsi="宋体"/>
          <w:b/>
          <w:bCs/>
          <w:color w:val="000000" w:themeColor="text1"/>
          <w:szCs w:val="24"/>
        </w:rPr>
        <w:t>（</w:t>
      </w:r>
      <w:r w:rsidRPr="00B12FE0">
        <w:rPr>
          <w:b/>
          <w:bCs/>
          <w:color w:val="000000" w:themeColor="text1"/>
          <w:szCs w:val="24"/>
        </w:rPr>
        <w:t>1</w:t>
      </w:r>
      <w:r w:rsidRPr="00B12FE0">
        <w:rPr>
          <w:rFonts w:ascii="宋体" w:hAnsi="宋体"/>
          <w:b/>
          <w:bCs/>
          <w:color w:val="000000" w:themeColor="text1"/>
          <w:szCs w:val="24"/>
        </w:rPr>
        <w:t>）中子</w:t>
      </w:r>
    </w:p>
    <w:p w14:paraId="2EFD8853" w14:textId="77777777" w:rsidR="00A67F21" w:rsidRPr="00B12FE0" w:rsidRDefault="00000000">
      <w:pPr>
        <w:spacing w:line="360" w:lineRule="auto"/>
        <w:ind w:firstLineChars="200" w:firstLine="480"/>
        <w:rPr>
          <w:color w:val="000000" w:themeColor="text1"/>
          <w:szCs w:val="24"/>
        </w:rPr>
      </w:pPr>
      <w:r w:rsidRPr="00B12FE0">
        <w:rPr>
          <w:rFonts w:ascii="宋体" w:hAnsi="宋体"/>
          <w:color w:val="000000" w:themeColor="text1"/>
          <w:szCs w:val="24"/>
        </w:rPr>
        <w:t>核素制备场所中回旋加速器制药伴随产生中子，因此中子是回旋加速器污染环境的主要污染因子。</w:t>
      </w:r>
    </w:p>
    <w:p w14:paraId="4F63A1BB" w14:textId="77777777" w:rsidR="00A67F21" w:rsidRPr="00B12FE0" w:rsidRDefault="00000000">
      <w:pPr>
        <w:spacing w:line="360" w:lineRule="auto"/>
        <w:ind w:firstLineChars="200" w:firstLine="482"/>
        <w:rPr>
          <w:b/>
          <w:bCs/>
          <w:color w:val="000000" w:themeColor="text1"/>
          <w:szCs w:val="24"/>
        </w:rPr>
      </w:pPr>
      <w:r w:rsidRPr="00B12FE0">
        <w:rPr>
          <w:rFonts w:ascii="宋体" w:hAnsi="宋体"/>
          <w:b/>
          <w:bCs/>
          <w:color w:val="000000" w:themeColor="text1"/>
          <w:szCs w:val="24"/>
        </w:rPr>
        <w:t>（</w:t>
      </w:r>
      <w:r w:rsidRPr="00B12FE0">
        <w:rPr>
          <w:rFonts w:hint="eastAsia"/>
          <w:b/>
          <w:bCs/>
          <w:color w:val="000000" w:themeColor="text1"/>
          <w:szCs w:val="24"/>
        </w:rPr>
        <w:t>2</w:t>
      </w:r>
      <w:r w:rsidRPr="00B12FE0">
        <w:rPr>
          <w:rFonts w:ascii="宋体" w:hAnsi="宋体"/>
          <w:b/>
          <w:bCs/>
          <w:color w:val="000000" w:themeColor="text1"/>
          <w:szCs w:val="24"/>
        </w:rPr>
        <w:t>）</w:t>
      </w:r>
      <w:r w:rsidRPr="00B12FE0">
        <w:rPr>
          <w:b/>
          <w:bCs/>
          <w:color w:val="000000" w:themeColor="text1"/>
          <w:szCs w:val="24"/>
        </w:rPr>
        <w:t>γ</w:t>
      </w:r>
      <w:r w:rsidRPr="00B12FE0">
        <w:rPr>
          <w:rFonts w:ascii="宋体" w:hAnsi="宋体"/>
          <w:b/>
          <w:bCs/>
          <w:color w:val="000000" w:themeColor="text1"/>
          <w:szCs w:val="24"/>
        </w:rPr>
        <w:t>射线</w:t>
      </w:r>
    </w:p>
    <w:p w14:paraId="3C406B02" w14:textId="77777777" w:rsidR="00A67F21" w:rsidRPr="00B12FE0" w:rsidRDefault="00000000">
      <w:pPr>
        <w:adjustRightInd w:val="0"/>
        <w:snapToGrid w:val="0"/>
        <w:spacing w:line="360" w:lineRule="auto"/>
        <w:ind w:firstLineChars="200" w:firstLine="480"/>
        <w:jc w:val="left"/>
        <w:rPr>
          <w:color w:val="000000" w:themeColor="text1"/>
          <w:szCs w:val="24"/>
        </w:rPr>
      </w:pPr>
      <w:r w:rsidRPr="00B12FE0">
        <w:rPr>
          <w:rFonts w:ascii="宋体" w:hAnsi="宋体"/>
          <w:color w:val="000000" w:themeColor="text1"/>
          <w:szCs w:val="24"/>
        </w:rPr>
        <w:t>核素制备场所回旋加速器运行时产生的中子在慢化吸收过程中产生</w:t>
      </w:r>
      <w:r w:rsidRPr="00B12FE0">
        <w:rPr>
          <w:color w:val="000000" w:themeColor="text1"/>
          <w:szCs w:val="24"/>
        </w:rPr>
        <w:t>γ</w:t>
      </w:r>
      <w:r w:rsidRPr="00B12FE0">
        <w:rPr>
          <w:rFonts w:ascii="宋体" w:hAnsi="宋体"/>
          <w:color w:val="000000" w:themeColor="text1"/>
          <w:szCs w:val="24"/>
        </w:rPr>
        <w:t>射线。</w:t>
      </w:r>
    </w:p>
    <w:p w14:paraId="0E561108" w14:textId="77777777" w:rsidR="00A67F21" w:rsidRPr="00B12FE0" w:rsidRDefault="00000000">
      <w:pPr>
        <w:spacing w:line="360" w:lineRule="auto"/>
        <w:ind w:firstLineChars="200" w:firstLine="482"/>
        <w:rPr>
          <w:b/>
          <w:color w:val="000000" w:themeColor="text1"/>
          <w:szCs w:val="24"/>
        </w:rPr>
      </w:pPr>
      <w:r w:rsidRPr="00B12FE0">
        <w:rPr>
          <w:rFonts w:ascii="宋体" w:hAnsi="宋体"/>
          <w:b/>
          <w:color w:val="000000" w:themeColor="text1"/>
          <w:szCs w:val="24"/>
        </w:rPr>
        <w:t>（</w:t>
      </w:r>
      <w:r w:rsidRPr="00B12FE0">
        <w:rPr>
          <w:rFonts w:hint="eastAsia"/>
          <w:b/>
          <w:color w:val="000000" w:themeColor="text1"/>
          <w:szCs w:val="24"/>
        </w:rPr>
        <w:t>3</w:t>
      </w:r>
      <w:r w:rsidRPr="00B12FE0">
        <w:rPr>
          <w:rFonts w:ascii="宋体" w:hAnsi="宋体"/>
          <w:b/>
          <w:color w:val="000000" w:themeColor="text1"/>
          <w:szCs w:val="24"/>
        </w:rPr>
        <w:t>）</w:t>
      </w:r>
      <w:r w:rsidRPr="00B12FE0">
        <w:rPr>
          <w:b/>
          <w:color w:val="000000" w:themeColor="text1"/>
          <w:szCs w:val="24"/>
        </w:rPr>
        <w:t>β</w:t>
      </w:r>
      <w:r w:rsidRPr="00B12FE0">
        <w:rPr>
          <w:rFonts w:ascii="宋体" w:hAnsi="宋体"/>
          <w:b/>
          <w:color w:val="000000" w:themeColor="text1"/>
          <w:szCs w:val="24"/>
        </w:rPr>
        <w:t>表面污染</w:t>
      </w:r>
    </w:p>
    <w:p w14:paraId="16D82990" w14:textId="77777777" w:rsidR="00A67F21" w:rsidRPr="00B12FE0" w:rsidRDefault="00000000">
      <w:pPr>
        <w:spacing w:line="360" w:lineRule="auto"/>
        <w:ind w:firstLineChars="200" w:firstLine="480"/>
        <w:rPr>
          <w:color w:val="000000" w:themeColor="text1"/>
          <w:szCs w:val="24"/>
        </w:rPr>
      </w:pPr>
      <w:r w:rsidRPr="00B12FE0">
        <w:rPr>
          <w:rFonts w:ascii="宋体" w:hAnsi="宋体"/>
          <w:color w:val="000000" w:themeColor="text1"/>
          <w:szCs w:val="24"/>
        </w:rPr>
        <w:t>放射性药物在</w:t>
      </w:r>
      <w:r w:rsidRPr="00B12FE0">
        <w:rPr>
          <w:rFonts w:ascii="宋体" w:hAnsi="宋体" w:hint="eastAsia"/>
          <w:color w:val="000000" w:themeColor="text1"/>
          <w:szCs w:val="24"/>
        </w:rPr>
        <w:t>合成</w:t>
      </w:r>
      <w:r w:rsidRPr="00B12FE0">
        <w:rPr>
          <w:rFonts w:ascii="宋体" w:hAnsi="宋体"/>
          <w:color w:val="000000" w:themeColor="text1"/>
          <w:szCs w:val="24"/>
        </w:rPr>
        <w:t>、分装等活动过程中，不可避免地会引起工作台、地面、工作服、手套等产生放射性</w:t>
      </w:r>
      <w:proofErr w:type="gramStart"/>
      <w:r w:rsidRPr="00B12FE0">
        <w:rPr>
          <w:rFonts w:ascii="宋体" w:hAnsi="宋体"/>
          <w:color w:val="000000" w:themeColor="text1"/>
          <w:szCs w:val="24"/>
        </w:rPr>
        <w:t>沾污</w:t>
      </w:r>
      <w:proofErr w:type="gramEnd"/>
      <w:r w:rsidRPr="00B12FE0">
        <w:rPr>
          <w:rFonts w:ascii="宋体" w:hAnsi="宋体"/>
          <w:color w:val="000000" w:themeColor="text1"/>
          <w:szCs w:val="24"/>
        </w:rPr>
        <w:t>，造成</w:t>
      </w:r>
      <w:r w:rsidRPr="00B12FE0">
        <w:rPr>
          <w:color w:val="000000" w:themeColor="text1"/>
          <w:szCs w:val="24"/>
        </w:rPr>
        <w:t>β</w:t>
      </w:r>
      <w:r w:rsidRPr="00B12FE0">
        <w:rPr>
          <w:rFonts w:ascii="宋体" w:hAnsi="宋体"/>
          <w:color w:val="000000" w:themeColor="text1"/>
          <w:szCs w:val="24"/>
        </w:rPr>
        <w:t>表面污染。</w:t>
      </w:r>
    </w:p>
    <w:p w14:paraId="7DBF41FD" w14:textId="77777777" w:rsidR="00A67F21" w:rsidRPr="00B12FE0" w:rsidRDefault="00000000">
      <w:pPr>
        <w:spacing w:line="360" w:lineRule="auto"/>
        <w:ind w:firstLineChars="200" w:firstLine="482"/>
        <w:rPr>
          <w:b/>
          <w:color w:val="000000" w:themeColor="text1"/>
          <w:szCs w:val="24"/>
        </w:rPr>
      </w:pPr>
      <w:r w:rsidRPr="00B12FE0">
        <w:rPr>
          <w:rFonts w:ascii="宋体" w:hAnsi="宋体"/>
          <w:b/>
          <w:color w:val="000000" w:themeColor="text1"/>
          <w:szCs w:val="24"/>
        </w:rPr>
        <w:t>（</w:t>
      </w:r>
      <w:r w:rsidRPr="00B12FE0">
        <w:rPr>
          <w:rFonts w:hint="eastAsia"/>
          <w:b/>
          <w:color w:val="000000" w:themeColor="text1"/>
          <w:szCs w:val="24"/>
        </w:rPr>
        <w:t>4</w:t>
      </w:r>
      <w:r w:rsidRPr="00B12FE0">
        <w:rPr>
          <w:rFonts w:ascii="宋体" w:hAnsi="宋体"/>
          <w:b/>
          <w:color w:val="000000" w:themeColor="text1"/>
          <w:szCs w:val="24"/>
        </w:rPr>
        <w:t>）放射性固体废物</w:t>
      </w:r>
    </w:p>
    <w:p w14:paraId="2D538E75" w14:textId="77777777" w:rsidR="00A67F21" w:rsidRPr="00B12FE0" w:rsidRDefault="00000000">
      <w:pPr>
        <w:overflowPunct w:val="0"/>
        <w:adjustRightInd w:val="0"/>
        <w:snapToGrid w:val="0"/>
        <w:spacing w:line="360" w:lineRule="auto"/>
        <w:ind w:firstLine="480"/>
        <w:rPr>
          <w:color w:val="000000" w:themeColor="text1"/>
          <w:szCs w:val="24"/>
        </w:rPr>
      </w:pPr>
      <w:r w:rsidRPr="00B12FE0">
        <w:rPr>
          <w:color w:val="000000" w:themeColor="text1"/>
          <w:szCs w:val="24"/>
        </w:rPr>
        <w:t>A</w:t>
      </w:r>
      <w:r w:rsidRPr="00B12FE0">
        <w:rPr>
          <w:rFonts w:ascii="宋体" w:hAnsi="宋体"/>
          <w:color w:val="000000" w:themeColor="text1"/>
          <w:szCs w:val="24"/>
        </w:rPr>
        <w:t>、回旋加速器</w:t>
      </w:r>
      <w:proofErr w:type="gramStart"/>
      <w:r w:rsidRPr="00B12FE0">
        <w:rPr>
          <w:rFonts w:ascii="宋体" w:hAnsi="宋体"/>
          <w:color w:val="000000" w:themeColor="text1"/>
          <w:szCs w:val="24"/>
        </w:rPr>
        <w:t>固体靶片可</w:t>
      </w:r>
      <w:proofErr w:type="gramEnd"/>
      <w:r w:rsidRPr="00B12FE0">
        <w:rPr>
          <w:rFonts w:ascii="宋体" w:hAnsi="宋体"/>
          <w:color w:val="000000" w:themeColor="text1"/>
          <w:szCs w:val="24"/>
        </w:rPr>
        <w:t>重复使用，在意外损坏需要更换时，换下</w:t>
      </w:r>
      <w:proofErr w:type="gramStart"/>
      <w:r w:rsidRPr="00B12FE0">
        <w:rPr>
          <w:rFonts w:ascii="宋体" w:hAnsi="宋体"/>
          <w:color w:val="000000" w:themeColor="text1"/>
          <w:szCs w:val="24"/>
        </w:rPr>
        <w:t>的废靶暂存于</w:t>
      </w:r>
      <w:proofErr w:type="gramEnd"/>
      <w:r w:rsidRPr="00B12FE0">
        <w:rPr>
          <w:rFonts w:ascii="宋体" w:hAnsi="宋体"/>
          <w:color w:val="000000" w:themeColor="text1"/>
          <w:szCs w:val="24"/>
        </w:rPr>
        <w:t>机房内放射性废物铅桶中，后由厂家回收，最终交由具有放射性废物收贮资质的单位收贮。</w:t>
      </w:r>
      <w:r w:rsidRPr="00B12FE0">
        <w:rPr>
          <w:color w:val="000000" w:themeColor="text1"/>
          <w:szCs w:val="24"/>
        </w:rPr>
        <w:t>回旋加速器</w:t>
      </w:r>
      <w:proofErr w:type="gramStart"/>
      <w:r w:rsidRPr="00B12FE0">
        <w:rPr>
          <w:color w:val="000000" w:themeColor="text1"/>
          <w:szCs w:val="24"/>
        </w:rPr>
        <w:t>废靶按</w:t>
      </w:r>
      <w:proofErr w:type="gramEnd"/>
      <w:r w:rsidRPr="00B12FE0">
        <w:rPr>
          <w:color w:val="000000" w:themeColor="text1"/>
          <w:szCs w:val="24"/>
        </w:rPr>
        <w:t>每年更换</w:t>
      </w:r>
      <w:r w:rsidRPr="00B12FE0">
        <w:rPr>
          <w:color w:val="000000" w:themeColor="text1"/>
          <w:szCs w:val="24"/>
        </w:rPr>
        <w:t>1</w:t>
      </w:r>
      <w:r w:rsidRPr="00B12FE0">
        <w:rPr>
          <w:color w:val="000000" w:themeColor="text1"/>
          <w:szCs w:val="24"/>
        </w:rPr>
        <w:t>次或</w:t>
      </w:r>
      <w:r w:rsidRPr="00B12FE0">
        <w:rPr>
          <w:color w:val="000000" w:themeColor="text1"/>
          <w:szCs w:val="24"/>
        </w:rPr>
        <w:t>2</w:t>
      </w:r>
      <w:r w:rsidRPr="00B12FE0">
        <w:rPr>
          <w:color w:val="000000" w:themeColor="text1"/>
          <w:szCs w:val="24"/>
        </w:rPr>
        <w:t>次</w:t>
      </w:r>
      <w:r w:rsidRPr="00B12FE0">
        <w:rPr>
          <w:rFonts w:ascii="宋体" w:hAnsi="宋体" w:hint="eastAsia"/>
          <w:color w:val="000000" w:themeColor="text1"/>
          <w:szCs w:val="24"/>
        </w:rPr>
        <w:t>，</w:t>
      </w:r>
      <w:r w:rsidRPr="00B12FE0">
        <w:rPr>
          <w:color w:val="000000" w:themeColor="text1"/>
          <w:szCs w:val="24"/>
        </w:rPr>
        <w:t>每次更换量约</w:t>
      </w:r>
      <w:r w:rsidRPr="00B12FE0">
        <w:rPr>
          <w:color w:val="000000" w:themeColor="text1"/>
          <w:szCs w:val="24"/>
        </w:rPr>
        <w:t>0.5kg</w:t>
      </w:r>
      <w:r w:rsidRPr="00B12FE0">
        <w:rPr>
          <w:color w:val="000000" w:themeColor="text1"/>
          <w:szCs w:val="24"/>
        </w:rPr>
        <w:t>，本项目</w:t>
      </w:r>
      <w:proofErr w:type="gramStart"/>
      <w:r w:rsidRPr="00B12FE0">
        <w:rPr>
          <w:color w:val="000000" w:themeColor="text1"/>
          <w:szCs w:val="24"/>
        </w:rPr>
        <w:t>按最多</w:t>
      </w:r>
      <w:proofErr w:type="gramEnd"/>
      <w:r w:rsidRPr="00B12FE0">
        <w:rPr>
          <w:color w:val="000000" w:themeColor="text1"/>
          <w:szCs w:val="24"/>
        </w:rPr>
        <w:t>更换</w:t>
      </w:r>
      <w:r w:rsidRPr="00B12FE0">
        <w:rPr>
          <w:color w:val="000000" w:themeColor="text1"/>
          <w:szCs w:val="24"/>
        </w:rPr>
        <w:t>2</w:t>
      </w:r>
      <w:r w:rsidRPr="00B12FE0">
        <w:rPr>
          <w:color w:val="000000" w:themeColor="text1"/>
          <w:szCs w:val="24"/>
        </w:rPr>
        <w:t>次计，年产生量</w:t>
      </w:r>
      <w:r w:rsidRPr="00B12FE0">
        <w:rPr>
          <w:color w:val="000000" w:themeColor="text1"/>
          <w:szCs w:val="24"/>
        </w:rPr>
        <w:t>1kg</w:t>
      </w:r>
      <w:r w:rsidRPr="00B12FE0">
        <w:rPr>
          <w:color w:val="000000" w:themeColor="text1"/>
          <w:szCs w:val="24"/>
        </w:rPr>
        <w:t>。</w:t>
      </w:r>
    </w:p>
    <w:p w14:paraId="798CE89B" w14:textId="77777777" w:rsidR="00A67F21" w:rsidRPr="00B12FE0" w:rsidRDefault="00000000">
      <w:pPr>
        <w:adjustRightInd w:val="0"/>
        <w:snapToGrid w:val="0"/>
        <w:spacing w:line="360" w:lineRule="auto"/>
        <w:ind w:firstLine="480"/>
        <w:rPr>
          <w:color w:val="000000" w:themeColor="text1"/>
          <w:szCs w:val="24"/>
        </w:rPr>
      </w:pPr>
      <w:r w:rsidRPr="00B12FE0">
        <w:rPr>
          <w:color w:val="000000" w:themeColor="text1"/>
          <w:szCs w:val="24"/>
        </w:rPr>
        <w:t>B</w:t>
      </w:r>
      <w:r w:rsidRPr="00B12FE0">
        <w:rPr>
          <w:rFonts w:ascii="宋体" w:hAnsi="宋体"/>
          <w:color w:val="000000" w:themeColor="text1"/>
          <w:szCs w:val="24"/>
        </w:rPr>
        <w:t>、合成、分装、质控等操作时，产生的树脂、滤膜、操作手套、口罩、棉签、滤纸、清洁去污时用过的抹布等含放射性核素的废物，年产生量约</w:t>
      </w:r>
      <w:r w:rsidRPr="00B12FE0">
        <w:rPr>
          <w:color w:val="000000" w:themeColor="text1"/>
          <w:szCs w:val="24"/>
        </w:rPr>
        <w:t>50kg</w:t>
      </w:r>
      <w:r w:rsidRPr="00B12FE0">
        <w:rPr>
          <w:rFonts w:ascii="宋体" w:hAnsi="宋体"/>
          <w:color w:val="000000" w:themeColor="text1"/>
          <w:szCs w:val="24"/>
        </w:rPr>
        <w:t>。</w:t>
      </w:r>
    </w:p>
    <w:p w14:paraId="2DC474CD" w14:textId="77777777" w:rsidR="00A67F21" w:rsidRPr="00B12FE0" w:rsidRDefault="00000000">
      <w:pPr>
        <w:tabs>
          <w:tab w:val="left" w:pos="719"/>
        </w:tabs>
        <w:overflowPunct w:val="0"/>
        <w:snapToGrid w:val="0"/>
        <w:spacing w:line="360" w:lineRule="auto"/>
        <w:ind w:firstLineChars="182" w:firstLine="437"/>
        <w:contextualSpacing/>
        <w:rPr>
          <w:color w:val="000000" w:themeColor="text1"/>
          <w:szCs w:val="24"/>
        </w:rPr>
      </w:pPr>
      <w:r w:rsidRPr="00B12FE0">
        <w:rPr>
          <w:color w:val="000000" w:themeColor="text1"/>
          <w:szCs w:val="24"/>
        </w:rPr>
        <w:t>C</w:t>
      </w:r>
      <w:r w:rsidRPr="00B12FE0">
        <w:rPr>
          <w:rFonts w:ascii="宋体" w:hAnsi="宋体"/>
          <w:color w:val="000000" w:themeColor="text1"/>
          <w:szCs w:val="24"/>
        </w:rPr>
        <w:t>、核医学科核素制备场所废气处理系统</w:t>
      </w:r>
      <w:r w:rsidRPr="00B12FE0">
        <w:rPr>
          <w:rFonts w:ascii="宋体" w:hAnsi="宋体" w:hint="eastAsia"/>
          <w:color w:val="000000" w:themeColor="text1"/>
          <w:szCs w:val="24"/>
        </w:rPr>
        <w:t>计划</w:t>
      </w:r>
      <w:r w:rsidRPr="00B12FE0">
        <w:rPr>
          <w:rFonts w:ascii="宋体" w:hAnsi="宋体"/>
          <w:color w:val="000000" w:themeColor="text1"/>
          <w:szCs w:val="24"/>
        </w:rPr>
        <w:t>每</w:t>
      </w:r>
      <w:r w:rsidRPr="00B12FE0">
        <w:rPr>
          <w:color w:val="000000" w:themeColor="text1"/>
          <w:szCs w:val="24"/>
        </w:rPr>
        <w:t>6</w:t>
      </w:r>
      <w:r w:rsidRPr="00B12FE0">
        <w:rPr>
          <w:rFonts w:ascii="宋体" w:hAnsi="宋体"/>
          <w:color w:val="000000" w:themeColor="text1"/>
          <w:szCs w:val="24"/>
        </w:rPr>
        <w:t>个月更换一次活性炭，每次会产生</w:t>
      </w:r>
      <w:r w:rsidRPr="00B12FE0">
        <w:rPr>
          <w:color w:val="000000" w:themeColor="text1"/>
          <w:szCs w:val="24"/>
        </w:rPr>
        <w:t>15kg</w:t>
      </w:r>
      <w:r w:rsidRPr="00B12FE0">
        <w:rPr>
          <w:rFonts w:ascii="宋体" w:hAnsi="宋体"/>
          <w:color w:val="000000" w:themeColor="text1"/>
          <w:szCs w:val="24"/>
        </w:rPr>
        <w:t>废活性炭，每年产生的废活性炭为</w:t>
      </w:r>
      <w:r w:rsidRPr="00B12FE0">
        <w:rPr>
          <w:color w:val="000000" w:themeColor="text1"/>
          <w:szCs w:val="24"/>
        </w:rPr>
        <w:t>30kg</w:t>
      </w:r>
      <w:r w:rsidRPr="00B12FE0">
        <w:rPr>
          <w:rFonts w:ascii="宋体" w:hAnsi="宋体"/>
          <w:color w:val="000000" w:themeColor="text1"/>
          <w:szCs w:val="24"/>
        </w:rPr>
        <w:t>。</w:t>
      </w:r>
    </w:p>
    <w:p w14:paraId="64C1A4ED" w14:textId="77777777" w:rsidR="00A67F21" w:rsidRPr="00B12FE0" w:rsidRDefault="00000000">
      <w:pPr>
        <w:spacing w:line="360" w:lineRule="auto"/>
        <w:ind w:firstLineChars="200" w:firstLine="482"/>
        <w:rPr>
          <w:b/>
          <w:color w:val="000000" w:themeColor="text1"/>
          <w:szCs w:val="24"/>
        </w:rPr>
      </w:pPr>
      <w:r w:rsidRPr="00B12FE0">
        <w:rPr>
          <w:rFonts w:ascii="宋体" w:hAnsi="宋体"/>
          <w:b/>
          <w:color w:val="000000" w:themeColor="text1"/>
          <w:szCs w:val="24"/>
        </w:rPr>
        <w:t>（</w:t>
      </w:r>
      <w:r w:rsidRPr="00B12FE0">
        <w:rPr>
          <w:rFonts w:hint="eastAsia"/>
          <w:b/>
          <w:color w:val="000000" w:themeColor="text1"/>
          <w:szCs w:val="24"/>
        </w:rPr>
        <w:t>5</w:t>
      </w:r>
      <w:r w:rsidRPr="00B12FE0">
        <w:rPr>
          <w:rFonts w:ascii="宋体" w:hAnsi="宋体"/>
          <w:b/>
          <w:color w:val="000000" w:themeColor="text1"/>
          <w:szCs w:val="24"/>
        </w:rPr>
        <w:t>）放射性废</w:t>
      </w:r>
      <w:r w:rsidRPr="00B12FE0">
        <w:rPr>
          <w:rFonts w:ascii="宋体" w:hAnsi="宋体" w:hint="eastAsia"/>
          <w:b/>
          <w:color w:val="000000" w:themeColor="text1"/>
          <w:szCs w:val="24"/>
        </w:rPr>
        <w:t>水</w:t>
      </w:r>
    </w:p>
    <w:p w14:paraId="73E10ABC"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核素制备场所回旋加速器制备放射性核素的过程是在密闭系统中进行的，回旋加速器的水冷系统使用循环水，冷却水不外排不产生废水。因此，本项目放射性废</w:t>
      </w:r>
      <w:r w:rsidRPr="00B12FE0">
        <w:rPr>
          <w:rFonts w:ascii="宋体" w:hAnsi="宋体" w:hint="eastAsia"/>
          <w:bCs/>
          <w:color w:val="000000" w:themeColor="text1"/>
          <w:szCs w:val="24"/>
        </w:rPr>
        <w:t>水</w:t>
      </w:r>
      <w:r w:rsidRPr="00B12FE0">
        <w:rPr>
          <w:rFonts w:ascii="宋体" w:hAnsi="宋体"/>
          <w:bCs/>
          <w:color w:val="000000" w:themeColor="text1"/>
          <w:szCs w:val="24"/>
        </w:rPr>
        <w:t>的来源为药物合成过程中的废</w:t>
      </w:r>
      <w:r w:rsidRPr="00B12FE0">
        <w:rPr>
          <w:rFonts w:ascii="宋体" w:hAnsi="宋体" w:hint="eastAsia"/>
          <w:bCs/>
          <w:color w:val="000000" w:themeColor="text1"/>
          <w:szCs w:val="24"/>
        </w:rPr>
        <w:t>水</w:t>
      </w:r>
      <w:r w:rsidRPr="00B12FE0">
        <w:rPr>
          <w:rFonts w:ascii="宋体" w:hAnsi="宋体"/>
          <w:bCs/>
          <w:color w:val="000000" w:themeColor="text1"/>
          <w:szCs w:val="24"/>
        </w:rPr>
        <w:t>、质检产生的废</w:t>
      </w:r>
      <w:r w:rsidRPr="00B12FE0">
        <w:rPr>
          <w:rFonts w:ascii="宋体" w:hAnsi="宋体" w:hint="eastAsia"/>
          <w:bCs/>
          <w:color w:val="000000" w:themeColor="text1"/>
          <w:szCs w:val="24"/>
        </w:rPr>
        <w:t>水</w:t>
      </w:r>
      <w:r w:rsidRPr="00B12FE0">
        <w:rPr>
          <w:rFonts w:ascii="宋体" w:hAnsi="宋体"/>
          <w:bCs/>
          <w:color w:val="000000" w:themeColor="text1"/>
          <w:szCs w:val="24"/>
        </w:rPr>
        <w:t>以及人员和场所应急去污废水。类比同类型项目，</w:t>
      </w:r>
      <w:r w:rsidRPr="00B12FE0">
        <w:rPr>
          <w:rFonts w:ascii="宋体" w:hAnsi="宋体"/>
          <w:color w:val="000000" w:themeColor="text1"/>
          <w:szCs w:val="24"/>
        </w:rPr>
        <w:t>每日共产生废水</w:t>
      </w:r>
      <w:r w:rsidRPr="00B12FE0">
        <w:rPr>
          <w:color w:val="000000" w:themeColor="text1"/>
          <w:szCs w:val="24"/>
        </w:rPr>
        <w:t>0.1m</w:t>
      </w:r>
      <w:r w:rsidRPr="00B12FE0">
        <w:rPr>
          <w:color w:val="000000" w:themeColor="text1"/>
          <w:szCs w:val="24"/>
          <w:vertAlign w:val="superscript"/>
        </w:rPr>
        <w:t>3</w:t>
      </w:r>
      <w:r w:rsidRPr="00B12FE0">
        <w:rPr>
          <w:color w:val="000000" w:themeColor="text1"/>
          <w:szCs w:val="24"/>
        </w:rPr>
        <w:t>/d</w:t>
      </w:r>
      <w:r w:rsidRPr="00B12FE0">
        <w:rPr>
          <w:rFonts w:ascii="宋体" w:hAnsi="宋体"/>
          <w:color w:val="000000" w:themeColor="text1"/>
          <w:szCs w:val="24"/>
        </w:rPr>
        <w:t>，则</w:t>
      </w:r>
      <w:r w:rsidRPr="00B12FE0">
        <w:rPr>
          <w:rFonts w:ascii="宋体" w:hAnsi="宋体"/>
          <w:bCs/>
          <w:color w:val="000000" w:themeColor="text1"/>
          <w:szCs w:val="24"/>
        </w:rPr>
        <w:t>核素制备场所</w:t>
      </w:r>
      <w:r w:rsidRPr="00B12FE0">
        <w:rPr>
          <w:rFonts w:ascii="宋体" w:hAnsi="宋体"/>
          <w:color w:val="000000" w:themeColor="text1"/>
          <w:szCs w:val="24"/>
        </w:rPr>
        <w:t>废水产生量为</w:t>
      </w:r>
      <w:r w:rsidRPr="00B12FE0">
        <w:rPr>
          <w:color w:val="000000" w:themeColor="text1"/>
          <w:szCs w:val="24"/>
        </w:rPr>
        <w:t>0.1m</w:t>
      </w:r>
      <w:r w:rsidRPr="00B12FE0">
        <w:rPr>
          <w:color w:val="000000" w:themeColor="text1"/>
          <w:szCs w:val="24"/>
          <w:vertAlign w:val="superscript"/>
        </w:rPr>
        <w:t>3</w:t>
      </w:r>
      <w:r w:rsidRPr="00B12FE0">
        <w:rPr>
          <w:color w:val="000000" w:themeColor="text1"/>
          <w:szCs w:val="24"/>
        </w:rPr>
        <w:t>/d</w:t>
      </w:r>
      <w:r w:rsidRPr="00B12FE0">
        <w:rPr>
          <w:rFonts w:ascii="宋体" w:hAnsi="宋体"/>
          <w:color w:val="000000" w:themeColor="text1"/>
          <w:szCs w:val="24"/>
        </w:rPr>
        <w:t>、</w:t>
      </w:r>
      <w:r w:rsidRPr="00B12FE0">
        <w:rPr>
          <w:color w:val="000000" w:themeColor="text1"/>
          <w:szCs w:val="24"/>
        </w:rPr>
        <w:t>25m</w:t>
      </w:r>
      <w:r w:rsidRPr="00B12FE0">
        <w:rPr>
          <w:color w:val="000000" w:themeColor="text1"/>
          <w:szCs w:val="24"/>
          <w:vertAlign w:val="superscript"/>
        </w:rPr>
        <w:t>3</w:t>
      </w:r>
      <w:r w:rsidRPr="00B12FE0">
        <w:rPr>
          <w:color w:val="000000" w:themeColor="text1"/>
          <w:szCs w:val="24"/>
        </w:rPr>
        <w:t>/a</w:t>
      </w:r>
      <w:r w:rsidRPr="00B12FE0">
        <w:rPr>
          <w:rFonts w:ascii="宋体" w:hAnsi="宋体"/>
          <w:bCs/>
          <w:color w:val="000000" w:themeColor="text1"/>
          <w:szCs w:val="24"/>
        </w:rPr>
        <w:t>。</w:t>
      </w:r>
    </w:p>
    <w:p w14:paraId="1B65CB0E" w14:textId="77777777" w:rsidR="00A67F21" w:rsidRPr="00B12FE0" w:rsidRDefault="00000000">
      <w:pPr>
        <w:spacing w:line="360" w:lineRule="auto"/>
        <w:ind w:firstLineChars="200" w:firstLine="482"/>
        <w:rPr>
          <w:b/>
          <w:color w:val="000000" w:themeColor="text1"/>
          <w:szCs w:val="24"/>
        </w:rPr>
      </w:pPr>
      <w:r w:rsidRPr="00B12FE0">
        <w:rPr>
          <w:rFonts w:ascii="宋体" w:hAnsi="宋体"/>
          <w:b/>
          <w:color w:val="000000" w:themeColor="text1"/>
          <w:szCs w:val="24"/>
        </w:rPr>
        <w:t>（</w:t>
      </w:r>
      <w:r w:rsidRPr="00B12FE0">
        <w:rPr>
          <w:rFonts w:hint="eastAsia"/>
          <w:b/>
          <w:color w:val="000000" w:themeColor="text1"/>
          <w:szCs w:val="24"/>
        </w:rPr>
        <w:t>6</w:t>
      </w:r>
      <w:r w:rsidRPr="00B12FE0">
        <w:rPr>
          <w:rFonts w:ascii="宋体" w:hAnsi="宋体"/>
          <w:b/>
          <w:color w:val="000000" w:themeColor="text1"/>
          <w:szCs w:val="24"/>
        </w:rPr>
        <w:t>）放射性</w:t>
      </w:r>
      <w:r w:rsidRPr="00B12FE0">
        <w:rPr>
          <w:rFonts w:ascii="宋体" w:hAnsi="宋体" w:hint="eastAsia"/>
          <w:b/>
          <w:color w:val="000000" w:themeColor="text1"/>
          <w:szCs w:val="24"/>
        </w:rPr>
        <w:t>废气</w:t>
      </w:r>
    </w:p>
    <w:p w14:paraId="2B2B9C33" w14:textId="77777777" w:rsidR="00A67F21" w:rsidRPr="00B12FE0" w:rsidRDefault="00000000">
      <w:pPr>
        <w:adjustRightInd w:val="0"/>
        <w:snapToGrid w:val="0"/>
        <w:spacing w:line="360" w:lineRule="auto"/>
        <w:ind w:firstLine="480"/>
        <w:rPr>
          <w:bCs/>
          <w:color w:val="000000" w:themeColor="text1"/>
          <w:szCs w:val="24"/>
        </w:rPr>
      </w:pPr>
      <w:r w:rsidRPr="00B12FE0">
        <w:rPr>
          <w:rFonts w:ascii="宋体" w:hAnsi="宋体"/>
          <w:bCs/>
          <w:color w:val="000000" w:themeColor="text1"/>
          <w:szCs w:val="24"/>
        </w:rPr>
        <w:t>放射性药物合成、分装和质检过程中产生微量废气，以上过程均是在密闭的系统中进行的，热室房间内均设置有独立的排风系统，</w:t>
      </w:r>
      <w:r w:rsidRPr="00B12FE0">
        <w:rPr>
          <w:rFonts w:ascii="宋体" w:hAnsi="宋体" w:hint="eastAsia"/>
          <w:bCs/>
          <w:color w:val="000000" w:themeColor="text1"/>
          <w:szCs w:val="24"/>
        </w:rPr>
        <w:t>合理组织工作场所的气流，</w:t>
      </w:r>
      <w:r w:rsidRPr="00B12FE0">
        <w:rPr>
          <w:rFonts w:ascii="宋体" w:hAnsi="宋体"/>
          <w:bCs/>
          <w:color w:val="000000" w:themeColor="text1"/>
          <w:szCs w:val="24"/>
        </w:rPr>
        <w:t>顶壁安装有活性炭过滤器，</w:t>
      </w:r>
      <w:r w:rsidRPr="00B12FE0">
        <w:rPr>
          <w:rFonts w:ascii="宋体" w:hAnsi="宋体" w:hint="eastAsia"/>
          <w:bCs/>
          <w:color w:val="000000" w:themeColor="text1"/>
          <w:szCs w:val="24"/>
        </w:rPr>
        <w:t>对排出工作场所的气体进行过滤净化，避免污染工作场所和环境</w:t>
      </w:r>
      <w:r w:rsidRPr="00B12FE0">
        <w:rPr>
          <w:rFonts w:ascii="宋体" w:hAnsi="宋体"/>
          <w:bCs/>
          <w:color w:val="000000" w:themeColor="text1"/>
          <w:szCs w:val="24"/>
        </w:rPr>
        <w:t>。</w:t>
      </w:r>
    </w:p>
    <w:p w14:paraId="43140846"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回旋加速器制备正电子放射性药物过程中，</w:t>
      </w:r>
      <w:r w:rsidRPr="00B12FE0">
        <w:rPr>
          <w:rFonts w:ascii="宋体" w:hAnsi="宋体"/>
          <w:bCs/>
          <w:color w:val="000000" w:themeColor="text1"/>
          <w:kern w:val="10"/>
          <w:szCs w:val="24"/>
        </w:rPr>
        <w:t>中子活化加速器内部构件和空气作用，使构件激发感生放射性和产生感生放射性核素，</w:t>
      </w:r>
      <w:r w:rsidRPr="00B12FE0">
        <w:rPr>
          <w:rFonts w:ascii="宋体" w:hAnsi="宋体"/>
          <w:color w:val="000000" w:themeColor="text1"/>
          <w:szCs w:val="24"/>
        </w:rPr>
        <w:t>如感生放射性核素</w:t>
      </w:r>
      <w:r w:rsidRPr="00B12FE0">
        <w:rPr>
          <w:color w:val="000000" w:themeColor="text1"/>
          <w:szCs w:val="24"/>
          <w:vertAlign w:val="superscript"/>
        </w:rPr>
        <w:t>15</w:t>
      </w:r>
      <w:r w:rsidRPr="00B12FE0">
        <w:rPr>
          <w:color w:val="000000" w:themeColor="text1"/>
          <w:szCs w:val="24"/>
        </w:rPr>
        <w:t>O</w:t>
      </w:r>
      <w:r w:rsidRPr="00B12FE0">
        <w:rPr>
          <w:rFonts w:ascii="宋体" w:hAnsi="宋体"/>
          <w:color w:val="000000" w:themeColor="text1"/>
          <w:szCs w:val="24"/>
        </w:rPr>
        <w:t>、</w:t>
      </w:r>
      <w:r w:rsidRPr="00B12FE0">
        <w:rPr>
          <w:color w:val="000000" w:themeColor="text1"/>
          <w:szCs w:val="24"/>
          <w:vertAlign w:val="superscript"/>
        </w:rPr>
        <w:t>13</w:t>
      </w:r>
      <w:r w:rsidRPr="00B12FE0">
        <w:rPr>
          <w:color w:val="000000" w:themeColor="text1"/>
          <w:szCs w:val="24"/>
        </w:rPr>
        <w:t>N</w:t>
      </w:r>
      <w:r w:rsidRPr="00B12FE0">
        <w:rPr>
          <w:rFonts w:ascii="宋体" w:hAnsi="宋体"/>
          <w:color w:val="000000" w:themeColor="text1"/>
          <w:szCs w:val="24"/>
        </w:rPr>
        <w:t>和</w:t>
      </w:r>
      <w:r w:rsidRPr="00B12FE0">
        <w:rPr>
          <w:color w:val="000000" w:themeColor="text1"/>
          <w:szCs w:val="24"/>
          <w:vertAlign w:val="superscript"/>
        </w:rPr>
        <w:t>41</w:t>
      </w:r>
      <w:r w:rsidRPr="00B12FE0">
        <w:rPr>
          <w:color w:val="000000" w:themeColor="text1"/>
          <w:szCs w:val="24"/>
        </w:rPr>
        <w:t>Ar</w:t>
      </w:r>
      <w:r w:rsidRPr="00B12FE0">
        <w:rPr>
          <w:rFonts w:ascii="宋体" w:hAnsi="宋体"/>
          <w:color w:val="000000" w:themeColor="text1"/>
          <w:szCs w:val="24"/>
        </w:rPr>
        <w:t>。</w:t>
      </w:r>
      <w:r w:rsidRPr="00B12FE0">
        <w:rPr>
          <w:rFonts w:ascii="宋体" w:hAnsi="宋体"/>
          <w:color w:val="000000" w:themeColor="text1"/>
          <w:szCs w:val="24"/>
        </w:rPr>
        <w:lastRenderedPageBreak/>
        <w:t>同时，会产生少量的臭氧和氮氧化物。废气通过加速器机房的排风系统经活性炭过滤器过滤后</w:t>
      </w:r>
      <w:r w:rsidRPr="00B12FE0">
        <w:rPr>
          <w:rFonts w:ascii="宋体" w:hAnsi="宋体" w:hint="eastAsia"/>
          <w:color w:val="000000" w:themeColor="text1"/>
          <w:szCs w:val="24"/>
        </w:rPr>
        <w:t>通过屋顶</w:t>
      </w:r>
      <w:r w:rsidRPr="00B12FE0">
        <w:rPr>
          <w:rFonts w:ascii="宋体" w:hAnsi="宋体"/>
          <w:color w:val="000000" w:themeColor="text1"/>
          <w:szCs w:val="24"/>
        </w:rPr>
        <w:t>排放</w:t>
      </w:r>
      <w:r w:rsidRPr="00B12FE0">
        <w:rPr>
          <w:rFonts w:ascii="宋体" w:hAnsi="宋体" w:hint="eastAsia"/>
          <w:color w:val="000000" w:themeColor="text1"/>
          <w:szCs w:val="24"/>
        </w:rPr>
        <w:t>，对大气环境影响较小。</w:t>
      </w:r>
    </w:p>
    <w:p w14:paraId="728E44A9" w14:textId="77777777" w:rsidR="00A67F21" w:rsidRPr="00B12FE0" w:rsidRDefault="00000000">
      <w:pPr>
        <w:snapToGrid w:val="0"/>
        <w:spacing w:line="360" w:lineRule="auto"/>
        <w:contextualSpacing/>
        <w:outlineLvl w:val="3"/>
        <w:rPr>
          <w:b/>
          <w:color w:val="000000" w:themeColor="text1"/>
        </w:rPr>
      </w:pPr>
      <w:r w:rsidRPr="00B12FE0">
        <w:rPr>
          <w:rFonts w:hint="eastAsia"/>
          <w:b/>
          <w:color w:val="000000" w:themeColor="text1"/>
        </w:rPr>
        <w:t xml:space="preserve">9.2.1.2 </w:t>
      </w:r>
      <w:r w:rsidRPr="00B12FE0">
        <w:rPr>
          <w:rFonts w:hint="eastAsia"/>
          <w:b/>
          <w:color w:val="000000" w:themeColor="text1"/>
        </w:rPr>
        <w:t>核医学核素诊断场所污染源项分析</w:t>
      </w:r>
    </w:p>
    <w:p w14:paraId="56ED026D" w14:textId="77777777" w:rsidR="00A67F21" w:rsidRPr="00B12FE0" w:rsidRDefault="00000000">
      <w:pPr>
        <w:snapToGrid w:val="0"/>
        <w:spacing w:line="360" w:lineRule="auto"/>
        <w:ind w:firstLineChars="200" w:firstLine="480"/>
        <w:rPr>
          <w:color w:val="000000" w:themeColor="text1"/>
        </w:rPr>
      </w:pPr>
      <w:r w:rsidRPr="00B12FE0">
        <w:rPr>
          <w:color w:val="000000" w:themeColor="text1"/>
        </w:rPr>
        <w:t>本项目</w:t>
      </w:r>
      <w:r w:rsidRPr="00B12FE0">
        <w:rPr>
          <w:rFonts w:hint="eastAsia"/>
          <w:color w:val="000000" w:themeColor="text1"/>
        </w:rPr>
        <w:t>核医学工作场所运行时拟</w:t>
      </w:r>
      <w:r w:rsidRPr="00B12FE0">
        <w:rPr>
          <w:color w:val="000000" w:themeColor="text1"/>
        </w:rPr>
        <w:t>使用</w:t>
      </w:r>
      <w:r w:rsidRPr="00B12FE0">
        <w:rPr>
          <w:color w:val="000000" w:themeColor="text1"/>
          <w:vertAlign w:val="superscript"/>
        </w:rPr>
        <w:t>99m</w:t>
      </w:r>
      <w:r w:rsidRPr="00B12FE0">
        <w:rPr>
          <w:color w:val="000000" w:themeColor="text1"/>
        </w:rPr>
        <w:t>Tc</w:t>
      </w:r>
      <w:r w:rsidRPr="00B12FE0">
        <w:rPr>
          <w:color w:val="000000" w:themeColor="text1"/>
        </w:rPr>
        <w:t>核素</w:t>
      </w:r>
      <w:r w:rsidRPr="00B12FE0">
        <w:rPr>
          <w:rFonts w:hint="eastAsia"/>
          <w:color w:val="000000" w:themeColor="text1"/>
        </w:rPr>
        <w:t>（</w:t>
      </w:r>
      <w:r w:rsidRPr="00B12FE0">
        <w:rPr>
          <w:color w:val="000000" w:themeColor="text1"/>
          <w:szCs w:val="24"/>
          <w:vertAlign w:val="superscript"/>
        </w:rPr>
        <w:t>99m</w:t>
      </w:r>
      <w:r w:rsidRPr="00B12FE0">
        <w:rPr>
          <w:color w:val="000000" w:themeColor="text1"/>
          <w:szCs w:val="24"/>
        </w:rPr>
        <w:t>Tc</w:t>
      </w:r>
      <w:r w:rsidRPr="00B12FE0">
        <w:rPr>
          <w:rFonts w:hint="eastAsia"/>
          <w:color w:val="000000" w:themeColor="text1"/>
          <w:szCs w:val="24"/>
        </w:rPr>
        <w:t>由</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w:t>
      </w:r>
      <w:r w:rsidRPr="00B12FE0">
        <w:rPr>
          <w:rFonts w:ascii="宋体" w:hAnsi="宋体" w:hint="eastAsia"/>
          <w:color w:val="000000" w:themeColor="text1"/>
          <w:szCs w:val="24"/>
        </w:rPr>
        <w:t>淋洗标记获得</w:t>
      </w:r>
      <w:r w:rsidRPr="00B12FE0">
        <w:rPr>
          <w:rFonts w:hint="eastAsia"/>
          <w:color w:val="000000" w:themeColor="text1"/>
        </w:rPr>
        <w:t>）</w:t>
      </w:r>
      <w:r w:rsidRPr="00B12FE0">
        <w:rPr>
          <w:color w:val="000000" w:themeColor="text1"/>
        </w:rPr>
        <w:t>进行</w:t>
      </w:r>
      <w:r w:rsidRPr="00B12FE0">
        <w:rPr>
          <w:color w:val="000000" w:themeColor="text1"/>
        </w:rPr>
        <w:t>SPECT/CT</w:t>
      </w:r>
      <w:r w:rsidRPr="00B12FE0">
        <w:rPr>
          <w:color w:val="000000" w:themeColor="text1"/>
        </w:rPr>
        <w:t>显像</w:t>
      </w:r>
      <w:r w:rsidRPr="00B12FE0">
        <w:rPr>
          <w:rFonts w:hint="eastAsia"/>
          <w:color w:val="000000" w:themeColor="text1"/>
        </w:rPr>
        <w:t>诊断，</w:t>
      </w:r>
      <w:r w:rsidRPr="00B12FE0">
        <w:rPr>
          <w:color w:val="000000" w:themeColor="text1"/>
        </w:rPr>
        <w:t>使用</w:t>
      </w:r>
      <w:r w:rsidRPr="00B12FE0">
        <w:rPr>
          <w:color w:val="000000" w:themeColor="text1"/>
          <w:vertAlign w:val="superscript"/>
        </w:rPr>
        <w:t>18</w:t>
      </w:r>
      <w:r w:rsidRPr="00B12FE0">
        <w:rPr>
          <w:color w:val="000000" w:themeColor="text1"/>
        </w:rPr>
        <w:t>F</w:t>
      </w:r>
      <w:r w:rsidRPr="00B12FE0">
        <w:rPr>
          <w:color w:val="000000" w:themeColor="text1"/>
        </w:rPr>
        <w:t>核素</w:t>
      </w:r>
      <w:r w:rsidRPr="00B12FE0">
        <w:rPr>
          <w:rFonts w:hint="eastAsia"/>
          <w:color w:val="000000" w:themeColor="text1"/>
        </w:rPr>
        <w:t>进行</w:t>
      </w:r>
      <w:r w:rsidRPr="00B12FE0">
        <w:rPr>
          <w:color w:val="000000" w:themeColor="text1"/>
        </w:rPr>
        <w:t>PET/CT</w:t>
      </w:r>
      <w:r w:rsidRPr="00B12FE0">
        <w:rPr>
          <w:color w:val="000000" w:themeColor="text1"/>
        </w:rPr>
        <w:t>显像</w:t>
      </w:r>
      <w:r w:rsidRPr="00B12FE0">
        <w:rPr>
          <w:rFonts w:hint="eastAsia"/>
          <w:color w:val="000000" w:themeColor="text1"/>
        </w:rPr>
        <w:t>诊断，拟</w:t>
      </w:r>
      <w:r w:rsidRPr="00B12FE0">
        <w:rPr>
          <w:color w:val="000000" w:themeColor="text1"/>
          <w:kern w:val="0"/>
        </w:rPr>
        <w:t>使用核素</w:t>
      </w:r>
      <w:r w:rsidRPr="00B12FE0">
        <w:rPr>
          <w:rFonts w:hint="eastAsia"/>
          <w:color w:val="000000" w:themeColor="text1"/>
          <w:vertAlign w:val="superscript"/>
        </w:rPr>
        <w:t>32</w:t>
      </w:r>
      <w:r w:rsidRPr="00B12FE0">
        <w:rPr>
          <w:color w:val="000000" w:themeColor="text1"/>
        </w:rPr>
        <w:t>P</w:t>
      </w:r>
      <w:r w:rsidRPr="00B12FE0">
        <w:rPr>
          <w:color w:val="000000" w:themeColor="text1"/>
          <w:kern w:val="0"/>
        </w:rPr>
        <w:t>进行</w:t>
      </w:r>
      <w:r w:rsidRPr="00B12FE0">
        <w:rPr>
          <w:rFonts w:hint="eastAsia"/>
          <w:color w:val="000000" w:themeColor="text1"/>
        </w:rPr>
        <w:t>敷贴治疗、</w:t>
      </w:r>
      <w:r w:rsidRPr="00B12FE0">
        <w:rPr>
          <w:color w:val="000000" w:themeColor="text1"/>
          <w:vertAlign w:val="superscript"/>
        </w:rPr>
        <w:t>131</w:t>
      </w:r>
      <w:r w:rsidRPr="00B12FE0">
        <w:rPr>
          <w:color w:val="000000" w:themeColor="text1"/>
        </w:rPr>
        <w:t>I</w:t>
      </w:r>
      <w:r w:rsidRPr="00B12FE0">
        <w:rPr>
          <w:color w:val="000000" w:themeColor="text1"/>
        </w:rPr>
        <w:t>核素</w:t>
      </w:r>
      <w:proofErr w:type="gramStart"/>
      <w:r w:rsidRPr="00B12FE0">
        <w:rPr>
          <w:color w:val="000000" w:themeColor="text1"/>
        </w:rPr>
        <w:t>进行甲测和</w:t>
      </w:r>
      <w:proofErr w:type="gramEnd"/>
      <w:r w:rsidRPr="00B12FE0">
        <w:rPr>
          <w:color w:val="000000" w:themeColor="text1"/>
        </w:rPr>
        <w:t>甲亢治疗</w:t>
      </w:r>
      <w:r w:rsidRPr="00B12FE0">
        <w:rPr>
          <w:rFonts w:hint="eastAsia"/>
          <w:color w:val="000000" w:themeColor="text1"/>
          <w:kern w:val="0"/>
        </w:rPr>
        <w:t>。</w:t>
      </w:r>
    </w:p>
    <w:p w14:paraId="5D82F353" w14:textId="77777777" w:rsidR="00A67F21" w:rsidRPr="00B12FE0" w:rsidRDefault="00000000">
      <w:pPr>
        <w:snapToGrid w:val="0"/>
        <w:spacing w:line="360" w:lineRule="auto"/>
        <w:ind w:firstLineChars="200" w:firstLine="480"/>
        <w:rPr>
          <w:color w:val="000000" w:themeColor="text1"/>
        </w:rPr>
      </w:pPr>
      <w:r w:rsidRPr="00B12FE0">
        <w:rPr>
          <w:rFonts w:hint="eastAsia"/>
          <w:color w:val="000000" w:themeColor="text1"/>
        </w:rPr>
        <w:t>（</w:t>
      </w:r>
      <w:r w:rsidRPr="00B12FE0">
        <w:rPr>
          <w:color w:val="000000" w:themeColor="text1"/>
        </w:rPr>
        <w:t>1</w:t>
      </w:r>
      <w:r w:rsidRPr="00B12FE0">
        <w:rPr>
          <w:rFonts w:hint="eastAsia"/>
          <w:color w:val="000000" w:themeColor="text1"/>
        </w:rPr>
        <w:t>）</w:t>
      </w:r>
      <w:r w:rsidRPr="00B12FE0">
        <w:rPr>
          <w:color w:val="000000" w:themeColor="text1"/>
          <w:szCs w:val="24"/>
        </w:rPr>
        <w:t>γ</w:t>
      </w:r>
      <w:r w:rsidRPr="00B12FE0">
        <w:rPr>
          <w:color w:val="000000" w:themeColor="text1"/>
          <w:szCs w:val="24"/>
        </w:rPr>
        <w:t>射线、</w:t>
      </w:r>
      <w:r w:rsidRPr="00B12FE0">
        <w:rPr>
          <w:color w:val="000000" w:themeColor="text1"/>
          <w:szCs w:val="24"/>
        </w:rPr>
        <w:t>β</w:t>
      </w:r>
      <w:r w:rsidRPr="00B12FE0">
        <w:rPr>
          <w:color w:val="000000" w:themeColor="text1"/>
          <w:szCs w:val="24"/>
        </w:rPr>
        <w:t>射线</w:t>
      </w:r>
      <w:r w:rsidRPr="00B12FE0">
        <w:rPr>
          <w:rFonts w:hint="eastAsia"/>
          <w:color w:val="000000" w:themeColor="text1"/>
        </w:rPr>
        <w:t>和</w:t>
      </w:r>
      <w:r w:rsidRPr="00B12FE0">
        <w:rPr>
          <w:rFonts w:hint="eastAsia"/>
          <w:color w:val="000000" w:themeColor="text1"/>
          <w:szCs w:val="24"/>
        </w:rPr>
        <w:t>轫致辐射</w:t>
      </w:r>
    </w:p>
    <w:p w14:paraId="03BDAE4B" w14:textId="77777777" w:rsidR="00A67F21" w:rsidRPr="00B12FE0" w:rsidRDefault="00000000">
      <w:pPr>
        <w:adjustRightInd w:val="0"/>
        <w:snapToGrid w:val="0"/>
        <w:spacing w:line="360" w:lineRule="auto"/>
        <w:ind w:firstLineChars="200" w:firstLine="480"/>
        <w:rPr>
          <w:bCs/>
          <w:color w:val="000000" w:themeColor="text1"/>
        </w:rPr>
      </w:pPr>
      <w:r w:rsidRPr="00B12FE0">
        <w:rPr>
          <w:rFonts w:hAnsi="宋体"/>
          <w:color w:val="000000" w:themeColor="text1"/>
        </w:rPr>
        <w:t>在</w:t>
      </w:r>
      <w:r w:rsidRPr="00B12FE0">
        <w:rPr>
          <w:rFonts w:hAnsi="宋体" w:hint="eastAsia"/>
          <w:color w:val="000000" w:themeColor="text1"/>
        </w:rPr>
        <w:t>放射性药物操作，病人</w:t>
      </w:r>
      <w:r w:rsidRPr="00B12FE0">
        <w:rPr>
          <w:rFonts w:hAnsi="宋体"/>
          <w:color w:val="000000" w:themeColor="text1"/>
        </w:rPr>
        <w:t>注射后候诊、</w:t>
      </w:r>
      <w:proofErr w:type="gramStart"/>
      <w:r w:rsidRPr="00B12FE0">
        <w:rPr>
          <w:rFonts w:hAnsi="宋体"/>
          <w:color w:val="000000" w:themeColor="text1"/>
        </w:rPr>
        <w:t>扫描及留观</w:t>
      </w:r>
      <w:proofErr w:type="gramEnd"/>
      <w:r w:rsidRPr="00B12FE0">
        <w:rPr>
          <w:rFonts w:hAnsi="宋体"/>
          <w:color w:val="000000" w:themeColor="text1"/>
        </w:rPr>
        <w:t>等过程中产生的</w:t>
      </w:r>
      <w:r w:rsidRPr="00B12FE0">
        <w:rPr>
          <w:color w:val="000000" w:themeColor="text1"/>
        </w:rPr>
        <w:t>γ</w:t>
      </w:r>
      <w:r w:rsidRPr="00B12FE0">
        <w:rPr>
          <w:color w:val="000000" w:themeColor="text1"/>
        </w:rPr>
        <w:t>射线</w:t>
      </w:r>
      <w:r w:rsidRPr="00B12FE0">
        <w:rPr>
          <w:rFonts w:hint="eastAsia"/>
          <w:color w:val="000000" w:themeColor="text1"/>
        </w:rPr>
        <w:t>、</w:t>
      </w:r>
      <w:r w:rsidRPr="00B12FE0">
        <w:rPr>
          <w:color w:val="000000" w:themeColor="text1"/>
        </w:rPr>
        <w:t>β</w:t>
      </w:r>
      <w:r w:rsidRPr="00B12FE0">
        <w:rPr>
          <w:rFonts w:hint="eastAsia"/>
          <w:color w:val="000000" w:themeColor="text1"/>
        </w:rPr>
        <w:t>射线、轫致辐射</w:t>
      </w:r>
      <w:r w:rsidRPr="00B12FE0">
        <w:rPr>
          <w:bCs/>
          <w:color w:val="000000" w:themeColor="text1"/>
        </w:rPr>
        <w:t>。</w:t>
      </w:r>
    </w:p>
    <w:p w14:paraId="1ED41F62" w14:textId="77777777" w:rsidR="00A67F21" w:rsidRPr="00B12FE0" w:rsidRDefault="00000000">
      <w:pPr>
        <w:adjustRightInd w:val="0"/>
        <w:snapToGrid w:val="0"/>
        <w:spacing w:beforeLines="50" w:before="120" w:line="360" w:lineRule="auto"/>
        <w:ind w:firstLineChars="200" w:firstLine="480"/>
        <w:rPr>
          <w:rFonts w:ascii="宋体" w:hAnsi="宋体" w:cs="宋体" w:hint="eastAsia"/>
          <w:bCs/>
          <w:color w:val="000000" w:themeColor="text1"/>
          <w:szCs w:val="24"/>
        </w:rPr>
      </w:pPr>
      <w:r w:rsidRPr="00B12FE0">
        <w:rPr>
          <w:rFonts w:hint="eastAsia"/>
          <w:color w:val="000000" w:themeColor="text1"/>
        </w:rPr>
        <w:t>（</w:t>
      </w:r>
      <w:r w:rsidRPr="00B12FE0">
        <w:rPr>
          <w:color w:val="000000" w:themeColor="text1"/>
        </w:rPr>
        <w:t>2</w:t>
      </w:r>
      <w:r w:rsidRPr="00B12FE0">
        <w:rPr>
          <w:rFonts w:hint="eastAsia"/>
          <w:color w:val="000000" w:themeColor="text1"/>
        </w:rPr>
        <w:t>）</w:t>
      </w:r>
      <w:r w:rsidRPr="00B12FE0">
        <w:rPr>
          <w:bCs/>
          <w:color w:val="000000" w:themeColor="text1"/>
          <w:szCs w:val="24"/>
        </w:rPr>
        <w:t>X</w:t>
      </w:r>
      <w:r w:rsidRPr="00B12FE0">
        <w:rPr>
          <w:rFonts w:ascii="宋体" w:hAnsi="宋体" w:cs="宋体" w:hint="eastAsia"/>
          <w:bCs/>
          <w:color w:val="000000" w:themeColor="text1"/>
          <w:szCs w:val="24"/>
        </w:rPr>
        <w:t>射线</w:t>
      </w:r>
    </w:p>
    <w:p w14:paraId="4AC4A58D"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rPr>
        <w:t>PET/CT</w:t>
      </w:r>
      <w:r w:rsidRPr="00B12FE0">
        <w:rPr>
          <w:rFonts w:hint="eastAsia"/>
          <w:color w:val="000000" w:themeColor="text1"/>
        </w:rPr>
        <w:t>和</w:t>
      </w:r>
      <w:r w:rsidRPr="00B12FE0">
        <w:rPr>
          <w:rFonts w:hint="eastAsia"/>
          <w:color w:val="000000" w:themeColor="text1"/>
        </w:rPr>
        <w:t>SPECT/CT</w:t>
      </w:r>
      <w:r w:rsidRPr="00B12FE0">
        <w:rPr>
          <w:rFonts w:hint="eastAsia"/>
          <w:color w:val="000000" w:themeColor="text1"/>
        </w:rPr>
        <w:t>的配套用</w:t>
      </w:r>
      <w:r w:rsidRPr="00B12FE0">
        <w:rPr>
          <w:rFonts w:hint="eastAsia"/>
          <w:color w:val="000000" w:themeColor="text1"/>
        </w:rPr>
        <w:t>CT</w:t>
      </w:r>
      <w:r w:rsidRPr="00B12FE0">
        <w:rPr>
          <w:rFonts w:hint="eastAsia"/>
          <w:color w:val="000000" w:themeColor="text1"/>
        </w:rPr>
        <w:t>在</w:t>
      </w:r>
      <w:r w:rsidRPr="00B12FE0">
        <w:rPr>
          <w:rFonts w:hint="eastAsia"/>
          <w:color w:val="000000" w:themeColor="text1"/>
          <w:szCs w:val="24"/>
        </w:rPr>
        <w:t>开机扫描时会产生</w:t>
      </w:r>
      <w:r w:rsidRPr="00B12FE0">
        <w:rPr>
          <w:color w:val="000000" w:themeColor="text1"/>
          <w:szCs w:val="24"/>
        </w:rPr>
        <w:t>X</w:t>
      </w:r>
      <w:r w:rsidRPr="00B12FE0">
        <w:rPr>
          <w:rFonts w:hint="eastAsia"/>
          <w:color w:val="000000" w:themeColor="text1"/>
          <w:szCs w:val="24"/>
        </w:rPr>
        <w:t>射线，对操作人员及周围环境造成辐射影响。</w:t>
      </w:r>
    </w:p>
    <w:p w14:paraId="750FFFD7"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3</w:t>
      </w:r>
      <w:r w:rsidRPr="00B12FE0">
        <w:rPr>
          <w:rFonts w:hint="eastAsia"/>
          <w:color w:val="000000" w:themeColor="text1"/>
        </w:rPr>
        <w:t>）</w:t>
      </w:r>
      <w:r w:rsidRPr="00B12FE0">
        <w:rPr>
          <w:color w:val="000000" w:themeColor="text1"/>
        </w:rPr>
        <w:t>β</w:t>
      </w:r>
      <w:r w:rsidRPr="00B12FE0">
        <w:rPr>
          <w:color w:val="000000" w:themeColor="text1"/>
        </w:rPr>
        <w:t>表面污染</w:t>
      </w:r>
    </w:p>
    <w:p w14:paraId="01D6D159" w14:textId="77777777" w:rsidR="00A67F21" w:rsidRPr="00B12FE0" w:rsidRDefault="00000000">
      <w:pPr>
        <w:spacing w:line="360" w:lineRule="auto"/>
        <w:ind w:firstLine="540"/>
        <w:rPr>
          <w:color w:val="000000" w:themeColor="text1"/>
          <w:szCs w:val="24"/>
        </w:rPr>
      </w:pPr>
      <w:r w:rsidRPr="00B12FE0">
        <w:rPr>
          <w:rFonts w:hint="eastAsia"/>
          <w:bCs/>
          <w:color w:val="000000" w:themeColor="text1"/>
          <w:szCs w:val="24"/>
        </w:rPr>
        <w:t>放射性药物的使用活动过程中，不可避免地会引起工作台、设备、墙壁、地面、工作服、手套等产生放射性</w:t>
      </w:r>
      <w:proofErr w:type="gramStart"/>
      <w:r w:rsidRPr="00B12FE0">
        <w:rPr>
          <w:rFonts w:hint="eastAsia"/>
          <w:bCs/>
          <w:color w:val="000000" w:themeColor="text1"/>
          <w:szCs w:val="24"/>
        </w:rPr>
        <w:t>沾污</w:t>
      </w:r>
      <w:proofErr w:type="gramEnd"/>
      <w:r w:rsidRPr="00B12FE0">
        <w:rPr>
          <w:rFonts w:hint="eastAsia"/>
          <w:bCs/>
          <w:color w:val="000000" w:themeColor="text1"/>
          <w:szCs w:val="24"/>
        </w:rPr>
        <w:t>，造成</w:t>
      </w:r>
      <w:r w:rsidRPr="00B12FE0">
        <w:rPr>
          <w:bCs/>
          <w:color w:val="000000" w:themeColor="text1"/>
          <w:szCs w:val="24"/>
        </w:rPr>
        <w:t>β</w:t>
      </w:r>
      <w:r w:rsidRPr="00B12FE0">
        <w:rPr>
          <w:rFonts w:hint="eastAsia"/>
          <w:bCs/>
          <w:color w:val="000000" w:themeColor="text1"/>
          <w:szCs w:val="24"/>
        </w:rPr>
        <w:t>表面污染</w:t>
      </w:r>
      <w:r w:rsidRPr="00B12FE0">
        <w:rPr>
          <w:color w:val="000000" w:themeColor="text1"/>
          <w:szCs w:val="24"/>
        </w:rPr>
        <w:t>。</w:t>
      </w:r>
    </w:p>
    <w:p w14:paraId="2929E8B9" w14:textId="77777777" w:rsidR="00A67F21" w:rsidRPr="00B12FE0" w:rsidRDefault="00000000">
      <w:pPr>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4</w:t>
      </w:r>
      <w:r w:rsidRPr="00B12FE0">
        <w:rPr>
          <w:rFonts w:hint="eastAsia"/>
          <w:color w:val="000000" w:themeColor="text1"/>
        </w:rPr>
        <w:t>）</w:t>
      </w:r>
      <w:r w:rsidRPr="00B12FE0">
        <w:rPr>
          <w:color w:val="000000" w:themeColor="text1"/>
        </w:rPr>
        <w:t>放射性废</w:t>
      </w:r>
      <w:r w:rsidRPr="00B12FE0">
        <w:rPr>
          <w:rFonts w:hint="eastAsia"/>
          <w:color w:val="000000" w:themeColor="text1"/>
        </w:rPr>
        <w:t>水</w:t>
      </w:r>
    </w:p>
    <w:p w14:paraId="47D1CD30" w14:textId="77777777" w:rsidR="00A67F21" w:rsidRPr="00B12FE0" w:rsidRDefault="00000000">
      <w:pPr>
        <w:pStyle w:val="afb"/>
        <w:adjustRightInd w:val="0"/>
        <w:snapToGrid w:val="0"/>
        <w:spacing w:after="0" w:line="360" w:lineRule="auto"/>
        <w:ind w:firstLineChars="200" w:firstLine="480"/>
        <w:rPr>
          <w:color w:val="000000" w:themeColor="text1"/>
        </w:rPr>
      </w:pPr>
      <w:r w:rsidRPr="00B12FE0">
        <w:rPr>
          <w:rFonts w:hint="eastAsia"/>
          <w:color w:val="000000" w:themeColor="text1"/>
        </w:rPr>
        <w:t>本项目核医学工作场所运行时产生的</w:t>
      </w:r>
      <w:r w:rsidRPr="00B12FE0">
        <w:rPr>
          <w:rFonts w:hint="eastAsia"/>
          <w:bCs/>
          <w:color w:val="000000" w:themeColor="text1"/>
        </w:rPr>
        <w:t>放射性废水主要为</w:t>
      </w:r>
      <w:r w:rsidRPr="00B12FE0">
        <w:rPr>
          <w:rFonts w:hint="eastAsia"/>
          <w:color w:val="000000" w:themeColor="text1"/>
        </w:rPr>
        <w:t>显像诊断患者给药后</w:t>
      </w:r>
      <w:r w:rsidRPr="00B12FE0">
        <w:rPr>
          <w:rFonts w:hint="eastAsia"/>
          <w:bCs/>
          <w:color w:val="000000" w:themeColor="text1"/>
        </w:rPr>
        <w:t>候诊或留观期间产生的如厕废水以及核素操作人员去污废水</w:t>
      </w:r>
      <w:r w:rsidRPr="00B12FE0">
        <w:rPr>
          <w:color w:val="000000" w:themeColor="text1"/>
        </w:rPr>
        <w:t>。</w:t>
      </w:r>
      <w:r w:rsidRPr="00B12FE0">
        <w:rPr>
          <w:bCs/>
          <w:color w:val="000000" w:themeColor="text1"/>
        </w:rPr>
        <w:t>本项目</w:t>
      </w:r>
      <w:r w:rsidRPr="00B12FE0">
        <w:rPr>
          <w:rFonts w:hint="eastAsia"/>
          <w:bCs/>
          <w:color w:val="000000" w:themeColor="text1"/>
        </w:rPr>
        <w:t>核医学工作场所</w:t>
      </w:r>
      <w:r w:rsidRPr="00B12FE0">
        <w:rPr>
          <w:bCs/>
          <w:color w:val="000000" w:themeColor="text1"/>
        </w:rPr>
        <w:t>各项诊疗均为门诊治疗，病人在</w:t>
      </w:r>
      <w:r w:rsidRPr="00B12FE0">
        <w:rPr>
          <w:rFonts w:hint="eastAsia"/>
          <w:bCs/>
          <w:color w:val="000000" w:themeColor="text1"/>
        </w:rPr>
        <w:t>核医学工作场所</w:t>
      </w:r>
      <w:r w:rsidRPr="00B12FE0">
        <w:rPr>
          <w:bCs/>
          <w:color w:val="000000" w:themeColor="text1"/>
        </w:rPr>
        <w:t>停留时间短，采用节水型洁具</w:t>
      </w:r>
      <w:r w:rsidRPr="00B12FE0">
        <w:rPr>
          <w:color w:val="000000" w:themeColor="text1"/>
        </w:rPr>
        <w:t>。</w:t>
      </w:r>
    </w:p>
    <w:p w14:paraId="56B97BF5"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szCs w:val="24"/>
        </w:rPr>
        <w:t>①本项目使用的</w:t>
      </w:r>
      <w:r w:rsidRPr="00B12FE0">
        <w:rPr>
          <w:rFonts w:hint="eastAsia"/>
          <w:color w:val="000000" w:themeColor="text1"/>
          <w:szCs w:val="24"/>
          <w:vertAlign w:val="superscript"/>
        </w:rPr>
        <w:t>32</w:t>
      </w:r>
      <w:r w:rsidRPr="00B12FE0">
        <w:rPr>
          <w:rFonts w:hint="eastAsia"/>
          <w:color w:val="000000" w:themeColor="text1"/>
          <w:szCs w:val="24"/>
        </w:rPr>
        <w:t>P</w:t>
      </w:r>
      <w:r w:rsidRPr="00B12FE0">
        <w:rPr>
          <w:rFonts w:hint="eastAsia"/>
          <w:color w:val="000000" w:themeColor="text1"/>
          <w:szCs w:val="24"/>
        </w:rPr>
        <w:t>为成品敷贴器，</w:t>
      </w:r>
      <w:r w:rsidRPr="00B12FE0">
        <w:rPr>
          <w:rFonts w:hint="eastAsia"/>
          <w:color w:val="000000" w:themeColor="text1"/>
          <w:szCs w:val="24"/>
          <w:vertAlign w:val="superscript"/>
        </w:rPr>
        <w:t>32</w:t>
      </w:r>
      <w:r w:rsidRPr="00B12FE0">
        <w:rPr>
          <w:rFonts w:hint="eastAsia"/>
          <w:color w:val="000000" w:themeColor="text1"/>
          <w:szCs w:val="24"/>
        </w:rPr>
        <w:t>P</w:t>
      </w:r>
      <w:r w:rsidRPr="00B12FE0">
        <w:rPr>
          <w:rFonts w:hint="eastAsia"/>
          <w:color w:val="000000" w:themeColor="text1"/>
          <w:szCs w:val="24"/>
        </w:rPr>
        <w:t>敷贴患者</w:t>
      </w:r>
      <w:r w:rsidRPr="00B12FE0">
        <w:rPr>
          <w:color w:val="000000" w:themeColor="text1"/>
          <w:szCs w:val="24"/>
        </w:rPr>
        <w:t>在接受治疗后即可直接离开，不做停留，不考虑患者产生废水。</w:t>
      </w:r>
    </w:p>
    <w:p w14:paraId="24D557D2"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szCs w:val="24"/>
        </w:rPr>
        <w:t>②</w:t>
      </w:r>
      <w:r w:rsidRPr="00B12FE0">
        <w:rPr>
          <w:rFonts w:hint="eastAsia"/>
          <w:color w:val="000000" w:themeColor="text1"/>
        </w:rPr>
        <w:t>显像诊断患者</w:t>
      </w:r>
      <w:r w:rsidRPr="00B12FE0">
        <w:rPr>
          <w:rFonts w:hAnsi="宋体" w:hint="eastAsia"/>
          <w:bCs/>
          <w:color w:val="000000" w:themeColor="text1"/>
        </w:rPr>
        <w:t>情况如下：</w:t>
      </w:r>
      <w:r w:rsidRPr="00B12FE0">
        <w:rPr>
          <w:rFonts w:hint="eastAsia"/>
          <w:color w:val="000000" w:themeColor="text1"/>
        </w:rPr>
        <w:t>每日</w:t>
      </w:r>
      <w:r w:rsidRPr="00B12FE0">
        <w:rPr>
          <w:rFonts w:hAnsi="宋体" w:hint="eastAsia"/>
          <w:bCs/>
          <w:color w:val="000000" w:themeColor="text1"/>
        </w:rPr>
        <w:t>使用</w:t>
      </w:r>
      <w:r w:rsidRPr="00B12FE0">
        <w:rPr>
          <w:rFonts w:hAnsi="宋体" w:hint="eastAsia"/>
          <w:bCs/>
          <w:color w:val="000000" w:themeColor="text1"/>
          <w:vertAlign w:val="superscript"/>
        </w:rPr>
        <w:t>99m</w:t>
      </w:r>
      <w:r w:rsidRPr="00B12FE0">
        <w:rPr>
          <w:rFonts w:hAnsi="宋体" w:hint="eastAsia"/>
          <w:bCs/>
          <w:color w:val="000000" w:themeColor="text1"/>
        </w:rPr>
        <w:t>Tc</w:t>
      </w:r>
      <w:r w:rsidRPr="00B12FE0">
        <w:rPr>
          <w:rFonts w:hAnsi="宋体" w:hint="eastAsia"/>
          <w:bCs/>
          <w:color w:val="000000" w:themeColor="text1"/>
        </w:rPr>
        <w:t>核素用于显像诊断，每天最多诊断</w:t>
      </w:r>
      <w:r w:rsidRPr="00B12FE0">
        <w:rPr>
          <w:rFonts w:hAnsi="宋体" w:hint="eastAsia"/>
          <w:bCs/>
          <w:color w:val="000000" w:themeColor="text1"/>
        </w:rPr>
        <w:t>30</w:t>
      </w:r>
      <w:r w:rsidRPr="00B12FE0">
        <w:rPr>
          <w:rFonts w:hAnsi="宋体" w:hint="eastAsia"/>
          <w:bCs/>
          <w:color w:val="000000" w:themeColor="text1"/>
        </w:rPr>
        <w:t>人；使用</w:t>
      </w:r>
      <w:r w:rsidRPr="00B12FE0">
        <w:rPr>
          <w:rFonts w:hAnsi="宋体"/>
          <w:bCs/>
          <w:color w:val="000000" w:themeColor="text1"/>
          <w:vertAlign w:val="superscript"/>
        </w:rPr>
        <w:t>18</w:t>
      </w:r>
      <w:r w:rsidRPr="00B12FE0">
        <w:rPr>
          <w:rFonts w:hAnsi="宋体"/>
          <w:bCs/>
          <w:color w:val="000000" w:themeColor="text1"/>
        </w:rPr>
        <w:t>F</w:t>
      </w:r>
      <w:r w:rsidRPr="00B12FE0">
        <w:rPr>
          <w:rFonts w:hAnsi="宋体" w:hint="eastAsia"/>
          <w:bCs/>
          <w:color w:val="000000" w:themeColor="text1"/>
        </w:rPr>
        <w:t>核素用于显像诊断，每天最多诊断</w:t>
      </w:r>
      <w:r w:rsidRPr="00B12FE0">
        <w:rPr>
          <w:rFonts w:hAnsi="宋体" w:hint="eastAsia"/>
          <w:bCs/>
          <w:color w:val="000000" w:themeColor="text1"/>
        </w:rPr>
        <w:t>4</w:t>
      </w:r>
      <w:r w:rsidRPr="00B12FE0">
        <w:rPr>
          <w:rFonts w:hAnsi="宋体"/>
          <w:bCs/>
          <w:color w:val="000000" w:themeColor="text1"/>
        </w:rPr>
        <w:t>0</w:t>
      </w:r>
      <w:r w:rsidRPr="00B12FE0">
        <w:rPr>
          <w:rFonts w:hAnsi="宋体" w:hint="eastAsia"/>
          <w:bCs/>
          <w:color w:val="000000" w:themeColor="text1"/>
        </w:rPr>
        <w:t>人；</w:t>
      </w:r>
      <w:r w:rsidRPr="00B12FE0">
        <w:rPr>
          <w:bCs/>
          <w:color w:val="000000" w:themeColor="text1"/>
        </w:rPr>
        <w:t>甲亢治疗</w:t>
      </w:r>
      <w:r w:rsidRPr="00B12FE0">
        <w:rPr>
          <w:rFonts w:hint="eastAsia"/>
          <w:bCs/>
          <w:color w:val="000000" w:themeColor="text1"/>
        </w:rPr>
        <w:t>每天</w:t>
      </w:r>
      <w:r w:rsidRPr="00B12FE0">
        <w:rPr>
          <w:bCs/>
          <w:color w:val="000000" w:themeColor="text1"/>
        </w:rPr>
        <w:t>最多</w:t>
      </w:r>
      <w:r w:rsidRPr="00B12FE0">
        <w:rPr>
          <w:bCs/>
          <w:color w:val="000000" w:themeColor="text1"/>
        </w:rPr>
        <w:t>10</w:t>
      </w:r>
      <w:r w:rsidRPr="00B12FE0">
        <w:rPr>
          <w:bCs/>
          <w:color w:val="000000" w:themeColor="text1"/>
        </w:rPr>
        <w:t>人</w:t>
      </w:r>
      <w:r w:rsidRPr="00B12FE0">
        <w:rPr>
          <w:rFonts w:hint="eastAsia"/>
          <w:bCs/>
          <w:color w:val="000000" w:themeColor="text1"/>
        </w:rPr>
        <w:t>；</w:t>
      </w:r>
      <w:proofErr w:type="gramStart"/>
      <w:r w:rsidRPr="00B12FE0">
        <w:rPr>
          <w:rFonts w:hint="eastAsia"/>
          <w:bCs/>
          <w:color w:val="000000" w:themeColor="text1"/>
        </w:rPr>
        <w:t>甲测患者</w:t>
      </w:r>
      <w:proofErr w:type="gramEnd"/>
      <w:r w:rsidRPr="00B12FE0">
        <w:rPr>
          <w:rFonts w:hint="eastAsia"/>
          <w:bCs/>
          <w:color w:val="000000" w:themeColor="text1"/>
        </w:rPr>
        <w:t>服药后即可直接离开，且其单人服药量低于豁免值（</w:t>
      </w:r>
      <w:r w:rsidRPr="00B12FE0">
        <w:rPr>
          <w:rFonts w:hint="eastAsia"/>
          <w:bCs/>
          <w:color w:val="000000" w:themeColor="text1"/>
        </w:rPr>
        <w:t>1</w:t>
      </w:r>
      <w:r w:rsidRPr="00B12FE0">
        <w:rPr>
          <w:b/>
          <w:bCs/>
          <w:color w:val="000000" w:themeColor="text1"/>
        </w:rPr>
        <w:t>×</w:t>
      </w:r>
      <w:r w:rsidRPr="00B12FE0">
        <w:rPr>
          <w:color w:val="000000" w:themeColor="text1"/>
        </w:rPr>
        <w:t>10</w:t>
      </w:r>
      <w:r w:rsidRPr="00B12FE0">
        <w:rPr>
          <w:color w:val="000000" w:themeColor="text1"/>
          <w:vertAlign w:val="superscript"/>
        </w:rPr>
        <w:t>6</w:t>
      </w:r>
      <w:r w:rsidRPr="00B12FE0">
        <w:rPr>
          <w:color w:val="000000" w:themeColor="text1"/>
        </w:rPr>
        <w:t>Bq</w:t>
      </w:r>
      <w:r w:rsidRPr="00B12FE0">
        <w:rPr>
          <w:rFonts w:hint="eastAsia"/>
          <w:bCs/>
          <w:color w:val="000000" w:themeColor="text1"/>
        </w:rPr>
        <w:t>），故</w:t>
      </w:r>
      <w:r w:rsidRPr="00B12FE0">
        <w:rPr>
          <w:bCs/>
          <w:color w:val="000000" w:themeColor="text1"/>
        </w:rPr>
        <w:t>不</w:t>
      </w:r>
      <w:proofErr w:type="gramStart"/>
      <w:r w:rsidRPr="00B12FE0">
        <w:rPr>
          <w:bCs/>
          <w:color w:val="000000" w:themeColor="text1"/>
        </w:rPr>
        <w:t>考虑</w:t>
      </w:r>
      <w:r w:rsidRPr="00B12FE0">
        <w:rPr>
          <w:rFonts w:hint="eastAsia"/>
          <w:bCs/>
          <w:color w:val="000000" w:themeColor="text1"/>
        </w:rPr>
        <w:t>甲测患者</w:t>
      </w:r>
      <w:proofErr w:type="gramEnd"/>
      <w:r w:rsidRPr="00B12FE0">
        <w:rPr>
          <w:bCs/>
          <w:color w:val="000000" w:themeColor="text1"/>
        </w:rPr>
        <w:t>产生废水</w:t>
      </w:r>
      <w:r w:rsidRPr="00B12FE0">
        <w:rPr>
          <w:rFonts w:hint="eastAsia"/>
          <w:bCs/>
          <w:color w:val="000000" w:themeColor="text1"/>
        </w:rPr>
        <w:t>。</w:t>
      </w:r>
      <w:r w:rsidRPr="00B12FE0">
        <w:rPr>
          <w:rFonts w:hint="eastAsia"/>
          <w:color w:val="000000" w:themeColor="text1"/>
        </w:rPr>
        <w:t>参照同类型医院和《综合医院建筑设计标准》</w:t>
      </w:r>
      <w:r w:rsidRPr="00B12FE0">
        <w:rPr>
          <w:color w:val="000000" w:themeColor="text1"/>
        </w:rPr>
        <w:t>（</w:t>
      </w:r>
      <w:r w:rsidRPr="00B12FE0">
        <w:rPr>
          <w:rFonts w:hint="eastAsia"/>
          <w:color w:val="000000" w:themeColor="text1"/>
        </w:rPr>
        <w:t>GB51039-2014[2024</w:t>
      </w:r>
      <w:r w:rsidRPr="00B12FE0">
        <w:rPr>
          <w:rFonts w:hint="eastAsia"/>
          <w:color w:val="000000" w:themeColor="text1"/>
        </w:rPr>
        <w:t>年局部修订</w:t>
      </w:r>
      <w:r w:rsidRPr="00B12FE0">
        <w:rPr>
          <w:rFonts w:hint="eastAsia"/>
          <w:color w:val="000000" w:themeColor="text1"/>
        </w:rPr>
        <w:t>]</w:t>
      </w:r>
      <w:r w:rsidRPr="00B12FE0">
        <w:rPr>
          <w:color w:val="000000" w:themeColor="text1"/>
        </w:rPr>
        <w:t>）</w:t>
      </w:r>
      <w:r w:rsidRPr="00B12FE0">
        <w:rPr>
          <w:rFonts w:hint="eastAsia"/>
          <w:color w:val="000000" w:themeColor="text1"/>
        </w:rPr>
        <w:t>，门诊患者每人次用水定额取</w:t>
      </w:r>
      <w:r w:rsidRPr="00B12FE0">
        <w:rPr>
          <w:color w:val="000000" w:themeColor="text1"/>
        </w:rPr>
        <w:t>10L</w:t>
      </w:r>
      <w:r w:rsidRPr="00B12FE0">
        <w:rPr>
          <w:rFonts w:hint="eastAsia"/>
          <w:color w:val="000000" w:themeColor="text1"/>
        </w:rPr>
        <w:t>，</w:t>
      </w:r>
      <w:r w:rsidRPr="00B12FE0">
        <w:rPr>
          <w:color w:val="000000" w:themeColor="text1"/>
        </w:rPr>
        <w:t>废水排污系数取</w:t>
      </w:r>
      <w:r w:rsidRPr="00B12FE0">
        <w:rPr>
          <w:color w:val="000000" w:themeColor="text1"/>
        </w:rPr>
        <w:t>0.</w:t>
      </w:r>
      <w:r w:rsidRPr="00B12FE0">
        <w:rPr>
          <w:rFonts w:hint="eastAsia"/>
          <w:color w:val="000000" w:themeColor="text1"/>
        </w:rPr>
        <w:t>9</w:t>
      </w:r>
      <w:r w:rsidRPr="00B12FE0">
        <w:rPr>
          <w:color w:val="000000" w:themeColor="text1"/>
        </w:rPr>
        <w:t>，</w:t>
      </w:r>
      <w:r w:rsidRPr="00B12FE0">
        <w:rPr>
          <w:rFonts w:hint="eastAsia"/>
          <w:color w:val="000000" w:themeColor="text1"/>
        </w:rPr>
        <w:t>则本项目核医学工作场所每年产生含</w:t>
      </w:r>
      <w:r w:rsidRPr="00B12FE0">
        <w:rPr>
          <w:rFonts w:hAnsi="宋体"/>
          <w:bCs/>
          <w:color w:val="000000" w:themeColor="text1"/>
          <w:vertAlign w:val="superscript"/>
        </w:rPr>
        <w:t>18</w:t>
      </w:r>
      <w:r w:rsidRPr="00B12FE0">
        <w:rPr>
          <w:rFonts w:hAnsi="宋体"/>
          <w:bCs/>
          <w:color w:val="000000" w:themeColor="text1"/>
        </w:rPr>
        <w:t>F</w:t>
      </w:r>
      <w:r w:rsidRPr="00B12FE0">
        <w:rPr>
          <w:rFonts w:hAnsi="宋体" w:hint="eastAsia"/>
          <w:bCs/>
          <w:color w:val="000000" w:themeColor="text1"/>
        </w:rPr>
        <w:t>、</w:t>
      </w:r>
      <w:r w:rsidRPr="00B12FE0">
        <w:rPr>
          <w:rFonts w:hAnsi="宋体" w:hint="eastAsia"/>
          <w:bCs/>
          <w:color w:val="000000" w:themeColor="text1"/>
          <w:vertAlign w:val="superscript"/>
        </w:rPr>
        <w:t>99m</w:t>
      </w:r>
      <w:r w:rsidRPr="00B12FE0">
        <w:rPr>
          <w:rFonts w:hAnsi="宋体" w:hint="eastAsia"/>
          <w:bCs/>
          <w:color w:val="000000" w:themeColor="text1"/>
        </w:rPr>
        <w:t>Tc</w:t>
      </w:r>
      <w:r w:rsidRPr="00B12FE0">
        <w:rPr>
          <w:rFonts w:hAnsi="宋体" w:hint="eastAsia"/>
          <w:bCs/>
          <w:color w:val="000000" w:themeColor="text1"/>
        </w:rPr>
        <w:t>、</w:t>
      </w:r>
      <w:r w:rsidRPr="00B12FE0">
        <w:rPr>
          <w:rFonts w:hAnsi="宋体"/>
          <w:bCs/>
          <w:color w:val="000000" w:themeColor="text1"/>
          <w:vertAlign w:val="superscript"/>
        </w:rPr>
        <w:t>1</w:t>
      </w:r>
      <w:r w:rsidRPr="00B12FE0">
        <w:rPr>
          <w:rFonts w:hAnsi="宋体" w:hint="eastAsia"/>
          <w:bCs/>
          <w:color w:val="000000" w:themeColor="text1"/>
          <w:vertAlign w:val="superscript"/>
        </w:rPr>
        <w:t>31</w:t>
      </w:r>
      <w:r w:rsidRPr="00B12FE0">
        <w:rPr>
          <w:rFonts w:hAnsi="宋体" w:hint="eastAsia"/>
          <w:bCs/>
          <w:color w:val="000000" w:themeColor="text1"/>
        </w:rPr>
        <w:t>I</w:t>
      </w:r>
      <w:r w:rsidRPr="00B12FE0">
        <w:rPr>
          <w:rFonts w:hAnsi="宋体" w:hint="eastAsia"/>
          <w:bCs/>
          <w:color w:val="000000" w:themeColor="text1"/>
        </w:rPr>
        <w:t>核素的</w:t>
      </w:r>
      <w:r w:rsidRPr="00B12FE0">
        <w:rPr>
          <w:rFonts w:hint="eastAsia"/>
          <w:color w:val="000000" w:themeColor="text1"/>
        </w:rPr>
        <w:t>放射性废水约为</w:t>
      </w:r>
      <w:r w:rsidRPr="00B12FE0">
        <w:rPr>
          <w:rFonts w:hint="eastAsia"/>
          <w:color w:val="000000" w:themeColor="text1"/>
        </w:rPr>
        <w:t>180</w:t>
      </w:r>
      <w:r w:rsidRPr="00B12FE0">
        <w:rPr>
          <w:color w:val="000000" w:themeColor="text1"/>
        </w:rPr>
        <w:t>m</w:t>
      </w:r>
      <w:r w:rsidRPr="00B12FE0">
        <w:rPr>
          <w:color w:val="000000" w:themeColor="text1"/>
          <w:vertAlign w:val="superscript"/>
        </w:rPr>
        <w:t>3</w:t>
      </w:r>
      <w:r w:rsidRPr="00B12FE0">
        <w:rPr>
          <w:color w:val="000000" w:themeColor="text1"/>
        </w:rPr>
        <w:t>/a</w:t>
      </w:r>
      <w:r w:rsidRPr="00B12FE0">
        <w:rPr>
          <w:rFonts w:hint="eastAsia"/>
          <w:color w:val="000000" w:themeColor="text1"/>
        </w:rPr>
        <w:t>。</w:t>
      </w:r>
    </w:p>
    <w:p w14:paraId="2796E9C2"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③</w:t>
      </w:r>
      <w:r w:rsidRPr="00B12FE0">
        <w:rPr>
          <w:color w:val="000000" w:themeColor="text1"/>
        </w:rPr>
        <w:t>工作人员在完成一天的分装、</w:t>
      </w:r>
      <w:r w:rsidRPr="00B12FE0">
        <w:rPr>
          <w:rFonts w:hint="eastAsia"/>
          <w:color w:val="000000" w:themeColor="text1"/>
        </w:rPr>
        <w:t>测活和</w:t>
      </w:r>
      <w:r w:rsidRPr="00B12FE0">
        <w:rPr>
          <w:color w:val="000000" w:themeColor="text1"/>
        </w:rPr>
        <w:t>注射工作后需进行污染监测，</w:t>
      </w:r>
      <w:r w:rsidRPr="00B12FE0">
        <w:rPr>
          <w:rFonts w:hint="eastAsia"/>
          <w:color w:val="000000" w:themeColor="text1"/>
        </w:rPr>
        <w:t>必要时</w:t>
      </w:r>
      <w:r w:rsidRPr="00B12FE0">
        <w:rPr>
          <w:color w:val="000000" w:themeColor="text1"/>
        </w:rPr>
        <w:t>进行去污清洗而产生放射性废</w:t>
      </w:r>
      <w:r w:rsidRPr="00B12FE0">
        <w:rPr>
          <w:rFonts w:hint="eastAsia"/>
          <w:color w:val="000000" w:themeColor="text1"/>
        </w:rPr>
        <w:t>水</w:t>
      </w:r>
      <w:r w:rsidRPr="00B12FE0">
        <w:rPr>
          <w:color w:val="000000" w:themeColor="text1"/>
        </w:rPr>
        <w:t>，同时工作场所需进行场所清洗，类比同类型医院，每天</w:t>
      </w:r>
      <w:r w:rsidRPr="00B12FE0">
        <w:rPr>
          <w:color w:val="000000" w:themeColor="text1"/>
        </w:rPr>
        <w:lastRenderedPageBreak/>
        <w:t>清洗废水产生量约</w:t>
      </w:r>
      <w:r w:rsidRPr="00B12FE0">
        <w:rPr>
          <w:rFonts w:hint="eastAsia"/>
          <w:color w:val="000000" w:themeColor="text1"/>
        </w:rPr>
        <w:t>2</w:t>
      </w:r>
      <w:r w:rsidRPr="00B12FE0">
        <w:rPr>
          <w:color w:val="000000" w:themeColor="text1"/>
        </w:rPr>
        <w:t>0L</w:t>
      </w:r>
      <w:r w:rsidRPr="00B12FE0">
        <w:rPr>
          <w:color w:val="000000" w:themeColor="text1"/>
        </w:rPr>
        <w:t>，每年工作</w:t>
      </w:r>
      <w:r w:rsidRPr="00B12FE0">
        <w:rPr>
          <w:color w:val="000000" w:themeColor="text1"/>
        </w:rPr>
        <w:t>250</w:t>
      </w:r>
      <w:r w:rsidRPr="00B12FE0">
        <w:rPr>
          <w:color w:val="000000" w:themeColor="text1"/>
        </w:rPr>
        <w:t>天，则产生的清洗废水约</w:t>
      </w:r>
      <w:r w:rsidRPr="00B12FE0">
        <w:rPr>
          <w:color w:val="000000" w:themeColor="text1"/>
          <w:szCs w:val="24"/>
        </w:rPr>
        <w:t>0.</w:t>
      </w:r>
      <w:r w:rsidRPr="00B12FE0">
        <w:rPr>
          <w:rFonts w:hint="eastAsia"/>
          <w:color w:val="000000" w:themeColor="text1"/>
          <w:szCs w:val="24"/>
        </w:rPr>
        <w:t>2</w:t>
      </w:r>
      <w:r w:rsidRPr="00B12FE0">
        <w:rPr>
          <w:color w:val="000000" w:themeColor="text1"/>
          <w:szCs w:val="24"/>
        </w:rPr>
        <w:t>m</w:t>
      </w:r>
      <w:r w:rsidRPr="00B12FE0">
        <w:rPr>
          <w:color w:val="000000" w:themeColor="text1"/>
          <w:szCs w:val="24"/>
          <w:vertAlign w:val="superscript"/>
        </w:rPr>
        <w:t>3</w:t>
      </w:r>
      <w:r w:rsidRPr="00B12FE0">
        <w:rPr>
          <w:color w:val="000000" w:themeColor="text1"/>
          <w:szCs w:val="24"/>
        </w:rPr>
        <w:t>/d</w:t>
      </w:r>
      <w:r w:rsidRPr="00B12FE0">
        <w:rPr>
          <w:color w:val="000000" w:themeColor="text1"/>
          <w:szCs w:val="24"/>
        </w:rPr>
        <w:t>、</w:t>
      </w:r>
      <w:r w:rsidRPr="00B12FE0">
        <w:rPr>
          <w:rFonts w:hint="eastAsia"/>
          <w:color w:val="000000" w:themeColor="text1"/>
          <w:szCs w:val="24"/>
        </w:rPr>
        <w:t>50</w:t>
      </w:r>
      <w:r w:rsidRPr="00B12FE0">
        <w:rPr>
          <w:color w:val="000000" w:themeColor="text1"/>
          <w:szCs w:val="24"/>
        </w:rPr>
        <w:t>m</w:t>
      </w:r>
      <w:r w:rsidRPr="00B12FE0">
        <w:rPr>
          <w:color w:val="000000" w:themeColor="text1"/>
          <w:szCs w:val="24"/>
          <w:vertAlign w:val="superscript"/>
        </w:rPr>
        <w:t>3</w:t>
      </w:r>
      <w:r w:rsidRPr="00B12FE0">
        <w:rPr>
          <w:color w:val="000000" w:themeColor="text1"/>
          <w:szCs w:val="24"/>
        </w:rPr>
        <w:t>/a</w:t>
      </w:r>
      <w:r w:rsidRPr="00B12FE0">
        <w:rPr>
          <w:color w:val="000000" w:themeColor="text1"/>
          <w:szCs w:val="24"/>
        </w:rPr>
        <w:t>。</w:t>
      </w:r>
    </w:p>
    <w:p w14:paraId="6392827A"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综上所述，本项目核医学核素诊断场所运行时产生的放射性废水总量约为</w:t>
      </w:r>
      <w:r w:rsidRPr="00B12FE0">
        <w:rPr>
          <w:rFonts w:hint="eastAsia"/>
          <w:color w:val="000000" w:themeColor="text1"/>
        </w:rPr>
        <w:t>230</w:t>
      </w:r>
      <w:r w:rsidRPr="00B12FE0">
        <w:rPr>
          <w:color w:val="000000" w:themeColor="text1"/>
        </w:rPr>
        <w:t>m</w:t>
      </w:r>
      <w:r w:rsidRPr="00B12FE0">
        <w:rPr>
          <w:color w:val="000000" w:themeColor="text1"/>
          <w:vertAlign w:val="superscript"/>
        </w:rPr>
        <w:t>3</w:t>
      </w:r>
      <w:r w:rsidRPr="00B12FE0">
        <w:rPr>
          <w:color w:val="000000" w:themeColor="text1"/>
        </w:rPr>
        <w:t>/a</w:t>
      </w:r>
      <w:r w:rsidRPr="00B12FE0">
        <w:rPr>
          <w:rFonts w:hint="eastAsia"/>
          <w:color w:val="000000" w:themeColor="text1"/>
        </w:rPr>
        <w:t>，平均约为</w:t>
      </w:r>
      <w:r w:rsidRPr="00B12FE0">
        <w:rPr>
          <w:rFonts w:hint="eastAsia"/>
          <w:color w:val="000000" w:themeColor="text1"/>
        </w:rPr>
        <w:t>0.92</w:t>
      </w:r>
      <w:r w:rsidRPr="00B12FE0">
        <w:rPr>
          <w:color w:val="000000" w:themeColor="text1"/>
        </w:rPr>
        <w:t>m</w:t>
      </w:r>
      <w:r w:rsidRPr="00B12FE0">
        <w:rPr>
          <w:color w:val="000000" w:themeColor="text1"/>
          <w:vertAlign w:val="superscript"/>
        </w:rPr>
        <w:t>3</w:t>
      </w:r>
      <w:r w:rsidRPr="00B12FE0">
        <w:rPr>
          <w:color w:val="000000" w:themeColor="text1"/>
        </w:rPr>
        <w:t>/d</w:t>
      </w:r>
      <w:r w:rsidRPr="00B12FE0">
        <w:rPr>
          <w:rFonts w:hint="eastAsia"/>
          <w:color w:val="000000" w:themeColor="text1"/>
        </w:rPr>
        <w:t>（以</w:t>
      </w:r>
      <w:r w:rsidRPr="00B12FE0">
        <w:rPr>
          <w:color w:val="000000" w:themeColor="text1"/>
        </w:rPr>
        <w:t>250</w:t>
      </w:r>
      <w:r w:rsidRPr="00B12FE0">
        <w:rPr>
          <w:rFonts w:hint="eastAsia"/>
          <w:color w:val="000000" w:themeColor="text1"/>
        </w:rPr>
        <w:t>天计）。</w:t>
      </w:r>
    </w:p>
    <w:p w14:paraId="06A47BB5" w14:textId="77777777" w:rsidR="00A67F21" w:rsidRPr="00B12FE0" w:rsidRDefault="00000000">
      <w:pPr>
        <w:adjustRightInd w:val="0"/>
        <w:snapToGrid w:val="0"/>
        <w:spacing w:line="360" w:lineRule="auto"/>
        <w:ind w:firstLineChars="200" w:firstLine="480"/>
        <w:contextualSpacing/>
        <w:rPr>
          <w:rFonts w:cs="宋体"/>
          <w:color w:val="000000" w:themeColor="text1"/>
          <w:szCs w:val="24"/>
        </w:rPr>
      </w:pPr>
      <w:r w:rsidRPr="00B12FE0">
        <w:rPr>
          <w:rFonts w:hint="eastAsia"/>
          <w:color w:val="000000" w:themeColor="text1"/>
        </w:rPr>
        <w:t>（</w:t>
      </w:r>
      <w:r w:rsidRPr="00B12FE0">
        <w:rPr>
          <w:rFonts w:hint="eastAsia"/>
          <w:color w:val="000000" w:themeColor="text1"/>
        </w:rPr>
        <w:t>5</w:t>
      </w:r>
      <w:r w:rsidRPr="00B12FE0">
        <w:rPr>
          <w:rFonts w:hint="eastAsia"/>
          <w:color w:val="000000" w:themeColor="text1"/>
        </w:rPr>
        <w:t>）</w:t>
      </w:r>
      <w:r w:rsidRPr="00B12FE0">
        <w:rPr>
          <w:rFonts w:ascii="宋体" w:hAnsi="宋体" w:cs="宋体" w:hint="eastAsia"/>
          <w:color w:val="000000" w:themeColor="text1"/>
          <w:szCs w:val="24"/>
        </w:rPr>
        <w:t>放射性废气</w:t>
      </w:r>
    </w:p>
    <w:p w14:paraId="6F2A8C1E" w14:textId="77777777" w:rsidR="00A67F21" w:rsidRPr="00B12FE0" w:rsidRDefault="00000000">
      <w:pPr>
        <w:adjustRightInd w:val="0"/>
        <w:snapToGrid w:val="0"/>
        <w:spacing w:line="360" w:lineRule="auto"/>
        <w:ind w:firstLineChars="200" w:firstLine="480"/>
        <w:jc w:val="left"/>
        <w:rPr>
          <w:rFonts w:ascii="宋体" w:hAnsi="宋体" w:hint="eastAsia"/>
          <w:color w:val="000000" w:themeColor="text1"/>
          <w:szCs w:val="24"/>
        </w:rPr>
      </w:pPr>
      <w:r w:rsidRPr="00B12FE0">
        <w:rPr>
          <w:rFonts w:hint="eastAsia"/>
          <w:color w:val="000000" w:themeColor="text1"/>
        </w:rPr>
        <w:t>①</w:t>
      </w:r>
      <w:r w:rsidRPr="00B12FE0">
        <w:rPr>
          <w:rFonts w:ascii="宋体" w:hAnsi="宋体"/>
          <w:color w:val="000000" w:themeColor="text1"/>
          <w:szCs w:val="24"/>
        </w:rPr>
        <w:t>核医学科核素</w:t>
      </w:r>
      <w:r w:rsidRPr="00B12FE0">
        <w:rPr>
          <w:rFonts w:ascii="宋体" w:hAnsi="宋体" w:hint="eastAsia"/>
          <w:color w:val="000000" w:themeColor="text1"/>
          <w:szCs w:val="24"/>
        </w:rPr>
        <w:t>诊断</w:t>
      </w:r>
      <w:r w:rsidRPr="00B12FE0">
        <w:rPr>
          <w:rFonts w:ascii="宋体" w:hAnsi="宋体"/>
          <w:color w:val="000000" w:themeColor="text1"/>
          <w:szCs w:val="24"/>
        </w:rPr>
        <w:t>场所使用的</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由</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锝发生器在手套箱密闭条件下进行淋洗标记，且</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为非挥发性核素，使用过程介质均为液体，操作比较简单，不需要加热、振荡等步骤，空气中挥发散逸的放射性气溶胶极少。</w:t>
      </w:r>
    </w:p>
    <w:p w14:paraId="4E4E5209" w14:textId="77777777" w:rsidR="00A67F21" w:rsidRPr="00B12FE0" w:rsidRDefault="00000000">
      <w:pPr>
        <w:adjustRightInd w:val="0"/>
        <w:snapToGrid w:val="0"/>
        <w:spacing w:line="360" w:lineRule="auto"/>
        <w:ind w:firstLineChars="200" w:firstLine="480"/>
        <w:jc w:val="left"/>
        <w:rPr>
          <w:color w:val="000000" w:themeColor="text1"/>
          <w:szCs w:val="24"/>
        </w:rPr>
      </w:pPr>
      <w:r w:rsidRPr="00B12FE0">
        <w:rPr>
          <w:rFonts w:ascii="宋体" w:hAnsi="宋体"/>
          <w:color w:val="000000" w:themeColor="text1"/>
          <w:szCs w:val="24"/>
        </w:rPr>
        <w:t>放射性药物存放于核医学科核素</w:t>
      </w:r>
      <w:r w:rsidRPr="00B12FE0">
        <w:rPr>
          <w:rFonts w:ascii="宋体" w:hAnsi="宋体" w:hint="eastAsia"/>
          <w:color w:val="000000" w:themeColor="text1"/>
          <w:szCs w:val="24"/>
        </w:rPr>
        <w:t>诊断</w:t>
      </w:r>
      <w:r w:rsidRPr="00B12FE0">
        <w:rPr>
          <w:rFonts w:ascii="宋体" w:hAnsi="宋体"/>
          <w:color w:val="000000" w:themeColor="text1"/>
          <w:szCs w:val="24"/>
        </w:rPr>
        <w:t>场所储源室，待患者注射前放置于手套箱中，注射时药物在针筒内，在正确正常操作过程中</w:t>
      </w:r>
      <w:proofErr w:type="gramStart"/>
      <w:r w:rsidRPr="00B12FE0">
        <w:rPr>
          <w:rFonts w:ascii="宋体" w:hAnsi="宋体"/>
          <w:color w:val="000000" w:themeColor="text1"/>
          <w:szCs w:val="24"/>
        </w:rPr>
        <w:t>无开放</w:t>
      </w:r>
      <w:proofErr w:type="gramEnd"/>
      <w:r w:rsidRPr="00B12FE0">
        <w:rPr>
          <w:rFonts w:ascii="宋体" w:hAnsi="宋体"/>
          <w:color w:val="000000" w:themeColor="text1"/>
          <w:szCs w:val="24"/>
        </w:rPr>
        <w:t>液面，空气中挥发散逸的放射性同位素几乎没有，因此放射性气溶胶极少。</w:t>
      </w:r>
    </w:p>
    <w:p w14:paraId="2DADF5EB"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②本项目核医学核素诊断工作场所使用的</w:t>
      </w:r>
      <w:r w:rsidRPr="00B12FE0">
        <w:rPr>
          <w:color w:val="000000" w:themeColor="text1"/>
          <w:szCs w:val="24"/>
          <w:vertAlign w:val="superscript"/>
        </w:rPr>
        <w:t>32</w:t>
      </w:r>
      <w:r w:rsidRPr="00B12FE0">
        <w:rPr>
          <w:color w:val="000000" w:themeColor="text1"/>
          <w:szCs w:val="24"/>
        </w:rPr>
        <w:t>P</w:t>
      </w:r>
      <w:r w:rsidRPr="00B12FE0">
        <w:rPr>
          <w:color w:val="000000" w:themeColor="text1"/>
          <w:szCs w:val="24"/>
        </w:rPr>
        <w:t>为非挥发性核素，</w:t>
      </w:r>
      <w:r w:rsidRPr="00B12FE0">
        <w:rPr>
          <w:rFonts w:hint="eastAsia"/>
          <w:color w:val="000000" w:themeColor="text1"/>
          <w:szCs w:val="24"/>
        </w:rPr>
        <w:t>制作敷贴器时位于手套箱中，采取注射器进行抽取，开放液面较小，在整个过程中药物放射性核素气溶胶挥发量极少。</w:t>
      </w:r>
    </w:p>
    <w:p w14:paraId="05BFF943" w14:textId="77777777" w:rsidR="00A67F21" w:rsidRPr="00B12FE0" w:rsidRDefault="00000000">
      <w:pPr>
        <w:snapToGrid w:val="0"/>
        <w:spacing w:line="360" w:lineRule="auto"/>
        <w:ind w:firstLine="480"/>
        <w:rPr>
          <w:color w:val="000000" w:themeColor="text1"/>
        </w:rPr>
      </w:pPr>
      <w:r w:rsidRPr="00B12FE0">
        <w:rPr>
          <w:rFonts w:hint="eastAsia"/>
          <w:color w:val="000000" w:themeColor="text1"/>
        </w:rPr>
        <w:t>③</w:t>
      </w:r>
      <w:r w:rsidRPr="00B12FE0">
        <w:rPr>
          <w:color w:val="000000" w:themeColor="text1"/>
        </w:rPr>
        <w:t>本项目</w:t>
      </w:r>
      <w:r w:rsidRPr="00B12FE0">
        <w:rPr>
          <w:rFonts w:hint="eastAsia"/>
          <w:color w:val="000000" w:themeColor="text1"/>
        </w:rPr>
        <w:t>核医学核素诊断工作场所使用的含</w:t>
      </w:r>
      <w:r w:rsidRPr="00B12FE0">
        <w:rPr>
          <w:color w:val="000000" w:themeColor="text1"/>
          <w:vertAlign w:val="superscript"/>
        </w:rPr>
        <w:t>131</w:t>
      </w:r>
      <w:r w:rsidRPr="00B12FE0">
        <w:rPr>
          <w:color w:val="000000" w:themeColor="text1"/>
        </w:rPr>
        <w:t>I</w:t>
      </w:r>
      <w:r w:rsidRPr="00B12FE0">
        <w:rPr>
          <w:rFonts w:hint="eastAsia"/>
          <w:color w:val="000000" w:themeColor="text1"/>
        </w:rPr>
        <w:t>核素的放射性药物从</w:t>
      </w:r>
      <w:r w:rsidRPr="00B12FE0">
        <w:rPr>
          <w:color w:val="000000" w:themeColor="text1"/>
        </w:rPr>
        <w:t>供货商</w:t>
      </w:r>
      <w:proofErr w:type="gramStart"/>
      <w:r w:rsidRPr="00B12FE0">
        <w:rPr>
          <w:color w:val="000000" w:themeColor="text1"/>
        </w:rPr>
        <w:t>由铅罐</w:t>
      </w:r>
      <w:proofErr w:type="gramEnd"/>
      <w:r w:rsidRPr="00B12FE0">
        <w:rPr>
          <w:color w:val="000000" w:themeColor="text1"/>
        </w:rPr>
        <w:t>送至</w:t>
      </w:r>
      <w:r w:rsidRPr="00B12FE0">
        <w:rPr>
          <w:rFonts w:hint="eastAsia"/>
          <w:color w:val="000000" w:themeColor="text1"/>
        </w:rPr>
        <w:t>核医学工作场所储源室</w:t>
      </w:r>
      <w:r w:rsidRPr="00B12FE0">
        <w:rPr>
          <w:color w:val="000000" w:themeColor="text1"/>
        </w:rPr>
        <w:t>，工作人员将装有</w:t>
      </w:r>
      <w:r w:rsidRPr="00B12FE0">
        <w:rPr>
          <w:rFonts w:hint="eastAsia"/>
          <w:color w:val="000000" w:themeColor="text1"/>
        </w:rPr>
        <w:t>含</w:t>
      </w:r>
      <w:r w:rsidRPr="00B12FE0">
        <w:rPr>
          <w:color w:val="000000" w:themeColor="text1"/>
          <w:vertAlign w:val="superscript"/>
        </w:rPr>
        <w:t>131</w:t>
      </w:r>
      <w:r w:rsidRPr="00B12FE0">
        <w:rPr>
          <w:color w:val="000000" w:themeColor="text1"/>
        </w:rPr>
        <w:t>I</w:t>
      </w:r>
      <w:r w:rsidRPr="00B12FE0">
        <w:rPr>
          <w:rFonts w:hint="eastAsia"/>
          <w:color w:val="000000" w:themeColor="text1"/>
        </w:rPr>
        <w:t>核素的放射性</w:t>
      </w:r>
      <w:r w:rsidRPr="00B12FE0">
        <w:rPr>
          <w:color w:val="000000" w:themeColor="text1"/>
        </w:rPr>
        <w:t>药物</w:t>
      </w:r>
      <w:r w:rsidRPr="00B12FE0">
        <w:rPr>
          <w:rFonts w:hint="eastAsia"/>
          <w:color w:val="000000" w:themeColor="text1"/>
        </w:rPr>
        <w:t>连同</w:t>
      </w:r>
      <w:proofErr w:type="gramStart"/>
      <w:r w:rsidRPr="00B12FE0">
        <w:rPr>
          <w:color w:val="000000" w:themeColor="text1"/>
        </w:rPr>
        <w:t>铅罐</w:t>
      </w:r>
      <w:r w:rsidRPr="00B12FE0">
        <w:rPr>
          <w:rFonts w:hint="eastAsia"/>
          <w:color w:val="000000" w:themeColor="text1"/>
        </w:rPr>
        <w:t>一起</w:t>
      </w:r>
      <w:r w:rsidRPr="00B12FE0">
        <w:rPr>
          <w:color w:val="000000" w:themeColor="text1"/>
        </w:rPr>
        <w:t>装入</w:t>
      </w:r>
      <w:r w:rsidRPr="00B12FE0">
        <w:rPr>
          <w:rFonts w:hint="eastAsia"/>
          <w:color w:val="000000" w:themeColor="text1"/>
        </w:rPr>
        <w:t>服碘室</w:t>
      </w:r>
      <w:proofErr w:type="gramEnd"/>
      <w:r w:rsidRPr="00B12FE0">
        <w:rPr>
          <w:color w:val="000000" w:themeColor="text1"/>
        </w:rPr>
        <w:t>的自动</w:t>
      </w:r>
      <w:proofErr w:type="gramStart"/>
      <w:r w:rsidRPr="00B12FE0">
        <w:rPr>
          <w:color w:val="000000" w:themeColor="text1"/>
        </w:rPr>
        <w:t>分</w:t>
      </w:r>
      <w:r w:rsidRPr="00B12FE0">
        <w:rPr>
          <w:rFonts w:hint="eastAsia"/>
          <w:color w:val="000000" w:themeColor="text1"/>
        </w:rPr>
        <w:t>碘</w:t>
      </w:r>
      <w:r w:rsidRPr="00B12FE0">
        <w:rPr>
          <w:color w:val="000000" w:themeColor="text1"/>
        </w:rPr>
        <w:t>仪</w:t>
      </w:r>
      <w:proofErr w:type="gramEnd"/>
      <w:r w:rsidRPr="00B12FE0">
        <w:rPr>
          <w:rFonts w:hint="eastAsia"/>
          <w:color w:val="000000" w:themeColor="text1"/>
        </w:rPr>
        <w:t>进行自动分装</w:t>
      </w:r>
      <w:r w:rsidRPr="00B12FE0">
        <w:rPr>
          <w:color w:val="000000" w:themeColor="text1"/>
        </w:rPr>
        <w:t>，</w:t>
      </w:r>
      <w:r w:rsidRPr="00B12FE0">
        <w:rPr>
          <w:rFonts w:hint="eastAsia"/>
          <w:color w:val="000000" w:themeColor="text1"/>
        </w:rPr>
        <w:t>操作</w:t>
      </w:r>
      <w:r w:rsidRPr="00B12FE0">
        <w:rPr>
          <w:color w:val="000000" w:themeColor="text1"/>
        </w:rPr>
        <w:t>过程中</w:t>
      </w:r>
      <w:r w:rsidRPr="00B12FE0">
        <w:rPr>
          <w:color w:val="000000" w:themeColor="text1"/>
          <w:vertAlign w:val="superscript"/>
        </w:rPr>
        <w:t>131</w:t>
      </w:r>
      <w:r w:rsidRPr="00B12FE0">
        <w:rPr>
          <w:color w:val="000000" w:themeColor="text1"/>
        </w:rPr>
        <w:t>I</w:t>
      </w:r>
      <w:r w:rsidRPr="00B12FE0">
        <w:rPr>
          <w:color w:val="000000" w:themeColor="text1"/>
        </w:rPr>
        <w:t>核素处于密闭状态，无开放性液面，</w:t>
      </w:r>
      <w:r w:rsidRPr="00B12FE0">
        <w:rPr>
          <w:color w:val="000000" w:themeColor="text1"/>
          <w:vertAlign w:val="superscript"/>
        </w:rPr>
        <w:t>131</w:t>
      </w:r>
      <w:r w:rsidRPr="00B12FE0">
        <w:rPr>
          <w:color w:val="000000" w:themeColor="text1"/>
        </w:rPr>
        <w:t>I</w:t>
      </w:r>
      <w:r w:rsidRPr="00B12FE0">
        <w:rPr>
          <w:color w:val="000000" w:themeColor="text1"/>
        </w:rPr>
        <w:t>药物具有挥发性，</w:t>
      </w:r>
      <w:r w:rsidRPr="00B12FE0">
        <w:rPr>
          <w:rFonts w:hint="eastAsia"/>
          <w:color w:val="000000" w:themeColor="text1"/>
        </w:rPr>
        <w:t>服药过程和服药后人员呼吸过程中</w:t>
      </w:r>
      <w:r w:rsidRPr="00B12FE0">
        <w:rPr>
          <w:color w:val="000000" w:themeColor="text1"/>
        </w:rPr>
        <w:t>会产生少量的放射性废气。</w:t>
      </w:r>
    </w:p>
    <w:p w14:paraId="30CA3E5B" w14:textId="77777777" w:rsidR="00A67F21" w:rsidRPr="00B12FE0" w:rsidRDefault="00000000">
      <w:pPr>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6</w:t>
      </w:r>
      <w:r w:rsidRPr="00B12FE0">
        <w:rPr>
          <w:rFonts w:hint="eastAsia"/>
          <w:color w:val="000000" w:themeColor="text1"/>
        </w:rPr>
        <w:t>）固体放射性废物</w:t>
      </w:r>
    </w:p>
    <w:p w14:paraId="59C6F9AE" w14:textId="77777777" w:rsidR="00A67F21" w:rsidRPr="00B12FE0" w:rsidRDefault="00000000">
      <w:pPr>
        <w:spacing w:line="360" w:lineRule="auto"/>
        <w:ind w:firstLineChars="200" w:firstLine="480"/>
        <w:rPr>
          <w:color w:val="000000" w:themeColor="text1"/>
        </w:rPr>
      </w:pPr>
      <w:r w:rsidRPr="00B12FE0">
        <w:rPr>
          <w:color w:val="000000" w:themeColor="text1"/>
        </w:rPr>
        <w:t>本项目</w:t>
      </w:r>
      <w:r w:rsidRPr="00B12FE0">
        <w:rPr>
          <w:rFonts w:hint="eastAsia"/>
          <w:color w:val="000000" w:themeColor="text1"/>
        </w:rPr>
        <w:t>核医学核素诊断工作场所</w:t>
      </w:r>
      <w:r w:rsidRPr="00B12FE0">
        <w:rPr>
          <w:color w:val="000000" w:themeColor="text1"/>
          <w:kern w:val="0"/>
        </w:rPr>
        <w:t>运行</w:t>
      </w:r>
      <w:r w:rsidRPr="00B12FE0">
        <w:rPr>
          <w:rFonts w:hint="eastAsia"/>
          <w:color w:val="000000" w:themeColor="text1"/>
          <w:kern w:val="0"/>
        </w:rPr>
        <w:t>时</w:t>
      </w:r>
      <w:r w:rsidRPr="00B12FE0">
        <w:rPr>
          <w:color w:val="000000" w:themeColor="text1"/>
          <w:kern w:val="0"/>
        </w:rPr>
        <w:t>产生</w:t>
      </w:r>
      <w:r w:rsidRPr="00B12FE0">
        <w:rPr>
          <w:rFonts w:hint="eastAsia"/>
          <w:color w:val="000000" w:themeColor="text1"/>
          <w:kern w:val="0"/>
        </w:rPr>
        <w:t>的</w:t>
      </w:r>
      <w:r w:rsidRPr="00B12FE0">
        <w:rPr>
          <w:rFonts w:hint="eastAsia"/>
          <w:color w:val="000000" w:themeColor="text1"/>
        </w:rPr>
        <w:t>固体放射性废物</w:t>
      </w:r>
      <w:r w:rsidRPr="00B12FE0">
        <w:rPr>
          <w:color w:val="000000" w:themeColor="text1"/>
        </w:rPr>
        <w:t>主要为一次性</w:t>
      </w:r>
      <w:r w:rsidRPr="00B12FE0">
        <w:rPr>
          <w:rFonts w:hint="eastAsia"/>
          <w:color w:val="000000" w:themeColor="text1"/>
        </w:rPr>
        <w:t>杯子</w:t>
      </w:r>
      <w:r w:rsidRPr="00B12FE0">
        <w:rPr>
          <w:color w:val="000000" w:themeColor="text1"/>
        </w:rPr>
        <w:t>、一次性注射器、针头、手套、药棉、纱布、破损杯</w:t>
      </w:r>
      <w:proofErr w:type="gramStart"/>
      <w:r w:rsidRPr="00B12FE0">
        <w:rPr>
          <w:color w:val="000000" w:themeColor="text1"/>
        </w:rPr>
        <w:t>皿</w:t>
      </w:r>
      <w:proofErr w:type="gramEnd"/>
      <w:r w:rsidRPr="00B12FE0">
        <w:rPr>
          <w:color w:val="000000" w:themeColor="text1"/>
        </w:rPr>
        <w:t>、擦拭污染地面的物品</w:t>
      </w:r>
      <w:r w:rsidRPr="00B12FE0">
        <w:rPr>
          <w:rFonts w:hint="eastAsia"/>
          <w:color w:val="000000" w:themeColor="text1"/>
        </w:rPr>
        <w:t>、</w:t>
      </w:r>
      <w:r w:rsidRPr="00B12FE0">
        <w:rPr>
          <w:rFonts w:hAnsi="宋体" w:hint="eastAsia"/>
          <w:color w:val="000000" w:themeColor="text1"/>
        </w:rPr>
        <w:t>使用过的废旧</w:t>
      </w:r>
      <w:r w:rsidRPr="00B12FE0">
        <w:rPr>
          <w:rFonts w:hint="eastAsia"/>
          <w:color w:val="000000" w:themeColor="text1"/>
          <w:vertAlign w:val="superscript"/>
        </w:rPr>
        <w:t>3</w:t>
      </w:r>
      <w:r w:rsidRPr="00B12FE0">
        <w:rPr>
          <w:color w:val="000000" w:themeColor="text1"/>
          <w:vertAlign w:val="superscript"/>
        </w:rPr>
        <w:t>2</w:t>
      </w:r>
      <w:r w:rsidRPr="00B12FE0">
        <w:rPr>
          <w:color w:val="000000" w:themeColor="text1"/>
        </w:rPr>
        <w:t>P</w:t>
      </w:r>
      <w:r w:rsidRPr="00B12FE0">
        <w:rPr>
          <w:rFonts w:hAnsi="宋体" w:hint="eastAsia"/>
          <w:color w:val="000000" w:themeColor="text1"/>
        </w:rPr>
        <w:t>敷贴器</w:t>
      </w:r>
      <w:r w:rsidRPr="00B12FE0">
        <w:rPr>
          <w:rFonts w:hint="eastAsia"/>
          <w:color w:val="000000" w:themeColor="text1"/>
        </w:rPr>
        <w:t>以及</w:t>
      </w:r>
      <w:r w:rsidRPr="00B12FE0">
        <w:rPr>
          <w:color w:val="000000" w:themeColor="text1"/>
        </w:rPr>
        <w:t>废气处理更换的废活性炭等。</w:t>
      </w:r>
    </w:p>
    <w:p w14:paraId="41657322" w14:textId="77777777" w:rsidR="00A67F21" w:rsidRPr="00B12FE0" w:rsidRDefault="00000000">
      <w:pPr>
        <w:pStyle w:val="Default"/>
        <w:autoSpaceDE/>
        <w:autoSpaceDN/>
        <w:snapToGrid w:val="0"/>
        <w:spacing w:line="360" w:lineRule="auto"/>
        <w:ind w:right="0" w:firstLineChars="200" w:firstLine="480"/>
        <w:jc w:val="both"/>
        <w:rPr>
          <w:rFonts w:ascii="Times New Roman" w:eastAsia="宋体" w:cs="Times New Roman"/>
          <w:color w:val="000000" w:themeColor="text1"/>
        </w:rPr>
      </w:pPr>
      <w:r w:rsidRPr="00B12FE0">
        <w:rPr>
          <w:rFonts w:ascii="Times New Roman" w:eastAsia="宋体" w:cs="Times New Roman" w:hint="eastAsia"/>
          <w:color w:val="000000" w:themeColor="text1"/>
        </w:rPr>
        <w:t>①本项目核医学核素诊断工作场所每年门诊量为</w:t>
      </w:r>
      <w:r w:rsidRPr="00B12FE0">
        <w:rPr>
          <w:rFonts w:ascii="Times New Roman" w:eastAsia="宋体" w:cs="Times New Roman" w:hint="eastAsia"/>
          <w:color w:val="000000" w:themeColor="text1"/>
        </w:rPr>
        <w:t>23250</w:t>
      </w:r>
      <w:r w:rsidRPr="00B12FE0">
        <w:rPr>
          <w:rFonts w:ascii="Times New Roman" w:eastAsia="宋体" w:cs="Times New Roman" w:hint="eastAsia"/>
          <w:color w:val="000000" w:themeColor="text1"/>
        </w:rPr>
        <w:t>人，</w:t>
      </w:r>
      <w:r w:rsidRPr="00B12FE0">
        <w:rPr>
          <w:rFonts w:ascii="Times New Roman" w:eastAsia="宋体" w:cs="Times New Roman"/>
          <w:color w:val="000000" w:themeColor="text1"/>
        </w:rPr>
        <w:t>类比同类型医院</w:t>
      </w:r>
      <w:r w:rsidRPr="00B12FE0">
        <w:rPr>
          <w:rFonts w:ascii="Times New Roman" w:eastAsia="宋体" w:cs="Times New Roman" w:hint="eastAsia"/>
          <w:color w:val="000000" w:themeColor="text1"/>
        </w:rPr>
        <w:t>核医学工作场所</w:t>
      </w:r>
      <w:r w:rsidRPr="00B12FE0">
        <w:rPr>
          <w:rFonts w:ascii="Times New Roman" w:eastAsia="宋体" w:cs="Times New Roman"/>
          <w:color w:val="000000" w:themeColor="text1"/>
        </w:rPr>
        <w:t>开展情况，患者门诊诊疗过程放射性固</w:t>
      </w:r>
      <w:proofErr w:type="gramStart"/>
      <w:r w:rsidRPr="00B12FE0">
        <w:rPr>
          <w:rFonts w:ascii="Times New Roman" w:eastAsia="宋体" w:cs="Times New Roman"/>
          <w:color w:val="000000" w:themeColor="text1"/>
        </w:rPr>
        <w:t>废产生</w:t>
      </w:r>
      <w:proofErr w:type="gramEnd"/>
      <w:r w:rsidRPr="00B12FE0">
        <w:rPr>
          <w:rFonts w:ascii="Times New Roman" w:eastAsia="宋体" w:cs="Times New Roman"/>
          <w:color w:val="000000" w:themeColor="text1"/>
        </w:rPr>
        <w:t>量约</w:t>
      </w:r>
      <w:r w:rsidRPr="00B12FE0">
        <w:rPr>
          <w:rFonts w:ascii="Times New Roman" w:eastAsia="宋体" w:cs="Times New Roman" w:hint="eastAsia"/>
          <w:color w:val="000000" w:themeColor="text1"/>
        </w:rPr>
        <w:t>为</w:t>
      </w:r>
      <w:r w:rsidRPr="00B12FE0">
        <w:rPr>
          <w:rFonts w:ascii="Times New Roman" w:eastAsia="宋体" w:cs="Times New Roman"/>
          <w:color w:val="000000" w:themeColor="text1"/>
        </w:rPr>
        <w:t>0.05kg/</w:t>
      </w:r>
      <w:r w:rsidRPr="00B12FE0">
        <w:rPr>
          <w:rFonts w:ascii="Times New Roman" w:eastAsia="宋体" w:cs="Times New Roman"/>
          <w:color w:val="000000" w:themeColor="text1"/>
        </w:rPr>
        <w:t>人次，</w:t>
      </w:r>
      <w:r w:rsidRPr="00B12FE0">
        <w:rPr>
          <w:rFonts w:ascii="Times New Roman" w:eastAsia="宋体" w:cs="Times New Roman" w:hint="eastAsia"/>
          <w:color w:val="000000" w:themeColor="text1"/>
        </w:rPr>
        <w:t>则本项目核医学核素诊断工作场所运行时门诊产生的放射性固废约为</w:t>
      </w:r>
      <w:r w:rsidRPr="00B12FE0">
        <w:rPr>
          <w:rFonts w:ascii="Times New Roman" w:eastAsia="宋体" w:cs="Times New Roman" w:hint="eastAsia"/>
          <w:color w:val="000000" w:themeColor="text1"/>
        </w:rPr>
        <w:t>1162.5</w:t>
      </w:r>
      <w:r w:rsidRPr="00B12FE0">
        <w:rPr>
          <w:rFonts w:ascii="Times New Roman" w:eastAsia="宋体" w:cs="Times New Roman"/>
          <w:color w:val="000000" w:themeColor="text1"/>
        </w:rPr>
        <w:t>kg/a</w:t>
      </w:r>
      <w:r w:rsidRPr="00B12FE0">
        <w:rPr>
          <w:rFonts w:ascii="Times New Roman" w:eastAsia="宋体" w:cs="Times New Roman" w:hint="eastAsia"/>
          <w:color w:val="000000" w:themeColor="text1"/>
        </w:rPr>
        <w:t>。</w:t>
      </w:r>
    </w:p>
    <w:p w14:paraId="6BFEC0E8" w14:textId="77777777" w:rsidR="00A67F21" w:rsidRPr="00B12FE0" w:rsidRDefault="00000000">
      <w:pPr>
        <w:pStyle w:val="Default"/>
        <w:snapToGrid w:val="0"/>
        <w:spacing w:line="360" w:lineRule="auto"/>
        <w:ind w:left="480"/>
        <w:jc w:val="both"/>
        <w:rPr>
          <w:rFonts w:ascii="Times New Roman" w:eastAsiaTheme="minorEastAsia" w:cs="Times New Roman"/>
          <w:color w:val="000000" w:themeColor="text1"/>
        </w:rPr>
      </w:pPr>
      <w:r w:rsidRPr="00B12FE0">
        <w:rPr>
          <w:rFonts w:ascii="Cambria Math" w:eastAsiaTheme="minorEastAsia" w:hAnsi="Cambria Math" w:cs="Cambria Math"/>
          <w:color w:val="000000" w:themeColor="text1"/>
        </w:rPr>
        <w:t>②</w:t>
      </w:r>
      <w:r w:rsidRPr="00B12FE0">
        <w:rPr>
          <w:rFonts w:ascii="Times New Roman" w:eastAsiaTheme="minorEastAsia" w:cs="Times New Roman"/>
          <w:color w:val="000000" w:themeColor="text1"/>
          <w:vertAlign w:val="superscript"/>
        </w:rPr>
        <w:t>99m</w:t>
      </w:r>
      <w:r w:rsidRPr="00B12FE0">
        <w:rPr>
          <w:rFonts w:ascii="Times New Roman" w:eastAsiaTheme="minorEastAsia" w:cs="Times New Roman"/>
          <w:color w:val="000000" w:themeColor="text1"/>
        </w:rPr>
        <w:t>Tc</w:t>
      </w:r>
      <w:r w:rsidRPr="00B12FE0">
        <w:rPr>
          <w:rFonts w:ascii="Times New Roman" w:eastAsiaTheme="minorEastAsia" w:cs="Times New Roman"/>
          <w:color w:val="000000" w:themeColor="text1"/>
        </w:rPr>
        <w:t>药物淋洗标记产生的废弃</w:t>
      </w:r>
      <w:proofErr w:type="gramStart"/>
      <w:r w:rsidRPr="00B12FE0">
        <w:rPr>
          <w:rFonts w:ascii="Times New Roman" w:eastAsiaTheme="minorEastAsia" w:cs="Times New Roman"/>
          <w:color w:val="000000" w:themeColor="text1"/>
        </w:rPr>
        <w:t>钼</w:t>
      </w:r>
      <w:proofErr w:type="gramEnd"/>
      <w:r w:rsidRPr="00B12FE0">
        <w:rPr>
          <w:rFonts w:ascii="Times New Roman" w:eastAsiaTheme="minorEastAsia" w:cs="Times New Roman"/>
          <w:color w:val="000000" w:themeColor="text1"/>
        </w:rPr>
        <w:t>锝发生器，产生量大约为</w:t>
      </w:r>
      <w:r w:rsidRPr="00B12FE0">
        <w:rPr>
          <w:rFonts w:ascii="Times New Roman" w:eastAsiaTheme="minorEastAsia" w:cs="Times New Roman"/>
          <w:color w:val="000000" w:themeColor="text1"/>
        </w:rPr>
        <w:t>30kg/a</w:t>
      </w:r>
      <w:r w:rsidRPr="00B12FE0">
        <w:rPr>
          <w:rFonts w:ascii="Times New Roman" w:eastAsiaTheme="minorEastAsia" w:cs="Times New Roman"/>
          <w:color w:val="000000" w:themeColor="text1"/>
        </w:rPr>
        <w:t>。</w:t>
      </w:r>
    </w:p>
    <w:p w14:paraId="273B7127"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szCs w:val="24"/>
        </w:rPr>
        <w:t>③</w:t>
      </w:r>
      <w:r w:rsidRPr="00B12FE0">
        <w:rPr>
          <w:rFonts w:hint="eastAsia"/>
          <w:color w:val="000000" w:themeColor="text1"/>
        </w:rPr>
        <w:t>核医学核素诊断工作场所共有</w:t>
      </w:r>
      <w:r w:rsidRPr="00B12FE0">
        <w:rPr>
          <w:rFonts w:hint="eastAsia"/>
          <w:color w:val="000000" w:themeColor="text1"/>
        </w:rPr>
        <w:t>5</w:t>
      </w:r>
      <w:r w:rsidRPr="00B12FE0">
        <w:rPr>
          <w:rFonts w:hint="eastAsia"/>
          <w:color w:val="000000" w:themeColor="text1"/>
        </w:rPr>
        <w:t>支排风管道，废气排放口活性炭吸附装置活性炭填装量</w:t>
      </w:r>
      <w:r w:rsidRPr="00B12FE0">
        <w:rPr>
          <w:color w:val="000000" w:themeColor="text1"/>
        </w:rPr>
        <w:t>50kg</w:t>
      </w:r>
      <w:r w:rsidRPr="00B12FE0">
        <w:rPr>
          <w:rFonts w:hint="eastAsia"/>
          <w:color w:val="000000" w:themeColor="text1"/>
        </w:rPr>
        <w:t>。</w:t>
      </w:r>
    </w:p>
    <w:p w14:paraId="2E70BC29"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排放口及手套箱顶部均</w:t>
      </w:r>
      <w:r w:rsidRPr="00B12FE0">
        <w:rPr>
          <w:color w:val="000000" w:themeColor="text1"/>
        </w:rPr>
        <w:t>设置活性炭吸附装置</w:t>
      </w:r>
      <w:r w:rsidRPr="00B12FE0">
        <w:rPr>
          <w:rFonts w:hint="eastAsia"/>
          <w:color w:val="000000" w:themeColor="text1"/>
        </w:rPr>
        <w:t>，活性炭的总填装量约为</w:t>
      </w:r>
      <w:r w:rsidRPr="00B12FE0">
        <w:rPr>
          <w:rFonts w:hint="eastAsia"/>
          <w:color w:val="000000" w:themeColor="text1"/>
        </w:rPr>
        <w:t>250</w:t>
      </w:r>
      <w:r w:rsidRPr="00B12FE0">
        <w:rPr>
          <w:color w:val="000000" w:themeColor="text1"/>
        </w:rPr>
        <w:t>kg</w:t>
      </w:r>
      <w:r w:rsidRPr="00B12FE0">
        <w:rPr>
          <w:rFonts w:hint="eastAsia"/>
          <w:color w:val="000000" w:themeColor="text1"/>
        </w:rPr>
        <w:t>。根据设计单位提供资料，活性炭一般平均每半年更换一次，则用于废气处理</w:t>
      </w:r>
      <w:r w:rsidRPr="00B12FE0">
        <w:rPr>
          <w:rFonts w:hint="eastAsia"/>
          <w:color w:val="000000" w:themeColor="text1"/>
          <w:szCs w:val="28"/>
        </w:rPr>
        <w:t>更换的</w:t>
      </w:r>
      <w:r w:rsidRPr="00B12FE0">
        <w:rPr>
          <w:rFonts w:hint="eastAsia"/>
          <w:color w:val="000000" w:themeColor="text1"/>
        </w:rPr>
        <w:t>废活性炭产生量约为</w:t>
      </w:r>
      <w:r w:rsidRPr="00B12FE0">
        <w:rPr>
          <w:rFonts w:hint="eastAsia"/>
          <w:color w:val="000000" w:themeColor="text1"/>
        </w:rPr>
        <w:t>500</w:t>
      </w:r>
      <w:r w:rsidRPr="00B12FE0">
        <w:rPr>
          <w:color w:val="000000" w:themeColor="text1"/>
        </w:rPr>
        <w:t>kg/a</w:t>
      </w:r>
      <w:r w:rsidRPr="00B12FE0">
        <w:rPr>
          <w:rFonts w:hint="eastAsia"/>
          <w:color w:val="000000" w:themeColor="text1"/>
        </w:rPr>
        <w:t>。</w:t>
      </w:r>
    </w:p>
    <w:p w14:paraId="35EF4650" w14:textId="77777777" w:rsidR="00A67F21" w:rsidRPr="00B12FE0" w:rsidRDefault="00000000">
      <w:pPr>
        <w:spacing w:line="360" w:lineRule="auto"/>
        <w:ind w:firstLineChars="200" w:firstLine="480"/>
        <w:rPr>
          <w:color w:val="000000" w:themeColor="text1"/>
          <w:szCs w:val="28"/>
        </w:rPr>
      </w:pPr>
      <w:r w:rsidRPr="00B12FE0">
        <w:rPr>
          <w:rFonts w:hint="eastAsia"/>
          <w:color w:val="000000" w:themeColor="text1"/>
        </w:rPr>
        <w:lastRenderedPageBreak/>
        <w:t>综上所述，本项目核医学核素诊断工作场所运行时产生的固体放射性废物总量约为</w:t>
      </w:r>
      <w:r w:rsidRPr="00B12FE0">
        <w:rPr>
          <w:rFonts w:hint="eastAsia"/>
          <w:color w:val="000000" w:themeColor="text1"/>
          <w:szCs w:val="28"/>
        </w:rPr>
        <w:t>1712.5</w:t>
      </w:r>
      <w:r w:rsidRPr="00B12FE0">
        <w:rPr>
          <w:color w:val="000000" w:themeColor="text1"/>
          <w:szCs w:val="28"/>
        </w:rPr>
        <w:t>kg/a</w:t>
      </w:r>
      <w:r w:rsidRPr="00B12FE0">
        <w:rPr>
          <w:rFonts w:hint="eastAsia"/>
          <w:color w:val="000000" w:themeColor="text1"/>
          <w:szCs w:val="28"/>
        </w:rPr>
        <w:t>。</w:t>
      </w:r>
    </w:p>
    <w:p w14:paraId="3769479A" w14:textId="77777777" w:rsidR="00A67F21" w:rsidRPr="00B12FE0" w:rsidRDefault="00000000">
      <w:pPr>
        <w:snapToGrid w:val="0"/>
        <w:spacing w:line="360" w:lineRule="auto"/>
        <w:ind w:firstLineChars="200" w:firstLine="480"/>
        <w:rPr>
          <w:color w:val="000000" w:themeColor="text1"/>
          <w:szCs w:val="28"/>
        </w:rPr>
      </w:pPr>
      <w:r w:rsidRPr="00B12FE0">
        <w:rPr>
          <w:rFonts w:hint="eastAsia"/>
          <w:color w:val="000000" w:themeColor="text1"/>
        </w:rPr>
        <w:t>（</w:t>
      </w:r>
      <w:r w:rsidRPr="00B12FE0">
        <w:rPr>
          <w:rFonts w:hint="eastAsia"/>
          <w:color w:val="000000" w:themeColor="text1"/>
        </w:rPr>
        <w:t>7</w:t>
      </w:r>
      <w:r w:rsidRPr="00B12FE0">
        <w:rPr>
          <w:rFonts w:hint="eastAsia"/>
          <w:color w:val="000000" w:themeColor="text1"/>
        </w:rPr>
        <w:t>）废旧放射源</w:t>
      </w:r>
    </w:p>
    <w:p w14:paraId="5CEC9EEF"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szCs w:val="28"/>
        </w:rPr>
        <w:t>本项目更换</w:t>
      </w:r>
      <w:r w:rsidRPr="00B12FE0">
        <w:rPr>
          <w:rFonts w:hint="eastAsia"/>
          <w:color w:val="000000" w:themeColor="text1"/>
        </w:rPr>
        <w:t>的</w:t>
      </w:r>
      <w:r w:rsidRPr="00B12FE0">
        <w:rPr>
          <w:rFonts w:hint="eastAsia"/>
          <w:color w:val="000000" w:themeColor="text1"/>
          <w:vertAlign w:val="superscript"/>
        </w:rPr>
        <w:t>68</w:t>
      </w:r>
      <w:r w:rsidRPr="00B12FE0">
        <w:rPr>
          <w:rFonts w:hint="eastAsia"/>
          <w:color w:val="000000" w:themeColor="text1"/>
        </w:rPr>
        <w:t>Ge</w:t>
      </w:r>
      <w:r w:rsidRPr="00B12FE0">
        <w:rPr>
          <w:rFonts w:hint="eastAsia"/>
          <w:color w:val="000000" w:themeColor="text1"/>
        </w:rPr>
        <w:t>校准源作为废旧放射源，</w:t>
      </w:r>
      <w:r w:rsidRPr="00B12FE0">
        <w:rPr>
          <w:rFonts w:hint="eastAsia"/>
          <w:color w:val="000000" w:themeColor="text1"/>
          <w:vertAlign w:val="superscript"/>
        </w:rPr>
        <w:t>68</w:t>
      </w:r>
      <w:r w:rsidRPr="00B12FE0">
        <w:rPr>
          <w:rFonts w:hint="eastAsia"/>
          <w:color w:val="000000" w:themeColor="text1"/>
        </w:rPr>
        <w:t>Ge</w:t>
      </w:r>
      <w:r w:rsidRPr="00B12FE0">
        <w:rPr>
          <w:rFonts w:hint="eastAsia"/>
          <w:color w:val="000000" w:themeColor="text1"/>
        </w:rPr>
        <w:t>的</w:t>
      </w:r>
      <w:r w:rsidRPr="00B12FE0">
        <w:rPr>
          <w:color w:val="000000" w:themeColor="text1"/>
        </w:rPr>
        <w:t>半衰期为</w:t>
      </w:r>
      <w:r w:rsidRPr="00B12FE0">
        <w:rPr>
          <w:color w:val="000000" w:themeColor="text1"/>
        </w:rPr>
        <w:t>280</w:t>
      </w:r>
      <w:r w:rsidRPr="00B12FE0">
        <w:rPr>
          <w:color w:val="000000" w:themeColor="text1"/>
        </w:rPr>
        <w:t>天，当</w:t>
      </w:r>
      <w:r w:rsidRPr="00B12FE0">
        <w:rPr>
          <w:rFonts w:hint="eastAsia"/>
          <w:color w:val="000000" w:themeColor="text1"/>
        </w:rPr>
        <w:t>其</w:t>
      </w:r>
      <w:r w:rsidRPr="00B12FE0">
        <w:rPr>
          <w:color w:val="000000" w:themeColor="text1"/>
        </w:rPr>
        <w:t>衰变至其活度不能满足</w:t>
      </w:r>
      <w:r w:rsidRPr="00B12FE0">
        <w:rPr>
          <w:rFonts w:hint="eastAsia"/>
          <w:color w:val="000000" w:themeColor="text1"/>
        </w:rPr>
        <w:t>校准</w:t>
      </w:r>
      <w:r w:rsidRPr="00B12FE0">
        <w:rPr>
          <w:color w:val="000000" w:themeColor="text1"/>
        </w:rPr>
        <w:t>需要时，将更换放射源，从而产生废</w:t>
      </w:r>
      <w:r w:rsidRPr="00B12FE0">
        <w:rPr>
          <w:rFonts w:hint="eastAsia"/>
          <w:color w:val="000000" w:themeColor="text1"/>
          <w:vertAlign w:val="superscript"/>
        </w:rPr>
        <w:t>68</w:t>
      </w:r>
      <w:r w:rsidRPr="00B12FE0">
        <w:rPr>
          <w:rFonts w:hint="eastAsia"/>
          <w:color w:val="000000" w:themeColor="text1"/>
        </w:rPr>
        <w:t>Ge</w:t>
      </w:r>
      <w:r w:rsidRPr="00B12FE0">
        <w:rPr>
          <w:color w:val="000000" w:themeColor="text1"/>
        </w:rPr>
        <w:t>放射源。</w:t>
      </w:r>
      <w:r w:rsidRPr="00B12FE0">
        <w:rPr>
          <w:rFonts w:hint="eastAsia"/>
          <w:color w:val="000000" w:themeColor="text1"/>
        </w:rPr>
        <w:t>医院预计约每</w:t>
      </w:r>
      <w:r w:rsidRPr="00B12FE0">
        <w:rPr>
          <w:rFonts w:hint="eastAsia"/>
          <w:color w:val="000000" w:themeColor="text1"/>
        </w:rPr>
        <w:t>4</w:t>
      </w:r>
      <w:r w:rsidRPr="00B12FE0">
        <w:rPr>
          <w:rFonts w:hint="eastAsia"/>
          <w:color w:val="000000" w:themeColor="text1"/>
        </w:rPr>
        <w:t>年更换一次源，一次产生</w:t>
      </w:r>
      <w:r w:rsidRPr="00B12FE0">
        <w:rPr>
          <w:rFonts w:hint="eastAsia"/>
          <w:color w:val="000000" w:themeColor="text1"/>
        </w:rPr>
        <w:t>3</w:t>
      </w:r>
      <w:r w:rsidRPr="00B12FE0">
        <w:rPr>
          <w:rFonts w:hint="eastAsia"/>
          <w:color w:val="000000" w:themeColor="text1"/>
        </w:rPr>
        <w:t>枚</w:t>
      </w:r>
      <w:r w:rsidRPr="00B12FE0">
        <w:rPr>
          <w:color w:val="000000" w:themeColor="text1"/>
        </w:rPr>
        <w:t>废旧放射源</w:t>
      </w:r>
      <w:r w:rsidRPr="00B12FE0">
        <w:rPr>
          <w:rFonts w:hint="eastAsia"/>
          <w:color w:val="000000" w:themeColor="text1"/>
        </w:rPr>
        <w:t>。</w:t>
      </w:r>
    </w:p>
    <w:p w14:paraId="7C9A154E" w14:textId="77777777" w:rsidR="00A67F21" w:rsidRPr="00B12FE0" w:rsidRDefault="00000000">
      <w:pPr>
        <w:snapToGrid w:val="0"/>
        <w:spacing w:line="360" w:lineRule="auto"/>
        <w:contextualSpacing/>
        <w:outlineLvl w:val="3"/>
        <w:rPr>
          <w:b/>
          <w:color w:val="000000" w:themeColor="text1"/>
        </w:rPr>
      </w:pPr>
      <w:r w:rsidRPr="00B12FE0">
        <w:rPr>
          <w:rFonts w:hint="eastAsia"/>
          <w:b/>
          <w:color w:val="000000" w:themeColor="text1"/>
        </w:rPr>
        <w:t xml:space="preserve">9.2.1.3 </w:t>
      </w:r>
      <w:r w:rsidRPr="00B12FE0">
        <w:rPr>
          <w:rFonts w:hint="eastAsia"/>
          <w:b/>
          <w:color w:val="000000" w:themeColor="text1"/>
        </w:rPr>
        <w:t>核医学核素治疗场所污染源项分析</w:t>
      </w:r>
    </w:p>
    <w:p w14:paraId="3E305369" w14:textId="77777777" w:rsidR="00A67F21" w:rsidRPr="00B12FE0" w:rsidRDefault="00000000">
      <w:pPr>
        <w:widowControl/>
        <w:topLinePunct/>
        <w:adjustRightInd w:val="0"/>
        <w:snapToGrid w:val="0"/>
        <w:spacing w:line="360" w:lineRule="auto"/>
        <w:ind w:firstLineChars="200" w:firstLine="482"/>
        <w:contextualSpacing/>
        <w:rPr>
          <w:b/>
          <w:bCs/>
          <w:color w:val="000000" w:themeColor="text1"/>
          <w:szCs w:val="24"/>
        </w:rPr>
      </w:pPr>
      <w:r w:rsidRPr="00B12FE0">
        <w:rPr>
          <w:rFonts w:ascii="宋体" w:hAnsi="宋体" w:hint="eastAsia"/>
          <w:b/>
          <w:bCs/>
          <w:color w:val="000000" w:themeColor="text1"/>
          <w:szCs w:val="24"/>
        </w:rPr>
        <w:t>（</w:t>
      </w:r>
      <w:r w:rsidRPr="00B12FE0">
        <w:rPr>
          <w:rFonts w:hint="eastAsia"/>
          <w:b/>
          <w:bCs/>
          <w:color w:val="000000" w:themeColor="text1"/>
          <w:szCs w:val="24"/>
        </w:rPr>
        <w:t>1</w:t>
      </w:r>
      <w:r w:rsidRPr="00B12FE0">
        <w:rPr>
          <w:rFonts w:ascii="宋体" w:hAnsi="宋体" w:hint="eastAsia"/>
          <w:b/>
          <w:bCs/>
          <w:color w:val="000000" w:themeColor="text1"/>
          <w:szCs w:val="24"/>
        </w:rPr>
        <w:t>）</w:t>
      </w:r>
      <w:r w:rsidRPr="00B12FE0">
        <w:rPr>
          <w:b/>
          <w:bCs/>
          <w:color w:val="000000" w:themeColor="text1"/>
          <w:szCs w:val="24"/>
        </w:rPr>
        <w:t>γ</w:t>
      </w:r>
      <w:r w:rsidRPr="00B12FE0">
        <w:rPr>
          <w:rFonts w:ascii="宋体" w:hAnsi="宋体"/>
          <w:b/>
          <w:bCs/>
          <w:color w:val="000000" w:themeColor="text1"/>
          <w:szCs w:val="24"/>
        </w:rPr>
        <w:t>射线</w:t>
      </w:r>
      <w:r w:rsidRPr="00B12FE0">
        <w:rPr>
          <w:rFonts w:ascii="宋体" w:hAnsi="宋体" w:hint="eastAsia"/>
          <w:b/>
          <w:bCs/>
          <w:color w:val="000000" w:themeColor="text1"/>
          <w:szCs w:val="24"/>
        </w:rPr>
        <w:t>和</w:t>
      </w:r>
      <w:r w:rsidRPr="00B12FE0">
        <w:rPr>
          <w:b/>
          <w:bCs/>
          <w:color w:val="000000" w:themeColor="text1"/>
          <w:szCs w:val="24"/>
        </w:rPr>
        <w:t>β</w:t>
      </w:r>
      <w:r w:rsidRPr="00B12FE0">
        <w:rPr>
          <w:rFonts w:ascii="宋体" w:hAnsi="宋体" w:hint="eastAsia"/>
          <w:b/>
          <w:bCs/>
          <w:color w:val="000000" w:themeColor="text1"/>
          <w:szCs w:val="24"/>
        </w:rPr>
        <w:t>射线</w:t>
      </w:r>
    </w:p>
    <w:p w14:paraId="5EFCC992"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color w:val="000000" w:themeColor="text1"/>
          <w:szCs w:val="24"/>
        </w:rPr>
        <w:t>在</w:t>
      </w:r>
      <w:r w:rsidRPr="00B12FE0">
        <w:rPr>
          <w:rFonts w:ascii="宋体" w:hAnsi="宋体" w:hint="eastAsia"/>
          <w:color w:val="000000" w:themeColor="text1"/>
          <w:szCs w:val="24"/>
        </w:rPr>
        <w:t>放射性药物操作，病人服药</w:t>
      </w:r>
      <w:r w:rsidRPr="00B12FE0">
        <w:rPr>
          <w:rFonts w:ascii="宋体" w:hAnsi="宋体"/>
          <w:color w:val="000000" w:themeColor="text1"/>
          <w:szCs w:val="24"/>
        </w:rPr>
        <w:t>后</w:t>
      </w:r>
      <w:r w:rsidRPr="00B12FE0">
        <w:rPr>
          <w:rFonts w:ascii="宋体" w:hAnsi="宋体" w:hint="eastAsia"/>
          <w:color w:val="000000" w:themeColor="text1"/>
          <w:szCs w:val="24"/>
        </w:rPr>
        <w:t>住院</w:t>
      </w:r>
      <w:r w:rsidRPr="00B12FE0">
        <w:rPr>
          <w:rFonts w:ascii="宋体" w:hAnsi="宋体"/>
          <w:color w:val="000000" w:themeColor="text1"/>
          <w:szCs w:val="24"/>
        </w:rPr>
        <w:t>等过程中产生的</w:t>
      </w:r>
      <w:r w:rsidRPr="00B12FE0">
        <w:rPr>
          <w:color w:val="000000" w:themeColor="text1"/>
          <w:szCs w:val="24"/>
        </w:rPr>
        <w:t>γ</w:t>
      </w:r>
      <w:r w:rsidRPr="00B12FE0">
        <w:rPr>
          <w:rFonts w:ascii="宋体" w:hAnsi="宋体"/>
          <w:color w:val="000000" w:themeColor="text1"/>
          <w:szCs w:val="24"/>
        </w:rPr>
        <w:t>射线</w:t>
      </w:r>
      <w:r w:rsidRPr="00B12FE0">
        <w:rPr>
          <w:rFonts w:ascii="宋体" w:hAnsi="宋体" w:hint="eastAsia"/>
          <w:color w:val="000000" w:themeColor="text1"/>
          <w:szCs w:val="24"/>
        </w:rPr>
        <w:t>及</w:t>
      </w:r>
      <w:r w:rsidRPr="00B12FE0">
        <w:rPr>
          <w:color w:val="000000" w:themeColor="text1"/>
          <w:szCs w:val="24"/>
        </w:rPr>
        <w:t>β</w:t>
      </w:r>
      <w:r w:rsidRPr="00B12FE0">
        <w:rPr>
          <w:rFonts w:ascii="宋体" w:hAnsi="宋体" w:hint="eastAsia"/>
          <w:color w:val="000000" w:themeColor="text1"/>
          <w:szCs w:val="24"/>
        </w:rPr>
        <w:t>射线</w:t>
      </w:r>
      <w:r w:rsidRPr="00B12FE0">
        <w:rPr>
          <w:rFonts w:ascii="宋体" w:hAnsi="宋体"/>
          <w:bCs/>
          <w:color w:val="000000" w:themeColor="text1"/>
          <w:szCs w:val="24"/>
        </w:rPr>
        <w:t>。</w:t>
      </w:r>
    </w:p>
    <w:p w14:paraId="22CDCB7E" w14:textId="77777777" w:rsidR="00A67F21" w:rsidRPr="00B12FE0" w:rsidRDefault="00000000">
      <w:pPr>
        <w:widowControl/>
        <w:topLinePunct/>
        <w:adjustRightInd w:val="0"/>
        <w:snapToGrid w:val="0"/>
        <w:spacing w:line="360" w:lineRule="auto"/>
        <w:ind w:firstLineChars="200" w:firstLine="482"/>
        <w:contextualSpacing/>
        <w:rPr>
          <w:b/>
          <w:bCs/>
          <w:color w:val="000000" w:themeColor="text1"/>
          <w:szCs w:val="24"/>
        </w:rPr>
      </w:pPr>
      <w:r w:rsidRPr="00B12FE0">
        <w:rPr>
          <w:rFonts w:ascii="宋体" w:hAnsi="宋体" w:hint="eastAsia"/>
          <w:b/>
          <w:bCs/>
          <w:color w:val="000000" w:themeColor="text1"/>
          <w:szCs w:val="24"/>
        </w:rPr>
        <w:t>（</w:t>
      </w:r>
      <w:r w:rsidRPr="00B12FE0">
        <w:rPr>
          <w:rFonts w:hint="eastAsia"/>
          <w:b/>
          <w:bCs/>
          <w:color w:val="000000" w:themeColor="text1"/>
          <w:szCs w:val="24"/>
        </w:rPr>
        <w:t>2</w:t>
      </w:r>
      <w:r w:rsidRPr="00B12FE0">
        <w:rPr>
          <w:rFonts w:ascii="宋体" w:hAnsi="宋体" w:hint="eastAsia"/>
          <w:b/>
          <w:bCs/>
          <w:color w:val="000000" w:themeColor="text1"/>
          <w:szCs w:val="24"/>
        </w:rPr>
        <w:t>）</w:t>
      </w:r>
      <w:r w:rsidRPr="00B12FE0">
        <w:rPr>
          <w:b/>
          <w:bCs/>
          <w:color w:val="000000" w:themeColor="text1"/>
          <w:szCs w:val="24"/>
        </w:rPr>
        <w:t>β</w:t>
      </w:r>
      <w:r w:rsidRPr="00B12FE0">
        <w:rPr>
          <w:rFonts w:ascii="宋体" w:hAnsi="宋体"/>
          <w:b/>
          <w:bCs/>
          <w:color w:val="000000" w:themeColor="text1"/>
          <w:szCs w:val="24"/>
        </w:rPr>
        <w:t>表面污染</w:t>
      </w:r>
    </w:p>
    <w:p w14:paraId="4C04785D" w14:textId="77777777" w:rsidR="00A67F21" w:rsidRPr="00B12FE0" w:rsidRDefault="00000000">
      <w:pPr>
        <w:widowControl/>
        <w:topLinePunct/>
        <w:adjustRightInd w:val="0"/>
        <w:snapToGrid w:val="0"/>
        <w:spacing w:line="360" w:lineRule="auto"/>
        <w:ind w:firstLineChars="200" w:firstLine="480"/>
        <w:contextualSpacing/>
        <w:rPr>
          <w:rFonts w:hAnsi="宋体" w:hint="eastAsia"/>
          <w:color w:val="000000" w:themeColor="text1"/>
          <w:szCs w:val="24"/>
        </w:rPr>
      </w:pPr>
      <w:r w:rsidRPr="00B12FE0">
        <w:rPr>
          <w:rFonts w:ascii="宋体" w:hAnsi="宋体"/>
          <w:color w:val="000000" w:themeColor="text1"/>
          <w:szCs w:val="24"/>
        </w:rPr>
        <w:t>医生在对放射性</w:t>
      </w:r>
      <w:r w:rsidRPr="00B12FE0">
        <w:rPr>
          <w:rFonts w:ascii="宋体" w:hAnsi="宋体" w:hint="eastAsia"/>
          <w:color w:val="000000" w:themeColor="text1"/>
          <w:szCs w:val="24"/>
        </w:rPr>
        <w:t>药物</w:t>
      </w:r>
      <w:r w:rsidRPr="00B12FE0">
        <w:rPr>
          <w:rFonts w:ascii="宋体" w:hAnsi="宋体"/>
          <w:color w:val="000000" w:themeColor="text1"/>
          <w:szCs w:val="24"/>
        </w:rPr>
        <w:t>的操作中，会引起工作台、工作服和手套等产生放射性</w:t>
      </w:r>
      <w:proofErr w:type="gramStart"/>
      <w:r w:rsidRPr="00B12FE0">
        <w:rPr>
          <w:rFonts w:ascii="宋体" w:hAnsi="宋体"/>
          <w:color w:val="000000" w:themeColor="text1"/>
          <w:szCs w:val="24"/>
        </w:rPr>
        <w:t>沾污</w:t>
      </w:r>
      <w:proofErr w:type="gramEnd"/>
      <w:r w:rsidRPr="00B12FE0">
        <w:rPr>
          <w:rFonts w:ascii="宋体" w:hAnsi="宋体"/>
          <w:color w:val="000000" w:themeColor="text1"/>
          <w:szCs w:val="24"/>
        </w:rPr>
        <w:t>，造成小面积的</w:t>
      </w:r>
      <w:r w:rsidRPr="00B12FE0">
        <w:rPr>
          <w:color w:val="000000" w:themeColor="text1"/>
          <w:szCs w:val="24"/>
        </w:rPr>
        <w:t>β</w:t>
      </w:r>
      <w:r w:rsidRPr="00B12FE0">
        <w:rPr>
          <w:rFonts w:ascii="宋体" w:hAnsi="宋体"/>
          <w:color w:val="000000" w:themeColor="text1"/>
          <w:szCs w:val="24"/>
        </w:rPr>
        <w:t>表面污染。</w:t>
      </w:r>
    </w:p>
    <w:p w14:paraId="628A6E96" w14:textId="77777777" w:rsidR="00A67F21" w:rsidRPr="00B12FE0" w:rsidRDefault="00000000">
      <w:pPr>
        <w:widowControl/>
        <w:topLinePunct/>
        <w:adjustRightInd w:val="0"/>
        <w:snapToGrid w:val="0"/>
        <w:spacing w:line="360" w:lineRule="auto"/>
        <w:ind w:firstLineChars="200" w:firstLine="482"/>
        <w:contextualSpacing/>
        <w:rPr>
          <w:rFonts w:cs="宋体"/>
          <w:b/>
          <w:bCs/>
          <w:color w:val="000000" w:themeColor="text1"/>
        </w:rPr>
      </w:pPr>
      <w:r w:rsidRPr="00B12FE0">
        <w:rPr>
          <w:rFonts w:hAnsi="宋体" w:cs="宋体" w:hint="eastAsia"/>
          <w:b/>
          <w:bCs/>
          <w:color w:val="000000" w:themeColor="text1"/>
        </w:rPr>
        <w:t>（</w:t>
      </w:r>
      <w:r w:rsidRPr="00B12FE0">
        <w:rPr>
          <w:rFonts w:hAnsi="宋体" w:cs="宋体"/>
          <w:b/>
          <w:bCs/>
          <w:color w:val="000000" w:themeColor="text1"/>
        </w:rPr>
        <w:t>3</w:t>
      </w:r>
      <w:r w:rsidRPr="00B12FE0">
        <w:rPr>
          <w:rFonts w:hAnsi="宋体" w:cs="宋体" w:hint="eastAsia"/>
          <w:b/>
          <w:bCs/>
          <w:color w:val="000000" w:themeColor="text1"/>
        </w:rPr>
        <w:t>）放射性废气</w:t>
      </w:r>
    </w:p>
    <w:p w14:paraId="73C1526C" w14:textId="77777777" w:rsidR="00A67F21" w:rsidRPr="00B12FE0" w:rsidRDefault="00000000">
      <w:pPr>
        <w:snapToGrid w:val="0"/>
        <w:spacing w:line="360" w:lineRule="auto"/>
        <w:ind w:firstLine="480"/>
        <w:rPr>
          <w:rFonts w:cs="宋体"/>
          <w:color w:val="000000" w:themeColor="text1"/>
        </w:rPr>
      </w:pPr>
      <w:r w:rsidRPr="00B12FE0">
        <w:rPr>
          <w:rFonts w:hAnsi="宋体" w:cs="宋体"/>
          <w:color w:val="000000" w:themeColor="text1"/>
        </w:rPr>
        <w:t>放射性药物</w:t>
      </w:r>
      <w:r w:rsidRPr="00B12FE0">
        <w:rPr>
          <w:rFonts w:hAnsi="宋体" w:cs="宋体" w:hint="eastAsia"/>
          <w:color w:val="000000" w:themeColor="text1"/>
        </w:rPr>
        <w:t>在</w:t>
      </w:r>
      <w:r w:rsidRPr="00B12FE0">
        <w:rPr>
          <w:rFonts w:ascii="宋体" w:hAnsi="宋体" w:cs="宋体" w:hint="eastAsia"/>
          <w:color w:val="000000" w:themeColor="text1"/>
          <w:szCs w:val="24"/>
        </w:rPr>
        <w:t>分装、活度测量和</w:t>
      </w:r>
      <w:r w:rsidRPr="00B12FE0">
        <w:rPr>
          <w:rFonts w:cs="宋体" w:hint="eastAsia"/>
          <w:color w:val="000000" w:themeColor="text1"/>
          <w:szCs w:val="24"/>
        </w:rPr>
        <w:t>给药过程中，</w:t>
      </w:r>
      <w:r w:rsidRPr="00B12FE0">
        <w:rPr>
          <w:rFonts w:hAnsi="宋体" w:cs="宋体"/>
          <w:color w:val="000000" w:themeColor="text1"/>
        </w:rPr>
        <w:t>药物</w:t>
      </w:r>
      <w:r w:rsidRPr="00B12FE0">
        <w:rPr>
          <w:rFonts w:hAnsi="宋体" w:cs="宋体" w:hint="eastAsia"/>
          <w:color w:val="000000" w:themeColor="text1"/>
        </w:rPr>
        <w:t>挥发产生</w:t>
      </w:r>
      <w:r w:rsidRPr="00B12FE0">
        <w:rPr>
          <w:rFonts w:hAnsi="宋体" w:cs="宋体"/>
          <w:color w:val="000000" w:themeColor="text1"/>
        </w:rPr>
        <w:t>含放射性核素的废气</w:t>
      </w:r>
      <w:r w:rsidRPr="00B12FE0">
        <w:rPr>
          <w:rFonts w:hAnsi="宋体" w:cs="宋体" w:hint="eastAsia"/>
          <w:color w:val="000000" w:themeColor="text1"/>
        </w:rPr>
        <w:t>。</w:t>
      </w:r>
    </w:p>
    <w:p w14:paraId="5A83E295" w14:textId="77777777" w:rsidR="00A67F21" w:rsidRPr="00B12FE0" w:rsidRDefault="00000000">
      <w:pPr>
        <w:widowControl/>
        <w:topLinePunct/>
        <w:adjustRightInd w:val="0"/>
        <w:snapToGrid w:val="0"/>
        <w:spacing w:line="360" w:lineRule="auto"/>
        <w:ind w:firstLineChars="200" w:firstLine="482"/>
        <w:contextualSpacing/>
        <w:rPr>
          <w:rFonts w:cs="宋体"/>
          <w:b/>
          <w:bCs/>
          <w:color w:val="000000" w:themeColor="text1"/>
        </w:rPr>
      </w:pPr>
      <w:r w:rsidRPr="00B12FE0">
        <w:rPr>
          <w:rFonts w:hAnsi="宋体" w:cs="宋体" w:hint="eastAsia"/>
          <w:b/>
          <w:bCs/>
          <w:color w:val="000000" w:themeColor="text1"/>
        </w:rPr>
        <w:t>（</w:t>
      </w:r>
      <w:r w:rsidRPr="00B12FE0">
        <w:rPr>
          <w:rFonts w:hAnsi="宋体" w:cs="宋体"/>
          <w:b/>
          <w:bCs/>
          <w:color w:val="000000" w:themeColor="text1"/>
        </w:rPr>
        <w:t>4</w:t>
      </w:r>
      <w:r w:rsidRPr="00B12FE0">
        <w:rPr>
          <w:rFonts w:hAnsi="宋体" w:cs="宋体" w:hint="eastAsia"/>
          <w:b/>
          <w:bCs/>
          <w:color w:val="000000" w:themeColor="text1"/>
        </w:rPr>
        <w:t>）放射性废水</w:t>
      </w:r>
    </w:p>
    <w:p w14:paraId="109856F5" w14:textId="77777777" w:rsidR="00A67F21" w:rsidRPr="00B12FE0" w:rsidRDefault="00000000">
      <w:pPr>
        <w:widowControl/>
        <w:topLinePunct/>
        <w:adjustRightInd w:val="0"/>
        <w:snapToGrid w:val="0"/>
        <w:spacing w:line="360" w:lineRule="auto"/>
        <w:ind w:firstLineChars="200" w:firstLine="480"/>
        <w:contextualSpacing/>
        <w:rPr>
          <w:rFonts w:hAnsi="宋体" w:cs="宋体" w:hint="eastAsia"/>
          <w:color w:val="000000" w:themeColor="text1"/>
        </w:rPr>
      </w:pPr>
      <w:r w:rsidRPr="00B12FE0">
        <w:rPr>
          <w:rFonts w:hAnsi="宋体" w:cs="宋体" w:hint="eastAsia"/>
          <w:color w:val="000000" w:themeColor="text1"/>
        </w:rPr>
        <w:t>放射性废水主要为</w:t>
      </w:r>
      <w:r w:rsidRPr="00B12FE0">
        <w:rPr>
          <w:rFonts w:cs="宋体" w:hint="eastAsia"/>
          <w:color w:val="000000" w:themeColor="text1"/>
        </w:rPr>
        <w:t>患者注射放射性药物后产生的排泄物及冲洗水等含有放射性核素的废水，核医学科工作人员完成放射性药物操作后清洗去污的废水，核医学科工作场所清洗及应急洗</w:t>
      </w:r>
      <w:proofErr w:type="gramStart"/>
      <w:r w:rsidRPr="00B12FE0">
        <w:rPr>
          <w:rFonts w:cs="宋体" w:hint="eastAsia"/>
          <w:color w:val="000000" w:themeColor="text1"/>
        </w:rPr>
        <w:t>消产生</w:t>
      </w:r>
      <w:proofErr w:type="gramEnd"/>
      <w:r w:rsidRPr="00B12FE0">
        <w:rPr>
          <w:rFonts w:cs="宋体" w:hint="eastAsia"/>
          <w:color w:val="000000" w:themeColor="text1"/>
        </w:rPr>
        <w:t>的可能含放射性物质的废水。</w:t>
      </w:r>
    </w:p>
    <w:p w14:paraId="3F4CACE7"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color w:val="000000" w:themeColor="text1"/>
        </w:rPr>
        <w:t>参考</w:t>
      </w:r>
      <w:r w:rsidRPr="00B12FE0">
        <w:rPr>
          <w:rFonts w:cs="宋体" w:hint="eastAsia"/>
          <w:color w:val="000000" w:themeColor="text1"/>
        </w:rPr>
        <w:t>《综合医院建筑设计规范》</w:t>
      </w:r>
      <w:r w:rsidRPr="00B12FE0">
        <w:rPr>
          <w:rFonts w:cs="宋体"/>
          <w:color w:val="000000" w:themeColor="text1"/>
        </w:rPr>
        <w:t>（</w:t>
      </w:r>
      <w:r w:rsidRPr="00B12FE0">
        <w:rPr>
          <w:rFonts w:cs="宋体" w:hint="eastAsia"/>
          <w:color w:val="000000" w:themeColor="text1"/>
        </w:rPr>
        <w:t>GB51039-2014</w:t>
      </w:r>
      <w:r w:rsidRPr="00B12FE0">
        <w:rPr>
          <w:rFonts w:cs="宋体"/>
          <w:color w:val="000000" w:themeColor="text1"/>
        </w:rPr>
        <w:t>），</w:t>
      </w:r>
      <w:r w:rsidRPr="00B12FE0">
        <w:rPr>
          <w:rFonts w:cs="宋体" w:hint="eastAsia"/>
          <w:color w:val="000000" w:themeColor="text1"/>
        </w:rPr>
        <w:t>住院</w:t>
      </w:r>
      <w:r w:rsidRPr="00B12FE0">
        <w:rPr>
          <w:rFonts w:cs="宋体"/>
          <w:color w:val="000000" w:themeColor="text1"/>
        </w:rPr>
        <w:t>患者每人次用水定额取</w:t>
      </w:r>
      <w:r w:rsidRPr="00B12FE0">
        <w:rPr>
          <w:rFonts w:cs="宋体" w:hint="eastAsia"/>
          <w:color w:val="000000" w:themeColor="text1"/>
        </w:rPr>
        <w:t>150</w:t>
      </w:r>
      <w:r w:rsidRPr="00B12FE0">
        <w:rPr>
          <w:rFonts w:cs="宋体"/>
          <w:color w:val="000000" w:themeColor="text1"/>
        </w:rPr>
        <w:t>L/</w:t>
      </w:r>
      <w:r w:rsidRPr="00B12FE0">
        <w:rPr>
          <w:rFonts w:cs="宋体" w:hint="eastAsia"/>
          <w:color w:val="000000" w:themeColor="text1"/>
        </w:rPr>
        <w:t>d</w:t>
      </w:r>
      <w:r w:rsidRPr="00B12FE0">
        <w:rPr>
          <w:rFonts w:cs="宋体" w:hint="eastAsia"/>
          <w:color w:val="000000" w:themeColor="text1"/>
        </w:rPr>
        <w:t>，</w:t>
      </w:r>
      <w:r w:rsidRPr="00B12FE0">
        <w:rPr>
          <w:rFonts w:cs="宋体" w:hint="eastAsia"/>
          <w:color w:val="000000" w:themeColor="text1"/>
          <w:lang w:val="pt-BR"/>
        </w:rPr>
        <w:t>根据现有核医学科核素治疗场所病房的设计，核医学科核素治疗场所共</w:t>
      </w:r>
      <w:r w:rsidRPr="00B12FE0">
        <w:rPr>
          <w:rFonts w:cs="宋体" w:hint="eastAsia"/>
          <w:color w:val="000000" w:themeColor="text1"/>
          <w:lang w:val="pt-BR"/>
        </w:rPr>
        <w:t>8</w:t>
      </w:r>
      <w:r w:rsidRPr="00B12FE0">
        <w:rPr>
          <w:rFonts w:cs="宋体" w:hint="eastAsia"/>
          <w:color w:val="000000" w:themeColor="text1"/>
          <w:lang w:val="pt-BR"/>
        </w:rPr>
        <w:t>间单人病房，</w:t>
      </w:r>
      <w:r w:rsidRPr="00B12FE0">
        <w:rPr>
          <w:rFonts w:cs="宋体" w:hint="eastAsia"/>
          <w:color w:val="000000" w:themeColor="text1"/>
          <w:lang w:eastAsia="zh-Hans"/>
        </w:rPr>
        <w:t>按</w:t>
      </w:r>
      <w:r w:rsidRPr="00B12FE0">
        <w:rPr>
          <w:rFonts w:cs="宋体" w:hint="eastAsia"/>
          <w:color w:val="000000" w:themeColor="text1"/>
          <w:lang w:val="pt-BR"/>
        </w:rPr>
        <w:t>每周</w:t>
      </w:r>
      <w:proofErr w:type="gramStart"/>
      <w:r w:rsidRPr="00B12FE0">
        <w:rPr>
          <w:rFonts w:cs="宋体" w:hint="eastAsia"/>
          <w:color w:val="000000" w:themeColor="text1"/>
          <w:lang w:val="pt-BR"/>
        </w:rPr>
        <w:t>8</w:t>
      </w:r>
      <w:r w:rsidRPr="00B12FE0">
        <w:rPr>
          <w:rFonts w:cs="宋体" w:hint="eastAsia"/>
          <w:color w:val="000000" w:themeColor="text1"/>
          <w:lang w:val="pt-BR"/>
        </w:rPr>
        <w:t>名甲癌患者</w:t>
      </w:r>
      <w:proofErr w:type="gramEnd"/>
      <w:r w:rsidRPr="00B12FE0">
        <w:rPr>
          <w:rFonts w:cs="宋体" w:hint="eastAsia"/>
          <w:color w:val="000000" w:themeColor="text1"/>
          <w:lang w:val="pt-BR"/>
        </w:rPr>
        <w:t>住院</w:t>
      </w:r>
      <w:r w:rsidRPr="00B12FE0">
        <w:rPr>
          <w:rFonts w:cs="宋体" w:hint="eastAsia"/>
          <w:color w:val="000000" w:themeColor="text1"/>
          <w:lang w:val="pt-BR"/>
        </w:rPr>
        <w:t>5</w:t>
      </w:r>
      <w:r w:rsidRPr="00B12FE0">
        <w:rPr>
          <w:rFonts w:cs="宋体" w:hint="eastAsia"/>
          <w:color w:val="000000" w:themeColor="text1"/>
          <w:lang w:val="pt-BR"/>
        </w:rPr>
        <w:t>天</w:t>
      </w:r>
      <w:r w:rsidRPr="00B12FE0">
        <w:rPr>
          <w:rFonts w:cs="宋体" w:hint="eastAsia"/>
          <w:color w:val="000000" w:themeColor="text1"/>
          <w:lang w:eastAsia="zh-Hans"/>
        </w:rPr>
        <w:t>考虑</w:t>
      </w:r>
      <w:r w:rsidRPr="00B12FE0">
        <w:rPr>
          <w:rFonts w:cs="宋体" w:hint="eastAsia"/>
          <w:color w:val="000000" w:themeColor="text1"/>
        </w:rPr>
        <w:t>，</w:t>
      </w:r>
      <w:proofErr w:type="gramStart"/>
      <w:r w:rsidRPr="00B12FE0">
        <w:rPr>
          <w:rFonts w:cs="宋体" w:hint="eastAsia"/>
          <w:color w:val="000000" w:themeColor="text1"/>
        </w:rPr>
        <w:t>则甲癌患者</w:t>
      </w:r>
      <w:proofErr w:type="gramEnd"/>
      <w:r w:rsidRPr="00B12FE0">
        <w:rPr>
          <w:rFonts w:cs="宋体"/>
          <w:color w:val="000000" w:themeColor="text1"/>
        </w:rPr>
        <w:t>废水产生量为</w:t>
      </w:r>
      <w:r w:rsidRPr="00B12FE0">
        <w:rPr>
          <w:rFonts w:cs="宋体" w:hint="eastAsia"/>
          <w:color w:val="000000" w:themeColor="text1"/>
        </w:rPr>
        <w:t>6</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w:t>
      </w:r>
      <w:r w:rsidRPr="00B12FE0">
        <w:rPr>
          <w:rFonts w:cs="宋体" w:hint="eastAsia"/>
          <w:color w:val="000000" w:themeColor="text1"/>
        </w:rPr>
        <w:t>周；</w:t>
      </w:r>
      <w:r w:rsidRPr="00B12FE0">
        <w:rPr>
          <w:rFonts w:cs="宋体"/>
          <w:color w:val="000000" w:themeColor="text1"/>
        </w:rPr>
        <w:t>辐射工作人员每</w:t>
      </w:r>
      <w:r w:rsidRPr="00B12FE0">
        <w:rPr>
          <w:rFonts w:cs="宋体" w:hint="eastAsia"/>
          <w:color w:val="000000" w:themeColor="text1"/>
        </w:rPr>
        <w:t>日</w:t>
      </w:r>
      <w:r w:rsidRPr="00B12FE0">
        <w:rPr>
          <w:rFonts w:cs="宋体"/>
          <w:color w:val="000000" w:themeColor="text1"/>
        </w:rPr>
        <w:t>去污共产生废水</w:t>
      </w:r>
      <w:r w:rsidRPr="00B12FE0">
        <w:rPr>
          <w:rFonts w:cs="宋体" w:hint="eastAsia"/>
          <w:color w:val="000000" w:themeColor="text1"/>
        </w:rPr>
        <w:t>0.1m</w:t>
      </w:r>
      <w:r w:rsidRPr="00B12FE0">
        <w:rPr>
          <w:rFonts w:cs="宋体" w:hint="eastAsia"/>
          <w:color w:val="000000" w:themeColor="text1"/>
          <w:vertAlign w:val="superscript"/>
        </w:rPr>
        <w:t>3</w:t>
      </w:r>
      <w:r w:rsidRPr="00B12FE0">
        <w:rPr>
          <w:rFonts w:cs="宋体" w:hint="eastAsia"/>
          <w:color w:val="000000" w:themeColor="text1"/>
        </w:rPr>
        <w:t>/d</w:t>
      </w:r>
      <w:r w:rsidRPr="00B12FE0">
        <w:rPr>
          <w:rFonts w:cs="宋体" w:hint="eastAsia"/>
          <w:color w:val="000000" w:themeColor="text1"/>
        </w:rPr>
        <w:t>（</w:t>
      </w:r>
      <w:r w:rsidRPr="00B12FE0">
        <w:rPr>
          <w:rFonts w:cs="宋体" w:hint="eastAsia"/>
          <w:color w:val="000000" w:themeColor="text1"/>
        </w:rPr>
        <w:t>0.7</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w:t>
      </w:r>
      <w:r w:rsidRPr="00B12FE0">
        <w:rPr>
          <w:rFonts w:cs="宋体" w:hint="eastAsia"/>
          <w:color w:val="000000" w:themeColor="text1"/>
        </w:rPr>
        <w:t>周）</w:t>
      </w:r>
      <w:r w:rsidRPr="00B12FE0">
        <w:rPr>
          <w:rFonts w:cs="宋体"/>
          <w:color w:val="000000" w:themeColor="text1"/>
        </w:rPr>
        <w:t>；核素治疗场所每日清洗</w:t>
      </w:r>
      <w:r w:rsidRPr="00B12FE0">
        <w:rPr>
          <w:rFonts w:cs="宋体" w:hint="eastAsia"/>
          <w:color w:val="000000" w:themeColor="text1"/>
        </w:rPr>
        <w:t>和应急洗消共产生</w:t>
      </w:r>
      <w:r w:rsidRPr="00B12FE0">
        <w:rPr>
          <w:rFonts w:cs="宋体"/>
          <w:color w:val="000000" w:themeColor="text1"/>
        </w:rPr>
        <w:t>废水</w:t>
      </w:r>
      <w:r w:rsidRPr="00B12FE0">
        <w:rPr>
          <w:rFonts w:cs="宋体" w:hint="eastAsia"/>
          <w:color w:val="000000" w:themeColor="text1"/>
        </w:rPr>
        <w:t>按</w:t>
      </w:r>
      <w:r w:rsidRPr="00B12FE0">
        <w:rPr>
          <w:rFonts w:cs="宋体" w:hint="eastAsia"/>
          <w:color w:val="000000" w:themeColor="text1"/>
        </w:rPr>
        <w:t>0.1</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w:t>
      </w:r>
      <w:r w:rsidRPr="00B12FE0">
        <w:rPr>
          <w:rFonts w:cs="宋体" w:hint="eastAsia"/>
          <w:color w:val="000000" w:themeColor="text1"/>
        </w:rPr>
        <w:t>d</w:t>
      </w:r>
      <w:r w:rsidRPr="00B12FE0">
        <w:rPr>
          <w:rFonts w:cs="宋体" w:hint="eastAsia"/>
          <w:color w:val="000000" w:themeColor="text1"/>
        </w:rPr>
        <w:t>（</w:t>
      </w:r>
      <w:r w:rsidRPr="00B12FE0">
        <w:rPr>
          <w:rFonts w:cs="宋体" w:hint="eastAsia"/>
          <w:color w:val="000000" w:themeColor="text1"/>
        </w:rPr>
        <w:t>0.7</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w:t>
      </w:r>
      <w:r w:rsidRPr="00B12FE0">
        <w:rPr>
          <w:rFonts w:cs="宋体" w:hint="eastAsia"/>
          <w:color w:val="000000" w:themeColor="text1"/>
        </w:rPr>
        <w:t>周）</w:t>
      </w:r>
      <w:r w:rsidRPr="00B12FE0">
        <w:rPr>
          <w:rFonts w:ascii="宋体" w:hAnsi="宋体" w:cs="宋体" w:hint="eastAsia"/>
          <w:color w:val="000000" w:themeColor="text1"/>
        </w:rPr>
        <w:t>。</w:t>
      </w:r>
      <w:r w:rsidRPr="00B12FE0">
        <w:rPr>
          <w:rFonts w:cs="宋体"/>
          <w:color w:val="000000" w:themeColor="text1"/>
        </w:rPr>
        <w:t>则核医学科</w:t>
      </w:r>
      <w:r w:rsidRPr="00B12FE0">
        <w:rPr>
          <w:rFonts w:cs="宋体" w:hint="eastAsia"/>
          <w:color w:val="000000" w:themeColor="text1"/>
        </w:rPr>
        <w:t>核素治疗场所</w:t>
      </w:r>
      <w:r w:rsidRPr="00B12FE0">
        <w:rPr>
          <w:rFonts w:cs="宋体"/>
          <w:color w:val="000000" w:themeColor="text1"/>
        </w:rPr>
        <w:t>废水产生量为</w:t>
      </w:r>
      <w:r w:rsidRPr="00B12FE0">
        <w:rPr>
          <w:rFonts w:cs="宋体" w:hint="eastAsia"/>
          <w:color w:val="000000" w:themeColor="text1"/>
        </w:rPr>
        <w:t>7.4</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w:t>
      </w:r>
      <w:r w:rsidRPr="00B12FE0">
        <w:rPr>
          <w:rFonts w:cs="宋体" w:hint="eastAsia"/>
          <w:color w:val="000000" w:themeColor="text1"/>
        </w:rPr>
        <w:t>周，</w:t>
      </w:r>
      <w:r w:rsidRPr="00B12FE0">
        <w:rPr>
          <w:rFonts w:cs="宋体" w:hint="eastAsia"/>
          <w:color w:val="000000" w:themeColor="text1"/>
        </w:rPr>
        <w:t>370</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w:t>
      </w:r>
      <w:r w:rsidRPr="00B12FE0">
        <w:rPr>
          <w:rFonts w:cs="宋体" w:hint="eastAsia"/>
          <w:color w:val="000000" w:themeColor="text1"/>
        </w:rPr>
        <w:t>a</w:t>
      </w:r>
      <w:r w:rsidRPr="00B12FE0">
        <w:rPr>
          <w:rFonts w:ascii="宋体" w:hAnsi="宋体" w:cs="宋体" w:hint="eastAsia"/>
          <w:color w:val="000000" w:themeColor="text1"/>
        </w:rPr>
        <w:t>。</w:t>
      </w:r>
    </w:p>
    <w:p w14:paraId="7B91E0B9" w14:textId="77777777" w:rsidR="00A67F21" w:rsidRPr="00B12FE0" w:rsidRDefault="00000000">
      <w:pPr>
        <w:spacing w:line="360" w:lineRule="auto"/>
        <w:ind w:firstLineChars="200" w:firstLine="482"/>
        <w:rPr>
          <w:b/>
          <w:color w:val="000000" w:themeColor="text1"/>
          <w:szCs w:val="24"/>
        </w:rPr>
      </w:pPr>
      <w:r w:rsidRPr="00B12FE0">
        <w:rPr>
          <w:rFonts w:ascii="宋体" w:hAnsi="宋体"/>
          <w:b/>
          <w:color w:val="000000" w:themeColor="text1"/>
          <w:szCs w:val="24"/>
        </w:rPr>
        <w:t>（</w:t>
      </w:r>
      <w:r w:rsidRPr="00B12FE0">
        <w:rPr>
          <w:rFonts w:hint="eastAsia"/>
          <w:b/>
          <w:color w:val="000000" w:themeColor="text1"/>
          <w:szCs w:val="24"/>
        </w:rPr>
        <w:t>5</w:t>
      </w:r>
      <w:r w:rsidRPr="00B12FE0">
        <w:rPr>
          <w:rFonts w:ascii="宋体" w:hAnsi="宋体"/>
          <w:b/>
          <w:color w:val="000000" w:themeColor="text1"/>
          <w:szCs w:val="24"/>
        </w:rPr>
        <w:t>）放射性固体废物</w:t>
      </w:r>
    </w:p>
    <w:p w14:paraId="26670C00" w14:textId="77777777" w:rsidR="00A67F21" w:rsidRPr="00B12FE0" w:rsidRDefault="00000000">
      <w:pPr>
        <w:spacing w:line="360" w:lineRule="auto"/>
        <w:ind w:firstLineChars="200" w:firstLine="480"/>
        <w:rPr>
          <w:color w:val="000000" w:themeColor="text1"/>
          <w:szCs w:val="24"/>
        </w:rPr>
      </w:pPr>
      <w:r w:rsidRPr="00B12FE0">
        <w:rPr>
          <w:rFonts w:hint="eastAsia"/>
          <w:color w:val="000000" w:themeColor="text1"/>
          <w:szCs w:val="24"/>
        </w:rPr>
        <w:t>①</w:t>
      </w:r>
      <w:r w:rsidRPr="00B12FE0">
        <w:rPr>
          <w:rFonts w:ascii="宋体" w:hAnsi="宋体"/>
          <w:color w:val="000000" w:themeColor="text1"/>
          <w:szCs w:val="24"/>
        </w:rPr>
        <w:t>根据同类型医院类比调查，患者住院过程放射性</w:t>
      </w:r>
      <w:r w:rsidRPr="00B12FE0">
        <w:rPr>
          <w:rFonts w:ascii="宋体" w:hAnsi="宋体" w:hint="eastAsia"/>
          <w:color w:val="000000" w:themeColor="text1"/>
          <w:szCs w:val="24"/>
        </w:rPr>
        <w:t>固体废物</w:t>
      </w:r>
      <w:r w:rsidRPr="00B12FE0">
        <w:rPr>
          <w:rFonts w:ascii="宋体" w:hAnsi="宋体"/>
          <w:color w:val="000000" w:themeColor="text1"/>
          <w:szCs w:val="24"/>
        </w:rPr>
        <w:t>产生量约</w:t>
      </w:r>
      <w:r w:rsidRPr="00B12FE0">
        <w:rPr>
          <w:color w:val="000000" w:themeColor="text1"/>
          <w:szCs w:val="24"/>
        </w:rPr>
        <w:t>0.5kg/</w:t>
      </w:r>
      <w:r w:rsidRPr="00B12FE0">
        <w:rPr>
          <w:rFonts w:ascii="宋体" w:hAnsi="宋体"/>
          <w:color w:val="000000" w:themeColor="text1"/>
          <w:szCs w:val="24"/>
        </w:rPr>
        <w:t>（</w:t>
      </w:r>
      <w:r w:rsidRPr="00B12FE0">
        <w:rPr>
          <w:color w:val="000000" w:themeColor="text1"/>
          <w:szCs w:val="24"/>
        </w:rPr>
        <w:t>d·</w:t>
      </w:r>
      <w:r w:rsidRPr="00B12FE0">
        <w:rPr>
          <w:rFonts w:ascii="宋体" w:hAnsi="宋体"/>
          <w:color w:val="000000" w:themeColor="text1"/>
          <w:szCs w:val="24"/>
        </w:rPr>
        <w:t>人次）。</w:t>
      </w:r>
      <w:r w:rsidRPr="00B12FE0">
        <w:rPr>
          <w:rFonts w:ascii="宋体" w:hAnsi="宋体" w:hint="eastAsia"/>
          <w:color w:val="000000" w:themeColor="text1"/>
          <w:szCs w:val="24"/>
        </w:rPr>
        <w:t>本</w:t>
      </w:r>
      <w:proofErr w:type="gramStart"/>
      <w:r w:rsidRPr="00B12FE0">
        <w:rPr>
          <w:rFonts w:ascii="宋体" w:hAnsi="宋体" w:hint="eastAsia"/>
          <w:color w:val="000000" w:themeColor="text1"/>
          <w:szCs w:val="24"/>
        </w:rPr>
        <w:t>项目</w:t>
      </w:r>
      <w:r w:rsidRPr="00B12FE0">
        <w:rPr>
          <w:rFonts w:ascii="宋体" w:hAnsi="宋体"/>
          <w:color w:val="000000" w:themeColor="text1"/>
          <w:szCs w:val="24"/>
        </w:rPr>
        <w:t>甲癌治疗</w:t>
      </w:r>
      <w:proofErr w:type="gramEnd"/>
      <w:r w:rsidRPr="00B12FE0">
        <w:rPr>
          <w:rFonts w:ascii="宋体" w:hAnsi="宋体"/>
          <w:color w:val="000000" w:themeColor="text1"/>
          <w:szCs w:val="24"/>
        </w:rPr>
        <w:t>年住院人数为</w:t>
      </w:r>
      <w:r w:rsidRPr="00B12FE0">
        <w:rPr>
          <w:rFonts w:hint="eastAsia"/>
          <w:color w:val="000000" w:themeColor="text1"/>
          <w:szCs w:val="24"/>
        </w:rPr>
        <w:t>4</w:t>
      </w:r>
      <w:r w:rsidRPr="00B12FE0">
        <w:rPr>
          <w:color w:val="000000" w:themeColor="text1"/>
          <w:szCs w:val="24"/>
        </w:rPr>
        <w:t>00</w:t>
      </w:r>
      <w:r w:rsidRPr="00B12FE0">
        <w:rPr>
          <w:rFonts w:ascii="宋体" w:hAnsi="宋体"/>
          <w:color w:val="000000" w:themeColor="text1"/>
          <w:szCs w:val="24"/>
        </w:rPr>
        <w:t>人，每位患者每周保守按住院</w:t>
      </w:r>
      <w:r w:rsidRPr="00B12FE0">
        <w:rPr>
          <w:color w:val="000000" w:themeColor="text1"/>
          <w:szCs w:val="24"/>
        </w:rPr>
        <w:t>5</w:t>
      </w:r>
      <w:r w:rsidRPr="00B12FE0">
        <w:rPr>
          <w:rFonts w:ascii="宋体" w:hAnsi="宋体"/>
          <w:color w:val="000000" w:themeColor="text1"/>
          <w:szCs w:val="24"/>
        </w:rPr>
        <w:t>天考虑，则住院患者放射性</w:t>
      </w:r>
      <w:r w:rsidRPr="00B12FE0">
        <w:rPr>
          <w:rFonts w:ascii="宋体" w:hAnsi="宋体" w:hint="eastAsia"/>
          <w:color w:val="000000" w:themeColor="text1"/>
          <w:szCs w:val="24"/>
        </w:rPr>
        <w:t>固体废物</w:t>
      </w:r>
      <w:r w:rsidRPr="00B12FE0">
        <w:rPr>
          <w:rFonts w:ascii="宋体" w:hAnsi="宋体"/>
          <w:color w:val="000000" w:themeColor="text1"/>
          <w:szCs w:val="24"/>
        </w:rPr>
        <w:t>年产生量为</w:t>
      </w:r>
      <w:r w:rsidRPr="00B12FE0">
        <w:rPr>
          <w:rFonts w:hint="eastAsia"/>
          <w:color w:val="000000" w:themeColor="text1"/>
          <w:szCs w:val="24"/>
        </w:rPr>
        <w:t>1000</w:t>
      </w:r>
      <w:r w:rsidRPr="00B12FE0">
        <w:rPr>
          <w:color w:val="000000" w:themeColor="text1"/>
          <w:szCs w:val="24"/>
        </w:rPr>
        <w:t>kg</w:t>
      </w:r>
      <w:r w:rsidRPr="00B12FE0">
        <w:rPr>
          <w:rFonts w:ascii="宋体" w:hAnsi="宋体"/>
          <w:color w:val="000000" w:themeColor="text1"/>
          <w:szCs w:val="24"/>
        </w:rPr>
        <w:t>。</w:t>
      </w:r>
    </w:p>
    <w:p w14:paraId="5A4419F7" w14:textId="77777777" w:rsidR="00A67F21" w:rsidRPr="00B12FE0" w:rsidRDefault="00000000">
      <w:pPr>
        <w:tabs>
          <w:tab w:val="left" w:pos="719"/>
        </w:tabs>
        <w:overflowPunct w:val="0"/>
        <w:snapToGrid w:val="0"/>
        <w:spacing w:line="360" w:lineRule="auto"/>
        <w:ind w:firstLineChars="182" w:firstLine="437"/>
        <w:contextualSpacing/>
        <w:rPr>
          <w:color w:val="000000" w:themeColor="text1"/>
          <w:szCs w:val="24"/>
        </w:rPr>
      </w:pPr>
      <w:r w:rsidRPr="00B12FE0">
        <w:rPr>
          <w:rFonts w:hint="eastAsia"/>
          <w:color w:val="000000" w:themeColor="text1"/>
          <w:szCs w:val="24"/>
        </w:rPr>
        <w:t>②</w:t>
      </w:r>
      <w:r w:rsidRPr="00B12FE0">
        <w:rPr>
          <w:rFonts w:ascii="宋体" w:hAnsi="宋体"/>
          <w:color w:val="000000" w:themeColor="text1"/>
          <w:szCs w:val="24"/>
        </w:rPr>
        <w:t>核医学科核素治疗场所废气处理系统</w:t>
      </w:r>
      <w:r w:rsidRPr="00B12FE0">
        <w:rPr>
          <w:rFonts w:ascii="宋体" w:hAnsi="宋体" w:hint="eastAsia"/>
          <w:color w:val="000000" w:themeColor="text1"/>
          <w:szCs w:val="24"/>
        </w:rPr>
        <w:t>计划每半年更换一次</w:t>
      </w:r>
      <w:r w:rsidRPr="00B12FE0">
        <w:rPr>
          <w:rFonts w:ascii="宋体" w:hAnsi="宋体"/>
          <w:color w:val="000000" w:themeColor="text1"/>
          <w:szCs w:val="24"/>
        </w:rPr>
        <w:t>活性炭，每次会产生</w:t>
      </w:r>
      <w:r w:rsidRPr="00B12FE0">
        <w:rPr>
          <w:color w:val="000000" w:themeColor="text1"/>
          <w:szCs w:val="24"/>
        </w:rPr>
        <w:t>10kg</w:t>
      </w:r>
      <w:r w:rsidRPr="00B12FE0">
        <w:rPr>
          <w:rFonts w:ascii="宋体" w:hAnsi="宋体"/>
          <w:color w:val="000000" w:themeColor="text1"/>
          <w:szCs w:val="24"/>
        </w:rPr>
        <w:t>废活性炭，每年产生的废活性炭为</w:t>
      </w:r>
      <w:r w:rsidRPr="00B12FE0">
        <w:rPr>
          <w:color w:val="000000" w:themeColor="text1"/>
          <w:szCs w:val="24"/>
        </w:rPr>
        <w:t>20kg</w:t>
      </w:r>
      <w:r w:rsidRPr="00B12FE0">
        <w:rPr>
          <w:rFonts w:ascii="宋体" w:hAnsi="宋体"/>
          <w:color w:val="000000" w:themeColor="text1"/>
          <w:szCs w:val="24"/>
        </w:rPr>
        <w:t>。</w:t>
      </w:r>
    </w:p>
    <w:p w14:paraId="01A4FAE4" w14:textId="77777777" w:rsidR="00A67F21" w:rsidRPr="00B12FE0" w:rsidRDefault="00000000">
      <w:pPr>
        <w:spacing w:line="360" w:lineRule="auto"/>
        <w:ind w:firstLineChars="200" w:firstLine="480"/>
        <w:rPr>
          <w:color w:val="000000" w:themeColor="text1"/>
          <w:szCs w:val="28"/>
        </w:rPr>
      </w:pPr>
      <w:r w:rsidRPr="00B12FE0">
        <w:rPr>
          <w:rFonts w:hint="eastAsia"/>
          <w:color w:val="000000" w:themeColor="text1"/>
        </w:rPr>
        <w:lastRenderedPageBreak/>
        <w:t>综上所述，本项目核医学核素治疗工作场所运行时产生的固体放射性废物总量约为</w:t>
      </w:r>
      <w:r w:rsidRPr="00B12FE0">
        <w:rPr>
          <w:rFonts w:hint="eastAsia"/>
          <w:color w:val="000000" w:themeColor="text1"/>
          <w:szCs w:val="28"/>
        </w:rPr>
        <w:t>1020</w:t>
      </w:r>
      <w:r w:rsidRPr="00B12FE0">
        <w:rPr>
          <w:color w:val="000000" w:themeColor="text1"/>
          <w:szCs w:val="28"/>
        </w:rPr>
        <w:t>kg/a</w:t>
      </w:r>
      <w:r w:rsidRPr="00B12FE0">
        <w:rPr>
          <w:rFonts w:hint="eastAsia"/>
          <w:color w:val="000000" w:themeColor="text1"/>
          <w:szCs w:val="28"/>
        </w:rPr>
        <w:t>。</w:t>
      </w:r>
    </w:p>
    <w:p w14:paraId="3139AE5B" w14:textId="77777777" w:rsidR="00A67F21" w:rsidRPr="00B12FE0" w:rsidRDefault="00000000">
      <w:pPr>
        <w:snapToGrid w:val="0"/>
        <w:spacing w:line="360" w:lineRule="auto"/>
        <w:contextualSpacing/>
        <w:outlineLvl w:val="3"/>
        <w:rPr>
          <w:b/>
          <w:color w:val="000000" w:themeColor="text1"/>
        </w:rPr>
      </w:pPr>
      <w:r w:rsidRPr="00B12FE0">
        <w:rPr>
          <w:b/>
          <w:color w:val="000000" w:themeColor="text1"/>
        </w:rPr>
        <w:t>9.2.1.</w:t>
      </w:r>
      <w:r w:rsidRPr="00B12FE0">
        <w:rPr>
          <w:rFonts w:hint="eastAsia"/>
          <w:b/>
          <w:color w:val="000000" w:themeColor="text1"/>
        </w:rPr>
        <w:t>4</w:t>
      </w:r>
      <w:r w:rsidRPr="00B12FE0">
        <w:rPr>
          <w:rFonts w:hint="eastAsia"/>
          <w:b/>
          <w:color w:val="000000" w:themeColor="text1"/>
        </w:rPr>
        <w:t>放疗科</w:t>
      </w:r>
      <w:r w:rsidRPr="00B12FE0">
        <w:rPr>
          <w:b/>
          <w:color w:val="000000" w:themeColor="text1"/>
        </w:rPr>
        <w:t>直线加速器</w:t>
      </w:r>
      <w:r w:rsidRPr="00B12FE0">
        <w:rPr>
          <w:rFonts w:hint="eastAsia"/>
          <w:b/>
          <w:color w:val="000000" w:themeColor="text1"/>
        </w:rPr>
        <w:t>污染源项分析</w:t>
      </w:r>
    </w:p>
    <w:p w14:paraId="0CE2B560" w14:textId="77777777" w:rsidR="00A67F21" w:rsidRPr="00B12FE0" w:rsidRDefault="00000000">
      <w:pPr>
        <w:snapToGrid w:val="0"/>
        <w:spacing w:line="360" w:lineRule="auto"/>
        <w:ind w:firstLine="480"/>
        <w:rPr>
          <w:color w:val="000000" w:themeColor="text1"/>
        </w:rPr>
      </w:pPr>
      <w:r w:rsidRPr="00B12FE0">
        <w:rPr>
          <w:rFonts w:hint="eastAsia"/>
          <w:color w:val="000000" w:themeColor="text1"/>
        </w:rPr>
        <w:t>（</w:t>
      </w:r>
      <w:r w:rsidRPr="00B12FE0">
        <w:rPr>
          <w:rFonts w:hint="eastAsia"/>
          <w:color w:val="000000" w:themeColor="text1"/>
        </w:rPr>
        <w:t>1</w:t>
      </w:r>
      <w:r w:rsidRPr="00B12FE0">
        <w:rPr>
          <w:rFonts w:hint="eastAsia"/>
          <w:color w:val="000000" w:themeColor="text1"/>
        </w:rPr>
        <w:t>）</w:t>
      </w:r>
      <w:r w:rsidRPr="00B12FE0">
        <w:rPr>
          <w:color w:val="000000" w:themeColor="text1"/>
        </w:rPr>
        <w:t>X</w:t>
      </w:r>
      <w:r w:rsidRPr="00B12FE0">
        <w:rPr>
          <w:color w:val="000000" w:themeColor="text1"/>
        </w:rPr>
        <w:t>射线</w:t>
      </w:r>
    </w:p>
    <w:p w14:paraId="7054DA75" w14:textId="77777777" w:rsidR="00A67F21" w:rsidRPr="00B12FE0" w:rsidRDefault="00000000">
      <w:pPr>
        <w:snapToGrid w:val="0"/>
        <w:spacing w:line="360" w:lineRule="auto"/>
        <w:ind w:firstLine="480"/>
        <w:rPr>
          <w:color w:val="000000" w:themeColor="text1"/>
        </w:rPr>
      </w:pPr>
      <w:r w:rsidRPr="00B12FE0">
        <w:rPr>
          <w:color w:val="000000" w:themeColor="text1"/>
        </w:rPr>
        <w:t>直线加速器运行时，从电子枪发出来的电子束，在</w:t>
      </w:r>
      <w:r w:rsidRPr="00B12FE0">
        <w:rPr>
          <w:rFonts w:hint="eastAsia"/>
          <w:color w:val="000000" w:themeColor="text1"/>
        </w:rPr>
        <w:t>直线</w:t>
      </w:r>
      <w:r w:rsidRPr="00B12FE0">
        <w:rPr>
          <w:color w:val="000000" w:themeColor="text1"/>
        </w:rPr>
        <w:t>加速管内经加速电压加速，轰击到靶上，产生</w:t>
      </w:r>
      <w:r w:rsidRPr="00B12FE0">
        <w:rPr>
          <w:color w:val="000000" w:themeColor="text1"/>
        </w:rPr>
        <w:t>X</w:t>
      </w:r>
      <w:r w:rsidRPr="00B12FE0">
        <w:rPr>
          <w:color w:val="000000" w:themeColor="text1"/>
        </w:rPr>
        <w:t>射线用于治疗。本项目</w:t>
      </w:r>
      <w:r w:rsidRPr="00B12FE0">
        <w:rPr>
          <w:rFonts w:hint="eastAsia"/>
          <w:color w:val="000000" w:themeColor="text1"/>
        </w:rPr>
        <w:t>直线</w:t>
      </w:r>
      <w:r w:rsidRPr="00B12FE0">
        <w:rPr>
          <w:color w:val="000000" w:themeColor="text1"/>
        </w:rPr>
        <w:t>加速器</w:t>
      </w:r>
      <w:r w:rsidRPr="00B12FE0">
        <w:rPr>
          <w:color w:val="000000" w:themeColor="text1"/>
        </w:rPr>
        <w:t>X</w:t>
      </w:r>
      <w:r w:rsidRPr="00B12FE0">
        <w:rPr>
          <w:color w:val="000000" w:themeColor="text1"/>
        </w:rPr>
        <w:t>射线最大能量为</w:t>
      </w:r>
      <w:r w:rsidRPr="00B12FE0">
        <w:rPr>
          <w:color w:val="000000" w:themeColor="text1"/>
        </w:rPr>
        <w:t>15MV</w:t>
      </w:r>
      <w:r w:rsidRPr="00B12FE0">
        <w:rPr>
          <w:color w:val="000000" w:themeColor="text1"/>
        </w:rPr>
        <w:t>。由于</w:t>
      </w:r>
      <w:r w:rsidRPr="00B12FE0">
        <w:rPr>
          <w:color w:val="000000" w:themeColor="text1"/>
        </w:rPr>
        <w:t>X</w:t>
      </w:r>
      <w:r w:rsidRPr="00B12FE0">
        <w:rPr>
          <w:color w:val="000000" w:themeColor="text1"/>
        </w:rPr>
        <w:t>射线贯穿能力强，将对周围环境造成一定的辐射污染</w:t>
      </w:r>
      <w:r w:rsidRPr="00B12FE0">
        <w:rPr>
          <w:rFonts w:hint="eastAsia"/>
          <w:color w:val="000000" w:themeColor="text1"/>
        </w:rPr>
        <w:t>，包含以下几种</w:t>
      </w:r>
      <w:r w:rsidRPr="00B12FE0">
        <w:rPr>
          <w:color w:val="000000" w:themeColor="text1"/>
        </w:rPr>
        <w:t>X</w:t>
      </w:r>
      <w:r w:rsidRPr="00B12FE0">
        <w:rPr>
          <w:rFonts w:hint="eastAsia"/>
          <w:color w:val="000000" w:themeColor="text1"/>
        </w:rPr>
        <w:t>射线辐射：</w:t>
      </w:r>
    </w:p>
    <w:p w14:paraId="024DB401" w14:textId="77777777" w:rsidR="00A67F21" w:rsidRPr="00B12FE0" w:rsidRDefault="00000000">
      <w:pPr>
        <w:snapToGrid w:val="0"/>
        <w:spacing w:line="360" w:lineRule="auto"/>
        <w:ind w:firstLine="480"/>
        <w:rPr>
          <w:color w:val="000000" w:themeColor="text1"/>
        </w:rPr>
      </w:pPr>
      <w:r w:rsidRPr="00B12FE0">
        <w:rPr>
          <w:color w:val="000000" w:themeColor="text1"/>
        </w:rPr>
        <w:fldChar w:fldCharType="begin"/>
      </w:r>
      <w:r w:rsidRPr="00B12FE0">
        <w:rPr>
          <w:color w:val="000000" w:themeColor="text1"/>
        </w:rPr>
        <w:instrText xml:space="preserve"> = 1 \* GB3 </w:instrText>
      </w:r>
      <w:r w:rsidRPr="00B12FE0">
        <w:rPr>
          <w:color w:val="000000" w:themeColor="text1"/>
        </w:rPr>
        <w:fldChar w:fldCharType="separate"/>
      </w:r>
      <w:r w:rsidRPr="00B12FE0">
        <w:rPr>
          <w:rFonts w:ascii="宋体" w:hAnsi="宋体" w:hint="eastAsia"/>
          <w:color w:val="000000" w:themeColor="text1"/>
        </w:rPr>
        <w:t>①</w:t>
      </w:r>
      <w:r w:rsidRPr="00B12FE0">
        <w:rPr>
          <w:color w:val="000000" w:themeColor="text1"/>
        </w:rPr>
        <w:fldChar w:fldCharType="end"/>
      </w:r>
      <w:r w:rsidRPr="00B12FE0">
        <w:rPr>
          <w:rFonts w:hint="eastAsia"/>
          <w:color w:val="000000" w:themeColor="text1"/>
        </w:rPr>
        <w:t>有用线束</w:t>
      </w:r>
    </w:p>
    <w:p w14:paraId="79FF3F09" w14:textId="77777777" w:rsidR="00A67F21" w:rsidRPr="00B12FE0" w:rsidRDefault="00000000">
      <w:pPr>
        <w:snapToGrid w:val="0"/>
        <w:spacing w:line="360" w:lineRule="auto"/>
        <w:ind w:firstLine="480"/>
        <w:rPr>
          <w:color w:val="000000" w:themeColor="text1"/>
        </w:rPr>
      </w:pPr>
      <w:r w:rsidRPr="00B12FE0">
        <w:rPr>
          <w:color w:val="000000" w:themeColor="text1"/>
        </w:rPr>
        <w:t>当直线加速器光阑完全打开时，从辐射头靶射出的</w:t>
      </w:r>
      <w:r w:rsidRPr="00B12FE0">
        <w:rPr>
          <w:color w:val="000000" w:themeColor="text1"/>
        </w:rPr>
        <w:t>X</w:t>
      </w:r>
      <w:r w:rsidRPr="00B12FE0">
        <w:rPr>
          <w:color w:val="000000" w:themeColor="text1"/>
        </w:rPr>
        <w:t>射线为一个半角</w:t>
      </w:r>
      <w:r w:rsidRPr="00B12FE0">
        <w:rPr>
          <w:color w:val="000000" w:themeColor="text1"/>
        </w:rPr>
        <w:t>14°</w:t>
      </w:r>
      <w:r w:rsidRPr="00B12FE0">
        <w:rPr>
          <w:color w:val="000000" w:themeColor="text1"/>
        </w:rPr>
        <w:t>的锥形线束，其能量为</w:t>
      </w:r>
      <w:r w:rsidRPr="00B12FE0">
        <w:rPr>
          <w:color w:val="000000" w:themeColor="text1"/>
        </w:rPr>
        <w:t>15MV</w:t>
      </w:r>
      <w:r w:rsidRPr="00B12FE0">
        <w:rPr>
          <w:color w:val="000000" w:themeColor="text1"/>
        </w:rPr>
        <w:t>。有用线束是</w:t>
      </w:r>
      <w:proofErr w:type="gramStart"/>
      <w:r w:rsidRPr="00B12FE0">
        <w:rPr>
          <w:color w:val="000000" w:themeColor="text1"/>
        </w:rPr>
        <w:t>唯一用于</w:t>
      </w:r>
      <w:proofErr w:type="gramEnd"/>
      <w:r w:rsidRPr="00B12FE0">
        <w:rPr>
          <w:color w:val="000000" w:themeColor="text1"/>
        </w:rPr>
        <w:t>治疗目的的射线。</w:t>
      </w:r>
    </w:p>
    <w:p w14:paraId="502230B6" w14:textId="77777777" w:rsidR="00A67F21" w:rsidRPr="00B12FE0" w:rsidRDefault="00000000">
      <w:pPr>
        <w:snapToGrid w:val="0"/>
        <w:spacing w:line="360" w:lineRule="auto"/>
        <w:ind w:firstLine="480"/>
        <w:rPr>
          <w:color w:val="000000" w:themeColor="text1"/>
        </w:rPr>
      </w:pPr>
      <w:r w:rsidRPr="00B12FE0">
        <w:rPr>
          <w:color w:val="000000" w:themeColor="text1"/>
        </w:rPr>
        <w:fldChar w:fldCharType="begin"/>
      </w:r>
      <w:r w:rsidRPr="00B12FE0">
        <w:rPr>
          <w:color w:val="000000" w:themeColor="text1"/>
        </w:rPr>
        <w:instrText xml:space="preserve"> = 2 \* GB3 </w:instrText>
      </w:r>
      <w:r w:rsidRPr="00B12FE0">
        <w:rPr>
          <w:color w:val="000000" w:themeColor="text1"/>
        </w:rPr>
        <w:fldChar w:fldCharType="separate"/>
      </w:r>
      <w:r w:rsidRPr="00B12FE0">
        <w:rPr>
          <w:rFonts w:ascii="宋体" w:hAnsi="宋体" w:hint="eastAsia"/>
          <w:color w:val="000000" w:themeColor="text1"/>
        </w:rPr>
        <w:t>②</w:t>
      </w:r>
      <w:r w:rsidRPr="00B12FE0">
        <w:rPr>
          <w:color w:val="000000" w:themeColor="text1"/>
        </w:rPr>
        <w:fldChar w:fldCharType="end"/>
      </w:r>
      <w:r w:rsidRPr="00B12FE0">
        <w:rPr>
          <w:rFonts w:hint="eastAsia"/>
          <w:color w:val="000000" w:themeColor="text1"/>
        </w:rPr>
        <w:t>泄漏辐射</w:t>
      </w:r>
    </w:p>
    <w:p w14:paraId="4AB38B03" w14:textId="77777777" w:rsidR="00A67F21" w:rsidRPr="00B12FE0" w:rsidRDefault="00000000">
      <w:pPr>
        <w:snapToGrid w:val="0"/>
        <w:spacing w:line="360" w:lineRule="auto"/>
        <w:ind w:firstLine="480"/>
        <w:rPr>
          <w:color w:val="000000" w:themeColor="text1"/>
        </w:rPr>
      </w:pPr>
      <w:proofErr w:type="gramStart"/>
      <w:r w:rsidRPr="00B12FE0">
        <w:rPr>
          <w:rFonts w:hint="eastAsia"/>
          <w:color w:val="000000" w:themeColor="text1"/>
        </w:rPr>
        <w:t>由靶向外</w:t>
      </w:r>
      <w:proofErr w:type="gramEnd"/>
      <w:r w:rsidRPr="00B12FE0">
        <w:rPr>
          <w:rFonts w:hint="eastAsia"/>
          <w:color w:val="000000" w:themeColor="text1"/>
        </w:rPr>
        <w:t>从各个方向穿过辐射头泄漏出来的射线称为漏射线。漏射线遍布机架各处，因此泄漏线辐射源到任一点的距离会因机架角度不同而变化。</w:t>
      </w:r>
    </w:p>
    <w:p w14:paraId="64E8C436" w14:textId="77777777" w:rsidR="00A67F21" w:rsidRPr="00B12FE0" w:rsidRDefault="00000000">
      <w:pPr>
        <w:snapToGrid w:val="0"/>
        <w:spacing w:line="360" w:lineRule="auto"/>
        <w:ind w:firstLine="480"/>
        <w:rPr>
          <w:color w:val="000000" w:themeColor="text1"/>
        </w:rPr>
      </w:pPr>
      <w:r w:rsidRPr="00B12FE0">
        <w:rPr>
          <w:color w:val="000000" w:themeColor="text1"/>
        </w:rPr>
        <w:fldChar w:fldCharType="begin"/>
      </w:r>
      <w:r w:rsidRPr="00B12FE0">
        <w:rPr>
          <w:color w:val="000000" w:themeColor="text1"/>
        </w:rPr>
        <w:instrText xml:space="preserve"> = 3 \* GB3 </w:instrText>
      </w:r>
      <w:r w:rsidRPr="00B12FE0">
        <w:rPr>
          <w:color w:val="000000" w:themeColor="text1"/>
        </w:rPr>
        <w:fldChar w:fldCharType="separate"/>
      </w:r>
      <w:r w:rsidRPr="00B12FE0">
        <w:rPr>
          <w:rFonts w:ascii="宋体" w:hAnsi="宋体" w:hint="eastAsia"/>
          <w:color w:val="000000" w:themeColor="text1"/>
        </w:rPr>
        <w:t>③</w:t>
      </w:r>
      <w:r w:rsidRPr="00B12FE0">
        <w:rPr>
          <w:color w:val="000000" w:themeColor="text1"/>
        </w:rPr>
        <w:fldChar w:fldCharType="end"/>
      </w:r>
      <w:r w:rsidRPr="00B12FE0">
        <w:rPr>
          <w:rFonts w:hint="eastAsia"/>
          <w:color w:val="000000" w:themeColor="text1"/>
        </w:rPr>
        <w:t>散射辐射</w:t>
      </w:r>
    </w:p>
    <w:p w14:paraId="50BC2874" w14:textId="77777777" w:rsidR="00A67F21" w:rsidRPr="00B12FE0" w:rsidRDefault="00000000">
      <w:pPr>
        <w:snapToGrid w:val="0"/>
        <w:spacing w:line="360" w:lineRule="auto"/>
        <w:ind w:firstLine="480"/>
        <w:rPr>
          <w:color w:val="000000" w:themeColor="text1"/>
        </w:rPr>
      </w:pPr>
      <w:r w:rsidRPr="00B12FE0">
        <w:rPr>
          <w:rFonts w:hint="eastAsia"/>
          <w:color w:val="000000" w:themeColor="text1"/>
        </w:rPr>
        <w:t>当有用线束射入治疗床上的人体时，会产生散布于各个方面上的次级散射辐射，这种射线的能量和剂量率比有用线束低得多，剂量率大小决定于被照区域，初级射线能量和散射角度。</w:t>
      </w:r>
    </w:p>
    <w:p w14:paraId="5D68C600" w14:textId="77777777" w:rsidR="00A67F21" w:rsidRPr="00B12FE0" w:rsidRDefault="00000000">
      <w:pPr>
        <w:snapToGrid w:val="0"/>
        <w:spacing w:line="360" w:lineRule="auto"/>
        <w:ind w:firstLine="480"/>
        <w:rPr>
          <w:color w:val="000000" w:themeColor="text1"/>
        </w:rPr>
      </w:pPr>
      <w:r w:rsidRPr="00B12FE0">
        <w:rPr>
          <w:rFonts w:hint="eastAsia"/>
          <w:color w:val="000000" w:themeColor="text1"/>
        </w:rPr>
        <w:t>除此之外，</w:t>
      </w:r>
      <w:r w:rsidRPr="00B12FE0">
        <w:rPr>
          <w:rFonts w:hAnsiTheme="majorBidi" w:hint="eastAsia"/>
          <w:bCs/>
          <w:color w:val="000000" w:themeColor="text1"/>
          <w:kern w:val="0"/>
        </w:rPr>
        <w:t>直线</w:t>
      </w:r>
      <w:r w:rsidRPr="00B12FE0">
        <w:rPr>
          <w:rFonts w:hint="eastAsia"/>
          <w:color w:val="000000" w:themeColor="text1"/>
        </w:rPr>
        <w:t>加速器集成一台</w:t>
      </w:r>
      <w:r w:rsidRPr="00B12FE0">
        <w:rPr>
          <w:rFonts w:hint="eastAsia"/>
          <w:color w:val="000000" w:themeColor="text1"/>
        </w:rPr>
        <w:t>CBCT</w:t>
      </w:r>
      <w:r w:rsidRPr="00B12FE0">
        <w:rPr>
          <w:rFonts w:hint="eastAsia"/>
          <w:color w:val="000000" w:themeColor="text1"/>
        </w:rPr>
        <w:t>，</w:t>
      </w:r>
      <w:r w:rsidRPr="00B12FE0">
        <w:rPr>
          <w:color w:val="000000" w:themeColor="text1"/>
        </w:rPr>
        <w:t>开机状态下</w:t>
      </w:r>
      <w:r w:rsidRPr="00B12FE0">
        <w:rPr>
          <w:rFonts w:hint="eastAsia"/>
          <w:color w:val="000000" w:themeColor="text1"/>
        </w:rPr>
        <w:t>会</w:t>
      </w:r>
      <w:r w:rsidRPr="00B12FE0">
        <w:rPr>
          <w:color w:val="000000" w:themeColor="text1"/>
        </w:rPr>
        <w:t>产生</w:t>
      </w:r>
      <w:r w:rsidRPr="00B12FE0">
        <w:rPr>
          <w:color w:val="000000" w:themeColor="text1"/>
        </w:rPr>
        <w:t>X</w:t>
      </w:r>
      <w:r w:rsidRPr="00B12FE0">
        <w:rPr>
          <w:color w:val="000000" w:themeColor="text1"/>
        </w:rPr>
        <w:t>射线</w:t>
      </w:r>
      <w:r w:rsidRPr="00B12FE0">
        <w:rPr>
          <w:rFonts w:hint="eastAsia"/>
          <w:color w:val="000000" w:themeColor="text1"/>
        </w:rPr>
        <w:t>。</w:t>
      </w:r>
    </w:p>
    <w:p w14:paraId="1780E25E" w14:textId="77777777" w:rsidR="00A67F21" w:rsidRPr="00B12FE0" w:rsidRDefault="00000000">
      <w:pPr>
        <w:snapToGrid w:val="0"/>
        <w:spacing w:line="360" w:lineRule="auto"/>
        <w:ind w:firstLine="480"/>
        <w:rPr>
          <w:color w:val="000000" w:themeColor="text1"/>
        </w:rPr>
      </w:pPr>
      <w:r w:rsidRPr="00B12FE0">
        <w:rPr>
          <w:rFonts w:hint="eastAsia"/>
          <w:color w:val="000000" w:themeColor="text1"/>
        </w:rPr>
        <w:t>（</w:t>
      </w:r>
      <w:r w:rsidRPr="00B12FE0">
        <w:rPr>
          <w:color w:val="000000" w:themeColor="text1"/>
        </w:rPr>
        <w:t>2</w:t>
      </w:r>
      <w:r w:rsidRPr="00B12FE0">
        <w:rPr>
          <w:rFonts w:hint="eastAsia"/>
          <w:color w:val="000000" w:themeColor="text1"/>
        </w:rPr>
        <w:t>）电子线</w:t>
      </w:r>
    </w:p>
    <w:p w14:paraId="4678E6FF"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直线</w:t>
      </w:r>
      <w:r w:rsidRPr="00B12FE0">
        <w:rPr>
          <w:color w:val="000000" w:themeColor="text1"/>
        </w:rPr>
        <w:t>加速器处于电子束模式下使用初始电子线进行浅层治疗时，会产生电子线，</w:t>
      </w:r>
      <w:r w:rsidRPr="00B12FE0">
        <w:rPr>
          <w:rFonts w:hint="eastAsia"/>
          <w:color w:val="000000" w:themeColor="text1"/>
        </w:rPr>
        <w:t>本项目直线加速器产生的</w:t>
      </w:r>
      <w:r w:rsidRPr="00B12FE0">
        <w:rPr>
          <w:color w:val="000000" w:themeColor="text1"/>
        </w:rPr>
        <w:t>电子线最高能量为</w:t>
      </w:r>
      <w:r w:rsidRPr="00B12FE0">
        <w:rPr>
          <w:color w:val="000000" w:themeColor="text1"/>
        </w:rPr>
        <w:t>22MeV</w:t>
      </w:r>
      <w:r w:rsidRPr="00B12FE0">
        <w:rPr>
          <w:color w:val="000000" w:themeColor="text1"/>
        </w:rPr>
        <w:t>，</w:t>
      </w:r>
      <w:r w:rsidRPr="00B12FE0">
        <w:rPr>
          <w:bCs/>
          <w:color w:val="000000" w:themeColor="text1"/>
          <w:kern w:val="10"/>
        </w:rPr>
        <w:t>高能电子线随机器的开关而产生和消失</w:t>
      </w:r>
      <w:r w:rsidRPr="00B12FE0">
        <w:rPr>
          <w:color w:val="000000" w:themeColor="text1"/>
        </w:rPr>
        <w:t>。</w:t>
      </w:r>
    </w:p>
    <w:p w14:paraId="27429CFB"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w:t>
      </w:r>
      <w:r w:rsidRPr="00B12FE0">
        <w:rPr>
          <w:rFonts w:hint="eastAsia"/>
          <w:color w:val="000000" w:themeColor="text1"/>
        </w:rPr>
        <w:t>3</w:t>
      </w:r>
      <w:r w:rsidRPr="00B12FE0">
        <w:rPr>
          <w:rFonts w:hint="eastAsia"/>
          <w:color w:val="000000" w:themeColor="text1"/>
        </w:rPr>
        <w:t>）中子</w:t>
      </w:r>
    </w:p>
    <w:p w14:paraId="418D0294"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直线加速器在运行过程中产生的高能</w:t>
      </w:r>
      <w:r w:rsidRPr="00B12FE0">
        <w:rPr>
          <w:color w:val="000000" w:themeColor="text1"/>
        </w:rPr>
        <w:t>X</w:t>
      </w:r>
      <w:r w:rsidRPr="00B12FE0">
        <w:rPr>
          <w:rFonts w:hint="eastAsia"/>
          <w:color w:val="000000" w:themeColor="text1"/>
        </w:rPr>
        <w:t>射线与周围物质相互作用时，均会产生中子。直线加速器治疗机头外的杂散中子成为直接光中子，来源于</w:t>
      </w:r>
      <w:r w:rsidRPr="00B12FE0">
        <w:rPr>
          <w:color w:val="000000" w:themeColor="text1"/>
        </w:rPr>
        <w:t>X</w:t>
      </w:r>
      <w:r w:rsidRPr="00B12FE0">
        <w:rPr>
          <w:rFonts w:hint="eastAsia"/>
          <w:color w:val="000000" w:themeColor="text1"/>
        </w:rPr>
        <w:t>射线中能量大于</w:t>
      </w:r>
      <w:r w:rsidRPr="00B12FE0">
        <w:rPr>
          <w:color w:val="000000" w:themeColor="text1"/>
        </w:rPr>
        <w:t>10MV</w:t>
      </w:r>
      <w:r w:rsidRPr="00B12FE0">
        <w:rPr>
          <w:rFonts w:hint="eastAsia"/>
          <w:color w:val="000000" w:themeColor="text1"/>
        </w:rPr>
        <w:t>的光子与直线加速器的靶、准直器及电子束和光子束通道上的其他物质互相作用发生光核反应所产生的中子。</w:t>
      </w:r>
    </w:p>
    <w:p w14:paraId="59A8C6D9"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w:t>
      </w:r>
      <w:r w:rsidRPr="00B12FE0">
        <w:rPr>
          <w:rFonts w:hint="eastAsia"/>
          <w:color w:val="000000" w:themeColor="text1"/>
        </w:rPr>
        <w:t>4</w:t>
      </w:r>
      <w:r w:rsidRPr="00B12FE0">
        <w:rPr>
          <w:rFonts w:hint="eastAsia"/>
          <w:color w:val="000000" w:themeColor="text1"/>
        </w:rPr>
        <w:t>）感生放射性</w:t>
      </w:r>
    </w:p>
    <w:p w14:paraId="3AE15FEE" w14:textId="77777777" w:rsidR="00A67F21" w:rsidRPr="00B12FE0" w:rsidRDefault="00000000">
      <w:pPr>
        <w:adjustRightInd w:val="0"/>
        <w:snapToGrid w:val="0"/>
        <w:spacing w:line="360" w:lineRule="auto"/>
        <w:ind w:firstLine="482"/>
        <w:rPr>
          <w:bCs/>
          <w:color w:val="000000" w:themeColor="text1"/>
        </w:rPr>
      </w:pPr>
      <w:r w:rsidRPr="00B12FE0">
        <w:rPr>
          <w:rFonts w:hAnsi="宋体"/>
          <w:bCs/>
          <w:color w:val="000000" w:themeColor="text1"/>
          <w:kern w:val="10"/>
        </w:rPr>
        <w:t>当加速器能量</w:t>
      </w:r>
      <w:r w:rsidRPr="00B12FE0">
        <w:rPr>
          <w:bCs/>
          <w:color w:val="000000" w:themeColor="text1"/>
          <w:kern w:val="10"/>
        </w:rPr>
        <w:t>在</w:t>
      </w:r>
      <w:r w:rsidRPr="00B12FE0">
        <w:rPr>
          <w:bCs/>
          <w:color w:val="000000" w:themeColor="text1"/>
          <w:kern w:val="10"/>
        </w:rPr>
        <w:t>10MV</w:t>
      </w:r>
      <w:r w:rsidRPr="00B12FE0">
        <w:rPr>
          <w:bCs/>
          <w:color w:val="000000" w:themeColor="text1"/>
          <w:kern w:val="10"/>
        </w:rPr>
        <w:t>以</w:t>
      </w:r>
      <w:r w:rsidRPr="00B12FE0">
        <w:rPr>
          <w:rFonts w:hAnsi="宋体"/>
          <w:bCs/>
          <w:color w:val="000000" w:themeColor="text1"/>
          <w:kern w:val="10"/>
        </w:rPr>
        <w:t>上时，会产生光核反应，从而产生感生放射性。它主要包括两个方面：</w:t>
      </w:r>
      <w:r w:rsidRPr="00B12FE0">
        <w:rPr>
          <w:rFonts w:hint="eastAsia"/>
          <w:bCs/>
          <w:color w:val="000000" w:themeColor="text1"/>
          <w:kern w:val="10"/>
        </w:rPr>
        <w:t>①</w:t>
      </w:r>
      <w:r w:rsidRPr="00B12FE0">
        <w:rPr>
          <w:rFonts w:hAnsi="宋体"/>
          <w:bCs/>
          <w:color w:val="000000" w:themeColor="text1"/>
        </w:rPr>
        <w:t>加速器结构材料等</w:t>
      </w:r>
      <w:r w:rsidRPr="00B12FE0">
        <w:rPr>
          <w:rFonts w:hAnsi="宋体" w:hint="eastAsia"/>
          <w:bCs/>
          <w:color w:val="000000" w:themeColor="text1"/>
        </w:rPr>
        <w:t>（主要为加速器靶）</w:t>
      </w:r>
      <w:r w:rsidRPr="00B12FE0">
        <w:rPr>
          <w:rFonts w:hAnsi="宋体"/>
          <w:bCs/>
          <w:color w:val="000000" w:themeColor="text1"/>
        </w:rPr>
        <w:t>的感生放射性；</w:t>
      </w:r>
      <w:r w:rsidRPr="00B12FE0">
        <w:rPr>
          <w:rFonts w:hint="eastAsia"/>
          <w:bCs/>
          <w:color w:val="000000" w:themeColor="text1"/>
        </w:rPr>
        <w:t>②</w:t>
      </w:r>
      <w:r w:rsidRPr="00B12FE0">
        <w:rPr>
          <w:rFonts w:hAnsi="宋体"/>
          <w:bCs/>
          <w:color w:val="000000" w:themeColor="text1"/>
        </w:rPr>
        <w:t>气态感生</w:t>
      </w:r>
      <w:r w:rsidRPr="00B12FE0">
        <w:rPr>
          <w:rFonts w:hAnsi="宋体"/>
          <w:bCs/>
          <w:color w:val="000000" w:themeColor="text1"/>
        </w:rPr>
        <w:lastRenderedPageBreak/>
        <w:t>放射性核素。</w:t>
      </w:r>
    </w:p>
    <w:p w14:paraId="7329F2EB"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w:t>
      </w:r>
      <w:r w:rsidRPr="00B12FE0">
        <w:rPr>
          <w:rFonts w:hint="eastAsia"/>
          <w:color w:val="000000" w:themeColor="text1"/>
        </w:rPr>
        <w:t>5</w:t>
      </w:r>
      <w:r w:rsidRPr="00B12FE0">
        <w:rPr>
          <w:rFonts w:hint="eastAsia"/>
          <w:color w:val="000000" w:themeColor="text1"/>
        </w:rPr>
        <w:t>）废靶</w:t>
      </w:r>
    </w:p>
    <w:p w14:paraId="2B5909D3" w14:textId="77777777" w:rsidR="00A67F21" w:rsidRPr="00B12FE0" w:rsidRDefault="00000000">
      <w:pPr>
        <w:adjustRightInd w:val="0"/>
        <w:snapToGrid w:val="0"/>
        <w:spacing w:line="360" w:lineRule="auto"/>
        <w:ind w:firstLine="482"/>
        <w:rPr>
          <w:bCs/>
          <w:color w:val="000000" w:themeColor="text1"/>
        </w:rPr>
      </w:pPr>
      <w:r w:rsidRPr="00B12FE0">
        <w:rPr>
          <w:rFonts w:hint="eastAsia"/>
          <w:bCs/>
          <w:color w:val="000000" w:themeColor="text1"/>
        </w:rPr>
        <w:t>加速器正常运行时，</w:t>
      </w:r>
      <w:proofErr w:type="gramStart"/>
      <w:r w:rsidRPr="00B12FE0">
        <w:rPr>
          <w:rFonts w:hint="eastAsia"/>
          <w:bCs/>
          <w:color w:val="000000" w:themeColor="text1"/>
        </w:rPr>
        <w:t>无废靶产生</w:t>
      </w:r>
      <w:proofErr w:type="gramEnd"/>
      <w:r w:rsidRPr="00B12FE0">
        <w:rPr>
          <w:rFonts w:hint="eastAsia"/>
          <w:bCs/>
          <w:color w:val="000000" w:themeColor="text1"/>
        </w:rPr>
        <w:t>。如果冷却水循环系统出现故障，可能</w:t>
      </w:r>
      <w:proofErr w:type="gramStart"/>
      <w:r w:rsidRPr="00B12FE0">
        <w:rPr>
          <w:rFonts w:hint="eastAsia"/>
          <w:bCs/>
          <w:color w:val="000000" w:themeColor="text1"/>
        </w:rPr>
        <w:t>造成靶体散热</w:t>
      </w:r>
      <w:proofErr w:type="gramEnd"/>
      <w:r w:rsidRPr="00B12FE0">
        <w:rPr>
          <w:rFonts w:hint="eastAsia"/>
          <w:bCs/>
          <w:color w:val="000000" w:themeColor="text1"/>
        </w:rPr>
        <w:t>不畅导致靶被打穿的情况，产生废靶。此外，加速器报废退役时，会</w:t>
      </w:r>
      <w:proofErr w:type="gramStart"/>
      <w:r w:rsidRPr="00B12FE0">
        <w:rPr>
          <w:rFonts w:hint="eastAsia"/>
          <w:bCs/>
          <w:color w:val="000000" w:themeColor="text1"/>
        </w:rPr>
        <w:t>有废靶产生</w:t>
      </w:r>
      <w:proofErr w:type="gramEnd"/>
      <w:r w:rsidRPr="00B12FE0">
        <w:rPr>
          <w:rFonts w:hint="eastAsia"/>
          <w:bCs/>
          <w:color w:val="000000" w:themeColor="text1"/>
        </w:rPr>
        <w:t>。因此</w:t>
      </w:r>
      <w:r w:rsidRPr="00B12FE0">
        <w:rPr>
          <w:rFonts w:hint="eastAsia"/>
          <w:color w:val="000000" w:themeColor="text1"/>
        </w:rPr>
        <w:t>在</w:t>
      </w:r>
      <w:proofErr w:type="gramStart"/>
      <w:r w:rsidRPr="00B12FE0">
        <w:rPr>
          <w:rFonts w:hint="eastAsia"/>
          <w:color w:val="000000" w:themeColor="text1"/>
        </w:rPr>
        <w:t>直线加速器靶件损坏</w:t>
      </w:r>
      <w:proofErr w:type="gramEnd"/>
      <w:r w:rsidRPr="00B12FE0">
        <w:rPr>
          <w:rFonts w:hint="eastAsia"/>
          <w:color w:val="000000" w:themeColor="text1"/>
        </w:rPr>
        <w:t>或报废退役时，会有</w:t>
      </w:r>
      <w:proofErr w:type="gramStart"/>
      <w:r w:rsidRPr="00B12FE0">
        <w:rPr>
          <w:rFonts w:hint="eastAsia"/>
          <w:color w:val="000000" w:themeColor="text1"/>
        </w:rPr>
        <w:t>活化废靶</w:t>
      </w:r>
      <w:r w:rsidRPr="00B12FE0">
        <w:rPr>
          <w:bCs/>
          <w:color w:val="000000" w:themeColor="text1"/>
          <w:kern w:val="10"/>
        </w:rPr>
        <w:t>产生</w:t>
      </w:r>
      <w:proofErr w:type="gramEnd"/>
      <w:r w:rsidRPr="00B12FE0">
        <w:rPr>
          <w:rFonts w:hint="eastAsia"/>
          <w:bCs/>
          <w:color w:val="000000" w:themeColor="text1"/>
          <w:kern w:val="10"/>
        </w:rPr>
        <w:t>。</w:t>
      </w:r>
    </w:p>
    <w:p w14:paraId="11DA9F39" w14:textId="77777777" w:rsidR="00A67F21" w:rsidRPr="00B12FE0" w:rsidRDefault="00000000">
      <w:pPr>
        <w:adjustRightInd w:val="0"/>
        <w:snapToGrid w:val="0"/>
        <w:spacing w:line="360" w:lineRule="auto"/>
        <w:ind w:firstLine="482"/>
        <w:rPr>
          <w:bCs/>
          <w:color w:val="000000" w:themeColor="text1"/>
          <w:kern w:val="10"/>
        </w:rPr>
      </w:pPr>
      <w:r w:rsidRPr="00B12FE0">
        <w:rPr>
          <w:rFonts w:hint="eastAsia"/>
          <w:bCs/>
          <w:color w:val="000000" w:themeColor="text1"/>
          <w:kern w:val="10"/>
        </w:rPr>
        <w:t>（</w:t>
      </w:r>
      <w:r w:rsidRPr="00B12FE0">
        <w:rPr>
          <w:rFonts w:hint="eastAsia"/>
          <w:bCs/>
          <w:color w:val="000000" w:themeColor="text1"/>
          <w:kern w:val="10"/>
        </w:rPr>
        <w:t>6</w:t>
      </w:r>
      <w:r w:rsidRPr="00B12FE0">
        <w:rPr>
          <w:rFonts w:hint="eastAsia"/>
          <w:bCs/>
          <w:color w:val="000000" w:themeColor="text1"/>
          <w:kern w:val="10"/>
        </w:rPr>
        <w:t>）臭氧和氮氧化物</w:t>
      </w:r>
    </w:p>
    <w:p w14:paraId="0B1B10B2" w14:textId="77777777" w:rsidR="00A67F21" w:rsidRPr="00B12FE0" w:rsidRDefault="00000000">
      <w:pPr>
        <w:adjustRightInd w:val="0"/>
        <w:snapToGrid w:val="0"/>
        <w:spacing w:line="360" w:lineRule="auto"/>
        <w:ind w:firstLine="482"/>
        <w:rPr>
          <w:bCs/>
          <w:color w:val="000000" w:themeColor="text1"/>
          <w:kern w:val="10"/>
        </w:rPr>
      </w:pPr>
      <w:r w:rsidRPr="00B12FE0">
        <w:rPr>
          <w:rFonts w:hint="eastAsia"/>
          <w:bCs/>
          <w:color w:val="000000" w:themeColor="text1"/>
          <w:kern w:val="10"/>
        </w:rPr>
        <w:t>加速器在运行过程中，</w:t>
      </w:r>
      <w:r w:rsidRPr="00B12FE0">
        <w:rPr>
          <w:bCs/>
          <w:color w:val="000000" w:themeColor="text1"/>
          <w:kern w:val="10"/>
        </w:rPr>
        <w:t>X</w:t>
      </w:r>
      <w:r w:rsidRPr="00B12FE0">
        <w:rPr>
          <w:rFonts w:hint="eastAsia"/>
          <w:bCs/>
          <w:color w:val="000000" w:themeColor="text1"/>
          <w:kern w:val="10"/>
        </w:rPr>
        <w:t>射线作用于空气以及次级辐射等因素，会产生少量臭氧及氮氧化物。</w:t>
      </w:r>
    </w:p>
    <w:p w14:paraId="285C3EFA" w14:textId="77777777" w:rsidR="00A67F21" w:rsidRPr="00B12FE0" w:rsidRDefault="00000000">
      <w:pPr>
        <w:adjustRightInd w:val="0"/>
        <w:snapToGrid w:val="0"/>
        <w:spacing w:line="360" w:lineRule="auto"/>
        <w:ind w:firstLine="482"/>
        <w:rPr>
          <w:rFonts w:ascii="宋体" w:hAnsi="宋体" w:hint="eastAsia"/>
          <w:color w:val="000000" w:themeColor="text1"/>
        </w:rPr>
      </w:pPr>
      <w:r w:rsidRPr="00B12FE0">
        <w:rPr>
          <w:rFonts w:ascii="宋体" w:hAnsi="宋体" w:hint="eastAsia"/>
          <w:color w:val="000000" w:themeColor="text1"/>
        </w:rPr>
        <w:t>综上所述，本项目医用电子直线加速器运行时产生的污染因子主要为</w:t>
      </w:r>
      <w:r w:rsidRPr="00B12FE0">
        <w:rPr>
          <w:color w:val="000000" w:themeColor="text1"/>
        </w:rPr>
        <w:t>X</w:t>
      </w:r>
      <w:r w:rsidRPr="00B12FE0">
        <w:rPr>
          <w:rFonts w:ascii="宋体" w:hAnsi="宋体" w:hint="eastAsia"/>
          <w:color w:val="000000" w:themeColor="text1"/>
        </w:rPr>
        <w:t>射线、中子、电子线、感生放射性、少量臭氧和氮氧化物以及活化废靶。</w:t>
      </w:r>
    </w:p>
    <w:p w14:paraId="75E8CD24" w14:textId="77777777" w:rsidR="00A67F21" w:rsidRPr="00B12FE0" w:rsidRDefault="00000000">
      <w:pPr>
        <w:tabs>
          <w:tab w:val="left" w:pos="719"/>
        </w:tabs>
        <w:kinsoku w:val="0"/>
        <w:overflowPunct w:val="0"/>
        <w:adjustRightInd w:val="0"/>
        <w:snapToGrid w:val="0"/>
        <w:spacing w:line="360" w:lineRule="auto"/>
        <w:rPr>
          <w:b/>
          <w:color w:val="000000" w:themeColor="text1"/>
          <w:kern w:val="0"/>
        </w:rPr>
      </w:pPr>
      <w:r w:rsidRPr="00B12FE0">
        <w:rPr>
          <w:rFonts w:hint="eastAsia"/>
          <w:b/>
          <w:color w:val="000000" w:themeColor="text1"/>
        </w:rPr>
        <w:t>9.2.1.5</w:t>
      </w:r>
      <w:r w:rsidRPr="00B12FE0">
        <w:rPr>
          <w:rFonts w:hint="eastAsia"/>
          <w:b/>
          <w:color w:val="000000" w:themeColor="text1"/>
          <w:kern w:val="0"/>
        </w:rPr>
        <w:t>后装机</w:t>
      </w:r>
      <w:r w:rsidRPr="00B12FE0">
        <w:rPr>
          <w:b/>
          <w:color w:val="000000" w:themeColor="text1"/>
          <w:kern w:val="0"/>
        </w:rPr>
        <w:t>项目污染源项分析</w:t>
      </w:r>
    </w:p>
    <w:p w14:paraId="7F12D37D" w14:textId="77777777" w:rsidR="00A67F21" w:rsidRPr="00B12FE0" w:rsidRDefault="00000000">
      <w:pPr>
        <w:adjustRightInd w:val="0"/>
        <w:snapToGrid w:val="0"/>
        <w:spacing w:line="360" w:lineRule="auto"/>
        <w:ind w:firstLine="480"/>
        <w:rPr>
          <w:bCs/>
          <w:color w:val="000000" w:themeColor="text1"/>
          <w:kern w:val="10"/>
        </w:rPr>
      </w:pPr>
      <w:r w:rsidRPr="00B12FE0">
        <w:rPr>
          <w:bCs/>
          <w:color w:val="000000" w:themeColor="text1"/>
          <w:kern w:val="10"/>
        </w:rPr>
        <w:t>（</w:t>
      </w:r>
      <w:r w:rsidRPr="00B12FE0">
        <w:rPr>
          <w:bCs/>
          <w:color w:val="000000" w:themeColor="text1"/>
          <w:kern w:val="10"/>
        </w:rPr>
        <w:t>1</w:t>
      </w:r>
      <w:r w:rsidRPr="00B12FE0">
        <w:rPr>
          <w:bCs/>
          <w:color w:val="000000" w:themeColor="text1"/>
          <w:kern w:val="10"/>
        </w:rPr>
        <w:t>）</w:t>
      </w:r>
      <w:r w:rsidRPr="00B12FE0">
        <w:rPr>
          <w:bCs/>
          <w:color w:val="000000" w:themeColor="text1"/>
          <w:kern w:val="10"/>
        </w:rPr>
        <w:t>γ</w:t>
      </w:r>
      <w:r w:rsidRPr="00B12FE0">
        <w:rPr>
          <w:rFonts w:hint="eastAsia"/>
          <w:bCs/>
          <w:color w:val="000000" w:themeColor="text1"/>
          <w:kern w:val="10"/>
        </w:rPr>
        <w:t>射线</w:t>
      </w:r>
    </w:p>
    <w:p w14:paraId="10485487" w14:textId="77777777" w:rsidR="00A67F21" w:rsidRPr="00B12FE0" w:rsidRDefault="00000000">
      <w:pPr>
        <w:adjustRightInd w:val="0"/>
        <w:snapToGrid w:val="0"/>
        <w:spacing w:line="360" w:lineRule="auto"/>
        <w:ind w:firstLineChars="200" w:firstLine="480"/>
        <w:rPr>
          <w:bCs/>
          <w:color w:val="000000" w:themeColor="text1"/>
          <w:kern w:val="10"/>
        </w:rPr>
      </w:pPr>
      <w:r w:rsidRPr="00B12FE0">
        <w:rPr>
          <w:color w:val="000000" w:themeColor="text1"/>
          <w:vertAlign w:val="superscript"/>
        </w:rPr>
        <w:t>192</w:t>
      </w:r>
      <w:r w:rsidRPr="00B12FE0">
        <w:rPr>
          <w:color w:val="000000" w:themeColor="text1"/>
        </w:rPr>
        <w:t>Ir</w:t>
      </w:r>
      <w:r w:rsidRPr="00B12FE0">
        <w:rPr>
          <w:rFonts w:hint="eastAsia"/>
          <w:color w:val="000000" w:themeColor="text1"/>
        </w:rPr>
        <w:t>放射源</w:t>
      </w:r>
      <w:r w:rsidRPr="00B12FE0">
        <w:rPr>
          <w:bCs/>
          <w:color w:val="000000" w:themeColor="text1"/>
          <w:kern w:val="10"/>
        </w:rPr>
        <w:t>为密封源，</w:t>
      </w:r>
      <w:r w:rsidRPr="00B12FE0">
        <w:rPr>
          <w:rFonts w:hint="eastAsia"/>
          <w:bCs/>
          <w:color w:val="000000" w:themeColor="text1"/>
          <w:kern w:val="10"/>
        </w:rPr>
        <w:t>其衰变类型为</w:t>
      </w:r>
      <w:r w:rsidRPr="00B12FE0">
        <w:rPr>
          <w:bCs/>
          <w:color w:val="000000" w:themeColor="text1"/>
          <w:kern w:val="10"/>
        </w:rPr>
        <w:t>γ</w:t>
      </w:r>
      <w:r w:rsidRPr="00B12FE0">
        <w:rPr>
          <w:bCs/>
          <w:color w:val="000000" w:themeColor="text1"/>
          <w:kern w:val="10"/>
        </w:rPr>
        <w:t>衰变</w:t>
      </w:r>
      <w:r w:rsidRPr="00B12FE0">
        <w:rPr>
          <w:rFonts w:hint="eastAsia"/>
          <w:bCs/>
          <w:color w:val="000000" w:themeColor="text1"/>
          <w:kern w:val="10"/>
        </w:rPr>
        <w:t>、</w:t>
      </w:r>
      <w:r w:rsidRPr="00B12FE0">
        <w:rPr>
          <w:bCs/>
          <w:color w:val="000000" w:themeColor="text1"/>
          <w:kern w:val="10"/>
        </w:rPr>
        <w:t>β</w:t>
      </w:r>
      <w:r w:rsidRPr="00B12FE0">
        <w:rPr>
          <w:bCs/>
          <w:color w:val="000000" w:themeColor="text1"/>
          <w:kern w:val="10"/>
        </w:rPr>
        <w:t>衰变</w:t>
      </w:r>
      <w:r w:rsidRPr="00B12FE0">
        <w:rPr>
          <w:rFonts w:hint="eastAsia"/>
          <w:bCs/>
          <w:color w:val="000000" w:themeColor="text1"/>
          <w:kern w:val="10"/>
        </w:rPr>
        <w:t>及</w:t>
      </w:r>
      <w:r w:rsidRPr="00B12FE0">
        <w:rPr>
          <w:bCs/>
          <w:color w:val="000000" w:themeColor="text1"/>
          <w:kern w:val="10"/>
        </w:rPr>
        <w:t>电子俘获</w:t>
      </w:r>
      <w:r w:rsidRPr="00B12FE0">
        <w:rPr>
          <w:rFonts w:hint="eastAsia"/>
          <w:bCs/>
          <w:color w:val="000000" w:themeColor="text1"/>
          <w:kern w:val="10"/>
        </w:rPr>
        <w:t>，</w:t>
      </w:r>
      <w:r w:rsidRPr="00B12FE0">
        <w:rPr>
          <w:color w:val="000000" w:themeColor="text1"/>
        </w:rPr>
        <w:t>衰变过程会发出</w:t>
      </w:r>
      <w:r w:rsidRPr="00B12FE0">
        <w:rPr>
          <w:color w:val="000000" w:themeColor="text1"/>
        </w:rPr>
        <w:t>β</w:t>
      </w:r>
      <w:r w:rsidRPr="00B12FE0">
        <w:rPr>
          <w:color w:val="000000" w:themeColor="text1"/>
        </w:rPr>
        <w:t>、</w:t>
      </w:r>
      <w:r w:rsidRPr="00B12FE0">
        <w:rPr>
          <w:color w:val="000000" w:themeColor="text1"/>
        </w:rPr>
        <w:t>γ</w:t>
      </w:r>
      <w:r w:rsidRPr="00B12FE0">
        <w:rPr>
          <w:color w:val="000000" w:themeColor="text1"/>
        </w:rPr>
        <w:t>射线</w:t>
      </w:r>
      <w:r w:rsidRPr="00B12FE0">
        <w:rPr>
          <w:rFonts w:hint="eastAsia"/>
          <w:color w:val="000000" w:themeColor="text1"/>
        </w:rPr>
        <w:t>。其中</w:t>
      </w:r>
      <w:r w:rsidRPr="00B12FE0">
        <w:rPr>
          <w:bCs/>
          <w:color w:val="000000" w:themeColor="text1"/>
          <w:kern w:val="10"/>
        </w:rPr>
        <w:t>β</w:t>
      </w:r>
      <w:r w:rsidRPr="00B12FE0">
        <w:rPr>
          <w:bCs/>
          <w:color w:val="000000" w:themeColor="text1"/>
          <w:kern w:val="10"/>
        </w:rPr>
        <w:t>射线穿透能力很弱，设备的外包装可以完全屏蔽，使</w:t>
      </w:r>
      <w:r w:rsidRPr="00B12FE0">
        <w:rPr>
          <w:bCs/>
          <w:color w:val="000000" w:themeColor="text1"/>
          <w:kern w:val="10"/>
        </w:rPr>
        <w:t>β</w:t>
      </w:r>
      <w:r w:rsidRPr="00B12FE0">
        <w:rPr>
          <w:bCs/>
          <w:color w:val="000000" w:themeColor="text1"/>
          <w:kern w:val="10"/>
        </w:rPr>
        <w:t>射线不能释放到环境中</w:t>
      </w:r>
      <w:r w:rsidRPr="00B12FE0">
        <w:rPr>
          <w:rFonts w:hint="eastAsia"/>
          <w:bCs/>
          <w:color w:val="000000" w:themeColor="text1"/>
          <w:kern w:val="10"/>
        </w:rPr>
        <w:t>；</w:t>
      </w:r>
      <w:r w:rsidRPr="00B12FE0">
        <w:rPr>
          <w:bCs/>
          <w:color w:val="000000" w:themeColor="text1"/>
          <w:kern w:val="10"/>
        </w:rPr>
        <w:t>γ</w:t>
      </w:r>
      <w:r w:rsidRPr="00B12FE0">
        <w:rPr>
          <w:bCs/>
          <w:color w:val="000000" w:themeColor="text1"/>
          <w:kern w:val="10"/>
        </w:rPr>
        <w:t>射线穿透能力较强，有可能对环境产生辐射影响。</w:t>
      </w:r>
    </w:p>
    <w:p w14:paraId="41DF8B18" w14:textId="77777777" w:rsidR="00A67F21" w:rsidRPr="00B12FE0" w:rsidRDefault="00000000">
      <w:pPr>
        <w:adjustRightInd w:val="0"/>
        <w:snapToGrid w:val="0"/>
        <w:spacing w:line="360" w:lineRule="auto"/>
        <w:ind w:firstLine="480"/>
        <w:rPr>
          <w:bCs/>
          <w:color w:val="000000" w:themeColor="text1"/>
          <w:kern w:val="10"/>
        </w:rPr>
      </w:pPr>
      <w:r w:rsidRPr="00B12FE0">
        <w:rPr>
          <w:bCs/>
          <w:color w:val="000000" w:themeColor="text1"/>
          <w:kern w:val="10"/>
        </w:rPr>
        <w:t>（</w:t>
      </w:r>
      <w:r w:rsidRPr="00B12FE0">
        <w:rPr>
          <w:rFonts w:hint="eastAsia"/>
          <w:bCs/>
          <w:color w:val="000000" w:themeColor="text1"/>
          <w:kern w:val="10"/>
        </w:rPr>
        <w:t>2</w:t>
      </w:r>
      <w:r w:rsidRPr="00B12FE0">
        <w:rPr>
          <w:bCs/>
          <w:color w:val="000000" w:themeColor="text1"/>
          <w:kern w:val="10"/>
        </w:rPr>
        <w:t>）</w:t>
      </w:r>
      <w:r w:rsidRPr="00B12FE0">
        <w:rPr>
          <w:rFonts w:hint="eastAsia"/>
          <w:bCs/>
          <w:color w:val="000000" w:themeColor="text1"/>
          <w:kern w:val="10"/>
        </w:rPr>
        <w:t>废气</w:t>
      </w:r>
    </w:p>
    <w:p w14:paraId="37E7FF92" w14:textId="77777777" w:rsidR="00A67F21" w:rsidRPr="00B12FE0" w:rsidRDefault="00000000">
      <w:pPr>
        <w:adjustRightInd w:val="0"/>
        <w:snapToGrid w:val="0"/>
        <w:spacing w:line="360" w:lineRule="auto"/>
        <w:ind w:firstLineChars="200" w:firstLine="480"/>
        <w:rPr>
          <w:bCs/>
          <w:color w:val="000000" w:themeColor="text1"/>
        </w:rPr>
      </w:pPr>
      <w:r w:rsidRPr="00B12FE0">
        <w:rPr>
          <w:bCs/>
          <w:color w:val="000000" w:themeColor="text1"/>
        </w:rPr>
        <w:t>后装机在运行过程中，</w:t>
      </w:r>
      <w:r w:rsidRPr="00B12FE0">
        <w:rPr>
          <w:bCs/>
          <w:color w:val="000000" w:themeColor="text1"/>
        </w:rPr>
        <w:t>γ</w:t>
      </w:r>
      <w:r w:rsidRPr="00B12FE0">
        <w:rPr>
          <w:bCs/>
          <w:color w:val="000000" w:themeColor="text1"/>
        </w:rPr>
        <w:t>射线作用于空气以及次级辐射等因素，可产生少量臭氧及微量氮氧化物，通过</w:t>
      </w:r>
      <w:r w:rsidRPr="00B12FE0">
        <w:rPr>
          <w:rFonts w:hint="eastAsia"/>
          <w:bCs/>
          <w:color w:val="000000" w:themeColor="text1"/>
        </w:rPr>
        <w:t>强制</w:t>
      </w:r>
      <w:r w:rsidRPr="00B12FE0">
        <w:rPr>
          <w:bCs/>
          <w:color w:val="000000" w:themeColor="text1"/>
        </w:rPr>
        <w:t>排风系统排入大气。</w:t>
      </w:r>
    </w:p>
    <w:p w14:paraId="5A445470" w14:textId="77777777" w:rsidR="00A67F21" w:rsidRPr="00B12FE0" w:rsidRDefault="00000000">
      <w:pPr>
        <w:adjustRightInd w:val="0"/>
        <w:snapToGrid w:val="0"/>
        <w:spacing w:line="360" w:lineRule="auto"/>
        <w:ind w:firstLine="480"/>
        <w:rPr>
          <w:bCs/>
          <w:color w:val="000000" w:themeColor="text1"/>
          <w:kern w:val="10"/>
        </w:rPr>
      </w:pPr>
      <w:r w:rsidRPr="00B12FE0">
        <w:rPr>
          <w:rFonts w:hint="eastAsia"/>
          <w:bCs/>
          <w:color w:val="000000" w:themeColor="text1"/>
          <w:kern w:val="10"/>
        </w:rPr>
        <w:t>（</w:t>
      </w:r>
      <w:r w:rsidRPr="00B12FE0">
        <w:rPr>
          <w:rFonts w:hint="eastAsia"/>
          <w:bCs/>
          <w:color w:val="000000" w:themeColor="text1"/>
          <w:kern w:val="10"/>
        </w:rPr>
        <w:t>3</w:t>
      </w:r>
      <w:r w:rsidRPr="00B12FE0">
        <w:rPr>
          <w:rFonts w:hint="eastAsia"/>
          <w:bCs/>
          <w:color w:val="000000" w:themeColor="text1"/>
          <w:kern w:val="10"/>
        </w:rPr>
        <w:t>）放射性固体废物</w:t>
      </w:r>
    </w:p>
    <w:p w14:paraId="0A6822B5" w14:textId="77777777" w:rsidR="00A67F21" w:rsidRPr="00B12FE0" w:rsidRDefault="00000000">
      <w:pPr>
        <w:adjustRightInd w:val="0"/>
        <w:snapToGrid w:val="0"/>
        <w:spacing w:line="360" w:lineRule="auto"/>
        <w:ind w:firstLine="480"/>
        <w:rPr>
          <w:color w:val="000000" w:themeColor="text1"/>
        </w:rPr>
      </w:pPr>
      <w:r w:rsidRPr="00B12FE0">
        <w:rPr>
          <w:color w:val="000000" w:themeColor="text1"/>
          <w:vertAlign w:val="superscript"/>
        </w:rPr>
        <w:t>192</w:t>
      </w:r>
      <w:r w:rsidRPr="00B12FE0">
        <w:rPr>
          <w:color w:val="000000" w:themeColor="text1"/>
        </w:rPr>
        <w:t>Ir</w:t>
      </w:r>
      <w:r w:rsidRPr="00B12FE0">
        <w:rPr>
          <w:rFonts w:hint="eastAsia"/>
          <w:color w:val="000000" w:themeColor="text1"/>
        </w:rPr>
        <w:t>的</w:t>
      </w:r>
      <w:r w:rsidRPr="00B12FE0">
        <w:rPr>
          <w:color w:val="000000" w:themeColor="text1"/>
        </w:rPr>
        <w:t>半衰期为</w:t>
      </w:r>
      <w:r w:rsidRPr="00B12FE0">
        <w:rPr>
          <w:color w:val="000000" w:themeColor="text1"/>
        </w:rPr>
        <w:t>74</w:t>
      </w:r>
      <w:r w:rsidRPr="00B12FE0">
        <w:rPr>
          <w:color w:val="000000" w:themeColor="text1"/>
        </w:rPr>
        <w:t>天，当</w:t>
      </w:r>
      <w:r w:rsidRPr="00B12FE0">
        <w:rPr>
          <w:rFonts w:hint="eastAsia"/>
          <w:color w:val="000000" w:themeColor="text1"/>
        </w:rPr>
        <w:t>其</w:t>
      </w:r>
      <w:r w:rsidRPr="00B12FE0">
        <w:rPr>
          <w:color w:val="000000" w:themeColor="text1"/>
        </w:rPr>
        <w:t>衰变至其活度不能满足放射治疗需要时，将更换放射源，从而产生废</w:t>
      </w:r>
      <w:r w:rsidRPr="00B12FE0">
        <w:rPr>
          <w:color w:val="000000" w:themeColor="text1"/>
          <w:vertAlign w:val="superscript"/>
        </w:rPr>
        <w:t>192</w:t>
      </w:r>
      <w:r w:rsidRPr="00B12FE0">
        <w:rPr>
          <w:color w:val="000000" w:themeColor="text1"/>
        </w:rPr>
        <w:t>Ir</w:t>
      </w:r>
      <w:r w:rsidRPr="00B12FE0">
        <w:rPr>
          <w:color w:val="000000" w:themeColor="text1"/>
        </w:rPr>
        <w:t>放射源。</w:t>
      </w:r>
      <w:r w:rsidRPr="00B12FE0">
        <w:rPr>
          <w:rFonts w:hint="eastAsia"/>
          <w:color w:val="000000" w:themeColor="text1"/>
        </w:rPr>
        <w:t>医院预计约</w:t>
      </w:r>
      <w:r w:rsidRPr="00B12FE0">
        <w:rPr>
          <w:rFonts w:hint="eastAsia"/>
          <w:color w:val="000000" w:themeColor="text1"/>
        </w:rPr>
        <w:t>120</w:t>
      </w:r>
      <w:r w:rsidRPr="00B12FE0">
        <w:rPr>
          <w:rFonts w:hint="eastAsia"/>
          <w:color w:val="000000" w:themeColor="text1"/>
        </w:rPr>
        <w:t>天更换一次源，一年产生</w:t>
      </w:r>
      <w:r w:rsidRPr="00B12FE0">
        <w:rPr>
          <w:rFonts w:hint="eastAsia"/>
          <w:color w:val="000000" w:themeColor="text1"/>
        </w:rPr>
        <w:t>3</w:t>
      </w:r>
      <w:r w:rsidRPr="00B12FE0">
        <w:rPr>
          <w:color w:val="000000" w:themeColor="text1"/>
        </w:rPr>
        <w:t>枚废旧放射源</w:t>
      </w:r>
      <w:r w:rsidRPr="00B12FE0">
        <w:rPr>
          <w:rFonts w:hint="eastAsia"/>
          <w:color w:val="000000" w:themeColor="text1"/>
        </w:rPr>
        <w:t>。</w:t>
      </w:r>
    </w:p>
    <w:p w14:paraId="5808414F" w14:textId="77777777" w:rsidR="00A67F21" w:rsidRPr="00B12FE0" w:rsidRDefault="00000000">
      <w:pPr>
        <w:adjustRightInd w:val="0"/>
        <w:snapToGrid w:val="0"/>
        <w:spacing w:line="360" w:lineRule="auto"/>
        <w:ind w:firstLineChars="200" w:firstLine="480"/>
        <w:rPr>
          <w:color w:val="000000" w:themeColor="text1"/>
          <w:szCs w:val="32"/>
        </w:rPr>
      </w:pPr>
      <w:r w:rsidRPr="00B12FE0">
        <w:rPr>
          <w:rFonts w:hint="eastAsia"/>
          <w:color w:val="000000" w:themeColor="text1"/>
          <w:szCs w:val="32"/>
        </w:rPr>
        <w:t>（</w:t>
      </w:r>
      <w:r w:rsidRPr="00B12FE0">
        <w:rPr>
          <w:rFonts w:hint="eastAsia"/>
          <w:color w:val="000000" w:themeColor="text1"/>
          <w:szCs w:val="32"/>
        </w:rPr>
        <w:t>4</w:t>
      </w:r>
      <w:r w:rsidRPr="00B12FE0">
        <w:rPr>
          <w:rFonts w:hint="eastAsia"/>
          <w:color w:val="000000" w:themeColor="text1"/>
          <w:szCs w:val="32"/>
        </w:rPr>
        <w:t>）固体废物</w:t>
      </w:r>
    </w:p>
    <w:p w14:paraId="4FBE5F72" w14:textId="77777777" w:rsidR="00A67F21" w:rsidRPr="00B12FE0" w:rsidRDefault="00000000">
      <w:pPr>
        <w:adjustRightInd w:val="0"/>
        <w:snapToGrid w:val="0"/>
        <w:spacing w:line="360" w:lineRule="auto"/>
        <w:ind w:firstLineChars="200" w:firstLine="480"/>
        <w:rPr>
          <w:rFonts w:eastAsia="仿宋_GB2312"/>
          <w:color w:val="000000" w:themeColor="text1"/>
          <w:sz w:val="28"/>
        </w:rPr>
      </w:pPr>
      <w:r w:rsidRPr="00B12FE0">
        <w:rPr>
          <w:rFonts w:hint="eastAsia"/>
          <w:color w:val="000000" w:themeColor="text1"/>
          <w:szCs w:val="32"/>
        </w:rPr>
        <w:t>后装机配套使用</w:t>
      </w:r>
      <w:r w:rsidRPr="00B12FE0">
        <w:rPr>
          <w:rFonts w:hint="eastAsia"/>
          <w:color w:val="000000" w:themeColor="text1"/>
          <w:szCs w:val="32"/>
        </w:rPr>
        <w:t>UPS</w:t>
      </w:r>
      <w:r w:rsidRPr="00B12FE0">
        <w:rPr>
          <w:rFonts w:hint="eastAsia"/>
          <w:color w:val="000000" w:themeColor="text1"/>
          <w:szCs w:val="32"/>
        </w:rPr>
        <w:t>电源，该</w:t>
      </w:r>
      <w:r w:rsidRPr="00B12FE0">
        <w:rPr>
          <w:rFonts w:hint="eastAsia"/>
          <w:color w:val="000000" w:themeColor="text1"/>
          <w:szCs w:val="32"/>
        </w:rPr>
        <w:t>UPS</w:t>
      </w:r>
      <w:r w:rsidRPr="00B12FE0">
        <w:rPr>
          <w:rFonts w:hint="eastAsia"/>
          <w:color w:val="000000" w:themeColor="text1"/>
          <w:szCs w:val="32"/>
        </w:rPr>
        <w:t>电源采用铅蓄电池供电。根据《国家危险废物名录》（</w:t>
      </w:r>
      <w:r w:rsidRPr="00B12FE0">
        <w:rPr>
          <w:rFonts w:hint="eastAsia"/>
          <w:color w:val="000000" w:themeColor="text1"/>
          <w:szCs w:val="32"/>
        </w:rPr>
        <w:t>2025</w:t>
      </w:r>
      <w:r w:rsidRPr="00B12FE0">
        <w:rPr>
          <w:rFonts w:hint="eastAsia"/>
          <w:color w:val="000000" w:themeColor="text1"/>
          <w:szCs w:val="32"/>
        </w:rPr>
        <w:t>年版），废铅蓄电池属于危险废物（废物代码：</w:t>
      </w:r>
      <w:r w:rsidRPr="00B12FE0">
        <w:rPr>
          <w:rFonts w:hint="eastAsia"/>
          <w:color w:val="000000" w:themeColor="text1"/>
          <w:szCs w:val="32"/>
        </w:rPr>
        <w:t>HW31</w:t>
      </w:r>
      <w:r w:rsidRPr="00B12FE0">
        <w:rPr>
          <w:color w:val="000000" w:themeColor="text1"/>
          <w:szCs w:val="32"/>
        </w:rPr>
        <w:t xml:space="preserve"> </w:t>
      </w:r>
      <w:r w:rsidRPr="00B12FE0">
        <w:rPr>
          <w:rFonts w:hint="eastAsia"/>
          <w:color w:val="000000" w:themeColor="text1"/>
          <w:szCs w:val="32"/>
        </w:rPr>
        <w:t>900-052-31</w:t>
      </w:r>
      <w:r w:rsidRPr="00B12FE0">
        <w:rPr>
          <w:rFonts w:hint="eastAsia"/>
          <w:color w:val="000000" w:themeColor="text1"/>
          <w:szCs w:val="32"/>
        </w:rPr>
        <w:t>），其更换周期约</w:t>
      </w:r>
      <w:r w:rsidRPr="00B12FE0">
        <w:rPr>
          <w:rFonts w:hint="eastAsia"/>
          <w:color w:val="000000" w:themeColor="text1"/>
          <w:szCs w:val="32"/>
        </w:rPr>
        <w:t>5</w:t>
      </w:r>
      <w:r w:rsidRPr="00B12FE0">
        <w:rPr>
          <w:rFonts w:hint="eastAsia"/>
          <w:color w:val="000000" w:themeColor="text1"/>
          <w:szCs w:val="32"/>
        </w:rPr>
        <w:t>年</w:t>
      </w:r>
      <w:r w:rsidRPr="00B12FE0">
        <w:rPr>
          <w:rFonts w:hint="eastAsia"/>
          <w:color w:val="000000" w:themeColor="text1"/>
          <w:szCs w:val="32"/>
        </w:rPr>
        <w:t>/</w:t>
      </w:r>
      <w:r w:rsidRPr="00B12FE0">
        <w:rPr>
          <w:rFonts w:hint="eastAsia"/>
          <w:color w:val="000000" w:themeColor="text1"/>
          <w:szCs w:val="32"/>
        </w:rPr>
        <w:t>次，更换下的</w:t>
      </w:r>
      <w:r w:rsidRPr="00B12FE0">
        <w:rPr>
          <w:rFonts w:hint="eastAsia"/>
          <w:color w:val="000000" w:themeColor="text1"/>
          <w:szCs w:val="32"/>
        </w:rPr>
        <w:t>UPS</w:t>
      </w:r>
      <w:r w:rsidRPr="00B12FE0">
        <w:rPr>
          <w:rFonts w:hint="eastAsia"/>
          <w:color w:val="000000" w:themeColor="text1"/>
          <w:szCs w:val="32"/>
        </w:rPr>
        <w:t>电源交由有资质单位处置</w:t>
      </w:r>
      <w:r w:rsidRPr="00B12FE0">
        <w:rPr>
          <w:rFonts w:ascii="宋体" w:hAnsi="宋体" w:hint="eastAsia"/>
          <w:color w:val="000000" w:themeColor="text1"/>
          <w:sz w:val="28"/>
        </w:rPr>
        <w:t>。</w:t>
      </w:r>
    </w:p>
    <w:p w14:paraId="556079E5" w14:textId="77777777" w:rsidR="00A67F21" w:rsidRPr="00B12FE0" w:rsidRDefault="00000000">
      <w:pPr>
        <w:adjustRightInd w:val="0"/>
        <w:snapToGrid w:val="0"/>
        <w:spacing w:line="360" w:lineRule="auto"/>
        <w:ind w:firstLine="480"/>
        <w:rPr>
          <w:bCs/>
          <w:color w:val="000000" w:themeColor="text1"/>
          <w:kern w:val="10"/>
        </w:rPr>
      </w:pPr>
      <w:r w:rsidRPr="00B12FE0">
        <w:rPr>
          <w:bCs/>
          <w:color w:val="000000" w:themeColor="text1"/>
          <w:kern w:val="10"/>
        </w:rPr>
        <w:t>综上，</w:t>
      </w:r>
      <w:r w:rsidRPr="00B12FE0">
        <w:rPr>
          <w:rFonts w:hint="eastAsia"/>
          <w:bCs/>
          <w:color w:val="000000" w:themeColor="text1"/>
          <w:kern w:val="10"/>
        </w:rPr>
        <w:t>本项目</w:t>
      </w:r>
      <w:r w:rsidRPr="00B12FE0">
        <w:rPr>
          <w:bCs/>
          <w:color w:val="000000" w:themeColor="text1"/>
          <w:kern w:val="10"/>
        </w:rPr>
        <w:t>后装机</w:t>
      </w:r>
      <w:r w:rsidRPr="00B12FE0">
        <w:rPr>
          <w:rFonts w:hint="eastAsia"/>
          <w:bCs/>
          <w:color w:val="000000" w:themeColor="text1"/>
          <w:kern w:val="10"/>
        </w:rPr>
        <w:t>的放射性</w:t>
      </w:r>
      <w:r w:rsidRPr="00B12FE0">
        <w:rPr>
          <w:bCs/>
          <w:color w:val="000000" w:themeColor="text1"/>
          <w:kern w:val="10"/>
        </w:rPr>
        <w:t>污染因子为</w:t>
      </w:r>
      <w:r w:rsidRPr="00B12FE0">
        <w:rPr>
          <w:bCs/>
          <w:color w:val="000000" w:themeColor="text1"/>
          <w:kern w:val="10"/>
        </w:rPr>
        <w:t>γ</w:t>
      </w:r>
      <w:r w:rsidRPr="00B12FE0">
        <w:rPr>
          <w:bCs/>
          <w:color w:val="000000" w:themeColor="text1"/>
          <w:kern w:val="10"/>
        </w:rPr>
        <w:t>射线</w:t>
      </w:r>
      <w:r w:rsidRPr="00B12FE0">
        <w:rPr>
          <w:rFonts w:hint="eastAsia"/>
          <w:bCs/>
          <w:color w:val="000000" w:themeColor="text1"/>
          <w:kern w:val="10"/>
        </w:rPr>
        <w:t>和废</w:t>
      </w:r>
      <w:r w:rsidRPr="00B12FE0">
        <w:rPr>
          <w:color w:val="000000" w:themeColor="text1"/>
          <w:vertAlign w:val="superscript"/>
        </w:rPr>
        <w:t>192</w:t>
      </w:r>
      <w:r w:rsidRPr="00B12FE0">
        <w:rPr>
          <w:color w:val="000000" w:themeColor="text1"/>
        </w:rPr>
        <w:t>Ir</w:t>
      </w:r>
      <w:r w:rsidRPr="00B12FE0">
        <w:rPr>
          <w:rFonts w:hint="eastAsia"/>
          <w:color w:val="000000" w:themeColor="text1"/>
        </w:rPr>
        <w:t>放射源</w:t>
      </w:r>
      <w:r w:rsidRPr="00B12FE0">
        <w:rPr>
          <w:bCs/>
          <w:color w:val="000000" w:themeColor="text1"/>
          <w:kern w:val="10"/>
        </w:rPr>
        <w:t>，</w:t>
      </w:r>
      <w:r w:rsidRPr="00B12FE0">
        <w:rPr>
          <w:rFonts w:hint="eastAsia"/>
          <w:bCs/>
          <w:color w:val="000000" w:themeColor="text1"/>
          <w:kern w:val="10"/>
        </w:rPr>
        <w:t>非放射性污染因子为</w:t>
      </w:r>
      <w:r w:rsidRPr="00B12FE0">
        <w:rPr>
          <w:rFonts w:cs="宋体" w:hint="eastAsia"/>
          <w:color w:val="000000" w:themeColor="text1"/>
          <w:szCs w:val="32"/>
        </w:rPr>
        <w:t>废铅蓄电池、</w:t>
      </w:r>
      <w:r w:rsidRPr="00B12FE0">
        <w:rPr>
          <w:bCs/>
          <w:color w:val="000000" w:themeColor="text1"/>
          <w:kern w:val="10"/>
        </w:rPr>
        <w:t>臭氧和氮氧化物。</w:t>
      </w:r>
    </w:p>
    <w:p w14:paraId="71312C17" w14:textId="77777777" w:rsidR="00A67F21" w:rsidRPr="00B12FE0" w:rsidRDefault="00000000">
      <w:pPr>
        <w:adjustRightInd w:val="0"/>
        <w:snapToGrid w:val="0"/>
        <w:spacing w:line="360" w:lineRule="auto"/>
        <w:jc w:val="left"/>
        <w:rPr>
          <w:rFonts w:cs="宋体"/>
          <w:b/>
          <w:color w:val="000000" w:themeColor="text1"/>
          <w:sz w:val="28"/>
          <w:szCs w:val="28"/>
        </w:rPr>
      </w:pPr>
      <w:r w:rsidRPr="00B12FE0">
        <w:rPr>
          <w:rFonts w:hint="eastAsia"/>
          <w:b/>
          <w:color w:val="000000" w:themeColor="text1"/>
        </w:rPr>
        <w:t>9</w:t>
      </w:r>
      <w:r w:rsidRPr="00B12FE0">
        <w:rPr>
          <w:b/>
          <w:color w:val="000000" w:themeColor="text1"/>
        </w:rPr>
        <w:t>.</w:t>
      </w:r>
      <w:r w:rsidRPr="00B12FE0">
        <w:rPr>
          <w:rFonts w:hint="eastAsia"/>
          <w:b/>
          <w:color w:val="000000" w:themeColor="text1"/>
        </w:rPr>
        <w:t>2.1.6</w:t>
      </w:r>
      <w:r w:rsidRPr="00B12FE0">
        <w:rPr>
          <w:rFonts w:cs="宋体" w:hint="eastAsia"/>
          <w:b/>
          <w:color w:val="000000" w:themeColor="text1"/>
        </w:rPr>
        <w:t>模拟定位</w:t>
      </w:r>
      <w:r w:rsidRPr="00B12FE0">
        <w:rPr>
          <w:rFonts w:cs="宋体" w:hint="eastAsia"/>
          <w:b/>
          <w:color w:val="000000" w:themeColor="text1"/>
        </w:rPr>
        <w:t>CT</w:t>
      </w:r>
      <w:r w:rsidRPr="00B12FE0">
        <w:rPr>
          <w:rFonts w:cs="宋体"/>
          <w:b/>
          <w:color w:val="000000" w:themeColor="text1"/>
        </w:rPr>
        <w:t>污染源项分析</w:t>
      </w:r>
    </w:p>
    <w:p w14:paraId="06756FC3" w14:textId="77777777" w:rsidR="00A67F21" w:rsidRPr="00B12FE0" w:rsidRDefault="00000000">
      <w:pPr>
        <w:snapToGrid w:val="0"/>
        <w:spacing w:line="360" w:lineRule="auto"/>
        <w:ind w:firstLineChars="200" w:firstLine="480"/>
        <w:rPr>
          <w:rFonts w:cs="宋体"/>
          <w:color w:val="000000" w:themeColor="text1"/>
        </w:rPr>
      </w:pPr>
      <w:r w:rsidRPr="00B12FE0">
        <w:rPr>
          <w:rFonts w:cs="宋体" w:hint="eastAsia"/>
          <w:color w:val="000000" w:themeColor="text1"/>
        </w:rPr>
        <w:lastRenderedPageBreak/>
        <w:t>模拟定位</w:t>
      </w:r>
      <w:r w:rsidRPr="00B12FE0">
        <w:rPr>
          <w:rFonts w:cs="宋体" w:hint="eastAsia"/>
          <w:color w:val="000000" w:themeColor="text1"/>
        </w:rPr>
        <w:t>C</w:t>
      </w:r>
      <w:r w:rsidRPr="00B12FE0">
        <w:rPr>
          <w:rFonts w:cs="宋体"/>
          <w:color w:val="000000" w:themeColor="text1"/>
        </w:rPr>
        <w:t>T</w:t>
      </w:r>
      <w:r w:rsidRPr="00B12FE0">
        <w:rPr>
          <w:rFonts w:cs="宋体"/>
          <w:color w:val="000000" w:themeColor="text1"/>
        </w:rPr>
        <w:t>曝光时产生</w:t>
      </w:r>
      <w:r w:rsidRPr="00B12FE0">
        <w:rPr>
          <w:rFonts w:cs="宋体"/>
          <w:color w:val="000000" w:themeColor="text1"/>
        </w:rPr>
        <w:t>X</w:t>
      </w:r>
      <w:r w:rsidRPr="00B12FE0">
        <w:rPr>
          <w:rFonts w:cs="宋体"/>
          <w:color w:val="000000" w:themeColor="text1"/>
        </w:rPr>
        <w:t>射线。</w:t>
      </w:r>
      <w:r w:rsidRPr="00B12FE0">
        <w:rPr>
          <w:rFonts w:cs="宋体"/>
          <w:bCs/>
          <w:color w:val="000000" w:themeColor="text1"/>
          <w:kern w:val="10"/>
        </w:rPr>
        <w:t>X</w:t>
      </w:r>
      <w:r w:rsidRPr="00B12FE0">
        <w:rPr>
          <w:rFonts w:cs="宋体"/>
          <w:bCs/>
          <w:color w:val="000000" w:themeColor="text1"/>
          <w:kern w:val="10"/>
        </w:rPr>
        <w:t>射线在开机时产生，关机时消失。</w:t>
      </w:r>
      <w:r w:rsidRPr="00B12FE0">
        <w:rPr>
          <w:rFonts w:cs="宋体"/>
          <w:bCs/>
          <w:color w:val="000000" w:themeColor="text1"/>
          <w:kern w:val="10"/>
        </w:rPr>
        <w:t>X</w:t>
      </w:r>
      <w:r w:rsidRPr="00B12FE0">
        <w:rPr>
          <w:rFonts w:cs="宋体"/>
          <w:bCs/>
          <w:color w:val="000000" w:themeColor="text1"/>
          <w:kern w:val="10"/>
        </w:rPr>
        <w:t>射线防护所要考虑的是</w:t>
      </w:r>
      <w:r w:rsidRPr="00B12FE0">
        <w:rPr>
          <w:rFonts w:cs="宋体"/>
          <w:bCs/>
          <w:color w:val="000000" w:themeColor="text1"/>
          <w:kern w:val="10"/>
        </w:rPr>
        <w:t>X</w:t>
      </w:r>
      <w:r w:rsidRPr="00B12FE0">
        <w:rPr>
          <w:rFonts w:cs="宋体"/>
          <w:bCs/>
          <w:color w:val="000000" w:themeColor="text1"/>
          <w:kern w:val="10"/>
        </w:rPr>
        <w:t>射线的直射、散射和泄漏辐射。</w:t>
      </w:r>
    </w:p>
    <w:p w14:paraId="624D33A0" w14:textId="77777777" w:rsidR="00A67F21" w:rsidRPr="00B12FE0" w:rsidRDefault="00000000">
      <w:pPr>
        <w:adjustRightInd w:val="0"/>
        <w:snapToGrid w:val="0"/>
        <w:spacing w:line="360" w:lineRule="auto"/>
        <w:ind w:firstLine="480"/>
        <w:rPr>
          <w:rFonts w:cs="宋体"/>
          <w:bCs/>
          <w:color w:val="000000" w:themeColor="text1"/>
          <w:kern w:val="10"/>
        </w:rPr>
      </w:pPr>
      <w:r w:rsidRPr="00B12FE0">
        <w:rPr>
          <w:rFonts w:cs="宋体" w:hint="eastAsia"/>
          <w:bCs/>
          <w:color w:val="000000" w:themeColor="text1"/>
          <w:kern w:val="10"/>
        </w:rPr>
        <w:t>模拟定位</w:t>
      </w:r>
      <w:r w:rsidRPr="00B12FE0">
        <w:rPr>
          <w:rFonts w:cs="宋体" w:hint="eastAsia"/>
          <w:bCs/>
          <w:color w:val="000000" w:themeColor="text1"/>
          <w:kern w:val="10"/>
        </w:rPr>
        <w:t>CT</w:t>
      </w:r>
      <w:r w:rsidRPr="00B12FE0">
        <w:rPr>
          <w:rFonts w:cs="宋体" w:hint="eastAsia"/>
          <w:bCs/>
          <w:color w:val="000000" w:themeColor="text1"/>
          <w:kern w:val="10"/>
        </w:rPr>
        <w:t>采取隔室操作，并且在设备安全和防护硬件及措施到位的正常情况下，射线装置机房外的工作人员及公众基本上不会受到</w:t>
      </w:r>
      <w:r w:rsidRPr="00B12FE0">
        <w:rPr>
          <w:rFonts w:cs="宋体" w:hint="eastAsia"/>
          <w:bCs/>
          <w:color w:val="000000" w:themeColor="text1"/>
          <w:kern w:val="10"/>
        </w:rPr>
        <w:t>X</w:t>
      </w:r>
      <w:r w:rsidRPr="00B12FE0">
        <w:rPr>
          <w:rFonts w:cs="宋体" w:hint="eastAsia"/>
          <w:bCs/>
          <w:color w:val="000000" w:themeColor="text1"/>
          <w:kern w:val="10"/>
        </w:rPr>
        <w:t>射线的照射。</w:t>
      </w:r>
    </w:p>
    <w:p w14:paraId="46C26C46" w14:textId="77777777" w:rsidR="00A67F21" w:rsidRPr="00B12FE0" w:rsidRDefault="00000000">
      <w:pPr>
        <w:adjustRightInd w:val="0"/>
        <w:snapToGrid w:val="0"/>
        <w:spacing w:line="360" w:lineRule="auto"/>
        <w:ind w:firstLine="480"/>
        <w:rPr>
          <w:color w:val="000000" w:themeColor="text1"/>
        </w:rPr>
      </w:pPr>
      <w:r w:rsidRPr="00B12FE0">
        <w:rPr>
          <w:rFonts w:cs="宋体" w:hint="eastAsia"/>
          <w:bCs/>
          <w:color w:val="000000" w:themeColor="text1"/>
          <w:kern w:val="10"/>
        </w:rPr>
        <w:t>模拟定位</w:t>
      </w:r>
      <w:r w:rsidRPr="00B12FE0">
        <w:rPr>
          <w:rFonts w:cs="宋体" w:hint="eastAsia"/>
          <w:bCs/>
          <w:color w:val="000000" w:themeColor="text1"/>
          <w:kern w:val="10"/>
        </w:rPr>
        <w:t>CT</w:t>
      </w:r>
      <w:r w:rsidRPr="00B12FE0">
        <w:rPr>
          <w:rFonts w:cs="宋体" w:hint="eastAsia"/>
          <w:bCs/>
          <w:color w:val="000000" w:themeColor="text1"/>
          <w:kern w:val="10"/>
        </w:rPr>
        <w:t>运行时，无放射性废气、废液及固体废物产生。且设备运行时，诊断结果可通过显示屏观察或采用数字技术进行打印，不使用胶片冲洗显影，不产生废显影液、废定影液和废胶片。</w:t>
      </w:r>
      <w:r w:rsidRPr="00B12FE0">
        <w:rPr>
          <w:rFonts w:cs="宋体" w:hint="eastAsia"/>
          <w:color w:val="000000" w:themeColor="text1"/>
        </w:rPr>
        <w:t>模拟定位</w:t>
      </w:r>
      <w:r w:rsidRPr="00B12FE0">
        <w:rPr>
          <w:rFonts w:cs="宋体" w:hint="eastAsia"/>
          <w:color w:val="000000" w:themeColor="text1"/>
        </w:rPr>
        <w:t>CT</w:t>
      </w:r>
      <w:r w:rsidRPr="00B12FE0">
        <w:rPr>
          <w:rFonts w:cs="宋体" w:hint="eastAsia"/>
          <w:color w:val="000000" w:themeColor="text1"/>
        </w:rPr>
        <w:t>在曝光过程中，由于</w:t>
      </w:r>
      <w:r w:rsidRPr="00B12FE0">
        <w:rPr>
          <w:rFonts w:cs="宋体" w:hint="eastAsia"/>
          <w:color w:val="000000" w:themeColor="text1"/>
        </w:rPr>
        <w:t>X</w:t>
      </w:r>
      <w:r w:rsidRPr="00B12FE0">
        <w:rPr>
          <w:rFonts w:cs="宋体" w:hint="eastAsia"/>
          <w:color w:val="000000" w:themeColor="text1"/>
        </w:rPr>
        <w:t>射线与空气电离作用，会有少量臭氧和氮氧化物产生</w:t>
      </w:r>
      <w:r w:rsidRPr="00B12FE0">
        <w:rPr>
          <w:rFonts w:cs="宋体"/>
          <w:color w:val="000000" w:themeColor="text1"/>
        </w:rPr>
        <w:t>。</w:t>
      </w:r>
      <w:r w:rsidRPr="00B12FE0">
        <w:rPr>
          <w:color w:val="000000" w:themeColor="text1"/>
        </w:rPr>
        <w:t>因射线装置每次曝光时间短，臭氧和氮氧化物产生量很少。</w:t>
      </w:r>
    </w:p>
    <w:p w14:paraId="2BC08988" w14:textId="77777777" w:rsidR="00A67F21" w:rsidRPr="00B12FE0" w:rsidRDefault="00000000">
      <w:pPr>
        <w:adjustRightInd w:val="0"/>
        <w:snapToGrid w:val="0"/>
        <w:spacing w:line="360" w:lineRule="auto"/>
        <w:jc w:val="left"/>
        <w:outlineLvl w:val="2"/>
        <w:rPr>
          <w:b/>
          <w:color w:val="000000" w:themeColor="text1"/>
        </w:rPr>
      </w:pPr>
      <w:r w:rsidRPr="00B12FE0">
        <w:rPr>
          <w:b/>
          <w:color w:val="000000" w:themeColor="text1"/>
        </w:rPr>
        <w:t>9.</w:t>
      </w:r>
      <w:r w:rsidRPr="00B12FE0">
        <w:rPr>
          <w:rFonts w:hint="eastAsia"/>
          <w:b/>
          <w:color w:val="000000" w:themeColor="text1"/>
        </w:rPr>
        <w:t>2</w:t>
      </w:r>
      <w:r w:rsidRPr="00B12FE0">
        <w:rPr>
          <w:b/>
          <w:color w:val="000000" w:themeColor="text1"/>
        </w:rPr>
        <w:t>.2</w:t>
      </w:r>
      <w:r w:rsidRPr="00B12FE0">
        <w:rPr>
          <w:b/>
          <w:color w:val="000000" w:themeColor="text1"/>
        </w:rPr>
        <w:t>非正常工况污染源项描述</w:t>
      </w:r>
    </w:p>
    <w:p w14:paraId="1468E08E" w14:textId="77777777" w:rsidR="00A67F21" w:rsidRPr="00B12FE0" w:rsidRDefault="00000000">
      <w:pPr>
        <w:adjustRightInd w:val="0"/>
        <w:snapToGrid w:val="0"/>
        <w:spacing w:line="360" w:lineRule="auto"/>
        <w:outlineLvl w:val="3"/>
        <w:rPr>
          <w:b/>
          <w:color w:val="000000" w:themeColor="text1"/>
          <w:kern w:val="0"/>
        </w:rPr>
      </w:pPr>
      <w:r w:rsidRPr="00B12FE0">
        <w:rPr>
          <w:b/>
          <w:color w:val="000000" w:themeColor="text1"/>
        </w:rPr>
        <w:t>9.</w:t>
      </w:r>
      <w:r w:rsidRPr="00B12FE0">
        <w:rPr>
          <w:rFonts w:hint="eastAsia"/>
          <w:b/>
          <w:color w:val="000000" w:themeColor="text1"/>
        </w:rPr>
        <w:t>2</w:t>
      </w:r>
      <w:r w:rsidRPr="00B12FE0">
        <w:rPr>
          <w:b/>
          <w:color w:val="000000" w:themeColor="text1"/>
        </w:rPr>
        <w:t>.2</w:t>
      </w:r>
      <w:r w:rsidRPr="00B12FE0">
        <w:rPr>
          <w:rFonts w:hint="eastAsia"/>
          <w:b/>
          <w:color w:val="000000" w:themeColor="text1"/>
        </w:rPr>
        <w:t>.1</w:t>
      </w:r>
      <w:r w:rsidRPr="00B12FE0">
        <w:rPr>
          <w:rFonts w:hint="eastAsia"/>
          <w:b/>
          <w:color w:val="000000" w:themeColor="text1"/>
          <w:kern w:val="0"/>
        </w:rPr>
        <w:t>核医学工作场所</w:t>
      </w:r>
      <w:r w:rsidRPr="00B12FE0">
        <w:rPr>
          <w:b/>
          <w:color w:val="000000" w:themeColor="text1"/>
          <w:kern w:val="0"/>
        </w:rPr>
        <w:t>非正常</w:t>
      </w:r>
      <w:proofErr w:type="gramStart"/>
      <w:r w:rsidRPr="00B12FE0">
        <w:rPr>
          <w:b/>
          <w:color w:val="000000" w:themeColor="text1"/>
          <w:kern w:val="0"/>
        </w:rPr>
        <w:t>工况源项</w:t>
      </w:r>
      <w:r w:rsidRPr="00B12FE0">
        <w:rPr>
          <w:rFonts w:hint="eastAsia"/>
          <w:b/>
          <w:color w:val="000000" w:themeColor="text1"/>
          <w:kern w:val="0"/>
        </w:rPr>
        <w:t>描述</w:t>
      </w:r>
      <w:proofErr w:type="gramEnd"/>
    </w:p>
    <w:p w14:paraId="167B5944"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1</w:t>
      </w:r>
      <w:r w:rsidRPr="00B12FE0">
        <w:rPr>
          <w:rFonts w:hint="eastAsia"/>
          <w:color w:val="000000" w:themeColor="text1"/>
        </w:rPr>
        <w:t>）回旋加速器内管道及传输管道堵塞或破裂，导致放射性药物意外泄漏，造成工作场所污染和人员的误照射。</w:t>
      </w:r>
    </w:p>
    <w:p w14:paraId="151C4997" w14:textId="77777777" w:rsidR="00A67F21" w:rsidRPr="00B12FE0" w:rsidRDefault="00000000">
      <w:pPr>
        <w:adjustRightInd w:val="0"/>
        <w:snapToGrid w:val="0"/>
        <w:spacing w:line="360" w:lineRule="auto"/>
        <w:ind w:firstLineChars="200" w:firstLine="480"/>
        <w:rPr>
          <w:bCs/>
          <w:color w:val="000000" w:themeColor="text1"/>
          <w:kern w:val="0"/>
        </w:rPr>
      </w:pPr>
      <w:r w:rsidRPr="00B12FE0">
        <w:rPr>
          <w:rFonts w:hint="eastAsia"/>
          <w:color w:val="000000" w:themeColor="text1"/>
        </w:rPr>
        <w:t>（</w:t>
      </w:r>
      <w:r w:rsidRPr="00B12FE0">
        <w:rPr>
          <w:rFonts w:hint="eastAsia"/>
          <w:color w:val="000000" w:themeColor="text1"/>
        </w:rPr>
        <w:t>2</w:t>
      </w:r>
      <w:r w:rsidRPr="00B12FE0">
        <w:rPr>
          <w:rFonts w:hint="eastAsia"/>
          <w:color w:val="000000" w:themeColor="text1"/>
        </w:rPr>
        <w:t>）</w:t>
      </w:r>
      <w:r w:rsidRPr="00B12FE0">
        <w:rPr>
          <w:color w:val="000000" w:themeColor="text1"/>
        </w:rPr>
        <w:t>PET/CT</w:t>
      </w:r>
      <w:r w:rsidRPr="00B12FE0">
        <w:rPr>
          <w:color w:val="000000" w:themeColor="text1"/>
        </w:rPr>
        <w:t>或</w:t>
      </w:r>
      <w:r w:rsidRPr="00B12FE0">
        <w:rPr>
          <w:color w:val="000000" w:themeColor="text1"/>
        </w:rPr>
        <w:t>SPECT/CT</w:t>
      </w:r>
      <w:r w:rsidRPr="00B12FE0">
        <w:rPr>
          <w:bCs/>
          <w:color w:val="000000" w:themeColor="text1"/>
          <w:kern w:val="0"/>
        </w:rPr>
        <w:t>机房门灯联锁装置发生故障时，人员误入正在运行的射线装置机房，对人员造成误照射。</w:t>
      </w:r>
    </w:p>
    <w:p w14:paraId="793FEF0F" w14:textId="77777777" w:rsidR="00A67F21" w:rsidRPr="00B12FE0" w:rsidRDefault="00000000">
      <w:pPr>
        <w:pStyle w:val="TableParagraph"/>
        <w:autoSpaceDE/>
        <w:autoSpaceDN/>
        <w:adjustRightInd/>
        <w:spacing w:line="360" w:lineRule="auto"/>
        <w:ind w:firstLineChars="200" w:firstLine="480"/>
        <w:jc w:val="both"/>
        <w:rPr>
          <w:bCs/>
          <w:color w:val="000000" w:themeColor="text1"/>
        </w:rPr>
      </w:pPr>
      <w:r w:rsidRPr="00B12FE0">
        <w:rPr>
          <w:rFonts w:hint="eastAsia"/>
          <w:color w:val="000000" w:themeColor="text1"/>
        </w:rPr>
        <w:t>（</w:t>
      </w:r>
      <w:r w:rsidRPr="00B12FE0">
        <w:rPr>
          <w:rFonts w:hint="eastAsia"/>
          <w:color w:val="000000" w:themeColor="text1"/>
        </w:rPr>
        <w:t>3</w:t>
      </w:r>
      <w:r w:rsidRPr="00B12FE0">
        <w:rPr>
          <w:rFonts w:hint="eastAsia"/>
          <w:color w:val="000000" w:themeColor="text1"/>
        </w:rPr>
        <w:t>）</w:t>
      </w:r>
      <w:r w:rsidRPr="00B12FE0">
        <w:rPr>
          <w:bCs/>
          <w:color w:val="000000" w:themeColor="text1"/>
        </w:rPr>
        <w:t>由于工作人员操作不熟练或违反放射操作规程或误操作等其他原因致使放射性药物洒漏，造成意外照射和辐射污染。</w:t>
      </w:r>
    </w:p>
    <w:p w14:paraId="24C2FE0C"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4</w:t>
      </w:r>
      <w:r w:rsidRPr="00B12FE0">
        <w:rPr>
          <w:rFonts w:hint="eastAsia"/>
          <w:color w:val="000000" w:themeColor="text1"/>
        </w:rPr>
        <w:t>）</w:t>
      </w:r>
      <w:r w:rsidRPr="00B12FE0">
        <w:rPr>
          <w:color w:val="000000" w:themeColor="text1"/>
        </w:rPr>
        <w:t>由于未锁好</w:t>
      </w:r>
      <w:r w:rsidRPr="00B12FE0">
        <w:rPr>
          <w:rFonts w:hint="eastAsia"/>
          <w:color w:val="000000" w:themeColor="text1"/>
        </w:rPr>
        <w:t>核医学工作场所</w:t>
      </w:r>
      <w:r w:rsidRPr="00B12FE0">
        <w:rPr>
          <w:color w:val="000000" w:themeColor="text1"/>
        </w:rPr>
        <w:t>进出口的大门或取用药物后未及时锁好防护门或保险柜等药物保管工作不到位致使放射性药剂丢失，可能对公众和周围环境造成辐射污染。</w:t>
      </w:r>
    </w:p>
    <w:p w14:paraId="6798E5E7" w14:textId="77777777" w:rsidR="00A67F21" w:rsidRPr="00B12FE0" w:rsidRDefault="00000000">
      <w:pPr>
        <w:adjustRightInd w:val="0"/>
        <w:snapToGrid w:val="0"/>
        <w:spacing w:line="360" w:lineRule="auto"/>
        <w:jc w:val="left"/>
        <w:outlineLvl w:val="3"/>
        <w:rPr>
          <w:b/>
          <w:bCs/>
          <w:color w:val="000000" w:themeColor="text1"/>
        </w:rPr>
      </w:pPr>
      <w:r w:rsidRPr="00B12FE0">
        <w:rPr>
          <w:b/>
          <w:color w:val="000000" w:themeColor="text1"/>
        </w:rPr>
        <w:t>9.</w:t>
      </w:r>
      <w:r w:rsidRPr="00B12FE0">
        <w:rPr>
          <w:rFonts w:hint="eastAsia"/>
          <w:b/>
          <w:color w:val="000000" w:themeColor="text1"/>
        </w:rPr>
        <w:t>3</w:t>
      </w:r>
      <w:r w:rsidRPr="00B12FE0">
        <w:rPr>
          <w:b/>
          <w:color w:val="000000" w:themeColor="text1"/>
        </w:rPr>
        <w:t>.2</w:t>
      </w:r>
      <w:r w:rsidRPr="00B12FE0">
        <w:rPr>
          <w:rFonts w:hint="eastAsia"/>
          <w:b/>
          <w:color w:val="000000" w:themeColor="text1"/>
        </w:rPr>
        <w:t>.2</w:t>
      </w:r>
      <w:proofErr w:type="gramStart"/>
      <w:r w:rsidRPr="00B12FE0">
        <w:rPr>
          <w:rFonts w:hint="eastAsia"/>
          <w:b/>
          <w:bCs/>
          <w:color w:val="000000" w:themeColor="text1"/>
        </w:rPr>
        <w:t>放疗科</w:t>
      </w:r>
      <w:r w:rsidRPr="00B12FE0">
        <w:rPr>
          <w:b/>
          <w:bCs/>
          <w:color w:val="000000" w:themeColor="text1"/>
        </w:rPr>
        <w:t>非正常工况源项</w:t>
      </w:r>
      <w:r w:rsidRPr="00B12FE0">
        <w:rPr>
          <w:rFonts w:hint="eastAsia"/>
          <w:b/>
          <w:bCs/>
          <w:color w:val="000000" w:themeColor="text1"/>
        </w:rPr>
        <w:t>描述</w:t>
      </w:r>
      <w:proofErr w:type="gramEnd"/>
    </w:p>
    <w:p w14:paraId="6FB8BD0F" w14:textId="77777777" w:rsidR="00A67F21" w:rsidRPr="00B12FE0" w:rsidRDefault="00000000">
      <w:pPr>
        <w:adjustRightInd w:val="0"/>
        <w:snapToGrid w:val="0"/>
        <w:spacing w:line="360" w:lineRule="auto"/>
        <w:ind w:firstLine="480"/>
        <w:jc w:val="left"/>
        <w:rPr>
          <w:color w:val="000000" w:themeColor="text1"/>
        </w:rPr>
      </w:pPr>
      <w:r w:rsidRPr="00B12FE0">
        <w:rPr>
          <w:color w:val="000000" w:themeColor="text1"/>
        </w:rPr>
        <w:t>（</w:t>
      </w:r>
      <w:r w:rsidRPr="00B12FE0">
        <w:rPr>
          <w:color w:val="000000" w:themeColor="text1"/>
        </w:rPr>
        <w:t>1</w:t>
      </w:r>
      <w:r w:rsidRPr="00B12FE0">
        <w:rPr>
          <w:color w:val="000000" w:themeColor="text1"/>
        </w:rPr>
        <w:t>）直线加速器非正常工况污染源项描述</w:t>
      </w:r>
    </w:p>
    <w:p w14:paraId="1D39E91B" w14:textId="77777777" w:rsidR="00A67F21" w:rsidRPr="00B12FE0" w:rsidRDefault="00000000">
      <w:pPr>
        <w:adjustRightInd w:val="0"/>
        <w:snapToGrid w:val="0"/>
        <w:spacing w:line="360" w:lineRule="auto"/>
        <w:ind w:firstLine="480"/>
        <w:rPr>
          <w:color w:val="000000" w:themeColor="text1"/>
        </w:rPr>
      </w:pPr>
      <w:r w:rsidRPr="00B12FE0">
        <w:rPr>
          <w:color w:val="000000" w:themeColor="text1"/>
        </w:rPr>
        <w:fldChar w:fldCharType="begin"/>
      </w:r>
      <w:r w:rsidRPr="00B12FE0">
        <w:rPr>
          <w:color w:val="000000" w:themeColor="text1"/>
        </w:rPr>
        <w:instrText xml:space="preserve"> = 1 \* GB3 </w:instrText>
      </w:r>
      <w:r w:rsidRPr="00B12FE0">
        <w:rPr>
          <w:color w:val="000000" w:themeColor="text1"/>
        </w:rPr>
        <w:fldChar w:fldCharType="separate"/>
      </w:r>
      <w:r w:rsidRPr="00B12FE0">
        <w:rPr>
          <w:rFonts w:ascii="宋体" w:hAnsi="宋体" w:cs="宋体" w:hint="eastAsia"/>
          <w:color w:val="000000" w:themeColor="text1"/>
        </w:rPr>
        <w:t>①</w:t>
      </w:r>
      <w:r w:rsidRPr="00B12FE0">
        <w:rPr>
          <w:color w:val="000000" w:themeColor="text1"/>
        </w:rPr>
        <w:fldChar w:fldCharType="end"/>
      </w:r>
      <w:r w:rsidRPr="00B12FE0">
        <w:rPr>
          <w:color w:val="000000" w:themeColor="text1"/>
        </w:rPr>
        <w:t>安全</w:t>
      </w:r>
      <w:proofErr w:type="gramStart"/>
      <w:r w:rsidRPr="00B12FE0">
        <w:rPr>
          <w:color w:val="000000" w:themeColor="text1"/>
        </w:rPr>
        <w:t>联锁</w:t>
      </w:r>
      <w:proofErr w:type="gramEnd"/>
      <w:r w:rsidRPr="00B12FE0">
        <w:rPr>
          <w:color w:val="000000" w:themeColor="text1"/>
        </w:rPr>
        <w:t>失效，人员可能在防护门未关闭时误入机房，如果这时运行加速器，则可能造成误照射事故。</w:t>
      </w:r>
    </w:p>
    <w:p w14:paraId="51B05FA3"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fldChar w:fldCharType="begin"/>
      </w:r>
      <w:r w:rsidRPr="00B12FE0">
        <w:rPr>
          <w:color w:val="000000" w:themeColor="text1"/>
        </w:rPr>
        <w:instrText xml:space="preserve"> = 2 \* GB3 </w:instrText>
      </w:r>
      <w:r w:rsidRPr="00B12FE0">
        <w:rPr>
          <w:color w:val="000000" w:themeColor="text1"/>
        </w:rPr>
        <w:fldChar w:fldCharType="separate"/>
      </w:r>
      <w:r w:rsidRPr="00B12FE0">
        <w:rPr>
          <w:rFonts w:ascii="宋体" w:hAnsi="宋体" w:cs="宋体" w:hint="eastAsia"/>
          <w:color w:val="000000" w:themeColor="text1"/>
        </w:rPr>
        <w:t>②</w:t>
      </w:r>
      <w:r w:rsidRPr="00B12FE0">
        <w:rPr>
          <w:color w:val="000000" w:themeColor="text1"/>
        </w:rPr>
        <w:fldChar w:fldCharType="end"/>
      </w:r>
      <w:r w:rsidRPr="00B12FE0">
        <w:rPr>
          <w:color w:val="000000" w:themeColor="text1"/>
        </w:rPr>
        <w:t>除受治疗患者以外，机房中仍有其他人员未撤离时，操作人员未严格按照操作规程确认机房中环境便运行加速器，则会造成机房中人员误照射。</w:t>
      </w:r>
    </w:p>
    <w:p w14:paraId="7651DE35"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w:t>
      </w:r>
      <w:r w:rsidRPr="00B12FE0">
        <w:rPr>
          <w:color w:val="000000" w:themeColor="text1"/>
        </w:rPr>
        <w:t>2</w:t>
      </w:r>
      <w:r w:rsidRPr="00B12FE0">
        <w:rPr>
          <w:color w:val="000000" w:themeColor="text1"/>
        </w:rPr>
        <w:t>）后装机非正常工况污染源项描述</w:t>
      </w:r>
    </w:p>
    <w:p w14:paraId="3DC689F8"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1 \* GB3 </w:instrText>
      </w:r>
      <w:r w:rsidRPr="00B12FE0">
        <w:rPr>
          <w:color w:val="000000" w:themeColor="text1"/>
          <w:szCs w:val="28"/>
        </w:rPr>
        <w:fldChar w:fldCharType="separate"/>
      </w:r>
      <w:r w:rsidRPr="00B12FE0">
        <w:rPr>
          <w:rFonts w:ascii="宋体" w:hAnsi="宋体" w:cs="宋体" w:hint="eastAsia"/>
          <w:color w:val="000000" w:themeColor="text1"/>
          <w:szCs w:val="28"/>
        </w:rPr>
        <w:t>①</w:t>
      </w:r>
      <w:r w:rsidRPr="00B12FE0">
        <w:rPr>
          <w:color w:val="000000" w:themeColor="text1"/>
          <w:szCs w:val="28"/>
        </w:rPr>
        <w:fldChar w:fldCharType="end"/>
      </w:r>
      <w:r w:rsidRPr="00B12FE0">
        <w:rPr>
          <w:color w:val="000000" w:themeColor="text1"/>
          <w:szCs w:val="28"/>
        </w:rPr>
        <w:t>放射源密封壳破损，源活性物质泄漏；</w:t>
      </w:r>
    </w:p>
    <w:p w14:paraId="04A7CC89"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2 \* GB3 </w:instrText>
      </w:r>
      <w:r w:rsidRPr="00B12FE0">
        <w:rPr>
          <w:color w:val="000000" w:themeColor="text1"/>
          <w:szCs w:val="28"/>
        </w:rPr>
        <w:fldChar w:fldCharType="separate"/>
      </w:r>
      <w:r w:rsidRPr="00B12FE0">
        <w:rPr>
          <w:rFonts w:ascii="宋体" w:hAnsi="宋体" w:cs="宋体" w:hint="eastAsia"/>
          <w:color w:val="000000" w:themeColor="text1"/>
          <w:szCs w:val="28"/>
        </w:rPr>
        <w:t>②</w:t>
      </w:r>
      <w:r w:rsidRPr="00B12FE0">
        <w:rPr>
          <w:color w:val="000000" w:themeColor="text1"/>
          <w:szCs w:val="28"/>
        </w:rPr>
        <w:fldChar w:fldCharType="end"/>
      </w:r>
      <w:r w:rsidRPr="00B12FE0">
        <w:rPr>
          <w:color w:val="000000" w:themeColor="text1"/>
          <w:szCs w:val="28"/>
        </w:rPr>
        <w:t>治疗过程中，</w:t>
      </w:r>
      <w:proofErr w:type="gramStart"/>
      <w:r w:rsidRPr="00B12FE0">
        <w:rPr>
          <w:color w:val="000000" w:themeColor="text1"/>
          <w:szCs w:val="28"/>
        </w:rPr>
        <w:t>发生卡源事故</w:t>
      </w:r>
      <w:proofErr w:type="gramEnd"/>
      <w:r w:rsidRPr="00B12FE0">
        <w:rPr>
          <w:color w:val="000000" w:themeColor="text1"/>
          <w:szCs w:val="28"/>
        </w:rPr>
        <w:t>；</w:t>
      </w:r>
    </w:p>
    <w:p w14:paraId="345E444A"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3 \* GB3 </w:instrText>
      </w:r>
      <w:r w:rsidRPr="00B12FE0">
        <w:rPr>
          <w:color w:val="000000" w:themeColor="text1"/>
          <w:szCs w:val="28"/>
        </w:rPr>
        <w:fldChar w:fldCharType="separate"/>
      </w:r>
      <w:r w:rsidRPr="00B12FE0">
        <w:rPr>
          <w:rFonts w:ascii="宋体" w:hAnsi="宋体" w:cs="宋体" w:hint="eastAsia"/>
          <w:color w:val="000000" w:themeColor="text1"/>
          <w:szCs w:val="28"/>
        </w:rPr>
        <w:t>③</w:t>
      </w:r>
      <w:r w:rsidRPr="00B12FE0">
        <w:rPr>
          <w:color w:val="000000" w:themeColor="text1"/>
          <w:szCs w:val="28"/>
        </w:rPr>
        <w:fldChar w:fldCharType="end"/>
      </w:r>
      <w:r w:rsidRPr="00B12FE0">
        <w:rPr>
          <w:color w:val="000000" w:themeColor="text1"/>
          <w:szCs w:val="28"/>
        </w:rPr>
        <w:t>安全联锁装置失效，人员误入治疗室而受到额外照射，还可能发生放射源阻丝、</w:t>
      </w:r>
      <w:proofErr w:type="gramStart"/>
      <w:r w:rsidRPr="00B12FE0">
        <w:rPr>
          <w:color w:val="000000" w:themeColor="text1"/>
          <w:szCs w:val="28"/>
        </w:rPr>
        <w:lastRenderedPageBreak/>
        <w:t>源位异常</w:t>
      </w:r>
      <w:proofErr w:type="gramEnd"/>
      <w:r w:rsidRPr="00B12FE0">
        <w:rPr>
          <w:color w:val="000000" w:themeColor="text1"/>
          <w:szCs w:val="28"/>
        </w:rPr>
        <w:t>等故障；</w:t>
      </w:r>
    </w:p>
    <w:p w14:paraId="1F6E9E48"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4 \* GB3 </w:instrText>
      </w:r>
      <w:r w:rsidRPr="00B12FE0">
        <w:rPr>
          <w:color w:val="000000" w:themeColor="text1"/>
          <w:szCs w:val="28"/>
        </w:rPr>
        <w:fldChar w:fldCharType="separate"/>
      </w:r>
      <w:r w:rsidRPr="00B12FE0">
        <w:rPr>
          <w:rFonts w:ascii="宋体" w:hAnsi="宋体" w:cs="宋体" w:hint="eastAsia"/>
          <w:color w:val="000000" w:themeColor="text1"/>
          <w:szCs w:val="28"/>
        </w:rPr>
        <w:t>④</w:t>
      </w:r>
      <w:r w:rsidRPr="00B12FE0">
        <w:rPr>
          <w:color w:val="000000" w:themeColor="text1"/>
          <w:szCs w:val="28"/>
        </w:rPr>
        <w:fldChar w:fldCharType="end"/>
      </w:r>
      <w:r w:rsidRPr="00B12FE0">
        <w:rPr>
          <w:color w:val="000000" w:themeColor="text1"/>
          <w:szCs w:val="28"/>
        </w:rPr>
        <w:t>设备检修时，工作人员误将治疗机的屏蔽装置打开或者卸下放射源，对维修人员产生额外照射。</w:t>
      </w:r>
    </w:p>
    <w:p w14:paraId="71BAEA00"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5 \* GB3 </w:instrText>
      </w:r>
      <w:r w:rsidRPr="00B12FE0">
        <w:rPr>
          <w:color w:val="000000" w:themeColor="text1"/>
          <w:szCs w:val="28"/>
        </w:rPr>
        <w:fldChar w:fldCharType="separate"/>
      </w:r>
      <w:r w:rsidRPr="00B12FE0">
        <w:rPr>
          <w:rFonts w:ascii="宋体" w:hAnsi="宋体" w:cs="宋体" w:hint="eastAsia"/>
          <w:color w:val="000000" w:themeColor="text1"/>
          <w:szCs w:val="28"/>
        </w:rPr>
        <w:t>⑤</w:t>
      </w:r>
      <w:r w:rsidRPr="00B12FE0">
        <w:rPr>
          <w:color w:val="000000" w:themeColor="text1"/>
          <w:szCs w:val="28"/>
        </w:rPr>
        <w:fldChar w:fldCharType="end"/>
      </w:r>
      <w:r w:rsidRPr="00B12FE0">
        <w:rPr>
          <w:color w:val="000000" w:themeColor="text1"/>
          <w:szCs w:val="28"/>
        </w:rPr>
        <w:t>工作人员操作不当或设备故障，在设备安装、更换放射源时，放射源由设备或容器中滑落出来，造成安装或操作人员受到额外照射。</w:t>
      </w:r>
    </w:p>
    <w:p w14:paraId="2AAFE488"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三、模拟定位</w:t>
      </w:r>
      <w:r w:rsidRPr="00B12FE0">
        <w:rPr>
          <w:rFonts w:hint="eastAsia"/>
          <w:color w:val="000000" w:themeColor="text1"/>
        </w:rPr>
        <w:t>CT</w:t>
      </w:r>
      <w:r w:rsidRPr="00B12FE0">
        <w:rPr>
          <w:color w:val="000000" w:themeColor="text1"/>
        </w:rPr>
        <w:t>非正常工况污染源项描述</w:t>
      </w:r>
    </w:p>
    <w:p w14:paraId="38DF09DA"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rPr>
        <w:t>（</w:t>
      </w:r>
      <w:r w:rsidRPr="00B12FE0">
        <w:rPr>
          <w:rFonts w:cs="宋体"/>
          <w:color w:val="000000" w:themeColor="text1"/>
        </w:rPr>
        <w:t>1</w:t>
      </w:r>
      <w:r w:rsidRPr="00B12FE0">
        <w:rPr>
          <w:rFonts w:cs="宋体" w:hint="eastAsia"/>
          <w:color w:val="000000" w:themeColor="text1"/>
        </w:rPr>
        <w:t>）装置在运行时，由于门</w:t>
      </w:r>
      <w:r w:rsidRPr="00B12FE0">
        <w:rPr>
          <w:rFonts w:cs="宋体" w:hint="eastAsia"/>
          <w:color w:val="000000" w:themeColor="text1"/>
        </w:rPr>
        <w:t>-</w:t>
      </w:r>
      <w:r w:rsidRPr="00B12FE0">
        <w:rPr>
          <w:rFonts w:cs="宋体" w:hint="eastAsia"/>
          <w:color w:val="000000" w:themeColor="text1"/>
        </w:rPr>
        <w:t>灯</w:t>
      </w:r>
      <w:proofErr w:type="gramStart"/>
      <w:r w:rsidRPr="00B12FE0">
        <w:rPr>
          <w:rFonts w:cs="宋体" w:hint="eastAsia"/>
          <w:color w:val="000000" w:themeColor="text1"/>
        </w:rPr>
        <w:t>联锁</w:t>
      </w:r>
      <w:proofErr w:type="gramEnd"/>
      <w:r w:rsidRPr="00B12FE0">
        <w:rPr>
          <w:rFonts w:cs="宋体" w:hint="eastAsia"/>
          <w:color w:val="000000" w:themeColor="text1"/>
        </w:rPr>
        <w:t>系统失效，人员误入或滞留在机房内而造成误照射；</w:t>
      </w:r>
    </w:p>
    <w:p w14:paraId="5F89BEDE"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rPr>
        <w:t>（</w:t>
      </w:r>
      <w:r w:rsidRPr="00B12FE0">
        <w:rPr>
          <w:rFonts w:cs="宋体"/>
          <w:color w:val="000000" w:themeColor="text1"/>
        </w:rPr>
        <w:t>2</w:t>
      </w:r>
      <w:r w:rsidRPr="00B12FE0">
        <w:rPr>
          <w:rFonts w:cs="宋体" w:hint="eastAsia"/>
          <w:color w:val="000000" w:themeColor="text1"/>
        </w:rPr>
        <w:t>）工作人员或病人家属还未全部撤离治疗机房，</w:t>
      </w:r>
      <w:r w:rsidRPr="00B12FE0">
        <w:rPr>
          <w:rFonts w:cs="宋体" w:hint="eastAsia"/>
          <w:color w:val="000000" w:themeColor="text1"/>
          <w:kern w:val="0"/>
        </w:rPr>
        <w:t>控制室</w:t>
      </w:r>
      <w:r w:rsidRPr="00B12FE0">
        <w:rPr>
          <w:rFonts w:cs="宋体" w:hint="eastAsia"/>
          <w:color w:val="000000" w:themeColor="text1"/>
        </w:rPr>
        <w:t>人员启动设备，造成滞留人员的误照射；</w:t>
      </w:r>
    </w:p>
    <w:p w14:paraId="426C4036"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rPr>
        <w:t>（</w:t>
      </w:r>
      <w:r w:rsidRPr="00B12FE0">
        <w:rPr>
          <w:rFonts w:cs="宋体" w:hint="eastAsia"/>
          <w:color w:val="000000" w:themeColor="text1"/>
        </w:rPr>
        <w:t>3</w:t>
      </w:r>
      <w:r w:rsidRPr="00B12FE0">
        <w:rPr>
          <w:rFonts w:cs="宋体" w:hint="eastAsia"/>
          <w:color w:val="000000" w:themeColor="text1"/>
        </w:rPr>
        <w:t>）</w:t>
      </w:r>
      <w:r w:rsidRPr="00B12FE0">
        <w:rPr>
          <w:rFonts w:cs="宋体"/>
          <w:color w:val="000000" w:themeColor="text1"/>
        </w:rPr>
        <w:t>X</w:t>
      </w:r>
      <w:r w:rsidRPr="00B12FE0">
        <w:rPr>
          <w:rFonts w:cs="宋体" w:hint="eastAsia"/>
          <w:color w:val="000000" w:themeColor="text1"/>
        </w:rPr>
        <w:t>射线装置工作状态下，没有关闭防护门对人员造成的误照射。</w:t>
      </w:r>
    </w:p>
    <w:p w14:paraId="4DE8313B" w14:textId="77777777" w:rsidR="00A67F21" w:rsidRPr="00B12FE0" w:rsidRDefault="00A67F21">
      <w:pPr>
        <w:pStyle w:val="TableParagraph"/>
        <w:autoSpaceDE/>
        <w:autoSpaceDN/>
        <w:spacing w:line="360" w:lineRule="auto"/>
        <w:rPr>
          <w:color w:val="000000" w:themeColor="text1"/>
        </w:rPr>
        <w:sectPr w:rsidR="00A67F21" w:rsidRPr="00B12FE0">
          <w:pgSz w:w="11907" w:h="16840"/>
          <w:pgMar w:top="1440" w:right="1440" w:bottom="1440" w:left="1440" w:header="851" w:footer="850" w:gutter="0"/>
          <w:pgBorders w:display="notFirstPage">
            <w:top w:val="single" w:sz="4" w:space="1" w:color="auto"/>
            <w:left w:val="single" w:sz="4" w:space="4" w:color="auto"/>
            <w:bottom w:val="single" w:sz="4" w:space="1" w:color="auto"/>
            <w:right w:val="single" w:sz="4" w:space="4" w:color="auto"/>
          </w:pgBorders>
          <w:cols w:space="720"/>
          <w:docGrid w:linePitch="332"/>
        </w:sectPr>
      </w:pPr>
    </w:p>
    <w:p w14:paraId="5FB58790" w14:textId="77777777" w:rsidR="00A67F21" w:rsidRPr="00B12FE0" w:rsidRDefault="00000000">
      <w:pPr>
        <w:spacing w:line="360" w:lineRule="auto"/>
        <w:outlineLvl w:val="0"/>
        <w:rPr>
          <w:b/>
          <w:color w:val="000000" w:themeColor="text1"/>
          <w:sz w:val="32"/>
          <w:szCs w:val="32"/>
        </w:rPr>
      </w:pPr>
      <w:bookmarkStart w:id="16" w:name="_Toc29428"/>
      <w:r w:rsidRPr="00B12FE0">
        <w:rPr>
          <w:b/>
          <w:color w:val="000000" w:themeColor="text1"/>
          <w:sz w:val="32"/>
          <w:szCs w:val="32"/>
        </w:rPr>
        <w:lastRenderedPageBreak/>
        <w:t>表</w:t>
      </w:r>
      <w:r w:rsidRPr="00B12FE0">
        <w:rPr>
          <w:b/>
          <w:color w:val="000000" w:themeColor="text1"/>
          <w:sz w:val="32"/>
          <w:szCs w:val="32"/>
        </w:rPr>
        <w:t xml:space="preserve">10 </w:t>
      </w:r>
      <w:r w:rsidRPr="00B12FE0">
        <w:rPr>
          <w:b/>
          <w:color w:val="000000" w:themeColor="text1"/>
          <w:sz w:val="32"/>
          <w:szCs w:val="32"/>
        </w:rPr>
        <w:t>辐射安全与防护</w:t>
      </w:r>
      <w:bookmarkEnd w:id="16"/>
    </w:p>
    <w:p w14:paraId="521E8510" w14:textId="77777777" w:rsidR="00A67F21" w:rsidRPr="00B12FE0" w:rsidRDefault="00000000">
      <w:pPr>
        <w:snapToGrid w:val="0"/>
        <w:spacing w:line="360" w:lineRule="auto"/>
        <w:contextualSpacing/>
        <w:outlineLvl w:val="1"/>
        <w:rPr>
          <w:b/>
          <w:color w:val="000000" w:themeColor="text1"/>
          <w:sz w:val="28"/>
          <w:szCs w:val="28"/>
        </w:rPr>
      </w:pPr>
      <w:r w:rsidRPr="00B12FE0">
        <w:rPr>
          <w:noProof/>
          <w:color w:val="000000" w:themeColor="text1"/>
          <w:sz w:val="28"/>
        </w:rPr>
        <mc:AlternateContent>
          <mc:Choice Requires="wps">
            <w:drawing>
              <wp:anchor distT="0" distB="0" distL="114300" distR="114300" simplePos="0" relativeHeight="251660288" behindDoc="0" locked="0" layoutInCell="1" allowOverlap="1" wp14:anchorId="08493A7E" wp14:editId="7C55B422">
                <wp:simplePos x="0" y="0"/>
                <wp:positionH relativeFrom="column">
                  <wp:posOffset>-55880</wp:posOffset>
                </wp:positionH>
                <wp:positionV relativeFrom="paragraph">
                  <wp:posOffset>28575</wp:posOffset>
                </wp:positionV>
                <wp:extent cx="5810250" cy="8341360"/>
                <wp:effectExtent l="4445" t="4445" r="14605" b="17145"/>
                <wp:wrapNone/>
                <wp:docPr id="95" name="矩形 95"/>
                <wp:cNvGraphicFramePr/>
                <a:graphic xmlns:a="http://schemas.openxmlformats.org/drawingml/2006/main">
                  <a:graphicData uri="http://schemas.microsoft.com/office/word/2010/wordprocessingShape">
                    <wps:wsp>
                      <wps:cNvSpPr/>
                      <wps:spPr>
                        <a:xfrm>
                          <a:off x="0" y="0"/>
                          <a:ext cx="5810250" cy="834136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4pt;margin-top:2.25pt;height:656.8pt;width:457.5pt;z-index:251660288;v-text-anchor:middle;mso-width-relative:page;mso-height-relative:page;" filled="f" stroked="t" coordsize="21600,21600" o:gfxdata="UEsDBAoAAAAAAIdO4kAAAAAAAAAAAAAAAAAEAAAAZHJzL1BLAwQUAAAACACHTuJAkLGq/9cAAAAJ&#10;AQAADwAAAGRycy9kb3ducmV2LnhtbE2PwW7CMBBE75X4B2sr9QZ2UgohxEGiUlFPSEA/wMRLEjVe&#10;R7EDtF/f7ak9jmY086bY3F0nrjiE1pOGZKZAIFXetlRr+Di9TTMQIRqypvOEGr4wwKacPBQmt/5G&#10;B7weYy24hEJuNDQx9rmUoWrQmTDzPRJ7Fz84E1kOtbSDuXG562Sq1EI60xIvNKbH1warz+PoNLj9&#10;d2tP4xL38d3vlna7cofUav30mKg1iIj3+BeGX3xGh5KZzn4kG0SnYZoxedQwfwHB9kotUhBnzj0n&#10;WQKyLOT/B+UPUEsDBBQAAAAIAIdO4kCTa6gmXgIAALYEAAAOAAAAZHJzL2Uyb0RvYy54bWytVM1u&#10;EzEQviPxDpbvdJM0KW3UTRU1KkKqaKWCODteO2vJf9hONuVlkLjxEH0cxGvw2bv9oXDogRycGc/4&#10;G3+fZ/b0bG802YkQlbM1HR+MKBGWu0bZTU0/fbx4c0xJTMw2TDsranorIj1bvH512vm5mLjW6UYE&#10;AhAb552vaZuSn1dV5K0wLB44LyyC0gXDEtywqZrAOqAbXU1Go6Oqc6HxwXERI3ZXfZAOiOElgE5K&#10;xcXK8a0RNvWoQWiWQCm2yke6KLeVUvB0JWUUieiagmkqK4rAXue1Wpyy+SYw3yo+XIG95ArPOBmm&#10;LIo+QK1YYmQb1F9QRvHgopPpgDtT9USKImAxHj3T5qZlXhQukDr6B9Hj/4PlH3bXgaimpiczSiwz&#10;ePFf3378vPtOsAF1Oh/nSLrx12HwIsxMdS+Dyf8gQfZF0dsHRcU+EY7N2fF4NJlBbI7Y8eF0fHhU&#10;NK8ej/sQ0zvhDMlGTQOerCjJdpcxoSRS71NyNesulNbl2bQlXU2PDgs+QytKtABKGQ860W4oYXqD&#10;HucpFMTotGry6YwTw2Z9rgPZsdwZ5Zfpotofabn0isW2zyuhIU1bZGd1ej2ytXbNLdQMrm+z6PmF&#10;wvlLFtM1C+grCIHJS1dYpHa4vBssSloXvv5rP+fjuRGlpEOfgtmXLQuCEv3eohFOxtNpbuziTGdv&#10;J3DC08j6acRuzbkD4TFm3PNi5vyk700ZnPmMAV3mqggxy1G713BwzlM/PxhxLpbLkoZm9ixd2hvP&#10;M3j/UMttclKVN3xUZxAN7VzEHkYvz8tTv2Q9fm4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Q&#10;sar/1wAAAAkBAAAPAAAAAAAAAAEAIAAAACIAAABkcnMvZG93bnJldi54bWxQSwECFAAUAAAACACH&#10;TuJAk2uoJl4CAAC2BAAADgAAAAAAAAABACAAAAAmAQAAZHJzL2Uyb0RvYy54bWxQSwUGAAAAAAYA&#10;BgBZAQAA9gUAAAAA&#10;">
                <v:fill on="f" focussize="0,0"/>
                <v:stroke weight="0.5pt" color="#000000 [3213]" joinstyle="round"/>
                <v:imagedata o:title=""/>
                <o:lock v:ext="edit" aspectratio="f"/>
              </v:rect>
            </w:pict>
          </mc:Fallback>
        </mc:AlternateContent>
      </w:r>
      <w:r w:rsidRPr="00B12FE0">
        <w:rPr>
          <w:b/>
          <w:color w:val="000000" w:themeColor="text1"/>
          <w:sz w:val="28"/>
          <w:szCs w:val="28"/>
        </w:rPr>
        <w:t>10.1</w:t>
      </w:r>
      <w:r w:rsidRPr="00B12FE0">
        <w:rPr>
          <w:b/>
          <w:color w:val="000000" w:themeColor="text1"/>
          <w:sz w:val="28"/>
          <w:szCs w:val="28"/>
        </w:rPr>
        <w:t>项目安全设施</w:t>
      </w:r>
    </w:p>
    <w:p w14:paraId="77E3AA46" w14:textId="77777777" w:rsidR="00A67F21" w:rsidRPr="00B12FE0" w:rsidRDefault="00000000">
      <w:pPr>
        <w:adjustRightInd w:val="0"/>
        <w:snapToGrid w:val="0"/>
        <w:spacing w:line="360" w:lineRule="auto"/>
        <w:outlineLvl w:val="2"/>
        <w:rPr>
          <w:b/>
          <w:bCs/>
          <w:color w:val="000000" w:themeColor="text1"/>
        </w:rPr>
      </w:pPr>
      <w:r w:rsidRPr="00B12FE0">
        <w:rPr>
          <w:b/>
          <w:bCs/>
          <w:color w:val="000000" w:themeColor="text1"/>
        </w:rPr>
        <w:t>10.1.1</w:t>
      </w:r>
      <w:r w:rsidRPr="00B12FE0">
        <w:rPr>
          <w:b/>
          <w:bCs/>
          <w:color w:val="000000" w:themeColor="text1"/>
        </w:rPr>
        <w:t>核医学</w:t>
      </w:r>
    </w:p>
    <w:p w14:paraId="74083C1C" w14:textId="77777777" w:rsidR="00A67F21" w:rsidRPr="00B12FE0" w:rsidRDefault="00000000">
      <w:pPr>
        <w:adjustRightInd w:val="0"/>
        <w:snapToGrid w:val="0"/>
        <w:spacing w:line="360" w:lineRule="auto"/>
        <w:outlineLvl w:val="3"/>
        <w:rPr>
          <w:b/>
          <w:bCs/>
          <w:color w:val="000000" w:themeColor="text1"/>
        </w:rPr>
      </w:pPr>
      <w:r w:rsidRPr="00B12FE0">
        <w:rPr>
          <w:rFonts w:hint="eastAsia"/>
          <w:b/>
          <w:bCs/>
          <w:color w:val="000000" w:themeColor="text1"/>
        </w:rPr>
        <w:t>10.1.1.1</w:t>
      </w:r>
      <w:r w:rsidRPr="00B12FE0">
        <w:rPr>
          <w:rFonts w:hint="eastAsia"/>
          <w:b/>
          <w:bCs/>
          <w:color w:val="000000" w:themeColor="text1"/>
        </w:rPr>
        <w:t>辐射</w:t>
      </w:r>
      <w:r w:rsidRPr="00B12FE0">
        <w:rPr>
          <w:b/>
          <w:bCs/>
          <w:color w:val="000000" w:themeColor="text1"/>
        </w:rPr>
        <w:t>工作场所布局</w:t>
      </w:r>
    </w:p>
    <w:p w14:paraId="7AF6E199" w14:textId="77777777" w:rsidR="00A67F21" w:rsidRPr="00B12FE0" w:rsidRDefault="00000000">
      <w:pPr>
        <w:adjustRightInd w:val="0"/>
        <w:snapToGrid w:val="0"/>
        <w:spacing w:line="360" w:lineRule="auto"/>
        <w:ind w:firstLineChars="200" w:firstLine="480"/>
        <w:rPr>
          <w:color w:val="000000" w:themeColor="text1"/>
          <w:sz w:val="21"/>
          <w:szCs w:val="21"/>
        </w:rPr>
      </w:pPr>
      <w:r w:rsidRPr="00B12FE0">
        <w:rPr>
          <w:rFonts w:ascii="宋体" w:hAnsi="宋体"/>
          <w:color w:val="000000" w:themeColor="text1"/>
          <w:szCs w:val="24"/>
        </w:rPr>
        <w:t>本项目共有</w:t>
      </w:r>
      <w:r w:rsidRPr="00B12FE0">
        <w:rPr>
          <w:color w:val="000000" w:themeColor="text1"/>
          <w:szCs w:val="24"/>
        </w:rPr>
        <w:t>3</w:t>
      </w:r>
      <w:r w:rsidRPr="00B12FE0">
        <w:rPr>
          <w:rFonts w:ascii="宋体" w:hAnsi="宋体"/>
          <w:color w:val="000000" w:themeColor="text1"/>
          <w:szCs w:val="24"/>
        </w:rPr>
        <w:t>个</w:t>
      </w:r>
      <w:r w:rsidRPr="00B12FE0">
        <w:rPr>
          <w:rFonts w:ascii="宋体" w:hAnsi="宋体" w:hint="eastAsia"/>
          <w:color w:val="000000" w:themeColor="text1"/>
          <w:szCs w:val="24"/>
        </w:rPr>
        <w:t>乙级</w:t>
      </w:r>
      <w:r w:rsidRPr="00B12FE0">
        <w:rPr>
          <w:rFonts w:ascii="宋体" w:hAnsi="宋体"/>
          <w:color w:val="000000" w:themeColor="text1"/>
          <w:szCs w:val="24"/>
        </w:rPr>
        <w:t>非密封放射性物质工作场所，分别为核医学科核素制备场所、核素</w:t>
      </w:r>
      <w:r w:rsidRPr="00B12FE0">
        <w:rPr>
          <w:rFonts w:ascii="宋体" w:hAnsi="宋体" w:hint="eastAsia"/>
          <w:color w:val="000000" w:themeColor="text1"/>
          <w:szCs w:val="24"/>
        </w:rPr>
        <w:t>诊断</w:t>
      </w:r>
      <w:r w:rsidRPr="00B12FE0">
        <w:rPr>
          <w:rFonts w:ascii="宋体" w:hAnsi="宋体"/>
          <w:color w:val="000000" w:themeColor="text1"/>
          <w:szCs w:val="24"/>
        </w:rPr>
        <w:t>场所和核素治疗场所。核医学科核素制备场所位于肿瘤治疗中心综合楼一层</w:t>
      </w:r>
      <w:r w:rsidRPr="00B12FE0">
        <w:rPr>
          <w:rFonts w:ascii="宋体" w:hAnsi="宋体" w:hint="eastAsia"/>
          <w:color w:val="000000" w:themeColor="text1"/>
          <w:szCs w:val="24"/>
        </w:rPr>
        <w:t>西</w:t>
      </w:r>
      <w:r w:rsidRPr="00B12FE0">
        <w:rPr>
          <w:rFonts w:ascii="宋体" w:hAnsi="宋体"/>
          <w:color w:val="000000" w:themeColor="text1"/>
          <w:szCs w:val="24"/>
        </w:rPr>
        <w:t>侧，核医学科核素</w:t>
      </w:r>
      <w:r w:rsidRPr="00B12FE0">
        <w:rPr>
          <w:rFonts w:ascii="宋体" w:hAnsi="宋体" w:hint="eastAsia"/>
          <w:color w:val="000000" w:themeColor="text1"/>
          <w:szCs w:val="24"/>
        </w:rPr>
        <w:t>诊断</w:t>
      </w:r>
      <w:r w:rsidRPr="00B12FE0">
        <w:rPr>
          <w:rFonts w:ascii="宋体" w:hAnsi="宋体"/>
          <w:color w:val="000000" w:themeColor="text1"/>
          <w:szCs w:val="24"/>
        </w:rPr>
        <w:t>场所位于肿瘤治疗中心综合楼一层</w:t>
      </w:r>
      <w:r w:rsidRPr="00B12FE0">
        <w:rPr>
          <w:rFonts w:ascii="宋体" w:hAnsi="宋体" w:hint="eastAsia"/>
          <w:color w:val="000000" w:themeColor="text1"/>
          <w:szCs w:val="24"/>
        </w:rPr>
        <w:t>南</w:t>
      </w:r>
      <w:r w:rsidRPr="00B12FE0">
        <w:rPr>
          <w:rFonts w:ascii="宋体" w:hAnsi="宋体"/>
          <w:bCs/>
          <w:color w:val="000000" w:themeColor="text1"/>
          <w:szCs w:val="24"/>
        </w:rPr>
        <w:t>侧</w:t>
      </w:r>
      <w:r w:rsidRPr="00B12FE0">
        <w:rPr>
          <w:rFonts w:ascii="宋体" w:hAnsi="宋体"/>
          <w:color w:val="000000" w:themeColor="text1"/>
          <w:szCs w:val="24"/>
        </w:rPr>
        <w:t>，核医学科核素治疗场所位于肿瘤治疗中心综合楼</w:t>
      </w:r>
      <w:r w:rsidRPr="00B12FE0">
        <w:rPr>
          <w:rFonts w:ascii="宋体" w:hAnsi="宋体" w:hint="eastAsia"/>
          <w:color w:val="000000" w:themeColor="text1"/>
          <w:szCs w:val="24"/>
        </w:rPr>
        <w:t>二</w:t>
      </w:r>
      <w:r w:rsidRPr="00B12FE0">
        <w:rPr>
          <w:rFonts w:ascii="宋体" w:hAnsi="宋体"/>
          <w:color w:val="000000" w:themeColor="text1"/>
          <w:szCs w:val="24"/>
        </w:rPr>
        <w:t>层</w:t>
      </w:r>
      <w:r w:rsidRPr="00B12FE0">
        <w:rPr>
          <w:rFonts w:ascii="宋体" w:hAnsi="宋体" w:hint="eastAsia"/>
          <w:color w:val="000000" w:themeColor="text1"/>
          <w:szCs w:val="24"/>
        </w:rPr>
        <w:t>南</w:t>
      </w:r>
      <w:r w:rsidRPr="00B12FE0">
        <w:rPr>
          <w:rFonts w:ascii="宋体" w:hAnsi="宋体"/>
          <w:color w:val="000000" w:themeColor="text1"/>
          <w:szCs w:val="24"/>
        </w:rPr>
        <w:t>侧。各场所四周相邻环境情况见下表。</w:t>
      </w:r>
    </w:p>
    <w:p w14:paraId="6C39AC48" w14:textId="77777777" w:rsidR="00A67F21" w:rsidRPr="00B12FE0" w:rsidRDefault="00000000">
      <w:pPr>
        <w:spacing w:line="360" w:lineRule="auto"/>
        <w:jc w:val="center"/>
        <w:rPr>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10.1.1</w:t>
      </w:r>
      <w:r w:rsidRPr="00B12FE0">
        <w:rPr>
          <w:rFonts w:hint="eastAsia"/>
          <w:b/>
          <w:bCs/>
          <w:color w:val="000000" w:themeColor="text1"/>
          <w:sz w:val="21"/>
          <w:szCs w:val="21"/>
        </w:rPr>
        <w:t>.1</w:t>
      </w:r>
      <w:r w:rsidRPr="00B12FE0">
        <w:rPr>
          <w:b/>
          <w:bCs/>
          <w:color w:val="000000" w:themeColor="text1"/>
          <w:sz w:val="21"/>
          <w:szCs w:val="21"/>
        </w:rPr>
        <w:t xml:space="preserve">-1  </w:t>
      </w:r>
      <w:r w:rsidRPr="00B12FE0">
        <w:rPr>
          <w:rFonts w:ascii="宋体" w:hAnsi="宋体"/>
          <w:b/>
          <w:bCs/>
          <w:color w:val="000000" w:themeColor="text1"/>
          <w:sz w:val="21"/>
          <w:szCs w:val="21"/>
        </w:rPr>
        <w:t>非密封放射性物质工作场所相邻环境状况</w:t>
      </w:r>
    </w:p>
    <w:tbl>
      <w:tblPr>
        <w:tblStyle w:val="4a"/>
        <w:tblW w:w="5000" w:type="pct"/>
        <w:jc w:val="center"/>
        <w:tblLook w:val="04A0" w:firstRow="1" w:lastRow="0" w:firstColumn="1" w:lastColumn="0" w:noHBand="0" w:noVBand="1"/>
      </w:tblPr>
      <w:tblGrid>
        <w:gridCol w:w="671"/>
        <w:gridCol w:w="1732"/>
        <w:gridCol w:w="1126"/>
        <w:gridCol w:w="822"/>
        <w:gridCol w:w="1960"/>
        <w:gridCol w:w="1050"/>
        <w:gridCol w:w="1656"/>
      </w:tblGrid>
      <w:tr w:rsidR="00A67F21" w:rsidRPr="00B12FE0" w14:paraId="531668D9" w14:textId="77777777">
        <w:trPr>
          <w:trHeight w:val="454"/>
          <w:jc w:val="center"/>
        </w:trPr>
        <w:tc>
          <w:tcPr>
            <w:tcW w:w="603" w:type="pct"/>
            <w:tcBorders>
              <w:top w:val="single" w:sz="4" w:space="0" w:color="auto"/>
              <w:left w:val="single" w:sz="4" w:space="0" w:color="auto"/>
              <w:bottom w:val="single" w:sz="4" w:space="0" w:color="auto"/>
              <w:right w:val="single" w:sz="4" w:space="0" w:color="auto"/>
            </w:tcBorders>
            <w:vAlign w:val="center"/>
          </w:tcPr>
          <w:p w14:paraId="7B93302D" w14:textId="77777777" w:rsidR="00A67F21" w:rsidRPr="00B12FE0" w:rsidRDefault="00000000">
            <w:pPr>
              <w:adjustRightInd w:val="0"/>
              <w:snapToGrid w:val="0"/>
              <w:jc w:val="center"/>
              <w:rPr>
                <w:b/>
                <w:bCs/>
                <w:color w:val="000000" w:themeColor="text1"/>
                <w:sz w:val="21"/>
                <w:szCs w:val="21"/>
              </w:rPr>
            </w:pPr>
            <w:proofErr w:type="spellStart"/>
            <w:r w:rsidRPr="00B12FE0">
              <w:rPr>
                <w:rFonts w:ascii="宋体" w:hAnsi="宋体" w:cs="宋体" w:hint="eastAsia"/>
                <w:b/>
                <w:bCs/>
                <w:color w:val="000000" w:themeColor="text1"/>
                <w:sz w:val="21"/>
                <w:szCs w:val="21"/>
              </w:rPr>
              <w:t>位置</w:t>
            </w:r>
            <w:proofErr w:type="spellEnd"/>
          </w:p>
        </w:tc>
        <w:tc>
          <w:tcPr>
            <w:tcW w:w="892" w:type="pct"/>
            <w:tcBorders>
              <w:top w:val="single" w:sz="4" w:space="0" w:color="auto"/>
              <w:left w:val="nil"/>
              <w:bottom w:val="single" w:sz="4" w:space="0" w:color="auto"/>
              <w:right w:val="single" w:sz="4" w:space="0" w:color="auto"/>
            </w:tcBorders>
            <w:vAlign w:val="center"/>
          </w:tcPr>
          <w:p w14:paraId="58AC2F73" w14:textId="77777777" w:rsidR="00A67F21" w:rsidRPr="00B12FE0" w:rsidRDefault="00000000">
            <w:pPr>
              <w:adjustRightInd w:val="0"/>
              <w:snapToGrid w:val="0"/>
              <w:jc w:val="center"/>
              <w:rPr>
                <w:b/>
                <w:bCs/>
                <w:color w:val="000000" w:themeColor="text1"/>
                <w:sz w:val="21"/>
                <w:szCs w:val="21"/>
              </w:rPr>
            </w:pPr>
            <w:proofErr w:type="spellStart"/>
            <w:r w:rsidRPr="00B12FE0">
              <w:rPr>
                <w:rFonts w:ascii="宋体" w:hAnsi="宋体" w:cs="宋体" w:hint="eastAsia"/>
                <w:b/>
                <w:bCs/>
                <w:color w:val="000000" w:themeColor="text1"/>
                <w:sz w:val="21"/>
                <w:szCs w:val="21"/>
              </w:rPr>
              <w:t>东侧</w:t>
            </w:r>
            <w:proofErr w:type="spellEnd"/>
          </w:p>
        </w:tc>
        <w:tc>
          <w:tcPr>
            <w:tcW w:w="705" w:type="pct"/>
            <w:tcBorders>
              <w:top w:val="single" w:sz="4" w:space="0" w:color="auto"/>
              <w:left w:val="nil"/>
              <w:bottom w:val="single" w:sz="4" w:space="0" w:color="auto"/>
              <w:right w:val="single" w:sz="4" w:space="0" w:color="auto"/>
            </w:tcBorders>
            <w:vAlign w:val="center"/>
          </w:tcPr>
          <w:p w14:paraId="60A5276A" w14:textId="77777777" w:rsidR="00A67F21" w:rsidRPr="00B12FE0" w:rsidRDefault="00000000">
            <w:pPr>
              <w:adjustRightInd w:val="0"/>
              <w:snapToGrid w:val="0"/>
              <w:jc w:val="center"/>
              <w:rPr>
                <w:b/>
                <w:bCs/>
                <w:color w:val="000000" w:themeColor="text1"/>
                <w:sz w:val="21"/>
                <w:szCs w:val="21"/>
              </w:rPr>
            </w:pPr>
            <w:proofErr w:type="spellStart"/>
            <w:r w:rsidRPr="00B12FE0">
              <w:rPr>
                <w:rFonts w:ascii="宋体" w:hAnsi="宋体" w:cs="宋体" w:hint="eastAsia"/>
                <w:b/>
                <w:bCs/>
                <w:color w:val="000000" w:themeColor="text1"/>
                <w:sz w:val="21"/>
                <w:szCs w:val="21"/>
              </w:rPr>
              <w:t>南侧</w:t>
            </w:r>
            <w:proofErr w:type="spellEnd"/>
          </w:p>
        </w:tc>
        <w:tc>
          <w:tcPr>
            <w:tcW w:w="706" w:type="pct"/>
            <w:tcBorders>
              <w:top w:val="single" w:sz="4" w:space="0" w:color="auto"/>
              <w:left w:val="nil"/>
              <w:bottom w:val="single" w:sz="4" w:space="0" w:color="auto"/>
              <w:right w:val="single" w:sz="4" w:space="0" w:color="auto"/>
            </w:tcBorders>
            <w:vAlign w:val="center"/>
          </w:tcPr>
          <w:p w14:paraId="3AE60924" w14:textId="77777777" w:rsidR="00A67F21" w:rsidRPr="00B12FE0" w:rsidRDefault="00000000">
            <w:pPr>
              <w:adjustRightInd w:val="0"/>
              <w:snapToGrid w:val="0"/>
              <w:jc w:val="center"/>
              <w:rPr>
                <w:b/>
                <w:bCs/>
                <w:color w:val="000000" w:themeColor="text1"/>
                <w:sz w:val="21"/>
                <w:szCs w:val="21"/>
              </w:rPr>
            </w:pPr>
            <w:proofErr w:type="spellStart"/>
            <w:r w:rsidRPr="00B12FE0">
              <w:rPr>
                <w:rFonts w:ascii="宋体" w:hAnsi="宋体" w:cs="宋体" w:hint="eastAsia"/>
                <w:b/>
                <w:bCs/>
                <w:color w:val="000000" w:themeColor="text1"/>
                <w:sz w:val="21"/>
                <w:szCs w:val="21"/>
              </w:rPr>
              <w:t>西侧</w:t>
            </w:r>
            <w:proofErr w:type="spellEnd"/>
          </w:p>
        </w:tc>
        <w:tc>
          <w:tcPr>
            <w:tcW w:w="786" w:type="pct"/>
            <w:tcBorders>
              <w:top w:val="single" w:sz="4" w:space="0" w:color="auto"/>
              <w:left w:val="nil"/>
              <w:bottom w:val="single" w:sz="4" w:space="0" w:color="auto"/>
              <w:right w:val="single" w:sz="4" w:space="0" w:color="auto"/>
            </w:tcBorders>
            <w:vAlign w:val="center"/>
          </w:tcPr>
          <w:p w14:paraId="25F978AE" w14:textId="77777777" w:rsidR="00A67F21" w:rsidRPr="00B12FE0" w:rsidRDefault="00000000">
            <w:pPr>
              <w:adjustRightInd w:val="0"/>
              <w:snapToGrid w:val="0"/>
              <w:jc w:val="center"/>
              <w:rPr>
                <w:b/>
                <w:bCs/>
                <w:color w:val="000000" w:themeColor="text1"/>
                <w:sz w:val="21"/>
                <w:szCs w:val="21"/>
              </w:rPr>
            </w:pPr>
            <w:proofErr w:type="spellStart"/>
            <w:r w:rsidRPr="00B12FE0">
              <w:rPr>
                <w:rFonts w:ascii="宋体" w:hAnsi="宋体" w:cs="宋体" w:hint="eastAsia"/>
                <w:b/>
                <w:bCs/>
                <w:color w:val="000000" w:themeColor="text1"/>
                <w:sz w:val="21"/>
                <w:szCs w:val="21"/>
              </w:rPr>
              <w:t>北侧</w:t>
            </w:r>
            <w:proofErr w:type="spellEnd"/>
          </w:p>
        </w:tc>
        <w:tc>
          <w:tcPr>
            <w:tcW w:w="706" w:type="pct"/>
            <w:tcBorders>
              <w:top w:val="single" w:sz="4" w:space="0" w:color="auto"/>
              <w:left w:val="nil"/>
              <w:bottom w:val="single" w:sz="4" w:space="0" w:color="auto"/>
              <w:right w:val="single" w:sz="4" w:space="0" w:color="auto"/>
            </w:tcBorders>
            <w:vAlign w:val="center"/>
          </w:tcPr>
          <w:p w14:paraId="6E977370" w14:textId="77777777" w:rsidR="00A67F21" w:rsidRPr="00B12FE0" w:rsidRDefault="00000000">
            <w:pPr>
              <w:adjustRightInd w:val="0"/>
              <w:snapToGrid w:val="0"/>
              <w:jc w:val="center"/>
              <w:rPr>
                <w:b/>
                <w:bCs/>
                <w:color w:val="000000" w:themeColor="text1"/>
                <w:sz w:val="21"/>
                <w:szCs w:val="21"/>
              </w:rPr>
            </w:pPr>
            <w:proofErr w:type="spellStart"/>
            <w:r w:rsidRPr="00B12FE0">
              <w:rPr>
                <w:rFonts w:ascii="宋体" w:hAnsi="宋体" w:cs="宋体" w:hint="eastAsia"/>
                <w:b/>
                <w:bCs/>
                <w:color w:val="000000" w:themeColor="text1"/>
                <w:sz w:val="21"/>
                <w:szCs w:val="21"/>
              </w:rPr>
              <w:t>上一层</w:t>
            </w:r>
            <w:proofErr w:type="spellEnd"/>
          </w:p>
        </w:tc>
        <w:tc>
          <w:tcPr>
            <w:tcW w:w="602" w:type="pct"/>
            <w:tcBorders>
              <w:top w:val="single" w:sz="4" w:space="0" w:color="auto"/>
              <w:left w:val="nil"/>
              <w:bottom w:val="single" w:sz="4" w:space="0" w:color="auto"/>
              <w:right w:val="single" w:sz="4" w:space="0" w:color="auto"/>
            </w:tcBorders>
            <w:vAlign w:val="center"/>
          </w:tcPr>
          <w:p w14:paraId="433493C9" w14:textId="77777777" w:rsidR="00A67F21" w:rsidRPr="00B12FE0" w:rsidRDefault="00000000">
            <w:pPr>
              <w:adjustRightInd w:val="0"/>
              <w:snapToGrid w:val="0"/>
              <w:jc w:val="center"/>
              <w:rPr>
                <w:b/>
                <w:bCs/>
                <w:color w:val="000000" w:themeColor="text1"/>
                <w:sz w:val="21"/>
                <w:szCs w:val="21"/>
              </w:rPr>
            </w:pPr>
            <w:proofErr w:type="spellStart"/>
            <w:r w:rsidRPr="00B12FE0">
              <w:rPr>
                <w:rFonts w:ascii="宋体" w:hAnsi="宋体" w:cs="宋体" w:hint="eastAsia"/>
                <w:b/>
                <w:bCs/>
                <w:color w:val="000000" w:themeColor="text1"/>
                <w:sz w:val="21"/>
                <w:szCs w:val="21"/>
              </w:rPr>
              <w:t>下一层</w:t>
            </w:r>
            <w:proofErr w:type="spellEnd"/>
          </w:p>
        </w:tc>
      </w:tr>
      <w:tr w:rsidR="00A67F21" w:rsidRPr="00B12FE0" w14:paraId="73066585" w14:textId="77777777">
        <w:trPr>
          <w:trHeight w:val="454"/>
          <w:jc w:val="center"/>
        </w:trPr>
        <w:tc>
          <w:tcPr>
            <w:tcW w:w="603" w:type="pct"/>
            <w:tcBorders>
              <w:top w:val="single" w:sz="4" w:space="0" w:color="auto"/>
              <w:left w:val="single" w:sz="4" w:space="0" w:color="auto"/>
              <w:bottom w:val="single" w:sz="4" w:space="0" w:color="auto"/>
              <w:right w:val="single" w:sz="4" w:space="0" w:color="auto"/>
            </w:tcBorders>
            <w:vAlign w:val="center"/>
          </w:tcPr>
          <w:p w14:paraId="1DC13D14"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核素制备场所</w:t>
            </w:r>
            <w:proofErr w:type="spellEnd"/>
          </w:p>
        </w:tc>
        <w:tc>
          <w:tcPr>
            <w:tcW w:w="892" w:type="pct"/>
            <w:tcBorders>
              <w:top w:val="single" w:sz="4" w:space="0" w:color="auto"/>
              <w:left w:val="nil"/>
              <w:bottom w:val="single" w:sz="4" w:space="0" w:color="auto"/>
              <w:right w:val="single" w:sz="4" w:space="0" w:color="auto"/>
            </w:tcBorders>
            <w:vAlign w:val="center"/>
          </w:tcPr>
          <w:p w14:paraId="1950DF7E"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院内道路及绿化</w:t>
            </w:r>
            <w:proofErr w:type="spellEnd"/>
          </w:p>
        </w:tc>
        <w:tc>
          <w:tcPr>
            <w:tcW w:w="705" w:type="pct"/>
            <w:tcBorders>
              <w:top w:val="single" w:sz="4" w:space="0" w:color="auto"/>
              <w:left w:val="nil"/>
              <w:bottom w:val="single" w:sz="4" w:space="0" w:color="auto"/>
              <w:right w:val="single" w:sz="4" w:space="0" w:color="auto"/>
            </w:tcBorders>
            <w:vAlign w:val="center"/>
          </w:tcPr>
          <w:p w14:paraId="4E9A933A"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楼梯间、卫生间、医护走道</w:t>
            </w:r>
            <w:proofErr w:type="spellEnd"/>
          </w:p>
        </w:tc>
        <w:tc>
          <w:tcPr>
            <w:tcW w:w="706" w:type="pct"/>
            <w:tcBorders>
              <w:top w:val="single" w:sz="4" w:space="0" w:color="auto"/>
              <w:left w:val="nil"/>
              <w:bottom w:val="single" w:sz="4" w:space="0" w:color="auto"/>
              <w:right w:val="single" w:sz="4" w:space="0" w:color="auto"/>
            </w:tcBorders>
            <w:vAlign w:val="center"/>
          </w:tcPr>
          <w:p w14:paraId="1B0F0997"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院内道路及绿化</w:t>
            </w:r>
            <w:proofErr w:type="spellEnd"/>
          </w:p>
        </w:tc>
        <w:tc>
          <w:tcPr>
            <w:tcW w:w="786" w:type="pct"/>
            <w:tcBorders>
              <w:top w:val="single" w:sz="4" w:space="0" w:color="auto"/>
              <w:left w:val="nil"/>
              <w:bottom w:val="single" w:sz="4" w:space="0" w:color="auto"/>
              <w:right w:val="single" w:sz="4" w:space="0" w:color="auto"/>
            </w:tcBorders>
            <w:vAlign w:val="center"/>
          </w:tcPr>
          <w:p w14:paraId="2AEFA073"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放疗科区域空调机房、以及医护人员更淋室、卫生间</w:t>
            </w:r>
            <w:proofErr w:type="spellEnd"/>
          </w:p>
        </w:tc>
        <w:tc>
          <w:tcPr>
            <w:tcW w:w="706" w:type="pct"/>
            <w:tcBorders>
              <w:top w:val="single" w:sz="4" w:space="0" w:color="auto"/>
              <w:left w:val="nil"/>
              <w:bottom w:val="single" w:sz="4" w:space="0" w:color="auto"/>
              <w:right w:val="single" w:sz="4" w:space="0" w:color="auto"/>
            </w:tcBorders>
            <w:vAlign w:val="center"/>
          </w:tcPr>
          <w:p w14:paraId="45EB3744"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不可上人屋顶</w:t>
            </w:r>
            <w:proofErr w:type="spellEnd"/>
          </w:p>
        </w:tc>
        <w:tc>
          <w:tcPr>
            <w:tcW w:w="602" w:type="pct"/>
            <w:tcBorders>
              <w:top w:val="single" w:sz="4" w:space="0" w:color="auto"/>
              <w:left w:val="nil"/>
              <w:bottom w:val="single" w:sz="4" w:space="0" w:color="auto"/>
              <w:right w:val="single" w:sz="4" w:space="0" w:color="auto"/>
            </w:tcBorders>
            <w:vAlign w:val="center"/>
          </w:tcPr>
          <w:p w14:paraId="6BB3FD39"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岩土层</w:t>
            </w:r>
            <w:proofErr w:type="spellEnd"/>
          </w:p>
        </w:tc>
      </w:tr>
      <w:tr w:rsidR="00A67F21" w:rsidRPr="00B12FE0" w14:paraId="3A5F55DB" w14:textId="77777777">
        <w:trPr>
          <w:trHeight w:val="454"/>
          <w:jc w:val="center"/>
        </w:trPr>
        <w:tc>
          <w:tcPr>
            <w:tcW w:w="603" w:type="pct"/>
            <w:tcBorders>
              <w:top w:val="single" w:sz="4" w:space="0" w:color="auto"/>
              <w:left w:val="single" w:sz="4" w:space="0" w:color="auto"/>
              <w:bottom w:val="single" w:sz="4" w:space="0" w:color="auto"/>
              <w:right w:val="single" w:sz="4" w:space="0" w:color="auto"/>
            </w:tcBorders>
            <w:vAlign w:val="center"/>
          </w:tcPr>
          <w:p w14:paraId="57719C39"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核素诊断场所</w:t>
            </w:r>
            <w:proofErr w:type="spellEnd"/>
          </w:p>
        </w:tc>
        <w:tc>
          <w:tcPr>
            <w:tcW w:w="892" w:type="pct"/>
            <w:tcBorders>
              <w:top w:val="single" w:sz="4" w:space="0" w:color="auto"/>
              <w:left w:val="nil"/>
              <w:bottom w:val="single" w:sz="4" w:space="0" w:color="auto"/>
              <w:right w:val="single" w:sz="4" w:space="0" w:color="auto"/>
            </w:tcBorders>
            <w:vAlign w:val="center"/>
          </w:tcPr>
          <w:p w14:paraId="3C8308C1"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候诊区及其卫生间及护士站</w:t>
            </w:r>
            <w:proofErr w:type="spellEnd"/>
          </w:p>
        </w:tc>
        <w:tc>
          <w:tcPr>
            <w:tcW w:w="705" w:type="pct"/>
            <w:tcBorders>
              <w:top w:val="single" w:sz="4" w:space="0" w:color="auto"/>
              <w:left w:val="nil"/>
              <w:bottom w:val="single" w:sz="4" w:space="0" w:color="auto"/>
              <w:right w:val="single" w:sz="4" w:space="0" w:color="auto"/>
            </w:tcBorders>
            <w:vAlign w:val="center"/>
          </w:tcPr>
          <w:p w14:paraId="09F3A9FC"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院内道路及绿化</w:t>
            </w:r>
            <w:proofErr w:type="spellEnd"/>
          </w:p>
        </w:tc>
        <w:tc>
          <w:tcPr>
            <w:tcW w:w="706" w:type="pct"/>
            <w:tcBorders>
              <w:top w:val="single" w:sz="4" w:space="0" w:color="auto"/>
              <w:left w:val="nil"/>
              <w:bottom w:val="single" w:sz="4" w:space="0" w:color="auto"/>
              <w:right w:val="single" w:sz="4" w:space="0" w:color="auto"/>
            </w:tcBorders>
            <w:vAlign w:val="center"/>
          </w:tcPr>
          <w:p w14:paraId="63CCE22A"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核医学科医护走道</w:t>
            </w:r>
            <w:proofErr w:type="spellEnd"/>
          </w:p>
        </w:tc>
        <w:tc>
          <w:tcPr>
            <w:tcW w:w="786" w:type="pct"/>
            <w:tcBorders>
              <w:top w:val="single" w:sz="4" w:space="0" w:color="auto"/>
              <w:left w:val="nil"/>
              <w:bottom w:val="single" w:sz="4" w:space="0" w:color="auto"/>
              <w:right w:val="single" w:sz="4" w:space="0" w:color="auto"/>
            </w:tcBorders>
            <w:vAlign w:val="center"/>
          </w:tcPr>
          <w:p w14:paraId="460D593F"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医护走道</w:t>
            </w:r>
            <w:proofErr w:type="spellEnd"/>
          </w:p>
        </w:tc>
        <w:tc>
          <w:tcPr>
            <w:tcW w:w="706" w:type="pct"/>
            <w:tcBorders>
              <w:top w:val="single" w:sz="4" w:space="0" w:color="auto"/>
              <w:left w:val="nil"/>
              <w:bottom w:val="single" w:sz="4" w:space="0" w:color="auto"/>
              <w:right w:val="single" w:sz="4" w:space="0" w:color="auto"/>
            </w:tcBorders>
            <w:vAlign w:val="center"/>
          </w:tcPr>
          <w:p w14:paraId="0925A69F"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核素治疗场所</w:t>
            </w:r>
            <w:proofErr w:type="spellEnd"/>
          </w:p>
        </w:tc>
        <w:tc>
          <w:tcPr>
            <w:tcW w:w="602" w:type="pct"/>
            <w:tcBorders>
              <w:top w:val="single" w:sz="4" w:space="0" w:color="auto"/>
              <w:left w:val="nil"/>
              <w:bottom w:val="single" w:sz="4" w:space="0" w:color="auto"/>
              <w:right w:val="single" w:sz="4" w:space="0" w:color="auto"/>
            </w:tcBorders>
            <w:vAlign w:val="center"/>
          </w:tcPr>
          <w:p w14:paraId="0475E859"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岩土层</w:t>
            </w:r>
            <w:proofErr w:type="spellEnd"/>
          </w:p>
        </w:tc>
      </w:tr>
      <w:tr w:rsidR="00A67F21" w:rsidRPr="00B12FE0" w14:paraId="7EF99B98" w14:textId="77777777">
        <w:trPr>
          <w:trHeight w:val="454"/>
          <w:jc w:val="center"/>
        </w:trPr>
        <w:tc>
          <w:tcPr>
            <w:tcW w:w="603" w:type="pct"/>
            <w:tcBorders>
              <w:top w:val="single" w:sz="4" w:space="0" w:color="auto"/>
              <w:left w:val="single" w:sz="4" w:space="0" w:color="auto"/>
              <w:bottom w:val="single" w:sz="4" w:space="0" w:color="auto"/>
              <w:right w:val="single" w:sz="4" w:space="0" w:color="auto"/>
            </w:tcBorders>
            <w:vAlign w:val="center"/>
          </w:tcPr>
          <w:p w14:paraId="766D7CE2"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核素治疗场所</w:t>
            </w:r>
            <w:proofErr w:type="spellEnd"/>
          </w:p>
        </w:tc>
        <w:tc>
          <w:tcPr>
            <w:tcW w:w="892" w:type="pct"/>
            <w:tcBorders>
              <w:top w:val="single" w:sz="4" w:space="0" w:color="auto"/>
              <w:left w:val="nil"/>
              <w:bottom w:val="single" w:sz="4" w:space="0" w:color="auto"/>
              <w:right w:val="single" w:sz="4" w:space="0" w:color="auto"/>
            </w:tcBorders>
            <w:vAlign w:val="center"/>
          </w:tcPr>
          <w:p w14:paraId="615CF17F"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候诊区及其卫生间、空调机房、库房及护士站</w:t>
            </w:r>
            <w:proofErr w:type="spellEnd"/>
          </w:p>
        </w:tc>
        <w:tc>
          <w:tcPr>
            <w:tcW w:w="705" w:type="pct"/>
            <w:tcBorders>
              <w:top w:val="single" w:sz="4" w:space="0" w:color="auto"/>
              <w:left w:val="nil"/>
              <w:bottom w:val="single" w:sz="4" w:space="0" w:color="auto"/>
              <w:right w:val="single" w:sz="4" w:space="0" w:color="auto"/>
            </w:tcBorders>
            <w:vAlign w:val="center"/>
          </w:tcPr>
          <w:p w14:paraId="45A977AB"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临空</w:t>
            </w:r>
            <w:proofErr w:type="spellEnd"/>
          </w:p>
        </w:tc>
        <w:tc>
          <w:tcPr>
            <w:tcW w:w="706" w:type="pct"/>
            <w:tcBorders>
              <w:top w:val="single" w:sz="4" w:space="0" w:color="auto"/>
              <w:left w:val="nil"/>
              <w:bottom w:val="single" w:sz="4" w:space="0" w:color="auto"/>
              <w:right w:val="single" w:sz="4" w:space="0" w:color="auto"/>
            </w:tcBorders>
            <w:vAlign w:val="center"/>
          </w:tcPr>
          <w:p w14:paraId="1160AF7E"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临空</w:t>
            </w:r>
            <w:proofErr w:type="spellEnd"/>
          </w:p>
        </w:tc>
        <w:tc>
          <w:tcPr>
            <w:tcW w:w="786" w:type="pct"/>
            <w:tcBorders>
              <w:top w:val="single" w:sz="4" w:space="0" w:color="auto"/>
              <w:left w:val="nil"/>
              <w:bottom w:val="single" w:sz="4" w:space="0" w:color="auto"/>
              <w:right w:val="single" w:sz="4" w:space="0" w:color="auto"/>
            </w:tcBorders>
            <w:vAlign w:val="center"/>
          </w:tcPr>
          <w:p w14:paraId="45393C7B"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空调机房及医护走道</w:t>
            </w:r>
            <w:proofErr w:type="spellEnd"/>
          </w:p>
        </w:tc>
        <w:tc>
          <w:tcPr>
            <w:tcW w:w="706" w:type="pct"/>
            <w:tcBorders>
              <w:top w:val="single" w:sz="4" w:space="0" w:color="auto"/>
              <w:left w:val="nil"/>
              <w:bottom w:val="single" w:sz="4" w:space="0" w:color="auto"/>
              <w:right w:val="single" w:sz="4" w:space="0" w:color="auto"/>
            </w:tcBorders>
            <w:vAlign w:val="center"/>
          </w:tcPr>
          <w:p w14:paraId="3FD20E01"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hint="eastAsia"/>
                <w:color w:val="000000" w:themeColor="text1"/>
                <w:sz w:val="21"/>
                <w:szCs w:val="21"/>
              </w:rPr>
              <w:t>设备平台及不可上人屋顶</w:t>
            </w:r>
            <w:proofErr w:type="spellEnd"/>
          </w:p>
        </w:tc>
        <w:tc>
          <w:tcPr>
            <w:tcW w:w="602" w:type="pct"/>
            <w:tcBorders>
              <w:top w:val="single" w:sz="4" w:space="0" w:color="auto"/>
              <w:left w:val="nil"/>
              <w:bottom w:val="single" w:sz="4" w:space="0" w:color="auto"/>
              <w:right w:val="single" w:sz="4" w:space="0" w:color="auto"/>
            </w:tcBorders>
            <w:vAlign w:val="center"/>
          </w:tcPr>
          <w:p w14:paraId="7870159A" w14:textId="77777777" w:rsidR="00A67F21" w:rsidRPr="00B12FE0" w:rsidRDefault="00000000">
            <w:pPr>
              <w:adjustRightInd w:val="0"/>
              <w:snapToGrid w:val="0"/>
              <w:jc w:val="center"/>
              <w:rPr>
                <w:color w:val="000000" w:themeColor="text1"/>
                <w:sz w:val="21"/>
                <w:szCs w:val="21"/>
              </w:rPr>
            </w:pPr>
            <w:proofErr w:type="spellStart"/>
            <w:r w:rsidRPr="00B12FE0">
              <w:rPr>
                <w:rFonts w:ascii="宋体" w:hAnsi="宋体" w:cs="宋体"/>
                <w:color w:val="000000" w:themeColor="text1"/>
                <w:sz w:val="21"/>
                <w:szCs w:val="21"/>
              </w:rPr>
              <w:t>核素诊断场所以及核医学科办公室、值班室</w:t>
            </w:r>
            <w:proofErr w:type="spellEnd"/>
          </w:p>
        </w:tc>
      </w:tr>
    </w:tbl>
    <w:p w14:paraId="48D310BA" w14:textId="77777777" w:rsidR="00A67F21" w:rsidRPr="00B12FE0" w:rsidRDefault="00000000">
      <w:pPr>
        <w:topLinePunct/>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color w:val="000000" w:themeColor="text1"/>
          <w:szCs w:val="24"/>
        </w:rPr>
        <w:t>核医学科放射性废水</w:t>
      </w:r>
      <w:proofErr w:type="gramStart"/>
      <w:r w:rsidRPr="00B12FE0">
        <w:rPr>
          <w:rFonts w:ascii="宋体" w:hAnsi="宋体"/>
          <w:color w:val="000000" w:themeColor="text1"/>
          <w:szCs w:val="24"/>
        </w:rPr>
        <w:t>经埋地耐</w:t>
      </w:r>
      <w:proofErr w:type="gramEnd"/>
      <w:r w:rsidRPr="00B12FE0">
        <w:rPr>
          <w:rFonts w:ascii="宋体" w:hAnsi="宋体"/>
          <w:color w:val="000000" w:themeColor="text1"/>
          <w:szCs w:val="24"/>
        </w:rPr>
        <w:t>腐蚀和防护屏蔽的管道接入到衰变池，核素制备场所</w:t>
      </w:r>
      <w:r w:rsidRPr="00B12FE0">
        <w:rPr>
          <w:rFonts w:ascii="宋体" w:hAnsi="宋体" w:hint="eastAsia"/>
          <w:color w:val="000000" w:themeColor="text1"/>
          <w:szCs w:val="24"/>
        </w:rPr>
        <w:t>、</w:t>
      </w:r>
      <w:r w:rsidRPr="00B12FE0">
        <w:rPr>
          <w:rFonts w:ascii="宋体" w:hAnsi="宋体"/>
          <w:color w:val="000000" w:themeColor="text1"/>
          <w:szCs w:val="24"/>
        </w:rPr>
        <w:t>核素</w:t>
      </w:r>
      <w:r w:rsidRPr="00B12FE0">
        <w:rPr>
          <w:rFonts w:ascii="宋体" w:hAnsi="宋体" w:hint="eastAsia"/>
          <w:color w:val="000000" w:themeColor="text1"/>
          <w:szCs w:val="24"/>
        </w:rPr>
        <w:t>诊断</w:t>
      </w:r>
      <w:r w:rsidRPr="00B12FE0">
        <w:rPr>
          <w:rFonts w:ascii="宋体" w:hAnsi="宋体"/>
          <w:color w:val="000000" w:themeColor="text1"/>
          <w:szCs w:val="24"/>
        </w:rPr>
        <w:t>场所</w:t>
      </w:r>
      <w:r w:rsidRPr="00B12FE0">
        <w:rPr>
          <w:rFonts w:ascii="宋体" w:hAnsi="宋体" w:hint="eastAsia"/>
          <w:color w:val="000000" w:themeColor="text1"/>
          <w:szCs w:val="24"/>
        </w:rPr>
        <w:t>和核素治疗场所</w:t>
      </w:r>
      <w:r w:rsidRPr="00B12FE0">
        <w:rPr>
          <w:rFonts w:ascii="宋体" w:hAnsi="宋体"/>
          <w:color w:val="000000" w:themeColor="text1"/>
          <w:szCs w:val="24"/>
        </w:rPr>
        <w:t>共用一个衰变池</w:t>
      </w:r>
      <w:r w:rsidRPr="00B12FE0">
        <w:rPr>
          <w:rFonts w:ascii="宋体" w:hAnsi="宋体" w:hint="eastAsia"/>
          <w:color w:val="000000" w:themeColor="text1"/>
          <w:szCs w:val="24"/>
        </w:rPr>
        <w:t>，本项</w:t>
      </w:r>
      <w:r w:rsidRPr="00B12FE0">
        <w:rPr>
          <w:color w:val="000000" w:themeColor="text1"/>
          <w:szCs w:val="24"/>
        </w:rPr>
        <w:t>目衰变</w:t>
      </w:r>
      <w:proofErr w:type="gramStart"/>
      <w:r w:rsidRPr="00B12FE0">
        <w:rPr>
          <w:rFonts w:ascii="宋体" w:hAnsi="宋体"/>
          <w:color w:val="000000" w:themeColor="text1"/>
          <w:szCs w:val="24"/>
        </w:rPr>
        <w:t>池设置</w:t>
      </w:r>
      <w:proofErr w:type="gramEnd"/>
      <w:r w:rsidRPr="00B12FE0">
        <w:rPr>
          <w:rFonts w:ascii="宋体" w:hAnsi="宋体"/>
          <w:color w:val="000000" w:themeColor="text1"/>
          <w:szCs w:val="24"/>
        </w:rPr>
        <w:t>在肿瘤治疗中心综合楼</w:t>
      </w:r>
      <w:r w:rsidRPr="00B12FE0">
        <w:rPr>
          <w:rFonts w:ascii="宋体" w:hAnsi="宋体" w:hint="eastAsia"/>
          <w:color w:val="000000" w:themeColor="text1"/>
          <w:szCs w:val="24"/>
        </w:rPr>
        <w:t>南侧绿化带内</w:t>
      </w:r>
      <w:r w:rsidRPr="00B12FE0">
        <w:rPr>
          <w:rFonts w:ascii="宋体" w:hAnsi="宋体"/>
          <w:color w:val="000000" w:themeColor="text1"/>
          <w:szCs w:val="24"/>
        </w:rPr>
        <w:t>，地埋设置。</w:t>
      </w:r>
    </w:p>
    <w:p w14:paraId="643588CF"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核医学科核素治疗场所手套箱、核医学科核素</w:t>
      </w:r>
      <w:r w:rsidRPr="00B12FE0">
        <w:rPr>
          <w:rFonts w:ascii="宋体" w:hAnsi="宋体" w:hint="eastAsia"/>
          <w:color w:val="000000" w:themeColor="text1"/>
          <w:szCs w:val="24"/>
        </w:rPr>
        <w:t>诊断</w:t>
      </w:r>
      <w:r w:rsidRPr="00B12FE0">
        <w:rPr>
          <w:rFonts w:ascii="宋体" w:hAnsi="宋体"/>
          <w:color w:val="000000" w:themeColor="text1"/>
          <w:szCs w:val="24"/>
        </w:rPr>
        <w:t>场所</w:t>
      </w:r>
      <w:r w:rsidRPr="00B12FE0">
        <w:rPr>
          <w:rFonts w:hint="eastAsia"/>
          <w:color w:val="000000" w:themeColor="text1"/>
          <w:szCs w:val="24"/>
          <w:vertAlign w:val="superscript"/>
        </w:rPr>
        <w:t>99m</w:t>
      </w:r>
      <w:r w:rsidRPr="00B12FE0">
        <w:rPr>
          <w:rFonts w:hint="eastAsia"/>
          <w:color w:val="000000" w:themeColor="text1"/>
          <w:szCs w:val="24"/>
        </w:rPr>
        <w:t>Tc</w:t>
      </w:r>
      <w:r w:rsidRPr="00B12FE0">
        <w:rPr>
          <w:rFonts w:ascii="宋体" w:hAnsi="宋体"/>
          <w:color w:val="000000" w:themeColor="text1"/>
          <w:szCs w:val="24"/>
        </w:rPr>
        <w:t>淋洗</w:t>
      </w:r>
      <w:r w:rsidRPr="00B12FE0">
        <w:rPr>
          <w:rFonts w:ascii="宋体" w:hAnsi="宋体" w:hint="eastAsia"/>
          <w:color w:val="000000" w:themeColor="text1"/>
          <w:szCs w:val="24"/>
        </w:rPr>
        <w:t>手套箱</w:t>
      </w:r>
      <w:r w:rsidRPr="00B12FE0">
        <w:rPr>
          <w:rFonts w:ascii="宋体" w:hAnsi="宋体"/>
          <w:color w:val="000000" w:themeColor="text1"/>
          <w:szCs w:val="24"/>
        </w:rPr>
        <w:t>和</w:t>
      </w:r>
      <w:r w:rsidRPr="00B12FE0">
        <w:rPr>
          <w:color w:val="000000" w:themeColor="text1"/>
          <w:szCs w:val="24"/>
          <w:vertAlign w:val="superscript"/>
        </w:rPr>
        <w:t>18</w:t>
      </w:r>
      <w:r w:rsidRPr="00B12FE0">
        <w:rPr>
          <w:color w:val="000000" w:themeColor="text1"/>
          <w:szCs w:val="24"/>
        </w:rPr>
        <w:t>F</w:t>
      </w:r>
      <w:r w:rsidRPr="00B12FE0">
        <w:rPr>
          <w:rFonts w:ascii="宋体" w:hAnsi="宋体" w:hint="eastAsia"/>
          <w:color w:val="000000" w:themeColor="text1"/>
          <w:szCs w:val="24"/>
        </w:rPr>
        <w:t>手套箱</w:t>
      </w:r>
      <w:r w:rsidRPr="00B12FE0">
        <w:rPr>
          <w:rFonts w:ascii="宋体" w:hAnsi="宋体"/>
          <w:color w:val="000000" w:themeColor="text1"/>
          <w:szCs w:val="24"/>
        </w:rPr>
        <w:t>，此三处均设置单独排风管道，顶壁安装活性炭过滤装置，风速不低于</w:t>
      </w:r>
      <w:r w:rsidRPr="00B12FE0">
        <w:rPr>
          <w:color w:val="000000" w:themeColor="text1"/>
          <w:szCs w:val="24"/>
        </w:rPr>
        <w:t>0.5m/s</w:t>
      </w:r>
      <w:r w:rsidRPr="00B12FE0">
        <w:rPr>
          <w:rFonts w:ascii="宋体" w:hAnsi="宋体"/>
          <w:color w:val="000000" w:themeColor="text1"/>
          <w:szCs w:val="24"/>
        </w:rPr>
        <w:t>，经离心风机抽至屋顶实施高空排放，排放口均设置活性炭吸附装置，废气经活性炭吸附处理后排放。</w:t>
      </w:r>
    </w:p>
    <w:p w14:paraId="74CE53D9" w14:textId="77777777" w:rsidR="00A67F21" w:rsidRPr="00B12FE0" w:rsidRDefault="00000000">
      <w:pPr>
        <w:topLinePunct/>
        <w:adjustRightInd w:val="0"/>
        <w:snapToGrid w:val="0"/>
        <w:spacing w:line="360" w:lineRule="auto"/>
        <w:ind w:firstLineChars="200" w:firstLine="480"/>
        <w:rPr>
          <w:color w:val="000000" w:themeColor="text1"/>
          <w:kern w:val="0"/>
          <w:szCs w:val="24"/>
        </w:rPr>
      </w:pPr>
      <w:r w:rsidRPr="00B12FE0">
        <w:rPr>
          <w:rFonts w:ascii="宋体" w:hAnsi="宋体"/>
          <w:bCs/>
          <w:color w:val="000000" w:themeColor="text1"/>
          <w:szCs w:val="24"/>
        </w:rPr>
        <w:t>本项目核医学科工作场所</w:t>
      </w:r>
      <w:r w:rsidRPr="00B12FE0">
        <w:rPr>
          <w:rFonts w:ascii="宋体" w:hAnsi="宋体"/>
          <w:color w:val="000000" w:themeColor="text1"/>
          <w:szCs w:val="24"/>
        </w:rPr>
        <w:t>不毗邻食堂、产科、儿科等部门及人员密集区</w:t>
      </w:r>
      <w:r w:rsidRPr="00B12FE0">
        <w:rPr>
          <w:rFonts w:ascii="宋体" w:hAnsi="宋体"/>
          <w:bCs/>
          <w:color w:val="000000" w:themeColor="text1"/>
          <w:szCs w:val="24"/>
        </w:rPr>
        <w:t>。</w:t>
      </w:r>
      <w:r w:rsidRPr="00B12FE0">
        <w:rPr>
          <w:rFonts w:ascii="宋体" w:hAnsi="宋体"/>
          <w:color w:val="000000" w:themeColor="text1"/>
          <w:szCs w:val="24"/>
        </w:rPr>
        <w:t>核医学科核素诊断场所</w:t>
      </w:r>
      <w:r w:rsidRPr="00B12FE0">
        <w:rPr>
          <w:rFonts w:ascii="宋体" w:hAnsi="宋体" w:hint="eastAsia"/>
          <w:color w:val="000000" w:themeColor="text1"/>
          <w:szCs w:val="24"/>
        </w:rPr>
        <w:t>和</w:t>
      </w:r>
      <w:r w:rsidRPr="00B12FE0">
        <w:rPr>
          <w:rFonts w:ascii="宋体" w:hAnsi="宋体"/>
          <w:color w:val="000000" w:themeColor="text1"/>
          <w:szCs w:val="24"/>
        </w:rPr>
        <w:t>核素治疗场所病人出口</w:t>
      </w:r>
      <w:r w:rsidRPr="00B12FE0">
        <w:rPr>
          <w:rFonts w:ascii="宋体" w:hAnsi="宋体" w:hint="eastAsia"/>
          <w:color w:val="000000" w:themeColor="text1"/>
          <w:szCs w:val="24"/>
        </w:rPr>
        <w:t>均</w:t>
      </w:r>
      <w:r w:rsidRPr="00B12FE0">
        <w:rPr>
          <w:rFonts w:ascii="宋体" w:hAnsi="宋体"/>
          <w:color w:val="000000" w:themeColor="text1"/>
          <w:szCs w:val="24"/>
        </w:rPr>
        <w:t>位于一层南侧，周边为院内道路，不设置在门诊大厅、收费处等人群稠密区域。核医学科非密封放射性工作场所出入口处设有卫生通过间，卫生</w:t>
      </w:r>
      <w:proofErr w:type="gramStart"/>
      <w:r w:rsidRPr="00B12FE0">
        <w:rPr>
          <w:rFonts w:ascii="宋体" w:hAnsi="宋体"/>
          <w:color w:val="000000" w:themeColor="text1"/>
          <w:szCs w:val="24"/>
        </w:rPr>
        <w:t>通过间</w:t>
      </w:r>
      <w:proofErr w:type="gramEnd"/>
      <w:r w:rsidRPr="00B12FE0">
        <w:rPr>
          <w:rFonts w:ascii="宋体" w:hAnsi="宋体"/>
          <w:color w:val="000000" w:themeColor="text1"/>
          <w:szCs w:val="24"/>
        </w:rPr>
        <w:t>包含更衣、淋浴、去污工具并配备放射性</w:t>
      </w:r>
      <w:r w:rsidRPr="00B12FE0">
        <w:rPr>
          <w:color w:val="000000" w:themeColor="text1"/>
          <w:szCs w:val="24"/>
        </w:rPr>
        <w:t>β</w:t>
      </w:r>
      <w:r w:rsidRPr="00B12FE0">
        <w:rPr>
          <w:rFonts w:ascii="宋体" w:hAnsi="宋体"/>
          <w:color w:val="000000" w:themeColor="text1"/>
          <w:szCs w:val="24"/>
        </w:rPr>
        <w:t>表面污染监测仪；</w:t>
      </w:r>
      <w:r w:rsidRPr="00B12FE0">
        <w:rPr>
          <w:rFonts w:ascii="宋体" w:hAnsi="宋体"/>
          <w:color w:val="000000" w:themeColor="text1"/>
          <w:kern w:val="0"/>
          <w:szCs w:val="24"/>
        </w:rPr>
        <w:t>设置有独立的储源室、废物间、</w:t>
      </w:r>
      <w:r w:rsidRPr="00B12FE0">
        <w:rPr>
          <w:rFonts w:ascii="宋体" w:hAnsi="宋体" w:hint="eastAsia"/>
          <w:color w:val="000000" w:themeColor="text1"/>
          <w:kern w:val="0"/>
          <w:szCs w:val="24"/>
        </w:rPr>
        <w:t>高活室</w:t>
      </w:r>
      <w:r w:rsidRPr="00B12FE0">
        <w:rPr>
          <w:rFonts w:ascii="宋体" w:hAnsi="宋体"/>
          <w:color w:val="000000" w:themeColor="text1"/>
          <w:kern w:val="0"/>
          <w:szCs w:val="24"/>
        </w:rPr>
        <w:t>，</w:t>
      </w:r>
      <w:proofErr w:type="gramStart"/>
      <w:r w:rsidRPr="00B12FE0">
        <w:rPr>
          <w:rFonts w:ascii="宋体" w:hAnsi="宋体"/>
          <w:color w:val="000000" w:themeColor="text1"/>
          <w:kern w:val="0"/>
          <w:szCs w:val="24"/>
        </w:rPr>
        <w:t>且储源室</w:t>
      </w:r>
      <w:proofErr w:type="gramEnd"/>
      <w:r w:rsidRPr="00B12FE0">
        <w:rPr>
          <w:rFonts w:ascii="宋体" w:hAnsi="宋体"/>
          <w:color w:val="000000" w:themeColor="text1"/>
          <w:kern w:val="0"/>
          <w:szCs w:val="24"/>
        </w:rPr>
        <w:t>与</w:t>
      </w:r>
      <w:proofErr w:type="gramStart"/>
      <w:r w:rsidRPr="00B12FE0">
        <w:rPr>
          <w:rFonts w:ascii="宋体" w:hAnsi="宋体" w:hint="eastAsia"/>
          <w:color w:val="000000" w:themeColor="text1"/>
          <w:kern w:val="0"/>
          <w:szCs w:val="24"/>
        </w:rPr>
        <w:t>高活室</w:t>
      </w:r>
      <w:r w:rsidRPr="00B12FE0">
        <w:rPr>
          <w:rFonts w:ascii="宋体" w:hAnsi="宋体"/>
          <w:color w:val="000000" w:themeColor="text1"/>
          <w:kern w:val="0"/>
          <w:szCs w:val="24"/>
        </w:rPr>
        <w:t>邻近</w:t>
      </w:r>
      <w:proofErr w:type="gramEnd"/>
      <w:r w:rsidRPr="00B12FE0">
        <w:rPr>
          <w:rFonts w:ascii="宋体" w:hAnsi="宋体"/>
          <w:color w:val="000000" w:themeColor="text1"/>
          <w:kern w:val="0"/>
          <w:szCs w:val="24"/>
        </w:rPr>
        <w:t>，降低了药物操作和</w:t>
      </w:r>
      <w:r w:rsidRPr="00B12FE0">
        <w:rPr>
          <w:rFonts w:ascii="宋体" w:hAnsi="宋体"/>
          <w:color w:val="000000" w:themeColor="text1"/>
          <w:kern w:val="0"/>
          <w:szCs w:val="24"/>
        </w:rPr>
        <w:lastRenderedPageBreak/>
        <w:t>转移过程中可能会出现的洒落等情况。</w:t>
      </w:r>
    </w:p>
    <w:p w14:paraId="2A73A631" w14:textId="77777777" w:rsidR="00A67F21" w:rsidRPr="00B12FE0" w:rsidRDefault="00000000">
      <w:pPr>
        <w:topLinePunct/>
        <w:adjustRightInd w:val="0"/>
        <w:snapToGrid w:val="0"/>
        <w:spacing w:line="360" w:lineRule="auto"/>
        <w:ind w:firstLineChars="200" w:firstLine="480"/>
        <w:rPr>
          <w:bCs/>
          <w:color w:val="000000" w:themeColor="text1"/>
          <w:szCs w:val="24"/>
        </w:rPr>
      </w:pPr>
      <w:r w:rsidRPr="00B12FE0">
        <w:rPr>
          <w:rFonts w:ascii="宋体" w:hAnsi="宋体"/>
          <w:color w:val="000000" w:themeColor="text1"/>
          <w:kern w:val="0"/>
          <w:szCs w:val="24"/>
        </w:rPr>
        <w:t>核素</w:t>
      </w:r>
      <w:r w:rsidRPr="00B12FE0">
        <w:rPr>
          <w:rFonts w:ascii="宋体" w:hAnsi="宋体" w:hint="eastAsia"/>
          <w:color w:val="000000" w:themeColor="text1"/>
          <w:kern w:val="0"/>
          <w:szCs w:val="24"/>
        </w:rPr>
        <w:t>诊断</w:t>
      </w:r>
      <w:r w:rsidRPr="00B12FE0">
        <w:rPr>
          <w:rFonts w:ascii="宋体" w:hAnsi="宋体"/>
          <w:color w:val="000000" w:themeColor="text1"/>
          <w:kern w:val="0"/>
          <w:szCs w:val="24"/>
        </w:rPr>
        <w:t>场所设置有单独的</w:t>
      </w:r>
      <w:r w:rsidRPr="00B12FE0">
        <w:rPr>
          <w:color w:val="000000" w:themeColor="text1"/>
          <w:kern w:val="0"/>
          <w:szCs w:val="24"/>
        </w:rPr>
        <w:t>PET</w:t>
      </w:r>
      <w:r w:rsidRPr="00B12FE0">
        <w:rPr>
          <w:rFonts w:ascii="宋体" w:hAnsi="宋体"/>
          <w:color w:val="000000" w:themeColor="text1"/>
          <w:kern w:val="0"/>
          <w:szCs w:val="24"/>
        </w:rPr>
        <w:t>注射后</w:t>
      </w:r>
      <w:r w:rsidRPr="00B12FE0">
        <w:rPr>
          <w:rFonts w:ascii="宋体" w:hAnsi="宋体" w:hint="eastAsia"/>
          <w:color w:val="000000" w:themeColor="text1"/>
          <w:kern w:val="0"/>
          <w:szCs w:val="24"/>
        </w:rPr>
        <w:t>候诊</w:t>
      </w:r>
      <w:r w:rsidRPr="00B12FE0">
        <w:rPr>
          <w:rFonts w:ascii="宋体" w:hAnsi="宋体"/>
          <w:color w:val="000000" w:themeColor="text1"/>
          <w:kern w:val="0"/>
          <w:szCs w:val="24"/>
        </w:rPr>
        <w:t>室和</w:t>
      </w:r>
      <w:r w:rsidRPr="00B12FE0">
        <w:rPr>
          <w:color w:val="000000" w:themeColor="text1"/>
          <w:kern w:val="0"/>
          <w:szCs w:val="24"/>
        </w:rPr>
        <w:t>SPECT</w:t>
      </w:r>
      <w:r w:rsidRPr="00B12FE0">
        <w:rPr>
          <w:rFonts w:ascii="宋体" w:hAnsi="宋体"/>
          <w:color w:val="000000" w:themeColor="text1"/>
          <w:kern w:val="0"/>
          <w:szCs w:val="24"/>
        </w:rPr>
        <w:t>注射后</w:t>
      </w:r>
      <w:r w:rsidRPr="00B12FE0">
        <w:rPr>
          <w:rFonts w:ascii="宋体" w:hAnsi="宋体" w:hint="eastAsia"/>
          <w:color w:val="000000" w:themeColor="text1"/>
          <w:kern w:val="0"/>
          <w:szCs w:val="24"/>
        </w:rPr>
        <w:t>候诊</w:t>
      </w:r>
      <w:r w:rsidRPr="00B12FE0">
        <w:rPr>
          <w:rFonts w:ascii="宋体" w:hAnsi="宋体"/>
          <w:color w:val="000000" w:themeColor="text1"/>
          <w:kern w:val="0"/>
          <w:szCs w:val="24"/>
        </w:rPr>
        <w:t>室，核素治疗场所设置有单独的住院病房，且均设有专用卫生间，患者产生的放射性废</w:t>
      </w:r>
      <w:r w:rsidRPr="00B12FE0">
        <w:rPr>
          <w:rFonts w:ascii="宋体" w:hAnsi="宋体" w:hint="eastAsia"/>
          <w:color w:val="000000" w:themeColor="text1"/>
          <w:kern w:val="0"/>
          <w:szCs w:val="24"/>
        </w:rPr>
        <w:t>水</w:t>
      </w:r>
      <w:r w:rsidRPr="00B12FE0">
        <w:rPr>
          <w:rFonts w:ascii="宋体" w:hAnsi="宋体"/>
          <w:color w:val="000000" w:themeColor="text1"/>
          <w:kern w:val="0"/>
          <w:szCs w:val="24"/>
        </w:rPr>
        <w:t>均通至衰变池处理；患者通道与医护人员通道完全分离，不交叉，患者单向流动，避免了患者之间交叉影响；各辐射工作场所均采取了辐射防护措施；</w:t>
      </w:r>
      <w:r w:rsidRPr="00B12FE0">
        <w:rPr>
          <w:rFonts w:ascii="宋体" w:hAnsi="宋体" w:hint="eastAsia"/>
          <w:color w:val="000000" w:themeColor="text1"/>
          <w:kern w:val="0"/>
          <w:szCs w:val="24"/>
        </w:rPr>
        <w:t>控制区的入口和出口需设置门锁权限控制等安全措施，限制患者或受检者的随意流动，</w:t>
      </w:r>
      <w:r w:rsidRPr="00B12FE0">
        <w:rPr>
          <w:rFonts w:ascii="宋体" w:hAnsi="宋体"/>
          <w:color w:val="000000" w:themeColor="text1"/>
          <w:kern w:val="0"/>
          <w:szCs w:val="24"/>
        </w:rPr>
        <w:t>非工作人员的引导不能进入，且出口避开了人流密集区域，设置合理。</w:t>
      </w:r>
    </w:p>
    <w:p w14:paraId="31BB711B"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本项目核医学科工作场所布局满足《核医学辐射防护与安全要求》（</w:t>
      </w:r>
      <w:r w:rsidRPr="00B12FE0">
        <w:rPr>
          <w:color w:val="000000" w:themeColor="text1"/>
          <w:szCs w:val="24"/>
        </w:rPr>
        <w:t>HJ1188-2021</w:t>
      </w:r>
      <w:r w:rsidRPr="00B12FE0">
        <w:rPr>
          <w:rFonts w:ascii="宋体" w:hAnsi="宋体"/>
          <w:color w:val="000000" w:themeColor="text1"/>
          <w:szCs w:val="24"/>
        </w:rPr>
        <w:t>）中关于核医学工作场所对于布局的要求，核医学科工作场所布局合理。</w:t>
      </w:r>
    </w:p>
    <w:p w14:paraId="7EEEE156" w14:textId="77777777" w:rsidR="00A67F21" w:rsidRPr="00B12FE0" w:rsidRDefault="00000000">
      <w:pPr>
        <w:adjustRightInd w:val="0"/>
        <w:snapToGrid w:val="0"/>
        <w:spacing w:line="360" w:lineRule="auto"/>
        <w:outlineLvl w:val="3"/>
        <w:rPr>
          <w:b/>
          <w:bCs/>
          <w:color w:val="000000" w:themeColor="text1"/>
        </w:rPr>
      </w:pPr>
      <w:r w:rsidRPr="00B12FE0">
        <w:rPr>
          <w:rFonts w:hint="eastAsia"/>
          <w:b/>
          <w:bCs/>
          <w:color w:val="000000" w:themeColor="text1"/>
        </w:rPr>
        <w:t>10.1.1.2</w:t>
      </w:r>
      <w:r w:rsidRPr="00B12FE0">
        <w:rPr>
          <w:b/>
          <w:color w:val="000000" w:themeColor="text1"/>
        </w:rPr>
        <w:t>非密封放射性物质工作场所分区</w:t>
      </w:r>
    </w:p>
    <w:p w14:paraId="2D4799DA"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按照《电离辐射防护与辐射源安全基本标准》（</w:t>
      </w:r>
      <w:r w:rsidRPr="00B12FE0">
        <w:rPr>
          <w:color w:val="000000" w:themeColor="text1"/>
          <w:szCs w:val="24"/>
        </w:rPr>
        <w:t>GB18871-2002</w:t>
      </w:r>
      <w:r w:rsidRPr="00B12FE0">
        <w:rPr>
          <w:rFonts w:ascii="宋体" w:hAnsi="宋体"/>
          <w:color w:val="000000" w:themeColor="text1"/>
          <w:szCs w:val="24"/>
        </w:rPr>
        <w:t>）的要求，在辐射工作场所内划出控制区和监督区，在项目运营期间采取分区管理措施。控制区是指需要和可能需要专门防护手段或安全措施的区域；监督区是指通常不需要专门的防护手段或安全措施，但需要经常对职业照射条件进行监督和评价的区域。</w:t>
      </w:r>
    </w:p>
    <w:p w14:paraId="2EE6128B" w14:textId="77777777" w:rsidR="00A67F21" w:rsidRPr="00B12FE0" w:rsidRDefault="00000000">
      <w:pPr>
        <w:topLinePunct/>
        <w:spacing w:line="360" w:lineRule="auto"/>
        <w:ind w:firstLineChars="200" w:firstLine="480"/>
        <w:rPr>
          <w:rFonts w:ascii="宋体" w:hAnsi="宋体" w:hint="eastAsia"/>
          <w:color w:val="000000" w:themeColor="text1"/>
          <w:szCs w:val="24"/>
        </w:rPr>
      </w:pPr>
      <w:r w:rsidRPr="00B12FE0">
        <w:rPr>
          <w:rFonts w:ascii="宋体" w:hAnsi="宋体"/>
          <w:color w:val="000000" w:themeColor="text1"/>
          <w:szCs w:val="24"/>
        </w:rPr>
        <w:t>根据《电离辐射防护与辐射源安全基本标准》（</w:t>
      </w:r>
      <w:r w:rsidRPr="00B12FE0">
        <w:rPr>
          <w:color w:val="000000" w:themeColor="text1"/>
          <w:szCs w:val="24"/>
        </w:rPr>
        <w:t>GB18871-2002</w:t>
      </w:r>
      <w:r w:rsidRPr="00B12FE0">
        <w:rPr>
          <w:rFonts w:ascii="宋体" w:hAnsi="宋体"/>
          <w:color w:val="000000" w:themeColor="text1"/>
          <w:szCs w:val="24"/>
        </w:rPr>
        <w:t>）和《核医学辐射防护与安全要求》（</w:t>
      </w:r>
      <w:r w:rsidRPr="00B12FE0">
        <w:rPr>
          <w:color w:val="000000" w:themeColor="text1"/>
          <w:szCs w:val="24"/>
        </w:rPr>
        <w:t>HJ1188-2021</w:t>
      </w:r>
      <w:r w:rsidRPr="00B12FE0">
        <w:rPr>
          <w:rFonts w:ascii="宋体" w:hAnsi="宋体"/>
          <w:color w:val="000000" w:themeColor="text1"/>
          <w:szCs w:val="24"/>
        </w:rPr>
        <w:t>）对控制区和监督区的定义，结合核医学科工作场所辐射防护和环境情况特点，本项目三处非密封放射性物质工作场所分区情况详见表</w:t>
      </w:r>
      <w:r w:rsidRPr="00B12FE0">
        <w:rPr>
          <w:color w:val="000000" w:themeColor="text1"/>
          <w:szCs w:val="24"/>
        </w:rPr>
        <w:t>10.1.1.2-1</w:t>
      </w:r>
      <w:r w:rsidRPr="00B12FE0">
        <w:rPr>
          <w:rFonts w:ascii="宋体" w:hAnsi="宋体"/>
          <w:color w:val="000000" w:themeColor="text1"/>
          <w:szCs w:val="24"/>
        </w:rPr>
        <w:t>。分区图见图</w:t>
      </w:r>
      <w:r w:rsidRPr="00B12FE0">
        <w:rPr>
          <w:color w:val="000000" w:themeColor="text1"/>
          <w:szCs w:val="24"/>
        </w:rPr>
        <w:t>10.1.1.2-1~10.1.1.2-</w:t>
      </w:r>
      <w:r w:rsidRPr="00B12FE0">
        <w:rPr>
          <w:rFonts w:hint="eastAsia"/>
          <w:color w:val="000000" w:themeColor="text1"/>
          <w:szCs w:val="24"/>
        </w:rPr>
        <w:t>2</w:t>
      </w:r>
      <w:r w:rsidRPr="00B12FE0">
        <w:rPr>
          <w:rFonts w:ascii="宋体" w:hAnsi="宋体"/>
          <w:color w:val="000000" w:themeColor="text1"/>
          <w:szCs w:val="24"/>
        </w:rPr>
        <w:t>。</w:t>
      </w:r>
    </w:p>
    <w:p w14:paraId="4B6229E0"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10.1.1.2-1 </w:t>
      </w:r>
      <w:r w:rsidRPr="00B12FE0">
        <w:rPr>
          <w:rFonts w:ascii="宋体" w:hAnsi="宋体"/>
          <w:b/>
          <w:color w:val="000000" w:themeColor="text1"/>
          <w:sz w:val="21"/>
          <w:szCs w:val="21"/>
        </w:rPr>
        <w:t>核医学科分区表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3436"/>
        <w:gridCol w:w="4471"/>
      </w:tblGrid>
      <w:tr w:rsidR="00A67F21" w:rsidRPr="00B12FE0" w14:paraId="76AC88B1" w14:textId="77777777">
        <w:trPr>
          <w:trHeight w:val="20"/>
          <w:jc w:val="center"/>
        </w:trPr>
        <w:tc>
          <w:tcPr>
            <w:tcW w:w="1110" w:type="dxa"/>
            <w:tcBorders>
              <w:top w:val="single" w:sz="4" w:space="0" w:color="auto"/>
              <w:left w:val="single" w:sz="4" w:space="0" w:color="auto"/>
              <w:bottom w:val="single" w:sz="4" w:space="0" w:color="auto"/>
              <w:right w:val="single" w:sz="4" w:space="0" w:color="auto"/>
            </w:tcBorders>
            <w:vAlign w:val="center"/>
          </w:tcPr>
          <w:p w14:paraId="0FED45E1"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工作场所</w:t>
            </w:r>
          </w:p>
        </w:tc>
        <w:tc>
          <w:tcPr>
            <w:tcW w:w="3436" w:type="dxa"/>
            <w:tcBorders>
              <w:top w:val="single" w:sz="4" w:space="0" w:color="auto"/>
              <w:left w:val="single" w:sz="4" w:space="0" w:color="auto"/>
              <w:bottom w:val="single" w:sz="4" w:space="0" w:color="auto"/>
              <w:right w:val="single" w:sz="4" w:space="0" w:color="auto"/>
            </w:tcBorders>
            <w:vAlign w:val="center"/>
          </w:tcPr>
          <w:p w14:paraId="1C9E7180"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控制区</w:t>
            </w:r>
          </w:p>
        </w:tc>
        <w:tc>
          <w:tcPr>
            <w:tcW w:w="4471" w:type="dxa"/>
            <w:tcBorders>
              <w:top w:val="single" w:sz="4" w:space="0" w:color="auto"/>
              <w:left w:val="single" w:sz="4" w:space="0" w:color="auto"/>
              <w:bottom w:val="single" w:sz="4" w:space="0" w:color="auto"/>
              <w:right w:val="single" w:sz="4" w:space="0" w:color="auto"/>
            </w:tcBorders>
            <w:vAlign w:val="center"/>
          </w:tcPr>
          <w:p w14:paraId="05750E26"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监督区</w:t>
            </w:r>
          </w:p>
        </w:tc>
      </w:tr>
      <w:tr w:rsidR="00A67F21" w:rsidRPr="00B12FE0" w14:paraId="467BED6B" w14:textId="77777777">
        <w:trPr>
          <w:trHeight w:val="20"/>
          <w:jc w:val="center"/>
        </w:trPr>
        <w:tc>
          <w:tcPr>
            <w:tcW w:w="1110" w:type="dxa"/>
            <w:tcBorders>
              <w:top w:val="single" w:sz="4" w:space="0" w:color="auto"/>
              <w:left w:val="single" w:sz="4" w:space="0" w:color="auto"/>
              <w:bottom w:val="single" w:sz="4" w:space="0" w:color="auto"/>
              <w:right w:val="single" w:sz="4" w:space="0" w:color="auto"/>
            </w:tcBorders>
            <w:vAlign w:val="center"/>
          </w:tcPr>
          <w:p w14:paraId="5404D3AE"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核医学科核素制备场所</w:t>
            </w:r>
          </w:p>
        </w:tc>
        <w:tc>
          <w:tcPr>
            <w:tcW w:w="3436" w:type="dxa"/>
            <w:tcBorders>
              <w:top w:val="single" w:sz="4" w:space="0" w:color="auto"/>
              <w:left w:val="single" w:sz="4" w:space="0" w:color="auto"/>
              <w:bottom w:val="single" w:sz="4" w:space="0" w:color="auto"/>
              <w:right w:val="single" w:sz="4" w:space="0" w:color="auto"/>
            </w:tcBorders>
            <w:vAlign w:val="center"/>
          </w:tcPr>
          <w:p w14:paraId="58398AE8"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回旋加速器机房、热室房间</w:t>
            </w:r>
            <w:r w:rsidRPr="00B12FE0">
              <w:rPr>
                <w:rFonts w:ascii="宋体" w:hAnsi="宋体" w:hint="eastAsia"/>
                <w:color w:val="000000" w:themeColor="text1"/>
                <w:sz w:val="21"/>
                <w:szCs w:val="21"/>
              </w:rPr>
              <w:t>（包含维修区）</w:t>
            </w:r>
            <w:r w:rsidRPr="00B12FE0">
              <w:rPr>
                <w:rFonts w:ascii="宋体" w:hAnsi="宋体"/>
                <w:color w:val="000000" w:themeColor="text1"/>
                <w:sz w:val="21"/>
                <w:szCs w:val="21"/>
              </w:rPr>
              <w:t>、</w:t>
            </w:r>
            <w:r w:rsidRPr="00B12FE0">
              <w:rPr>
                <w:rFonts w:ascii="宋体" w:hAnsi="宋体" w:hint="eastAsia"/>
                <w:color w:val="000000" w:themeColor="text1"/>
                <w:sz w:val="21"/>
                <w:szCs w:val="21"/>
              </w:rPr>
              <w:t>放化实验室、</w:t>
            </w:r>
            <w:r w:rsidRPr="00B12FE0">
              <w:rPr>
                <w:rFonts w:ascii="宋体" w:hAnsi="宋体"/>
                <w:color w:val="000000" w:themeColor="text1"/>
                <w:sz w:val="21"/>
                <w:szCs w:val="21"/>
              </w:rPr>
              <w:t>外包间</w:t>
            </w:r>
            <w:r w:rsidRPr="00B12FE0">
              <w:rPr>
                <w:rFonts w:ascii="宋体" w:hAnsi="宋体" w:hint="eastAsia"/>
                <w:color w:val="000000" w:themeColor="text1"/>
                <w:sz w:val="21"/>
                <w:szCs w:val="21"/>
              </w:rPr>
              <w:t>等</w:t>
            </w:r>
          </w:p>
        </w:tc>
        <w:tc>
          <w:tcPr>
            <w:tcW w:w="4471" w:type="dxa"/>
            <w:tcBorders>
              <w:top w:val="single" w:sz="4" w:space="0" w:color="auto"/>
              <w:left w:val="single" w:sz="4" w:space="0" w:color="auto"/>
              <w:bottom w:val="single" w:sz="4" w:space="0" w:color="auto"/>
              <w:right w:val="single" w:sz="4" w:space="0" w:color="auto"/>
            </w:tcBorders>
            <w:vAlign w:val="center"/>
          </w:tcPr>
          <w:p w14:paraId="3292D82C"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全检质控室、</w:t>
            </w:r>
            <w:r w:rsidRPr="00B12FE0">
              <w:rPr>
                <w:rFonts w:ascii="宋体" w:hAnsi="宋体" w:hint="eastAsia"/>
                <w:color w:val="000000" w:themeColor="text1"/>
                <w:sz w:val="21"/>
                <w:szCs w:val="21"/>
              </w:rPr>
              <w:t>水冷间</w:t>
            </w:r>
            <w:r w:rsidRPr="00B12FE0">
              <w:rPr>
                <w:rFonts w:ascii="宋体" w:hAnsi="宋体"/>
                <w:color w:val="000000" w:themeColor="text1"/>
                <w:sz w:val="21"/>
                <w:szCs w:val="21"/>
              </w:rPr>
              <w:t>、控制室、</w:t>
            </w:r>
            <w:r w:rsidRPr="00B12FE0">
              <w:rPr>
                <w:rFonts w:ascii="宋体" w:hAnsi="宋体" w:hint="eastAsia"/>
                <w:color w:val="000000" w:themeColor="text1"/>
                <w:sz w:val="21"/>
                <w:szCs w:val="21"/>
              </w:rPr>
              <w:t>纯水</w:t>
            </w:r>
            <w:r w:rsidRPr="00B12FE0">
              <w:rPr>
                <w:rFonts w:ascii="宋体" w:hAnsi="宋体"/>
                <w:color w:val="000000" w:themeColor="text1"/>
                <w:sz w:val="21"/>
                <w:szCs w:val="21"/>
              </w:rPr>
              <w:t>间、</w:t>
            </w:r>
            <w:r w:rsidRPr="00B12FE0">
              <w:rPr>
                <w:rFonts w:ascii="宋体" w:hAnsi="宋体" w:hint="eastAsia"/>
                <w:color w:val="000000" w:themeColor="text1"/>
                <w:sz w:val="21"/>
                <w:szCs w:val="21"/>
              </w:rPr>
              <w:t>工具</w:t>
            </w:r>
            <w:r w:rsidRPr="00B12FE0">
              <w:rPr>
                <w:rFonts w:ascii="宋体" w:hAnsi="宋体"/>
                <w:color w:val="000000" w:themeColor="text1"/>
                <w:sz w:val="21"/>
                <w:szCs w:val="21"/>
              </w:rPr>
              <w:t>间、库房、准备间、缓冲间、消毒间、洁具间、洗衣间、整衣间、</w:t>
            </w:r>
            <w:r w:rsidRPr="00B12FE0">
              <w:rPr>
                <w:rFonts w:ascii="宋体" w:hAnsi="宋体" w:hint="eastAsia"/>
                <w:color w:val="000000" w:themeColor="text1"/>
                <w:sz w:val="21"/>
                <w:szCs w:val="21"/>
              </w:rPr>
              <w:t>洁净</w:t>
            </w:r>
            <w:r w:rsidRPr="00B12FE0">
              <w:rPr>
                <w:rFonts w:ascii="宋体" w:hAnsi="宋体"/>
                <w:color w:val="000000" w:themeColor="text1"/>
                <w:sz w:val="21"/>
                <w:szCs w:val="21"/>
              </w:rPr>
              <w:t>走廊、</w:t>
            </w:r>
            <w:proofErr w:type="gramStart"/>
            <w:r w:rsidRPr="00B12FE0">
              <w:rPr>
                <w:rFonts w:ascii="宋体" w:hAnsi="宋体"/>
                <w:color w:val="000000" w:themeColor="text1"/>
                <w:sz w:val="21"/>
                <w:szCs w:val="21"/>
              </w:rPr>
              <w:t>一</w:t>
            </w:r>
            <w:proofErr w:type="gramEnd"/>
            <w:r w:rsidRPr="00B12FE0">
              <w:rPr>
                <w:rFonts w:ascii="宋体" w:hAnsi="宋体"/>
                <w:color w:val="000000" w:themeColor="text1"/>
                <w:sz w:val="21"/>
                <w:szCs w:val="21"/>
              </w:rPr>
              <w:t>更、二更、</w:t>
            </w:r>
            <w:proofErr w:type="gramStart"/>
            <w:r w:rsidRPr="00B12FE0">
              <w:rPr>
                <w:rFonts w:ascii="宋体" w:hAnsi="宋体" w:hint="eastAsia"/>
                <w:color w:val="000000" w:themeColor="text1"/>
                <w:sz w:val="21"/>
                <w:szCs w:val="21"/>
              </w:rPr>
              <w:t>退更检测</w:t>
            </w:r>
            <w:proofErr w:type="gramEnd"/>
            <w:r w:rsidRPr="00B12FE0">
              <w:rPr>
                <w:rFonts w:ascii="宋体" w:hAnsi="宋体"/>
                <w:color w:val="000000" w:themeColor="text1"/>
                <w:sz w:val="21"/>
                <w:szCs w:val="21"/>
              </w:rPr>
              <w:t>、</w:t>
            </w:r>
            <w:r w:rsidRPr="00B12FE0">
              <w:rPr>
                <w:rFonts w:ascii="宋体" w:hAnsi="宋体" w:hint="eastAsia"/>
                <w:color w:val="000000" w:themeColor="text1"/>
                <w:sz w:val="21"/>
                <w:szCs w:val="21"/>
              </w:rPr>
              <w:t>紧急冲淋、空调机房</w:t>
            </w:r>
            <w:r w:rsidRPr="00B12FE0">
              <w:rPr>
                <w:rFonts w:ascii="宋体" w:hAnsi="宋体"/>
                <w:color w:val="000000" w:themeColor="text1"/>
                <w:sz w:val="21"/>
                <w:szCs w:val="21"/>
              </w:rPr>
              <w:t>、</w:t>
            </w:r>
            <w:r w:rsidRPr="00B12FE0">
              <w:rPr>
                <w:rFonts w:ascii="宋体" w:hAnsi="宋体" w:hint="eastAsia"/>
                <w:color w:val="000000" w:themeColor="text1"/>
                <w:sz w:val="21"/>
                <w:szCs w:val="21"/>
              </w:rPr>
              <w:t>工作走道及控制区外30cm处等</w:t>
            </w:r>
          </w:p>
        </w:tc>
      </w:tr>
      <w:tr w:rsidR="00A67F21" w:rsidRPr="00B12FE0" w14:paraId="309A7AAC" w14:textId="77777777">
        <w:trPr>
          <w:trHeight w:val="20"/>
          <w:jc w:val="center"/>
        </w:trPr>
        <w:tc>
          <w:tcPr>
            <w:tcW w:w="1110" w:type="dxa"/>
            <w:tcBorders>
              <w:top w:val="single" w:sz="4" w:space="0" w:color="auto"/>
              <w:left w:val="single" w:sz="4" w:space="0" w:color="auto"/>
              <w:bottom w:val="single" w:sz="4" w:space="0" w:color="auto"/>
              <w:right w:val="single" w:sz="4" w:space="0" w:color="auto"/>
            </w:tcBorders>
            <w:vAlign w:val="center"/>
          </w:tcPr>
          <w:p w14:paraId="1B500F1E"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核医学科核素</w:t>
            </w:r>
            <w:r w:rsidRPr="00B12FE0">
              <w:rPr>
                <w:rFonts w:ascii="宋体" w:hAnsi="宋体" w:hint="eastAsia"/>
                <w:color w:val="000000" w:themeColor="text1"/>
                <w:sz w:val="21"/>
                <w:szCs w:val="21"/>
              </w:rPr>
              <w:t>诊断</w:t>
            </w:r>
            <w:r w:rsidRPr="00B12FE0">
              <w:rPr>
                <w:rFonts w:ascii="宋体" w:hAnsi="宋体"/>
                <w:color w:val="000000" w:themeColor="text1"/>
                <w:sz w:val="21"/>
                <w:szCs w:val="21"/>
              </w:rPr>
              <w:t>场所</w:t>
            </w:r>
          </w:p>
        </w:tc>
        <w:tc>
          <w:tcPr>
            <w:tcW w:w="3436" w:type="dxa"/>
            <w:tcBorders>
              <w:top w:val="single" w:sz="4" w:space="0" w:color="auto"/>
              <w:left w:val="single" w:sz="4" w:space="0" w:color="auto"/>
              <w:bottom w:val="single" w:sz="4" w:space="0" w:color="auto"/>
              <w:right w:val="single" w:sz="4" w:space="0" w:color="auto"/>
            </w:tcBorders>
            <w:vAlign w:val="center"/>
          </w:tcPr>
          <w:p w14:paraId="6960C54B"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hint="eastAsia"/>
                <w:color w:val="000000" w:themeColor="text1"/>
                <w:sz w:val="21"/>
                <w:szCs w:val="21"/>
              </w:rPr>
              <w:t>甲吸室</w:t>
            </w:r>
            <w:proofErr w:type="gramEnd"/>
            <w:r w:rsidRPr="00B12FE0">
              <w:rPr>
                <w:rFonts w:ascii="宋体" w:hAnsi="宋体" w:hint="eastAsia"/>
                <w:color w:val="000000" w:themeColor="text1"/>
                <w:sz w:val="21"/>
                <w:szCs w:val="21"/>
              </w:rPr>
              <w:t>、敷贴室、运动负荷室、高活室</w:t>
            </w:r>
            <w:r w:rsidRPr="00B12FE0">
              <w:rPr>
                <w:rFonts w:ascii="宋体" w:hAnsi="宋体"/>
                <w:color w:val="000000" w:themeColor="text1"/>
                <w:sz w:val="21"/>
                <w:szCs w:val="21"/>
              </w:rPr>
              <w:t>、</w:t>
            </w:r>
            <w:r w:rsidRPr="00B12FE0">
              <w:rPr>
                <w:rFonts w:ascii="宋体" w:hAnsi="宋体" w:hint="eastAsia"/>
                <w:color w:val="000000" w:themeColor="text1"/>
                <w:sz w:val="21"/>
                <w:szCs w:val="21"/>
              </w:rPr>
              <w:t>固废</w:t>
            </w:r>
            <w:r w:rsidRPr="00B12FE0">
              <w:rPr>
                <w:rFonts w:ascii="宋体" w:hAnsi="宋体"/>
                <w:color w:val="000000" w:themeColor="text1"/>
                <w:sz w:val="21"/>
                <w:szCs w:val="21"/>
              </w:rPr>
              <w:t>间、储源室、注射</w:t>
            </w:r>
            <w:r w:rsidRPr="00B12FE0">
              <w:rPr>
                <w:rFonts w:ascii="宋体" w:hAnsi="宋体" w:hint="eastAsia"/>
                <w:color w:val="000000" w:themeColor="text1"/>
                <w:sz w:val="21"/>
                <w:szCs w:val="21"/>
              </w:rPr>
              <w:t>区、</w:t>
            </w:r>
            <w:proofErr w:type="gramStart"/>
            <w:r w:rsidRPr="00B12FE0">
              <w:rPr>
                <w:rFonts w:ascii="宋体" w:hAnsi="宋体" w:hint="eastAsia"/>
                <w:color w:val="000000" w:themeColor="text1"/>
                <w:sz w:val="21"/>
                <w:szCs w:val="21"/>
              </w:rPr>
              <w:t>服碘室</w:t>
            </w:r>
            <w:proofErr w:type="gramEnd"/>
            <w:r w:rsidRPr="00B12FE0">
              <w:rPr>
                <w:rFonts w:ascii="宋体" w:hAnsi="宋体"/>
                <w:color w:val="000000" w:themeColor="text1"/>
                <w:sz w:val="21"/>
                <w:szCs w:val="21"/>
              </w:rPr>
              <w:t>、抢救室、</w:t>
            </w:r>
            <w:r w:rsidRPr="00B12FE0">
              <w:rPr>
                <w:rFonts w:ascii="宋体" w:hAnsi="宋体" w:hint="eastAsia"/>
                <w:color w:val="000000" w:themeColor="text1"/>
                <w:sz w:val="21"/>
                <w:szCs w:val="21"/>
              </w:rPr>
              <w:t>甲亢留观室、</w:t>
            </w:r>
            <w:r w:rsidRPr="00B12FE0">
              <w:rPr>
                <w:rFonts w:ascii="宋体" w:hAnsi="宋体"/>
                <w:color w:val="000000" w:themeColor="text1"/>
                <w:sz w:val="21"/>
                <w:szCs w:val="21"/>
              </w:rPr>
              <w:t>卫生间、患者通道、</w:t>
            </w:r>
            <w:r w:rsidRPr="00B12FE0">
              <w:rPr>
                <w:color w:val="000000" w:themeColor="text1"/>
                <w:sz w:val="21"/>
                <w:szCs w:val="21"/>
              </w:rPr>
              <w:t>PET</w:t>
            </w:r>
            <w:r w:rsidRPr="00B12FE0">
              <w:rPr>
                <w:rFonts w:ascii="宋体" w:hAnsi="宋体" w:hint="eastAsia"/>
                <w:color w:val="000000" w:themeColor="text1"/>
                <w:sz w:val="21"/>
                <w:szCs w:val="21"/>
              </w:rPr>
              <w:t>候诊室</w:t>
            </w:r>
            <w:r w:rsidRPr="00B12FE0">
              <w:rPr>
                <w:rFonts w:ascii="宋体" w:hAnsi="宋体"/>
                <w:color w:val="000000" w:themeColor="text1"/>
                <w:sz w:val="21"/>
                <w:szCs w:val="21"/>
              </w:rPr>
              <w:t>、</w:t>
            </w:r>
            <w:r w:rsidRPr="00B12FE0">
              <w:rPr>
                <w:color w:val="000000" w:themeColor="text1"/>
                <w:sz w:val="21"/>
                <w:szCs w:val="21"/>
              </w:rPr>
              <w:t>SPECT</w:t>
            </w:r>
            <w:r w:rsidRPr="00B12FE0">
              <w:rPr>
                <w:rFonts w:ascii="宋体" w:hAnsi="宋体" w:hint="eastAsia"/>
                <w:color w:val="000000" w:themeColor="text1"/>
                <w:sz w:val="21"/>
                <w:szCs w:val="21"/>
              </w:rPr>
              <w:t>候诊室</w:t>
            </w:r>
            <w:r w:rsidRPr="00B12FE0">
              <w:rPr>
                <w:rFonts w:ascii="宋体" w:hAnsi="宋体"/>
                <w:color w:val="000000" w:themeColor="text1"/>
                <w:sz w:val="21"/>
                <w:szCs w:val="21"/>
              </w:rPr>
              <w:t>、留观室、</w:t>
            </w:r>
            <w:proofErr w:type="gramStart"/>
            <w:r w:rsidRPr="00B12FE0">
              <w:rPr>
                <w:rFonts w:ascii="宋体" w:hAnsi="宋体"/>
                <w:color w:val="000000" w:themeColor="text1"/>
                <w:sz w:val="21"/>
                <w:szCs w:val="21"/>
              </w:rPr>
              <w:t>污洗</w:t>
            </w:r>
            <w:proofErr w:type="gramEnd"/>
            <w:r w:rsidRPr="00B12FE0">
              <w:rPr>
                <w:rFonts w:ascii="宋体" w:hAnsi="宋体"/>
                <w:color w:val="000000" w:themeColor="text1"/>
                <w:sz w:val="21"/>
                <w:szCs w:val="21"/>
              </w:rPr>
              <w:t>/污物暂存间</w:t>
            </w:r>
            <w:r w:rsidRPr="00B12FE0">
              <w:rPr>
                <w:rFonts w:ascii="宋体" w:hAnsi="宋体" w:hint="eastAsia"/>
                <w:color w:val="000000" w:themeColor="text1"/>
                <w:sz w:val="21"/>
                <w:szCs w:val="21"/>
              </w:rPr>
              <w:t>、</w:t>
            </w:r>
            <w:r w:rsidRPr="00B12FE0">
              <w:rPr>
                <w:color w:val="000000" w:themeColor="text1"/>
                <w:sz w:val="21"/>
                <w:szCs w:val="21"/>
              </w:rPr>
              <w:t>SPECT/CT</w:t>
            </w:r>
            <w:r w:rsidRPr="00B12FE0">
              <w:rPr>
                <w:rFonts w:ascii="宋体" w:hAnsi="宋体"/>
                <w:color w:val="000000" w:themeColor="text1"/>
                <w:sz w:val="21"/>
                <w:szCs w:val="21"/>
              </w:rPr>
              <w:t>机房、</w:t>
            </w:r>
            <w:r w:rsidRPr="00B12FE0">
              <w:rPr>
                <w:color w:val="000000" w:themeColor="text1"/>
                <w:sz w:val="21"/>
                <w:szCs w:val="21"/>
              </w:rPr>
              <w:t>PET/CT</w:t>
            </w:r>
            <w:r w:rsidRPr="00B12FE0">
              <w:rPr>
                <w:rFonts w:ascii="宋体" w:hAnsi="宋体"/>
                <w:color w:val="000000" w:themeColor="text1"/>
                <w:sz w:val="21"/>
                <w:szCs w:val="21"/>
              </w:rPr>
              <w:t>机房</w:t>
            </w:r>
            <w:r w:rsidRPr="00B12FE0">
              <w:rPr>
                <w:rFonts w:hint="eastAsia"/>
                <w:color w:val="000000" w:themeColor="text1"/>
                <w:sz w:val="21"/>
                <w:szCs w:val="21"/>
              </w:rPr>
              <w:t>等</w:t>
            </w:r>
          </w:p>
        </w:tc>
        <w:tc>
          <w:tcPr>
            <w:tcW w:w="4471" w:type="dxa"/>
            <w:tcBorders>
              <w:top w:val="single" w:sz="4" w:space="0" w:color="auto"/>
              <w:left w:val="single" w:sz="4" w:space="0" w:color="auto"/>
              <w:bottom w:val="single" w:sz="4" w:space="0" w:color="auto"/>
              <w:right w:val="single" w:sz="4" w:space="0" w:color="auto"/>
            </w:tcBorders>
            <w:vAlign w:val="center"/>
          </w:tcPr>
          <w:p w14:paraId="407DAE7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卫生通过间、</w:t>
            </w:r>
            <w:r w:rsidRPr="00B12FE0">
              <w:rPr>
                <w:rFonts w:ascii="宋体" w:hAnsi="宋体" w:hint="eastAsia"/>
                <w:color w:val="000000" w:themeColor="text1"/>
                <w:sz w:val="21"/>
                <w:szCs w:val="21"/>
              </w:rPr>
              <w:t>缓冲区、</w:t>
            </w:r>
            <w:r w:rsidRPr="00B12FE0">
              <w:rPr>
                <w:rFonts w:hint="eastAsia"/>
                <w:color w:val="000000" w:themeColor="text1"/>
                <w:sz w:val="21"/>
                <w:szCs w:val="21"/>
              </w:rPr>
              <w:t>患者通道入口缓冲区、</w:t>
            </w:r>
            <w:r w:rsidRPr="00B12FE0">
              <w:rPr>
                <w:color w:val="000000" w:themeColor="text1"/>
                <w:sz w:val="21"/>
                <w:szCs w:val="21"/>
              </w:rPr>
              <w:t>控制室、辅助机房、</w:t>
            </w:r>
            <w:r w:rsidRPr="00B12FE0">
              <w:rPr>
                <w:rFonts w:hint="eastAsia"/>
                <w:color w:val="000000" w:themeColor="text1"/>
                <w:sz w:val="21"/>
                <w:szCs w:val="21"/>
              </w:rPr>
              <w:t>更衣室、</w:t>
            </w:r>
            <w:r w:rsidRPr="00B12FE0">
              <w:rPr>
                <w:color w:val="000000" w:themeColor="text1"/>
                <w:sz w:val="21"/>
                <w:szCs w:val="21"/>
              </w:rPr>
              <w:t>卫生间</w:t>
            </w:r>
            <w:r w:rsidRPr="00B12FE0">
              <w:rPr>
                <w:rFonts w:hint="eastAsia"/>
                <w:color w:val="000000" w:themeColor="text1"/>
                <w:sz w:val="21"/>
                <w:szCs w:val="21"/>
              </w:rPr>
              <w:t>、患者出院电梯厅</w:t>
            </w:r>
            <w:r w:rsidRPr="00B12FE0">
              <w:rPr>
                <w:color w:val="000000" w:themeColor="text1"/>
                <w:sz w:val="21"/>
                <w:szCs w:val="21"/>
              </w:rPr>
              <w:t>及控制区外</w:t>
            </w:r>
            <w:r w:rsidRPr="00B12FE0">
              <w:rPr>
                <w:color w:val="000000" w:themeColor="text1"/>
                <w:sz w:val="21"/>
                <w:szCs w:val="21"/>
              </w:rPr>
              <w:t>30cm</w:t>
            </w:r>
            <w:r w:rsidRPr="00B12FE0">
              <w:rPr>
                <w:color w:val="000000" w:themeColor="text1"/>
                <w:sz w:val="21"/>
                <w:szCs w:val="21"/>
              </w:rPr>
              <w:t>处</w:t>
            </w:r>
            <w:r w:rsidRPr="00B12FE0">
              <w:rPr>
                <w:rFonts w:hint="eastAsia"/>
                <w:color w:val="000000" w:themeColor="text1"/>
                <w:sz w:val="21"/>
                <w:szCs w:val="21"/>
              </w:rPr>
              <w:t>等</w:t>
            </w:r>
          </w:p>
        </w:tc>
      </w:tr>
      <w:tr w:rsidR="00A67F21" w:rsidRPr="00B12FE0" w14:paraId="3808F06C" w14:textId="77777777">
        <w:trPr>
          <w:trHeight w:val="20"/>
          <w:jc w:val="center"/>
        </w:trPr>
        <w:tc>
          <w:tcPr>
            <w:tcW w:w="1110" w:type="dxa"/>
            <w:tcBorders>
              <w:top w:val="single" w:sz="4" w:space="0" w:color="auto"/>
              <w:left w:val="single" w:sz="4" w:space="0" w:color="auto"/>
              <w:bottom w:val="single" w:sz="4" w:space="0" w:color="auto"/>
              <w:right w:val="single" w:sz="4" w:space="0" w:color="auto"/>
            </w:tcBorders>
            <w:vAlign w:val="center"/>
          </w:tcPr>
          <w:p w14:paraId="3160ECDB"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核医学科核素治疗场所</w:t>
            </w:r>
          </w:p>
        </w:tc>
        <w:tc>
          <w:tcPr>
            <w:tcW w:w="3436" w:type="dxa"/>
            <w:tcBorders>
              <w:top w:val="single" w:sz="4" w:space="0" w:color="auto"/>
              <w:left w:val="single" w:sz="4" w:space="0" w:color="auto"/>
              <w:bottom w:val="single" w:sz="4" w:space="0" w:color="auto"/>
              <w:right w:val="single" w:sz="4" w:space="0" w:color="auto"/>
            </w:tcBorders>
            <w:vAlign w:val="center"/>
          </w:tcPr>
          <w:p w14:paraId="6E6B5543"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分装</w:t>
            </w:r>
            <w:r w:rsidRPr="00B12FE0">
              <w:rPr>
                <w:rFonts w:ascii="宋体" w:hAnsi="宋体"/>
                <w:color w:val="000000" w:themeColor="text1"/>
                <w:sz w:val="21"/>
                <w:szCs w:val="21"/>
              </w:rPr>
              <w:t>室、</w:t>
            </w:r>
            <w:r w:rsidRPr="00B12FE0">
              <w:rPr>
                <w:rFonts w:ascii="宋体" w:hAnsi="宋体" w:hint="eastAsia"/>
                <w:color w:val="000000" w:themeColor="text1"/>
                <w:sz w:val="21"/>
                <w:szCs w:val="21"/>
              </w:rPr>
              <w:t>给药室、固废</w:t>
            </w:r>
            <w:r w:rsidRPr="00B12FE0">
              <w:rPr>
                <w:rFonts w:ascii="宋体" w:hAnsi="宋体"/>
                <w:color w:val="000000" w:themeColor="text1"/>
                <w:sz w:val="21"/>
                <w:szCs w:val="21"/>
              </w:rPr>
              <w:t>间、储源室、抢救室、</w:t>
            </w:r>
            <w:r w:rsidRPr="00B12FE0">
              <w:rPr>
                <w:rFonts w:ascii="宋体" w:hAnsi="宋体" w:hint="eastAsia"/>
                <w:color w:val="000000" w:themeColor="text1"/>
                <w:sz w:val="21"/>
                <w:szCs w:val="21"/>
              </w:rPr>
              <w:t>取餐区、</w:t>
            </w:r>
            <w:proofErr w:type="gramStart"/>
            <w:r w:rsidRPr="00B12FE0">
              <w:rPr>
                <w:rFonts w:ascii="宋体" w:hAnsi="宋体"/>
                <w:color w:val="000000" w:themeColor="text1"/>
                <w:sz w:val="21"/>
                <w:szCs w:val="21"/>
              </w:rPr>
              <w:t>甲癌病房</w:t>
            </w:r>
            <w:proofErr w:type="gramEnd"/>
            <w:r w:rsidRPr="00B12FE0">
              <w:rPr>
                <w:rFonts w:ascii="宋体" w:hAnsi="宋体"/>
                <w:color w:val="000000" w:themeColor="text1"/>
                <w:sz w:val="21"/>
                <w:szCs w:val="21"/>
              </w:rPr>
              <w:t>、患者</w:t>
            </w:r>
            <w:r w:rsidRPr="00B12FE0">
              <w:rPr>
                <w:rFonts w:ascii="宋体" w:hAnsi="宋体" w:hint="eastAsia"/>
                <w:color w:val="000000" w:themeColor="text1"/>
                <w:sz w:val="21"/>
                <w:szCs w:val="21"/>
              </w:rPr>
              <w:t>走廊</w:t>
            </w:r>
            <w:r w:rsidRPr="00B12FE0">
              <w:rPr>
                <w:rFonts w:ascii="宋体" w:hAnsi="宋体"/>
                <w:color w:val="000000" w:themeColor="text1"/>
                <w:sz w:val="21"/>
                <w:szCs w:val="21"/>
              </w:rPr>
              <w:t>、</w:t>
            </w:r>
            <w:r w:rsidRPr="00B12FE0">
              <w:rPr>
                <w:rFonts w:ascii="宋体" w:hAnsi="宋体" w:hint="eastAsia"/>
                <w:color w:val="000000" w:themeColor="text1"/>
                <w:sz w:val="21"/>
                <w:szCs w:val="21"/>
              </w:rPr>
              <w:t>污物</w:t>
            </w:r>
            <w:r w:rsidRPr="00B12FE0">
              <w:rPr>
                <w:rFonts w:ascii="宋体" w:hAnsi="宋体"/>
                <w:color w:val="000000" w:themeColor="text1"/>
                <w:sz w:val="21"/>
                <w:szCs w:val="21"/>
              </w:rPr>
              <w:t>间、</w:t>
            </w:r>
            <w:proofErr w:type="gramStart"/>
            <w:r w:rsidRPr="00B12FE0">
              <w:rPr>
                <w:rFonts w:ascii="宋体" w:hAnsi="宋体" w:hint="eastAsia"/>
                <w:color w:val="000000" w:themeColor="text1"/>
                <w:sz w:val="21"/>
                <w:szCs w:val="21"/>
              </w:rPr>
              <w:t>污洗</w:t>
            </w:r>
            <w:r w:rsidRPr="00B12FE0">
              <w:rPr>
                <w:rFonts w:ascii="宋体" w:hAnsi="宋体"/>
                <w:color w:val="000000" w:themeColor="text1"/>
                <w:sz w:val="21"/>
                <w:szCs w:val="21"/>
              </w:rPr>
              <w:t>间</w:t>
            </w:r>
            <w:proofErr w:type="gramEnd"/>
            <w:r w:rsidRPr="00B12FE0">
              <w:rPr>
                <w:rFonts w:ascii="宋体" w:hAnsi="宋体"/>
                <w:color w:val="000000" w:themeColor="text1"/>
                <w:sz w:val="21"/>
                <w:szCs w:val="21"/>
              </w:rPr>
              <w:t>、</w:t>
            </w:r>
            <w:r w:rsidRPr="00B12FE0">
              <w:rPr>
                <w:rFonts w:hint="eastAsia"/>
                <w:color w:val="000000" w:themeColor="text1"/>
                <w:sz w:val="21"/>
                <w:szCs w:val="21"/>
              </w:rPr>
              <w:t>污衣</w:t>
            </w:r>
            <w:r w:rsidRPr="00B12FE0">
              <w:rPr>
                <w:rFonts w:ascii="宋体" w:hAnsi="宋体" w:hint="eastAsia"/>
                <w:color w:val="000000" w:themeColor="text1"/>
                <w:sz w:val="21"/>
                <w:szCs w:val="21"/>
              </w:rPr>
              <w:t>间等</w:t>
            </w:r>
          </w:p>
        </w:tc>
        <w:tc>
          <w:tcPr>
            <w:tcW w:w="4471" w:type="dxa"/>
            <w:tcBorders>
              <w:top w:val="single" w:sz="4" w:space="0" w:color="auto"/>
              <w:left w:val="single" w:sz="4" w:space="0" w:color="auto"/>
              <w:bottom w:val="single" w:sz="4" w:space="0" w:color="auto"/>
              <w:right w:val="single" w:sz="4" w:space="0" w:color="auto"/>
            </w:tcBorders>
            <w:vAlign w:val="center"/>
          </w:tcPr>
          <w:p w14:paraId="26B2E506"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卫生通过间、护士站、</w:t>
            </w:r>
            <w:r w:rsidRPr="00B12FE0">
              <w:rPr>
                <w:rFonts w:ascii="宋体" w:hAnsi="宋体" w:hint="eastAsia"/>
                <w:color w:val="000000" w:themeColor="text1"/>
                <w:sz w:val="21"/>
                <w:szCs w:val="21"/>
              </w:rPr>
              <w:t>缓冲区</w:t>
            </w:r>
            <w:r w:rsidRPr="00B12FE0">
              <w:rPr>
                <w:rFonts w:ascii="宋体" w:hAnsi="宋体"/>
                <w:color w:val="000000" w:themeColor="text1"/>
                <w:sz w:val="21"/>
                <w:szCs w:val="21"/>
              </w:rPr>
              <w:t>、</w:t>
            </w:r>
            <w:r w:rsidRPr="00B12FE0">
              <w:rPr>
                <w:rFonts w:ascii="宋体" w:hAnsi="宋体" w:hint="eastAsia"/>
                <w:color w:val="000000" w:themeColor="text1"/>
                <w:sz w:val="21"/>
                <w:szCs w:val="21"/>
              </w:rPr>
              <w:t>配餐室</w:t>
            </w:r>
            <w:r w:rsidRPr="00B12FE0">
              <w:rPr>
                <w:rFonts w:ascii="宋体" w:hAnsi="宋体"/>
                <w:color w:val="000000" w:themeColor="text1"/>
                <w:sz w:val="21"/>
                <w:szCs w:val="21"/>
              </w:rPr>
              <w:t>、谈话室、医护通道、</w:t>
            </w:r>
            <w:r w:rsidRPr="00B12FE0">
              <w:rPr>
                <w:rFonts w:ascii="宋体" w:hAnsi="宋体" w:hint="eastAsia"/>
                <w:color w:val="000000" w:themeColor="text1"/>
                <w:sz w:val="21"/>
                <w:szCs w:val="21"/>
              </w:rPr>
              <w:t>空调机房、出院电梯、卫生间、</w:t>
            </w:r>
            <w:r w:rsidRPr="00B12FE0">
              <w:rPr>
                <w:color w:val="000000" w:themeColor="text1"/>
                <w:sz w:val="21"/>
                <w:szCs w:val="21"/>
              </w:rPr>
              <w:t>库房及控制区外</w:t>
            </w:r>
            <w:r w:rsidRPr="00B12FE0">
              <w:rPr>
                <w:color w:val="000000" w:themeColor="text1"/>
                <w:sz w:val="21"/>
                <w:szCs w:val="21"/>
              </w:rPr>
              <w:t>30cm</w:t>
            </w:r>
            <w:r w:rsidRPr="00B12FE0">
              <w:rPr>
                <w:color w:val="000000" w:themeColor="text1"/>
                <w:sz w:val="21"/>
                <w:szCs w:val="21"/>
              </w:rPr>
              <w:t>处等</w:t>
            </w:r>
          </w:p>
        </w:tc>
      </w:tr>
      <w:tr w:rsidR="00A67F21" w:rsidRPr="00B12FE0" w14:paraId="5EB35BD4" w14:textId="77777777">
        <w:trPr>
          <w:trHeight w:val="20"/>
          <w:jc w:val="center"/>
        </w:trPr>
        <w:tc>
          <w:tcPr>
            <w:tcW w:w="1110" w:type="dxa"/>
            <w:tcBorders>
              <w:top w:val="single" w:sz="4" w:space="0" w:color="auto"/>
              <w:left w:val="single" w:sz="4" w:space="0" w:color="auto"/>
              <w:bottom w:val="single" w:sz="4" w:space="0" w:color="auto"/>
              <w:right w:val="single" w:sz="4" w:space="0" w:color="auto"/>
            </w:tcBorders>
            <w:vAlign w:val="center"/>
          </w:tcPr>
          <w:p w14:paraId="49FC1F86"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ascii="宋体" w:hAnsi="宋体" w:hint="eastAsia"/>
                <w:color w:val="000000" w:themeColor="text1"/>
                <w:sz w:val="21"/>
                <w:szCs w:val="21"/>
              </w:rPr>
              <w:t>/</w:t>
            </w:r>
          </w:p>
        </w:tc>
        <w:tc>
          <w:tcPr>
            <w:tcW w:w="3436" w:type="dxa"/>
            <w:tcBorders>
              <w:top w:val="single" w:sz="4" w:space="0" w:color="auto"/>
              <w:left w:val="single" w:sz="4" w:space="0" w:color="auto"/>
              <w:bottom w:val="single" w:sz="4" w:space="0" w:color="auto"/>
              <w:right w:val="single" w:sz="4" w:space="0" w:color="auto"/>
            </w:tcBorders>
            <w:vAlign w:val="center"/>
          </w:tcPr>
          <w:p w14:paraId="68522BAC"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ascii="宋体" w:hAnsi="宋体" w:hint="eastAsia"/>
                <w:color w:val="000000" w:themeColor="text1"/>
                <w:sz w:val="21"/>
                <w:szCs w:val="21"/>
              </w:rPr>
              <w:t>衰变池</w:t>
            </w:r>
          </w:p>
        </w:tc>
        <w:tc>
          <w:tcPr>
            <w:tcW w:w="4471" w:type="dxa"/>
            <w:tcBorders>
              <w:top w:val="single" w:sz="4" w:space="0" w:color="auto"/>
              <w:left w:val="single" w:sz="4" w:space="0" w:color="auto"/>
              <w:bottom w:val="single" w:sz="4" w:space="0" w:color="auto"/>
              <w:right w:val="single" w:sz="4" w:space="0" w:color="auto"/>
            </w:tcBorders>
            <w:vAlign w:val="center"/>
          </w:tcPr>
          <w:p w14:paraId="33625714"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ascii="宋体" w:hAnsi="宋体" w:hint="eastAsia"/>
                <w:color w:val="000000" w:themeColor="text1"/>
                <w:sz w:val="21"/>
                <w:szCs w:val="21"/>
              </w:rPr>
              <w:t>衰变池正上方</w:t>
            </w:r>
          </w:p>
        </w:tc>
      </w:tr>
    </w:tbl>
    <w:p w14:paraId="21D6AB62" w14:textId="77777777" w:rsidR="00A67F21" w:rsidRPr="00B12FE0" w:rsidRDefault="00000000">
      <w:pPr>
        <w:adjustRightInd w:val="0"/>
        <w:snapToGrid w:val="0"/>
        <w:spacing w:line="360" w:lineRule="auto"/>
        <w:jc w:val="center"/>
        <w:rPr>
          <w:rFonts w:ascii="宋体" w:hAnsi="宋体" w:hint="eastAsia"/>
          <w:b/>
          <w:bCs/>
          <w:color w:val="000000" w:themeColor="text1"/>
          <w:sz w:val="21"/>
          <w:szCs w:val="21"/>
        </w:rPr>
      </w:pPr>
      <w:r w:rsidRPr="00B12FE0">
        <w:rPr>
          <w:noProof/>
          <w:color w:val="000000" w:themeColor="text1"/>
        </w:rPr>
        <w:lastRenderedPageBreak/>
        <w:drawing>
          <wp:inline distT="0" distB="0" distL="0" distR="0" wp14:anchorId="7EEC7DAD" wp14:editId="519E4378">
            <wp:extent cx="5732145" cy="3908425"/>
            <wp:effectExtent l="0" t="0" r="1905" b="0"/>
            <wp:docPr id="110906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533" name="图片 1"/>
                    <pic:cNvPicPr>
                      <a:picLocks noChangeAspect="1"/>
                    </pic:cNvPicPr>
                  </pic:nvPicPr>
                  <pic:blipFill>
                    <a:blip r:embed="rId44"/>
                    <a:stretch>
                      <a:fillRect/>
                    </a:stretch>
                  </pic:blipFill>
                  <pic:spPr>
                    <a:xfrm>
                      <a:off x="0" y="0"/>
                      <a:ext cx="5732145" cy="3908425"/>
                    </a:xfrm>
                    <a:prstGeom prst="rect">
                      <a:avLst/>
                    </a:prstGeom>
                  </pic:spPr>
                </pic:pic>
              </a:graphicData>
            </a:graphic>
          </wp:inline>
        </w:drawing>
      </w:r>
      <w:r w:rsidRPr="00B12FE0">
        <w:rPr>
          <w:rFonts w:ascii="宋体" w:hAnsi="宋体"/>
          <w:b/>
          <w:bCs/>
          <w:color w:val="000000" w:themeColor="text1"/>
          <w:sz w:val="21"/>
          <w:szCs w:val="21"/>
        </w:rPr>
        <w:t>图</w:t>
      </w:r>
      <w:r w:rsidRPr="00B12FE0">
        <w:rPr>
          <w:b/>
          <w:bCs/>
          <w:color w:val="000000" w:themeColor="text1"/>
          <w:sz w:val="21"/>
          <w:szCs w:val="21"/>
        </w:rPr>
        <w:t>10.1.</w:t>
      </w:r>
      <w:r w:rsidRPr="00B12FE0">
        <w:rPr>
          <w:rFonts w:hint="eastAsia"/>
          <w:b/>
          <w:bCs/>
          <w:color w:val="000000" w:themeColor="text1"/>
          <w:sz w:val="21"/>
          <w:szCs w:val="21"/>
        </w:rPr>
        <w:t>1</w:t>
      </w:r>
      <w:r w:rsidRPr="00B12FE0">
        <w:rPr>
          <w:b/>
          <w:bCs/>
          <w:color w:val="000000" w:themeColor="text1"/>
          <w:sz w:val="21"/>
          <w:szCs w:val="21"/>
        </w:rPr>
        <w:t>.</w:t>
      </w:r>
      <w:r w:rsidRPr="00B12FE0">
        <w:rPr>
          <w:rFonts w:hint="eastAsia"/>
          <w:b/>
          <w:bCs/>
          <w:color w:val="000000" w:themeColor="text1"/>
          <w:sz w:val="21"/>
          <w:szCs w:val="21"/>
        </w:rPr>
        <w:t>2</w:t>
      </w:r>
      <w:r w:rsidRPr="00B12FE0">
        <w:rPr>
          <w:b/>
          <w:bCs/>
          <w:color w:val="000000" w:themeColor="text1"/>
          <w:sz w:val="21"/>
          <w:szCs w:val="21"/>
        </w:rPr>
        <w:t xml:space="preserve">-1  </w:t>
      </w:r>
      <w:r w:rsidRPr="00B12FE0">
        <w:rPr>
          <w:rFonts w:ascii="宋体" w:hAnsi="宋体"/>
          <w:b/>
          <w:bCs/>
          <w:color w:val="000000" w:themeColor="text1"/>
          <w:sz w:val="21"/>
          <w:szCs w:val="21"/>
        </w:rPr>
        <w:t>核医学科核素制备场所</w:t>
      </w:r>
      <w:r w:rsidRPr="00B12FE0">
        <w:rPr>
          <w:rFonts w:ascii="宋体" w:hAnsi="宋体" w:hint="eastAsia"/>
          <w:b/>
          <w:bCs/>
          <w:color w:val="000000" w:themeColor="text1"/>
          <w:sz w:val="21"/>
          <w:szCs w:val="21"/>
        </w:rPr>
        <w:t>和核素诊断场所</w:t>
      </w:r>
      <w:r w:rsidRPr="00B12FE0">
        <w:rPr>
          <w:rFonts w:ascii="宋体" w:hAnsi="宋体"/>
          <w:b/>
          <w:bCs/>
          <w:color w:val="000000" w:themeColor="text1"/>
          <w:sz w:val="21"/>
          <w:szCs w:val="21"/>
        </w:rPr>
        <w:t>两区划分示意图</w:t>
      </w:r>
    </w:p>
    <w:p w14:paraId="4379A080" w14:textId="77777777" w:rsidR="00A67F21" w:rsidRPr="00B12FE0" w:rsidRDefault="00000000">
      <w:pPr>
        <w:adjustRightInd w:val="0"/>
        <w:snapToGrid w:val="0"/>
        <w:spacing w:line="360" w:lineRule="auto"/>
        <w:jc w:val="center"/>
        <w:rPr>
          <w:b/>
          <w:bCs/>
          <w:color w:val="000000" w:themeColor="text1"/>
          <w:sz w:val="21"/>
          <w:szCs w:val="21"/>
        </w:rPr>
      </w:pPr>
      <w:r w:rsidRPr="00B12FE0">
        <w:rPr>
          <w:noProof/>
          <w:color w:val="000000" w:themeColor="text1"/>
        </w:rPr>
        <w:drawing>
          <wp:inline distT="0" distB="0" distL="0" distR="0" wp14:anchorId="3F8F228B" wp14:editId="712D0110">
            <wp:extent cx="5732145" cy="2792730"/>
            <wp:effectExtent l="0" t="0" r="1905" b="7620"/>
            <wp:docPr id="303171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71917" name="图片 1"/>
                    <pic:cNvPicPr>
                      <a:picLocks noChangeAspect="1"/>
                    </pic:cNvPicPr>
                  </pic:nvPicPr>
                  <pic:blipFill>
                    <a:blip r:embed="rId45"/>
                    <a:stretch>
                      <a:fillRect/>
                    </a:stretch>
                  </pic:blipFill>
                  <pic:spPr>
                    <a:xfrm>
                      <a:off x="0" y="0"/>
                      <a:ext cx="5732145" cy="2792730"/>
                    </a:xfrm>
                    <a:prstGeom prst="rect">
                      <a:avLst/>
                    </a:prstGeom>
                  </pic:spPr>
                </pic:pic>
              </a:graphicData>
            </a:graphic>
          </wp:inline>
        </w:drawing>
      </w:r>
      <w:r w:rsidRPr="00B12FE0">
        <w:rPr>
          <w:rFonts w:ascii="宋体" w:hAnsi="宋体"/>
          <w:b/>
          <w:bCs/>
          <w:color w:val="000000" w:themeColor="text1"/>
          <w:sz w:val="21"/>
          <w:szCs w:val="21"/>
        </w:rPr>
        <w:t>图</w:t>
      </w:r>
      <w:r w:rsidRPr="00B12FE0">
        <w:rPr>
          <w:b/>
          <w:bCs/>
          <w:color w:val="000000" w:themeColor="text1"/>
          <w:sz w:val="21"/>
          <w:szCs w:val="21"/>
        </w:rPr>
        <w:t>10.1.</w:t>
      </w:r>
      <w:r w:rsidRPr="00B12FE0">
        <w:rPr>
          <w:rFonts w:hint="eastAsia"/>
          <w:b/>
          <w:bCs/>
          <w:color w:val="000000" w:themeColor="text1"/>
          <w:sz w:val="21"/>
          <w:szCs w:val="21"/>
        </w:rPr>
        <w:t>1.2</w:t>
      </w:r>
      <w:r w:rsidRPr="00B12FE0">
        <w:rPr>
          <w:b/>
          <w:bCs/>
          <w:color w:val="000000" w:themeColor="text1"/>
          <w:sz w:val="21"/>
          <w:szCs w:val="21"/>
        </w:rPr>
        <w:t>-</w:t>
      </w:r>
      <w:r w:rsidRPr="00B12FE0">
        <w:rPr>
          <w:rFonts w:hint="eastAsia"/>
          <w:b/>
          <w:bCs/>
          <w:color w:val="000000" w:themeColor="text1"/>
          <w:sz w:val="21"/>
          <w:szCs w:val="21"/>
        </w:rPr>
        <w:t>2</w:t>
      </w:r>
      <w:r w:rsidRPr="00B12FE0">
        <w:rPr>
          <w:b/>
          <w:bCs/>
          <w:color w:val="000000" w:themeColor="text1"/>
          <w:sz w:val="21"/>
          <w:szCs w:val="21"/>
        </w:rPr>
        <w:t xml:space="preserve">  </w:t>
      </w:r>
      <w:r w:rsidRPr="00B12FE0">
        <w:rPr>
          <w:rFonts w:ascii="宋体" w:hAnsi="宋体"/>
          <w:b/>
          <w:bCs/>
          <w:color w:val="000000" w:themeColor="text1"/>
          <w:sz w:val="21"/>
          <w:szCs w:val="21"/>
        </w:rPr>
        <w:t>核医学科核素治疗场所（</w:t>
      </w:r>
      <w:r w:rsidRPr="00B12FE0">
        <w:rPr>
          <w:rFonts w:ascii="宋体" w:hAnsi="宋体" w:hint="eastAsia"/>
          <w:b/>
          <w:bCs/>
          <w:color w:val="000000" w:themeColor="text1"/>
          <w:sz w:val="21"/>
          <w:szCs w:val="21"/>
        </w:rPr>
        <w:t>二</w:t>
      </w:r>
      <w:r w:rsidRPr="00B12FE0">
        <w:rPr>
          <w:rFonts w:ascii="宋体" w:hAnsi="宋体"/>
          <w:b/>
          <w:bCs/>
          <w:color w:val="000000" w:themeColor="text1"/>
          <w:sz w:val="21"/>
          <w:szCs w:val="21"/>
        </w:rPr>
        <w:t>层</w:t>
      </w:r>
      <w:r w:rsidRPr="00B12FE0">
        <w:rPr>
          <w:rFonts w:ascii="宋体" w:hAnsi="宋体" w:hint="eastAsia"/>
          <w:b/>
          <w:bCs/>
          <w:color w:val="000000" w:themeColor="text1"/>
          <w:sz w:val="21"/>
          <w:szCs w:val="21"/>
        </w:rPr>
        <w:t>南</w:t>
      </w:r>
      <w:r w:rsidRPr="00B12FE0">
        <w:rPr>
          <w:rFonts w:ascii="宋体" w:hAnsi="宋体"/>
          <w:b/>
          <w:bCs/>
          <w:color w:val="000000" w:themeColor="text1"/>
          <w:sz w:val="21"/>
          <w:szCs w:val="21"/>
        </w:rPr>
        <w:t>侧）两区划分示意图</w:t>
      </w:r>
    </w:p>
    <w:p w14:paraId="2C0F166F" w14:textId="77777777" w:rsidR="00A67F21" w:rsidRPr="00B12FE0" w:rsidRDefault="00000000">
      <w:pPr>
        <w:adjustRightInd w:val="0"/>
        <w:snapToGrid w:val="0"/>
        <w:spacing w:beforeLines="50" w:before="120" w:line="360" w:lineRule="auto"/>
        <w:ind w:firstLineChars="200" w:firstLine="482"/>
        <w:rPr>
          <w:b/>
          <w:color w:val="000000" w:themeColor="text1"/>
          <w:sz w:val="21"/>
          <w:szCs w:val="21"/>
        </w:rPr>
      </w:pPr>
      <w:r w:rsidRPr="00B12FE0">
        <w:rPr>
          <w:rFonts w:ascii="宋体" w:hAnsi="宋体"/>
          <w:b/>
          <w:color w:val="000000" w:themeColor="text1"/>
          <w:szCs w:val="24"/>
        </w:rPr>
        <w:t>关于控制区与监督区的防护手段与安全措施，建设单位应做到：</w:t>
      </w:r>
    </w:p>
    <w:p w14:paraId="59DC622F"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宋体" w:hAnsi="宋体"/>
          <w:color w:val="000000" w:themeColor="text1"/>
          <w:szCs w:val="24"/>
        </w:rPr>
        <w:t>（</w:t>
      </w:r>
      <w:r w:rsidRPr="00B12FE0">
        <w:rPr>
          <w:color w:val="000000" w:themeColor="text1"/>
          <w:szCs w:val="24"/>
        </w:rPr>
        <w:t>1</w:t>
      </w:r>
      <w:r w:rsidRPr="00B12FE0">
        <w:rPr>
          <w:rFonts w:ascii="宋体" w:hAnsi="宋体"/>
          <w:color w:val="000000" w:themeColor="text1"/>
          <w:szCs w:val="24"/>
        </w:rPr>
        <w:t>）控制区防护手段与安全措施</w:t>
      </w:r>
    </w:p>
    <w:p w14:paraId="76AF9850"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①</w:t>
      </w:r>
      <w:r w:rsidRPr="00B12FE0">
        <w:rPr>
          <w:rFonts w:ascii="宋体" w:hAnsi="宋体"/>
          <w:color w:val="000000" w:themeColor="text1"/>
          <w:szCs w:val="24"/>
        </w:rPr>
        <w:t>控制区进出口及其它适当位置处设立醒目的电离辐射警告标志；</w:t>
      </w:r>
    </w:p>
    <w:p w14:paraId="49731CD7"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②</w:t>
      </w:r>
      <w:r w:rsidRPr="00B12FE0">
        <w:rPr>
          <w:rFonts w:ascii="宋体" w:hAnsi="宋体"/>
          <w:color w:val="000000" w:themeColor="text1"/>
          <w:szCs w:val="24"/>
        </w:rPr>
        <w:t>制定辐射防护与安全管理措施，包括适用于控制区的规则和程序；</w:t>
      </w:r>
    </w:p>
    <w:p w14:paraId="60262D9C"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lastRenderedPageBreak/>
        <w:t>③</w:t>
      </w:r>
      <w:r w:rsidRPr="00B12FE0">
        <w:rPr>
          <w:rFonts w:ascii="宋体" w:hAnsi="宋体"/>
          <w:color w:val="000000" w:themeColor="text1"/>
          <w:szCs w:val="24"/>
        </w:rPr>
        <w:t>运用行政管理程序（如进入控制区的工作许可制度）和实体屏障（包括门锁）限制进出控制区；</w:t>
      </w:r>
    </w:p>
    <w:p w14:paraId="33B09AC8"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④</w:t>
      </w:r>
      <w:r w:rsidRPr="00B12FE0">
        <w:rPr>
          <w:rFonts w:ascii="宋体" w:hAnsi="宋体"/>
          <w:color w:val="000000" w:themeColor="text1"/>
          <w:szCs w:val="24"/>
        </w:rPr>
        <w:t>在卫生</w:t>
      </w:r>
      <w:proofErr w:type="gramStart"/>
      <w:r w:rsidRPr="00B12FE0">
        <w:rPr>
          <w:rFonts w:ascii="宋体" w:hAnsi="宋体"/>
          <w:color w:val="000000" w:themeColor="text1"/>
          <w:szCs w:val="24"/>
        </w:rPr>
        <w:t>通过间</w:t>
      </w:r>
      <w:proofErr w:type="gramEnd"/>
      <w:r w:rsidRPr="00B12FE0">
        <w:rPr>
          <w:rFonts w:ascii="宋体" w:hAnsi="宋体"/>
          <w:color w:val="000000" w:themeColor="text1"/>
          <w:szCs w:val="24"/>
        </w:rPr>
        <w:t>应有个人防护用品、工作服、表面污染监测仪、消</w:t>
      </w:r>
      <w:proofErr w:type="gramStart"/>
      <w:r w:rsidRPr="00B12FE0">
        <w:rPr>
          <w:rFonts w:ascii="宋体" w:hAnsi="宋体"/>
          <w:color w:val="000000" w:themeColor="text1"/>
          <w:szCs w:val="24"/>
        </w:rPr>
        <w:t>洗设施</w:t>
      </w:r>
      <w:proofErr w:type="gramEnd"/>
      <w:r w:rsidRPr="00B12FE0">
        <w:rPr>
          <w:rFonts w:ascii="宋体" w:hAnsi="宋体"/>
          <w:color w:val="000000" w:themeColor="text1"/>
          <w:szCs w:val="24"/>
        </w:rPr>
        <w:t>和被污染防护衣具的贮存柜等；</w:t>
      </w:r>
    </w:p>
    <w:p w14:paraId="192EADB8"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⑤</w:t>
      </w:r>
      <w:r w:rsidRPr="00B12FE0">
        <w:rPr>
          <w:rFonts w:ascii="宋体" w:hAnsi="宋体"/>
          <w:color w:val="000000" w:themeColor="text1"/>
          <w:szCs w:val="24"/>
        </w:rPr>
        <w:t>定期审查控制区的实际状况，以确保是否有必要改变该区的防护手段、安全措施或该区的边界。</w:t>
      </w:r>
    </w:p>
    <w:p w14:paraId="2ECB3520"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宋体" w:hAnsi="宋体"/>
          <w:color w:val="000000" w:themeColor="text1"/>
          <w:szCs w:val="24"/>
        </w:rPr>
        <w:t>（</w:t>
      </w:r>
      <w:r w:rsidRPr="00B12FE0">
        <w:rPr>
          <w:color w:val="000000" w:themeColor="text1"/>
          <w:szCs w:val="24"/>
        </w:rPr>
        <w:t>2</w:t>
      </w:r>
      <w:r w:rsidRPr="00B12FE0">
        <w:rPr>
          <w:rFonts w:ascii="宋体" w:hAnsi="宋体"/>
          <w:color w:val="000000" w:themeColor="text1"/>
          <w:szCs w:val="24"/>
        </w:rPr>
        <w:t>）监督区防护手段与安全措施</w:t>
      </w:r>
    </w:p>
    <w:p w14:paraId="44C1D8D4"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①</w:t>
      </w:r>
      <w:r w:rsidRPr="00B12FE0">
        <w:rPr>
          <w:rFonts w:ascii="宋体" w:hAnsi="宋体"/>
          <w:color w:val="000000" w:themeColor="text1"/>
          <w:szCs w:val="24"/>
        </w:rPr>
        <w:t>以黄线警示监督区的边界；</w:t>
      </w:r>
    </w:p>
    <w:p w14:paraId="5BA80C70"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②</w:t>
      </w:r>
      <w:r w:rsidRPr="00B12FE0">
        <w:rPr>
          <w:rFonts w:ascii="宋体" w:hAnsi="宋体"/>
          <w:color w:val="000000" w:themeColor="text1"/>
          <w:szCs w:val="24"/>
        </w:rPr>
        <w:t>在监督区的入口处的适当地点设立表明监督区的标识；</w:t>
      </w:r>
    </w:p>
    <w:p w14:paraId="58F21335"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③</w:t>
      </w:r>
      <w:r w:rsidRPr="00B12FE0">
        <w:rPr>
          <w:rFonts w:ascii="宋体" w:hAnsi="宋体"/>
          <w:color w:val="000000" w:themeColor="text1"/>
          <w:szCs w:val="24"/>
        </w:rPr>
        <w:t>定期检查该区的条件，以确定是否需要采取防护措施和做出安全规定，或是否需要更改监督区的边界。</w:t>
      </w:r>
    </w:p>
    <w:p w14:paraId="59D7AF05" w14:textId="77777777" w:rsidR="00A67F21" w:rsidRPr="00B12FE0" w:rsidRDefault="00000000">
      <w:pPr>
        <w:adjustRightInd w:val="0"/>
        <w:snapToGrid w:val="0"/>
        <w:spacing w:line="360" w:lineRule="auto"/>
        <w:rPr>
          <w:b/>
          <w:bCs/>
          <w:color w:val="000000" w:themeColor="text1"/>
          <w:szCs w:val="24"/>
        </w:rPr>
      </w:pPr>
      <w:r w:rsidRPr="00B12FE0">
        <w:rPr>
          <w:b/>
          <w:bCs/>
          <w:color w:val="000000" w:themeColor="text1"/>
          <w:szCs w:val="24"/>
        </w:rPr>
        <w:t>10.1.1.3</w:t>
      </w:r>
      <w:r w:rsidRPr="00B12FE0">
        <w:rPr>
          <w:rFonts w:ascii="宋体" w:hAnsi="宋体"/>
          <w:b/>
          <w:bCs/>
          <w:color w:val="000000" w:themeColor="text1"/>
          <w:szCs w:val="24"/>
        </w:rPr>
        <w:t>放射性废水衰变池选址合理性分析</w:t>
      </w:r>
    </w:p>
    <w:p w14:paraId="426239B1" w14:textId="77777777" w:rsidR="00A67F21" w:rsidRPr="00B12FE0" w:rsidRDefault="00000000">
      <w:pPr>
        <w:autoSpaceDE w:val="0"/>
        <w:autoSpaceDN w:val="0"/>
        <w:adjustRightInd w:val="0"/>
        <w:spacing w:line="360" w:lineRule="auto"/>
        <w:ind w:firstLineChars="200" w:firstLine="480"/>
        <w:rPr>
          <w:color w:val="000000" w:themeColor="text1"/>
          <w:kern w:val="0"/>
          <w:szCs w:val="24"/>
        </w:rPr>
      </w:pPr>
      <w:r w:rsidRPr="00B12FE0">
        <w:rPr>
          <w:rFonts w:ascii="宋体" w:hAnsi="宋体"/>
          <w:color w:val="000000" w:themeColor="text1"/>
          <w:kern w:val="0"/>
          <w:szCs w:val="24"/>
        </w:rPr>
        <w:t>根据《电离辐射防护与辐射源安全基本标准》（</w:t>
      </w:r>
      <w:r w:rsidRPr="00B12FE0">
        <w:rPr>
          <w:rFonts w:eastAsia="TimesNewRomanPSMT"/>
          <w:color w:val="000000" w:themeColor="text1"/>
          <w:kern w:val="0"/>
          <w:szCs w:val="24"/>
        </w:rPr>
        <w:t>GB18871-2002</w:t>
      </w:r>
      <w:r w:rsidRPr="00B12FE0">
        <w:rPr>
          <w:rFonts w:ascii="宋体" w:hAnsi="宋体"/>
          <w:color w:val="000000" w:themeColor="text1"/>
          <w:kern w:val="0"/>
          <w:szCs w:val="24"/>
        </w:rPr>
        <w:t>）中关于</w:t>
      </w:r>
      <w:r w:rsidRPr="00B12FE0">
        <w:rPr>
          <w:color w:val="000000" w:themeColor="text1"/>
          <w:kern w:val="0"/>
          <w:szCs w:val="24"/>
        </w:rPr>
        <w:t>“</w:t>
      </w:r>
      <w:r w:rsidRPr="00B12FE0">
        <w:rPr>
          <w:rFonts w:ascii="宋体" w:hAnsi="宋体"/>
          <w:color w:val="000000" w:themeColor="text1"/>
          <w:kern w:val="0"/>
          <w:szCs w:val="24"/>
        </w:rPr>
        <w:t>源的选址与定位</w:t>
      </w:r>
      <w:r w:rsidRPr="00B12FE0">
        <w:rPr>
          <w:color w:val="000000" w:themeColor="text1"/>
          <w:kern w:val="0"/>
          <w:szCs w:val="24"/>
        </w:rPr>
        <w:t>”</w:t>
      </w:r>
      <w:r w:rsidRPr="00B12FE0">
        <w:rPr>
          <w:rFonts w:ascii="宋体" w:hAnsi="宋体"/>
          <w:color w:val="000000" w:themeColor="text1"/>
          <w:kern w:val="0"/>
          <w:szCs w:val="24"/>
        </w:rPr>
        <w:t>的规定：</w:t>
      </w:r>
    </w:p>
    <w:p w14:paraId="4D4C2433" w14:textId="77777777" w:rsidR="00A67F21" w:rsidRPr="00B12FE0" w:rsidRDefault="00000000">
      <w:pPr>
        <w:autoSpaceDE w:val="0"/>
        <w:autoSpaceDN w:val="0"/>
        <w:adjustRightInd w:val="0"/>
        <w:spacing w:line="360" w:lineRule="auto"/>
        <w:ind w:firstLineChars="200" w:firstLine="480"/>
        <w:rPr>
          <w:color w:val="000000" w:themeColor="text1"/>
          <w:kern w:val="0"/>
          <w:szCs w:val="24"/>
        </w:rPr>
      </w:pPr>
      <w:r w:rsidRPr="00B12FE0">
        <w:rPr>
          <w:color w:val="000000" w:themeColor="text1"/>
          <w:kern w:val="0"/>
          <w:szCs w:val="24"/>
        </w:rPr>
        <w:t>9.3.2.1</w:t>
      </w:r>
      <w:r w:rsidRPr="00B12FE0">
        <w:rPr>
          <w:rFonts w:ascii="宋体" w:hAnsi="宋体"/>
          <w:color w:val="000000" w:themeColor="text1"/>
          <w:kern w:val="0"/>
          <w:szCs w:val="24"/>
        </w:rPr>
        <w:t>为具有大量放射性物质和可能造成这些放射性物质大量释放的源选择场址时，应考虑可能</w:t>
      </w:r>
      <w:proofErr w:type="gramStart"/>
      <w:r w:rsidRPr="00B12FE0">
        <w:rPr>
          <w:rFonts w:ascii="宋体" w:hAnsi="宋体"/>
          <w:color w:val="000000" w:themeColor="text1"/>
          <w:kern w:val="0"/>
          <w:szCs w:val="24"/>
        </w:rPr>
        <w:t>影响该源的</w:t>
      </w:r>
      <w:proofErr w:type="gramEnd"/>
      <w:r w:rsidRPr="00B12FE0">
        <w:rPr>
          <w:rFonts w:ascii="宋体" w:hAnsi="宋体"/>
          <w:color w:val="000000" w:themeColor="text1"/>
          <w:kern w:val="0"/>
          <w:szCs w:val="24"/>
        </w:rPr>
        <w:t>辐射安全的各种场址特征和可能受到</w:t>
      </w:r>
      <w:proofErr w:type="gramStart"/>
      <w:r w:rsidRPr="00B12FE0">
        <w:rPr>
          <w:rFonts w:ascii="宋体" w:hAnsi="宋体"/>
          <w:color w:val="000000" w:themeColor="text1"/>
          <w:kern w:val="0"/>
          <w:szCs w:val="24"/>
        </w:rPr>
        <w:t>该源影响</w:t>
      </w:r>
      <w:proofErr w:type="gramEnd"/>
      <w:r w:rsidRPr="00B12FE0">
        <w:rPr>
          <w:rFonts w:ascii="宋体" w:hAnsi="宋体"/>
          <w:color w:val="000000" w:themeColor="text1"/>
          <w:kern w:val="0"/>
          <w:szCs w:val="24"/>
        </w:rPr>
        <w:t>的场址特征，并应考虑实施场外干预（包括实施应急计划和防护行动）的可行性。</w:t>
      </w:r>
    </w:p>
    <w:p w14:paraId="7D159DC1" w14:textId="77777777" w:rsidR="00A67F21" w:rsidRPr="00B12FE0" w:rsidRDefault="00000000">
      <w:pPr>
        <w:autoSpaceDE w:val="0"/>
        <w:autoSpaceDN w:val="0"/>
        <w:adjustRightInd w:val="0"/>
        <w:spacing w:line="360" w:lineRule="auto"/>
        <w:ind w:firstLineChars="200" w:firstLine="480"/>
        <w:rPr>
          <w:color w:val="000000" w:themeColor="text1"/>
          <w:kern w:val="0"/>
          <w:szCs w:val="24"/>
        </w:rPr>
      </w:pPr>
      <w:r w:rsidRPr="00B12FE0">
        <w:rPr>
          <w:color w:val="000000" w:themeColor="text1"/>
          <w:kern w:val="0"/>
          <w:szCs w:val="24"/>
        </w:rPr>
        <w:t>9.3.2.2</w:t>
      </w:r>
      <w:r w:rsidRPr="00B12FE0">
        <w:rPr>
          <w:rFonts w:ascii="宋体" w:hAnsi="宋体"/>
          <w:color w:val="000000" w:themeColor="text1"/>
          <w:kern w:val="0"/>
          <w:szCs w:val="24"/>
        </w:rPr>
        <w:t>在确定装置和设施（例如医院和制造厂）内的小型源的位置时，应考虑：</w:t>
      </w:r>
    </w:p>
    <w:p w14:paraId="4151DE2A" w14:textId="77777777" w:rsidR="00A67F21" w:rsidRPr="00B12FE0" w:rsidRDefault="00000000">
      <w:pPr>
        <w:autoSpaceDE w:val="0"/>
        <w:autoSpaceDN w:val="0"/>
        <w:adjustRightInd w:val="0"/>
        <w:spacing w:line="360" w:lineRule="auto"/>
        <w:ind w:firstLineChars="200" w:firstLine="480"/>
        <w:rPr>
          <w:color w:val="000000" w:themeColor="text1"/>
          <w:kern w:val="0"/>
          <w:szCs w:val="24"/>
        </w:rPr>
      </w:pPr>
      <w:r w:rsidRPr="00B12FE0">
        <w:rPr>
          <w:color w:val="000000" w:themeColor="text1"/>
          <w:kern w:val="0"/>
          <w:szCs w:val="24"/>
        </w:rPr>
        <w:t>a</w:t>
      </w:r>
      <w:r w:rsidRPr="00B12FE0">
        <w:rPr>
          <w:rFonts w:ascii="宋体" w:hAnsi="宋体"/>
          <w:color w:val="000000" w:themeColor="text1"/>
          <w:kern w:val="0"/>
          <w:szCs w:val="24"/>
        </w:rPr>
        <w:t>）可能</w:t>
      </w:r>
      <w:proofErr w:type="gramStart"/>
      <w:r w:rsidRPr="00B12FE0">
        <w:rPr>
          <w:rFonts w:ascii="宋体" w:hAnsi="宋体"/>
          <w:color w:val="000000" w:themeColor="text1"/>
          <w:kern w:val="0"/>
          <w:szCs w:val="24"/>
        </w:rPr>
        <w:t>影响该源的</w:t>
      </w:r>
      <w:proofErr w:type="gramEnd"/>
      <w:r w:rsidRPr="00B12FE0">
        <w:rPr>
          <w:rFonts w:ascii="宋体" w:hAnsi="宋体"/>
          <w:color w:val="000000" w:themeColor="text1"/>
          <w:kern w:val="0"/>
          <w:szCs w:val="24"/>
        </w:rPr>
        <w:t>安全和保安的因素；</w:t>
      </w:r>
    </w:p>
    <w:p w14:paraId="7CC4BE35" w14:textId="77777777" w:rsidR="00A67F21" w:rsidRPr="00B12FE0" w:rsidRDefault="00000000">
      <w:pPr>
        <w:autoSpaceDE w:val="0"/>
        <w:autoSpaceDN w:val="0"/>
        <w:adjustRightInd w:val="0"/>
        <w:spacing w:line="360" w:lineRule="auto"/>
        <w:ind w:firstLineChars="200" w:firstLine="480"/>
        <w:rPr>
          <w:color w:val="000000" w:themeColor="text1"/>
          <w:kern w:val="0"/>
          <w:szCs w:val="24"/>
        </w:rPr>
      </w:pPr>
      <w:r w:rsidRPr="00B12FE0">
        <w:rPr>
          <w:color w:val="000000" w:themeColor="text1"/>
          <w:kern w:val="0"/>
          <w:szCs w:val="24"/>
        </w:rPr>
        <w:t>b)</w:t>
      </w:r>
      <w:r w:rsidRPr="00B12FE0">
        <w:rPr>
          <w:rFonts w:ascii="宋体" w:hAnsi="宋体"/>
          <w:color w:val="000000" w:themeColor="text1"/>
          <w:kern w:val="0"/>
          <w:szCs w:val="24"/>
        </w:rPr>
        <w:t>可能影响</w:t>
      </w:r>
      <w:proofErr w:type="gramStart"/>
      <w:r w:rsidRPr="00B12FE0">
        <w:rPr>
          <w:rFonts w:ascii="宋体" w:hAnsi="宋体"/>
          <w:color w:val="000000" w:themeColor="text1"/>
          <w:kern w:val="0"/>
          <w:szCs w:val="24"/>
        </w:rPr>
        <w:t>该源引起</w:t>
      </w:r>
      <w:proofErr w:type="gramEnd"/>
      <w:r w:rsidRPr="00B12FE0">
        <w:rPr>
          <w:rFonts w:ascii="宋体" w:hAnsi="宋体"/>
          <w:color w:val="000000" w:themeColor="text1"/>
          <w:kern w:val="0"/>
          <w:szCs w:val="24"/>
        </w:rPr>
        <w:t>职业照射和公众照射的因素，包括诸如通风、屏蔽、</w:t>
      </w:r>
      <w:proofErr w:type="gramStart"/>
      <w:r w:rsidRPr="00B12FE0">
        <w:rPr>
          <w:rFonts w:ascii="宋体" w:hAnsi="宋体"/>
          <w:color w:val="000000" w:themeColor="text1"/>
          <w:kern w:val="0"/>
          <w:szCs w:val="24"/>
        </w:rPr>
        <w:t>距人员</w:t>
      </w:r>
      <w:proofErr w:type="gramEnd"/>
      <w:r w:rsidRPr="00B12FE0">
        <w:rPr>
          <w:rFonts w:ascii="宋体" w:hAnsi="宋体"/>
          <w:color w:val="000000" w:themeColor="text1"/>
          <w:kern w:val="0"/>
          <w:szCs w:val="24"/>
        </w:rPr>
        <w:t>活动区的距离等；</w:t>
      </w:r>
    </w:p>
    <w:p w14:paraId="22C1E600" w14:textId="77777777" w:rsidR="00A67F21" w:rsidRPr="00B12FE0" w:rsidRDefault="00000000">
      <w:pPr>
        <w:autoSpaceDE w:val="0"/>
        <w:autoSpaceDN w:val="0"/>
        <w:adjustRightInd w:val="0"/>
        <w:spacing w:line="360" w:lineRule="auto"/>
        <w:ind w:firstLineChars="200" w:firstLine="480"/>
        <w:rPr>
          <w:color w:val="000000" w:themeColor="text1"/>
          <w:kern w:val="0"/>
          <w:szCs w:val="24"/>
        </w:rPr>
      </w:pPr>
      <w:r w:rsidRPr="00B12FE0">
        <w:rPr>
          <w:color w:val="000000" w:themeColor="text1"/>
          <w:kern w:val="0"/>
          <w:szCs w:val="24"/>
        </w:rPr>
        <w:t>c</w:t>
      </w:r>
      <w:r w:rsidRPr="00B12FE0">
        <w:rPr>
          <w:rFonts w:ascii="宋体" w:hAnsi="宋体"/>
          <w:color w:val="000000" w:themeColor="text1"/>
          <w:kern w:val="0"/>
          <w:szCs w:val="24"/>
        </w:rPr>
        <w:t>）考虑了上述因素后工程设计上的可行性。</w:t>
      </w:r>
    </w:p>
    <w:p w14:paraId="03A15376" w14:textId="77777777" w:rsidR="00A67F21" w:rsidRPr="00B12FE0" w:rsidRDefault="00000000">
      <w:pPr>
        <w:autoSpaceDE w:val="0"/>
        <w:autoSpaceDN w:val="0"/>
        <w:adjustRightInd w:val="0"/>
        <w:spacing w:line="360" w:lineRule="auto"/>
        <w:ind w:firstLineChars="200" w:firstLine="480"/>
        <w:rPr>
          <w:color w:val="000000" w:themeColor="text1"/>
          <w:kern w:val="0"/>
          <w:szCs w:val="24"/>
        </w:rPr>
      </w:pPr>
      <w:r w:rsidRPr="00B12FE0">
        <w:rPr>
          <w:rFonts w:ascii="宋体" w:hAnsi="宋体"/>
          <w:color w:val="000000" w:themeColor="text1"/>
          <w:kern w:val="0"/>
          <w:szCs w:val="24"/>
        </w:rPr>
        <w:t>据此，国家只对</w:t>
      </w:r>
      <w:r w:rsidRPr="00B12FE0">
        <w:rPr>
          <w:color w:val="000000" w:themeColor="text1"/>
          <w:kern w:val="0"/>
          <w:szCs w:val="24"/>
        </w:rPr>
        <w:t>“</w:t>
      </w:r>
      <w:r w:rsidRPr="00B12FE0">
        <w:rPr>
          <w:rFonts w:ascii="宋体" w:hAnsi="宋体"/>
          <w:color w:val="000000" w:themeColor="text1"/>
          <w:kern w:val="0"/>
          <w:szCs w:val="24"/>
        </w:rPr>
        <w:t>具有大量放射性物质和可能造成这些放射性物质大量释放的源</w:t>
      </w:r>
      <w:r w:rsidRPr="00B12FE0">
        <w:rPr>
          <w:color w:val="000000" w:themeColor="text1"/>
          <w:kern w:val="0"/>
          <w:szCs w:val="24"/>
        </w:rPr>
        <w:t>”</w:t>
      </w:r>
      <w:r w:rsidRPr="00B12FE0">
        <w:rPr>
          <w:rFonts w:ascii="宋体" w:hAnsi="宋体"/>
          <w:color w:val="000000" w:themeColor="text1"/>
          <w:kern w:val="0"/>
          <w:szCs w:val="24"/>
        </w:rPr>
        <w:t>应考虑场址特征的规定，对</w:t>
      </w:r>
      <w:proofErr w:type="gramStart"/>
      <w:r w:rsidRPr="00B12FE0">
        <w:rPr>
          <w:rFonts w:ascii="宋体" w:hAnsi="宋体"/>
          <w:color w:val="000000" w:themeColor="text1"/>
          <w:kern w:val="0"/>
          <w:szCs w:val="24"/>
        </w:rPr>
        <w:t>其它源</w:t>
      </w:r>
      <w:proofErr w:type="gramEnd"/>
      <w:r w:rsidRPr="00B12FE0">
        <w:rPr>
          <w:rFonts w:ascii="宋体" w:hAnsi="宋体"/>
          <w:color w:val="000000" w:themeColor="text1"/>
          <w:kern w:val="0"/>
          <w:szCs w:val="24"/>
        </w:rPr>
        <w:t>的选址未作明文规定，而医院内的</w:t>
      </w:r>
      <w:proofErr w:type="gramStart"/>
      <w:r w:rsidRPr="00B12FE0">
        <w:rPr>
          <w:rFonts w:ascii="宋体" w:hAnsi="宋体"/>
          <w:color w:val="000000" w:themeColor="text1"/>
          <w:kern w:val="0"/>
          <w:szCs w:val="24"/>
        </w:rPr>
        <w:t>小型源更关注</w:t>
      </w:r>
      <w:proofErr w:type="gramEnd"/>
      <w:r w:rsidRPr="00B12FE0">
        <w:rPr>
          <w:rFonts w:ascii="宋体" w:hAnsi="宋体"/>
          <w:color w:val="000000" w:themeColor="text1"/>
          <w:kern w:val="0"/>
          <w:szCs w:val="24"/>
        </w:rPr>
        <w:t>辐射安全防护和工程设计的可行性。本项目在正常运行和事故工况下，均不会造成大量放射性物质释放。因此，本次</w:t>
      </w:r>
      <w:proofErr w:type="gramStart"/>
      <w:r w:rsidRPr="00B12FE0">
        <w:rPr>
          <w:rFonts w:ascii="宋体" w:hAnsi="宋体"/>
          <w:color w:val="000000" w:themeColor="text1"/>
          <w:kern w:val="0"/>
          <w:szCs w:val="24"/>
        </w:rPr>
        <w:t>环评仅针对</w:t>
      </w:r>
      <w:proofErr w:type="gramEnd"/>
      <w:r w:rsidRPr="00B12FE0">
        <w:rPr>
          <w:rFonts w:ascii="宋体" w:hAnsi="宋体"/>
          <w:color w:val="000000" w:themeColor="text1"/>
          <w:kern w:val="0"/>
          <w:szCs w:val="24"/>
        </w:rPr>
        <w:t>衰变池的选址在辐射安全防护、工程设计及日常管理可行性进行分析其选址可行性。</w:t>
      </w:r>
    </w:p>
    <w:p w14:paraId="5F0B97F4"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根据医院提供的由设计单位出具的图纸资料，核素制备场所、核素诊断场所</w:t>
      </w:r>
      <w:r w:rsidRPr="00B12FE0">
        <w:rPr>
          <w:rFonts w:ascii="宋体" w:hAnsi="宋体" w:hint="eastAsia"/>
          <w:color w:val="000000" w:themeColor="text1"/>
          <w:szCs w:val="24"/>
        </w:rPr>
        <w:t>和核素治疗场所</w:t>
      </w:r>
      <w:r w:rsidRPr="00B12FE0">
        <w:rPr>
          <w:rFonts w:ascii="宋体" w:hAnsi="宋体"/>
          <w:color w:val="000000" w:themeColor="text1"/>
          <w:szCs w:val="24"/>
        </w:rPr>
        <w:t>共用一个衰变池，衰变</w:t>
      </w:r>
      <w:proofErr w:type="gramStart"/>
      <w:r w:rsidRPr="00B12FE0">
        <w:rPr>
          <w:rFonts w:ascii="宋体" w:hAnsi="宋体"/>
          <w:color w:val="000000" w:themeColor="text1"/>
          <w:szCs w:val="24"/>
        </w:rPr>
        <w:t>池设置</w:t>
      </w:r>
      <w:proofErr w:type="gramEnd"/>
      <w:r w:rsidRPr="00B12FE0">
        <w:rPr>
          <w:rFonts w:ascii="宋体" w:hAnsi="宋体"/>
          <w:color w:val="000000" w:themeColor="text1"/>
          <w:szCs w:val="24"/>
        </w:rPr>
        <w:t>在肿瘤</w:t>
      </w:r>
      <w:r w:rsidRPr="00B12FE0">
        <w:rPr>
          <w:rFonts w:ascii="宋体" w:hAnsi="宋体" w:hint="eastAsia"/>
          <w:color w:val="000000" w:themeColor="text1"/>
          <w:szCs w:val="24"/>
        </w:rPr>
        <w:t>治疗</w:t>
      </w:r>
      <w:r w:rsidRPr="00B12FE0">
        <w:rPr>
          <w:rFonts w:ascii="宋体" w:hAnsi="宋体"/>
          <w:color w:val="000000" w:themeColor="text1"/>
          <w:szCs w:val="24"/>
        </w:rPr>
        <w:t>中心</w:t>
      </w:r>
      <w:r w:rsidRPr="00B12FE0">
        <w:rPr>
          <w:rFonts w:ascii="宋体" w:hAnsi="宋体" w:hint="eastAsia"/>
          <w:color w:val="000000" w:themeColor="text1"/>
          <w:szCs w:val="24"/>
        </w:rPr>
        <w:t>综合楼</w:t>
      </w:r>
      <w:r w:rsidRPr="00B12FE0">
        <w:rPr>
          <w:rFonts w:ascii="宋体" w:hAnsi="宋体"/>
          <w:color w:val="000000" w:themeColor="text1"/>
          <w:szCs w:val="24"/>
        </w:rPr>
        <w:t>一层</w:t>
      </w:r>
      <w:r w:rsidRPr="00B12FE0">
        <w:rPr>
          <w:rFonts w:ascii="宋体" w:hAnsi="宋体" w:hint="eastAsia"/>
          <w:color w:val="000000" w:themeColor="text1"/>
          <w:szCs w:val="24"/>
        </w:rPr>
        <w:t>南侧绿化带内</w:t>
      </w:r>
      <w:r w:rsidRPr="00B12FE0">
        <w:rPr>
          <w:rFonts w:ascii="宋体" w:hAnsi="宋体"/>
          <w:color w:val="000000" w:themeColor="text1"/>
          <w:szCs w:val="24"/>
        </w:rPr>
        <w:t>，地埋设置。</w:t>
      </w:r>
    </w:p>
    <w:p w14:paraId="5AD14D6C"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lastRenderedPageBreak/>
        <w:t>衰变池上方为绿化，拟</w:t>
      </w:r>
      <w:r w:rsidRPr="00B12FE0">
        <w:rPr>
          <w:rFonts w:ascii="宋体" w:hAnsi="宋体"/>
          <w:color w:val="000000" w:themeColor="text1"/>
          <w:kern w:val="0"/>
          <w:szCs w:val="24"/>
        </w:rPr>
        <w:t>设置电离</w:t>
      </w:r>
      <w:r w:rsidRPr="00B12FE0">
        <w:rPr>
          <w:rFonts w:ascii="宋体" w:hAnsi="宋体" w:hint="eastAsia"/>
          <w:color w:val="000000" w:themeColor="text1"/>
          <w:kern w:val="0"/>
          <w:szCs w:val="24"/>
        </w:rPr>
        <w:t>警告标志</w:t>
      </w:r>
      <w:r w:rsidRPr="00B12FE0">
        <w:rPr>
          <w:rFonts w:ascii="宋体" w:hAnsi="宋体"/>
          <w:color w:val="000000" w:themeColor="text1"/>
          <w:kern w:val="0"/>
          <w:szCs w:val="24"/>
        </w:rPr>
        <w:t>和中文警示说明。</w:t>
      </w:r>
      <w:r w:rsidRPr="00B12FE0">
        <w:rPr>
          <w:rFonts w:ascii="宋体" w:hAnsi="宋体"/>
          <w:color w:val="000000" w:themeColor="text1"/>
          <w:szCs w:val="24"/>
        </w:rPr>
        <w:t>衰变池顶棚采用</w:t>
      </w:r>
      <w:r w:rsidRPr="00B12FE0">
        <w:rPr>
          <w:rFonts w:hint="eastAsia"/>
          <w:color w:val="000000" w:themeColor="text1"/>
          <w:szCs w:val="24"/>
        </w:rPr>
        <w:t>30</w:t>
      </w:r>
      <w:r w:rsidRPr="00B12FE0">
        <w:rPr>
          <w:color w:val="000000" w:themeColor="text1"/>
          <w:szCs w:val="24"/>
        </w:rPr>
        <w:t>0mm</w:t>
      </w:r>
      <w:r w:rsidRPr="00B12FE0">
        <w:rPr>
          <w:rFonts w:ascii="宋体" w:hAnsi="宋体"/>
          <w:color w:val="000000" w:themeColor="text1"/>
          <w:szCs w:val="24"/>
        </w:rPr>
        <w:t>混凝土防护可确保辐射防护安全。衰变池上方留有检修口，检修口由盖板封闭，便于衰变池自动控制系统、衰变池</w:t>
      </w:r>
      <w:proofErr w:type="gramStart"/>
      <w:r w:rsidRPr="00B12FE0">
        <w:rPr>
          <w:rFonts w:ascii="宋体" w:hAnsi="宋体"/>
          <w:color w:val="000000" w:themeColor="text1"/>
          <w:szCs w:val="24"/>
        </w:rPr>
        <w:t>池</w:t>
      </w:r>
      <w:proofErr w:type="gramEnd"/>
      <w:r w:rsidRPr="00B12FE0">
        <w:rPr>
          <w:rFonts w:ascii="宋体" w:hAnsi="宋体"/>
          <w:color w:val="000000" w:themeColor="text1"/>
          <w:szCs w:val="24"/>
        </w:rPr>
        <w:t>体、水泵、管道维修及监督检查。衰变池设有液位传感器和压力传感器，自动切换废水收集和排放，并设有阈值报警装置，同时衰变池设有人工取样口便于排放前监测，废水监测结果满足要求后，排放至医院医疗废水处理站进一步处理后纳入市政管网。衰变池监控系统拟设置在核医学科医生办公室，可实现远程操控和远程监控。放射性废水管道裸露部分拟采用镀锌钢管并用</w:t>
      </w:r>
      <w:r w:rsidRPr="00B12FE0">
        <w:rPr>
          <w:color w:val="000000" w:themeColor="text1"/>
          <w:szCs w:val="24"/>
        </w:rPr>
        <w:t>1.5mmPb</w:t>
      </w:r>
      <w:r w:rsidRPr="00B12FE0">
        <w:rPr>
          <w:rFonts w:ascii="宋体" w:hAnsi="宋体"/>
          <w:color w:val="000000" w:themeColor="text1"/>
          <w:szCs w:val="24"/>
        </w:rPr>
        <w:t>铅皮包裹进行屏蔽防护并做上标记，衰变池与核医学科工作场所距离较近，可以最大程度上缩短放射性废水收集管线距离，有利于辐射防护与安全。</w:t>
      </w:r>
    </w:p>
    <w:p w14:paraId="2A9403A6" w14:textId="77777777" w:rsidR="00A67F21" w:rsidRPr="00B12FE0" w:rsidRDefault="00000000">
      <w:pPr>
        <w:autoSpaceDE w:val="0"/>
        <w:autoSpaceDN w:val="0"/>
        <w:adjustRightInd w:val="0"/>
        <w:spacing w:line="360" w:lineRule="auto"/>
        <w:ind w:firstLineChars="200" w:firstLine="480"/>
        <w:rPr>
          <w:color w:val="000000" w:themeColor="text1"/>
          <w:szCs w:val="24"/>
        </w:rPr>
      </w:pPr>
      <w:r w:rsidRPr="00B12FE0">
        <w:rPr>
          <w:rFonts w:ascii="宋体" w:hAnsi="宋体"/>
          <w:color w:val="000000" w:themeColor="text1"/>
          <w:szCs w:val="24"/>
        </w:rPr>
        <w:t>综上所述，本项目放射性废水处理系统设置在肿瘤</w:t>
      </w:r>
      <w:r w:rsidRPr="00B12FE0">
        <w:rPr>
          <w:rFonts w:ascii="宋体" w:hAnsi="宋体" w:hint="eastAsia"/>
          <w:color w:val="000000" w:themeColor="text1"/>
          <w:szCs w:val="24"/>
        </w:rPr>
        <w:t>治疗</w:t>
      </w:r>
      <w:r w:rsidRPr="00B12FE0">
        <w:rPr>
          <w:rFonts w:ascii="宋体" w:hAnsi="宋体"/>
          <w:color w:val="000000" w:themeColor="text1"/>
          <w:szCs w:val="24"/>
        </w:rPr>
        <w:t>中心</w:t>
      </w:r>
      <w:r w:rsidRPr="00B12FE0">
        <w:rPr>
          <w:rFonts w:ascii="宋体" w:hAnsi="宋体" w:hint="eastAsia"/>
          <w:color w:val="000000" w:themeColor="text1"/>
          <w:szCs w:val="24"/>
        </w:rPr>
        <w:t>综合楼</w:t>
      </w:r>
      <w:r w:rsidRPr="00B12FE0">
        <w:rPr>
          <w:rFonts w:ascii="宋体" w:hAnsi="宋体"/>
          <w:color w:val="000000" w:themeColor="text1"/>
          <w:szCs w:val="24"/>
        </w:rPr>
        <w:t>南侧</w:t>
      </w:r>
      <w:r w:rsidRPr="00B12FE0">
        <w:rPr>
          <w:rFonts w:ascii="宋体" w:hAnsi="宋体"/>
          <w:bCs/>
          <w:color w:val="000000" w:themeColor="text1"/>
          <w:szCs w:val="24"/>
        </w:rPr>
        <w:t>，</w:t>
      </w:r>
      <w:r w:rsidRPr="00B12FE0">
        <w:rPr>
          <w:rFonts w:ascii="宋体" w:hAnsi="宋体"/>
          <w:color w:val="000000" w:themeColor="text1"/>
          <w:szCs w:val="24"/>
        </w:rPr>
        <w:t>在辐射安全防护、工程设计及日常管理等方面是可行的。衰变</w:t>
      </w:r>
      <w:proofErr w:type="gramStart"/>
      <w:r w:rsidRPr="00B12FE0">
        <w:rPr>
          <w:rFonts w:ascii="宋体" w:hAnsi="宋体"/>
          <w:color w:val="000000" w:themeColor="text1"/>
          <w:szCs w:val="24"/>
        </w:rPr>
        <w:t>池位置</w:t>
      </w:r>
      <w:proofErr w:type="gramEnd"/>
      <w:r w:rsidRPr="00B12FE0">
        <w:rPr>
          <w:rFonts w:ascii="宋体" w:hAnsi="宋体"/>
          <w:color w:val="000000" w:themeColor="text1"/>
          <w:szCs w:val="24"/>
        </w:rPr>
        <w:t>详见附图</w:t>
      </w:r>
      <w:r w:rsidRPr="00B12FE0">
        <w:rPr>
          <w:color w:val="000000" w:themeColor="text1"/>
          <w:szCs w:val="24"/>
        </w:rPr>
        <w:t>3</w:t>
      </w:r>
      <w:r w:rsidRPr="00B12FE0">
        <w:rPr>
          <w:rFonts w:ascii="宋体" w:hAnsi="宋体" w:hint="eastAsia"/>
          <w:color w:val="000000" w:themeColor="text1"/>
          <w:szCs w:val="24"/>
        </w:rPr>
        <w:t>及附图</w:t>
      </w:r>
      <w:r w:rsidRPr="00B12FE0">
        <w:rPr>
          <w:rFonts w:hint="eastAsia"/>
          <w:color w:val="000000" w:themeColor="text1"/>
          <w:szCs w:val="24"/>
        </w:rPr>
        <w:t>4</w:t>
      </w:r>
      <w:r w:rsidRPr="00B12FE0">
        <w:rPr>
          <w:rFonts w:ascii="宋体" w:hAnsi="宋体"/>
          <w:color w:val="000000" w:themeColor="text1"/>
          <w:szCs w:val="24"/>
        </w:rPr>
        <w:t>。</w:t>
      </w:r>
    </w:p>
    <w:p w14:paraId="0B5CC1DD" w14:textId="77777777" w:rsidR="00A67F21" w:rsidRPr="00B12FE0" w:rsidRDefault="00000000">
      <w:pPr>
        <w:snapToGrid w:val="0"/>
        <w:spacing w:line="360" w:lineRule="auto"/>
        <w:contextualSpacing/>
        <w:outlineLvl w:val="3"/>
        <w:rPr>
          <w:b/>
          <w:bCs/>
          <w:color w:val="000000" w:themeColor="text1"/>
        </w:rPr>
      </w:pPr>
      <w:r w:rsidRPr="00B12FE0">
        <w:rPr>
          <w:rFonts w:hint="eastAsia"/>
          <w:b/>
          <w:bCs/>
          <w:color w:val="000000" w:themeColor="text1"/>
        </w:rPr>
        <w:t>10.1.1.4</w:t>
      </w:r>
      <w:r w:rsidRPr="00B12FE0">
        <w:rPr>
          <w:rFonts w:hint="eastAsia"/>
          <w:b/>
          <w:color w:val="000000" w:themeColor="text1"/>
        </w:rPr>
        <w:t>非密封放射性物质工作场所分级、分类</w:t>
      </w:r>
    </w:p>
    <w:p w14:paraId="0085E480" w14:textId="77777777" w:rsidR="00A67F21" w:rsidRPr="00B12FE0" w:rsidRDefault="00000000">
      <w:pPr>
        <w:wordWrap w:val="0"/>
        <w:snapToGrid w:val="0"/>
        <w:spacing w:line="360" w:lineRule="auto"/>
        <w:ind w:firstLineChars="250" w:firstLine="602"/>
        <w:contextualSpacing/>
        <w:rPr>
          <w:b/>
          <w:bCs/>
          <w:color w:val="000000" w:themeColor="text1"/>
          <w:sz w:val="21"/>
          <w:szCs w:val="21"/>
        </w:rPr>
      </w:pPr>
      <w:r w:rsidRPr="00B12FE0">
        <w:rPr>
          <w:rFonts w:ascii="宋体" w:hAnsi="宋体"/>
          <w:b/>
          <w:bCs/>
          <w:color w:val="000000" w:themeColor="text1"/>
          <w:szCs w:val="24"/>
        </w:rPr>
        <w:t>（</w:t>
      </w:r>
      <w:r w:rsidRPr="00B12FE0">
        <w:rPr>
          <w:b/>
          <w:bCs/>
          <w:color w:val="000000" w:themeColor="text1"/>
          <w:szCs w:val="24"/>
        </w:rPr>
        <w:t>1</w:t>
      </w:r>
      <w:r w:rsidRPr="00B12FE0">
        <w:rPr>
          <w:rFonts w:ascii="宋体" w:hAnsi="宋体"/>
          <w:b/>
          <w:bCs/>
          <w:color w:val="000000" w:themeColor="text1"/>
          <w:szCs w:val="24"/>
        </w:rPr>
        <w:t>）工作场所分级</w:t>
      </w:r>
    </w:p>
    <w:p w14:paraId="2B9BB23B"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宋体" w:hAnsi="宋体"/>
          <w:bCs/>
          <w:color w:val="000000" w:themeColor="text1"/>
          <w:szCs w:val="24"/>
        </w:rPr>
        <w:t>医院</w:t>
      </w:r>
      <w:r w:rsidRPr="00B12FE0">
        <w:rPr>
          <w:rFonts w:ascii="宋体" w:hAnsi="宋体"/>
          <w:bCs/>
          <w:color w:val="000000" w:themeColor="text1"/>
          <w:kern w:val="0"/>
          <w:szCs w:val="24"/>
        </w:rPr>
        <w:t>核医学科核素制备场所位于肿瘤治疗中心综合楼一层</w:t>
      </w:r>
      <w:r w:rsidRPr="00B12FE0">
        <w:rPr>
          <w:rFonts w:ascii="宋体" w:hAnsi="宋体" w:hint="eastAsia"/>
          <w:bCs/>
          <w:color w:val="000000" w:themeColor="text1"/>
          <w:kern w:val="0"/>
          <w:szCs w:val="24"/>
        </w:rPr>
        <w:t>西侧</w:t>
      </w:r>
      <w:r w:rsidRPr="00B12FE0">
        <w:rPr>
          <w:rFonts w:ascii="宋体" w:hAnsi="宋体"/>
          <w:bCs/>
          <w:color w:val="000000" w:themeColor="text1"/>
          <w:kern w:val="0"/>
          <w:szCs w:val="24"/>
        </w:rPr>
        <w:t>，核素</w:t>
      </w:r>
      <w:r w:rsidRPr="00B12FE0">
        <w:rPr>
          <w:rFonts w:ascii="宋体" w:hAnsi="宋体" w:hint="eastAsia"/>
          <w:bCs/>
          <w:color w:val="000000" w:themeColor="text1"/>
          <w:kern w:val="0"/>
          <w:szCs w:val="24"/>
        </w:rPr>
        <w:t>诊断</w:t>
      </w:r>
      <w:r w:rsidRPr="00B12FE0">
        <w:rPr>
          <w:rFonts w:ascii="宋体" w:hAnsi="宋体"/>
          <w:bCs/>
          <w:color w:val="000000" w:themeColor="text1"/>
          <w:kern w:val="0"/>
          <w:szCs w:val="24"/>
        </w:rPr>
        <w:t>场所和核素治疗场所</w:t>
      </w:r>
      <w:r w:rsidRPr="00B12FE0">
        <w:rPr>
          <w:rFonts w:ascii="宋体" w:hAnsi="宋体" w:hint="eastAsia"/>
          <w:bCs/>
          <w:color w:val="000000" w:themeColor="text1"/>
          <w:kern w:val="0"/>
          <w:szCs w:val="24"/>
        </w:rPr>
        <w:t>分别</w:t>
      </w:r>
      <w:r w:rsidRPr="00B12FE0">
        <w:rPr>
          <w:rFonts w:ascii="宋体" w:hAnsi="宋体"/>
          <w:bCs/>
          <w:color w:val="000000" w:themeColor="text1"/>
          <w:kern w:val="0"/>
          <w:szCs w:val="24"/>
        </w:rPr>
        <w:t>位于肿瘤中心综合楼一层</w:t>
      </w:r>
      <w:proofErr w:type="gramStart"/>
      <w:r w:rsidRPr="00B12FE0">
        <w:rPr>
          <w:rFonts w:ascii="宋体" w:hAnsi="宋体" w:hint="eastAsia"/>
          <w:bCs/>
          <w:color w:val="000000" w:themeColor="text1"/>
          <w:kern w:val="0"/>
          <w:szCs w:val="24"/>
        </w:rPr>
        <w:t>南侧和</w:t>
      </w:r>
      <w:proofErr w:type="gramEnd"/>
      <w:r w:rsidRPr="00B12FE0">
        <w:rPr>
          <w:rFonts w:ascii="宋体" w:hAnsi="宋体" w:hint="eastAsia"/>
          <w:bCs/>
          <w:color w:val="000000" w:themeColor="text1"/>
          <w:kern w:val="0"/>
          <w:szCs w:val="24"/>
        </w:rPr>
        <w:t>二层南侧</w:t>
      </w:r>
      <w:r w:rsidRPr="00B12FE0">
        <w:rPr>
          <w:rFonts w:ascii="宋体" w:hAnsi="宋体"/>
          <w:bCs/>
          <w:color w:val="000000" w:themeColor="text1"/>
          <w:kern w:val="0"/>
          <w:szCs w:val="24"/>
        </w:rPr>
        <w:t>。</w:t>
      </w:r>
      <w:r w:rsidRPr="00B12FE0">
        <w:rPr>
          <w:rFonts w:ascii="宋体" w:hAnsi="宋体"/>
          <w:bCs/>
          <w:color w:val="000000" w:themeColor="text1"/>
          <w:szCs w:val="24"/>
        </w:rPr>
        <w:t>核医学科核素制备场所、核素诊断场所和核素治疗场所各自满足相对独立、具有明确的监督区和控制区划分，工艺流程连续完整，有相对独立的辐射防护措施，除此以外，三个工作场所布局各自独立、工作人员也各自独立配置，因此将核医学科核素制备场所、核素诊断场所和核素治疗场所作为三个单独场所进行日等效操作量核算。</w:t>
      </w:r>
    </w:p>
    <w:p w14:paraId="0F114FF7"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ascii="宋体" w:hAnsi="宋体"/>
          <w:bCs/>
          <w:color w:val="000000" w:themeColor="text1"/>
          <w:kern w:val="0"/>
          <w:szCs w:val="24"/>
        </w:rPr>
        <w:t>核医学科核素制备场所</w:t>
      </w:r>
      <w:r w:rsidRPr="00B12FE0">
        <w:rPr>
          <w:color w:val="000000" w:themeColor="text1"/>
          <w:kern w:val="0"/>
          <w:szCs w:val="24"/>
        </w:rPr>
        <w:t>1</w:t>
      </w:r>
      <w:r w:rsidRPr="00B12FE0">
        <w:rPr>
          <w:rFonts w:ascii="宋体" w:hAnsi="宋体"/>
          <w:color w:val="000000" w:themeColor="text1"/>
          <w:kern w:val="0"/>
          <w:szCs w:val="24"/>
        </w:rPr>
        <w:t>台回旋加速器</w:t>
      </w:r>
      <w:r w:rsidRPr="00B12FE0">
        <w:rPr>
          <w:rFonts w:ascii="宋体" w:hAnsi="宋体"/>
          <w:color w:val="000000" w:themeColor="text1"/>
          <w:szCs w:val="24"/>
        </w:rPr>
        <w:t>制备放射性核素</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用于显像诊断。考虑到放射性药物自身的衰变，为保证每批次最后一位患者放射性药物注射量满足要求，拟采取增加放射性药物制备</w:t>
      </w:r>
      <w:proofErr w:type="gramStart"/>
      <w:r w:rsidRPr="00B12FE0">
        <w:rPr>
          <w:rFonts w:ascii="宋体" w:hAnsi="宋体"/>
          <w:color w:val="000000" w:themeColor="text1"/>
          <w:szCs w:val="24"/>
        </w:rPr>
        <w:t>量确保</w:t>
      </w:r>
      <w:proofErr w:type="gramEnd"/>
      <w:r w:rsidRPr="00B12FE0">
        <w:rPr>
          <w:rFonts w:ascii="宋体" w:hAnsi="宋体"/>
          <w:color w:val="000000" w:themeColor="text1"/>
          <w:szCs w:val="24"/>
        </w:rPr>
        <w:t>活度满足使用要求。因此按照核医学科核素诊断场所放射性药物使用量的</w:t>
      </w:r>
      <w:r w:rsidRPr="00B12FE0">
        <w:rPr>
          <w:color w:val="000000" w:themeColor="text1"/>
          <w:szCs w:val="24"/>
        </w:rPr>
        <w:t>3</w:t>
      </w:r>
      <w:r w:rsidRPr="00B12FE0">
        <w:rPr>
          <w:rFonts w:ascii="宋体" w:hAnsi="宋体"/>
          <w:color w:val="000000" w:themeColor="text1"/>
          <w:szCs w:val="24"/>
        </w:rPr>
        <w:t>倍进行制药。核素诊断场所核素使用情况见表</w:t>
      </w:r>
      <w:r w:rsidRPr="00B12FE0">
        <w:rPr>
          <w:color w:val="000000" w:themeColor="text1"/>
          <w:szCs w:val="24"/>
        </w:rPr>
        <w:t>1.1-2</w:t>
      </w:r>
      <w:r w:rsidRPr="00B12FE0">
        <w:rPr>
          <w:rFonts w:ascii="宋体" w:hAnsi="宋体"/>
          <w:color w:val="000000" w:themeColor="text1"/>
          <w:szCs w:val="24"/>
        </w:rPr>
        <w:t>，核素治疗场所核素诊疗用药情况见表</w:t>
      </w:r>
      <w:r w:rsidRPr="00B12FE0">
        <w:rPr>
          <w:color w:val="000000" w:themeColor="text1"/>
          <w:szCs w:val="24"/>
        </w:rPr>
        <w:t>1.1-3</w:t>
      </w:r>
      <w:r w:rsidRPr="00B12FE0">
        <w:rPr>
          <w:rFonts w:ascii="宋体" w:hAnsi="宋体"/>
          <w:color w:val="000000" w:themeColor="text1"/>
          <w:szCs w:val="24"/>
        </w:rPr>
        <w:t>。</w:t>
      </w:r>
    </w:p>
    <w:p w14:paraId="26355D22"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本项目核医学科核素制备场所使用的放射性同位素有</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；核医学科核素诊断场所使用的放射性同位素有</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w:t>
      </w:r>
      <w:r w:rsidRPr="00B12FE0">
        <w:rPr>
          <w:color w:val="000000" w:themeColor="text1"/>
          <w:szCs w:val="24"/>
          <w:vertAlign w:val="superscript"/>
        </w:rPr>
        <w:t>99</w:t>
      </w:r>
      <w:r w:rsidRPr="00B12FE0">
        <w:rPr>
          <w:color w:val="000000" w:themeColor="text1"/>
          <w:szCs w:val="24"/>
        </w:rPr>
        <w:t>Mo</w:t>
      </w:r>
      <w:r w:rsidRPr="00B12FE0">
        <w:rPr>
          <w:rFonts w:hint="eastAsia"/>
          <w:color w:val="000000" w:themeColor="text1"/>
          <w:szCs w:val="24"/>
        </w:rPr>
        <w:t>-</w:t>
      </w:r>
      <w:r w:rsidRPr="00B12FE0">
        <w:rPr>
          <w:color w:val="000000" w:themeColor="text1"/>
          <w:szCs w:val="24"/>
          <w:vertAlign w:val="superscript"/>
        </w:rPr>
        <w:t>99m</w:t>
      </w:r>
      <w:r w:rsidRPr="00B12FE0">
        <w:rPr>
          <w:color w:val="000000" w:themeColor="text1"/>
          <w:szCs w:val="24"/>
        </w:rPr>
        <w:t>Tc</w:t>
      </w:r>
      <w:r w:rsidRPr="00B12FE0">
        <w:rPr>
          <w:rFonts w:ascii="宋体" w:hAnsi="宋体"/>
          <w:bCs/>
          <w:color w:val="000000" w:themeColor="text1"/>
          <w:kern w:val="0"/>
          <w:szCs w:val="24"/>
        </w:rPr>
        <w:t>（</w:t>
      </w:r>
      <w:proofErr w:type="gramStart"/>
      <w:r w:rsidRPr="00B12FE0">
        <w:rPr>
          <w:rFonts w:ascii="宋体" w:hAnsi="宋体"/>
          <w:bCs/>
          <w:color w:val="000000" w:themeColor="text1"/>
          <w:kern w:val="0"/>
          <w:szCs w:val="24"/>
        </w:rPr>
        <w:t>钼</w:t>
      </w:r>
      <w:proofErr w:type="gramEnd"/>
      <w:r w:rsidRPr="00B12FE0">
        <w:rPr>
          <w:rFonts w:ascii="宋体" w:hAnsi="宋体"/>
          <w:bCs/>
          <w:color w:val="000000" w:themeColor="text1"/>
          <w:kern w:val="0"/>
          <w:szCs w:val="24"/>
        </w:rPr>
        <w:t>锝发生器）、</w:t>
      </w:r>
      <w:r w:rsidRPr="00B12FE0">
        <w:rPr>
          <w:color w:val="000000" w:themeColor="text1"/>
          <w:szCs w:val="24"/>
          <w:vertAlign w:val="superscript"/>
        </w:rPr>
        <w:t>99m</w:t>
      </w:r>
      <w:r w:rsidRPr="00B12FE0">
        <w:rPr>
          <w:color w:val="000000" w:themeColor="text1"/>
          <w:szCs w:val="24"/>
        </w:rPr>
        <w:t>Tc</w:t>
      </w:r>
      <w:r w:rsidRPr="00B12FE0">
        <w:rPr>
          <w:rFonts w:hint="eastAsia"/>
          <w:color w:val="000000" w:themeColor="text1"/>
          <w:szCs w:val="24"/>
        </w:rPr>
        <w:t>、</w:t>
      </w:r>
      <w:r w:rsidRPr="00B12FE0">
        <w:rPr>
          <w:rFonts w:hint="eastAsia"/>
          <w:color w:val="000000" w:themeColor="text1"/>
          <w:szCs w:val="24"/>
          <w:vertAlign w:val="superscript"/>
        </w:rPr>
        <w:t>32</w:t>
      </w:r>
      <w:r w:rsidRPr="00B12FE0">
        <w:rPr>
          <w:rFonts w:hint="eastAsia"/>
          <w:color w:val="000000" w:themeColor="text1"/>
          <w:szCs w:val="24"/>
        </w:rPr>
        <w:t>P</w:t>
      </w:r>
      <w:r w:rsidRPr="00B12FE0">
        <w:rPr>
          <w:rFonts w:hint="eastAsia"/>
          <w:color w:val="000000" w:themeColor="text1"/>
          <w:szCs w:val="24"/>
        </w:rPr>
        <w:t>、</w:t>
      </w:r>
      <w:r w:rsidRPr="00B12FE0">
        <w:rPr>
          <w:rFonts w:hint="eastAsia"/>
          <w:color w:val="000000" w:themeColor="text1"/>
          <w:szCs w:val="24"/>
          <w:vertAlign w:val="superscript"/>
        </w:rPr>
        <w:t>131</w:t>
      </w:r>
      <w:r w:rsidRPr="00B12FE0">
        <w:rPr>
          <w:rFonts w:hint="eastAsia"/>
          <w:color w:val="000000" w:themeColor="text1"/>
          <w:szCs w:val="24"/>
        </w:rPr>
        <w:t>I</w:t>
      </w:r>
      <w:r w:rsidRPr="00B12FE0">
        <w:rPr>
          <w:rFonts w:ascii="宋体" w:hAnsi="宋体"/>
          <w:bCs/>
          <w:color w:val="000000" w:themeColor="text1"/>
          <w:kern w:val="0"/>
          <w:szCs w:val="24"/>
        </w:rPr>
        <w:t>；</w:t>
      </w:r>
      <w:r w:rsidRPr="00B12FE0">
        <w:rPr>
          <w:rFonts w:ascii="宋体" w:hAnsi="宋体"/>
          <w:color w:val="000000" w:themeColor="text1"/>
          <w:szCs w:val="24"/>
        </w:rPr>
        <w:t>核医学科核素治疗场所使用的放射性同位素有</w:t>
      </w:r>
      <w:r w:rsidRPr="00B12FE0">
        <w:rPr>
          <w:bCs/>
          <w:color w:val="000000" w:themeColor="text1"/>
          <w:kern w:val="0"/>
          <w:szCs w:val="24"/>
          <w:vertAlign w:val="superscript"/>
        </w:rPr>
        <w:t>131</w:t>
      </w:r>
      <w:r w:rsidRPr="00B12FE0">
        <w:rPr>
          <w:bCs/>
          <w:color w:val="000000" w:themeColor="text1"/>
          <w:kern w:val="0"/>
          <w:szCs w:val="24"/>
        </w:rPr>
        <w:t>I</w:t>
      </w:r>
      <w:r w:rsidRPr="00B12FE0">
        <w:rPr>
          <w:rFonts w:ascii="宋体" w:hAnsi="宋体"/>
          <w:color w:val="000000" w:themeColor="text1"/>
          <w:szCs w:val="24"/>
        </w:rPr>
        <w:t>。</w:t>
      </w:r>
    </w:p>
    <w:p w14:paraId="6842AB7E"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根据</w:t>
      </w:r>
      <w:r w:rsidRPr="00B12FE0">
        <w:rPr>
          <w:color w:val="000000" w:themeColor="text1"/>
          <w:szCs w:val="24"/>
        </w:rPr>
        <w:t>GB18871-2002</w:t>
      </w:r>
      <w:r w:rsidRPr="00B12FE0">
        <w:rPr>
          <w:rFonts w:ascii="宋体" w:hAnsi="宋体"/>
          <w:color w:val="000000" w:themeColor="text1"/>
          <w:szCs w:val="24"/>
        </w:rPr>
        <w:t>非密封源工作场所的分级原则及《关于明确核技术利用辐射安全监管有关事项的通知》（</w:t>
      </w:r>
      <w:proofErr w:type="gramStart"/>
      <w:r w:rsidRPr="00B12FE0">
        <w:rPr>
          <w:rFonts w:ascii="宋体" w:hAnsi="宋体"/>
          <w:color w:val="000000" w:themeColor="text1"/>
          <w:szCs w:val="24"/>
        </w:rPr>
        <w:t>环办辐射</w:t>
      </w:r>
      <w:proofErr w:type="gramEnd"/>
      <w:r w:rsidRPr="00B12FE0">
        <w:rPr>
          <w:rFonts w:ascii="宋体" w:hAnsi="宋体"/>
          <w:color w:val="000000" w:themeColor="text1"/>
          <w:szCs w:val="24"/>
        </w:rPr>
        <w:t>函</w:t>
      </w:r>
      <w:r w:rsidRPr="00B12FE0">
        <w:rPr>
          <w:color w:val="000000" w:themeColor="text1"/>
          <w:szCs w:val="24"/>
        </w:rPr>
        <w:t>[2016]430</w:t>
      </w:r>
      <w:r w:rsidRPr="00B12FE0">
        <w:rPr>
          <w:rFonts w:ascii="宋体" w:hAnsi="宋体"/>
          <w:color w:val="000000" w:themeColor="text1"/>
          <w:szCs w:val="24"/>
        </w:rPr>
        <w:t>号），放射性核素的日等效操作量计算公式见</w:t>
      </w:r>
      <w:r w:rsidRPr="00B12FE0">
        <w:rPr>
          <w:color w:val="000000" w:themeColor="text1"/>
          <w:szCs w:val="24"/>
        </w:rPr>
        <w:t>10-1</w:t>
      </w:r>
      <w:r w:rsidRPr="00B12FE0">
        <w:rPr>
          <w:rFonts w:ascii="宋体" w:hAnsi="宋体"/>
          <w:color w:val="000000" w:themeColor="text1"/>
          <w:szCs w:val="24"/>
        </w:rPr>
        <w:t>。修正因子见表</w:t>
      </w:r>
      <w:r w:rsidRPr="00B12FE0">
        <w:rPr>
          <w:color w:val="000000" w:themeColor="text1"/>
          <w:szCs w:val="24"/>
        </w:rPr>
        <w:t>10.1.1.4-1</w:t>
      </w:r>
      <w:r w:rsidRPr="00B12FE0">
        <w:rPr>
          <w:rFonts w:ascii="宋体" w:hAnsi="宋体"/>
          <w:color w:val="000000" w:themeColor="text1"/>
          <w:szCs w:val="24"/>
        </w:rPr>
        <w:t>、</w:t>
      </w:r>
      <w:r w:rsidRPr="00B12FE0">
        <w:rPr>
          <w:color w:val="000000" w:themeColor="text1"/>
          <w:szCs w:val="24"/>
        </w:rPr>
        <w:t>10.1.1.4-2</w:t>
      </w:r>
      <w:r w:rsidRPr="00B12FE0">
        <w:rPr>
          <w:rFonts w:ascii="宋体" w:hAnsi="宋体"/>
          <w:color w:val="000000" w:themeColor="text1"/>
          <w:szCs w:val="24"/>
        </w:rPr>
        <w:t>，计算见表</w:t>
      </w:r>
      <w:r w:rsidRPr="00B12FE0">
        <w:rPr>
          <w:color w:val="000000" w:themeColor="text1"/>
          <w:szCs w:val="24"/>
        </w:rPr>
        <w:t>10.1.1.4-3</w:t>
      </w:r>
      <w:r w:rsidRPr="00B12FE0">
        <w:rPr>
          <w:rFonts w:ascii="宋体" w:hAnsi="宋体"/>
          <w:color w:val="000000" w:themeColor="text1"/>
          <w:szCs w:val="24"/>
        </w:rPr>
        <w:t>。</w:t>
      </w:r>
    </w:p>
    <w:p w14:paraId="60B9E391" w14:textId="77777777" w:rsidR="00A67F21" w:rsidRPr="00B12FE0" w:rsidRDefault="00000000">
      <w:pPr>
        <w:snapToGrid w:val="0"/>
        <w:spacing w:line="360" w:lineRule="auto"/>
        <w:contextualSpacing/>
        <w:jc w:val="center"/>
        <w:rPr>
          <w:color w:val="000000" w:themeColor="text1"/>
          <w:szCs w:val="24"/>
        </w:rPr>
      </w:pPr>
      <w:r w:rsidRPr="00B12FE0">
        <w:rPr>
          <w:noProof/>
          <w:color w:val="000000" w:themeColor="text1"/>
          <w:sz w:val="21"/>
          <w:szCs w:val="21"/>
        </w:rPr>
        <w:lastRenderedPageBreak/>
        <w:drawing>
          <wp:inline distT="0" distB="0" distL="0" distR="0" wp14:anchorId="668EC975" wp14:editId="0ED37715">
            <wp:extent cx="4095750" cy="323850"/>
            <wp:effectExtent l="0" t="0" r="0" b="0"/>
            <wp:docPr id="1857245646" name="图片 185724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45646" name="图片 18572456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095750" cy="323850"/>
                    </a:xfrm>
                    <a:prstGeom prst="rect">
                      <a:avLst/>
                    </a:prstGeom>
                    <a:noFill/>
                    <a:ln>
                      <a:noFill/>
                    </a:ln>
                  </pic:spPr>
                </pic:pic>
              </a:graphicData>
            </a:graphic>
          </wp:inline>
        </w:drawing>
      </w:r>
      <w:r w:rsidRPr="00B12FE0">
        <w:rPr>
          <w:color w:val="000000" w:themeColor="text1"/>
          <w:position w:val="2"/>
          <w:szCs w:val="24"/>
        </w:rPr>
        <w:t>………</w:t>
      </w:r>
      <w:r w:rsidRPr="00B12FE0">
        <w:rPr>
          <w:rFonts w:ascii="宋体" w:hAnsi="宋体"/>
          <w:color w:val="000000" w:themeColor="text1"/>
          <w:szCs w:val="24"/>
        </w:rPr>
        <w:t>（式</w:t>
      </w:r>
      <w:r w:rsidRPr="00B12FE0">
        <w:rPr>
          <w:color w:val="000000" w:themeColor="text1"/>
          <w:szCs w:val="24"/>
        </w:rPr>
        <w:t>10-1</w:t>
      </w:r>
      <w:r w:rsidRPr="00B12FE0">
        <w:rPr>
          <w:rFonts w:ascii="宋体" w:hAnsi="宋体"/>
          <w:color w:val="000000" w:themeColor="text1"/>
          <w:szCs w:val="24"/>
        </w:rPr>
        <w:t>）</w:t>
      </w:r>
    </w:p>
    <w:p w14:paraId="565C0B4A" w14:textId="77777777" w:rsidR="00A67F21" w:rsidRPr="00B12FE0" w:rsidRDefault="00000000">
      <w:pPr>
        <w:adjustRightInd w:val="0"/>
        <w:snapToGrid w:val="0"/>
        <w:spacing w:beforeLines="50" w:before="120"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10.1.1.4-1  </w:t>
      </w:r>
      <w:r w:rsidRPr="00B12FE0">
        <w:rPr>
          <w:rFonts w:ascii="宋体" w:hAnsi="宋体"/>
          <w:b/>
          <w:color w:val="000000" w:themeColor="text1"/>
          <w:sz w:val="21"/>
          <w:szCs w:val="21"/>
        </w:rPr>
        <w:t>放射性核素毒性组别修正因子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3"/>
        <w:gridCol w:w="5394"/>
      </w:tblGrid>
      <w:tr w:rsidR="00A67F21" w:rsidRPr="00B12FE0" w14:paraId="12DFA493" w14:textId="77777777">
        <w:trPr>
          <w:jc w:val="center"/>
        </w:trPr>
        <w:tc>
          <w:tcPr>
            <w:tcW w:w="3623" w:type="dxa"/>
            <w:tcBorders>
              <w:top w:val="single" w:sz="4" w:space="0" w:color="auto"/>
              <w:left w:val="single" w:sz="4" w:space="0" w:color="auto"/>
              <w:bottom w:val="single" w:sz="4" w:space="0" w:color="auto"/>
              <w:right w:val="single" w:sz="4" w:space="0" w:color="auto"/>
            </w:tcBorders>
            <w:vAlign w:val="center"/>
          </w:tcPr>
          <w:p w14:paraId="2429F904" w14:textId="77777777" w:rsidR="00A67F21" w:rsidRPr="00B12FE0" w:rsidRDefault="00000000">
            <w:pPr>
              <w:snapToGrid w:val="0"/>
              <w:contextualSpacing/>
              <w:jc w:val="center"/>
              <w:rPr>
                <w:color w:val="000000" w:themeColor="text1"/>
                <w:sz w:val="21"/>
                <w:szCs w:val="21"/>
              </w:rPr>
            </w:pPr>
            <w:r w:rsidRPr="00B12FE0">
              <w:rPr>
                <w:rFonts w:ascii="宋体" w:hAnsi="宋体"/>
                <w:color w:val="000000" w:themeColor="text1"/>
                <w:sz w:val="21"/>
                <w:szCs w:val="21"/>
              </w:rPr>
              <w:t>毒性组别</w:t>
            </w:r>
          </w:p>
        </w:tc>
        <w:tc>
          <w:tcPr>
            <w:tcW w:w="5393" w:type="dxa"/>
            <w:tcBorders>
              <w:top w:val="single" w:sz="4" w:space="0" w:color="auto"/>
              <w:left w:val="single" w:sz="4" w:space="0" w:color="auto"/>
              <w:bottom w:val="single" w:sz="4" w:space="0" w:color="auto"/>
              <w:right w:val="single" w:sz="4" w:space="0" w:color="auto"/>
            </w:tcBorders>
            <w:vAlign w:val="center"/>
          </w:tcPr>
          <w:p w14:paraId="7942CDD7" w14:textId="77777777" w:rsidR="00A67F21" w:rsidRPr="00B12FE0" w:rsidRDefault="00000000">
            <w:pPr>
              <w:snapToGrid w:val="0"/>
              <w:contextualSpacing/>
              <w:jc w:val="center"/>
              <w:rPr>
                <w:color w:val="000000" w:themeColor="text1"/>
                <w:sz w:val="21"/>
                <w:szCs w:val="21"/>
              </w:rPr>
            </w:pPr>
            <w:r w:rsidRPr="00B12FE0">
              <w:rPr>
                <w:rFonts w:ascii="宋体" w:hAnsi="宋体"/>
                <w:color w:val="000000" w:themeColor="text1"/>
                <w:sz w:val="21"/>
                <w:szCs w:val="21"/>
              </w:rPr>
              <w:t>毒性组别修正因子</w:t>
            </w:r>
          </w:p>
        </w:tc>
      </w:tr>
      <w:tr w:rsidR="00A67F21" w:rsidRPr="00B12FE0" w14:paraId="0CC79191" w14:textId="77777777">
        <w:trPr>
          <w:jc w:val="center"/>
        </w:trPr>
        <w:tc>
          <w:tcPr>
            <w:tcW w:w="3623" w:type="dxa"/>
            <w:tcBorders>
              <w:top w:val="single" w:sz="4" w:space="0" w:color="auto"/>
              <w:left w:val="single" w:sz="4" w:space="0" w:color="auto"/>
              <w:bottom w:val="single" w:sz="4" w:space="0" w:color="auto"/>
              <w:right w:val="single" w:sz="4" w:space="0" w:color="auto"/>
            </w:tcBorders>
            <w:vAlign w:val="center"/>
          </w:tcPr>
          <w:p w14:paraId="28B94B6F" w14:textId="77777777" w:rsidR="00A67F21" w:rsidRPr="00B12FE0" w:rsidRDefault="00000000">
            <w:pPr>
              <w:snapToGrid w:val="0"/>
              <w:contextualSpacing/>
              <w:jc w:val="center"/>
              <w:rPr>
                <w:color w:val="000000" w:themeColor="text1"/>
                <w:sz w:val="21"/>
                <w:szCs w:val="21"/>
              </w:rPr>
            </w:pPr>
            <w:proofErr w:type="gramStart"/>
            <w:r w:rsidRPr="00B12FE0">
              <w:rPr>
                <w:rFonts w:ascii="宋体" w:hAnsi="宋体"/>
                <w:color w:val="000000" w:themeColor="text1"/>
                <w:sz w:val="21"/>
                <w:szCs w:val="21"/>
              </w:rPr>
              <w:t>极毒</w:t>
            </w:r>
            <w:proofErr w:type="gramEnd"/>
          </w:p>
        </w:tc>
        <w:tc>
          <w:tcPr>
            <w:tcW w:w="5393" w:type="dxa"/>
            <w:tcBorders>
              <w:top w:val="single" w:sz="4" w:space="0" w:color="auto"/>
              <w:left w:val="single" w:sz="4" w:space="0" w:color="auto"/>
              <w:bottom w:val="single" w:sz="4" w:space="0" w:color="auto"/>
              <w:right w:val="single" w:sz="4" w:space="0" w:color="auto"/>
            </w:tcBorders>
            <w:vAlign w:val="center"/>
          </w:tcPr>
          <w:p w14:paraId="678FA55B" w14:textId="77777777" w:rsidR="00A67F21" w:rsidRPr="00B12FE0" w:rsidRDefault="00000000">
            <w:pPr>
              <w:snapToGrid w:val="0"/>
              <w:contextualSpacing/>
              <w:jc w:val="center"/>
              <w:rPr>
                <w:color w:val="000000" w:themeColor="text1"/>
                <w:sz w:val="21"/>
                <w:szCs w:val="21"/>
              </w:rPr>
            </w:pPr>
            <w:r w:rsidRPr="00B12FE0">
              <w:rPr>
                <w:color w:val="000000" w:themeColor="text1"/>
                <w:sz w:val="21"/>
                <w:szCs w:val="21"/>
              </w:rPr>
              <w:t>10</w:t>
            </w:r>
          </w:p>
        </w:tc>
      </w:tr>
      <w:tr w:rsidR="00A67F21" w:rsidRPr="00B12FE0" w14:paraId="6265319B" w14:textId="77777777">
        <w:trPr>
          <w:jc w:val="center"/>
        </w:trPr>
        <w:tc>
          <w:tcPr>
            <w:tcW w:w="3623" w:type="dxa"/>
            <w:tcBorders>
              <w:top w:val="single" w:sz="4" w:space="0" w:color="auto"/>
              <w:left w:val="single" w:sz="4" w:space="0" w:color="auto"/>
              <w:bottom w:val="single" w:sz="4" w:space="0" w:color="auto"/>
              <w:right w:val="single" w:sz="4" w:space="0" w:color="auto"/>
            </w:tcBorders>
            <w:vAlign w:val="center"/>
          </w:tcPr>
          <w:p w14:paraId="5F2824AA" w14:textId="77777777" w:rsidR="00A67F21" w:rsidRPr="00B12FE0" w:rsidRDefault="00000000">
            <w:pPr>
              <w:snapToGrid w:val="0"/>
              <w:contextualSpacing/>
              <w:jc w:val="center"/>
              <w:rPr>
                <w:color w:val="000000" w:themeColor="text1"/>
                <w:sz w:val="21"/>
                <w:szCs w:val="21"/>
              </w:rPr>
            </w:pPr>
            <w:r w:rsidRPr="00B12FE0">
              <w:rPr>
                <w:rFonts w:ascii="宋体" w:hAnsi="宋体"/>
                <w:color w:val="000000" w:themeColor="text1"/>
                <w:sz w:val="21"/>
                <w:szCs w:val="21"/>
              </w:rPr>
              <w:t>高毒</w:t>
            </w:r>
          </w:p>
        </w:tc>
        <w:tc>
          <w:tcPr>
            <w:tcW w:w="5393" w:type="dxa"/>
            <w:tcBorders>
              <w:top w:val="single" w:sz="4" w:space="0" w:color="auto"/>
              <w:left w:val="single" w:sz="4" w:space="0" w:color="auto"/>
              <w:bottom w:val="single" w:sz="4" w:space="0" w:color="auto"/>
              <w:right w:val="single" w:sz="4" w:space="0" w:color="auto"/>
            </w:tcBorders>
            <w:vAlign w:val="center"/>
          </w:tcPr>
          <w:p w14:paraId="2213886B" w14:textId="77777777" w:rsidR="00A67F21" w:rsidRPr="00B12FE0" w:rsidRDefault="00000000">
            <w:pPr>
              <w:snapToGrid w:val="0"/>
              <w:contextualSpacing/>
              <w:jc w:val="center"/>
              <w:rPr>
                <w:color w:val="000000" w:themeColor="text1"/>
                <w:sz w:val="21"/>
                <w:szCs w:val="21"/>
              </w:rPr>
            </w:pPr>
            <w:r w:rsidRPr="00B12FE0">
              <w:rPr>
                <w:color w:val="000000" w:themeColor="text1"/>
                <w:sz w:val="21"/>
                <w:szCs w:val="21"/>
              </w:rPr>
              <w:t>1</w:t>
            </w:r>
          </w:p>
        </w:tc>
      </w:tr>
      <w:tr w:rsidR="00A67F21" w:rsidRPr="00B12FE0" w14:paraId="2FAAED3B" w14:textId="77777777">
        <w:trPr>
          <w:jc w:val="center"/>
        </w:trPr>
        <w:tc>
          <w:tcPr>
            <w:tcW w:w="3623" w:type="dxa"/>
            <w:tcBorders>
              <w:top w:val="single" w:sz="4" w:space="0" w:color="auto"/>
              <w:left w:val="single" w:sz="4" w:space="0" w:color="auto"/>
              <w:bottom w:val="single" w:sz="4" w:space="0" w:color="auto"/>
              <w:right w:val="single" w:sz="4" w:space="0" w:color="auto"/>
            </w:tcBorders>
            <w:vAlign w:val="center"/>
          </w:tcPr>
          <w:p w14:paraId="5F2D051D" w14:textId="77777777" w:rsidR="00A67F21" w:rsidRPr="00B12FE0" w:rsidRDefault="00000000">
            <w:pPr>
              <w:snapToGrid w:val="0"/>
              <w:contextualSpacing/>
              <w:jc w:val="center"/>
              <w:rPr>
                <w:color w:val="000000" w:themeColor="text1"/>
                <w:sz w:val="21"/>
                <w:szCs w:val="21"/>
              </w:rPr>
            </w:pPr>
            <w:r w:rsidRPr="00B12FE0">
              <w:rPr>
                <w:rFonts w:ascii="宋体" w:hAnsi="宋体"/>
                <w:color w:val="000000" w:themeColor="text1"/>
                <w:sz w:val="21"/>
                <w:szCs w:val="21"/>
              </w:rPr>
              <w:t>中毒</w:t>
            </w:r>
          </w:p>
        </w:tc>
        <w:tc>
          <w:tcPr>
            <w:tcW w:w="5393" w:type="dxa"/>
            <w:tcBorders>
              <w:top w:val="single" w:sz="4" w:space="0" w:color="auto"/>
              <w:left w:val="single" w:sz="4" w:space="0" w:color="auto"/>
              <w:bottom w:val="single" w:sz="4" w:space="0" w:color="auto"/>
              <w:right w:val="single" w:sz="4" w:space="0" w:color="auto"/>
            </w:tcBorders>
            <w:vAlign w:val="center"/>
          </w:tcPr>
          <w:p w14:paraId="5D2A0266" w14:textId="77777777" w:rsidR="00A67F21" w:rsidRPr="00B12FE0" w:rsidRDefault="00000000">
            <w:pPr>
              <w:snapToGrid w:val="0"/>
              <w:contextualSpacing/>
              <w:jc w:val="center"/>
              <w:rPr>
                <w:color w:val="000000" w:themeColor="text1"/>
                <w:sz w:val="21"/>
                <w:szCs w:val="21"/>
              </w:rPr>
            </w:pPr>
            <w:r w:rsidRPr="00B12FE0">
              <w:rPr>
                <w:color w:val="000000" w:themeColor="text1"/>
                <w:sz w:val="21"/>
                <w:szCs w:val="21"/>
              </w:rPr>
              <w:t>0.1</w:t>
            </w:r>
          </w:p>
        </w:tc>
      </w:tr>
      <w:tr w:rsidR="00A67F21" w:rsidRPr="00B12FE0" w14:paraId="5CD1C046" w14:textId="77777777">
        <w:trPr>
          <w:jc w:val="center"/>
        </w:trPr>
        <w:tc>
          <w:tcPr>
            <w:tcW w:w="3623" w:type="dxa"/>
            <w:tcBorders>
              <w:top w:val="single" w:sz="4" w:space="0" w:color="auto"/>
              <w:left w:val="single" w:sz="4" w:space="0" w:color="auto"/>
              <w:bottom w:val="single" w:sz="4" w:space="0" w:color="auto"/>
              <w:right w:val="single" w:sz="4" w:space="0" w:color="auto"/>
            </w:tcBorders>
            <w:vAlign w:val="center"/>
          </w:tcPr>
          <w:p w14:paraId="4B5BB2AB" w14:textId="77777777" w:rsidR="00A67F21" w:rsidRPr="00B12FE0" w:rsidRDefault="00000000">
            <w:pPr>
              <w:snapToGrid w:val="0"/>
              <w:contextualSpacing/>
              <w:jc w:val="center"/>
              <w:rPr>
                <w:color w:val="000000" w:themeColor="text1"/>
                <w:sz w:val="21"/>
                <w:szCs w:val="21"/>
              </w:rPr>
            </w:pPr>
            <w:r w:rsidRPr="00B12FE0">
              <w:rPr>
                <w:rFonts w:ascii="宋体" w:hAnsi="宋体"/>
                <w:color w:val="000000" w:themeColor="text1"/>
                <w:sz w:val="21"/>
                <w:szCs w:val="21"/>
              </w:rPr>
              <w:t>低毒</w:t>
            </w:r>
          </w:p>
        </w:tc>
        <w:tc>
          <w:tcPr>
            <w:tcW w:w="5393" w:type="dxa"/>
            <w:tcBorders>
              <w:top w:val="single" w:sz="4" w:space="0" w:color="auto"/>
              <w:left w:val="single" w:sz="4" w:space="0" w:color="auto"/>
              <w:bottom w:val="single" w:sz="4" w:space="0" w:color="auto"/>
              <w:right w:val="single" w:sz="4" w:space="0" w:color="auto"/>
            </w:tcBorders>
            <w:vAlign w:val="center"/>
          </w:tcPr>
          <w:p w14:paraId="17E239D8" w14:textId="77777777" w:rsidR="00A67F21" w:rsidRPr="00B12FE0" w:rsidRDefault="00000000">
            <w:pPr>
              <w:snapToGrid w:val="0"/>
              <w:contextualSpacing/>
              <w:jc w:val="center"/>
              <w:rPr>
                <w:color w:val="000000" w:themeColor="text1"/>
                <w:sz w:val="21"/>
                <w:szCs w:val="21"/>
              </w:rPr>
            </w:pPr>
            <w:r w:rsidRPr="00B12FE0">
              <w:rPr>
                <w:color w:val="000000" w:themeColor="text1"/>
                <w:sz w:val="21"/>
                <w:szCs w:val="21"/>
              </w:rPr>
              <w:t>0.01</w:t>
            </w:r>
          </w:p>
        </w:tc>
      </w:tr>
    </w:tbl>
    <w:p w14:paraId="75CA2F18" w14:textId="77777777" w:rsidR="00A67F21" w:rsidRPr="00B12FE0" w:rsidRDefault="00000000">
      <w:pPr>
        <w:adjustRightInd w:val="0"/>
        <w:snapToGrid w:val="0"/>
        <w:spacing w:beforeLines="50" w:before="120"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10.1.1.4-2  </w:t>
      </w:r>
      <w:r w:rsidRPr="00B12FE0">
        <w:rPr>
          <w:rFonts w:ascii="宋体" w:hAnsi="宋体"/>
          <w:b/>
          <w:color w:val="000000" w:themeColor="text1"/>
          <w:sz w:val="21"/>
          <w:szCs w:val="21"/>
        </w:rPr>
        <w:t>操作方式与放射源状态修正因子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783"/>
        <w:gridCol w:w="1648"/>
        <w:gridCol w:w="1307"/>
        <w:gridCol w:w="2359"/>
      </w:tblGrid>
      <w:tr w:rsidR="00A67F21" w:rsidRPr="00B12FE0" w14:paraId="07F8386E" w14:textId="77777777">
        <w:trPr>
          <w:jc w:val="center"/>
        </w:trPr>
        <w:tc>
          <w:tcPr>
            <w:tcW w:w="1919" w:type="dxa"/>
            <w:vMerge w:val="restart"/>
            <w:tcBorders>
              <w:top w:val="single" w:sz="4" w:space="0" w:color="auto"/>
              <w:left w:val="single" w:sz="4" w:space="0" w:color="auto"/>
              <w:bottom w:val="single" w:sz="4" w:space="0" w:color="auto"/>
              <w:right w:val="single" w:sz="4" w:space="0" w:color="auto"/>
            </w:tcBorders>
            <w:vAlign w:val="center"/>
          </w:tcPr>
          <w:p w14:paraId="687D9A9C"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操作方式</w:t>
            </w:r>
          </w:p>
        </w:tc>
        <w:tc>
          <w:tcPr>
            <w:tcW w:w="7097" w:type="dxa"/>
            <w:gridSpan w:val="4"/>
            <w:tcBorders>
              <w:top w:val="single" w:sz="4" w:space="0" w:color="auto"/>
              <w:left w:val="single" w:sz="4" w:space="0" w:color="auto"/>
              <w:bottom w:val="single" w:sz="4" w:space="0" w:color="auto"/>
              <w:right w:val="single" w:sz="4" w:space="0" w:color="auto"/>
            </w:tcBorders>
            <w:vAlign w:val="center"/>
          </w:tcPr>
          <w:p w14:paraId="35A14C48"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放射源状态</w:t>
            </w:r>
          </w:p>
        </w:tc>
      </w:tr>
      <w:tr w:rsidR="00A67F21" w:rsidRPr="00B12FE0" w14:paraId="565DE517" w14:textId="77777777">
        <w:trPr>
          <w:jc w:val="center"/>
        </w:trPr>
        <w:tc>
          <w:tcPr>
            <w:tcW w:w="1919" w:type="dxa"/>
            <w:vMerge/>
            <w:tcBorders>
              <w:top w:val="single" w:sz="4" w:space="0" w:color="auto"/>
              <w:left w:val="single" w:sz="4" w:space="0" w:color="auto"/>
              <w:bottom w:val="single" w:sz="4" w:space="0" w:color="auto"/>
              <w:right w:val="single" w:sz="4" w:space="0" w:color="auto"/>
            </w:tcBorders>
            <w:vAlign w:val="center"/>
          </w:tcPr>
          <w:p w14:paraId="5899985F" w14:textId="77777777" w:rsidR="00A67F21" w:rsidRPr="00B12FE0" w:rsidRDefault="00A67F21">
            <w:pPr>
              <w:widowControl/>
              <w:jc w:val="left"/>
              <w:rPr>
                <w:color w:val="000000" w:themeColor="text1"/>
                <w:sz w:val="21"/>
                <w:szCs w:val="21"/>
              </w:rPr>
            </w:pPr>
          </w:p>
        </w:tc>
        <w:tc>
          <w:tcPr>
            <w:tcW w:w="1783" w:type="dxa"/>
            <w:tcBorders>
              <w:top w:val="single" w:sz="4" w:space="0" w:color="auto"/>
              <w:left w:val="single" w:sz="4" w:space="0" w:color="auto"/>
              <w:bottom w:val="single" w:sz="4" w:space="0" w:color="auto"/>
              <w:right w:val="single" w:sz="4" w:space="0" w:color="auto"/>
            </w:tcBorders>
            <w:vAlign w:val="center"/>
          </w:tcPr>
          <w:p w14:paraId="17774822"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表面污染水平较低的固体</w:t>
            </w:r>
          </w:p>
        </w:tc>
        <w:tc>
          <w:tcPr>
            <w:tcW w:w="1648" w:type="dxa"/>
            <w:tcBorders>
              <w:top w:val="single" w:sz="4" w:space="0" w:color="auto"/>
              <w:left w:val="single" w:sz="4" w:space="0" w:color="auto"/>
              <w:bottom w:val="single" w:sz="4" w:space="0" w:color="auto"/>
              <w:right w:val="single" w:sz="4" w:space="0" w:color="auto"/>
            </w:tcBorders>
            <w:vAlign w:val="center"/>
          </w:tcPr>
          <w:p w14:paraId="56170F1A"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液体、溶液、</w:t>
            </w:r>
          </w:p>
          <w:p w14:paraId="4DAB2E9D"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悬浮液</w:t>
            </w:r>
          </w:p>
        </w:tc>
        <w:tc>
          <w:tcPr>
            <w:tcW w:w="1307" w:type="dxa"/>
            <w:tcBorders>
              <w:top w:val="single" w:sz="4" w:space="0" w:color="auto"/>
              <w:left w:val="single" w:sz="4" w:space="0" w:color="auto"/>
              <w:bottom w:val="single" w:sz="4" w:space="0" w:color="auto"/>
              <w:right w:val="single" w:sz="4" w:space="0" w:color="auto"/>
            </w:tcBorders>
            <w:vAlign w:val="center"/>
          </w:tcPr>
          <w:p w14:paraId="3B281287"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表面有污染的固体</w:t>
            </w:r>
          </w:p>
        </w:tc>
        <w:tc>
          <w:tcPr>
            <w:tcW w:w="2359" w:type="dxa"/>
            <w:tcBorders>
              <w:top w:val="single" w:sz="4" w:space="0" w:color="auto"/>
              <w:left w:val="single" w:sz="4" w:space="0" w:color="auto"/>
              <w:bottom w:val="single" w:sz="4" w:space="0" w:color="auto"/>
              <w:right w:val="single" w:sz="4" w:space="0" w:color="auto"/>
            </w:tcBorders>
            <w:vAlign w:val="center"/>
          </w:tcPr>
          <w:p w14:paraId="0B5BA88D"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气体、蒸汽、粉末、压力很高的液体、固体</w:t>
            </w:r>
          </w:p>
        </w:tc>
      </w:tr>
      <w:tr w:rsidR="00A67F21" w:rsidRPr="00B12FE0" w14:paraId="07AE673B" w14:textId="77777777">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6B2A8236"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源的贮存</w:t>
            </w:r>
          </w:p>
        </w:tc>
        <w:tc>
          <w:tcPr>
            <w:tcW w:w="1783" w:type="dxa"/>
            <w:tcBorders>
              <w:top w:val="single" w:sz="4" w:space="0" w:color="auto"/>
              <w:left w:val="single" w:sz="4" w:space="0" w:color="auto"/>
              <w:bottom w:val="single" w:sz="4" w:space="0" w:color="auto"/>
              <w:right w:val="single" w:sz="4" w:space="0" w:color="auto"/>
            </w:tcBorders>
            <w:vAlign w:val="center"/>
          </w:tcPr>
          <w:p w14:paraId="58D2502B" w14:textId="77777777" w:rsidR="00A67F21" w:rsidRPr="00B12FE0" w:rsidRDefault="00000000">
            <w:pPr>
              <w:jc w:val="center"/>
              <w:rPr>
                <w:color w:val="000000" w:themeColor="text1"/>
                <w:sz w:val="21"/>
                <w:szCs w:val="21"/>
              </w:rPr>
            </w:pPr>
            <w:r w:rsidRPr="00B12FE0">
              <w:rPr>
                <w:color w:val="000000" w:themeColor="text1"/>
                <w:sz w:val="21"/>
                <w:szCs w:val="21"/>
              </w:rPr>
              <w:t>1000</w:t>
            </w:r>
          </w:p>
        </w:tc>
        <w:tc>
          <w:tcPr>
            <w:tcW w:w="1648" w:type="dxa"/>
            <w:tcBorders>
              <w:top w:val="single" w:sz="4" w:space="0" w:color="auto"/>
              <w:left w:val="single" w:sz="4" w:space="0" w:color="auto"/>
              <w:bottom w:val="single" w:sz="4" w:space="0" w:color="auto"/>
              <w:right w:val="single" w:sz="4" w:space="0" w:color="auto"/>
            </w:tcBorders>
            <w:vAlign w:val="center"/>
          </w:tcPr>
          <w:p w14:paraId="175A79E2" w14:textId="77777777" w:rsidR="00A67F21" w:rsidRPr="00B12FE0" w:rsidRDefault="00000000">
            <w:pPr>
              <w:jc w:val="center"/>
              <w:rPr>
                <w:color w:val="000000" w:themeColor="text1"/>
                <w:sz w:val="21"/>
                <w:szCs w:val="21"/>
              </w:rPr>
            </w:pPr>
            <w:r w:rsidRPr="00B12FE0">
              <w:rPr>
                <w:color w:val="000000" w:themeColor="text1"/>
                <w:sz w:val="21"/>
                <w:szCs w:val="21"/>
              </w:rPr>
              <w:t>100</w:t>
            </w:r>
          </w:p>
        </w:tc>
        <w:tc>
          <w:tcPr>
            <w:tcW w:w="1307" w:type="dxa"/>
            <w:tcBorders>
              <w:top w:val="single" w:sz="4" w:space="0" w:color="auto"/>
              <w:left w:val="single" w:sz="4" w:space="0" w:color="auto"/>
              <w:bottom w:val="single" w:sz="4" w:space="0" w:color="auto"/>
              <w:right w:val="single" w:sz="4" w:space="0" w:color="auto"/>
            </w:tcBorders>
            <w:vAlign w:val="center"/>
          </w:tcPr>
          <w:p w14:paraId="05029B09" w14:textId="77777777" w:rsidR="00A67F21" w:rsidRPr="00B12FE0" w:rsidRDefault="00000000">
            <w:pPr>
              <w:jc w:val="center"/>
              <w:rPr>
                <w:color w:val="000000" w:themeColor="text1"/>
                <w:sz w:val="21"/>
                <w:szCs w:val="21"/>
              </w:rPr>
            </w:pPr>
            <w:r w:rsidRPr="00B12FE0">
              <w:rPr>
                <w:color w:val="000000" w:themeColor="text1"/>
                <w:sz w:val="21"/>
                <w:szCs w:val="21"/>
              </w:rPr>
              <w:t>10</w:t>
            </w:r>
          </w:p>
        </w:tc>
        <w:tc>
          <w:tcPr>
            <w:tcW w:w="2359" w:type="dxa"/>
            <w:tcBorders>
              <w:top w:val="single" w:sz="4" w:space="0" w:color="auto"/>
              <w:left w:val="single" w:sz="4" w:space="0" w:color="auto"/>
              <w:bottom w:val="single" w:sz="4" w:space="0" w:color="auto"/>
              <w:right w:val="single" w:sz="4" w:space="0" w:color="auto"/>
            </w:tcBorders>
            <w:vAlign w:val="center"/>
          </w:tcPr>
          <w:p w14:paraId="50026A21" w14:textId="77777777" w:rsidR="00A67F21" w:rsidRPr="00B12FE0" w:rsidRDefault="00000000">
            <w:pPr>
              <w:jc w:val="center"/>
              <w:rPr>
                <w:color w:val="000000" w:themeColor="text1"/>
                <w:sz w:val="21"/>
                <w:szCs w:val="21"/>
              </w:rPr>
            </w:pPr>
            <w:r w:rsidRPr="00B12FE0">
              <w:rPr>
                <w:color w:val="000000" w:themeColor="text1"/>
                <w:sz w:val="21"/>
                <w:szCs w:val="21"/>
              </w:rPr>
              <w:t>1</w:t>
            </w:r>
          </w:p>
        </w:tc>
      </w:tr>
      <w:tr w:rsidR="00A67F21" w:rsidRPr="00B12FE0" w14:paraId="66B3564F" w14:textId="77777777">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8BB03D9"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很简单的操作</w:t>
            </w:r>
          </w:p>
        </w:tc>
        <w:tc>
          <w:tcPr>
            <w:tcW w:w="1783" w:type="dxa"/>
            <w:tcBorders>
              <w:top w:val="single" w:sz="4" w:space="0" w:color="auto"/>
              <w:left w:val="single" w:sz="4" w:space="0" w:color="auto"/>
              <w:bottom w:val="single" w:sz="4" w:space="0" w:color="auto"/>
              <w:right w:val="single" w:sz="4" w:space="0" w:color="auto"/>
            </w:tcBorders>
            <w:vAlign w:val="center"/>
          </w:tcPr>
          <w:p w14:paraId="498F6543" w14:textId="77777777" w:rsidR="00A67F21" w:rsidRPr="00B12FE0" w:rsidRDefault="00000000">
            <w:pPr>
              <w:jc w:val="center"/>
              <w:rPr>
                <w:color w:val="000000" w:themeColor="text1"/>
                <w:sz w:val="21"/>
                <w:szCs w:val="21"/>
              </w:rPr>
            </w:pPr>
            <w:r w:rsidRPr="00B12FE0">
              <w:rPr>
                <w:color w:val="000000" w:themeColor="text1"/>
                <w:sz w:val="21"/>
                <w:szCs w:val="21"/>
              </w:rPr>
              <w:t>100</w:t>
            </w:r>
          </w:p>
        </w:tc>
        <w:tc>
          <w:tcPr>
            <w:tcW w:w="1648" w:type="dxa"/>
            <w:tcBorders>
              <w:top w:val="single" w:sz="4" w:space="0" w:color="auto"/>
              <w:left w:val="single" w:sz="4" w:space="0" w:color="auto"/>
              <w:bottom w:val="single" w:sz="4" w:space="0" w:color="auto"/>
              <w:right w:val="single" w:sz="4" w:space="0" w:color="auto"/>
            </w:tcBorders>
            <w:vAlign w:val="center"/>
          </w:tcPr>
          <w:p w14:paraId="1D2C957B" w14:textId="77777777" w:rsidR="00A67F21" w:rsidRPr="00B12FE0" w:rsidRDefault="00000000">
            <w:pPr>
              <w:jc w:val="center"/>
              <w:rPr>
                <w:color w:val="000000" w:themeColor="text1"/>
                <w:sz w:val="21"/>
                <w:szCs w:val="21"/>
              </w:rPr>
            </w:pPr>
            <w:r w:rsidRPr="00B12FE0">
              <w:rPr>
                <w:color w:val="000000" w:themeColor="text1"/>
                <w:sz w:val="21"/>
                <w:szCs w:val="21"/>
              </w:rPr>
              <w:t>10</w:t>
            </w:r>
          </w:p>
        </w:tc>
        <w:tc>
          <w:tcPr>
            <w:tcW w:w="1307" w:type="dxa"/>
            <w:tcBorders>
              <w:top w:val="single" w:sz="4" w:space="0" w:color="auto"/>
              <w:left w:val="single" w:sz="4" w:space="0" w:color="auto"/>
              <w:bottom w:val="single" w:sz="4" w:space="0" w:color="auto"/>
              <w:right w:val="single" w:sz="4" w:space="0" w:color="auto"/>
            </w:tcBorders>
            <w:vAlign w:val="center"/>
          </w:tcPr>
          <w:p w14:paraId="526F56DD" w14:textId="77777777" w:rsidR="00A67F21" w:rsidRPr="00B12FE0" w:rsidRDefault="00000000">
            <w:pPr>
              <w:jc w:val="center"/>
              <w:rPr>
                <w:color w:val="000000" w:themeColor="text1"/>
                <w:sz w:val="21"/>
                <w:szCs w:val="21"/>
              </w:rPr>
            </w:pPr>
            <w:r w:rsidRPr="00B12FE0">
              <w:rPr>
                <w:color w:val="000000" w:themeColor="text1"/>
                <w:sz w:val="21"/>
                <w:szCs w:val="21"/>
              </w:rPr>
              <w:t>1</w:t>
            </w:r>
          </w:p>
        </w:tc>
        <w:tc>
          <w:tcPr>
            <w:tcW w:w="2359" w:type="dxa"/>
            <w:tcBorders>
              <w:top w:val="single" w:sz="4" w:space="0" w:color="auto"/>
              <w:left w:val="single" w:sz="4" w:space="0" w:color="auto"/>
              <w:bottom w:val="single" w:sz="4" w:space="0" w:color="auto"/>
              <w:right w:val="single" w:sz="4" w:space="0" w:color="auto"/>
            </w:tcBorders>
            <w:vAlign w:val="center"/>
          </w:tcPr>
          <w:p w14:paraId="14644B8F" w14:textId="77777777" w:rsidR="00A67F21" w:rsidRPr="00B12FE0" w:rsidRDefault="00000000">
            <w:pPr>
              <w:jc w:val="center"/>
              <w:rPr>
                <w:color w:val="000000" w:themeColor="text1"/>
                <w:sz w:val="21"/>
                <w:szCs w:val="21"/>
              </w:rPr>
            </w:pPr>
            <w:r w:rsidRPr="00B12FE0">
              <w:rPr>
                <w:color w:val="000000" w:themeColor="text1"/>
                <w:sz w:val="21"/>
                <w:szCs w:val="21"/>
              </w:rPr>
              <w:t>0.1</w:t>
            </w:r>
          </w:p>
        </w:tc>
      </w:tr>
      <w:tr w:rsidR="00A67F21" w:rsidRPr="00B12FE0" w14:paraId="7E5FAE09" w14:textId="77777777">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0902F8BB"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简单操作</w:t>
            </w:r>
          </w:p>
        </w:tc>
        <w:tc>
          <w:tcPr>
            <w:tcW w:w="1783" w:type="dxa"/>
            <w:tcBorders>
              <w:top w:val="single" w:sz="4" w:space="0" w:color="auto"/>
              <w:left w:val="single" w:sz="4" w:space="0" w:color="auto"/>
              <w:bottom w:val="single" w:sz="4" w:space="0" w:color="auto"/>
              <w:right w:val="single" w:sz="4" w:space="0" w:color="auto"/>
            </w:tcBorders>
            <w:vAlign w:val="center"/>
          </w:tcPr>
          <w:p w14:paraId="520CE437" w14:textId="77777777" w:rsidR="00A67F21" w:rsidRPr="00B12FE0" w:rsidRDefault="00000000">
            <w:pPr>
              <w:jc w:val="center"/>
              <w:rPr>
                <w:color w:val="000000" w:themeColor="text1"/>
                <w:sz w:val="21"/>
                <w:szCs w:val="21"/>
              </w:rPr>
            </w:pPr>
            <w:r w:rsidRPr="00B12FE0">
              <w:rPr>
                <w:color w:val="000000" w:themeColor="text1"/>
                <w:sz w:val="21"/>
                <w:szCs w:val="21"/>
              </w:rPr>
              <w:t>10</w:t>
            </w:r>
          </w:p>
        </w:tc>
        <w:tc>
          <w:tcPr>
            <w:tcW w:w="1648" w:type="dxa"/>
            <w:tcBorders>
              <w:top w:val="single" w:sz="4" w:space="0" w:color="auto"/>
              <w:left w:val="single" w:sz="4" w:space="0" w:color="auto"/>
              <w:bottom w:val="single" w:sz="4" w:space="0" w:color="auto"/>
              <w:right w:val="single" w:sz="4" w:space="0" w:color="auto"/>
            </w:tcBorders>
            <w:vAlign w:val="center"/>
          </w:tcPr>
          <w:p w14:paraId="539BFA5B" w14:textId="77777777" w:rsidR="00A67F21" w:rsidRPr="00B12FE0" w:rsidRDefault="00000000">
            <w:pPr>
              <w:jc w:val="center"/>
              <w:rPr>
                <w:color w:val="000000" w:themeColor="text1"/>
                <w:sz w:val="21"/>
                <w:szCs w:val="21"/>
              </w:rPr>
            </w:pPr>
            <w:r w:rsidRPr="00B12FE0">
              <w:rPr>
                <w:color w:val="000000" w:themeColor="text1"/>
                <w:sz w:val="21"/>
                <w:szCs w:val="21"/>
              </w:rPr>
              <w:t>1</w:t>
            </w:r>
          </w:p>
        </w:tc>
        <w:tc>
          <w:tcPr>
            <w:tcW w:w="1307" w:type="dxa"/>
            <w:tcBorders>
              <w:top w:val="single" w:sz="4" w:space="0" w:color="auto"/>
              <w:left w:val="single" w:sz="4" w:space="0" w:color="auto"/>
              <w:bottom w:val="single" w:sz="4" w:space="0" w:color="auto"/>
              <w:right w:val="single" w:sz="4" w:space="0" w:color="auto"/>
            </w:tcBorders>
            <w:vAlign w:val="center"/>
          </w:tcPr>
          <w:p w14:paraId="21E04FE0" w14:textId="77777777" w:rsidR="00A67F21" w:rsidRPr="00B12FE0" w:rsidRDefault="00000000">
            <w:pPr>
              <w:jc w:val="center"/>
              <w:rPr>
                <w:color w:val="000000" w:themeColor="text1"/>
                <w:sz w:val="21"/>
                <w:szCs w:val="21"/>
              </w:rPr>
            </w:pPr>
            <w:r w:rsidRPr="00B12FE0">
              <w:rPr>
                <w:color w:val="000000" w:themeColor="text1"/>
                <w:sz w:val="21"/>
                <w:szCs w:val="21"/>
              </w:rPr>
              <w:t>0.1</w:t>
            </w:r>
          </w:p>
        </w:tc>
        <w:tc>
          <w:tcPr>
            <w:tcW w:w="2359" w:type="dxa"/>
            <w:tcBorders>
              <w:top w:val="single" w:sz="4" w:space="0" w:color="auto"/>
              <w:left w:val="single" w:sz="4" w:space="0" w:color="auto"/>
              <w:bottom w:val="single" w:sz="4" w:space="0" w:color="auto"/>
              <w:right w:val="single" w:sz="4" w:space="0" w:color="auto"/>
            </w:tcBorders>
            <w:vAlign w:val="center"/>
          </w:tcPr>
          <w:p w14:paraId="3564FD8C" w14:textId="77777777" w:rsidR="00A67F21" w:rsidRPr="00B12FE0" w:rsidRDefault="00000000">
            <w:pPr>
              <w:jc w:val="center"/>
              <w:rPr>
                <w:color w:val="000000" w:themeColor="text1"/>
                <w:sz w:val="21"/>
                <w:szCs w:val="21"/>
              </w:rPr>
            </w:pPr>
            <w:r w:rsidRPr="00B12FE0">
              <w:rPr>
                <w:color w:val="000000" w:themeColor="text1"/>
                <w:sz w:val="21"/>
                <w:szCs w:val="21"/>
              </w:rPr>
              <w:t>0.01</w:t>
            </w:r>
          </w:p>
        </w:tc>
      </w:tr>
      <w:tr w:rsidR="00A67F21" w:rsidRPr="00B12FE0" w14:paraId="09FCF5D1" w14:textId="77777777">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37A488BB"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特别危险的操作</w:t>
            </w:r>
          </w:p>
        </w:tc>
        <w:tc>
          <w:tcPr>
            <w:tcW w:w="1783" w:type="dxa"/>
            <w:tcBorders>
              <w:top w:val="single" w:sz="4" w:space="0" w:color="auto"/>
              <w:left w:val="single" w:sz="4" w:space="0" w:color="auto"/>
              <w:bottom w:val="single" w:sz="4" w:space="0" w:color="auto"/>
              <w:right w:val="single" w:sz="4" w:space="0" w:color="auto"/>
            </w:tcBorders>
            <w:vAlign w:val="center"/>
          </w:tcPr>
          <w:p w14:paraId="3E1E3258" w14:textId="77777777" w:rsidR="00A67F21" w:rsidRPr="00B12FE0" w:rsidRDefault="00000000">
            <w:pPr>
              <w:jc w:val="center"/>
              <w:rPr>
                <w:color w:val="000000" w:themeColor="text1"/>
                <w:sz w:val="21"/>
                <w:szCs w:val="21"/>
              </w:rPr>
            </w:pPr>
            <w:r w:rsidRPr="00B12FE0">
              <w:rPr>
                <w:color w:val="000000" w:themeColor="text1"/>
                <w:sz w:val="21"/>
                <w:szCs w:val="21"/>
              </w:rPr>
              <w:t>1</w:t>
            </w:r>
          </w:p>
        </w:tc>
        <w:tc>
          <w:tcPr>
            <w:tcW w:w="1648" w:type="dxa"/>
            <w:tcBorders>
              <w:top w:val="single" w:sz="4" w:space="0" w:color="auto"/>
              <w:left w:val="single" w:sz="4" w:space="0" w:color="auto"/>
              <w:bottom w:val="single" w:sz="4" w:space="0" w:color="auto"/>
              <w:right w:val="single" w:sz="4" w:space="0" w:color="auto"/>
            </w:tcBorders>
            <w:vAlign w:val="center"/>
          </w:tcPr>
          <w:p w14:paraId="277E2D97" w14:textId="77777777" w:rsidR="00A67F21" w:rsidRPr="00B12FE0" w:rsidRDefault="00000000">
            <w:pPr>
              <w:jc w:val="center"/>
              <w:rPr>
                <w:color w:val="000000" w:themeColor="text1"/>
                <w:sz w:val="21"/>
                <w:szCs w:val="21"/>
              </w:rPr>
            </w:pPr>
            <w:r w:rsidRPr="00B12FE0">
              <w:rPr>
                <w:color w:val="000000" w:themeColor="text1"/>
                <w:sz w:val="21"/>
                <w:szCs w:val="21"/>
              </w:rPr>
              <w:t>0.1</w:t>
            </w:r>
          </w:p>
        </w:tc>
        <w:tc>
          <w:tcPr>
            <w:tcW w:w="1307" w:type="dxa"/>
            <w:tcBorders>
              <w:top w:val="single" w:sz="4" w:space="0" w:color="auto"/>
              <w:left w:val="single" w:sz="4" w:space="0" w:color="auto"/>
              <w:bottom w:val="single" w:sz="4" w:space="0" w:color="auto"/>
              <w:right w:val="single" w:sz="4" w:space="0" w:color="auto"/>
            </w:tcBorders>
            <w:vAlign w:val="center"/>
          </w:tcPr>
          <w:p w14:paraId="2EA7C89B" w14:textId="77777777" w:rsidR="00A67F21" w:rsidRPr="00B12FE0" w:rsidRDefault="00000000">
            <w:pPr>
              <w:jc w:val="center"/>
              <w:rPr>
                <w:color w:val="000000" w:themeColor="text1"/>
                <w:sz w:val="21"/>
                <w:szCs w:val="21"/>
              </w:rPr>
            </w:pPr>
            <w:r w:rsidRPr="00B12FE0">
              <w:rPr>
                <w:color w:val="000000" w:themeColor="text1"/>
                <w:sz w:val="21"/>
                <w:szCs w:val="21"/>
              </w:rPr>
              <w:t>0.01</w:t>
            </w:r>
          </w:p>
        </w:tc>
        <w:tc>
          <w:tcPr>
            <w:tcW w:w="2359" w:type="dxa"/>
            <w:tcBorders>
              <w:top w:val="single" w:sz="4" w:space="0" w:color="auto"/>
              <w:left w:val="single" w:sz="4" w:space="0" w:color="auto"/>
              <w:bottom w:val="single" w:sz="4" w:space="0" w:color="auto"/>
              <w:right w:val="single" w:sz="4" w:space="0" w:color="auto"/>
            </w:tcBorders>
            <w:vAlign w:val="center"/>
          </w:tcPr>
          <w:p w14:paraId="75C7B879" w14:textId="77777777" w:rsidR="00A67F21" w:rsidRPr="00B12FE0" w:rsidRDefault="00000000">
            <w:pPr>
              <w:jc w:val="center"/>
              <w:rPr>
                <w:color w:val="000000" w:themeColor="text1"/>
                <w:sz w:val="21"/>
                <w:szCs w:val="21"/>
              </w:rPr>
            </w:pPr>
            <w:r w:rsidRPr="00B12FE0">
              <w:rPr>
                <w:color w:val="000000" w:themeColor="text1"/>
                <w:sz w:val="21"/>
                <w:szCs w:val="21"/>
              </w:rPr>
              <w:t>0.001</w:t>
            </w:r>
          </w:p>
        </w:tc>
      </w:tr>
    </w:tbl>
    <w:p w14:paraId="486F1024" w14:textId="77777777" w:rsidR="00A67F21" w:rsidRPr="00B12FE0" w:rsidRDefault="00000000">
      <w:pPr>
        <w:spacing w:line="360" w:lineRule="auto"/>
        <w:contextualSpacing/>
        <w:jc w:val="center"/>
        <w:rPr>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10.1.1.4-3  </w:t>
      </w:r>
      <w:r w:rsidRPr="00B12FE0">
        <w:rPr>
          <w:rFonts w:ascii="宋体" w:hAnsi="宋体"/>
          <w:b/>
          <w:color w:val="000000" w:themeColor="text1"/>
          <w:sz w:val="21"/>
          <w:szCs w:val="21"/>
        </w:rPr>
        <w:t>本项目工作场所分级计算表</w:t>
      </w:r>
    </w:p>
    <w:tbl>
      <w:tblPr>
        <w:tblW w:w="9017" w:type="dxa"/>
        <w:jc w:val="center"/>
        <w:tblLayout w:type="fixed"/>
        <w:tblLook w:val="04A0" w:firstRow="1" w:lastRow="0" w:firstColumn="1" w:lastColumn="0" w:noHBand="0" w:noVBand="1"/>
      </w:tblPr>
      <w:tblGrid>
        <w:gridCol w:w="656"/>
        <w:gridCol w:w="1040"/>
        <w:gridCol w:w="910"/>
        <w:gridCol w:w="1155"/>
        <w:gridCol w:w="728"/>
        <w:gridCol w:w="725"/>
        <w:gridCol w:w="1162"/>
        <w:gridCol w:w="1050"/>
        <w:gridCol w:w="1090"/>
        <w:gridCol w:w="501"/>
      </w:tblGrid>
      <w:tr w:rsidR="00A67F21" w:rsidRPr="00B12FE0" w14:paraId="4EE711ED" w14:textId="77777777">
        <w:trPr>
          <w:trHeight w:val="1061"/>
          <w:jc w:val="center"/>
        </w:trPr>
        <w:tc>
          <w:tcPr>
            <w:tcW w:w="656" w:type="dxa"/>
            <w:tcBorders>
              <w:top w:val="single" w:sz="4" w:space="0" w:color="000000"/>
              <w:left w:val="single" w:sz="4" w:space="0" w:color="000000"/>
              <w:bottom w:val="single" w:sz="4" w:space="0" w:color="000000"/>
              <w:right w:val="single" w:sz="4" w:space="0" w:color="000000"/>
            </w:tcBorders>
            <w:noWrap/>
            <w:vAlign w:val="center"/>
          </w:tcPr>
          <w:p w14:paraId="67CB1E4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工作场所</w:t>
            </w:r>
          </w:p>
        </w:tc>
        <w:tc>
          <w:tcPr>
            <w:tcW w:w="1040" w:type="dxa"/>
            <w:tcBorders>
              <w:top w:val="single" w:sz="4" w:space="0" w:color="000000"/>
              <w:left w:val="nil"/>
              <w:bottom w:val="single" w:sz="4" w:space="0" w:color="000000"/>
              <w:right w:val="single" w:sz="4" w:space="0" w:color="000000"/>
            </w:tcBorders>
            <w:noWrap/>
            <w:vAlign w:val="center"/>
          </w:tcPr>
          <w:p w14:paraId="7655648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放射性核素名称</w:t>
            </w:r>
          </w:p>
        </w:tc>
        <w:tc>
          <w:tcPr>
            <w:tcW w:w="910" w:type="dxa"/>
            <w:tcBorders>
              <w:top w:val="single" w:sz="4" w:space="0" w:color="000000"/>
              <w:left w:val="nil"/>
              <w:bottom w:val="single" w:sz="4" w:space="0" w:color="000000"/>
              <w:right w:val="single" w:sz="4" w:space="0" w:color="000000"/>
            </w:tcBorders>
            <w:noWrap/>
            <w:vAlign w:val="center"/>
          </w:tcPr>
          <w:p w14:paraId="44FE8DF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活动种类</w:t>
            </w:r>
          </w:p>
        </w:tc>
        <w:tc>
          <w:tcPr>
            <w:tcW w:w="1155" w:type="dxa"/>
            <w:tcBorders>
              <w:top w:val="single" w:sz="4" w:space="0" w:color="000000"/>
              <w:left w:val="nil"/>
              <w:bottom w:val="single" w:sz="4" w:space="0" w:color="000000"/>
              <w:right w:val="single" w:sz="4" w:space="0" w:color="000000"/>
            </w:tcBorders>
            <w:noWrap/>
            <w:vAlign w:val="center"/>
          </w:tcPr>
          <w:p w14:paraId="749957E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计划日最大操作量（</w:t>
            </w:r>
            <w:r w:rsidRPr="00B12FE0">
              <w:rPr>
                <w:color w:val="000000" w:themeColor="text1"/>
                <w:kern w:val="0"/>
                <w:sz w:val="21"/>
                <w:szCs w:val="21"/>
              </w:rPr>
              <w:t>Bq</w:t>
            </w:r>
            <w:r w:rsidRPr="00B12FE0">
              <w:rPr>
                <w:rFonts w:ascii="宋体" w:hAnsi="宋体"/>
                <w:color w:val="000000" w:themeColor="text1"/>
                <w:kern w:val="0"/>
                <w:sz w:val="21"/>
                <w:szCs w:val="21"/>
              </w:rPr>
              <w:t>）</w:t>
            </w:r>
          </w:p>
        </w:tc>
        <w:tc>
          <w:tcPr>
            <w:tcW w:w="728" w:type="dxa"/>
            <w:tcBorders>
              <w:top w:val="single" w:sz="4" w:space="0" w:color="000000"/>
              <w:left w:val="nil"/>
              <w:bottom w:val="single" w:sz="4" w:space="0" w:color="000000"/>
              <w:right w:val="single" w:sz="4" w:space="0" w:color="000000"/>
            </w:tcBorders>
            <w:noWrap/>
            <w:vAlign w:val="center"/>
          </w:tcPr>
          <w:p w14:paraId="39CE3FF1" w14:textId="77777777" w:rsidR="00A67F21" w:rsidRPr="00B12FE0" w:rsidRDefault="00000000">
            <w:pPr>
              <w:widowControl/>
              <w:jc w:val="center"/>
              <w:textAlignment w:val="center"/>
              <w:rPr>
                <w:color w:val="000000" w:themeColor="text1"/>
                <w:kern w:val="0"/>
                <w:sz w:val="21"/>
                <w:szCs w:val="21"/>
              </w:rPr>
            </w:pPr>
            <w:r w:rsidRPr="00B12FE0">
              <w:rPr>
                <w:rFonts w:ascii="宋体" w:hAnsi="宋体"/>
                <w:color w:val="000000" w:themeColor="text1"/>
                <w:kern w:val="0"/>
                <w:sz w:val="21"/>
                <w:szCs w:val="21"/>
              </w:rPr>
              <w:t>毒性组别修正因子</w:t>
            </w:r>
          </w:p>
        </w:tc>
        <w:tc>
          <w:tcPr>
            <w:tcW w:w="725" w:type="dxa"/>
            <w:tcBorders>
              <w:top w:val="single" w:sz="4" w:space="0" w:color="000000"/>
              <w:left w:val="nil"/>
              <w:bottom w:val="single" w:sz="4" w:space="0" w:color="000000"/>
              <w:right w:val="single" w:sz="4" w:space="0" w:color="000000"/>
            </w:tcBorders>
            <w:noWrap/>
            <w:vAlign w:val="center"/>
          </w:tcPr>
          <w:p w14:paraId="3877C051" w14:textId="77777777" w:rsidR="00A67F21" w:rsidRPr="00B12FE0" w:rsidRDefault="00000000">
            <w:pPr>
              <w:widowControl/>
              <w:jc w:val="center"/>
              <w:textAlignment w:val="center"/>
              <w:rPr>
                <w:color w:val="000000" w:themeColor="text1"/>
                <w:kern w:val="0"/>
                <w:sz w:val="21"/>
                <w:szCs w:val="21"/>
              </w:rPr>
            </w:pPr>
            <w:r w:rsidRPr="00B12FE0">
              <w:rPr>
                <w:rFonts w:ascii="宋体" w:hAnsi="宋体"/>
                <w:color w:val="000000" w:themeColor="text1"/>
                <w:kern w:val="0"/>
                <w:sz w:val="21"/>
                <w:szCs w:val="21"/>
              </w:rPr>
              <w:t>操作方式修正因子</w:t>
            </w:r>
          </w:p>
        </w:tc>
        <w:tc>
          <w:tcPr>
            <w:tcW w:w="2212" w:type="dxa"/>
            <w:gridSpan w:val="2"/>
            <w:tcBorders>
              <w:top w:val="single" w:sz="4" w:space="0" w:color="000000"/>
              <w:left w:val="nil"/>
              <w:bottom w:val="single" w:sz="4" w:space="0" w:color="000000"/>
              <w:right w:val="single" w:sz="4" w:space="0" w:color="000000"/>
            </w:tcBorders>
            <w:noWrap/>
            <w:vAlign w:val="center"/>
          </w:tcPr>
          <w:p w14:paraId="6519AD0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日等效最大操作量（</w:t>
            </w:r>
            <w:r w:rsidRPr="00B12FE0">
              <w:rPr>
                <w:color w:val="000000" w:themeColor="text1"/>
                <w:kern w:val="0"/>
                <w:sz w:val="21"/>
                <w:szCs w:val="21"/>
              </w:rPr>
              <w:t>Bq</w:t>
            </w:r>
            <w:r w:rsidRPr="00B12FE0">
              <w:rPr>
                <w:rFonts w:ascii="宋体" w:hAnsi="宋体"/>
                <w:color w:val="000000" w:themeColor="text1"/>
                <w:kern w:val="0"/>
                <w:sz w:val="21"/>
                <w:szCs w:val="21"/>
              </w:rPr>
              <w:t>）</w:t>
            </w:r>
          </w:p>
        </w:tc>
        <w:tc>
          <w:tcPr>
            <w:tcW w:w="1090" w:type="dxa"/>
            <w:tcBorders>
              <w:top w:val="single" w:sz="4" w:space="0" w:color="000000"/>
              <w:left w:val="nil"/>
              <w:bottom w:val="single" w:sz="4" w:space="0" w:color="000000"/>
              <w:right w:val="single" w:sz="4" w:space="0" w:color="000000"/>
            </w:tcBorders>
            <w:noWrap/>
            <w:vAlign w:val="center"/>
          </w:tcPr>
          <w:p w14:paraId="250EE77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用途</w:t>
            </w:r>
          </w:p>
        </w:tc>
        <w:tc>
          <w:tcPr>
            <w:tcW w:w="501" w:type="dxa"/>
            <w:tcBorders>
              <w:top w:val="single" w:sz="4" w:space="0" w:color="000000"/>
              <w:left w:val="nil"/>
              <w:bottom w:val="single" w:sz="4" w:space="0" w:color="000000"/>
              <w:right w:val="single" w:sz="4" w:space="0" w:color="000000"/>
            </w:tcBorders>
            <w:noWrap/>
            <w:vAlign w:val="center"/>
          </w:tcPr>
          <w:p w14:paraId="47D198FE"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场所等级</w:t>
            </w:r>
          </w:p>
        </w:tc>
      </w:tr>
      <w:tr w:rsidR="00A67F21" w:rsidRPr="00B12FE0" w14:paraId="14F86525" w14:textId="77777777">
        <w:trPr>
          <w:trHeight w:val="90"/>
          <w:jc w:val="center"/>
        </w:trPr>
        <w:tc>
          <w:tcPr>
            <w:tcW w:w="656" w:type="dxa"/>
            <w:tcBorders>
              <w:top w:val="single" w:sz="4" w:space="0" w:color="000000"/>
              <w:left w:val="single" w:sz="4" w:space="0" w:color="000000"/>
              <w:bottom w:val="single" w:sz="4" w:space="0" w:color="000000"/>
              <w:right w:val="single" w:sz="4" w:space="0" w:color="000000"/>
            </w:tcBorders>
            <w:noWrap/>
            <w:vAlign w:val="center"/>
          </w:tcPr>
          <w:p w14:paraId="11A7A02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核素制备场所</w:t>
            </w:r>
          </w:p>
        </w:tc>
        <w:tc>
          <w:tcPr>
            <w:tcW w:w="1040" w:type="dxa"/>
            <w:tcBorders>
              <w:top w:val="single" w:sz="4" w:space="0" w:color="000000"/>
              <w:left w:val="nil"/>
              <w:bottom w:val="single" w:sz="4" w:space="0" w:color="000000"/>
              <w:right w:val="single" w:sz="4" w:space="0" w:color="000000"/>
            </w:tcBorders>
            <w:noWrap/>
            <w:vAlign w:val="center"/>
          </w:tcPr>
          <w:p w14:paraId="66B76642"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Cs w:val="24"/>
                <w:vertAlign w:val="superscript"/>
              </w:rPr>
              <w:t>18</w:t>
            </w:r>
            <w:r w:rsidRPr="00B12FE0">
              <w:rPr>
                <w:color w:val="000000" w:themeColor="text1"/>
                <w:sz w:val="21"/>
                <w:szCs w:val="21"/>
              </w:rPr>
              <w:t>F</w:t>
            </w:r>
          </w:p>
        </w:tc>
        <w:tc>
          <w:tcPr>
            <w:tcW w:w="910" w:type="dxa"/>
            <w:tcBorders>
              <w:top w:val="single" w:sz="4" w:space="0" w:color="000000"/>
              <w:left w:val="nil"/>
              <w:bottom w:val="single" w:sz="4" w:space="0" w:color="000000"/>
              <w:right w:val="single" w:sz="4" w:space="0" w:color="000000"/>
            </w:tcBorders>
            <w:noWrap/>
            <w:vAlign w:val="center"/>
          </w:tcPr>
          <w:p w14:paraId="24DAE25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生产</w:t>
            </w:r>
          </w:p>
        </w:tc>
        <w:tc>
          <w:tcPr>
            <w:tcW w:w="1155" w:type="dxa"/>
            <w:tcBorders>
              <w:top w:val="single" w:sz="4" w:space="0" w:color="000000"/>
              <w:left w:val="nil"/>
              <w:bottom w:val="single" w:sz="4" w:space="0" w:color="000000"/>
              <w:right w:val="single" w:sz="4" w:space="0" w:color="000000"/>
            </w:tcBorders>
            <w:noWrap/>
            <w:vAlign w:val="center"/>
          </w:tcPr>
          <w:p w14:paraId="7C2B1BA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728" w:type="dxa"/>
            <w:tcBorders>
              <w:top w:val="single" w:sz="4" w:space="0" w:color="000000"/>
              <w:left w:val="nil"/>
              <w:bottom w:val="single" w:sz="4" w:space="0" w:color="000000"/>
              <w:right w:val="single" w:sz="4" w:space="0" w:color="000000"/>
            </w:tcBorders>
            <w:noWrap/>
            <w:vAlign w:val="center"/>
          </w:tcPr>
          <w:p w14:paraId="1CD16210"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0.01</w:t>
            </w:r>
          </w:p>
        </w:tc>
        <w:tc>
          <w:tcPr>
            <w:tcW w:w="725" w:type="dxa"/>
            <w:tcBorders>
              <w:top w:val="single" w:sz="4" w:space="0" w:color="000000"/>
              <w:left w:val="nil"/>
              <w:bottom w:val="single" w:sz="4" w:space="0" w:color="000000"/>
              <w:right w:val="single" w:sz="4" w:space="0" w:color="000000"/>
            </w:tcBorders>
            <w:noWrap/>
            <w:vAlign w:val="center"/>
          </w:tcPr>
          <w:p w14:paraId="27ABCBDE"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2212" w:type="dxa"/>
            <w:gridSpan w:val="2"/>
            <w:tcBorders>
              <w:top w:val="single" w:sz="4" w:space="0" w:color="000000"/>
              <w:left w:val="nil"/>
              <w:bottom w:val="single" w:sz="4" w:space="0" w:color="000000"/>
              <w:right w:val="single" w:sz="4" w:space="0" w:color="000000"/>
            </w:tcBorders>
            <w:noWrap/>
            <w:vAlign w:val="center"/>
          </w:tcPr>
          <w:p w14:paraId="04B8C52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8</w:t>
            </w:r>
          </w:p>
        </w:tc>
        <w:tc>
          <w:tcPr>
            <w:tcW w:w="1090" w:type="dxa"/>
            <w:tcBorders>
              <w:top w:val="single" w:sz="4" w:space="0" w:color="000000"/>
              <w:left w:val="nil"/>
              <w:bottom w:val="single" w:sz="4" w:space="0" w:color="000000"/>
              <w:right w:val="single" w:sz="4" w:space="0" w:color="000000"/>
            </w:tcBorders>
            <w:noWrap/>
            <w:vAlign w:val="center"/>
          </w:tcPr>
          <w:p w14:paraId="3F6FA01D"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制备</w:t>
            </w:r>
            <w:r w:rsidRPr="00B12FE0">
              <w:rPr>
                <w:color w:val="000000" w:themeColor="text1"/>
                <w:kern w:val="0"/>
                <w:sz w:val="21"/>
                <w:szCs w:val="21"/>
              </w:rPr>
              <w:t>PET</w:t>
            </w:r>
            <w:r w:rsidRPr="00B12FE0">
              <w:rPr>
                <w:rFonts w:ascii="宋体" w:hAnsi="宋体"/>
                <w:color w:val="000000" w:themeColor="text1"/>
                <w:kern w:val="0"/>
                <w:sz w:val="21"/>
                <w:szCs w:val="21"/>
              </w:rPr>
              <w:t>用药物</w:t>
            </w:r>
          </w:p>
        </w:tc>
        <w:tc>
          <w:tcPr>
            <w:tcW w:w="501" w:type="dxa"/>
            <w:tcBorders>
              <w:top w:val="single" w:sz="4" w:space="0" w:color="000000"/>
              <w:left w:val="nil"/>
              <w:bottom w:val="single" w:sz="4" w:space="0" w:color="000000"/>
              <w:right w:val="single" w:sz="4" w:space="0" w:color="000000"/>
            </w:tcBorders>
            <w:noWrap/>
            <w:vAlign w:val="center"/>
          </w:tcPr>
          <w:p w14:paraId="385E4E8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乙级</w:t>
            </w:r>
          </w:p>
        </w:tc>
      </w:tr>
      <w:tr w:rsidR="00A67F21" w:rsidRPr="00B12FE0" w14:paraId="6565DBB0" w14:textId="77777777">
        <w:trPr>
          <w:trHeight w:val="535"/>
          <w:jc w:val="center"/>
        </w:trPr>
        <w:tc>
          <w:tcPr>
            <w:tcW w:w="656" w:type="dxa"/>
            <w:vMerge w:val="restart"/>
            <w:tcBorders>
              <w:top w:val="nil"/>
              <w:left w:val="single" w:sz="4" w:space="0" w:color="000000"/>
              <w:bottom w:val="single" w:sz="4" w:space="0" w:color="000000"/>
              <w:right w:val="single" w:sz="4" w:space="0" w:color="000000"/>
            </w:tcBorders>
            <w:noWrap/>
            <w:vAlign w:val="center"/>
          </w:tcPr>
          <w:p w14:paraId="184D01D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核素诊断场所</w:t>
            </w:r>
          </w:p>
        </w:tc>
        <w:tc>
          <w:tcPr>
            <w:tcW w:w="1040" w:type="dxa"/>
            <w:tcBorders>
              <w:top w:val="single" w:sz="4" w:space="0" w:color="000000"/>
              <w:left w:val="nil"/>
              <w:bottom w:val="single" w:sz="4" w:space="0" w:color="000000"/>
              <w:right w:val="single" w:sz="4" w:space="0" w:color="000000"/>
            </w:tcBorders>
            <w:vAlign w:val="center"/>
          </w:tcPr>
          <w:p w14:paraId="5D4BDD22"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szCs w:val="24"/>
                <w:vertAlign w:val="superscript"/>
              </w:rPr>
              <w:t>18</w:t>
            </w:r>
            <w:r w:rsidRPr="00B12FE0">
              <w:rPr>
                <w:color w:val="000000" w:themeColor="text1"/>
                <w:sz w:val="21"/>
                <w:szCs w:val="21"/>
              </w:rPr>
              <w:t>F</w:t>
            </w:r>
          </w:p>
        </w:tc>
        <w:tc>
          <w:tcPr>
            <w:tcW w:w="910" w:type="dxa"/>
            <w:tcBorders>
              <w:top w:val="single" w:sz="4" w:space="0" w:color="000000"/>
              <w:left w:val="nil"/>
              <w:bottom w:val="single" w:sz="4" w:space="0" w:color="000000"/>
              <w:right w:val="single" w:sz="4" w:space="0" w:color="000000"/>
            </w:tcBorders>
            <w:noWrap/>
            <w:vAlign w:val="center"/>
          </w:tcPr>
          <w:p w14:paraId="426F474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使用</w:t>
            </w:r>
          </w:p>
        </w:tc>
        <w:tc>
          <w:tcPr>
            <w:tcW w:w="1155" w:type="dxa"/>
            <w:tcBorders>
              <w:top w:val="single" w:sz="4" w:space="0" w:color="000000"/>
              <w:left w:val="nil"/>
              <w:bottom w:val="single" w:sz="4" w:space="0" w:color="000000"/>
              <w:right w:val="single" w:sz="4" w:space="0" w:color="000000"/>
            </w:tcBorders>
            <w:noWrap/>
            <w:vAlign w:val="center"/>
          </w:tcPr>
          <w:p w14:paraId="420D63A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10</w:t>
            </w:r>
          </w:p>
        </w:tc>
        <w:tc>
          <w:tcPr>
            <w:tcW w:w="728" w:type="dxa"/>
            <w:tcBorders>
              <w:top w:val="single" w:sz="4" w:space="0" w:color="000000"/>
              <w:left w:val="nil"/>
              <w:bottom w:val="single" w:sz="4" w:space="0" w:color="000000"/>
              <w:right w:val="single" w:sz="4" w:space="0" w:color="000000"/>
            </w:tcBorders>
            <w:noWrap/>
            <w:vAlign w:val="center"/>
          </w:tcPr>
          <w:p w14:paraId="16B4CBB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0.01</w:t>
            </w:r>
          </w:p>
        </w:tc>
        <w:tc>
          <w:tcPr>
            <w:tcW w:w="725" w:type="dxa"/>
            <w:tcBorders>
              <w:top w:val="single" w:sz="4" w:space="0" w:color="000000"/>
              <w:left w:val="nil"/>
              <w:bottom w:val="single" w:sz="4" w:space="0" w:color="000000"/>
              <w:right w:val="single" w:sz="4" w:space="0" w:color="000000"/>
            </w:tcBorders>
            <w:noWrap/>
            <w:vAlign w:val="center"/>
          </w:tcPr>
          <w:p w14:paraId="30F91C34"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10</w:t>
            </w:r>
          </w:p>
        </w:tc>
        <w:tc>
          <w:tcPr>
            <w:tcW w:w="1162" w:type="dxa"/>
            <w:tcBorders>
              <w:top w:val="single" w:sz="4" w:space="0" w:color="000000"/>
              <w:left w:val="nil"/>
              <w:bottom w:val="single" w:sz="4" w:space="0" w:color="000000"/>
              <w:right w:val="single" w:sz="4" w:space="0" w:color="000000"/>
            </w:tcBorders>
            <w:noWrap/>
            <w:vAlign w:val="center"/>
          </w:tcPr>
          <w:p w14:paraId="5FBBCB1C"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7</w:t>
            </w:r>
          </w:p>
        </w:tc>
        <w:tc>
          <w:tcPr>
            <w:tcW w:w="1050" w:type="dxa"/>
            <w:vMerge w:val="restart"/>
            <w:tcBorders>
              <w:top w:val="nil"/>
              <w:left w:val="nil"/>
              <w:bottom w:val="single" w:sz="4" w:space="0" w:color="000000"/>
              <w:right w:val="single" w:sz="4" w:space="0" w:color="000000"/>
            </w:tcBorders>
            <w:noWrap/>
            <w:vAlign w:val="center"/>
          </w:tcPr>
          <w:p w14:paraId="426BD14E"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7.59</w:t>
            </w:r>
            <w:r w:rsidRPr="00B12FE0">
              <w:rPr>
                <w:color w:val="000000" w:themeColor="text1"/>
                <w:sz w:val="21"/>
                <w:szCs w:val="21"/>
              </w:rPr>
              <w:t>×10</w:t>
            </w:r>
            <w:r w:rsidRPr="00B12FE0">
              <w:rPr>
                <w:rFonts w:hint="eastAsia"/>
                <w:color w:val="000000" w:themeColor="text1"/>
                <w:sz w:val="21"/>
                <w:szCs w:val="21"/>
                <w:vertAlign w:val="superscript"/>
              </w:rPr>
              <w:t>8</w:t>
            </w:r>
          </w:p>
        </w:tc>
        <w:tc>
          <w:tcPr>
            <w:tcW w:w="1090" w:type="dxa"/>
            <w:tcBorders>
              <w:top w:val="single" w:sz="4" w:space="0" w:color="000000"/>
              <w:left w:val="nil"/>
              <w:bottom w:val="single" w:sz="4" w:space="0" w:color="000000"/>
              <w:right w:val="single" w:sz="4" w:space="0" w:color="000000"/>
            </w:tcBorders>
            <w:noWrap/>
            <w:vAlign w:val="center"/>
          </w:tcPr>
          <w:p w14:paraId="3D4978E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PET</w:t>
            </w:r>
            <w:r w:rsidRPr="00B12FE0">
              <w:rPr>
                <w:rFonts w:hint="eastAsia"/>
                <w:color w:val="000000" w:themeColor="text1"/>
                <w:sz w:val="21"/>
                <w:szCs w:val="21"/>
              </w:rPr>
              <w:t>显像诊断</w:t>
            </w:r>
          </w:p>
        </w:tc>
        <w:tc>
          <w:tcPr>
            <w:tcW w:w="501" w:type="dxa"/>
            <w:vMerge w:val="restart"/>
            <w:tcBorders>
              <w:top w:val="single" w:sz="4" w:space="0" w:color="000000"/>
              <w:left w:val="nil"/>
              <w:bottom w:val="single" w:sz="4" w:space="0" w:color="000000"/>
              <w:right w:val="single" w:sz="4" w:space="0" w:color="000000"/>
            </w:tcBorders>
            <w:noWrap/>
            <w:vAlign w:val="center"/>
          </w:tcPr>
          <w:p w14:paraId="46AFE80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乙级</w:t>
            </w:r>
          </w:p>
        </w:tc>
      </w:tr>
      <w:tr w:rsidR="00A67F21" w:rsidRPr="00B12FE0" w14:paraId="5D411ADD" w14:textId="77777777">
        <w:trPr>
          <w:trHeight w:val="446"/>
          <w:jc w:val="center"/>
        </w:trPr>
        <w:tc>
          <w:tcPr>
            <w:tcW w:w="656" w:type="dxa"/>
            <w:vMerge/>
            <w:tcBorders>
              <w:top w:val="nil"/>
              <w:left w:val="single" w:sz="4" w:space="0" w:color="000000"/>
              <w:bottom w:val="single" w:sz="4" w:space="0" w:color="000000"/>
              <w:right w:val="single" w:sz="4" w:space="0" w:color="000000"/>
            </w:tcBorders>
            <w:vAlign w:val="center"/>
          </w:tcPr>
          <w:p w14:paraId="0FA9EC25" w14:textId="77777777" w:rsidR="00A67F21" w:rsidRPr="00B12FE0" w:rsidRDefault="00A67F21">
            <w:pPr>
              <w:widowControl/>
              <w:jc w:val="left"/>
              <w:rPr>
                <w:color w:val="000000" w:themeColor="text1"/>
                <w:sz w:val="21"/>
                <w:szCs w:val="21"/>
              </w:rPr>
            </w:pPr>
          </w:p>
        </w:tc>
        <w:tc>
          <w:tcPr>
            <w:tcW w:w="1040" w:type="dxa"/>
            <w:tcBorders>
              <w:top w:val="single" w:sz="4" w:space="0" w:color="000000"/>
              <w:left w:val="nil"/>
              <w:bottom w:val="single" w:sz="4" w:space="0" w:color="000000"/>
              <w:right w:val="single" w:sz="4" w:space="0" w:color="000000"/>
            </w:tcBorders>
            <w:noWrap/>
            <w:vAlign w:val="center"/>
          </w:tcPr>
          <w:p w14:paraId="04D50EE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99</w:t>
            </w:r>
            <w:r w:rsidRPr="00B12FE0">
              <w:rPr>
                <w:color w:val="000000" w:themeColor="text1"/>
                <w:sz w:val="21"/>
                <w:szCs w:val="21"/>
              </w:rPr>
              <w:t>Mo</w:t>
            </w:r>
            <w:r w:rsidRPr="00B12FE0">
              <w:rPr>
                <w:rFonts w:hint="eastAsia"/>
                <w:color w:val="000000" w:themeColor="text1"/>
                <w:sz w:val="21"/>
                <w:szCs w:val="21"/>
              </w:rPr>
              <w:t>-</w:t>
            </w:r>
            <w:r w:rsidRPr="00B12FE0">
              <w:rPr>
                <w:color w:val="000000" w:themeColor="text1"/>
                <w:sz w:val="21"/>
                <w:szCs w:val="21"/>
                <w:vertAlign w:val="superscript"/>
              </w:rPr>
              <w:t>99m</w:t>
            </w:r>
            <w:r w:rsidRPr="00B12FE0">
              <w:rPr>
                <w:color w:val="000000" w:themeColor="text1"/>
                <w:sz w:val="21"/>
                <w:szCs w:val="21"/>
              </w:rPr>
              <w:t>Tc</w:t>
            </w:r>
            <w:r w:rsidRPr="00B12FE0">
              <w:rPr>
                <w:rFonts w:ascii="宋体" w:hAnsi="宋体"/>
                <w:color w:val="000000" w:themeColor="text1"/>
                <w:sz w:val="21"/>
                <w:szCs w:val="21"/>
              </w:rPr>
              <w:t>（</w:t>
            </w:r>
            <w:proofErr w:type="gramStart"/>
            <w:r w:rsidRPr="00B12FE0">
              <w:rPr>
                <w:rFonts w:ascii="宋体" w:hAnsi="宋体"/>
                <w:color w:val="000000" w:themeColor="text1"/>
                <w:sz w:val="21"/>
                <w:szCs w:val="21"/>
              </w:rPr>
              <w:t>钼</w:t>
            </w:r>
            <w:proofErr w:type="gramEnd"/>
            <w:r w:rsidRPr="00B12FE0">
              <w:rPr>
                <w:rFonts w:ascii="宋体" w:hAnsi="宋体"/>
                <w:color w:val="000000" w:themeColor="text1"/>
                <w:sz w:val="21"/>
                <w:szCs w:val="21"/>
              </w:rPr>
              <w:t>锝发生器）</w:t>
            </w:r>
          </w:p>
        </w:tc>
        <w:tc>
          <w:tcPr>
            <w:tcW w:w="910" w:type="dxa"/>
            <w:tcBorders>
              <w:top w:val="single" w:sz="4" w:space="0" w:color="000000"/>
              <w:left w:val="nil"/>
              <w:bottom w:val="single" w:sz="4" w:space="0" w:color="000000"/>
              <w:right w:val="single" w:sz="4" w:space="0" w:color="000000"/>
            </w:tcBorders>
            <w:noWrap/>
            <w:vAlign w:val="center"/>
          </w:tcPr>
          <w:p w14:paraId="7CAA5882" w14:textId="77777777" w:rsidR="00A67F21" w:rsidRPr="00B12FE0" w:rsidRDefault="00000000">
            <w:pPr>
              <w:widowControl/>
              <w:jc w:val="center"/>
              <w:textAlignment w:val="center"/>
              <w:rPr>
                <w:color w:val="000000" w:themeColor="text1"/>
                <w:sz w:val="21"/>
                <w:szCs w:val="21"/>
              </w:rPr>
            </w:pPr>
            <w:r w:rsidRPr="00B12FE0">
              <w:rPr>
                <w:rFonts w:ascii="宋体" w:hAnsi="宋体" w:hint="eastAsia"/>
                <w:color w:val="000000" w:themeColor="text1"/>
                <w:kern w:val="0"/>
                <w:sz w:val="21"/>
                <w:szCs w:val="21"/>
              </w:rPr>
              <w:t>使用</w:t>
            </w:r>
          </w:p>
        </w:tc>
        <w:tc>
          <w:tcPr>
            <w:tcW w:w="1155" w:type="dxa"/>
            <w:tcBorders>
              <w:top w:val="single" w:sz="4" w:space="0" w:color="000000"/>
              <w:left w:val="nil"/>
              <w:bottom w:val="single" w:sz="4" w:space="0" w:color="000000"/>
              <w:right w:val="single" w:sz="4" w:space="0" w:color="000000"/>
            </w:tcBorders>
            <w:noWrap/>
            <w:vAlign w:val="center"/>
          </w:tcPr>
          <w:p w14:paraId="2E127F32"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728" w:type="dxa"/>
            <w:tcBorders>
              <w:top w:val="single" w:sz="4" w:space="0" w:color="000000"/>
              <w:left w:val="nil"/>
              <w:bottom w:val="single" w:sz="4" w:space="0" w:color="000000"/>
              <w:right w:val="single" w:sz="4" w:space="0" w:color="000000"/>
            </w:tcBorders>
            <w:noWrap/>
            <w:vAlign w:val="center"/>
          </w:tcPr>
          <w:p w14:paraId="16A66055"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0.1</w:t>
            </w:r>
          </w:p>
        </w:tc>
        <w:tc>
          <w:tcPr>
            <w:tcW w:w="725" w:type="dxa"/>
            <w:tcBorders>
              <w:top w:val="single" w:sz="4" w:space="0" w:color="000000"/>
              <w:left w:val="nil"/>
              <w:bottom w:val="single" w:sz="4" w:space="0" w:color="000000"/>
              <w:right w:val="single" w:sz="4" w:space="0" w:color="000000"/>
            </w:tcBorders>
            <w:noWrap/>
            <w:vAlign w:val="center"/>
          </w:tcPr>
          <w:p w14:paraId="07CA5514"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100</w:t>
            </w:r>
          </w:p>
        </w:tc>
        <w:tc>
          <w:tcPr>
            <w:tcW w:w="1162" w:type="dxa"/>
            <w:tcBorders>
              <w:top w:val="single" w:sz="4" w:space="0" w:color="000000"/>
              <w:left w:val="nil"/>
              <w:bottom w:val="single" w:sz="4" w:space="0" w:color="000000"/>
              <w:right w:val="single" w:sz="4" w:space="0" w:color="000000"/>
            </w:tcBorders>
            <w:noWrap/>
            <w:vAlign w:val="center"/>
          </w:tcPr>
          <w:p w14:paraId="782E9C9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7</w:t>
            </w:r>
          </w:p>
        </w:tc>
        <w:tc>
          <w:tcPr>
            <w:tcW w:w="1050" w:type="dxa"/>
            <w:vMerge/>
            <w:tcBorders>
              <w:top w:val="nil"/>
              <w:left w:val="nil"/>
              <w:bottom w:val="single" w:sz="4" w:space="0" w:color="000000"/>
              <w:right w:val="single" w:sz="4" w:space="0" w:color="000000"/>
            </w:tcBorders>
            <w:vAlign w:val="center"/>
          </w:tcPr>
          <w:p w14:paraId="2F39E270" w14:textId="77777777" w:rsidR="00A67F21" w:rsidRPr="00B12FE0" w:rsidRDefault="00A67F21">
            <w:pPr>
              <w:widowControl/>
              <w:jc w:val="left"/>
              <w:rPr>
                <w:color w:val="000000" w:themeColor="text1"/>
                <w:sz w:val="21"/>
                <w:szCs w:val="21"/>
              </w:rPr>
            </w:pPr>
          </w:p>
        </w:tc>
        <w:tc>
          <w:tcPr>
            <w:tcW w:w="1090" w:type="dxa"/>
            <w:tcBorders>
              <w:top w:val="single" w:sz="4" w:space="0" w:color="000000"/>
              <w:left w:val="nil"/>
              <w:bottom w:val="single" w:sz="4" w:space="0" w:color="000000"/>
              <w:right w:val="single" w:sz="4" w:space="0" w:color="000000"/>
            </w:tcBorders>
            <w:noWrap/>
            <w:vAlign w:val="center"/>
          </w:tcPr>
          <w:p w14:paraId="5AB0A227"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vertAlign w:val="superscript"/>
              </w:rPr>
              <w:t>99m</w:t>
            </w:r>
            <w:r w:rsidRPr="00B12FE0">
              <w:rPr>
                <w:color w:val="000000" w:themeColor="text1"/>
                <w:kern w:val="0"/>
                <w:sz w:val="21"/>
                <w:szCs w:val="21"/>
              </w:rPr>
              <w:t>Tc</w:t>
            </w:r>
          </w:p>
          <w:p w14:paraId="4549863D"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淋洗</w:t>
            </w:r>
          </w:p>
        </w:tc>
        <w:tc>
          <w:tcPr>
            <w:tcW w:w="501" w:type="dxa"/>
            <w:vMerge/>
            <w:tcBorders>
              <w:top w:val="single" w:sz="4" w:space="0" w:color="000000"/>
              <w:left w:val="nil"/>
              <w:bottom w:val="single" w:sz="4" w:space="0" w:color="000000"/>
              <w:right w:val="single" w:sz="4" w:space="0" w:color="000000"/>
            </w:tcBorders>
            <w:vAlign w:val="center"/>
          </w:tcPr>
          <w:p w14:paraId="30AFA45C" w14:textId="77777777" w:rsidR="00A67F21" w:rsidRPr="00B12FE0" w:rsidRDefault="00A67F21">
            <w:pPr>
              <w:widowControl/>
              <w:jc w:val="left"/>
              <w:rPr>
                <w:color w:val="000000" w:themeColor="text1"/>
                <w:sz w:val="21"/>
                <w:szCs w:val="21"/>
              </w:rPr>
            </w:pPr>
          </w:p>
        </w:tc>
      </w:tr>
      <w:tr w:rsidR="00A67F21" w:rsidRPr="00B12FE0" w14:paraId="2E8F88E9" w14:textId="77777777">
        <w:trPr>
          <w:trHeight w:val="446"/>
          <w:jc w:val="center"/>
        </w:trPr>
        <w:tc>
          <w:tcPr>
            <w:tcW w:w="656" w:type="dxa"/>
            <w:vMerge/>
            <w:tcBorders>
              <w:top w:val="nil"/>
              <w:left w:val="single" w:sz="4" w:space="0" w:color="000000"/>
              <w:bottom w:val="single" w:sz="4" w:space="0" w:color="000000"/>
              <w:right w:val="single" w:sz="4" w:space="0" w:color="000000"/>
            </w:tcBorders>
            <w:vAlign w:val="center"/>
          </w:tcPr>
          <w:p w14:paraId="25B06807" w14:textId="77777777" w:rsidR="00A67F21" w:rsidRPr="00B12FE0" w:rsidRDefault="00A67F21">
            <w:pPr>
              <w:widowControl/>
              <w:jc w:val="left"/>
              <w:rPr>
                <w:color w:val="000000" w:themeColor="text1"/>
                <w:sz w:val="21"/>
                <w:szCs w:val="21"/>
              </w:rPr>
            </w:pPr>
          </w:p>
        </w:tc>
        <w:tc>
          <w:tcPr>
            <w:tcW w:w="1040" w:type="dxa"/>
            <w:tcBorders>
              <w:top w:val="single" w:sz="4" w:space="0" w:color="000000"/>
              <w:left w:val="nil"/>
              <w:bottom w:val="single" w:sz="4" w:space="0" w:color="000000"/>
              <w:right w:val="single" w:sz="4" w:space="0" w:color="000000"/>
            </w:tcBorders>
            <w:noWrap/>
            <w:vAlign w:val="center"/>
          </w:tcPr>
          <w:p w14:paraId="7B93A2EA"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 w:val="21"/>
                <w:szCs w:val="21"/>
                <w:vertAlign w:val="superscript"/>
              </w:rPr>
              <w:t>99m</w:t>
            </w:r>
            <w:r w:rsidRPr="00B12FE0">
              <w:rPr>
                <w:color w:val="000000" w:themeColor="text1"/>
                <w:sz w:val="21"/>
                <w:szCs w:val="21"/>
              </w:rPr>
              <w:t>Tc</w:t>
            </w:r>
          </w:p>
        </w:tc>
        <w:tc>
          <w:tcPr>
            <w:tcW w:w="910" w:type="dxa"/>
            <w:tcBorders>
              <w:top w:val="single" w:sz="4" w:space="0" w:color="000000"/>
              <w:left w:val="nil"/>
              <w:bottom w:val="single" w:sz="4" w:space="0" w:color="000000"/>
              <w:right w:val="single" w:sz="4" w:space="0" w:color="000000"/>
            </w:tcBorders>
            <w:noWrap/>
            <w:vAlign w:val="center"/>
          </w:tcPr>
          <w:p w14:paraId="69DDEB0F"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生产、</w:t>
            </w:r>
            <w:r w:rsidRPr="00B12FE0">
              <w:rPr>
                <w:rFonts w:ascii="宋体" w:hAnsi="宋体"/>
                <w:color w:val="000000" w:themeColor="text1"/>
                <w:kern w:val="0"/>
                <w:sz w:val="21"/>
                <w:szCs w:val="21"/>
              </w:rPr>
              <w:t>使用</w:t>
            </w:r>
          </w:p>
        </w:tc>
        <w:tc>
          <w:tcPr>
            <w:tcW w:w="1155" w:type="dxa"/>
            <w:tcBorders>
              <w:top w:val="single" w:sz="4" w:space="0" w:color="000000"/>
              <w:left w:val="nil"/>
              <w:bottom w:val="single" w:sz="4" w:space="0" w:color="000000"/>
              <w:right w:val="single" w:sz="4" w:space="0" w:color="000000"/>
            </w:tcBorders>
            <w:noWrap/>
            <w:vAlign w:val="center"/>
          </w:tcPr>
          <w:p w14:paraId="018F88A0"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color w:val="000000" w:themeColor="text1"/>
                <w:sz w:val="21"/>
                <w:szCs w:val="21"/>
                <w:vertAlign w:val="superscript"/>
              </w:rPr>
              <w:t>10</w:t>
            </w:r>
          </w:p>
        </w:tc>
        <w:tc>
          <w:tcPr>
            <w:tcW w:w="728" w:type="dxa"/>
            <w:tcBorders>
              <w:top w:val="single" w:sz="4" w:space="0" w:color="000000"/>
              <w:left w:val="nil"/>
              <w:bottom w:val="single" w:sz="4" w:space="0" w:color="000000"/>
              <w:right w:val="single" w:sz="4" w:space="0" w:color="000000"/>
            </w:tcBorders>
            <w:noWrap/>
            <w:vAlign w:val="center"/>
          </w:tcPr>
          <w:p w14:paraId="7A79245C"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0.01</w:t>
            </w:r>
          </w:p>
        </w:tc>
        <w:tc>
          <w:tcPr>
            <w:tcW w:w="725" w:type="dxa"/>
            <w:tcBorders>
              <w:top w:val="single" w:sz="4" w:space="0" w:color="000000"/>
              <w:left w:val="nil"/>
              <w:bottom w:val="single" w:sz="4" w:space="0" w:color="000000"/>
              <w:right w:val="single" w:sz="4" w:space="0" w:color="000000"/>
            </w:tcBorders>
            <w:noWrap/>
            <w:vAlign w:val="center"/>
          </w:tcPr>
          <w:p w14:paraId="1474CD25"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w:t>
            </w:r>
          </w:p>
        </w:tc>
        <w:tc>
          <w:tcPr>
            <w:tcW w:w="1162" w:type="dxa"/>
            <w:tcBorders>
              <w:top w:val="single" w:sz="4" w:space="0" w:color="000000"/>
              <w:left w:val="nil"/>
              <w:bottom w:val="single" w:sz="4" w:space="0" w:color="000000"/>
              <w:right w:val="single" w:sz="4" w:space="0" w:color="000000"/>
            </w:tcBorders>
            <w:noWrap/>
            <w:vAlign w:val="center"/>
          </w:tcPr>
          <w:p w14:paraId="5FEEBCDC"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rFonts w:hint="eastAsia"/>
                <w:color w:val="000000" w:themeColor="text1"/>
                <w:sz w:val="21"/>
                <w:szCs w:val="21"/>
                <w:vertAlign w:val="superscript"/>
              </w:rPr>
              <w:t>8</w:t>
            </w:r>
          </w:p>
        </w:tc>
        <w:tc>
          <w:tcPr>
            <w:tcW w:w="1050" w:type="dxa"/>
            <w:vMerge/>
            <w:tcBorders>
              <w:top w:val="nil"/>
              <w:left w:val="nil"/>
              <w:bottom w:val="single" w:sz="4" w:space="0" w:color="000000"/>
              <w:right w:val="single" w:sz="4" w:space="0" w:color="000000"/>
            </w:tcBorders>
            <w:vAlign w:val="center"/>
          </w:tcPr>
          <w:p w14:paraId="64D03B81" w14:textId="77777777" w:rsidR="00A67F21" w:rsidRPr="00B12FE0" w:rsidRDefault="00A67F21">
            <w:pPr>
              <w:widowControl/>
              <w:jc w:val="left"/>
              <w:rPr>
                <w:color w:val="000000" w:themeColor="text1"/>
                <w:sz w:val="21"/>
                <w:szCs w:val="21"/>
              </w:rPr>
            </w:pPr>
          </w:p>
        </w:tc>
        <w:tc>
          <w:tcPr>
            <w:tcW w:w="1090" w:type="dxa"/>
            <w:tcBorders>
              <w:top w:val="single" w:sz="4" w:space="0" w:color="000000"/>
              <w:left w:val="nil"/>
              <w:bottom w:val="single" w:sz="4" w:space="0" w:color="000000"/>
              <w:right w:val="single" w:sz="4" w:space="0" w:color="000000"/>
            </w:tcBorders>
            <w:noWrap/>
            <w:vAlign w:val="center"/>
          </w:tcPr>
          <w:p w14:paraId="2387C02C" w14:textId="77777777" w:rsidR="00A67F21" w:rsidRPr="00B12FE0" w:rsidRDefault="00000000">
            <w:pPr>
              <w:widowControl/>
              <w:jc w:val="center"/>
              <w:textAlignment w:val="center"/>
              <w:rPr>
                <w:color w:val="000000" w:themeColor="text1"/>
                <w:kern w:val="0"/>
                <w:sz w:val="21"/>
                <w:szCs w:val="21"/>
                <w:vertAlign w:val="superscript"/>
              </w:rPr>
            </w:pPr>
            <w:r w:rsidRPr="00B12FE0">
              <w:rPr>
                <w:color w:val="000000" w:themeColor="text1"/>
                <w:sz w:val="21"/>
                <w:szCs w:val="21"/>
              </w:rPr>
              <w:t>SPECT</w:t>
            </w:r>
            <w:r w:rsidRPr="00B12FE0">
              <w:rPr>
                <w:rFonts w:hint="eastAsia"/>
                <w:color w:val="000000" w:themeColor="text1"/>
                <w:sz w:val="21"/>
                <w:szCs w:val="21"/>
              </w:rPr>
              <w:t>显像诊断</w:t>
            </w:r>
          </w:p>
        </w:tc>
        <w:tc>
          <w:tcPr>
            <w:tcW w:w="501" w:type="dxa"/>
            <w:vMerge/>
            <w:tcBorders>
              <w:top w:val="single" w:sz="4" w:space="0" w:color="000000"/>
              <w:left w:val="nil"/>
              <w:bottom w:val="single" w:sz="4" w:space="0" w:color="000000"/>
              <w:right w:val="single" w:sz="4" w:space="0" w:color="000000"/>
            </w:tcBorders>
            <w:vAlign w:val="center"/>
          </w:tcPr>
          <w:p w14:paraId="29E41893" w14:textId="77777777" w:rsidR="00A67F21" w:rsidRPr="00B12FE0" w:rsidRDefault="00A67F21">
            <w:pPr>
              <w:widowControl/>
              <w:jc w:val="left"/>
              <w:rPr>
                <w:color w:val="000000" w:themeColor="text1"/>
                <w:sz w:val="21"/>
                <w:szCs w:val="21"/>
              </w:rPr>
            </w:pPr>
          </w:p>
        </w:tc>
      </w:tr>
      <w:tr w:rsidR="00A67F21" w:rsidRPr="00B12FE0" w14:paraId="1575F43A" w14:textId="77777777">
        <w:trPr>
          <w:trHeight w:val="446"/>
          <w:jc w:val="center"/>
        </w:trPr>
        <w:tc>
          <w:tcPr>
            <w:tcW w:w="656" w:type="dxa"/>
            <w:vMerge/>
            <w:tcBorders>
              <w:top w:val="nil"/>
              <w:left w:val="single" w:sz="4" w:space="0" w:color="000000"/>
              <w:bottom w:val="single" w:sz="4" w:space="0" w:color="000000"/>
              <w:right w:val="single" w:sz="4" w:space="0" w:color="000000"/>
            </w:tcBorders>
            <w:vAlign w:val="center"/>
          </w:tcPr>
          <w:p w14:paraId="53840D63" w14:textId="77777777" w:rsidR="00A67F21" w:rsidRPr="00B12FE0" w:rsidRDefault="00A67F21">
            <w:pPr>
              <w:widowControl/>
              <w:jc w:val="left"/>
              <w:rPr>
                <w:color w:val="000000" w:themeColor="text1"/>
                <w:sz w:val="21"/>
                <w:szCs w:val="21"/>
              </w:rPr>
            </w:pPr>
          </w:p>
        </w:tc>
        <w:tc>
          <w:tcPr>
            <w:tcW w:w="1040" w:type="dxa"/>
            <w:tcBorders>
              <w:top w:val="single" w:sz="4" w:space="0" w:color="000000"/>
              <w:left w:val="nil"/>
              <w:bottom w:val="single" w:sz="4" w:space="0" w:color="000000"/>
              <w:right w:val="single" w:sz="4" w:space="0" w:color="000000"/>
            </w:tcBorders>
            <w:noWrap/>
            <w:vAlign w:val="center"/>
          </w:tcPr>
          <w:p w14:paraId="0C027864" w14:textId="77777777" w:rsidR="00A67F21" w:rsidRPr="00B12FE0" w:rsidRDefault="00000000">
            <w:pPr>
              <w:widowControl/>
              <w:jc w:val="center"/>
              <w:textAlignment w:val="center"/>
              <w:rPr>
                <w:color w:val="000000" w:themeColor="text1"/>
                <w:sz w:val="21"/>
                <w:szCs w:val="21"/>
                <w:vertAlign w:val="superscript"/>
              </w:rPr>
            </w:pPr>
            <w:r w:rsidRPr="00B12FE0">
              <w:rPr>
                <w:rFonts w:hint="eastAsia"/>
                <w:color w:val="000000" w:themeColor="text1"/>
                <w:sz w:val="21"/>
                <w:szCs w:val="21"/>
                <w:vertAlign w:val="superscript"/>
              </w:rPr>
              <w:t>32</w:t>
            </w:r>
            <w:r w:rsidRPr="00B12FE0">
              <w:rPr>
                <w:rFonts w:hint="eastAsia"/>
                <w:color w:val="000000" w:themeColor="text1"/>
                <w:sz w:val="21"/>
                <w:szCs w:val="21"/>
              </w:rPr>
              <w:t>P</w:t>
            </w:r>
            <w:r w:rsidRPr="00B12FE0">
              <w:rPr>
                <w:color w:val="000000" w:themeColor="text1"/>
                <w:sz w:val="21"/>
                <w:szCs w:val="21"/>
                <w:vertAlign w:val="superscript"/>
              </w:rPr>
              <w:t xml:space="preserve"> </w:t>
            </w:r>
          </w:p>
        </w:tc>
        <w:tc>
          <w:tcPr>
            <w:tcW w:w="910" w:type="dxa"/>
            <w:tcBorders>
              <w:top w:val="single" w:sz="4" w:space="0" w:color="000000"/>
              <w:left w:val="nil"/>
              <w:bottom w:val="single" w:sz="4" w:space="0" w:color="000000"/>
              <w:right w:val="single" w:sz="4" w:space="0" w:color="000000"/>
            </w:tcBorders>
            <w:noWrap/>
            <w:vAlign w:val="center"/>
          </w:tcPr>
          <w:p w14:paraId="55D15D9B"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hint="eastAsia"/>
                <w:color w:val="000000" w:themeColor="text1"/>
                <w:kern w:val="0"/>
                <w:sz w:val="21"/>
                <w:szCs w:val="21"/>
              </w:rPr>
              <w:t>使用</w:t>
            </w:r>
          </w:p>
        </w:tc>
        <w:tc>
          <w:tcPr>
            <w:tcW w:w="1155" w:type="dxa"/>
            <w:tcBorders>
              <w:top w:val="single" w:sz="4" w:space="0" w:color="000000"/>
              <w:left w:val="nil"/>
              <w:bottom w:val="single" w:sz="4" w:space="0" w:color="000000"/>
              <w:right w:val="single" w:sz="4" w:space="0" w:color="000000"/>
            </w:tcBorders>
            <w:noWrap/>
            <w:vAlign w:val="center"/>
          </w:tcPr>
          <w:p w14:paraId="5C00F5DF"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728" w:type="dxa"/>
            <w:tcBorders>
              <w:top w:val="single" w:sz="4" w:space="0" w:color="000000"/>
              <w:left w:val="nil"/>
              <w:bottom w:val="single" w:sz="4" w:space="0" w:color="000000"/>
              <w:right w:val="single" w:sz="4" w:space="0" w:color="000000"/>
            </w:tcBorders>
            <w:noWrap/>
            <w:vAlign w:val="center"/>
          </w:tcPr>
          <w:p w14:paraId="2BE561CD"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0.1</w:t>
            </w:r>
          </w:p>
        </w:tc>
        <w:tc>
          <w:tcPr>
            <w:tcW w:w="725" w:type="dxa"/>
            <w:tcBorders>
              <w:top w:val="single" w:sz="4" w:space="0" w:color="000000"/>
              <w:left w:val="nil"/>
              <w:bottom w:val="single" w:sz="4" w:space="0" w:color="000000"/>
              <w:right w:val="single" w:sz="4" w:space="0" w:color="000000"/>
            </w:tcBorders>
            <w:noWrap/>
            <w:vAlign w:val="center"/>
          </w:tcPr>
          <w:p w14:paraId="19E5BDA2"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w:t>
            </w:r>
          </w:p>
        </w:tc>
        <w:tc>
          <w:tcPr>
            <w:tcW w:w="1162" w:type="dxa"/>
            <w:tcBorders>
              <w:top w:val="single" w:sz="4" w:space="0" w:color="000000"/>
              <w:left w:val="nil"/>
              <w:bottom w:val="single" w:sz="4" w:space="0" w:color="000000"/>
              <w:right w:val="single" w:sz="4" w:space="0" w:color="000000"/>
            </w:tcBorders>
            <w:noWrap/>
            <w:vAlign w:val="center"/>
          </w:tcPr>
          <w:p w14:paraId="1DA8A042"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7</w:t>
            </w:r>
          </w:p>
        </w:tc>
        <w:tc>
          <w:tcPr>
            <w:tcW w:w="1050" w:type="dxa"/>
            <w:vMerge/>
            <w:tcBorders>
              <w:top w:val="nil"/>
              <w:left w:val="nil"/>
              <w:bottom w:val="single" w:sz="4" w:space="0" w:color="000000"/>
              <w:right w:val="single" w:sz="4" w:space="0" w:color="000000"/>
            </w:tcBorders>
            <w:vAlign w:val="center"/>
          </w:tcPr>
          <w:p w14:paraId="6918C47D" w14:textId="77777777" w:rsidR="00A67F21" w:rsidRPr="00B12FE0" w:rsidRDefault="00A67F21">
            <w:pPr>
              <w:widowControl/>
              <w:jc w:val="left"/>
              <w:rPr>
                <w:color w:val="000000" w:themeColor="text1"/>
                <w:sz w:val="21"/>
                <w:szCs w:val="21"/>
              </w:rPr>
            </w:pPr>
          </w:p>
        </w:tc>
        <w:tc>
          <w:tcPr>
            <w:tcW w:w="1090" w:type="dxa"/>
            <w:tcBorders>
              <w:top w:val="single" w:sz="4" w:space="0" w:color="000000"/>
              <w:left w:val="nil"/>
              <w:bottom w:val="single" w:sz="4" w:space="0" w:color="000000"/>
              <w:right w:val="single" w:sz="4" w:space="0" w:color="000000"/>
            </w:tcBorders>
            <w:noWrap/>
            <w:vAlign w:val="center"/>
          </w:tcPr>
          <w:p w14:paraId="7636D84F"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敷贴</w:t>
            </w:r>
          </w:p>
        </w:tc>
        <w:tc>
          <w:tcPr>
            <w:tcW w:w="501" w:type="dxa"/>
            <w:vMerge/>
            <w:tcBorders>
              <w:top w:val="single" w:sz="4" w:space="0" w:color="000000"/>
              <w:left w:val="nil"/>
              <w:bottom w:val="single" w:sz="4" w:space="0" w:color="000000"/>
              <w:right w:val="single" w:sz="4" w:space="0" w:color="000000"/>
            </w:tcBorders>
            <w:vAlign w:val="center"/>
          </w:tcPr>
          <w:p w14:paraId="311533EE" w14:textId="77777777" w:rsidR="00A67F21" w:rsidRPr="00B12FE0" w:rsidRDefault="00A67F21">
            <w:pPr>
              <w:widowControl/>
              <w:jc w:val="left"/>
              <w:rPr>
                <w:color w:val="000000" w:themeColor="text1"/>
                <w:sz w:val="21"/>
                <w:szCs w:val="21"/>
              </w:rPr>
            </w:pPr>
          </w:p>
        </w:tc>
      </w:tr>
      <w:tr w:rsidR="00A67F21" w:rsidRPr="00B12FE0" w14:paraId="0E1E89D3" w14:textId="77777777">
        <w:trPr>
          <w:trHeight w:val="446"/>
          <w:jc w:val="center"/>
        </w:trPr>
        <w:tc>
          <w:tcPr>
            <w:tcW w:w="656" w:type="dxa"/>
            <w:vMerge/>
            <w:tcBorders>
              <w:top w:val="nil"/>
              <w:left w:val="single" w:sz="4" w:space="0" w:color="000000"/>
              <w:bottom w:val="single" w:sz="4" w:space="0" w:color="000000"/>
              <w:right w:val="single" w:sz="4" w:space="0" w:color="000000"/>
            </w:tcBorders>
            <w:vAlign w:val="center"/>
          </w:tcPr>
          <w:p w14:paraId="6927027A" w14:textId="77777777" w:rsidR="00A67F21" w:rsidRPr="00B12FE0" w:rsidRDefault="00A67F21">
            <w:pPr>
              <w:widowControl/>
              <w:jc w:val="left"/>
              <w:rPr>
                <w:color w:val="000000" w:themeColor="text1"/>
                <w:sz w:val="21"/>
                <w:szCs w:val="21"/>
              </w:rPr>
            </w:pPr>
          </w:p>
        </w:tc>
        <w:tc>
          <w:tcPr>
            <w:tcW w:w="1040" w:type="dxa"/>
            <w:tcBorders>
              <w:top w:val="single" w:sz="4" w:space="0" w:color="000000"/>
              <w:left w:val="nil"/>
              <w:bottom w:val="single" w:sz="4" w:space="0" w:color="000000"/>
              <w:right w:val="single" w:sz="4" w:space="0" w:color="000000"/>
            </w:tcBorders>
            <w:noWrap/>
            <w:vAlign w:val="center"/>
          </w:tcPr>
          <w:p w14:paraId="1896DF02"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甲测</w:t>
            </w:r>
            <w:proofErr w:type="gramEnd"/>
          </w:p>
        </w:tc>
        <w:tc>
          <w:tcPr>
            <w:tcW w:w="910" w:type="dxa"/>
            <w:tcBorders>
              <w:top w:val="single" w:sz="4" w:space="0" w:color="000000"/>
              <w:left w:val="nil"/>
              <w:bottom w:val="single" w:sz="4" w:space="0" w:color="000000"/>
              <w:right w:val="single" w:sz="4" w:space="0" w:color="000000"/>
            </w:tcBorders>
            <w:noWrap/>
            <w:vAlign w:val="center"/>
          </w:tcPr>
          <w:p w14:paraId="6EF61DA6" w14:textId="77777777" w:rsidR="00A67F21" w:rsidRPr="00B12FE0" w:rsidRDefault="00000000">
            <w:pPr>
              <w:widowControl/>
              <w:jc w:val="center"/>
              <w:textAlignment w:val="center"/>
              <w:rPr>
                <w:rFonts w:ascii="宋体" w:hAnsi="宋体" w:hint="eastAsia"/>
                <w:color w:val="000000" w:themeColor="text1"/>
                <w:kern w:val="0"/>
                <w:sz w:val="21"/>
                <w:szCs w:val="21"/>
              </w:rPr>
            </w:pPr>
            <w:r w:rsidRPr="00B12FE0">
              <w:rPr>
                <w:rFonts w:ascii="宋体" w:hAnsi="宋体"/>
                <w:color w:val="000000" w:themeColor="text1"/>
                <w:kern w:val="0"/>
                <w:sz w:val="21"/>
                <w:szCs w:val="21"/>
              </w:rPr>
              <w:t>使用</w:t>
            </w:r>
          </w:p>
        </w:tc>
        <w:tc>
          <w:tcPr>
            <w:tcW w:w="1155" w:type="dxa"/>
            <w:tcBorders>
              <w:top w:val="single" w:sz="4" w:space="0" w:color="000000"/>
              <w:left w:val="nil"/>
              <w:bottom w:val="single" w:sz="4" w:space="0" w:color="000000"/>
              <w:right w:val="single" w:sz="4" w:space="0" w:color="000000"/>
            </w:tcBorders>
            <w:noWrap/>
            <w:vAlign w:val="center"/>
          </w:tcPr>
          <w:p w14:paraId="72DC65E8"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6</w:t>
            </w:r>
          </w:p>
        </w:tc>
        <w:tc>
          <w:tcPr>
            <w:tcW w:w="728" w:type="dxa"/>
            <w:tcBorders>
              <w:top w:val="single" w:sz="4" w:space="0" w:color="000000"/>
              <w:left w:val="nil"/>
              <w:bottom w:val="single" w:sz="4" w:space="0" w:color="000000"/>
              <w:right w:val="single" w:sz="4" w:space="0" w:color="000000"/>
            </w:tcBorders>
            <w:noWrap/>
            <w:vAlign w:val="center"/>
          </w:tcPr>
          <w:p w14:paraId="0C3E782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0.1</w:t>
            </w:r>
          </w:p>
        </w:tc>
        <w:tc>
          <w:tcPr>
            <w:tcW w:w="725" w:type="dxa"/>
            <w:tcBorders>
              <w:top w:val="single" w:sz="4" w:space="0" w:color="000000"/>
              <w:left w:val="nil"/>
              <w:bottom w:val="single" w:sz="4" w:space="0" w:color="000000"/>
              <w:right w:val="single" w:sz="4" w:space="0" w:color="000000"/>
            </w:tcBorders>
            <w:noWrap/>
            <w:vAlign w:val="center"/>
          </w:tcPr>
          <w:p w14:paraId="53956323"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1162" w:type="dxa"/>
            <w:tcBorders>
              <w:top w:val="single" w:sz="4" w:space="0" w:color="000000"/>
              <w:left w:val="nil"/>
              <w:bottom w:val="single" w:sz="4" w:space="0" w:color="000000"/>
              <w:right w:val="single" w:sz="4" w:space="0" w:color="000000"/>
            </w:tcBorders>
            <w:noWrap/>
            <w:vAlign w:val="center"/>
          </w:tcPr>
          <w:p w14:paraId="25091B2B"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5</w:t>
            </w:r>
          </w:p>
        </w:tc>
        <w:tc>
          <w:tcPr>
            <w:tcW w:w="1050" w:type="dxa"/>
            <w:vMerge/>
            <w:tcBorders>
              <w:top w:val="nil"/>
              <w:left w:val="nil"/>
              <w:bottom w:val="single" w:sz="4" w:space="0" w:color="000000"/>
              <w:right w:val="single" w:sz="4" w:space="0" w:color="000000"/>
            </w:tcBorders>
            <w:vAlign w:val="center"/>
          </w:tcPr>
          <w:p w14:paraId="69641836" w14:textId="77777777" w:rsidR="00A67F21" w:rsidRPr="00B12FE0" w:rsidRDefault="00A67F21">
            <w:pPr>
              <w:widowControl/>
              <w:jc w:val="left"/>
              <w:rPr>
                <w:color w:val="000000" w:themeColor="text1"/>
                <w:sz w:val="21"/>
                <w:szCs w:val="21"/>
              </w:rPr>
            </w:pPr>
          </w:p>
        </w:tc>
        <w:tc>
          <w:tcPr>
            <w:tcW w:w="1090" w:type="dxa"/>
            <w:tcBorders>
              <w:top w:val="single" w:sz="4" w:space="0" w:color="000000"/>
              <w:left w:val="nil"/>
              <w:bottom w:val="single" w:sz="4" w:space="0" w:color="000000"/>
              <w:right w:val="single" w:sz="4" w:space="0" w:color="000000"/>
            </w:tcBorders>
            <w:noWrap/>
            <w:vAlign w:val="center"/>
          </w:tcPr>
          <w:p w14:paraId="4001B66B" w14:textId="77777777" w:rsidR="00A67F21" w:rsidRPr="00B12FE0" w:rsidRDefault="00000000">
            <w:pPr>
              <w:widowControl/>
              <w:jc w:val="center"/>
              <w:textAlignment w:val="center"/>
              <w:rPr>
                <w:color w:val="000000" w:themeColor="text1"/>
                <w:kern w:val="0"/>
                <w:sz w:val="21"/>
                <w:szCs w:val="21"/>
              </w:rPr>
            </w:pPr>
            <w:proofErr w:type="gramStart"/>
            <w:r w:rsidRPr="00B12FE0">
              <w:rPr>
                <w:rFonts w:hint="eastAsia"/>
                <w:color w:val="000000" w:themeColor="text1"/>
                <w:kern w:val="0"/>
                <w:sz w:val="21"/>
                <w:szCs w:val="21"/>
              </w:rPr>
              <w:t>甲测</w:t>
            </w:r>
            <w:proofErr w:type="gramEnd"/>
          </w:p>
        </w:tc>
        <w:tc>
          <w:tcPr>
            <w:tcW w:w="501" w:type="dxa"/>
            <w:vMerge/>
            <w:tcBorders>
              <w:top w:val="single" w:sz="4" w:space="0" w:color="000000"/>
              <w:left w:val="nil"/>
              <w:bottom w:val="single" w:sz="4" w:space="0" w:color="000000"/>
              <w:right w:val="single" w:sz="4" w:space="0" w:color="000000"/>
            </w:tcBorders>
            <w:vAlign w:val="center"/>
          </w:tcPr>
          <w:p w14:paraId="1CC008CE" w14:textId="77777777" w:rsidR="00A67F21" w:rsidRPr="00B12FE0" w:rsidRDefault="00A67F21">
            <w:pPr>
              <w:widowControl/>
              <w:jc w:val="left"/>
              <w:rPr>
                <w:color w:val="000000" w:themeColor="text1"/>
                <w:sz w:val="21"/>
                <w:szCs w:val="21"/>
              </w:rPr>
            </w:pPr>
          </w:p>
        </w:tc>
      </w:tr>
      <w:tr w:rsidR="00A67F21" w:rsidRPr="00B12FE0" w14:paraId="681CD188" w14:textId="77777777">
        <w:trPr>
          <w:trHeight w:val="535"/>
          <w:jc w:val="center"/>
        </w:trPr>
        <w:tc>
          <w:tcPr>
            <w:tcW w:w="656" w:type="dxa"/>
            <w:vMerge/>
            <w:tcBorders>
              <w:top w:val="nil"/>
              <w:left w:val="single" w:sz="4" w:space="0" w:color="000000"/>
              <w:bottom w:val="single" w:sz="4" w:space="0" w:color="000000"/>
              <w:right w:val="single" w:sz="4" w:space="0" w:color="000000"/>
            </w:tcBorders>
            <w:vAlign w:val="center"/>
          </w:tcPr>
          <w:p w14:paraId="449A25F7" w14:textId="77777777" w:rsidR="00A67F21" w:rsidRPr="00B12FE0" w:rsidRDefault="00A67F21">
            <w:pPr>
              <w:widowControl/>
              <w:jc w:val="left"/>
              <w:rPr>
                <w:color w:val="000000" w:themeColor="text1"/>
                <w:sz w:val="21"/>
                <w:szCs w:val="21"/>
              </w:rPr>
            </w:pPr>
          </w:p>
        </w:tc>
        <w:tc>
          <w:tcPr>
            <w:tcW w:w="1040" w:type="dxa"/>
            <w:tcBorders>
              <w:top w:val="single" w:sz="4" w:space="0" w:color="000000"/>
              <w:left w:val="nil"/>
              <w:bottom w:val="single" w:sz="4" w:space="0" w:color="000000"/>
              <w:right w:val="single" w:sz="4" w:space="0" w:color="000000"/>
            </w:tcBorders>
            <w:vAlign w:val="center"/>
          </w:tcPr>
          <w:p w14:paraId="68AF450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kern w:val="0"/>
                <w:sz w:val="21"/>
                <w:szCs w:val="21"/>
              </w:rPr>
              <w:t>甲亢</w:t>
            </w:r>
          </w:p>
        </w:tc>
        <w:tc>
          <w:tcPr>
            <w:tcW w:w="910" w:type="dxa"/>
            <w:tcBorders>
              <w:top w:val="single" w:sz="4" w:space="0" w:color="000000"/>
              <w:left w:val="nil"/>
              <w:bottom w:val="single" w:sz="4" w:space="0" w:color="000000"/>
              <w:right w:val="single" w:sz="4" w:space="0" w:color="000000"/>
            </w:tcBorders>
            <w:noWrap/>
            <w:vAlign w:val="center"/>
          </w:tcPr>
          <w:p w14:paraId="26F8F923"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使用</w:t>
            </w:r>
          </w:p>
        </w:tc>
        <w:tc>
          <w:tcPr>
            <w:tcW w:w="1155" w:type="dxa"/>
            <w:tcBorders>
              <w:top w:val="single" w:sz="4" w:space="0" w:color="000000"/>
              <w:left w:val="nil"/>
              <w:bottom w:val="single" w:sz="4" w:space="0" w:color="000000"/>
              <w:right w:val="single" w:sz="4" w:space="0" w:color="000000"/>
            </w:tcBorders>
            <w:noWrap/>
            <w:vAlign w:val="center"/>
          </w:tcPr>
          <w:p w14:paraId="387A7F6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color w:val="000000" w:themeColor="text1"/>
                <w:sz w:val="21"/>
                <w:szCs w:val="21"/>
                <w:vertAlign w:val="superscript"/>
              </w:rPr>
              <w:t>9</w:t>
            </w:r>
          </w:p>
        </w:tc>
        <w:tc>
          <w:tcPr>
            <w:tcW w:w="728" w:type="dxa"/>
            <w:tcBorders>
              <w:top w:val="single" w:sz="4" w:space="0" w:color="000000"/>
              <w:left w:val="nil"/>
              <w:bottom w:val="single" w:sz="4" w:space="0" w:color="000000"/>
              <w:right w:val="single" w:sz="4" w:space="0" w:color="000000"/>
            </w:tcBorders>
            <w:noWrap/>
            <w:vAlign w:val="center"/>
          </w:tcPr>
          <w:p w14:paraId="4E760AB3"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0.1</w:t>
            </w:r>
          </w:p>
        </w:tc>
        <w:tc>
          <w:tcPr>
            <w:tcW w:w="725" w:type="dxa"/>
            <w:tcBorders>
              <w:top w:val="single" w:sz="4" w:space="0" w:color="000000"/>
              <w:left w:val="nil"/>
              <w:bottom w:val="single" w:sz="4" w:space="0" w:color="000000"/>
              <w:right w:val="single" w:sz="4" w:space="0" w:color="000000"/>
            </w:tcBorders>
            <w:noWrap/>
            <w:vAlign w:val="center"/>
          </w:tcPr>
          <w:p w14:paraId="21855A08"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1162" w:type="dxa"/>
            <w:tcBorders>
              <w:top w:val="single" w:sz="4" w:space="0" w:color="000000"/>
              <w:left w:val="nil"/>
              <w:bottom w:val="single" w:sz="4" w:space="0" w:color="000000"/>
              <w:right w:val="single" w:sz="4" w:space="0" w:color="000000"/>
            </w:tcBorders>
            <w:noWrap/>
            <w:vAlign w:val="center"/>
          </w:tcPr>
          <w:p w14:paraId="13DBB90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color w:val="000000" w:themeColor="text1"/>
                <w:sz w:val="21"/>
                <w:szCs w:val="21"/>
                <w:vertAlign w:val="superscript"/>
              </w:rPr>
              <w:t>8</w:t>
            </w:r>
          </w:p>
        </w:tc>
        <w:tc>
          <w:tcPr>
            <w:tcW w:w="1050" w:type="dxa"/>
            <w:vMerge/>
            <w:tcBorders>
              <w:top w:val="nil"/>
              <w:left w:val="nil"/>
              <w:bottom w:val="single" w:sz="4" w:space="0" w:color="000000"/>
              <w:right w:val="single" w:sz="4" w:space="0" w:color="000000"/>
            </w:tcBorders>
            <w:vAlign w:val="center"/>
          </w:tcPr>
          <w:p w14:paraId="6F5700E2" w14:textId="77777777" w:rsidR="00A67F21" w:rsidRPr="00B12FE0" w:rsidRDefault="00A67F21">
            <w:pPr>
              <w:widowControl/>
              <w:jc w:val="left"/>
              <w:rPr>
                <w:color w:val="000000" w:themeColor="text1"/>
                <w:sz w:val="21"/>
                <w:szCs w:val="21"/>
              </w:rPr>
            </w:pPr>
          </w:p>
        </w:tc>
        <w:tc>
          <w:tcPr>
            <w:tcW w:w="1090" w:type="dxa"/>
            <w:tcBorders>
              <w:top w:val="single" w:sz="4" w:space="0" w:color="000000"/>
              <w:left w:val="nil"/>
              <w:bottom w:val="single" w:sz="4" w:space="0" w:color="000000"/>
              <w:right w:val="single" w:sz="4" w:space="0" w:color="000000"/>
            </w:tcBorders>
            <w:noWrap/>
            <w:vAlign w:val="center"/>
          </w:tcPr>
          <w:p w14:paraId="77C9E425"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甲亢治疗</w:t>
            </w:r>
          </w:p>
        </w:tc>
        <w:tc>
          <w:tcPr>
            <w:tcW w:w="501" w:type="dxa"/>
            <w:vMerge/>
            <w:tcBorders>
              <w:top w:val="single" w:sz="4" w:space="0" w:color="000000"/>
              <w:left w:val="nil"/>
              <w:bottom w:val="single" w:sz="4" w:space="0" w:color="000000"/>
              <w:right w:val="single" w:sz="4" w:space="0" w:color="000000"/>
            </w:tcBorders>
            <w:vAlign w:val="center"/>
          </w:tcPr>
          <w:p w14:paraId="17425E00" w14:textId="77777777" w:rsidR="00A67F21" w:rsidRPr="00B12FE0" w:rsidRDefault="00A67F21">
            <w:pPr>
              <w:widowControl/>
              <w:jc w:val="left"/>
              <w:rPr>
                <w:color w:val="000000" w:themeColor="text1"/>
                <w:sz w:val="21"/>
                <w:szCs w:val="21"/>
              </w:rPr>
            </w:pPr>
          </w:p>
        </w:tc>
      </w:tr>
      <w:tr w:rsidR="00A67F21" w:rsidRPr="00B12FE0" w14:paraId="15A28CD9" w14:textId="77777777">
        <w:trPr>
          <w:trHeight w:val="535"/>
          <w:jc w:val="center"/>
        </w:trPr>
        <w:tc>
          <w:tcPr>
            <w:tcW w:w="656" w:type="dxa"/>
            <w:tcBorders>
              <w:top w:val="nil"/>
              <w:left w:val="single" w:sz="4" w:space="0" w:color="000000"/>
              <w:bottom w:val="single" w:sz="4" w:space="0" w:color="000000"/>
              <w:right w:val="single" w:sz="4" w:space="0" w:color="000000"/>
            </w:tcBorders>
            <w:noWrap/>
            <w:vAlign w:val="center"/>
          </w:tcPr>
          <w:p w14:paraId="349F3CB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核素治疗场所</w:t>
            </w:r>
          </w:p>
        </w:tc>
        <w:tc>
          <w:tcPr>
            <w:tcW w:w="1040" w:type="dxa"/>
            <w:tcBorders>
              <w:top w:val="single" w:sz="4" w:space="0" w:color="000000"/>
              <w:left w:val="nil"/>
              <w:bottom w:val="single" w:sz="4" w:space="0" w:color="000000"/>
              <w:right w:val="single" w:sz="4" w:space="0" w:color="000000"/>
            </w:tcBorders>
            <w:noWrap/>
            <w:vAlign w:val="center"/>
          </w:tcPr>
          <w:p w14:paraId="5BE8874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甲癌</w:t>
            </w:r>
            <w:proofErr w:type="gramEnd"/>
          </w:p>
        </w:tc>
        <w:tc>
          <w:tcPr>
            <w:tcW w:w="910" w:type="dxa"/>
            <w:tcBorders>
              <w:top w:val="single" w:sz="4" w:space="0" w:color="000000"/>
              <w:left w:val="nil"/>
              <w:bottom w:val="single" w:sz="4" w:space="0" w:color="000000"/>
              <w:right w:val="single" w:sz="4" w:space="0" w:color="000000"/>
            </w:tcBorders>
            <w:noWrap/>
            <w:vAlign w:val="center"/>
          </w:tcPr>
          <w:p w14:paraId="0299957E"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使用</w:t>
            </w:r>
          </w:p>
        </w:tc>
        <w:tc>
          <w:tcPr>
            <w:tcW w:w="1155" w:type="dxa"/>
            <w:tcBorders>
              <w:top w:val="single" w:sz="4" w:space="0" w:color="000000"/>
              <w:left w:val="nil"/>
              <w:bottom w:val="single" w:sz="4" w:space="0" w:color="000000"/>
              <w:right w:val="single" w:sz="4" w:space="0" w:color="000000"/>
            </w:tcBorders>
            <w:noWrap/>
            <w:vAlign w:val="center"/>
          </w:tcPr>
          <w:p w14:paraId="5908C42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10</w:t>
            </w:r>
          </w:p>
        </w:tc>
        <w:tc>
          <w:tcPr>
            <w:tcW w:w="728" w:type="dxa"/>
            <w:tcBorders>
              <w:top w:val="single" w:sz="4" w:space="0" w:color="000000"/>
              <w:left w:val="nil"/>
              <w:bottom w:val="single" w:sz="4" w:space="0" w:color="000000"/>
              <w:right w:val="single" w:sz="4" w:space="0" w:color="000000"/>
            </w:tcBorders>
            <w:noWrap/>
            <w:vAlign w:val="center"/>
          </w:tcPr>
          <w:p w14:paraId="405B2ED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0.1</w:t>
            </w:r>
          </w:p>
        </w:tc>
        <w:tc>
          <w:tcPr>
            <w:tcW w:w="725" w:type="dxa"/>
            <w:tcBorders>
              <w:top w:val="single" w:sz="4" w:space="0" w:color="000000"/>
              <w:left w:val="nil"/>
              <w:bottom w:val="single" w:sz="4" w:space="0" w:color="000000"/>
              <w:right w:val="single" w:sz="4" w:space="0" w:color="000000"/>
            </w:tcBorders>
            <w:noWrap/>
            <w:vAlign w:val="center"/>
          </w:tcPr>
          <w:p w14:paraId="0521EBCB"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1162" w:type="dxa"/>
            <w:tcBorders>
              <w:top w:val="single" w:sz="4" w:space="0" w:color="000000"/>
              <w:left w:val="nil"/>
              <w:bottom w:val="single" w:sz="4" w:space="0" w:color="000000"/>
              <w:right w:val="single" w:sz="4" w:space="0" w:color="000000"/>
            </w:tcBorders>
            <w:noWrap/>
            <w:vAlign w:val="center"/>
          </w:tcPr>
          <w:p w14:paraId="015F88D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9</w:t>
            </w:r>
          </w:p>
        </w:tc>
        <w:tc>
          <w:tcPr>
            <w:tcW w:w="1050" w:type="dxa"/>
            <w:tcBorders>
              <w:top w:val="nil"/>
              <w:left w:val="nil"/>
              <w:bottom w:val="single" w:sz="4" w:space="0" w:color="000000"/>
              <w:right w:val="single" w:sz="4" w:space="0" w:color="000000"/>
            </w:tcBorders>
            <w:noWrap/>
            <w:vAlign w:val="center"/>
          </w:tcPr>
          <w:p w14:paraId="4912500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9</w:t>
            </w:r>
          </w:p>
        </w:tc>
        <w:tc>
          <w:tcPr>
            <w:tcW w:w="1090" w:type="dxa"/>
            <w:tcBorders>
              <w:top w:val="single" w:sz="4" w:space="0" w:color="000000"/>
              <w:left w:val="nil"/>
              <w:bottom w:val="single" w:sz="4" w:space="0" w:color="000000"/>
              <w:right w:val="single" w:sz="4" w:space="0" w:color="000000"/>
            </w:tcBorders>
            <w:noWrap/>
            <w:vAlign w:val="center"/>
          </w:tcPr>
          <w:p w14:paraId="5E94791A" w14:textId="77777777" w:rsidR="00A67F21" w:rsidRPr="00B12FE0" w:rsidRDefault="00000000">
            <w:pPr>
              <w:widowControl/>
              <w:jc w:val="center"/>
              <w:textAlignment w:val="center"/>
              <w:rPr>
                <w:color w:val="000000" w:themeColor="text1"/>
                <w:sz w:val="21"/>
                <w:szCs w:val="21"/>
              </w:rPr>
            </w:pPr>
            <w:proofErr w:type="gramStart"/>
            <w:r w:rsidRPr="00B12FE0">
              <w:rPr>
                <w:rFonts w:ascii="宋体" w:hAnsi="宋体"/>
                <w:color w:val="000000" w:themeColor="text1"/>
                <w:kern w:val="0"/>
                <w:sz w:val="21"/>
                <w:szCs w:val="21"/>
              </w:rPr>
              <w:t>甲癌治疗</w:t>
            </w:r>
            <w:proofErr w:type="gramEnd"/>
          </w:p>
        </w:tc>
        <w:tc>
          <w:tcPr>
            <w:tcW w:w="501" w:type="dxa"/>
            <w:tcBorders>
              <w:top w:val="nil"/>
              <w:left w:val="nil"/>
              <w:bottom w:val="single" w:sz="4" w:space="0" w:color="000000"/>
              <w:right w:val="single" w:sz="4" w:space="0" w:color="000000"/>
            </w:tcBorders>
            <w:noWrap/>
            <w:vAlign w:val="center"/>
          </w:tcPr>
          <w:p w14:paraId="00F6C2F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乙级</w:t>
            </w:r>
          </w:p>
        </w:tc>
      </w:tr>
      <w:tr w:rsidR="00A67F21" w:rsidRPr="00B12FE0" w14:paraId="22703C46" w14:textId="77777777">
        <w:trPr>
          <w:trHeight w:val="545"/>
          <w:jc w:val="center"/>
        </w:trPr>
        <w:tc>
          <w:tcPr>
            <w:tcW w:w="9017" w:type="dxa"/>
            <w:gridSpan w:val="10"/>
            <w:tcBorders>
              <w:top w:val="single" w:sz="4" w:space="0" w:color="000000"/>
              <w:left w:val="single" w:sz="4" w:space="0" w:color="000000"/>
              <w:bottom w:val="single" w:sz="4" w:space="0" w:color="000000"/>
              <w:right w:val="single" w:sz="4" w:space="0" w:color="000000"/>
            </w:tcBorders>
            <w:noWrap/>
            <w:vAlign w:val="center"/>
          </w:tcPr>
          <w:p w14:paraId="180211C4" w14:textId="77777777" w:rsidR="00A67F21" w:rsidRPr="00B12FE0" w:rsidRDefault="00000000">
            <w:pPr>
              <w:rPr>
                <w:color w:val="000000" w:themeColor="text1"/>
                <w:sz w:val="21"/>
                <w:szCs w:val="21"/>
              </w:rPr>
            </w:pPr>
            <w:r w:rsidRPr="00B12FE0">
              <w:rPr>
                <w:rFonts w:ascii="宋体" w:hAnsi="宋体"/>
                <w:color w:val="000000" w:themeColor="text1"/>
                <w:sz w:val="18"/>
                <w:szCs w:val="18"/>
              </w:rPr>
              <w:t>注：根据《关于明确核技术利用辐射安全监管有关事项的通知》（</w:t>
            </w:r>
            <w:proofErr w:type="gramStart"/>
            <w:r w:rsidRPr="00B12FE0">
              <w:rPr>
                <w:rFonts w:ascii="宋体" w:hAnsi="宋体"/>
                <w:color w:val="000000" w:themeColor="text1"/>
                <w:sz w:val="18"/>
                <w:szCs w:val="18"/>
              </w:rPr>
              <w:t>环办辐射</w:t>
            </w:r>
            <w:proofErr w:type="gramEnd"/>
            <w:r w:rsidRPr="00B12FE0">
              <w:rPr>
                <w:rFonts w:ascii="宋体" w:hAnsi="宋体"/>
                <w:color w:val="000000" w:themeColor="text1"/>
                <w:sz w:val="18"/>
                <w:szCs w:val="18"/>
              </w:rPr>
              <w:t>函</w:t>
            </w:r>
            <w:r w:rsidRPr="00B12FE0">
              <w:rPr>
                <w:color w:val="000000" w:themeColor="text1"/>
                <w:sz w:val="18"/>
                <w:szCs w:val="18"/>
              </w:rPr>
              <w:t>[2016]430</w:t>
            </w:r>
            <w:r w:rsidRPr="00B12FE0">
              <w:rPr>
                <w:rFonts w:ascii="宋体" w:hAnsi="宋体"/>
                <w:color w:val="000000" w:themeColor="text1"/>
                <w:sz w:val="18"/>
                <w:szCs w:val="18"/>
              </w:rPr>
              <w:t>号）：放射性药品生产中，分装，标记等活动视为</w:t>
            </w:r>
            <w:r w:rsidRPr="00B12FE0">
              <w:rPr>
                <w:color w:val="000000" w:themeColor="text1"/>
                <w:sz w:val="18"/>
                <w:szCs w:val="18"/>
              </w:rPr>
              <w:t>“</w:t>
            </w:r>
            <w:r w:rsidRPr="00B12FE0">
              <w:rPr>
                <w:rFonts w:ascii="宋体" w:hAnsi="宋体"/>
                <w:color w:val="000000" w:themeColor="text1"/>
                <w:sz w:val="18"/>
                <w:szCs w:val="18"/>
              </w:rPr>
              <w:t>简单操作</w:t>
            </w:r>
            <w:r w:rsidRPr="00B12FE0">
              <w:rPr>
                <w:color w:val="000000" w:themeColor="text1"/>
                <w:sz w:val="18"/>
                <w:szCs w:val="18"/>
              </w:rPr>
              <w:t>”</w:t>
            </w:r>
            <w:r w:rsidRPr="00B12FE0">
              <w:rPr>
                <w:rFonts w:ascii="宋体" w:hAnsi="宋体"/>
                <w:color w:val="000000" w:themeColor="text1"/>
                <w:sz w:val="18"/>
                <w:szCs w:val="18"/>
              </w:rPr>
              <w:t>；医疗机构使用</w:t>
            </w:r>
            <w:r w:rsidRPr="00B12FE0">
              <w:rPr>
                <w:color w:val="000000" w:themeColor="text1"/>
                <w:sz w:val="18"/>
                <w:szCs w:val="18"/>
                <w:vertAlign w:val="superscript"/>
              </w:rPr>
              <w:t>18</w:t>
            </w:r>
            <w:r w:rsidRPr="00B12FE0">
              <w:rPr>
                <w:color w:val="000000" w:themeColor="text1"/>
                <w:sz w:val="18"/>
                <w:szCs w:val="18"/>
              </w:rPr>
              <w:t>F</w:t>
            </w:r>
            <w:r w:rsidRPr="00B12FE0">
              <w:rPr>
                <w:rFonts w:ascii="宋体" w:hAnsi="宋体"/>
                <w:bCs/>
                <w:color w:val="000000" w:themeColor="text1"/>
                <w:sz w:val="18"/>
                <w:szCs w:val="18"/>
              </w:rPr>
              <w:t>相关活动视为</w:t>
            </w:r>
            <w:r w:rsidRPr="00B12FE0">
              <w:rPr>
                <w:bCs/>
                <w:color w:val="000000" w:themeColor="text1"/>
                <w:sz w:val="18"/>
                <w:szCs w:val="18"/>
              </w:rPr>
              <w:t>“</w:t>
            </w:r>
            <w:r w:rsidRPr="00B12FE0">
              <w:rPr>
                <w:rFonts w:ascii="宋体" w:hAnsi="宋体"/>
                <w:bCs/>
                <w:color w:val="000000" w:themeColor="text1"/>
                <w:sz w:val="18"/>
                <w:szCs w:val="18"/>
              </w:rPr>
              <w:t>很简单的操作</w:t>
            </w:r>
            <w:r w:rsidRPr="00B12FE0">
              <w:rPr>
                <w:bCs/>
                <w:color w:val="000000" w:themeColor="text1"/>
                <w:sz w:val="18"/>
                <w:szCs w:val="18"/>
              </w:rPr>
              <w:t>”</w:t>
            </w:r>
            <w:r w:rsidRPr="00B12FE0">
              <w:rPr>
                <w:rFonts w:ascii="宋体" w:hAnsi="宋体"/>
                <w:color w:val="000000" w:themeColor="text1"/>
                <w:sz w:val="18"/>
                <w:szCs w:val="18"/>
              </w:rPr>
              <w:t>、</w:t>
            </w:r>
            <w:r w:rsidRPr="00B12FE0">
              <w:rPr>
                <w:color w:val="000000" w:themeColor="text1"/>
                <w:sz w:val="18"/>
                <w:szCs w:val="18"/>
                <w:vertAlign w:val="superscript"/>
              </w:rPr>
              <w:t>99m</w:t>
            </w:r>
            <w:r w:rsidRPr="00B12FE0">
              <w:rPr>
                <w:color w:val="000000" w:themeColor="text1"/>
                <w:sz w:val="18"/>
                <w:szCs w:val="18"/>
              </w:rPr>
              <w:t>Tc</w:t>
            </w:r>
            <w:r w:rsidRPr="00B12FE0">
              <w:rPr>
                <w:rFonts w:ascii="宋体" w:hAnsi="宋体"/>
                <w:bCs/>
                <w:color w:val="000000" w:themeColor="text1"/>
                <w:sz w:val="18"/>
                <w:szCs w:val="18"/>
              </w:rPr>
              <w:t>相关活动视为</w:t>
            </w:r>
            <w:r w:rsidRPr="00B12FE0">
              <w:rPr>
                <w:bCs/>
                <w:color w:val="000000" w:themeColor="text1"/>
                <w:sz w:val="18"/>
                <w:szCs w:val="18"/>
              </w:rPr>
              <w:t>“</w:t>
            </w:r>
            <w:r w:rsidRPr="00B12FE0">
              <w:rPr>
                <w:rFonts w:ascii="宋体" w:hAnsi="宋体"/>
                <w:bCs/>
                <w:color w:val="000000" w:themeColor="text1"/>
                <w:sz w:val="18"/>
                <w:szCs w:val="18"/>
              </w:rPr>
              <w:t>简单的操作</w:t>
            </w:r>
            <w:r w:rsidRPr="00B12FE0">
              <w:rPr>
                <w:bCs/>
                <w:color w:val="000000" w:themeColor="text1"/>
                <w:sz w:val="18"/>
                <w:szCs w:val="18"/>
              </w:rPr>
              <w:t>”</w:t>
            </w:r>
            <w:r w:rsidRPr="00B12FE0">
              <w:rPr>
                <w:rFonts w:ascii="宋体" w:hAnsi="宋体"/>
                <w:bCs/>
                <w:color w:val="000000" w:themeColor="text1"/>
                <w:sz w:val="18"/>
                <w:szCs w:val="18"/>
              </w:rPr>
              <w:t>，使用</w:t>
            </w:r>
            <w:r w:rsidRPr="00B12FE0">
              <w:rPr>
                <w:bCs/>
                <w:color w:val="000000" w:themeColor="text1"/>
                <w:sz w:val="18"/>
                <w:szCs w:val="18"/>
                <w:vertAlign w:val="superscript"/>
              </w:rPr>
              <w:t>131</w:t>
            </w:r>
            <w:r w:rsidRPr="00B12FE0">
              <w:rPr>
                <w:bCs/>
                <w:color w:val="000000" w:themeColor="text1"/>
                <w:sz w:val="18"/>
                <w:szCs w:val="18"/>
              </w:rPr>
              <w:t>I</w:t>
            </w:r>
            <w:r w:rsidRPr="00B12FE0">
              <w:rPr>
                <w:rFonts w:ascii="宋体" w:hAnsi="宋体"/>
                <w:bCs/>
                <w:color w:val="000000" w:themeColor="text1"/>
                <w:sz w:val="18"/>
                <w:szCs w:val="18"/>
              </w:rPr>
              <w:t>核素相关活动视为</w:t>
            </w:r>
            <w:r w:rsidRPr="00B12FE0">
              <w:rPr>
                <w:bCs/>
                <w:color w:val="000000" w:themeColor="text1"/>
                <w:sz w:val="18"/>
                <w:szCs w:val="18"/>
              </w:rPr>
              <w:t>“</w:t>
            </w:r>
            <w:r w:rsidRPr="00B12FE0">
              <w:rPr>
                <w:rFonts w:ascii="宋体" w:hAnsi="宋体"/>
                <w:bCs/>
                <w:color w:val="000000" w:themeColor="text1"/>
                <w:sz w:val="18"/>
                <w:szCs w:val="18"/>
              </w:rPr>
              <w:t>简单操作</w:t>
            </w:r>
            <w:r w:rsidRPr="00B12FE0">
              <w:rPr>
                <w:bCs/>
                <w:color w:val="000000" w:themeColor="text1"/>
                <w:sz w:val="18"/>
                <w:szCs w:val="18"/>
              </w:rPr>
              <w:t>”</w:t>
            </w:r>
            <w:r w:rsidRPr="00B12FE0">
              <w:rPr>
                <w:rFonts w:ascii="宋体" w:hAnsi="宋体"/>
                <w:bCs/>
                <w:color w:val="000000" w:themeColor="text1"/>
                <w:sz w:val="18"/>
                <w:szCs w:val="18"/>
              </w:rPr>
              <w:t>。</w:t>
            </w:r>
          </w:p>
        </w:tc>
      </w:tr>
    </w:tbl>
    <w:p w14:paraId="46C4FDC4" w14:textId="77777777" w:rsidR="00A67F21" w:rsidRPr="00B12FE0" w:rsidRDefault="00000000">
      <w:pPr>
        <w:snapToGrid w:val="0"/>
        <w:spacing w:line="360" w:lineRule="auto"/>
        <w:ind w:firstLineChars="200" w:firstLine="480"/>
        <w:contextualSpacing/>
        <w:rPr>
          <w:rFonts w:ascii="宋体" w:hAnsi="宋体" w:hint="eastAsia"/>
          <w:color w:val="000000" w:themeColor="text1"/>
          <w:szCs w:val="24"/>
        </w:rPr>
      </w:pPr>
      <w:r w:rsidRPr="00B12FE0">
        <w:rPr>
          <w:rFonts w:ascii="宋体" w:hAnsi="宋体"/>
          <w:color w:val="000000" w:themeColor="text1"/>
          <w:kern w:val="0"/>
          <w:szCs w:val="24"/>
        </w:rPr>
        <w:t>综上</w:t>
      </w:r>
      <w:r w:rsidRPr="00B12FE0">
        <w:rPr>
          <w:rFonts w:ascii="宋体" w:hAnsi="宋体"/>
          <w:color w:val="000000" w:themeColor="text1"/>
          <w:szCs w:val="24"/>
        </w:rPr>
        <w:t>，经计算本项目核医学科</w:t>
      </w:r>
      <w:r w:rsidRPr="00B12FE0">
        <w:rPr>
          <w:rFonts w:ascii="宋体" w:hAnsi="宋体"/>
          <w:bCs/>
          <w:color w:val="000000" w:themeColor="text1"/>
          <w:kern w:val="0"/>
          <w:szCs w:val="24"/>
        </w:rPr>
        <w:t>核素制备场所、核素显像诊断场所和核素治疗场所</w:t>
      </w:r>
      <w:r w:rsidRPr="00B12FE0">
        <w:rPr>
          <w:rFonts w:ascii="宋体" w:hAnsi="宋体"/>
          <w:color w:val="000000" w:themeColor="text1"/>
          <w:szCs w:val="24"/>
        </w:rPr>
        <w:t>放射性核素日等效最大操作量分别为</w:t>
      </w:r>
      <w:r w:rsidRPr="00B12FE0">
        <w:rPr>
          <w:rFonts w:hint="eastAsia"/>
          <w:color w:val="000000" w:themeColor="text1"/>
          <w:szCs w:val="24"/>
        </w:rPr>
        <w:t>4.44</w:t>
      </w:r>
      <w:r w:rsidRPr="00B12FE0">
        <w:rPr>
          <w:color w:val="000000" w:themeColor="text1"/>
          <w:szCs w:val="24"/>
        </w:rPr>
        <w:t>×10</w:t>
      </w:r>
      <w:r w:rsidRPr="00B12FE0">
        <w:rPr>
          <w:color w:val="000000" w:themeColor="text1"/>
          <w:szCs w:val="24"/>
          <w:vertAlign w:val="superscript"/>
        </w:rPr>
        <w:t>8</w:t>
      </w:r>
      <w:r w:rsidRPr="00B12FE0">
        <w:rPr>
          <w:color w:val="000000" w:themeColor="text1"/>
          <w:szCs w:val="24"/>
        </w:rPr>
        <w:t>Bq</w:t>
      </w:r>
      <w:r w:rsidRPr="00B12FE0">
        <w:rPr>
          <w:rFonts w:ascii="宋体" w:hAnsi="宋体"/>
          <w:color w:val="000000" w:themeColor="text1"/>
          <w:szCs w:val="24"/>
        </w:rPr>
        <w:t>、</w:t>
      </w:r>
      <w:r w:rsidRPr="00B12FE0">
        <w:rPr>
          <w:rFonts w:hint="eastAsia"/>
          <w:color w:val="000000" w:themeColor="text1"/>
          <w:szCs w:val="24"/>
        </w:rPr>
        <w:t>7.59</w:t>
      </w:r>
      <w:r w:rsidRPr="00B12FE0">
        <w:rPr>
          <w:color w:val="000000" w:themeColor="text1"/>
          <w:szCs w:val="24"/>
        </w:rPr>
        <w:t>×10</w:t>
      </w:r>
      <w:r w:rsidRPr="00B12FE0">
        <w:rPr>
          <w:rFonts w:hint="eastAsia"/>
          <w:color w:val="000000" w:themeColor="text1"/>
          <w:szCs w:val="24"/>
          <w:vertAlign w:val="superscript"/>
        </w:rPr>
        <w:t>8</w:t>
      </w:r>
      <w:r w:rsidRPr="00B12FE0">
        <w:rPr>
          <w:color w:val="000000" w:themeColor="text1"/>
          <w:szCs w:val="24"/>
        </w:rPr>
        <w:t>Bq</w:t>
      </w:r>
      <w:r w:rsidRPr="00B12FE0">
        <w:rPr>
          <w:rFonts w:ascii="宋体" w:hAnsi="宋体"/>
          <w:color w:val="000000" w:themeColor="text1"/>
          <w:szCs w:val="24"/>
        </w:rPr>
        <w:t>和</w:t>
      </w:r>
      <w:r w:rsidRPr="00B12FE0">
        <w:rPr>
          <w:color w:val="000000" w:themeColor="text1"/>
          <w:szCs w:val="24"/>
        </w:rPr>
        <w:t>3.</w:t>
      </w:r>
      <w:r w:rsidRPr="00B12FE0">
        <w:rPr>
          <w:rFonts w:hint="eastAsia"/>
          <w:color w:val="000000" w:themeColor="text1"/>
          <w:szCs w:val="24"/>
        </w:rPr>
        <w:t>55</w:t>
      </w:r>
      <w:r w:rsidRPr="00B12FE0">
        <w:rPr>
          <w:color w:val="000000" w:themeColor="text1"/>
          <w:szCs w:val="24"/>
        </w:rPr>
        <w:t>×10</w:t>
      </w:r>
      <w:r w:rsidRPr="00B12FE0">
        <w:rPr>
          <w:color w:val="000000" w:themeColor="text1"/>
          <w:szCs w:val="24"/>
          <w:vertAlign w:val="superscript"/>
        </w:rPr>
        <w:t>9</w:t>
      </w:r>
      <w:r w:rsidRPr="00B12FE0">
        <w:rPr>
          <w:color w:val="000000" w:themeColor="text1"/>
          <w:szCs w:val="24"/>
        </w:rPr>
        <w:t>Bq</w:t>
      </w:r>
      <w:r w:rsidRPr="00B12FE0">
        <w:rPr>
          <w:rFonts w:ascii="宋体" w:hAnsi="宋体"/>
          <w:color w:val="000000" w:themeColor="text1"/>
          <w:szCs w:val="24"/>
        </w:rPr>
        <w:t>，日等效</w:t>
      </w:r>
      <w:r w:rsidRPr="00B12FE0">
        <w:rPr>
          <w:rFonts w:ascii="宋体" w:hAnsi="宋体"/>
          <w:color w:val="000000" w:themeColor="text1"/>
          <w:szCs w:val="24"/>
        </w:rPr>
        <w:lastRenderedPageBreak/>
        <w:t>最大操作</w:t>
      </w:r>
      <w:proofErr w:type="gramStart"/>
      <w:r w:rsidRPr="00B12FE0">
        <w:rPr>
          <w:rFonts w:ascii="宋体" w:hAnsi="宋体"/>
          <w:color w:val="000000" w:themeColor="text1"/>
          <w:szCs w:val="24"/>
        </w:rPr>
        <w:t>量属于</w:t>
      </w:r>
      <w:proofErr w:type="gramEnd"/>
      <w:r w:rsidRPr="00B12FE0">
        <w:rPr>
          <w:color w:val="000000" w:themeColor="text1"/>
          <w:szCs w:val="24"/>
        </w:rPr>
        <w:t>2×10</w:t>
      </w:r>
      <w:r w:rsidRPr="00B12FE0">
        <w:rPr>
          <w:color w:val="000000" w:themeColor="text1"/>
          <w:szCs w:val="24"/>
          <w:vertAlign w:val="superscript"/>
        </w:rPr>
        <w:t>7</w:t>
      </w:r>
      <w:r w:rsidRPr="00B12FE0">
        <w:rPr>
          <w:color w:val="000000" w:themeColor="text1"/>
          <w:szCs w:val="24"/>
        </w:rPr>
        <w:t>Bq ~4×10</w:t>
      </w:r>
      <w:r w:rsidRPr="00B12FE0">
        <w:rPr>
          <w:color w:val="000000" w:themeColor="text1"/>
          <w:szCs w:val="24"/>
          <w:vertAlign w:val="superscript"/>
        </w:rPr>
        <w:t>9</w:t>
      </w:r>
      <w:r w:rsidRPr="00B12FE0">
        <w:rPr>
          <w:color w:val="000000" w:themeColor="text1"/>
          <w:szCs w:val="24"/>
        </w:rPr>
        <w:t>Bq</w:t>
      </w:r>
      <w:r w:rsidRPr="00B12FE0">
        <w:rPr>
          <w:rFonts w:ascii="宋体" w:hAnsi="宋体"/>
          <w:color w:val="000000" w:themeColor="text1"/>
          <w:szCs w:val="24"/>
        </w:rPr>
        <w:t>的范围，以上三个场所均属于乙级非密封放射性物质工作场所。</w:t>
      </w:r>
    </w:p>
    <w:p w14:paraId="0E483078" w14:textId="77777777" w:rsidR="00A67F21" w:rsidRPr="00B12FE0" w:rsidRDefault="00000000">
      <w:pPr>
        <w:adjustRightInd w:val="0"/>
        <w:snapToGrid w:val="0"/>
        <w:spacing w:line="360" w:lineRule="auto"/>
        <w:ind w:firstLineChars="200" w:firstLine="482"/>
        <w:jc w:val="left"/>
        <w:rPr>
          <w:b/>
          <w:color w:val="000000" w:themeColor="text1"/>
          <w:szCs w:val="24"/>
        </w:rPr>
      </w:pPr>
      <w:r w:rsidRPr="00B12FE0">
        <w:rPr>
          <w:rFonts w:ascii="宋体" w:hAnsi="宋体"/>
          <w:b/>
          <w:color w:val="000000" w:themeColor="text1"/>
          <w:szCs w:val="24"/>
        </w:rPr>
        <w:t>（</w:t>
      </w:r>
      <w:r w:rsidRPr="00B12FE0">
        <w:rPr>
          <w:b/>
          <w:color w:val="000000" w:themeColor="text1"/>
          <w:szCs w:val="24"/>
        </w:rPr>
        <w:t>2</w:t>
      </w:r>
      <w:r w:rsidRPr="00B12FE0">
        <w:rPr>
          <w:rFonts w:ascii="宋体" w:hAnsi="宋体"/>
          <w:b/>
          <w:color w:val="000000" w:themeColor="text1"/>
          <w:szCs w:val="24"/>
        </w:rPr>
        <w:t>）工作场所分类</w:t>
      </w:r>
    </w:p>
    <w:p w14:paraId="027828BD" w14:textId="77777777" w:rsidR="00A67F21" w:rsidRPr="00B12FE0" w:rsidRDefault="00000000">
      <w:pPr>
        <w:adjustRightInd w:val="0"/>
        <w:snapToGrid w:val="0"/>
        <w:spacing w:line="360" w:lineRule="auto"/>
        <w:ind w:firstLine="480"/>
        <w:jc w:val="left"/>
        <w:rPr>
          <w:color w:val="000000" w:themeColor="text1"/>
          <w:sz w:val="21"/>
          <w:szCs w:val="21"/>
        </w:rPr>
      </w:pPr>
      <w:r w:rsidRPr="00B12FE0">
        <w:rPr>
          <w:rFonts w:ascii="宋体" w:hAnsi="宋体"/>
          <w:color w:val="000000" w:themeColor="text1"/>
          <w:szCs w:val="24"/>
        </w:rPr>
        <w:t>根据《核医学放射防护要求》（</w:t>
      </w:r>
      <w:r w:rsidRPr="00B12FE0">
        <w:rPr>
          <w:color w:val="000000" w:themeColor="text1"/>
          <w:szCs w:val="24"/>
        </w:rPr>
        <w:t>GBZ120-2020</w:t>
      </w:r>
      <w:r w:rsidRPr="00B12FE0">
        <w:rPr>
          <w:rFonts w:ascii="宋体" w:hAnsi="宋体"/>
          <w:color w:val="000000" w:themeColor="text1"/>
          <w:szCs w:val="24"/>
        </w:rPr>
        <w:t>）附录</w:t>
      </w:r>
      <w:r w:rsidRPr="00B12FE0">
        <w:rPr>
          <w:color w:val="000000" w:themeColor="text1"/>
          <w:szCs w:val="24"/>
        </w:rPr>
        <w:t>G</w:t>
      </w:r>
      <w:r w:rsidRPr="00B12FE0">
        <w:rPr>
          <w:rFonts w:ascii="宋体" w:hAnsi="宋体"/>
          <w:color w:val="000000" w:themeColor="text1"/>
          <w:szCs w:val="24"/>
        </w:rPr>
        <w:t>核医学的工作场所分类，根据</w:t>
      </w:r>
      <w:proofErr w:type="gramStart"/>
      <w:r w:rsidRPr="00B12FE0">
        <w:rPr>
          <w:rFonts w:ascii="宋体" w:hAnsi="宋体"/>
          <w:color w:val="000000" w:themeColor="text1"/>
          <w:szCs w:val="24"/>
        </w:rPr>
        <w:t>日操作</w:t>
      </w:r>
      <w:proofErr w:type="gramEnd"/>
      <w:r w:rsidRPr="00B12FE0">
        <w:rPr>
          <w:rFonts w:ascii="宋体" w:hAnsi="宋体"/>
          <w:color w:val="000000" w:themeColor="text1"/>
          <w:szCs w:val="24"/>
        </w:rPr>
        <w:t>最大量放射性核素的加权活度将场所分为三级，见表</w:t>
      </w:r>
      <w:r w:rsidRPr="00B12FE0">
        <w:rPr>
          <w:color w:val="000000" w:themeColor="text1"/>
          <w:szCs w:val="24"/>
        </w:rPr>
        <w:t>10.1.1.4-4</w:t>
      </w:r>
      <w:r w:rsidRPr="00B12FE0">
        <w:rPr>
          <w:rFonts w:ascii="宋体" w:hAnsi="宋体"/>
          <w:color w:val="000000" w:themeColor="text1"/>
          <w:szCs w:val="24"/>
        </w:rPr>
        <w:t>。</w:t>
      </w:r>
    </w:p>
    <w:p w14:paraId="56BF9687"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10.1.1.4-4  </w:t>
      </w:r>
      <w:r w:rsidRPr="00B12FE0">
        <w:rPr>
          <w:rFonts w:ascii="宋体" w:hAnsi="宋体"/>
          <w:b/>
          <w:color w:val="000000" w:themeColor="text1"/>
          <w:sz w:val="21"/>
          <w:szCs w:val="21"/>
        </w:rPr>
        <w:t>核医学工作场所分类一览表</w:t>
      </w:r>
    </w:p>
    <w:tbl>
      <w:tblPr>
        <w:tblStyle w:val="affff"/>
        <w:tblW w:w="5000" w:type="pct"/>
        <w:jc w:val="center"/>
        <w:tblLook w:val="04A0" w:firstRow="1" w:lastRow="0" w:firstColumn="1" w:lastColumn="0" w:noHBand="0" w:noVBand="1"/>
      </w:tblPr>
      <w:tblGrid>
        <w:gridCol w:w="3731"/>
        <w:gridCol w:w="5286"/>
      </w:tblGrid>
      <w:tr w:rsidR="00A67F21" w:rsidRPr="00B12FE0" w14:paraId="6EA4E94A" w14:textId="77777777">
        <w:trPr>
          <w:jc w:val="center"/>
        </w:trPr>
        <w:tc>
          <w:tcPr>
            <w:tcW w:w="2069" w:type="pct"/>
            <w:vAlign w:val="center"/>
          </w:tcPr>
          <w:p w14:paraId="0EFE97E8"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分类</w:t>
            </w:r>
          </w:p>
        </w:tc>
        <w:tc>
          <w:tcPr>
            <w:tcW w:w="2931" w:type="pct"/>
            <w:vAlign w:val="center"/>
          </w:tcPr>
          <w:p w14:paraId="5816681C" w14:textId="77777777" w:rsidR="00A67F21" w:rsidRPr="00B12FE0" w:rsidRDefault="00000000">
            <w:pPr>
              <w:adjustRightInd w:val="0"/>
              <w:snapToGrid w:val="0"/>
              <w:jc w:val="center"/>
              <w:rPr>
                <w:color w:val="000000" w:themeColor="text1"/>
                <w:sz w:val="21"/>
                <w:szCs w:val="18"/>
              </w:rPr>
            </w:pPr>
            <w:proofErr w:type="gramStart"/>
            <w:r w:rsidRPr="00B12FE0">
              <w:rPr>
                <w:color w:val="000000" w:themeColor="text1"/>
                <w:sz w:val="21"/>
                <w:szCs w:val="18"/>
              </w:rPr>
              <w:t>日操作</w:t>
            </w:r>
            <w:proofErr w:type="gramEnd"/>
            <w:r w:rsidRPr="00B12FE0">
              <w:rPr>
                <w:color w:val="000000" w:themeColor="text1"/>
                <w:sz w:val="21"/>
                <w:szCs w:val="18"/>
              </w:rPr>
              <w:t>最大量放射性核素发的加权活度，</w:t>
            </w:r>
            <w:r w:rsidRPr="00B12FE0">
              <w:rPr>
                <w:color w:val="000000" w:themeColor="text1"/>
                <w:sz w:val="21"/>
                <w:szCs w:val="18"/>
              </w:rPr>
              <w:t>MBq</w:t>
            </w:r>
          </w:p>
        </w:tc>
      </w:tr>
      <w:tr w:rsidR="00A67F21" w:rsidRPr="00B12FE0" w14:paraId="502F70FC" w14:textId="77777777">
        <w:trPr>
          <w:jc w:val="center"/>
        </w:trPr>
        <w:tc>
          <w:tcPr>
            <w:tcW w:w="2069" w:type="pct"/>
            <w:vAlign w:val="center"/>
          </w:tcPr>
          <w:p w14:paraId="4796A408"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I</w:t>
            </w:r>
          </w:p>
        </w:tc>
        <w:tc>
          <w:tcPr>
            <w:tcW w:w="2931" w:type="pct"/>
            <w:vAlign w:val="center"/>
          </w:tcPr>
          <w:p w14:paraId="791FB353"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&gt;50000</w:t>
            </w:r>
          </w:p>
        </w:tc>
      </w:tr>
      <w:tr w:rsidR="00A67F21" w:rsidRPr="00B12FE0" w14:paraId="6490DAEC" w14:textId="77777777">
        <w:trPr>
          <w:jc w:val="center"/>
        </w:trPr>
        <w:tc>
          <w:tcPr>
            <w:tcW w:w="2069" w:type="pct"/>
            <w:vAlign w:val="center"/>
          </w:tcPr>
          <w:p w14:paraId="470E5ADF"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Ⅱ</w:t>
            </w:r>
          </w:p>
        </w:tc>
        <w:tc>
          <w:tcPr>
            <w:tcW w:w="2931" w:type="pct"/>
            <w:vAlign w:val="center"/>
          </w:tcPr>
          <w:p w14:paraId="0CC1095D"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50~50000</w:t>
            </w:r>
          </w:p>
        </w:tc>
      </w:tr>
      <w:tr w:rsidR="00A67F21" w:rsidRPr="00B12FE0" w14:paraId="4A9F58D1" w14:textId="77777777">
        <w:trPr>
          <w:jc w:val="center"/>
        </w:trPr>
        <w:tc>
          <w:tcPr>
            <w:tcW w:w="2069" w:type="pct"/>
            <w:vAlign w:val="center"/>
          </w:tcPr>
          <w:p w14:paraId="242B7B09"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Ⅲ</w:t>
            </w:r>
          </w:p>
        </w:tc>
        <w:tc>
          <w:tcPr>
            <w:tcW w:w="2931" w:type="pct"/>
            <w:vAlign w:val="center"/>
          </w:tcPr>
          <w:p w14:paraId="331BBFF1"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&lt;50</w:t>
            </w:r>
          </w:p>
        </w:tc>
      </w:tr>
      <w:tr w:rsidR="00A67F21" w:rsidRPr="00B12FE0" w14:paraId="6B83A9AF" w14:textId="77777777">
        <w:trPr>
          <w:jc w:val="center"/>
        </w:trPr>
        <w:tc>
          <w:tcPr>
            <w:tcW w:w="5000" w:type="pct"/>
            <w:gridSpan w:val="2"/>
            <w:vAlign w:val="center"/>
          </w:tcPr>
          <w:p w14:paraId="5E1F22B7" w14:textId="77777777" w:rsidR="00A67F21" w:rsidRPr="00B12FE0" w:rsidRDefault="00000000">
            <w:pPr>
              <w:adjustRightInd w:val="0"/>
              <w:snapToGrid w:val="0"/>
              <w:jc w:val="left"/>
              <w:rPr>
                <w:color w:val="000000" w:themeColor="text1"/>
                <w:sz w:val="21"/>
                <w:szCs w:val="18"/>
              </w:rPr>
            </w:pPr>
            <w:r w:rsidRPr="00B12FE0">
              <w:rPr>
                <w:color w:val="000000" w:themeColor="text1"/>
                <w:sz w:val="21"/>
                <w:szCs w:val="18"/>
              </w:rPr>
              <w:t>注：加权活度</w:t>
            </w:r>
            <w:r w:rsidRPr="00B12FE0">
              <w:rPr>
                <w:color w:val="000000" w:themeColor="text1"/>
                <w:sz w:val="21"/>
                <w:szCs w:val="18"/>
              </w:rPr>
              <w:t>=</w:t>
            </w:r>
            <w:r w:rsidRPr="00B12FE0">
              <w:rPr>
                <w:color w:val="000000" w:themeColor="text1"/>
                <w:sz w:val="21"/>
                <w:szCs w:val="18"/>
              </w:rPr>
              <w:t>（计划的日最大操作活度</w:t>
            </w:r>
            <w:r w:rsidRPr="00B12FE0">
              <w:rPr>
                <w:color w:val="000000" w:themeColor="text1"/>
                <w:sz w:val="21"/>
                <w:szCs w:val="18"/>
              </w:rPr>
              <w:t>×</w:t>
            </w:r>
            <w:r w:rsidRPr="00B12FE0">
              <w:rPr>
                <w:color w:val="000000" w:themeColor="text1"/>
                <w:sz w:val="21"/>
                <w:szCs w:val="18"/>
              </w:rPr>
              <w:t>核素毒性权重因子）</w:t>
            </w:r>
            <w:r w:rsidRPr="00B12FE0">
              <w:rPr>
                <w:color w:val="000000" w:themeColor="text1"/>
                <w:sz w:val="21"/>
                <w:szCs w:val="18"/>
              </w:rPr>
              <w:t>/</w:t>
            </w:r>
            <w:r w:rsidRPr="00B12FE0">
              <w:rPr>
                <w:color w:val="000000" w:themeColor="text1"/>
                <w:sz w:val="21"/>
                <w:szCs w:val="18"/>
              </w:rPr>
              <w:t>操作性质修正因子</w:t>
            </w:r>
          </w:p>
        </w:tc>
      </w:tr>
    </w:tbl>
    <w:p w14:paraId="35118B4C" w14:textId="77777777" w:rsidR="00A67F21" w:rsidRPr="00B12FE0" w:rsidRDefault="00000000">
      <w:pPr>
        <w:adjustRightInd w:val="0"/>
        <w:snapToGrid w:val="0"/>
        <w:spacing w:beforeLines="50" w:before="120" w:line="360" w:lineRule="auto"/>
        <w:ind w:firstLineChars="200" w:firstLine="480"/>
        <w:rPr>
          <w:color w:val="000000" w:themeColor="text1"/>
          <w:sz w:val="21"/>
          <w:szCs w:val="21"/>
        </w:rPr>
      </w:pPr>
      <w:r w:rsidRPr="00B12FE0">
        <w:rPr>
          <w:rFonts w:ascii="宋体" w:hAnsi="宋体"/>
          <w:color w:val="000000" w:themeColor="text1"/>
          <w:szCs w:val="24"/>
        </w:rPr>
        <w:t>本项目放射性核素毒性权重因子和操作性质修正因子见表</w:t>
      </w:r>
      <w:r w:rsidRPr="00B12FE0">
        <w:rPr>
          <w:color w:val="000000" w:themeColor="text1"/>
          <w:szCs w:val="24"/>
        </w:rPr>
        <w:t>10.1.1.4-5</w:t>
      </w:r>
      <w:r w:rsidRPr="00B12FE0">
        <w:rPr>
          <w:rFonts w:ascii="宋体" w:hAnsi="宋体"/>
          <w:color w:val="000000" w:themeColor="text1"/>
          <w:szCs w:val="24"/>
        </w:rPr>
        <w:t>和</w:t>
      </w:r>
      <w:r w:rsidRPr="00B12FE0">
        <w:rPr>
          <w:color w:val="000000" w:themeColor="text1"/>
          <w:szCs w:val="24"/>
        </w:rPr>
        <w:t>10.1.1.4-6</w:t>
      </w:r>
      <w:r w:rsidRPr="00B12FE0">
        <w:rPr>
          <w:rFonts w:ascii="宋体" w:hAnsi="宋体"/>
          <w:color w:val="000000" w:themeColor="text1"/>
          <w:szCs w:val="24"/>
        </w:rPr>
        <w:t>。</w:t>
      </w:r>
    </w:p>
    <w:p w14:paraId="7D19ABA9"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10.1.1.4-5  </w:t>
      </w:r>
      <w:r w:rsidRPr="00B12FE0">
        <w:rPr>
          <w:rFonts w:ascii="宋体" w:hAnsi="宋体"/>
          <w:b/>
          <w:color w:val="000000" w:themeColor="text1"/>
          <w:sz w:val="21"/>
          <w:szCs w:val="21"/>
        </w:rPr>
        <w:t>核医学科常用放射性核素毒性权重因子</w:t>
      </w:r>
    </w:p>
    <w:tbl>
      <w:tblPr>
        <w:tblStyle w:val="affff"/>
        <w:tblW w:w="5000" w:type="pct"/>
        <w:jc w:val="center"/>
        <w:tblLook w:val="04A0" w:firstRow="1" w:lastRow="0" w:firstColumn="1" w:lastColumn="0" w:noHBand="0" w:noVBand="1"/>
      </w:tblPr>
      <w:tblGrid>
        <w:gridCol w:w="755"/>
        <w:gridCol w:w="6543"/>
        <w:gridCol w:w="1719"/>
      </w:tblGrid>
      <w:tr w:rsidR="00A67F21" w:rsidRPr="00B12FE0" w14:paraId="3CD9CEB6" w14:textId="77777777">
        <w:trPr>
          <w:jc w:val="center"/>
        </w:trPr>
        <w:tc>
          <w:tcPr>
            <w:tcW w:w="419" w:type="pct"/>
            <w:vAlign w:val="center"/>
          </w:tcPr>
          <w:p w14:paraId="5CDB766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类别</w:t>
            </w:r>
          </w:p>
        </w:tc>
        <w:tc>
          <w:tcPr>
            <w:tcW w:w="3628" w:type="pct"/>
            <w:vAlign w:val="center"/>
          </w:tcPr>
          <w:p w14:paraId="6A5AC2CE"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放射性核素</w:t>
            </w:r>
          </w:p>
        </w:tc>
        <w:tc>
          <w:tcPr>
            <w:tcW w:w="953" w:type="pct"/>
          </w:tcPr>
          <w:p w14:paraId="36F0542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毒性权重因子</w:t>
            </w:r>
          </w:p>
        </w:tc>
      </w:tr>
      <w:tr w:rsidR="00A67F21" w:rsidRPr="00B12FE0" w14:paraId="6816BE57" w14:textId="77777777">
        <w:trPr>
          <w:jc w:val="center"/>
        </w:trPr>
        <w:tc>
          <w:tcPr>
            <w:tcW w:w="419" w:type="pct"/>
            <w:vAlign w:val="center"/>
          </w:tcPr>
          <w:p w14:paraId="0ADBF4D6"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A</w:t>
            </w:r>
          </w:p>
        </w:tc>
        <w:tc>
          <w:tcPr>
            <w:tcW w:w="3628" w:type="pct"/>
            <w:vAlign w:val="center"/>
          </w:tcPr>
          <w:p w14:paraId="334C6B9E"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vertAlign w:val="superscript"/>
              </w:rPr>
              <w:t>75</w:t>
            </w:r>
            <w:r w:rsidRPr="00B12FE0">
              <w:rPr>
                <w:rFonts w:hint="eastAsia"/>
                <w:color w:val="000000" w:themeColor="text1"/>
                <w:sz w:val="21"/>
                <w:szCs w:val="18"/>
              </w:rPr>
              <w:t>Se</w:t>
            </w:r>
            <w:r w:rsidRPr="00B12FE0">
              <w:rPr>
                <w:rFonts w:hint="eastAsia"/>
                <w:color w:val="000000" w:themeColor="text1"/>
                <w:sz w:val="21"/>
                <w:szCs w:val="18"/>
              </w:rPr>
              <w:t>、</w:t>
            </w:r>
            <w:r w:rsidRPr="00B12FE0">
              <w:rPr>
                <w:rFonts w:hint="eastAsia"/>
                <w:color w:val="000000" w:themeColor="text1"/>
                <w:sz w:val="21"/>
                <w:szCs w:val="18"/>
                <w:vertAlign w:val="superscript"/>
              </w:rPr>
              <w:t>89</w:t>
            </w:r>
            <w:r w:rsidRPr="00B12FE0">
              <w:rPr>
                <w:rFonts w:hint="eastAsia"/>
                <w:color w:val="000000" w:themeColor="text1"/>
                <w:sz w:val="21"/>
                <w:szCs w:val="18"/>
              </w:rPr>
              <w:t>Sr</w:t>
            </w:r>
            <w:r w:rsidRPr="00B12FE0">
              <w:rPr>
                <w:rFonts w:hint="eastAsia"/>
                <w:color w:val="000000" w:themeColor="text1"/>
                <w:sz w:val="21"/>
                <w:szCs w:val="18"/>
              </w:rPr>
              <w:t>、</w:t>
            </w:r>
            <w:r w:rsidRPr="00B12FE0">
              <w:rPr>
                <w:rFonts w:hint="eastAsia"/>
                <w:color w:val="000000" w:themeColor="text1"/>
                <w:sz w:val="21"/>
                <w:szCs w:val="18"/>
                <w:vertAlign w:val="superscript"/>
              </w:rPr>
              <w:t>125</w:t>
            </w:r>
            <w:r w:rsidRPr="00B12FE0">
              <w:rPr>
                <w:rFonts w:hint="eastAsia"/>
                <w:color w:val="000000" w:themeColor="text1"/>
                <w:sz w:val="21"/>
                <w:szCs w:val="18"/>
              </w:rPr>
              <w:t>I</w:t>
            </w:r>
            <w:r w:rsidRPr="00B12FE0">
              <w:rPr>
                <w:rFonts w:hint="eastAsia"/>
                <w:color w:val="000000" w:themeColor="text1"/>
                <w:sz w:val="21"/>
                <w:szCs w:val="18"/>
              </w:rPr>
              <w:t>、</w:t>
            </w:r>
            <w:r w:rsidRPr="00B12FE0">
              <w:rPr>
                <w:rFonts w:hint="eastAsia"/>
                <w:color w:val="000000" w:themeColor="text1"/>
                <w:sz w:val="21"/>
                <w:szCs w:val="18"/>
                <w:vertAlign w:val="superscript"/>
              </w:rPr>
              <w:t>131</w:t>
            </w:r>
            <w:r w:rsidRPr="00B12FE0">
              <w:rPr>
                <w:rFonts w:hint="eastAsia"/>
                <w:color w:val="000000" w:themeColor="text1"/>
                <w:sz w:val="21"/>
                <w:szCs w:val="18"/>
              </w:rPr>
              <w:t>I</w:t>
            </w:r>
            <w:r w:rsidRPr="00B12FE0">
              <w:rPr>
                <w:rFonts w:hint="eastAsia"/>
                <w:color w:val="000000" w:themeColor="text1"/>
                <w:sz w:val="21"/>
                <w:szCs w:val="18"/>
              </w:rPr>
              <w:t>、</w:t>
            </w:r>
            <w:r w:rsidRPr="00B12FE0">
              <w:rPr>
                <w:rFonts w:hint="eastAsia"/>
                <w:color w:val="000000" w:themeColor="text1"/>
                <w:sz w:val="21"/>
                <w:szCs w:val="18"/>
                <w:vertAlign w:val="superscript"/>
              </w:rPr>
              <w:t>23</w:t>
            </w:r>
            <w:r w:rsidRPr="00B12FE0">
              <w:rPr>
                <w:rFonts w:hint="eastAsia"/>
                <w:color w:val="000000" w:themeColor="text1"/>
                <w:sz w:val="21"/>
                <w:szCs w:val="18"/>
              </w:rPr>
              <w:t>P</w:t>
            </w:r>
            <w:r w:rsidRPr="00B12FE0">
              <w:rPr>
                <w:rFonts w:hint="eastAsia"/>
                <w:color w:val="000000" w:themeColor="text1"/>
                <w:sz w:val="21"/>
                <w:szCs w:val="18"/>
              </w:rPr>
              <w:t>、</w:t>
            </w:r>
            <w:r w:rsidRPr="00B12FE0">
              <w:rPr>
                <w:rFonts w:hint="eastAsia"/>
                <w:color w:val="000000" w:themeColor="text1"/>
                <w:sz w:val="21"/>
                <w:szCs w:val="18"/>
                <w:vertAlign w:val="superscript"/>
              </w:rPr>
              <w:t>90</w:t>
            </w:r>
            <w:r w:rsidRPr="00B12FE0">
              <w:rPr>
                <w:rFonts w:hint="eastAsia"/>
                <w:color w:val="000000" w:themeColor="text1"/>
                <w:sz w:val="21"/>
                <w:szCs w:val="18"/>
              </w:rPr>
              <w:t>Y</w:t>
            </w:r>
            <w:r w:rsidRPr="00B12FE0">
              <w:rPr>
                <w:rFonts w:hint="eastAsia"/>
                <w:color w:val="000000" w:themeColor="text1"/>
                <w:sz w:val="21"/>
                <w:szCs w:val="18"/>
              </w:rPr>
              <w:t>、</w:t>
            </w:r>
            <w:r w:rsidRPr="00B12FE0">
              <w:rPr>
                <w:rFonts w:hint="eastAsia"/>
                <w:color w:val="000000" w:themeColor="text1"/>
                <w:sz w:val="21"/>
                <w:szCs w:val="18"/>
                <w:vertAlign w:val="superscript"/>
              </w:rPr>
              <w:t>99</w:t>
            </w:r>
            <w:r w:rsidRPr="00B12FE0">
              <w:rPr>
                <w:rFonts w:hint="eastAsia"/>
                <w:color w:val="000000" w:themeColor="text1"/>
                <w:sz w:val="21"/>
                <w:szCs w:val="18"/>
              </w:rPr>
              <w:t>Mo</w:t>
            </w:r>
            <w:r w:rsidRPr="00B12FE0">
              <w:rPr>
                <w:rFonts w:hint="eastAsia"/>
                <w:color w:val="000000" w:themeColor="text1"/>
                <w:sz w:val="21"/>
                <w:szCs w:val="18"/>
              </w:rPr>
              <w:t>、</w:t>
            </w:r>
            <w:r w:rsidRPr="00B12FE0">
              <w:rPr>
                <w:rFonts w:hint="eastAsia"/>
                <w:color w:val="000000" w:themeColor="text1"/>
                <w:sz w:val="21"/>
                <w:szCs w:val="18"/>
                <w:vertAlign w:val="superscript"/>
              </w:rPr>
              <w:t>153</w:t>
            </w:r>
            <w:r w:rsidRPr="00B12FE0">
              <w:rPr>
                <w:rFonts w:hint="eastAsia"/>
                <w:color w:val="000000" w:themeColor="text1"/>
                <w:sz w:val="21"/>
                <w:szCs w:val="18"/>
              </w:rPr>
              <w:t>Sm</w:t>
            </w:r>
          </w:p>
        </w:tc>
        <w:tc>
          <w:tcPr>
            <w:tcW w:w="953" w:type="pct"/>
          </w:tcPr>
          <w:p w14:paraId="15C956E1"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100</w:t>
            </w:r>
          </w:p>
        </w:tc>
      </w:tr>
      <w:tr w:rsidR="00A67F21" w:rsidRPr="00B12FE0" w14:paraId="7076D3A8" w14:textId="77777777">
        <w:trPr>
          <w:jc w:val="center"/>
        </w:trPr>
        <w:tc>
          <w:tcPr>
            <w:tcW w:w="419" w:type="pct"/>
            <w:vAlign w:val="center"/>
          </w:tcPr>
          <w:p w14:paraId="4B91102F"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B</w:t>
            </w:r>
          </w:p>
        </w:tc>
        <w:tc>
          <w:tcPr>
            <w:tcW w:w="3628" w:type="pct"/>
            <w:vAlign w:val="center"/>
          </w:tcPr>
          <w:p w14:paraId="1726A93A"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vertAlign w:val="superscript"/>
              </w:rPr>
              <w:t>11</w:t>
            </w:r>
            <w:r w:rsidRPr="00B12FE0">
              <w:rPr>
                <w:rFonts w:hint="eastAsia"/>
                <w:color w:val="000000" w:themeColor="text1"/>
                <w:sz w:val="21"/>
                <w:szCs w:val="18"/>
              </w:rPr>
              <w:t>C</w:t>
            </w:r>
            <w:r w:rsidRPr="00B12FE0">
              <w:rPr>
                <w:rFonts w:hint="eastAsia"/>
                <w:color w:val="000000" w:themeColor="text1"/>
                <w:sz w:val="21"/>
                <w:szCs w:val="18"/>
              </w:rPr>
              <w:t>、</w:t>
            </w:r>
            <w:r w:rsidRPr="00B12FE0">
              <w:rPr>
                <w:rFonts w:hint="eastAsia"/>
                <w:color w:val="000000" w:themeColor="text1"/>
                <w:sz w:val="21"/>
                <w:szCs w:val="18"/>
                <w:vertAlign w:val="superscript"/>
              </w:rPr>
              <w:t>13</w:t>
            </w:r>
            <w:r w:rsidRPr="00B12FE0">
              <w:rPr>
                <w:rFonts w:hint="eastAsia"/>
                <w:color w:val="000000" w:themeColor="text1"/>
                <w:sz w:val="21"/>
                <w:szCs w:val="18"/>
              </w:rPr>
              <w:t>N</w:t>
            </w:r>
            <w:r w:rsidRPr="00B12FE0">
              <w:rPr>
                <w:rFonts w:hint="eastAsia"/>
                <w:color w:val="000000" w:themeColor="text1"/>
                <w:sz w:val="21"/>
                <w:szCs w:val="18"/>
              </w:rPr>
              <w:t>、</w:t>
            </w:r>
            <w:r w:rsidRPr="00B12FE0">
              <w:rPr>
                <w:rFonts w:hint="eastAsia"/>
                <w:color w:val="000000" w:themeColor="text1"/>
                <w:sz w:val="21"/>
                <w:szCs w:val="18"/>
                <w:vertAlign w:val="superscript"/>
              </w:rPr>
              <w:t>13</w:t>
            </w:r>
            <w:r w:rsidRPr="00B12FE0">
              <w:rPr>
                <w:rFonts w:hint="eastAsia"/>
                <w:color w:val="000000" w:themeColor="text1"/>
                <w:sz w:val="21"/>
                <w:szCs w:val="18"/>
              </w:rPr>
              <w:t>O</w:t>
            </w:r>
            <w:r w:rsidRPr="00B12FE0">
              <w:rPr>
                <w:rFonts w:hint="eastAsia"/>
                <w:color w:val="000000" w:themeColor="text1"/>
                <w:sz w:val="21"/>
                <w:szCs w:val="18"/>
              </w:rPr>
              <w:t>、</w:t>
            </w:r>
            <w:r w:rsidRPr="00B12FE0">
              <w:rPr>
                <w:rFonts w:hint="eastAsia"/>
                <w:color w:val="000000" w:themeColor="text1"/>
                <w:sz w:val="21"/>
                <w:szCs w:val="18"/>
                <w:vertAlign w:val="superscript"/>
              </w:rPr>
              <w:t>18</w:t>
            </w:r>
            <w:r w:rsidRPr="00B12FE0">
              <w:rPr>
                <w:rFonts w:hint="eastAsia"/>
                <w:color w:val="000000" w:themeColor="text1"/>
                <w:sz w:val="21"/>
                <w:szCs w:val="18"/>
              </w:rPr>
              <w:t>F</w:t>
            </w:r>
            <w:r w:rsidRPr="00B12FE0">
              <w:rPr>
                <w:rFonts w:hint="eastAsia"/>
                <w:color w:val="000000" w:themeColor="text1"/>
                <w:sz w:val="21"/>
                <w:szCs w:val="18"/>
              </w:rPr>
              <w:t>、</w:t>
            </w:r>
            <w:r w:rsidRPr="00B12FE0">
              <w:rPr>
                <w:rFonts w:hint="eastAsia"/>
                <w:color w:val="000000" w:themeColor="text1"/>
                <w:sz w:val="21"/>
                <w:szCs w:val="18"/>
                <w:vertAlign w:val="superscript"/>
              </w:rPr>
              <w:t>51</w:t>
            </w:r>
            <w:r w:rsidRPr="00B12FE0">
              <w:rPr>
                <w:rFonts w:hint="eastAsia"/>
                <w:color w:val="000000" w:themeColor="text1"/>
                <w:sz w:val="21"/>
                <w:szCs w:val="18"/>
              </w:rPr>
              <w:t>Cr</w:t>
            </w:r>
            <w:r w:rsidRPr="00B12FE0">
              <w:rPr>
                <w:rFonts w:hint="eastAsia"/>
                <w:color w:val="000000" w:themeColor="text1"/>
                <w:sz w:val="21"/>
                <w:szCs w:val="18"/>
              </w:rPr>
              <w:t>、</w:t>
            </w:r>
            <w:r w:rsidRPr="00B12FE0">
              <w:rPr>
                <w:rFonts w:hint="eastAsia"/>
                <w:color w:val="000000" w:themeColor="text1"/>
                <w:sz w:val="21"/>
                <w:szCs w:val="18"/>
                <w:vertAlign w:val="superscript"/>
              </w:rPr>
              <w:t>68</w:t>
            </w:r>
            <w:r w:rsidRPr="00B12FE0">
              <w:rPr>
                <w:rFonts w:hint="eastAsia"/>
                <w:color w:val="000000" w:themeColor="text1"/>
                <w:sz w:val="21"/>
                <w:szCs w:val="18"/>
              </w:rPr>
              <w:t>Ga</w:t>
            </w:r>
            <w:r w:rsidRPr="00B12FE0">
              <w:rPr>
                <w:rFonts w:hint="eastAsia"/>
                <w:color w:val="000000" w:themeColor="text1"/>
                <w:sz w:val="21"/>
                <w:szCs w:val="18"/>
              </w:rPr>
              <w:t>、</w:t>
            </w:r>
            <w:r w:rsidRPr="00B12FE0">
              <w:rPr>
                <w:rFonts w:hint="eastAsia"/>
                <w:color w:val="000000" w:themeColor="text1"/>
                <w:sz w:val="21"/>
                <w:szCs w:val="18"/>
                <w:vertAlign w:val="superscript"/>
              </w:rPr>
              <w:t>99</w:t>
            </w:r>
            <w:r w:rsidRPr="00B12FE0">
              <w:rPr>
                <w:rFonts w:hint="eastAsia"/>
                <w:color w:val="000000" w:themeColor="text1"/>
                <w:sz w:val="21"/>
                <w:szCs w:val="18"/>
              </w:rPr>
              <w:t>Tc</w:t>
            </w:r>
            <w:r w:rsidRPr="00B12FE0">
              <w:rPr>
                <w:rFonts w:hint="eastAsia"/>
                <w:color w:val="000000" w:themeColor="text1"/>
                <w:sz w:val="21"/>
                <w:szCs w:val="18"/>
                <w:vertAlign w:val="superscript"/>
              </w:rPr>
              <w:t>m</w:t>
            </w:r>
            <w:r w:rsidRPr="00B12FE0">
              <w:rPr>
                <w:rFonts w:hint="eastAsia"/>
                <w:color w:val="000000" w:themeColor="text1"/>
                <w:sz w:val="21"/>
                <w:szCs w:val="18"/>
              </w:rPr>
              <w:t>、</w:t>
            </w:r>
            <w:r w:rsidRPr="00B12FE0">
              <w:rPr>
                <w:rFonts w:hint="eastAsia"/>
                <w:color w:val="000000" w:themeColor="text1"/>
                <w:sz w:val="21"/>
                <w:szCs w:val="18"/>
                <w:vertAlign w:val="superscript"/>
              </w:rPr>
              <w:t>111</w:t>
            </w:r>
            <w:r w:rsidRPr="00B12FE0">
              <w:rPr>
                <w:rFonts w:hint="eastAsia"/>
                <w:color w:val="000000" w:themeColor="text1"/>
                <w:sz w:val="21"/>
                <w:szCs w:val="18"/>
              </w:rPr>
              <w:t>In</w:t>
            </w:r>
            <w:r w:rsidRPr="00B12FE0">
              <w:rPr>
                <w:rFonts w:hint="eastAsia"/>
                <w:color w:val="000000" w:themeColor="text1"/>
                <w:sz w:val="21"/>
                <w:szCs w:val="18"/>
              </w:rPr>
              <w:t>、</w:t>
            </w:r>
            <w:r w:rsidRPr="00B12FE0">
              <w:rPr>
                <w:rFonts w:hint="eastAsia"/>
                <w:color w:val="000000" w:themeColor="text1"/>
                <w:sz w:val="21"/>
                <w:szCs w:val="18"/>
                <w:vertAlign w:val="superscript"/>
              </w:rPr>
              <w:t>113</w:t>
            </w:r>
            <w:r w:rsidRPr="00B12FE0">
              <w:rPr>
                <w:rFonts w:hint="eastAsia"/>
                <w:color w:val="000000" w:themeColor="text1"/>
                <w:sz w:val="21"/>
                <w:szCs w:val="18"/>
              </w:rPr>
              <w:t>In</w:t>
            </w:r>
            <w:r w:rsidRPr="00B12FE0">
              <w:rPr>
                <w:rFonts w:hint="eastAsia"/>
                <w:color w:val="000000" w:themeColor="text1"/>
                <w:sz w:val="21"/>
                <w:szCs w:val="18"/>
                <w:vertAlign w:val="superscript"/>
              </w:rPr>
              <w:t>m</w:t>
            </w:r>
            <w:r w:rsidRPr="00B12FE0">
              <w:rPr>
                <w:rFonts w:hint="eastAsia"/>
                <w:color w:val="000000" w:themeColor="text1"/>
                <w:sz w:val="21"/>
                <w:szCs w:val="18"/>
              </w:rPr>
              <w:t>、</w:t>
            </w:r>
            <w:r w:rsidRPr="00B12FE0">
              <w:rPr>
                <w:rFonts w:hint="eastAsia"/>
                <w:color w:val="000000" w:themeColor="text1"/>
                <w:sz w:val="21"/>
                <w:szCs w:val="18"/>
                <w:vertAlign w:val="superscript"/>
              </w:rPr>
              <w:t>123</w:t>
            </w:r>
            <w:r w:rsidRPr="00B12FE0">
              <w:rPr>
                <w:rFonts w:hint="eastAsia"/>
                <w:color w:val="000000" w:themeColor="text1"/>
                <w:sz w:val="21"/>
                <w:szCs w:val="18"/>
              </w:rPr>
              <w:t>I</w:t>
            </w:r>
            <w:r w:rsidRPr="00B12FE0">
              <w:rPr>
                <w:rFonts w:hint="eastAsia"/>
                <w:color w:val="000000" w:themeColor="text1"/>
                <w:sz w:val="21"/>
                <w:szCs w:val="18"/>
              </w:rPr>
              <w:t>、</w:t>
            </w:r>
            <w:r w:rsidRPr="00B12FE0">
              <w:rPr>
                <w:rFonts w:hint="eastAsia"/>
                <w:color w:val="000000" w:themeColor="text1"/>
                <w:sz w:val="21"/>
                <w:szCs w:val="18"/>
                <w:vertAlign w:val="superscript"/>
              </w:rPr>
              <w:t>201</w:t>
            </w:r>
            <w:r w:rsidRPr="00B12FE0">
              <w:rPr>
                <w:rFonts w:hint="eastAsia"/>
                <w:color w:val="000000" w:themeColor="text1"/>
                <w:sz w:val="21"/>
                <w:szCs w:val="18"/>
              </w:rPr>
              <w:t>Tl</w:t>
            </w:r>
          </w:p>
        </w:tc>
        <w:tc>
          <w:tcPr>
            <w:tcW w:w="953" w:type="pct"/>
          </w:tcPr>
          <w:p w14:paraId="4136DAD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w:t>
            </w:r>
          </w:p>
        </w:tc>
      </w:tr>
      <w:tr w:rsidR="00A67F21" w:rsidRPr="00B12FE0" w14:paraId="5685BB00" w14:textId="77777777">
        <w:trPr>
          <w:jc w:val="center"/>
        </w:trPr>
        <w:tc>
          <w:tcPr>
            <w:tcW w:w="419" w:type="pct"/>
            <w:vAlign w:val="center"/>
          </w:tcPr>
          <w:p w14:paraId="19A2B48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C</w:t>
            </w:r>
          </w:p>
        </w:tc>
        <w:tc>
          <w:tcPr>
            <w:tcW w:w="3628" w:type="pct"/>
            <w:vAlign w:val="center"/>
          </w:tcPr>
          <w:p w14:paraId="11F4EA2D"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vertAlign w:val="superscript"/>
              </w:rPr>
              <w:t>14</w:t>
            </w:r>
            <w:r w:rsidRPr="00B12FE0">
              <w:rPr>
                <w:rFonts w:hint="eastAsia"/>
                <w:color w:val="000000" w:themeColor="text1"/>
                <w:sz w:val="21"/>
                <w:szCs w:val="18"/>
              </w:rPr>
              <w:t>C</w:t>
            </w:r>
            <w:r w:rsidRPr="00B12FE0">
              <w:rPr>
                <w:rFonts w:hint="eastAsia"/>
                <w:color w:val="000000" w:themeColor="text1"/>
                <w:sz w:val="21"/>
                <w:szCs w:val="18"/>
              </w:rPr>
              <w:t>、</w:t>
            </w:r>
            <w:r w:rsidRPr="00B12FE0">
              <w:rPr>
                <w:rFonts w:hint="eastAsia"/>
                <w:color w:val="000000" w:themeColor="text1"/>
                <w:sz w:val="21"/>
                <w:szCs w:val="18"/>
                <w:vertAlign w:val="superscript"/>
              </w:rPr>
              <w:t>3</w:t>
            </w:r>
            <w:r w:rsidRPr="00B12FE0">
              <w:rPr>
                <w:rFonts w:hint="eastAsia"/>
                <w:color w:val="000000" w:themeColor="text1"/>
                <w:sz w:val="21"/>
                <w:szCs w:val="18"/>
              </w:rPr>
              <w:t>H</w:t>
            </w:r>
            <w:r w:rsidRPr="00B12FE0">
              <w:rPr>
                <w:rFonts w:hint="eastAsia"/>
                <w:color w:val="000000" w:themeColor="text1"/>
                <w:sz w:val="21"/>
                <w:szCs w:val="18"/>
              </w:rPr>
              <w:t>、</w:t>
            </w:r>
            <w:r w:rsidRPr="00B12FE0">
              <w:rPr>
                <w:rFonts w:hint="eastAsia"/>
                <w:color w:val="000000" w:themeColor="text1"/>
                <w:sz w:val="21"/>
                <w:szCs w:val="18"/>
                <w:vertAlign w:val="superscript"/>
              </w:rPr>
              <w:t>81</w:t>
            </w:r>
            <w:r w:rsidRPr="00B12FE0">
              <w:rPr>
                <w:rFonts w:hint="eastAsia"/>
                <w:color w:val="000000" w:themeColor="text1"/>
                <w:sz w:val="21"/>
                <w:szCs w:val="18"/>
              </w:rPr>
              <w:t>Kr</w:t>
            </w:r>
            <w:r w:rsidRPr="00B12FE0">
              <w:rPr>
                <w:rFonts w:hint="eastAsia"/>
                <w:color w:val="000000" w:themeColor="text1"/>
                <w:sz w:val="21"/>
                <w:szCs w:val="18"/>
                <w:vertAlign w:val="superscript"/>
              </w:rPr>
              <w:t>m</w:t>
            </w:r>
            <w:r w:rsidRPr="00B12FE0">
              <w:rPr>
                <w:rFonts w:hint="eastAsia"/>
                <w:color w:val="000000" w:themeColor="text1"/>
                <w:sz w:val="21"/>
                <w:szCs w:val="18"/>
              </w:rPr>
              <w:t>、</w:t>
            </w:r>
            <w:r w:rsidRPr="00B12FE0">
              <w:rPr>
                <w:rFonts w:hint="eastAsia"/>
                <w:color w:val="000000" w:themeColor="text1"/>
                <w:sz w:val="21"/>
                <w:szCs w:val="18"/>
                <w:vertAlign w:val="superscript"/>
              </w:rPr>
              <w:t>127</w:t>
            </w:r>
            <w:r w:rsidRPr="00B12FE0">
              <w:rPr>
                <w:rFonts w:hint="eastAsia"/>
                <w:color w:val="000000" w:themeColor="text1"/>
                <w:sz w:val="21"/>
                <w:szCs w:val="18"/>
              </w:rPr>
              <w:t>Xe</w:t>
            </w:r>
            <w:r w:rsidRPr="00B12FE0">
              <w:rPr>
                <w:rFonts w:hint="eastAsia"/>
                <w:color w:val="000000" w:themeColor="text1"/>
                <w:sz w:val="21"/>
                <w:szCs w:val="18"/>
              </w:rPr>
              <w:t>、</w:t>
            </w:r>
            <w:r w:rsidRPr="00B12FE0">
              <w:rPr>
                <w:rFonts w:hint="eastAsia"/>
                <w:color w:val="000000" w:themeColor="text1"/>
                <w:sz w:val="21"/>
                <w:szCs w:val="18"/>
                <w:vertAlign w:val="superscript"/>
              </w:rPr>
              <w:t>133</w:t>
            </w:r>
            <w:r w:rsidRPr="00B12FE0">
              <w:rPr>
                <w:rFonts w:hint="eastAsia"/>
                <w:color w:val="000000" w:themeColor="text1"/>
                <w:sz w:val="21"/>
                <w:szCs w:val="18"/>
              </w:rPr>
              <w:t>Xe</w:t>
            </w:r>
          </w:p>
        </w:tc>
        <w:tc>
          <w:tcPr>
            <w:tcW w:w="953" w:type="pct"/>
          </w:tcPr>
          <w:p w14:paraId="7BC8843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0.01</w:t>
            </w:r>
          </w:p>
        </w:tc>
      </w:tr>
    </w:tbl>
    <w:p w14:paraId="6363DAAC" w14:textId="77777777" w:rsidR="00A67F21" w:rsidRPr="00B12FE0" w:rsidRDefault="00000000">
      <w:pPr>
        <w:adjustRightInd w:val="0"/>
        <w:snapToGrid w:val="0"/>
        <w:spacing w:beforeLines="50" w:before="120"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10.1.1.4-6  </w:t>
      </w:r>
      <w:r w:rsidRPr="00B12FE0">
        <w:rPr>
          <w:rFonts w:ascii="宋体" w:hAnsi="宋体"/>
          <w:b/>
          <w:color w:val="000000" w:themeColor="text1"/>
          <w:sz w:val="21"/>
          <w:szCs w:val="21"/>
        </w:rPr>
        <w:t>不同操作性质的修正因子</w:t>
      </w:r>
    </w:p>
    <w:tbl>
      <w:tblPr>
        <w:tblStyle w:val="affff"/>
        <w:tblW w:w="5000" w:type="pct"/>
        <w:jc w:val="center"/>
        <w:tblLook w:val="04A0" w:firstRow="1" w:lastRow="0" w:firstColumn="1" w:lastColumn="0" w:noHBand="0" w:noVBand="1"/>
      </w:tblPr>
      <w:tblGrid>
        <w:gridCol w:w="5847"/>
        <w:gridCol w:w="3170"/>
      </w:tblGrid>
      <w:tr w:rsidR="00A67F21" w:rsidRPr="00B12FE0" w14:paraId="6A2FB00E" w14:textId="77777777">
        <w:trPr>
          <w:jc w:val="center"/>
        </w:trPr>
        <w:tc>
          <w:tcPr>
            <w:tcW w:w="3242" w:type="pct"/>
            <w:vAlign w:val="center"/>
          </w:tcPr>
          <w:p w14:paraId="08C8D300"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操作方式和地区</w:t>
            </w:r>
          </w:p>
        </w:tc>
        <w:tc>
          <w:tcPr>
            <w:tcW w:w="1758" w:type="pct"/>
            <w:vAlign w:val="center"/>
          </w:tcPr>
          <w:p w14:paraId="1B536AAA"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修正因子</w:t>
            </w:r>
          </w:p>
        </w:tc>
      </w:tr>
      <w:tr w:rsidR="00A67F21" w:rsidRPr="00B12FE0" w14:paraId="0CBDFA02" w14:textId="77777777">
        <w:trPr>
          <w:jc w:val="center"/>
        </w:trPr>
        <w:tc>
          <w:tcPr>
            <w:tcW w:w="3242" w:type="pct"/>
            <w:vAlign w:val="center"/>
          </w:tcPr>
          <w:p w14:paraId="4282010C"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贮存</w:t>
            </w:r>
          </w:p>
        </w:tc>
        <w:tc>
          <w:tcPr>
            <w:tcW w:w="1758" w:type="pct"/>
            <w:vAlign w:val="center"/>
          </w:tcPr>
          <w:p w14:paraId="106EFBC9"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100</w:t>
            </w:r>
          </w:p>
        </w:tc>
      </w:tr>
      <w:tr w:rsidR="00A67F21" w:rsidRPr="00B12FE0" w14:paraId="6CEC26E0" w14:textId="77777777">
        <w:trPr>
          <w:jc w:val="center"/>
        </w:trPr>
        <w:tc>
          <w:tcPr>
            <w:tcW w:w="3242" w:type="pct"/>
            <w:vAlign w:val="center"/>
          </w:tcPr>
          <w:p w14:paraId="6F2CC3BD"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废物处理；闪烁法计数和显像；候诊区及诊断病床区</w:t>
            </w:r>
          </w:p>
        </w:tc>
        <w:tc>
          <w:tcPr>
            <w:tcW w:w="1758" w:type="pct"/>
            <w:vAlign w:val="center"/>
          </w:tcPr>
          <w:p w14:paraId="235E1F86"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10</w:t>
            </w:r>
          </w:p>
        </w:tc>
      </w:tr>
      <w:tr w:rsidR="00A67F21" w:rsidRPr="00B12FE0" w14:paraId="35C49E68" w14:textId="77777777">
        <w:trPr>
          <w:jc w:val="center"/>
        </w:trPr>
        <w:tc>
          <w:tcPr>
            <w:tcW w:w="3242" w:type="pct"/>
            <w:vAlign w:val="center"/>
          </w:tcPr>
          <w:p w14:paraId="3A9C5F5A"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配药、分装以及施给药；简单放射性药物制备；治疗病床区</w:t>
            </w:r>
          </w:p>
        </w:tc>
        <w:tc>
          <w:tcPr>
            <w:tcW w:w="1758" w:type="pct"/>
            <w:vAlign w:val="center"/>
          </w:tcPr>
          <w:p w14:paraId="1C02E2D4"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w:t>
            </w:r>
          </w:p>
        </w:tc>
      </w:tr>
      <w:tr w:rsidR="00A67F21" w:rsidRPr="00B12FE0" w14:paraId="27B6584E" w14:textId="77777777">
        <w:trPr>
          <w:jc w:val="center"/>
        </w:trPr>
        <w:tc>
          <w:tcPr>
            <w:tcW w:w="3242" w:type="pct"/>
            <w:vAlign w:val="center"/>
          </w:tcPr>
          <w:p w14:paraId="52FDC8E2"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复杂放射性药物配置</w:t>
            </w:r>
          </w:p>
        </w:tc>
        <w:tc>
          <w:tcPr>
            <w:tcW w:w="1758" w:type="pct"/>
            <w:vAlign w:val="center"/>
          </w:tcPr>
          <w:p w14:paraId="6D105C6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0.1</w:t>
            </w:r>
          </w:p>
        </w:tc>
      </w:tr>
    </w:tbl>
    <w:p w14:paraId="19665D50" w14:textId="77777777" w:rsidR="00A67F21" w:rsidRPr="00B12FE0" w:rsidRDefault="00000000">
      <w:pPr>
        <w:adjustRightInd w:val="0"/>
        <w:snapToGrid w:val="0"/>
        <w:spacing w:beforeLines="50" w:before="120" w:line="360" w:lineRule="auto"/>
        <w:ind w:firstLine="480"/>
        <w:jc w:val="left"/>
        <w:rPr>
          <w:color w:val="000000" w:themeColor="text1"/>
          <w:sz w:val="21"/>
          <w:szCs w:val="21"/>
        </w:rPr>
      </w:pPr>
      <w:r w:rsidRPr="00B12FE0">
        <w:rPr>
          <w:rFonts w:ascii="宋体" w:hAnsi="宋体"/>
          <w:color w:val="000000" w:themeColor="text1"/>
          <w:szCs w:val="24"/>
        </w:rPr>
        <w:t>本项目核医学科核素权重活度计算结果见表</w:t>
      </w:r>
      <w:r w:rsidRPr="00B12FE0">
        <w:rPr>
          <w:color w:val="000000" w:themeColor="text1"/>
          <w:szCs w:val="24"/>
        </w:rPr>
        <w:t>10.1.1.4-7</w:t>
      </w:r>
      <w:r w:rsidRPr="00B12FE0">
        <w:rPr>
          <w:rFonts w:ascii="宋体" w:hAnsi="宋体"/>
          <w:color w:val="000000" w:themeColor="text1"/>
          <w:szCs w:val="24"/>
        </w:rPr>
        <w:t>。</w:t>
      </w:r>
    </w:p>
    <w:p w14:paraId="071689A7"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10.1.1.4-7  </w:t>
      </w:r>
      <w:r w:rsidRPr="00B12FE0">
        <w:rPr>
          <w:rFonts w:ascii="宋体" w:hAnsi="宋体"/>
          <w:b/>
          <w:color w:val="000000" w:themeColor="text1"/>
          <w:sz w:val="21"/>
          <w:szCs w:val="21"/>
        </w:rPr>
        <w:t>本项目核医学科非密封放射性物质加权活度计算结果</w:t>
      </w:r>
    </w:p>
    <w:tbl>
      <w:tblPr>
        <w:tblW w:w="9026" w:type="dxa"/>
        <w:jc w:val="center"/>
        <w:tblLayout w:type="fixed"/>
        <w:tblLook w:val="04A0" w:firstRow="1" w:lastRow="0" w:firstColumn="1" w:lastColumn="0" w:noHBand="0" w:noVBand="1"/>
      </w:tblPr>
      <w:tblGrid>
        <w:gridCol w:w="680"/>
        <w:gridCol w:w="1494"/>
        <w:gridCol w:w="1212"/>
        <w:gridCol w:w="715"/>
        <w:gridCol w:w="738"/>
        <w:gridCol w:w="1143"/>
        <w:gridCol w:w="1142"/>
        <w:gridCol w:w="1154"/>
        <w:gridCol w:w="748"/>
      </w:tblGrid>
      <w:tr w:rsidR="00A67F21" w:rsidRPr="00B12FE0" w14:paraId="3EEC3436" w14:textId="77777777">
        <w:trPr>
          <w:trHeight w:val="340"/>
          <w:jc w:val="center"/>
        </w:trPr>
        <w:tc>
          <w:tcPr>
            <w:tcW w:w="2174" w:type="dxa"/>
            <w:gridSpan w:val="2"/>
            <w:tcBorders>
              <w:top w:val="single" w:sz="4" w:space="0" w:color="000000"/>
              <w:left w:val="single" w:sz="4" w:space="0" w:color="000000"/>
              <w:bottom w:val="single" w:sz="4" w:space="0" w:color="000000"/>
              <w:right w:val="single" w:sz="4" w:space="0" w:color="000000"/>
            </w:tcBorders>
            <w:vAlign w:val="center"/>
          </w:tcPr>
          <w:p w14:paraId="06AB790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工作场所</w:t>
            </w:r>
          </w:p>
        </w:tc>
        <w:tc>
          <w:tcPr>
            <w:tcW w:w="1212" w:type="dxa"/>
            <w:tcBorders>
              <w:top w:val="single" w:sz="4" w:space="0" w:color="000000"/>
              <w:left w:val="nil"/>
              <w:bottom w:val="single" w:sz="4" w:space="0" w:color="000000"/>
              <w:right w:val="single" w:sz="4" w:space="0" w:color="000000"/>
            </w:tcBorders>
            <w:vAlign w:val="center"/>
          </w:tcPr>
          <w:p w14:paraId="7B4DCAB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w:t>
            </w:r>
          </w:p>
        </w:tc>
        <w:tc>
          <w:tcPr>
            <w:tcW w:w="715" w:type="dxa"/>
            <w:tcBorders>
              <w:top w:val="single" w:sz="4" w:space="0" w:color="000000"/>
              <w:left w:val="nil"/>
              <w:bottom w:val="single" w:sz="4" w:space="0" w:color="000000"/>
              <w:right w:val="single" w:sz="4" w:space="0" w:color="000000"/>
            </w:tcBorders>
            <w:vAlign w:val="center"/>
          </w:tcPr>
          <w:p w14:paraId="7266C6E3"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毒性权重因子</w:t>
            </w:r>
          </w:p>
        </w:tc>
        <w:tc>
          <w:tcPr>
            <w:tcW w:w="738" w:type="dxa"/>
            <w:tcBorders>
              <w:top w:val="single" w:sz="4" w:space="0" w:color="000000"/>
              <w:left w:val="nil"/>
              <w:bottom w:val="single" w:sz="4" w:space="0" w:color="000000"/>
              <w:right w:val="single" w:sz="4" w:space="0" w:color="000000"/>
            </w:tcBorders>
            <w:vAlign w:val="center"/>
          </w:tcPr>
          <w:p w14:paraId="6BE8EEC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操作性质修正因子</w:t>
            </w:r>
          </w:p>
        </w:tc>
        <w:tc>
          <w:tcPr>
            <w:tcW w:w="1143" w:type="dxa"/>
            <w:tcBorders>
              <w:top w:val="single" w:sz="4" w:space="0" w:color="000000"/>
              <w:left w:val="nil"/>
              <w:bottom w:val="single" w:sz="4" w:space="0" w:color="000000"/>
              <w:right w:val="single" w:sz="4" w:space="0" w:color="000000"/>
            </w:tcBorders>
            <w:vAlign w:val="center"/>
          </w:tcPr>
          <w:p w14:paraId="621CE297" w14:textId="77777777" w:rsidR="00A67F21" w:rsidRPr="00B12FE0" w:rsidRDefault="00000000">
            <w:pPr>
              <w:widowControl/>
              <w:jc w:val="center"/>
              <w:textAlignment w:val="center"/>
              <w:rPr>
                <w:color w:val="000000" w:themeColor="text1"/>
                <w:sz w:val="21"/>
                <w:szCs w:val="21"/>
              </w:rPr>
            </w:pPr>
            <w:proofErr w:type="gramStart"/>
            <w:r w:rsidRPr="00B12FE0">
              <w:rPr>
                <w:rFonts w:ascii="宋体" w:hAnsi="宋体"/>
                <w:color w:val="000000" w:themeColor="text1"/>
                <w:kern w:val="0"/>
                <w:sz w:val="21"/>
                <w:szCs w:val="21"/>
              </w:rPr>
              <w:t>日操作</w:t>
            </w:r>
            <w:proofErr w:type="gramEnd"/>
            <w:r w:rsidRPr="00B12FE0">
              <w:rPr>
                <w:rFonts w:ascii="宋体" w:hAnsi="宋体"/>
                <w:color w:val="000000" w:themeColor="text1"/>
                <w:kern w:val="0"/>
                <w:sz w:val="21"/>
                <w:szCs w:val="21"/>
              </w:rPr>
              <w:t>最大活度（</w:t>
            </w:r>
            <w:r w:rsidRPr="00B12FE0">
              <w:rPr>
                <w:color w:val="000000" w:themeColor="text1"/>
                <w:kern w:val="0"/>
                <w:sz w:val="21"/>
                <w:szCs w:val="21"/>
              </w:rPr>
              <w:t>Bq</w:t>
            </w:r>
            <w:r w:rsidRPr="00B12FE0">
              <w:rPr>
                <w:rFonts w:ascii="宋体" w:hAnsi="宋体"/>
                <w:color w:val="000000" w:themeColor="text1"/>
                <w:kern w:val="0"/>
                <w:sz w:val="21"/>
                <w:szCs w:val="21"/>
              </w:rPr>
              <w:t>）</w:t>
            </w:r>
          </w:p>
        </w:tc>
        <w:tc>
          <w:tcPr>
            <w:tcW w:w="2296" w:type="dxa"/>
            <w:gridSpan w:val="2"/>
            <w:tcBorders>
              <w:top w:val="single" w:sz="4" w:space="0" w:color="000000"/>
              <w:left w:val="nil"/>
              <w:bottom w:val="single" w:sz="4" w:space="0" w:color="000000"/>
              <w:right w:val="single" w:sz="4" w:space="0" w:color="000000"/>
            </w:tcBorders>
            <w:vAlign w:val="center"/>
          </w:tcPr>
          <w:p w14:paraId="092DB1C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放射性核素加权活度（</w:t>
            </w:r>
            <w:r w:rsidRPr="00B12FE0">
              <w:rPr>
                <w:color w:val="000000" w:themeColor="text1"/>
                <w:kern w:val="0"/>
                <w:sz w:val="21"/>
                <w:szCs w:val="21"/>
              </w:rPr>
              <w:t>Bq</w:t>
            </w:r>
            <w:r w:rsidRPr="00B12FE0">
              <w:rPr>
                <w:rFonts w:ascii="宋体" w:hAnsi="宋体"/>
                <w:color w:val="000000" w:themeColor="text1"/>
                <w:kern w:val="0"/>
                <w:sz w:val="21"/>
                <w:szCs w:val="21"/>
              </w:rPr>
              <w:t>）</w:t>
            </w:r>
          </w:p>
        </w:tc>
        <w:tc>
          <w:tcPr>
            <w:tcW w:w="748" w:type="dxa"/>
            <w:tcBorders>
              <w:top w:val="single" w:sz="4" w:space="0" w:color="000000"/>
              <w:left w:val="nil"/>
              <w:bottom w:val="single" w:sz="4" w:space="0" w:color="000000"/>
              <w:right w:val="single" w:sz="4" w:space="0" w:color="000000"/>
            </w:tcBorders>
            <w:vAlign w:val="center"/>
          </w:tcPr>
          <w:p w14:paraId="3909902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类别</w:t>
            </w:r>
          </w:p>
        </w:tc>
      </w:tr>
      <w:tr w:rsidR="00A67F21" w:rsidRPr="00B12FE0" w14:paraId="6B63A62D" w14:textId="77777777">
        <w:trPr>
          <w:trHeight w:val="340"/>
          <w:jc w:val="center"/>
        </w:trPr>
        <w:tc>
          <w:tcPr>
            <w:tcW w:w="680" w:type="dxa"/>
            <w:vMerge w:val="restart"/>
            <w:tcBorders>
              <w:top w:val="nil"/>
              <w:left w:val="single" w:sz="4" w:space="0" w:color="000000"/>
              <w:bottom w:val="single" w:sz="4" w:space="0" w:color="000000"/>
              <w:right w:val="single" w:sz="4" w:space="0" w:color="000000"/>
            </w:tcBorders>
            <w:vAlign w:val="center"/>
          </w:tcPr>
          <w:p w14:paraId="069BC1C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核素制备场所</w:t>
            </w:r>
          </w:p>
        </w:tc>
        <w:tc>
          <w:tcPr>
            <w:tcW w:w="1494" w:type="dxa"/>
            <w:tcBorders>
              <w:top w:val="single" w:sz="4" w:space="0" w:color="000000"/>
              <w:left w:val="nil"/>
              <w:bottom w:val="single" w:sz="4" w:space="0" w:color="000000"/>
              <w:right w:val="single" w:sz="4" w:space="0" w:color="000000"/>
            </w:tcBorders>
            <w:vAlign w:val="center"/>
          </w:tcPr>
          <w:p w14:paraId="2064BD3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回旋加速器机房、热室房间</w:t>
            </w:r>
          </w:p>
        </w:tc>
        <w:tc>
          <w:tcPr>
            <w:tcW w:w="1212" w:type="dxa"/>
            <w:tcBorders>
              <w:top w:val="single" w:sz="4" w:space="0" w:color="000000"/>
              <w:left w:val="nil"/>
              <w:bottom w:val="single" w:sz="4" w:space="0" w:color="000000"/>
              <w:right w:val="single" w:sz="4" w:space="0" w:color="000000"/>
            </w:tcBorders>
            <w:vAlign w:val="center"/>
          </w:tcPr>
          <w:p w14:paraId="53BABD7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p>
        </w:tc>
        <w:tc>
          <w:tcPr>
            <w:tcW w:w="715" w:type="dxa"/>
            <w:tcBorders>
              <w:top w:val="single" w:sz="4" w:space="0" w:color="000000"/>
              <w:left w:val="nil"/>
              <w:bottom w:val="single" w:sz="4" w:space="0" w:color="000000"/>
              <w:right w:val="single" w:sz="4" w:space="0" w:color="000000"/>
            </w:tcBorders>
            <w:vAlign w:val="center"/>
          </w:tcPr>
          <w:p w14:paraId="3E04698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4A52642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1143" w:type="dxa"/>
            <w:tcBorders>
              <w:top w:val="single" w:sz="4" w:space="0" w:color="000000"/>
              <w:left w:val="nil"/>
              <w:bottom w:val="single" w:sz="4" w:space="0" w:color="000000"/>
              <w:right w:val="single" w:sz="4" w:space="0" w:color="000000"/>
            </w:tcBorders>
            <w:vAlign w:val="center"/>
          </w:tcPr>
          <w:p w14:paraId="55D9C1E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2296" w:type="dxa"/>
            <w:gridSpan w:val="2"/>
            <w:tcBorders>
              <w:top w:val="single" w:sz="4" w:space="0" w:color="000000"/>
              <w:left w:val="nil"/>
              <w:bottom w:val="single" w:sz="4" w:space="0" w:color="000000"/>
              <w:right w:val="single" w:sz="4" w:space="0" w:color="000000"/>
            </w:tcBorders>
            <w:vAlign w:val="center"/>
          </w:tcPr>
          <w:p w14:paraId="1DF1880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748" w:type="dxa"/>
            <w:tcBorders>
              <w:top w:val="single" w:sz="4" w:space="0" w:color="000000"/>
              <w:left w:val="nil"/>
              <w:bottom w:val="single" w:sz="4" w:space="0" w:color="000000"/>
              <w:right w:val="single" w:sz="4" w:space="0" w:color="000000"/>
            </w:tcBorders>
            <w:vAlign w:val="center"/>
          </w:tcPr>
          <w:p w14:paraId="55FD243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093E2B3A" w14:textId="77777777">
        <w:trPr>
          <w:trHeight w:val="340"/>
          <w:jc w:val="center"/>
        </w:trPr>
        <w:tc>
          <w:tcPr>
            <w:tcW w:w="680" w:type="dxa"/>
            <w:vMerge/>
            <w:tcBorders>
              <w:top w:val="nil"/>
              <w:left w:val="single" w:sz="4" w:space="0" w:color="000000"/>
              <w:bottom w:val="single" w:sz="4" w:space="0" w:color="auto"/>
              <w:right w:val="single" w:sz="4" w:space="0" w:color="000000"/>
            </w:tcBorders>
            <w:vAlign w:val="center"/>
          </w:tcPr>
          <w:p w14:paraId="68EAF5C5" w14:textId="77777777" w:rsidR="00A67F21" w:rsidRPr="00B12FE0" w:rsidRDefault="00A67F21">
            <w:pPr>
              <w:widowControl/>
              <w:jc w:val="left"/>
              <w:rPr>
                <w:color w:val="000000" w:themeColor="text1"/>
                <w:sz w:val="21"/>
                <w:szCs w:val="21"/>
              </w:rPr>
            </w:pPr>
          </w:p>
        </w:tc>
        <w:tc>
          <w:tcPr>
            <w:tcW w:w="1494" w:type="dxa"/>
            <w:tcBorders>
              <w:top w:val="single" w:sz="4" w:space="0" w:color="000000"/>
              <w:left w:val="nil"/>
              <w:bottom w:val="single" w:sz="4" w:space="0" w:color="000000"/>
              <w:right w:val="single" w:sz="4" w:space="0" w:color="000000"/>
            </w:tcBorders>
            <w:vAlign w:val="center"/>
          </w:tcPr>
          <w:p w14:paraId="18E3764A" w14:textId="77777777" w:rsidR="00A67F21" w:rsidRPr="00B12FE0" w:rsidRDefault="00000000">
            <w:pPr>
              <w:widowControl/>
              <w:jc w:val="center"/>
              <w:textAlignment w:val="center"/>
              <w:rPr>
                <w:color w:val="000000" w:themeColor="text1"/>
                <w:sz w:val="21"/>
                <w:szCs w:val="21"/>
              </w:rPr>
            </w:pPr>
            <w:r w:rsidRPr="00B12FE0">
              <w:rPr>
                <w:rFonts w:ascii="宋体" w:hAnsi="宋体" w:hint="eastAsia"/>
                <w:color w:val="000000" w:themeColor="text1"/>
                <w:kern w:val="0"/>
                <w:sz w:val="21"/>
                <w:szCs w:val="21"/>
              </w:rPr>
              <w:t>放化实验</w:t>
            </w:r>
            <w:r w:rsidRPr="00B12FE0">
              <w:rPr>
                <w:rFonts w:ascii="宋体" w:hAnsi="宋体"/>
                <w:color w:val="000000" w:themeColor="text1"/>
                <w:kern w:val="0"/>
                <w:sz w:val="21"/>
                <w:szCs w:val="21"/>
              </w:rPr>
              <w:t>室</w:t>
            </w:r>
            <w:r w:rsidRPr="00B12FE0">
              <w:rPr>
                <w:rFonts w:ascii="宋体" w:hAnsi="宋体" w:hint="eastAsia"/>
                <w:color w:val="000000" w:themeColor="text1"/>
                <w:kern w:val="0"/>
                <w:sz w:val="21"/>
                <w:szCs w:val="21"/>
                <w:vertAlign w:val="superscript"/>
              </w:rPr>
              <w:t>①</w:t>
            </w:r>
          </w:p>
        </w:tc>
        <w:tc>
          <w:tcPr>
            <w:tcW w:w="1212" w:type="dxa"/>
            <w:tcBorders>
              <w:top w:val="single" w:sz="4" w:space="0" w:color="000000"/>
              <w:left w:val="nil"/>
              <w:bottom w:val="single" w:sz="4" w:space="0" w:color="000000"/>
              <w:right w:val="single" w:sz="4" w:space="0" w:color="000000"/>
            </w:tcBorders>
            <w:vAlign w:val="center"/>
          </w:tcPr>
          <w:p w14:paraId="693DA1B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p>
        </w:tc>
        <w:tc>
          <w:tcPr>
            <w:tcW w:w="715" w:type="dxa"/>
            <w:tcBorders>
              <w:top w:val="single" w:sz="4" w:space="0" w:color="000000"/>
              <w:left w:val="nil"/>
              <w:bottom w:val="single" w:sz="4" w:space="0" w:color="000000"/>
              <w:right w:val="single" w:sz="4" w:space="0" w:color="000000"/>
            </w:tcBorders>
            <w:vAlign w:val="center"/>
          </w:tcPr>
          <w:p w14:paraId="7C70CE9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0EB2D8D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1143" w:type="dxa"/>
            <w:tcBorders>
              <w:top w:val="single" w:sz="4" w:space="0" w:color="000000"/>
              <w:left w:val="nil"/>
              <w:bottom w:val="single" w:sz="4" w:space="0" w:color="000000"/>
              <w:right w:val="single" w:sz="4" w:space="0" w:color="000000"/>
            </w:tcBorders>
            <w:vAlign w:val="center"/>
          </w:tcPr>
          <w:p w14:paraId="7E358359"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7.40</w:t>
            </w:r>
            <w:r w:rsidRPr="00B12FE0">
              <w:rPr>
                <w:color w:val="000000" w:themeColor="text1"/>
                <w:sz w:val="21"/>
                <w:szCs w:val="21"/>
              </w:rPr>
              <w:t>×10</w:t>
            </w:r>
            <w:r w:rsidRPr="00B12FE0">
              <w:rPr>
                <w:color w:val="000000" w:themeColor="text1"/>
                <w:sz w:val="21"/>
                <w:szCs w:val="21"/>
                <w:vertAlign w:val="superscript"/>
              </w:rPr>
              <w:t>6</w:t>
            </w:r>
          </w:p>
        </w:tc>
        <w:tc>
          <w:tcPr>
            <w:tcW w:w="2296" w:type="dxa"/>
            <w:gridSpan w:val="2"/>
            <w:tcBorders>
              <w:top w:val="single" w:sz="4" w:space="0" w:color="000000"/>
              <w:left w:val="nil"/>
              <w:bottom w:val="single" w:sz="4" w:space="0" w:color="000000"/>
              <w:right w:val="single" w:sz="4" w:space="0" w:color="000000"/>
            </w:tcBorders>
            <w:vAlign w:val="center"/>
          </w:tcPr>
          <w:p w14:paraId="65FCE5F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7.40</w:t>
            </w:r>
            <w:r w:rsidRPr="00B12FE0">
              <w:rPr>
                <w:color w:val="000000" w:themeColor="text1"/>
                <w:sz w:val="21"/>
                <w:szCs w:val="21"/>
              </w:rPr>
              <w:t>×10</w:t>
            </w:r>
            <w:r w:rsidRPr="00B12FE0">
              <w:rPr>
                <w:color w:val="000000" w:themeColor="text1"/>
                <w:sz w:val="21"/>
                <w:szCs w:val="21"/>
                <w:vertAlign w:val="superscript"/>
              </w:rPr>
              <w:t>6</w:t>
            </w:r>
          </w:p>
        </w:tc>
        <w:tc>
          <w:tcPr>
            <w:tcW w:w="748" w:type="dxa"/>
            <w:tcBorders>
              <w:top w:val="single" w:sz="4" w:space="0" w:color="000000"/>
              <w:left w:val="nil"/>
              <w:bottom w:val="single" w:sz="4" w:space="0" w:color="000000"/>
              <w:right w:val="single" w:sz="4" w:space="0" w:color="000000"/>
            </w:tcBorders>
            <w:vAlign w:val="center"/>
          </w:tcPr>
          <w:p w14:paraId="320F1FA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Ⅲ</w:t>
            </w:r>
            <w:r w:rsidRPr="00B12FE0">
              <w:rPr>
                <w:rFonts w:ascii="宋体" w:hAnsi="宋体"/>
                <w:color w:val="000000" w:themeColor="text1"/>
                <w:kern w:val="0"/>
                <w:sz w:val="21"/>
                <w:szCs w:val="21"/>
              </w:rPr>
              <w:t>类</w:t>
            </w:r>
          </w:p>
        </w:tc>
      </w:tr>
      <w:tr w:rsidR="00A67F21" w:rsidRPr="00B12FE0" w14:paraId="6969F2D1" w14:textId="77777777">
        <w:trPr>
          <w:trHeight w:val="340"/>
          <w:jc w:val="center"/>
        </w:trPr>
        <w:tc>
          <w:tcPr>
            <w:tcW w:w="680" w:type="dxa"/>
            <w:vMerge w:val="restart"/>
            <w:tcBorders>
              <w:top w:val="single" w:sz="4" w:space="0" w:color="auto"/>
              <w:left w:val="single" w:sz="4" w:space="0" w:color="auto"/>
              <w:right w:val="single" w:sz="4" w:space="0" w:color="auto"/>
            </w:tcBorders>
            <w:vAlign w:val="center"/>
          </w:tcPr>
          <w:p w14:paraId="310D169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核素诊断场所</w:t>
            </w:r>
          </w:p>
          <w:p w14:paraId="5E2802AE" w14:textId="77777777" w:rsidR="00A67F21" w:rsidRPr="00B12FE0" w:rsidRDefault="00A67F21">
            <w:pPr>
              <w:jc w:val="center"/>
              <w:textAlignment w:val="center"/>
              <w:rPr>
                <w:color w:val="000000" w:themeColor="text1"/>
                <w:sz w:val="21"/>
                <w:szCs w:val="21"/>
              </w:rPr>
            </w:pPr>
          </w:p>
        </w:tc>
        <w:tc>
          <w:tcPr>
            <w:tcW w:w="1494" w:type="dxa"/>
            <w:vMerge w:val="restart"/>
            <w:tcBorders>
              <w:top w:val="nil"/>
              <w:left w:val="single" w:sz="4" w:space="0" w:color="auto"/>
              <w:bottom w:val="single" w:sz="4" w:space="0" w:color="000000"/>
              <w:right w:val="single" w:sz="4" w:space="0" w:color="000000"/>
            </w:tcBorders>
            <w:vAlign w:val="center"/>
          </w:tcPr>
          <w:p w14:paraId="3FFBC206"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储源室</w:t>
            </w:r>
          </w:p>
        </w:tc>
        <w:tc>
          <w:tcPr>
            <w:tcW w:w="1212" w:type="dxa"/>
            <w:tcBorders>
              <w:top w:val="single" w:sz="4" w:space="0" w:color="000000"/>
              <w:left w:val="nil"/>
              <w:bottom w:val="single" w:sz="4" w:space="0" w:color="000000"/>
              <w:right w:val="single" w:sz="4" w:space="0" w:color="000000"/>
            </w:tcBorders>
            <w:vAlign w:val="center"/>
          </w:tcPr>
          <w:p w14:paraId="384F40D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r w:rsidRPr="00B12FE0">
              <w:rPr>
                <w:rFonts w:hint="eastAsia"/>
                <w:color w:val="000000" w:themeColor="text1"/>
                <w:sz w:val="21"/>
                <w:szCs w:val="21"/>
                <w:vertAlign w:val="superscript"/>
              </w:rPr>
              <w:t>②</w:t>
            </w:r>
          </w:p>
        </w:tc>
        <w:tc>
          <w:tcPr>
            <w:tcW w:w="715" w:type="dxa"/>
            <w:tcBorders>
              <w:top w:val="single" w:sz="4" w:space="0" w:color="000000"/>
              <w:left w:val="nil"/>
              <w:bottom w:val="single" w:sz="4" w:space="0" w:color="000000"/>
              <w:right w:val="single" w:sz="4" w:space="0" w:color="000000"/>
            </w:tcBorders>
            <w:vAlign w:val="center"/>
          </w:tcPr>
          <w:p w14:paraId="537737B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1FA16FD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0F4CC82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0FA73E5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color w:val="000000" w:themeColor="text1"/>
                <w:sz w:val="21"/>
                <w:szCs w:val="21"/>
                <w:vertAlign w:val="superscript"/>
              </w:rPr>
              <w:t>8</w:t>
            </w:r>
          </w:p>
        </w:tc>
        <w:tc>
          <w:tcPr>
            <w:tcW w:w="1154" w:type="dxa"/>
            <w:vMerge w:val="restart"/>
            <w:tcBorders>
              <w:top w:val="nil"/>
              <w:left w:val="nil"/>
              <w:bottom w:val="single" w:sz="4" w:space="0" w:color="000000"/>
              <w:right w:val="single" w:sz="4" w:space="0" w:color="000000"/>
            </w:tcBorders>
            <w:vAlign w:val="center"/>
          </w:tcPr>
          <w:p w14:paraId="1E10201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3.79</w:t>
            </w:r>
            <w:r w:rsidRPr="00B12FE0">
              <w:rPr>
                <w:color w:val="000000" w:themeColor="text1"/>
                <w:sz w:val="21"/>
                <w:szCs w:val="21"/>
              </w:rPr>
              <w:t>×10</w:t>
            </w:r>
            <w:r w:rsidRPr="00B12FE0">
              <w:rPr>
                <w:color w:val="000000" w:themeColor="text1"/>
                <w:sz w:val="21"/>
                <w:szCs w:val="21"/>
                <w:vertAlign w:val="superscript"/>
              </w:rPr>
              <w:t>10</w:t>
            </w:r>
          </w:p>
        </w:tc>
        <w:tc>
          <w:tcPr>
            <w:tcW w:w="748" w:type="dxa"/>
            <w:vMerge w:val="restart"/>
            <w:tcBorders>
              <w:top w:val="single" w:sz="4" w:space="0" w:color="000000"/>
              <w:left w:val="nil"/>
              <w:bottom w:val="single" w:sz="4" w:space="0" w:color="000000"/>
              <w:right w:val="single" w:sz="4" w:space="0" w:color="000000"/>
            </w:tcBorders>
            <w:vAlign w:val="center"/>
          </w:tcPr>
          <w:p w14:paraId="6BAD10C9" w14:textId="77777777" w:rsidR="00A67F21" w:rsidRPr="00B12FE0" w:rsidRDefault="00000000">
            <w:pPr>
              <w:widowControl/>
              <w:jc w:val="center"/>
              <w:textAlignment w:val="center"/>
              <w:rPr>
                <w:color w:val="000000" w:themeColor="text1"/>
                <w:sz w:val="21"/>
                <w:szCs w:val="21"/>
              </w:rPr>
            </w:pPr>
            <w:proofErr w:type="spellStart"/>
            <w:r w:rsidRPr="00B12FE0">
              <w:rPr>
                <w:color w:val="000000" w:themeColor="text1"/>
                <w:kern w:val="0"/>
                <w:sz w:val="21"/>
                <w:szCs w:val="21"/>
              </w:rPr>
              <w:t>Ⅰ</w:t>
            </w:r>
            <w:r w:rsidRPr="00B12FE0">
              <w:rPr>
                <w:rFonts w:hint="eastAsia"/>
                <w:color w:val="000000" w:themeColor="text1"/>
                <w:kern w:val="0"/>
                <w:sz w:val="21"/>
                <w:szCs w:val="21"/>
              </w:rPr>
              <w:t>I</w:t>
            </w:r>
            <w:proofErr w:type="spellEnd"/>
            <w:r w:rsidRPr="00B12FE0">
              <w:rPr>
                <w:rFonts w:ascii="宋体" w:hAnsi="宋体"/>
                <w:color w:val="000000" w:themeColor="text1"/>
                <w:kern w:val="0"/>
                <w:sz w:val="21"/>
                <w:szCs w:val="21"/>
              </w:rPr>
              <w:t>类</w:t>
            </w:r>
          </w:p>
        </w:tc>
      </w:tr>
      <w:tr w:rsidR="00A67F21" w:rsidRPr="00B12FE0" w14:paraId="7770E85F" w14:textId="77777777">
        <w:trPr>
          <w:trHeight w:val="340"/>
          <w:jc w:val="center"/>
        </w:trPr>
        <w:tc>
          <w:tcPr>
            <w:tcW w:w="680" w:type="dxa"/>
            <w:vMerge/>
            <w:tcBorders>
              <w:left w:val="single" w:sz="4" w:space="0" w:color="auto"/>
              <w:right w:val="single" w:sz="4" w:space="0" w:color="auto"/>
            </w:tcBorders>
            <w:vAlign w:val="center"/>
          </w:tcPr>
          <w:p w14:paraId="20952940"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155C3041"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0CB3E35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99</w:t>
            </w:r>
            <w:r w:rsidRPr="00B12FE0">
              <w:rPr>
                <w:color w:val="000000" w:themeColor="text1"/>
                <w:sz w:val="21"/>
                <w:szCs w:val="21"/>
              </w:rPr>
              <w:t>Mo</w:t>
            </w:r>
            <w:r w:rsidRPr="00B12FE0">
              <w:rPr>
                <w:rFonts w:hint="eastAsia"/>
                <w:color w:val="000000" w:themeColor="text1"/>
                <w:sz w:val="21"/>
                <w:szCs w:val="21"/>
              </w:rPr>
              <w:t>-</w:t>
            </w:r>
            <w:r w:rsidRPr="00B12FE0">
              <w:rPr>
                <w:color w:val="000000" w:themeColor="text1"/>
                <w:sz w:val="21"/>
                <w:szCs w:val="21"/>
                <w:vertAlign w:val="superscript"/>
              </w:rPr>
              <w:t>99m</w:t>
            </w:r>
            <w:r w:rsidRPr="00B12FE0">
              <w:rPr>
                <w:color w:val="000000" w:themeColor="text1"/>
                <w:sz w:val="21"/>
                <w:szCs w:val="21"/>
              </w:rPr>
              <w:t>Tc</w:t>
            </w:r>
            <w:r w:rsidRPr="00B12FE0">
              <w:rPr>
                <w:rFonts w:ascii="宋体" w:hAnsi="宋体"/>
                <w:color w:val="000000" w:themeColor="text1"/>
                <w:sz w:val="21"/>
                <w:szCs w:val="21"/>
              </w:rPr>
              <w:t>（</w:t>
            </w:r>
            <w:proofErr w:type="gramStart"/>
            <w:r w:rsidRPr="00B12FE0">
              <w:rPr>
                <w:rFonts w:ascii="宋体" w:hAnsi="宋体"/>
                <w:color w:val="000000" w:themeColor="text1"/>
                <w:sz w:val="21"/>
                <w:szCs w:val="21"/>
              </w:rPr>
              <w:t>钼</w:t>
            </w:r>
            <w:proofErr w:type="gramEnd"/>
            <w:r w:rsidRPr="00B12FE0">
              <w:rPr>
                <w:rFonts w:ascii="宋体" w:hAnsi="宋体"/>
                <w:color w:val="000000" w:themeColor="text1"/>
                <w:sz w:val="21"/>
                <w:szCs w:val="21"/>
              </w:rPr>
              <w:t>锝发生器）</w:t>
            </w:r>
          </w:p>
        </w:tc>
        <w:tc>
          <w:tcPr>
            <w:tcW w:w="715" w:type="dxa"/>
            <w:tcBorders>
              <w:top w:val="single" w:sz="4" w:space="0" w:color="000000"/>
              <w:left w:val="nil"/>
              <w:bottom w:val="single" w:sz="4" w:space="0" w:color="000000"/>
              <w:right w:val="single" w:sz="4" w:space="0" w:color="000000"/>
            </w:tcBorders>
            <w:vAlign w:val="center"/>
          </w:tcPr>
          <w:p w14:paraId="6C253D2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6BA7ABA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1A70FF3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7BFB707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1154" w:type="dxa"/>
            <w:vMerge/>
            <w:tcBorders>
              <w:top w:val="nil"/>
              <w:left w:val="nil"/>
              <w:bottom w:val="single" w:sz="4" w:space="0" w:color="000000"/>
              <w:right w:val="single" w:sz="4" w:space="0" w:color="000000"/>
            </w:tcBorders>
            <w:vAlign w:val="center"/>
          </w:tcPr>
          <w:p w14:paraId="78175C40"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333AF25F" w14:textId="77777777" w:rsidR="00A67F21" w:rsidRPr="00B12FE0" w:rsidRDefault="00A67F21">
            <w:pPr>
              <w:widowControl/>
              <w:jc w:val="left"/>
              <w:rPr>
                <w:color w:val="000000" w:themeColor="text1"/>
                <w:sz w:val="21"/>
                <w:szCs w:val="21"/>
              </w:rPr>
            </w:pPr>
          </w:p>
        </w:tc>
      </w:tr>
      <w:tr w:rsidR="00A67F21" w:rsidRPr="00B12FE0" w14:paraId="594C6761" w14:textId="77777777">
        <w:trPr>
          <w:trHeight w:val="340"/>
          <w:jc w:val="center"/>
        </w:trPr>
        <w:tc>
          <w:tcPr>
            <w:tcW w:w="680" w:type="dxa"/>
            <w:vMerge/>
            <w:tcBorders>
              <w:left w:val="single" w:sz="4" w:space="0" w:color="auto"/>
              <w:right w:val="single" w:sz="4" w:space="0" w:color="auto"/>
            </w:tcBorders>
            <w:vAlign w:val="center"/>
          </w:tcPr>
          <w:p w14:paraId="418F77C0"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37F1E8AD"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56780C37"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Cs w:val="24"/>
                <w:vertAlign w:val="superscript"/>
              </w:rPr>
              <w:t>99m</w:t>
            </w:r>
            <w:r w:rsidRPr="00B12FE0">
              <w:rPr>
                <w:color w:val="000000" w:themeColor="text1"/>
                <w:sz w:val="21"/>
                <w:szCs w:val="21"/>
              </w:rPr>
              <w:t>Tc</w:t>
            </w:r>
          </w:p>
        </w:tc>
        <w:tc>
          <w:tcPr>
            <w:tcW w:w="715" w:type="dxa"/>
            <w:tcBorders>
              <w:top w:val="single" w:sz="4" w:space="0" w:color="000000"/>
              <w:left w:val="nil"/>
              <w:bottom w:val="single" w:sz="4" w:space="0" w:color="000000"/>
              <w:right w:val="single" w:sz="4" w:space="0" w:color="000000"/>
            </w:tcBorders>
            <w:vAlign w:val="center"/>
          </w:tcPr>
          <w:p w14:paraId="56796BE0"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0B2C5EAC"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4038AE59"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59855935"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color w:val="000000" w:themeColor="text1"/>
                <w:sz w:val="21"/>
                <w:szCs w:val="21"/>
                <w:vertAlign w:val="superscript"/>
              </w:rPr>
              <w:t>8</w:t>
            </w:r>
          </w:p>
        </w:tc>
        <w:tc>
          <w:tcPr>
            <w:tcW w:w="1154" w:type="dxa"/>
            <w:vMerge/>
            <w:tcBorders>
              <w:top w:val="nil"/>
              <w:left w:val="nil"/>
              <w:bottom w:val="single" w:sz="4" w:space="0" w:color="000000"/>
              <w:right w:val="single" w:sz="4" w:space="0" w:color="000000"/>
            </w:tcBorders>
            <w:vAlign w:val="center"/>
          </w:tcPr>
          <w:p w14:paraId="6BBC2E07"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2D3EB256" w14:textId="77777777" w:rsidR="00A67F21" w:rsidRPr="00B12FE0" w:rsidRDefault="00A67F21">
            <w:pPr>
              <w:widowControl/>
              <w:jc w:val="left"/>
              <w:rPr>
                <w:color w:val="000000" w:themeColor="text1"/>
                <w:sz w:val="21"/>
                <w:szCs w:val="21"/>
              </w:rPr>
            </w:pPr>
          </w:p>
        </w:tc>
      </w:tr>
      <w:tr w:rsidR="00A67F21" w:rsidRPr="00B12FE0" w14:paraId="5717E579" w14:textId="77777777">
        <w:trPr>
          <w:trHeight w:val="340"/>
          <w:jc w:val="center"/>
        </w:trPr>
        <w:tc>
          <w:tcPr>
            <w:tcW w:w="680" w:type="dxa"/>
            <w:vMerge/>
            <w:tcBorders>
              <w:left w:val="single" w:sz="4" w:space="0" w:color="auto"/>
              <w:right w:val="single" w:sz="4" w:space="0" w:color="auto"/>
            </w:tcBorders>
            <w:vAlign w:val="center"/>
          </w:tcPr>
          <w:p w14:paraId="6326E1C8"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65B0A4EC"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44B3E7D2" w14:textId="77777777" w:rsidR="00A67F21" w:rsidRPr="00B12FE0" w:rsidRDefault="00000000">
            <w:pPr>
              <w:widowControl/>
              <w:jc w:val="center"/>
              <w:textAlignment w:val="center"/>
              <w:rPr>
                <w:color w:val="000000" w:themeColor="text1"/>
                <w:sz w:val="21"/>
                <w:szCs w:val="21"/>
                <w:vertAlign w:val="superscript"/>
              </w:rPr>
            </w:pPr>
            <w:r w:rsidRPr="00B12FE0">
              <w:rPr>
                <w:rFonts w:hint="eastAsia"/>
                <w:color w:val="000000" w:themeColor="text1"/>
                <w:sz w:val="21"/>
                <w:szCs w:val="21"/>
                <w:vertAlign w:val="superscript"/>
              </w:rPr>
              <w:t>32</w:t>
            </w:r>
            <w:r w:rsidRPr="00B12FE0">
              <w:rPr>
                <w:rFonts w:hint="eastAsia"/>
                <w:color w:val="000000" w:themeColor="text1"/>
                <w:sz w:val="21"/>
                <w:szCs w:val="21"/>
              </w:rPr>
              <w:t>P</w:t>
            </w:r>
            <w:r w:rsidRPr="00B12FE0">
              <w:rPr>
                <w:color w:val="000000" w:themeColor="text1"/>
                <w:sz w:val="21"/>
                <w:szCs w:val="21"/>
                <w:vertAlign w:val="superscript"/>
              </w:rPr>
              <w:t xml:space="preserve"> </w:t>
            </w:r>
          </w:p>
        </w:tc>
        <w:tc>
          <w:tcPr>
            <w:tcW w:w="715" w:type="dxa"/>
            <w:tcBorders>
              <w:top w:val="single" w:sz="4" w:space="0" w:color="auto"/>
              <w:left w:val="single" w:sz="4" w:space="0" w:color="auto"/>
              <w:bottom w:val="single" w:sz="4" w:space="0" w:color="auto"/>
              <w:right w:val="single" w:sz="4" w:space="0" w:color="auto"/>
            </w:tcBorders>
            <w:vAlign w:val="center"/>
          </w:tcPr>
          <w:p w14:paraId="44D14752"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w:t>
            </w:r>
            <w:r w:rsidRPr="00B12FE0">
              <w:rPr>
                <w:color w:val="000000" w:themeColor="text1"/>
                <w:sz w:val="21"/>
                <w:szCs w:val="21"/>
              </w:rPr>
              <w:t>00</w:t>
            </w:r>
          </w:p>
        </w:tc>
        <w:tc>
          <w:tcPr>
            <w:tcW w:w="738" w:type="dxa"/>
            <w:tcBorders>
              <w:top w:val="single" w:sz="4" w:space="0" w:color="auto"/>
              <w:left w:val="single" w:sz="4" w:space="0" w:color="auto"/>
              <w:bottom w:val="single" w:sz="4" w:space="0" w:color="auto"/>
              <w:right w:val="single" w:sz="4" w:space="0" w:color="auto"/>
            </w:tcBorders>
            <w:vAlign w:val="center"/>
          </w:tcPr>
          <w:p w14:paraId="2BA9DB13"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w:t>
            </w:r>
            <w:r w:rsidRPr="00B12FE0">
              <w:rPr>
                <w:color w:val="000000" w:themeColor="text1"/>
                <w:sz w:val="21"/>
                <w:szCs w:val="21"/>
              </w:rPr>
              <w:t>00</w:t>
            </w:r>
          </w:p>
        </w:tc>
        <w:tc>
          <w:tcPr>
            <w:tcW w:w="1143" w:type="dxa"/>
            <w:tcBorders>
              <w:top w:val="single" w:sz="4" w:space="0" w:color="auto"/>
              <w:left w:val="nil"/>
              <w:bottom w:val="single" w:sz="4" w:space="0" w:color="auto"/>
              <w:right w:val="single" w:sz="4" w:space="0" w:color="auto"/>
            </w:tcBorders>
            <w:vAlign w:val="center"/>
          </w:tcPr>
          <w:p w14:paraId="2E4629EA"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1142" w:type="dxa"/>
            <w:tcBorders>
              <w:top w:val="single" w:sz="4" w:space="0" w:color="auto"/>
              <w:left w:val="single" w:sz="4" w:space="0" w:color="auto"/>
              <w:bottom w:val="single" w:sz="4" w:space="0" w:color="auto"/>
              <w:right w:val="single" w:sz="4" w:space="0" w:color="auto"/>
            </w:tcBorders>
            <w:vAlign w:val="center"/>
          </w:tcPr>
          <w:p w14:paraId="54C2D0D2"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1154" w:type="dxa"/>
            <w:vMerge/>
            <w:tcBorders>
              <w:top w:val="nil"/>
              <w:left w:val="nil"/>
              <w:bottom w:val="single" w:sz="4" w:space="0" w:color="000000"/>
              <w:right w:val="single" w:sz="4" w:space="0" w:color="000000"/>
            </w:tcBorders>
            <w:vAlign w:val="center"/>
          </w:tcPr>
          <w:p w14:paraId="50D1E7D2"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1FB753D5" w14:textId="77777777" w:rsidR="00A67F21" w:rsidRPr="00B12FE0" w:rsidRDefault="00A67F21">
            <w:pPr>
              <w:widowControl/>
              <w:jc w:val="left"/>
              <w:rPr>
                <w:color w:val="000000" w:themeColor="text1"/>
                <w:sz w:val="21"/>
                <w:szCs w:val="21"/>
              </w:rPr>
            </w:pPr>
          </w:p>
        </w:tc>
      </w:tr>
      <w:tr w:rsidR="00A67F21" w:rsidRPr="00B12FE0" w14:paraId="42088B90" w14:textId="77777777">
        <w:trPr>
          <w:trHeight w:val="340"/>
          <w:jc w:val="center"/>
        </w:trPr>
        <w:tc>
          <w:tcPr>
            <w:tcW w:w="680" w:type="dxa"/>
            <w:vMerge/>
            <w:tcBorders>
              <w:left w:val="single" w:sz="4" w:space="0" w:color="auto"/>
              <w:right w:val="single" w:sz="4" w:space="0" w:color="auto"/>
            </w:tcBorders>
            <w:vAlign w:val="center"/>
          </w:tcPr>
          <w:p w14:paraId="4ACB3DA8"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720922AE"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63846671"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甲测</w:t>
            </w:r>
            <w:proofErr w:type="gramEnd"/>
          </w:p>
        </w:tc>
        <w:tc>
          <w:tcPr>
            <w:tcW w:w="715" w:type="dxa"/>
            <w:tcBorders>
              <w:top w:val="single" w:sz="4" w:space="0" w:color="auto"/>
              <w:left w:val="single" w:sz="4" w:space="0" w:color="auto"/>
              <w:bottom w:val="single" w:sz="4" w:space="0" w:color="auto"/>
              <w:right w:val="single" w:sz="4" w:space="0" w:color="auto"/>
            </w:tcBorders>
            <w:vAlign w:val="center"/>
          </w:tcPr>
          <w:p w14:paraId="695AF95B"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100</w:t>
            </w:r>
          </w:p>
        </w:tc>
        <w:tc>
          <w:tcPr>
            <w:tcW w:w="738" w:type="dxa"/>
            <w:tcBorders>
              <w:top w:val="single" w:sz="4" w:space="0" w:color="auto"/>
              <w:left w:val="single" w:sz="4" w:space="0" w:color="auto"/>
              <w:bottom w:val="single" w:sz="4" w:space="0" w:color="auto"/>
              <w:right w:val="single" w:sz="4" w:space="0" w:color="auto"/>
            </w:tcBorders>
            <w:vAlign w:val="center"/>
          </w:tcPr>
          <w:p w14:paraId="621CFF0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0D6FDF99"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6</w:t>
            </w:r>
          </w:p>
        </w:tc>
        <w:tc>
          <w:tcPr>
            <w:tcW w:w="1142" w:type="dxa"/>
            <w:tcBorders>
              <w:top w:val="single" w:sz="4" w:space="0" w:color="000000"/>
              <w:left w:val="nil"/>
              <w:bottom w:val="single" w:sz="4" w:space="0" w:color="000000"/>
              <w:right w:val="single" w:sz="4" w:space="0" w:color="000000"/>
            </w:tcBorders>
            <w:vAlign w:val="center"/>
          </w:tcPr>
          <w:p w14:paraId="17E1AB54"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color w:val="000000" w:themeColor="text1"/>
                <w:sz w:val="21"/>
                <w:szCs w:val="21"/>
                <w:vertAlign w:val="superscript"/>
              </w:rPr>
              <w:t>6</w:t>
            </w:r>
          </w:p>
        </w:tc>
        <w:tc>
          <w:tcPr>
            <w:tcW w:w="1154" w:type="dxa"/>
            <w:vMerge/>
            <w:tcBorders>
              <w:top w:val="nil"/>
              <w:left w:val="nil"/>
              <w:bottom w:val="single" w:sz="4" w:space="0" w:color="000000"/>
              <w:right w:val="single" w:sz="4" w:space="0" w:color="000000"/>
            </w:tcBorders>
            <w:vAlign w:val="center"/>
          </w:tcPr>
          <w:p w14:paraId="47767894"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26FC8F0C" w14:textId="77777777" w:rsidR="00A67F21" w:rsidRPr="00B12FE0" w:rsidRDefault="00A67F21">
            <w:pPr>
              <w:widowControl/>
              <w:jc w:val="left"/>
              <w:rPr>
                <w:color w:val="000000" w:themeColor="text1"/>
                <w:sz w:val="21"/>
                <w:szCs w:val="21"/>
              </w:rPr>
            </w:pPr>
          </w:p>
        </w:tc>
      </w:tr>
      <w:tr w:rsidR="00A67F21" w:rsidRPr="00B12FE0" w14:paraId="21D21327" w14:textId="77777777">
        <w:trPr>
          <w:trHeight w:val="340"/>
          <w:jc w:val="center"/>
        </w:trPr>
        <w:tc>
          <w:tcPr>
            <w:tcW w:w="680" w:type="dxa"/>
            <w:vMerge/>
            <w:tcBorders>
              <w:left w:val="single" w:sz="4" w:space="0" w:color="auto"/>
              <w:right w:val="single" w:sz="4" w:space="0" w:color="auto"/>
            </w:tcBorders>
            <w:vAlign w:val="center"/>
          </w:tcPr>
          <w:p w14:paraId="5CDEE2BC"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6DAD34D0"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28D00CB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kern w:val="0"/>
                <w:sz w:val="21"/>
                <w:szCs w:val="21"/>
              </w:rPr>
              <w:t>甲亢</w:t>
            </w:r>
          </w:p>
        </w:tc>
        <w:tc>
          <w:tcPr>
            <w:tcW w:w="715" w:type="dxa"/>
            <w:tcBorders>
              <w:top w:val="single" w:sz="4" w:space="0" w:color="auto"/>
              <w:left w:val="single" w:sz="4" w:space="0" w:color="auto"/>
              <w:bottom w:val="single" w:sz="4" w:space="0" w:color="auto"/>
              <w:right w:val="single" w:sz="4" w:space="0" w:color="auto"/>
            </w:tcBorders>
            <w:vAlign w:val="center"/>
          </w:tcPr>
          <w:p w14:paraId="5083C95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100</w:t>
            </w:r>
          </w:p>
        </w:tc>
        <w:tc>
          <w:tcPr>
            <w:tcW w:w="738" w:type="dxa"/>
            <w:tcBorders>
              <w:top w:val="single" w:sz="4" w:space="0" w:color="auto"/>
              <w:left w:val="single" w:sz="4" w:space="0" w:color="auto"/>
              <w:bottom w:val="single" w:sz="4" w:space="0" w:color="auto"/>
              <w:right w:val="single" w:sz="4" w:space="0" w:color="auto"/>
            </w:tcBorders>
            <w:vAlign w:val="center"/>
          </w:tcPr>
          <w:p w14:paraId="6ACF6BF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326EA5E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color w:val="000000" w:themeColor="text1"/>
                <w:sz w:val="21"/>
                <w:szCs w:val="21"/>
                <w:vertAlign w:val="superscript"/>
              </w:rPr>
              <w:t>9</w:t>
            </w:r>
          </w:p>
        </w:tc>
        <w:tc>
          <w:tcPr>
            <w:tcW w:w="1142" w:type="dxa"/>
            <w:tcBorders>
              <w:top w:val="single" w:sz="4" w:space="0" w:color="000000"/>
              <w:left w:val="nil"/>
              <w:bottom w:val="single" w:sz="4" w:space="0" w:color="000000"/>
              <w:right w:val="single" w:sz="4" w:space="0" w:color="000000"/>
            </w:tcBorders>
            <w:vAlign w:val="center"/>
          </w:tcPr>
          <w:p w14:paraId="59DF2C1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color w:val="000000" w:themeColor="text1"/>
                <w:sz w:val="21"/>
                <w:szCs w:val="21"/>
                <w:vertAlign w:val="superscript"/>
              </w:rPr>
              <w:t>9</w:t>
            </w:r>
          </w:p>
        </w:tc>
        <w:tc>
          <w:tcPr>
            <w:tcW w:w="1154" w:type="dxa"/>
            <w:vMerge/>
            <w:tcBorders>
              <w:top w:val="nil"/>
              <w:left w:val="nil"/>
              <w:bottom w:val="single" w:sz="4" w:space="0" w:color="000000"/>
              <w:right w:val="single" w:sz="4" w:space="0" w:color="000000"/>
            </w:tcBorders>
            <w:vAlign w:val="center"/>
          </w:tcPr>
          <w:p w14:paraId="61AA54E7"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5E87FBC1" w14:textId="77777777" w:rsidR="00A67F21" w:rsidRPr="00B12FE0" w:rsidRDefault="00A67F21">
            <w:pPr>
              <w:widowControl/>
              <w:jc w:val="left"/>
              <w:rPr>
                <w:color w:val="000000" w:themeColor="text1"/>
                <w:sz w:val="21"/>
                <w:szCs w:val="21"/>
              </w:rPr>
            </w:pPr>
          </w:p>
        </w:tc>
      </w:tr>
      <w:tr w:rsidR="00A67F21" w:rsidRPr="00B12FE0" w14:paraId="19F97C64" w14:textId="77777777">
        <w:trPr>
          <w:trHeight w:val="340"/>
          <w:jc w:val="center"/>
        </w:trPr>
        <w:tc>
          <w:tcPr>
            <w:tcW w:w="680" w:type="dxa"/>
            <w:vMerge/>
            <w:tcBorders>
              <w:left w:val="single" w:sz="4" w:space="0" w:color="auto"/>
              <w:right w:val="single" w:sz="4" w:space="0" w:color="auto"/>
            </w:tcBorders>
            <w:vAlign w:val="center"/>
          </w:tcPr>
          <w:p w14:paraId="13357232" w14:textId="77777777" w:rsidR="00A67F21" w:rsidRPr="00B12FE0" w:rsidRDefault="00A67F21">
            <w:pPr>
              <w:jc w:val="center"/>
              <w:textAlignment w:val="center"/>
              <w:rPr>
                <w:color w:val="000000" w:themeColor="text1"/>
                <w:sz w:val="21"/>
                <w:szCs w:val="21"/>
              </w:rPr>
            </w:pPr>
          </w:p>
        </w:tc>
        <w:tc>
          <w:tcPr>
            <w:tcW w:w="1494" w:type="dxa"/>
            <w:vMerge w:val="restart"/>
            <w:tcBorders>
              <w:top w:val="nil"/>
              <w:left w:val="single" w:sz="4" w:space="0" w:color="auto"/>
              <w:bottom w:val="single" w:sz="4" w:space="0" w:color="000000"/>
              <w:right w:val="single" w:sz="4" w:space="0" w:color="000000"/>
            </w:tcBorders>
            <w:vAlign w:val="center"/>
          </w:tcPr>
          <w:p w14:paraId="046AB665" w14:textId="77777777" w:rsidR="00A67F21" w:rsidRPr="00B12FE0" w:rsidRDefault="00000000">
            <w:pPr>
              <w:widowControl/>
              <w:jc w:val="center"/>
              <w:textAlignment w:val="center"/>
              <w:rPr>
                <w:color w:val="000000" w:themeColor="text1"/>
                <w:sz w:val="21"/>
                <w:szCs w:val="21"/>
              </w:rPr>
            </w:pPr>
            <w:proofErr w:type="gramStart"/>
            <w:r w:rsidRPr="00B12FE0">
              <w:rPr>
                <w:rFonts w:ascii="宋体" w:hAnsi="宋体" w:hint="eastAsia"/>
                <w:color w:val="000000" w:themeColor="text1"/>
                <w:kern w:val="0"/>
                <w:sz w:val="21"/>
                <w:szCs w:val="21"/>
              </w:rPr>
              <w:t>高活</w:t>
            </w:r>
            <w:r w:rsidRPr="00B12FE0">
              <w:rPr>
                <w:rFonts w:ascii="宋体" w:hAnsi="宋体"/>
                <w:color w:val="000000" w:themeColor="text1"/>
                <w:kern w:val="0"/>
                <w:sz w:val="21"/>
                <w:szCs w:val="21"/>
              </w:rPr>
              <w:t>室</w:t>
            </w:r>
            <w:proofErr w:type="gramEnd"/>
          </w:p>
        </w:tc>
        <w:tc>
          <w:tcPr>
            <w:tcW w:w="1212" w:type="dxa"/>
            <w:tcBorders>
              <w:top w:val="single" w:sz="4" w:space="0" w:color="000000"/>
              <w:left w:val="nil"/>
              <w:bottom w:val="single" w:sz="4" w:space="0" w:color="000000"/>
              <w:right w:val="single" w:sz="4" w:space="0" w:color="000000"/>
            </w:tcBorders>
            <w:vAlign w:val="center"/>
          </w:tcPr>
          <w:p w14:paraId="0CE3E61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p>
        </w:tc>
        <w:tc>
          <w:tcPr>
            <w:tcW w:w="715" w:type="dxa"/>
            <w:tcBorders>
              <w:top w:val="single" w:sz="4" w:space="0" w:color="000000"/>
              <w:left w:val="nil"/>
              <w:bottom w:val="single" w:sz="4" w:space="0" w:color="000000"/>
              <w:right w:val="single" w:sz="4" w:space="0" w:color="000000"/>
            </w:tcBorders>
            <w:vAlign w:val="center"/>
          </w:tcPr>
          <w:p w14:paraId="1DFE7F9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47723E3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1143" w:type="dxa"/>
            <w:tcBorders>
              <w:top w:val="single" w:sz="4" w:space="0" w:color="000000"/>
              <w:left w:val="nil"/>
              <w:bottom w:val="single" w:sz="4" w:space="0" w:color="000000"/>
              <w:right w:val="single" w:sz="4" w:space="0" w:color="000000"/>
            </w:tcBorders>
            <w:vAlign w:val="center"/>
          </w:tcPr>
          <w:p w14:paraId="04C8B253"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226DC96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10</w:t>
            </w:r>
          </w:p>
        </w:tc>
        <w:tc>
          <w:tcPr>
            <w:tcW w:w="1154" w:type="dxa"/>
            <w:vMerge w:val="restart"/>
            <w:tcBorders>
              <w:top w:val="nil"/>
              <w:left w:val="nil"/>
              <w:bottom w:val="single" w:sz="4" w:space="0" w:color="000000"/>
              <w:right w:val="single" w:sz="4" w:space="0" w:color="000000"/>
            </w:tcBorders>
            <w:vAlign w:val="center"/>
          </w:tcPr>
          <w:p w14:paraId="68D5726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1.19</w:t>
            </w:r>
            <w:r w:rsidRPr="00B12FE0">
              <w:rPr>
                <w:color w:val="000000" w:themeColor="text1"/>
                <w:sz w:val="21"/>
                <w:szCs w:val="21"/>
              </w:rPr>
              <w:t>×10</w:t>
            </w:r>
            <w:r w:rsidRPr="00B12FE0">
              <w:rPr>
                <w:color w:val="000000" w:themeColor="text1"/>
                <w:sz w:val="21"/>
                <w:szCs w:val="21"/>
                <w:vertAlign w:val="superscript"/>
              </w:rPr>
              <w:t>1</w:t>
            </w:r>
            <w:r w:rsidRPr="00B12FE0">
              <w:rPr>
                <w:rFonts w:hint="eastAsia"/>
                <w:color w:val="000000" w:themeColor="text1"/>
                <w:sz w:val="21"/>
                <w:szCs w:val="21"/>
                <w:vertAlign w:val="superscript"/>
              </w:rPr>
              <w:t>1</w:t>
            </w:r>
          </w:p>
        </w:tc>
        <w:tc>
          <w:tcPr>
            <w:tcW w:w="748" w:type="dxa"/>
            <w:vMerge w:val="restart"/>
            <w:tcBorders>
              <w:top w:val="nil"/>
              <w:left w:val="nil"/>
              <w:bottom w:val="single" w:sz="4" w:space="0" w:color="000000"/>
              <w:right w:val="single" w:sz="4" w:space="0" w:color="000000"/>
            </w:tcBorders>
            <w:vAlign w:val="center"/>
          </w:tcPr>
          <w:p w14:paraId="5F92B36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Ⅰ</w:t>
            </w:r>
            <w:r w:rsidRPr="00B12FE0">
              <w:rPr>
                <w:rFonts w:ascii="宋体" w:hAnsi="宋体"/>
                <w:color w:val="000000" w:themeColor="text1"/>
                <w:kern w:val="0"/>
                <w:sz w:val="21"/>
                <w:szCs w:val="21"/>
              </w:rPr>
              <w:t>类</w:t>
            </w:r>
          </w:p>
        </w:tc>
      </w:tr>
      <w:tr w:rsidR="00A67F21" w:rsidRPr="00B12FE0" w14:paraId="3167A487" w14:textId="77777777">
        <w:trPr>
          <w:trHeight w:val="340"/>
          <w:jc w:val="center"/>
        </w:trPr>
        <w:tc>
          <w:tcPr>
            <w:tcW w:w="680" w:type="dxa"/>
            <w:vMerge/>
            <w:tcBorders>
              <w:left w:val="single" w:sz="4" w:space="0" w:color="auto"/>
              <w:right w:val="single" w:sz="4" w:space="0" w:color="auto"/>
            </w:tcBorders>
            <w:vAlign w:val="center"/>
          </w:tcPr>
          <w:p w14:paraId="1325D97B"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2E14EC4C"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73B9E45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99</w:t>
            </w:r>
            <w:r w:rsidRPr="00B12FE0">
              <w:rPr>
                <w:color w:val="000000" w:themeColor="text1"/>
                <w:sz w:val="21"/>
                <w:szCs w:val="21"/>
              </w:rPr>
              <w:t>Mo</w:t>
            </w:r>
            <w:r w:rsidRPr="00B12FE0">
              <w:rPr>
                <w:rFonts w:hint="eastAsia"/>
                <w:color w:val="000000" w:themeColor="text1"/>
                <w:sz w:val="21"/>
                <w:szCs w:val="21"/>
              </w:rPr>
              <w:t>-</w:t>
            </w:r>
            <w:r w:rsidRPr="00B12FE0">
              <w:rPr>
                <w:color w:val="000000" w:themeColor="text1"/>
                <w:sz w:val="21"/>
                <w:szCs w:val="21"/>
                <w:vertAlign w:val="superscript"/>
              </w:rPr>
              <w:t>99m</w:t>
            </w:r>
            <w:r w:rsidRPr="00B12FE0">
              <w:rPr>
                <w:color w:val="000000" w:themeColor="text1"/>
                <w:sz w:val="21"/>
                <w:szCs w:val="21"/>
              </w:rPr>
              <w:t>Tc</w:t>
            </w:r>
            <w:r w:rsidRPr="00B12FE0">
              <w:rPr>
                <w:rFonts w:ascii="宋体" w:hAnsi="宋体"/>
                <w:color w:val="000000" w:themeColor="text1"/>
                <w:sz w:val="21"/>
                <w:szCs w:val="21"/>
              </w:rPr>
              <w:t>（</w:t>
            </w:r>
            <w:proofErr w:type="gramStart"/>
            <w:r w:rsidRPr="00B12FE0">
              <w:rPr>
                <w:rFonts w:ascii="宋体" w:hAnsi="宋体"/>
                <w:color w:val="000000" w:themeColor="text1"/>
                <w:sz w:val="21"/>
                <w:szCs w:val="21"/>
              </w:rPr>
              <w:t>钼</w:t>
            </w:r>
            <w:proofErr w:type="gramEnd"/>
            <w:r w:rsidRPr="00B12FE0">
              <w:rPr>
                <w:rFonts w:ascii="宋体" w:hAnsi="宋体"/>
                <w:color w:val="000000" w:themeColor="text1"/>
                <w:sz w:val="21"/>
                <w:szCs w:val="21"/>
              </w:rPr>
              <w:t>锝发生器）</w:t>
            </w:r>
          </w:p>
        </w:tc>
        <w:tc>
          <w:tcPr>
            <w:tcW w:w="715" w:type="dxa"/>
            <w:tcBorders>
              <w:top w:val="single" w:sz="4" w:space="0" w:color="000000"/>
              <w:left w:val="nil"/>
              <w:bottom w:val="single" w:sz="4" w:space="0" w:color="000000"/>
              <w:right w:val="single" w:sz="4" w:space="0" w:color="000000"/>
            </w:tcBorders>
            <w:vAlign w:val="center"/>
          </w:tcPr>
          <w:p w14:paraId="3D78E6E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623FA9F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3F6999A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5138FC8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10</w:t>
            </w:r>
          </w:p>
        </w:tc>
        <w:tc>
          <w:tcPr>
            <w:tcW w:w="1154" w:type="dxa"/>
            <w:vMerge/>
            <w:tcBorders>
              <w:top w:val="nil"/>
              <w:left w:val="nil"/>
              <w:bottom w:val="single" w:sz="4" w:space="0" w:color="000000"/>
              <w:right w:val="single" w:sz="4" w:space="0" w:color="000000"/>
            </w:tcBorders>
            <w:vAlign w:val="center"/>
          </w:tcPr>
          <w:p w14:paraId="123CA4DB" w14:textId="77777777" w:rsidR="00A67F21" w:rsidRPr="00B12FE0" w:rsidRDefault="00A67F21">
            <w:pPr>
              <w:widowControl/>
              <w:jc w:val="left"/>
              <w:rPr>
                <w:color w:val="000000" w:themeColor="text1"/>
                <w:sz w:val="21"/>
                <w:szCs w:val="21"/>
              </w:rPr>
            </w:pPr>
          </w:p>
        </w:tc>
        <w:tc>
          <w:tcPr>
            <w:tcW w:w="748" w:type="dxa"/>
            <w:vMerge/>
            <w:tcBorders>
              <w:top w:val="nil"/>
              <w:left w:val="nil"/>
              <w:bottom w:val="single" w:sz="4" w:space="0" w:color="000000"/>
              <w:right w:val="single" w:sz="4" w:space="0" w:color="000000"/>
            </w:tcBorders>
            <w:vAlign w:val="center"/>
          </w:tcPr>
          <w:p w14:paraId="3B8D28EB" w14:textId="77777777" w:rsidR="00A67F21" w:rsidRPr="00B12FE0" w:rsidRDefault="00A67F21">
            <w:pPr>
              <w:widowControl/>
              <w:jc w:val="left"/>
              <w:rPr>
                <w:color w:val="000000" w:themeColor="text1"/>
                <w:sz w:val="21"/>
                <w:szCs w:val="21"/>
              </w:rPr>
            </w:pPr>
          </w:p>
        </w:tc>
      </w:tr>
      <w:tr w:rsidR="00A67F21" w:rsidRPr="00B12FE0" w14:paraId="38B569BA" w14:textId="77777777">
        <w:trPr>
          <w:trHeight w:val="340"/>
          <w:jc w:val="center"/>
        </w:trPr>
        <w:tc>
          <w:tcPr>
            <w:tcW w:w="680" w:type="dxa"/>
            <w:vMerge/>
            <w:tcBorders>
              <w:left w:val="single" w:sz="4" w:space="0" w:color="auto"/>
              <w:right w:val="single" w:sz="4" w:space="0" w:color="auto"/>
            </w:tcBorders>
            <w:vAlign w:val="center"/>
          </w:tcPr>
          <w:p w14:paraId="701F8AC2"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051B2BC4"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7E6AB845"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Cs w:val="24"/>
                <w:vertAlign w:val="superscript"/>
              </w:rPr>
              <w:t>99m</w:t>
            </w:r>
            <w:r w:rsidRPr="00B12FE0">
              <w:rPr>
                <w:color w:val="000000" w:themeColor="text1"/>
                <w:sz w:val="21"/>
                <w:szCs w:val="21"/>
              </w:rPr>
              <w:t>Tc</w:t>
            </w:r>
          </w:p>
        </w:tc>
        <w:tc>
          <w:tcPr>
            <w:tcW w:w="715" w:type="dxa"/>
            <w:tcBorders>
              <w:top w:val="single" w:sz="4" w:space="0" w:color="000000"/>
              <w:left w:val="nil"/>
              <w:bottom w:val="single" w:sz="4" w:space="0" w:color="000000"/>
              <w:right w:val="single" w:sz="4" w:space="0" w:color="000000"/>
            </w:tcBorders>
            <w:vAlign w:val="center"/>
          </w:tcPr>
          <w:p w14:paraId="5F2C2680"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3BCDEB05"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1143" w:type="dxa"/>
            <w:tcBorders>
              <w:top w:val="single" w:sz="4" w:space="0" w:color="000000"/>
              <w:left w:val="nil"/>
              <w:bottom w:val="single" w:sz="4" w:space="0" w:color="000000"/>
              <w:right w:val="single" w:sz="4" w:space="0" w:color="000000"/>
            </w:tcBorders>
            <w:vAlign w:val="center"/>
          </w:tcPr>
          <w:p w14:paraId="65BDF595"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3.30</w:t>
            </w:r>
            <w:r w:rsidRPr="00B12FE0">
              <w:rPr>
                <w:color w:val="000000" w:themeColor="text1"/>
                <w:sz w:val="21"/>
                <w:szCs w:val="21"/>
              </w:rPr>
              <w:t>×10</w:t>
            </w:r>
            <w:r w:rsidRPr="00B12FE0">
              <w:rPr>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43833C01"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3.30</w:t>
            </w:r>
            <w:r w:rsidRPr="00B12FE0">
              <w:rPr>
                <w:color w:val="000000" w:themeColor="text1"/>
                <w:sz w:val="21"/>
                <w:szCs w:val="21"/>
              </w:rPr>
              <w:t>×10</w:t>
            </w:r>
            <w:r w:rsidRPr="00B12FE0">
              <w:rPr>
                <w:color w:val="000000" w:themeColor="text1"/>
                <w:sz w:val="21"/>
                <w:szCs w:val="21"/>
                <w:vertAlign w:val="superscript"/>
              </w:rPr>
              <w:t>10</w:t>
            </w:r>
          </w:p>
        </w:tc>
        <w:tc>
          <w:tcPr>
            <w:tcW w:w="1154" w:type="dxa"/>
            <w:vMerge/>
            <w:tcBorders>
              <w:top w:val="nil"/>
              <w:left w:val="nil"/>
              <w:bottom w:val="single" w:sz="4" w:space="0" w:color="000000"/>
              <w:right w:val="single" w:sz="4" w:space="0" w:color="000000"/>
            </w:tcBorders>
            <w:vAlign w:val="center"/>
          </w:tcPr>
          <w:p w14:paraId="1CA1DB44" w14:textId="77777777" w:rsidR="00A67F21" w:rsidRPr="00B12FE0" w:rsidRDefault="00A67F21">
            <w:pPr>
              <w:widowControl/>
              <w:jc w:val="left"/>
              <w:rPr>
                <w:color w:val="000000" w:themeColor="text1"/>
                <w:sz w:val="21"/>
                <w:szCs w:val="21"/>
              </w:rPr>
            </w:pPr>
          </w:p>
        </w:tc>
        <w:tc>
          <w:tcPr>
            <w:tcW w:w="748" w:type="dxa"/>
            <w:vMerge/>
            <w:tcBorders>
              <w:top w:val="nil"/>
              <w:left w:val="nil"/>
              <w:bottom w:val="single" w:sz="4" w:space="0" w:color="000000"/>
              <w:right w:val="single" w:sz="4" w:space="0" w:color="000000"/>
            </w:tcBorders>
            <w:vAlign w:val="center"/>
          </w:tcPr>
          <w:p w14:paraId="08657E92" w14:textId="77777777" w:rsidR="00A67F21" w:rsidRPr="00B12FE0" w:rsidRDefault="00A67F21">
            <w:pPr>
              <w:widowControl/>
              <w:jc w:val="left"/>
              <w:rPr>
                <w:color w:val="000000" w:themeColor="text1"/>
                <w:sz w:val="21"/>
                <w:szCs w:val="21"/>
              </w:rPr>
            </w:pPr>
          </w:p>
        </w:tc>
      </w:tr>
      <w:tr w:rsidR="00A67F21" w:rsidRPr="00B12FE0" w14:paraId="74084B39" w14:textId="77777777">
        <w:trPr>
          <w:trHeight w:val="340"/>
          <w:jc w:val="center"/>
        </w:trPr>
        <w:tc>
          <w:tcPr>
            <w:tcW w:w="680" w:type="dxa"/>
            <w:vMerge/>
            <w:tcBorders>
              <w:left w:val="single" w:sz="4" w:space="0" w:color="auto"/>
              <w:right w:val="single" w:sz="4" w:space="0" w:color="auto"/>
            </w:tcBorders>
            <w:vAlign w:val="center"/>
          </w:tcPr>
          <w:p w14:paraId="22A5D160"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4E5E0A52" w14:textId="77777777" w:rsidR="00A67F21" w:rsidRPr="00B12FE0" w:rsidRDefault="00A67F21">
            <w:pPr>
              <w:widowControl/>
              <w:jc w:val="left"/>
              <w:rPr>
                <w:color w:val="000000" w:themeColor="text1"/>
                <w:sz w:val="21"/>
                <w:szCs w:val="21"/>
              </w:rPr>
            </w:pPr>
          </w:p>
        </w:tc>
        <w:tc>
          <w:tcPr>
            <w:tcW w:w="1212" w:type="dxa"/>
            <w:tcBorders>
              <w:top w:val="single" w:sz="4" w:space="0" w:color="auto"/>
              <w:left w:val="single" w:sz="4" w:space="0" w:color="auto"/>
              <w:bottom w:val="single" w:sz="4" w:space="0" w:color="auto"/>
              <w:right w:val="single" w:sz="4" w:space="0" w:color="auto"/>
            </w:tcBorders>
            <w:vAlign w:val="center"/>
          </w:tcPr>
          <w:p w14:paraId="08BEB958"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 w:val="21"/>
                <w:szCs w:val="21"/>
                <w:vertAlign w:val="superscript"/>
              </w:rPr>
              <w:t>32</w:t>
            </w:r>
            <w:r w:rsidRPr="00B12FE0">
              <w:rPr>
                <w:color w:val="000000" w:themeColor="text1"/>
                <w:sz w:val="21"/>
                <w:szCs w:val="21"/>
              </w:rPr>
              <w:t>P</w:t>
            </w:r>
            <w:r w:rsidRPr="00B12FE0">
              <w:rPr>
                <w:color w:val="000000" w:themeColor="text1"/>
                <w:sz w:val="21"/>
                <w:szCs w:val="21"/>
                <w:vertAlign w:val="superscript"/>
              </w:rPr>
              <w:t xml:space="preserve"> </w:t>
            </w:r>
          </w:p>
        </w:tc>
        <w:tc>
          <w:tcPr>
            <w:tcW w:w="715" w:type="dxa"/>
            <w:tcBorders>
              <w:top w:val="single" w:sz="4" w:space="0" w:color="auto"/>
              <w:left w:val="single" w:sz="4" w:space="0" w:color="auto"/>
              <w:bottom w:val="single" w:sz="4" w:space="0" w:color="auto"/>
              <w:right w:val="single" w:sz="4" w:space="0" w:color="auto"/>
            </w:tcBorders>
            <w:vAlign w:val="center"/>
          </w:tcPr>
          <w:p w14:paraId="17D9185F"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w:t>
            </w:r>
            <w:r w:rsidRPr="00B12FE0">
              <w:rPr>
                <w:color w:val="000000" w:themeColor="text1"/>
                <w:sz w:val="21"/>
                <w:szCs w:val="21"/>
              </w:rPr>
              <w:t>00</w:t>
            </w:r>
          </w:p>
        </w:tc>
        <w:tc>
          <w:tcPr>
            <w:tcW w:w="738" w:type="dxa"/>
            <w:tcBorders>
              <w:top w:val="single" w:sz="4" w:space="0" w:color="auto"/>
              <w:left w:val="single" w:sz="4" w:space="0" w:color="auto"/>
              <w:bottom w:val="single" w:sz="4" w:space="0" w:color="auto"/>
              <w:right w:val="single" w:sz="4" w:space="0" w:color="auto"/>
            </w:tcBorders>
            <w:vAlign w:val="center"/>
          </w:tcPr>
          <w:p w14:paraId="7E88BF36"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1</w:t>
            </w:r>
          </w:p>
        </w:tc>
        <w:tc>
          <w:tcPr>
            <w:tcW w:w="1143" w:type="dxa"/>
            <w:tcBorders>
              <w:top w:val="single" w:sz="4" w:space="0" w:color="auto"/>
              <w:left w:val="nil"/>
              <w:bottom w:val="single" w:sz="4" w:space="0" w:color="auto"/>
              <w:right w:val="single" w:sz="4" w:space="0" w:color="auto"/>
            </w:tcBorders>
            <w:vAlign w:val="center"/>
          </w:tcPr>
          <w:p w14:paraId="5F1C7E7D"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1142" w:type="dxa"/>
            <w:tcBorders>
              <w:top w:val="single" w:sz="4" w:space="0" w:color="auto"/>
              <w:left w:val="single" w:sz="4" w:space="0" w:color="auto"/>
              <w:bottom w:val="single" w:sz="4" w:space="0" w:color="auto"/>
              <w:right w:val="single" w:sz="4" w:space="0" w:color="auto"/>
            </w:tcBorders>
            <w:vAlign w:val="center"/>
          </w:tcPr>
          <w:p w14:paraId="632D759F"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10</w:t>
            </w:r>
          </w:p>
        </w:tc>
        <w:tc>
          <w:tcPr>
            <w:tcW w:w="1154" w:type="dxa"/>
            <w:vMerge/>
            <w:tcBorders>
              <w:top w:val="nil"/>
              <w:left w:val="nil"/>
              <w:bottom w:val="single" w:sz="4" w:space="0" w:color="000000"/>
              <w:right w:val="single" w:sz="4" w:space="0" w:color="000000"/>
            </w:tcBorders>
            <w:vAlign w:val="center"/>
          </w:tcPr>
          <w:p w14:paraId="62064A66" w14:textId="77777777" w:rsidR="00A67F21" w:rsidRPr="00B12FE0" w:rsidRDefault="00A67F21">
            <w:pPr>
              <w:widowControl/>
              <w:jc w:val="left"/>
              <w:rPr>
                <w:color w:val="000000" w:themeColor="text1"/>
                <w:sz w:val="21"/>
                <w:szCs w:val="21"/>
              </w:rPr>
            </w:pPr>
          </w:p>
        </w:tc>
        <w:tc>
          <w:tcPr>
            <w:tcW w:w="748" w:type="dxa"/>
            <w:vMerge/>
            <w:tcBorders>
              <w:top w:val="nil"/>
              <w:left w:val="nil"/>
              <w:bottom w:val="single" w:sz="4" w:space="0" w:color="000000"/>
              <w:right w:val="single" w:sz="4" w:space="0" w:color="000000"/>
            </w:tcBorders>
            <w:vAlign w:val="center"/>
          </w:tcPr>
          <w:p w14:paraId="26610BA4" w14:textId="77777777" w:rsidR="00A67F21" w:rsidRPr="00B12FE0" w:rsidRDefault="00A67F21">
            <w:pPr>
              <w:widowControl/>
              <w:jc w:val="left"/>
              <w:rPr>
                <w:color w:val="000000" w:themeColor="text1"/>
                <w:sz w:val="21"/>
                <w:szCs w:val="21"/>
              </w:rPr>
            </w:pPr>
          </w:p>
        </w:tc>
      </w:tr>
      <w:tr w:rsidR="00A67F21" w:rsidRPr="00B12FE0" w14:paraId="4CD2FD5B" w14:textId="77777777">
        <w:trPr>
          <w:trHeight w:val="340"/>
          <w:jc w:val="center"/>
        </w:trPr>
        <w:tc>
          <w:tcPr>
            <w:tcW w:w="680" w:type="dxa"/>
            <w:vMerge/>
            <w:tcBorders>
              <w:left w:val="single" w:sz="4" w:space="0" w:color="auto"/>
              <w:right w:val="single" w:sz="4" w:space="0" w:color="auto"/>
            </w:tcBorders>
            <w:vAlign w:val="center"/>
          </w:tcPr>
          <w:p w14:paraId="7D3AAFD5" w14:textId="77777777" w:rsidR="00A67F21" w:rsidRPr="00B12FE0" w:rsidRDefault="00A67F21">
            <w:pPr>
              <w:jc w:val="center"/>
              <w:textAlignment w:val="center"/>
              <w:rPr>
                <w:color w:val="000000" w:themeColor="text1"/>
                <w:sz w:val="21"/>
                <w:szCs w:val="21"/>
              </w:rPr>
            </w:pPr>
          </w:p>
        </w:tc>
        <w:tc>
          <w:tcPr>
            <w:tcW w:w="1494" w:type="dxa"/>
            <w:tcBorders>
              <w:top w:val="nil"/>
              <w:left w:val="single" w:sz="4" w:space="0" w:color="auto"/>
              <w:bottom w:val="single" w:sz="4" w:space="0" w:color="000000"/>
              <w:right w:val="single" w:sz="4" w:space="0" w:color="000000"/>
            </w:tcBorders>
            <w:vAlign w:val="center"/>
          </w:tcPr>
          <w:p w14:paraId="4F786E65" w14:textId="77777777" w:rsidR="00A67F21" w:rsidRPr="00B12FE0" w:rsidRDefault="00000000">
            <w:pPr>
              <w:widowControl/>
              <w:jc w:val="center"/>
              <w:rPr>
                <w:color w:val="000000" w:themeColor="text1"/>
                <w:sz w:val="21"/>
                <w:szCs w:val="21"/>
              </w:rPr>
            </w:pPr>
            <w:proofErr w:type="gramStart"/>
            <w:r w:rsidRPr="00B12FE0">
              <w:rPr>
                <w:rFonts w:hint="eastAsia"/>
                <w:color w:val="000000" w:themeColor="text1"/>
                <w:sz w:val="21"/>
                <w:szCs w:val="21"/>
              </w:rPr>
              <w:t>甲测室</w:t>
            </w:r>
            <w:proofErr w:type="gramEnd"/>
          </w:p>
        </w:tc>
        <w:tc>
          <w:tcPr>
            <w:tcW w:w="1212" w:type="dxa"/>
            <w:tcBorders>
              <w:top w:val="single" w:sz="4" w:space="0" w:color="000000"/>
              <w:left w:val="nil"/>
              <w:bottom w:val="single" w:sz="4" w:space="0" w:color="000000"/>
              <w:right w:val="single" w:sz="4" w:space="0" w:color="000000"/>
            </w:tcBorders>
            <w:vAlign w:val="center"/>
          </w:tcPr>
          <w:p w14:paraId="5A3007CF"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甲测</w:t>
            </w:r>
            <w:proofErr w:type="gramEnd"/>
          </w:p>
        </w:tc>
        <w:tc>
          <w:tcPr>
            <w:tcW w:w="715" w:type="dxa"/>
            <w:tcBorders>
              <w:top w:val="single" w:sz="4" w:space="0" w:color="auto"/>
              <w:left w:val="single" w:sz="4" w:space="0" w:color="auto"/>
              <w:bottom w:val="single" w:sz="4" w:space="0" w:color="auto"/>
              <w:right w:val="single" w:sz="4" w:space="0" w:color="auto"/>
            </w:tcBorders>
            <w:vAlign w:val="center"/>
          </w:tcPr>
          <w:p w14:paraId="7FA87859"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00</w:t>
            </w:r>
          </w:p>
        </w:tc>
        <w:tc>
          <w:tcPr>
            <w:tcW w:w="738" w:type="dxa"/>
            <w:tcBorders>
              <w:top w:val="single" w:sz="4" w:space="0" w:color="auto"/>
              <w:left w:val="single" w:sz="4" w:space="0" w:color="auto"/>
              <w:bottom w:val="single" w:sz="4" w:space="0" w:color="auto"/>
              <w:right w:val="single" w:sz="4" w:space="0" w:color="auto"/>
            </w:tcBorders>
            <w:vAlign w:val="center"/>
          </w:tcPr>
          <w:p w14:paraId="7D1DDA9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w:t>
            </w:r>
          </w:p>
        </w:tc>
        <w:tc>
          <w:tcPr>
            <w:tcW w:w="1143" w:type="dxa"/>
            <w:tcBorders>
              <w:top w:val="single" w:sz="4" w:space="0" w:color="auto"/>
              <w:left w:val="single" w:sz="4" w:space="0" w:color="auto"/>
              <w:bottom w:val="single" w:sz="4" w:space="0" w:color="auto"/>
              <w:right w:val="single" w:sz="4" w:space="0" w:color="auto"/>
            </w:tcBorders>
            <w:vAlign w:val="center"/>
          </w:tcPr>
          <w:p w14:paraId="7D5831EA"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1.85</w:t>
            </w:r>
            <w:r w:rsidRPr="00B12FE0">
              <w:rPr>
                <w:color w:val="000000" w:themeColor="text1"/>
                <w:sz w:val="21"/>
                <w:szCs w:val="21"/>
              </w:rPr>
              <w:t>×10</w:t>
            </w:r>
            <w:r w:rsidRPr="00B12FE0">
              <w:rPr>
                <w:color w:val="000000" w:themeColor="text1"/>
                <w:sz w:val="21"/>
                <w:szCs w:val="21"/>
                <w:vertAlign w:val="superscript"/>
              </w:rPr>
              <w:t>6</w:t>
            </w:r>
          </w:p>
        </w:tc>
        <w:tc>
          <w:tcPr>
            <w:tcW w:w="2296" w:type="dxa"/>
            <w:gridSpan w:val="2"/>
            <w:tcBorders>
              <w:top w:val="single" w:sz="4" w:space="0" w:color="auto"/>
              <w:left w:val="single" w:sz="4" w:space="0" w:color="auto"/>
              <w:bottom w:val="single" w:sz="4" w:space="0" w:color="auto"/>
              <w:right w:val="single" w:sz="4" w:space="0" w:color="000000"/>
            </w:tcBorders>
            <w:vAlign w:val="center"/>
          </w:tcPr>
          <w:p w14:paraId="3B7FD478" w14:textId="77777777" w:rsidR="00A67F21" w:rsidRPr="00B12FE0" w:rsidRDefault="00000000">
            <w:pPr>
              <w:widowControl/>
              <w:jc w:val="center"/>
              <w:rPr>
                <w:color w:val="000000" w:themeColor="text1"/>
                <w:sz w:val="21"/>
                <w:szCs w:val="21"/>
              </w:rPr>
            </w:pPr>
            <w:r w:rsidRPr="00B12FE0">
              <w:rPr>
                <w:rFonts w:hint="eastAsia"/>
                <w:color w:val="000000" w:themeColor="text1"/>
                <w:sz w:val="21"/>
                <w:szCs w:val="21"/>
              </w:rPr>
              <w:t>1.85</w:t>
            </w:r>
            <w:r w:rsidRPr="00B12FE0">
              <w:rPr>
                <w:color w:val="000000" w:themeColor="text1"/>
                <w:sz w:val="21"/>
                <w:szCs w:val="21"/>
              </w:rPr>
              <w:t>×10</w:t>
            </w:r>
            <w:r w:rsidRPr="00B12FE0">
              <w:rPr>
                <w:color w:val="000000" w:themeColor="text1"/>
                <w:sz w:val="21"/>
                <w:szCs w:val="21"/>
                <w:vertAlign w:val="superscript"/>
              </w:rPr>
              <w:t>8</w:t>
            </w:r>
          </w:p>
        </w:tc>
        <w:tc>
          <w:tcPr>
            <w:tcW w:w="748" w:type="dxa"/>
            <w:tcBorders>
              <w:top w:val="nil"/>
              <w:left w:val="nil"/>
              <w:bottom w:val="single" w:sz="4" w:space="0" w:color="000000"/>
              <w:right w:val="single" w:sz="4" w:space="0" w:color="000000"/>
            </w:tcBorders>
          </w:tcPr>
          <w:p w14:paraId="3206E02D" w14:textId="77777777" w:rsidR="00A67F21" w:rsidRPr="00B12FE0" w:rsidRDefault="00000000">
            <w:pPr>
              <w:widowControl/>
              <w:jc w:val="center"/>
              <w:rPr>
                <w:color w:val="000000" w:themeColor="text1"/>
                <w:sz w:val="21"/>
                <w:szCs w:val="21"/>
              </w:rPr>
            </w:pPr>
            <w:r w:rsidRPr="00B12FE0">
              <w:rPr>
                <w:color w:val="000000" w:themeColor="text1"/>
                <w:kern w:val="0"/>
                <w:sz w:val="21"/>
                <w:szCs w:val="21"/>
              </w:rPr>
              <w:t>Ⅱ</w:t>
            </w:r>
            <w:r w:rsidRPr="00B12FE0">
              <w:rPr>
                <w:color w:val="000000" w:themeColor="text1"/>
                <w:kern w:val="0"/>
                <w:sz w:val="21"/>
                <w:szCs w:val="21"/>
              </w:rPr>
              <w:t>类</w:t>
            </w:r>
          </w:p>
        </w:tc>
      </w:tr>
      <w:tr w:rsidR="00A67F21" w:rsidRPr="00B12FE0" w14:paraId="1CCF00CA" w14:textId="77777777">
        <w:trPr>
          <w:trHeight w:val="340"/>
          <w:jc w:val="center"/>
        </w:trPr>
        <w:tc>
          <w:tcPr>
            <w:tcW w:w="680" w:type="dxa"/>
            <w:vMerge/>
            <w:tcBorders>
              <w:left w:val="single" w:sz="4" w:space="0" w:color="auto"/>
              <w:right w:val="single" w:sz="4" w:space="0" w:color="auto"/>
            </w:tcBorders>
            <w:vAlign w:val="center"/>
          </w:tcPr>
          <w:p w14:paraId="554E722F" w14:textId="77777777" w:rsidR="00A67F21" w:rsidRPr="00B12FE0" w:rsidRDefault="00A67F21">
            <w:pPr>
              <w:jc w:val="center"/>
              <w:textAlignment w:val="center"/>
              <w:rPr>
                <w:color w:val="000000" w:themeColor="text1"/>
                <w:sz w:val="21"/>
                <w:szCs w:val="21"/>
              </w:rPr>
            </w:pPr>
          </w:p>
        </w:tc>
        <w:tc>
          <w:tcPr>
            <w:tcW w:w="1494" w:type="dxa"/>
            <w:tcBorders>
              <w:top w:val="nil"/>
              <w:left w:val="single" w:sz="4" w:space="0" w:color="auto"/>
              <w:bottom w:val="single" w:sz="4" w:space="0" w:color="000000"/>
              <w:right w:val="single" w:sz="4" w:space="0" w:color="000000"/>
            </w:tcBorders>
            <w:vAlign w:val="center"/>
          </w:tcPr>
          <w:p w14:paraId="3D7F6504" w14:textId="77777777" w:rsidR="00A67F21" w:rsidRPr="00B12FE0" w:rsidRDefault="00000000">
            <w:pPr>
              <w:widowControl/>
              <w:jc w:val="center"/>
              <w:rPr>
                <w:color w:val="000000" w:themeColor="text1"/>
                <w:sz w:val="21"/>
                <w:szCs w:val="21"/>
              </w:rPr>
            </w:pPr>
            <w:proofErr w:type="gramStart"/>
            <w:r w:rsidRPr="00B12FE0">
              <w:rPr>
                <w:rFonts w:hint="eastAsia"/>
                <w:color w:val="000000" w:themeColor="text1"/>
                <w:sz w:val="21"/>
                <w:szCs w:val="21"/>
              </w:rPr>
              <w:t>敷贴室</w:t>
            </w:r>
            <w:proofErr w:type="gramEnd"/>
          </w:p>
        </w:tc>
        <w:tc>
          <w:tcPr>
            <w:tcW w:w="1212" w:type="dxa"/>
            <w:tcBorders>
              <w:top w:val="single" w:sz="4" w:space="0" w:color="000000"/>
              <w:left w:val="nil"/>
              <w:bottom w:val="single" w:sz="4" w:space="0" w:color="000000"/>
              <w:right w:val="single" w:sz="4" w:space="0" w:color="000000"/>
            </w:tcBorders>
            <w:vAlign w:val="center"/>
          </w:tcPr>
          <w:p w14:paraId="5B533287" w14:textId="77777777" w:rsidR="00A67F21" w:rsidRPr="00B12FE0" w:rsidRDefault="00000000">
            <w:pPr>
              <w:widowControl/>
              <w:jc w:val="center"/>
              <w:textAlignment w:val="center"/>
              <w:rPr>
                <w:color w:val="000000" w:themeColor="text1"/>
                <w:sz w:val="21"/>
                <w:szCs w:val="21"/>
                <w:vertAlign w:val="superscript"/>
              </w:rPr>
            </w:pPr>
            <w:r w:rsidRPr="00B12FE0">
              <w:rPr>
                <w:rFonts w:hint="eastAsia"/>
                <w:color w:val="000000" w:themeColor="text1"/>
                <w:sz w:val="21"/>
                <w:szCs w:val="21"/>
                <w:vertAlign w:val="superscript"/>
              </w:rPr>
              <w:t>32</w:t>
            </w:r>
            <w:r w:rsidRPr="00B12FE0">
              <w:rPr>
                <w:rFonts w:hint="eastAsia"/>
                <w:color w:val="000000" w:themeColor="text1"/>
                <w:sz w:val="21"/>
                <w:szCs w:val="21"/>
              </w:rPr>
              <w:t>P</w:t>
            </w:r>
            <w:r w:rsidRPr="00B12FE0">
              <w:rPr>
                <w:color w:val="000000" w:themeColor="text1"/>
                <w:sz w:val="21"/>
                <w:szCs w:val="21"/>
                <w:vertAlign w:val="superscript"/>
              </w:rPr>
              <w:t xml:space="preserve"> </w:t>
            </w:r>
          </w:p>
        </w:tc>
        <w:tc>
          <w:tcPr>
            <w:tcW w:w="715" w:type="dxa"/>
            <w:tcBorders>
              <w:top w:val="single" w:sz="4" w:space="0" w:color="auto"/>
              <w:left w:val="single" w:sz="4" w:space="0" w:color="auto"/>
              <w:bottom w:val="single" w:sz="4" w:space="0" w:color="auto"/>
              <w:right w:val="single" w:sz="4" w:space="0" w:color="auto"/>
            </w:tcBorders>
            <w:vAlign w:val="center"/>
          </w:tcPr>
          <w:p w14:paraId="21C64A59"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00</w:t>
            </w:r>
          </w:p>
        </w:tc>
        <w:tc>
          <w:tcPr>
            <w:tcW w:w="738" w:type="dxa"/>
            <w:tcBorders>
              <w:top w:val="single" w:sz="4" w:space="0" w:color="auto"/>
              <w:left w:val="single" w:sz="4" w:space="0" w:color="auto"/>
              <w:bottom w:val="single" w:sz="4" w:space="0" w:color="auto"/>
              <w:right w:val="single" w:sz="4" w:space="0" w:color="auto"/>
            </w:tcBorders>
            <w:vAlign w:val="center"/>
          </w:tcPr>
          <w:p w14:paraId="4F1F01F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w:t>
            </w:r>
          </w:p>
        </w:tc>
        <w:tc>
          <w:tcPr>
            <w:tcW w:w="1143" w:type="dxa"/>
            <w:tcBorders>
              <w:top w:val="single" w:sz="4" w:space="0" w:color="auto"/>
              <w:left w:val="single" w:sz="4" w:space="0" w:color="auto"/>
              <w:bottom w:val="single" w:sz="4" w:space="0" w:color="auto"/>
              <w:right w:val="single" w:sz="4" w:space="0" w:color="auto"/>
            </w:tcBorders>
            <w:vAlign w:val="center"/>
          </w:tcPr>
          <w:p w14:paraId="739C0F9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2296" w:type="dxa"/>
            <w:gridSpan w:val="2"/>
            <w:tcBorders>
              <w:top w:val="single" w:sz="4" w:space="0" w:color="auto"/>
              <w:left w:val="single" w:sz="4" w:space="0" w:color="auto"/>
              <w:bottom w:val="single" w:sz="4" w:space="0" w:color="auto"/>
              <w:right w:val="single" w:sz="4" w:space="0" w:color="000000"/>
            </w:tcBorders>
            <w:vAlign w:val="center"/>
          </w:tcPr>
          <w:p w14:paraId="450EF50A" w14:textId="77777777" w:rsidR="00A67F21" w:rsidRPr="00B12FE0" w:rsidRDefault="00000000">
            <w:pPr>
              <w:widowControl/>
              <w:jc w:val="center"/>
              <w:rPr>
                <w:color w:val="000000" w:themeColor="text1"/>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10</w:t>
            </w:r>
          </w:p>
        </w:tc>
        <w:tc>
          <w:tcPr>
            <w:tcW w:w="748" w:type="dxa"/>
            <w:tcBorders>
              <w:top w:val="nil"/>
              <w:left w:val="nil"/>
              <w:bottom w:val="single" w:sz="4" w:space="0" w:color="000000"/>
              <w:right w:val="single" w:sz="4" w:space="0" w:color="000000"/>
            </w:tcBorders>
          </w:tcPr>
          <w:p w14:paraId="69DB4ABC" w14:textId="77777777" w:rsidR="00A67F21" w:rsidRPr="00B12FE0" w:rsidRDefault="00000000">
            <w:pPr>
              <w:widowControl/>
              <w:jc w:val="center"/>
              <w:rPr>
                <w:color w:val="000000" w:themeColor="text1"/>
                <w:sz w:val="21"/>
                <w:szCs w:val="21"/>
              </w:rPr>
            </w:pPr>
            <w:r w:rsidRPr="00B12FE0">
              <w:rPr>
                <w:color w:val="000000" w:themeColor="text1"/>
                <w:kern w:val="0"/>
                <w:sz w:val="21"/>
                <w:szCs w:val="21"/>
              </w:rPr>
              <w:t>Ⅱ</w:t>
            </w:r>
            <w:r w:rsidRPr="00B12FE0">
              <w:rPr>
                <w:color w:val="000000" w:themeColor="text1"/>
                <w:kern w:val="0"/>
                <w:sz w:val="21"/>
                <w:szCs w:val="21"/>
              </w:rPr>
              <w:t>类</w:t>
            </w:r>
          </w:p>
        </w:tc>
      </w:tr>
      <w:tr w:rsidR="00A67F21" w:rsidRPr="00B12FE0" w14:paraId="0D353E2E" w14:textId="77777777">
        <w:trPr>
          <w:trHeight w:val="340"/>
          <w:jc w:val="center"/>
        </w:trPr>
        <w:tc>
          <w:tcPr>
            <w:tcW w:w="680" w:type="dxa"/>
            <w:vMerge/>
            <w:tcBorders>
              <w:left w:val="single" w:sz="4" w:space="0" w:color="auto"/>
              <w:right w:val="single" w:sz="4" w:space="0" w:color="auto"/>
            </w:tcBorders>
            <w:vAlign w:val="center"/>
          </w:tcPr>
          <w:p w14:paraId="4C5E0DD7" w14:textId="77777777" w:rsidR="00A67F21" w:rsidRPr="00B12FE0" w:rsidRDefault="00A67F21">
            <w:pPr>
              <w:jc w:val="center"/>
              <w:textAlignment w:val="center"/>
              <w:rPr>
                <w:color w:val="000000" w:themeColor="text1"/>
                <w:sz w:val="21"/>
                <w:szCs w:val="21"/>
              </w:rPr>
            </w:pPr>
          </w:p>
        </w:tc>
        <w:tc>
          <w:tcPr>
            <w:tcW w:w="1494" w:type="dxa"/>
            <w:tcBorders>
              <w:top w:val="nil"/>
              <w:left w:val="single" w:sz="4" w:space="0" w:color="auto"/>
              <w:bottom w:val="single" w:sz="4" w:space="0" w:color="000000"/>
              <w:right w:val="single" w:sz="4" w:space="0" w:color="000000"/>
            </w:tcBorders>
            <w:vAlign w:val="center"/>
          </w:tcPr>
          <w:p w14:paraId="4F45BD62" w14:textId="77777777" w:rsidR="00A67F21" w:rsidRPr="00B12FE0" w:rsidRDefault="00000000">
            <w:pPr>
              <w:widowControl/>
              <w:jc w:val="center"/>
              <w:rPr>
                <w:color w:val="000000" w:themeColor="text1"/>
                <w:sz w:val="21"/>
                <w:szCs w:val="21"/>
              </w:rPr>
            </w:pPr>
            <w:proofErr w:type="gramStart"/>
            <w:r w:rsidRPr="00B12FE0">
              <w:rPr>
                <w:rFonts w:hint="eastAsia"/>
                <w:color w:val="000000" w:themeColor="text1"/>
                <w:sz w:val="21"/>
                <w:szCs w:val="21"/>
              </w:rPr>
              <w:t>服碘室</w:t>
            </w:r>
            <w:proofErr w:type="gramEnd"/>
          </w:p>
        </w:tc>
        <w:tc>
          <w:tcPr>
            <w:tcW w:w="1212" w:type="dxa"/>
            <w:tcBorders>
              <w:top w:val="single" w:sz="4" w:space="0" w:color="000000"/>
              <w:left w:val="nil"/>
              <w:bottom w:val="single" w:sz="4" w:space="0" w:color="000000"/>
              <w:right w:val="single" w:sz="4" w:space="0" w:color="000000"/>
            </w:tcBorders>
            <w:vAlign w:val="center"/>
          </w:tcPr>
          <w:p w14:paraId="417F2EFE"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kern w:val="0"/>
                <w:sz w:val="21"/>
                <w:szCs w:val="21"/>
              </w:rPr>
              <w:t>甲亢</w:t>
            </w:r>
          </w:p>
        </w:tc>
        <w:tc>
          <w:tcPr>
            <w:tcW w:w="715" w:type="dxa"/>
            <w:tcBorders>
              <w:top w:val="single" w:sz="4" w:space="0" w:color="auto"/>
              <w:left w:val="single" w:sz="4" w:space="0" w:color="auto"/>
              <w:bottom w:val="single" w:sz="4" w:space="0" w:color="auto"/>
              <w:right w:val="single" w:sz="4" w:space="0" w:color="auto"/>
            </w:tcBorders>
            <w:vAlign w:val="center"/>
          </w:tcPr>
          <w:p w14:paraId="473AB0A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100</w:t>
            </w:r>
          </w:p>
        </w:tc>
        <w:tc>
          <w:tcPr>
            <w:tcW w:w="738" w:type="dxa"/>
            <w:tcBorders>
              <w:top w:val="single" w:sz="4" w:space="0" w:color="auto"/>
              <w:left w:val="single" w:sz="4" w:space="0" w:color="auto"/>
              <w:bottom w:val="single" w:sz="4" w:space="0" w:color="auto"/>
              <w:right w:val="single" w:sz="4" w:space="0" w:color="auto"/>
            </w:tcBorders>
            <w:vAlign w:val="center"/>
          </w:tcPr>
          <w:p w14:paraId="31988DA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w:t>
            </w:r>
          </w:p>
        </w:tc>
        <w:tc>
          <w:tcPr>
            <w:tcW w:w="1143" w:type="dxa"/>
            <w:tcBorders>
              <w:top w:val="single" w:sz="4" w:space="0" w:color="auto"/>
              <w:left w:val="single" w:sz="4" w:space="0" w:color="auto"/>
              <w:bottom w:val="single" w:sz="4" w:space="0" w:color="auto"/>
              <w:right w:val="single" w:sz="4" w:space="0" w:color="auto"/>
            </w:tcBorders>
            <w:vAlign w:val="center"/>
          </w:tcPr>
          <w:p w14:paraId="447E167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3.70</w:t>
            </w:r>
            <w:r w:rsidRPr="00B12FE0">
              <w:rPr>
                <w:color w:val="000000" w:themeColor="text1"/>
                <w:sz w:val="21"/>
                <w:szCs w:val="21"/>
              </w:rPr>
              <w:t>×10</w:t>
            </w:r>
            <w:r w:rsidRPr="00B12FE0">
              <w:rPr>
                <w:color w:val="000000" w:themeColor="text1"/>
                <w:sz w:val="21"/>
                <w:szCs w:val="21"/>
                <w:vertAlign w:val="superscript"/>
              </w:rPr>
              <w:t>9</w:t>
            </w:r>
          </w:p>
        </w:tc>
        <w:tc>
          <w:tcPr>
            <w:tcW w:w="2296" w:type="dxa"/>
            <w:gridSpan w:val="2"/>
            <w:tcBorders>
              <w:top w:val="single" w:sz="4" w:space="0" w:color="auto"/>
              <w:left w:val="single" w:sz="4" w:space="0" w:color="auto"/>
              <w:bottom w:val="single" w:sz="4" w:space="0" w:color="auto"/>
              <w:right w:val="single" w:sz="4" w:space="0" w:color="000000"/>
            </w:tcBorders>
            <w:vAlign w:val="center"/>
          </w:tcPr>
          <w:p w14:paraId="343140FB" w14:textId="77777777" w:rsidR="00A67F21" w:rsidRPr="00B12FE0" w:rsidRDefault="00000000">
            <w:pPr>
              <w:widowControl/>
              <w:jc w:val="center"/>
              <w:rPr>
                <w:color w:val="000000" w:themeColor="text1"/>
                <w:sz w:val="21"/>
                <w:szCs w:val="21"/>
              </w:rPr>
            </w:pPr>
            <w:r w:rsidRPr="00B12FE0">
              <w:rPr>
                <w:rFonts w:hint="eastAsia"/>
                <w:color w:val="000000" w:themeColor="text1"/>
                <w:sz w:val="21"/>
                <w:szCs w:val="21"/>
              </w:rPr>
              <w:t>3.70</w:t>
            </w:r>
            <w:r w:rsidRPr="00B12FE0">
              <w:rPr>
                <w:color w:val="000000" w:themeColor="text1"/>
                <w:sz w:val="21"/>
                <w:szCs w:val="21"/>
              </w:rPr>
              <w:t>×10</w:t>
            </w:r>
            <w:r w:rsidRPr="00B12FE0">
              <w:rPr>
                <w:color w:val="000000" w:themeColor="text1"/>
                <w:sz w:val="21"/>
                <w:szCs w:val="21"/>
                <w:vertAlign w:val="superscript"/>
              </w:rPr>
              <w:t>11</w:t>
            </w:r>
          </w:p>
        </w:tc>
        <w:tc>
          <w:tcPr>
            <w:tcW w:w="748" w:type="dxa"/>
            <w:tcBorders>
              <w:top w:val="nil"/>
              <w:left w:val="nil"/>
              <w:bottom w:val="single" w:sz="4" w:space="0" w:color="000000"/>
              <w:right w:val="single" w:sz="4" w:space="0" w:color="000000"/>
            </w:tcBorders>
          </w:tcPr>
          <w:p w14:paraId="60969DEC" w14:textId="77777777" w:rsidR="00A67F21" w:rsidRPr="00B12FE0" w:rsidRDefault="00000000">
            <w:pPr>
              <w:widowControl/>
              <w:jc w:val="center"/>
              <w:rPr>
                <w:color w:val="000000" w:themeColor="text1"/>
                <w:sz w:val="21"/>
                <w:szCs w:val="21"/>
              </w:rPr>
            </w:pPr>
            <w:r w:rsidRPr="00B12FE0">
              <w:rPr>
                <w:color w:val="000000" w:themeColor="text1"/>
                <w:kern w:val="0"/>
                <w:sz w:val="21"/>
                <w:szCs w:val="21"/>
              </w:rPr>
              <w:t>I</w:t>
            </w:r>
            <w:r w:rsidRPr="00B12FE0">
              <w:rPr>
                <w:color w:val="000000" w:themeColor="text1"/>
                <w:kern w:val="0"/>
                <w:sz w:val="21"/>
                <w:szCs w:val="21"/>
              </w:rPr>
              <w:t>类</w:t>
            </w:r>
          </w:p>
        </w:tc>
      </w:tr>
      <w:tr w:rsidR="00A67F21" w:rsidRPr="00B12FE0" w14:paraId="338D953E" w14:textId="77777777">
        <w:trPr>
          <w:trHeight w:val="340"/>
          <w:jc w:val="center"/>
        </w:trPr>
        <w:tc>
          <w:tcPr>
            <w:tcW w:w="680" w:type="dxa"/>
            <w:vMerge/>
            <w:tcBorders>
              <w:left w:val="single" w:sz="4" w:space="0" w:color="auto"/>
              <w:right w:val="single" w:sz="4" w:space="0" w:color="auto"/>
            </w:tcBorders>
            <w:vAlign w:val="center"/>
          </w:tcPr>
          <w:p w14:paraId="4E9F1D36" w14:textId="77777777" w:rsidR="00A67F21" w:rsidRPr="00B12FE0" w:rsidRDefault="00A67F21">
            <w:pPr>
              <w:jc w:val="center"/>
              <w:textAlignment w:val="center"/>
              <w:rPr>
                <w:color w:val="000000" w:themeColor="text1"/>
                <w:sz w:val="21"/>
                <w:szCs w:val="21"/>
              </w:rPr>
            </w:pPr>
          </w:p>
        </w:tc>
        <w:tc>
          <w:tcPr>
            <w:tcW w:w="1494" w:type="dxa"/>
            <w:tcBorders>
              <w:top w:val="nil"/>
              <w:left w:val="single" w:sz="4" w:space="0" w:color="auto"/>
              <w:bottom w:val="single" w:sz="4" w:space="0" w:color="000000"/>
              <w:right w:val="single" w:sz="4" w:space="0" w:color="000000"/>
            </w:tcBorders>
            <w:vAlign w:val="center"/>
          </w:tcPr>
          <w:p w14:paraId="49308ACA" w14:textId="77777777" w:rsidR="00A67F21" w:rsidRPr="00B12FE0" w:rsidRDefault="00000000">
            <w:pPr>
              <w:widowControl/>
              <w:jc w:val="center"/>
              <w:rPr>
                <w:color w:val="000000" w:themeColor="text1"/>
                <w:sz w:val="21"/>
                <w:szCs w:val="21"/>
              </w:rPr>
            </w:pPr>
            <w:r w:rsidRPr="00B12FE0">
              <w:rPr>
                <w:rFonts w:hint="eastAsia"/>
                <w:color w:val="000000" w:themeColor="text1"/>
                <w:sz w:val="21"/>
                <w:szCs w:val="21"/>
              </w:rPr>
              <w:t>甲亢</w:t>
            </w:r>
            <w:proofErr w:type="gramStart"/>
            <w:r w:rsidRPr="00B12FE0">
              <w:rPr>
                <w:rFonts w:hint="eastAsia"/>
                <w:color w:val="000000" w:themeColor="text1"/>
                <w:sz w:val="21"/>
                <w:szCs w:val="21"/>
              </w:rPr>
              <w:t>留观室</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66494FFB"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
        </w:tc>
        <w:tc>
          <w:tcPr>
            <w:tcW w:w="715" w:type="dxa"/>
            <w:tcBorders>
              <w:top w:val="single" w:sz="4" w:space="0" w:color="auto"/>
              <w:left w:val="single" w:sz="4" w:space="0" w:color="auto"/>
              <w:bottom w:val="single" w:sz="4" w:space="0" w:color="auto"/>
              <w:right w:val="single" w:sz="4" w:space="0" w:color="auto"/>
            </w:tcBorders>
            <w:vAlign w:val="center"/>
          </w:tcPr>
          <w:p w14:paraId="258E3FE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00</w:t>
            </w:r>
          </w:p>
        </w:tc>
        <w:tc>
          <w:tcPr>
            <w:tcW w:w="738" w:type="dxa"/>
            <w:tcBorders>
              <w:top w:val="single" w:sz="4" w:space="0" w:color="auto"/>
              <w:left w:val="single" w:sz="4" w:space="0" w:color="auto"/>
              <w:bottom w:val="single" w:sz="4" w:space="0" w:color="auto"/>
              <w:right w:val="single" w:sz="4" w:space="0" w:color="auto"/>
            </w:tcBorders>
            <w:vAlign w:val="center"/>
          </w:tcPr>
          <w:p w14:paraId="5D36541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w:t>
            </w:r>
          </w:p>
        </w:tc>
        <w:tc>
          <w:tcPr>
            <w:tcW w:w="1143" w:type="dxa"/>
            <w:tcBorders>
              <w:top w:val="single" w:sz="4" w:space="0" w:color="auto"/>
              <w:left w:val="single" w:sz="4" w:space="0" w:color="auto"/>
              <w:bottom w:val="single" w:sz="4" w:space="0" w:color="auto"/>
              <w:right w:val="single" w:sz="4" w:space="0" w:color="auto"/>
            </w:tcBorders>
            <w:vAlign w:val="center"/>
          </w:tcPr>
          <w:p w14:paraId="0844C1AA"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3.70</w:t>
            </w:r>
            <w:r w:rsidRPr="00B12FE0">
              <w:rPr>
                <w:color w:val="000000" w:themeColor="text1"/>
                <w:sz w:val="21"/>
                <w:szCs w:val="21"/>
              </w:rPr>
              <w:t>×10</w:t>
            </w:r>
            <w:r w:rsidRPr="00B12FE0">
              <w:rPr>
                <w:color w:val="000000" w:themeColor="text1"/>
                <w:sz w:val="21"/>
                <w:szCs w:val="21"/>
                <w:vertAlign w:val="superscript"/>
              </w:rPr>
              <w:t>9</w:t>
            </w:r>
          </w:p>
        </w:tc>
        <w:tc>
          <w:tcPr>
            <w:tcW w:w="2296" w:type="dxa"/>
            <w:gridSpan w:val="2"/>
            <w:tcBorders>
              <w:top w:val="single" w:sz="4" w:space="0" w:color="auto"/>
              <w:left w:val="single" w:sz="4" w:space="0" w:color="auto"/>
              <w:bottom w:val="single" w:sz="4" w:space="0" w:color="auto"/>
              <w:right w:val="single" w:sz="4" w:space="0" w:color="000000"/>
            </w:tcBorders>
            <w:vAlign w:val="center"/>
          </w:tcPr>
          <w:p w14:paraId="50C638ED" w14:textId="77777777" w:rsidR="00A67F21" w:rsidRPr="00B12FE0" w:rsidRDefault="00000000">
            <w:pPr>
              <w:widowControl/>
              <w:jc w:val="center"/>
              <w:rPr>
                <w:color w:val="000000" w:themeColor="text1"/>
                <w:sz w:val="21"/>
                <w:szCs w:val="21"/>
              </w:rPr>
            </w:pPr>
            <w:r w:rsidRPr="00B12FE0">
              <w:rPr>
                <w:rFonts w:hint="eastAsia"/>
                <w:color w:val="000000" w:themeColor="text1"/>
                <w:sz w:val="21"/>
                <w:szCs w:val="21"/>
              </w:rPr>
              <w:t>3.70</w:t>
            </w:r>
            <w:r w:rsidRPr="00B12FE0">
              <w:rPr>
                <w:color w:val="000000" w:themeColor="text1"/>
                <w:sz w:val="21"/>
                <w:szCs w:val="21"/>
              </w:rPr>
              <w:t>×10</w:t>
            </w:r>
            <w:r w:rsidRPr="00B12FE0">
              <w:rPr>
                <w:color w:val="000000" w:themeColor="text1"/>
                <w:sz w:val="21"/>
                <w:szCs w:val="21"/>
                <w:vertAlign w:val="superscript"/>
              </w:rPr>
              <w:t>11</w:t>
            </w:r>
          </w:p>
        </w:tc>
        <w:tc>
          <w:tcPr>
            <w:tcW w:w="748" w:type="dxa"/>
            <w:tcBorders>
              <w:top w:val="nil"/>
              <w:left w:val="nil"/>
              <w:bottom w:val="single" w:sz="4" w:space="0" w:color="000000"/>
              <w:right w:val="single" w:sz="4" w:space="0" w:color="000000"/>
            </w:tcBorders>
          </w:tcPr>
          <w:p w14:paraId="5F82AF57" w14:textId="77777777" w:rsidR="00A67F21" w:rsidRPr="00B12FE0" w:rsidRDefault="00000000">
            <w:pPr>
              <w:widowControl/>
              <w:jc w:val="center"/>
              <w:rPr>
                <w:color w:val="000000" w:themeColor="text1"/>
                <w:sz w:val="21"/>
                <w:szCs w:val="21"/>
              </w:rPr>
            </w:pPr>
            <w:r w:rsidRPr="00B12FE0">
              <w:rPr>
                <w:color w:val="000000" w:themeColor="text1"/>
                <w:kern w:val="0"/>
                <w:sz w:val="21"/>
                <w:szCs w:val="21"/>
              </w:rPr>
              <w:t>I</w:t>
            </w:r>
            <w:r w:rsidRPr="00B12FE0">
              <w:rPr>
                <w:color w:val="000000" w:themeColor="text1"/>
                <w:kern w:val="0"/>
                <w:sz w:val="21"/>
                <w:szCs w:val="21"/>
              </w:rPr>
              <w:t>类</w:t>
            </w:r>
          </w:p>
        </w:tc>
      </w:tr>
      <w:tr w:rsidR="00A67F21" w:rsidRPr="00B12FE0" w14:paraId="3C1871F0" w14:textId="77777777">
        <w:trPr>
          <w:trHeight w:val="340"/>
          <w:jc w:val="center"/>
        </w:trPr>
        <w:tc>
          <w:tcPr>
            <w:tcW w:w="680" w:type="dxa"/>
            <w:vMerge/>
            <w:tcBorders>
              <w:left w:val="single" w:sz="4" w:space="0" w:color="auto"/>
              <w:right w:val="single" w:sz="4" w:space="0" w:color="auto"/>
            </w:tcBorders>
            <w:vAlign w:val="center"/>
          </w:tcPr>
          <w:p w14:paraId="59A32FEF" w14:textId="77777777" w:rsidR="00A67F21" w:rsidRPr="00B12FE0" w:rsidRDefault="00A67F21">
            <w:pPr>
              <w:jc w:val="center"/>
              <w:textAlignment w:val="center"/>
              <w:rPr>
                <w:color w:val="000000" w:themeColor="text1"/>
                <w:sz w:val="21"/>
                <w:szCs w:val="21"/>
              </w:rPr>
            </w:pPr>
          </w:p>
        </w:tc>
        <w:tc>
          <w:tcPr>
            <w:tcW w:w="1494" w:type="dxa"/>
            <w:tcBorders>
              <w:top w:val="single" w:sz="4" w:space="0" w:color="000000"/>
              <w:left w:val="single" w:sz="4" w:space="0" w:color="auto"/>
              <w:bottom w:val="single" w:sz="4" w:space="0" w:color="000000"/>
              <w:right w:val="single" w:sz="4" w:space="0" w:color="000000"/>
            </w:tcBorders>
            <w:vAlign w:val="center"/>
          </w:tcPr>
          <w:p w14:paraId="6472B77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PET</w:t>
            </w:r>
            <w:r w:rsidRPr="00B12FE0">
              <w:rPr>
                <w:rFonts w:ascii="宋体" w:hAnsi="宋体"/>
                <w:color w:val="000000" w:themeColor="text1"/>
                <w:kern w:val="0"/>
                <w:sz w:val="21"/>
                <w:szCs w:val="21"/>
              </w:rPr>
              <w:t>机房、</w:t>
            </w:r>
            <w:r w:rsidRPr="00B12FE0">
              <w:rPr>
                <w:color w:val="000000" w:themeColor="text1"/>
                <w:kern w:val="0"/>
                <w:sz w:val="21"/>
                <w:szCs w:val="21"/>
              </w:rPr>
              <w:t>PET</w:t>
            </w:r>
            <w:r w:rsidRPr="00B12FE0">
              <w:rPr>
                <w:color w:val="000000" w:themeColor="text1"/>
                <w:kern w:val="0"/>
                <w:sz w:val="21"/>
                <w:szCs w:val="21"/>
              </w:rPr>
              <w:t>候诊室、</w:t>
            </w:r>
            <w:r w:rsidRPr="00B12FE0">
              <w:rPr>
                <w:rFonts w:ascii="宋体" w:hAnsi="宋体"/>
                <w:color w:val="000000" w:themeColor="text1"/>
                <w:kern w:val="0"/>
                <w:sz w:val="21"/>
                <w:szCs w:val="21"/>
              </w:rPr>
              <w:t>休息室</w:t>
            </w:r>
          </w:p>
        </w:tc>
        <w:tc>
          <w:tcPr>
            <w:tcW w:w="1212" w:type="dxa"/>
            <w:tcBorders>
              <w:top w:val="single" w:sz="4" w:space="0" w:color="000000"/>
              <w:left w:val="nil"/>
              <w:bottom w:val="single" w:sz="4" w:space="0" w:color="000000"/>
              <w:right w:val="single" w:sz="4" w:space="0" w:color="000000"/>
            </w:tcBorders>
            <w:vAlign w:val="center"/>
          </w:tcPr>
          <w:p w14:paraId="1FF45F2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p>
        </w:tc>
        <w:tc>
          <w:tcPr>
            <w:tcW w:w="715" w:type="dxa"/>
            <w:tcBorders>
              <w:top w:val="single" w:sz="4" w:space="0" w:color="000000"/>
              <w:left w:val="nil"/>
              <w:bottom w:val="single" w:sz="4" w:space="0" w:color="000000"/>
              <w:right w:val="single" w:sz="4" w:space="0" w:color="000000"/>
            </w:tcBorders>
            <w:vAlign w:val="center"/>
          </w:tcPr>
          <w:p w14:paraId="7CF3A46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29F7BF1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206AB8F0"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1.48</w:t>
            </w:r>
            <w:r w:rsidRPr="00B12FE0">
              <w:rPr>
                <w:color w:val="000000" w:themeColor="text1"/>
                <w:sz w:val="21"/>
                <w:szCs w:val="21"/>
              </w:rPr>
              <w:t>×10</w:t>
            </w:r>
            <w:r w:rsidRPr="00B12FE0">
              <w:rPr>
                <w:rFonts w:hint="eastAsia"/>
                <w:color w:val="000000" w:themeColor="text1"/>
                <w:sz w:val="21"/>
                <w:szCs w:val="21"/>
                <w:vertAlign w:val="superscript"/>
              </w:rPr>
              <w:t>10</w:t>
            </w:r>
          </w:p>
        </w:tc>
        <w:tc>
          <w:tcPr>
            <w:tcW w:w="2296" w:type="dxa"/>
            <w:gridSpan w:val="2"/>
            <w:tcBorders>
              <w:top w:val="single" w:sz="4" w:space="0" w:color="000000"/>
              <w:left w:val="nil"/>
              <w:bottom w:val="single" w:sz="4" w:space="0" w:color="000000"/>
              <w:right w:val="single" w:sz="4" w:space="0" w:color="000000"/>
            </w:tcBorders>
            <w:vAlign w:val="center"/>
          </w:tcPr>
          <w:p w14:paraId="3945920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1.48</w:t>
            </w:r>
            <w:r w:rsidRPr="00B12FE0">
              <w:rPr>
                <w:color w:val="000000" w:themeColor="text1"/>
                <w:sz w:val="21"/>
                <w:szCs w:val="21"/>
              </w:rPr>
              <w:t>×10</w:t>
            </w:r>
            <w:r w:rsidRPr="00B12FE0">
              <w:rPr>
                <w:rFonts w:hint="eastAsia"/>
                <w:color w:val="000000" w:themeColor="text1"/>
                <w:sz w:val="21"/>
                <w:szCs w:val="21"/>
                <w:vertAlign w:val="superscript"/>
              </w:rPr>
              <w:t>9</w:t>
            </w:r>
          </w:p>
        </w:tc>
        <w:tc>
          <w:tcPr>
            <w:tcW w:w="748" w:type="dxa"/>
            <w:tcBorders>
              <w:top w:val="single" w:sz="4" w:space="0" w:color="000000"/>
              <w:left w:val="nil"/>
              <w:bottom w:val="single" w:sz="4" w:space="0" w:color="000000"/>
              <w:right w:val="single" w:sz="4" w:space="0" w:color="000000"/>
            </w:tcBorders>
            <w:vAlign w:val="center"/>
          </w:tcPr>
          <w:p w14:paraId="3CFFCAE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0AB011F7" w14:textId="77777777">
        <w:trPr>
          <w:trHeight w:val="340"/>
          <w:jc w:val="center"/>
        </w:trPr>
        <w:tc>
          <w:tcPr>
            <w:tcW w:w="680" w:type="dxa"/>
            <w:vMerge/>
            <w:tcBorders>
              <w:left w:val="single" w:sz="4" w:space="0" w:color="auto"/>
              <w:right w:val="single" w:sz="4" w:space="0" w:color="auto"/>
            </w:tcBorders>
            <w:vAlign w:val="center"/>
          </w:tcPr>
          <w:p w14:paraId="10D7D27E" w14:textId="77777777" w:rsidR="00A67F21" w:rsidRPr="00B12FE0" w:rsidRDefault="00A67F21">
            <w:pPr>
              <w:jc w:val="center"/>
              <w:textAlignment w:val="center"/>
              <w:rPr>
                <w:color w:val="000000" w:themeColor="text1"/>
                <w:sz w:val="21"/>
                <w:szCs w:val="21"/>
              </w:rPr>
            </w:pPr>
          </w:p>
        </w:tc>
        <w:tc>
          <w:tcPr>
            <w:tcW w:w="1494" w:type="dxa"/>
            <w:tcBorders>
              <w:top w:val="single" w:sz="4" w:space="0" w:color="000000"/>
              <w:left w:val="single" w:sz="4" w:space="0" w:color="auto"/>
              <w:bottom w:val="single" w:sz="4" w:space="0" w:color="000000"/>
              <w:right w:val="single" w:sz="4" w:space="0" w:color="000000"/>
            </w:tcBorders>
            <w:vAlign w:val="center"/>
          </w:tcPr>
          <w:p w14:paraId="42B2D82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SPECT</w:t>
            </w:r>
            <w:r w:rsidRPr="00B12FE0">
              <w:rPr>
                <w:rFonts w:ascii="宋体" w:hAnsi="宋体"/>
                <w:color w:val="000000" w:themeColor="text1"/>
                <w:kern w:val="0"/>
                <w:sz w:val="21"/>
                <w:szCs w:val="21"/>
              </w:rPr>
              <w:t>机房、运动负荷室、</w:t>
            </w:r>
            <w:r w:rsidRPr="00B12FE0">
              <w:rPr>
                <w:color w:val="000000" w:themeColor="text1"/>
                <w:kern w:val="0"/>
                <w:sz w:val="21"/>
                <w:szCs w:val="21"/>
              </w:rPr>
              <w:t>SPECT</w:t>
            </w:r>
            <w:r w:rsidRPr="00B12FE0">
              <w:rPr>
                <w:color w:val="000000" w:themeColor="text1"/>
                <w:kern w:val="0"/>
                <w:sz w:val="21"/>
                <w:szCs w:val="21"/>
              </w:rPr>
              <w:t>候诊室</w:t>
            </w:r>
          </w:p>
        </w:tc>
        <w:tc>
          <w:tcPr>
            <w:tcW w:w="1212" w:type="dxa"/>
            <w:tcBorders>
              <w:top w:val="single" w:sz="4" w:space="0" w:color="000000"/>
              <w:left w:val="nil"/>
              <w:bottom w:val="single" w:sz="4" w:space="0" w:color="000000"/>
              <w:right w:val="single" w:sz="4" w:space="0" w:color="000000"/>
            </w:tcBorders>
            <w:vAlign w:val="center"/>
          </w:tcPr>
          <w:p w14:paraId="621A5835" w14:textId="77777777" w:rsidR="00A67F21" w:rsidRPr="00B12FE0" w:rsidRDefault="00000000">
            <w:pPr>
              <w:widowControl/>
              <w:jc w:val="center"/>
              <w:textAlignment w:val="center"/>
              <w:rPr>
                <w:color w:val="000000" w:themeColor="text1"/>
                <w:sz w:val="21"/>
                <w:szCs w:val="21"/>
              </w:rPr>
            </w:pPr>
            <w:r w:rsidRPr="00B12FE0">
              <w:rPr>
                <w:color w:val="000000" w:themeColor="text1"/>
                <w:szCs w:val="24"/>
                <w:vertAlign w:val="superscript"/>
              </w:rPr>
              <w:t>99m</w:t>
            </w:r>
            <w:r w:rsidRPr="00B12FE0">
              <w:rPr>
                <w:color w:val="000000" w:themeColor="text1"/>
                <w:sz w:val="21"/>
                <w:szCs w:val="21"/>
              </w:rPr>
              <w:t>Tc</w:t>
            </w:r>
          </w:p>
        </w:tc>
        <w:tc>
          <w:tcPr>
            <w:tcW w:w="715" w:type="dxa"/>
            <w:tcBorders>
              <w:top w:val="single" w:sz="4" w:space="0" w:color="000000"/>
              <w:left w:val="nil"/>
              <w:bottom w:val="single" w:sz="4" w:space="0" w:color="000000"/>
              <w:right w:val="single" w:sz="4" w:space="0" w:color="000000"/>
            </w:tcBorders>
            <w:vAlign w:val="center"/>
          </w:tcPr>
          <w:p w14:paraId="27B6CA8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2A83D49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1E7F65E5"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2.78</w:t>
            </w:r>
            <w:r w:rsidRPr="00B12FE0">
              <w:rPr>
                <w:color w:val="000000" w:themeColor="text1"/>
                <w:sz w:val="21"/>
                <w:szCs w:val="21"/>
              </w:rPr>
              <w:t>×10</w:t>
            </w:r>
            <w:r w:rsidRPr="00B12FE0">
              <w:rPr>
                <w:color w:val="000000" w:themeColor="text1"/>
                <w:sz w:val="21"/>
                <w:szCs w:val="21"/>
                <w:vertAlign w:val="superscript"/>
              </w:rPr>
              <w:t>10</w:t>
            </w:r>
          </w:p>
        </w:tc>
        <w:tc>
          <w:tcPr>
            <w:tcW w:w="2296" w:type="dxa"/>
            <w:gridSpan w:val="2"/>
            <w:tcBorders>
              <w:top w:val="single" w:sz="4" w:space="0" w:color="000000"/>
              <w:left w:val="nil"/>
              <w:bottom w:val="single" w:sz="4" w:space="0" w:color="000000"/>
              <w:right w:val="single" w:sz="4" w:space="0" w:color="000000"/>
            </w:tcBorders>
            <w:vAlign w:val="center"/>
          </w:tcPr>
          <w:p w14:paraId="1874CF25"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2.78</w:t>
            </w:r>
            <w:r w:rsidRPr="00B12FE0">
              <w:rPr>
                <w:color w:val="000000" w:themeColor="text1"/>
                <w:sz w:val="21"/>
                <w:szCs w:val="21"/>
              </w:rPr>
              <w:t>×10</w:t>
            </w:r>
            <w:r w:rsidRPr="00B12FE0">
              <w:rPr>
                <w:color w:val="000000" w:themeColor="text1"/>
                <w:sz w:val="21"/>
                <w:szCs w:val="21"/>
                <w:vertAlign w:val="superscript"/>
              </w:rPr>
              <w:t>9</w:t>
            </w:r>
          </w:p>
        </w:tc>
        <w:tc>
          <w:tcPr>
            <w:tcW w:w="748" w:type="dxa"/>
            <w:tcBorders>
              <w:top w:val="single" w:sz="4" w:space="0" w:color="000000"/>
              <w:left w:val="nil"/>
              <w:bottom w:val="single" w:sz="4" w:space="0" w:color="000000"/>
              <w:right w:val="single" w:sz="4" w:space="0" w:color="000000"/>
            </w:tcBorders>
            <w:vAlign w:val="center"/>
          </w:tcPr>
          <w:p w14:paraId="543B86D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5AAD1212" w14:textId="77777777">
        <w:trPr>
          <w:trHeight w:val="340"/>
          <w:jc w:val="center"/>
        </w:trPr>
        <w:tc>
          <w:tcPr>
            <w:tcW w:w="680" w:type="dxa"/>
            <w:vMerge/>
            <w:tcBorders>
              <w:left w:val="single" w:sz="4" w:space="0" w:color="auto"/>
              <w:right w:val="single" w:sz="4" w:space="0" w:color="auto"/>
            </w:tcBorders>
            <w:vAlign w:val="center"/>
          </w:tcPr>
          <w:p w14:paraId="1FADE4E2" w14:textId="77777777" w:rsidR="00A67F21" w:rsidRPr="00B12FE0" w:rsidRDefault="00A67F21">
            <w:pPr>
              <w:jc w:val="center"/>
              <w:textAlignment w:val="center"/>
              <w:rPr>
                <w:color w:val="000000" w:themeColor="text1"/>
                <w:sz w:val="21"/>
                <w:szCs w:val="21"/>
              </w:rPr>
            </w:pPr>
          </w:p>
        </w:tc>
        <w:tc>
          <w:tcPr>
            <w:tcW w:w="1494" w:type="dxa"/>
            <w:vMerge w:val="restart"/>
            <w:tcBorders>
              <w:top w:val="nil"/>
              <w:left w:val="single" w:sz="4" w:space="0" w:color="auto"/>
              <w:bottom w:val="single" w:sz="4" w:space="0" w:color="000000"/>
              <w:right w:val="single" w:sz="4" w:space="0" w:color="000000"/>
            </w:tcBorders>
            <w:vAlign w:val="center"/>
          </w:tcPr>
          <w:p w14:paraId="6D3275C2"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废物间</w:t>
            </w:r>
            <w:r w:rsidRPr="00B12FE0">
              <w:rPr>
                <w:rFonts w:ascii="宋体" w:hAnsi="宋体" w:hint="eastAsia"/>
                <w:color w:val="000000" w:themeColor="text1"/>
                <w:kern w:val="0"/>
                <w:sz w:val="21"/>
                <w:szCs w:val="21"/>
                <w:vertAlign w:val="superscript"/>
              </w:rPr>
              <w:t>③</w:t>
            </w:r>
          </w:p>
        </w:tc>
        <w:tc>
          <w:tcPr>
            <w:tcW w:w="1212" w:type="dxa"/>
            <w:tcBorders>
              <w:top w:val="single" w:sz="4" w:space="0" w:color="000000"/>
              <w:left w:val="nil"/>
              <w:bottom w:val="single" w:sz="4" w:space="0" w:color="000000"/>
              <w:right w:val="single" w:sz="4" w:space="0" w:color="000000"/>
            </w:tcBorders>
            <w:vAlign w:val="center"/>
          </w:tcPr>
          <w:p w14:paraId="43DC948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p>
        </w:tc>
        <w:tc>
          <w:tcPr>
            <w:tcW w:w="715" w:type="dxa"/>
            <w:tcBorders>
              <w:top w:val="single" w:sz="4" w:space="0" w:color="000000"/>
              <w:left w:val="nil"/>
              <w:bottom w:val="single" w:sz="4" w:space="0" w:color="000000"/>
              <w:right w:val="single" w:sz="4" w:space="0" w:color="000000"/>
            </w:tcBorders>
            <w:vAlign w:val="center"/>
          </w:tcPr>
          <w:p w14:paraId="0039EA9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48EA430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5E1A5403"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8</w:t>
            </w:r>
          </w:p>
        </w:tc>
        <w:tc>
          <w:tcPr>
            <w:tcW w:w="1142" w:type="dxa"/>
            <w:tcBorders>
              <w:top w:val="single" w:sz="4" w:space="0" w:color="000000"/>
              <w:left w:val="nil"/>
              <w:bottom w:val="single" w:sz="4" w:space="0" w:color="000000"/>
              <w:right w:val="single" w:sz="4" w:space="0" w:color="000000"/>
            </w:tcBorders>
            <w:vAlign w:val="center"/>
          </w:tcPr>
          <w:p w14:paraId="3315D19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4.44</w:t>
            </w:r>
            <w:r w:rsidRPr="00B12FE0">
              <w:rPr>
                <w:color w:val="000000" w:themeColor="text1"/>
                <w:sz w:val="21"/>
                <w:szCs w:val="21"/>
              </w:rPr>
              <w:t>×10</w:t>
            </w:r>
            <w:r w:rsidRPr="00B12FE0">
              <w:rPr>
                <w:rFonts w:hint="eastAsia"/>
                <w:color w:val="000000" w:themeColor="text1"/>
                <w:sz w:val="21"/>
                <w:szCs w:val="21"/>
                <w:vertAlign w:val="superscript"/>
              </w:rPr>
              <w:t>7</w:t>
            </w:r>
          </w:p>
        </w:tc>
        <w:tc>
          <w:tcPr>
            <w:tcW w:w="1154" w:type="dxa"/>
            <w:vMerge w:val="restart"/>
            <w:tcBorders>
              <w:top w:val="nil"/>
              <w:left w:val="nil"/>
              <w:bottom w:val="single" w:sz="4" w:space="0" w:color="000000"/>
              <w:right w:val="single" w:sz="4" w:space="0" w:color="000000"/>
            </w:tcBorders>
            <w:vAlign w:val="center"/>
          </w:tcPr>
          <w:p w14:paraId="6716EAF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3.89</w:t>
            </w:r>
            <w:r w:rsidRPr="00B12FE0">
              <w:rPr>
                <w:color w:val="000000" w:themeColor="text1"/>
                <w:sz w:val="21"/>
                <w:szCs w:val="21"/>
              </w:rPr>
              <w:t>×10</w:t>
            </w:r>
            <w:r w:rsidRPr="00B12FE0">
              <w:rPr>
                <w:color w:val="000000" w:themeColor="text1"/>
                <w:sz w:val="21"/>
                <w:szCs w:val="21"/>
                <w:vertAlign w:val="superscript"/>
              </w:rPr>
              <w:t>8</w:t>
            </w:r>
          </w:p>
        </w:tc>
        <w:tc>
          <w:tcPr>
            <w:tcW w:w="748" w:type="dxa"/>
            <w:vMerge w:val="restart"/>
            <w:tcBorders>
              <w:top w:val="single" w:sz="4" w:space="0" w:color="000000"/>
              <w:left w:val="nil"/>
              <w:bottom w:val="single" w:sz="4" w:space="0" w:color="000000"/>
              <w:right w:val="single" w:sz="4" w:space="0" w:color="000000"/>
            </w:tcBorders>
            <w:vAlign w:val="center"/>
          </w:tcPr>
          <w:p w14:paraId="754106C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2505B51C" w14:textId="77777777">
        <w:trPr>
          <w:trHeight w:val="340"/>
          <w:jc w:val="center"/>
        </w:trPr>
        <w:tc>
          <w:tcPr>
            <w:tcW w:w="680" w:type="dxa"/>
            <w:vMerge/>
            <w:tcBorders>
              <w:left w:val="single" w:sz="4" w:space="0" w:color="auto"/>
              <w:right w:val="single" w:sz="4" w:space="0" w:color="auto"/>
            </w:tcBorders>
            <w:vAlign w:val="center"/>
          </w:tcPr>
          <w:p w14:paraId="3C9B3566"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295C635F"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585CFAC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99</w:t>
            </w:r>
            <w:r w:rsidRPr="00B12FE0">
              <w:rPr>
                <w:color w:val="000000" w:themeColor="text1"/>
                <w:sz w:val="21"/>
                <w:szCs w:val="21"/>
              </w:rPr>
              <w:t>Mo</w:t>
            </w:r>
            <w:r w:rsidRPr="00B12FE0">
              <w:rPr>
                <w:rFonts w:hint="eastAsia"/>
                <w:color w:val="000000" w:themeColor="text1"/>
                <w:sz w:val="21"/>
                <w:szCs w:val="21"/>
              </w:rPr>
              <w:t>-</w:t>
            </w:r>
            <w:r w:rsidRPr="00B12FE0">
              <w:rPr>
                <w:color w:val="000000" w:themeColor="text1"/>
                <w:sz w:val="21"/>
                <w:szCs w:val="21"/>
                <w:vertAlign w:val="superscript"/>
              </w:rPr>
              <w:t>99m</w:t>
            </w:r>
            <w:r w:rsidRPr="00B12FE0">
              <w:rPr>
                <w:color w:val="000000" w:themeColor="text1"/>
                <w:sz w:val="21"/>
                <w:szCs w:val="21"/>
              </w:rPr>
              <w:t>Tc</w:t>
            </w:r>
            <w:r w:rsidRPr="00B12FE0">
              <w:rPr>
                <w:rFonts w:ascii="宋体" w:hAnsi="宋体"/>
                <w:color w:val="000000" w:themeColor="text1"/>
                <w:sz w:val="21"/>
                <w:szCs w:val="21"/>
              </w:rPr>
              <w:t>（</w:t>
            </w:r>
            <w:proofErr w:type="gramStart"/>
            <w:r w:rsidRPr="00B12FE0">
              <w:rPr>
                <w:rFonts w:ascii="宋体" w:hAnsi="宋体"/>
                <w:color w:val="000000" w:themeColor="text1"/>
                <w:sz w:val="21"/>
                <w:szCs w:val="21"/>
              </w:rPr>
              <w:t>钼</w:t>
            </w:r>
            <w:proofErr w:type="gramEnd"/>
            <w:r w:rsidRPr="00B12FE0">
              <w:rPr>
                <w:rFonts w:ascii="宋体" w:hAnsi="宋体"/>
                <w:color w:val="000000" w:themeColor="text1"/>
                <w:sz w:val="21"/>
                <w:szCs w:val="21"/>
              </w:rPr>
              <w:t>锝发生器）</w:t>
            </w:r>
          </w:p>
        </w:tc>
        <w:tc>
          <w:tcPr>
            <w:tcW w:w="715" w:type="dxa"/>
            <w:tcBorders>
              <w:top w:val="single" w:sz="4" w:space="0" w:color="000000"/>
              <w:left w:val="nil"/>
              <w:bottom w:val="single" w:sz="4" w:space="0" w:color="000000"/>
              <w:right w:val="single" w:sz="4" w:space="0" w:color="000000"/>
            </w:tcBorders>
            <w:vAlign w:val="center"/>
          </w:tcPr>
          <w:p w14:paraId="020D277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4DAEE5A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49AD1C13"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rFonts w:hint="eastAsia"/>
                <w:color w:val="000000" w:themeColor="text1"/>
                <w:sz w:val="21"/>
                <w:szCs w:val="21"/>
                <w:vertAlign w:val="superscript"/>
              </w:rPr>
              <w:t>8</w:t>
            </w:r>
          </w:p>
        </w:tc>
        <w:tc>
          <w:tcPr>
            <w:tcW w:w="1142" w:type="dxa"/>
            <w:tcBorders>
              <w:top w:val="single" w:sz="4" w:space="0" w:color="000000"/>
              <w:left w:val="nil"/>
              <w:bottom w:val="single" w:sz="4" w:space="0" w:color="000000"/>
              <w:right w:val="single" w:sz="4" w:space="0" w:color="000000"/>
            </w:tcBorders>
            <w:vAlign w:val="center"/>
          </w:tcPr>
          <w:p w14:paraId="111ADEA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3.33</w:t>
            </w:r>
            <w:r w:rsidRPr="00B12FE0">
              <w:rPr>
                <w:color w:val="000000" w:themeColor="text1"/>
                <w:sz w:val="21"/>
                <w:szCs w:val="21"/>
              </w:rPr>
              <w:t>×10</w:t>
            </w:r>
            <w:r w:rsidRPr="00B12FE0">
              <w:rPr>
                <w:color w:val="000000" w:themeColor="text1"/>
                <w:sz w:val="21"/>
                <w:szCs w:val="21"/>
                <w:vertAlign w:val="superscript"/>
              </w:rPr>
              <w:t>8</w:t>
            </w:r>
          </w:p>
        </w:tc>
        <w:tc>
          <w:tcPr>
            <w:tcW w:w="1154" w:type="dxa"/>
            <w:vMerge/>
            <w:tcBorders>
              <w:top w:val="nil"/>
              <w:left w:val="nil"/>
              <w:bottom w:val="single" w:sz="4" w:space="0" w:color="000000"/>
              <w:right w:val="single" w:sz="4" w:space="0" w:color="000000"/>
            </w:tcBorders>
            <w:vAlign w:val="center"/>
          </w:tcPr>
          <w:p w14:paraId="4EDD10D3"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11DB4C2A" w14:textId="77777777" w:rsidR="00A67F21" w:rsidRPr="00B12FE0" w:rsidRDefault="00A67F21">
            <w:pPr>
              <w:widowControl/>
              <w:jc w:val="left"/>
              <w:rPr>
                <w:color w:val="000000" w:themeColor="text1"/>
                <w:sz w:val="21"/>
                <w:szCs w:val="21"/>
              </w:rPr>
            </w:pPr>
          </w:p>
        </w:tc>
      </w:tr>
      <w:tr w:rsidR="00A67F21" w:rsidRPr="00B12FE0" w14:paraId="080A981D" w14:textId="77777777">
        <w:trPr>
          <w:trHeight w:val="340"/>
          <w:jc w:val="center"/>
        </w:trPr>
        <w:tc>
          <w:tcPr>
            <w:tcW w:w="680" w:type="dxa"/>
            <w:vMerge/>
            <w:tcBorders>
              <w:left w:val="single" w:sz="4" w:space="0" w:color="auto"/>
              <w:right w:val="single" w:sz="4" w:space="0" w:color="auto"/>
            </w:tcBorders>
            <w:vAlign w:val="center"/>
          </w:tcPr>
          <w:p w14:paraId="6701C272"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498D6FFF"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520E68A5"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szCs w:val="24"/>
                <w:vertAlign w:val="superscript"/>
              </w:rPr>
              <w:t>99m</w:t>
            </w:r>
            <w:r w:rsidRPr="00B12FE0">
              <w:rPr>
                <w:color w:val="000000" w:themeColor="text1"/>
                <w:sz w:val="21"/>
                <w:szCs w:val="21"/>
              </w:rPr>
              <w:t>Tc</w:t>
            </w:r>
          </w:p>
        </w:tc>
        <w:tc>
          <w:tcPr>
            <w:tcW w:w="715" w:type="dxa"/>
            <w:tcBorders>
              <w:top w:val="single" w:sz="4" w:space="0" w:color="000000"/>
              <w:left w:val="nil"/>
              <w:bottom w:val="single" w:sz="4" w:space="0" w:color="000000"/>
              <w:right w:val="single" w:sz="4" w:space="0" w:color="000000"/>
            </w:tcBorders>
            <w:vAlign w:val="center"/>
          </w:tcPr>
          <w:p w14:paraId="0DD1681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w:t>
            </w:r>
          </w:p>
        </w:tc>
        <w:tc>
          <w:tcPr>
            <w:tcW w:w="738" w:type="dxa"/>
            <w:tcBorders>
              <w:top w:val="single" w:sz="4" w:space="0" w:color="000000"/>
              <w:left w:val="nil"/>
              <w:bottom w:val="single" w:sz="4" w:space="0" w:color="000000"/>
              <w:right w:val="single" w:sz="4" w:space="0" w:color="000000"/>
            </w:tcBorders>
            <w:vAlign w:val="center"/>
          </w:tcPr>
          <w:p w14:paraId="3592441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474C1AF9"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rFonts w:hint="eastAsia"/>
                <w:color w:val="000000" w:themeColor="text1"/>
                <w:sz w:val="21"/>
                <w:szCs w:val="21"/>
                <w:vertAlign w:val="superscript"/>
              </w:rPr>
              <w:t>8</w:t>
            </w:r>
          </w:p>
        </w:tc>
        <w:tc>
          <w:tcPr>
            <w:tcW w:w="1142" w:type="dxa"/>
            <w:tcBorders>
              <w:top w:val="single" w:sz="4" w:space="0" w:color="000000"/>
              <w:left w:val="nil"/>
              <w:bottom w:val="single" w:sz="4" w:space="0" w:color="000000"/>
              <w:right w:val="single" w:sz="4" w:space="0" w:color="000000"/>
            </w:tcBorders>
            <w:vAlign w:val="center"/>
          </w:tcPr>
          <w:p w14:paraId="4DB3A7C2"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3.0</w:t>
            </w:r>
            <w:r w:rsidRPr="00B12FE0">
              <w:rPr>
                <w:color w:val="000000" w:themeColor="text1"/>
                <w:sz w:val="21"/>
                <w:szCs w:val="21"/>
              </w:rPr>
              <w:t>×10</w:t>
            </w:r>
            <w:r w:rsidRPr="00B12FE0">
              <w:rPr>
                <w:color w:val="000000" w:themeColor="text1"/>
                <w:sz w:val="21"/>
                <w:szCs w:val="21"/>
                <w:vertAlign w:val="superscript"/>
              </w:rPr>
              <w:t>7</w:t>
            </w:r>
          </w:p>
        </w:tc>
        <w:tc>
          <w:tcPr>
            <w:tcW w:w="1154" w:type="dxa"/>
            <w:vMerge/>
            <w:tcBorders>
              <w:top w:val="nil"/>
              <w:left w:val="nil"/>
              <w:bottom w:val="single" w:sz="4" w:space="0" w:color="000000"/>
              <w:right w:val="single" w:sz="4" w:space="0" w:color="000000"/>
            </w:tcBorders>
            <w:vAlign w:val="center"/>
          </w:tcPr>
          <w:p w14:paraId="0037AD80"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7307A9D0" w14:textId="77777777" w:rsidR="00A67F21" w:rsidRPr="00B12FE0" w:rsidRDefault="00A67F21">
            <w:pPr>
              <w:widowControl/>
              <w:jc w:val="left"/>
              <w:rPr>
                <w:color w:val="000000" w:themeColor="text1"/>
                <w:sz w:val="21"/>
                <w:szCs w:val="21"/>
              </w:rPr>
            </w:pPr>
          </w:p>
        </w:tc>
      </w:tr>
      <w:tr w:rsidR="00A67F21" w:rsidRPr="00B12FE0" w14:paraId="210E7E11" w14:textId="77777777">
        <w:trPr>
          <w:trHeight w:val="340"/>
          <w:jc w:val="center"/>
        </w:trPr>
        <w:tc>
          <w:tcPr>
            <w:tcW w:w="680" w:type="dxa"/>
            <w:vMerge/>
            <w:tcBorders>
              <w:left w:val="single" w:sz="4" w:space="0" w:color="auto"/>
              <w:right w:val="single" w:sz="4" w:space="0" w:color="auto"/>
            </w:tcBorders>
            <w:vAlign w:val="center"/>
          </w:tcPr>
          <w:p w14:paraId="197A42AA"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025C3B18"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2753B833" w14:textId="77777777" w:rsidR="00A67F21" w:rsidRPr="00B12FE0" w:rsidRDefault="00000000">
            <w:pPr>
              <w:widowControl/>
              <w:jc w:val="center"/>
              <w:textAlignment w:val="center"/>
              <w:rPr>
                <w:color w:val="000000" w:themeColor="text1"/>
                <w:sz w:val="21"/>
                <w:szCs w:val="21"/>
                <w:vertAlign w:val="superscript"/>
              </w:rPr>
            </w:pPr>
            <w:r w:rsidRPr="00B12FE0">
              <w:rPr>
                <w:rFonts w:hint="eastAsia"/>
                <w:color w:val="000000" w:themeColor="text1"/>
                <w:sz w:val="21"/>
                <w:szCs w:val="21"/>
                <w:vertAlign w:val="superscript"/>
              </w:rPr>
              <w:t>32</w:t>
            </w:r>
            <w:r w:rsidRPr="00B12FE0">
              <w:rPr>
                <w:rFonts w:hint="eastAsia"/>
                <w:color w:val="000000" w:themeColor="text1"/>
                <w:sz w:val="21"/>
                <w:szCs w:val="21"/>
              </w:rPr>
              <w:t>P</w:t>
            </w:r>
            <w:r w:rsidRPr="00B12FE0">
              <w:rPr>
                <w:rFonts w:hint="eastAsia"/>
                <w:color w:val="000000" w:themeColor="text1"/>
                <w:sz w:val="21"/>
                <w:szCs w:val="21"/>
              </w:rPr>
              <w:t>敷贴</w:t>
            </w:r>
          </w:p>
        </w:tc>
        <w:tc>
          <w:tcPr>
            <w:tcW w:w="715" w:type="dxa"/>
            <w:tcBorders>
              <w:top w:val="single" w:sz="4" w:space="0" w:color="auto"/>
              <w:left w:val="single" w:sz="4" w:space="0" w:color="auto"/>
              <w:bottom w:val="single" w:sz="4" w:space="0" w:color="auto"/>
              <w:right w:val="single" w:sz="4" w:space="0" w:color="auto"/>
            </w:tcBorders>
            <w:vAlign w:val="center"/>
          </w:tcPr>
          <w:p w14:paraId="51CE4403"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w:t>
            </w:r>
            <w:r w:rsidRPr="00B12FE0">
              <w:rPr>
                <w:color w:val="000000" w:themeColor="text1"/>
                <w:sz w:val="21"/>
                <w:szCs w:val="21"/>
              </w:rPr>
              <w:t>00</w:t>
            </w:r>
          </w:p>
        </w:tc>
        <w:tc>
          <w:tcPr>
            <w:tcW w:w="738" w:type="dxa"/>
            <w:tcBorders>
              <w:top w:val="single" w:sz="4" w:space="0" w:color="auto"/>
              <w:left w:val="single" w:sz="4" w:space="0" w:color="auto"/>
              <w:bottom w:val="single" w:sz="4" w:space="0" w:color="auto"/>
              <w:right w:val="single" w:sz="4" w:space="0" w:color="auto"/>
            </w:tcBorders>
            <w:vAlign w:val="center"/>
          </w:tcPr>
          <w:p w14:paraId="7113FC81"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10</w:t>
            </w:r>
          </w:p>
        </w:tc>
        <w:tc>
          <w:tcPr>
            <w:tcW w:w="1143" w:type="dxa"/>
            <w:tcBorders>
              <w:top w:val="single" w:sz="4" w:space="0" w:color="auto"/>
              <w:left w:val="nil"/>
              <w:bottom w:val="single" w:sz="4" w:space="0" w:color="auto"/>
              <w:right w:val="single" w:sz="4" w:space="0" w:color="auto"/>
            </w:tcBorders>
            <w:vAlign w:val="center"/>
          </w:tcPr>
          <w:p w14:paraId="26CAE3C4"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8</w:t>
            </w:r>
          </w:p>
        </w:tc>
        <w:tc>
          <w:tcPr>
            <w:tcW w:w="1142" w:type="dxa"/>
            <w:tcBorders>
              <w:top w:val="single" w:sz="4" w:space="0" w:color="auto"/>
              <w:left w:val="single" w:sz="4" w:space="0" w:color="auto"/>
              <w:bottom w:val="single" w:sz="4" w:space="0" w:color="auto"/>
              <w:right w:val="single" w:sz="4" w:space="0" w:color="auto"/>
            </w:tcBorders>
            <w:vAlign w:val="center"/>
          </w:tcPr>
          <w:p w14:paraId="50909644"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1.11</w:t>
            </w:r>
            <w:r w:rsidRPr="00B12FE0">
              <w:rPr>
                <w:color w:val="000000" w:themeColor="text1"/>
                <w:sz w:val="21"/>
                <w:szCs w:val="21"/>
              </w:rPr>
              <w:t>×10</w:t>
            </w:r>
            <w:r w:rsidRPr="00B12FE0">
              <w:rPr>
                <w:rFonts w:hint="eastAsia"/>
                <w:color w:val="000000" w:themeColor="text1"/>
                <w:sz w:val="21"/>
                <w:szCs w:val="21"/>
                <w:vertAlign w:val="superscript"/>
              </w:rPr>
              <w:t>9</w:t>
            </w:r>
          </w:p>
        </w:tc>
        <w:tc>
          <w:tcPr>
            <w:tcW w:w="1154" w:type="dxa"/>
            <w:vMerge/>
            <w:tcBorders>
              <w:top w:val="nil"/>
              <w:left w:val="nil"/>
              <w:bottom w:val="single" w:sz="4" w:space="0" w:color="000000"/>
              <w:right w:val="single" w:sz="4" w:space="0" w:color="000000"/>
            </w:tcBorders>
            <w:vAlign w:val="center"/>
          </w:tcPr>
          <w:p w14:paraId="55E19428"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49FD9A1F" w14:textId="77777777" w:rsidR="00A67F21" w:rsidRPr="00B12FE0" w:rsidRDefault="00A67F21">
            <w:pPr>
              <w:widowControl/>
              <w:jc w:val="left"/>
              <w:rPr>
                <w:color w:val="000000" w:themeColor="text1"/>
                <w:sz w:val="21"/>
                <w:szCs w:val="21"/>
              </w:rPr>
            </w:pPr>
          </w:p>
        </w:tc>
      </w:tr>
      <w:tr w:rsidR="00A67F21" w:rsidRPr="00B12FE0" w14:paraId="62ACE2B5" w14:textId="77777777">
        <w:trPr>
          <w:trHeight w:val="340"/>
          <w:jc w:val="center"/>
        </w:trPr>
        <w:tc>
          <w:tcPr>
            <w:tcW w:w="680" w:type="dxa"/>
            <w:vMerge/>
            <w:tcBorders>
              <w:left w:val="single" w:sz="4" w:space="0" w:color="auto"/>
              <w:right w:val="single" w:sz="4" w:space="0" w:color="auto"/>
            </w:tcBorders>
            <w:vAlign w:val="center"/>
          </w:tcPr>
          <w:p w14:paraId="44070DBE"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5DA71B5F"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6ED1F42F" w14:textId="77777777" w:rsidR="00A67F21" w:rsidRPr="00B12FE0" w:rsidRDefault="00000000">
            <w:pPr>
              <w:widowControl/>
              <w:jc w:val="center"/>
              <w:textAlignment w:val="center"/>
              <w:rPr>
                <w:color w:val="000000" w:themeColor="text1"/>
                <w:sz w:val="21"/>
                <w:szCs w:val="21"/>
                <w:vertAlign w:val="superscript"/>
              </w:rPr>
            </w:pPr>
            <w:r w:rsidRPr="00B12FE0">
              <w:rPr>
                <w:color w:val="000000" w:themeColor="text1"/>
                <w:kern w:val="0"/>
                <w:sz w:val="21"/>
                <w:szCs w:val="21"/>
                <w:vertAlign w:val="superscript"/>
              </w:rPr>
              <w:t>131</w:t>
            </w:r>
            <w:r w:rsidRPr="00B12FE0">
              <w:rPr>
                <w:color w:val="000000" w:themeColor="text1"/>
                <w:kern w:val="0"/>
                <w:sz w:val="21"/>
                <w:szCs w:val="21"/>
              </w:rPr>
              <w:t>I</w:t>
            </w:r>
            <w:proofErr w:type="gramStart"/>
            <w:r w:rsidRPr="00B12FE0">
              <w:rPr>
                <w:rFonts w:ascii="宋体" w:hAnsi="宋体"/>
                <w:color w:val="000000" w:themeColor="text1"/>
                <w:kern w:val="0"/>
                <w:sz w:val="21"/>
                <w:szCs w:val="21"/>
              </w:rPr>
              <w:t>甲测</w:t>
            </w:r>
            <w:proofErr w:type="gramEnd"/>
          </w:p>
        </w:tc>
        <w:tc>
          <w:tcPr>
            <w:tcW w:w="715" w:type="dxa"/>
            <w:tcBorders>
              <w:top w:val="single" w:sz="4" w:space="0" w:color="auto"/>
              <w:left w:val="single" w:sz="4" w:space="0" w:color="auto"/>
              <w:bottom w:val="single" w:sz="4" w:space="0" w:color="auto"/>
              <w:right w:val="single" w:sz="4" w:space="0" w:color="auto"/>
            </w:tcBorders>
            <w:vAlign w:val="center"/>
          </w:tcPr>
          <w:p w14:paraId="0791A5C4"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100</w:t>
            </w:r>
          </w:p>
        </w:tc>
        <w:tc>
          <w:tcPr>
            <w:tcW w:w="738" w:type="dxa"/>
            <w:tcBorders>
              <w:top w:val="single" w:sz="4" w:space="0" w:color="auto"/>
              <w:left w:val="single" w:sz="4" w:space="0" w:color="auto"/>
              <w:bottom w:val="single" w:sz="4" w:space="0" w:color="auto"/>
              <w:right w:val="single" w:sz="4" w:space="0" w:color="auto"/>
            </w:tcBorders>
            <w:vAlign w:val="center"/>
          </w:tcPr>
          <w:p w14:paraId="7990F8E3"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49A90E81"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rFonts w:hint="eastAsia"/>
                <w:color w:val="000000" w:themeColor="text1"/>
                <w:sz w:val="21"/>
                <w:szCs w:val="21"/>
                <w:vertAlign w:val="superscript"/>
              </w:rPr>
              <w:t>4</w:t>
            </w:r>
          </w:p>
        </w:tc>
        <w:tc>
          <w:tcPr>
            <w:tcW w:w="1142" w:type="dxa"/>
            <w:tcBorders>
              <w:top w:val="single" w:sz="4" w:space="0" w:color="000000"/>
              <w:left w:val="nil"/>
              <w:bottom w:val="single" w:sz="4" w:space="0" w:color="000000"/>
              <w:right w:val="single" w:sz="4" w:space="0" w:color="000000"/>
            </w:tcBorders>
            <w:vAlign w:val="center"/>
          </w:tcPr>
          <w:p w14:paraId="759E566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1.85</w:t>
            </w:r>
            <w:r w:rsidRPr="00B12FE0">
              <w:rPr>
                <w:color w:val="000000" w:themeColor="text1"/>
                <w:sz w:val="21"/>
                <w:szCs w:val="21"/>
              </w:rPr>
              <w:t>×10</w:t>
            </w:r>
            <w:r w:rsidRPr="00B12FE0">
              <w:rPr>
                <w:rFonts w:hint="eastAsia"/>
                <w:color w:val="000000" w:themeColor="text1"/>
                <w:sz w:val="21"/>
                <w:szCs w:val="21"/>
                <w:vertAlign w:val="superscript"/>
              </w:rPr>
              <w:t>5</w:t>
            </w:r>
          </w:p>
        </w:tc>
        <w:tc>
          <w:tcPr>
            <w:tcW w:w="1154" w:type="dxa"/>
            <w:vMerge/>
            <w:tcBorders>
              <w:top w:val="nil"/>
              <w:left w:val="nil"/>
              <w:bottom w:val="single" w:sz="4" w:space="0" w:color="000000"/>
              <w:right w:val="single" w:sz="4" w:space="0" w:color="000000"/>
            </w:tcBorders>
            <w:vAlign w:val="center"/>
          </w:tcPr>
          <w:p w14:paraId="5664E08A"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7707008C" w14:textId="77777777" w:rsidR="00A67F21" w:rsidRPr="00B12FE0" w:rsidRDefault="00A67F21">
            <w:pPr>
              <w:widowControl/>
              <w:jc w:val="left"/>
              <w:rPr>
                <w:color w:val="000000" w:themeColor="text1"/>
                <w:sz w:val="21"/>
                <w:szCs w:val="21"/>
              </w:rPr>
            </w:pPr>
          </w:p>
        </w:tc>
      </w:tr>
      <w:tr w:rsidR="00A67F21" w:rsidRPr="00B12FE0" w14:paraId="0CEE0E5B" w14:textId="77777777">
        <w:trPr>
          <w:trHeight w:val="340"/>
          <w:jc w:val="center"/>
        </w:trPr>
        <w:tc>
          <w:tcPr>
            <w:tcW w:w="680" w:type="dxa"/>
            <w:vMerge/>
            <w:tcBorders>
              <w:left w:val="single" w:sz="4" w:space="0" w:color="auto"/>
              <w:right w:val="single" w:sz="4" w:space="0" w:color="auto"/>
            </w:tcBorders>
            <w:vAlign w:val="center"/>
          </w:tcPr>
          <w:p w14:paraId="1D8230AB" w14:textId="77777777" w:rsidR="00A67F21" w:rsidRPr="00B12FE0" w:rsidRDefault="00A67F21">
            <w:pPr>
              <w:jc w:val="center"/>
              <w:textAlignment w:val="center"/>
              <w:rPr>
                <w:color w:val="000000" w:themeColor="text1"/>
                <w:sz w:val="21"/>
                <w:szCs w:val="21"/>
              </w:rPr>
            </w:pPr>
          </w:p>
        </w:tc>
        <w:tc>
          <w:tcPr>
            <w:tcW w:w="1494" w:type="dxa"/>
            <w:vMerge/>
            <w:tcBorders>
              <w:top w:val="nil"/>
              <w:left w:val="single" w:sz="4" w:space="0" w:color="auto"/>
              <w:bottom w:val="single" w:sz="4" w:space="0" w:color="000000"/>
              <w:right w:val="single" w:sz="4" w:space="0" w:color="000000"/>
            </w:tcBorders>
            <w:vAlign w:val="center"/>
          </w:tcPr>
          <w:p w14:paraId="2691CDB7" w14:textId="77777777" w:rsidR="00A67F21" w:rsidRPr="00B12FE0" w:rsidRDefault="00A67F21">
            <w:pPr>
              <w:widowControl/>
              <w:jc w:val="left"/>
              <w:rPr>
                <w:color w:val="000000" w:themeColor="text1"/>
                <w:sz w:val="21"/>
                <w:szCs w:val="21"/>
              </w:rPr>
            </w:pPr>
          </w:p>
        </w:tc>
        <w:tc>
          <w:tcPr>
            <w:tcW w:w="1212" w:type="dxa"/>
            <w:tcBorders>
              <w:top w:val="single" w:sz="4" w:space="0" w:color="000000"/>
              <w:left w:val="nil"/>
              <w:bottom w:val="single" w:sz="4" w:space="0" w:color="000000"/>
              <w:right w:val="single" w:sz="4" w:space="0" w:color="000000"/>
            </w:tcBorders>
            <w:vAlign w:val="center"/>
          </w:tcPr>
          <w:p w14:paraId="428DA4C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kern w:val="0"/>
                <w:sz w:val="21"/>
                <w:szCs w:val="21"/>
              </w:rPr>
              <w:t>甲亢</w:t>
            </w:r>
          </w:p>
        </w:tc>
        <w:tc>
          <w:tcPr>
            <w:tcW w:w="715" w:type="dxa"/>
            <w:tcBorders>
              <w:top w:val="single" w:sz="4" w:space="0" w:color="auto"/>
              <w:left w:val="single" w:sz="4" w:space="0" w:color="auto"/>
              <w:bottom w:val="single" w:sz="4" w:space="0" w:color="auto"/>
              <w:right w:val="single" w:sz="4" w:space="0" w:color="auto"/>
            </w:tcBorders>
            <w:vAlign w:val="center"/>
          </w:tcPr>
          <w:p w14:paraId="4EF7EC3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100</w:t>
            </w:r>
          </w:p>
        </w:tc>
        <w:tc>
          <w:tcPr>
            <w:tcW w:w="738" w:type="dxa"/>
            <w:tcBorders>
              <w:top w:val="single" w:sz="4" w:space="0" w:color="auto"/>
              <w:left w:val="single" w:sz="4" w:space="0" w:color="auto"/>
              <w:bottom w:val="single" w:sz="4" w:space="0" w:color="auto"/>
              <w:right w:val="single" w:sz="4" w:space="0" w:color="auto"/>
            </w:tcBorders>
            <w:vAlign w:val="center"/>
          </w:tcPr>
          <w:p w14:paraId="182EE0F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5979206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rFonts w:hint="eastAsia"/>
                <w:color w:val="000000" w:themeColor="text1"/>
                <w:sz w:val="21"/>
                <w:szCs w:val="21"/>
                <w:vertAlign w:val="superscript"/>
              </w:rPr>
              <w:t>7</w:t>
            </w:r>
          </w:p>
        </w:tc>
        <w:tc>
          <w:tcPr>
            <w:tcW w:w="1142" w:type="dxa"/>
            <w:tcBorders>
              <w:top w:val="single" w:sz="4" w:space="0" w:color="000000"/>
              <w:left w:val="nil"/>
              <w:bottom w:val="single" w:sz="4" w:space="0" w:color="000000"/>
              <w:right w:val="single" w:sz="4" w:space="0" w:color="000000"/>
            </w:tcBorders>
            <w:vAlign w:val="center"/>
          </w:tcPr>
          <w:p w14:paraId="16DDAE0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w:t>
            </w:r>
            <w:r w:rsidRPr="00B12FE0">
              <w:rPr>
                <w:color w:val="000000" w:themeColor="text1"/>
                <w:sz w:val="21"/>
                <w:szCs w:val="21"/>
              </w:rPr>
              <w:t>×10</w:t>
            </w:r>
            <w:r w:rsidRPr="00B12FE0">
              <w:rPr>
                <w:rFonts w:hint="eastAsia"/>
                <w:color w:val="000000" w:themeColor="text1"/>
                <w:sz w:val="21"/>
                <w:szCs w:val="21"/>
                <w:vertAlign w:val="superscript"/>
              </w:rPr>
              <w:t>8</w:t>
            </w:r>
          </w:p>
        </w:tc>
        <w:tc>
          <w:tcPr>
            <w:tcW w:w="1154" w:type="dxa"/>
            <w:vMerge/>
            <w:tcBorders>
              <w:top w:val="nil"/>
              <w:left w:val="nil"/>
              <w:bottom w:val="single" w:sz="4" w:space="0" w:color="000000"/>
              <w:right w:val="single" w:sz="4" w:space="0" w:color="000000"/>
            </w:tcBorders>
            <w:vAlign w:val="center"/>
          </w:tcPr>
          <w:p w14:paraId="5169C70A" w14:textId="77777777" w:rsidR="00A67F21" w:rsidRPr="00B12FE0" w:rsidRDefault="00A67F21">
            <w:pPr>
              <w:widowControl/>
              <w:jc w:val="left"/>
              <w:rPr>
                <w:color w:val="000000" w:themeColor="text1"/>
                <w:sz w:val="21"/>
                <w:szCs w:val="21"/>
              </w:rPr>
            </w:pPr>
          </w:p>
        </w:tc>
        <w:tc>
          <w:tcPr>
            <w:tcW w:w="748" w:type="dxa"/>
            <w:vMerge/>
            <w:tcBorders>
              <w:top w:val="single" w:sz="4" w:space="0" w:color="000000"/>
              <w:left w:val="nil"/>
              <w:bottom w:val="single" w:sz="4" w:space="0" w:color="000000"/>
              <w:right w:val="single" w:sz="4" w:space="0" w:color="000000"/>
            </w:tcBorders>
            <w:vAlign w:val="center"/>
          </w:tcPr>
          <w:p w14:paraId="6205A093" w14:textId="77777777" w:rsidR="00A67F21" w:rsidRPr="00B12FE0" w:rsidRDefault="00A67F21">
            <w:pPr>
              <w:widowControl/>
              <w:jc w:val="left"/>
              <w:rPr>
                <w:color w:val="000000" w:themeColor="text1"/>
                <w:sz w:val="21"/>
                <w:szCs w:val="21"/>
              </w:rPr>
            </w:pPr>
          </w:p>
        </w:tc>
      </w:tr>
      <w:tr w:rsidR="00A67F21" w:rsidRPr="00B12FE0" w14:paraId="72114BB4" w14:textId="77777777">
        <w:trPr>
          <w:trHeight w:val="340"/>
          <w:jc w:val="center"/>
        </w:trPr>
        <w:tc>
          <w:tcPr>
            <w:tcW w:w="680" w:type="dxa"/>
            <w:vMerge/>
            <w:tcBorders>
              <w:left w:val="single" w:sz="4" w:space="0" w:color="auto"/>
              <w:right w:val="single" w:sz="4" w:space="0" w:color="auto"/>
            </w:tcBorders>
            <w:vAlign w:val="center"/>
          </w:tcPr>
          <w:p w14:paraId="23A98291" w14:textId="77777777" w:rsidR="00A67F21" w:rsidRPr="00B12FE0" w:rsidRDefault="00A67F21">
            <w:pPr>
              <w:jc w:val="center"/>
              <w:textAlignment w:val="center"/>
              <w:rPr>
                <w:color w:val="000000" w:themeColor="text1"/>
                <w:sz w:val="21"/>
                <w:szCs w:val="21"/>
              </w:rPr>
            </w:pPr>
          </w:p>
        </w:tc>
        <w:tc>
          <w:tcPr>
            <w:tcW w:w="1494" w:type="dxa"/>
            <w:vMerge w:val="restart"/>
            <w:tcBorders>
              <w:top w:val="nil"/>
              <w:left w:val="single" w:sz="4" w:space="0" w:color="auto"/>
              <w:right w:val="single" w:sz="4" w:space="0" w:color="000000"/>
            </w:tcBorders>
            <w:vAlign w:val="center"/>
          </w:tcPr>
          <w:p w14:paraId="3902AF6C" w14:textId="77777777" w:rsidR="00A67F21" w:rsidRPr="00B12FE0" w:rsidRDefault="00000000">
            <w:pPr>
              <w:widowControl/>
              <w:jc w:val="center"/>
              <w:rPr>
                <w:color w:val="000000" w:themeColor="text1"/>
                <w:sz w:val="21"/>
                <w:szCs w:val="21"/>
              </w:rPr>
            </w:pPr>
            <w:proofErr w:type="gramStart"/>
            <w:r w:rsidRPr="00B12FE0">
              <w:rPr>
                <w:rFonts w:hint="eastAsia"/>
                <w:color w:val="000000" w:themeColor="text1"/>
                <w:sz w:val="21"/>
                <w:szCs w:val="21"/>
              </w:rPr>
              <w:t>留观室</w:t>
            </w:r>
            <w:proofErr w:type="gramEnd"/>
          </w:p>
        </w:tc>
        <w:tc>
          <w:tcPr>
            <w:tcW w:w="1212" w:type="dxa"/>
            <w:tcBorders>
              <w:top w:val="single" w:sz="4" w:space="0" w:color="auto"/>
              <w:left w:val="single" w:sz="4" w:space="0" w:color="auto"/>
              <w:bottom w:val="single" w:sz="4" w:space="0" w:color="auto"/>
              <w:right w:val="single" w:sz="4" w:space="0" w:color="auto"/>
            </w:tcBorders>
            <w:vAlign w:val="center"/>
          </w:tcPr>
          <w:p w14:paraId="3710854C" w14:textId="77777777" w:rsidR="00A67F21" w:rsidRPr="00B12FE0" w:rsidRDefault="00000000">
            <w:pPr>
              <w:widowControl/>
              <w:jc w:val="center"/>
              <w:textAlignment w:val="center"/>
              <w:rPr>
                <w:color w:val="000000" w:themeColor="text1"/>
                <w:kern w:val="0"/>
                <w:sz w:val="21"/>
                <w:szCs w:val="21"/>
                <w:vertAlign w:val="superscript"/>
              </w:rPr>
            </w:pPr>
            <w:r w:rsidRPr="00B12FE0">
              <w:rPr>
                <w:color w:val="000000" w:themeColor="text1"/>
                <w:sz w:val="21"/>
                <w:szCs w:val="21"/>
                <w:vertAlign w:val="superscript"/>
              </w:rPr>
              <w:t>18</w:t>
            </w:r>
            <w:r w:rsidRPr="00B12FE0">
              <w:rPr>
                <w:color w:val="000000" w:themeColor="text1"/>
                <w:sz w:val="21"/>
                <w:szCs w:val="21"/>
              </w:rPr>
              <w:t>F</w:t>
            </w:r>
          </w:p>
        </w:tc>
        <w:tc>
          <w:tcPr>
            <w:tcW w:w="715" w:type="dxa"/>
            <w:tcBorders>
              <w:top w:val="single" w:sz="4" w:space="0" w:color="auto"/>
              <w:left w:val="single" w:sz="4" w:space="0" w:color="auto"/>
              <w:bottom w:val="single" w:sz="4" w:space="0" w:color="auto"/>
              <w:right w:val="single" w:sz="4" w:space="0" w:color="auto"/>
            </w:tcBorders>
            <w:vAlign w:val="center"/>
          </w:tcPr>
          <w:p w14:paraId="0FD67DE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w:t>
            </w:r>
          </w:p>
        </w:tc>
        <w:tc>
          <w:tcPr>
            <w:tcW w:w="738" w:type="dxa"/>
            <w:tcBorders>
              <w:top w:val="single" w:sz="4" w:space="0" w:color="auto"/>
              <w:left w:val="single" w:sz="4" w:space="0" w:color="auto"/>
              <w:bottom w:val="single" w:sz="4" w:space="0" w:color="auto"/>
              <w:right w:val="single" w:sz="4" w:space="0" w:color="auto"/>
            </w:tcBorders>
            <w:vAlign w:val="center"/>
          </w:tcPr>
          <w:p w14:paraId="32A8600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0078E256"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1.48</w:t>
            </w:r>
            <w:r w:rsidRPr="00B12FE0">
              <w:rPr>
                <w:color w:val="000000" w:themeColor="text1"/>
                <w:sz w:val="21"/>
                <w:szCs w:val="21"/>
              </w:rPr>
              <w:t>×10</w:t>
            </w:r>
            <w:r w:rsidRPr="00B12FE0">
              <w:rPr>
                <w:rFonts w:hint="eastAsia"/>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388F9F09"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1.48</w:t>
            </w:r>
            <w:r w:rsidRPr="00B12FE0">
              <w:rPr>
                <w:color w:val="000000" w:themeColor="text1"/>
                <w:sz w:val="21"/>
                <w:szCs w:val="21"/>
              </w:rPr>
              <w:t>×10</w:t>
            </w:r>
            <w:r w:rsidRPr="00B12FE0">
              <w:rPr>
                <w:rFonts w:hint="eastAsia"/>
                <w:color w:val="000000" w:themeColor="text1"/>
                <w:sz w:val="21"/>
                <w:szCs w:val="21"/>
                <w:vertAlign w:val="superscript"/>
              </w:rPr>
              <w:t>9</w:t>
            </w:r>
          </w:p>
        </w:tc>
        <w:tc>
          <w:tcPr>
            <w:tcW w:w="1154" w:type="dxa"/>
            <w:vMerge w:val="restart"/>
            <w:tcBorders>
              <w:top w:val="nil"/>
              <w:left w:val="nil"/>
              <w:right w:val="single" w:sz="4" w:space="0" w:color="000000"/>
            </w:tcBorders>
            <w:vAlign w:val="center"/>
          </w:tcPr>
          <w:p w14:paraId="78D4F309" w14:textId="77777777" w:rsidR="00A67F21" w:rsidRPr="00B12FE0" w:rsidRDefault="00000000">
            <w:pPr>
              <w:widowControl/>
              <w:jc w:val="center"/>
              <w:rPr>
                <w:color w:val="000000" w:themeColor="text1"/>
                <w:sz w:val="21"/>
                <w:szCs w:val="21"/>
              </w:rPr>
            </w:pPr>
            <w:r w:rsidRPr="00B12FE0">
              <w:rPr>
                <w:rFonts w:hint="eastAsia"/>
                <w:color w:val="000000" w:themeColor="text1"/>
                <w:sz w:val="21"/>
                <w:szCs w:val="21"/>
              </w:rPr>
              <w:t>4.36</w:t>
            </w:r>
            <w:r w:rsidRPr="00B12FE0">
              <w:rPr>
                <w:color w:val="000000" w:themeColor="text1"/>
                <w:sz w:val="21"/>
                <w:szCs w:val="21"/>
              </w:rPr>
              <w:t>×10</w:t>
            </w:r>
            <w:r w:rsidRPr="00B12FE0">
              <w:rPr>
                <w:rFonts w:hint="eastAsia"/>
                <w:color w:val="000000" w:themeColor="text1"/>
                <w:sz w:val="21"/>
                <w:szCs w:val="21"/>
                <w:vertAlign w:val="superscript"/>
              </w:rPr>
              <w:t>9</w:t>
            </w:r>
          </w:p>
        </w:tc>
        <w:tc>
          <w:tcPr>
            <w:tcW w:w="748" w:type="dxa"/>
            <w:vMerge w:val="restart"/>
            <w:tcBorders>
              <w:top w:val="single" w:sz="4" w:space="0" w:color="000000"/>
              <w:left w:val="nil"/>
              <w:right w:val="single" w:sz="4" w:space="0" w:color="000000"/>
            </w:tcBorders>
            <w:vAlign w:val="center"/>
          </w:tcPr>
          <w:p w14:paraId="1C7C929D" w14:textId="77777777" w:rsidR="00A67F21" w:rsidRPr="00B12FE0" w:rsidRDefault="00000000">
            <w:pPr>
              <w:widowControl/>
              <w:jc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4086C9A0" w14:textId="77777777">
        <w:trPr>
          <w:trHeight w:val="340"/>
          <w:jc w:val="center"/>
        </w:trPr>
        <w:tc>
          <w:tcPr>
            <w:tcW w:w="680" w:type="dxa"/>
            <w:vMerge/>
            <w:tcBorders>
              <w:left w:val="single" w:sz="4" w:space="0" w:color="auto"/>
              <w:bottom w:val="single" w:sz="4" w:space="0" w:color="auto"/>
              <w:right w:val="single" w:sz="4" w:space="0" w:color="auto"/>
            </w:tcBorders>
            <w:vAlign w:val="center"/>
          </w:tcPr>
          <w:p w14:paraId="1C921AD9" w14:textId="77777777" w:rsidR="00A67F21" w:rsidRPr="00B12FE0" w:rsidRDefault="00A67F21">
            <w:pPr>
              <w:jc w:val="center"/>
              <w:textAlignment w:val="center"/>
              <w:rPr>
                <w:color w:val="000000" w:themeColor="text1"/>
                <w:sz w:val="21"/>
                <w:szCs w:val="21"/>
              </w:rPr>
            </w:pPr>
          </w:p>
        </w:tc>
        <w:tc>
          <w:tcPr>
            <w:tcW w:w="1494" w:type="dxa"/>
            <w:vMerge/>
            <w:tcBorders>
              <w:left w:val="single" w:sz="4" w:space="0" w:color="auto"/>
              <w:bottom w:val="single" w:sz="4" w:space="0" w:color="000000"/>
              <w:right w:val="single" w:sz="4" w:space="0" w:color="000000"/>
            </w:tcBorders>
            <w:vAlign w:val="center"/>
          </w:tcPr>
          <w:p w14:paraId="2C1CC462" w14:textId="77777777" w:rsidR="00A67F21" w:rsidRPr="00B12FE0" w:rsidRDefault="00A67F21">
            <w:pPr>
              <w:widowControl/>
              <w:jc w:val="center"/>
              <w:rPr>
                <w:color w:val="000000" w:themeColor="text1"/>
                <w:sz w:val="21"/>
                <w:szCs w:val="21"/>
              </w:rPr>
            </w:pPr>
          </w:p>
        </w:tc>
        <w:tc>
          <w:tcPr>
            <w:tcW w:w="1212" w:type="dxa"/>
            <w:tcBorders>
              <w:top w:val="single" w:sz="4" w:space="0" w:color="auto"/>
              <w:left w:val="single" w:sz="4" w:space="0" w:color="auto"/>
              <w:bottom w:val="single" w:sz="4" w:space="0" w:color="auto"/>
              <w:right w:val="single" w:sz="4" w:space="0" w:color="auto"/>
            </w:tcBorders>
            <w:vAlign w:val="center"/>
          </w:tcPr>
          <w:p w14:paraId="66A6BD5D" w14:textId="77777777" w:rsidR="00A67F21" w:rsidRPr="00B12FE0" w:rsidRDefault="00000000">
            <w:pPr>
              <w:widowControl/>
              <w:jc w:val="center"/>
              <w:textAlignment w:val="center"/>
              <w:rPr>
                <w:color w:val="000000" w:themeColor="text1"/>
                <w:kern w:val="0"/>
                <w:sz w:val="21"/>
                <w:szCs w:val="21"/>
                <w:vertAlign w:val="superscript"/>
              </w:rPr>
            </w:pPr>
            <w:r w:rsidRPr="00B12FE0">
              <w:rPr>
                <w:color w:val="000000" w:themeColor="text1"/>
                <w:sz w:val="21"/>
                <w:szCs w:val="21"/>
                <w:vertAlign w:val="superscript"/>
              </w:rPr>
              <w:t>99m</w:t>
            </w:r>
            <w:r w:rsidRPr="00B12FE0">
              <w:rPr>
                <w:color w:val="000000" w:themeColor="text1"/>
                <w:sz w:val="21"/>
                <w:szCs w:val="21"/>
              </w:rPr>
              <w:t>Tc</w:t>
            </w:r>
          </w:p>
        </w:tc>
        <w:tc>
          <w:tcPr>
            <w:tcW w:w="715" w:type="dxa"/>
            <w:tcBorders>
              <w:top w:val="single" w:sz="4" w:space="0" w:color="auto"/>
              <w:left w:val="single" w:sz="4" w:space="0" w:color="auto"/>
              <w:bottom w:val="single" w:sz="4" w:space="0" w:color="auto"/>
              <w:right w:val="single" w:sz="4" w:space="0" w:color="auto"/>
            </w:tcBorders>
            <w:vAlign w:val="center"/>
          </w:tcPr>
          <w:p w14:paraId="25BB89D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w:t>
            </w:r>
          </w:p>
        </w:tc>
        <w:tc>
          <w:tcPr>
            <w:tcW w:w="738" w:type="dxa"/>
            <w:tcBorders>
              <w:top w:val="single" w:sz="4" w:space="0" w:color="auto"/>
              <w:left w:val="single" w:sz="4" w:space="0" w:color="auto"/>
              <w:bottom w:val="single" w:sz="4" w:space="0" w:color="auto"/>
              <w:right w:val="single" w:sz="4" w:space="0" w:color="auto"/>
            </w:tcBorders>
            <w:vAlign w:val="center"/>
          </w:tcPr>
          <w:p w14:paraId="26A44DB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0845E69C"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2.78</w:t>
            </w:r>
            <w:r w:rsidRPr="00B12FE0">
              <w:rPr>
                <w:color w:val="000000" w:themeColor="text1"/>
                <w:sz w:val="21"/>
                <w:szCs w:val="21"/>
              </w:rPr>
              <w:t>×10</w:t>
            </w:r>
            <w:r w:rsidRPr="00B12FE0">
              <w:rPr>
                <w:color w:val="000000" w:themeColor="text1"/>
                <w:sz w:val="21"/>
                <w:szCs w:val="21"/>
                <w:vertAlign w:val="superscript"/>
              </w:rPr>
              <w:t>10</w:t>
            </w:r>
          </w:p>
        </w:tc>
        <w:tc>
          <w:tcPr>
            <w:tcW w:w="1142" w:type="dxa"/>
            <w:tcBorders>
              <w:top w:val="single" w:sz="4" w:space="0" w:color="000000"/>
              <w:left w:val="nil"/>
              <w:bottom w:val="single" w:sz="4" w:space="0" w:color="000000"/>
              <w:right w:val="single" w:sz="4" w:space="0" w:color="000000"/>
            </w:tcBorders>
            <w:vAlign w:val="center"/>
          </w:tcPr>
          <w:p w14:paraId="7CAC9794"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2.78</w:t>
            </w:r>
            <w:r w:rsidRPr="00B12FE0">
              <w:rPr>
                <w:color w:val="000000" w:themeColor="text1"/>
                <w:sz w:val="21"/>
                <w:szCs w:val="21"/>
              </w:rPr>
              <w:t>×10</w:t>
            </w:r>
            <w:r w:rsidRPr="00B12FE0">
              <w:rPr>
                <w:rFonts w:hint="eastAsia"/>
                <w:color w:val="000000" w:themeColor="text1"/>
                <w:sz w:val="21"/>
                <w:szCs w:val="21"/>
                <w:vertAlign w:val="superscript"/>
              </w:rPr>
              <w:t>9</w:t>
            </w:r>
          </w:p>
        </w:tc>
        <w:tc>
          <w:tcPr>
            <w:tcW w:w="1154" w:type="dxa"/>
            <w:vMerge/>
            <w:tcBorders>
              <w:left w:val="nil"/>
              <w:bottom w:val="single" w:sz="4" w:space="0" w:color="000000"/>
              <w:right w:val="single" w:sz="4" w:space="0" w:color="000000"/>
            </w:tcBorders>
            <w:vAlign w:val="center"/>
          </w:tcPr>
          <w:p w14:paraId="04400FB7" w14:textId="77777777" w:rsidR="00A67F21" w:rsidRPr="00B12FE0" w:rsidRDefault="00A67F21">
            <w:pPr>
              <w:widowControl/>
              <w:jc w:val="left"/>
              <w:rPr>
                <w:color w:val="000000" w:themeColor="text1"/>
                <w:sz w:val="21"/>
                <w:szCs w:val="21"/>
              </w:rPr>
            </w:pPr>
          </w:p>
        </w:tc>
        <w:tc>
          <w:tcPr>
            <w:tcW w:w="748" w:type="dxa"/>
            <w:vMerge/>
            <w:tcBorders>
              <w:left w:val="nil"/>
              <w:bottom w:val="single" w:sz="4" w:space="0" w:color="000000"/>
              <w:right w:val="single" w:sz="4" w:space="0" w:color="000000"/>
            </w:tcBorders>
            <w:vAlign w:val="center"/>
          </w:tcPr>
          <w:p w14:paraId="28A79834" w14:textId="77777777" w:rsidR="00A67F21" w:rsidRPr="00B12FE0" w:rsidRDefault="00A67F21">
            <w:pPr>
              <w:widowControl/>
              <w:jc w:val="left"/>
              <w:rPr>
                <w:color w:val="000000" w:themeColor="text1"/>
                <w:sz w:val="21"/>
                <w:szCs w:val="21"/>
              </w:rPr>
            </w:pPr>
          </w:p>
        </w:tc>
      </w:tr>
      <w:tr w:rsidR="00A67F21" w:rsidRPr="00B12FE0" w14:paraId="39ABC6F5" w14:textId="77777777">
        <w:trPr>
          <w:trHeight w:val="340"/>
          <w:jc w:val="center"/>
        </w:trPr>
        <w:tc>
          <w:tcPr>
            <w:tcW w:w="680" w:type="dxa"/>
            <w:vMerge w:val="restart"/>
            <w:tcBorders>
              <w:top w:val="single" w:sz="4" w:space="0" w:color="auto"/>
              <w:left w:val="single" w:sz="4" w:space="0" w:color="auto"/>
              <w:right w:val="single" w:sz="4" w:space="0" w:color="auto"/>
            </w:tcBorders>
            <w:vAlign w:val="center"/>
          </w:tcPr>
          <w:p w14:paraId="0DF1C496"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核素治疗场所</w:t>
            </w:r>
          </w:p>
        </w:tc>
        <w:tc>
          <w:tcPr>
            <w:tcW w:w="1494" w:type="dxa"/>
            <w:tcBorders>
              <w:top w:val="nil"/>
              <w:left w:val="single" w:sz="4" w:space="0" w:color="auto"/>
              <w:bottom w:val="single" w:sz="4" w:space="0" w:color="000000"/>
              <w:right w:val="single" w:sz="4" w:space="0" w:color="000000"/>
            </w:tcBorders>
            <w:vAlign w:val="center"/>
          </w:tcPr>
          <w:p w14:paraId="0F0F709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储源室</w:t>
            </w:r>
          </w:p>
        </w:tc>
        <w:tc>
          <w:tcPr>
            <w:tcW w:w="1212" w:type="dxa"/>
            <w:tcBorders>
              <w:top w:val="single" w:sz="4" w:space="0" w:color="000000"/>
              <w:left w:val="nil"/>
              <w:bottom w:val="single" w:sz="4" w:space="0" w:color="000000"/>
              <w:right w:val="single" w:sz="4" w:space="0" w:color="000000"/>
            </w:tcBorders>
            <w:vAlign w:val="center"/>
          </w:tcPr>
          <w:p w14:paraId="5E5EBF8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sz w:val="21"/>
                <w:szCs w:val="21"/>
              </w:rPr>
              <w:t>（甲癌）</w:t>
            </w:r>
          </w:p>
        </w:tc>
        <w:tc>
          <w:tcPr>
            <w:tcW w:w="715" w:type="dxa"/>
            <w:tcBorders>
              <w:top w:val="single" w:sz="4" w:space="0" w:color="000000"/>
              <w:left w:val="nil"/>
              <w:bottom w:val="single" w:sz="4" w:space="0" w:color="000000"/>
              <w:right w:val="single" w:sz="4" w:space="0" w:color="000000"/>
            </w:tcBorders>
            <w:vAlign w:val="center"/>
          </w:tcPr>
          <w:p w14:paraId="73E7394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088CFCF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1143" w:type="dxa"/>
            <w:tcBorders>
              <w:top w:val="single" w:sz="4" w:space="0" w:color="000000"/>
              <w:left w:val="nil"/>
              <w:bottom w:val="single" w:sz="4" w:space="0" w:color="000000"/>
              <w:right w:val="single" w:sz="4" w:space="0" w:color="000000"/>
            </w:tcBorders>
            <w:vAlign w:val="center"/>
          </w:tcPr>
          <w:p w14:paraId="23D21F3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10</w:t>
            </w:r>
          </w:p>
        </w:tc>
        <w:tc>
          <w:tcPr>
            <w:tcW w:w="2296" w:type="dxa"/>
            <w:gridSpan w:val="2"/>
            <w:tcBorders>
              <w:top w:val="single" w:sz="4" w:space="0" w:color="000000"/>
              <w:left w:val="nil"/>
              <w:bottom w:val="single" w:sz="4" w:space="0" w:color="000000"/>
              <w:right w:val="single" w:sz="4" w:space="0" w:color="000000"/>
            </w:tcBorders>
            <w:vAlign w:val="center"/>
          </w:tcPr>
          <w:p w14:paraId="4F039E3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10</w:t>
            </w:r>
          </w:p>
        </w:tc>
        <w:tc>
          <w:tcPr>
            <w:tcW w:w="748" w:type="dxa"/>
            <w:tcBorders>
              <w:top w:val="nil"/>
              <w:left w:val="nil"/>
              <w:bottom w:val="single" w:sz="4" w:space="0" w:color="000000"/>
              <w:right w:val="single" w:sz="4" w:space="0" w:color="000000"/>
            </w:tcBorders>
            <w:vAlign w:val="center"/>
          </w:tcPr>
          <w:p w14:paraId="58D9E17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3BBAA623" w14:textId="77777777">
        <w:trPr>
          <w:trHeight w:val="340"/>
          <w:jc w:val="center"/>
        </w:trPr>
        <w:tc>
          <w:tcPr>
            <w:tcW w:w="680" w:type="dxa"/>
            <w:vMerge/>
            <w:tcBorders>
              <w:left w:val="single" w:sz="4" w:space="0" w:color="auto"/>
              <w:right w:val="single" w:sz="4" w:space="0" w:color="auto"/>
            </w:tcBorders>
            <w:vAlign w:val="center"/>
          </w:tcPr>
          <w:p w14:paraId="0DFC8358" w14:textId="77777777" w:rsidR="00A67F21" w:rsidRPr="00B12FE0" w:rsidRDefault="00A67F21">
            <w:pPr>
              <w:widowControl/>
              <w:jc w:val="left"/>
              <w:rPr>
                <w:color w:val="000000" w:themeColor="text1"/>
                <w:sz w:val="21"/>
                <w:szCs w:val="21"/>
              </w:rPr>
            </w:pPr>
          </w:p>
        </w:tc>
        <w:tc>
          <w:tcPr>
            <w:tcW w:w="1494" w:type="dxa"/>
            <w:tcBorders>
              <w:top w:val="nil"/>
              <w:left w:val="single" w:sz="4" w:space="0" w:color="auto"/>
              <w:bottom w:val="single" w:sz="4" w:space="0" w:color="000000"/>
              <w:right w:val="single" w:sz="4" w:space="0" w:color="000000"/>
            </w:tcBorders>
            <w:vAlign w:val="center"/>
          </w:tcPr>
          <w:p w14:paraId="2B476E62" w14:textId="77777777" w:rsidR="00A67F21" w:rsidRPr="00B12FE0" w:rsidRDefault="00000000">
            <w:pPr>
              <w:widowControl/>
              <w:jc w:val="center"/>
              <w:textAlignment w:val="center"/>
              <w:rPr>
                <w:color w:val="000000" w:themeColor="text1"/>
                <w:sz w:val="21"/>
                <w:szCs w:val="21"/>
              </w:rPr>
            </w:pPr>
            <w:proofErr w:type="gramStart"/>
            <w:r w:rsidRPr="00B12FE0">
              <w:rPr>
                <w:rFonts w:hint="eastAsia"/>
                <w:color w:val="000000" w:themeColor="text1"/>
                <w:sz w:val="21"/>
                <w:szCs w:val="21"/>
              </w:rPr>
              <w:t>甲癌服药</w:t>
            </w:r>
            <w:proofErr w:type="gramEnd"/>
            <w:r w:rsidRPr="00B12FE0">
              <w:rPr>
                <w:rFonts w:hint="eastAsia"/>
                <w:color w:val="000000" w:themeColor="text1"/>
                <w:sz w:val="21"/>
                <w:szCs w:val="21"/>
              </w:rPr>
              <w:t>室</w:t>
            </w:r>
          </w:p>
        </w:tc>
        <w:tc>
          <w:tcPr>
            <w:tcW w:w="1212" w:type="dxa"/>
            <w:tcBorders>
              <w:top w:val="single" w:sz="4" w:space="0" w:color="000000"/>
              <w:left w:val="nil"/>
              <w:bottom w:val="single" w:sz="4" w:space="0" w:color="000000"/>
              <w:right w:val="single" w:sz="4" w:space="0" w:color="000000"/>
            </w:tcBorders>
            <w:vAlign w:val="center"/>
          </w:tcPr>
          <w:p w14:paraId="6E626DE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sz w:val="21"/>
                <w:szCs w:val="21"/>
              </w:rPr>
              <w:t>（甲癌）</w:t>
            </w:r>
          </w:p>
        </w:tc>
        <w:tc>
          <w:tcPr>
            <w:tcW w:w="715" w:type="dxa"/>
            <w:tcBorders>
              <w:top w:val="single" w:sz="4" w:space="0" w:color="000000"/>
              <w:left w:val="nil"/>
              <w:bottom w:val="single" w:sz="4" w:space="0" w:color="000000"/>
              <w:right w:val="single" w:sz="4" w:space="0" w:color="000000"/>
            </w:tcBorders>
            <w:vAlign w:val="center"/>
          </w:tcPr>
          <w:p w14:paraId="511F41F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37333F2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1143" w:type="dxa"/>
            <w:tcBorders>
              <w:top w:val="single" w:sz="4" w:space="0" w:color="000000"/>
              <w:left w:val="nil"/>
              <w:bottom w:val="single" w:sz="4" w:space="0" w:color="000000"/>
              <w:right w:val="single" w:sz="4" w:space="0" w:color="000000"/>
            </w:tcBorders>
            <w:vAlign w:val="center"/>
          </w:tcPr>
          <w:p w14:paraId="440BB15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10</w:t>
            </w:r>
          </w:p>
        </w:tc>
        <w:tc>
          <w:tcPr>
            <w:tcW w:w="2296" w:type="dxa"/>
            <w:gridSpan w:val="2"/>
            <w:tcBorders>
              <w:top w:val="single" w:sz="4" w:space="0" w:color="000000"/>
              <w:left w:val="nil"/>
              <w:bottom w:val="single" w:sz="4" w:space="0" w:color="000000"/>
              <w:right w:val="single" w:sz="4" w:space="0" w:color="000000"/>
            </w:tcBorders>
            <w:vAlign w:val="center"/>
          </w:tcPr>
          <w:p w14:paraId="0F9FF49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12</w:t>
            </w:r>
          </w:p>
        </w:tc>
        <w:tc>
          <w:tcPr>
            <w:tcW w:w="748" w:type="dxa"/>
            <w:tcBorders>
              <w:top w:val="nil"/>
              <w:left w:val="nil"/>
              <w:bottom w:val="single" w:sz="4" w:space="0" w:color="000000"/>
              <w:right w:val="single" w:sz="4" w:space="0" w:color="000000"/>
            </w:tcBorders>
            <w:vAlign w:val="center"/>
          </w:tcPr>
          <w:p w14:paraId="0677C48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Ⅰ</w:t>
            </w:r>
            <w:r w:rsidRPr="00B12FE0">
              <w:rPr>
                <w:rFonts w:ascii="宋体" w:hAnsi="宋体"/>
                <w:color w:val="000000" w:themeColor="text1"/>
                <w:kern w:val="0"/>
                <w:sz w:val="21"/>
                <w:szCs w:val="21"/>
              </w:rPr>
              <w:t>类</w:t>
            </w:r>
          </w:p>
        </w:tc>
      </w:tr>
      <w:tr w:rsidR="00A67F21" w:rsidRPr="00B12FE0" w14:paraId="37706DBD" w14:textId="77777777">
        <w:trPr>
          <w:trHeight w:val="340"/>
          <w:jc w:val="center"/>
        </w:trPr>
        <w:tc>
          <w:tcPr>
            <w:tcW w:w="680" w:type="dxa"/>
            <w:vMerge/>
            <w:tcBorders>
              <w:left w:val="single" w:sz="4" w:space="0" w:color="auto"/>
              <w:right w:val="single" w:sz="4" w:space="0" w:color="auto"/>
            </w:tcBorders>
            <w:vAlign w:val="center"/>
          </w:tcPr>
          <w:p w14:paraId="028470AC" w14:textId="77777777" w:rsidR="00A67F21" w:rsidRPr="00B12FE0" w:rsidRDefault="00A67F21">
            <w:pPr>
              <w:widowControl/>
              <w:jc w:val="left"/>
              <w:rPr>
                <w:color w:val="000000" w:themeColor="text1"/>
                <w:sz w:val="21"/>
                <w:szCs w:val="21"/>
              </w:rPr>
            </w:pPr>
          </w:p>
        </w:tc>
        <w:tc>
          <w:tcPr>
            <w:tcW w:w="1494" w:type="dxa"/>
            <w:tcBorders>
              <w:top w:val="single" w:sz="4" w:space="0" w:color="000000"/>
              <w:left w:val="single" w:sz="4" w:space="0" w:color="auto"/>
              <w:bottom w:val="single" w:sz="4" w:space="0" w:color="000000"/>
              <w:right w:val="single" w:sz="4" w:space="0" w:color="000000"/>
            </w:tcBorders>
            <w:vAlign w:val="center"/>
          </w:tcPr>
          <w:p w14:paraId="2DE335CD" w14:textId="77777777" w:rsidR="00A67F21" w:rsidRPr="00B12FE0" w:rsidRDefault="00000000">
            <w:pPr>
              <w:widowControl/>
              <w:jc w:val="center"/>
              <w:textAlignment w:val="center"/>
              <w:rPr>
                <w:color w:val="000000" w:themeColor="text1"/>
                <w:sz w:val="21"/>
                <w:szCs w:val="21"/>
              </w:rPr>
            </w:pPr>
            <w:proofErr w:type="gramStart"/>
            <w:r w:rsidRPr="00B12FE0">
              <w:rPr>
                <w:rFonts w:ascii="宋体" w:hAnsi="宋体"/>
                <w:color w:val="000000" w:themeColor="text1"/>
                <w:kern w:val="0"/>
                <w:sz w:val="21"/>
                <w:szCs w:val="21"/>
              </w:rPr>
              <w:t>甲癌病房</w:t>
            </w:r>
            <w:proofErr w:type="gramEnd"/>
          </w:p>
        </w:tc>
        <w:tc>
          <w:tcPr>
            <w:tcW w:w="1212" w:type="dxa"/>
            <w:tcBorders>
              <w:top w:val="single" w:sz="4" w:space="0" w:color="000000"/>
              <w:left w:val="nil"/>
              <w:bottom w:val="single" w:sz="4" w:space="0" w:color="000000"/>
              <w:right w:val="single" w:sz="4" w:space="0" w:color="000000"/>
            </w:tcBorders>
            <w:vAlign w:val="center"/>
          </w:tcPr>
          <w:p w14:paraId="0093BF9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sz w:val="21"/>
                <w:szCs w:val="21"/>
              </w:rPr>
              <w:t>（甲癌）</w:t>
            </w:r>
          </w:p>
        </w:tc>
        <w:tc>
          <w:tcPr>
            <w:tcW w:w="715" w:type="dxa"/>
            <w:tcBorders>
              <w:top w:val="single" w:sz="4" w:space="0" w:color="000000"/>
              <w:left w:val="nil"/>
              <w:bottom w:val="single" w:sz="4" w:space="0" w:color="000000"/>
              <w:right w:val="single" w:sz="4" w:space="0" w:color="000000"/>
            </w:tcBorders>
            <w:vAlign w:val="center"/>
          </w:tcPr>
          <w:p w14:paraId="3F2A8EC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5EB335B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w:t>
            </w:r>
          </w:p>
        </w:tc>
        <w:tc>
          <w:tcPr>
            <w:tcW w:w="1143" w:type="dxa"/>
            <w:tcBorders>
              <w:top w:val="single" w:sz="4" w:space="0" w:color="000000"/>
              <w:left w:val="nil"/>
              <w:bottom w:val="single" w:sz="4" w:space="0" w:color="000000"/>
              <w:right w:val="single" w:sz="4" w:space="0" w:color="000000"/>
            </w:tcBorders>
            <w:vAlign w:val="center"/>
          </w:tcPr>
          <w:p w14:paraId="1C217EB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10</w:t>
            </w:r>
          </w:p>
        </w:tc>
        <w:tc>
          <w:tcPr>
            <w:tcW w:w="2296" w:type="dxa"/>
            <w:gridSpan w:val="2"/>
            <w:tcBorders>
              <w:top w:val="single" w:sz="4" w:space="0" w:color="000000"/>
              <w:left w:val="nil"/>
              <w:bottom w:val="single" w:sz="4" w:space="0" w:color="000000"/>
              <w:right w:val="single" w:sz="4" w:space="0" w:color="000000"/>
            </w:tcBorders>
            <w:vAlign w:val="center"/>
          </w:tcPr>
          <w:p w14:paraId="4C07BB6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12</w:t>
            </w:r>
          </w:p>
        </w:tc>
        <w:tc>
          <w:tcPr>
            <w:tcW w:w="748" w:type="dxa"/>
            <w:tcBorders>
              <w:top w:val="single" w:sz="4" w:space="0" w:color="000000"/>
              <w:left w:val="nil"/>
              <w:bottom w:val="single" w:sz="4" w:space="0" w:color="000000"/>
              <w:right w:val="single" w:sz="4" w:space="0" w:color="000000"/>
            </w:tcBorders>
            <w:vAlign w:val="center"/>
          </w:tcPr>
          <w:p w14:paraId="5FAE293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Ⅰ</w:t>
            </w:r>
            <w:r w:rsidRPr="00B12FE0">
              <w:rPr>
                <w:rFonts w:ascii="宋体" w:hAnsi="宋体"/>
                <w:color w:val="000000" w:themeColor="text1"/>
                <w:kern w:val="0"/>
                <w:sz w:val="21"/>
                <w:szCs w:val="21"/>
              </w:rPr>
              <w:t>类</w:t>
            </w:r>
          </w:p>
        </w:tc>
      </w:tr>
      <w:tr w:rsidR="00A67F21" w:rsidRPr="00B12FE0" w14:paraId="59BA6A90" w14:textId="77777777">
        <w:trPr>
          <w:trHeight w:val="340"/>
          <w:jc w:val="center"/>
        </w:trPr>
        <w:tc>
          <w:tcPr>
            <w:tcW w:w="680" w:type="dxa"/>
            <w:vMerge/>
            <w:tcBorders>
              <w:left w:val="single" w:sz="4" w:space="0" w:color="auto"/>
              <w:right w:val="single" w:sz="4" w:space="0" w:color="auto"/>
            </w:tcBorders>
            <w:vAlign w:val="center"/>
          </w:tcPr>
          <w:p w14:paraId="6F2EB310" w14:textId="77777777" w:rsidR="00A67F21" w:rsidRPr="00B12FE0" w:rsidRDefault="00A67F21">
            <w:pPr>
              <w:widowControl/>
              <w:jc w:val="left"/>
              <w:rPr>
                <w:color w:val="000000" w:themeColor="text1"/>
                <w:sz w:val="21"/>
                <w:szCs w:val="21"/>
              </w:rPr>
            </w:pPr>
          </w:p>
        </w:tc>
        <w:tc>
          <w:tcPr>
            <w:tcW w:w="1494" w:type="dxa"/>
            <w:tcBorders>
              <w:top w:val="nil"/>
              <w:left w:val="single" w:sz="4" w:space="0" w:color="auto"/>
              <w:bottom w:val="single" w:sz="4" w:space="0" w:color="000000"/>
              <w:right w:val="single" w:sz="4" w:space="0" w:color="000000"/>
            </w:tcBorders>
            <w:vAlign w:val="center"/>
          </w:tcPr>
          <w:p w14:paraId="6D9870F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废物间</w:t>
            </w:r>
          </w:p>
        </w:tc>
        <w:tc>
          <w:tcPr>
            <w:tcW w:w="1212" w:type="dxa"/>
            <w:tcBorders>
              <w:top w:val="single" w:sz="4" w:space="0" w:color="000000"/>
              <w:left w:val="nil"/>
              <w:bottom w:val="single" w:sz="4" w:space="0" w:color="000000"/>
              <w:right w:val="single" w:sz="4" w:space="0" w:color="000000"/>
            </w:tcBorders>
            <w:vAlign w:val="center"/>
          </w:tcPr>
          <w:p w14:paraId="0C335D4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sz w:val="21"/>
                <w:szCs w:val="21"/>
              </w:rPr>
              <w:t>（甲癌）</w:t>
            </w:r>
          </w:p>
        </w:tc>
        <w:tc>
          <w:tcPr>
            <w:tcW w:w="715" w:type="dxa"/>
            <w:tcBorders>
              <w:top w:val="single" w:sz="4" w:space="0" w:color="000000"/>
              <w:left w:val="nil"/>
              <w:bottom w:val="single" w:sz="4" w:space="0" w:color="000000"/>
              <w:right w:val="single" w:sz="4" w:space="0" w:color="000000"/>
            </w:tcBorders>
            <w:vAlign w:val="center"/>
          </w:tcPr>
          <w:p w14:paraId="298E054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486DF74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3DB4EB6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8</w:t>
            </w:r>
          </w:p>
        </w:tc>
        <w:tc>
          <w:tcPr>
            <w:tcW w:w="2296" w:type="dxa"/>
            <w:gridSpan w:val="2"/>
            <w:tcBorders>
              <w:top w:val="single" w:sz="4" w:space="0" w:color="000000"/>
              <w:left w:val="nil"/>
              <w:bottom w:val="single" w:sz="4" w:space="0" w:color="000000"/>
              <w:right w:val="single" w:sz="4" w:space="0" w:color="000000"/>
            </w:tcBorders>
            <w:vAlign w:val="center"/>
          </w:tcPr>
          <w:p w14:paraId="60B7FBF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9</w:t>
            </w:r>
          </w:p>
        </w:tc>
        <w:tc>
          <w:tcPr>
            <w:tcW w:w="748" w:type="dxa"/>
            <w:tcBorders>
              <w:top w:val="single" w:sz="4" w:space="0" w:color="000000"/>
              <w:left w:val="nil"/>
              <w:bottom w:val="single" w:sz="4" w:space="0" w:color="000000"/>
              <w:right w:val="single" w:sz="4" w:space="0" w:color="000000"/>
            </w:tcBorders>
            <w:vAlign w:val="center"/>
          </w:tcPr>
          <w:p w14:paraId="0D498D3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1DA61146" w14:textId="77777777">
        <w:trPr>
          <w:trHeight w:val="340"/>
          <w:jc w:val="center"/>
        </w:trPr>
        <w:tc>
          <w:tcPr>
            <w:tcW w:w="680" w:type="dxa"/>
            <w:vMerge/>
            <w:tcBorders>
              <w:left w:val="single" w:sz="4" w:space="0" w:color="auto"/>
              <w:bottom w:val="single" w:sz="4" w:space="0" w:color="auto"/>
              <w:right w:val="single" w:sz="4" w:space="0" w:color="auto"/>
            </w:tcBorders>
            <w:vAlign w:val="center"/>
          </w:tcPr>
          <w:p w14:paraId="5F970761" w14:textId="77777777" w:rsidR="00A67F21" w:rsidRPr="00B12FE0" w:rsidRDefault="00A67F21">
            <w:pPr>
              <w:widowControl/>
              <w:jc w:val="left"/>
              <w:rPr>
                <w:color w:val="000000" w:themeColor="text1"/>
                <w:sz w:val="21"/>
                <w:szCs w:val="21"/>
              </w:rPr>
            </w:pPr>
          </w:p>
        </w:tc>
        <w:tc>
          <w:tcPr>
            <w:tcW w:w="1494" w:type="dxa"/>
            <w:tcBorders>
              <w:top w:val="single" w:sz="4" w:space="0" w:color="000000"/>
              <w:left w:val="single" w:sz="4" w:space="0" w:color="auto"/>
              <w:bottom w:val="single" w:sz="4" w:space="0" w:color="000000"/>
              <w:right w:val="single" w:sz="4" w:space="0" w:color="000000"/>
            </w:tcBorders>
            <w:vAlign w:val="center"/>
          </w:tcPr>
          <w:p w14:paraId="4002F1C0"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被服间</w:t>
            </w:r>
          </w:p>
        </w:tc>
        <w:tc>
          <w:tcPr>
            <w:tcW w:w="1212" w:type="dxa"/>
            <w:tcBorders>
              <w:top w:val="single" w:sz="4" w:space="0" w:color="000000"/>
              <w:left w:val="nil"/>
              <w:bottom w:val="single" w:sz="4" w:space="0" w:color="000000"/>
              <w:right w:val="single" w:sz="4" w:space="0" w:color="000000"/>
            </w:tcBorders>
            <w:vAlign w:val="center"/>
          </w:tcPr>
          <w:p w14:paraId="4C01209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131</w:t>
            </w:r>
            <w:r w:rsidRPr="00B12FE0">
              <w:rPr>
                <w:color w:val="000000" w:themeColor="text1"/>
                <w:kern w:val="0"/>
                <w:sz w:val="21"/>
                <w:szCs w:val="21"/>
              </w:rPr>
              <w:t>I</w:t>
            </w:r>
            <w:r w:rsidRPr="00B12FE0">
              <w:rPr>
                <w:rFonts w:ascii="宋体" w:hAnsi="宋体"/>
                <w:color w:val="000000" w:themeColor="text1"/>
                <w:sz w:val="21"/>
                <w:szCs w:val="21"/>
              </w:rPr>
              <w:t>（甲癌）</w:t>
            </w:r>
          </w:p>
        </w:tc>
        <w:tc>
          <w:tcPr>
            <w:tcW w:w="715" w:type="dxa"/>
            <w:tcBorders>
              <w:top w:val="single" w:sz="4" w:space="0" w:color="000000"/>
              <w:left w:val="nil"/>
              <w:bottom w:val="single" w:sz="4" w:space="0" w:color="000000"/>
              <w:right w:val="single" w:sz="4" w:space="0" w:color="000000"/>
            </w:tcBorders>
            <w:vAlign w:val="center"/>
          </w:tcPr>
          <w:p w14:paraId="624C833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100</w:t>
            </w:r>
          </w:p>
        </w:tc>
        <w:tc>
          <w:tcPr>
            <w:tcW w:w="738" w:type="dxa"/>
            <w:tcBorders>
              <w:top w:val="single" w:sz="4" w:space="0" w:color="000000"/>
              <w:left w:val="nil"/>
              <w:bottom w:val="single" w:sz="4" w:space="0" w:color="000000"/>
              <w:right w:val="single" w:sz="4" w:space="0" w:color="000000"/>
            </w:tcBorders>
            <w:vAlign w:val="center"/>
          </w:tcPr>
          <w:p w14:paraId="2C52DBE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w:t>
            </w:r>
          </w:p>
        </w:tc>
        <w:tc>
          <w:tcPr>
            <w:tcW w:w="1143" w:type="dxa"/>
            <w:tcBorders>
              <w:top w:val="single" w:sz="4" w:space="0" w:color="000000"/>
              <w:left w:val="nil"/>
              <w:bottom w:val="single" w:sz="4" w:space="0" w:color="000000"/>
              <w:right w:val="single" w:sz="4" w:space="0" w:color="000000"/>
            </w:tcBorders>
            <w:vAlign w:val="center"/>
          </w:tcPr>
          <w:p w14:paraId="01CBF21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8</w:t>
            </w:r>
          </w:p>
        </w:tc>
        <w:tc>
          <w:tcPr>
            <w:tcW w:w="2296" w:type="dxa"/>
            <w:gridSpan w:val="2"/>
            <w:tcBorders>
              <w:top w:val="single" w:sz="4" w:space="0" w:color="000000"/>
              <w:left w:val="nil"/>
              <w:bottom w:val="single" w:sz="4" w:space="0" w:color="000000"/>
              <w:right w:val="single" w:sz="4" w:space="0" w:color="000000"/>
            </w:tcBorders>
            <w:vAlign w:val="center"/>
          </w:tcPr>
          <w:p w14:paraId="0813DBF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w:t>
            </w:r>
            <w:r w:rsidRPr="00B12FE0">
              <w:rPr>
                <w:rFonts w:hint="eastAsia"/>
                <w:color w:val="000000" w:themeColor="text1"/>
                <w:kern w:val="0"/>
                <w:sz w:val="21"/>
                <w:szCs w:val="21"/>
              </w:rPr>
              <w:t>55</w:t>
            </w:r>
            <w:r w:rsidRPr="00B12FE0">
              <w:rPr>
                <w:color w:val="000000" w:themeColor="text1"/>
                <w:sz w:val="21"/>
                <w:szCs w:val="21"/>
              </w:rPr>
              <w:t>×10</w:t>
            </w:r>
            <w:r w:rsidRPr="00B12FE0">
              <w:rPr>
                <w:color w:val="000000" w:themeColor="text1"/>
                <w:sz w:val="21"/>
                <w:szCs w:val="21"/>
                <w:vertAlign w:val="superscript"/>
              </w:rPr>
              <w:t>9</w:t>
            </w:r>
          </w:p>
        </w:tc>
        <w:tc>
          <w:tcPr>
            <w:tcW w:w="748" w:type="dxa"/>
            <w:tcBorders>
              <w:top w:val="single" w:sz="4" w:space="0" w:color="000000"/>
              <w:left w:val="nil"/>
              <w:bottom w:val="single" w:sz="4" w:space="0" w:color="000000"/>
              <w:right w:val="single" w:sz="4" w:space="0" w:color="000000"/>
            </w:tcBorders>
            <w:vAlign w:val="center"/>
          </w:tcPr>
          <w:p w14:paraId="7CE94FC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Ⅱ</w:t>
            </w:r>
            <w:r w:rsidRPr="00B12FE0">
              <w:rPr>
                <w:rFonts w:ascii="宋体" w:hAnsi="宋体"/>
                <w:color w:val="000000" w:themeColor="text1"/>
                <w:kern w:val="0"/>
                <w:sz w:val="21"/>
                <w:szCs w:val="21"/>
              </w:rPr>
              <w:t>类</w:t>
            </w:r>
          </w:p>
        </w:tc>
      </w:tr>
      <w:tr w:rsidR="00A67F21" w:rsidRPr="00B12FE0" w14:paraId="788372B8" w14:textId="77777777">
        <w:trPr>
          <w:trHeight w:val="340"/>
          <w:jc w:val="center"/>
        </w:trPr>
        <w:tc>
          <w:tcPr>
            <w:tcW w:w="9026" w:type="dxa"/>
            <w:gridSpan w:val="9"/>
            <w:tcBorders>
              <w:top w:val="single" w:sz="4" w:space="0" w:color="000000"/>
              <w:left w:val="single" w:sz="4" w:space="0" w:color="000000"/>
              <w:bottom w:val="single" w:sz="4" w:space="0" w:color="000000"/>
              <w:right w:val="single" w:sz="4" w:space="0" w:color="000000"/>
            </w:tcBorders>
            <w:vAlign w:val="center"/>
          </w:tcPr>
          <w:p w14:paraId="06F17789" w14:textId="77777777" w:rsidR="00A67F21" w:rsidRPr="00B12FE0" w:rsidRDefault="00000000">
            <w:pPr>
              <w:rPr>
                <w:color w:val="000000" w:themeColor="text1"/>
                <w:sz w:val="21"/>
                <w:szCs w:val="21"/>
              </w:rPr>
            </w:pPr>
            <w:r w:rsidRPr="00B12FE0">
              <w:rPr>
                <w:rFonts w:ascii="宋体" w:hAnsi="宋体"/>
                <w:color w:val="000000" w:themeColor="text1"/>
                <w:sz w:val="18"/>
                <w:szCs w:val="18"/>
              </w:rPr>
              <w:t>注：</w:t>
            </w:r>
            <w:r w:rsidRPr="00B12FE0">
              <w:rPr>
                <w:rFonts w:ascii="Cambria Math" w:hAnsi="Cambria Math" w:cs="Cambria Math"/>
                <w:color w:val="000000" w:themeColor="text1"/>
                <w:kern w:val="0"/>
                <w:sz w:val="18"/>
                <w:szCs w:val="18"/>
              </w:rPr>
              <w:t>①</w:t>
            </w:r>
            <w:r w:rsidRPr="00B12FE0">
              <w:rPr>
                <w:rFonts w:ascii="宋体" w:hAnsi="宋体"/>
                <w:color w:val="000000" w:themeColor="text1"/>
                <w:sz w:val="18"/>
                <w:szCs w:val="18"/>
              </w:rPr>
              <w:t>质</w:t>
            </w:r>
            <w:proofErr w:type="gramStart"/>
            <w:r w:rsidRPr="00B12FE0">
              <w:rPr>
                <w:rFonts w:ascii="宋体" w:hAnsi="宋体"/>
                <w:color w:val="000000" w:themeColor="text1"/>
                <w:sz w:val="18"/>
                <w:szCs w:val="18"/>
              </w:rPr>
              <w:t>控是按照微居级</w:t>
            </w:r>
            <w:proofErr w:type="gramEnd"/>
            <w:r w:rsidRPr="00B12FE0">
              <w:rPr>
                <w:rFonts w:ascii="宋体" w:hAnsi="宋体"/>
                <w:color w:val="000000" w:themeColor="text1"/>
                <w:sz w:val="18"/>
                <w:szCs w:val="18"/>
              </w:rPr>
              <w:t>用量进行质控的，每次质控保守按照</w:t>
            </w:r>
            <w:r w:rsidRPr="00B12FE0">
              <w:rPr>
                <w:color w:val="000000" w:themeColor="text1"/>
                <w:sz w:val="18"/>
                <w:szCs w:val="18"/>
              </w:rPr>
              <w:t>100μCi</w:t>
            </w:r>
            <w:r w:rsidRPr="00B12FE0">
              <w:rPr>
                <w:rFonts w:ascii="宋体" w:hAnsi="宋体"/>
                <w:color w:val="000000" w:themeColor="text1"/>
                <w:sz w:val="18"/>
                <w:szCs w:val="18"/>
              </w:rPr>
              <w:t>进行考虑</w:t>
            </w:r>
            <w:r w:rsidRPr="00B12FE0">
              <w:rPr>
                <w:rFonts w:ascii="宋体" w:hAnsi="宋体" w:hint="eastAsia"/>
                <w:color w:val="000000" w:themeColor="text1"/>
                <w:sz w:val="18"/>
                <w:szCs w:val="18"/>
              </w:rPr>
              <w:t>，一天两次</w:t>
            </w:r>
            <w:r w:rsidRPr="00B12FE0">
              <w:rPr>
                <w:rFonts w:ascii="宋体" w:hAnsi="宋体"/>
                <w:color w:val="000000" w:themeColor="text1"/>
                <w:sz w:val="18"/>
                <w:szCs w:val="18"/>
              </w:rPr>
              <w:t>。</w:t>
            </w:r>
            <w:r w:rsidRPr="00B12FE0">
              <w:rPr>
                <w:rFonts w:ascii="Cambria Math" w:hAnsi="Cambria Math" w:cs="Cambria Math"/>
                <w:color w:val="000000" w:themeColor="text1"/>
                <w:sz w:val="18"/>
                <w:szCs w:val="18"/>
              </w:rPr>
              <w:t>②</w:t>
            </w:r>
            <w:r w:rsidRPr="00B12FE0">
              <w:rPr>
                <w:color w:val="000000" w:themeColor="text1"/>
                <w:sz w:val="18"/>
                <w:szCs w:val="18"/>
                <w:vertAlign w:val="superscript"/>
              </w:rPr>
              <w:t>18</w:t>
            </w:r>
            <w:r w:rsidRPr="00B12FE0">
              <w:rPr>
                <w:color w:val="000000" w:themeColor="text1"/>
                <w:sz w:val="18"/>
                <w:szCs w:val="18"/>
              </w:rPr>
              <w:t>F</w:t>
            </w:r>
            <w:r w:rsidRPr="00B12FE0">
              <w:rPr>
                <w:rFonts w:ascii="宋体" w:hAnsi="宋体"/>
                <w:color w:val="000000" w:themeColor="text1"/>
                <w:sz w:val="18"/>
                <w:szCs w:val="18"/>
              </w:rPr>
              <w:t>核素上下午各生产一次</w:t>
            </w:r>
            <w:r w:rsidRPr="00B12FE0">
              <w:rPr>
                <w:rFonts w:ascii="宋体" w:hAnsi="宋体" w:hint="eastAsia"/>
                <w:color w:val="000000" w:themeColor="text1"/>
                <w:sz w:val="18"/>
                <w:szCs w:val="18"/>
              </w:rPr>
              <w:t>，按照单次最大生产量计算。③</w:t>
            </w:r>
            <w:r w:rsidRPr="00B12FE0">
              <w:rPr>
                <w:rFonts w:ascii="Cambria Math" w:hAnsi="Cambria Math" w:cs="Cambria Math" w:hint="eastAsia"/>
                <w:color w:val="000000" w:themeColor="text1"/>
                <w:sz w:val="18"/>
                <w:szCs w:val="18"/>
              </w:rPr>
              <w:t>分两次</w:t>
            </w:r>
            <w:r w:rsidRPr="00B12FE0">
              <w:rPr>
                <w:rFonts w:ascii="宋体" w:hAnsi="宋体"/>
                <w:color w:val="000000" w:themeColor="text1"/>
                <w:sz w:val="18"/>
                <w:szCs w:val="18"/>
              </w:rPr>
              <w:t>核素进入</w:t>
            </w:r>
            <w:r w:rsidRPr="00B12FE0">
              <w:rPr>
                <w:rFonts w:ascii="宋体" w:hAnsi="宋体" w:hint="eastAsia"/>
                <w:color w:val="000000" w:themeColor="text1"/>
                <w:sz w:val="18"/>
                <w:szCs w:val="18"/>
              </w:rPr>
              <w:t>固体废物</w:t>
            </w:r>
            <w:r w:rsidRPr="00B12FE0">
              <w:rPr>
                <w:rFonts w:ascii="宋体" w:hAnsi="宋体"/>
                <w:color w:val="000000" w:themeColor="text1"/>
                <w:sz w:val="18"/>
                <w:szCs w:val="18"/>
              </w:rPr>
              <w:t>按</w:t>
            </w:r>
            <w:r w:rsidRPr="00B12FE0">
              <w:rPr>
                <w:color w:val="000000" w:themeColor="text1"/>
                <w:sz w:val="18"/>
                <w:szCs w:val="18"/>
              </w:rPr>
              <w:t>1%</w:t>
            </w:r>
            <w:r w:rsidRPr="00B12FE0">
              <w:rPr>
                <w:rFonts w:ascii="宋体" w:hAnsi="宋体"/>
                <w:color w:val="000000" w:themeColor="text1"/>
                <w:sz w:val="18"/>
                <w:szCs w:val="18"/>
              </w:rPr>
              <w:t>计算</w:t>
            </w:r>
            <w:r w:rsidRPr="00B12FE0">
              <w:rPr>
                <w:rFonts w:ascii="宋体" w:hAnsi="宋体" w:hint="eastAsia"/>
                <w:color w:val="000000" w:themeColor="text1"/>
                <w:sz w:val="18"/>
                <w:szCs w:val="18"/>
              </w:rPr>
              <w:t>，</w:t>
            </w:r>
            <w:r w:rsidRPr="00B12FE0">
              <w:rPr>
                <w:color w:val="000000" w:themeColor="text1"/>
                <w:sz w:val="18"/>
                <w:szCs w:val="18"/>
                <w:vertAlign w:val="superscript"/>
              </w:rPr>
              <w:t>32</w:t>
            </w:r>
            <w:r w:rsidRPr="00B12FE0">
              <w:rPr>
                <w:color w:val="000000" w:themeColor="text1"/>
                <w:sz w:val="18"/>
                <w:szCs w:val="18"/>
              </w:rPr>
              <w:t>P</w:t>
            </w:r>
            <w:r w:rsidRPr="00B12FE0">
              <w:rPr>
                <w:color w:val="000000" w:themeColor="text1"/>
                <w:sz w:val="18"/>
                <w:szCs w:val="18"/>
              </w:rPr>
              <w:t>为敷料，不计算损耗</w:t>
            </w:r>
            <w:r w:rsidRPr="00B12FE0">
              <w:rPr>
                <w:rFonts w:ascii="宋体" w:hAnsi="宋体"/>
                <w:color w:val="000000" w:themeColor="text1"/>
                <w:sz w:val="18"/>
                <w:szCs w:val="18"/>
              </w:rPr>
              <w:t>。</w:t>
            </w:r>
          </w:p>
        </w:tc>
      </w:tr>
    </w:tbl>
    <w:p w14:paraId="65D506A3" w14:textId="77777777" w:rsidR="00A67F21" w:rsidRPr="00B12FE0" w:rsidRDefault="00000000">
      <w:pPr>
        <w:autoSpaceDE w:val="0"/>
        <w:adjustRightInd w:val="0"/>
        <w:snapToGrid w:val="0"/>
        <w:spacing w:beforeLines="50" w:before="120" w:line="360" w:lineRule="auto"/>
        <w:ind w:firstLineChars="200" w:firstLine="480"/>
        <w:rPr>
          <w:color w:val="000000" w:themeColor="text1"/>
          <w:szCs w:val="24"/>
        </w:rPr>
      </w:pPr>
      <w:r w:rsidRPr="00B12FE0">
        <w:rPr>
          <w:rFonts w:ascii="宋体" w:hAnsi="宋体"/>
          <w:color w:val="000000" w:themeColor="text1"/>
          <w:szCs w:val="24"/>
        </w:rPr>
        <w:t>通过上表计算分析，核素</w:t>
      </w:r>
      <w:r w:rsidRPr="00B12FE0">
        <w:rPr>
          <w:rFonts w:ascii="宋体" w:hAnsi="宋体" w:hint="eastAsia"/>
          <w:color w:val="000000" w:themeColor="text1"/>
          <w:szCs w:val="24"/>
        </w:rPr>
        <w:t>诊断</w:t>
      </w:r>
      <w:r w:rsidRPr="00B12FE0">
        <w:rPr>
          <w:rFonts w:ascii="宋体" w:hAnsi="宋体"/>
          <w:color w:val="000000" w:themeColor="text1"/>
          <w:szCs w:val="24"/>
        </w:rPr>
        <w:t>场所的</w:t>
      </w:r>
      <w:proofErr w:type="gramStart"/>
      <w:r w:rsidRPr="00B12FE0">
        <w:rPr>
          <w:rFonts w:ascii="宋体" w:hAnsi="宋体" w:hint="eastAsia"/>
          <w:color w:val="000000" w:themeColor="text1"/>
          <w:szCs w:val="24"/>
        </w:rPr>
        <w:t>高活</w:t>
      </w:r>
      <w:r w:rsidRPr="00B12FE0">
        <w:rPr>
          <w:rFonts w:ascii="宋体" w:hAnsi="宋体"/>
          <w:color w:val="000000" w:themeColor="text1"/>
          <w:szCs w:val="24"/>
        </w:rPr>
        <w:t>室和</w:t>
      </w:r>
      <w:r w:rsidRPr="00B12FE0">
        <w:rPr>
          <w:rFonts w:ascii="宋体" w:hAnsi="宋体" w:hint="eastAsia"/>
          <w:color w:val="000000" w:themeColor="text1"/>
          <w:szCs w:val="24"/>
        </w:rPr>
        <w:t>服</w:t>
      </w:r>
      <w:proofErr w:type="gramEnd"/>
      <w:r w:rsidRPr="00B12FE0">
        <w:rPr>
          <w:rFonts w:ascii="宋体" w:hAnsi="宋体" w:hint="eastAsia"/>
          <w:color w:val="000000" w:themeColor="text1"/>
          <w:szCs w:val="24"/>
        </w:rPr>
        <w:t>碘室</w:t>
      </w:r>
      <w:r w:rsidRPr="00B12FE0">
        <w:rPr>
          <w:rFonts w:ascii="宋体" w:hAnsi="宋体"/>
          <w:color w:val="000000" w:themeColor="text1"/>
          <w:szCs w:val="24"/>
        </w:rPr>
        <w:t>、</w:t>
      </w:r>
      <w:r w:rsidRPr="00B12FE0">
        <w:rPr>
          <w:rFonts w:ascii="宋体" w:hAnsi="宋体" w:hint="eastAsia"/>
          <w:color w:val="000000" w:themeColor="text1"/>
          <w:szCs w:val="24"/>
        </w:rPr>
        <w:t>甲亢留观室、</w:t>
      </w:r>
      <w:r w:rsidRPr="00B12FE0">
        <w:rPr>
          <w:rFonts w:ascii="宋体" w:hAnsi="宋体"/>
          <w:color w:val="000000" w:themeColor="text1"/>
          <w:szCs w:val="24"/>
        </w:rPr>
        <w:t>核素治疗</w:t>
      </w:r>
      <w:proofErr w:type="gramStart"/>
      <w:r w:rsidRPr="00B12FE0">
        <w:rPr>
          <w:rFonts w:ascii="宋体" w:hAnsi="宋体"/>
          <w:color w:val="000000" w:themeColor="text1"/>
          <w:szCs w:val="24"/>
        </w:rPr>
        <w:t>场所</w:t>
      </w:r>
      <w:r w:rsidRPr="00B12FE0">
        <w:rPr>
          <w:rFonts w:ascii="宋体" w:hAnsi="宋体" w:hint="eastAsia"/>
          <w:color w:val="000000" w:themeColor="text1"/>
          <w:szCs w:val="24"/>
        </w:rPr>
        <w:t>甲癌服药</w:t>
      </w:r>
      <w:proofErr w:type="gramEnd"/>
      <w:r w:rsidRPr="00B12FE0">
        <w:rPr>
          <w:rFonts w:ascii="宋体" w:hAnsi="宋体" w:hint="eastAsia"/>
          <w:color w:val="000000" w:themeColor="text1"/>
          <w:szCs w:val="24"/>
        </w:rPr>
        <w:t>室</w:t>
      </w:r>
      <w:r w:rsidRPr="00B12FE0">
        <w:rPr>
          <w:rFonts w:ascii="宋体" w:hAnsi="宋体"/>
          <w:color w:val="000000" w:themeColor="text1"/>
          <w:szCs w:val="24"/>
        </w:rPr>
        <w:t>、</w:t>
      </w:r>
      <w:proofErr w:type="gramStart"/>
      <w:r w:rsidRPr="00B12FE0">
        <w:rPr>
          <w:rFonts w:ascii="宋体" w:hAnsi="宋体"/>
          <w:color w:val="000000" w:themeColor="text1"/>
          <w:szCs w:val="24"/>
        </w:rPr>
        <w:t>甲癌病房</w:t>
      </w:r>
      <w:proofErr w:type="gramEnd"/>
      <w:r w:rsidRPr="00B12FE0">
        <w:rPr>
          <w:rFonts w:ascii="宋体" w:hAnsi="宋体"/>
          <w:color w:val="000000" w:themeColor="text1"/>
          <w:szCs w:val="24"/>
        </w:rPr>
        <w:t>为</w:t>
      </w:r>
      <w:r w:rsidRPr="00B12FE0">
        <w:rPr>
          <w:color w:val="000000" w:themeColor="text1"/>
          <w:szCs w:val="24"/>
        </w:rPr>
        <w:t>Ⅰ</w:t>
      </w:r>
      <w:r w:rsidRPr="00B12FE0">
        <w:rPr>
          <w:rFonts w:ascii="宋体" w:hAnsi="宋体"/>
          <w:color w:val="000000" w:themeColor="text1"/>
          <w:szCs w:val="24"/>
        </w:rPr>
        <w:t>类场所，核素制备场所的</w:t>
      </w:r>
      <w:r w:rsidRPr="00B12FE0">
        <w:rPr>
          <w:rFonts w:ascii="宋体" w:hAnsi="宋体" w:hint="eastAsia"/>
          <w:color w:val="000000" w:themeColor="text1"/>
          <w:szCs w:val="24"/>
        </w:rPr>
        <w:t>放化实验</w:t>
      </w:r>
      <w:r w:rsidRPr="00B12FE0">
        <w:rPr>
          <w:rFonts w:ascii="宋体" w:hAnsi="宋体"/>
          <w:color w:val="000000" w:themeColor="text1"/>
          <w:szCs w:val="24"/>
        </w:rPr>
        <w:t>室为</w:t>
      </w:r>
      <w:r w:rsidRPr="00B12FE0">
        <w:rPr>
          <w:color w:val="000000" w:themeColor="text1"/>
          <w:szCs w:val="24"/>
        </w:rPr>
        <w:t>Ⅲ</w:t>
      </w:r>
      <w:r w:rsidRPr="00B12FE0">
        <w:rPr>
          <w:rFonts w:ascii="宋体" w:hAnsi="宋体"/>
          <w:color w:val="000000" w:themeColor="text1"/>
          <w:szCs w:val="24"/>
        </w:rPr>
        <w:t>类场所，其余均为</w:t>
      </w:r>
      <w:r w:rsidRPr="00B12FE0">
        <w:rPr>
          <w:color w:val="000000" w:themeColor="text1"/>
          <w:szCs w:val="24"/>
        </w:rPr>
        <w:t>Ⅱ</w:t>
      </w:r>
      <w:r w:rsidRPr="00B12FE0">
        <w:rPr>
          <w:rFonts w:ascii="宋体" w:hAnsi="宋体"/>
          <w:color w:val="000000" w:themeColor="text1"/>
          <w:szCs w:val="24"/>
        </w:rPr>
        <w:t>类场所。</w:t>
      </w:r>
    </w:p>
    <w:p w14:paraId="386C768E" w14:textId="77777777" w:rsidR="00A67F21" w:rsidRPr="00B12FE0" w:rsidRDefault="00000000">
      <w:pPr>
        <w:autoSpaceDE w:val="0"/>
        <w:snapToGrid w:val="0"/>
        <w:spacing w:line="360" w:lineRule="auto"/>
        <w:ind w:firstLineChars="200" w:firstLine="480"/>
        <w:rPr>
          <w:color w:val="000000" w:themeColor="text1"/>
          <w:sz w:val="21"/>
          <w:szCs w:val="21"/>
        </w:rPr>
      </w:pPr>
      <w:r w:rsidRPr="00B12FE0">
        <w:rPr>
          <w:rFonts w:ascii="宋体" w:hAnsi="宋体"/>
          <w:color w:val="000000" w:themeColor="text1"/>
          <w:szCs w:val="24"/>
        </w:rPr>
        <w:t>对照《核医学放射防护要求》（</w:t>
      </w:r>
      <w:r w:rsidRPr="00B12FE0">
        <w:rPr>
          <w:color w:val="000000" w:themeColor="text1"/>
          <w:szCs w:val="24"/>
        </w:rPr>
        <w:t>GBZ120-2020</w:t>
      </w:r>
      <w:r w:rsidRPr="00B12FE0">
        <w:rPr>
          <w:rFonts w:ascii="宋体" w:hAnsi="宋体"/>
          <w:color w:val="000000" w:themeColor="text1"/>
          <w:szCs w:val="24"/>
        </w:rPr>
        <w:t>）中关于</w:t>
      </w:r>
      <w:r w:rsidRPr="00B12FE0">
        <w:rPr>
          <w:color w:val="000000" w:themeColor="text1"/>
          <w:szCs w:val="24"/>
        </w:rPr>
        <w:t>“</w:t>
      </w:r>
      <w:r w:rsidRPr="00B12FE0">
        <w:rPr>
          <w:rFonts w:ascii="宋体" w:hAnsi="宋体"/>
          <w:color w:val="000000" w:themeColor="text1"/>
          <w:szCs w:val="24"/>
        </w:rPr>
        <w:t>不同核医学工作场所用房</w:t>
      </w:r>
      <w:r w:rsidRPr="00B12FE0">
        <w:rPr>
          <w:rFonts w:ascii="宋体" w:hAnsi="宋体"/>
          <w:color w:val="000000" w:themeColor="text1"/>
          <w:szCs w:val="24"/>
        </w:rPr>
        <w:lastRenderedPageBreak/>
        <w:t>室内表面及装备结构的基本放射防护要求</w:t>
      </w:r>
      <w:r w:rsidRPr="00B12FE0">
        <w:rPr>
          <w:color w:val="000000" w:themeColor="text1"/>
          <w:szCs w:val="24"/>
        </w:rPr>
        <w:t>”</w:t>
      </w:r>
      <w:r w:rsidRPr="00B12FE0">
        <w:rPr>
          <w:rFonts w:ascii="宋体" w:hAnsi="宋体"/>
          <w:color w:val="000000" w:themeColor="text1"/>
          <w:szCs w:val="24"/>
        </w:rPr>
        <w:t>，各类工作场所要求见下表。</w:t>
      </w:r>
    </w:p>
    <w:p w14:paraId="340CE92C" w14:textId="77777777" w:rsidR="00A67F21" w:rsidRPr="00B12FE0" w:rsidRDefault="00000000">
      <w:pPr>
        <w:autoSpaceDE w:val="0"/>
        <w:adjustRightInd w:val="0"/>
        <w:snapToGrid w:val="0"/>
        <w:spacing w:beforeLines="50" w:before="120"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 xml:space="preserve">10.1.1.4-8  </w:t>
      </w:r>
      <w:r w:rsidRPr="00B12FE0">
        <w:rPr>
          <w:rFonts w:ascii="宋体" w:hAnsi="宋体"/>
          <w:b/>
          <w:color w:val="000000" w:themeColor="text1"/>
          <w:sz w:val="21"/>
          <w:szCs w:val="21"/>
        </w:rPr>
        <w:t>不同核医学工作场所用房室内表面及装备结构的基本放射防护要求</w:t>
      </w:r>
    </w:p>
    <w:tbl>
      <w:tblPr>
        <w:tblStyle w:val="affff"/>
        <w:tblW w:w="8845" w:type="dxa"/>
        <w:jc w:val="center"/>
        <w:tblCellMar>
          <w:left w:w="57" w:type="dxa"/>
          <w:right w:w="57" w:type="dxa"/>
        </w:tblCellMar>
        <w:tblLook w:val="04A0" w:firstRow="1" w:lastRow="0" w:firstColumn="1" w:lastColumn="0" w:noHBand="0" w:noVBand="1"/>
      </w:tblPr>
      <w:tblGrid>
        <w:gridCol w:w="1815"/>
        <w:gridCol w:w="2631"/>
        <w:gridCol w:w="2577"/>
        <w:gridCol w:w="1822"/>
      </w:tblGrid>
      <w:tr w:rsidR="00A67F21" w:rsidRPr="00B12FE0" w14:paraId="51495482" w14:textId="77777777">
        <w:trPr>
          <w:jc w:val="center"/>
        </w:trPr>
        <w:tc>
          <w:tcPr>
            <w:tcW w:w="1815" w:type="dxa"/>
            <w:vMerge w:val="restart"/>
            <w:vAlign w:val="center"/>
          </w:tcPr>
          <w:p w14:paraId="6E5A10AD" w14:textId="77777777" w:rsidR="00A67F21" w:rsidRPr="00B12FE0" w:rsidRDefault="00000000">
            <w:pPr>
              <w:adjustRightInd w:val="0"/>
              <w:snapToGrid w:val="0"/>
              <w:spacing w:line="320" w:lineRule="exact"/>
              <w:jc w:val="center"/>
              <w:rPr>
                <w:rFonts w:asciiTheme="minorEastAsia" w:eastAsiaTheme="minorEastAsia" w:hAnsiTheme="minorEastAsia" w:hint="eastAsia"/>
                <w:bCs/>
                <w:color w:val="000000" w:themeColor="text1"/>
                <w:sz w:val="21"/>
                <w:szCs w:val="18"/>
              </w:rPr>
            </w:pPr>
            <w:r w:rsidRPr="00B12FE0">
              <w:rPr>
                <w:rFonts w:asciiTheme="minorEastAsia" w:eastAsiaTheme="minorEastAsia" w:hAnsiTheme="minorEastAsia" w:hint="eastAsia"/>
                <w:bCs/>
                <w:color w:val="000000" w:themeColor="text1"/>
                <w:sz w:val="21"/>
                <w:szCs w:val="18"/>
              </w:rPr>
              <w:t>种类</w:t>
            </w:r>
          </w:p>
        </w:tc>
        <w:tc>
          <w:tcPr>
            <w:tcW w:w="7030" w:type="dxa"/>
            <w:gridSpan w:val="3"/>
            <w:vAlign w:val="center"/>
          </w:tcPr>
          <w:p w14:paraId="103EB8EF" w14:textId="77777777" w:rsidR="00A67F21" w:rsidRPr="00B12FE0" w:rsidRDefault="00000000">
            <w:pPr>
              <w:adjustRightInd w:val="0"/>
              <w:snapToGrid w:val="0"/>
              <w:spacing w:line="320" w:lineRule="exact"/>
              <w:jc w:val="center"/>
              <w:rPr>
                <w:rFonts w:asciiTheme="minorEastAsia" w:eastAsiaTheme="minorEastAsia" w:hAnsiTheme="minorEastAsia" w:hint="eastAsia"/>
                <w:bCs/>
                <w:color w:val="000000" w:themeColor="text1"/>
                <w:sz w:val="21"/>
                <w:szCs w:val="18"/>
              </w:rPr>
            </w:pPr>
            <w:r w:rsidRPr="00B12FE0">
              <w:rPr>
                <w:rFonts w:asciiTheme="minorEastAsia" w:eastAsiaTheme="minorEastAsia" w:hAnsiTheme="minorEastAsia" w:hint="eastAsia"/>
                <w:bCs/>
                <w:color w:val="000000" w:themeColor="text1"/>
                <w:sz w:val="21"/>
                <w:szCs w:val="18"/>
              </w:rPr>
              <w:t>分类</w:t>
            </w:r>
          </w:p>
        </w:tc>
      </w:tr>
      <w:tr w:rsidR="00A67F21" w:rsidRPr="00B12FE0" w14:paraId="5DD9C605" w14:textId="77777777">
        <w:trPr>
          <w:jc w:val="center"/>
        </w:trPr>
        <w:tc>
          <w:tcPr>
            <w:tcW w:w="1815" w:type="dxa"/>
            <w:vMerge/>
            <w:vAlign w:val="center"/>
          </w:tcPr>
          <w:p w14:paraId="053BD519" w14:textId="77777777" w:rsidR="00A67F21" w:rsidRPr="00B12FE0" w:rsidRDefault="00A67F21">
            <w:pPr>
              <w:adjustRightInd w:val="0"/>
              <w:snapToGrid w:val="0"/>
              <w:spacing w:line="320" w:lineRule="exact"/>
              <w:jc w:val="center"/>
              <w:rPr>
                <w:rFonts w:asciiTheme="minorEastAsia" w:eastAsiaTheme="minorEastAsia" w:hAnsiTheme="minorEastAsia" w:hint="eastAsia"/>
                <w:bCs/>
                <w:color w:val="000000" w:themeColor="text1"/>
                <w:sz w:val="21"/>
                <w:szCs w:val="18"/>
              </w:rPr>
            </w:pPr>
          </w:p>
        </w:tc>
        <w:tc>
          <w:tcPr>
            <w:tcW w:w="2631" w:type="dxa"/>
            <w:vAlign w:val="center"/>
          </w:tcPr>
          <w:p w14:paraId="636AD9B3"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I</w:t>
            </w:r>
          </w:p>
        </w:tc>
        <w:tc>
          <w:tcPr>
            <w:tcW w:w="2577" w:type="dxa"/>
            <w:vAlign w:val="center"/>
          </w:tcPr>
          <w:p w14:paraId="152E9C05"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Ⅱ</w:t>
            </w:r>
          </w:p>
        </w:tc>
        <w:tc>
          <w:tcPr>
            <w:tcW w:w="1822" w:type="dxa"/>
            <w:vAlign w:val="center"/>
          </w:tcPr>
          <w:p w14:paraId="38242630"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Ⅲ</w:t>
            </w:r>
          </w:p>
        </w:tc>
      </w:tr>
      <w:tr w:rsidR="00A67F21" w:rsidRPr="00B12FE0" w14:paraId="423314EE" w14:textId="77777777">
        <w:trPr>
          <w:jc w:val="center"/>
        </w:trPr>
        <w:tc>
          <w:tcPr>
            <w:tcW w:w="1815" w:type="dxa"/>
            <w:vAlign w:val="center"/>
          </w:tcPr>
          <w:p w14:paraId="068E8BB5" w14:textId="77777777" w:rsidR="00A67F21" w:rsidRPr="00B12FE0" w:rsidRDefault="00000000">
            <w:pPr>
              <w:adjustRightInd w:val="0"/>
              <w:snapToGrid w:val="0"/>
              <w:spacing w:line="320" w:lineRule="exact"/>
              <w:jc w:val="center"/>
              <w:rPr>
                <w:rFonts w:asciiTheme="minorEastAsia" w:eastAsiaTheme="minorEastAsia" w:hAnsiTheme="minorEastAsia" w:hint="eastAsia"/>
                <w:bCs/>
                <w:color w:val="000000" w:themeColor="text1"/>
                <w:sz w:val="21"/>
                <w:szCs w:val="18"/>
              </w:rPr>
            </w:pPr>
            <w:r w:rsidRPr="00B12FE0">
              <w:rPr>
                <w:rFonts w:asciiTheme="minorEastAsia" w:eastAsiaTheme="minorEastAsia" w:hAnsiTheme="minorEastAsia" w:hint="eastAsia"/>
                <w:bCs/>
                <w:color w:val="000000" w:themeColor="text1"/>
                <w:sz w:val="21"/>
                <w:szCs w:val="18"/>
              </w:rPr>
              <w:t>结构屏蔽</w:t>
            </w:r>
          </w:p>
        </w:tc>
        <w:tc>
          <w:tcPr>
            <w:tcW w:w="2631" w:type="dxa"/>
            <w:vAlign w:val="center"/>
          </w:tcPr>
          <w:p w14:paraId="259242B9"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需要</w:t>
            </w:r>
          </w:p>
        </w:tc>
        <w:tc>
          <w:tcPr>
            <w:tcW w:w="2577" w:type="dxa"/>
            <w:vAlign w:val="center"/>
          </w:tcPr>
          <w:p w14:paraId="77166DDF"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需要</w:t>
            </w:r>
          </w:p>
        </w:tc>
        <w:tc>
          <w:tcPr>
            <w:tcW w:w="1822" w:type="dxa"/>
            <w:vAlign w:val="center"/>
          </w:tcPr>
          <w:p w14:paraId="32820CD5"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不需要</w:t>
            </w:r>
          </w:p>
        </w:tc>
      </w:tr>
      <w:tr w:rsidR="00A67F21" w:rsidRPr="00B12FE0" w14:paraId="1DA3F945" w14:textId="77777777">
        <w:trPr>
          <w:jc w:val="center"/>
        </w:trPr>
        <w:tc>
          <w:tcPr>
            <w:tcW w:w="1815" w:type="dxa"/>
            <w:vAlign w:val="center"/>
          </w:tcPr>
          <w:p w14:paraId="3CB6C83A"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地面</w:t>
            </w:r>
          </w:p>
        </w:tc>
        <w:tc>
          <w:tcPr>
            <w:tcW w:w="2631" w:type="dxa"/>
            <w:vAlign w:val="center"/>
          </w:tcPr>
          <w:p w14:paraId="4B2C23C6"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与墙壁接触无缝隙</w:t>
            </w:r>
          </w:p>
        </w:tc>
        <w:tc>
          <w:tcPr>
            <w:tcW w:w="2577" w:type="dxa"/>
            <w:vAlign w:val="center"/>
          </w:tcPr>
          <w:p w14:paraId="77654070"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与墙壁接触无缝隙</w:t>
            </w:r>
          </w:p>
        </w:tc>
        <w:tc>
          <w:tcPr>
            <w:tcW w:w="1822" w:type="dxa"/>
            <w:vAlign w:val="center"/>
          </w:tcPr>
          <w:p w14:paraId="0265FCE8"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易清洗</w:t>
            </w:r>
          </w:p>
        </w:tc>
      </w:tr>
      <w:tr w:rsidR="00A67F21" w:rsidRPr="00B12FE0" w14:paraId="6D6C5EE6" w14:textId="77777777">
        <w:trPr>
          <w:jc w:val="center"/>
        </w:trPr>
        <w:tc>
          <w:tcPr>
            <w:tcW w:w="1815" w:type="dxa"/>
            <w:vAlign w:val="center"/>
          </w:tcPr>
          <w:p w14:paraId="369E8D42"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表面</w:t>
            </w:r>
          </w:p>
        </w:tc>
        <w:tc>
          <w:tcPr>
            <w:tcW w:w="2631" w:type="dxa"/>
            <w:vAlign w:val="center"/>
          </w:tcPr>
          <w:p w14:paraId="7B9DE880"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易清洗</w:t>
            </w:r>
          </w:p>
        </w:tc>
        <w:tc>
          <w:tcPr>
            <w:tcW w:w="2577" w:type="dxa"/>
            <w:vAlign w:val="center"/>
          </w:tcPr>
          <w:p w14:paraId="73ED7A4C"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易清洗</w:t>
            </w:r>
          </w:p>
        </w:tc>
        <w:tc>
          <w:tcPr>
            <w:tcW w:w="1822" w:type="dxa"/>
            <w:vAlign w:val="center"/>
          </w:tcPr>
          <w:p w14:paraId="7879A2ED"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易清洗</w:t>
            </w:r>
          </w:p>
        </w:tc>
      </w:tr>
      <w:tr w:rsidR="00A67F21" w:rsidRPr="00B12FE0" w14:paraId="20AB7702" w14:textId="77777777">
        <w:trPr>
          <w:jc w:val="center"/>
        </w:trPr>
        <w:tc>
          <w:tcPr>
            <w:tcW w:w="1815" w:type="dxa"/>
            <w:vAlign w:val="center"/>
          </w:tcPr>
          <w:p w14:paraId="718180AF"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分装柜</w:t>
            </w:r>
          </w:p>
        </w:tc>
        <w:tc>
          <w:tcPr>
            <w:tcW w:w="2631" w:type="dxa"/>
            <w:vAlign w:val="center"/>
          </w:tcPr>
          <w:p w14:paraId="10329F68"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需要</w:t>
            </w:r>
          </w:p>
        </w:tc>
        <w:tc>
          <w:tcPr>
            <w:tcW w:w="2577" w:type="dxa"/>
            <w:vAlign w:val="center"/>
          </w:tcPr>
          <w:p w14:paraId="011A0691"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需要</w:t>
            </w:r>
          </w:p>
        </w:tc>
        <w:tc>
          <w:tcPr>
            <w:tcW w:w="1822" w:type="dxa"/>
            <w:vAlign w:val="center"/>
          </w:tcPr>
          <w:p w14:paraId="5E7A9B7A" w14:textId="77777777" w:rsidR="00A67F21" w:rsidRPr="00B12FE0" w:rsidRDefault="00000000">
            <w:pPr>
              <w:jc w:val="center"/>
              <w:rPr>
                <w:rFonts w:asciiTheme="minorEastAsia" w:eastAsiaTheme="minorEastAsia" w:hAnsiTheme="minorEastAsia" w:hint="eastAsia"/>
                <w:color w:val="000000" w:themeColor="text1"/>
                <w:sz w:val="21"/>
                <w:szCs w:val="18"/>
              </w:rPr>
            </w:pPr>
            <w:proofErr w:type="gramStart"/>
            <w:r w:rsidRPr="00B12FE0">
              <w:rPr>
                <w:rFonts w:asciiTheme="minorEastAsia" w:eastAsiaTheme="minorEastAsia" w:hAnsiTheme="minorEastAsia" w:hint="eastAsia"/>
                <w:color w:val="000000" w:themeColor="text1"/>
                <w:sz w:val="21"/>
                <w:szCs w:val="18"/>
              </w:rPr>
              <w:t>不</w:t>
            </w:r>
            <w:proofErr w:type="gramEnd"/>
            <w:r w:rsidRPr="00B12FE0">
              <w:rPr>
                <w:rFonts w:asciiTheme="minorEastAsia" w:eastAsiaTheme="minorEastAsia" w:hAnsiTheme="minorEastAsia" w:hint="eastAsia"/>
                <w:color w:val="000000" w:themeColor="text1"/>
                <w:sz w:val="21"/>
                <w:szCs w:val="18"/>
              </w:rPr>
              <w:t>必须</w:t>
            </w:r>
          </w:p>
        </w:tc>
      </w:tr>
      <w:tr w:rsidR="00A67F21" w:rsidRPr="00B12FE0" w14:paraId="5B54EE1E" w14:textId="77777777">
        <w:trPr>
          <w:jc w:val="center"/>
        </w:trPr>
        <w:tc>
          <w:tcPr>
            <w:tcW w:w="1815" w:type="dxa"/>
            <w:vAlign w:val="center"/>
          </w:tcPr>
          <w:p w14:paraId="6D0144F1"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通风</w:t>
            </w:r>
          </w:p>
        </w:tc>
        <w:tc>
          <w:tcPr>
            <w:tcW w:w="2631" w:type="dxa"/>
            <w:vAlign w:val="center"/>
          </w:tcPr>
          <w:p w14:paraId="64BEBAC0"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特殊的强通风</w:t>
            </w:r>
          </w:p>
        </w:tc>
        <w:tc>
          <w:tcPr>
            <w:tcW w:w="2577" w:type="dxa"/>
            <w:vAlign w:val="center"/>
          </w:tcPr>
          <w:p w14:paraId="040F327E"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良好通风</w:t>
            </w:r>
          </w:p>
        </w:tc>
        <w:tc>
          <w:tcPr>
            <w:tcW w:w="1822" w:type="dxa"/>
            <w:vAlign w:val="center"/>
          </w:tcPr>
          <w:p w14:paraId="5610BDF9"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一般自然通风</w:t>
            </w:r>
          </w:p>
        </w:tc>
      </w:tr>
      <w:tr w:rsidR="00A67F21" w:rsidRPr="00B12FE0" w14:paraId="5EB8F2DE" w14:textId="77777777">
        <w:trPr>
          <w:jc w:val="center"/>
        </w:trPr>
        <w:tc>
          <w:tcPr>
            <w:tcW w:w="1815" w:type="dxa"/>
            <w:vAlign w:val="center"/>
          </w:tcPr>
          <w:p w14:paraId="643FEDFB"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管道</w:t>
            </w:r>
          </w:p>
        </w:tc>
        <w:tc>
          <w:tcPr>
            <w:tcW w:w="2631" w:type="dxa"/>
            <w:vAlign w:val="center"/>
          </w:tcPr>
          <w:p w14:paraId="0399A468"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特殊的管道</w:t>
            </w:r>
            <w:r w:rsidRPr="00B12FE0">
              <w:rPr>
                <w:rFonts w:asciiTheme="minorEastAsia" w:eastAsiaTheme="minorEastAsia" w:hAnsiTheme="minorEastAsia" w:hint="eastAsia"/>
                <w:color w:val="000000" w:themeColor="text1"/>
                <w:sz w:val="21"/>
                <w:szCs w:val="18"/>
                <w:vertAlign w:val="superscript"/>
              </w:rPr>
              <w:t>a</w:t>
            </w:r>
          </w:p>
        </w:tc>
        <w:tc>
          <w:tcPr>
            <w:tcW w:w="2577" w:type="dxa"/>
            <w:vAlign w:val="center"/>
          </w:tcPr>
          <w:p w14:paraId="3844E4AD"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普通管道</w:t>
            </w:r>
          </w:p>
        </w:tc>
        <w:tc>
          <w:tcPr>
            <w:tcW w:w="1822" w:type="dxa"/>
            <w:vAlign w:val="center"/>
          </w:tcPr>
          <w:p w14:paraId="460591D8"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普通管道</w:t>
            </w:r>
          </w:p>
        </w:tc>
      </w:tr>
      <w:tr w:rsidR="00A67F21" w:rsidRPr="00B12FE0" w14:paraId="4E7A64FD" w14:textId="77777777">
        <w:trPr>
          <w:jc w:val="center"/>
        </w:trPr>
        <w:tc>
          <w:tcPr>
            <w:tcW w:w="1815" w:type="dxa"/>
            <w:vAlign w:val="center"/>
          </w:tcPr>
          <w:p w14:paraId="784A21F6"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盥洗及去污</w:t>
            </w:r>
          </w:p>
        </w:tc>
        <w:tc>
          <w:tcPr>
            <w:tcW w:w="2631" w:type="dxa"/>
            <w:vAlign w:val="center"/>
          </w:tcPr>
          <w:p w14:paraId="4F05C91C"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洗手盆</w:t>
            </w:r>
            <w:r w:rsidRPr="00B12FE0">
              <w:rPr>
                <w:rFonts w:asciiTheme="minorEastAsia" w:eastAsiaTheme="minorEastAsia" w:hAnsiTheme="minorEastAsia" w:hint="eastAsia"/>
                <w:color w:val="000000" w:themeColor="text1"/>
                <w:sz w:val="21"/>
                <w:szCs w:val="18"/>
                <w:vertAlign w:val="superscript"/>
              </w:rPr>
              <w:t>b</w:t>
            </w:r>
            <w:r w:rsidRPr="00B12FE0">
              <w:rPr>
                <w:rFonts w:asciiTheme="minorEastAsia" w:eastAsiaTheme="minorEastAsia" w:hAnsiTheme="minorEastAsia" w:hint="eastAsia"/>
                <w:color w:val="000000" w:themeColor="text1"/>
                <w:sz w:val="21"/>
                <w:szCs w:val="18"/>
              </w:rPr>
              <w:t>和去污设备</w:t>
            </w:r>
          </w:p>
        </w:tc>
        <w:tc>
          <w:tcPr>
            <w:tcW w:w="2577" w:type="dxa"/>
            <w:vAlign w:val="center"/>
          </w:tcPr>
          <w:p w14:paraId="2C0122FF"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洗手盆</w:t>
            </w:r>
            <w:r w:rsidRPr="00B12FE0">
              <w:rPr>
                <w:rFonts w:asciiTheme="minorEastAsia" w:eastAsiaTheme="minorEastAsia" w:hAnsiTheme="minorEastAsia" w:hint="eastAsia"/>
                <w:color w:val="000000" w:themeColor="text1"/>
                <w:sz w:val="21"/>
                <w:szCs w:val="18"/>
                <w:vertAlign w:val="superscript"/>
              </w:rPr>
              <w:t>b</w:t>
            </w:r>
            <w:r w:rsidRPr="00B12FE0">
              <w:rPr>
                <w:rFonts w:asciiTheme="minorEastAsia" w:eastAsiaTheme="minorEastAsia" w:hAnsiTheme="minorEastAsia" w:hint="eastAsia"/>
                <w:color w:val="000000" w:themeColor="text1"/>
                <w:sz w:val="21"/>
                <w:szCs w:val="18"/>
              </w:rPr>
              <w:t>和去污设备</w:t>
            </w:r>
          </w:p>
        </w:tc>
        <w:tc>
          <w:tcPr>
            <w:tcW w:w="1822" w:type="dxa"/>
            <w:vAlign w:val="center"/>
          </w:tcPr>
          <w:p w14:paraId="42A852B9" w14:textId="77777777" w:rsidR="00A67F21" w:rsidRPr="00B12FE0" w:rsidRDefault="00000000">
            <w:pPr>
              <w:jc w:val="center"/>
              <w:rPr>
                <w:rFonts w:asciiTheme="minorEastAsia" w:eastAsiaTheme="minorEastAsia" w:hAnsiTheme="minorEastAsia" w:hint="eastAsia"/>
                <w:color w:val="000000" w:themeColor="text1"/>
                <w:sz w:val="21"/>
                <w:szCs w:val="18"/>
              </w:rPr>
            </w:pPr>
            <w:r w:rsidRPr="00B12FE0">
              <w:rPr>
                <w:rFonts w:asciiTheme="minorEastAsia" w:eastAsiaTheme="minorEastAsia" w:hAnsiTheme="minorEastAsia" w:hint="eastAsia"/>
                <w:color w:val="000000" w:themeColor="text1"/>
                <w:sz w:val="21"/>
                <w:szCs w:val="18"/>
              </w:rPr>
              <w:t>洗手盆</w:t>
            </w:r>
            <w:r w:rsidRPr="00B12FE0">
              <w:rPr>
                <w:rFonts w:asciiTheme="minorEastAsia" w:eastAsiaTheme="minorEastAsia" w:hAnsiTheme="minorEastAsia" w:hint="eastAsia"/>
                <w:color w:val="000000" w:themeColor="text1"/>
                <w:sz w:val="21"/>
                <w:szCs w:val="18"/>
                <w:vertAlign w:val="superscript"/>
              </w:rPr>
              <w:t>b</w:t>
            </w:r>
          </w:p>
        </w:tc>
      </w:tr>
      <w:tr w:rsidR="00A67F21" w:rsidRPr="00B12FE0" w14:paraId="15BFA255" w14:textId="77777777">
        <w:trPr>
          <w:jc w:val="center"/>
        </w:trPr>
        <w:tc>
          <w:tcPr>
            <w:tcW w:w="8845" w:type="dxa"/>
            <w:gridSpan w:val="4"/>
            <w:vAlign w:val="center"/>
          </w:tcPr>
          <w:p w14:paraId="48811953" w14:textId="77777777" w:rsidR="00A67F21" w:rsidRPr="00B12FE0" w:rsidRDefault="00000000">
            <w:pPr>
              <w:adjustRightInd w:val="0"/>
              <w:snapToGrid w:val="0"/>
              <w:spacing w:line="320" w:lineRule="exact"/>
              <w:jc w:val="left"/>
              <w:rPr>
                <w:rFonts w:asciiTheme="minorEastAsia" w:eastAsiaTheme="minorEastAsia" w:hAnsiTheme="minorEastAsia" w:hint="eastAsia"/>
                <w:bCs/>
                <w:color w:val="000000" w:themeColor="text1"/>
                <w:sz w:val="21"/>
                <w:szCs w:val="18"/>
              </w:rPr>
            </w:pPr>
            <w:r w:rsidRPr="00B12FE0">
              <w:rPr>
                <w:rFonts w:asciiTheme="minorEastAsia" w:eastAsiaTheme="minorEastAsia" w:hAnsiTheme="minorEastAsia" w:hint="eastAsia"/>
                <w:bCs/>
                <w:color w:val="000000" w:themeColor="text1"/>
                <w:sz w:val="21"/>
                <w:szCs w:val="18"/>
              </w:rPr>
              <w:t>a：下水道宜短，大水流管道应有标记以便维修检测。</w:t>
            </w:r>
          </w:p>
          <w:p w14:paraId="1BB54FB5" w14:textId="77777777" w:rsidR="00A67F21" w:rsidRPr="00B12FE0" w:rsidRDefault="00000000">
            <w:pPr>
              <w:adjustRightInd w:val="0"/>
              <w:snapToGrid w:val="0"/>
              <w:spacing w:line="320" w:lineRule="exact"/>
              <w:jc w:val="left"/>
              <w:rPr>
                <w:rFonts w:asciiTheme="minorEastAsia" w:eastAsiaTheme="minorEastAsia" w:hAnsiTheme="minorEastAsia" w:hint="eastAsia"/>
                <w:bCs/>
                <w:color w:val="000000" w:themeColor="text1"/>
                <w:sz w:val="21"/>
                <w:szCs w:val="18"/>
              </w:rPr>
            </w:pPr>
            <w:r w:rsidRPr="00B12FE0">
              <w:rPr>
                <w:rFonts w:asciiTheme="minorEastAsia" w:eastAsiaTheme="minorEastAsia" w:hAnsiTheme="minorEastAsia" w:hint="eastAsia"/>
                <w:bCs/>
                <w:color w:val="000000" w:themeColor="text1"/>
                <w:sz w:val="21"/>
                <w:szCs w:val="18"/>
              </w:rPr>
              <w:t>b：洗手盆应为感应式或脚踏式等手部非接触开关控制</w:t>
            </w:r>
          </w:p>
        </w:tc>
      </w:tr>
    </w:tbl>
    <w:p w14:paraId="73C3469B" w14:textId="77777777" w:rsidR="00A67F21" w:rsidRPr="00B12FE0" w:rsidRDefault="00000000">
      <w:pPr>
        <w:adjustRightInd w:val="0"/>
        <w:snapToGrid w:val="0"/>
        <w:spacing w:beforeLines="50" w:before="120" w:line="360" w:lineRule="auto"/>
        <w:ind w:firstLine="480"/>
        <w:rPr>
          <w:color w:val="000000" w:themeColor="text1"/>
          <w:szCs w:val="24"/>
        </w:rPr>
      </w:pPr>
      <w:r w:rsidRPr="00B12FE0">
        <w:rPr>
          <w:rFonts w:ascii="宋体" w:hAnsi="宋体"/>
          <w:color w:val="000000" w:themeColor="text1"/>
          <w:szCs w:val="24"/>
        </w:rPr>
        <w:t>医院应按表</w:t>
      </w:r>
      <w:r w:rsidRPr="00B12FE0">
        <w:rPr>
          <w:color w:val="000000" w:themeColor="text1"/>
          <w:szCs w:val="24"/>
        </w:rPr>
        <w:t>10.1.1.4-8</w:t>
      </w:r>
      <w:r w:rsidRPr="00B12FE0">
        <w:rPr>
          <w:rFonts w:ascii="宋体" w:hAnsi="宋体"/>
          <w:color w:val="000000" w:themeColor="text1"/>
          <w:szCs w:val="24"/>
        </w:rPr>
        <w:t>的要求，</w:t>
      </w:r>
      <w:r w:rsidRPr="00B12FE0">
        <w:rPr>
          <w:color w:val="000000" w:themeColor="text1"/>
          <w:szCs w:val="24"/>
        </w:rPr>
        <w:t>Ⅰ</w:t>
      </w:r>
      <w:r w:rsidRPr="00B12FE0">
        <w:rPr>
          <w:rFonts w:ascii="宋体" w:hAnsi="宋体"/>
          <w:color w:val="000000" w:themeColor="text1"/>
          <w:szCs w:val="24"/>
        </w:rPr>
        <w:t>类和</w:t>
      </w:r>
      <w:r w:rsidRPr="00B12FE0">
        <w:rPr>
          <w:color w:val="000000" w:themeColor="text1"/>
          <w:szCs w:val="24"/>
        </w:rPr>
        <w:t>Ⅱ</w:t>
      </w:r>
      <w:r w:rsidRPr="00B12FE0">
        <w:rPr>
          <w:rFonts w:ascii="宋体" w:hAnsi="宋体"/>
          <w:color w:val="000000" w:themeColor="text1"/>
          <w:szCs w:val="24"/>
        </w:rPr>
        <w:t>类辐射工作区均应设置结构屏蔽，地面与墙壁接触应采用无缝隙设计；工作台表面采用易清洗的材料，如不锈钢；均应设置分装柜；配备洗手盆和去污设备。另外</w:t>
      </w:r>
      <w:r w:rsidRPr="00B12FE0">
        <w:rPr>
          <w:color w:val="000000" w:themeColor="text1"/>
          <w:szCs w:val="24"/>
        </w:rPr>
        <w:t>Ⅰ</w:t>
      </w:r>
      <w:r w:rsidRPr="00B12FE0">
        <w:rPr>
          <w:rFonts w:ascii="宋体" w:hAnsi="宋体"/>
          <w:color w:val="000000" w:themeColor="text1"/>
          <w:szCs w:val="24"/>
        </w:rPr>
        <w:t>类辐射工作区应设置特殊的强通风装置；含放射性废</w:t>
      </w:r>
      <w:r w:rsidRPr="00B12FE0">
        <w:rPr>
          <w:rFonts w:ascii="宋体" w:hAnsi="宋体" w:hint="eastAsia"/>
          <w:color w:val="000000" w:themeColor="text1"/>
          <w:szCs w:val="24"/>
        </w:rPr>
        <w:t>水</w:t>
      </w:r>
      <w:r w:rsidRPr="00B12FE0">
        <w:rPr>
          <w:rFonts w:ascii="宋体" w:hAnsi="宋体"/>
          <w:color w:val="000000" w:themeColor="text1"/>
          <w:szCs w:val="24"/>
        </w:rPr>
        <w:t>的排水管道应为特殊管道，且在满足需要的情况下，尽量缩短管道长度，并做有标记。</w:t>
      </w:r>
      <w:r w:rsidRPr="00B12FE0">
        <w:rPr>
          <w:color w:val="000000" w:themeColor="text1"/>
          <w:szCs w:val="24"/>
        </w:rPr>
        <w:t>Ⅱ</w:t>
      </w:r>
      <w:r w:rsidRPr="00B12FE0">
        <w:rPr>
          <w:rFonts w:ascii="宋体" w:hAnsi="宋体"/>
          <w:color w:val="000000" w:themeColor="text1"/>
          <w:szCs w:val="24"/>
        </w:rPr>
        <w:t>类和</w:t>
      </w:r>
      <w:r w:rsidRPr="00B12FE0">
        <w:rPr>
          <w:color w:val="000000" w:themeColor="text1"/>
          <w:szCs w:val="24"/>
        </w:rPr>
        <w:t>Ⅲ</w:t>
      </w:r>
      <w:r w:rsidRPr="00B12FE0">
        <w:rPr>
          <w:rFonts w:ascii="宋体" w:hAnsi="宋体"/>
          <w:color w:val="000000" w:themeColor="text1"/>
          <w:szCs w:val="24"/>
        </w:rPr>
        <w:t>类辐射工作区应保证良好的通风；含放射性废</w:t>
      </w:r>
      <w:r w:rsidRPr="00B12FE0">
        <w:rPr>
          <w:rFonts w:ascii="宋体" w:hAnsi="宋体" w:hint="eastAsia"/>
          <w:color w:val="000000" w:themeColor="text1"/>
          <w:szCs w:val="24"/>
        </w:rPr>
        <w:t>水</w:t>
      </w:r>
      <w:r w:rsidRPr="00B12FE0">
        <w:rPr>
          <w:rFonts w:ascii="宋体" w:hAnsi="宋体"/>
          <w:color w:val="000000" w:themeColor="text1"/>
          <w:szCs w:val="24"/>
        </w:rPr>
        <w:t>的排水管道可采用能满足工作需要的普通管道。</w:t>
      </w:r>
      <w:r w:rsidRPr="00B12FE0">
        <w:rPr>
          <w:rFonts w:ascii="宋体" w:hAnsi="宋体" w:hint="eastAsia"/>
          <w:color w:val="000000" w:themeColor="text1"/>
          <w:szCs w:val="24"/>
        </w:rPr>
        <w:t>本项目辐射工作场所内的洗手盆、淋浴等选用自动感应式或脚踏式等手部非接触开关。</w:t>
      </w:r>
    </w:p>
    <w:p w14:paraId="25789D33" w14:textId="77777777" w:rsidR="00A67F21" w:rsidRPr="00B12FE0" w:rsidRDefault="00000000">
      <w:pPr>
        <w:adjustRightInd w:val="0"/>
        <w:snapToGrid w:val="0"/>
        <w:spacing w:line="360" w:lineRule="auto"/>
        <w:outlineLvl w:val="3"/>
        <w:rPr>
          <w:b/>
          <w:bCs/>
          <w:color w:val="000000" w:themeColor="text1"/>
        </w:rPr>
      </w:pPr>
      <w:r w:rsidRPr="00B12FE0">
        <w:rPr>
          <w:rFonts w:hint="eastAsia"/>
          <w:b/>
          <w:bCs/>
          <w:color w:val="000000" w:themeColor="text1"/>
        </w:rPr>
        <w:t>10.1.1.5</w:t>
      </w:r>
      <w:r w:rsidRPr="00B12FE0">
        <w:rPr>
          <w:b/>
          <w:bCs/>
          <w:color w:val="000000" w:themeColor="text1"/>
        </w:rPr>
        <w:t>工作场所</w:t>
      </w:r>
      <w:r w:rsidRPr="00B12FE0">
        <w:rPr>
          <w:rFonts w:hint="eastAsia"/>
          <w:b/>
          <w:bCs/>
          <w:color w:val="000000" w:themeColor="text1"/>
        </w:rPr>
        <w:t>辐射</w:t>
      </w:r>
      <w:r w:rsidRPr="00B12FE0">
        <w:rPr>
          <w:b/>
          <w:bCs/>
          <w:color w:val="000000" w:themeColor="text1"/>
        </w:rPr>
        <w:t>屏蔽</w:t>
      </w:r>
      <w:r w:rsidRPr="00B12FE0">
        <w:rPr>
          <w:rFonts w:hint="eastAsia"/>
          <w:b/>
          <w:bCs/>
          <w:color w:val="000000" w:themeColor="text1"/>
        </w:rPr>
        <w:t>防护</w:t>
      </w:r>
      <w:r w:rsidRPr="00B12FE0">
        <w:rPr>
          <w:b/>
          <w:bCs/>
          <w:color w:val="000000" w:themeColor="text1"/>
        </w:rPr>
        <w:t>设计</w:t>
      </w:r>
    </w:p>
    <w:p w14:paraId="1F336ECB" w14:textId="77777777" w:rsidR="00A67F21" w:rsidRPr="00B12FE0" w:rsidRDefault="00000000">
      <w:pPr>
        <w:adjustRightInd w:val="0"/>
        <w:snapToGrid w:val="0"/>
        <w:spacing w:line="360" w:lineRule="auto"/>
        <w:ind w:firstLineChars="200" w:firstLine="480"/>
        <w:rPr>
          <w:color w:val="000000" w:themeColor="text1"/>
          <w:szCs w:val="24"/>
        </w:rPr>
      </w:pPr>
      <w:bookmarkStart w:id="17" w:name="_Hlk133238065"/>
      <w:r w:rsidRPr="00B12FE0">
        <w:rPr>
          <w:rFonts w:ascii="宋体" w:hAnsi="宋体"/>
          <w:color w:val="000000" w:themeColor="text1"/>
          <w:szCs w:val="24"/>
        </w:rPr>
        <w:t>本项目核医学科辐射工作场所屏蔽设计方案一览表如表</w:t>
      </w:r>
      <w:r w:rsidRPr="00B12FE0">
        <w:rPr>
          <w:color w:val="000000" w:themeColor="text1"/>
          <w:szCs w:val="24"/>
        </w:rPr>
        <w:t>10.1.1.5-1</w:t>
      </w:r>
      <w:r w:rsidRPr="00B12FE0">
        <w:rPr>
          <w:rFonts w:ascii="宋体" w:hAnsi="宋体"/>
          <w:color w:val="000000" w:themeColor="text1"/>
          <w:szCs w:val="24"/>
        </w:rPr>
        <w:t>所示。</w:t>
      </w:r>
    </w:p>
    <w:p w14:paraId="132E1D3E" w14:textId="77777777" w:rsidR="00A67F21" w:rsidRPr="00B12FE0" w:rsidRDefault="00000000">
      <w:pPr>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 xml:space="preserve">10.1.1.5-1  </w:t>
      </w:r>
      <w:r w:rsidRPr="00B12FE0">
        <w:rPr>
          <w:rFonts w:ascii="宋体" w:hAnsi="宋体"/>
          <w:b/>
          <w:bCs/>
          <w:color w:val="000000" w:themeColor="text1"/>
          <w:sz w:val="21"/>
          <w:szCs w:val="21"/>
        </w:rPr>
        <w:t>本项目核医学科辐射工作场所防护屏蔽设计方案一览表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068"/>
        <w:gridCol w:w="1698"/>
        <w:gridCol w:w="3923"/>
      </w:tblGrid>
      <w:tr w:rsidR="00A67F21" w:rsidRPr="00B12FE0" w14:paraId="345795CB" w14:textId="77777777">
        <w:trPr>
          <w:trHeight w:val="272"/>
        </w:trPr>
        <w:tc>
          <w:tcPr>
            <w:tcW w:w="1644" w:type="pct"/>
            <w:gridSpan w:val="2"/>
            <w:noWrap/>
            <w:vAlign w:val="center"/>
          </w:tcPr>
          <w:bookmarkEnd w:id="17"/>
          <w:p w14:paraId="6B248F8A" w14:textId="77777777" w:rsidR="00A67F21" w:rsidRPr="00B12FE0" w:rsidRDefault="00000000">
            <w:pPr>
              <w:widowControl/>
              <w:jc w:val="center"/>
              <w:textAlignment w:val="center"/>
              <w:rPr>
                <w:b/>
                <w:bCs/>
                <w:color w:val="000000" w:themeColor="text1"/>
                <w:sz w:val="21"/>
                <w:szCs w:val="21"/>
              </w:rPr>
            </w:pPr>
            <w:r w:rsidRPr="00B12FE0">
              <w:rPr>
                <w:b/>
                <w:bCs/>
                <w:color w:val="000000" w:themeColor="text1"/>
                <w:kern w:val="0"/>
                <w:sz w:val="21"/>
                <w:szCs w:val="21"/>
              </w:rPr>
              <w:t>场所名称</w:t>
            </w:r>
          </w:p>
        </w:tc>
        <w:tc>
          <w:tcPr>
            <w:tcW w:w="1479" w:type="pct"/>
            <w:noWrap/>
            <w:vAlign w:val="center"/>
          </w:tcPr>
          <w:p w14:paraId="74A38DED" w14:textId="77777777" w:rsidR="00A67F21" w:rsidRPr="00B12FE0" w:rsidRDefault="00000000">
            <w:pPr>
              <w:widowControl/>
              <w:jc w:val="center"/>
              <w:textAlignment w:val="center"/>
              <w:rPr>
                <w:b/>
                <w:bCs/>
                <w:color w:val="000000" w:themeColor="text1"/>
                <w:sz w:val="21"/>
                <w:szCs w:val="21"/>
              </w:rPr>
            </w:pPr>
            <w:r w:rsidRPr="00B12FE0">
              <w:rPr>
                <w:b/>
                <w:bCs/>
                <w:color w:val="000000" w:themeColor="text1"/>
                <w:kern w:val="0"/>
                <w:sz w:val="21"/>
                <w:szCs w:val="21"/>
              </w:rPr>
              <w:t>屏蔽体</w:t>
            </w:r>
          </w:p>
        </w:tc>
        <w:tc>
          <w:tcPr>
            <w:tcW w:w="1877" w:type="pct"/>
            <w:noWrap/>
            <w:vAlign w:val="center"/>
          </w:tcPr>
          <w:p w14:paraId="4188B369" w14:textId="77777777" w:rsidR="00A67F21" w:rsidRPr="00B12FE0" w:rsidRDefault="00000000">
            <w:pPr>
              <w:widowControl/>
              <w:jc w:val="center"/>
              <w:textAlignment w:val="center"/>
              <w:rPr>
                <w:b/>
                <w:bCs/>
                <w:color w:val="000000" w:themeColor="text1"/>
                <w:sz w:val="21"/>
                <w:szCs w:val="21"/>
              </w:rPr>
            </w:pPr>
            <w:r w:rsidRPr="00B12FE0">
              <w:rPr>
                <w:b/>
                <w:bCs/>
                <w:color w:val="000000" w:themeColor="text1"/>
                <w:sz w:val="21"/>
                <w:szCs w:val="21"/>
              </w:rPr>
              <w:t>屏蔽材料及厚度</w:t>
            </w:r>
          </w:p>
        </w:tc>
      </w:tr>
      <w:tr w:rsidR="00A67F21" w:rsidRPr="00B12FE0" w14:paraId="32B04349" w14:textId="77777777">
        <w:trPr>
          <w:trHeight w:val="272"/>
        </w:trPr>
        <w:tc>
          <w:tcPr>
            <w:tcW w:w="647" w:type="pct"/>
            <w:vMerge w:val="restart"/>
            <w:noWrap/>
            <w:vAlign w:val="center"/>
          </w:tcPr>
          <w:p w14:paraId="1F1A4DA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核素制备场所</w:t>
            </w:r>
          </w:p>
        </w:tc>
        <w:tc>
          <w:tcPr>
            <w:tcW w:w="998" w:type="pct"/>
            <w:vMerge w:val="restart"/>
            <w:noWrap/>
            <w:vAlign w:val="center"/>
          </w:tcPr>
          <w:p w14:paraId="4F21253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自屏蔽回旋加速器机房</w:t>
            </w:r>
          </w:p>
        </w:tc>
        <w:tc>
          <w:tcPr>
            <w:tcW w:w="1479" w:type="pct"/>
            <w:noWrap/>
            <w:vAlign w:val="center"/>
          </w:tcPr>
          <w:p w14:paraId="459E190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5D34190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600mm</w:t>
            </w:r>
            <w:r w:rsidRPr="00B12FE0">
              <w:rPr>
                <w:color w:val="000000" w:themeColor="text1"/>
                <w:kern w:val="0"/>
                <w:sz w:val="21"/>
                <w:szCs w:val="21"/>
              </w:rPr>
              <w:t>混凝土</w:t>
            </w:r>
          </w:p>
        </w:tc>
      </w:tr>
      <w:tr w:rsidR="00A67F21" w:rsidRPr="00B12FE0" w14:paraId="24F4819C" w14:textId="77777777">
        <w:trPr>
          <w:trHeight w:val="272"/>
        </w:trPr>
        <w:tc>
          <w:tcPr>
            <w:tcW w:w="647" w:type="pct"/>
            <w:vMerge/>
            <w:vAlign w:val="center"/>
          </w:tcPr>
          <w:p w14:paraId="2F120E07" w14:textId="77777777" w:rsidR="00A67F21" w:rsidRPr="00B12FE0" w:rsidRDefault="00A67F21">
            <w:pPr>
              <w:widowControl/>
              <w:jc w:val="left"/>
              <w:rPr>
                <w:color w:val="000000" w:themeColor="text1"/>
                <w:sz w:val="21"/>
                <w:szCs w:val="21"/>
              </w:rPr>
            </w:pPr>
          </w:p>
        </w:tc>
        <w:tc>
          <w:tcPr>
            <w:tcW w:w="998" w:type="pct"/>
            <w:vMerge/>
            <w:vAlign w:val="center"/>
          </w:tcPr>
          <w:p w14:paraId="62B0F975" w14:textId="77777777" w:rsidR="00A67F21" w:rsidRPr="00B12FE0" w:rsidRDefault="00A67F21">
            <w:pPr>
              <w:widowControl/>
              <w:jc w:val="left"/>
              <w:rPr>
                <w:color w:val="000000" w:themeColor="text1"/>
                <w:sz w:val="21"/>
                <w:szCs w:val="21"/>
              </w:rPr>
            </w:pPr>
          </w:p>
        </w:tc>
        <w:tc>
          <w:tcPr>
            <w:tcW w:w="1479" w:type="pct"/>
            <w:noWrap/>
            <w:vAlign w:val="center"/>
          </w:tcPr>
          <w:p w14:paraId="3A5EF251"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迷道</w:t>
            </w:r>
            <w:proofErr w:type="gramEnd"/>
          </w:p>
        </w:tc>
        <w:tc>
          <w:tcPr>
            <w:tcW w:w="1877" w:type="pct"/>
            <w:noWrap/>
            <w:vAlign w:val="center"/>
          </w:tcPr>
          <w:p w14:paraId="6782EE1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内墙为</w:t>
            </w:r>
            <w:r w:rsidRPr="00B12FE0">
              <w:rPr>
                <w:color w:val="000000" w:themeColor="text1"/>
                <w:kern w:val="0"/>
                <w:sz w:val="21"/>
                <w:szCs w:val="21"/>
              </w:rPr>
              <w:t>300mm</w:t>
            </w:r>
            <w:r w:rsidRPr="00B12FE0">
              <w:rPr>
                <w:color w:val="000000" w:themeColor="text1"/>
                <w:kern w:val="0"/>
                <w:sz w:val="21"/>
                <w:szCs w:val="21"/>
              </w:rPr>
              <w:t>混凝土，外墙为</w:t>
            </w:r>
            <w:r w:rsidRPr="00B12FE0">
              <w:rPr>
                <w:color w:val="000000" w:themeColor="text1"/>
                <w:kern w:val="0"/>
                <w:sz w:val="21"/>
                <w:szCs w:val="21"/>
              </w:rPr>
              <w:t>600mm</w:t>
            </w:r>
            <w:r w:rsidRPr="00B12FE0">
              <w:rPr>
                <w:color w:val="000000" w:themeColor="text1"/>
                <w:kern w:val="0"/>
                <w:sz w:val="21"/>
                <w:szCs w:val="21"/>
              </w:rPr>
              <w:t>混凝土</w:t>
            </w:r>
          </w:p>
        </w:tc>
      </w:tr>
      <w:tr w:rsidR="00A67F21" w:rsidRPr="00B12FE0" w14:paraId="3A372BF1" w14:textId="77777777">
        <w:trPr>
          <w:trHeight w:val="272"/>
        </w:trPr>
        <w:tc>
          <w:tcPr>
            <w:tcW w:w="647" w:type="pct"/>
            <w:vMerge/>
            <w:vAlign w:val="center"/>
          </w:tcPr>
          <w:p w14:paraId="531CF950" w14:textId="77777777" w:rsidR="00A67F21" w:rsidRPr="00B12FE0" w:rsidRDefault="00A67F21">
            <w:pPr>
              <w:widowControl/>
              <w:jc w:val="left"/>
              <w:rPr>
                <w:color w:val="000000" w:themeColor="text1"/>
                <w:sz w:val="21"/>
                <w:szCs w:val="21"/>
              </w:rPr>
            </w:pPr>
          </w:p>
        </w:tc>
        <w:tc>
          <w:tcPr>
            <w:tcW w:w="998" w:type="pct"/>
            <w:vMerge/>
            <w:vAlign w:val="center"/>
          </w:tcPr>
          <w:p w14:paraId="19956262" w14:textId="77777777" w:rsidR="00A67F21" w:rsidRPr="00B12FE0" w:rsidRDefault="00A67F21">
            <w:pPr>
              <w:widowControl/>
              <w:jc w:val="left"/>
              <w:rPr>
                <w:color w:val="000000" w:themeColor="text1"/>
                <w:sz w:val="21"/>
                <w:szCs w:val="21"/>
              </w:rPr>
            </w:pPr>
          </w:p>
        </w:tc>
        <w:tc>
          <w:tcPr>
            <w:tcW w:w="1479" w:type="pct"/>
            <w:vAlign w:val="center"/>
          </w:tcPr>
          <w:p w14:paraId="12EC07CC"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顶棚</w:t>
            </w:r>
          </w:p>
        </w:tc>
        <w:tc>
          <w:tcPr>
            <w:tcW w:w="1877" w:type="pct"/>
            <w:noWrap/>
            <w:vAlign w:val="center"/>
          </w:tcPr>
          <w:p w14:paraId="03F3C77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600mm</w:t>
            </w:r>
            <w:r w:rsidRPr="00B12FE0">
              <w:rPr>
                <w:color w:val="000000" w:themeColor="text1"/>
                <w:kern w:val="0"/>
                <w:sz w:val="21"/>
                <w:szCs w:val="21"/>
              </w:rPr>
              <w:t>混凝土</w:t>
            </w:r>
          </w:p>
        </w:tc>
      </w:tr>
      <w:tr w:rsidR="00A67F21" w:rsidRPr="00B12FE0" w14:paraId="42B387D5" w14:textId="77777777">
        <w:trPr>
          <w:trHeight w:val="272"/>
        </w:trPr>
        <w:tc>
          <w:tcPr>
            <w:tcW w:w="647" w:type="pct"/>
            <w:vMerge/>
            <w:vAlign w:val="center"/>
          </w:tcPr>
          <w:p w14:paraId="719D99FC" w14:textId="77777777" w:rsidR="00A67F21" w:rsidRPr="00B12FE0" w:rsidRDefault="00A67F21">
            <w:pPr>
              <w:widowControl/>
              <w:jc w:val="left"/>
              <w:rPr>
                <w:color w:val="000000" w:themeColor="text1"/>
                <w:sz w:val="21"/>
                <w:szCs w:val="21"/>
              </w:rPr>
            </w:pPr>
          </w:p>
        </w:tc>
        <w:tc>
          <w:tcPr>
            <w:tcW w:w="998" w:type="pct"/>
            <w:vMerge/>
            <w:vAlign w:val="center"/>
          </w:tcPr>
          <w:p w14:paraId="462945CB" w14:textId="77777777" w:rsidR="00A67F21" w:rsidRPr="00B12FE0" w:rsidRDefault="00A67F21">
            <w:pPr>
              <w:widowControl/>
              <w:jc w:val="left"/>
              <w:rPr>
                <w:color w:val="000000" w:themeColor="text1"/>
                <w:sz w:val="21"/>
                <w:szCs w:val="21"/>
              </w:rPr>
            </w:pPr>
          </w:p>
        </w:tc>
        <w:tc>
          <w:tcPr>
            <w:tcW w:w="1479" w:type="pct"/>
            <w:vAlign w:val="center"/>
          </w:tcPr>
          <w:p w14:paraId="3867504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防护门</w:t>
            </w:r>
          </w:p>
        </w:tc>
        <w:tc>
          <w:tcPr>
            <w:tcW w:w="1877" w:type="pct"/>
            <w:noWrap/>
            <w:vAlign w:val="center"/>
          </w:tcPr>
          <w:p w14:paraId="6E80150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16mm</w:t>
            </w:r>
            <w:r w:rsidRPr="00B12FE0">
              <w:rPr>
                <w:color w:val="000000" w:themeColor="text1"/>
                <w:sz w:val="21"/>
                <w:szCs w:val="21"/>
              </w:rPr>
              <w:t>铅板</w:t>
            </w:r>
            <w:r w:rsidRPr="00B12FE0">
              <w:rPr>
                <w:color w:val="000000" w:themeColor="text1"/>
                <w:sz w:val="21"/>
                <w:szCs w:val="21"/>
              </w:rPr>
              <w:t>+120mm</w:t>
            </w:r>
            <w:r w:rsidRPr="00B12FE0">
              <w:rPr>
                <w:color w:val="000000" w:themeColor="text1"/>
                <w:sz w:val="21"/>
                <w:szCs w:val="21"/>
              </w:rPr>
              <w:t>含硼聚乙烯</w:t>
            </w:r>
          </w:p>
        </w:tc>
      </w:tr>
      <w:tr w:rsidR="00A67F21" w:rsidRPr="00B12FE0" w14:paraId="149EAB8B" w14:textId="77777777">
        <w:trPr>
          <w:trHeight w:val="272"/>
        </w:trPr>
        <w:tc>
          <w:tcPr>
            <w:tcW w:w="647" w:type="pct"/>
            <w:vMerge/>
            <w:vAlign w:val="center"/>
          </w:tcPr>
          <w:p w14:paraId="7C6ECB92" w14:textId="77777777" w:rsidR="00A67F21" w:rsidRPr="00B12FE0" w:rsidRDefault="00A67F21">
            <w:pPr>
              <w:widowControl/>
              <w:jc w:val="left"/>
              <w:rPr>
                <w:color w:val="000000" w:themeColor="text1"/>
                <w:sz w:val="21"/>
                <w:szCs w:val="21"/>
              </w:rPr>
            </w:pPr>
          </w:p>
        </w:tc>
        <w:tc>
          <w:tcPr>
            <w:tcW w:w="998" w:type="pct"/>
            <w:vMerge w:val="restart"/>
            <w:noWrap/>
            <w:vAlign w:val="center"/>
          </w:tcPr>
          <w:p w14:paraId="41848E0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热室房间</w:t>
            </w:r>
          </w:p>
        </w:tc>
        <w:tc>
          <w:tcPr>
            <w:tcW w:w="1479" w:type="pct"/>
            <w:noWrap/>
            <w:vAlign w:val="center"/>
          </w:tcPr>
          <w:p w14:paraId="1549BBA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西侧墙体</w:t>
            </w:r>
          </w:p>
        </w:tc>
        <w:tc>
          <w:tcPr>
            <w:tcW w:w="1877" w:type="pct"/>
            <w:noWrap/>
            <w:vAlign w:val="center"/>
          </w:tcPr>
          <w:p w14:paraId="48AFA01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600mm</w:t>
            </w:r>
            <w:r w:rsidRPr="00B12FE0">
              <w:rPr>
                <w:color w:val="000000" w:themeColor="text1"/>
                <w:kern w:val="0"/>
                <w:sz w:val="21"/>
                <w:szCs w:val="21"/>
              </w:rPr>
              <w:t>混凝土</w:t>
            </w:r>
          </w:p>
        </w:tc>
      </w:tr>
      <w:tr w:rsidR="00A67F21" w:rsidRPr="00B12FE0" w14:paraId="2107BA8C" w14:textId="77777777">
        <w:trPr>
          <w:trHeight w:val="272"/>
        </w:trPr>
        <w:tc>
          <w:tcPr>
            <w:tcW w:w="647" w:type="pct"/>
            <w:vMerge/>
            <w:vAlign w:val="center"/>
          </w:tcPr>
          <w:p w14:paraId="2627A4A7" w14:textId="77777777" w:rsidR="00A67F21" w:rsidRPr="00B12FE0" w:rsidRDefault="00A67F21">
            <w:pPr>
              <w:widowControl/>
              <w:jc w:val="left"/>
              <w:rPr>
                <w:color w:val="000000" w:themeColor="text1"/>
                <w:sz w:val="21"/>
                <w:szCs w:val="21"/>
              </w:rPr>
            </w:pPr>
          </w:p>
        </w:tc>
        <w:tc>
          <w:tcPr>
            <w:tcW w:w="998" w:type="pct"/>
            <w:vMerge/>
            <w:vAlign w:val="center"/>
          </w:tcPr>
          <w:p w14:paraId="59E45423" w14:textId="77777777" w:rsidR="00A67F21" w:rsidRPr="00B12FE0" w:rsidRDefault="00A67F21">
            <w:pPr>
              <w:widowControl/>
              <w:jc w:val="left"/>
              <w:rPr>
                <w:color w:val="000000" w:themeColor="text1"/>
                <w:sz w:val="21"/>
                <w:szCs w:val="21"/>
              </w:rPr>
            </w:pPr>
          </w:p>
        </w:tc>
        <w:tc>
          <w:tcPr>
            <w:tcW w:w="1479" w:type="pct"/>
            <w:noWrap/>
            <w:vAlign w:val="center"/>
          </w:tcPr>
          <w:p w14:paraId="277CA8C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东、南、北侧墙体</w:t>
            </w:r>
          </w:p>
        </w:tc>
        <w:tc>
          <w:tcPr>
            <w:tcW w:w="1877" w:type="pct"/>
            <w:noWrap/>
            <w:vAlign w:val="center"/>
          </w:tcPr>
          <w:p w14:paraId="7463502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300mm</w:t>
            </w:r>
            <w:r w:rsidRPr="00B12FE0">
              <w:rPr>
                <w:color w:val="000000" w:themeColor="text1"/>
                <w:kern w:val="0"/>
                <w:sz w:val="21"/>
                <w:szCs w:val="21"/>
              </w:rPr>
              <w:t>混凝土</w:t>
            </w:r>
          </w:p>
        </w:tc>
      </w:tr>
      <w:tr w:rsidR="00A67F21" w:rsidRPr="00B12FE0" w14:paraId="5B73F185" w14:textId="77777777">
        <w:trPr>
          <w:trHeight w:val="272"/>
        </w:trPr>
        <w:tc>
          <w:tcPr>
            <w:tcW w:w="647" w:type="pct"/>
            <w:vMerge/>
            <w:vAlign w:val="center"/>
          </w:tcPr>
          <w:p w14:paraId="408C4B6D" w14:textId="77777777" w:rsidR="00A67F21" w:rsidRPr="00B12FE0" w:rsidRDefault="00A67F21">
            <w:pPr>
              <w:widowControl/>
              <w:jc w:val="left"/>
              <w:rPr>
                <w:color w:val="000000" w:themeColor="text1"/>
                <w:sz w:val="21"/>
                <w:szCs w:val="21"/>
              </w:rPr>
            </w:pPr>
          </w:p>
        </w:tc>
        <w:tc>
          <w:tcPr>
            <w:tcW w:w="998" w:type="pct"/>
            <w:vMerge/>
            <w:vAlign w:val="center"/>
          </w:tcPr>
          <w:p w14:paraId="613661C6" w14:textId="77777777" w:rsidR="00A67F21" w:rsidRPr="00B12FE0" w:rsidRDefault="00A67F21">
            <w:pPr>
              <w:widowControl/>
              <w:jc w:val="left"/>
              <w:rPr>
                <w:color w:val="000000" w:themeColor="text1"/>
                <w:sz w:val="21"/>
                <w:szCs w:val="21"/>
              </w:rPr>
            </w:pPr>
          </w:p>
        </w:tc>
        <w:tc>
          <w:tcPr>
            <w:tcW w:w="1479" w:type="pct"/>
            <w:vAlign w:val="center"/>
          </w:tcPr>
          <w:p w14:paraId="7E51C63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222E0B4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5E110507" w14:textId="77777777">
        <w:trPr>
          <w:trHeight w:val="272"/>
        </w:trPr>
        <w:tc>
          <w:tcPr>
            <w:tcW w:w="647" w:type="pct"/>
            <w:vMerge/>
            <w:vAlign w:val="center"/>
          </w:tcPr>
          <w:p w14:paraId="0A055AC7" w14:textId="77777777" w:rsidR="00A67F21" w:rsidRPr="00B12FE0" w:rsidRDefault="00A67F21">
            <w:pPr>
              <w:widowControl/>
              <w:jc w:val="left"/>
              <w:rPr>
                <w:color w:val="000000" w:themeColor="text1"/>
                <w:sz w:val="21"/>
                <w:szCs w:val="21"/>
              </w:rPr>
            </w:pPr>
          </w:p>
        </w:tc>
        <w:tc>
          <w:tcPr>
            <w:tcW w:w="998" w:type="pct"/>
            <w:vMerge/>
            <w:vAlign w:val="center"/>
          </w:tcPr>
          <w:p w14:paraId="0A784782" w14:textId="77777777" w:rsidR="00A67F21" w:rsidRPr="00B12FE0" w:rsidRDefault="00A67F21">
            <w:pPr>
              <w:widowControl/>
              <w:jc w:val="left"/>
              <w:rPr>
                <w:color w:val="000000" w:themeColor="text1"/>
                <w:sz w:val="21"/>
                <w:szCs w:val="21"/>
              </w:rPr>
            </w:pPr>
          </w:p>
        </w:tc>
        <w:tc>
          <w:tcPr>
            <w:tcW w:w="1479" w:type="pct"/>
            <w:vAlign w:val="center"/>
          </w:tcPr>
          <w:p w14:paraId="435BF71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防护门</w:t>
            </w:r>
          </w:p>
        </w:tc>
        <w:tc>
          <w:tcPr>
            <w:tcW w:w="1877" w:type="pct"/>
            <w:noWrap/>
            <w:vAlign w:val="center"/>
          </w:tcPr>
          <w:p w14:paraId="3A22A49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2mm</w:t>
            </w:r>
            <w:r w:rsidRPr="00B12FE0">
              <w:rPr>
                <w:color w:val="000000" w:themeColor="text1"/>
                <w:sz w:val="21"/>
                <w:szCs w:val="21"/>
              </w:rPr>
              <w:t>铅板</w:t>
            </w:r>
          </w:p>
        </w:tc>
      </w:tr>
      <w:tr w:rsidR="00A67F21" w:rsidRPr="00B12FE0" w14:paraId="2D6590DD" w14:textId="77777777">
        <w:trPr>
          <w:trHeight w:val="272"/>
        </w:trPr>
        <w:tc>
          <w:tcPr>
            <w:tcW w:w="647" w:type="pct"/>
            <w:vMerge/>
            <w:vAlign w:val="center"/>
          </w:tcPr>
          <w:p w14:paraId="4DFAC505" w14:textId="77777777" w:rsidR="00A67F21" w:rsidRPr="00B12FE0" w:rsidRDefault="00A67F21">
            <w:pPr>
              <w:widowControl/>
              <w:jc w:val="left"/>
              <w:rPr>
                <w:color w:val="000000" w:themeColor="text1"/>
                <w:sz w:val="21"/>
                <w:szCs w:val="21"/>
              </w:rPr>
            </w:pPr>
          </w:p>
        </w:tc>
        <w:tc>
          <w:tcPr>
            <w:tcW w:w="998" w:type="pct"/>
            <w:vMerge/>
            <w:vAlign w:val="center"/>
          </w:tcPr>
          <w:p w14:paraId="286524BD" w14:textId="77777777" w:rsidR="00A67F21" w:rsidRPr="00B12FE0" w:rsidRDefault="00A67F21">
            <w:pPr>
              <w:widowControl/>
              <w:jc w:val="left"/>
              <w:rPr>
                <w:color w:val="000000" w:themeColor="text1"/>
                <w:sz w:val="21"/>
                <w:szCs w:val="21"/>
              </w:rPr>
            </w:pPr>
          </w:p>
        </w:tc>
        <w:tc>
          <w:tcPr>
            <w:tcW w:w="1479" w:type="pct"/>
            <w:vAlign w:val="center"/>
          </w:tcPr>
          <w:p w14:paraId="4B3F2AE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合成柜</w:t>
            </w:r>
          </w:p>
        </w:tc>
        <w:tc>
          <w:tcPr>
            <w:tcW w:w="1877" w:type="pct"/>
            <w:vAlign w:val="center"/>
          </w:tcPr>
          <w:p w14:paraId="515E656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六面</w:t>
            </w:r>
            <w:r w:rsidRPr="00B12FE0">
              <w:rPr>
                <w:color w:val="000000" w:themeColor="text1"/>
                <w:sz w:val="21"/>
                <w:szCs w:val="21"/>
              </w:rPr>
              <w:t>70mmPb</w:t>
            </w:r>
            <w:r w:rsidRPr="00B12FE0">
              <w:rPr>
                <w:color w:val="000000" w:themeColor="text1"/>
                <w:sz w:val="21"/>
                <w:szCs w:val="21"/>
              </w:rPr>
              <w:t>铅当量</w:t>
            </w:r>
          </w:p>
        </w:tc>
      </w:tr>
      <w:tr w:rsidR="00A67F21" w:rsidRPr="00B12FE0" w14:paraId="59656E0D" w14:textId="77777777">
        <w:trPr>
          <w:trHeight w:val="272"/>
        </w:trPr>
        <w:tc>
          <w:tcPr>
            <w:tcW w:w="647" w:type="pct"/>
            <w:vMerge/>
            <w:vAlign w:val="center"/>
          </w:tcPr>
          <w:p w14:paraId="2C7343B4" w14:textId="77777777" w:rsidR="00A67F21" w:rsidRPr="00B12FE0" w:rsidRDefault="00A67F21">
            <w:pPr>
              <w:widowControl/>
              <w:jc w:val="left"/>
              <w:rPr>
                <w:color w:val="000000" w:themeColor="text1"/>
                <w:sz w:val="21"/>
                <w:szCs w:val="21"/>
              </w:rPr>
            </w:pPr>
          </w:p>
        </w:tc>
        <w:tc>
          <w:tcPr>
            <w:tcW w:w="998" w:type="pct"/>
            <w:vMerge/>
            <w:vAlign w:val="center"/>
          </w:tcPr>
          <w:p w14:paraId="5CF92CED" w14:textId="77777777" w:rsidR="00A67F21" w:rsidRPr="00B12FE0" w:rsidRDefault="00A67F21">
            <w:pPr>
              <w:widowControl/>
              <w:jc w:val="left"/>
              <w:rPr>
                <w:color w:val="000000" w:themeColor="text1"/>
                <w:sz w:val="21"/>
                <w:szCs w:val="21"/>
              </w:rPr>
            </w:pPr>
          </w:p>
        </w:tc>
        <w:tc>
          <w:tcPr>
            <w:tcW w:w="1479" w:type="pct"/>
            <w:vAlign w:val="center"/>
          </w:tcPr>
          <w:p w14:paraId="5E3D6673"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分装柜</w:t>
            </w:r>
          </w:p>
        </w:tc>
        <w:tc>
          <w:tcPr>
            <w:tcW w:w="1877" w:type="pct"/>
            <w:vAlign w:val="center"/>
          </w:tcPr>
          <w:p w14:paraId="7490284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六面</w:t>
            </w:r>
            <w:r w:rsidRPr="00B12FE0">
              <w:rPr>
                <w:color w:val="000000" w:themeColor="text1"/>
                <w:sz w:val="21"/>
                <w:szCs w:val="21"/>
              </w:rPr>
              <w:t>70mmPb</w:t>
            </w:r>
            <w:r w:rsidRPr="00B12FE0">
              <w:rPr>
                <w:color w:val="000000" w:themeColor="text1"/>
                <w:sz w:val="21"/>
                <w:szCs w:val="21"/>
              </w:rPr>
              <w:t>铅当量</w:t>
            </w:r>
          </w:p>
        </w:tc>
      </w:tr>
      <w:tr w:rsidR="00A67F21" w:rsidRPr="00B12FE0" w14:paraId="62F36C40" w14:textId="77777777">
        <w:trPr>
          <w:trHeight w:val="272"/>
        </w:trPr>
        <w:tc>
          <w:tcPr>
            <w:tcW w:w="647" w:type="pct"/>
            <w:vMerge/>
            <w:vAlign w:val="center"/>
          </w:tcPr>
          <w:p w14:paraId="233BCF27" w14:textId="77777777" w:rsidR="00A67F21" w:rsidRPr="00B12FE0" w:rsidRDefault="00A67F21">
            <w:pPr>
              <w:widowControl/>
              <w:jc w:val="left"/>
              <w:rPr>
                <w:color w:val="000000" w:themeColor="text1"/>
                <w:sz w:val="21"/>
                <w:szCs w:val="21"/>
              </w:rPr>
            </w:pPr>
          </w:p>
        </w:tc>
        <w:tc>
          <w:tcPr>
            <w:tcW w:w="998" w:type="pct"/>
            <w:vMerge/>
            <w:vAlign w:val="center"/>
          </w:tcPr>
          <w:p w14:paraId="4886CA42" w14:textId="77777777" w:rsidR="00A67F21" w:rsidRPr="00B12FE0" w:rsidRDefault="00A67F21">
            <w:pPr>
              <w:widowControl/>
              <w:jc w:val="left"/>
              <w:rPr>
                <w:color w:val="000000" w:themeColor="text1"/>
                <w:sz w:val="21"/>
                <w:szCs w:val="21"/>
              </w:rPr>
            </w:pPr>
          </w:p>
        </w:tc>
        <w:tc>
          <w:tcPr>
            <w:tcW w:w="1479" w:type="pct"/>
            <w:noWrap/>
            <w:vAlign w:val="center"/>
          </w:tcPr>
          <w:p w14:paraId="760A1D9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传递窗（</w:t>
            </w:r>
            <w:r w:rsidRPr="00B12FE0">
              <w:rPr>
                <w:color w:val="000000" w:themeColor="text1"/>
                <w:kern w:val="0"/>
                <w:sz w:val="21"/>
                <w:szCs w:val="21"/>
              </w:rPr>
              <w:t>4</w:t>
            </w:r>
            <w:r w:rsidRPr="00B12FE0">
              <w:rPr>
                <w:color w:val="000000" w:themeColor="text1"/>
                <w:kern w:val="0"/>
                <w:sz w:val="21"/>
                <w:szCs w:val="21"/>
              </w:rPr>
              <w:t>扇）</w:t>
            </w:r>
          </w:p>
        </w:tc>
        <w:tc>
          <w:tcPr>
            <w:tcW w:w="1877" w:type="pct"/>
            <w:noWrap/>
            <w:vAlign w:val="center"/>
          </w:tcPr>
          <w:p w14:paraId="7D1D2A7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2mmPb</w:t>
            </w:r>
            <w:r w:rsidRPr="00B12FE0">
              <w:rPr>
                <w:color w:val="000000" w:themeColor="text1"/>
                <w:sz w:val="21"/>
                <w:szCs w:val="21"/>
              </w:rPr>
              <w:t>铅玻璃</w:t>
            </w:r>
          </w:p>
        </w:tc>
      </w:tr>
      <w:tr w:rsidR="00A67F21" w:rsidRPr="00B12FE0" w14:paraId="44E0DC3A" w14:textId="77777777">
        <w:trPr>
          <w:trHeight w:val="272"/>
        </w:trPr>
        <w:tc>
          <w:tcPr>
            <w:tcW w:w="647" w:type="pct"/>
            <w:vMerge/>
            <w:vAlign w:val="center"/>
          </w:tcPr>
          <w:p w14:paraId="2F8CBCAD" w14:textId="77777777" w:rsidR="00A67F21" w:rsidRPr="00B12FE0" w:rsidRDefault="00A67F21">
            <w:pPr>
              <w:widowControl/>
              <w:jc w:val="left"/>
              <w:rPr>
                <w:color w:val="000000" w:themeColor="text1"/>
                <w:sz w:val="21"/>
                <w:szCs w:val="21"/>
              </w:rPr>
            </w:pPr>
          </w:p>
        </w:tc>
        <w:tc>
          <w:tcPr>
            <w:tcW w:w="998" w:type="pct"/>
            <w:vMerge w:val="restart"/>
            <w:noWrap/>
            <w:vAlign w:val="center"/>
          </w:tcPr>
          <w:p w14:paraId="452F0221"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放化实验室</w:t>
            </w:r>
          </w:p>
        </w:tc>
        <w:tc>
          <w:tcPr>
            <w:tcW w:w="1479" w:type="pct"/>
            <w:noWrap/>
            <w:vAlign w:val="center"/>
          </w:tcPr>
          <w:p w14:paraId="3771783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171CBF3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200mm</w:t>
            </w:r>
            <w:r w:rsidRPr="00B12FE0">
              <w:rPr>
                <w:color w:val="000000" w:themeColor="text1"/>
                <w:kern w:val="0"/>
                <w:sz w:val="21"/>
                <w:szCs w:val="21"/>
              </w:rPr>
              <w:t>实心砖</w:t>
            </w:r>
          </w:p>
        </w:tc>
      </w:tr>
      <w:tr w:rsidR="00A67F21" w:rsidRPr="00B12FE0" w14:paraId="711F7001" w14:textId="77777777">
        <w:trPr>
          <w:trHeight w:val="316"/>
        </w:trPr>
        <w:tc>
          <w:tcPr>
            <w:tcW w:w="647" w:type="pct"/>
            <w:vMerge/>
            <w:vAlign w:val="center"/>
          </w:tcPr>
          <w:p w14:paraId="016D73D7" w14:textId="77777777" w:rsidR="00A67F21" w:rsidRPr="00B12FE0" w:rsidRDefault="00A67F21">
            <w:pPr>
              <w:widowControl/>
              <w:jc w:val="left"/>
              <w:rPr>
                <w:color w:val="000000" w:themeColor="text1"/>
                <w:sz w:val="21"/>
                <w:szCs w:val="21"/>
              </w:rPr>
            </w:pPr>
          </w:p>
        </w:tc>
        <w:tc>
          <w:tcPr>
            <w:tcW w:w="998" w:type="pct"/>
            <w:vMerge/>
            <w:vAlign w:val="center"/>
          </w:tcPr>
          <w:p w14:paraId="5F01BF9E" w14:textId="77777777" w:rsidR="00A67F21" w:rsidRPr="00B12FE0" w:rsidRDefault="00A67F21">
            <w:pPr>
              <w:widowControl/>
              <w:jc w:val="left"/>
              <w:rPr>
                <w:color w:val="000000" w:themeColor="text1"/>
                <w:sz w:val="21"/>
                <w:szCs w:val="21"/>
              </w:rPr>
            </w:pPr>
          </w:p>
        </w:tc>
        <w:tc>
          <w:tcPr>
            <w:tcW w:w="1479" w:type="pct"/>
            <w:vAlign w:val="center"/>
          </w:tcPr>
          <w:p w14:paraId="6120F94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4908C94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62C034CE" w14:textId="77777777">
        <w:trPr>
          <w:trHeight w:val="272"/>
        </w:trPr>
        <w:tc>
          <w:tcPr>
            <w:tcW w:w="647" w:type="pct"/>
            <w:vMerge/>
            <w:vAlign w:val="center"/>
          </w:tcPr>
          <w:p w14:paraId="5E18B8D1" w14:textId="77777777" w:rsidR="00A67F21" w:rsidRPr="00B12FE0" w:rsidRDefault="00A67F21">
            <w:pPr>
              <w:widowControl/>
              <w:jc w:val="left"/>
              <w:rPr>
                <w:color w:val="000000" w:themeColor="text1"/>
                <w:sz w:val="21"/>
                <w:szCs w:val="21"/>
              </w:rPr>
            </w:pPr>
          </w:p>
        </w:tc>
        <w:tc>
          <w:tcPr>
            <w:tcW w:w="998" w:type="pct"/>
            <w:vMerge/>
            <w:vAlign w:val="center"/>
          </w:tcPr>
          <w:p w14:paraId="75771DD6" w14:textId="77777777" w:rsidR="00A67F21" w:rsidRPr="00B12FE0" w:rsidRDefault="00A67F21">
            <w:pPr>
              <w:widowControl/>
              <w:jc w:val="left"/>
              <w:rPr>
                <w:color w:val="000000" w:themeColor="text1"/>
                <w:sz w:val="21"/>
                <w:szCs w:val="21"/>
              </w:rPr>
            </w:pPr>
          </w:p>
        </w:tc>
        <w:tc>
          <w:tcPr>
            <w:tcW w:w="1479" w:type="pct"/>
            <w:vAlign w:val="center"/>
          </w:tcPr>
          <w:p w14:paraId="75C09AD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防护门</w:t>
            </w:r>
          </w:p>
        </w:tc>
        <w:tc>
          <w:tcPr>
            <w:tcW w:w="1877" w:type="pct"/>
            <w:vAlign w:val="center"/>
          </w:tcPr>
          <w:p w14:paraId="790227D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2mm</w:t>
            </w:r>
            <w:r w:rsidRPr="00B12FE0">
              <w:rPr>
                <w:color w:val="000000" w:themeColor="text1"/>
                <w:sz w:val="21"/>
                <w:szCs w:val="21"/>
              </w:rPr>
              <w:t>铅板</w:t>
            </w:r>
          </w:p>
        </w:tc>
      </w:tr>
      <w:tr w:rsidR="00A67F21" w:rsidRPr="00B12FE0" w14:paraId="2B20F738" w14:textId="77777777">
        <w:trPr>
          <w:trHeight w:val="272"/>
        </w:trPr>
        <w:tc>
          <w:tcPr>
            <w:tcW w:w="647" w:type="pct"/>
            <w:vMerge/>
            <w:vAlign w:val="center"/>
          </w:tcPr>
          <w:p w14:paraId="02B6B5DB" w14:textId="77777777" w:rsidR="00A67F21" w:rsidRPr="00B12FE0" w:rsidRDefault="00A67F21">
            <w:pPr>
              <w:widowControl/>
              <w:jc w:val="left"/>
              <w:rPr>
                <w:color w:val="000000" w:themeColor="text1"/>
                <w:sz w:val="21"/>
                <w:szCs w:val="21"/>
              </w:rPr>
            </w:pPr>
          </w:p>
        </w:tc>
        <w:tc>
          <w:tcPr>
            <w:tcW w:w="998" w:type="pct"/>
            <w:vMerge/>
            <w:vAlign w:val="center"/>
          </w:tcPr>
          <w:p w14:paraId="366B3F11" w14:textId="77777777" w:rsidR="00A67F21" w:rsidRPr="00B12FE0" w:rsidRDefault="00A67F21">
            <w:pPr>
              <w:widowControl/>
              <w:jc w:val="left"/>
              <w:rPr>
                <w:color w:val="000000" w:themeColor="text1"/>
                <w:sz w:val="21"/>
                <w:szCs w:val="21"/>
              </w:rPr>
            </w:pPr>
          </w:p>
        </w:tc>
        <w:tc>
          <w:tcPr>
            <w:tcW w:w="1479" w:type="pct"/>
            <w:vAlign w:val="center"/>
          </w:tcPr>
          <w:p w14:paraId="4B5F44F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传递窗（</w:t>
            </w:r>
            <w:r w:rsidRPr="00B12FE0">
              <w:rPr>
                <w:color w:val="000000" w:themeColor="text1"/>
                <w:sz w:val="21"/>
                <w:szCs w:val="21"/>
              </w:rPr>
              <w:t>3</w:t>
            </w:r>
            <w:r w:rsidRPr="00B12FE0">
              <w:rPr>
                <w:color w:val="000000" w:themeColor="text1"/>
                <w:sz w:val="21"/>
                <w:szCs w:val="21"/>
              </w:rPr>
              <w:t>扇）</w:t>
            </w:r>
          </w:p>
        </w:tc>
        <w:tc>
          <w:tcPr>
            <w:tcW w:w="1877" w:type="pct"/>
            <w:vAlign w:val="center"/>
          </w:tcPr>
          <w:p w14:paraId="20E5CE1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2mmPb</w:t>
            </w:r>
            <w:r w:rsidRPr="00B12FE0">
              <w:rPr>
                <w:color w:val="000000" w:themeColor="text1"/>
                <w:sz w:val="21"/>
                <w:szCs w:val="21"/>
              </w:rPr>
              <w:t>铅玻璃</w:t>
            </w:r>
          </w:p>
        </w:tc>
      </w:tr>
      <w:tr w:rsidR="00A67F21" w:rsidRPr="00B12FE0" w14:paraId="5ADD5C74" w14:textId="77777777">
        <w:trPr>
          <w:trHeight w:val="272"/>
        </w:trPr>
        <w:tc>
          <w:tcPr>
            <w:tcW w:w="647" w:type="pct"/>
            <w:vMerge/>
            <w:vAlign w:val="center"/>
          </w:tcPr>
          <w:p w14:paraId="2AB8DA2A" w14:textId="77777777" w:rsidR="00A67F21" w:rsidRPr="00B12FE0" w:rsidRDefault="00A67F21">
            <w:pPr>
              <w:widowControl/>
              <w:jc w:val="left"/>
              <w:rPr>
                <w:color w:val="000000" w:themeColor="text1"/>
                <w:sz w:val="21"/>
                <w:szCs w:val="21"/>
              </w:rPr>
            </w:pPr>
          </w:p>
        </w:tc>
        <w:tc>
          <w:tcPr>
            <w:tcW w:w="998" w:type="pct"/>
            <w:vMerge/>
            <w:vAlign w:val="center"/>
          </w:tcPr>
          <w:p w14:paraId="1096474A" w14:textId="77777777" w:rsidR="00A67F21" w:rsidRPr="00B12FE0" w:rsidRDefault="00A67F21">
            <w:pPr>
              <w:widowControl/>
              <w:jc w:val="left"/>
              <w:rPr>
                <w:color w:val="000000" w:themeColor="text1"/>
                <w:sz w:val="21"/>
                <w:szCs w:val="21"/>
              </w:rPr>
            </w:pPr>
          </w:p>
        </w:tc>
        <w:tc>
          <w:tcPr>
            <w:tcW w:w="1479" w:type="pct"/>
            <w:vAlign w:val="center"/>
          </w:tcPr>
          <w:p w14:paraId="7039A70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通风橱</w:t>
            </w:r>
          </w:p>
        </w:tc>
        <w:tc>
          <w:tcPr>
            <w:tcW w:w="1877" w:type="pct"/>
            <w:vAlign w:val="center"/>
          </w:tcPr>
          <w:p w14:paraId="6ECA1D9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10mm</w:t>
            </w:r>
            <w:r w:rsidRPr="00B12FE0">
              <w:rPr>
                <w:color w:val="000000" w:themeColor="text1"/>
                <w:sz w:val="21"/>
                <w:szCs w:val="21"/>
              </w:rPr>
              <w:t>铅当量</w:t>
            </w:r>
          </w:p>
        </w:tc>
      </w:tr>
      <w:tr w:rsidR="00A67F21" w:rsidRPr="00B12FE0" w14:paraId="642E6CC4" w14:textId="77777777">
        <w:trPr>
          <w:trHeight w:val="272"/>
        </w:trPr>
        <w:tc>
          <w:tcPr>
            <w:tcW w:w="647" w:type="pct"/>
            <w:vMerge w:val="restart"/>
            <w:noWrap/>
            <w:vAlign w:val="center"/>
          </w:tcPr>
          <w:p w14:paraId="7930B61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核素诊断场所</w:t>
            </w:r>
          </w:p>
        </w:tc>
        <w:tc>
          <w:tcPr>
            <w:tcW w:w="998" w:type="pct"/>
            <w:vMerge w:val="restart"/>
            <w:noWrap/>
            <w:vAlign w:val="center"/>
          </w:tcPr>
          <w:p w14:paraId="5CC5818A"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高活室</w:t>
            </w:r>
            <w:proofErr w:type="gramEnd"/>
          </w:p>
        </w:tc>
        <w:tc>
          <w:tcPr>
            <w:tcW w:w="1479" w:type="pct"/>
            <w:noWrap/>
            <w:vAlign w:val="center"/>
          </w:tcPr>
          <w:p w14:paraId="2007838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5B4E415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412FE575" w14:textId="77777777">
        <w:trPr>
          <w:trHeight w:val="272"/>
        </w:trPr>
        <w:tc>
          <w:tcPr>
            <w:tcW w:w="647" w:type="pct"/>
            <w:vMerge/>
            <w:vAlign w:val="center"/>
          </w:tcPr>
          <w:p w14:paraId="640F8F31" w14:textId="77777777" w:rsidR="00A67F21" w:rsidRPr="00B12FE0" w:rsidRDefault="00A67F21">
            <w:pPr>
              <w:widowControl/>
              <w:jc w:val="center"/>
              <w:rPr>
                <w:color w:val="000000" w:themeColor="text1"/>
                <w:sz w:val="21"/>
                <w:szCs w:val="21"/>
              </w:rPr>
            </w:pPr>
          </w:p>
        </w:tc>
        <w:tc>
          <w:tcPr>
            <w:tcW w:w="998" w:type="pct"/>
            <w:vMerge/>
            <w:vAlign w:val="center"/>
          </w:tcPr>
          <w:p w14:paraId="43F52B89" w14:textId="77777777" w:rsidR="00A67F21" w:rsidRPr="00B12FE0" w:rsidRDefault="00A67F21">
            <w:pPr>
              <w:widowControl/>
              <w:jc w:val="center"/>
              <w:rPr>
                <w:color w:val="000000" w:themeColor="text1"/>
                <w:sz w:val="21"/>
                <w:szCs w:val="21"/>
              </w:rPr>
            </w:pPr>
          </w:p>
        </w:tc>
        <w:tc>
          <w:tcPr>
            <w:tcW w:w="1479" w:type="pct"/>
            <w:vAlign w:val="center"/>
          </w:tcPr>
          <w:p w14:paraId="2F93ED5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5905739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5C87C4F7" w14:textId="77777777">
        <w:trPr>
          <w:trHeight w:val="272"/>
        </w:trPr>
        <w:tc>
          <w:tcPr>
            <w:tcW w:w="647" w:type="pct"/>
            <w:vMerge/>
            <w:vAlign w:val="center"/>
          </w:tcPr>
          <w:p w14:paraId="65829A89" w14:textId="77777777" w:rsidR="00A67F21" w:rsidRPr="00B12FE0" w:rsidRDefault="00A67F21">
            <w:pPr>
              <w:widowControl/>
              <w:jc w:val="center"/>
              <w:rPr>
                <w:color w:val="000000" w:themeColor="text1"/>
                <w:sz w:val="21"/>
                <w:szCs w:val="21"/>
              </w:rPr>
            </w:pPr>
          </w:p>
        </w:tc>
        <w:tc>
          <w:tcPr>
            <w:tcW w:w="998" w:type="pct"/>
            <w:vMerge/>
            <w:vAlign w:val="center"/>
          </w:tcPr>
          <w:p w14:paraId="5E6F5C39" w14:textId="77777777" w:rsidR="00A67F21" w:rsidRPr="00B12FE0" w:rsidRDefault="00A67F21">
            <w:pPr>
              <w:widowControl/>
              <w:jc w:val="center"/>
              <w:rPr>
                <w:color w:val="000000" w:themeColor="text1"/>
                <w:sz w:val="21"/>
                <w:szCs w:val="21"/>
              </w:rPr>
            </w:pPr>
          </w:p>
        </w:tc>
        <w:tc>
          <w:tcPr>
            <w:tcW w:w="1479" w:type="pct"/>
            <w:noWrap/>
            <w:vAlign w:val="center"/>
          </w:tcPr>
          <w:p w14:paraId="7131EA7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1</w:t>
            </w:r>
            <w:r w:rsidRPr="00B12FE0">
              <w:rPr>
                <w:color w:val="000000" w:themeColor="text1"/>
                <w:kern w:val="0"/>
                <w:sz w:val="21"/>
                <w:szCs w:val="21"/>
              </w:rPr>
              <w:t>扇）</w:t>
            </w:r>
          </w:p>
        </w:tc>
        <w:tc>
          <w:tcPr>
            <w:tcW w:w="1877" w:type="pct"/>
            <w:vAlign w:val="center"/>
          </w:tcPr>
          <w:p w14:paraId="22FCEFC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2mm</w:t>
            </w:r>
            <w:r w:rsidRPr="00B12FE0">
              <w:rPr>
                <w:color w:val="000000" w:themeColor="text1"/>
                <w:sz w:val="21"/>
                <w:szCs w:val="21"/>
              </w:rPr>
              <w:t>铅板</w:t>
            </w:r>
          </w:p>
        </w:tc>
      </w:tr>
      <w:tr w:rsidR="00A67F21" w:rsidRPr="00B12FE0" w14:paraId="27914B4A" w14:textId="77777777">
        <w:trPr>
          <w:trHeight w:val="272"/>
        </w:trPr>
        <w:tc>
          <w:tcPr>
            <w:tcW w:w="647" w:type="pct"/>
            <w:vMerge/>
            <w:vAlign w:val="center"/>
          </w:tcPr>
          <w:p w14:paraId="5F9C147D" w14:textId="77777777" w:rsidR="00A67F21" w:rsidRPr="00B12FE0" w:rsidRDefault="00A67F21">
            <w:pPr>
              <w:widowControl/>
              <w:jc w:val="center"/>
              <w:rPr>
                <w:color w:val="000000" w:themeColor="text1"/>
                <w:sz w:val="21"/>
                <w:szCs w:val="21"/>
              </w:rPr>
            </w:pPr>
          </w:p>
        </w:tc>
        <w:tc>
          <w:tcPr>
            <w:tcW w:w="998" w:type="pct"/>
            <w:vMerge/>
            <w:vAlign w:val="center"/>
          </w:tcPr>
          <w:p w14:paraId="01CAFAAC" w14:textId="77777777" w:rsidR="00A67F21" w:rsidRPr="00B12FE0" w:rsidRDefault="00A67F21">
            <w:pPr>
              <w:widowControl/>
              <w:jc w:val="center"/>
              <w:rPr>
                <w:color w:val="000000" w:themeColor="text1"/>
                <w:sz w:val="21"/>
                <w:szCs w:val="21"/>
              </w:rPr>
            </w:pPr>
          </w:p>
        </w:tc>
        <w:tc>
          <w:tcPr>
            <w:tcW w:w="1479" w:type="pct"/>
            <w:noWrap/>
            <w:vAlign w:val="center"/>
          </w:tcPr>
          <w:p w14:paraId="62FF443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vertAlign w:val="superscript"/>
              </w:rPr>
              <w:t>18</w:t>
            </w:r>
            <w:r w:rsidRPr="00B12FE0">
              <w:rPr>
                <w:color w:val="000000" w:themeColor="text1"/>
                <w:kern w:val="0"/>
                <w:sz w:val="21"/>
                <w:szCs w:val="21"/>
              </w:rPr>
              <w:t>F</w:t>
            </w:r>
            <w:r w:rsidRPr="00B12FE0">
              <w:rPr>
                <w:color w:val="000000" w:themeColor="text1"/>
                <w:kern w:val="0"/>
                <w:sz w:val="21"/>
                <w:szCs w:val="21"/>
              </w:rPr>
              <w:t>手套箱</w:t>
            </w:r>
          </w:p>
        </w:tc>
        <w:tc>
          <w:tcPr>
            <w:tcW w:w="1877" w:type="pct"/>
            <w:noWrap/>
            <w:vAlign w:val="center"/>
          </w:tcPr>
          <w:p w14:paraId="75E9DB5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40mmPb</w:t>
            </w:r>
          </w:p>
        </w:tc>
      </w:tr>
      <w:tr w:rsidR="00A67F21" w:rsidRPr="00B12FE0" w14:paraId="4846D327" w14:textId="77777777">
        <w:trPr>
          <w:trHeight w:val="272"/>
        </w:trPr>
        <w:tc>
          <w:tcPr>
            <w:tcW w:w="647" w:type="pct"/>
            <w:vMerge/>
            <w:vAlign w:val="center"/>
          </w:tcPr>
          <w:p w14:paraId="0C021AE5" w14:textId="77777777" w:rsidR="00A67F21" w:rsidRPr="00B12FE0" w:rsidRDefault="00A67F21">
            <w:pPr>
              <w:widowControl/>
              <w:jc w:val="center"/>
              <w:rPr>
                <w:color w:val="000000" w:themeColor="text1"/>
                <w:sz w:val="21"/>
                <w:szCs w:val="21"/>
              </w:rPr>
            </w:pPr>
          </w:p>
        </w:tc>
        <w:tc>
          <w:tcPr>
            <w:tcW w:w="998" w:type="pct"/>
            <w:vMerge/>
            <w:vAlign w:val="center"/>
          </w:tcPr>
          <w:p w14:paraId="47CE81D5" w14:textId="77777777" w:rsidR="00A67F21" w:rsidRPr="00B12FE0" w:rsidRDefault="00A67F21">
            <w:pPr>
              <w:widowControl/>
              <w:jc w:val="center"/>
              <w:rPr>
                <w:color w:val="000000" w:themeColor="text1"/>
                <w:sz w:val="21"/>
                <w:szCs w:val="21"/>
              </w:rPr>
            </w:pPr>
          </w:p>
        </w:tc>
        <w:tc>
          <w:tcPr>
            <w:tcW w:w="1479" w:type="pct"/>
            <w:noWrap/>
            <w:vAlign w:val="center"/>
          </w:tcPr>
          <w:p w14:paraId="58579C8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vertAlign w:val="superscript"/>
              </w:rPr>
              <w:t>99m</w:t>
            </w:r>
            <w:r w:rsidRPr="00B12FE0">
              <w:rPr>
                <w:color w:val="000000" w:themeColor="text1"/>
                <w:sz w:val="21"/>
                <w:szCs w:val="21"/>
              </w:rPr>
              <w:t>Tc</w:t>
            </w:r>
            <w:r w:rsidRPr="00B12FE0">
              <w:rPr>
                <w:color w:val="000000" w:themeColor="text1"/>
                <w:sz w:val="21"/>
                <w:szCs w:val="21"/>
              </w:rPr>
              <w:t>淋洗手套箱</w:t>
            </w:r>
          </w:p>
        </w:tc>
        <w:tc>
          <w:tcPr>
            <w:tcW w:w="1877" w:type="pct"/>
            <w:noWrap/>
            <w:vAlign w:val="center"/>
          </w:tcPr>
          <w:p w14:paraId="341C99D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20mmPb</w:t>
            </w:r>
          </w:p>
        </w:tc>
      </w:tr>
      <w:tr w:rsidR="00A67F21" w:rsidRPr="00B12FE0" w14:paraId="6F886DEB" w14:textId="77777777">
        <w:trPr>
          <w:trHeight w:val="272"/>
        </w:trPr>
        <w:tc>
          <w:tcPr>
            <w:tcW w:w="647" w:type="pct"/>
            <w:vMerge/>
            <w:vAlign w:val="center"/>
          </w:tcPr>
          <w:p w14:paraId="601F5748"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2D64566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储源室</w:t>
            </w:r>
          </w:p>
        </w:tc>
        <w:tc>
          <w:tcPr>
            <w:tcW w:w="1479" w:type="pct"/>
            <w:noWrap/>
            <w:vAlign w:val="center"/>
          </w:tcPr>
          <w:p w14:paraId="7D5265F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5D1E53F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5082DEA0" w14:textId="77777777">
        <w:trPr>
          <w:trHeight w:val="272"/>
        </w:trPr>
        <w:tc>
          <w:tcPr>
            <w:tcW w:w="647" w:type="pct"/>
            <w:vMerge/>
            <w:vAlign w:val="center"/>
          </w:tcPr>
          <w:p w14:paraId="5FEDB0E1" w14:textId="77777777" w:rsidR="00A67F21" w:rsidRPr="00B12FE0" w:rsidRDefault="00A67F21">
            <w:pPr>
              <w:widowControl/>
              <w:jc w:val="center"/>
              <w:rPr>
                <w:color w:val="000000" w:themeColor="text1"/>
                <w:sz w:val="21"/>
                <w:szCs w:val="21"/>
              </w:rPr>
            </w:pPr>
          </w:p>
        </w:tc>
        <w:tc>
          <w:tcPr>
            <w:tcW w:w="998" w:type="pct"/>
            <w:vMerge/>
            <w:vAlign w:val="center"/>
          </w:tcPr>
          <w:p w14:paraId="3CA77FC8" w14:textId="77777777" w:rsidR="00A67F21" w:rsidRPr="00B12FE0" w:rsidRDefault="00A67F21">
            <w:pPr>
              <w:widowControl/>
              <w:jc w:val="center"/>
              <w:rPr>
                <w:color w:val="000000" w:themeColor="text1"/>
                <w:sz w:val="21"/>
                <w:szCs w:val="21"/>
              </w:rPr>
            </w:pPr>
          </w:p>
        </w:tc>
        <w:tc>
          <w:tcPr>
            <w:tcW w:w="1479" w:type="pct"/>
            <w:vAlign w:val="center"/>
          </w:tcPr>
          <w:p w14:paraId="00DDDF8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5AD5A0B3"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0E974ED0" w14:textId="77777777">
        <w:trPr>
          <w:trHeight w:val="272"/>
        </w:trPr>
        <w:tc>
          <w:tcPr>
            <w:tcW w:w="647" w:type="pct"/>
            <w:vMerge/>
            <w:vAlign w:val="center"/>
          </w:tcPr>
          <w:p w14:paraId="47A37F22" w14:textId="77777777" w:rsidR="00A67F21" w:rsidRPr="00B12FE0" w:rsidRDefault="00A67F21">
            <w:pPr>
              <w:widowControl/>
              <w:jc w:val="center"/>
              <w:rPr>
                <w:color w:val="000000" w:themeColor="text1"/>
                <w:sz w:val="21"/>
                <w:szCs w:val="21"/>
              </w:rPr>
            </w:pPr>
          </w:p>
        </w:tc>
        <w:tc>
          <w:tcPr>
            <w:tcW w:w="998" w:type="pct"/>
            <w:vMerge/>
            <w:vAlign w:val="center"/>
          </w:tcPr>
          <w:p w14:paraId="6651217A" w14:textId="77777777" w:rsidR="00A67F21" w:rsidRPr="00B12FE0" w:rsidRDefault="00A67F21">
            <w:pPr>
              <w:widowControl/>
              <w:jc w:val="center"/>
              <w:rPr>
                <w:color w:val="000000" w:themeColor="text1"/>
                <w:sz w:val="21"/>
                <w:szCs w:val="21"/>
              </w:rPr>
            </w:pPr>
          </w:p>
        </w:tc>
        <w:tc>
          <w:tcPr>
            <w:tcW w:w="1479" w:type="pct"/>
            <w:noWrap/>
            <w:vAlign w:val="center"/>
          </w:tcPr>
          <w:p w14:paraId="517E354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1</w:t>
            </w:r>
            <w:r w:rsidRPr="00B12FE0">
              <w:rPr>
                <w:color w:val="000000" w:themeColor="text1"/>
                <w:kern w:val="0"/>
                <w:sz w:val="21"/>
                <w:szCs w:val="21"/>
              </w:rPr>
              <w:t>扇）</w:t>
            </w:r>
          </w:p>
        </w:tc>
        <w:tc>
          <w:tcPr>
            <w:tcW w:w="1877" w:type="pct"/>
            <w:vAlign w:val="center"/>
          </w:tcPr>
          <w:p w14:paraId="71CE336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6mm</w:t>
            </w:r>
            <w:r w:rsidRPr="00B12FE0">
              <w:rPr>
                <w:color w:val="000000" w:themeColor="text1"/>
                <w:sz w:val="21"/>
                <w:szCs w:val="21"/>
              </w:rPr>
              <w:t>铅板</w:t>
            </w:r>
          </w:p>
        </w:tc>
      </w:tr>
      <w:tr w:rsidR="00A67F21" w:rsidRPr="00B12FE0" w14:paraId="1976A716" w14:textId="77777777">
        <w:trPr>
          <w:trHeight w:val="272"/>
        </w:trPr>
        <w:tc>
          <w:tcPr>
            <w:tcW w:w="647" w:type="pct"/>
            <w:vMerge/>
            <w:vAlign w:val="center"/>
          </w:tcPr>
          <w:p w14:paraId="5DB74B37"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5BCD6C06"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固</w:t>
            </w:r>
            <w:r w:rsidRPr="00B12FE0">
              <w:rPr>
                <w:rFonts w:hint="eastAsia"/>
                <w:color w:val="000000" w:themeColor="text1"/>
                <w:kern w:val="0"/>
                <w:sz w:val="21"/>
                <w:szCs w:val="21"/>
              </w:rPr>
              <w:t>废</w:t>
            </w:r>
            <w:r w:rsidRPr="00B12FE0">
              <w:rPr>
                <w:color w:val="000000" w:themeColor="text1"/>
                <w:kern w:val="0"/>
                <w:sz w:val="21"/>
                <w:szCs w:val="21"/>
              </w:rPr>
              <w:t>间</w:t>
            </w:r>
            <w:proofErr w:type="gramEnd"/>
          </w:p>
        </w:tc>
        <w:tc>
          <w:tcPr>
            <w:tcW w:w="1479" w:type="pct"/>
            <w:noWrap/>
            <w:vAlign w:val="center"/>
          </w:tcPr>
          <w:p w14:paraId="72B6035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4BABD0D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656A012B" w14:textId="77777777">
        <w:trPr>
          <w:trHeight w:val="272"/>
        </w:trPr>
        <w:tc>
          <w:tcPr>
            <w:tcW w:w="647" w:type="pct"/>
            <w:vMerge/>
            <w:vAlign w:val="center"/>
          </w:tcPr>
          <w:p w14:paraId="77F4C391" w14:textId="77777777" w:rsidR="00A67F21" w:rsidRPr="00B12FE0" w:rsidRDefault="00A67F21">
            <w:pPr>
              <w:widowControl/>
              <w:jc w:val="center"/>
              <w:rPr>
                <w:color w:val="000000" w:themeColor="text1"/>
                <w:sz w:val="21"/>
                <w:szCs w:val="21"/>
              </w:rPr>
            </w:pPr>
          </w:p>
        </w:tc>
        <w:tc>
          <w:tcPr>
            <w:tcW w:w="998" w:type="pct"/>
            <w:vMerge/>
            <w:vAlign w:val="center"/>
          </w:tcPr>
          <w:p w14:paraId="03FF83F2" w14:textId="77777777" w:rsidR="00A67F21" w:rsidRPr="00B12FE0" w:rsidRDefault="00A67F21">
            <w:pPr>
              <w:widowControl/>
              <w:jc w:val="center"/>
              <w:rPr>
                <w:color w:val="000000" w:themeColor="text1"/>
                <w:sz w:val="21"/>
                <w:szCs w:val="21"/>
              </w:rPr>
            </w:pPr>
          </w:p>
        </w:tc>
        <w:tc>
          <w:tcPr>
            <w:tcW w:w="1479" w:type="pct"/>
            <w:vAlign w:val="center"/>
          </w:tcPr>
          <w:p w14:paraId="7C758E8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44EA23B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22A51175" w14:textId="77777777">
        <w:trPr>
          <w:trHeight w:val="272"/>
        </w:trPr>
        <w:tc>
          <w:tcPr>
            <w:tcW w:w="647" w:type="pct"/>
            <w:vMerge/>
            <w:vAlign w:val="center"/>
          </w:tcPr>
          <w:p w14:paraId="2EBBC3F6" w14:textId="77777777" w:rsidR="00A67F21" w:rsidRPr="00B12FE0" w:rsidRDefault="00A67F21">
            <w:pPr>
              <w:widowControl/>
              <w:jc w:val="center"/>
              <w:rPr>
                <w:color w:val="000000" w:themeColor="text1"/>
                <w:sz w:val="21"/>
                <w:szCs w:val="21"/>
              </w:rPr>
            </w:pPr>
          </w:p>
        </w:tc>
        <w:tc>
          <w:tcPr>
            <w:tcW w:w="998" w:type="pct"/>
            <w:vMerge/>
            <w:vAlign w:val="center"/>
          </w:tcPr>
          <w:p w14:paraId="74597913" w14:textId="77777777" w:rsidR="00A67F21" w:rsidRPr="00B12FE0" w:rsidRDefault="00A67F21">
            <w:pPr>
              <w:widowControl/>
              <w:jc w:val="center"/>
              <w:rPr>
                <w:color w:val="000000" w:themeColor="text1"/>
                <w:sz w:val="21"/>
                <w:szCs w:val="21"/>
              </w:rPr>
            </w:pPr>
          </w:p>
        </w:tc>
        <w:tc>
          <w:tcPr>
            <w:tcW w:w="1479" w:type="pct"/>
            <w:noWrap/>
            <w:vAlign w:val="center"/>
          </w:tcPr>
          <w:p w14:paraId="2786BD6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1</w:t>
            </w:r>
            <w:r w:rsidRPr="00B12FE0">
              <w:rPr>
                <w:color w:val="000000" w:themeColor="text1"/>
                <w:kern w:val="0"/>
                <w:sz w:val="21"/>
                <w:szCs w:val="21"/>
              </w:rPr>
              <w:t>扇）</w:t>
            </w:r>
          </w:p>
        </w:tc>
        <w:tc>
          <w:tcPr>
            <w:tcW w:w="1877" w:type="pct"/>
            <w:vAlign w:val="center"/>
          </w:tcPr>
          <w:p w14:paraId="771CB05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6mm</w:t>
            </w:r>
            <w:r w:rsidRPr="00B12FE0">
              <w:rPr>
                <w:color w:val="000000" w:themeColor="text1"/>
                <w:sz w:val="21"/>
                <w:szCs w:val="21"/>
              </w:rPr>
              <w:t>铅板</w:t>
            </w:r>
          </w:p>
        </w:tc>
      </w:tr>
      <w:tr w:rsidR="00A67F21" w:rsidRPr="00B12FE0" w14:paraId="3CB37782" w14:textId="77777777">
        <w:trPr>
          <w:trHeight w:val="272"/>
        </w:trPr>
        <w:tc>
          <w:tcPr>
            <w:tcW w:w="647" w:type="pct"/>
            <w:vMerge/>
            <w:vAlign w:val="center"/>
          </w:tcPr>
          <w:p w14:paraId="319B7D10" w14:textId="77777777" w:rsidR="00A67F21" w:rsidRPr="00B12FE0" w:rsidRDefault="00A67F21">
            <w:pPr>
              <w:widowControl/>
              <w:jc w:val="center"/>
              <w:rPr>
                <w:color w:val="000000" w:themeColor="text1"/>
                <w:sz w:val="21"/>
                <w:szCs w:val="21"/>
              </w:rPr>
            </w:pPr>
          </w:p>
        </w:tc>
        <w:tc>
          <w:tcPr>
            <w:tcW w:w="998" w:type="pct"/>
            <w:vMerge/>
            <w:vAlign w:val="center"/>
          </w:tcPr>
          <w:p w14:paraId="35199432" w14:textId="77777777" w:rsidR="00A67F21" w:rsidRPr="00B12FE0" w:rsidRDefault="00A67F21">
            <w:pPr>
              <w:widowControl/>
              <w:jc w:val="center"/>
              <w:rPr>
                <w:color w:val="000000" w:themeColor="text1"/>
                <w:sz w:val="21"/>
                <w:szCs w:val="21"/>
              </w:rPr>
            </w:pPr>
          </w:p>
        </w:tc>
        <w:tc>
          <w:tcPr>
            <w:tcW w:w="1479" w:type="pct"/>
            <w:noWrap/>
            <w:vAlign w:val="center"/>
          </w:tcPr>
          <w:p w14:paraId="315723A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放射性废物铅桶</w:t>
            </w:r>
          </w:p>
        </w:tc>
        <w:tc>
          <w:tcPr>
            <w:tcW w:w="1877" w:type="pct"/>
            <w:noWrap/>
            <w:vAlign w:val="center"/>
          </w:tcPr>
          <w:p w14:paraId="76FF56D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10mmPb</w:t>
            </w:r>
            <w:r w:rsidRPr="00B12FE0">
              <w:rPr>
                <w:color w:val="000000" w:themeColor="text1"/>
                <w:sz w:val="21"/>
                <w:szCs w:val="21"/>
              </w:rPr>
              <w:t>铅衰变箱</w:t>
            </w:r>
          </w:p>
        </w:tc>
      </w:tr>
      <w:tr w:rsidR="00A67F21" w:rsidRPr="00B12FE0" w14:paraId="60198603" w14:textId="77777777">
        <w:trPr>
          <w:trHeight w:val="272"/>
        </w:trPr>
        <w:tc>
          <w:tcPr>
            <w:tcW w:w="647" w:type="pct"/>
            <w:vMerge/>
            <w:vAlign w:val="center"/>
          </w:tcPr>
          <w:p w14:paraId="4BFC8460"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316F4206"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甲</w:t>
            </w:r>
            <w:r w:rsidRPr="00B12FE0">
              <w:rPr>
                <w:rFonts w:hint="eastAsia"/>
                <w:color w:val="000000" w:themeColor="text1"/>
                <w:kern w:val="0"/>
                <w:sz w:val="21"/>
                <w:szCs w:val="21"/>
              </w:rPr>
              <w:t>测</w:t>
            </w:r>
            <w:r w:rsidRPr="00B12FE0">
              <w:rPr>
                <w:color w:val="000000" w:themeColor="text1"/>
                <w:kern w:val="0"/>
                <w:sz w:val="21"/>
                <w:szCs w:val="21"/>
              </w:rPr>
              <w:t>室</w:t>
            </w:r>
            <w:proofErr w:type="gramEnd"/>
          </w:p>
        </w:tc>
        <w:tc>
          <w:tcPr>
            <w:tcW w:w="1479" w:type="pct"/>
            <w:noWrap/>
            <w:vAlign w:val="center"/>
          </w:tcPr>
          <w:p w14:paraId="1444B04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东、南、北侧墙体</w:t>
            </w:r>
          </w:p>
        </w:tc>
        <w:tc>
          <w:tcPr>
            <w:tcW w:w="1877" w:type="pct"/>
            <w:noWrap/>
            <w:vAlign w:val="center"/>
          </w:tcPr>
          <w:p w14:paraId="2A2B744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200mm</w:t>
            </w:r>
            <w:r w:rsidRPr="00B12FE0">
              <w:rPr>
                <w:color w:val="000000" w:themeColor="text1"/>
                <w:kern w:val="0"/>
                <w:sz w:val="21"/>
                <w:szCs w:val="21"/>
              </w:rPr>
              <w:t>实心砖</w:t>
            </w:r>
          </w:p>
        </w:tc>
      </w:tr>
      <w:tr w:rsidR="00A67F21" w:rsidRPr="00B12FE0" w14:paraId="6A852ACF" w14:textId="77777777">
        <w:trPr>
          <w:trHeight w:val="272"/>
        </w:trPr>
        <w:tc>
          <w:tcPr>
            <w:tcW w:w="647" w:type="pct"/>
            <w:vMerge/>
            <w:vAlign w:val="center"/>
          </w:tcPr>
          <w:p w14:paraId="4E370B56" w14:textId="77777777" w:rsidR="00A67F21" w:rsidRPr="00B12FE0" w:rsidRDefault="00A67F21">
            <w:pPr>
              <w:widowControl/>
              <w:jc w:val="center"/>
              <w:rPr>
                <w:color w:val="000000" w:themeColor="text1"/>
                <w:sz w:val="21"/>
                <w:szCs w:val="21"/>
              </w:rPr>
            </w:pPr>
          </w:p>
        </w:tc>
        <w:tc>
          <w:tcPr>
            <w:tcW w:w="998" w:type="pct"/>
            <w:vMerge/>
            <w:vAlign w:val="center"/>
          </w:tcPr>
          <w:p w14:paraId="30BAD1D0" w14:textId="77777777" w:rsidR="00A67F21" w:rsidRPr="00B12FE0" w:rsidRDefault="00A67F21">
            <w:pPr>
              <w:widowControl/>
              <w:jc w:val="center"/>
              <w:rPr>
                <w:color w:val="000000" w:themeColor="text1"/>
                <w:sz w:val="21"/>
                <w:szCs w:val="21"/>
              </w:rPr>
            </w:pPr>
          </w:p>
        </w:tc>
        <w:tc>
          <w:tcPr>
            <w:tcW w:w="1479" w:type="pct"/>
            <w:vAlign w:val="center"/>
          </w:tcPr>
          <w:p w14:paraId="0A0FDDC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西侧墙体</w:t>
            </w:r>
          </w:p>
        </w:tc>
        <w:tc>
          <w:tcPr>
            <w:tcW w:w="1877" w:type="pct"/>
            <w:noWrap/>
            <w:vAlign w:val="center"/>
          </w:tcPr>
          <w:p w14:paraId="1DBCAEA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29B61701" w14:textId="77777777">
        <w:trPr>
          <w:trHeight w:val="272"/>
        </w:trPr>
        <w:tc>
          <w:tcPr>
            <w:tcW w:w="647" w:type="pct"/>
            <w:vMerge/>
            <w:vAlign w:val="center"/>
          </w:tcPr>
          <w:p w14:paraId="11C847DB" w14:textId="77777777" w:rsidR="00A67F21" w:rsidRPr="00B12FE0" w:rsidRDefault="00A67F21">
            <w:pPr>
              <w:widowControl/>
              <w:jc w:val="center"/>
              <w:rPr>
                <w:color w:val="000000" w:themeColor="text1"/>
                <w:sz w:val="21"/>
                <w:szCs w:val="21"/>
              </w:rPr>
            </w:pPr>
          </w:p>
        </w:tc>
        <w:tc>
          <w:tcPr>
            <w:tcW w:w="998" w:type="pct"/>
            <w:vMerge/>
            <w:vAlign w:val="center"/>
          </w:tcPr>
          <w:p w14:paraId="4B794B50" w14:textId="77777777" w:rsidR="00A67F21" w:rsidRPr="00B12FE0" w:rsidRDefault="00A67F21">
            <w:pPr>
              <w:widowControl/>
              <w:jc w:val="center"/>
              <w:rPr>
                <w:color w:val="000000" w:themeColor="text1"/>
                <w:sz w:val="21"/>
                <w:szCs w:val="21"/>
              </w:rPr>
            </w:pPr>
          </w:p>
        </w:tc>
        <w:tc>
          <w:tcPr>
            <w:tcW w:w="1479" w:type="pct"/>
            <w:vAlign w:val="center"/>
          </w:tcPr>
          <w:p w14:paraId="074B231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688DF9D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2C2224D3" w14:textId="77777777">
        <w:trPr>
          <w:trHeight w:val="272"/>
        </w:trPr>
        <w:tc>
          <w:tcPr>
            <w:tcW w:w="647" w:type="pct"/>
            <w:vMerge/>
            <w:vAlign w:val="center"/>
          </w:tcPr>
          <w:p w14:paraId="499D44CC" w14:textId="77777777" w:rsidR="00A67F21" w:rsidRPr="00B12FE0" w:rsidRDefault="00A67F21">
            <w:pPr>
              <w:widowControl/>
              <w:jc w:val="center"/>
              <w:rPr>
                <w:color w:val="000000" w:themeColor="text1"/>
                <w:sz w:val="21"/>
                <w:szCs w:val="21"/>
              </w:rPr>
            </w:pPr>
          </w:p>
        </w:tc>
        <w:tc>
          <w:tcPr>
            <w:tcW w:w="998" w:type="pct"/>
            <w:vMerge/>
            <w:vAlign w:val="center"/>
          </w:tcPr>
          <w:p w14:paraId="3165323B" w14:textId="77777777" w:rsidR="00A67F21" w:rsidRPr="00B12FE0" w:rsidRDefault="00A67F21">
            <w:pPr>
              <w:widowControl/>
              <w:jc w:val="center"/>
              <w:rPr>
                <w:color w:val="000000" w:themeColor="text1"/>
                <w:sz w:val="21"/>
                <w:szCs w:val="21"/>
              </w:rPr>
            </w:pPr>
          </w:p>
        </w:tc>
        <w:tc>
          <w:tcPr>
            <w:tcW w:w="1479" w:type="pct"/>
            <w:noWrap/>
            <w:vAlign w:val="center"/>
          </w:tcPr>
          <w:p w14:paraId="1244DF6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773AF6F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r w:rsidR="00A67F21" w:rsidRPr="00B12FE0" w14:paraId="129EEAEC" w14:textId="77777777">
        <w:trPr>
          <w:trHeight w:val="272"/>
        </w:trPr>
        <w:tc>
          <w:tcPr>
            <w:tcW w:w="647" w:type="pct"/>
            <w:vMerge/>
            <w:vAlign w:val="center"/>
          </w:tcPr>
          <w:p w14:paraId="34EB6F1F" w14:textId="77777777" w:rsidR="00A67F21" w:rsidRPr="00B12FE0" w:rsidRDefault="00A67F21">
            <w:pPr>
              <w:widowControl/>
              <w:jc w:val="center"/>
              <w:rPr>
                <w:color w:val="000000" w:themeColor="text1"/>
                <w:sz w:val="21"/>
                <w:szCs w:val="21"/>
              </w:rPr>
            </w:pPr>
          </w:p>
        </w:tc>
        <w:tc>
          <w:tcPr>
            <w:tcW w:w="998" w:type="pct"/>
            <w:vMerge w:val="restart"/>
            <w:vAlign w:val="center"/>
          </w:tcPr>
          <w:p w14:paraId="4712C224" w14:textId="77777777" w:rsidR="00A67F21" w:rsidRPr="00B12FE0" w:rsidRDefault="00000000">
            <w:pPr>
              <w:widowControl/>
              <w:jc w:val="center"/>
              <w:rPr>
                <w:color w:val="000000" w:themeColor="text1"/>
                <w:sz w:val="21"/>
                <w:szCs w:val="21"/>
              </w:rPr>
            </w:pPr>
            <w:proofErr w:type="gramStart"/>
            <w:r w:rsidRPr="00B12FE0">
              <w:rPr>
                <w:color w:val="000000" w:themeColor="text1"/>
                <w:sz w:val="21"/>
                <w:szCs w:val="21"/>
              </w:rPr>
              <w:t>敷贴室</w:t>
            </w:r>
            <w:proofErr w:type="gramEnd"/>
          </w:p>
        </w:tc>
        <w:tc>
          <w:tcPr>
            <w:tcW w:w="1479" w:type="pct"/>
            <w:noWrap/>
            <w:vAlign w:val="center"/>
          </w:tcPr>
          <w:p w14:paraId="35AEBCAA"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东、北侧墙体</w:t>
            </w:r>
          </w:p>
        </w:tc>
        <w:tc>
          <w:tcPr>
            <w:tcW w:w="1877" w:type="pct"/>
            <w:vAlign w:val="center"/>
          </w:tcPr>
          <w:p w14:paraId="0B889A9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200mm</w:t>
            </w:r>
            <w:r w:rsidRPr="00B12FE0">
              <w:rPr>
                <w:color w:val="000000" w:themeColor="text1"/>
                <w:kern w:val="0"/>
                <w:sz w:val="21"/>
                <w:szCs w:val="21"/>
              </w:rPr>
              <w:t>实心砖</w:t>
            </w:r>
          </w:p>
        </w:tc>
      </w:tr>
      <w:tr w:rsidR="00A67F21" w:rsidRPr="00B12FE0" w14:paraId="5C2C0DBA" w14:textId="77777777">
        <w:trPr>
          <w:trHeight w:val="272"/>
        </w:trPr>
        <w:tc>
          <w:tcPr>
            <w:tcW w:w="647" w:type="pct"/>
            <w:vMerge/>
            <w:vAlign w:val="center"/>
          </w:tcPr>
          <w:p w14:paraId="75A71A53" w14:textId="77777777" w:rsidR="00A67F21" w:rsidRPr="00B12FE0" w:rsidRDefault="00A67F21">
            <w:pPr>
              <w:widowControl/>
              <w:jc w:val="center"/>
              <w:rPr>
                <w:color w:val="000000" w:themeColor="text1"/>
                <w:sz w:val="21"/>
                <w:szCs w:val="21"/>
              </w:rPr>
            </w:pPr>
          </w:p>
        </w:tc>
        <w:tc>
          <w:tcPr>
            <w:tcW w:w="998" w:type="pct"/>
            <w:vMerge/>
            <w:vAlign w:val="center"/>
          </w:tcPr>
          <w:p w14:paraId="26A9E401" w14:textId="77777777" w:rsidR="00A67F21" w:rsidRPr="00B12FE0" w:rsidRDefault="00A67F21">
            <w:pPr>
              <w:widowControl/>
              <w:jc w:val="center"/>
              <w:rPr>
                <w:color w:val="000000" w:themeColor="text1"/>
                <w:sz w:val="21"/>
                <w:szCs w:val="21"/>
              </w:rPr>
            </w:pPr>
          </w:p>
        </w:tc>
        <w:tc>
          <w:tcPr>
            <w:tcW w:w="1479" w:type="pct"/>
            <w:noWrap/>
            <w:vAlign w:val="center"/>
          </w:tcPr>
          <w:p w14:paraId="5E9CCBF5"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西、南侧墙体</w:t>
            </w:r>
          </w:p>
        </w:tc>
        <w:tc>
          <w:tcPr>
            <w:tcW w:w="1877" w:type="pct"/>
            <w:vAlign w:val="center"/>
          </w:tcPr>
          <w:p w14:paraId="40496EC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2F8D5435" w14:textId="77777777">
        <w:trPr>
          <w:trHeight w:val="272"/>
        </w:trPr>
        <w:tc>
          <w:tcPr>
            <w:tcW w:w="647" w:type="pct"/>
            <w:vMerge/>
            <w:vAlign w:val="center"/>
          </w:tcPr>
          <w:p w14:paraId="21178A50" w14:textId="77777777" w:rsidR="00A67F21" w:rsidRPr="00B12FE0" w:rsidRDefault="00A67F21">
            <w:pPr>
              <w:widowControl/>
              <w:jc w:val="center"/>
              <w:rPr>
                <w:color w:val="000000" w:themeColor="text1"/>
                <w:sz w:val="21"/>
                <w:szCs w:val="21"/>
              </w:rPr>
            </w:pPr>
          </w:p>
        </w:tc>
        <w:tc>
          <w:tcPr>
            <w:tcW w:w="998" w:type="pct"/>
            <w:vMerge/>
            <w:vAlign w:val="center"/>
          </w:tcPr>
          <w:p w14:paraId="1F21EE90" w14:textId="77777777" w:rsidR="00A67F21" w:rsidRPr="00B12FE0" w:rsidRDefault="00A67F21">
            <w:pPr>
              <w:widowControl/>
              <w:jc w:val="center"/>
              <w:rPr>
                <w:color w:val="000000" w:themeColor="text1"/>
                <w:sz w:val="21"/>
                <w:szCs w:val="21"/>
              </w:rPr>
            </w:pPr>
          </w:p>
        </w:tc>
        <w:tc>
          <w:tcPr>
            <w:tcW w:w="1479" w:type="pct"/>
            <w:noWrap/>
            <w:vAlign w:val="center"/>
          </w:tcPr>
          <w:p w14:paraId="73C9D96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顶棚</w:t>
            </w:r>
          </w:p>
        </w:tc>
        <w:tc>
          <w:tcPr>
            <w:tcW w:w="1877" w:type="pct"/>
            <w:vAlign w:val="center"/>
          </w:tcPr>
          <w:p w14:paraId="21A7705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540C9882" w14:textId="77777777">
        <w:trPr>
          <w:trHeight w:val="272"/>
        </w:trPr>
        <w:tc>
          <w:tcPr>
            <w:tcW w:w="647" w:type="pct"/>
            <w:vMerge/>
            <w:vAlign w:val="center"/>
          </w:tcPr>
          <w:p w14:paraId="5BE43B3C" w14:textId="77777777" w:rsidR="00A67F21" w:rsidRPr="00B12FE0" w:rsidRDefault="00A67F21">
            <w:pPr>
              <w:widowControl/>
              <w:jc w:val="center"/>
              <w:rPr>
                <w:color w:val="000000" w:themeColor="text1"/>
                <w:sz w:val="21"/>
                <w:szCs w:val="21"/>
              </w:rPr>
            </w:pPr>
          </w:p>
        </w:tc>
        <w:tc>
          <w:tcPr>
            <w:tcW w:w="998" w:type="pct"/>
            <w:vMerge/>
            <w:vAlign w:val="center"/>
          </w:tcPr>
          <w:p w14:paraId="5DC15FA9" w14:textId="77777777" w:rsidR="00A67F21" w:rsidRPr="00B12FE0" w:rsidRDefault="00A67F21">
            <w:pPr>
              <w:widowControl/>
              <w:jc w:val="center"/>
              <w:rPr>
                <w:color w:val="000000" w:themeColor="text1"/>
                <w:sz w:val="21"/>
                <w:szCs w:val="21"/>
              </w:rPr>
            </w:pPr>
          </w:p>
        </w:tc>
        <w:tc>
          <w:tcPr>
            <w:tcW w:w="1479" w:type="pct"/>
            <w:noWrap/>
            <w:vAlign w:val="center"/>
          </w:tcPr>
          <w:p w14:paraId="5E7FC1B1"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6636815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r w:rsidR="00A67F21" w:rsidRPr="00B12FE0" w14:paraId="108301B6" w14:textId="77777777">
        <w:trPr>
          <w:trHeight w:val="272"/>
        </w:trPr>
        <w:tc>
          <w:tcPr>
            <w:tcW w:w="647" w:type="pct"/>
            <w:vMerge/>
            <w:vAlign w:val="center"/>
          </w:tcPr>
          <w:p w14:paraId="02438C05"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745F58A8"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注射区</w:t>
            </w:r>
            <w:proofErr w:type="gramEnd"/>
          </w:p>
        </w:tc>
        <w:tc>
          <w:tcPr>
            <w:tcW w:w="1479" w:type="pct"/>
            <w:noWrap/>
            <w:vAlign w:val="center"/>
          </w:tcPr>
          <w:p w14:paraId="08D911C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0A8AF91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2E348EBE" w14:textId="77777777">
        <w:trPr>
          <w:trHeight w:val="272"/>
        </w:trPr>
        <w:tc>
          <w:tcPr>
            <w:tcW w:w="647" w:type="pct"/>
            <w:vMerge/>
            <w:vAlign w:val="center"/>
          </w:tcPr>
          <w:p w14:paraId="0CE55D7D" w14:textId="77777777" w:rsidR="00A67F21" w:rsidRPr="00B12FE0" w:rsidRDefault="00A67F21">
            <w:pPr>
              <w:widowControl/>
              <w:jc w:val="center"/>
              <w:rPr>
                <w:color w:val="000000" w:themeColor="text1"/>
                <w:sz w:val="21"/>
                <w:szCs w:val="21"/>
              </w:rPr>
            </w:pPr>
          </w:p>
        </w:tc>
        <w:tc>
          <w:tcPr>
            <w:tcW w:w="998" w:type="pct"/>
            <w:vMerge/>
            <w:vAlign w:val="center"/>
          </w:tcPr>
          <w:p w14:paraId="56404AFE" w14:textId="77777777" w:rsidR="00A67F21" w:rsidRPr="00B12FE0" w:rsidRDefault="00A67F21">
            <w:pPr>
              <w:widowControl/>
              <w:jc w:val="center"/>
              <w:rPr>
                <w:color w:val="000000" w:themeColor="text1"/>
                <w:sz w:val="21"/>
                <w:szCs w:val="21"/>
              </w:rPr>
            </w:pPr>
          </w:p>
        </w:tc>
        <w:tc>
          <w:tcPr>
            <w:tcW w:w="1479" w:type="pct"/>
            <w:vAlign w:val="center"/>
          </w:tcPr>
          <w:p w14:paraId="7B89D02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71037F3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11AA3001" w14:textId="77777777">
        <w:trPr>
          <w:trHeight w:val="90"/>
        </w:trPr>
        <w:tc>
          <w:tcPr>
            <w:tcW w:w="647" w:type="pct"/>
            <w:vMerge/>
            <w:vAlign w:val="center"/>
          </w:tcPr>
          <w:p w14:paraId="3154CB31" w14:textId="77777777" w:rsidR="00A67F21" w:rsidRPr="00B12FE0" w:rsidRDefault="00A67F21">
            <w:pPr>
              <w:widowControl/>
              <w:jc w:val="center"/>
              <w:rPr>
                <w:color w:val="000000" w:themeColor="text1"/>
                <w:sz w:val="21"/>
                <w:szCs w:val="21"/>
              </w:rPr>
            </w:pPr>
          </w:p>
        </w:tc>
        <w:tc>
          <w:tcPr>
            <w:tcW w:w="998" w:type="pct"/>
            <w:vMerge/>
            <w:vAlign w:val="center"/>
          </w:tcPr>
          <w:p w14:paraId="1D03EB2C" w14:textId="77777777" w:rsidR="00A67F21" w:rsidRPr="00B12FE0" w:rsidRDefault="00A67F21">
            <w:pPr>
              <w:widowControl/>
              <w:jc w:val="center"/>
              <w:rPr>
                <w:color w:val="000000" w:themeColor="text1"/>
                <w:sz w:val="21"/>
                <w:szCs w:val="21"/>
              </w:rPr>
            </w:pPr>
          </w:p>
        </w:tc>
        <w:tc>
          <w:tcPr>
            <w:tcW w:w="1479" w:type="pct"/>
            <w:vAlign w:val="center"/>
          </w:tcPr>
          <w:p w14:paraId="3A61BEB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PET</w:t>
            </w:r>
            <w:r w:rsidRPr="00B12FE0">
              <w:rPr>
                <w:color w:val="000000" w:themeColor="text1"/>
                <w:kern w:val="0"/>
                <w:sz w:val="21"/>
                <w:szCs w:val="21"/>
              </w:rPr>
              <w:t>注射窗</w:t>
            </w:r>
          </w:p>
        </w:tc>
        <w:tc>
          <w:tcPr>
            <w:tcW w:w="1877" w:type="pct"/>
            <w:vAlign w:val="center"/>
          </w:tcPr>
          <w:p w14:paraId="52DD5F9F"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40mmPb</w:t>
            </w:r>
            <w:r w:rsidRPr="00B12FE0">
              <w:rPr>
                <w:color w:val="000000" w:themeColor="text1"/>
                <w:sz w:val="21"/>
                <w:szCs w:val="21"/>
              </w:rPr>
              <w:t>铅玻璃</w:t>
            </w:r>
          </w:p>
        </w:tc>
      </w:tr>
      <w:tr w:rsidR="00A67F21" w:rsidRPr="00B12FE0" w14:paraId="1315F454" w14:textId="77777777">
        <w:trPr>
          <w:trHeight w:val="272"/>
        </w:trPr>
        <w:tc>
          <w:tcPr>
            <w:tcW w:w="647" w:type="pct"/>
            <w:vMerge/>
            <w:vAlign w:val="center"/>
          </w:tcPr>
          <w:p w14:paraId="490056A7" w14:textId="77777777" w:rsidR="00A67F21" w:rsidRPr="00B12FE0" w:rsidRDefault="00A67F21">
            <w:pPr>
              <w:widowControl/>
              <w:jc w:val="center"/>
              <w:rPr>
                <w:color w:val="000000" w:themeColor="text1"/>
                <w:sz w:val="21"/>
                <w:szCs w:val="21"/>
              </w:rPr>
            </w:pPr>
          </w:p>
        </w:tc>
        <w:tc>
          <w:tcPr>
            <w:tcW w:w="998" w:type="pct"/>
            <w:vMerge/>
            <w:vAlign w:val="center"/>
          </w:tcPr>
          <w:p w14:paraId="2D0918AA" w14:textId="77777777" w:rsidR="00A67F21" w:rsidRPr="00B12FE0" w:rsidRDefault="00A67F21">
            <w:pPr>
              <w:widowControl/>
              <w:jc w:val="center"/>
              <w:rPr>
                <w:color w:val="000000" w:themeColor="text1"/>
                <w:sz w:val="21"/>
                <w:szCs w:val="21"/>
              </w:rPr>
            </w:pPr>
          </w:p>
        </w:tc>
        <w:tc>
          <w:tcPr>
            <w:tcW w:w="1479" w:type="pct"/>
            <w:vAlign w:val="center"/>
          </w:tcPr>
          <w:p w14:paraId="5103FCF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ECT</w:t>
            </w:r>
            <w:r w:rsidRPr="00B12FE0">
              <w:rPr>
                <w:color w:val="000000" w:themeColor="text1"/>
                <w:kern w:val="0"/>
                <w:sz w:val="21"/>
                <w:szCs w:val="21"/>
              </w:rPr>
              <w:t>注射窗</w:t>
            </w:r>
          </w:p>
        </w:tc>
        <w:tc>
          <w:tcPr>
            <w:tcW w:w="1877" w:type="pct"/>
            <w:vAlign w:val="center"/>
          </w:tcPr>
          <w:p w14:paraId="210D377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20mmPb</w:t>
            </w:r>
            <w:r w:rsidRPr="00B12FE0">
              <w:rPr>
                <w:color w:val="000000" w:themeColor="text1"/>
                <w:sz w:val="21"/>
                <w:szCs w:val="21"/>
              </w:rPr>
              <w:t>铅玻璃</w:t>
            </w:r>
          </w:p>
        </w:tc>
      </w:tr>
      <w:tr w:rsidR="00A67F21" w:rsidRPr="00B12FE0" w14:paraId="5F6B7FE5" w14:textId="77777777">
        <w:trPr>
          <w:trHeight w:val="272"/>
        </w:trPr>
        <w:tc>
          <w:tcPr>
            <w:tcW w:w="647" w:type="pct"/>
            <w:vMerge/>
            <w:vAlign w:val="center"/>
          </w:tcPr>
          <w:p w14:paraId="4C4AE60C" w14:textId="77777777" w:rsidR="00A67F21" w:rsidRPr="00B12FE0" w:rsidRDefault="00A67F21">
            <w:pPr>
              <w:widowControl/>
              <w:jc w:val="center"/>
              <w:rPr>
                <w:color w:val="000000" w:themeColor="text1"/>
                <w:sz w:val="21"/>
                <w:szCs w:val="21"/>
              </w:rPr>
            </w:pPr>
          </w:p>
        </w:tc>
        <w:tc>
          <w:tcPr>
            <w:tcW w:w="998" w:type="pct"/>
            <w:vMerge w:val="restart"/>
            <w:vAlign w:val="center"/>
          </w:tcPr>
          <w:p w14:paraId="706848A7" w14:textId="77777777" w:rsidR="00A67F21" w:rsidRPr="00B12FE0" w:rsidRDefault="00000000">
            <w:pPr>
              <w:widowControl/>
              <w:jc w:val="center"/>
              <w:rPr>
                <w:color w:val="000000" w:themeColor="text1"/>
                <w:sz w:val="21"/>
                <w:szCs w:val="21"/>
              </w:rPr>
            </w:pPr>
            <w:proofErr w:type="gramStart"/>
            <w:r w:rsidRPr="00B12FE0">
              <w:rPr>
                <w:color w:val="000000" w:themeColor="text1"/>
                <w:kern w:val="0"/>
                <w:sz w:val="21"/>
                <w:szCs w:val="21"/>
              </w:rPr>
              <w:t>服碘室</w:t>
            </w:r>
            <w:proofErr w:type="gramEnd"/>
          </w:p>
        </w:tc>
        <w:tc>
          <w:tcPr>
            <w:tcW w:w="1479" w:type="pct"/>
            <w:vAlign w:val="center"/>
          </w:tcPr>
          <w:p w14:paraId="6BB816E4" w14:textId="77777777" w:rsidR="00A67F21" w:rsidRPr="00B12FE0" w:rsidRDefault="00000000">
            <w:pPr>
              <w:widowControl/>
              <w:jc w:val="center"/>
              <w:textAlignment w:val="center"/>
              <w:rPr>
                <w:color w:val="000000" w:themeColor="text1"/>
                <w:kern w:val="0"/>
                <w:sz w:val="21"/>
                <w:szCs w:val="21"/>
              </w:rPr>
            </w:pPr>
            <w:proofErr w:type="gramStart"/>
            <w:r w:rsidRPr="00B12FE0">
              <w:rPr>
                <w:color w:val="000000" w:themeColor="text1"/>
                <w:kern w:val="0"/>
                <w:sz w:val="21"/>
                <w:szCs w:val="21"/>
              </w:rPr>
              <w:t>服碘窗口</w:t>
            </w:r>
            <w:proofErr w:type="gramEnd"/>
          </w:p>
        </w:tc>
        <w:tc>
          <w:tcPr>
            <w:tcW w:w="1877" w:type="pct"/>
            <w:vAlign w:val="center"/>
          </w:tcPr>
          <w:p w14:paraId="10531C2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30mmPb</w:t>
            </w:r>
          </w:p>
        </w:tc>
      </w:tr>
      <w:tr w:rsidR="00A67F21" w:rsidRPr="00B12FE0" w14:paraId="1CE5B25E" w14:textId="77777777">
        <w:trPr>
          <w:trHeight w:val="272"/>
        </w:trPr>
        <w:tc>
          <w:tcPr>
            <w:tcW w:w="647" w:type="pct"/>
            <w:vMerge/>
            <w:vAlign w:val="center"/>
          </w:tcPr>
          <w:p w14:paraId="3A1666D5" w14:textId="77777777" w:rsidR="00A67F21" w:rsidRPr="00B12FE0" w:rsidRDefault="00A67F21">
            <w:pPr>
              <w:widowControl/>
              <w:jc w:val="center"/>
              <w:rPr>
                <w:color w:val="000000" w:themeColor="text1"/>
                <w:sz w:val="21"/>
                <w:szCs w:val="21"/>
              </w:rPr>
            </w:pPr>
          </w:p>
        </w:tc>
        <w:tc>
          <w:tcPr>
            <w:tcW w:w="998" w:type="pct"/>
            <w:vMerge/>
            <w:vAlign w:val="center"/>
          </w:tcPr>
          <w:p w14:paraId="0873CFC6" w14:textId="77777777" w:rsidR="00A67F21" w:rsidRPr="00B12FE0" w:rsidRDefault="00A67F21">
            <w:pPr>
              <w:widowControl/>
              <w:jc w:val="center"/>
              <w:rPr>
                <w:color w:val="000000" w:themeColor="text1"/>
                <w:sz w:val="21"/>
                <w:szCs w:val="21"/>
              </w:rPr>
            </w:pPr>
          </w:p>
        </w:tc>
        <w:tc>
          <w:tcPr>
            <w:tcW w:w="1479" w:type="pct"/>
            <w:vAlign w:val="center"/>
          </w:tcPr>
          <w:p w14:paraId="5DF6A2F7"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四侧墙体</w:t>
            </w:r>
          </w:p>
        </w:tc>
        <w:tc>
          <w:tcPr>
            <w:tcW w:w="1877" w:type="pct"/>
            <w:vAlign w:val="center"/>
          </w:tcPr>
          <w:p w14:paraId="59D6B4D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4EE08FF1" w14:textId="77777777">
        <w:trPr>
          <w:trHeight w:val="272"/>
        </w:trPr>
        <w:tc>
          <w:tcPr>
            <w:tcW w:w="647" w:type="pct"/>
            <w:vMerge/>
            <w:vAlign w:val="center"/>
          </w:tcPr>
          <w:p w14:paraId="32F89472" w14:textId="77777777" w:rsidR="00A67F21" w:rsidRPr="00B12FE0" w:rsidRDefault="00A67F21">
            <w:pPr>
              <w:widowControl/>
              <w:jc w:val="center"/>
              <w:rPr>
                <w:color w:val="000000" w:themeColor="text1"/>
                <w:sz w:val="21"/>
                <w:szCs w:val="21"/>
              </w:rPr>
            </w:pPr>
          </w:p>
        </w:tc>
        <w:tc>
          <w:tcPr>
            <w:tcW w:w="998" w:type="pct"/>
            <w:vMerge/>
            <w:vAlign w:val="center"/>
          </w:tcPr>
          <w:p w14:paraId="05639A28" w14:textId="77777777" w:rsidR="00A67F21" w:rsidRPr="00B12FE0" w:rsidRDefault="00A67F21">
            <w:pPr>
              <w:widowControl/>
              <w:jc w:val="center"/>
              <w:rPr>
                <w:color w:val="000000" w:themeColor="text1"/>
                <w:sz w:val="21"/>
                <w:szCs w:val="21"/>
              </w:rPr>
            </w:pPr>
          </w:p>
        </w:tc>
        <w:tc>
          <w:tcPr>
            <w:tcW w:w="1479" w:type="pct"/>
            <w:vAlign w:val="center"/>
          </w:tcPr>
          <w:p w14:paraId="591DA19C"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顶棚</w:t>
            </w:r>
          </w:p>
        </w:tc>
        <w:tc>
          <w:tcPr>
            <w:tcW w:w="1877" w:type="pct"/>
            <w:vAlign w:val="center"/>
          </w:tcPr>
          <w:p w14:paraId="60CDB68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4005A208" w14:textId="77777777">
        <w:trPr>
          <w:trHeight w:val="272"/>
        </w:trPr>
        <w:tc>
          <w:tcPr>
            <w:tcW w:w="647" w:type="pct"/>
            <w:vMerge/>
            <w:vAlign w:val="center"/>
          </w:tcPr>
          <w:p w14:paraId="17FEF927" w14:textId="77777777" w:rsidR="00A67F21" w:rsidRPr="00B12FE0" w:rsidRDefault="00A67F21">
            <w:pPr>
              <w:widowControl/>
              <w:jc w:val="center"/>
              <w:rPr>
                <w:color w:val="000000" w:themeColor="text1"/>
                <w:sz w:val="21"/>
                <w:szCs w:val="21"/>
              </w:rPr>
            </w:pPr>
          </w:p>
        </w:tc>
        <w:tc>
          <w:tcPr>
            <w:tcW w:w="998" w:type="pct"/>
            <w:vMerge/>
            <w:vAlign w:val="center"/>
          </w:tcPr>
          <w:p w14:paraId="2BA91686" w14:textId="77777777" w:rsidR="00A67F21" w:rsidRPr="00B12FE0" w:rsidRDefault="00A67F21">
            <w:pPr>
              <w:widowControl/>
              <w:jc w:val="center"/>
              <w:rPr>
                <w:color w:val="000000" w:themeColor="text1"/>
                <w:sz w:val="21"/>
                <w:szCs w:val="21"/>
              </w:rPr>
            </w:pPr>
          </w:p>
        </w:tc>
        <w:tc>
          <w:tcPr>
            <w:tcW w:w="1479" w:type="pct"/>
            <w:vAlign w:val="center"/>
          </w:tcPr>
          <w:p w14:paraId="10D1E5DA"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防护门（</w:t>
            </w:r>
            <w:r w:rsidRPr="00B12FE0">
              <w:rPr>
                <w:color w:val="000000" w:themeColor="text1"/>
                <w:kern w:val="0"/>
                <w:sz w:val="21"/>
                <w:szCs w:val="21"/>
              </w:rPr>
              <w:t>1</w:t>
            </w:r>
            <w:r w:rsidRPr="00B12FE0">
              <w:rPr>
                <w:color w:val="000000" w:themeColor="text1"/>
                <w:kern w:val="0"/>
                <w:sz w:val="21"/>
                <w:szCs w:val="21"/>
              </w:rPr>
              <w:t>扇）</w:t>
            </w:r>
          </w:p>
        </w:tc>
        <w:tc>
          <w:tcPr>
            <w:tcW w:w="1877" w:type="pct"/>
            <w:vAlign w:val="center"/>
          </w:tcPr>
          <w:p w14:paraId="5F6BA77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内衬</w:t>
            </w:r>
            <w:r w:rsidRPr="00B12FE0">
              <w:rPr>
                <w:color w:val="000000" w:themeColor="text1"/>
                <w:kern w:val="0"/>
                <w:sz w:val="21"/>
                <w:szCs w:val="21"/>
              </w:rPr>
              <w:t>6mm</w:t>
            </w:r>
            <w:r w:rsidRPr="00B12FE0">
              <w:rPr>
                <w:color w:val="000000" w:themeColor="text1"/>
                <w:kern w:val="0"/>
                <w:sz w:val="21"/>
                <w:szCs w:val="21"/>
              </w:rPr>
              <w:t>铅板</w:t>
            </w:r>
          </w:p>
        </w:tc>
      </w:tr>
      <w:tr w:rsidR="00A67F21" w:rsidRPr="00B12FE0" w14:paraId="7A328128" w14:textId="77777777">
        <w:trPr>
          <w:trHeight w:val="272"/>
        </w:trPr>
        <w:tc>
          <w:tcPr>
            <w:tcW w:w="647" w:type="pct"/>
            <w:vMerge/>
            <w:vAlign w:val="center"/>
          </w:tcPr>
          <w:p w14:paraId="3325E027"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4F150A7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运动负荷室</w:t>
            </w:r>
          </w:p>
        </w:tc>
        <w:tc>
          <w:tcPr>
            <w:tcW w:w="1479" w:type="pct"/>
            <w:noWrap/>
            <w:vAlign w:val="center"/>
          </w:tcPr>
          <w:p w14:paraId="753E557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7361637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4DBBAF90" w14:textId="77777777">
        <w:trPr>
          <w:trHeight w:val="272"/>
        </w:trPr>
        <w:tc>
          <w:tcPr>
            <w:tcW w:w="647" w:type="pct"/>
            <w:vMerge/>
            <w:vAlign w:val="center"/>
          </w:tcPr>
          <w:p w14:paraId="7E91D822" w14:textId="77777777" w:rsidR="00A67F21" w:rsidRPr="00B12FE0" w:rsidRDefault="00A67F21">
            <w:pPr>
              <w:widowControl/>
              <w:jc w:val="center"/>
              <w:rPr>
                <w:color w:val="000000" w:themeColor="text1"/>
                <w:sz w:val="21"/>
                <w:szCs w:val="21"/>
              </w:rPr>
            </w:pPr>
          </w:p>
        </w:tc>
        <w:tc>
          <w:tcPr>
            <w:tcW w:w="998" w:type="pct"/>
            <w:vMerge/>
            <w:vAlign w:val="center"/>
          </w:tcPr>
          <w:p w14:paraId="3C1D9340" w14:textId="77777777" w:rsidR="00A67F21" w:rsidRPr="00B12FE0" w:rsidRDefault="00A67F21">
            <w:pPr>
              <w:widowControl/>
              <w:jc w:val="center"/>
              <w:rPr>
                <w:color w:val="000000" w:themeColor="text1"/>
                <w:sz w:val="21"/>
                <w:szCs w:val="21"/>
              </w:rPr>
            </w:pPr>
          </w:p>
        </w:tc>
        <w:tc>
          <w:tcPr>
            <w:tcW w:w="1479" w:type="pct"/>
            <w:vAlign w:val="center"/>
          </w:tcPr>
          <w:p w14:paraId="55A6E4A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7E9FA64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60B952BE" w14:textId="77777777">
        <w:trPr>
          <w:trHeight w:val="272"/>
        </w:trPr>
        <w:tc>
          <w:tcPr>
            <w:tcW w:w="647" w:type="pct"/>
            <w:vMerge/>
            <w:vAlign w:val="center"/>
          </w:tcPr>
          <w:p w14:paraId="344B0E31" w14:textId="77777777" w:rsidR="00A67F21" w:rsidRPr="00B12FE0" w:rsidRDefault="00A67F21">
            <w:pPr>
              <w:widowControl/>
              <w:jc w:val="center"/>
              <w:rPr>
                <w:color w:val="000000" w:themeColor="text1"/>
                <w:sz w:val="21"/>
                <w:szCs w:val="21"/>
              </w:rPr>
            </w:pPr>
          </w:p>
        </w:tc>
        <w:tc>
          <w:tcPr>
            <w:tcW w:w="998" w:type="pct"/>
            <w:vMerge/>
            <w:vAlign w:val="center"/>
          </w:tcPr>
          <w:p w14:paraId="3E6C3056" w14:textId="77777777" w:rsidR="00A67F21" w:rsidRPr="00B12FE0" w:rsidRDefault="00A67F21">
            <w:pPr>
              <w:widowControl/>
              <w:jc w:val="center"/>
              <w:rPr>
                <w:color w:val="000000" w:themeColor="text1"/>
                <w:sz w:val="21"/>
                <w:szCs w:val="21"/>
              </w:rPr>
            </w:pPr>
          </w:p>
        </w:tc>
        <w:tc>
          <w:tcPr>
            <w:tcW w:w="1479" w:type="pct"/>
            <w:noWrap/>
            <w:vAlign w:val="center"/>
          </w:tcPr>
          <w:p w14:paraId="5787387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防护门（</w:t>
            </w:r>
            <w:r w:rsidRPr="00B12FE0">
              <w:rPr>
                <w:color w:val="000000" w:themeColor="text1"/>
                <w:sz w:val="21"/>
                <w:szCs w:val="21"/>
              </w:rPr>
              <w:t>2</w:t>
            </w:r>
            <w:r w:rsidRPr="00B12FE0">
              <w:rPr>
                <w:color w:val="000000" w:themeColor="text1"/>
                <w:sz w:val="21"/>
                <w:szCs w:val="21"/>
              </w:rPr>
              <w:t>扇）</w:t>
            </w:r>
          </w:p>
        </w:tc>
        <w:tc>
          <w:tcPr>
            <w:tcW w:w="1877" w:type="pct"/>
            <w:noWrap/>
            <w:vAlign w:val="center"/>
          </w:tcPr>
          <w:p w14:paraId="798E3CA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3E5FDECF" w14:textId="77777777">
        <w:trPr>
          <w:trHeight w:val="272"/>
        </w:trPr>
        <w:tc>
          <w:tcPr>
            <w:tcW w:w="647" w:type="pct"/>
            <w:vMerge/>
            <w:vAlign w:val="center"/>
          </w:tcPr>
          <w:p w14:paraId="40A823E8" w14:textId="77777777" w:rsidR="00A67F21" w:rsidRPr="00B12FE0" w:rsidRDefault="00A67F21">
            <w:pPr>
              <w:widowControl/>
              <w:jc w:val="center"/>
              <w:rPr>
                <w:color w:val="000000" w:themeColor="text1"/>
                <w:sz w:val="21"/>
                <w:szCs w:val="21"/>
              </w:rPr>
            </w:pPr>
          </w:p>
        </w:tc>
        <w:tc>
          <w:tcPr>
            <w:tcW w:w="998" w:type="pct"/>
            <w:vMerge w:val="restart"/>
            <w:vAlign w:val="center"/>
          </w:tcPr>
          <w:p w14:paraId="0D764FCE" w14:textId="77777777" w:rsidR="00A67F21" w:rsidRPr="00B12FE0" w:rsidRDefault="00000000">
            <w:pPr>
              <w:widowControl/>
              <w:jc w:val="center"/>
              <w:rPr>
                <w:color w:val="000000" w:themeColor="text1"/>
                <w:sz w:val="21"/>
                <w:szCs w:val="21"/>
              </w:rPr>
            </w:pPr>
            <w:r w:rsidRPr="00B12FE0">
              <w:rPr>
                <w:color w:val="000000" w:themeColor="text1"/>
                <w:sz w:val="21"/>
                <w:szCs w:val="21"/>
              </w:rPr>
              <w:t>抢救室</w:t>
            </w:r>
          </w:p>
        </w:tc>
        <w:tc>
          <w:tcPr>
            <w:tcW w:w="1479" w:type="pct"/>
            <w:noWrap/>
            <w:vAlign w:val="center"/>
          </w:tcPr>
          <w:p w14:paraId="0EE0411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东、西</w:t>
            </w:r>
            <w:r w:rsidRPr="00B12FE0">
              <w:rPr>
                <w:rFonts w:hint="eastAsia"/>
                <w:color w:val="000000" w:themeColor="text1"/>
                <w:sz w:val="21"/>
                <w:szCs w:val="21"/>
              </w:rPr>
              <w:t>、</w:t>
            </w:r>
            <w:r w:rsidRPr="00B12FE0">
              <w:rPr>
                <w:color w:val="000000" w:themeColor="text1"/>
                <w:sz w:val="21"/>
                <w:szCs w:val="21"/>
              </w:rPr>
              <w:t>北侧墙体</w:t>
            </w:r>
          </w:p>
        </w:tc>
        <w:tc>
          <w:tcPr>
            <w:tcW w:w="1877" w:type="pct"/>
            <w:noWrap/>
            <w:vAlign w:val="center"/>
          </w:tcPr>
          <w:p w14:paraId="4C2EE6F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42922351" w14:textId="77777777">
        <w:trPr>
          <w:trHeight w:val="272"/>
        </w:trPr>
        <w:tc>
          <w:tcPr>
            <w:tcW w:w="647" w:type="pct"/>
            <w:vMerge/>
            <w:vAlign w:val="center"/>
          </w:tcPr>
          <w:p w14:paraId="7EF38ACE" w14:textId="77777777" w:rsidR="00A67F21" w:rsidRPr="00B12FE0" w:rsidRDefault="00A67F21">
            <w:pPr>
              <w:widowControl/>
              <w:jc w:val="center"/>
              <w:rPr>
                <w:color w:val="000000" w:themeColor="text1"/>
                <w:sz w:val="21"/>
                <w:szCs w:val="21"/>
              </w:rPr>
            </w:pPr>
          </w:p>
        </w:tc>
        <w:tc>
          <w:tcPr>
            <w:tcW w:w="998" w:type="pct"/>
            <w:vMerge/>
            <w:vAlign w:val="center"/>
          </w:tcPr>
          <w:p w14:paraId="6020F858" w14:textId="77777777" w:rsidR="00A67F21" w:rsidRPr="00B12FE0" w:rsidRDefault="00A67F21">
            <w:pPr>
              <w:widowControl/>
              <w:jc w:val="center"/>
              <w:rPr>
                <w:color w:val="000000" w:themeColor="text1"/>
                <w:sz w:val="21"/>
                <w:szCs w:val="21"/>
              </w:rPr>
            </w:pPr>
          </w:p>
        </w:tc>
        <w:tc>
          <w:tcPr>
            <w:tcW w:w="1479" w:type="pct"/>
            <w:noWrap/>
            <w:vAlign w:val="center"/>
          </w:tcPr>
          <w:p w14:paraId="6BE43D6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南侧墙体</w:t>
            </w:r>
          </w:p>
        </w:tc>
        <w:tc>
          <w:tcPr>
            <w:tcW w:w="1877" w:type="pct"/>
            <w:noWrap/>
            <w:vAlign w:val="center"/>
          </w:tcPr>
          <w:p w14:paraId="2E13A44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 mm</w:t>
            </w:r>
            <w:r w:rsidRPr="00B12FE0">
              <w:rPr>
                <w:color w:val="000000" w:themeColor="text1"/>
                <w:kern w:val="0"/>
                <w:sz w:val="21"/>
                <w:szCs w:val="21"/>
              </w:rPr>
              <w:t>实心砖</w:t>
            </w:r>
          </w:p>
        </w:tc>
      </w:tr>
      <w:tr w:rsidR="00A67F21" w:rsidRPr="00B12FE0" w14:paraId="0E3437BE" w14:textId="77777777">
        <w:trPr>
          <w:trHeight w:val="272"/>
        </w:trPr>
        <w:tc>
          <w:tcPr>
            <w:tcW w:w="647" w:type="pct"/>
            <w:vMerge/>
            <w:vAlign w:val="center"/>
          </w:tcPr>
          <w:p w14:paraId="7B61A700" w14:textId="77777777" w:rsidR="00A67F21" w:rsidRPr="00B12FE0" w:rsidRDefault="00A67F21">
            <w:pPr>
              <w:widowControl/>
              <w:jc w:val="center"/>
              <w:rPr>
                <w:color w:val="000000" w:themeColor="text1"/>
                <w:sz w:val="21"/>
                <w:szCs w:val="21"/>
              </w:rPr>
            </w:pPr>
          </w:p>
        </w:tc>
        <w:tc>
          <w:tcPr>
            <w:tcW w:w="998" w:type="pct"/>
            <w:vMerge/>
            <w:vAlign w:val="center"/>
          </w:tcPr>
          <w:p w14:paraId="6C509D43" w14:textId="77777777" w:rsidR="00A67F21" w:rsidRPr="00B12FE0" w:rsidRDefault="00A67F21">
            <w:pPr>
              <w:widowControl/>
              <w:jc w:val="center"/>
              <w:rPr>
                <w:color w:val="000000" w:themeColor="text1"/>
                <w:sz w:val="21"/>
                <w:szCs w:val="21"/>
              </w:rPr>
            </w:pPr>
          </w:p>
        </w:tc>
        <w:tc>
          <w:tcPr>
            <w:tcW w:w="1479" w:type="pct"/>
            <w:noWrap/>
            <w:vAlign w:val="center"/>
          </w:tcPr>
          <w:p w14:paraId="6BAE13B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10364CF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495A09B7" w14:textId="77777777">
        <w:trPr>
          <w:trHeight w:val="272"/>
        </w:trPr>
        <w:tc>
          <w:tcPr>
            <w:tcW w:w="647" w:type="pct"/>
            <w:vMerge/>
            <w:vAlign w:val="center"/>
          </w:tcPr>
          <w:p w14:paraId="044B1F7C" w14:textId="77777777" w:rsidR="00A67F21" w:rsidRPr="00B12FE0" w:rsidRDefault="00A67F21">
            <w:pPr>
              <w:widowControl/>
              <w:jc w:val="center"/>
              <w:rPr>
                <w:color w:val="000000" w:themeColor="text1"/>
                <w:sz w:val="21"/>
                <w:szCs w:val="21"/>
              </w:rPr>
            </w:pPr>
          </w:p>
        </w:tc>
        <w:tc>
          <w:tcPr>
            <w:tcW w:w="998" w:type="pct"/>
            <w:vMerge/>
            <w:vAlign w:val="center"/>
          </w:tcPr>
          <w:p w14:paraId="51039902" w14:textId="77777777" w:rsidR="00A67F21" w:rsidRPr="00B12FE0" w:rsidRDefault="00A67F21">
            <w:pPr>
              <w:widowControl/>
              <w:jc w:val="center"/>
              <w:rPr>
                <w:color w:val="000000" w:themeColor="text1"/>
                <w:sz w:val="21"/>
                <w:szCs w:val="21"/>
              </w:rPr>
            </w:pPr>
          </w:p>
        </w:tc>
        <w:tc>
          <w:tcPr>
            <w:tcW w:w="1479" w:type="pct"/>
            <w:noWrap/>
            <w:vAlign w:val="center"/>
          </w:tcPr>
          <w:p w14:paraId="1211CE13"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防护门（</w:t>
            </w:r>
            <w:r w:rsidRPr="00B12FE0">
              <w:rPr>
                <w:color w:val="000000" w:themeColor="text1"/>
                <w:sz w:val="21"/>
                <w:szCs w:val="21"/>
              </w:rPr>
              <w:t>1</w:t>
            </w:r>
            <w:r w:rsidRPr="00B12FE0">
              <w:rPr>
                <w:color w:val="000000" w:themeColor="text1"/>
                <w:sz w:val="21"/>
                <w:szCs w:val="21"/>
              </w:rPr>
              <w:t>扇）</w:t>
            </w:r>
          </w:p>
        </w:tc>
        <w:tc>
          <w:tcPr>
            <w:tcW w:w="1877" w:type="pct"/>
            <w:noWrap/>
            <w:vAlign w:val="center"/>
          </w:tcPr>
          <w:p w14:paraId="501B7B6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3BE6274F" w14:textId="77777777">
        <w:trPr>
          <w:trHeight w:val="272"/>
        </w:trPr>
        <w:tc>
          <w:tcPr>
            <w:tcW w:w="647" w:type="pct"/>
            <w:vMerge/>
            <w:vAlign w:val="center"/>
          </w:tcPr>
          <w:p w14:paraId="1E338F85"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3B15933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甲亢</w:t>
            </w:r>
            <w:proofErr w:type="gramStart"/>
            <w:r w:rsidRPr="00B12FE0">
              <w:rPr>
                <w:color w:val="000000" w:themeColor="text1"/>
                <w:kern w:val="0"/>
                <w:sz w:val="21"/>
                <w:szCs w:val="21"/>
              </w:rPr>
              <w:t>留观室</w:t>
            </w:r>
            <w:proofErr w:type="gramEnd"/>
          </w:p>
        </w:tc>
        <w:tc>
          <w:tcPr>
            <w:tcW w:w="1479" w:type="pct"/>
            <w:noWrap/>
            <w:vAlign w:val="center"/>
          </w:tcPr>
          <w:p w14:paraId="45BDA42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东、西</w:t>
            </w:r>
            <w:r w:rsidRPr="00B12FE0">
              <w:rPr>
                <w:rFonts w:hint="eastAsia"/>
                <w:color w:val="000000" w:themeColor="text1"/>
                <w:sz w:val="21"/>
                <w:szCs w:val="21"/>
              </w:rPr>
              <w:t>、</w:t>
            </w:r>
            <w:r w:rsidRPr="00B12FE0">
              <w:rPr>
                <w:color w:val="000000" w:themeColor="text1"/>
                <w:sz w:val="21"/>
                <w:szCs w:val="21"/>
              </w:rPr>
              <w:t>北侧墙体</w:t>
            </w:r>
          </w:p>
        </w:tc>
        <w:tc>
          <w:tcPr>
            <w:tcW w:w="1877" w:type="pct"/>
            <w:noWrap/>
            <w:vAlign w:val="center"/>
          </w:tcPr>
          <w:p w14:paraId="174E8F8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1C1CC66A" w14:textId="77777777">
        <w:trPr>
          <w:trHeight w:val="272"/>
        </w:trPr>
        <w:tc>
          <w:tcPr>
            <w:tcW w:w="647" w:type="pct"/>
            <w:vMerge/>
            <w:vAlign w:val="center"/>
          </w:tcPr>
          <w:p w14:paraId="077ECAAF" w14:textId="77777777" w:rsidR="00A67F21" w:rsidRPr="00B12FE0" w:rsidRDefault="00A67F21">
            <w:pPr>
              <w:widowControl/>
              <w:jc w:val="center"/>
              <w:rPr>
                <w:color w:val="000000" w:themeColor="text1"/>
                <w:sz w:val="21"/>
                <w:szCs w:val="21"/>
              </w:rPr>
            </w:pPr>
          </w:p>
        </w:tc>
        <w:tc>
          <w:tcPr>
            <w:tcW w:w="998" w:type="pct"/>
            <w:vMerge/>
            <w:noWrap/>
            <w:vAlign w:val="center"/>
          </w:tcPr>
          <w:p w14:paraId="26324BE8" w14:textId="77777777" w:rsidR="00A67F21" w:rsidRPr="00B12FE0" w:rsidRDefault="00A67F21">
            <w:pPr>
              <w:widowControl/>
              <w:jc w:val="center"/>
              <w:textAlignment w:val="center"/>
              <w:rPr>
                <w:color w:val="000000" w:themeColor="text1"/>
                <w:kern w:val="0"/>
                <w:sz w:val="21"/>
                <w:szCs w:val="21"/>
              </w:rPr>
            </w:pPr>
          </w:p>
        </w:tc>
        <w:tc>
          <w:tcPr>
            <w:tcW w:w="1479" w:type="pct"/>
            <w:noWrap/>
            <w:vAlign w:val="center"/>
          </w:tcPr>
          <w:p w14:paraId="7296BCD3"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南侧墙体</w:t>
            </w:r>
          </w:p>
        </w:tc>
        <w:tc>
          <w:tcPr>
            <w:tcW w:w="1877" w:type="pct"/>
            <w:noWrap/>
            <w:vAlign w:val="center"/>
          </w:tcPr>
          <w:p w14:paraId="1BD6D7AD"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370 mm</w:t>
            </w:r>
            <w:r w:rsidRPr="00B12FE0">
              <w:rPr>
                <w:color w:val="000000" w:themeColor="text1"/>
                <w:kern w:val="0"/>
                <w:sz w:val="21"/>
                <w:szCs w:val="21"/>
              </w:rPr>
              <w:t>实心砖</w:t>
            </w:r>
          </w:p>
        </w:tc>
      </w:tr>
      <w:tr w:rsidR="00A67F21" w:rsidRPr="00B12FE0" w14:paraId="3E0F0300" w14:textId="77777777">
        <w:trPr>
          <w:trHeight w:val="272"/>
        </w:trPr>
        <w:tc>
          <w:tcPr>
            <w:tcW w:w="647" w:type="pct"/>
            <w:vMerge/>
            <w:vAlign w:val="center"/>
          </w:tcPr>
          <w:p w14:paraId="16F49DB0" w14:textId="77777777" w:rsidR="00A67F21" w:rsidRPr="00B12FE0" w:rsidRDefault="00A67F21">
            <w:pPr>
              <w:widowControl/>
              <w:jc w:val="center"/>
              <w:rPr>
                <w:color w:val="000000" w:themeColor="text1"/>
                <w:sz w:val="21"/>
                <w:szCs w:val="21"/>
              </w:rPr>
            </w:pPr>
          </w:p>
        </w:tc>
        <w:tc>
          <w:tcPr>
            <w:tcW w:w="998" w:type="pct"/>
            <w:vMerge/>
            <w:vAlign w:val="center"/>
          </w:tcPr>
          <w:p w14:paraId="41521FDC" w14:textId="77777777" w:rsidR="00A67F21" w:rsidRPr="00B12FE0" w:rsidRDefault="00A67F21">
            <w:pPr>
              <w:widowControl/>
              <w:jc w:val="center"/>
              <w:rPr>
                <w:color w:val="000000" w:themeColor="text1"/>
                <w:sz w:val="21"/>
                <w:szCs w:val="21"/>
              </w:rPr>
            </w:pPr>
          </w:p>
        </w:tc>
        <w:tc>
          <w:tcPr>
            <w:tcW w:w="1479" w:type="pct"/>
            <w:vAlign w:val="center"/>
          </w:tcPr>
          <w:p w14:paraId="069D1A3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5404251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62335DC9" w14:textId="77777777">
        <w:trPr>
          <w:trHeight w:val="272"/>
        </w:trPr>
        <w:tc>
          <w:tcPr>
            <w:tcW w:w="647" w:type="pct"/>
            <w:vMerge/>
            <w:vAlign w:val="center"/>
          </w:tcPr>
          <w:p w14:paraId="60F2DA36" w14:textId="77777777" w:rsidR="00A67F21" w:rsidRPr="00B12FE0" w:rsidRDefault="00A67F21">
            <w:pPr>
              <w:widowControl/>
              <w:jc w:val="center"/>
              <w:rPr>
                <w:color w:val="000000" w:themeColor="text1"/>
                <w:sz w:val="21"/>
                <w:szCs w:val="21"/>
              </w:rPr>
            </w:pPr>
          </w:p>
        </w:tc>
        <w:tc>
          <w:tcPr>
            <w:tcW w:w="998" w:type="pct"/>
            <w:vMerge/>
            <w:vAlign w:val="center"/>
          </w:tcPr>
          <w:p w14:paraId="5FAA20D5" w14:textId="77777777" w:rsidR="00A67F21" w:rsidRPr="00B12FE0" w:rsidRDefault="00A67F21">
            <w:pPr>
              <w:widowControl/>
              <w:jc w:val="center"/>
              <w:rPr>
                <w:color w:val="000000" w:themeColor="text1"/>
                <w:sz w:val="21"/>
                <w:szCs w:val="21"/>
              </w:rPr>
            </w:pPr>
          </w:p>
        </w:tc>
        <w:tc>
          <w:tcPr>
            <w:tcW w:w="1479" w:type="pct"/>
            <w:noWrap/>
            <w:vAlign w:val="center"/>
          </w:tcPr>
          <w:p w14:paraId="1CBA75B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noWrap/>
            <w:vAlign w:val="center"/>
          </w:tcPr>
          <w:p w14:paraId="38424A9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6mm</w:t>
            </w:r>
            <w:r w:rsidRPr="00B12FE0">
              <w:rPr>
                <w:color w:val="000000" w:themeColor="text1"/>
                <w:sz w:val="21"/>
                <w:szCs w:val="21"/>
              </w:rPr>
              <w:t>铅板</w:t>
            </w:r>
          </w:p>
        </w:tc>
      </w:tr>
      <w:tr w:rsidR="00A67F21" w:rsidRPr="00B12FE0" w14:paraId="4FEF5E15" w14:textId="77777777">
        <w:trPr>
          <w:trHeight w:val="272"/>
        </w:trPr>
        <w:tc>
          <w:tcPr>
            <w:tcW w:w="647" w:type="pct"/>
            <w:vMerge/>
            <w:vAlign w:val="center"/>
          </w:tcPr>
          <w:p w14:paraId="67A1E24D"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48738E9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PET/CT</w:t>
            </w:r>
            <w:r w:rsidRPr="00B12FE0">
              <w:rPr>
                <w:color w:val="000000" w:themeColor="text1"/>
                <w:sz w:val="21"/>
                <w:szCs w:val="21"/>
              </w:rPr>
              <w:t>机房（</w:t>
            </w:r>
            <w:r w:rsidRPr="00B12FE0">
              <w:rPr>
                <w:color w:val="000000" w:themeColor="text1"/>
                <w:sz w:val="21"/>
                <w:szCs w:val="21"/>
              </w:rPr>
              <w:t>1</w:t>
            </w:r>
            <w:r w:rsidRPr="00B12FE0">
              <w:rPr>
                <w:color w:val="000000" w:themeColor="text1"/>
                <w:sz w:val="21"/>
                <w:szCs w:val="21"/>
              </w:rPr>
              <w:t>间）</w:t>
            </w:r>
          </w:p>
        </w:tc>
        <w:tc>
          <w:tcPr>
            <w:tcW w:w="1479" w:type="pct"/>
            <w:noWrap/>
            <w:vAlign w:val="center"/>
          </w:tcPr>
          <w:p w14:paraId="1432494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四侧墙体</w:t>
            </w:r>
          </w:p>
        </w:tc>
        <w:tc>
          <w:tcPr>
            <w:tcW w:w="1877" w:type="pct"/>
            <w:noWrap/>
            <w:vAlign w:val="center"/>
          </w:tcPr>
          <w:p w14:paraId="68318CB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r w:rsidRPr="00B12FE0">
              <w:rPr>
                <w:color w:val="000000" w:themeColor="text1"/>
                <w:kern w:val="0"/>
                <w:sz w:val="21"/>
                <w:szCs w:val="21"/>
              </w:rPr>
              <w:t>+40mm</w:t>
            </w:r>
            <w:r w:rsidRPr="00B12FE0">
              <w:rPr>
                <w:color w:val="000000" w:themeColor="text1"/>
                <w:kern w:val="0"/>
                <w:sz w:val="21"/>
                <w:szCs w:val="21"/>
              </w:rPr>
              <w:t>硫酸钡涂料</w:t>
            </w:r>
          </w:p>
        </w:tc>
      </w:tr>
      <w:tr w:rsidR="00A67F21" w:rsidRPr="00B12FE0" w14:paraId="2F7056D3" w14:textId="77777777">
        <w:trPr>
          <w:trHeight w:val="272"/>
        </w:trPr>
        <w:tc>
          <w:tcPr>
            <w:tcW w:w="647" w:type="pct"/>
            <w:vMerge/>
            <w:vAlign w:val="center"/>
          </w:tcPr>
          <w:p w14:paraId="2CF9282B" w14:textId="77777777" w:rsidR="00A67F21" w:rsidRPr="00B12FE0" w:rsidRDefault="00A67F21">
            <w:pPr>
              <w:widowControl/>
              <w:jc w:val="center"/>
              <w:rPr>
                <w:color w:val="000000" w:themeColor="text1"/>
                <w:sz w:val="21"/>
                <w:szCs w:val="21"/>
              </w:rPr>
            </w:pPr>
          </w:p>
        </w:tc>
        <w:tc>
          <w:tcPr>
            <w:tcW w:w="998" w:type="pct"/>
            <w:vMerge/>
            <w:vAlign w:val="center"/>
          </w:tcPr>
          <w:p w14:paraId="6D86B99B" w14:textId="77777777" w:rsidR="00A67F21" w:rsidRPr="00B12FE0" w:rsidRDefault="00A67F21">
            <w:pPr>
              <w:widowControl/>
              <w:jc w:val="center"/>
              <w:rPr>
                <w:color w:val="000000" w:themeColor="text1"/>
                <w:sz w:val="21"/>
                <w:szCs w:val="21"/>
              </w:rPr>
            </w:pPr>
          </w:p>
        </w:tc>
        <w:tc>
          <w:tcPr>
            <w:tcW w:w="1479" w:type="pct"/>
            <w:vAlign w:val="center"/>
          </w:tcPr>
          <w:p w14:paraId="648B742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54F3FE5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062A618B" w14:textId="77777777">
        <w:trPr>
          <w:trHeight w:val="90"/>
        </w:trPr>
        <w:tc>
          <w:tcPr>
            <w:tcW w:w="647" w:type="pct"/>
            <w:vMerge/>
            <w:vAlign w:val="center"/>
          </w:tcPr>
          <w:p w14:paraId="03BF97A0" w14:textId="77777777" w:rsidR="00A67F21" w:rsidRPr="00B12FE0" w:rsidRDefault="00A67F21">
            <w:pPr>
              <w:widowControl/>
              <w:jc w:val="center"/>
              <w:rPr>
                <w:color w:val="000000" w:themeColor="text1"/>
                <w:sz w:val="21"/>
                <w:szCs w:val="21"/>
              </w:rPr>
            </w:pPr>
          </w:p>
        </w:tc>
        <w:tc>
          <w:tcPr>
            <w:tcW w:w="998" w:type="pct"/>
            <w:vMerge/>
            <w:vAlign w:val="center"/>
          </w:tcPr>
          <w:p w14:paraId="682886BA" w14:textId="77777777" w:rsidR="00A67F21" w:rsidRPr="00B12FE0" w:rsidRDefault="00A67F21">
            <w:pPr>
              <w:widowControl/>
              <w:jc w:val="center"/>
              <w:rPr>
                <w:color w:val="000000" w:themeColor="text1"/>
                <w:sz w:val="21"/>
                <w:szCs w:val="21"/>
              </w:rPr>
            </w:pPr>
          </w:p>
        </w:tc>
        <w:tc>
          <w:tcPr>
            <w:tcW w:w="1479" w:type="pct"/>
            <w:noWrap/>
            <w:vAlign w:val="center"/>
          </w:tcPr>
          <w:p w14:paraId="75C570D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医生摆位处</w:t>
            </w:r>
          </w:p>
        </w:tc>
        <w:tc>
          <w:tcPr>
            <w:tcW w:w="1877" w:type="pct"/>
            <w:vAlign w:val="center"/>
          </w:tcPr>
          <w:p w14:paraId="3287288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w:t>
            </w:r>
          </w:p>
        </w:tc>
      </w:tr>
      <w:tr w:rsidR="00A67F21" w:rsidRPr="00B12FE0" w14:paraId="65422C67" w14:textId="77777777">
        <w:trPr>
          <w:trHeight w:val="272"/>
        </w:trPr>
        <w:tc>
          <w:tcPr>
            <w:tcW w:w="647" w:type="pct"/>
            <w:vMerge/>
            <w:vAlign w:val="center"/>
          </w:tcPr>
          <w:p w14:paraId="22ECC234" w14:textId="77777777" w:rsidR="00A67F21" w:rsidRPr="00B12FE0" w:rsidRDefault="00A67F21">
            <w:pPr>
              <w:widowControl/>
              <w:jc w:val="center"/>
              <w:rPr>
                <w:color w:val="000000" w:themeColor="text1"/>
                <w:sz w:val="21"/>
                <w:szCs w:val="21"/>
              </w:rPr>
            </w:pPr>
          </w:p>
        </w:tc>
        <w:tc>
          <w:tcPr>
            <w:tcW w:w="998" w:type="pct"/>
            <w:vMerge/>
            <w:vAlign w:val="center"/>
          </w:tcPr>
          <w:p w14:paraId="6FE2FAE9" w14:textId="77777777" w:rsidR="00A67F21" w:rsidRPr="00B12FE0" w:rsidRDefault="00A67F21">
            <w:pPr>
              <w:widowControl/>
              <w:jc w:val="center"/>
              <w:rPr>
                <w:color w:val="000000" w:themeColor="text1"/>
                <w:sz w:val="21"/>
                <w:szCs w:val="21"/>
              </w:rPr>
            </w:pPr>
          </w:p>
        </w:tc>
        <w:tc>
          <w:tcPr>
            <w:tcW w:w="1479" w:type="pct"/>
            <w:noWrap/>
            <w:vAlign w:val="center"/>
          </w:tcPr>
          <w:p w14:paraId="71C0BB6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09E304F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0CC30F94" w14:textId="77777777">
        <w:trPr>
          <w:trHeight w:val="272"/>
        </w:trPr>
        <w:tc>
          <w:tcPr>
            <w:tcW w:w="647" w:type="pct"/>
            <w:vMerge/>
            <w:vAlign w:val="center"/>
          </w:tcPr>
          <w:p w14:paraId="36AE5FDC" w14:textId="77777777" w:rsidR="00A67F21" w:rsidRPr="00B12FE0" w:rsidRDefault="00A67F21">
            <w:pPr>
              <w:widowControl/>
              <w:jc w:val="center"/>
              <w:rPr>
                <w:color w:val="000000" w:themeColor="text1"/>
                <w:sz w:val="21"/>
                <w:szCs w:val="21"/>
              </w:rPr>
            </w:pPr>
          </w:p>
        </w:tc>
        <w:tc>
          <w:tcPr>
            <w:tcW w:w="998" w:type="pct"/>
            <w:vMerge/>
            <w:vAlign w:val="center"/>
          </w:tcPr>
          <w:p w14:paraId="5AA038BD" w14:textId="77777777" w:rsidR="00A67F21" w:rsidRPr="00B12FE0" w:rsidRDefault="00A67F21">
            <w:pPr>
              <w:widowControl/>
              <w:jc w:val="center"/>
              <w:rPr>
                <w:color w:val="000000" w:themeColor="text1"/>
                <w:sz w:val="21"/>
                <w:szCs w:val="21"/>
              </w:rPr>
            </w:pPr>
          </w:p>
        </w:tc>
        <w:tc>
          <w:tcPr>
            <w:tcW w:w="1479" w:type="pct"/>
            <w:noWrap/>
            <w:vAlign w:val="center"/>
          </w:tcPr>
          <w:p w14:paraId="4FAD7EE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观察窗</w:t>
            </w:r>
          </w:p>
        </w:tc>
        <w:tc>
          <w:tcPr>
            <w:tcW w:w="1877" w:type="pct"/>
            <w:vAlign w:val="center"/>
          </w:tcPr>
          <w:p w14:paraId="4DE95DDF"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8mmPb</w:t>
            </w:r>
            <w:r w:rsidRPr="00B12FE0">
              <w:rPr>
                <w:color w:val="000000" w:themeColor="text1"/>
                <w:sz w:val="21"/>
                <w:szCs w:val="21"/>
              </w:rPr>
              <w:t>铅玻璃</w:t>
            </w:r>
          </w:p>
        </w:tc>
      </w:tr>
      <w:tr w:rsidR="00A67F21" w:rsidRPr="00B12FE0" w14:paraId="3177E2AD" w14:textId="77777777">
        <w:trPr>
          <w:trHeight w:val="90"/>
        </w:trPr>
        <w:tc>
          <w:tcPr>
            <w:tcW w:w="647" w:type="pct"/>
            <w:vMerge/>
            <w:vAlign w:val="center"/>
          </w:tcPr>
          <w:p w14:paraId="323952E5"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5C2DE28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PET</w:t>
            </w:r>
            <w:r w:rsidRPr="00B12FE0">
              <w:rPr>
                <w:color w:val="000000" w:themeColor="text1"/>
                <w:kern w:val="0"/>
                <w:sz w:val="21"/>
                <w:szCs w:val="21"/>
              </w:rPr>
              <w:t>注射后候诊室</w:t>
            </w:r>
            <w:r w:rsidRPr="00B12FE0">
              <w:rPr>
                <w:color w:val="000000" w:themeColor="text1"/>
                <w:kern w:val="0"/>
                <w:sz w:val="21"/>
                <w:szCs w:val="21"/>
              </w:rPr>
              <w:t>1</w:t>
            </w:r>
          </w:p>
        </w:tc>
        <w:tc>
          <w:tcPr>
            <w:tcW w:w="1479" w:type="pct"/>
            <w:noWrap/>
            <w:vAlign w:val="center"/>
          </w:tcPr>
          <w:p w14:paraId="6758058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东、西北侧墙体</w:t>
            </w:r>
          </w:p>
        </w:tc>
        <w:tc>
          <w:tcPr>
            <w:tcW w:w="1877" w:type="pct"/>
            <w:noWrap/>
            <w:vAlign w:val="center"/>
          </w:tcPr>
          <w:p w14:paraId="36D8AD2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53D6E677" w14:textId="77777777">
        <w:trPr>
          <w:trHeight w:val="272"/>
        </w:trPr>
        <w:tc>
          <w:tcPr>
            <w:tcW w:w="647" w:type="pct"/>
            <w:vMerge/>
            <w:vAlign w:val="center"/>
          </w:tcPr>
          <w:p w14:paraId="5F3FC616" w14:textId="77777777" w:rsidR="00A67F21" w:rsidRPr="00B12FE0" w:rsidRDefault="00A67F21">
            <w:pPr>
              <w:widowControl/>
              <w:jc w:val="center"/>
              <w:rPr>
                <w:color w:val="000000" w:themeColor="text1"/>
                <w:sz w:val="21"/>
                <w:szCs w:val="21"/>
              </w:rPr>
            </w:pPr>
          </w:p>
        </w:tc>
        <w:tc>
          <w:tcPr>
            <w:tcW w:w="998" w:type="pct"/>
            <w:vMerge/>
            <w:vAlign w:val="center"/>
          </w:tcPr>
          <w:p w14:paraId="2C9F1F86" w14:textId="77777777" w:rsidR="00A67F21" w:rsidRPr="00B12FE0" w:rsidRDefault="00A67F21">
            <w:pPr>
              <w:widowControl/>
              <w:jc w:val="center"/>
              <w:rPr>
                <w:color w:val="000000" w:themeColor="text1"/>
                <w:sz w:val="21"/>
                <w:szCs w:val="21"/>
              </w:rPr>
            </w:pPr>
          </w:p>
        </w:tc>
        <w:tc>
          <w:tcPr>
            <w:tcW w:w="1479" w:type="pct"/>
            <w:vAlign w:val="center"/>
          </w:tcPr>
          <w:p w14:paraId="6F890FE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南侧墙体</w:t>
            </w:r>
          </w:p>
        </w:tc>
        <w:tc>
          <w:tcPr>
            <w:tcW w:w="1877" w:type="pct"/>
            <w:vAlign w:val="center"/>
          </w:tcPr>
          <w:p w14:paraId="7832E70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 mm</w:t>
            </w:r>
            <w:r w:rsidRPr="00B12FE0">
              <w:rPr>
                <w:color w:val="000000" w:themeColor="text1"/>
                <w:kern w:val="0"/>
                <w:sz w:val="21"/>
                <w:szCs w:val="21"/>
              </w:rPr>
              <w:t>实心砖</w:t>
            </w:r>
          </w:p>
        </w:tc>
      </w:tr>
      <w:tr w:rsidR="00A67F21" w:rsidRPr="00B12FE0" w14:paraId="0E82181F" w14:textId="77777777">
        <w:trPr>
          <w:trHeight w:val="272"/>
        </w:trPr>
        <w:tc>
          <w:tcPr>
            <w:tcW w:w="647" w:type="pct"/>
            <w:vMerge/>
            <w:vAlign w:val="center"/>
          </w:tcPr>
          <w:p w14:paraId="76545019" w14:textId="77777777" w:rsidR="00A67F21" w:rsidRPr="00B12FE0" w:rsidRDefault="00A67F21">
            <w:pPr>
              <w:widowControl/>
              <w:jc w:val="center"/>
              <w:rPr>
                <w:color w:val="000000" w:themeColor="text1"/>
                <w:sz w:val="21"/>
                <w:szCs w:val="21"/>
              </w:rPr>
            </w:pPr>
          </w:p>
        </w:tc>
        <w:tc>
          <w:tcPr>
            <w:tcW w:w="998" w:type="pct"/>
            <w:vMerge/>
            <w:vAlign w:val="center"/>
          </w:tcPr>
          <w:p w14:paraId="1B91CC5D" w14:textId="77777777" w:rsidR="00A67F21" w:rsidRPr="00B12FE0" w:rsidRDefault="00A67F21">
            <w:pPr>
              <w:widowControl/>
              <w:jc w:val="center"/>
              <w:rPr>
                <w:color w:val="000000" w:themeColor="text1"/>
                <w:sz w:val="21"/>
                <w:szCs w:val="21"/>
              </w:rPr>
            </w:pPr>
          </w:p>
        </w:tc>
        <w:tc>
          <w:tcPr>
            <w:tcW w:w="1479" w:type="pct"/>
            <w:vAlign w:val="center"/>
          </w:tcPr>
          <w:p w14:paraId="4359DA3C"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顶棚</w:t>
            </w:r>
          </w:p>
        </w:tc>
        <w:tc>
          <w:tcPr>
            <w:tcW w:w="1877" w:type="pct"/>
            <w:vAlign w:val="center"/>
          </w:tcPr>
          <w:p w14:paraId="6916107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7CDDB74A" w14:textId="77777777">
        <w:trPr>
          <w:trHeight w:val="272"/>
        </w:trPr>
        <w:tc>
          <w:tcPr>
            <w:tcW w:w="647" w:type="pct"/>
            <w:vMerge/>
            <w:vAlign w:val="center"/>
          </w:tcPr>
          <w:p w14:paraId="2FE418E8" w14:textId="77777777" w:rsidR="00A67F21" w:rsidRPr="00B12FE0" w:rsidRDefault="00A67F21">
            <w:pPr>
              <w:widowControl/>
              <w:jc w:val="center"/>
              <w:rPr>
                <w:color w:val="000000" w:themeColor="text1"/>
                <w:sz w:val="21"/>
                <w:szCs w:val="21"/>
              </w:rPr>
            </w:pPr>
          </w:p>
        </w:tc>
        <w:tc>
          <w:tcPr>
            <w:tcW w:w="998" w:type="pct"/>
            <w:vMerge/>
            <w:vAlign w:val="center"/>
          </w:tcPr>
          <w:p w14:paraId="5C9C463C" w14:textId="77777777" w:rsidR="00A67F21" w:rsidRPr="00B12FE0" w:rsidRDefault="00A67F21">
            <w:pPr>
              <w:widowControl/>
              <w:jc w:val="center"/>
              <w:rPr>
                <w:color w:val="000000" w:themeColor="text1"/>
                <w:sz w:val="21"/>
                <w:szCs w:val="21"/>
              </w:rPr>
            </w:pPr>
          </w:p>
        </w:tc>
        <w:tc>
          <w:tcPr>
            <w:tcW w:w="1479" w:type="pct"/>
            <w:noWrap/>
            <w:vAlign w:val="center"/>
          </w:tcPr>
          <w:p w14:paraId="723F505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p>
        </w:tc>
        <w:tc>
          <w:tcPr>
            <w:tcW w:w="1877" w:type="pct"/>
            <w:vAlign w:val="center"/>
          </w:tcPr>
          <w:p w14:paraId="01FA5D6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5A168A23" w14:textId="77777777">
        <w:trPr>
          <w:trHeight w:val="272"/>
        </w:trPr>
        <w:tc>
          <w:tcPr>
            <w:tcW w:w="647" w:type="pct"/>
            <w:vMerge/>
            <w:vAlign w:val="center"/>
          </w:tcPr>
          <w:p w14:paraId="60CD9CA7"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4AFF8C8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PET</w:t>
            </w:r>
            <w:r w:rsidRPr="00B12FE0">
              <w:rPr>
                <w:color w:val="000000" w:themeColor="text1"/>
                <w:kern w:val="0"/>
                <w:sz w:val="21"/>
                <w:szCs w:val="21"/>
              </w:rPr>
              <w:t>注射后候诊室</w:t>
            </w:r>
            <w:r w:rsidRPr="00B12FE0">
              <w:rPr>
                <w:color w:val="000000" w:themeColor="text1"/>
                <w:kern w:val="0"/>
                <w:sz w:val="21"/>
                <w:szCs w:val="21"/>
              </w:rPr>
              <w:t>2</w:t>
            </w:r>
          </w:p>
        </w:tc>
        <w:tc>
          <w:tcPr>
            <w:tcW w:w="1479" w:type="pct"/>
            <w:noWrap/>
            <w:vAlign w:val="center"/>
          </w:tcPr>
          <w:p w14:paraId="48BE28E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四侧墙体</w:t>
            </w:r>
          </w:p>
        </w:tc>
        <w:tc>
          <w:tcPr>
            <w:tcW w:w="1877" w:type="pct"/>
            <w:noWrap/>
            <w:vAlign w:val="center"/>
          </w:tcPr>
          <w:p w14:paraId="4233D8F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4E84B20D" w14:textId="77777777">
        <w:trPr>
          <w:trHeight w:val="272"/>
        </w:trPr>
        <w:tc>
          <w:tcPr>
            <w:tcW w:w="647" w:type="pct"/>
            <w:vMerge/>
            <w:vAlign w:val="center"/>
          </w:tcPr>
          <w:p w14:paraId="2DBE52D5" w14:textId="77777777" w:rsidR="00A67F21" w:rsidRPr="00B12FE0" w:rsidRDefault="00A67F21">
            <w:pPr>
              <w:widowControl/>
              <w:jc w:val="center"/>
              <w:rPr>
                <w:color w:val="000000" w:themeColor="text1"/>
                <w:sz w:val="21"/>
                <w:szCs w:val="21"/>
              </w:rPr>
            </w:pPr>
          </w:p>
        </w:tc>
        <w:tc>
          <w:tcPr>
            <w:tcW w:w="998" w:type="pct"/>
            <w:vMerge/>
            <w:vAlign w:val="center"/>
          </w:tcPr>
          <w:p w14:paraId="797C815A" w14:textId="77777777" w:rsidR="00A67F21" w:rsidRPr="00B12FE0" w:rsidRDefault="00A67F21">
            <w:pPr>
              <w:widowControl/>
              <w:jc w:val="center"/>
              <w:rPr>
                <w:color w:val="000000" w:themeColor="text1"/>
                <w:sz w:val="21"/>
                <w:szCs w:val="21"/>
              </w:rPr>
            </w:pPr>
          </w:p>
        </w:tc>
        <w:tc>
          <w:tcPr>
            <w:tcW w:w="1479" w:type="pct"/>
            <w:vAlign w:val="center"/>
          </w:tcPr>
          <w:p w14:paraId="387B60F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7042D22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60A2C633" w14:textId="77777777">
        <w:trPr>
          <w:trHeight w:val="272"/>
        </w:trPr>
        <w:tc>
          <w:tcPr>
            <w:tcW w:w="647" w:type="pct"/>
            <w:vMerge/>
            <w:vAlign w:val="center"/>
          </w:tcPr>
          <w:p w14:paraId="53AF8A0B" w14:textId="77777777" w:rsidR="00A67F21" w:rsidRPr="00B12FE0" w:rsidRDefault="00A67F21">
            <w:pPr>
              <w:widowControl/>
              <w:jc w:val="center"/>
              <w:rPr>
                <w:color w:val="000000" w:themeColor="text1"/>
                <w:sz w:val="21"/>
                <w:szCs w:val="21"/>
              </w:rPr>
            </w:pPr>
          </w:p>
        </w:tc>
        <w:tc>
          <w:tcPr>
            <w:tcW w:w="998" w:type="pct"/>
            <w:vMerge/>
            <w:vAlign w:val="center"/>
          </w:tcPr>
          <w:p w14:paraId="104FA25D" w14:textId="77777777" w:rsidR="00A67F21" w:rsidRPr="00B12FE0" w:rsidRDefault="00A67F21">
            <w:pPr>
              <w:widowControl/>
              <w:jc w:val="center"/>
              <w:rPr>
                <w:color w:val="000000" w:themeColor="text1"/>
                <w:sz w:val="21"/>
                <w:szCs w:val="21"/>
              </w:rPr>
            </w:pPr>
          </w:p>
        </w:tc>
        <w:tc>
          <w:tcPr>
            <w:tcW w:w="1479" w:type="pct"/>
            <w:noWrap/>
            <w:vAlign w:val="center"/>
          </w:tcPr>
          <w:p w14:paraId="5A147F8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p>
        </w:tc>
        <w:tc>
          <w:tcPr>
            <w:tcW w:w="1877" w:type="pct"/>
            <w:vAlign w:val="center"/>
          </w:tcPr>
          <w:p w14:paraId="5F6C812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389C64AC" w14:textId="77777777">
        <w:trPr>
          <w:trHeight w:val="272"/>
        </w:trPr>
        <w:tc>
          <w:tcPr>
            <w:tcW w:w="647" w:type="pct"/>
            <w:vMerge/>
            <w:vAlign w:val="center"/>
          </w:tcPr>
          <w:p w14:paraId="5F9A6BFD"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422DC47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SPECT/CT-1</w:t>
            </w:r>
            <w:r w:rsidRPr="00B12FE0">
              <w:rPr>
                <w:color w:val="000000" w:themeColor="text1"/>
                <w:sz w:val="21"/>
                <w:szCs w:val="21"/>
              </w:rPr>
              <w:t>机房</w:t>
            </w:r>
          </w:p>
        </w:tc>
        <w:tc>
          <w:tcPr>
            <w:tcW w:w="1479" w:type="pct"/>
            <w:noWrap/>
            <w:vAlign w:val="center"/>
          </w:tcPr>
          <w:p w14:paraId="70D6F73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四侧墙体</w:t>
            </w:r>
          </w:p>
        </w:tc>
        <w:tc>
          <w:tcPr>
            <w:tcW w:w="1877" w:type="pct"/>
            <w:noWrap/>
            <w:vAlign w:val="center"/>
          </w:tcPr>
          <w:p w14:paraId="01D7386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r w:rsidRPr="00B12FE0">
              <w:rPr>
                <w:color w:val="000000" w:themeColor="text1"/>
                <w:kern w:val="0"/>
                <w:sz w:val="21"/>
                <w:szCs w:val="21"/>
              </w:rPr>
              <w:t>+40mm</w:t>
            </w:r>
            <w:r w:rsidRPr="00B12FE0">
              <w:rPr>
                <w:color w:val="000000" w:themeColor="text1"/>
                <w:kern w:val="0"/>
                <w:sz w:val="21"/>
                <w:szCs w:val="21"/>
              </w:rPr>
              <w:t>硫酸钡涂料</w:t>
            </w:r>
          </w:p>
        </w:tc>
      </w:tr>
      <w:tr w:rsidR="00A67F21" w:rsidRPr="00B12FE0" w14:paraId="7306815A" w14:textId="77777777">
        <w:trPr>
          <w:trHeight w:val="272"/>
        </w:trPr>
        <w:tc>
          <w:tcPr>
            <w:tcW w:w="647" w:type="pct"/>
            <w:vMerge/>
            <w:vAlign w:val="center"/>
          </w:tcPr>
          <w:p w14:paraId="62CEE15E" w14:textId="77777777" w:rsidR="00A67F21" w:rsidRPr="00B12FE0" w:rsidRDefault="00A67F21">
            <w:pPr>
              <w:widowControl/>
              <w:jc w:val="center"/>
              <w:rPr>
                <w:color w:val="000000" w:themeColor="text1"/>
                <w:sz w:val="21"/>
                <w:szCs w:val="21"/>
              </w:rPr>
            </w:pPr>
          </w:p>
        </w:tc>
        <w:tc>
          <w:tcPr>
            <w:tcW w:w="998" w:type="pct"/>
            <w:vMerge/>
            <w:vAlign w:val="center"/>
          </w:tcPr>
          <w:p w14:paraId="35A8BD8C" w14:textId="77777777" w:rsidR="00A67F21" w:rsidRPr="00B12FE0" w:rsidRDefault="00A67F21">
            <w:pPr>
              <w:widowControl/>
              <w:jc w:val="center"/>
              <w:rPr>
                <w:color w:val="000000" w:themeColor="text1"/>
                <w:sz w:val="21"/>
                <w:szCs w:val="21"/>
              </w:rPr>
            </w:pPr>
          </w:p>
        </w:tc>
        <w:tc>
          <w:tcPr>
            <w:tcW w:w="1479" w:type="pct"/>
            <w:vAlign w:val="center"/>
          </w:tcPr>
          <w:p w14:paraId="257C7B0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3387925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4E3C68DB" w14:textId="77777777">
        <w:trPr>
          <w:trHeight w:val="272"/>
        </w:trPr>
        <w:tc>
          <w:tcPr>
            <w:tcW w:w="647" w:type="pct"/>
            <w:vMerge/>
            <w:vAlign w:val="center"/>
          </w:tcPr>
          <w:p w14:paraId="5B9D40CC" w14:textId="77777777" w:rsidR="00A67F21" w:rsidRPr="00B12FE0" w:rsidRDefault="00A67F21">
            <w:pPr>
              <w:widowControl/>
              <w:jc w:val="center"/>
              <w:rPr>
                <w:color w:val="000000" w:themeColor="text1"/>
                <w:sz w:val="21"/>
                <w:szCs w:val="21"/>
              </w:rPr>
            </w:pPr>
          </w:p>
        </w:tc>
        <w:tc>
          <w:tcPr>
            <w:tcW w:w="998" w:type="pct"/>
            <w:vMerge/>
            <w:vAlign w:val="center"/>
          </w:tcPr>
          <w:p w14:paraId="3ACBA98D" w14:textId="77777777" w:rsidR="00A67F21" w:rsidRPr="00B12FE0" w:rsidRDefault="00A67F21">
            <w:pPr>
              <w:widowControl/>
              <w:jc w:val="center"/>
              <w:rPr>
                <w:color w:val="000000" w:themeColor="text1"/>
                <w:sz w:val="21"/>
                <w:szCs w:val="21"/>
              </w:rPr>
            </w:pPr>
          </w:p>
        </w:tc>
        <w:tc>
          <w:tcPr>
            <w:tcW w:w="1479" w:type="pct"/>
            <w:noWrap/>
            <w:vAlign w:val="center"/>
          </w:tcPr>
          <w:p w14:paraId="32345F1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医生摆位处</w:t>
            </w:r>
          </w:p>
        </w:tc>
        <w:tc>
          <w:tcPr>
            <w:tcW w:w="1877" w:type="pct"/>
            <w:noWrap/>
            <w:vAlign w:val="center"/>
          </w:tcPr>
          <w:p w14:paraId="1E30B92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w:t>
            </w:r>
          </w:p>
        </w:tc>
      </w:tr>
      <w:tr w:rsidR="00A67F21" w:rsidRPr="00B12FE0" w14:paraId="46A20AA6" w14:textId="77777777">
        <w:trPr>
          <w:trHeight w:val="272"/>
        </w:trPr>
        <w:tc>
          <w:tcPr>
            <w:tcW w:w="647" w:type="pct"/>
            <w:vMerge/>
            <w:vAlign w:val="center"/>
          </w:tcPr>
          <w:p w14:paraId="7E8F8946" w14:textId="77777777" w:rsidR="00A67F21" w:rsidRPr="00B12FE0" w:rsidRDefault="00A67F21">
            <w:pPr>
              <w:widowControl/>
              <w:jc w:val="center"/>
              <w:rPr>
                <w:color w:val="000000" w:themeColor="text1"/>
                <w:sz w:val="21"/>
                <w:szCs w:val="21"/>
              </w:rPr>
            </w:pPr>
          </w:p>
        </w:tc>
        <w:tc>
          <w:tcPr>
            <w:tcW w:w="998" w:type="pct"/>
            <w:vMerge/>
            <w:vAlign w:val="center"/>
          </w:tcPr>
          <w:p w14:paraId="63923BF6" w14:textId="77777777" w:rsidR="00A67F21" w:rsidRPr="00B12FE0" w:rsidRDefault="00A67F21">
            <w:pPr>
              <w:widowControl/>
              <w:jc w:val="center"/>
              <w:rPr>
                <w:color w:val="000000" w:themeColor="text1"/>
                <w:sz w:val="21"/>
                <w:szCs w:val="21"/>
              </w:rPr>
            </w:pPr>
          </w:p>
        </w:tc>
        <w:tc>
          <w:tcPr>
            <w:tcW w:w="1479" w:type="pct"/>
            <w:noWrap/>
            <w:vAlign w:val="center"/>
          </w:tcPr>
          <w:p w14:paraId="7C133E2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0945678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r w:rsidR="00A67F21" w:rsidRPr="00B12FE0" w14:paraId="6C3157F5" w14:textId="77777777">
        <w:trPr>
          <w:trHeight w:val="272"/>
        </w:trPr>
        <w:tc>
          <w:tcPr>
            <w:tcW w:w="647" w:type="pct"/>
            <w:vMerge/>
            <w:vAlign w:val="center"/>
          </w:tcPr>
          <w:p w14:paraId="517F6343" w14:textId="77777777" w:rsidR="00A67F21" w:rsidRPr="00B12FE0" w:rsidRDefault="00A67F21">
            <w:pPr>
              <w:widowControl/>
              <w:jc w:val="center"/>
              <w:rPr>
                <w:color w:val="000000" w:themeColor="text1"/>
                <w:sz w:val="21"/>
                <w:szCs w:val="21"/>
              </w:rPr>
            </w:pPr>
          </w:p>
        </w:tc>
        <w:tc>
          <w:tcPr>
            <w:tcW w:w="998" w:type="pct"/>
            <w:vMerge/>
            <w:vAlign w:val="center"/>
          </w:tcPr>
          <w:p w14:paraId="1F0FDCD4" w14:textId="77777777" w:rsidR="00A67F21" w:rsidRPr="00B12FE0" w:rsidRDefault="00A67F21">
            <w:pPr>
              <w:widowControl/>
              <w:jc w:val="center"/>
              <w:rPr>
                <w:color w:val="000000" w:themeColor="text1"/>
                <w:sz w:val="21"/>
                <w:szCs w:val="21"/>
              </w:rPr>
            </w:pPr>
          </w:p>
        </w:tc>
        <w:tc>
          <w:tcPr>
            <w:tcW w:w="1479" w:type="pct"/>
            <w:noWrap/>
            <w:vAlign w:val="center"/>
          </w:tcPr>
          <w:p w14:paraId="3E97828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观察窗</w:t>
            </w:r>
          </w:p>
        </w:tc>
        <w:tc>
          <w:tcPr>
            <w:tcW w:w="1877" w:type="pct"/>
            <w:vAlign w:val="center"/>
          </w:tcPr>
          <w:p w14:paraId="5577B39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4mmPb</w:t>
            </w:r>
            <w:r w:rsidRPr="00B12FE0">
              <w:rPr>
                <w:color w:val="000000" w:themeColor="text1"/>
                <w:sz w:val="21"/>
                <w:szCs w:val="21"/>
              </w:rPr>
              <w:t>铅玻璃</w:t>
            </w:r>
          </w:p>
        </w:tc>
      </w:tr>
      <w:tr w:rsidR="00A67F21" w:rsidRPr="00B12FE0" w14:paraId="38387C1C" w14:textId="77777777">
        <w:trPr>
          <w:trHeight w:val="272"/>
        </w:trPr>
        <w:tc>
          <w:tcPr>
            <w:tcW w:w="647" w:type="pct"/>
            <w:vMerge/>
            <w:vAlign w:val="center"/>
          </w:tcPr>
          <w:p w14:paraId="3C08435F"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240D669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SPECT/CT-2</w:t>
            </w:r>
            <w:r w:rsidRPr="00B12FE0">
              <w:rPr>
                <w:color w:val="000000" w:themeColor="text1"/>
                <w:sz w:val="21"/>
                <w:szCs w:val="21"/>
              </w:rPr>
              <w:t>机房</w:t>
            </w:r>
          </w:p>
        </w:tc>
        <w:tc>
          <w:tcPr>
            <w:tcW w:w="1479" w:type="pct"/>
            <w:noWrap/>
            <w:vAlign w:val="center"/>
          </w:tcPr>
          <w:p w14:paraId="3126330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四侧墙体</w:t>
            </w:r>
          </w:p>
        </w:tc>
        <w:tc>
          <w:tcPr>
            <w:tcW w:w="1877" w:type="pct"/>
            <w:noWrap/>
            <w:vAlign w:val="center"/>
          </w:tcPr>
          <w:p w14:paraId="217FA06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r w:rsidRPr="00B12FE0">
              <w:rPr>
                <w:color w:val="000000" w:themeColor="text1"/>
                <w:kern w:val="0"/>
                <w:sz w:val="21"/>
                <w:szCs w:val="21"/>
              </w:rPr>
              <w:t>+40mm</w:t>
            </w:r>
            <w:r w:rsidRPr="00B12FE0">
              <w:rPr>
                <w:color w:val="000000" w:themeColor="text1"/>
                <w:kern w:val="0"/>
                <w:sz w:val="21"/>
                <w:szCs w:val="21"/>
              </w:rPr>
              <w:t>硫酸钡涂料</w:t>
            </w:r>
          </w:p>
        </w:tc>
      </w:tr>
      <w:tr w:rsidR="00A67F21" w:rsidRPr="00B12FE0" w14:paraId="4861B039" w14:textId="77777777">
        <w:trPr>
          <w:trHeight w:val="272"/>
        </w:trPr>
        <w:tc>
          <w:tcPr>
            <w:tcW w:w="647" w:type="pct"/>
            <w:vMerge/>
            <w:vAlign w:val="center"/>
          </w:tcPr>
          <w:p w14:paraId="69FE13F6" w14:textId="77777777" w:rsidR="00A67F21" w:rsidRPr="00B12FE0" w:rsidRDefault="00A67F21">
            <w:pPr>
              <w:widowControl/>
              <w:jc w:val="center"/>
              <w:rPr>
                <w:color w:val="000000" w:themeColor="text1"/>
                <w:sz w:val="21"/>
                <w:szCs w:val="21"/>
              </w:rPr>
            </w:pPr>
          </w:p>
        </w:tc>
        <w:tc>
          <w:tcPr>
            <w:tcW w:w="998" w:type="pct"/>
            <w:vMerge/>
            <w:vAlign w:val="center"/>
          </w:tcPr>
          <w:p w14:paraId="5350C3BF" w14:textId="77777777" w:rsidR="00A67F21" w:rsidRPr="00B12FE0" w:rsidRDefault="00A67F21">
            <w:pPr>
              <w:widowControl/>
              <w:jc w:val="center"/>
              <w:rPr>
                <w:color w:val="000000" w:themeColor="text1"/>
                <w:sz w:val="21"/>
                <w:szCs w:val="21"/>
              </w:rPr>
            </w:pPr>
          </w:p>
        </w:tc>
        <w:tc>
          <w:tcPr>
            <w:tcW w:w="1479" w:type="pct"/>
            <w:vAlign w:val="center"/>
          </w:tcPr>
          <w:p w14:paraId="5C72482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274620B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7275B477" w14:textId="77777777">
        <w:trPr>
          <w:trHeight w:val="272"/>
        </w:trPr>
        <w:tc>
          <w:tcPr>
            <w:tcW w:w="647" w:type="pct"/>
            <w:vMerge/>
            <w:vAlign w:val="center"/>
          </w:tcPr>
          <w:p w14:paraId="66B246D5" w14:textId="77777777" w:rsidR="00A67F21" w:rsidRPr="00B12FE0" w:rsidRDefault="00A67F21">
            <w:pPr>
              <w:widowControl/>
              <w:jc w:val="center"/>
              <w:rPr>
                <w:color w:val="000000" w:themeColor="text1"/>
                <w:sz w:val="21"/>
                <w:szCs w:val="21"/>
              </w:rPr>
            </w:pPr>
          </w:p>
        </w:tc>
        <w:tc>
          <w:tcPr>
            <w:tcW w:w="998" w:type="pct"/>
            <w:vMerge/>
            <w:vAlign w:val="center"/>
          </w:tcPr>
          <w:p w14:paraId="60544832" w14:textId="77777777" w:rsidR="00A67F21" w:rsidRPr="00B12FE0" w:rsidRDefault="00A67F21">
            <w:pPr>
              <w:widowControl/>
              <w:jc w:val="center"/>
              <w:rPr>
                <w:color w:val="000000" w:themeColor="text1"/>
                <w:sz w:val="21"/>
                <w:szCs w:val="21"/>
              </w:rPr>
            </w:pPr>
          </w:p>
        </w:tc>
        <w:tc>
          <w:tcPr>
            <w:tcW w:w="1479" w:type="pct"/>
            <w:noWrap/>
            <w:vAlign w:val="center"/>
          </w:tcPr>
          <w:p w14:paraId="1C6298CF"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医生摆位处</w:t>
            </w:r>
          </w:p>
        </w:tc>
        <w:tc>
          <w:tcPr>
            <w:tcW w:w="1877" w:type="pct"/>
            <w:vAlign w:val="center"/>
          </w:tcPr>
          <w:p w14:paraId="0D8CED3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w:t>
            </w:r>
          </w:p>
        </w:tc>
      </w:tr>
      <w:tr w:rsidR="00A67F21" w:rsidRPr="00B12FE0" w14:paraId="4D95E23D" w14:textId="77777777">
        <w:trPr>
          <w:trHeight w:val="272"/>
        </w:trPr>
        <w:tc>
          <w:tcPr>
            <w:tcW w:w="647" w:type="pct"/>
            <w:vMerge/>
            <w:vAlign w:val="center"/>
          </w:tcPr>
          <w:p w14:paraId="289936BD" w14:textId="77777777" w:rsidR="00A67F21" w:rsidRPr="00B12FE0" w:rsidRDefault="00A67F21">
            <w:pPr>
              <w:widowControl/>
              <w:jc w:val="center"/>
              <w:rPr>
                <w:color w:val="000000" w:themeColor="text1"/>
                <w:sz w:val="21"/>
                <w:szCs w:val="21"/>
              </w:rPr>
            </w:pPr>
          </w:p>
        </w:tc>
        <w:tc>
          <w:tcPr>
            <w:tcW w:w="998" w:type="pct"/>
            <w:vMerge/>
            <w:vAlign w:val="center"/>
          </w:tcPr>
          <w:p w14:paraId="18D5ADBB" w14:textId="77777777" w:rsidR="00A67F21" w:rsidRPr="00B12FE0" w:rsidRDefault="00A67F21">
            <w:pPr>
              <w:widowControl/>
              <w:jc w:val="center"/>
              <w:rPr>
                <w:color w:val="000000" w:themeColor="text1"/>
                <w:sz w:val="21"/>
                <w:szCs w:val="21"/>
              </w:rPr>
            </w:pPr>
          </w:p>
        </w:tc>
        <w:tc>
          <w:tcPr>
            <w:tcW w:w="1479" w:type="pct"/>
            <w:noWrap/>
            <w:vAlign w:val="center"/>
          </w:tcPr>
          <w:p w14:paraId="587693D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noWrap/>
            <w:vAlign w:val="center"/>
          </w:tcPr>
          <w:p w14:paraId="5812355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r w:rsidR="00A67F21" w:rsidRPr="00B12FE0" w14:paraId="4A826C8F" w14:textId="77777777">
        <w:trPr>
          <w:trHeight w:val="272"/>
        </w:trPr>
        <w:tc>
          <w:tcPr>
            <w:tcW w:w="647" w:type="pct"/>
            <w:vMerge/>
            <w:vAlign w:val="center"/>
          </w:tcPr>
          <w:p w14:paraId="0A151382" w14:textId="77777777" w:rsidR="00A67F21" w:rsidRPr="00B12FE0" w:rsidRDefault="00A67F21">
            <w:pPr>
              <w:widowControl/>
              <w:jc w:val="center"/>
              <w:rPr>
                <w:color w:val="000000" w:themeColor="text1"/>
                <w:sz w:val="21"/>
                <w:szCs w:val="21"/>
              </w:rPr>
            </w:pPr>
          </w:p>
        </w:tc>
        <w:tc>
          <w:tcPr>
            <w:tcW w:w="998" w:type="pct"/>
            <w:vMerge/>
            <w:vAlign w:val="center"/>
          </w:tcPr>
          <w:p w14:paraId="659A116E" w14:textId="77777777" w:rsidR="00A67F21" w:rsidRPr="00B12FE0" w:rsidRDefault="00A67F21">
            <w:pPr>
              <w:widowControl/>
              <w:jc w:val="center"/>
              <w:rPr>
                <w:color w:val="000000" w:themeColor="text1"/>
                <w:sz w:val="21"/>
                <w:szCs w:val="21"/>
              </w:rPr>
            </w:pPr>
          </w:p>
        </w:tc>
        <w:tc>
          <w:tcPr>
            <w:tcW w:w="1479" w:type="pct"/>
            <w:noWrap/>
            <w:vAlign w:val="center"/>
          </w:tcPr>
          <w:p w14:paraId="629B936F"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观察窗</w:t>
            </w:r>
          </w:p>
        </w:tc>
        <w:tc>
          <w:tcPr>
            <w:tcW w:w="1877" w:type="pct"/>
            <w:vAlign w:val="center"/>
          </w:tcPr>
          <w:p w14:paraId="0573E77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4mmPb</w:t>
            </w:r>
            <w:r w:rsidRPr="00B12FE0">
              <w:rPr>
                <w:color w:val="000000" w:themeColor="text1"/>
                <w:sz w:val="21"/>
                <w:szCs w:val="21"/>
              </w:rPr>
              <w:t>铅玻璃</w:t>
            </w:r>
          </w:p>
        </w:tc>
      </w:tr>
      <w:tr w:rsidR="00A67F21" w:rsidRPr="00B12FE0" w14:paraId="41272027" w14:textId="77777777">
        <w:trPr>
          <w:trHeight w:val="272"/>
        </w:trPr>
        <w:tc>
          <w:tcPr>
            <w:tcW w:w="647" w:type="pct"/>
            <w:vMerge/>
            <w:vAlign w:val="center"/>
          </w:tcPr>
          <w:p w14:paraId="088B7E9F"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6A8556F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SPECT</w:t>
            </w:r>
            <w:r w:rsidRPr="00B12FE0">
              <w:rPr>
                <w:color w:val="000000" w:themeColor="text1"/>
                <w:kern w:val="0"/>
                <w:sz w:val="21"/>
                <w:szCs w:val="21"/>
              </w:rPr>
              <w:t>注射后候诊室</w:t>
            </w:r>
          </w:p>
        </w:tc>
        <w:tc>
          <w:tcPr>
            <w:tcW w:w="1479" w:type="pct"/>
            <w:noWrap/>
            <w:vAlign w:val="center"/>
          </w:tcPr>
          <w:p w14:paraId="18669E0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东、西北侧墙体</w:t>
            </w:r>
          </w:p>
        </w:tc>
        <w:tc>
          <w:tcPr>
            <w:tcW w:w="1877" w:type="pct"/>
            <w:noWrap/>
            <w:vAlign w:val="center"/>
          </w:tcPr>
          <w:p w14:paraId="33C9008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016D8182" w14:textId="77777777">
        <w:trPr>
          <w:trHeight w:val="272"/>
        </w:trPr>
        <w:tc>
          <w:tcPr>
            <w:tcW w:w="647" w:type="pct"/>
            <w:vMerge/>
            <w:vAlign w:val="center"/>
          </w:tcPr>
          <w:p w14:paraId="15094679" w14:textId="77777777" w:rsidR="00A67F21" w:rsidRPr="00B12FE0" w:rsidRDefault="00A67F21">
            <w:pPr>
              <w:widowControl/>
              <w:jc w:val="center"/>
              <w:rPr>
                <w:color w:val="000000" w:themeColor="text1"/>
                <w:sz w:val="21"/>
                <w:szCs w:val="21"/>
              </w:rPr>
            </w:pPr>
          </w:p>
        </w:tc>
        <w:tc>
          <w:tcPr>
            <w:tcW w:w="998" w:type="pct"/>
            <w:vMerge/>
            <w:noWrap/>
            <w:vAlign w:val="center"/>
          </w:tcPr>
          <w:p w14:paraId="1FE13C51" w14:textId="77777777" w:rsidR="00A67F21" w:rsidRPr="00B12FE0" w:rsidRDefault="00A67F21">
            <w:pPr>
              <w:widowControl/>
              <w:jc w:val="center"/>
              <w:textAlignment w:val="center"/>
              <w:rPr>
                <w:color w:val="000000" w:themeColor="text1"/>
                <w:kern w:val="0"/>
                <w:sz w:val="21"/>
                <w:szCs w:val="21"/>
              </w:rPr>
            </w:pPr>
          </w:p>
        </w:tc>
        <w:tc>
          <w:tcPr>
            <w:tcW w:w="1479" w:type="pct"/>
            <w:noWrap/>
            <w:vAlign w:val="center"/>
          </w:tcPr>
          <w:p w14:paraId="1ED3B74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南侧墙体</w:t>
            </w:r>
          </w:p>
        </w:tc>
        <w:tc>
          <w:tcPr>
            <w:tcW w:w="1877" w:type="pct"/>
            <w:noWrap/>
            <w:vAlign w:val="center"/>
          </w:tcPr>
          <w:p w14:paraId="3B2B266A"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370 mm</w:t>
            </w:r>
            <w:r w:rsidRPr="00B12FE0">
              <w:rPr>
                <w:color w:val="000000" w:themeColor="text1"/>
                <w:kern w:val="0"/>
                <w:sz w:val="21"/>
                <w:szCs w:val="21"/>
              </w:rPr>
              <w:t>实心砖</w:t>
            </w:r>
          </w:p>
        </w:tc>
      </w:tr>
      <w:tr w:rsidR="00A67F21" w:rsidRPr="00B12FE0" w14:paraId="4BD1B795" w14:textId="77777777">
        <w:trPr>
          <w:trHeight w:val="272"/>
        </w:trPr>
        <w:tc>
          <w:tcPr>
            <w:tcW w:w="647" w:type="pct"/>
            <w:vMerge/>
            <w:vAlign w:val="center"/>
          </w:tcPr>
          <w:p w14:paraId="610E1943" w14:textId="77777777" w:rsidR="00A67F21" w:rsidRPr="00B12FE0" w:rsidRDefault="00A67F21">
            <w:pPr>
              <w:widowControl/>
              <w:jc w:val="center"/>
              <w:rPr>
                <w:color w:val="000000" w:themeColor="text1"/>
                <w:sz w:val="21"/>
                <w:szCs w:val="21"/>
              </w:rPr>
            </w:pPr>
          </w:p>
        </w:tc>
        <w:tc>
          <w:tcPr>
            <w:tcW w:w="998" w:type="pct"/>
            <w:vMerge/>
            <w:vAlign w:val="center"/>
          </w:tcPr>
          <w:p w14:paraId="74EC12A7" w14:textId="77777777" w:rsidR="00A67F21" w:rsidRPr="00B12FE0" w:rsidRDefault="00A67F21">
            <w:pPr>
              <w:widowControl/>
              <w:jc w:val="center"/>
              <w:rPr>
                <w:color w:val="000000" w:themeColor="text1"/>
                <w:sz w:val="21"/>
                <w:szCs w:val="21"/>
              </w:rPr>
            </w:pPr>
          </w:p>
        </w:tc>
        <w:tc>
          <w:tcPr>
            <w:tcW w:w="1479" w:type="pct"/>
            <w:vAlign w:val="center"/>
          </w:tcPr>
          <w:p w14:paraId="1F948AE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20A0971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76839701" w14:textId="77777777">
        <w:trPr>
          <w:trHeight w:val="272"/>
        </w:trPr>
        <w:tc>
          <w:tcPr>
            <w:tcW w:w="647" w:type="pct"/>
            <w:vMerge/>
            <w:vAlign w:val="center"/>
          </w:tcPr>
          <w:p w14:paraId="477CA1A0" w14:textId="77777777" w:rsidR="00A67F21" w:rsidRPr="00B12FE0" w:rsidRDefault="00A67F21">
            <w:pPr>
              <w:widowControl/>
              <w:jc w:val="center"/>
              <w:rPr>
                <w:color w:val="000000" w:themeColor="text1"/>
                <w:sz w:val="21"/>
                <w:szCs w:val="21"/>
              </w:rPr>
            </w:pPr>
          </w:p>
        </w:tc>
        <w:tc>
          <w:tcPr>
            <w:tcW w:w="998" w:type="pct"/>
            <w:vMerge/>
            <w:vAlign w:val="center"/>
          </w:tcPr>
          <w:p w14:paraId="13515071" w14:textId="77777777" w:rsidR="00A67F21" w:rsidRPr="00B12FE0" w:rsidRDefault="00A67F21">
            <w:pPr>
              <w:widowControl/>
              <w:jc w:val="center"/>
              <w:rPr>
                <w:color w:val="000000" w:themeColor="text1"/>
                <w:sz w:val="21"/>
                <w:szCs w:val="21"/>
              </w:rPr>
            </w:pPr>
          </w:p>
        </w:tc>
        <w:tc>
          <w:tcPr>
            <w:tcW w:w="1479" w:type="pct"/>
            <w:noWrap/>
            <w:vAlign w:val="center"/>
          </w:tcPr>
          <w:p w14:paraId="3187C64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p>
        </w:tc>
        <w:tc>
          <w:tcPr>
            <w:tcW w:w="1877" w:type="pct"/>
            <w:vAlign w:val="center"/>
          </w:tcPr>
          <w:p w14:paraId="40CF9493"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r w:rsidR="00A67F21" w:rsidRPr="00B12FE0" w14:paraId="14D3CF2F" w14:textId="77777777">
        <w:trPr>
          <w:trHeight w:val="272"/>
        </w:trPr>
        <w:tc>
          <w:tcPr>
            <w:tcW w:w="647" w:type="pct"/>
            <w:vMerge/>
            <w:vAlign w:val="center"/>
          </w:tcPr>
          <w:p w14:paraId="3144E5C5" w14:textId="77777777" w:rsidR="00A67F21" w:rsidRPr="00B12FE0" w:rsidRDefault="00A67F21">
            <w:pPr>
              <w:widowControl/>
              <w:jc w:val="center"/>
              <w:rPr>
                <w:color w:val="000000" w:themeColor="text1"/>
                <w:sz w:val="21"/>
                <w:szCs w:val="21"/>
              </w:rPr>
            </w:pPr>
          </w:p>
        </w:tc>
        <w:tc>
          <w:tcPr>
            <w:tcW w:w="998" w:type="pct"/>
            <w:vMerge/>
            <w:vAlign w:val="center"/>
          </w:tcPr>
          <w:p w14:paraId="3B2F7954" w14:textId="77777777" w:rsidR="00A67F21" w:rsidRPr="00B12FE0" w:rsidRDefault="00A67F21">
            <w:pPr>
              <w:widowControl/>
              <w:jc w:val="center"/>
              <w:rPr>
                <w:color w:val="000000" w:themeColor="text1"/>
                <w:sz w:val="21"/>
                <w:szCs w:val="21"/>
              </w:rPr>
            </w:pPr>
          </w:p>
        </w:tc>
        <w:tc>
          <w:tcPr>
            <w:tcW w:w="1479" w:type="pct"/>
            <w:noWrap/>
            <w:vAlign w:val="center"/>
          </w:tcPr>
          <w:p w14:paraId="274E5F4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防护屏风</w:t>
            </w:r>
          </w:p>
        </w:tc>
        <w:tc>
          <w:tcPr>
            <w:tcW w:w="1877" w:type="pct"/>
            <w:vAlign w:val="center"/>
          </w:tcPr>
          <w:p w14:paraId="04AA5036" w14:textId="77777777" w:rsidR="00A67F21" w:rsidRPr="00B12FE0" w:rsidRDefault="00000000">
            <w:pPr>
              <w:jc w:val="center"/>
              <w:rPr>
                <w:color w:val="000000" w:themeColor="text1"/>
                <w:sz w:val="21"/>
                <w:szCs w:val="21"/>
              </w:rPr>
            </w:pPr>
            <w:r w:rsidRPr="00B12FE0">
              <w:rPr>
                <w:color w:val="000000" w:themeColor="text1"/>
                <w:sz w:val="21"/>
                <w:szCs w:val="21"/>
              </w:rPr>
              <w:t>4mm</w:t>
            </w:r>
            <w:r w:rsidRPr="00B12FE0">
              <w:rPr>
                <w:color w:val="000000" w:themeColor="text1"/>
                <w:sz w:val="21"/>
                <w:szCs w:val="21"/>
              </w:rPr>
              <w:t>铅屏风</w:t>
            </w:r>
          </w:p>
        </w:tc>
      </w:tr>
      <w:tr w:rsidR="00A67F21" w:rsidRPr="00B12FE0" w14:paraId="452FDC19" w14:textId="77777777">
        <w:trPr>
          <w:trHeight w:val="272"/>
        </w:trPr>
        <w:tc>
          <w:tcPr>
            <w:tcW w:w="647" w:type="pct"/>
            <w:vMerge/>
            <w:vAlign w:val="center"/>
          </w:tcPr>
          <w:p w14:paraId="1CBFEDF5" w14:textId="77777777" w:rsidR="00A67F21" w:rsidRPr="00B12FE0" w:rsidRDefault="00A67F21">
            <w:pPr>
              <w:widowControl/>
              <w:jc w:val="center"/>
              <w:rPr>
                <w:color w:val="000000" w:themeColor="text1"/>
                <w:sz w:val="21"/>
                <w:szCs w:val="21"/>
              </w:rPr>
            </w:pPr>
          </w:p>
        </w:tc>
        <w:tc>
          <w:tcPr>
            <w:tcW w:w="998" w:type="pct"/>
            <w:vMerge w:val="restart"/>
            <w:vAlign w:val="center"/>
          </w:tcPr>
          <w:p w14:paraId="0A18861B" w14:textId="77777777" w:rsidR="00A67F21" w:rsidRPr="00B12FE0" w:rsidRDefault="00000000">
            <w:pPr>
              <w:widowControl/>
              <w:jc w:val="center"/>
              <w:rPr>
                <w:color w:val="000000" w:themeColor="text1"/>
                <w:sz w:val="21"/>
                <w:szCs w:val="21"/>
              </w:rPr>
            </w:pPr>
            <w:proofErr w:type="gramStart"/>
            <w:r w:rsidRPr="00B12FE0">
              <w:rPr>
                <w:color w:val="000000" w:themeColor="text1"/>
                <w:sz w:val="21"/>
                <w:szCs w:val="21"/>
              </w:rPr>
              <w:t>留观室</w:t>
            </w:r>
            <w:proofErr w:type="gramEnd"/>
          </w:p>
        </w:tc>
        <w:tc>
          <w:tcPr>
            <w:tcW w:w="1479" w:type="pct"/>
            <w:noWrap/>
            <w:vAlign w:val="center"/>
          </w:tcPr>
          <w:p w14:paraId="69DD72D4"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东、西、北侧墙体</w:t>
            </w:r>
          </w:p>
        </w:tc>
        <w:tc>
          <w:tcPr>
            <w:tcW w:w="1877" w:type="pct"/>
            <w:vAlign w:val="center"/>
          </w:tcPr>
          <w:p w14:paraId="6F8B119E" w14:textId="77777777" w:rsidR="00A67F21" w:rsidRPr="00B12FE0" w:rsidRDefault="00000000">
            <w:pPr>
              <w:jc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6C7C7F12" w14:textId="77777777">
        <w:trPr>
          <w:trHeight w:val="272"/>
        </w:trPr>
        <w:tc>
          <w:tcPr>
            <w:tcW w:w="647" w:type="pct"/>
            <w:vMerge/>
            <w:vAlign w:val="center"/>
          </w:tcPr>
          <w:p w14:paraId="581B951B" w14:textId="77777777" w:rsidR="00A67F21" w:rsidRPr="00B12FE0" w:rsidRDefault="00A67F21">
            <w:pPr>
              <w:widowControl/>
              <w:jc w:val="center"/>
              <w:rPr>
                <w:color w:val="000000" w:themeColor="text1"/>
                <w:sz w:val="21"/>
                <w:szCs w:val="21"/>
              </w:rPr>
            </w:pPr>
          </w:p>
        </w:tc>
        <w:tc>
          <w:tcPr>
            <w:tcW w:w="998" w:type="pct"/>
            <w:vMerge/>
            <w:vAlign w:val="center"/>
          </w:tcPr>
          <w:p w14:paraId="35340779" w14:textId="77777777" w:rsidR="00A67F21" w:rsidRPr="00B12FE0" w:rsidRDefault="00A67F21">
            <w:pPr>
              <w:widowControl/>
              <w:jc w:val="center"/>
              <w:rPr>
                <w:color w:val="000000" w:themeColor="text1"/>
                <w:sz w:val="21"/>
                <w:szCs w:val="21"/>
              </w:rPr>
            </w:pPr>
          </w:p>
        </w:tc>
        <w:tc>
          <w:tcPr>
            <w:tcW w:w="1479" w:type="pct"/>
            <w:noWrap/>
            <w:vAlign w:val="center"/>
          </w:tcPr>
          <w:p w14:paraId="280F7E8E"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南侧墙体</w:t>
            </w:r>
          </w:p>
        </w:tc>
        <w:tc>
          <w:tcPr>
            <w:tcW w:w="1877" w:type="pct"/>
            <w:vAlign w:val="center"/>
          </w:tcPr>
          <w:p w14:paraId="7576E001" w14:textId="77777777" w:rsidR="00A67F21" w:rsidRPr="00B12FE0" w:rsidRDefault="00000000">
            <w:pPr>
              <w:jc w:val="center"/>
              <w:rPr>
                <w:color w:val="000000" w:themeColor="text1"/>
                <w:sz w:val="21"/>
                <w:szCs w:val="21"/>
              </w:rPr>
            </w:pPr>
            <w:r w:rsidRPr="00B12FE0">
              <w:rPr>
                <w:color w:val="000000" w:themeColor="text1"/>
                <w:kern w:val="0"/>
                <w:sz w:val="21"/>
                <w:szCs w:val="21"/>
              </w:rPr>
              <w:t>370 mm</w:t>
            </w:r>
            <w:r w:rsidRPr="00B12FE0">
              <w:rPr>
                <w:color w:val="000000" w:themeColor="text1"/>
                <w:kern w:val="0"/>
                <w:sz w:val="21"/>
                <w:szCs w:val="21"/>
              </w:rPr>
              <w:t>实心砖</w:t>
            </w:r>
          </w:p>
        </w:tc>
      </w:tr>
      <w:tr w:rsidR="00A67F21" w:rsidRPr="00B12FE0" w14:paraId="37467410" w14:textId="77777777">
        <w:trPr>
          <w:trHeight w:val="272"/>
        </w:trPr>
        <w:tc>
          <w:tcPr>
            <w:tcW w:w="647" w:type="pct"/>
            <w:vMerge/>
            <w:vAlign w:val="center"/>
          </w:tcPr>
          <w:p w14:paraId="7F23C75A" w14:textId="77777777" w:rsidR="00A67F21" w:rsidRPr="00B12FE0" w:rsidRDefault="00A67F21">
            <w:pPr>
              <w:widowControl/>
              <w:jc w:val="center"/>
              <w:rPr>
                <w:color w:val="000000" w:themeColor="text1"/>
                <w:sz w:val="21"/>
                <w:szCs w:val="21"/>
              </w:rPr>
            </w:pPr>
          </w:p>
        </w:tc>
        <w:tc>
          <w:tcPr>
            <w:tcW w:w="998" w:type="pct"/>
            <w:vMerge/>
            <w:vAlign w:val="center"/>
          </w:tcPr>
          <w:p w14:paraId="1AA3C49A" w14:textId="77777777" w:rsidR="00A67F21" w:rsidRPr="00B12FE0" w:rsidRDefault="00A67F21">
            <w:pPr>
              <w:widowControl/>
              <w:jc w:val="center"/>
              <w:rPr>
                <w:color w:val="000000" w:themeColor="text1"/>
                <w:sz w:val="21"/>
                <w:szCs w:val="21"/>
              </w:rPr>
            </w:pPr>
          </w:p>
        </w:tc>
        <w:tc>
          <w:tcPr>
            <w:tcW w:w="1479" w:type="pct"/>
            <w:noWrap/>
            <w:vAlign w:val="center"/>
          </w:tcPr>
          <w:p w14:paraId="17BA19F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顶棚</w:t>
            </w:r>
          </w:p>
        </w:tc>
        <w:tc>
          <w:tcPr>
            <w:tcW w:w="1877" w:type="pct"/>
            <w:vAlign w:val="center"/>
          </w:tcPr>
          <w:p w14:paraId="5983FB24" w14:textId="77777777" w:rsidR="00A67F21" w:rsidRPr="00B12FE0" w:rsidRDefault="00000000">
            <w:pPr>
              <w:jc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53C3B9E4" w14:textId="77777777">
        <w:trPr>
          <w:trHeight w:val="272"/>
        </w:trPr>
        <w:tc>
          <w:tcPr>
            <w:tcW w:w="647" w:type="pct"/>
            <w:vMerge/>
            <w:vAlign w:val="center"/>
          </w:tcPr>
          <w:p w14:paraId="24DF5771" w14:textId="77777777" w:rsidR="00A67F21" w:rsidRPr="00B12FE0" w:rsidRDefault="00A67F21">
            <w:pPr>
              <w:widowControl/>
              <w:jc w:val="center"/>
              <w:rPr>
                <w:color w:val="000000" w:themeColor="text1"/>
                <w:sz w:val="21"/>
                <w:szCs w:val="21"/>
              </w:rPr>
            </w:pPr>
          </w:p>
        </w:tc>
        <w:tc>
          <w:tcPr>
            <w:tcW w:w="998" w:type="pct"/>
            <w:vMerge/>
            <w:vAlign w:val="center"/>
          </w:tcPr>
          <w:p w14:paraId="272A446C" w14:textId="77777777" w:rsidR="00A67F21" w:rsidRPr="00B12FE0" w:rsidRDefault="00A67F21">
            <w:pPr>
              <w:widowControl/>
              <w:jc w:val="center"/>
              <w:rPr>
                <w:color w:val="000000" w:themeColor="text1"/>
                <w:sz w:val="21"/>
                <w:szCs w:val="21"/>
              </w:rPr>
            </w:pPr>
          </w:p>
        </w:tc>
        <w:tc>
          <w:tcPr>
            <w:tcW w:w="1479" w:type="pct"/>
            <w:noWrap/>
            <w:vAlign w:val="center"/>
          </w:tcPr>
          <w:p w14:paraId="1B8FA9D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防护门</w:t>
            </w:r>
          </w:p>
        </w:tc>
        <w:tc>
          <w:tcPr>
            <w:tcW w:w="1877" w:type="pct"/>
            <w:vAlign w:val="center"/>
          </w:tcPr>
          <w:p w14:paraId="717294CF" w14:textId="77777777" w:rsidR="00A67F21" w:rsidRPr="00B12FE0" w:rsidRDefault="00000000">
            <w:pPr>
              <w:jc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31D6F3BA" w14:textId="77777777">
        <w:trPr>
          <w:trHeight w:val="272"/>
        </w:trPr>
        <w:tc>
          <w:tcPr>
            <w:tcW w:w="647" w:type="pct"/>
            <w:vMerge/>
            <w:vAlign w:val="center"/>
          </w:tcPr>
          <w:p w14:paraId="16BF40DD" w14:textId="77777777" w:rsidR="00A67F21" w:rsidRPr="00B12FE0" w:rsidRDefault="00A67F21">
            <w:pPr>
              <w:widowControl/>
              <w:jc w:val="center"/>
              <w:rPr>
                <w:color w:val="000000" w:themeColor="text1"/>
                <w:sz w:val="21"/>
                <w:szCs w:val="21"/>
              </w:rPr>
            </w:pPr>
          </w:p>
        </w:tc>
        <w:tc>
          <w:tcPr>
            <w:tcW w:w="998" w:type="pct"/>
            <w:vMerge w:val="restart"/>
            <w:vAlign w:val="center"/>
          </w:tcPr>
          <w:p w14:paraId="42281A61" w14:textId="77777777" w:rsidR="00A67F21" w:rsidRPr="00B12FE0" w:rsidRDefault="00000000">
            <w:pPr>
              <w:widowControl/>
              <w:jc w:val="center"/>
              <w:rPr>
                <w:color w:val="000000" w:themeColor="text1"/>
                <w:sz w:val="21"/>
                <w:szCs w:val="21"/>
              </w:rPr>
            </w:pPr>
            <w:proofErr w:type="gramStart"/>
            <w:r w:rsidRPr="00B12FE0">
              <w:rPr>
                <w:color w:val="000000" w:themeColor="text1"/>
                <w:kern w:val="0"/>
                <w:sz w:val="21"/>
                <w:szCs w:val="21"/>
              </w:rPr>
              <w:t>污洗</w:t>
            </w:r>
            <w:proofErr w:type="gramEnd"/>
            <w:r w:rsidRPr="00B12FE0">
              <w:rPr>
                <w:color w:val="000000" w:themeColor="text1"/>
                <w:kern w:val="0"/>
                <w:sz w:val="21"/>
                <w:szCs w:val="21"/>
              </w:rPr>
              <w:t>/</w:t>
            </w:r>
            <w:r w:rsidRPr="00B12FE0">
              <w:rPr>
                <w:color w:val="000000" w:themeColor="text1"/>
                <w:kern w:val="0"/>
                <w:sz w:val="21"/>
                <w:szCs w:val="21"/>
              </w:rPr>
              <w:t>污物暂存</w:t>
            </w:r>
          </w:p>
        </w:tc>
        <w:tc>
          <w:tcPr>
            <w:tcW w:w="1479" w:type="pct"/>
            <w:noWrap/>
            <w:vAlign w:val="center"/>
          </w:tcPr>
          <w:p w14:paraId="1788C8A4"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东、西、北侧墙体</w:t>
            </w:r>
          </w:p>
        </w:tc>
        <w:tc>
          <w:tcPr>
            <w:tcW w:w="1877" w:type="pct"/>
            <w:vAlign w:val="center"/>
          </w:tcPr>
          <w:p w14:paraId="75860767" w14:textId="77777777" w:rsidR="00A67F21" w:rsidRPr="00B12FE0" w:rsidRDefault="00000000">
            <w:pPr>
              <w:jc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p>
        </w:tc>
      </w:tr>
      <w:tr w:rsidR="00A67F21" w:rsidRPr="00B12FE0" w14:paraId="1A618A2F" w14:textId="77777777">
        <w:trPr>
          <w:trHeight w:val="272"/>
        </w:trPr>
        <w:tc>
          <w:tcPr>
            <w:tcW w:w="647" w:type="pct"/>
            <w:vMerge/>
            <w:vAlign w:val="center"/>
          </w:tcPr>
          <w:p w14:paraId="1E510369" w14:textId="77777777" w:rsidR="00A67F21" w:rsidRPr="00B12FE0" w:rsidRDefault="00A67F21">
            <w:pPr>
              <w:widowControl/>
              <w:jc w:val="center"/>
              <w:rPr>
                <w:color w:val="000000" w:themeColor="text1"/>
                <w:sz w:val="21"/>
                <w:szCs w:val="21"/>
              </w:rPr>
            </w:pPr>
          </w:p>
        </w:tc>
        <w:tc>
          <w:tcPr>
            <w:tcW w:w="998" w:type="pct"/>
            <w:vMerge/>
            <w:vAlign w:val="center"/>
          </w:tcPr>
          <w:p w14:paraId="24FC88A5" w14:textId="77777777" w:rsidR="00A67F21" w:rsidRPr="00B12FE0" w:rsidRDefault="00A67F21">
            <w:pPr>
              <w:widowControl/>
              <w:jc w:val="center"/>
              <w:rPr>
                <w:color w:val="000000" w:themeColor="text1"/>
                <w:sz w:val="21"/>
                <w:szCs w:val="21"/>
              </w:rPr>
            </w:pPr>
          </w:p>
        </w:tc>
        <w:tc>
          <w:tcPr>
            <w:tcW w:w="1479" w:type="pct"/>
            <w:noWrap/>
            <w:vAlign w:val="center"/>
          </w:tcPr>
          <w:p w14:paraId="0712EFF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南侧墙体</w:t>
            </w:r>
          </w:p>
        </w:tc>
        <w:tc>
          <w:tcPr>
            <w:tcW w:w="1877" w:type="pct"/>
            <w:vAlign w:val="center"/>
          </w:tcPr>
          <w:p w14:paraId="7C8BCDC2" w14:textId="77777777" w:rsidR="00A67F21" w:rsidRPr="00B12FE0" w:rsidRDefault="00000000">
            <w:pPr>
              <w:jc w:val="center"/>
              <w:rPr>
                <w:color w:val="000000" w:themeColor="text1"/>
                <w:sz w:val="21"/>
                <w:szCs w:val="21"/>
              </w:rPr>
            </w:pPr>
            <w:r w:rsidRPr="00B12FE0">
              <w:rPr>
                <w:color w:val="000000" w:themeColor="text1"/>
                <w:kern w:val="0"/>
                <w:sz w:val="21"/>
                <w:szCs w:val="21"/>
              </w:rPr>
              <w:t>370 mm</w:t>
            </w:r>
            <w:r w:rsidRPr="00B12FE0">
              <w:rPr>
                <w:color w:val="000000" w:themeColor="text1"/>
                <w:kern w:val="0"/>
                <w:sz w:val="21"/>
                <w:szCs w:val="21"/>
              </w:rPr>
              <w:t>实心砖</w:t>
            </w:r>
          </w:p>
        </w:tc>
      </w:tr>
      <w:tr w:rsidR="00A67F21" w:rsidRPr="00B12FE0" w14:paraId="6925AA54" w14:textId="77777777">
        <w:trPr>
          <w:trHeight w:val="272"/>
        </w:trPr>
        <w:tc>
          <w:tcPr>
            <w:tcW w:w="647" w:type="pct"/>
            <w:vMerge/>
            <w:vAlign w:val="center"/>
          </w:tcPr>
          <w:p w14:paraId="2AFEE68C" w14:textId="77777777" w:rsidR="00A67F21" w:rsidRPr="00B12FE0" w:rsidRDefault="00A67F21">
            <w:pPr>
              <w:widowControl/>
              <w:jc w:val="center"/>
              <w:rPr>
                <w:color w:val="000000" w:themeColor="text1"/>
                <w:sz w:val="21"/>
                <w:szCs w:val="21"/>
              </w:rPr>
            </w:pPr>
          </w:p>
        </w:tc>
        <w:tc>
          <w:tcPr>
            <w:tcW w:w="998" w:type="pct"/>
            <w:vMerge/>
            <w:vAlign w:val="center"/>
          </w:tcPr>
          <w:p w14:paraId="0FDF488D" w14:textId="77777777" w:rsidR="00A67F21" w:rsidRPr="00B12FE0" w:rsidRDefault="00A67F21">
            <w:pPr>
              <w:widowControl/>
              <w:jc w:val="center"/>
              <w:rPr>
                <w:color w:val="000000" w:themeColor="text1"/>
                <w:sz w:val="21"/>
                <w:szCs w:val="21"/>
              </w:rPr>
            </w:pPr>
          </w:p>
        </w:tc>
        <w:tc>
          <w:tcPr>
            <w:tcW w:w="1479" w:type="pct"/>
            <w:noWrap/>
            <w:vAlign w:val="center"/>
          </w:tcPr>
          <w:p w14:paraId="03EF0BD7"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顶棚</w:t>
            </w:r>
          </w:p>
        </w:tc>
        <w:tc>
          <w:tcPr>
            <w:tcW w:w="1877" w:type="pct"/>
            <w:vAlign w:val="center"/>
          </w:tcPr>
          <w:p w14:paraId="04A5D694" w14:textId="77777777" w:rsidR="00A67F21" w:rsidRPr="00B12FE0" w:rsidRDefault="00000000">
            <w:pPr>
              <w:jc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2B64978F" w14:textId="77777777">
        <w:trPr>
          <w:trHeight w:val="272"/>
        </w:trPr>
        <w:tc>
          <w:tcPr>
            <w:tcW w:w="647" w:type="pct"/>
            <w:vMerge/>
            <w:vAlign w:val="center"/>
          </w:tcPr>
          <w:p w14:paraId="65044C0E" w14:textId="77777777" w:rsidR="00A67F21" w:rsidRPr="00B12FE0" w:rsidRDefault="00A67F21">
            <w:pPr>
              <w:widowControl/>
              <w:jc w:val="center"/>
              <w:rPr>
                <w:color w:val="000000" w:themeColor="text1"/>
                <w:sz w:val="21"/>
                <w:szCs w:val="21"/>
              </w:rPr>
            </w:pPr>
          </w:p>
        </w:tc>
        <w:tc>
          <w:tcPr>
            <w:tcW w:w="998" w:type="pct"/>
            <w:vMerge/>
            <w:vAlign w:val="center"/>
          </w:tcPr>
          <w:p w14:paraId="70E6925E" w14:textId="77777777" w:rsidR="00A67F21" w:rsidRPr="00B12FE0" w:rsidRDefault="00A67F21">
            <w:pPr>
              <w:widowControl/>
              <w:jc w:val="center"/>
              <w:rPr>
                <w:color w:val="000000" w:themeColor="text1"/>
                <w:sz w:val="21"/>
                <w:szCs w:val="21"/>
              </w:rPr>
            </w:pPr>
          </w:p>
        </w:tc>
        <w:tc>
          <w:tcPr>
            <w:tcW w:w="1479" w:type="pct"/>
            <w:noWrap/>
            <w:vAlign w:val="center"/>
          </w:tcPr>
          <w:p w14:paraId="588A25D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防护门</w:t>
            </w:r>
          </w:p>
        </w:tc>
        <w:tc>
          <w:tcPr>
            <w:tcW w:w="1877" w:type="pct"/>
            <w:vAlign w:val="center"/>
          </w:tcPr>
          <w:p w14:paraId="46D9C4ED" w14:textId="77777777" w:rsidR="00A67F21" w:rsidRPr="00B12FE0" w:rsidRDefault="00000000">
            <w:pPr>
              <w:jc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6mm</w:t>
            </w:r>
            <w:r w:rsidRPr="00B12FE0">
              <w:rPr>
                <w:color w:val="000000" w:themeColor="text1"/>
                <w:sz w:val="21"/>
                <w:szCs w:val="21"/>
              </w:rPr>
              <w:t>铅板</w:t>
            </w:r>
          </w:p>
        </w:tc>
      </w:tr>
      <w:tr w:rsidR="00A67F21" w:rsidRPr="00B12FE0" w14:paraId="3BB8EA2D" w14:textId="77777777">
        <w:trPr>
          <w:trHeight w:val="272"/>
        </w:trPr>
        <w:tc>
          <w:tcPr>
            <w:tcW w:w="647" w:type="pct"/>
            <w:vMerge/>
            <w:vAlign w:val="center"/>
          </w:tcPr>
          <w:p w14:paraId="4D170C29"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083A581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病人通道</w:t>
            </w:r>
          </w:p>
        </w:tc>
        <w:tc>
          <w:tcPr>
            <w:tcW w:w="1479" w:type="pct"/>
            <w:vAlign w:val="center"/>
          </w:tcPr>
          <w:p w14:paraId="4153147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2B461C5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51F509BC" w14:textId="77777777">
        <w:trPr>
          <w:trHeight w:val="272"/>
        </w:trPr>
        <w:tc>
          <w:tcPr>
            <w:tcW w:w="647" w:type="pct"/>
            <w:vMerge/>
            <w:vAlign w:val="center"/>
          </w:tcPr>
          <w:p w14:paraId="3FFC9445" w14:textId="77777777" w:rsidR="00A67F21" w:rsidRPr="00B12FE0" w:rsidRDefault="00A67F21">
            <w:pPr>
              <w:widowControl/>
              <w:jc w:val="center"/>
              <w:rPr>
                <w:color w:val="000000" w:themeColor="text1"/>
                <w:sz w:val="21"/>
                <w:szCs w:val="21"/>
              </w:rPr>
            </w:pPr>
          </w:p>
        </w:tc>
        <w:tc>
          <w:tcPr>
            <w:tcW w:w="998" w:type="pct"/>
            <w:vMerge/>
            <w:vAlign w:val="center"/>
          </w:tcPr>
          <w:p w14:paraId="57D0DF53" w14:textId="77777777" w:rsidR="00A67F21" w:rsidRPr="00B12FE0" w:rsidRDefault="00A67F21">
            <w:pPr>
              <w:widowControl/>
              <w:jc w:val="center"/>
              <w:rPr>
                <w:color w:val="000000" w:themeColor="text1"/>
                <w:sz w:val="21"/>
                <w:szCs w:val="21"/>
              </w:rPr>
            </w:pPr>
          </w:p>
        </w:tc>
        <w:tc>
          <w:tcPr>
            <w:tcW w:w="1479" w:type="pct"/>
            <w:noWrap/>
            <w:vAlign w:val="center"/>
          </w:tcPr>
          <w:p w14:paraId="03145F3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3</w:t>
            </w:r>
            <w:r w:rsidRPr="00B12FE0">
              <w:rPr>
                <w:color w:val="000000" w:themeColor="text1"/>
                <w:kern w:val="0"/>
                <w:sz w:val="21"/>
                <w:szCs w:val="21"/>
              </w:rPr>
              <w:t>扇）</w:t>
            </w:r>
          </w:p>
        </w:tc>
        <w:tc>
          <w:tcPr>
            <w:tcW w:w="1877" w:type="pct"/>
            <w:vAlign w:val="center"/>
          </w:tcPr>
          <w:p w14:paraId="3F94FE8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3E204AD7" w14:textId="77777777">
        <w:trPr>
          <w:trHeight w:val="272"/>
        </w:trPr>
        <w:tc>
          <w:tcPr>
            <w:tcW w:w="647" w:type="pct"/>
            <w:vMerge w:val="restart"/>
            <w:noWrap/>
            <w:vAlign w:val="center"/>
          </w:tcPr>
          <w:p w14:paraId="408364D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核素治疗场所</w:t>
            </w:r>
          </w:p>
        </w:tc>
        <w:tc>
          <w:tcPr>
            <w:tcW w:w="998" w:type="pct"/>
            <w:vMerge w:val="restart"/>
            <w:noWrap/>
            <w:vAlign w:val="center"/>
          </w:tcPr>
          <w:p w14:paraId="0BC04308"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高活室</w:t>
            </w:r>
            <w:proofErr w:type="gramEnd"/>
          </w:p>
        </w:tc>
        <w:tc>
          <w:tcPr>
            <w:tcW w:w="1479" w:type="pct"/>
            <w:noWrap/>
            <w:vAlign w:val="center"/>
          </w:tcPr>
          <w:p w14:paraId="69D842D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288980D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实心砖</w:t>
            </w:r>
          </w:p>
        </w:tc>
      </w:tr>
      <w:tr w:rsidR="00A67F21" w:rsidRPr="00B12FE0" w14:paraId="0E19A3B5" w14:textId="77777777">
        <w:trPr>
          <w:trHeight w:val="272"/>
        </w:trPr>
        <w:tc>
          <w:tcPr>
            <w:tcW w:w="647" w:type="pct"/>
            <w:vMerge/>
            <w:vAlign w:val="center"/>
          </w:tcPr>
          <w:p w14:paraId="77E3DD50" w14:textId="77777777" w:rsidR="00A67F21" w:rsidRPr="00B12FE0" w:rsidRDefault="00A67F21">
            <w:pPr>
              <w:widowControl/>
              <w:jc w:val="center"/>
              <w:rPr>
                <w:color w:val="000000" w:themeColor="text1"/>
                <w:sz w:val="21"/>
                <w:szCs w:val="21"/>
              </w:rPr>
            </w:pPr>
          </w:p>
        </w:tc>
        <w:tc>
          <w:tcPr>
            <w:tcW w:w="998" w:type="pct"/>
            <w:vMerge/>
            <w:vAlign w:val="center"/>
          </w:tcPr>
          <w:p w14:paraId="7BAE43A4" w14:textId="77777777" w:rsidR="00A67F21" w:rsidRPr="00B12FE0" w:rsidRDefault="00A67F21">
            <w:pPr>
              <w:widowControl/>
              <w:jc w:val="center"/>
              <w:rPr>
                <w:color w:val="000000" w:themeColor="text1"/>
                <w:sz w:val="21"/>
                <w:szCs w:val="21"/>
              </w:rPr>
            </w:pPr>
          </w:p>
        </w:tc>
        <w:tc>
          <w:tcPr>
            <w:tcW w:w="1479" w:type="pct"/>
            <w:noWrap/>
            <w:vAlign w:val="center"/>
          </w:tcPr>
          <w:p w14:paraId="6765D4E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48A5722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11F68A4B" w14:textId="77777777">
        <w:trPr>
          <w:trHeight w:val="272"/>
        </w:trPr>
        <w:tc>
          <w:tcPr>
            <w:tcW w:w="647" w:type="pct"/>
            <w:vMerge/>
            <w:vAlign w:val="center"/>
          </w:tcPr>
          <w:p w14:paraId="08AA0031" w14:textId="77777777" w:rsidR="00A67F21" w:rsidRPr="00B12FE0" w:rsidRDefault="00A67F21">
            <w:pPr>
              <w:widowControl/>
              <w:jc w:val="center"/>
              <w:rPr>
                <w:color w:val="000000" w:themeColor="text1"/>
                <w:sz w:val="21"/>
                <w:szCs w:val="21"/>
              </w:rPr>
            </w:pPr>
          </w:p>
        </w:tc>
        <w:tc>
          <w:tcPr>
            <w:tcW w:w="998" w:type="pct"/>
            <w:vMerge/>
            <w:vAlign w:val="center"/>
          </w:tcPr>
          <w:p w14:paraId="7CD61C6F" w14:textId="77777777" w:rsidR="00A67F21" w:rsidRPr="00B12FE0" w:rsidRDefault="00A67F21">
            <w:pPr>
              <w:widowControl/>
              <w:jc w:val="center"/>
              <w:rPr>
                <w:color w:val="000000" w:themeColor="text1"/>
                <w:sz w:val="21"/>
                <w:szCs w:val="21"/>
              </w:rPr>
            </w:pPr>
          </w:p>
        </w:tc>
        <w:tc>
          <w:tcPr>
            <w:tcW w:w="1479" w:type="pct"/>
            <w:vAlign w:val="center"/>
          </w:tcPr>
          <w:p w14:paraId="3D0DB6D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地坪</w:t>
            </w:r>
          </w:p>
        </w:tc>
        <w:tc>
          <w:tcPr>
            <w:tcW w:w="1877" w:type="pct"/>
            <w:vAlign w:val="center"/>
          </w:tcPr>
          <w:p w14:paraId="522C8BA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550913EF" w14:textId="77777777">
        <w:trPr>
          <w:trHeight w:val="272"/>
        </w:trPr>
        <w:tc>
          <w:tcPr>
            <w:tcW w:w="647" w:type="pct"/>
            <w:vMerge/>
            <w:vAlign w:val="center"/>
          </w:tcPr>
          <w:p w14:paraId="3A24260E" w14:textId="77777777" w:rsidR="00A67F21" w:rsidRPr="00B12FE0" w:rsidRDefault="00A67F21">
            <w:pPr>
              <w:widowControl/>
              <w:jc w:val="center"/>
              <w:rPr>
                <w:color w:val="000000" w:themeColor="text1"/>
                <w:sz w:val="21"/>
                <w:szCs w:val="21"/>
              </w:rPr>
            </w:pPr>
          </w:p>
        </w:tc>
        <w:tc>
          <w:tcPr>
            <w:tcW w:w="998" w:type="pct"/>
            <w:vMerge/>
            <w:vAlign w:val="center"/>
          </w:tcPr>
          <w:p w14:paraId="17D4B384" w14:textId="77777777" w:rsidR="00A67F21" w:rsidRPr="00B12FE0" w:rsidRDefault="00A67F21">
            <w:pPr>
              <w:widowControl/>
              <w:jc w:val="center"/>
              <w:rPr>
                <w:color w:val="000000" w:themeColor="text1"/>
                <w:sz w:val="21"/>
                <w:szCs w:val="21"/>
              </w:rPr>
            </w:pPr>
          </w:p>
        </w:tc>
        <w:tc>
          <w:tcPr>
            <w:tcW w:w="1479" w:type="pct"/>
            <w:noWrap/>
            <w:vAlign w:val="center"/>
          </w:tcPr>
          <w:p w14:paraId="55F78CE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服药窗</w:t>
            </w:r>
          </w:p>
        </w:tc>
        <w:tc>
          <w:tcPr>
            <w:tcW w:w="1877" w:type="pct"/>
            <w:vAlign w:val="center"/>
          </w:tcPr>
          <w:p w14:paraId="14E5F58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40mm</w:t>
            </w:r>
            <w:r w:rsidRPr="00B12FE0">
              <w:rPr>
                <w:color w:val="000000" w:themeColor="text1"/>
                <w:sz w:val="21"/>
                <w:szCs w:val="21"/>
              </w:rPr>
              <w:t>铅玻璃</w:t>
            </w:r>
          </w:p>
        </w:tc>
      </w:tr>
      <w:tr w:rsidR="00A67F21" w:rsidRPr="00B12FE0" w14:paraId="2A1063AA" w14:textId="77777777">
        <w:trPr>
          <w:trHeight w:val="272"/>
        </w:trPr>
        <w:tc>
          <w:tcPr>
            <w:tcW w:w="647" w:type="pct"/>
            <w:vMerge/>
            <w:vAlign w:val="center"/>
          </w:tcPr>
          <w:p w14:paraId="584E9422" w14:textId="77777777" w:rsidR="00A67F21" w:rsidRPr="00B12FE0" w:rsidRDefault="00A67F21">
            <w:pPr>
              <w:widowControl/>
              <w:jc w:val="center"/>
              <w:rPr>
                <w:color w:val="000000" w:themeColor="text1"/>
                <w:sz w:val="21"/>
                <w:szCs w:val="21"/>
              </w:rPr>
            </w:pPr>
          </w:p>
        </w:tc>
        <w:tc>
          <w:tcPr>
            <w:tcW w:w="998" w:type="pct"/>
            <w:vMerge/>
            <w:vAlign w:val="center"/>
          </w:tcPr>
          <w:p w14:paraId="5995D429" w14:textId="77777777" w:rsidR="00A67F21" w:rsidRPr="00B12FE0" w:rsidRDefault="00A67F21">
            <w:pPr>
              <w:widowControl/>
              <w:jc w:val="center"/>
              <w:rPr>
                <w:color w:val="000000" w:themeColor="text1"/>
                <w:sz w:val="21"/>
                <w:szCs w:val="21"/>
              </w:rPr>
            </w:pPr>
          </w:p>
        </w:tc>
        <w:tc>
          <w:tcPr>
            <w:tcW w:w="1479" w:type="pct"/>
            <w:vAlign w:val="center"/>
          </w:tcPr>
          <w:p w14:paraId="63F913B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3</w:t>
            </w:r>
            <w:r w:rsidRPr="00B12FE0">
              <w:rPr>
                <w:color w:val="000000" w:themeColor="text1"/>
                <w:kern w:val="0"/>
                <w:sz w:val="21"/>
                <w:szCs w:val="21"/>
              </w:rPr>
              <w:t>扇）</w:t>
            </w:r>
          </w:p>
        </w:tc>
        <w:tc>
          <w:tcPr>
            <w:tcW w:w="1877" w:type="pct"/>
            <w:vAlign w:val="center"/>
          </w:tcPr>
          <w:p w14:paraId="65773A9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8mm</w:t>
            </w:r>
            <w:r w:rsidRPr="00B12FE0">
              <w:rPr>
                <w:color w:val="000000" w:themeColor="text1"/>
                <w:sz w:val="21"/>
                <w:szCs w:val="21"/>
              </w:rPr>
              <w:t>铅板</w:t>
            </w:r>
          </w:p>
        </w:tc>
      </w:tr>
      <w:tr w:rsidR="00A67F21" w:rsidRPr="00B12FE0" w14:paraId="6E1BC05F" w14:textId="77777777">
        <w:trPr>
          <w:trHeight w:val="272"/>
        </w:trPr>
        <w:tc>
          <w:tcPr>
            <w:tcW w:w="647" w:type="pct"/>
            <w:vMerge/>
            <w:vAlign w:val="center"/>
          </w:tcPr>
          <w:p w14:paraId="51CC474D"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24D826F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储源室</w:t>
            </w:r>
          </w:p>
        </w:tc>
        <w:tc>
          <w:tcPr>
            <w:tcW w:w="1479" w:type="pct"/>
            <w:noWrap/>
            <w:vAlign w:val="center"/>
          </w:tcPr>
          <w:p w14:paraId="135AE0D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206F6FA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实心砖</w:t>
            </w:r>
          </w:p>
        </w:tc>
      </w:tr>
      <w:tr w:rsidR="00A67F21" w:rsidRPr="00B12FE0" w14:paraId="004E14E0" w14:textId="77777777">
        <w:trPr>
          <w:trHeight w:val="272"/>
        </w:trPr>
        <w:tc>
          <w:tcPr>
            <w:tcW w:w="647" w:type="pct"/>
            <w:vMerge/>
            <w:vAlign w:val="center"/>
          </w:tcPr>
          <w:p w14:paraId="39AFE0C4" w14:textId="77777777" w:rsidR="00A67F21" w:rsidRPr="00B12FE0" w:rsidRDefault="00A67F21">
            <w:pPr>
              <w:widowControl/>
              <w:jc w:val="center"/>
              <w:rPr>
                <w:color w:val="000000" w:themeColor="text1"/>
                <w:sz w:val="21"/>
                <w:szCs w:val="21"/>
              </w:rPr>
            </w:pPr>
          </w:p>
        </w:tc>
        <w:tc>
          <w:tcPr>
            <w:tcW w:w="998" w:type="pct"/>
            <w:vMerge/>
            <w:vAlign w:val="center"/>
          </w:tcPr>
          <w:p w14:paraId="2B4E9A8B" w14:textId="77777777" w:rsidR="00A67F21" w:rsidRPr="00B12FE0" w:rsidRDefault="00A67F21">
            <w:pPr>
              <w:widowControl/>
              <w:jc w:val="center"/>
              <w:rPr>
                <w:color w:val="000000" w:themeColor="text1"/>
                <w:sz w:val="21"/>
                <w:szCs w:val="21"/>
              </w:rPr>
            </w:pPr>
          </w:p>
        </w:tc>
        <w:tc>
          <w:tcPr>
            <w:tcW w:w="1479" w:type="pct"/>
            <w:noWrap/>
            <w:vAlign w:val="center"/>
          </w:tcPr>
          <w:p w14:paraId="018B8A1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613D1B5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179F62C4" w14:textId="77777777">
        <w:trPr>
          <w:trHeight w:val="272"/>
        </w:trPr>
        <w:tc>
          <w:tcPr>
            <w:tcW w:w="647" w:type="pct"/>
            <w:vMerge/>
            <w:vAlign w:val="center"/>
          </w:tcPr>
          <w:p w14:paraId="4E838C86" w14:textId="77777777" w:rsidR="00A67F21" w:rsidRPr="00B12FE0" w:rsidRDefault="00A67F21">
            <w:pPr>
              <w:widowControl/>
              <w:jc w:val="center"/>
              <w:rPr>
                <w:color w:val="000000" w:themeColor="text1"/>
                <w:sz w:val="21"/>
                <w:szCs w:val="21"/>
              </w:rPr>
            </w:pPr>
          </w:p>
        </w:tc>
        <w:tc>
          <w:tcPr>
            <w:tcW w:w="998" w:type="pct"/>
            <w:vMerge/>
            <w:vAlign w:val="center"/>
          </w:tcPr>
          <w:p w14:paraId="27B2BE89" w14:textId="77777777" w:rsidR="00A67F21" w:rsidRPr="00B12FE0" w:rsidRDefault="00A67F21">
            <w:pPr>
              <w:widowControl/>
              <w:jc w:val="center"/>
              <w:rPr>
                <w:color w:val="000000" w:themeColor="text1"/>
                <w:sz w:val="21"/>
                <w:szCs w:val="21"/>
              </w:rPr>
            </w:pPr>
          </w:p>
        </w:tc>
        <w:tc>
          <w:tcPr>
            <w:tcW w:w="1479" w:type="pct"/>
            <w:noWrap/>
            <w:vAlign w:val="center"/>
          </w:tcPr>
          <w:p w14:paraId="0F44451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地坪</w:t>
            </w:r>
          </w:p>
        </w:tc>
        <w:tc>
          <w:tcPr>
            <w:tcW w:w="1877" w:type="pct"/>
            <w:noWrap/>
            <w:vAlign w:val="center"/>
          </w:tcPr>
          <w:p w14:paraId="491A78F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554B6BA7" w14:textId="77777777">
        <w:trPr>
          <w:trHeight w:val="272"/>
        </w:trPr>
        <w:tc>
          <w:tcPr>
            <w:tcW w:w="647" w:type="pct"/>
            <w:vMerge/>
            <w:vAlign w:val="center"/>
          </w:tcPr>
          <w:p w14:paraId="589CB42C" w14:textId="77777777" w:rsidR="00A67F21" w:rsidRPr="00B12FE0" w:rsidRDefault="00A67F21">
            <w:pPr>
              <w:widowControl/>
              <w:jc w:val="center"/>
              <w:rPr>
                <w:color w:val="000000" w:themeColor="text1"/>
                <w:sz w:val="21"/>
                <w:szCs w:val="21"/>
              </w:rPr>
            </w:pPr>
          </w:p>
        </w:tc>
        <w:tc>
          <w:tcPr>
            <w:tcW w:w="998" w:type="pct"/>
            <w:vMerge/>
            <w:vAlign w:val="center"/>
          </w:tcPr>
          <w:p w14:paraId="0EB8D3F4" w14:textId="77777777" w:rsidR="00A67F21" w:rsidRPr="00B12FE0" w:rsidRDefault="00A67F21">
            <w:pPr>
              <w:widowControl/>
              <w:jc w:val="center"/>
              <w:rPr>
                <w:color w:val="000000" w:themeColor="text1"/>
                <w:sz w:val="21"/>
                <w:szCs w:val="21"/>
              </w:rPr>
            </w:pPr>
          </w:p>
        </w:tc>
        <w:tc>
          <w:tcPr>
            <w:tcW w:w="1479" w:type="pct"/>
            <w:noWrap/>
            <w:vAlign w:val="center"/>
          </w:tcPr>
          <w:p w14:paraId="63A7F48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1</w:t>
            </w:r>
            <w:r w:rsidRPr="00B12FE0">
              <w:rPr>
                <w:color w:val="000000" w:themeColor="text1"/>
                <w:kern w:val="0"/>
                <w:sz w:val="21"/>
                <w:szCs w:val="21"/>
              </w:rPr>
              <w:t>扇）</w:t>
            </w:r>
          </w:p>
        </w:tc>
        <w:tc>
          <w:tcPr>
            <w:tcW w:w="1877" w:type="pct"/>
            <w:vAlign w:val="center"/>
          </w:tcPr>
          <w:p w14:paraId="3D5DDF4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r w:rsidR="00A67F21" w:rsidRPr="00B12FE0" w14:paraId="26FBD541" w14:textId="77777777">
        <w:trPr>
          <w:trHeight w:val="272"/>
        </w:trPr>
        <w:tc>
          <w:tcPr>
            <w:tcW w:w="647" w:type="pct"/>
            <w:vMerge/>
            <w:vAlign w:val="center"/>
          </w:tcPr>
          <w:p w14:paraId="496DBCBC" w14:textId="77777777" w:rsidR="00A67F21" w:rsidRPr="00B12FE0" w:rsidRDefault="00A67F21">
            <w:pPr>
              <w:widowControl/>
              <w:jc w:val="center"/>
              <w:rPr>
                <w:color w:val="000000" w:themeColor="text1"/>
                <w:sz w:val="21"/>
                <w:szCs w:val="21"/>
              </w:rPr>
            </w:pPr>
          </w:p>
        </w:tc>
        <w:tc>
          <w:tcPr>
            <w:tcW w:w="998" w:type="pct"/>
            <w:vMerge w:val="restart"/>
            <w:vAlign w:val="center"/>
          </w:tcPr>
          <w:p w14:paraId="11EE54B0" w14:textId="77777777" w:rsidR="00A67F21" w:rsidRPr="00B12FE0" w:rsidRDefault="00000000">
            <w:pPr>
              <w:widowControl/>
              <w:jc w:val="center"/>
              <w:rPr>
                <w:color w:val="000000" w:themeColor="text1"/>
                <w:sz w:val="21"/>
                <w:szCs w:val="21"/>
              </w:rPr>
            </w:pPr>
            <w:r w:rsidRPr="00B12FE0">
              <w:rPr>
                <w:rFonts w:hint="eastAsia"/>
                <w:color w:val="000000" w:themeColor="text1"/>
                <w:kern w:val="0"/>
                <w:sz w:val="21"/>
                <w:szCs w:val="21"/>
              </w:rPr>
              <w:t>给药室</w:t>
            </w:r>
          </w:p>
        </w:tc>
        <w:tc>
          <w:tcPr>
            <w:tcW w:w="1479" w:type="pct"/>
            <w:noWrap/>
            <w:vAlign w:val="center"/>
          </w:tcPr>
          <w:p w14:paraId="7F3395FC"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四侧墙体</w:t>
            </w:r>
          </w:p>
        </w:tc>
        <w:tc>
          <w:tcPr>
            <w:tcW w:w="1877" w:type="pct"/>
            <w:vAlign w:val="center"/>
          </w:tcPr>
          <w:p w14:paraId="790DF1A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实心砖</w:t>
            </w:r>
          </w:p>
        </w:tc>
      </w:tr>
      <w:tr w:rsidR="00A67F21" w:rsidRPr="00B12FE0" w14:paraId="20C293D7" w14:textId="77777777">
        <w:trPr>
          <w:trHeight w:val="272"/>
        </w:trPr>
        <w:tc>
          <w:tcPr>
            <w:tcW w:w="647" w:type="pct"/>
            <w:vMerge/>
            <w:vAlign w:val="center"/>
          </w:tcPr>
          <w:p w14:paraId="2630ECC4" w14:textId="77777777" w:rsidR="00A67F21" w:rsidRPr="00B12FE0" w:rsidRDefault="00A67F21">
            <w:pPr>
              <w:widowControl/>
              <w:jc w:val="center"/>
              <w:rPr>
                <w:color w:val="000000" w:themeColor="text1"/>
                <w:sz w:val="21"/>
                <w:szCs w:val="21"/>
              </w:rPr>
            </w:pPr>
          </w:p>
        </w:tc>
        <w:tc>
          <w:tcPr>
            <w:tcW w:w="998" w:type="pct"/>
            <w:vMerge/>
            <w:vAlign w:val="center"/>
          </w:tcPr>
          <w:p w14:paraId="3DF7DFFD" w14:textId="77777777" w:rsidR="00A67F21" w:rsidRPr="00B12FE0" w:rsidRDefault="00A67F21">
            <w:pPr>
              <w:widowControl/>
              <w:jc w:val="center"/>
              <w:rPr>
                <w:color w:val="000000" w:themeColor="text1"/>
                <w:sz w:val="21"/>
                <w:szCs w:val="21"/>
              </w:rPr>
            </w:pPr>
          </w:p>
        </w:tc>
        <w:tc>
          <w:tcPr>
            <w:tcW w:w="1479" w:type="pct"/>
            <w:noWrap/>
            <w:vAlign w:val="center"/>
          </w:tcPr>
          <w:p w14:paraId="6958BD0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顶棚</w:t>
            </w:r>
          </w:p>
        </w:tc>
        <w:tc>
          <w:tcPr>
            <w:tcW w:w="1877" w:type="pct"/>
            <w:vAlign w:val="center"/>
          </w:tcPr>
          <w:p w14:paraId="0C57D63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6597EB27" w14:textId="77777777">
        <w:trPr>
          <w:trHeight w:val="272"/>
        </w:trPr>
        <w:tc>
          <w:tcPr>
            <w:tcW w:w="647" w:type="pct"/>
            <w:vMerge/>
            <w:vAlign w:val="center"/>
          </w:tcPr>
          <w:p w14:paraId="63AE62FD" w14:textId="77777777" w:rsidR="00A67F21" w:rsidRPr="00B12FE0" w:rsidRDefault="00A67F21">
            <w:pPr>
              <w:widowControl/>
              <w:jc w:val="center"/>
              <w:rPr>
                <w:color w:val="000000" w:themeColor="text1"/>
                <w:sz w:val="21"/>
                <w:szCs w:val="21"/>
              </w:rPr>
            </w:pPr>
          </w:p>
        </w:tc>
        <w:tc>
          <w:tcPr>
            <w:tcW w:w="998" w:type="pct"/>
            <w:vMerge/>
            <w:vAlign w:val="center"/>
          </w:tcPr>
          <w:p w14:paraId="3418737B" w14:textId="77777777" w:rsidR="00A67F21" w:rsidRPr="00B12FE0" w:rsidRDefault="00A67F21">
            <w:pPr>
              <w:widowControl/>
              <w:jc w:val="center"/>
              <w:rPr>
                <w:color w:val="000000" w:themeColor="text1"/>
                <w:sz w:val="21"/>
                <w:szCs w:val="21"/>
              </w:rPr>
            </w:pPr>
          </w:p>
        </w:tc>
        <w:tc>
          <w:tcPr>
            <w:tcW w:w="1479" w:type="pct"/>
            <w:noWrap/>
            <w:vAlign w:val="center"/>
          </w:tcPr>
          <w:p w14:paraId="2912FAEB"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地坪</w:t>
            </w:r>
          </w:p>
        </w:tc>
        <w:tc>
          <w:tcPr>
            <w:tcW w:w="1877" w:type="pct"/>
            <w:vAlign w:val="center"/>
          </w:tcPr>
          <w:p w14:paraId="5830DCE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3176EB6B" w14:textId="77777777">
        <w:trPr>
          <w:trHeight w:val="272"/>
        </w:trPr>
        <w:tc>
          <w:tcPr>
            <w:tcW w:w="647" w:type="pct"/>
            <w:vMerge/>
            <w:vAlign w:val="center"/>
          </w:tcPr>
          <w:p w14:paraId="10251176" w14:textId="77777777" w:rsidR="00A67F21" w:rsidRPr="00B12FE0" w:rsidRDefault="00A67F21">
            <w:pPr>
              <w:widowControl/>
              <w:jc w:val="center"/>
              <w:rPr>
                <w:color w:val="000000" w:themeColor="text1"/>
                <w:sz w:val="21"/>
                <w:szCs w:val="21"/>
              </w:rPr>
            </w:pPr>
          </w:p>
        </w:tc>
        <w:tc>
          <w:tcPr>
            <w:tcW w:w="998" w:type="pct"/>
            <w:vMerge/>
            <w:vAlign w:val="center"/>
          </w:tcPr>
          <w:p w14:paraId="791B8A9F" w14:textId="77777777" w:rsidR="00A67F21" w:rsidRPr="00B12FE0" w:rsidRDefault="00A67F21">
            <w:pPr>
              <w:widowControl/>
              <w:jc w:val="center"/>
              <w:rPr>
                <w:color w:val="000000" w:themeColor="text1"/>
                <w:sz w:val="21"/>
                <w:szCs w:val="21"/>
              </w:rPr>
            </w:pPr>
          </w:p>
        </w:tc>
        <w:tc>
          <w:tcPr>
            <w:tcW w:w="1479" w:type="pct"/>
            <w:noWrap/>
            <w:vAlign w:val="center"/>
          </w:tcPr>
          <w:p w14:paraId="30A1DCCA"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4CA001E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内衬</w:t>
            </w:r>
            <w:r w:rsidRPr="00B12FE0">
              <w:rPr>
                <w:color w:val="000000" w:themeColor="text1"/>
                <w:kern w:val="0"/>
                <w:sz w:val="21"/>
                <w:szCs w:val="21"/>
              </w:rPr>
              <w:t>10mm</w:t>
            </w:r>
            <w:r w:rsidRPr="00B12FE0">
              <w:rPr>
                <w:color w:val="000000" w:themeColor="text1"/>
                <w:kern w:val="0"/>
                <w:sz w:val="21"/>
                <w:szCs w:val="21"/>
              </w:rPr>
              <w:t>铅板</w:t>
            </w:r>
          </w:p>
        </w:tc>
      </w:tr>
      <w:tr w:rsidR="00A67F21" w:rsidRPr="00B12FE0" w14:paraId="53225DA9" w14:textId="77777777">
        <w:trPr>
          <w:trHeight w:val="272"/>
        </w:trPr>
        <w:tc>
          <w:tcPr>
            <w:tcW w:w="647" w:type="pct"/>
            <w:vMerge/>
            <w:vAlign w:val="center"/>
          </w:tcPr>
          <w:p w14:paraId="3A322730"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31162292"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放废间</w:t>
            </w:r>
            <w:proofErr w:type="gramEnd"/>
          </w:p>
        </w:tc>
        <w:tc>
          <w:tcPr>
            <w:tcW w:w="1479" w:type="pct"/>
            <w:noWrap/>
            <w:vAlign w:val="center"/>
          </w:tcPr>
          <w:p w14:paraId="3939157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5DF9CC6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实心砖</w:t>
            </w:r>
          </w:p>
        </w:tc>
      </w:tr>
      <w:tr w:rsidR="00A67F21" w:rsidRPr="00B12FE0" w14:paraId="7B0DBA3F" w14:textId="77777777">
        <w:trPr>
          <w:trHeight w:val="272"/>
        </w:trPr>
        <w:tc>
          <w:tcPr>
            <w:tcW w:w="647" w:type="pct"/>
            <w:vMerge/>
            <w:vAlign w:val="center"/>
          </w:tcPr>
          <w:p w14:paraId="686FED9D" w14:textId="77777777" w:rsidR="00A67F21" w:rsidRPr="00B12FE0" w:rsidRDefault="00A67F21">
            <w:pPr>
              <w:widowControl/>
              <w:jc w:val="center"/>
              <w:rPr>
                <w:color w:val="000000" w:themeColor="text1"/>
                <w:sz w:val="21"/>
                <w:szCs w:val="21"/>
              </w:rPr>
            </w:pPr>
          </w:p>
        </w:tc>
        <w:tc>
          <w:tcPr>
            <w:tcW w:w="998" w:type="pct"/>
            <w:vMerge/>
            <w:vAlign w:val="center"/>
          </w:tcPr>
          <w:p w14:paraId="28FB9C58" w14:textId="77777777" w:rsidR="00A67F21" w:rsidRPr="00B12FE0" w:rsidRDefault="00A67F21">
            <w:pPr>
              <w:widowControl/>
              <w:jc w:val="center"/>
              <w:rPr>
                <w:color w:val="000000" w:themeColor="text1"/>
                <w:sz w:val="21"/>
                <w:szCs w:val="21"/>
              </w:rPr>
            </w:pPr>
          </w:p>
        </w:tc>
        <w:tc>
          <w:tcPr>
            <w:tcW w:w="1479" w:type="pct"/>
            <w:noWrap/>
            <w:vAlign w:val="center"/>
          </w:tcPr>
          <w:p w14:paraId="57A99C8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20E7E37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2C20A594" w14:textId="77777777">
        <w:trPr>
          <w:trHeight w:val="272"/>
        </w:trPr>
        <w:tc>
          <w:tcPr>
            <w:tcW w:w="647" w:type="pct"/>
            <w:vMerge/>
            <w:vAlign w:val="center"/>
          </w:tcPr>
          <w:p w14:paraId="58AEEC4F" w14:textId="77777777" w:rsidR="00A67F21" w:rsidRPr="00B12FE0" w:rsidRDefault="00A67F21">
            <w:pPr>
              <w:widowControl/>
              <w:jc w:val="center"/>
              <w:rPr>
                <w:color w:val="000000" w:themeColor="text1"/>
                <w:sz w:val="21"/>
                <w:szCs w:val="21"/>
              </w:rPr>
            </w:pPr>
          </w:p>
        </w:tc>
        <w:tc>
          <w:tcPr>
            <w:tcW w:w="998" w:type="pct"/>
            <w:vMerge/>
            <w:vAlign w:val="center"/>
          </w:tcPr>
          <w:p w14:paraId="49AC826B" w14:textId="77777777" w:rsidR="00A67F21" w:rsidRPr="00B12FE0" w:rsidRDefault="00A67F21">
            <w:pPr>
              <w:widowControl/>
              <w:jc w:val="center"/>
              <w:rPr>
                <w:color w:val="000000" w:themeColor="text1"/>
                <w:sz w:val="21"/>
                <w:szCs w:val="21"/>
              </w:rPr>
            </w:pPr>
          </w:p>
        </w:tc>
        <w:tc>
          <w:tcPr>
            <w:tcW w:w="1479" w:type="pct"/>
            <w:vAlign w:val="center"/>
          </w:tcPr>
          <w:p w14:paraId="7A14160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地坪</w:t>
            </w:r>
          </w:p>
        </w:tc>
        <w:tc>
          <w:tcPr>
            <w:tcW w:w="1877" w:type="pct"/>
            <w:vAlign w:val="center"/>
          </w:tcPr>
          <w:p w14:paraId="6F9E6F4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r>
      <w:tr w:rsidR="00A67F21" w:rsidRPr="00B12FE0" w14:paraId="4A06AE74" w14:textId="77777777">
        <w:trPr>
          <w:trHeight w:val="272"/>
        </w:trPr>
        <w:tc>
          <w:tcPr>
            <w:tcW w:w="647" w:type="pct"/>
            <w:vMerge/>
            <w:vAlign w:val="center"/>
          </w:tcPr>
          <w:p w14:paraId="7B7CF90D" w14:textId="77777777" w:rsidR="00A67F21" w:rsidRPr="00B12FE0" w:rsidRDefault="00A67F21">
            <w:pPr>
              <w:widowControl/>
              <w:jc w:val="center"/>
              <w:rPr>
                <w:color w:val="000000" w:themeColor="text1"/>
                <w:sz w:val="21"/>
                <w:szCs w:val="21"/>
              </w:rPr>
            </w:pPr>
          </w:p>
        </w:tc>
        <w:tc>
          <w:tcPr>
            <w:tcW w:w="998" w:type="pct"/>
            <w:vMerge/>
            <w:vAlign w:val="center"/>
          </w:tcPr>
          <w:p w14:paraId="046B6335" w14:textId="77777777" w:rsidR="00A67F21" w:rsidRPr="00B12FE0" w:rsidRDefault="00A67F21">
            <w:pPr>
              <w:widowControl/>
              <w:jc w:val="center"/>
              <w:rPr>
                <w:color w:val="000000" w:themeColor="text1"/>
                <w:sz w:val="21"/>
                <w:szCs w:val="21"/>
              </w:rPr>
            </w:pPr>
          </w:p>
        </w:tc>
        <w:tc>
          <w:tcPr>
            <w:tcW w:w="1479" w:type="pct"/>
            <w:noWrap/>
            <w:vAlign w:val="center"/>
          </w:tcPr>
          <w:p w14:paraId="26C9A8E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21620FD9"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内衬</w:t>
            </w:r>
            <w:r w:rsidRPr="00B12FE0">
              <w:rPr>
                <w:color w:val="000000" w:themeColor="text1"/>
                <w:kern w:val="0"/>
                <w:sz w:val="21"/>
                <w:szCs w:val="21"/>
              </w:rPr>
              <w:t>4mm</w:t>
            </w:r>
            <w:r w:rsidRPr="00B12FE0">
              <w:rPr>
                <w:color w:val="000000" w:themeColor="text1"/>
                <w:kern w:val="0"/>
                <w:sz w:val="21"/>
                <w:szCs w:val="21"/>
              </w:rPr>
              <w:t>铅板</w:t>
            </w:r>
          </w:p>
        </w:tc>
      </w:tr>
      <w:tr w:rsidR="00A67F21" w:rsidRPr="00B12FE0" w14:paraId="1915F541" w14:textId="77777777">
        <w:trPr>
          <w:trHeight w:val="272"/>
        </w:trPr>
        <w:tc>
          <w:tcPr>
            <w:tcW w:w="647" w:type="pct"/>
            <w:vMerge/>
            <w:vAlign w:val="center"/>
          </w:tcPr>
          <w:p w14:paraId="7D5F81F0"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5408C04F"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甲癌病房</w:t>
            </w:r>
            <w:proofErr w:type="gramEnd"/>
            <w:r w:rsidRPr="00B12FE0">
              <w:rPr>
                <w:color w:val="000000" w:themeColor="text1"/>
                <w:kern w:val="0"/>
                <w:sz w:val="21"/>
                <w:szCs w:val="21"/>
              </w:rPr>
              <w:t>(</w:t>
            </w:r>
            <w:r w:rsidRPr="00B12FE0">
              <w:rPr>
                <w:rFonts w:hint="eastAsia"/>
                <w:color w:val="000000" w:themeColor="text1"/>
                <w:kern w:val="0"/>
                <w:sz w:val="21"/>
                <w:szCs w:val="21"/>
              </w:rPr>
              <w:t>8</w:t>
            </w:r>
            <w:r w:rsidRPr="00B12FE0">
              <w:rPr>
                <w:color w:val="000000" w:themeColor="text1"/>
                <w:kern w:val="0"/>
                <w:sz w:val="21"/>
                <w:szCs w:val="21"/>
              </w:rPr>
              <w:t>间</w:t>
            </w:r>
            <w:r w:rsidRPr="00B12FE0">
              <w:rPr>
                <w:color w:val="000000" w:themeColor="text1"/>
                <w:kern w:val="0"/>
                <w:sz w:val="21"/>
                <w:szCs w:val="21"/>
              </w:rPr>
              <w:t>)</w:t>
            </w:r>
          </w:p>
        </w:tc>
        <w:tc>
          <w:tcPr>
            <w:tcW w:w="1479" w:type="pct"/>
            <w:noWrap/>
            <w:vAlign w:val="center"/>
          </w:tcPr>
          <w:p w14:paraId="6EC674B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4E79289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混凝土</w:t>
            </w:r>
          </w:p>
        </w:tc>
      </w:tr>
      <w:tr w:rsidR="00A67F21" w:rsidRPr="00B12FE0" w14:paraId="7675A1FE" w14:textId="77777777">
        <w:trPr>
          <w:trHeight w:val="272"/>
        </w:trPr>
        <w:tc>
          <w:tcPr>
            <w:tcW w:w="647" w:type="pct"/>
            <w:vMerge/>
            <w:vAlign w:val="center"/>
          </w:tcPr>
          <w:p w14:paraId="7A6E8963" w14:textId="77777777" w:rsidR="00A67F21" w:rsidRPr="00B12FE0" w:rsidRDefault="00A67F21">
            <w:pPr>
              <w:widowControl/>
              <w:jc w:val="center"/>
              <w:rPr>
                <w:color w:val="000000" w:themeColor="text1"/>
                <w:sz w:val="21"/>
                <w:szCs w:val="21"/>
              </w:rPr>
            </w:pPr>
          </w:p>
        </w:tc>
        <w:tc>
          <w:tcPr>
            <w:tcW w:w="998" w:type="pct"/>
            <w:vMerge/>
            <w:vAlign w:val="center"/>
          </w:tcPr>
          <w:p w14:paraId="7D99A5CE" w14:textId="77777777" w:rsidR="00A67F21" w:rsidRPr="00B12FE0" w:rsidRDefault="00A67F21">
            <w:pPr>
              <w:widowControl/>
              <w:jc w:val="center"/>
              <w:rPr>
                <w:color w:val="000000" w:themeColor="text1"/>
                <w:sz w:val="21"/>
                <w:szCs w:val="21"/>
              </w:rPr>
            </w:pPr>
          </w:p>
        </w:tc>
        <w:tc>
          <w:tcPr>
            <w:tcW w:w="1479" w:type="pct"/>
            <w:vAlign w:val="center"/>
          </w:tcPr>
          <w:p w14:paraId="0A7AC00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2224BD0F"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7A7CD709" w14:textId="77777777">
        <w:trPr>
          <w:trHeight w:val="272"/>
        </w:trPr>
        <w:tc>
          <w:tcPr>
            <w:tcW w:w="647" w:type="pct"/>
            <w:vMerge/>
            <w:vAlign w:val="center"/>
          </w:tcPr>
          <w:p w14:paraId="19D47A4C" w14:textId="77777777" w:rsidR="00A67F21" w:rsidRPr="00B12FE0" w:rsidRDefault="00A67F21">
            <w:pPr>
              <w:widowControl/>
              <w:jc w:val="center"/>
              <w:rPr>
                <w:color w:val="000000" w:themeColor="text1"/>
                <w:sz w:val="21"/>
                <w:szCs w:val="21"/>
              </w:rPr>
            </w:pPr>
          </w:p>
        </w:tc>
        <w:tc>
          <w:tcPr>
            <w:tcW w:w="998" w:type="pct"/>
            <w:vMerge/>
            <w:vAlign w:val="center"/>
          </w:tcPr>
          <w:p w14:paraId="0764742E" w14:textId="77777777" w:rsidR="00A67F21" w:rsidRPr="00B12FE0" w:rsidRDefault="00A67F21">
            <w:pPr>
              <w:widowControl/>
              <w:jc w:val="center"/>
              <w:rPr>
                <w:color w:val="000000" w:themeColor="text1"/>
                <w:sz w:val="21"/>
                <w:szCs w:val="21"/>
              </w:rPr>
            </w:pPr>
          </w:p>
        </w:tc>
        <w:tc>
          <w:tcPr>
            <w:tcW w:w="1479" w:type="pct"/>
            <w:noWrap/>
            <w:vAlign w:val="center"/>
          </w:tcPr>
          <w:p w14:paraId="33C9AF86"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地坪</w:t>
            </w:r>
          </w:p>
        </w:tc>
        <w:tc>
          <w:tcPr>
            <w:tcW w:w="1877" w:type="pct"/>
            <w:vAlign w:val="center"/>
          </w:tcPr>
          <w:p w14:paraId="5B5F84F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1882958B" w14:textId="77777777">
        <w:trPr>
          <w:trHeight w:val="272"/>
        </w:trPr>
        <w:tc>
          <w:tcPr>
            <w:tcW w:w="647" w:type="pct"/>
            <w:vMerge/>
            <w:vAlign w:val="center"/>
          </w:tcPr>
          <w:p w14:paraId="22527646" w14:textId="77777777" w:rsidR="00A67F21" w:rsidRPr="00B12FE0" w:rsidRDefault="00A67F21">
            <w:pPr>
              <w:widowControl/>
              <w:jc w:val="center"/>
              <w:rPr>
                <w:color w:val="000000" w:themeColor="text1"/>
                <w:sz w:val="21"/>
                <w:szCs w:val="21"/>
              </w:rPr>
            </w:pPr>
          </w:p>
        </w:tc>
        <w:tc>
          <w:tcPr>
            <w:tcW w:w="998" w:type="pct"/>
            <w:vMerge/>
            <w:vAlign w:val="center"/>
          </w:tcPr>
          <w:p w14:paraId="50901499" w14:textId="77777777" w:rsidR="00A67F21" w:rsidRPr="00B12FE0" w:rsidRDefault="00A67F21">
            <w:pPr>
              <w:widowControl/>
              <w:jc w:val="center"/>
              <w:rPr>
                <w:color w:val="000000" w:themeColor="text1"/>
                <w:sz w:val="21"/>
                <w:szCs w:val="21"/>
              </w:rPr>
            </w:pPr>
          </w:p>
        </w:tc>
        <w:tc>
          <w:tcPr>
            <w:tcW w:w="1479" w:type="pct"/>
            <w:noWrap/>
            <w:vAlign w:val="center"/>
          </w:tcPr>
          <w:p w14:paraId="4273222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1</w:t>
            </w:r>
            <w:r w:rsidRPr="00B12FE0">
              <w:rPr>
                <w:color w:val="000000" w:themeColor="text1"/>
                <w:kern w:val="0"/>
                <w:sz w:val="21"/>
                <w:szCs w:val="21"/>
              </w:rPr>
              <w:t>扇）</w:t>
            </w:r>
          </w:p>
        </w:tc>
        <w:tc>
          <w:tcPr>
            <w:tcW w:w="1877" w:type="pct"/>
            <w:vAlign w:val="center"/>
          </w:tcPr>
          <w:p w14:paraId="55F0F8B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10mm</w:t>
            </w:r>
            <w:r w:rsidRPr="00B12FE0">
              <w:rPr>
                <w:color w:val="000000" w:themeColor="text1"/>
                <w:sz w:val="21"/>
                <w:szCs w:val="21"/>
              </w:rPr>
              <w:t>铅板</w:t>
            </w:r>
          </w:p>
        </w:tc>
      </w:tr>
      <w:tr w:rsidR="00A67F21" w:rsidRPr="00B12FE0" w14:paraId="27741CF8" w14:textId="77777777">
        <w:trPr>
          <w:trHeight w:val="272"/>
        </w:trPr>
        <w:tc>
          <w:tcPr>
            <w:tcW w:w="647" w:type="pct"/>
            <w:vMerge/>
            <w:vAlign w:val="center"/>
          </w:tcPr>
          <w:p w14:paraId="64AFC225"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45B7FEA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取餐、开水间</w:t>
            </w:r>
          </w:p>
        </w:tc>
        <w:tc>
          <w:tcPr>
            <w:tcW w:w="1479" w:type="pct"/>
            <w:noWrap/>
            <w:vAlign w:val="center"/>
          </w:tcPr>
          <w:p w14:paraId="3EB208A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4F02549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混凝土</w:t>
            </w:r>
          </w:p>
        </w:tc>
      </w:tr>
      <w:tr w:rsidR="00A67F21" w:rsidRPr="00B12FE0" w14:paraId="23270DFF" w14:textId="77777777">
        <w:trPr>
          <w:trHeight w:val="272"/>
        </w:trPr>
        <w:tc>
          <w:tcPr>
            <w:tcW w:w="647" w:type="pct"/>
            <w:vMerge/>
            <w:vAlign w:val="center"/>
          </w:tcPr>
          <w:p w14:paraId="2C881017" w14:textId="77777777" w:rsidR="00A67F21" w:rsidRPr="00B12FE0" w:rsidRDefault="00A67F21">
            <w:pPr>
              <w:widowControl/>
              <w:jc w:val="center"/>
              <w:rPr>
                <w:color w:val="000000" w:themeColor="text1"/>
                <w:sz w:val="21"/>
                <w:szCs w:val="21"/>
              </w:rPr>
            </w:pPr>
          </w:p>
        </w:tc>
        <w:tc>
          <w:tcPr>
            <w:tcW w:w="998" w:type="pct"/>
            <w:vMerge/>
            <w:vAlign w:val="center"/>
          </w:tcPr>
          <w:p w14:paraId="7ADE0C75" w14:textId="77777777" w:rsidR="00A67F21" w:rsidRPr="00B12FE0" w:rsidRDefault="00A67F21">
            <w:pPr>
              <w:widowControl/>
              <w:jc w:val="center"/>
              <w:rPr>
                <w:color w:val="000000" w:themeColor="text1"/>
                <w:sz w:val="21"/>
                <w:szCs w:val="21"/>
              </w:rPr>
            </w:pPr>
          </w:p>
        </w:tc>
        <w:tc>
          <w:tcPr>
            <w:tcW w:w="1479" w:type="pct"/>
            <w:vAlign w:val="center"/>
          </w:tcPr>
          <w:p w14:paraId="3390D6F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北侧送餐传递窗</w:t>
            </w:r>
          </w:p>
        </w:tc>
        <w:tc>
          <w:tcPr>
            <w:tcW w:w="1877" w:type="pct"/>
            <w:vAlign w:val="center"/>
          </w:tcPr>
          <w:p w14:paraId="5694BD1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10mmPb</w:t>
            </w:r>
            <w:r w:rsidRPr="00B12FE0">
              <w:rPr>
                <w:color w:val="000000" w:themeColor="text1"/>
                <w:kern w:val="0"/>
                <w:sz w:val="21"/>
                <w:szCs w:val="21"/>
              </w:rPr>
              <w:t>铅玻璃</w:t>
            </w:r>
          </w:p>
        </w:tc>
      </w:tr>
      <w:tr w:rsidR="00A67F21" w:rsidRPr="00B12FE0" w14:paraId="7AB22E53" w14:textId="77777777">
        <w:trPr>
          <w:trHeight w:val="272"/>
        </w:trPr>
        <w:tc>
          <w:tcPr>
            <w:tcW w:w="647" w:type="pct"/>
            <w:vMerge/>
            <w:vAlign w:val="center"/>
          </w:tcPr>
          <w:p w14:paraId="2C50C608" w14:textId="77777777" w:rsidR="00A67F21" w:rsidRPr="00B12FE0" w:rsidRDefault="00A67F21">
            <w:pPr>
              <w:widowControl/>
              <w:jc w:val="center"/>
              <w:rPr>
                <w:color w:val="000000" w:themeColor="text1"/>
                <w:sz w:val="21"/>
                <w:szCs w:val="21"/>
              </w:rPr>
            </w:pPr>
          </w:p>
        </w:tc>
        <w:tc>
          <w:tcPr>
            <w:tcW w:w="998" w:type="pct"/>
            <w:vMerge/>
            <w:vAlign w:val="center"/>
          </w:tcPr>
          <w:p w14:paraId="31C9E4F1" w14:textId="77777777" w:rsidR="00A67F21" w:rsidRPr="00B12FE0" w:rsidRDefault="00A67F21">
            <w:pPr>
              <w:widowControl/>
              <w:jc w:val="center"/>
              <w:rPr>
                <w:color w:val="000000" w:themeColor="text1"/>
                <w:sz w:val="21"/>
                <w:szCs w:val="21"/>
              </w:rPr>
            </w:pPr>
          </w:p>
        </w:tc>
        <w:tc>
          <w:tcPr>
            <w:tcW w:w="1479" w:type="pct"/>
            <w:vAlign w:val="center"/>
          </w:tcPr>
          <w:p w14:paraId="2960C8B2"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顶棚</w:t>
            </w:r>
          </w:p>
        </w:tc>
        <w:tc>
          <w:tcPr>
            <w:tcW w:w="1877" w:type="pct"/>
            <w:vAlign w:val="center"/>
          </w:tcPr>
          <w:p w14:paraId="010011A9"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4158A69A" w14:textId="77777777">
        <w:trPr>
          <w:trHeight w:val="272"/>
        </w:trPr>
        <w:tc>
          <w:tcPr>
            <w:tcW w:w="647" w:type="pct"/>
            <w:vMerge/>
            <w:vAlign w:val="center"/>
          </w:tcPr>
          <w:p w14:paraId="20A80D42" w14:textId="77777777" w:rsidR="00A67F21" w:rsidRPr="00B12FE0" w:rsidRDefault="00A67F21">
            <w:pPr>
              <w:widowControl/>
              <w:jc w:val="center"/>
              <w:rPr>
                <w:color w:val="000000" w:themeColor="text1"/>
                <w:sz w:val="21"/>
                <w:szCs w:val="21"/>
              </w:rPr>
            </w:pPr>
          </w:p>
        </w:tc>
        <w:tc>
          <w:tcPr>
            <w:tcW w:w="998" w:type="pct"/>
            <w:vMerge/>
            <w:vAlign w:val="center"/>
          </w:tcPr>
          <w:p w14:paraId="6A115997" w14:textId="77777777" w:rsidR="00A67F21" w:rsidRPr="00B12FE0" w:rsidRDefault="00A67F21">
            <w:pPr>
              <w:widowControl/>
              <w:jc w:val="center"/>
              <w:rPr>
                <w:color w:val="000000" w:themeColor="text1"/>
                <w:sz w:val="21"/>
                <w:szCs w:val="21"/>
              </w:rPr>
            </w:pPr>
          </w:p>
        </w:tc>
        <w:tc>
          <w:tcPr>
            <w:tcW w:w="1479" w:type="pct"/>
            <w:noWrap/>
            <w:vAlign w:val="center"/>
          </w:tcPr>
          <w:p w14:paraId="36A6F40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地坪</w:t>
            </w:r>
          </w:p>
        </w:tc>
        <w:tc>
          <w:tcPr>
            <w:tcW w:w="1877" w:type="pct"/>
            <w:vAlign w:val="center"/>
          </w:tcPr>
          <w:p w14:paraId="3DECD29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61218D00" w14:textId="77777777">
        <w:trPr>
          <w:trHeight w:val="272"/>
        </w:trPr>
        <w:tc>
          <w:tcPr>
            <w:tcW w:w="647" w:type="pct"/>
            <w:vMerge/>
            <w:vAlign w:val="center"/>
          </w:tcPr>
          <w:p w14:paraId="00FC4C6C" w14:textId="77777777" w:rsidR="00A67F21" w:rsidRPr="00B12FE0" w:rsidRDefault="00A67F21">
            <w:pPr>
              <w:widowControl/>
              <w:jc w:val="center"/>
              <w:rPr>
                <w:color w:val="000000" w:themeColor="text1"/>
                <w:sz w:val="21"/>
                <w:szCs w:val="21"/>
              </w:rPr>
            </w:pPr>
          </w:p>
        </w:tc>
        <w:tc>
          <w:tcPr>
            <w:tcW w:w="998" w:type="pct"/>
            <w:vAlign w:val="center"/>
          </w:tcPr>
          <w:p w14:paraId="6A0C82FB" w14:textId="77777777" w:rsidR="00A67F21" w:rsidRPr="00B12FE0" w:rsidRDefault="00000000">
            <w:pPr>
              <w:widowControl/>
              <w:jc w:val="center"/>
              <w:rPr>
                <w:color w:val="000000" w:themeColor="text1"/>
                <w:sz w:val="21"/>
                <w:szCs w:val="21"/>
              </w:rPr>
            </w:pPr>
            <w:r w:rsidRPr="00B12FE0">
              <w:rPr>
                <w:color w:val="000000" w:themeColor="text1"/>
                <w:kern w:val="0"/>
                <w:sz w:val="21"/>
                <w:szCs w:val="21"/>
              </w:rPr>
              <w:t>患者通道</w:t>
            </w:r>
          </w:p>
        </w:tc>
        <w:tc>
          <w:tcPr>
            <w:tcW w:w="1479" w:type="pct"/>
            <w:noWrap/>
            <w:vAlign w:val="center"/>
          </w:tcPr>
          <w:p w14:paraId="7D09B66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78A8070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10mm</w:t>
            </w:r>
            <w:r w:rsidRPr="00B12FE0">
              <w:rPr>
                <w:color w:val="000000" w:themeColor="text1"/>
                <w:sz w:val="21"/>
                <w:szCs w:val="21"/>
              </w:rPr>
              <w:t>铅板</w:t>
            </w:r>
          </w:p>
        </w:tc>
      </w:tr>
      <w:tr w:rsidR="00A67F21" w:rsidRPr="00B12FE0" w14:paraId="0D332146" w14:textId="77777777">
        <w:trPr>
          <w:trHeight w:val="272"/>
        </w:trPr>
        <w:tc>
          <w:tcPr>
            <w:tcW w:w="647" w:type="pct"/>
            <w:vMerge/>
            <w:vAlign w:val="center"/>
          </w:tcPr>
          <w:p w14:paraId="5F2B1888"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135909F4"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抢救室</w:t>
            </w:r>
          </w:p>
        </w:tc>
        <w:tc>
          <w:tcPr>
            <w:tcW w:w="1479" w:type="pct"/>
            <w:noWrap/>
            <w:vAlign w:val="center"/>
          </w:tcPr>
          <w:p w14:paraId="59DF825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6E99613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混凝土</w:t>
            </w:r>
          </w:p>
        </w:tc>
      </w:tr>
      <w:tr w:rsidR="00A67F21" w:rsidRPr="00B12FE0" w14:paraId="11418EF1" w14:textId="77777777">
        <w:trPr>
          <w:trHeight w:val="272"/>
        </w:trPr>
        <w:tc>
          <w:tcPr>
            <w:tcW w:w="647" w:type="pct"/>
            <w:vMerge/>
            <w:vAlign w:val="center"/>
          </w:tcPr>
          <w:p w14:paraId="7D902702" w14:textId="77777777" w:rsidR="00A67F21" w:rsidRPr="00B12FE0" w:rsidRDefault="00A67F21">
            <w:pPr>
              <w:widowControl/>
              <w:jc w:val="center"/>
              <w:rPr>
                <w:color w:val="000000" w:themeColor="text1"/>
                <w:sz w:val="21"/>
                <w:szCs w:val="21"/>
              </w:rPr>
            </w:pPr>
          </w:p>
        </w:tc>
        <w:tc>
          <w:tcPr>
            <w:tcW w:w="998" w:type="pct"/>
            <w:vMerge/>
            <w:vAlign w:val="center"/>
          </w:tcPr>
          <w:p w14:paraId="1E357ADA" w14:textId="77777777" w:rsidR="00A67F21" w:rsidRPr="00B12FE0" w:rsidRDefault="00A67F21">
            <w:pPr>
              <w:widowControl/>
              <w:jc w:val="center"/>
              <w:rPr>
                <w:color w:val="000000" w:themeColor="text1"/>
                <w:sz w:val="21"/>
                <w:szCs w:val="21"/>
              </w:rPr>
            </w:pPr>
          </w:p>
        </w:tc>
        <w:tc>
          <w:tcPr>
            <w:tcW w:w="1479" w:type="pct"/>
            <w:vAlign w:val="center"/>
          </w:tcPr>
          <w:p w14:paraId="04B6D23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74AC4E3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6181346F" w14:textId="77777777">
        <w:trPr>
          <w:trHeight w:val="272"/>
        </w:trPr>
        <w:tc>
          <w:tcPr>
            <w:tcW w:w="647" w:type="pct"/>
            <w:vMerge/>
            <w:vAlign w:val="center"/>
          </w:tcPr>
          <w:p w14:paraId="1B1569E0" w14:textId="77777777" w:rsidR="00A67F21" w:rsidRPr="00B12FE0" w:rsidRDefault="00A67F21">
            <w:pPr>
              <w:widowControl/>
              <w:jc w:val="center"/>
              <w:rPr>
                <w:color w:val="000000" w:themeColor="text1"/>
                <w:sz w:val="21"/>
                <w:szCs w:val="21"/>
              </w:rPr>
            </w:pPr>
          </w:p>
        </w:tc>
        <w:tc>
          <w:tcPr>
            <w:tcW w:w="998" w:type="pct"/>
            <w:vMerge/>
            <w:vAlign w:val="center"/>
          </w:tcPr>
          <w:p w14:paraId="1F8B844D" w14:textId="77777777" w:rsidR="00A67F21" w:rsidRPr="00B12FE0" w:rsidRDefault="00A67F21">
            <w:pPr>
              <w:widowControl/>
              <w:jc w:val="center"/>
              <w:rPr>
                <w:color w:val="000000" w:themeColor="text1"/>
                <w:sz w:val="21"/>
                <w:szCs w:val="21"/>
              </w:rPr>
            </w:pPr>
          </w:p>
        </w:tc>
        <w:tc>
          <w:tcPr>
            <w:tcW w:w="1479" w:type="pct"/>
            <w:noWrap/>
            <w:vAlign w:val="center"/>
          </w:tcPr>
          <w:p w14:paraId="465F543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地坪</w:t>
            </w:r>
          </w:p>
        </w:tc>
        <w:tc>
          <w:tcPr>
            <w:tcW w:w="1877" w:type="pct"/>
            <w:vAlign w:val="center"/>
          </w:tcPr>
          <w:p w14:paraId="522E9E7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30EB253C" w14:textId="77777777">
        <w:trPr>
          <w:trHeight w:val="272"/>
        </w:trPr>
        <w:tc>
          <w:tcPr>
            <w:tcW w:w="647" w:type="pct"/>
            <w:vMerge/>
            <w:vAlign w:val="center"/>
          </w:tcPr>
          <w:p w14:paraId="34C568EE" w14:textId="77777777" w:rsidR="00A67F21" w:rsidRPr="00B12FE0" w:rsidRDefault="00A67F21">
            <w:pPr>
              <w:widowControl/>
              <w:jc w:val="center"/>
              <w:rPr>
                <w:color w:val="000000" w:themeColor="text1"/>
                <w:sz w:val="21"/>
                <w:szCs w:val="21"/>
              </w:rPr>
            </w:pPr>
          </w:p>
        </w:tc>
        <w:tc>
          <w:tcPr>
            <w:tcW w:w="998" w:type="pct"/>
            <w:vMerge/>
            <w:vAlign w:val="center"/>
          </w:tcPr>
          <w:p w14:paraId="14574DCD" w14:textId="77777777" w:rsidR="00A67F21" w:rsidRPr="00B12FE0" w:rsidRDefault="00A67F21">
            <w:pPr>
              <w:widowControl/>
              <w:jc w:val="center"/>
              <w:rPr>
                <w:color w:val="000000" w:themeColor="text1"/>
                <w:sz w:val="21"/>
                <w:szCs w:val="21"/>
              </w:rPr>
            </w:pPr>
          </w:p>
        </w:tc>
        <w:tc>
          <w:tcPr>
            <w:tcW w:w="1479" w:type="pct"/>
            <w:noWrap/>
            <w:vAlign w:val="center"/>
          </w:tcPr>
          <w:p w14:paraId="7450750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4DA7942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rFonts w:hint="eastAsia"/>
                <w:color w:val="000000" w:themeColor="text1"/>
                <w:sz w:val="21"/>
                <w:szCs w:val="21"/>
              </w:rPr>
              <w:t>10</w:t>
            </w:r>
            <w:r w:rsidRPr="00B12FE0">
              <w:rPr>
                <w:color w:val="000000" w:themeColor="text1"/>
                <w:sz w:val="21"/>
                <w:szCs w:val="21"/>
              </w:rPr>
              <w:t>mm</w:t>
            </w:r>
            <w:r w:rsidRPr="00B12FE0">
              <w:rPr>
                <w:color w:val="000000" w:themeColor="text1"/>
                <w:sz w:val="21"/>
                <w:szCs w:val="21"/>
              </w:rPr>
              <w:t>铅板</w:t>
            </w:r>
          </w:p>
        </w:tc>
      </w:tr>
      <w:tr w:rsidR="00A67F21" w:rsidRPr="00B12FE0" w14:paraId="6ABFEFB6" w14:textId="77777777">
        <w:trPr>
          <w:trHeight w:val="272"/>
        </w:trPr>
        <w:tc>
          <w:tcPr>
            <w:tcW w:w="647" w:type="pct"/>
            <w:vMerge/>
            <w:vAlign w:val="center"/>
          </w:tcPr>
          <w:p w14:paraId="480047D0"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4DCFC84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污衣间</w:t>
            </w:r>
          </w:p>
        </w:tc>
        <w:tc>
          <w:tcPr>
            <w:tcW w:w="1479" w:type="pct"/>
            <w:noWrap/>
            <w:vAlign w:val="center"/>
          </w:tcPr>
          <w:p w14:paraId="37445F0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54FF8C8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混凝土</w:t>
            </w:r>
          </w:p>
        </w:tc>
      </w:tr>
      <w:tr w:rsidR="00A67F21" w:rsidRPr="00B12FE0" w14:paraId="5B31CB09" w14:textId="77777777">
        <w:trPr>
          <w:trHeight w:val="272"/>
        </w:trPr>
        <w:tc>
          <w:tcPr>
            <w:tcW w:w="647" w:type="pct"/>
            <w:vMerge/>
            <w:vAlign w:val="center"/>
          </w:tcPr>
          <w:p w14:paraId="605C07EF" w14:textId="77777777" w:rsidR="00A67F21" w:rsidRPr="00B12FE0" w:rsidRDefault="00A67F21">
            <w:pPr>
              <w:widowControl/>
              <w:jc w:val="center"/>
              <w:rPr>
                <w:color w:val="000000" w:themeColor="text1"/>
                <w:sz w:val="21"/>
                <w:szCs w:val="21"/>
              </w:rPr>
            </w:pPr>
          </w:p>
        </w:tc>
        <w:tc>
          <w:tcPr>
            <w:tcW w:w="998" w:type="pct"/>
            <w:vMerge/>
            <w:vAlign w:val="center"/>
          </w:tcPr>
          <w:p w14:paraId="45A94E77" w14:textId="77777777" w:rsidR="00A67F21" w:rsidRPr="00B12FE0" w:rsidRDefault="00A67F21">
            <w:pPr>
              <w:widowControl/>
              <w:jc w:val="center"/>
              <w:rPr>
                <w:color w:val="000000" w:themeColor="text1"/>
                <w:sz w:val="21"/>
                <w:szCs w:val="21"/>
              </w:rPr>
            </w:pPr>
          </w:p>
        </w:tc>
        <w:tc>
          <w:tcPr>
            <w:tcW w:w="1479" w:type="pct"/>
            <w:vAlign w:val="center"/>
          </w:tcPr>
          <w:p w14:paraId="0B3401A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vAlign w:val="center"/>
          </w:tcPr>
          <w:p w14:paraId="652F1B2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40F4137F" w14:textId="77777777">
        <w:trPr>
          <w:trHeight w:val="272"/>
        </w:trPr>
        <w:tc>
          <w:tcPr>
            <w:tcW w:w="647" w:type="pct"/>
            <w:vMerge/>
            <w:vAlign w:val="center"/>
          </w:tcPr>
          <w:p w14:paraId="2046FBA0" w14:textId="77777777" w:rsidR="00A67F21" w:rsidRPr="00B12FE0" w:rsidRDefault="00A67F21">
            <w:pPr>
              <w:widowControl/>
              <w:jc w:val="center"/>
              <w:rPr>
                <w:color w:val="000000" w:themeColor="text1"/>
                <w:sz w:val="21"/>
                <w:szCs w:val="21"/>
              </w:rPr>
            </w:pPr>
          </w:p>
        </w:tc>
        <w:tc>
          <w:tcPr>
            <w:tcW w:w="998" w:type="pct"/>
            <w:vMerge/>
            <w:vAlign w:val="center"/>
          </w:tcPr>
          <w:p w14:paraId="5E2FFD6B" w14:textId="77777777" w:rsidR="00A67F21" w:rsidRPr="00B12FE0" w:rsidRDefault="00A67F21">
            <w:pPr>
              <w:widowControl/>
              <w:jc w:val="center"/>
              <w:rPr>
                <w:color w:val="000000" w:themeColor="text1"/>
                <w:sz w:val="21"/>
                <w:szCs w:val="21"/>
              </w:rPr>
            </w:pPr>
          </w:p>
        </w:tc>
        <w:tc>
          <w:tcPr>
            <w:tcW w:w="1479" w:type="pct"/>
            <w:noWrap/>
            <w:vAlign w:val="center"/>
          </w:tcPr>
          <w:p w14:paraId="7219D8F8"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地坪</w:t>
            </w:r>
          </w:p>
        </w:tc>
        <w:tc>
          <w:tcPr>
            <w:tcW w:w="1877" w:type="pct"/>
            <w:vAlign w:val="center"/>
          </w:tcPr>
          <w:p w14:paraId="64A59FE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496E4986" w14:textId="77777777">
        <w:trPr>
          <w:trHeight w:val="272"/>
        </w:trPr>
        <w:tc>
          <w:tcPr>
            <w:tcW w:w="647" w:type="pct"/>
            <w:vMerge/>
            <w:vAlign w:val="center"/>
          </w:tcPr>
          <w:p w14:paraId="6E9CB9EA" w14:textId="77777777" w:rsidR="00A67F21" w:rsidRPr="00B12FE0" w:rsidRDefault="00A67F21">
            <w:pPr>
              <w:widowControl/>
              <w:jc w:val="center"/>
              <w:rPr>
                <w:color w:val="000000" w:themeColor="text1"/>
                <w:sz w:val="21"/>
                <w:szCs w:val="21"/>
              </w:rPr>
            </w:pPr>
          </w:p>
        </w:tc>
        <w:tc>
          <w:tcPr>
            <w:tcW w:w="998" w:type="pct"/>
            <w:vMerge/>
            <w:vAlign w:val="center"/>
          </w:tcPr>
          <w:p w14:paraId="0D952A7D" w14:textId="77777777" w:rsidR="00A67F21" w:rsidRPr="00B12FE0" w:rsidRDefault="00A67F21">
            <w:pPr>
              <w:widowControl/>
              <w:jc w:val="center"/>
              <w:rPr>
                <w:color w:val="000000" w:themeColor="text1"/>
                <w:sz w:val="21"/>
                <w:szCs w:val="21"/>
              </w:rPr>
            </w:pPr>
          </w:p>
        </w:tc>
        <w:tc>
          <w:tcPr>
            <w:tcW w:w="1479" w:type="pct"/>
            <w:noWrap/>
            <w:vAlign w:val="center"/>
          </w:tcPr>
          <w:p w14:paraId="2E8BC73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1</w:t>
            </w:r>
            <w:r w:rsidRPr="00B12FE0">
              <w:rPr>
                <w:color w:val="000000" w:themeColor="text1"/>
                <w:kern w:val="0"/>
                <w:sz w:val="21"/>
                <w:szCs w:val="21"/>
              </w:rPr>
              <w:t>扇）</w:t>
            </w:r>
          </w:p>
        </w:tc>
        <w:tc>
          <w:tcPr>
            <w:tcW w:w="1877" w:type="pct"/>
            <w:vAlign w:val="center"/>
          </w:tcPr>
          <w:p w14:paraId="43665F9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r w:rsidR="00A67F21" w:rsidRPr="00B12FE0" w14:paraId="73BB081C" w14:textId="77777777">
        <w:trPr>
          <w:trHeight w:val="272"/>
        </w:trPr>
        <w:tc>
          <w:tcPr>
            <w:tcW w:w="647" w:type="pct"/>
            <w:vMerge/>
            <w:vAlign w:val="center"/>
          </w:tcPr>
          <w:p w14:paraId="27076476" w14:textId="77777777" w:rsidR="00A67F21" w:rsidRPr="00B12FE0" w:rsidRDefault="00A67F21">
            <w:pPr>
              <w:widowControl/>
              <w:jc w:val="center"/>
              <w:rPr>
                <w:color w:val="000000" w:themeColor="text1"/>
                <w:sz w:val="21"/>
                <w:szCs w:val="21"/>
              </w:rPr>
            </w:pPr>
          </w:p>
        </w:tc>
        <w:tc>
          <w:tcPr>
            <w:tcW w:w="998" w:type="pct"/>
            <w:vMerge w:val="restart"/>
            <w:noWrap/>
            <w:vAlign w:val="center"/>
          </w:tcPr>
          <w:p w14:paraId="61A5C0FB" w14:textId="77777777" w:rsidR="00A67F21" w:rsidRPr="00B12FE0" w:rsidRDefault="00000000">
            <w:pPr>
              <w:widowControl/>
              <w:jc w:val="center"/>
              <w:textAlignment w:val="center"/>
              <w:rPr>
                <w:color w:val="000000" w:themeColor="text1"/>
                <w:sz w:val="21"/>
                <w:szCs w:val="21"/>
              </w:rPr>
            </w:pPr>
            <w:proofErr w:type="gramStart"/>
            <w:r w:rsidRPr="00B12FE0">
              <w:rPr>
                <w:color w:val="000000" w:themeColor="text1"/>
                <w:kern w:val="0"/>
                <w:sz w:val="21"/>
                <w:szCs w:val="21"/>
              </w:rPr>
              <w:t>污洗间</w:t>
            </w:r>
            <w:proofErr w:type="gramEnd"/>
          </w:p>
        </w:tc>
        <w:tc>
          <w:tcPr>
            <w:tcW w:w="1479" w:type="pct"/>
            <w:noWrap/>
            <w:vAlign w:val="center"/>
          </w:tcPr>
          <w:p w14:paraId="2EE94D4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四侧墙体</w:t>
            </w:r>
          </w:p>
        </w:tc>
        <w:tc>
          <w:tcPr>
            <w:tcW w:w="1877" w:type="pct"/>
            <w:noWrap/>
            <w:vAlign w:val="center"/>
          </w:tcPr>
          <w:p w14:paraId="47466C7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370mm</w:t>
            </w:r>
            <w:r w:rsidRPr="00B12FE0">
              <w:rPr>
                <w:color w:val="000000" w:themeColor="text1"/>
                <w:kern w:val="0"/>
                <w:sz w:val="21"/>
                <w:szCs w:val="21"/>
              </w:rPr>
              <w:t>混凝土</w:t>
            </w:r>
          </w:p>
        </w:tc>
      </w:tr>
      <w:tr w:rsidR="00A67F21" w:rsidRPr="00B12FE0" w14:paraId="3C887957" w14:textId="77777777">
        <w:trPr>
          <w:trHeight w:val="272"/>
        </w:trPr>
        <w:tc>
          <w:tcPr>
            <w:tcW w:w="647" w:type="pct"/>
            <w:vMerge/>
            <w:vAlign w:val="center"/>
          </w:tcPr>
          <w:p w14:paraId="69330AF0" w14:textId="77777777" w:rsidR="00A67F21" w:rsidRPr="00B12FE0" w:rsidRDefault="00A67F21">
            <w:pPr>
              <w:widowControl/>
              <w:jc w:val="center"/>
              <w:rPr>
                <w:color w:val="000000" w:themeColor="text1"/>
                <w:sz w:val="21"/>
                <w:szCs w:val="21"/>
              </w:rPr>
            </w:pPr>
          </w:p>
        </w:tc>
        <w:tc>
          <w:tcPr>
            <w:tcW w:w="998" w:type="pct"/>
            <w:vMerge/>
            <w:vAlign w:val="center"/>
          </w:tcPr>
          <w:p w14:paraId="66378143" w14:textId="77777777" w:rsidR="00A67F21" w:rsidRPr="00B12FE0" w:rsidRDefault="00A67F21">
            <w:pPr>
              <w:widowControl/>
              <w:jc w:val="center"/>
              <w:rPr>
                <w:color w:val="000000" w:themeColor="text1"/>
                <w:sz w:val="21"/>
                <w:szCs w:val="21"/>
              </w:rPr>
            </w:pPr>
          </w:p>
        </w:tc>
        <w:tc>
          <w:tcPr>
            <w:tcW w:w="1479" w:type="pct"/>
            <w:noWrap/>
            <w:vAlign w:val="center"/>
          </w:tcPr>
          <w:p w14:paraId="7A66CCA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顶棚</w:t>
            </w:r>
          </w:p>
        </w:tc>
        <w:tc>
          <w:tcPr>
            <w:tcW w:w="1877" w:type="pct"/>
            <w:noWrap/>
            <w:vAlign w:val="center"/>
          </w:tcPr>
          <w:p w14:paraId="54C59F9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33BFD452" w14:textId="77777777">
        <w:trPr>
          <w:trHeight w:val="272"/>
        </w:trPr>
        <w:tc>
          <w:tcPr>
            <w:tcW w:w="647" w:type="pct"/>
            <w:vMerge/>
            <w:vAlign w:val="center"/>
          </w:tcPr>
          <w:p w14:paraId="5AA3C064" w14:textId="77777777" w:rsidR="00A67F21" w:rsidRPr="00B12FE0" w:rsidRDefault="00A67F21">
            <w:pPr>
              <w:widowControl/>
              <w:jc w:val="center"/>
              <w:rPr>
                <w:color w:val="000000" w:themeColor="text1"/>
                <w:sz w:val="21"/>
                <w:szCs w:val="21"/>
              </w:rPr>
            </w:pPr>
          </w:p>
        </w:tc>
        <w:tc>
          <w:tcPr>
            <w:tcW w:w="998" w:type="pct"/>
            <w:vMerge/>
            <w:vAlign w:val="center"/>
          </w:tcPr>
          <w:p w14:paraId="5718A899" w14:textId="77777777" w:rsidR="00A67F21" w:rsidRPr="00B12FE0" w:rsidRDefault="00A67F21">
            <w:pPr>
              <w:widowControl/>
              <w:jc w:val="center"/>
              <w:rPr>
                <w:color w:val="000000" w:themeColor="text1"/>
                <w:sz w:val="21"/>
                <w:szCs w:val="21"/>
              </w:rPr>
            </w:pPr>
          </w:p>
        </w:tc>
        <w:tc>
          <w:tcPr>
            <w:tcW w:w="1479" w:type="pct"/>
            <w:vAlign w:val="center"/>
          </w:tcPr>
          <w:p w14:paraId="6808E17A"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地坪</w:t>
            </w:r>
          </w:p>
        </w:tc>
        <w:tc>
          <w:tcPr>
            <w:tcW w:w="1877" w:type="pct"/>
            <w:vAlign w:val="center"/>
          </w:tcPr>
          <w:p w14:paraId="37BEF4B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250mm</w:t>
            </w:r>
            <w:r w:rsidRPr="00B12FE0">
              <w:rPr>
                <w:color w:val="000000" w:themeColor="text1"/>
                <w:sz w:val="21"/>
                <w:szCs w:val="21"/>
              </w:rPr>
              <w:t>混凝土</w:t>
            </w:r>
          </w:p>
        </w:tc>
      </w:tr>
      <w:tr w:rsidR="00A67F21" w:rsidRPr="00B12FE0" w14:paraId="466D4FBC" w14:textId="77777777">
        <w:trPr>
          <w:trHeight w:val="272"/>
        </w:trPr>
        <w:tc>
          <w:tcPr>
            <w:tcW w:w="647" w:type="pct"/>
            <w:vMerge/>
            <w:vAlign w:val="center"/>
          </w:tcPr>
          <w:p w14:paraId="61412993" w14:textId="77777777" w:rsidR="00A67F21" w:rsidRPr="00B12FE0" w:rsidRDefault="00A67F21">
            <w:pPr>
              <w:widowControl/>
              <w:jc w:val="center"/>
              <w:rPr>
                <w:color w:val="000000" w:themeColor="text1"/>
                <w:sz w:val="21"/>
                <w:szCs w:val="21"/>
              </w:rPr>
            </w:pPr>
          </w:p>
        </w:tc>
        <w:tc>
          <w:tcPr>
            <w:tcW w:w="998" w:type="pct"/>
            <w:vMerge/>
            <w:vAlign w:val="center"/>
          </w:tcPr>
          <w:p w14:paraId="1BE4D9CD" w14:textId="77777777" w:rsidR="00A67F21" w:rsidRPr="00B12FE0" w:rsidRDefault="00A67F21">
            <w:pPr>
              <w:widowControl/>
              <w:jc w:val="center"/>
              <w:rPr>
                <w:color w:val="000000" w:themeColor="text1"/>
                <w:sz w:val="21"/>
                <w:szCs w:val="21"/>
              </w:rPr>
            </w:pPr>
          </w:p>
        </w:tc>
        <w:tc>
          <w:tcPr>
            <w:tcW w:w="1479" w:type="pct"/>
            <w:noWrap/>
            <w:vAlign w:val="center"/>
          </w:tcPr>
          <w:p w14:paraId="3584487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防护门（</w:t>
            </w:r>
            <w:r w:rsidRPr="00B12FE0">
              <w:rPr>
                <w:color w:val="000000" w:themeColor="text1"/>
                <w:kern w:val="0"/>
                <w:sz w:val="21"/>
                <w:szCs w:val="21"/>
              </w:rPr>
              <w:t>2</w:t>
            </w:r>
            <w:r w:rsidRPr="00B12FE0">
              <w:rPr>
                <w:color w:val="000000" w:themeColor="text1"/>
                <w:kern w:val="0"/>
                <w:sz w:val="21"/>
                <w:szCs w:val="21"/>
              </w:rPr>
              <w:t>扇）</w:t>
            </w:r>
          </w:p>
        </w:tc>
        <w:tc>
          <w:tcPr>
            <w:tcW w:w="1877" w:type="pct"/>
            <w:vAlign w:val="center"/>
          </w:tcPr>
          <w:p w14:paraId="2EDBEF0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内衬</w:t>
            </w:r>
            <w:r w:rsidRPr="00B12FE0">
              <w:rPr>
                <w:color w:val="000000" w:themeColor="text1"/>
                <w:sz w:val="21"/>
                <w:szCs w:val="21"/>
              </w:rPr>
              <w:t>4mm</w:t>
            </w:r>
            <w:r w:rsidRPr="00B12FE0">
              <w:rPr>
                <w:color w:val="000000" w:themeColor="text1"/>
                <w:sz w:val="21"/>
                <w:szCs w:val="21"/>
              </w:rPr>
              <w:t>铅板</w:t>
            </w:r>
          </w:p>
        </w:tc>
      </w:tr>
    </w:tbl>
    <w:p w14:paraId="6A98AC9F" w14:textId="77777777" w:rsidR="00A67F21" w:rsidRPr="00B12FE0" w:rsidRDefault="00000000">
      <w:pPr>
        <w:snapToGrid w:val="0"/>
        <w:spacing w:beforeLines="50" w:before="120" w:line="360" w:lineRule="auto"/>
        <w:ind w:firstLineChars="200" w:firstLine="480"/>
        <w:rPr>
          <w:color w:val="000000" w:themeColor="text1"/>
          <w:szCs w:val="24"/>
        </w:rPr>
      </w:pPr>
      <w:r w:rsidRPr="00B12FE0">
        <w:rPr>
          <w:color w:val="000000" w:themeColor="text1"/>
          <w:szCs w:val="24"/>
        </w:rPr>
        <w:t>PET/CT</w:t>
      </w:r>
      <w:r w:rsidRPr="00B12FE0">
        <w:rPr>
          <w:rFonts w:ascii="宋体" w:hAnsi="宋体"/>
          <w:color w:val="000000" w:themeColor="text1"/>
          <w:szCs w:val="24"/>
        </w:rPr>
        <w:t>和</w:t>
      </w:r>
      <w:r w:rsidRPr="00B12FE0">
        <w:rPr>
          <w:color w:val="000000" w:themeColor="text1"/>
          <w:szCs w:val="24"/>
        </w:rPr>
        <w:t>SPECT/CT</w:t>
      </w:r>
      <w:r w:rsidRPr="00B12FE0">
        <w:rPr>
          <w:rFonts w:ascii="宋体" w:hAnsi="宋体"/>
          <w:color w:val="000000" w:themeColor="text1"/>
          <w:szCs w:val="24"/>
        </w:rPr>
        <w:t>中的</w:t>
      </w:r>
      <w:r w:rsidRPr="00B12FE0">
        <w:rPr>
          <w:color w:val="000000" w:themeColor="text1"/>
          <w:szCs w:val="24"/>
        </w:rPr>
        <w:t>CT</w:t>
      </w:r>
      <w:r w:rsidRPr="00B12FE0">
        <w:rPr>
          <w:rFonts w:ascii="宋体" w:hAnsi="宋体"/>
          <w:color w:val="000000" w:themeColor="text1"/>
          <w:szCs w:val="24"/>
        </w:rPr>
        <w:t>部分属</w:t>
      </w:r>
      <w:r w:rsidRPr="00B12FE0">
        <w:rPr>
          <w:color w:val="000000" w:themeColor="text1"/>
          <w:szCs w:val="24"/>
        </w:rPr>
        <w:t>Ⅲ</w:t>
      </w:r>
      <w:r w:rsidRPr="00B12FE0">
        <w:rPr>
          <w:rFonts w:ascii="宋体" w:hAnsi="宋体"/>
          <w:color w:val="000000" w:themeColor="text1"/>
          <w:szCs w:val="24"/>
        </w:rPr>
        <w:t>类射线装置，其屏蔽设计及有效使用面积、最小单边长度与《放射诊断放射防护要求》（</w:t>
      </w:r>
      <w:r w:rsidRPr="00B12FE0">
        <w:rPr>
          <w:color w:val="000000" w:themeColor="text1"/>
          <w:szCs w:val="24"/>
        </w:rPr>
        <w:t>GBZ130-2020</w:t>
      </w:r>
      <w:r w:rsidRPr="00B12FE0">
        <w:rPr>
          <w:rFonts w:ascii="宋体" w:hAnsi="宋体"/>
          <w:color w:val="000000" w:themeColor="text1"/>
          <w:szCs w:val="24"/>
        </w:rPr>
        <w:t>）符合性如表</w:t>
      </w:r>
      <w:r w:rsidRPr="00B12FE0">
        <w:rPr>
          <w:color w:val="000000" w:themeColor="text1"/>
          <w:szCs w:val="24"/>
        </w:rPr>
        <w:t>10.1.1.5-2</w:t>
      </w:r>
      <w:r w:rsidRPr="00B12FE0">
        <w:rPr>
          <w:rFonts w:ascii="宋体" w:hAnsi="宋体"/>
          <w:color w:val="000000" w:themeColor="text1"/>
          <w:szCs w:val="24"/>
        </w:rPr>
        <w:t>和表</w:t>
      </w:r>
      <w:r w:rsidRPr="00B12FE0">
        <w:rPr>
          <w:color w:val="000000" w:themeColor="text1"/>
          <w:szCs w:val="24"/>
        </w:rPr>
        <w:t>10.1.1.5-3</w:t>
      </w:r>
      <w:r w:rsidRPr="00B12FE0">
        <w:rPr>
          <w:rFonts w:ascii="宋体" w:hAnsi="宋体"/>
          <w:color w:val="000000" w:themeColor="text1"/>
          <w:szCs w:val="24"/>
        </w:rPr>
        <w:t>所示。</w:t>
      </w:r>
    </w:p>
    <w:p w14:paraId="7E233AFB"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10.1.1.5-2  PET/CT</w:t>
      </w:r>
      <w:r w:rsidRPr="00B12FE0">
        <w:rPr>
          <w:rFonts w:ascii="宋体" w:hAnsi="宋体"/>
          <w:b/>
          <w:color w:val="000000" w:themeColor="text1"/>
          <w:sz w:val="21"/>
          <w:szCs w:val="21"/>
        </w:rPr>
        <w:t>和</w:t>
      </w:r>
      <w:r w:rsidRPr="00B12FE0">
        <w:rPr>
          <w:b/>
          <w:color w:val="000000" w:themeColor="text1"/>
          <w:sz w:val="21"/>
          <w:szCs w:val="21"/>
        </w:rPr>
        <w:t>SPECT/CT</w:t>
      </w:r>
      <w:r w:rsidRPr="00B12FE0">
        <w:rPr>
          <w:rFonts w:ascii="宋体" w:hAnsi="宋体"/>
          <w:b/>
          <w:color w:val="000000" w:themeColor="text1"/>
          <w:sz w:val="21"/>
          <w:szCs w:val="21"/>
        </w:rPr>
        <w:t>机房有效使用面积和最小单边长度一览表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087"/>
        <w:gridCol w:w="1563"/>
        <w:gridCol w:w="1225"/>
        <w:gridCol w:w="1500"/>
        <w:gridCol w:w="1289"/>
      </w:tblGrid>
      <w:tr w:rsidR="00A67F21" w:rsidRPr="00B12FE0" w14:paraId="7A67D346" w14:textId="77777777">
        <w:trPr>
          <w:trHeight w:val="340"/>
          <w:jc w:val="center"/>
        </w:trPr>
        <w:tc>
          <w:tcPr>
            <w:tcW w:w="2352" w:type="dxa"/>
            <w:vMerge w:val="restart"/>
            <w:tcBorders>
              <w:top w:val="single" w:sz="4" w:space="0" w:color="auto"/>
              <w:left w:val="single" w:sz="4" w:space="0" w:color="auto"/>
              <w:bottom w:val="single" w:sz="4" w:space="0" w:color="auto"/>
              <w:right w:val="single" w:sz="4" w:space="0" w:color="auto"/>
            </w:tcBorders>
            <w:vAlign w:val="center"/>
          </w:tcPr>
          <w:p w14:paraId="289AAC9E"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机房</w:t>
            </w:r>
          </w:p>
        </w:tc>
        <w:tc>
          <w:tcPr>
            <w:tcW w:w="2650" w:type="dxa"/>
            <w:gridSpan w:val="2"/>
            <w:tcBorders>
              <w:top w:val="single" w:sz="4" w:space="0" w:color="auto"/>
              <w:left w:val="single" w:sz="4" w:space="0" w:color="auto"/>
              <w:bottom w:val="single" w:sz="4" w:space="0" w:color="auto"/>
              <w:right w:val="single" w:sz="4" w:space="0" w:color="auto"/>
            </w:tcBorders>
            <w:vAlign w:val="center"/>
          </w:tcPr>
          <w:p w14:paraId="50DCDF92"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拟设</w:t>
            </w:r>
            <w:proofErr w:type="gramStart"/>
            <w:r w:rsidRPr="00B12FE0">
              <w:rPr>
                <w:rFonts w:ascii="宋体" w:hAnsi="宋体"/>
                <w:color w:val="000000" w:themeColor="text1"/>
                <w:sz w:val="21"/>
                <w:szCs w:val="21"/>
              </w:rPr>
              <w:t>置情况</w:t>
            </w:r>
            <w:proofErr w:type="gramEnd"/>
          </w:p>
        </w:tc>
        <w:tc>
          <w:tcPr>
            <w:tcW w:w="2725" w:type="dxa"/>
            <w:gridSpan w:val="2"/>
            <w:tcBorders>
              <w:top w:val="single" w:sz="4" w:space="0" w:color="auto"/>
              <w:left w:val="single" w:sz="4" w:space="0" w:color="auto"/>
              <w:bottom w:val="single" w:sz="4" w:space="0" w:color="auto"/>
              <w:right w:val="single" w:sz="4" w:space="0" w:color="auto"/>
            </w:tcBorders>
            <w:vAlign w:val="center"/>
          </w:tcPr>
          <w:p w14:paraId="4479CA64" w14:textId="77777777" w:rsidR="00A67F21" w:rsidRPr="00B12FE0" w:rsidRDefault="00000000">
            <w:pPr>
              <w:jc w:val="center"/>
              <w:rPr>
                <w:color w:val="000000" w:themeColor="text1"/>
                <w:sz w:val="21"/>
                <w:szCs w:val="21"/>
              </w:rPr>
            </w:pPr>
            <w:r w:rsidRPr="00B12FE0">
              <w:rPr>
                <w:color w:val="000000" w:themeColor="text1"/>
                <w:sz w:val="21"/>
                <w:szCs w:val="21"/>
              </w:rPr>
              <w:t>GB130-2020</w:t>
            </w:r>
            <w:r w:rsidRPr="00B12FE0">
              <w:rPr>
                <w:rFonts w:ascii="宋体" w:hAnsi="宋体"/>
                <w:color w:val="000000" w:themeColor="text1"/>
                <w:sz w:val="21"/>
                <w:szCs w:val="21"/>
              </w:rPr>
              <w:t>要求</w:t>
            </w:r>
          </w:p>
        </w:tc>
        <w:tc>
          <w:tcPr>
            <w:tcW w:w="1289" w:type="dxa"/>
            <w:vMerge w:val="restart"/>
            <w:tcBorders>
              <w:top w:val="single" w:sz="4" w:space="0" w:color="auto"/>
              <w:left w:val="single" w:sz="4" w:space="0" w:color="auto"/>
              <w:bottom w:val="single" w:sz="4" w:space="0" w:color="auto"/>
              <w:right w:val="single" w:sz="4" w:space="0" w:color="auto"/>
            </w:tcBorders>
            <w:vAlign w:val="center"/>
          </w:tcPr>
          <w:p w14:paraId="0F563CD1"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是否相符</w:t>
            </w:r>
          </w:p>
        </w:tc>
      </w:tr>
      <w:tr w:rsidR="00A67F21" w:rsidRPr="00B12FE0" w14:paraId="44250127" w14:textId="77777777">
        <w:trPr>
          <w:trHeight w:val="340"/>
          <w:jc w:val="center"/>
        </w:trPr>
        <w:tc>
          <w:tcPr>
            <w:tcW w:w="2352" w:type="dxa"/>
            <w:vMerge/>
            <w:tcBorders>
              <w:top w:val="single" w:sz="4" w:space="0" w:color="auto"/>
              <w:left w:val="single" w:sz="4" w:space="0" w:color="auto"/>
              <w:bottom w:val="single" w:sz="4" w:space="0" w:color="auto"/>
              <w:right w:val="single" w:sz="4" w:space="0" w:color="auto"/>
            </w:tcBorders>
            <w:vAlign w:val="center"/>
          </w:tcPr>
          <w:p w14:paraId="7C210ADA" w14:textId="77777777" w:rsidR="00A67F21" w:rsidRPr="00B12FE0" w:rsidRDefault="00A67F21">
            <w:pPr>
              <w:widowControl/>
              <w:jc w:val="left"/>
              <w:rPr>
                <w:color w:val="000000" w:themeColor="text1"/>
                <w:sz w:val="21"/>
                <w:szCs w:val="21"/>
              </w:rPr>
            </w:pPr>
          </w:p>
        </w:tc>
        <w:tc>
          <w:tcPr>
            <w:tcW w:w="1087" w:type="dxa"/>
            <w:tcBorders>
              <w:top w:val="single" w:sz="4" w:space="0" w:color="auto"/>
              <w:left w:val="single" w:sz="4" w:space="0" w:color="auto"/>
              <w:bottom w:val="single" w:sz="4" w:space="0" w:color="auto"/>
              <w:right w:val="single" w:sz="4" w:space="0" w:color="auto"/>
            </w:tcBorders>
            <w:vAlign w:val="center"/>
          </w:tcPr>
          <w:p w14:paraId="1AAA5917"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最小单边长度（</w:t>
            </w:r>
            <w:r w:rsidRPr="00B12FE0">
              <w:rPr>
                <w:color w:val="000000" w:themeColor="text1"/>
                <w:sz w:val="21"/>
                <w:szCs w:val="21"/>
              </w:rPr>
              <w:t>m</w:t>
            </w:r>
            <w:r w:rsidRPr="00B12FE0">
              <w:rPr>
                <w:rFonts w:ascii="宋体" w:hAnsi="宋体"/>
                <w:color w:val="000000" w:themeColor="text1"/>
                <w:sz w:val="21"/>
                <w:szCs w:val="21"/>
              </w:rPr>
              <w:t>）</w:t>
            </w:r>
          </w:p>
        </w:tc>
        <w:tc>
          <w:tcPr>
            <w:tcW w:w="1563" w:type="dxa"/>
            <w:tcBorders>
              <w:top w:val="single" w:sz="4" w:space="0" w:color="auto"/>
              <w:left w:val="single" w:sz="4" w:space="0" w:color="auto"/>
              <w:bottom w:val="single" w:sz="4" w:space="0" w:color="auto"/>
              <w:right w:val="single" w:sz="4" w:space="0" w:color="auto"/>
            </w:tcBorders>
            <w:vAlign w:val="center"/>
          </w:tcPr>
          <w:p w14:paraId="14287FA1"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有效使用面积（</w:t>
            </w:r>
            <w:r w:rsidRPr="00B12FE0">
              <w:rPr>
                <w:color w:val="000000" w:themeColor="text1"/>
                <w:sz w:val="21"/>
                <w:szCs w:val="21"/>
              </w:rPr>
              <w:t>m</w:t>
            </w:r>
            <w:r w:rsidRPr="00B12FE0">
              <w:rPr>
                <w:color w:val="000000" w:themeColor="text1"/>
                <w:sz w:val="21"/>
                <w:szCs w:val="21"/>
                <w:vertAlign w:val="superscript"/>
              </w:rPr>
              <w:t>2</w:t>
            </w:r>
            <w:r w:rsidRPr="00B12FE0">
              <w:rPr>
                <w:rFonts w:ascii="宋体" w:hAnsi="宋体"/>
                <w:color w:val="000000" w:themeColor="text1"/>
                <w:sz w:val="21"/>
                <w:szCs w:val="21"/>
              </w:rPr>
              <w:t>）</w:t>
            </w:r>
          </w:p>
        </w:tc>
        <w:tc>
          <w:tcPr>
            <w:tcW w:w="1225" w:type="dxa"/>
            <w:tcBorders>
              <w:top w:val="single" w:sz="4" w:space="0" w:color="auto"/>
              <w:left w:val="single" w:sz="4" w:space="0" w:color="auto"/>
              <w:bottom w:val="single" w:sz="4" w:space="0" w:color="auto"/>
              <w:right w:val="single" w:sz="4" w:space="0" w:color="auto"/>
            </w:tcBorders>
            <w:vAlign w:val="center"/>
          </w:tcPr>
          <w:p w14:paraId="70B506C5"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最小单边长度（</w:t>
            </w:r>
            <w:r w:rsidRPr="00B12FE0">
              <w:rPr>
                <w:color w:val="000000" w:themeColor="text1"/>
                <w:sz w:val="21"/>
                <w:szCs w:val="21"/>
              </w:rPr>
              <w:t>m</w:t>
            </w:r>
            <w:r w:rsidRPr="00B12FE0">
              <w:rPr>
                <w:rFonts w:ascii="宋体" w:hAnsi="宋体"/>
                <w:color w:val="000000" w:themeColor="text1"/>
                <w:sz w:val="21"/>
                <w:szCs w:val="21"/>
              </w:rPr>
              <w:t>）</w:t>
            </w:r>
          </w:p>
        </w:tc>
        <w:tc>
          <w:tcPr>
            <w:tcW w:w="1500" w:type="dxa"/>
            <w:tcBorders>
              <w:top w:val="single" w:sz="4" w:space="0" w:color="auto"/>
              <w:left w:val="single" w:sz="4" w:space="0" w:color="auto"/>
              <w:bottom w:val="single" w:sz="4" w:space="0" w:color="auto"/>
              <w:right w:val="single" w:sz="4" w:space="0" w:color="auto"/>
            </w:tcBorders>
            <w:vAlign w:val="center"/>
          </w:tcPr>
          <w:p w14:paraId="6BD1B81D"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有效使用面积（</w:t>
            </w:r>
            <w:r w:rsidRPr="00B12FE0">
              <w:rPr>
                <w:color w:val="000000" w:themeColor="text1"/>
                <w:sz w:val="21"/>
                <w:szCs w:val="21"/>
              </w:rPr>
              <w:t>m</w:t>
            </w:r>
            <w:r w:rsidRPr="00B12FE0">
              <w:rPr>
                <w:color w:val="000000" w:themeColor="text1"/>
                <w:sz w:val="21"/>
                <w:szCs w:val="21"/>
                <w:vertAlign w:val="superscript"/>
              </w:rPr>
              <w:t>2</w:t>
            </w:r>
            <w:r w:rsidRPr="00B12FE0">
              <w:rPr>
                <w:rFonts w:ascii="宋体" w:hAnsi="宋体"/>
                <w:color w:val="000000" w:themeColor="text1"/>
                <w:sz w:val="21"/>
                <w:szCs w:val="21"/>
              </w:rPr>
              <w:t>）</w:t>
            </w:r>
          </w:p>
        </w:tc>
        <w:tc>
          <w:tcPr>
            <w:tcW w:w="1289" w:type="dxa"/>
            <w:vMerge/>
            <w:tcBorders>
              <w:top w:val="single" w:sz="4" w:space="0" w:color="auto"/>
              <w:left w:val="single" w:sz="4" w:space="0" w:color="auto"/>
              <w:bottom w:val="single" w:sz="4" w:space="0" w:color="auto"/>
              <w:right w:val="single" w:sz="4" w:space="0" w:color="auto"/>
            </w:tcBorders>
            <w:vAlign w:val="center"/>
          </w:tcPr>
          <w:p w14:paraId="679116CF" w14:textId="77777777" w:rsidR="00A67F21" w:rsidRPr="00B12FE0" w:rsidRDefault="00A67F21">
            <w:pPr>
              <w:widowControl/>
              <w:jc w:val="left"/>
              <w:rPr>
                <w:color w:val="000000" w:themeColor="text1"/>
                <w:sz w:val="21"/>
                <w:szCs w:val="21"/>
              </w:rPr>
            </w:pPr>
          </w:p>
        </w:tc>
      </w:tr>
      <w:tr w:rsidR="00A67F21" w:rsidRPr="00B12FE0" w14:paraId="43AFFA29" w14:textId="77777777">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tcPr>
          <w:p w14:paraId="5AAA1BF8" w14:textId="77777777" w:rsidR="00A67F21" w:rsidRPr="00B12FE0" w:rsidRDefault="00000000">
            <w:pPr>
              <w:jc w:val="center"/>
              <w:rPr>
                <w:color w:val="000000" w:themeColor="text1"/>
                <w:sz w:val="21"/>
                <w:szCs w:val="21"/>
              </w:rPr>
            </w:pPr>
            <w:r w:rsidRPr="00B12FE0">
              <w:rPr>
                <w:color w:val="000000" w:themeColor="text1"/>
                <w:sz w:val="21"/>
                <w:szCs w:val="21"/>
              </w:rPr>
              <w:t>PET/CT</w:t>
            </w:r>
            <w:r w:rsidRPr="00B12FE0">
              <w:rPr>
                <w:color w:val="000000" w:themeColor="text1"/>
                <w:sz w:val="21"/>
                <w:szCs w:val="21"/>
              </w:rPr>
              <w:t>机房</w:t>
            </w:r>
          </w:p>
        </w:tc>
        <w:tc>
          <w:tcPr>
            <w:tcW w:w="1087" w:type="dxa"/>
            <w:tcBorders>
              <w:top w:val="single" w:sz="4" w:space="0" w:color="auto"/>
              <w:left w:val="single" w:sz="4" w:space="0" w:color="auto"/>
              <w:bottom w:val="single" w:sz="4" w:space="0" w:color="auto"/>
              <w:right w:val="single" w:sz="4" w:space="0" w:color="auto"/>
            </w:tcBorders>
            <w:vAlign w:val="center"/>
          </w:tcPr>
          <w:p w14:paraId="4AFFDB06" w14:textId="77777777" w:rsidR="00A67F21" w:rsidRPr="00B12FE0" w:rsidRDefault="00000000">
            <w:pPr>
              <w:jc w:val="center"/>
              <w:rPr>
                <w:color w:val="000000" w:themeColor="text1"/>
                <w:sz w:val="21"/>
                <w:szCs w:val="21"/>
              </w:rPr>
            </w:pPr>
            <w:r w:rsidRPr="00B12FE0">
              <w:rPr>
                <w:color w:val="000000" w:themeColor="text1"/>
                <w:sz w:val="21"/>
                <w:szCs w:val="21"/>
              </w:rPr>
              <w:t>6.</w:t>
            </w:r>
            <w:r w:rsidRPr="00B12FE0">
              <w:rPr>
                <w:rFonts w:hint="eastAsia"/>
                <w:color w:val="000000" w:themeColor="text1"/>
                <w:sz w:val="21"/>
                <w:szCs w:val="21"/>
              </w:rPr>
              <w:t>08</w:t>
            </w:r>
          </w:p>
        </w:tc>
        <w:tc>
          <w:tcPr>
            <w:tcW w:w="1563" w:type="dxa"/>
            <w:tcBorders>
              <w:top w:val="single" w:sz="4" w:space="0" w:color="auto"/>
              <w:left w:val="single" w:sz="4" w:space="0" w:color="auto"/>
              <w:bottom w:val="single" w:sz="4" w:space="0" w:color="auto"/>
              <w:right w:val="single" w:sz="4" w:space="0" w:color="auto"/>
            </w:tcBorders>
            <w:vAlign w:val="center"/>
          </w:tcPr>
          <w:p w14:paraId="54825E87"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49.92</w:t>
            </w:r>
          </w:p>
        </w:tc>
        <w:tc>
          <w:tcPr>
            <w:tcW w:w="1225" w:type="dxa"/>
            <w:tcBorders>
              <w:top w:val="single" w:sz="4" w:space="0" w:color="auto"/>
              <w:left w:val="single" w:sz="4" w:space="0" w:color="auto"/>
              <w:bottom w:val="single" w:sz="4" w:space="0" w:color="auto"/>
              <w:right w:val="single" w:sz="4" w:space="0" w:color="auto"/>
            </w:tcBorders>
            <w:vAlign w:val="center"/>
          </w:tcPr>
          <w:p w14:paraId="287149B8" w14:textId="77777777" w:rsidR="00A67F21" w:rsidRPr="00B12FE0" w:rsidRDefault="00000000">
            <w:pPr>
              <w:jc w:val="center"/>
              <w:rPr>
                <w:color w:val="000000" w:themeColor="text1"/>
                <w:sz w:val="21"/>
                <w:szCs w:val="21"/>
              </w:rPr>
            </w:pPr>
            <w:r w:rsidRPr="00B12FE0">
              <w:rPr>
                <w:color w:val="000000" w:themeColor="text1"/>
                <w:sz w:val="21"/>
                <w:szCs w:val="21"/>
              </w:rPr>
              <w:t>4.5</w:t>
            </w:r>
          </w:p>
        </w:tc>
        <w:tc>
          <w:tcPr>
            <w:tcW w:w="1500" w:type="dxa"/>
            <w:tcBorders>
              <w:top w:val="single" w:sz="4" w:space="0" w:color="auto"/>
              <w:left w:val="single" w:sz="4" w:space="0" w:color="auto"/>
              <w:bottom w:val="single" w:sz="4" w:space="0" w:color="auto"/>
              <w:right w:val="single" w:sz="4" w:space="0" w:color="auto"/>
            </w:tcBorders>
            <w:vAlign w:val="center"/>
          </w:tcPr>
          <w:p w14:paraId="1D25E82B" w14:textId="77777777" w:rsidR="00A67F21" w:rsidRPr="00B12FE0" w:rsidRDefault="00000000">
            <w:pPr>
              <w:jc w:val="center"/>
              <w:rPr>
                <w:color w:val="000000" w:themeColor="text1"/>
                <w:sz w:val="21"/>
                <w:szCs w:val="21"/>
              </w:rPr>
            </w:pPr>
            <w:r w:rsidRPr="00B12FE0">
              <w:rPr>
                <w:color w:val="000000" w:themeColor="text1"/>
                <w:sz w:val="21"/>
                <w:szCs w:val="21"/>
              </w:rPr>
              <w:t>30</w:t>
            </w:r>
          </w:p>
        </w:tc>
        <w:tc>
          <w:tcPr>
            <w:tcW w:w="1289" w:type="dxa"/>
            <w:tcBorders>
              <w:top w:val="single" w:sz="4" w:space="0" w:color="auto"/>
              <w:left w:val="single" w:sz="4" w:space="0" w:color="auto"/>
              <w:bottom w:val="single" w:sz="4" w:space="0" w:color="auto"/>
              <w:right w:val="single" w:sz="4" w:space="0" w:color="auto"/>
            </w:tcBorders>
            <w:vAlign w:val="center"/>
          </w:tcPr>
          <w:p w14:paraId="524888AB"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是</w:t>
            </w:r>
          </w:p>
        </w:tc>
      </w:tr>
      <w:tr w:rsidR="00A67F21" w:rsidRPr="00B12FE0" w14:paraId="4607B5EB" w14:textId="77777777">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tcPr>
          <w:p w14:paraId="511CE244" w14:textId="77777777" w:rsidR="00A67F21" w:rsidRPr="00B12FE0" w:rsidRDefault="00000000">
            <w:pPr>
              <w:jc w:val="center"/>
              <w:rPr>
                <w:color w:val="000000" w:themeColor="text1"/>
                <w:sz w:val="21"/>
                <w:szCs w:val="21"/>
              </w:rPr>
            </w:pPr>
            <w:r w:rsidRPr="00B12FE0">
              <w:rPr>
                <w:color w:val="000000" w:themeColor="text1"/>
                <w:sz w:val="21"/>
                <w:szCs w:val="21"/>
              </w:rPr>
              <w:t>SPECT/CT</w:t>
            </w:r>
            <w:r w:rsidRPr="00B12FE0">
              <w:rPr>
                <w:color w:val="000000" w:themeColor="text1"/>
                <w:sz w:val="21"/>
                <w:szCs w:val="21"/>
              </w:rPr>
              <w:t>机房</w:t>
            </w:r>
            <w:r w:rsidRPr="00B12FE0">
              <w:rPr>
                <w:rFonts w:hint="eastAsia"/>
                <w:color w:val="000000" w:themeColor="text1"/>
                <w:sz w:val="21"/>
                <w:szCs w:val="21"/>
              </w:rPr>
              <w:t>1</w:t>
            </w:r>
          </w:p>
        </w:tc>
        <w:tc>
          <w:tcPr>
            <w:tcW w:w="1087" w:type="dxa"/>
            <w:tcBorders>
              <w:top w:val="single" w:sz="4" w:space="0" w:color="auto"/>
              <w:left w:val="single" w:sz="4" w:space="0" w:color="auto"/>
              <w:bottom w:val="single" w:sz="4" w:space="0" w:color="auto"/>
              <w:right w:val="single" w:sz="4" w:space="0" w:color="auto"/>
            </w:tcBorders>
            <w:vAlign w:val="center"/>
          </w:tcPr>
          <w:p w14:paraId="5C212FB4" w14:textId="77777777" w:rsidR="00A67F21" w:rsidRPr="00B12FE0" w:rsidRDefault="00000000">
            <w:pPr>
              <w:jc w:val="center"/>
              <w:rPr>
                <w:color w:val="000000" w:themeColor="text1"/>
                <w:sz w:val="21"/>
                <w:szCs w:val="21"/>
              </w:rPr>
            </w:pPr>
            <w:r w:rsidRPr="00B12FE0">
              <w:rPr>
                <w:color w:val="000000" w:themeColor="text1"/>
                <w:sz w:val="21"/>
                <w:szCs w:val="21"/>
              </w:rPr>
              <w:t>6.</w:t>
            </w:r>
            <w:r w:rsidRPr="00B12FE0">
              <w:rPr>
                <w:rFonts w:hint="eastAsia"/>
                <w:color w:val="000000" w:themeColor="text1"/>
                <w:sz w:val="21"/>
                <w:szCs w:val="21"/>
              </w:rPr>
              <w:t>08</w:t>
            </w:r>
          </w:p>
        </w:tc>
        <w:tc>
          <w:tcPr>
            <w:tcW w:w="1563" w:type="dxa"/>
            <w:tcBorders>
              <w:top w:val="single" w:sz="4" w:space="0" w:color="auto"/>
              <w:left w:val="single" w:sz="4" w:space="0" w:color="auto"/>
              <w:bottom w:val="single" w:sz="4" w:space="0" w:color="auto"/>
              <w:right w:val="single" w:sz="4" w:space="0" w:color="auto"/>
            </w:tcBorders>
            <w:vAlign w:val="center"/>
          </w:tcPr>
          <w:p w14:paraId="003006E7" w14:textId="77777777" w:rsidR="00A67F21" w:rsidRPr="00B12FE0" w:rsidRDefault="00000000">
            <w:pPr>
              <w:jc w:val="center"/>
              <w:rPr>
                <w:color w:val="000000" w:themeColor="text1"/>
                <w:sz w:val="21"/>
                <w:szCs w:val="21"/>
              </w:rPr>
            </w:pPr>
            <w:r w:rsidRPr="00B12FE0">
              <w:rPr>
                <w:color w:val="000000" w:themeColor="text1"/>
                <w:sz w:val="21"/>
                <w:szCs w:val="21"/>
              </w:rPr>
              <w:t>49.</w:t>
            </w:r>
            <w:r w:rsidRPr="00B12FE0">
              <w:rPr>
                <w:rFonts w:hint="eastAsia"/>
                <w:color w:val="000000" w:themeColor="text1"/>
                <w:sz w:val="21"/>
                <w:szCs w:val="21"/>
              </w:rPr>
              <w:t>9</w:t>
            </w:r>
            <w:r w:rsidRPr="00B12FE0">
              <w:rPr>
                <w:color w:val="000000" w:themeColor="text1"/>
                <w:sz w:val="21"/>
                <w:szCs w:val="21"/>
              </w:rPr>
              <w:t>2</w:t>
            </w:r>
          </w:p>
        </w:tc>
        <w:tc>
          <w:tcPr>
            <w:tcW w:w="1225" w:type="dxa"/>
            <w:tcBorders>
              <w:top w:val="single" w:sz="4" w:space="0" w:color="auto"/>
              <w:left w:val="single" w:sz="4" w:space="0" w:color="auto"/>
              <w:bottom w:val="single" w:sz="4" w:space="0" w:color="auto"/>
              <w:right w:val="single" w:sz="4" w:space="0" w:color="auto"/>
            </w:tcBorders>
            <w:vAlign w:val="center"/>
          </w:tcPr>
          <w:p w14:paraId="4D857EB8" w14:textId="77777777" w:rsidR="00A67F21" w:rsidRPr="00B12FE0" w:rsidRDefault="00000000">
            <w:pPr>
              <w:jc w:val="center"/>
              <w:rPr>
                <w:color w:val="000000" w:themeColor="text1"/>
                <w:sz w:val="21"/>
                <w:szCs w:val="21"/>
              </w:rPr>
            </w:pPr>
            <w:r w:rsidRPr="00B12FE0">
              <w:rPr>
                <w:color w:val="000000" w:themeColor="text1"/>
                <w:sz w:val="21"/>
                <w:szCs w:val="21"/>
              </w:rPr>
              <w:t>4.5</w:t>
            </w:r>
          </w:p>
        </w:tc>
        <w:tc>
          <w:tcPr>
            <w:tcW w:w="1500" w:type="dxa"/>
            <w:tcBorders>
              <w:top w:val="single" w:sz="4" w:space="0" w:color="auto"/>
              <w:left w:val="single" w:sz="4" w:space="0" w:color="auto"/>
              <w:bottom w:val="single" w:sz="4" w:space="0" w:color="auto"/>
              <w:right w:val="single" w:sz="4" w:space="0" w:color="auto"/>
            </w:tcBorders>
            <w:vAlign w:val="center"/>
          </w:tcPr>
          <w:p w14:paraId="155B3888" w14:textId="77777777" w:rsidR="00A67F21" w:rsidRPr="00B12FE0" w:rsidRDefault="00000000">
            <w:pPr>
              <w:jc w:val="center"/>
              <w:rPr>
                <w:color w:val="000000" w:themeColor="text1"/>
                <w:sz w:val="21"/>
                <w:szCs w:val="21"/>
              </w:rPr>
            </w:pPr>
            <w:r w:rsidRPr="00B12FE0">
              <w:rPr>
                <w:color w:val="000000" w:themeColor="text1"/>
                <w:sz w:val="21"/>
                <w:szCs w:val="21"/>
              </w:rPr>
              <w:t>30</w:t>
            </w:r>
          </w:p>
        </w:tc>
        <w:tc>
          <w:tcPr>
            <w:tcW w:w="1289" w:type="dxa"/>
            <w:tcBorders>
              <w:top w:val="single" w:sz="4" w:space="0" w:color="auto"/>
              <w:left w:val="single" w:sz="4" w:space="0" w:color="auto"/>
              <w:bottom w:val="single" w:sz="4" w:space="0" w:color="auto"/>
              <w:right w:val="single" w:sz="4" w:space="0" w:color="auto"/>
            </w:tcBorders>
            <w:vAlign w:val="center"/>
          </w:tcPr>
          <w:p w14:paraId="6794798B"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是</w:t>
            </w:r>
          </w:p>
        </w:tc>
      </w:tr>
      <w:tr w:rsidR="00A67F21" w:rsidRPr="00B12FE0" w14:paraId="1C2D6222" w14:textId="77777777">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tcPr>
          <w:p w14:paraId="30DACBD8" w14:textId="77777777" w:rsidR="00A67F21" w:rsidRPr="00B12FE0" w:rsidRDefault="00000000">
            <w:pPr>
              <w:jc w:val="center"/>
              <w:rPr>
                <w:color w:val="000000" w:themeColor="text1"/>
                <w:sz w:val="21"/>
                <w:szCs w:val="21"/>
              </w:rPr>
            </w:pPr>
            <w:r w:rsidRPr="00B12FE0">
              <w:rPr>
                <w:color w:val="000000" w:themeColor="text1"/>
                <w:sz w:val="21"/>
                <w:szCs w:val="21"/>
              </w:rPr>
              <w:t>SPECT/CT</w:t>
            </w:r>
            <w:r w:rsidRPr="00B12FE0">
              <w:rPr>
                <w:rFonts w:ascii="宋体" w:hAnsi="宋体"/>
                <w:color w:val="000000" w:themeColor="text1"/>
                <w:sz w:val="21"/>
                <w:szCs w:val="21"/>
              </w:rPr>
              <w:t>机房</w:t>
            </w:r>
            <w:r w:rsidRPr="00B12FE0">
              <w:rPr>
                <w:rFonts w:ascii="宋体" w:hAnsi="宋体" w:hint="eastAsia"/>
                <w:color w:val="000000" w:themeColor="text1"/>
                <w:sz w:val="21"/>
                <w:szCs w:val="21"/>
              </w:rPr>
              <w:t>2</w:t>
            </w:r>
          </w:p>
        </w:tc>
        <w:tc>
          <w:tcPr>
            <w:tcW w:w="1087" w:type="dxa"/>
            <w:tcBorders>
              <w:top w:val="single" w:sz="4" w:space="0" w:color="auto"/>
              <w:left w:val="single" w:sz="4" w:space="0" w:color="auto"/>
              <w:bottom w:val="single" w:sz="4" w:space="0" w:color="auto"/>
              <w:right w:val="single" w:sz="4" w:space="0" w:color="auto"/>
            </w:tcBorders>
            <w:vAlign w:val="center"/>
          </w:tcPr>
          <w:p w14:paraId="54CADE48"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6.08</w:t>
            </w:r>
          </w:p>
        </w:tc>
        <w:tc>
          <w:tcPr>
            <w:tcW w:w="1563" w:type="dxa"/>
            <w:tcBorders>
              <w:top w:val="single" w:sz="4" w:space="0" w:color="auto"/>
              <w:left w:val="single" w:sz="4" w:space="0" w:color="auto"/>
              <w:bottom w:val="single" w:sz="4" w:space="0" w:color="auto"/>
              <w:right w:val="single" w:sz="4" w:space="0" w:color="auto"/>
            </w:tcBorders>
            <w:vAlign w:val="center"/>
          </w:tcPr>
          <w:p w14:paraId="05BE4E92"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49.92</w:t>
            </w:r>
          </w:p>
        </w:tc>
        <w:tc>
          <w:tcPr>
            <w:tcW w:w="1225" w:type="dxa"/>
            <w:tcBorders>
              <w:top w:val="single" w:sz="4" w:space="0" w:color="auto"/>
              <w:left w:val="single" w:sz="4" w:space="0" w:color="auto"/>
              <w:bottom w:val="single" w:sz="4" w:space="0" w:color="auto"/>
              <w:right w:val="single" w:sz="4" w:space="0" w:color="auto"/>
            </w:tcBorders>
            <w:vAlign w:val="center"/>
          </w:tcPr>
          <w:p w14:paraId="70D8E56B" w14:textId="77777777" w:rsidR="00A67F21" w:rsidRPr="00B12FE0" w:rsidRDefault="00000000">
            <w:pPr>
              <w:jc w:val="center"/>
              <w:rPr>
                <w:color w:val="000000" w:themeColor="text1"/>
                <w:sz w:val="21"/>
                <w:szCs w:val="21"/>
              </w:rPr>
            </w:pPr>
            <w:r w:rsidRPr="00B12FE0">
              <w:rPr>
                <w:color w:val="000000" w:themeColor="text1"/>
                <w:sz w:val="21"/>
                <w:szCs w:val="21"/>
              </w:rPr>
              <w:t>4.5</w:t>
            </w:r>
          </w:p>
        </w:tc>
        <w:tc>
          <w:tcPr>
            <w:tcW w:w="1500" w:type="dxa"/>
            <w:tcBorders>
              <w:top w:val="single" w:sz="4" w:space="0" w:color="auto"/>
              <w:left w:val="single" w:sz="4" w:space="0" w:color="auto"/>
              <w:bottom w:val="single" w:sz="4" w:space="0" w:color="auto"/>
              <w:right w:val="single" w:sz="4" w:space="0" w:color="auto"/>
            </w:tcBorders>
            <w:vAlign w:val="center"/>
          </w:tcPr>
          <w:p w14:paraId="4BE6246B" w14:textId="77777777" w:rsidR="00A67F21" w:rsidRPr="00B12FE0" w:rsidRDefault="00000000">
            <w:pPr>
              <w:jc w:val="center"/>
              <w:rPr>
                <w:color w:val="000000" w:themeColor="text1"/>
                <w:sz w:val="21"/>
                <w:szCs w:val="21"/>
              </w:rPr>
            </w:pPr>
            <w:r w:rsidRPr="00B12FE0">
              <w:rPr>
                <w:color w:val="000000" w:themeColor="text1"/>
                <w:sz w:val="21"/>
                <w:szCs w:val="21"/>
              </w:rPr>
              <w:t>30</w:t>
            </w:r>
          </w:p>
        </w:tc>
        <w:tc>
          <w:tcPr>
            <w:tcW w:w="1289" w:type="dxa"/>
            <w:tcBorders>
              <w:top w:val="single" w:sz="4" w:space="0" w:color="auto"/>
              <w:left w:val="single" w:sz="4" w:space="0" w:color="auto"/>
              <w:bottom w:val="single" w:sz="4" w:space="0" w:color="auto"/>
              <w:right w:val="single" w:sz="4" w:space="0" w:color="auto"/>
            </w:tcBorders>
            <w:vAlign w:val="center"/>
          </w:tcPr>
          <w:p w14:paraId="57100219"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是</w:t>
            </w:r>
          </w:p>
        </w:tc>
      </w:tr>
    </w:tbl>
    <w:p w14:paraId="141A7F28" w14:textId="77777777" w:rsidR="00A67F21" w:rsidRPr="00B12FE0" w:rsidRDefault="00000000">
      <w:pPr>
        <w:adjustRightInd w:val="0"/>
        <w:snapToGrid w:val="0"/>
        <w:spacing w:beforeLines="50" w:before="120"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10.1.1.5-3 PET/CT</w:t>
      </w:r>
      <w:r w:rsidRPr="00B12FE0">
        <w:rPr>
          <w:rFonts w:ascii="宋体" w:hAnsi="宋体"/>
          <w:b/>
          <w:color w:val="000000" w:themeColor="text1"/>
          <w:sz w:val="21"/>
          <w:szCs w:val="21"/>
        </w:rPr>
        <w:t>和</w:t>
      </w:r>
      <w:r w:rsidRPr="00B12FE0">
        <w:rPr>
          <w:b/>
          <w:color w:val="000000" w:themeColor="text1"/>
          <w:sz w:val="21"/>
          <w:szCs w:val="21"/>
        </w:rPr>
        <w:t>SPECT/CT</w:t>
      </w:r>
      <w:r w:rsidRPr="00B12FE0">
        <w:rPr>
          <w:rFonts w:ascii="宋体" w:hAnsi="宋体"/>
          <w:b/>
          <w:color w:val="000000" w:themeColor="text1"/>
          <w:sz w:val="21"/>
          <w:szCs w:val="21"/>
        </w:rPr>
        <w:t>机房屏蔽防护设计评价表</w:t>
      </w:r>
    </w:p>
    <w:tbl>
      <w:tblPr>
        <w:tblW w:w="9026" w:type="dxa"/>
        <w:jc w:val="center"/>
        <w:tblLayout w:type="fixed"/>
        <w:tblLook w:val="04A0" w:firstRow="1" w:lastRow="0" w:firstColumn="1" w:lastColumn="0" w:noHBand="0" w:noVBand="1"/>
      </w:tblPr>
      <w:tblGrid>
        <w:gridCol w:w="1386"/>
        <w:gridCol w:w="1714"/>
        <w:gridCol w:w="2353"/>
        <w:gridCol w:w="1385"/>
        <w:gridCol w:w="1094"/>
        <w:gridCol w:w="1094"/>
      </w:tblGrid>
      <w:tr w:rsidR="00A67F21" w:rsidRPr="00B12FE0" w14:paraId="1E3943E2" w14:textId="77777777">
        <w:trPr>
          <w:trHeight w:val="285"/>
          <w:jc w:val="center"/>
        </w:trPr>
        <w:tc>
          <w:tcPr>
            <w:tcW w:w="1386" w:type="dxa"/>
            <w:tcBorders>
              <w:top w:val="single" w:sz="4" w:space="0" w:color="000000"/>
              <w:left w:val="single" w:sz="4" w:space="0" w:color="000000"/>
              <w:bottom w:val="single" w:sz="4" w:space="0" w:color="000000"/>
              <w:right w:val="single" w:sz="4" w:space="0" w:color="000000"/>
            </w:tcBorders>
            <w:noWrap/>
            <w:vAlign w:val="center"/>
          </w:tcPr>
          <w:p w14:paraId="578CDBF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机房名称</w:t>
            </w:r>
          </w:p>
        </w:tc>
        <w:tc>
          <w:tcPr>
            <w:tcW w:w="1714" w:type="dxa"/>
            <w:tcBorders>
              <w:top w:val="single" w:sz="4" w:space="0" w:color="000000"/>
              <w:left w:val="nil"/>
              <w:bottom w:val="single" w:sz="4" w:space="0" w:color="000000"/>
              <w:right w:val="single" w:sz="4" w:space="0" w:color="000000"/>
            </w:tcBorders>
            <w:noWrap/>
            <w:vAlign w:val="center"/>
          </w:tcPr>
          <w:p w14:paraId="51DFD35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屏蔽体</w:t>
            </w:r>
          </w:p>
        </w:tc>
        <w:tc>
          <w:tcPr>
            <w:tcW w:w="2353" w:type="dxa"/>
            <w:tcBorders>
              <w:top w:val="single" w:sz="4" w:space="0" w:color="000000"/>
              <w:left w:val="nil"/>
              <w:bottom w:val="single" w:sz="4" w:space="0" w:color="000000"/>
              <w:right w:val="single" w:sz="4" w:space="0" w:color="000000"/>
            </w:tcBorders>
            <w:noWrap/>
            <w:vAlign w:val="center"/>
          </w:tcPr>
          <w:p w14:paraId="12BCBD4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屏蔽材料及厚度</w:t>
            </w:r>
          </w:p>
        </w:tc>
        <w:tc>
          <w:tcPr>
            <w:tcW w:w="1385" w:type="dxa"/>
            <w:tcBorders>
              <w:top w:val="single" w:sz="4" w:space="0" w:color="000000"/>
              <w:left w:val="nil"/>
              <w:bottom w:val="single" w:sz="4" w:space="0" w:color="000000"/>
              <w:right w:val="single" w:sz="4" w:space="0" w:color="000000"/>
            </w:tcBorders>
            <w:noWrap/>
            <w:vAlign w:val="center"/>
          </w:tcPr>
          <w:p w14:paraId="6DB6177E" w14:textId="77777777" w:rsidR="00A67F21" w:rsidRPr="00B12FE0" w:rsidRDefault="00000000">
            <w:pPr>
              <w:widowControl/>
              <w:jc w:val="center"/>
              <w:textAlignment w:val="center"/>
              <w:rPr>
                <w:color w:val="000000" w:themeColor="text1"/>
                <w:sz w:val="21"/>
                <w:szCs w:val="21"/>
              </w:rPr>
            </w:pPr>
            <w:r w:rsidRPr="00B12FE0">
              <w:rPr>
                <w:rFonts w:ascii="宋体" w:hAnsi="宋体" w:hint="eastAsia"/>
                <w:color w:val="000000" w:themeColor="text1"/>
                <w:kern w:val="0"/>
                <w:sz w:val="21"/>
                <w:szCs w:val="21"/>
              </w:rPr>
              <w:t>折算</w:t>
            </w:r>
            <w:r w:rsidRPr="00B12FE0">
              <w:rPr>
                <w:rFonts w:ascii="宋体" w:hAnsi="宋体"/>
                <w:color w:val="000000" w:themeColor="text1"/>
                <w:kern w:val="0"/>
                <w:sz w:val="21"/>
                <w:szCs w:val="21"/>
              </w:rPr>
              <w:t>后的铅当量</w:t>
            </w:r>
            <w:r w:rsidRPr="00B12FE0">
              <w:rPr>
                <w:rFonts w:ascii="宋体" w:hAnsi="宋体"/>
                <w:color w:val="000000" w:themeColor="text1"/>
                <w:sz w:val="21"/>
                <w:szCs w:val="21"/>
              </w:rPr>
              <w:t>（</w:t>
            </w:r>
            <w:r w:rsidRPr="00B12FE0">
              <w:rPr>
                <w:color w:val="000000" w:themeColor="text1"/>
                <w:sz w:val="21"/>
                <w:szCs w:val="21"/>
              </w:rPr>
              <w:t>mm</w:t>
            </w:r>
            <w:r w:rsidRPr="00B12FE0">
              <w:rPr>
                <w:rFonts w:ascii="宋体" w:hAnsi="宋体" w:hint="eastAsia"/>
                <w:color w:val="000000" w:themeColor="text1"/>
                <w:sz w:val="21"/>
                <w:szCs w:val="21"/>
              </w:rPr>
              <w:t>）</w:t>
            </w:r>
          </w:p>
        </w:tc>
        <w:tc>
          <w:tcPr>
            <w:tcW w:w="1094" w:type="dxa"/>
            <w:tcBorders>
              <w:top w:val="single" w:sz="4" w:space="0" w:color="000000"/>
              <w:left w:val="nil"/>
              <w:bottom w:val="single" w:sz="4" w:space="0" w:color="000000"/>
              <w:right w:val="single" w:sz="4" w:space="0" w:color="000000"/>
            </w:tcBorders>
            <w:noWrap/>
            <w:vAlign w:val="center"/>
          </w:tcPr>
          <w:p w14:paraId="7DB040A5"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要求铅当量</w:t>
            </w:r>
            <w:r w:rsidRPr="00B12FE0">
              <w:rPr>
                <w:rFonts w:ascii="宋体" w:hAnsi="宋体"/>
                <w:color w:val="000000" w:themeColor="text1"/>
                <w:sz w:val="21"/>
                <w:szCs w:val="21"/>
              </w:rPr>
              <w:t>（</w:t>
            </w:r>
            <w:r w:rsidRPr="00B12FE0">
              <w:rPr>
                <w:color w:val="000000" w:themeColor="text1"/>
                <w:sz w:val="21"/>
                <w:szCs w:val="21"/>
              </w:rPr>
              <w:t>mm</w:t>
            </w:r>
            <w:r w:rsidRPr="00B12FE0">
              <w:rPr>
                <w:rFonts w:ascii="宋体" w:hAnsi="宋体" w:hint="eastAsia"/>
                <w:color w:val="000000" w:themeColor="text1"/>
                <w:sz w:val="21"/>
                <w:szCs w:val="21"/>
              </w:rPr>
              <w:t>）</w:t>
            </w:r>
          </w:p>
        </w:tc>
        <w:tc>
          <w:tcPr>
            <w:tcW w:w="1094" w:type="dxa"/>
            <w:tcBorders>
              <w:top w:val="single" w:sz="4" w:space="0" w:color="000000"/>
              <w:left w:val="nil"/>
              <w:bottom w:val="single" w:sz="4" w:space="0" w:color="000000"/>
              <w:right w:val="single" w:sz="4" w:space="0" w:color="000000"/>
            </w:tcBorders>
            <w:noWrap/>
            <w:vAlign w:val="center"/>
          </w:tcPr>
          <w:p w14:paraId="6DACEE2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是否符合要求</w:t>
            </w:r>
          </w:p>
        </w:tc>
      </w:tr>
      <w:tr w:rsidR="00A67F21" w:rsidRPr="00B12FE0" w14:paraId="58D51B1E" w14:textId="77777777">
        <w:trPr>
          <w:trHeight w:val="285"/>
          <w:jc w:val="center"/>
        </w:trPr>
        <w:tc>
          <w:tcPr>
            <w:tcW w:w="1386" w:type="dxa"/>
            <w:vMerge w:val="restart"/>
            <w:tcBorders>
              <w:top w:val="nil"/>
              <w:left w:val="single" w:sz="4" w:space="0" w:color="000000"/>
              <w:bottom w:val="single" w:sz="4" w:space="0" w:color="000000"/>
              <w:right w:val="single" w:sz="4" w:space="0" w:color="000000"/>
            </w:tcBorders>
            <w:noWrap/>
            <w:vAlign w:val="center"/>
          </w:tcPr>
          <w:p w14:paraId="15EDF65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PET/CT</w:t>
            </w:r>
            <w:r w:rsidRPr="00B12FE0">
              <w:rPr>
                <w:rFonts w:ascii="宋体" w:hAnsi="宋体"/>
                <w:color w:val="000000" w:themeColor="text1"/>
                <w:kern w:val="0"/>
                <w:sz w:val="21"/>
                <w:szCs w:val="21"/>
              </w:rPr>
              <w:t>机房（</w:t>
            </w:r>
            <w:r w:rsidRPr="00B12FE0">
              <w:rPr>
                <w:color w:val="000000" w:themeColor="text1"/>
                <w:kern w:val="0"/>
                <w:sz w:val="21"/>
                <w:szCs w:val="21"/>
              </w:rPr>
              <w:t>1</w:t>
            </w:r>
            <w:r w:rsidRPr="00B12FE0">
              <w:rPr>
                <w:rFonts w:ascii="宋体" w:hAnsi="宋体"/>
                <w:color w:val="000000" w:themeColor="text1"/>
                <w:kern w:val="0"/>
                <w:sz w:val="21"/>
                <w:szCs w:val="21"/>
              </w:rPr>
              <w:t>间）</w:t>
            </w:r>
          </w:p>
        </w:tc>
        <w:tc>
          <w:tcPr>
            <w:tcW w:w="1714" w:type="dxa"/>
            <w:tcBorders>
              <w:top w:val="single" w:sz="4" w:space="0" w:color="000000"/>
              <w:left w:val="nil"/>
              <w:bottom w:val="single" w:sz="4" w:space="0" w:color="000000"/>
              <w:right w:val="single" w:sz="4" w:space="0" w:color="000000"/>
            </w:tcBorders>
            <w:noWrap/>
            <w:vAlign w:val="center"/>
          </w:tcPr>
          <w:p w14:paraId="65112FA4"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四侧墙体</w:t>
            </w:r>
          </w:p>
        </w:tc>
        <w:tc>
          <w:tcPr>
            <w:tcW w:w="2353" w:type="dxa"/>
            <w:tcBorders>
              <w:top w:val="single" w:sz="4" w:space="0" w:color="000000"/>
              <w:left w:val="nil"/>
              <w:bottom w:val="single" w:sz="4" w:space="0" w:color="000000"/>
              <w:right w:val="single" w:sz="4" w:space="0" w:color="000000"/>
            </w:tcBorders>
            <w:noWrap/>
            <w:vAlign w:val="center"/>
          </w:tcPr>
          <w:p w14:paraId="5F5D88F5"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240</w:t>
            </w:r>
            <w:r w:rsidRPr="00B12FE0">
              <w:rPr>
                <w:color w:val="000000" w:themeColor="text1"/>
                <w:kern w:val="0"/>
                <w:sz w:val="21"/>
                <w:szCs w:val="21"/>
              </w:rPr>
              <w:t>mm</w:t>
            </w:r>
            <w:r w:rsidRPr="00B12FE0">
              <w:rPr>
                <w:rFonts w:ascii="宋体" w:hAnsi="宋体"/>
                <w:color w:val="000000" w:themeColor="text1"/>
                <w:kern w:val="0"/>
                <w:sz w:val="21"/>
                <w:szCs w:val="21"/>
              </w:rPr>
              <w:t>实心砖</w:t>
            </w:r>
            <w:r w:rsidRPr="00B12FE0">
              <w:rPr>
                <w:rFonts w:ascii="宋体" w:hAnsi="宋体" w:hint="eastAsia"/>
                <w:color w:val="000000" w:themeColor="text1"/>
                <w:kern w:val="0"/>
                <w:sz w:val="21"/>
                <w:szCs w:val="21"/>
              </w:rPr>
              <w:t>+40mm硫酸钡涂料</w:t>
            </w:r>
          </w:p>
        </w:tc>
        <w:tc>
          <w:tcPr>
            <w:tcW w:w="1385" w:type="dxa"/>
            <w:tcBorders>
              <w:top w:val="single" w:sz="4" w:space="0" w:color="000000"/>
              <w:left w:val="nil"/>
              <w:bottom w:val="single" w:sz="4" w:space="0" w:color="000000"/>
              <w:right w:val="single" w:sz="4" w:space="0" w:color="000000"/>
            </w:tcBorders>
            <w:noWrap/>
            <w:vAlign w:val="center"/>
          </w:tcPr>
          <w:p w14:paraId="225C0BC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4</w:t>
            </w:r>
          </w:p>
        </w:tc>
        <w:tc>
          <w:tcPr>
            <w:tcW w:w="1094" w:type="dxa"/>
            <w:vMerge w:val="restart"/>
            <w:tcBorders>
              <w:top w:val="nil"/>
              <w:left w:val="nil"/>
              <w:bottom w:val="single" w:sz="4" w:space="0" w:color="000000"/>
              <w:right w:val="single" w:sz="4" w:space="0" w:color="000000"/>
            </w:tcBorders>
            <w:noWrap/>
            <w:vAlign w:val="center"/>
          </w:tcPr>
          <w:p w14:paraId="403D876C"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w:t>
            </w:r>
          </w:p>
        </w:tc>
        <w:tc>
          <w:tcPr>
            <w:tcW w:w="1094" w:type="dxa"/>
            <w:tcBorders>
              <w:top w:val="single" w:sz="4" w:space="0" w:color="000000"/>
              <w:left w:val="nil"/>
              <w:bottom w:val="single" w:sz="4" w:space="0" w:color="000000"/>
              <w:right w:val="single" w:sz="4" w:space="0" w:color="000000"/>
            </w:tcBorders>
            <w:noWrap/>
            <w:vAlign w:val="center"/>
          </w:tcPr>
          <w:p w14:paraId="13810CC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1C14883C" w14:textId="77777777">
        <w:trPr>
          <w:trHeight w:val="200"/>
          <w:jc w:val="center"/>
        </w:trPr>
        <w:tc>
          <w:tcPr>
            <w:tcW w:w="1386" w:type="dxa"/>
            <w:vMerge/>
            <w:tcBorders>
              <w:top w:val="nil"/>
              <w:left w:val="single" w:sz="4" w:space="0" w:color="000000"/>
              <w:bottom w:val="single" w:sz="4" w:space="0" w:color="000000"/>
              <w:right w:val="single" w:sz="4" w:space="0" w:color="000000"/>
            </w:tcBorders>
            <w:vAlign w:val="center"/>
          </w:tcPr>
          <w:p w14:paraId="027E3767" w14:textId="77777777" w:rsidR="00A67F21" w:rsidRPr="00B12FE0" w:rsidRDefault="00A67F21">
            <w:pPr>
              <w:widowControl/>
              <w:jc w:val="left"/>
              <w:rPr>
                <w:color w:val="000000" w:themeColor="text1"/>
                <w:sz w:val="21"/>
                <w:szCs w:val="21"/>
              </w:rPr>
            </w:pPr>
          </w:p>
        </w:tc>
        <w:tc>
          <w:tcPr>
            <w:tcW w:w="1714" w:type="dxa"/>
            <w:tcBorders>
              <w:top w:val="single" w:sz="4" w:space="0" w:color="auto"/>
              <w:left w:val="single" w:sz="4" w:space="0" w:color="auto"/>
              <w:bottom w:val="single" w:sz="4" w:space="0" w:color="auto"/>
              <w:right w:val="single" w:sz="4" w:space="0" w:color="auto"/>
            </w:tcBorders>
            <w:noWrap/>
            <w:vAlign w:val="center"/>
          </w:tcPr>
          <w:p w14:paraId="3F20144E"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顶棚</w:t>
            </w:r>
          </w:p>
        </w:tc>
        <w:tc>
          <w:tcPr>
            <w:tcW w:w="2353" w:type="dxa"/>
            <w:tcBorders>
              <w:top w:val="single" w:sz="4" w:space="0" w:color="auto"/>
              <w:left w:val="single" w:sz="4" w:space="0" w:color="auto"/>
              <w:bottom w:val="single" w:sz="4" w:space="0" w:color="auto"/>
              <w:right w:val="single" w:sz="4" w:space="0" w:color="auto"/>
            </w:tcBorders>
            <w:noWrap/>
            <w:vAlign w:val="center"/>
          </w:tcPr>
          <w:p w14:paraId="4CB7BC6B"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25</w:t>
            </w:r>
            <w:r w:rsidRPr="00B12FE0">
              <w:rPr>
                <w:color w:val="000000" w:themeColor="text1"/>
                <w:kern w:val="0"/>
                <w:sz w:val="21"/>
                <w:szCs w:val="21"/>
              </w:rPr>
              <w:t>0mm</w:t>
            </w:r>
            <w:r w:rsidRPr="00B12FE0">
              <w:rPr>
                <w:color w:val="000000" w:themeColor="text1"/>
                <w:kern w:val="0"/>
                <w:sz w:val="21"/>
                <w:szCs w:val="21"/>
              </w:rPr>
              <w:t>混凝土</w:t>
            </w:r>
          </w:p>
        </w:tc>
        <w:tc>
          <w:tcPr>
            <w:tcW w:w="1385" w:type="dxa"/>
            <w:tcBorders>
              <w:top w:val="single" w:sz="4" w:space="0" w:color="000000"/>
              <w:left w:val="nil"/>
              <w:bottom w:val="single" w:sz="4" w:space="0" w:color="000000"/>
              <w:right w:val="single" w:sz="4" w:space="0" w:color="000000"/>
            </w:tcBorders>
            <w:noWrap/>
            <w:vAlign w:val="center"/>
          </w:tcPr>
          <w:p w14:paraId="3FC43BAC"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w:t>
            </w:r>
          </w:p>
        </w:tc>
        <w:tc>
          <w:tcPr>
            <w:tcW w:w="1094" w:type="dxa"/>
            <w:vMerge/>
            <w:tcBorders>
              <w:top w:val="nil"/>
              <w:left w:val="nil"/>
              <w:bottom w:val="single" w:sz="4" w:space="0" w:color="000000"/>
              <w:right w:val="single" w:sz="4" w:space="0" w:color="000000"/>
            </w:tcBorders>
            <w:vAlign w:val="center"/>
          </w:tcPr>
          <w:p w14:paraId="6632176A" w14:textId="77777777" w:rsidR="00A67F21" w:rsidRPr="00B12FE0" w:rsidRDefault="00A67F21">
            <w:pPr>
              <w:widowControl/>
              <w:jc w:val="left"/>
              <w:rPr>
                <w:color w:val="000000" w:themeColor="text1"/>
                <w:sz w:val="21"/>
                <w:szCs w:val="21"/>
              </w:rPr>
            </w:pPr>
          </w:p>
        </w:tc>
        <w:tc>
          <w:tcPr>
            <w:tcW w:w="1094" w:type="dxa"/>
            <w:tcBorders>
              <w:top w:val="single" w:sz="4" w:space="0" w:color="000000"/>
              <w:left w:val="nil"/>
              <w:bottom w:val="single" w:sz="4" w:space="0" w:color="000000"/>
              <w:right w:val="single" w:sz="4" w:space="0" w:color="000000"/>
            </w:tcBorders>
            <w:noWrap/>
            <w:vAlign w:val="center"/>
          </w:tcPr>
          <w:p w14:paraId="2AB926D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10345B8D" w14:textId="77777777">
        <w:trPr>
          <w:trHeight w:val="285"/>
          <w:jc w:val="center"/>
        </w:trPr>
        <w:tc>
          <w:tcPr>
            <w:tcW w:w="1386" w:type="dxa"/>
            <w:vMerge/>
            <w:tcBorders>
              <w:top w:val="nil"/>
              <w:left w:val="single" w:sz="4" w:space="0" w:color="000000"/>
              <w:bottom w:val="single" w:sz="4" w:space="0" w:color="000000"/>
              <w:right w:val="single" w:sz="4" w:space="0" w:color="000000"/>
            </w:tcBorders>
            <w:vAlign w:val="center"/>
          </w:tcPr>
          <w:p w14:paraId="5ABB361E" w14:textId="77777777" w:rsidR="00A67F21" w:rsidRPr="00B12FE0" w:rsidRDefault="00A67F21">
            <w:pPr>
              <w:widowControl/>
              <w:jc w:val="left"/>
              <w:rPr>
                <w:color w:val="000000" w:themeColor="text1"/>
                <w:sz w:val="21"/>
                <w:szCs w:val="21"/>
              </w:rPr>
            </w:pPr>
          </w:p>
        </w:tc>
        <w:tc>
          <w:tcPr>
            <w:tcW w:w="1714" w:type="dxa"/>
            <w:tcBorders>
              <w:top w:val="single" w:sz="4" w:space="0" w:color="000000"/>
              <w:left w:val="nil"/>
              <w:bottom w:val="single" w:sz="4" w:space="0" w:color="000000"/>
              <w:right w:val="single" w:sz="4" w:space="0" w:color="000000"/>
            </w:tcBorders>
            <w:noWrap/>
            <w:vAlign w:val="center"/>
          </w:tcPr>
          <w:p w14:paraId="5B18124F"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防护门（</w:t>
            </w:r>
            <w:r w:rsidRPr="00B12FE0">
              <w:rPr>
                <w:color w:val="000000" w:themeColor="text1"/>
                <w:kern w:val="0"/>
                <w:sz w:val="21"/>
                <w:szCs w:val="21"/>
              </w:rPr>
              <w:t>2</w:t>
            </w:r>
            <w:r w:rsidRPr="00B12FE0">
              <w:rPr>
                <w:rFonts w:ascii="宋体" w:hAnsi="宋体"/>
                <w:color w:val="000000" w:themeColor="text1"/>
                <w:kern w:val="0"/>
                <w:sz w:val="21"/>
                <w:szCs w:val="21"/>
              </w:rPr>
              <w:t>扇）</w:t>
            </w:r>
          </w:p>
        </w:tc>
        <w:tc>
          <w:tcPr>
            <w:tcW w:w="2353" w:type="dxa"/>
            <w:tcBorders>
              <w:top w:val="single" w:sz="4" w:space="0" w:color="000000"/>
              <w:left w:val="nil"/>
              <w:bottom w:val="single" w:sz="4" w:space="0" w:color="000000"/>
              <w:right w:val="single" w:sz="4" w:space="0" w:color="000000"/>
            </w:tcBorders>
            <w:noWrap/>
            <w:vAlign w:val="center"/>
          </w:tcPr>
          <w:p w14:paraId="458352B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内衬</w:t>
            </w:r>
            <w:r w:rsidRPr="00B12FE0">
              <w:rPr>
                <w:color w:val="000000" w:themeColor="text1"/>
                <w:kern w:val="0"/>
                <w:sz w:val="21"/>
                <w:szCs w:val="21"/>
              </w:rPr>
              <w:t>8mm</w:t>
            </w:r>
            <w:r w:rsidRPr="00B12FE0">
              <w:rPr>
                <w:color w:val="000000" w:themeColor="text1"/>
                <w:kern w:val="0"/>
                <w:sz w:val="21"/>
                <w:szCs w:val="21"/>
              </w:rPr>
              <w:t>铅板</w:t>
            </w:r>
          </w:p>
        </w:tc>
        <w:tc>
          <w:tcPr>
            <w:tcW w:w="1385" w:type="dxa"/>
            <w:tcBorders>
              <w:top w:val="single" w:sz="4" w:space="0" w:color="000000"/>
              <w:left w:val="nil"/>
              <w:bottom w:val="single" w:sz="4" w:space="0" w:color="000000"/>
              <w:right w:val="single" w:sz="4" w:space="0" w:color="000000"/>
            </w:tcBorders>
            <w:noWrap/>
            <w:vAlign w:val="center"/>
          </w:tcPr>
          <w:p w14:paraId="5A0A0808"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w:t>
            </w:r>
          </w:p>
        </w:tc>
        <w:tc>
          <w:tcPr>
            <w:tcW w:w="1094" w:type="dxa"/>
            <w:vMerge/>
            <w:tcBorders>
              <w:top w:val="nil"/>
              <w:left w:val="nil"/>
              <w:bottom w:val="single" w:sz="4" w:space="0" w:color="000000"/>
              <w:right w:val="single" w:sz="4" w:space="0" w:color="000000"/>
            </w:tcBorders>
            <w:vAlign w:val="center"/>
          </w:tcPr>
          <w:p w14:paraId="4DE2FFE9" w14:textId="77777777" w:rsidR="00A67F21" w:rsidRPr="00B12FE0" w:rsidRDefault="00A67F21">
            <w:pPr>
              <w:widowControl/>
              <w:jc w:val="left"/>
              <w:rPr>
                <w:color w:val="000000" w:themeColor="text1"/>
                <w:sz w:val="21"/>
                <w:szCs w:val="21"/>
              </w:rPr>
            </w:pPr>
          </w:p>
        </w:tc>
        <w:tc>
          <w:tcPr>
            <w:tcW w:w="1094" w:type="dxa"/>
            <w:tcBorders>
              <w:top w:val="single" w:sz="4" w:space="0" w:color="000000"/>
              <w:left w:val="nil"/>
              <w:bottom w:val="single" w:sz="4" w:space="0" w:color="000000"/>
              <w:right w:val="single" w:sz="4" w:space="0" w:color="000000"/>
            </w:tcBorders>
            <w:noWrap/>
            <w:vAlign w:val="center"/>
          </w:tcPr>
          <w:p w14:paraId="188061CB"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70A440C5" w14:textId="77777777">
        <w:trPr>
          <w:trHeight w:val="285"/>
          <w:jc w:val="center"/>
        </w:trPr>
        <w:tc>
          <w:tcPr>
            <w:tcW w:w="1386" w:type="dxa"/>
            <w:vMerge/>
            <w:tcBorders>
              <w:top w:val="nil"/>
              <w:left w:val="single" w:sz="4" w:space="0" w:color="000000"/>
              <w:bottom w:val="single" w:sz="4" w:space="0" w:color="000000"/>
              <w:right w:val="single" w:sz="4" w:space="0" w:color="000000"/>
            </w:tcBorders>
            <w:vAlign w:val="center"/>
          </w:tcPr>
          <w:p w14:paraId="43A8E98B" w14:textId="77777777" w:rsidR="00A67F21" w:rsidRPr="00B12FE0" w:rsidRDefault="00A67F21">
            <w:pPr>
              <w:widowControl/>
              <w:jc w:val="left"/>
              <w:rPr>
                <w:color w:val="000000" w:themeColor="text1"/>
                <w:sz w:val="21"/>
                <w:szCs w:val="21"/>
              </w:rPr>
            </w:pPr>
          </w:p>
        </w:tc>
        <w:tc>
          <w:tcPr>
            <w:tcW w:w="1714" w:type="dxa"/>
            <w:tcBorders>
              <w:top w:val="single" w:sz="4" w:space="0" w:color="000000"/>
              <w:left w:val="nil"/>
              <w:bottom w:val="single" w:sz="4" w:space="0" w:color="000000"/>
              <w:right w:val="single" w:sz="4" w:space="0" w:color="000000"/>
            </w:tcBorders>
            <w:noWrap/>
            <w:vAlign w:val="center"/>
          </w:tcPr>
          <w:p w14:paraId="4214519D"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观察窗</w:t>
            </w:r>
          </w:p>
        </w:tc>
        <w:tc>
          <w:tcPr>
            <w:tcW w:w="2353" w:type="dxa"/>
            <w:tcBorders>
              <w:top w:val="single" w:sz="4" w:space="0" w:color="000000"/>
              <w:left w:val="nil"/>
              <w:bottom w:val="single" w:sz="4" w:space="0" w:color="000000"/>
              <w:right w:val="single" w:sz="4" w:space="0" w:color="000000"/>
            </w:tcBorders>
            <w:noWrap/>
            <w:vAlign w:val="center"/>
          </w:tcPr>
          <w:p w14:paraId="208BBEE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8mmPb</w:t>
            </w:r>
            <w:r w:rsidRPr="00B12FE0">
              <w:rPr>
                <w:color w:val="000000" w:themeColor="text1"/>
                <w:kern w:val="0"/>
                <w:sz w:val="21"/>
                <w:szCs w:val="21"/>
              </w:rPr>
              <w:t>铅玻璃</w:t>
            </w:r>
          </w:p>
        </w:tc>
        <w:tc>
          <w:tcPr>
            <w:tcW w:w="1385" w:type="dxa"/>
            <w:tcBorders>
              <w:top w:val="single" w:sz="4" w:space="0" w:color="000000"/>
              <w:left w:val="nil"/>
              <w:bottom w:val="single" w:sz="4" w:space="0" w:color="000000"/>
              <w:right w:val="single" w:sz="4" w:space="0" w:color="000000"/>
            </w:tcBorders>
            <w:noWrap/>
            <w:vAlign w:val="center"/>
          </w:tcPr>
          <w:p w14:paraId="2C26F5EA"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w:t>
            </w:r>
          </w:p>
        </w:tc>
        <w:tc>
          <w:tcPr>
            <w:tcW w:w="1094" w:type="dxa"/>
            <w:vMerge/>
            <w:tcBorders>
              <w:top w:val="nil"/>
              <w:left w:val="nil"/>
              <w:bottom w:val="single" w:sz="4" w:space="0" w:color="000000"/>
              <w:right w:val="single" w:sz="4" w:space="0" w:color="000000"/>
            </w:tcBorders>
            <w:vAlign w:val="center"/>
          </w:tcPr>
          <w:p w14:paraId="6DB4D79D" w14:textId="77777777" w:rsidR="00A67F21" w:rsidRPr="00B12FE0" w:rsidRDefault="00A67F21">
            <w:pPr>
              <w:widowControl/>
              <w:jc w:val="left"/>
              <w:rPr>
                <w:color w:val="000000" w:themeColor="text1"/>
                <w:sz w:val="21"/>
                <w:szCs w:val="21"/>
              </w:rPr>
            </w:pPr>
          </w:p>
        </w:tc>
        <w:tc>
          <w:tcPr>
            <w:tcW w:w="1094" w:type="dxa"/>
            <w:tcBorders>
              <w:top w:val="single" w:sz="4" w:space="0" w:color="000000"/>
              <w:left w:val="nil"/>
              <w:bottom w:val="single" w:sz="4" w:space="0" w:color="000000"/>
              <w:right w:val="single" w:sz="4" w:space="0" w:color="000000"/>
            </w:tcBorders>
            <w:noWrap/>
            <w:vAlign w:val="center"/>
          </w:tcPr>
          <w:p w14:paraId="4DC0986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408C3316" w14:textId="77777777">
        <w:trPr>
          <w:trHeight w:val="285"/>
          <w:jc w:val="center"/>
        </w:trPr>
        <w:tc>
          <w:tcPr>
            <w:tcW w:w="1386" w:type="dxa"/>
            <w:vMerge w:val="restart"/>
            <w:tcBorders>
              <w:top w:val="nil"/>
              <w:left w:val="single" w:sz="4" w:space="0" w:color="000000"/>
              <w:bottom w:val="single" w:sz="4" w:space="0" w:color="000000"/>
              <w:right w:val="single" w:sz="4" w:space="0" w:color="000000"/>
            </w:tcBorders>
            <w:noWrap/>
            <w:vAlign w:val="center"/>
          </w:tcPr>
          <w:p w14:paraId="6855C81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lastRenderedPageBreak/>
              <w:t>SPECT/CT</w:t>
            </w:r>
            <w:r w:rsidRPr="00B12FE0">
              <w:rPr>
                <w:rFonts w:ascii="宋体" w:hAnsi="宋体"/>
                <w:color w:val="000000" w:themeColor="text1"/>
                <w:kern w:val="0"/>
                <w:sz w:val="21"/>
                <w:szCs w:val="21"/>
              </w:rPr>
              <w:t>机房（</w:t>
            </w:r>
            <w:r w:rsidRPr="00B12FE0">
              <w:rPr>
                <w:color w:val="000000" w:themeColor="text1"/>
                <w:kern w:val="0"/>
                <w:sz w:val="21"/>
                <w:szCs w:val="21"/>
              </w:rPr>
              <w:t>2</w:t>
            </w:r>
            <w:r w:rsidRPr="00B12FE0">
              <w:rPr>
                <w:rFonts w:ascii="宋体" w:hAnsi="宋体"/>
                <w:color w:val="000000" w:themeColor="text1"/>
                <w:kern w:val="0"/>
                <w:sz w:val="21"/>
                <w:szCs w:val="21"/>
              </w:rPr>
              <w:t>间）</w:t>
            </w:r>
          </w:p>
        </w:tc>
        <w:tc>
          <w:tcPr>
            <w:tcW w:w="1714" w:type="dxa"/>
            <w:tcBorders>
              <w:top w:val="single" w:sz="4" w:space="0" w:color="000000"/>
              <w:left w:val="nil"/>
              <w:bottom w:val="single" w:sz="4" w:space="0" w:color="000000"/>
              <w:right w:val="single" w:sz="4" w:space="0" w:color="000000"/>
            </w:tcBorders>
            <w:noWrap/>
            <w:vAlign w:val="center"/>
          </w:tcPr>
          <w:p w14:paraId="3DEA046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四侧墙体</w:t>
            </w:r>
          </w:p>
        </w:tc>
        <w:tc>
          <w:tcPr>
            <w:tcW w:w="2353" w:type="dxa"/>
            <w:tcBorders>
              <w:top w:val="single" w:sz="4" w:space="0" w:color="000000"/>
              <w:left w:val="nil"/>
              <w:bottom w:val="single" w:sz="4" w:space="0" w:color="000000"/>
              <w:right w:val="single" w:sz="4" w:space="0" w:color="000000"/>
            </w:tcBorders>
            <w:noWrap/>
            <w:vAlign w:val="center"/>
          </w:tcPr>
          <w:p w14:paraId="55B6D7E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240mm</w:t>
            </w:r>
            <w:r w:rsidRPr="00B12FE0">
              <w:rPr>
                <w:color w:val="000000" w:themeColor="text1"/>
                <w:kern w:val="0"/>
                <w:sz w:val="21"/>
                <w:szCs w:val="21"/>
              </w:rPr>
              <w:t>实心砖</w:t>
            </w:r>
            <w:r w:rsidRPr="00B12FE0">
              <w:rPr>
                <w:color w:val="000000" w:themeColor="text1"/>
                <w:kern w:val="0"/>
                <w:sz w:val="21"/>
                <w:szCs w:val="21"/>
              </w:rPr>
              <w:t>+40mm</w:t>
            </w:r>
            <w:r w:rsidRPr="00B12FE0">
              <w:rPr>
                <w:color w:val="000000" w:themeColor="text1"/>
                <w:kern w:val="0"/>
                <w:sz w:val="21"/>
                <w:szCs w:val="21"/>
              </w:rPr>
              <w:t>硫酸钡涂料</w:t>
            </w:r>
          </w:p>
        </w:tc>
        <w:tc>
          <w:tcPr>
            <w:tcW w:w="1385" w:type="dxa"/>
            <w:tcBorders>
              <w:top w:val="single" w:sz="4" w:space="0" w:color="000000"/>
              <w:left w:val="nil"/>
              <w:bottom w:val="single" w:sz="4" w:space="0" w:color="000000"/>
              <w:right w:val="single" w:sz="4" w:space="0" w:color="000000"/>
            </w:tcBorders>
            <w:noWrap/>
            <w:vAlign w:val="center"/>
          </w:tcPr>
          <w:p w14:paraId="62858A83"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p>
        </w:tc>
        <w:tc>
          <w:tcPr>
            <w:tcW w:w="1094" w:type="dxa"/>
            <w:vMerge/>
            <w:tcBorders>
              <w:top w:val="nil"/>
              <w:left w:val="nil"/>
              <w:bottom w:val="single" w:sz="4" w:space="0" w:color="000000"/>
              <w:right w:val="single" w:sz="4" w:space="0" w:color="000000"/>
            </w:tcBorders>
            <w:vAlign w:val="center"/>
          </w:tcPr>
          <w:p w14:paraId="381FBC60" w14:textId="77777777" w:rsidR="00A67F21" w:rsidRPr="00B12FE0" w:rsidRDefault="00A67F21">
            <w:pPr>
              <w:widowControl/>
              <w:jc w:val="left"/>
              <w:rPr>
                <w:color w:val="000000" w:themeColor="text1"/>
                <w:sz w:val="21"/>
                <w:szCs w:val="21"/>
              </w:rPr>
            </w:pPr>
          </w:p>
        </w:tc>
        <w:tc>
          <w:tcPr>
            <w:tcW w:w="1094" w:type="dxa"/>
            <w:tcBorders>
              <w:top w:val="single" w:sz="4" w:space="0" w:color="000000"/>
              <w:left w:val="nil"/>
              <w:bottom w:val="single" w:sz="4" w:space="0" w:color="000000"/>
              <w:right w:val="single" w:sz="4" w:space="0" w:color="000000"/>
            </w:tcBorders>
            <w:noWrap/>
            <w:vAlign w:val="center"/>
          </w:tcPr>
          <w:p w14:paraId="348A813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08DA63BC" w14:textId="77777777">
        <w:trPr>
          <w:trHeight w:val="90"/>
          <w:jc w:val="center"/>
        </w:trPr>
        <w:tc>
          <w:tcPr>
            <w:tcW w:w="1386" w:type="dxa"/>
            <w:vMerge/>
            <w:tcBorders>
              <w:top w:val="nil"/>
              <w:left w:val="single" w:sz="4" w:space="0" w:color="000000"/>
              <w:bottom w:val="single" w:sz="4" w:space="0" w:color="000000"/>
              <w:right w:val="single" w:sz="4" w:space="0" w:color="000000"/>
            </w:tcBorders>
            <w:vAlign w:val="center"/>
          </w:tcPr>
          <w:p w14:paraId="5D90A27D" w14:textId="77777777" w:rsidR="00A67F21" w:rsidRPr="00B12FE0" w:rsidRDefault="00A67F21">
            <w:pPr>
              <w:widowControl/>
              <w:jc w:val="left"/>
              <w:rPr>
                <w:color w:val="000000" w:themeColor="text1"/>
                <w:sz w:val="21"/>
                <w:szCs w:val="21"/>
              </w:rPr>
            </w:pPr>
          </w:p>
        </w:tc>
        <w:tc>
          <w:tcPr>
            <w:tcW w:w="1714" w:type="dxa"/>
            <w:tcBorders>
              <w:top w:val="single" w:sz="4" w:space="0" w:color="auto"/>
              <w:left w:val="single" w:sz="4" w:space="0" w:color="auto"/>
              <w:bottom w:val="single" w:sz="4" w:space="0" w:color="auto"/>
              <w:right w:val="single" w:sz="4" w:space="0" w:color="auto"/>
            </w:tcBorders>
            <w:noWrap/>
            <w:vAlign w:val="center"/>
          </w:tcPr>
          <w:p w14:paraId="10B68AE7"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顶棚</w:t>
            </w:r>
          </w:p>
        </w:tc>
        <w:tc>
          <w:tcPr>
            <w:tcW w:w="2353" w:type="dxa"/>
            <w:tcBorders>
              <w:top w:val="single" w:sz="4" w:space="0" w:color="auto"/>
              <w:left w:val="single" w:sz="4" w:space="0" w:color="auto"/>
              <w:bottom w:val="single" w:sz="4" w:space="0" w:color="auto"/>
              <w:right w:val="single" w:sz="4" w:space="0" w:color="auto"/>
            </w:tcBorders>
            <w:noWrap/>
            <w:vAlign w:val="center"/>
          </w:tcPr>
          <w:p w14:paraId="45FB6C3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250mm</w:t>
            </w:r>
            <w:r w:rsidRPr="00B12FE0">
              <w:rPr>
                <w:color w:val="000000" w:themeColor="text1"/>
                <w:kern w:val="0"/>
                <w:sz w:val="21"/>
                <w:szCs w:val="21"/>
              </w:rPr>
              <w:t>混凝土</w:t>
            </w:r>
          </w:p>
        </w:tc>
        <w:tc>
          <w:tcPr>
            <w:tcW w:w="1385" w:type="dxa"/>
            <w:tcBorders>
              <w:top w:val="single" w:sz="4" w:space="0" w:color="000000"/>
              <w:left w:val="nil"/>
              <w:bottom w:val="single" w:sz="4" w:space="0" w:color="000000"/>
              <w:right w:val="single" w:sz="4" w:space="0" w:color="000000"/>
            </w:tcBorders>
            <w:noWrap/>
            <w:vAlign w:val="center"/>
          </w:tcPr>
          <w:p w14:paraId="5972C7C7"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3</w:t>
            </w:r>
          </w:p>
        </w:tc>
        <w:tc>
          <w:tcPr>
            <w:tcW w:w="1094" w:type="dxa"/>
            <w:vMerge/>
            <w:tcBorders>
              <w:top w:val="nil"/>
              <w:left w:val="nil"/>
              <w:bottom w:val="single" w:sz="4" w:space="0" w:color="000000"/>
              <w:right w:val="single" w:sz="4" w:space="0" w:color="000000"/>
            </w:tcBorders>
            <w:vAlign w:val="center"/>
          </w:tcPr>
          <w:p w14:paraId="236702AC" w14:textId="77777777" w:rsidR="00A67F21" w:rsidRPr="00B12FE0" w:rsidRDefault="00A67F21">
            <w:pPr>
              <w:widowControl/>
              <w:jc w:val="left"/>
              <w:rPr>
                <w:color w:val="000000" w:themeColor="text1"/>
                <w:sz w:val="21"/>
                <w:szCs w:val="21"/>
              </w:rPr>
            </w:pPr>
          </w:p>
        </w:tc>
        <w:tc>
          <w:tcPr>
            <w:tcW w:w="1094" w:type="dxa"/>
            <w:tcBorders>
              <w:top w:val="single" w:sz="4" w:space="0" w:color="000000"/>
              <w:left w:val="nil"/>
              <w:bottom w:val="single" w:sz="4" w:space="0" w:color="000000"/>
              <w:right w:val="single" w:sz="4" w:space="0" w:color="000000"/>
            </w:tcBorders>
            <w:noWrap/>
            <w:vAlign w:val="center"/>
          </w:tcPr>
          <w:p w14:paraId="41DE511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3650317E" w14:textId="77777777">
        <w:trPr>
          <w:trHeight w:val="270"/>
          <w:jc w:val="center"/>
        </w:trPr>
        <w:tc>
          <w:tcPr>
            <w:tcW w:w="1386" w:type="dxa"/>
            <w:vMerge/>
            <w:tcBorders>
              <w:top w:val="nil"/>
              <w:left w:val="single" w:sz="4" w:space="0" w:color="000000"/>
              <w:bottom w:val="single" w:sz="4" w:space="0" w:color="000000"/>
              <w:right w:val="single" w:sz="4" w:space="0" w:color="000000"/>
            </w:tcBorders>
            <w:vAlign w:val="center"/>
          </w:tcPr>
          <w:p w14:paraId="3D30DE7E" w14:textId="77777777" w:rsidR="00A67F21" w:rsidRPr="00B12FE0" w:rsidRDefault="00A67F21">
            <w:pPr>
              <w:widowControl/>
              <w:jc w:val="left"/>
              <w:rPr>
                <w:color w:val="000000" w:themeColor="text1"/>
                <w:sz w:val="21"/>
                <w:szCs w:val="21"/>
              </w:rPr>
            </w:pPr>
          </w:p>
        </w:tc>
        <w:tc>
          <w:tcPr>
            <w:tcW w:w="1714" w:type="dxa"/>
            <w:tcBorders>
              <w:top w:val="single" w:sz="4" w:space="0" w:color="000000"/>
              <w:left w:val="nil"/>
              <w:bottom w:val="single" w:sz="4" w:space="0" w:color="000000"/>
              <w:right w:val="single" w:sz="4" w:space="0" w:color="000000"/>
            </w:tcBorders>
            <w:noWrap/>
            <w:vAlign w:val="center"/>
          </w:tcPr>
          <w:p w14:paraId="16D44E49"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防护门（</w:t>
            </w:r>
            <w:r w:rsidRPr="00B12FE0">
              <w:rPr>
                <w:color w:val="000000" w:themeColor="text1"/>
                <w:kern w:val="0"/>
                <w:sz w:val="21"/>
                <w:szCs w:val="21"/>
              </w:rPr>
              <w:t>2</w:t>
            </w:r>
            <w:r w:rsidRPr="00B12FE0">
              <w:rPr>
                <w:rFonts w:ascii="宋体" w:hAnsi="宋体"/>
                <w:color w:val="000000" w:themeColor="text1"/>
                <w:kern w:val="0"/>
                <w:sz w:val="21"/>
                <w:szCs w:val="21"/>
              </w:rPr>
              <w:t>扇）</w:t>
            </w:r>
          </w:p>
        </w:tc>
        <w:tc>
          <w:tcPr>
            <w:tcW w:w="2353" w:type="dxa"/>
            <w:tcBorders>
              <w:top w:val="single" w:sz="4" w:space="0" w:color="000000"/>
              <w:left w:val="nil"/>
              <w:bottom w:val="single" w:sz="4" w:space="0" w:color="000000"/>
              <w:right w:val="single" w:sz="4" w:space="0" w:color="000000"/>
            </w:tcBorders>
            <w:noWrap/>
            <w:vAlign w:val="center"/>
          </w:tcPr>
          <w:p w14:paraId="69CBF71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内衬</w:t>
            </w:r>
            <w:r w:rsidRPr="00B12FE0">
              <w:rPr>
                <w:color w:val="000000" w:themeColor="text1"/>
                <w:kern w:val="0"/>
                <w:sz w:val="21"/>
                <w:szCs w:val="21"/>
              </w:rPr>
              <w:t>4mm</w:t>
            </w:r>
            <w:r w:rsidRPr="00B12FE0">
              <w:rPr>
                <w:color w:val="000000" w:themeColor="text1"/>
                <w:kern w:val="0"/>
                <w:sz w:val="21"/>
                <w:szCs w:val="21"/>
              </w:rPr>
              <w:t>铅板</w:t>
            </w:r>
          </w:p>
        </w:tc>
        <w:tc>
          <w:tcPr>
            <w:tcW w:w="1385" w:type="dxa"/>
            <w:tcBorders>
              <w:top w:val="single" w:sz="4" w:space="0" w:color="000000"/>
              <w:left w:val="nil"/>
              <w:bottom w:val="single" w:sz="4" w:space="0" w:color="000000"/>
              <w:right w:val="single" w:sz="4" w:space="0" w:color="000000"/>
            </w:tcBorders>
            <w:noWrap/>
            <w:vAlign w:val="center"/>
          </w:tcPr>
          <w:p w14:paraId="50D2625A"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p>
        </w:tc>
        <w:tc>
          <w:tcPr>
            <w:tcW w:w="1094" w:type="dxa"/>
            <w:vMerge/>
            <w:tcBorders>
              <w:top w:val="nil"/>
              <w:left w:val="nil"/>
              <w:bottom w:val="single" w:sz="4" w:space="0" w:color="000000"/>
              <w:right w:val="single" w:sz="4" w:space="0" w:color="000000"/>
            </w:tcBorders>
            <w:vAlign w:val="center"/>
          </w:tcPr>
          <w:p w14:paraId="3213F75B" w14:textId="77777777" w:rsidR="00A67F21" w:rsidRPr="00B12FE0" w:rsidRDefault="00A67F21">
            <w:pPr>
              <w:widowControl/>
              <w:jc w:val="left"/>
              <w:rPr>
                <w:color w:val="000000" w:themeColor="text1"/>
                <w:sz w:val="21"/>
                <w:szCs w:val="21"/>
              </w:rPr>
            </w:pPr>
          </w:p>
        </w:tc>
        <w:tc>
          <w:tcPr>
            <w:tcW w:w="1094" w:type="dxa"/>
            <w:tcBorders>
              <w:top w:val="single" w:sz="4" w:space="0" w:color="000000"/>
              <w:left w:val="nil"/>
              <w:bottom w:val="single" w:sz="4" w:space="0" w:color="000000"/>
              <w:right w:val="single" w:sz="4" w:space="0" w:color="000000"/>
            </w:tcBorders>
            <w:noWrap/>
            <w:vAlign w:val="center"/>
          </w:tcPr>
          <w:p w14:paraId="43051DAC"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7570CED5" w14:textId="77777777">
        <w:trPr>
          <w:trHeight w:val="270"/>
          <w:jc w:val="center"/>
        </w:trPr>
        <w:tc>
          <w:tcPr>
            <w:tcW w:w="1386" w:type="dxa"/>
            <w:vMerge/>
            <w:tcBorders>
              <w:top w:val="nil"/>
              <w:left w:val="single" w:sz="4" w:space="0" w:color="000000"/>
              <w:bottom w:val="single" w:sz="4" w:space="0" w:color="000000"/>
              <w:right w:val="single" w:sz="4" w:space="0" w:color="000000"/>
            </w:tcBorders>
            <w:vAlign w:val="center"/>
          </w:tcPr>
          <w:p w14:paraId="3D8778BA" w14:textId="77777777" w:rsidR="00A67F21" w:rsidRPr="00B12FE0" w:rsidRDefault="00A67F21">
            <w:pPr>
              <w:widowControl/>
              <w:jc w:val="left"/>
              <w:rPr>
                <w:color w:val="000000" w:themeColor="text1"/>
                <w:sz w:val="21"/>
                <w:szCs w:val="21"/>
              </w:rPr>
            </w:pPr>
          </w:p>
        </w:tc>
        <w:tc>
          <w:tcPr>
            <w:tcW w:w="1714" w:type="dxa"/>
            <w:tcBorders>
              <w:top w:val="single" w:sz="4" w:space="0" w:color="000000"/>
              <w:left w:val="nil"/>
              <w:bottom w:val="single" w:sz="4" w:space="0" w:color="000000"/>
              <w:right w:val="single" w:sz="4" w:space="0" w:color="000000"/>
            </w:tcBorders>
            <w:noWrap/>
            <w:vAlign w:val="center"/>
          </w:tcPr>
          <w:p w14:paraId="112F5C21"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观察窗</w:t>
            </w:r>
          </w:p>
        </w:tc>
        <w:tc>
          <w:tcPr>
            <w:tcW w:w="2353" w:type="dxa"/>
            <w:tcBorders>
              <w:top w:val="single" w:sz="4" w:space="0" w:color="000000"/>
              <w:left w:val="nil"/>
              <w:bottom w:val="single" w:sz="4" w:space="0" w:color="000000"/>
              <w:right w:val="single" w:sz="4" w:space="0" w:color="000000"/>
            </w:tcBorders>
            <w:noWrap/>
            <w:vAlign w:val="center"/>
          </w:tcPr>
          <w:p w14:paraId="60EE0852"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4mmPb</w:t>
            </w:r>
            <w:r w:rsidRPr="00B12FE0">
              <w:rPr>
                <w:color w:val="000000" w:themeColor="text1"/>
                <w:kern w:val="0"/>
                <w:sz w:val="21"/>
                <w:szCs w:val="21"/>
              </w:rPr>
              <w:t>铅玻璃</w:t>
            </w:r>
          </w:p>
        </w:tc>
        <w:tc>
          <w:tcPr>
            <w:tcW w:w="1385" w:type="dxa"/>
            <w:tcBorders>
              <w:top w:val="single" w:sz="4" w:space="0" w:color="000000"/>
              <w:left w:val="nil"/>
              <w:bottom w:val="single" w:sz="4" w:space="0" w:color="000000"/>
              <w:right w:val="single" w:sz="4" w:space="0" w:color="000000"/>
            </w:tcBorders>
            <w:noWrap/>
            <w:vAlign w:val="center"/>
          </w:tcPr>
          <w:p w14:paraId="26C223A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4</w:t>
            </w:r>
          </w:p>
        </w:tc>
        <w:tc>
          <w:tcPr>
            <w:tcW w:w="1094" w:type="dxa"/>
            <w:vMerge/>
            <w:tcBorders>
              <w:top w:val="nil"/>
              <w:left w:val="nil"/>
              <w:bottom w:val="single" w:sz="4" w:space="0" w:color="000000"/>
              <w:right w:val="single" w:sz="4" w:space="0" w:color="000000"/>
            </w:tcBorders>
            <w:vAlign w:val="center"/>
          </w:tcPr>
          <w:p w14:paraId="00DFA7A7" w14:textId="77777777" w:rsidR="00A67F21" w:rsidRPr="00B12FE0" w:rsidRDefault="00A67F21">
            <w:pPr>
              <w:widowControl/>
              <w:jc w:val="left"/>
              <w:rPr>
                <w:color w:val="000000" w:themeColor="text1"/>
                <w:sz w:val="21"/>
                <w:szCs w:val="21"/>
              </w:rPr>
            </w:pPr>
          </w:p>
        </w:tc>
        <w:tc>
          <w:tcPr>
            <w:tcW w:w="1094" w:type="dxa"/>
            <w:tcBorders>
              <w:top w:val="single" w:sz="4" w:space="0" w:color="000000"/>
              <w:left w:val="nil"/>
              <w:bottom w:val="single" w:sz="4" w:space="0" w:color="000000"/>
              <w:right w:val="single" w:sz="4" w:space="0" w:color="000000"/>
            </w:tcBorders>
            <w:noWrap/>
            <w:vAlign w:val="center"/>
          </w:tcPr>
          <w:p w14:paraId="1F2F5230" w14:textId="77777777" w:rsidR="00A67F21" w:rsidRPr="00B12FE0" w:rsidRDefault="00000000">
            <w:pPr>
              <w:widowControl/>
              <w:jc w:val="center"/>
              <w:textAlignment w:val="center"/>
              <w:rPr>
                <w:color w:val="000000" w:themeColor="text1"/>
                <w:sz w:val="21"/>
                <w:szCs w:val="21"/>
              </w:rPr>
            </w:pPr>
            <w:r w:rsidRPr="00B12FE0">
              <w:rPr>
                <w:rFonts w:ascii="宋体" w:hAnsi="宋体"/>
                <w:color w:val="000000" w:themeColor="text1"/>
                <w:kern w:val="0"/>
                <w:sz w:val="21"/>
                <w:szCs w:val="21"/>
              </w:rPr>
              <w:t>是</w:t>
            </w:r>
          </w:p>
        </w:tc>
      </w:tr>
      <w:tr w:rsidR="00A67F21" w:rsidRPr="00B12FE0" w14:paraId="51EC1635" w14:textId="77777777">
        <w:trPr>
          <w:trHeight w:val="270"/>
          <w:jc w:val="center"/>
        </w:trPr>
        <w:tc>
          <w:tcPr>
            <w:tcW w:w="9026" w:type="dxa"/>
            <w:gridSpan w:val="6"/>
            <w:tcBorders>
              <w:top w:val="single" w:sz="4" w:space="0" w:color="000000"/>
              <w:left w:val="single" w:sz="4" w:space="0" w:color="000000"/>
              <w:bottom w:val="single" w:sz="4" w:space="0" w:color="000000"/>
              <w:right w:val="single" w:sz="4" w:space="0" w:color="000000"/>
            </w:tcBorders>
            <w:noWrap/>
            <w:vAlign w:val="center"/>
          </w:tcPr>
          <w:p w14:paraId="03BBAD18" w14:textId="77777777" w:rsidR="00A67F21" w:rsidRPr="00B12FE0" w:rsidRDefault="00000000">
            <w:pPr>
              <w:widowControl/>
              <w:textAlignment w:val="center"/>
              <w:rPr>
                <w:color w:val="000000" w:themeColor="text1"/>
                <w:sz w:val="18"/>
                <w:szCs w:val="18"/>
              </w:rPr>
            </w:pPr>
            <w:r w:rsidRPr="00B12FE0">
              <w:rPr>
                <w:rFonts w:ascii="宋体" w:hAnsi="宋体"/>
                <w:color w:val="000000" w:themeColor="text1"/>
                <w:kern w:val="0"/>
                <w:sz w:val="18"/>
                <w:szCs w:val="18"/>
              </w:rPr>
              <w:t>注：</w:t>
            </w:r>
            <w:r w:rsidRPr="00B12FE0">
              <w:rPr>
                <w:rFonts w:ascii="宋体" w:hAnsi="宋体" w:hint="eastAsia"/>
                <w:color w:val="000000" w:themeColor="text1"/>
                <w:kern w:val="0"/>
                <w:sz w:val="18"/>
                <w:szCs w:val="18"/>
              </w:rPr>
              <w:t>根据建设单位提供资料，</w:t>
            </w:r>
            <w:r w:rsidRPr="00B12FE0">
              <w:rPr>
                <w:rFonts w:ascii="宋体" w:hAnsi="宋体"/>
                <w:color w:val="000000" w:themeColor="text1"/>
                <w:kern w:val="0"/>
                <w:sz w:val="18"/>
                <w:szCs w:val="18"/>
              </w:rPr>
              <w:t>硫酸钡防护涂料密度不低于</w:t>
            </w:r>
            <w:r w:rsidRPr="00B12FE0">
              <w:rPr>
                <w:rFonts w:hint="eastAsia"/>
                <w:color w:val="000000" w:themeColor="text1"/>
                <w:kern w:val="0"/>
                <w:sz w:val="18"/>
                <w:szCs w:val="18"/>
              </w:rPr>
              <w:t>2.79</w:t>
            </w:r>
            <w:r w:rsidRPr="00B12FE0">
              <w:rPr>
                <w:color w:val="000000" w:themeColor="text1"/>
                <w:kern w:val="0"/>
                <w:sz w:val="18"/>
                <w:szCs w:val="18"/>
              </w:rPr>
              <w:t>g/cm</w:t>
            </w:r>
            <w:r w:rsidRPr="00B12FE0">
              <w:rPr>
                <w:color w:val="000000" w:themeColor="text1"/>
                <w:kern w:val="0"/>
                <w:sz w:val="18"/>
                <w:szCs w:val="18"/>
                <w:vertAlign w:val="superscript"/>
              </w:rPr>
              <w:t>3</w:t>
            </w:r>
            <w:r w:rsidRPr="00B12FE0">
              <w:rPr>
                <w:rFonts w:ascii="宋体" w:hAnsi="宋体" w:hint="eastAsia"/>
                <w:color w:val="000000" w:themeColor="text1"/>
                <w:kern w:val="0"/>
                <w:sz w:val="18"/>
                <w:szCs w:val="18"/>
              </w:rPr>
              <w:t>，</w:t>
            </w:r>
            <w:r w:rsidRPr="00B12FE0">
              <w:rPr>
                <w:rFonts w:ascii="宋体" w:hAnsi="宋体"/>
                <w:color w:val="000000" w:themeColor="text1"/>
                <w:kern w:val="0"/>
                <w:sz w:val="18"/>
                <w:szCs w:val="18"/>
              </w:rPr>
              <w:t>实心砖密度</w:t>
            </w:r>
            <w:r w:rsidRPr="00B12FE0">
              <w:rPr>
                <w:rFonts w:ascii="宋体" w:hAnsi="宋体" w:hint="eastAsia"/>
                <w:color w:val="000000" w:themeColor="text1"/>
                <w:kern w:val="0"/>
                <w:sz w:val="18"/>
                <w:szCs w:val="18"/>
              </w:rPr>
              <w:t>不低于</w:t>
            </w:r>
            <w:r w:rsidRPr="00B12FE0">
              <w:rPr>
                <w:color w:val="000000" w:themeColor="text1"/>
                <w:kern w:val="0"/>
                <w:sz w:val="18"/>
                <w:szCs w:val="18"/>
              </w:rPr>
              <w:t>1.65g/cm</w:t>
            </w:r>
            <w:r w:rsidRPr="00B12FE0">
              <w:rPr>
                <w:color w:val="000000" w:themeColor="text1"/>
                <w:kern w:val="0"/>
                <w:sz w:val="18"/>
                <w:szCs w:val="18"/>
                <w:vertAlign w:val="superscript"/>
              </w:rPr>
              <w:t>3</w:t>
            </w:r>
            <w:r w:rsidRPr="00B12FE0">
              <w:rPr>
                <w:rFonts w:ascii="宋体" w:hAnsi="宋体"/>
                <w:color w:val="000000" w:themeColor="text1"/>
                <w:kern w:val="0"/>
                <w:sz w:val="18"/>
                <w:szCs w:val="18"/>
              </w:rPr>
              <w:t>，混凝土密度</w:t>
            </w:r>
            <w:r w:rsidRPr="00B12FE0">
              <w:rPr>
                <w:rFonts w:ascii="宋体" w:hAnsi="宋体" w:hint="eastAsia"/>
                <w:color w:val="000000" w:themeColor="text1"/>
                <w:kern w:val="0"/>
                <w:sz w:val="18"/>
                <w:szCs w:val="18"/>
              </w:rPr>
              <w:t>不低于</w:t>
            </w:r>
            <w:r w:rsidRPr="00B12FE0">
              <w:rPr>
                <w:color w:val="000000" w:themeColor="text1"/>
                <w:kern w:val="0"/>
                <w:sz w:val="18"/>
                <w:szCs w:val="18"/>
              </w:rPr>
              <w:t>2.35g/cm</w:t>
            </w:r>
            <w:r w:rsidRPr="00B12FE0">
              <w:rPr>
                <w:color w:val="000000" w:themeColor="text1"/>
                <w:kern w:val="0"/>
                <w:sz w:val="18"/>
                <w:szCs w:val="18"/>
                <w:vertAlign w:val="superscript"/>
              </w:rPr>
              <w:t>3</w:t>
            </w:r>
            <w:r w:rsidRPr="00B12FE0">
              <w:rPr>
                <w:rFonts w:ascii="宋体" w:hAnsi="宋体"/>
                <w:color w:val="000000" w:themeColor="text1"/>
                <w:kern w:val="0"/>
                <w:sz w:val="18"/>
                <w:szCs w:val="18"/>
              </w:rPr>
              <w:t>，折算铅当量参考《放射诊断放射防护要求》（</w:t>
            </w:r>
            <w:r w:rsidRPr="00B12FE0">
              <w:rPr>
                <w:color w:val="000000" w:themeColor="text1"/>
                <w:kern w:val="0"/>
                <w:sz w:val="18"/>
                <w:szCs w:val="18"/>
              </w:rPr>
              <w:t>GBZ 130-2020</w:t>
            </w:r>
            <w:r w:rsidRPr="00B12FE0">
              <w:rPr>
                <w:rFonts w:ascii="宋体" w:hAnsi="宋体"/>
                <w:color w:val="000000" w:themeColor="text1"/>
                <w:kern w:val="0"/>
                <w:sz w:val="18"/>
                <w:szCs w:val="18"/>
              </w:rPr>
              <w:t>）中附录</w:t>
            </w:r>
            <w:r w:rsidRPr="00B12FE0">
              <w:rPr>
                <w:color w:val="000000" w:themeColor="text1"/>
                <w:kern w:val="0"/>
                <w:sz w:val="18"/>
                <w:szCs w:val="18"/>
              </w:rPr>
              <w:t>C</w:t>
            </w:r>
            <w:r w:rsidRPr="00B12FE0">
              <w:rPr>
                <w:rFonts w:ascii="宋体" w:hAnsi="宋体"/>
                <w:color w:val="000000" w:themeColor="text1"/>
                <w:kern w:val="0"/>
                <w:sz w:val="18"/>
                <w:szCs w:val="18"/>
              </w:rPr>
              <w:t>中式（</w:t>
            </w:r>
            <w:r w:rsidRPr="00B12FE0">
              <w:rPr>
                <w:color w:val="000000" w:themeColor="text1"/>
                <w:kern w:val="0"/>
                <w:sz w:val="18"/>
                <w:szCs w:val="18"/>
              </w:rPr>
              <w:t>C.1</w:t>
            </w:r>
            <w:r w:rsidRPr="00B12FE0">
              <w:rPr>
                <w:rFonts w:ascii="宋体" w:hAnsi="宋体"/>
                <w:color w:val="000000" w:themeColor="text1"/>
                <w:kern w:val="0"/>
                <w:sz w:val="18"/>
                <w:szCs w:val="18"/>
              </w:rPr>
              <w:t>）、式（</w:t>
            </w:r>
            <w:r w:rsidRPr="00B12FE0">
              <w:rPr>
                <w:color w:val="000000" w:themeColor="text1"/>
                <w:kern w:val="0"/>
                <w:sz w:val="18"/>
                <w:szCs w:val="18"/>
              </w:rPr>
              <w:t>C.2</w:t>
            </w:r>
            <w:r w:rsidRPr="00B12FE0">
              <w:rPr>
                <w:rFonts w:ascii="宋体" w:hAnsi="宋体"/>
                <w:color w:val="000000" w:themeColor="text1"/>
                <w:kern w:val="0"/>
                <w:sz w:val="18"/>
                <w:szCs w:val="18"/>
              </w:rPr>
              <w:t>）及表</w:t>
            </w:r>
            <w:r w:rsidRPr="00B12FE0">
              <w:rPr>
                <w:color w:val="000000" w:themeColor="text1"/>
                <w:kern w:val="0"/>
                <w:sz w:val="18"/>
                <w:szCs w:val="18"/>
              </w:rPr>
              <w:t>C.2</w:t>
            </w:r>
            <w:r w:rsidRPr="00B12FE0">
              <w:rPr>
                <w:rFonts w:ascii="宋体" w:hAnsi="宋体"/>
                <w:color w:val="000000" w:themeColor="text1"/>
                <w:kern w:val="0"/>
                <w:sz w:val="18"/>
                <w:szCs w:val="18"/>
              </w:rPr>
              <w:t>，在</w:t>
            </w:r>
            <w:r w:rsidRPr="00B12FE0">
              <w:rPr>
                <w:color w:val="000000" w:themeColor="text1"/>
                <w:kern w:val="0"/>
                <w:sz w:val="18"/>
                <w:szCs w:val="18"/>
              </w:rPr>
              <w:t>140kV</w:t>
            </w:r>
            <w:r w:rsidRPr="00B12FE0">
              <w:rPr>
                <w:rFonts w:ascii="宋体" w:hAnsi="宋体"/>
                <w:color w:val="000000" w:themeColor="text1"/>
                <w:kern w:val="0"/>
                <w:sz w:val="18"/>
                <w:szCs w:val="18"/>
              </w:rPr>
              <w:t>得顶棚</w:t>
            </w:r>
            <w:r w:rsidRPr="00B12FE0">
              <w:rPr>
                <w:rFonts w:hint="eastAsia"/>
                <w:color w:val="000000" w:themeColor="text1"/>
                <w:kern w:val="0"/>
                <w:sz w:val="18"/>
                <w:szCs w:val="18"/>
              </w:rPr>
              <w:t>25</w:t>
            </w:r>
            <w:r w:rsidRPr="00B12FE0">
              <w:rPr>
                <w:color w:val="000000" w:themeColor="text1"/>
                <w:kern w:val="0"/>
                <w:sz w:val="18"/>
                <w:szCs w:val="18"/>
              </w:rPr>
              <w:t>0mm</w:t>
            </w:r>
            <w:r w:rsidRPr="00B12FE0">
              <w:rPr>
                <w:rFonts w:ascii="宋体" w:hAnsi="宋体"/>
                <w:color w:val="000000" w:themeColor="text1"/>
                <w:kern w:val="0"/>
                <w:sz w:val="18"/>
                <w:szCs w:val="18"/>
              </w:rPr>
              <w:t>混凝土折算为</w:t>
            </w:r>
            <w:r w:rsidRPr="00B12FE0">
              <w:rPr>
                <w:rFonts w:hint="eastAsia"/>
                <w:color w:val="000000" w:themeColor="text1"/>
                <w:kern w:val="0"/>
                <w:sz w:val="18"/>
                <w:szCs w:val="18"/>
              </w:rPr>
              <w:t>3</w:t>
            </w:r>
            <w:r w:rsidRPr="00B12FE0">
              <w:rPr>
                <w:color w:val="000000" w:themeColor="text1"/>
                <w:kern w:val="0"/>
                <w:sz w:val="18"/>
                <w:szCs w:val="18"/>
              </w:rPr>
              <w:t>mmPb</w:t>
            </w:r>
            <w:r w:rsidRPr="00B12FE0">
              <w:rPr>
                <w:rFonts w:ascii="宋体" w:hAnsi="宋体"/>
                <w:color w:val="000000" w:themeColor="text1"/>
                <w:kern w:val="0"/>
                <w:sz w:val="18"/>
                <w:szCs w:val="18"/>
              </w:rPr>
              <w:t>当量</w:t>
            </w:r>
            <w:r w:rsidRPr="00B12FE0">
              <w:rPr>
                <w:rFonts w:ascii="宋体" w:hAnsi="宋体" w:hint="eastAsia"/>
                <w:color w:val="000000" w:themeColor="text1"/>
                <w:kern w:val="0"/>
                <w:sz w:val="18"/>
                <w:szCs w:val="18"/>
              </w:rPr>
              <w:t>，</w:t>
            </w:r>
            <w:r w:rsidRPr="00B12FE0">
              <w:rPr>
                <w:rFonts w:ascii="宋体" w:hAnsi="宋体"/>
                <w:color w:val="000000" w:themeColor="text1"/>
                <w:kern w:val="0"/>
                <w:sz w:val="18"/>
                <w:szCs w:val="18"/>
              </w:rPr>
              <w:t>由于附录</w:t>
            </w:r>
            <w:r w:rsidRPr="00B12FE0">
              <w:rPr>
                <w:color w:val="000000" w:themeColor="text1"/>
                <w:kern w:val="0"/>
                <w:sz w:val="18"/>
                <w:szCs w:val="18"/>
              </w:rPr>
              <w:t>C</w:t>
            </w:r>
            <w:r w:rsidRPr="00B12FE0">
              <w:rPr>
                <w:rFonts w:ascii="宋体" w:hAnsi="宋体"/>
                <w:color w:val="000000" w:themeColor="text1"/>
                <w:kern w:val="0"/>
                <w:sz w:val="18"/>
                <w:szCs w:val="18"/>
              </w:rPr>
              <w:t>中未提供实心砖在</w:t>
            </w:r>
            <w:r w:rsidRPr="00B12FE0">
              <w:rPr>
                <w:color w:val="000000" w:themeColor="text1"/>
                <w:kern w:val="0"/>
                <w:sz w:val="18"/>
                <w:szCs w:val="18"/>
              </w:rPr>
              <w:t>140kV</w:t>
            </w:r>
            <w:r w:rsidRPr="00B12FE0">
              <w:rPr>
                <w:rFonts w:ascii="宋体" w:hAnsi="宋体"/>
                <w:color w:val="000000" w:themeColor="text1"/>
                <w:kern w:val="0"/>
                <w:sz w:val="18"/>
                <w:szCs w:val="18"/>
              </w:rPr>
              <w:t>在非有用线束方向上的拟合参数，无法进行等效铅当量厚度的计算，故参考《放射防护实用手册》（主编赵兰才、张丹枫）表</w:t>
            </w:r>
            <w:r w:rsidRPr="00B12FE0">
              <w:rPr>
                <w:color w:val="000000" w:themeColor="text1"/>
                <w:kern w:val="0"/>
                <w:sz w:val="18"/>
                <w:szCs w:val="18"/>
              </w:rPr>
              <w:t>6.14</w:t>
            </w:r>
            <w:r w:rsidRPr="00B12FE0">
              <w:rPr>
                <w:rFonts w:ascii="宋体" w:hAnsi="宋体"/>
                <w:color w:val="000000" w:themeColor="text1"/>
                <w:kern w:val="0"/>
                <w:sz w:val="18"/>
                <w:szCs w:val="18"/>
              </w:rPr>
              <w:t>，</w:t>
            </w:r>
            <w:r w:rsidRPr="00B12FE0">
              <w:rPr>
                <w:rFonts w:hint="eastAsia"/>
                <w:color w:val="000000" w:themeColor="text1"/>
                <w:kern w:val="0"/>
                <w:sz w:val="18"/>
                <w:szCs w:val="18"/>
              </w:rPr>
              <w:t>240</w:t>
            </w:r>
            <w:r w:rsidRPr="00B12FE0">
              <w:rPr>
                <w:color w:val="000000" w:themeColor="text1"/>
                <w:kern w:val="0"/>
                <w:sz w:val="18"/>
                <w:szCs w:val="18"/>
              </w:rPr>
              <w:t>mm</w:t>
            </w:r>
            <w:r w:rsidRPr="00B12FE0">
              <w:rPr>
                <w:rFonts w:ascii="宋体" w:hAnsi="宋体"/>
                <w:color w:val="000000" w:themeColor="text1"/>
                <w:kern w:val="0"/>
                <w:sz w:val="18"/>
                <w:szCs w:val="18"/>
              </w:rPr>
              <w:t>实心砖折算为</w:t>
            </w:r>
            <w:r w:rsidRPr="00B12FE0">
              <w:rPr>
                <w:rFonts w:hint="eastAsia"/>
                <w:color w:val="000000" w:themeColor="text1"/>
                <w:kern w:val="0"/>
                <w:sz w:val="18"/>
                <w:szCs w:val="18"/>
              </w:rPr>
              <w:t>2</w:t>
            </w:r>
            <w:r w:rsidRPr="00B12FE0">
              <w:rPr>
                <w:color w:val="000000" w:themeColor="text1"/>
                <w:kern w:val="0"/>
                <w:sz w:val="18"/>
                <w:szCs w:val="18"/>
              </w:rPr>
              <w:t>mmPb</w:t>
            </w:r>
            <w:r w:rsidRPr="00B12FE0">
              <w:rPr>
                <w:rFonts w:ascii="宋体" w:hAnsi="宋体"/>
                <w:color w:val="000000" w:themeColor="text1"/>
                <w:kern w:val="0"/>
                <w:sz w:val="18"/>
                <w:szCs w:val="18"/>
              </w:rPr>
              <w:t>当量</w:t>
            </w:r>
            <w:r w:rsidRPr="00B12FE0">
              <w:rPr>
                <w:rFonts w:ascii="宋体" w:hAnsi="宋体" w:hint="eastAsia"/>
                <w:color w:val="000000" w:themeColor="text1"/>
                <w:kern w:val="0"/>
                <w:sz w:val="18"/>
                <w:szCs w:val="18"/>
              </w:rPr>
              <w:t>，</w:t>
            </w:r>
            <w:r w:rsidRPr="00B12FE0">
              <w:rPr>
                <w:rFonts w:ascii="宋体" w:hAnsi="宋体"/>
                <w:color w:val="000000" w:themeColor="text1"/>
                <w:kern w:val="0"/>
                <w:sz w:val="18"/>
                <w:szCs w:val="18"/>
              </w:rPr>
              <w:t>硫酸钡按照</w:t>
            </w:r>
            <w:r w:rsidRPr="00B12FE0">
              <w:rPr>
                <w:rFonts w:hint="eastAsia"/>
                <w:color w:val="000000" w:themeColor="text1"/>
                <w:kern w:val="0"/>
                <w:sz w:val="18"/>
                <w:szCs w:val="18"/>
              </w:rPr>
              <w:t>20</w:t>
            </w:r>
            <w:r w:rsidRPr="00B12FE0">
              <w:rPr>
                <w:color w:val="000000" w:themeColor="text1"/>
                <w:kern w:val="0"/>
                <w:sz w:val="18"/>
                <w:szCs w:val="18"/>
              </w:rPr>
              <w:t>mm</w:t>
            </w:r>
            <w:r w:rsidRPr="00B12FE0">
              <w:rPr>
                <w:rFonts w:ascii="宋体" w:hAnsi="宋体"/>
                <w:color w:val="000000" w:themeColor="text1"/>
                <w:kern w:val="0"/>
                <w:sz w:val="18"/>
                <w:szCs w:val="18"/>
              </w:rPr>
              <w:t>厚度等效为</w:t>
            </w:r>
            <w:r w:rsidRPr="00B12FE0">
              <w:rPr>
                <w:color w:val="000000" w:themeColor="text1"/>
                <w:kern w:val="0"/>
                <w:sz w:val="18"/>
                <w:szCs w:val="18"/>
              </w:rPr>
              <w:t>1mmPb</w:t>
            </w:r>
            <w:r w:rsidRPr="00B12FE0">
              <w:rPr>
                <w:rFonts w:ascii="宋体" w:hAnsi="宋体"/>
                <w:color w:val="000000" w:themeColor="text1"/>
                <w:kern w:val="0"/>
                <w:sz w:val="18"/>
                <w:szCs w:val="18"/>
              </w:rPr>
              <w:t>。</w:t>
            </w:r>
          </w:p>
        </w:tc>
      </w:tr>
    </w:tbl>
    <w:p w14:paraId="691CDAB3" w14:textId="77777777" w:rsidR="00A67F21" w:rsidRPr="00B12FE0" w:rsidRDefault="00000000">
      <w:pPr>
        <w:adjustRightInd w:val="0"/>
        <w:snapToGrid w:val="0"/>
        <w:spacing w:line="360" w:lineRule="auto"/>
        <w:outlineLvl w:val="3"/>
        <w:rPr>
          <w:b/>
          <w:bCs/>
          <w:color w:val="000000" w:themeColor="text1"/>
        </w:rPr>
      </w:pPr>
      <w:r w:rsidRPr="00B12FE0">
        <w:rPr>
          <w:rFonts w:hint="eastAsia"/>
          <w:b/>
          <w:bCs/>
          <w:color w:val="000000" w:themeColor="text1"/>
        </w:rPr>
        <w:t>10.1.1.6</w:t>
      </w:r>
      <w:r w:rsidRPr="00B12FE0">
        <w:rPr>
          <w:b/>
          <w:bCs/>
          <w:color w:val="000000" w:themeColor="text1"/>
        </w:rPr>
        <w:t>辐射安全和防护、环保相关设施</w:t>
      </w:r>
    </w:p>
    <w:p w14:paraId="12FEF101" w14:textId="77777777" w:rsidR="00A67F21" w:rsidRPr="00B12FE0" w:rsidRDefault="00000000">
      <w:pPr>
        <w:adjustRightInd w:val="0"/>
        <w:snapToGrid w:val="0"/>
        <w:spacing w:line="360" w:lineRule="auto"/>
        <w:ind w:firstLineChars="200" w:firstLine="482"/>
        <w:rPr>
          <w:b/>
          <w:color w:val="000000" w:themeColor="text1"/>
          <w:szCs w:val="24"/>
        </w:rPr>
      </w:pPr>
      <w:r w:rsidRPr="00B12FE0">
        <w:rPr>
          <w:rFonts w:ascii="宋体" w:hAnsi="宋体"/>
          <w:b/>
          <w:color w:val="000000" w:themeColor="text1"/>
          <w:szCs w:val="24"/>
        </w:rPr>
        <w:t>（</w:t>
      </w:r>
      <w:r w:rsidRPr="00B12FE0">
        <w:rPr>
          <w:b/>
          <w:color w:val="000000" w:themeColor="text1"/>
          <w:szCs w:val="24"/>
        </w:rPr>
        <w:t>1</w:t>
      </w:r>
      <w:r w:rsidRPr="00B12FE0">
        <w:rPr>
          <w:rFonts w:ascii="宋体" w:hAnsi="宋体"/>
          <w:b/>
          <w:color w:val="000000" w:themeColor="text1"/>
          <w:szCs w:val="24"/>
        </w:rPr>
        <w:t>）核医学科核素制备场所</w:t>
      </w:r>
    </w:p>
    <w:p w14:paraId="59705D06"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Cambria Math" w:hAnsi="Cambria Math" w:cs="Cambria Math"/>
          <w:color w:val="000000" w:themeColor="text1"/>
          <w:szCs w:val="24"/>
        </w:rPr>
        <w:t>①</w:t>
      </w:r>
      <w:r w:rsidRPr="00B12FE0">
        <w:rPr>
          <w:rFonts w:ascii="宋体" w:hAnsi="宋体"/>
          <w:color w:val="000000" w:themeColor="text1"/>
          <w:szCs w:val="24"/>
        </w:rPr>
        <w:t>回旋加速器</w:t>
      </w:r>
      <w:proofErr w:type="gramStart"/>
      <w:r w:rsidRPr="00B12FE0">
        <w:rPr>
          <w:rFonts w:ascii="宋体" w:hAnsi="宋体"/>
          <w:color w:val="000000" w:themeColor="text1"/>
          <w:szCs w:val="24"/>
        </w:rPr>
        <w:t>室安全</w:t>
      </w:r>
      <w:proofErr w:type="gramEnd"/>
      <w:r w:rsidRPr="00B12FE0">
        <w:rPr>
          <w:rFonts w:ascii="宋体" w:hAnsi="宋体"/>
          <w:color w:val="000000" w:themeColor="text1"/>
          <w:szCs w:val="24"/>
        </w:rPr>
        <w:t>设施</w:t>
      </w:r>
    </w:p>
    <w:p w14:paraId="46AD88B8"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kern w:val="0"/>
          <w:szCs w:val="24"/>
        </w:rPr>
        <w:t>（</w:t>
      </w:r>
      <w:r w:rsidRPr="00B12FE0">
        <w:rPr>
          <w:color w:val="000000" w:themeColor="text1"/>
          <w:kern w:val="0"/>
          <w:szCs w:val="24"/>
        </w:rPr>
        <w:t>a</w:t>
      </w:r>
      <w:r w:rsidRPr="00B12FE0">
        <w:rPr>
          <w:rFonts w:ascii="宋体" w:hAnsi="宋体"/>
          <w:color w:val="000000" w:themeColor="text1"/>
          <w:kern w:val="0"/>
          <w:szCs w:val="24"/>
        </w:rPr>
        <w:t>）控制系统开关钥匙控制：加速器系统将设置</w:t>
      </w:r>
      <w:r w:rsidRPr="00B12FE0">
        <w:rPr>
          <w:rFonts w:ascii="宋体" w:hAnsi="宋体" w:hint="eastAsia"/>
          <w:color w:val="000000" w:themeColor="text1"/>
          <w:kern w:val="0"/>
          <w:szCs w:val="24"/>
        </w:rPr>
        <w:t>登入</w:t>
      </w:r>
      <w:r w:rsidRPr="00B12FE0">
        <w:rPr>
          <w:rFonts w:ascii="宋体" w:hAnsi="宋体"/>
          <w:color w:val="000000" w:themeColor="text1"/>
          <w:kern w:val="0"/>
          <w:szCs w:val="24"/>
        </w:rPr>
        <w:t>页面，所有进行加速器操作的人员均将设置不同的登录名和密码。加速器对不同的用户开放不同的权限等级，当操作人员下达没有使用权限的加速器指令时，加速器将不会执行相应的指令。</w:t>
      </w:r>
    </w:p>
    <w:p w14:paraId="0A62D702" w14:textId="77777777" w:rsidR="00A67F21" w:rsidRPr="00B12FE0" w:rsidRDefault="00000000">
      <w:pPr>
        <w:adjustRightInd w:val="0"/>
        <w:snapToGrid w:val="0"/>
        <w:spacing w:line="360" w:lineRule="auto"/>
        <w:ind w:firstLine="480"/>
        <w:jc w:val="left"/>
        <w:rPr>
          <w:i/>
          <w:iCs/>
          <w:color w:val="000000" w:themeColor="text1"/>
          <w:szCs w:val="24"/>
        </w:rPr>
      </w:pPr>
      <w:r w:rsidRPr="00B12FE0">
        <w:rPr>
          <w:rFonts w:ascii="宋体" w:hAnsi="宋体"/>
          <w:color w:val="000000" w:themeColor="text1"/>
          <w:szCs w:val="24"/>
        </w:rPr>
        <w:t>（</w:t>
      </w:r>
      <w:r w:rsidRPr="00B12FE0">
        <w:rPr>
          <w:color w:val="000000" w:themeColor="text1"/>
          <w:szCs w:val="24"/>
        </w:rPr>
        <w:t>b</w:t>
      </w:r>
      <w:r w:rsidRPr="00B12FE0">
        <w:rPr>
          <w:rFonts w:ascii="宋体" w:hAnsi="宋体"/>
          <w:color w:val="000000" w:themeColor="text1"/>
          <w:szCs w:val="24"/>
        </w:rPr>
        <w:t>）安全</w:t>
      </w:r>
      <w:proofErr w:type="gramStart"/>
      <w:r w:rsidRPr="00B12FE0">
        <w:rPr>
          <w:rFonts w:ascii="宋体" w:hAnsi="宋体"/>
          <w:color w:val="000000" w:themeColor="text1"/>
          <w:szCs w:val="24"/>
        </w:rPr>
        <w:t>联锁</w:t>
      </w:r>
      <w:proofErr w:type="gramEnd"/>
      <w:r w:rsidRPr="00B12FE0">
        <w:rPr>
          <w:rFonts w:ascii="宋体" w:hAnsi="宋体"/>
          <w:color w:val="000000" w:themeColor="text1"/>
          <w:szCs w:val="24"/>
        </w:rPr>
        <w:t>：加速器室的防护门与加速器的高压设置</w:t>
      </w:r>
      <w:proofErr w:type="gramStart"/>
      <w:r w:rsidRPr="00B12FE0">
        <w:rPr>
          <w:rFonts w:ascii="宋体" w:hAnsi="宋体"/>
          <w:color w:val="000000" w:themeColor="text1"/>
          <w:szCs w:val="24"/>
        </w:rPr>
        <w:t>联锁</w:t>
      </w:r>
      <w:proofErr w:type="gramEnd"/>
      <w:r w:rsidRPr="00B12FE0">
        <w:rPr>
          <w:rFonts w:ascii="宋体" w:hAnsi="宋体"/>
          <w:color w:val="000000" w:themeColor="text1"/>
          <w:szCs w:val="24"/>
        </w:rPr>
        <w:t>，当防护门未关闭到位时，加速器无法开启高压出束；当加速器工作过程中误操作打开防护门时，加速器立即停止出束；辐射报警灯和报警与加速器</w:t>
      </w:r>
      <w:proofErr w:type="gramStart"/>
      <w:r w:rsidRPr="00B12FE0">
        <w:rPr>
          <w:rFonts w:ascii="宋体" w:hAnsi="宋体"/>
          <w:color w:val="000000" w:themeColor="text1"/>
          <w:szCs w:val="24"/>
        </w:rPr>
        <w:t>准备出束状态联锁</w:t>
      </w:r>
      <w:proofErr w:type="gramEnd"/>
      <w:r w:rsidRPr="00B12FE0">
        <w:rPr>
          <w:rFonts w:ascii="宋体" w:hAnsi="宋体"/>
          <w:color w:val="000000" w:themeColor="text1"/>
          <w:szCs w:val="24"/>
        </w:rPr>
        <w:t>，准备</w:t>
      </w:r>
      <w:proofErr w:type="gramStart"/>
      <w:r w:rsidRPr="00B12FE0">
        <w:rPr>
          <w:rFonts w:ascii="宋体" w:hAnsi="宋体"/>
          <w:color w:val="000000" w:themeColor="text1"/>
          <w:szCs w:val="24"/>
        </w:rPr>
        <w:t>出束时</w:t>
      </w:r>
      <w:proofErr w:type="gramEnd"/>
      <w:r w:rsidRPr="00B12FE0">
        <w:rPr>
          <w:rFonts w:ascii="宋体" w:hAnsi="宋体"/>
          <w:color w:val="000000" w:themeColor="text1"/>
          <w:szCs w:val="24"/>
        </w:rPr>
        <w:t>发出警示；</w:t>
      </w:r>
      <w:r w:rsidRPr="00B12FE0">
        <w:rPr>
          <w:rFonts w:ascii="宋体" w:hAnsi="宋体" w:hint="eastAsia"/>
          <w:color w:val="000000" w:themeColor="text1"/>
          <w:szCs w:val="24"/>
        </w:rPr>
        <w:t>加速器机房设置门机联锁装置和延时开门措施，机房内设置紧急停机开关、紧急开门按钮及清场措施，并且安装固定式剂量率报警仪。机房门口有声光报警装置和工作状态指示灯，并且与加速器</w:t>
      </w:r>
      <w:proofErr w:type="gramStart"/>
      <w:r w:rsidRPr="00B12FE0">
        <w:rPr>
          <w:rFonts w:ascii="宋体" w:hAnsi="宋体" w:hint="eastAsia"/>
          <w:color w:val="000000" w:themeColor="text1"/>
          <w:szCs w:val="24"/>
        </w:rPr>
        <w:t>联锁</w:t>
      </w:r>
      <w:proofErr w:type="gramEnd"/>
      <w:r w:rsidRPr="00B12FE0">
        <w:rPr>
          <w:rFonts w:ascii="宋体" w:hAnsi="宋体" w:hint="eastAsia"/>
          <w:color w:val="000000" w:themeColor="text1"/>
          <w:szCs w:val="24"/>
        </w:rPr>
        <w:t>。</w:t>
      </w:r>
    </w:p>
    <w:p w14:paraId="0CDF2B3E" w14:textId="77777777" w:rsidR="00A67F21" w:rsidRPr="00B12FE0" w:rsidRDefault="00000000">
      <w:pPr>
        <w:adjustRightInd w:val="0"/>
        <w:snapToGrid w:val="0"/>
        <w:spacing w:line="360" w:lineRule="auto"/>
        <w:ind w:firstLine="480"/>
        <w:rPr>
          <w:color w:val="000000" w:themeColor="text1"/>
          <w:kern w:val="0"/>
          <w:szCs w:val="24"/>
        </w:rPr>
      </w:pPr>
      <w:r w:rsidRPr="00B12FE0">
        <w:rPr>
          <w:rFonts w:ascii="宋体" w:hAnsi="宋体"/>
          <w:color w:val="000000" w:themeColor="text1"/>
          <w:kern w:val="0"/>
          <w:szCs w:val="24"/>
        </w:rPr>
        <w:t>（</w:t>
      </w:r>
      <w:r w:rsidRPr="00B12FE0">
        <w:rPr>
          <w:color w:val="000000" w:themeColor="text1"/>
          <w:kern w:val="0"/>
          <w:szCs w:val="24"/>
        </w:rPr>
        <w:t>c</w:t>
      </w:r>
      <w:r w:rsidRPr="00B12FE0">
        <w:rPr>
          <w:rFonts w:ascii="宋体" w:hAnsi="宋体"/>
          <w:color w:val="000000" w:themeColor="text1"/>
          <w:kern w:val="0"/>
          <w:szCs w:val="24"/>
        </w:rPr>
        <w:t>）工作</w:t>
      </w:r>
      <w:r w:rsidRPr="00B12FE0">
        <w:rPr>
          <w:rFonts w:ascii="宋体" w:hAnsi="宋体" w:hint="eastAsia"/>
          <w:color w:val="000000" w:themeColor="text1"/>
          <w:kern w:val="0"/>
          <w:szCs w:val="24"/>
        </w:rPr>
        <w:t>状态</w:t>
      </w:r>
      <w:r w:rsidRPr="00B12FE0">
        <w:rPr>
          <w:rFonts w:ascii="宋体" w:hAnsi="宋体"/>
          <w:color w:val="000000" w:themeColor="text1"/>
          <w:kern w:val="0"/>
          <w:szCs w:val="24"/>
        </w:rPr>
        <w:t>指示灯：加速器机房防护门外拟设置红黄绿三</w:t>
      </w:r>
      <w:proofErr w:type="gramStart"/>
      <w:r w:rsidRPr="00B12FE0">
        <w:rPr>
          <w:rFonts w:ascii="宋体" w:hAnsi="宋体"/>
          <w:color w:val="000000" w:themeColor="text1"/>
          <w:kern w:val="0"/>
          <w:szCs w:val="24"/>
        </w:rPr>
        <w:t>色工作</w:t>
      </w:r>
      <w:proofErr w:type="gramEnd"/>
      <w:r w:rsidRPr="00B12FE0">
        <w:rPr>
          <w:rFonts w:ascii="宋体" w:hAnsi="宋体"/>
          <w:color w:val="000000" w:themeColor="text1"/>
          <w:kern w:val="0"/>
          <w:szCs w:val="24"/>
        </w:rPr>
        <w:t>指示灯信号，用于提示机房内设备的运行状态。红灯</w:t>
      </w:r>
      <w:proofErr w:type="gramStart"/>
      <w:r w:rsidRPr="00B12FE0">
        <w:rPr>
          <w:rFonts w:ascii="宋体" w:hAnsi="宋体"/>
          <w:color w:val="000000" w:themeColor="text1"/>
          <w:kern w:val="0"/>
          <w:szCs w:val="24"/>
        </w:rPr>
        <w:t>亮表示</w:t>
      </w:r>
      <w:proofErr w:type="gramEnd"/>
      <w:r w:rsidRPr="00B12FE0">
        <w:rPr>
          <w:rFonts w:ascii="宋体" w:hAnsi="宋体"/>
          <w:color w:val="000000" w:themeColor="text1"/>
          <w:kern w:val="0"/>
          <w:szCs w:val="24"/>
        </w:rPr>
        <w:t>加速器</w:t>
      </w:r>
      <w:proofErr w:type="gramStart"/>
      <w:r w:rsidRPr="00B12FE0">
        <w:rPr>
          <w:rFonts w:ascii="宋体" w:hAnsi="宋体"/>
          <w:color w:val="000000" w:themeColor="text1"/>
          <w:kern w:val="0"/>
          <w:szCs w:val="24"/>
        </w:rPr>
        <w:t>正在出束工作</w:t>
      </w:r>
      <w:proofErr w:type="gramEnd"/>
      <w:r w:rsidRPr="00B12FE0">
        <w:rPr>
          <w:rFonts w:ascii="宋体" w:hAnsi="宋体"/>
          <w:color w:val="000000" w:themeColor="text1"/>
          <w:kern w:val="0"/>
          <w:szCs w:val="24"/>
        </w:rPr>
        <w:t>；黄灯亮表示加速器</w:t>
      </w:r>
      <w:r w:rsidRPr="00B12FE0">
        <w:rPr>
          <w:rFonts w:ascii="宋体" w:hAnsi="宋体" w:hint="eastAsia"/>
          <w:color w:val="000000" w:themeColor="text1"/>
          <w:kern w:val="0"/>
          <w:szCs w:val="24"/>
        </w:rPr>
        <w:t>准备出束</w:t>
      </w:r>
      <w:r w:rsidRPr="00B12FE0">
        <w:rPr>
          <w:rFonts w:ascii="宋体" w:hAnsi="宋体"/>
          <w:color w:val="000000" w:themeColor="text1"/>
          <w:kern w:val="0"/>
          <w:szCs w:val="24"/>
        </w:rPr>
        <w:t>，加速器屏蔽</w:t>
      </w:r>
      <w:proofErr w:type="gramStart"/>
      <w:r w:rsidRPr="00B12FE0">
        <w:rPr>
          <w:rFonts w:ascii="宋体" w:hAnsi="宋体"/>
          <w:color w:val="000000" w:themeColor="text1"/>
          <w:kern w:val="0"/>
          <w:szCs w:val="24"/>
        </w:rPr>
        <w:t>门处于</w:t>
      </w:r>
      <w:proofErr w:type="gramEnd"/>
      <w:r w:rsidRPr="00B12FE0">
        <w:rPr>
          <w:rFonts w:ascii="宋体" w:hAnsi="宋体" w:hint="eastAsia"/>
          <w:color w:val="000000" w:themeColor="text1"/>
          <w:kern w:val="0"/>
          <w:szCs w:val="24"/>
        </w:rPr>
        <w:t>关闭</w:t>
      </w:r>
      <w:r w:rsidRPr="00B12FE0">
        <w:rPr>
          <w:rFonts w:ascii="宋体" w:hAnsi="宋体"/>
          <w:color w:val="000000" w:themeColor="text1"/>
          <w:kern w:val="0"/>
          <w:szCs w:val="24"/>
        </w:rPr>
        <w:t>状态，非职业工作人员禁止入内；绿灯</w:t>
      </w:r>
      <w:proofErr w:type="gramStart"/>
      <w:r w:rsidRPr="00B12FE0">
        <w:rPr>
          <w:rFonts w:ascii="宋体" w:hAnsi="宋体"/>
          <w:color w:val="000000" w:themeColor="text1"/>
          <w:kern w:val="0"/>
          <w:szCs w:val="24"/>
        </w:rPr>
        <w:t>亮表示</w:t>
      </w:r>
      <w:proofErr w:type="gramEnd"/>
      <w:r w:rsidRPr="00B12FE0">
        <w:rPr>
          <w:rFonts w:ascii="宋体" w:hAnsi="宋体"/>
          <w:color w:val="000000" w:themeColor="text1"/>
          <w:kern w:val="0"/>
          <w:szCs w:val="24"/>
        </w:rPr>
        <w:t>加速器已停机，屏蔽门处于关闭状态；</w:t>
      </w:r>
    </w:p>
    <w:p w14:paraId="688A8FE2" w14:textId="77777777" w:rsidR="00A67F21" w:rsidRPr="00B12FE0" w:rsidRDefault="00000000">
      <w:pPr>
        <w:adjustRightInd w:val="0"/>
        <w:snapToGrid w:val="0"/>
        <w:spacing w:line="360" w:lineRule="auto"/>
        <w:ind w:firstLine="480"/>
        <w:rPr>
          <w:color w:val="000000" w:themeColor="text1"/>
          <w:kern w:val="0"/>
          <w:szCs w:val="24"/>
        </w:rPr>
      </w:pPr>
      <w:r w:rsidRPr="00B12FE0">
        <w:rPr>
          <w:rFonts w:ascii="宋体" w:hAnsi="宋体"/>
          <w:color w:val="000000" w:themeColor="text1"/>
          <w:kern w:val="0"/>
          <w:szCs w:val="24"/>
        </w:rPr>
        <w:t>（</w:t>
      </w:r>
      <w:r w:rsidRPr="00B12FE0">
        <w:rPr>
          <w:color w:val="000000" w:themeColor="text1"/>
          <w:kern w:val="0"/>
          <w:szCs w:val="24"/>
        </w:rPr>
        <w:t>d</w:t>
      </w:r>
      <w:r w:rsidRPr="00B12FE0">
        <w:rPr>
          <w:rFonts w:ascii="宋体" w:hAnsi="宋体"/>
          <w:color w:val="000000" w:themeColor="text1"/>
          <w:kern w:val="0"/>
          <w:szCs w:val="24"/>
        </w:rPr>
        <w:t>）电离辐射警告标志：回旋加速器机房入口醒目位置设置电离辐射警告标志；</w:t>
      </w:r>
    </w:p>
    <w:p w14:paraId="26BED14E" w14:textId="77777777" w:rsidR="00A67F21" w:rsidRPr="00B12FE0" w:rsidRDefault="00000000">
      <w:pPr>
        <w:adjustRightInd w:val="0"/>
        <w:snapToGrid w:val="0"/>
        <w:spacing w:line="360" w:lineRule="auto"/>
        <w:ind w:firstLine="480"/>
        <w:rPr>
          <w:color w:val="000000" w:themeColor="text1"/>
          <w:kern w:val="0"/>
          <w:szCs w:val="24"/>
        </w:rPr>
      </w:pPr>
      <w:r w:rsidRPr="00B12FE0">
        <w:rPr>
          <w:rFonts w:ascii="宋体" w:hAnsi="宋体"/>
          <w:color w:val="000000" w:themeColor="text1"/>
          <w:szCs w:val="24"/>
        </w:rPr>
        <w:t>（</w:t>
      </w:r>
      <w:r w:rsidRPr="00B12FE0">
        <w:rPr>
          <w:color w:val="000000" w:themeColor="text1"/>
          <w:szCs w:val="24"/>
        </w:rPr>
        <w:t>e</w:t>
      </w:r>
      <w:r w:rsidRPr="00B12FE0">
        <w:rPr>
          <w:rFonts w:ascii="宋体" w:hAnsi="宋体"/>
          <w:color w:val="000000" w:themeColor="text1"/>
          <w:szCs w:val="24"/>
        </w:rPr>
        <w:t>）开</w:t>
      </w:r>
      <w:r w:rsidRPr="00B12FE0">
        <w:rPr>
          <w:rFonts w:ascii="宋体" w:hAnsi="宋体"/>
          <w:color w:val="000000" w:themeColor="text1"/>
          <w:kern w:val="0"/>
          <w:szCs w:val="24"/>
        </w:rPr>
        <w:t>门开关：加速器机房入口门内侧靠近防护门处设置</w:t>
      </w:r>
      <w:r w:rsidRPr="00B12FE0">
        <w:rPr>
          <w:color w:val="000000" w:themeColor="text1"/>
          <w:kern w:val="0"/>
          <w:szCs w:val="24"/>
        </w:rPr>
        <w:t>1</w:t>
      </w:r>
      <w:r w:rsidRPr="00B12FE0">
        <w:rPr>
          <w:rFonts w:ascii="宋体" w:hAnsi="宋体"/>
          <w:color w:val="000000" w:themeColor="text1"/>
          <w:kern w:val="0"/>
          <w:szCs w:val="24"/>
        </w:rPr>
        <w:t>个开门开关，</w:t>
      </w:r>
      <w:proofErr w:type="gramStart"/>
      <w:r w:rsidRPr="00B12FE0">
        <w:rPr>
          <w:rFonts w:ascii="宋体" w:hAnsi="宋体"/>
          <w:color w:val="000000" w:themeColor="text1"/>
          <w:kern w:val="0"/>
          <w:szCs w:val="24"/>
        </w:rPr>
        <w:t>当人员</w:t>
      </w:r>
      <w:proofErr w:type="gramEnd"/>
      <w:r w:rsidRPr="00B12FE0">
        <w:rPr>
          <w:rFonts w:ascii="宋体" w:hAnsi="宋体"/>
          <w:color w:val="000000" w:themeColor="text1"/>
          <w:kern w:val="0"/>
          <w:szCs w:val="24"/>
        </w:rPr>
        <w:t>被关在机房内紧急情况下按下开关，可实现防护门从内部打开，同时加速器停止出束</w:t>
      </w:r>
      <w:r w:rsidRPr="00B12FE0">
        <w:rPr>
          <w:rFonts w:ascii="宋体" w:hAnsi="宋体"/>
          <w:color w:val="000000" w:themeColor="text1"/>
          <w:szCs w:val="24"/>
        </w:rPr>
        <w:t>；</w:t>
      </w:r>
    </w:p>
    <w:p w14:paraId="01706F03"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w:t>
      </w:r>
      <w:r w:rsidRPr="00B12FE0">
        <w:rPr>
          <w:color w:val="000000" w:themeColor="text1"/>
          <w:szCs w:val="24"/>
        </w:rPr>
        <w:t>f</w:t>
      </w:r>
      <w:r w:rsidRPr="00B12FE0">
        <w:rPr>
          <w:rFonts w:ascii="宋体" w:hAnsi="宋体"/>
          <w:color w:val="000000" w:themeColor="text1"/>
          <w:szCs w:val="24"/>
        </w:rPr>
        <w:t>）急停开关：加速器室四侧墙体、进出口、控制台操作台合适位置上各设置</w:t>
      </w:r>
      <w:r w:rsidRPr="00B12FE0">
        <w:rPr>
          <w:color w:val="000000" w:themeColor="text1"/>
          <w:szCs w:val="24"/>
        </w:rPr>
        <w:t>1</w:t>
      </w:r>
      <w:r w:rsidRPr="00B12FE0">
        <w:rPr>
          <w:rFonts w:ascii="宋体" w:hAnsi="宋体"/>
          <w:color w:val="000000" w:themeColor="text1"/>
          <w:szCs w:val="24"/>
        </w:rPr>
        <w:t>个急停开关，人员滞留在机房内时就可以按下开关，实现加速器停止出束；</w:t>
      </w:r>
    </w:p>
    <w:p w14:paraId="515F791E"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w:t>
      </w:r>
      <w:r w:rsidRPr="00B12FE0">
        <w:rPr>
          <w:color w:val="000000" w:themeColor="text1"/>
          <w:szCs w:val="24"/>
        </w:rPr>
        <w:t>g</w:t>
      </w:r>
      <w:r w:rsidRPr="00B12FE0">
        <w:rPr>
          <w:rFonts w:ascii="宋体" w:hAnsi="宋体"/>
          <w:color w:val="000000" w:themeColor="text1"/>
          <w:szCs w:val="24"/>
        </w:rPr>
        <w:t>）固定式辐射监测报警仪</w:t>
      </w:r>
      <w:r w:rsidRPr="00B12FE0">
        <w:rPr>
          <w:rFonts w:ascii="宋体" w:hAnsi="宋体"/>
          <w:color w:val="000000" w:themeColor="text1"/>
          <w:kern w:val="0"/>
          <w:szCs w:val="24"/>
        </w:rPr>
        <w:t>：</w:t>
      </w:r>
      <w:r w:rsidRPr="00B12FE0">
        <w:rPr>
          <w:rFonts w:ascii="宋体" w:hAnsi="宋体"/>
          <w:color w:val="000000" w:themeColor="text1"/>
          <w:szCs w:val="24"/>
        </w:rPr>
        <w:t>回旋加速器机房内设置固定式辐射监测报警仪（</w:t>
      </w:r>
      <w:r w:rsidRPr="00B12FE0">
        <w:rPr>
          <w:color w:val="000000" w:themeColor="text1"/>
          <w:szCs w:val="24"/>
        </w:rPr>
        <w:t>γ</w:t>
      </w:r>
      <w:r w:rsidRPr="00B12FE0">
        <w:rPr>
          <w:rFonts w:ascii="宋体" w:hAnsi="宋体"/>
          <w:color w:val="000000" w:themeColor="text1"/>
          <w:szCs w:val="24"/>
        </w:rPr>
        <w:t>剂量和中子剂量各一个），当探测到剂量率超过设置阈值时，则有声光报警，人员马上撤离。</w:t>
      </w:r>
      <w:r w:rsidRPr="00B12FE0">
        <w:rPr>
          <w:rFonts w:ascii="宋体" w:hAnsi="宋体" w:hint="eastAsia"/>
          <w:color w:val="000000" w:themeColor="text1"/>
          <w:szCs w:val="24"/>
        </w:rPr>
        <w:t>另外，工作人员进入机房内还需佩戴个人剂量报警仪。</w:t>
      </w:r>
    </w:p>
    <w:p w14:paraId="56B64220"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lastRenderedPageBreak/>
        <w:t>（</w:t>
      </w:r>
      <w:r w:rsidRPr="00B12FE0">
        <w:rPr>
          <w:color w:val="000000" w:themeColor="text1"/>
          <w:szCs w:val="24"/>
        </w:rPr>
        <w:t>h</w:t>
      </w:r>
      <w:r w:rsidRPr="00B12FE0">
        <w:rPr>
          <w:rFonts w:ascii="宋体" w:hAnsi="宋体"/>
          <w:color w:val="000000" w:themeColor="text1"/>
          <w:szCs w:val="24"/>
        </w:rPr>
        <w:t>）视频监控：加速器机房内拟安装视频监控，监视器设置于控制室内，工作人员可及时掌握回旋加速器机房内部情况。</w:t>
      </w:r>
    </w:p>
    <w:p w14:paraId="29139CD8"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w:t>
      </w:r>
      <w:proofErr w:type="spellStart"/>
      <w:r w:rsidRPr="00B12FE0">
        <w:rPr>
          <w:rFonts w:hint="eastAsia"/>
          <w:color w:val="000000" w:themeColor="text1"/>
          <w:szCs w:val="24"/>
        </w:rPr>
        <w:t>i</w:t>
      </w:r>
      <w:proofErr w:type="spellEnd"/>
      <w:r w:rsidRPr="00B12FE0">
        <w:rPr>
          <w:rFonts w:ascii="宋体" w:hAnsi="宋体"/>
          <w:color w:val="000000" w:themeColor="text1"/>
          <w:szCs w:val="24"/>
        </w:rPr>
        <w:t>）</w:t>
      </w:r>
      <w:r w:rsidRPr="00B12FE0">
        <w:rPr>
          <w:rFonts w:ascii="宋体" w:hAnsi="宋体" w:hint="eastAsia"/>
          <w:color w:val="000000" w:themeColor="text1"/>
          <w:szCs w:val="24"/>
        </w:rPr>
        <w:t>回旋加速器机房内应装备应急对外通讯设施。</w:t>
      </w:r>
    </w:p>
    <w:p w14:paraId="7074CE6D"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w:t>
      </w:r>
      <w:r w:rsidRPr="00B12FE0">
        <w:rPr>
          <w:rFonts w:hint="eastAsia"/>
          <w:color w:val="000000" w:themeColor="text1"/>
          <w:szCs w:val="24"/>
        </w:rPr>
        <w:t>j</w:t>
      </w:r>
      <w:r w:rsidRPr="00B12FE0">
        <w:rPr>
          <w:rFonts w:ascii="宋体" w:hAnsi="宋体"/>
          <w:color w:val="000000" w:themeColor="text1"/>
          <w:szCs w:val="24"/>
        </w:rPr>
        <w:t>）</w:t>
      </w:r>
      <w:r w:rsidRPr="00B12FE0">
        <w:rPr>
          <w:rFonts w:ascii="宋体" w:hAnsi="宋体" w:hint="eastAsia"/>
          <w:color w:val="000000" w:themeColor="text1"/>
          <w:szCs w:val="24"/>
        </w:rPr>
        <w:t>回旋加速器机房的建造应避免采用富含铁矿物质的混凝土，避免混凝土中采用重晶石或铁作为骨料。本项目采用自屏蔽的回旋加速器，加速器机房防护门为</w:t>
      </w:r>
      <w:r w:rsidRPr="00B12FE0">
        <w:rPr>
          <w:rFonts w:ascii="宋体" w:hAnsi="宋体"/>
          <w:color w:val="000000" w:themeColor="text1"/>
          <w:szCs w:val="24"/>
        </w:rPr>
        <w:t>含硼聚乙烯</w:t>
      </w:r>
      <w:r w:rsidRPr="00B12FE0">
        <w:rPr>
          <w:rFonts w:ascii="宋体" w:hAnsi="宋体" w:hint="eastAsia"/>
          <w:color w:val="000000" w:themeColor="text1"/>
          <w:szCs w:val="24"/>
        </w:rPr>
        <w:t>（中子防护）的铅门。</w:t>
      </w:r>
    </w:p>
    <w:p w14:paraId="4C202222"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w:t>
      </w:r>
      <w:r w:rsidRPr="00B12FE0">
        <w:rPr>
          <w:rFonts w:hint="eastAsia"/>
          <w:color w:val="000000" w:themeColor="text1"/>
          <w:szCs w:val="24"/>
        </w:rPr>
        <w:t>k</w:t>
      </w:r>
      <w:r w:rsidRPr="00B12FE0">
        <w:rPr>
          <w:rFonts w:ascii="宋体" w:hAnsi="宋体"/>
          <w:color w:val="000000" w:themeColor="text1"/>
          <w:szCs w:val="24"/>
        </w:rPr>
        <w:t>）管线穿墙：</w:t>
      </w:r>
    </w:p>
    <w:p w14:paraId="07CA59FB" w14:textId="77777777" w:rsidR="00A67F21" w:rsidRPr="00B12FE0" w:rsidRDefault="00000000">
      <w:pPr>
        <w:adjustRightInd w:val="0"/>
        <w:snapToGrid w:val="0"/>
        <w:spacing w:line="360" w:lineRule="auto"/>
        <w:ind w:firstLine="480"/>
        <w:rPr>
          <w:color w:val="000000" w:themeColor="text1"/>
          <w:sz w:val="21"/>
          <w:szCs w:val="21"/>
        </w:rPr>
      </w:pPr>
      <w:r w:rsidRPr="00B12FE0">
        <w:rPr>
          <w:rFonts w:ascii="宋体" w:hAnsi="宋体"/>
          <w:color w:val="000000" w:themeColor="text1"/>
          <w:szCs w:val="24"/>
        </w:rPr>
        <w:t>电缆：回旋加速器机房电缆采用耐辐射电缆，机房内电缆以地沟形式布设在地坪以下，电缆沟穿越防护</w:t>
      </w:r>
      <w:proofErr w:type="gramStart"/>
      <w:r w:rsidRPr="00B12FE0">
        <w:rPr>
          <w:rFonts w:ascii="宋体" w:hAnsi="宋体"/>
          <w:color w:val="000000" w:themeColor="text1"/>
          <w:szCs w:val="24"/>
        </w:rPr>
        <w:t>墙采用</w:t>
      </w:r>
      <w:proofErr w:type="gramEnd"/>
      <w:r w:rsidRPr="00B12FE0">
        <w:rPr>
          <w:rFonts w:ascii="宋体" w:hAnsi="宋体" w:hint="eastAsia"/>
          <w:color w:val="000000" w:themeColor="text1"/>
          <w:szCs w:val="24"/>
        </w:rPr>
        <w:t>地沟</w:t>
      </w:r>
      <w:r w:rsidRPr="00B12FE0">
        <w:rPr>
          <w:rFonts w:ascii="宋体" w:hAnsi="宋体"/>
          <w:color w:val="000000" w:themeColor="text1"/>
          <w:szCs w:val="24"/>
        </w:rPr>
        <w:t>穿越</w:t>
      </w:r>
      <w:r w:rsidRPr="00B12FE0">
        <w:rPr>
          <w:rFonts w:ascii="宋体" w:hAnsi="宋体" w:hint="eastAsia"/>
          <w:color w:val="000000" w:themeColor="text1"/>
          <w:szCs w:val="24"/>
        </w:rPr>
        <w:t>东侧</w:t>
      </w:r>
      <w:r w:rsidRPr="00B12FE0">
        <w:rPr>
          <w:rFonts w:ascii="宋体" w:hAnsi="宋体"/>
          <w:color w:val="000000" w:themeColor="text1"/>
          <w:szCs w:val="24"/>
        </w:rPr>
        <w:t>墙体</w:t>
      </w:r>
      <w:r w:rsidRPr="00B12FE0">
        <w:rPr>
          <w:rFonts w:ascii="宋体" w:hAnsi="宋体" w:hint="eastAsia"/>
          <w:color w:val="000000" w:themeColor="text1"/>
          <w:szCs w:val="24"/>
        </w:rPr>
        <w:t>至维修区</w:t>
      </w:r>
      <w:r w:rsidRPr="00B12FE0">
        <w:rPr>
          <w:rFonts w:ascii="宋体" w:hAnsi="宋体"/>
          <w:color w:val="000000" w:themeColor="text1"/>
          <w:szCs w:val="24"/>
        </w:rPr>
        <w:t>。</w:t>
      </w:r>
      <w:r w:rsidRPr="00B12FE0">
        <w:rPr>
          <w:rFonts w:ascii="宋体" w:hAnsi="宋体" w:hint="eastAsia"/>
          <w:color w:val="000000" w:themeColor="text1"/>
          <w:szCs w:val="24"/>
        </w:rPr>
        <w:t>在地沟中水沟和电缆沟应分开。</w:t>
      </w:r>
    </w:p>
    <w:p w14:paraId="78EAADAC"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hint="eastAsia"/>
          <w:color w:val="000000" w:themeColor="text1"/>
          <w:szCs w:val="24"/>
        </w:rPr>
        <w:t>排风管线：风管从回旋机房南侧防护门上方的墙体穿出机房后经过水冷间，由水冷间东侧门上方墙体穿出后由风机抽至肿瘤治疗中心综合楼楼顶高出屋脊排放；热室房间排风管内设置止回阀，防止气流倒灌。</w:t>
      </w:r>
    </w:p>
    <w:p w14:paraId="5E15A83A" w14:textId="77777777" w:rsidR="00A67F21" w:rsidRPr="00B12FE0" w:rsidRDefault="00000000">
      <w:pPr>
        <w:adjustRightInd w:val="0"/>
        <w:snapToGrid w:val="0"/>
        <w:spacing w:line="360" w:lineRule="auto"/>
        <w:ind w:firstLine="480"/>
        <w:rPr>
          <w:color w:val="000000" w:themeColor="text1"/>
          <w:sz w:val="21"/>
          <w:szCs w:val="21"/>
        </w:rPr>
      </w:pPr>
      <w:r w:rsidRPr="00B12FE0">
        <w:rPr>
          <w:rFonts w:ascii="宋体" w:hAnsi="宋体" w:hint="eastAsia"/>
          <w:color w:val="000000" w:themeColor="text1"/>
          <w:szCs w:val="24"/>
        </w:rPr>
        <w:t>药物传输：</w:t>
      </w:r>
      <w:r w:rsidRPr="00B12FE0">
        <w:rPr>
          <w:rFonts w:ascii="宋体" w:hAnsi="宋体"/>
          <w:color w:val="000000" w:themeColor="text1"/>
          <w:szCs w:val="24"/>
        </w:rPr>
        <w:t>回旋加速器与</w:t>
      </w:r>
      <w:r w:rsidRPr="00B12FE0">
        <w:rPr>
          <w:rFonts w:ascii="宋体" w:hAnsi="宋体" w:hint="eastAsia"/>
          <w:color w:val="000000" w:themeColor="text1"/>
          <w:szCs w:val="24"/>
        </w:rPr>
        <w:t>热室房间</w:t>
      </w:r>
      <w:r w:rsidRPr="00B12FE0">
        <w:rPr>
          <w:rFonts w:ascii="宋体" w:hAnsi="宋体"/>
          <w:color w:val="000000" w:themeColor="text1"/>
          <w:szCs w:val="24"/>
        </w:rPr>
        <w:t>之间</w:t>
      </w:r>
      <w:r w:rsidRPr="00B12FE0">
        <w:rPr>
          <w:rFonts w:ascii="宋体" w:hAnsi="宋体" w:hint="eastAsia"/>
          <w:color w:val="000000" w:themeColor="text1"/>
          <w:szCs w:val="24"/>
        </w:rPr>
        <w:t>设置有</w:t>
      </w:r>
      <w:r w:rsidRPr="00B12FE0">
        <w:rPr>
          <w:rFonts w:hint="eastAsia"/>
          <w:color w:val="000000" w:themeColor="text1"/>
          <w:szCs w:val="24"/>
        </w:rPr>
        <w:t>3</w:t>
      </w:r>
      <w:r w:rsidRPr="00B12FE0">
        <w:rPr>
          <w:rFonts w:ascii="宋体" w:hAnsi="宋体" w:hint="eastAsia"/>
          <w:color w:val="000000" w:themeColor="text1"/>
          <w:szCs w:val="24"/>
        </w:rPr>
        <w:t>根药物传输管道（同位素传输铅砖地沟），核素传输管道穿过墙后至热室房间。回旋加速器机房内传输管道均为预埋式，并在预埋管道上方铺盖</w:t>
      </w:r>
      <w:r w:rsidRPr="00B12FE0">
        <w:rPr>
          <w:rFonts w:hint="eastAsia"/>
          <w:color w:val="000000" w:themeColor="text1"/>
          <w:szCs w:val="24"/>
        </w:rPr>
        <w:t>20mm</w:t>
      </w:r>
      <w:r w:rsidRPr="00B12FE0">
        <w:rPr>
          <w:rFonts w:ascii="宋体" w:hAnsi="宋体" w:hint="eastAsia"/>
          <w:color w:val="000000" w:themeColor="text1"/>
          <w:szCs w:val="24"/>
        </w:rPr>
        <w:t>铅砖</w:t>
      </w:r>
      <w:r w:rsidRPr="00B12FE0">
        <w:rPr>
          <w:rFonts w:ascii="宋体" w:hAnsi="宋体"/>
          <w:color w:val="000000" w:themeColor="text1"/>
          <w:szCs w:val="24"/>
        </w:rPr>
        <w:t>。</w:t>
      </w:r>
    </w:p>
    <w:p w14:paraId="7FE3A5F0"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Cambria Math" w:hAnsi="Cambria Math" w:cs="Cambria Math"/>
          <w:color w:val="000000" w:themeColor="text1"/>
          <w:szCs w:val="24"/>
        </w:rPr>
        <w:t>②</w:t>
      </w:r>
      <w:r w:rsidRPr="00B12FE0">
        <w:rPr>
          <w:rFonts w:ascii="宋体" w:hAnsi="宋体"/>
          <w:color w:val="000000" w:themeColor="text1"/>
          <w:szCs w:val="24"/>
        </w:rPr>
        <w:t>热室工作场所安全设施</w:t>
      </w:r>
    </w:p>
    <w:p w14:paraId="5B61E577" w14:textId="77777777" w:rsidR="00A67F21" w:rsidRPr="00B12FE0" w:rsidRDefault="00000000">
      <w:pPr>
        <w:adjustRightInd w:val="0"/>
        <w:snapToGrid w:val="0"/>
        <w:spacing w:line="360" w:lineRule="auto"/>
        <w:ind w:firstLineChars="200" w:firstLine="480"/>
        <w:rPr>
          <w:color w:val="000000" w:themeColor="text1"/>
          <w:kern w:val="0"/>
          <w:szCs w:val="24"/>
        </w:rPr>
      </w:pPr>
      <w:r w:rsidRPr="00B12FE0">
        <w:rPr>
          <w:rFonts w:ascii="宋体" w:hAnsi="宋体"/>
          <w:color w:val="000000" w:themeColor="text1"/>
          <w:kern w:val="0"/>
          <w:szCs w:val="24"/>
        </w:rPr>
        <w:t>（</w:t>
      </w:r>
      <w:r w:rsidRPr="00B12FE0">
        <w:rPr>
          <w:color w:val="000000" w:themeColor="text1"/>
          <w:kern w:val="0"/>
          <w:szCs w:val="24"/>
        </w:rPr>
        <w:t>a</w:t>
      </w:r>
      <w:r w:rsidRPr="00B12FE0">
        <w:rPr>
          <w:rFonts w:ascii="宋体" w:hAnsi="宋体"/>
          <w:color w:val="000000" w:themeColor="text1"/>
          <w:kern w:val="0"/>
          <w:szCs w:val="24"/>
        </w:rPr>
        <w:t>）电离辐射警告标志：</w:t>
      </w:r>
      <w:r w:rsidRPr="00B12FE0">
        <w:rPr>
          <w:rFonts w:ascii="宋体" w:hAnsi="宋体"/>
          <w:color w:val="000000" w:themeColor="text1"/>
          <w:szCs w:val="24"/>
        </w:rPr>
        <w:t>热室</w:t>
      </w:r>
      <w:r w:rsidRPr="00B12FE0">
        <w:rPr>
          <w:rFonts w:ascii="宋体" w:hAnsi="宋体" w:hint="eastAsia"/>
          <w:color w:val="000000" w:themeColor="text1"/>
          <w:szCs w:val="24"/>
        </w:rPr>
        <w:t>房间</w:t>
      </w:r>
      <w:r w:rsidRPr="00B12FE0">
        <w:rPr>
          <w:rFonts w:ascii="宋体" w:hAnsi="宋体"/>
          <w:color w:val="000000" w:themeColor="text1"/>
          <w:kern w:val="0"/>
          <w:szCs w:val="24"/>
        </w:rPr>
        <w:t>入口醒目位置设置电离辐射警告标志；</w:t>
      </w:r>
    </w:p>
    <w:p w14:paraId="55ACFB0B" w14:textId="77777777" w:rsidR="00A67F21" w:rsidRPr="00B12FE0" w:rsidRDefault="00000000">
      <w:pPr>
        <w:adjustRightInd w:val="0"/>
        <w:snapToGrid w:val="0"/>
        <w:spacing w:line="360" w:lineRule="auto"/>
        <w:ind w:firstLineChars="200" w:firstLine="480"/>
        <w:rPr>
          <w:color w:val="000000" w:themeColor="text1"/>
          <w:kern w:val="0"/>
          <w:szCs w:val="24"/>
        </w:rPr>
      </w:pPr>
      <w:r w:rsidRPr="00B12FE0">
        <w:rPr>
          <w:rFonts w:ascii="宋体" w:hAnsi="宋体"/>
          <w:color w:val="000000" w:themeColor="text1"/>
          <w:kern w:val="0"/>
          <w:szCs w:val="24"/>
        </w:rPr>
        <w:t>（</w:t>
      </w:r>
      <w:r w:rsidRPr="00B12FE0">
        <w:rPr>
          <w:color w:val="000000" w:themeColor="text1"/>
          <w:kern w:val="0"/>
          <w:szCs w:val="24"/>
        </w:rPr>
        <w:t>b</w:t>
      </w:r>
      <w:r w:rsidRPr="00B12FE0">
        <w:rPr>
          <w:rFonts w:ascii="宋体" w:hAnsi="宋体"/>
          <w:color w:val="000000" w:themeColor="text1"/>
          <w:kern w:val="0"/>
          <w:szCs w:val="24"/>
        </w:rPr>
        <w:t>）当加速器制备出核素之后，放射性核素传输之前，</w:t>
      </w:r>
      <w:r w:rsidRPr="00B12FE0">
        <w:rPr>
          <w:rFonts w:ascii="宋体" w:hAnsi="宋体" w:hint="eastAsia"/>
          <w:color w:val="000000" w:themeColor="text1"/>
          <w:kern w:val="0"/>
          <w:szCs w:val="24"/>
        </w:rPr>
        <w:t>合成</w:t>
      </w:r>
      <w:r w:rsidRPr="00B12FE0">
        <w:rPr>
          <w:rFonts w:ascii="宋体" w:hAnsi="宋体"/>
          <w:color w:val="000000" w:themeColor="text1"/>
          <w:kern w:val="0"/>
          <w:szCs w:val="24"/>
        </w:rPr>
        <w:t>设备将根据程序设定，自动检测</w:t>
      </w:r>
      <w:r w:rsidRPr="00B12FE0">
        <w:rPr>
          <w:rFonts w:ascii="宋体" w:hAnsi="宋体" w:hint="eastAsia"/>
          <w:color w:val="000000" w:themeColor="text1"/>
          <w:kern w:val="0"/>
          <w:szCs w:val="24"/>
        </w:rPr>
        <w:t>热室房间</w:t>
      </w:r>
      <w:r w:rsidRPr="00B12FE0">
        <w:rPr>
          <w:rFonts w:ascii="宋体" w:hAnsi="宋体"/>
          <w:color w:val="000000" w:themeColor="text1"/>
          <w:kern w:val="0"/>
          <w:szCs w:val="24"/>
        </w:rPr>
        <w:t>的门是否已经关闭，</w:t>
      </w:r>
      <w:r w:rsidRPr="00B12FE0">
        <w:rPr>
          <w:rFonts w:ascii="宋体" w:hAnsi="宋体" w:hint="eastAsia"/>
          <w:color w:val="000000" w:themeColor="text1"/>
          <w:kern w:val="0"/>
          <w:szCs w:val="24"/>
        </w:rPr>
        <w:t>热室房间</w:t>
      </w:r>
      <w:r w:rsidRPr="00B12FE0">
        <w:rPr>
          <w:rFonts w:ascii="宋体" w:hAnsi="宋体"/>
          <w:color w:val="000000" w:themeColor="text1"/>
          <w:kern w:val="0"/>
          <w:szCs w:val="24"/>
        </w:rPr>
        <w:t>里面的压力是否满足负压要求；只有这两项条件均满足的情况下，放射性核素才能通过管道进行传送，同时在控制室内操作台上有相应的核素传输工作状态指示灯；</w:t>
      </w:r>
    </w:p>
    <w:p w14:paraId="6827B5A7" w14:textId="77777777" w:rsidR="00A67F21" w:rsidRPr="00B12FE0" w:rsidRDefault="00000000">
      <w:pPr>
        <w:adjustRightInd w:val="0"/>
        <w:snapToGrid w:val="0"/>
        <w:spacing w:line="360" w:lineRule="auto"/>
        <w:ind w:firstLineChars="200" w:firstLine="480"/>
        <w:rPr>
          <w:color w:val="000000" w:themeColor="text1"/>
          <w:kern w:val="0"/>
          <w:szCs w:val="24"/>
        </w:rPr>
      </w:pPr>
      <w:r w:rsidRPr="00B12FE0">
        <w:rPr>
          <w:rFonts w:ascii="宋体" w:hAnsi="宋体"/>
          <w:color w:val="000000" w:themeColor="text1"/>
          <w:kern w:val="0"/>
          <w:szCs w:val="24"/>
        </w:rPr>
        <w:t>（</w:t>
      </w:r>
      <w:r w:rsidRPr="00B12FE0">
        <w:rPr>
          <w:color w:val="000000" w:themeColor="text1"/>
          <w:kern w:val="0"/>
          <w:szCs w:val="24"/>
        </w:rPr>
        <w:t>c</w:t>
      </w:r>
      <w:r w:rsidRPr="00B12FE0">
        <w:rPr>
          <w:rFonts w:ascii="宋体" w:hAnsi="宋体"/>
          <w:color w:val="000000" w:themeColor="text1"/>
          <w:kern w:val="0"/>
          <w:szCs w:val="24"/>
        </w:rPr>
        <w:t>）</w:t>
      </w:r>
      <w:r w:rsidRPr="00B12FE0">
        <w:rPr>
          <w:rFonts w:ascii="宋体" w:hAnsi="宋体"/>
          <w:color w:val="000000" w:themeColor="text1"/>
          <w:szCs w:val="24"/>
        </w:rPr>
        <w:t>固定式</w:t>
      </w:r>
      <w:r w:rsidRPr="00B12FE0">
        <w:rPr>
          <w:rFonts w:ascii="宋体" w:hAnsi="宋体"/>
          <w:color w:val="000000" w:themeColor="text1"/>
          <w:kern w:val="0"/>
          <w:szCs w:val="24"/>
        </w:rPr>
        <w:t>剂量率报警仪：热室所在房间内安装</w:t>
      </w:r>
      <w:r w:rsidRPr="00B12FE0">
        <w:rPr>
          <w:rFonts w:ascii="宋体" w:hAnsi="宋体"/>
          <w:color w:val="000000" w:themeColor="text1"/>
          <w:szCs w:val="24"/>
        </w:rPr>
        <w:t>固定式剂量率仪</w:t>
      </w:r>
      <w:r w:rsidRPr="00B12FE0">
        <w:rPr>
          <w:rFonts w:ascii="宋体" w:hAnsi="宋体"/>
          <w:color w:val="000000" w:themeColor="text1"/>
          <w:kern w:val="0"/>
          <w:szCs w:val="24"/>
        </w:rPr>
        <w:t>，当探测到剂量率超过设置阈值时，则有声光报警，人员马上撤离。</w:t>
      </w:r>
    </w:p>
    <w:p w14:paraId="5670ADA5"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kern w:val="0"/>
          <w:szCs w:val="24"/>
        </w:rPr>
        <w:t>（</w:t>
      </w:r>
      <w:r w:rsidRPr="00B12FE0">
        <w:rPr>
          <w:color w:val="000000" w:themeColor="text1"/>
          <w:kern w:val="0"/>
          <w:szCs w:val="24"/>
        </w:rPr>
        <w:t>d</w:t>
      </w:r>
      <w:r w:rsidRPr="00B12FE0">
        <w:rPr>
          <w:rFonts w:ascii="宋体" w:hAnsi="宋体"/>
          <w:color w:val="000000" w:themeColor="text1"/>
          <w:kern w:val="0"/>
          <w:szCs w:val="24"/>
        </w:rPr>
        <w:t>）视频监控：</w:t>
      </w:r>
      <w:r w:rsidRPr="00B12FE0">
        <w:rPr>
          <w:rFonts w:ascii="宋体" w:hAnsi="宋体" w:hint="eastAsia"/>
          <w:color w:val="000000" w:themeColor="text1"/>
          <w:kern w:val="0"/>
          <w:szCs w:val="24"/>
        </w:rPr>
        <w:t>热室房间</w:t>
      </w:r>
      <w:r w:rsidRPr="00B12FE0">
        <w:rPr>
          <w:rFonts w:ascii="宋体" w:hAnsi="宋体"/>
          <w:color w:val="000000" w:themeColor="text1"/>
          <w:kern w:val="0"/>
          <w:szCs w:val="24"/>
        </w:rPr>
        <w:t>拟安装视频监控系统，</w:t>
      </w:r>
      <w:r w:rsidRPr="00B12FE0">
        <w:rPr>
          <w:rFonts w:ascii="宋体" w:hAnsi="宋体"/>
          <w:color w:val="000000" w:themeColor="text1"/>
          <w:szCs w:val="24"/>
        </w:rPr>
        <w:t>监视器设置于控制室内，工作人员可及时掌握</w:t>
      </w:r>
      <w:r w:rsidRPr="00B12FE0">
        <w:rPr>
          <w:rFonts w:ascii="宋体" w:hAnsi="宋体" w:hint="eastAsia"/>
          <w:color w:val="000000" w:themeColor="text1"/>
          <w:szCs w:val="24"/>
        </w:rPr>
        <w:t>热室房间</w:t>
      </w:r>
      <w:r w:rsidRPr="00B12FE0">
        <w:rPr>
          <w:rFonts w:ascii="宋体" w:hAnsi="宋体"/>
          <w:color w:val="000000" w:themeColor="text1"/>
          <w:szCs w:val="24"/>
        </w:rPr>
        <w:t>内部情况。</w:t>
      </w:r>
    </w:p>
    <w:p w14:paraId="3BC274F3"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Cambria Math" w:hAnsi="Cambria Math" w:cs="Cambria Math"/>
          <w:color w:val="000000" w:themeColor="text1"/>
          <w:szCs w:val="24"/>
        </w:rPr>
        <w:t>③</w:t>
      </w:r>
      <w:r w:rsidRPr="00B12FE0">
        <w:rPr>
          <w:rFonts w:ascii="Cambria Math" w:hAnsi="Cambria Math" w:cs="Cambria Math" w:hint="eastAsia"/>
          <w:color w:val="000000" w:themeColor="text1"/>
          <w:szCs w:val="24"/>
        </w:rPr>
        <w:t>放化实验室</w:t>
      </w:r>
      <w:r w:rsidRPr="00B12FE0">
        <w:rPr>
          <w:rFonts w:ascii="宋体" w:hAnsi="宋体"/>
          <w:color w:val="000000" w:themeColor="text1"/>
          <w:szCs w:val="24"/>
        </w:rPr>
        <w:t>工作场所安全设施</w:t>
      </w:r>
    </w:p>
    <w:p w14:paraId="2E0D583C"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hint="eastAsia"/>
          <w:color w:val="000000" w:themeColor="text1"/>
          <w:szCs w:val="24"/>
        </w:rPr>
        <w:t>（</w:t>
      </w:r>
      <w:r w:rsidRPr="00B12FE0">
        <w:rPr>
          <w:color w:val="000000" w:themeColor="text1"/>
          <w:szCs w:val="24"/>
        </w:rPr>
        <w:t>a</w:t>
      </w:r>
      <w:r w:rsidRPr="00B12FE0">
        <w:rPr>
          <w:rFonts w:ascii="宋体" w:hAnsi="宋体"/>
          <w:color w:val="000000" w:themeColor="text1"/>
          <w:szCs w:val="24"/>
        </w:rPr>
        <w:t>）</w:t>
      </w:r>
      <w:r w:rsidRPr="00B12FE0">
        <w:rPr>
          <w:rFonts w:ascii="Cambria Math" w:hAnsi="Cambria Math" w:cs="Cambria Math" w:hint="eastAsia"/>
          <w:color w:val="000000" w:themeColor="text1"/>
          <w:szCs w:val="24"/>
        </w:rPr>
        <w:t>放化实验室</w:t>
      </w:r>
      <w:r w:rsidRPr="00B12FE0">
        <w:rPr>
          <w:rFonts w:ascii="宋体" w:hAnsi="宋体"/>
          <w:color w:val="000000" w:themeColor="text1"/>
          <w:szCs w:val="24"/>
        </w:rPr>
        <w:t>防护门均设置电离辐射警告标志，</w:t>
      </w:r>
      <w:r w:rsidRPr="00B12FE0">
        <w:rPr>
          <w:rFonts w:ascii="Cambria Math" w:hAnsi="Cambria Math" w:cs="Cambria Math" w:hint="eastAsia"/>
          <w:color w:val="000000" w:themeColor="text1"/>
          <w:szCs w:val="24"/>
        </w:rPr>
        <w:t>放化实验室</w:t>
      </w:r>
      <w:r w:rsidRPr="00B12FE0">
        <w:rPr>
          <w:rFonts w:ascii="宋体" w:hAnsi="宋体"/>
          <w:color w:val="000000" w:themeColor="text1"/>
          <w:szCs w:val="24"/>
        </w:rPr>
        <w:t>通风橱、放射性废物铅桶和</w:t>
      </w:r>
      <w:proofErr w:type="gramStart"/>
      <w:r w:rsidRPr="00B12FE0">
        <w:rPr>
          <w:rFonts w:ascii="宋体" w:hAnsi="宋体"/>
          <w:color w:val="000000" w:themeColor="text1"/>
          <w:szCs w:val="24"/>
        </w:rPr>
        <w:t>废物间铅衰变</w:t>
      </w:r>
      <w:proofErr w:type="gramEnd"/>
      <w:r w:rsidRPr="00B12FE0">
        <w:rPr>
          <w:rFonts w:ascii="宋体" w:hAnsi="宋体"/>
          <w:color w:val="000000" w:themeColor="text1"/>
          <w:szCs w:val="24"/>
        </w:rPr>
        <w:t>箱等辐射设施同样设置电离辐射警告标志，入口处设置明显的监督区和控制区标识；</w:t>
      </w:r>
    </w:p>
    <w:p w14:paraId="50FEB3FD"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hint="eastAsia"/>
          <w:color w:val="000000" w:themeColor="text1"/>
          <w:szCs w:val="24"/>
        </w:rPr>
        <w:lastRenderedPageBreak/>
        <w:t>（</w:t>
      </w:r>
      <w:r w:rsidRPr="00B12FE0">
        <w:rPr>
          <w:color w:val="000000" w:themeColor="text1"/>
          <w:szCs w:val="24"/>
        </w:rPr>
        <w:t>b</w:t>
      </w:r>
      <w:r w:rsidRPr="00B12FE0">
        <w:rPr>
          <w:rFonts w:ascii="宋体" w:hAnsi="宋体"/>
          <w:color w:val="000000" w:themeColor="text1"/>
          <w:szCs w:val="24"/>
        </w:rPr>
        <w:t>）</w:t>
      </w:r>
      <w:r w:rsidRPr="00B12FE0">
        <w:rPr>
          <w:rFonts w:ascii="Cambria Math" w:hAnsi="Cambria Math" w:cs="Cambria Math" w:hint="eastAsia"/>
          <w:color w:val="000000" w:themeColor="text1"/>
          <w:szCs w:val="24"/>
        </w:rPr>
        <w:t>放化实验室</w:t>
      </w:r>
      <w:r w:rsidRPr="00B12FE0">
        <w:rPr>
          <w:rFonts w:ascii="宋体" w:hAnsi="宋体"/>
          <w:color w:val="000000" w:themeColor="text1"/>
          <w:szCs w:val="24"/>
        </w:rPr>
        <w:t>设置有通风橱，放射性药物的质检操作在通风橱内进行，通风橱通风速率不小于</w:t>
      </w:r>
      <w:r w:rsidRPr="00B12FE0">
        <w:rPr>
          <w:color w:val="000000" w:themeColor="text1"/>
          <w:szCs w:val="24"/>
        </w:rPr>
        <w:t>0.5m/s</w:t>
      </w:r>
      <w:r w:rsidRPr="00B12FE0">
        <w:rPr>
          <w:rFonts w:ascii="宋体" w:hAnsi="宋体"/>
          <w:color w:val="000000" w:themeColor="text1"/>
          <w:szCs w:val="24"/>
        </w:rPr>
        <w:t>；</w:t>
      </w:r>
      <w:r w:rsidRPr="00B12FE0">
        <w:rPr>
          <w:rFonts w:ascii="Cambria Math" w:hAnsi="Cambria Math" w:cs="Cambria Math" w:hint="eastAsia"/>
          <w:color w:val="000000" w:themeColor="text1"/>
          <w:szCs w:val="24"/>
        </w:rPr>
        <w:t>放化实验室</w:t>
      </w:r>
      <w:r w:rsidRPr="00B12FE0">
        <w:rPr>
          <w:rFonts w:ascii="宋体" w:hAnsi="宋体"/>
          <w:color w:val="000000" w:themeColor="text1"/>
          <w:szCs w:val="24"/>
        </w:rPr>
        <w:t>通风橱旁设置</w:t>
      </w:r>
      <w:r w:rsidRPr="00B12FE0">
        <w:rPr>
          <w:color w:val="000000" w:themeColor="text1"/>
          <w:szCs w:val="24"/>
        </w:rPr>
        <w:t>1</w:t>
      </w:r>
      <w:r w:rsidRPr="00B12FE0">
        <w:rPr>
          <w:rFonts w:ascii="宋体" w:hAnsi="宋体"/>
          <w:color w:val="000000" w:themeColor="text1"/>
          <w:szCs w:val="24"/>
        </w:rPr>
        <w:t>个铅桶，用于收集放射性</w:t>
      </w:r>
      <w:r w:rsidRPr="00B12FE0">
        <w:rPr>
          <w:rFonts w:ascii="宋体" w:hAnsi="宋体" w:hint="eastAsia"/>
          <w:color w:val="000000" w:themeColor="text1"/>
          <w:szCs w:val="24"/>
        </w:rPr>
        <w:t>固体废物</w:t>
      </w:r>
      <w:r w:rsidRPr="00B12FE0">
        <w:rPr>
          <w:rFonts w:ascii="宋体" w:hAnsi="宋体"/>
          <w:color w:val="000000" w:themeColor="text1"/>
          <w:szCs w:val="24"/>
        </w:rPr>
        <w:t>。</w:t>
      </w:r>
    </w:p>
    <w:p w14:paraId="564BC19B"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hint="eastAsia"/>
          <w:color w:val="000000" w:themeColor="text1"/>
          <w:szCs w:val="24"/>
        </w:rPr>
        <w:t>（</w:t>
      </w:r>
      <w:r w:rsidRPr="00B12FE0">
        <w:rPr>
          <w:rFonts w:hint="eastAsia"/>
          <w:color w:val="000000" w:themeColor="text1"/>
          <w:szCs w:val="24"/>
        </w:rPr>
        <w:t>c</w:t>
      </w:r>
      <w:r w:rsidRPr="00B12FE0">
        <w:rPr>
          <w:rFonts w:ascii="宋体" w:hAnsi="宋体" w:hint="eastAsia"/>
          <w:color w:val="000000" w:themeColor="text1"/>
          <w:szCs w:val="24"/>
        </w:rPr>
        <w:t>）</w:t>
      </w:r>
      <w:r w:rsidRPr="00B12FE0">
        <w:rPr>
          <w:rFonts w:ascii="宋体" w:hAnsi="宋体"/>
          <w:color w:val="000000" w:themeColor="text1"/>
          <w:szCs w:val="24"/>
        </w:rPr>
        <w:t>视频监控：</w:t>
      </w:r>
      <w:r w:rsidRPr="00B12FE0">
        <w:rPr>
          <w:rFonts w:ascii="Cambria Math" w:hAnsi="Cambria Math" w:cs="Cambria Math" w:hint="eastAsia"/>
          <w:color w:val="000000" w:themeColor="text1"/>
          <w:szCs w:val="24"/>
        </w:rPr>
        <w:t>放化实验室</w:t>
      </w:r>
      <w:r w:rsidRPr="00B12FE0">
        <w:rPr>
          <w:rFonts w:ascii="宋体" w:hAnsi="宋体" w:hint="eastAsia"/>
          <w:color w:val="000000" w:themeColor="text1"/>
          <w:szCs w:val="24"/>
        </w:rPr>
        <w:t>和核素制备场所各出入口</w:t>
      </w:r>
      <w:r w:rsidRPr="00B12FE0">
        <w:rPr>
          <w:rFonts w:ascii="宋体" w:hAnsi="宋体"/>
          <w:color w:val="000000" w:themeColor="text1"/>
          <w:szCs w:val="24"/>
        </w:rPr>
        <w:t>内拟安装视频监控，监视器设置于控制室内，工作人员可及时掌握质控室</w:t>
      </w:r>
      <w:r w:rsidRPr="00B12FE0">
        <w:rPr>
          <w:rFonts w:ascii="宋体" w:hAnsi="宋体" w:hint="eastAsia"/>
          <w:color w:val="000000" w:themeColor="text1"/>
          <w:szCs w:val="24"/>
        </w:rPr>
        <w:t>和核素制备场所</w:t>
      </w:r>
      <w:r w:rsidRPr="00B12FE0">
        <w:rPr>
          <w:rFonts w:ascii="宋体" w:hAnsi="宋体"/>
          <w:color w:val="000000" w:themeColor="text1"/>
          <w:szCs w:val="24"/>
        </w:rPr>
        <w:t>内部情况。</w:t>
      </w:r>
    </w:p>
    <w:p w14:paraId="334F4933" w14:textId="77777777" w:rsidR="00A67F21" w:rsidRPr="00B12FE0" w:rsidRDefault="00000000">
      <w:pPr>
        <w:adjustRightInd w:val="0"/>
        <w:snapToGrid w:val="0"/>
        <w:spacing w:line="360" w:lineRule="auto"/>
        <w:ind w:firstLineChars="200" w:firstLine="482"/>
        <w:rPr>
          <w:b/>
          <w:color w:val="000000" w:themeColor="text1"/>
          <w:szCs w:val="24"/>
        </w:rPr>
      </w:pPr>
      <w:r w:rsidRPr="00B12FE0">
        <w:rPr>
          <w:rFonts w:ascii="宋体" w:hAnsi="宋体"/>
          <w:b/>
          <w:iCs/>
          <w:color w:val="000000" w:themeColor="text1"/>
          <w:szCs w:val="24"/>
        </w:rPr>
        <w:t>（</w:t>
      </w:r>
      <w:r w:rsidRPr="00B12FE0">
        <w:rPr>
          <w:b/>
          <w:iCs/>
          <w:color w:val="000000" w:themeColor="text1"/>
          <w:szCs w:val="24"/>
        </w:rPr>
        <w:t>2</w:t>
      </w:r>
      <w:r w:rsidRPr="00B12FE0">
        <w:rPr>
          <w:rFonts w:ascii="宋体" w:hAnsi="宋体"/>
          <w:b/>
          <w:iCs/>
          <w:color w:val="000000" w:themeColor="text1"/>
          <w:szCs w:val="24"/>
        </w:rPr>
        <w:t>）核医学科</w:t>
      </w:r>
      <w:r w:rsidRPr="00B12FE0">
        <w:rPr>
          <w:rFonts w:ascii="宋体" w:hAnsi="宋体" w:hint="eastAsia"/>
          <w:b/>
          <w:iCs/>
          <w:color w:val="000000" w:themeColor="text1"/>
          <w:szCs w:val="24"/>
        </w:rPr>
        <w:t>核素诊断场所、核素治疗场所</w:t>
      </w:r>
      <w:r w:rsidRPr="00B12FE0">
        <w:rPr>
          <w:rFonts w:ascii="宋体" w:hAnsi="宋体"/>
          <w:b/>
          <w:bCs/>
          <w:color w:val="000000" w:themeColor="text1"/>
          <w:szCs w:val="24"/>
        </w:rPr>
        <w:t>辐射安全防护措施</w:t>
      </w:r>
    </w:p>
    <w:p w14:paraId="03B806F8"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1</w:t>
      </w:r>
      <w:r w:rsidRPr="00B12FE0">
        <w:rPr>
          <w:rFonts w:ascii="宋体" w:hAnsi="宋体"/>
          <w:color w:val="000000" w:themeColor="text1"/>
          <w:szCs w:val="24"/>
        </w:rPr>
        <w:t>）辐射安全设施</w:t>
      </w:r>
    </w:p>
    <w:p w14:paraId="45EFF89D" w14:textId="77777777" w:rsidR="00A67F21" w:rsidRPr="00B12FE0" w:rsidRDefault="00000000">
      <w:pPr>
        <w:autoSpaceDE w:val="0"/>
        <w:autoSpaceDN w:val="0"/>
        <w:adjustRightInd w:val="0"/>
        <w:snapToGri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①</w:t>
      </w:r>
      <w:r w:rsidRPr="00B12FE0">
        <w:rPr>
          <w:rFonts w:ascii="宋体" w:hAnsi="宋体" w:hint="eastAsia"/>
          <w:color w:val="000000" w:themeColor="text1"/>
          <w:szCs w:val="24"/>
        </w:rPr>
        <w:t>高活室</w:t>
      </w:r>
      <w:r w:rsidRPr="00B12FE0">
        <w:rPr>
          <w:rFonts w:ascii="宋体" w:hAnsi="宋体"/>
          <w:color w:val="000000" w:themeColor="text1"/>
          <w:szCs w:val="24"/>
        </w:rPr>
        <w:t>、废物间、</w:t>
      </w:r>
      <w:r w:rsidRPr="00B12FE0">
        <w:rPr>
          <w:color w:val="000000" w:themeColor="text1"/>
          <w:szCs w:val="24"/>
        </w:rPr>
        <w:t>PET/CT</w:t>
      </w:r>
      <w:r w:rsidRPr="00B12FE0">
        <w:rPr>
          <w:rFonts w:ascii="宋体" w:hAnsi="宋体"/>
          <w:color w:val="000000" w:themeColor="text1"/>
          <w:szCs w:val="24"/>
        </w:rPr>
        <w:t>机房、</w:t>
      </w:r>
      <w:r w:rsidRPr="00B12FE0">
        <w:rPr>
          <w:color w:val="000000" w:themeColor="text1"/>
          <w:szCs w:val="24"/>
        </w:rPr>
        <w:t>SPECT/CT</w:t>
      </w:r>
      <w:r w:rsidRPr="00B12FE0">
        <w:rPr>
          <w:rFonts w:ascii="宋体" w:hAnsi="宋体"/>
          <w:color w:val="000000" w:themeColor="text1"/>
          <w:szCs w:val="24"/>
        </w:rPr>
        <w:t>机房防护门均设置电离辐射警告标志，</w:t>
      </w:r>
      <w:r w:rsidRPr="00B12FE0">
        <w:rPr>
          <w:rFonts w:ascii="宋体" w:hAnsi="宋体" w:hint="eastAsia"/>
          <w:color w:val="000000" w:themeColor="text1"/>
          <w:szCs w:val="24"/>
        </w:rPr>
        <w:t>高活室</w:t>
      </w:r>
      <w:r w:rsidRPr="00B12FE0">
        <w:rPr>
          <w:rFonts w:ascii="宋体" w:hAnsi="宋体"/>
          <w:color w:val="000000" w:themeColor="text1"/>
          <w:szCs w:val="24"/>
        </w:rPr>
        <w:t>内手套箱、放射性废物铅桶等辐射设施同样设置电离辐射警告标志，实行两区管理，入口处设置明显的监督区和控制区标识。</w:t>
      </w:r>
    </w:p>
    <w:p w14:paraId="2221726F" w14:textId="77777777" w:rsidR="00A67F21" w:rsidRPr="00B12FE0" w:rsidRDefault="00000000">
      <w:pPr>
        <w:autoSpaceDE w:val="0"/>
        <w:autoSpaceDN w:val="0"/>
        <w:adjustRightInd w:val="0"/>
        <w:snapToGri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②</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设置</w:t>
      </w:r>
      <w:proofErr w:type="gramEnd"/>
      <w:r w:rsidRPr="00B12FE0">
        <w:rPr>
          <w:rFonts w:ascii="宋体" w:hAnsi="宋体"/>
          <w:color w:val="000000" w:themeColor="text1"/>
          <w:szCs w:val="24"/>
        </w:rPr>
        <w:t>有手套箱，放射性药物操作在手套箱内进行，手套箱通风速率不小于</w:t>
      </w:r>
      <w:r w:rsidRPr="00B12FE0">
        <w:rPr>
          <w:color w:val="000000" w:themeColor="text1"/>
          <w:szCs w:val="24"/>
        </w:rPr>
        <w:t>0.5m/s</w:t>
      </w:r>
      <w:r w:rsidRPr="00B12FE0">
        <w:rPr>
          <w:rFonts w:ascii="宋体" w:hAnsi="宋体"/>
          <w:color w:val="000000" w:themeColor="text1"/>
          <w:szCs w:val="24"/>
        </w:rPr>
        <w:t>；</w:t>
      </w:r>
      <w:r w:rsidRPr="00B12FE0">
        <w:rPr>
          <w:rFonts w:ascii="宋体" w:hAnsi="宋体" w:hint="eastAsia"/>
          <w:color w:val="000000" w:themeColor="text1"/>
          <w:szCs w:val="24"/>
        </w:rPr>
        <w:t>诊断场所的</w:t>
      </w:r>
      <w:r w:rsidRPr="00B12FE0">
        <w:rPr>
          <w:rFonts w:ascii="宋体" w:hAnsi="宋体"/>
          <w:color w:val="000000" w:themeColor="text1"/>
          <w:szCs w:val="24"/>
        </w:rPr>
        <w:t>操作台下面设置</w:t>
      </w:r>
      <w:r w:rsidRPr="00B12FE0">
        <w:rPr>
          <w:color w:val="000000" w:themeColor="text1"/>
          <w:szCs w:val="24"/>
        </w:rPr>
        <w:t>1</w:t>
      </w:r>
      <w:r w:rsidRPr="00B12FE0">
        <w:rPr>
          <w:rFonts w:ascii="宋体" w:hAnsi="宋体"/>
          <w:color w:val="000000" w:themeColor="text1"/>
          <w:szCs w:val="24"/>
        </w:rPr>
        <w:t>个铅桶</w:t>
      </w:r>
      <w:r w:rsidRPr="00B12FE0">
        <w:rPr>
          <w:rFonts w:ascii="宋体" w:hAnsi="宋体" w:hint="eastAsia"/>
          <w:color w:val="000000" w:themeColor="text1"/>
          <w:szCs w:val="24"/>
        </w:rPr>
        <w:t>、服药窗口</w:t>
      </w:r>
      <w:r w:rsidRPr="00B12FE0">
        <w:rPr>
          <w:rFonts w:ascii="宋体" w:hAnsi="宋体"/>
          <w:color w:val="000000" w:themeColor="text1"/>
          <w:szCs w:val="24"/>
        </w:rPr>
        <w:t>下面设置</w:t>
      </w:r>
      <w:r w:rsidRPr="00B12FE0">
        <w:rPr>
          <w:color w:val="000000" w:themeColor="text1"/>
          <w:szCs w:val="24"/>
        </w:rPr>
        <w:t>1</w:t>
      </w:r>
      <w:r w:rsidRPr="00B12FE0">
        <w:rPr>
          <w:rFonts w:ascii="宋体" w:hAnsi="宋体"/>
          <w:color w:val="000000" w:themeColor="text1"/>
          <w:szCs w:val="24"/>
        </w:rPr>
        <w:t>个铅桶，用于收集放射性</w:t>
      </w:r>
      <w:r w:rsidRPr="00B12FE0">
        <w:rPr>
          <w:rFonts w:ascii="宋体" w:hAnsi="宋体" w:hint="eastAsia"/>
          <w:color w:val="000000" w:themeColor="text1"/>
          <w:szCs w:val="24"/>
        </w:rPr>
        <w:t>固体废物</w:t>
      </w:r>
      <w:r w:rsidRPr="00B12FE0">
        <w:rPr>
          <w:rFonts w:ascii="宋体" w:hAnsi="宋体"/>
          <w:color w:val="000000" w:themeColor="text1"/>
          <w:szCs w:val="24"/>
        </w:rPr>
        <w:t>。</w:t>
      </w:r>
    </w:p>
    <w:p w14:paraId="782FC62A"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Cambria Math" w:hAnsi="Cambria Math" w:cs="Cambria Math"/>
          <w:color w:val="000000" w:themeColor="text1"/>
          <w:szCs w:val="24"/>
        </w:rPr>
        <w:t>③</w:t>
      </w:r>
      <w:r w:rsidRPr="00B12FE0">
        <w:rPr>
          <w:rFonts w:ascii="宋体" w:hAnsi="宋体" w:hint="eastAsia"/>
          <w:color w:val="000000" w:themeColor="text1"/>
          <w:szCs w:val="24"/>
        </w:rPr>
        <w:t>诊断场所：</w:t>
      </w:r>
      <w:proofErr w:type="gramStart"/>
      <w:r w:rsidRPr="00B12FE0">
        <w:rPr>
          <w:rFonts w:ascii="宋体" w:hAnsi="宋体" w:hint="eastAsia"/>
          <w:color w:val="000000" w:themeColor="text1"/>
          <w:szCs w:val="24"/>
        </w:rPr>
        <w:t>高活室与</w:t>
      </w:r>
      <w:proofErr w:type="gramEnd"/>
      <w:r w:rsidRPr="00B12FE0">
        <w:rPr>
          <w:rFonts w:ascii="宋体" w:hAnsi="宋体" w:hint="eastAsia"/>
          <w:color w:val="000000" w:themeColor="text1"/>
          <w:szCs w:val="24"/>
        </w:rPr>
        <w:t>候诊区之间设置叫号系统；在工作场所范围内设置视频监控系统，便于观察受检者的情况、工作场所进出/口情况；PET、SPECT机房和控制室之间拟安装对讲装置和视频监控，便于工作人员通过视频监控观察患者，通过对讲装置于受检者联系</w:t>
      </w:r>
      <w:r w:rsidRPr="00B12FE0">
        <w:rPr>
          <w:rFonts w:ascii="宋体" w:hAnsi="宋体"/>
          <w:color w:val="000000" w:themeColor="text1"/>
          <w:szCs w:val="24"/>
        </w:rPr>
        <w:t>；</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设置</w:t>
      </w:r>
      <w:proofErr w:type="gramEnd"/>
      <w:r w:rsidRPr="00B12FE0">
        <w:rPr>
          <w:rFonts w:ascii="宋体" w:hAnsi="宋体"/>
          <w:color w:val="000000" w:themeColor="text1"/>
          <w:szCs w:val="24"/>
        </w:rPr>
        <w:t>有注射窗、注射器防护套等防护用品；辐射工作人员进入</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前</w:t>
      </w:r>
      <w:proofErr w:type="gramEnd"/>
      <w:r w:rsidRPr="00B12FE0">
        <w:rPr>
          <w:rFonts w:ascii="宋体" w:hAnsi="宋体"/>
          <w:color w:val="000000" w:themeColor="text1"/>
          <w:szCs w:val="24"/>
        </w:rPr>
        <w:t>设置有卫生通过间，设置有去污工具组和淋浴功能；</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备有</w:t>
      </w:r>
      <w:proofErr w:type="gramEnd"/>
      <w:r w:rsidRPr="00B12FE0">
        <w:rPr>
          <w:rFonts w:ascii="宋体" w:hAnsi="宋体"/>
          <w:color w:val="000000" w:themeColor="text1"/>
          <w:szCs w:val="24"/>
        </w:rPr>
        <w:t>一次性工作服、工作帽、口罩及橡胶手套等。</w:t>
      </w:r>
    </w:p>
    <w:p w14:paraId="5BD24227"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hint="eastAsia"/>
          <w:color w:val="000000" w:themeColor="text1"/>
          <w:szCs w:val="24"/>
        </w:rPr>
        <w:t>治疗场所：在工作场所范围内设置视频监控系统，便于观察受检者的情况、工作场所进出/口情况；高</w:t>
      </w:r>
      <w:proofErr w:type="gramStart"/>
      <w:r w:rsidRPr="00B12FE0">
        <w:rPr>
          <w:rFonts w:ascii="宋体" w:hAnsi="宋体" w:hint="eastAsia"/>
          <w:color w:val="000000" w:themeColor="text1"/>
          <w:szCs w:val="24"/>
        </w:rPr>
        <w:t>活室和甲癌</w:t>
      </w:r>
      <w:proofErr w:type="gramEnd"/>
      <w:r w:rsidRPr="00B12FE0">
        <w:rPr>
          <w:rFonts w:ascii="宋体" w:hAnsi="宋体" w:hint="eastAsia"/>
          <w:color w:val="000000" w:themeColor="text1"/>
          <w:szCs w:val="24"/>
        </w:rPr>
        <w:t>服药室之间拟安装对讲装置和视频监控，便于工作人员通过视频监控观察患者，通过对讲装置于受检者联系。在病房内设置对讲系统，医护人员通过对讲系统通知患者取餐食</w:t>
      </w:r>
      <w:r w:rsidRPr="00B12FE0">
        <w:rPr>
          <w:rFonts w:ascii="宋体" w:hAnsi="宋体"/>
          <w:color w:val="000000" w:themeColor="text1"/>
          <w:szCs w:val="24"/>
        </w:rPr>
        <w:t>；辐射工作人员进入</w:t>
      </w:r>
      <w:proofErr w:type="gramStart"/>
      <w:r w:rsidRPr="00B12FE0">
        <w:rPr>
          <w:rFonts w:ascii="宋体" w:hAnsi="宋体" w:hint="eastAsia"/>
          <w:color w:val="000000" w:themeColor="text1"/>
          <w:szCs w:val="24"/>
        </w:rPr>
        <w:t>高活</w:t>
      </w:r>
      <w:r w:rsidRPr="00B12FE0">
        <w:rPr>
          <w:rFonts w:ascii="宋体" w:hAnsi="宋体"/>
          <w:color w:val="000000" w:themeColor="text1"/>
          <w:szCs w:val="24"/>
        </w:rPr>
        <w:t>室前</w:t>
      </w:r>
      <w:proofErr w:type="gramEnd"/>
      <w:r w:rsidRPr="00B12FE0">
        <w:rPr>
          <w:rFonts w:ascii="宋体" w:hAnsi="宋体"/>
          <w:color w:val="000000" w:themeColor="text1"/>
          <w:szCs w:val="24"/>
        </w:rPr>
        <w:t>设置卫生通过间，设置有去污工具组和淋浴功能；</w:t>
      </w:r>
      <w:proofErr w:type="gramStart"/>
      <w:r w:rsidRPr="00B12FE0">
        <w:rPr>
          <w:rFonts w:ascii="宋体" w:hAnsi="宋体" w:hint="eastAsia"/>
          <w:color w:val="000000" w:themeColor="text1"/>
          <w:szCs w:val="24"/>
        </w:rPr>
        <w:t>高活</w:t>
      </w:r>
      <w:r w:rsidRPr="00B12FE0">
        <w:rPr>
          <w:rFonts w:ascii="宋体" w:hAnsi="宋体"/>
          <w:color w:val="000000" w:themeColor="text1"/>
          <w:szCs w:val="24"/>
        </w:rPr>
        <w:t>室备有</w:t>
      </w:r>
      <w:proofErr w:type="gramEnd"/>
      <w:r w:rsidRPr="00B12FE0">
        <w:rPr>
          <w:rFonts w:ascii="宋体" w:hAnsi="宋体"/>
          <w:color w:val="000000" w:themeColor="text1"/>
          <w:szCs w:val="24"/>
        </w:rPr>
        <w:t>一次性工作服、工作帽、口罩及橡胶手套等。</w:t>
      </w:r>
    </w:p>
    <w:p w14:paraId="2C40A69D"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Cambria Math" w:hAnsi="Cambria Math" w:cs="Cambria Math"/>
          <w:color w:val="000000" w:themeColor="text1"/>
          <w:szCs w:val="24"/>
        </w:rPr>
        <w:t>④</w:t>
      </w:r>
      <w:r w:rsidRPr="00B12FE0">
        <w:rPr>
          <w:rFonts w:ascii="宋体" w:hAnsi="宋体"/>
          <w:color w:val="000000" w:themeColor="text1"/>
          <w:szCs w:val="24"/>
        </w:rPr>
        <w:t>储源室</w:t>
      </w:r>
      <w:r w:rsidRPr="00B12FE0">
        <w:rPr>
          <w:rFonts w:ascii="宋体" w:hAnsi="宋体" w:hint="eastAsia"/>
          <w:color w:val="000000" w:themeColor="text1"/>
          <w:szCs w:val="24"/>
        </w:rPr>
        <w:t>、高活室、</w:t>
      </w:r>
      <w:proofErr w:type="gramStart"/>
      <w:r w:rsidRPr="00B12FE0">
        <w:rPr>
          <w:rFonts w:ascii="宋体" w:hAnsi="宋体"/>
          <w:color w:val="000000" w:themeColor="text1"/>
          <w:szCs w:val="24"/>
        </w:rPr>
        <w:t>甲癌病房</w:t>
      </w:r>
      <w:proofErr w:type="gramEnd"/>
      <w:r w:rsidRPr="00B12FE0">
        <w:rPr>
          <w:rFonts w:ascii="宋体" w:hAnsi="宋体"/>
          <w:color w:val="000000" w:themeColor="text1"/>
          <w:szCs w:val="24"/>
        </w:rPr>
        <w:t>设置视频监控，储源室实行双人双锁管理</w:t>
      </w:r>
      <w:r w:rsidRPr="00B12FE0">
        <w:rPr>
          <w:rFonts w:ascii="宋体" w:hAnsi="宋体" w:hint="eastAsia"/>
          <w:color w:val="000000" w:themeColor="text1"/>
          <w:szCs w:val="24"/>
        </w:rPr>
        <w:t>，建立放射性药物领用登记台账；</w:t>
      </w:r>
      <w:r w:rsidRPr="00B12FE0">
        <w:rPr>
          <w:rFonts w:ascii="宋体" w:hAnsi="宋体"/>
          <w:color w:val="000000" w:themeColor="text1"/>
          <w:szCs w:val="24"/>
        </w:rPr>
        <w:t>并做好防火、防盗措施。对于核素种类、生产单位、活度、出入库使用及注销等，严格登记建档。出入口安装摄像头、红外报警装置，并入医院安保监控系统。</w:t>
      </w:r>
    </w:p>
    <w:p w14:paraId="4744A3B6" w14:textId="77777777" w:rsidR="00A67F21" w:rsidRPr="00B12FE0" w:rsidRDefault="00000000">
      <w:pPr>
        <w:autoSpaceDE w:val="0"/>
        <w:autoSpaceDN w:val="0"/>
        <w:adjustRightInd w:val="0"/>
        <w:snapToGrid w:val="0"/>
        <w:spacing w:line="360" w:lineRule="auto"/>
        <w:ind w:firstLine="480"/>
        <w:textAlignment w:val="baseline"/>
        <w:rPr>
          <w:color w:val="000000" w:themeColor="text1"/>
          <w:szCs w:val="24"/>
        </w:rPr>
      </w:pPr>
      <w:r w:rsidRPr="00B12FE0">
        <w:rPr>
          <w:rFonts w:ascii="Cambria Math" w:hAnsi="Cambria Math" w:cs="Cambria Math"/>
          <w:color w:val="000000" w:themeColor="text1"/>
          <w:szCs w:val="24"/>
        </w:rPr>
        <w:t>⑤</w:t>
      </w:r>
      <w:r w:rsidRPr="00B12FE0">
        <w:rPr>
          <w:rFonts w:ascii="宋体" w:hAnsi="宋体"/>
          <w:color w:val="000000" w:themeColor="text1"/>
          <w:szCs w:val="24"/>
        </w:rPr>
        <w:t>患者进出设置专用通道，防护门</w:t>
      </w:r>
      <w:r w:rsidRPr="00B12FE0">
        <w:rPr>
          <w:rFonts w:ascii="宋体" w:hAnsi="宋体" w:hint="eastAsia"/>
          <w:color w:val="000000" w:themeColor="text1"/>
          <w:kern w:val="0"/>
          <w:szCs w:val="24"/>
        </w:rPr>
        <w:t>入口和出口设置门锁权限控制等安全措施</w:t>
      </w:r>
      <w:r w:rsidRPr="00B12FE0">
        <w:rPr>
          <w:rFonts w:ascii="宋体" w:hAnsi="宋体"/>
          <w:color w:val="000000" w:themeColor="text1"/>
          <w:szCs w:val="24"/>
        </w:rPr>
        <w:t>。</w:t>
      </w:r>
    </w:p>
    <w:p w14:paraId="2F494C51" w14:textId="77777777" w:rsidR="00A67F21" w:rsidRPr="00B12FE0" w:rsidRDefault="00000000">
      <w:pPr>
        <w:adjustRightInd w:val="0"/>
        <w:snapToGrid w:val="0"/>
        <w:spacing w:line="360" w:lineRule="auto"/>
        <w:ind w:firstLine="480"/>
        <w:rPr>
          <w:color w:val="000000" w:themeColor="text1"/>
          <w:szCs w:val="24"/>
        </w:rPr>
      </w:pPr>
      <w:r w:rsidRPr="00B12FE0">
        <w:rPr>
          <w:color w:val="000000" w:themeColor="text1"/>
          <w:szCs w:val="24"/>
        </w:rPr>
        <w:lastRenderedPageBreak/>
        <w:t>2</w:t>
      </w:r>
      <w:r w:rsidRPr="00B12FE0">
        <w:rPr>
          <w:rFonts w:ascii="宋体" w:hAnsi="宋体"/>
          <w:color w:val="000000" w:themeColor="text1"/>
          <w:szCs w:val="24"/>
        </w:rPr>
        <w:t>）放射性药物操作过程防护措施</w:t>
      </w:r>
    </w:p>
    <w:p w14:paraId="2A01990B"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宋体" w:hAnsi="宋体"/>
          <w:color w:val="000000" w:themeColor="text1"/>
          <w:szCs w:val="24"/>
        </w:rPr>
        <w:t>本项目使用的</w:t>
      </w:r>
      <w:r w:rsidRPr="00B12FE0">
        <w:rPr>
          <w:color w:val="000000" w:themeColor="text1"/>
          <w:szCs w:val="24"/>
          <w:vertAlign w:val="superscript"/>
        </w:rPr>
        <w:t>18</w:t>
      </w:r>
      <w:r w:rsidRPr="00B12FE0">
        <w:rPr>
          <w:color w:val="000000" w:themeColor="text1"/>
          <w:szCs w:val="24"/>
        </w:rPr>
        <w:t>F</w:t>
      </w:r>
      <w:r w:rsidRPr="00B12FE0">
        <w:rPr>
          <w:rFonts w:ascii="宋体" w:hAnsi="宋体"/>
          <w:color w:val="000000" w:themeColor="text1"/>
          <w:szCs w:val="24"/>
        </w:rPr>
        <w:t>由核素制备场所制备分装后直接送至核素诊断场所储源室内暂存；本项目使用的</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锝发生器购买后，由供药商派专人直接送至核素诊断场所储源室内暂存。</w:t>
      </w:r>
    </w:p>
    <w:p w14:paraId="1A58F7C4"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放射性药物</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在淋洗前，工作人员做好个人防护，然后将</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锝发生器从储源室转至</w:t>
      </w:r>
      <w:r w:rsidRPr="00B12FE0">
        <w:rPr>
          <w:color w:val="000000" w:themeColor="text1"/>
          <w:szCs w:val="24"/>
          <w:vertAlign w:val="superscript"/>
        </w:rPr>
        <w:t>99m</w:t>
      </w:r>
      <w:r w:rsidRPr="00B12FE0">
        <w:rPr>
          <w:color w:val="000000" w:themeColor="text1"/>
          <w:szCs w:val="24"/>
        </w:rPr>
        <w:t>Tc</w:t>
      </w:r>
      <w:r w:rsidRPr="00B12FE0">
        <w:rPr>
          <w:rFonts w:ascii="宋体" w:hAnsi="宋体"/>
          <w:color w:val="000000" w:themeColor="text1"/>
          <w:szCs w:val="24"/>
        </w:rPr>
        <w:t>淋洗手套箱内进行淋洗、</w:t>
      </w:r>
      <w:r w:rsidRPr="00B12FE0">
        <w:rPr>
          <w:color w:val="000000" w:themeColor="text1"/>
          <w:szCs w:val="24"/>
        </w:rPr>
        <w:t>活度测量和标记，手套箱防护铅当量不低于</w:t>
      </w:r>
      <w:r w:rsidRPr="00B12FE0">
        <w:rPr>
          <w:color w:val="000000" w:themeColor="text1"/>
          <w:szCs w:val="24"/>
        </w:rPr>
        <w:t>20mmPb</w:t>
      </w:r>
      <w:r w:rsidRPr="00B12FE0">
        <w:rPr>
          <w:color w:val="000000" w:themeColor="text1"/>
          <w:szCs w:val="24"/>
        </w:rPr>
        <w:t>；</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的注射是在</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注射窗口（</w:t>
      </w:r>
      <w:r w:rsidRPr="00B12FE0">
        <w:rPr>
          <w:color w:val="000000" w:themeColor="text1"/>
          <w:szCs w:val="24"/>
        </w:rPr>
        <w:t>20mmPb</w:t>
      </w:r>
      <w:r w:rsidRPr="00B12FE0">
        <w:rPr>
          <w:color w:val="000000" w:themeColor="text1"/>
          <w:szCs w:val="24"/>
        </w:rPr>
        <w:t>铅玻璃</w:t>
      </w:r>
      <w:r w:rsidRPr="00B12FE0">
        <w:rPr>
          <w:rFonts w:ascii="宋体" w:hAnsi="宋体"/>
          <w:color w:val="000000" w:themeColor="text1"/>
          <w:szCs w:val="24"/>
        </w:rPr>
        <w:t>），在注射过程中工作人员要做好个人防护措施，注射器外还配有注射器防护套。注射操作时，工作人员与患者及药物分别位于铅玻璃窗的两侧，隔室注射。淋洗及分药时，放射性药物</w:t>
      </w:r>
      <w:proofErr w:type="gramStart"/>
      <w:r w:rsidRPr="00B12FE0">
        <w:rPr>
          <w:rFonts w:ascii="宋体" w:hAnsi="宋体"/>
          <w:color w:val="000000" w:themeColor="text1"/>
          <w:szCs w:val="24"/>
        </w:rPr>
        <w:t>及铅罐均</w:t>
      </w:r>
      <w:proofErr w:type="gramEnd"/>
      <w:r w:rsidRPr="00B12FE0">
        <w:rPr>
          <w:rFonts w:ascii="宋体" w:hAnsi="宋体"/>
          <w:color w:val="000000" w:themeColor="text1"/>
          <w:szCs w:val="24"/>
        </w:rPr>
        <w:t>放置在垫有滤纸的磁盘内进行，以防止放射性药物撒漏造成操作台污染。</w:t>
      </w:r>
    </w:p>
    <w:p w14:paraId="6225D997"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hint="eastAsia"/>
          <w:color w:val="000000" w:themeColor="text1"/>
          <w:szCs w:val="24"/>
        </w:rPr>
        <w:t>诊断场所和治疗场所各</w:t>
      </w:r>
      <w:r w:rsidRPr="00B12FE0">
        <w:rPr>
          <w:rFonts w:ascii="宋体" w:hAnsi="宋体"/>
          <w:color w:val="000000" w:themeColor="text1"/>
          <w:szCs w:val="24"/>
        </w:rPr>
        <w:t>配备</w:t>
      </w:r>
      <w:r w:rsidRPr="00B12FE0">
        <w:rPr>
          <w:color w:val="000000" w:themeColor="text1"/>
          <w:szCs w:val="24"/>
        </w:rPr>
        <w:t>1</w:t>
      </w:r>
      <w:r w:rsidRPr="00B12FE0">
        <w:rPr>
          <w:rFonts w:ascii="宋体" w:hAnsi="宋体"/>
          <w:color w:val="000000" w:themeColor="text1"/>
          <w:szCs w:val="24"/>
        </w:rPr>
        <w:t>台自动</w:t>
      </w:r>
      <w:proofErr w:type="gramStart"/>
      <w:r w:rsidRPr="00B12FE0">
        <w:rPr>
          <w:rFonts w:ascii="宋体" w:hAnsi="宋体"/>
          <w:color w:val="000000" w:themeColor="text1"/>
          <w:szCs w:val="24"/>
        </w:rPr>
        <w:t>分碘仪</w:t>
      </w:r>
      <w:proofErr w:type="gramEnd"/>
      <w:r w:rsidRPr="00B12FE0">
        <w:rPr>
          <w:rFonts w:ascii="宋体" w:hAnsi="宋体"/>
          <w:color w:val="000000" w:themeColor="text1"/>
          <w:szCs w:val="24"/>
        </w:rPr>
        <w:t>，放射性药物</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均在自动</w:t>
      </w:r>
      <w:proofErr w:type="gramStart"/>
      <w:r w:rsidRPr="00B12FE0">
        <w:rPr>
          <w:rFonts w:ascii="宋体" w:hAnsi="宋体"/>
          <w:color w:val="000000" w:themeColor="text1"/>
          <w:szCs w:val="24"/>
        </w:rPr>
        <w:t>分碘仪内</w:t>
      </w:r>
      <w:proofErr w:type="gramEnd"/>
      <w:r w:rsidRPr="00B12FE0">
        <w:rPr>
          <w:rFonts w:ascii="宋体" w:hAnsi="宋体"/>
          <w:color w:val="000000" w:themeColor="text1"/>
          <w:szCs w:val="24"/>
        </w:rPr>
        <w:t>进行分装操作。工作人员先做好个人防护，然后将</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装入自动</w:t>
      </w:r>
      <w:proofErr w:type="gramStart"/>
      <w:r w:rsidRPr="00B12FE0">
        <w:rPr>
          <w:rFonts w:ascii="宋体" w:hAnsi="宋体"/>
          <w:color w:val="000000" w:themeColor="text1"/>
          <w:szCs w:val="24"/>
        </w:rPr>
        <w:t>分碘仪</w:t>
      </w:r>
      <w:proofErr w:type="gramEnd"/>
      <w:r w:rsidRPr="00B12FE0">
        <w:rPr>
          <w:rFonts w:ascii="宋体" w:hAnsi="宋体"/>
          <w:color w:val="000000" w:themeColor="text1"/>
          <w:szCs w:val="24"/>
        </w:rPr>
        <w:t>，工作人员只需在输入厂家标定的</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放射性药物活度、标定时间等参数，系统会自动完成定量分配、在线活度测量和体积配比等全部工作，最后工作人员在计算机上输入患者姓名，服用药物的量等参数，系统会自动按照输入的药量给患者分装药物，工作人员远程指导患者服用，</w:t>
      </w:r>
      <w:proofErr w:type="gramStart"/>
      <w:r w:rsidRPr="00B12FE0">
        <w:rPr>
          <w:rFonts w:ascii="宋体" w:hAnsi="宋体"/>
          <w:color w:val="000000" w:themeColor="text1"/>
          <w:szCs w:val="24"/>
        </w:rPr>
        <w:t>不</w:t>
      </w:r>
      <w:proofErr w:type="gramEnd"/>
      <w:r w:rsidRPr="00B12FE0">
        <w:rPr>
          <w:rFonts w:ascii="宋体" w:hAnsi="宋体"/>
          <w:color w:val="000000" w:themeColor="text1"/>
          <w:szCs w:val="24"/>
        </w:rPr>
        <w:t>近距离接触放射性药物，减少了工作人员直接</w:t>
      </w:r>
      <w:r w:rsidRPr="00B12FE0">
        <w:rPr>
          <w:rFonts w:ascii="宋体" w:hAnsi="宋体" w:hint="eastAsia"/>
          <w:color w:val="000000" w:themeColor="text1"/>
          <w:szCs w:val="24"/>
        </w:rPr>
        <w:t>接</w:t>
      </w:r>
      <w:r w:rsidRPr="00B12FE0">
        <w:rPr>
          <w:rFonts w:ascii="宋体" w:hAnsi="宋体"/>
          <w:color w:val="000000" w:themeColor="text1"/>
          <w:szCs w:val="24"/>
        </w:rPr>
        <w:t>触时间。</w:t>
      </w:r>
    </w:p>
    <w:p w14:paraId="61196951"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color w:val="000000" w:themeColor="text1"/>
          <w:szCs w:val="24"/>
        </w:rPr>
        <w:t>3</w:t>
      </w:r>
      <w:r w:rsidRPr="00B12FE0">
        <w:rPr>
          <w:rFonts w:ascii="宋体" w:hAnsi="宋体"/>
          <w:color w:val="000000" w:themeColor="text1"/>
          <w:szCs w:val="24"/>
        </w:rPr>
        <w:t>）</w:t>
      </w:r>
      <w:r w:rsidRPr="00B12FE0">
        <w:rPr>
          <w:color w:val="000000" w:themeColor="text1"/>
          <w:szCs w:val="24"/>
        </w:rPr>
        <w:t>PET</w:t>
      </w:r>
      <w:r w:rsidRPr="00B12FE0">
        <w:rPr>
          <w:rFonts w:ascii="宋体" w:hAnsi="宋体"/>
          <w:color w:val="000000" w:themeColor="text1"/>
          <w:szCs w:val="24"/>
        </w:rPr>
        <w:t>机房、注射后等候室、</w:t>
      </w:r>
      <w:r w:rsidRPr="00B12FE0">
        <w:rPr>
          <w:rFonts w:ascii="宋体" w:hAnsi="宋体" w:hint="eastAsia"/>
          <w:color w:val="000000" w:themeColor="text1"/>
          <w:szCs w:val="24"/>
        </w:rPr>
        <w:t>留观室</w:t>
      </w:r>
      <w:r w:rsidRPr="00B12FE0">
        <w:rPr>
          <w:rFonts w:ascii="宋体" w:hAnsi="宋体"/>
          <w:color w:val="000000" w:themeColor="text1"/>
          <w:szCs w:val="24"/>
        </w:rPr>
        <w:t>内安全防护措施</w:t>
      </w:r>
    </w:p>
    <w:p w14:paraId="26EA451C" w14:textId="77777777" w:rsidR="00A67F21" w:rsidRPr="00B12FE0" w:rsidRDefault="00000000">
      <w:pPr>
        <w:adjustRightInd w:val="0"/>
        <w:snapToGrid w:val="0"/>
        <w:spacing w:line="360" w:lineRule="auto"/>
        <w:ind w:firstLine="480"/>
        <w:rPr>
          <w:color w:val="000000" w:themeColor="text1"/>
          <w:szCs w:val="24"/>
        </w:rPr>
      </w:pPr>
      <w:r w:rsidRPr="00B12FE0">
        <w:rPr>
          <w:color w:val="000000" w:themeColor="text1"/>
          <w:szCs w:val="24"/>
        </w:rPr>
        <w:t>PET</w:t>
      </w:r>
      <w:r w:rsidRPr="00B12FE0">
        <w:rPr>
          <w:rFonts w:ascii="宋体" w:hAnsi="宋体"/>
          <w:color w:val="000000" w:themeColor="text1"/>
          <w:szCs w:val="24"/>
        </w:rPr>
        <w:t>机房与控制室之间设置观察窗和对讲装置；</w:t>
      </w:r>
      <w:r w:rsidRPr="00B12FE0">
        <w:rPr>
          <w:color w:val="000000" w:themeColor="text1"/>
          <w:szCs w:val="24"/>
        </w:rPr>
        <w:t>PET</w:t>
      </w:r>
      <w:r w:rsidRPr="00B12FE0">
        <w:rPr>
          <w:rFonts w:ascii="宋体" w:hAnsi="宋体"/>
          <w:color w:val="000000" w:themeColor="text1"/>
          <w:szCs w:val="24"/>
        </w:rPr>
        <w:t>机房控制室</w:t>
      </w:r>
      <w:r w:rsidRPr="00B12FE0">
        <w:rPr>
          <w:rFonts w:ascii="宋体" w:hAnsi="宋体" w:hint="eastAsia"/>
          <w:color w:val="000000" w:themeColor="text1"/>
          <w:szCs w:val="24"/>
        </w:rPr>
        <w:t>、注射后候诊</w:t>
      </w:r>
      <w:r w:rsidRPr="00B12FE0">
        <w:rPr>
          <w:rFonts w:ascii="宋体" w:hAnsi="宋体"/>
          <w:color w:val="000000" w:themeColor="text1"/>
          <w:szCs w:val="24"/>
        </w:rPr>
        <w:t>室、</w:t>
      </w:r>
      <w:proofErr w:type="gramStart"/>
      <w:r w:rsidRPr="00B12FE0">
        <w:rPr>
          <w:rFonts w:ascii="宋体" w:hAnsi="宋体"/>
          <w:color w:val="000000" w:themeColor="text1"/>
          <w:szCs w:val="24"/>
        </w:rPr>
        <w:t>留观室设置</w:t>
      </w:r>
      <w:proofErr w:type="gramEnd"/>
      <w:r w:rsidRPr="00B12FE0">
        <w:rPr>
          <w:rFonts w:ascii="宋体" w:hAnsi="宋体"/>
          <w:color w:val="000000" w:themeColor="text1"/>
          <w:szCs w:val="24"/>
        </w:rPr>
        <w:t>视频监控系统和双向对讲装置；</w:t>
      </w:r>
      <w:r w:rsidRPr="00B12FE0">
        <w:rPr>
          <w:color w:val="000000" w:themeColor="text1"/>
          <w:szCs w:val="24"/>
        </w:rPr>
        <w:t>PET</w:t>
      </w:r>
      <w:r w:rsidRPr="00B12FE0">
        <w:rPr>
          <w:rFonts w:ascii="宋体" w:hAnsi="宋体"/>
          <w:color w:val="000000" w:themeColor="text1"/>
          <w:szCs w:val="24"/>
        </w:rPr>
        <w:t>区设有</w:t>
      </w:r>
      <w:r w:rsidRPr="00B12FE0">
        <w:rPr>
          <w:color w:val="000000" w:themeColor="text1"/>
          <w:szCs w:val="24"/>
        </w:rPr>
        <w:t>2</w:t>
      </w:r>
      <w:r w:rsidRPr="00B12FE0">
        <w:rPr>
          <w:rFonts w:ascii="宋体" w:hAnsi="宋体"/>
          <w:color w:val="000000" w:themeColor="text1"/>
          <w:szCs w:val="24"/>
        </w:rPr>
        <w:t>间</w:t>
      </w:r>
      <w:r w:rsidRPr="00B12FE0">
        <w:rPr>
          <w:rFonts w:hint="eastAsia"/>
          <w:color w:val="000000" w:themeColor="text1"/>
          <w:szCs w:val="24"/>
        </w:rPr>
        <w:t>注射后候诊室</w:t>
      </w:r>
      <w:r w:rsidRPr="00B12FE0">
        <w:rPr>
          <w:rFonts w:hint="eastAsia"/>
          <w:color w:val="000000" w:themeColor="text1"/>
        </w:rPr>
        <w:t>和</w:t>
      </w:r>
      <w:r w:rsidRPr="00B12FE0">
        <w:rPr>
          <w:rFonts w:hint="eastAsia"/>
          <w:color w:val="000000" w:themeColor="text1"/>
        </w:rPr>
        <w:t>1</w:t>
      </w:r>
      <w:r w:rsidRPr="00B12FE0">
        <w:rPr>
          <w:rFonts w:hint="eastAsia"/>
          <w:color w:val="000000" w:themeColor="text1"/>
        </w:rPr>
        <w:t>间留观室</w:t>
      </w:r>
      <w:r w:rsidRPr="00B12FE0">
        <w:rPr>
          <w:rFonts w:ascii="宋体" w:hAnsi="宋体"/>
          <w:color w:val="000000" w:themeColor="text1"/>
          <w:szCs w:val="24"/>
        </w:rPr>
        <w:t>，均为单人间。</w:t>
      </w:r>
    </w:p>
    <w:p w14:paraId="046A003E"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患者注射后等候和检查后</w:t>
      </w:r>
      <w:r w:rsidRPr="00B12FE0">
        <w:rPr>
          <w:rFonts w:ascii="宋体" w:hAnsi="宋体" w:hint="eastAsia"/>
          <w:color w:val="000000" w:themeColor="text1"/>
          <w:szCs w:val="24"/>
        </w:rPr>
        <w:t>留观</w:t>
      </w:r>
      <w:r w:rsidRPr="00B12FE0">
        <w:rPr>
          <w:rFonts w:ascii="宋体" w:hAnsi="宋体"/>
          <w:color w:val="000000" w:themeColor="text1"/>
          <w:szCs w:val="24"/>
        </w:rPr>
        <w:t>期间严禁随意活动，严禁在通道内穿行，以避免与其他受检者之间的交叉照射；注射后候诊区设置专用厕所，并设置感应式</w:t>
      </w:r>
      <w:r w:rsidRPr="00B12FE0">
        <w:rPr>
          <w:color w:val="000000" w:themeColor="text1"/>
          <w:szCs w:val="24"/>
        </w:rPr>
        <w:t>+</w:t>
      </w:r>
      <w:r w:rsidRPr="00B12FE0">
        <w:rPr>
          <w:rFonts w:ascii="宋体" w:hAnsi="宋体"/>
          <w:color w:val="000000" w:themeColor="text1"/>
          <w:szCs w:val="24"/>
        </w:rPr>
        <w:t>水龙头和节水坐便器，废水收集至衰变池衰变处理。</w:t>
      </w:r>
    </w:p>
    <w:p w14:paraId="7197FF6C" w14:textId="77777777" w:rsidR="00A67F21" w:rsidRPr="00B12FE0" w:rsidRDefault="00000000">
      <w:pPr>
        <w:autoSpaceDE w:val="0"/>
        <w:autoSpaceDN w:val="0"/>
        <w:adjustRightInd w:val="0"/>
        <w:spacing w:line="360" w:lineRule="auto"/>
        <w:ind w:firstLine="480"/>
        <w:jc w:val="left"/>
        <w:textAlignment w:val="baseline"/>
        <w:rPr>
          <w:color w:val="000000" w:themeColor="text1"/>
          <w:szCs w:val="24"/>
        </w:rPr>
      </w:pPr>
      <w:r w:rsidRPr="00B12FE0">
        <w:rPr>
          <w:color w:val="000000" w:themeColor="text1"/>
          <w:szCs w:val="24"/>
        </w:rPr>
        <w:t>4</w:t>
      </w:r>
      <w:r w:rsidRPr="00B12FE0">
        <w:rPr>
          <w:rFonts w:ascii="宋体" w:hAnsi="宋体"/>
          <w:color w:val="000000" w:themeColor="text1"/>
          <w:szCs w:val="24"/>
        </w:rPr>
        <w:t>）</w:t>
      </w:r>
      <w:r w:rsidRPr="00B12FE0">
        <w:rPr>
          <w:color w:val="000000" w:themeColor="text1"/>
          <w:szCs w:val="24"/>
        </w:rPr>
        <w:t>SPECT/CT</w:t>
      </w:r>
      <w:r w:rsidRPr="00B12FE0">
        <w:rPr>
          <w:rFonts w:ascii="宋体" w:hAnsi="宋体"/>
          <w:color w:val="000000" w:themeColor="text1"/>
          <w:szCs w:val="24"/>
        </w:rPr>
        <w:t>机房、注射后等候室内安全防护措施</w:t>
      </w:r>
    </w:p>
    <w:p w14:paraId="6F2EB536" w14:textId="77777777" w:rsidR="00A67F21" w:rsidRPr="00B12FE0" w:rsidRDefault="00000000">
      <w:pPr>
        <w:adjustRightInd w:val="0"/>
        <w:snapToGrid w:val="0"/>
        <w:spacing w:line="360" w:lineRule="auto"/>
        <w:ind w:firstLine="480"/>
        <w:rPr>
          <w:color w:val="000000" w:themeColor="text1"/>
          <w:szCs w:val="24"/>
        </w:rPr>
      </w:pPr>
      <w:r w:rsidRPr="00B12FE0">
        <w:rPr>
          <w:color w:val="000000" w:themeColor="text1"/>
          <w:szCs w:val="24"/>
        </w:rPr>
        <w:t>SPECT/CT</w:t>
      </w:r>
      <w:r w:rsidRPr="00B12FE0">
        <w:rPr>
          <w:rFonts w:ascii="宋体" w:hAnsi="宋体"/>
          <w:color w:val="000000" w:themeColor="text1"/>
          <w:szCs w:val="24"/>
        </w:rPr>
        <w:t>机房与控制室之间设置观察窗和对讲装置；</w:t>
      </w:r>
      <w:r w:rsidRPr="00B12FE0">
        <w:rPr>
          <w:color w:val="000000" w:themeColor="text1"/>
          <w:szCs w:val="24"/>
        </w:rPr>
        <w:t>SPECT/CT</w:t>
      </w:r>
      <w:r w:rsidRPr="00B12FE0">
        <w:rPr>
          <w:rFonts w:ascii="宋体" w:hAnsi="宋体"/>
          <w:color w:val="000000" w:themeColor="text1"/>
          <w:szCs w:val="24"/>
        </w:rPr>
        <w:t>控制室和注射后</w:t>
      </w:r>
      <w:r w:rsidRPr="00B12FE0">
        <w:rPr>
          <w:rFonts w:ascii="宋体" w:hAnsi="宋体" w:hint="eastAsia"/>
          <w:color w:val="000000" w:themeColor="text1"/>
          <w:szCs w:val="24"/>
        </w:rPr>
        <w:t>候诊</w:t>
      </w:r>
      <w:r w:rsidRPr="00B12FE0">
        <w:rPr>
          <w:rFonts w:ascii="宋体" w:hAnsi="宋体"/>
          <w:color w:val="000000" w:themeColor="text1"/>
          <w:szCs w:val="24"/>
        </w:rPr>
        <w:t>室设置视频监控系统和双向对讲装置；</w:t>
      </w:r>
      <w:r w:rsidRPr="00B12FE0">
        <w:rPr>
          <w:color w:val="000000" w:themeColor="text1"/>
          <w:szCs w:val="24"/>
        </w:rPr>
        <w:t>SPECT</w:t>
      </w:r>
      <w:r w:rsidRPr="00B12FE0">
        <w:rPr>
          <w:rFonts w:ascii="宋体" w:hAnsi="宋体"/>
          <w:color w:val="000000" w:themeColor="text1"/>
          <w:szCs w:val="24"/>
        </w:rPr>
        <w:t>区设有</w:t>
      </w:r>
      <w:r w:rsidRPr="00B12FE0">
        <w:rPr>
          <w:rFonts w:hint="eastAsia"/>
          <w:color w:val="000000" w:themeColor="text1"/>
          <w:szCs w:val="24"/>
        </w:rPr>
        <w:t>1</w:t>
      </w:r>
      <w:r w:rsidRPr="00B12FE0">
        <w:rPr>
          <w:rFonts w:ascii="宋体" w:hAnsi="宋体"/>
          <w:color w:val="000000" w:themeColor="text1"/>
          <w:szCs w:val="24"/>
        </w:rPr>
        <w:t>间</w:t>
      </w:r>
      <w:r w:rsidRPr="00B12FE0">
        <w:rPr>
          <w:rFonts w:ascii="宋体" w:hAnsi="宋体" w:hint="eastAsia"/>
          <w:color w:val="000000" w:themeColor="text1"/>
          <w:szCs w:val="24"/>
        </w:rPr>
        <w:t>注射后候诊</w:t>
      </w:r>
      <w:r w:rsidRPr="00B12FE0">
        <w:rPr>
          <w:rFonts w:ascii="宋体" w:hAnsi="宋体"/>
          <w:color w:val="000000" w:themeColor="text1"/>
          <w:szCs w:val="24"/>
        </w:rPr>
        <w:t>室，为双人间，设置</w:t>
      </w:r>
      <w:r w:rsidRPr="00B12FE0">
        <w:rPr>
          <w:color w:val="000000" w:themeColor="text1"/>
          <w:szCs w:val="24"/>
        </w:rPr>
        <w:t>2</w:t>
      </w:r>
      <w:r w:rsidRPr="00B12FE0">
        <w:rPr>
          <w:rFonts w:ascii="宋体" w:hAnsi="宋体"/>
          <w:color w:val="000000" w:themeColor="text1"/>
          <w:szCs w:val="24"/>
        </w:rPr>
        <w:t>张候诊位，采用</w:t>
      </w:r>
      <w:r w:rsidRPr="00B12FE0">
        <w:rPr>
          <w:rFonts w:hint="eastAsia"/>
          <w:color w:val="000000" w:themeColor="text1"/>
          <w:szCs w:val="24"/>
        </w:rPr>
        <w:t>4</w:t>
      </w:r>
      <w:r w:rsidRPr="00B12FE0">
        <w:rPr>
          <w:color w:val="000000" w:themeColor="text1"/>
          <w:szCs w:val="24"/>
        </w:rPr>
        <w:t>mmPb</w:t>
      </w:r>
      <w:r w:rsidRPr="00B12FE0">
        <w:rPr>
          <w:rFonts w:ascii="宋体" w:hAnsi="宋体"/>
          <w:color w:val="000000" w:themeColor="text1"/>
          <w:szCs w:val="24"/>
        </w:rPr>
        <w:t>铅屏风隔开。</w:t>
      </w:r>
    </w:p>
    <w:p w14:paraId="6DEAD6DE" w14:textId="77777777" w:rsidR="00A67F21" w:rsidRPr="00B12FE0" w:rsidRDefault="00000000">
      <w:pPr>
        <w:adjustRightInd w:val="0"/>
        <w:snapToGrid w:val="0"/>
        <w:spacing w:line="360" w:lineRule="auto"/>
        <w:ind w:firstLine="480"/>
        <w:rPr>
          <w:rFonts w:ascii="宋体" w:hAnsi="宋体" w:hint="eastAsia"/>
          <w:color w:val="000000" w:themeColor="text1"/>
          <w:szCs w:val="24"/>
        </w:rPr>
      </w:pPr>
      <w:r w:rsidRPr="00B12FE0">
        <w:rPr>
          <w:rFonts w:ascii="宋体" w:hAnsi="宋体"/>
          <w:color w:val="000000" w:themeColor="text1"/>
          <w:szCs w:val="24"/>
        </w:rPr>
        <w:t>患者注射后等候和检查后</w:t>
      </w:r>
      <w:r w:rsidRPr="00B12FE0">
        <w:rPr>
          <w:rFonts w:ascii="宋体" w:hAnsi="宋体" w:hint="eastAsia"/>
          <w:color w:val="000000" w:themeColor="text1"/>
          <w:szCs w:val="24"/>
        </w:rPr>
        <w:t>留观</w:t>
      </w:r>
      <w:r w:rsidRPr="00B12FE0">
        <w:rPr>
          <w:rFonts w:ascii="宋体" w:hAnsi="宋体"/>
          <w:color w:val="000000" w:themeColor="text1"/>
          <w:szCs w:val="24"/>
        </w:rPr>
        <w:t>期间严禁随意活动，严禁在通道内穿行，以避免与其他受检者之间的交叉照射；注射后候诊区设置专用厕所，并设置感应式</w:t>
      </w:r>
      <w:r w:rsidRPr="00B12FE0">
        <w:rPr>
          <w:color w:val="000000" w:themeColor="text1"/>
          <w:szCs w:val="24"/>
        </w:rPr>
        <w:t>+</w:t>
      </w:r>
      <w:r w:rsidRPr="00B12FE0">
        <w:rPr>
          <w:rFonts w:ascii="宋体" w:hAnsi="宋体"/>
          <w:color w:val="000000" w:themeColor="text1"/>
          <w:szCs w:val="24"/>
        </w:rPr>
        <w:t>水龙头和节水坐便器，废水收集至衰变池衰变处理。</w:t>
      </w:r>
    </w:p>
    <w:p w14:paraId="65420565" w14:textId="77777777" w:rsidR="00A67F21" w:rsidRPr="00B12FE0" w:rsidRDefault="00000000">
      <w:pPr>
        <w:autoSpaceDE w:val="0"/>
        <w:autoSpaceDN w:val="0"/>
        <w:adjustRightInd w:val="0"/>
        <w:spacing w:line="360" w:lineRule="auto"/>
        <w:ind w:firstLine="480"/>
        <w:jc w:val="left"/>
        <w:textAlignment w:val="baseline"/>
        <w:rPr>
          <w:color w:val="000000" w:themeColor="text1"/>
          <w:szCs w:val="24"/>
        </w:rPr>
      </w:pPr>
      <w:r w:rsidRPr="00B12FE0">
        <w:rPr>
          <w:color w:val="000000" w:themeColor="text1"/>
          <w:szCs w:val="24"/>
        </w:rPr>
        <w:lastRenderedPageBreak/>
        <w:t>4</w:t>
      </w:r>
      <w:r w:rsidRPr="00B12FE0">
        <w:rPr>
          <w:rFonts w:ascii="宋体" w:hAnsi="宋体"/>
          <w:color w:val="000000" w:themeColor="text1"/>
          <w:szCs w:val="24"/>
        </w:rPr>
        <w:t>）</w:t>
      </w:r>
      <w:proofErr w:type="gramStart"/>
      <w:r w:rsidRPr="00B12FE0">
        <w:rPr>
          <w:rFonts w:hint="eastAsia"/>
          <w:color w:val="000000" w:themeColor="text1"/>
          <w:szCs w:val="24"/>
        </w:rPr>
        <w:t>服碘室</w:t>
      </w:r>
      <w:proofErr w:type="gramEnd"/>
      <w:r w:rsidRPr="00B12FE0">
        <w:rPr>
          <w:rFonts w:ascii="宋体" w:hAnsi="宋体"/>
          <w:color w:val="000000" w:themeColor="text1"/>
          <w:szCs w:val="24"/>
        </w:rPr>
        <w:t>、</w:t>
      </w:r>
      <w:r w:rsidRPr="00B12FE0">
        <w:rPr>
          <w:rFonts w:ascii="宋体" w:hAnsi="宋体" w:hint="eastAsia"/>
          <w:color w:val="000000" w:themeColor="text1"/>
          <w:szCs w:val="24"/>
        </w:rPr>
        <w:t>甲亢留观</w:t>
      </w:r>
      <w:r w:rsidRPr="00B12FE0">
        <w:rPr>
          <w:rFonts w:ascii="宋体" w:hAnsi="宋体"/>
          <w:color w:val="000000" w:themeColor="text1"/>
          <w:szCs w:val="24"/>
        </w:rPr>
        <w:t>室内安全防护措施</w:t>
      </w:r>
    </w:p>
    <w:p w14:paraId="30D5F28C" w14:textId="77777777" w:rsidR="00A67F21" w:rsidRPr="00B12FE0" w:rsidRDefault="00000000">
      <w:pPr>
        <w:adjustRightInd w:val="0"/>
        <w:snapToGrid w:val="0"/>
        <w:spacing w:line="360" w:lineRule="auto"/>
        <w:ind w:firstLine="480"/>
        <w:rPr>
          <w:color w:val="000000" w:themeColor="text1"/>
          <w:szCs w:val="24"/>
        </w:rPr>
      </w:pPr>
      <w:r w:rsidRPr="00B12FE0">
        <w:rPr>
          <w:rFonts w:hint="eastAsia"/>
          <w:color w:val="000000" w:themeColor="text1"/>
          <w:szCs w:val="24"/>
        </w:rPr>
        <w:t>高</w:t>
      </w:r>
      <w:proofErr w:type="gramStart"/>
      <w:r w:rsidRPr="00B12FE0">
        <w:rPr>
          <w:rFonts w:hint="eastAsia"/>
          <w:color w:val="000000" w:themeColor="text1"/>
          <w:szCs w:val="24"/>
        </w:rPr>
        <w:t>活室</w:t>
      </w:r>
      <w:r w:rsidRPr="00B12FE0">
        <w:rPr>
          <w:rFonts w:ascii="宋体" w:hAnsi="宋体"/>
          <w:color w:val="000000" w:themeColor="text1"/>
          <w:szCs w:val="24"/>
        </w:rPr>
        <w:t>与</w:t>
      </w:r>
      <w:r w:rsidRPr="00B12FE0">
        <w:rPr>
          <w:rFonts w:ascii="宋体" w:hAnsi="宋体" w:hint="eastAsia"/>
          <w:color w:val="000000" w:themeColor="text1"/>
          <w:szCs w:val="24"/>
        </w:rPr>
        <w:t>服碘</w:t>
      </w:r>
      <w:r w:rsidRPr="00B12FE0">
        <w:rPr>
          <w:rFonts w:ascii="宋体" w:hAnsi="宋体"/>
          <w:color w:val="000000" w:themeColor="text1"/>
          <w:szCs w:val="24"/>
        </w:rPr>
        <w:t>室</w:t>
      </w:r>
      <w:proofErr w:type="gramEnd"/>
      <w:r w:rsidRPr="00B12FE0">
        <w:rPr>
          <w:rFonts w:ascii="宋体" w:hAnsi="宋体"/>
          <w:color w:val="000000" w:themeColor="text1"/>
          <w:szCs w:val="24"/>
        </w:rPr>
        <w:t>之间设置观察窗</w:t>
      </w:r>
      <w:r w:rsidRPr="00B12FE0">
        <w:rPr>
          <w:rFonts w:ascii="宋体" w:hAnsi="宋体" w:hint="eastAsia"/>
          <w:color w:val="000000" w:themeColor="text1"/>
          <w:szCs w:val="24"/>
        </w:rPr>
        <w:t>、</w:t>
      </w:r>
      <w:r w:rsidRPr="00B12FE0">
        <w:rPr>
          <w:rFonts w:ascii="宋体" w:hAnsi="宋体"/>
          <w:color w:val="000000" w:themeColor="text1"/>
          <w:szCs w:val="24"/>
        </w:rPr>
        <w:t>视频监控系统和对讲装置；设有</w:t>
      </w:r>
      <w:r w:rsidRPr="00B12FE0">
        <w:rPr>
          <w:rFonts w:hint="eastAsia"/>
          <w:color w:val="000000" w:themeColor="text1"/>
          <w:szCs w:val="24"/>
        </w:rPr>
        <w:t>1</w:t>
      </w:r>
      <w:r w:rsidRPr="00B12FE0">
        <w:rPr>
          <w:rFonts w:ascii="宋体" w:hAnsi="宋体"/>
          <w:color w:val="000000" w:themeColor="text1"/>
          <w:szCs w:val="24"/>
        </w:rPr>
        <w:t>间</w:t>
      </w:r>
      <w:r w:rsidRPr="00B12FE0">
        <w:rPr>
          <w:rFonts w:ascii="宋体" w:hAnsi="宋体" w:hint="eastAsia"/>
          <w:color w:val="000000" w:themeColor="text1"/>
          <w:szCs w:val="24"/>
        </w:rPr>
        <w:t>甲亢留观</w:t>
      </w:r>
      <w:r w:rsidRPr="00B12FE0">
        <w:rPr>
          <w:rFonts w:ascii="宋体" w:hAnsi="宋体"/>
          <w:color w:val="000000" w:themeColor="text1"/>
          <w:szCs w:val="24"/>
        </w:rPr>
        <w:t>，为双人间，设置</w:t>
      </w:r>
      <w:r w:rsidRPr="00B12FE0">
        <w:rPr>
          <w:color w:val="000000" w:themeColor="text1"/>
          <w:szCs w:val="24"/>
        </w:rPr>
        <w:t>2</w:t>
      </w:r>
      <w:r w:rsidRPr="00B12FE0">
        <w:rPr>
          <w:rFonts w:ascii="宋体" w:hAnsi="宋体"/>
          <w:color w:val="000000" w:themeColor="text1"/>
          <w:szCs w:val="24"/>
        </w:rPr>
        <w:t>张候诊位，采用</w:t>
      </w:r>
      <w:r w:rsidRPr="00B12FE0">
        <w:rPr>
          <w:rFonts w:hint="eastAsia"/>
          <w:color w:val="000000" w:themeColor="text1"/>
          <w:szCs w:val="24"/>
        </w:rPr>
        <w:t>4</w:t>
      </w:r>
      <w:r w:rsidRPr="00B12FE0">
        <w:rPr>
          <w:color w:val="000000" w:themeColor="text1"/>
          <w:szCs w:val="24"/>
        </w:rPr>
        <w:t>mmPb</w:t>
      </w:r>
      <w:r w:rsidRPr="00B12FE0">
        <w:rPr>
          <w:rFonts w:ascii="宋体" w:hAnsi="宋体"/>
          <w:color w:val="000000" w:themeColor="text1"/>
          <w:szCs w:val="24"/>
        </w:rPr>
        <w:t>铅屏风隔开。</w:t>
      </w:r>
    </w:p>
    <w:p w14:paraId="1AC6AC32" w14:textId="77777777" w:rsidR="00A67F21" w:rsidRPr="00B12FE0" w:rsidRDefault="00000000">
      <w:pPr>
        <w:adjustRightInd w:val="0"/>
        <w:snapToGrid w:val="0"/>
        <w:spacing w:line="360" w:lineRule="auto"/>
        <w:ind w:firstLine="480"/>
        <w:rPr>
          <w:rFonts w:ascii="宋体" w:hAnsi="宋体" w:hint="eastAsia"/>
          <w:color w:val="000000" w:themeColor="text1"/>
          <w:szCs w:val="24"/>
        </w:rPr>
      </w:pPr>
      <w:r w:rsidRPr="00B12FE0">
        <w:rPr>
          <w:rFonts w:ascii="宋体" w:hAnsi="宋体"/>
          <w:color w:val="000000" w:themeColor="text1"/>
          <w:szCs w:val="24"/>
        </w:rPr>
        <w:t>患者</w:t>
      </w:r>
      <w:r w:rsidRPr="00B12FE0">
        <w:rPr>
          <w:rFonts w:ascii="宋体" w:hAnsi="宋体" w:hint="eastAsia"/>
          <w:color w:val="000000" w:themeColor="text1"/>
          <w:szCs w:val="24"/>
        </w:rPr>
        <w:t>服药后留观期</w:t>
      </w:r>
      <w:r w:rsidRPr="00B12FE0">
        <w:rPr>
          <w:rFonts w:ascii="宋体" w:hAnsi="宋体"/>
          <w:color w:val="000000" w:themeColor="text1"/>
          <w:szCs w:val="24"/>
        </w:rPr>
        <w:t>间严禁随意活动，严禁在通道内穿行，以避免与其他受检者之间的交叉照射；</w:t>
      </w:r>
      <w:r w:rsidRPr="00B12FE0">
        <w:rPr>
          <w:rFonts w:ascii="宋体" w:hAnsi="宋体" w:hint="eastAsia"/>
          <w:color w:val="000000" w:themeColor="text1"/>
          <w:szCs w:val="24"/>
        </w:rPr>
        <w:t>甲亢</w:t>
      </w:r>
      <w:proofErr w:type="gramStart"/>
      <w:r w:rsidRPr="00B12FE0">
        <w:rPr>
          <w:rFonts w:ascii="宋体" w:hAnsi="宋体" w:hint="eastAsia"/>
          <w:color w:val="000000" w:themeColor="text1"/>
          <w:szCs w:val="24"/>
        </w:rPr>
        <w:t>留观室</w:t>
      </w:r>
      <w:r w:rsidRPr="00B12FE0">
        <w:rPr>
          <w:rFonts w:ascii="宋体" w:hAnsi="宋体"/>
          <w:color w:val="000000" w:themeColor="text1"/>
          <w:szCs w:val="24"/>
        </w:rPr>
        <w:t>设置</w:t>
      </w:r>
      <w:proofErr w:type="gramEnd"/>
      <w:r w:rsidRPr="00B12FE0">
        <w:rPr>
          <w:rFonts w:ascii="宋体" w:hAnsi="宋体"/>
          <w:color w:val="000000" w:themeColor="text1"/>
          <w:szCs w:val="24"/>
        </w:rPr>
        <w:t>专用厕所，并设置感应式</w:t>
      </w:r>
      <w:r w:rsidRPr="00B12FE0">
        <w:rPr>
          <w:color w:val="000000" w:themeColor="text1"/>
          <w:szCs w:val="24"/>
        </w:rPr>
        <w:t>+</w:t>
      </w:r>
      <w:r w:rsidRPr="00B12FE0">
        <w:rPr>
          <w:rFonts w:ascii="宋体" w:hAnsi="宋体"/>
          <w:color w:val="000000" w:themeColor="text1"/>
          <w:szCs w:val="24"/>
        </w:rPr>
        <w:t>水龙头和节水坐便器，废水收集至衰变池衰变处理。</w:t>
      </w:r>
    </w:p>
    <w:p w14:paraId="52C8AAA4" w14:textId="77777777" w:rsidR="00A67F21" w:rsidRPr="00B12FE0" w:rsidRDefault="00000000">
      <w:pPr>
        <w:spacing w:line="360" w:lineRule="auto"/>
        <w:ind w:firstLine="482"/>
        <w:jc w:val="left"/>
        <w:rPr>
          <w:bCs/>
          <w:color w:val="000000" w:themeColor="text1"/>
          <w:szCs w:val="24"/>
        </w:rPr>
      </w:pPr>
      <w:r w:rsidRPr="00B12FE0">
        <w:rPr>
          <w:rFonts w:hint="eastAsia"/>
          <w:color w:val="000000" w:themeColor="text1"/>
          <w:szCs w:val="24"/>
        </w:rPr>
        <w:t>6</w:t>
      </w:r>
      <w:r w:rsidRPr="00B12FE0">
        <w:rPr>
          <w:rFonts w:ascii="宋体" w:hAnsi="宋体"/>
          <w:color w:val="000000" w:themeColor="text1"/>
          <w:szCs w:val="24"/>
        </w:rPr>
        <w:t>）</w:t>
      </w:r>
      <w:r w:rsidRPr="00B12FE0">
        <w:rPr>
          <w:rFonts w:ascii="宋体" w:hAnsi="宋体"/>
          <w:bCs/>
          <w:color w:val="000000" w:themeColor="text1"/>
          <w:szCs w:val="24"/>
        </w:rPr>
        <w:t>内照射防护措施</w:t>
      </w:r>
    </w:p>
    <w:p w14:paraId="7747436C" w14:textId="77777777" w:rsidR="00A67F21" w:rsidRPr="00B12FE0" w:rsidRDefault="00000000">
      <w:pPr>
        <w:adjustRightInd w:val="0"/>
        <w:snapToGrid w:val="0"/>
        <w:spacing w:line="360" w:lineRule="auto"/>
        <w:ind w:firstLine="482"/>
        <w:rPr>
          <w:color w:val="000000" w:themeColor="text1"/>
          <w:szCs w:val="24"/>
        </w:rPr>
      </w:pPr>
      <w:r w:rsidRPr="00B12FE0">
        <w:rPr>
          <w:rFonts w:ascii="宋体" w:hAnsi="宋体"/>
          <w:color w:val="000000" w:themeColor="text1"/>
          <w:szCs w:val="24"/>
        </w:rPr>
        <w:t>操作非密封型放射性药物时，液体洒落、挥发泄漏造成地面、工作台面、操作人员衣服、手套和空气等污染，污染的表面一方面成为外照射的辐射源，一方面通过皮肤渗透、呼吸、进食使放射性物质进入体内形成内照射。</w:t>
      </w:r>
    </w:p>
    <w:p w14:paraId="03F26B04" w14:textId="77777777" w:rsidR="00A67F21" w:rsidRPr="00B12FE0" w:rsidRDefault="00000000">
      <w:pPr>
        <w:adjustRightInd w:val="0"/>
        <w:snapToGrid w:val="0"/>
        <w:spacing w:line="360" w:lineRule="auto"/>
        <w:ind w:firstLine="482"/>
        <w:rPr>
          <w:color w:val="000000" w:themeColor="text1"/>
          <w:szCs w:val="24"/>
        </w:rPr>
      </w:pPr>
      <w:r w:rsidRPr="00B12FE0">
        <w:rPr>
          <w:rFonts w:ascii="宋体" w:hAnsi="宋体"/>
          <w:color w:val="000000" w:themeColor="text1"/>
          <w:szCs w:val="24"/>
        </w:rPr>
        <w:t>由于</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药物具有挥发性，为降低内照射对工作场所内辐射工作人员的影响，本项目要求</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核素采用自动</w:t>
      </w:r>
      <w:proofErr w:type="gramStart"/>
      <w:r w:rsidRPr="00B12FE0">
        <w:rPr>
          <w:rFonts w:ascii="宋体" w:hAnsi="宋体"/>
          <w:color w:val="000000" w:themeColor="text1"/>
          <w:szCs w:val="24"/>
        </w:rPr>
        <w:t>分碘仪</w:t>
      </w:r>
      <w:proofErr w:type="gramEnd"/>
      <w:r w:rsidRPr="00B12FE0">
        <w:rPr>
          <w:rFonts w:ascii="宋体" w:hAnsi="宋体"/>
          <w:color w:val="000000" w:themeColor="text1"/>
          <w:szCs w:val="24"/>
        </w:rPr>
        <w:t>进行分装，自动</w:t>
      </w:r>
      <w:proofErr w:type="gramStart"/>
      <w:r w:rsidRPr="00B12FE0">
        <w:rPr>
          <w:rFonts w:ascii="宋体" w:hAnsi="宋体"/>
          <w:color w:val="000000" w:themeColor="text1"/>
          <w:szCs w:val="24"/>
        </w:rPr>
        <w:t>分碘仪</w:t>
      </w:r>
      <w:proofErr w:type="gramEnd"/>
      <w:r w:rsidRPr="00B12FE0">
        <w:rPr>
          <w:rFonts w:ascii="宋体" w:hAnsi="宋体"/>
          <w:color w:val="000000" w:themeColor="text1"/>
          <w:szCs w:val="24"/>
        </w:rPr>
        <w:t>置于</w:t>
      </w:r>
      <w:r w:rsidRPr="00B12FE0">
        <w:rPr>
          <w:rFonts w:ascii="宋体" w:hAnsi="宋体" w:hint="eastAsia"/>
          <w:color w:val="000000" w:themeColor="text1"/>
          <w:szCs w:val="24"/>
        </w:rPr>
        <w:t>给药室</w:t>
      </w:r>
      <w:r w:rsidRPr="00B12FE0">
        <w:rPr>
          <w:rFonts w:ascii="宋体" w:hAnsi="宋体"/>
          <w:color w:val="000000" w:themeColor="text1"/>
          <w:szCs w:val="24"/>
        </w:rPr>
        <w:t>内。核素治疗场所设有通风设施，可以降低工作场所空气中的放射性物质浓度。严格规范工作人员的工作和生活习惯，禁止在核医学科场所饮食、饮水、化妆等；辐射工作人员定期进行培训，严格按照操作规程操作，尽量避免放射性药物洒漏。严格遵守个人卫生制度和安全操作规程，穿戴个人防护用品，如工作服、手套、口罩、帽子、防护眼镜等，防止</w:t>
      </w:r>
      <w:r w:rsidRPr="00B12FE0">
        <w:rPr>
          <w:color w:val="000000" w:themeColor="text1"/>
          <w:szCs w:val="24"/>
          <w:vertAlign w:val="superscript"/>
        </w:rPr>
        <w:t>131</w:t>
      </w:r>
      <w:r w:rsidRPr="00B12FE0">
        <w:rPr>
          <w:color w:val="000000" w:themeColor="text1"/>
          <w:szCs w:val="24"/>
        </w:rPr>
        <w:t>I</w:t>
      </w:r>
      <w:r w:rsidRPr="00B12FE0">
        <w:rPr>
          <w:rFonts w:ascii="宋体" w:hAnsi="宋体"/>
          <w:color w:val="000000" w:themeColor="text1"/>
          <w:szCs w:val="24"/>
        </w:rPr>
        <w:t>核素沾染手和体表。辐射工作人员离开</w:t>
      </w:r>
      <w:proofErr w:type="gramStart"/>
      <w:r w:rsidRPr="00B12FE0">
        <w:rPr>
          <w:rFonts w:ascii="宋体" w:hAnsi="宋体"/>
          <w:color w:val="000000" w:themeColor="text1"/>
          <w:szCs w:val="24"/>
        </w:rPr>
        <w:t>高活室时</w:t>
      </w:r>
      <w:proofErr w:type="gramEnd"/>
      <w:r w:rsidRPr="00B12FE0">
        <w:rPr>
          <w:rFonts w:ascii="宋体" w:hAnsi="宋体"/>
          <w:color w:val="000000" w:themeColor="text1"/>
          <w:szCs w:val="24"/>
        </w:rPr>
        <w:t>，必须在卫生</w:t>
      </w:r>
      <w:proofErr w:type="gramStart"/>
      <w:r w:rsidRPr="00B12FE0">
        <w:rPr>
          <w:rFonts w:ascii="宋体" w:hAnsi="宋体"/>
          <w:color w:val="000000" w:themeColor="text1"/>
          <w:szCs w:val="24"/>
        </w:rPr>
        <w:t>通过间</w:t>
      </w:r>
      <w:proofErr w:type="gramEnd"/>
      <w:r w:rsidRPr="00B12FE0">
        <w:rPr>
          <w:rFonts w:ascii="宋体" w:hAnsi="宋体"/>
          <w:color w:val="000000" w:themeColor="text1"/>
          <w:szCs w:val="24"/>
        </w:rPr>
        <w:t>进行表污监测和污染洗消后才能离开。</w:t>
      </w:r>
    </w:p>
    <w:p w14:paraId="060037C5" w14:textId="77777777" w:rsidR="00A67F21" w:rsidRPr="00B12FE0" w:rsidRDefault="00000000">
      <w:pPr>
        <w:adjustRightInd w:val="0"/>
        <w:snapToGrid w:val="0"/>
        <w:spacing w:line="360" w:lineRule="auto"/>
        <w:ind w:firstLine="480"/>
        <w:rPr>
          <w:color w:val="000000" w:themeColor="text1"/>
          <w:szCs w:val="24"/>
        </w:rPr>
      </w:pPr>
      <w:r w:rsidRPr="00B12FE0">
        <w:rPr>
          <w:rFonts w:hint="eastAsia"/>
          <w:color w:val="000000" w:themeColor="text1"/>
          <w:szCs w:val="24"/>
        </w:rPr>
        <w:t>7</w:t>
      </w:r>
      <w:r w:rsidRPr="00B12FE0">
        <w:rPr>
          <w:rFonts w:ascii="宋体" w:hAnsi="宋体"/>
          <w:color w:val="000000" w:themeColor="text1"/>
          <w:szCs w:val="24"/>
        </w:rPr>
        <w:t>）工作场所表面污染控制与防护</w:t>
      </w:r>
    </w:p>
    <w:p w14:paraId="516846B3" w14:textId="77777777" w:rsidR="00A67F21" w:rsidRPr="00B12FE0" w:rsidRDefault="00000000">
      <w:pPr>
        <w:adjustRightInd w:val="0"/>
        <w:snapToGrid w:val="0"/>
        <w:spacing w:line="360" w:lineRule="auto"/>
        <w:ind w:firstLine="480"/>
        <w:rPr>
          <w:color w:val="000000" w:themeColor="text1"/>
          <w:szCs w:val="24"/>
        </w:rPr>
      </w:pPr>
      <w:r w:rsidRPr="00B12FE0">
        <w:rPr>
          <w:rFonts w:ascii="Cambria Math" w:hAnsi="Cambria Math" w:cs="Cambria Math"/>
          <w:color w:val="000000" w:themeColor="text1"/>
          <w:szCs w:val="24"/>
        </w:rPr>
        <w:t>①</w:t>
      </w:r>
      <w:r w:rsidRPr="00B12FE0">
        <w:rPr>
          <w:rFonts w:ascii="宋体" w:hAnsi="宋体"/>
          <w:color w:val="000000" w:themeColor="text1"/>
          <w:szCs w:val="24"/>
        </w:rPr>
        <w:t>工作场所分区管理</w:t>
      </w:r>
    </w:p>
    <w:p w14:paraId="286D1B78"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本项目按照开展临床核医学非密封性放射性同位素的种类及用量，对工作场所进行了划分，从非活性区进出活性工作区需经卫生通过间（含淋浴和去污功能），并在卫生</w:t>
      </w:r>
      <w:proofErr w:type="gramStart"/>
      <w:r w:rsidRPr="00B12FE0">
        <w:rPr>
          <w:rFonts w:ascii="宋体" w:hAnsi="宋体"/>
          <w:color w:val="000000" w:themeColor="text1"/>
          <w:szCs w:val="24"/>
        </w:rPr>
        <w:t>通过间</w:t>
      </w:r>
      <w:proofErr w:type="gramEnd"/>
      <w:r w:rsidRPr="00B12FE0">
        <w:rPr>
          <w:rFonts w:ascii="宋体" w:hAnsi="宋体"/>
          <w:color w:val="000000" w:themeColor="text1"/>
          <w:szCs w:val="24"/>
        </w:rPr>
        <w:t>内设置</w:t>
      </w:r>
      <w:proofErr w:type="gramStart"/>
      <w:r w:rsidRPr="00B12FE0">
        <w:rPr>
          <w:rFonts w:ascii="宋体" w:hAnsi="宋体"/>
          <w:color w:val="000000" w:themeColor="text1"/>
          <w:szCs w:val="24"/>
        </w:rPr>
        <w:t>检测区</w:t>
      </w:r>
      <w:proofErr w:type="gramEnd"/>
      <w:r w:rsidRPr="00B12FE0">
        <w:rPr>
          <w:rFonts w:ascii="宋体" w:hAnsi="宋体"/>
          <w:color w:val="000000" w:themeColor="text1"/>
          <w:szCs w:val="24"/>
        </w:rPr>
        <w:t>和消洗设施，检测区内配备表面污染监测仪等检测设备。</w:t>
      </w:r>
    </w:p>
    <w:p w14:paraId="7CC38748" w14:textId="77777777" w:rsidR="00A67F21" w:rsidRPr="00B12FE0" w:rsidRDefault="00000000">
      <w:pPr>
        <w:adjustRightInd w:val="0"/>
        <w:snapToGrid w:val="0"/>
        <w:spacing w:line="360" w:lineRule="auto"/>
        <w:ind w:firstLine="480"/>
        <w:rPr>
          <w:color w:val="000000" w:themeColor="text1"/>
          <w:szCs w:val="24"/>
        </w:rPr>
      </w:pPr>
      <w:r w:rsidRPr="00B12FE0">
        <w:rPr>
          <w:rFonts w:ascii="Cambria Math" w:hAnsi="Cambria Math" w:cs="Cambria Math"/>
          <w:color w:val="000000" w:themeColor="text1"/>
          <w:szCs w:val="24"/>
        </w:rPr>
        <w:t>②</w:t>
      </w:r>
      <w:r w:rsidRPr="00B12FE0">
        <w:rPr>
          <w:rFonts w:ascii="宋体" w:hAnsi="宋体"/>
          <w:color w:val="000000" w:themeColor="text1"/>
          <w:szCs w:val="24"/>
        </w:rPr>
        <w:t>工作场所表面污染防护</w:t>
      </w:r>
    </w:p>
    <w:p w14:paraId="7429DA4D"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涉及放射性药物操作的工作场所拟按要求采用易清洗且不易渗透材料（如</w:t>
      </w:r>
      <w:r w:rsidRPr="00B12FE0">
        <w:rPr>
          <w:color w:val="000000" w:themeColor="text1"/>
          <w:szCs w:val="24"/>
        </w:rPr>
        <w:t>PVC</w:t>
      </w:r>
      <w:r w:rsidRPr="00B12FE0">
        <w:rPr>
          <w:rFonts w:ascii="宋体" w:hAnsi="宋体"/>
          <w:color w:val="000000" w:themeColor="text1"/>
          <w:szCs w:val="24"/>
        </w:rPr>
        <w:t>板等），拐角使用弧线处理；地面要求平整光滑，易于清洗，可铺设塑料地坪或涂刷塑料油漆；墙面要求平整光滑，</w:t>
      </w:r>
      <w:r w:rsidRPr="00B12FE0">
        <w:rPr>
          <w:color w:val="000000" w:themeColor="text1"/>
          <w:szCs w:val="24"/>
        </w:rPr>
        <w:t>1</w:t>
      </w:r>
      <w:r w:rsidRPr="00B12FE0">
        <w:rPr>
          <w:rFonts w:ascii="宋体" w:hAnsi="宋体"/>
          <w:color w:val="000000" w:themeColor="text1"/>
          <w:szCs w:val="24"/>
        </w:rPr>
        <w:t>米以下部</w:t>
      </w:r>
      <w:proofErr w:type="gramStart"/>
      <w:r w:rsidRPr="00B12FE0">
        <w:rPr>
          <w:rFonts w:ascii="宋体" w:hAnsi="宋体"/>
          <w:color w:val="000000" w:themeColor="text1"/>
          <w:szCs w:val="24"/>
        </w:rPr>
        <w:t>位拟</w:t>
      </w:r>
      <w:proofErr w:type="gramEnd"/>
      <w:r w:rsidRPr="00B12FE0">
        <w:rPr>
          <w:rFonts w:ascii="宋体" w:hAnsi="宋体"/>
          <w:color w:val="000000" w:themeColor="text1"/>
          <w:szCs w:val="24"/>
        </w:rPr>
        <w:t>采用浅色无光耐酸油漆或其他易于清洗的涂料，瓷质面砖等；工作台面要求平整、光滑、易于清洗。可以铺砌磨光花岗岩板材或不锈钢面板等。墙面与地面、墙面与顶棚、墙面连接转角处，以及工作台边沿宜采取弧形无接缝措施，以尽可能减少表面污染。</w:t>
      </w:r>
    </w:p>
    <w:p w14:paraId="04A8B3A3"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lastRenderedPageBreak/>
        <w:t>放射性药物的淋洗标记、测活</w:t>
      </w:r>
      <w:r w:rsidRPr="00B12FE0">
        <w:rPr>
          <w:rFonts w:ascii="宋体" w:hAnsi="宋体" w:hint="eastAsia"/>
          <w:color w:val="000000" w:themeColor="text1"/>
          <w:szCs w:val="24"/>
        </w:rPr>
        <w:t>、操作</w:t>
      </w:r>
      <w:r w:rsidRPr="00B12FE0">
        <w:rPr>
          <w:rFonts w:ascii="宋体" w:hAnsi="宋体"/>
          <w:color w:val="000000" w:themeColor="text1"/>
          <w:szCs w:val="24"/>
        </w:rPr>
        <w:t>均在手套箱内进行，手套箱内操作台面要求光滑、平整、易于清洗去污。所有涉及放射性物质操作都必须在铺衬有吸水纸的瓷盘内进行。</w:t>
      </w:r>
    </w:p>
    <w:p w14:paraId="57002AD6" w14:textId="77777777" w:rsidR="00A67F21" w:rsidRPr="00B12FE0" w:rsidRDefault="00000000">
      <w:pPr>
        <w:adjustRightInd w:val="0"/>
        <w:snapToGrid w:val="0"/>
        <w:spacing w:line="360" w:lineRule="auto"/>
        <w:ind w:firstLine="480"/>
        <w:rPr>
          <w:color w:val="000000" w:themeColor="text1"/>
          <w:szCs w:val="24"/>
        </w:rPr>
      </w:pPr>
      <w:r w:rsidRPr="00B12FE0">
        <w:rPr>
          <w:rFonts w:hint="eastAsia"/>
          <w:color w:val="000000" w:themeColor="text1"/>
          <w:szCs w:val="24"/>
        </w:rPr>
        <w:t>8</w:t>
      </w:r>
      <w:r w:rsidRPr="00B12FE0">
        <w:rPr>
          <w:rFonts w:ascii="宋体" w:hAnsi="宋体"/>
          <w:color w:val="000000" w:themeColor="text1"/>
          <w:szCs w:val="24"/>
        </w:rPr>
        <w:t>）工作人员的防护措施</w:t>
      </w:r>
    </w:p>
    <w:p w14:paraId="3C783D8B"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color w:val="000000" w:themeColor="text1"/>
          <w:szCs w:val="24"/>
        </w:rPr>
        <w:t>辐射工作人员进入</w:t>
      </w:r>
      <w:proofErr w:type="gramStart"/>
      <w:r w:rsidRPr="00B12FE0">
        <w:rPr>
          <w:rFonts w:ascii="宋体" w:hAnsi="宋体"/>
          <w:color w:val="000000" w:themeColor="text1"/>
          <w:szCs w:val="24"/>
        </w:rPr>
        <w:t>高活室需</w:t>
      </w:r>
      <w:proofErr w:type="gramEnd"/>
      <w:r w:rsidRPr="00B12FE0">
        <w:rPr>
          <w:rFonts w:ascii="宋体" w:hAnsi="宋体"/>
          <w:color w:val="000000" w:themeColor="text1"/>
          <w:szCs w:val="24"/>
        </w:rPr>
        <w:t>经卫生</w:t>
      </w:r>
      <w:proofErr w:type="gramStart"/>
      <w:r w:rsidRPr="00B12FE0">
        <w:rPr>
          <w:rFonts w:ascii="宋体" w:hAnsi="宋体"/>
          <w:color w:val="000000" w:themeColor="text1"/>
          <w:szCs w:val="24"/>
        </w:rPr>
        <w:t>通过间</w:t>
      </w:r>
      <w:proofErr w:type="gramEnd"/>
      <w:r w:rsidRPr="00B12FE0">
        <w:rPr>
          <w:rFonts w:ascii="宋体" w:hAnsi="宋体"/>
          <w:color w:val="000000" w:themeColor="text1"/>
          <w:szCs w:val="24"/>
        </w:rPr>
        <w:t>更换服装，并穿戴工作服、帽、鞋、防护口罩、胶质手套及相应个人防护用品。工作人员离开高活室，</w:t>
      </w:r>
      <w:proofErr w:type="gramStart"/>
      <w:r w:rsidRPr="00B12FE0">
        <w:rPr>
          <w:rFonts w:ascii="宋体" w:hAnsi="宋体"/>
          <w:color w:val="000000" w:themeColor="text1"/>
          <w:szCs w:val="24"/>
        </w:rPr>
        <w:t>需返经卫生</w:t>
      </w:r>
      <w:proofErr w:type="gramEnd"/>
      <w:r w:rsidRPr="00B12FE0">
        <w:rPr>
          <w:rFonts w:ascii="宋体" w:hAnsi="宋体"/>
          <w:color w:val="000000" w:themeColor="text1"/>
          <w:szCs w:val="24"/>
        </w:rPr>
        <w:t>通过间，经对工作服、手部等体表部位进行污染测定，确认未受放射污染，方可更衣离开。如果发现污染，工作服需进行清洗、处理，经清洗消除污染后，需再次监测，直至污染达到标准限值以下后方可使用；皮肤、手部等体表部位污染，</w:t>
      </w:r>
      <w:proofErr w:type="gramStart"/>
      <w:r w:rsidRPr="00B12FE0">
        <w:rPr>
          <w:rFonts w:ascii="宋体" w:hAnsi="宋体"/>
          <w:color w:val="000000" w:themeColor="text1"/>
          <w:szCs w:val="24"/>
        </w:rPr>
        <w:t>需至淋浴间</w:t>
      </w:r>
      <w:proofErr w:type="gramEnd"/>
      <w:r w:rsidRPr="00B12FE0">
        <w:rPr>
          <w:rFonts w:ascii="宋体" w:hAnsi="宋体"/>
          <w:color w:val="000000" w:themeColor="text1"/>
          <w:szCs w:val="24"/>
        </w:rPr>
        <w:t>进行清洗、处理，经清洗消除污染后，需再次监测，直至污染达到标准限值以下后方可离开。</w:t>
      </w:r>
    </w:p>
    <w:p w14:paraId="6BDDC341" w14:textId="77777777" w:rsidR="00A67F21" w:rsidRPr="00B12FE0" w:rsidRDefault="00000000">
      <w:pPr>
        <w:adjustRightInd w:val="0"/>
        <w:snapToGrid w:val="0"/>
        <w:spacing w:line="360" w:lineRule="auto"/>
        <w:ind w:firstLine="480"/>
        <w:rPr>
          <w:color w:val="000000" w:themeColor="text1"/>
          <w:szCs w:val="24"/>
        </w:rPr>
      </w:pPr>
      <w:r w:rsidRPr="00B12FE0">
        <w:rPr>
          <w:rFonts w:hint="eastAsia"/>
          <w:color w:val="000000" w:themeColor="text1"/>
          <w:szCs w:val="24"/>
        </w:rPr>
        <w:t>9</w:t>
      </w:r>
      <w:r w:rsidRPr="00B12FE0">
        <w:rPr>
          <w:rFonts w:ascii="宋体" w:hAnsi="宋体"/>
          <w:color w:val="000000" w:themeColor="text1"/>
          <w:szCs w:val="24"/>
        </w:rPr>
        <w:t>）对受检者的防护</w:t>
      </w:r>
    </w:p>
    <w:p w14:paraId="35987293"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hint="eastAsia"/>
          <w:color w:val="000000" w:themeColor="text1"/>
          <w:szCs w:val="24"/>
        </w:rPr>
        <w:t>本项目</w:t>
      </w:r>
      <w:r w:rsidRPr="00B12FE0">
        <w:rPr>
          <w:rFonts w:ascii="宋体" w:hAnsi="宋体"/>
          <w:color w:val="000000" w:themeColor="text1"/>
          <w:szCs w:val="24"/>
        </w:rPr>
        <w:t>核医学</w:t>
      </w:r>
      <w:r w:rsidRPr="00B12FE0">
        <w:rPr>
          <w:rFonts w:ascii="宋体" w:hAnsi="宋体" w:hint="eastAsia"/>
          <w:color w:val="000000" w:themeColor="text1"/>
          <w:szCs w:val="24"/>
        </w:rPr>
        <w:t>科</w:t>
      </w:r>
      <w:r w:rsidRPr="00B12FE0">
        <w:rPr>
          <w:rFonts w:ascii="宋体" w:hAnsi="宋体"/>
          <w:color w:val="000000" w:themeColor="text1"/>
          <w:szCs w:val="24"/>
        </w:rPr>
        <w:t>场所中相应位置</w:t>
      </w:r>
      <w:r w:rsidRPr="00B12FE0">
        <w:rPr>
          <w:rFonts w:ascii="宋体" w:hAnsi="宋体" w:hint="eastAsia"/>
          <w:color w:val="000000" w:themeColor="text1"/>
          <w:szCs w:val="24"/>
        </w:rPr>
        <w:t>配备</w:t>
      </w:r>
      <w:r w:rsidRPr="00B12FE0">
        <w:rPr>
          <w:rFonts w:ascii="宋体" w:hAnsi="宋体"/>
          <w:color w:val="000000" w:themeColor="text1"/>
          <w:szCs w:val="24"/>
        </w:rPr>
        <w:t>有明确的患者或受检者导向标识或导向提示。</w:t>
      </w:r>
    </w:p>
    <w:p w14:paraId="347042DA" w14:textId="77777777" w:rsidR="00A67F21" w:rsidRPr="00B12FE0" w:rsidRDefault="00000000">
      <w:pPr>
        <w:adjustRightInd w:val="0"/>
        <w:snapToGrid w:val="0"/>
        <w:spacing w:line="360" w:lineRule="auto"/>
        <w:ind w:firstLine="480"/>
        <w:rPr>
          <w:color w:val="000000" w:themeColor="text1"/>
          <w:szCs w:val="24"/>
        </w:rPr>
      </w:pPr>
      <w:r w:rsidRPr="00B12FE0">
        <w:rPr>
          <w:rFonts w:ascii="宋体" w:hAnsi="宋体" w:hint="eastAsia"/>
          <w:color w:val="000000" w:themeColor="text1"/>
          <w:szCs w:val="24"/>
        </w:rPr>
        <w:t>诊断</w:t>
      </w:r>
      <w:r w:rsidRPr="00B12FE0">
        <w:rPr>
          <w:rFonts w:ascii="宋体" w:hAnsi="宋体"/>
          <w:color w:val="000000" w:themeColor="text1"/>
          <w:szCs w:val="24"/>
        </w:rPr>
        <w:t>场所：受检者根据预约按时来院，在患者注射室注射窗接受注射药物，到指定地点候诊、检查，不应随意走动，并在受检者专用厕所如厕。检查完毕由专门出口处离开，尽量减少对其他人员的影响。</w:t>
      </w:r>
      <w:proofErr w:type="gramStart"/>
      <w:r w:rsidRPr="00B12FE0">
        <w:rPr>
          <w:rFonts w:ascii="宋体" w:hAnsi="宋体"/>
          <w:color w:val="000000" w:themeColor="text1"/>
          <w:szCs w:val="24"/>
        </w:rPr>
        <w:t>甲测患者</w:t>
      </w:r>
      <w:proofErr w:type="gramEnd"/>
      <w:r w:rsidRPr="00B12FE0">
        <w:rPr>
          <w:rFonts w:ascii="宋体" w:hAnsi="宋体"/>
          <w:color w:val="000000" w:themeColor="text1"/>
          <w:szCs w:val="24"/>
        </w:rPr>
        <w:t>在</w:t>
      </w:r>
      <w:proofErr w:type="gramStart"/>
      <w:r w:rsidRPr="00B12FE0">
        <w:rPr>
          <w:rFonts w:ascii="宋体" w:hAnsi="宋体" w:hint="eastAsia"/>
          <w:color w:val="000000" w:themeColor="text1"/>
          <w:szCs w:val="24"/>
        </w:rPr>
        <w:t>甲测</w:t>
      </w:r>
      <w:r w:rsidRPr="00B12FE0">
        <w:rPr>
          <w:rFonts w:ascii="宋体" w:hAnsi="宋体"/>
          <w:color w:val="000000" w:themeColor="text1"/>
          <w:szCs w:val="24"/>
        </w:rPr>
        <w:t>室</w:t>
      </w:r>
      <w:proofErr w:type="gramEnd"/>
      <w:r w:rsidRPr="00B12FE0">
        <w:rPr>
          <w:rFonts w:ascii="宋体" w:hAnsi="宋体"/>
          <w:color w:val="000000" w:themeColor="text1"/>
          <w:szCs w:val="24"/>
        </w:rPr>
        <w:t>服药窗口口服药物后，</w:t>
      </w:r>
      <w:r w:rsidRPr="00B12FE0">
        <w:rPr>
          <w:rFonts w:ascii="宋体" w:hAnsi="宋体" w:hint="eastAsia"/>
          <w:color w:val="000000" w:themeColor="text1"/>
          <w:szCs w:val="24"/>
        </w:rPr>
        <w:t>原路返回</w:t>
      </w:r>
      <w:r w:rsidRPr="00B12FE0">
        <w:rPr>
          <w:rFonts w:ascii="宋体" w:hAnsi="宋体"/>
          <w:color w:val="000000" w:themeColor="text1"/>
          <w:szCs w:val="24"/>
        </w:rPr>
        <w:t>离开核医学科，随后</w:t>
      </w:r>
      <w:r w:rsidRPr="00B12FE0">
        <w:rPr>
          <w:color w:val="000000" w:themeColor="text1"/>
          <w:szCs w:val="24"/>
        </w:rPr>
        <w:t>2h</w:t>
      </w:r>
      <w:r w:rsidRPr="00B12FE0">
        <w:rPr>
          <w:rFonts w:ascii="宋体" w:hAnsi="宋体"/>
          <w:color w:val="000000" w:themeColor="text1"/>
          <w:szCs w:val="24"/>
        </w:rPr>
        <w:t>、</w:t>
      </w:r>
      <w:r w:rsidRPr="00B12FE0">
        <w:rPr>
          <w:color w:val="000000" w:themeColor="text1"/>
          <w:szCs w:val="24"/>
        </w:rPr>
        <w:t>4h</w:t>
      </w:r>
      <w:r w:rsidRPr="00B12FE0">
        <w:rPr>
          <w:rFonts w:ascii="宋体" w:hAnsi="宋体"/>
          <w:color w:val="000000" w:themeColor="text1"/>
          <w:szCs w:val="24"/>
        </w:rPr>
        <w:t>、</w:t>
      </w:r>
      <w:r w:rsidRPr="00B12FE0">
        <w:rPr>
          <w:color w:val="000000" w:themeColor="text1"/>
          <w:szCs w:val="24"/>
        </w:rPr>
        <w:t>6h</w:t>
      </w:r>
      <w:r w:rsidRPr="00B12FE0">
        <w:rPr>
          <w:rFonts w:ascii="宋体" w:hAnsi="宋体"/>
          <w:color w:val="000000" w:themeColor="text1"/>
          <w:szCs w:val="24"/>
        </w:rPr>
        <w:t>和</w:t>
      </w:r>
      <w:r w:rsidRPr="00B12FE0">
        <w:rPr>
          <w:color w:val="000000" w:themeColor="text1"/>
          <w:szCs w:val="24"/>
        </w:rPr>
        <w:t>24h</w:t>
      </w:r>
      <w:r w:rsidRPr="00B12FE0">
        <w:rPr>
          <w:rFonts w:ascii="宋体" w:hAnsi="宋体"/>
          <w:color w:val="000000" w:themeColor="text1"/>
          <w:szCs w:val="24"/>
        </w:rPr>
        <w:t>后返回</w:t>
      </w:r>
      <w:proofErr w:type="gramStart"/>
      <w:r w:rsidRPr="00B12FE0">
        <w:rPr>
          <w:rFonts w:ascii="宋体" w:hAnsi="宋体"/>
          <w:color w:val="000000" w:themeColor="text1"/>
          <w:szCs w:val="24"/>
        </w:rPr>
        <w:t>甲测室</w:t>
      </w:r>
      <w:proofErr w:type="gramEnd"/>
      <w:r w:rsidRPr="00B12FE0">
        <w:rPr>
          <w:rFonts w:ascii="宋体" w:hAnsi="宋体"/>
          <w:color w:val="000000" w:themeColor="text1"/>
          <w:szCs w:val="24"/>
        </w:rPr>
        <w:t>进行检查。</w:t>
      </w:r>
      <w:r w:rsidRPr="00B12FE0">
        <w:rPr>
          <w:rFonts w:ascii="宋体" w:hAnsi="宋体" w:hint="eastAsia"/>
          <w:color w:val="000000" w:themeColor="text1"/>
          <w:szCs w:val="24"/>
        </w:rPr>
        <w:t>敷贴患者在</w:t>
      </w:r>
      <w:proofErr w:type="gramStart"/>
      <w:r w:rsidRPr="00B12FE0">
        <w:rPr>
          <w:rFonts w:ascii="宋体" w:hAnsi="宋体" w:hint="eastAsia"/>
          <w:color w:val="000000" w:themeColor="text1"/>
          <w:szCs w:val="24"/>
        </w:rPr>
        <w:t>敷贴室</w:t>
      </w:r>
      <w:proofErr w:type="gramEnd"/>
      <w:r w:rsidRPr="00B12FE0">
        <w:rPr>
          <w:rFonts w:ascii="宋体" w:hAnsi="宋体" w:hint="eastAsia"/>
          <w:color w:val="000000" w:themeColor="text1"/>
          <w:szCs w:val="24"/>
        </w:rPr>
        <w:t>敷贴完成后，有原路返回离开核医学科，</w:t>
      </w:r>
      <w:r w:rsidRPr="00B12FE0">
        <w:rPr>
          <w:rFonts w:ascii="宋体" w:hAnsi="宋体"/>
          <w:color w:val="000000" w:themeColor="text1"/>
          <w:szCs w:val="24"/>
        </w:rPr>
        <w:t>甲亢患者在</w:t>
      </w:r>
      <w:proofErr w:type="gramStart"/>
      <w:r w:rsidRPr="00B12FE0">
        <w:rPr>
          <w:rFonts w:ascii="宋体" w:hAnsi="宋体" w:hint="eastAsia"/>
          <w:color w:val="000000" w:themeColor="text1"/>
          <w:szCs w:val="24"/>
        </w:rPr>
        <w:t>服碘室</w:t>
      </w:r>
      <w:proofErr w:type="gramEnd"/>
      <w:r w:rsidRPr="00B12FE0">
        <w:rPr>
          <w:rFonts w:ascii="宋体" w:hAnsi="宋体"/>
          <w:color w:val="000000" w:themeColor="text1"/>
          <w:szCs w:val="24"/>
        </w:rPr>
        <w:t>服药窗口口服药物后，</w:t>
      </w:r>
      <w:r w:rsidRPr="00B12FE0">
        <w:rPr>
          <w:rFonts w:ascii="宋体" w:hAnsi="宋体" w:hint="eastAsia"/>
          <w:color w:val="000000" w:themeColor="text1"/>
          <w:szCs w:val="24"/>
        </w:rPr>
        <w:t>利用甲亢</w:t>
      </w:r>
      <w:proofErr w:type="gramStart"/>
      <w:r w:rsidRPr="00B12FE0">
        <w:rPr>
          <w:rFonts w:ascii="宋体" w:hAnsi="宋体" w:hint="eastAsia"/>
          <w:color w:val="000000" w:themeColor="text1"/>
          <w:szCs w:val="24"/>
        </w:rPr>
        <w:t>留观室</w:t>
      </w:r>
      <w:r w:rsidRPr="00B12FE0">
        <w:rPr>
          <w:rFonts w:ascii="宋体" w:hAnsi="宋体"/>
          <w:color w:val="000000" w:themeColor="text1"/>
          <w:szCs w:val="24"/>
        </w:rPr>
        <w:t>短暂</w:t>
      </w:r>
      <w:proofErr w:type="gramEnd"/>
      <w:r w:rsidRPr="00B12FE0">
        <w:rPr>
          <w:rFonts w:ascii="宋体" w:hAnsi="宋体"/>
          <w:color w:val="000000" w:themeColor="text1"/>
          <w:szCs w:val="24"/>
        </w:rPr>
        <w:t>留观后，由患者出口离开核医学科。为防止无关人员进入控制区，核素诊断场所控制区走廊入口的防护门、检查出口门设置为带门禁系统的单向门，实现</w:t>
      </w:r>
      <w:r w:rsidRPr="00B12FE0">
        <w:rPr>
          <w:color w:val="000000" w:themeColor="text1"/>
          <w:szCs w:val="24"/>
        </w:rPr>
        <w:t>“</w:t>
      </w:r>
      <w:r w:rsidRPr="00B12FE0">
        <w:rPr>
          <w:rFonts w:ascii="宋体" w:hAnsi="宋体"/>
          <w:color w:val="000000" w:themeColor="text1"/>
          <w:szCs w:val="24"/>
        </w:rPr>
        <w:t>入口受检者只入不出、出口受检者只出不入</w:t>
      </w:r>
      <w:r w:rsidRPr="00B12FE0">
        <w:rPr>
          <w:color w:val="000000" w:themeColor="text1"/>
          <w:szCs w:val="24"/>
        </w:rPr>
        <w:t>”</w:t>
      </w:r>
      <w:r w:rsidRPr="00B12FE0">
        <w:rPr>
          <w:rFonts w:ascii="宋体" w:hAnsi="宋体"/>
          <w:color w:val="000000" w:themeColor="text1"/>
          <w:szCs w:val="24"/>
        </w:rPr>
        <w:t>，保证控制区内受检者的单向流动，避免无关人员进入控制区；并且在控制区走廊出入口的防护门处设置固定式辐射监测报警仪，当有给药后人员从该门进入非活性区时，</w:t>
      </w:r>
      <w:proofErr w:type="gramStart"/>
      <w:r w:rsidRPr="00B12FE0">
        <w:rPr>
          <w:rFonts w:ascii="宋体" w:hAnsi="宋体"/>
          <w:color w:val="000000" w:themeColor="text1"/>
          <w:szCs w:val="24"/>
        </w:rPr>
        <w:t>报警仪会发出</w:t>
      </w:r>
      <w:proofErr w:type="gramEnd"/>
      <w:r w:rsidRPr="00B12FE0">
        <w:rPr>
          <w:rFonts w:ascii="宋体" w:hAnsi="宋体"/>
          <w:color w:val="000000" w:themeColor="text1"/>
          <w:szCs w:val="24"/>
        </w:rPr>
        <w:t>警示提示音。</w:t>
      </w:r>
    </w:p>
    <w:p w14:paraId="51C169AE"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宋体" w:hAnsi="宋体" w:hint="eastAsia"/>
          <w:color w:val="000000" w:themeColor="text1"/>
          <w:szCs w:val="24"/>
        </w:rPr>
        <w:t>治疗场所：</w:t>
      </w:r>
      <w:proofErr w:type="gramStart"/>
      <w:r w:rsidRPr="00B12FE0">
        <w:rPr>
          <w:rFonts w:ascii="宋体" w:hAnsi="宋体"/>
          <w:color w:val="000000" w:themeColor="text1"/>
          <w:szCs w:val="24"/>
        </w:rPr>
        <w:t>甲癌患者</w:t>
      </w:r>
      <w:proofErr w:type="gramEnd"/>
      <w:r w:rsidRPr="00B12FE0">
        <w:rPr>
          <w:rFonts w:ascii="宋体" w:hAnsi="宋体"/>
          <w:color w:val="000000" w:themeColor="text1"/>
          <w:szCs w:val="24"/>
        </w:rPr>
        <w:t>在</w:t>
      </w:r>
      <w:r w:rsidRPr="00B12FE0">
        <w:rPr>
          <w:rFonts w:ascii="宋体" w:hAnsi="宋体" w:hint="eastAsia"/>
          <w:color w:val="000000" w:themeColor="text1"/>
          <w:szCs w:val="24"/>
        </w:rPr>
        <w:t>服药</w:t>
      </w:r>
      <w:r w:rsidRPr="00B12FE0">
        <w:rPr>
          <w:rFonts w:ascii="宋体" w:hAnsi="宋体"/>
          <w:color w:val="000000" w:themeColor="text1"/>
          <w:szCs w:val="24"/>
        </w:rPr>
        <w:t>室服药窗口口服药物后到指定病房</w:t>
      </w:r>
      <w:r w:rsidRPr="00B12FE0">
        <w:rPr>
          <w:rFonts w:ascii="宋体" w:hAnsi="宋体" w:hint="eastAsia"/>
          <w:color w:val="000000" w:themeColor="text1"/>
          <w:szCs w:val="24"/>
        </w:rPr>
        <w:t>（本项目病房为单人间）</w:t>
      </w:r>
      <w:r w:rsidRPr="00B12FE0">
        <w:rPr>
          <w:rFonts w:ascii="宋体" w:hAnsi="宋体"/>
          <w:color w:val="000000" w:themeColor="text1"/>
          <w:szCs w:val="24"/>
        </w:rPr>
        <w:t>住院治疗，住院期间不应随意走动，并在病房内专用厕所如厕</w:t>
      </w:r>
      <w:r w:rsidRPr="00B12FE0">
        <w:rPr>
          <w:rFonts w:ascii="宋体" w:hAnsi="宋体" w:hint="eastAsia"/>
          <w:color w:val="000000" w:themeColor="text1"/>
          <w:szCs w:val="24"/>
        </w:rPr>
        <w:t>，住院患者产生的排泄物进入本项目的衰变池进行衰变，满足相关要求后再排入医院污水处理站。本项目住院患者使用过的被服先放入被服间进行衰变，衰变至少一个半衰期再进行清洗；本</w:t>
      </w:r>
      <w:proofErr w:type="gramStart"/>
      <w:r w:rsidRPr="00B12FE0">
        <w:rPr>
          <w:rFonts w:ascii="宋体" w:hAnsi="宋体" w:hint="eastAsia"/>
          <w:color w:val="000000" w:themeColor="text1"/>
          <w:szCs w:val="24"/>
        </w:rPr>
        <w:t>项目甲癌病房</w:t>
      </w:r>
      <w:proofErr w:type="gramEnd"/>
      <w:r w:rsidRPr="00B12FE0">
        <w:rPr>
          <w:rFonts w:ascii="宋体" w:hAnsi="宋体" w:hint="eastAsia"/>
          <w:color w:val="000000" w:themeColor="text1"/>
          <w:szCs w:val="24"/>
        </w:rPr>
        <w:t>场所配备专用的保洁用品（并且</w:t>
      </w:r>
      <w:proofErr w:type="gramStart"/>
      <w:r w:rsidRPr="00B12FE0">
        <w:rPr>
          <w:rFonts w:ascii="宋体" w:hAnsi="宋体" w:hint="eastAsia"/>
          <w:color w:val="000000" w:themeColor="text1"/>
          <w:szCs w:val="24"/>
        </w:rPr>
        <w:t>不</w:t>
      </w:r>
      <w:proofErr w:type="gramEnd"/>
      <w:r w:rsidRPr="00B12FE0">
        <w:rPr>
          <w:rFonts w:ascii="宋体" w:hAnsi="宋体" w:hint="eastAsia"/>
          <w:color w:val="000000" w:themeColor="text1"/>
          <w:szCs w:val="24"/>
        </w:rPr>
        <w:t>与其他核医学科场所混用），且病房区域内有存放及清洗保洁用品的场所。</w:t>
      </w:r>
    </w:p>
    <w:p w14:paraId="040012CE"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proofErr w:type="gramStart"/>
      <w:r w:rsidRPr="00B12FE0">
        <w:rPr>
          <w:rFonts w:ascii="宋体" w:hAnsi="宋体"/>
          <w:color w:val="000000" w:themeColor="text1"/>
          <w:szCs w:val="24"/>
        </w:rPr>
        <w:t>甲癌病区</w:t>
      </w:r>
      <w:proofErr w:type="gramEnd"/>
      <w:r w:rsidRPr="00B12FE0">
        <w:rPr>
          <w:rFonts w:ascii="宋体" w:hAnsi="宋体"/>
          <w:color w:val="000000" w:themeColor="text1"/>
          <w:szCs w:val="24"/>
        </w:rPr>
        <w:t>专门设置取餐口，防止无关人员</w:t>
      </w:r>
      <w:proofErr w:type="gramStart"/>
      <w:r w:rsidRPr="00B12FE0">
        <w:rPr>
          <w:rFonts w:ascii="宋体" w:hAnsi="宋体"/>
          <w:color w:val="000000" w:themeColor="text1"/>
          <w:szCs w:val="24"/>
        </w:rPr>
        <w:t>进入甲癌病区</w:t>
      </w:r>
      <w:proofErr w:type="gramEnd"/>
      <w:r w:rsidRPr="00B12FE0">
        <w:rPr>
          <w:rFonts w:ascii="宋体" w:hAnsi="宋体"/>
          <w:color w:val="000000" w:themeColor="text1"/>
          <w:szCs w:val="24"/>
        </w:rPr>
        <w:t>，</w:t>
      </w:r>
      <w:proofErr w:type="gramStart"/>
      <w:r w:rsidRPr="00B12FE0">
        <w:rPr>
          <w:rFonts w:ascii="宋体" w:hAnsi="宋体"/>
          <w:color w:val="000000" w:themeColor="text1"/>
          <w:szCs w:val="24"/>
        </w:rPr>
        <w:t>甲癌病人</w:t>
      </w:r>
      <w:proofErr w:type="gramEnd"/>
      <w:r w:rsidRPr="00B12FE0">
        <w:rPr>
          <w:rFonts w:ascii="宋体" w:hAnsi="宋体"/>
          <w:color w:val="000000" w:themeColor="text1"/>
          <w:szCs w:val="24"/>
        </w:rPr>
        <w:t>按照叫号顺序，</w:t>
      </w:r>
      <w:proofErr w:type="gramStart"/>
      <w:r w:rsidRPr="00B12FE0">
        <w:rPr>
          <w:rFonts w:ascii="宋体" w:hAnsi="宋体"/>
          <w:color w:val="000000" w:themeColor="text1"/>
          <w:szCs w:val="24"/>
        </w:rPr>
        <w:t>依次到取餐口</w:t>
      </w:r>
      <w:proofErr w:type="gramEnd"/>
      <w:r w:rsidRPr="00B12FE0">
        <w:rPr>
          <w:rFonts w:ascii="宋体" w:hAnsi="宋体"/>
          <w:color w:val="000000" w:themeColor="text1"/>
          <w:szCs w:val="24"/>
        </w:rPr>
        <w:t>取餐，避免患者间的相互照射影响。患者通道入口防护门和出口防护门</w:t>
      </w:r>
      <w:r w:rsidRPr="00B12FE0">
        <w:rPr>
          <w:rFonts w:ascii="宋体" w:hAnsi="宋体"/>
          <w:color w:val="000000" w:themeColor="text1"/>
          <w:szCs w:val="24"/>
        </w:rPr>
        <w:lastRenderedPageBreak/>
        <w:t>均带门禁系统的单向门，实现</w:t>
      </w:r>
      <w:r w:rsidRPr="00B12FE0">
        <w:rPr>
          <w:color w:val="000000" w:themeColor="text1"/>
          <w:szCs w:val="24"/>
        </w:rPr>
        <w:t>“</w:t>
      </w:r>
      <w:r w:rsidRPr="00B12FE0">
        <w:rPr>
          <w:rFonts w:ascii="宋体" w:hAnsi="宋体"/>
          <w:color w:val="000000" w:themeColor="text1"/>
          <w:szCs w:val="24"/>
        </w:rPr>
        <w:t>入口患者只入不出、出口患者只出不入</w:t>
      </w:r>
      <w:r w:rsidRPr="00B12FE0">
        <w:rPr>
          <w:color w:val="000000" w:themeColor="text1"/>
          <w:szCs w:val="24"/>
        </w:rPr>
        <w:t>”</w:t>
      </w:r>
      <w:r w:rsidRPr="00B12FE0">
        <w:rPr>
          <w:rFonts w:ascii="宋体" w:hAnsi="宋体"/>
          <w:color w:val="000000" w:themeColor="text1"/>
          <w:szCs w:val="24"/>
        </w:rPr>
        <w:t>，保证控制区内受检者的单向流动，避免无关人员进入控制区。病人离院医院应给出书面指导，限制与儿童或孕妇密切接触，避免与他人长时间接触，近期避免到公共场所活动。</w:t>
      </w:r>
    </w:p>
    <w:p w14:paraId="11DE0D1B" w14:textId="77777777" w:rsidR="00A67F21" w:rsidRPr="00B12FE0" w:rsidRDefault="00000000">
      <w:pPr>
        <w:adjustRightInd w:val="0"/>
        <w:snapToGrid w:val="0"/>
        <w:spacing w:line="360" w:lineRule="auto"/>
        <w:ind w:firstLine="480"/>
        <w:rPr>
          <w:color w:val="000000" w:themeColor="text1"/>
          <w:szCs w:val="24"/>
        </w:rPr>
      </w:pPr>
      <w:r w:rsidRPr="00B12FE0">
        <w:rPr>
          <w:color w:val="000000" w:themeColor="text1"/>
          <w:szCs w:val="24"/>
        </w:rPr>
        <w:t>10</w:t>
      </w:r>
      <w:r w:rsidRPr="00B12FE0">
        <w:rPr>
          <w:color w:val="000000" w:themeColor="text1"/>
          <w:szCs w:val="24"/>
        </w:rPr>
        <w:t>）放射性药物的存放</w:t>
      </w:r>
    </w:p>
    <w:p w14:paraId="0EA974FE" w14:textId="77777777" w:rsidR="00A67F21" w:rsidRPr="00B12FE0" w:rsidRDefault="00000000">
      <w:pPr>
        <w:adjustRightInd w:val="0"/>
        <w:snapToGrid w:val="0"/>
        <w:spacing w:line="360" w:lineRule="auto"/>
        <w:ind w:firstLine="480"/>
        <w:rPr>
          <w:color w:val="000000" w:themeColor="text1"/>
          <w:szCs w:val="24"/>
        </w:rPr>
      </w:pPr>
      <w:r w:rsidRPr="00B12FE0">
        <w:rPr>
          <w:rFonts w:hint="eastAsia"/>
          <w:color w:val="000000" w:themeColor="text1"/>
          <w:szCs w:val="24"/>
        </w:rPr>
        <w:t>诊断</w:t>
      </w:r>
      <w:r w:rsidRPr="00B12FE0">
        <w:rPr>
          <w:color w:val="000000" w:themeColor="text1"/>
          <w:szCs w:val="24"/>
        </w:rPr>
        <w:t>场所：本项目核素诊断场所使用的放射性药物置于防护罐中，由专人直接送至储源室，核素</w:t>
      </w:r>
      <w:r w:rsidRPr="00B12FE0">
        <w:rPr>
          <w:color w:val="000000" w:themeColor="text1"/>
          <w:szCs w:val="24"/>
          <w:vertAlign w:val="superscript"/>
        </w:rPr>
        <w:t>32</w:t>
      </w:r>
      <w:r w:rsidRPr="00B12FE0">
        <w:rPr>
          <w:color w:val="000000" w:themeColor="text1"/>
          <w:szCs w:val="24"/>
        </w:rPr>
        <w:t>P</w:t>
      </w:r>
      <w:r w:rsidRPr="00B12FE0">
        <w:rPr>
          <w:color w:val="000000" w:themeColor="text1"/>
          <w:szCs w:val="24"/>
        </w:rPr>
        <w:t>、</w:t>
      </w:r>
      <w:r w:rsidRPr="00B12FE0">
        <w:rPr>
          <w:color w:val="000000" w:themeColor="text1"/>
          <w:szCs w:val="24"/>
          <w:vertAlign w:val="superscript"/>
        </w:rPr>
        <w:t>131</w:t>
      </w:r>
      <w:r w:rsidRPr="00B12FE0">
        <w:rPr>
          <w:color w:val="000000" w:themeColor="text1"/>
          <w:szCs w:val="24"/>
        </w:rPr>
        <w:t>I</w:t>
      </w:r>
      <w:r w:rsidRPr="00B12FE0">
        <w:rPr>
          <w:rFonts w:hint="eastAsia"/>
          <w:color w:val="000000" w:themeColor="text1"/>
          <w:szCs w:val="24"/>
        </w:rPr>
        <w:t>和</w:t>
      </w:r>
      <w:proofErr w:type="gramStart"/>
      <w:r w:rsidRPr="00B12FE0">
        <w:rPr>
          <w:color w:val="000000" w:themeColor="text1"/>
          <w:szCs w:val="24"/>
        </w:rPr>
        <w:t>钼</w:t>
      </w:r>
      <w:proofErr w:type="gramEnd"/>
      <w:r w:rsidRPr="00B12FE0">
        <w:rPr>
          <w:color w:val="000000" w:themeColor="text1"/>
          <w:szCs w:val="24"/>
        </w:rPr>
        <w:t>锝发生器由医院根据实际使用量提前</w:t>
      </w:r>
      <w:proofErr w:type="gramStart"/>
      <w:r w:rsidRPr="00B12FE0">
        <w:rPr>
          <w:color w:val="000000" w:themeColor="text1"/>
          <w:szCs w:val="24"/>
        </w:rPr>
        <w:t>一天向供药单</w:t>
      </w:r>
      <w:proofErr w:type="gramEnd"/>
      <w:r w:rsidRPr="00B12FE0">
        <w:rPr>
          <w:color w:val="000000" w:themeColor="text1"/>
          <w:szCs w:val="24"/>
        </w:rPr>
        <w:t>位订购放射性药物，供药单位在约定的时间，将预约用量的药物送至核医学科核素诊断</w:t>
      </w:r>
      <w:proofErr w:type="gramStart"/>
      <w:r w:rsidRPr="00B12FE0">
        <w:rPr>
          <w:color w:val="000000" w:themeColor="text1"/>
          <w:szCs w:val="24"/>
        </w:rPr>
        <w:t>疗</w:t>
      </w:r>
      <w:proofErr w:type="gramEnd"/>
      <w:r w:rsidRPr="00B12FE0">
        <w:rPr>
          <w:color w:val="000000" w:themeColor="text1"/>
          <w:szCs w:val="24"/>
        </w:rPr>
        <w:t>场所，安排专人接收放射性核素，交接过程均在监控下进行，经确认无误完成相关交接手续后暂存在储源室。</w:t>
      </w:r>
    </w:p>
    <w:p w14:paraId="15F9DFE2" w14:textId="77777777" w:rsidR="00A67F21" w:rsidRPr="00B12FE0" w:rsidRDefault="00000000">
      <w:pPr>
        <w:adjustRightInd w:val="0"/>
        <w:snapToGrid w:val="0"/>
        <w:spacing w:line="360" w:lineRule="auto"/>
        <w:ind w:firstLine="480"/>
        <w:rPr>
          <w:color w:val="000000" w:themeColor="text1"/>
          <w:szCs w:val="24"/>
        </w:rPr>
      </w:pPr>
      <w:r w:rsidRPr="00B12FE0">
        <w:rPr>
          <w:color w:val="000000" w:themeColor="text1"/>
          <w:szCs w:val="24"/>
        </w:rPr>
        <w:t>治疗场所：核医学科核素治疗场所药物提前</w:t>
      </w:r>
      <w:proofErr w:type="gramStart"/>
      <w:r w:rsidRPr="00B12FE0">
        <w:rPr>
          <w:color w:val="000000" w:themeColor="text1"/>
          <w:szCs w:val="24"/>
        </w:rPr>
        <w:t>一天向供药单</w:t>
      </w:r>
      <w:proofErr w:type="gramEnd"/>
      <w:r w:rsidRPr="00B12FE0">
        <w:rPr>
          <w:color w:val="000000" w:themeColor="text1"/>
          <w:szCs w:val="24"/>
        </w:rPr>
        <w:t>位订购放射性药物，供药单位在约定的时间，将预约用量的药物送至核医学科核素治疗场所，安排专人接收放射性核素，交接过程均在监控下进行，经确认无误完成相关交接手续后暂存在储源室。</w:t>
      </w:r>
    </w:p>
    <w:p w14:paraId="2E0EB001" w14:textId="77777777" w:rsidR="00A67F21" w:rsidRPr="00B12FE0" w:rsidRDefault="00000000">
      <w:pPr>
        <w:adjustRightInd w:val="0"/>
        <w:snapToGrid w:val="0"/>
        <w:spacing w:line="360" w:lineRule="auto"/>
        <w:ind w:firstLine="480"/>
        <w:rPr>
          <w:color w:val="000000" w:themeColor="text1"/>
          <w:szCs w:val="24"/>
        </w:rPr>
      </w:pPr>
      <w:r w:rsidRPr="00B12FE0">
        <w:rPr>
          <w:color w:val="000000" w:themeColor="text1"/>
          <w:szCs w:val="24"/>
        </w:rPr>
        <w:t>储源室拟实行视频监控和双人双锁管理，并做好防火、防盗措施。建立非密封放射性物质使用台账，放射性药物</w:t>
      </w:r>
      <w:proofErr w:type="gramStart"/>
      <w:r w:rsidRPr="00B12FE0">
        <w:rPr>
          <w:color w:val="000000" w:themeColor="text1"/>
          <w:szCs w:val="24"/>
        </w:rPr>
        <w:t>源需要</w:t>
      </w:r>
      <w:proofErr w:type="gramEnd"/>
      <w:r w:rsidRPr="00B12FE0">
        <w:rPr>
          <w:color w:val="000000" w:themeColor="text1"/>
          <w:szCs w:val="24"/>
        </w:rPr>
        <w:t>使用时，由专职人员进行登记出入库，确保账物相符；储源室安装摄像头、红外报警装置，并入科室监控系统，日常安排专人巡视检查。</w:t>
      </w:r>
    </w:p>
    <w:p w14:paraId="0482D41C" w14:textId="77777777" w:rsidR="00A67F21" w:rsidRPr="00B12FE0" w:rsidRDefault="00000000">
      <w:pPr>
        <w:topLinePunct/>
        <w:adjustRightInd w:val="0"/>
        <w:snapToGrid w:val="0"/>
        <w:spacing w:line="360" w:lineRule="auto"/>
        <w:ind w:firstLineChars="200" w:firstLine="482"/>
        <w:rPr>
          <w:b/>
          <w:bCs/>
          <w:color w:val="000000" w:themeColor="text1"/>
          <w:szCs w:val="24"/>
        </w:rPr>
      </w:pPr>
      <w:r w:rsidRPr="00B12FE0">
        <w:rPr>
          <w:rFonts w:ascii="宋体" w:hAnsi="宋体"/>
          <w:b/>
          <w:bCs/>
          <w:color w:val="000000" w:themeColor="text1"/>
          <w:szCs w:val="24"/>
        </w:rPr>
        <w:t>（</w:t>
      </w:r>
      <w:r w:rsidRPr="00B12FE0">
        <w:rPr>
          <w:rFonts w:hint="eastAsia"/>
          <w:b/>
          <w:bCs/>
          <w:color w:val="000000" w:themeColor="text1"/>
          <w:szCs w:val="24"/>
        </w:rPr>
        <w:t>3</w:t>
      </w:r>
      <w:r w:rsidRPr="00B12FE0">
        <w:rPr>
          <w:rFonts w:ascii="宋体" w:hAnsi="宋体"/>
          <w:b/>
          <w:bCs/>
          <w:color w:val="000000" w:themeColor="text1"/>
          <w:szCs w:val="24"/>
        </w:rPr>
        <w:t>）防护设备与防护用品</w:t>
      </w:r>
    </w:p>
    <w:p w14:paraId="2A0FDD10"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根据《放射诊断放射防护要求》（</w:t>
      </w:r>
      <w:r w:rsidRPr="00B12FE0">
        <w:rPr>
          <w:color w:val="000000" w:themeColor="text1"/>
          <w:szCs w:val="24"/>
        </w:rPr>
        <w:t>GBZ130-2020</w:t>
      </w:r>
      <w:r w:rsidRPr="00B12FE0">
        <w:rPr>
          <w:rFonts w:ascii="宋体" w:hAnsi="宋体"/>
          <w:color w:val="000000" w:themeColor="text1"/>
          <w:szCs w:val="24"/>
        </w:rPr>
        <w:t>）和《核医学放射防护要求》（</w:t>
      </w:r>
      <w:r w:rsidRPr="00B12FE0">
        <w:rPr>
          <w:color w:val="000000" w:themeColor="text1"/>
          <w:szCs w:val="24"/>
        </w:rPr>
        <w:t>GBZ 120-2020</w:t>
      </w:r>
      <w:r w:rsidRPr="00B12FE0">
        <w:rPr>
          <w:rFonts w:ascii="宋体" w:hAnsi="宋体"/>
          <w:color w:val="000000" w:themeColor="text1"/>
          <w:szCs w:val="24"/>
        </w:rPr>
        <w:t>）中个人防护用品的配置要求，结合本项目的情况，医院拟配置的防护用品和设备见表</w:t>
      </w:r>
      <w:r w:rsidRPr="00B12FE0">
        <w:rPr>
          <w:color w:val="000000" w:themeColor="text1"/>
          <w:szCs w:val="24"/>
        </w:rPr>
        <w:t>10.1.1.6-1</w:t>
      </w:r>
      <w:r w:rsidRPr="00B12FE0">
        <w:rPr>
          <w:rFonts w:ascii="宋体" w:hAnsi="宋体"/>
          <w:color w:val="000000" w:themeColor="text1"/>
          <w:szCs w:val="24"/>
        </w:rPr>
        <w:t>。</w:t>
      </w:r>
    </w:p>
    <w:p w14:paraId="3DA06CB4"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 xml:space="preserve">10.1.1.6-1 </w:t>
      </w:r>
      <w:r w:rsidRPr="00B12FE0">
        <w:rPr>
          <w:rFonts w:ascii="宋体" w:hAnsi="宋体"/>
          <w:b/>
          <w:bCs/>
          <w:color w:val="000000" w:themeColor="text1"/>
          <w:sz w:val="21"/>
          <w:szCs w:val="21"/>
        </w:rPr>
        <w:t>本项目核医学科拟配置的防护用品</w:t>
      </w:r>
      <w:r w:rsidRPr="00B12FE0">
        <w:rPr>
          <w:b/>
          <w:bCs/>
          <w:color w:val="000000" w:themeColor="text1"/>
          <w:sz w:val="21"/>
          <w:szCs w:val="21"/>
        </w:rPr>
        <w:t>/</w:t>
      </w:r>
      <w:r w:rsidRPr="00B12FE0">
        <w:rPr>
          <w:rFonts w:ascii="宋体" w:hAnsi="宋体"/>
          <w:b/>
          <w:bCs/>
          <w:color w:val="000000" w:themeColor="text1"/>
          <w:sz w:val="21"/>
          <w:szCs w:val="21"/>
        </w:rPr>
        <w:t>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035"/>
        <w:gridCol w:w="2551"/>
        <w:gridCol w:w="1418"/>
        <w:gridCol w:w="2359"/>
      </w:tblGrid>
      <w:tr w:rsidR="00A67F21" w:rsidRPr="00B12FE0" w14:paraId="5D0F1704"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4E771094"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序号</w:t>
            </w:r>
          </w:p>
        </w:tc>
        <w:tc>
          <w:tcPr>
            <w:tcW w:w="2035" w:type="dxa"/>
            <w:tcBorders>
              <w:top w:val="single" w:sz="4" w:space="0" w:color="auto"/>
              <w:left w:val="nil"/>
              <w:bottom w:val="single" w:sz="4" w:space="0" w:color="auto"/>
              <w:right w:val="single" w:sz="4" w:space="0" w:color="auto"/>
            </w:tcBorders>
            <w:vAlign w:val="center"/>
          </w:tcPr>
          <w:p w14:paraId="48C3D9C7"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种类名称</w:t>
            </w:r>
          </w:p>
        </w:tc>
        <w:tc>
          <w:tcPr>
            <w:tcW w:w="2551" w:type="dxa"/>
            <w:tcBorders>
              <w:top w:val="single" w:sz="4" w:space="0" w:color="auto"/>
              <w:left w:val="nil"/>
              <w:bottom w:val="single" w:sz="4" w:space="0" w:color="auto"/>
              <w:right w:val="single" w:sz="4" w:space="0" w:color="auto"/>
            </w:tcBorders>
            <w:vAlign w:val="center"/>
          </w:tcPr>
          <w:p w14:paraId="1C86833C"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设置场所</w:t>
            </w:r>
          </w:p>
        </w:tc>
        <w:tc>
          <w:tcPr>
            <w:tcW w:w="1418" w:type="dxa"/>
            <w:tcBorders>
              <w:top w:val="single" w:sz="4" w:space="0" w:color="auto"/>
              <w:left w:val="nil"/>
              <w:bottom w:val="single" w:sz="4" w:space="0" w:color="auto"/>
              <w:right w:val="single" w:sz="4" w:space="0" w:color="auto"/>
            </w:tcBorders>
            <w:vAlign w:val="center"/>
          </w:tcPr>
          <w:p w14:paraId="6F654366"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数量</w:t>
            </w:r>
          </w:p>
        </w:tc>
        <w:tc>
          <w:tcPr>
            <w:tcW w:w="2359" w:type="dxa"/>
            <w:tcBorders>
              <w:top w:val="single" w:sz="4" w:space="0" w:color="auto"/>
              <w:left w:val="nil"/>
              <w:bottom w:val="single" w:sz="4" w:space="0" w:color="auto"/>
              <w:right w:val="single" w:sz="4" w:space="0" w:color="auto"/>
            </w:tcBorders>
            <w:vAlign w:val="center"/>
          </w:tcPr>
          <w:p w14:paraId="1AD79F83"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铅当量</w:t>
            </w:r>
          </w:p>
        </w:tc>
      </w:tr>
      <w:tr w:rsidR="00A67F21" w:rsidRPr="00B12FE0" w14:paraId="4D4834C0" w14:textId="77777777">
        <w:trPr>
          <w:cantSplit/>
          <w:trHeight w:val="414"/>
          <w:jc w:val="center"/>
        </w:trPr>
        <w:tc>
          <w:tcPr>
            <w:tcW w:w="9017" w:type="dxa"/>
            <w:gridSpan w:val="5"/>
            <w:tcBorders>
              <w:top w:val="single" w:sz="4" w:space="0" w:color="auto"/>
              <w:left w:val="single" w:sz="4" w:space="0" w:color="auto"/>
              <w:bottom w:val="single" w:sz="4" w:space="0" w:color="auto"/>
              <w:right w:val="single" w:sz="4" w:space="0" w:color="auto"/>
            </w:tcBorders>
            <w:vAlign w:val="center"/>
          </w:tcPr>
          <w:p w14:paraId="26F2D7A9" w14:textId="77777777" w:rsidR="00A67F21" w:rsidRPr="00B12FE0" w:rsidRDefault="00000000">
            <w:pPr>
              <w:adjustRightInd w:val="0"/>
              <w:snapToGrid w:val="0"/>
              <w:jc w:val="center"/>
              <w:rPr>
                <w:color w:val="000000" w:themeColor="text1"/>
                <w:sz w:val="21"/>
                <w:szCs w:val="21"/>
              </w:rPr>
            </w:pPr>
            <w:r w:rsidRPr="00B12FE0">
              <w:rPr>
                <w:rFonts w:ascii="宋体" w:hAnsi="宋体"/>
                <w:b/>
                <w:bCs/>
                <w:color w:val="000000" w:themeColor="text1"/>
                <w:sz w:val="21"/>
                <w:szCs w:val="21"/>
              </w:rPr>
              <w:t>核医学科核素制备场所</w:t>
            </w:r>
          </w:p>
        </w:tc>
      </w:tr>
      <w:tr w:rsidR="00A67F21" w:rsidRPr="00B12FE0" w14:paraId="48ABADF2"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661C991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p>
        </w:tc>
        <w:tc>
          <w:tcPr>
            <w:tcW w:w="2035" w:type="dxa"/>
            <w:tcBorders>
              <w:top w:val="single" w:sz="4" w:space="0" w:color="auto"/>
              <w:left w:val="nil"/>
              <w:bottom w:val="single" w:sz="4" w:space="0" w:color="auto"/>
              <w:right w:val="single" w:sz="4" w:space="0" w:color="auto"/>
            </w:tcBorders>
            <w:vAlign w:val="center"/>
          </w:tcPr>
          <w:p w14:paraId="722A0468"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color w:val="000000" w:themeColor="text1"/>
                <w:sz w:val="21"/>
                <w:szCs w:val="21"/>
              </w:rPr>
              <w:t>转运铅罐</w:t>
            </w:r>
            <w:proofErr w:type="gramEnd"/>
          </w:p>
        </w:tc>
        <w:tc>
          <w:tcPr>
            <w:tcW w:w="2551" w:type="dxa"/>
            <w:tcBorders>
              <w:top w:val="single" w:sz="4" w:space="0" w:color="auto"/>
              <w:left w:val="nil"/>
              <w:bottom w:val="single" w:sz="4" w:space="0" w:color="auto"/>
              <w:right w:val="single" w:sz="4" w:space="0" w:color="auto"/>
            </w:tcBorders>
            <w:vAlign w:val="center"/>
          </w:tcPr>
          <w:p w14:paraId="50F8100D"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热室房间</w:t>
            </w:r>
          </w:p>
        </w:tc>
        <w:tc>
          <w:tcPr>
            <w:tcW w:w="1418" w:type="dxa"/>
            <w:tcBorders>
              <w:top w:val="single" w:sz="4" w:space="0" w:color="auto"/>
              <w:left w:val="nil"/>
              <w:bottom w:val="single" w:sz="4" w:space="0" w:color="auto"/>
              <w:right w:val="single" w:sz="4" w:space="0" w:color="auto"/>
            </w:tcBorders>
            <w:vAlign w:val="center"/>
          </w:tcPr>
          <w:p w14:paraId="578CAFBE"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若干</w:t>
            </w:r>
          </w:p>
        </w:tc>
        <w:tc>
          <w:tcPr>
            <w:tcW w:w="2359" w:type="dxa"/>
            <w:tcBorders>
              <w:top w:val="single" w:sz="4" w:space="0" w:color="auto"/>
              <w:left w:val="nil"/>
              <w:bottom w:val="single" w:sz="4" w:space="0" w:color="auto"/>
              <w:right w:val="single" w:sz="4" w:space="0" w:color="auto"/>
            </w:tcBorders>
            <w:vAlign w:val="center"/>
          </w:tcPr>
          <w:p w14:paraId="4B3EF0E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50mmPb</w:t>
            </w:r>
          </w:p>
        </w:tc>
      </w:tr>
      <w:tr w:rsidR="00A67F21" w:rsidRPr="00B12FE0" w14:paraId="5FD4D76F"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D3CFE5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p>
        </w:tc>
        <w:tc>
          <w:tcPr>
            <w:tcW w:w="2035" w:type="dxa"/>
            <w:tcBorders>
              <w:top w:val="single" w:sz="4" w:space="0" w:color="auto"/>
              <w:left w:val="nil"/>
              <w:bottom w:val="single" w:sz="4" w:space="0" w:color="auto"/>
              <w:right w:val="single" w:sz="4" w:space="0" w:color="auto"/>
            </w:tcBorders>
            <w:vAlign w:val="center"/>
          </w:tcPr>
          <w:p w14:paraId="27F56EBA"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通风橱</w:t>
            </w:r>
          </w:p>
        </w:tc>
        <w:tc>
          <w:tcPr>
            <w:tcW w:w="2551" w:type="dxa"/>
            <w:tcBorders>
              <w:top w:val="single" w:sz="4" w:space="0" w:color="auto"/>
              <w:left w:val="nil"/>
              <w:bottom w:val="single" w:sz="4" w:space="0" w:color="auto"/>
              <w:right w:val="single" w:sz="4" w:space="0" w:color="auto"/>
            </w:tcBorders>
            <w:vAlign w:val="center"/>
          </w:tcPr>
          <w:p w14:paraId="0DA58E72"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放化实验</w:t>
            </w:r>
            <w:r w:rsidRPr="00B12FE0">
              <w:rPr>
                <w:rFonts w:ascii="宋体" w:hAnsi="宋体"/>
                <w:color w:val="000000" w:themeColor="text1"/>
                <w:sz w:val="21"/>
                <w:szCs w:val="21"/>
              </w:rPr>
              <w:t>室</w:t>
            </w:r>
          </w:p>
        </w:tc>
        <w:tc>
          <w:tcPr>
            <w:tcW w:w="1418" w:type="dxa"/>
            <w:tcBorders>
              <w:top w:val="single" w:sz="4" w:space="0" w:color="auto"/>
              <w:left w:val="nil"/>
              <w:bottom w:val="single" w:sz="4" w:space="0" w:color="auto"/>
              <w:right w:val="single" w:sz="4" w:space="0" w:color="auto"/>
            </w:tcBorders>
            <w:vAlign w:val="center"/>
          </w:tcPr>
          <w:p w14:paraId="235659B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42BCCB6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p>
        </w:tc>
      </w:tr>
      <w:tr w:rsidR="00A67F21" w:rsidRPr="00B12FE0" w14:paraId="0FA6E1C5"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0359981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3</w:t>
            </w:r>
          </w:p>
        </w:tc>
        <w:tc>
          <w:tcPr>
            <w:tcW w:w="2035" w:type="dxa"/>
            <w:tcBorders>
              <w:top w:val="single" w:sz="4" w:space="0" w:color="auto"/>
              <w:left w:val="nil"/>
              <w:bottom w:val="single" w:sz="4" w:space="0" w:color="auto"/>
              <w:right w:val="single" w:sz="4" w:space="0" w:color="auto"/>
            </w:tcBorders>
            <w:vAlign w:val="center"/>
          </w:tcPr>
          <w:p w14:paraId="1F2B7661"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长柄小推车</w:t>
            </w:r>
          </w:p>
        </w:tc>
        <w:tc>
          <w:tcPr>
            <w:tcW w:w="2551" w:type="dxa"/>
            <w:tcBorders>
              <w:top w:val="single" w:sz="4" w:space="0" w:color="auto"/>
              <w:left w:val="nil"/>
              <w:bottom w:val="single" w:sz="4" w:space="0" w:color="auto"/>
              <w:right w:val="single" w:sz="4" w:space="0" w:color="auto"/>
            </w:tcBorders>
            <w:vAlign w:val="center"/>
          </w:tcPr>
          <w:p w14:paraId="61693589"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color w:val="000000" w:themeColor="text1"/>
                <w:sz w:val="21"/>
                <w:szCs w:val="21"/>
              </w:rPr>
              <w:t>缓冲间</w:t>
            </w:r>
            <w:proofErr w:type="gramEnd"/>
          </w:p>
        </w:tc>
        <w:tc>
          <w:tcPr>
            <w:tcW w:w="1418" w:type="dxa"/>
            <w:tcBorders>
              <w:top w:val="single" w:sz="4" w:space="0" w:color="auto"/>
              <w:left w:val="nil"/>
              <w:bottom w:val="single" w:sz="4" w:space="0" w:color="auto"/>
              <w:right w:val="single" w:sz="4" w:space="0" w:color="auto"/>
            </w:tcBorders>
            <w:vAlign w:val="center"/>
          </w:tcPr>
          <w:p w14:paraId="1C37C1D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2214B66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39C9FA3B"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02FED3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w:t>
            </w:r>
          </w:p>
        </w:tc>
        <w:tc>
          <w:tcPr>
            <w:tcW w:w="2035" w:type="dxa"/>
            <w:tcBorders>
              <w:top w:val="single" w:sz="4" w:space="0" w:color="auto"/>
              <w:left w:val="nil"/>
              <w:bottom w:val="single" w:sz="4" w:space="0" w:color="auto"/>
              <w:right w:val="single" w:sz="4" w:space="0" w:color="auto"/>
            </w:tcBorders>
            <w:vAlign w:val="center"/>
          </w:tcPr>
          <w:p w14:paraId="19ABA4EE"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铅桶</w:t>
            </w:r>
          </w:p>
        </w:tc>
        <w:tc>
          <w:tcPr>
            <w:tcW w:w="2551" w:type="dxa"/>
            <w:tcBorders>
              <w:top w:val="single" w:sz="4" w:space="0" w:color="auto"/>
              <w:left w:val="nil"/>
              <w:bottom w:val="single" w:sz="4" w:space="0" w:color="auto"/>
              <w:right w:val="single" w:sz="4" w:space="0" w:color="auto"/>
            </w:tcBorders>
            <w:vAlign w:val="center"/>
          </w:tcPr>
          <w:p w14:paraId="68E30B69"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放化实验</w:t>
            </w:r>
            <w:r w:rsidRPr="00B12FE0">
              <w:rPr>
                <w:rFonts w:ascii="宋体" w:hAnsi="宋体"/>
                <w:color w:val="000000" w:themeColor="text1"/>
                <w:sz w:val="21"/>
                <w:szCs w:val="21"/>
              </w:rPr>
              <w:t>室</w:t>
            </w:r>
            <w:r w:rsidRPr="00B12FE0">
              <w:rPr>
                <w:rFonts w:ascii="宋体" w:hAnsi="宋体" w:hint="eastAsia"/>
                <w:color w:val="000000" w:themeColor="text1"/>
                <w:sz w:val="21"/>
                <w:szCs w:val="21"/>
              </w:rPr>
              <w:t>、回旋加速器机房、热室房间</w:t>
            </w:r>
          </w:p>
        </w:tc>
        <w:tc>
          <w:tcPr>
            <w:tcW w:w="1418" w:type="dxa"/>
            <w:tcBorders>
              <w:top w:val="single" w:sz="4" w:space="0" w:color="auto"/>
              <w:left w:val="nil"/>
              <w:bottom w:val="single" w:sz="4" w:space="0" w:color="auto"/>
              <w:right w:val="single" w:sz="4" w:space="0" w:color="auto"/>
            </w:tcBorders>
            <w:vAlign w:val="center"/>
          </w:tcPr>
          <w:p w14:paraId="6939A9E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3</w:t>
            </w:r>
            <w:r w:rsidRPr="00B12FE0">
              <w:rPr>
                <w:rFonts w:ascii="宋体" w:hAnsi="宋体"/>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6437552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p>
        </w:tc>
      </w:tr>
      <w:tr w:rsidR="00A67F21" w:rsidRPr="00B12FE0" w14:paraId="0DD08882"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4916D1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5</w:t>
            </w:r>
          </w:p>
        </w:tc>
        <w:tc>
          <w:tcPr>
            <w:tcW w:w="2035" w:type="dxa"/>
            <w:tcBorders>
              <w:top w:val="single" w:sz="4" w:space="0" w:color="auto"/>
              <w:left w:val="nil"/>
              <w:bottom w:val="single" w:sz="4" w:space="0" w:color="auto"/>
              <w:right w:val="single" w:sz="4" w:space="0" w:color="auto"/>
            </w:tcBorders>
            <w:vAlign w:val="center"/>
          </w:tcPr>
          <w:p w14:paraId="2A130C62"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废物衰变箱</w:t>
            </w:r>
          </w:p>
        </w:tc>
        <w:tc>
          <w:tcPr>
            <w:tcW w:w="2551" w:type="dxa"/>
            <w:tcBorders>
              <w:top w:val="single" w:sz="4" w:space="0" w:color="auto"/>
              <w:left w:val="nil"/>
              <w:bottom w:val="single" w:sz="4" w:space="0" w:color="auto"/>
              <w:right w:val="single" w:sz="4" w:space="0" w:color="auto"/>
            </w:tcBorders>
            <w:vAlign w:val="center"/>
          </w:tcPr>
          <w:p w14:paraId="37CEDD33"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废物间</w:t>
            </w:r>
          </w:p>
        </w:tc>
        <w:tc>
          <w:tcPr>
            <w:tcW w:w="1418" w:type="dxa"/>
            <w:tcBorders>
              <w:top w:val="single" w:sz="4" w:space="0" w:color="auto"/>
              <w:left w:val="nil"/>
              <w:bottom w:val="single" w:sz="4" w:space="0" w:color="auto"/>
              <w:right w:val="single" w:sz="4" w:space="0" w:color="auto"/>
            </w:tcBorders>
            <w:vAlign w:val="center"/>
          </w:tcPr>
          <w:p w14:paraId="1608BFF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w:t>
            </w:r>
            <w:r w:rsidRPr="00B12FE0">
              <w:rPr>
                <w:rFonts w:ascii="宋体" w:hAnsi="宋体"/>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68B89F9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p>
        </w:tc>
      </w:tr>
      <w:tr w:rsidR="00A67F21" w:rsidRPr="00B12FE0" w14:paraId="79AFC7C6"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4118C5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6</w:t>
            </w:r>
          </w:p>
        </w:tc>
        <w:tc>
          <w:tcPr>
            <w:tcW w:w="2035" w:type="dxa"/>
            <w:tcBorders>
              <w:top w:val="single" w:sz="4" w:space="0" w:color="auto"/>
              <w:left w:val="nil"/>
              <w:bottom w:val="single" w:sz="4" w:space="0" w:color="auto"/>
              <w:right w:val="single" w:sz="4" w:space="0" w:color="auto"/>
            </w:tcBorders>
            <w:vAlign w:val="center"/>
          </w:tcPr>
          <w:p w14:paraId="00429AEA"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应急及去污用品</w:t>
            </w:r>
          </w:p>
        </w:tc>
        <w:tc>
          <w:tcPr>
            <w:tcW w:w="2551" w:type="dxa"/>
            <w:tcBorders>
              <w:top w:val="single" w:sz="4" w:space="0" w:color="auto"/>
              <w:left w:val="nil"/>
              <w:bottom w:val="single" w:sz="4" w:space="0" w:color="auto"/>
              <w:right w:val="single" w:sz="4" w:space="0" w:color="auto"/>
            </w:tcBorders>
            <w:vAlign w:val="center"/>
          </w:tcPr>
          <w:p w14:paraId="163DAF4B"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w:t>
            </w:r>
            <w:proofErr w:type="gramStart"/>
            <w:r w:rsidRPr="00B12FE0">
              <w:rPr>
                <w:rFonts w:ascii="宋体" w:hAnsi="宋体"/>
                <w:color w:val="000000" w:themeColor="text1"/>
                <w:sz w:val="21"/>
                <w:szCs w:val="21"/>
              </w:rPr>
              <w:t>通过间</w:t>
            </w:r>
            <w:proofErr w:type="gramEnd"/>
          </w:p>
        </w:tc>
        <w:tc>
          <w:tcPr>
            <w:tcW w:w="1418" w:type="dxa"/>
            <w:tcBorders>
              <w:top w:val="single" w:sz="4" w:space="0" w:color="auto"/>
              <w:left w:val="nil"/>
              <w:bottom w:val="single" w:sz="4" w:space="0" w:color="auto"/>
              <w:right w:val="single" w:sz="4" w:space="0" w:color="auto"/>
            </w:tcBorders>
            <w:vAlign w:val="center"/>
          </w:tcPr>
          <w:p w14:paraId="577A912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套</w:t>
            </w:r>
          </w:p>
        </w:tc>
        <w:tc>
          <w:tcPr>
            <w:tcW w:w="2359" w:type="dxa"/>
            <w:tcBorders>
              <w:top w:val="single" w:sz="4" w:space="0" w:color="auto"/>
              <w:left w:val="nil"/>
              <w:bottom w:val="single" w:sz="4" w:space="0" w:color="auto"/>
              <w:right w:val="single" w:sz="4" w:space="0" w:color="auto"/>
            </w:tcBorders>
            <w:vAlign w:val="center"/>
          </w:tcPr>
          <w:p w14:paraId="141EB91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044457A2"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678FF30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lastRenderedPageBreak/>
              <w:t>7</w:t>
            </w:r>
          </w:p>
        </w:tc>
        <w:tc>
          <w:tcPr>
            <w:tcW w:w="2035" w:type="dxa"/>
            <w:tcBorders>
              <w:top w:val="single" w:sz="4" w:space="0" w:color="auto"/>
              <w:left w:val="nil"/>
              <w:bottom w:val="single" w:sz="4" w:space="0" w:color="auto"/>
              <w:right w:val="single" w:sz="4" w:space="0" w:color="auto"/>
            </w:tcBorders>
            <w:vAlign w:val="center"/>
          </w:tcPr>
          <w:p w14:paraId="186A8C24"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固定式辐射监测报警仪</w:t>
            </w:r>
          </w:p>
        </w:tc>
        <w:tc>
          <w:tcPr>
            <w:tcW w:w="2551" w:type="dxa"/>
            <w:tcBorders>
              <w:top w:val="single" w:sz="4" w:space="0" w:color="auto"/>
              <w:left w:val="nil"/>
              <w:bottom w:val="single" w:sz="4" w:space="0" w:color="auto"/>
              <w:right w:val="single" w:sz="4" w:space="0" w:color="auto"/>
            </w:tcBorders>
            <w:vAlign w:val="center"/>
          </w:tcPr>
          <w:p w14:paraId="4A8EF095"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热室房间、加速器机房内、回旋加速器控制室</w:t>
            </w:r>
          </w:p>
        </w:tc>
        <w:tc>
          <w:tcPr>
            <w:tcW w:w="1418" w:type="dxa"/>
            <w:tcBorders>
              <w:top w:val="single" w:sz="4" w:space="0" w:color="auto"/>
              <w:left w:val="nil"/>
              <w:bottom w:val="single" w:sz="4" w:space="0" w:color="auto"/>
              <w:right w:val="single" w:sz="4" w:space="0" w:color="auto"/>
            </w:tcBorders>
            <w:vAlign w:val="center"/>
          </w:tcPr>
          <w:p w14:paraId="68B0641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3</w:t>
            </w:r>
            <w:r w:rsidRPr="00B12FE0">
              <w:rPr>
                <w:rFonts w:ascii="宋体" w:hAnsi="宋体"/>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51FD7A2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1538B8D1"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4CE2821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8</w:t>
            </w:r>
          </w:p>
        </w:tc>
        <w:tc>
          <w:tcPr>
            <w:tcW w:w="2035" w:type="dxa"/>
            <w:tcBorders>
              <w:top w:val="single" w:sz="4" w:space="0" w:color="auto"/>
              <w:left w:val="nil"/>
              <w:bottom w:val="single" w:sz="4" w:space="0" w:color="auto"/>
              <w:right w:val="single" w:sz="4" w:space="0" w:color="auto"/>
            </w:tcBorders>
            <w:vAlign w:val="center"/>
          </w:tcPr>
          <w:p w14:paraId="28A4CA6D"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表面污染监测仪</w:t>
            </w:r>
          </w:p>
        </w:tc>
        <w:tc>
          <w:tcPr>
            <w:tcW w:w="2551" w:type="dxa"/>
            <w:tcBorders>
              <w:top w:val="single" w:sz="4" w:space="0" w:color="auto"/>
              <w:left w:val="nil"/>
              <w:bottom w:val="single" w:sz="4" w:space="0" w:color="auto"/>
              <w:right w:val="single" w:sz="4" w:space="0" w:color="auto"/>
            </w:tcBorders>
            <w:vAlign w:val="center"/>
          </w:tcPr>
          <w:p w14:paraId="54F681ED"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卫生通过间</w:t>
            </w:r>
            <w:r w:rsidRPr="00B12FE0">
              <w:rPr>
                <w:rFonts w:ascii="宋体" w:hAnsi="宋体" w:hint="eastAsia"/>
                <w:color w:val="000000" w:themeColor="text1"/>
                <w:sz w:val="21"/>
                <w:szCs w:val="21"/>
              </w:rPr>
              <w:t>、放化实验室</w:t>
            </w:r>
          </w:p>
        </w:tc>
        <w:tc>
          <w:tcPr>
            <w:tcW w:w="1418" w:type="dxa"/>
            <w:tcBorders>
              <w:top w:val="single" w:sz="4" w:space="0" w:color="auto"/>
              <w:left w:val="nil"/>
              <w:bottom w:val="single" w:sz="4" w:space="0" w:color="auto"/>
              <w:right w:val="single" w:sz="4" w:space="0" w:color="auto"/>
            </w:tcBorders>
            <w:vAlign w:val="center"/>
          </w:tcPr>
          <w:p w14:paraId="0FE3422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1C6CCE7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55F381F4"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3C16F5C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w:t>
            </w:r>
          </w:p>
        </w:tc>
        <w:tc>
          <w:tcPr>
            <w:tcW w:w="2035" w:type="dxa"/>
            <w:tcBorders>
              <w:top w:val="single" w:sz="4" w:space="0" w:color="auto"/>
              <w:left w:val="nil"/>
              <w:bottom w:val="single" w:sz="4" w:space="0" w:color="auto"/>
              <w:right w:val="single" w:sz="4" w:space="0" w:color="auto"/>
            </w:tcBorders>
            <w:vAlign w:val="center"/>
          </w:tcPr>
          <w:p w14:paraId="57DEC00F"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污染防护服、</w:t>
            </w:r>
            <w:r w:rsidRPr="00B12FE0">
              <w:rPr>
                <w:rFonts w:ascii="宋体" w:hAnsi="宋体"/>
                <w:color w:val="000000" w:themeColor="text1"/>
                <w:sz w:val="21"/>
                <w:szCs w:val="21"/>
              </w:rPr>
              <w:t>工作服、工作帽、工作鞋、手套、口罩等</w:t>
            </w:r>
          </w:p>
        </w:tc>
        <w:tc>
          <w:tcPr>
            <w:tcW w:w="2551" w:type="dxa"/>
            <w:tcBorders>
              <w:top w:val="single" w:sz="4" w:space="0" w:color="auto"/>
              <w:left w:val="nil"/>
              <w:bottom w:val="single" w:sz="4" w:space="0" w:color="auto"/>
              <w:right w:val="single" w:sz="4" w:space="0" w:color="auto"/>
            </w:tcBorders>
            <w:vAlign w:val="center"/>
          </w:tcPr>
          <w:p w14:paraId="177ADC37"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w:t>
            </w:r>
            <w:proofErr w:type="gramStart"/>
            <w:r w:rsidRPr="00B12FE0">
              <w:rPr>
                <w:rFonts w:ascii="宋体" w:hAnsi="宋体"/>
                <w:color w:val="000000" w:themeColor="text1"/>
                <w:sz w:val="21"/>
                <w:szCs w:val="21"/>
              </w:rPr>
              <w:t>通过间</w:t>
            </w:r>
            <w:proofErr w:type="gramEnd"/>
          </w:p>
        </w:tc>
        <w:tc>
          <w:tcPr>
            <w:tcW w:w="1418" w:type="dxa"/>
            <w:tcBorders>
              <w:top w:val="single" w:sz="4" w:space="0" w:color="auto"/>
              <w:left w:val="nil"/>
              <w:bottom w:val="single" w:sz="4" w:space="0" w:color="auto"/>
              <w:right w:val="single" w:sz="4" w:space="0" w:color="auto"/>
            </w:tcBorders>
            <w:vAlign w:val="center"/>
          </w:tcPr>
          <w:p w14:paraId="5F5ED882"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若干</w:t>
            </w:r>
          </w:p>
        </w:tc>
        <w:tc>
          <w:tcPr>
            <w:tcW w:w="2359" w:type="dxa"/>
            <w:tcBorders>
              <w:top w:val="single" w:sz="4" w:space="0" w:color="auto"/>
              <w:left w:val="nil"/>
              <w:bottom w:val="single" w:sz="4" w:space="0" w:color="auto"/>
              <w:right w:val="single" w:sz="4" w:space="0" w:color="auto"/>
            </w:tcBorders>
            <w:vAlign w:val="center"/>
          </w:tcPr>
          <w:p w14:paraId="54A4EBB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5794D48D"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9CD498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11</w:t>
            </w:r>
          </w:p>
        </w:tc>
        <w:tc>
          <w:tcPr>
            <w:tcW w:w="2035" w:type="dxa"/>
            <w:tcBorders>
              <w:top w:val="single" w:sz="4" w:space="0" w:color="auto"/>
              <w:left w:val="nil"/>
              <w:bottom w:val="single" w:sz="4" w:space="0" w:color="auto"/>
              <w:right w:val="single" w:sz="4" w:space="0" w:color="auto"/>
            </w:tcBorders>
            <w:vAlign w:val="center"/>
          </w:tcPr>
          <w:p w14:paraId="5389A7DD"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sz w:val="21"/>
                <w:szCs w:val="21"/>
              </w:rPr>
              <w:t>便携式</w:t>
            </w:r>
            <w:r w:rsidRPr="00B12FE0">
              <w:rPr>
                <w:color w:val="000000" w:themeColor="text1"/>
                <w:sz w:val="21"/>
                <w:szCs w:val="21"/>
              </w:rPr>
              <w:t>X-γ</w:t>
            </w:r>
            <w:r w:rsidRPr="00B12FE0">
              <w:rPr>
                <w:rFonts w:ascii="宋体" w:hAnsi="宋体"/>
                <w:color w:val="000000" w:themeColor="text1"/>
                <w:sz w:val="21"/>
                <w:szCs w:val="21"/>
              </w:rPr>
              <w:t>射线巡测仪</w:t>
            </w:r>
          </w:p>
        </w:tc>
        <w:tc>
          <w:tcPr>
            <w:tcW w:w="2551" w:type="dxa"/>
            <w:tcBorders>
              <w:top w:val="single" w:sz="4" w:space="0" w:color="auto"/>
              <w:left w:val="nil"/>
              <w:bottom w:val="single" w:sz="4" w:space="0" w:color="auto"/>
              <w:right w:val="single" w:sz="4" w:space="0" w:color="auto"/>
            </w:tcBorders>
            <w:vAlign w:val="center"/>
          </w:tcPr>
          <w:p w14:paraId="62F9A692"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回旋控制室</w:t>
            </w:r>
          </w:p>
        </w:tc>
        <w:tc>
          <w:tcPr>
            <w:tcW w:w="1418" w:type="dxa"/>
            <w:tcBorders>
              <w:top w:val="single" w:sz="4" w:space="0" w:color="auto"/>
              <w:left w:val="nil"/>
              <w:bottom w:val="single" w:sz="4" w:space="0" w:color="auto"/>
              <w:right w:val="single" w:sz="4" w:space="0" w:color="auto"/>
            </w:tcBorders>
            <w:vAlign w:val="center"/>
          </w:tcPr>
          <w:p w14:paraId="1E780E5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7ECB47F7"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核医学科</w:t>
            </w:r>
            <w:r w:rsidRPr="00B12FE0">
              <w:rPr>
                <w:rFonts w:ascii="宋体" w:hAnsi="宋体"/>
                <w:color w:val="000000" w:themeColor="text1"/>
                <w:sz w:val="21"/>
                <w:szCs w:val="21"/>
              </w:rPr>
              <w:t>共用</w:t>
            </w:r>
          </w:p>
        </w:tc>
      </w:tr>
      <w:tr w:rsidR="00A67F21" w:rsidRPr="00B12FE0" w14:paraId="37893EFC"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03AB0EF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12</w:t>
            </w:r>
          </w:p>
        </w:tc>
        <w:tc>
          <w:tcPr>
            <w:tcW w:w="2035" w:type="dxa"/>
            <w:tcBorders>
              <w:top w:val="single" w:sz="4" w:space="0" w:color="auto"/>
              <w:left w:val="nil"/>
              <w:bottom w:val="single" w:sz="4" w:space="0" w:color="auto"/>
              <w:right w:val="single" w:sz="4" w:space="0" w:color="auto"/>
            </w:tcBorders>
            <w:vAlign w:val="center"/>
          </w:tcPr>
          <w:p w14:paraId="54693F11"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中子剂量仪</w:t>
            </w:r>
          </w:p>
        </w:tc>
        <w:tc>
          <w:tcPr>
            <w:tcW w:w="2551" w:type="dxa"/>
            <w:tcBorders>
              <w:top w:val="single" w:sz="4" w:space="0" w:color="auto"/>
              <w:left w:val="nil"/>
              <w:bottom w:val="single" w:sz="4" w:space="0" w:color="auto"/>
              <w:right w:val="single" w:sz="4" w:space="0" w:color="auto"/>
            </w:tcBorders>
            <w:vAlign w:val="center"/>
          </w:tcPr>
          <w:p w14:paraId="64A55141"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回旋控制室</w:t>
            </w:r>
          </w:p>
        </w:tc>
        <w:tc>
          <w:tcPr>
            <w:tcW w:w="1418" w:type="dxa"/>
            <w:tcBorders>
              <w:top w:val="single" w:sz="4" w:space="0" w:color="auto"/>
              <w:left w:val="nil"/>
              <w:bottom w:val="single" w:sz="4" w:space="0" w:color="auto"/>
              <w:right w:val="single" w:sz="4" w:space="0" w:color="auto"/>
            </w:tcBorders>
            <w:vAlign w:val="center"/>
          </w:tcPr>
          <w:p w14:paraId="352B21E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52C054FD"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与放疗科共用</w:t>
            </w:r>
          </w:p>
        </w:tc>
      </w:tr>
      <w:tr w:rsidR="00A67F21" w:rsidRPr="00B12FE0" w14:paraId="28CB37ED"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2742118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13</w:t>
            </w:r>
          </w:p>
        </w:tc>
        <w:tc>
          <w:tcPr>
            <w:tcW w:w="2035" w:type="dxa"/>
            <w:tcBorders>
              <w:top w:val="single" w:sz="4" w:space="0" w:color="auto"/>
              <w:left w:val="nil"/>
              <w:bottom w:val="single" w:sz="4" w:space="0" w:color="auto"/>
              <w:right w:val="single" w:sz="4" w:space="0" w:color="auto"/>
            </w:tcBorders>
            <w:vAlign w:val="center"/>
          </w:tcPr>
          <w:p w14:paraId="2CA83D6B"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个人剂量报警仪</w:t>
            </w:r>
          </w:p>
        </w:tc>
        <w:tc>
          <w:tcPr>
            <w:tcW w:w="2551" w:type="dxa"/>
            <w:tcBorders>
              <w:top w:val="single" w:sz="4" w:space="0" w:color="auto"/>
              <w:left w:val="nil"/>
              <w:bottom w:val="single" w:sz="4" w:space="0" w:color="auto"/>
              <w:right w:val="single" w:sz="4" w:space="0" w:color="auto"/>
            </w:tcBorders>
            <w:vAlign w:val="center"/>
          </w:tcPr>
          <w:p w14:paraId="4D48FAA0"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人员随身携带</w:t>
            </w:r>
          </w:p>
        </w:tc>
        <w:tc>
          <w:tcPr>
            <w:tcW w:w="1418" w:type="dxa"/>
            <w:tcBorders>
              <w:top w:val="single" w:sz="4" w:space="0" w:color="auto"/>
              <w:left w:val="nil"/>
              <w:bottom w:val="single" w:sz="4" w:space="0" w:color="auto"/>
              <w:right w:val="single" w:sz="4" w:space="0" w:color="auto"/>
            </w:tcBorders>
            <w:vAlign w:val="center"/>
          </w:tcPr>
          <w:p w14:paraId="03C3B44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05E7CDB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294D0027"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72D482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14</w:t>
            </w:r>
          </w:p>
        </w:tc>
        <w:tc>
          <w:tcPr>
            <w:tcW w:w="2035" w:type="dxa"/>
            <w:tcBorders>
              <w:top w:val="single" w:sz="4" w:space="0" w:color="auto"/>
              <w:left w:val="nil"/>
              <w:bottom w:val="single" w:sz="4" w:space="0" w:color="auto"/>
              <w:right w:val="single" w:sz="4" w:space="0" w:color="auto"/>
            </w:tcBorders>
            <w:vAlign w:val="center"/>
          </w:tcPr>
          <w:p w14:paraId="3F35DDD4"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个人剂量计</w:t>
            </w:r>
          </w:p>
        </w:tc>
        <w:tc>
          <w:tcPr>
            <w:tcW w:w="2551" w:type="dxa"/>
            <w:tcBorders>
              <w:top w:val="single" w:sz="4" w:space="0" w:color="auto"/>
              <w:left w:val="nil"/>
              <w:bottom w:val="single" w:sz="4" w:space="0" w:color="auto"/>
              <w:right w:val="single" w:sz="4" w:space="0" w:color="auto"/>
            </w:tcBorders>
            <w:vAlign w:val="center"/>
          </w:tcPr>
          <w:p w14:paraId="108BE9CE"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人员随身携带</w:t>
            </w:r>
          </w:p>
        </w:tc>
        <w:tc>
          <w:tcPr>
            <w:tcW w:w="1418" w:type="dxa"/>
            <w:tcBorders>
              <w:top w:val="single" w:sz="4" w:space="0" w:color="auto"/>
              <w:left w:val="nil"/>
              <w:bottom w:val="single" w:sz="4" w:space="0" w:color="auto"/>
              <w:right w:val="single" w:sz="4" w:space="0" w:color="auto"/>
            </w:tcBorders>
            <w:vAlign w:val="center"/>
          </w:tcPr>
          <w:p w14:paraId="62954AD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个</w:t>
            </w:r>
            <w:r w:rsidRPr="00B12FE0">
              <w:rPr>
                <w:color w:val="000000" w:themeColor="text1"/>
                <w:sz w:val="21"/>
                <w:szCs w:val="21"/>
              </w:rPr>
              <w:t>/</w:t>
            </w:r>
            <w:r w:rsidRPr="00B12FE0">
              <w:rPr>
                <w:rFonts w:ascii="宋体" w:hAnsi="宋体"/>
                <w:color w:val="000000" w:themeColor="text1"/>
                <w:sz w:val="21"/>
                <w:szCs w:val="21"/>
              </w:rPr>
              <w:t>人</w:t>
            </w:r>
          </w:p>
        </w:tc>
        <w:tc>
          <w:tcPr>
            <w:tcW w:w="2359" w:type="dxa"/>
            <w:tcBorders>
              <w:top w:val="single" w:sz="4" w:space="0" w:color="auto"/>
              <w:left w:val="nil"/>
              <w:bottom w:val="single" w:sz="4" w:space="0" w:color="auto"/>
              <w:right w:val="single" w:sz="4" w:space="0" w:color="auto"/>
            </w:tcBorders>
            <w:vAlign w:val="center"/>
          </w:tcPr>
          <w:p w14:paraId="146607F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79633A51" w14:textId="77777777">
        <w:trPr>
          <w:cantSplit/>
          <w:trHeight w:val="414"/>
          <w:jc w:val="center"/>
        </w:trPr>
        <w:tc>
          <w:tcPr>
            <w:tcW w:w="9017" w:type="dxa"/>
            <w:gridSpan w:val="5"/>
            <w:tcBorders>
              <w:top w:val="single" w:sz="4" w:space="0" w:color="auto"/>
              <w:left w:val="single" w:sz="4" w:space="0" w:color="auto"/>
              <w:bottom w:val="single" w:sz="4" w:space="0" w:color="auto"/>
              <w:right w:val="single" w:sz="4" w:space="0" w:color="auto"/>
            </w:tcBorders>
            <w:vAlign w:val="center"/>
          </w:tcPr>
          <w:p w14:paraId="0A0B9517" w14:textId="77777777" w:rsidR="00A67F21" w:rsidRPr="00B12FE0" w:rsidRDefault="00000000">
            <w:pPr>
              <w:adjustRightInd w:val="0"/>
              <w:snapToGrid w:val="0"/>
              <w:jc w:val="center"/>
              <w:rPr>
                <w:color w:val="000000" w:themeColor="text1"/>
                <w:sz w:val="21"/>
                <w:szCs w:val="21"/>
              </w:rPr>
            </w:pPr>
            <w:r w:rsidRPr="00B12FE0">
              <w:rPr>
                <w:rFonts w:ascii="宋体" w:hAnsi="宋体"/>
                <w:b/>
                <w:bCs/>
                <w:color w:val="000000" w:themeColor="text1"/>
                <w:sz w:val="21"/>
                <w:szCs w:val="21"/>
              </w:rPr>
              <w:t>核医学科核素</w:t>
            </w:r>
            <w:r w:rsidRPr="00B12FE0">
              <w:rPr>
                <w:rFonts w:ascii="宋体" w:hAnsi="宋体" w:hint="eastAsia"/>
                <w:b/>
                <w:bCs/>
                <w:color w:val="000000" w:themeColor="text1"/>
                <w:sz w:val="21"/>
                <w:szCs w:val="21"/>
              </w:rPr>
              <w:t>诊断</w:t>
            </w:r>
            <w:r w:rsidRPr="00B12FE0">
              <w:rPr>
                <w:rFonts w:ascii="宋体" w:hAnsi="宋体"/>
                <w:b/>
                <w:bCs/>
                <w:color w:val="000000" w:themeColor="text1"/>
                <w:sz w:val="21"/>
                <w:szCs w:val="21"/>
              </w:rPr>
              <w:t>场所</w:t>
            </w:r>
          </w:p>
        </w:tc>
      </w:tr>
      <w:tr w:rsidR="00A67F21" w:rsidRPr="00B12FE0" w14:paraId="7B9428FD"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6EC120A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p>
        </w:tc>
        <w:tc>
          <w:tcPr>
            <w:tcW w:w="2035" w:type="dxa"/>
            <w:tcBorders>
              <w:top w:val="single" w:sz="4" w:space="0" w:color="auto"/>
              <w:left w:val="nil"/>
              <w:bottom w:val="single" w:sz="4" w:space="0" w:color="auto"/>
              <w:right w:val="single" w:sz="4" w:space="0" w:color="auto"/>
            </w:tcBorders>
            <w:vAlign w:val="center"/>
          </w:tcPr>
          <w:p w14:paraId="020E577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vertAlign w:val="superscript"/>
              </w:rPr>
              <w:t>32</w:t>
            </w:r>
            <w:r w:rsidRPr="00B12FE0">
              <w:rPr>
                <w:color w:val="000000" w:themeColor="text1"/>
                <w:sz w:val="21"/>
                <w:szCs w:val="21"/>
              </w:rPr>
              <w:t>P</w:t>
            </w:r>
            <w:proofErr w:type="gramStart"/>
            <w:r w:rsidRPr="00B12FE0">
              <w:rPr>
                <w:rFonts w:ascii="宋体" w:hAnsi="宋体"/>
                <w:color w:val="000000" w:themeColor="text1"/>
                <w:sz w:val="21"/>
                <w:szCs w:val="21"/>
              </w:rPr>
              <w:t>贮源箱</w:t>
            </w:r>
            <w:proofErr w:type="gramEnd"/>
          </w:p>
        </w:tc>
        <w:tc>
          <w:tcPr>
            <w:tcW w:w="2551" w:type="dxa"/>
            <w:tcBorders>
              <w:top w:val="single" w:sz="4" w:space="0" w:color="auto"/>
              <w:left w:val="nil"/>
              <w:bottom w:val="single" w:sz="4" w:space="0" w:color="auto"/>
              <w:right w:val="single" w:sz="4" w:space="0" w:color="auto"/>
            </w:tcBorders>
            <w:vAlign w:val="center"/>
          </w:tcPr>
          <w:p w14:paraId="7B3D93D7"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储源室</w:t>
            </w:r>
          </w:p>
        </w:tc>
        <w:tc>
          <w:tcPr>
            <w:tcW w:w="1418" w:type="dxa"/>
            <w:tcBorders>
              <w:top w:val="single" w:sz="4" w:space="0" w:color="auto"/>
              <w:left w:val="nil"/>
              <w:bottom w:val="single" w:sz="4" w:space="0" w:color="auto"/>
              <w:right w:val="single" w:sz="4" w:space="0" w:color="auto"/>
            </w:tcBorders>
            <w:vAlign w:val="center"/>
          </w:tcPr>
          <w:p w14:paraId="045DA0B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16EC1FF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w:t>
            </w:r>
            <w:r w:rsidRPr="00B12FE0">
              <w:rPr>
                <w:color w:val="000000" w:themeColor="text1"/>
                <w:sz w:val="21"/>
                <w:szCs w:val="21"/>
              </w:rPr>
              <w:t>有机玻璃</w:t>
            </w:r>
            <w:r w:rsidRPr="00B12FE0">
              <w:rPr>
                <w:color w:val="000000" w:themeColor="text1"/>
                <w:sz w:val="21"/>
                <w:szCs w:val="21"/>
              </w:rPr>
              <w:t>+ 2mmPb</w:t>
            </w:r>
          </w:p>
        </w:tc>
      </w:tr>
      <w:tr w:rsidR="00A67F21" w:rsidRPr="00B12FE0" w14:paraId="467BDF27"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DF56A5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p>
        </w:tc>
        <w:tc>
          <w:tcPr>
            <w:tcW w:w="2035" w:type="dxa"/>
            <w:tcBorders>
              <w:top w:val="single" w:sz="4" w:space="0" w:color="auto"/>
              <w:left w:val="nil"/>
              <w:bottom w:val="single" w:sz="4" w:space="0" w:color="auto"/>
              <w:right w:val="single" w:sz="4" w:space="0" w:color="auto"/>
            </w:tcBorders>
            <w:vAlign w:val="center"/>
          </w:tcPr>
          <w:p w14:paraId="4AFCA1BB" w14:textId="77777777" w:rsidR="00A67F21" w:rsidRPr="00B12FE0" w:rsidRDefault="00000000">
            <w:pPr>
              <w:adjustRightInd w:val="0"/>
              <w:snapToGrid w:val="0"/>
              <w:jc w:val="center"/>
              <w:rPr>
                <w:color w:val="000000" w:themeColor="text1"/>
                <w:sz w:val="21"/>
                <w:szCs w:val="21"/>
              </w:rPr>
            </w:pPr>
            <w:proofErr w:type="gramStart"/>
            <w:r w:rsidRPr="00B12FE0">
              <w:rPr>
                <w:rFonts w:hint="eastAsia"/>
                <w:color w:val="000000" w:themeColor="text1"/>
                <w:sz w:val="21"/>
                <w:szCs w:val="21"/>
              </w:rPr>
              <w:t>药物铅罐</w:t>
            </w:r>
            <w:proofErr w:type="gramEnd"/>
          </w:p>
        </w:tc>
        <w:tc>
          <w:tcPr>
            <w:tcW w:w="2551" w:type="dxa"/>
            <w:tcBorders>
              <w:top w:val="single" w:sz="4" w:space="0" w:color="auto"/>
              <w:left w:val="nil"/>
              <w:bottom w:val="single" w:sz="4" w:space="0" w:color="auto"/>
              <w:right w:val="single" w:sz="4" w:space="0" w:color="auto"/>
            </w:tcBorders>
            <w:vAlign w:val="center"/>
          </w:tcPr>
          <w:p w14:paraId="58D569F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储源室</w:t>
            </w:r>
          </w:p>
        </w:tc>
        <w:tc>
          <w:tcPr>
            <w:tcW w:w="1418" w:type="dxa"/>
            <w:tcBorders>
              <w:top w:val="single" w:sz="4" w:space="0" w:color="auto"/>
              <w:left w:val="nil"/>
              <w:bottom w:val="single" w:sz="4" w:space="0" w:color="auto"/>
              <w:right w:val="single" w:sz="4" w:space="0" w:color="auto"/>
            </w:tcBorders>
            <w:vAlign w:val="center"/>
          </w:tcPr>
          <w:p w14:paraId="0E4ED2D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送药时自带</w:t>
            </w:r>
          </w:p>
        </w:tc>
        <w:tc>
          <w:tcPr>
            <w:tcW w:w="2359" w:type="dxa"/>
            <w:tcBorders>
              <w:top w:val="single" w:sz="4" w:space="0" w:color="auto"/>
              <w:left w:val="nil"/>
              <w:bottom w:val="single" w:sz="4" w:space="0" w:color="auto"/>
              <w:right w:val="single" w:sz="4" w:space="0" w:color="auto"/>
            </w:tcBorders>
            <w:vAlign w:val="center"/>
          </w:tcPr>
          <w:p w14:paraId="00FB5F1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vertAlign w:val="superscript"/>
              </w:rPr>
              <w:t>131</w:t>
            </w:r>
            <w:r w:rsidRPr="00B12FE0">
              <w:rPr>
                <w:rFonts w:hint="eastAsia"/>
                <w:color w:val="000000" w:themeColor="text1"/>
                <w:sz w:val="21"/>
                <w:szCs w:val="21"/>
              </w:rPr>
              <w:t>I</w:t>
            </w:r>
            <w:r w:rsidRPr="00B12FE0">
              <w:rPr>
                <w:rFonts w:hint="eastAsia"/>
                <w:color w:val="000000" w:themeColor="text1"/>
                <w:sz w:val="21"/>
                <w:szCs w:val="21"/>
              </w:rPr>
              <w:t>不低于</w:t>
            </w:r>
            <w:r w:rsidRPr="00B12FE0">
              <w:rPr>
                <w:rFonts w:hint="eastAsia"/>
                <w:color w:val="000000" w:themeColor="text1"/>
                <w:sz w:val="21"/>
                <w:szCs w:val="21"/>
              </w:rPr>
              <w:t>30</w:t>
            </w:r>
            <w:r w:rsidRPr="00B12FE0">
              <w:rPr>
                <w:color w:val="000000" w:themeColor="text1"/>
              </w:rPr>
              <w:t xml:space="preserve"> </w:t>
            </w:r>
            <w:proofErr w:type="spellStart"/>
            <w:r w:rsidRPr="00B12FE0">
              <w:rPr>
                <w:color w:val="000000" w:themeColor="text1"/>
                <w:sz w:val="21"/>
                <w:szCs w:val="21"/>
              </w:rPr>
              <w:t>mmPb</w:t>
            </w:r>
            <w:proofErr w:type="spellEnd"/>
            <w:r w:rsidRPr="00B12FE0">
              <w:rPr>
                <w:rFonts w:hint="eastAsia"/>
                <w:color w:val="000000" w:themeColor="text1"/>
                <w:sz w:val="21"/>
                <w:szCs w:val="21"/>
              </w:rPr>
              <w:t>，</w:t>
            </w:r>
            <w:r w:rsidRPr="00B12FE0">
              <w:rPr>
                <w:rFonts w:hint="eastAsia"/>
                <w:color w:val="000000" w:themeColor="text1"/>
                <w:sz w:val="21"/>
                <w:szCs w:val="21"/>
                <w:vertAlign w:val="superscript"/>
              </w:rPr>
              <w:t>32</w:t>
            </w:r>
            <w:r w:rsidRPr="00B12FE0">
              <w:rPr>
                <w:rFonts w:hint="eastAsia"/>
                <w:color w:val="000000" w:themeColor="text1"/>
                <w:sz w:val="21"/>
                <w:szCs w:val="21"/>
              </w:rPr>
              <w:t>P</w:t>
            </w:r>
            <w:r w:rsidRPr="00B12FE0">
              <w:rPr>
                <w:color w:val="000000" w:themeColor="text1"/>
                <w:sz w:val="21"/>
                <w:szCs w:val="21"/>
              </w:rPr>
              <w:t>采用内衬</w:t>
            </w:r>
            <w:r w:rsidRPr="00B12FE0">
              <w:rPr>
                <w:rFonts w:hint="eastAsia"/>
                <w:color w:val="000000" w:themeColor="text1"/>
                <w:sz w:val="21"/>
                <w:szCs w:val="21"/>
              </w:rPr>
              <w:t>15</w:t>
            </w:r>
            <w:r w:rsidRPr="00B12FE0">
              <w:rPr>
                <w:color w:val="000000" w:themeColor="text1"/>
                <w:sz w:val="21"/>
                <w:szCs w:val="21"/>
              </w:rPr>
              <w:t>mmPb</w:t>
            </w:r>
          </w:p>
        </w:tc>
      </w:tr>
      <w:tr w:rsidR="00A67F21" w:rsidRPr="00B12FE0" w14:paraId="01A17C7D"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92CC74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3</w:t>
            </w:r>
          </w:p>
        </w:tc>
        <w:tc>
          <w:tcPr>
            <w:tcW w:w="2035" w:type="dxa"/>
            <w:tcBorders>
              <w:top w:val="single" w:sz="4" w:space="0" w:color="auto"/>
              <w:left w:val="single" w:sz="4" w:space="0" w:color="auto"/>
              <w:bottom w:val="single" w:sz="4" w:space="0" w:color="auto"/>
              <w:right w:val="single" w:sz="4" w:space="0" w:color="auto"/>
            </w:tcBorders>
            <w:vAlign w:val="center"/>
          </w:tcPr>
          <w:p w14:paraId="65E64B4E"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color w:val="000000" w:themeColor="text1"/>
                <w:sz w:val="21"/>
                <w:szCs w:val="21"/>
              </w:rPr>
              <w:t>PET</w:t>
            </w:r>
            <w:r w:rsidRPr="00B12FE0">
              <w:rPr>
                <w:rFonts w:hint="eastAsia"/>
                <w:color w:val="000000" w:themeColor="text1"/>
                <w:sz w:val="21"/>
                <w:szCs w:val="21"/>
              </w:rPr>
              <w:t>手套箱</w:t>
            </w:r>
          </w:p>
        </w:tc>
        <w:tc>
          <w:tcPr>
            <w:tcW w:w="2551" w:type="dxa"/>
            <w:tcBorders>
              <w:top w:val="single" w:sz="4" w:space="0" w:color="auto"/>
              <w:left w:val="single" w:sz="4" w:space="0" w:color="auto"/>
              <w:bottom w:val="single" w:sz="4" w:space="0" w:color="auto"/>
              <w:right w:val="single" w:sz="4" w:space="0" w:color="auto"/>
            </w:tcBorders>
            <w:vAlign w:val="center"/>
          </w:tcPr>
          <w:p w14:paraId="4EE3DEFA" w14:textId="77777777" w:rsidR="00A67F21" w:rsidRPr="00B12FE0" w:rsidRDefault="00000000">
            <w:pPr>
              <w:adjustRightInd w:val="0"/>
              <w:snapToGrid w:val="0"/>
              <w:jc w:val="center"/>
              <w:rPr>
                <w:rFonts w:ascii="宋体" w:hAnsi="宋体" w:hint="eastAsia"/>
                <w:color w:val="000000" w:themeColor="text1"/>
                <w:sz w:val="21"/>
                <w:szCs w:val="21"/>
              </w:rPr>
            </w:pPr>
            <w:proofErr w:type="gramStart"/>
            <w:r w:rsidRPr="00B12FE0">
              <w:rPr>
                <w:rFonts w:hint="eastAsia"/>
                <w:color w:val="000000" w:themeColor="text1"/>
                <w:sz w:val="21"/>
                <w:szCs w:val="21"/>
              </w:rPr>
              <w:t>高活室</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16EE0F6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45D11864" w14:textId="77777777" w:rsidR="00A67F21" w:rsidRPr="00B12FE0" w:rsidRDefault="00000000">
            <w:pPr>
              <w:adjustRightInd w:val="0"/>
              <w:snapToGrid w:val="0"/>
              <w:jc w:val="left"/>
              <w:rPr>
                <w:color w:val="000000" w:themeColor="text1"/>
                <w:sz w:val="21"/>
                <w:szCs w:val="21"/>
              </w:rPr>
            </w:pPr>
            <w:r w:rsidRPr="00B12FE0">
              <w:rPr>
                <w:color w:val="000000" w:themeColor="text1"/>
                <w:sz w:val="21"/>
                <w:szCs w:val="21"/>
              </w:rPr>
              <w:t>40mmPb</w:t>
            </w:r>
          </w:p>
        </w:tc>
      </w:tr>
      <w:tr w:rsidR="00A67F21" w:rsidRPr="00B12FE0" w14:paraId="7B963D0D"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2B3177D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w:t>
            </w:r>
          </w:p>
        </w:tc>
        <w:tc>
          <w:tcPr>
            <w:tcW w:w="2035" w:type="dxa"/>
            <w:tcBorders>
              <w:top w:val="single" w:sz="4" w:space="0" w:color="auto"/>
              <w:left w:val="single" w:sz="4" w:space="0" w:color="auto"/>
              <w:bottom w:val="single" w:sz="4" w:space="0" w:color="auto"/>
              <w:right w:val="single" w:sz="4" w:space="0" w:color="auto"/>
            </w:tcBorders>
            <w:vAlign w:val="center"/>
          </w:tcPr>
          <w:p w14:paraId="23CE4D7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SPECT</w:t>
            </w:r>
            <w:r w:rsidRPr="00B12FE0">
              <w:rPr>
                <w:rFonts w:hint="eastAsia"/>
                <w:color w:val="000000" w:themeColor="text1"/>
                <w:sz w:val="21"/>
                <w:szCs w:val="21"/>
              </w:rPr>
              <w:t>手套箱</w:t>
            </w:r>
          </w:p>
        </w:tc>
        <w:tc>
          <w:tcPr>
            <w:tcW w:w="2551" w:type="dxa"/>
            <w:tcBorders>
              <w:top w:val="single" w:sz="4" w:space="0" w:color="auto"/>
              <w:left w:val="single" w:sz="4" w:space="0" w:color="auto"/>
              <w:bottom w:val="single" w:sz="4" w:space="0" w:color="auto"/>
              <w:right w:val="single" w:sz="4" w:space="0" w:color="auto"/>
            </w:tcBorders>
            <w:vAlign w:val="center"/>
          </w:tcPr>
          <w:p w14:paraId="3C7DB617" w14:textId="77777777" w:rsidR="00A67F21" w:rsidRPr="00B12FE0" w:rsidRDefault="00000000">
            <w:pPr>
              <w:adjustRightInd w:val="0"/>
              <w:snapToGrid w:val="0"/>
              <w:jc w:val="center"/>
              <w:rPr>
                <w:color w:val="000000" w:themeColor="text1"/>
                <w:sz w:val="21"/>
                <w:szCs w:val="21"/>
              </w:rPr>
            </w:pPr>
            <w:proofErr w:type="gramStart"/>
            <w:r w:rsidRPr="00B12FE0">
              <w:rPr>
                <w:rFonts w:hint="eastAsia"/>
                <w:color w:val="000000" w:themeColor="text1"/>
                <w:sz w:val="21"/>
                <w:szCs w:val="21"/>
              </w:rPr>
              <w:t>高活室</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3DBF5DDF"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7180F72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w:t>
            </w:r>
            <w:r w:rsidRPr="00B12FE0">
              <w:rPr>
                <w:color w:val="000000" w:themeColor="text1"/>
                <w:sz w:val="21"/>
                <w:szCs w:val="21"/>
              </w:rPr>
              <w:t>有机玻璃罩</w:t>
            </w:r>
            <w:r w:rsidRPr="00B12FE0">
              <w:rPr>
                <w:rFonts w:hint="eastAsia"/>
                <w:color w:val="000000" w:themeColor="text1"/>
                <w:sz w:val="21"/>
                <w:szCs w:val="21"/>
              </w:rPr>
              <w:t>+2</w:t>
            </w:r>
            <w:r w:rsidRPr="00B12FE0">
              <w:rPr>
                <w:color w:val="000000" w:themeColor="text1"/>
                <w:sz w:val="21"/>
                <w:szCs w:val="21"/>
              </w:rPr>
              <w:t>0mmPb</w:t>
            </w:r>
          </w:p>
        </w:tc>
      </w:tr>
      <w:tr w:rsidR="00A67F21" w:rsidRPr="00B12FE0" w14:paraId="4B4604DD"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4DB10A3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5</w:t>
            </w:r>
          </w:p>
        </w:tc>
        <w:tc>
          <w:tcPr>
            <w:tcW w:w="2035" w:type="dxa"/>
            <w:tcBorders>
              <w:top w:val="single" w:sz="4" w:space="0" w:color="auto"/>
              <w:left w:val="single" w:sz="4" w:space="0" w:color="auto"/>
              <w:bottom w:val="single" w:sz="4" w:space="0" w:color="auto"/>
              <w:right w:val="single" w:sz="4" w:space="0" w:color="auto"/>
            </w:tcBorders>
            <w:vAlign w:val="center"/>
          </w:tcPr>
          <w:p w14:paraId="1BE2C35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PET</w:t>
            </w:r>
            <w:r w:rsidRPr="00B12FE0">
              <w:rPr>
                <w:color w:val="000000" w:themeColor="text1"/>
                <w:sz w:val="21"/>
                <w:szCs w:val="21"/>
              </w:rPr>
              <w:t>注射窗</w:t>
            </w:r>
          </w:p>
        </w:tc>
        <w:tc>
          <w:tcPr>
            <w:tcW w:w="2551" w:type="dxa"/>
            <w:tcBorders>
              <w:top w:val="single" w:sz="4" w:space="0" w:color="auto"/>
              <w:left w:val="single" w:sz="4" w:space="0" w:color="auto"/>
              <w:bottom w:val="single" w:sz="4" w:space="0" w:color="auto"/>
              <w:right w:val="single" w:sz="4" w:space="0" w:color="auto"/>
            </w:tcBorders>
            <w:vAlign w:val="center"/>
          </w:tcPr>
          <w:p w14:paraId="656DB4A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高</w:t>
            </w:r>
            <w:proofErr w:type="gramStart"/>
            <w:r w:rsidRPr="00B12FE0">
              <w:rPr>
                <w:rFonts w:hint="eastAsia"/>
                <w:color w:val="000000" w:themeColor="text1"/>
                <w:sz w:val="21"/>
                <w:szCs w:val="21"/>
              </w:rPr>
              <w:t>活室注射区</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3CB7694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634E3B4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40mmPb</w:t>
            </w:r>
          </w:p>
        </w:tc>
      </w:tr>
      <w:tr w:rsidR="00A67F21" w:rsidRPr="00B12FE0" w14:paraId="3125E59B"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583570D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6</w:t>
            </w:r>
          </w:p>
        </w:tc>
        <w:tc>
          <w:tcPr>
            <w:tcW w:w="2035" w:type="dxa"/>
            <w:tcBorders>
              <w:top w:val="single" w:sz="4" w:space="0" w:color="auto"/>
              <w:left w:val="single" w:sz="4" w:space="0" w:color="auto"/>
              <w:bottom w:val="single" w:sz="4" w:space="0" w:color="auto"/>
              <w:right w:val="single" w:sz="4" w:space="0" w:color="auto"/>
            </w:tcBorders>
            <w:vAlign w:val="center"/>
          </w:tcPr>
          <w:p w14:paraId="1536F12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SPECT</w:t>
            </w:r>
            <w:r w:rsidRPr="00B12FE0">
              <w:rPr>
                <w:color w:val="000000" w:themeColor="text1"/>
                <w:sz w:val="21"/>
                <w:szCs w:val="21"/>
              </w:rPr>
              <w:t>注射窗</w:t>
            </w:r>
          </w:p>
        </w:tc>
        <w:tc>
          <w:tcPr>
            <w:tcW w:w="2551" w:type="dxa"/>
            <w:tcBorders>
              <w:top w:val="single" w:sz="4" w:space="0" w:color="auto"/>
              <w:left w:val="single" w:sz="4" w:space="0" w:color="auto"/>
              <w:bottom w:val="single" w:sz="4" w:space="0" w:color="auto"/>
              <w:right w:val="single" w:sz="4" w:space="0" w:color="auto"/>
            </w:tcBorders>
            <w:vAlign w:val="center"/>
          </w:tcPr>
          <w:p w14:paraId="77CE211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高</w:t>
            </w:r>
            <w:proofErr w:type="gramStart"/>
            <w:r w:rsidRPr="00B12FE0">
              <w:rPr>
                <w:rFonts w:hint="eastAsia"/>
                <w:color w:val="000000" w:themeColor="text1"/>
                <w:sz w:val="21"/>
                <w:szCs w:val="21"/>
              </w:rPr>
              <w:t>活室注射区</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39D91500"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5807752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20mmPb</w:t>
            </w:r>
          </w:p>
        </w:tc>
      </w:tr>
      <w:tr w:rsidR="00A67F21" w:rsidRPr="00B12FE0" w14:paraId="735403B3"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5E64AF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7</w:t>
            </w:r>
          </w:p>
        </w:tc>
        <w:tc>
          <w:tcPr>
            <w:tcW w:w="2035" w:type="dxa"/>
            <w:tcBorders>
              <w:top w:val="single" w:sz="4" w:space="0" w:color="auto"/>
              <w:left w:val="single" w:sz="4" w:space="0" w:color="auto"/>
              <w:bottom w:val="single" w:sz="4" w:space="0" w:color="auto"/>
              <w:right w:val="single" w:sz="4" w:space="0" w:color="auto"/>
            </w:tcBorders>
            <w:vAlign w:val="center"/>
          </w:tcPr>
          <w:p w14:paraId="3ED7CA64"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注射器防护套</w:t>
            </w:r>
          </w:p>
        </w:tc>
        <w:tc>
          <w:tcPr>
            <w:tcW w:w="2551" w:type="dxa"/>
            <w:tcBorders>
              <w:top w:val="single" w:sz="4" w:space="0" w:color="auto"/>
              <w:left w:val="single" w:sz="4" w:space="0" w:color="auto"/>
              <w:bottom w:val="single" w:sz="4" w:space="0" w:color="auto"/>
              <w:right w:val="single" w:sz="4" w:space="0" w:color="auto"/>
            </w:tcBorders>
            <w:vAlign w:val="center"/>
          </w:tcPr>
          <w:p w14:paraId="777C292E"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color w:val="000000" w:themeColor="text1"/>
                <w:sz w:val="21"/>
                <w:szCs w:val="21"/>
              </w:rPr>
              <w:t>高活室</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7144B528"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2个</w:t>
            </w:r>
          </w:p>
        </w:tc>
        <w:tc>
          <w:tcPr>
            <w:tcW w:w="2359" w:type="dxa"/>
            <w:tcBorders>
              <w:top w:val="single" w:sz="4" w:space="0" w:color="auto"/>
              <w:left w:val="single" w:sz="4" w:space="0" w:color="auto"/>
              <w:bottom w:val="single" w:sz="4" w:space="0" w:color="auto"/>
              <w:right w:val="single" w:sz="4" w:space="0" w:color="auto"/>
            </w:tcBorders>
            <w:vAlign w:val="center"/>
          </w:tcPr>
          <w:p w14:paraId="73E6ABA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r w:rsidRPr="00B12FE0">
              <w:rPr>
                <w:rFonts w:hint="eastAsia"/>
                <w:color w:val="000000" w:themeColor="text1"/>
                <w:sz w:val="21"/>
                <w:szCs w:val="21"/>
              </w:rPr>
              <w:t>/4</w:t>
            </w:r>
            <w:r w:rsidRPr="00B12FE0">
              <w:rPr>
                <w:color w:val="000000" w:themeColor="text1"/>
                <w:sz w:val="21"/>
                <w:szCs w:val="21"/>
              </w:rPr>
              <w:t>mmPb</w:t>
            </w:r>
          </w:p>
        </w:tc>
      </w:tr>
      <w:tr w:rsidR="00A67F21" w:rsidRPr="00B12FE0" w14:paraId="44080F12"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91EE8B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8</w:t>
            </w:r>
          </w:p>
        </w:tc>
        <w:tc>
          <w:tcPr>
            <w:tcW w:w="2035" w:type="dxa"/>
            <w:tcBorders>
              <w:top w:val="single" w:sz="4" w:space="0" w:color="auto"/>
              <w:left w:val="single" w:sz="4" w:space="0" w:color="auto"/>
              <w:bottom w:val="single" w:sz="4" w:space="0" w:color="auto"/>
              <w:right w:val="single" w:sz="4" w:space="0" w:color="auto"/>
            </w:tcBorders>
            <w:vAlign w:val="center"/>
          </w:tcPr>
          <w:p w14:paraId="31D32DC5"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注射器防护提盒</w:t>
            </w:r>
          </w:p>
        </w:tc>
        <w:tc>
          <w:tcPr>
            <w:tcW w:w="2551" w:type="dxa"/>
            <w:tcBorders>
              <w:top w:val="single" w:sz="4" w:space="0" w:color="auto"/>
              <w:left w:val="single" w:sz="4" w:space="0" w:color="auto"/>
              <w:bottom w:val="single" w:sz="4" w:space="0" w:color="auto"/>
              <w:right w:val="single" w:sz="4" w:space="0" w:color="auto"/>
            </w:tcBorders>
            <w:vAlign w:val="center"/>
          </w:tcPr>
          <w:p w14:paraId="0D8F9E55"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color w:val="000000" w:themeColor="text1"/>
                <w:sz w:val="21"/>
                <w:szCs w:val="21"/>
              </w:rPr>
              <w:t>高活室</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59B9EC7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r w:rsidRPr="00B12FE0">
              <w:rPr>
                <w:rFonts w:ascii="宋体" w:hAnsi="宋体"/>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4CB12C9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r w:rsidRPr="00B12FE0">
              <w:rPr>
                <w:rFonts w:hint="eastAsia"/>
                <w:color w:val="000000" w:themeColor="text1"/>
                <w:sz w:val="21"/>
                <w:szCs w:val="21"/>
              </w:rPr>
              <w:t>/4</w:t>
            </w:r>
            <w:r w:rsidRPr="00B12FE0">
              <w:rPr>
                <w:color w:val="000000" w:themeColor="text1"/>
                <w:sz w:val="21"/>
                <w:szCs w:val="21"/>
              </w:rPr>
              <w:t>mmPb</w:t>
            </w:r>
          </w:p>
        </w:tc>
      </w:tr>
      <w:tr w:rsidR="00A67F21" w:rsidRPr="00B12FE0" w14:paraId="46772A04"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0436EF3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9</w:t>
            </w:r>
          </w:p>
        </w:tc>
        <w:tc>
          <w:tcPr>
            <w:tcW w:w="2035" w:type="dxa"/>
            <w:tcBorders>
              <w:top w:val="single" w:sz="4" w:space="0" w:color="auto"/>
              <w:left w:val="single" w:sz="4" w:space="0" w:color="auto"/>
              <w:bottom w:val="single" w:sz="4" w:space="0" w:color="auto"/>
              <w:right w:val="single" w:sz="4" w:space="0" w:color="auto"/>
            </w:tcBorders>
            <w:vAlign w:val="center"/>
          </w:tcPr>
          <w:p w14:paraId="4A8319D8"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活度计</w:t>
            </w:r>
          </w:p>
        </w:tc>
        <w:tc>
          <w:tcPr>
            <w:tcW w:w="2551" w:type="dxa"/>
            <w:tcBorders>
              <w:top w:val="single" w:sz="4" w:space="0" w:color="auto"/>
              <w:left w:val="single" w:sz="4" w:space="0" w:color="auto"/>
              <w:bottom w:val="single" w:sz="4" w:space="0" w:color="auto"/>
              <w:right w:val="single" w:sz="4" w:space="0" w:color="auto"/>
            </w:tcBorders>
            <w:vAlign w:val="center"/>
          </w:tcPr>
          <w:p w14:paraId="228354A7"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color w:val="000000" w:themeColor="text1"/>
                <w:sz w:val="21"/>
                <w:szCs w:val="21"/>
              </w:rPr>
              <w:t>高活室</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235354B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r w:rsidRPr="00B12FE0">
              <w:rPr>
                <w:rFonts w:ascii="宋体" w:hAnsi="宋体"/>
                <w:color w:val="000000" w:themeColor="text1"/>
                <w:sz w:val="21"/>
                <w:szCs w:val="21"/>
              </w:rPr>
              <w:t>台</w:t>
            </w:r>
          </w:p>
        </w:tc>
        <w:tc>
          <w:tcPr>
            <w:tcW w:w="2359" w:type="dxa"/>
            <w:tcBorders>
              <w:top w:val="single" w:sz="4" w:space="0" w:color="auto"/>
              <w:left w:val="single" w:sz="4" w:space="0" w:color="auto"/>
              <w:bottom w:val="single" w:sz="4" w:space="0" w:color="auto"/>
              <w:right w:val="single" w:sz="4" w:space="0" w:color="auto"/>
            </w:tcBorders>
            <w:vAlign w:val="center"/>
          </w:tcPr>
          <w:p w14:paraId="4EE51C3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1CF10296"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6493A75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w:t>
            </w:r>
          </w:p>
        </w:tc>
        <w:tc>
          <w:tcPr>
            <w:tcW w:w="2035" w:type="dxa"/>
            <w:tcBorders>
              <w:top w:val="single" w:sz="4" w:space="0" w:color="auto"/>
              <w:left w:val="nil"/>
              <w:bottom w:val="single" w:sz="4" w:space="0" w:color="auto"/>
              <w:right w:val="single" w:sz="4" w:space="0" w:color="auto"/>
            </w:tcBorders>
            <w:vAlign w:val="center"/>
          </w:tcPr>
          <w:p w14:paraId="0F8827FA"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自动分装仪</w:t>
            </w:r>
          </w:p>
        </w:tc>
        <w:tc>
          <w:tcPr>
            <w:tcW w:w="2551" w:type="dxa"/>
            <w:tcBorders>
              <w:top w:val="single" w:sz="4" w:space="0" w:color="auto"/>
              <w:left w:val="nil"/>
              <w:bottom w:val="single" w:sz="4" w:space="0" w:color="auto"/>
              <w:right w:val="single" w:sz="4" w:space="0" w:color="auto"/>
            </w:tcBorders>
            <w:vAlign w:val="center"/>
          </w:tcPr>
          <w:p w14:paraId="75725418"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hint="eastAsia"/>
                <w:color w:val="000000" w:themeColor="text1"/>
                <w:sz w:val="21"/>
                <w:szCs w:val="21"/>
              </w:rPr>
              <w:t>高活室</w:t>
            </w:r>
            <w:proofErr w:type="gramEnd"/>
          </w:p>
        </w:tc>
        <w:tc>
          <w:tcPr>
            <w:tcW w:w="1418" w:type="dxa"/>
            <w:tcBorders>
              <w:top w:val="single" w:sz="4" w:space="0" w:color="auto"/>
              <w:left w:val="nil"/>
              <w:bottom w:val="single" w:sz="4" w:space="0" w:color="auto"/>
              <w:right w:val="single" w:sz="4" w:space="0" w:color="auto"/>
            </w:tcBorders>
            <w:vAlign w:val="center"/>
          </w:tcPr>
          <w:p w14:paraId="3E11185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hint="eastAsia"/>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30E0037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w:t>
            </w:r>
          </w:p>
        </w:tc>
      </w:tr>
      <w:tr w:rsidR="00A67F21" w:rsidRPr="00B12FE0" w14:paraId="513DAD19"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64FCE39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11</w:t>
            </w:r>
          </w:p>
        </w:tc>
        <w:tc>
          <w:tcPr>
            <w:tcW w:w="2035" w:type="dxa"/>
            <w:tcBorders>
              <w:top w:val="single" w:sz="4" w:space="0" w:color="auto"/>
              <w:left w:val="nil"/>
              <w:bottom w:val="single" w:sz="4" w:space="0" w:color="auto"/>
              <w:right w:val="single" w:sz="4" w:space="0" w:color="auto"/>
            </w:tcBorders>
            <w:vAlign w:val="center"/>
          </w:tcPr>
          <w:p w14:paraId="54B52E44"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转运铅</w:t>
            </w:r>
            <w:r w:rsidRPr="00B12FE0">
              <w:rPr>
                <w:rFonts w:ascii="宋体" w:hAnsi="宋体" w:hint="eastAsia"/>
                <w:color w:val="000000" w:themeColor="text1"/>
                <w:sz w:val="21"/>
                <w:szCs w:val="21"/>
              </w:rPr>
              <w:t>防护</w:t>
            </w:r>
            <w:r w:rsidRPr="00B12FE0">
              <w:rPr>
                <w:rFonts w:ascii="宋体" w:hAnsi="宋体"/>
                <w:color w:val="000000" w:themeColor="text1"/>
                <w:sz w:val="21"/>
                <w:szCs w:val="21"/>
              </w:rPr>
              <w:t>罐</w:t>
            </w:r>
          </w:p>
        </w:tc>
        <w:tc>
          <w:tcPr>
            <w:tcW w:w="2551" w:type="dxa"/>
            <w:tcBorders>
              <w:top w:val="single" w:sz="4" w:space="0" w:color="auto"/>
              <w:left w:val="nil"/>
              <w:bottom w:val="single" w:sz="4" w:space="0" w:color="auto"/>
              <w:right w:val="single" w:sz="4" w:space="0" w:color="auto"/>
            </w:tcBorders>
            <w:vAlign w:val="center"/>
          </w:tcPr>
          <w:p w14:paraId="45BCC8EF" w14:textId="77777777" w:rsidR="00A67F21" w:rsidRPr="00B12FE0" w:rsidRDefault="00000000">
            <w:pPr>
              <w:adjustRightInd w:val="0"/>
              <w:snapToGrid w:val="0"/>
              <w:jc w:val="center"/>
              <w:rPr>
                <w:color w:val="000000" w:themeColor="text1"/>
                <w:sz w:val="21"/>
                <w:szCs w:val="21"/>
              </w:rPr>
            </w:pPr>
            <w:proofErr w:type="gramStart"/>
            <w:r w:rsidRPr="00B12FE0">
              <w:rPr>
                <w:rFonts w:ascii="宋体" w:hAnsi="宋体"/>
                <w:color w:val="000000" w:themeColor="text1"/>
                <w:sz w:val="21"/>
                <w:szCs w:val="21"/>
              </w:rPr>
              <w:t>高活室</w:t>
            </w:r>
            <w:proofErr w:type="gramEnd"/>
          </w:p>
        </w:tc>
        <w:tc>
          <w:tcPr>
            <w:tcW w:w="1418" w:type="dxa"/>
            <w:tcBorders>
              <w:top w:val="single" w:sz="4" w:space="0" w:color="auto"/>
              <w:left w:val="nil"/>
              <w:bottom w:val="single" w:sz="4" w:space="0" w:color="auto"/>
              <w:right w:val="single" w:sz="4" w:space="0" w:color="auto"/>
            </w:tcBorders>
            <w:vAlign w:val="center"/>
          </w:tcPr>
          <w:p w14:paraId="767557A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ascii="宋体" w:hAnsi="宋体" w:hint="eastAsia"/>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0EB1ACC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4</w:t>
            </w:r>
            <w:r w:rsidRPr="00B12FE0">
              <w:rPr>
                <w:color w:val="000000" w:themeColor="text1"/>
                <w:sz w:val="21"/>
                <w:szCs w:val="21"/>
              </w:rPr>
              <w:t>mmPb</w:t>
            </w:r>
          </w:p>
        </w:tc>
      </w:tr>
      <w:tr w:rsidR="00A67F21" w:rsidRPr="00B12FE0" w14:paraId="1A122456"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4626866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12</w:t>
            </w:r>
          </w:p>
        </w:tc>
        <w:tc>
          <w:tcPr>
            <w:tcW w:w="2035" w:type="dxa"/>
            <w:tcBorders>
              <w:top w:val="single" w:sz="4" w:space="0" w:color="auto"/>
              <w:left w:val="nil"/>
              <w:bottom w:val="single" w:sz="4" w:space="0" w:color="auto"/>
              <w:right w:val="single" w:sz="4" w:space="0" w:color="auto"/>
            </w:tcBorders>
            <w:vAlign w:val="center"/>
          </w:tcPr>
          <w:p w14:paraId="4EFDF91A"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铅桶</w:t>
            </w:r>
          </w:p>
        </w:tc>
        <w:tc>
          <w:tcPr>
            <w:tcW w:w="2551" w:type="dxa"/>
            <w:tcBorders>
              <w:top w:val="single" w:sz="4" w:space="0" w:color="auto"/>
              <w:left w:val="nil"/>
              <w:bottom w:val="single" w:sz="4" w:space="0" w:color="auto"/>
              <w:right w:val="single" w:sz="4" w:space="0" w:color="auto"/>
            </w:tcBorders>
            <w:vAlign w:val="center"/>
          </w:tcPr>
          <w:p w14:paraId="004A275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高活室、</w:t>
            </w:r>
            <w:r w:rsidRPr="00B12FE0">
              <w:rPr>
                <w:color w:val="000000" w:themeColor="text1"/>
                <w:sz w:val="21"/>
                <w:szCs w:val="21"/>
              </w:rPr>
              <w:t>PET</w:t>
            </w:r>
            <w:r w:rsidRPr="00B12FE0">
              <w:rPr>
                <w:color w:val="000000" w:themeColor="text1"/>
                <w:sz w:val="21"/>
                <w:szCs w:val="21"/>
              </w:rPr>
              <w:t>注射后等候室、</w:t>
            </w:r>
            <w:r w:rsidRPr="00B12FE0">
              <w:rPr>
                <w:color w:val="000000" w:themeColor="text1"/>
                <w:sz w:val="21"/>
                <w:szCs w:val="21"/>
              </w:rPr>
              <w:t>SPECT</w:t>
            </w:r>
            <w:r w:rsidRPr="00B12FE0">
              <w:rPr>
                <w:color w:val="000000" w:themeColor="text1"/>
                <w:sz w:val="21"/>
                <w:szCs w:val="21"/>
              </w:rPr>
              <w:t>注射后等候室、留观室、</w:t>
            </w:r>
            <w:proofErr w:type="gramStart"/>
            <w:r w:rsidRPr="00B12FE0">
              <w:rPr>
                <w:color w:val="000000" w:themeColor="text1"/>
                <w:sz w:val="21"/>
                <w:szCs w:val="21"/>
              </w:rPr>
              <w:t>服碘室、敷贴室</w:t>
            </w:r>
            <w:proofErr w:type="gramEnd"/>
          </w:p>
        </w:tc>
        <w:tc>
          <w:tcPr>
            <w:tcW w:w="1418" w:type="dxa"/>
            <w:tcBorders>
              <w:top w:val="single" w:sz="4" w:space="0" w:color="auto"/>
              <w:left w:val="nil"/>
              <w:bottom w:val="single" w:sz="4" w:space="0" w:color="auto"/>
              <w:right w:val="single" w:sz="4" w:space="0" w:color="auto"/>
            </w:tcBorders>
            <w:vAlign w:val="center"/>
          </w:tcPr>
          <w:p w14:paraId="37D35C91"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若干</w:t>
            </w:r>
          </w:p>
        </w:tc>
        <w:tc>
          <w:tcPr>
            <w:tcW w:w="2359" w:type="dxa"/>
            <w:tcBorders>
              <w:top w:val="single" w:sz="4" w:space="0" w:color="auto"/>
              <w:left w:val="nil"/>
              <w:bottom w:val="single" w:sz="4" w:space="0" w:color="auto"/>
              <w:right w:val="single" w:sz="4" w:space="0" w:color="auto"/>
            </w:tcBorders>
            <w:vAlign w:val="center"/>
          </w:tcPr>
          <w:p w14:paraId="4292F01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10mmPb/10mm</w:t>
            </w:r>
            <w:r w:rsidRPr="00B12FE0">
              <w:rPr>
                <w:rFonts w:hint="eastAsia"/>
                <w:color w:val="000000" w:themeColor="text1"/>
                <w:sz w:val="21"/>
                <w:szCs w:val="21"/>
              </w:rPr>
              <w:t>有机玻璃</w:t>
            </w:r>
            <w:r w:rsidRPr="00B12FE0">
              <w:rPr>
                <w:rFonts w:hint="eastAsia"/>
                <w:color w:val="000000" w:themeColor="text1"/>
                <w:sz w:val="21"/>
                <w:szCs w:val="21"/>
              </w:rPr>
              <w:t>+2mmPb</w:t>
            </w:r>
          </w:p>
        </w:tc>
      </w:tr>
      <w:tr w:rsidR="00A67F21" w:rsidRPr="00B12FE0" w14:paraId="2C4F23BB"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4508B9A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13</w:t>
            </w:r>
          </w:p>
        </w:tc>
        <w:tc>
          <w:tcPr>
            <w:tcW w:w="2035" w:type="dxa"/>
            <w:tcBorders>
              <w:top w:val="single" w:sz="4" w:space="0" w:color="auto"/>
              <w:left w:val="nil"/>
              <w:bottom w:val="single" w:sz="4" w:space="0" w:color="auto"/>
              <w:right w:val="single" w:sz="4" w:space="0" w:color="auto"/>
            </w:tcBorders>
            <w:vAlign w:val="center"/>
          </w:tcPr>
          <w:p w14:paraId="7AC62CC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废物衰变桶</w:t>
            </w:r>
          </w:p>
        </w:tc>
        <w:tc>
          <w:tcPr>
            <w:tcW w:w="2551" w:type="dxa"/>
            <w:tcBorders>
              <w:top w:val="single" w:sz="4" w:space="0" w:color="auto"/>
              <w:left w:val="nil"/>
              <w:bottom w:val="single" w:sz="4" w:space="0" w:color="auto"/>
              <w:right w:val="single" w:sz="4" w:space="0" w:color="auto"/>
            </w:tcBorders>
            <w:vAlign w:val="center"/>
          </w:tcPr>
          <w:p w14:paraId="1FB0BF9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废物间</w:t>
            </w:r>
          </w:p>
        </w:tc>
        <w:tc>
          <w:tcPr>
            <w:tcW w:w="1418" w:type="dxa"/>
            <w:tcBorders>
              <w:top w:val="single" w:sz="4" w:space="0" w:color="auto"/>
              <w:left w:val="nil"/>
              <w:bottom w:val="single" w:sz="4" w:space="0" w:color="auto"/>
              <w:right w:val="single" w:sz="4" w:space="0" w:color="auto"/>
            </w:tcBorders>
            <w:vAlign w:val="center"/>
          </w:tcPr>
          <w:p w14:paraId="5AB2A98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若干</w:t>
            </w:r>
          </w:p>
        </w:tc>
        <w:tc>
          <w:tcPr>
            <w:tcW w:w="2359" w:type="dxa"/>
            <w:tcBorders>
              <w:top w:val="single" w:sz="4" w:space="0" w:color="auto"/>
              <w:left w:val="nil"/>
              <w:bottom w:val="single" w:sz="4" w:space="0" w:color="auto"/>
              <w:right w:val="single" w:sz="4" w:space="0" w:color="auto"/>
            </w:tcBorders>
            <w:vAlign w:val="center"/>
          </w:tcPr>
          <w:p w14:paraId="131F215A" w14:textId="77777777" w:rsidR="00A67F21" w:rsidRPr="00B12FE0" w:rsidRDefault="00000000">
            <w:pPr>
              <w:adjustRightInd w:val="0"/>
              <w:snapToGrid w:val="0"/>
              <w:jc w:val="center"/>
              <w:rPr>
                <w:b/>
                <w:bCs/>
                <w:color w:val="000000" w:themeColor="text1"/>
                <w:sz w:val="21"/>
                <w:szCs w:val="21"/>
              </w:rPr>
            </w:pPr>
            <w:r w:rsidRPr="00B12FE0">
              <w:rPr>
                <w:color w:val="000000" w:themeColor="text1"/>
                <w:sz w:val="21"/>
                <w:szCs w:val="21"/>
              </w:rPr>
              <w:t>10mmPb</w:t>
            </w:r>
            <w:r w:rsidRPr="00B12FE0">
              <w:rPr>
                <w:rFonts w:hint="eastAsia"/>
                <w:color w:val="000000" w:themeColor="text1"/>
                <w:sz w:val="21"/>
                <w:szCs w:val="21"/>
              </w:rPr>
              <w:t>/10mm</w:t>
            </w:r>
            <w:r w:rsidRPr="00B12FE0">
              <w:rPr>
                <w:rFonts w:hint="eastAsia"/>
                <w:color w:val="000000" w:themeColor="text1"/>
                <w:sz w:val="21"/>
                <w:szCs w:val="21"/>
              </w:rPr>
              <w:t>有机玻璃</w:t>
            </w:r>
            <w:r w:rsidRPr="00B12FE0">
              <w:rPr>
                <w:rFonts w:hint="eastAsia"/>
                <w:color w:val="000000" w:themeColor="text1"/>
                <w:sz w:val="21"/>
                <w:szCs w:val="21"/>
              </w:rPr>
              <w:t>+2mmPb</w:t>
            </w:r>
          </w:p>
        </w:tc>
      </w:tr>
      <w:tr w:rsidR="00A67F21" w:rsidRPr="00B12FE0" w14:paraId="4B33EE49"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31A92F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14</w:t>
            </w:r>
          </w:p>
        </w:tc>
        <w:tc>
          <w:tcPr>
            <w:tcW w:w="2035" w:type="dxa"/>
            <w:tcBorders>
              <w:top w:val="single" w:sz="4" w:space="0" w:color="auto"/>
              <w:left w:val="single" w:sz="4" w:space="0" w:color="auto"/>
              <w:bottom w:val="single" w:sz="4" w:space="0" w:color="auto"/>
              <w:right w:val="single" w:sz="4" w:space="0" w:color="auto"/>
            </w:tcBorders>
            <w:vAlign w:val="center"/>
          </w:tcPr>
          <w:p w14:paraId="5D846232"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人员立式注射防护车</w:t>
            </w:r>
          </w:p>
        </w:tc>
        <w:tc>
          <w:tcPr>
            <w:tcW w:w="2551" w:type="dxa"/>
            <w:tcBorders>
              <w:top w:val="single" w:sz="4" w:space="0" w:color="auto"/>
              <w:left w:val="single" w:sz="4" w:space="0" w:color="auto"/>
              <w:bottom w:val="single" w:sz="4" w:space="0" w:color="auto"/>
              <w:right w:val="single" w:sz="4" w:space="0" w:color="auto"/>
            </w:tcBorders>
            <w:vAlign w:val="center"/>
          </w:tcPr>
          <w:p w14:paraId="3AB803FD"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运动负荷</w:t>
            </w:r>
            <w:r w:rsidRPr="00B12FE0">
              <w:rPr>
                <w:rFonts w:ascii="宋体" w:hAnsi="宋体" w:hint="eastAsia"/>
                <w:color w:val="000000" w:themeColor="text1"/>
                <w:sz w:val="21"/>
                <w:szCs w:val="21"/>
              </w:rPr>
              <w:t>室</w:t>
            </w:r>
          </w:p>
        </w:tc>
        <w:tc>
          <w:tcPr>
            <w:tcW w:w="1418" w:type="dxa"/>
            <w:tcBorders>
              <w:top w:val="single" w:sz="4" w:space="0" w:color="auto"/>
              <w:left w:val="single" w:sz="4" w:space="0" w:color="auto"/>
              <w:bottom w:val="single" w:sz="4" w:space="0" w:color="auto"/>
              <w:right w:val="single" w:sz="4" w:space="0" w:color="auto"/>
            </w:tcBorders>
            <w:vAlign w:val="center"/>
          </w:tcPr>
          <w:p w14:paraId="407DC2F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33AE926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20mmPb</w:t>
            </w:r>
          </w:p>
        </w:tc>
      </w:tr>
      <w:tr w:rsidR="00A67F21" w:rsidRPr="00B12FE0" w14:paraId="3DC13327"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2249311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15</w:t>
            </w:r>
          </w:p>
        </w:tc>
        <w:tc>
          <w:tcPr>
            <w:tcW w:w="2035" w:type="dxa"/>
            <w:tcBorders>
              <w:top w:val="single" w:sz="4" w:space="0" w:color="auto"/>
              <w:left w:val="nil"/>
              <w:bottom w:val="single" w:sz="4" w:space="0" w:color="auto"/>
              <w:right w:val="single" w:sz="4" w:space="0" w:color="auto"/>
            </w:tcBorders>
            <w:vAlign w:val="center"/>
          </w:tcPr>
          <w:p w14:paraId="6CEC757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铅防护衣、铅橡胶颈套、铅橡胶帽子、铅防护眼镜</w:t>
            </w:r>
            <w:r w:rsidRPr="00B12FE0">
              <w:rPr>
                <w:rFonts w:hint="eastAsia"/>
                <w:color w:val="000000" w:themeColor="text1"/>
                <w:sz w:val="21"/>
                <w:szCs w:val="21"/>
              </w:rPr>
              <w:t>等</w:t>
            </w:r>
          </w:p>
        </w:tc>
        <w:tc>
          <w:tcPr>
            <w:tcW w:w="2551" w:type="dxa"/>
            <w:tcBorders>
              <w:top w:val="single" w:sz="4" w:space="0" w:color="auto"/>
              <w:left w:val="nil"/>
              <w:bottom w:val="single" w:sz="4" w:space="0" w:color="auto"/>
              <w:right w:val="single" w:sz="4" w:space="0" w:color="auto"/>
            </w:tcBorders>
            <w:vAlign w:val="center"/>
          </w:tcPr>
          <w:p w14:paraId="46639F6A"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高活室、</w:t>
            </w:r>
            <w:r w:rsidRPr="00B12FE0">
              <w:rPr>
                <w:color w:val="000000" w:themeColor="text1"/>
                <w:sz w:val="21"/>
                <w:szCs w:val="21"/>
              </w:rPr>
              <w:t>控制室</w:t>
            </w:r>
          </w:p>
        </w:tc>
        <w:tc>
          <w:tcPr>
            <w:tcW w:w="1418" w:type="dxa"/>
            <w:tcBorders>
              <w:top w:val="single" w:sz="4" w:space="0" w:color="auto"/>
              <w:left w:val="nil"/>
              <w:bottom w:val="single" w:sz="4" w:space="0" w:color="auto"/>
              <w:right w:val="single" w:sz="4" w:space="0" w:color="auto"/>
            </w:tcBorders>
            <w:vAlign w:val="center"/>
          </w:tcPr>
          <w:p w14:paraId="76E7741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若干</w:t>
            </w:r>
          </w:p>
        </w:tc>
        <w:tc>
          <w:tcPr>
            <w:tcW w:w="2359" w:type="dxa"/>
            <w:tcBorders>
              <w:top w:val="single" w:sz="4" w:space="0" w:color="auto"/>
              <w:left w:val="nil"/>
              <w:bottom w:val="single" w:sz="4" w:space="0" w:color="auto"/>
              <w:right w:val="single" w:sz="4" w:space="0" w:color="auto"/>
            </w:tcBorders>
            <w:vAlign w:val="center"/>
          </w:tcPr>
          <w:p w14:paraId="285E1E6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0.5mmPb</w:t>
            </w:r>
          </w:p>
        </w:tc>
      </w:tr>
      <w:tr w:rsidR="00A67F21" w:rsidRPr="00B12FE0" w14:paraId="4F974DB9"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37D441E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16</w:t>
            </w:r>
          </w:p>
        </w:tc>
        <w:tc>
          <w:tcPr>
            <w:tcW w:w="2035" w:type="dxa"/>
            <w:tcBorders>
              <w:top w:val="single" w:sz="4" w:space="0" w:color="auto"/>
              <w:left w:val="single" w:sz="4" w:space="0" w:color="auto"/>
              <w:bottom w:val="single" w:sz="4" w:space="0" w:color="auto"/>
              <w:right w:val="single" w:sz="4" w:space="0" w:color="auto"/>
            </w:tcBorders>
            <w:vAlign w:val="center"/>
          </w:tcPr>
          <w:p w14:paraId="64F1E40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专用长柄工具</w:t>
            </w:r>
          </w:p>
        </w:tc>
        <w:tc>
          <w:tcPr>
            <w:tcW w:w="2551" w:type="dxa"/>
            <w:tcBorders>
              <w:top w:val="single" w:sz="4" w:space="0" w:color="auto"/>
              <w:left w:val="single" w:sz="4" w:space="0" w:color="auto"/>
              <w:bottom w:val="single" w:sz="4" w:space="0" w:color="auto"/>
              <w:right w:val="single" w:sz="4" w:space="0" w:color="auto"/>
            </w:tcBorders>
            <w:vAlign w:val="center"/>
          </w:tcPr>
          <w:p w14:paraId="2EC5026F"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敷贴治疗室</w:t>
            </w:r>
          </w:p>
        </w:tc>
        <w:tc>
          <w:tcPr>
            <w:tcW w:w="1418" w:type="dxa"/>
            <w:tcBorders>
              <w:top w:val="single" w:sz="4" w:space="0" w:color="auto"/>
              <w:left w:val="single" w:sz="4" w:space="0" w:color="auto"/>
              <w:bottom w:val="single" w:sz="4" w:space="0" w:color="auto"/>
              <w:right w:val="single" w:sz="4" w:space="0" w:color="auto"/>
            </w:tcBorders>
            <w:vAlign w:val="center"/>
          </w:tcPr>
          <w:p w14:paraId="56FB30C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7D8AC43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w:t>
            </w:r>
          </w:p>
        </w:tc>
      </w:tr>
      <w:tr w:rsidR="00A67F21" w:rsidRPr="00B12FE0" w14:paraId="70A0A60A"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A8D8BE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17</w:t>
            </w:r>
          </w:p>
        </w:tc>
        <w:tc>
          <w:tcPr>
            <w:tcW w:w="2035" w:type="dxa"/>
            <w:tcBorders>
              <w:top w:val="single" w:sz="4" w:space="0" w:color="auto"/>
              <w:left w:val="single" w:sz="4" w:space="0" w:color="auto"/>
              <w:bottom w:val="single" w:sz="4" w:space="0" w:color="auto"/>
              <w:right w:val="single" w:sz="4" w:space="0" w:color="auto"/>
            </w:tcBorders>
            <w:vAlign w:val="center"/>
          </w:tcPr>
          <w:p w14:paraId="233CBA4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有机玻璃眼镜</w:t>
            </w:r>
            <w:r w:rsidRPr="00B12FE0">
              <w:rPr>
                <w:rFonts w:hint="eastAsia"/>
                <w:color w:val="000000" w:themeColor="text1"/>
                <w:sz w:val="21"/>
                <w:szCs w:val="21"/>
              </w:rPr>
              <w:t>/</w:t>
            </w:r>
            <w:r w:rsidRPr="00B12FE0">
              <w:rPr>
                <w:rFonts w:hint="eastAsia"/>
                <w:color w:val="000000" w:themeColor="text1"/>
                <w:sz w:val="21"/>
                <w:szCs w:val="21"/>
              </w:rPr>
              <w:t>面罩</w:t>
            </w:r>
          </w:p>
        </w:tc>
        <w:tc>
          <w:tcPr>
            <w:tcW w:w="2551" w:type="dxa"/>
            <w:tcBorders>
              <w:top w:val="single" w:sz="4" w:space="0" w:color="auto"/>
              <w:left w:val="single" w:sz="4" w:space="0" w:color="auto"/>
              <w:bottom w:val="single" w:sz="4" w:space="0" w:color="auto"/>
              <w:right w:val="single" w:sz="4" w:space="0" w:color="auto"/>
            </w:tcBorders>
            <w:vAlign w:val="center"/>
          </w:tcPr>
          <w:p w14:paraId="6BC38A8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敷贴治疗室</w:t>
            </w:r>
          </w:p>
        </w:tc>
        <w:tc>
          <w:tcPr>
            <w:tcW w:w="1418" w:type="dxa"/>
            <w:tcBorders>
              <w:top w:val="single" w:sz="4" w:space="0" w:color="auto"/>
              <w:left w:val="single" w:sz="4" w:space="0" w:color="auto"/>
              <w:bottom w:val="single" w:sz="4" w:space="0" w:color="auto"/>
              <w:right w:val="single" w:sz="4" w:space="0" w:color="auto"/>
            </w:tcBorders>
            <w:vAlign w:val="center"/>
          </w:tcPr>
          <w:p w14:paraId="47A5B76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3B7AC9E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w:t>
            </w:r>
          </w:p>
        </w:tc>
      </w:tr>
      <w:tr w:rsidR="00A67F21" w:rsidRPr="00B12FE0" w14:paraId="69F42389"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5E0EC8E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18</w:t>
            </w:r>
          </w:p>
        </w:tc>
        <w:tc>
          <w:tcPr>
            <w:tcW w:w="2035" w:type="dxa"/>
            <w:tcBorders>
              <w:top w:val="single" w:sz="4" w:space="0" w:color="auto"/>
              <w:left w:val="single" w:sz="4" w:space="0" w:color="auto"/>
              <w:bottom w:val="single" w:sz="4" w:space="0" w:color="auto"/>
              <w:right w:val="single" w:sz="4" w:space="0" w:color="auto"/>
            </w:tcBorders>
            <w:vAlign w:val="center"/>
          </w:tcPr>
          <w:p w14:paraId="783DA505"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污染防护服、</w:t>
            </w:r>
            <w:r w:rsidRPr="00B12FE0">
              <w:rPr>
                <w:rFonts w:ascii="宋体" w:hAnsi="宋体"/>
                <w:color w:val="000000" w:themeColor="text1"/>
                <w:sz w:val="21"/>
                <w:szCs w:val="21"/>
              </w:rPr>
              <w:t>工作服、工作帽、工作鞋、手套、口罩等</w:t>
            </w:r>
          </w:p>
        </w:tc>
        <w:tc>
          <w:tcPr>
            <w:tcW w:w="2551" w:type="dxa"/>
            <w:tcBorders>
              <w:top w:val="single" w:sz="4" w:space="0" w:color="auto"/>
              <w:left w:val="single" w:sz="4" w:space="0" w:color="auto"/>
              <w:bottom w:val="single" w:sz="4" w:space="0" w:color="auto"/>
              <w:right w:val="single" w:sz="4" w:space="0" w:color="auto"/>
            </w:tcBorders>
            <w:vAlign w:val="center"/>
          </w:tcPr>
          <w:p w14:paraId="6FF0BAFB"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w:t>
            </w:r>
            <w:proofErr w:type="gramStart"/>
            <w:r w:rsidRPr="00B12FE0">
              <w:rPr>
                <w:rFonts w:ascii="宋体" w:hAnsi="宋体"/>
                <w:color w:val="000000" w:themeColor="text1"/>
                <w:sz w:val="21"/>
                <w:szCs w:val="21"/>
              </w:rPr>
              <w:t>通过间</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01422D4B"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若干</w:t>
            </w:r>
          </w:p>
        </w:tc>
        <w:tc>
          <w:tcPr>
            <w:tcW w:w="2359" w:type="dxa"/>
            <w:tcBorders>
              <w:top w:val="single" w:sz="4" w:space="0" w:color="auto"/>
              <w:left w:val="single" w:sz="4" w:space="0" w:color="auto"/>
              <w:bottom w:val="single" w:sz="4" w:space="0" w:color="auto"/>
              <w:right w:val="single" w:sz="4" w:space="0" w:color="auto"/>
            </w:tcBorders>
            <w:vAlign w:val="center"/>
          </w:tcPr>
          <w:p w14:paraId="62D03E5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6D1880D3" w14:textId="77777777">
        <w:trPr>
          <w:cantSplit/>
          <w:trHeight w:val="90"/>
          <w:jc w:val="center"/>
        </w:trPr>
        <w:tc>
          <w:tcPr>
            <w:tcW w:w="654" w:type="dxa"/>
            <w:tcBorders>
              <w:top w:val="single" w:sz="4" w:space="0" w:color="auto"/>
              <w:left w:val="single" w:sz="4" w:space="0" w:color="auto"/>
              <w:bottom w:val="single" w:sz="4" w:space="0" w:color="auto"/>
              <w:right w:val="single" w:sz="4" w:space="0" w:color="auto"/>
            </w:tcBorders>
            <w:vAlign w:val="center"/>
          </w:tcPr>
          <w:p w14:paraId="5604303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lastRenderedPageBreak/>
              <w:t>19</w:t>
            </w:r>
          </w:p>
        </w:tc>
        <w:tc>
          <w:tcPr>
            <w:tcW w:w="2035" w:type="dxa"/>
            <w:tcBorders>
              <w:top w:val="single" w:sz="4" w:space="0" w:color="auto"/>
              <w:left w:val="nil"/>
              <w:bottom w:val="single" w:sz="4" w:space="0" w:color="auto"/>
              <w:right w:val="single" w:sz="4" w:space="0" w:color="auto"/>
            </w:tcBorders>
            <w:vAlign w:val="center"/>
          </w:tcPr>
          <w:p w14:paraId="79BA619A"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应急及去污用品</w:t>
            </w:r>
          </w:p>
        </w:tc>
        <w:tc>
          <w:tcPr>
            <w:tcW w:w="2551" w:type="dxa"/>
            <w:tcBorders>
              <w:top w:val="single" w:sz="4" w:space="0" w:color="auto"/>
              <w:left w:val="nil"/>
              <w:bottom w:val="single" w:sz="4" w:space="0" w:color="auto"/>
              <w:right w:val="single" w:sz="4" w:space="0" w:color="auto"/>
            </w:tcBorders>
            <w:vAlign w:val="center"/>
          </w:tcPr>
          <w:p w14:paraId="7E3F56EA"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w:t>
            </w:r>
            <w:proofErr w:type="gramStart"/>
            <w:r w:rsidRPr="00B12FE0">
              <w:rPr>
                <w:rFonts w:ascii="宋体" w:hAnsi="宋体"/>
                <w:color w:val="000000" w:themeColor="text1"/>
                <w:sz w:val="21"/>
                <w:szCs w:val="21"/>
              </w:rPr>
              <w:t>通过间</w:t>
            </w:r>
            <w:proofErr w:type="gramEnd"/>
          </w:p>
        </w:tc>
        <w:tc>
          <w:tcPr>
            <w:tcW w:w="1418" w:type="dxa"/>
            <w:tcBorders>
              <w:top w:val="single" w:sz="4" w:space="0" w:color="auto"/>
              <w:left w:val="nil"/>
              <w:bottom w:val="single" w:sz="4" w:space="0" w:color="auto"/>
              <w:right w:val="single" w:sz="4" w:space="0" w:color="auto"/>
            </w:tcBorders>
            <w:vAlign w:val="center"/>
          </w:tcPr>
          <w:p w14:paraId="5EF6468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套</w:t>
            </w:r>
          </w:p>
        </w:tc>
        <w:tc>
          <w:tcPr>
            <w:tcW w:w="2359" w:type="dxa"/>
            <w:tcBorders>
              <w:top w:val="single" w:sz="4" w:space="0" w:color="auto"/>
              <w:left w:val="nil"/>
              <w:bottom w:val="single" w:sz="4" w:space="0" w:color="auto"/>
              <w:right w:val="single" w:sz="4" w:space="0" w:color="auto"/>
            </w:tcBorders>
            <w:vAlign w:val="center"/>
          </w:tcPr>
          <w:p w14:paraId="28FC2B5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55296900"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60130A0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20</w:t>
            </w:r>
          </w:p>
        </w:tc>
        <w:tc>
          <w:tcPr>
            <w:tcW w:w="2035" w:type="dxa"/>
            <w:tcBorders>
              <w:top w:val="single" w:sz="4" w:space="0" w:color="auto"/>
              <w:left w:val="nil"/>
              <w:bottom w:val="single" w:sz="4" w:space="0" w:color="auto"/>
              <w:right w:val="single" w:sz="4" w:space="0" w:color="auto"/>
            </w:tcBorders>
            <w:vAlign w:val="center"/>
          </w:tcPr>
          <w:p w14:paraId="55746D42"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铅防护屏风</w:t>
            </w:r>
          </w:p>
        </w:tc>
        <w:tc>
          <w:tcPr>
            <w:tcW w:w="2551" w:type="dxa"/>
            <w:tcBorders>
              <w:top w:val="single" w:sz="4" w:space="0" w:color="auto"/>
              <w:left w:val="nil"/>
              <w:bottom w:val="single" w:sz="4" w:space="0" w:color="auto"/>
              <w:right w:val="single" w:sz="4" w:space="0" w:color="auto"/>
            </w:tcBorders>
            <w:vAlign w:val="center"/>
          </w:tcPr>
          <w:p w14:paraId="6E90581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PET</w:t>
            </w:r>
            <w:r w:rsidRPr="00B12FE0">
              <w:rPr>
                <w:rFonts w:ascii="宋体" w:hAnsi="宋体"/>
                <w:color w:val="000000" w:themeColor="text1"/>
                <w:sz w:val="21"/>
                <w:szCs w:val="21"/>
              </w:rPr>
              <w:t>机房</w:t>
            </w:r>
          </w:p>
        </w:tc>
        <w:tc>
          <w:tcPr>
            <w:tcW w:w="1418" w:type="dxa"/>
            <w:tcBorders>
              <w:top w:val="single" w:sz="4" w:space="0" w:color="auto"/>
              <w:left w:val="nil"/>
              <w:bottom w:val="single" w:sz="4" w:space="0" w:color="auto"/>
              <w:right w:val="single" w:sz="4" w:space="0" w:color="auto"/>
            </w:tcBorders>
            <w:vAlign w:val="center"/>
          </w:tcPr>
          <w:p w14:paraId="32903F6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ascii="宋体" w:hAnsi="宋体"/>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62DD0C3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p>
        </w:tc>
      </w:tr>
      <w:tr w:rsidR="00A67F21" w:rsidRPr="00B12FE0" w14:paraId="6B8811BB"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30ADFD7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21</w:t>
            </w:r>
          </w:p>
        </w:tc>
        <w:tc>
          <w:tcPr>
            <w:tcW w:w="2035" w:type="dxa"/>
            <w:tcBorders>
              <w:top w:val="single" w:sz="4" w:space="0" w:color="auto"/>
              <w:left w:val="nil"/>
              <w:bottom w:val="single" w:sz="4" w:space="0" w:color="auto"/>
              <w:right w:val="single" w:sz="4" w:space="0" w:color="auto"/>
            </w:tcBorders>
            <w:vAlign w:val="center"/>
          </w:tcPr>
          <w:p w14:paraId="1DE2921C"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铅防护屏风</w:t>
            </w:r>
          </w:p>
        </w:tc>
        <w:tc>
          <w:tcPr>
            <w:tcW w:w="2551" w:type="dxa"/>
            <w:tcBorders>
              <w:top w:val="single" w:sz="4" w:space="0" w:color="auto"/>
              <w:left w:val="nil"/>
              <w:bottom w:val="single" w:sz="4" w:space="0" w:color="auto"/>
              <w:right w:val="single" w:sz="4" w:space="0" w:color="auto"/>
            </w:tcBorders>
            <w:vAlign w:val="center"/>
          </w:tcPr>
          <w:p w14:paraId="180BECA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SPECT/CT</w:t>
            </w:r>
            <w:r w:rsidRPr="00B12FE0">
              <w:rPr>
                <w:rFonts w:hint="eastAsia"/>
                <w:color w:val="000000" w:themeColor="text1"/>
                <w:sz w:val="21"/>
                <w:szCs w:val="21"/>
              </w:rPr>
              <w:t>机房、</w:t>
            </w:r>
            <w:r w:rsidRPr="00B12FE0">
              <w:rPr>
                <w:rFonts w:hint="eastAsia"/>
                <w:color w:val="000000" w:themeColor="text1"/>
                <w:sz w:val="21"/>
                <w:szCs w:val="21"/>
              </w:rPr>
              <w:t>SPECT</w:t>
            </w:r>
            <w:r w:rsidRPr="00B12FE0">
              <w:rPr>
                <w:rFonts w:hint="eastAsia"/>
                <w:color w:val="000000" w:themeColor="text1"/>
                <w:sz w:val="21"/>
                <w:szCs w:val="21"/>
              </w:rPr>
              <w:t>注射后等候室、留观室、甲亢</w:t>
            </w:r>
            <w:proofErr w:type="gramStart"/>
            <w:r w:rsidRPr="00B12FE0">
              <w:rPr>
                <w:rFonts w:hint="eastAsia"/>
                <w:color w:val="000000" w:themeColor="text1"/>
                <w:sz w:val="21"/>
                <w:szCs w:val="21"/>
              </w:rPr>
              <w:t>留观室</w:t>
            </w:r>
            <w:proofErr w:type="gramEnd"/>
          </w:p>
        </w:tc>
        <w:tc>
          <w:tcPr>
            <w:tcW w:w="1418" w:type="dxa"/>
            <w:tcBorders>
              <w:top w:val="single" w:sz="4" w:space="0" w:color="auto"/>
              <w:left w:val="nil"/>
              <w:bottom w:val="single" w:sz="4" w:space="0" w:color="auto"/>
              <w:right w:val="single" w:sz="4" w:space="0" w:color="auto"/>
            </w:tcBorders>
            <w:vAlign w:val="center"/>
          </w:tcPr>
          <w:p w14:paraId="1C828A2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w:t>
            </w:r>
            <w:r w:rsidRPr="00B12FE0">
              <w:rPr>
                <w:rFonts w:ascii="宋体" w:hAnsi="宋体"/>
                <w:color w:val="000000" w:themeColor="text1"/>
                <w:sz w:val="21"/>
                <w:szCs w:val="21"/>
              </w:rPr>
              <w:t>个</w:t>
            </w:r>
          </w:p>
        </w:tc>
        <w:tc>
          <w:tcPr>
            <w:tcW w:w="2359" w:type="dxa"/>
            <w:tcBorders>
              <w:top w:val="single" w:sz="4" w:space="0" w:color="auto"/>
              <w:left w:val="nil"/>
              <w:bottom w:val="single" w:sz="4" w:space="0" w:color="auto"/>
              <w:right w:val="single" w:sz="4" w:space="0" w:color="auto"/>
            </w:tcBorders>
            <w:vAlign w:val="center"/>
          </w:tcPr>
          <w:p w14:paraId="56FAB89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4mmPb</w:t>
            </w:r>
          </w:p>
        </w:tc>
      </w:tr>
      <w:tr w:rsidR="00A67F21" w:rsidRPr="00B12FE0" w14:paraId="6D27CD15"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5E1D187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22</w:t>
            </w:r>
          </w:p>
        </w:tc>
        <w:tc>
          <w:tcPr>
            <w:tcW w:w="2035" w:type="dxa"/>
            <w:tcBorders>
              <w:top w:val="single" w:sz="4" w:space="0" w:color="auto"/>
              <w:left w:val="nil"/>
              <w:bottom w:val="single" w:sz="4" w:space="0" w:color="auto"/>
              <w:right w:val="single" w:sz="4" w:space="0" w:color="auto"/>
            </w:tcBorders>
            <w:vAlign w:val="center"/>
          </w:tcPr>
          <w:p w14:paraId="1D404581"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表面污染监测仪</w:t>
            </w:r>
          </w:p>
        </w:tc>
        <w:tc>
          <w:tcPr>
            <w:tcW w:w="2551" w:type="dxa"/>
            <w:tcBorders>
              <w:top w:val="single" w:sz="4" w:space="0" w:color="auto"/>
              <w:left w:val="nil"/>
              <w:bottom w:val="single" w:sz="4" w:space="0" w:color="auto"/>
              <w:right w:val="single" w:sz="4" w:space="0" w:color="auto"/>
            </w:tcBorders>
            <w:vAlign w:val="center"/>
          </w:tcPr>
          <w:p w14:paraId="45B72926"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w:t>
            </w:r>
            <w:proofErr w:type="gramStart"/>
            <w:r w:rsidRPr="00B12FE0">
              <w:rPr>
                <w:rFonts w:ascii="宋体" w:hAnsi="宋体"/>
                <w:color w:val="000000" w:themeColor="text1"/>
                <w:sz w:val="21"/>
                <w:szCs w:val="21"/>
              </w:rPr>
              <w:t>通过间</w:t>
            </w:r>
            <w:proofErr w:type="gramEnd"/>
          </w:p>
        </w:tc>
        <w:tc>
          <w:tcPr>
            <w:tcW w:w="1418" w:type="dxa"/>
            <w:tcBorders>
              <w:top w:val="single" w:sz="4" w:space="0" w:color="auto"/>
              <w:left w:val="nil"/>
              <w:bottom w:val="single" w:sz="4" w:space="0" w:color="auto"/>
              <w:right w:val="single" w:sz="4" w:space="0" w:color="auto"/>
            </w:tcBorders>
            <w:vAlign w:val="center"/>
          </w:tcPr>
          <w:p w14:paraId="1EB274F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3F3EF41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01F99336"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2AF3829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23</w:t>
            </w:r>
          </w:p>
        </w:tc>
        <w:tc>
          <w:tcPr>
            <w:tcW w:w="2035" w:type="dxa"/>
            <w:tcBorders>
              <w:top w:val="single" w:sz="4" w:space="0" w:color="auto"/>
              <w:left w:val="nil"/>
              <w:bottom w:val="single" w:sz="4" w:space="0" w:color="auto"/>
              <w:right w:val="single" w:sz="4" w:space="0" w:color="auto"/>
            </w:tcBorders>
            <w:vAlign w:val="center"/>
          </w:tcPr>
          <w:p w14:paraId="5AE573F5"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便携式</w:t>
            </w:r>
            <w:r w:rsidRPr="00B12FE0">
              <w:rPr>
                <w:color w:val="000000" w:themeColor="text1"/>
                <w:sz w:val="21"/>
                <w:szCs w:val="21"/>
              </w:rPr>
              <w:t>X-γ</w:t>
            </w:r>
            <w:r w:rsidRPr="00B12FE0">
              <w:rPr>
                <w:rFonts w:ascii="宋体" w:hAnsi="宋体"/>
                <w:color w:val="000000" w:themeColor="text1"/>
                <w:sz w:val="21"/>
                <w:szCs w:val="21"/>
              </w:rPr>
              <w:t>射线巡测仪</w:t>
            </w:r>
          </w:p>
        </w:tc>
        <w:tc>
          <w:tcPr>
            <w:tcW w:w="2551" w:type="dxa"/>
            <w:tcBorders>
              <w:top w:val="single" w:sz="4" w:space="0" w:color="auto"/>
              <w:left w:val="nil"/>
              <w:bottom w:val="single" w:sz="4" w:space="0" w:color="auto"/>
              <w:right w:val="single" w:sz="4" w:space="0" w:color="auto"/>
            </w:tcBorders>
            <w:vAlign w:val="center"/>
          </w:tcPr>
          <w:p w14:paraId="2F9E5213"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w:t>
            </w:r>
            <w:proofErr w:type="gramStart"/>
            <w:r w:rsidRPr="00B12FE0">
              <w:rPr>
                <w:rFonts w:ascii="宋体" w:hAnsi="宋体"/>
                <w:color w:val="000000" w:themeColor="text1"/>
                <w:sz w:val="21"/>
                <w:szCs w:val="21"/>
              </w:rPr>
              <w:t>通过间</w:t>
            </w:r>
            <w:proofErr w:type="gramEnd"/>
          </w:p>
        </w:tc>
        <w:tc>
          <w:tcPr>
            <w:tcW w:w="1418" w:type="dxa"/>
            <w:tcBorders>
              <w:top w:val="single" w:sz="4" w:space="0" w:color="auto"/>
              <w:left w:val="nil"/>
              <w:bottom w:val="single" w:sz="4" w:space="0" w:color="auto"/>
              <w:right w:val="single" w:sz="4" w:space="0" w:color="auto"/>
            </w:tcBorders>
            <w:vAlign w:val="center"/>
          </w:tcPr>
          <w:p w14:paraId="67BF751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36FC23E3"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核医学科共用</w:t>
            </w:r>
          </w:p>
        </w:tc>
      </w:tr>
      <w:tr w:rsidR="00A67F21" w:rsidRPr="00B12FE0" w14:paraId="5FFEF300"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5E9126A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24</w:t>
            </w:r>
          </w:p>
        </w:tc>
        <w:tc>
          <w:tcPr>
            <w:tcW w:w="2035" w:type="dxa"/>
            <w:tcBorders>
              <w:top w:val="single" w:sz="4" w:space="0" w:color="auto"/>
              <w:left w:val="nil"/>
              <w:bottom w:val="single" w:sz="4" w:space="0" w:color="auto"/>
              <w:right w:val="single" w:sz="4" w:space="0" w:color="auto"/>
            </w:tcBorders>
            <w:vAlign w:val="center"/>
          </w:tcPr>
          <w:p w14:paraId="0183C82F"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个人剂量报警仪</w:t>
            </w:r>
          </w:p>
        </w:tc>
        <w:tc>
          <w:tcPr>
            <w:tcW w:w="2551" w:type="dxa"/>
            <w:tcBorders>
              <w:top w:val="single" w:sz="4" w:space="0" w:color="auto"/>
              <w:left w:val="nil"/>
              <w:bottom w:val="single" w:sz="4" w:space="0" w:color="auto"/>
              <w:right w:val="single" w:sz="4" w:space="0" w:color="auto"/>
            </w:tcBorders>
            <w:vAlign w:val="center"/>
          </w:tcPr>
          <w:p w14:paraId="37A36773"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人员随身携带</w:t>
            </w:r>
          </w:p>
        </w:tc>
        <w:tc>
          <w:tcPr>
            <w:tcW w:w="1418" w:type="dxa"/>
            <w:tcBorders>
              <w:top w:val="single" w:sz="4" w:space="0" w:color="auto"/>
              <w:left w:val="nil"/>
              <w:bottom w:val="single" w:sz="4" w:space="0" w:color="auto"/>
              <w:right w:val="single" w:sz="4" w:space="0" w:color="auto"/>
            </w:tcBorders>
            <w:vAlign w:val="center"/>
          </w:tcPr>
          <w:p w14:paraId="12C47F5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3</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17562CB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1F460E77"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52BD248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25</w:t>
            </w:r>
          </w:p>
        </w:tc>
        <w:tc>
          <w:tcPr>
            <w:tcW w:w="2035" w:type="dxa"/>
            <w:tcBorders>
              <w:top w:val="single" w:sz="4" w:space="0" w:color="auto"/>
              <w:left w:val="nil"/>
              <w:bottom w:val="single" w:sz="4" w:space="0" w:color="auto"/>
              <w:right w:val="single" w:sz="4" w:space="0" w:color="auto"/>
            </w:tcBorders>
            <w:vAlign w:val="center"/>
          </w:tcPr>
          <w:p w14:paraId="3D2E8371"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个人剂量计</w:t>
            </w:r>
          </w:p>
        </w:tc>
        <w:tc>
          <w:tcPr>
            <w:tcW w:w="2551" w:type="dxa"/>
            <w:tcBorders>
              <w:top w:val="single" w:sz="4" w:space="0" w:color="auto"/>
              <w:left w:val="nil"/>
              <w:bottom w:val="single" w:sz="4" w:space="0" w:color="auto"/>
              <w:right w:val="single" w:sz="4" w:space="0" w:color="auto"/>
            </w:tcBorders>
            <w:vAlign w:val="center"/>
          </w:tcPr>
          <w:p w14:paraId="3C755553"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人员随身携带</w:t>
            </w:r>
          </w:p>
        </w:tc>
        <w:tc>
          <w:tcPr>
            <w:tcW w:w="1418" w:type="dxa"/>
            <w:tcBorders>
              <w:top w:val="single" w:sz="4" w:space="0" w:color="auto"/>
              <w:left w:val="nil"/>
              <w:bottom w:val="single" w:sz="4" w:space="0" w:color="auto"/>
              <w:right w:val="single" w:sz="4" w:space="0" w:color="auto"/>
            </w:tcBorders>
            <w:vAlign w:val="center"/>
          </w:tcPr>
          <w:p w14:paraId="7C5731B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个</w:t>
            </w:r>
            <w:r w:rsidRPr="00B12FE0">
              <w:rPr>
                <w:color w:val="000000" w:themeColor="text1"/>
                <w:sz w:val="21"/>
                <w:szCs w:val="21"/>
              </w:rPr>
              <w:t>/</w:t>
            </w:r>
            <w:r w:rsidRPr="00B12FE0">
              <w:rPr>
                <w:rFonts w:ascii="宋体" w:hAnsi="宋体"/>
                <w:color w:val="000000" w:themeColor="text1"/>
                <w:sz w:val="21"/>
                <w:szCs w:val="21"/>
              </w:rPr>
              <w:t>人</w:t>
            </w:r>
          </w:p>
        </w:tc>
        <w:tc>
          <w:tcPr>
            <w:tcW w:w="2359" w:type="dxa"/>
            <w:tcBorders>
              <w:top w:val="single" w:sz="4" w:space="0" w:color="auto"/>
              <w:left w:val="nil"/>
              <w:bottom w:val="single" w:sz="4" w:space="0" w:color="auto"/>
              <w:right w:val="single" w:sz="4" w:space="0" w:color="auto"/>
            </w:tcBorders>
            <w:vAlign w:val="center"/>
          </w:tcPr>
          <w:p w14:paraId="381BD84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39165146" w14:textId="77777777">
        <w:trPr>
          <w:cantSplit/>
          <w:trHeight w:val="414"/>
          <w:jc w:val="center"/>
        </w:trPr>
        <w:tc>
          <w:tcPr>
            <w:tcW w:w="9017" w:type="dxa"/>
            <w:gridSpan w:val="5"/>
            <w:tcBorders>
              <w:top w:val="single" w:sz="4" w:space="0" w:color="auto"/>
              <w:left w:val="single" w:sz="4" w:space="0" w:color="auto"/>
              <w:bottom w:val="single" w:sz="4" w:space="0" w:color="auto"/>
              <w:right w:val="single" w:sz="4" w:space="0" w:color="auto"/>
            </w:tcBorders>
            <w:vAlign w:val="center"/>
          </w:tcPr>
          <w:p w14:paraId="5DA5B4CF" w14:textId="77777777" w:rsidR="00A67F21" w:rsidRPr="00B12FE0" w:rsidRDefault="00000000">
            <w:pPr>
              <w:adjustRightInd w:val="0"/>
              <w:snapToGrid w:val="0"/>
              <w:jc w:val="center"/>
              <w:rPr>
                <w:color w:val="000000" w:themeColor="text1"/>
                <w:sz w:val="21"/>
                <w:szCs w:val="21"/>
              </w:rPr>
            </w:pPr>
            <w:r w:rsidRPr="00B12FE0">
              <w:rPr>
                <w:rFonts w:ascii="宋体" w:hAnsi="宋体"/>
                <w:b/>
                <w:bCs/>
                <w:color w:val="000000" w:themeColor="text1"/>
                <w:sz w:val="21"/>
                <w:szCs w:val="21"/>
              </w:rPr>
              <w:t>核医学科核素治疗场所</w:t>
            </w:r>
          </w:p>
        </w:tc>
      </w:tr>
      <w:tr w:rsidR="00A67F21" w:rsidRPr="00B12FE0" w14:paraId="7B105191"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2838CFB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p>
        </w:tc>
        <w:tc>
          <w:tcPr>
            <w:tcW w:w="2035" w:type="dxa"/>
            <w:tcBorders>
              <w:top w:val="single" w:sz="4" w:space="0" w:color="auto"/>
              <w:left w:val="nil"/>
              <w:bottom w:val="single" w:sz="4" w:space="0" w:color="auto"/>
              <w:right w:val="single" w:sz="4" w:space="0" w:color="auto"/>
            </w:tcBorders>
            <w:vAlign w:val="center"/>
          </w:tcPr>
          <w:p w14:paraId="268628F4" w14:textId="77777777" w:rsidR="00A67F21" w:rsidRPr="00B12FE0" w:rsidRDefault="00000000">
            <w:pPr>
              <w:adjustRightInd w:val="0"/>
              <w:snapToGrid w:val="0"/>
              <w:jc w:val="center"/>
              <w:rPr>
                <w:color w:val="000000" w:themeColor="text1"/>
                <w:sz w:val="21"/>
                <w:szCs w:val="21"/>
              </w:rPr>
            </w:pPr>
            <w:proofErr w:type="gramStart"/>
            <w:r w:rsidRPr="00B12FE0">
              <w:rPr>
                <w:rFonts w:hint="eastAsia"/>
                <w:color w:val="000000" w:themeColor="text1"/>
                <w:sz w:val="21"/>
                <w:szCs w:val="21"/>
              </w:rPr>
              <w:t>药物铅罐</w:t>
            </w:r>
            <w:proofErr w:type="gramEnd"/>
          </w:p>
        </w:tc>
        <w:tc>
          <w:tcPr>
            <w:tcW w:w="2551" w:type="dxa"/>
            <w:tcBorders>
              <w:top w:val="single" w:sz="4" w:space="0" w:color="auto"/>
              <w:left w:val="nil"/>
              <w:bottom w:val="single" w:sz="4" w:space="0" w:color="auto"/>
              <w:right w:val="single" w:sz="4" w:space="0" w:color="auto"/>
            </w:tcBorders>
            <w:vAlign w:val="center"/>
          </w:tcPr>
          <w:p w14:paraId="03DDE15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储源室</w:t>
            </w:r>
          </w:p>
        </w:tc>
        <w:tc>
          <w:tcPr>
            <w:tcW w:w="1418" w:type="dxa"/>
            <w:tcBorders>
              <w:top w:val="single" w:sz="4" w:space="0" w:color="auto"/>
              <w:left w:val="nil"/>
              <w:bottom w:val="single" w:sz="4" w:space="0" w:color="auto"/>
              <w:right w:val="single" w:sz="4" w:space="0" w:color="auto"/>
            </w:tcBorders>
            <w:vAlign w:val="center"/>
          </w:tcPr>
          <w:p w14:paraId="7219E7F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送药时自带</w:t>
            </w:r>
          </w:p>
        </w:tc>
        <w:tc>
          <w:tcPr>
            <w:tcW w:w="2359" w:type="dxa"/>
            <w:tcBorders>
              <w:top w:val="single" w:sz="4" w:space="0" w:color="auto"/>
              <w:left w:val="nil"/>
              <w:bottom w:val="single" w:sz="4" w:space="0" w:color="auto"/>
              <w:right w:val="single" w:sz="4" w:space="0" w:color="auto"/>
            </w:tcBorders>
            <w:vAlign w:val="center"/>
          </w:tcPr>
          <w:p w14:paraId="66E5057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vertAlign w:val="superscript"/>
              </w:rPr>
              <w:t>131</w:t>
            </w:r>
            <w:r w:rsidRPr="00B12FE0">
              <w:rPr>
                <w:rFonts w:hint="eastAsia"/>
                <w:color w:val="000000" w:themeColor="text1"/>
                <w:sz w:val="21"/>
                <w:szCs w:val="21"/>
              </w:rPr>
              <w:t>I</w:t>
            </w:r>
            <w:r w:rsidRPr="00B12FE0">
              <w:rPr>
                <w:rFonts w:hint="eastAsia"/>
                <w:color w:val="000000" w:themeColor="text1"/>
                <w:sz w:val="21"/>
                <w:szCs w:val="21"/>
              </w:rPr>
              <w:t>不低于</w:t>
            </w:r>
            <w:r w:rsidRPr="00B12FE0">
              <w:rPr>
                <w:rFonts w:hint="eastAsia"/>
                <w:color w:val="000000" w:themeColor="text1"/>
                <w:sz w:val="21"/>
                <w:szCs w:val="21"/>
              </w:rPr>
              <w:t>50mm</w:t>
            </w:r>
            <w:r w:rsidRPr="00B12FE0">
              <w:rPr>
                <w:color w:val="000000" w:themeColor="text1"/>
                <w:sz w:val="21"/>
                <w:szCs w:val="21"/>
              </w:rPr>
              <w:t>Pb</w:t>
            </w:r>
          </w:p>
        </w:tc>
      </w:tr>
      <w:tr w:rsidR="00A67F21" w:rsidRPr="00B12FE0" w14:paraId="7DA3889A"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3C161A9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p>
        </w:tc>
        <w:tc>
          <w:tcPr>
            <w:tcW w:w="2035" w:type="dxa"/>
            <w:tcBorders>
              <w:top w:val="single" w:sz="4" w:space="0" w:color="auto"/>
              <w:left w:val="single" w:sz="4" w:space="0" w:color="auto"/>
              <w:bottom w:val="single" w:sz="4" w:space="0" w:color="auto"/>
              <w:right w:val="single" w:sz="4" w:space="0" w:color="auto"/>
            </w:tcBorders>
            <w:vAlign w:val="center"/>
          </w:tcPr>
          <w:p w14:paraId="3707EB7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自动分装仪</w:t>
            </w:r>
          </w:p>
        </w:tc>
        <w:tc>
          <w:tcPr>
            <w:tcW w:w="2551" w:type="dxa"/>
            <w:tcBorders>
              <w:top w:val="single" w:sz="4" w:space="0" w:color="auto"/>
              <w:left w:val="single" w:sz="4" w:space="0" w:color="auto"/>
              <w:bottom w:val="single" w:sz="4" w:space="0" w:color="auto"/>
              <w:right w:val="single" w:sz="4" w:space="0" w:color="auto"/>
            </w:tcBorders>
            <w:vAlign w:val="center"/>
          </w:tcPr>
          <w:p w14:paraId="45E082A1" w14:textId="77777777" w:rsidR="00A67F21" w:rsidRPr="00B12FE0" w:rsidRDefault="00000000">
            <w:pPr>
              <w:adjustRightInd w:val="0"/>
              <w:snapToGrid w:val="0"/>
              <w:jc w:val="center"/>
              <w:rPr>
                <w:color w:val="000000" w:themeColor="text1"/>
                <w:sz w:val="21"/>
                <w:szCs w:val="21"/>
              </w:rPr>
            </w:pPr>
            <w:proofErr w:type="gramStart"/>
            <w:r w:rsidRPr="00B12FE0">
              <w:rPr>
                <w:rFonts w:hint="eastAsia"/>
                <w:color w:val="000000" w:themeColor="text1"/>
                <w:sz w:val="21"/>
                <w:szCs w:val="21"/>
              </w:rPr>
              <w:t>甲癌服药</w:t>
            </w:r>
            <w:proofErr w:type="gramEnd"/>
            <w:r w:rsidRPr="00B12FE0">
              <w:rPr>
                <w:rFonts w:hint="eastAsia"/>
                <w:color w:val="000000" w:themeColor="text1"/>
                <w:sz w:val="21"/>
                <w:szCs w:val="21"/>
              </w:rPr>
              <w:t>室</w:t>
            </w:r>
          </w:p>
        </w:tc>
        <w:tc>
          <w:tcPr>
            <w:tcW w:w="1418" w:type="dxa"/>
            <w:tcBorders>
              <w:top w:val="single" w:sz="4" w:space="0" w:color="auto"/>
              <w:left w:val="single" w:sz="4" w:space="0" w:color="auto"/>
              <w:bottom w:val="single" w:sz="4" w:space="0" w:color="auto"/>
              <w:right w:val="single" w:sz="4" w:space="0" w:color="auto"/>
            </w:tcBorders>
            <w:vAlign w:val="center"/>
          </w:tcPr>
          <w:p w14:paraId="51002AE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hint="eastAsia"/>
                <w:color w:val="000000" w:themeColor="text1"/>
                <w:sz w:val="21"/>
                <w:szCs w:val="21"/>
              </w:rPr>
              <w:t>台</w:t>
            </w:r>
          </w:p>
        </w:tc>
        <w:tc>
          <w:tcPr>
            <w:tcW w:w="2359" w:type="dxa"/>
            <w:tcBorders>
              <w:top w:val="single" w:sz="4" w:space="0" w:color="auto"/>
              <w:left w:val="single" w:sz="4" w:space="0" w:color="auto"/>
              <w:bottom w:val="single" w:sz="4" w:space="0" w:color="auto"/>
              <w:right w:val="single" w:sz="4" w:space="0" w:color="auto"/>
            </w:tcBorders>
            <w:vAlign w:val="center"/>
          </w:tcPr>
          <w:p w14:paraId="0E7A1C7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780F2176"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05BC67B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3</w:t>
            </w:r>
          </w:p>
        </w:tc>
        <w:tc>
          <w:tcPr>
            <w:tcW w:w="2035" w:type="dxa"/>
            <w:tcBorders>
              <w:top w:val="single" w:sz="4" w:space="0" w:color="auto"/>
              <w:left w:val="single" w:sz="4" w:space="0" w:color="auto"/>
              <w:bottom w:val="single" w:sz="4" w:space="0" w:color="auto"/>
              <w:right w:val="single" w:sz="4" w:space="0" w:color="auto"/>
            </w:tcBorders>
            <w:vAlign w:val="center"/>
          </w:tcPr>
          <w:p w14:paraId="27E2D2E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废物衰变桶</w:t>
            </w:r>
          </w:p>
        </w:tc>
        <w:tc>
          <w:tcPr>
            <w:tcW w:w="2551" w:type="dxa"/>
            <w:tcBorders>
              <w:top w:val="single" w:sz="4" w:space="0" w:color="auto"/>
              <w:left w:val="single" w:sz="4" w:space="0" w:color="auto"/>
              <w:bottom w:val="single" w:sz="4" w:space="0" w:color="auto"/>
              <w:right w:val="single" w:sz="4" w:space="0" w:color="auto"/>
            </w:tcBorders>
            <w:vAlign w:val="center"/>
          </w:tcPr>
          <w:p w14:paraId="43C2E84D" w14:textId="77777777" w:rsidR="00A67F21" w:rsidRPr="00B12FE0" w:rsidRDefault="00000000">
            <w:pPr>
              <w:adjustRightInd w:val="0"/>
              <w:snapToGrid w:val="0"/>
              <w:jc w:val="center"/>
              <w:rPr>
                <w:color w:val="000000" w:themeColor="text1"/>
                <w:sz w:val="21"/>
                <w:szCs w:val="21"/>
              </w:rPr>
            </w:pPr>
            <w:proofErr w:type="gramStart"/>
            <w:r w:rsidRPr="00B12FE0">
              <w:rPr>
                <w:rFonts w:hint="eastAsia"/>
                <w:color w:val="000000" w:themeColor="text1"/>
                <w:sz w:val="21"/>
                <w:szCs w:val="21"/>
              </w:rPr>
              <w:t>甲癌服药</w:t>
            </w:r>
            <w:proofErr w:type="gramEnd"/>
            <w:r w:rsidRPr="00B12FE0">
              <w:rPr>
                <w:rFonts w:hint="eastAsia"/>
                <w:color w:val="000000" w:themeColor="text1"/>
                <w:sz w:val="21"/>
                <w:szCs w:val="21"/>
              </w:rPr>
              <w:t>室</w:t>
            </w:r>
          </w:p>
        </w:tc>
        <w:tc>
          <w:tcPr>
            <w:tcW w:w="1418" w:type="dxa"/>
            <w:tcBorders>
              <w:top w:val="single" w:sz="4" w:space="0" w:color="auto"/>
              <w:left w:val="single" w:sz="4" w:space="0" w:color="auto"/>
              <w:bottom w:val="single" w:sz="4" w:space="0" w:color="auto"/>
              <w:right w:val="single" w:sz="4" w:space="0" w:color="auto"/>
            </w:tcBorders>
            <w:vAlign w:val="center"/>
          </w:tcPr>
          <w:p w14:paraId="2756A4C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41FBE86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p>
        </w:tc>
      </w:tr>
      <w:tr w:rsidR="00A67F21" w:rsidRPr="00B12FE0" w14:paraId="564BAFEC"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783A39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4</w:t>
            </w:r>
          </w:p>
        </w:tc>
        <w:tc>
          <w:tcPr>
            <w:tcW w:w="2035" w:type="dxa"/>
            <w:tcBorders>
              <w:top w:val="single" w:sz="4" w:space="0" w:color="auto"/>
              <w:left w:val="single" w:sz="4" w:space="0" w:color="auto"/>
              <w:bottom w:val="single" w:sz="4" w:space="0" w:color="auto"/>
              <w:right w:val="single" w:sz="4" w:space="0" w:color="auto"/>
            </w:tcBorders>
            <w:vAlign w:val="center"/>
          </w:tcPr>
          <w:p w14:paraId="10282EF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废物衰变</w:t>
            </w:r>
            <w:r w:rsidRPr="00B12FE0">
              <w:rPr>
                <w:rFonts w:hint="eastAsia"/>
                <w:color w:val="000000" w:themeColor="text1"/>
                <w:sz w:val="21"/>
                <w:szCs w:val="21"/>
              </w:rPr>
              <w:t>箱</w:t>
            </w:r>
          </w:p>
        </w:tc>
        <w:tc>
          <w:tcPr>
            <w:tcW w:w="2551" w:type="dxa"/>
            <w:tcBorders>
              <w:top w:val="single" w:sz="4" w:space="0" w:color="auto"/>
              <w:left w:val="single" w:sz="4" w:space="0" w:color="auto"/>
              <w:bottom w:val="single" w:sz="4" w:space="0" w:color="auto"/>
              <w:right w:val="single" w:sz="4" w:space="0" w:color="auto"/>
            </w:tcBorders>
            <w:vAlign w:val="center"/>
          </w:tcPr>
          <w:p w14:paraId="709EF32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废物间</w:t>
            </w:r>
          </w:p>
        </w:tc>
        <w:tc>
          <w:tcPr>
            <w:tcW w:w="1418" w:type="dxa"/>
            <w:tcBorders>
              <w:top w:val="single" w:sz="4" w:space="0" w:color="auto"/>
              <w:left w:val="single" w:sz="4" w:space="0" w:color="auto"/>
              <w:bottom w:val="single" w:sz="4" w:space="0" w:color="auto"/>
              <w:right w:val="single" w:sz="4" w:space="0" w:color="auto"/>
            </w:tcBorders>
            <w:vAlign w:val="center"/>
          </w:tcPr>
          <w:p w14:paraId="1CE3F4B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p>
        </w:tc>
        <w:tc>
          <w:tcPr>
            <w:tcW w:w="2359" w:type="dxa"/>
            <w:tcBorders>
              <w:top w:val="single" w:sz="4" w:space="0" w:color="auto"/>
              <w:left w:val="single" w:sz="4" w:space="0" w:color="auto"/>
              <w:bottom w:val="single" w:sz="4" w:space="0" w:color="auto"/>
              <w:right w:val="single" w:sz="4" w:space="0" w:color="auto"/>
            </w:tcBorders>
            <w:vAlign w:val="center"/>
          </w:tcPr>
          <w:p w14:paraId="702F012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10mmPb</w:t>
            </w:r>
          </w:p>
        </w:tc>
      </w:tr>
      <w:tr w:rsidR="00A67F21" w:rsidRPr="00B12FE0" w14:paraId="3C6C2153"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30A8D5A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5</w:t>
            </w:r>
          </w:p>
        </w:tc>
        <w:tc>
          <w:tcPr>
            <w:tcW w:w="2035" w:type="dxa"/>
            <w:tcBorders>
              <w:top w:val="single" w:sz="4" w:space="0" w:color="auto"/>
              <w:left w:val="single" w:sz="4" w:space="0" w:color="auto"/>
              <w:bottom w:val="single" w:sz="4" w:space="0" w:color="auto"/>
              <w:right w:val="single" w:sz="4" w:space="0" w:color="auto"/>
            </w:tcBorders>
            <w:vAlign w:val="center"/>
          </w:tcPr>
          <w:p w14:paraId="5819A7E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铅防护衣、铅橡胶颈套、铅橡胶帽子、铅防护眼镜</w:t>
            </w:r>
          </w:p>
        </w:tc>
        <w:tc>
          <w:tcPr>
            <w:tcW w:w="2551" w:type="dxa"/>
            <w:tcBorders>
              <w:top w:val="single" w:sz="4" w:space="0" w:color="auto"/>
              <w:left w:val="single" w:sz="4" w:space="0" w:color="auto"/>
              <w:bottom w:val="single" w:sz="4" w:space="0" w:color="auto"/>
              <w:right w:val="single" w:sz="4" w:space="0" w:color="auto"/>
            </w:tcBorders>
            <w:vAlign w:val="center"/>
          </w:tcPr>
          <w:p w14:paraId="6B4C591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工作区</w:t>
            </w:r>
          </w:p>
        </w:tc>
        <w:tc>
          <w:tcPr>
            <w:tcW w:w="1418" w:type="dxa"/>
            <w:tcBorders>
              <w:top w:val="single" w:sz="4" w:space="0" w:color="auto"/>
              <w:left w:val="single" w:sz="4" w:space="0" w:color="auto"/>
              <w:bottom w:val="single" w:sz="4" w:space="0" w:color="auto"/>
              <w:right w:val="single" w:sz="4" w:space="0" w:color="auto"/>
            </w:tcBorders>
            <w:vAlign w:val="center"/>
          </w:tcPr>
          <w:p w14:paraId="6B03667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r w:rsidRPr="00B12FE0">
              <w:rPr>
                <w:rFonts w:hint="eastAsia"/>
                <w:color w:val="000000" w:themeColor="text1"/>
                <w:sz w:val="21"/>
                <w:szCs w:val="21"/>
              </w:rPr>
              <w:t>套</w:t>
            </w:r>
          </w:p>
        </w:tc>
        <w:tc>
          <w:tcPr>
            <w:tcW w:w="2359" w:type="dxa"/>
            <w:tcBorders>
              <w:top w:val="single" w:sz="4" w:space="0" w:color="auto"/>
              <w:left w:val="single" w:sz="4" w:space="0" w:color="auto"/>
              <w:bottom w:val="single" w:sz="4" w:space="0" w:color="auto"/>
              <w:right w:val="single" w:sz="4" w:space="0" w:color="auto"/>
            </w:tcBorders>
            <w:vAlign w:val="center"/>
          </w:tcPr>
          <w:p w14:paraId="7C7F585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0.5mmPb</w:t>
            </w:r>
          </w:p>
        </w:tc>
      </w:tr>
      <w:tr w:rsidR="00A67F21" w:rsidRPr="00B12FE0" w14:paraId="6208D99D"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B47376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6</w:t>
            </w:r>
          </w:p>
        </w:tc>
        <w:tc>
          <w:tcPr>
            <w:tcW w:w="2035" w:type="dxa"/>
            <w:tcBorders>
              <w:top w:val="single" w:sz="4" w:space="0" w:color="auto"/>
              <w:left w:val="single" w:sz="4" w:space="0" w:color="auto"/>
              <w:bottom w:val="single" w:sz="4" w:space="0" w:color="auto"/>
              <w:right w:val="single" w:sz="4" w:space="0" w:color="auto"/>
            </w:tcBorders>
            <w:vAlign w:val="center"/>
          </w:tcPr>
          <w:p w14:paraId="16256AD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放射性污染防护服</w:t>
            </w:r>
          </w:p>
        </w:tc>
        <w:tc>
          <w:tcPr>
            <w:tcW w:w="2551" w:type="dxa"/>
            <w:tcBorders>
              <w:top w:val="single" w:sz="4" w:space="0" w:color="auto"/>
              <w:left w:val="single" w:sz="4" w:space="0" w:color="auto"/>
              <w:bottom w:val="single" w:sz="4" w:space="0" w:color="auto"/>
              <w:right w:val="single" w:sz="4" w:space="0" w:color="auto"/>
            </w:tcBorders>
            <w:vAlign w:val="center"/>
          </w:tcPr>
          <w:p w14:paraId="3480C70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卫生</w:t>
            </w:r>
            <w:proofErr w:type="gramStart"/>
            <w:r w:rsidRPr="00B12FE0">
              <w:rPr>
                <w:rFonts w:hint="eastAsia"/>
                <w:color w:val="000000" w:themeColor="text1"/>
                <w:sz w:val="21"/>
                <w:szCs w:val="21"/>
              </w:rPr>
              <w:t>通过间</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4B60E46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若干</w:t>
            </w:r>
          </w:p>
        </w:tc>
        <w:tc>
          <w:tcPr>
            <w:tcW w:w="2359" w:type="dxa"/>
            <w:tcBorders>
              <w:top w:val="single" w:sz="4" w:space="0" w:color="auto"/>
              <w:left w:val="single" w:sz="4" w:space="0" w:color="auto"/>
              <w:bottom w:val="single" w:sz="4" w:space="0" w:color="auto"/>
              <w:right w:val="single" w:sz="4" w:space="0" w:color="auto"/>
            </w:tcBorders>
            <w:vAlign w:val="center"/>
          </w:tcPr>
          <w:p w14:paraId="5F26795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6332FE11"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089136E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7</w:t>
            </w:r>
          </w:p>
        </w:tc>
        <w:tc>
          <w:tcPr>
            <w:tcW w:w="2035" w:type="dxa"/>
            <w:tcBorders>
              <w:top w:val="single" w:sz="4" w:space="0" w:color="auto"/>
              <w:left w:val="single" w:sz="4" w:space="0" w:color="auto"/>
              <w:bottom w:val="single" w:sz="4" w:space="0" w:color="auto"/>
              <w:right w:val="single" w:sz="4" w:space="0" w:color="auto"/>
            </w:tcBorders>
            <w:vAlign w:val="center"/>
          </w:tcPr>
          <w:p w14:paraId="45F4E23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表面污染监测仪</w:t>
            </w:r>
          </w:p>
        </w:tc>
        <w:tc>
          <w:tcPr>
            <w:tcW w:w="2551" w:type="dxa"/>
            <w:tcBorders>
              <w:top w:val="single" w:sz="4" w:space="0" w:color="auto"/>
              <w:left w:val="single" w:sz="4" w:space="0" w:color="auto"/>
              <w:bottom w:val="single" w:sz="4" w:space="0" w:color="auto"/>
              <w:right w:val="single" w:sz="4" w:space="0" w:color="auto"/>
            </w:tcBorders>
            <w:vAlign w:val="center"/>
          </w:tcPr>
          <w:p w14:paraId="5E98043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卫生</w:t>
            </w:r>
            <w:proofErr w:type="gramStart"/>
            <w:r w:rsidRPr="00B12FE0">
              <w:rPr>
                <w:color w:val="000000" w:themeColor="text1"/>
                <w:sz w:val="21"/>
                <w:szCs w:val="21"/>
              </w:rPr>
              <w:t>通过间</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14:paraId="08E6ABD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台</w:t>
            </w:r>
          </w:p>
        </w:tc>
        <w:tc>
          <w:tcPr>
            <w:tcW w:w="2359" w:type="dxa"/>
            <w:tcBorders>
              <w:top w:val="single" w:sz="4" w:space="0" w:color="auto"/>
              <w:left w:val="single" w:sz="4" w:space="0" w:color="auto"/>
              <w:bottom w:val="single" w:sz="4" w:space="0" w:color="auto"/>
              <w:right w:val="single" w:sz="4" w:space="0" w:color="auto"/>
            </w:tcBorders>
            <w:vAlign w:val="center"/>
          </w:tcPr>
          <w:p w14:paraId="145A31B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r w:rsidR="00A67F21" w:rsidRPr="00B12FE0" w14:paraId="39F72F2B"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3649CD4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8</w:t>
            </w:r>
          </w:p>
        </w:tc>
        <w:tc>
          <w:tcPr>
            <w:tcW w:w="2035" w:type="dxa"/>
            <w:tcBorders>
              <w:top w:val="single" w:sz="4" w:space="0" w:color="auto"/>
              <w:left w:val="single" w:sz="4" w:space="0" w:color="auto"/>
              <w:bottom w:val="single" w:sz="4" w:space="0" w:color="auto"/>
              <w:right w:val="single" w:sz="4" w:space="0" w:color="auto"/>
            </w:tcBorders>
            <w:vAlign w:val="center"/>
          </w:tcPr>
          <w:p w14:paraId="48552DB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个人剂量报警仪</w:t>
            </w:r>
          </w:p>
        </w:tc>
        <w:tc>
          <w:tcPr>
            <w:tcW w:w="2551" w:type="dxa"/>
            <w:tcBorders>
              <w:top w:val="single" w:sz="4" w:space="0" w:color="auto"/>
              <w:left w:val="single" w:sz="4" w:space="0" w:color="auto"/>
              <w:bottom w:val="single" w:sz="4" w:space="0" w:color="auto"/>
              <w:right w:val="single" w:sz="4" w:space="0" w:color="auto"/>
            </w:tcBorders>
            <w:vAlign w:val="center"/>
          </w:tcPr>
          <w:p w14:paraId="06C7377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人员随身携带</w:t>
            </w:r>
          </w:p>
        </w:tc>
        <w:tc>
          <w:tcPr>
            <w:tcW w:w="1418" w:type="dxa"/>
            <w:tcBorders>
              <w:top w:val="single" w:sz="4" w:space="0" w:color="auto"/>
              <w:left w:val="single" w:sz="4" w:space="0" w:color="auto"/>
              <w:bottom w:val="single" w:sz="4" w:space="0" w:color="auto"/>
              <w:right w:val="single" w:sz="4" w:space="0" w:color="auto"/>
            </w:tcBorders>
            <w:vAlign w:val="center"/>
          </w:tcPr>
          <w:p w14:paraId="23A7D1B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w:t>
            </w:r>
            <w:r w:rsidRPr="00B12FE0">
              <w:rPr>
                <w:rFonts w:hint="eastAsia"/>
                <w:color w:val="000000" w:themeColor="text1"/>
                <w:sz w:val="21"/>
                <w:szCs w:val="21"/>
              </w:rPr>
              <w:t>台</w:t>
            </w:r>
          </w:p>
        </w:tc>
        <w:tc>
          <w:tcPr>
            <w:tcW w:w="2359" w:type="dxa"/>
            <w:tcBorders>
              <w:top w:val="single" w:sz="4" w:space="0" w:color="auto"/>
              <w:left w:val="single" w:sz="4" w:space="0" w:color="auto"/>
              <w:bottom w:val="single" w:sz="4" w:space="0" w:color="auto"/>
              <w:right w:val="single" w:sz="4" w:space="0" w:color="auto"/>
            </w:tcBorders>
            <w:vAlign w:val="center"/>
          </w:tcPr>
          <w:p w14:paraId="7824E1C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w:t>
            </w:r>
          </w:p>
        </w:tc>
      </w:tr>
      <w:tr w:rsidR="00A67F21" w:rsidRPr="00B12FE0" w14:paraId="09014AB0"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5AD9595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9</w:t>
            </w:r>
          </w:p>
        </w:tc>
        <w:tc>
          <w:tcPr>
            <w:tcW w:w="2035" w:type="dxa"/>
            <w:tcBorders>
              <w:top w:val="single" w:sz="4" w:space="0" w:color="auto"/>
              <w:left w:val="single" w:sz="4" w:space="0" w:color="auto"/>
              <w:bottom w:val="single" w:sz="4" w:space="0" w:color="auto"/>
              <w:right w:val="single" w:sz="4" w:space="0" w:color="auto"/>
            </w:tcBorders>
            <w:vAlign w:val="center"/>
          </w:tcPr>
          <w:p w14:paraId="5F462F5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个人剂量计</w:t>
            </w:r>
          </w:p>
        </w:tc>
        <w:tc>
          <w:tcPr>
            <w:tcW w:w="2551" w:type="dxa"/>
            <w:tcBorders>
              <w:top w:val="single" w:sz="4" w:space="0" w:color="auto"/>
              <w:left w:val="single" w:sz="4" w:space="0" w:color="auto"/>
              <w:bottom w:val="single" w:sz="4" w:space="0" w:color="auto"/>
              <w:right w:val="single" w:sz="4" w:space="0" w:color="auto"/>
            </w:tcBorders>
            <w:vAlign w:val="center"/>
          </w:tcPr>
          <w:p w14:paraId="2292B4F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人员随身携带</w:t>
            </w:r>
          </w:p>
        </w:tc>
        <w:tc>
          <w:tcPr>
            <w:tcW w:w="1418" w:type="dxa"/>
            <w:tcBorders>
              <w:top w:val="single" w:sz="4" w:space="0" w:color="auto"/>
              <w:left w:val="single" w:sz="4" w:space="0" w:color="auto"/>
              <w:bottom w:val="single" w:sz="4" w:space="0" w:color="auto"/>
              <w:right w:val="single" w:sz="4" w:space="0" w:color="auto"/>
            </w:tcBorders>
            <w:vAlign w:val="center"/>
          </w:tcPr>
          <w:p w14:paraId="7134F61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w:t>
            </w:r>
            <w:r w:rsidRPr="00B12FE0">
              <w:rPr>
                <w:rFonts w:hint="eastAsia"/>
                <w:color w:val="000000" w:themeColor="text1"/>
                <w:sz w:val="21"/>
                <w:szCs w:val="21"/>
              </w:rPr>
              <w:t>个</w:t>
            </w:r>
            <w:r w:rsidRPr="00B12FE0">
              <w:rPr>
                <w:rFonts w:hint="eastAsia"/>
                <w:color w:val="000000" w:themeColor="text1"/>
                <w:sz w:val="21"/>
                <w:szCs w:val="21"/>
              </w:rPr>
              <w:t>/</w:t>
            </w:r>
            <w:r w:rsidRPr="00B12FE0">
              <w:rPr>
                <w:rFonts w:hint="eastAsia"/>
                <w:color w:val="000000" w:themeColor="text1"/>
                <w:sz w:val="21"/>
                <w:szCs w:val="21"/>
              </w:rPr>
              <w:t>人</w:t>
            </w:r>
          </w:p>
        </w:tc>
        <w:tc>
          <w:tcPr>
            <w:tcW w:w="2359" w:type="dxa"/>
            <w:tcBorders>
              <w:top w:val="single" w:sz="4" w:space="0" w:color="auto"/>
              <w:left w:val="single" w:sz="4" w:space="0" w:color="auto"/>
              <w:bottom w:val="single" w:sz="4" w:space="0" w:color="auto"/>
              <w:right w:val="single" w:sz="4" w:space="0" w:color="auto"/>
            </w:tcBorders>
            <w:vAlign w:val="center"/>
          </w:tcPr>
          <w:p w14:paraId="17D2B1F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w:t>
            </w:r>
          </w:p>
        </w:tc>
      </w:tr>
      <w:tr w:rsidR="00A67F21" w:rsidRPr="00B12FE0" w14:paraId="31003F19"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119AF72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10</w:t>
            </w:r>
          </w:p>
        </w:tc>
        <w:tc>
          <w:tcPr>
            <w:tcW w:w="2035" w:type="dxa"/>
            <w:tcBorders>
              <w:top w:val="single" w:sz="4" w:space="0" w:color="auto"/>
              <w:left w:val="single" w:sz="4" w:space="0" w:color="auto"/>
              <w:bottom w:val="single" w:sz="4" w:space="0" w:color="auto"/>
              <w:right w:val="single" w:sz="4" w:space="0" w:color="auto"/>
            </w:tcBorders>
            <w:vAlign w:val="center"/>
          </w:tcPr>
          <w:p w14:paraId="0107D236"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便携式</w:t>
            </w:r>
            <w:r w:rsidRPr="00B12FE0">
              <w:rPr>
                <w:color w:val="000000" w:themeColor="text1"/>
                <w:sz w:val="21"/>
                <w:szCs w:val="21"/>
              </w:rPr>
              <w:t>X-γ</w:t>
            </w:r>
            <w:r w:rsidRPr="00B12FE0">
              <w:rPr>
                <w:rFonts w:ascii="宋体" w:hAnsi="宋体"/>
                <w:color w:val="000000" w:themeColor="text1"/>
                <w:sz w:val="21"/>
                <w:szCs w:val="21"/>
              </w:rPr>
              <w:t>射线巡测仪</w:t>
            </w:r>
          </w:p>
        </w:tc>
        <w:tc>
          <w:tcPr>
            <w:tcW w:w="2551" w:type="dxa"/>
            <w:tcBorders>
              <w:top w:val="single" w:sz="4" w:space="0" w:color="auto"/>
              <w:left w:val="single" w:sz="4" w:space="0" w:color="auto"/>
              <w:bottom w:val="single" w:sz="4" w:space="0" w:color="auto"/>
              <w:right w:val="single" w:sz="4" w:space="0" w:color="auto"/>
            </w:tcBorders>
            <w:vAlign w:val="center"/>
          </w:tcPr>
          <w:p w14:paraId="24180296"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卫生</w:t>
            </w:r>
            <w:proofErr w:type="gramStart"/>
            <w:r w:rsidRPr="00B12FE0">
              <w:rPr>
                <w:rFonts w:ascii="宋体" w:hAnsi="宋体"/>
                <w:color w:val="000000" w:themeColor="text1"/>
                <w:sz w:val="21"/>
                <w:szCs w:val="21"/>
              </w:rPr>
              <w:t>通过间</w:t>
            </w:r>
            <w:proofErr w:type="gramEnd"/>
          </w:p>
        </w:tc>
        <w:tc>
          <w:tcPr>
            <w:tcW w:w="1418" w:type="dxa"/>
            <w:tcBorders>
              <w:top w:val="single" w:sz="4" w:space="0" w:color="auto"/>
              <w:left w:val="nil"/>
              <w:bottom w:val="single" w:sz="4" w:space="0" w:color="auto"/>
              <w:right w:val="single" w:sz="4" w:space="0" w:color="auto"/>
            </w:tcBorders>
            <w:vAlign w:val="center"/>
          </w:tcPr>
          <w:p w14:paraId="48280B5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4347B53A"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核医学科共用</w:t>
            </w:r>
          </w:p>
        </w:tc>
      </w:tr>
      <w:tr w:rsidR="00A67F21" w:rsidRPr="00B12FE0" w14:paraId="1E5107FF" w14:textId="77777777">
        <w:trPr>
          <w:cantSplit/>
          <w:trHeight w:val="414"/>
          <w:jc w:val="center"/>
        </w:trPr>
        <w:tc>
          <w:tcPr>
            <w:tcW w:w="654" w:type="dxa"/>
            <w:tcBorders>
              <w:top w:val="single" w:sz="4" w:space="0" w:color="auto"/>
              <w:left w:val="single" w:sz="4" w:space="0" w:color="auto"/>
              <w:bottom w:val="single" w:sz="4" w:space="0" w:color="auto"/>
              <w:right w:val="single" w:sz="4" w:space="0" w:color="auto"/>
            </w:tcBorders>
            <w:vAlign w:val="center"/>
          </w:tcPr>
          <w:p w14:paraId="7181716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11</w:t>
            </w:r>
          </w:p>
        </w:tc>
        <w:tc>
          <w:tcPr>
            <w:tcW w:w="2035" w:type="dxa"/>
            <w:tcBorders>
              <w:top w:val="single" w:sz="4" w:space="0" w:color="auto"/>
              <w:left w:val="single" w:sz="4" w:space="0" w:color="auto"/>
              <w:bottom w:val="single" w:sz="4" w:space="0" w:color="auto"/>
              <w:right w:val="single" w:sz="4" w:space="0" w:color="auto"/>
            </w:tcBorders>
            <w:vAlign w:val="center"/>
          </w:tcPr>
          <w:p w14:paraId="0DE97084" w14:textId="77777777" w:rsidR="00A67F21" w:rsidRPr="00B12FE0" w:rsidRDefault="00000000">
            <w:pPr>
              <w:adjustRightInd w:val="0"/>
              <w:snapToGrid w:val="0"/>
              <w:jc w:val="center"/>
              <w:rPr>
                <w:rFonts w:ascii="宋体" w:hAnsi="宋体" w:hint="eastAsia"/>
                <w:color w:val="000000" w:themeColor="text1"/>
                <w:sz w:val="21"/>
                <w:szCs w:val="21"/>
              </w:rPr>
            </w:pPr>
            <w:r w:rsidRPr="00B12FE0">
              <w:rPr>
                <w:rFonts w:hint="eastAsia"/>
                <w:color w:val="000000" w:themeColor="text1"/>
                <w:sz w:val="21"/>
                <w:szCs w:val="21"/>
              </w:rPr>
              <w:t>固定式辐射剂量仪</w:t>
            </w:r>
          </w:p>
        </w:tc>
        <w:tc>
          <w:tcPr>
            <w:tcW w:w="2551" w:type="dxa"/>
            <w:tcBorders>
              <w:top w:val="single" w:sz="4" w:space="0" w:color="auto"/>
              <w:left w:val="single" w:sz="4" w:space="0" w:color="auto"/>
              <w:bottom w:val="single" w:sz="4" w:space="0" w:color="auto"/>
              <w:right w:val="single" w:sz="4" w:space="0" w:color="auto"/>
            </w:tcBorders>
            <w:vAlign w:val="center"/>
          </w:tcPr>
          <w:p w14:paraId="4F8E2CA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出院电梯厅</w:t>
            </w:r>
          </w:p>
        </w:tc>
        <w:tc>
          <w:tcPr>
            <w:tcW w:w="1418" w:type="dxa"/>
            <w:tcBorders>
              <w:top w:val="single" w:sz="4" w:space="0" w:color="auto"/>
              <w:left w:val="nil"/>
              <w:bottom w:val="single" w:sz="4" w:space="0" w:color="auto"/>
              <w:right w:val="single" w:sz="4" w:space="0" w:color="auto"/>
            </w:tcBorders>
            <w:vAlign w:val="center"/>
          </w:tcPr>
          <w:p w14:paraId="1C52EA9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r w:rsidRPr="00B12FE0">
              <w:rPr>
                <w:rFonts w:ascii="宋体" w:hAnsi="宋体"/>
                <w:color w:val="000000" w:themeColor="text1"/>
                <w:sz w:val="21"/>
                <w:szCs w:val="21"/>
              </w:rPr>
              <w:t>台</w:t>
            </w:r>
          </w:p>
        </w:tc>
        <w:tc>
          <w:tcPr>
            <w:tcW w:w="2359" w:type="dxa"/>
            <w:tcBorders>
              <w:top w:val="single" w:sz="4" w:space="0" w:color="auto"/>
              <w:left w:val="nil"/>
              <w:bottom w:val="single" w:sz="4" w:space="0" w:color="auto"/>
              <w:right w:val="single" w:sz="4" w:space="0" w:color="auto"/>
            </w:tcBorders>
            <w:vAlign w:val="center"/>
          </w:tcPr>
          <w:p w14:paraId="33FD7A7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r>
    </w:tbl>
    <w:p w14:paraId="25AC7B69" w14:textId="77777777" w:rsidR="00A67F21" w:rsidRPr="00B12FE0" w:rsidRDefault="00000000">
      <w:pPr>
        <w:widowControl/>
        <w:adjustRightInd w:val="0"/>
        <w:snapToGrid w:val="0"/>
        <w:spacing w:beforeLines="50" w:before="120" w:line="360" w:lineRule="auto"/>
        <w:ind w:firstLineChars="200" w:firstLine="480"/>
        <w:rPr>
          <w:color w:val="000000" w:themeColor="text1"/>
          <w:szCs w:val="24"/>
        </w:rPr>
      </w:pPr>
      <w:r w:rsidRPr="00B12FE0">
        <w:rPr>
          <w:rFonts w:ascii="宋体" w:hAnsi="宋体"/>
          <w:color w:val="000000" w:themeColor="text1"/>
          <w:szCs w:val="24"/>
        </w:rPr>
        <w:t>本项目核医学</w:t>
      </w:r>
      <w:proofErr w:type="gramStart"/>
      <w:r w:rsidRPr="00B12FE0">
        <w:rPr>
          <w:rFonts w:ascii="宋体" w:hAnsi="宋体"/>
          <w:color w:val="000000" w:themeColor="text1"/>
          <w:szCs w:val="24"/>
        </w:rPr>
        <w:t>科运行</w:t>
      </w:r>
      <w:proofErr w:type="gramEnd"/>
      <w:r w:rsidRPr="00B12FE0">
        <w:rPr>
          <w:rFonts w:ascii="宋体" w:hAnsi="宋体"/>
          <w:color w:val="000000" w:themeColor="text1"/>
          <w:szCs w:val="24"/>
        </w:rPr>
        <w:t>期间主要污染物为</w:t>
      </w:r>
      <w:r w:rsidRPr="00B12FE0">
        <w:rPr>
          <w:color w:val="000000" w:themeColor="text1"/>
          <w:szCs w:val="24"/>
        </w:rPr>
        <w:t>X</w:t>
      </w:r>
      <w:r w:rsidRPr="00B12FE0">
        <w:rPr>
          <w:rFonts w:ascii="宋体" w:hAnsi="宋体"/>
          <w:color w:val="000000" w:themeColor="text1"/>
          <w:szCs w:val="24"/>
        </w:rPr>
        <w:t>射线、</w:t>
      </w:r>
      <w:r w:rsidRPr="00B12FE0">
        <w:rPr>
          <w:color w:val="000000" w:themeColor="text1"/>
          <w:szCs w:val="24"/>
        </w:rPr>
        <w:t>γ</w:t>
      </w:r>
      <w:r w:rsidRPr="00B12FE0">
        <w:rPr>
          <w:rFonts w:ascii="宋体" w:hAnsi="宋体"/>
          <w:color w:val="000000" w:themeColor="text1"/>
          <w:szCs w:val="24"/>
        </w:rPr>
        <w:t>射线</w:t>
      </w:r>
      <w:r w:rsidRPr="00B12FE0">
        <w:rPr>
          <w:rFonts w:ascii="宋体" w:hAnsi="宋体" w:hint="eastAsia"/>
          <w:color w:val="000000" w:themeColor="text1"/>
          <w:szCs w:val="24"/>
        </w:rPr>
        <w:t>、</w:t>
      </w:r>
      <w:r w:rsidRPr="00B12FE0">
        <w:rPr>
          <w:color w:val="000000" w:themeColor="text1"/>
          <w:szCs w:val="24"/>
        </w:rPr>
        <w:t>β</w:t>
      </w:r>
      <w:r w:rsidRPr="00B12FE0">
        <w:rPr>
          <w:rFonts w:ascii="宋体" w:hAnsi="宋体"/>
          <w:color w:val="000000" w:themeColor="text1"/>
          <w:szCs w:val="24"/>
        </w:rPr>
        <w:t>表面污染、中子等。根据项目特点，医院拟配置便携式</w:t>
      </w:r>
      <w:r w:rsidRPr="00B12FE0">
        <w:rPr>
          <w:color w:val="000000" w:themeColor="text1"/>
          <w:szCs w:val="24"/>
        </w:rPr>
        <w:t>X-γ</w:t>
      </w:r>
      <w:r w:rsidRPr="00B12FE0">
        <w:rPr>
          <w:rFonts w:ascii="宋体" w:hAnsi="宋体"/>
          <w:color w:val="000000" w:themeColor="text1"/>
          <w:szCs w:val="24"/>
        </w:rPr>
        <w:t>射线巡测仪、表面污染监测仪、中子剂量仪，项目配备的监测仪器符合《放射性同位素与射线装置安全许可管理办法》对监测仪器的配置要求。</w:t>
      </w:r>
    </w:p>
    <w:p w14:paraId="65072057" w14:textId="77777777" w:rsidR="00A67F21" w:rsidRPr="00B12FE0" w:rsidRDefault="00000000">
      <w:pPr>
        <w:topLinePunct/>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根据《核医学放射防护要求》（</w:t>
      </w:r>
      <w:r w:rsidRPr="00B12FE0">
        <w:rPr>
          <w:color w:val="000000" w:themeColor="text1"/>
          <w:szCs w:val="24"/>
        </w:rPr>
        <w:t>GBZ 120-2020</w:t>
      </w:r>
      <w:r w:rsidRPr="00B12FE0">
        <w:rPr>
          <w:rFonts w:ascii="宋体" w:hAnsi="宋体"/>
          <w:color w:val="000000" w:themeColor="text1"/>
          <w:szCs w:val="24"/>
        </w:rPr>
        <w:t>）中个人防护用品的配置要求，结合本项目的情况，医院拟配置的</w:t>
      </w:r>
      <w:r w:rsidRPr="00B12FE0">
        <w:rPr>
          <w:rFonts w:ascii="宋体" w:hAnsi="宋体" w:hint="eastAsia"/>
          <w:color w:val="000000" w:themeColor="text1"/>
          <w:szCs w:val="24"/>
        </w:rPr>
        <w:t>个人</w:t>
      </w:r>
      <w:r w:rsidRPr="00B12FE0">
        <w:rPr>
          <w:rFonts w:ascii="宋体" w:hAnsi="宋体"/>
          <w:color w:val="000000" w:themeColor="text1"/>
          <w:szCs w:val="24"/>
        </w:rPr>
        <w:t>防护用品见表</w:t>
      </w:r>
      <w:r w:rsidRPr="00B12FE0">
        <w:rPr>
          <w:color w:val="000000" w:themeColor="text1"/>
          <w:szCs w:val="24"/>
        </w:rPr>
        <w:t>10.1.1.6-</w:t>
      </w:r>
      <w:r w:rsidRPr="00B12FE0">
        <w:rPr>
          <w:rFonts w:hint="eastAsia"/>
          <w:color w:val="000000" w:themeColor="text1"/>
          <w:szCs w:val="24"/>
        </w:rPr>
        <w:t>2</w:t>
      </w:r>
      <w:r w:rsidRPr="00B12FE0">
        <w:rPr>
          <w:rFonts w:ascii="宋体" w:hAnsi="宋体"/>
          <w:color w:val="000000" w:themeColor="text1"/>
          <w:szCs w:val="24"/>
        </w:rPr>
        <w:t>。</w:t>
      </w:r>
    </w:p>
    <w:p w14:paraId="5D70A875" w14:textId="77777777" w:rsidR="00A67F21" w:rsidRPr="00B12FE0" w:rsidRDefault="00000000">
      <w:pPr>
        <w:adjustRightInd w:val="0"/>
        <w:snapToGrid w:val="0"/>
        <w:spacing w:line="360" w:lineRule="auto"/>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10.1.1.6-</w:t>
      </w:r>
      <w:r w:rsidRPr="00B12FE0">
        <w:rPr>
          <w:rFonts w:hint="eastAsia"/>
          <w:b/>
          <w:bCs/>
          <w:color w:val="000000" w:themeColor="text1"/>
          <w:sz w:val="21"/>
          <w:szCs w:val="21"/>
        </w:rPr>
        <w:t>2</w:t>
      </w:r>
      <w:r w:rsidRPr="00B12FE0">
        <w:rPr>
          <w:b/>
          <w:bCs/>
          <w:color w:val="000000" w:themeColor="text1"/>
          <w:sz w:val="21"/>
          <w:szCs w:val="21"/>
        </w:rPr>
        <w:t xml:space="preserve"> </w:t>
      </w:r>
      <w:r w:rsidRPr="00B12FE0">
        <w:rPr>
          <w:rFonts w:ascii="宋体" w:hAnsi="宋体"/>
          <w:b/>
          <w:bCs/>
          <w:color w:val="000000" w:themeColor="text1"/>
          <w:sz w:val="21"/>
          <w:szCs w:val="21"/>
        </w:rPr>
        <w:t>本项目核医学科拟配置的</w:t>
      </w:r>
      <w:r w:rsidRPr="00B12FE0">
        <w:rPr>
          <w:rFonts w:ascii="宋体" w:hAnsi="宋体" w:hint="eastAsia"/>
          <w:b/>
          <w:bCs/>
          <w:color w:val="000000" w:themeColor="text1"/>
          <w:sz w:val="21"/>
          <w:szCs w:val="21"/>
        </w:rPr>
        <w:t>个人</w:t>
      </w:r>
      <w:r w:rsidRPr="00B12FE0">
        <w:rPr>
          <w:rFonts w:ascii="宋体" w:hAnsi="宋体"/>
          <w:b/>
          <w:bCs/>
          <w:color w:val="000000" w:themeColor="text1"/>
          <w:sz w:val="21"/>
          <w:szCs w:val="21"/>
        </w:rPr>
        <w:t>防护用品一览表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788"/>
        <w:gridCol w:w="1592"/>
        <w:gridCol w:w="1989"/>
        <w:gridCol w:w="2319"/>
        <w:gridCol w:w="812"/>
      </w:tblGrid>
      <w:tr w:rsidR="00A67F21" w:rsidRPr="00B12FE0" w14:paraId="0FFAD3D9" w14:textId="77777777">
        <w:trPr>
          <w:jc w:val="center"/>
        </w:trPr>
        <w:tc>
          <w:tcPr>
            <w:tcW w:w="1517" w:type="dxa"/>
            <w:vMerge w:val="restar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5FB7E33"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场所类型</w:t>
            </w:r>
          </w:p>
        </w:tc>
        <w:tc>
          <w:tcPr>
            <w:tcW w:w="788" w:type="dxa"/>
            <w:vMerge w:val="restart"/>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5C25415E"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人员类型</w:t>
            </w:r>
          </w:p>
        </w:tc>
        <w:tc>
          <w:tcPr>
            <w:tcW w:w="3581" w:type="dxa"/>
            <w:gridSpan w:val="2"/>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1C49A0F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GBZ1</w:t>
            </w:r>
            <w:r w:rsidRPr="00B12FE0">
              <w:rPr>
                <w:rFonts w:hint="eastAsia"/>
                <w:color w:val="000000" w:themeColor="text1"/>
                <w:sz w:val="21"/>
                <w:szCs w:val="21"/>
              </w:rPr>
              <w:t>2</w:t>
            </w:r>
            <w:r w:rsidRPr="00B12FE0">
              <w:rPr>
                <w:color w:val="000000" w:themeColor="text1"/>
                <w:sz w:val="21"/>
                <w:szCs w:val="21"/>
              </w:rPr>
              <w:t>0-2020</w:t>
            </w:r>
            <w:r w:rsidRPr="00B12FE0">
              <w:rPr>
                <w:rFonts w:ascii="宋体" w:hAnsi="宋体"/>
                <w:color w:val="000000" w:themeColor="text1"/>
                <w:sz w:val="21"/>
                <w:szCs w:val="21"/>
              </w:rPr>
              <w:t>要求</w:t>
            </w:r>
          </w:p>
        </w:tc>
        <w:tc>
          <w:tcPr>
            <w:tcW w:w="2319" w:type="dxa"/>
            <w:vMerge w:val="restart"/>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4FB2150D"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本项目拟配置情况</w:t>
            </w:r>
          </w:p>
        </w:tc>
        <w:tc>
          <w:tcPr>
            <w:tcW w:w="812" w:type="dxa"/>
            <w:vMerge w:val="restart"/>
            <w:tcBorders>
              <w:top w:val="single" w:sz="4" w:space="0" w:color="auto"/>
              <w:left w:val="nil"/>
              <w:bottom w:val="single" w:sz="4" w:space="0" w:color="auto"/>
              <w:right w:val="single" w:sz="4" w:space="0" w:color="auto"/>
            </w:tcBorders>
            <w:vAlign w:val="center"/>
          </w:tcPr>
          <w:p w14:paraId="7DDE7952" w14:textId="77777777" w:rsidR="00A67F21" w:rsidRPr="00B12FE0" w:rsidRDefault="00000000">
            <w:pPr>
              <w:adjustRightInd w:val="0"/>
              <w:jc w:val="center"/>
              <w:rPr>
                <w:color w:val="000000" w:themeColor="text1"/>
                <w:sz w:val="21"/>
                <w:szCs w:val="21"/>
              </w:rPr>
            </w:pPr>
            <w:r w:rsidRPr="00B12FE0">
              <w:rPr>
                <w:rFonts w:ascii="宋体" w:hAnsi="宋体"/>
                <w:color w:val="000000" w:themeColor="text1"/>
                <w:sz w:val="21"/>
                <w:szCs w:val="21"/>
              </w:rPr>
              <w:t>是否</w:t>
            </w:r>
          </w:p>
          <w:p w14:paraId="5AE14AAE"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符合</w:t>
            </w:r>
          </w:p>
        </w:tc>
      </w:tr>
      <w:tr w:rsidR="00A67F21" w:rsidRPr="00B12FE0" w14:paraId="6ED367A0" w14:textId="77777777">
        <w:trPr>
          <w:jc w:val="center"/>
        </w:trPr>
        <w:tc>
          <w:tcPr>
            <w:tcW w:w="1517" w:type="dxa"/>
            <w:vMerge/>
            <w:tcBorders>
              <w:top w:val="single" w:sz="4" w:space="0" w:color="auto"/>
              <w:left w:val="single" w:sz="4" w:space="0" w:color="auto"/>
              <w:bottom w:val="single" w:sz="4" w:space="0" w:color="auto"/>
              <w:right w:val="single" w:sz="4" w:space="0" w:color="auto"/>
            </w:tcBorders>
            <w:vAlign w:val="center"/>
          </w:tcPr>
          <w:p w14:paraId="249DEF1F" w14:textId="77777777" w:rsidR="00A67F21" w:rsidRPr="00B12FE0" w:rsidRDefault="00A67F21">
            <w:pPr>
              <w:widowControl/>
              <w:jc w:val="left"/>
              <w:rPr>
                <w:color w:val="000000" w:themeColor="text1"/>
                <w:sz w:val="21"/>
                <w:szCs w:val="21"/>
              </w:rPr>
            </w:pPr>
          </w:p>
        </w:tc>
        <w:tc>
          <w:tcPr>
            <w:tcW w:w="788" w:type="dxa"/>
            <w:vMerge/>
            <w:tcBorders>
              <w:top w:val="single" w:sz="4" w:space="0" w:color="auto"/>
              <w:left w:val="nil"/>
              <w:bottom w:val="single" w:sz="4" w:space="0" w:color="auto"/>
              <w:right w:val="single" w:sz="4" w:space="0" w:color="auto"/>
            </w:tcBorders>
            <w:vAlign w:val="center"/>
          </w:tcPr>
          <w:p w14:paraId="59EB3015" w14:textId="77777777" w:rsidR="00A67F21" w:rsidRPr="00B12FE0" w:rsidRDefault="00A67F21">
            <w:pPr>
              <w:widowControl/>
              <w:jc w:val="left"/>
              <w:rPr>
                <w:color w:val="000000" w:themeColor="text1"/>
                <w:sz w:val="21"/>
                <w:szCs w:val="21"/>
              </w:rPr>
            </w:pPr>
          </w:p>
        </w:tc>
        <w:tc>
          <w:tcPr>
            <w:tcW w:w="1592"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2EA07BD5"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必备</w:t>
            </w:r>
          </w:p>
        </w:tc>
        <w:tc>
          <w:tcPr>
            <w:tcW w:w="1989"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5DBB6AED"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选配</w:t>
            </w:r>
          </w:p>
        </w:tc>
        <w:tc>
          <w:tcPr>
            <w:tcW w:w="2319" w:type="dxa"/>
            <w:vMerge/>
            <w:tcBorders>
              <w:top w:val="single" w:sz="4" w:space="0" w:color="auto"/>
              <w:left w:val="nil"/>
              <w:bottom w:val="single" w:sz="4" w:space="0" w:color="auto"/>
              <w:right w:val="single" w:sz="4" w:space="0" w:color="auto"/>
            </w:tcBorders>
            <w:vAlign w:val="center"/>
          </w:tcPr>
          <w:p w14:paraId="7A01EA0C" w14:textId="77777777" w:rsidR="00A67F21" w:rsidRPr="00B12FE0" w:rsidRDefault="00A67F21">
            <w:pPr>
              <w:widowControl/>
              <w:jc w:val="left"/>
              <w:rPr>
                <w:color w:val="000000" w:themeColor="text1"/>
                <w:sz w:val="21"/>
                <w:szCs w:val="21"/>
              </w:rPr>
            </w:pPr>
          </w:p>
        </w:tc>
        <w:tc>
          <w:tcPr>
            <w:tcW w:w="812" w:type="dxa"/>
            <w:vMerge/>
            <w:tcBorders>
              <w:top w:val="single" w:sz="4" w:space="0" w:color="auto"/>
              <w:left w:val="nil"/>
              <w:bottom w:val="single" w:sz="4" w:space="0" w:color="auto"/>
              <w:right w:val="single" w:sz="4" w:space="0" w:color="auto"/>
            </w:tcBorders>
            <w:vAlign w:val="center"/>
          </w:tcPr>
          <w:p w14:paraId="367CDA67" w14:textId="77777777" w:rsidR="00A67F21" w:rsidRPr="00B12FE0" w:rsidRDefault="00A67F21">
            <w:pPr>
              <w:widowControl/>
              <w:jc w:val="left"/>
              <w:rPr>
                <w:color w:val="000000" w:themeColor="text1"/>
                <w:sz w:val="21"/>
                <w:szCs w:val="21"/>
              </w:rPr>
            </w:pPr>
          </w:p>
        </w:tc>
      </w:tr>
      <w:tr w:rsidR="00A67F21" w:rsidRPr="00B12FE0" w14:paraId="1547ADF8" w14:textId="77777777">
        <w:trPr>
          <w:jc w:val="center"/>
        </w:trPr>
        <w:tc>
          <w:tcPr>
            <w:tcW w:w="15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F3B4688"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普通核医学和</w:t>
            </w:r>
            <w:r w:rsidRPr="00B12FE0">
              <w:rPr>
                <w:rFonts w:hint="eastAsia"/>
                <w:color w:val="000000" w:themeColor="text1"/>
                <w:sz w:val="21"/>
                <w:szCs w:val="21"/>
              </w:rPr>
              <w:t>SPECT</w:t>
            </w:r>
            <w:r w:rsidRPr="00B12FE0">
              <w:rPr>
                <w:rFonts w:ascii="宋体" w:hAnsi="宋体" w:hint="eastAsia"/>
                <w:color w:val="000000" w:themeColor="text1"/>
                <w:sz w:val="21"/>
                <w:szCs w:val="21"/>
              </w:rPr>
              <w:t>场所</w:t>
            </w:r>
          </w:p>
        </w:tc>
        <w:tc>
          <w:tcPr>
            <w:tcW w:w="788"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600DAE57"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工作人员</w:t>
            </w:r>
          </w:p>
        </w:tc>
        <w:tc>
          <w:tcPr>
            <w:tcW w:w="1592"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07E61EC5"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铅橡胶衣、</w:t>
            </w:r>
            <w:r w:rsidRPr="00B12FE0">
              <w:rPr>
                <w:rFonts w:ascii="宋体" w:hAnsi="宋体"/>
                <w:color w:val="000000" w:themeColor="text1"/>
                <w:sz w:val="21"/>
                <w:szCs w:val="21"/>
              </w:rPr>
              <w:t>铅橡胶围裙</w:t>
            </w:r>
            <w:r w:rsidRPr="00B12FE0">
              <w:rPr>
                <w:rFonts w:ascii="宋体" w:hAnsi="宋体" w:hint="eastAsia"/>
                <w:color w:val="000000" w:themeColor="text1"/>
                <w:sz w:val="21"/>
                <w:szCs w:val="21"/>
              </w:rPr>
              <w:t>和放射性污染防护</w:t>
            </w:r>
            <w:r w:rsidRPr="00B12FE0">
              <w:rPr>
                <w:rFonts w:ascii="宋体" w:hAnsi="宋体" w:hint="eastAsia"/>
                <w:color w:val="000000" w:themeColor="text1"/>
                <w:sz w:val="21"/>
                <w:szCs w:val="21"/>
              </w:rPr>
              <w:lastRenderedPageBreak/>
              <w:t>服、</w:t>
            </w:r>
            <w:r w:rsidRPr="00B12FE0">
              <w:rPr>
                <w:rFonts w:ascii="宋体" w:hAnsi="宋体"/>
                <w:color w:val="000000" w:themeColor="text1"/>
                <w:sz w:val="21"/>
                <w:szCs w:val="21"/>
              </w:rPr>
              <w:t>铅橡胶</w:t>
            </w:r>
            <w:r w:rsidRPr="00B12FE0">
              <w:rPr>
                <w:rFonts w:ascii="宋体" w:hAnsi="宋体" w:hint="eastAsia"/>
                <w:color w:val="000000" w:themeColor="text1"/>
                <w:sz w:val="21"/>
                <w:szCs w:val="21"/>
              </w:rPr>
              <w:t>围脖</w:t>
            </w:r>
          </w:p>
        </w:tc>
        <w:tc>
          <w:tcPr>
            <w:tcW w:w="1989"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223712E8"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lastRenderedPageBreak/>
              <w:t>铅橡胶</w:t>
            </w:r>
            <w:r w:rsidRPr="00B12FE0">
              <w:rPr>
                <w:rFonts w:ascii="宋体" w:hAnsi="宋体" w:hint="eastAsia"/>
                <w:color w:val="000000" w:themeColor="text1"/>
                <w:sz w:val="21"/>
                <w:szCs w:val="21"/>
              </w:rPr>
              <w:t>帽、铅玻璃眼睛</w:t>
            </w:r>
          </w:p>
        </w:tc>
        <w:tc>
          <w:tcPr>
            <w:tcW w:w="2319"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35DD0F9F" w14:textId="77777777" w:rsidR="00A67F21" w:rsidRPr="00B12FE0" w:rsidRDefault="00000000">
            <w:pPr>
              <w:adjustRightInd w:val="0"/>
              <w:jc w:val="center"/>
              <w:rPr>
                <w:color w:val="000000" w:themeColor="text1"/>
                <w:sz w:val="21"/>
                <w:szCs w:val="21"/>
              </w:rPr>
            </w:pPr>
            <w:r w:rsidRPr="00B12FE0">
              <w:rPr>
                <w:rFonts w:ascii="宋体" w:hAnsi="宋体" w:hint="eastAsia"/>
                <w:color w:val="000000" w:themeColor="text1"/>
                <w:sz w:val="21"/>
                <w:szCs w:val="21"/>
              </w:rPr>
              <w:t>每个场所：铅橡胶衣、</w:t>
            </w:r>
            <w:r w:rsidRPr="00B12FE0">
              <w:rPr>
                <w:rFonts w:ascii="宋体" w:hAnsi="宋体"/>
                <w:color w:val="000000" w:themeColor="text1"/>
                <w:sz w:val="21"/>
                <w:szCs w:val="21"/>
              </w:rPr>
              <w:t>铅橡胶围裙</w:t>
            </w:r>
            <w:r w:rsidRPr="00B12FE0">
              <w:rPr>
                <w:rFonts w:ascii="宋体" w:hAnsi="宋体" w:hint="eastAsia"/>
                <w:color w:val="000000" w:themeColor="text1"/>
                <w:sz w:val="21"/>
                <w:szCs w:val="21"/>
              </w:rPr>
              <w:t>和放射性污染防护服、</w:t>
            </w:r>
            <w:r w:rsidRPr="00B12FE0">
              <w:rPr>
                <w:rFonts w:ascii="宋体" w:hAnsi="宋体"/>
                <w:color w:val="000000" w:themeColor="text1"/>
                <w:sz w:val="21"/>
                <w:szCs w:val="21"/>
              </w:rPr>
              <w:t>铅橡胶</w:t>
            </w:r>
            <w:r w:rsidRPr="00B12FE0">
              <w:rPr>
                <w:rFonts w:ascii="宋体" w:hAnsi="宋体" w:hint="eastAsia"/>
                <w:color w:val="000000" w:themeColor="text1"/>
                <w:sz w:val="21"/>
                <w:szCs w:val="21"/>
              </w:rPr>
              <w:t>围脖</w:t>
            </w:r>
            <w:r w:rsidRPr="00B12FE0">
              <w:rPr>
                <w:rFonts w:ascii="宋体" w:hAnsi="宋体"/>
                <w:color w:val="000000" w:themeColor="text1"/>
                <w:sz w:val="21"/>
                <w:szCs w:val="21"/>
              </w:rPr>
              <w:lastRenderedPageBreak/>
              <w:t>各</w:t>
            </w:r>
            <w:r w:rsidRPr="00B12FE0">
              <w:rPr>
                <w:rFonts w:hint="eastAsia"/>
                <w:color w:val="000000" w:themeColor="text1"/>
                <w:sz w:val="21"/>
                <w:szCs w:val="21"/>
              </w:rPr>
              <w:t>3</w:t>
            </w:r>
            <w:r w:rsidRPr="00B12FE0">
              <w:rPr>
                <w:rFonts w:ascii="宋体" w:hAnsi="宋体"/>
                <w:color w:val="000000" w:themeColor="text1"/>
                <w:sz w:val="21"/>
                <w:szCs w:val="21"/>
              </w:rPr>
              <w:t>件</w:t>
            </w:r>
            <w:r w:rsidRPr="00B12FE0">
              <w:rPr>
                <w:rFonts w:ascii="宋体" w:hAnsi="宋体" w:hint="eastAsia"/>
                <w:color w:val="000000" w:themeColor="text1"/>
                <w:sz w:val="21"/>
                <w:szCs w:val="21"/>
              </w:rPr>
              <w:t>，</w:t>
            </w:r>
            <w:r w:rsidRPr="00B12FE0">
              <w:rPr>
                <w:rFonts w:ascii="宋体" w:hAnsi="宋体"/>
                <w:color w:val="000000" w:themeColor="text1"/>
                <w:sz w:val="21"/>
                <w:szCs w:val="21"/>
              </w:rPr>
              <w:t>铅橡胶</w:t>
            </w:r>
            <w:r w:rsidRPr="00B12FE0">
              <w:rPr>
                <w:rFonts w:ascii="宋体" w:hAnsi="宋体" w:hint="eastAsia"/>
                <w:color w:val="000000" w:themeColor="text1"/>
                <w:sz w:val="21"/>
                <w:szCs w:val="21"/>
              </w:rPr>
              <w:t>帽、铅玻璃眼睛</w:t>
            </w:r>
            <w:r w:rsidRPr="00B12FE0">
              <w:rPr>
                <w:rFonts w:ascii="宋体" w:hAnsi="宋体"/>
                <w:color w:val="000000" w:themeColor="text1"/>
                <w:sz w:val="21"/>
                <w:szCs w:val="21"/>
              </w:rPr>
              <w:t>各</w:t>
            </w:r>
            <w:r w:rsidRPr="00B12FE0">
              <w:rPr>
                <w:rFonts w:hint="eastAsia"/>
                <w:color w:val="000000" w:themeColor="text1"/>
                <w:sz w:val="21"/>
                <w:szCs w:val="21"/>
              </w:rPr>
              <w:t>2</w:t>
            </w:r>
            <w:r w:rsidRPr="00B12FE0">
              <w:rPr>
                <w:rFonts w:ascii="宋体" w:hAnsi="宋体"/>
                <w:color w:val="000000" w:themeColor="text1"/>
                <w:sz w:val="21"/>
                <w:szCs w:val="21"/>
              </w:rPr>
              <w:t>件</w:t>
            </w:r>
          </w:p>
        </w:tc>
        <w:tc>
          <w:tcPr>
            <w:tcW w:w="812" w:type="dxa"/>
            <w:tcBorders>
              <w:top w:val="single" w:sz="4" w:space="0" w:color="auto"/>
              <w:left w:val="nil"/>
              <w:bottom w:val="single" w:sz="4" w:space="0" w:color="auto"/>
              <w:right w:val="single" w:sz="4" w:space="0" w:color="auto"/>
            </w:tcBorders>
            <w:vAlign w:val="center"/>
          </w:tcPr>
          <w:p w14:paraId="7CAD0938"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lastRenderedPageBreak/>
              <w:t>符合</w:t>
            </w:r>
          </w:p>
        </w:tc>
      </w:tr>
      <w:tr w:rsidR="00A67F21" w:rsidRPr="00B12FE0" w14:paraId="382E3346"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79E9CA0C" w14:textId="77777777" w:rsidR="00A67F21" w:rsidRPr="00B12FE0" w:rsidRDefault="00000000">
            <w:pPr>
              <w:widowControl/>
              <w:jc w:val="left"/>
              <w:rPr>
                <w:color w:val="000000" w:themeColor="text1"/>
                <w:sz w:val="21"/>
                <w:szCs w:val="21"/>
              </w:rPr>
            </w:pPr>
            <w:r w:rsidRPr="00B12FE0">
              <w:rPr>
                <w:rFonts w:ascii="宋体" w:hAnsi="宋体" w:hint="eastAsia"/>
                <w:color w:val="000000" w:themeColor="text1"/>
                <w:sz w:val="21"/>
                <w:szCs w:val="21"/>
              </w:rPr>
              <w:t>正电子放射性药物（</w:t>
            </w:r>
            <w:r w:rsidRPr="00B12FE0">
              <w:rPr>
                <w:rFonts w:hint="eastAsia"/>
                <w:color w:val="000000" w:themeColor="text1"/>
                <w:sz w:val="21"/>
                <w:szCs w:val="21"/>
                <w:vertAlign w:val="superscript"/>
              </w:rPr>
              <w:t>18</w:t>
            </w:r>
            <w:r w:rsidRPr="00B12FE0">
              <w:rPr>
                <w:rFonts w:hint="eastAsia"/>
                <w:color w:val="000000" w:themeColor="text1"/>
                <w:sz w:val="21"/>
                <w:szCs w:val="21"/>
              </w:rPr>
              <w:t>F</w:t>
            </w:r>
            <w:r w:rsidRPr="00B12FE0">
              <w:rPr>
                <w:rFonts w:ascii="宋体" w:hAnsi="宋体" w:hint="eastAsia"/>
                <w:color w:val="000000" w:themeColor="text1"/>
                <w:sz w:val="21"/>
                <w:szCs w:val="21"/>
              </w:rPr>
              <w:t>）和</w:t>
            </w:r>
            <w:r w:rsidRPr="00B12FE0">
              <w:rPr>
                <w:rFonts w:hint="eastAsia"/>
                <w:color w:val="000000" w:themeColor="text1"/>
                <w:sz w:val="21"/>
                <w:szCs w:val="21"/>
                <w:vertAlign w:val="superscript"/>
              </w:rPr>
              <w:t>131</w:t>
            </w:r>
            <w:r w:rsidRPr="00B12FE0">
              <w:rPr>
                <w:rFonts w:hint="eastAsia"/>
                <w:color w:val="000000" w:themeColor="text1"/>
                <w:sz w:val="21"/>
                <w:szCs w:val="21"/>
              </w:rPr>
              <w:t>I</w:t>
            </w:r>
            <w:r w:rsidRPr="00B12FE0">
              <w:rPr>
                <w:rFonts w:ascii="宋体" w:hAnsi="宋体" w:hint="eastAsia"/>
                <w:color w:val="000000" w:themeColor="text1"/>
                <w:sz w:val="21"/>
                <w:szCs w:val="21"/>
              </w:rPr>
              <w:t>的场所</w:t>
            </w:r>
          </w:p>
        </w:tc>
        <w:tc>
          <w:tcPr>
            <w:tcW w:w="788"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18F92F17"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工作人员</w:t>
            </w:r>
          </w:p>
        </w:tc>
        <w:tc>
          <w:tcPr>
            <w:tcW w:w="1592"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2A903B3B"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放射性污染防护服</w:t>
            </w:r>
          </w:p>
        </w:tc>
        <w:tc>
          <w:tcPr>
            <w:tcW w:w="1989"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7A3D10E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p>
        </w:tc>
        <w:tc>
          <w:tcPr>
            <w:tcW w:w="2319" w:type="dxa"/>
            <w:tcBorders>
              <w:top w:val="single" w:sz="4" w:space="0" w:color="auto"/>
              <w:left w:val="nil"/>
              <w:bottom w:val="single" w:sz="4" w:space="0" w:color="auto"/>
              <w:right w:val="single" w:sz="4" w:space="0" w:color="auto"/>
            </w:tcBorders>
            <w:tcMar>
              <w:top w:w="28" w:type="dxa"/>
              <w:left w:w="108" w:type="dxa"/>
              <w:bottom w:w="28" w:type="dxa"/>
              <w:right w:w="108" w:type="dxa"/>
            </w:tcMar>
            <w:vAlign w:val="center"/>
          </w:tcPr>
          <w:p w14:paraId="13BEA99E" w14:textId="77777777" w:rsidR="00A67F21" w:rsidRPr="00B12FE0" w:rsidRDefault="00000000">
            <w:pPr>
              <w:adjustRightInd w:val="0"/>
              <w:snapToGrid w:val="0"/>
              <w:jc w:val="center"/>
              <w:rPr>
                <w:color w:val="000000" w:themeColor="text1"/>
                <w:sz w:val="21"/>
                <w:szCs w:val="21"/>
              </w:rPr>
            </w:pPr>
            <w:r w:rsidRPr="00B12FE0">
              <w:rPr>
                <w:rFonts w:ascii="宋体" w:hAnsi="宋体" w:hint="eastAsia"/>
                <w:color w:val="000000" w:themeColor="text1"/>
                <w:sz w:val="21"/>
                <w:szCs w:val="21"/>
              </w:rPr>
              <w:t>每个场所：铅橡胶衣、</w:t>
            </w:r>
            <w:r w:rsidRPr="00B12FE0">
              <w:rPr>
                <w:rFonts w:ascii="宋体" w:hAnsi="宋体"/>
                <w:color w:val="000000" w:themeColor="text1"/>
                <w:sz w:val="21"/>
                <w:szCs w:val="21"/>
              </w:rPr>
              <w:t>铅橡胶围裙</w:t>
            </w:r>
            <w:r w:rsidRPr="00B12FE0">
              <w:rPr>
                <w:rFonts w:ascii="宋体" w:hAnsi="宋体" w:hint="eastAsia"/>
                <w:color w:val="000000" w:themeColor="text1"/>
                <w:sz w:val="21"/>
                <w:szCs w:val="21"/>
              </w:rPr>
              <w:t>和放射性污染防护服、</w:t>
            </w:r>
            <w:r w:rsidRPr="00B12FE0">
              <w:rPr>
                <w:rFonts w:ascii="宋体" w:hAnsi="宋体"/>
                <w:color w:val="000000" w:themeColor="text1"/>
                <w:sz w:val="21"/>
                <w:szCs w:val="21"/>
              </w:rPr>
              <w:t>铅橡胶</w:t>
            </w:r>
            <w:r w:rsidRPr="00B12FE0">
              <w:rPr>
                <w:rFonts w:ascii="宋体" w:hAnsi="宋体" w:hint="eastAsia"/>
                <w:color w:val="000000" w:themeColor="text1"/>
                <w:sz w:val="21"/>
                <w:szCs w:val="21"/>
              </w:rPr>
              <w:t>围脖</w:t>
            </w:r>
            <w:r w:rsidRPr="00B12FE0">
              <w:rPr>
                <w:rFonts w:ascii="宋体" w:hAnsi="宋体"/>
                <w:color w:val="000000" w:themeColor="text1"/>
                <w:sz w:val="21"/>
                <w:szCs w:val="21"/>
              </w:rPr>
              <w:t>各</w:t>
            </w:r>
            <w:r w:rsidRPr="00B12FE0">
              <w:rPr>
                <w:rFonts w:hint="eastAsia"/>
                <w:color w:val="000000" w:themeColor="text1"/>
                <w:sz w:val="21"/>
                <w:szCs w:val="21"/>
              </w:rPr>
              <w:t>3</w:t>
            </w:r>
            <w:r w:rsidRPr="00B12FE0">
              <w:rPr>
                <w:rFonts w:ascii="宋体" w:hAnsi="宋体"/>
                <w:color w:val="000000" w:themeColor="text1"/>
                <w:sz w:val="21"/>
                <w:szCs w:val="21"/>
              </w:rPr>
              <w:t>件</w:t>
            </w:r>
          </w:p>
        </w:tc>
        <w:tc>
          <w:tcPr>
            <w:tcW w:w="812" w:type="dxa"/>
            <w:tcBorders>
              <w:top w:val="single" w:sz="4" w:space="0" w:color="auto"/>
              <w:left w:val="nil"/>
              <w:bottom w:val="single" w:sz="4" w:space="0" w:color="auto"/>
              <w:right w:val="single" w:sz="4" w:space="0" w:color="auto"/>
            </w:tcBorders>
            <w:vAlign w:val="center"/>
          </w:tcPr>
          <w:p w14:paraId="147DC654" w14:textId="77777777" w:rsidR="00A67F21" w:rsidRPr="00B12FE0" w:rsidRDefault="00000000">
            <w:pPr>
              <w:adjustRightInd w:val="0"/>
              <w:snapToGrid w:val="0"/>
              <w:jc w:val="center"/>
              <w:rPr>
                <w:color w:val="000000" w:themeColor="text1"/>
                <w:sz w:val="21"/>
                <w:szCs w:val="21"/>
              </w:rPr>
            </w:pPr>
            <w:r w:rsidRPr="00B12FE0">
              <w:rPr>
                <w:rFonts w:ascii="宋体" w:hAnsi="宋体"/>
                <w:color w:val="000000" w:themeColor="text1"/>
                <w:sz w:val="21"/>
                <w:szCs w:val="21"/>
              </w:rPr>
              <w:t>符合</w:t>
            </w:r>
          </w:p>
        </w:tc>
      </w:tr>
      <w:tr w:rsidR="00A67F21" w:rsidRPr="00B12FE0" w14:paraId="2AA2FA32" w14:textId="77777777">
        <w:trPr>
          <w:jc w:val="center"/>
        </w:trPr>
        <w:tc>
          <w:tcPr>
            <w:tcW w:w="9017" w:type="dxa"/>
            <w:gridSpan w:val="6"/>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F71C517" w14:textId="77777777" w:rsidR="00A67F21" w:rsidRPr="00B12FE0" w:rsidRDefault="00000000">
            <w:pPr>
              <w:adjustRightInd w:val="0"/>
              <w:snapToGrid w:val="0"/>
              <w:rPr>
                <w:color w:val="000000" w:themeColor="text1"/>
                <w:sz w:val="18"/>
                <w:szCs w:val="18"/>
              </w:rPr>
            </w:pPr>
            <w:r w:rsidRPr="00B12FE0">
              <w:rPr>
                <w:rFonts w:ascii="宋体" w:hAnsi="宋体"/>
                <w:color w:val="000000" w:themeColor="text1"/>
                <w:sz w:val="18"/>
                <w:szCs w:val="18"/>
              </w:rPr>
              <w:t>注：</w:t>
            </w:r>
            <w:r w:rsidRPr="00B12FE0">
              <w:rPr>
                <w:color w:val="000000" w:themeColor="text1"/>
                <w:sz w:val="18"/>
                <w:szCs w:val="18"/>
              </w:rPr>
              <w:t>“—”</w:t>
            </w:r>
            <w:r w:rsidRPr="00B12FE0">
              <w:rPr>
                <w:rFonts w:ascii="宋体" w:hAnsi="宋体"/>
                <w:color w:val="000000" w:themeColor="text1"/>
                <w:sz w:val="18"/>
                <w:szCs w:val="18"/>
              </w:rPr>
              <w:t>表示不需要；</w:t>
            </w:r>
          </w:p>
        </w:tc>
      </w:tr>
    </w:tbl>
    <w:p w14:paraId="496506C9" w14:textId="77777777" w:rsidR="00A67F21" w:rsidRPr="00B12FE0" w:rsidRDefault="00000000">
      <w:pPr>
        <w:adjustRightInd w:val="0"/>
        <w:snapToGrid w:val="0"/>
        <w:spacing w:line="360" w:lineRule="auto"/>
        <w:outlineLvl w:val="3"/>
        <w:rPr>
          <w:rFonts w:hAnsi="宋体" w:cs="宋体" w:hint="eastAsia"/>
          <w:b/>
          <w:color w:val="000000" w:themeColor="text1"/>
          <w:sz w:val="28"/>
          <w:szCs w:val="28"/>
        </w:rPr>
      </w:pPr>
      <w:bookmarkStart w:id="18" w:name="_Toc38067740"/>
      <w:bookmarkStart w:id="19" w:name="_Toc35516142"/>
      <w:bookmarkStart w:id="20" w:name="_Toc29191509"/>
      <w:r w:rsidRPr="00B12FE0">
        <w:rPr>
          <w:rFonts w:cs="宋体"/>
          <w:b/>
          <w:color w:val="000000" w:themeColor="text1"/>
        </w:rPr>
        <w:t>10.1.1.</w:t>
      </w:r>
      <w:r w:rsidRPr="00B12FE0">
        <w:rPr>
          <w:rFonts w:cs="宋体" w:hint="eastAsia"/>
          <w:b/>
          <w:color w:val="000000" w:themeColor="text1"/>
        </w:rPr>
        <w:t>7</w:t>
      </w:r>
      <w:r w:rsidRPr="00B12FE0">
        <w:rPr>
          <w:rFonts w:hAnsi="宋体" w:cs="宋体" w:hint="eastAsia"/>
          <w:b/>
          <w:color w:val="000000" w:themeColor="text1"/>
        </w:rPr>
        <w:t>敷贴治疗的辐射安全措施</w:t>
      </w:r>
      <w:bookmarkEnd w:id="18"/>
      <w:bookmarkEnd w:id="19"/>
      <w:bookmarkEnd w:id="20"/>
    </w:p>
    <w:p w14:paraId="43C236D2" w14:textId="77777777" w:rsidR="00A67F21" w:rsidRPr="00B12FE0" w:rsidRDefault="00000000">
      <w:pPr>
        <w:adjustRightInd w:val="0"/>
        <w:snapToGrid w:val="0"/>
        <w:spacing w:line="360" w:lineRule="auto"/>
        <w:ind w:firstLineChars="200" w:firstLine="480"/>
        <w:rPr>
          <w:rFonts w:hAnsi="宋体" w:hint="eastAsia"/>
          <w:snapToGrid w:val="0"/>
          <w:color w:val="000000" w:themeColor="text1"/>
          <w:szCs w:val="24"/>
        </w:rPr>
      </w:pPr>
      <w:r w:rsidRPr="00B12FE0">
        <w:rPr>
          <w:rFonts w:hAnsi="宋体" w:hint="eastAsia"/>
          <w:snapToGrid w:val="0"/>
          <w:color w:val="000000" w:themeColor="text1"/>
          <w:szCs w:val="24"/>
        </w:rPr>
        <w:t>敷贴治疗项目使用的</w:t>
      </w:r>
      <w:r w:rsidRPr="00B12FE0">
        <w:rPr>
          <w:rFonts w:hAnsi="宋体"/>
          <w:snapToGrid w:val="0"/>
          <w:color w:val="000000" w:themeColor="text1"/>
          <w:szCs w:val="24"/>
          <w:vertAlign w:val="superscript"/>
        </w:rPr>
        <w:t>32</w:t>
      </w:r>
      <w:r w:rsidRPr="00B12FE0">
        <w:rPr>
          <w:rFonts w:hAnsi="宋体"/>
          <w:snapToGrid w:val="0"/>
          <w:color w:val="000000" w:themeColor="text1"/>
          <w:szCs w:val="24"/>
        </w:rPr>
        <w:t>P</w:t>
      </w:r>
      <w:r w:rsidRPr="00B12FE0">
        <w:rPr>
          <w:rFonts w:hAnsi="宋体" w:hint="eastAsia"/>
          <w:snapToGrid w:val="0"/>
          <w:color w:val="000000" w:themeColor="text1"/>
          <w:szCs w:val="24"/>
        </w:rPr>
        <w:t>敷贴器由送药商将</w:t>
      </w:r>
      <w:r w:rsidRPr="00B12FE0">
        <w:rPr>
          <w:rFonts w:hAnsi="宋体"/>
          <w:snapToGrid w:val="0"/>
          <w:color w:val="000000" w:themeColor="text1"/>
          <w:szCs w:val="24"/>
          <w:vertAlign w:val="superscript"/>
        </w:rPr>
        <w:t>32</w:t>
      </w:r>
      <w:r w:rsidRPr="00B12FE0">
        <w:rPr>
          <w:rFonts w:hAnsi="宋体"/>
          <w:snapToGrid w:val="0"/>
          <w:color w:val="000000" w:themeColor="text1"/>
          <w:szCs w:val="24"/>
        </w:rPr>
        <w:t>P</w:t>
      </w:r>
      <w:r w:rsidRPr="00B12FE0">
        <w:rPr>
          <w:rFonts w:hAnsi="宋体" w:hint="eastAsia"/>
          <w:snapToGrid w:val="0"/>
          <w:color w:val="000000" w:themeColor="text1"/>
          <w:szCs w:val="24"/>
        </w:rPr>
        <w:t>溶液送至核医学科核素诊断场所，统一接收暂存于储源室内，使用时由专业的工作人员连同屏蔽容器转移至高活室内，在手套箱内进行敷贴器制作。</w:t>
      </w:r>
    </w:p>
    <w:p w14:paraId="0CBDDC0D" w14:textId="77777777" w:rsidR="00A67F21" w:rsidRPr="00B12FE0" w:rsidRDefault="00000000">
      <w:pPr>
        <w:adjustRightInd w:val="0"/>
        <w:snapToGrid w:val="0"/>
        <w:spacing w:line="360" w:lineRule="auto"/>
        <w:ind w:firstLineChars="200" w:firstLine="480"/>
        <w:rPr>
          <w:rFonts w:hAnsi="宋体" w:hint="eastAsia"/>
          <w:snapToGrid w:val="0"/>
          <w:color w:val="000000" w:themeColor="text1"/>
          <w:szCs w:val="24"/>
        </w:rPr>
      </w:pPr>
      <w:r w:rsidRPr="00B12FE0">
        <w:rPr>
          <w:rFonts w:hAnsi="宋体" w:hint="eastAsia"/>
          <w:snapToGrid w:val="0"/>
          <w:color w:val="000000" w:themeColor="text1"/>
          <w:szCs w:val="24"/>
        </w:rPr>
        <w:t>本项目设置有专门的敷贴治疗室，治疗室辐射防护措施及与标准的对照分析如下：</w:t>
      </w:r>
    </w:p>
    <w:p w14:paraId="6AAF9651" w14:textId="77777777" w:rsidR="00A67F21" w:rsidRPr="00B12FE0" w:rsidRDefault="00000000">
      <w:pPr>
        <w:adjustRightInd w:val="0"/>
        <w:snapToGrid w:val="0"/>
        <w:spacing w:line="360" w:lineRule="auto"/>
        <w:jc w:val="center"/>
        <w:rPr>
          <w:rFonts w:ascii="宋体" w:cs="宋体"/>
          <w:b/>
          <w:snapToGrid w:val="0"/>
          <w:color w:val="000000" w:themeColor="text1"/>
          <w:kern w:val="0"/>
          <w:sz w:val="21"/>
          <w:szCs w:val="21"/>
        </w:rPr>
      </w:pPr>
      <w:r w:rsidRPr="00B12FE0">
        <w:rPr>
          <w:rFonts w:hint="eastAsia"/>
          <w:b/>
          <w:iCs/>
          <w:snapToGrid w:val="0"/>
          <w:color w:val="000000" w:themeColor="text1"/>
          <w:sz w:val="21"/>
          <w:szCs w:val="21"/>
        </w:rPr>
        <w:t>表</w:t>
      </w:r>
      <w:r w:rsidRPr="00B12FE0">
        <w:rPr>
          <w:b/>
          <w:iCs/>
          <w:snapToGrid w:val="0"/>
          <w:color w:val="000000" w:themeColor="text1"/>
          <w:sz w:val="21"/>
          <w:szCs w:val="21"/>
        </w:rPr>
        <w:t>10.1.1.</w:t>
      </w:r>
      <w:r w:rsidRPr="00B12FE0">
        <w:rPr>
          <w:rFonts w:hint="eastAsia"/>
          <w:b/>
          <w:iCs/>
          <w:snapToGrid w:val="0"/>
          <w:color w:val="000000" w:themeColor="text1"/>
          <w:sz w:val="21"/>
          <w:szCs w:val="21"/>
        </w:rPr>
        <w:t>7</w:t>
      </w:r>
      <w:r w:rsidRPr="00B12FE0">
        <w:rPr>
          <w:b/>
          <w:iCs/>
          <w:snapToGrid w:val="0"/>
          <w:color w:val="000000" w:themeColor="text1"/>
          <w:sz w:val="21"/>
          <w:szCs w:val="21"/>
        </w:rPr>
        <w:t>-</w:t>
      </w:r>
      <w:r w:rsidRPr="00B12FE0">
        <w:rPr>
          <w:rFonts w:hint="eastAsia"/>
          <w:b/>
          <w:iCs/>
          <w:snapToGrid w:val="0"/>
          <w:color w:val="000000" w:themeColor="text1"/>
          <w:sz w:val="21"/>
          <w:szCs w:val="21"/>
        </w:rPr>
        <w:t>1</w:t>
      </w:r>
      <w:r w:rsidRPr="00B12FE0">
        <w:rPr>
          <w:rFonts w:hAnsi="宋体"/>
          <w:b/>
          <w:snapToGrid w:val="0"/>
          <w:color w:val="000000" w:themeColor="text1"/>
          <w:sz w:val="21"/>
          <w:szCs w:val="21"/>
        </w:rPr>
        <w:t xml:space="preserve">  </w:t>
      </w:r>
      <w:r w:rsidRPr="00B12FE0">
        <w:rPr>
          <w:rFonts w:ascii="宋体" w:cs="宋体" w:hint="eastAsia"/>
          <w:b/>
          <w:snapToGrid w:val="0"/>
          <w:color w:val="000000" w:themeColor="text1"/>
          <w:kern w:val="0"/>
          <w:sz w:val="21"/>
          <w:szCs w:val="21"/>
        </w:rPr>
        <w:t>敷贴治疗室的辐射安全措施与标准的对照分析表</w:t>
      </w:r>
    </w:p>
    <w:tbl>
      <w:tblPr>
        <w:tblStyle w:val="affff"/>
        <w:tblW w:w="0" w:type="auto"/>
        <w:jc w:val="center"/>
        <w:tblLook w:val="04A0" w:firstRow="1" w:lastRow="0" w:firstColumn="1" w:lastColumn="0" w:noHBand="0" w:noVBand="1"/>
      </w:tblPr>
      <w:tblGrid>
        <w:gridCol w:w="4370"/>
        <w:gridCol w:w="3631"/>
        <w:gridCol w:w="789"/>
      </w:tblGrid>
      <w:tr w:rsidR="00A67F21" w:rsidRPr="00B12FE0" w14:paraId="71EB74B4" w14:textId="77777777">
        <w:trPr>
          <w:trHeight w:val="397"/>
          <w:jc w:val="center"/>
        </w:trPr>
        <w:tc>
          <w:tcPr>
            <w:tcW w:w="4370" w:type="dxa"/>
            <w:tcBorders>
              <w:top w:val="single" w:sz="4" w:space="0" w:color="auto"/>
              <w:left w:val="single" w:sz="4" w:space="0" w:color="auto"/>
              <w:bottom w:val="single" w:sz="4" w:space="0" w:color="auto"/>
              <w:right w:val="single" w:sz="4" w:space="0" w:color="auto"/>
            </w:tcBorders>
            <w:vAlign w:val="center"/>
          </w:tcPr>
          <w:p w14:paraId="6D269915" w14:textId="77777777" w:rsidR="00A67F21" w:rsidRPr="00B12FE0" w:rsidRDefault="00000000">
            <w:pPr>
              <w:adjustRightInd w:val="0"/>
              <w:jc w:val="center"/>
              <w:rPr>
                <w:snapToGrid w:val="0"/>
                <w:color w:val="000000" w:themeColor="text1"/>
                <w:sz w:val="21"/>
                <w:szCs w:val="21"/>
              </w:rPr>
            </w:pPr>
            <w:r w:rsidRPr="00B12FE0">
              <w:rPr>
                <w:rFonts w:hint="eastAsia"/>
                <w:snapToGrid w:val="0"/>
                <w:color w:val="000000" w:themeColor="text1"/>
                <w:sz w:val="21"/>
                <w:szCs w:val="21"/>
              </w:rPr>
              <w:t>《核医学放射防护要求》（</w:t>
            </w:r>
            <w:r w:rsidRPr="00B12FE0">
              <w:rPr>
                <w:rFonts w:hint="eastAsia"/>
                <w:snapToGrid w:val="0"/>
                <w:color w:val="000000" w:themeColor="text1"/>
                <w:sz w:val="21"/>
                <w:szCs w:val="21"/>
              </w:rPr>
              <w:t>GBZ120-2020</w:t>
            </w:r>
            <w:r w:rsidRPr="00B12FE0">
              <w:rPr>
                <w:rFonts w:hint="eastAsia"/>
                <w:snapToGrid w:val="0"/>
                <w:color w:val="000000" w:themeColor="text1"/>
                <w:sz w:val="21"/>
                <w:szCs w:val="21"/>
              </w:rPr>
              <w:t>）的要求</w:t>
            </w:r>
          </w:p>
        </w:tc>
        <w:tc>
          <w:tcPr>
            <w:tcW w:w="3631" w:type="dxa"/>
            <w:tcBorders>
              <w:top w:val="single" w:sz="4" w:space="0" w:color="auto"/>
              <w:left w:val="single" w:sz="4" w:space="0" w:color="auto"/>
              <w:bottom w:val="single" w:sz="4" w:space="0" w:color="auto"/>
              <w:right w:val="single" w:sz="4" w:space="0" w:color="auto"/>
            </w:tcBorders>
            <w:vAlign w:val="center"/>
          </w:tcPr>
          <w:p w14:paraId="7CCBBDE6" w14:textId="77777777" w:rsidR="00A67F21" w:rsidRPr="00B12FE0" w:rsidRDefault="00000000">
            <w:pPr>
              <w:adjustRightInd w:val="0"/>
              <w:jc w:val="center"/>
              <w:rPr>
                <w:rFonts w:hAnsi="宋体" w:hint="eastAsia"/>
                <w:snapToGrid w:val="0"/>
                <w:color w:val="000000" w:themeColor="text1"/>
                <w:sz w:val="21"/>
                <w:szCs w:val="21"/>
              </w:rPr>
            </w:pPr>
            <w:r w:rsidRPr="00B12FE0">
              <w:rPr>
                <w:rFonts w:hAnsi="宋体" w:hint="eastAsia"/>
                <w:snapToGrid w:val="0"/>
                <w:color w:val="000000" w:themeColor="text1"/>
                <w:sz w:val="21"/>
                <w:szCs w:val="21"/>
              </w:rPr>
              <w:t>本项目辐射安全措施</w:t>
            </w:r>
          </w:p>
        </w:tc>
        <w:tc>
          <w:tcPr>
            <w:tcW w:w="789" w:type="dxa"/>
            <w:tcBorders>
              <w:top w:val="single" w:sz="4" w:space="0" w:color="auto"/>
              <w:left w:val="single" w:sz="4" w:space="0" w:color="auto"/>
              <w:bottom w:val="single" w:sz="4" w:space="0" w:color="auto"/>
              <w:right w:val="single" w:sz="4" w:space="0" w:color="auto"/>
            </w:tcBorders>
            <w:vAlign w:val="center"/>
          </w:tcPr>
          <w:p w14:paraId="2F4129C0" w14:textId="77777777" w:rsidR="00A67F21" w:rsidRPr="00B12FE0" w:rsidRDefault="00000000">
            <w:pPr>
              <w:adjustRightInd w:val="0"/>
              <w:jc w:val="center"/>
              <w:rPr>
                <w:rFonts w:hAnsi="宋体" w:hint="eastAsia"/>
                <w:snapToGrid w:val="0"/>
                <w:color w:val="000000" w:themeColor="text1"/>
                <w:sz w:val="21"/>
                <w:szCs w:val="21"/>
              </w:rPr>
            </w:pPr>
            <w:r w:rsidRPr="00B12FE0">
              <w:rPr>
                <w:rFonts w:hAnsi="宋体" w:hint="eastAsia"/>
                <w:snapToGrid w:val="0"/>
                <w:color w:val="000000" w:themeColor="text1"/>
                <w:sz w:val="21"/>
                <w:szCs w:val="21"/>
              </w:rPr>
              <w:t>评价</w:t>
            </w:r>
          </w:p>
        </w:tc>
      </w:tr>
      <w:tr w:rsidR="00A67F21" w:rsidRPr="00B12FE0" w14:paraId="49B1A866" w14:textId="77777777">
        <w:trPr>
          <w:trHeight w:val="397"/>
          <w:jc w:val="center"/>
        </w:trPr>
        <w:tc>
          <w:tcPr>
            <w:tcW w:w="4370" w:type="dxa"/>
            <w:tcBorders>
              <w:top w:val="single" w:sz="4" w:space="0" w:color="auto"/>
              <w:left w:val="single" w:sz="4" w:space="0" w:color="auto"/>
              <w:bottom w:val="single" w:sz="4" w:space="0" w:color="auto"/>
              <w:right w:val="single" w:sz="4" w:space="0" w:color="auto"/>
            </w:tcBorders>
            <w:vAlign w:val="center"/>
          </w:tcPr>
          <w:p w14:paraId="70E901F1" w14:textId="77777777" w:rsidR="00A67F21" w:rsidRPr="00B12FE0" w:rsidRDefault="00000000">
            <w:pPr>
              <w:adjustRightInd w:val="0"/>
              <w:rPr>
                <w:snapToGrid w:val="0"/>
                <w:color w:val="000000" w:themeColor="text1"/>
                <w:sz w:val="21"/>
                <w:szCs w:val="21"/>
              </w:rPr>
            </w:pPr>
            <w:r w:rsidRPr="00B12FE0">
              <w:rPr>
                <w:rFonts w:hint="eastAsia"/>
                <w:snapToGrid w:val="0"/>
                <w:color w:val="000000" w:themeColor="text1"/>
                <w:sz w:val="21"/>
                <w:szCs w:val="21"/>
              </w:rPr>
              <w:t>敷贴治疗应设置专用治疗室，该治疗室应与诊断室、登记值班室和注射后等候室分开设置。治疗室内使用面积应满足治疗要求。</w:t>
            </w:r>
          </w:p>
        </w:tc>
        <w:tc>
          <w:tcPr>
            <w:tcW w:w="3631" w:type="dxa"/>
            <w:tcBorders>
              <w:top w:val="single" w:sz="4" w:space="0" w:color="auto"/>
              <w:left w:val="single" w:sz="4" w:space="0" w:color="auto"/>
              <w:bottom w:val="single" w:sz="4" w:space="0" w:color="auto"/>
              <w:right w:val="single" w:sz="4" w:space="0" w:color="auto"/>
            </w:tcBorders>
            <w:vAlign w:val="center"/>
          </w:tcPr>
          <w:p w14:paraId="35FC71C3" w14:textId="77777777" w:rsidR="00A67F21" w:rsidRPr="00B12FE0" w:rsidRDefault="00000000">
            <w:pPr>
              <w:autoSpaceDE w:val="0"/>
              <w:autoSpaceDN w:val="0"/>
              <w:adjustRightInd w:val="0"/>
              <w:rPr>
                <w:snapToGrid w:val="0"/>
                <w:color w:val="000000" w:themeColor="text1"/>
                <w:kern w:val="0"/>
                <w:sz w:val="21"/>
                <w:szCs w:val="21"/>
              </w:rPr>
            </w:pPr>
            <w:r w:rsidRPr="00B12FE0">
              <w:rPr>
                <w:rFonts w:hint="eastAsia"/>
                <w:snapToGrid w:val="0"/>
                <w:color w:val="000000" w:themeColor="text1"/>
                <w:kern w:val="0"/>
                <w:sz w:val="21"/>
                <w:szCs w:val="21"/>
              </w:rPr>
              <w:t>敷贴治疗室与诊断室、注射后等候室分开设置，治疗室内使用面积为</w:t>
            </w:r>
            <w:r w:rsidRPr="00B12FE0">
              <w:rPr>
                <w:rFonts w:hint="eastAsia"/>
                <w:snapToGrid w:val="0"/>
                <w:color w:val="000000" w:themeColor="text1"/>
                <w:kern w:val="0"/>
                <w:sz w:val="21"/>
                <w:szCs w:val="21"/>
              </w:rPr>
              <w:t>8.82</w:t>
            </w:r>
            <w:r w:rsidRPr="00B12FE0">
              <w:rPr>
                <w:snapToGrid w:val="0"/>
                <w:color w:val="000000" w:themeColor="text1"/>
                <w:kern w:val="0"/>
                <w:sz w:val="21"/>
                <w:szCs w:val="21"/>
              </w:rPr>
              <w:t>m</w:t>
            </w:r>
            <w:r w:rsidRPr="00B12FE0">
              <w:rPr>
                <w:snapToGrid w:val="0"/>
                <w:color w:val="000000" w:themeColor="text1"/>
                <w:kern w:val="0"/>
                <w:sz w:val="21"/>
                <w:szCs w:val="21"/>
                <w:vertAlign w:val="superscript"/>
              </w:rPr>
              <w:t>2</w:t>
            </w:r>
            <w:r w:rsidRPr="00B12FE0">
              <w:rPr>
                <w:rFonts w:hint="eastAsia"/>
                <w:snapToGrid w:val="0"/>
                <w:color w:val="000000" w:themeColor="text1"/>
                <w:kern w:val="0"/>
                <w:sz w:val="21"/>
                <w:szCs w:val="21"/>
              </w:rPr>
              <w:t>。</w:t>
            </w:r>
          </w:p>
        </w:tc>
        <w:tc>
          <w:tcPr>
            <w:tcW w:w="789" w:type="dxa"/>
            <w:tcBorders>
              <w:top w:val="single" w:sz="4" w:space="0" w:color="auto"/>
              <w:left w:val="single" w:sz="4" w:space="0" w:color="auto"/>
              <w:bottom w:val="single" w:sz="4" w:space="0" w:color="auto"/>
              <w:right w:val="single" w:sz="4" w:space="0" w:color="auto"/>
            </w:tcBorders>
            <w:vAlign w:val="center"/>
          </w:tcPr>
          <w:p w14:paraId="30A51F61" w14:textId="77777777" w:rsidR="00A67F21" w:rsidRPr="00B12FE0" w:rsidRDefault="00000000">
            <w:pPr>
              <w:adjustRightInd w:val="0"/>
              <w:jc w:val="center"/>
              <w:rPr>
                <w:rFonts w:hAnsi="宋体" w:hint="eastAsia"/>
                <w:snapToGrid w:val="0"/>
                <w:color w:val="000000" w:themeColor="text1"/>
                <w:sz w:val="21"/>
                <w:szCs w:val="21"/>
              </w:rPr>
            </w:pPr>
            <w:r w:rsidRPr="00B12FE0">
              <w:rPr>
                <w:rFonts w:hAnsi="宋体" w:hint="eastAsia"/>
                <w:snapToGrid w:val="0"/>
                <w:color w:val="000000" w:themeColor="text1"/>
                <w:sz w:val="21"/>
                <w:szCs w:val="21"/>
              </w:rPr>
              <w:t>满足</w:t>
            </w:r>
          </w:p>
        </w:tc>
      </w:tr>
      <w:tr w:rsidR="00A67F21" w:rsidRPr="00B12FE0" w14:paraId="3E290577" w14:textId="77777777">
        <w:trPr>
          <w:trHeight w:val="397"/>
          <w:jc w:val="center"/>
        </w:trPr>
        <w:tc>
          <w:tcPr>
            <w:tcW w:w="4370" w:type="dxa"/>
            <w:tcBorders>
              <w:top w:val="single" w:sz="4" w:space="0" w:color="auto"/>
              <w:left w:val="single" w:sz="4" w:space="0" w:color="auto"/>
              <w:bottom w:val="single" w:sz="4" w:space="0" w:color="auto"/>
              <w:right w:val="single" w:sz="4" w:space="0" w:color="auto"/>
            </w:tcBorders>
            <w:vAlign w:val="center"/>
          </w:tcPr>
          <w:p w14:paraId="3F963AEE" w14:textId="77777777" w:rsidR="00A67F21" w:rsidRPr="00B12FE0" w:rsidRDefault="00000000">
            <w:pPr>
              <w:adjustRightInd w:val="0"/>
              <w:rPr>
                <w:snapToGrid w:val="0"/>
                <w:color w:val="000000" w:themeColor="text1"/>
                <w:sz w:val="21"/>
                <w:szCs w:val="21"/>
              </w:rPr>
            </w:pPr>
            <w:r w:rsidRPr="00B12FE0">
              <w:rPr>
                <w:rFonts w:hint="eastAsia"/>
                <w:snapToGrid w:val="0"/>
                <w:color w:val="000000" w:themeColor="text1"/>
                <w:sz w:val="21"/>
                <w:szCs w:val="21"/>
              </w:rPr>
              <w:t>治疗室内高</w:t>
            </w:r>
            <w:r w:rsidRPr="00B12FE0">
              <w:rPr>
                <w:rFonts w:hint="eastAsia"/>
                <w:snapToGrid w:val="0"/>
                <w:color w:val="000000" w:themeColor="text1"/>
                <w:sz w:val="21"/>
                <w:szCs w:val="21"/>
              </w:rPr>
              <w:t>1.5m</w:t>
            </w:r>
            <w:r w:rsidRPr="00B12FE0">
              <w:rPr>
                <w:rFonts w:hint="eastAsia"/>
                <w:snapToGrid w:val="0"/>
                <w:color w:val="000000" w:themeColor="text1"/>
                <w:sz w:val="21"/>
                <w:szCs w:val="21"/>
              </w:rPr>
              <w:t>以下的墙面应有易去污的保护涂层。地面</w:t>
            </w:r>
            <w:r w:rsidRPr="00B12FE0">
              <w:rPr>
                <w:rFonts w:hint="eastAsia"/>
                <w:snapToGrid w:val="0"/>
                <w:color w:val="000000" w:themeColor="text1"/>
                <w:sz w:val="21"/>
                <w:szCs w:val="21"/>
              </w:rPr>
              <w:t>,</w:t>
            </w:r>
            <w:r w:rsidRPr="00B12FE0">
              <w:rPr>
                <w:rFonts w:hint="eastAsia"/>
                <w:snapToGrid w:val="0"/>
                <w:color w:val="000000" w:themeColor="text1"/>
                <w:sz w:val="21"/>
                <w:szCs w:val="21"/>
              </w:rPr>
              <w:t>尤其在治疗患者位置，应铺有可更换的质地较软又容易去污染的铺料。</w:t>
            </w:r>
          </w:p>
        </w:tc>
        <w:tc>
          <w:tcPr>
            <w:tcW w:w="3631" w:type="dxa"/>
            <w:tcBorders>
              <w:top w:val="single" w:sz="4" w:space="0" w:color="auto"/>
              <w:left w:val="single" w:sz="4" w:space="0" w:color="auto"/>
              <w:bottom w:val="single" w:sz="4" w:space="0" w:color="auto"/>
              <w:right w:val="single" w:sz="4" w:space="0" w:color="auto"/>
            </w:tcBorders>
            <w:vAlign w:val="center"/>
          </w:tcPr>
          <w:p w14:paraId="015F8931" w14:textId="77777777" w:rsidR="00A67F21" w:rsidRPr="00B12FE0" w:rsidRDefault="00000000">
            <w:pPr>
              <w:autoSpaceDE w:val="0"/>
              <w:autoSpaceDN w:val="0"/>
              <w:adjustRightInd w:val="0"/>
              <w:rPr>
                <w:snapToGrid w:val="0"/>
                <w:color w:val="000000" w:themeColor="text1"/>
                <w:kern w:val="0"/>
                <w:sz w:val="21"/>
                <w:szCs w:val="21"/>
              </w:rPr>
            </w:pPr>
            <w:r w:rsidRPr="00B12FE0">
              <w:rPr>
                <w:rFonts w:hint="eastAsia"/>
                <w:snapToGrid w:val="0"/>
                <w:color w:val="000000" w:themeColor="text1"/>
                <w:kern w:val="0"/>
                <w:sz w:val="21"/>
                <w:szCs w:val="21"/>
              </w:rPr>
              <w:t>治疗室内高</w:t>
            </w:r>
            <w:r w:rsidRPr="00B12FE0">
              <w:rPr>
                <w:snapToGrid w:val="0"/>
                <w:color w:val="000000" w:themeColor="text1"/>
                <w:kern w:val="0"/>
                <w:sz w:val="21"/>
                <w:szCs w:val="21"/>
              </w:rPr>
              <w:t>1.5m</w:t>
            </w:r>
            <w:r w:rsidRPr="00B12FE0">
              <w:rPr>
                <w:rFonts w:hint="eastAsia"/>
                <w:snapToGrid w:val="0"/>
                <w:color w:val="000000" w:themeColor="text1"/>
                <w:kern w:val="0"/>
                <w:sz w:val="21"/>
                <w:szCs w:val="21"/>
              </w:rPr>
              <w:t>以下的墙面拟采用可更换的质地较软又容易去污染的铺料敷设。</w:t>
            </w:r>
          </w:p>
        </w:tc>
        <w:tc>
          <w:tcPr>
            <w:tcW w:w="789" w:type="dxa"/>
            <w:tcBorders>
              <w:top w:val="single" w:sz="4" w:space="0" w:color="auto"/>
              <w:left w:val="single" w:sz="4" w:space="0" w:color="auto"/>
              <w:bottom w:val="single" w:sz="4" w:space="0" w:color="auto"/>
              <w:right w:val="single" w:sz="4" w:space="0" w:color="auto"/>
            </w:tcBorders>
            <w:vAlign w:val="center"/>
          </w:tcPr>
          <w:p w14:paraId="491ED047" w14:textId="77777777" w:rsidR="00A67F21" w:rsidRPr="00B12FE0" w:rsidRDefault="00000000">
            <w:pPr>
              <w:adjustRightInd w:val="0"/>
              <w:jc w:val="center"/>
              <w:rPr>
                <w:rFonts w:hAnsi="宋体" w:hint="eastAsia"/>
                <w:snapToGrid w:val="0"/>
                <w:color w:val="000000" w:themeColor="text1"/>
                <w:sz w:val="21"/>
                <w:szCs w:val="21"/>
              </w:rPr>
            </w:pPr>
            <w:r w:rsidRPr="00B12FE0">
              <w:rPr>
                <w:rFonts w:hAnsi="宋体" w:hint="eastAsia"/>
                <w:snapToGrid w:val="0"/>
                <w:color w:val="000000" w:themeColor="text1"/>
                <w:sz w:val="21"/>
                <w:szCs w:val="21"/>
              </w:rPr>
              <w:t>满足</w:t>
            </w:r>
          </w:p>
        </w:tc>
      </w:tr>
      <w:tr w:rsidR="00A67F21" w:rsidRPr="00B12FE0" w14:paraId="3FB4D9C2" w14:textId="77777777">
        <w:trPr>
          <w:trHeight w:val="397"/>
          <w:jc w:val="center"/>
        </w:trPr>
        <w:tc>
          <w:tcPr>
            <w:tcW w:w="4370" w:type="dxa"/>
            <w:tcBorders>
              <w:top w:val="single" w:sz="4" w:space="0" w:color="auto"/>
              <w:left w:val="single" w:sz="4" w:space="0" w:color="auto"/>
              <w:bottom w:val="single" w:sz="4" w:space="0" w:color="auto"/>
              <w:right w:val="single" w:sz="4" w:space="0" w:color="auto"/>
            </w:tcBorders>
            <w:vAlign w:val="center"/>
          </w:tcPr>
          <w:p w14:paraId="46C38B15" w14:textId="77777777" w:rsidR="00A67F21" w:rsidRPr="00B12FE0" w:rsidRDefault="00000000">
            <w:pPr>
              <w:adjustRightInd w:val="0"/>
              <w:rPr>
                <w:snapToGrid w:val="0"/>
                <w:color w:val="000000" w:themeColor="text1"/>
                <w:sz w:val="21"/>
                <w:szCs w:val="21"/>
              </w:rPr>
            </w:pPr>
            <w:r w:rsidRPr="00B12FE0">
              <w:rPr>
                <w:rFonts w:hAnsi="Arial" w:hint="eastAsia"/>
                <w:snapToGrid w:val="0"/>
                <w:color w:val="000000" w:themeColor="text1"/>
                <w:sz w:val="21"/>
                <w:szCs w:val="21"/>
              </w:rPr>
              <w:t>治疗室内患者座位之间应保持</w:t>
            </w:r>
            <w:r w:rsidRPr="00B12FE0">
              <w:rPr>
                <w:rFonts w:hAnsi="Arial" w:hint="eastAsia"/>
                <w:snapToGrid w:val="0"/>
                <w:color w:val="000000" w:themeColor="text1"/>
                <w:sz w:val="21"/>
                <w:szCs w:val="21"/>
              </w:rPr>
              <w:t>1.2m</w:t>
            </w:r>
            <w:r w:rsidRPr="00B12FE0">
              <w:rPr>
                <w:rFonts w:hAnsi="Arial" w:hint="eastAsia"/>
                <w:snapToGrid w:val="0"/>
                <w:color w:val="000000" w:themeColor="text1"/>
                <w:sz w:val="21"/>
                <w:szCs w:val="21"/>
              </w:rPr>
              <w:t>的距离或设置适当材料与厚度的防护屏蔽。</w:t>
            </w:r>
          </w:p>
        </w:tc>
        <w:tc>
          <w:tcPr>
            <w:tcW w:w="3631" w:type="dxa"/>
            <w:tcBorders>
              <w:top w:val="single" w:sz="4" w:space="0" w:color="auto"/>
              <w:left w:val="single" w:sz="4" w:space="0" w:color="auto"/>
              <w:bottom w:val="single" w:sz="4" w:space="0" w:color="auto"/>
              <w:right w:val="single" w:sz="4" w:space="0" w:color="auto"/>
            </w:tcBorders>
            <w:vAlign w:val="center"/>
          </w:tcPr>
          <w:p w14:paraId="56BB9133" w14:textId="77777777" w:rsidR="00A67F21" w:rsidRPr="00B12FE0" w:rsidRDefault="00000000">
            <w:pPr>
              <w:autoSpaceDE w:val="0"/>
              <w:autoSpaceDN w:val="0"/>
              <w:adjustRightInd w:val="0"/>
              <w:rPr>
                <w:snapToGrid w:val="0"/>
                <w:color w:val="000000" w:themeColor="text1"/>
                <w:kern w:val="0"/>
                <w:sz w:val="21"/>
                <w:szCs w:val="21"/>
              </w:rPr>
            </w:pPr>
            <w:r w:rsidRPr="00B12FE0">
              <w:rPr>
                <w:rFonts w:hint="eastAsia"/>
                <w:snapToGrid w:val="0"/>
                <w:color w:val="000000" w:themeColor="text1"/>
                <w:kern w:val="0"/>
                <w:sz w:val="21"/>
                <w:szCs w:val="21"/>
              </w:rPr>
              <w:t>根据医院诊断计划，</w:t>
            </w:r>
            <w:proofErr w:type="gramStart"/>
            <w:r w:rsidRPr="00B12FE0">
              <w:rPr>
                <w:rFonts w:hint="eastAsia"/>
                <w:snapToGrid w:val="0"/>
                <w:color w:val="000000" w:themeColor="text1"/>
                <w:kern w:val="0"/>
                <w:sz w:val="21"/>
                <w:szCs w:val="21"/>
              </w:rPr>
              <w:t>敷贴室</w:t>
            </w:r>
            <w:proofErr w:type="gramEnd"/>
            <w:r w:rsidRPr="00B12FE0">
              <w:rPr>
                <w:rFonts w:hint="eastAsia"/>
                <w:snapToGrid w:val="0"/>
                <w:color w:val="000000" w:themeColor="text1"/>
                <w:kern w:val="0"/>
                <w:sz w:val="21"/>
                <w:szCs w:val="21"/>
              </w:rPr>
              <w:t>为单人治疗室，不安排患者同时进行治疗</w:t>
            </w:r>
          </w:p>
        </w:tc>
        <w:tc>
          <w:tcPr>
            <w:tcW w:w="789" w:type="dxa"/>
            <w:tcBorders>
              <w:top w:val="single" w:sz="4" w:space="0" w:color="auto"/>
              <w:left w:val="single" w:sz="4" w:space="0" w:color="auto"/>
              <w:bottom w:val="single" w:sz="4" w:space="0" w:color="auto"/>
              <w:right w:val="single" w:sz="4" w:space="0" w:color="auto"/>
            </w:tcBorders>
            <w:vAlign w:val="center"/>
          </w:tcPr>
          <w:p w14:paraId="74BE32EE" w14:textId="77777777" w:rsidR="00A67F21" w:rsidRPr="00B12FE0" w:rsidRDefault="00000000">
            <w:pPr>
              <w:adjustRightInd w:val="0"/>
              <w:jc w:val="center"/>
              <w:rPr>
                <w:rFonts w:hAnsi="宋体" w:hint="eastAsia"/>
                <w:snapToGrid w:val="0"/>
                <w:color w:val="000000" w:themeColor="text1"/>
                <w:sz w:val="21"/>
                <w:szCs w:val="21"/>
              </w:rPr>
            </w:pPr>
            <w:r w:rsidRPr="00B12FE0">
              <w:rPr>
                <w:rFonts w:hAnsi="宋体" w:hint="eastAsia"/>
                <w:snapToGrid w:val="0"/>
                <w:color w:val="000000" w:themeColor="text1"/>
                <w:sz w:val="21"/>
                <w:szCs w:val="21"/>
              </w:rPr>
              <w:t>满足</w:t>
            </w:r>
          </w:p>
        </w:tc>
      </w:tr>
      <w:tr w:rsidR="00A67F21" w:rsidRPr="00B12FE0" w14:paraId="04CBD8C9" w14:textId="77777777">
        <w:trPr>
          <w:trHeight w:val="397"/>
          <w:jc w:val="center"/>
        </w:trPr>
        <w:tc>
          <w:tcPr>
            <w:tcW w:w="4370" w:type="dxa"/>
            <w:tcBorders>
              <w:top w:val="single" w:sz="4" w:space="0" w:color="auto"/>
              <w:left w:val="single" w:sz="4" w:space="0" w:color="auto"/>
              <w:bottom w:val="single" w:sz="4" w:space="0" w:color="auto"/>
              <w:right w:val="single" w:sz="4" w:space="0" w:color="auto"/>
            </w:tcBorders>
            <w:vAlign w:val="center"/>
          </w:tcPr>
          <w:p w14:paraId="1812C6B7" w14:textId="77777777" w:rsidR="00A67F21" w:rsidRPr="00B12FE0" w:rsidRDefault="00000000">
            <w:pPr>
              <w:adjustRightInd w:val="0"/>
              <w:rPr>
                <w:snapToGrid w:val="0"/>
                <w:color w:val="000000" w:themeColor="text1"/>
                <w:sz w:val="21"/>
                <w:szCs w:val="21"/>
              </w:rPr>
            </w:pPr>
            <w:r w:rsidRPr="00B12FE0">
              <w:rPr>
                <w:rFonts w:hAnsi="Arial" w:hint="eastAsia"/>
                <w:snapToGrid w:val="0"/>
                <w:color w:val="000000" w:themeColor="text1"/>
                <w:sz w:val="21"/>
                <w:szCs w:val="21"/>
              </w:rPr>
              <w:t>治疗室内应制定敷贴治疗</w:t>
            </w:r>
            <w:r w:rsidRPr="00B12FE0">
              <w:rPr>
                <w:snapToGrid w:val="0"/>
                <w:color w:val="000000" w:themeColor="text1"/>
                <w:sz w:val="21"/>
                <w:szCs w:val="21"/>
              </w:rPr>
              <w:t>操作规程及卫生管理制度，并配有</w:t>
            </w:r>
            <w:r w:rsidRPr="00B12FE0">
              <w:rPr>
                <w:snapToGrid w:val="0"/>
                <w:color w:val="000000" w:themeColor="text1"/>
                <w:sz w:val="21"/>
                <w:szCs w:val="21"/>
              </w:rPr>
              <w:t>β</w:t>
            </w:r>
            <w:r w:rsidRPr="00B12FE0">
              <w:rPr>
                <w:snapToGrid w:val="0"/>
                <w:color w:val="000000" w:themeColor="text1"/>
                <w:sz w:val="21"/>
                <w:szCs w:val="21"/>
              </w:rPr>
              <w:t>污染检查仪等检测仪器。</w:t>
            </w:r>
          </w:p>
        </w:tc>
        <w:tc>
          <w:tcPr>
            <w:tcW w:w="3631" w:type="dxa"/>
            <w:tcBorders>
              <w:top w:val="single" w:sz="4" w:space="0" w:color="auto"/>
              <w:left w:val="single" w:sz="4" w:space="0" w:color="auto"/>
              <w:bottom w:val="single" w:sz="4" w:space="0" w:color="auto"/>
              <w:right w:val="single" w:sz="4" w:space="0" w:color="auto"/>
            </w:tcBorders>
            <w:vAlign w:val="center"/>
          </w:tcPr>
          <w:p w14:paraId="235E08CA" w14:textId="77777777" w:rsidR="00A67F21" w:rsidRPr="00B12FE0" w:rsidRDefault="00000000">
            <w:pPr>
              <w:autoSpaceDE w:val="0"/>
              <w:autoSpaceDN w:val="0"/>
              <w:adjustRightInd w:val="0"/>
              <w:rPr>
                <w:rFonts w:ascii="宋体" w:cs="宋体"/>
                <w:snapToGrid w:val="0"/>
                <w:color w:val="000000" w:themeColor="text1"/>
                <w:kern w:val="0"/>
                <w:sz w:val="21"/>
                <w:szCs w:val="21"/>
              </w:rPr>
            </w:pPr>
            <w:r w:rsidRPr="00B12FE0">
              <w:rPr>
                <w:rFonts w:hint="eastAsia"/>
                <w:snapToGrid w:val="0"/>
                <w:color w:val="000000" w:themeColor="text1"/>
                <w:kern w:val="0"/>
                <w:sz w:val="21"/>
                <w:szCs w:val="21"/>
              </w:rPr>
              <w:t>治疗室内拟张贴放射治疗操作规程及辐射安全管理制度，</w:t>
            </w:r>
            <w:proofErr w:type="gramStart"/>
            <w:r w:rsidRPr="00B12FE0">
              <w:rPr>
                <w:rFonts w:hint="eastAsia"/>
                <w:snapToGrid w:val="0"/>
                <w:color w:val="000000" w:themeColor="text1"/>
                <w:kern w:val="0"/>
                <w:sz w:val="21"/>
                <w:szCs w:val="21"/>
              </w:rPr>
              <w:t>拟配</w:t>
            </w:r>
            <w:proofErr w:type="gramEnd"/>
            <w:r w:rsidRPr="00B12FE0">
              <w:rPr>
                <w:snapToGrid w:val="0"/>
                <w:color w:val="000000" w:themeColor="text1"/>
                <w:kern w:val="0"/>
                <w:sz w:val="21"/>
                <w:szCs w:val="21"/>
              </w:rPr>
              <w:t>β</w:t>
            </w:r>
            <w:r w:rsidRPr="00B12FE0">
              <w:rPr>
                <w:rFonts w:hint="eastAsia"/>
                <w:snapToGrid w:val="0"/>
                <w:color w:val="000000" w:themeColor="text1"/>
                <w:kern w:val="0"/>
                <w:sz w:val="21"/>
                <w:szCs w:val="21"/>
              </w:rPr>
              <w:t>污染检查仪等检测仪器。</w:t>
            </w:r>
          </w:p>
        </w:tc>
        <w:tc>
          <w:tcPr>
            <w:tcW w:w="789" w:type="dxa"/>
            <w:tcBorders>
              <w:top w:val="single" w:sz="4" w:space="0" w:color="auto"/>
              <w:left w:val="single" w:sz="4" w:space="0" w:color="auto"/>
              <w:bottom w:val="single" w:sz="4" w:space="0" w:color="auto"/>
              <w:right w:val="single" w:sz="4" w:space="0" w:color="auto"/>
            </w:tcBorders>
            <w:vAlign w:val="center"/>
          </w:tcPr>
          <w:p w14:paraId="6983EA99" w14:textId="77777777" w:rsidR="00A67F21" w:rsidRPr="00B12FE0" w:rsidRDefault="00000000">
            <w:pPr>
              <w:adjustRightInd w:val="0"/>
              <w:jc w:val="center"/>
              <w:rPr>
                <w:rFonts w:hAnsi="宋体" w:hint="eastAsia"/>
                <w:snapToGrid w:val="0"/>
                <w:color w:val="000000" w:themeColor="text1"/>
                <w:sz w:val="21"/>
                <w:szCs w:val="21"/>
              </w:rPr>
            </w:pPr>
            <w:r w:rsidRPr="00B12FE0">
              <w:rPr>
                <w:rFonts w:hAnsi="宋体" w:hint="eastAsia"/>
                <w:snapToGrid w:val="0"/>
                <w:color w:val="000000" w:themeColor="text1"/>
                <w:sz w:val="21"/>
                <w:szCs w:val="21"/>
              </w:rPr>
              <w:t>满足</w:t>
            </w:r>
          </w:p>
        </w:tc>
      </w:tr>
    </w:tbl>
    <w:p w14:paraId="1B484B66"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hint="eastAsia"/>
          <w:snapToGrid w:val="0"/>
          <w:color w:val="000000" w:themeColor="text1"/>
          <w:szCs w:val="24"/>
        </w:rPr>
        <w:t>由上表可知，本项目敷贴治疗设施满足</w:t>
      </w:r>
      <w:r w:rsidRPr="00B12FE0">
        <w:rPr>
          <w:snapToGrid w:val="0"/>
          <w:color w:val="000000" w:themeColor="text1"/>
          <w:szCs w:val="24"/>
        </w:rPr>
        <w:t>《核医学放射防护要求》（</w:t>
      </w:r>
      <w:r w:rsidRPr="00B12FE0">
        <w:rPr>
          <w:snapToGrid w:val="0"/>
          <w:color w:val="000000" w:themeColor="text1"/>
          <w:szCs w:val="24"/>
        </w:rPr>
        <w:t>GBZ120-</w:t>
      </w:r>
      <w:r w:rsidRPr="00B12FE0">
        <w:rPr>
          <w:rFonts w:hint="eastAsia"/>
          <w:snapToGrid w:val="0"/>
          <w:color w:val="000000" w:themeColor="text1"/>
          <w:szCs w:val="24"/>
        </w:rPr>
        <w:t>2020</w:t>
      </w:r>
      <w:r w:rsidRPr="00B12FE0">
        <w:rPr>
          <w:snapToGrid w:val="0"/>
          <w:color w:val="000000" w:themeColor="text1"/>
          <w:szCs w:val="24"/>
        </w:rPr>
        <w:t>）</w:t>
      </w:r>
      <w:r w:rsidRPr="00B12FE0">
        <w:rPr>
          <w:rFonts w:hint="eastAsia"/>
          <w:snapToGrid w:val="0"/>
          <w:color w:val="000000" w:themeColor="text1"/>
          <w:szCs w:val="24"/>
        </w:rPr>
        <w:t>的相关要求。</w:t>
      </w:r>
    </w:p>
    <w:p w14:paraId="3F813A42"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hint="eastAsia"/>
          <w:snapToGrid w:val="0"/>
          <w:color w:val="000000" w:themeColor="text1"/>
          <w:szCs w:val="24"/>
        </w:rPr>
        <w:t>此外，在敷贴治疗室内设置对讲装置和视频监控，便于工作人员通过视频监控观察患者，通过对讲装置于受检者联系。并在敷贴治疗室患者防护门处设置门禁。</w:t>
      </w:r>
    </w:p>
    <w:p w14:paraId="5BA4C446" w14:textId="77777777" w:rsidR="00A67F21" w:rsidRPr="00B12FE0" w:rsidRDefault="00000000">
      <w:pPr>
        <w:widowControl/>
        <w:topLinePunct/>
        <w:adjustRightInd w:val="0"/>
        <w:snapToGrid w:val="0"/>
        <w:spacing w:line="360" w:lineRule="auto"/>
        <w:outlineLvl w:val="3"/>
        <w:rPr>
          <w:rFonts w:hAnsi="宋体" w:cs="宋体" w:hint="eastAsia"/>
          <w:b/>
          <w:color w:val="000000" w:themeColor="text1"/>
        </w:rPr>
      </w:pPr>
      <w:r w:rsidRPr="00B12FE0">
        <w:rPr>
          <w:rFonts w:cs="宋体"/>
          <w:b/>
          <w:color w:val="000000" w:themeColor="text1"/>
        </w:rPr>
        <w:t>10.1.1.</w:t>
      </w:r>
      <w:r w:rsidRPr="00B12FE0">
        <w:rPr>
          <w:rFonts w:cs="宋体" w:hint="eastAsia"/>
          <w:b/>
          <w:color w:val="000000" w:themeColor="text1"/>
        </w:rPr>
        <w:t>8</w:t>
      </w:r>
      <w:r w:rsidRPr="00B12FE0">
        <w:rPr>
          <w:rFonts w:hAnsi="宋体" w:cs="宋体"/>
          <w:b/>
          <w:color w:val="000000" w:themeColor="text1"/>
        </w:rPr>
        <w:t>对服药和注射后病人防护措施</w:t>
      </w:r>
    </w:p>
    <w:p w14:paraId="5B0AAA83" w14:textId="77777777" w:rsidR="00A67F21" w:rsidRPr="00B12FE0" w:rsidRDefault="00000000">
      <w:pPr>
        <w:widowControl/>
        <w:adjustRightInd w:val="0"/>
        <w:snapToGrid w:val="0"/>
        <w:spacing w:line="360" w:lineRule="auto"/>
        <w:ind w:firstLineChars="200" w:firstLine="480"/>
        <w:rPr>
          <w:rFonts w:hAnsi="宋体" w:cs="宋体" w:hint="eastAsia"/>
          <w:color w:val="000000" w:themeColor="text1"/>
        </w:rPr>
      </w:pPr>
      <w:r w:rsidRPr="00B12FE0">
        <w:rPr>
          <w:rFonts w:hAnsi="宋体" w:cs="宋体"/>
          <w:color w:val="000000" w:themeColor="text1"/>
        </w:rPr>
        <w:t>首先告知病人及家属辐射可能带来的危害性，</w:t>
      </w:r>
      <w:r w:rsidRPr="00B12FE0">
        <w:rPr>
          <w:rFonts w:cs="宋体" w:hint="eastAsia"/>
          <w:color w:val="000000" w:themeColor="text1"/>
        </w:rPr>
        <w:t>患者</w:t>
      </w:r>
      <w:r w:rsidRPr="00B12FE0">
        <w:rPr>
          <w:rFonts w:hAnsi="宋体" w:cs="宋体"/>
          <w:color w:val="000000" w:themeColor="text1"/>
        </w:rPr>
        <w:t>要与陪护人员实行隔离，陪护人员不允许在注射后等候室内驻留，</w:t>
      </w:r>
      <w:r w:rsidRPr="00B12FE0">
        <w:rPr>
          <w:rFonts w:hAnsi="宋体" w:cs="宋体" w:hint="eastAsia"/>
          <w:color w:val="000000" w:themeColor="text1"/>
        </w:rPr>
        <w:t>医院</w:t>
      </w:r>
      <w:r w:rsidRPr="00B12FE0">
        <w:rPr>
          <w:rFonts w:hAnsi="宋体" w:cs="宋体"/>
          <w:color w:val="000000" w:themeColor="text1"/>
        </w:rPr>
        <w:t>需要划定专门的陪护人员等候区并尽量远离非密封放射性物质工作场所，同时需要</w:t>
      </w:r>
      <w:proofErr w:type="gramStart"/>
      <w:r w:rsidRPr="00B12FE0">
        <w:rPr>
          <w:rFonts w:hAnsi="宋体" w:cs="宋体"/>
          <w:color w:val="000000" w:themeColor="text1"/>
        </w:rPr>
        <w:t>求</w:t>
      </w:r>
      <w:r w:rsidRPr="00B12FE0">
        <w:rPr>
          <w:rFonts w:hAnsi="宋体" w:cs="宋体" w:hint="eastAsia"/>
          <w:color w:val="000000" w:themeColor="text1"/>
        </w:rPr>
        <w:t>患者</w:t>
      </w:r>
      <w:proofErr w:type="gramEnd"/>
      <w:r w:rsidRPr="00B12FE0">
        <w:rPr>
          <w:rFonts w:hAnsi="宋体" w:cs="宋体"/>
          <w:color w:val="000000" w:themeColor="text1"/>
        </w:rPr>
        <w:t>在注射后</w:t>
      </w:r>
      <w:r w:rsidRPr="00B12FE0">
        <w:rPr>
          <w:rFonts w:hAnsi="宋体" w:cs="宋体" w:hint="eastAsia"/>
          <w:color w:val="000000" w:themeColor="text1"/>
        </w:rPr>
        <w:t>/</w:t>
      </w:r>
      <w:r w:rsidRPr="00B12FE0">
        <w:rPr>
          <w:rFonts w:hAnsi="宋体" w:cs="宋体" w:hint="eastAsia"/>
          <w:color w:val="000000" w:themeColor="text1"/>
        </w:rPr>
        <w:t>服药后在</w:t>
      </w:r>
      <w:r w:rsidRPr="00B12FE0">
        <w:rPr>
          <w:rFonts w:hAnsi="宋体" w:cs="宋体"/>
          <w:color w:val="000000" w:themeColor="text1"/>
        </w:rPr>
        <w:t>注射后等候室</w:t>
      </w:r>
      <w:r w:rsidRPr="00B12FE0">
        <w:rPr>
          <w:rFonts w:hAnsi="宋体" w:cs="宋体" w:hint="eastAsia"/>
          <w:color w:val="000000" w:themeColor="text1"/>
        </w:rPr>
        <w:t>/</w:t>
      </w:r>
      <w:r w:rsidRPr="00B12FE0">
        <w:rPr>
          <w:rFonts w:hAnsi="宋体" w:cs="宋体" w:hint="eastAsia"/>
          <w:color w:val="000000" w:themeColor="text1"/>
        </w:rPr>
        <w:t>病房静候，</w:t>
      </w:r>
      <w:r w:rsidRPr="00B12FE0">
        <w:rPr>
          <w:rFonts w:hAnsi="宋体" w:cs="宋体"/>
          <w:color w:val="000000" w:themeColor="text1"/>
        </w:rPr>
        <w:t>禁止随意走动</w:t>
      </w:r>
      <w:r w:rsidRPr="00B12FE0">
        <w:rPr>
          <w:rFonts w:hAnsi="宋体" w:cs="宋体" w:hint="eastAsia"/>
          <w:color w:val="000000" w:themeColor="text1"/>
        </w:rPr>
        <w:t>，</w:t>
      </w:r>
      <w:r w:rsidRPr="00B12FE0">
        <w:rPr>
          <w:rFonts w:hAnsi="宋体" w:cs="宋体"/>
          <w:color w:val="000000" w:themeColor="text1"/>
        </w:rPr>
        <w:t>呕吐物和排泄物要排入注射后等候室</w:t>
      </w:r>
      <w:r w:rsidRPr="00B12FE0">
        <w:rPr>
          <w:rFonts w:hAnsi="宋体" w:cs="宋体" w:hint="eastAsia"/>
          <w:color w:val="000000" w:themeColor="text1"/>
        </w:rPr>
        <w:t>/</w:t>
      </w:r>
      <w:r w:rsidRPr="00B12FE0">
        <w:rPr>
          <w:rFonts w:hAnsi="宋体" w:cs="宋体" w:hint="eastAsia"/>
          <w:color w:val="000000" w:themeColor="text1"/>
        </w:rPr>
        <w:t>病房</w:t>
      </w:r>
      <w:r w:rsidRPr="00B12FE0">
        <w:rPr>
          <w:rFonts w:hAnsi="宋体" w:cs="宋体"/>
          <w:color w:val="000000" w:themeColor="text1"/>
        </w:rPr>
        <w:t>内专用厕所，最终排入衰变池。</w:t>
      </w:r>
    </w:p>
    <w:p w14:paraId="433C51CF" w14:textId="77777777" w:rsidR="00A67F21" w:rsidRPr="00B12FE0" w:rsidRDefault="00000000">
      <w:pPr>
        <w:snapToGrid w:val="0"/>
        <w:spacing w:line="360" w:lineRule="auto"/>
        <w:contextualSpacing/>
        <w:outlineLvl w:val="2"/>
        <w:rPr>
          <w:b/>
          <w:color w:val="000000" w:themeColor="text1"/>
        </w:rPr>
      </w:pPr>
      <w:r w:rsidRPr="00B12FE0">
        <w:rPr>
          <w:b/>
          <w:color w:val="000000" w:themeColor="text1"/>
        </w:rPr>
        <w:t>10.1.2</w:t>
      </w:r>
      <w:r w:rsidRPr="00B12FE0">
        <w:rPr>
          <w:rFonts w:hint="eastAsia"/>
          <w:b/>
          <w:color w:val="000000" w:themeColor="text1"/>
        </w:rPr>
        <w:t>放疗科</w:t>
      </w:r>
    </w:p>
    <w:p w14:paraId="7C1B5374" w14:textId="77777777" w:rsidR="00A67F21" w:rsidRPr="00B12FE0" w:rsidRDefault="00000000">
      <w:pPr>
        <w:snapToGrid w:val="0"/>
        <w:spacing w:line="360" w:lineRule="auto"/>
        <w:contextualSpacing/>
        <w:outlineLvl w:val="3"/>
        <w:rPr>
          <w:b/>
          <w:bCs/>
          <w:color w:val="000000" w:themeColor="text1"/>
        </w:rPr>
      </w:pPr>
      <w:r w:rsidRPr="00B12FE0">
        <w:rPr>
          <w:rFonts w:hint="eastAsia"/>
          <w:b/>
          <w:color w:val="000000" w:themeColor="text1"/>
        </w:rPr>
        <w:t>10.1.2.1</w:t>
      </w:r>
      <w:r w:rsidRPr="00B12FE0">
        <w:rPr>
          <w:rFonts w:hint="eastAsia"/>
          <w:b/>
          <w:bCs/>
          <w:color w:val="000000" w:themeColor="text1"/>
        </w:rPr>
        <w:t>直线加速器</w:t>
      </w:r>
    </w:p>
    <w:p w14:paraId="3F5D8080" w14:textId="77777777" w:rsidR="00A67F21" w:rsidRPr="00B12FE0" w:rsidRDefault="00000000">
      <w:pPr>
        <w:spacing w:line="360" w:lineRule="auto"/>
        <w:outlineLvl w:val="4"/>
        <w:rPr>
          <w:b/>
          <w:bCs/>
          <w:color w:val="000000" w:themeColor="text1"/>
        </w:rPr>
      </w:pPr>
      <w:r w:rsidRPr="00B12FE0">
        <w:rPr>
          <w:rFonts w:hint="eastAsia"/>
          <w:b/>
          <w:bCs/>
          <w:color w:val="000000" w:themeColor="text1"/>
        </w:rPr>
        <w:lastRenderedPageBreak/>
        <w:t>10.1</w:t>
      </w:r>
      <w:r w:rsidRPr="00B12FE0">
        <w:rPr>
          <w:b/>
          <w:bCs/>
          <w:color w:val="000000" w:themeColor="text1"/>
        </w:rPr>
        <w:t>.2</w:t>
      </w:r>
      <w:r w:rsidRPr="00B12FE0">
        <w:rPr>
          <w:rFonts w:hint="eastAsia"/>
          <w:b/>
          <w:bCs/>
          <w:color w:val="000000" w:themeColor="text1"/>
        </w:rPr>
        <w:t>.</w:t>
      </w:r>
      <w:r w:rsidRPr="00B12FE0">
        <w:rPr>
          <w:b/>
          <w:bCs/>
          <w:color w:val="000000" w:themeColor="text1"/>
        </w:rPr>
        <w:t>1</w:t>
      </w:r>
      <w:r w:rsidRPr="00B12FE0">
        <w:rPr>
          <w:rFonts w:hint="eastAsia"/>
          <w:b/>
          <w:bCs/>
          <w:color w:val="000000" w:themeColor="text1"/>
        </w:rPr>
        <w:t>.</w:t>
      </w:r>
      <w:r w:rsidRPr="00B12FE0">
        <w:rPr>
          <w:b/>
          <w:bCs/>
          <w:color w:val="000000" w:themeColor="text1"/>
        </w:rPr>
        <w:t>1</w:t>
      </w:r>
      <w:r w:rsidRPr="00B12FE0">
        <w:rPr>
          <w:b/>
          <w:bCs/>
          <w:color w:val="000000" w:themeColor="text1"/>
        </w:rPr>
        <w:t>工作场所布局分析及分区情况</w:t>
      </w:r>
    </w:p>
    <w:p w14:paraId="011795FB" w14:textId="77777777" w:rsidR="00A67F21" w:rsidRPr="00B12FE0" w:rsidRDefault="00000000">
      <w:pPr>
        <w:adjustRightInd w:val="0"/>
        <w:snapToGrid w:val="0"/>
        <w:spacing w:line="360" w:lineRule="auto"/>
        <w:ind w:firstLineChars="200" w:firstLine="482"/>
        <w:jc w:val="left"/>
        <w:rPr>
          <w:b/>
          <w:color w:val="000000" w:themeColor="text1"/>
        </w:rPr>
      </w:pPr>
      <w:r w:rsidRPr="00B12FE0">
        <w:rPr>
          <w:rFonts w:ascii="宋体" w:hAnsi="宋体" w:hint="eastAsia"/>
          <w:b/>
          <w:color w:val="000000" w:themeColor="text1"/>
        </w:rPr>
        <w:t>①</w:t>
      </w:r>
      <w:r w:rsidRPr="00B12FE0">
        <w:rPr>
          <w:b/>
          <w:color w:val="000000" w:themeColor="text1"/>
        </w:rPr>
        <w:t>工作场所布局分析</w:t>
      </w:r>
    </w:p>
    <w:p w14:paraId="00E16BBF" w14:textId="77777777" w:rsidR="00A67F21" w:rsidRPr="00B12FE0" w:rsidRDefault="00000000">
      <w:pPr>
        <w:overflowPunct w:val="0"/>
        <w:autoSpaceDN w:val="0"/>
        <w:adjustRightInd w:val="0"/>
        <w:snapToGrid w:val="0"/>
        <w:spacing w:line="360" w:lineRule="auto"/>
        <w:ind w:firstLineChars="200" w:firstLine="480"/>
        <w:rPr>
          <w:color w:val="000000" w:themeColor="text1"/>
        </w:rPr>
      </w:pPr>
      <w:r w:rsidRPr="00B12FE0">
        <w:rPr>
          <w:rFonts w:hAnsi="宋体" w:hint="eastAsia"/>
          <w:color w:val="000000" w:themeColor="text1"/>
        </w:rPr>
        <w:t>本项目拟建</w:t>
      </w:r>
      <w:r w:rsidRPr="00B12FE0">
        <w:rPr>
          <w:rFonts w:hint="eastAsia"/>
          <w:color w:val="000000" w:themeColor="text1"/>
        </w:rPr>
        <w:t>放疗科</w:t>
      </w:r>
      <w:r w:rsidRPr="00B12FE0">
        <w:rPr>
          <w:color w:val="000000" w:themeColor="text1"/>
        </w:rPr>
        <w:t>位于</w:t>
      </w:r>
      <w:r w:rsidRPr="00B12FE0">
        <w:rPr>
          <w:rFonts w:hint="eastAsia"/>
          <w:bCs/>
          <w:color w:val="000000" w:themeColor="text1"/>
        </w:rPr>
        <w:t>肿瘤治疗中心综合楼一层北侧，本项目</w:t>
      </w:r>
      <w:r w:rsidRPr="00B12FE0">
        <w:rPr>
          <w:rFonts w:hint="eastAsia"/>
          <w:bCs/>
          <w:color w:val="000000" w:themeColor="text1"/>
        </w:rPr>
        <w:t>2</w:t>
      </w:r>
      <w:r w:rsidRPr="00B12FE0">
        <w:rPr>
          <w:rFonts w:hint="eastAsia"/>
          <w:bCs/>
          <w:color w:val="000000" w:themeColor="text1"/>
        </w:rPr>
        <w:t>间加速器机房东西并排布置，</w:t>
      </w:r>
      <w:r w:rsidRPr="00B12FE0">
        <w:rPr>
          <w:rFonts w:hint="eastAsia"/>
          <w:color w:val="000000" w:themeColor="text1"/>
        </w:rPr>
        <w:t>下方</w:t>
      </w:r>
      <w:r w:rsidRPr="00B12FE0">
        <w:rPr>
          <w:color w:val="000000" w:themeColor="text1"/>
        </w:rPr>
        <w:t>为土层</w:t>
      </w:r>
      <w:r w:rsidRPr="00B12FE0">
        <w:rPr>
          <w:rFonts w:hint="eastAsia"/>
          <w:bCs/>
          <w:color w:val="000000" w:themeColor="text1"/>
        </w:rPr>
        <w:t>，符合</w:t>
      </w:r>
      <w:r w:rsidRPr="00B12FE0">
        <w:rPr>
          <w:rFonts w:hint="eastAsia"/>
          <w:color w:val="000000" w:themeColor="text1"/>
        </w:rPr>
        <w:t>《放射治疗辐射安全与防护要求》（</w:t>
      </w:r>
      <w:r w:rsidRPr="00B12FE0">
        <w:rPr>
          <w:color w:val="000000" w:themeColor="text1"/>
        </w:rPr>
        <w:t>HJ1198-2021</w:t>
      </w:r>
      <w:r w:rsidRPr="00B12FE0">
        <w:rPr>
          <w:rFonts w:hint="eastAsia"/>
          <w:color w:val="000000" w:themeColor="text1"/>
        </w:rPr>
        <w:t>）</w:t>
      </w:r>
      <w:r w:rsidRPr="00B12FE0">
        <w:rPr>
          <w:bCs/>
          <w:color w:val="000000" w:themeColor="text1"/>
        </w:rPr>
        <w:t>中</w:t>
      </w:r>
      <w:r w:rsidRPr="00B12FE0">
        <w:rPr>
          <w:rFonts w:hint="eastAsia"/>
          <w:bCs/>
          <w:color w:val="000000" w:themeColor="text1"/>
        </w:rPr>
        <w:t>“放射治疗场所宜单独选址、集中建设，或设置在多层建筑物的底层的一端，尽量避开儿科病房、产房等特殊人群及人员密集区域，或人员流动性大的商业活动区域。”的选址要求。</w:t>
      </w:r>
    </w:p>
    <w:p w14:paraId="62EF1C48" w14:textId="77777777" w:rsidR="00A67F21" w:rsidRPr="00B12FE0" w:rsidRDefault="00000000">
      <w:pPr>
        <w:spacing w:line="360" w:lineRule="auto"/>
        <w:jc w:val="center"/>
        <w:rPr>
          <w:b/>
          <w:bCs/>
          <w:color w:val="000000" w:themeColor="text1"/>
          <w:sz w:val="21"/>
          <w:szCs w:val="16"/>
        </w:rPr>
      </w:pPr>
      <w:r w:rsidRPr="00B12FE0">
        <w:rPr>
          <w:b/>
          <w:bCs/>
          <w:color w:val="000000" w:themeColor="text1"/>
          <w:sz w:val="21"/>
          <w:szCs w:val="16"/>
        </w:rPr>
        <w:t>表</w:t>
      </w:r>
      <w:r w:rsidRPr="00B12FE0">
        <w:rPr>
          <w:b/>
          <w:bCs/>
          <w:color w:val="000000" w:themeColor="text1"/>
          <w:sz w:val="21"/>
          <w:szCs w:val="16"/>
        </w:rPr>
        <w:t>10.1.2</w:t>
      </w:r>
      <w:r w:rsidRPr="00B12FE0">
        <w:rPr>
          <w:rFonts w:hint="eastAsia"/>
          <w:b/>
          <w:bCs/>
          <w:color w:val="000000" w:themeColor="text1"/>
          <w:sz w:val="21"/>
          <w:szCs w:val="16"/>
        </w:rPr>
        <w:t>-</w:t>
      </w:r>
      <w:r w:rsidRPr="00B12FE0">
        <w:rPr>
          <w:b/>
          <w:bCs/>
          <w:color w:val="000000" w:themeColor="text1"/>
          <w:sz w:val="21"/>
          <w:szCs w:val="16"/>
        </w:rPr>
        <w:t xml:space="preserve">1  </w:t>
      </w:r>
      <w:r w:rsidRPr="00B12FE0">
        <w:rPr>
          <w:rFonts w:hint="eastAsia"/>
          <w:b/>
          <w:bCs/>
          <w:color w:val="000000" w:themeColor="text1"/>
          <w:sz w:val="21"/>
          <w:szCs w:val="16"/>
        </w:rPr>
        <w:t>本项目</w:t>
      </w:r>
      <w:r w:rsidRPr="00B12FE0">
        <w:rPr>
          <w:rFonts w:hint="eastAsia"/>
          <w:b/>
          <w:bCs/>
          <w:color w:val="000000" w:themeColor="text1"/>
          <w:sz w:val="21"/>
          <w:szCs w:val="16"/>
        </w:rPr>
        <w:t>2</w:t>
      </w:r>
      <w:r w:rsidRPr="00B12FE0">
        <w:rPr>
          <w:rFonts w:hint="eastAsia"/>
          <w:b/>
          <w:bCs/>
          <w:color w:val="000000" w:themeColor="text1"/>
          <w:sz w:val="21"/>
          <w:szCs w:val="16"/>
        </w:rPr>
        <w:t>间</w:t>
      </w:r>
      <w:r w:rsidRPr="00B12FE0">
        <w:rPr>
          <w:b/>
          <w:bCs/>
          <w:color w:val="000000" w:themeColor="text1"/>
          <w:sz w:val="21"/>
          <w:szCs w:val="16"/>
        </w:rPr>
        <w:t>加速器机房相邻环境状况</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182"/>
        <w:gridCol w:w="1687"/>
        <w:gridCol w:w="1288"/>
        <w:gridCol w:w="1186"/>
        <w:gridCol w:w="1723"/>
        <w:gridCol w:w="687"/>
      </w:tblGrid>
      <w:tr w:rsidR="00A67F21" w:rsidRPr="00B12FE0" w14:paraId="0E71F2BD" w14:textId="77777777">
        <w:trPr>
          <w:trHeight w:val="272"/>
          <w:jc w:val="center"/>
        </w:trPr>
        <w:tc>
          <w:tcPr>
            <w:tcW w:w="612" w:type="pct"/>
            <w:tcBorders>
              <w:top w:val="single" w:sz="4" w:space="0" w:color="auto"/>
              <w:left w:val="single" w:sz="4" w:space="0" w:color="auto"/>
              <w:bottom w:val="single" w:sz="4" w:space="0" w:color="auto"/>
              <w:right w:val="single" w:sz="4" w:space="0" w:color="auto"/>
            </w:tcBorders>
            <w:noWrap/>
            <w:vAlign w:val="center"/>
          </w:tcPr>
          <w:p w14:paraId="0A1CEDB5"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机房名称</w:t>
            </w:r>
          </w:p>
        </w:tc>
        <w:tc>
          <w:tcPr>
            <w:tcW w:w="669" w:type="pct"/>
            <w:tcBorders>
              <w:top w:val="single" w:sz="4" w:space="0" w:color="auto"/>
              <w:left w:val="single" w:sz="4" w:space="0" w:color="auto"/>
              <w:bottom w:val="single" w:sz="4" w:space="0" w:color="auto"/>
              <w:right w:val="single" w:sz="4" w:space="0" w:color="auto"/>
            </w:tcBorders>
            <w:noWrap/>
            <w:vAlign w:val="center"/>
          </w:tcPr>
          <w:p w14:paraId="12D7E112"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东侧</w:t>
            </w:r>
          </w:p>
        </w:tc>
        <w:tc>
          <w:tcPr>
            <w:tcW w:w="955" w:type="pct"/>
            <w:tcBorders>
              <w:top w:val="single" w:sz="4" w:space="0" w:color="auto"/>
              <w:left w:val="single" w:sz="4" w:space="0" w:color="auto"/>
              <w:bottom w:val="single" w:sz="4" w:space="0" w:color="auto"/>
              <w:right w:val="single" w:sz="4" w:space="0" w:color="auto"/>
            </w:tcBorders>
            <w:noWrap/>
            <w:vAlign w:val="center"/>
          </w:tcPr>
          <w:p w14:paraId="7EE2185F"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南侧</w:t>
            </w:r>
          </w:p>
        </w:tc>
        <w:tc>
          <w:tcPr>
            <w:tcW w:w="729" w:type="pct"/>
            <w:tcBorders>
              <w:top w:val="single" w:sz="4" w:space="0" w:color="auto"/>
              <w:left w:val="single" w:sz="4" w:space="0" w:color="auto"/>
              <w:bottom w:val="single" w:sz="4" w:space="0" w:color="auto"/>
              <w:right w:val="single" w:sz="4" w:space="0" w:color="auto"/>
            </w:tcBorders>
            <w:noWrap/>
            <w:vAlign w:val="center"/>
          </w:tcPr>
          <w:p w14:paraId="42CDF47D"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西侧</w:t>
            </w:r>
          </w:p>
        </w:tc>
        <w:tc>
          <w:tcPr>
            <w:tcW w:w="671" w:type="pct"/>
            <w:tcBorders>
              <w:top w:val="single" w:sz="4" w:space="0" w:color="auto"/>
              <w:left w:val="single" w:sz="4" w:space="0" w:color="auto"/>
              <w:bottom w:val="single" w:sz="4" w:space="0" w:color="auto"/>
              <w:right w:val="single" w:sz="4" w:space="0" w:color="auto"/>
            </w:tcBorders>
            <w:noWrap/>
            <w:vAlign w:val="center"/>
          </w:tcPr>
          <w:p w14:paraId="7229428A"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北侧</w:t>
            </w:r>
          </w:p>
        </w:tc>
        <w:tc>
          <w:tcPr>
            <w:tcW w:w="975" w:type="pct"/>
            <w:tcBorders>
              <w:top w:val="single" w:sz="4" w:space="0" w:color="auto"/>
              <w:left w:val="single" w:sz="4" w:space="0" w:color="auto"/>
              <w:bottom w:val="single" w:sz="4" w:space="0" w:color="auto"/>
              <w:right w:val="single" w:sz="4" w:space="0" w:color="auto"/>
            </w:tcBorders>
            <w:noWrap/>
            <w:vAlign w:val="center"/>
          </w:tcPr>
          <w:p w14:paraId="33EA8DE3"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上方</w:t>
            </w:r>
          </w:p>
        </w:tc>
        <w:tc>
          <w:tcPr>
            <w:tcW w:w="389" w:type="pct"/>
            <w:tcBorders>
              <w:top w:val="single" w:sz="4" w:space="0" w:color="auto"/>
              <w:left w:val="single" w:sz="4" w:space="0" w:color="auto"/>
              <w:bottom w:val="single" w:sz="4" w:space="0" w:color="auto"/>
              <w:right w:val="single" w:sz="4" w:space="0" w:color="auto"/>
            </w:tcBorders>
            <w:noWrap/>
            <w:vAlign w:val="center"/>
          </w:tcPr>
          <w:p w14:paraId="48520AB7"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下方</w:t>
            </w:r>
          </w:p>
        </w:tc>
      </w:tr>
      <w:tr w:rsidR="00A67F21" w:rsidRPr="00B12FE0" w14:paraId="0CA5D5E6" w14:textId="77777777">
        <w:trPr>
          <w:trHeight w:val="272"/>
          <w:jc w:val="center"/>
        </w:trPr>
        <w:tc>
          <w:tcPr>
            <w:tcW w:w="612" w:type="pct"/>
            <w:tcBorders>
              <w:top w:val="single" w:sz="4" w:space="0" w:color="auto"/>
              <w:left w:val="single" w:sz="4" w:space="0" w:color="auto"/>
              <w:bottom w:val="single" w:sz="4" w:space="0" w:color="auto"/>
              <w:right w:val="single" w:sz="4" w:space="0" w:color="auto"/>
            </w:tcBorders>
            <w:noWrap/>
            <w:vAlign w:val="center"/>
          </w:tcPr>
          <w:p w14:paraId="4479F17C"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2</w:t>
            </w:r>
            <w:r w:rsidRPr="00B12FE0">
              <w:rPr>
                <w:rFonts w:hint="eastAsia"/>
                <w:color w:val="000000" w:themeColor="text1"/>
                <w:sz w:val="21"/>
                <w:szCs w:val="16"/>
              </w:rPr>
              <w:t>间加速器机房</w:t>
            </w:r>
            <w:r w:rsidRPr="00B12FE0">
              <w:rPr>
                <w:rFonts w:hint="eastAsia"/>
                <w:color w:val="000000" w:themeColor="text1"/>
                <w:sz w:val="21"/>
                <w:szCs w:val="16"/>
                <w:vertAlign w:val="superscript"/>
              </w:rPr>
              <w:t>*</w:t>
            </w:r>
          </w:p>
        </w:tc>
        <w:tc>
          <w:tcPr>
            <w:tcW w:w="669" w:type="pct"/>
            <w:tcBorders>
              <w:top w:val="single" w:sz="4" w:space="0" w:color="auto"/>
              <w:left w:val="single" w:sz="4" w:space="0" w:color="auto"/>
              <w:bottom w:val="single" w:sz="4" w:space="0" w:color="auto"/>
              <w:right w:val="single" w:sz="4" w:space="0" w:color="auto"/>
            </w:tcBorders>
            <w:noWrap/>
            <w:vAlign w:val="center"/>
          </w:tcPr>
          <w:p w14:paraId="1531FE10"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后装机机房及配套用房</w:t>
            </w:r>
          </w:p>
        </w:tc>
        <w:tc>
          <w:tcPr>
            <w:tcW w:w="955" w:type="pct"/>
            <w:tcBorders>
              <w:top w:val="single" w:sz="4" w:space="0" w:color="auto"/>
              <w:left w:val="single" w:sz="4" w:space="0" w:color="auto"/>
              <w:bottom w:val="single" w:sz="4" w:space="0" w:color="auto"/>
              <w:right w:val="single" w:sz="4" w:space="0" w:color="auto"/>
            </w:tcBorders>
            <w:noWrap/>
            <w:vAlign w:val="center"/>
          </w:tcPr>
          <w:p w14:paraId="39EC6163"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配套控制室、辅助机房、</w:t>
            </w:r>
            <w:proofErr w:type="gramStart"/>
            <w:r w:rsidRPr="00B12FE0">
              <w:rPr>
                <w:rFonts w:hint="eastAsia"/>
                <w:color w:val="000000" w:themeColor="text1"/>
                <w:sz w:val="21"/>
                <w:szCs w:val="16"/>
              </w:rPr>
              <w:t>准备室</w:t>
            </w:r>
            <w:proofErr w:type="gramEnd"/>
          </w:p>
        </w:tc>
        <w:tc>
          <w:tcPr>
            <w:tcW w:w="729" w:type="pct"/>
            <w:tcBorders>
              <w:top w:val="single" w:sz="4" w:space="0" w:color="auto"/>
              <w:left w:val="single" w:sz="4" w:space="0" w:color="auto"/>
              <w:bottom w:val="single" w:sz="4" w:space="0" w:color="auto"/>
              <w:right w:val="single" w:sz="4" w:space="0" w:color="auto"/>
            </w:tcBorders>
            <w:noWrap/>
            <w:vAlign w:val="center"/>
          </w:tcPr>
          <w:p w14:paraId="3C60E7EF"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院内过道及绿化</w:t>
            </w:r>
          </w:p>
        </w:tc>
        <w:tc>
          <w:tcPr>
            <w:tcW w:w="671" w:type="pct"/>
            <w:tcBorders>
              <w:top w:val="single" w:sz="4" w:space="0" w:color="auto"/>
              <w:left w:val="single" w:sz="4" w:space="0" w:color="auto"/>
              <w:bottom w:val="single" w:sz="4" w:space="0" w:color="auto"/>
              <w:right w:val="single" w:sz="4" w:space="0" w:color="auto"/>
            </w:tcBorders>
            <w:noWrap/>
            <w:vAlign w:val="center"/>
          </w:tcPr>
          <w:p w14:paraId="6CAE94E9"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院内过道及绿化</w:t>
            </w:r>
          </w:p>
        </w:tc>
        <w:tc>
          <w:tcPr>
            <w:tcW w:w="975" w:type="pct"/>
            <w:tcBorders>
              <w:top w:val="single" w:sz="4" w:space="0" w:color="auto"/>
              <w:left w:val="single" w:sz="4" w:space="0" w:color="auto"/>
              <w:bottom w:val="single" w:sz="4" w:space="0" w:color="auto"/>
              <w:right w:val="single" w:sz="4" w:space="0" w:color="auto"/>
            </w:tcBorders>
            <w:noWrap/>
            <w:vAlign w:val="center"/>
          </w:tcPr>
          <w:p w14:paraId="0093ADBA"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不可上人屋顶</w:t>
            </w:r>
          </w:p>
        </w:tc>
        <w:tc>
          <w:tcPr>
            <w:tcW w:w="389" w:type="pct"/>
            <w:tcBorders>
              <w:top w:val="single" w:sz="4" w:space="0" w:color="auto"/>
              <w:left w:val="single" w:sz="4" w:space="0" w:color="auto"/>
              <w:bottom w:val="single" w:sz="4" w:space="0" w:color="auto"/>
              <w:right w:val="single" w:sz="4" w:space="0" w:color="auto"/>
            </w:tcBorders>
            <w:noWrap/>
            <w:vAlign w:val="center"/>
          </w:tcPr>
          <w:p w14:paraId="3C7C6E72"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土层</w:t>
            </w:r>
          </w:p>
        </w:tc>
      </w:tr>
      <w:tr w:rsidR="00A67F21" w:rsidRPr="00B12FE0" w14:paraId="422A8A89" w14:textId="77777777">
        <w:trPr>
          <w:trHeight w:val="272"/>
          <w:jc w:val="center"/>
        </w:trPr>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510B8643" w14:textId="77777777" w:rsidR="00A67F21" w:rsidRPr="00B12FE0" w:rsidRDefault="00000000">
            <w:pPr>
              <w:jc w:val="left"/>
              <w:rPr>
                <w:color w:val="000000" w:themeColor="text1"/>
                <w:sz w:val="21"/>
                <w:szCs w:val="16"/>
              </w:rPr>
            </w:pPr>
            <w:r w:rsidRPr="00B12FE0">
              <w:rPr>
                <w:rFonts w:hint="eastAsia"/>
                <w:color w:val="000000" w:themeColor="text1"/>
                <w:sz w:val="18"/>
                <w:szCs w:val="18"/>
              </w:rPr>
              <w:t>注：</w:t>
            </w:r>
            <w:r w:rsidRPr="00B12FE0">
              <w:rPr>
                <w:rFonts w:hint="eastAsia"/>
                <w:bCs/>
                <w:color w:val="000000" w:themeColor="text1"/>
                <w:sz w:val="18"/>
                <w:szCs w:val="18"/>
              </w:rPr>
              <w:t>2</w:t>
            </w:r>
            <w:r w:rsidRPr="00B12FE0">
              <w:rPr>
                <w:rFonts w:hint="eastAsia"/>
                <w:bCs/>
                <w:color w:val="000000" w:themeColor="text1"/>
                <w:sz w:val="18"/>
                <w:szCs w:val="18"/>
              </w:rPr>
              <w:t>间加速器机房东西并排布置，所以将</w:t>
            </w:r>
            <w:r w:rsidRPr="00B12FE0">
              <w:rPr>
                <w:rFonts w:hint="eastAsia"/>
                <w:bCs/>
                <w:color w:val="000000" w:themeColor="text1"/>
                <w:sz w:val="18"/>
                <w:szCs w:val="18"/>
              </w:rPr>
              <w:t>2</w:t>
            </w:r>
            <w:r w:rsidRPr="00B12FE0">
              <w:rPr>
                <w:rFonts w:hint="eastAsia"/>
                <w:bCs/>
                <w:color w:val="000000" w:themeColor="text1"/>
                <w:sz w:val="18"/>
                <w:szCs w:val="18"/>
              </w:rPr>
              <w:t>间加速器机房作为一个整体进行分析</w:t>
            </w:r>
            <w:r w:rsidRPr="00B12FE0">
              <w:rPr>
                <w:bCs/>
                <w:color w:val="000000" w:themeColor="text1"/>
                <w:sz w:val="18"/>
                <w:szCs w:val="18"/>
              </w:rPr>
              <w:t>相邻环境状况描述</w:t>
            </w:r>
            <w:r w:rsidRPr="00B12FE0">
              <w:rPr>
                <w:rFonts w:hint="eastAsia"/>
                <w:bCs/>
                <w:color w:val="000000" w:themeColor="text1"/>
                <w:sz w:val="18"/>
                <w:szCs w:val="18"/>
              </w:rPr>
              <w:t>。</w:t>
            </w:r>
          </w:p>
        </w:tc>
      </w:tr>
    </w:tbl>
    <w:p w14:paraId="75118D92" w14:textId="77777777" w:rsidR="00A67F21" w:rsidRPr="00B12FE0" w:rsidRDefault="00000000">
      <w:pPr>
        <w:adjustRightInd w:val="0"/>
        <w:snapToGrid w:val="0"/>
        <w:spacing w:beforeLines="50" w:before="120" w:line="360" w:lineRule="auto"/>
        <w:ind w:firstLineChars="200" w:firstLine="480"/>
        <w:rPr>
          <w:color w:val="000000" w:themeColor="text1"/>
        </w:rPr>
      </w:pPr>
      <w:r w:rsidRPr="00B12FE0">
        <w:rPr>
          <w:rFonts w:hint="eastAsia"/>
          <w:color w:val="000000" w:themeColor="text1"/>
        </w:rPr>
        <w:t>本项目</w:t>
      </w:r>
      <w:r w:rsidRPr="00B12FE0">
        <w:rPr>
          <w:rFonts w:hint="eastAsia"/>
          <w:color w:val="000000" w:themeColor="text1"/>
        </w:rPr>
        <w:t>2</w:t>
      </w:r>
      <w:r w:rsidRPr="00B12FE0">
        <w:rPr>
          <w:rFonts w:hint="eastAsia"/>
          <w:color w:val="000000" w:themeColor="text1"/>
        </w:rPr>
        <w:t>间加速器机房均设有控制室和辅助机房等附属用房；机房内均设有</w:t>
      </w:r>
      <w:r w:rsidRPr="00B12FE0">
        <w:rPr>
          <w:rFonts w:hint="eastAsia"/>
          <w:color w:val="000000" w:themeColor="text1"/>
        </w:rPr>
        <w:t>L</w:t>
      </w:r>
      <w:r w:rsidRPr="00B12FE0">
        <w:rPr>
          <w:rFonts w:hint="eastAsia"/>
          <w:color w:val="000000" w:themeColor="text1"/>
        </w:rPr>
        <w:t>型</w:t>
      </w:r>
      <w:r w:rsidRPr="00B12FE0">
        <w:rPr>
          <w:rFonts w:hint="eastAsia"/>
          <w:bCs/>
          <w:color w:val="000000" w:themeColor="text1"/>
        </w:rPr>
        <w:t>迷路</w:t>
      </w:r>
      <w:r w:rsidRPr="00B12FE0">
        <w:rPr>
          <w:rFonts w:hint="eastAsia"/>
          <w:color w:val="000000" w:themeColor="text1"/>
        </w:rPr>
        <w:t>，主射线不向</w:t>
      </w:r>
      <w:r w:rsidRPr="00B12FE0">
        <w:rPr>
          <w:rFonts w:hint="eastAsia"/>
          <w:bCs/>
          <w:color w:val="000000" w:themeColor="text1"/>
        </w:rPr>
        <w:t>迷路</w:t>
      </w:r>
      <w:r w:rsidRPr="00B12FE0">
        <w:rPr>
          <w:rFonts w:hint="eastAsia"/>
          <w:color w:val="000000" w:themeColor="text1"/>
        </w:rPr>
        <w:t>照射，且控制室均避开了主束方向，机房</w:t>
      </w:r>
      <w:r w:rsidRPr="00B12FE0">
        <w:rPr>
          <w:rFonts w:hint="eastAsia"/>
          <w:bCs/>
          <w:color w:val="000000" w:themeColor="text1"/>
        </w:rPr>
        <w:t>迷路</w:t>
      </w:r>
      <w:r w:rsidRPr="00B12FE0">
        <w:rPr>
          <w:rFonts w:hint="eastAsia"/>
          <w:color w:val="000000" w:themeColor="text1"/>
        </w:rPr>
        <w:t>口处均安装有防护门对射线进行屏蔽。</w:t>
      </w:r>
    </w:p>
    <w:p w14:paraId="3D711825" w14:textId="77777777" w:rsidR="00A67F21" w:rsidRPr="00B12FE0" w:rsidRDefault="00000000">
      <w:pPr>
        <w:overflowPunct w:val="0"/>
        <w:autoSpaceDN w:val="0"/>
        <w:adjustRightInd w:val="0"/>
        <w:snapToGrid w:val="0"/>
        <w:spacing w:line="360" w:lineRule="auto"/>
        <w:ind w:firstLineChars="200" w:firstLine="480"/>
        <w:rPr>
          <w:bCs/>
          <w:color w:val="000000" w:themeColor="text1"/>
        </w:rPr>
      </w:pPr>
      <w:r w:rsidRPr="00B12FE0">
        <w:rPr>
          <w:rFonts w:hint="eastAsia"/>
          <w:bCs/>
          <w:color w:val="000000" w:themeColor="text1"/>
        </w:rPr>
        <w:t>2</w:t>
      </w:r>
      <w:r w:rsidRPr="00B12FE0">
        <w:rPr>
          <w:rFonts w:hint="eastAsia"/>
          <w:bCs/>
          <w:color w:val="000000" w:themeColor="text1"/>
        </w:rPr>
        <w:t>间加速器机房布局均符合《放射治疗机房的辐射屏蔽规范第</w:t>
      </w:r>
      <w:r w:rsidRPr="00B12FE0">
        <w:rPr>
          <w:rFonts w:hint="eastAsia"/>
          <w:bCs/>
          <w:color w:val="000000" w:themeColor="text1"/>
        </w:rPr>
        <w:t>1</w:t>
      </w:r>
      <w:r w:rsidRPr="00B12FE0">
        <w:rPr>
          <w:rFonts w:hint="eastAsia"/>
          <w:bCs/>
          <w:color w:val="000000" w:themeColor="text1"/>
        </w:rPr>
        <w:t>部分：一般原则》</w:t>
      </w:r>
      <w:r w:rsidRPr="00B12FE0">
        <w:rPr>
          <w:rFonts w:hint="eastAsia"/>
          <w:bCs/>
          <w:color w:val="000000" w:themeColor="text1"/>
        </w:rPr>
        <w:t>(GBZ/T201.1-2007)</w:t>
      </w:r>
      <w:r w:rsidRPr="00B12FE0">
        <w:rPr>
          <w:rFonts w:hint="eastAsia"/>
          <w:bCs/>
          <w:color w:val="000000" w:themeColor="text1"/>
        </w:rPr>
        <w:t>中“治疗装置控制室应与治疗机房分离”的规定及《放射治疗放射防护要求》（</w:t>
      </w:r>
      <w:r w:rsidRPr="00B12FE0">
        <w:rPr>
          <w:rFonts w:hint="eastAsia"/>
          <w:bCs/>
          <w:color w:val="000000" w:themeColor="text1"/>
        </w:rPr>
        <w:t>GBZ121-2020</w:t>
      </w:r>
      <w:r w:rsidRPr="00B12FE0">
        <w:rPr>
          <w:rFonts w:hint="eastAsia"/>
          <w:bCs/>
          <w:color w:val="000000" w:themeColor="text1"/>
        </w:rPr>
        <w:t>）中“</w:t>
      </w:r>
      <w:r w:rsidRPr="00B12FE0">
        <w:rPr>
          <w:rFonts w:hint="eastAsia"/>
          <w:bCs/>
          <w:color w:val="000000" w:themeColor="text1"/>
        </w:rPr>
        <w:t>X</w:t>
      </w:r>
      <w:r w:rsidRPr="00B12FE0">
        <w:rPr>
          <w:rFonts w:hint="eastAsia"/>
          <w:bCs/>
          <w:color w:val="000000" w:themeColor="text1"/>
        </w:rPr>
        <w:t>射线管治疗设备的治疗机房、术中放射治疗手术室可不设迷路；</w:t>
      </w:r>
      <w:r w:rsidRPr="00B12FE0">
        <w:rPr>
          <w:bCs/>
          <w:color w:val="000000" w:themeColor="text1"/>
        </w:rPr>
        <w:t>γ</w:t>
      </w:r>
      <w:r w:rsidRPr="00B12FE0">
        <w:rPr>
          <w:rFonts w:hint="eastAsia"/>
          <w:bCs/>
          <w:color w:val="000000" w:themeColor="text1"/>
        </w:rPr>
        <w:t>刀治疗设备的治疗机房，根据场所空间和环境条件，确定是否选用迷路；其他治疗机房均应设置迷路”、“治疗设备辅助机械、电器、水冷设备，凡是可以与治疗设备分离的，尽可能设置于治疗机房外”等规定，布局基本合理。</w:t>
      </w:r>
    </w:p>
    <w:p w14:paraId="36B811E4" w14:textId="77777777" w:rsidR="00A67F21" w:rsidRPr="00B12FE0" w:rsidRDefault="00000000">
      <w:pPr>
        <w:wordWrap w:val="0"/>
        <w:overflowPunct w:val="0"/>
        <w:autoSpaceDN w:val="0"/>
        <w:adjustRightInd w:val="0"/>
        <w:snapToGrid w:val="0"/>
        <w:spacing w:line="360" w:lineRule="auto"/>
        <w:ind w:firstLineChars="200" w:firstLine="480"/>
        <w:rPr>
          <w:bCs/>
          <w:color w:val="000000" w:themeColor="text1"/>
        </w:rPr>
      </w:pPr>
      <w:r w:rsidRPr="00B12FE0">
        <w:rPr>
          <w:bCs/>
          <w:color w:val="000000" w:themeColor="text1"/>
        </w:rPr>
        <w:t>综上所述，本项目</w:t>
      </w:r>
      <w:r w:rsidRPr="00B12FE0">
        <w:rPr>
          <w:rFonts w:hint="eastAsia"/>
          <w:bCs/>
          <w:color w:val="000000" w:themeColor="text1"/>
        </w:rPr>
        <w:t>2</w:t>
      </w:r>
      <w:r w:rsidRPr="00B12FE0">
        <w:rPr>
          <w:rFonts w:hint="eastAsia"/>
          <w:bCs/>
          <w:color w:val="000000" w:themeColor="text1"/>
        </w:rPr>
        <w:t>间</w:t>
      </w:r>
      <w:r w:rsidRPr="00B12FE0">
        <w:rPr>
          <w:bCs/>
          <w:color w:val="000000" w:themeColor="text1"/>
        </w:rPr>
        <w:t>加速器机房工作场所</w:t>
      </w:r>
      <w:r w:rsidRPr="00B12FE0">
        <w:rPr>
          <w:rFonts w:hint="eastAsia"/>
          <w:bCs/>
          <w:color w:val="000000" w:themeColor="text1"/>
        </w:rPr>
        <w:t>选址和</w:t>
      </w:r>
      <w:r w:rsidRPr="00B12FE0">
        <w:rPr>
          <w:bCs/>
          <w:color w:val="000000" w:themeColor="text1"/>
        </w:rPr>
        <w:t>布局基本合理。</w:t>
      </w:r>
    </w:p>
    <w:p w14:paraId="4E93387C" w14:textId="77777777" w:rsidR="00A67F21" w:rsidRPr="00B12FE0" w:rsidRDefault="00000000">
      <w:pPr>
        <w:overflowPunct w:val="0"/>
        <w:autoSpaceDN w:val="0"/>
        <w:adjustRightInd w:val="0"/>
        <w:snapToGrid w:val="0"/>
        <w:spacing w:line="360" w:lineRule="auto"/>
        <w:ind w:firstLineChars="200" w:firstLine="482"/>
        <w:jc w:val="left"/>
        <w:rPr>
          <w:b/>
          <w:color w:val="000000" w:themeColor="text1"/>
        </w:rPr>
      </w:pPr>
      <w:r w:rsidRPr="00B12FE0">
        <w:rPr>
          <w:rFonts w:hint="eastAsia"/>
          <w:b/>
          <w:color w:val="000000" w:themeColor="text1"/>
        </w:rPr>
        <w:t>②</w:t>
      </w:r>
      <w:r w:rsidRPr="00B12FE0">
        <w:rPr>
          <w:b/>
          <w:color w:val="000000" w:themeColor="text1"/>
        </w:rPr>
        <w:t>工作场所分区情况</w:t>
      </w:r>
    </w:p>
    <w:p w14:paraId="00EAD307"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为了便于加强管理，切实做好辐射安全防护工作，按照《电离辐射防护与辐射源安全基本标准》（</w:t>
      </w:r>
      <w:r w:rsidRPr="00B12FE0">
        <w:rPr>
          <w:color w:val="000000" w:themeColor="text1"/>
        </w:rPr>
        <w:t>GB18871-2002</w:t>
      </w:r>
      <w:r w:rsidRPr="00B12FE0">
        <w:rPr>
          <w:color w:val="000000" w:themeColor="text1"/>
        </w:rPr>
        <w:t>）</w:t>
      </w:r>
      <w:r w:rsidRPr="00B12FE0">
        <w:rPr>
          <w:rFonts w:hint="eastAsia"/>
          <w:color w:val="000000" w:themeColor="text1"/>
        </w:rPr>
        <w:t>及《放射治疗辐射安全与防护要求》（</w:t>
      </w:r>
      <w:r w:rsidRPr="00B12FE0">
        <w:rPr>
          <w:rFonts w:hint="eastAsia"/>
          <w:color w:val="000000" w:themeColor="text1"/>
        </w:rPr>
        <w:t>H</w:t>
      </w:r>
      <w:r w:rsidRPr="00B12FE0">
        <w:rPr>
          <w:color w:val="000000" w:themeColor="text1"/>
        </w:rPr>
        <w:t>J1198-2021</w:t>
      </w:r>
      <w:r w:rsidRPr="00B12FE0">
        <w:rPr>
          <w:rFonts w:hint="eastAsia"/>
          <w:color w:val="000000" w:themeColor="text1"/>
        </w:rPr>
        <w:t>）</w:t>
      </w:r>
      <w:r w:rsidRPr="00B12FE0">
        <w:rPr>
          <w:color w:val="000000" w:themeColor="text1"/>
        </w:rPr>
        <w:t>的要求，在辐射工作场所内划出控制区和监督区，在项目运营期间采取分区管理措施。</w:t>
      </w:r>
    </w:p>
    <w:p w14:paraId="4BAE6F2F" w14:textId="77777777" w:rsidR="00A67F21" w:rsidRPr="00B12FE0" w:rsidRDefault="00000000">
      <w:pPr>
        <w:adjustRightInd w:val="0"/>
        <w:snapToGrid w:val="0"/>
        <w:spacing w:line="360" w:lineRule="auto"/>
        <w:ind w:firstLineChars="200" w:firstLine="480"/>
        <w:rPr>
          <w:bCs/>
          <w:color w:val="000000" w:themeColor="text1"/>
        </w:rPr>
      </w:pPr>
      <w:r w:rsidRPr="00B12FE0">
        <w:rPr>
          <w:color w:val="000000" w:themeColor="text1"/>
        </w:rPr>
        <w:t>医院拟以加速器机房屏蔽墙和防护门等屏蔽体为界，</w:t>
      </w:r>
      <w:r w:rsidRPr="00B12FE0">
        <w:rPr>
          <w:rFonts w:hint="eastAsia"/>
          <w:color w:val="000000" w:themeColor="text1"/>
        </w:rPr>
        <w:t>2</w:t>
      </w:r>
      <w:r w:rsidRPr="00B12FE0">
        <w:rPr>
          <w:rFonts w:hint="eastAsia"/>
          <w:color w:val="000000" w:themeColor="text1"/>
        </w:rPr>
        <w:t>间</w:t>
      </w:r>
      <w:r w:rsidRPr="00B12FE0">
        <w:rPr>
          <w:color w:val="000000" w:themeColor="text1"/>
        </w:rPr>
        <w:t>加速器机房</w:t>
      </w:r>
      <w:r w:rsidRPr="00B12FE0">
        <w:rPr>
          <w:rFonts w:hint="eastAsia"/>
          <w:color w:val="000000" w:themeColor="text1"/>
        </w:rPr>
        <w:t>的</w:t>
      </w:r>
      <w:r w:rsidRPr="00B12FE0">
        <w:rPr>
          <w:color w:val="000000" w:themeColor="text1"/>
        </w:rPr>
        <w:t>控制室</w:t>
      </w:r>
      <w:r w:rsidRPr="00B12FE0">
        <w:rPr>
          <w:rFonts w:hint="eastAsia"/>
          <w:color w:val="000000" w:themeColor="text1"/>
        </w:rPr>
        <w:t>、辅助机房、</w:t>
      </w:r>
      <w:proofErr w:type="gramStart"/>
      <w:r w:rsidRPr="00B12FE0">
        <w:rPr>
          <w:rFonts w:hint="eastAsia"/>
          <w:color w:val="000000" w:themeColor="text1"/>
        </w:rPr>
        <w:t>准备室</w:t>
      </w:r>
      <w:proofErr w:type="gramEnd"/>
      <w:r w:rsidRPr="00B12FE0">
        <w:rPr>
          <w:rFonts w:hint="eastAsia"/>
          <w:color w:val="000000" w:themeColor="text1"/>
        </w:rPr>
        <w:t>及与机房相邻区域</w:t>
      </w:r>
      <w:r w:rsidRPr="00B12FE0">
        <w:rPr>
          <w:color w:val="000000" w:themeColor="text1"/>
        </w:rPr>
        <w:t>划定为监督区。</w:t>
      </w:r>
      <w:r w:rsidRPr="00B12FE0">
        <w:rPr>
          <w:rFonts w:hint="eastAsia"/>
          <w:color w:val="000000" w:themeColor="text1"/>
        </w:rPr>
        <w:t>两区划</w:t>
      </w:r>
      <w:r w:rsidRPr="00B12FE0">
        <w:rPr>
          <w:rFonts w:hint="eastAsia"/>
          <w:bCs/>
          <w:color w:val="000000" w:themeColor="text1"/>
        </w:rPr>
        <w:t>分图见附图</w:t>
      </w:r>
      <w:r w:rsidRPr="00B12FE0">
        <w:rPr>
          <w:rFonts w:hint="eastAsia"/>
          <w:bCs/>
          <w:color w:val="000000" w:themeColor="text1"/>
        </w:rPr>
        <w:t>13</w:t>
      </w:r>
      <w:r w:rsidRPr="00B12FE0">
        <w:rPr>
          <w:rFonts w:hint="eastAsia"/>
          <w:bCs/>
          <w:color w:val="000000" w:themeColor="text1"/>
        </w:rPr>
        <w:t>。</w:t>
      </w:r>
    </w:p>
    <w:p w14:paraId="7DEC4E64" w14:textId="77777777" w:rsidR="00A67F21" w:rsidRPr="00B12FE0" w:rsidRDefault="00000000">
      <w:pPr>
        <w:spacing w:line="360" w:lineRule="auto"/>
        <w:ind w:firstLineChars="200" w:firstLine="482"/>
        <w:rPr>
          <w:b/>
          <w:color w:val="000000" w:themeColor="text1"/>
        </w:rPr>
      </w:pPr>
      <w:r w:rsidRPr="00B12FE0">
        <w:rPr>
          <w:b/>
          <w:color w:val="000000" w:themeColor="text1"/>
        </w:rPr>
        <w:t>（</w:t>
      </w:r>
      <w:r w:rsidRPr="00B12FE0">
        <w:rPr>
          <w:b/>
          <w:color w:val="000000" w:themeColor="text1"/>
        </w:rPr>
        <w:t>2</w:t>
      </w:r>
      <w:r w:rsidRPr="00B12FE0">
        <w:rPr>
          <w:b/>
          <w:color w:val="000000" w:themeColor="text1"/>
        </w:rPr>
        <w:t>）辐射防护屏蔽设计</w:t>
      </w:r>
    </w:p>
    <w:p w14:paraId="6D884258" w14:textId="77777777" w:rsidR="00A67F21" w:rsidRPr="00B12FE0" w:rsidRDefault="00000000">
      <w:pPr>
        <w:snapToGrid w:val="0"/>
        <w:spacing w:line="360" w:lineRule="auto"/>
        <w:ind w:firstLineChars="200" w:firstLine="480"/>
        <w:rPr>
          <w:color w:val="000000" w:themeColor="text1"/>
        </w:rPr>
      </w:pPr>
      <w:r w:rsidRPr="00B12FE0">
        <w:rPr>
          <w:rFonts w:hint="eastAsia"/>
          <w:color w:val="000000" w:themeColor="text1"/>
        </w:rPr>
        <w:lastRenderedPageBreak/>
        <w:t>根据院方提供的资料，本项目</w:t>
      </w:r>
      <w:r w:rsidRPr="00B12FE0">
        <w:rPr>
          <w:rFonts w:hint="eastAsia"/>
          <w:color w:val="000000" w:themeColor="text1"/>
        </w:rPr>
        <w:t>2</w:t>
      </w:r>
      <w:r w:rsidRPr="00B12FE0">
        <w:rPr>
          <w:rFonts w:hint="eastAsia"/>
          <w:color w:val="000000" w:themeColor="text1"/>
        </w:rPr>
        <w:t>间加速器机房四侧墙体、</w:t>
      </w:r>
      <w:proofErr w:type="gramStart"/>
      <w:r w:rsidRPr="00B12FE0">
        <w:rPr>
          <w:rFonts w:hint="eastAsia"/>
          <w:color w:val="000000" w:themeColor="text1"/>
        </w:rPr>
        <w:t>顶棚均拟采用</w:t>
      </w:r>
      <w:proofErr w:type="gramEnd"/>
      <w:r w:rsidRPr="00B12FE0">
        <w:rPr>
          <w:rFonts w:hint="eastAsia"/>
          <w:color w:val="000000" w:themeColor="text1"/>
        </w:rPr>
        <w:t>标准混凝土（</w:t>
      </w:r>
      <w:r w:rsidRPr="00B12FE0">
        <w:rPr>
          <w:color w:val="000000" w:themeColor="text1"/>
        </w:rPr>
        <w:t>ρ=2.35g/cm</w:t>
      </w:r>
      <w:r w:rsidRPr="00B12FE0">
        <w:rPr>
          <w:color w:val="000000" w:themeColor="text1"/>
          <w:vertAlign w:val="superscript"/>
        </w:rPr>
        <w:t>3</w:t>
      </w:r>
      <w:r w:rsidRPr="00B12FE0">
        <w:rPr>
          <w:rFonts w:hint="eastAsia"/>
          <w:color w:val="000000" w:themeColor="text1"/>
        </w:rPr>
        <w:t>）浇筑而成，</w:t>
      </w:r>
      <w:proofErr w:type="gramStart"/>
      <w:r w:rsidRPr="00B12FE0">
        <w:rPr>
          <w:rFonts w:hint="eastAsia"/>
          <w:color w:val="000000" w:themeColor="text1"/>
        </w:rPr>
        <w:t>防护门均拟采用</w:t>
      </w:r>
      <w:proofErr w:type="gramEnd"/>
      <w:r w:rsidRPr="00B12FE0">
        <w:rPr>
          <w:rFonts w:hint="eastAsia"/>
          <w:color w:val="000000" w:themeColor="text1"/>
        </w:rPr>
        <w:t>铅板</w:t>
      </w:r>
      <w:r w:rsidRPr="00B12FE0">
        <w:rPr>
          <w:color w:val="000000" w:themeColor="text1"/>
        </w:rPr>
        <w:t>+</w:t>
      </w:r>
      <w:r w:rsidRPr="00B12FE0">
        <w:rPr>
          <w:rFonts w:hint="eastAsia"/>
          <w:color w:val="000000" w:themeColor="text1"/>
        </w:rPr>
        <w:t>含硼聚乙烯。</w:t>
      </w:r>
    </w:p>
    <w:p w14:paraId="1F661917" w14:textId="77777777" w:rsidR="00A67F21" w:rsidRPr="00B12FE0" w:rsidRDefault="00000000">
      <w:pPr>
        <w:snapToGrid w:val="0"/>
        <w:spacing w:line="360" w:lineRule="auto"/>
        <w:ind w:firstLineChars="200" w:firstLine="480"/>
        <w:rPr>
          <w:color w:val="000000" w:themeColor="text1"/>
          <w:szCs w:val="24"/>
        </w:rPr>
      </w:pPr>
      <w:r w:rsidRPr="00B12FE0">
        <w:rPr>
          <w:rFonts w:hint="eastAsia"/>
          <w:color w:val="000000" w:themeColor="text1"/>
        </w:rPr>
        <w:t>根据《放射治疗辐射安全与防护要求》（</w:t>
      </w:r>
      <w:r w:rsidRPr="00B12FE0">
        <w:rPr>
          <w:rFonts w:hint="eastAsia"/>
          <w:color w:val="000000" w:themeColor="text1"/>
        </w:rPr>
        <w:t>H</w:t>
      </w:r>
      <w:r w:rsidRPr="00B12FE0">
        <w:rPr>
          <w:color w:val="000000" w:themeColor="text1"/>
        </w:rPr>
        <w:t>J1198-2021</w:t>
      </w:r>
      <w:r w:rsidRPr="00B12FE0">
        <w:rPr>
          <w:rFonts w:hint="eastAsia"/>
          <w:color w:val="000000" w:themeColor="text1"/>
        </w:rPr>
        <w:t>）中</w:t>
      </w:r>
      <w:r w:rsidRPr="00B12FE0">
        <w:rPr>
          <w:rFonts w:hint="eastAsia"/>
          <w:color w:val="000000" w:themeColor="text1"/>
        </w:rPr>
        <w:t>6</w:t>
      </w:r>
      <w:r w:rsidRPr="00B12FE0">
        <w:rPr>
          <w:color w:val="000000" w:themeColor="text1"/>
        </w:rPr>
        <w:t>.1.2</w:t>
      </w:r>
      <w:r w:rsidRPr="00B12FE0">
        <w:rPr>
          <w:rFonts w:hint="eastAsia"/>
          <w:color w:val="000000" w:themeColor="text1"/>
        </w:rPr>
        <w:t>，“使用中子源放射治疗设备、质子</w:t>
      </w:r>
      <w:r w:rsidRPr="00B12FE0">
        <w:rPr>
          <w:rFonts w:hint="eastAsia"/>
          <w:color w:val="000000" w:themeColor="text1"/>
        </w:rPr>
        <w:t>/</w:t>
      </w:r>
      <w:r w:rsidRPr="00B12FE0">
        <w:rPr>
          <w:rFonts w:hint="eastAsia"/>
          <w:color w:val="000000" w:themeColor="text1"/>
        </w:rPr>
        <w:t>重离子加速器或大于</w:t>
      </w:r>
      <w:r w:rsidRPr="00B12FE0">
        <w:rPr>
          <w:rFonts w:hint="eastAsia"/>
          <w:color w:val="000000" w:themeColor="text1"/>
        </w:rPr>
        <w:t>1</w:t>
      </w:r>
      <w:r w:rsidRPr="00B12FE0">
        <w:rPr>
          <w:color w:val="000000" w:themeColor="text1"/>
        </w:rPr>
        <w:t>0MV</w:t>
      </w:r>
      <w:r w:rsidRPr="00B12FE0">
        <w:rPr>
          <w:rFonts w:hint="eastAsia"/>
          <w:color w:val="000000" w:themeColor="text1"/>
        </w:rPr>
        <w:t>的</w:t>
      </w:r>
      <w:r w:rsidRPr="00B12FE0">
        <w:rPr>
          <w:rFonts w:hint="eastAsia"/>
          <w:color w:val="000000" w:themeColor="text1"/>
        </w:rPr>
        <w:t>X</w:t>
      </w:r>
      <w:r w:rsidRPr="00B12FE0">
        <w:rPr>
          <w:rFonts w:hint="eastAsia"/>
          <w:color w:val="000000" w:themeColor="text1"/>
        </w:rPr>
        <w:t>射线放射治疗设备，需考虑中子屏蔽”。本项目拟</w:t>
      </w:r>
      <w:r w:rsidRPr="00B12FE0">
        <w:rPr>
          <w:color w:val="000000" w:themeColor="text1"/>
          <w:szCs w:val="24"/>
        </w:rPr>
        <w:t>购买的直线加速器的</w:t>
      </w:r>
      <w:r w:rsidRPr="00B12FE0">
        <w:rPr>
          <w:color w:val="000000" w:themeColor="text1"/>
          <w:szCs w:val="24"/>
        </w:rPr>
        <w:t>X</w:t>
      </w:r>
      <w:r w:rsidRPr="00B12FE0">
        <w:rPr>
          <w:color w:val="000000" w:themeColor="text1"/>
          <w:szCs w:val="24"/>
        </w:rPr>
        <w:t>射线能量最大为</w:t>
      </w:r>
      <w:r w:rsidRPr="00B12FE0">
        <w:rPr>
          <w:color w:val="000000" w:themeColor="text1"/>
          <w:szCs w:val="24"/>
        </w:rPr>
        <w:t>15MV</w:t>
      </w:r>
      <w:r w:rsidRPr="00B12FE0">
        <w:rPr>
          <w:color w:val="000000" w:themeColor="text1"/>
          <w:szCs w:val="24"/>
        </w:rPr>
        <w:t>，机房的铅防护门内附加含硼聚乙烯，即屏蔽设计已考虑到中子辐射防护。</w:t>
      </w:r>
    </w:p>
    <w:p w14:paraId="2ADD4938" w14:textId="77777777" w:rsidR="00A67F21" w:rsidRPr="00B12FE0" w:rsidRDefault="00000000">
      <w:pPr>
        <w:spacing w:line="360" w:lineRule="auto"/>
        <w:ind w:firstLineChars="200" w:firstLine="480"/>
        <w:rPr>
          <w:bCs/>
          <w:color w:val="000000" w:themeColor="text1"/>
          <w:szCs w:val="24"/>
        </w:rPr>
      </w:pPr>
      <w:r w:rsidRPr="00B12FE0">
        <w:rPr>
          <w:color w:val="000000" w:themeColor="text1"/>
          <w:szCs w:val="24"/>
        </w:rPr>
        <w:t>本项目</w:t>
      </w:r>
      <w:r w:rsidRPr="00B12FE0">
        <w:rPr>
          <w:color w:val="000000" w:themeColor="text1"/>
          <w:szCs w:val="24"/>
        </w:rPr>
        <w:t>2</w:t>
      </w:r>
      <w:r w:rsidRPr="00B12FE0">
        <w:rPr>
          <w:color w:val="000000" w:themeColor="text1"/>
          <w:szCs w:val="24"/>
        </w:rPr>
        <w:t>间加速器机房</w:t>
      </w:r>
      <w:r w:rsidRPr="00B12FE0">
        <w:rPr>
          <w:rFonts w:hint="eastAsia"/>
          <w:color w:val="000000" w:themeColor="text1"/>
          <w:szCs w:val="24"/>
        </w:rPr>
        <w:t>为对称布置，</w:t>
      </w:r>
      <w:r w:rsidRPr="00B12FE0">
        <w:rPr>
          <w:color w:val="000000" w:themeColor="text1"/>
          <w:szCs w:val="24"/>
        </w:rPr>
        <w:t>辐射屏蔽设计技术参数</w:t>
      </w:r>
      <w:r w:rsidRPr="00B12FE0">
        <w:rPr>
          <w:rFonts w:hint="eastAsia"/>
          <w:color w:val="000000" w:themeColor="text1"/>
          <w:szCs w:val="24"/>
        </w:rPr>
        <w:t>相同，因此</w:t>
      </w:r>
      <w:r w:rsidRPr="00B12FE0">
        <w:rPr>
          <w:color w:val="000000" w:themeColor="text1"/>
          <w:szCs w:val="24"/>
        </w:rPr>
        <w:t>表</w:t>
      </w:r>
      <w:r w:rsidRPr="00B12FE0">
        <w:rPr>
          <w:color w:val="000000" w:themeColor="text1"/>
          <w:szCs w:val="24"/>
        </w:rPr>
        <w:t>10.1.2-2</w:t>
      </w:r>
      <w:r w:rsidRPr="00B12FE0">
        <w:rPr>
          <w:rFonts w:hint="eastAsia"/>
          <w:color w:val="000000" w:themeColor="text1"/>
          <w:szCs w:val="24"/>
        </w:rPr>
        <w:t>选择</w:t>
      </w:r>
      <w:r w:rsidRPr="00B12FE0">
        <w:rPr>
          <w:color w:val="000000" w:themeColor="text1"/>
          <w:szCs w:val="24"/>
        </w:rPr>
        <w:t>加速器机房</w:t>
      </w:r>
      <w:r w:rsidRPr="00B12FE0">
        <w:rPr>
          <w:rFonts w:hint="eastAsia"/>
          <w:color w:val="000000" w:themeColor="text1"/>
          <w:szCs w:val="24"/>
        </w:rPr>
        <w:t>1</w:t>
      </w:r>
      <w:r w:rsidRPr="00B12FE0">
        <w:rPr>
          <w:rFonts w:hint="eastAsia"/>
          <w:color w:val="000000" w:themeColor="text1"/>
          <w:szCs w:val="24"/>
        </w:rPr>
        <w:t>列出</w:t>
      </w:r>
      <w:r w:rsidRPr="00B12FE0">
        <w:rPr>
          <w:color w:val="000000" w:themeColor="text1"/>
          <w:szCs w:val="24"/>
        </w:rPr>
        <w:t>辐射防护屏蔽设计参数</w:t>
      </w:r>
      <w:r w:rsidRPr="00B12FE0">
        <w:rPr>
          <w:rFonts w:hint="eastAsia"/>
          <w:color w:val="000000" w:themeColor="text1"/>
          <w:szCs w:val="24"/>
        </w:rPr>
        <w:t>，</w:t>
      </w:r>
      <w:r w:rsidRPr="00B12FE0">
        <w:rPr>
          <w:bCs/>
          <w:color w:val="000000" w:themeColor="text1"/>
          <w:szCs w:val="24"/>
        </w:rPr>
        <w:t>加速器机房平面图和剖面图见</w:t>
      </w:r>
      <w:r w:rsidRPr="00B12FE0">
        <w:rPr>
          <w:rFonts w:hint="eastAsia"/>
          <w:bCs/>
          <w:color w:val="000000" w:themeColor="text1"/>
          <w:szCs w:val="24"/>
        </w:rPr>
        <w:t>下图</w:t>
      </w:r>
      <w:r w:rsidRPr="00B12FE0">
        <w:rPr>
          <w:bCs/>
          <w:color w:val="000000" w:themeColor="text1"/>
          <w:szCs w:val="24"/>
        </w:rPr>
        <w:t>。</w:t>
      </w:r>
    </w:p>
    <w:p w14:paraId="064EB639" w14:textId="77777777" w:rsidR="00A67F21" w:rsidRPr="00B12FE0" w:rsidRDefault="00000000">
      <w:pPr>
        <w:jc w:val="center"/>
        <w:rPr>
          <w:b/>
          <w:bCs/>
          <w:color w:val="000000" w:themeColor="text1"/>
          <w:sz w:val="21"/>
          <w:szCs w:val="21"/>
        </w:rPr>
      </w:pPr>
      <w:r w:rsidRPr="00B12FE0">
        <w:rPr>
          <w:b/>
          <w:bCs/>
          <w:color w:val="000000" w:themeColor="text1"/>
          <w:sz w:val="21"/>
          <w:szCs w:val="21"/>
        </w:rPr>
        <w:t>表</w:t>
      </w:r>
      <w:r w:rsidRPr="00B12FE0">
        <w:rPr>
          <w:b/>
          <w:bCs/>
          <w:color w:val="000000" w:themeColor="text1"/>
          <w:sz w:val="21"/>
          <w:szCs w:val="21"/>
        </w:rPr>
        <w:t xml:space="preserve">10.1.2-2  </w:t>
      </w:r>
      <w:r w:rsidRPr="00B12FE0">
        <w:rPr>
          <w:rFonts w:hint="eastAsia"/>
          <w:b/>
          <w:bCs/>
          <w:color w:val="000000" w:themeColor="text1"/>
          <w:sz w:val="21"/>
          <w:szCs w:val="21"/>
        </w:rPr>
        <w:t>本项目</w:t>
      </w:r>
      <w:r w:rsidRPr="00B12FE0">
        <w:rPr>
          <w:b/>
          <w:bCs/>
          <w:color w:val="000000" w:themeColor="text1"/>
          <w:sz w:val="21"/>
          <w:szCs w:val="21"/>
        </w:rPr>
        <w:t>加速器机房</w:t>
      </w:r>
      <w:r w:rsidRPr="00B12FE0">
        <w:rPr>
          <w:rFonts w:hint="eastAsia"/>
          <w:b/>
          <w:bCs/>
          <w:color w:val="000000" w:themeColor="text1"/>
          <w:sz w:val="21"/>
          <w:szCs w:val="21"/>
        </w:rPr>
        <w:t>1</w:t>
      </w:r>
      <w:r w:rsidRPr="00B12FE0">
        <w:rPr>
          <w:b/>
          <w:bCs/>
          <w:color w:val="000000" w:themeColor="text1"/>
          <w:sz w:val="21"/>
          <w:szCs w:val="21"/>
        </w:rPr>
        <w:t>辐射屏蔽设计技术参数</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736"/>
        <w:gridCol w:w="1279"/>
        <w:gridCol w:w="1730"/>
        <w:gridCol w:w="2610"/>
        <w:gridCol w:w="1797"/>
      </w:tblGrid>
      <w:tr w:rsidR="00A67F21" w:rsidRPr="00B12FE0" w14:paraId="7673B953" w14:textId="77777777">
        <w:trPr>
          <w:trHeight w:val="340"/>
          <w:jc w:val="center"/>
        </w:trPr>
        <w:tc>
          <w:tcPr>
            <w:tcW w:w="863" w:type="dxa"/>
            <w:tcBorders>
              <w:top w:val="single" w:sz="4" w:space="0" w:color="auto"/>
              <w:left w:val="single" w:sz="4" w:space="0" w:color="auto"/>
              <w:bottom w:val="single" w:sz="4" w:space="0" w:color="auto"/>
              <w:right w:val="single" w:sz="4" w:space="0" w:color="auto"/>
            </w:tcBorders>
            <w:noWrap/>
            <w:vAlign w:val="center"/>
          </w:tcPr>
          <w:p w14:paraId="14B16A1F"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机房</w:t>
            </w:r>
          </w:p>
          <w:p w14:paraId="7540F0B0"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名称</w:t>
            </w:r>
          </w:p>
        </w:tc>
        <w:tc>
          <w:tcPr>
            <w:tcW w:w="736" w:type="dxa"/>
            <w:tcBorders>
              <w:top w:val="single" w:sz="4" w:space="0" w:color="auto"/>
              <w:left w:val="single" w:sz="4" w:space="0" w:color="auto"/>
              <w:bottom w:val="single" w:sz="4" w:space="0" w:color="auto"/>
              <w:right w:val="single" w:sz="4" w:space="0" w:color="auto"/>
            </w:tcBorders>
            <w:noWrap/>
            <w:vAlign w:val="center"/>
          </w:tcPr>
          <w:p w14:paraId="575E9070"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方位</w:t>
            </w:r>
          </w:p>
        </w:tc>
        <w:tc>
          <w:tcPr>
            <w:tcW w:w="1279" w:type="dxa"/>
            <w:tcBorders>
              <w:top w:val="single" w:sz="4" w:space="0" w:color="auto"/>
              <w:left w:val="single" w:sz="4" w:space="0" w:color="auto"/>
              <w:bottom w:val="single" w:sz="4" w:space="0" w:color="auto"/>
              <w:right w:val="single" w:sz="4" w:space="0" w:color="auto"/>
            </w:tcBorders>
            <w:noWrap/>
            <w:vAlign w:val="center"/>
          </w:tcPr>
          <w:p w14:paraId="61D8064E"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区域</w:t>
            </w:r>
          </w:p>
        </w:tc>
        <w:tc>
          <w:tcPr>
            <w:tcW w:w="1730" w:type="dxa"/>
            <w:tcBorders>
              <w:top w:val="single" w:sz="4" w:space="0" w:color="auto"/>
              <w:left w:val="single" w:sz="4" w:space="0" w:color="auto"/>
              <w:bottom w:val="single" w:sz="4" w:space="0" w:color="auto"/>
              <w:right w:val="single" w:sz="4" w:space="0" w:color="auto"/>
            </w:tcBorders>
            <w:noWrap/>
            <w:vAlign w:val="center"/>
          </w:tcPr>
          <w:p w14:paraId="3776D493"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照射线束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64C5D701"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材料及厚度</w:t>
            </w:r>
          </w:p>
        </w:tc>
        <w:tc>
          <w:tcPr>
            <w:tcW w:w="1797" w:type="dxa"/>
            <w:tcBorders>
              <w:top w:val="single" w:sz="4" w:space="0" w:color="auto"/>
              <w:left w:val="single" w:sz="4" w:space="0" w:color="auto"/>
              <w:bottom w:val="single" w:sz="4" w:space="0" w:color="auto"/>
              <w:right w:val="single" w:sz="4" w:space="0" w:color="auto"/>
            </w:tcBorders>
            <w:noWrap/>
            <w:vAlign w:val="center"/>
          </w:tcPr>
          <w:p w14:paraId="14D625C5"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宽度</w:t>
            </w:r>
          </w:p>
        </w:tc>
      </w:tr>
      <w:tr w:rsidR="00A67F21" w:rsidRPr="00B12FE0" w14:paraId="6CB0D76F" w14:textId="77777777">
        <w:trPr>
          <w:trHeight w:val="340"/>
          <w:jc w:val="center"/>
        </w:trPr>
        <w:tc>
          <w:tcPr>
            <w:tcW w:w="863" w:type="dxa"/>
            <w:vMerge w:val="restart"/>
            <w:tcBorders>
              <w:top w:val="single" w:sz="4" w:space="0" w:color="auto"/>
              <w:left w:val="single" w:sz="4" w:space="0" w:color="auto"/>
              <w:right w:val="single" w:sz="4" w:space="0" w:color="auto"/>
            </w:tcBorders>
            <w:noWrap/>
            <w:vAlign w:val="center"/>
          </w:tcPr>
          <w:p w14:paraId="50999F49"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加速器机房</w:t>
            </w:r>
            <w:r w:rsidRPr="00B12FE0">
              <w:rPr>
                <w:rFonts w:hint="eastAsia"/>
                <w:bCs/>
                <w:color w:val="000000" w:themeColor="text1"/>
                <w:sz w:val="21"/>
                <w:szCs w:val="21"/>
              </w:rPr>
              <w:t>1</w:t>
            </w:r>
          </w:p>
        </w:tc>
        <w:tc>
          <w:tcPr>
            <w:tcW w:w="736" w:type="dxa"/>
            <w:vMerge w:val="restart"/>
            <w:tcBorders>
              <w:top w:val="single" w:sz="4" w:space="0" w:color="auto"/>
              <w:left w:val="single" w:sz="4" w:space="0" w:color="auto"/>
              <w:right w:val="single" w:sz="4" w:space="0" w:color="auto"/>
            </w:tcBorders>
            <w:noWrap/>
            <w:vAlign w:val="center"/>
          </w:tcPr>
          <w:p w14:paraId="3080905B"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东墙</w:t>
            </w:r>
          </w:p>
        </w:tc>
        <w:tc>
          <w:tcPr>
            <w:tcW w:w="1279" w:type="dxa"/>
            <w:tcBorders>
              <w:top w:val="single" w:sz="4" w:space="0" w:color="auto"/>
              <w:left w:val="single" w:sz="4" w:space="0" w:color="auto"/>
              <w:bottom w:val="single" w:sz="4" w:space="0" w:color="auto"/>
              <w:right w:val="single" w:sz="4" w:space="0" w:color="auto"/>
            </w:tcBorders>
            <w:noWrap/>
            <w:vAlign w:val="center"/>
          </w:tcPr>
          <w:p w14:paraId="4F2ECEEC"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主</w:t>
            </w:r>
            <w:proofErr w:type="gramStart"/>
            <w:r w:rsidRPr="00B12FE0">
              <w:rPr>
                <w:bCs/>
                <w:color w:val="000000" w:themeColor="text1"/>
                <w:sz w:val="21"/>
                <w:szCs w:val="21"/>
              </w:rPr>
              <w:t>屏蔽区</w:t>
            </w:r>
            <w:proofErr w:type="gramEnd"/>
          </w:p>
        </w:tc>
        <w:tc>
          <w:tcPr>
            <w:tcW w:w="1730" w:type="dxa"/>
            <w:tcBorders>
              <w:top w:val="single" w:sz="4" w:space="0" w:color="auto"/>
              <w:left w:val="single" w:sz="4" w:space="0" w:color="auto"/>
              <w:bottom w:val="single" w:sz="4" w:space="0" w:color="auto"/>
              <w:right w:val="single" w:sz="4" w:space="0" w:color="auto"/>
            </w:tcBorders>
            <w:noWrap/>
            <w:vAlign w:val="center"/>
          </w:tcPr>
          <w:p w14:paraId="51C501BC"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0DE06683"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30</w:t>
            </w:r>
            <w:r w:rsidRPr="00B12FE0">
              <w:rPr>
                <w:bCs/>
                <w:color w:val="000000" w:themeColor="text1"/>
                <w:sz w:val="21"/>
                <w:szCs w:val="21"/>
              </w:rPr>
              <w:t>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74C96190"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5400mm</w:t>
            </w:r>
          </w:p>
        </w:tc>
      </w:tr>
      <w:tr w:rsidR="00A67F21" w:rsidRPr="00B12FE0" w14:paraId="237F3960" w14:textId="77777777">
        <w:trPr>
          <w:trHeight w:val="340"/>
          <w:jc w:val="center"/>
        </w:trPr>
        <w:tc>
          <w:tcPr>
            <w:tcW w:w="863" w:type="dxa"/>
            <w:vMerge/>
            <w:tcBorders>
              <w:left w:val="single" w:sz="4" w:space="0" w:color="auto"/>
              <w:right w:val="single" w:sz="4" w:space="0" w:color="auto"/>
            </w:tcBorders>
            <w:noWrap/>
            <w:vAlign w:val="center"/>
          </w:tcPr>
          <w:p w14:paraId="57459C8F" w14:textId="77777777" w:rsidR="00A67F21" w:rsidRPr="00B12FE0" w:rsidRDefault="00A67F21">
            <w:pPr>
              <w:adjustRightInd w:val="0"/>
              <w:snapToGrid w:val="0"/>
              <w:jc w:val="center"/>
              <w:rPr>
                <w:bCs/>
                <w:color w:val="000000" w:themeColor="text1"/>
                <w:sz w:val="21"/>
                <w:szCs w:val="21"/>
              </w:rPr>
            </w:pPr>
          </w:p>
        </w:tc>
        <w:tc>
          <w:tcPr>
            <w:tcW w:w="736" w:type="dxa"/>
            <w:vMerge/>
            <w:tcBorders>
              <w:left w:val="single" w:sz="4" w:space="0" w:color="auto"/>
              <w:bottom w:val="single" w:sz="4" w:space="0" w:color="auto"/>
              <w:right w:val="single" w:sz="4" w:space="0" w:color="auto"/>
            </w:tcBorders>
            <w:noWrap/>
            <w:vAlign w:val="center"/>
          </w:tcPr>
          <w:p w14:paraId="2493EEB2" w14:textId="77777777" w:rsidR="00A67F21" w:rsidRPr="00B12FE0" w:rsidRDefault="00A67F21">
            <w:pPr>
              <w:adjustRightInd w:val="0"/>
              <w:snapToGrid w:val="0"/>
              <w:jc w:val="center"/>
              <w:rPr>
                <w:bCs/>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noWrap/>
            <w:vAlign w:val="center"/>
          </w:tcPr>
          <w:p w14:paraId="5A38E6D9"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次</w:t>
            </w:r>
            <w:proofErr w:type="gramStart"/>
            <w:r w:rsidRPr="00B12FE0">
              <w:rPr>
                <w:bCs/>
                <w:color w:val="000000" w:themeColor="text1"/>
                <w:sz w:val="21"/>
                <w:szCs w:val="21"/>
              </w:rPr>
              <w:t>屏蔽区</w:t>
            </w:r>
            <w:proofErr w:type="gramEnd"/>
          </w:p>
        </w:tc>
        <w:tc>
          <w:tcPr>
            <w:tcW w:w="1730" w:type="dxa"/>
            <w:tcBorders>
              <w:top w:val="single" w:sz="4" w:space="0" w:color="auto"/>
              <w:left w:val="single" w:sz="4" w:space="0" w:color="auto"/>
              <w:bottom w:val="single" w:sz="4" w:space="0" w:color="auto"/>
              <w:right w:val="single" w:sz="4" w:space="0" w:color="auto"/>
            </w:tcBorders>
            <w:noWrap/>
            <w:vAlign w:val="center"/>
          </w:tcPr>
          <w:p w14:paraId="53FCF7E9"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非有用线束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2ABF80C2"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18</w:t>
            </w:r>
            <w:r w:rsidRPr="00B12FE0">
              <w:rPr>
                <w:bCs/>
                <w:color w:val="000000" w:themeColor="text1"/>
                <w:sz w:val="21"/>
                <w:szCs w:val="21"/>
              </w:rPr>
              <w:t>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0FBB6786"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w:t>
            </w:r>
          </w:p>
        </w:tc>
      </w:tr>
      <w:tr w:rsidR="00A67F21" w:rsidRPr="00B12FE0" w14:paraId="563DC84E" w14:textId="77777777">
        <w:trPr>
          <w:trHeight w:val="340"/>
          <w:jc w:val="center"/>
        </w:trPr>
        <w:tc>
          <w:tcPr>
            <w:tcW w:w="863" w:type="dxa"/>
            <w:vMerge/>
            <w:tcBorders>
              <w:left w:val="single" w:sz="4" w:space="0" w:color="auto"/>
              <w:right w:val="single" w:sz="4" w:space="0" w:color="auto"/>
            </w:tcBorders>
            <w:vAlign w:val="center"/>
          </w:tcPr>
          <w:p w14:paraId="62C8EC78" w14:textId="77777777" w:rsidR="00A67F21" w:rsidRPr="00B12FE0" w:rsidRDefault="00A67F21">
            <w:pPr>
              <w:widowControl/>
              <w:jc w:val="center"/>
              <w:rPr>
                <w:bCs/>
                <w:color w:val="000000" w:themeColor="text1"/>
                <w:sz w:val="21"/>
                <w:szCs w:val="21"/>
              </w:rPr>
            </w:pPr>
          </w:p>
        </w:tc>
        <w:tc>
          <w:tcPr>
            <w:tcW w:w="736" w:type="dxa"/>
            <w:vMerge w:val="restart"/>
            <w:tcBorders>
              <w:top w:val="single" w:sz="4" w:space="0" w:color="auto"/>
              <w:left w:val="single" w:sz="4" w:space="0" w:color="auto"/>
              <w:right w:val="single" w:sz="4" w:space="0" w:color="auto"/>
            </w:tcBorders>
            <w:noWrap/>
            <w:vAlign w:val="center"/>
          </w:tcPr>
          <w:p w14:paraId="51249434"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南墙</w:t>
            </w:r>
          </w:p>
        </w:tc>
        <w:tc>
          <w:tcPr>
            <w:tcW w:w="1279" w:type="dxa"/>
            <w:tcBorders>
              <w:top w:val="single" w:sz="4" w:space="0" w:color="auto"/>
              <w:left w:val="single" w:sz="4" w:space="0" w:color="auto"/>
              <w:bottom w:val="single" w:sz="4" w:space="0" w:color="auto"/>
              <w:right w:val="single" w:sz="4" w:space="0" w:color="auto"/>
            </w:tcBorders>
            <w:noWrap/>
            <w:vAlign w:val="center"/>
          </w:tcPr>
          <w:p w14:paraId="03567C37"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迷路外墙</w:t>
            </w:r>
          </w:p>
        </w:tc>
        <w:tc>
          <w:tcPr>
            <w:tcW w:w="1730" w:type="dxa"/>
            <w:tcBorders>
              <w:top w:val="single" w:sz="4" w:space="0" w:color="auto"/>
              <w:left w:val="single" w:sz="4" w:space="0" w:color="auto"/>
              <w:bottom w:val="single" w:sz="4" w:space="0" w:color="auto"/>
              <w:right w:val="single" w:sz="4" w:space="0" w:color="auto"/>
            </w:tcBorders>
            <w:noWrap/>
            <w:vAlign w:val="center"/>
          </w:tcPr>
          <w:p w14:paraId="27E7FDFC"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非有用线束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0A076246"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15</w:t>
            </w:r>
            <w:r w:rsidRPr="00B12FE0">
              <w:rPr>
                <w:bCs/>
                <w:color w:val="000000" w:themeColor="text1"/>
                <w:sz w:val="21"/>
                <w:szCs w:val="21"/>
              </w:rPr>
              <w:t>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5851D3F8"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w:t>
            </w:r>
          </w:p>
        </w:tc>
      </w:tr>
      <w:tr w:rsidR="00A67F21" w:rsidRPr="00B12FE0" w14:paraId="233FBDDF" w14:textId="77777777">
        <w:trPr>
          <w:trHeight w:val="340"/>
          <w:jc w:val="center"/>
        </w:trPr>
        <w:tc>
          <w:tcPr>
            <w:tcW w:w="863" w:type="dxa"/>
            <w:vMerge/>
            <w:tcBorders>
              <w:left w:val="single" w:sz="4" w:space="0" w:color="auto"/>
              <w:right w:val="single" w:sz="4" w:space="0" w:color="auto"/>
            </w:tcBorders>
            <w:vAlign w:val="center"/>
          </w:tcPr>
          <w:p w14:paraId="1B3A31CE" w14:textId="77777777" w:rsidR="00A67F21" w:rsidRPr="00B12FE0" w:rsidRDefault="00A67F21">
            <w:pPr>
              <w:widowControl/>
              <w:jc w:val="center"/>
              <w:rPr>
                <w:bCs/>
                <w:color w:val="000000" w:themeColor="text1"/>
                <w:sz w:val="21"/>
                <w:szCs w:val="21"/>
              </w:rPr>
            </w:pPr>
          </w:p>
        </w:tc>
        <w:tc>
          <w:tcPr>
            <w:tcW w:w="736" w:type="dxa"/>
            <w:vMerge/>
            <w:tcBorders>
              <w:left w:val="single" w:sz="4" w:space="0" w:color="auto"/>
              <w:bottom w:val="single" w:sz="4" w:space="0" w:color="auto"/>
              <w:right w:val="single" w:sz="4" w:space="0" w:color="auto"/>
            </w:tcBorders>
            <w:noWrap/>
            <w:vAlign w:val="center"/>
          </w:tcPr>
          <w:p w14:paraId="22955AAB" w14:textId="77777777" w:rsidR="00A67F21" w:rsidRPr="00B12FE0" w:rsidRDefault="00A67F21">
            <w:pPr>
              <w:adjustRightInd w:val="0"/>
              <w:snapToGrid w:val="0"/>
              <w:jc w:val="center"/>
              <w:rPr>
                <w:bCs/>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noWrap/>
            <w:vAlign w:val="center"/>
          </w:tcPr>
          <w:p w14:paraId="56C419C0"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迷路内墙</w:t>
            </w:r>
          </w:p>
        </w:tc>
        <w:tc>
          <w:tcPr>
            <w:tcW w:w="1730" w:type="dxa"/>
            <w:tcBorders>
              <w:top w:val="single" w:sz="4" w:space="0" w:color="auto"/>
              <w:left w:val="single" w:sz="4" w:space="0" w:color="auto"/>
              <w:bottom w:val="single" w:sz="4" w:space="0" w:color="auto"/>
              <w:right w:val="single" w:sz="4" w:space="0" w:color="auto"/>
            </w:tcBorders>
            <w:noWrap/>
            <w:vAlign w:val="center"/>
          </w:tcPr>
          <w:p w14:paraId="3C1CCD7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非有用线束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38032B98"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9</w:t>
            </w:r>
            <w:r w:rsidRPr="00B12FE0">
              <w:rPr>
                <w:bCs/>
                <w:color w:val="000000" w:themeColor="text1"/>
                <w:sz w:val="21"/>
                <w:szCs w:val="21"/>
              </w:rPr>
              <w:t>00mm</w:t>
            </w:r>
            <w:r w:rsidRPr="00B12FE0">
              <w:rPr>
                <w:rFonts w:hint="eastAsia"/>
                <w:bCs/>
                <w:color w:val="000000" w:themeColor="text1"/>
                <w:sz w:val="21"/>
                <w:szCs w:val="21"/>
              </w:rPr>
              <w:t>~1500mm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6CAC2621"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w:t>
            </w:r>
          </w:p>
        </w:tc>
      </w:tr>
      <w:tr w:rsidR="00A67F21" w:rsidRPr="00B12FE0" w14:paraId="4516FFAE" w14:textId="77777777">
        <w:trPr>
          <w:trHeight w:val="340"/>
          <w:jc w:val="center"/>
        </w:trPr>
        <w:tc>
          <w:tcPr>
            <w:tcW w:w="863" w:type="dxa"/>
            <w:vMerge/>
            <w:tcBorders>
              <w:left w:val="single" w:sz="4" w:space="0" w:color="auto"/>
              <w:right w:val="single" w:sz="4" w:space="0" w:color="auto"/>
            </w:tcBorders>
            <w:vAlign w:val="center"/>
          </w:tcPr>
          <w:p w14:paraId="5F63CD7B" w14:textId="77777777" w:rsidR="00A67F21" w:rsidRPr="00B12FE0" w:rsidRDefault="00A67F21">
            <w:pPr>
              <w:widowControl/>
              <w:jc w:val="center"/>
              <w:rPr>
                <w:bCs/>
                <w:color w:val="000000" w:themeColor="text1"/>
                <w:sz w:val="21"/>
                <w:szCs w:val="21"/>
              </w:rPr>
            </w:pPr>
          </w:p>
        </w:tc>
        <w:tc>
          <w:tcPr>
            <w:tcW w:w="736" w:type="dxa"/>
            <w:vMerge w:val="restart"/>
            <w:tcBorders>
              <w:top w:val="single" w:sz="4" w:space="0" w:color="auto"/>
              <w:left w:val="single" w:sz="4" w:space="0" w:color="auto"/>
              <w:right w:val="single" w:sz="4" w:space="0" w:color="auto"/>
            </w:tcBorders>
            <w:noWrap/>
            <w:vAlign w:val="center"/>
          </w:tcPr>
          <w:p w14:paraId="12CECDBD"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西</w:t>
            </w:r>
            <w:r w:rsidRPr="00B12FE0">
              <w:rPr>
                <w:bCs/>
                <w:color w:val="000000" w:themeColor="text1"/>
                <w:sz w:val="21"/>
                <w:szCs w:val="21"/>
              </w:rPr>
              <w:t>墙</w:t>
            </w:r>
          </w:p>
        </w:tc>
        <w:tc>
          <w:tcPr>
            <w:tcW w:w="1279" w:type="dxa"/>
            <w:tcBorders>
              <w:top w:val="single" w:sz="4" w:space="0" w:color="auto"/>
              <w:left w:val="single" w:sz="4" w:space="0" w:color="auto"/>
              <w:bottom w:val="single" w:sz="4" w:space="0" w:color="auto"/>
              <w:right w:val="single" w:sz="4" w:space="0" w:color="auto"/>
            </w:tcBorders>
            <w:noWrap/>
            <w:vAlign w:val="center"/>
          </w:tcPr>
          <w:p w14:paraId="22B78E46"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主</w:t>
            </w:r>
            <w:proofErr w:type="gramStart"/>
            <w:r w:rsidRPr="00B12FE0">
              <w:rPr>
                <w:bCs/>
                <w:color w:val="000000" w:themeColor="text1"/>
                <w:sz w:val="21"/>
                <w:szCs w:val="21"/>
              </w:rPr>
              <w:t>屏蔽区</w:t>
            </w:r>
            <w:proofErr w:type="gramEnd"/>
          </w:p>
        </w:tc>
        <w:tc>
          <w:tcPr>
            <w:tcW w:w="1730" w:type="dxa"/>
            <w:tcBorders>
              <w:top w:val="single" w:sz="4" w:space="0" w:color="auto"/>
              <w:left w:val="single" w:sz="4" w:space="0" w:color="auto"/>
              <w:bottom w:val="single" w:sz="4" w:space="0" w:color="auto"/>
              <w:right w:val="single" w:sz="4" w:space="0" w:color="auto"/>
            </w:tcBorders>
            <w:noWrap/>
            <w:vAlign w:val="center"/>
          </w:tcPr>
          <w:p w14:paraId="76D9D943"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1E70C445"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30</w:t>
            </w:r>
            <w:r w:rsidRPr="00B12FE0">
              <w:rPr>
                <w:bCs/>
                <w:color w:val="000000" w:themeColor="text1"/>
                <w:sz w:val="21"/>
                <w:szCs w:val="21"/>
              </w:rPr>
              <w:t>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67265851"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5400mm</w:t>
            </w:r>
          </w:p>
        </w:tc>
      </w:tr>
      <w:tr w:rsidR="00A67F21" w:rsidRPr="00B12FE0" w14:paraId="62052C4B" w14:textId="77777777">
        <w:trPr>
          <w:trHeight w:val="340"/>
          <w:jc w:val="center"/>
        </w:trPr>
        <w:tc>
          <w:tcPr>
            <w:tcW w:w="863" w:type="dxa"/>
            <w:vMerge/>
            <w:tcBorders>
              <w:left w:val="single" w:sz="4" w:space="0" w:color="auto"/>
              <w:right w:val="single" w:sz="4" w:space="0" w:color="auto"/>
            </w:tcBorders>
            <w:vAlign w:val="center"/>
          </w:tcPr>
          <w:p w14:paraId="1E5B9167" w14:textId="77777777" w:rsidR="00A67F21" w:rsidRPr="00B12FE0" w:rsidRDefault="00A67F21">
            <w:pPr>
              <w:widowControl/>
              <w:jc w:val="center"/>
              <w:rPr>
                <w:bCs/>
                <w:color w:val="000000" w:themeColor="text1"/>
                <w:sz w:val="21"/>
                <w:szCs w:val="21"/>
              </w:rPr>
            </w:pPr>
          </w:p>
        </w:tc>
        <w:tc>
          <w:tcPr>
            <w:tcW w:w="736" w:type="dxa"/>
            <w:vMerge/>
            <w:tcBorders>
              <w:left w:val="single" w:sz="4" w:space="0" w:color="auto"/>
              <w:right w:val="single" w:sz="4" w:space="0" w:color="auto"/>
            </w:tcBorders>
            <w:noWrap/>
            <w:vAlign w:val="center"/>
          </w:tcPr>
          <w:p w14:paraId="39E5D211" w14:textId="77777777" w:rsidR="00A67F21" w:rsidRPr="00B12FE0" w:rsidRDefault="00A67F21">
            <w:pPr>
              <w:adjustRightInd w:val="0"/>
              <w:snapToGrid w:val="0"/>
              <w:jc w:val="center"/>
              <w:rPr>
                <w:bCs/>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noWrap/>
            <w:vAlign w:val="center"/>
          </w:tcPr>
          <w:p w14:paraId="40B8B21D"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次</w:t>
            </w:r>
            <w:proofErr w:type="gramStart"/>
            <w:r w:rsidRPr="00B12FE0">
              <w:rPr>
                <w:bCs/>
                <w:color w:val="000000" w:themeColor="text1"/>
                <w:sz w:val="21"/>
                <w:szCs w:val="21"/>
              </w:rPr>
              <w:t>屏蔽区</w:t>
            </w:r>
            <w:proofErr w:type="gramEnd"/>
          </w:p>
        </w:tc>
        <w:tc>
          <w:tcPr>
            <w:tcW w:w="1730" w:type="dxa"/>
            <w:tcBorders>
              <w:top w:val="single" w:sz="4" w:space="0" w:color="auto"/>
              <w:left w:val="single" w:sz="4" w:space="0" w:color="auto"/>
              <w:bottom w:val="single" w:sz="4" w:space="0" w:color="auto"/>
              <w:right w:val="single" w:sz="4" w:space="0" w:color="auto"/>
            </w:tcBorders>
            <w:noWrap/>
            <w:vAlign w:val="center"/>
          </w:tcPr>
          <w:p w14:paraId="0895D78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非有用线束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777948F3"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16</w:t>
            </w:r>
            <w:r w:rsidRPr="00B12FE0">
              <w:rPr>
                <w:bCs/>
                <w:color w:val="000000" w:themeColor="text1"/>
                <w:sz w:val="21"/>
                <w:szCs w:val="21"/>
              </w:rPr>
              <w:t>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02F0915C"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w:t>
            </w:r>
          </w:p>
        </w:tc>
      </w:tr>
      <w:tr w:rsidR="00A67F21" w:rsidRPr="00B12FE0" w14:paraId="79E27116" w14:textId="77777777">
        <w:trPr>
          <w:trHeight w:val="340"/>
          <w:jc w:val="center"/>
        </w:trPr>
        <w:tc>
          <w:tcPr>
            <w:tcW w:w="863" w:type="dxa"/>
            <w:vMerge/>
            <w:tcBorders>
              <w:left w:val="single" w:sz="4" w:space="0" w:color="auto"/>
              <w:right w:val="single" w:sz="4" w:space="0" w:color="auto"/>
            </w:tcBorders>
            <w:vAlign w:val="center"/>
          </w:tcPr>
          <w:p w14:paraId="7B812A16" w14:textId="77777777" w:rsidR="00A67F21" w:rsidRPr="00B12FE0" w:rsidRDefault="00A67F21">
            <w:pPr>
              <w:widowControl/>
              <w:jc w:val="center"/>
              <w:rPr>
                <w:bCs/>
                <w:color w:val="000000" w:themeColor="text1"/>
                <w:sz w:val="21"/>
                <w:szCs w:val="21"/>
              </w:rPr>
            </w:pPr>
          </w:p>
        </w:tc>
        <w:tc>
          <w:tcPr>
            <w:tcW w:w="736" w:type="dxa"/>
            <w:tcBorders>
              <w:top w:val="single" w:sz="4" w:space="0" w:color="auto"/>
              <w:left w:val="single" w:sz="4" w:space="0" w:color="auto"/>
              <w:right w:val="single" w:sz="4" w:space="0" w:color="auto"/>
            </w:tcBorders>
            <w:vAlign w:val="center"/>
          </w:tcPr>
          <w:p w14:paraId="253893F7" w14:textId="77777777" w:rsidR="00A67F21" w:rsidRPr="00B12FE0" w:rsidRDefault="00000000">
            <w:pPr>
              <w:widowControl/>
              <w:jc w:val="center"/>
              <w:rPr>
                <w:bCs/>
                <w:color w:val="000000" w:themeColor="text1"/>
                <w:sz w:val="21"/>
                <w:szCs w:val="21"/>
              </w:rPr>
            </w:pPr>
            <w:r w:rsidRPr="00B12FE0">
              <w:rPr>
                <w:bCs/>
                <w:color w:val="000000" w:themeColor="text1"/>
                <w:sz w:val="21"/>
                <w:szCs w:val="21"/>
              </w:rPr>
              <w:t>北墙</w:t>
            </w:r>
          </w:p>
        </w:tc>
        <w:tc>
          <w:tcPr>
            <w:tcW w:w="1279" w:type="dxa"/>
            <w:tcBorders>
              <w:top w:val="single" w:sz="4" w:space="0" w:color="auto"/>
              <w:left w:val="single" w:sz="4" w:space="0" w:color="auto"/>
              <w:bottom w:val="single" w:sz="4" w:space="0" w:color="auto"/>
              <w:right w:val="single" w:sz="4" w:space="0" w:color="auto"/>
            </w:tcBorders>
            <w:noWrap/>
            <w:vAlign w:val="center"/>
          </w:tcPr>
          <w:p w14:paraId="06913BE2"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侧屏蔽</w:t>
            </w:r>
            <w:r w:rsidRPr="00B12FE0">
              <w:rPr>
                <w:bCs/>
                <w:color w:val="000000" w:themeColor="text1"/>
                <w:sz w:val="21"/>
                <w:szCs w:val="21"/>
              </w:rPr>
              <w:t>墙</w:t>
            </w:r>
          </w:p>
        </w:tc>
        <w:tc>
          <w:tcPr>
            <w:tcW w:w="1730" w:type="dxa"/>
            <w:tcBorders>
              <w:top w:val="single" w:sz="4" w:space="0" w:color="auto"/>
              <w:left w:val="single" w:sz="4" w:space="0" w:color="auto"/>
              <w:bottom w:val="single" w:sz="4" w:space="0" w:color="auto"/>
              <w:right w:val="single" w:sz="4" w:space="0" w:color="auto"/>
            </w:tcBorders>
            <w:noWrap/>
            <w:vAlign w:val="center"/>
          </w:tcPr>
          <w:p w14:paraId="0CB2F5B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非有用线束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48893231"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15</w:t>
            </w:r>
            <w:r w:rsidRPr="00B12FE0">
              <w:rPr>
                <w:bCs/>
                <w:color w:val="000000" w:themeColor="text1"/>
                <w:sz w:val="21"/>
                <w:szCs w:val="21"/>
              </w:rPr>
              <w:t>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52574AEE"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w:t>
            </w:r>
          </w:p>
        </w:tc>
      </w:tr>
      <w:tr w:rsidR="00A67F21" w:rsidRPr="00B12FE0" w14:paraId="02D5D6B5" w14:textId="77777777">
        <w:trPr>
          <w:trHeight w:val="340"/>
          <w:jc w:val="center"/>
        </w:trPr>
        <w:tc>
          <w:tcPr>
            <w:tcW w:w="863" w:type="dxa"/>
            <w:vMerge/>
            <w:tcBorders>
              <w:left w:val="single" w:sz="4" w:space="0" w:color="auto"/>
              <w:right w:val="single" w:sz="4" w:space="0" w:color="auto"/>
            </w:tcBorders>
            <w:vAlign w:val="center"/>
          </w:tcPr>
          <w:p w14:paraId="7F195705" w14:textId="77777777" w:rsidR="00A67F21" w:rsidRPr="00B12FE0" w:rsidRDefault="00A67F21">
            <w:pPr>
              <w:widowControl/>
              <w:jc w:val="center"/>
              <w:rPr>
                <w:bCs/>
                <w:color w:val="000000" w:themeColor="text1"/>
                <w:sz w:val="21"/>
                <w:szCs w:val="21"/>
              </w:rPr>
            </w:pPr>
          </w:p>
        </w:tc>
        <w:tc>
          <w:tcPr>
            <w:tcW w:w="736" w:type="dxa"/>
            <w:vMerge w:val="restart"/>
            <w:tcBorders>
              <w:top w:val="single" w:sz="4" w:space="0" w:color="auto"/>
              <w:left w:val="single" w:sz="4" w:space="0" w:color="auto"/>
              <w:bottom w:val="single" w:sz="4" w:space="0" w:color="auto"/>
              <w:right w:val="single" w:sz="4" w:space="0" w:color="auto"/>
            </w:tcBorders>
            <w:noWrap/>
            <w:vAlign w:val="center"/>
          </w:tcPr>
          <w:p w14:paraId="0A2C48BD"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顶棚</w:t>
            </w:r>
          </w:p>
        </w:tc>
        <w:tc>
          <w:tcPr>
            <w:tcW w:w="1279" w:type="dxa"/>
            <w:tcBorders>
              <w:top w:val="single" w:sz="4" w:space="0" w:color="auto"/>
              <w:left w:val="single" w:sz="4" w:space="0" w:color="auto"/>
              <w:bottom w:val="single" w:sz="4" w:space="0" w:color="auto"/>
              <w:right w:val="single" w:sz="4" w:space="0" w:color="auto"/>
            </w:tcBorders>
            <w:noWrap/>
            <w:vAlign w:val="center"/>
          </w:tcPr>
          <w:p w14:paraId="5FEF401E"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主</w:t>
            </w:r>
            <w:proofErr w:type="gramStart"/>
            <w:r w:rsidRPr="00B12FE0">
              <w:rPr>
                <w:bCs/>
                <w:color w:val="000000" w:themeColor="text1"/>
                <w:sz w:val="21"/>
                <w:szCs w:val="21"/>
              </w:rPr>
              <w:t>屏蔽区</w:t>
            </w:r>
            <w:proofErr w:type="gramEnd"/>
          </w:p>
        </w:tc>
        <w:tc>
          <w:tcPr>
            <w:tcW w:w="1730" w:type="dxa"/>
            <w:tcBorders>
              <w:top w:val="single" w:sz="4" w:space="0" w:color="auto"/>
              <w:left w:val="single" w:sz="4" w:space="0" w:color="auto"/>
              <w:bottom w:val="single" w:sz="4" w:space="0" w:color="auto"/>
              <w:right w:val="single" w:sz="4" w:space="0" w:color="auto"/>
            </w:tcBorders>
            <w:noWrap/>
            <w:vAlign w:val="center"/>
          </w:tcPr>
          <w:p w14:paraId="787BA758"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3ACFE31D"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3000mm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5448AB06"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5400mm</w:t>
            </w:r>
          </w:p>
        </w:tc>
      </w:tr>
      <w:tr w:rsidR="00A67F21" w:rsidRPr="00B12FE0" w14:paraId="4BEA0F60" w14:textId="77777777">
        <w:trPr>
          <w:trHeight w:val="340"/>
          <w:jc w:val="center"/>
        </w:trPr>
        <w:tc>
          <w:tcPr>
            <w:tcW w:w="863" w:type="dxa"/>
            <w:vMerge/>
            <w:tcBorders>
              <w:left w:val="single" w:sz="4" w:space="0" w:color="auto"/>
              <w:right w:val="single" w:sz="4" w:space="0" w:color="auto"/>
            </w:tcBorders>
            <w:vAlign w:val="center"/>
          </w:tcPr>
          <w:p w14:paraId="609A82D7" w14:textId="77777777" w:rsidR="00A67F21" w:rsidRPr="00B12FE0" w:rsidRDefault="00A67F21">
            <w:pPr>
              <w:widowControl/>
              <w:jc w:val="center"/>
              <w:rPr>
                <w:bCs/>
                <w:color w:val="000000" w:themeColor="text1"/>
                <w:sz w:val="21"/>
                <w:szCs w:val="21"/>
              </w:rPr>
            </w:pPr>
          </w:p>
        </w:tc>
        <w:tc>
          <w:tcPr>
            <w:tcW w:w="736" w:type="dxa"/>
            <w:vMerge/>
            <w:tcBorders>
              <w:top w:val="single" w:sz="4" w:space="0" w:color="auto"/>
              <w:left w:val="single" w:sz="4" w:space="0" w:color="auto"/>
              <w:bottom w:val="single" w:sz="4" w:space="0" w:color="auto"/>
              <w:right w:val="single" w:sz="4" w:space="0" w:color="auto"/>
            </w:tcBorders>
            <w:vAlign w:val="center"/>
          </w:tcPr>
          <w:p w14:paraId="229A6EF1" w14:textId="77777777" w:rsidR="00A67F21" w:rsidRPr="00B12FE0" w:rsidRDefault="00A67F21">
            <w:pPr>
              <w:widowControl/>
              <w:jc w:val="center"/>
              <w:rPr>
                <w:bCs/>
                <w:color w:val="000000" w:themeColor="text1"/>
                <w:sz w:val="21"/>
                <w:szCs w:val="21"/>
              </w:rPr>
            </w:pPr>
          </w:p>
        </w:tc>
        <w:tc>
          <w:tcPr>
            <w:tcW w:w="1279" w:type="dxa"/>
            <w:tcBorders>
              <w:top w:val="single" w:sz="4" w:space="0" w:color="auto"/>
              <w:left w:val="single" w:sz="4" w:space="0" w:color="auto"/>
              <w:bottom w:val="single" w:sz="4" w:space="0" w:color="auto"/>
              <w:right w:val="single" w:sz="4" w:space="0" w:color="auto"/>
            </w:tcBorders>
            <w:noWrap/>
            <w:vAlign w:val="center"/>
          </w:tcPr>
          <w:p w14:paraId="199ECF32"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次</w:t>
            </w:r>
            <w:proofErr w:type="gramStart"/>
            <w:r w:rsidRPr="00B12FE0">
              <w:rPr>
                <w:bCs/>
                <w:color w:val="000000" w:themeColor="text1"/>
                <w:sz w:val="21"/>
                <w:szCs w:val="21"/>
              </w:rPr>
              <w:t>屏蔽区</w:t>
            </w:r>
            <w:proofErr w:type="gramEnd"/>
          </w:p>
        </w:tc>
        <w:tc>
          <w:tcPr>
            <w:tcW w:w="1730" w:type="dxa"/>
            <w:tcBorders>
              <w:top w:val="single" w:sz="4" w:space="0" w:color="auto"/>
              <w:left w:val="single" w:sz="4" w:space="0" w:color="auto"/>
              <w:bottom w:val="single" w:sz="4" w:space="0" w:color="auto"/>
              <w:right w:val="single" w:sz="4" w:space="0" w:color="auto"/>
            </w:tcBorders>
            <w:noWrap/>
            <w:vAlign w:val="center"/>
          </w:tcPr>
          <w:p w14:paraId="7C7F7B1D"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非有用线束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41A31274"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15</w:t>
            </w:r>
            <w:r w:rsidRPr="00B12FE0">
              <w:rPr>
                <w:bCs/>
                <w:color w:val="000000" w:themeColor="text1"/>
                <w:sz w:val="21"/>
                <w:szCs w:val="21"/>
              </w:rPr>
              <w:t>00mm</w:t>
            </w:r>
            <w:r w:rsidRPr="00B12FE0">
              <w:rPr>
                <w:bCs/>
                <w:color w:val="000000" w:themeColor="text1"/>
                <w:sz w:val="21"/>
                <w:szCs w:val="21"/>
              </w:rPr>
              <w:t>混凝土</w:t>
            </w:r>
          </w:p>
        </w:tc>
        <w:tc>
          <w:tcPr>
            <w:tcW w:w="1797" w:type="dxa"/>
            <w:tcBorders>
              <w:top w:val="single" w:sz="4" w:space="0" w:color="auto"/>
              <w:left w:val="single" w:sz="4" w:space="0" w:color="auto"/>
              <w:bottom w:val="single" w:sz="4" w:space="0" w:color="auto"/>
              <w:right w:val="single" w:sz="4" w:space="0" w:color="auto"/>
            </w:tcBorders>
            <w:noWrap/>
            <w:vAlign w:val="center"/>
          </w:tcPr>
          <w:p w14:paraId="2807BCFD"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w:t>
            </w:r>
          </w:p>
        </w:tc>
      </w:tr>
      <w:tr w:rsidR="00A67F21" w:rsidRPr="00B12FE0" w14:paraId="09D2D14D" w14:textId="77777777">
        <w:trPr>
          <w:trHeight w:val="340"/>
          <w:jc w:val="center"/>
        </w:trPr>
        <w:tc>
          <w:tcPr>
            <w:tcW w:w="863" w:type="dxa"/>
            <w:vMerge/>
            <w:tcBorders>
              <w:left w:val="single" w:sz="4" w:space="0" w:color="auto"/>
              <w:right w:val="single" w:sz="4" w:space="0" w:color="auto"/>
            </w:tcBorders>
            <w:vAlign w:val="center"/>
          </w:tcPr>
          <w:p w14:paraId="6D5CAB11" w14:textId="77777777" w:rsidR="00A67F21" w:rsidRPr="00B12FE0" w:rsidRDefault="00A67F21">
            <w:pPr>
              <w:widowControl/>
              <w:jc w:val="center"/>
              <w:rPr>
                <w:bCs/>
                <w:color w:val="000000" w:themeColor="text1"/>
                <w:sz w:val="21"/>
                <w:szCs w:val="21"/>
              </w:rPr>
            </w:pPr>
          </w:p>
        </w:tc>
        <w:tc>
          <w:tcPr>
            <w:tcW w:w="2015" w:type="dxa"/>
            <w:gridSpan w:val="2"/>
            <w:tcBorders>
              <w:top w:val="single" w:sz="4" w:space="0" w:color="auto"/>
              <w:left w:val="single" w:sz="4" w:space="0" w:color="auto"/>
              <w:bottom w:val="single" w:sz="4" w:space="0" w:color="auto"/>
              <w:right w:val="single" w:sz="4" w:space="0" w:color="auto"/>
            </w:tcBorders>
            <w:noWrap/>
            <w:vAlign w:val="center"/>
          </w:tcPr>
          <w:p w14:paraId="171B992C"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防护门</w:t>
            </w:r>
          </w:p>
        </w:tc>
        <w:tc>
          <w:tcPr>
            <w:tcW w:w="1730" w:type="dxa"/>
            <w:tcBorders>
              <w:top w:val="single" w:sz="4" w:space="0" w:color="auto"/>
              <w:left w:val="single" w:sz="4" w:space="0" w:color="auto"/>
              <w:bottom w:val="single" w:sz="4" w:space="0" w:color="auto"/>
              <w:right w:val="single" w:sz="4" w:space="0" w:color="auto"/>
            </w:tcBorders>
            <w:noWrap/>
            <w:vAlign w:val="center"/>
          </w:tcPr>
          <w:p w14:paraId="18CFF957" w14:textId="77777777" w:rsidR="00A67F21" w:rsidRPr="00B12FE0" w:rsidRDefault="00000000">
            <w:pPr>
              <w:adjustRightInd w:val="0"/>
              <w:snapToGrid w:val="0"/>
              <w:jc w:val="center"/>
              <w:rPr>
                <w:bCs/>
                <w:color w:val="000000" w:themeColor="text1"/>
                <w:sz w:val="21"/>
                <w:szCs w:val="21"/>
              </w:rPr>
            </w:pPr>
            <w:r w:rsidRPr="00B12FE0">
              <w:rPr>
                <w:bCs/>
                <w:color w:val="000000" w:themeColor="text1"/>
                <w:sz w:val="21"/>
                <w:szCs w:val="21"/>
              </w:rPr>
              <w:t>非有用线束</w:t>
            </w:r>
          </w:p>
        </w:tc>
        <w:tc>
          <w:tcPr>
            <w:tcW w:w="2610" w:type="dxa"/>
            <w:tcBorders>
              <w:top w:val="single" w:sz="4" w:space="0" w:color="auto"/>
              <w:left w:val="single" w:sz="4" w:space="0" w:color="auto"/>
              <w:bottom w:val="single" w:sz="4" w:space="0" w:color="auto"/>
              <w:right w:val="single" w:sz="4" w:space="0" w:color="auto"/>
            </w:tcBorders>
            <w:noWrap/>
            <w:vAlign w:val="center"/>
          </w:tcPr>
          <w:p w14:paraId="7D9D3599"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20</w:t>
            </w:r>
            <w:r w:rsidRPr="00B12FE0">
              <w:rPr>
                <w:bCs/>
                <w:color w:val="000000" w:themeColor="text1"/>
                <w:sz w:val="21"/>
                <w:szCs w:val="21"/>
              </w:rPr>
              <w:t>mm</w:t>
            </w:r>
            <w:r w:rsidRPr="00B12FE0">
              <w:rPr>
                <w:bCs/>
                <w:color w:val="000000" w:themeColor="text1"/>
                <w:sz w:val="21"/>
                <w:szCs w:val="21"/>
              </w:rPr>
              <w:t>铅</w:t>
            </w:r>
            <w:r w:rsidRPr="00B12FE0">
              <w:rPr>
                <w:bCs/>
                <w:color w:val="000000" w:themeColor="text1"/>
                <w:sz w:val="21"/>
                <w:szCs w:val="21"/>
              </w:rPr>
              <w:t>+</w:t>
            </w:r>
            <w:r w:rsidRPr="00B12FE0">
              <w:rPr>
                <w:rFonts w:hint="eastAsia"/>
                <w:bCs/>
                <w:color w:val="000000" w:themeColor="text1"/>
                <w:sz w:val="21"/>
                <w:szCs w:val="21"/>
              </w:rPr>
              <w:t>140</w:t>
            </w:r>
            <w:r w:rsidRPr="00B12FE0">
              <w:rPr>
                <w:bCs/>
                <w:color w:val="000000" w:themeColor="text1"/>
                <w:sz w:val="21"/>
                <w:szCs w:val="21"/>
              </w:rPr>
              <w:t>mm</w:t>
            </w:r>
            <w:r w:rsidRPr="00B12FE0">
              <w:rPr>
                <w:bCs/>
                <w:color w:val="000000" w:themeColor="text1"/>
                <w:sz w:val="21"/>
                <w:szCs w:val="21"/>
              </w:rPr>
              <w:t>含硼聚乙烯板</w:t>
            </w:r>
          </w:p>
        </w:tc>
        <w:tc>
          <w:tcPr>
            <w:tcW w:w="1797" w:type="dxa"/>
            <w:tcBorders>
              <w:top w:val="single" w:sz="4" w:space="0" w:color="auto"/>
              <w:left w:val="single" w:sz="4" w:space="0" w:color="auto"/>
              <w:bottom w:val="single" w:sz="4" w:space="0" w:color="auto"/>
              <w:right w:val="single" w:sz="4" w:space="0" w:color="auto"/>
            </w:tcBorders>
            <w:noWrap/>
            <w:vAlign w:val="center"/>
          </w:tcPr>
          <w:p w14:paraId="131E3B3A" w14:textId="77777777" w:rsidR="00A67F21" w:rsidRPr="00B12FE0" w:rsidRDefault="00000000">
            <w:pPr>
              <w:adjustRightInd w:val="0"/>
              <w:snapToGrid w:val="0"/>
              <w:jc w:val="center"/>
              <w:rPr>
                <w:bCs/>
                <w:color w:val="000000" w:themeColor="text1"/>
                <w:sz w:val="21"/>
                <w:szCs w:val="21"/>
              </w:rPr>
            </w:pPr>
            <w:r w:rsidRPr="00B12FE0">
              <w:rPr>
                <w:rFonts w:hint="eastAsia"/>
                <w:bCs/>
                <w:color w:val="000000" w:themeColor="text1"/>
                <w:sz w:val="21"/>
                <w:szCs w:val="21"/>
              </w:rPr>
              <w:t>/</w:t>
            </w:r>
          </w:p>
        </w:tc>
      </w:tr>
      <w:tr w:rsidR="00A67F21" w:rsidRPr="00B12FE0" w14:paraId="10573051" w14:textId="77777777">
        <w:trPr>
          <w:trHeight w:val="340"/>
          <w:jc w:val="center"/>
        </w:trPr>
        <w:tc>
          <w:tcPr>
            <w:tcW w:w="863" w:type="dxa"/>
            <w:vMerge/>
            <w:tcBorders>
              <w:left w:val="single" w:sz="4" w:space="0" w:color="auto"/>
              <w:right w:val="single" w:sz="4" w:space="0" w:color="auto"/>
            </w:tcBorders>
            <w:vAlign w:val="center"/>
          </w:tcPr>
          <w:p w14:paraId="77B43768" w14:textId="77777777" w:rsidR="00A67F21" w:rsidRPr="00B12FE0" w:rsidRDefault="00A67F21">
            <w:pPr>
              <w:widowControl/>
              <w:jc w:val="center"/>
              <w:rPr>
                <w:bCs/>
                <w:color w:val="000000" w:themeColor="text1"/>
                <w:sz w:val="21"/>
                <w:szCs w:val="21"/>
              </w:rPr>
            </w:pPr>
          </w:p>
        </w:tc>
        <w:tc>
          <w:tcPr>
            <w:tcW w:w="2015" w:type="dxa"/>
            <w:gridSpan w:val="2"/>
            <w:tcBorders>
              <w:top w:val="single" w:sz="4" w:space="0" w:color="auto"/>
              <w:left w:val="single" w:sz="4" w:space="0" w:color="auto"/>
              <w:bottom w:val="single" w:sz="4" w:space="0" w:color="auto"/>
              <w:right w:val="single" w:sz="4" w:space="0" w:color="auto"/>
            </w:tcBorders>
            <w:noWrap/>
            <w:vAlign w:val="center"/>
          </w:tcPr>
          <w:p w14:paraId="57BE9913" w14:textId="77777777" w:rsidR="00A67F21" w:rsidRPr="00B12FE0" w:rsidRDefault="00000000">
            <w:pPr>
              <w:adjustRightInd w:val="0"/>
              <w:snapToGrid w:val="0"/>
              <w:jc w:val="center"/>
              <w:rPr>
                <w:bCs/>
                <w:color w:val="000000" w:themeColor="text1"/>
                <w:sz w:val="21"/>
                <w:szCs w:val="21"/>
              </w:rPr>
            </w:pPr>
            <w:r w:rsidRPr="00B12FE0">
              <w:rPr>
                <w:rFonts w:ascii="宋体" w:hAnsi="宋体" w:hint="eastAsia"/>
                <w:color w:val="000000" w:themeColor="text1"/>
                <w:kern w:val="0"/>
                <w:sz w:val="21"/>
                <w:szCs w:val="21"/>
              </w:rPr>
              <w:t>治疗室南北长度（不含迷路）</w:t>
            </w:r>
          </w:p>
        </w:tc>
        <w:tc>
          <w:tcPr>
            <w:tcW w:w="4340" w:type="dxa"/>
            <w:gridSpan w:val="2"/>
            <w:tcBorders>
              <w:top w:val="single" w:sz="4" w:space="0" w:color="auto"/>
              <w:left w:val="single" w:sz="4" w:space="0" w:color="auto"/>
              <w:bottom w:val="single" w:sz="4" w:space="0" w:color="auto"/>
              <w:right w:val="single" w:sz="4" w:space="0" w:color="auto"/>
            </w:tcBorders>
            <w:noWrap/>
            <w:vAlign w:val="center"/>
          </w:tcPr>
          <w:p w14:paraId="46035754" w14:textId="77777777" w:rsidR="00A67F21" w:rsidRPr="00B12FE0" w:rsidRDefault="00000000">
            <w:pPr>
              <w:adjustRightInd w:val="0"/>
              <w:snapToGrid w:val="0"/>
              <w:jc w:val="center"/>
              <w:rPr>
                <w:bCs/>
                <w:color w:val="000000" w:themeColor="text1"/>
                <w:sz w:val="21"/>
                <w:szCs w:val="21"/>
              </w:rPr>
            </w:pPr>
            <w:r w:rsidRPr="00B12FE0">
              <w:rPr>
                <w:rFonts w:eastAsia="等线" w:hint="eastAsia"/>
                <w:color w:val="000000" w:themeColor="text1"/>
                <w:kern w:val="0"/>
                <w:sz w:val="21"/>
                <w:szCs w:val="21"/>
              </w:rPr>
              <w:t>815</w:t>
            </w:r>
            <w:r w:rsidRPr="00B12FE0">
              <w:rPr>
                <w:rFonts w:eastAsia="等线"/>
                <w:color w:val="000000" w:themeColor="text1"/>
                <w:kern w:val="0"/>
                <w:sz w:val="21"/>
                <w:szCs w:val="21"/>
              </w:rPr>
              <w:t>0mm</w:t>
            </w:r>
          </w:p>
        </w:tc>
        <w:tc>
          <w:tcPr>
            <w:tcW w:w="1797" w:type="dxa"/>
            <w:tcBorders>
              <w:top w:val="single" w:sz="4" w:space="0" w:color="auto"/>
              <w:left w:val="single" w:sz="4" w:space="0" w:color="auto"/>
              <w:bottom w:val="single" w:sz="4" w:space="0" w:color="auto"/>
              <w:right w:val="single" w:sz="4" w:space="0" w:color="auto"/>
            </w:tcBorders>
            <w:noWrap/>
            <w:vAlign w:val="center"/>
          </w:tcPr>
          <w:p w14:paraId="0939FACD" w14:textId="77777777" w:rsidR="00A67F21" w:rsidRPr="00B12FE0" w:rsidRDefault="00000000">
            <w:pPr>
              <w:adjustRightInd w:val="0"/>
              <w:snapToGrid w:val="0"/>
              <w:jc w:val="center"/>
              <w:rPr>
                <w:rFonts w:eastAsia="等线"/>
                <w:color w:val="000000" w:themeColor="text1"/>
                <w:kern w:val="0"/>
                <w:sz w:val="21"/>
                <w:szCs w:val="21"/>
              </w:rPr>
            </w:pPr>
            <w:r w:rsidRPr="00B12FE0">
              <w:rPr>
                <w:rFonts w:hint="eastAsia"/>
                <w:bCs/>
                <w:color w:val="000000" w:themeColor="text1"/>
                <w:sz w:val="21"/>
                <w:szCs w:val="21"/>
              </w:rPr>
              <w:t>/</w:t>
            </w:r>
          </w:p>
        </w:tc>
      </w:tr>
      <w:tr w:rsidR="00A67F21" w:rsidRPr="00B12FE0" w14:paraId="535B9C09" w14:textId="77777777">
        <w:trPr>
          <w:trHeight w:val="340"/>
          <w:jc w:val="center"/>
        </w:trPr>
        <w:tc>
          <w:tcPr>
            <w:tcW w:w="863" w:type="dxa"/>
            <w:vMerge/>
            <w:tcBorders>
              <w:left w:val="single" w:sz="4" w:space="0" w:color="auto"/>
              <w:right w:val="single" w:sz="4" w:space="0" w:color="auto"/>
            </w:tcBorders>
            <w:vAlign w:val="center"/>
          </w:tcPr>
          <w:p w14:paraId="7BE53C7C" w14:textId="77777777" w:rsidR="00A67F21" w:rsidRPr="00B12FE0" w:rsidRDefault="00A67F21">
            <w:pPr>
              <w:widowControl/>
              <w:jc w:val="center"/>
              <w:rPr>
                <w:bCs/>
                <w:color w:val="000000" w:themeColor="text1"/>
                <w:sz w:val="21"/>
                <w:szCs w:val="21"/>
              </w:rPr>
            </w:pPr>
          </w:p>
        </w:tc>
        <w:tc>
          <w:tcPr>
            <w:tcW w:w="2015" w:type="dxa"/>
            <w:gridSpan w:val="2"/>
            <w:tcBorders>
              <w:top w:val="single" w:sz="4" w:space="0" w:color="auto"/>
              <w:left w:val="single" w:sz="4" w:space="0" w:color="auto"/>
              <w:bottom w:val="single" w:sz="4" w:space="0" w:color="auto"/>
              <w:right w:val="single" w:sz="4" w:space="0" w:color="auto"/>
            </w:tcBorders>
            <w:noWrap/>
            <w:vAlign w:val="center"/>
          </w:tcPr>
          <w:p w14:paraId="244E4F91" w14:textId="77777777" w:rsidR="00A67F21" w:rsidRPr="00B12FE0" w:rsidRDefault="00000000">
            <w:pPr>
              <w:adjustRightInd w:val="0"/>
              <w:snapToGrid w:val="0"/>
              <w:jc w:val="center"/>
              <w:rPr>
                <w:bCs/>
                <w:color w:val="000000" w:themeColor="text1"/>
                <w:sz w:val="21"/>
                <w:szCs w:val="21"/>
              </w:rPr>
            </w:pPr>
            <w:r w:rsidRPr="00B12FE0">
              <w:rPr>
                <w:rFonts w:ascii="宋体" w:hAnsi="宋体" w:hint="eastAsia"/>
                <w:color w:val="000000" w:themeColor="text1"/>
                <w:kern w:val="0"/>
                <w:sz w:val="21"/>
                <w:szCs w:val="21"/>
              </w:rPr>
              <w:t>治疗室东西宽度</w:t>
            </w:r>
          </w:p>
        </w:tc>
        <w:tc>
          <w:tcPr>
            <w:tcW w:w="4340" w:type="dxa"/>
            <w:gridSpan w:val="2"/>
            <w:tcBorders>
              <w:top w:val="single" w:sz="4" w:space="0" w:color="auto"/>
              <w:left w:val="single" w:sz="4" w:space="0" w:color="auto"/>
              <w:bottom w:val="single" w:sz="4" w:space="0" w:color="auto"/>
              <w:right w:val="single" w:sz="4" w:space="0" w:color="auto"/>
            </w:tcBorders>
            <w:noWrap/>
            <w:vAlign w:val="center"/>
          </w:tcPr>
          <w:p w14:paraId="6B4F4484" w14:textId="77777777" w:rsidR="00A67F21" w:rsidRPr="00B12FE0" w:rsidRDefault="00000000">
            <w:pPr>
              <w:adjustRightInd w:val="0"/>
              <w:snapToGrid w:val="0"/>
              <w:jc w:val="center"/>
              <w:rPr>
                <w:bCs/>
                <w:color w:val="000000" w:themeColor="text1"/>
                <w:sz w:val="21"/>
                <w:szCs w:val="21"/>
              </w:rPr>
            </w:pPr>
            <w:r w:rsidRPr="00B12FE0">
              <w:rPr>
                <w:rFonts w:eastAsia="等线" w:hint="eastAsia"/>
                <w:color w:val="000000" w:themeColor="text1"/>
                <w:kern w:val="0"/>
                <w:sz w:val="21"/>
                <w:szCs w:val="21"/>
              </w:rPr>
              <w:t>860</w:t>
            </w:r>
            <w:r w:rsidRPr="00B12FE0">
              <w:rPr>
                <w:rFonts w:eastAsia="等线"/>
                <w:color w:val="000000" w:themeColor="text1"/>
                <w:kern w:val="0"/>
                <w:sz w:val="21"/>
                <w:szCs w:val="21"/>
              </w:rPr>
              <w:t>0mm</w:t>
            </w:r>
          </w:p>
        </w:tc>
        <w:tc>
          <w:tcPr>
            <w:tcW w:w="1797" w:type="dxa"/>
            <w:tcBorders>
              <w:top w:val="single" w:sz="4" w:space="0" w:color="auto"/>
              <w:left w:val="single" w:sz="4" w:space="0" w:color="auto"/>
              <w:bottom w:val="single" w:sz="4" w:space="0" w:color="auto"/>
              <w:right w:val="single" w:sz="4" w:space="0" w:color="auto"/>
            </w:tcBorders>
            <w:noWrap/>
            <w:vAlign w:val="center"/>
          </w:tcPr>
          <w:p w14:paraId="5B0469CC" w14:textId="77777777" w:rsidR="00A67F21" w:rsidRPr="00B12FE0" w:rsidRDefault="00000000">
            <w:pPr>
              <w:adjustRightInd w:val="0"/>
              <w:snapToGrid w:val="0"/>
              <w:jc w:val="center"/>
              <w:rPr>
                <w:rFonts w:eastAsia="等线"/>
                <w:color w:val="000000" w:themeColor="text1"/>
                <w:kern w:val="0"/>
                <w:sz w:val="21"/>
                <w:szCs w:val="21"/>
              </w:rPr>
            </w:pPr>
            <w:r w:rsidRPr="00B12FE0">
              <w:rPr>
                <w:rFonts w:hint="eastAsia"/>
                <w:bCs/>
                <w:color w:val="000000" w:themeColor="text1"/>
                <w:sz w:val="21"/>
                <w:szCs w:val="21"/>
              </w:rPr>
              <w:t>/</w:t>
            </w:r>
          </w:p>
        </w:tc>
      </w:tr>
      <w:tr w:rsidR="00A67F21" w:rsidRPr="00B12FE0" w14:paraId="4922B203" w14:textId="77777777">
        <w:trPr>
          <w:trHeight w:val="340"/>
          <w:jc w:val="center"/>
        </w:trPr>
        <w:tc>
          <w:tcPr>
            <w:tcW w:w="863" w:type="dxa"/>
            <w:vMerge/>
            <w:tcBorders>
              <w:left w:val="single" w:sz="4" w:space="0" w:color="auto"/>
              <w:right w:val="single" w:sz="4" w:space="0" w:color="auto"/>
            </w:tcBorders>
            <w:vAlign w:val="center"/>
          </w:tcPr>
          <w:p w14:paraId="7C7DF8CE" w14:textId="77777777" w:rsidR="00A67F21" w:rsidRPr="00B12FE0" w:rsidRDefault="00A67F21">
            <w:pPr>
              <w:widowControl/>
              <w:jc w:val="center"/>
              <w:rPr>
                <w:bCs/>
                <w:color w:val="000000" w:themeColor="text1"/>
                <w:sz w:val="21"/>
                <w:szCs w:val="21"/>
              </w:rPr>
            </w:pPr>
          </w:p>
        </w:tc>
        <w:tc>
          <w:tcPr>
            <w:tcW w:w="2015" w:type="dxa"/>
            <w:gridSpan w:val="2"/>
            <w:tcBorders>
              <w:top w:val="single" w:sz="4" w:space="0" w:color="auto"/>
              <w:left w:val="single" w:sz="4" w:space="0" w:color="auto"/>
              <w:bottom w:val="single" w:sz="4" w:space="0" w:color="auto"/>
              <w:right w:val="single" w:sz="4" w:space="0" w:color="auto"/>
            </w:tcBorders>
            <w:noWrap/>
            <w:vAlign w:val="center"/>
          </w:tcPr>
          <w:p w14:paraId="07BEFA7D" w14:textId="77777777" w:rsidR="00A67F21" w:rsidRPr="00B12FE0" w:rsidRDefault="00000000">
            <w:pPr>
              <w:adjustRightInd w:val="0"/>
              <w:snapToGrid w:val="0"/>
              <w:jc w:val="center"/>
              <w:rPr>
                <w:bCs/>
                <w:color w:val="000000" w:themeColor="text1"/>
                <w:sz w:val="21"/>
                <w:szCs w:val="21"/>
              </w:rPr>
            </w:pPr>
            <w:proofErr w:type="gramStart"/>
            <w:r w:rsidRPr="00B12FE0">
              <w:rPr>
                <w:rFonts w:ascii="宋体" w:hAnsi="宋体" w:hint="eastAsia"/>
                <w:color w:val="000000" w:themeColor="text1"/>
                <w:kern w:val="0"/>
                <w:sz w:val="21"/>
                <w:szCs w:val="21"/>
              </w:rPr>
              <w:t>迷道宽度</w:t>
            </w:r>
            <w:proofErr w:type="gramEnd"/>
          </w:p>
        </w:tc>
        <w:tc>
          <w:tcPr>
            <w:tcW w:w="4340" w:type="dxa"/>
            <w:gridSpan w:val="2"/>
            <w:tcBorders>
              <w:top w:val="single" w:sz="4" w:space="0" w:color="auto"/>
              <w:left w:val="single" w:sz="4" w:space="0" w:color="auto"/>
              <w:bottom w:val="single" w:sz="4" w:space="0" w:color="auto"/>
              <w:right w:val="single" w:sz="4" w:space="0" w:color="auto"/>
            </w:tcBorders>
            <w:noWrap/>
            <w:vAlign w:val="center"/>
          </w:tcPr>
          <w:p w14:paraId="449C466E" w14:textId="77777777" w:rsidR="00A67F21" w:rsidRPr="00B12FE0" w:rsidRDefault="00000000">
            <w:pPr>
              <w:adjustRightInd w:val="0"/>
              <w:snapToGrid w:val="0"/>
              <w:jc w:val="center"/>
              <w:rPr>
                <w:bCs/>
                <w:color w:val="000000" w:themeColor="text1"/>
                <w:sz w:val="21"/>
                <w:szCs w:val="21"/>
              </w:rPr>
            </w:pPr>
            <w:r w:rsidRPr="00B12FE0">
              <w:rPr>
                <w:rFonts w:eastAsia="等线" w:hint="eastAsia"/>
                <w:color w:val="000000" w:themeColor="text1"/>
                <w:kern w:val="0"/>
                <w:sz w:val="21"/>
                <w:szCs w:val="21"/>
              </w:rPr>
              <w:t>200</w:t>
            </w:r>
            <w:r w:rsidRPr="00B12FE0">
              <w:rPr>
                <w:rFonts w:eastAsia="等线"/>
                <w:color w:val="000000" w:themeColor="text1"/>
                <w:kern w:val="0"/>
                <w:sz w:val="21"/>
                <w:szCs w:val="21"/>
              </w:rPr>
              <w:t>0mm</w:t>
            </w:r>
          </w:p>
        </w:tc>
        <w:tc>
          <w:tcPr>
            <w:tcW w:w="1797" w:type="dxa"/>
            <w:tcBorders>
              <w:top w:val="single" w:sz="4" w:space="0" w:color="auto"/>
              <w:left w:val="single" w:sz="4" w:space="0" w:color="auto"/>
              <w:bottom w:val="single" w:sz="4" w:space="0" w:color="auto"/>
              <w:right w:val="single" w:sz="4" w:space="0" w:color="auto"/>
            </w:tcBorders>
            <w:noWrap/>
            <w:vAlign w:val="center"/>
          </w:tcPr>
          <w:p w14:paraId="3A46CC91" w14:textId="77777777" w:rsidR="00A67F21" w:rsidRPr="00B12FE0" w:rsidRDefault="00000000">
            <w:pPr>
              <w:adjustRightInd w:val="0"/>
              <w:snapToGrid w:val="0"/>
              <w:jc w:val="center"/>
              <w:rPr>
                <w:rFonts w:eastAsia="等线"/>
                <w:color w:val="000000" w:themeColor="text1"/>
                <w:kern w:val="0"/>
                <w:sz w:val="21"/>
                <w:szCs w:val="21"/>
              </w:rPr>
            </w:pPr>
            <w:r w:rsidRPr="00B12FE0">
              <w:rPr>
                <w:rFonts w:hint="eastAsia"/>
                <w:bCs/>
                <w:color w:val="000000" w:themeColor="text1"/>
                <w:sz w:val="21"/>
                <w:szCs w:val="21"/>
              </w:rPr>
              <w:t>/</w:t>
            </w:r>
          </w:p>
        </w:tc>
      </w:tr>
      <w:tr w:rsidR="00A67F21" w:rsidRPr="00B12FE0" w14:paraId="31CF8956" w14:textId="77777777">
        <w:trPr>
          <w:trHeight w:val="340"/>
          <w:jc w:val="center"/>
        </w:trPr>
        <w:tc>
          <w:tcPr>
            <w:tcW w:w="863" w:type="dxa"/>
            <w:vMerge/>
            <w:tcBorders>
              <w:left w:val="single" w:sz="4" w:space="0" w:color="auto"/>
              <w:right w:val="single" w:sz="4" w:space="0" w:color="auto"/>
            </w:tcBorders>
            <w:vAlign w:val="center"/>
          </w:tcPr>
          <w:p w14:paraId="5314070A" w14:textId="77777777" w:rsidR="00A67F21" w:rsidRPr="00B12FE0" w:rsidRDefault="00A67F21">
            <w:pPr>
              <w:widowControl/>
              <w:jc w:val="center"/>
              <w:rPr>
                <w:bCs/>
                <w:color w:val="000000" w:themeColor="text1"/>
                <w:sz w:val="21"/>
                <w:szCs w:val="21"/>
              </w:rPr>
            </w:pPr>
          </w:p>
        </w:tc>
        <w:tc>
          <w:tcPr>
            <w:tcW w:w="2015" w:type="dxa"/>
            <w:gridSpan w:val="2"/>
            <w:tcBorders>
              <w:top w:val="single" w:sz="4" w:space="0" w:color="auto"/>
              <w:left w:val="single" w:sz="4" w:space="0" w:color="auto"/>
              <w:bottom w:val="single" w:sz="4" w:space="0" w:color="auto"/>
              <w:right w:val="single" w:sz="4" w:space="0" w:color="auto"/>
            </w:tcBorders>
            <w:noWrap/>
            <w:vAlign w:val="center"/>
          </w:tcPr>
          <w:p w14:paraId="425EDE54" w14:textId="77777777" w:rsidR="00A67F21" w:rsidRPr="00B12FE0" w:rsidRDefault="00000000">
            <w:pPr>
              <w:adjustRightInd w:val="0"/>
              <w:snapToGrid w:val="0"/>
              <w:jc w:val="center"/>
              <w:rPr>
                <w:bCs/>
                <w:color w:val="000000" w:themeColor="text1"/>
                <w:sz w:val="21"/>
                <w:szCs w:val="21"/>
              </w:rPr>
            </w:pPr>
            <w:r w:rsidRPr="00B12FE0">
              <w:rPr>
                <w:rFonts w:ascii="宋体" w:hAnsi="宋体" w:hint="eastAsia"/>
                <w:color w:val="000000" w:themeColor="text1"/>
                <w:kern w:val="0"/>
                <w:sz w:val="21"/>
                <w:szCs w:val="21"/>
              </w:rPr>
              <w:t>迷道内入口宽度</w:t>
            </w:r>
          </w:p>
        </w:tc>
        <w:tc>
          <w:tcPr>
            <w:tcW w:w="4340" w:type="dxa"/>
            <w:gridSpan w:val="2"/>
            <w:tcBorders>
              <w:top w:val="single" w:sz="4" w:space="0" w:color="auto"/>
              <w:left w:val="single" w:sz="4" w:space="0" w:color="auto"/>
              <w:bottom w:val="single" w:sz="4" w:space="0" w:color="auto"/>
              <w:right w:val="single" w:sz="4" w:space="0" w:color="auto"/>
            </w:tcBorders>
            <w:noWrap/>
            <w:vAlign w:val="center"/>
          </w:tcPr>
          <w:p w14:paraId="4C84123C" w14:textId="77777777" w:rsidR="00A67F21" w:rsidRPr="00B12FE0" w:rsidRDefault="00000000">
            <w:pPr>
              <w:adjustRightInd w:val="0"/>
              <w:snapToGrid w:val="0"/>
              <w:jc w:val="center"/>
              <w:rPr>
                <w:bCs/>
                <w:color w:val="000000" w:themeColor="text1"/>
                <w:sz w:val="21"/>
                <w:szCs w:val="21"/>
              </w:rPr>
            </w:pPr>
            <w:r w:rsidRPr="00B12FE0">
              <w:rPr>
                <w:rFonts w:eastAsia="等线" w:hint="eastAsia"/>
                <w:color w:val="000000" w:themeColor="text1"/>
                <w:kern w:val="0"/>
                <w:sz w:val="21"/>
                <w:szCs w:val="21"/>
              </w:rPr>
              <w:t>3100</w:t>
            </w:r>
            <w:r w:rsidRPr="00B12FE0">
              <w:rPr>
                <w:rFonts w:eastAsia="等线"/>
                <w:color w:val="000000" w:themeColor="text1"/>
                <w:kern w:val="0"/>
                <w:sz w:val="21"/>
                <w:szCs w:val="21"/>
              </w:rPr>
              <w:t>mm</w:t>
            </w:r>
          </w:p>
        </w:tc>
        <w:tc>
          <w:tcPr>
            <w:tcW w:w="1797" w:type="dxa"/>
            <w:tcBorders>
              <w:top w:val="single" w:sz="4" w:space="0" w:color="auto"/>
              <w:left w:val="single" w:sz="4" w:space="0" w:color="auto"/>
              <w:bottom w:val="single" w:sz="4" w:space="0" w:color="auto"/>
              <w:right w:val="single" w:sz="4" w:space="0" w:color="auto"/>
            </w:tcBorders>
            <w:noWrap/>
            <w:vAlign w:val="center"/>
          </w:tcPr>
          <w:p w14:paraId="01BC59D9" w14:textId="77777777" w:rsidR="00A67F21" w:rsidRPr="00B12FE0" w:rsidRDefault="00000000">
            <w:pPr>
              <w:adjustRightInd w:val="0"/>
              <w:snapToGrid w:val="0"/>
              <w:jc w:val="center"/>
              <w:rPr>
                <w:rFonts w:eastAsia="等线"/>
                <w:color w:val="000000" w:themeColor="text1"/>
                <w:kern w:val="0"/>
                <w:sz w:val="21"/>
                <w:szCs w:val="21"/>
              </w:rPr>
            </w:pPr>
            <w:r w:rsidRPr="00B12FE0">
              <w:rPr>
                <w:rFonts w:hint="eastAsia"/>
                <w:bCs/>
                <w:color w:val="000000" w:themeColor="text1"/>
                <w:sz w:val="21"/>
                <w:szCs w:val="21"/>
              </w:rPr>
              <w:t>/</w:t>
            </w:r>
          </w:p>
        </w:tc>
      </w:tr>
      <w:tr w:rsidR="00A67F21" w:rsidRPr="00B12FE0" w14:paraId="7BC497A5" w14:textId="77777777">
        <w:trPr>
          <w:trHeight w:val="340"/>
          <w:jc w:val="center"/>
        </w:trPr>
        <w:tc>
          <w:tcPr>
            <w:tcW w:w="863" w:type="dxa"/>
            <w:vMerge/>
            <w:tcBorders>
              <w:left w:val="single" w:sz="4" w:space="0" w:color="auto"/>
              <w:right w:val="single" w:sz="4" w:space="0" w:color="auto"/>
            </w:tcBorders>
            <w:vAlign w:val="center"/>
          </w:tcPr>
          <w:p w14:paraId="01D4883B" w14:textId="77777777" w:rsidR="00A67F21" w:rsidRPr="00B12FE0" w:rsidRDefault="00A67F21">
            <w:pPr>
              <w:widowControl/>
              <w:jc w:val="center"/>
              <w:rPr>
                <w:bCs/>
                <w:color w:val="000000" w:themeColor="text1"/>
                <w:sz w:val="21"/>
                <w:szCs w:val="21"/>
              </w:rPr>
            </w:pPr>
          </w:p>
        </w:tc>
        <w:tc>
          <w:tcPr>
            <w:tcW w:w="2015" w:type="dxa"/>
            <w:gridSpan w:val="2"/>
            <w:tcBorders>
              <w:top w:val="single" w:sz="4" w:space="0" w:color="auto"/>
              <w:left w:val="single" w:sz="4" w:space="0" w:color="auto"/>
              <w:bottom w:val="single" w:sz="4" w:space="0" w:color="auto"/>
              <w:right w:val="single" w:sz="4" w:space="0" w:color="auto"/>
            </w:tcBorders>
            <w:noWrap/>
            <w:vAlign w:val="center"/>
          </w:tcPr>
          <w:p w14:paraId="517AFDB3" w14:textId="77777777" w:rsidR="00A67F21" w:rsidRPr="00B12FE0" w:rsidRDefault="00000000">
            <w:pPr>
              <w:adjustRightInd w:val="0"/>
              <w:snapToGrid w:val="0"/>
              <w:jc w:val="center"/>
              <w:rPr>
                <w:bCs/>
                <w:color w:val="000000" w:themeColor="text1"/>
                <w:sz w:val="21"/>
                <w:szCs w:val="21"/>
              </w:rPr>
            </w:pPr>
            <w:r w:rsidRPr="00B12FE0">
              <w:rPr>
                <w:rFonts w:ascii="宋体" w:hAnsi="宋体" w:hint="eastAsia"/>
                <w:color w:val="000000" w:themeColor="text1"/>
                <w:kern w:val="0"/>
                <w:sz w:val="21"/>
                <w:szCs w:val="21"/>
              </w:rPr>
              <w:t>迷道外入口（门洞）宽度</w:t>
            </w:r>
          </w:p>
        </w:tc>
        <w:tc>
          <w:tcPr>
            <w:tcW w:w="4340" w:type="dxa"/>
            <w:gridSpan w:val="2"/>
            <w:tcBorders>
              <w:top w:val="single" w:sz="4" w:space="0" w:color="auto"/>
              <w:left w:val="single" w:sz="4" w:space="0" w:color="auto"/>
              <w:bottom w:val="single" w:sz="4" w:space="0" w:color="auto"/>
              <w:right w:val="single" w:sz="4" w:space="0" w:color="auto"/>
            </w:tcBorders>
            <w:noWrap/>
            <w:vAlign w:val="center"/>
          </w:tcPr>
          <w:p w14:paraId="766393B1" w14:textId="77777777" w:rsidR="00A67F21" w:rsidRPr="00B12FE0" w:rsidRDefault="00000000">
            <w:pPr>
              <w:adjustRightInd w:val="0"/>
              <w:snapToGrid w:val="0"/>
              <w:jc w:val="center"/>
              <w:rPr>
                <w:bCs/>
                <w:color w:val="000000" w:themeColor="text1"/>
                <w:sz w:val="21"/>
                <w:szCs w:val="21"/>
              </w:rPr>
            </w:pPr>
            <w:r w:rsidRPr="00B12FE0">
              <w:rPr>
                <w:rFonts w:eastAsia="等线" w:hint="eastAsia"/>
                <w:color w:val="000000" w:themeColor="text1"/>
                <w:kern w:val="0"/>
                <w:sz w:val="21"/>
                <w:szCs w:val="21"/>
              </w:rPr>
              <w:t>200</w:t>
            </w:r>
            <w:r w:rsidRPr="00B12FE0">
              <w:rPr>
                <w:rFonts w:eastAsia="等线"/>
                <w:color w:val="000000" w:themeColor="text1"/>
                <w:kern w:val="0"/>
                <w:sz w:val="21"/>
                <w:szCs w:val="21"/>
              </w:rPr>
              <w:t>0mm</w:t>
            </w:r>
          </w:p>
        </w:tc>
        <w:tc>
          <w:tcPr>
            <w:tcW w:w="1797" w:type="dxa"/>
            <w:tcBorders>
              <w:top w:val="single" w:sz="4" w:space="0" w:color="auto"/>
              <w:left w:val="single" w:sz="4" w:space="0" w:color="auto"/>
              <w:bottom w:val="single" w:sz="4" w:space="0" w:color="auto"/>
              <w:right w:val="single" w:sz="4" w:space="0" w:color="auto"/>
            </w:tcBorders>
            <w:noWrap/>
            <w:vAlign w:val="center"/>
          </w:tcPr>
          <w:p w14:paraId="6525F212" w14:textId="77777777" w:rsidR="00A67F21" w:rsidRPr="00B12FE0" w:rsidRDefault="00000000">
            <w:pPr>
              <w:adjustRightInd w:val="0"/>
              <w:snapToGrid w:val="0"/>
              <w:jc w:val="center"/>
              <w:rPr>
                <w:rFonts w:eastAsia="等线"/>
                <w:color w:val="000000" w:themeColor="text1"/>
                <w:kern w:val="0"/>
                <w:sz w:val="21"/>
                <w:szCs w:val="21"/>
              </w:rPr>
            </w:pPr>
            <w:r w:rsidRPr="00B12FE0">
              <w:rPr>
                <w:rFonts w:hint="eastAsia"/>
                <w:bCs/>
                <w:color w:val="000000" w:themeColor="text1"/>
                <w:sz w:val="21"/>
                <w:szCs w:val="21"/>
              </w:rPr>
              <w:t>/</w:t>
            </w:r>
          </w:p>
        </w:tc>
      </w:tr>
      <w:tr w:rsidR="00A67F21" w:rsidRPr="00B12FE0" w14:paraId="680F73AB" w14:textId="77777777">
        <w:trPr>
          <w:trHeight w:val="340"/>
          <w:jc w:val="center"/>
        </w:trPr>
        <w:tc>
          <w:tcPr>
            <w:tcW w:w="863" w:type="dxa"/>
            <w:vMerge/>
            <w:tcBorders>
              <w:left w:val="single" w:sz="4" w:space="0" w:color="auto"/>
              <w:bottom w:val="single" w:sz="4" w:space="0" w:color="auto"/>
              <w:right w:val="single" w:sz="4" w:space="0" w:color="auto"/>
            </w:tcBorders>
            <w:vAlign w:val="center"/>
          </w:tcPr>
          <w:p w14:paraId="3FFA7F7D" w14:textId="77777777" w:rsidR="00A67F21" w:rsidRPr="00B12FE0" w:rsidRDefault="00A67F21">
            <w:pPr>
              <w:widowControl/>
              <w:jc w:val="center"/>
              <w:rPr>
                <w:bCs/>
                <w:color w:val="000000" w:themeColor="text1"/>
                <w:sz w:val="21"/>
                <w:szCs w:val="21"/>
              </w:rPr>
            </w:pPr>
          </w:p>
        </w:tc>
        <w:tc>
          <w:tcPr>
            <w:tcW w:w="2015" w:type="dxa"/>
            <w:gridSpan w:val="2"/>
            <w:tcBorders>
              <w:top w:val="single" w:sz="4" w:space="0" w:color="auto"/>
              <w:left w:val="single" w:sz="4" w:space="0" w:color="auto"/>
              <w:bottom w:val="single" w:sz="4" w:space="0" w:color="auto"/>
              <w:right w:val="single" w:sz="4" w:space="0" w:color="auto"/>
            </w:tcBorders>
            <w:noWrap/>
            <w:vAlign w:val="center"/>
          </w:tcPr>
          <w:p w14:paraId="07F9C3A4" w14:textId="77777777" w:rsidR="00A67F21" w:rsidRPr="00B12FE0" w:rsidRDefault="00000000">
            <w:pPr>
              <w:adjustRightInd w:val="0"/>
              <w:snapToGrid w:val="0"/>
              <w:jc w:val="center"/>
              <w:rPr>
                <w:bCs/>
                <w:color w:val="000000" w:themeColor="text1"/>
                <w:sz w:val="21"/>
                <w:szCs w:val="21"/>
              </w:rPr>
            </w:pPr>
            <w:r w:rsidRPr="00B12FE0">
              <w:rPr>
                <w:rFonts w:ascii="宋体" w:hAnsi="宋体" w:hint="eastAsia"/>
                <w:color w:val="000000" w:themeColor="text1"/>
                <w:kern w:val="0"/>
                <w:sz w:val="21"/>
                <w:szCs w:val="21"/>
              </w:rPr>
              <w:t>机房净高</w:t>
            </w:r>
          </w:p>
        </w:tc>
        <w:tc>
          <w:tcPr>
            <w:tcW w:w="4340" w:type="dxa"/>
            <w:gridSpan w:val="2"/>
            <w:tcBorders>
              <w:top w:val="single" w:sz="4" w:space="0" w:color="auto"/>
              <w:left w:val="single" w:sz="4" w:space="0" w:color="auto"/>
              <w:bottom w:val="single" w:sz="4" w:space="0" w:color="auto"/>
              <w:right w:val="single" w:sz="4" w:space="0" w:color="auto"/>
            </w:tcBorders>
            <w:noWrap/>
            <w:vAlign w:val="center"/>
          </w:tcPr>
          <w:p w14:paraId="13D32D44" w14:textId="77777777" w:rsidR="00A67F21" w:rsidRPr="00B12FE0" w:rsidRDefault="00000000">
            <w:pPr>
              <w:adjustRightInd w:val="0"/>
              <w:snapToGrid w:val="0"/>
              <w:jc w:val="center"/>
              <w:rPr>
                <w:bCs/>
                <w:color w:val="000000" w:themeColor="text1"/>
                <w:sz w:val="21"/>
                <w:szCs w:val="21"/>
              </w:rPr>
            </w:pPr>
            <w:r w:rsidRPr="00B12FE0">
              <w:rPr>
                <w:rFonts w:eastAsia="等线" w:hint="eastAsia"/>
                <w:color w:val="000000" w:themeColor="text1"/>
                <w:kern w:val="0"/>
                <w:sz w:val="21"/>
                <w:szCs w:val="21"/>
              </w:rPr>
              <w:t>4900</w:t>
            </w:r>
            <w:r w:rsidRPr="00B12FE0">
              <w:rPr>
                <w:rFonts w:eastAsia="等线"/>
                <w:color w:val="000000" w:themeColor="text1"/>
                <w:kern w:val="0"/>
                <w:sz w:val="21"/>
                <w:szCs w:val="21"/>
              </w:rPr>
              <w:t>mm</w:t>
            </w:r>
          </w:p>
        </w:tc>
        <w:tc>
          <w:tcPr>
            <w:tcW w:w="1797" w:type="dxa"/>
            <w:tcBorders>
              <w:top w:val="single" w:sz="4" w:space="0" w:color="auto"/>
              <w:left w:val="single" w:sz="4" w:space="0" w:color="auto"/>
              <w:bottom w:val="single" w:sz="4" w:space="0" w:color="auto"/>
              <w:right w:val="single" w:sz="4" w:space="0" w:color="auto"/>
            </w:tcBorders>
            <w:noWrap/>
            <w:vAlign w:val="center"/>
          </w:tcPr>
          <w:p w14:paraId="277C5682" w14:textId="77777777" w:rsidR="00A67F21" w:rsidRPr="00B12FE0" w:rsidRDefault="00000000">
            <w:pPr>
              <w:adjustRightInd w:val="0"/>
              <w:snapToGrid w:val="0"/>
              <w:jc w:val="center"/>
              <w:rPr>
                <w:rFonts w:eastAsia="等线"/>
                <w:color w:val="000000" w:themeColor="text1"/>
                <w:kern w:val="0"/>
                <w:sz w:val="21"/>
                <w:szCs w:val="21"/>
              </w:rPr>
            </w:pPr>
            <w:r w:rsidRPr="00B12FE0">
              <w:rPr>
                <w:rFonts w:hint="eastAsia"/>
                <w:bCs/>
                <w:color w:val="000000" w:themeColor="text1"/>
                <w:sz w:val="21"/>
                <w:szCs w:val="21"/>
              </w:rPr>
              <w:t>/</w:t>
            </w:r>
          </w:p>
        </w:tc>
      </w:tr>
    </w:tbl>
    <w:p w14:paraId="33D55B09" w14:textId="77777777" w:rsidR="00A67F21" w:rsidRPr="00B12FE0" w:rsidRDefault="00000000">
      <w:pPr>
        <w:tabs>
          <w:tab w:val="left" w:pos="799"/>
        </w:tabs>
        <w:snapToGrid w:val="0"/>
        <w:spacing w:beforeLines="50" w:before="120" w:line="360" w:lineRule="auto"/>
        <w:contextualSpacing/>
        <w:jc w:val="center"/>
        <w:rPr>
          <w:color w:val="000000" w:themeColor="text1"/>
        </w:rPr>
      </w:pPr>
      <w:r w:rsidRPr="00B12FE0">
        <w:rPr>
          <w:noProof/>
          <w:color w:val="000000" w:themeColor="text1"/>
        </w:rPr>
        <w:lastRenderedPageBreak/>
        <w:drawing>
          <wp:inline distT="0" distB="0" distL="0" distR="0" wp14:anchorId="618C117B" wp14:editId="55878601">
            <wp:extent cx="5732145" cy="4011930"/>
            <wp:effectExtent l="0" t="0" r="1905" b="7620"/>
            <wp:docPr id="2106002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02676" name="图片 1"/>
                    <pic:cNvPicPr>
                      <a:picLocks noChangeAspect="1"/>
                    </pic:cNvPicPr>
                  </pic:nvPicPr>
                  <pic:blipFill>
                    <a:blip r:embed="rId47"/>
                    <a:stretch>
                      <a:fillRect/>
                    </a:stretch>
                  </pic:blipFill>
                  <pic:spPr>
                    <a:xfrm>
                      <a:off x="0" y="0"/>
                      <a:ext cx="5732145" cy="4011930"/>
                    </a:xfrm>
                    <a:prstGeom prst="rect">
                      <a:avLst/>
                    </a:prstGeom>
                  </pic:spPr>
                </pic:pic>
              </a:graphicData>
            </a:graphic>
          </wp:inline>
        </w:drawing>
      </w:r>
    </w:p>
    <w:p w14:paraId="1B124209" w14:textId="77777777" w:rsidR="00A67F21" w:rsidRPr="00B12FE0" w:rsidRDefault="00000000">
      <w:pPr>
        <w:spacing w:line="360" w:lineRule="auto"/>
        <w:jc w:val="center"/>
        <w:rPr>
          <w:b/>
          <w:color w:val="000000" w:themeColor="text1"/>
          <w:sz w:val="21"/>
          <w:szCs w:val="21"/>
        </w:rPr>
      </w:pPr>
      <w:r w:rsidRPr="00B12FE0">
        <w:rPr>
          <w:b/>
          <w:color w:val="000000" w:themeColor="text1"/>
          <w:sz w:val="21"/>
          <w:szCs w:val="21"/>
        </w:rPr>
        <w:t>图</w:t>
      </w:r>
      <w:r w:rsidRPr="00B12FE0">
        <w:rPr>
          <w:b/>
          <w:bCs/>
          <w:color w:val="000000" w:themeColor="text1"/>
          <w:sz w:val="21"/>
          <w:szCs w:val="21"/>
        </w:rPr>
        <w:t xml:space="preserve">10.1.2-1  </w:t>
      </w:r>
      <w:r w:rsidRPr="00B12FE0">
        <w:rPr>
          <w:rFonts w:hint="eastAsia"/>
          <w:b/>
          <w:bCs/>
          <w:color w:val="000000" w:themeColor="text1"/>
          <w:sz w:val="21"/>
          <w:szCs w:val="21"/>
        </w:rPr>
        <w:t>本项目</w:t>
      </w:r>
      <w:r w:rsidRPr="00B12FE0">
        <w:rPr>
          <w:b/>
          <w:bCs/>
          <w:color w:val="000000" w:themeColor="text1"/>
          <w:sz w:val="21"/>
          <w:szCs w:val="21"/>
        </w:rPr>
        <w:t>直线</w:t>
      </w:r>
      <w:r w:rsidRPr="00B12FE0">
        <w:rPr>
          <w:b/>
          <w:color w:val="000000" w:themeColor="text1"/>
          <w:sz w:val="21"/>
          <w:szCs w:val="21"/>
        </w:rPr>
        <w:t>加速器机房平面图（单位：</w:t>
      </w:r>
      <w:r w:rsidRPr="00B12FE0">
        <w:rPr>
          <w:b/>
          <w:color w:val="000000" w:themeColor="text1"/>
          <w:sz w:val="21"/>
          <w:szCs w:val="21"/>
        </w:rPr>
        <w:t>mm</w:t>
      </w:r>
      <w:r w:rsidRPr="00B12FE0">
        <w:rPr>
          <w:b/>
          <w:color w:val="000000" w:themeColor="text1"/>
          <w:sz w:val="21"/>
          <w:szCs w:val="21"/>
        </w:rPr>
        <w:t>）</w:t>
      </w:r>
    </w:p>
    <w:p w14:paraId="267C1DFA" w14:textId="77777777" w:rsidR="00A67F21" w:rsidRPr="00B12FE0" w:rsidRDefault="00000000">
      <w:pPr>
        <w:tabs>
          <w:tab w:val="left" w:pos="799"/>
        </w:tabs>
        <w:snapToGrid w:val="0"/>
        <w:spacing w:beforeLines="50" w:before="120" w:line="360" w:lineRule="auto"/>
        <w:contextualSpacing/>
        <w:jc w:val="center"/>
        <w:rPr>
          <w:b/>
          <w:bCs/>
          <w:color w:val="000000" w:themeColor="text1"/>
        </w:rPr>
      </w:pPr>
      <w:r w:rsidRPr="00B12FE0">
        <w:rPr>
          <w:noProof/>
          <w:color w:val="000000" w:themeColor="text1"/>
        </w:rPr>
        <w:drawing>
          <wp:inline distT="0" distB="0" distL="0" distR="0" wp14:anchorId="4B2CCAE6" wp14:editId="1070C109">
            <wp:extent cx="5189855" cy="3370580"/>
            <wp:effectExtent l="0" t="0" r="0" b="1270"/>
            <wp:docPr id="1810020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20523" name="图片 1"/>
                    <pic:cNvPicPr>
                      <a:picLocks noChangeAspect="1"/>
                    </pic:cNvPicPr>
                  </pic:nvPicPr>
                  <pic:blipFill>
                    <a:blip r:embed="rId48"/>
                    <a:stretch>
                      <a:fillRect/>
                    </a:stretch>
                  </pic:blipFill>
                  <pic:spPr>
                    <a:xfrm>
                      <a:off x="0" y="0"/>
                      <a:ext cx="5193406" cy="3373096"/>
                    </a:xfrm>
                    <a:prstGeom prst="rect">
                      <a:avLst/>
                    </a:prstGeom>
                  </pic:spPr>
                </pic:pic>
              </a:graphicData>
            </a:graphic>
          </wp:inline>
        </w:drawing>
      </w:r>
    </w:p>
    <w:p w14:paraId="0296B6F9" w14:textId="77777777" w:rsidR="00A67F21" w:rsidRPr="00B12FE0" w:rsidRDefault="00000000">
      <w:pPr>
        <w:tabs>
          <w:tab w:val="left" w:pos="799"/>
        </w:tabs>
        <w:snapToGrid w:val="0"/>
        <w:spacing w:beforeLines="50" w:before="120" w:line="360" w:lineRule="auto"/>
        <w:contextualSpacing/>
        <w:jc w:val="center"/>
        <w:rPr>
          <w:b/>
          <w:bCs/>
          <w:color w:val="000000" w:themeColor="text1"/>
        </w:rPr>
      </w:pPr>
      <w:r w:rsidRPr="00B12FE0">
        <w:rPr>
          <w:b/>
          <w:color w:val="000000" w:themeColor="text1"/>
          <w:sz w:val="21"/>
          <w:szCs w:val="21"/>
        </w:rPr>
        <w:t>图</w:t>
      </w:r>
      <w:r w:rsidRPr="00B12FE0">
        <w:rPr>
          <w:b/>
          <w:bCs/>
          <w:color w:val="000000" w:themeColor="text1"/>
          <w:sz w:val="21"/>
          <w:szCs w:val="21"/>
        </w:rPr>
        <w:t>10.1.2-</w:t>
      </w:r>
      <w:r w:rsidRPr="00B12FE0">
        <w:rPr>
          <w:rFonts w:hint="eastAsia"/>
          <w:b/>
          <w:bCs/>
          <w:color w:val="000000" w:themeColor="text1"/>
          <w:sz w:val="21"/>
          <w:szCs w:val="21"/>
        </w:rPr>
        <w:t>2</w:t>
      </w:r>
      <w:r w:rsidRPr="00B12FE0">
        <w:rPr>
          <w:b/>
          <w:bCs/>
          <w:color w:val="000000" w:themeColor="text1"/>
          <w:sz w:val="21"/>
          <w:szCs w:val="21"/>
        </w:rPr>
        <w:t xml:space="preserve">  </w:t>
      </w:r>
      <w:r w:rsidRPr="00B12FE0">
        <w:rPr>
          <w:rFonts w:hint="eastAsia"/>
          <w:b/>
          <w:bCs/>
          <w:color w:val="000000" w:themeColor="text1"/>
          <w:sz w:val="21"/>
          <w:szCs w:val="21"/>
        </w:rPr>
        <w:t>本项目</w:t>
      </w:r>
      <w:r w:rsidRPr="00B12FE0">
        <w:rPr>
          <w:b/>
          <w:bCs/>
          <w:color w:val="000000" w:themeColor="text1"/>
          <w:sz w:val="21"/>
          <w:szCs w:val="21"/>
        </w:rPr>
        <w:t>直线</w:t>
      </w:r>
      <w:r w:rsidRPr="00B12FE0">
        <w:rPr>
          <w:b/>
          <w:color w:val="000000" w:themeColor="text1"/>
          <w:sz w:val="21"/>
          <w:szCs w:val="21"/>
        </w:rPr>
        <w:t>加速器机房</w:t>
      </w:r>
      <w:r w:rsidRPr="00B12FE0">
        <w:rPr>
          <w:rFonts w:hint="eastAsia"/>
          <w:b/>
          <w:color w:val="000000" w:themeColor="text1"/>
          <w:sz w:val="21"/>
          <w:szCs w:val="21"/>
        </w:rPr>
        <w:t>南北剖面</w:t>
      </w:r>
      <w:r w:rsidRPr="00B12FE0">
        <w:rPr>
          <w:b/>
          <w:color w:val="000000" w:themeColor="text1"/>
          <w:sz w:val="21"/>
          <w:szCs w:val="21"/>
        </w:rPr>
        <w:t>图（单位：</w:t>
      </w:r>
      <w:r w:rsidRPr="00B12FE0">
        <w:rPr>
          <w:b/>
          <w:color w:val="000000" w:themeColor="text1"/>
          <w:sz w:val="21"/>
          <w:szCs w:val="21"/>
        </w:rPr>
        <w:t>mm</w:t>
      </w:r>
      <w:r w:rsidRPr="00B12FE0">
        <w:rPr>
          <w:b/>
          <w:color w:val="000000" w:themeColor="text1"/>
          <w:sz w:val="21"/>
          <w:szCs w:val="21"/>
        </w:rPr>
        <w:t>）</w:t>
      </w:r>
    </w:p>
    <w:p w14:paraId="6AF615F1" w14:textId="77777777" w:rsidR="00A67F21" w:rsidRPr="00B12FE0" w:rsidRDefault="00000000">
      <w:pPr>
        <w:tabs>
          <w:tab w:val="left" w:pos="799"/>
        </w:tabs>
        <w:snapToGrid w:val="0"/>
        <w:spacing w:beforeLines="50" w:before="120" w:line="360" w:lineRule="auto"/>
        <w:contextualSpacing/>
        <w:jc w:val="center"/>
        <w:rPr>
          <w:b/>
          <w:bCs/>
          <w:color w:val="000000" w:themeColor="text1"/>
        </w:rPr>
      </w:pPr>
      <w:r w:rsidRPr="00B12FE0">
        <w:rPr>
          <w:noProof/>
          <w:color w:val="000000" w:themeColor="text1"/>
        </w:rPr>
        <w:lastRenderedPageBreak/>
        <w:drawing>
          <wp:inline distT="0" distB="0" distL="0" distR="0" wp14:anchorId="50AA23D3" wp14:editId="2A2D4047">
            <wp:extent cx="5732145" cy="2136775"/>
            <wp:effectExtent l="0" t="0" r="1905" b="0"/>
            <wp:docPr id="717604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04445" name="图片 1"/>
                    <pic:cNvPicPr>
                      <a:picLocks noChangeAspect="1"/>
                    </pic:cNvPicPr>
                  </pic:nvPicPr>
                  <pic:blipFill>
                    <a:blip r:embed="rId49"/>
                    <a:stretch>
                      <a:fillRect/>
                    </a:stretch>
                  </pic:blipFill>
                  <pic:spPr>
                    <a:xfrm>
                      <a:off x="0" y="0"/>
                      <a:ext cx="5732145" cy="2136775"/>
                    </a:xfrm>
                    <a:prstGeom prst="rect">
                      <a:avLst/>
                    </a:prstGeom>
                  </pic:spPr>
                </pic:pic>
              </a:graphicData>
            </a:graphic>
          </wp:inline>
        </w:drawing>
      </w:r>
    </w:p>
    <w:p w14:paraId="7DB4B430" w14:textId="77777777" w:rsidR="00A67F21" w:rsidRPr="00B12FE0" w:rsidRDefault="00000000">
      <w:pPr>
        <w:tabs>
          <w:tab w:val="left" w:pos="799"/>
        </w:tabs>
        <w:snapToGrid w:val="0"/>
        <w:spacing w:beforeLines="50" w:before="120" w:line="360" w:lineRule="auto"/>
        <w:contextualSpacing/>
        <w:jc w:val="center"/>
        <w:rPr>
          <w:b/>
          <w:bCs/>
          <w:color w:val="000000" w:themeColor="text1"/>
          <w:sz w:val="21"/>
          <w:szCs w:val="21"/>
        </w:rPr>
      </w:pPr>
      <w:r w:rsidRPr="00B12FE0">
        <w:rPr>
          <w:b/>
          <w:color w:val="000000" w:themeColor="text1"/>
          <w:sz w:val="21"/>
          <w:szCs w:val="21"/>
        </w:rPr>
        <w:t>图</w:t>
      </w:r>
      <w:r w:rsidRPr="00B12FE0">
        <w:rPr>
          <w:b/>
          <w:bCs/>
          <w:color w:val="000000" w:themeColor="text1"/>
          <w:sz w:val="21"/>
          <w:szCs w:val="21"/>
        </w:rPr>
        <w:t>10.1.2-</w:t>
      </w:r>
      <w:r w:rsidRPr="00B12FE0">
        <w:rPr>
          <w:rFonts w:hint="eastAsia"/>
          <w:b/>
          <w:bCs/>
          <w:color w:val="000000" w:themeColor="text1"/>
          <w:sz w:val="21"/>
          <w:szCs w:val="21"/>
        </w:rPr>
        <w:t>3</w:t>
      </w:r>
      <w:r w:rsidRPr="00B12FE0">
        <w:rPr>
          <w:b/>
          <w:bCs/>
          <w:color w:val="000000" w:themeColor="text1"/>
          <w:sz w:val="21"/>
          <w:szCs w:val="21"/>
        </w:rPr>
        <w:t xml:space="preserve">  </w:t>
      </w:r>
      <w:r w:rsidRPr="00B12FE0">
        <w:rPr>
          <w:rFonts w:hint="eastAsia"/>
          <w:b/>
          <w:bCs/>
          <w:color w:val="000000" w:themeColor="text1"/>
          <w:sz w:val="21"/>
          <w:szCs w:val="21"/>
        </w:rPr>
        <w:t>本项目</w:t>
      </w:r>
      <w:r w:rsidRPr="00B12FE0">
        <w:rPr>
          <w:b/>
          <w:bCs/>
          <w:color w:val="000000" w:themeColor="text1"/>
          <w:sz w:val="21"/>
          <w:szCs w:val="21"/>
        </w:rPr>
        <w:t>直线</w:t>
      </w:r>
      <w:r w:rsidRPr="00B12FE0">
        <w:rPr>
          <w:b/>
          <w:color w:val="000000" w:themeColor="text1"/>
          <w:sz w:val="21"/>
          <w:szCs w:val="21"/>
        </w:rPr>
        <w:t>加速器机房</w:t>
      </w:r>
      <w:r w:rsidRPr="00B12FE0">
        <w:rPr>
          <w:rFonts w:hint="eastAsia"/>
          <w:b/>
          <w:color w:val="000000" w:themeColor="text1"/>
          <w:sz w:val="21"/>
          <w:szCs w:val="21"/>
        </w:rPr>
        <w:t>东西剖面</w:t>
      </w:r>
      <w:r w:rsidRPr="00B12FE0">
        <w:rPr>
          <w:b/>
          <w:color w:val="000000" w:themeColor="text1"/>
          <w:sz w:val="21"/>
          <w:szCs w:val="21"/>
        </w:rPr>
        <w:t>图（单位：</w:t>
      </w:r>
      <w:r w:rsidRPr="00B12FE0">
        <w:rPr>
          <w:b/>
          <w:color w:val="000000" w:themeColor="text1"/>
          <w:sz w:val="21"/>
          <w:szCs w:val="21"/>
        </w:rPr>
        <w:t>mm</w:t>
      </w:r>
      <w:r w:rsidRPr="00B12FE0">
        <w:rPr>
          <w:b/>
          <w:color w:val="000000" w:themeColor="text1"/>
          <w:sz w:val="21"/>
          <w:szCs w:val="21"/>
        </w:rPr>
        <w:t>）</w:t>
      </w:r>
    </w:p>
    <w:p w14:paraId="18718D1A" w14:textId="77777777" w:rsidR="00A67F21" w:rsidRPr="00B12FE0" w:rsidRDefault="00000000">
      <w:pPr>
        <w:tabs>
          <w:tab w:val="left" w:pos="799"/>
        </w:tabs>
        <w:snapToGrid w:val="0"/>
        <w:spacing w:beforeLines="50" w:before="120" w:line="360" w:lineRule="auto"/>
        <w:contextualSpacing/>
        <w:outlineLvl w:val="4"/>
        <w:rPr>
          <w:b/>
          <w:color w:val="000000" w:themeColor="text1"/>
        </w:rPr>
      </w:pPr>
      <w:r w:rsidRPr="00B12FE0">
        <w:rPr>
          <w:rFonts w:hint="eastAsia"/>
          <w:b/>
          <w:bCs/>
          <w:color w:val="000000" w:themeColor="text1"/>
        </w:rPr>
        <w:t>10.1</w:t>
      </w:r>
      <w:r w:rsidRPr="00B12FE0">
        <w:rPr>
          <w:b/>
          <w:bCs/>
          <w:color w:val="000000" w:themeColor="text1"/>
        </w:rPr>
        <w:t>.2</w:t>
      </w:r>
      <w:r w:rsidRPr="00B12FE0">
        <w:rPr>
          <w:rFonts w:hint="eastAsia"/>
          <w:b/>
          <w:bCs/>
          <w:color w:val="000000" w:themeColor="text1"/>
        </w:rPr>
        <w:t>.</w:t>
      </w:r>
      <w:r w:rsidRPr="00B12FE0">
        <w:rPr>
          <w:b/>
          <w:bCs/>
          <w:color w:val="000000" w:themeColor="text1"/>
        </w:rPr>
        <w:t>1</w:t>
      </w:r>
      <w:r w:rsidRPr="00B12FE0">
        <w:rPr>
          <w:rFonts w:hint="eastAsia"/>
          <w:b/>
          <w:bCs/>
          <w:color w:val="000000" w:themeColor="text1"/>
        </w:rPr>
        <w:t>.</w:t>
      </w:r>
      <w:r w:rsidRPr="00B12FE0">
        <w:rPr>
          <w:b/>
          <w:bCs/>
          <w:color w:val="000000" w:themeColor="text1"/>
        </w:rPr>
        <w:t>2</w:t>
      </w:r>
      <w:r w:rsidRPr="00B12FE0">
        <w:rPr>
          <w:b/>
          <w:color w:val="000000" w:themeColor="text1"/>
        </w:rPr>
        <w:t>安全防护措施</w:t>
      </w:r>
    </w:p>
    <w:p w14:paraId="573ED511"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w:t>
      </w:r>
      <w:r w:rsidRPr="00B12FE0">
        <w:rPr>
          <w:color w:val="000000" w:themeColor="text1"/>
        </w:rPr>
        <w:t>1</w:t>
      </w:r>
      <w:r w:rsidRPr="00B12FE0">
        <w:rPr>
          <w:rFonts w:hint="eastAsia"/>
          <w:color w:val="000000" w:themeColor="text1"/>
        </w:rPr>
        <w:t>）设备固有安全性</w:t>
      </w:r>
    </w:p>
    <w:p w14:paraId="2080D6FA"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本项目直线加速器拟购于正规厂家，采用目前较先进的技术，设备各项安全措施齐备，本身具备多种安全防护措施。</w:t>
      </w:r>
    </w:p>
    <w:p w14:paraId="09C3FA95" w14:textId="77777777" w:rsidR="00A67F21" w:rsidRPr="00B12FE0" w:rsidRDefault="00000000">
      <w:pPr>
        <w:adjustRightInd w:val="0"/>
        <w:snapToGrid w:val="0"/>
        <w:spacing w:line="360" w:lineRule="auto"/>
        <w:ind w:firstLine="480"/>
        <w:rPr>
          <w:color w:val="000000" w:themeColor="text1"/>
          <w:kern w:val="0"/>
        </w:rPr>
      </w:pPr>
      <w:r w:rsidRPr="00B12FE0">
        <w:rPr>
          <w:color w:val="000000" w:themeColor="text1"/>
          <w:kern w:val="0"/>
        </w:rPr>
        <w:fldChar w:fldCharType="begin"/>
      </w:r>
      <w:r w:rsidRPr="00B12FE0">
        <w:rPr>
          <w:color w:val="000000" w:themeColor="text1"/>
          <w:kern w:val="0"/>
        </w:rPr>
        <w:instrText xml:space="preserve"> = 1 \* GB3 </w:instrText>
      </w:r>
      <w:r w:rsidRPr="00B12FE0">
        <w:rPr>
          <w:color w:val="000000" w:themeColor="text1"/>
          <w:kern w:val="0"/>
        </w:rPr>
        <w:fldChar w:fldCharType="separate"/>
      </w:r>
      <w:r w:rsidRPr="00B12FE0">
        <w:rPr>
          <w:rFonts w:ascii="宋体" w:hAnsi="宋体" w:hint="eastAsia"/>
          <w:color w:val="000000" w:themeColor="text1"/>
          <w:kern w:val="0"/>
        </w:rPr>
        <w:t>①</w:t>
      </w:r>
      <w:r w:rsidRPr="00B12FE0">
        <w:rPr>
          <w:color w:val="000000" w:themeColor="text1"/>
          <w:kern w:val="0"/>
        </w:rPr>
        <w:fldChar w:fldCharType="end"/>
      </w:r>
      <w:r w:rsidRPr="00B12FE0">
        <w:rPr>
          <w:rFonts w:hint="eastAsia"/>
          <w:color w:val="000000" w:themeColor="text1"/>
          <w:kern w:val="0"/>
        </w:rPr>
        <w:t>控制台上的显示装置可显示辐射类型、标称能量、照射时间、吸收剂量、治疗方式等参数，操作人员可以随时了解设备运行情况。</w:t>
      </w:r>
    </w:p>
    <w:p w14:paraId="3E70DDBA"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②</w:t>
      </w:r>
      <w:r w:rsidRPr="00B12FE0">
        <w:rPr>
          <w:rFonts w:hint="eastAsia"/>
          <w:color w:val="000000" w:themeColor="text1"/>
          <w:kern w:val="0"/>
        </w:rPr>
        <w:t>病人剂量监测与治疗控制安全</w:t>
      </w:r>
      <w:proofErr w:type="gramStart"/>
      <w:r w:rsidRPr="00B12FE0">
        <w:rPr>
          <w:rFonts w:hint="eastAsia"/>
          <w:color w:val="000000" w:themeColor="text1"/>
          <w:kern w:val="0"/>
        </w:rPr>
        <w:t>联锁</w:t>
      </w:r>
      <w:proofErr w:type="gramEnd"/>
      <w:r w:rsidRPr="00B12FE0">
        <w:rPr>
          <w:rFonts w:hint="eastAsia"/>
          <w:color w:val="000000" w:themeColor="text1"/>
          <w:kern w:val="0"/>
        </w:rPr>
        <w:t>。为保证病人治疗剂量准确，不致出现超剂量照射，系统设置了治疗剂量</w:t>
      </w:r>
      <w:proofErr w:type="gramStart"/>
      <w:r w:rsidRPr="00B12FE0">
        <w:rPr>
          <w:rFonts w:hint="eastAsia"/>
          <w:color w:val="000000" w:themeColor="text1"/>
          <w:kern w:val="0"/>
        </w:rPr>
        <w:t>联锁</w:t>
      </w:r>
      <w:proofErr w:type="gramEnd"/>
      <w:r w:rsidRPr="00B12FE0">
        <w:rPr>
          <w:rFonts w:hint="eastAsia"/>
          <w:color w:val="000000" w:themeColor="text1"/>
          <w:kern w:val="0"/>
        </w:rPr>
        <w:t>、治疗时间</w:t>
      </w:r>
      <w:proofErr w:type="gramStart"/>
      <w:r w:rsidRPr="00B12FE0">
        <w:rPr>
          <w:rFonts w:hint="eastAsia"/>
          <w:color w:val="000000" w:themeColor="text1"/>
          <w:kern w:val="0"/>
        </w:rPr>
        <w:t>联锁</w:t>
      </w:r>
      <w:proofErr w:type="gramEnd"/>
      <w:r w:rsidRPr="00B12FE0">
        <w:rPr>
          <w:rFonts w:hint="eastAsia"/>
          <w:color w:val="000000" w:themeColor="text1"/>
          <w:kern w:val="0"/>
        </w:rPr>
        <w:t>和治疗中旋转机架角度</w:t>
      </w:r>
      <w:proofErr w:type="gramStart"/>
      <w:r w:rsidRPr="00B12FE0">
        <w:rPr>
          <w:rFonts w:hint="eastAsia"/>
          <w:color w:val="000000" w:themeColor="text1"/>
          <w:kern w:val="0"/>
        </w:rPr>
        <w:t>联锁</w:t>
      </w:r>
      <w:proofErr w:type="gramEnd"/>
      <w:r w:rsidRPr="00B12FE0">
        <w:rPr>
          <w:rFonts w:hint="eastAsia"/>
          <w:color w:val="000000" w:themeColor="text1"/>
          <w:kern w:val="0"/>
        </w:rPr>
        <w:t>。当治疗剂量、时间及治疗机头旋转角度其中之一到达设定值时，联锁装置会自动停止照射。</w:t>
      </w:r>
    </w:p>
    <w:p w14:paraId="0AF6F9DF"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③</w:t>
      </w:r>
      <w:r w:rsidRPr="00B12FE0">
        <w:rPr>
          <w:rFonts w:hint="eastAsia"/>
          <w:color w:val="000000" w:themeColor="text1"/>
          <w:kern w:val="0"/>
        </w:rPr>
        <w:t>运动使能开关。为防止工作人员误操作造成事故，在手控盒两侧设置了运动使能开关，只有当左右两侧的开关同时按下时才有可能对机器运动部件进行启动和控制。</w:t>
      </w:r>
    </w:p>
    <w:p w14:paraId="3FDC968F"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④</w:t>
      </w:r>
      <w:r w:rsidRPr="00B12FE0">
        <w:rPr>
          <w:rFonts w:hint="eastAsia"/>
          <w:color w:val="000000" w:themeColor="text1"/>
          <w:kern w:val="0"/>
        </w:rPr>
        <w:t>急停开关。当发现异常后，按下操作盒上此开关，机器将自动切断加速器主电源。</w:t>
      </w:r>
    </w:p>
    <w:p w14:paraId="0C88CEC8"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⑤</w:t>
      </w:r>
      <w:r w:rsidRPr="00B12FE0">
        <w:rPr>
          <w:rFonts w:hint="eastAsia"/>
          <w:color w:val="000000" w:themeColor="text1"/>
          <w:kern w:val="0"/>
        </w:rPr>
        <w:t>剂量测试系统。在控制系统主菜单中有</w:t>
      </w:r>
      <w:r w:rsidRPr="00B12FE0">
        <w:rPr>
          <w:rFonts w:ascii="宋体" w:hAnsi="宋体"/>
          <w:color w:val="000000" w:themeColor="text1"/>
          <w:kern w:val="0"/>
        </w:rPr>
        <w:t>“</w:t>
      </w:r>
      <w:r w:rsidRPr="00B12FE0">
        <w:rPr>
          <w:rFonts w:hint="eastAsia"/>
          <w:color w:val="000000" w:themeColor="text1"/>
          <w:kern w:val="0"/>
        </w:rPr>
        <w:t>剂量系统测试</w:t>
      </w:r>
      <w:r w:rsidRPr="00B12FE0">
        <w:rPr>
          <w:rFonts w:ascii="宋体" w:hAnsi="宋体"/>
          <w:color w:val="000000" w:themeColor="text1"/>
          <w:kern w:val="0"/>
        </w:rPr>
        <w:t>”</w:t>
      </w:r>
      <w:r w:rsidRPr="00B12FE0">
        <w:rPr>
          <w:rFonts w:hint="eastAsia"/>
          <w:color w:val="000000" w:themeColor="text1"/>
          <w:kern w:val="0"/>
        </w:rPr>
        <w:t>部分，可以随时了解病人剂量情况。</w:t>
      </w:r>
    </w:p>
    <w:p w14:paraId="77719888"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⑥</w:t>
      </w:r>
      <w:r w:rsidRPr="00B12FE0">
        <w:rPr>
          <w:rFonts w:hint="eastAsia"/>
          <w:color w:val="000000" w:themeColor="text1"/>
          <w:kern w:val="0"/>
        </w:rPr>
        <w:t>密码设置。设置有密码，操作密码只有具体操作人员掌握，只有输入正确的密码后才可能进行操作和参数的修改等。</w:t>
      </w:r>
    </w:p>
    <w:p w14:paraId="5BF59D5B"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⑦</w:t>
      </w:r>
      <w:r w:rsidRPr="00B12FE0">
        <w:rPr>
          <w:rFonts w:hint="eastAsia"/>
          <w:color w:val="000000" w:themeColor="text1"/>
          <w:kern w:val="0"/>
        </w:rPr>
        <w:t>系统操作</w:t>
      </w:r>
      <w:proofErr w:type="gramStart"/>
      <w:r w:rsidRPr="00B12FE0">
        <w:rPr>
          <w:rFonts w:hint="eastAsia"/>
          <w:color w:val="000000" w:themeColor="text1"/>
          <w:kern w:val="0"/>
        </w:rPr>
        <w:t>联锁</w:t>
      </w:r>
      <w:proofErr w:type="gramEnd"/>
      <w:r w:rsidRPr="00B12FE0">
        <w:rPr>
          <w:rFonts w:hint="eastAsia"/>
          <w:color w:val="000000" w:themeColor="text1"/>
          <w:kern w:val="0"/>
        </w:rPr>
        <w:t>。加速器设置了硬件</w:t>
      </w:r>
      <w:proofErr w:type="gramStart"/>
      <w:r w:rsidRPr="00B12FE0">
        <w:rPr>
          <w:rFonts w:hint="eastAsia"/>
          <w:color w:val="000000" w:themeColor="text1"/>
          <w:kern w:val="0"/>
        </w:rPr>
        <w:t>联锁</w:t>
      </w:r>
      <w:proofErr w:type="gramEnd"/>
      <w:r w:rsidRPr="00B12FE0">
        <w:rPr>
          <w:rFonts w:hint="eastAsia"/>
          <w:color w:val="000000" w:themeColor="text1"/>
          <w:kern w:val="0"/>
        </w:rPr>
        <w:t>，在非正常操作或在异常情况下，可以停止机器运行或切断电源，以备特殊情况下应急之用。系统操作</w:t>
      </w:r>
      <w:proofErr w:type="gramStart"/>
      <w:r w:rsidRPr="00B12FE0">
        <w:rPr>
          <w:rFonts w:hint="eastAsia"/>
          <w:color w:val="000000" w:themeColor="text1"/>
          <w:kern w:val="0"/>
        </w:rPr>
        <w:t>联锁</w:t>
      </w:r>
      <w:proofErr w:type="gramEnd"/>
      <w:r w:rsidRPr="00B12FE0">
        <w:rPr>
          <w:rFonts w:hint="eastAsia"/>
          <w:color w:val="000000" w:themeColor="text1"/>
          <w:kern w:val="0"/>
        </w:rPr>
        <w:t>情况见下表。</w:t>
      </w:r>
    </w:p>
    <w:p w14:paraId="78A280F3" w14:textId="77777777" w:rsidR="00A67F21" w:rsidRPr="00B12FE0" w:rsidRDefault="00000000">
      <w:pPr>
        <w:adjustRightInd w:val="0"/>
        <w:snapToGrid w:val="0"/>
        <w:spacing w:line="360" w:lineRule="auto"/>
        <w:jc w:val="center"/>
        <w:rPr>
          <w:b/>
          <w:color w:val="000000" w:themeColor="text1"/>
          <w:kern w:val="0"/>
          <w:sz w:val="21"/>
          <w:szCs w:val="21"/>
        </w:rPr>
      </w:pPr>
      <w:r w:rsidRPr="00B12FE0">
        <w:rPr>
          <w:rFonts w:hint="eastAsia"/>
          <w:b/>
          <w:color w:val="000000" w:themeColor="text1"/>
          <w:kern w:val="0"/>
          <w:sz w:val="21"/>
          <w:szCs w:val="21"/>
        </w:rPr>
        <w:t>表</w:t>
      </w:r>
      <w:r w:rsidRPr="00B12FE0">
        <w:rPr>
          <w:b/>
          <w:color w:val="000000" w:themeColor="text1"/>
          <w:kern w:val="0"/>
          <w:sz w:val="21"/>
          <w:szCs w:val="21"/>
        </w:rPr>
        <w:t>10.1.2</w:t>
      </w:r>
      <w:r w:rsidRPr="00B12FE0">
        <w:rPr>
          <w:rFonts w:hint="eastAsia"/>
          <w:b/>
          <w:color w:val="000000" w:themeColor="text1"/>
          <w:kern w:val="0"/>
          <w:sz w:val="21"/>
          <w:szCs w:val="21"/>
        </w:rPr>
        <w:t>-3</w:t>
      </w:r>
      <w:r w:rsidRPr="00B12FE0">
        <w:rPr>
          <w:b/>
          <w:color w:val="000000" w:themeColor="text1"/>
          <w:kern w:val="0"/>
          <w:sz w:val="21"/>
          <w:szCs w:val="21"/>
        </w:rPr>
        <w:t xml:space="preserve">  </w:t>
      </w:r>
      <w:r w:rsidRPr="00B12FE0">
        <w:rPr>
          <w:rFonts w:hint="eastAsia"/>
          <w:b/>
          <w:color w:val="000000" w:themeColor="text1"/>
          <w:kern w:val="0"/>
          <w:sz w:val="21"/>
          <w:szCs w:val="21"/>
        </w:rPr>
        <w:t>加速器硬件</w:t>
      </w:r>
      <w:proofErr w:type="gramStart"/>
      <w:r w:rsidRPr="00B12FE0">
        <w:rPr>
          <w:rFonts w:hint="eastAsia"/>
          <w:b/>
          <w:color w:val="000000" w:themeColor="text1"/>
          <w:kern w:val="0"/>
          <w:sz w:val="21"/>
          <w:szCs w:val="21"/>
        </w:rPr>
        <w:t>联锁</w:t>
      </w:r>
      <w:proofErr w:type="gramEnd"/>
      <w:r w:rsidRPr="00B12FE0">
        <w:rPr>
          <w:rFonts w:hint="eastAsia"/>
          <w:b/>
          <w:color w:val="000000" w:themeColor="text1"/>
          <w:kern w:val="0"/>
          <w:sz w:val="21"/>
          <w:szCs w:val="21"/>
        </w:rPr>
        <w:t>一览表</w:t>
      </w: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left w:w="57" w:type="dxa"/>
          <w:bottom w:w="28" w:type="dxa"/>
          <w:right w:w="57" w:type="dxa"/>
        </w:tblCellMar>
        <w:tblLook w:val="04A0" w:firstRow="1" w:lastRow="0" w:firstColumn="1" w:lastColumn="0" w:noHBand="0" w:noVBand="1"/>
      </w:tblPr>
      <w:tblGrid>
        <w:gridCol w:w="1502"/>
        <w:gridCol w:w="2558"/>
        <w:gridCol w:w="2237"/>
        <w:gridCol w:w="2534"/>
      </w:tblGrid>
      <w:tr w:rsidR="00A67F21" w:rsidRPr="00B12FE0" w14:paraId="241D9EBA" w14:textId="77777777">
        <w:trPr>
          <w:trHeight w:val="340"/>
          <w:jc w:val="center"/>
        </w:trPr>
        <w:tc>
          <w:tcPr>
            <w:tcW w:w="850" w:type="pct"/>
            <w:tcBorders>
              <w:top w:val="single" w:sz="6" w:space="0" w:color="000000"/>
              <w:left w:val="single" w:sz="6" w:space="0" w:color="000000"/>
              <w:bottom w:val="single" w:sz="6" w:space="0" w:color="000000"/>
              <w:right w:val="single" w:sz="6" w:space="0" w:color="000000"/>
            </w:tcBorders>
            <w:vAlign w:val="center"/>
          </w:tcPr>
          <w:p w14:paraId="0D39E2C4"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名称</w:t>
            </w:r>
          </w:p>
        </w:tc>
        <w:tc>
          <w:tcPr>
            <w:tcW w:w="1448" w:type="pct"/>
            <w:tcBorders>
              <w:top w:val="single" w:sz="6" w:space="0" w:color="000000"/>
              <w:left w:val="single" w:sz="6" w:space="0" w:color="000000"/>
              <w:bottom w:val="single" w:sz="6" w:space="0" w:color="000000"/>
              <w:right w:val="single" w:sz="6" w:space="0" w:color="000000"/>
            </w:tcBorders>
            <w:vAlign w:val="center"/>
          </w:tcPr>
          <w:p w14:paraId="00BD2FAE"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装置部位</w:t>
            </w:r>
          </w:p>
        </w:tc>
        <w:tc>
          <w:tcPr>
            <w:tcW w:w="1266" w:type="pct"/>
            <w:tcBorders>
              <w:top w:val="single" w:sz="6" w:space="0" w:color="000000"/>
              <w:left w:val="single" w:sz="6" w:space="0" w:color="000000"/>
              <w:bottom w:val="single" w:sz="6" w:space="0" w:color="000000"/>
              <w:right w:val="single" w:sz="6" w:space="0" w:color="000000"/>
            </w:tcBorders>
            <w:vAlign w:val="center"/>
          </w:tcPr>
          <w:p w14:paraId="74DADBB5"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功能</w:t>
            </w:r>
          </w:p>
        </w:tc>
        <w:tc>
          <w:tcPr>
            <w:tcW w:w="1435" w:type="pct"/>
            <w:tcBorders>
              <w:top w:val="single" w:sz="6" w:space="0" w:color="000000"/>
              <w:left w:val="single" w:sz="6" w:space="0" w:color="000000"/>
              <w:bottom w:val="single" w:sz="6" w:space="0" w:color="000000"/>
              <w:right w:val="single" w:sz="6" w:space="0" w:color="000000"/>
            </w:tcBorders>
            <w:vAlign w:val="center"/>
          </w:tcPr>
          <w:p w14:paraId="0B2BA31F"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备注</w:t>
            </w:r>
          </w:p>
        </w:tc>
      </w:tr>
      <w:tr w:rsidR="00A67F21" w:rsidRPr="00B12FE0" w14:paraId="41A31844" w14:textId="77777777">
        <w:trPr>
          <w:trHeight w:val="340"/>
          <w:jc w:val="center"/>
        </w:trPr>
        <w:tc>
          <w:tcPr>
            <w:tcW w:w="850" w:type="pct"/>
            <w:tcBorders>
              <w:top w:val="single" w:sz="6" w:space="0" w:color="000000"/>
              <w:left w:val="single" w:sz="6" w:space="0" w:color="000000"/>
              <w:bottom w:val="single" w:sz="6" w:space="0" w:color="000000"/>
              <w:right w:val="single" w:sz="6" w:space="0" w:color="000000"/>
            </w:tcBorders>
            <w:vAlign w:val="center"/>
          </w:tcPr>
          <w:p w14:paraId="1F5EFD78"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lastRenderedPageBreak/>
              <w:t>急停开关</w:t>
            </w:r>
          </w:p>
        </w:tc>
        <w:tc>
          <w:tcPr>
            <w:tcW w:w="1448" w:type="pct"/>
            <w:tcBorders>
              <w:top w:val="single" w:sz="6" w:space="0" w:color="000000"/>
              <w:left w:val="single" w:sz="6" w:space="0" w:color="000000"/>
              <w:bottom w:val="single" w:sz="6" w:space="0" w:color="000000"/>
              <w:right w:val="single" w:sz="6" w:space="0" w:color="000000"/>
            </w:tcBorders>
            <w:vAlign w:val="center"/>
          </w:tcPr>
          <w:p w14:paraId="1A2EAB67"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主机架、治疗床及控制台</w:t>
            </w:r>
          </w:p>
        </w:tc>
        <w:tc>
          <w:tcPr>
            <w:tcW w:w="1266" w:type="pct"/>
            <w:tcBorders>
              <w:top w:val="single" w:sz="6" w:space="0" w:color="000000"/>
              <w:left w:val="single" w:sz="6" w:space="0" w:color="000000"/>
              <w:bottom w:val="single" w:sz="6" w:space="0" w:color="000000"/>
              <w:right w:val="single" w:sz="6" w:space="0" w:color="000000"/>
            </w:tcBorders>
            <w:vAlign w:val="center"/>
          </w:tcPr>
          <w:p w14:paraId="0B725AD9"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紧急切断系统控制电源</w:t>
            </w:r>
          </w:p>
        </w:tc>
        <w:tc>
          <w:tcPr>
            <w:tcW w:w="1435" w:type="pct"/>
            <w:tcBorders>
              <w:top w:val="single" w:sz="6" w:space="0" w:color="000000"/>
              <w:left w:val="single" w:sz="6" w:space="0" w:color="000000"/>
              <w:bottom w:val="single" w:sz="6" w:space="0" w:color="000000"/>
              <w:right w:val="single" w:sz="6" w:space="0" w:color="000000"/>
            </w:tcBorders>
            <w:vAlign w:val="center"/>
          </w:tcPr>
          <w:p w14:paraId="3D13F4CC"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意外情况下可以切断控制电源</w:t>
            </w:r>
          </w:p>
        </w:tc>
      </w:tr>
      <w:tr w:rsidR="00A67F21" w:rsidRPr="00B12FE0" w14:paraId="4F892FBC" w14:textId="77777777">
        <w:trPr>
          <w:trHeight w:val="340"/>
          <w:jc w:val="center"/>
        </w:trPr>
        <w:tc>
          <w:tcPr>
            <w:tcW w:w="850" w:type="pct"/>
            <w:tcBorders>
              <w:top w:val="single" w:sz="6" w:space="0" w:color="000000"/>
              <w:left w:val="single" w:sz="6" w:space="0" w:color="000000"/>
              <w:bottom w:val="single" w:sz="6" w:space="0" w:color="000000"/>
              <w:right w:val="single" w:sz="6" w:space="0" w:color="000000"/>
            </w:tcBorders>
            <w:vAlign w:val="center"/>
          </w:tcPr>
          <w:p w14:paraId="28E6C099"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碰撞保护环</w:t>
            </w:r>
          </w:p>
        </w:tc>
        <w:tc>
          <w:tcPr>
            <w:tcW w:w="1448" w:type="pct"/>
            <w:tcBorders>
              <w:top w:val="single" w:sz="6" w:space="0" w:color="000000"/>
              <w:left w:val="single" w:sz="6" w:space="0" w:color="000000"/>
              <w:bottom w:val="single" w:sz="6" w:space="0" w:color="000000"/>
              <w:right w:val="single" w:sz="6" w:space="0" w:color="000000"/>
            </w:tcBorders>
            <w:vAlign w:val="center"/>
          </w:tcPr>
          <w:p w14:paraId="37776388"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附件盘、影子盘</w:t>
            </w:r>
          </w:p>
        </w:tc>
        <w:tc>
          <w:tcPr>
            <w:tcW w:w="1266" w:type="pct"/>
            <w:tcBorders>
              <w:top w:val="single" w:sz="6" w:space="0" w:color="000000"/>
              <w:left w:val="single" w:sz="6" w:space="0" w:color="000000"/>
              <w:bottom w:val="single" w:sz="6" w:space="0" w:color="000000"/>
              <w:right w:val="single" w:sz="6" w:space="0" w:color="000000"/>
            </w:tcBorders>
            <w:vAlign w:val="center"/>
          </w:tcPr>
          <w:p w14:paraId="7A3229DA"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发生碰撞时停止机械部件运动</w:t>
            </w:r>
          </w:p>
        </w:tc>
        <w:tc>
          <w:tcPr>
            <w:tcW w:w="1435" w:type="pct"/>
            <w:tcBorders>
              <w:top w:val="single" w:sz="6" w:space="0" w:color="000000"/>
              <w:left w:val="single" w:sz="6" w:space="0" w:color="000000"/>
              <w:bottom w:val="single" w:sz="6" w:space="0" w:color="000000"/>
              <w:right w:val="single" w:sz="6" w:space="0" w:color="000000"/>
            </w:tcBorders>
            <w:vAlign w:val="center"/>
          </w:tcPr>
          <w:p w14:paraId="717C7B0A"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发生碰撞时自动停止机器运动</w:t>
            </w:r>
          </w:p>
        </w:tc>
      </w:tr>
      <w:tr w:rsidR="00A67F21" w:rsidRPr="00B12FE0" w14:paraId="54A1735E" w14:textId="77777777">
        <w:trPr>
          <w:trHeight w:val="340"/>
          <w:jc w:val="center"/>
        </w:trPr>
        <w:tc>
          <w:tcPr>
            <w:tcW w:w="850" w:type="pct"/>
            <w:tcBorders>
              <w:top w:val="single" w:sz="6" w:space="0" w:color="000000"/>
              <w:left w:val="single" w:sz="6" w:space="0" w:color="000000"/>
              <w:bottom w:val="single" w:sz="6" w:space="0" w:color="000000"/>
              <w:right w:val="single" w:sz="6" w:space="0" w:color="000000"/>
            </w:tcBorders>
            <w:vAlign w:val="center"/>
          </w:tcPr>
          <w:p w14:paraId="5CF917F0"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运动部件二级限位开关</w:t>
            </w:r>
          </w:p>
        </w:tc>
        <w:tc>
          <w:tcPr>
            <w:tcW w:w="1448" w:type="pct"/>
            <w:tcBorders>
              <w:top w:val="single" w:sz="6" w:space="0" w:color="000000"/>
              <w:left w:val="single" w:sz="6" w:space="0" w:color="000000"/>
              <w:bottom w:val="single" w:sz="6" w:space="0" w:color="000000"/>
              <w:right w:val="single" w:sz="6" w:space="0" w:color="000000"/>
            </w:tcBorders>
            <w:vAlign w:val="center"/>
          </w:tcPr>
          <w:p w14:paraId="5B182774"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旋转机架、治疗床升降、辐射头旋转</w:t>
            </w:r>
          </w:p>
        </w:tc>
        <w:tc>
          <w:tcPr>
            <w:tcW w:w="1266" w:type="pct"/>
            <w:tcBorders>
              <w:top w:val="single" w:sz="6" w:space="0" w:color="000000"/>
              <w:left w:val="single" w:sz="6" w:space="0" w:color="000000"/>
              <w:bottom w:val="single" w:sz="6" w:space="0" w:color="000000"/>
              <w:right w:val="single" w:sz="6" w:space="0" w:color="000000"/>
            </w:tcBorders>
            <w:vAlign w:val="center"/>
          </w:tcPr>
          <w:p w14:paraId="48AE821A"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二级限位开关，切断动力电源</w:t>
            </w:r>
          </w:p>
        </w:tc>
        <w:tc>
          <w:tcPr>
            <w:tcW w:w="1435" w:type="pct"/>
            <w:tcBorders>
              <w:top w:val="single" w:sz="6" w:space="0" w:color="000000"/>
              <w:left w:val="single" w:sz="6" w:space="0" w:color="000000"/>
              <w:bottom w:val="single" w:sz="6" w:space="0" w:color="000000"/>
              <w:right w:val="single" w:sz="6" w:space="0" w:color="000000"/>
            </w:tcBorders>
            <w:vAlign w:val="center"/>
          </w:tcPr>
          <w:p w14:paraId="69C20E0A" w14:textId="77777777" w:rsidR="00A67F21" w:rsidRPr="00B12FE0" w:rsidRDefault="00000000">
            <w:pPr>
              <w:pStyle w:val="TableParagraph"/>
              <w:snapToGrid w:val="0"/>
              <w:jc w:val="center"/>
              <w:rPr>
                <w:color w:val="000000" w:themeColor="text1"/>
                <w:sz w:val="21"/>
                <w:szCs w:val="21"/>
              </w:rPr>
            </w:pPr>
            <w:r w:rsidRPr="00B12FE0">
              <w:rPr>
                <w:rFonts w:hint="eastAsia"/>
                <w:color w:val="000000" w:themeColor="text1"/>
                <w:sz w:val="21"/>
                <w:szCs w:val="21"/>
              </w:rPr>
              <w:t>异常情况切断动力电源</w:t>
            </w:r>
          </w:p>
        </w:tc>
      </w:tr>
    </w:tbl>
    <w:p w14:paraId="50D3BFE7" w14:textId="77777777" w:rsidR="00A67F21" w:rsidRPr="00B12FE0" w:rsidRDefault="00000000">
      <w:pPr>
        <w:spacing w:line="360" w:lineRule="auto"/>
        <w:ind w:firstLine="480"/>
        <w:jc w:val="left"/>
        <w:rPr>
          <w:color w:val="000000" w:themeColor="text1"/>
        </w:rPr>
      </w:pPr>
      <w:r w:rsidRPr="00B12FE0">
        <w:rPr>
          <w:rFonts w:hint="eastAsia"/>
          <w:color w:val="000000" w:themeColor="text1"/>
        </w:rPr>
        <w:t>（</w:t>
      </w:r>
      <w:r w:rsidRPr="00B12FE0">
        <w:rPr>
          <w:color w:val="000000" w:themeColor="text1"/>
        </w:rPr>
        <w:t>2</w:t>
      </w:r>
      <w:r w:rsidRPr="00B12FE0">
        <w:rPr>
          <w:rFonts w:hint="eastAsia"/>
          <w:color w:val="000000" w:themeColor="text1"/>
        </w:rPr>
        <w:t>）加速器机房辐射防护设施设计</w:t>
      </w:r>
    </w:p>
    <w:p w14:paraId="6675EA31"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①固定式剂量报警装置：加速器机房内迷路内入口处设置固定式剂量报警装置，显示及报警系统位于控制室，可对剂量率实时查看，超过设定值时可发出警报，用于控制室内人员通过剂量率水平了解加速器的工作状态（是否在出束），以避免在加速器</w:t>
      </w:r>
      <w:proofErr w:type="gramStart"/>
      <w:r w:rsidRPr="00B12FE0">
        <w:rPr>
          <w:rFonts w:hint="eastAsia"/>
          <w:color w:val="000000" w:themeColor="text1"/>
          <w:kern w:val="0"/>
        </w:rPr>
        <w:t>出束状态</w:t>
      </w:r>
      <w:proofErr w:type="gramEnd"/>
      <w:r w:rsidRPr="00B12FE0">
        <w:rPr>
          <w:rFonts w:hint="eastAsia"/>
          <w:color w:val="000000" w:themeColor="text1"/>
          <w:kern w:val="0"/>
        </w:rPr>
        <w:t>下误入机房内。</w:t>
      </w:r>
    </w:p>
    <w:p w14:paraId="54A63B82" w14:textId="77777777" w:rsidR="00A67F21" w:rsidRPr="00B12FE0" w:rsidRDefault="00000000">
      <w:pPr>
        <w:spacing w:line="360" w:lineRule="auto"/>
        <w:ind w:firstLine="480"/>
        <w:rPr>
          <w:color w:val="000000" w:themeColor="text1"/>
        </w:rPr>
      </w:pPr>
      <w:r w:rsidRPr="00B12FE0">
        <w:rPr>
          <w:rFonts w:hint="eastAsia"/>
          <w:color w:val="000000" w:themeColor="text1"/>
        </w:rPr>
        <w:t>②视频监视系统、对讲系统：单个加速器机房的治疗室和控制室之间安装有监视器</w:t>
      </w:r>
      <w:r w:rsidRPr="00B12FE0">
        <w:rPr>
          <w:rFonts w:hint="eastAsia"/>
          <w:color w:val="000000" w:themeColor="text1"/>
        </w:rPr>
        <w:t>6</w:t>
      </w:r>
      <w:r w:rsidRPr="00B12FE0">
        <w:rPr>
          <w:rFonts w:hint="eastAsia"/>
          <w:color w:val="000000" w:themeColor="text1"/>
        </w:rPr>
        <w:t>个（</w:t>
      </w:r>
      <w:proofErr w:type="gramStart"/>
      <w:r w:rsidRPr="00B12FE0">
        <w:rPr>
          <w:rFonts w:hint="eastAsia"/>
          <w:color w:val="000000" w:themeColor="text1"/>
        </w:rPr>
        <w:t>迷道</w:t>
      </w:r>
      <w:r w:rsidRPr="00B12FE0">
        <w:rPr>
          <w:rFonts w:hint="eastAsia"/>
          <w:color w:val="000000" w:themeColor="text1"/>
        </w:rPr>
        <w:t>2</w:t>
      </w:r>
      <w:r w:rsidRPr="00B12FE0">
        <w:rPr>
          <w:rFonts w:hint="eastAsia"/>
          <w:color w:val="000000" w:themeColor="text1"/>
        </w:rPr>
        <w:t>个</w:t>
      </w:r>
      <w:proofErr w:type="gramEnd"/>
      <w:r w:rsidRPr="00B12FE0">
        <w:rPr>
          <w:rFonts w:hint="eastAsia"/>
          <w:color w:val="000000" w:themeColor="text1"/>
        </w:rPr>
        <w:t>、治疗室</w:t>
      </w:r>
      <w:r w:rsidRPr="00B12FE0">
        <w:rPr>
          <w:rFonts w:hint="eastAsia"/>
          <w:color w:val="000000" w:themeColor="text1"/>
        </w:rPr>
        <w:t>4</w:t>
      </w:r>
      <w:r w:rsidRPr="00B12FE0">
        <w:rPr>
          <w:rFonts w:hint="eastAsia"/>
          <w:color w:val="000000" w:themeColor="text1"/>
        </w:rPr>
        <w:t>个）和对讲装置（</w:t>
      </w:r>
      <w:r w:rsidRPr="00B12FE0">
        <w:rPr>
          <w:rFonts w:hint="eastAsia"/>
          <w:color w:val="000000" w:themeColor="text1"/>
        </w:rPr>
        <w:t>1</w:t>
      </w:r>
      <w:r w:rsidRPr="00B12FE0">
        <w:rPr>
          <w:rFonts w:hint="eastAsia"/>
          <w:color w:val="000000" w:themeColor="text1"/>
        </w:rPr>
        <w:t>套），控制室内工作人员能通过视频监视系统观察治疗室内患者的治疗情况，并通过对讲系统与室内人员联系，便于工作人员及时处理意外情况。视频监控数量和位置能实时、全方位观察治疗室及迷道内状况，可以保障治疗室内</w:t>
      </w:r>
      <w:proofErr w:type="gramStart"/>
      <w:r w:rsidRPr="00B12FE0">
        <w:rPr>
          <w:rFonts w:hint="eastAsia"/>
          <w:color w:val="000000" w:themeColor="text1"/>
        </w:rPr>
        <w:t>及迷道不留</w:t>
      </w:r>
      <w:proofErr w:type="gramEnd"/>
      <w:r w:rsidRPr="00B12FE0">
        <w:rPr>
          <w:rFonts w:hint="eastAsia"/>
          <w:color w:val="000000" w:themeColor="text1"/>
        </w:rPr>
        <w:t>视频监控死角，因此视频监控布局数量及位置可行。</w:t>
      </w:r>
    </w:p>
    <w:p w14:paraId="0845BEAD"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③急停按钮：</w:t>
      </w:r>
      <w:r w:rsidRPr="00B12FE0">
        <w:rPr>
          <w:rFonts w:hint="eastAsia"/>
          <w:bCs/>
          <w:color w:val="000000" w:themeColor="text1"/>
        </w:rPr>
        <w:t>加速器设备自带急停按钮。</w:t>
      </w:r>
      <w:r w:rsidRPr="00B12FE0">
        <w:rPr>
          <w:rFonts w:hint="eastAsia"/>
          <w:color w:val="000000" w:themeColor="text1"/>
          <w:kern w:val="0"/>
        </w:rPr>
        <w:t>医院拟在每台加速器机房</w:t>
      </w:r>
      <w:r w:rsidRPr="00B12FE0">
        <w:rPr>
          <w:rFonts w:hint="eastAsia"/>
          <w:bCs/>
          <w:color w:val="000000" w:themeColor="text1"/>
        </w:rPr>
        <w:t>的控制室、防护门内侧、</w:t>
      </w:r>
      <w:proofErr w:type="gramStart"/>
      <w:r w:rsidRPr="00B12FE0">
        <w:rPr>
          <w:rFonts w:hint="eastAsia"/>
          <w:bCs/>
          <w:color w:val="000000" w:themeColor="text1"/>
        </w:rPr>
        <w:t>迷道墙上</w:t>
      </w:r>
      <w:proofErr w:type="gramEnd"/>
      <w:r w:rsidRPr="00B12FE0">
        <w:rPr>
          <w:rFonts w:hint="eastAsia"/>
          <w:bCs/>
          <w:color w:val="000000" w:themeColor="text1"/>
        </w:rPr>
        <w:t>、治疗室四周墙壁各设置急停开关，设有醒目标识及文字说明。</w:t>
      </w:r>
      <w:r w:rsidRPr="00B12FE0">
        <w:rPr>
          <w:rFonts w:hint="eastAsia"/>
          <w:iCs/>
          <w:color w:val="000000" w:themeColor="text1"/>
        </w:rPr>
        <w:t>机房内</w:t>
      </w:r>
      <w:r w:rsidRPr="00B12FE0">
        <w:rPr>
          <w:rFonts w:hint="eastAsia"/>
          <w:bCs/>
          <w:color w:val="000000" w:themeColor="text1"/>
        </w:rPr>
        <w:t>急停按钮设</w:t>
      </w:r>
      <w:r w:rsidRPr="00B12FE0">
        <w:rPr>
          <w:rFonts w:hint="eastAsia"/>
          <w:iCs/>
          <w:color w:val="000000" w:themeColor="text1"/>
        </w:rPr>
        <w:t>在工作人员易于接触的地方（距离地面</w:t>
      </w:r>
      <w:r w:rsidRPr="00B12FE0">
        <w:rPr>
          <w:rFonts w:hint="eastAsia"/>
          <w:iCs/>
          <w:color w:val="000000" w:themeColor="text1"/>
        </w:rPr>
        <w:t>1.2m</w:t>
      </w:r>
      <w:r w:rsidRPr="00B12FE0">
        <w:rPr>
          <w:rFonts w:hint="eastAsia"/>
          <w:iCs/>
          <w:color w:val="000000" w:themeColor="text1"/>
        </w:rPr>
        <w:t>高处）安装，且相互串联，每个急停按钮独立工作，按下任意按钮可使设备停止出束，以避免机房内人员尚未完全撤离或误入的情况下受到误照射。急停按钮按下后，只有人工就地复位并通过控制台才能重新启动设备</w:t>
      </w:r>
      <w:r w:rsidRPr="00B12FE0">
        <w:rPr>
          <w:rFonts w:hint="eastAsia"/>
          <w:bCs/>
          <w:color w:val="000000" w:themeColor="text1"/>
        </w:rPr>
        <w:t>；急停按钮应有醒目标识及文字显示能让在上述区域内的人员从各个方向均能</w:t>
      </w:r>
      <w:proofErr w:type="gramStart"/>
      <w:r w:rsidRPr="00B12FE0">
        <w:rPr>
          <w:rFonts w:hint="eastAsia"/>
          <w:bCs/>
          <w:color w:val="000000" w:themeColor="text1"/>
        </w:rPr>
        <w:t>观察到且易于</w:t>
      </w:r>
      <w:proofErr w:type="gramEnd"/>
      <w:r w:rsidRPr="00B12FE0">
        <w:rPr>
          <w:rFonts w:hint="eastAsia"/>
          <w:bCs/>
          <w:color w:val="000000" w:themeColor="text1"/>
        </w:rPr>
        <w:t>触发</w:t>
      </w:r>
      <w:r w:rsidRPr="00B12FE0">
        <w:rPr>
          <w:rFonts w:hint="eastAsia"/>
          <w:iCs/>
          <w:color w:val="000000" w:themeColor="text1"/>
        </w:rPr>
        <w:t>。</w:t>
      </w:r>
    </w:p>
    <w:p w14:paraId="76B09B28"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④设置门机安全</w:t>
      </w:r>
      <w:proofErr w:type="gramStart"/>
      <w:r w:rsidRPr="00B12FE0">
        <w:rPr>
          <w:rFonts w:hint="eastAsia"/>
          <w:color w:val="000000" w:themeColor="text1"/>
          <w:kern w:val="0"/>
        </w:rPr>
        <w:t>联锁</w:t>
      </w:r>
      <w:proofErr w:type="gramEnd"/>
      <w:r w:rsidRPr="00B12FE0">
        <w:rPr>
          <w:rFonts w:hint="eastAsia"/>
          <w:color w:val="000000" w:themeColor="text1"/>
          <w:kern w:val="0"/>
        </w:rPr>
        <w:t>，防护门未完全关闭时不能出束，</w:t>
      </w:r>
      <w:proofErr w:type="gramStart"/>
      <w:r w:rsidRPr="00B12FE0">
        <w:rPr>
          <w:rFonts w:hint="eastAsia"/>
          <w:color w:val="000000" w:themeColor="text1"/>
          <w:kern w:val="0"/>
        </w:rPr>
        <w:t>出束状态</w:t>
      </w:r>
      <w:proofErr w:type="gramEnd"/>
      <w:r w:rsidRPr="00B12FE0">
        <w:rPr>
          <w:rFonts w:hint="eastAsia"/>
          <w:color w:val="000000" w:themeColor="text1"/>
          <w:kern w:val="0"/>
        </w:rPr>
        <w:t>下开门停止出束。防护门上方设有工作状态指示灯与加速器关联，机房门关闭后，装置才能启动，装置启动时工作状态指示灯亮起。防护门为电动移门，防护门与墙搭接处应尽可能减小缝隙漏泄辐射，防护门宽于门洞的部分应大于</w:t>
      </w:r>
      <w:r w:rsidRPr="00B12FE0">
        <w:rPr>
          <w:rFonts w:ascii="宋体" w:hAnsi="宋体"/>
          <w:color w:val="000000" w:themeColor="text1"/>
          <w:kern w:val="0"/>
        </w:rPr>
        <w:t>“</w:t>
      </w:r>
      <w:r w:rsidRPr="00B12FE0">
        <w:rPr>
          <w:rFonts w:hint="eastAsia"/>
          <w:color w:val="000000" w:themeColor="text1"/>
          <w:kern w:val="0"/>
        </w:rPr>
        <w:t>门</w:t>
      </w:r>
      <w:r w:rsidRPr="00B12FE0">
        <w:rPr>
          <w:color w:val="000000" w:themeColor="text1"/>
          <w:kern w:val="0"/>
        </w:rPr>
        <w:t>-</w:t>
      </w:r>
      <w:r w:rsidRPr="00B12FE0">
        <w:rPr>
          <w:rFonts w:hint="eastAsia"/>
          <w:color w:val="000000" w:themeColor="text1"/>
          <w:kern w:val="0"/>
        </w:rPr>
        <w:t>墙</w:t>
      </w:r>
      <w:r w:rsidRPr="00B12FE0">
        <w:rPr>
          <w:rFonts w:ascii="宋体" w:hAnsi="宋体"/>
          <w:color w:val="000000" w:themeColor="text1"/>
          <w:kern w:val="0"/>
        </w:rPr>
        <w:t>”</w:t>
      </w:r>
      <w:r w:rsidRPr="00B12FE0">
        <w:rPr>
          <w:rFonts w:hint="eastAsia"/>
          <w:color w:val="000000" w:themeColor="text1"/>
          <w:kern w:val="0"/>
        </w:rPr>
        <w:t>间隙的十倍。防护门设红外防挤压装置，防止人员被夹伤。另外防护门设紧急开门装置，在紧急情况下能从机房内开门。</w:t>
      </w:r>
    </w:p>
    <w:p w14:paraId="703D4317"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⑤加速器机房入口处设置电离辐射警告标志和中文警示说明。</w:t>
      </w:r>
    </w:p>
    <w:p w14:paraId="7943C968" w14:textId="77777777" w:rsidR="00A67F21" w:rsidRPr="00B12FE0" w:rsidRDefault="00000000">
      <w:pPr>
        <w:spacing w:line="360" w:lineRule="auto"/>
        <w:ind w:firstLine="480"/>
        <w:rPr>
          <w:color w:val="000000" w:themeColor="text1"/>
        </w:rPr>
      </w:pPr>
      <w:r w:rsidRPr="00B12FE0">
        <w:rPr>
          <w:rFonts w:hint="eastAsia"/>
          <w:color w:val="000000" w:themeColor="text1"/>
        </w:rPr>
        <w:t>直线加速器机房内安全防护设施分布见图</w:t>
      </w:r>
      <w:r w:rsidRPr="00B12FE0">
        <w:rPr>
          <w:color w:val="000000" w:themeColor="text1"/>
        </w:rPr>
        <w:t>10.1.2-</w:t>
      </w:r>
      <w:r w:rsidRPr="00B12FE0">
        <w:rPr>
          <w:rFonts w:hint="eastAsia"/>
          <w:color w:val="000000" w:themeColor="text1"/>
        </w:rPr>
        <w:t>4</w:t>
      </w:r>
      <w:r w:rsidRPr="00B12FE0">
        <w:rPr>
          <w:rFonts w:hint="eastAsia"/>
          <w:color w:val="000000" w:themeColor="text1"/>
        </w:rPr>
        <w:t>。</w:t>
      </w:r>
    </w:p>
    <w:p w14:paraId="389284F5" w14:textId="77777777" w:rsidR="00A67F21" w:rsidRPr="00B12FE0" w:rsidRDefault="00000000">
      <w:pPr>
        <w:tabs>
          <w:tab w:val="left" w:pos="799"/>
        </w:tabs>
        <w:snapToGrid w:val="0"/>
        <w:spacing w:line="360" w:lineRule="auto"/>
        <w:contextualSpacing/>
        <w:jc w:val="center"/>
        <w:rPr>
          <w:b/>
          <w:color w:val="000000" w:themeColor="text1"/>
          <w:sz w:val="21"/>
          <w:szCs w:val="18"/>
        </w:rPr>
      </w:pPr>
      <w:r w:rsidRPr="00B12FE0">
        <w:rPr>
          <w:noProof/>
          <w:color w:val="000000" w:themeColor="text1"/>
        </w:rPr>
        <w:lastRenderedPageBreak/>
        <w:drawing>
          <wp:inline distT="0" distB="0" distL="0" distR="0" wp14:anchorId="2507A97A" wp14:editId="31FD8450">
            <wp:extent cx="5732145" cy="3134995"/>
            <wp:effectExtent l="0" t="0" r="1905" b="8255"/>
            <wp:docPr id="1617220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20637" name="图片 1"/>
                    <pic:cNvPicPr>
                      <a:picLocks noChangeAspect="1"/>
                    </pic:cNvPicPr>
                  </pic:nvPicPr>
                  <pic:blipFill>
                    <a:blip r:embed="rId50"/>
                    <a:stretch>
                      <a:fillRect/>
                    </a:stretch>
                  </pic:blipFill>
                  <pic:spPr>
                    <a:xfrm>
                      <a:off x="0" y="0"/>
                      <a:ext cx="5732145" cy="3134995"/>
                    </a:xfrm>
                    <a:prstGeom prst="rect">
                      <a:avLst/>
                    </a:prstGeom>
                  </pic:spPr>
                </pic:pic>
              </a:graphicData>
            </a:graphic>
          </wp:inline>
        </w:drawing>
      </w:r>
    </w:p>
    <w:p w14:paraId="68036D50" w14:textId="77777777" w:rsidR="00A67F21" w:rsidRPr="00B12FE0" w:rsidRDefault="00000000">
      <w:pPr>
        <w:tabs>
          <w:tab w:val="left" w:pos="799"/>
        </w:tabs>
        <w:snapToGrid w:val="0"/>
        <w:spacing w:line="360" w:lineRule="auto"/>
        <w:contextualSpacing/>
        <w:jc w:val="center"/>
        <w:rPr>
          <w:b/>
          <w:color w:val="000000" w:themeColor="text1"/>
          <w:sz w:val="21"/>
          <w:szCs w:val="18"/>
        </w:rPr>
      </w:pPr>
      <w:r w:rsidRPr="00B12FE0">
        <w:rPr>
          <w:rFonts w:hint="eastAsia"/>
          <w:b/>
          <w:color w:val="000000" w:themeColor="text1"/>
          <w:sz w:val="21"/>
          <w:szCs w:val="18"/>
        </w:rPr>
        <w:t>图</w:t>
      </w:r>
      <w:r w:rsidRPr="00B12FE0">
        <w:rPr>
          <w:b/>
          <w:bCs/>
          <w:color w:val="000000" w:themeColor="text1"/>
          <w:sz w:val="21"/>
          <w:szCs w:val="16"/>
        </w:rPr>
        <w:t>10.1.2</w:t>
      </w:r>
      <w:r w:rsidRPr="00B12FE0">
        <w:rPr>
          <w:rFonts w:hint="eastAsia"/>
          <w:b/>
          <w:color w:val="000000" w:themeColor="text1"/>
          <w:sz w:val="21"/>
          <w:szCs w:val="18"/>
        </w:rPr>
        <w:t>-4</w:t>
      </w:r>
      <w:r w:rsidRPr="00B12FE0">
        <w:rPr>
          <w:b/>
          <w:color w:val="000000" w:themeColor="text1"/>
          <w:sz w:val="21"/>
          <w:szCs w:val="18"/>
        </w:rPr>
        <w:t xml:space="preserve"> </w:t>
      </w:r>
      <w:r w:rsidRPr="00B12FE0">
        <w:rPr>
          <w:rFonts w:hint="eastAsia"/>
          <w:b/>
          <w:color w:val="000000" w:themeColor="text1"/>
          <w:sz w:val="21"/>
          <w:szCs w:val="18"/>
        </w:rPr>
        <w:t xml:space="preserve"> </w:t>
      </w:r>
      <w:r w:rsidRPr="00B12FE0">
        <w:rPr>
          <w:rFonts w:hint="eastAsia"/>
          <w:b/>
          <w:color w:val="000000" w:themeColor="text1"/>
          <w:sz w:val="21"/>
          <w:szCs w:val="18"/>
        </w:rPr>
        <w:t>本项目直线加速器机房</w:t>
      </w:r>
      <w:r w:rsidRPr="00B12FE0">
        <w:rPr>
          <w:rFonts w:hint="eastAsia"/>
          <w:b/>
          <w:color w:val="000000" w:themeColor="text1"/>
          <w:kern w:val="0"/>
          <w:sz w:val="21"/>
          <w:szCs w:val="18"/>
        </w:rPr>
        <w:t>急停开关</w:t>
      </w:r>
      <w:r w:rsidRPr="00B12FE0">
        <w:rPr>
          <w:rFonts w:hint="eastAsia"/>
          <w:b/>
          <w:color w:val="000000" w:themeColor="text1"/>
          <w:sz w:val="21"/>
          <w:szCs w:val="18"/>
        </w:rPr>
        <w:t>、监视系统等安全设施分布示意图</w:t>
      </w:r>
    </w:p>
    <w:p w14:paraId="66858CBF"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w:t>
      </w:r>
      <w:r w:rsidRPr="00B12FE0">
        <w:rPr>
          <w:rFonts w:hint="eastAsia"/>
          <w:color w:val="000000" w:themeColor="text1"/>
          <w:kern w:val="0"/>
        </w:rPr>
        <w:t>3</w:t>
      </w:r>
      <w:r w:rsidRPr="00B12FE0">
        <w:rPr>
          <w:rFonts w:hint="eastAsia"/>
          <w:color w:val="000000" w:themeColor="text1"/>
          <w:kern w:val="0"/>
        </w:rPr>
        <w:t>）其他防护措施</w:t>
      </w:r>
    </w:p>
    <w:p w14:paraId="2C7570CD"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①每个辐射工作人员均配备</w:t>
      </w:r>
      <w:r w:rsidRPr="00B12FE0">
        <w:rPr>
          <w:color w:val="000000" w:themeColor="text1"/>
          <w:kern w:val="0"/>
        </w:rPr>
        <w:t>1</w:t>
      </w:r>
      <w:r w:rsidRPr="00B12FE0">
        <w:rPr>
          <w:rFonts w:hint="eastAsia"/>
          <w:color w:val="000000" w:themeColor="text1"/>
          <w:kern w:val="0"/>
        </w:rPr>
        <w:t>枚</w:t>
      </w:r>
      <w:r w:rsidRPr="00B12FE0">
        <w:rPr>
          <w:color w:val="000000" w:themeColor="text1"/>
          <w:kern w:val="0"/>
        </w:rPr>
        <w:t>TLD</w:t>
      </w:r>
      <w:r w:rsidRPr="00B12FE0">
        <w:rPr>
          <w:rFonts w:hint="eastAsia"/>
          <w:color w:val="000000" w:themeColor="text1"/>
          <w:kern w:val="0"/>
        </w:rPr>
        <w:t>个人剂量计。</w:t>
      </w:r>
    </w:p>
    <w:p w14:paraId="30753427"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②配备</w:t>
      </w:r>
      <w:r w:rsidRPr="00B12FE0">
        <w:rPr>
          <w:color w:val="000000" w:themeColor="text1"/>
          <w:kern w:val="0"/>
        </w:rPr>
        <w:t>1</w:t>
      </w:r>
      <w:r w:rsidRPr="00B12FE0">
        <w:rPr>
          <w:rFonts w:hint="eastAsia"/>
          <w:color w:val="000000" w:themeColor="text1"/>
          <w:kern w:val="0"/>
        </w:rPr>
        <w:t>台便携</w:t>
      </w:r>
      <w:r w:rsidRPr="00B12FE0">
        <w:rPr>
          <w:color w:val="000000" w:themeColor="text1"/>
          <w:kern w:val="0"/>
        </w:rPr>
        <w:t>式</w:t>
      </w:r>
      <w:r w:rsidRPr="00B12FE0">
        <w:rPr>
          <w:color w:val="000000" w:themeColor="text1"/>
          <w:kern w:val="0"/>
        </w:rPr>
        <w:t>X-γ</w:t>
      </w:r>
      <w:r w:rsidRPr="00B12FE0">
        <w:rPr>
          <w:color w:val="000000" w:themeColor="text1"/>
          <w:kern w:val="0"/>
        </w:rPr>
        <w:t>辐射剂量率巡</w:t>
      </w:r>
      <w:r w:rsidRPr="00B12FE0">
        <w:rPr>
          <w:rFonts w:hint="eastAsia"/>
          <w:color w:val="000000" w:themeColor="text1"/>
          <w:kern w:val="0"/>
        </w:rPr>
        <w:t>测仪和中子剂量监测仪</w:t>
      </w:r>
      <w:r w:rsidRPr="00B12FE0">
        <w:rPr>
          <w:rFonts w:hint="eastAsia"/>
          <w:color w:val="000000" w:themeColor="text1"/>
          <w:kern w:val="0"/>
          <w:szCs w:val="24"/>
        </w:rPr>
        <w:t>（</w:t>
      </w:r>
      <w:r w:rsidRPr="00B12FE0">
        <w:rPr>
          <w:rFonts w:hAnsi="宋体" w:cs="宋体" w:hint="eastAsia"/>
          <w:color w:val="000000" w:themeColor="text1"/>
          <w:kern w:val="0"/>
          <w:szCs w:val="24"/>
        </w:rPr>
        <w:t>和</w:t>
      </w:r>
      <w:r w:rsidRPr="00B12FE0">
        <w:rPr>
          <w:rFonts w:ascii="宋体" w:hAnsi="宋体" w:cs="宋体" w:hint="eastAsia"/>
          <w:color w:val="000000" w:themeColor="text1"/>
          <w:kern w:val="0"/>
          <w:szCs w:val="24"/>
        </w:rPr>
        <w:t>核医学工作场所</w:t>
      </w:r>
      <w:r w:rsidRPr="00B12FE0">
        <w:rPr>
          <w:rFonts w:hAnsi="宋体" w:cs="宋体" w:hint="eastAsia"/>
          <w:color w:val="000000" w:themeColor="text1"/>
          <w:kern w:val="0"/>
          <w:szCs w:val="24"/>
        </w:rPr>
        <w:t>共用</w:t>
      </w:r>
      <w:r w:rsidRPr="00B12FE0">
        <w:rPr>
          <w:rFonts w:hAnsi="宋体" w:cs="宋体" w:hint="eastAsia"/>
          <w:color w:val="000000" w:themeColor="text1"/>
          <w:kern w:val="0"/>
          <w:szCs w:val="24"/>
        </w:rPr>
        <w:t>1</w:t>
      </w:r>
      <w:r w:rsidRPr="00B12FE0">
        <w:rPr>
          <w:rFonts w:hAnsi="宋体" w:cs="宋体" w:hint="eastAsia"/>
          <w:color w:val="000000" w:themeColor="text1"/>
          <w:kern w:val="0"/>
          <w:szCs w:val="24"/>
        </w:rPr>
        <w:t>台</w:t>
      </w:r>
      <w:r w:rsidRPr="00B12FE0">
        <w:rPr>
          <w:rFonts w:hint="eastAsia"/>
          <w:color w:val="000000" w:themeColor="text1"/>
          <w:kern w:val="0"/>
          <w:szCs w:val="24"/>
        </w:rPr>
        <w:t>）</w:t>
      </w:r>
      <w:r w:rsidRPr="00B12FE0">
        <w:rPr>
          <w:rFonts w:hint="eastAsia"/>
          <w:color w:val="000000" w:themeColor="text1"/>
          <w:kern w:val="0"/>
        </w:rPr>
        <w:t>；单个加速器机房配备</w:t>
      </w:r>
      <w:r w:rsidRPr="00B12FE0">
        <w:rPr>
          <w:rFonts w:hint="eastAsia"/>
          <w:color w:val="000000" w:themeColor="text1"/>
          <w:kern w:val="0"/>
        </w:rPr>
        <w:t>1</w:t>
      </w:r>
      <w:r w:rsidRPr="00B12FE0">
        <w:rPr>
          <w:rFonts w:hint="eastAsia"/>
          <w:color w:val="000000" w:themeColor="text1"/>
          <w:kern w:val="0"/>
        </w:rPr>
        <w:t>套固定式剂量报警仪、</w:t>
      </w:r>
      <w:r w:rsidRPr="00B12FE0">
        <w:rPr>
          <w:rFonts w:hint="eastAsia"/>
          <w:color w:val="000000" w:themeColor="text1"/>
          <w:kern w:val="0"/>
        </w:rPr>
        <w:t>2</w:t>
      </w:r>
      <w:r w:rsidRPr="00B12FE0">
        <w:rPr>
          <w:rFonts w:hint="eastAsia"/>
          <w:color w:val="000000" w:themeColor="text1"/>
          <w:kern w:val="0"/>
        </w:rPr>
        <w:t>台个人剂量报警仪；</w:t>
      </w:r>
    </w:p>
    <w:p w14:paraId="1B5E812E"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③控制室墙上张贴相应的辐射工作制度、操作规程、岗位职责等；</w:t>
      </w:r>
    </w:p>
    <w:p w14:paraId="138E805B"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④加速器机房防护门外地面应设置黄色警戒线，告诫无关人员请勿靠近。</w:t>
      </w:r>
    </w:p>
    <w:p w14:paraId="5CDED0D7" w14:textId="77777777" w:rsidR="00A67F21" w:rsidRPr="00B12FE0" w:rsidRDefault="00000000">
      <w:pPr>
        <w:tabs>
          <w:tab w:val="left" w:pos="799"/>
        </w:tabs>
        <w:snapToGrid w:val="0"/>
        <w:spacing w:beforeLines="50" w:before="120" w:line="360" w:lineRule="auto"/>
        <w:contextualSpacing/>
        <w:outlineLvl w:val="4"/>
        <w:rPr>
          <w:color w:val="000000" w:themeColor="text1"/>
        </w:rPr>
      </w:pPr>
      <w:r w:rsidRPr="00B12FE0">
        <w:rPr>
          <w:rFonts w:hint="eastAsia"/>
          <w:b/>
          <w:bCs/>
          <w:color w:val="000000" w:themeColor="text1"/>
        </w:rPr>
        <w:t>10.1</w:t>
      </w:r>
      <w:r w:rsidRPr="00B12FE0">
        <w:rPr>
          <w:b/>
          <w:bCs/>
          <w:color w:val="000000" w:themeColor="text1"/>
        </w:rPr>
        <w:t>.2</w:t>
      </w:r>
      <w:r w:rsidRPr="00B12FE0">
        <w:rPr>
          <w:rFonts w:hint="eastAsia"/>
          <w:b/>
          <w:bCs/>
          <w:color w:val="000000" w:themeColor="text1"/>
        </w:rPr>
        <w:t>.</w:t>
      </w:r>
      <w:r w:rsidRPr="00B12FE0">
        <w:rPr>
          <w:b/>
          <w:bCs/>
          <w:color w:val="000000" w:themeColor="text1"/>
        </w:rPr>
        <w:t>1</w:t>
      </w:r>
      <w:r w:rsidRPr="00B12FE0">
        <w:rPr>
          <w:rFonts w:hint="eastAsia"/>
          <w:b/>
          <w:bCs/>
          <w:color w:val="000000" w:themeColor="text1"/>
        </w:rPr>
        <w:t>.</w:t>
      </w:r>
      <w:r w:rsidRPr="00B12FE0">
        <w:rPr>
          <w:b/>
          <w:bCs/>
          <w:color w:val="000000" w:themeColor="text1"/>
        </w:rPr>
        <w:t>3</w:t>
      </w:r>
      <w:r w:rsidRPr="00B12FE0">
        <w:rPr>
          <w:b/>
          <w:color w:val="000000" w:themeColor="text1"/>
        </w:rPr>
        <w:t>机房</w:t>
      </w:r>
      <w:r w:rsidRPr="00B12FE0">
        <w:rPr>
          <w:rFonts w:hint="eastAsia"/>
          <w:b/>
          <w:color w:val="000000" w:themeColor="text1"/>
        </w:rPr>
        <w:t>通风、电缆</w:t>
      </w:r>
      <w:r w:rsidRPr="00B12FE0">
        <w:rPr>
          <w:b/>
          <w:color w:val="000000" w:themeColor="text1"/>
        </w:rPr>
        <w:t>管线设置</w:t>
      </w:r>
    </w:p>
    <w:p w14:paraId="6AFEA145"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①</w:t>
      </w:r>
      <w:r w:rsidRPr="00B12FE0">
        <w:rPr>
          <w:rFonts w:hint="eastAsia"/>
          <w:color w:val="000000" w:themeColor="text1"/>
          <w:kern w:val="0"/>
        </w:rPr>
        <w:t>通风</w:t>
      </w:r>
    </w:p>
    <w:p w14:paraId="457DB3C0" w14:textId="77777777" w:rsidR="00A67F21" w:rsidRPr="00B12FE0" w:rsidRDefault="00000000">
      <w:pPr>
        <w:widowControl/>
        <w:tabs>
          <w:tab w:val="left" w:pos="945"/>
        </w:tabs>
        <w:adjustRightInd w:val="0"/>
        <w:spacing w:line="360" w:lineRule="auto"/>
        <w:ind w:firstLineChars="250" w:firstLine="600"/>
        <w:rPr>
          <w:color w:val="000000" w:themeColor="text1"/>
          <w:szCs w:val="24"/>
        </w:rPr>
      </w:pPr>
      <w:r w:rsidRPr="00B12FE0">
        <w:rPr>
          <w:color w:val="000000" w:themeColor="text1"/>
          <w:szCs w:val="24"/>
        </w:rPr>
        <w:t>加速器运行过程中，射线会与空气发生电离作用，产生臭氧和氮氧化物等有害气体</w:t>
      </w:r>
      <w:r w:rsidRPr="00B12FE0">
        <w:rPr>
          <w:rFonts w:hint="eastAsia"/>
          <w:color w:val="000000" w:themeColor="text1"/>
          <w:szCs w:val="24"/>
        </w:rPr>
        <w:t>。机房设置强制排风系统，采取全排全送的通风方式，新风口排风口呈现上进下排，对角设置。每个直线加速器机房内分别拟设置</w:t>
      </w:r>
      <w:r w:rsidRPr="00B12FE0">
        <w:rPr>
          <w:color w:val="000000" w:themeColor="text1"/>
          <w:szCs w:val="24"/>
        </w:rPr>
        <w:t>2</w:t>
      </w:r>
      <w:r w:rsidRPr="00B12FE0">
        <w:rPr>
          <w:rFonts w:hint="eastAsia"/>
          <w:color w:val="000000" w:themeColor="text1"/>
          <w:szCs w:val="24"/>
        </w:rPr>
        <w:t>个新风口和</w:t>
      </w:r>
      <w:r w:rsidRPr="00B12FE0">
        <w:rPr>
          <w:rFonts w:hint="eastAsia"/>
          <w:color w:val="000000" w:themeColor="text1"/>
          <w:szCs w:val="24"/>
        </w:rPr>
        <w:t>2</w:t>
      </w:r>
      <w:r w:rsidRPr="00B12FE0">
        <w:rPr>
          <w:rFonts w:hint="eastAsia"/>
          <w:color w:val="000000" w:themeColor="text1"/>
          <w:szCs w:val="24"/>
        </w:rPr>
        <w:t>个排风口。</w:t>
      </w:r>
    </w:p>
    <w:p w14:paraId="0265A4F2" w14:textId="77777777" w:rsidR="00A67F21" w:rsidRPr="00B12FE0" w:rsidRDefault="00000000">
      <w:pPr>
        <w:widowControl/>
        <w:tabs>
          <w:tab w:val="left" w:pos="945"/>
        </w:tabs>
        <w:adjustRightInd w:val="0"/>
        <w:spacing w:line="360" w:lineRule="auto"/>
        <w:ind w:firstLineChars="250" w:firstLine="600"/>
        <w:rPr>
          <w:snapToGrid w:val="0"/>
          <w:color w:val="000000" w:themeColor="text1"/>
          <w:kern w:val="0"/>
          <w:szCs w:val="24"/>
        </w:rPr>
      </w:pPr>
      <w:r w:rsidRPr="00B12FE0">
        <w:rPr>
          <w:rFonts w:hint="eastAsia"/>
          <w:color w:val="000000" w:themeColor="text1"/>
          <w:szCs w:val="24"/>
        </w:rPr>
        <w:t>直线加速器机房排风和新风管道从防护门拟穿过防护墙体上方进入机房，</w:t>
      </w:r>
      <w:proofErr w:type="gramStart"/>
      <w:r w:rsidRPr="00B12FE0">
        <w:rPr>
          <w:rFonts w:hint="eastAsia"/>
          <w:color w:val="000000" w:themeColor="text1"/>
          <w:szCs w:val="24"/>
        </w:rPr>
        <w:t>绕经迷道内墙</w:t>
      </w:r>
      <w:proofErr w:type="gramEnd"/>
      <w:r w:rsidRPr="00B12FE0">
        <w:rPr>
          <w:rFonts w:hint="eastAsia"/>
          <w:color w:val="000000" w:themeColor="text1"/>
          <w:szCs w:val="24"/>
        </w:rPr>
        <w:t>进入治疗室</w:t>
      </w:r>
      <w:r w:rsidRPr="00B12FE0">
        <w:rPr>
          <w:color w:val="000000" w:themeColor="text1"/>
          <w:szCs w:val="24"/>
        </w:rPr>
        <w:t>，排风口</w:t>
      </w:r>
      <w:r w:rsidRPr="00B12FE0">
        <w:rPr>
          <w:rFonts w:hint="eastAsia"/>
          <w:color w:val="000000" w:themeColor="text1"/>
          <w:szCs w:val="24"/>
        </w:rPr>
        <w:t>将</w:t>
      </w:r>
      <w:r w:rsidRPr="00B12FE0">
        <w:rPr>
          <w:color w:val="000000" w:themeColor="text1"/>
          <w:szCs w:val="24"/>
        </w:rPr>
        <w:t>设置在机房非</w:t>
      </w:r>
      <w:proofErr w:type="gramStart"/>
      <w:r w:rsidRPr="00B12FE0">
        <w:rPr>
          <w:color w:val="000000" w:themeColor="text1"/>
          <w:szCs w:val="24"/>
        </w:rPr>
        <w:t>主束投照</w:t>
      </w:r>
      <w:proofErr w:type="gramEnd"/>
      <w:r w:rsidRPr="00B12FE0">
        <w:rPr>
          <w:color w:val="000000" w:themeColor="text1"/>
          <w:szCs w:val="24"/>
        </w:rPr>
        <w:t>部位墙角处，风管底部（吸风口）离地</w:t>
      </w:r>
      <w:r w:rsidRPr="00B12FE0">
        <w:rPr>
          <w:color w:val="000000" w:themeColor="text1"/>
          <w:szCs w:val="24"/>
        </w:rPr>
        <w:t>30</w:t>
      </w:r>
      <w:r w:rsidRPr="00B12FE0">
        <w:rPr>
          <w:color w:val="000000" w:themeColor="text1"/>
          <w:szCs w:val="24"/>
        </w:rPr>
        <w:t>～</w:t>
      </w:r>
      <w:r w:rsidRPr="00B12FE0">
        <w:rPr>
          <w:color w:val="000000" w:themeColor="text1"/>
          <w:szCs w:val="24"/>
        </w:rPr>
        <w:t>40cm</w:t>
      </w:r>
      <w:r w:rsidRPr="00B12FE0">
        <w:rPr>
          <w:color w:val="000000" w:themeColor="text1"/>
          <w:szCs w:val="24"/>
        </w:rPr>
        <w:t>，再沿墙体内壁向上接近顶板</w:t>
      </w:r>
      <w:proofErr w:type="gramStart"/>
      <w:r w:rsidRPr="00B12FE0">
        <w:rPr>
          <w:color w:val="000000" w:themeColor="text1"/>
          <w:szCs w:val="24"/>
        </w:rPr>
        <w:t>处</w:t>
      </w:r>
      <w:r w:rsidRPr="00B12FE0">
        <w:rPr>
          <w:rFonts w:hint="eastAsia"/>
          <w:color w:val="000000" w:themeColor="text1"/>
          <w:szCs w:val="24"/>
        </w:rPr>
        <w:t>最终</w:t>
      </w:r>
      <w:proofErr w:type="gramEnd"/>
      <w:r w:rsidRPr="00B12FE0">
        <w:rPr>
          <w:rFonts w:hint="eastAsia"/>
          <w:color w:val="000000" w:themeColor="text1"/>
          <w:szCs w:val="24"/>
        </w:rPr>
        <w:t>从防护门上方墙体进出机房。</w:t>
      </w:r>
      <w:proofErr w:type="gramStart"/>
      <w:r w:rsidRPr="00B12FE0">
        <w:rPr>
          <w:rFonts w:hint="eastAsia"/>
          <w:color w:val="000000" w:themeColor="text1"/>
          <w:szCs w:val="24"/>
        </w:rPr>
        <w:t>通排风管</w:t>
      </w:r>
      <w:proofErr w:type="gramEnd"/>
      <w:r w:rsidRPr="00B12FE0">
        <w:rPr>
          <w:rFonts w:hint="eastAsia"/>
          <w:color w:val="000000" w:themeColor="text1"/>
          <w:szCs w:val="24"/>
        </w:rPr>
        <w:t>线布置示意图见附图</w:t>
      </w:r>
      <w:r w:rsidRPr="00B12FE0">
        <w:rPr>
          <w:rFonts w:hint="eastAsia"/>
          <w:color w:val="000000" w:themeColor="text1"/>
          <w:szCs w:val="24"/>
        </w:rPr>
        <w:t>12</w:t>
      </w:r>
      <w:r w:rsidRPr="00B12FE0">
        <w:rPr>
          <w:color w:val="000000" w:themeColor="text1"/>
          <w:szCs w:val="24"/>
        </w:rPr>
        <w:t>。</w:t>
      </w:r>
      <w:r w:rsidRPr="00B12FE0">
        <w:rPr>
          <w:rFonts w:hint="eastAsia"/>
          <w:color w:val="000000" w:themeColor="text1"/>
          <w:szCs w:val="24"/>
        </w:rPr>
        <w:t>新风管道、排风管道穿墙</w:t>
      </w:r>
      <w:proofErr w:type="gramStart"/>
      <w:r w:rsidRPr="00B12FE0">
        <w:rPr>
          <w:rFonts w:hint="eastAsia"/>
          <w:color w:val="000000" w:themeColor="text1"/>
          <w:szCs w:val="24"/>
        </w:rPr>
        <w:t>部分均拟采用</w:t>
      </w:r>
      <w:proofErr w:type="gramEnd"/>
      <w:r w:rsidRPr="00B12FE0">
        <w:rPr>
          <w:rFonts w:hint="eastAsia"/>
          <w:color w:val="000000" w:themeColor="text1"/>
          <w:szCs w:val="24"/>
        </w:rPr>
        <w:t>“</w:t>
      </w:r>
      <w:r w:rsidRPr="00B12FE0">
        <w:rPr>
          <w:rFonts w:hint="eastAsia"/>
          <w:color w:val="000000" w:themeColor="text1"/>
          <w:szCs w:val="24"/>
        </w:rPr>
        <w:t>U</w:t>
      </w:r>
      <w:r w:rsidRPr="00B12FE0">
        <w:rPr>
          <w:rFonts w:hint="eastAsia"/>
          <w:color w:val="000000" w:themeColor="text1"/>
          <w:szCs w:val="24"/>
        </w:rPr>
        <w:t>”型，穿墙口与机房内有迷路内墙阻挡，机房内射线不会直接照向通风管口，射线经迷路散射、管道多次折返等衰减，可有效补偿管线穿墙的影响，</w:t>
      </w:r>
      <w:proofErr w:type="gramStart"/>
      <w:r w:rsidRPr="00B12FE0">
        <w:rPr>
          <w:rFonts w:hint="eastAsia"/>
          <w:color w:val="000000" w:themeColor="text1"/>
          <w:szCs w:val="24"/>
        </w:rPr>
        <w:t>预埋通排风管</w:t>
      </w:r>
      <w:proofErr w:type="gramEnd"/>
      <w:r w:rsidRPr="00B12FE0">
        <w:rPr>
          <w:rFonts w:hint="eastAsia"/>
          <w:color w:val="000000" w:themeColor="text1"/>
          <w:szCs w:val="24"/>
        </w:rPr>
        <w:t>线穿墙示意图见图</w:t>
      </w:r>
      <w:r w:rsidRPr="00B12FE0">
        <w:rPr>
          <w:color w:val="000000" w:themeColor="text1"/>
          <w:szCs w:val="24"/>
        </w:rPr>
        <w:t>10.1.2-</w:t>
      </w:r>
      <w:r w:rsidRPr="00B12FE0">
        <w:rPr>
          <w:rFonts w:hint="eastAsia"/>
          <w:color w:val="000000" w:themeColor="text1"/>
          <w:szCs w:val="24"/>
        </w:rPr>
        <w:t>5</w:t>
      </w:r>
      <w:r w:rsidRPr="00B12FE0">
        <w:rPr>
          <w:rFonts w:hint="eastAsia"/>
          <w:snapToGrid w:val="0"/>
          <w:color w:val="000000" w:themeColor="text1"/>
          <w:kern w:val="0"/>
          <w:szCs w:val="24"/>
        </w:rPr>
        <w:t>。</w:t>
      </w:r>
    </w:p>
    <w:p w14:paraId="10758360" w14:textId="77777777" w:rsidR="00A67F21" w:rsidRPr="00B12FE0" w:rsidRDefault="00000000">
      <w:pPr>
        <w:pStyle w:val="aff"/>
        <w:jc w:val="center"/>
        <w:rPr>
          <w:color w:val="000000" w:themeColor="text1"/>
        </w:rPr>
      </w:pPr>
      <w:r w:rsidRPr="00B12FE0">
        <w:rPr>
          <w:noProof/>
          <w:color w:val="000000" w:themeColor="text1"/>
        </w:rPr>
        <w:lastRenderedPageBreak/>
        <w:drawing>
          <wp:inline distT="0" distB="0" distL="0" distR="0" wp14:anchorId="65C9C67B" wp14:editId="08D03939">
            <wp:extent cx="2495550" cy="2171700"/>
            <wp:effectExtent l="0" t="0" r="0" b="0"/>
            <wp:docPr id="593033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33214" name="图片 1"/>
                    <pic:cNvPicPr>
                      <a:picLocks noChangeAspect="1"/>
                    </pic:cNvPicPr>
                  </pic:nvPicPr>
                  <pic:blipFill>
                    <a:blip r:embed="rId51"/>
                    <a:stretch>
                      <a:fillRect/>
                    </a:stretch>
                  </pic:blipFill>
                  <pic:spPr>
                    <a:xfrm>
                      <a:off x="0" y="0"/>
                      <a:ext cx="2495550" cy="2171700"/>
                    </a:xfrm>
                    <a:prstGeom prst="rect">
                      <a:avLst/>
                    </a:prstGeom>
                  </pic:spPr>
                </pic:pic>
              </a:graphicData>
            </a:graphic>
          </wp:inline>
        </w:drawing>
      </w:r>
    </w:p>
    <w:p w14:paraId="073DBAD8" w14:textId="77777777" w:rsidR="00A67F21" w:rsidRPr="00B12FE0" w:rsidRDefault="00000000">
      <w:pPr>
        <w:tabs>
          <w:tab w:val="left" w:pos="799"/>
        </w:tabs>
        <w:snapToGrid w:val="0"/>
        <w:spacing w:beforeLines="50" w:before="120" w:line="360" w:lineRule="auto"/>
        <w:contextualSpacing/>
        <w:jc w:val="center"/>
        <w:rPr>
          <w:b/>
          <w:color w:val="000000" w:themeColor="text1"/>
          <w:sz w:val="21"/>
          <w:szCs w:val="18"/>
        </w:rPr>
      </w:pPr>
      <w:r w:rsidRPr="00B12FE0">
        <w:rPr>
          <w:rFonts w:hint="eastAsia"/>
          <w:b/>
          <w:color w:val="000000" w:themeColor="text1"/>
          <w:sz w:val="21"/>
          <w:szCs w:val="18"/>
        </w:rPr>
        <w:t>图</w:t>
      </w:r>
      <w:r w:rsidRPr="00B12FE0">
        <w:rPr>
          <w:b/>
          <w:bCs/>
          <w:color w:val="000000" w:themeColor="text1"/>
          <w:sz w:val="21"/>
          <w:szCs w:val="16"/>
        </w:rPr>
        <w:t>10.1.2</w:t>
      </w:r>
      <w:r w:rsidRPr="00B12FE0">
        <w:rPr>
          <w:rFonts w:hint="eastAsia"/>
          <w:b/>
          <w:color w:val="000000" w:themeColor="text1"/>
          <w:sz w:val="21"/>
          <w:szCs w:val="18"/>
        </w:rPr>
        <w:t>-5</w:t>
      </w:r>
      <w:r w:rsidRPr="00B12FE0">
        <w:rPr>
          <w:b/>
          <w:color w:val="000000" w:themeColor="text1"/>
          <w:sz w:val="21"/>
          <w:szCs w:val="18"/>
        </w:rPr>
        <w:t xml:space="preserve"> </w:t>
      </w:r>
      <w:r w:rsidRPr="00B12FE0">
        <w:rPr>
          <w:rFonts w:hint="eastAsia"/>
          <w:b/>
          <w:color w:val="000000" w:themeColor="text1"/>
          <w:sz w:val="21"/>
          <w:szCs w:val="18"/>
        </w:rPr>
        <w:t>本项目加速器机房</w:t>
      </w:r>
      <w:proofErr w:type="gramStart"/>
      <w:r w:rsidRPr="00B12FE0">
        <w:rPr>
          <w:rFonts w:hint="eastAsia"/>
          <w:b/>
          <w:color w:val="000000" w:themeColor="text1"/>
          <w:sz w:val="21"/>
          <w:szCs w:val="18"/>
        </w:rPr>
        <w:t>预埋通排风管</w:t>
      </w:r>
      <w:proofErr w:type="gramEnd"/>
      <w:r w:rsidRPr="00B12FE0">
        <w:rPr>
          <w:rFonts w:hint="eastAsia"/>
          <w:b/>
          <w:color w:val="000000" w:themeColor="text1"/>
          <w:sz w:val="21"/>
          <w:szCs w:val="18"/>
        </w:rPr>
        <w:t>线穿墙示意图</w:t>
      </w:r>
    </w:p>
    <w:p w14:paraId="6635A717" w14:textId="77777777" w:rsidR="00A67F21" w:rsidRPr="00B12FE0" w:rsidRDefault="00000000">
      <w:pPr>
        <w:adjustRightInd w:val="0"/>
        <w:spacing w:line="360" w:lineRule="auto"/>
        <w:ind w:firstLineChars="200" w:firstLine="480"/>
        <w:rPr>
          <w:snapToGrid w:val="0"/>
          <w:color w:val="000000" w:themeColor="text1"/>
          <w:kern w:val="0"/>
          <w:szCs w:val="24"/>
        </w:rPr>
      </w:pPr>
      <w:r w:rsidRPr="00B12FE0">
        <w:rPr>
          <w:bCs/>
          <w:snapToGrid w:val="0"/>
          <w:color w:val="000000" w:themeColor="text1"/>
          <w:szCs w:val="24"/>
        </w:rPr>
        <w:t>废气经排风系统一并</w:t>
      </w:r>
      <w:r w:rsidRPr="00B12FE0">
        <w:rPr>
          <w:rFonts w:hint="eastAsia"/>
          <w:color w:val="000000" w:themeColor="text1"/>
          <w:szCs w:val="24"/>
        </w:rPr>
        <w:t>引至肿瘤治疗中心综合楼楼顶，最终高出楼顶排放</w:t>
      </w:r>
      <w:r w:rsidRPr="00B12FE0">
        <w:rPr>
          <w:rFonts w:hint="eastAsia"/>
          <w:bCs/>
          <w:snapToGrid w:val="0"/>
          <w:color w:val="000000" w:themeColor="text1"/>
          <w:szCs w:val="24"/>
        </w:rPr>
        <w:t>，排气口</w:t>
      </w:r>
      <w:proofErr w:type="gramStart"/>
      <w:r w:rsidRPr="00B12FE0">
        <w:rPr>
          <w:rFonts w:hint="eastAsia"/>
          <w:bCs/>
          <w:snapToGrid w:val="0"/>
          <w:color w:val="000000" w:themeColor="text1"/>
          <w:szCs w:val="24"/>
        </w:rPr>
        <w:t>不</w:t>
      </w:r>
      <w:proofErr w:type="gramEnd"/>
      <w:r w:rsidRPr="00B12FE0">
        <w:rPr>
          <w:rFonts w:hint="eastAsia"/>
          <w:bCs/>
          <w:snapToGrid w:val="0"/>
          <w:color w:val="000000" w:themeColor="text1"/>
          <w:szCs w:val="24"/>
        </w:rPr>
        <w:t>朝向门、窗或人流量较大的过道等位置</w:t>
      </w:r>
      <w:r w:rsidRPr="00B12FE0">
        <w:rPr>
          <w:bCs/>
          <w:snapToGrid w:val="0"/>
          <w:color w:val="000000" w:themeColor="text1"/>
          <w:szCs w:val="24"/>
        </w:rPr>
        <w:t>。</w:t>
      </w:r>
      <w:r w:rsidRPr="00B12FE0">
        <w:rPr>
          <w:rFonts w:hint="eastAsia"/>
          <w:snapToGrid w:val="0"/>
          <w:color w:val="000000" w:themeColor="text1"/>
          <w:kern w:val="0"/>
          <w:szCs w:val="24"/>
        </w:rPr>
        <w:t>排风机设计排风量为</w:t>
      </w:r>
      <w:r w:rsidRPr="00B12FE0">
        <w:rPr>
          <w:rFonts w:hint="eastAsia"/>
          <w:snapToGrid w:val="0"/>
          <w:color w:val="000000" w:themeColor="text1"/>
          <w:kern w:val="0"/>
          <w:szCs w:val="24"/>
        </w:rPr>
        <w:t>4000m</w:t>
      </w:r>
      <w:r w:rsidRPr="00B12FE0">
        <w:rPr>
          <w:rFonts w:hint="eastAsia"/>
          <w:snapToGrid w:val="0"/>
          <w:color w:val="000000" w:themeColor="text1"/>
          <w:kern w:val="0"/>
          <w:szCs w:val="24"/>
          <w:vertAlign w:val="superscript"/>
        </w:rPr>
        <w:t>3</w:t>
      </w:r>
      <w:r w:rsidRPr="00B12FE0">
        <w:rPr>
          <w:rFonts w:hint="eastAsia"/>
          <w:snapToGrid w:val="0"/>
          <w:color w:val="000000" w:themeColor="text1"/>
          <w:kern w:val="0"/>
          <w:szCs w:val="24"/>
        </w:rPr>
        <w:t>/h</w:t>
      </w:r>
      <w:r w:rsidRPr="00B12FE0">
        <w:rPr>
          <w:rFonts w:hint="eastAsia"/>
          <w:snapToGrid w:val="0"/>
          <w:color w:val="000000" w:themeColor="text1"/>
          <w:kern w:val="0"/>
          <w:szCs w:val="24"/>
        </w:rPr>
        <w:t>，机房体积约为</w:t>
      </w:r>
      <w:r w:rsidRPr="00B12FE0">
        <w:rPr>
          <w:rFonts w:hint="eastAsia"/>
          <w:snapToGrid w:val="0"/>
          <w:color w:val="000000" w:themeColor="text1"/>
          <w:kern w:val="0"/>
          <w:szCs w:val="24"/>
        </w:rPr>
        <w:t>579m</w:t>
      </w:r>
      <w:r w:rsidRPr="00B12FE0">
        <w:rPr>
          <w:rFonts w:hint="eastAsia"/>
          <w:snapToGrid w:val="0"/>
          <w:color w:val="000000" w:themeColor="text1"/>
          <w:kern w:val="0"/>
          <w:szCs w:val="24"/>
          <w:vertAlign w:val="superscript"/>
        </w:rPr>
        <w:t>3</w:t>
      </w:r>
      <w:r w:rsidRPr="00B12FE0">
        <w:rPr>
          <w:rFonts w:hint="eastAsia"/>
          <w:snapToGrid w:val="0"/>
          <w:color w:val="000000" w:themeColor="text1"/>
          <w:kern w:val="0"/>
          <w:szCs w:val="24"/>
        </w:rPr>
        <w:t>，机房换气次数不小于</w:t>
      </w:r>
      <w:r w:rsidRPr="00B12FE0">
        <w:rPr>
          <w:rFonts w:hint="eastAsia"/>
          <w:snapToGrid w:val="0"/>
          <w:color w:val="000000" w:themeColor="text1"/>
          <w:kern w:val="0"/>
          <w:szCs w:val="24"/>
        </w:rPr>
        <w:t>6</w:t>
      </w:r>
      <w:r w:rsidRPr="00B12FE0">
        <w:rPr>
          <w:rFonts w:hint="eastAsia"/>
          <w:snapToGrid w:val="0"/>
          <w:color w:val="000000" w:themeColor="text1"/>
          <w:kern w:val="0"/>
          <w:szCs w:val="24"/>
        </w:rPr>
        <w:t>次</w:t>
      </w:r>
      <w:r w:rsidRPr="00B12FE0">
        <w:rPr>
          <w:rFonts w:hint="eastAsia"/>
          <w:snapToGrid w:val="0"/>
          <w:color w:val="000000" w:themeColor="text1"/>
          <w:kern w:val="0"/>
          <w:szCs w:val="24"/>
        </w:rPr>
        <w:t>/h</w:t>
      </w:r>
      <w:r w:rsidRPr="00B12FE0">
        <w:rPr>
          <w:rFonts w:hint="eastAsia"/>
          <w:snapToGrid w:val="0"/>
          <w:color w:val="000000" w:themeColor="text1"/>
          <w:kern w:val="0"/>
          <w:szCs w:val="24"/>
        </w:rPr>
        <w:t>，符合</w:t>
      </w:r>
      <w:r w:rsidRPr="00B12FE0">
        <w:rPr>
          <w:snapToGrid w:val="0"/>
          <w:color w:val="000000" w:themeColor="text1"/>
          <w:szCs w:val="24"/>
        </w:rPr>
        <w:t>《放射治疗辐射安全与防护要求》（</w:t>
      </w:r>
      <w:r w:rsidRPr="00B12FE0">
        <w:rPr>
          <w:snapToGrid w:val="0"/>
          <w:color w:val="000000" w:themeColor="text1"/>
          <w:szCs w:val="24"/>
        </w:rPr>
        <w:t>HJ 1198-2021</w:t>
      </w:r>
      <w:r w:rsidRPr="00B12FE0">
        <w:rPr>
          <w:snapToGrid w:val="0"/>
          <w:color w:val="000000" w:themeColor="text1"/>
          <w:szCs w:val="24"/>
        </w:rPr>
        <w:t>）</w:t>
      </w:r>
      <w:r w:rsidRPr="00B12FE0">
        <w:rPr>
          <w:rFonts w:hint="eastAsia"/>
          <w:snapToGrid w:val="0"/>
          <w:color w:val="000000" w:themeColor="text1"/>
          <w:kern w:val="0"/>
          <w:szCs w:val="24"/>
        </w:rPr>
        <w:t>中放射治疗机房</w:t>
      </w:r>
      <w:r w:rsidRPr="00B12FE0">
        <w:rPr>
          <w:snapToGrid w:val="0"/>
          <w:color w:val="000000" w:themeColor="text1"/>
          <w:kern w:val="0"/>
          <w:szCs w:val="24"/>
        </w:rPr>
        <w:t>通风换气次数应不小于</w:t>
      </w:r>
      <w:r w:rsidRPr="00B12FE0">
        <w:rPr>
          <w:snapToGrid w:val="0"/>
          <w:color w:val="000000" w:themeColor="text1"/>
          <w:kern w:val="0"/>
          <w:szCs w:val="24"/>
        </w:rPr>
        <w:t>4</w:t>
      </w:r>
      <w:r w:rsidRPr="00B12FE0">
        <w:rPr>
          <w:snapToGrid w:val="0"/>
          <w:color w:val="000000" w:themeColor="text1"/>
          <w:kern w:val="0"/>
          <w:szCs w:val="24"/>
        </w:rPr>
        <w:t>次</w:t>
      </w:r>
      <w:r w:rsidRPr="00B12FE0">
        <w:rPr>
          <w:snapToGrid w:val="0"/>
          <w:color w:val="000000" w:themeColor="text1"/>
          <w:kern w:val="0"/>
          <w:szCs w:val="24"/>
        </w:rPr>
        <w:t>/</w:t>
      </w:r>
      <w:r w:rsidRPr="00B12FE0">
        <w:rPr>
          <w:rFonts w:hint="eastAsia"/>
          <w:snapToGrid w:val="0"/>
          <w:color w:val="000000" w:themeColor="text1"/>
          <w:kern w:val="0"/>
          <w:szCs w:val="24"/>
        </w:rPr>
        <w:t>h</w:t>
      </w:r>
      <w:r w:rsidRPr="00B12FE0">
        <w:rPr>
          <w:rFonts w:hint="eastAsia"/>
          <w:snapToGrid w:val="0"/>
          <w:color w:val="000000" w:themeColor="text1"/>
          <w:kern w:val="0"/>
          <w:szCs w:val="24"/>
        </w:rPr>
        <w:t>的规定</w:t>
      </w:r>
      <w:r w:rsidRPr="00B12FE0">
        <w:rPr>
          <w:snapToGrid w:val="0"/>
          <w:color w:val="000000" w:themeColor="text1"/>
          <w:kern w:val="0"/>
          <w:szCs w:val="24"/>
        </w:rPr>
        <w:t>。</w:t>
      </w:r>
    </w:p>
    <w:p w14:paraId="33580728" w14:textId="77777777" w:rsidR="00A67F21" w:rsidRPr="00B12FE0" w:rsidRDefault="00000000">
      <w:pPr>
        <w:adjustRightInd w:val="0"/>
        <w:snapToGrid w:val="0"/>
        <w:spacing w:line="360" w:lineRule="auto"/>
        <w:ind w:firstLine="480"/>
        <w:rPr>
          <w:color w:val="000000" w:themeColor="text1"/>
          <w:kern w:val="0"/>
        </w:rPr>
      </w:pPr>
      <w:r w:rsidRPr="00B12FE0">
        <w:rPr>
          <w:color w:val="000000" w:themeColor="text1"/>
          <w:kern w:val="0"/>
        </w:rPr>
        <w:fldChar w:fldCharType="begin"/>
      </w:r>
      <w:r w:rsidRPr="00B12FE0">
        <w:rPr>
          <w:color w:val="000000" w:themeColor="text1"/>
          <w:kern w:val="0"/>
        </w:rPr>
        <w:instrText xml:space="preserve"> = 2 \* GB3 </w:instrText>
      </w:r>
      <w:r w:rsidRPr="00B12FE0">
        <w:rPr>
          <w:color w:val="000000" w:themeColor="text1"/>
          <w:kern w:val="0"/>
        </w:rPr>
        <w:fldChar w:fldCharType="separate"/>
      </w:r>
      <w:r w:rsidRPr="00B12FE0">
        <w:rPr>
          <w:rFonts w:ascii="宋体" w:hAnsi="宋体" w:hint="eastAsia"/>
          <w:color w:val="000000" w:themeColor="text1"/>
          <w:kern w:val="0"/>
        </w:rPr>
        <w:t>②</w:t>
      </w:r>
      <w:r w:rsidRPr="00B12FE0">
        <w:rPr>
          <w:color w:val="000000" w:themeColor="text1"/>
          <w:kern w:val="0"/>
        </w:rPr>
        <w:fldChar w:fldCharType="end"/>
      </w:r>
      <w:r w:rsidRPr="00B12FE0">
        <w:rPr>
          <w:rFonts w:hint="eastAsia"/>
          <w:color w:val="000000" w:themeColor="text1"/>
          <w:kern w:val="0"/>
        </w:rPr>
        <w:t>电缆及水管布设</w:t>
      </w:r>
    </w:p>
    <w:p w14:paraId="53174F4A"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加速器治疗室与控制室操作台之间的各种电缆管线，室内部分以地沟形式在地坪以下布设，采用“</w:t>
      </w:r>
      <w:r w:rsidRPr="00B12FE0">
        <w:rPr>
          <w:rFonts w:hint="eastAsia"/>
          <w:color w:val="000000" w:themeColor="text1"/>
        </w:rPr>
        <w:t>U</w:t>
      </w:r>
      <w:r w:rsidRPr="00B12FE0">
        <w:rPr>
          <w:rFonts w:hint="eastAsia"/>
          <w:color w:val="000000" w:themeColor="text1"/>
        </w:rPr>
        <w:t>”型路径设计，电缆沟盖板采用</w:t>
      </w:r>
      <w:r w:rsidRPr="00B12FE0">
        <w:rPr>
          <w:rFonts w:hint="eastAsia"/>
          <w:color w:val="000000" w:themeColor="text1"/>
        </w:rPr>
        <w:t>4mm</w:t>
      </w:r>
      <w:r w:rsidRPr="00B12FE0">
        <w:rPr>
          <w:rFonts w:hint="eastAsia"/>
          <w:color w:val="000000" w:themeColor="text1"/>
        </w:rPr>
        <w:t>厚铅板覆盖，从而保证不减弱屏蔽墙体的屏蔽效果。其他所有电、水、气管、物理测试管线布设走向必须符合辐射屏蔽防护要求，并在非</w:t>
      </w:r>
      <w:proofErr w:type="gramStart"/>
      <w:r w:rsidRPr="00B12FE0">
        <w:rPr>
          <w:rFonts w:hint="eastAsia"/>
          <w:color w:val="000000" w:themeColor="text1"/>
        </w:rPr>
        <w:t>主束投照</w:t>
      </w:r>
      <w:proofErr w:type="gramEnd"/>
      <w:r w:rsidRPr="00B12FE0">
        <w:rPr>
          <w:rFonts w:hint="eastAsia"/>
          <w:color w:val="000000" w:themeColor="text1"/>
        </w:rPr>
        <w:t>部位采用</w:t>
      </w:r>
      <w:proofErr w:type="gramStart"/>
      <w:r w:rsidRPr="00B12FE0">
        <w:rPr>
          <w:rFonts w:hint="eastAsia"/>
          <w:color w:val="000000" w:themeColor="text1"/>
        </w:rPr>
        <w:t>迷道形式穿</w:t>
      </w:r>
      <w:proofErr w:type="gramEnd"/>
      <w:r w:rsidRPr="00B12FE0">
        <w:rPr>
          <w:rFonts w:hint="eastAsia"/>
          <w:color w:val="000000" w:themeColor="text1"/>
        </w:rPr>
        <w:t>越墙体或顶盖，</w:t>
      </w:r>
      <w:r w:rsidRPr="00B12FE0">
        <w:rPr>
          <w:bCs/>
          <w:color w:val="000000" w:themeColor="text1"/>
        </w:rPr>
        <w:t>如在防护墙体部位设置开关箱等嵌入式电气设备，要在箱体后背</w:t>
      </w:r>
      <w:proofErr w:type="gramStart"/>
      <w:r w:rsidRPr="00B12FE0">
        <w:rPr>
          <w:bCs/>
          <w:color w:val="000000" w:themeColor="text1"/>
        </w:rPr>
        <w:t>衬填相应</w:t>
      </w:r>
      <w:proofErr w:type="gramEnd"/>
      <w:r w:rsidRPr="00B12FE0">
        <w:rPr>
          <w:bCs/>
          <w:color w:val="000000" w:themeColor="text1"/>
        </w:rPr>
        <w:t>厚度的</w:t>
      </w:r>
      <w:r w:rsidRPr="00B12FE0">
        <w:rPr>
          <w:rFonts w:hint="eastAsia"/>
          <w:bCs/>
          <w:color w:val="000000" w:themeColor="text1"/>
        </w:rPr>
        <w:t>混凝土</w:t>
      </w:r>
      <w:r w:rsidRPr="00B12FE0">
        <w:rPr>
          <w:bCs/>
          <w:color w:val="000000" w:themeColor="text1"/>
        </w:rPr>
        <w:t>。</w:t>
      </w:r>
      <w:r w:rsidRPr="00B12FE0">
        <w:rPr>
          <w:rFonts w:hint="eastAsia"/>
          <w:color w:val="000000" w:themeColor="text1"/>
        </w:rPr>
        <w:t>电缆管线</w:t>
      </w:r>
      <w:r w:rsidRPr="00B12FE0">
        <w:rPr>
          <w:color w:val="000000" w:themeColor="text1"/>
        </w:rPr>
        <w:t>以</w:t>
      </w:r>
      <w:r w:rsidRPr="00B12FE0">
        <w:rPr>
          <w:rFonts w:ascii="宋体" w:hAnsi="宋体"/>
          <w:color w:val="000000" w:themeColor="text1"/>
        </w:rPr>
        <w:t>“</w:t>
      </w:r>
      <w:r w:rsidRPr="00B12FE0">
        <w:rPr>
          <w:rFonts w:hint="eastAsia"/>
          <w:color w:val="000000" w:themeColor="text1"/>
        </w:rPr>
        <w:t>U</w:t>
      </w:r>
      <w:r w:rsidRPr="00B12FE0">
        <w:rPr>
          <w:rFonts w:ascii="宋体" w:hAnsi="宋体"/>
          <w:color w:val="000000" w:themeColor="text1"/>
        </w:rPr>
        <w:t>”</w:t>
      </w:r>
      <w:r w:rsidRPr="00B12FE0">
        <w:rPr>
          <w:color w:val="000000" w:themeColor="text1"/>
        </w:rPr>
        <w:t>字型穿过迷路外墙</w:t>
      </w:r>
      <w:r w:rsidRPr="00B12FE0">
        <w:rPr>
          <w:rFonts w:hint="eastAsia"/>
          <w:color w:val="000000" w:themeColor="text1"/>
        </w:rPr>
        <w:t>，</w:t>
      </w:r>
      <w:r w:rsidRPr="00B12FE0">
        <w:rPr>
          <w:color w:val="000000" w:themeColor="text1"/>
        </w:rPr>
        <w:t>管道穿墙方式</w:t>
      </w:r>
      <w:r w:rsidRPr="00B12FE0">
        <w:rPr>
          <w:rFonts w:hint="eastAsia"/>
          <w:color w:val="000000" w:themeColor="text1"/>
        </w:rPr>
        <w:t>见</w:t>
      </w:r>
      <w:r w:rsidRPr="00B12FE0">
        <w:rPr>
          <w:rFonts w:hint="eastAsia"/>
          <w:color w:val="000000" w:themeColor="text1"/>
          <w:szCs w:val="24"/>
        </w:rPr>
        <w:t>图</w:t>
      </w:r>
      <w:r w:rsidRPr="00B12FE0">
        <w:rPr>
          <w:color w:val="000000" w:themeColor="text1"/>
          <w:szCs w:val="24"/>
        </w:rPr>
        <w:t>10.1.2-</w:t>
      </w:r>
      <w:r w:rsidRPr="00B12FE0">
        <w:rPr>
          <w:rFonts w:hint="eastAsia"/>
          <w:color w:val="000000" w:themeColor="text1"/>
          <w:szCs w:val="24"/>
        </w:rPr>
        <w:t>3</w:t>
      </w:r>
      <w:r w:rsidRPr="00B12FE0">
        <w:rPr>
          <w:color w:val="000000" w:themeColor="text1"/>
        </w:rPr>
        <w:t>。</w:t>
      </w:r>
    </w:p>
    <w:p w14:paraId="4049A7D8" w14:textId="77777777" w:rsidR="00A67F21" w:rsidRPr="00B12FE0" w:rsidRDefault="00000000">
      <w:pPr>
        <w:snapToGrid w:val="0"/>
        <w:spacing w:line="360" w:lineRule="auto"/>
        <w:contextualSpacing/>
        <w:jc w:val="center"/>
        <w:rPr>
          <w:color w:val="000000" w:themeColor="text1"/>
          <w:sz w:val="21"/>
          <w:szCs w:val="16"/>
        </w:rPr>
      </w:pPr>
      <w:r w:rsidRPr="00B12FE0">
        <w:rPr>
          <w:noProof/>
          <w:color w:val="000000" w:themeColor="text1"/>
        </w:rPr>
        <w:drawing>
          <wp:inline distT="0" distB="0" distL="0" distR="0" wp14:anchorId="372FFFB2" wp14:editId="47712E26">
            <wp:extent cx="2259965" cy="2604770"/>
            <wp:effectExtent l="0" t="0" r="6985" b="5080"/>
            <wp:docPr id="1755182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82776" name="图片 1"/>
                    <pic:cNvPicPr>
                      <a:picLocks noChangeAspect="1"/>
                    </pic:cNvPicPr>
                  </pic:nvPicPr>
                  <pic:blipFill>
                    <a:blip r:embed="rId52"/>
                    <a:stretch>
                      <a:fillRect/>
                    </a:stretch>
                  </pic:blipFill>
                  <pic:spPr>
                    <a:xfrm>
                      <a:off x="0" y="0"/>
                      <a:ext cx="2272028" cy="2618135"/>
                    </a:xfrm>
                    <a:prstGeom prst="rect">
                      <a:avLst/>
                    </a:prstGeom>
                  </pic:spPr>
                </pic:pic>
              </a:graphicData>
            </a:graphic>
          </wp:inline>
        </w:drawing>
      </w:r>
    </w:p>
    <w:p w14:paraId="64B8DAC4" w14:textId="77777777" w:rsidR="00A67F21" w:rsidRPr="00B12FE0" w:rsidRDefault="00000000">
      <w:pPr>
        <w:snapToGrid w:val="0"/>
        <w:spacing w:line="360" w:lineRule="auto"/>
        <w:contextualSpacing/>
        <w:jc w:val="center"/>
        <w:rPr>
          <w:b/>
          <w:color w:val="000000" w:themeColor="text1"/>
          <w:sz w:val="21"/>
          <w:szCs w:val="18"/>
        </w:rPr>
      </w:pPr>
      <w:r w:rsidRPr="00B12FE0">
        <w:rPr>
          <w:rFonts w:hint="eastAsia"/>
          <w:b/>
          <w:color w:val="000000" w:themeColor="text1"/>
          <w:sz w:val="21"/>
          <w:szCs w:val="18"/>
        </w:rPr>
        <w:t>图</w:t>
      </w:r>
      <w:r w:rsidRPr="00B12FE0">
        <w:rPr>
          <w:b/>
          <w:bCs/>
          <w:color w:val="000000" w:themeColor="text1"/>
          <w:sz w:val="21"/>
          <w:szCs w:val="16"/>
        </w:rPr>
        <w:t>10.1.2</w:t>
      </w:r>
      <w:r w:rsidRPr="00B12FE0">
        <w:rPr>
          <w:rFonts w:hint="eastAsia"/>
          <w:b/>
          <w:color w:val="000000" w:themeColor="text1"/>
          <w:sz w:val="21"/>
          <w:szCs w:val="18"/>
        </w:rPr>
        <w:t>-3</w:t>
      </w:r>
      <w:r w:rsidRPr="00B12FE0">
        <w:rPr>
          <w:b/>
          <w:color w:val="000000" w:themeColor="text1"/>
          <w:sz w:val="21"/>
          <w:szCs w:val="18"/>
        </w:rPr>
        <w:t xml:space="preserve">  </w:t>
      </w:r>
      <w:r w:rsidRPr="00B12FE0">
        <w:rPr>
          <w:rFonts w:hint="eastAsia"/>
          <w:b/>
          <w:color w:val="000000" w:themeColor="text1"/>
          <w:sz w:val="21"/>
          <w:szCs w:val="18"/>
        </w:rPr>
        <w:t>本项目加速器机房电缆穿墙示意图</w:t>
      </w:r>
    </w:p>
    <w:p w14:paraId="22AD6E1E" w14:textId="77777777" w:rsidR="00A67F21" w:rsidRPr="00B12FE0" w:rsidRDefault="00000000">
      <w:pPr>
        <w:pStyle w:val="51"/>
        <w:adjustRightInd w:val="0"/>
        <w:snapToGrid w:val="0"/>
        <w:spacing w:before="0" w:after="0" w:line="360" w:lineRule="auto"/>
        <w:rPr>
          <w:color w:val="000000" w:themeColor="text1"/>
        </w:rPr>
      </w:pPr>
      <w:r w:rsidRPr="00B12FE0">
        <w:rPr>
          <w:color w:val="000000" w:themeColor="text1"/>
        </w:rPr>
        <w:lastRenderedPageBreak/>
        <w:t>10.1.2.</w:t>
      </w:r>
      <w:r w:rsidRPr="00B12FE0">
        <w:rPr>
          <w:rFonts w:hint="eastAsia"/>
          <w:color w:val="000000" w:themeColor="text1"/>
        </w:rPr>
        <w:t>2</w:t>
      </w:r>
      <w:r w:rsidRPr="00B12FE0">
        <w:rPr>
          <w:rFonts w:hint="eastAsia"/>
          <w:color w:val="000000" w:themeColor="text1"/>
        </w:rPr>
        <w:t>后装机项目</w:t>
      </w:r>
    </w:p>
    <w:p w14:paraId="7266315D" w14:textId="77777777" w:rsidR="00A67F21" w:rsidRPr="00B12FE0" w:rsidRDefault="00000000">
      <w:pPr>
        <w:pStyle w:val="51"/>
        <w:adjustRightInd w:val="0"/>
        <w:snapToGrid w:val="0"/>
        <w:spacing w:before="0" w:after="0" w:line="360" w:lineRule="auto"/>
        <w:rPr>
          <w:color w:val="000000" w:themeColor="text1"/>
        </w:rPr>
      </w:pPr>
      <w:r w:rsidRPr="00B12FE0">
        <w:rPr>
          <w:color w:val="000000" w:themeColor="text1"/>
        </w:rPr>
        <w:t>10.1.2.</w:t>
      </w:r>
      <w:r w:rsidRPr="00B12FE0">
        <w:rPr>
          <w:rFonts w:hint="eastAsia"/>
          <w:color w:val="000000" w:themeColor="text1"/>
        </w:rPr>
        <w:t>2.</w:t>
      </w:r>
      <w:r w:rsidRPr="00B12FE0">
        <w:rPr>
          <w:color w:val="000000" w:themeColor="text1"/>
        </w:rPr>
        <w:t>1</w:t>
      </w:r>
      <w:r w:rsidRPr="00B12FE0">
        <w:rPr>
          <w:color w:val="000000" w:themeColor="text1"/>
        </w:rPr>
        <w:t>工作场所布局分析及分区情况</w:t>
      </w:r>
    </w:p>
    <w:p w14:paraId="5580AD07" w14:textId="77777777" w:rsidR="00A67F21" w:rsidRPr="00B12FE0" w:rsidRDefault="00000000">
      <w:pPr>
        <w:adjustRightInd w:val="0"/>
        <w:snapToGrid w:val="0"/>
        <w:spacing w:line="360" w:lineRule="auto"/>
        <w:ind w:firstLineChars="200" w:firstLine="482"/>
        <w:jc w:val="left"/>
        <w:rPr>
          <w:b/>
          <w:color w:val="000000" w:themeColor="text1"/>
        </w:rPr>
      </w:pPr>
      <w:r w:rsidRPr="00B12FE0">
        <w:rPr>
          <w:rFonts w:ascii="宋体" w:hAnsi="宋体" w:hint="eastAsia"/>
          <w:b/>
          <w:color w:val="000000" w:themeColor="text1"/>
        </w:rPr>
        <w:t>①</w:t>
      </w:r>
      <w:r w:rsidRPr="00B12FE0">
        <w:rPr>
          <w:b/>
          <w:color w:val="000000" w:themeColor="text1"/>
        </w:rPr>
        <w:t>工作场所布局分析</w:t>
      </w:r>
    </w:p>
    <w:p w14:paraId="447AC347" w14:textId="77777777" w:rsidR="00A67F21" w:rsidRPr="00B12FE0" w:rsidRDefault="00000000">
      <w:pPr>
        <w:spacing w:line="360" w:lineRule="auto"/>
        <w:ind w:firstLineChars="200" w:firstLine="480"/>
        <w:rPr>
          <w:color w:val="000000" w:themeColor="text1"/>
        </w:rPr>
      </w:pPr>
      <w:r w:rsidRPr="00B12FE0">
        <w:rPr>
          <w:color w:val="000000" w:themeColor="text1"/>
        </w:rPr>
        <w:t>本项目</w:t>
      </w:r>
      <w:r w:rsidRPr="00B12FE0">
        <w:rPr>
          <w:color w:val="000000" w:themeColor="text1"/>
        </w:rPr>
        <w:t>1</w:t>
      </w:r>
      <w:r w:rsidRPr="00B12FE0">
        <w:rPr>
          <w:rFonts w:hint="eastAsia"/>
          <w:color w:val="000000" w:themeColor="text1"/>
        </w:rPr>
        <w:t>间</w:t>
      </w:r>
      <w:r w:rsidRPr="00B12FE0">
        <w:rPr>
          <w:color w:val="000000" w:themeColor="text1"/>
        </w:rPr>
        <w:t>后装机房</w:t>
      </w:r>
      <w:r w:rsidRPr="00B12FE0">
        <w:rPr>
          <w:rFonts w:hAnsi="宋体" w:hint="eastAsia"/>
          <w:color w:val="000000" w:themeColor="text1"/>
        </w:rPr>
        <w:t>位于</w:t>
      </w:r>
      <w:r w:rsidRPr="00B12FE0">
        <w:rPr>
          <w:rFonts w:hint="eastAsia"/>
          <w:color w:val="000000" w:themeColor="text1"/>
          <w:kern w:val="0"/>
        </w:rPr>
        <w:t>肿瘤治疗中心综合楼一层北侧</w:t>
      </w:r>
      <w:r w:rsidRPr="00B12FE0">
        <w:rPr>
          <w:color w:val="000000" w:themeColor="text1"/>
        </w:rPr>
        <w:t>，后装机用房主要由后装机房</w:t>
      </w:r>
      <w:r w:rsidRPr="00B12FE0">
        <w:rPr>
          <w:rFonts w:hint="eastAsia"/>
          <w:color w:val="000000" w:themeColor="text1"/>
        </w:rPr>
        <w:t>和</w:t>
      </w:r>
      <w:r w:rsidRPr="00B12FE0">
        <w:rPr>
          <w:color w:val="000000" w:themeColor="text1"/>
        </w:rPr>
        <w:t>控制室组成。后装机房由治疗室、迷路和防护门组成。机房布局满足《放射治疗机房的辐射屏蔽规范第</w:t>
      </w:r>
      <w:r w:rsidRPr="00B12FE0">
        <w:rPr>
          <w:color w:val="000000" w:themeColor="text1"/>
        </w:rPr>
        <w:t>3</w:t>
      </w:r>
      <w:r w:rsidRPr="00B12FE0">
        <w:rPr>
          <w:color w:val="000000" w:themeColor="text1"/>
        </w:rPr>
        <w:t>部分：</w:t>
      </w:r>
      <w:r w:rsidRPr="00B12FE0">
        <w:rPr>
          <w:color w:val="000000" w:themeColor="text1"/>
        </w:rPr>
        <w:t>γ</w:t>
      </w:r>
      <w:r w:rsidRPr="00B12FE0">
        <w:rPr>
          <w:color w:val="000000" w:themeColor="text1"/>
        </w:rPr>
        <w:t>射线源放射治疗机房》（</w:t>
      </w:r>
      <w:r w:rsidRPr="00B12FE0">
        <w:rPr>
          <w:color w:val="000000" w:themeColor="text1"/>
        </w:rPr>
        <w:t>GBZ/T201.3-2014</w:t>
      </w:r>
      <w:r w:rsidRPr="00B12FE0">
        <w:rPr>
          <w:color w:val="000000" w:themeColor="text1"/>
        </w:rPr>
        <w:t>）及</w:t>
      </w:r>
      <w:r w:rsidRPr="00B12FE0">
        <w:rPr>
          <w:rFonts w:hint="eastAsia"/>
          <w:color w:val="000000" w:themeColor="text1"/>
        </w:rPr>
        <w:t>《放射治疗辐射安全与防护要求》（</w:t>
      </w:r>
      <w:r w:rsidRPr="00B12FE0">
        <w:rPr>
          <w:color w:val="000000" w:themeColor="text1"/>
        </w:rPr>
        <w:t>HJ1198-2021</w:t>
      </w:r>
      <w:r w:rsidRPr="00B12FE0">
        <w:rPr>
          <w:rFonts w:hint="eastAsia"/>
          <w:color w:val="000000" w:themeColor="text1"/>
        </w:rPr>
        <w:t>）</w:t>
      </w:r>
      <w:r w:rsidRPr="00B12FE0">
        <w:rPr>
          <w:color w:val="000000" w:themeColor="text1"/>
        </w:rPr>
        <w:t>的要求。</w:t>
      </w:r>
    </w:p>
    <w:p w14:paraId="34A25D8D" w14:textId="77777777" w:rsidR="00A67F21" w:rsidRPr="00B12FE0" w:rsidRDefault="00000000">
      <w:pPr>
        <w:spacing w:line="360" w:lineRule="auto"/>
        <w:ind w:firstLineChars="200" w:firstLine="480"/>
        <w:rPr>
          <w:color w:val="000000" w:themeColor="text1"/>
        </w:rPr>
      </w:pPr>
      <w:r w:rsidRPr="00B12FE0">
        <w:rPr>
          <w:color w:val="000000" w:themeColor="text1"/>
        </w:rPr>
        <w:t>后装机辐射工作场所四周情况见表</w:t>
      </w:r>
      <w:r w:rsidRPr="00B12FE0">
        <w:rPr>
          <w:color w:val="000000" w:themeColor="text1"/>
        </w:rPr>
        <w:t>10.1.2.2-1</w:t>
      </w:r>
      <w:r w:rsidRPr="00B12FE0">
        <w:rPr>
          <w:color w:val="000000" w:themeColor="text1"/>
        </w:rPr>
        <w:t>。</w:t>
      </w:r>
    </w:p>
    <w:p w14:paraId="53EBAD22" w14:textId="77777777" w:rsidR="00A67F21" w:rsidRPr="00B12FE0" w:rsidRDefault="00000000">
      <w:pPr>
        <w:spacing w:line="360" w:lineRule="auto"/>
        <w:jc w:val="center"/>
        <w:rPr>
          <w:color w:val="000000" w:themeColor="text1"/>
          <w:sz w:val="21"/>
          <w:szCs w:val="16"/>
        </w:rPr>
      </w:pPr>
      <w:r w:rsidRPr="00B12FE0">
        <w:rPr>
          <w:b/>
          <w:bCs/>
          <w:color w:val="000000" w:themeColor="text1"/>
          <w:sz w:val="21"/>
          <w:szCs w:val="18"/>
        </w:rPr>
        <w:t>表</w:t>
      </w:r>
      <w:r w:rsidRPr="00B12FE0">
        <w:rPr>
          <w:b/>
          <w:bCs/>
          <w:color w:val="000000" w:themeColor="text1"/>
          <w:sz w:val="21"/>
          <w:szCs w:val="18"/>
        </w:rPr>
        <w:t xml:space="preserve">10.1.2.2-1  </w:t>
      </w:r>
      <w:r w:rsidRPr="00B12FE0">
        <w:rPr>
          <w:b/>
          <w:bCs/>
          <w:color w:val="000000" w:themeColor="text1"/>
          <w:sz w:val="21"/>
          <w:szCs w:val="18"/>
        </w:rPr>
        <w:t>后装机房相邻环境状况</w:t>
      </w:r>
    </w:p>
    <w:tbl>
      <w:tblPr>
        <w:tblStyle w:val="affff"/>
        <w:tblW w:w="5000" w:type="pct"/>
        <w:jc w:val="center"/>
        <w:tblLook w:val="04A0" w:firstRow="1" w:lastRow="0" w:firstColumn="1" w:lastColumn="0" w:noHBand="0" w:noVBand="1"/>
      </w:tblPr>
      <w:tblGrid>
        <w:gridCol w:w="782"/>
        <w:gridCol w:w="1353"/>
        <w:gridCol w:w="1549"/>
        <w:gridCol w:w="1475"/>
        <w:gridCol w:w="1490"/>
        <w:gridCol w:w="974"/>
        <w:gridCol w:w="1394"/>
      </w:tblGrid>
      <w:tr w:rsidR="00A67F21" w:rsidRPr="00B12FE0" w14:paraId="1D46C439" w14:textId="77777777">
        <w:trPr>
          <w:trHeight w:val="454"/>
          <w:jc w:val="center"/>
        </w:trPr>
        <w:tc>
          <w:tcPr>
            <w:tcW w:w="434" w:type="pct"/>
            <w:tcBorders>
              <w:top w:val="single" w:sz="4" w:space="0" w:color="auto"/>
              <w:left w:val="single" w:sz="4" w:space="0" w:color="auto"/>
              <w:bottom w:val="single" w:sz="4" w:space="0" w:color="auto"/>
              <w:right w:val="single" w:sz="4" w:space="0" w:color="auto"/>
            </w:tcBorders>
            <w:vAlign w:val="center"/>
          </w:tcPr>
          <w:p w14:paraId="135DD310"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位置</w:t>
            </w:r>
          </w:p>
        </w:tc>
        <w:tc>
          <w:tcPr>
            <w:tcW w:w="750" w:type="pct"/>
            <w:tcBorders>
              <w:top w:val="single" w:sz="4" w:space="0" w:color="auto"/>
              <w:left w:val="single" w:sz="4" w:space="0" w:color="auto"/>
              <w:bottom w:val="single" w:sz="4" w:space="0" w:color="auto"/>
              <w:right w:val="single" w:sz="4" w:space="0" w:color="auto"/>
            </w:tcBorders>
            <w:vAlign w:val="center"/>
          </w:tcPr>
          <w:p w14:paraId="1176BAE6"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东面</w:t>
            </w:r>
          </w:p>
        </w:tc>
        <w:tc>
          <w:tcPr>
            <w:tcW w:w="859" w:type="pct"/>
            <w:tcBorders>
              <w:top w:val="single" w:sz="4" w:space="0" w:color="auto"/>
              <w:left w:val="single" w:sz="4" w:space="0" w:color="auto"/>
              <w:bottom w:val="single" w:sz="4" w:space="0" w:color="auto"/>
              <w:right w:val="single" w:sz="4" w:space="0" w:color="auto"/>
            </w:tcBorders>
            <w:vAlign w:val="center"/>
          </w:tcPr>
          <w:p w14:paraId="12ECB1DF"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南面</w:t>
            </w:r>
          </w:p>
        </w:tc>
        <w:tc>
          <w:tcPr>
            <w:tcW w:w="818" w:type="pct"/>
            <w:tcBorders>
              <w:top w:val="single" w:sz="4" w:space="0" w:color="auto"/>
              <w:left w:val="single" w:sz="4" w:space="0" w:color="auto"/>
              <w:bottom w:val="single" w:sz="4" w:space="0" w:color="auto"/>
              <w:right w:val="single" w:sz="4" w:space="0" w:color="auto"/>
            </w:tcBorders>
            <w:vAlign w:val="center"/>
          </w:tcPr>
          <w:p w14:paraId="1D7060DA"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西面</w:t>
            </w:r>
          </w:p>
        </w:tc>
        <w:tc>
          <w:tcPr>
            <w:tcW w:w="826" w:type="pct"/>
            <w:tcBorders>
              <w:top w:val="single" w:sz="4" w:space="0" w:color="auto"/>
              <w:left w:val="single" w:sz="4" w:space="0" w:color="auto"/>
              <w:bottom w:val="single" w:sz="4" w:space="0" w:color="auto"/>
              <w:right w:val="single" w:sz="4" w:space="0" w:color="auto"/>
            </w:tcBorders>
            <w:vAlign w:val="center"/>
          </w:tcPr>
          <w:p w14:paraId="7B403E71"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北面</w:t>
            </w:r>
          </w:p>
        </w:tc>
        <w:tc>
          <w:tcPr>
            <w:tcW w:w="540" w:type="pct"/>
            <w:tcBorders>
              <w:top w:val="single" w:sz="4" w:space="0" w:color="auto"/>
              <w:left w:val="single" w:sz="4" w:space="0" w:color="auto"/>
              <w:bottom w:val="single" w:sz="4" w:space="0" w:color="auto"/>
              <w:right w:val="single" w:sz="4" w:space="0" w:color="auto"/>
            </w:tcBorders>
            <w:vAlign w:val="center"/>
          </w:tcPr>
          <w:p w14:paraId="6AA87E8B"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上一层</w:t>
            </w:r>
          </w:p>
        </w:tc>
        <w:tc>
          <w:tcPr>
            <w:tcW w:w="773" w:type="pct"/>
            <w:tcBorders>
              <w:top w:val="single" w:sz="4" w:space="0" w:color="auto"/>
              <w:left w:val="single" w:sz="4" w:space="0" w:color="auto"/>
              <w:bottom w:val="single" w:sz="4" w:space="0" w:color="auto"/>
              <w:right w:val="single" w:sz="4" w:space="0" w:color="auto"/>
            </w:tcBorders>
            <w:vAlign w:val="center"/>
          </w:tcPr>
          <w:p w14:paraId="5D0B8052"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下一层</w:t>
            </w:r>
          </w:p>
        </w:tc>
      </w:tr>
      <w:tr w:rsidR="00A67F21" w:rsidRPr="00B12FE0" w14:paraId="395AFEBC" w14:textId="77777777">
        <w:trPr>
          <w:trHeight w:val="454"/>
          <w:jc w:val="center"/>
        </w:trPr>
        <w:tc>
          <w:tcPr>
            <w:tcW w:w="434" w:type="pct"/>
            <w:tcBorders>
              <w:top w:val="single" w:sz="4" w:space="0" w:color="auto"/>
              <w:left w:val="single" w:sz="4" w:space="0" w:color="auto"/>
              <w:bottom w:val="single" w:sz="4" w:space="0" w:color="auto"/>
              <w:right w:val="single" w:sz="4" w:space="0" w:color="auto"/>
            </w:tcBorders>
            <w:vAlign w:val="center"/>
          </w:tcPr>
          <w:p w14:paraId="3EE290E7"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后装机房</w:t>
            </w:r>
          </w:p>
        </w:tc>
        <w:tc>
          <w:tcPr>
            <w:tcW w:w="750" w:type="pct"/>
            <w:tcBorders>
              <w:top w:val="single" w:sz="4" w:space="0" w:color="auto"/>
              <w:left w:val="single" w:sz="4" w:space="0" w:color="auto"/>
              <w:bottom w:val="single" w:sz="4" w:space="0" w:color="auto"/>
              <w:right w:val="single" w:sz="4" w:space="0" w:color="auto"/>
            </w:tcBorders>
            <w:vAlign w:val="center"/>
          </w:tcPr>
          <w:p w14:paraId="14DDD1BA"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变电配室、预留机房</w:t>
            </w:r>
          </w:p>
        </w:tc>
        <w:tc>
          <w:tcPr>
            <w:tcW w:w="859" w:type="pct"/>
            <w:tcBorders>
              <w:top w:val="single" w:sz="4" w:space="0" w:color="auto"/>
              <w:left w:val="single" w:sz="4" w:space="0" w:color="auto"/>
              <w:bottom w:val="single" w:sz="4" w:space="0" w:color="auto"/>
              <w:right w:val="single" w:sz="4" w:space="0" w:color="auto"/>
            </w:tcBorders>
            <w:vAlign w:val="center"/>
          </w:tcPr>
          <w:p w14:paraId="1CC37DF3"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控制室、患者走道</w:t>
            </w:r>
          </w:p>
        </w:tc>
        <w:tc>
          <w:tcPr>
            <w:tcW w:w="818" w:type="pct"/>
            <w:tcBorders>
              <w:top w:val="single" w:sz="4" w:space="0" w:color="auto"/>
              <w:left w:val="single" w:sz="4" w:space="0" w:color="auto"/>
              <w:bottom w:val="single" w:sz="4" w:space="0" w:color="auto"/>
              <w:right w:val="single" w:sz="4" w:space="0" w:color="auto"/>
            </w:tcBorders>
            <w:vAlign w:val="center"/>
          </w:tcPr>
          <w:p w14:paraId="12C3A1A8"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2</w:t>
            </w:r>
            <w:r w:rsidRPr="00B12FE0">
              <w:rPr>
                <w:rFonts w:hint="eastAsia"/>
                <w:color w:val="000000" w:themeColor="text1"/>
                <w:sz w:val="21"/>
                <w:szCs w:val="16"/>
              </w:rPr>
              <w:t>号加速器机房</w:t>
            </w:r>
          </w:p>
        </w:tc>
        <w:tc>
          <w:tcPr>
            <w:tcW w:w="826" w:type="pct"/>
            <w:tcBorders>
              <w:top w:val="single" w:sz="4" w:space="0" w:color="auto"/>
              <w:left w:val="single" w:sz="4" w:space="0" w:color="auto"/>
              <w:bottom w:val="single" w:sz="4" w:space="0" w:color="auto"/>
              <w:right w:val="single" w:sz="4" w:space="0" w:color="auto"/>
            </w:tcBorders>
            <w:vAlign w:val="center"/>
          </w:tcPr>
          <w:p w14:paraId="761D5D5B"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院内道路及绿化</w:t>
            </w:r>
          </w:p>
        </w:tc>
        <w:tc>
          <w:tcPr>
            <w:tcW w:w="540" w:type="pct"/>
            <w:tcBorders>
              <w:top w:val="single" w:sz="4" w:space="0" w:color="auto"/>
              <w:left w:val="single" w:sz="4" w:space="0" w:color="auto"/>
              <w:bottom w:val="single" w:sz="4" w:space="0" w:color="auto"/>
              <w:right w:val="single" w:sz="4" w:space="0" w:color="auto"/>
            </w:tcBorders>
            <w:vAlign w:val="center"/>
          </w:tcPr>
          <w:p w14:paraId="5F935628"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不可上人屋顶</w:t>
            </w:r>
          </w:p>
        </w:tc>
        <w:tc>
          <w:tcPr>
            <w:tcW w:w="773" w:type="pct"/>
            <w:tcBorders>
              <w:top w:val="single" w:sz="4" w:space="0" w:color="auto"/>
              <w:left w:val="single" w:sz="4" w:space="0" w:color="auto"/>
              <w:bottom w:val="single" w:sz="4" w:space="0" w:color="auto"/>
              <w:right w:val="single" w:sz="4" w:space="0" w:color="auto"/>
            </w:tcBorders>
            <w:vAlign w:val="center"/>
          </w:tcPr>
          <w:p w14:paraId="325D1E2A"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岩土层</w:t>
            </w:r>
          </w:p>
        </w:tc>
      </w:tr>
    </w:tbl>
    <w:p w14:paraId="72EB4517" w14:textId="77777777" w:rsidR="00A67F21" w:rsidRPr="00B12FE0" w:rsidRDefault="00000000">
      <w:pPr>
        <w:adjustRightInd w:val="0"/>
        <w:snapToGrid w:val="0"/>
        <w:spacing w:line="360" w:lineRule="auto"/>
        <w:ind w:firstLineChars="200" w:firstLine="482"/>
        <w:rPr>
          <w:b/>
          <w:bCs/>
          <w:color w:val="000000" w:themeColor="text1"/>
        </w:rPr>
      </w:pPr>
      <w:r w:rsidRPr="00B12FE0">
        <w:rPr>
          <w:rFonts w:ascii="宋体" w:hAnsi="宋体" w:hint="eastAsia"/>
          <w:b/>
          <w:bCs/>
          <w:color w:val="000000" w:themeColor="text1"/>
        </w:rPr>
        <w:t>②</w:t>
      </w:r>
      <w:r w:rsidRPr="00B12FE0">
        <w:rPr>
          <w:b/>
          <w:bCs/>
          <w:color w:val="000000" w:themeColor="text1"/>
        </w:rPr>
        <w:t>工作场所分区情况</w:t>
      </w:r>
    </w:p>
    <w:p w14:paraId="46C6788B" w14:textId="77777777" w:rsidR="00A67F21" w:rsidRPr="00B12FE0" w:rsidRDefault="00000000">
      <w:pPr>
        <w:adjustRightInd w:val="0"/>
        <w:snapToGrid w:val="0"/>
        <w:spacing w:line="360" w:lineRule="auto"/>
        <w:ind w:firstLineChars="200" w:firstLine="480"/>
        <w:rPr>
          <w:rFonts w:eastAsiaTheme="minorEastAsia"/>
          <w:color w:val="000000" w:themeColor="text1"/>
        </w:rPr>
      </w:pPr>
      <w:r w:rsidRPr="00B12FE0">
        <w:rPr>
          <w:rFonts w:eastAsiaTheme="minorEastAsia"/>
          <w:color w:val="000000" w:themeColor="text1"/>
        </w:rPr>
        <w:t>根据《电离辐射防护与辐射源安全基本标准》（</w:t>
      </w:r>
      <w:r w:rsidRPr="00B12FE0">
        <w:rPr>
          <w:rFonts w:eastAsiaTheme="minorEastAsia"/>
          <w:color w:val="000000" w:themeColor="text1"/>
        </w:rPr>
        <w:t>GB18871-2002</w:t>
      </w:r>
      <w:r w:rsidRPr="00B12FE0">
        <w:rPr>
          <w:rFonts w:eastAsiaTheme="minorEastAsia"/>
          <w:color w:val="000000" w:themeColor="text1"/>
        </w:rPr>
        <w:t>）的相关要求，医院拟对后装机的工作场所进行分区管理，将工作场所分为控制区和监督区：后装机房为控制区；控制室</w:t>
      </w:r>
      <w:r w:rsidRPr="00B12FE0">
        <w:rPr>
          <w:rFonts w:eastAsiaTheme="minorEastAsia" w:hint="eastAsia"/>
          <w:color w:val="000000" w:themeColor="text1"/>
        </w:rPr>
        <w:t>和</w:t>
      </w:r>
      <w:r w:rsidRPr="00B12FE0">
        <w:rPr>
          <w:rFonts w:hint="eastAsia"/>
          <w:bCs/>
          <w:color w:val="000000" w:themeColor="text1"/>
        </w:rPr>
        <w:t>防护门外</w:t>
      </w:r>
      <w:r w:rsidRPr="00B12FE0">
        <w:rPr>
          <w:rFonts w:hint="eastAsia"/>
          <w:bCs/>
          <w:color w:val="000000" w:themeColor="text1"/>
        </w:rPr>
        <w:t>1m</w:t>
      </w:r>
      <w:r w:rsidRPr="00B12FE0">
        <w:rPr>
          <w:bCs/>
          <w:color w:val="000000" w:themeColor="text1"/>
        </w:rPr>
        <w:t>以内区域</w:t>
      </w:r>
      <w:r w:rsidRPr="00B12FE0">
        <w:rPr>
          <w:rFonts w:eastAsiaTheme="minorEastAsia"/>
          <w:color w:val="000000" w:themeColor="text1"/>
        </w:rPr>
        <w:t>为监督区。机房门外有醒目的电离辐射</w:t>
      </w:r>
      <w:r w:rsidRPr="00B12FE0">
        <w:rPr>
          <w:rFonts w:eastAsiaTheme="minorEastAsia" w:hint="eastAsia"/>
          <w:color w:val="000000" w:themeColor="text1"/>
        </w:rPr>
        <w:t>警告标志</w:t>
      </w:r>
      <w:r w:rsidRPr="00B12FE0">
        <w:rPr>
          <w:rFonts w:eastAsiaTheme="minorEastAsia"/>
          <w:color w:val="000000" w:themeColor="text1"/>
        </w:rPr>
        <w:t>和工作指示灯，避免人员误闯入或误照射。拟建后装机的工作场所分区详见</w:t>
      </w:r>
      <w:r w:rsidRPr="00B12FE0">
        <w:rPr>
          <w:rFonts w:eastAsiaTheme="minorEastAsia" w:hint="eastAsia"/>
          <w:color w:val="000000" w:themeColor="text1"/>
        </w:rPr>
        <w:t>附图</w:t>
      </w:r>
      <w:r w:rsidRPr="00B12FE0">
        <w:rPr>
          <w:rFonts w:eastAsiaTheme="minorEastAsia" w:hint="eastAsia"/>
          <w:color w:val="000000" w:themeColor="text1"/>
        </w:rPr>
        <w:t>13</w:t>
      </w:r>
      <w:r w:rsidRPr="00B12FE0">
        <w:rPr>
          <w:rFonts w:eastAsiaTheme="minorEastAsia"/>
          <w:color w:val="000000" w:themeColor="text1"/>
        </w:rPr>
        <w:t>。</w:t>
      </w:r>
    </w:p>
    <w:p w14:paraId="470B49A2" w14:textId="77777777" w:rsidR="00A67F21" w:rsidRPr="00B12FE0" w:rsidRDefault="00000000">
      <w:pPr>
        <w:adjustRightInd w:val="0"/>
        <w:snapToGrid w:val="0"/>
        <w:spacing w:line="360" w:lineRule="auto"/>
        <w:ind w:firstLineChars="200" w:firstLine="482"/>
        <w:rPr>
          <w:b/>
          <w:bCs/>
          <w:color w:val="000000" w:themeColor="text1"/>
        </w:rPr>
      </w:pPr>
      <w:r w:rsidRPr="00B12FE0">
        <w:rPr>
          <w:b/>
          <w:bCs/>
          <w:color w:val="000000" w:themeColor="text1"/>
        </w:rPr>
        <w:t>（</w:t>
      </w:r>
      <w:r w:rsidRPr="00B12FE0">
        <w:rPr>
          <w:b/>
          <w:bCs/>
          <w:color w:val="000000" w:themeColor="text1"/>
        </w:rPr>
        <w:t>2</w:t>
      </w:r>
      <w:r w:rsidRPr="00B12FE0">
        <w:rPr>
          <w:b/>
          <w:bCs/>
          <w:color w:val="000000" w:themeColor="text1"/>
        </w:rPr>
        <w:t>）辐射防护屏蔽设计</w:t>
      </w:r>
    </w:p>
    <w:p w14:paraId="17149D3A" w14:textId="77777777" w:rsidR="00A67F21" w:rsidRPr="00B12FE0" w:rsidRDefault="00000000">
      <w:pPr>
        <w:spacing w:line="360" w:lineRule="auto"/>
        <w:ind w:firstLineChars="200" w:firstLine="480"/>
        <w:rPr>
          <w:color w:val="000000" w:themeColor="text1"/>
        </w:rPr>
      </w:pPr>
      <w:r w:rsidRPr="00B12FE0">
        <w:rPr>
          <w:color w:val="000000" w:themeColor="text1"/>
        </w:rPr>
        <w:t>本项目后装机房辐射防护屏蔽设计参数表见表</w:t>
      </w:r>
      <w:r w:rsidRPr="00B12FE0">
        <w:rPr>
          <w:color w:val="000000" w:themeColor="text1"/>
        </w:rPr>
        <w:t>10.1.2.2-2</w:t>
      </w:r>
      <w:r w:rsidRPr="00B12FE0">
        <w:rPr>
          <w:color w:val="000000" w:themeColor="text1"/>
        </w:rPr>
        <w:t>。</w:t>
      </w:r>
    </w:p>
    <w:p w14:paraId="0CE07797" w14:textId="77777777" w:rsidR="00A67F21" w:rsidRPr="00B12FE0" w:rsidRDefault="00000000">
      <w:pPr>
        <w:adjustRightInd w:val="0"/>
        <w:snapToGrid w:val="0"/>
        <w:spacing w:line="360" w:lineRule="auto"/>
        <w:jc w:val="center"/>
        <w:rPr>
          <w:color w:val="000000" w:themeColor="text1"/>
          <w:sz w:val="21"/>
          <w:szCs w:val="16"/>
        </w:rPr>
      </w:pPr>
      <w:r w:rsidRPr="00B12FE0">
        <w:rPr>
          <w:b/>
          <w:bCs/>
          <w:color w:val="000000" w:themeColor="text1"/>
          <w:sz w:val="21"/>
          <w:szCs w:val="18"/>
        </w:rPr>
        <w:t>表</w:t>
      </w:r>
      <w:r w:rsidRPr="00B12FE0">
        <w:rPr>
          <w:b/>
          <w:bCs/>
          <w:color w:val="000000" w:themeColor="text1"/>
          <w:sz w:val="21"/>
          <w:szCs w:val="18"/>
        </w:rPr>
        <w:t xml:space="preserve">10.1.2.2-2  </w:t>
      </w:r>
      <w:r w:rsidRPr="00B12FE0">
        <w:rPr>
          <w:b/>
          <w:bCs/>
          <w:color w:val="000000" w:themeColor="text1"/>
          <w:sz w:val="21"/>
          <w:szCs w:val="18"/>
        </w:rPr>
        <w:t>后装机房辐射屏蔽设计技术参数</w:t>
      </w:r>
    </w:p>
    <w:tbl>
      <w:tblPr>
        <w:tblStyle w:val="affff"/>
        <w:tblW w:w="5000" w:type="pct"/>
        <w:tblLook w:val="04A0" w:firstRow="1" w:lastRow="0" w:firstColumn="1" w:lastColumn="0" w:noHBand="0" w:noVBand="1"/>
      </w:tblPr>
      <w:tblGrid>
        <w:gridCol w:w="1556"/>
        <w:gridCol w:w="1939"/>
        <w:gridCol w:w="5522"/>
      </w:tblGrid>
      <w:tr w:rsidR="00A67F21" w:rsidRPr="00B12FE0" w14:paraId="007ABA82" w14:textId="77777777">
        <w:trPr>
          <w:trHeight w:val="252"/>
        </w:trPr>
        <w:tc>
          <w:tcPr>
            <w:tcW w:w="1938" w:type="pct"/>
            <w:gridSpan w:val="2"/>
            <w:tcBorders>
              <w:top w:val="single" w:sz="4" w:space="0" w:color="auto"/>
              <w:left w:val="single" w:sz="4" w:space="0" w:color="auto"/>
              <w:bottom w:val="single" w:sz="4" w:space="0" w:color="auto"/>
              <w:right w:val="single" w:sz="4" w:space="0" w:color="auto"/>
            </w:tcBorders>
            <w:vAlign w:val="center"/>
          </w:tcPr>
          <w:p w14:paraId="1A589434"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屏蔽体</w:t>
            </w:r>
          </w:p>
        </w:tc>
        <w:tc>
          <w:tcPr>
            <w:tcW w:w="3062" w:type="pct"/>
            <w:tcBorders>
              <w:top w:val="single" w:sz="4" w:space="0" w:color="auto"/>
              <w:left w:val="single" w:sz="4" w:space="0" w:color="auto"/>
              <w:bottom w:val="single" w:sz="4" w:space="0" w:color="auto"/>
              <w:right w:val="single" w:sz="4" w:space="0" w:color="auto"/>
            </w:tcBorders>
            <w:vAlign w:val="center"/>
          </w:tcPr>
          <w:p w14:paraId="533A5925"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设计屏蔽厚度</w:t>
            </w:r>
          </w:p>
        </w:tc>
      </w:tr>
      <w:tr w:rsidR="00A67F21" w:rsidRPr="00B12FE0" w14:paraId="2D581B28" w14:textId="77777777">
        <w:trPr>
          <w:trHeight w:val="252"/>
        </w:trPr>
        <w:tc>
          <w:tcPr>
            <w:tcW w:w="1938" w:type="pct"/>
            <w:gridSpan w:val="2"/>
            <w:tcBorders>
              <w:top w:val="single" w:sz="4" w:space="0" w:color="auto"/>
              <w:left w:val="single" w:sz="4" w:space="0" w:color="auto"/>
              <w:bottom w:val="single" w:sz="4" w:space="0" w:color="auto"/>
              <w:right w:val="single" w:sz="4" w:space="0" w:color="auto"/>
            </w:tcBorders>
            <w:vAlign w:val="center"/>
          </w:tcPr>
          <w:p w14:paraId="7F51CD70"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东墙</w:t>
            </w:r>
          </w:p>
        </w:tc>
        <w:tc>
          <w:tcPr>
            <w:tcW w:w="3062" w:type="pct"/>
            <w:tcBorders>
              <w:top w:val="single" w:sz="4" w:space="0" w:color="auto"/>
              <w:left w:val="single" w:sz="4" w:space="0" w:color="auto"/>
              <w:bottom w:val="single" w:sz="4" w:space="0" w:color="auto"/>
              <w:right w:val="single" w:sz="4" w:space="0" w:color="auto"/>
            </w:tcBorders>
          </w:tcPr>
          <w:p w14:paraId="00433515"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900mm</w:t>
            </w:r>
            <w:r w:rsidRPr="00B12FE0">
              <w:rPr>
                <w:rFonts w:hint="eastAsia"/>
                <w:color w:val="000000" w:themeColor="text1"/>
                <w:sz w:val="21"/>
                <w:szCs w:val="16"/>
              </w:rPr>
              <w:t>钢筋混凝土</w:t>
            </w:r>
          </w:p>
        </w:tc>
      </w:tr>
      <w:tr w:rsidR="00A67F21" w:rsidRPr="00B12FE0" w14:paraId="023DADEB" w14:textId="77777777">
        <w:trPr>
          <w:trHeight w:val="250"/>
        </w:trPr>
        <w:tc>
          <w:tcPr>
            <w:tcW w:w="863" w:type="pct"/>
            <w:vMerge w:val="restart"/>
            <w:tcBorders>
              <w:top w:val="single" w:sz="4" w:space="0" w:color="auto"/>
              <w:left w:val="single" w:sz="4" w:space="0" w:color="auto"/>
              <w:right w:val="single" w:sz="4" w:space="0" w:color="auto"/>
            </w:tcBorders>
            <w:vAlign w:val="center"/>
          </w:tcPr>
          <w:p w14:paraId="28168DAC"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南</w:t>
            </w:r>
            <w:r w:rsidRPr="00B12FE0">
              <w:rPr>
                <w:bCs/>
                <w:color w:val="000000" w:themeColor="text1"/>
                <w:sz w:val="21"/>
                <w:szCs w:val="18"/>
              </w:rPr>
              <w:t>墙</w:t>
            </w:r>
          </w:p>
        </w:tc>
        <w:tc>
          <w:tcPr>
            <w:tcW w:w="1075" w:type="pct"/>
            <w:tcBorders>
              <w:top w:val="single" w:sz="4" w:space="0" w:color="auto"/>
              <w:left w:val="single" w:sz="4" w:space="0" w:color="auto"/>
              <w:bottom w:val="single" w:sz="4" w:space="0" w:color="auto"/>
              <w:right w:val="single" w:sz="4" w:space="0" w:color="auto"/>
            </w:tcBorders>
            <w:vAlign w:val="center"/>
          </w:tcPr>
          <w:p w14:paraId="0445D3EF" w14:textId="77777777" w:rsidR="00A67F21" w:rsidRPr="00B12FE0" w:rsidRDefault="00000000">
            <w:pPr>
              <w:adjustRightInd w:val="0"/>
              <w:snapToGrid w:val="0"/>
              <w:jc w:val="center"/>
              <w:rPr>
                <w:color w:val="000000" w:themeColor="text1"/>
                <w:sz w:val="21"/>
                <w:szCs w:val="16"/>
              </w:rPr>
            </w:pPr>
            <w:proofErr w:type="gramStart"/>
            <w:r w:rsidRPr="00B12FE0">
              <w:rPr>
                <w:color w:val="000000" w:themeColor="text1"/>
                <w:sz w:val="21"/>
                <w:szCs w:val="16"/>
              </w:rPr>
              <w:t>迷道内墙</w:t>
            </w:r>
            <w:proofErr w:type="gramEnd"/>
          </w:p>
        </w:tc>
        <w:tc>
          <w:tcPr>
            <w:tcW w:w="3062" w:type="pct"/>
            <w:tcBorders>
              <w:top w:val="single" w:sz="4" w:space="0" w:color="auto"/>
              <w:left w:val="single" w:sz="4" w:space="0" w:color="auto"/>
              <w:bottom w:val="single" w:sz="4" w:space="0" w:color="auto"/>
              <w:right w:val="single" w:sz="4" w:space="0" w:color="auto"/>
            </w:tcBorders>
          </w:tcPr>
          <w:p w14:paraId="05E02024"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6</w:t>
            </w:r>
            <w:r w:rsidRPr="00B12FE0">
              <w:rPr>
                <w:color w:val="000000" w:themeColor="text1"/>
                <w:sz w:val="21"/>
                <w:szCs w:val="16"/>
              </w:rPr>
              <w:t>00mm</w:t>
            </w:r>
            <w:r w:rsidRPr="00B12FE0">
              <w:rPr>
                <w:color w:val="000000" w:themeColor="text1"/>
                <w:sz w:val="21"/>
                <w:szCs w:val="16"/>
              </w:rPr>
              <w:t>钢筋混凝土</w:t>
            </w:r>
          </w:p>
        </w:tc>
      </w:tr>
      <w:tr w:rsidR="00A67F21" w:rsidRPr="00B12FE0" w14:paraId="48F41E9A" w14:textId="77777777">
        <w:trPr>
          <w:trHeight w:val="253"/>
        </w:trPr>
        <w:tc>
          <w:tcPr>
            <w:tcW w:w="863" w:type="pct"/>
            <w:vMerge/>
            <w:tcBorders>
              <w:left w:val="single" w:sz="4" w:space="0" w:color="auto"/>
              <w:bottom w:val="single" w:sz="4" w:space="0" w:color="auto"/>
              <w:right w:val="single" w:sz="4" w:space="0" w:color="auto"/>
            </w:tcBorders>
            <w:vAlign w:val="center"/>
          </w:tcPr>
          <w:p w14:paraId="1345C3A0" w14:textId="77777777" w:rsidR="00A67F21" w:rsidRPr="00B12FE0" w:rsidRDefault="00A67F21">
            <w:pPr>
              <w:adjustRightInd w:val="0"/>
              <w:snapToGrid w:val="0"/>
              <w:jc w:val="center"/>
              <w:rPr>
                <w:color w:val="000000" w:themeColor="text1"/>
                <w:sz w:val="21"/>
                <w:szCs w:val="16"/>
              </w:rPr>
            </w:pPr>
          </w:p>
        </w:tc>
        <w:tc>
          <w:tcPr>
            <w:tcW w:w="1075" w:type="pct"/>
            <w:tcBorders>
              <w:top w:val="single" w:sz="4" w:space="0" w:color="auto"/>
              <w:left w:val="single" w:sz="4" w:space="0" w:color="auto"/>
              <w:bottom w:val="single" w:sz="4" w:space="0" w:color="auto"/>
              <w:right w:val="single" w:sz="4" w:space="0" w:color="auto"/>
            </w:tcBorders>
            <w:vAlign w:val="center"/>
          </w:tcPr>
          <w:p w14:paraId="766E8DE4" w14:textId="77777777" w:rsidR="00A67F21" w:rsidRPr="00B12FE0" w:rsidRDefault="00000000">
            <w:pPr>
              <w:adjustRightInd w:val="0"/>
              <w:snapToGrid w:val="0"/>
              <w:jc w:val="center"/>
              <w:rPr>
                <w:color w:val="000000" w:themeColor="text1"/>
                <w:sz w:val="21"/>
                <w:szCs w:val="16"/>
              </w:rPr>
            </w:pPr>
            <w:proofErr w:type="gramStart"/>
            <w:r w:rsidRPr="00B12FE0">
              <w:rPr>
                <w:rFonts w:hint="eastAsia"/>
                <w:color w:val="000000" w:themeColor="text1"/>
                <w:sz w:val="21"/>
                <w:szCs w:val="16"/>
              </w:rPr>
              <w:t>迷道</w:t>
            </w:r>
            <w:r w:rsidRPr="00B12FE0">
              <w:rPr>
                <w:color w:val="000000" w:themeColor="text1"/>
                <w:sz w:val="21"/>
                <w:szCs w:val="16"/>
              </w:rPr>
              <w:t>外墙</w:t>
            </w:r>
            <w:proofErr w:type="gramEnd"/>
          </w:p>
        </w:tc>
        <w:tc>
          <w:tcPr>
            <w:tcW w:w="3062" w:type="pct"/>
            <w:tcBorders>
              <w:top w:val="single" w:sz="4" w:space="0" w:color="auto"/>
              <w:left w:val="single" w:sz="4" w:space="0" w:color="auto"/>
              <w:bottom w:val="single" w:sz="4" w:space="0" w:color="auto"/>
              <w:right w:val="single" w:sz="4" w:space="0" w:color="auto"/>
            </w:tcBorders>
          </w:tcPr>
          <w:p w14:paraId="0A466096"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6</w:t>
            </w:r>
            <w:r w:rsidRPr="00B12FE0">
              <w:rPr>
                <w:color w:val="000000" w:themeColor="text1"/>
                <w:sz w:val="21"/>
                <w:szCs w:val="16"/>
              </w:rPr>
              <w:t>00mm</w:t>
            </w:r>
            <w:r w:rsidRPr="00B12FE0">
              <w:rPr>
                <w:color w:val="000000" w:themeColor="text1"/>
                <w:sz w:val="21"/>
                <w:szCs w:val="16"/>
              </w:rPr>
              <w:t>钢筋混凝土</w:t>
            </w:r>
          </w:p>
        </w:tc>
      </w:tr>
      <w:tr w:rsidR="00A67F21" w:rsidRPr="00B12FE0" w14:paraId="6D70CE75" w14:textId="77777777">
        <w:trPr>
          <w:trHeight w:val="253"/>
        </w:trPr>
        <w:tc>
          <w:tcPr>
            <w:tcW w:w="1938" w:type="pct"/>
            <w:gridSpan w:val="2"/>
            <w:tcBorders>
              <w:left w:val="single" w:sz="4" w:space="0" w:color="auto"/>
              <w:bottom w:val="single" w:sz="4" w:space="0" w:color="auto"/>
              <w:right w:val="single" w:sz="4" w:space="0" w:color="auto"/>
            </w:tcBorders>
            <w:vAlign w:val="center"/>
          </w:tcPr>
          <w:p w14:paraId="5846D80E"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西墙</w:t>
            </w:r>
          </w:p>
        </w:tc>
        <w:tc>
          <w:tcPr>
            <w:tcW w:w="3062" w:type="pct"/>
            <w:tcBorders>
              <w:top w:val="single" w:sz="4" w:space="0" w:color="auto"/>
              <w:left w:val="single" w:sz="4" w:space="0" w:color="auto"/>
              <w:bottom w:val="single" w:sz="4" w:space="0" w:color="auto"/>
              <w:right w:val="single" w:sz="4" w:space="0" w:color="auto"/>
            </w:tcBorders>
          </w:tcPr>
          <w:p w14:paraId="30DB7052"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1600mm</w:t>
            </w:r>
            <w:r w:rsidRPr="00B12FE0">
              <w:rPr>
                <w:color w:val="000000" w:themeColor="text1"/>
                <w:sz w:val="21"/>
                <w:szCs w:val="16"/>
              </w:rPr>
              <w:t>~3000</w:t>
            </w:r>
            <w:r w:rsidRPr="00B12FE0">
              <w:rPr>
                <w:rFonts w:hint="eastAsia"/>
                <w:color w:val="000000" w:themeColor="text1"/>
                <w:sz w:val="21"/>
                <w:szCs w:val="16"/>
              </w:rPr>
              <w:t>mm</w:t>
            </w:r>
            <w:r w:rsidRPr="00B12FE0">
              <w:rPr>
                <w:rFonts w:hint="eastAsia"/>
                <w:color w:val="000000" w:themeColor="text1"/>
                <w:sz w:val="21"/>
                <w:szCs w:val="16"/>
              </w:rPr>
              <w:t>钢筋混凝土（与直线加速器机房共用）</w:t>
            </w:r>
          </w:p>
        </w:tc>
      </w:tr>
      <w:tr w:rsidR="00A67F21" w:rsidRPr="00B12FE0" w14:paraId="34DB67A0" w14:textId="77777777">
        <w:trPr>
          <w:trHeight w:val="258"/>
        </w:trPr>
        <w:tc>
          <w:tcPr>
            <w:tcW w:w="1938" w:type="pct"/>
            <w:gridSpan w:val="2"/>
            <w:tcBorders>
              <w:top w:val="single" w:sz="4" w:space="0" w:color="auto"/>
              <w:left w:val="single" w:sz="4" w:space="0" w:color="auto"/>
              <w:bottom w:val="single" w:sz="4" w:space="0" w:color="auto"/>
              <w:right w:val="single" w:sz="4" w:space="0" w:color="auto"/>
            </w:tcBorders>
            <w:vAlign w:val="center"/>
          </w:tcPr>
          <w:p w14:paraId="1BAD4216"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北墙</w:t>
            </w:r>
          </w:p>
        </w:tc>
        <w:tc>
          <w:tcPr>
            <w:tcW w:w="3062" w:type="pct"/>
            <w:tcBorders>
              <w:top w:val="single" w:sz="4" w:space="0" w:color="auto"/>
              <w:left w:val="single" w:sz="4" w:space="0" w:color="auto"/>
              <w:bottom w:val="single" w:sz="4" w:space="0" w:color="auto"/>
              <w:right w:val="single" w:sz="4" w:space="0" w:color="auto"/>
            </w:tcBorders>
          </w:tcPr>
          <w:p w14:paraId="60CD08E7"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6</w:t>
            </w:r>
            <w:r w:rsidRPr="00B12FE0">
              <w:rPr>
                <w:color w:val="000000" w:themeColor="text1"/>
                <w:sz w:val="21"/>
                <w:szCs w:val="16"/>
              </w:rPr>
              <w:t>00mm</w:t>
            </w:r>
            <w:r w:rsidRPr="00B12FE0">
              <w:rPr>
                <w:color w:val="000000" w:themeColor="text1"/>
                <w:sz w:val="21"/>
                <w:szCs w:val="16"/>
              </w:rPr>
              <w:t>钢筋混凝土</w:t>
            </w:r>
          </w:p>
        </w:tc>
      </w:tr>
      <w:tr w:rsidR="00A67F21" w:rsidRPr="00B12FE0" w14:paraId="20788FAF" w14:textId="77777777">
        <w:trPr>
          <w:trHeight w:val="261"/>
        </w:trPr>
        <w:tc>
          <w:tcPr>
            <w:tcW w:w="1938" w:type="pct"/>
            <w:gridSpan w:val="2"/>
            <w:tcBorders>
              <w:top w:val="single" w:sz="4" w:space="0" w:color="auto"/>
              <w:left w:val="single" w:sz="4" w:space="0" w:color="auto"/>
              <w:bottom w:val="single" w:sz="4" w:space="0" w:color="auto"/>
              <w:right w:val="single" w:sz="4" w:space="0" w:color="auto"/>
            </w:tcBorders>
            <w:vAlign w:val="center"/>
          </w:tcPr>
          <w:p w14:paraId="60233991"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顶棚</w:t>
            </w:r>
          </w:p>
        </w:tc>
        <w:tc>
          <w:tcPr>
            <w:tcW w:w="3062" w:type="pct"/>
            <w:tcBorders>
              <w:top w:val="single" w:sz="4" w:space="0" w:color="auto"/>
              <w:left w:val="single" w:sz="4" w:space="0" w:color="auto"/>
              <w:bottom w:val="single" w:sz="4" w:space="0" w:color="auto"/>
              <w:right w:val="single" w:sz="4" w:space="0" w:color="auto"/>
            </w:tcBorders>
          </w:tcPr>
          <w:p w14:paraId="426464B7" w14:textId="77777777" w:rsidR="00A67F21" w:rsidRPr="00B12FE0" w:rsidRDefault="00000000">
            <w:pPr>
              <w:adjustRightInd w:val="0"/>
              <w:snapToGrid w:val="0"/>
              <w:jc w:val="center"/>
              <w:rPr>
                <w:color w:val="000000" w:themeColor="text1"/>
                <w:sz w:val="21"/>
                <w:szCs w:val="16"/>
              </w:rPr>
            </w:pPr>
            <w:r w:rsidRPr="00B12FE0">
              <w:rPr>
                <w:rFonts w:hint="eastAsia"/>
                <w:color w:val="000000" w:themeColor="text1"/>
                <w:sz w:val="21"/>
                <w:szCs w:val="16"/>
              </w:rPr>
              <w:t>9</w:t>
            </w:r>
            <w:r w:rsidRPr="00B12FE0">
              <w:rPr>
                <w:color w:val="000000" w:themeColor="text1"/>
                <w:sz w:val="21"/>
                <w:szCs w:val="16"/>
              </w:rPr>
              <w:t>00mm</w:t>
            </w:r>
            <w:r w:rsidRPr="00B12FE0">
              <w:rPr>
                <w:color w:val="000000" w:themeColor="text1"/>
                <w:sz w:val="21"/>
                <w:szCs w:val="16"/>
              </w:rPr>
              <w:t>钢筋混凝土</w:t>
            </w:r>
          </w:p>
        </w:tc>
      </w:tr>
      <w:tr w:rsidR="00A67F21" w:rsidRPr="00B12FE0" w14:paraId="6659D268" w14:textId="77777777">
        <w:trPr>
          <w:trHeight w:val="211"/>
        </w:trPr>
        <w:tc>
          <w:tcPr>
            <w:tcW w:w="1938" w:type="pct"/>
            <w:gridSpan w:val="2"/>
            <w:tcBorders>
              <w:top w:val="single" w:sz="4" w:space="0" w:color="auto"/>
              <w:left w:val="single" w:sz="4" w:space="0" w:color="auto"/>
              <w:bottom w:val="single" w:sz="4" w:space="0" w:color="auto"/>
              <w:right w:val="single" w:sz="4" w:space="0" w:color="auto"/>
            </w:tcBorders>
            <w:vAlign w:val="center"/>
          </w:tcPr>
          <w:p w14:paraId="4C2CDFD3" w14:textId="77777777" w:rsidR="00A67F21" w:rsidRPr="00B12FE0" w:rsidRDefault="00000000">
            <w:pPr>
              <w:adjustRightInd w:val="0"/>
              <w:snapToGrid w:val="0"/>
              <w:jc w:val="center"/>
              <w:rPr>
                <w:b/>
                <w:bCs/>
                <w:color w:val="000000" w:themeColor="text1"/>
                <w:sz w:val="21"/>
                <w:szCs w:val="16"/>
              </w:rPr>
            </w:pPr>
            <w:r w:rsidRPr="00B12FE0">
              <w:rPr>
                <w:color w:val="000000" w:themeColor="text1"/>
                <w:sz w:val="21"/>
                <w:szCs w:val="16"/>
              </w:rPr>
              <w:t>屏蔽门</w:t>
            </w:r>
          </w:p>
        </w:tc>
        <w:tc>
          <w:tcPr>
            <w:tcW w:w="3062" w:type="pct"/>
            <w:tcBorders>
              <w:top w:val="single" w:sz="4" w:space="0" w:color="auto"/>
              <w:left w:val="single" w:sz="4" w:space="0" w:color="auto"/>
              <w:bottom w:val="single" w:sz="4" w:space="0" w:color="auto"/>
              <w:right w:val="single" w:sz="4" w:space="0" w:color="auto"/>
            </w:tcBorders>
            <w:vAlign w:val="center"/>
          </w:tcPr>
          <w:p w14:paraId="709384C8" w14:textId="77777777" w:rsidR="00A67F21" w:rsidRPr="00B12FE0" w:rsidRDefault="00000000">
            <w:pPr>
              <w:adjustRightInd w:val="0"/>
              <w:snapToGrid w:val="0"/>
              <w:jc w:val="center"/>
              <w:rPr>
                <w:color w:val="000000" w:themeColor="text1"/>
                <w:sz w:val="21"/>
                <w:szCs w:val="16"/>
              </w:rPr>
            </w:pPr>
            <w:r w:rsidRPr="00B12FE0">
              <w:rPr>
                <w:color w:val="000000" w:themeColor="text1"/>
                <w:sz w:val="21"/>
                <w:szCs w:val="16"/>
              </w:rPr>
              <w:t>10mm</w:t>
            </w:r>
            <w:r w:rsidRPr="00B12FE0">
              <w:rPr>
                <w:color w:val="000000" w:themeColor="text1"/>
                <w:sz w:val="21"/>
                <w:szCs w:val="16"/>
              </w:rPr>
              <w:t>铅</w:t>
            </w:r>
          </w:p>
        </w:tc>
      </w:tr>
    </w:tbl>
    <w:p w14:paraId="1EE9D366" w14:textId="77777777" w:rsidR="00A67F21" w:rsidRPr="00B12FE0" w:rsidRDefault="00000000">
      <w:pPr>
        <w:pStyle w:val="51"/>
        <w:adjustRightInd w:val="0"/>
        <w:snapToGrid w:val="0"/>
        <w:spacing w:before="0" w:after="0" w:line="360" w:lineRule="auto"/>
        <w:rPr>
          <w:color w:val="000000" w:themeColor="text1"/>
          <w:sz w:val="24"/>
          <w:szCs w:val="24"/>
        </w:rPr>
      </w:pPr>
      <w:r w:rsidRPr="00B12FE0">
        <w:rPr>
          <w:color w:val="000000" w:themeColor="text1"/>
          <w:sz w:val="24"/>
          <w:szCs w:val="24"/>
        </w:rPr>
        <w:t>10.1.2.</w:t>
      </w:r>
      <w:r w:rsidRPr="00B12FE0">
        <w:rPr>
          <w:rFonts w:hint="eastAsia"/>
          <w:color w:val="000000" w:themeColor="text1"/>
          <w:sz w:val="24"/>
          <w:szCs w:val="24"/>
        </w:rPr>
        <w:t>2.</w:t>
      </w:r>
      <w:r w:rsidRPr="00B12FE0">
        <w:rPr>
          <w:color w:val="000000" w:themeColor="text1"/>
          <w:sz w:val="24"/>
          <w:szCs w:val="24"/>
        </w:rPr>
        <w:t>2</w:t>
      </w:r>
      <w:r w:rsidRPr="00B12FE0">
        <w:rPr>
          <w:rFonts w:hint="eastAsia"/>
          <w:snapToGrid w:val="0"/>
          <w:color w:val="000000" w:themeColor="text1"/>
          <w:sz w:val="24"/>
          <w:szCs w:val="24"/>
        </w:rPr>
        <w:t>后装机辐射防护安全措施</w:t>
      </w:r>
    </w:p>
    <w:p w14:paraId="0B5FADF3"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w:t>
      </w:r>
      <w:r w:rsidRPr="00B12FE0">
        <w:rPr>
          <w:rFonts w:hint="eastAsia"/>
          <w:color w:val="000000" w:themeColor="text1"/>
          <w:kern w:val="0"/>
        </w:rPr>
        <w:t>1</w:t>
      </w:r>
      <w:r w:rsidRPr="00B12FE0">
        <w:rPr>
          <w:rFonts w:hint="eastAsia"/>
          <w:color w:val="000000" w:themeColor="text1"/>
          <w:kern w:val="0"/>
        </w:rPr>
        <w:t>）设备固有安全设施</w:t>
      </w:r>
    </w:p>
    <w:p w14:paraId="70A0F819" w14:textId="77777777" w:rsidR="00A67F21" w:rsidRPr="00B12FE0" w:rsidRDefault="00000000">
      <w:pPr>
        <w:autoSpaceDE w:val="0"/>
        <w:autoSpaceDN w:val="0"/>
        <w:adjustRightInd w:val="0"/>
        <w:spacing w:line="360" w:lineRule="auto"/>
        <w:ind w:firstLine="480"/>
        <w:rPr>
          <w:rFonts w:ascii="宋体"/>
          <w:color w:val="000000" w:themeColor="text1"/>
          <w:kern w:val="0"/>
        </w:rPr>
      </w:pPr>
      <w:r w:rsidRPr="00B12FE0">
        <w:rPr>
          <w:rFonts w:ascii="宋体" w:hAnsi="宋体" w:hint="eastAsia"/>
          <w:color w:val="000000" w:themeColor="text1"/>
          <w:kern w:val="0"/>
        </w:rPr>
        <w:t>①</w:t>
      </w:r>
      <w:r w:rsidRPr="00B12FE0">
        <w:rPr>
          <w:rFonts w:ascii="宋体" w:hint="eastAsia"/>
          <w:color w:val="000000" w:themeColor="text1"/>
          <w:kern w:val="0"/>
        </w:rPr>
        <w:t>后装治疗设备的控制系统，必须能准确地控制照射条件，有放射源起动、传输、驻留及返回</w:t>
      </w:r>
      <w:proofErr w:type="gramStart"/>
      <w:r w:rsidRPr="00B12FE0">
        <w:rPr>
          <w:rFonts w:ascii="宋体" w:hint="eastAsia"/>
          <w:color w:val="000000" w:themeColor="text1"/>
          <w:kern w:val="0"/>
        </w:rPr>
        <w:t>工作贮源器的源位显示</w:t>
      </w:r>
      <w:proofErr w:type="gramEnd"/>
      <w:r w:rsidRPr="00B12FE0">
        <w:rPr>
          <w:rFonts w:ascii="宋体" w:hint="eastAsia"/>
          <w:color w:val="000000" w:themeColor="text1"/>
          <w:kern w:val="0"/>
        </w:rPr>
        <w:t>与治疗日期、通道、照射总时间及倒计数时间的显</w:t>
      </w:r>
      <w:r w:rsidRPr="00B12FE0">
        <w:rPr>
          <w:rFonts w:ascii="宋体" w:hint="eastAsia"/>
          <w:color w:val="000000" w:themeColor="text1"/>
          <w:kern w:val="0"/>
        </w:rPr>
        <w:lastRenderedPageBreak/>
        <w:t>示。</w:t>
      </w:r>
    </w:p>
    <w:p w14:paraId="6A5AD974" w14:textId="77777777" w:rsidR="00A67F21" w:rsidRPr="00B12FE0" w:rsidRDefault="00000000">
      <w:pPr>
        <w:autoSpaceDE w:val="0"/>
        <w:autoSpaceDN w:val="0"/>
        <w:adjustRightInd w:val="0"/>
        <w:spacing w:line="360" w:lineRule="auto"/>
        <w:ind w:firstLine="480"/>
        <w:rPr>
          <w:rFonts w:ascii="宋体"/>
          <w:color w:val="000000" w:themeColor="text1"/>
          <w:kern w:val="0"/>
        </w:rPr>
      </w:pPr>
      <w:r w:rsidRPr="00B12FE0">
        <w:rPr>
          <w:rFonts w:ascii="宋体" w:hAnsi="宋体" w:hint="eastAsia"/>
          <w:color w:val="000000" w:themeColor="text1"/>
          <w:kern w:val="0"/>
        </w:rPr>
        <w:t>②</w:t>
      </w:r>
      <w:r w:rsidRPr="00B12FE0">
        <w:rPr>
          <w:rFonts w:ascii="宋体" w:hint="eastAsia"/>
          <w:color w:val="000000" w:themeColor="text1"/>
          <w:kern w:val="0"/>
        </w:rPr>
        <w:t>后装治疗设备控制系统有安全锁等多重保护和联锁装置。必须能防止由于计时器控制、放射源传输系统失效，源通道或控制程序错误以及放射源连接脱落等电气、机械发生故障或发生误操作的条件下造成对患者的误照射。严禁在去掉保护与</w:t>
      </w:r>
      <w:proofErr w:type="gramStart"/>
      <w:r w:rsidRPr="00B12FE0">
        <w:rPr>
          <w:rFonts w:ascii="宋体" w:hint="eastAsia"/>
          <w:color w:val="000000" w:themeColor="text1"/>
          <w:kern w:val="0"/>
        </w:rPr>
        <w:t>联锁</w:t>
      </w:r>
      <w:proofErr w:type="gramEnd"/>
      <w:r w:rsidRPr="00B12FE0">
        <w:rPr>
          <w:rFonts w:ascii="宋体" w:hint="eastAsia"/>
          <w:color w:val="000000" w:themeColor="text1"/>
          <w:kern w:val="0"/>
        </w:rPr>
        <w:t>控制装置的条件下运行。</w:t>
      </w:r>
    </w:p>
    <w:p w14:paraId="3A553971" w14:textId="77777777" w:rsidR="00A67F21" w:rsidRPr="00B12FE0" w:rsidRDefault="00000000">
      <w:pPr>
        <w:autoSpaceDE w:val="0"/>
        <w:autoSpaceDN w:val="0"/>
        <w:adjustRightInd w:val="0"/>
        <w:spacing w:line="360" w:lineRule="auto"/>
        <w:ind w:firstLine="480"/>
        <w:rPr>
          <w:color w:val="000000" w:themeColor="text1"/>
          <w:kern w:val="0"/>
        </w:rPr>
      </w:pPr>
      <w:r w:rsidRPr="00B12FE0">
        <w:rPr>
          <w:rFonts w:ascii="宋体" w:hAnsi="宋体" w:hint="eastAsia"/>
          <w:color w:val="000000" w:themeColor="text1"/>
          <w:kern w:val="0"/>
        </w:rPr>
        <w:t>③</w:t>
      </w:r>
      <w:r w:rsidRPr="00B12FE0">
        <w:rPr>
          <w:color w:val="000000" w:themeColor="text1"/>
          <w:kern w:val="0"/>
        </w:rPr>
        <w:t>实施治疗期间，当发生停电或意外中断照射时，放射源必须能自动返回</w:t>
      </w:r>
      <w:proofErr w:type="gramStart"/>
      <w:r w:rsidRPr="00B12FE0">
        <w:rPr>
          <w:color w:val="000000" w:themeColor="text1"/>
          <w:kern w:val="0"/>
        </w:rPr>
        <w:t>工作贮源器</w:t>
      </w:r>
      <w:proofErr w:type="gramEnd"/>
      <w:r w:rsidRPr="00B12FE0">
        <w:rPr>
          <w:color w:val="000000" w:themeColor="text1"/>
          <w:kern w:val="0"/>
        </w:rPr>
        <w:t>。必须同时显示和记录已照射的时间和剂量，直到下一次照射开始，同时发出声光报警信号。当</w:t>
      </w:r>
      <w:proofErr w:type="gramStart"/>
      <w:r w:rsidRPr="00B12FE0">
        <w:rPr>
          <w:color w:val="000000" w:themeColor="text1"/>
          <w:kern w:val="0"/>
        </w:rPr>
        <w:t>自动回源装置</w:t>
      </w:r>
      <w:proofErr w:type="gramEnd"/>
      <w:r w:rsidRPr="00B12FE0">
        <w:rPr>
          <w:color w:val="000000" w:themeColor="text1"/>
          <w:kern w:val="0"/>
        </w:rPr>
        <w:t>功能失效时，必须有</w:t>
      </w:r>
      <w:proofErr w:type="gramStart"/>
      <w:r w:rsidRPr="00B12FE0">
        <w:rPr>
          <w:color w:val="000000" w:themeColor="text1"/>
          <w:kern w:val="0"/>
        </w:rPr>
        <w:t>手动回源措施</w:t>
      </w:r>
      <w:proofErr w:type="gramEnd"/>
      <w:r w:rsidRPr="00B12FE0">
        <w:rPr>
          <w:color w:val="000000" w:themeColor="text1"/>
          <w:kern w:val="0"/>
        </w:rPr>
        <w:t>进行应急处理。</w:t>
      </w:r>
    </w:p>
    <w:p w14:paraId="72897904" w14:textId="77777777" w:rsidR="00A67F21" w:rsidRPr="00B12FE0" w:rsidRDefault="00000000">
      <w:pPr>
        <w:autoSpaceDE w:val="0"/>
        <w:autoSpaceDN w:val="0"/>
        <w:adjustRightInd w:val="0"/>
        <w:spacing w:line="360" w:lineRule="auto"/>
        <w:ind w:firstLine="480"/>
        <w:rPr>
          <w:color w:val="000000" w:themeColor="text1"/>
          <w:kern w:val="0"/>
        </w:rPr>
      </w:pPr>
      <w:r w:rsidRPr="00B12FE0">
        <w:rPr>
          <w:rFonts w:ascii="宋体" w:hAnsi="宋体" w:hint="eastAsia"/>
          <w:color w:val="000000" w:themeColor="text1"/>
          <w:kern w:val="0"/>
        </w:rPr>
        <w:t>④</w:t>
      </w:r>
      <w:r w:rsidRPr="00B12FE0">
        <w:rPr>
          <w:color w:val="000000" w:themeColor="text1"/>
          <w:kern w:val="0"/>
        </w:rPr>
        <w:t>在控制台上，必须能通过</w:t>
      </w:r>
      <w:r w:rsidRPr="00B12FE0">
        <w:rPr>
          <w:rFonts w:eastAsia="TimesNewRomanPSMT"/>
          <w:color w:val="000000" w:themeColor="text1"/>
          <w:kern w:val="0"/>
        </w:rPr>
        <w:t>γ</w:t>
      </w:r>
      <w:r w:rsidRPr="00B12FE0">
        <w:rPr>
          <w:color w:val="000000" w:themeColor="text1"/>
          <w:kern w:val="0"/>
        </w:rPr>
        <w:t>射线监测仪器显示放射源由</w:t>
      </w:r>
      <w:proofErr w:type="gramStart"/>
      <w:r w:rsidRPr="00B12FE0">
        <w:rPr>
          <w:color w:val="000000" w:themeColor="text1"/>
          <w:kern w:val="0"/>
        </w:rPr>
        <w:t>工作贮源器</w:t>
      </w:r>
      <w:proofErr w:type="gramEnd"/>
      <w:r w:rsidRPr="00B12FE0">
        <w:rPr>
          <w:color w:val="000000" w:themeColor="text1"/>
          <w:kern w:val="0"/>
        </w:rPr>
        <w:t>内输出和返回贮存位置的状态。控制照射时间的计时误差必须小于</w:t>
      </w:r>
      <w:r w:rsidRPr="00B12FE0">
        <w:rPr>
          <w:rFonts w:eastAsia="TimesNewRomanPSMT"/>
          <w:color w:val="000000" w:themeColor="text1"/>
          <w:kern w:val="0"/>
        </w:rPr>
        <w:t>1%</w:t>
      </w:r>
      <w:r w:rsidRPr="00B12FE0">
        <w:rPr>
          <w:color w:val="000000" w:themeColor="text1"/>
          <w:kern w:val="0"/>
        </w:rPr>
        <w:t>。</w:t>
      </w:r>
    </w:p>
    <w:p w14:paraId="1EF48DE9" w14:textId="77777777" w:rsidR="00A67F21" w:rsidRPr="00B12FE0" w:rsidRDefault="00000000">
      <w:pPr>
        <w:autoSpaceDE w:val="0"/>
        <w:autoSpaceDN w:val="0"/>
        <w:adjustRightInd w:val="0"/>
        <w:spacing w:line="360" w:lineRule="auto"/>
        <w:ind w:firstLine="480"/>
        <w:rPr>
          <w:color w:val="000000" w:themeColor="text1"/>
          <w:kern w:val="0"/>
        </w:rPr>
      </w:pPr>
      <w:r w:rsidRPr="00B12FE0">
        <w:rPr>
          <w:rFonts w:ascii="宋体" w:hAnsi="宋体" w:hint="eastAsia"/>
          <w:color w:val="000000" w:themeColor="text1"/>
          <w:kern w:val="0"/>
        </w:rPr>
        <w:t>⑤</w:t>
      </w:r>
      <w:r w:rsidRPr="00B12FE0">
        <w:rPr>
          <w:color w:val="000000" w:themeColor="text1"/>
          <w:kern w:val="0"/>
        </w:rPr>
        <w:t>必须在生产厂家给出的放射源最大安全传输次数内，不发生放射源脱落、</w:t>
      </w:r>
      <w:proofErr w:type="gramStart"/>
      <w:r w:rsidRPr="00B12FE0">
        <w:rPr>
          <w:color w:val="000000" w:themeColor="text1"/>
          <w:kern w:val="0"/>
        </w:rPr>
        <w:t>卡源等</w:t>
      </w:r>
      <w:proofErr w:type="gramEnd"/>
      <w:r w:rsidRPr="00B12FE0">
        <w:rPr>
          <w:color w:val="000000" w:themeColor="text1"/>
          <w:kern w:val="0"/>
        </w:rPr>
        <w:t>故障。放射治疗机随机文件中必须给出放射源</w:t>
      </w:r>
      <w:proofErr w:type="gramStart"/>
      <w:r w:rsidRPr="00B12FE0">
        <w:rPr>
          <w:color w:val="000000" w:themeColor="text1"/>
          <w:kern w:val="0"/>
        </w:rPr>
        <w:t>从贮源器</w:t>
      </w:r>
      <w:proofErr w:type="gramEnd"/>
      <w:r w:rsidRPr="00B12FE0">
        <w:rPr>
          <w:color w:val="000000" w:themeColor="text1"/>
          <w:kern w:val="0"/>
        </w:rPr>
        <w:t>到施源器的最大传输时间。</w:t>
      </w:r>
    </w:p>
    <w:p w14:paraId="26F4D613" w14:textId="77777777" w:rsidR="00A67F21" w:rsidRPr="00B12FE0" w:rsidRDefault="00000000">
      <w:pPr>
        <w:adjustRightInd w:val="0"/>
        <w:snapToGrid w:val="0"/>
        <w:spacing w:line="360" w:lineRule="auto"/>
        <w:ind w:firstLine="482"/>
        <w:rPr>
          <w:color w:val="000000" w:themeColor="text1"/>
          <w:kern w:val="0"/>
        </w:rPr>
      </w:pPr>
      <w:r w:rsidRPr="00B12FE0">
        <w:rPr>
          <w:color w:val="000000" w:themeColor="text1"/>
          <w:kern w:val="0"/>
        </w:rPr>
        <w:t>（</w:t>
      </w:r>
      <w:r w:rsidRPr="00B12FE0">
        <w:rPr>
          <w:color w:val="000000" w:themeColor="text1"/>
          <w:kern w:val="0"/>
        </w:rPr>
        <w:t>2</w:t>
      </w:r>
      <w:r w:rsidRPr="00B12FE0">
        <w:rPr>
          <w:color w:val="000000" w:themeColor="text1"/>
          <w:kern w:val="0"/>
        </w:rPr>
        <w:t>）后装机房安全设施设计</w:t>
      </w:r>
    </w:p>
    <w:p w14:paraId="19C553BF" w14:textId="77777777" w:rsidR="00A67F21" w:rsidRPr="00B12FE0" w:rsidRDefault="00000000">
      <w:pPr>
        <w:adjustRightInd w:val="0"/>
        <w:snapToGrid w:val="0"/>
        <w:spacing w:line="360" w:lineRule="auto"/>
        <w:ind w:firstLine="482"/>
        <w:rPr>
          <w:color w:val="000000" w:themeColor="text1"/>
          <w:kern w:val="0"/>
        </w:rPr>
      </w:pPr>
      <w:r w:rsidRPr="00B12FE0">
        <w:rPr>
          <w:rFonts w:hint="eastAsia"/>
          <w:color w:val="000000" w:themeColor="text1"/>
          <w:kern w:val="0"/>
        </w:rPr>
        <w:t>①后装机房治疗室与控制室分开设置，治疗室有效使用面积为</w:t>
      </w:r>
      <w:r w:rsidRPr="00B12FE0">
        <w:rPr>
          <w:rFonts w:hint="eastAsia"/>
          <w:color w:val="000000" w:themeColor="text1"/>
          <w:kern w:val="0"/>
        </w:rPr>
        <w:t>47m</w:t>
      </w:r>
      <w:r w:rsidRPr="00B12FE0">
        <w:rPr>
          <w:rFonts w:hint="eastAsia"/>
          <w:color w:val="000000" w:themeColor="text1"/>
          <w:kern w:val="0"/>
          <w:vertAlign w:val="superscript"/>
        </w:rPr>
        <w:t>2</w:t>
      </w:r>
      <w:r w:rsidRPr="00B12FE0">
        <w:rPr>
          <w:rFonts w:hint="eastAsia"/>
          <w:color w:val="000000" w:themeColor="text1"/>
          <w:kern w:val="0"/>
        </w:rPr>
        <w:t>，满足设备空间使用要求。</w:t>
      </w:r>
    </w:p>
    <w:p w14:paraId="422A8CBF" w14:textId="77777777" w:rsidR="00A67F21" w:rsidRPr="00B12FE0" w:rsidRDefault="00000000">
      <w:pPr>
        <w:adjustRightInd w:val="0"/>
        <w:snapToGrid w:val="0"/>
        <w:spacing w:line="360" w:lineRule="auto"/>
        <w:ind w:firstLine="482"/>
        <w:rPr>
          <w:color w:val="000000" w:themeColor="text1"/>
          <w:kern w:val="0"/>
        </w:rPr>
      </w:pPr>
      <w:r w:rsidRPr="00B12FE0">
        <w:rPr>
          <w:rFonts w:hint="eastAsia"/>
          <w:color w:val="000000" w:themeColor="text1"/>
          <w:kern w:val="0"/>
        </w:rPr>
        <w:t>②后装机机房入口采用迷路设计，设置门源</w:t>
      </w:r>
      <w:proofErr w:type="gramStart"/>
      <w:r w:rsidRPr="00B12FE0">
        <w:rPr>
          <w:rFonts w:hint="eastAsia"/>
          <w:color w:val="000000" w:themeColor="text1"/>
          <w:kern w:val="0"/>
        </w:rPr>
        <w:t>联锁</w:t>
      </w:r>
      <w:proofErr w:type="gramEnd"/>
      <w:r w:rsidRPr="00B12FE0">
        <w:rPr>
          <w:rFonts w:hint="eastAsia"/>
          <w:color w:val="000000" w:themeColor="text1"/>
          <w:kern w:val="0"/>
        </w:rPr>
        <w:t>，防护门未完全关闭时</w:t>
      </w:r>
      <w:proofErr w:type="gramStart"/>
      <w:r w:rsidRPr="00B12FE0">
        <w:rPr>
          <w:rFonts w:hint="eastAsia"/>
          <w:color w:val="000000" w:themeColor="text1"/>
          <w:kern w:val="0"/>
        </w:rPr>
        <w:t>不能出源照射</w:t>
      </w:r>
      <w:proofErr w:type="gramEnd"/>
      <w:r w:rsidRPr="00B12FE0">
        <w:rPr>
          <w:rFonts w:hint="eastAsia"/>
          <w:color w:val="000000" w:themeColor="text1"/>
          <w:kern w:val="0"/>
        </w:rPr>
        <w:t>，</w:t>
      </w:r>
      <w:proofErr w:type="gramStart"/>
      <w:r w:rsidRPr="00B12FE0">
        <w:rPr>
          <w:rFonts w:hint="eastAsia"/>
          <w:color w:val="000000" w:themeColor="text1"/>
          <w:kern w:val="0"/>
        </w:rPr>
        <w:t>出源状态</w:t>
      </w:r>
      <w:proofErr w:type="gramEnd"/>
      <w:r w:rsidRPr="00B12FE0">
        <w:rPr>
          <w:rFonts w:hint="eastAsia"/>
          <w:color w:val="000000" w:themeColor="text1"/>
          <w:kern w:val="0"/>
        </w:rPr>
        <w:t>下防护门打开，则放射源自</w:t>
      </w:r>
      <w:proofErr w:type="gramStart"/>
      <w:r w:rsidRPr="00B12FE0">
        <w:rPr>
          <w:rFonts w:hint="eastAsia"/>
          <w:color w:val="000000" w:themeColor="text1"/>
          <w:kern w:val="0"/>
        </w:rPr>
        <w:t>动回到</w:t>
      </w:r>
      <w:proofErr w:type="gramEnd"/>
      <w:r w:rsidRPr="00B12FE0">
        <w:rPr>
          <w:rFonts w:hint="eastAsia"/>
          <w:color w:val="000000" w:themeColor="text1"/>
          <w:kern w:val="0"/>
        </w:rPr>
        <w:t>治疗设备的安全位置。机房防护门上方设置工作状态指示灯，指示灯应显示源的工作状态。</w:t>
      </w:r>
    </w:p>
    <w:p w14:paraId="7566445D" w14:textId="77777777" w:rsidR="00A67F21" w:rsidRPr="00B12FE0" w:rsidRDefault="00000000">
      <w:pPr>
        <w:adjustRightInd w:val="0"/>
        <w:snapToGrid w:val="0"/>
        <w:spacing w:line="360" w:lineRule="auto"/>
        <w:ind w:firstLine="482"/>
        <w:rPr>
          <w:color w:val="000000" w:themeColor="text1"/>
          <w:kern w:val="0"/>
        </w:rPr>
      </w:pPr>
      <w:r w:rsidRPr="00B12FE0">
        <w:rPr>
          <w:rFonts w:hint="eastAsia"/>
          <w:color w:val="000000" w:themeColor="text1"/>
          <w:kern w:val="0"/>
        </w:rPr>
        <w:t>③后装机治疗室内安装视频监控与对讲系统，能完全观察和联系治疗室。工作人员在控制室内便可清晰的观察到患者的治疗情况，如发现患者不适、位置移动、部件脱落、机架与治疗</w:t>
      </w:r>
      <w:proofErr w:type="gramStart"/>
      <w:r w:rsidRPr="00B12FE0">
        <w:rPr>
          <w:rFonts w:hint="eastAsia"/>
          <w:color w:val="000000" w:themeColor="text1"/>
          <w:kern w:val="0"/>
        </w:rPr>
        <w:t>床发生</w:t>
      </w:r>
      <w:proofErr w:type="gramEnd"/>
      <w:r w:rsidRPr="00B12FE0">
        <w:rPr>
          <w:rFonts w:hint="eastAsia"/>
          <w:color w:val="000000" w:themeColor="text1"/>
          <w:kern w:val="0"/>
        </w:rPr>
        <w:t>碰撞等异常情况，可及时采取紧急措施。治疗室与控制室设置对讲装置，便于医护人员与患者进行双向交流。</w:t>
      </w:r>
    </w:p>
    <w:p w14:paraId="6F59A0D7"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④后装机治疗室设置急停按钮，分别安装在四侧墙上。紧急停机按钮为红色按钮式开关，并带有中文标示，易于辨认，按下后不能自动复位。在紧急情况下，便于机房和控制室内人员及时终止照射。</w:t>
      </w:r>
    </w:p>
    <w:p w14:paraId="5C7C3816"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⑤</w:t>
      </w:r>
      <w:proofErr w:type="gramStart"/>
      <w:r w:rsidRPr="00B12FE0">
        <w:rPr>
          <w:rFonts w:hint="eastAsia"/>
          <w:color w:val="000000" w:themeColor="text1"/>
        </w:rPr>
        <w:t>机房迷道入口</w:t>
      </w:r>
      <w:proofErr w:type="gramEnd"/>
      <w:r w:rsidRPr="00B12FE0">
        <w:rPr>
          <w:rFonts w:hint="eastAsia"/>
          <w:color w:val="000000" w:themeColor="text1"/>
        </w:rPr>
        <w:t>内侧设置开门装置，紧急情况下从内侧开门，防护门设置红外防挤压装置。</w:t>
      </w:r>
    </w:p>
    <w:p w14:paraId="2480980F"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t>⑥后装机机房内配有合适的</w:t>
      </w:r>
      <w:proofErr w:type="gramStart"/>
      <w:r w:rsidRPr="00B12FE0">
        <w:rPr>
          <w:rFonts w:hint="eastAsia"/>
          <w:color w:val="000000" w:themeColor="text1"/>
        </w:rPr>
        <w:t>应急贮源容器</w:t>
      </w:r>
      <w:proofErr w:type="gramEnd"/>
      <w:r w:rsidRPr="00B12FE0">
        <w:rPr>
          <w:rFonts w:hint="eastAsia"/>
          <w:color w:val="000000" w:themeColor="text1"/>
        </w:rPr>
        <w:t>和长柄镊子等应急工具。</w:t>
      </w:r>
    </w:p>
    <w:p w14:paraId="745638C9" w14:textId="77777777" w:rsidR="00A67F21" w:rsidRPr="00B12FE0" w:rsidRDefault="00000000">
      <w:pPr>
        <w:adjustRightInd w:val="0"/>
        <w:snapToGrid w:val="0"/>
        <w:spacing w:line="360" w:lineRule="auto"/>
        <w:ind w:firstLine="482"/>
        <w:rPr>
          <w:color w:val="000000" w:themeColor="text1"/>
          <w:kern w:val="0"/>
        </w:rPr>
      </w:pPr>
      <w:r w:rsidRPr="00B12FE0">
        <w:rPr>
          <w:rFonts w:hint="eastAsia"/>
          <w:color w:val="000000" w:themeColor="text1"/>
        </w:rPr>
        <w:t>⑦后装机</w:t>
      </w:r>
      <w:proofErr w:type="gramStart"/>
      <w:r w:rsidRPr="00B12FE0">
        <w:rPr>
          <w:rFonts w:hint="eastAsia"/>
          <w:color w:val="000000" w:themeColor="text1"/>
        </w:rPr>
        <w:t>机房迷道入口处</w:t>
      </w:r>
      <w:proofErr w:type="gramEnd"/>
      <w:r w:rsidRPr="00B12FE0">
        <w:rPr>
          <w:rFonts w:hint="eastAsia"/>
          <w:color w:val="000000" w:themeColor="text1"/>
        </w:rPr>
        <w:t>设置</w:t>
      </w:r>
      <w:r w:rsidRPr="00B12FE0">
        <w:rPr>
          <w:rFonts w:hint="eastAsia"/>
          <w:color w:val="000000" w:themeColor="text1"/>
        </w:rPr>
        <w:t>1</w:t>
      </w:r>
      <w:r w:rsidRPr="00B12FE0">
        <w:rPr>
          <w:rFonts w:hint="eastAsia"/>
          <w:color w:val="000000" w:themeColor="text1"/>
        </w:rPr>
        <w:t>个固定式剂量率监测报警装置</w:t>
      </w:r>
      <w:r w:rsidRPr="00B12FE0">
        <w:rPr>
          <w:color w:val="000000" w:themeColor="text1"/>
          <w:kern w:val="0"/>
        </w:rPr>
        <w:t>，</w:t>
      </w:r>
      <w:r w:rsidRPr="00B12FE0">
        <w:rPr>
          <w:color w:val="000000" w:themeColor="text1"/>
        </w:rPr>
        <w:t>显示单元设在控制室或机房门附近</w:t>
      </w:r>
      <w:r w:rsidRPr="00B12FE0">
        <w:rPr>
          <w:rFonts w:hint="eastAsia"/>
          <w:color w:val="000000" w:themeColor="text1"/>
        </w:rPr>
        <w:t>，</w:t>
      </w:r>
      <w:r w:rsidRPr="00B12FE0">
        <w:rPr>
          <w:color w:val="000000" w:themeColor="text1"/>
          <w:kern w:val="0"/>
        </w:rPr>
        <w:t>当探测到剂量率超过设置阈值时，则有声光报警，人员马上撤离。</w:t>
      </w:r>
    </w:p>
    <w:p w14:paraId="2ACD5FD9" w14:textId="77777777" w:rsidR="00A67F21" w:rsidRPr="00B12FE0" w:rsidRDefault="00000000">
      <w:pPr>
        <w:adjustRightInd w:val="0"/>
        <w:snapToGrid w:val="0"/>
        <w:spacing w:line="360" w:lineRule="auto"/>
        <w:ind w:firstLine="482"/>
        <w:rPr>
          <w:color w:val="000000" w:themeColor="text1"/>
        </w:rPr>
      </w:pPr>
      <w:r w:rsidRPr="00B12FE0">
        <w:rPr>
          <w:rFonts w:hint="eastAsia"/>
          <w:color w:val="000000" w:themeColor="text1"/>
        </w:rPr>
        <w:lastRenderedPageBreak/>
        <w:t>⑧防护门设置电离辐射警告标志，门口外</w:t>
      </w:r>
      <w:r w:rsidRPr="00B12FE0">
        <w:rPr>
          <w:rFonts w:hint="eastAsia"/>
          <w:color w:val="000000" w:themeColor="text1"/>
        </w:rPr>
        <w:t>1m</w:t>
      </w:r>
      <w:r w:rsidRPr="00B12FE0">
        <w:rPr>
          <w:rFonts w:hint="eastAsia"/>
          <w:color w:val="000000" w:themeColor="text1"/>
        </w:rPr>
        <w:t>处设置黄色警戒线，禁止无关人员靠近。</w:t>
      </w:r>
    </w:p>
    <w:p w14:paraId="23E2BFCE" w14:textId="77777777" w:rsidR="00A67F21" w:rsidRPr="00B12FE0" w:rsidRDefault="00000000">
      <w:pPr>
        <w:adjustRightInd w:val="0"/>
        <w:snapToGrid w:val="0"/>
        <w:spacing w:line="360" w:lineRule="auto"/>
        <w:jc w:val="center"/>
        <w:rPr>
          <w:color w:val="000000" w:themeColor="text1"/>
        </w:rPr>
      </w:pPr>
      <w:r w:rsidRPr="00B12FE0">
        <w:rPr>
          <w:noProof/>
          <w:color w:val="000000" w:themeColor="text1"/>
        </w:rPr>
        <w:drawing>
          <wp:inline distT="0" distB="0" distL="0" distR="0" wp14:anchorId="5C044384" wp14:editId="2A9F0562">
            <wp:extent cx="4805045" cy="4621530"/>
            <wp:effectExtent l="0" t="0" r="0" b="7620"/>
            <wp:docPr id="1081243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3825" name="图片 1"/>
                    <pic:cNvPicPr>
                      <a:picLocks noChangeAspect="1"/>
                    </pic:cNvPicPr>
                  </pic:nvPicPr>
                  <pic:blipFill>
                    <a:blip r:embed="rId53"/>
                    <a:stretch>
                      <a:fillRect/>
                    </a:stretch>
                  </pic:blipFill>
                  <pic:spPr>
                    <a:xfrm>
                      <a:off x="0" y="0"/>
                      <a:ext cx="4811471" cy="4627583"/>
                    </a:xfrm>
                    <a:prstGeom prst="rect">
                      <a:avLst/>
                    </a:prstGeom>
                  </pic:spPr>
                </pic:pic>
              </a:graphicData>
            </a:graphic>
          </wp:inline>
        </w:drawing>
      </w:r>
    </w:p>
    <w:p w14:paraId="4CE50F9C" w14:textId="77777777" w:rsidR="00A67F21" w:rsidRPr="00B12FE0" w:rsidRDefault="00000000">
      <w:pPr>
        <w:jc w:val="center"/>
        <w:rPr>
          <w:b/>
          <w:color w:val="000000" w:themeColor="text1"/>
          <w:sz w:val="21"/>
          <w:szCs w:val="16"/>
        </w:rPr>
      </w:pPr>
      <w:r w:rsidRPr="00B12FE0">
        <w:rPr>
          <w:b/>
          <w:color w:val="000000" w:themeColor="text1"/>
          <w:sz w:val="21"/>
          <w:szCs w:val="16"/>
        </w:rPr>
        <w:t>图</w:t>
      </w:r>
      <w:r w:rsidRPr="00B12FE0">
        <w:rPr>
          <w:b/>
          <w:color w:val="000000" w:themeColor="text1"/>
          <w:sz w:val="21"/>
          <w:szCs w:val="16"/>
        </w:rPr>
        <w:t xml:space="preserve">10.1.2.2-1  </w:t>
      </w:r>
      <w:r w:rsidRPr="00B12FE0">
        <w:rPr>
          <w:rFonts w:hint="eastAsia"/>
          <w:b/>
          <w:color w:val="000000" w:themeColor="text1"/>
          <w:sz w:val="21"/>
          <w:szCs w:val="16"/>
        </w:rPr>
        <w:t>后装</w:t>
      </w:r>
      <w:r w:rsidRPr="00B12FE0">
        <w:rPr>
          <w:b/>
          <w:color w:val="000000" w:themeColor="text1"/>
          <w:sz w:val="21"/>
          <w:szCs w:val="16"/>
        </w:rPr>
        <w:t>机房紧急开关、监视系统安全设施等分布示意图</w:t>
      </w:r>
    </w:p>
    <w:p w14:paraId="0A94C258"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w:t>
      </w:r>
      <w:r w:rsidRPr="00B12FE0">
        <w:rPr>
          <w:color w:val="000000" w:themeColor="text1"/>
        </w:rPr>
        <w:t>3</w:t>
      </w:r>
      <w:r w:rsidRPr="00B12FE0">
        <w:rPr>
          <w:rFonts w:hint="eastAsia"/>
          <w:color w:val="000000" w:themeColor="text1"/>
        </w:rPr>
        <w:t>）安全操作要求</w:t>
      </w:r>
    </w:p>
    <w:p w14:paraId="07F06850" w14:textId="77777777" w:rsidR="00A67F21" w:rsidRPr="00B12FE0" w:rsidRDefault="00000000">
      <w:pPr>
        <w:autoSpaceDE w:val="0"/>
        <w:autoSpaceDN w:val="0"/>
        <w:adjustRightInd w:val="0"/>
        <w:spacing w:line="360" w:lineRule="auto"/>
        <w:ind w:firstLine="480"/>
        <w:jc w:val="left"/>
        <w:rPr>
          <w:rFonts w:ascii="宋体"/>
          <w:color w:val="000000" w:themeColor="text1"/>
          <w:kern w:val="0"/>
        </w:rPr>
      </w:pPr>
      <w:r w:rsidRPr="00B12FE0">
        <w:rPr>
          <w:rFonts w:ascii="宋体" w:hAnsi="宋体" w:hint="eastAsia"/>
          <w:color w:val="000000" w:themeColor="text1"/>
          <w:kern w:val="0"/>
        </w:rPr>
        <w:t>①</w:t>
      </w:r>
      <w:r w:rsidRPr="00B12FE0">
        <w:rPr>
          <w:rFonts w:ascii="宋体" w:hint="eastAsia"/>
          <w:color w:val="000000" w:themeColor="text1"/>
          <w:kern w:val="0"/>
        </w:rPr>
        <w:t>治疗师根据临床检查结果，制订治疗计划，由患者所患疾病的性质、部位和大小来确定照射剂量和照射时间。</w:t>
      </w:r>
    </w:p>
    <w:p w14:paraId="2CDE7D56" w14:textId="77777777" w:rsidR="00A67F21" w:rsidRPr="00B12FE0" w:rsidRDefault="00000000">
      <w:pPr>
        <w:autoSpaceDE w:val="0"/>
        <w:autoSpaceDN w:val="0"/>
        <w:adjustRightInd w:val="0"/>
        <w:spacing w:line="360" w:lineRule="auto"/>
        <w:ind w:firstLine="480"/>
        <w:jc w:val="left"/>
        <w:rPr>
          <w:rFonts w:ascii="宋体"/>
          <w:color w:val="000000" w:themeColor="text1"/>
          <w:kern w:val="0"/>
        </w:rPr>
      </w:pPr>
      <w:r w:rsidRPr="00B12FE0">
        <w:rPr>
          <w:rFonts w:ascii="宋体" w:hAnsi="宋体" w:hint="eastAsia"/>
          <w:color w:val="000000" w:themeColor="text1"/>
          <w:kern w:val="0"/>
        </w:rPr>
        <w:t>②</w:t>
      </w:r>
      <w:r w:rsidRPr="00B12FE0">
        <w:rPr>
          <w:rFonts w:ascii="宋体" w:hint="eastAsia"/>
          <w:color w:val="000000" w:themeColor="text1"/>
          <w:kern w:val="0"/>
        </w:rPr>
        <w:t>治疗室内安装了剂量监测设备、剂量报警设备，能够在控制室随时监控剂量监测值和超剂量报警情况。</w:t>
      </w:r>
    </w:p>
    <w:p w14:paraId="6E7B0F86" w14:textId="77777777" w:rsidR="00A67F21" w:rsidRPr="00B12FE0" w:rsidRDefault="00000000">
      <w:pPr>
        <w:autoSpaceDE w:val="0"/>
        <w:autoSpaceDN w:val="0"/>
        <w:adjustRightInd w:val="0"/>
        <w:spacing w:line="360" w:lineRule="auto"/>
        <w:ind w:firstLine="480"/>
        <w:jc w:val="left"/>
        <w:rPr>
          <w:rFonts w:ascii="宋体"/>
          <w:color w:val="000000" w:themeColor="text1"/>
          <w:kern w:val="0"/>
        </w:rPr>
      </w:pPr>
      <w:r w:rsidRPr="00B12FE0">
        <w:rPr>
          <w:rFonts w:ascii="宋体" w:hAnsi="宋体" w:hint="eastAsia"/>
          <w:color w:val="000000" w:themeColor="text1"/>
          <w:kern w:val="0"/>
        </w:rPr>
        <w:t>③</w:t>
      </w:r>
      <w:r w:rsidRPr="00B12FE0">
        <w:rPr>
          <w:rFonts w:ascii="宋体" w:hint="eastAsia"/>
          <w:color w:val="000000" w:themeColor="text1"/>
          <w:kern w:val="0"/>
        </w:rPr>
        <w:t>操作人员必须遵守各项操作规程，认真检查安全</w:t>
      </w:r>
      <w:proofErr w:type="gramStart"/>
      <w:r w:rsidRPr="00B12FE0">
        <w:rPr>
          <w:rFonts w:ascii="宋体" w:hint="eastAsia"/>
          <w:color w:val="000000" w:themeColor="text1"/>
          <w:kern w:val="0"/>
        </w:rPr>
        <w:t>联锁</w:t>
      </w:r>
      <w:proofErr w:type="gramEnd"/>
      <w:r w:rsidRPr="00B12FE0">
        <w:rPr>
          <w:rFonts w:ascii="宋体" w:hint="eastAsia"/>
          <w:color w:val="000000" w:themeColor="text1"/>
          <w:kern w:val="0"/>
        </w:rPr>
        <w:t>，禁止任意去除安全</w:t>
      </w:r>
      <w:proofErr w:type="gramStart"/>
      <w:r w:rsidRPr="00B12FE0">
        <w:rPr>
          <w:rFonts w:ascii="宋体" w:hint="eastAsia"/>
          <w:color w:val="000000" w:themeColor="text1"/>
          <w:kern w:val="0"/>
        </w:rPr>
        <w:t>联锁</w:t>
      </w:r>
      <w:proofErr w:type="gramEnd"/>
      <w:r w:rsidRPr="00B12FE0">
        <w:rPr>
          <w:rFonts w:ascii="宋体" w:hint="eastAsia"/>
          <w:color w:val="000000" w:themeColor="text1"/>
          <w:kern w:val="0"/>
        </w:rPr>
        <w:t>，在防护门未关闭时，放射源不能出来。迷道内设置紧急停机、开门按钮。安装手动应急开门装置，以备停电时使用。</w:t>
      </w:r>
    </w:p>
    <w:p w14:paraId="020F8C3B" w14:textId="77777777" w:rsidR="00A67F21" w:rsidRPr="00B12FE0" w:rsidRDefault="00000000">
      <w:pPr>
        <w:autoSpaceDE w:val="0"/>
        <w:autoSpaceDN w:val="0"/>
        <w:adjustRightInd w:val="0"/>
        <w:spacing w:line="360" w:lineRule="auto"/>
        <w:ind w:firstLine="480"/>
        <w:jc w:val="left"/>
        <w:rPr>
          <w:rFonts w:ascii="宋体"/>
          <w:color w:val="000000" w:themeColor="text1"/>
          <w:kern w:val="0"/>
        </w:rPr>
      </w:pPr>
      <w:r w:rsidRPr="00B12FE0">
        <w:rPr>
          <w:rFonts w:ascii="宋体" w:hAnsi="宋体" w:hint="eastAsia"/>
          <w:color w:val="000000" w:themeColor="text1"/>
          <w:kern w:val="0"/>
        </w:rPr>
        <w:t>④</w:t>
      </w:r>
      <w:r w:rsidRPr="00B12FE0">
        <w:rPr>
          <w:rFonts w:ascii="宋体" w:hint="eastAsia"/>
          <w:color w:val="000000" w:themeColor="text1"/>
          <w:kern w:val="0"/>
        </w:rPr>
        <w:t>新购放射源必须有生产厂家提供的说明书及检验证书。说明书载明了放射源编号、核素名称、化学符号、等效活度、表面污染与泄漏检测日期和生产单位名称等。</w:t>
      </w:r>
      <w:r w:rsidRPr="00B12FE0">
        <w:rPr>
          <w:color w:val="000000" w:themeColor="text1"/>
          <w:kern w:val="0"/>
        </w:rPr>
        <w:t>放射源使用前必须有法定计量机构认可的参考点</w:t>
      </w:r>
      <w:proofErr w:type="gramStart"/>
      <w:r w:rsidRPr="00B12FE0">
        <w:rPr>
          <w:color w:val="000000" w:themeColor="text1"/>
          <w:kern w:val="0"/>
        </w:rPr>
        <w:t>空气比释动能</w:t>
      </w:r>
      <w:proofErr w:type="gramEnd"/>
      <w:r w:rsidRPr="00B12FE0">
        <w:rPr>
          <w:color w:val="000000" w:themeColor="text1"/>
          <w:kern w:val="0"/>
        </w:rPr>
        <w:t>率，其总不确定度不大</w:t>
      </w:r>
      <w:r w:rsidRPr="00B12FE0">
        <w:rPr>
          <w:color w:val="000000" w:themeColor="text1"/>
          <w:kern w:val="0"/>
        </w:rPr>
        <w:lastRenderedPageBreak/>
        <w:t>于</w:t>
      </w:r>
      <w:r w:rsidRPr="00B12FE0">
        <w:rPr>
          <w:color w:val="000000" w:themeColor="text1"/>
          <w:kern w:val="0"/>
        </w:rPr>
        <w:t>±5%</w:t>
      </w:r>
      <w:r w:rsidRPr="00B12FE0">
        <w:rPr>
          <w:color w:val="000000" w:themeColor="text1"/>
          <w:kern w:val="0"/>
        </w:rPr>
        <w:t>。</w:t>
      </w:r>
    </w:p>
    <w:p w14:paraId="29837359" w14:textId="77777777" w:rsidR="00A67F21" w:rsidRPr="00B12FE0" w:rsidRDefault="00000000">
      <w:pPr>
        <w:autoSpaceDE w:val="0"/>
        <w:autoSpaceDN w:val="0"/>
        <w:adjustRightInd w:val="0"/>
        <w:spacing w:line="360" w:lineRule="auto"/>
        <w:ind w:firstLine="480"/>
        <w:jc w:val="left"/>
        <w:rPr>
          <w:rFonts w:ascii="宋体"/>
          <w:color w:val="000000" w:themeColor="text1"/>
          <w:kern w:val="0"/>
        </w:rPr>
      </w:pPr>
      <w:r w:rsidRPr="00B12FE0">
        <w:rPr>
          <w:rFonts w:ascii="宋体" w:hAnsi="宋体" w:hint="eastAsia"/>
          <w:color w:val="000000" w:themeColor="text1"/>
          <w:kern w:val="0"/>
        </w:rPr>
        <w:t>⑤</w:t>
      </w:r>
      <w:r w:rsidRPr="00B12FE0">
        <w:rPr>
          <w:rFonts w:ascii="宋体" w:hint="eastAsia"/>
          <w:color w:val="000000" w:themeColor="text1"/>
          <w:kern w:val="0"/>
        </w:rPr>
        <w:t>设备安装后使用前，必须要求设备供货商提供满足标准要求的设备表面剂量监测报告。</w:t>
      </w:r>
    </w:p>
    <w:p w14:paraId="32ECF4DA" w14:textId="77777777" w:rsidR="00A67F21" w:rsidRPr="00B12FE0" w:rsidRDefault="00000000">
      <w:pPr>
        <w:autoSpaceDE w:val="0"/>
        <w:autoSpaceDN w:val="0"/>
        <w:adjustRightInd w:val="0"/>
        <w:spacing w:line="360" w:lineRule="auto"/>
        <w:ind w:firstLine="480"/>
        <w:jc w:val="left"/>
        <w:rPr>
          <w:rFonts w:ascii="宋体"/>
          <w:color w:val="000000" w:themeColor="text1"/>
          <w:kern w:val="0"/>
        </w:rPr>
      </w:pPr>
      <w:r w:rsidRPr="00B12FE0">
        <w:rPr>
          <w:rFonts w:ascii="宋体" w:hAnsi="宋体" w:hint="eastAsia"/>
          <w:color w:val="000000" w:themeColor="text1"/>
          <w:kern w:val="0"/>
        </w:rPr>
        <w:t>⑥</w:t>
      </w:r>
      <w:r w:rsidRPr="00B12FE0">
        <w:rPr>
          <w:rFonts w:ascii="宋体" w:hint="eastAsia"/>
          <w:color w:val="000000" w:themeColor="text1"/>
          <w:kern w:val="0"/>
        </w:rPr>
        <w:t>加强放射工作人员的培训，并佩戴个人剂量计，进出治疗室佩戴报警仪，做好放射源的监控与防盗。</w:t>
      </w:r>
    </w:p>
    <w:p w14:paraId="477A1FAB" w14:textId="77777777" w:rsidR="00A67F21" w:rsidRPr="00B12FE0" w:rsidRDefault="00000000">
      <w:pPr>
        <w:adjustRightInd w:val="0"/>
        <w:snapToGrid w:val="0"/>
        <w:spacing w:line="360" w:lineRule="auto"/>
        <w:ind w:firstLine="480"/>
        <w:rPr>
          <w:rFonts w:ascii="宋体"/>
          <w:color w:val="000000" w:themeColor="text1"/>
          <w:kern w:val="0"/>
        </w:rPr>
      </w:pPr>
      <w:r w:rsidRPr="00B12FE0">
        <w:rPr>
          <w:rFonts w:ascii="宋体" w:hint="eastAsia"/>
          <w:color w:val="000000" w:themeColor="text1"/>
          <w:kern w:val="0"/>
        </w:rPr>
        <w:t>⑦治疗室机房内不得堆放与诊疗无关的杂物。</w:t>
      </w:r>
    </w:p>
    <w:p w14:paraId="331DC01C" w14:textId="77777777" w:rsidR="00A67F21" w:rsidRPr="00B12FE0" w:rsidRDefault="00000000">
      <w:pPr>
        <w:adjustRightInd w:val="0"/>
        <w:snapToGrid w:val="0"/>
        <w:spacing w:line="360" w:lineRule="auto"/>
        <w:ind w:firstLine="480"/>
        <w:rPr>
          <w:color w:val="000000" w:themeColor="text1"/>
          <w:kern w:val="0"/>
        </w:rPr>
      </w:pPr>
      <w:r w:rsidRPr="00B12FE0">
        <w:rPr>
          <w:rFonts w:hint="eastAsia"/>
          <w:color w:val="000000" w:themeColor="text1"/>
          <w:kern w:val="0"/>
        </w:rPr>
        <w:t>（</w:t>
      </w:r>
      <w:r w:rsidRPr="00B12FE0">
        <w:rPr>
          <w:rFonts w:hint="eastAsia"/>
          <w:color w:val="000000" w:themeColor="text1"/>
          <w:kern w:val="0"/>
        </w:rPr>
        <w:t>4</w:t>
      </w:r>
      <w:r w:rsidRPr="00B12FE0">
        <w:rPr>
          <w:rFonts w:hint="eastAsia"/>
          <w:color w:val="000000" w:themeColor="text1"/>
          <w:kern w:val="0"/>
        </w:rPr>
        <w:t>）</w:t>
      </w:r>
      <w:r w:rsidRPr="00B12FE0">
        <w:rPr>
          <w:color w:val="000000" w:themeColor="text1"/>
        </w:rPr>
        <w:t>放射源安装</w:t>
      </w:r>
      <w:r w:rsidRPr="00B12FE0">
        <w:rPr>
          <w:rFonts w:hint="eastAsia"/>
          <w:color w:val="000000" w:themeColor="text1"/>
        </w:rPr>
        <w:t>防护措施</w:t>
      </w:r>
    </w:p>
    <w:p w14:paraId="175FB59C" w14:textId="77777777" w:rsidR="00A67F21" w:rsidRPr="00B12FE0" w:rsidRDefault="00000000">
      <w:pPr>
        <w:autoSpaceDE w:val="0"/>
        <w:autoSpaceDN w:val="0"/>
        <w:adjustRightInd w:val="0"/>
        <w:spacing w:line="360" w:lineRule="auto"/>
        <w:ind w:firstLine="480"/>
        <w:jc w:val="left"/>
        <w:rPr>
          <w:rFonts w:ascii="宋体"/>
          <w:color w:val="000000" w:themeColor="text1"/>
          <w:kern w:val="0"/>
        </w:rPr>
      </w:pPr>
      <w:r w:rsidRPr="00B12FE0">
        <w:rPr>
          <w:rFonts w:ascii="宋体" w:hint="eastAsia"/>
          <w:color w:val="000000" w:themeColor="text1"/>
          <w:kern w:val="0"/>
        </w:rPr>
        <w:t>本项目后装机初装源/</w:t>
      </w:r>
      <w:proofErr w:type="gramStart"/>
      <w:r w:rsidRPr="00B12FE0">
        <w:rPr>
          <w:rFonts w:ascii="宋体" w:hint="eastAsia"/>
          <w:color w:val="000000" w:themeColor="text1"/>
          <w:kern w:val="0"/>
        </w:rPr>
        <w:t>换源均</w:t>
      </w:r>
      <w:proofErr w:type="gramEnd"/>
      <w:r w:rsidRPr="00B12FE0">
        <w:rPr>
          <w:rFonts w:ascii="宋体" w:hint="eastAsia"/>
          <w:color w:val="000000" w:themeColor="text1"/>
          <w:kern w:val="0"/>
        </w:rPr>
        <w:t>由持有辐射安全许可证并具有相应资质的单位负责，本项目辐射工作人员不</w:t>
      </w:r>
      <w:proofErr w:type="gramStart"/>
      <w:r w:rsidRPr="00B12FE0">
        <w:rPr>
          <w:rFonts w:ascii="宋体" w:hint="eastAsia"/>
          <w:color w:val="000000" w:themeColor="text1"/>
          <w:kern w:val="0"/>
        </w:rPr>
        <w:t>从事换源</w:t>
      </w:r>
      <w:proofErr w:type="gramEnd"/>
      <w:r w:rsidRPr="00B12FE0">
        <w:rPr>
          <w:rFonts w:ascii="宋体" w:hint="eastAsia"/>
          <w:color w:val="000000" w:themeColor="text1"/>
          <w:kern w:val="0"/>
        </w:rPr>
        <w:t>/倒装源的操作</w:t>
      </w:r>
      <w:r w:rsidRPr="00B12FE0">
        <w:rPr>
          <w:rFonts w:ascii="宋体"/>
          <w:color w:val="000000" w:themeColor="text1"/>
          <w:kern w:val="0"/>
        </w:rPr>
        <w:t>，</w:t>
      </w:r>
      <w:r w:rsidRPr="00B12FE0">
        <w:rPr>
          <w:rFonts w:ascii="宋体" w:hint="eastAsia"/>
          <w:color w:val="000000" w:themeColor="text1"/>
          <w:kern w:val="0"/>
        </w:rPr>
        <w:t>由专业技术人员进行，</w:t>
      </w:r>
      <w:proofErr w:type="gramStart"/>
      <w:r w:rsidRPr="00B12FE0">
        <w:rPr>
          <w:rFonts w:ascii="宋体" w:hint="eastAsia"/>
          <w:color w:val="000000" w:themeColor="text1"/>
          <w:kern w:val="0"/>
        </w:rPr>
        <w:t>装源现场</w:t>
      </w:r>
      <w:proofErr w:type="gramEnd"/>
      <w:r w:rsidRPr="00B12FE0">
        <w:rPr>
          <w:rFonts w:ascii="宋体" w:hint="eastAsia"/>
          <w:color w:val="000000" w:themeColor="text1"/>
          <w:kern w:val="0"/>
        </w:rPr>
        <w:t>在后装机房内。</w:t>
      </w:r>
    </w:p>
    <w:p w14:paraId="4DC6E76E" w14:textId="77777777" w:rsidR="00A67F21" w:rsidRPr="00B12FE0" w:rsidRDefault="00000000">
      <w:pPr>
        <w:adjustRightInd w:val="0"/>
        <w:snapToGrid w:val="0"/>
        <w:spacing w:line="360" w:lineRule="auto"/>
        <w:ind w:firstLineChars="200" w:firstLine="480"/>
        <w:rPr>
          <w:color w:val="000000" w:themeColor="text1"/>
        </w:rPr>
      </w:pPr>
      <w:r w:rsidRPr="00B12FE0">
        <w:rPr>
          <w:rFonts w:ascii="宋体" w:hint="eastAsia"/>
          <w:color w:val="000000" w:themeColor="text1"/>
          <w:kern w:val="0"/>
        </w:rPr>
        <w:t>初装源/</w:t>
      </w:r>
      <w:proofErr w:type="gramStart"/>
      <w:r w:rsidRPr="00B12FE0">
        <w:rPr>
          <w:rFonts w:ascii="宋体" w:hint="eastAsia"/>
          <w:color w:val="000000" w:themeColor="text1"/>
          <w:kern w:val="0"/>
        </w:rPr>
        <w:t>换源必须</w:t>
      </w:r>
      <w:proofErr w:type="gramEnd"/>
      <w:r w:rsidRPr="00B12FE0">
        <w:rPr>
          <w:rFonts w:ascii="宋体" w:hint="eastAsia"/>
          <w:color w:val="000000" w:themeColor="text1"/>
          <w:kern w:val="0"/>
        </w:rPr>
        <w:t>遵循放射防护的操作章程，在有关剂量监护下操作，经过充分准备，周密部署。放射源装入后装机内后对设备表面剂量进行监测，监测合格后方能移交医院使</w:t>
      </w:r>
      <w:r w:rsidRPr="00B12FE0">
        <w:rPr>
          <w:color w:val="000000" w:themeColor="text1"/>
          <w:kern w:val="0"/>
        </w:rPr>
        <w:t>用。后装治疗室防护门日常关闭，无关人员不能进入。</w:t>
      </w:r>
      <w:r w:rsidRPr="00B12FE0">
        <w:rPr>
          <w:rFonts w:hint="eastAsia"/>
          <w:color w:val="000000" w:themeColor="text1"/>
          <w:szCs w:val="32"/>
        </w:rPr>
        <w:t>后装机</w:t>
      </w:r>
      <w:r w:rsidRPr="00B12FE0">
        <w:rPr>
          <w:color w:val="000000" w:themeColor="text1"/>
        </w:rPr>
        <w:t>更换的废</w:t>
      </w:r>
      <w:r w:rsidRPr="00B12FE0">
        <w:rPr>
          <w:color w:val="000000" w:themeColor="text1"/>
          <w:vertAlign w:val="superscript"/>
        </w:rPr>
        <w:t>192</w:t>
      </w:r>
      <w:r w:rsidRPr="00B12FE0">
        <w:rPr>
          <w:color w:val="000000" w:themeColor="text1"/>
        </w:rPr>
        <w:t>Ir</w:t>
      </w:r>
      <w:r w:rsidRPr="00B12FE0">
        <w:rPr>
          <w:color w:val="000000" w:themeColor="text1"/>
        </w:rPr>
        <w:t>放射源</w:t>
      </w:r>
      <w:r w:rsidRPr="00B12FE0">
        <w:rPr>
          <w:rFonts w:hint="eastAsia"/>
          <w:color w:val="000000" w:themeColor="text1"/>
        </w:rPr>
        <w:t>应当按照废旧放射源返回合同规定，将废旧放射源交回生产单位或者返回原出口方。</w:t>
      </w:r>
    </w:p>
    <w:p w14:paraId="62A944EB" w14:textId="77777777" w:rsidR="00A67F21" w:rsidRPr="00B12FE0" w:rsidRDefault="00000000">
      <w:pPr>
        <w:adjustRightInd w:val="0"/>
        <w:snapToGrid w:val="0"/>
        <w:spacing w:line="360" w:lineRule="auto"/>
        <w:ind w:firstLine="480"/>
        <w:rPr>
          <w:color w:val="000000" w:themeColor="text1"/>
          <w:kern w:val="0"/>
        </w:rPr>
      </w:pPr>
      <w:r w:rsidRPr="00B12FE0">
        <w:rPr>
          <w:color w:val="000000" w:themeColor="text1"/>
          <w:kern w:val="0"/>
        </w:rPr>
        <w:t>（</w:t>
      </w:r>
      <w:r w:rsidRPr="00B12FE0">
        <w:rPr>
          <w:color w:val="000000" w:themeColor="text1"/>
          <w:kern w:val="0"/>
        </w:rPr>
        <w:t>5</w:t>
      </w:r>
      <w:r w:rsidRPr="00B12FE0">
        <w:rPr>
          <w:color w:val="000000" w:themeColor="text1"/>
          <w:kern w:val="0"/>
        </w:rPr>
        <w:t>）其他防护措施</w:t>
      </w:r>
    </w:p>
    <w:p w14:paraId="12C5E309" w14:textId="77777777" w:rsidR="00A67F21" w:rsidRPr="00B12FE0" w:rsidRDefault="00000000">
      <w:pPr>
        <w:autoSpaceDE w:val="0"/>
        <w:autoSpaceDN w:val="0"/>
        <w:adjustRightInd w:val="0"/>
        <w:spacing w:line="360" w:lineRule="auto"/>
        <w:ind w:firstLine="480"/>
        <w:jc w:val="left"/>
        <w:rPr>
          <w:color w:val="000000" w:themeColor="text1"/>
          <w:kern w:val="0"/>
          <w:szCs w:val="24"/>
        </w:rPr>
      </w:pPr>
      <w:r w:rsidRPr="00B12FE0">
        <w:rPr>
          <w:rFonts w:ascii="宋体" w:hAnsi="宋体" w:cs="宋体" w:hint="eastAsia"/>
          <w:color w:val="000000" w:themeColor="text1"/>
          <w:kern w:val="0"/>
          <w:szCs w:val="24"/>
        </w:rPr>
        <w:t>①</w:t>
      </w:r>
      <w:r w:rsidRPr="00B12FE0">
        <w:rPr>
          <w:color w:val="000000" w:themeColor="text1"/>
          <w:kern w:val="0"/>
          <w:szCs w:val="24"/>
        </w:rPr>
        <w:t>防护门为电动移门，防护门与墙搭接处应尽可能减小缝隙漏泄辐射，防护门宽于门洞的部分应大于</w:t>
      </w:r>
      <w:r w:rsidRPr="00B12FE0">
        <w:rPr>
          <w:color w:val="000000" w:themeColor="text1"/>
          <w:kern w:val="0"/>
          <w:szCs w:val="24"/>
        </w:rPr>
        <w:t>“</w:t>
      </w:r>
      <w:r w:rsidRPr="00B12FE0">
        <w:rPr>
          <w:color w:val="000000" w:themeColor="text1"/>
          <w:kern w:val="0"/>
          <w:szCs w:val="24"/>
        </w:rPr>
        <w:t>门</w:t>
      </w:r>
      <w:r w:rsidRPr="00B12FE0">
        <w:rPr>
          <w:color w:val="000000" w:themeColor="text1"/>
          <w:kern w:val="0"/>
          <w:szCs w:val="24"/>
        </w:rPr>
        <w:t>-</w:t>
      </w:r>
      <w:r w:rsidRPr="00B12FE0">
        <w:rPr>
          <w:color w:val="000000" w:themeColor="text1"/>
          <w:kern w:val="0"/>
          <w:szCs w:val="24"/>
        </w:rPr>
        <w:t>墙</w:t>
      </w:r>
      <w:r w:rsidRPr="00B12FE0">
        <w:rPr>
          <w:color w:val="000000" w:themeColor="text1"/>
          <w:kern w:val="0"/>
          <w:szCs w:val="24"/>
        </w:rPr>
        <w:t>”</w:t>
      </w:r>
      <w:r w:rsidRPr="00B12FE0">
        <w:rPr>
          <w:color w:val="000000" w:themeColor="text1"/>
          <w:kern w:val="0"/>
          <w:szCs w:val="24"/>
        </w:rPr>
        <w:t>间隙的十倍。</w:t>
      </w:r>
    </w:p>
    <w:p w14:paraId="4CA386D1" w14:textId="77777777" w:rsidR="00A67F21" w:rsidRPr="00B12FE0" w:rsidRDefault="00000000">
      <w:pPr>
        <w:autoSpaceDE w:val="0"/>
        <w:autoSpaceDN w:val="0"/>
        <w:adjustRightInd w:val="0"/>
        <w:spacing w:line="360" w:lineRule="auto"/>
        <w:ind w:firstLine="480"/>
        <w:jc w:val="left"/>
        <w:rPr>
          <w:color w:val="000000" w:themeColor="text1"/>
          <w:kern w:val="0"/>
          <w:szCs w:val="24"/>
        </w:rPr>
      </w:pPr>
      <w:r w:rsidRPr="00B12FE0">
        <w:rPr>
          <w:rFonts w:ascii="宋体" w:hAnsi="宋体" w:cs="宋体" w:hint="eastAsia"/>
          <w:color w:val="000000" w:themeColor="text1"/>
          <w:kern w:val="0"/>
          <w:szCs w:val="24"/>
        </w:rPr>
        <w:t>②</w:t>
      </w:r>
      <w:r w:rsidRPr="00B12FE0">
        <w:rPr>
          <w:color w:val="000000" w:themeColor="text1"/>
          <w:kern w:val="0"/>
          <w:szCs w:val="24"/>
        </w:rPr>
        <w:t>本项目后装机工作人员共需配备</w:t>
      </w:r>
      <w:r w:rsidRPr="00B12FE0">
        <w:rPr>
          <w:color w:val="000000" w:themeColor="text1"/>
          <w:kern w:val="0"/>
          <w:szCs w:val="24"/>
        </w:rPr>
        <w:t>1</w:t>
      </w:r>
      <w:r w:rsidRPr="00B12FE0">
        <w:rPr>
          <w:color w:val="000000" w:themeColor="text1"/>
          <w:kern w:val="0"/>
          <w:szCs w:val="24"/>
        </w:rPr>
        <w:t>台个人剂量报警仪和</w:t>
      </w:r>
      <w:r w:rsidRPr="00B12FE0">
        <w:rPr>
          <w:rFonts w:hint="eastAsia"/>
          <w:color w:val="000000" w:themeColor="text1"/>
          <w:kern w:val="0"/>
          <w:szCs w:val="24"/>
        </w:rPr>
        <w:t>4</w:t>
      </w:r>
      <w:r w:rsidRPr="00B12FE0">
        <w:rPr>
          <w:color w:val="000000" w:themeColor="text1"/>
          <w:kern w:val="0"/>
          <w:szCs w:val="24"/>
        </w:rPr>
        <w:t>枚</w:t>
      </w:r>
      <w:r w:rsidRPr="00B12FE0">
        <w:rPr>
          <w:color w:val="000000" w:themeColor="text1"/>
          <w:kern w:val="0"/>
          <w:szCs w:val="24"/>
        </w:rPr>
        <w:t>TLD</w:t>
      </w:r>
      <w:r w:rsidRPr="00B12FE0">
        <w:rPr>
          <w:color w:val="000000" w:themeColor="text1"/>
          <w:kern w:val="0"/>
          <w:szCs w:val="24"/>
        </w:rPr>
        <w:t>个人剂量计。</w:t>
      </w:r>
    </w:p>
    <w:p w14:paraId="3877E2C2" w14:textId="77777777" w:rsidR="00A67F21" w:rsidRPr="00B12FE0" w:rsidRDefault="00000000">
      <w:pPr>
        <w:autoSpaceDE w:val="0"/>
        <w:autoSpaceDN w:val="0"/>
        <w:adjustRightInd w:val="0"/>
        <w:spacing w:line="360" w:lineRule="auto"/>
        <w:ind w:firstLine="480"/>
        <w:jc w:val="left"/>
        <w:rPr>
          <w:color w:val="000000" w:themeColor="text1"/>
          <w:kern w:val="0"/>
          <w:szCs w:val="24"/>
        </w:rPr>
      </w:pPr>
      <w:r w:rsidRPr="00B12FE0">
        <w:rPr>
          <w:rFonts w:ascii="宋体" w:hAnsi="宋体" w:cs="宋体" w:hint="eastAsia"/>
          <w:color w:val="000000" w:themeColor="text1"/>
          <w:kern w:val="0"/>
          <w:szCs w:val="24"/>
        </w:rPr>
        <w:t>③</w:t>
      </w:r>
      <w:r w:rsidRPr="00B12FE0">
        <w:rPr>
          <w:color w:val="000000" w:themeColor="text1"/>
          <w:kern w:val="0"/>
          <w:szCs w:val="24"/>
        </w:rPr>
        <w:t>配备</w:t>
      </w:r>
      <w:r w:rsidRPr="00B12FE0">
        <w:rPr>
          <w:color w:val="000000" w:themeColor="text1"/>
          <w:kern w:val="0"/>
          <w:szCs w:val="24"/>
        </w:rPr>
        <w:t>1</w:t>
      </w:r>
      <w:r w:rsidRPr="00B12FE0">
        <w:rPr>
          <w:color w:val="000000" w:themeColor="text1"/>
          <w:kern w:val="0"/>
          <w:szCs w:val="24"/>
        </w:rPr>
        <w:t>台便携式</w:t>
      </w:r>
      <w:r w:rsidRPr="00B12FE0">
        <w:rPr>
          <w:color w:val="000000" w:themeColor="text1"/>
          <w:kern w:val="0"/>
          <w:szCs w:val="24"/>
        </w:rPr>
        <w:t>X-γ</w:t>
      </w:r>
      <w:r w:rsidRPr="00B12FE0">
        <w:rPr>
          <w:color w:val="000000" w:themeColor="text1"/>
          <w:kern w:val="0"/>
          <w:szCs w:val="24"/>
        </w:rPr>
        <w:t>剂量率监测仪（放疗科共用一台）；</w:t>
      </w:r>
    </w:p>
    <w:p w14:paraId="6A42F65B" w14:textId="77777777" w:rsidR="00A67F21" w:rsidRPr="00B12FE0" w:rsidRDefault="00000000">
      <w:pPr>
        <w:autoSpaceDE w:val="0"/>
        <w:autoSpaceDN w:val="0"/>
        <w:adjustRightInd w:val="0"/>
        <w:spacing w:line="360" w:lineRule="auto"/>
        <w:ind w:firstLine="480"/>
        <w:jc w:val="left"/>
        <w:rPr>
          <w:color w:val="000000" w:themeColor="text1"/>
          <w:kern w:val="0"/>
          <w:szCs w:val="24"/>
        </w:rPr>
      </w:pPr>
      <w:r w:rsidRPr="00B12FE0">
        <w:rPr>
          <w:rFonts w:ascii="宋体" w:hAnsi="宋体" w:cs="宋体" w:hint="eastAsia"/>
          <w:color w:val="000000" w:themeColor="text1"/>
          <w:kern w:val="0"/>
          <w:szCs w:val="24"/>
        </w:rPr>
        <w:t>④</w:t>
      </w:r>
      <w:r w:rsidRPr="00B12FE0">
        <w:rPr>
          <w:color w:val="000000" w:themeColor="text1"/>
          <w:kern w:val="0"/>
          <w:szCs w:val="24"/>
        </w:rPr>
        <w:t>操作室上张贴相应的辐射工作制度、操作规程、岗位职责等；</w:t>
      </w:r>
    </w:p>
    <w:p w14:paraId="25F1DEA5" w14:textId="77777777" w:rsidR="00A67F21" w:rsidRPr="00B12FE0" w:rsidRDefault="00000000">
      <w:pPr>
        <w:adjustRightInd w:val="0"/>
        <w:snapToGrid w:val="0"/>
        <w:spacing w:line="360" w:lineRule="auto"/>
        <w:ind w:firstLine="480"/>
        <w:rPr>
          <w:color w:val="000000" w:themeColor="text1"/>
        </w:rPr>
      </w:pPr>
      <w:r w:rsidRPr="00B12FE0">
        <w:rPr>
          <w:rFonts w:ascii="宋体" w:hAnsi="宋体" w:hint="eastAsia"/>
          <w:color w:val="000000" w:themeColor="text1"/>
        </w:rPr>
        <w:t>⑤</w:t>
      </w:r>
      <w:r w:rsidRPr="00B12FE0">
        <w:rPr>
          <w:color w:val="000000" w:themeColor="text1"/>
        </w:rPr>
        <w:t>受检者出入口门外</w:t>
      </w:r>
      <w:r w:rsidRPr="00B12FE0">
        <w:rPr>
          <w:rFonts w:hint="eastAsia"/>
          <w:color w:val="000000" w:themeColor="text1"/>
        </w:rPr>
        <w:t>地面</w:t>
      </w:r>
      <w:r w:rsidRPr="00B12FE0">
        <w:rPr>
          <w:color w:val="000000" w:themeColor="text1"/>
        </w:rPr>
        <w:t>应设置黄色警戒线，告诫无关人员请勿靠近。</w:t>
      </w:r>
    </w:p>
    <w:p w14:paraId="4AF734C3" w14:textId="77777777" w:rsidR="00A67F21" w:rsidRPr="00B12FE0" w:rsidRDefault="00000000">
      <w:pPr>
        <w:adjustRightInd w:val="0"/>
        <w:snapToGrid w:val="0"/>
        <w:spacing w:line="360" w:lineRule="auto"/>
        <w:jc w:val="left"/>
        <w:rPr>
          <w:b/>
          <w:bCs/>
          <w:color w:val="000000" w:themeColor="text1"/>
        </w:rPr>
      </w:pPr>
      <w:r w:rsidRPr="00B12FE0">
        <w:rPr>
          <w:b/>
          <w:color w:val="000000" w:themeColor="text1"/>
          <w:kern w:val="0"/>
        </w:rPr>
        <w:t>10.1.2.2.3</w:t>
      </w:r>
      <w:r w:rsidRPr="00B12FE0">
        <w:rPr>
          <w:rFonts w:hint="eastAsia"/>
          <w:b/>
          <w:bCs/>
          <w:color w:val="000000" w:themeColor="text1"/>
        </w:rPr>
        <w:t>电缆、通风管线布设</w:t>
      </w:r>
    </w:p>
    <w:p w14:paraId="08AFE7FF" w14:textId="77777777" w:rsidR="00A67F21" w:rsidRPr="00B12FE0" w:rsidRDefault="00000000">
      <w:pPr>
        <w:adjustRightInd w:val="0"/>
        <w:snapToGrid w:val="0"/>
        <w:spacing w:line="360" w:lineRule="auto"/>
        <w:ind w:firstLine="480"/>
        <w:rPr>
          <w:color w:val="000000" w:themeColor="text1"/>
          <w:kern w:val="0"/>
        </w:rPr>
      </w:pPr>
      <w:r w:rsidRPr="00B12FE0">
        <w:rPr>
          <w:rFonts w:ascii="宋体" w:hAnsi="宋体" w:hint="eastAsia"/>
          <w:color w:val="000000" w:themeColor="text1"/>
          <w:kern w:val="0"/>
        </w:rPr>
        <w:t>①</w:t>
      </w:r>
      <w:r w:rsidRPr="00B12FE0">
        <w:rPr>
          <w:rFonts w:hint="eastAsia"/>
          <w:color w:val="000000" w:themeColor="text1"/>
          <w:kern w:val="0"/>
        </w:rPr>
        <w:t>通风</w:t>
      </w:r>
    </w:p>
    <w:p w14:paraId="5F63DC3B" w14:textId="77777777" w:rsidR="00A67F21" w:rsidRPr="00B12FE0" w:rsidRDefault="00000000">
      <w:pPr>
        <w:snapToGrid w:val="0"/>
        <w:spacing w:line="360" w:lineRule="auto"/>
        <w:ind w:firstLineChars="200" w:firstLine="480"/>
        <w:contextualSpacing/>
        <w:rPr>
          <w:color w:val="000000" w:themeColor="text1"/>
          <w:kern w:val="0"/>
        </w:rPr>
      </w:pPr>
      <w:r w:rsidRPr="00B12FE0">
        <w:rPr>
          <w:rFonts w:hint="eastAsia"/>
          <w:color w:val="000000" w:themeColor="text1"/>
          <w:kern w:val="0"/>
        </w:rPr>
        <w:t>后装机运行过程中，治疗室空气中会产生一定的臭氧和氮氧化物。据</w:t>
      </w:r>
      <w:r w:rsidRPr="00B12FE0">
        <w:rPr>
          <w:rFonts w:hint="eastAsia"/>
          <w:color w:val="000000" w:themeColor="text1"/>
        </w:rPr>
        <w:t>《放射治疗辐射安全与防护要求》（</w:t>
      </w:r>
      <w:r w:rsidRPr="00B12FE0">
        <w:rPr>
          <w:color w:val="000000" w:themeColor="text1"/>
        </w:rPr>
        <w:t>HJ1198-2021</w:t>
      </w:r>
      <w:r w:rsidRPr="00B12FE0">
        <w:rPr>
          <w:rFonts w:hint="eastAsia"/>
          <w:color w:val="000000" w:themeColor="text1"/>
        </w:rPr>
        <w:t>）</w:t>
      </w:r>
      <w:r w:rsidRPr="00B12FE0">
        <w:rPr>
          <w:rFonts w:hint="eastAsia"/>
          <w:color w:val="000000" w:themeColor="text1"/>
          <w:kern w:val="0"/>
        </w:rPr>
        <w:t>要求，治疗室的通风换气次数应不小于</w:t>
      </w:r>
      <w:r w:rsidRPr="00B12FE0">
        <w:rPr>
          <w:color w:val="000000" w:themeColor="text1"/>
          <w:kern w:val="0"/>
        </w:rPr>
        <w:t>4</w:t>
      </w:r>
      <w:r w:rsidRPr="00B12FE0">
        <w:rPr>
          <w:rFonts w:hint="eastAsia"/>
          <w:color w:val="000000" w:themeColor="text1"/>
          <w:kern w:val="0"/>
        </w:rPr>
        <w:t>次</w:t>
      </w:r>
      <w:r w:rsidRPr="00B12FE0">
        <w:rPr>
          <w:color w:val="000000" w:themeColor="text1"/>
          <w:kern w:val="0"/>
        </w:rPr>
        <w:t>/</w:t>
      </w:r>
      <w:r w:rsidRPr="00B12FE0">
        <w:rPr>
          <w:rFonts w:hint="eastAsia"/>
          <w:color w:val="000000" w:themeColor="text1"/>
          <w:kern w:val="0"/>
        </w:rPr>
        <w:t>小时。本项目后装机房</w:t>
      </w:r>
      <w:r w:rsidRPr="00B12FE0">
        <w:rPr>
          <w:rFonts w:hint="eastAsia"/>
          <w:color w:val="000000" w:themeColor="text1"/>
        </w:rPr>
        <w:t>治疗室设置强制排风系统，采取全排全送的通风方式，</w:t>
      </w:r>
      <w:r w:rsidRPr="00B12FE0">
        <w:rPr>
          <w:color w:val="000000" w:themeColor="text1"/>
        </w:rPr>
        <w:t>拟安装有效通风量不小于</w:t>
      </w:r>
      <w:r w:rsidRPr="00B12FE0">
        <w:rPr>
          <w:rFonts w:hint="eastAsia"/>
          <w:color w:val="000000" w:themeColor="text1"/>
        </w:rPr>
        <w:t>2000</w:t>
      </w:r>
      <w:r w:rsidRPr="00B12FE0">
        <w:rPr>
          <w:color w:val="000000" w:themeColor="text1"/>
        </w:rPr>
        <w:t>m</w:t>
      </w:r>
      <w:r w:rsidRPr="00B12FE0">
        <w:rPr>
          <w:color w:val="000000" w:themeColor="text1"/>
          <w:vertAlign w:val="superscript"/>
        </w:rPr>
        <w:t>3</w:t>
      </w:r>
      <w:r w:rsidRPr="00B12FE0">
        <w:rPr>
          <w:color w:val="000000" w:themeColor="text1"/>
        </w:rPr>
        <w:t>/h</w:t>
      </w:r>
      <w:r w:rsidRPr="00B12FE0">
        <w:rPr>
          <w:color w:val="000000" w:themeColor="text1"/>
        </w:rPr>
        <w:t>的风机进行通风</w:t>
      </w:r>
      <w:r w:rsidRPr="00B12FE0">
        <w:rPr>
          <w:rFonts w:hint="eastAsia"/>
          <w:color w:val="000000" w:themeColor="text1"/>
        </w:rPr>
        <w:t>，后装机机房有效容积约</w:t>
      </w:r>
      <w:r w:rsidRPr="00B12FE0">
        <w:rPr>
          <w:rFonts w:hint="eastAsia"/>
          <w:color w:val="000000" w:themeColor="text1"/>
        </w:rPr>
        <w:t>443m</w:t>
      </w:r>
      <w:r w:rsidRPr="00B12FE0">
        <w:rPr>
          <w:rFonts w:hint="eastAsia"/>
          <w:color w:val="000000" w:themeColor="text1"/>
          <w:vertAlign w:val="superscript"/>
        </w:rPr>
        <w:t>3</w:t>
      </w:r>
      <w:r w:rsidRPr="00B12FE0">
        <w:rPr>
          <w:rFonts w:hint="eastAsia"/>
          <w:color w:val="000000" w:themeColor="text1"/>
        </w:rPr>
        <w:t>，</w:t>
      </w:r>
      <w:r w:rsidRPr="00B12FE0">
        <w:rPr>
          <w:color w:val="000000" w:themeColor="text1"/>
        </w:rPr>
        <w:t>通风换气次数不小于</w:t>
      </w:r>
      <w:r w:rsidRPr="00B12FE0">
        <w:rPr>
          <w:color w:val="000000" w:themeColor="text1"/>
        </w:rPr>
        <w:t>4</w:t>
      </w:r>
      <w:r w:rsidRPr="00B12FE0">
        <w:rPr>
          <w:color w:val="000000" w:themeColor="text1"/>
        </w:rPr>
        <w:t>次</w:t>
      </w:r>
      <w:r w:rsidRPr="00B12FE0">
        <w:rPr>
          <w:color w:val="000000" w:themeColor="text1"/>
        </w:rPr>
        <w:t>/h</w:t>
      </w:r>
      <w:r w:rsidRPr="00B12FE0">
        <w:rPr>
          <w:rFonts w:hint="eastAsia"/>
          <w:color w:val="000000" w:themeColor="text1"/>
          <w:kern w:val="0"/>
        </w:rPr>
        <w:t>。</w:t>
      </w:r>
    </w:p>
    <w:p w14:paraId="15049EED"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kern w:val="0"/>
        </w:rPr>
        <w:t>排风和新风管道拟以“</w:t>
      </w:r>
      <w:r w:rsidRPr="00B12FE0">
        <w:rPr>
          <w:rFonts w:hint="eastAsia"/>
          <w:color w:val="000000" w:themeColor="text1"/>
          <w:kern w:val="0"/>
        </w:rPr>
        <w:t>U</w:t>
      </w:r>
      <w:r w:rsidRPr="00B12FE0">
        <w:rPr>
          <w:rFonts w:hint="eastAsia"/>
          <w:color w:val="000000" w:themeColor="text1"/>
          <w:kern w:val="0"/>
        </w:rPr>
        <w:t>”字型穿墙，</w:t>
      </w:r>
      <w:proofErr w:type="gramStart"/>
      <w:r w:rsidRPr="00B12FE0">
        <w:rPr>
          <w:rFonts w:hint="eastAsia"/>
          <w:color w:val="000000" w:themeColor="text1"/>
          <w:kern w:val="0"/>
        </w:rPr>
        <w:t>穿过迷道上方</w:t>
      </w:r>
      <w:proofErr w:type="gramEnd"/>
      <w:r w:rsidRPr="00B12FE0">
        <w:rPr>
          <w:rFonts w:hint="eastAsia"/>
          <w:color w:val="000000" w:themeColor="text1"/>
          <w:kern w:val="0"/>
        </w:rPr>
        <w:t>屋顶进入机房，</w:t>
      </w:r>
      <w:proofErr w:type="gramStart"/>
      <w:r w:rsidRPr="00B12FE0">
        <w:rPr>
          <w:rFonts w:hint="eastAsia"/>
          <w:color w:val="000000" w:themeColor="text1"/>
          <w:kern w:val="0"/>
        </w:rPr>
        <w:t>绕经迷道内</w:t>
      </w:r>
      <w:r w:rsidRPr="00B12FE0">
        <w:rPr>
          <w:rFonts w:hint="eastAsia"/>
          <w:color w:val="000000" w:themeColor="text1"/>
          <w:kern w:val="0"/>
        </w:rPr>
        <w:lastRenderedPageBreak/>
        <w:t>墙</w:t>
      </w:r>
      <w:proofErr w:type="gramEnd"/>
      <w:r w:rsidRPr="00B12FE0">
        <w:rPr>
          <w:rFonts w:hint="eastAsia"/>
          <w:color w:val="000000" w:themeColor="text1"/>
          <w:kern w:val="0"/>
        </w:rPr>
        <w:t>进入治疗室，上进下排。</w:t>
      </w:r>
      <w:r w:rsidRPr="00B12FE0">
        <w:rPr>
          <w:color w:val="000000" w:themeColor="text1"/>
          <w:kern w:val="0"/>
        </w:rPr>
        <w:t>2</w:t>
      </w:r>
      <w:r w:rsidRPr="00B12FE0">
        <w:rPr>
          <w:rFonts w:hint="eastAsia"/>
          <w:color w:val="000000" w:themeColor="text1"/>
          <w:kern w:val="0"/>
        </w:rPr>
        <w:t>个新</w:t>
      </w:r>
      <w:proofErr w:type="gramStart"/>
      <w:r w:rsidRPr="00B12FE0">
        <w:rPr>
          <w:rFonts w:hint="eastAsia"/>
          <w:color w:val="000000" w:themeColor="text1"/>
          <w:kern w:val="0"/>
        </w:rPr>
        <w:t>风口布</w:t>
      </w:r>
      <w:proofErr w:type="gramEnd"/>
      <w:r w:rsidRPr="00B12FE0">
        <w:rPr>
          <w:rFonts w:hint="eastAsia"/>
          <w:color w:val="000000" w:themeColor="text1"/>
          <w:kern w:val="0"/>
        </w:rPr>
        <w:t>排在装饰天花板上西侧；臭氧密度大于空气平均密度，因此排风口拟设置在机房非</w:t>
      </w:r>
      <w:proofErr w:type="gramStart"/>
      <w:r w:rsidRPr="00B12FE0">
        <w:rPr>
          <w:rFonts w:hint="eastAsia"/>
          <w:color w:val="000000" w:themeColor="text1"/>
          <w:kern w:val="0"/>
        </w:rPr>
        <w:t>主束投照</w:t>
      </w:r>
      <w:proofErr w:type="gramEnd"/>
      <w:r w:rsidRPr="00B12FE0">
        <w:rPr>
          <w:rFonts w:hint="eastAsia"/>
          <w:color w:val="000000" w:themeColor="text1"/>
          <w:kern w:val="0"/>
        </w:rPr>
        <w:t>部位南侧墙角处，风管底部（吸风口）离地</w:t>
      </w:r>
      <w:r w:rsidRPr="00B12FE0">
        <w:rPr>
          <w:rFonts w:hint="eastAsia"/>
          <w:color w:val="000000" w:themeColor="text1"/>
          <w:kern w:val="0"/>
        </w:rPr>
        <w:t>30</w:t>
      </w:r>
      <w:r w:rsidRPr="00B12FE0">
        <w:rPr>
          <w:rFonts w:hint="eastAsia"/>
          <w:color w:val="000000" w:themeColor="text1"/>
          <w:kern w:val="0"/>
        </w:rPr>
        <w:t>～</w:t>
      </w:r>
      <w:r w:rsidRPr="00B12FE0">
        <w:rPr>
          <w:rFonts w:hint="eastAsia"/>
          <w:color w:val="000000" w:themeColor="text1"/>
          <w:kern w:val="0"/>
        </w:rPr>
        <w:t>40cm</w:t>
      </w:r>
      <w:r w:rsidRPr="00B12FE0">
        <w:rPr>
          <w:rFonts w:hint="eastAsia"/>
          <w:color w:val="000000" w:themeColor="text1"/>
          <w:kern w:val="0"/>
        </w:rPr>
        <w:t>。</w:t>
      </w:r>
      <w:r w:rsidRPr="00B12FE0">
        <w:rPr>
          <w:rFonts w:hint="eastAsia"/>
          <w:color w:val="000000" w:themeColor="text1"/>
        </w:rPr>
        <w:t>穿墙示意图同直线加速器机房设置形式。</w:t>
      </w:r>
    </w:p>
    <w:p w14:paraId="6D519541" w14:textId="77777777" w:rsidR="00A67F21" w:rsidRPr="00B12FE0" w:rsidRDefault="00000000">
      <w:pPr>
        <w:adjustRightInd w:val="0"/>
        <w:snapToGrid w:val="0"/>
        <w:spacing w:line="360" w:lineRule="auto"/>
        <w:ind w:firstLine="480"/>
        <w:rPr>
          <w:color w:val="000000" w:themeColor="text1"/>
          <w:kern w:val="0"/>
        </w:rPr>
      </w:pPr>
      <w:r w:rsidRPr="00B12FE0">
        <w:rPr>
          <w:color w:val="000000" w:themeColor="text1"/>
          <w:kern w:val="0"/>
        </w:rPr>
        <w:fldChar w:fldCharType="begin"/>
      </w:r>
      <w:r w:rsidRPr="00B12FE0">
        <w:rPr>
          <w:color w:val="000000" w:themeColor="text1"/>
          <w:kern w:val="0"/>
        </w:rPr>
        <w:instrText xml:space="preserve"> = 2 \* GB3 </w:instrText>
      </w:r>
      <w:r w:rsidRPr="00B12FE0">
        <w:rPr>
          <w:color w:val="000000" w:themeColor="text1"/>
          <w:kern w:val="0"/>
        </w:rPr>
        <w:fldChar w:fldCharType="separate"/>
      </w:r>
      <w:r w:rsidRPr="00B12FE0">
        <w:rPr>
          <w:rFonts w:ascii="宋体" w:hAnsi="宋体" w:hint="eastAsia"/>
          <w:color w:val="000000" w:themeColor="text1"/>
          <w:kern w:val="0"/>
        </w:rPr>
        <w:t>②</w:t>
      </w:r>
      <w:r w:rsidRPr="00B12FE0">
        <w:rPr>
          <w:color w:val="000000" w:themeColor="text1"/>
          <w:kern w:val="0"/>
        </w:rPr>
        <w:fldChar w:fldCharType="end"/>
      </w:r>
      <w:r w:rsidRPr="00B12FE0">
        <w:rPr>
          <w:rFonts w:hint="eastAsia"/>
          <w:color w:val="000000" w:themeColor="text1"/>
          <w:kern w:val="0"/>
        </w:rPr>
        <w:t>电缆及水管布设</w:t>
      </w:r>
    </w:p>
    <w:p w14:paraId="6DD7D06D"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加速器治疗室与控制室操作台之间的各种电缆管线，室内部分以地沟形式在地坪以下布设，采用“</w:t>
      </w:r>
      <w:r w:rsidRPr="00B12FE0">
        <w:rPr>
          <w:rFonts w:hint="eastAsia"/>
          <w:color w:val="000000" w:themeColor="text1"/>
        </w:rPr>
        <w:t>U</w:t>
      </w:r>
      <w:r w:rsidRPr="00B12FE0">
        <w:rPr>
          <w:rFonts w:hint="eastAsia"/>
          <w:color w:val="000000" w:themeColor="text1"/>
        </w:rPr>
        <w:t>”型路径设计，电缆沟盖板采用</w:t>
      </w:r>
      <w:r w:rsidRPr="00B12FE0">
        <w:rPr>
          <w:color w:val="000000" w:themeColor="text1"/>
        </w:rPr>
        <w:t>2</w:t>
      </w:r>
      <w:r w:rsidRPr="00B12FE0">
        <w:rPr>
          <w:rFonts w:hint="eastAsia"/>
          <w:color w:val="000000" w:themeColor="text1"/>
        </w:rPr>
        <w:t>mm</w:t>
      </w:r>
      <w:r w:rsidRPr="00B12FE0">
        <w:rPr>
          <w:rFonts w:hint="eastAsia"/>
          <w:color w:val="000000" w:themeColor="text1"/>
        </w:rPr>
        <w:t>厚铅板覆盖，电缆管线</w:t>
      </w:r>
      <w:r w:rsidRPr="00B12FE0">
        <w:rPr>
          <w:color w:val="000000" w:themeColor="text1"/>
        </w:rPr>
        <w:t>以</w:t>
      </w:r>
      <w:r w:rsidRPr="00B12FE0">
        <w:rPr>
          <w:rFonts w:ascii="宋体" w:hAnsi="宋体"/>
          <w:color w:val="000000" w:themeColor="text1"/>
        </w:rPr>
        <w:t>“</w:t>
      </w:r>
      <w:r w:rsidRPr="00B12FE0">
        <w:rPr>
          <w:rFonts w:hint="eastAsia"/>
          <w:color w:val="000000" w:themeColor="text1"/>
        </w:rPr>
        <w:t>U</w:t>
      </w:r>
      <w:r w:rsidRPr="00B12FE0">
        <w:rPr>
          <w:rFonts w:ascii="宋体" w:hAnsi="宋体"/>
          <w:color w:val="000000" w:themeColor="text1"/>
        </w:rPr>
        <w:t>”</w:t>
      </w:r>
      <w:r w:rsidRPr="00B12FE0">
        <w:rPr>
          <w:color w:val="000000" w:themeColor="text1"/>
        </w:rPr>
        <w:t>字型穿过迷路外墙</w:t>
      </w:r>
      <w:r w:rsidRPr="00B12FE0">
        <w:rPr>
          <w:rFonts w:hint="eastAsia"/>
          <w:color w:val="000000" w:themeColor="text1"/>
        </w:rPr>
        <w:t>，从而保证不减弱屏蔽墙体的屏蔽效果，</w:t>
      </w:r>
      <w:r w:rsidRPr="00B12FE0">
        <w:rPr>
          <w:color w:val="000000" w:themeColor="text1"/>
        </w:rPr>
        <w:t>管道穿墙方式</w:t>
      </w:r>
      <w:r w:rsidRPr="00B12FE0">
        <w:rPr>
          <w:rFonts w:hint="eastAsia"/>
          <w:color w:val="000000" w:themeColor="text1"/>
        </w:rPr>
        <w:t>同加速器机房设置形式。</w:t>
      </w:r>
    </w:p>
    <w:p w14:paraId="0B63E282" w14:textId="77777777" w:rsidR="00A67F21" w:rsidRPr="00B12FE0" w:rsidRDefault="00000000">
      <w:pPr>
        <w:adjustRightInd w:val="0"/>
        <w:snapToGrid w:val="0"/>
        <w:spacing w:line="360" w:lineRule="auto"/>
        <w:jc w:val="left"/>
        <w:rPr>
          <w:rFonts w:cs="宋体"/>
          <w:b/>
          <w:color w:val="000000" w:themeColor="text1"/>
          <w:kern w:val="0"/>
        </w:rPr>
      </w:pPr>
      <w:r w:rsidRPr="00B12FE0">
        <w:rPr>
          <w:rFonts w:cs="宋体"/>
          <w:b/>
          <w:color w:val="000000" w:themeColor="text1"/>
          <w:kern w:val="0"/>
        </w:rPr>
        <w:t>10.1.2.3</w:t>
      </w:r>
      <w:r w:rsidRPr="00B12FE0">
        <w:rPr>
          <w:rFonts w:cs="宋体" w:hint="eastAsia"/>
          <w:b/>
          <w:color w:val="000000" w:themeColor="text1"/>
          <w:kern w:val="0"/>
        </w:rPr>
        <w:t>模拟定位</w:t>
      </w:r>
      <w:r w:rsidRPr="00B12FE0">
        <w:rPr>
          <w:rFonts w:cs="宋体" w:hint="eastAsia"/>
          <w:b/>
          <w:color w:val="000000" w:themeColor="text1"/>
          <w:kern w:val="0"/>
        </w:rPr>
        <w:t>CT</w:t>
      </w:r>
    </w:p>
    <w:p w14:paraId="11F540EA" w14:textId="77777777" w:rsidR="00A67F21" w:rsidRPr="00B12FE0" w:rsidRDefault="00000000">
      <w:pPr>
        <w:keepNext/>
        <w:keepLines/>
        <w:adjustRightInd w:val="0"/>
        <w:snapToGrid w:val="0"/>
        <w:spacing w:line="360" w:lineRule="auto"/>
        <w:outlineLvl w:val="3"/>
        <w:rPr>
          <w:b/>
          <w:bCs/>
          <w:color w:val="000000" w:themeColor="text1"/>
          <w:szCs w:val="28"/>
        </w:rPr>
      </w:pPr>
      <w:r w:rsidRPr="00B12FE0">
        <w:rPr>
          <w:rFonts w:hAnsi="Arial"/>
          <w:b/>
          <w:bCs/>
          <w:color w:val="000000" w:themeColor="text1"/>
          <w:szCs w:val="28"/>
        </w:rPr>
        <w:t>10.1.2.3</w:t>
      </w:r>
      <w:r w:rsidRPr="00B12FE0">
        <w:rPr>
          <w:rFonts w:hAnsi="Arial" w:hint="eastAsia"/>
          <w:b/>
          <w:bCs/>
          <w:color w:val="000000" w:themeColor="text1"/>
          <w:szCs w:val="28"/>
        </w:rPr>
        <w:t>.</w:t>
      </w:r>
      <w:r w:rsidRPr="00B12FE0">
        <w:rPr>
          <w:rFonts w:hAnsi="Arial"/>
          <w:b/>
          <w:bCs/>
          <w:color w:val="000000" w:themeColor="text1"/>
          <w:szCs w:val="28"/>
        </w:rPr>
        <w:t>1</w:t>
      </w:r>
      <w:r w:rsidRPr="00B12FE0">
        <w:rPr>
          <w:rFonts w:hAnsi="Arial"/>
          <w:b/>
          <w:bCs/>
          <w:color w:val="000000" w:themeColor="text1"/>
          <w:szCs w:val="28"/>
        </w:rPr>
        <w:t>工作场所布局分析及分区情况</w:t>
      </w:r>
    </w:p>
    <w:p w14:paraId="08C80084" w14:textId="77777777" w:rsidR="00A67F21" w:rsidRPr="00B12FE0" w:rsidRDefault="00000000">
      <w:pPr>
        <w:adjustRightInd w:val="0"/>
        <w:snapToGrid w:val="0"/>
        <w:spacing w:line="360" w:lineRule="auto"/>
        <w:ind w:firstLineChars="200" w:firstLine="482"/>
        <w:jc w:val="left"/>
        <w:rPr>
          <w:rFonts w:cs="宋体"/>
          <w:b/>
          <w:color w:val="000000" w:themeColor="text1"/>
        </w:rPr>
      </w:pPr>
      <w:r w:rsidRPr="00B12FE0">
        <w:rPr>
          <w:rFonts w:ascii="宋体" w:hAnsi="宋体" w:cs="宋体" w:hint="eastAsia"/>
          <w:b/>
          <w:color w:val="000000" w:themeColor="text1"/>
        </w:rPr>
        <w:t>①</w:t>
      </w:r>
      <w:r w:rsidRPr="00B12FE0">
        <w:rPr>
          <w:rFonts w:cs="宋体"/>
          <w:b/>
          <w:color w:val="000000" w:themeColor="text1"/>
        </w:rPr>
        <w:t>工作场所布局分析</w:t>
      </w:r>
    </w:p>
    <w:p w14:paraId="7BC88192" w14:textId="77777777" w:rsidR="00A67F21" w:rsidRPr="00B12FE0" w:rsidRDefault="00000000">
      <w:pPr>
        <w:spacing w:line="360" w:lineRule="auto"/>
        <w:ind w:firstLineChars="200" w:firstLine="480"/>
        <w:rPr>
          <w:color w:val="000000" w:themeColor="text1"/>
        </w:rPr>
      </w:pPr>
      <w:r w:rsidRPr="00B12FE0">
        <w:rPr>
          <w:rFonts w:cs="宋体"/>
          <w:color w:val="000000" w:themeColor="text1"/>
        </w:rPr>
        <w:t>本项目</w:t>
      </w:r>
      <w:r w:rsidRPr="00B12FE0">
        <w:rPr>
          <w:rFonts w:cs="宋体"/>
          <w:color w:val="000000" w:themeColor="text1"/>
        </w:rPr>
        <w:t>1</w:t>
      </w:r>
      <w:r w:rsidRPr="00B12FE0">
        <w:rPr>
          <w:rFonts w:cs="宋体" w:hint="eastAsia"/>
          <w:color w:val="000000" w:themeColor="text1"/>
        </w:rPr>
        <w:t>间模拟定位</w:t>
      </w:r>
      <w:r w:rsidRPr="00B12FE0">
        <w:rPr>
          <w:rFonts w:cs="宋体" w:hint="eastAsia"/>
          <w:color w:val="000000" w:themeColor="text1"/>
        </w:rPr>
        <w:t>CT</w:t>
      </w:r>
      <w:r w:rsidRPr="00B12FE0">
        <w:rPr>
          <w:rFonts w:hAnsi="宋体" w:cs="宋体" w:hint="eastAsia"/>
          <w:color w:val="000000" w:themeColor="text1"/>
        </w:rPr>
        <w:t>位于</w:t>
      </w:r>
      <w:r w:rsidRPr="00B12FE0">
        <w:rPr>
          <w:rFonts w:cs="宋体" w:hint="eastAsia"/>
          <w:color w:val="000000" w:themeColor="text1"/>
          <w:kern w:val="0"/>
        </w:rPr>
        <w:t>放疗中心楼建设放疗中心（共</w:t>
      </w:r>
      <w:r w:rsidRPr="00B12FE0">
        <w:rPr>
          <w:rFonts w:cs="宋体" w:hint="eastAsia"/>
          <w:color w:val="000000" w:themeColor="text1"/>
          <w:kern w:val="0"/>
        </w:rPr>
        <w:t>1</w:t>
      </w:r>
      <w:r w:rsidRPr="00B12FE0">
        <w:rPr>
          <w:rFonts w:cs="宋体" w:hint="eastAsia"/>
          <w:color w:val="000000" w:themeColor="text1"/>
          <w:kern w:val="0"/>
        </w:rPr>
        <w:t>层，无地层）</w:t>
      </w:r>
      <w:r w:rsidRPr="00B12FE0">
        <w:rPr>
          <w:color w:val="000000" w:themeColor="text1"/>
        </w:rPr>
        <w:t>。</w:t>
      </w:r>
      <w:r w:rsidRPr="00B12FE0">
        <w:rPr>
          <w:rFonts w:hint="eastAsia"/>
          <w:color w:val="000000" w:themeColor="text1"/>
        </w:rPr>
        <w:t>本项目模拟定位</w:t>
      </w:r>
      <w:r w:rsidRPr="00B12FE0">
        <w:rPr>
          <w:rFonts w:hint="eastAsia"/>
          <w:color w:val="000000" w:themeColor="text1"/>
        </w:rPr>
        <w:t>CT</w:t>
      </w:r>
      <w:r w:rsidRPr="00B12FE0">
        <w:rPr>
          <w:rFonts w:hint="eastAsia"/>
          <w:color w:val="000000" w:themeColor="text1"/>
        </w:rPr>
        <w:t>机房周边设置了控制室等辅助用房，且避开了人群较多的办公场所，选址靠近放疗科治疗机房。因此机房平面布局合理可行。</w:t>
      </w:r>
    </w:p>
    <w:p w14:paraId="561FB207" w14:textId="77777777" w:rsidR="00A67F21" w:rsidRPr="00B12FE0" w:rsidRDefault="00000000">
      <w:pPr>
        <w:spacing w:line="360" w:lineRule="auto"/>
        <w:ind w:firstLineChars="200" w:firstLine="480"/>
        <w:rPr>
          <w:rFonts w:cs="宋体"/>
          <w:color w:val="000000" w:themeColor="text1"/>
        </w:rPr>
      </w:pPr>
      <w:r w:rsidRPr="00B12FE0">
        <w:rPr>
          <w:rFonts w:cs="宋体" w:hint="eastAsia"/>
          <w:color w:val="000000" w:themeColor="text1"/>
        </w:rPr>
        <w:t>模拟定位</w:t>
      </w:r>
      <w:r w:rsidRPr="00B12FE0">
        <w:rPr>
          <w:rFonts w:cs="宋体" w:hint="eastAsia"/>
          <w:color w:val="000000" w:themeColor="text1"/>
        </w:rPr>
        <w:t>CT</w:t>
      </w:r>
      <w:r w:rsidRPr="00B12FE0">
        <w:rPr>
          <w:rFonts w:cs="宋体"/>
          <w:color w:val="000000" w:themeColor="text1"/>
        </w:rPr>
        <w:t>辐射工作场所四周情况见</w:t>
      </w:r>
      <w:r w:rsidRPr="00B12FE0">
        <w:rPr>
          <w:rFonts w:cs="宋体" w:hint="eastAsia"/>
          <w:color w:val="000000" w:themeColor="text1"/>
        </w:rPr>
        <w:t>下表</w:t>
      </w:r>
      <w:r w:rsidRPr="00B12FE0">
        <w:rPr>
          <w:rFonts w:cs="宋体"/>
          <w:color w:val="000000" w:themeColor="text1"/>
        </w:rPr>
        <w:t>。</w:t>
      </w:r>
    </w:p>
    <w:p w14:paraId="18FD9747" w14:textId="77777777" w:rsidR="00A67F21" w:rsidRPr="00B12FE0" w:rsidRDefault="00000000">
      <w:pPr>
        <w:spacing w:line="360" w:lineRule="auto"/>
        <w:jc w:val="center"/>
        <w:rPr>
          <w:rFonts w:cs="宋体"/>
          <w:color w:val="000000" w:themeColor="text1"/>
          <w:sz w:val="21"/>
          <w:szCs w:val="16"/>
        </w:rPr>
      </w:pPr>
      <w:r w:rsidRPr="00B12FE0">
        <w:rPr>
          <w:rFonts w:cs="宋体"/>
          <w:b/>
          <w:bCs/>
          <w:color w:val="000000" w:themeColor="text1"/>
          <w:sz w:val="21"/>
          <w:szCs w:val="18"/>
        </w:rPr>
        <w:t>表</w:t>
      </w:r>
      <w:r w:rsidRPr="00B12FE0">
        <w:rPr>
          <w:rFonts w:cs="宋体"/>
          <w:b/>
          <w:bCs/>
          <w:color w:val="000000" w:themeColor="text1"/>
          <w:sz w:val="21"/>
          <w:szCs w:val="18"/>
        </w:rPr>
        <w:t xml:space="preserve">10.1.2.3-1  </w:t>
      </w:r>
      <w:r w:rsidRPr="00B12FE0">
        <w:rPr>
          <w:rFonts w:cs="宋体" w:hint="eastAsia"/>
          <w:b/>
          <w:bCs/>
          <w:color w:val="000000" w:themeColor="text1"/>
          <w:sz w:val="21"/>
          <w:szCs w:val="18"/>
        </w:rPr>
        <w:t>模拟定位</w:t>
      </w:r>
      <w:r w:rsidRPr="00B12FE0">
        <w:rPr>
          <w:rFonts w:cs="宋体" w:hint="eastAsia"/>
          <w:b/>
          <w:bCs/>
          <w:color w:val="000000" w:themeColor="text1"/>
          <w:sz w:val="21"/>
          <w:szCs w:val="18"/>
        </w:rPr>
        <w:t>CT</w:t>
      </w:r>
      <w:r w:rsidRPr="00B12FE0">
        <w:rPr>
          <w:rFonts w:cs="宋体" w:hint="eastAsia"/>
          <w:b/>
          <w:bCs/>
          <w:color w:val="000000" w:themeColor="text1"/>
          <w:sz w:val="21"/>
          <w:szCs w:val="18"/>
        </w:rPr>
        <w:t>机房</w:t>
      </w:r>
      <w:r w:rsidRPr="00B12FE0">
        <w:rPr>
          <w:rFonts w:cs="宋体"/>
          <w:b/>
          <w:bCs/>
          <w:color w:val="000000" w:themeColor="text1"/>
          <w:sz w:val="21"/>
          <w:szCs w:val="18"/>
        </w:rPr>
        <w:t>相邻环境状况</w:t>
      </w:r>
    </w:p>
    <w:tbl>
      <w:tblPr>
        <w:tblStyle w:val="affff"/>
        <w:tblW w:w="5000" w:type="pct"/>
        <w:jc w:val="center"/>
        <w:tblLook w:val="04A0" w:firstRow="1" w:lastRow="0" w:firstColumn="1" w:lastColumn="0" w:noHBand="0" w:noVBand="1"/>
      </w:tblPr>
      <w:tblGrid>
        <w:gridCol w:w="1151"/>
        <w:gridCol w:w="855"/>
        <w:gridCol w:w="1133"/>
        <w:gridCol w:w="1277"/>
        <w:gridCol w:w="992"/>
        <w:gridCol w:w="1982"/>
        <w:gridCol w:w="1627"/>
      </w:tblGrid>
      <w:tr w:rsidR="00A67F21" w:rsidRPr="00B12FE0" w14:paraId="68C9D775" w14:textId="77777777">
        <w:trPr>
          <w:trHeight w:val="454"/>
          <w:jc w:val="center"/>
        </w:trPr>
        <w:tc>
          <w:tcPr>
            <w:tcW w:w="639" w:type="pct"/>
            <w:tcBorders>
              <w:top w:val="single" w:sz="4" w:space="0" w:color="auto"/>
              <w:left w:val="single" w:sz="4" w:space="0" w:color="auto"/>
              <w:bottom w:val="single" w:sz="4" w:space="0" w:color="auto"/>
              <w:right w:val="single" w:sz="4" w:space="0" w:color="auto"/>
            </w:tcBorders>
            <w:vAlign w:val="center"/>
          </w:tcPr>
          <w:p w14:paraId="53A14560" w14:textId="77777777" w:rsidR="00A67F21" w:rsidRPr="00B12FE0" w:rsidRDefault="00000000">
            <w:pPr>
              <w:adjustRightInd w:val="0"/>
              <w:snapToGrid w:val="0"/>
              <w:jc w:val="center"/>
              <w:rPr>
                <w:rFonts w:cs="宋体"/>
                <w:color w:val="000000" w:themeColor="text1"/>
                <w:sz w:val="21"/>
                <w:szCs w:val="16"/>
              </w:rPr>
            </w:pPr>
            <w:r w:rsidRPr="00B12FE0">
              <w:rPr>
                <w:rFonts w:cs="宋体"/>
                <w:color w:val="000000" w:themeColor="text1"/>
                <w:sz w:val="21"/>
                <w:szCs w:val="16"/>
              </w:rPr>
              <w:t>位置</w:t>
            </w:r>
          </w:p>
        </w:tc>
        <w:tc>
          <w:tcPr>
            <w:tcW w:w="474" w:type="pct"/>
            <w:tcBorders>
              <w:top w:val="single" w:sz="4" w:space="0" w:color="auto"/>
              <w:left w:val="single" w:sz="4" w:space="0" w:color="auto"/>
              <w:bottom w:val="single" w:sz="4" w:space="0" w:color="auto"/>
              <w:right w:val="single" w:sz="4" w:space="0" w:color="auto"/>
            </w:tcBorders>
            <w:vAlign w:val="center"/>
          </w:tcPr>
          <w:p w14:paraId="6CEF51C2" w14:textId="77777777" w:rsidR="00A67F21" w:rsidRPr="00B12FE0" w:rsidRDefault="00000000">
            <w:pPr>
              <w:adjustRightInd w:val="0"/>
              <w:snapToGrid w:val="0"/>
              <w:jc w:val="center"/>
              <w:rPr>
                <w:rFonts w:cs="宋体"/>
                <w:color w:val="000000" w:themeColor="text1"/>
                <w:sz w:val="21"/>
                <w:szCs w:val="16"/>
              </w:rPr>
            </w:pPr>
            <w:r w:rsidRPr="00B12FE0">
              <w:rPr>
                <w:rFonts w:cs="宋体"/>
                <w:color w:val="000000" w:themeColor="text1"/>
                <w:sz w:val="21"/>
                <w:szCs w:val="16"/>
              </w:rPr>
              <w:t>东面</w:t>
            </w:r>
          </w:p>
        </w:tc>
        <w:tc>
          <w:tcPr>
            <w:tcW w:w="628" w:type="pct"/>
            <w:tcBorders>
              <w:top w:val="single" w:sz="4" w:space="0" w:color="auto"/>
              <w:left w:val="single" w:sz="4" w:space="0" w:color="auto"/>
              <w:bottom w:val="single" w:sz="4" w:space="0" w:color="auto"/>
              <w:right w:val="single" w:sz="4" w:space="0" w:color="auto"/>
            </w:tcBorders>
            <w:vAlign w:val="center"/>
          </w:tcPr>
          <w:p w14:paraId="3420702B" w14:textId="77777777" w:rsidR="00A67F21" w:rsidRPr="00B12FE0" w:rsidRDefault="00000000">
            <w:pPr>
              <w:adjustRightInd w:val="0"/>
              <w:snapToGrid w:val="0"/>
              <w:jc w:val="center"/>
              <w:rPr>
                <w:rFonts w:cs="宋体"/>
                <w:color w:val="000000" w:themeColor="text1"/>
                <w:sz w:val="21"/>
                <w:szCs w:val="16"/>
              </w:rPr>
            </w:pPr>
            <w:r w:rsidRPr="00B12FE0">
              <w:rPr>
                <w:rFonts w:cs="宋体"/>
                <w:color w:val="000000" w:themeColor="text1"/>
                <w:sz w:val="21"/>
                <w:szCs w:val="16"/>
              </w:rPr>
              <w:t>南面</w:t>
            </w:r>
          </w:p>
        </w:tc>
        <w:tc>
          <w:tcPr>
            <w:tcW w:w="708" w:type="pct"/>
            <w:tcBorders>
              <w:top w:val="single" w:sz="4" w:space="0" w:color="auto"/>
              <w:left w:val="single" w:sz="4" w:space="0" w:color="auto"/>
              <w:bottom w:val="single" w:sz="4" w:space="0" w:color="auto"/>
              <w:right w:val="single" w:sz="4" w:space="0" w:color="auto"/>
            </w:tcBorders>
            <w:vAlign w:val="center"/>
          </w:tcPr>
          <w:p w14:paraId="5B7C02A7" w14:textId="77777777" w:rsidR="00A67F21" w:rsidRPr="00B12FE0" w:rsidRDefault="00000000">
            <w:pPr>
              <w:adjustRightInd w:val="0"/>
              <w:snapToGrid w:val="0"/>
              <w:jc w:val="center"/>
              <w:rPr>
                <w:rFonts w:cs="宋体"/>
                <w:color w:val="000000" w:themeColor="text1"/>
                <w:sz w:val="21"/>
                <w:szCs w:val="16"/>
              </w:rPr>
            </w:pPr>
            <w:r w:rsidRPr="00B12FE0">
              <w:rPr>
                <w:rFonts w:cs="宋体"/>
                <w:color w:val="000000" w:themeColor="text1"/>
                <w:sz w:val="21"/>
                <w:szCs w:val="16"/>
              </w:rPr>
              <w:t>西面</w:t>
            </w:r>
          </w:p>
        </w:tc>
        <w:tc>
          <w:tcPr>
            <w:tcW w:w="550" w:type="pct"/>
            <w:tcBorders>
              <w:top w:val="single" w:sz="4" w:space="0" w:color="auto"/>
              <w:left w:val="single" w:sz="4" w:space="0" w:color="auto"/>
              <w:bottom w:val="single" w:sz="4" w:space="0" w:color="auto"/>
              <w:right w:val="single" w:sz="4" w:space="0" w:color="auto"/>
            </w:tcBorders>
            <w:vAlign w:val="center"/>
          </w:tcPr>
          <w:p w14:paraId="3F7EA320" w14:textId="77777777" w:rsidR="00A67F21" w:rsidRPr="00B12FE0" w:rsidRDefault="00000000">
            <w:pPr>
              <w:adjustRightInd w:val="0"/>
              <w:snapToGrid w:val="0"/>
              <w:jc w:val="center"/>
              <w:rPr>
                <w:rFonts w:cs="宋体"/>
                <w:color w:val="000000" w:themeColor="text1"/>
                <w:sz w:val="21"/>
                <w:szCs w:val="16"/>
              </w:rPr>
            </w:pPr>
            <w:r w:rsidRPr="00B12FE0">
              <w:rPr>
                <w:rFonts w:cs="宋体"/>
                <w:color w:val="000000" w:themeColor="text1"/>
                <w:sz w:val="21"/>
                <w:szCs w:val="16"/>
              </w:rPr>
              <w:t>北面</w:t>
            </w:r>
          </w:p>
        </w:tc>
        <w:tc>
          <w:tcPr>
            <w:tcW w:w="1099" w:type="pct"/>
            <w:tcBorders>
              <w:top w:val="single" w:sz="4" w:space="0" w:color="auto"/>
              <w:left w:val="single" w:sz="4" w:space="0" w:color="auto"/>
              <w:bottom w:val="single" w:sz="4" w:space="0" w:color="auto"/>
              <w:right w:val="single" w:sz="4" w:space="0" w:color="auto"/>
            </w:tcBorders>
            <w:vAlign w:val="center"/>
          </w:tcPr>
          <w:p w14:paraId="7844D006" w14:textId="77777777" w:rsidR="00A67F21" w:rsidRPr="00B12FE0" w:rsidRDefault="00000000">
            <w:pPr>
              <w:adjustRightInd w:val="0"/>
              <w:snapToGrid w:val="0"/>
              <w:jc w:val="center"/>
              <w:rPr>
                <w:rFonts w:cs="宋体"/>
                <w:color w:val="000000" w:themeColor="text1"/>
                <w:sz w:val="21"/>
                <w:szCs w:val="16"/>
              </w:rPr>
            </w:pPr>
            <w:r w:rsidRPr="00B12FE0">
              <w:rPr>
                <w:rFonts w:cs="宋体"/>
                <w:color w:val="000000" w:themeColor="text1"/>
                <w:sz w:val="21"/>
                <w:szCs w:val="16"/>
              </w:rPr>
              <w:t>上一层</w:t>
            </w:r>
          </w:p>
        </w:tc>
        <w:tc>
          <w:tcPr>
            <w:tcW w:w="902" w:type="pct"/>
            <w:tcBorders>
              <w:top w:val="single" w:sz="4" w:space="0" w:color="auto"/>
              <w:left w:val="single" w:sz="4" w:space="0" w:color="auto"/>
              <w:bottom w:val="single" w:sz="4" w:space="0" w:color="auto"/>
              <w:right w:val="single" w:sz="4" w:space="0" w:color="auto"/>
            </w:tcBorders>
            <w:vAlign w:val="center"/>
          </w:tcPr>
          <w:p w14:paraId="02ED6860" w14:textId="77777777" w:rsidR="00A67F21" w:rsidRPr="00B12FE0" w:rsidRDefault="00000000">
            <w:pPr>
              <w:adjustRightInd w:val="0"/>
              <w:snapToGrid w:val="0"/>
              <w:jc w:val="center"/>
              <w:rPr>
                <w:rFonts w:cs="宋体"/>
                <w:color w:val="000000" w:themeColor="text1"/>
                <w:sz w:val="21"/>
                <w:szCs w:val="16"/>
              </w:rPr>
            </w:pPr>
            <w:r w:rsidRPr="00B12FE0">
              <w:rPr>
                <w:rFonts w:cs="宋体"/>
                <w:color w:val="000000" w:themeColor="text1"/>
                <w:sz w:val="21"/>
                <w:szCs w:val="16"/>
              </w:rPr>
              <w:t>下一层</w:t>
            </w:r>
          </w:p>
        </w:tc>
      </w:tr>
      <w:tr w:rsidR="00A67F21" w:rsidRPr="00B12FE0" w14:paraId="3465650C" w14:textId="77777777">
        <w:trPr>
          <w:trHeight w:val="454"/>
          <w:jc w:val="center"/>
        </w:trPr>
        <w:tc>
          <w:tcPr>
            <w:tcW w:w="639" w:type="pct"/>
            <w:tcBorders>
              <w:top w:val="single" w:sz="4" w:space="0" w:color="auto"/>
              <w:left w:val="single" w:sz="4" w:space="0" w:color="auto"/>
              <w:bottom w:val="single" w:sz="4" w:space="0" w:color="auto"/>
              <w:right w:val="single" w:sz="4" w:space="0" w:color="auto"/>
            </w:tcBorders>
            <w:vAlign w:val="center"/>
          </w:tcPr>
          <w:p w14:paraId="225B8045" w14:textId="77777777" w:rsidR="00A67F21" w:rsidRPr="00B12FE0" w:rsidRDefault="00000000">
            <w:pPr>
              <w:adjustRightInd w:val="0"/>
              <w:snapToGrid w:val="0"/>
              <w:jc w:val="center"/>
              <w:rPr>
                <w:rFonts w:cs="宋体"/>
                <w:color w:val="000000" w:themeColor="text1"/>
                <w:sz w:val="21"/>
                <w:szCs w:val="16"/>
              </w:rPr>
            </w:pPr>
            <w:r w:rsidRPr="00B12FE0">
              <w:rPr>
                <w:rFonts w:cs="宋体" w:hint="eastAsia"/>
                <w:color w:val="000000" w:themeColor="text1"/>
                <w:sz w:val="21"/>
                <w:szCs w:val="16"/>
              </w:rPr>
              <w:t>模拟定位</w:t>
            </w:r>
            <w:r w:rsidRPr="00B12FE0">
              <w:rPr>
                <w:rFonts w:cs="宋体" w:hint="eastAsia"/>
                <w:color w:val="000000" w:themeColor="text1"/>
                <w:sz w:val="21"/>
                <w:szCs w:val="16"/>
              </w:rPr>
              <w:t>CT</w:t>
            </w:r>
            <w:r w:rsidRPr="00B12FE0">
              <w:rPr>
                <w:rFonts w:cs="宋体"/>
                <w:color w:val="000000" w:themeColor="text1"/>
                <w:sz w:val="21"/>
                <w:szCs w:val="16"/>
              </w:rPr>
              <w:t>机房</w:t>
            </w:r>
          </w:p>
        </w:tc>
        <w:tc>
          <w:tcPr>
            <w:tcW w:w="474" w:type="pct"/>
            <w:tcBorders>
              <w:top w:val="single" w:sz="4" w:space="0" w:color="auto"/>
              <w:left w:val="single" w:sz="4" w:space="0" w:color="auto"/>
              <w:bottom w:val="single" w:sz="4" w:space="0" w:color="auto"/>
              <w:right w:val="single" w:sz="4" w:space="0" w:color="auto"/>
            </w:tcBorders>
            <w:vAlign w:val="center"/>
          </w:tcPr>
          <w:p w14:paraId="2B549C9A" w14:textId="77777777" w:rsidR="00A67F21" w:rsidRPr="00B12FE0" w:rsidRDefault="00000000">
            <w:pPr>
              <w:adjustRightInd w:val="0"/>
              <w:snapToGrid w:val="0"/>
              <w:jc w:val="center"/>
              <w:rPr>
                <w:rFonts w:cs="宋体"/>
                <w:color w:val="000000" w:themeColor="text1"/>
                <w:sz w:val="21"/>
                <w:szCs w:val="16"/>
              </w:rPr>
            </w:pPr>
            <w:r w:rsidRPr="00B12FE0">
              <w:rPr>
                <w:rFonts w:cs="宋体" w:hint="eastAsia"/>
                <w:color w:val="000000" w:themeColor="text1"/>
                <w:sz w:val="21"/>
                <w:szCs w:val="16"/>
              </w:rPr>
              <w:t>控制室、更衣室</w:t>
            </w:r>
          </w:p>
        </w:tc>
        <w:tc>
          <w:tcPr>
            <w:tcW w:w="628" w:type="pct"/>
            <w:tcBorders>
              <w:top w:val="single" w:sz="4" w:space="0" w:color="auto"/>
              <w:left w:val="single" w:sz="4" w:space="0" w:color="auto"/>
              <w:bottom w:val="single" w:sz="4" w:space="0" w:color="auto"/>
              <w:right w:val="single" w:sz="4" w:space="0" w:color="auto"/>
            </w:tcBorders>
            <w:vAlign w:val="center"/>
          </w:tcPr>
          <w:p w14:paraId="68088900" w14:textId="77777777" w:rsidR="00A67F21" w:rsidRPr="00B12FE0" w:rsidRDefault="00000000">
            <w:pPr>
              <w:adjustRightInd w:val="0"/>
              <w:snapToGrid w:val="0"/>
              <w:jc w:val="center"/>
              <w:rPr>
                <w:rFonts w:cs="宋体"/>
                <w:color w:val="000000" w:themeColor="text1"/>
                <w:sz w:val="21"/>
                <w:szCs w:val="16"/>
              </w:rPr>
            </w:pPr>
            <w:r w:rsidRPr="00B12FE0">
              <w:rPr>
                <w:rFonts w:cs="宋体" w:hint="eastAsia"/>
                <w:color w:val="000000" w:themeColor="text1"/>
                <w:sz w:val="21"/>
                <w:szCs w:val="16"/>
              </w:rPr>
              <w:t>辅助机房</w:t>
            </w:r>
          </w:p>
        </w:tc>
        <w:tc>
          <w:tcPr>
            <w:tcW w:w="708" w:type="pct"/>
            <w:tcBorders>
              <w:top w:val="single" w:sz="4" w:space="0" w:color="auto"/>
              <w:left w:val="single" w:sz="4" w:space="0" w:color="auto"/>
              <w:bottom w:val="single" w:sz="4" w:space="0" w:color="auto"/>
              <w:right w:val="single" w:sz="4" w:space="0" w:color="auto"/>
            </w:tcBorders>
            <w:vAlign w:val="center"/>
          </w:tcPr>
          <w:p w14:paraId="2A7CA2A9" w14:textId="77777777" w:rsidR="00A67F21" w:rsidRPr="00B12FE0" w:rsidRDefault="00000000">
            <w:pPr>
              <w:adjustRightInd w:val="0"/>
              <w:snapToGrid w:val="0"/>
              <w:jc w:val="center"/>
              <w:rPr>
                <w:rFonts w:cs="宋体"/>
                <w:color w:val="000000" w:themeColor="text1"/>
                <w:sz w:val="21"/>
                <w:szCs w:val="16"/>
              </w:rPr>
            </w:pPr>
            <w:r w:rsidRPr="00B12FE0">
              <w:rPr>
                <w:rFonts w:cs="宋体" w:hint="eastAsia"/>
                <w:color w:val="000000" w:themeColor="text1"/>
                <w:sz w:val="21"/>
                <w:szCs w:val="16"/>
              </w:rPr>
              <w:t>电梯及楼梯间、制模室</w:t>
            </w:r>
          </w:p>
        </w:tc>
        <w:tc>
          <w:tcPr>
            <w:tcW w:w="550" w:type="pct"/>
            <w:tcBorders>
              <w:top w:val="single" w:sz="4" w:space="0" w:color="auto"/>
              <w:left w:val="single" w:sz="4" w:space="0" w:color="auto"/>
              <w:bottom w:val="single" w:sz="4" w:space="0" w:color="auto"/>
              <w:right w:val="single" w:sz="4" w:space="0" w:color="auto"/>
            </w:tcBorders>
            <w:vAlign w:val="center"/>
          </w:tcPr>
          <w:p w14:paraId="0A79092F" w14:textId="77777777" w:rsidR="00A67F21" w:rsidRPr="00B12FE0" w:rsidRDefault="00000000">
            <w:pPr>
              <w:adjustRightInd w:val="0"/>
              <w:snapToGrid w:val="0"/>
              <w:jc w:val="center"/>
              <w:rPr>
                <w:rFonts w:cs="宋体"/>
                <w:color w:val="000000" w:themeColor="text1"/>
                <w:sz w:val="21"/>
                <w:szCs w:val="16"/>
              </w:rPr>
            </w:pPr>
            <w:r w:rsidRPr="00B12FE0">
              <w:rPr>
                <w:rFonts w:cs="宋体" w:hint="eastAsia"/>
                <w:color w:val="000000" w:themeColor="text1"/>
                <w:sz w:val="21"/>
                <w:szCs w:val="16"/>
              </w:rPr>
              <w:t>候诊区</w:t>
            </w:r>
          </w:p>
        </w:tc>
        <w:tc>
          <w:tcPr>
            <w:tcW w:w="1099" w:type="pct"/>
            <w:tcBorders>
              <w:top w:val="single" w:sz="4" w:space="0" w:color="auto"/>
              <w:left w:val="single" w:sz="4" w:space="0" w:color="auto"/>
              <w:bottom w:val="single" w:sz="4" w:space="0" w:color="auto"/>
              <w:right w:val="single" w:sz="4" w:space="0" w:color="auto"/>
            </w:tcBorders>
            <w:vAlign w:val="center"/>
          </w:tcPr>
          <w:p w14:paraId="6062171B" w14:textId="77777777" w:rsidR="00A67F21" w:rsidRPr="00B12FE0" w:rsidRDefault="00000000">
            <w:pPr>
              <w:adjustRightInd w:val="0"/>
              <w:snapToGrid w:val="0"/>
              <w:jc w:val="center"/>
              <w:rPr>
                <w:rFonts w:cs="宋体"/>
                <w:color w:val="000000" w:themeColor="text1"/>
                <w:sz w:val="21"/>
                <w:szCs w:val="16"/>
              </w:rPr>
            </w:pPr>
            <w:r w:rsidRPr="00B12FE0">
              <w:rPr>
                <w:rFonts w:hint="eastAsia"/>
                <w:color w:val="000000" w:themeColor="text1"/>
                <w:sz w:val="21"/>
                <w:szCs w:val="16"/>
              </w:rPr>
              <w:t>不可上人屋顶</w:t>
            </w:r>
          </w:p>
        </w:tc>
        <w:tc>
          <w:tcPr>
            <w:tcW w:w="902" w:type="pct"/>
            <w:tcBorders>
              <w:top w:val="single" w:sz="4" w:space="0" w:color="auto"/>
              <w:left w:val="single" w:sz="4" w:space="0" w:color="auto"/>
              <w:bottom w:val="single" w:sz="4" w:space="0" w:color="auto"/>
              <w:right w:val="single" w:sz="4" w:space="0" w:color="auto"/>
            </w:tcBorders>
            <w:vAlign w:val="center"/>
          </w:tcPr>
          <w:p w14:paraId="2E1D4824" w14:textId="77777777" w:rsidR="00A67F21" w:rsidRPr="00B12FE0" w:rsidRDefault="00000000">
            <w:pPr>
              <w:adjustRightInd w:val="0"/>
              <w:snapToGrid w:val="0"/>
              <w:jc w:val="center"/>
              <w:rPr>
                <w:rFonts w:cs="宋体"/>
                <w:color w:val="000000" w:themeColor="text1"/>
                <w:sz w:val="21"/>
                <w:szCs w:val="16"/>
              </w:rPr>
            </w:pPr>
            <w:r w:rsidRPr="00B12FE0">
              <w:rPr>
                <w:color w:val="000000" w:themeColor="text1"/>
                <w:sz w:val="21"/>
                <w:szCs w:val="16"/>
              </w:rPr>
              <w:t>岩土层</w:t>
            </w:r>
          </w:p>
        </w:tc>
      </w:tr>
    </w:tbl>
    <w:p w14:paraId="30E23A47" w14:textId="77777777" w:rsidR="00A67F21" w:rsidRPr="00B12FE0" w:rsidRDefault="00000000">
      <w:pPr>
        <w:adjustRightInd w:val="0"/>
        <w:snapToGrid w:val="0"/>
        <w:spacing w:line="360" w:lineRule="auto"/>
        <w:ind w:firstLineChars="200" w:firstLine="482"/>
        <w:rPr>
          <w:rFonts w:cs="宋体"/>
          <w:b/>
          <w:bCs/>
          <w:color w:val="000000" w:themeColor="text1"/>
        </w:rPr>
      </w:pPr>
      <w:r w:rsidRPr="00B12FE0">
        <w:rPr>
          <w:rFonts w:ascii="宋体" w:hAnsi="宋体" w:cs="宋体" w:hint="eastAsia"/>
          <w:b/>
          <w:bCs/>
          <w:color w:val="000000" w:themeColor="text1"/>
        </w:rPr>
        <w:t>②</w:t>
      </w:r>
      <w:r w:rsidRPr="00B12FE0">
        <w:rPr>
          <w:rFonts w:cs="宋体"/>
          <w:b/>
          <w:bCs/>
          <w:color w:val="000000" w:themeColor="text1"/>
        </w:rPr>
        <w:t>工作场所分区情况</w:t>
      </w:r>
    </w:p>
    <w:p w14:paraId="71E2831E"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color w:val="000000" w:themeColor="text1"/>
        </w:rPr>
        <w:t>根据《电离辐射防护与辐射源安全基本标准》（</w:t>
      </w:r>
      <w:r w:rsidRPr="00B12FE0">
        <w:rPr>
          <w:rFonts w:cs="宋体"/>
          <w:color w:val="000000" w:themeColor="text1"/>
        </w:rPr>
        <w:t>GB18871-2002</w:t>
      </w:r>
      <w:r w:rsidRPr="00B12FE0">
        <w:rPr>
          <w:rFonts w:cs="宋体"/>
          <w:color w:val="000000" w:themeColor="text1"/>
        </w:rPr>
        <w:t>）的相关要求，医院拟对</w:t>
      </w:r>
      <w:r w:rsidRPr="00B12FE0">
        <w:rPr>
          <w:rFonts w:cs="宋体" w:hint="eastAsia"/>
          <w:color w:val="000000" w:themeColor="text1"/>
        </w:rPr>
        <w:t>模拟定位</w:t>
      </w:r>
      <w:r w:rsidRPr="00B12FE0">
        <w:rPr>
          <w:rFonts w:cs="宋体" w:hint="eastAsia"/>
          <w:color w:val="000000" w:themeColor="text1"/>
        </w:rPr>
        <w:t>CT</w:t>
      </w:r>
      <w:r w:rsidRPr="00B12FE0">
        <w:rPr>
          <w:rFonts w:cs="宋体"/>
          <w:color w:val="000000" w:themeColor="text1"/>
        </w:rPr>
        <w:t>的工作场所进行分区管理，将工作场所分为控制区和监督区：</w:t>
      </w:r>
      <w:r w:rsidRPr="00B12FE0">
        <w:rPr>
          <w:rFonts w:cs="宋体" w:hint="eastAsia"/>
          <w:color w:val="000000" w:themeColor="text1"/>
        </w:rPr>
        <w:t>模拟定位</w:t>
      </w:r>
      <w:r w:rsidRPr="00B12FE0">
        <w:rPr>
          <w:rFonts w:cs="宋体" w:hint="eastAsia"/>
          <w:color w:val="000000" w:themeColor="text1"/>
        </w:rPr>
        <w:t>CT</w:t>
      </w:r>
      <w:r w:rsidRPr="00B12FE0">
        <w:rPr>
          <w:rFonts w:cs="宋体"/>
          <w:color w:val="000000" w:themeColor="text1"/>
        </w:rPr>
        <w:t>机房为控制区；控制室</w:t>
      </w:r>
      <w:r w:rsidRPr="00B12FE0">
        <w:rPr>
          <w:rFonts w:cs="宋体" w:hint="eastAsia"/>
          <w:color w:val="000000" w:themeColor="text1"/>
        </w:rPr>
        <w:t>、设备间和</w:t>
      </w:r>
      <w:r w:rsidRPr="00B12FE0">
        <w:rPr>
          <w:rFonts w:cs="宋体" w:hint="eastAsia"/>
          <w:bCs/>
          <w:color w:val="000000" w:themeColor="text1"/>
        </w:rPr>
        <w:t>防护门及屏蔽墙外</w:t>
      </w:r>
      <w:r w:rsidRPr="00B12FE0">
        <w:rPr>
          <w:rFonts w:cs="宋体" w:hint="eastAsia"/>
          <w:bCs/>
          <w:color w:val="000000" w:themeColor="text1"/>
        </w:rPr>
        <w:t>1m</w:t>
      </w:r>
      <w:r w:rsidRPr="00B12FE0">
        <w:rPr>
          <w:rFonts w:cs="宋体" w:hint="eastAsia"/>
          <w:bCs/>
          <w:color w:val="000000" w:themeColor="text1"/>
        </w:rPr>
        <w:t>处</w:t>
      </w:r>
      <w:r w:rsidRPr="00B12FE0">
        <w:rPr>
          <w:rFonts w:cs="宋体"/>
          <w:color w:val="000000" w:themeColor="text1"/>
        </w:rPr>
        <w:t>为监督区。机房门外有醒目的电离辐射警示牌和工作指示灯，避免人员误闯入或误照射。拟建</w:t>
      </w:r>
      <w:r w:rsidRPr="00B12FE0">
        <w:rPr>
          <w:rFonts w:cs="宋体" w:hint="eastAsia"/>
          <w:color w:val="000000" w:themeColor="text1"/>
        </w:rPr>
        <w:t>模</w:t>
      </w:r>
      <w:proofErr w:type="gramStart"/>
      <w:r w:rsidRPr="00B12FE0">
        <w:rPr>
          <w:rFonts w:cs="宋体" w:hint="eastAsia"/>
          <w:color w:val="000000" w:themeColor="text1"/>
        </w:rPr>
        <w:t>拟定位</w:t>
      </w:r>
      <w:proofErr w:type="gramEnd"/>
      <w:r w:rsidRPr="00B12FE0">
        <w:rPr>
          <w:rFonts w:cs="宋体" w:hint="eastAsia"/>
          <w:color w:val="000000" w:themeColor="text1"/>
        </w:rPr>
        <w:t>CT</w:t>
      </w:r>
      <w:r w:rsidRPr="00B12FE0">
        <w:rPr>
          <w:rFonts w:cs="宋体"/>
          <w:color w:val="000000" w:themeColor="text1"/>
        </w:rPr>
        <w:t>的工作场所分区详见</w:t>
      </w:r>
      <w:r w:rsidRPr="00B12FE0">
        <w:rPr>
          <w:rFonts w:cs="宋体" w:hint="eastAsia"/>
          <w:color w:val="000000" w:themeColor="text1"/>
        </w:rPr>
        <w:t>附图</w:t>
      </w:r>
      <w:r w:rsidRPr="00B12FE0">
        <w:rPr>
          <w:rFonts w:cs="宋体" w:hint="eastAsia"/>
          <w:color w:val="000000" w:themeColor="text1"/>
        </w:rPr>
        <w:t>13</w:t>
      </w:r>
      <w:r w:rsidRPr="00B12FE0">
        <w:rPr>
          <w:rFonts w:cs="宋体"/>
          <w:color w:val="000000" w:themeColor="text1"/>
        </w:rPr>
        <w:t>。</w:t>
      </w:r>
    </w:p>
    <w:p w14:paraId="19CD0120" w14:textId="77777777" w:rsidR="00A67F21" w:rsidRPr="00B12FE0" w:rsidRDefault="00000000">
      <w:pPr>
        <w:adjustRightInd w:val="0"/>
        <w:snapToGrid w:val="0"/>
        <w:spacing w:line="360" w:lineRule="auto"/>
        <w:ind w:firstLineChars="200" w:firstLine="482"/>
        <w:rPr>
          <w:b/>
          <w:bCs/>
          <w:color w:val="000000" w:themeColor="text1"/>
        </w:rPr>
      </w:pPr>
      <w:r w:rsidRPr="00B12FE0">
        <w:rPr>
          <w:b/>
          <w:bCs/>
          <w:color w:val="000000" w:themeColor="text1"/>
        </w:rPr>
        <w:t>（</w:t>
      </w:r>
      <w:r w:rsidRPr="00B12FE0">
        <w:rPr>
          <w:b/>
          <w:bCs/>
          <w:color w:val="000000" w:themeColor="text1"/>
        </w:rPr>
        <w:t>2</w:t>
      </w:r>
      <w:r w:rsidRPr="00B12FE0">
        <w:rPr>
          <w:b/>
          <w:bCs/>
          <w:color w:val="000000" w:themeColor="text1"/>
        </w:rPr>
        <w:t>）辐射防护屏蔽设计</w:t>
      </w:r>
    </w:p>
    <w:p w14:paraId="68B0D967" w14:textId="77777777" w:rsidR="00A67F21" w:rsidRPr="00B12FE0" w:rsidRDefault="00000000">
      <w:pPr>
        <w:adjustRightInd w:val="0"/>
        <w:snapToGrid w:val="0"/>
        <w:spacing w:line="360" w:lineRule="auto"/>
        <w:ind w:firstLineChars="200" w:firstLine="480"/>
        <w:rPr>
          <w:bCs/>
          <w:snapToGrid w:val="0"/>
          <w:color w:val="000000" w:themeColor="text1"/>
          <w:sz w:val="21"/>
          <w:szCs w:val="24"/>
        </w:rPr>
      </w:pPr>
      <w:r w:rsidRPr="00B12FE0">
        <w:rPr>
          <w:snapToGrid w:val="0"/>
          <w:color w:val="000000" w:themeColor="text1"/>
          <w:kern w:val="0"/>
          <w:szCs w:val="24"/>
        </w:rPr>
        <w:t>依据建设单位提供的</w:t>
      </w:r>
      <w:r w:rsidRPr="00B12FE0">
        <w:rPr>
          <w:rFonts w:hint="eastAsia"/>
          <w:snapToGrid w:val="0"/>
          <w:color w:val="000000" w:themeColor="text1"/>
          <w:szCs w:val="24"/>
        </w:rPr>
        <w:t>模拟定位</w:t>
      </w:r>
      <w:r w:rsidRPr="00B12FE0">
        <w:rPr>
          <w:rFonts w:hint="eastAsia"/>
          <w:snapToGrid w:val="0"/>
          <w:color w:val="000000" w:themeColor="text1"/>
          <w:szCs w:val="24"/>
        </w:rPr>
        <w:t>CT</w:t>
      </w:r>
      <w:r w:rsidRPr="00B12FE0">
        <w:rPr>
          <w:rFonts w:hint="eastAsia"/>
          <w:snapToGrid w:val="0"/>
          <w:color w:val="000000" w:themeColor="text1"/>
          <w:szCs w:val="24"/>
        </w:rPr>
        <w:t>机房</w:t>
      </w:r>
      <w:r w:rsidRPr="00B12FE0">
        <w:rPr>
          <w:bCs/>
          <w:snapToGrid w:val="0"/>
          <w:color w:val="000000" w:themeColor="text1"/>
          <w:szCs w:val="24"/>
        </w:rPr>
        <w:t>防护</w:t>
      </w:r>
      <w:r w:rsidRPr="00B12FE0">
        <w:rPr>
          <w:snapToGrid w:val="0"/>
          <w:color w:val="000000" w:themeColor="text1"/>
          <w:kern w:val="0"/>
          <w:szCs w:val="24"/>
        </w:rPr>
        <w:t>设计方案，将</w:t>
      </w:r>
      <w:r w:rsidRPr="00B12FE0">
        <w:rPr>
          <w:rFonts w:hint="eastAsia"/>
          <w:snapToGrid w:val="0"/>
          <w:color w:val="000000" w:themeColor="text1"/>
          <w:kern w:val="0"/>
          <w:szCs w:val="24"/>
        </w:rPr>
        <w:t>本项目各机房</w:t>
      </w:r>
      <w:r w:rsidRPr="00B12FE0">
        <w:rPr>
          <w:snapToGrid w:val="0"/>
          <w:color w:val="000000" w:themeColor="text1"/>
          <w:kern w:val="0"/>
          <w:szCs w:val="24"/>
        </w:rPr>
        <w:t>屏蔽体的主要技术参数列表分析，并根据</w:t>
      </w:r>
      <w:r w:rsidRPr="00B12FE0">
        <w:rPr>
          <w:snapToGrid w:val="0"/>
          <w:color w:val="000000" w:themeColor="text1"/>
          <w:szCs w:val="24"/>
        </w:rPr>
        <w:t>《</w:t>
      </w:r>
      <w:r w:rsidRPr="00B12FE0">
        <w:rPr>
          <w:rFonts w:hint="eastAsia"/>
          <w:snapToGrid w:val="0"/>
          <w:color w:val="000000" w:themeColor="text1"/>
          <w:szCs w:val="24"/>
        </w:rPr>
        <w:t>放射诊断放射防护要求</w:t>
      </w:r>
      <w:r w:rsidRPr="00B12FE0">
        <w:rPr>
          <w:snapToGrid w:val="0"/>
          <w:color w:val="000000" w:themeColor="text1"/>
          <w:szCs w:val="24"/>
        </w:rPr>
        <w:t>》（</w:t>
      </w:r>
      <w:r w:rsidRPr="00B12FE0">
        <w:rPr>
          <w:rFonts w:hint="eastAsia"/>
          <w:snapToGrid w:val="0"/>
          <w:color w:val="000000" w:themeColor="text1"/>
          <w:szCs w:val="24"/>
        </w:rPr>
        <w:t>GBZ 130-2020</w:t>
      </w:r>
      <w:r w:rsidRPr="00B12FE0">
        <w:rPr>
          <w:snapToGrid w:val="0"/>
          <w:color w:val="000000" w:themeColor="text1"/>
          <w:szCs w:val="24"/>
        </w:rPr>
        <w:t>）</w:t>
      </w:r>
      <w:r w:rsidRPr="00B12FE0">
        <w:rPr>
          <w:snapToGrid w:val="0"/>
          <w:color w:val="000000" w:themeColor="text1"/>
          <w:kern w:val="0"/>
          <w:szCs w:val="24"/>
        </w:rPr>
        <w:t>中对</w:t>
      </w:r>
      <w:r w:rsidRPr="00B12FE0">
        <w:rPr>
          <w:snapToGrid w:val="0"/>
          <w:color w:val="000000" w:themeColor="text1"/>
          <w:kern w:val="0"/>
          <w:szCs w:val="24"/>
        </w:rPr>
        <w:t>X</w:t>
      </w:r>
      <w:r w:rsidRPr="00B12FE0">
        <w:rPr>
          <w:snapToGrid w:val="0"/>
          <w:color w:val="000000" w:themeColor="text1"/>
          <w:kern w:val="0"/>
          <w:szCs w:val="24"/>
        </w:rPr>
        <w:t>射线机房防护设计的技术要求、最小有效使用面积及最小单边长度的要求，对本项目屏蔽措施进行对照分析，结果</w:t>
      </w:r>
      <w:r w:rsidRPr="00B12FE0">
        <w:rPr>
          <w:rFonts w:hint="eastAsia"/>
          <w:snapToGrid w:val="0"/>
          <w:color w:val="000000" w:themeColor="text1"/>
          <w:kern w:val="0"/>
          <w:szCs w:val="24"/>
        </w:rPr>
        <w:t>见下表</w:t>
      </w:r>
      <w:r w:rsidRPr="00B12FE0">
        <w:rPr>
          <w:snapToGrid w:val="0"/>
          <w:color w:val="000000" w:themeColor="text1"/>
          <w:kern w:val="0"/>
          <w:szCs w:val="24"/>
        </w:rPr>
        <w:t>。</w:t>
      </w:r>
    </w:p>
    <w:p w14:paraId="639127C5" w14:textId="77777777" w:rsidR="00A67F21" w:rsidRPr="00B12FE0" w:rsidRDefault="00000000">
      <w:pPr>
        <w:adjustRightInd w:val="0"/>
        <w:snapToGrid w:val="0"/>
        <w:jc w:val="center"/>
        <w:rPr>
          <w:b/>
          <w:bCs/>
          <w:color w:val="000000" w:themeColor="text1"/>
          <w:sz w:val="21"/>
          <w:szCs w:val="21"/>
        </w:rPr>
      </w:pPr>
      <w:r w:rsidRPr="00B12FE0">
        <w:rPr>
          <w:b/>
          <w:bCs/>
          <w:color w:val="000000" w:themeColor="text1"/>
          <w:sz w:val="21"/>
          <w:szCs w:val="21"/>
        </w:rPr>
        <w:lastRenderedPageBreak/>
        <w:t>表</w:t>
      </w:r>
      <w:r w:rsidRPr="00B12FE0">
        <w:rPr>
          <w:b/>
          <w:bCs/>
          <w:snapToGrid w:val="0"/>
          <w:color w:val="000000" w:themeColor="text1"/>
          <w:sz w:val="21"/>
          <w:szCs w:val="24"/>
        </w:rPr>
        <w:t>10.1.2.3-2</w:t>
      </w:r>
      <w:r w:rsidRPr="00B12FE0">
        <w:rPr>
          <w:b/>
          <w:bCs/>
          <w:color w:val="000000" w:themeColor="text1"/>
          <w:sz w:val="21"/>
          <w:szCs w:val="21"/>
        </w:rPr>
        <w:t xml:space="preserve"> </w:t>
      </w:r>
      <w:r w:rsidRPr="00B12FE0">
        <w:rPr>
          <w:rFonts w:hint="eastAsia"/>
          <w:b/>
          <w:bCs/>
          <w:color w:val="000000" w:themeColor="text1"/>
          <w:sz w:val="21"/>
          <w:szCs w:val="21"/>
        </w:rPr>
        <w:t xml:space="preserve"> </w:t>
      </w:r>
      <w:r w:rsidRPr="00B12FE0">
        <w:rPr>
          <w:rFonts w:hint="eastAsia"/>
          <w:b/>
          <w:bCs/>
          <w:color w:val="000000" w:themeColor="text1"/>
          <w:sz w:val="21"/>
          <w:szCs w:val="21"/>
        </w:rPr>
        <w:t>模拟定位</w:t>
      </w:r>
      <w:r w:rsidRPr="00B12FE0">
        <w:rPr>
          <w:rFonts w:hint="eastAsia"/>
          <w:b/>
          <w:bCs/>
          <w:color w:val="000000" w:themeColor="text1"/>
          <w:sz w:val="21"/>
          <w:szCs w:val="21"/>
        </w:rPr>
        <w:t>CT</w:t>
      </w:r>
      <w:r w:rsidRPr="00B12FE0">
        <w:rPr>
          <w:b/>
          <w:bCs/>
          <w:color w:val="000000" w:themeColor="text1"/>
          <w:sz w:val="21"/>
          <w:szCs w:val="21"/>
        </w:rPr>
        <w:t>机房</w:t>
      </w:r>
      <w:r w:rsidRPr="00B12FE0">
        <w:rPr>
          <w:rFonts w:hint="eastAsia"/>
          <w:b/>
          <w:bCs/>
          <w:color w:val="000000" w:themeColor="text1"/>
          <w:sz w:val="21"/>
          <w:szCs w:val="21"/>
        </w:rPr>
        <w:t>有效使用</w:t>
      </w:r>
      <w:r w:rsidRPr="00B12FE0">
        <w:rPr>
          <w:b/>
          <w:bCs/>
          <w:color w:val="000000" w:themeColor="text1"/>
          <w:sz w:val="21"/>
          <w:szCs w:val="21"/>
        </w:rPr>
        <w:t>面积及单边长度一览表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55"/>
        <w:gridCol w:w="1452"/>
        <w:gridCol w:w="1454"/>
        <w:gridCol w:w="1602"/>
        <w:gridCol w:w="1454"/>
        <w:gridCol w:w="993"/>
      </w:tblGrid>
      <w:tr w:rsidR="00A67F21" w:rsidRPr="00B12FE0" w14:paraId="2D29F04F" w14:textId="77777777">
        <w:trPr>
          <w:cantSplit/>
          <w:trHeight w:val="340"/>
          <w:jc w:val="center"/>
        </w:trPr>
        <w:tc>
          <w:tcPr>
            <w:tcW w:w="1140" w:type="pct"/>
            <w:vMerge w:val="restart"/>
            <w:vAlign w:val="center"/>
          </w:tcPr>
          <w:p w14:paraId="52AFAB39"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工作场所</w:t>
            </w:r>
          </w:p>
        </w:tc>
        <w:tc>
          <w:tcPr>
            <w:tcW w:w="1613" w:type="pct"/>
            <w:gridSpan w:val="2"/>
            <w:vAlign w:val="center"/>
          </w:tcPr>
          <w:p w14:paraId="384890CF"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拟设</w:t>
            </w:r>
            <w:proofErr w:type="gramStart"/>
            <w:r w:rsidRPr="00B12FE0">
              <w:rPr>
                <w:snapToGrid w:val="0"/>
                <w:color w:val="000000" w:themeColor="text1"/>
                <w:sz w:val="21"/>
                <w:szCs w:val="21"/>
              </w:rPr>
              <w:t>置情况</w:t>
            </w:r>
            <w:proofErr w:type="gramEnd"/>
          </w:p>
        </w:tc>
        <w:tc>
          <w:tcPr>
            <w:tcW w:w="1696" w:type="pct"/>
            <w:gridSpan w:val="2"/>
            <w:vAlign w:val="center"/>
          </w:tcPr>
          <w:p w14:paraId="52E82CA4"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GBZ130</w:t>
            </w:r>
            <w:r w:rsidRPr="00B12FE0">
              <w:rPr>
                <w:rFonts w:hint="eastAsia"/>
                <w:snapToGrid w:val="0"/>
                <w:color w:val="000000" w:themeColor="text1"/>
                <w:sz w:val="21"/>
                <w:szCs w:val="21"/>
              </w:rPr>
              <w:t>-2020</w:t>
            </w:r>
            <w:r w:rsidRPr="00B12FE0">
              <w:rPr>
                <w:snapToGrid w:val="0"/>
                <w:color w:val="000000" w:themeColor="text1"/>
                <w:sz w:val="21"/>
                <w:szCs w:val="21"/>
              </w:rPr>
              <w:t>表</w:t>
            </w:r>
            <w:r w:rsidRPr="00B12FE0">
              <w:rPr>
                <w:snapToGrid w:val="0"/>
                <w:color w:val="000000" w:themeColor="text1"/>
                <w:sz w:val="21"/>
                <w:szCs w:val="21"/>
              </w:rPr>
              <w:t>2</w:t>
            </w:r>
            <w:r w:rsidRPr="00B12FE0">
              <w:rPr>
                <w:snapToGrid w:val="0"/>
                <w:color w:val="000000" w:themeColor="text1"/>
                <w:sz w:val="21"/>
                <w:szCs w:val="21"/>
              </w:rPr>
              <w:t>标准要求</w:t>
            </w:r>
          </w:p>
        </w:tc>
        <w:tc>
          <w:tcPr>
            <w:tcW w:w="551" w:type="pct"/>
            <w:vMerge w:val="restart"/>
            <w:vAlign w:val="center"/>
          </w:tcPr>
          <w:p w14:paraId="30056872"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符合性</w:t>
            </w:r>
          </w:p>
          <w:p w14:paraId="5A84A139"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评价</w:t>
            </w:r>
          </w:p>
        </w:tc>
      </w:tr>
      <w:tr w:rsidR="00A67F21" w:rsidRPr="00B12FE0" w14:paraId="7009F3E4" w14:textId="77777777">
        <w:trPr>
          <w:cantSplit/>
          <w:trHeight w:val="340"/>
          <w:jc w:val="center"/>
        </w:trPr>
        <w:tc>
          <w:tcPr>
            <w:tcW w:w="1140" w:type="pct"/>
            <w:vMerge/>
            <w:vAlign w:val="center"/>
          </w:tcPr>
          <w:p w14:paraId="3CF4D00E" w14:textId="77777777" w:rsidR="00A67F21" w:rsidRPr="00B12FE0" w:rsidRDefault="00A67F21">
            <w:pPr>
              <w:adjustRightInd w:val="0"/>
              <w:snapToGrid w:val="0"/>
              <w:jc w:val="center"/>
              <w:rPr>
                <w:snapToGrid w:val="0"/>
                <w:color w:val="000000" w:themeColor="text1"/>
                <w:sz w:val="21"/>
                <w:szCs w:val="21"/>
              </w:rPr>
            </w:pPr>
          </w:p>
        </w:tc>
        <w:tc>
          <w:tcPr>
            <w:tcW w:w="806" w:type="pct"/>
            <w:vAlign w:val="center"/>
          </w:tcPr>
          <w:p w14:paraId="16DE7C42"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最小单边长度（</w:t>
            </w:r>
            <w:r w:rsidRPr="00B12FE0">
              <w:rPr>
                <w:snapToGrid w:val="0"/>
                <w:color w:val="000000" w:themeColor="text1"/>
                <w:sz w:val="21"/>
                <w:szCs w:val="21"/>
              </w:rPr>
              <w:t>m</w:t>
            </w:r>
            <w:r w:rsidRPr="00B12FE0">
              <w:rPr>
                <w:snapToGrid w:val="0"/>
                <w:color w:val="000000" w:themeColor="text1"/>
                <w:sz w:val="21"/>
                <w:szCs w:val="21"/>
              </w:rPr>
              <w:t>）</w:t>
            </w:r>
          </w:p>
        </w:tc>
        <w:tc>
          <w:tcPr>
            <w:tcW w:w="807" w:type="pct"/>
            <w:vAlign w:val="center"/>
          </w:tcPr>
          <w:p w14:paraId="7051BB47"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有效使用面积（</w:t>
            </w:r>
            <w:r w:rsidRPr="00B12FE0">
              <w:rPr>
                <w:snapToGrid w:val="0"/>
                <w:color w:val="000000" w:themeColor="text1"/>
                <w:sz w:val="21"/>
                <w:szCs w:val="21"/>
              </w:rPr>
              <w:t>m</w:t>
            </w:r>
            <w:r w:rsidRPr="00B12FE0">
              <w:rPr>
                <w:snapToGrid w:val="0"/>
                <w:color w:val="000000" w:themeColor="text1"/>
                <w:sz w:val="21"/>
                <w:szCs w:val="21"/>
                <w:vertAlign w:val="superscript"/>
              </w:rPr>
              <w:t>2</w:t>
            </w:r>
            <w:r w:rsidRPr="00B12FE0">
              <w:rPr>
                <w:snapToGrid w:val="0"/>
                <w:color w:val="000000" w:themeColor="text1"/>
                <w:sz w:val="21"/>
                <w:szCs w:val="21"/>
              </w:rPr>
              <w:t>）</w:t>
            </w:r>
          </w:p>
        </w:tc>
        <w:tc>
          <w:tcPr>
            <w:tcW w:w="889" w:type="pct"/>
            <w:vAlign w:val="center"/>
          </w:tcPr>
          <w:p w14:paraId="0A8A81B1"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最小单边长度（</w:t>
            </w:r>
            <w:r w:rsidRPr="00B12FE0">
              <w:rPr>
                <w:snapToGrid w:val="0"/>
                <w:color w:val="000000" w:themeColor="text1"/>
                <w:sz w:val="21"/>
                <w:szCs w:val="21"/>
              </w:rPr>
              <w:t>m</w:t>
            </w:r>
            <w:r w:rsidRPr="00B12FE0">
              <w:rPr>
                <w:snapToGrid w:val="0"/>
                <w:color w:val="000000" w:themeColor="text1"/>
                <w:sz w:val="21"/>
                <w:szCs w:val="21"/>
              </w:rPr>
              <w:t>）</w:t>
            </w:r>
          </w:p>
        </w:tc>
        <w:tc>
          <w:tcPr>
            <w:tcW w:w="807" w:type="pct"/>
            <w:vAlign w:val="center"/>
          </w:tcPr>
          <w:p w14:paraId="7E9E102E"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有效使用面积（</w:t>
            </w:r>
            <w:r w:rsidRPr="00B12FE0">
              <w:rPr>
                <w:snapToGrid w:val="0"/>
                <w:color w:val="000000" w:themeColor="text1"/>
                <w:sz w:val="21"/>
                <w:szCs w:val="21"/>
              </w:rPr>
              <w:t>m</w:t>
            </w:r>
            <w:r w:rsidRPr="00B12FE0">
              <w:rPr>
                <w:snapToGrid w:val="0"/>
                <w:color w:val="000000" w:themeColor="text1"/>
                <w:sz w:val="21"/>
                <w:szCs w:val="21"/>
                <w:vertAlign w:val="superscript"/>
              </w:rPr>
              <w:t>2</w:t>
            </w:r>
            <w:r w:rsidRPr="00B12FE0">
              <w:rPr>
                <w:snapToGrid w:val="0"/>
                <w:color w:val="000000" w:themeColor="text1"/>
                <w:sz w:val="21"/>
                <w:szCs w:val="21"/>
              </w:rPr>
              <w:t>）</w:t>
            </w:r>
          </w:p>
        </w:tc>
        <w:tc>
          <w:tcPr>
            <w:tcW w:w="551" w:type="pct"/>
            <w:vMerge/>
            <w:vAlign w:val="center"/>
          </w:tcPr>
          <w:p w14:paraId="10DFAD59" w14:textId="77777777" w:rsidR="00A67F21" w:rsidRPr="00B12FE0" w:rsidRDefault="00A67F21">
            <w:pPr>
              <w:adjustRightInd w:val="0"/>
              <w:snapToGrid w:val="0"/>
              <w:jc w:val="center"/>
              <w:rPr>
                <w:snapToGrid w:val="0"/>
                <w:color w:val="000000" w:themeColor="text1"/>
                <w:sz w:val="21"/>
                <w:szCs w:val="21"/>
              </w:rPr>
            </w:pPr>
          </w:p>
        </w:tc>
      </w:tr>
      <w:tr w:rsidR="00A67F21" w:rsidRPr="00B12FE0" w14:paraId="110031AC" w14:textId="77777777">
        <w:trPr>
          <w:cantSplit/>
          <w:trHeight w:val="340"/>
          <w:jc w:val="center"/>
        </w:trPr>
        <w:tc>
          <w:tcPr>
            <w:tcW w:w="1140" w:type="pct"/>
            <w:vAlign w:val="center"/>
          </w:tcPr>
          <w:p w14:paraId="48DE5362"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模拟定位</w:t>
            </w:r>
            <w:r w:rsidRPr="00B12FE0">
              <w:rPr>
                <w:rFonts w:hint="eastAsia"/>
                <w:snapToGrid w:val="0"/>
                <w:color w:val="000000" w:themeColor="text1"/>
                <w:sz w:val="21"/>
                <w:szCs w:val="21"/>
              </w:rPr>
              <w:t>CT</w:t>
            </w:r>
            <w:r w:rsidRPr="00B12FE0">
              <w:rPr>
                <w:rFonts w:hint="eastAsia"/>
                <w:snapToGrid w:val="0"/>
                <w:color w:val="000000" w:themeColor="text1"/>
                <w:sz w:val="21"/>
                <w:szCs w:val="21"/>
              </w:rPr>
              <w:t>机房</w:t>
            </w:r>
          </w:p>
        </w:tc>
        <w:tc>
          <w:tcPr>
            <w:tcW w:w="806" w:type="pct"/>
            <w:vAlign w:val="center"/>
          </w:tcPr>
          <w:p w14:paraId="1431C3A0"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6.87</w:t>
            </w:r>
          </w:p>
        </w:tc>
        <w:tc>
          <w:tcPr>
            <w:tcW w:w="807" w:type="pct"/>
            <w:vAlign w:val="center"/>
          </w:tcPr>
          <w:p w14:paraId="542A8F9D"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52.9</w:t>
            </w:r>
          </w:p>
        </w:tc>
        <w:tc>
          <w:tcPr>
            <w:tcW w:w="889" w:type="pct"/>
            <w:vAlign w:val="center"/>
          </w:tcPr>
          <w:p w14:paraId="7FD4669A"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4.5</w:t>
            </w:r>
          </w:p>
        </w:tc>
        <w:tc>
          <w:tcPr>
            <w:tcW w:w="807" w:type="pct"/>
            <w:vAlign w:val="center"/>
          </w:tcPr>
          <w:p w14:paraId="127129B8"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30</w:t>
            </w:r>
          </w:p>
        </w:tc>
        <w:tc>
          <w:tcPr>
            <w:tcW w:w="551" w:type="pct"/>
            <w:vAlign w:val="center"/>
          </w:tcPr>
          <w:p w14:paraId="1A5A306B" w14:textId="77777777" w:rsidR="00A67F21" w:rsidRPr="00B12FE0" w:rsidRDefault="00000000">
            <w:pPr>
              <w:autoSpaceDE w:val="0"/>
              <w:autoSpaceDN w:val="0"/>
              <w:adjustRightInd w:val="0"/>
              <w:jc w:val="center"/>
              <w:rPr>
                <w:color w:val="000000" w:themeColor="text1"/>
                <w:kern w:val="0"/>
                <w:szCs w:val="24"/>
              </w:rPr>
            </w:pPr>
            <w:r w:rsidRPr="00B12FE0">
              <w:rPr>
                <w:color w:val="000000" w:themeColor="text1"/>
                <w:kern w:val="0"/>
                <w:sz w:val="21"/>
                <w:szCs w:val="21"/>
              </w:rPr>
              <w:t>符合</w:t>
            </w:r>
          </w:p>
        </w:tc>
      </w:tr>
    </w:tbl>
    <w:p w14:paraId="4F7E3AD2" w14:textId="77777777" w:rsidR="00A67F21" w:rsidRPr="00B12FE0" w:rsidRDefault="00000000">
      <w:pPr>
        <w:adjustRightInd w:val="0"/>
        <w:snapToGrid w:val="0"/>
        <w:spacing w:beforeLines="50" w:before="120"/>
        <w:jc w:val="center"/>
        <w:rPr>
          <w:b/>
          <w:bCs/>
          <w:color w:val="000000" w:themeColor="text1"/>
          <w:sz w:val="21"/>
          <w:szCs w:val="21"/>
        </w:rPr>
      </w:pPr>
      <w:r w:rsidRPr="00B12FE0">
        <w:rPr>
          <w:b/>
          <w:bCs/>
          <w:color w:val="000000" w:themeColor="text1"/>
          <w:sz w:val="21"/>
          <w:szCs w:val="21"/>
        </w:rPr>
        <w:t>表</w:t>
      </w:r>
      <w:r w:rsidRPr="00B12FE0">
        <w:rPr>
          <w:b/>
          <w:bCs/>
          <w:snapToGrid w:val="0"/>
          <w:color w:val="000000" w:themeColor="text1"/>
          <w:sz w:val="21"/>
          <w:szCs w:val="24"/>
        </w:rPr>
        <w:t>10.1.2.3-3</w:t>
      </w:r>
      <w:r w:rsidRPr="00B12FE0">
        <w:rPr>
          <w:b/>
          <w:bCs/>
          <w:color w:val="000000" w:themeColor="text1"/>
          <w:sz w:val="21"/>
          <w:szCs w:val="21"/>
        </w:rPr>
        <w:t xml:space="preserve"> </w:t>
      </w:r>
      <w:r w:rsidRPr="00B12FE0">
        <w:rPr>
          <w:rFonts w:hint="eastAsia"/>
          <w:b/>
          <w:bCs/>
          <w:color w:val="000000" w:themeColor="text1"/>
          <w:sz w:val="21"/>
          <w:szCs w:val="21"/>
        </w:rPr>
        <w:t xml:space="preserve"> </w:t>
      </w:r>
      <w:r w:rsidRPr="00B12FE0">
        <w:rPr>
          <w:b/>
          <w:bCs/>
          <w:color w:val="000000" w:themeColor="text1"/>
          <w:sz w:val="21"/>
          <w:szCs w:val="21"/>
        </w:rPr>
        <w:t>模拟定位</w:t>
      </w:r>
      <w:r w:rsidRPr="00B12FE0">
        <w:rPr>
          <w:b/>
          <w:bCs/>
          <w:color w:val="000000" w:themeColor="text1"/>
          <w:sz w:val="21"/>
          <w:szCs w:val="21"/>
        </w:rPr>
        <w:t>CT</w:t>
      </w:r>
      <w:r w:rsidRPr="00B12FE0">
        <w:rPr>
          <w:b/>
          <w:bCs/>
          <w:color w:val="000000" w:themeColor="text1"/>
          <w:sz w:val="21"/>
          <w:szCs w:val="21"/>
        </w:rPr>
        <w:t>机房屏蔽防护情况一览表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1"/>
        <w:gridCol w:w="874"/>
        <w:gridCol w:w="4011"/>
        <w:gridCol w:w="1252"/>
        <w:gridCol w:w="1252"/>
        <w:gridCol w:w="727"/>
      </w:tblGrid>
      <w:tr w:rsidR="00A67F21" w:rsidRPr="00B12FE0" w14:paraId="139F88D5" w14:textId="77777777">
        <w:trPr>
          <w:trHeight w:val="340"/>
          <w:jc w:val="center"/>
        </w:trPr>
        <w:tc>
          <w:tcPr>
            <w:tcW w:w="500" w:type="pct"/>
            <w:vAlign w:val="center"/>
          </w:tcPr>
          <w:p w14:paraId="38A371FE" w14:textId="77777777" w:rsidR="00A67F21" w:rsidRPr="00B12FE0" w:rsidRDefault="00000000">
            <w:pPr>
              <w:adjustRightInd w:val="0"/>
              <w:snapToGrid w:val="0"/>
              <w:jc w:val="center"/>
              <w:rPr>
                <w:bCs/>
                <w:snapToGrid w:val="0"/>
                <w:color w:val="000000" w:themeColor="text1"/>
                <w:sz w:val="21"/>
                <w:szCs w:val="21"/>
              </w:rPr>
            </w:pPr>
            <w:r w:rsidRPr="00B12FE0">
              <w:rPr>
                <w:bCs/>
                <w:snapToGrid w:val="0"/>
                <w:color w:val="000000" w:themeColor="text1"/>
                <w:sz w:val="21"/>
                <w:szCs w:val="21"/>
              </w:rPr>
              <w:t>工作场所</w:t>
            </w:r>
          </w:p>
        </w:tc>
        <w:tc>
          <w:tcPr>
            <w:tcW w:w="485" w:type="pct"/>
            <w:vAlign w:val="center"/>
          </w:tcPr>
          <w:p w14:paraId="7158DFBB" w14:textId="77777777" w:rsidR="00A67F21" w:rsidRPr="00B12FE0" w:rsidRDefault="00000000">
            <w:pPr>
              <w:adjustRightInd w:val="0"/>
              <w:snapToGrid w:val="0"/>
              <w:jc w:val="center"/>
              <w:rPr>
                <w:bCs/>
                <w:snapToGrid w:val="0"/>
                <w:color w:val="000000" w:themeColor="text1"/>
                <w:sz w:val="21"/>
                <w:szCs w:val="21"/>
              </w:rPr>
            </w:pPr>
            <w:r w:rsidRPr="00B12FE0">
              <w:rPr>
                <w:bCs/>
                <w:snapToGrid w:val="0"/>
                <w:color w:val="000000" w:themeColor="text1"/>
                <w:sz w:val="21"/>
                <w:szCs w:val="21"/>
              </w:rPr>
              <w:t>防护设施</w:t>
            </w:r>
          </w:p>
        </w:tc>
        <w:tc>
          <w:tcPr>
            <w:tcW w:w="2224" w:type="pct"/>
            <w:vAlign w:val="center"/>
          </w:tcPr>
          <w:p w14:paraId="798C0D8E" w14:textId="77777777" w:rsidR="00A67F21" w:rsidRPr="00B12FE0" w:rsidRDefault="00000000">
            <w:pPr>
              <w:adjustRightInd w:val="0"/>
              <w:snapToGrid w:val="0"/>
              <w:jc w:val="center"/>
              <w:rPr>
                <w:bCs/>
                <w:snapToGrid w:val="0"/>
                <w:color w:val="000000" w:themeColor="text1"/>
                <w:sz w:val="21"/>
                <w:szCs w:val="21"/>
              </w:rPr>
            </w:pPr>
            <w:r w:rsidRPr="00B12FE0">
              <w:rPr>
                <w:bCs/>
                <w:snapToGrid w:val="0"/>
                <w:color w:val="000000" w:themeColor="text1"/>
                <w:sz w:val="21"/>
                <w:szCs w:val="21"/>
              </w:rPr>
              <w:t>屏蔽材料及厚度（折算铅当量：</w:t>
            </w:r>
            <w:proofErr w:type="spellStart"/>
            <w:r w:rsidRPr="00B12FE0">
              <w:rPr>
                <w:bCs/>
                <w:snapToGrid w:val="0"/>
                <w:color w:val="000000" w:themeColor="text1"/>
                <w:sz w:val="21"/>
                <w:szCs w:val="21"/>
              </w:rPr>
              <w:t>mmPb</w:t>
            </w:r>
            <w:proofErr w:type="spellEnd"/>
            <w:r w:rsidRPr="00B12FE0">
              <w:rPr>
                <w:bCs/>
                <w:snapToGrid w:val="0"/>
                <w:color w:val="000000" w:themeColor="text1"/>
                <w:sz w:val="21"/>
                <w:szCs w:val="21"/>
              </w:rPr>
              <w:t>）</w:t>
            </w:r>
          </w:p>
        </w:tc>
        <w:tc>
          <w:tcPr>
            <w:tcW w:w="694" w:type="pct"/>
            <w:vAlign w:val="center"/>
          </w:tcPr>
          <w:p w14:paraId="0CF0EDE9" w14:textId="77777777" w:rsidR="00A67F21" w:rsidRPr="00B12FE0" w:rsidRDefault="00000000">
            <w:pPr>
              <w:adjustRightInd w:val="0"/>
              <w:snapToGrid w:val="0"/>
              <w:jc w:val="center"/>
              <w:rPr>
                <w:bCs/>
                <w:snapToGrid w:val="0"/>
                <w:color w:val="000000" w:themeColor="text1"/>
                <w:sz w:val="21"/>
                <w:szCs w:val="21"/>
              </w:rPr>
            </w:pPr>
            <w:r w:rsidRPr="00B12FE0">
              <w:rPr>
                <w:bCs/>
                <w:snapToGrid w:val="0"/>
                <w:color w:val="000000" w:themeColor="text1"/>
                <w:sz w:val="21"/>
                <w:szCs w:val="21"/>
              </w:rPr>
              <w:t>折算后的铅当量（</w:t>
            </w:r>
            <w:r w:rsidRPr="00B12FE0">
              <w:rPr>
                <w:bCs/>
                <w:snapToGrid w:val="0"/>
                <w:color w:val="000000" w:themeColor="text1"/>
                <w:sz w:val="21"/>
                <w:szCs w:val="21"/>
              </w:rPr>
              <w:t>mm</w:t>
            </w:r>
            <w:r w:rsidRPr="00B12FE0">
              <w:rPr>
                <w:bCs/>
                <w:snapToGrid w:val="0"/>
                <w:color w:val="000000" w:themeColor="text1"/>
                <w:sz w:val="21"/>
                <w:szCs w:val="21"/>
              </w:rPr>
              <w:t>）</w:t>
            </w:r>
          </w:p>
        </w:tc>
        <w:tc>
          <w:tcPr>
            <w:tcW w:w="694" w:type="pct"/>
            <w:vAlign w:val="center"/>
          </w:tcPr>
          <w:p w14:paraId="11E3B7B9" w14:textId="77777777" w:rsidR="00A67F21" w:rsidRPr="00B12FE0" w:rsidRDefault="00000000">
            <w:pPr>
              <w:adjustRightInd w:val="0"/>
              <w:snapToGrid w:val="0"/>
              <w:jc w:val="center"/>
              <w:rPr>
                <w:bCs/>
                <w:snapToGrid w:val="0"/>
                <w:color w:val="000000" w:themeColor="text1"/>
                <w:sz w:val="21"/>
                <w:szCs w:val="21"/>
              </w:rPr>
            </w:pPr>
            <w:r w:rsidRPr="00B12FE0">
              <w:rPr>
                <w:bCs/>
                <w:snapToGrid w:val="0"/>
                <w:color w:val="000000" w:themeColor="text1"/>
                <w:sz w:val="21"/>
                <w:szCs w:val="21"/>
              </w:rPr>
              <w:t>GBZ130</w:t>
            </w:r>
            <w:r w:rsidRPr="00B12FE0">
              <w:rPr>
                <w:rFonts w:hint="eastAsia"/>
                <w:bCs/>
                <w:snapToGrid w:val="0"/>
                <w:color w:val="000000" w:themeColor="text1"/>
                <w:sz w:val="21"/>
                <w:szCs w:val="21"/>
              </w:rPr>
              <w:t>-2020</w:t>
            </w:r>
            <w:r w:rsidRPr="00B12FE0">
              <w:rPr>
                <w:bCs/>
                <w:snapToGrid w:val="0"/>
                <w:color w:val="000000" w:themeColor="text1"/>
                <w:sz w:val="21"/>
                <w:szCs w:val="21"/>
              </w:rPr>
              <w:t>表</w:t>
            </w:r>
            <w:r w:rsidRPr="00B12FE0">
              <w:rPr>
                <w:bCs/>
                <w:snapToGrid w:val="0"/>
                <w:color w:val="000000" w:themeColor="text1"/>
                <w:sz w:val="21"/>
                <w:szCs w:val="21"/>
              </w:rPr>
              <w:t>3</w:t>
            </w:r>
            <w:r w:rsidRPr="00B12FE0">
              <w:rPr>
                <w:rFonts w:hint="eastAsia"/>
                <w:bCs/>
                <w:snapToGrid w:val="0"/>
                <w:color w:val="000000" w:themeColor="text1"/>
                <w:sz w:val="21"/>
                <w:szCs w:val="21"/>
              </w:rPr>
              <w:t>标准</w:t>
            </w:r>
            <w:r w:rsidRPr="00B12FE0">
              <w:rPr>
                <w:bCs/>
                <w:snapToGrid w:val="0"/>
                <w:color w:val="000000" w:themeColor="text1"/>
                <w:sz w:val="21"/>
                <w:szCs w:val="21"/>
              </w:rPr>
              <w:t>要求</w:t>
            </w:r>
          </w:p>
        </w:tc>
        <w:tc>
          <w:tcPr>
            <w:tcW w:w="403" w:type="pct"/>
            <w:vAlign w:val="center"/>
          </w:tcPr>
          <w:p w14:paraId="680BF0E6" w14:textId="77777777" w:rsidR="00A67F21" w:rsidRPr="00B12FE0" w:rsidRDefault="00000000">
            <w:pPr>
              <w:adjustRightInd w:val="0"/>
              <w:snapToGrid w:val="0"/>
              <w:jc w:val="center"/>
              <w:rPr>
                <w:bCs/>
                <w:snapToGrid w:val="0"/>
                <w:color w:val="000000" w:themeColor="text1"/>
                <w:sz w:val="21"/>
                <w:szCs w:val="21"/>
              </w:rPr>
            </w:pPr>
            <w:r w:rsidRPr="00B12FE0">
              <w:rPr>
                <w:bCs/>
                <w:snapToGrid w:val="0"/>
                <w:color w:val="000000" w:themeColor="text1"/>
                <w:sz w:val="21"/>
                <w:szCs w:val="21"/>
              </w:rPr>
              <w:t>符合性</w:t>
            </w:r>
          </w:p>
          <w:p w14:paraId="2D258657" w14:textId="77777777" w:rsidR="00A67F21" w:rsidRPr="00B12FE0" w:rsidRDefault="00000000">
            <w:pPr>
              <w:adjustRightInd w:val="0"/>
              <w:snapToGrid w:val="0"/>
              <w:jc w:val="center"/>
              <w:rPr>
                <w:bCs/>
                <w:snapToGrid w:val="0"/>
                <w:color w:val="000000" w:themeColor="text1"/>
                <w:sz w:val="21"/>
                <w:szCs w:val="21"/>
              </w:rPr>
            </w:pPr>
            <w:r w:rsidRPr="00B12FE0">
              <w:rPr>
                <w:bCs/>
                <w:snapToGrid w:val="0"/>
                <w:color w:val="000000" w:themeColor="text1"/>
                <w:sz w:val="21"/>
                <w:szCs w:val="21"/>
              </w:rPr>
              <w:t>评价</w:t>
            </w:r>
          </w:p>
        </w:tc>
      </w:tr>
      <w:tr w:rsidR="00A67F21" w:rsidRPr="00B12FE0" w14:paraId="76E17B8B" w14:textId="77777777">
        <w:trPr>
          <w:trHeight w:val="340"/>
          <w:jc w:val="center"/>
        </w:trPr>
        <w:tc>
          <w:tcPr>
            <w:tcW w:w="500" w:type="pct"/>
            <w:vMerge w:val="restart"/>
            <w:vAlign w:val="center"/>
          </w:tcPr>
          <w:p w14:paraId="6A5102F5"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模拟定位</w:t>
            </w:r>
            <w:r w:rsidRPr="00B12FE0">
              <w:rPr>
                <w:snapToGrid w:val="0"/>
                <w:color w:val="000000" w:themeColor="text1"/>
                <w:sz w:val="21"/>
                <w:szCs w:val="21"/>
              </w:rPr>
              <w:t>CT</w:t>
            </w:r>
            <w:r w:rsidRPr="00B12FE0">
              <w:rPr>
                <w:snapToGrid w:val="0"/>
                <w:color w:val="000000" w:themeColor="text1"/>
                <w:sz w:val="21"/>
                <w:szCs w:val="21"/>
              </w:rPr>
              <w:t>机房</w:t>
            </w:r>
          </w:p>
        </w:tc>
        <w:tc>
          <w:tcPr>
            <w:tcW w:w="485" w:type="pct"/>
            <w:vAlign w:val="center"/>
          </w:tcPr>
          <w:p w14:paraId="40EB57F5"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四侧墙体</w:t>
            </w:r>
          </w:p>
        </w:tc>
        <w:tc>
          <w:tcPr>
            <w:tcW w:w="2224" w:type="pct"/>
            <w:vAlign w:val="center"/>
          </w:tcPr>
          <w:p w14:paraId="1F9A1B83" w14:textId="77777777" w:rsidR="00A67F21" w:rsidRPr="00B12FE0" w:rsidRDefault="00000000">
            <w:pPr>
              <w:adjustRightInd w:val="0"/>
              <w:snapToGrid w:val="0"/>
              <w:jc w:val="center"/>
              <w:rPr>
                <w:snapToGrid w:val="0"/>
                <w:color w:val="000000" w:themeColor="text1"/>
                <w:sz w:val="21"/>
                <w:szCs w:val="21"/>
              </w:rPr>
            </w:pPr>
            <w:r w:rsidRPr="00B12FE0">
              <w:rPr>
                <w:bCs/>
                <w:snapToGrid w:val="0"/>
                <w:color w:val="000000" w:themeColor="text1"/>
                <w:sz w:val="21"/>
                <w:szCs w:val="21"/>
              </w:rPr>
              <w:t>240</w:t>
            </w:r>
            <w:r w:rsidRPr="00B12FE0">
              <w:rPr>
                <w:rFonts w:hint="eastAsia"/>
                <w:bCs/>
                <w:snapToGrid w:val="0"/>
                <w:color w:val="000000" w:themeColor="text1"/>
                <w:sz w:val="21"/>
                <w:szCs w:val="21"/>
              </w:rPr>
              <w:t>mm</w:t>
            </w:r>
            <w:r w:rsidRPr="00B12FE0">
              <w:rPr>
                <w:rFonts w:hint="eastAsia"/>
                <w:bCs/>
                <w:snapToGrid w:val="0"/>
                <w:color w:val="000000" w:themeColor="text1"/>
                <w:sz w:val="21"/>
                <w:szCs w:val="21"/>
              </w:rPr>
              <w:t>实心砖</w:t>
            </w:r>
            <w:r w:rsidRPr="00B12FE0">
              <w:rPr>
                <w:bCs/>
                <w:snapToGrid w:val="0"/>
                <w:color w:val="000000" w:themeColor="text1"/>
                <w:sz w:val="21"/>
                <w:szCs w:val="21"/>
              </w:rPr>
              <w:t>+40mm</w:t>
            </w:r>
            <w:r w:rsidRPr="00B12FE0">
              <w:rPr>
                <w:bCs/>
                <w:snapToGrid w:val="0"/>
                <w:color w:val="000000" w:themeColor="text1"/>
                <w:sz w:val="21"/>
                <w:szCs w:val="21"/>
              </w:rPr>
              <w:t>硫酸钡涂料</w:t>
            </w:r>
          </w:p>
        </w:tc>
        <w:tc>
          <w:tcPr>
            <w:tcW w:w="694" w:type="pct"/>
            <w:vAlign w:val="center"/>
          </w:tcPr>
          <w:p w14:paraId="761E2B55"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4</w:t>
            </w:r>
          </w:p>
        </w:tc>
        <w:tc>
          <w:tcPr>
            <w:tcW w:w="694" w:type="pct"/>
            <w:vMerge w:val="restart"/>
            <w:vAlign w:val="center"/>
          </w:tcPr>
          <w:p w14:paraId="7E71454D"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有用线束及非有用线束方向铅当量均不小于</w:t>
            </w:r>
            <w:r w:rsidRPr="00B12FE0">
              <w:rPr>
                <w:snapToGrid w:val="0"/>
                <w:color w:val="000000" w:themeColor="text1"/>
                <w:sz w:val="21"/>
                <w:szCs w:val="21"/>
              </w:rPr>
              <w:t>2.5mmPb</w:t>
            </w:r>
          </w:p>
        </w:tc>
        <w:tc>
          <w:tcPr>
            <w:tcW w:w="403" w:type="pct"/>
            <w:vAlign w:val="center"/>
          </w:tcPr>
          <w:p w14:paraId="5A7C8AB1"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符合</w:t>
            </w:r>
          </w:p>
        </w:tc>
      </w:tr>
      <w:tr w:rsidR="00A67F21" w:rsidRPr="00B12FE0" w14:paraId="4B020AF0" w14:textId="77777777">
        <w:trPr>
          <w:trHeight w:val="340"/>
          <w:jc w:val="center"/>
        </w:trPr>
        <w:tc>
          <w:tcPr>
            <w:tcW w:w="500" w:type="pct"/>
            <w:vMerge/>
            <w:vAlign w:val="center"/>
          </w:tcPr>
          <w:p w14:paraId="434D7C21" w14:textId="77777777" w:rsidR="00A67F21" w:rsidRPr="00B12FE0" w:rsidRDefault="00A67F21">
            <w:pPr>
              <w:adjustRightInd w:val="0"/>
              <w:snapToGrid w:val="0"/>
              <w:jc w:val="center"/>
              <w:rPr>
                <w:snapToGrid w:val="0"/>
                <w:color w:val="000000" w:themeColor="text1"/>
                <w:sz w:val="21"/>
                <w:szCs w:val="21"/>
              </w:rPr>
            </w:pPr>
          </w:p>
        </w:tc>
        <w:tc>
          <w:tcPr>
            <w:tcW w:w="485" w:type="pct"/>
            <w:vAlign w:val="center"/>
          </w:tcPr>
          <w:p w14:paraId="0E9FE8EA"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顶棚</w:t>
            </w:r>
          </w:p>
        </w:tc>
        <w:tc>
          <w:tcPr>
            <w:tcW w:w="2224" w:type="pct"/>
            <w:vAlign w:val="center"/>
          </w:tcPr>
          <w:p w14:paraId="27B71434" w14:textId="77777777" w:rsidR="00A67F21" w:rsidRPr="00B12FE0" w:rsidRDefault="00000000">
            <w:pPr>
              <w:adjustRightInd w:val="0"/>
              <w:snapToGrid w:val="0"/>
              <w:jc w:val="center"/>
              <w:rPr>
                <w:snapToGrid w:val="0"/>
                <w:color w:val="000000" w:themeColor="text1"/>
                <w:sz w:val="21"/>
                <w:szCs w:val="21"/>
              </w:rPr>
            </w:pPr>
            <w:r w:rsidRPr="00B12FE0">
              <w:rPr>
                <w:rFonts w:hint="eastAsia"/>
                <w:bCs/>
                <w:snapToGrid w:val="0"/>
                <w:color w:val="000000" w:themeColor="text1"/>
                <w:sz w:val="21"/>
                <w:szCs w:val="21"/>
              </w:rPr>
              <w:t>250mm</w:t>
            </w:r>
            <w:r w:rsidRPr="00B12FE0">
              <w:rPr>
                <w:rFonts w:hint="eastAsia"/>
                <w:bCs/>
                <w:snapToGrid w:val="0"/>
                <w:color w:val="000000" w:themeColor="text1"/>
                <w:sz w:val="21"/>
                <w:szCs w:val="21"/>
              </w:rPr>
              <w:t>混凝土</w:t>
            </w:r>
          </w:p>
        </w:tc>
        <w:tc>
          <w:tcPr>
            <w:tcW w:w="694" w:type="pct"/>
            <w:vAlign w:val="center"/>
          </w:tcPr>
          <w:p w14:paraId="358ED566"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3.0</w:t>
            </w:r>
          </w:p>
        </w:tc>
        <w:tc>
          <w:tcPr>
            <w:tcW w:w="694" w:type="pct"/>
            <w:vMerge/>
            <w:vAlign w:val="center"/>
          </w:tcPr>
          <w:p w14:paraId="439D80F9" w14:textId="77777777" w:rsidR="00A67F21" w:rsidRPr="00B12FE0" w:rsidRDefault="00A67F21">
            <w:pPr>
              <w:adjustRightInd w:val="0"/>
              <w:snapToGrid w:val="0"/>
              <w:jc w:val="center"/>
              <w:rPr>
                <w:snapToGrid w:val="0"/>
                <w:color w:val="000000" w:themeColor="text1"/>
                <w:sz w:val="21"/>
                <w:szCs w:val="21"/>
              </w:rPr>
            </w:pPr>
          </w:p>
        </w:tc>
        <w:tc>
          <w:tcPr>
            <w:tcW w:w="403" w:type="pct"/>
            <w:vAlign w:val="center"/>
          </w:tcPr>
          <w:p w14:paraId="0C699EE9"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符合</w:t>
            </w:r>
          </w:p>
        </w:tc>
      </w:tr>
      <w:tr w:rsidR="00A67F21" w:rsidRPr="00B12FE0" w14:paraId="5572A3F4" w14:textId="77777777">
        <w:trPr>
          <w:trHeight w:val="340"/>
          <w:jc w:val="center"/>
        </w:trPr>
        <w:tc>
          <w:tcPr>
            <w:tcW w:w="500" w:type="pct"/>
            <w:vMerge/>
            <w:vAlign w:val="center"/>
          </w:tcPr>
          <w:p w14:paraId="286A7F2B" w14:textId="77777777" w:rsidR="00A67F21" w:rsidRPr="00B12FE0" w:rsidRDefault="00A67F21">
            <w:pPr>
              <w:adjustRightInd w:val="0"/>
              <w:snapToGrid w:val="0"/>
              <w:jc w:val="center"/>
              <w:rPr>
                <w:snapToGrid w:val="0"/>
                <w:color w:val="000000" w:themeColor="text1"/>
                <w:sz w:val="21"/>
                <w:szCs w:val="21"/>
              </w:rPr>
            </w:pPr>
          </w:p>
        </w:tc>
        <w:tc>
          <w:tcPr>
            <w:tcW w:w="485" w:type="pct"/>
            <w:vAlign w:val="center"/>
          </w:tcPr>
          <w:p w14:paraId="189D5044"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防护门</w:t>
            </w:r>
          </w:p>
        </w:tc>
        <w:tc>
          <w:tcPr>
            <w:tcW w:w="2224" w:type="pct"/>
            <w:vAlign w:val="center"/>
          </w:tcPr>
          <w:p w14:paraId="661D0AA8"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内衬</w:t>
            </w:r>
            <w:r w:rsidRPr="00B12FE0">
              <w:rPr>
                <w:snapToGrid w:val="0"/>
                <w:color w:val="000000" w:themeColor="text1"/>
                <w:sz w:val="21"/>
                <w:szCs w:val="21"/>
              </w:rPr>
              <w:t>4mm</w:t>
            </w:r>
            <w:r w:rsidRPr="00B12FE0">
              <w:rPr>
                <w:snapToGrid w:val="0"/>
                <w:color w:val="000000" w:themeColor="text1"/>
                <w:sz w:val="21"/>
                <w:szCs w:val="21"/>
              </w:rPr>
              <w:t>铅板</w:t>
            </w:r>
          </w:p>
        </w:tc>
        <w:tc>
          <w:tcPr>
            <w:tcW w:w="694" w:type="pct"/>
            <w:vAlign w:val="center"/>
          </w:tcPr>
          <w:p w14:paraId="032EB397"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4</w:t>
            </w:r>
          </w:p>
        </w:tc>
        <w:tc>
          <w:tcPr>
            <w:tcW w:w="694" w:type="pct"/>
            <w:vMerge/>
            <w:vAlign w:val="center"/>
          </w:tcPr>
          <w:p w14:paraId="31AC5231" w14:textId="77777777" w:rsidR="00A67F21" w:rsidRPr="00B12FE0" w:rsidRDefault="00A67F21">
            <w:pPr>
              <w:adjustRightInd w:val="0"/>
              <w:snapToGrid w:val="0"/>
              <w:jc w:val="center"/>
              <w:rPr>
                <w:snapToGrid w:val="0"/>
                <w:color w:val="000000" w:themeColor="text1"/>
                <w:sz w:val="21"/>
                <w:szCs w:val="21"/>
              </w:rPr>
            </w:pPr>
          </w:p>
        </w:tc>
        <w:tc>
          <w:tcPr>
            <w:tcW w:w="403" w:type="pct"/>
            <w:vAlign w:val="center"/>
          </w:tcPr>
          <w:p w14:paraId="3AD9ED55"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符合</w:t>
            </w:r>
          </w:p>
        </w:tc>
      </w:tr>
      <w:tr w:rsidR="00A67F21" w:rsidRPr="00B12FE0" w14:paraId="0BF55293" w14:textId="77777777">
        <w:trPr>
          <w:trHeight w:val="340"/>
          <w:jc w:val="center"/>
        </w:trPr>
        <w:tc>
          <w:tcPr>
            <w:tcW w:w="500" w:type="pct"/>
            <w:vMerge/>
            <w:vAlign w:val="center"/>
          </w:tcPr>
          <w:p w14:paraId="2A08ABD2" w14:textId="77777777" w:rsidR="00A67F21" w:rsidRPr="00B12FE0" w:rsidRDefault="00A67F21">
            <w:pPr>
              <w:adjustRightInd w:val="0"/>
              <w:snapToGrid w:val="0"/>
              <w:jc w:val="center"/>
              <w:rPr>
                <w:snapToGrid w:val="0"/>
                <w:color w:val="000000" w:themeColor="text1"/>
                <w:sz w:val="21"/>
                <w:szCs w:val="21"/>
              </w:rPr>
            </w:pPr>
          </w:p>
        </w:tc>
        <w:tc>
          <w:tcPr>
            <w:tcW w:w="485" w:type="pct"/>
            <w:vAlign w:val="center"/>
          </w:tcPr>
          <w:p w14:paraId="29B46B83"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观察窗</w:t>
            </w:r>
          </w:p>
        </w:tc>
        <w:tc>
          <w:tcPr>
            <w:tcW w:w="2224" w:type="pct"/>
            <w:vAlign w:val="center"/>
          </w:tcPr>
          <w:p w14:paraId="098D3A5D"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4.0mmPb</w:t>
            </w:r>
            <w:r w:rsidRPr="00B12FE0">
              <w:rPr>
                <w:snapToGrid w:val="0"/>
                <w:color w:val="000000" w:themeColor="text1"/>
                <w:sz w:val="21"/>
                <w:szCs w:val="21"/>
              </w:rPr>
              <w:t>铅玻璃</w:t>
            </w:r>
          </w:p>
        </w:tc>
        <w:tc>
          <w:tcPr>
            <w:tcW w:w="694" w:type="pct"/>
            <w:vAlign w:val="center"/>
          </w:tcPr>
          <w:p w14:paraId="0A04B6FD" w14:textId="77777777" w:rsidR="00A67F21" w:rsidRPr="00B12FE0" w:rsidRDefault="00000000">
            <w:pPr>
              <w:adjustRightInd w:val="0"/>
              <w:snapToGrid w:val="0"/>
              <w:jc w:val="center"/>
              <w:rPr>
                <w:snapToGrid w:val="0"/>
                <w:color w:val="000000" w:themeColor="text1"/>
                <w:sz w:val="21"/>
                <w:szCs w:val="21"/>
              </w:rPr>
            </w:pPr>
            <w:r w:rsidRPr="00B12FE0">
              <w:rPr>
                <w:rFonts w:hint="eastAsia"/>
                <w:snapToGrid w:val="0"/>
                <w:color w:val="000000" w:themeColor="text1"/>
                <w:sz w:val="21"/>
                <w:szCs w:val="21"/>
              </w:rPr>
              <w:t>4</w:t>
            </w:r>
          </w:p>
        </w:tc>
        <w:tc>
          <w:tcPr>
            <w:tcW w:w="694" w:type="pct"/>
            <w:vMerge/>
            <w:vAlign w:val="center"/>
          </w:tcPr>
          <w:p w14:paraId="71ECBA09" w14:textId="77777777" w:rsidR="00A67F21" w:rsidRPr="00B12FE0" w:rsidRDefault="00A67F21">
            <w:pPr>
              <w:adjustRightInd w:val="0"/>
              <w:snapToGrid w:val="0"/>
              <w:jc w:val="center"/>
              <w:rPr>
                <w:snapToGrid w:val="0"/>
                <w:color w:val="000000" w:themeColor="text1"/>
                <w:sz w:val="21"/>
                <w:szCs w:val="21"/>
              </w:rPr>
            </w:pPr>
          </w:p>
        </w:tc>
        <w:tc>
          <w:tcPr>
            <w:tcW w:w="403" w:type="pct"/>
            <w:vAlign w:val="center"/>
          </w:tcPr>
          <w:p w14:paraId="21A9D8F7"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符合</w:t>
            </w:r>
          </w:p>
        </w:tc>
      </w:tr>
      <w:tr w:rsidR="00A67F21" w:rsidRPr="00B12FE0" w14:paraId="3B2B4222" w14:textId="77777777">
        <w:trPr>
          <w:trHeight w:val="340"/>
          <w:jc w:val="center"/>
        </w:trPr>
        <w:tc>
          <w:tcPr>
            <w:tcW w:w="5000" w:type="pct"/>
            <w:gridSpan w:val="6"/>
            <w:vAlign w:val="center"/>
          </w:tcPr>
          <w:p w14:paraId="5D6D98E2" w14:textId="5B6A001E" w:rsidR="00A67F21" w:rsidRPr="00B12FE0" w:rsidRDefault="00000000">
            <w:pPr>
              <w:adjustRightInd w:val="0"/>
              <w:snapToGrid w:val="0"/>
              <w:rPr>
                <w:snapToGrid w:val="0"/>
                <w:color w:val="000000" w:themeColor="text1"/>
                <w:sz w:val="18"/>
                <w:szCs w:val="18"/>
              </w:rPr>
            </w:pPr>
            <w:r w:rsidRPr="00B12FE0">
              <w:rPr>
                <w:rFonts w:hint="eastAsia"/>
                <w:snapToGrid w:val="0"/>
                <w:color w:val="000000" w:themeColor="text1"/>
                <w:sz w:val="18"/>
                <w:szCs w:val="18"/>
              </w:rPr>
              <w:t>注：①</w:t>
            </w:r>
            <w:r w:rsidRPr="00B12FE0">
              <w:rPr>
                <w:snapToGrid w:val="0"/>
                <w:color w:val="000000" w:themeColor="text1"/>
                <w:sz w:val="18"/>
                <w:szCs w:val="18"/>
              </w:rPr>
              <w:t>混凝土密度取</w:t>
            </w:r>
            <w:r w:rsidRPr="00B12FE0">
              <w:rPr>
                <w:snapToGrid w:val="0"/>
                <w:color w:val="000000" w:themeColor="text1"/>
                <w:sz w:val="18"/>
                <w:szCs w:val="18"/>
              </w:rPr>
              <w:t>2.35g/cm</w:t>
            </w:r>
            <w:r w:rsidRPr="00B12FE0">
              <w:rPr>
                <w:snapToGrid w:val="0"/>
                <w:color w:val="000000" w:themeColor="text1"/>
                <w:sz w:val="18"/>
                <w:szCs w:val="18"/>
                <w:vertAlign w:val="superscript"/>
              </w:rPr>
              <w:t>3</w:t>
            </w:r>
            <w:r w:rsidRPr="00B12FE0">
              <w:rPr>
                <w:snapToGrid w:val="0"/>
                <w:color w:val="000000" w:themeColor="text1"/>
                <w:sz w:val="18"/>
                <w:szCs w:val="18"/>
              </w:rPr>
              <w:t>核算等效屏蔽厚度，折算铅当量参考《放射诊断放射防护要求》（</w:t>
            </w:r>
            <w:r w:rsidRPr="00B12FE0">
              <w:rPr>
                <w:snapToGrid w:val="0"/>
                <w:color w:val="000000" w:themeColor="text1"/>
                <w:sz w:val="18"/>
                <w:szCs w:val="18"/>
              </w:rPr>
              <w:t>GBZ 130-2020</w:t>
            </w:r>
            <w:r w:rsidRPr="00B12FE0">
              <w:rPr>
                <w:snapToGrid w:val="0"/>
                <w:color w:val="000000" w:themeColor="text1"/>
                <w:sz w:val="18"/>
                <w:szCs w:val="18"/>
              </w:rPr>
              <w:t>）中附录</w:t>
            </w:r>
            <w:r w:rsidRPr="00B12FE0">
              <w:rPr>
                <w:snapToGrid w:val="0"/>
                <w:color w:val="000000" w:themeColor="text1"/>
                <w:sz w:val="18"/>
                <w:szCs w:val="18"/>
              </w:rPr>
              <w:t>C</w:t>
            </w:r>
            <w:r w:rsidRPr="00B12FE0">
              <w:rPr>
                <w:snapToGrid w:val="0"/>
                <w:color w:val="000000" w:themeColor="text1"/>
                <w:sz w:val="18"/>
                <w:szCs w:val="18"/>
              </w:rPr>
              <w:t>中式（</w:t>
            </w:r>
            <w:r w:rsidRPr="00B12FE0">
              <w:rPr>
                <w:snapToGrid w:val="0"/>
                <w:color w:val="000000" w:themeColor="text1"/>
                <w:sz w:val="18"/>
                <w:szCs w:val="18"/>
              </w:rPr>
              <w:t>C.1</w:t>
            </w:r>
            <w:r w:rsidRPr="00B12FE0">
              <w:rPr>
                <w:snapToGrid w:val="0"/>
                <w:color w:val="000000" w:themeColor="text1"/>
                <w:sz w:val="18"/>
                <w:szCs w:val="18"/>
              </w:rPr>
              <w:t>）</w:t>
            </w:r>
            <w:r w:rsidRPr="00B12FE0">
              <w:rPr>
                <w:rFonts w:hint="eastAsia"/>
                <w:snapToGrid w:val="0"/>
                <w:color w:val="000000" w:themeColor="text1"/>
                <w:sz w:val="18"/>
                <w:szCs w:val="18"/>
              </w:rPr>
              <w:t>和</w:t>
            </w:r>
            <w:r w:rsidRPr="00B12FE0">
              <w:rPr>
                <w:snapToGrid w:val="0"/>
                <w:color w:val="000000" w:themeColor="text1"/>
                <w:sz w:val="18"/>
                <w:szCs w:val="18"/>
              </w:rPr>
              <w:t>式（</w:t>
            </w:r>
            <w:r w:rsidRPr="00B12FE0">
              <w:rPr>
                <w:snapToGrid w:val="0"/>
                <w:color w:val="000000" w:themeColor="text1"/>
                <w:sz w:val="18"/>
                <w:szCs w:val="18"/>
              </w:rPr>
              <w:t>C.2</w:t>
            </w:r>
            <w:r w:rsidRPr="00B12FE0">
              <w:rPr>
                <w:snapToGrid w:val="0"/>
                <w:color w:val="000000" w:themeColor="text1"/>
                <w:sz w:val="18"/>
                <w:szCs w:val="18"/>
              </w:rPr>
              <w:t>）及表</w:t>
            </w:r>
            <w:r w:rsidRPr="00B12FE0">
              <w:rPr>
                <w:snapToGrid w:val="0"/>
                <w:color w:val="000000" w:themeColor="text1"/>
                <w:sz w:val="18"/>
                <w:szCs w:val="18"/>
              </w:rPr>
              <w:t>C.2</w:t>
            </w:r>
            <w:r w:rsidRPr="00B12FE0">
              <w:rPr>
                <w:snapToGrid w:val="0"/>
                <w:color w:val="000000" w:themeColor="text1"/>
                <w:sz w:val="18"/>
                <w:szCs w:val="18"/>
              </w:rPr>
              <w:t>，在</w:t>
            </w:r>
            <w:r w:rsidRPr="00B12FE0">
              <w:rPr>
                <w:rFonts w:hint="eastAsia"/>
                <w:snapToGrid w:val="0"/>
                <w:color w:val="000000" w:themeColor="text1"/>
                <w:sz w:val="18"/>
                <w:szCs w:val="18"/>
              </w:rPr>
              <w:t>14</w:t>
            </w:r>
            <w:r w:rsidRPr="00B12FE0">
              <w:rPr>
                <w:snapToGrid w:val="0"/>
                <w:color w:val="000000" w:themeColor="text1"/>
                <w:sz w:val="18"/>
                <w:szCs w:val="18"/>
              </w:rPr>
              <w:t>0kV</w:t>
            </w:r>
            <w:r w:rsidRPr="00B12FE0">
              <w:rPr>
                <w:snapToGrid w:val="0"/>
                <w:color w:val="000000" w:themeColor="text1"/>
                <w:sz w:val="18"/>
                <w:szCs w:val="18"/>
              </w:rPr>
              <w:t>电压下，</w:t>
            </w:r>
            <w:r w:rsidRPr="00B12FE0">
              <w:rPr>
                <w:rFonts w:hint="eastAsia"/>
                <w:snapToGrid w:val="0"/>
                <w:color w:val="000000" w:themeColor="text1"/>
                <w:sz w:val="18"/>
                <w:szCs w:val="18"/>
              </w:rPr>
              <w:t>2</w:t>
            </w:r>
            <w:r w:rsidRPr="00B12FE0">
              <w:rPr>
                <w:snapToGrid w:val="0"/>
                <w:color w:val="000000" w:themeColor="text1"/>
                <w:sz w:val="18"/>
                <w:szCs w:val="18"/>
              </w:rPr>
              <w:t>50mm</w:t>
            </w:r>
            <w:r w:rsidRPr="00B12FE0">
              <w:rPr>
                <w:snapToGrid w:val="0"/>
                <w:color w:val="000000" w:themeColor="text1"/>
                <w:sz w:val="18"/>
                <w:szCs w:val="18"/>
              </w:rPr>
              <w:t>混凝土折算为</w:t>
            </w:r>
            <w:r w:rsidRPr="00B12FE0">
              <w:rPr>
                <w:rFonts w:hint="eastAsia"/>
                <w:snapToGrid w:val="0"/>
                <w:color w:val="000000" w:themeColor="text1"/>
                <w:sz w:val="18"/>
                <w:szCs w:val="18"/>
              </w:rPr>
              <w:t>3</w:t>
            </w:r>
            <w:r w:rsidRPr="00B12FE0">
              <w:rPr>
                <w:snapToGrid w:val="0"/>
                <w:color w:val="000000" w:themeColor="text1"/>
                <w:sz w:val="18"/>
                <w:szCs w:val="18"/>
              </w:rPr>
              <w:t>mmPb</w:t>
            </w:r>
            <w:r w:rsidRPr="00B12FE0">
              <w:rPr>
                <w:snapToGrid w:val="0"/>
                <w:color w:val="000000" w:themeColor="text1"/>
                <w:sz w:val="18"/>
                <w:szCs w:val="18"/>
              </w:rPr>
              <w:t>当量。</w:t>
            </w:r>
          </w:p>
          <w:p w14:paraId="508EFAE1" w14:textId="77777777" w:rsidR="00A67F21" w:rsidRPr="00B12FE0" w:rsidRDefault="00000000">
            <w:pPr>
              <w:adjustRightInd w:val="0"/>
              <w:snapToGrid w:val="0"/>
              <w:rPr>
                <w:snapToGrid w:val="0"/>
                <w:color w:val="000000" w:themeColor="text1"/>
                <w:sz w:val="18"/>
                <w:szCs w:val="18"/>
              </w:rPr>
            </w:pPr>
            <w:r w:rsidRPr="00B12FE0">
              <w:rPr>
                <w:rFonts w:hint="eastAsia"/>
                <w:snapToGrid w:val="0"/>
                <w:color w:val="000000" w:themeColor="text1"/>
                <w:sz w:val="18"/>
                <w:szCs w:val="18"/>
              </w:rPr>
              <w:t>②</w:t>
            </w:r>
            <w:r w:rsidRPr="00B12FE0">
              <w:rPr>
                <w:snapToGrid w:val="0"/>
                <w:color w:val="000000" w:themeColor="text1"/>
                <w:sz w:val="18"/>
                <w:szCs w:val="18"/>
              </w:rPr>
              <w:t>由于《放射诊断放射防护要求》（</w:t>
            </w:r>
            <w:r w:rsidRPr="00B12FE0">
              <w:rPr>
                <w:snapToGrid w:val="0"/>
                <w:color w:val="000000" w:themeColor="text1"/>
                <w:sz w:val="18"/>
                <w:szCs w:val="18"/>
              </w:rPr>
              <w:t>GBZ 130-2020</w:t>
            </w:r>
            <w:r w:rsidRPr="00B12FE0">
              <w:rPr>
                <w:snapToGrid w:val="0"/>
                <w:color w:val="000000" w:themeColor="text1"/>
                <w:sz w:val="18"/>
                <w:szCs w:val="18"/>
              </w:rPr>
              <w:t>）附录</w:t>
            </w:r>
            <w:r w:rsidRPr="00B12FE0">
              <w:rPr>
                <w:snapToGrid w:val="0"/>
                <w:color w:val="000000" w:themeColor="text1"/>
                <w:sz w:val="18"/>
                <w:szCs w:val="18"/>
              </w:rPr>
              <w:t>C</w:t>
            </w:r>
            <w:r w:rsidRPr="00B12FE0">
              <w:rPr>
                <w:snapToGrid w:val="0"/>
                <w:color w:val="000000" w:themeColor="text1"/>
                <w:sz w:val="18"/>
                <w:szCs w:val="18"/>
              </w:rPr>
              <w:t>中未提供实心砖在</w:t>
            </w:r>
            <w:r w:rsidRPr="00B12FE0">
              <w:rPr>
                <w:snapToGrid w:val="0"/>
                <w:color w:val="000000" w:themeColor="text1"/>
                <w:sz w:val="18"/>
                <w:szCs w:val="18"/>
              </w:rPr>
              <w:t>150kV</w:t>
            </w:r>
            <w:r w:rsidRPr="00B12FE0">
              <w:rPr>
                <w:rFonts w:hint="eastAsia"/>
                <w:snapToGrid w:val="0"/>
                <w:color w:val="000000" w:themeColor="text1"/>
                <w:sz w:val="18"/>
                <w:szCs w:val="18"/>
              </w:rPr>
              <w:t>电压的</w:t>
            </w:r>
            <w:r w:rsidRPr="00B12FE0">
              <w:rPr>
                <w:snapToGrid w:val="0"/>
                <w:color w:val="000000" w:themeColor="text1"/>
                <w:sz w:val="18"/>
                <w:szCs w:val="18"/>
              </w:rPr>
              <w:t>拟合参数，无法进行等效铅当量厚度的计算，故参考《放射防护实用手册》（主编赵兰才、张丹枫）表</w:t>
            </w:r>
            <w:r w:rsidRPr="00B12FE0">
              <w:rPr>
                <w:snapToGrid w:val="0"/>
                <w:color w:val="000000" w:themeColor="text1"/>
                <w:sz w:val="18"/>
                <w:szCs w:val="18"/>
              </w:rPr>
              <w:t>6.14</w:t>
            </w:r>
            <w:r w:rsidRPr="00B12FE0">
              <w:rPr>
                <w:snapToGrid w:val="0"/>
                <w:color w:val="000000" w:themeColor="text1"/>
                <w:sz w:val="18"/>
                <w:szCs w:val="18"/>
              </w:rPr>
              <w:t>，实心砖密度取</w:t>
            </w:r>
            <w:r w:rsidRPr="00B12FE0">
              <w:rPr>
                <w:snapToGrid w:val="0"/>
                <w:color w:val="000000" w:themeColor="text1"/>
                <w:sz w:val="18"/>
                <w:szCs w:val="18"/>
              </w:rPr>
              <w:t>1.65g/cm</w:t>
            </w:r>
            <w:r w:rsidRPr="00B12FE0">
              <w:rPr>
                <w:snapToGrid w:val="0"/>
                <w:color w:val="000000" w:themeColor="text1"/>
                <w:sz w:val="18"/>
                <w:szCs w:val="18"/>
                <w:vertAlign w:val="superscript"/>
              </w:rPr>
              <w:t>3</w:t>
            </w:r>
            <w:r w:rsidRPr="00B12FE0">
              <w:rPr>
                <w:snapToGrid w:val="0"/>
                <w:color w:val="000000" w:themeColor="text1"/>
                <w:sz w:val="18"/>
                <w:szCs w:val="18"/>
              </w:rPr>
              <w:t>核算等效屏蔽厚度，</w:t>
            </w:r>
            <w:r w:rsidRPr="00B12FE0">
              <w:rPr>
                <w:rFonts w:hint="eastAsia"/>
                <w:snapToGrid w:val="0"/>
                <w:color w:val="000000" w:themeColor="text1"/>
                <w:sz w:val="18"/>
                <w:szCs w:val="18"/>
              </w:rPr>
              <w:t>24</w:t>
            </w:r>
            <w:r w:rsidRPr="00B12FE0">
              <w:rPr>
                <w:snapToGrid w:val="0"/>
                <w:color w:val="000000" w:themeColor="text1"/>
                <w:sz w:val="18"/>
                <w:szCs w:val="18"/>
              </w:rPr>
              <w:t>cm</w:t>
            </w:r>
            <w:r w:rsidRPr="00B12FE0">
              <w:rPr>
                <w:snapToGrid w:val="0"/>
                <w:color w:val="000000" w:themeColor="text1"/>
                <w:sz w:val="18"/>
                <w:szCs w:val="18"/>
              </w:rPr>
              <w:t>实心砖折算为</w:t>
            </w:r>
            <w:r w:rsidRPr="00B12FE0">
              <w:rPr>
                <w:rFonts w:hint="eastAsia"/>
                <w:snapToGrid w:val="0"/>
                <w:color w:val="000000" w:themeColor="text1"/>
                <w:sz w:val="18"/>
                <w:szCs w:val="18"/>
              </w:rPr>
              <w:t>2</w:t>
            </w:r>
            <w:r w:rsidRPr="00B12FE0">
              <w:rPr>
                <w:snapToGrid w:val="0"/>
                <w:color w:val="000000" w:themeColor="text1"/>
                <w:sz w:val="18"/>
                <w:szCs w:val="18"/>
              </w:rPr>
              <w:t>mmPb</w:t>
            </w:r>
            <w:r w:rsidRPr="00B12FE0">
              <w:rPr>
                <w:snapToGrid w:val="0"/>
                <w:color w:val="000000" w:themeColor="text1"/>
                <w:sz w:val="18"/>
                <w:szCs w:val="18"/>
              </w:rPr>
              <w:t>当量。</w:t>
            </w:r>
          </w:p>
          <w:p w14:paraId="183B6F58" w14:textId="77777777" w:rsidR="00A67F21" w:rsidRPr="00B12FE0" w:rsidRDefault="00000000">
            <w:pPr>
              <w:adjustRightInd w:val="0"/>
              <w:snapToGrid w:val="0"/>
              <w:rPr>
                <w:snapToGrid w:val="0"/>
                <w:color w:val="000000" w:themeColor="text1"/>
                <w:sz w:val="18"/>
                <w:szCs w:val="18"/>
              </w:rPr>
            </w:pPr>
            <w:r w:rsidRPr="00B12FE0">
              <w:rPr>
                <w:rFonts w:hint="eastAsia"/>
                <w:snapToGrid w:val="0"/>
                <w:color w:val="000000" w:themeColor="text1"/>
                <w:sz w:val="18"/>
                <w:szCs w:val="18"/>
              </w:rPr>
              <w:t>③硫酸钡防护涂料</w:t>
            </w:r>
            <w:r w:rsidRPr="00B12FE0">
              <w:rPr>
                <w:snapToGrid w:val="0"/>
                <w:color w:val="000000" w:themeColor="text1"/>
                <w:sz w:val="18"/>
                <w:szCs w:val="18"/>
              </w:rPr>
              <w:t>密度</w:t>
            </w:r>
            <w:r w:rsidRPr="00B12FE0">
              <w:rPr>
                <w:rFonts w:hint="eastAsia"/>
                <w:snapToGrid w:val="0"/>
                <w:color w:val="000000" w:themeColor="text1"/>
                <w:sz w:val="18"/>
                <w:szCs w:val="18"/>
              </w:rPr>
              <w:t>不低于</w:t>
            </w:r>
            <w:r w:rsidRPr="00B12FE0">
              <w:rPr>
                <w:rFonts w:hint="eastAsia"/>
                <w:snapToGrid w:val="0"/>
                <w:color w:val="000000" w:themeColor="text1"/>
                <w:sz w:val="18"/>
                <w:szCs w:val="18"/>
              </w:rPr>
              <w:t>2.7</w:t>
            </w:r>
            <w:r w:rsidRPr="00B12FE0">
              <w:rPr>
                <w:snapToGrid w:val="0"/>
                <w:color w:val="000000" w:themeColor="text1"/>
                <w:sz w:val="18"/>
                <w:szCs w:val="18"/>
              </w:rPr>
              <w:t>g/</w:t>
            </w:r>
            <w:r w:rsidRPr="00B12FE0">
              <w:rPr>
                <w:rFonts w:hint="eastAsia"/>
                <w:snapToGrid w:val="0"/>
                <w:color w:val="000000" w:themeColor="text1"/>
                <w:sz w:val="18"/>
                <w:szCs w:val="18"/>
              </w:rPr>
              <w:t>c</w:t>
            </w:r>
            <w:r w:rsidRPr="00B12FE0">
              <w:rPr>
                <w:snapToGrid w:val="0"/>
                <w:color w:val="000000" w:themeColor="text1"/>
                <w:sz w:val="18"/>
                <w:szCs w:val="18"/>
              </w:rPr>
              <w:t>m</w:t>
            </w:r>
            <w:r w:rsidRPr="00B12FE0">
              <w:rPr>
                <w:snapToGrid w:val="0"/>
                <w:color w:val="000000" w:themeColor="text1"/>
                <w:sz w:val="18"/>
                <w:szCs w:val="18"/>
                <w:vertAlign w:val="superscript"/>
              </w:rPr>
              <w:t>3</w:t>
            </w:r>
            <w:r w:rsidRPr="00B12FE0">
              <w:rPr>
                <w:rFonts w:hint="eastAsia"/>
                <w:snapToGrid w:val="0"/>
                <w:color w:val="000000" w:themeColor="text1"/>
                <w:sz w:val="18"/>
                <w:szCs w:val="18"/>
              </w:rPr>
              <w:t>，</w:t>
            </w:r>
            <w:r w:rsidRPr="00B12FE0">
              <w:rPr>
                <w:snapToGrid w:val="0"/>
                <w:color w:val="000000" w:themeColor="text1"/>
                <w:sz w:val="18"/>
                <w:szCs w:val="18"/>
              </w:rPr>
              <w:t>2</w:t>
            </w:r>
            <w:r w:rsidRPr="00B12FE0">
              <w:rPr>
                <w:rFonts w:hint="eastAsia"/>
                <w:snapToGrid w:val="0"/>
                <w:color w:val="000000" w:themeColor="text1"/>
                <w:sz w:val="18"/>
                <w:szCs w:val="18"/>
              </w:rPr>
              <w:t>0mm</w:t>
            </w:r>
            <w:r w:rsidRPr="00B12FE0">
              <w:rPr>
                <w:rFonts w:hint="eastAsia"/>
                <w:snapToGrid w:val="0"/>
                <w:color w:val="000000" w:themeColor="text1"/>
                <w:sz w:val="18"/>
                <w:szCs w:val="18"/>
              </w:rPr>
              <w:t>厚度等效为</w:t>
            </w:r>
            <w:r w:rsidRPr="00B12FE0">
              <w:rPr>
                <w:rFonts w:hint="eastAsia"/>
                <w:snapToGrid w:val="0"/>
                <w:color w:val="000000" w:themeColor="text1"/>
                <w:sz w:val="18"/>
                <w:szCs w:val="18"/>
              </w:rPr>
              <w:t>1mmPb</w:t>
            </w:r>
            <w:r w:rsidRPr="00B12FE0">
              <w:rPr>
                <w:rFonts w:hint="eastAsia"/>
                <w:snapToGrid w:val="0"/>
                <w:color w:val="000000" w:themeColor="text1"/>
                <w:sz w:val="18"/>
                <w:szCs w:val="18"/>
              </w:rPr>
              <w:t>。</w:t>
            </w:r>
          </w:p>
        </w:tc>
      </w:tr>
    </w:tbl>
    <w:p w14:paraId="0594F0EA" w14:textId="77777777" w:rsidR="00A67F21" w:rsidRPr="00B12FE0" w:rsidRDefault="00000000">
      <w:pPr>
        <w:adjustRightInd w:val="0"/>
        <w:snapToGrid w:val="0"/>
        <w:spacing w:line="360" w:lineRule="auto"/>
        <w:ind w:firstLineChars="200" w:firstLine="480"/>
        <w:rPr>
          <w:snapToGrid w:val="0"/>
          <w:color w:val="000000" w:themeColor="text1"/>
          <w:kern w:val="0"/>
          <w:szCs w:val="24"/>
        </w:rPr>
      </w:pPr>
      <w:r w:rsidRPr="00B12FE0">
        <w:rPr>
          <w:snapToGrid w:val="0"/>
          <w:color w:val="000000" w:themeColor="text1"/>
          <w:kern w:val="0"/>
          <w:szCs w:val="24"/>
        </w:rPr>
        <w:t>通过</w:t>
      </w:r>
      <w:r w:rsidRPr="00B12FE0">
        <w:rPr>
          <w:rFonts w:hint="eastAsia"/>
          <w:snapToGrid w:val="0"/>
          <w:color w:val="000000" w:themeColor="text1"/>
          <w:kern w:val="0"/>
          <w:szCs w:val="24"/>
        </w:rPr>
        <w:t>上表</w:t>
      </w:r>
      <w:r w:rsidRPr="00B12FE0">
        <w:rPr>
          <w:snapToGrid w:val="0"/>
          <w:color w:val="000000" w:themeColor="text1"/>
          <w:kern w:val="0"/>
          <w:szCs w:val="24"/>
        </w:rPr>
        <w:t>可知，本项目</w:t>
      </w:r>
      <w:r w:rsidRPr="00B12FE0">
        <w:rPr>
          <w:rFonts w:hint="eastAsia"/>
          <w:snapToGrid w:val="0"/>
          <w:color w:val="000000" w:themeColor="text1"/>
          <w:szCs w:val="24"/>
        </w:rPr>
        <w:t>模拟定位</w:t>
      </w:r>
      <w:r w:rsidRPr="00B12FE0">
        <w:rPr>
          <w:rFonts w:hint="eastAsia"/>
          <w:snapToGrid w:val="0"/>
          <w:color w:val="000000" w:themeColor="text1"/>
          <w:szCs w:val="24"/>
        </w:rPr>
        <w:t>CT</w:t>
      </w:r>
      <w:r w:rsidRPr="00B12FE0">
        <w:rPr>
          <w:rFonts w:hint="eastAsia"/>
          <w:snapToGrid w:val="0"/>
          <w:color w:val="000000" w:themeColor="text1"/>
          <w:szCs w:val="24"/>
        </w:rPr>
        <w:t>机房</w:t>
      </w:r>
      <w:r w:rsidRPr="00B12FE0">
        <w:rPr>
          <w:snapToGrid w:val="0"/>
          <w:color w:val="000000" w:themeColor="text1"/>
          <w:kern w:val="0"/>
          <w:szCs w:val="24"/>
        </w:rPr>
        <w:t>面积、最小单边长度均大于标准要求，其四</w:t>
      </w:r>
      <w:r w:rsidRPr="00B12FE0">
        <w:rPr>
          <w:rFonts w:hint="eastAsia"/>
          <w:snapToGrid w:val="0"/>
          <w:color w:val="000000" w:themeColor="text1"/>
          <w:kern w:val="0"/>
          <w:szCs w:val="24"/>
        </w:rPr>
        <w:t>侧</w:t>
      </w:r>
      <w:r w:rsidRPr="00B12FE0">
        <w:rPr>
          <w:snapToGrid w:val="0"/>
          <w:color w:val="000000" w:themeColor="text1"/>
          <w:kern w:val="0"/>
          <w:szCs w:val="24"/>
        </w:rPr>
        <w:t>墙体、顶棚、</w:t>
      </w:r>
      <w:r w:rsidRPr="00B12FE0">
        <w:rPr>
          <w:rFonts w:hint="eastAsia"/>
          <w:snapToGrid w:val="0"/>
          <w:color w:val="000000" w:themeColor="text1"/>
          <w:kern w:val="0"/>
          <w:szCs w:val="24"/>
        </w:rPr>
        <w:t>地坪、</w:t>
      </w:r>
      <w:r w:rsidRPr="00B12FE0">
        <w:rPr>
          <w:snapToGrid w:val="0"/>
          <w:color w:val="000000" w:themeColor="text1"/>
          <w:kern w:val="0"/>
          <w:szCs w:val="24"/>
        </w:rPr>
        <w:t>防护门以及观察窗均采取了辐射屏蔽措施，充分考虑了邻室（含楼上及楼下）及周围场所的人员防护与安全，且屏蔽厚度均高于有用线束和非有用线束铅当量防护厚度标准规定值。从</w:t>
      </w:r>
      <w:r w:rsidRPr="00B12FE0">
        <w:rPr>
          <w:snapToGrid w:val="0"/>
          <w:color w:val="000000" w:themeColor="text1"/>
          <w:kern w:val="0"/>
          <w:szCs w:val="24"/>
        </w:rPr>
        <w:t>X</w:t>
      </w:r>
      <w:r w:rsidRPr="00B12FE0">
        <w:rPr>
          <w:snapToGrid w:val="0"/>
          <w:color w:val="000000" w:themeColor="text1"/>
          <w:kern w:val="0"/>
          <w:szCs w:val="24"/>
        </w:rPr>
        <w:t>射线放射诊断场所的屏蔽方面考虑，</w:t>
      </w:r>
      <w:r w:rsidRPr="00B12FE0">
        <w:rPr>
          <w:rFonts w:hint="eastAsia"/>
          <w:snapToGrid w:val="0"/>
          <w:color w:val="000000" w:themeColor="text1"/>
          <w:kern w:val="0"/>
          <w:szCs w:val="24"/>
        </w:rPr>
        <w:t>本项目介入手术项目机房</w:t>
      </w:r>
      <w:r w:rsidRPr="00B12FE0">
        <w:rPr>
          <w:snapToGrid w:val="0"/>
          <w:color w:val="000000" w:themeColor="text1"/>
          <w:kern w:val="0"/>
          <w:szCs w:val="24"/>
        </w:rPr>
        <w:t>的防护设施的技术要求满足</w:t>
      </w:r>
      <w:r w:rsidRPr="00B12FE0">
        <w:rPr>
          <w:snapToGrid w:val="0"/>
          <w:color w:val="000000" w:themeColor="text1"/>
          <w:szCs w:val="24"/>
        </w:rPr>
        <w:t>《</w:t>
      </w:r>
      <w:r w:rsidRPr="00B12FE0">
        <w:rPr>
          <w:rFonts w:hint="eastAsia"/>
          <w:snapToGrid w:val="0"/>
          <w:color w:val="000000" w:themeColor="text1"/>
          <w:szCs w:val="24"/>
        </w:rPr>
        <w:t>放射诊断放射防护要求</w:t>
      </w:r>
      <w:r w:rsidRPr="00B12FE0">
        <w:rPr>
          <w:snapToGrid w:val="0"/>
          <w:color w:val="000000" w:themeColor="text1"/>
          <w:szCs w:val="24"/>
        </w:rPr>
        <w:t>》（</w:t>
      </w:r>
      <w:r w:rsidRPr="00B12FE0">
        <w:rPr>
          <w:rFonts w:hint="eastAsia"/>
          <w:snapToGrid w:val="0"/>
          <w:color w:val="000000" w:themeColor="text1"/>
          <w:szCs w:val="24"/>
        </w:rPr>
        <w:t>GBZ 130-2020</w:t>
      </w:r>
      <w:r w:rsidRPr="00B12FE0">
        <w:rPr>
          <w:snapToGrid w:val="0"/>
          <w:color w:val="000000" w:themeColor="text1"/>
          <w:szCs w:val="24"/>
        </w:rPr>
        <w:t>）</w:t>
      </w:r>
      <w:r w:rsidRPr="00B12FE0">
        <w:rPr>
          <w:snapToGrid w:val="0"/>
          <w:color w:val="000000" w:themeColor="text1"/>
          <w:kern w:val="0"/>
          <w:szCs w:val="24"/>
        </w:rPr>
        <w:t>中的相关防护设施的技术要求</w:t>
      </w:r>
      <w:r w:rsidRPr="00B12FE0">
        <w:rPr>
          <w:rFonts w:hint="eastAsia"/>
          <w:snapToGrid w:val="0"/>
          <w:color w:val="000000" w:themeColor="text1"/>
          <w:kern w:val="0"/>
          <w:szCs w:val="24"/>
        </w:rPr>
        <w:t>。</w:t>
      </w:r>
    </w:p>
    <w:p w14:paraId="3DEAFD53" w14:textId="77777777" w:rsidR="00A67F21" w:rsidRPr="00B12FE0" w:rsidRDefault="00000000">
      <w:pPr>
        <w:adjustRightInd w:val="0"/>
        <w:snapToGrid w:val="0"/>
        <w:spacing w:line="360" w:lineRule="auto"/>
        <w:rPr>
          <w:b/>
          <w:bCs/>
          <w:snapToGrid w:val="0"/>
          <w:color w:val="000000" w:themeColor="text1"/>
          <w:kern w:val="0"/>
          <w:szCs w:val="24"/>
        </w:rPr>
      </w:pPr>
      <w:r w:rsidRPr="00B12FE0">
        <w:rPr>
          <w:b/>
          <w:bCs/>
          <w:color w:val="000000" w:themeColor="text1"/>
          <w:szCs w:val="24"/>
        </w:rPr>
        <w:t>10.1.2</w:t>
      </w:r>
      <w:r w:rsidRPr="00B12FE0">
        <w:rPr>
          <w:rFonts w:hint="eastAsia"/>
          <w:b/>
          <w:bCs/>
          <w:color w:val="000000" w:themeColor="text1"/>
          <w:szCs w:val="24"/>
        </w:rPr>
        <w:t>.3</w:t>
      </w:r>
      <w:r w:rsidRPr="00B12FE0">
        <w:rPr>
          <w:b/>
          <w:bCs/>
          <w:color w:val="000000" w:themeColor="text1"/>
          <w:szCs w:val="24"/>
        </w:rPr>
        <w:t>.2</w:t>
      </w:r>
      <w:r w:rsidRPr="00B12FE0">
        <w:rPr>
          <w:rFonts w:hint="eastAsia"/>
          <w:b/>
          <w:bCs/>
          <w:color w:val="000000" w:themeColor="text1"/>
          <w:szCs w:val="24"/>
        </w:rPr>
        <w:t>模拟定位</w:t>
      </w:r>
      <w:r w:rsidRPr="00B12FE0">
        <w:rPr>
          <w:rFonts w:hint="eastAsia"/>
          <w:b/>
          <w:bCs/>
          <w:color w:val="000000" w:themeColor="text1"/>
          <w:szCs w:val="24"/>
        </w:rPr>
        <w:t>CT</w:t>
      </w:r>
      <w:r w:rsidRPr="00B12FE0">
        <w:rPr>
          <w:b/>
          <w:bCs/>
          <w:color w:val="000000" w:themeColor="text1"/>
          <w:szCs w:val="24"/>
        </w:rPr>
        <w:t>机辐射防护安全措施</w:t>
      </w:r>
    </w:p>
    <w:p w14:paraId="7B053B74"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ascii="宋体" w:hAnsi="宋体" w:cs="宋体" w:hint="eastAsia"/>
          <w:snapToGrid w:val="0"/>
          <w:color w:val="000000" w:themeColor="text1"/>
          <w:szCs w:val="24"/>
        </w:rPr>
        <w:t>①</w:t>
      </w:r>
      <w:r w:rsidRPr="00B12FE0">
        <w:rPr>
          <w:snapToGrid w:val="0"/>
          <w:color w:val="000000" w:themeColor="text1"/>
          <w:szCs w:val="24"/>
        </w:rPr>
        <w:t>机房内布局要合理，避免有用线束直接照射门、窗和管线口位置；</w:t>
      </w:r>
      <w:r w:rsidRPr="00B12FE0">
        <w:rPr>
          <w:rFonts w:hint="eastAsia"/>
          <w:snapToGrid w:val="0"/>
          <w:color w:val="000000" w:themeColor="text1"/>
          <w:szCs w:val="24"/>
        </w:rPr>
        <w:t xml:space="preserve"> </w:t>
      </w:r>
      <w:r w:rsidRPr="00B12FE0">
        <w:rPr>
          <w:rFonts w:hint="eastAsia"/>
          <w:snapToGrid w:val="0"/>
          <w:color w:val="000000" w:themeColor="text1"/>
          <w:szCs w:val="24"/>
        </w:rPr>
        <w:t>模拟定位</w:t>
      </w:r>
      <w:r w:rsidRPr="00B12FE0">
        <w:rPr>
          <w:rFonts w:hint="eastAsia"/>
          <w:snapToGrid w:val="0"/>
          <w:color w:val="000000" w:themeColor="text1"/>
          <w:szCs w:val="24"/>
        </w:rPr>
        <w:t>CT</w:t>
      </w:r>
      <w:r w:rsidRPr="00B12FE0">
        <w:rPr>
          <w:rFonts w:hint="eastAsia"/>
          <w:snapToGrid w:val="0"/>
          <w:color w:val="000000" w:themeColor="text1"/>
          <w:szCs w:val="24"/>
        </w:rPr>
        <w:t>机</w:t>
      </w:r>
      <w:r w:rsidRPr="00B12FE0">
        <w:rPr>
          <w:snapToGrid w:val="0"/>
          <w:color w:val="000000" w:themeColor="text1"/>
          <w:szCs w:val="24"/>
        </w:rPr>
        <w:t>机房</w:t>
      </w:r>
      <w:r w:rsidRPr="00B12FE0">
        <w:rPr>
          <w:rFonts w:hint="eastAsia"/>
          <w:snapToGrid w:val="0"/>
          <w:color w:val="000000" w:themeColor="text1"/>
          <w:szCs w:val="24"/>
        </w:rPr>
        <w:t>尺寸和</w:t>
      </w:r>
      <w:r w:rsidRPr="00B12FE0">
        <w:rPr>
          <w:snapToGrid w:val="0"/>
          <w:color w:val="000000" w:themeColor="text1"/>
          <w:szCs w:val="24"/>
        </w:rPr>
        <w:t>屏蔽情况详见</w:t>
      </w:r>
      <w:r w:rsidRPr="00B12FE0">
        <w:rPr>
          <w:b/>
          <w:bCs/>
          <w:color w:val="000000" w:themeColor="text1"/>
          <w:szCs w:val="24"/>
        </w:rPr>
        <w:t>表</w:t>
      </w:r>
      <w:r w:rsidRPr="00B12FE0">
        <w:rPr>
          <w:b/>
          <w:bCs/>
          <w:snapToGrid w:val="0"/>
          <w:color w:val="000000" w:themeColor="text1"/>
          <w:szCs w:val="24"/>
        </w:rPr>
        <w:t>10.1.2.3-2</w:t>
      </w:r>
      <w:r w:rsidRPr="00B12FE0">
        <w:rPr>
          <w:rFonts w:hint="eastAsia"/>
          <w:b/>
          <w:bCs/>
          <w:snapToGrid w:val="0"/>
          <w:color w:val="000000" w:themeColor="text1"/>
          <w:szCs w:val="24"/>
        </w:rPr>
        <w:t>、</w:t>
      </w:r>
      <w:r w:rsidRPr="00B12FE0">
        <w:rPr>
          <w:b/>
          <w:bCs/>
          <w:color w:val="000000" w:themeColor="text1"/>
          <w:szCs w:val="24"/>
        </w:rPr>
        <w:t>表</w:t>
      </w:r>
      <w:r w:rsidRPr="00B12FE0">
        <w:rPr>
          <w:b/>
          <w:bCs/>
          <w:snapToGrid w:val="0"/>
          <w:color w:val="000000" w:themeColor="text1"/>
          <w:szCs w:val="24"/>
        </w:rPr>
        <w:t>10.1.2.3-</w:t>
      </w:r>
      <w:r w:rsidRPr="00B12FE0">
        <w:rPr>
          <w:rFonts w:hint="eastAsia"/>
          <w:b/>
          <w:bCs/>
          <w:snapToGrid w:val="0"/>
          <w:color w:val="000000" w:themeColor="text1"/>
          <w:szCs w:val="24"/>
        </w:rPr>
        <w:t>3</w:t>
      </w:r>
      <w:r w:rsidRPr="00B12FE0">
        <w:rPr>
          <w:snapToGrid w:val="0"/>
          <w:color w:val="000000" w:themeColor="text1"/>
          <w:szCs w:val="24"/>
        </w:rPr>
        <w:t>，其防护能力符合相关标准要求。</w:t>
      </w:r>
    </w:p>
    <w:p w14:paraId="12C6DD56"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ascii="宋体" w:hAnsi="宋体" w:cs="宋体" w:hint="eastAsia"/>
          <w:snapToGrid w:val="0"/>
          <w:color w:val="000000" w:themeColor="text1"/>
          <w:szCs w:val="24"/>
        </w:rPr>
        <w:t>②</w:t>
      </w:r>
      <w:r w:rsidRPr="00B12FE0">
        <w:rPr>
          <w:rFonts w:hint="eastAsia"/>
          <w:snapToGrid w:val="0"/>
          <w:color w:val="000000" w:themeColor="text1"/>
          <w:szCs w:val="24"/>
        </w:rPr>
        <w:t>控制</w:t>
      </w:r>
      <w:r w:rsidRPr="00B12FE0">
        <w:rPr>
          <w:snapToGrid w:val="0"/>
          <w:color w:val="000000" w:themeColor="text1"/>
          <w:szCs w:val="24"/>
        </w:rPr>
        <w:t>室</w:t>
      </w:r>
      <w:r w:rsidRPr="00B12FE0">
        <w:rPr>
          <w:rFonts w:hint="eastAsia"/>
          <w:snapToGrid w:val="0"/>
          <w:color w:val="000000" w:themeColor="text1"/>
          <w:szCs w:val="24"/>
        </w:rPr>
        <w:t>内</w:t>
      </w:r>
      <w:r w:rsidRPr="00B12FE0">
        <w:rPr>
          <w:snapToGrid w:val="0"/>
          <w:color w:val="000000" w:themeColor="text1"/>
          <w:szCs w:val="24"/>
        </w:rPr>
        <w:t>张贴相应的各项规章制度、操作规程。</w:t>
      </w:r>
    </w:p>
    <w:p w14:paraId="7225DA05"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ascii="宋体" w:hAnsi="宋体" w:cs="宋体" w:hint="eastAsia"/>
          <w:snapToGrid w:val="0"/>
          <w:color w:val="000000" w:themeColor="text1"/>
          <w:szCs w:val="24"/>
        </w:rPr>
        <w:t>③</w:t>
      </w:r>
      <w:r w:rsidRPr="00B12FE0">
        <w:rPr>
          <w:snapToGrid w:val="0"/>
          <w:color w:val="000000" w:themeColor="text1"/>
          <w:szCs w:val="24"/>
        </w:rPr>
        <w:t>机房门外设电离辐射警告标志，门上方设醒目的工作状态指示灯，灯箱处设警示语句；候诊区设放射防护注意事项告知栏。机房门设有闭门装置，工作状态指示灯能与机房门有效关联。</w:t>
      </w:r>
    </w:p>
    <w:p w14:paraId="3129F158"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ascii="宋体" w:hAnsi="宋体" w:cs="宋体" w:hint="eastAsia"/>
          <w:snapToGrid w:val="0"/>
          <w:color w:val="000000" w:themeColor="text1"/>
          <w:szCs w:val="24"/>
        </w:rPr>
        <w:t>④</w:t>
      </w:r>
      <w:r w:rsidRPr="00B12FE0">
        <w:rPr>
          <w:snapToGrid w:val="0"/>
          <w:color w:val="000000" w:themeColor="text1"/>
          <w:szCs w:val="24"/>
        </w:rPr>
        <w:t>所有辐射工作人员必须配备个人剂量计。</w:t>
      </w:r>
    </w:p>
    <w:p w14:paraId="311C9CCE" w14:textId="77777777" w:rsidR="00A67F21" w:rsidRPr="00B12FE0" w:rsidRDefault="00000000">
      <w:pPr>
        <w:adjustRightInd w:val="0"/>
        <w:snapToGrid w:val="0"/>
        <w:spacing w:line="360" w:lineRule="auto"/>
        <w:ind w:firstLineChars="200" w:firstLine="480"/>
        <w:rPr>
          <w:snapToGrid w:val="0"/>
          <w:color w:val="000000" w:themeColor="text1"/>
          <w:kern w:val="0"/>
          <w:sz w:val="21"/>
          <w:szCs w:val="24"/>
        </w:rPr>
      </w:pPr>
      <w:r w:rsidRPr="00B12FE0">
        <w:rPr>
          <w:rFonts w:ascii="宋体" w:hAnsi="宋体" w:cs="宋体" w:hint="eastAsia"/>
          <w:snapToGrid w:val="0"/>
          <w:color w:val="000000" w:themeColor="text1"/>
        </w:rPr>
        <w:t>⑤</w:t>
      </w:r>
      <w:r w:rsidRPr="00B12FE0">
        <w:rPr>
          <w:snapToGrid w:val="0"/>
          <w:color w:val="000000" w:themeColor="text1"/>
          <w:kern w:val="0"/>
          <w:szCs w:val="24"/>
        </w:rPr>
        <w:t>机房</w:t>
      </w:r>
      <w:r w:rsidRPr="00B12FE0">
        <w:rPr>
          <w:rFonts w:hint="eastAsia"/>
          <w:snapToGrid w:val="0"/>
          <w:color w:val="000000" w:themeColor="text1"/>
          <w:kern w:val="0"/>
          <w:szCs w:val="24"/>
        </w:rPr>
        <w:t>拟</w:t>
      </w:r>
      <w:r w:rsidRPr="00B12FE0">
        <w:rPr>
          <w:snapToGrid w:val="0"/>
          <w:color w:val="000000" w:themeColor="text1"/>
          <w:kern w:val="0"/>
          <w:szCs w:val="24"/>
        </w:rPr>
        <w:t>采用</w:t>
      </w:r>
      <w:r w:rsidRPr="00B12FE0">
        <w:rPr>
          <w:rFonts w:hint="eastAsia"/>
          <w:snapToGrid w:val="0"/>
          <w:color w:val="000000" w:themeColor="text1"/>
          <w:kern w:val="0"/>
          <w:szCs w:val="24"/>
        </w:rPr>
        <w:t>动力通风装置</w:t>
      </w:r>
      <w:r w:rsidRPr="00B12FE0">
        <w:rPr>
          <w:snapToGrid w:val="0"/>
          <w:color w:val="000000" w:themeColor="text1"/>
          <w:kern w:val="0"/>
          <w:szCs w:val="24"/>
        </w:rPr>
        <w:t>进行通风，</w:t>
      </w:r>
      <w:r w:rsidRPr="00B12FE0">
        <w:rPr>
          <w:rFonts w:hint="eastAsia"/>
          <w:snapToGrid w:val="0"/>
          <w:color w:val="000000" w:themeColor="text1"/>
          <w:kern w:val="0"/>
          <w:szCs w:val="24"/>
        </w:rPr>
        <w:t>排放口</w:t>
      </w:r>
      <w:r w:rsidRPr="00B12FE0">
        <w:rPr>
          <w:snapToGrid w:val="0"/>
          <w:color w:val="000000" w:themeColor="text1"/>
          <w:kern w:val="0"/>
          <w:szCs w:val="24"/>
        </w:rPr>
        <w:t>均设置于机房</w:t>
      </w:r>
      <w:r w:rsidRPr="00B12FE0">
        <w:rPr>
          <w:rFonts w:hint="eastAsia"/>
          <w:snapToGrid w:val="0"/>
          <w:color w:val="000000" w:themeColor="text1"/>
          <w:kern w:val="0"/>
          <w:szCs w:val="24"/>
        </w:rPr>
        <w:t>吊顶，</w:t>
      </w:r>
      <w:r w:rsidRPr="00B12FE0">
        <w:rPr>
          <w:snapToGrid w:val="0"/>
          <w:color w:val="000000" w:themeColor="text1"/>
          <w:kern w:val="0"/>
          <w:szCs w:val="24"/>
        </w:rPr>
        <w:t>保证机房内有良好的通风。设备管线</w:t>
      </w:r>
      <w:proofErr w:type="gramStart"/>
      <w:r w:rsidRPr="00B12FE0">
        <w:rPr>
          <w:snapToGrid w:val="0"/>
          <w:color w:val="000000" w:themeColor="text1"/>
          <w:kern w:val="0"/>
          <w:szCs w:val="24"/>
        </w:rPr>
        <w:t>等均拟以</w:t>
      </w:r>
      <w:proofErr w:type="gramEnd"/>
      <w:r w:rsidRPr="00B12FE0">
        <w:rPr>
          <w:rFonts w:ascii="宋体" w:cs="宋体" w:hint="eastAsia"/>
          <w:snapToGrid w:val="0"/>
          <w:color w:val="000000" w:themeColor="text1"/>
          <w:kern w:val="0"/>
        </w:rPr>
        <w:t>地沟穿过墙体，地沟上盖钢板。</w:t>
      </w:r>
    </w:p>
    <w:p w14:paraId="31B84A87"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ascii="宋体" w:hAnsi="宋体" w:cs="宋体" w:hint="eastAsia"/>
          <w:snapToGrid w:val="0"/>
          <w:color w:val="000000" w:themeColor="text1"/>
          <w:szCs w:val="24"/>
        </w:rPr>
        <w:t>⑥</w:t>
      </w:r>
      <w:r w:rsidRPr="00B12FE0">
        <w:rPr>
          <w:snapToGrid w:val="0"/>
          <w:color w:val="000000" w:themeColor="text1"/>
          <w:szCs w:val="24"/>
        </w:rPr>
        <w:t>在满足诊断要求的前提下，在每次使用射线装置进行诊断之前，根据诊断要求</w:t>
      </w:r>
      <w:r w:rsidRPr="00B12FE0">
        <w:rPr>
          <w:snapToGrid w:val="0"/>
          <w:color w:val="000000" w:themeColor="text1"/>
          <w:szCs w:val="24"/>
        </w:rPr>
        <w:lastRenderedPageBreak/>
        <w:t>和病人实际情况制定最优化的诊断方案，选择合理可行尽量低的射线照射参数，以及尽量短的曝光时间，减少工作人员和相关公众的受照时间，也避免病人受到额外剂量的照射。</w:t>
      </w:r>
    </w:p>
    <w:p w14:paraId="060FDFA8"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rFonts w:ascii="宋体" w:hAnsi="宋体" w:cs="宋体" w:hint="eastAsia"/>
          <w:snapToGrid w:val="0"/>
          <w:color w:val="000000" w:themeColor="text1"/>
          <w:szCs w:val="24"/>
        </w:rPr>
        <w:t>⑦</w:t>
      </w:r>
      <w:r w:rsidRPr="00B12FE0">
        <w:rPr>
          <w:snapToGrid w:val="0"/>
          <w:color w:val="000000" w:themeColor="text1"/>
          <w:szCs w:val="24"/>
        </w:rPr>
        <w:t>机房应配备相应的防护用品与辅助防护设施，其配置要求需按照</w:t>
      </w:r>
      <w:r w:rsidRPr="00B12FE0">
        <w:rPr>
          <w:rFonts w:hint="eastAsia"/>
          <w:snapToGrid w:val="0"/>
          <w:color w:val="000000" w:themeColor="text1"/>
          <w:szCs w:val="24"/>
        </w:rPr>
        <w:t>《放射诊断放射防护要求》（</w:t>
      </w:r>
      <w:r w:rsidRPr="00B12FE0">
        <w:rPr>
          <w:rFonts w:hint="eastAsia"/>
          <w:snapToGrid w:val="0"/>
          <w:color w:val="000000" w:themeColor="text1"/>
          <w:szCs w:val="24"/>
        </w:rPr>
        <w:t>GBZ130-2020</w:t>
      </w:r>
      <w:r w:rsidRPr="00B12FE0">
        <w:rPr>
          <w:rFonts w:hint="eastAsia"/>
          <w:snapToGrid w:val="0"/>
          <w:color w:val="000000" w:themeColor="text1"/>
          <w:szCs w:val="24"/>
        </w:rPr>
        <w:t>）</w:t>
      </w:r>
      <w:r w:rsidRPr="00B12FE0">
        <w:rPr>
          <w:snapToGrid w:val="0"/>
          <w:color w:val="000000" w:themeColor="text1"/>
          <w:szCs w:val="24"/>
        </w:rPr>
        <w:t>的要求进行配制。</w:t>
      </w:r>
    </w:p>
    <w:p w14:paraId="2A03F5DE" w14:textId="77777777" w:rsidR="00A67F21" w:rsidRPr="00B12FE0" w:rsidRDefault="00000000">
      <w:pPr>
        <w:autoSpaceDE w:val="0"/>
        <w:adjustRightInd w:val="0"/>
        <w:snapToGrid w:val="0"/>
        <w:jc w:val="center"/>
        <w:rPr>
          <w:b/>
          <w:snapToGrid w:val="0"/>
          <w:color w:val="000000" w:themeColor="text1"/>
          <w:sz w:val="21"/>
          <w:szCs w:val="21"/>
        </w:rPr>
      </w:pPr>
      <w:r w:rsidRPr="00B12FE0">
        <w:rPr>
          <w:b/>
          <w:bCs/>
          <w:snapToGrid w:val="0"/>
          <w:color w:val="000000" w:themeColor="text1"/>
          <w:sz w:val="21"/>
          <w:szCs w:val="21"/>
        </w:rPr>
        <w:t>表</w:t>
      </w:r>
      <w:r w:rsidRPr="00B12FE0">
        <w:rPr>
          <w:b/>
          <w:bCs/>
          <w:snapToGrid w:val="0"/>
          <w:color w:val="000000" w:themeColor="text1"/>
          <w:sz w:val="21"/>
          <w:szCs w:val="24"/>
        </w:rPr>
        <w:t>10.1.2.3-4</w:t>
      </w:r>
      <w:r w:rsidRPr="00B12FE0">
        <w:rPr>
          <w:b/>
          <w:bCs/>
          <w:snapToGrid w:val="0"/>
          <w:color w:val="000000" w:themeColor="text1"/>
          <w:sz w:val="21"/>
          <w:szCs w:val="21"/>
        </w:rPr>
        <w:t xml:space="preserve">  </w:t>
      </w:r>
      <w:r w:rsidRPr="00B12FE0">
        <w:rPr>
          <w:rFonts w:hint="eastAsia"/>
          <w:b/>
          <w:snapToGrid w:val="0"/>
          <w:color w:val="000000" w:themeColor="text1"/>
          <w:sz w:val="21"/>
          <w:szCs w:val="21"/>
        </w:rPr>
        <w:t>个人防护用品和辅助防护设施配置要求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608"/>
        <w:gridCol w:w="1455"/>
        <w:gridCol w:w="1746"/>
        <w:gridCol w:w="3625"/>
        <w:gridCol w:w="1583"/>
      </w:tblGrid>
      <w:tr w:rsidR="00A67F21" w:rsidRPr="00B12FE0" w14:paraId="373E36FB" w14:textId="77777777">
        <w:trPr>
          <w:trHeight w:val="340"/>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tcPr>
          <w:p w14:paraId="74FC0436"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场所类型</w:t>
            </w:r>
          </w:p>
        </w:tc>
        <w:tc>
          <w:tcPr>
            <w:tcW w:w="1775" w:type="pct"/>
            <w:gridSpan w:val="2"/>
            <w:tcBorders>
              <w:top w:val="single" w:sz="4" w:space="0" w:color="000000"/>
              <w:left w:val="single" w:sz="4" w:space="0" w:color="000000"/>
              <w:bottom w:val="single" w:sz="4" w:space="0" w:color="000000"/>
              <w:right w:val="single" w:sz="4" w:space="0" w:color="000000"/>
            </w:tcBorders>
            <w:vAlign w:val="center"/>
          </w:tcPr>
          <w:p w14:paraId="033A7F29"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工作人员</w:t>
            </w:r>
          </w:p>
        </w:tc>
        <w:tc>
          <w:tcPr>
            <w:tcW w:w="2888" w:type="pct"/>
            <w:gridSpan w:val="2"/>
            <w:tcBorders>
              <w:top w:val="single" w:sz="4" w:space="0" w:color="000000"/>
              <w:left w:val="single" w:sz="4" w:space="0" w:color="000000"/>
              <w:bottom w:val="single" w:sz="4" w:space="0" w:color="000000"/>
              <w:right w:val="single" w:sz="4" w:space="0" w:color="000000"/>
            </w:tcBorders>
            <w:vAlign w:val="center"/>
          </w:tcPr>
          <w:p w14:paraId="762CFEF7"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患者和受检者</w:t>
            </w:r>
          </w:p>
        </w:tc>
      </w:tr>
      <w:tr w:rsidR="00A67F21" w:rsidRPr="00B12FE0" w14:paraId="01AC08B2" w14:textId="77777777">
        <w:trPr>
          <w:trHeight w:val="340"/>
          <w:jc w:val="center"/>
        </w:trPr>
        <w:tc>
          <w:tcPr>
            <w:tcW w:w="337" w:type="pct"/>
            <w:vMerge/>
            <w:tcBorders>
              <w:top w:val="single" w:sz="4" w:space="0" w:color="000000"/>
              <w:left w:val="single" w:sz="4" w:space="0" w:color="000000"/>
              <w:bottom w:val="single" w:sz="4" w:space="0" w:color="000000"/>
              <w:right w:val="single" w:sz="4" w:space="0" w:color="000000"/>
            </w:tcBorders>
            <w:vAlign w:val="center"/>
          </w:tcPr>
          <w:p w14:paraId="68CFFF4B" w14:textId="77777777" w:rsidR="00A67F21" w:rsidRPr="00B12FE0" w:rsidRDefault="00A67F21">
            <w:pPr>
              <w:widowControl/>
              <w:jc w:val="left"/>
              <w:rPr>
                <w:snapToGrid w:val="0"/>
                <w:color w:val="000000" w:themeColor="text1"/>
                <w:sz w:val="21"/>
                <w:szCs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14:paraId="0E81BE5C"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个人防护用品</w:t>
            </w:r>
          </w:p>
        </w:tc>
        <w:tc>
          <w:tcPr>
            <w:tcW w:w="968" w:type="pct"/>
            <w:tcBorders>
              <w:top w:val="single" w:sz="4" w:space="0" w:color="000000"/>
              <w:left w:val="single" w:sz="4" w:space="0" w:color="000000"/>
              <w:bottom w:val="single" w:sz="4" w:space="0" w:color="000000"/>
              <w:right w:val="single" w:sz="4" w:space="0" w:color="000000"/>
            </w:tcBorders>
            <w:vAlign w:val="center"/>
          </w:tcPr>
          <w:p w14:paraId="2270884B"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辅助防护设施</w:t>
            </w:r>
          </w:p>
        </w:tc>
        <w:tc>
          <w:tcPr>
            <w:tcW w:w="2010" w:type="pct"/>
            <w:tcBorders>
              <w:top w:val="single" w:sz="4" w:space="0" w:color="000000"/>
              <w:left w:val="single" w:sz="4" w:space="0" w:color="000000"/>
              <w:bottom w:val="single" w:sz="4" w:space="0" w:color="000000"/>
              <w:right w:val="single" w:sz="4" w:space="0" w:color="000000"/>
            </w:tcBorders>
            <w:vAlign w:val="center"/>
          </w:tcPr>
          <w:p w14:paraId="522979EA"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个人防护用品</w:t>
            </w:r>
          </w:p>
        </w:tc>
        <w:tc>
          <w:tcPr>
            <w:tcW w:w="878" w:type="pct"/>
            <w:tcBorders>
              <w:top w:val="single" w:sz="4" w:space="0" w:color="000000"/>
              <w:left w:val="single" w:sz="4" w:space="0" w:color="000000"/>
              <w:bottom w:val="single" w:sz="4" w:space="0" w:color="000000"/>
              <w:right w:val="single" w:sz="4" w:space="0" w:color="000000"/>
            </w:tcBorders>
            <w:vAlign w:val="center"/>
          </w:tcPr>
          <w:p w14:paraId="1C36E997"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辅助防护设施</w:t>
            </w:r>
          </w:p>
        </w:tc>
      </w:tr>
      <w:tr w:rsidR="00A67F21" w:rsidRPr="00B12FE0" w14:paraId="597E7F75" w14:textId="77777777">
        <w:trPr>
          <w:trHeight w:val="340"/>
          <w:jc w:val="center"/>
        </w:trPr>
        <w:tc>
          <w:tcPr>
            <w:tcW w:w="337" w:type="pct"/>
            <w:tcBorders>
              <w:top w:val="single" w:sz="4" w:space="0" w:color="000000"/>
              <w:left w:val="single" w:sz="4" w:space="0" w:color="000000"/>
              <w:bottom w:val="single" w:sz="4" w:space="0" w:color="000000"/>
              <w:right w:val="single" w:sz="4" w:space="0" w:color="000000"/>
            </w:tcBorders>
            <w:vAlign w:val="center"/>
          </w:tcPr>
          <w:p w14:paraId="3FD6490A" w14:textId="77777777" w:rsidR="00A67F21" w:rsidRPr="00B12FE0" w:rsidRDefault="00000000">
            <w:pPr>
              <w:snapToGrid w:val="0"/>
              <w:jc w:val="center"/>
              <w:rPr>
                <w:snapToGrid w:val="0"/>
                <w:color w:val="000000" w:themeColor="text1"/>
                <w:sz w:val="21"/>
                <w:szCs w:val="21"/>
              </w:rPr>
            </w:pPr>
            <w:r w:rsidRPr="00B12FE0">
              <w:rPr>
                <w:snapToGrid w:val="0"/>
                <w:color w:val="000000" w:themeColor="text1"/>
                <w:sz w:val="21"/>
                <w:szCs w:val="21"/>
              </w:rPr>
              <w:t>CT</w:t>
            </w:r>
          </w:p>
        </w:tc>
        <w:tc>
          <w:tcPr>
            <w:tcW w:w="807" w:type="pct"/>
            <w:tcBorders>
              <w:top w:val="single" w:sz="4" w:space="0" w:color="000000"/>
              <w:left w:val="single" w:sz="4" w:space="0" w:color="000000"/>
              <w:bottom w:val="single" w:sz="4" w:space="0" w:color="000000"/>
              <w:right w:val="single" w:sz="4" w:space="0" w:color="000000"/>
            </w:tcBorders>
            <w:vAlign w:val="center"/>
          </w:tcPr>
          <w:p w14:paraId="1ABCDD34"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w:t>
            </w:r>
          </w:p>
        </w:tc>
        <w:tc>
          <w:tcPr>
            <w:tcW w:w="968" w:type="pct"/>
            <w:tcBorders>
              <w:top w:val="single" w:sz="4" w:space="0" w:color="000000"/>
              <w:left w:val="single" w:sz="4" w:space="0" w:color="000000"/>
              <w:bottom w:val="single" w:sz="4" w:space="0" w:color="000000"/>
              <w:right w:val="single" w:sz="4" w:space="0" w:color="000000"/>
            </w:tcBorders>
            <w:vAlign w:val="center"/>
          </w:tcPr>
          <w:p w14:paraId="5A7ED2D4"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w:t>
            </w:r>
          </w:p>
        </w:tc>
        <w:tc>
          <w:tcPr>
            <w:tcW w:w="2010" w:type="pct"/>
            <w:tcBorders>
              <w:top w:val="single" w:sz="4" w:space="0" w:color="000000"/>
              <w:left w:val="single" w:sz="4" w:space="0" w:color="000000"/>
              <w:bottom w:val="single" w:sz="4" w:space="0" w:color="000000"/>
              <w:right w:val="single" w:sz="4" w:space="0" w:color="000000"/>
            </w:tcBorders>
            <w:vAlign w:val="center"/>
          </w:tcPr>
          <w:p w14:paraId="4E6AFF08"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铅橡胶性腺防护围裙（方形）或方巾、铅橡胶颈套、铅橡胶帽子各</w:t>
            </w:r>
            <w:r w:rsidRPr="00B12FE0">
              <w:rPr>
                <w:snapToGrid w:val="0"/>
                <w:color w:val="000000" w:themeColor="text1"/>
                <w:sz w:val="21"/>
                <w:szCs w:val="21"/>
              </w:rPr>
              <w:t>1</w:t>
            </w:r>
            <w:r w:rsidRPr="00B12FE0">
              <w:rPr>
                <w:rFonts w:hint="eastAsia"/>
                <w:snapToGrid w:val="0"/>
                <w:color w:val="000000" w:themeColor="text1"/>
                <w:sz w:val="21"/>
                <w:szCs w:val="21"/>
              </w:rPr>
              <w:t>件</w:t>
            </w:r>
          </w:p>
        </w:tc>
        <w:tc>
          <w:tcPr>
            <w:tcW w:w="878" w:type="pct"/>
            <w:tcBorders>
              <w:top w:val="single" w:sz="4" w:space="0" w:color="000000"/>
              <w:left w:val="single" w:sz="4" w:space="0" w:color="000000"/>
              <w:bottom w:val="single" w:sz="4" w:space="0" w:color="000000"/>
              <w:right w:val="single" w:sz="4" w:space="0" w:color="000000"/>
            </w:tcBorders>
            <w:vAlign w:val="center"/>
          </w:tcPr>
          <w:p w14:paraId="79C6C4F2" w14:textId="77777777" w:rsidR="00A67F21" w:rsidRPr="00B12FE0" w:rsidRDefault="00000000">
            <w:pPr>
              <w:snapToGrid w:val="0"/>
              <w:jc w:val="center"/>
              <w:rPr>
                <w:snapToGrid w:val="0"/>
                <w:color w:val="000000" w:themeColor="text1"/>
                <w:sz w:val="21"/>
                <w:szCs w:val="21"/>
              </w:rPr>
            </w:pPr>
            <w:r w:rsidRPr="00B12FE0">
              <w:rPr>
                <w:rFonts w:hint="eastAsia"/>
                <w:snapToGrid w:val="0"/>
                <w:color w:val="000000" w:themeColor="text1"/>
                <w:sz w:val="21"/>
                <w:szCs w:val="21"/>
              </w:rPr>
              <w:t>—</w:t>
            </w:r>
          </w:p>
        </w:tc>
      </w:tr>
    </w:tbl>
    <w:p w14:paraId="64EC9BF8" w14:textId="77777777" w:rsidR="00A67F21" w:rsidRPr="00B12FE0" w:rsidRDefault="00000000">
      <w:pPr>
        <w:adjustRightInd w:val="0"/>
        <w:snapToGrid w:val="0"/>
        <w:spacing w:line="360" w:lineRule="auto"/>
        <w:outlineLvl w:val="1"/>
        <w:rPr>
          <w:b/>
          <w:bCs/>
          <w:color w:val="000000" w:themeColor="text1"/>
          <w:sz w:val="28"/>
          <w:szCs w:val="28"/>
        </w:rPr>
      </w:pPr>
      <w:r w:rsidRPr="00B12FE0">
        <w:rPr>
          <w:b/>
          <w:bCs/>
          <w:color w:val="000000" w:themeColor="text1"/>
          <w:sz w:val="28"/>
          <w:szCs w:val="28"/>
        </w:rPr>
        <w:t>10.2“</w:t>
      </w:r>
      <w:r w:rsidRPr="00B12FE0">
        <w:rPr>
          <w:b/>
          <w:bCs/>
          <w:color w:val="000000" w:themeColor="text1"/>
          <w:sz w:val="28"/>
          <w:szCs w:val="28"/>
        </w:rPr>
        <w:t>三废</w:t>
      </w:r>
      <w:r w:rsidRPr="00B12FE0">
        <w:rPr>
          <w:b/>
          <w:bCs/>
          <w:color w:val="000000" w:themeColor="text1"/>
          <w:sz w:val="28"/>
          <w:szCs w:val="28"/>
        </w:rPr>
        <w:t>”</w:t>
      </w:r>
      <w:r w:rsidRPr="00B12FE0">
        <w:rPr>
          <w:b/>
          <w:bCs/>
          <w:color w:val="000000" w:themeColor="text1"/>
          <w:sz w:val="28"/>
          <w:szCs w:val="28"/>
        </w:rPr>
        <w:t>的治理</w:t>
      </w:r>
    </w:p>
    <w:p w14:paraId="64286B95" w14:textId="77777777" w:rsidR="00A67F21" w:rsidRPr="00B12FE0" w:rsidRDefault="00000000">
      <w:pPr>
        <w:adjustRightInd w:val="0"/>
        <w:snapToGrid w:val="0"/>
        <w:spacing w:line="360" w:lineRule="auto"/>
        <w:outlineLvl w:val="2"/>
        <w:rPr>
          <w:b/>
          <w:bCs/>
          <w:color w:val="000000" w:themeColor="text1"/>
        </w:rPr>
      </w:pPr>
      <w:r w:rsidRPr="00B12FE0">
        <w:rPr>
          <w:b/>
          <w:bCs/>
          <w:color w:val="000000" w:themeColor="text1"/>
        </w:rPr>
        <w:t>10.2.1</w:t>
      </w:r>
      <w:r w:rsidRPr="00B12FE0">
        <w:rPr>
          <w:b/>
          <w:bCs/>
          <w:color w:val="000000" w:themeColor="text1"/>
        </w:rPr>
        <w:t>核医学</w:t>
      </w:r>
      <w:r w:rsidRPr="00B12FE0">
        <w:rPr>
          <w:rFonts w:hint="eastAsia"/>
          <w:b/>
          <w:bCs/>
          <w:color w:val="000000" w:themeColor="text1"/>
        </w:rPr>
        <w:t>工作场所</w:t>
      </w:r>
    </w:p>
    <w:p w14:paraId="7DB421F2" w14:textId="77777777" w:rsidR="00A67F21" w:rsidRPr="00B12FE0" w:rsidRDefault="00000000">
      <w:pPr>
        <w:topLinePunct/>
        <w:adjustRightInd w:val="0"/>
        <w:snapToGrid w:val="0"/>
        <w:spacing w:line="360" w:lineRule="auto"/>
        <w:outlineLvl w:val="3"/>
        <w:rPr>
          <w:b/>
          <w:color w:val="000000" w:themeColor="text1"/>
          <w:sz w:val="21"/>
          <w:szCs w:val="21"/>
        </w:rPr>
      </w:pPr>
      <w:r w:rsidRPr="00B12FE0">
        <w:rPr>
          <w:b/>
          <w:bCs/>
          <w:color w:val="000000" w:themeColor="text1"/>
          <w:szCs w:val="24"/>
        </w:rPr>
        <w:t>10.2.1.1</w:t>
      </w:r>
      <w:r w:rsidRPr="00B12FE0">
        <w:rPr>
          <w:rFonts w:ascii="宋体" w:hAnsi="宋体"/>
          <w:b/>
          <w:color w:val="000000" w:themeColor="text1"/>
          <w:szCs w:val="24"/>
        </w:rPr>
        <w:t>放射性废</w:t>
      </w:r>
      <w:r w:rsidRPr="00B12FE0">
        <w:rPr>
          <w:rFonts w:ascii="宋体" w:hAnsi="宋体" w:hint="eastAsia"/>
          <w:b/>
          <w:color w:val="000000" w:themeColor="text1"/>
          <w:szCs w:val="24"/>
        </w:rPr>
        <w:t>水</w:t>
      </w:r>
    </w:p>
    <w:p w14:paraId="0287338F" w14:textId="77777777" w:rsidR="00A67F21" w:rsidRPr="00B12FE0" w:rsidRDefault="00000000">
      <w:pPr>
        <w:tabs>
          <w:tab w:val="left" w:pos="719"/>
        </w:tabs>
        <w:overflowPunct w:val="0"/>
        <w:snapToGrid w:val="0"/>
        <w:spacing w:line="360" w:lineRule="auto"/>
        <w:ind w:firstLineChars="182" w:firstLine="437"/>
        <w:contextualSpacing/>
        <w:rPr>
          <w:color w:val="000000" w:themeColor="text1"/>
          <w:szCs w:val="24"/>
        </w:rPr>
      </w:pPr>
      <w:r w:rsidRPr="00B12FE0">
        <w:rPr>
          <w:rFonts w:ascii="宋体" w:hAnsi="宋体"/>
          <w:color w:val="000000" w:themeColor="text1"/>
          <w:szCs w:val="24"/>
        </w:rPr>
        <w:t>本项目核医学工作场所工作人员清扫工作台面、地坪的清洁工具清洗时可能会有带有微量放射性的废</w:t>
      </w:r>
      <w:r w:rsidRPr="00B12FE0">
        <w:rPr>
          <w:rFonts w:ascii="宋体" w:hAnsi="宋体" w:hint="eastAsia"/>
          <w:color w:val="000000" w:themeColor="text1"/>
          <w:szCs w:val="24"/>
        </w:rPr>
        <w:t>水</w:t>
      </w:r>
      <w:r w:rsidRPr="00B12FE0">
        <w:rPr>
          <w:rFonts w:ascii="宋体" w:hAnsi="宋体"/>
          <w:color w:val="000000" w:themeColor="text1"/>
          <w:szCs w:val="24"/>
        </w:rPr>
        <w:t>以及患者冲洗排便用水和患者住院废水。核医学科辐射工作场所产生的放射性废</w:t>
      </w:r>
      <w:r w:rsidRPr="00B12FE0">
        <w:rPr>
          <w:rFonts w:ascii="宋体" w:hAnsi="宋体" w:hint="eastAsia"/>
          <w:color w:val="000000" w:themeColor="text1"/>
          <w:szCs w:val="24"/>
        </w:rPr>
        <w:t>水</w:t>
      </w:r>
      <w:r w:rsidRPr="00B12FE0">
        <w:rPr>
          <w:rFonts w:ascii="宋体" w:hAnsi="宋体"/>
          <w:color w:val="000000" w:themeColor="text1"/>
          <w:szCs w:val="24"/>
        </w:rPr>
        <w:t>均统一收集至核医学科</w:t>
      </w:r>
      <w:r w:rsidRPr="00B12FE0">
        <w:rPr>
          <w:rFonts w:ascii="宋体" w:hAnsi="宋体" w:hint="eastAsia"/>
          <w:color w:val="000000" w:themeColor="text1"/>
          <w:szCs w:val="24"/>
        </w:rPr>
        <w:t>衰变池</w:t>
      </w:r>
      <w:r w:rsidRPr="00B12FE0">
        <w:rPr>
          <w:rFonts w:ascii="宋体" w:hAnsi="宋体"/>
          <w:color w:val="000000" w:themeColor="text1"/>
          <w:szCs w:val="24"/>
        </w:rPr>
        <w:t>内，为地埋式</w:t>
      </w:r>
      <w:r w:rsidRPr="00B12FE0">
        <w:rPr>
          <w:rFonts w:ascii="宋体" w:hAnsi="宋体" w:hint="eastAsia"/>
          <w:color w:val="000000" w:themeColor="text1"/>
          <w:szCs w:val="24"/>
        </w:rPr>
        <w:t>，设置电离辐射警示标志，防止无关人员进入</w:t>
      </w:r>
      <w:r w:rsidRPr="00B12FE0">
        <w:rPr>
          <w:rFonts w:ascii="宋体" w:hAnsi="宋体"/>
          <w:color w:val="000000" w:themeColor="text1"/>
          <w:szCs w:val="24"/>
        </w:rPr>
        <w:t>。</w:t>
      </w:r>
      <w:r w:rsidRPr="00B12FE0">
        <w:rPr>
          <w:rFonts w:ascii="宋体" w:hAnsi="宋体"/>
          <w:bCs/>
          <w:color w:val="000000" w:themeColor="text1"/>
          <w:szCs w:val="24"/>
        </w:rPr>
        <w:t>核医学科核素制备场所</w:t>
      </w:r>
      <w:r w:rsidRPr="00B12FE0">
        <w:rPr>
          <w:rFonts w:ascii="宋体" w:hAnsi="宋体" w:hint="eastAsia"/>
          <w:bCs/>
          <w:color w:val="000000" w:themeColor="text1"/>
          <w:szCs w:val="24"/>
        </w:rPr>
        <w:t>、</w:t>
      </w:r>
      <w:r w:rsidRPr="00B12FE0">
        <w:rPr>
          <w:rFonts w:ascii="宋体" w:hAnsi="宋体"/>
          <w:bCs/>
          <w:color w:val="000000" w:themeColor="text1"/>
          <w:szCs w:val="24"/>
        </w:rPr>
        <w:t>核素</w:t>
      </w:r>
      <w:r w:rsidRPr="00B12FE0">
        <w:rPr>
          <w:rFonts w:ascii="宋体" w:hAnsi="宋体" w:hint="eastAsia"/>
          <w:bCs/>
          <w:color w:val="000000" w:themeColor="text1"/>
          <w:szCs w:val="24"/>
        </w:rPr>
        <w:t>诊断</w:t>
      </w:r>
      <w:r w:rsidRPr="00B12FE0">
        <w:rPr>
          <w:rFonts w:ascii="宋体" w:hAnsi="宋体"/>
          <w:bCs/>
          <w:color w:val="000000" w:themeColor="text1"/>
          <w:szCs w:val="24"/>
        </w:rPr>
        <w:t>场所</w:t>
      </w:r>
      <w:r w:rsidRPr="00B12FE0">
        <w:rPr>
          <w:rFonts w:ascii="宋体" w:hAnsi="宋体" w:hint="eastAsia"/>
          <w:bCs/>
          <w:color w:val="000000" w:themeColor="text1"/>
          <w:szCs w:val="24"/>
        </w:rPr>
        <w:t>和核素治疗场所</w:t>
      </w:r>
      <w:r w:rsidRPr="00B12FE0">
        <w:rPr>
          <w:rFonts w:ascii="宋体" w:hAnsi="宋体"/>
          <w:bCs/>
          <w:color w:val="000000" w:themeColor="text1"/>
          <w:szCs w:val="24"/>
        </w:rPr>
        <w:t>共用一个</w:t>
      </w:r>
      <w:r w:rsidRPr="00B12FE0">
        <w:rPr>
          <w:rFonts w:ascii="宋体" w:hAnsi="宋体" w:hint="eastAsia"/>
          <w:bCs/>
          <w:color w:val="000000" w:themeColor="text1"/>
          <w:szCs w:val="24"/>
        </w:rPr>
        <w:t>衰变池</w:t>
      </w:r>
      <w:r w:rsidRPr="00B12FE0">
        <w:rPr>
          <w:rFonts w:ascii="宋体" w:hAnsi="宋体"/>
          <w:color w:val="000000" w:themeColor="text1"/>
          <w:szCs w:val="24"/>
        </w:rPr>
        <w:t>。</w:t>
      </w:r>
    </w:p>
    <w:p w14:paraId="17D1A522" w14:textId="77777777" w:rsidR="00A67F21" w:rsidRPr="00B12FE0" w:rsidRDefault="00000000">
      <w:pPr>
        <w:topLinePunct/>
        <w:autoSpaceDE w:val="0"/>
        <w:adjustRightInd w:val="0"/>
        <w:snapToGrid w:val="0"/>
        <w:spacing w:line="360" w:lineRule="auto"/>
        <w:ind w:firstLineChars="200" w:firstLine="480"/>
        <w:rPr>
          <w:bCs/>
          <w:color w:val="000000" w:themeColor="text1"/>
          <w:szCs w:val="24"/>
        </w:rPr>
      </w:pPr>
      <w:r w:rsidRPr="00B12FE0">
        <w:rPr>
          <w:rFonts w:hint="eastAsia"/>
          <w:bCs/>
          <w:color w:val="000000" w:themeColor="text1"/>
          <w:szCs w:val="24"/>
        </w:rPr>
        <w:t>本项目衰变</w:t>
      </w:r>
      <w:proofErr w:type="gramStart"/>
      <w:r w:rsidRPr="00B12FE0">
        <w:rPr>
          <w:rFonts w:hint="eastAsia"/>
          <w:bCs/>
          <w:color w:val="000000" w:themeColor="text1"/>
          <w:szCs w:val="24"/>
        </w:rPr>
        <w:t>池</w:t>
      </w:r>
      <w:r w:rsidRPr="00B12FE0">
        <w:rPr>
          <w:color w:val="000000" w:themeColor="text1"/>
          <w:szCs w:val="24"/>
        </w:rPr>
        <w:t>设置</w:t>
      </w:r>
      <w:proofErr w:type="gramEnd"/>
      <w:r w:rsidRPr="00B12FE0">
        <w:rPr>
          <w:color w:val="000000" w:themeColor="text1"/>
          <w:szCs w:val="24"/>
        </w:rPr>
        <w:t>在肿瘤治疗中心综合楼一层外围</w:t>
      </w:r>
      <w:r w:rsidRPr="00B12FE0">
        <w:rPr>
          <w:rFonts w:hint="eastAsia"/>
          <w:color w:val="000000" w:themeColor="text1"/>
          <w:szCs w:val="24"/>
        </w:rPr>
        <w:t>南</w:t>
      </w:r>
      <w:r w:rsidRPr="00B12FE0">
        <w:rPr>
          <w:color w:val="000000" w:themeColor="text1"/>
          <w:szCs w:val="24"/>
        </w:rPr>
        <w:t>侧</w:t>
      </w:r>
      <w:r w:rsidRPr="00B12FE0">
        <w:rPr>
          <w:rFonts w:ascii="宋体" w:hAnsi="宋体" w:hint="eastAsia"/>
          <w:bCs/>
          <w:color w:val="000000" w:themeColor="text1"/>
          <w:szCs w:val="24"/>
        </w:rPr>
        <w:t>绿化带内</w:t>
      </w:r>
      <w:r w:rsidRPr="00B12FE0">
        <w:rPr>
          <w:color w:val="000000" w:themeColor="text1"/>
          <w:szCs w:val="24"/>
        </w:rPr>
        <w:t>，地埋设置</w:t>
      </w:r>
      <w:r w:rsidRPr="00B12FE0">
        <w:rPr>
          <w:rFonts w:hint="eastAsia"/>
          <w:color w:val="000000" w:themeColor="text1"/>
          <w:szCs w:val="24"/>
        </w:rPr>
        <w:t>，</w:t>
      </w:r>
      <w:proofErr w:type="gramStart"/>
      <w:r w:rsidRPr="00B12FE0">
        <w:rPr>
          <w:color w:val="000000" w:themeColor="text1"/>
          <w:szCs w:val="24"/>
        </w:rPr>
        <w:t>衰变池由</w:t>
      </w:r>
      <w:r w:rsidRPr="00B12FE0">
        <w:rPr>
          <w:color w:val="000000" w:themeColor="text1"/>
          <w:szCs w:val="24"/>
        </w:rPr>
        <w:t>1</w:t>
      </w:r>
      <w:r w:rsidRPr="00B12FE0">
        <w:rPr>
          <w:color w:val="000000" w:themeColor="text1"/>
          <w:szCs w:val="24"/>
        </w:rPr>
        <w:t>个</w:t>
      </w:r>
      <w:proofErr w:type="gramEnd"/>
      <w:r w:rsidRPr="00B12FE0">
        <w:rPr>
          <w:color w:val="000000" w:themeColor="text1"/>
          <w:szCs w:val="24"/>
        </w:rPr>
        <w:t>污泥池</w:t>
      </w:r>
      <w:r w:rsidRPr="00B12FE0">
        <w:rPr>
          <w:color w:val="000000" w:themeColor="text1"/>
          <w:szCs w:val="24"/>
        </w:rPr>
        <w:t>+3</w:t>
      </w:r>
      <w:r w:rsidRPr="00B12FE0">
        <w:rPr>
          <w:color w:val="000000" w:themeColor="text1"/>
          <w:szCs w:val="24"/>
        </w:rPr>
        <w:t>个相同的衰变池</w:t>
      </w:r>
      <w:r w:rsidRPr="00B12FE0">
        <w:rPr>
          <w:rFonts w:hint="eastAsia"/>
          <w:color w:val="000000" w:themeColor="text1"/>
          <w:szCs w:val="24"/>
        </w:rPr>
        <w:t>体</w:t>
      </w:r>
      <w:r w:rsidRPr="00B12FE0">
        <w:rPr>
          <w:color w:val="000000" w:themeColor="text1"/>
          <w:szCs w:val="24"/>
        </w:rPr>
        <w:t>组成，每个衰变池有效容积为</w:t>
      </w:r>
      <w:r w:rsidRPr="00B12FE0">
        <w:rPr>
          <w:color w:val="000000" w:themeColor="text1"/>
          <w:szCs w:val="24"/>
        </w:rPr>
        <w:t>200m</w:t>
      </w:r>
      <w:r w:rsidRPr="00B12FE0">
        <w:rPr>
          <w:color w:val="000000" w:themeColor="text1"/>
          <w:szCs w:val="24"/>
          <w:vertAlign w:val="superscript"/>
        </w:rPr>
        <w:t>3</w:t>
      </w:r>
      <w:r w:rsidRPr="00B12FE0">
        <w:rPr>
          <w:color w:val="000000" w:themeColor="text1"/>
          <w:szCs w:val="24"/>
        </w:rPr>
        <w:t>，</w:t>
      </w:r>
      <w:r w:rsidRPr="00B12FE0">
        <w:rPr>
          <w:bCs/>
          <w:color w:val="000000" w:themeColor="text1"/>
          <w:szCs w:val="24"/>
        </w:rPr>
        <w:t>衰变池并联设置，交替使用。</w:t>
      </w:r>
    </w:p>
    <w:p w14:paraId="60B8B4F6" w14:textId="77777777" w:rsidR="00A67F21" w:rsidRPr="00B12FE0" w:rsidRDefault="00000000">
      <w:pPr>
        <w:adjustRightInd w:val="0"/>
        <w:snapToGrid w:val="0"/>
        <w:spacing w:line="360" w:lineRule="auto"/>
        <w:ind w:firstLineChars="200" w:firstLine="482"/>
        <w:rPr>
          <w:b/>
          <w:color w:val="000000" w:themeColor="text1"/>
        </w:rPr>
      </w:pPr>
      <w:r w:rsidRPr="00B12FE0">
        <w:rPr>
          <w:b/>
          <w:color w:val="000000" w:themeColor="text1"/>
        </w:rPr>
        <w:t>（</w:t>
      </w:r>
      <w:r w:rsidRPr="00B12FE0">
        <w:rPr>
          <w:rFonts w:hint="eastAsia"/>
          <w:b/>
          <w:color w:val="000000" w:themeColor="text1"/>
        </w:rPr>
        <w:t>1</w:t>
      </w:r>
      <w:r w:rsidRPr="00B12FE0">
        <w:rPr>
          <w:b/>
          <w:color w:val="000000" w:themeColor="text1"/>
        </w:rPr>
        <w:t>）</w:t>
      </w:r>
      <w:r w:rsidRPr="00B12FE0">
        <w:rPr>
          <w:rFonts w:hint="eastAsia"/>
          <w:b/>
          <w:color w:val="000000" w:themeColor="text1"/>
        </w:rPr>
        <w:t>核医学放射性废水收集管线</w:t>
      </w:r>
    </w:p>
    <w:p w14:paraId="29032745" w14:textId="77777777" w:rsidR="00A67F21" w:rsidRPr="00B12FE0" w:rsidRDefault="00000000">
      <w:pPr>
        <w:adjustRightInd w:val="0"/>
        <w:snapToGrid w:val="0"/>
        <w:spacing w:line="360" w:lineRule="auto"/>
        <w:ind w:firstLineChars="200" w:firstLine="480"/>
        <w:rPr>
          <w:rFonts w:ascii="宋体" w:hAnsi="宋体" w:hint="eastAsia"/>
          <w:color w:val="000000" w:themeColor="text1"/>
          <w:szCs w:val="24"/>
        </w:rPr>
      </w:pPr>
      <w:r w:rsidRPr="00B12FE0">
        <w:rPr>
          <w:rFonts w:ascii="宋体" w:hAnsi="宋体"/>
          <w:color w:val="000000" w:themeColor="text1"/>
          <w:szCs w:val="24"/>
        </w:rPr>
        <w:t>医院核医学</w:t>
      </w:r>
      <w:proofErr w:type="gramStart"/>
      <w:r w:rsidRPr="00B12FE0">
        <w:rPr>
          <w:rFonts w:ascii="宋体" w:hAnsi="宋体"/>
          <w:color w:val="000000" w:themeColor="text1"/>
          <w:szCs w:val="24"/>
        </w:rPr>
        <w:t>科产生</w:t>
      </w:r>
      <w:proofErr w:type="gramEnd"/>
      <w:r w:rsidRPr="00B12FE0">
        <w:rPr>
          <w:rFonts w:ascii="宋体" w:hAnsi="宋体"/>
          <w:color w:val="000000" w:themeColor="text1"/>
          <w:szCs w:val="24"/>
        </w:rPr>
        <w:t>的放射性废水通过专门的管道进行统一收集，并经管道排入衰变池。</w:t>
      </w:r>
    </w:p>
    <w:p w14:paraId="79065D1A" w14:textId="77777777" w:rsidR="00A67F21" w:rsidRPr="00B12FE0" w:rsidRDefault="00000000">
      <w:pPr>
        <w:topLinePunct/>
        <w:autoSpaceDE w:val="0"/>
        <w:adjustRightInd w:val="0"/>
        <w:snapToGrid w:val="0"/>
        <w:spacing w:line="360" w:lineRule="auto"/>
        <w:ind w:firstLineChars="200" w:firstLine="480"/>
        <w:rPr>
          <w:color w:val="000000" w:themeColor="text1"/>
          <w:kern w:val="0"/>
        </w:rPr>
      </w:pPr>
      <w:r w:rsidRPr="00B12FE0">
        <w:rPr>
          <w:rFonts w:hint="eastAsia"/>
          <w:color w:val="000000" w:themeColor="text1"/>
          <w:kern w:val="0"/>
        </w:rPr>
        <w:t>本项目</w:t>
      </w:r>
      <w:r w:rsidRPr="00B12FE0">
        <w:rPr>
          <w:rFonts w:ascii="宋体" w:hAnsi="宋体" w:hint="eastAsia"/>
          <w:color w:val="000000" w:themeColor="text1"/>
          <w:szCs w:val="24"/>
        </w:rPr>
        <w:t>核医学科</w:t>
      </w:r>
      <w:r w:rsidRPr="00B12FE0">
        <w:rPr>
          <w:rFonts w:hint="eastAsia"/>
          <w:color w:val="000000" w:themeColor="text1"/>
          <w:kern w:val="0"/>
        </w:rPr>
        <w:t>放射性废水涉及核素最大半衰期为</w:t>
      </w:r>
      <w:r w:rsidRPr="00B12FE0">
        <w:rPr>
          <w:color w:val="000000" w:themeColor="text1"/>
          <w:vertAlign w:val="superscript"/>
        </w:rPr>
        <w:t>1</w:t>
      </w:r>
      <w:r w:rsidRPr="00B12FE0">
        <w:rPr>
          <w:rFonts w:hint="eastAsia"/>
          <w:color w:val="000000" w:themeColor="text1"/>
          <w:vertAlign w:val="superscript"/>
        </w:rPr>
        <w:t>31</w:t>
      </w:r>
      <w:r w:rsidRPr="00B12FE0">
        <w:rPr>
          <w:color w:val="000000" w:themeColor="text1"/>
        </w:rPr>
        <w:t>I</w:t>
      </w:r>
      <w:r w:rsidRPr="00B12FE0">
        <w:rPr>
          <w:rFonts w:hint="eastAsia"/>
          <w:color w:val="000000" w:themeColor="text1"/>
        </w:rPr>
        <w:t>（</w:t>
      </w:r>
      <w:r w:rsidRPr="00B12FE0">
        <w:rPr>
          <w:rFonts w:hint="eastAsia"/>
          <w:color w:val="000000" w:themeColor="text1"/>
        </w:rPr>
        <w:t>8.02d</w:t>
      </w:r>
      <w:r w:rsidRPr="00B12FE0">
        <w:rPr>
          <w:rFonts w:hint="eastAsia"/>
          <w:color w:val="000000" w:themeColor="text1"/>
        </w:rPr>
        <w:t>）</w:t>
      </w:r>
      <w:r w:rsidRPr="00B12FE0">
        <w:rPr>
          <w:rFonts w:hint="eastAsia"/>
          <w:color w:val="000000" w:themeColor="text1"/>
          <w:kern w:val="0"/>
        </w:rPr>
        <w:t>，经后文</w:t>
      </w:r>
      <w:r w:rsidRPr="00B12FE0">
        <w:rPr>
          <w:rFonts w:hint="eastAsia"/>
          <w:color w:val="000000" w:themeColor="text1"/>
          <w:kern w:val="0"/>
        </w:rPr>
        <w:t>11.2.1.4</w:t>
      </w:r>
      <w:r w:rsidRPr="00B12FE0">
        <w:rPr>
          <w:rFonts w:hint="eastAsia"/>
          <w:color w:val="000000" w:themeColor="text1"/>
          <w:kern w:val="0"/>
        </w:rPr>
        <w:t>计算分析，本项目</w:t>
      </w:r>
      <w:r w:rsidRPr="00B12FE0">
        <w:rPr>
          <w:color w:val="000000" w:themeColor="text1"/>
          <w:kern w:val="0"/>
        </w:rPr>
        <w:t>衰变池</w:t>
      </w:r>
      <w:r w:rsidRPr="00B12FE0">
        <w:rPr>
          <w:rFonts w:hint="eastAsia"/>
          <w:color w:val="000000" w:themeColor="text1"/>
          <w:kern w:val="0"/>
        </w:rPr>
        <w:t>内放射性废水</w:t>
      </w:r>
      <w:r w:rsidRPr="00B12FE0">
        <w:rPr>
          <w:color w:val="000000" w:themeColor="text1"/>
          <w:kern w:val="0"/>
        </w:rPr>
        <w:t>贮存</w:t>
      </w:r>
      <w:r w:rsidRPr="00B12FE0">
        <w:rPr>
          <w:rFonts w:hint="eastAsia"/>
          <w:color w:val="000000" w:themeColor="text1"/>
          <w:kern w:val="0"/>
        </w:rPr>
        <w:t>224</w:t>
      </w:r>
      <w:r w:rsidRPr="00B12FE0">
        <w:rPr>
          <w:color w:val="000000" w:themeColor="text1"/>
          <w:kern w:val="0"/>
        </w:rPr>
        <w:t>天后，可直接解控排入医院污水处理站。排放时在台账上详细记录</w:t>
      </w:r>
      <w:r w:rsidRPr="00B12FE0">
        <w:rPr>
          <w:rFonts w:hint="eastAsia"/>
          <w:color w:val="000000" w:themeColor="text1"/>
          <w:kern w:val="0"/>
        </w:rPr>
        <w:t>废水监测结果、</w:t>
      </w:r>
      <w:r w:rsidRPr="00B12FE0">
        <w:rPr>
          <w:color w:val="000000" w:themeColor="text1"/>
          <w:kern w:val="0"/>
        </w:rPr>
        <w:t>排放废水</w:t>
      </w:r>
      <w:r w:rsidRPr="00B12FE0">
        <w:rPr>
          <w:rFonts w:hint="eastAsia"/>
          <w:color w:val="000000" w:themeColor="text1"/>
          <w:kern w:val="0"/>
        </w:rPr>
        <w:t>量</w:t>
      </w:r>
      <w:r w:rsidRPr="00B12FE0">
        <w:rPr>
          <w:color w:val="000000" w:themeColor="text1"/>
          <w:kern w:val="0"/>
        </w:rPr>
        <w:t>、废水暂存起始日期，处置人员和处置日期等信息。</w:t>
      </w:r>
    </w:p>
    <w:p w14:paraId="042EA2E3" w14:textId="77777777" w:rsidR="00A67F21" w:rsidRPr="00B12FE0" w:rsidRDefault="00000000">
      <w:pPr>
        <w:topLinePunct/>
        <w:adjustRightInd w:val="0"/>
        <w:snapToGrid w:val="0"/>
        <w:spacing w:line="360" w:lineRule="auto"/>
        <w:ind w:left="480"/>
        <w:rPr>
          <w:bCs/>
          <w:color w:val="000000" w:themeColor="text1"/>
          <w:szCs w:val="24"/>
        </w:rPr>
      </w:pPr>
      <w:r w:rsidRPr="00B12FE0">
        <w:rPr>
          <w:rFonts w:ascii="宋体" w:hAnsi="宋体"/>
          <w:bCs/>
          <w:color w:val="000000" w:themeColor="text1"/>
          <w:szCs w:val="24"/>
        </w:rPr>
        <w:t>核医学科放射性废水收集路线如图</w:t>
      </w:r>
      <w:r w:rsidRPr="00B12FE0">
        <w:rPr>
          <w:bCs/>
          <w:color w:val="000000" w:themeColor="text1"/>
          <w:szCs w:val="24"/>
        </w:rPr>
        <w:t>10.2.1-1</w:t>
      </w:r>
      <w:r w:rsidRPr="00B12FE0">
        <w:rPr>
          <w:rFonts w:ascii="宋体" w:hAnsi="宋体"/>
          <w:bCs/>
          <w:color w:val="000000" w:themeColor="text1"/>
          <w:szCs w:val="24"/>
        </w:rPr>
        <w:t>所示。</w:t>
      </w:r>
    </w:p>
    <w:p w14:paraId="0C2B9C6F" w14:textId="77777777" w:rsidR="00A67F21" w:rsidRPr="00B12FE0" w:rsidRDefault="00000000">
      <w:pPr>
        <w:adjustRightInd w:val="0"/>
        <w:snapToGrid w:val="0"/>
        <w:spacing w:line="360" w:lineRule="auto"/>
        <w:jc w:val="center"/>
        <w:rPr>
          <w:b/>
          <w:color w:val="000000" w:themeColor="text1"/>
          <w:sz w:val="21"/>
          <w:szCs w:val="21"/>
        </w:rPr>
      </w:pPr>
      <w:r w:rsidRPr="00B12FE0">
        <w:rPr>
          <w:rFonts w:hint="eastAsia"/>
          <w:color w:val="000000" w:themeColor="text1"/>
        </w:rPr>
        <w:object w:dxaOrig="9004" w:dyaOrig="2528" w14:anchorId="319E3FB1">
          <v:shape id="_x0000_i1028" type="#_x0000_t75" style="width:449.75pt;height:126.25pt" o:ole="">
            <v:imagedata r:id="rId54" o:title=""/>
          </v:shape>
          <o:OLEObject Type="Embed" ProgID="Visio.Drawing.15" ShapeID="_x0000_i1028" DrawAspect="Content" ObjectID="_1843190428" r:id="rId55"/>
        </w:object>
      </w:r>
    </w:p>
    <w:p w14:paraId="001D0A1F"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图</w:t>
      </w:r>
      <w:r w:rsidRPr="00B12FE0">
        <w:rPr>
          <w:b/>
          <w:color w:val="000000" w:themeColor="text1"/>
          <w:sz w:val="21"/>
          <w:szCs w:val="21"/>
        </w:rPr>
        <w:t xml:space="preserve">10.2.1-1  </w:t>
      </w:r>
      <w:r w:rsidRPr="00B12FE0">
        <w:rPr>
          <w:rFonts w:ascii="宋体" w:hAnsi="宋体"/>
          <w:b/>
          <w:color w:val="000000" w:themeColor="text1"/>
          <w:sz w:val="21"/>
          <w:szCs w:val="21"/>
        </w:rPr>
        <w:t>拟建核医学科废水处理流程示意图</w:t>
      </w:r>
    </w:p>
    <w:p w14:paraId="7519F8C9" w14:textId="77777777" w:rsidR="00A67F21" w:rsidRPr="00B12FE0" w:rsidRDefault="00000000">
      <w:pPr>
        <w:topLinePunct/>
        <w:adjustRightInd w:val="0"/>
        <w:snapToGrid w:val="0"/>
        <w:spacing w:line="360" w:lineRule="auto"/>
        <w:ind w:firstLineChars="200" w:firstLine="480"/>
        <w:rPr>
          <w:bCs/>
          <w:color w:val="000000" w:themeColor="text1"/>
          <w:szCs w:val="24"/>
        </w:rPr>
      </w:pPr>
      <w:r w:rsidRPr="00B12FE0">
        <w:rPr>
          <w:rFonts w:ascii="宋体" w:hAnsi="宋体" w:hint="eastAsia"/>
          <w:bCs/>
          <w:color w:val="000000" w:themeColor="text1"/>
          <w:szCs w:val="24"/>
        </w:rPr>
        <w:t>核医学工作场所产生的放射性废水通过专门的管道进行统一收集，并经管道排入衰变池。</w:t>
      </w:r>
      <w:r w:rsidRPr="00B12FE0">
        <w:rPr>
          <w:rFonts w:ascii="宋体" w:hAnsi="宋体"/>
          <w:bCs/>
          <w:color w:val="000000" w:themeColor="text1"/>
          <w:szCs w:val="24"/>
        </w:rPr>
        <w:t>核医学科放射性废水管道均要求抗酸碱、耐腐蚀并有一定防辐射功能。本项目的</w:t>
      </w:r>
      <w:r w:rsidRPr="00B12FE0">
        <w:rPr>
          <w:rFonts w:ascii="宋体" w:hAnsi="宋体"/>
          <w:color w:val="000000" w:themeColor="text1"/>
          <w:szCs w:val="24"/>
        </w:rPr>
        <w:t>放射性废水管道裸露部分拟采用</w:t>
      </w:r>
      <w:r w:rsidRPr="00B12FE0">
        <w:rPr>
          <w:color w:val="000000" w:themeColor="text1"/>
          <w:szCs w:val="24"/>
        </w:rPr>
        <w:t>1.5mmPb</w:t>
      </w:r>
      <w:r w:rsidRPr="00B12FE0">
        <w:rPr>
          <w:rFonts w:ascii="宋体" w:hAnsi="宋体"/>
          <w:color w:val="000000" w:themeColor="text1"/>
          <w:szCs w:val="24"/>
        </w:rPr>
        <w:t>铅皮包裹进行屏蔽防护并做上标记</w:t>
      </w:r>
      <w:r w:rsidRPr="00B12FE0">
        <w:rPr>
          <w:rFonts w:ascii="宋体" w:hAnsi="宋体"/>
          <w:bCs/>
          <w:color w:val="000000" w:themeColor="text1"/>
          <w:szCs w:val="24"/>
        </w:rPr>
        <w:t>。</w:t>
      </w:r>
    </w:p>
    <w:p w14:paraId="006A39B3" w14:textId="77777777" w:rsidR="00A67F21" w:rsidRPr="00B12FE0" w:rsidRDefault="00000000">
      <w:pPr>
        <w:pStyle w:val="afb"/>
        <w:adjustRightInd w:val="0"/>
        <w:snapToGrid w:val="0"/>
        <w:spacing w:after="0" w:line="360" w:lineRule="auto"/>
        <w:ind w:firstLineChars="200" w:firstLine="482"/>
        <w:rPr>
          <w:b/>
          <w:bCs/>
          <w:color w:val="000000" w:themeColor="text1"/>
        </w:rPr>
      </w:pPr>
      <w:r w:rsidRPr="00B12FE0">
        <w:rPr>
          <w:b/>
          <w:bCs/>
          <w:color w:val="000000" w:themeColor="text1"/>
        </w:rPr>
        <w:t>（</w:t>
      </w:r>
      <w:r w:rsidRPr="00B12FE0">
        <w:rPr>
          <w:b/>
          <w:bCs/>
          <w:color w:val="000000" w:themeColor="text1"/>
        </w:rPr>
        <w:t>2</w:t>
      </w:r>
      <w:r w:rsidRPr="00B12FE0">
        <w:rPr>
          <w:b/>
          <w:bCs/>
          <w:color w:val="000000" w:themeColor="text1"/>
        </w:rPr>
        <w:t>）衰变池设计</w:t>
      </w:r>
    </w:p>
    <w:p w14:paraId="06344180" w14:textId="77777777" w:rsidR="00A67F21" w:rsidRPr="00B12FE0" w:rsidRDefault="00000000">
      <w:pPr>
        <w:pStyle w:val="afb"/>
        <w:topLinePunct/>
        <w:adjustRightInd w:val="0"/>
        <w:snapToGrid w:val="0"/>
        <w:spacing w:after="0" w:line="360" w:lineRule="auto"/>
        <w:ind w:firstLineChars="200" w:firstLine="480"/>
        <w:rPr>
          <w:color w:val="000000" w:themeColor="text1"/>
          <w:szCs w:val="24"/>
        </w:rPr>
      </w:pPr>
      <w:r w:rsidRPr="00B12FE0">
        <w:rPr>
          <w:rFonts w:hint="eastAsia"/>
          <w:color w:val="000000" w:themeColor="text1"/>
        </w:rPr>
        <w:t>本项目</w:t>
      </w:r>
      <w:r w:rsidRPr="00B12FE0">
        <w:rPr>
          <w:rFonts w:hAnsi="宋体" w:hint="eastAsia"/>
          <w:bCs/>
          <w:color w:val="000000" w:themeColor="text1"/>
        </w:rPr>
        <w:t>衰变</w:t>
      </w:r>
      <w:proofErr w:type="gramStart"/>
      <w:r w:rsidRPr="00B12FE0">
        <w:rPr>
          <w:rFonts w:hAnsi="宋体" w:hint="eastAsia"/>
          <w:bCs/>
          <w:color w:val="000000" w:themeColor="text1"/>
        </w:rPr>
        <w:t>池设置</w:t>
      </w:r>
      <w:proofErr w:type="gramEnd"/>
      <w:r w:rsidRPr="00B12FE0">
        <w:rPr>
          <w:rFonts w:hAnsi="宋体" w:hint="eastAsia"/>
          <w:bCs/>
          <w:color w:val="000000" w:themeColor="text1"/>
        </w:rPr>
        <w:t>在肿瘤治疗中心综合楼一层外围南侧绿化带内，地埋设置</w:t>
      </w:r>
      <w:r w:rsidRPr="00B12FE0">
        <w:rPr>
          <w:rFonts w:hint="eastAsia"/>
          <w:color w:val="000000" w:themeColor="text1"/>
        </w:rPr>
        <w:t>，为</w:t>
      </w:r>
      <w:r w:rsidRPr="00B12FE0">
        <w:rPr>
          <w:rFonts w:hAnsi="宋体" w:hint="eastAsia"/>
          <w:bCs/>
          <w:color w:val="000000" w:themeColor="text1"/>
        </w:rPr>
        <w:t>并联</w:t>
      </w:r>
      <w:r w:rsidRPr="00B12FE0">
        <w:rPr>
          <w:rFonts w:hint="eastAsia"/>
          <w:color w:val="000000" w:themeColor="text1"/>
        </w:rPr>
        <w:t>设计</w:t>
      </w:r>
      <w:r w:rsidRPr="00B12FE0">
        <w:rPr>
          <w:rFonts w:hAnsi="宋体" w:hint="eastAsia"/>
          <w:bCs/>
          <w:color w:val="000000" w:themeColor="text1"/>
        </w:rPr>
        <w:t>。</w:t>
      </w:r>
      <w:r w:rsidRPr="00B12FE0">
        <w:rPr>
          <w:rFonts w:hint="eastAsia"/>
          <w:color w:val="000000" w:themeColor="text1"/>
        </w:rPr>
        <w:t>根据设计单位提供资料，衰变池内设置有</w:t>
      </w:r>
      <w:r w:rsidRPr="00B12FE0">
        <w:rPr>
          <w:rFonts w:hint="eastAsia"/>
          <w:color w:val="000000" w:themeColor="text1"/>
        </w:rPr>
        <w:t>1</w:t>
      </w:r>
      <w:r w:rsidRPr="00B12FE0">
        <w:rPr>
          <w:rFonts w:hint="eastAsia"/>
          <w:color w:val="000000" w:themeColor="text1"/>
        </w:rPr>
        <w:t>套衰变池，由</w:t>
      </w:r>
      <w:r w:rsidRPr="00B12FE0">
        <w:rPr>
          <w:color w:val="000000" w:themeColor="text1"/>
        </w:rPr>
        <w:t>1</w:t>
      </w:r>
      <w:r w:rsidRPr="00B12FE0">
        <w:rPr>
          <w:color w:val="000000" w:themeColor="text1"/>
        </w:rPr>
        <w:t>个污泥池</w:t>
      </w:r>
      <w:r w:rsidRPr="00B12FE0">
        <w:rPr>
          <w:color w:val="000000" w:themeColor="text1"/>
        </w:rPr>
        <w:t>+</w:t>
      </w:r>
      <w:r w:rsidRPr="00B12FE0">
        <w:rPr>
          <w:color w:val="000000" w:themeColor="text1"/>
          <w:szCs w:val="24"/>
        </w:rPr>
        <w:t>3</w:t>
      </w:r>
      <w:r w:rsidRPr="00B12FE0">
        <w:rPr>
          <w:rFonts w:ascii="宋体" w:hAnsi="宋体"/>
          <w:color w:val="000000" w:themeColor="text1"/>
          <w:szCs w:val="24"/>
        </w:rPr>
        <w:t>个并联</w:t>
      </w:r>
      <w:proofErr w:type="gramStart"/>
      <w:r w:rsidRPr="00B12FE0">
        <w:rPr>
          <w:rFonts w:ascii="宋体" w:hAnsi="宋体"/>
          <w:color w:val="000000" w:themeColor="text1"/>
          <w:szCs w:val="24"/>
        </w:rPr>
        <w:t>衰变池组</w:t>
      </w:r>
      <w:r w:rsidRPr="00B12FE0">
        <w:rPr>
          <w:rFonts w:ascii="宋体" w:hAnsi="宋体" w:hint="eastAsia"/>
          <w:color w:val="000000" w:themeColor="text1"/>
          <w:szCs w:val="24"/>
        </w:rPr>
        <w:t>组</w:t>
      </w:r>
      <w:r w:rsidRPr="00B12FE0">
        <w:rPr>
          <w:rFonts w:ascii="宋体" w:hAnsi="宋体"/>
          <w:color w:val="000000" w:themeColor="text1"/>
          <w:szCs w:val="24"/>
        </w:rPr>
        <w:t>成</w:t>
      </w:r>
      <w:proofErr w:type="gramEnd"/>
      <w:r w:rsidRPr="00B12FE0">
        <w:rPr>
          <w:rFonts w:hint="eastAsia"/>
          <w:color w:val="000000" w:themeColor="text1"/>
        </w:rPr>
        <w:t>（单格容积为</w:t>
      </w:r>
      <w:r w:rsidRPr="00B12FE0">
        <w:rPr>
          <w:rFonts w:hint="eastAsia"/>
          <w:color w:val="000000" w:themeColor="text1"/>
        </w:rPr>
        <w:t>200m</w:t>
      </w:r>
      <w:r w:rsidRPr="00B12FE0">
        <w:rPr>
          <w:rFonts w:hint="eastAsia"/>
          <w:color w:val="000000" w:themeColor="text1"/>
          <w:vertAlign w:val="superscript"/>
        </w:rPr>
        <w:t>3</w:t>
      </w:r>
      <w:r w:rsidRPr="00B12FE0">
        <w:rPr>
          <w:rFonts w:hint="eastAsia"/>
          <w:color w:val="000000" w:themeColor="text1"/>
        </w:rPr>
        <w:t>）</w:t>
      </w:r>
      <w:r w:rsidRPr="00B12FE0">
        <w:rPr>
          <w:rFonts w:ascii="宋体" w:hAnsi="宋体"/>
          <w:color w:val="000000" w:themeColor="text1"/>
          <w:szCs w:val="24"/>
        </w:rPr>
        <w:t>，废水出口设置有人工取样口。</w:t>
      </w:r>
      <w:r w:rsidRPr="00B12FE0">
        <w:rPr>
          <w:rFonts w:ascii="宋体" w:hAnsi="宋体"/>
          <w:bCs/>
          <w:color w:val="000000" w:themeColor="text1"/>
          <w:szCs w:val="24"/>
        </w:rPr>
        <w:t>整个衰变</w:t>
      </w:r>
      <w:proofErr w:type="gramStart"/>
      <w:r w:rsidRPr="00B12FE0">
        <w:rPr>
          <w:rFonts w:ascii="宋体" w:hAnsi="宋体"/>
          <w:bCs/>
          <w:color w:val="000000" w:themeColor="text1"/>
          <w:szCs w:val="24"/>
        </w:rPr>
        <w:t>池采用</w:t>
      </w:r>
      <w:proofErr w:type="gramEnd"/>
      <w:r w:rsidRPr="00B12FE0">
        <w:rPr>
          <w:bCs/>
          <w:color w:val="000000" w:themeColor="text1"/>
          <w:szCs w:val="24"/>
        </w:rPr>
        <w:t>“</w:t>
      </w:r>
      <w:r w:rsidRPr="00B12FE0">
        <w:rPr>
          <w:rFonts w:ascii="宋体" w:hAnsi="宋体"/>
          <w:bCs/>
          <w:color w:val="000000" w:themeColor="text1"/>
          <w:szCs w:val="24"/>
        </w:rPr>
        <w:t>槽式</w:t>
      </w:r>
      <w:r w:rsidRPr="00B12FE0">
        <w:rPr>
          <w:bCs/>
          <w:color w:val="000000" w:themeColor="text1"/>
          <w:szCs w:val="24"/>
        </w:rPr>
        <w:t>”</w:t>
      </w:r>
      <w:r w:rsidRPr="00B12FE0">
        <w:rPr>
          <w:rFonts w:ascii="宋体" w:hAnsi="宋体"/>
          <w:bCs/>
          <w:color w:val="000000" w:themeColor="text1"/>
          <w:szCs w:val="24"/>
        </w:rPr>
        <w:t>排放，通过阀门切换并联运行</w:t>
      </w:r>
      <w:r w:rsidRPr="00B12FE0">
        <w:rPr>
          <w:rFonts w:ascii="宋体" w:hAnsi="宋体"/>
          <w:color w:val="000000" w:themeColor="text1"/>
          <w:szCs w:val="24"/>
        </w:rPr>
        <w:t>。运行时先关闭</w:t>
      </w:r>
      <w:r w:rsidRPr="00B12FE0">
        <w:rPr>
          <w:color w:val="000000" w:themeColor="text1"/>
          <w:szCs w:val="24"/>
        </w:rPr>
        <w:t>2#</w:t>
      </w:r>
      <w:r w:rsidRPr="00B12FE0">
        <w:rPr>
          <w:rFonts w:ascii="宋体" w:hAnsi="宋体"/>
          <w:color w:val="000000" w:themeColor="text1"/>
          <w:szCs w:val="24"/>
        </w:rPr>
        <w:t>、</w:t>
      </w:r>
      <w:r w:rsidRPr="00B12FE0">
        <w:rPr>
          <w:color w:val="000000" w:themeColor="text1"/>
          <w:szCs w:val="24"/>
        </w:rPr>
        <w:t>3#</w:t>
      </w:r>
      <w:r w:rsidRPr="00B12FE0">
        <w:rPr>
          <w:rFonts w:ascii="宋体" w:hAnsi="宋体"/>
          <w:color w:val="000000" w:themeColor="text1"/>
          <w:szCs w:val="24"/>
        </w:rPr>
        <w:t>进水管上电动阀，打开</w:t>
      </w:r>
      <w:r w:rsidRPr="00B12FE0">
        <w:rPr>
          <w:color w:val="000000" w:themeColor="text1"/>
          <w:szCs w:val="24"/>
        </w:rPr>
        <w:t>1#</w:t>
      </w:r>
      <w:r w:rsidRPr="00B12FE0">
        <w:rPr>
          <w:rFonts w:ascii="宋体" w:hAnsi="宋体"/>
          <w:color w:val="000000" w:themeColor="text1"/>
          <w:szCs w:val="24"/>
        </w:rPr>
        <w:t>进水管上的电动阀，使废水进入</w:t>
      </w:r>
      <w:r w:rsidRPr="00B12FE0">
        <w:rPr>
          <w:color w:val="000000" w:themeColor="text1"/>
          <w:szCs w:val="24"/>
        </w:rPr>
        <w:t>1#</w:t>
      </w:r>
      <w:r w:rsidRPr="00B12FE0">
        <w:rPr>
          <w:rFonts w:ascii="宋体" w:hAnsi="宋体"/>
          <w:color w:val="000000" w:themeColor="text1"/>
          <w:szCs w:val="24"/>
        </w:rPr>
        <w:t>衰变池，当</w:t>
      </w:r>
      <w:r w:rsidRPr="00B12FE0">
        <w:rPr>
          <w:color w:val="000000" w:themeColor="text1"/>
          <w:szCs w:val="24"/>
        </w:rPr>
        <w:t>1#</w:t>
      </w:r>
      <w:r w:rsidRPr="00B12FE0">
        <w:rPr>
          <w:rFonts w:ascii="宋体" w:hAnsi="宋体"/>
          <w:color w:val="000000" w:themeColor="text1"/>
          <w:szCs w:val="24"/>
        </w:rPr>
        <w:t>衰变池废水到达设定水位后，关闭</w:t>
      </w:r>
      <w:r w:rsidRPr="00B12FE0">
        <w:rPr>
          <w:color w:val="000000" w:themeColor="text1"/>
          <w:szCs w:val="24"/>
        </w:rPr>
        <w:t>1#</w:t>
      </w:r>
      <w:r w:rsidRPr="00B12FE0">
        <w:rPr>
          <w:rFonts w:ascii="宋体" w:hAnsi="宋体"/>
          <w:color w:val="000000" w:themeColor="text1"/>
          <w:szCs w:val="24"/>
        </w:rPr>
        <w:t>电动阀并开启</w:t>
      </w:r>
      <w:r w:rsidRPr="00B12FE0">
        <w:rPr>
          <w:color w:val="000000" w:themeColor="text1"/>
          <w:szCs w:val="24"/>
        </w:rPr>
        <w:t>2#</w:t>
      </w:r>
      <w:r w:rsidRPr="00B12FE0">
        <w:rPr>
          <w:rFonts w:ascii="宋体" w:hAnsi="宋体"/>
          <w:color w:val="000000" w:themeColor="text1"/>
          <w:szCs w:val="24"/>
        </w:rPr>
        <w:t>衰变池电动阀，废水经</w:t>
      </w:r>
      <w:r w:rsidRPr="00B12FE0">
        <w:rPr>
          <w:color w:val="000000" w:themeColor="text1"/>
          <w:szCs w:val="24"/>
        </w:rPr>
        <w:t>2#</w:t>
      </w:r>
      <w:r w:rsidRPr="00B12FE0">
        <w:rPr>
          <w:rFonts w:ascii="宋体" w:hAnsi="宋体"/>
          <w:color w:val="000000" w:themeColor="text1"/>
          <w:szCs w:val="24"/>
        </w:rPr>
        <w:t>电动阀流入</w:t>
      </w:r>
      <w:r w:rsidRPr="00B12FE0">
        <w:rPr>
          <w:color w:val="000000" w:themeColor="text1"/>
          <w:szCs w:val="24"/>
        </w:rPr>
        <w:t>2#</w:t>
      </w:r>
      <w:r w:rsidRPr="00B12FE0">
        <w:rPr>
          <w:rFonts w:ascii="宋体" w:hAnsi="宋体"/>
          <w:color w:val="000000" w:themeColor="text1"/>
          <w:szCs w:val="24"/>
        </w:rPr>
        <w:t>衰变池，当</w:t>
      </w:r>
      <w:r w:rsidRPr="00B12FE0">
        <w:rPr>
          <w:color w:val="000000" w:themeColor="text1"/>
          <w:szCs w:val="24"/>
        </w:rPr>
        <w:t>2#</w:t>
      </w:r>
      <w:r w:rsidRPr="00B12FE0">
        <w:rPr>
          <w:rFonts w:ascii="宋体" w:hAnsi="宋体"/>
          <w:color w:val="000000" w:themeColor="text1"/>
          <w:szCs w:val="24"/>
        </w:rPr>
        <w:t>衰变池废水到达设定水位后，关闭</w:t>
      </w:r>
      <w:r w:rsidRPr="00B12FE0">
        <w:rPr>
          <w:color w:val="000000" w:themeColor="text1"/>
          <w:szCs w:val="24"/>
        </w:rPr>
        <w:t>2#</w:t>
      </w:r>
      <w:r w:rsidRPr="00B12FE0">
        <w:rPr>
          <w:rFonts w:ascii="宋体" w:hAnsi="宋体"/>
          <w:color w:val="000000" w:themeColor="text1"/>
          <w:szCs w:val="24"/>
        </w:rPr>
        <w:t>电动阀并开启</w:t>
      </w:r>
      <w:r w:rsidRPr="00B12FE0">
        <w:rPr>
          <w:color w:val="000000" w:themeColor="text1"/>
          <w:szCs w:val="24"/>
        </w:rPr>
        <w:t>3#</w:t>
      </w:r>
      <w:r w:rsidRPr="00B12FE0">
        <w:rPr>
          <w:rFonts w:ascii="宋体" w:hAnsi="宋体"/>
          <w:color w:val="000000" w:themeColor="text1"/>
          <w:szCs w:val="24"/>
        </w:rPr>
        <w:t>衰变池电动阀；当</w:t>
      </w:r>
      <w:r w:rsidRPr="00B12FE0">
        <w:rPr>
          <w:color w:val="000000" w:themeColor="text1"/>
          <w:szCs w:val="24"/>
        </w:rPr>
        <w:t>3#</w:t>
      </w:r>
      <w:r w:rsidRPr="00B12FE0">
        <w:rPr>
          <w:rFonts w:ascii="宋体" w:hAnsi="宋体"/>
          <w:color w:val="000000" w:themeColor="text1"/>
          <w:szCs w:val="24"/>
        </w:rPr>
        <w:t>衰变池内废水到达设定水位时，检测</w:t>
      </w:r>
      <w:r w:rsidRPr="00B12FE0">
        <w:rPr>
          <w:color w:val="000000" w:themeColor="text1"/>
          <w:szCs w:val="24"/>
        </w:rPr>
        <w:t>1#</w:t>
      </w:r>
      <w:r w:rsidRPr="00B12FE0">
        <w:rPr>
          <w:rFonts w:ascii="宋体" w:hAnsi="宋体"/>
          <w:color w:val="000000" w:themeColor="text1"/>
          <w:szCs w:val="24"/>
        </w:rPr>
        <w:t>衰变</w:t>
      </w:r>
      <w:proofErr w:type="gramStart"/>
      <w:r w:rsidRPr="00B12FE0">
        <w:rPr>
          <w:rFonts w:ascii="宋体" w:hAnsi="宋体"/>
          <w:color w:val="000000" w:themeColor="text1"/>
          <w:szCs w:val="24"/>
        </w:rPr>
        <w:t>池是否</w:t>
      </w:r>
      <w:proofErr w:type="gramEnd"/>
      <w:r w:rsidRPr="00B12FE0">
        <w:rPr>
          <w:rFonts w:ascii="宋体" w:hAnsi="宋体"/>
          <w:color w:val="000000" w:themeColor="text1"/>
          <w:szCs w:val="24"/>
        </w:rPr>
        <w:t>已排空。如果</w:t>
      </w:r>
      <w:r w:rsidRPr="00B12FE0">
        <w:rPr>
          <w:color w:val="000000" w:themeColor="text1"/>
          <w:szCs w:val="24"/>
        </w:rPr>
        <w:t>1#</w:t>
      </w:r>
      <w:r w:rsidRPr="00B12FE0">
        <w:rPr>
          <w:rFonts w:ascii="宋体" w:hAnsi="宋体"/>
          <w:color w:val="000000" w:themeColor="text1"/>
          <w:szCs w:val="24"/>
        </w:rPr>
        <w:t>衰变池为空槽则关闭</w:t>
      </w:r>
      <w:r w:rsidRPr="00B12FE0">
        <w:rPr>
          <w:color w:val="000000" w:themeColor="text1"/>
          <w:szCs w:val="24"/>
        </w:rPr>
        <w:t>3#</w:t>
      </w:r>
      <w:r w:rsidRPr="00B12FE0">
        <w:rPr>
          <w:rFonts w:ascii="宋体" w:hAnsi="宋体"/>
          <w:color w:val="000000" w:themeColor="text1"/>
          <w:szCs w:val="24"/>
        </w:rPr>
        <w:t>电动阀并开启</w:t>
      </w:r>
      <w:r w:rsidRPr="00B12FE0">
        <w:rPr>
          <w:color w:val="000000" w:themeColor="text1"/>
          <w:szCs w:val="24"/>
        </w:rPr>
        <w:t>1#</w:t>
      </w:r>
      <w:r w:rsidRPr="00B12FE0">
        <w:rPr>
          <w:rFonts w:ascii="宋体" w:hAnsi="宋体"/>
          <w:color w:val="000000" w:themeColor="text1"/>
          <w:szCs w:val="24"/>
        </w:rPr>
        <w:t>衰变池电动阀，以此类推。</w:t>
      </w:r>
      <w:r w:rsidRPr="00B12FE0">
        <w:rPr>
          <w:rFonts w:ascii="宋体" w:hAnsi="宋体" w:hint="eastAsia"/>
          <w:color w:val="000000" w:themeColor="text1"/>
          <w:szCs w:val="24"/>
        </w:rPr>
        <w:t>核医学科场所放射性废水</w:t>
      </w:r>
      <w:r w:rsidRPr="00B12FE0">
        <w:rPr>
          <w:rFonts w:ascii="宋体" w:hAnsi="宋体"/>
          <w:color w:val="000000" w:themeColor="text1"/>
          <w:szCs w:val="24"/>
        </w:rPr>
        <w:t>经贮存</w:t>
      </w:r>
      <w:r w:rsidRPr="00B12FE0">
        <w:rPr>
          <w:rFonts w:hint="eastAsia"/>
          <w:color w:val="000000" w:themeColor="text1"/>
          <w:szCs w:val="24"/>
        </w:rPr>
        <w:t>224</w:t>
      </w:r>
      <w:r w:rsidRPr="00B12FE0">
        <w:rPr>
          <w:rFonts w:ascii="宋体" w:hAnsi="宋体"/>
          <w:color w:val="000000" w:themeColor="text1"/>
          <w:szCs w:val="24"/>
        </w:rPr>
        <w:t>天后可直接解控排入医院污水处理系统</w:t>
      </w:r>
      <w:r w:rsidRPr="00B12FE0">
        <w:rPr>
          <w:rFonts w:ascii="宋体" w:hAnsi="宋体" w:hint="eastAsia"/>
          <w:color w:val="000000" w:themeColor="text1"/>
          <w:szCs w:val="24"/>
        </w:rPr>
        <w:t>，医院应做好相关排放记录</w:t>
      </w:r>
      <w:r w:rsidRPr="00B12FE0">
        <w:rPr>
          <w:rFonts w:ascii="宋体" w:hAnsi="宋体"/>
          <w:color w:val="000000" w:themeColor="text1"/>
          <w:szCs w:val="24"/>
        </w:rPr>
        <w:t>。</w:t>
      </w:r>
    </w:p>
    <w:p w14:paraId="1DC18B31" w14:textId="77777777" w:rsidR="00A67F21" w:rsidRPr="00B12FE0" w:rsidRDefault="00000000">
      <w:pPr>
        <w:pStyle w:val="afb"/>
        <w:spacing w:after="0" w:line="360" w:lineRule="auto"/>
        <w:ind w:firstLineChars="200" w:firstLine="480"/>
        <w:contextualSpacing/>
        <w:rPr>
          <w:color w:val="000000" w:themeColor="text1"/>
        </w:rPr>
      </w:pPr>
      <w:proofErr w:type="gramStart"/>
      <w:r w:rsidRPr="00B12FE0">
        <w:rPr>
          <w:rFonts w:hint="eastAsia"/>
          <w:color w:val="000000" w:themeColor="text1"/>
        </w:rPr>
        <w:t>衰变池进水管</w:t>
      </w:r>
      <w:proofErr w:type="gramEnd"/>
      <w:r w:rsidRPr="00B12FE0">
        <w:rPr>
          <w:rFonts w:hint="eastAsia"/>
          <w:color w:val="000000" w:themeColor="text1"/>
        </w:rPr>
        <w:t>上的电动阀和</w:t>
      </w:r>
      <w:proofErr w:type="gramStart"/>
      <w:r w:rsidRPr="00B12FE0">
        <w:rPr>
          <w:rFonts w:hint="eastAsia"/>
          <w:color w:val="000000" w:themeColor="text1"/>
        </w:rPr>
        <w:t>衰变池排水泵</w:t>
      </w:r>
      <w:proofErr w:type="gramEnd"/>
      <w:r w:rsidRPr="00B12FE0">
        <w:rPr>
          <w:rFonts w:hint="eastAsia"/>
          <w:color w:val="000000" w:themeColor="text1"/>
        </w:rPr>
        <w:t>均有自动控制和手动控制两种模式</w:t>
      </w:r>
      <w:r w:rsidRPr="00B12FE0">
        <w:rPr>
          <w:color w:val="000000" w:themeColor="text1"/>
        </w:rPr>
        <w:t>。衰变池的自动化控制系统除能自动控制电磁阀开关及自动启停</w:t>
      </w:r>
      <w:r w:rsidRPr="00B12FE0">
        <w:rPr>
          <w:rFonts w:hint="eastAsia"/>
          <w:color w:val="000000" w:themeColor="text1"/>
        </w:rPr>
        <w:t>潜污</w:t>
      </w:r>
      <w:r w:rsidRPr="00B12FE0">
        <w:rPr>
          <w:color w:val="000000" w:themeColor="text1"/>
        </w:rPr>
        <w:t>泵外，还能实时监控池内液位状态，水位超过设定正常水位能自动报警，各衰变池的液位、衰变时间自动显示在电脑的显示屏和控制柜的文本显示器上，并可随时查阅或打印当前和历史的相关记录。衰变池的管理应做到以下几个方面：</w:t>
      </w:r>
    </w:p>
    <w:p w14:paraId="2505A4E9" w14:textId="77777777" w:rsidR="00A67F21" w:rsidRPr="00B12FE0" w:rsidRDefault="00000000">
      <w:pPr>
        <w:pStyle w:val="afb"/>
        <w:spacing w:after="0" w:line="360" w:lineRule="auto"/>
        <w:ind w:firstLineChars="200" w:firstLine="480"/>
        <w:contextualSpacing/>
        <w:rPr>
          <w:color w:val="000000" w:themeColor="text1"/>
        </w:rPr>
      </w:pPr>
      <w:r w:rsidRPr="00B12FE0">
        <w:rPr>
          <w:color w:val="000000" w:themeColor="text1"/>
        </w:rPr>
        <w:t>1</w:t>
      </w:r>
      <w:r w:rsidRPr="00B12FE0">
        <w:rPr>
          <w:color w:val="000000" w:themeColor="text1"/>
        </w:rPr>
        <w:t>）衰变池池底和池壁应坚固、耐酸碱腐蚀和无渗透性，放射性衰变池应加以密封，应有</w:t>
      </w:r>
      <w:r w:rsidRPr="00B12FE0">
        <w:rPr>
          <w:rFonts w:hint="eastAsia"/>
          <w:color w:val="000000" w:themeColor="text1"/>
          <w:lang w:eastAsia="zh-Hans"/>
        </w:rPr>
        <w:t>防止废液溢出</w:t>
      </w:r>
      <w:r w:rsidRPr="00B12FE0">
        <w:rPr>
          <w:color w:val="000000" w:themeColor="text1"/>
          <w:lang w:eastAsia="zh-Hans"/>
        </w:rPr>
        <w:t>、</w:t>
      </w:r>
      <w:r w:rsidRPr="00B12FE0">
        <w:rPr>
          <w:rFonts w:hint="eastAsia"/>
          <w:color w:val="000000" w:themeColor="text1"/>
          <w:lang w:eastAsia="zh-Hans"/>
        </w:rPr>
        <w:t>污泥硬化淤积</w:t>
      </w:r>
      <w:r w:rsidRPr="00B12FE0">
        <w:rPr>
          <w:color w:val="000000" w:themeColor="text1"/>
          <w:lang w:eastAsia="zh-Hans"/>
        </w:rPr>
        <w:t>、</w:t>
      </w:r>
      <w:r w:rsidRPr="00B12FE0">
        <w:rPr>
          <w:rFonts w:hint="eastAsia"/>
          <w:color w:val="000000" w:themeColor="text1"/>
          <w:lang w:eastAsia="zh-Hans"/>
        </w:rPr>
        <w:t>堵塞进出水口</w:t>
      </w:r>
      <w:r w:rsidRPr="00B12FE0">
        <w:rPr>
          <w:color w:val="000000" w:themeColor="text1"/>
          <w:lang w:eastAsia="zh-Hans"/>
        </w:rPr>
        <w:t>、</w:t>
      </w:r>
      <w:r w:rsidRPr="00B12FE0">
        <w:rPr>
          <w:rFonts w:hint="eastAsia"/>
          <w:color w:val="000000" w:themeColor="text1"/>
          <w:lang w:eastAsia="zh-Hans"/>
        </w:rPr>
        <w:t>废液衰变池超压</w:t>
      </w:r>
      <w:r w:rsidRPr="00B12FE0">
        <w:rPr>
          <w:color w:val="000000" w:themeColor="text1"/>
          <w:lang w:eastAsia="zh-Hans"/>
        </w:rPr>
        <w:t>、</w:t>
      </w:r>
      <w:r w:rsidRPr="00B12FE0">
        <w:rPr>
          <w:color w:val="000000" w:themeColor="text1"/>
        </w:rPr>
        <w:t>防水、防渗和防漏的措施。</w:t>
      </w:r>
    </w:p>
    <w:p w14:paraId="64944B7B" w14:textId="77777777" w:rsidR="00A67F21" w:rsidRPr="00B12FE0" w:rsidRDefault="00000000">
      <w:pPr>
        <w:pStyle w:val="afb"/>
        <w:spacing w:after="0" w:line="360" w:lineRule="auto"/>
        <w:ind w:firstLineChars="200" w:firstLine="480"/>
        <w:contextualSpacing/>
        <w:rPr>
          <w:color w:val="000000" w:themeColor="text1"/>
        </w:rPr>
      </w:pPr>
      <w:r w:rsidRPr="00B12FE0">
        <w:rPr>
          <w:rFonts w:hint="eastAsia"/>
          <w:color w:val="000000" w:themeColor="text1"/>
        </w:rPr>
        <w:t>2</w:t>
      </w:r>
      <w:r w:rsidRPr="00B12FE0">
        <w:rPr>
          <w:color w:val="000000" w:themeColor="text1"/>
        </w:rPr>
        <w:t>）规定</w:t>
      </w:r>
      <w:r w:rsidRPr="00B12FE0">
        <w:rPr>
          <w:rFonts w:hint="eastAsia"/>
          <w:color w:val="000000" w:themeColor="text1"/>
        </w:rPr>
        <w:t>在核医学工作场所内给药后</w:t>
      </w:r>
      <w:r w:rsidRPr="00B12FE0">
        <w:rPr>
          <w:color w:val="000000" w:themeColor="text1"/>
        </w:rPr>
        <w:t>患者使用专用厕所，不得使用其他厕所。</w:t>
      </w:r>
    </w:p>
    <w:p w14:paraId="2820A529" w14:textId="77777777" w:rsidR="00A67F21" w:rsidRPr="00B12FE0" w:rsidRDefault="00000000">
      <w:pPr>
        <w:pStyle w:val="afb"/>
        <w:spacing w:after="0" w:line="360" w:lineRule="auto"/>
        <w:ind w:firstLineChars="200" w:firstLine="480"/>
        <w:contextualSpacing/>
        <w:rPr>
          <w:color w:val="000000" w:themeColor="text1"/>
        </w:rPr>
      </w:pPr>
      <w:r w:rsidRPr="00B12FE0">
        <w:rPr>
          <w:rFonts w:hint="eastAsia"/>
          <w:color w:val="000000" w:themeColor="text1"/>
        </w:rPr>
        <w:lastRenderedPageBreak/>
        <w:t>3</w:t>
      </w:r>
      <w:r w:rsidRPr="00B12FE0">
        <w:rPr>
          <w:color w:val="000000" w:themeColor="text1"/>
        </w:rPr>
        <w:t>）专用厕所应具备使病人排泄物迅速全部冲洗入池的条件，而且随时保持便池周围清洁。</w:t>
      </w:r>
    </w:p>
    <w:p w14:paraId="076CCE3F" w14:textId="77777777" w:rsidR="00A67F21" w:rsidRPr="00B12FE0" w:rsidRDefault="00000000">
      <w:pPr>
        <w:pStyle w:val="afb"/>
        <w:spacing w:after="0" w:line="360" w:lineRule="auto"/>
        <w:ind w:firstLineChars="200" w:firstLine="480"/>
        <w:contextualSpacing/>
        <w:rPr>
          <w:color w:val="000000" w:themeColor="text1"/>
        </w:rPr>
      </w:pPr>
      <w:r w:rsidRPr="00B12FE0">
        <w:rPr>
          <w:rFonts w:hint="eastAsia"/>
          <w:color w:val="000000" w:themeColor="text1"/>
        </w:rPr>
        <w:t>4</w:t>
      </w:r>
      <w:r w:rsidRPr="00B12FE0">
        <w:rPr>
          <w:color w:val="000000" w:themeColor="text1"/>
        </w:rPr>
        <w:t>）每个衰变</w:t>
      </w:r>
      <w:proofErr w:type="gramStart"/>
      <w:r w:rsidRPr="00B12FE0">
        <w:rPr>
          <w:color w:val="000000" w:themeColor="text1"/>
        </w:rPr>
        <w:t>池设置</w:t>
      </w:r>
      <w:proofErr w:type="gramEnd"/>
      <w:r w:rsidRPr="00B12FE0">
        <w:rPr>
          <w:rFonts w:hint="eastAsia"/>
          <w:color w:val="000000" w:themeColor="text1"/>
        </w:rPr>
        <w:t>人工</w:t>
      </w:r>
      <w:r w:rsidRPr="00B12FE0">
        <w:rPr>
          <w:color w:val="000000" w:themeColor="text1"/>
        </w:rPr>
        <w:t>取样口，以方便取样检测。</w:t>
      </w:r>
    </w:p>
    <w:p w14:paraId="7430EAC6" w14:textId="77777777" w:rsidR="00A67F21" w:rsidRPr="00B12FE0" w:rsidRDefault="00000000">
      <w:pPr>
        <w:spacing w:line="360" w:lineRule="auto"/>
        <w:ind w:firstLineChars="196" w:firstLine="470"/>
        <w:contextualSpacing/>
        <w:rPr>
          <w:color w:val="000000" w:themeColor="text1"/>
        </w:rPr>
      </w:pPr>
      <w:r w:rsidRPr="00B12FE0">
        <w:rPr>
          <w:rFonts w:hint="eastAsia"/>
          <w:color w:val="000000" w:themeColor="text1"/>
        </w:rPr>
        <w:t>5</w:t>
      </w:r>
      <w:r w:rsidRPr="00B12FE0">
        <w:rPr>
          <w:color w:val="000000" w:themeColor="text1"/>
        </w:rPr>
        <w:t>）</w:t>
      </w:r>
      <w:proofErr w:type="gramStart"/>
      <w:r w:rsidRPr="00B12FE0">
        <w:rPr>
          <w:color w:val="000000" w:themeColor="text1"/>
        </w:rPr>
        <w:t>衰变池</w:t>
      </w:r>
      <w:r w:rsidRPr="00B12FE0">
        <w:rPr>
          <w:rFonts w:hint="eastAsia"/>
          <w:color w:val="000000" w:themeColor="text1"/>
        </w:rPr>
        <w:t>间</w:t>
      </w:r>
      <w:r w:rsidRPr="00B12FE0">
        <w:rPr>
          <w:color w:val="000000" w:themeColor="text1"/>
        </w:rPr>
        <w:t>设置</w:t>
      </w:r>
      <w:proofErr w:type="gramEnd"/>
      <w:r w:rsidRPr="00B12FE0">
        <w:rPr>
          <w:color w:val="000000" w:themeColor="text1"/>
        </w:rPr>
        <w:t>电离</w:t>
      </w:r>
      <w:r w:rsidRPr="00B12FE0">
        <w:rPr>
          <w:rFonts w:hint="eastAsia"/>
          <w:color w:val="000000" w:themeColor="text1"/>
        </w:rPr>
        <w:t>辐射</w:t>
      </w:r>
      <w:r w:rsidRPr="00B12FE0">
        <w:rPr>
          <w:color w:val="000000" w:themeColor="text1"/>
        </w:rPr>
        <w:t>警告</w:t>
      </w:r>
      <w:r w:rsidRPr="00B12FE0">
        <w:rPr>
          <w:rFonts w:hint="eastAsia"/>
          <w:color w:val="000000" w:themeColor="text1"/>
        </w:rPr>
        <w:t>标志</w:t>
      </w:r>
      <w:r w:rsidRPr="00B12FE0">
        <w:rPr>
          <w:color w:val="000000" w:themeColor="text1"/>
        </w:rPr>
        <w:t>和中文警示说明。</w:t>
      </w:r>
    </w:p>
    <w:p w14:paraId="13ABAE5C" w14:textId="77777777" w:rsidR="00A67F21" w:rsidRPr="00B12FE0" w:rsidRDefault="00000000">
      <w:pPr>
        <w:pStyle w:val="afb"/>
        <w:adjustRightInd w:val="0"/>
        <w:snapToGrid w:val="0"/>
        <w:spacing w:after="0" w:line="360" w:lineRule="auto"/>
        <w:ind w:firstLineChars="200" w:firstLine="480"/>
        <w:rPr>
          <w:bCs/>
          <w:color w:val="000000" w:themeColor="text1"/>
          <w:szCs w:val="21"/>
        </w:rPr>
      </w:pPr>
      <w:r w:rsidRPr="00B12FE0">
        <w:rPr>
          <w:rFonts w:hint="eastAsia"/>
          <w:color w:val="000000" w:themeColor="text1"/>
        </w:rPr>
        <w:t>6</w:t>
      </w:r>
      <w:r w:rsidRPr="00B12FE0">
        <w:rPr>
          <w:rFonts w:hint="eastAsia"/>
          <w:color w:val="000000" w:themeColor="text1"/>
        </w:rPr>
        <w:t>）</w:t>
      </w:r>
      <w:r w:rsidRPr="00B12FE0">
        <w:rPr>
          <w:rFonts w:hint="eastAsia"/>
          <w:bCs/>
          <w:color w:val="000000" w:themeColor="text1"/>
          <w:szCs w:val="21"/>
        </w:rPr>
        <w:t>建立放射性废水的暂存和处理台账，详细记录放射性废水所含的核素名称、体积、废</w:t>
      </w:r>
      <w:r w:rsidRPr="00B12FE0">
        <w:rPr>
          <w:rFonts w:hint="eastAsia"/>
          <w:bCs/>
          <w:color w:val="000000" w:themeColor="text1"/>
        </w:rPr>
        <w:t>水</w:t>
      </w:r>
      <w:r w:rsidRPr="00B12FE0">
        <w:rPr>
          <w:rFonts w:hint="eastAsia"/>
          <w:bCs/>
          <w:color w:val="000000" w:themeColor="text1"/>
          <w:szCs w:val="21"/>
        </w:rPr>
        <w:t>产生起始日期、责任人员、排放时间、监测结果等信息。</w:t>
      </w:r>
    </w:p>
    <w:p w14:paraId="3C4CBFC9" w14:textId="77777777" w:rsidR="00A67F21" w:rsidRPr="00B12FE0" w:rsidRDefault="00000000">
      <w:pPr>
        <w:topLinePunct/>
        <w:adjustRightInd w:val="0"/>
        <w:snapToGrid w:val="0"/>
        <w:spacing w:line="360" w:lineRule="auto"/>
        <w:outlineLvl w:val="3"/>
        <w:rPr>
          <w:b/>
          <w:bCs/>
          <w:color w:val="000000" w:themeColor="text1"/>
          <w:szCs w:val="24"/>
        </w:rPr>
      </w:pPr>
      <w:r w:rsidRPr="00B12FE0">
        <w:rPr>
          <w:b/>
          <w:bCs/>
          <w:color w:val="000000" w:themeColor="text1"/>
          <w:szCs w:val="24"/>
        </w:rPr>
        <w:t>10.2.1.2</w:t>
      </w:r>
      <w:r w:rsidRPr="00B12FE0">
        <w:rPr>
          <w:rFonts w:ascii="宋体" w:hAnsi="宋体"/>
          <w:b/>
          <w:bCs/>
          <w:color w:val="000000" w:themeColor="text1"/>
          <w:szCs w:val="24"/>
        </w:rPr>
        <w:t>放射性废气</w:t>
      </w:r>
    </w:p>
    <w:p w14:paraId="67665CFB" w14:textId="77777777" w:rsidR="00A67F21" w:rsidRPr="00B12FE0" w:rsidRDefault="00000000">
      <w:pPr>
        <w:adjustRightInd w:val="0"/>
        <w:snapToGrid w:val="0"/>
        <w:spacing w:line="360" w:lineRule="auto"/>
        <w:ind w:firstLineChars="200" w:firstLine="482"/>
        <w:rPr>
          <w:color w:val="000000" w:themeColor="text1"/>
          <w:szCs w:val="24"/>
        </w:rPr>
      </w:pPr>
      <w:r w:rsidRPr="00B12FE0">
        <w:rPr>
          <w:b/>
          <w:color w:val="000000" w:themeColor="text1"/>
          <w:szCs w:val="24"/>
        </w:rPr>
        <w:t>（</w:t>
      </w:r>
      <w:r w:rsidRPr="00B12FE0">
        <w:rPr>
          <w:b/>
          <w:color w:val="000000" w:themeColor="text1"/>
          <w:szCs w:val="24"/>
        </w:rPr>
        <w:t>1</w:t>
      </w:r>
      <w:r w:rsidRPr="00B12FE0">
        <w:rPr>
          <w:b/>
          <w:color w:val="000000" w:themeColor="text1"/>
          <w:szCs w:val="24"/>
        </w:rPr>
        <w:t>）肿瘤治疗中心综合楼</w:t>
      </w:r>
      <w:r w:rsidRPr="00B12FE0">
        <w:rPr>
          <w:b/>
          <w:color w:val="000000" w:themeColor="text1"/>
          <w:szCs w:val="24"/>
        </w:rPr>
        <w:t>:</w:t>
      </w:r>
      <w:r w:rsidRPr="00B12FE0">
        <w:rPr>
          <w:b/>
          <w:color w:val="000000" w:themeColor="text1"/>
          <w:szCs w:val="24"/>
        </w:rPr>
        <w:t>一层（核素制备场所）</w:t>
      </w:r>
      <w:r w:rsidRPr="00B12FE0">
        <w:rPr>
          <w:b/>
          <w:color w:val="000000" w:themeColor="text1"/>
          <w:kern w:val="0"/>
          <w:szCs w:val="24"/>
        </w:rPr>
        <w:t>废气处理措施</w:t>
      </w:r>
    </w:p>
    <w:p w14:paraId="5D09F6A7"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color w:val="000000" w:themeColor="text1"/>
          <w:szCs w:val="24"/>
        </w:rPr>
        <w:t>肿瘤治疗中心综合楼一层核素制备场所共设有</w:t>
      </w:r>
      <w:r w:rsidRPr="00B12FE0">
        <w:rPr>
          <w:rFonts w:hint="eastAsia"/>
          <w:color w:val="000000" w:themeColor="text1"/>
          <w:szCs w:val="24"/>
        </w:rPr>
        <w:t>5</w:t>
      </w:r>
      <w:r w:rsidRPr="00B12FE0">
        <w:rPr>
          <w:color w:val="000000" w:themeColor="text1"/>
          <w:szCs w:val="24"/>
        </w:rPr>
        <w:t>支独立排风管线且工作场所内保持负压。</w:t>
      </w:r>
      <w:r w:rsidRPr="00B12FE0">
        <w:rPr>
          <w:color w:val="000000" w:themeColor="text1"/>
          <w:szCs w:val="24"/>
        </w:rPr>
        <w:t>1</w:t>
      </w:r>
      <w:r w:rsidRPr="00B12FE0">
        <w:rPr>
          <w:color w:val="000000" w:themeColor="text1"/>
          <w:szCs w:val="24"/>
        </w:rPr>
        <w:t>号</w:t>
      </w:r>
      <w:r w:rsidRPr="00B12FE0">
        <w:rPr>
          <w:rFonts w:hint="eastAsia"/>
          <w:color w:val="000000" w:themeColor="text1"/>
          <w:szCs w:val="24"/>
        </w:rPr>
        <w:t>排风管线：回旋加速器设备自屏蔽体单独设置</w:t>
      </w:r>
      <w:r w:rsidRPr="00B12FE0">
        <w:rPr>
          <w:rFonts w:hint="eastAsia"/>
          <w:color w:val="000000" w:themeColor="text1"/>
          <w:szCs w:val="24"/>
        </w:rPr>
        <w:t>1</w:t>
      </w:r>
      <w:r w:rsidRPr="00B12FE0">
        <w:rPr>
          <w:rFonts w:hint="eastAsia"/>
          <w:color w:val="000000" w:themeColor="text1"/>
          <w:szCs w:val="24"/>
        </w:rPr>
        <w:t>套排风系统；</w:t>
      </w:r>
      <w:r w:rsidRPr="00B12FE0">
        <w:rPr>
          <w:color w:val="000000" w:themeColor="text1"/>
          <w:szCs w:val="24"/>
        </w:rPr>
        <w:t>2</w:t>
      </w:r>
      <w:r w:rsidRPr="00B12FE0">
        <w:rPr>
          <w:color w:val="000000" w:themeColor="text1"/>
          <w:szCs w:val="24"/>
        </w:rPr>
        <w:t>号排风管线：</w:t>
      </w:r>
      <w:r w:rsidRPr="00B12FE0">
        <w:rPr>
          <w:rFonts w:hint="eastAsia"/>
          <w:color w:val="000000" w:themeColor="text1"/>
          <w:szCs w:val="24"/>
        </w:rPr>
        <w:t>回旋加速器机房单独设置</w:t>
      </w:r>
      <w:r w:rsidRPr="00B12FE0">
        <w:rPr>
          <w:rFonts w:hint="eastAsia"/>
          <w:color w:val="000000" w:themeColor="text1"/>
          <w:szCs w:val="24"/>
        </w:rPr>
        <w:t>1</w:t>
      </w:r>
      <w:r w:rsidRPr="00B12FE0">
        <w:rPr>
          <w:rFonts w:hint="eastAsia"/>
          <w:color w:val="000000" w:themeColor="text1"/>
          <w:szCs w:val="24"/>
        </w:rPr>
        <w:t>套排风系统；</w:t>
      </w:r>
      <w:r w:rsidRPr="00B12FE0">
        <w:rPr>
          <w:color w:val="000000" w:themeColor="text1"/>
          <w:szCs w:val="24"/>
        </w:rPr>
        <w:t xml:space="preserve"> 3</w:t>
      </w:r>
      <w:r w:rsidRPr="00B12FE0">
        <w:rPr>
          <w:color w:val="000000" w:themeColor="text1"/>
          <w:szCs w:val="24"/>
        </w:rPr>
        <w:t>号排风管线：</w:t>
      </w:r>
      <w:r w:rsidRPr="00B12FE0">
        <w:rPr>
          <w:rFonts w:hint="eastAsia"/>
          <w:color w:val="000000" w:themeColor="text1"/>
          <w:szCs w:val="24"/>
        </w:rPr>
        <w:t>热室柜、</w:t>
      </w:r>
      <w:r w:rsidRPr="00B12FE0">
        <w:rPr>
          <w:color w:val="000000" w:themeColor="text1"/>
          <w:szCs w:val="24"/>
        </w:rPr>
        <w:t>放化实验室通风橱单独设置一条</w:t>
      </w:r>
      <w:r w:rsidRPr="00B12FE0">
        <w:rPr>
          <w:bCs/>
          <w:color w:val="000000" w:themeColor="text1"/>
          <w:szCs w:val="24"/>
        </w:rPr>
        <w:t>排风管线</w:t>
      </w:r>
      <w:r w:rsidRPr="00B12FE0">
        <w:rPr>
          <w:rFonts w:hint="eastAsia"/>
          <w:bCs/>
          <w:color w:val="000000" w:themeColor="text1"/>
          <w:szCs w:val="24"/>
        </w:rPr>
        <w:t>；</w:t>
      </w:r>
      <w:r w:rsidRPr="00B12FE0">
        <w:rPr>
          <w:color w:val="000000" w:themeColor="text1"/>
          <w:szCs w:val="24"/>
        </w:rPr>
        <w:t>4</w:t>
      </w:r>
      <w:r w:rsidRPr="00B12FE0">
        <w:rPr>
          <w:color w:val="000000" w:themeColor="text1"/>
          <w:szCs w:val="24"/>
        </w:rPr>
        <w:t>号排风管线</w:t>
      </w:r>
      <w:r w:rsidRPr="00B12FE0">
        <w:rPr>
          <w:rFonts w:hint="eastAsia"/>
          <w:color w:val="000000" w:themeColor="text1"/>
          <w:szCs w:val="24"/>
        </w:rPr>
        <w:t>：</w:t>
      </w:r>
      <w:r w:rsidRPr="00B12FE0">
        <w:rPr>
          <w:color w:val="000000" w:themeColor="text1"/>
          <w:szCs w:val="24"/>
        </w:rPr>
        <w:t>热室房间、准备室、外包间、维修区、废物间、缓冲间、消毒、洁具、整衣、洗衣、</w:t>
      </w:r>
      <w:proofErr w:type="gramStart"/>
      <w:r w:rsidRPr="00B12FE0">
        <w:rPr>
          <w:color w:val="000000" w:themeColor="text1"/>
          <w:szCs w:val="24"/>
        </w:rPr>
        <w:t>退更检测</w:t>
      </w:r>
      <w:proofErr w:type="gramEnd"/>
      <w:r w:rsidRPr="00B12FE0">
        <w:rPr>
          <w:color w:val="000000" w:themeColor="text1"/>
          <w:szCs w:val="24"/>
        </w:rPr>
        <w:t>、紧急冲淋、放化实验室单独设置一条</w:t>
      </w:r>
      <w:r w:rsidRPr="00B12FE0">
        <w:rPr>
          <w:bCs/>
          <w:color w:val="000000" w:themeColor="text1"/>
          <w:szCs w:val="24"/>
        </w:rPr>
        <w:t>排风管线</w:t>
      </w:r>
      <w:r w:rsidRPr="00B12FE0">
        <w:rPr>
          <w:color w:val="000000" w:themeColor="text1"/>
          <w:szCs w:val="24"/>
        </w:rPr>
        <w:t>；</w:t>
      </w:r>
      <w:r w:rsidRPr="00B12FE0">
        <w:rPr>
          <w:rFonts w:hint="eastAsia"/>
          <w:color w:val="000000" w:themeColor="text1"/>
          <w:szCs w:val="24"/>
        </w:rPr>
        <w:t>5</w:t>
      </w:r>
      <w:r w:rsidRPr="00B12FE0">
        <w:rPr>
          <w:color w:val="000000" w:themeColor="text1"/>
          <w:szCs w:val="24"/>
        </w:rPr>
        <w:t>号排风管线：</w:t>
      </w:r>
      <w:r w:rsidRPr="00B12FE0">
        <w:rPr>
          <w:rFonts w:hint="eastAsia"/>
          <w:color w:val="000000" w:themeColor="text1"/>
          <w:szCs w:val="24"/>
        </w:rPr>
        <w:t>全检质控室、肉毒素、阳性对照、无菌检测、</w:t>
      </w:r>
      <w:proofErr w:type="gramStart"/>
      <w:r w:rsidRPr="00B12FE0">
        <w:rPr>
          <w:rFonts w:hint="eastAsia"/>
          <w:color w:val="000000" w:themeColor="text1"/>
          <w:szCs w:val="24"/>
        </w:rPr>
        <w:t>一</w:t>
      </w:r>
      <w:proofErr w:type="gramEnd"/>
      <w:r w:rsidRPr="00B12FE0">
        <w:rPr>
          <w:rFonts w:hint="eastAsia"/>
          <w:color w:val="000000" w:themeColor="text1"/>
          <w:szCs w:val="24"/>
        </w:rPr>
        <w:t>更、二更、微生物限度</w:t>
      </w:r>
      <w:r w:rsidRPr="00B12FE0">
        <w:rPr>
          <w:color w:val="000000" w:themeColor="text1"/>
          <w:szCs w:val="24"/>
        </w:rPr>
        <w:t>单独设置一条排风管线，风速不低于</w:t>
      </w:r>
      <w:r w:rsidRPr="00B12FE0">
        <w:rPr>
          <w:color w:val="000000" w:themeColor="text1"/>
          <w:szCs w:val="24"/>
        </w:rPr>
        <w:t>0.5m/s</w:t>
      </w:r>
      <w:r w:rsidRPr="00B12FE0">
        <w:rPr>
          <w:color w:val="000000" w:themeColor="text1"/>
          <w:szCs w:val="24"/>
        </w:rPr>
        <w:t>。</w:t>
      </w:r>
      <w:r w:rsidRPr="00B12FE0">
        <w:rPr>
          <w:color w:val="000000" w:themeColor="text1"/>
          <w:szCs w:val="24"/>
        </w:rPr>
        <w:t>3</w:t>
      </w:r>
      <w:r w:rsidRPr="00B12FE0">
        <w:rPr>
          <w:color w:val="000000" w:themeColor="text1"/>
          <w:szCs w:val="24"/>
        </w:rPr>
        <w:t>、</w:t>
      </w:r>
      <w:r w:rsidRPr="00B12FE0">
        <w:rPr>
          <w:color w:val="000000" w:themeColor="text1"/>
          <w:szCs w:val="24"/>
        </w:rPr>
        <w:t>4</w:t>
      </w:r>
      <w:r w:rsidRPr="00B12FE0">
        <w:rPr>
          <w:rFonts w:hint="eastAsia"/>
          <w:color w:val="000000" w:themeColor="text1"/>
          <w:szCs w:val="24"/>
        </w:rPr>
        <w:t>、</w:t>
      </w:r>
      <w:r w:rsidRPr="00B12FE0">
        <w:rPr>
          <w:rFonts w:hint="eastAsia"/>
          <w:color w:val="000000" w:themeColor="text1"/>
          <w:szCs w:val="24"/>
        </w:rPr>
        <w:t>5</w:t>
      </w:r>
      <w:r w:rsidRPr="00B12FE0">
        <w:rPr>
          <w:color w:val="000000" w:themeColor="text1"/>
          <w:szCs w:val="24"/>
        </w:rPr>
        <w:t>号排风管线由核素制备场所南侧的风井经风机抽排至本肿瘤治疗中心楼顶高出屋脊排放，其余排风管线由核素制备场所南侧缓冲区上方排至肿瘤治疗中心楼顶高出屋脊排放。排风管内设置止回阀，防止气流倒灌，排放口设置活性炭过滤装置。热室房间及通风橱</w:t>
      </w:r>
      <w:r w:rsidRPr="00B12FE0">
        <w:rPr>
          <w:bCs/>
          <w:color w:val="000000" w:themeColor="text1"/>
          <w:szCs w:val="24"/>
        </w:rPr>
        <w:t>顶部设活性炭吸附装置。</w:t>
      </w:r>
      <w:r w:rsidRPr="00B12FE0">
        <w:rPr>
          <w:rFonts w:ascii="宋体" w:hAnsi="宋体"/>
          <w:bCs/>
          <w:color w:val="000000" w:themeColor="text1"/>
          <w:szCs w:val="24"/>
        </w:rPr>
        <w:t>排风管线设计图见附图</w:t>
      </w:r>
      <w:r w:rsidRPr="00B12FE0">
        <w:rPr>
          <w:rFonts w:hint="eastAsia"/>
          <w:bCs/>
          <w:color w:val="000000" w:themeColor="text1"/>
          <w:szCs w:val="24"/>
        </w:rPr>
        <w:t>5</w:t>
      </w:r>
      <w:r w:rsidRPr="00B12FE0">
        <w:rPr>
          <w:rFonts w:ascii="宋体" w:hAnsi="宋体"/>
          <w:bCs/>
          <w:color w:val="000000" w:themeColor="text1"/>
          <w:szCs w:val="24"/>
        </w:rPr>
        <w:t>。</w:t>
      </w:r>
    </w:p>
    <w:p w14:paraId="62484CF7" w14:textId="77777777" w:rsidR="00A67F21" w:rsidRPr="00B12FE0" w:rsidRDefault="00000000">
      <w:pPr>
        <w:adjustRightInd w:val="0"/>
        <w:snapToGrid w:val="0"/>
        <w:spacing w:line="360" w:lineRule="auto"/>
        <w:ind w:firstLineChars="200" w:firstLine="482"/>
        <w:rPr>
          <w:b/>
          <w:color w:val="000000" w:themeColor="text1"/>
          <w:kern w:val="0"/>
          <w:szCs w:val="24"/>
        </w:rPr>
      </w:pPr>
      <w:r w:rsidRPr="00B12FE0">
        <w:rPr>
          <w:rFonts w:ascii="宋体" w:hAnsi="宋体"/>
          <w:b/>
          <w:color w:val="000000" w:themeColor="text1"/>
          <w:szCs w:val="24"/>
        </w:rPr>
        <w:t>（</w:t>
      </w:r>
      <w:r w:rsidRPr="00B12FE0">
        <w:rPr>
          <w:b/>
          <w:color w:val="000000" w:themeColor="text1"/>
          <w:szCs w:val="24"/>
        </w:rPr>
        <w:t>2</w:t>
      </w:r>
      <w:r w:rsidRPr="00B12FE0">
        <w:rPr>
          <w:rFonts w:ascii="宋体" w:hAnsi="宋体"/>
          <w:b/>
          <w:color w:val="000000" w:themeColor="text1"/>
          <w:szCs w:val="24"/>
        </w:rPr>
        <w:t>）核医学科核素</w:t>
      </w:r>
      <w:r w:rsidRPr="00B12FE0">
        <w:rPr>
          <w:rFonts w:ascii="宋体" w:hAnsi="宋体" w:hint="eastAsia"/>
          <w:b/>
          <w:color w:val="000000" w:themeColor="text1"/>
          <w:szCs w:val="24"/>
        </w:rPr>
        <w:t>诊断</w:t>
      </w:r>
      <w:r w:rsidRPr="00B12FE0">
        <w:rPr>
          <w:rFonts w:ascii="宋体" w:hAnsi="宋体"/>
          <w:b/>
          <w:color w:val="000000" w:themeColor="text1"/>
          <w:szCs w:val="24"/>
        </w:rPr>
        <w:t>场所</w:t>
      </w:r>
      <w:r w:rsidRPr="00B12FE0">
        <w:rPr>
          <w:rFonts w:ascii="宋体" w:hAnsi="宋体"/>
          <w:b/>
          <w:color w:val="000000" w:themeColor="text1"/>
          <w:kern w:val="0"/>
          <w:szCs w:val="24"/>
        </w:rPr>
        <w:t>废气处理措施</w:t>
      </w:r>
    </w:p>
    <w:p w14:paraId="0ABD99F1"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宋体" w:hAnsi="宋体"/>
          <w:color w:val="000000" w:themeColor="text1"/>
          <w:szCs w:val="24"/>
        </w:rPr>
        <w:t>本项目核素诊断场所共设有</w:t>
      </w:r>
      <w:r w:rsidRPr="00B12FE0">
        <w:rPr>
          <w:rFonts w:hint="eastAsia"/>
          <w:color w:val="000000" w:themeColor="text1"/>
          <w:szCs w:val="24"/>
        </w:rPr>
        <w:t>5</w:t>
      </w:r>
      <w:r w:rsidRPr="00B12FE0">
        <w:rPr>
          <w:rFonts w:ascii="宋体" w:hAnsi="宋体"/>
          <w:color w:val="000000" w:themeColor="text1"/>
          <w:szCs w:val="24"/>
        </w:rPr>
        <w:t>支独立排风管线且工作场所内保持负压。</w:t>
      </w:r>
    </w:p>
    <w:p w14:paraId="26C76FD8"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color w:val="000000" w:themeColor="text1"/>
          <w:szCs w:val="24"/>
        </w:rPr>
        <w:t>1</w:t>
      </w:r>
      <w:r w:rsidRPr="00B12FE0">
        <w:rPr>
          <w:rFonts w:ascii="宋体" w:hAnsi="宋体"/>
          <w:color w:val="000000" w:themeColor="text1"/>
          <w:szCs w:val="24"/>
        </w:rPr>
        <w:t>号排风管线：卫生通过间、储源室、</w:t>
      </w:r>
      <w:r w:rsidRPr="00B12FE0">
        <w:rPr>
          <w:rFonts w:ascii="宋体" w:hAnsi="宋体" w:hint="eastAsia"/>
          <w:color w:val="000000" w:themeColor="text1"/>
          <w:szCs w:val="24"/>
        </w:rPr>
        <w:t>高活</w:t>
      </w:r>
      <w:r w:rsidRPr="00B12FE0">
        <w:rPr>
          <w:rFonts w:ascii="宋体" w:hAnsi="宋体"/>
          <w:color w:val="000000" w:themeColor="text1"/>
          <w:szCs w:val="24"/>
        </w:rPr>
        <w:t>室、</w:t>
      </w:r>
      <w:r w:rsidRPr="00B12FE0">
        <w:rPr>
          <w:rFonts w:ascii="宋体" w:hAnsi="宋体" w:hint="eastAsia"/>
          <w:color w:val="000000" w:themeColor="text1"/>
          <w:szCs w:val="24"/>
        </w:rPr>
        <w:t>固</w:t>
      </w:r>
      <w:proofErr w:type="gramStart"/>
      <w:r w:rsidRPr="00B12FE0">
        <w:rPr>
          <w:rFonts w:ascii="宋体" w:hAnsi="宋体" w:hint="eastAsia"/>
          <w:color w:val="000000" w:themeColor="text1"/>
          <w:szCs w:val="24"/>
        </w:rPr>
        <w:t>废</w:t>
      </w:r>
      <w:r w:rsidRPr="00B12FE0">
        <w:rPr>
          <w:rFonts w:ascii="宋体" w:hAnsi="宋体"/>
          <w:color w:val="000000" w:themeColor="text1"/>
          <w:szCs w:val="24"/>
        </w:rPr>
        <w:t>间单独</w:t>
      </w:r>
      <w:proofErr w:type="gramEnd"/>
      <w:r w:rsidRPr="00B12FE0">
        <w:rPr>
          <w:rFonts w:ascii="宋体" w:hAnsi="宋体"/>
          <w:color w:val="000000" w:themeColor="text1"/>
          <w:szCs w:val="24"/>
        </w:rPr>
        <w:t>设置一条</w:t>
      </w:r>
      <w:r w:rsidRPr="00B12FE0">
        <w:rPr>
          <w:rFonts w:ascii="宋体" w:hAnsi="宋体"/>
          <w:bCs/>
          <w:color w:val="000000" w:themeColor="text1"/>
          <w:szCs w:val="24"/>
        </w:rPr>
        <w:t>排风管线</w:t>
      </w:r>
      <w:r w:rsidRPr="00B12FE0">
        <w:rPr>
          <w:rFonts w:ascii="宋体" w:hAnsi="宋体"/>
          <w:color w:val="000000" w:themeColor="text1"/>
          <w:szCs w:val="24"/>
        </w:rPr>
        <w:t>；</w:t>
      </w:r>
      <w:r w:rsidRPr="00B12FE0">
        <w:rPr>
          <w:color w:val="000000" w:themeColor="text1"/>
          <w:szCs w:val="24"/>
        </w:rPr>
        <w:t>2</w:t>
      </w:r>
      <w:r w:rsidRPr="00B12FE0">
        <w:rPr>
          <w:rFonts w:ascii="宋体" w:hAnsi="宋体"/>
          <w:color w:val="000000" w:themeColor="text1"/>
          <w:szCs w:val="24"/>
        </w:rPr>
        <w:t>号排风管线：</w:t>
      </w:r>
      <w:r w:rsidRPr="00B12FE0">
        <w:rPr>
          <w:rFonts w:hAnsi="宋体" w:hint="eastAsia"/>
          <w:color w:val="000000" w:themeColor="text1"/>
          <w:szCs w:val="28"/>
        </w:rPr>
        <w:t>高</w:t>
      </w:r>
      <w:proofErr w:type="gramStart"/>
      <w:r w:rsidRPr="00B12FE0">
        <w:rPr>
          <w:rFonts w:hAnsi="宋体" w:hint="eastAsia"/>
          <w:color w:val="000000" w:themeColor="text1"/>
          <w:szCs w:val="28"/>
        </w:rPr>
        <w:t>活室分装区</w:t>
      </w:r>
      <w:proofErr w:type="gramEnd"/>
      <w:r w:rsidRPr="00B12FE0">
        <w:rPr>
          <w:rFonts w:hAnsi="宋体" w:hint="eastAsia"/>
          <w:color w:val="000000" w:themeColor="text1"/>
          <w:szCs w:val="28"/>
        </w:rPr>
        <w:t>P</w:t>
      </w:r>
      <w:r w:rsidRPr="00B12FE0">
        <w:rPr>
          <w:rFonts w:hAnsi="宋体"/>
          <w:color w:val="000000" w:themeColor="text1"/>
          <w:szCs w:val="28"/>
        </w:rPr>
        <w:t>ET</w:t>
      </w:r>
      <w:r w:rsidRPr="00B12FE0">
        <w:rPr>
          <w:rFonts w:hAnsi="宋体" w:hint="eastAsia"/>
          <w:color w:val="000000" w:themeColor="text1"/>
          <w:szCs w:val="28"/>
        </w:rPr>
        <w:t>手套箱和</w:t>
      </w:r>
      <w:r w:rsidRPr="00B12FE0">
        <w:rPr>
          <w:rFonts w:hAnsi="宋体" w:hint="eastAsia"/>
          <w:color w:val="000000" w:themeColor="text1"/>
          <w:szCs w:val="28"/>
        </w:rPr>
        <w:t>SP</w:t>
      </w:r>
      <w:r w:rsidRPr="00B12FE0">
        <w:rPr>
          <w:rFonts w:hAnsi="宋体"/>
          <w:color w:val="000000" w:themeColor="text1"/>
          <w:szCs w:val="28"/>
        </w:rPr>
        <w:t>ECT</w:t>
      </w:r>
      <w:r w:rsidRPr="00B12FE0">
        <w:rPr>
          <w:rFonts w:hAnsi="宋体" w:hint="eastAsia"/>
          <w:color w:val="000000" w:themeColor="text1"/>
          <w:szCs w:val="28"/>
        </w:rPr>
        <w:t>手套箱</w:t>
      </w:r>
      <w:r w:rsidRPr="00B12FE0">
        <w:rPr>
          <w:rFonts w:ascii="宋体" w:hAnsi="宋体"/>
          <w:color w:val="000000" w:themeColor="text1"/>
          <w:szCs w:val="24"/>
        </w:rPr>
        <w:t>单独设置一条</w:t>
      </w:r>
      <w:r w:rsidRPr="00B12FE0">
        <w:rPr>
          <w:rFonts w:ascii="宋体" w:hAnsi="宋体"/>
          <w:bCs/>
          <w:color w:val="000000" w:themeColor="text1"/>
          <w:szCs w:val="24"/>
        </w:rPr>
        <w:t>排风管线</w:t>
      </w:r>
      <w:r w:rsidRPr="00B12FE0">
        <w:rPr>
          <w:rFonts w:ascii="宋体" w:hAnsi="宋体"/>
          <w:color w:val="000000" w:themeColor="text1"/>
          <w:szCs w:val="24"/>
        </w:rPr>
        <w:t>；</w:t>
      </w:r>
      <w:r w:rsidRPr="00B12FE0">
        <w:rPr>
          <w:color w:val="000000" w:themeColor="text1"/>
          <w:szCs w:val="24"/>
        </w:rPr>
        <w:t>3</w:t>
      </w:r>
      <w:r w:rsidRPr="00B12FE0">
        <w:rPr>
          <w:rFonts w:ascii="宋体" w:hAnsi="宋体"/>
          <w:color w:val="000000" w:themeColor="text1"/>
          <w:szCs w:val="24"/>
        </w:rPr>
        <w:t>号排风管线：</w:t>
      </w:r>
      <w:r w:rsidRPr="00B12FE0">
        <w:rPr>
          <w:color w:val="000000" w:themeColor="text1"/>
          <w:szCs w:val="24"/>
        </w:rPr>
        <w:t xml:space="preserve"> PET/CT</w:t>
      </w:r>
      <w:r w:rsidRPr="00B12FE0">
        <w:rPr>
          <w:color w:val="000000" w:themeColor="text1"/>
          <w:szCs w:val="24"/>
        </w:rPr>
        <w:t>机房、</w:t>
      </w:r>
      <w:r w:rsidRPr="00B12FE0">
        <w:rPr>
          <w:color w:val="000000" w:themeColor="text1"/>
          <w:szCs w:val="24"/>
        </w:rPr>
        <w:t>SPECT/CT</w:t>
      </w:r>
      <w:r w:rsidRPr="00B12FE0">
        <w:rPr>
          <w:color w:val="000000" w:themeColor="text1"/>
          <w:szCs w:val="24"/>
        </w:rPr>
        <w:t>机房</w:t>
      </w:r>
      <w:r w:rsidRPr="00B12FE0">
        <w:rPr>
          <w:rFonts w:hint="eastAsia"/>
          <w:color w:val="000000" w:themeColor="text1"/>
          <w:szCs w:val="24"/>
        </w:rPr>
        <w:t>、</w:t>
      </w:r>
      <w:proofErr w:type="gramStart"/>
      <w:r w:rsidRPr="00B12FE0">
        <w:rPr>
          <w:rFonts w:hint="eastAsia"/>
          <w:color w:val="000000" w:themeColor="text1"/>
          <w:szCs w:val="24"/>
        </w:rPr>
        <w:t>服碘室</w:t>
      </w:r>
      <w:proofErr w:type="gramEnd"/>
      <w:r w:rsidRPr="00B12FE0">
        <w:rPr>
          <w:rFonts w:ascii="宋体" w:hAnsi="宋体"/>
          <w:color w:val="000000" w:themeColor="text1"/>
          <w:szCs w:val="24"/>
        </w:rPr>
        <w:t>单独设置一条</w:t>
      </w:r>
      <w:r w:rsidRPr="00B12FE0">
        <w:rPr>
          <w:rFonts w:ascii="宋体" w:hAnsi="宋体"/>
          <w:bCs/>
          <w:color w:val="000000" w:themeColor="text1"/>
          <w:szCs w:val="24"/>
        </w:rPr>
        <w:t>排风管线</w:t>
      </w:r>
      <w:r w:rsidRPr="00B12FE0">
        <w:rPr>
          <w:rFonts w:ascii="宋体" w:hAnsi="宋体"/>
          <w:color w:val="000000" w:themeColor="text1"/>
          <w:szCs w:val="24"/>
        </w:rPr>
        <w:t>；</w:t>
      </w:r>
      <w:r w:rsidRPr="00B12FE0">
        <w:rPr>
          <w:rFonts w:hint="eastAsia"/>
          <w:color w:val="000000" w:themeColor="text1"/>
          <w:szCs w:val="24"/>
        </w:rPr>
        <w:t>4</w:t>
      </w:r>
      <w:r w:rsidRPr="00B12FE0">
        <w:rPr>
          <w:rFonts w:ascii="宋体" w:hAnsi="宋体"/>
          <w:color w:val="000000" w:themeColor="text1"/>
          <w:szCs w:val="24"/>
        </w:rPr>
        <w:t>号排风管线：甲亢留观室</w:t>
      </w:r>
      <w:r w:rsidRPr="00B12FE0">
        <w:rPr>
          <w:rFonts w:ascii="宋体" w:hAnsi="宋体" w:hint="eastAsia"/>
          <w:color w:val="000000" w:themeColor="text1"/>
          <w:szCs w:val="24"/>
        </w:rPr>
        <w:t>、运动负荷室、抢救室</w:t>
      </w:r>
      <w:r w:rsidRPr="00B12FE0">
        <w:rPr>
          <w:color w:val="000000" w:themeColor="text1"/>
          <w:szCs w:val="24"/>
        </w:rPr>
        <w:t>、</w:t>
      </w:r>
      <w:r w:rsidRPr="00B12FE0">
        <w:rPr>
          <w:color w:val="000000" w:themeColor="text1"/>
          <w:szCs w:val="24"/>
        </w:rPr>
        <w:t>SPECT</w:t>
      </w:r>
      <w:r w:rsidRPr="00B12FE0">
        <w:rPr>
          <w:rFonts w:hint="eastAsia"/>
          <w:color w:val="000000" w:themeColor="text1"/>
          <w:szCs w:val="24"/>
        </w:rPr>
        <w:t>注射后候诊室、</w:t>
      </w:r>
      <w:r w:rsidRPr="00B12FE0">
        <w:rPr>
          <w:color w:val="000000" w:themeColor="text1"/>
          <w:szCs w:val="24"/>
        </w:rPr>
        <w:t>PET</w:t>
      </w:r>
      <w:r w:rsidRPr="00B12FE0">
        <w:rPr>
          <w:rFonts w:hint="eastAsia"/>
          <w:color w:val="000000" w:themeColor="text1"/>
          <w:szCs w:val="24"/>
        </w:rPr>
        <w:t>注射后候诊室（</w:t>
      </w:r>
      <w:r w:rsidRPr="00B12FE0">
        <w:rPr>
          <w:rFonts w:hint="eastAsia"/>
          <w:color w:val="000000" w:themeColor="text1"/>
          <w:szCs w:val="24"/>
        </w:rPr>
        <w:t>2</w:t>
      </w:r>
      <w:r w:rsidRPr="00B12FE0">
        <w:rPr>
          <w:rFonts w:hint="eastAsia"/>
          <w:color w:val="000000" w:themeColor="text1"/>
          <w:szCs w:val="24"/>
        </w:rPr>
        <w:t>间）、</w:t>
      </w:r>
      <w:proofErr w:type="gramStart"/>
      <w:r w:rsidRPr="00B12FE0">
        <w:rPr>
          <w:rFonts w:hint="eastAsia"/>
          <w:color w:val="000000" w:themeColor="text1"/>
          <w:szCs w:val="24"/>
        </w:rPr>
        <w:t>留观室</w:t>
      </w:r>
      <w:r w:rsidRPr="00B12FE0">
        <w:rPr>
          <w:rFonts w:ascii="宋体" w:hAnsi="宋体"/>
          <w:color w:val="000000" w:themeColor="text1"/>
          <w:szCs w:val="24"/>
        </w:rPr>
        <w:t>单独</w:t>
      </w:r>
      <w:proofErr w:type="gramEnd"/>
      <w:r w:rsidRPr="00B12FE0">
        <w:rPr>
          <w:rFonts w:ascii="宋体" w:hAnsi="宋体"/>
          <w:color w:val="000000" w:themeColor="text1"/>
          <w:szCs w:val="24"/>
        </w:rPr>
        <w:t>设置一条</w:t>
      </w:r>
      <w:r w:rsidRPr="00B12FE0">
        <w:rPr>
          <w:rFonts w:ascii="宋体" w:hAnsi="宋体"/>
          <w:bCs/>
          <w:color w:val="000000" w:themeColor="text1"/>
          <w:szCs w:val="24"/>
        </w:rPr>
        <w:t>排风管线</w:t>
      </w:r>
      <w:r w:rsidRPr="00B12FE0">
        <w:rPr>
          <w:rFonts w:ascii="宋体" w:hAnsi="宋体"/>
          <w:color w:val="000000" w:themeColor="text1"/>
          <w:szCs w:val="24"/>
        </w:rPr>
        <w:t>；这</w:t>
      </w:r>
      <w:r w:rsidRPr="00B12FE0">
        <w:rPr>
          <w:rFonts w:hint="eastAsia"/>
          <w:color w:val="000000" w:themeColor="text1"/>
          <w:szCs w:val="24"/>
        </w:rPr>
        <w:t>4</w:t>
      </w:r>
      <w:r w:rsidRPr="00B12FE0">
        <w:rPr>
          <w:rFonts w:ascii="宋体" w:hAnsi="宋体"/>
          <w:color w:val="000000" w:themeColor="text1"/>
          <w:szCs w:val="24"/>
        </w:rPr>
        <w:t>支独立排</w:t>
      </w:r>
      <w:proofErr w:type="gramStart"/>
      <w:r w:rsidRPr="00B12FE0">
        <w:rPr>
          <w:rFonts w:ascii="宋体" w:hAnsi="宋体"/>
          <w:color w:val="000000" w:themeColor="text1"/>
          <w:szCs w:val="24"/>
        </w:rPr>
        <w:t>风管线排风管</w:t>
      </w:r>
      <w:proofErr w:type="gramEnd"/>
      <w:r w:rsidRPr="00B12FE0">
        <w:rPr>
          <w:rFonts w:ascii="宋体" w:hAnsi="宋体"/>
          <w:color w:val="000000" w:themeColor="text1"/>
          <w:szCs w:val="24"/>
        </w:rPr>
        <w:t>由</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上方</w:t>
      </w:r>
      <w:proofErr w:type="gramEnd"/>
      <w:r w:rsidRPr="00B12FE0">
        <w:rPr>
          <w:rFonts w:ascii="宋体" w:hAnsi="宋体"/>
          <w:color w:val="000000" w:themeColor="text1"/>
          <w:szCs w:val="24"/>
        </w:rPr>
        <w:t>风井经风机抽排至本治疗中心楼顶高出屋脊排放，排风管内设置止回阀，防止气流倒灌，排放口设置一级活性炭过滤装置。</w:t>
      </w:r>
    </w:p>
    <w:p w14:paraId="4C1A7B46"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hint="eastAsia"/>
          <w:color w:val="000000" w:themeColor="text1"/>
          <w:szCs w:val="24"/>
        </w:rPr>
        <w:t>5</w:t>
      </w:r>
      <w:r w:rsidRPr="00B12FE0">
        <w:rPr>
          <w:rFonts w:ascii="宋体" w:hAnsi="宋体"/>
          <w:color w:val="000000" w:themeColor="text1"/>
          <w:szCs w:val="24"/>
        </w:rPr>
        <w:t>号排风管线：</w:t>
      </w:r>
      <w:r w:rsidRPr="00B12FE0">
        <w:rPr>
          <w:rFonts w:ascii="宋体" w:hAnsi="宋体" w:hint="eastAsia"/>
          <w:color w:val="000000" w:themeColor="text1"/>
          <w:szCs w:val="24"/>
        </w:rPr>
        <w:t>敷贴室、</w:t>
      </w:r>
      <w:proofErr w:type="gramStart"/>
      <w:r w:rsidRPr="00B12FE0">
        <w:rPr>
          <w:rFonts w:ascii="宋体" w:hAnsi="宋体" w:hint="eastAsia"/>
          <w:color w:val="000000" w:themeColor="text1"/>
          <w:szCs w:val="24"/>
        </w:rPr>
        <w:t>甲测室</w:t>
      </w:r>
      <w:proofErr w:type="gramEnd"/>
      <w:r w:rsidRPr="00B12FE0">
        <w:rPr>
          <w:rFonts w:ascii="宋体" w:hAnsi="宋体"/>
          <w:color w:val="000000" w:themeColor="text1"/>
          <w:szCs w:val="24"/>
        </w:rPr>
        <w:t>单独设置一条</w:t>
      </w:r>
      <w:r w:rsidRPr="00B12FE0">
        <w:rPr>
          <w:rFonts w:ascii="宋体" w:hAnsi="宋体"/>
          <w:bCs/>
          <w:color w:val="000000" w:themeColor="text1"/>
          <w:szCs w:val="24"/>
        </w:rPr>
        <w:t>排风管线</w:t>
      </w:r>
      <w:r w:rsidRPr="00B12FE0">
        <w:rPr>
          <w:rFonts w:ascii="宋体" w:hAnsi="宋体"/>
          <w:color w:val="000000" w:themeColor="text1"/>
          <w:szCs w:val="24"/>
        </w:rPr>
        <w:t>这支独立排</w:t>
      </w:r>
      <w:proofErr w:type="gramStart"/>
      <w:r w:rsidRPr="00B12FE0">
        <w:rPr>
          <w:rFonts w:ascii="宋体" w:hAnsi="宋体"/>
          <w:color w:val="000000" w:themeColor="text1"/>
          <w:szCs w:val="24"/>
        </w:rPr>
        <w:t>风管线排风管</w:t>
      </w:r>
      <w:proofErr w:type="gramEnd"/>
      <w:r w:rsidRPr="00B12FE0">
        <w:rPr>
          <w:rFonts w:ascii="宋体" w:hAnsi="宋体"/>
          <w:color w:val="000000" w:themeColor="text1"/>
          <w:szCs w:val="24"/>
        </w:rPr>
        <w:t>由</w:t>
      </w:r>
      <w:r w:rsidRPr="00B12FE0">
        <w:rPr>
          <w:rFonts w:ascii="宋体" w:hAnsi="宋体" w:hint="eastAsia"/>
          <w:color w:val="000000" w:themeColor="text1"/>
          <w:szCs w:val="24"/>
        </w:rPr>
        <w:t>核素诊断场所北</w:t>
      </w:r>
      <w:r w:rsidRPr="00B12FE0">
        <w:rPr>
          <w:rFonts w:ascii="宋体" w:hAnsi="宋体"/>
          <w:color w:val="000000" w:themeColor="text1"/>
          <w:szCs w:val="24"/>
        </w:rPr>
        <w:t>侧</w:t>
      </w:r>
      <w:r w:rsidRPr="00B12FE0">
        <w:rPr>
          <w:rFonts w:ascii="宋体" w:hAnsi="宋体" w:hint="eastAsia"/>
          <w:color w:val="000000" w:themeColor="text1"/>
          <w:szCs w:val="24"/>
        </w:rPr>
        <w:t>强电井西侧</w:t>
      </w:r>
      <w:r w:rsidRPr="00B12FE0">
        <w:rPr>
          <w:rFonts w:ascii="宋体" w:hAnsi="宋体"/>
          <w:color w:val="000000" w:themeColor="text1"/>
          <w:szCs w:val="24"/>
        </w:rPr>
        <w:t>风井经风机抽排至本治疗中心楼顶高出屋脊排放，排风</w:t>
      </w:r>
      <w:r w:rsidRPr="00B12FE0">
        <w:rPr>
          <w:rFonts w:ascii="宋体" w:hAnsi="宋体"/>
          <w:color w:val="000000" w:themeColor="text1"/>
          <w:szCs w:val="24"/>
        </w:rPr>
        <w:lastRenderedPageBreak/>
        <w:t>管内设置止回阀，防止气流倒灌，排放口设置活性炭过滤装置。</w:t>
      </w:r>
      <w:r w:rsidRPr="00B12FE0">
        <w:rPr>
          <w:rFonts w:ascii="宋体" w:hAnsi="宋体"/>
          <w:bCs/>
          <w:color w:val="000000" w:themeColor="text1"/>
          <w:szCs w:val="24"/>
        </w:rPr>
        <w:t>排风管线设计图见附图</w:t>
      </w:r>
      <w:r w:rsidRPr="00B12FE0">
        <w:rPr>
          <w:rFonts w:hint="eastAsia"/>
          <w:bCs/>
          <w:color w:val="000000" w:themeColor="text1"/>
          <w:szCs w:val="24"/>
        </w:rPr>
        <w:t>9</w:t>
      </w:r>
      <w:r w:rsidRPr="00B12FE0">
        <w:rPr>
          <w:rFonts w:ascii="宋体" w:hAnsi="宋体"/>
          <w:bCs/>
          <w:color w:val="000000" w:themeColor="text1"/>
          <w:szCs w:val="24"/>
        </w:rPr>
        <w:t>。</w:t>
      </w:r>
    </w:p>
    <w:p w14:paraId="2EF8030C" w14:textId="77777777" w:rsidR="00A67F21" w:rsidRPr="00B12FE0" w:rsidRDefault="00000000">
      <w:pPr>
        <w:autoSpaceDE w:val="0"/>
        <w:autoSpaceDN w:val="0"/>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核医学科核素诊断场所产生的废气经由排风井内单独密闭管道排至肿瘤治疗中心楼顶，并高出屋脊排放，排风井由混凝土浇筑。能有效屏蔽放射性废气对其余楼层公众的辐射影响。各排风管道内保持负压，拟安装防回流装置，</w:t>
      </w:r>
      <w:r w:rsidRPr="00B12FE0">
        <w:rPr>
          <w:rFonts w:ascii="宋体" w:hAnsi="宋体"/>
          <w:color w:val="000000" w:themeColor="text1"/>
          <w:kern w:val="0"/>
          <w:szCs w:val="24"/>
        </w:rPr>
        <w:t>排风口均设活性炭吸附装置</w:t>
      </w:r>
      <w:r w:rsidRPr="00B12FE0">
        <w:rPr>
          <w:rFonts w:ascii="宋体" w:hAnsi="宋体"/>
          <w:color w:val="000000" w:themeColor="text1"/>
          <w:szCs w:val="24"/>
        </w:rPr>
        <w:t>。</w:t>
      </w:r>
    </w:p>
    <w:p w14:paraId="7B99BC4C" w14:textId="77777777" w:rsidR="00A67F21" w:rsidRPr="00B12FE0" w:rsidRDefault="00000000">
      <w:pPr>
        <w:adjustRightInd w:val="0"/>
        <w:snapToGrid w:val="0"/>
        <w:spacing w:line="360" w:lineRule="auto"/>
        <w:ind w:firstLineChars="200" w:firstLine="482"/>
        <w:rPr>
          <w:b/>
          <w:color w:val="000000" w:themeColor="text1"/>
          <w:kern w:val="0"/>
          <w:szCs w:val="24"/>
        </w:rPr>
      </w:pPr>
      <w:r w:rsidRPr="00B12FE0">
        <w:rPr>
          <w:rFonts w:ascii="宋体" w:hAnsi="宋体"/>
          <w:b/>
          <w:color w:val="000000" w:themeColor="text1"/>
          <w:szCs w:val="24"/>
        </w:rPr>
        <w:t>（</w:t>
      </w:r>
      <w:r w:rsidRPr="00B12FE0">
        <w:rPr>
          <w:b/>
          <w:color w:val="000000" w:themeColor="text1"/>
          <w:szCs w:val="24"/>
        </w:rPr>
        <w:t>3</w:t>
      </w:r>
      <w:r w:rsidRPr="00B12FE0">
        <w:rPr>
          <w:rFonts w:ascii="宋体" w:hAnsi="宋体"/>
          <w:b/>
          <w:color w:val="000000" w:themeColor="text1"/>
          <w:szCs w:val="24"/>
        </w:rPr>
        <w:t>）核医学科核素治疗场所</w:t>
      </w:r>
      <w:r w:rsidRPr="00B12FE0">
        <w:rPr>
          <w:rFonts w:ascii="宋体" w:hAnsi="宋体"/>
          <w:b/>
          <w:color w:val="000000" w:themeColor="text1"/>
          <w:kern w:val="0"/>
          <w:szCs w:val="24"/>
        </w:rPr>
        <w:t>废气处理措施</w:t>
      </w:r>
    </w:p>
    <w:p w14:paraId="53D9A0C0"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宋体" w:hAnsi="宋体"/>
          <w:color w:val="000000" w:themeColor="text1"/>
          <w:szCs w:val="24"/>
        </w:rPr>
        <w:t>本项目核素治疗场所共设有</w:t>
      </w:r>
      <w:r w:rsidRPr="00B12FE0">
        <w:rPr>
          <w:rFonts w:hint="eastAsia"/>
          <w:color w:val="000000" w:themeColor="text1"/>
          <w:szCs w:val="24"/>
        </w:rPr>
        <w:t>2</w:t>
      </w:r>
      <w:r w:rsidRPr="00B12FE0">
        <w:rPr>
          <w:rFonts w:ascii="宋体" w:hAnsi="宋体"/>
          <w:color w:val="000000" w:themeColor="text1"/>
          <w:szCs w:val="24"/>
        </w:rPr>
        <w:t>支独立排风管线且工作场所内保持负压。</w:t>
      </w:r>
      <w:r w:rsidRPr="00B12FE0">
        <w:rPr>
          <w:color w:val="000000" w:themeColor="text1"/>
          <w:szCs w:val="24"/>
        </w:rPr>
        <w:t>1</w:t>
      </w:r>
      <w:r w:rsidRPr="00B12FE0">
        <w:rPr>
          <w:rFonts w:ascii="宋体" w:hAnsi="宋体"/>
          <w:color w:val="000000" w:themeColor="text1"/>
          <w:szCs w:val="24"/>
        </w:rPr>
        <w:t>号排风管线：高活室、储源室、</w:t>
      </w:r>
      <w:r w:rsidRPr="00B12FE0">
        <w:rPr>
          <w:rFonts w:ascii="宋体" w:hAnsi="宋体" w:hint="eastAsia"/>
          <w:color w:val="000000" w:themeColor="text1"/>
          <w:szCs w:val="24"/>
        </w:rPr>
        <w:t>给药间</w:t>
      </w:r>
      <w:r w:rsidRPr="00B12FE0">
        <w:rPr>
          <w:rFonts w:ascii="宋体" w:hAnsi="宋体"/>
          <w:color w:val="000000" w:themeColor="text1"/>
          <w:szCs w:val="24"/>
        </w:rPr>
        <w:t>单独设置一条</w:t>
      </w:r>
      <w:r w:rsidRPr="00B12FE0">
        <w:rPr>
          <w:rFonts w:ascii="宋体" w:hAnsi="宋体"/>
          <w:bCs/>
          <w:color w:val="000000" w:themeColor="text1"/>
          <w:szCs w:val="24"/>
        </w:rPr>
        <w:t>排风管线</w:t>
      </w:r>
      <w:r w:rsidRPr="00B12FE0">
        <w:rPr>
          <w:rFonts w:ascii="宋体" w:hAnsi="宋体"/>
          <w:color w:val="000000" w:themeColor="text1"/>
          <w:szCs w:val="24"/>
        </w:rPr>
        <w:t>；</w:t>
      </w:r>
      <w:r w:rsidRPr="00B12FE0">
        <w:rPr>
          <w:rFonts w:hint="eastAsia"/>
          <w:color w:val="000000" w:themeColor="text1"/>
          <w:szCs w:val="24"/>
        </w:rPr>
        <w:t>2</w:t>
      </w:r>
      <w:r w:rsidRPr="00B12FE0">
        <w:rPr>
          <w:rFonts w:ascii="宋体" w:hAnsi="宋体"/>
          <w:color w:val="000000" w:themeColor="text1"/>
          <w:szCs w:val="24"/>
        </w:rPr>
        <w:t>号排风管线：保洁区、</w:t>
      </w:r>
      <w:r w:rsidRPr="00B12FE0">
        <w:rPr>
          <w:rFonts w:hint="eastAsia"/>
          <w:color w:val="000000" w:themeColor="text1"/>
          <w:szCs w:val="24"/>
        </w:rPr>
        <w:t>污衣</w:t>
      </w:r>
      <w:r w:rsidRPr="00B12FE0">
        <w:rPr>
          <w:rFonts w:ascii="宋体" w:hAnsi="宋体"/>
          <w:color w:val="000000" w:themeColor="text1"/>
          <w:szCs w:val="24"/>
        </w:rPr>
        <w:t>间、</w:t>
      </w:r>
      <w:proofErr w:type="gramStart"/>
      <w:r w:rsidRPr="00B12FE0">
        <w:rPr>
          <w:rFonts w:ascii="宋体" w:hAnsi="宋体" w:hint="eastAsia"/>
          <w:color w:val="000000" w:themeColor="text1"/>
          <w:szCs w:val="24"/>
        </w:rPr>
        <w:t>污洗</w:t>
      </w:r>
      <w:r w:rsidRPr="00B12FE0">
        <w:rPr>
          <w:rFonts w:ascii="宋体" w:hAnsi="宋体"/>
          <w:color w:val="000000" w:themeColor="text1"/>
          <w:szCs w:val="24"/>
        </w:rPr>
        <w:t>间</w:t>
      </w:r>
      <w:proofErr w:type="gramEnd"/>
      <w:r w:rsidRPr="00B12FE0">
        <w:rPr>
          <w:rFonts w:ascii="宋体" w:hAnsi="宋体" w:hint="eastAsia"/>
          <w:color w:val="000000" w:themeColor="text1"/>
          <w:szCs w:val="24"/>
        </w:rPr>
        <w:t>、固废间、缓冲区、抢救室</w:t>
      </w:r>
      <w:r w:rsidRPr="00B12FE0">
        <w:rPr>
          <w:rFonts w:ascii="宋体" w:hAnsi="宋体"/>
          <w:color w:val="000000" w:themeColor="text1"/>
          <w:szCs w:val="24"/>
        </w:rPr>
        <w:t>、患者通道</w:t>
      </w:r>
      <w:r w:rsidRPr="00B12FE0">
        <w:rPr>
          <w:rFonts w:ascii="宋体" w:hAnsi="宋体" w:hint="eastAsia"/>
          <w:color w:val="000000" w:themeColor="text1"/>
          <w:szCs w:val="24"/>
        </w:rPr>
        <w:t>、</w:t>
      </w:r>
      <w:proofErr w:type="gramStart"/>
      <w:r w:rsidRPr="00B12FE0">
        <w:rPr>
          <w:rFonts w:hint="eastAsia"/>
          <w:color w:val="000000" w:themeColor="text1"/>
          <w:szCs w:val="24"/>
        </w:rPr>
        <w:t>8</w:t>
      </w:r>
      <w:r w:rsidRPr="00B12FE0">
        <w:rPr>
          <w:rFonts w:ascii="宋体" w:hAnsi="宋体"/>
          <w:color w:val="000000" w:themeColor="text1"/>
          <w:szCs w:val="24"/>
        </w:rPr>
        <w:t>间甲癌病房</w:t>
      </w:r>
      <w:proofErr w:type="gramEnd"/>
      <w:r w:rsidRPr="00B12FE0">
        <w:rPr>
          <w:rFonts w:ascii="宋体" w:hAnsi="宋体"/>
          <w:color w:val="000000" w:themeColor="text1"/>
          <w:szCs w:val="24"/>
        </w:rPr>
        <w:t>单独设置一条</w:t>
      </w:r>
      <w:r w:rsidRPr="00B12FE0">
        <w:rPr>
          <w:rFonts w:ascii="宋体" w:hAnsi="宋体"/>
          <w:bCs/>
          <w:color w:val="000000" w:themeColor="text1"/>
          <w:szCs w:val="24"/>
        </w:rPr>
        <w:t>排风管线</w:t>
      </w:r>
      <w:r w:rsidRPr="00B12FE0">
        <w:rPr>
          <w:rFonts w:ascii="宋体" w:hAnsi="宋体"/>
          <w:color w:val="000000" w:themeColor="text1"/>
          <w:szCs w:val="24"/>
        </w:rPr>
        <w:t>；</w:t>
      </w:r>
    </w:p>
    <w:p w14:paraId="5EF8CA61" w14:textId="77777777" w:rsidR="00A67F21" w:rsidRPr="00B12FE0" w:rsidRDefault="00000000">
      <w:pPr>
        <w:autoSpaceDE w:val="0"/>
        <w:autoSpaceDN w:val="0"/>
        <w:adjustRightInd w:val="0"/>
        <w:spacing w:line="360" w:lineRule="auto"/>
        <w:ind w:firstLine="480"/>
        <w:textAlignment w:val="baseline"/>
        <w:rPr>
          <w:color w:val="000000" w:themeColor="text1"/>
          <w:szCs w:val="24"/>
        </w:rPr>
      </w:pPr>
      <w:r w:rsidRPr="00B12FE0">
        <w:rPr>
          <w:rFonts w:ascii="宋体" w:hAnsi="宋体"/>
          <w:color w:val="000000" w:themeColor="text1"/>
          <w:szCs w:val="24"/>
        </w:rPr>
        <w:t>所有排风管由核素治疗场所</w:t>
      </w:r>
      <w:proofErr w:type="gramStart"/>
      <w:r w:rsidRPr="00B12FE0">
        <w:rPr>
          <w:rFonts w:ascii="宋体" w:hAnsi="宋体" w:hint="eastAsia"/>
          <w:color w:val="000000" w:themeColor="text1"/>
          <w:szCs w:val="24"/>
        </w:rPr>
        <w:t>高活室</w:t>
      </w:r>
      <w:r w:rsidRPr="00B12FE0">
        <w:rPr>
          <w:rFonts w:ascii="宋体" w:hAnsi="宋体"/>
          <w:color w:val="000000" w:themeColor="text1"/>
          <w:szCs w:val="24"/>
        </w:rPr>
        <w:t>南侧</w:t>
      </w:r>
      <w:proofErr w:type="gramEnd"/>
      <w:r w:rsidRPr="00B12FE0">
        <w:rPr>
          <w:rFonts w:ascii="宋体" w:hAnsi="宋体"/>
          <w:color w:val="000000" w:themeColor="text1"/>
          <w:szCs w:val="24"/>
        </w:rPr>
        <w:t>的风井经风机抽排至本肿瘤治疗中心楼顶高出屋脊排放，排风管内设置止回阀，防止气流倒灌，排放口设置一级活性炭过滤装置。手套箱</w:t>
      </w:r>
      <w:r w:rsidRPr="00B12FE0">
        <w:rPr>
          <w:rFonts w:ascii="宋体" w:hAnsi="宋体"/>
          <w:bCs/>
          <w:color w:val="000000" w:themeColor="text1"/>
          <w:szCs w:val="24"/>
        </w:rPr>
        <w:t>顶部设活性炭吸附装置。排风管线设计图见附图</w:t>
      </w:r>
      <w:r w:rsidRPr="00B12FE0">
        <w:rPr>
          <w:rFonts w:hint="eastAsia"/>
          <w:bCs/>
          <w:color w:val="000000" w:themeColor="text1"/>
          <w:szCs w:val="24"/>
        </w:rPr>
        <w:t>8</w:t>
      </w:r>
      <w:r w:rsidRPr="00B12FE0">
        <w:rPr>
          <w:rFonts w:ascii="宋体" w:hAnsi="宋体"/>
          <w:bCs/>
          <w:color w:val="000000" w:themeColor="text1"/>
          <w:szCs w:val="24"/>
        </w:rPr>
        <w:t>。</w:t>
      </w:r>
    </w:p>
    <w:p w14:paraId="0978C2E8" w14:textId="77777777" w:rsidR="00A67F21" w:rsidRPr="00B12FE0" w:rsidRDefault="00000000">
      <w:pPr>
        <w:topLinePunct/>
        <w:adjustRightInd w:val="0"/>
        <w:snapToGrid w:val="0"/>
        <w:spacing w:line="360" w:lineRule="auto"/>
        <w:outlineLvl w:val="3"/>
        <w:rPr>
          <w:color w:val="000000" w:themeColor="text1"/>
          <w:sz w:val="21"/>
          <w:szCs w:val="21"/>
        </w:rPr>
      </w:pPr>
      <w:r w:rsidRPr="00B12FE0">
        <w:rPr>
          <w:b/>
          <w:bCs/>
          <w:color w:val="000000" w:themeColor="text1"/>
          <w:szCs w:val="24"/>
        </w:rPr>
        <w:t>10.2.1.3</w:t>
      </w:r>
      <w:r w:rsidRPr="00B12FE0">
        <w:rPr>
          <w:rFonts w:ascii="宋体" w:hAnsi="宋体"/>
          <w:b/>
          <w:bCs/>
          <w:color w:val="000000" w:themeColor="text1"/>
          <w:szCs w:val="24"/>
        </w:rPr>
        <w:t>放射性固体废物</w:t>
      </w:r>
    </w:p>
    <w:p w14:paraId="78DA05AF" w14:textId="77777777" w:rsidR="00A67F21" w:rsidRPr="00B12FE0" w:rsidRDefault="00000000">
      <w:pPr>
        <w:autoSpaceDE w:val="0"/>
        <w:spacing w:line="360" w:lineRule="auto"/>
        <w:ind w:firstLineChars="200" w:firstLine="480"/>
        <w:rPr>
          <w:color w:val="000000" w:themeColor="text1"/>
          <w:kern w:val="0"/>
          <w:szCs w:val="24"/>
        </w:rPr>
      </w:pPr>
      <w:r w:rsidRPr="00B12FE0">
        <w:rPr>
          <w:rFonts w:ascii="宋体" w:hAnsi="宋体" w:hint="eastAsia"/>
          <w:color w:val="000000" w:themeColor="text1"/>
          <w:kern w:val="0"/>
          <w:szCs w:val="24"/>
        </w:rPr>
        <w:t>本项目核素制备场所、核素诊断场所和核素治疗场所分别设置固废间，</w:t>
      </w:r>
      <w:r w:rsidRPr="00B12FE0">
        <w:rPr>
          <w:rFonts w:ascii="宋体" w:hAnsi="宋体"/>
          <w:color w:val="000000" w:themeColor="text1"/>
          <w:kern w:val="0"/>
          <w:szCs w:val="24"/>
        </w:rPr>
        <w:t>本项目核医学工作场所</w:t>
      </w:r>
      <w:r w:rsidRPr="00B12FE0">
        <w:rPr>
          <w:rFonts w:ascii="宋体" w:hAnsi="宋体" w:hint="eastAsia"/>
          <w:color w:val="000000" w:themeColor="text1"/>
          <w:kern w:val="0"/>
          <w:szCs w:val="24"/>
        </w:rPr>
        <w:t>放射性药物合成分装过程中产生的树脂、滤膜，</w:t>
      </w:r>
      <w:r w:rsidRPr="00B12FE0">
        <w:rPr>
          <w:rFonts w:ascii="宋体" w:hAnsi="宋体"/>
          <w:color w:val="000000" w:themeColor="text1"/>
          <w:kern w:val="0"/>
          <w:szCs w:val="24"/>
        </w:rPr>
        <w:t>工作人员操作过程产生的注射器、</w:t>
      </w:r>
      <w:r w:rsidRPr="00B12FE0">
        <w:rPr>
          <w:rFonts w:ascii="宋体" w:hAnsi="宋体" w:hint="eastAsia"/>
          <w:color w:val="000000" w:themeColor="text1"/>
          <w:kern w:val="0"/>
          <w:szCs w:val="24"/>
        </w:rPr>
        <w:t>服药杯、</w:t>
      </w:r>
      <w:r w:rsidRPr="00B12FE0">
        <w:rPr>
          <w:rFonts w:ascii="宋体" w:hAnsi="宋体"/>
          <w:color w:val="000000" w:themeColor="text1"/>
          <w:kern w:val="0"/>
          <w:szCs w:val="24"/>
        </w:rPr>
        <w:t>棉棒、一次性卫生用品和垫料等</w:t>
      </w:r>
      <w:r w:rsidRPr="00B12FE0">
        <w:rPr>
          <w:rFonts w:ascii="宋体" w:hAnsi="宋体" w:hint="eastAsia"/>
          <w:color w:val="000000" w:themeColor="text1"/>
          <w:kern w:val="0"/>
          <w:szCs w:val="24"/>
        </w:rPr>
        <w:t>属于</w:t>
      </w:r>
      <w:r w:rsidRPr="00B12FE0">
        <w:rPr>
          <w:rFonts w:ascii="宋体" w:hAnsi="宋体"/>
          <w:color w:val="000000" w:themeColor="text1"/>
          <w:kern w:val="0"/>
          <w:szCs w:val="24"/>
        </w:rPr>
        <w:t>放射性</w:t>
      </w:r>
      <w:r w:rsidRPr="00B12FE0">
        <w:rPr>
          <w:rFonts w:ascii="宋体" w:hAnsi="宋体" w:hint="eastAsia"/>
          <w:color w:val="000000" w:themeColor="text1"/>
          <w:kern w:val="0"/>
          <w:szCs w:val="24"/>
        </w:rPr>
        <w:t>固体废物</w:t>
      </w:r>
      <w:r w:rsidRPr="00B12FE0">
        <w:rPr>
          <w:rFonts w:ascii="宋体" w:hAnsi="宋体"/>
          <w:color w:val="000000" w:themeColor="text1"/>
          <w:kern w:val="0"/>
          <w:szCs w:val="24"/>
        </w:rPr>
        <w:t>。医院拟将上述放射性固体废物收集于核医学科放射性废物铅桶内专用塑料包装袋，包装袋显著位置要标明废物类型、收贮时间、核素种类及数量等内容。每袋废物的表面剂量率控制在</w:t>
      </w:r>
      <w:r w:rsidRPr="00B12FE0">
        <w:rPr>
          <w:color w:val="000000" w:themeColor="text1"/>
          <w:kern w:val="0"/>
          <w:szCs w:val="24"/>
        </w:rPr>
        <w:t>0.1mSv/h</w:t>
      </w:r>
      <w:r w:rsidRPr="00B12FE0">
        <w:rPr>
          <w:rFonts w:ascii="宋体" w:hAnsi="宋体"/>
          <w:color w:val="000000" w:themeColor="text1"/>
          <w:kern w:val="0"/>
          <w:szCs w:val="24"/>
        </w:rPr>
        <w:t>以下，重量不超过</w:t>
      </w:r>
      <w:r w:rsidRPr="00B12FE0">
        <w:rPr>
          <w:color w:val="000000" w:themeColor="text1"/>
          <w:kern w:val="0"/>
          <w:szCs w:val="24"/>
        </w:rPr>
        <w:t>20kg</w:t>
      </w:r>
      <w:r w:rsidRPr="00B12FE0">
        <w:rPr>
          <w:rFonts w:ascii="宋体" w:hAnsi="宋体"/>
          <w:color w:val="000000" w:themeColor="text1"/>
          <w:kern w:val="0"/>
          <w:szCs w:val="24"/>
        </w:rPr>
        <w:t>。装满后的专用塑料包装袋应密封、不破漏，及时转运暂存于的衰变箱</w:t>
      </w:r>
      <w:r w:rsidRPr="00B12FE0">
        <w:rPr>
          <w:rFonts w:ascii="宋体" w:hAnsi="宋体"/>
          <w:color w:val="000000" w:themeColor="text1"/>
          <w:szCs w:val="24"/>
        </w:rPr>
        <w:t>中，衰变箱采用</w:t>
      </w:r>
      <w:r w:rsidRPr="00B12FE0">
        <w:rPr>
          <w:color w:val="000000" w:themeColor="text1"/>
          <w:szCs w:val="24"/>
        </w:rPr>
        <w:t>10mmPb</w:t>
      </w:r>
      <w:r w:rsidRPr="00B12FE0">
        <w:rPr>
          <w:rFonts w:ascii="宋体" w:hAnsi="宋体"/>
          <w:color w:val="000000" w:themeColor="text1"/>
          <w:szCs w:val="24"/>
        </w:rPr>
        <w:t>进行屏蔽防护，以保证其外表面</w:t>
      </w:r>
      <w:r w:rsidRPr="00B12FE0">
        <w:rPr>
          <w:color w:val="000000" w:themeColor="text1"/>
          <w:szCs w:val="24"/>
        </w:rPr>
        <w:t>30cm</w:t>
      </w:r>
      <w:r w:rsidRPr="00B12FE0">
        <w:rPr>
          <w:rFonts w:ascii="宋体" w:hAnsi="宋体"/>
          <w:color w:val="000000" w:themeColor="text1"/>
          <w:szCs w:val="24"/>
        </w:rPr>
        <w:t>处的周围剂量当量率小于</w:t>
      </w:r>
      <w:r w:rsidRPr="00B12FE0">
        <w:rPr>
          <w:color w:val="000000" w:themeColor="text1"/>
          <w:szCs w:val="24"/>
        </w:rPr>
        <w:t>2.5μSv/h</w:t>
      </w:r>
      <w:r w:rsidRPr="00B12FE0">
        <w:rPr>
          <w:rFonts w:ascii="宋体" w:hAnsi="宋体"/>
          <w:color w:val="000000" w:themeColor="text1"/>
          <w:szCs w:val="24"/>
        </w:rPr>
        <w:t>。</w:t>
      </w:r>
      <w:r w:rsidRPr="00B12FE0">
        <w:rPr>
          <w:rFonts w:ascii="宋体" w:hAnsi="宋体"/>
          <w:bCs/>
          <w:color w:val="000000" w:themeColor="text1"/>
          <w:szCs w:val="24"/>
        </w:rPr>
        <w:t>所含核素半衰期小于</w:t>
      </w:r>
      <w:r w:rsidRPr="00B12FE0">
        <w:rPr>
          <w:bCs/>
          <w:color w:val="000000" w:themeColor="text1"/>
          <w:szCs w:val="24"/>
        </w:rPr>
        <w:t>24</w:t>
      </w:r>
      <w:r w:rsidRPr="00B12FE0">
        <w:rPr>
          <w:rFonts w:ascii="宋体" w:hAnsi="宋体"/>
          <w:bCs/>
          <w:color w:val="000000" w:themeColor="text1"/>
          <w:szCs w:val="24"/>
        </w:rPr>
        <w:t>小时的放射性固体废物暂存时间超过</w:t>
      </w:r>
      <w:r w:rsidRPr="00B12FE0">
        <w:rPr>
          <w:bCs/>
          <w:color w:val="000000" w:themeColor="text1"/>
          <w:szCs w:val="24"/>
        </w:rPr>
        <w:t>30</w:t>
      </w:r>
      <w:r w:rsidRPr="00B12FE0">
        <w:rPr>
          <w:rFonts w:ascii="宋体" w:hAnsi="宋体"/>
          <w:bCs/>
          <w:color w:val="000000" w:themeColor="text1"/>
          <w:szCs w:val="24"/>
        </w:rPr>
        <w:t>天，所含核素半衰期大于</w:t>
      </w:r>
      <w:r w:rsidRPr="00B12FE0">
        <w:rPr>
          <w:bCs/>
          <w:color w:val="000000" w:themeColor="text1"/>
          <w:szCs w:val="24"/>
        </w:rPr>
        <w:t>24</w:t>
      </w:r>
      <w:r w:rsidRPr="00B12FE0">
        <w:rPr>
          <w:rFonts w:ascii="宋体" w:hAnsi="宋体"/>
          <w:bCs/>
          <w:color w:val="000000" w:themeColor="text1"/>
          <w:szCs w:val="24"/>
        </w:rPr>
        <w:t>小时的放射性固体废物暂存时间超过核素最长半衰期的</w:t>
      </w:r>
      <w:r w:rsidRPr="00B12FE0">
        <w:rPr>
          <w:bCs/>
          <w:color w:val="000000" w:themeColor="text1"/>
          <w:szCs w:val="24"/>
        </w:rPr>
        <w:t>10</w:t>
      </w:r>
      <w:r w:rsidRPr="00B12FE0">
        <w:rPr>
          <w:rFonts w:ascii="宋体" w:hAnsi="宋体"/>
          <w:bCs/>
          <w:color w:val="000000" w:themeColor="text1"/>
          <w:szCs w:val="24"/>
        </w:rPr>
        <w:t>倍</w:t>
      </w:r>
      <w:r w:rsidRPr="00B12FE0">
        <w:rPr>
          <w:rFonts w:ascii="宋体" w:hAnsi="宋体" w:hint="eastAsia"/>
          <w:bCs/>
          <w:color w:val="000000" w:themeColor="text1"/>
          <w:szCs w:val="24"/>
        </w:rPr>
        <w:t>。</w:t>
      </w:r>
      <w:r w:rsidRPr="00B12FE0">
        <w:rPr>
          <w:rFonts w:ascii="宋体" w:hAnsi="宋体"/>
          <w:bCs/>
          <w:color w:val="000000" w:themeColor="text1"/>
          <w:szCs w:val="24"/>
        </w:rPr>
        <w:t>经监测辐射剂量</w:t>
      </w:r>
      <w:proofErr w:type="gramStart"/>
      <w:r w:rsidRPr="00B12FE0">
        <w:rPr>
          <w:rFonts w:ascii="宋体" w:hAnsi="宋体"/>
          <w:bCs/>
          <w:color w:val="000000" w:themeColor="text1"/>
          <w:szCs w:val="24"/>
        </w:rPr>
        <w:t>率满足</w:t>
      </w:r>
      <w:proofErr w:type="gramEnd"/>
      <w:r w:rsidRPr="00B12FE0">
        <w:rPr>
          <w:rFonts w:ascii="宋体" w:hAnsi="宋体"/>
          <w:bCs/>
          <w:color w:val="000000" w:themeColor="text1"/>
          <w:szCs w:val="24"/>
        </w:rPr>
        <w:t>所处环境本底水平，</w:t>
      </w:r>
      <w:r w:rsidRPr="00B12FE0">
        <w:rPr>
          <w:bCs/>
          <w:color w:val="000000" w:themeColor="text1"/>
          <w:szCs w:val="24"/>
        </w:rPr>
        <w:t>α</w:t>
      </w:r>
      <w:r w:rsidRPr="00B12FE0">
        <w:rPr>
          <w:rFonts w:ascii="宋体" w:hAnsi="宋体"/>
          <w:bCs/>
          <w:color w:val="000000" w:themeColor="text1"/>
          <w:szCs w:val="24"/>
        </w:rPr>
        <w:t>表面污染小于</w:t>
      </w:r>
      <w:r w:rsidRPr="00B12FE0">
        <w:rPr>
          <w:bCs/>
          <w:color w:val="000000" w:themeColor="text1"/>
          <w:szCs w:val="24"/>
        </w:rPr>
        <w:t>0.08Bq/cm</w:t>
      </w:r>
      <w:r w:rsidRPr="00B12FE0">
        <w:rPr>
          <w:bCs/>
          <w:color w:val="000000" w:themeColor="text1"/>
          <w:szCs w:val="24"/>
          <w:vertAlign w:val="superscript"/>
        </w:rPr>
        <w:t>2</w:t>
      </w:r>
      <w:r w:rsidRPr="00B12FE0">
        <w:rPr>
          <w:rFonts w:ascii="宋体" w:hAnsi="宋体"/>
          <w:bCs/>
          <w:color w:val="000000" w:themeColor="text1"/>
          <w:szCs w:val="24"/>
        </w:rPr>
        <w:t>，</w:t>
      </w:r>
      <w:r w:rsidRPr="00B12FE0">
        <w:rPr>
          <w:bCs/>
          <w:color w:val="000000" w:themeColor="text1"/>
          <w:szCs w:val="24"/>
        </w:rPr>
        <w:t>β</w:t>
      </w:r>
      <w:r w:rsidRPr="00B12FE0">
        <w:rPr>
          <w:rFonts w:ascii="宋体" w:hAnsi="宋体"/>
          <w:bCs/>
          <w:color w:val="000000" w:themeColor="text1"/>
          <w:szCs w:val="24"/>
        </w:rPr>
        <w:t>表面污染小于</w:t>
      </w:r>
      <w:r w:rsidRPr="00B12FE0">
        <w:rPr>
          <w:bCs/>
          <w:color w:val="000000" w:themeColor="text1"/>
          <w:szCs w:val="24"/>
        </w:rPr>
        <w:t>0.8Bq/cm</w:t>
      </w:r>
      <w:r w:rsidRPr="00B12FE0">
        <w:rPr>
          <w:bCs/>
          <w:color w:val="000000" w:themeColor="text1"/>
          <w:szCs w:val="24"/>
          <w:vertAlign w:val="superscript"/>
        </w:rPr>
        <w:t>2</w:t>
      </w:r>
      <w:r w:rsidRPr="00B12FE0">
        <w:rPr>
          <w:rFonts w:ascii="宋体" w:hAnsi="宋体"/>
          <w:bCs/>
          <w:color w:val="000000" w:themeColor="text1"/>
          <w:szCs w:val="24"/>
        </w:rPr>
        <w:t>，可对废物</w:t>
      </w:r>
      <w:proofErr w:type="gramStart"/>
      <w:r w:rsidRPr="00B12FE0">
        <w:rPr>
          <w:rFonts w:ascii="宋体" w:hAnsi="宋体"/>
          <w:bCs/>
          <w:color w:val="000000" w:themeColor="text1"/>
          <w:szCs w:val="24"/>
        </w:rPr>
        <w:t>清洁解控并</w:t>
      </w:r>
      <w:proofErr w:type="gramEnd"/>
      <w:r w:rsidRPr="00B12FE0">
        <w:rPr>
          <w:rFonts w:ascii="宋体" w:hAnsi="宋体"/>
          <w:bCs/>
          <w:color w:val="000000" w:themeColor="text1"/>
          <w:szCs w:val="24"/>
        </w:rPr>
        <w:t>作为医疗废物进行处理</w:t>
      </w:r>
      <w:r w:rsidRPr="00B12FE0">
        <w:rPr>
          <w:rFonts w:ascii="宋体" w:hAnsi="宋体"/>
          <w:color w:val="000000" w:themeColor="text1"/>
          <w:szCs w:val="24"/>
        </w:rPr>
        <w:t>。</w:t>
      </w:r>
    </w:p>
    <w:p w14:paraId="5F190EBF" w14:textId="77777777" w:rsidR="00A67F21" w:rsidRPr="00B12FE0" w:rsidRDefault="00000000">
      <w:pPr>
        <w:overflowPunct w:val="0"/>
        <w:autoSpaceDE w:val="0"/>
        <w:autoSpaceDN w:val="0"/>
        <w:adjustRightInd w:val="0"/>
        <w:snapToGrid w:val="0"/>
        <w:spacing w:line="360" w:lineRule="auto"/>
        <w:ind w:firstLine="480"/>
        <w:rPr>
          <w:color w:val="000000" w:themeColor="text1"/>
          <w:sz w:val="21"/>
          <w:szCs w:val="21"/>
        </w:rPr>
      </w:pPr>
      <w:r w:rsidRPr="00B12FE0">
        <w:rPr>
          <w:rFonts w:ascii="宋体" w:hAnsi="宋体"/>
          <w:color w:val="000000" w:themeColor="text1"/>
          <w:szCs w:val="24"/>
        </w:rPr>
        <w:t>排风管道更换的废活性炭含有放射性核素也属于放射性废物，医院将更换下的活性炭先统一存放于废物间，标注活性炭名称、存放日期、存放量等，衰变后经监测符合</w:t>
      </w:r>
      <w:proofErr w:type="gramStart"/>
      <w:r w:rsidRPr="00B12FE0">
        <w:rPr>
          <w:rFonts w:ascii="宋体" w:hAnsi="宋体"/>
          <w:color w:val="000000" w:themeColor="text1"/>
          <w:szCs w:val="24"/>
        </w:rPr>
        <w:t>清洁解</w:t>
      </w:r>
      <w:proofErr w:type="gramEnd"/>
      <w:r w:rsidRPr="00B12FE0">
        <w:rPr>
          <w:rFonts w:ascii="宋体" w:hAnsi="宋体"/>
          <w:color w:val="000000" w:themeColor="text1"/>
          <w:szCs w:val="24"/>
        </w:rPr>
        <w:t>控水平作为医疗废物处置。</w:t>
      </w:r>
    </w:p>
    <w:p w14:paraId="5F579F1C" w14:textId="77777777" w:rsidR="00A67F21" w:rsidRPr="00B12FE0" w:rsidRDefault="00000000">
      <w:pPr>
        <w:spacing w:line="360" w:lineRule="auto"/>
        <w:ind w:firstLine="480"/>
        <w:rPr>
          <w:color w:val="000000" w:themeColor="text1"/>
          <w:szCs w:val="24"/>
        </w:rPr>
      </w:pPr>
      <w:r w:rsidRPr="00B12FE0">
        <w:rPr>
          <w:rFonts w:ascii="宋体" w:hAnsi="宋体"/>
          <w:color w:val="000000" w:themeColor="text1"/>
          <w:szCs w:val="24"/>
        </w:rPr>
        <w:t>项目使用过的</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锝发生器置于</w:t>
      </w:r>
      <w:r w:rsidRPr="00B12FE0">
        <w:rPr>
          <w:rFonts w:hint="eastAsia"/>
          <w:color w:val="000000" w:themeColor="text1"/>
        </w:rPr>
        <w:t>发生器自带货包内</w:t>
      </w:r>
      <w:r w:rsidRPr="00B12FE0">
        <w:rPr>
          <w:rFonts w:ascii="宋体" w:hAnsi="宋体"/>
          <w:color w:val="000000" w:themeColor="text1"/>
          <w:szCs w:val="24"/>
        </w:rPr>
        <w:t>，暂存于废物间，</w:t>
      </w:r>
      <w:proofErr w:type="gramStart"/>
      <w:r w:rsidRPr="00B12FE0">
        <w:rPr>
          <w:rFonts w:ascii="宋体" w:hAnsi="宋体"/>
          <w:color w:val="000000" w:themeColor="text1"/>
          <w:szCs w:val="24"/>
        </w:rPr>
        <w:t>定期由</w:t>
      </w:r>
      <w:proofErr w:type="gramEnd"/>
      <w:r w:rsidRPr="00B12FE0">
        <w:rPr>
          <w:rFonts w:ascii="宋体" w:hAnsi="宋体"/>
          <w:color w:val="000000" w:themeColor="text1"/>
          <w:szCs w:val="24"/>
        </w:rPr>
        <w:t>供货单位直接回收，建设单位在购入</w:t>
      </w:r>
      <w:proofErr w:type="gramStart"/>
      <w:r w:rsidRPr="00B12FE0">
        <w:rPr>
          <w:rFonts w:ascii="宋体" w:hAnsi="宋体"/>
          <w:color w:val="000000" w:themeColor="text1"/>
          <w:szCs w:val="24"/>
        </w:rPr>
        <w:t>钼</w:t>
      </w:r>
      <w:proofErr w:type="gramEnd"/>
      <w:r w:rsidRPr="00B12FE0">
        <w:rPr>
          <w:rFonts w:ascii="宋体" w:hAnsi="宋体"/>
          <w:color w:val="000000" w:themeColor="text1"/>
          <w:szCs w:val="24"/>
        </w:rPr>
        <w:t>锝发生器，与供货单位签订回收协议。</w:t>
      </w:r>
    </w:p>
    <w:p w14:paraId="3F7FDA53" w14:textId="77777777" w:rsidR="00A67F21" w:rsidRPr="00B12FE0" w:rsidRDefault="00000000">
      <w:pPr>
        <w:overflowPunct w:val="0"/>
        <w:adjustRightInd w:val="0"/>
        <w:snapToGrid w:val="0"/>
        <w:spacing w:line="360" w:lineRule="auto"/>
        <w:ind w:firstLine="480"/>
        <w:rPr>
          <w:color w:val="000000" w:themeColor="text1"/>
          <w:szCs w:val="24"/>
        </w:rPr>
      </w:pPr>
      <w:r w:rsidRPr="00B12FE0">
        <w:rPr>
          <w:rFonts w:ascii="宋体" w:hAnsi="宋体"/>
          <w:color w:val="000000" w:themeColor="text1"/>
          <w:szCs w:val="24"/>
        </w:rPr>
        <w:lastRenderedPageBreak/>
        <w:t>回旋加速器</w:t>
      </w:r>
      <w:proofErr w:type="gramStart"/>
      <w:r w:rsidRPr="00B12FE0">
        <w:rPr>
          <w:rFonts w:ascii="宋体" w:hAnsi="宋体"/>
          <w:color w:val="000000" w:themeColor="text1"/>
          <w:szCs w:val="24"/>
        </w:rPr>
        <w:t>固体靶片可</w:t>
      </w:r>
      <w:proofErr w:type="gramEnd"/>
      <w:r w:rsidRPr="00B12FE0">
        <w:rPr>
          <w:rFonts w:ascii="宋体" w:hAnsi="宋体"/>
          <w:color w:val="000000" w:themeColor="text1"/>
          <w:szCs w:val="24"/>
        </w:rPr>
        <w:t>重复使用，在意外损坏需要更换时，换下</w:t>
      </w:r>
      <w:proofErr w:type="gramStart"/>
      <w:r w:rsidRPr="00B12FE0">
        <w:rPr>
          <w:rFonts w:ascii="宋体" w:hAnsi="宋体"/>
          <w:color w:val="000000" w:themeColor="text1"/>
          <w:szCs w:val="24"/>
        </w:rPr>
        <w:t>的废靶暂存于</w:t>
      </w:r>
      <w:proofErr w:type="gramEnd"/>
      <w:r w:rsidRPr="00B12FE0">
        <w:rPr>
          <w:rFonts w:ascii="宋体" w:hAnsi="宋体"/>
          <w:color w:val="000000" w:themeColor="text1"/>
          <w:szCs w:val="24"/>
        </w:rPr>
        <w:t>机房内放射性废物铅桶中，后由厂家回收，最终交由具有放射性废物收贮资质的单位收贮。</w:t>
      </w:r>
    </w:p>
    <w:p w14:paraId="26E7843C"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szCs w:val="28"/>
        </w:rPr>
        <w:t>本项目更换</w:t>
      </w:r>
      <w:r w:rsidRPr="00B12FE0">
        <w:rPr>
          <w:rFonts w:hint="eastAsia"/>
          <w:color w:val="000000" w:themeColor="text1"/>
        </w:rPr>
        <w:t>的</w:t>
      </w:r>
      <w:r w:rsidRPr="00B12FE0">
        <w:rPr>
          <w:rFonts w:hint="eastAsia"/>
          <w:color w:val="000000" w:themeColor="text1"/>
          <w:vertAlign w:val="superscript"/>
        </w:rPr>
        <w:t>68</w:t>
      </w:r>
      <w:r w:rsidRPr="00B12FE0">
        <w:rPr>
          <w:rFonts w:hint="eastAsia"/>
          <w:color w:val="000000" w:themeColor="text1"/>
        </w:rPr>
        <w:t>Ge</w:t>
      </w:r>
      <w:r w:rsidRPr="00B12FE0">
        <w:rPr>
          <w:rFonts w:hint="eastAsia"/>
          <w:color w:val="000000" w:themeColor="text1"/>
        </w:rPr>
        <w:t>校准源作为废旧放射源，</w:t>
      </w:r>
      <w:r w:rsidRPr="00B12FE0">
        <w:rPr>
          <w:rFonts w:hint="eastAsia"/>
          <w:color w:val="000000" w:themeColor="text1"/>
          <w:vertAlign w:val="superscript"/>
        </w:rPr>
        <w:t>68</w:t>
      </w:r>
      <w:r w:rsidRPr="00B12FE0">
        <w:rPr>
          <w:rFonts w:hint="eastAsia"/>
          <w:color w:val="000000" w:themeColor="text1"/>
        </w:rPr>
        <w:t>Ge</w:t>
      </w:r>
      <w:r w:rsidRPr="00B12FE0">
        <w:rPr>
          <w:rFonts w:hint="eastAsia"/>
          <w:color w:val="000000" w:themeColor="text1"/>
        </w:rPr>
        <w:t>的</w:t>
      </w:r>
      <w:r w:rsidRPr="00B12FE0">
        <w:rPr>
          <w:color w:val="000000" w:themeColor="text1"/>
        </w:rPr>
        <w:t>半衰期为</w:t>
      </w:r>
      <w:r w:rsidRPr="00B12FE0">
        <w:rPr>
          <w:color w:val="000000" w:themeColor="text1"/>
        </w:rPr>
        <w:t>280</w:t>
      </w:r>
      <w:r w:rsidRPr="00B12FE0">
        <w:rPr>
          <w:color w:val="000000" w:themeColor="text1"/>
        </w:rPr>
        <w:t>天，当</w:t>
      </w:r>
      <w:r w:rsidRPr="00B12FE0">
        <w:rPr>
          <w:rFonts w:hint="eastAsia"/>
          <w:color w:val="000000" w:themeColor="text1"/>
        </w:rPr>
        <w:t>其</w:t>
      </w:r>
      <w:r w:rsidRPr="00B12FE0">
        <w:rPr>
          <w:color w:val="000000" w:themeColor="text1"/>
        </w:rPr>
        <w:t>衰变至其活度不能满足</w:t>
      </w:r>
      <w:r w:rsidRPr="00B12FE0">
        <w:rPr>
          <w:rFonts w:hint="eastAsia"/>
          <w:color w:val="000000" w:themeColor="text1"/>
        </w:rPr>
        <w:t>校准</w:t>
      </w:r>
      <w:r w:rsidRPr="00B12FE0">
        <w:rPr>
          <w:color w:val="000000" w:themeColor="text1"/>
          <w:szCs w:val="24"/>
        </w:rPr>
        <w:t>需要时，将更换放射源，从而产生废</w:t>
      </w:r>
      <w:r w:rsidRPr="00B12FE0">
        <w:rPr>
          <w:rFonts w:hint="eastAsia"/>
          <w:color w:val="000000" w:themeColor="text1"/>
          <w:szCs w:val="24"/>
          <w:vertAlign w:val="superscript"/>
        </w:rPr>
        <w:t>68</w:t>
      </w:r>
      <w:r w:rsidRPr="00B12FE0">
        <w:rPr>
          <w:rFonts w:hint="eastAsia"/>
          <w:color w:val="000000" w:themeColor="text1"/>
          <w:szCs w:val="24"/>
        </w:rPr>
        <w:t>Ge</w:t>
      </w:r>
      <w:r w:rsidRPr="00B12FE0">
        <w:rPr>
          <w:color w:val="000000" w:themeColor="text1"/>
          <w:szCs w:val="24"/>
        </w:rPr>
        <w:t>放射源。</w:t>
      </w:r>
      <w:r w:rsidRPr="00B12FE0">
        <w:rPr>
          <w:rFonts w:hint="eastAsia"/>
          <w:color w:val="000000" w:themeColor="text1"/>
          <w:szCs w:val="24"/>
        </w:rPr>
        <w:t>医院预计约每</w:t>
      </w:r>
      <w:r w:rsidRPr="00B12FE0">
        <w:rPr>
          <w:rFonts w:hint="eastAsia"/>
          <w:color w:val="000000" w:themeColor="text1"/>
          <w:szCs w:val="24"/>
        </w:rPr>
        <w:t>4</w:t>
      </w:r>
      <w:r w:rsidRPr="00B12FE0">
        <w:rPr>
          <w:rFonts w:hint="eastAsia"/>
          <w:color w:val="000000" w:themeColor="text1"/>
          <w:szCs w:val="24"/>
        </w:rPr>
        <w:t>年更换一次源，一次产生</w:t>
      </w:r>
      <w:r w:rsidRPr="00B12FE0">
        <w:rPr>
          <w:rFonts w:hint="eastAsia"/>
          <w:color w:val="000000" w:themeColor="text1"/>
          <w:szCs w:val="24"/>
        </w:rPr>
        <w:t>3</w:t>
      </w:r>
      <w:r w:rsidRPr="00B12FE0">
        <w:rPr>
          <w:rFonts w:hint="eastAsia"/>
          <w:color w:val="000000" w:themeColor="text1"/>
          <w:szCs w:val="24"/>
        </w:rPr>
        <w:t>枚</w:t>
      </w:r>
      <w:r w:rsidRPr="00B12FE0">
        <w:rPr>
          <w:color w:val="000000" w:themeColor="text1"/>
          <w:szCs w:val="24"/>
        </w:rPr>
        <w:t>废旧放射源</w:t>
      </w:r>
      <w:r w:rsidRPr="00B12FE0">
        <w:rPr>
          <w:rFonts w:hint="eastAsia"/>
          <w:color w:val="000000" w:themeColor="text1"/>
          <w:szCs w:val="24"/>
        </w:rPr>
        <w:t>，按照废旧放射源返回合同规定，将废旧放射源交回生产单位或者返回原出口方；若确实不能返回的，则交城市放射性废物库。</w:t>
      </w:r>
    </w:p>
    <w:p w14:paraId="1AC8C2B9" w14:textId="77777777" w:rsidR="00A67F21" w:rsidRPr="00B12FE0" w:rsidRDefault="00000000">
      <w:pPr>
        <w:adjustRightInd w:val="0"/>
        <w:snapToGrid w:val="0"/>
        <w:spacing w:line="360" w:lineRule="auto"/>
        <w:ind w:firstLineChars="200" w:firstLine="480"/>
        <w:rPr>
          <w:bCs/>
          <w:color w:val="000000" w:themeColor="text1"/>
          <w:sz w:val="21"/>
          <w:szCs w:val="21"/>
        </w:rPr>
      </w:pPr>
      <w:r w:rsidRPr="00B12FE0">
        <w:rPr>
          <w:rFonts w:ascii="宋体" w:hAnsi="宋体"/>
          <w:bCs/>
          <w:color w:val="000000" w:themeColor="text1"/>
          <w:szCs w:val="24"/>
        </w:rPr>
        <w:t>建设单位应做到：</w:t>
      </w:r>
    </w:p>
    <w:p w14:paraId="22E2ED47" w14:textId="77777777" w:rsidR="00A67F21" w:rsidRPr="00B12FE0" w:rsidRDefault="00000000">
      <w:pPr>
        <w:adjustRightInd w:val="0"/>
        <w:snapToGrid w:val="0"/>
        <w:spacing w:line="360" w:lineRule="auto"/>
        <w:ind w:firstLineChars="200" w:firstLine="480"/>
        <w:rPr>
          <w:bCs/>
          <w:color w:val="000000" w:themeColor="text1"/>
          <w:sz w:val="21"/>
          <w:szCs w:val="21"/>
        </w:rPr>
      </w:pPr>
      <w:r w:rsidRPr="00B12FE0">
        <w:rPr>
          <w:rFonts w:ascii="Cambria Math" w:hAnsi="Cambria Math" w:cs="Cambria Math"/>
          <w:bCs/>
          <w:color w:val="000000" w:themeColor="text1"/>
          <w:szCs w:val="24"/>
        </w:rPr>
        <w:t>①</w:t>
      </w:r>
      <w:r w:rsidRPr="00B12FE0">
        <w:rPr>
          <w:rFonts w:ascii="宋体" w:hAnsi="宋体"/>
          <w:bCs/>
          <w:color w:val="000000" w:themeColor="text1"/>
          <w:szCs w:val="24"/>
        </w:rPr>
        <w:t>严格区分放射性废物与非放射性废物，不可混同处理，应力</w:t>
      </w:r>
      <w:proofErr w:type="gramStart"/>
      <w:r w:rsidRPr="00B12FE0">
        <w:rPr>
          <w:rFonts w:ascii="宋体" w:hAnsi="宋体"/>
          <w:bCs/>
          <w:color w:val="000000" w:themeColor="text1"/>
          <w:szCs w:val="24"/>
        </w:rPr>
        <w:t>求控制</w:t>
      </w:r>
      <w:proofErr w:type="gramEnd"/>
      <w:r w:rsidRPr="00B12FE0">
        <w:rPr>
          <w:rFonts w:ascii="宋体" w:hAnsi="宋体"/>
          <w:bCs/>
          <w:color w:val="000000" w:themeColor="text1"/>
          <w:szCs w:val="24"/>
        </w:rPr>
        <w:t>和减少放射性废物产生量。</w:t>
      </w:r>
    </w:p>
    <w:p w14:paraId="76B58DDD" w14:textId="77777777" w:rsidR="00A67F21" w:rsidRPr="00B12FE0" w:rsidRDefault="00000000">
      <w:pPr>
        <w:adjustRightInd w:val="0"/>
        <w:snapToGrid w:val="0"/>
        <w:spacing w:line="360" w:lineRule="auto"/>
        <w:ind w:firstLineChars="200" w:firstLine="480"/>
        <w:rPr>
          <w:bCs/>
          <w:color w:val="000000" w:themeColor="text1"/>
          <w:szCs w:val="24"/>
        </w:rPr>
      </w:pPr>
      <w:r w:rsidRPr="00B12FE0">
        <w:rPr>
          <w:rFonts w:ascii="Cambria Math" w:hAnsi="Cambria Math" w:cs="Cambria Math"/>
          <w:bCs/>
          <w:color w:val="000000" w:themeColor="text1"/>
          <w:szCs w:val="24"/>
        </w:rPr>
        <w:t>②</w:t>
      </w:r>
      <w:r w:rsidRPr="00B12FE0">
        <w:rPr>
          <w:rFonts w:ascii="宋体" w:hAnsi="宋体"/>
          <w:bCs/>
          <w:color w:val="000000" w:themeColor="text1"/>
          <w:szCs w:val="24"/>
        </w:rPr>
        <w:t>放射性</w:t>
      </w:r>
      <w:r w:rsidRPr="00B12FE0">
        <w:rPr>
          <w:rFonts w:ascii="宋体" w:hAnsi="宋体" w:hint="eastAsia"/>
          <w:bCs/>
          <w:color w:val="000000" w:themeColor="text1"/>
          <w:szCs w:val="24"/>
        </w:rPr>
        <w:t>固体废物</w:t>
      </w:r>
      <w:r w:rsidRPr="00B12FE0">
        <w:rPr>
          <w:rFonts w:ascii="宋体" w:hAnsi="宋体"/>
          <w:bCs/>
          <w:color w:val="000000" w:themeColor="text1"/>
          <w:szCs w:val="24"/>
        </w:rPr>
        <w:t>先收集在</w:t>
      </w:r>
      <w:r w:rsidRPr="00B12FE0">
        <w:rPr>
          <w:rFonts w:ascii="宋体" w:hAnsi="宋体"/>
          <w:color w:val="000000" w:themeColor="text1"/>
          <w:szCs w:val="24"/>
        </w:rPr>
        <w:t>放射性废物铅桶</w:t>
      </w:r>
      <w:r w:rsidRPr="00B12FE0">
        <w:rPr>
          <w:rFonts w:ascii="宋体" w:hAnsi="宋体"/>
          <w:bCs/>
          <w:color w:val="000000" w:themeColor="text1"/>
          <w:szCs w:val="24"/>
        </w:rPr>
        <w:t>内，再将铅桶内的放射性</w:t>
      </w:r>
      <w:r w:rsidRPr="00B12FE0">
        <w:rPr>
          <w:rFonts w:ascii="宋体" w:hAnsi="宋体" w:hint="eastAsia"/>
          <w:bCs/>
          <w:color w:val="000000" w:themeColor="text1"/>
          <w:szCs w:val="24"/>
        </w:rPr>
        <w:t>固体废物</w:t>
      </w:r>
      <w:r w:rsidRPr="00B12FE0">
        <w:rPr>
          <w:rFonts w:ascii="宋体" w:hAnsi="宋体"/>
          <w:bCs/>
          <w:color w:val="000000" w:themeColor="text1"/>
          <w:szCs w:val="24"/>
        </w:rPr>
        <w:t>连同</w:t>
      </w:r>
      <w:r w:rsidRPr="00B12FE0">
        <w:rPr>
          <w:rFonts w:ascii="宋体" w:hAnsi="宋体"/>
          <w:color w:val="000000" w:themeColor="text1"/>
          <w:kern w:val="0"/>
          <w:szCs w:val="24"/>
        </w:rPr>
        <w:t>专用塑料包装袋</w:t>
      </w:r>
      <w:r w:rsidRPr="00B12FE0">
        <w:rPr>
          <w:rFonts w:ascii="宋体" w:hAnsi="宋体"/>
          <w:bCs/>
          <w:color w:val="000000" w:themeColor="text1"/>
          <w:szCs w:val="24"/>
        </w:rPr>
        <w:t>转移至</w:t>
      </w:r>
      <w:r w:rsidRPr="00B12FE0">
        <w:rPr>
          <w:rFonts w:ascii="宋体" w:hAnsi="宋体"/>
          <w:color w:val="000000" w:themeColor="text1"/>
          <w:szCs w:val="24"/>
        </w:rPr>
        <w:t>废物间</w:t>
      </w:r>
      <w:r w:rsidRPr="00B12FE0">
        <w:rPr>
          <w:rFonts w:ascii="宋体" w:hAnsi="宋体"/>
          <w:bCs/>
          <w:color w:val="000000" w:themeColor="text1"/>
          <w:szCs w:val="24"/>
        </w:rPr>
        <w:t>，</w:t>
      </w:r>
      <w:r w:rsidRPr="00B12FE0">
        <w:rPr>
          <w:rFonts w:ascii="宋体" w:hAnsi="宋体"/>
          <w:color w:val="000000" w:themeColor="text1"/>
          <w:szCs w:val="24"/>
        </w:rPr>
        <w:t>经监测辐射剂量</w:t>
      </w:r>
      <w:proofErr w:type="gramStart"/>
      <w:r w:rsidRPr="00B12FE0">
        <w:rPr>
          <w:rFonts w:ascii="宋体" w:hAnsi="宋体"/>
          <w:color w:val="000000" w:themeColor="text1"/>
          <w:szCs w:val="24"/>
        </w:rPr>
        <w:t>率满足</w:t>
      </w:r>
      <w:proofErr w:type="gramEnd"/>
      <w:r w:rsidRPr="00B12FE0">
        <w:rPr>
          <w:rFonts w:ascii="宋体" w:hAnsi="宋体"/>
          <w:color w:val="000000" w:themeColor="text1"/>
          <w:szCs w:val="24"/>
        </w:rPr>
        <w:t>所处环境本底水平，</w:t>
      </w:r>
      <w:r w:rsidRPr="00B12FE0">
        <w:rPr>
          <w:color w:val="000000" w:themeColor="text1"/>
          <w:szCs w:val="24"/>
        </w:rPr>
        <w:t>α</w:t>
      </w:r>
      <w:r w:rsidRPr="00B12FE0">
        <w:rPr>
          <w:rFonts w:ascii="宋体" w:hAnsi="宋体"/>
          <w:color w:val="000000" w:themeColor="text1"/>
          <w:szCs w:val="24"/>
        </w:rPr>
        <w:t>表面污染小于</w:t>
      </w:r>
      <w:r w:rsidRPr="00B12FE0">
        <w:rPr>
          <w:color w:val="000000" w:themeColor="text1"/>
          <w:szCs w:val="24"/>
        </w:rPr>
        <w:t>0.08Bq/cm</w:t>
      </w:r>
      <w:r w:rsidRPr="00B12FE0">
        <w:rPr>
          <w:color w:val="000000" w:themeColor="text1"/>
          <w:szCs w:val="24"/>
          <w:vertAlign w:val="superscript"/>
        </w:rPr>
        <w:t>2</w:t>
      </w:r>
      <w:r w:rsidRPr="00B12FE0">
        <w:rPr>
          <w:rFonts w:ascii="宋体" w:hAnsi="宋体"/>
          <w:color w:val="000000" w:themeColor="text1"/>
          <w:szCs w:val="24"/>
        </w:rPr>
        <w:t>、</w:t>
      </w:r>
      <w:r w:rsidRPr="00B12FE0">
        <w:rPr>
          <w:color w:val="000000" w:themeColor="text1"/>
          <w:szCs w:val="24"/>
        </w:rPr>
        <w:t>β</w:t>
      </w:r>
      <w:r w:rsidRPr="00B12FE0">
        <w:rPr>
          <w:rFonts w:ascii="宋体" w:hAnsi="宋体"/>
          <w:color w:val="000000" w:themeColor="text1"/>
          <w:szCs w:val="24"/>
        </w:rPr>
        <w:t>表面污染小于</w:t>
      </w:r>
      <w:r w:rsidRPr="00B12FE0">
        <w:rPr>
          <w:color w:val="000000" w:themeColor="text1"/>
          <w:szCs w:val="24"/>
        </w:rPr>
        <w:t>0.8Bq/cm</w:t>
      </w:r>
      <w:r w:rsidRPr="00B12FE0">
        <w:rPr>
          <w:color w:val="000000" w:themeColor="text1"/>
          <w:szCs w:val="24"/>
          <w:vertAlign w:val="superscript"/>
        </w:rPr>
        <w:t xml:space="preserve">2 </w:t>
      </w:r>
      <w:r w:rsidRPr="00B12FE0">
        <w:rPr>
          <w:rFonts w:ascii="宋体" w:hAnsi="宋体"/>
          <w:color w:val="000000" w:themeColor="text1"/>
          <w:szCs w:val="24"/>
        </w:rPr>
        <w:t>的，可对废物</w:t>
      </w:r>
      <w:proofErr w:type="gramStart"/>
      <w:r w:rsidRPr="00B12FE0">
        <w:rPr>
          <w:rFonts w:ascii="宋体" w:hAnsi="宋体"/>
          <w:color w:val="000000" w:themeColor="text1"/>
          <w:szCs w:val="24"/>
        </w:rPr>
        <w:t>清洁解控并</w:t>
      </w:r>
      <w:proofErr w:type="gramEnd"/>
      <w:r w:rsidRPr="00B12FE0">
        <w:rPr>
          <w:rFonts w:ascii="宋体" w:hAnsi="宋体"/>
          <w:color w:val="000000" w:themeColor="text1"/>
          <w:szCs w:val="24"/>
        </w:rPr>
        <w:t>作为医疗废物处理</w:t>
      </w:r>
      <w:r w:rsidRPr="00B12FE0">
        <w:rPr>
          <w:rFonts w:ascii="宋体" w:hAnsi="宋体"/>
          <w:bCs/>
          <w:color w:val="000000" w:themeColor="text1"/>
          <w:szCs w:val="24"/>
        </w:rPr>
        <w:t>。</w:t>
      </w:r>
    </w:p>
    <w:p w14:paraId="2E1045A8" w14:textId="77777777" w:rsidR="00A67F21" w:rsidRPr="00B12FE0" w:rsidRDefault="00000000">
      <w:pPr>
        <w:adjustRightInd w:val="0"/>
        <w:snapToGrid w:val="0"/>
        <w:spacing w:line="360" w:lineRule="auto"/>
        <w:ind w:firstLineChars="200" w:firstLine="480"/>
        <w:rPr>
          <w:color w:val="000000" w:themeColor="text1"/>
          <w:kern w:val="0"/>
          <w:szCs w:val="24"/>
        </w:rPr>
      </w:pPr>
      <w:r w:rsidRPr="00B12FE0">
        <w:rPr>
          <w:rFonts w:ascii="Cambria Math" w:hAnsi="Cambria Math" w:cs="Cambria Math"/>
          <w:bCs/>
          <w:color w:val="000000" w:themeColor="text1"/>
          <w:szCs w:val="24"/>
        </w:rPr>
        <w:t>③</w:t>
      </w:r>
      <w:r w:rsidRPr="00B12FE0">
        <w:rPr>
          <w:rFonts w:ascii="宋体" w:hAnsi="宋体"/>
          <w:bCs/>
          <w:color w:val="000000" w:themeColor="text1"/>
          <w:szCs w:val="24"/>
        </w:rPr>
        <w:t>放射性废物的收集、暂存和处置应满足《放射性废物安全管理条例》（国务院令第</w:t>
      </w:r>
      <w:r w:rsidRPr="00B12FE0">
        <w:rPr>
          <w:bCs/>
          <w:color w:val="000000" w:themeColor="text1"/>
          <w:szCs w:val="24"/>
        </w:rPr>
        <w:t>612</w:t>
      </w:r>
      <w:r w:rsidRPr="00B12FE0">
        <w:rPr>
          <w:rFonts w:ascii="宋体" w:hAnsi="宋体"/>
          <w:bCs/>
          <w:color w:val="000000" w:themeColor="text1"/>
          <w:szCs w:val="24"/>
        </w:rPr>
        <w:t>号）的</w:t>
      </w:r>
      <w:r w:rsidRPr="00B12FE0">
        <w:rPr>
          <w:bCs/>
          <w:color w:val="000000" w:themeColor="text1"/>
          <w:szCs w:val="24"/>
        </w:rPr>
        <w:t>“</w:t>
      </w:r>
      <w:r w:rsidRPr="00B12FE0">
        <w:rPr>
          <w:rFonts w:ascii="宋体" w:hAnsi="宋体"/>
          <w:bCs/>
          <w:color w:val="000000" w:themeColor="text1"/>
          <w:szCs w:val="24"/>
        </w:rPr>
        <w:t>放射性固体废物贮存单位应当建立放射性固体废物贮存情况记录档案，如实完整地记录贮存的放射性固体废物的来源、数量、特征、贮存位置、清洁解控、送交处置等与贮存活动有关的事项</w:t>
      </w:r>
      <w:r w:rsidRPr="00B12FE0">
        <w:rPr>
          <w:bCs/>
          <w:color w:val="000000" w:themeColor="text1"/>
          <w:szCs w:val="24"/>
        </w:rPr>
        <w:t>”</w:t>
      </w:r>
      <w:r w:rsidRPr="00B12FE0">
        <w:rPr>
          <w:rFonts w:ascii="宋体" w:hAnsi="宋体"/>
          <w:bCs/>
          <w:color w:val="000000" w:themeColor="text1"/>
          <w:szCs w:val="24"/>
        </w:rPr>
        <w:t>等相关规定。</w:t>
      </w:r>
    </w:p>
    <w:p w14:paraId="414D06F0" w14:textId="77777777" w:rsidR="00A67F21" w:rsidRPr="00B12FE0" w:rsidRDefault="00000000">
      <w:pPr>
        <w:snapToGrid w:val="0"/>
        <w:spacing w:line="360" w:lineRule="auto"/>
        <w:outlineLvl w:val="2"/>
        <w:rPr>
          <w:b/>
          <w:bCs/>
          <w:color w:val="000000" w:themeColor="text1"/>
          <w:lang w:eastAsia="zh-Hans"/>
        </w:rPr>
      </w:pPr>
      <w:r w:rsidRPr="00B12FE0">
        <w:rPr>
          <w:b/>
          <w:bCs/>
          <w:color w:val="000000" w:themeColor="text1"/>
        </w:rPr>
        <w:t>10.2.2</w:t>
      </w:r>
      <w:r w:rsidRPr="00B12FE0">
        <w:rPr>
          <w:rFonts w:hint="eastAsia"/>
          <w:b/>
          <w:bCs/>
          <w:color w:val="000000" w:themeColor="text1"/>
        </w:rPr>
        <w:t>放疗科</w:t>
      </w:r>
    </w:p>
    <w:p w14:paraId="430FF4E9" w14:textId="77777777" w:rsidR="00A67F21" w:rsidRPr="00B12FE0" w:rsidRDefault="00000000">
      <w:pPr>
        <w:tabs>
          <w:tab w:val="left" w:pos="2535"/>
        </w:tabs>
        <w:adjustRightInd w:val="0"/>
        <w:spacing w:line="360" w:lineRule="auto"/>
        <w:ind w:firstLine="480"/>
        <w:rPr>
          <w:color w:val="000000" w:themeColor="text1"/>
        </w:rPr>
      </w:pPr>
      <w:r w:rsidRPr="00B12FE0">
        <w:rPr>
          <w:rFonts w:hint="eastAsia"/>
          <w:color w:val="000000" w:themeColor="text1"/>
        </w:rPr>
        <w:t>（</w:t>
      </w:r>
      <w:r w:rsidRPr="00B12FE0">
        <w:rPr>
          <w:rFonts w:hint="eastAsia"/>
          <w:color w:val="000000" w:themeColor="text1"/>
        </w:rPr>
        <w:t>1</w:t>
      </w:r>
      <w:r w:rsidRPr="00B12FE0">
        <w:rPr>
          <w:rFonts w:hint="eastAsia"/>
          <w:color w:val="000000" w:themeColor="text1"/>
        </w:rPr>
        <w:t>）直线加速器</w:t>
      </w:r>
    </w:p>
    <w:p w14:paraId="563372AC" w14:textId="77777777" w:rsidR="00A67F21" w:rsidRPr="00B12FE0" w:rsidRDefault="00000000">
      <w:pPr>
        <w:adjustRightInd w:val="0"/>
        <w:spacing w:line="360" w:lineRule="auto"/>
        <w:ind w:firstLineChars="200" w:firstLine="480"/>
        <w:rPr>
          <w:color w:val="000000" w:themeColor="text1"/>
        </w:rPr>
      </w:pPr>
      <w:r w:rsidRPr="00B12FE0">
        <w:rPr>
          <w:rFonts w:hint="eastAsia"/>
          <w:color w:val="000000" w:themeColor="text1"/>
        </w:rPr>
        <w:t>①</w:t>
      </w:r>
      <w:r w:rsidRPr="00B12FE0">
        <w:rPr>
          <w:color w:val="000000" w:themeColor="text1"/>
        </w:rPr>
        <w:t>废气</w:t>
      </w:r>
    </w:p>
    <w:p w14:paraId="0EC31D22" w14:textId="77777777" w:rsidR="00A67F21" w:rsidRPr="00B12FE0" w:rsidRDefault="00000000">
      <w:pPr>
        <w:autoSpaceDE w:val="0"/>
        <w:autoSpaceDN w:val="0"/>
        <w:adjustRightInd w:val="0"/>
        <w:snapToGrid w:val="0"/>
        <w:spacing w:line="360" w:lineRule="auto"/>
        <w:ind w:firstLineChars="200" w:firstLine="480"/>
        <w:rPr>
          <w:color w:val="000000" w:themeColor="text1"/>
          <w:kern w:val="0"/>
        </w:rPr>
      </w:pPr>
      <w:r w:rsidRPr="00B12FE0">
        <w:rPr>
          <w:color w:val="000000" w:themeColor="text1"/>
        </w:rPr>
        <w:t>本项目加速器</w:t>
      </w:r>
      <w:r w:rsidRPr="00B12FE0">
        <w:rPr>
          <w:rFonts w:hint="eastAsia"/>
          <w:color w:val="000000" w:themeColor="text1"/>
        </w:rPr>
        <w:t>和后装机</w:t>
      </w:r>
      <w:r w:rsidRPr="00B12FE0">
        <w:rPr>
          <w:color w:val="000000" w:themeColor="text1"/>
        </w:rPr>
        <w:t>运行</w:t>
      </w:r>
      <w:r w:rsidRPr="00B12FE0">
        <w:rPr>
          <w:rFonts w:hint="eastAsia"/>
          <w:color w:val="000000" w:themeColor="text1"/>
        </w:rPr>
        <w:t>时，</w:t>
      </w:r>
      <w:r w:rsidRPr="00B12FE0">
        <w:rPr>
          <w:color w:val="000000" w:themeColor="text1"/>
        </w:rPr>
        <w:t>射线会与空气发生电离作用，产生臭氧和氮氧化物等有害气体</w:t>
      </w:r>
      <w:r w:rsidRPr="00B12FE0">
        <w:rPr>
          <w:rFonts w:hint="eastAsia"/>
          <w:color w:val="000000" w:themeColor="text1"/>
        </w:rPr>
        <w:t>。</w:t>
      </w:r>
      <w:r w:rsidRPr="00B12FE0">
        <w:rPr>
          <w:rFonts w:cs="宋体" w:hint="eastAsia"/>
          <w:color w:val="000000" w:themeColor="text1"/>
          <w:kern w:val="0"/>
        </w:rPr>
        <w:t>本项目每间加速器治疗室</w:t>
      </w:r>
      <w:r w:rsidRPr="00B12FE0">
        <w:rPr>
          <w:rFonts w:cs="宋体"/>
          <w:color w:val="000000" w:themeColor="text1"/>
        </w:rPr>
        <w:t>拟安装有效通风量不小于</w:t>
      </w:r>
      <w:r w:rsidRPr="00B12FE0">
        <w:rPr>
          <w:rFonts w:cs="宋体" w:hint="eastAsia"/>
          <w:color w:val="000000" w:themeColor="text1"/>
        </w:rPr>
        <w:t>4000</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/h</w:t>
      </w:r>
      <w:r w:rsidRPr="00B12FE0">
        <w:rPr>
          <w:rFonts w:cs="宋体"/>
          <w:color w:val="000000" w:themeColor="text1"/>
        </w:rPr>
        <w:t>的风机进行通风</w:t>
      </w:r>
      <w:r w:rsidRPr="00B12FE0">
        <w:rPr>
          <w:rFonts w:cs="宋体" w:hint="eastAsia"/>
          <w:color w:val="000000" w:themeColor="text1"/>
        </w:rPr>
        <w:t>，加速器机房有效容积约</w:t>
      </w:r>
      <w:r w:rsidRPr="00B12FE0">
        <w:rPr>
          <w:rFonts w:cs="宋体" w:hint="eastAsia"/>
          <w:color w:val="000000" w:themeColor="text1"/>
        </w:rPr>
        <w:t>579m</w:t>
      </w:r>
      <w:r w:rsidRPr="00B12FE0">
        <w:rPr>
          <w:rFonts w:cs="宋体" w:hint="eastAsia"/>
          <w:color w:val="000000" w:themeColor="text1"/>
          <w:vertAlign w:val="superscript"/>
        </w:rPr>
        <w:t>3</w:t>
      </w:r>
      <w:r w:rsidRPr="00B12FE0">
        <w:rPr>
          <w:rFonts w:cs="宋体" w:hint="eastAsia"/>
          <w:color w:val="000000" w:themeColor="text1"/>
        </w:rPr>
        <w:t>，</w:t>
      </w:r>
      <w:r w:rsidRPr="00B12FE0">
        <w:rPr>
          <w:rFonts w:cs="宋体"/>
          <w:color w:val="000000" w:themeColor="text1"/>
        </w:rPr>
        <w:t>通风换气次数不小于</w:t>
      </w:r>
      <w:r w:rsidRPr="00B12FE0">
        <w:rPr>
          <w:rFonts w:cs="宋体" w:hint="eastAsia"/>
          <w:color w:val="000000" w:themeColor="text1"/>
        </w:rPr>
        <w:t>6</w:t>
      </w:r>
      <w:r w:rsidRPr="00B12FE0">
        <w:rPr>
          <w:rFonts w:cs="宋体"/>
          <w:color w:val="000000" w:themeColor="text1"/>
        </w:rPr>
        <w:t>次</w:t>
      </w:r>
      <w:r w:rsidRPr="00B12FE0">
        <w:rPr>
          <w:rFonts w:cs="宋体"/>
          <w:color w:val="000000" w:themeColor="text1"/>
        </w:rPr>
        <w:t>/h</w:t>
      </w:r>
      <w:r w:rsidRPr="00B12FE0">
        <w:rPr>
          <w:color w:val="000000" w:themeColor="text1"/>
          <w:kern w:val="0"/>
        </w:rPr>
        <w:t>；</w:t>
      </w:r>
      <w:r w:rsidRPr="00B12FE0">
        <w:rPr>
          <w:rFonts w:cs="宋体" w:hint="eastAsia"/>
          <w:color w:val="000000" w:themeColor="text1"/>
          <w:kern w:val="0"/>
        </w:rPr>
        <w:t>本项目后装机房治疗室</w:t>
      </w:r>
      <w:r w:rsidRPr="00B12FE0">
        <w:rPr>
          <w:rFonts w:cs="宋体"/>
          <w:color w:val="000000" w:themeColor="text1"/>
        </w:rPr>
        <w:t>拟安装有效通风量不小于</w:t>
      </w:r>
      <w:r w:rsidRPr="00B12FE0">
        <w:rPr>
          <w:rFonts w:cs="宋体" w:hint="eastAsia"/>
          <w:color w:val="000000" w:themeColor="text1"/>
        </w:rPr>
        <w:t>20</w:t>
      </w:r>
      <w:r w:rsidRPr="00B12FE0">
        <w:rPr>
          <w:rFonts w:cs="宋体"/>
          <w:color w:val="000000" w:themeColor="text1"/>
        </w:rPr>
        <w:t>0</w:t>
      </w:r>
      <w:r w:rsidRPr="00B12FE0">
        <w:rPr>
          <w:rFonts w:cs="宋体" w:hint="eastAsia"/>
          <w:color w:val="000000" w:themeColor="text1"/>
        </w:rPr>
        <w:t>0</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/h</w:t>
      </w:r>
      <w:r w:rsidRPr="00B12FE0">
        <w:rPr>
          <w:rFonts w:cs="宋体"/>
          <w:color w:val="000000" w:themeColor="text1"/>
        </w:rPr>
        <w:t>的风机进行通风</w:t>
      </w:r>
      <w:r w:rsidRPr="00B12FE0">
        <w:rPr>
          <w:rFonts w:cs="宋体" w:hint="eastAsia"/>
          <w:color w:val="000000" w:themeColor="text1"/>
        </w:rPr>
        <w:t>，后装机房有效容积约</w:t>
      </w:r>
      <w:r w:rsidRPr="00B12FE0">
        <w:rPr>
          <w:rFonts w:cs="宋体" w:hint="eastAsia"/>
          <w:color w:val="000000" w:themeColor="text1"/>
        </w:rPr>
        <w:t>443m</w:t>
      </w:r>
      <w:r w:rsidRPr="00B12FE0">
        <w:rPr>
          <w:rFonts w:cs="宋体" w:hint="eastAsia"/>
          <w:color w:val="000000" w:themeColor="text1"/>
          <w:vertAlign w:val="superscript"/>
        </w:rPr>
        <w:t>3</w:t>
      </w:r>
      <w:r w:rsidRPr="00B12FE0">
        <w:rPr>
          <w:rFonts w:cs="宋体" w:hint="eastAsia"/>
          <w:color w:val="000000" w:themeColor="text1"/>
        </w:rPr>
        <w:t>，</w:t>
      </w:r>
      <w:r w:rsidRPr="00B12FE0">
        <w:rPr>
          <w:rFonts w:cs="宋体"/>
          <w:color w:val="000000" w:themeColor="text1"/>
        </w:rPr>
        <w:t>通风换气次数不小于</w:t>
      </w:r>
      <w:r w:rsidRPr="00B12FE0">
        <w:rPr>
          <w:rFonts w:cs="宋体" w:hint="eastAsia"/>
          <w:color w:val="000000" w:themeColor="text1"/>
        </w:rPr>
        <w:t>9</w:t>
      </w:r>
      <w:r w:rsidRPr="00B12FE0">
        <w:rPr>
          <w:rFonts w:cs="宋体"/>
          <w:color w:val="000000" w:themeColor="text1"/>
        </w:rPr>
        <w:t>次</w:t>
      </w:r>
      <w:r w:rsidRPr="00B12FE0">
        <w:rPr>
          <w:rFonts w:cs="宋体"/>
          <w:color w:val="000000" w:themeColor="text1"/>
        </w:rPr>
        <w:t>/h</w:t>
      </w:r>
      <w:r w:rsidRPr="00B12FE0">
        <w:rPr>
          <w:color w:val="000000" w:themeColor="text1"/>
          <w:kern w:val="0"/>
        </w:rPr>
        <w:t>。</w:t>
      </w:r>
    </w:p>
    <w:p w14:paraId="6E41635C" w14:textId="77777777" w:rsidR="00A67F21" w:rsidRPr="00B12FE0" w:rsidRDefault="00000000">
      <w:pPr>
        <w:autoSpaceDE w:val="0"/>
        <w:autoSpaceDN w:val="0"/>
        <w:adjustRightInd w:val="0"/>
        <w:snapToGrid w:val="0"/>
        <w:spacing w:line="360" w:lineRule="auto"/>
        <w:ind w:firstLineChars="200" w:firstLine="480"/>
        <w:rPr>
          <w:bCs/>
          <w:snapToGrid w:val="0"/>
          <w:color w:val="000000" w:themeColor="text1"/>
          <w:szCs w:val="24"/>
        </w:rPr>
      </w:pPr>
      <w:r w:rsidRPr="00B12FE0">
        <w:rPr>
          <w:rFonts w:hint="eastAsia"/>
          <w:color w:val="000000" w:themeColor="text1"/>
        </w:rPr>
        <w:t>放疗</w:t>
      </w:r>
      <w:proofErr w:type="gramStart"/>
      <w:r w:rsidRPr="00B12FE0">
        <w:rPr>
          <w:rFonts w:hint="eastAsia"/>
          <w:color w:val="000000" w:themeColor="text1"/>
        </w:rPr>
        <w:t>科</w:t>
      </w:r>
      <w:r w:rsidRPr="00B12FE0">
        <w:rPr>
          <w:color w:val="000000" w:themeColor="text1"/>
        </w:rPr>
        <w:t>产生</w:t>
      </w:r>
      <w:proofErr w:type="gramEnd"/>
      <w:r w:rsidRPr="00B12FE0">
        <w:rPr>
          <w:color w:val="000000" w:themeColor="text1"/>
        </w:rPr>
        <w:t>的</w:t>
      </w:r>
      <w:r w:rsidRPr="00B12FE0">
        <w:rPr>
          <w:rFonts w:hint="eastAsia"/>
          <w:bCs/>
          <w:snapToGrid w:val="0"/>
          <w:color w:val="000000" w:themeColor="text1"/>
          <w:szCs w:val="24"/>
        </w:rPr>
        <w:t>废气经由单独密闭管道排至肿瘤治疗中心楼顶。</w:t>
      </w:r>
    </w:p>
    <w:p w14:paraId="5D8DC199" w14:textId="77777777" w:rsidR="00A67F21" w:rsidRPr="00B12FE0" w:rsidRDefault="00000000">
      <w:pPr>
        <w:autoSpaceDE w:val="0"/>
        <w:autoSpaceDN w:val="0"/>
        <w:adjustRightInd w:val="0"/>
        <w:snapToGrid w:val="0"/>
        <w:spacing w:line="360" w:lineRule="auto"/>
        <w:ind w:firstLineChars="200" w:firstLine="480"/>
        <w:rPr>
          <w:color w:val="000000" w:themeColor="text1"/>
        </w:rPr>
      </w:pPr>
      <w:r w:rsidRPr="00B12FE0">
        <w:rPr>
          <w:rFonts w:hint="eastAsia"/>
          <w:color w:val="000000" w:themeColor="text1"/>
          <w:szCs w:val="24"/>
        </w:rPr>
        <w:t>②</w:t>
      </w:r>
      <w:r w:rsidRPr="00B12FE0">
        <w:rPr>
          <w:color w:val="000000" w:themeColor="text1"/>
        </w:rPr>
        <w:t>固体废物</w:t>
      </w:r>
    </w:p>
    <w:p w14:paraId="2248EA1E"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直线加速器正常运行时，</w:t>
      </w:r>
      <w:proofErr w:type="gramStart"/>
      <w:r w:rsidRPr="00B12FE0">
        <w:rPr>
          <w:rFonts w:hint="eastAsia"/>
          <w:color w:val="000000" w:themeColor="text1"/>
        </w:rPr>
        <w:t>无废靶产生</w:t>
      </w:r>
      <w:proofErr w:type="gramEnd"/>
      <w:r w:rsidRPr="00B12FE0">
        <w:rPr>
          <w:rFonts w:hint="eastAsia"/>
          <w:color w:val="000000" w:themeColor="text1"/>
        </w:rPr>
        <w:t>。在</w:t>
      </w:r>
      <w:proofErr w:type="gramStart"/>
      <w:r w:rsidRPr="00B12FE0">
        <w:rPr>
          <w:rFonts w:hint="eastAsia"/>
          <w:color w:val="000000" w:themeColor="text1"/>
        </w:rPr>
        <w:t>直线加速器靶件损坏</w:t>
      </w:r>
      <w:proofErr w:type="gramEnd"/>
      <w:r w:rsidRPr="00B12FE0">
        <w:rPr>
          <w:rFonts w:hint="eastAsia"/>
          <w:color w:val="000000" w:themeColor="text1"/>
        </w:rPr>
        <w:t>或报废退役时，会有</w:t>
      </w:r>
      <w:proofErr w:type="gramStart"/>
      <w:r w:rsidRPr="00B12FE0">
        <w:rPr>
          <w:rFonts w:hint="eastAsia"/>
          <w:color w:val="000000" w:themeColor="text1"/>
        </w:rPr>
        <w:t>活化废靶</w:t>
      </w:r>
      <w:r w:rsidRPr="00B12FE0">
        <w:rPr>
          <w:bCs/>
          <w:color w:val="000000" w:themeColor="text1"/>
          <w:kern w:val="10"/>
        </w:rPr>
        <w:t>产生</w:t>
      </w:r>
      <w:proofErr w:type="gramEnd"/>
      <w:r w:rsidRPr="00B12FE0">
        <w:rPr>
          <w:rFonts w:hint="eastAsia"/>
          <w:bCs/>
          <w:color w:val="000000" w:themeColor="text1"/>
          <w:kern w:val="10"/>
        </w:rPr>
        <w:t>。</w:t>
      </w:r>
      <w:proofErr w:type="gramStart"/>
      <w:r w:rsidRPr="00B12FE0">
        <w:rPr>
          <w:rFonts w:hint="eastAsia"/>
          <w:color w:val="000000" w:themeColor="text1"/>
        </w:rPr>
        <w:t>废靶由</w:t>
      </w:r>
      <w:proofErr w:type="gramEnd"/>
      <w:r w:rsidRPr="00B12FE0">
        <w:rPr>
          <w:rFonts w:hint="eastAsia"/>
          <w:color w:val="000000" w:themeColor="text1"/>
        </w:rPr>
        <w:t>设备厂家回收最终送交有资质的单位回收处置，医院不暂存。</w:t>
      </w:r>
    </w:p>
    <w:p w14:paraId="624A4B13"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szCs w:val="32"/>
        </w:rPr>
        <w:lastRenderedPageBreak/>
        <w:t>后装机</w:t>
      </w:r>
      <w:r w:rsidRPr="00B12FE0">
        <w:rPr>
          <w:rFonts w:cs="宋体"/>
          <w:color w:val="000000" w:themeColor="text1"/>
        </w:rPr>
        <w:t>更换的废</w:t>
      </w:r>
      <w:r w:rsidRPr="00B12FE0">
        <w:rPr>
          <w:rFonts w:cs="宋体"/>
          <w:color w:val="000000" w:themeColor="text1"/>
          <w:vertAlign w:val="superscript"/>
        </w:rPr>
        <w:t>192</w:t>
      </w:r>
      <w:r w:rsidRPr="00B12FE0">
        <w:rPr>
          <w:rFonts w:cs="宋体"/>
          <w:color w:val="000000" w:themeColor="text1"/>
        </w:rPr>
        <w:t>Ir</w:t>
      </w:r>
      <w:r w:rsidRPr="00B12FE0">
        <w:rPr>
          <w:rFonts w:cs="宋体"/>
          <w:color w:val="000000" w:themeColor="text1"/>
        </w:rPr>
        <w:t>放射源</w:t>
      </w:r>
      <w:r w:rsidRPr="00B12FE0">
        <w:rPr>
          <w:rFonts w:cs="宋体" w:hint="eastAsia"/>
          <w:color w:val="000000" w:themeColor="text1"/>
        </w:rPr>
        <w:t>应当按照废旧放射源返回合同规定，将废旧放射源交回生产单位或者返回原出口方</w:t>
      </w:r>
      <w:r w:rsidRPr="00B12FE0">
        <w:rPr>
          <w:rFonts w:cs="宋体"/>
          <w:color w:val="000000" w:themeColor="text1"/>
        </w:rPr>
        <w:t>；若确实不能返回的，则交城市放射性废物库。</w:t>
      </w:r>
    </w:p>
    <w:p w14:paraId="572F115C"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rPr>
        <w:t>后装机配套使用</w:t>
      </w:r>
      <w:r w:rsidRPr="00B12FE0">
        <w:rPr>
          <w:rFonts w:cs="宋体" w:hint="eastAsia"/>
          <w:color w:val="000000" w:themeColor="text1"/>
        </w:rPr>
        <w:t>UPS</w:t>
      </w:r>
      <w:r w:rsidRPr="00B12FE0">
        <w:rPr>
          <w:rFonts w:cs="宋体" w:hint="eastAsia"/>
          <w:color w:val="000000" w:themeColor="text1"/>
        </w:rPr>
        <w:t>电源，该</w:t>
      </w:r>
      <w:r w:rsidRPr="00B12FE0">
        <w:rPr>
          <w:rFonts w:cs="宋体" w:hint="eastAsia"/>
          <w:color w:val="000000" w:themeColor="text1"/>
        </w:rPr>
        <w:t>UPS</w:t>
      </w:r>
      <w:r w:rsidRPr="00B12FE0">
        <w:rPr>
          <w:rFonts w:cs="宋体" w:hint="eastAsia"/>
          <w:color w:val="000000" w:themeColor="text1"/>
        </w:rPr>
        <w:t>电源采用铅蓄电池供电，根据《国家危险废物名录》（</w:t>
      </w:r>
      <w:r w:rsidRPr="00B12FE0">
        <w:rPr>
          <w:rFonts w:cs="宋体" w:hint="eastAsia"/>
          <w:color w:val="000000" w:themeColor="text1"/>
        </w:rPr>
        <w:t>2025</w:t>
      </w:r>
      <w:r w:rsidRPr="00B12FE0">
        <w:rPr>
          <w:rFonts w:cs="宋体" w:hint="eastAsia"/>
          <w:color w:val="000000" w:themeColor="text1"/>
        </w:rPr>
        <w:t>年版），废铅蓄电池属于危险废物（废物代码：</w:t>
      </w:r>
      <w:r w:rsidRPr="00B12FE0">
        <w:rPr>
          <w:rFonts w:cs="宋体" w:hint="eastAsia"/>
          <w:color w:val="000000" w:themeColor="text1"/>
        </w:rPr>
        <w:t>HW31 900-052-31</w:t>
      </w:r>
      <w:r w:rsidRPr="00B12FE0">
        <w:rPr>
          <w:rFonts w:cs="宋体" w:hint="eastAsia"/>
          <w:color w:val="000000" w:themeColor="text1"/>
        </w:rPr>
        <w:t>），其更换周期约</w:t>
      </w:r>
      <w:r w:rsidRPr="00B12FE0">
        <w:rPr>
          <w:rFonts w:cs="宋体" w:hint="eastAsia"/>
          <w:color w:val="000000" w:themeColor="text1"/>
        </w:rPr>
        <w:t>5</w:t>
      </w:r>
      <w:r w:rsidRPr="00B12FE0">
        <w:rPr>
          <w:rFonts w:cs="宋体" w:hint="eastAsia"/>
          <w:color w:val="000000" w:themeColor="text1"/>
        </w:rPr>
        <w:t>年</w:t>
      </w:r>
      <w:r w:rsidRPr="00B12FE0">
        <w:rPr>
          <w:rFonts w:cs="宋体" w:hint="eastAsia"/>
          <w:color w:val="000000" w:themeColor="text1"/>
        </w:rPr>
        <w:t>/</w:t>
      </w:r>
      <w:r w:rsidRPr="00B12FE0">
        <w:rPr>
          <w:rFonts w:cs="宋体" w:hint="eastAsia"/>
          <w:color w:val="000000" w:themeColor="text1"/>
        </w:rPr>
        <w:t>次，更换下的</w:t>
      </w:r>
      <w:r w:rsidRPr="00B12FE0">
        <w:rPr>
          <w:rFonts w:cs="宋体" w:hint="eastAsia"/>
          <w:color w:val="000000" w:themeColor="text1"/>
        </w:rPr>
        <w:t>UPS</w:t>
      </w:r>
      <w:r w:rsidRPr="00B12FE0">
        <w:rPr>
          <w:rFonts w:cs="宋体" w:hint="eastAsia"/>
          <w:color w:val="000000" w:themeColor="text1"/>
        </w:rPr>
        <w:t>电源交由有资质单位处置。</w:t>
      </w:r>
    </w:p>
    <w:p w14:paraId="43B9E11F" w14:textId="77777777" w:rsidR="00A67F21" w:rsidRPr="00B12FE0" w:rsidRDefault="00000000">
      <w:pPr>
        <w:tabs>
          <w:tab w:val="left" w:pos="2535"/>
        </w:tabs>
        <w:adjustRightInd w:val="0"/>
        <w:spacing w:line="360" w:lineRule="auto"/>
        <w:outlineLvl w:val="2"/>
        <w:rPr>
          <w:b/>
          <w:bCs/>
          <w:color w:val="000000" w:themeColor="text1"/>
          <w:szCs w:val="24"/>
        </w:rPr>
      </w:pPr>
      <w:r w:rsidRPr="00B12FE0">
        <w:rPr>
          <w:b/>
          <w:bCs/>
          <w:color w:val="000000" w:themeColor="text1"/>
          <w:szCs w:val="24"/>
        </w:rPr>
        <w:t>10.2.</w:t>
      </w:r>
      <w:r w:rsidRPr="00B12FE0">
        <w:rPr>
          <w:rFonts w:hint="eastAsia"/>
          <w:b/>
          <w:bCs/>
          <w:color w:val="000000" w:themeColor="text1"/>
          <w:szCs w:val="24"/>
        </w:rPr>
        <w:t>3</w:t>
      </w:r>
      <w:r w:rsidRPr="00B12FE0">
        <w:rPr>
          <w:rFonts w:hint="eastAsia"/>
          <w:b/>
          <w:bCs/>
          <w:color w:val="000000" w:themeColor="text1"/>
          <w:szCs w:val="24"/>
        </w:rPr>
        <w:t>服务期满后的环境保护措施</w:t>
      </w:r>
    </w:p>
    <w:p w14:paraId="4CFE2EEA" w14:textId="77777777" w:rsidR="00A67F21" w:rsidRPr="00B12FE0" w:rsidRDefault="00000000">
      <w:pPr>
        <w:pStyle w:val="TableParagraph"/>
        <w:autoSpaceDE/>
        <w:autoSpaceDN/>
        <w:snapToGrid w:val="0"/>
        <w:spacing w:line="360" w:lineRule="auto"/>
        <w:ind w:firstLineChars="200" w:firstLine="482"/>
        <w:jc w:val="both"/>
        <w:rPr>
          <w:b/>
          <w:bCs/>
          <w:color w:val="000000" w:themeColor="text1"/>
        </w:rPr>
      </w:pPr>
      <w:r w:rsidRPr="00B12FE0">
        <w:rPr>
          <w:rFonts w:hint="eastAsia"/>
          <w:b/>
          <w:bCs/>
          <w:color w:val="000000" w:themeColor="text1"/>
        </w:rPr>
        <w:t>（</w:t>
      </w:r>
      <w:r w:rsidRPr="00B12FE0">
        <w:rPr>
          <w:rFonts w:hint="eastAsia"/>
          <w:b/>
          <w:bCs/>
          <w:color w:val="000000" w:themeColor="text1"/>
        </w:rPr>
        <w:t>1</w:t>
      </w:r>
      <w:r w:rsidRPr="00B12FE0">
        <w:rPr>
          <w:rFonts w:hint="eastAsia"/>
          <w:b/>
          <w:bCs/>
          <w:color w:val="000000" w:themeColor="text1"/>
        </w:rPr>
        <w:t>）射线装置服务期满后的环境保护措施</w:t>
      </w:r>
    </w:p>
    <w:p w14:paraId="4E5A99E1" w14:textId="77777777" w:rsidR="00A67F21" w:rsidRPr="00B12FE0" w:rsidRDefault="00000000">
      <w:pPr>
        <w:pStyle w:val="TableParagraph"/>
        <w:autoSpaceDE/>
        <w:autoSpaceDN/>
        <w:snapToGrid w:val="0"/>
        <w:spacing w:line="360" w:lineRule="auto"/>
        <w:ind w:firstLineChars="200" w:firstLine="480"/>
        <w:jc w:val="both"/>
        <w:rPr>
          <w:color w:val="000000" w:themeColor="text1"/>
        </w:rPr>
      </w:pPr>
      <w:r w:rsidRPr="00B12FE0">
        <w:rPr>
          <w:rFonts w:hint="eastAsia"/>
          <w:color w:val="000000" w:themeColor="text1"/>
        </w:rPr>
        <w:t>本</w:t>
      </w:r>
      <w:r w:rsidRPr="00B12FE0">
        <w:rPr>
          <w:color w:val="000000" w:themeColor="text1"/>
        </w:rPr>
        <w:t>项目放疗</w:t>
      </w:r>
      <w:proofErr w:type="gramStart"/>
      <w:r w:rsidRPr="00B12FE0">
        <w:rPr>
          <w:color w:val="000000" w:themeColor="text1"/>
        </w:rPr>
        <w:t>科涉及</w:t>
      </w:r>
      <w:proofErr w:type="gramEnd"/>
      <w:r w:rsidRPr="00B12FE0">
        <w:rPr>
          <w:color w:val="000000" w:themeColor="text1"/>
        </w:rPr>
        <w:t>使用</w:t>
      </w:r>
      <w:r w:rsidRPr="00B12FE0">
        <w:rPr>
          <w:color w:val="000000" w:themeColor="text1"/>
        </w:rPr>
        <w:t>2</w:t>
      </w:r>
      <w:r w:rsidRPr="00B12FE0">
        <w:rPr>
          <w:color w:val="000000" w:themeColor="text1"/>
        </w:rPr>
        <w:t>台医用电子直线加速器（最大</w:t>
      </w:r>
      <w:r w:rsidRPr="00B12FE0">
        <w:rPr>
          <w:color w:val="000000" w:themeColor="text1"/>
        </w:rPr>
        <w:t>X</w:t>
      </w:r>
      <w:r w:rsidRPr="00B12FE0">
        <w:rPr>
          <w:color w:val="000000" w:themeColor="text1"/>
        </w:rPr>
        <w:t>射线：</w:t>
      </w:r>
      <w:r w:rsidRPr="00B12FE0">
        <w:rPr>
          <w:color w:val="000000" w:themeColor="text1"/>
        </w:rPr>
        <w:t>15MV</w:t>
      </w:r>
      <w:r w:rsidRPr="00B12FE0">
        <w:rPr>
          <w:color w:val="000000" w:themeColor="text1"/>
        </w:rPr>
        <w:t>，电子线：</w:t>
      </w:r>
      <w:r w:rsidRPr="00B12FE0">
        <w:rPr>
          <w:color w:val="000000" w:themeColor="text1"/>
        </w:rPr>
        <w:t>22MeV</w:t>
      </w:r>
      <w:r w:rsidRPr="00B12FE0">
        <w:rPr>
          <w:color w:val="000000" w:themeColor="text1"/>
        </w:rPr>
        <w:t>，属于</w:t>
      </w:r>
      <w:r w:rsidRPr="00B12FE0">
        <w:rPr>
          <w:color w:val="000000" w:themeColor="text1"/>
        </w:rPr>
        <w:t>Ⅱ</w:t>
      </w:r>
      <w:r w:rsidRPr="00B12FE0">
        <w:rPr>
          <w:color w:val="000000" w:themeColor="text1"/>
        </w:rPr>
        <w:t>类射线装置）和</w:t>
      </w:r>
      <w:r w:rsidRPr="00B12FE0">
        <w:rPr>
          <w:color w:val="000000" w:themeColor="text1"/>
        </w:rPr>
        <w:t>1</w:t>
      </w:r>
      <w:r w:rsidRPr="00B12FE0">
        <w:rPr>
          <w:color w:val="000000" w:themeColor="text1"/>
        </w:rPr>
        <w:t>台模拟定位</w:t>
      </w:r>
      <w:r w:rsidRPr="00B12FE0">
        <w:rPr>
          <w:color w:val="000000" w:themeColor="text1"/>
        </w:rPr>
        <w:t>CT</w:t>
      </w:r>
      <w:r w:rsidRPr="00B12FE0">
        <w:rPr>
          <w:color w:val="000000" w:themeColor="text1"/>
        </w:rPr>
        <w:t>机（属于</w:t>
      </w:r>
      <w:r w:rsidRPr="00B12FE0">
        <w:rPr>
          <w:color w:val="000000" w:themeColor="text1"/>
        </w:rPr>
        <w:t>Ⅲ</w:t>
      </w:r>
      <w:r w:rsidRPr="00B12FE0">
        <w:rPr>
          <w:color w:val="000000" w:themeColor="text1"/>
        </w:rPr>
        <w:t>类射线装置）</w:t>
      </w:r>
      <w:r w:rsidRPr="00B12FE0">
        <w:rPr>
          <w:rFonts w:hint="eastAsia"/>
          <w:color w:val="000000" w:themeColor="text1"/>
        </w:rPr>
        <w:t>；核素制备场所涉及使用</w:t>
      </w:r>
      <w:r w:rsidRPr="00B12FE0">
        <w:rPr>
          <w:color w:val="000000" w:themeColor="text1"/>
        </w:rPr>
        <w:t>1</w:t>
      </w:r>
      <w:r w:rsidRPr="00B12FE0">
        <w:rPr>
          <w:color w:val="000000" w:themeColor="text1"/>
        </w:rPr>
        <w:t>台</w:t>
      </w:r>
      <w:r w:rsidRPr="00B12FE0">
        <w:rPr>
          <w:rFonts w:hint="eastAsia"/>
          <w:color w:val="000000" w:themeColor="text1"/>
        </w:rPr>
        <w:t>回旋加速器</w:t>
      </w:r>
      <w:r w:rsidRPr="00B12FE0">
        <w:rPr>
          <w:color w:val="000000" w:themeColor="text1"/>
        </w:rPr>
        <w:t>机（最大质子能量为</w:t>
      </w:r>
      <w:r w:rsidRPr="00B12FE0">
        <w:rPr>
          <w:color w:val="000000" w:themeColor="text1"/>
        </w:rPr>
        <w:t>10MeV</w:t>
      </w:r>
      <w:r w:rsidRPr="00B12FE0">
        <w:rPr>
          <w:color w:val="000000" w:themeColor="text1"/>
        </w:rPr>
        <w:t>，最大束流强度为</w:t>
      </w:r>
      <w:r w:rsidRPr="00B12FE0">
        <w:rPr>
          <w:color w:val="000000" w:themeColor="text1"/>
        </w:rPr>
        <w:t>100μA</w:t>
      </w:r>
      <w:r w:rsidRPr="00B12FE0">
        <w:rPr>
          <w:color w:val="000000" w:themeColor="text1"/>
        </w:rPr>
        <w:t>，属于</w:t>
      </w:r>
      <w:r w:rsidRPr="00B12FE0">
        <w:rPr>
          <w:rFonts w:hint="eastAsia"/>
          <w:color w:val="000000" w:themeColor="text1"/>
        </w:rPr>
        <w:t>II</w:t>
      </w:r>
      <w:r w:rsidRPr="00B12FE0">
        <w:rPr>
          <w:color w:val="000000" w:themeColor="text1"/>
        </w:rPr>
        <w:t>类射线装置），核医学</w:t>
      </w:r>
      <w:proofErr w:type="gramStart"/>
      <w:r w:rsidRPr="00B12FE0">
        <w:rPr>
          <w:color w:val="000000" w:themeColor="text1"/>
        </w:rPr>
        <w:t>科涉及</w:t>
      </w:r>
      <w:proofErr w:type="gramEnd"/>
      <w:r w:rsidRPr="00B12FE0">
        <w:rPr>
          <w:color w:val="000000" w:themeColor="text1"/>
        </w:rPr>
        <w:t>使用</w:t>
      </w:r>
      <w:r w:rsidRPr="00B12FE0">
        <w:rPr>
          <w:color w:val="000000" w:themeColor="text1"/>
        </w:rPr>
        <w:t>1</w:t>
      </w:r>
      <w:r w:rsidRPr="00B12FE0">
        <w:rPr>
          <w:color w:val="000000" w:themeColor="text1"/>
        </w:rPr>
        <w:t>台</w:t>
      </w:r>
      <w:r w:rsidRPr="00B12FE0">
        <w:rPr>
          <w:color w:val="000000" w:themeColor="text1"/>
        </w:rPr>
        <w:t>SPECT/CT</w:t>
      </w:r>
      <w:r w:rsidRPr="00B12FE0">
        <w:rPr>
          <w:color w:val="000000" w:themeColor="text1"/>
        </w:rPr>
        <w:t>和</w:t>
      </w:r>
      <w:r w:rsidRPr="00B12FE0">
        <w:rPr>
          <w:color w:val="000000" w:themeColor="text1"/>
        </w:rPr>
        <w:t>1</w:t>
      </w:r>
      <w:r w:rsidRPr="00B12FE0">
        <w:rPr>
          <w:color w:val="000000" w:themeColor="text1"/>
        </w:rPr>
        <w:t>台</w:t>
      </w:r>
      <w:r w:rsidRPr="00B12FE0">
        <w:rPr>
          <w:color w:val="000000" w:themeColor="text1"/>
        </w:rPr>
        <w:t>PET/CT</w:t>
      </w:r>
      <w:r w:rsidRPr="00B12FE0">
        <w:rPr>
          <w:color w:val="000000" w:themeColor="text1"/>
        </w:rPr>
        <w:t>（属于</w:t>
      </w:r>
      <w:r w:rsidRPr="00B12FE0">
        <w:rPr>
          <w:color w:val="000000" w:themeColor="text1"/>
        </w:rPr>
        <w:t>Ⅲ</w:t>
      </w:r>
      <w:r w:rsidRPr="00B12FE0">
        <w:rPr>
          <w:color w:val="000000" w:themeColor="text1"/>
        </w:rPr>
        <w:t>类射线装置）。</w:t>
      </w:r>
    </w:p>
    <w:p w14:paraId="04CE2289" w14:textId="77777777" w:rsidR="00A67F21" w:rsidRPr="00B12FE0" w:rsidRDefault="00000000">
      <w:pPr>
        <w:pStyle w:val="TableParagraph"/>
        <w:autoSpaceDE/>
        <w:autoSpaceDN/>
        <w:snapToGrid w:val="0"/>
        <w:spacing w:line="360" w:lineRule="auto"/>
        <w:ind w:firstLineChars="200" w:firstLine="480"/>
        <w:jc w:val="both"/>
        <w:rPr>
          <w:color w:val="000000" w:themeColor="text1"/>
        </w:rPr>
      </w:pPr>
      <w:r w:rsidRPr="00B12FE0">
        <w:rPr>
          <w:color w:val="000000" w:themeColor="text1"/>
        </w:rPr>
        <w:t>根据《建设项目环境影响评价分类管理名录》（</w:t>
      </w:r>
      <w:r w:rsidRPr="00B12FE0">
        <w:rPr>
          <w:color w:val="000000" w:themeColor="text1"/>
        </w:rPr>
        <w:t>2021</w:t>
      </w:r>
      <w:r w:rsidRPr="00B12FE0">
        <w:rPr>
          <w:color w:val="000000" w:themeColor="text1"/>
        </w:rPr>
        <w:t>年版）中</w:t>
      </w:r>
      <w:r w:rsidRPr="00B12FE0">
        <w:rPr>
          <w:color w:val="000000" w:themeColor="text1"/>
        </w:rPr>
        <w:t>“</w:t>
      </w:r>
      <w:r w:rsidRPr="00B12FE0">
        <w:rPr>
          <w:color w:val="000000" w:themeColor="text1"/>
        </w:rPr>
        <w:t>五十五、核与辐射</w:t>
      </w:r>
      <w:r w:rsidRPr="00B12FE0">
        <w:rPr>
          <w:color w:val="000000" w:themeColor="text1"/>
        </w:rPr>
        <w:t>”</w:t>
      </w:r>
      <w:r w:rsidRPr="00B12FE0">
        <w:rPr>
          <w:color w:val="000000" w:themeColor="text1"/>
        </w:rPr>
        <w:t>中</w:t>
      </w:r>
      <w:r w:rsidRPr="00B12FE0">
        <w:rPr>
          <w:color w:val="000000" w:themeColor="text1"/>
        </w:rPr>
        <w:t>“173</w:t>
      </w:r>
      <w:r w:rsidRPr="00B12FE0">
        <w:rPr>
          <w:color w:val="000000" w:themeColor="text1"/>
        </w:rPr>
        <w:t>、核技术利用项目退役</w:t>
      </w:r>
      <w:r w:rsidRPr="00B12FE0">
        <w:rPr>
          <w:color w:val="000000" w:themeColor="text1"/>
        </w:rPr>
        <w:t>—</w:t>
      </w:r>
      <w:r w:rsidRPr="00B12FE0">
        <w:rPr>
          <w:color w:val="000000" w:themeColor="text1"/>
        </w:rPr>
        <w:t>使用</w:t>
      </w:r>
      <w:r w:rsidRPr="00B12FE0">
        <w:rPr>
          <w:color w:val="000000" w:themeColor="text1"/>
        </w:rPr>
        <w:t>Ⅰ</w:t>
      </w:r>
      <w:r w:rsidRPr="00B12FE0">
        <w:rPr>
          <w:color w:val="000000" w:themeColor="text1"/>
        </w:rPr>
        <w:t>类、</w:t>
      </w:r>
      <w:r w:rsidRPr="00B12FE0">
        <w:rPr>
          <w:color w:val="000000" w:themeColor="text1"/>
        </w:rPr>
        <w:t>II</w:t>
      </w:r>
      <w:r w:rsidRPr="00B12FE0">
        <w:rPr>
          <w:color w:val="000000" w:themeColor="text1"/>
        </w:rPr>
        <w:t>类射线装置（</w:t>
      </w:r>
      <w:r w:rsidRPr="00B12FE0">
        <w:rPr>
          <w:color w:val="000000" w:themeColor="text1"/>
        </w:rPr>
        <w:t>X</w:t>
      </w:r>
      <w:r w:rsidRPr="00B12FE0">
        <w:rPr>
          <w:color w:val="000000" w:themeColor="text1"/>
        </w:rPr>
        <w:t>射线装置和粒子能量不高于</w:t>
      </w:r>
      <w:r w:rsidRPr="00B12FE0">
        <w:rPr>
          <w:color w:val="000000" w:themeColor="text1"/>
        </w:rPr>
        <w:t>10</w:t>
      </w:r>
      <w:proofErr w:type="gramStart"/>
      <w:r w:rsidRPr="00B12FE0">
        <w:rPr>
          <w:color w:val="000000" w:themeColor="text1"/>
        </w:rPr>
        <w:t>兆</w:t>
      </w:r>
      <w:proofErr w:type="gramEnd"/>
      <w:r w:rsidRPr="00B12FE0">
        <w:rPr>
          <w:color w:val="000000" w:themeColor="text1"/>
        </w:rPr>
        <w:t>电子伏的电子加速器除外）存在污染的</w:t>
      </w:r>
      <w:r w:rsidRPr="00B12FE0">
        <w:rPr>
          <w:color w:val="000000" w:themeColor="text1"/>
        </w:rPr>
        <w:t>”</w:t>
      </w:r>
      <w:r w:rsidRPr="00B12FE0">
        <w:rPr>
          <w:color w:val="000000" w:themeColor="text1"/>
        </w:rPr>
        <w:t>，应编制项目退役环境影响报告表，并取得生态环境主管部门审批后才能正式按照方案实施退役活动。</w:t>
      </w:r>
    </w:p>
    <w:p w14:paraId="730F946B" w14:textId="77777777" w:rsidR="00A67F21" w:rsidRPr="00B12FE0" w:rsidRDefault="00000000">
      <w:pPr>
        <w:pStyle w:val="TableParagraph"/>
        <w:autoSpaceDE/>
        <w:autoSpaceDN/>
        <w:snapToGrid w:val="0"/>
        <w:spacing w:line="360" w:lineRule="auto"/>
        <w:ind w:firstLineChars="200" w:firstLine="480"/>
        <w:jc w:val="both"/>
        <w:rPr>
          <w:color w:val="000000" w:themeColor="text1"/>
        </w:rPr>
      </w:pPr>
      <w:r w:rsidRPr="00B12FE0">
        <w:rPr>
          <w:rFonts w:hint="eastAsia"/>
          <w:color w:val="000000" w:themeColor="text1"/>
        </w:rPr>
        <w:t>本项目所使用</w:t>
      </w:r>
      <w:r w:rsidRPr="00B12FE0">
        <w:rPr>
          <w:color w:val="000000" w:themeColor="text1"/>
        </w:rPr>
        <w:t>医用电子直线加速器属于退役后能量高于</w:t>
      </w:r>
      <w:r w:rsidRPr="00B12FE0">
        <w:rPr>
          <w:color w:val="000000" w:themeColor="text1"/>
        </w:rPr>
        <w:t>10</w:t>
      </w:r>
      <w:proofErr w:type="gramStart"/>
      <w:r w:rsidRPr="00B12FE0">
        <w:rPr>
          <w:color w:val="000000" w:themeColor="text1"/>
        </w:rPr>
        <w:t>兆</w:t>
      </w:r>
      <w:proofErr w:type="gramEnd"/>
      <w:r w:rsidRPr="00B12FE0">
        <w:rPr>
          <w:color w:val="000000" w:themeColor="text1"/>
        </w:rPr>
        <w:t>电子伏的电子加速器</w:t>
      </w:r>
      <w:r w:rsidRPr="00B12FE0">
        <w:rPr>
          <w:rFonts w:hint="eastAsia"/>
          <w:color w:val="000000" w:themeColor="text1"/>
        </w:rPr>
        <w:t>且</w:t>
      </w:r>
      <w:r w:rsidRPr="00B12FE0">
        <w:rPr>
          <w:color w:val="000000" w:themeColor="text1"/>
        </w:rPr>
        <w:t>存在污染的</w:t>
      </w:r>
      <w:r w:rsidRPr="00B12FE0">
        <w:rPr>
          <w:color w:val="000000" w:themeColor="text1"/>
        </w:rPr>
        <w:t>II</w:t>
      </w:r>
      <w:r w:rsidRPr="00B12FE0">
        <w:rPr>
          <w:color w:val="000000" w:themeColor="text1"/>
        </w:rPr>
        <w:t>类射线装置，应编制项目退役环境影响报告表，并取得生态环境主管部门审批后才能正式按照方案实施退役活动。</w:t>
      </w:r>
    </w:p>
    <w:p w14:paraId="37BDC4FB" w14:textId="77777777" w:rsidR="00A67F21" w:rsidRPr="00B12FE0" w:rsidRDefault="00000000">
      <w:pPr>
        <w:pStyle w:val="TableParagraph"/>
        <w:autoSpaceDE/>
        <w:autoSpaceDN/>
        <w:snapToGrid w:val="0"/>
        <w:spacing w:line="360" w:lineRule="auto"/>
        <w:ind w:firstLineChars="200" w:firstLine="482"/>
        <w:jc w:val="both"/>
        <w:rPr>
          <w:b/>
          <w:color w:val="000000" w:themeColor="text1"/>
          <w:kern w:val="2"/>
        </w:rPr>
      </w:pPr>
      <w:r w:rsidRPr="00B12FE0">
        <w:rPr>
          <w:b/>
          <w:color w:val="000000" w:themeColor="text1"/>
          <w:kern w:val="2"/>
        </w:rPr>
        <w:t>（</w:t>
      </w:r>
      <w:r w:rsidRPr="00B12FE0">
        <w:rPr>
          <w:b/>
          <w:color w:val="000000" w:themeColor="text1"/>
          <w:kern w:val="2"/>
        </w:rPr>
        <w:t>2</w:t>
      </w:r>
      <w:r w:rsidRPr="00B12FE0">
        <w:rPr>
          <w:b/>
          <w:color w:val="000000" w:themeColor="text1"/>
          <w:kern w:val="2"/>
        </w:rPr>
        <w:t>）乙级非密封放射性物质工作场所使用放射源</w:t>
      </w:r>
      <w:r w:rsidRPr="00B12FE0">
        <w:rPr>
          <w:b/>
          <w:color w:val="000000" w:themeColor="text1"/>
        </w:rPr>
        <w:t>服务期满后的环境保护措施</w:t>
      </w:r>
    </w:p>
    <w:p w14:paraId="063AB19F" w14:textId="77777777" w:rsidR="00A67F21" w:rsidRPr="00B12FE0" w:rsidRDefault="00000000">
      <w:pPr>
        <w:widowControl/>
        <w:spacing w:line="360" w:lineRule="auto"/>
        <w:ind w:firstLineChars="200" w:firstLine="480"/>
        <w:rPr>
          <w:bCs/>
          <w:color w:val="000000" w:themeColor="text1"/>
          <w:szCs w:val="24"/>
        </w:rPr>
      </w:pPr>
      <w:r w:rsidRPr="00B12FE0">
        <w:rPr>
          <w:bCs/>
          <w:color w:val="000000" w:themeColor="text1"/>
          <w:szCs w:val="24"/>
        </w:rPr>
        <w:t>核医学工作场所拟新增使用</w:t>
      </w:r>
      <w:r w:rsidRPr="00B12FE0">
        <w:rPr>
          <w:bCs/>
          <w:color w:val="000000" w:themeColor="text1"/>
          <w:szCs w:val="24"/>
          <w:vertAlign w:val="superscript"/>
        </w:rPr>
        <w:t>99m</w:t>
      </w:r>
      <w:r w:rsidRPr="00B12FE0">
        <w:rPr>
          <w:bCs/>
          <w:color w:val="000000" w:themeColor="text1"/>
          <w:szCs w:val="24"/>
        </w:rPr>
        <w:t>Tc</w:t>
      </w:r>
      <w:r w:rsidRPr="00B12FE0">
        <w:rPr>
          <w:bCs/>
          <w:color w:val="000000" w:themeColor="text1"/>
          <w:szCs w:val="24"/>
        </w:rPr>
        <w:t>核素、</w:t>
      </w:r>
      <w:r w:rsidRPr="00B12FE0">
        <w:rPr>
          <w:bCs/>
          <w:color w:val="000000" w:themeColor="text1"/>
          <w:szCs w:val="24"/>
          <w:vertAlign w:val="superscript"/>
        </w:rPr>
        <w:t>18</w:t>
      </w:r>
      <w:r w:rsidRPr="00B12FE0">
        <w:rPr>
          <w:bCs/>
          <w:color w:val="000000" w:themeColor="text1"/>
          <w:szCs w:val="24"/>
        </w:rPr>
        <w:t>F</w:t>
      </w:r>
      <w:r w:rsidRPr="00B12FE0">
        <w:rPr>
          <w:bCs/>
          <w:color w:val="000000" w:themeColor="text1"/>
          <w:szCs w:val="24"/>
        </w:rPr>
        <w:t>核素、</w:t>
      </w:r>
      <w:r w:rsidRPr="00B12FE0">
        <w:rPr>
          <w:bCs/>
          <w:color w:val="000000" w:themeColor="text1"/>
          <w:szCs w:val="24"/>
          <w:vertAlign w:val="superscript"/>
        </w:rPr>
        <w:t>32</w:t>
      </w:r>
      <w:r w:rsidRPr="00B12FE0">
        <w:rPr>
          <w:bCs/>
          <w:color w:val="000000" w:themeColor="text1"/>
          <w:szCs w:val="24"/>
        </w:rPr>
        <w:t>P</w:t>
      </w:r>
      <w:r w:rsidRPr="00B12FE0">
        <w:rPr>
          <w:bCs/>
          <w:color w:val="000000" w:themeColor="text1"/>
          <w:szCs w:val="24"/>
        </w:rPr>
        <w:t>核素和</w:t>
      </w:r>
      <w:r w:rsidRPr="00B12FE0">
        <w:rPr>
          <w:bCs/>
          <w:color w:val="000000" w:themeColor="text1"/>
          <w:szCs w:val="24"/>
          <w:vertAlign w:val="superscript"/>
        </w:rPr>
        <w:t>131</w:t>
      </w:r>
      <w:r w:rsidRPr="00B12FE0">
        <w:rPr>
          <w:bCs/>
          <w:color w:val="000000" w:themeColor="text1"/>
          <w:szCs w:val="24"/>
        </w:rPr>
        <w:t>I</w:t>
      </w:r>
      <w:r w:rsidRPr="00B12FE0">
        <w:rPr>
          <w:bCs/>
          <w:color w:val="000000" w:themeColor="text1"/>
          <w:szCs w:val="24"/>
        </w:rPr>
        <w:t>核素</w:t>
      </w:r>
      <w:r w:rsidRPr="00B12FE0">
        <w:rPr>
          <w:color w:val="000000" w:themeColor="text1"/>
          <w:szCs w:val="24"/>
        </w:rPr>
        <w:t>后，</w:t>
      </w:r>
      <w:r w:rsidRPr="00B12FE0">
        <w:rPr>
          <w:bCs/>
          <w:color w:val="000000" w:themeColor="text1"/>
          <w:szCs w:val="24"/>
        </w:rPr>
        <w:t>为乙级非密封放射性物质工作场所。若核医学科退役，根据《建设项目环境影响评价分类管理名录》（</w:t>
      </w:r>
      <w:r w:rsidRPr="00B12FE0">
        <w:rPr>
          <w:bCs/>
          <w:color w:val="000000" w:themeColor="text1"/>
          <w:szCs w:val="24"/>
        </w:rPr>
        <w:t>2021</w:t>
      </w:r>
      <w:r w:rsidRPr="00B12FE0">
        <w:rPr>
          <w:bCs/>
          <w:color w:val="000000" w:themeColor="text1"/>
          <w:szCs w:val="24"/>
        </w:rPr>
        <w:t>年版）中</w:t>
      </w:r>
      <w:r w:rsidRPr="00B12FE0">
        <w:rPr>
          <w:bCs/>
          <w:color w:val="000000" w:themeColor="text1"/>
          <w:szCs w:val="24"/>
        </w:rPr>
        <w:t>“</w:t>
      </w:r>
      <w:r w:rsidRPr="00B12FE0">
        <w:rPr>
          <w:bCs/>
          <w:color w:val="000000" w:themeColor="text1"/>
          <w:szCs w:val="24"/>
        </w:rPr>
        <w:t>五十五、核与辐射</w:t>
      </w:r>
      <w:r w:rsidRPr="00B12FE0">
        <w:rPr>
          <w:bCs/>
          <w:color w:val="000000" w:themeColor="text1"/>
          <w:szCs w:val="24"/>
        </w:rPr>
        <w:t>”</w:t>
      </w:r>
      <w:r w:rsidRPr="00B12FE0">
        <w:rPr>
          <w:bCs/>
          <w:color w:val="000000" w:themeColor="text1"/>
          <w:szCs w:val="24"/>
        </w:rPr>
        <w:t>中</w:t>
      </w:r>
      <w:r w:rsidRPr="00B12FE0">
        <w:rPr>
          <w:bCs/>
          <w:color w:val="000000" w:themeColor="text1"/>
          <w:szCs w:val="24"/>
        </w:rPr>
        <w:t>“173</w:t>
      </w:r>
      <w:r w:rsidRPr="00B12FE0">
        <w:rPr>
          <w:bCs/>
          <w:color w:val="000000" w:themeColor="text1"/>
          <w:szCs w:val="24"/>
        </w:rPr>
        <w:t>、核技术利用项目退役</w:t>
      </w:r>
      <w:r w:rsidRPr="00B12FE0">
        <w:rPr>
          <w:bCs/>
          <w:color w:val="000000" w:themeColor="text1"/>
          <w:szCs w:val="24"/>
        </w:rPr>
        <w:t>—</w:t>
      </w:r>
      <w:r w:rsidRPr="00B12FE0">
        <w:rPr>
          <w:bCs/>
          <w:color w:val="000000" w:themeColor="text1"/>
          <w:szCs w:val="24"/>
        </w:rPr>
        <w:t>乙级非密封放射性物质工作场所</w:t>
      </w:r>
      <w:r w:rsidRPr="00B12FE0">
        <w:rPr>
          <w:bCs/>
          <w:color w:val="000000" w:themeColor="text1"/>
          <w:szCs w:val="24"/>
        </w:rPr>
        <w:t>”</w:t>
      </w:r>
      <w:r w:rsidRPr="00B12FE0">
        <w:rPr>
          <w:bCs/>
          <w:color w:val="000000" w:themeColor="text1"/>
          <w:szCs w:val="24"/>
        </w:rPr>
        <w:t>，应编制项目退役环境影响报告表，并取得生态环境主管部门审批后才能正式按照方案实施退役活动。</w:t>
      </w:r>
    </w:p>
    <w:p w14:paraId="14BCCB79" w14:textId="77777777" w:rsidR="00A67F21" w:rsidRPr="00B12FE0" w:rsidRDefault="00000000">
      <w:pPr>
        <w:pStyle w:val="TableParagraph"/>
        <w:autoSpaceDE/>
        <w:autoSpaceDN/>
        <w:snapToGrid w:val="0"/>
        <w:spacing w:line="360" w:lineRule="auto"/>
        <w:ind w:firstLineChars="200" w:firstLine="480"/>
        <w:jc w:val="both"/>
        <w:rPr>
          <w:bCs/>
          <w:color w:val="000000" w:themeColor="text1"/>
          <w:kern w:val="2"/>
        </w:rPr>
      </w:pPr>
      <w:r w:rsidRPr="00B12FE0">
        <w:rPr>
          <w:bCs/>
          <w:color w:val="000000" w:themeColor="text1"/>
          <w:kern w:val="2"/>
        </w:rPr>
        <w:t>因此，核医学科、医用电子直线加速器在退役过程中应首先进行污染源项调查，编制相应的退役方案、制定退役目标，首先安全、妥善处理放射性废物，对无法达到解控水平的设施、设备应组织开展去污处理工作，对无法去污的需进行集中收集衰变或交由有资质单位处理，确保放射性废物得到安全、妥善处理。</w:t>
      </w:r>
    </w:p>
    <w:p w14:paraId="29D6A8F7" w14:textId="77777777" w:rsidR="00A67F21" w:rsidRPr="00B12FE0" w:rsidRDefault="00000000">
      <w:pPr>
        <w:pStyle w:val="TableParagraph"/>
        <w:autoSpaceDE/>
        <w:autoSpaceDN/>
        <w:snapToGrid w:val="0"/>
        <w:spacing w:line="360" w:lineRule="auto"/>
        <w:ind w:firstLineChars="200" w:firstLine="480"/>
        <w:jc w:val="both"/>
        <w:rPr>
          <w:bCs/>
          <w:color w:val="000000" w:themeColor="text1"/>
          <w:kern w:val="2"/>
        </w:rPr>
        <w:sectPr w:rsidR="00A67F21" w:rsidRPr="00B12FE0">
          <w:pgSz w:w="11907" w:h="16840"/>
          <w:pgMar w:top="1440" w:right="1440" w:bottom="1440" w:left="1440" w:header="851" w:footer="850" w:gutter="0"/>
          <w:pgBorders w:display="notFirstPage">
            <w:top w:val="single" w:sz="4" w:space="1" w:color="auto"/>
            <w:left w:val="single" w:sz="4" w:space="4" w:color="auto"/>
            <w:bottom w:val="single" w:sz="4" w:space="1" w:color="auto"/>
            <w:right w:val="single" w:sz="4" w:space="4" w:color="auto"/>
          </w:pgBorders>
          <w:cols w:space="720"/>
          <w:docGrid w:linePitch="332"/>
        </w:sectPr>
      </w:pPr>
      <w:r w:rsidRPr="00B12FE0">
        <w:rPr>
          <w:bCs/>
          <w:color w:val="000000" w:themeColor="text1"/>
          <w:kern w:val="2"/>
        </w:rPr>
        <w:t>医院应做好退役实施期间的辐射安全防护等工作，实施退役工作人员应作为辐射</w:t>
      </w:r>
      <w:r w:rsidRPr="00B12FE0">
        <w:rPr>
          <w:bCs/>
          <w:color w:val="000000" w:themeColor="text1"/>
          <w:kern w:val="2"/>
        </w:rPr>
        <w:lastRenderedPageBreak/>
        <w:t>工作人员进行管理，并做好个人防护。退役工作完成后，医院应按照国家相关规定，委托有资质的技术机构</w:t>
      </w:r>
      <w:r w:rsidRPr="00B12FE0">
        <w:rPr>
          <w:bCs/>
          <w:color w:val="000000" w:themeColor="text1"/>
          <w:kern w:val="2"/>
        </w:rPr>
        <w:t>,</w:t>
      </w:r>
      <w:r w:rsidRPr="00B12FE0">
        <w:rPr>
          <w:bCs/>
          <w:color w:val="000000" w:themeColor="text1"/>
          <w:kern w:val="2"/>
        </w:rPr>
        <w:t>对去污处理后拟退役的场所进行终态验收监测，组织自主竣工环保验收，并按照相关法规规定完善退役环保手续。</w:t>
      </w:r>
    </w:p>
    <w:bookmarkStart w:id="21" w:name="_Toc12708"/>
    <w:p w14:paraId="2B1CD490" w14:textId="77777777" w:rsidR="00A67F21" w:rsidRPr="00B12FE0" w:rsidRDefault="00000000">
      <w:pPr>
        <w:spacing w:line="360" w:lineRule="auto"/>
        <w:outlineLvl w:val="0"/>
        <w:rPr>
          <w:b/>
          <w:color w:val="000000" w:themeColor="text1"/>
          <w:sz w:val="32"/>
          <w:szCs w:val="32"/>
        </w:rPr>
      </w:pPr>
      <w:r w:rsidRPr="00B12FE0">
        <w:rPr>
          <w:noProof/>
          <w:color w:val="000000" w:themeColor="text1"/>
          <w:sz w:val="32"/>
        </w:rPr>
        <w:lastRenderedPageBreak/>
        <mc:AlternateContent>
          <mc:Choice Requires="wps">
            <w:drawing>
              <wp:anchor distT="0" distB="0" distL="114300" distR="114300" simplePos="0" relativeHeight="251667456" behindDoc="0" locked="0" layoutInCell="1" allowOverlap="1" wp14:anchorId="1EFE40E5" wp14:editId="1B0C51A2">
                <wp:simplePos x="0" y="0"/>
                <wp:positionH relativeFrom="column">
                  <wp:posOffset>-11430</wp:posOffset>
                </wp:positionH>
                <wp:positionV relativeFrom="paragraph">
                  <wp:posOffset>386715</wp:posOffset>
                </wp:positionV>
                <wp:extent cx="5810250" cy="8435975"/>
                <wp:effectExtent l="4445" t="4445" r="14605" b="17780"/>
                <wp:wrapNone/>
                <wp:docPr id="98" name="矩形 98"/>
                <wp:cNvGraphicFramePr/>
                <a:graphic xmlns:a="http://schemas.openxmlformats.org/drawingml/2006/main">
                  <a:graphicData uri="http://schemas.microsoft.com/office/word/2010/wordprocessingShape">
                    <wps:wsp>
                      <wps:cNvSpPr/>
                      <wps:spPr>
                        <a:xfrm>
                          <a:off x="902970" y="1301115"/>
                          <a:ext cx="5810250" cy="8435975"/>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0.9pt;margin-top:30.45pt;height:664.25pt;width:457.5pt;z-index:251667456;v-text-anchor:middle;mso-width-relative:page;mso-height-relative:page;" filled="f" stroked="t" coordsize="21600,21600" o:gfxdata="UEsDBAoAAAAAAIdO4kAAAAAAAAAAAAAAAAAEAAAAZHJzL1BLAwQUAAAACACHTuJAlaGcM9gAAAAK&#10;AQAADwAAAGRycy9kb3ducmV2LnhtbE2PwW7CMBBE75X4B2uRuIGdUAFJ4yCBRNUTEtAPMPE2iRqv&#10;o9gB2q/v9tQeRzOaeVNsH64TNxxC60lDslAgkCpvW6o1vF8O8w2IEA1Z03lCDV8YYFtOngqTW3+n&#10;E97OsRZcQiE3GpoY+1zKUDXoTFj4Hom9Dz84E1kOtbSDuXO562Sq1Eo60xIvNKbHfYPV53l0Gtzx&#10;u7WXcY3H+OZf13aXuVNqtZ5NE/UCIuIj/oXhF5/RoWSmqx/JBtFpmCdMHjWsVAaC/SxZpiCuHFxu&#10;smeQZSH/Xyh/AFBLAwQUAAAACACHTuJAnTPYOGgCAADBBAAADgAAAGRycy9lMm9Eb2MueG1srVRL&#10;btswEN0X6B0I7htJ/iSxYTkwYqQoEDQG0qJrmqIsAfyVpC2nlynQXQ/R4xS9Rh8p5dO0iyzqBT3k&#10;PL7hvJnR4uKoJDkI51ujS1qc5JQIzU3V6l1JP364enNOiQ9MV0waLUp6Jzy9WL5+tejsXIxMY2Ql&#10;HAGJ9vPOlrQJwc6zzPNGKOZPjBUazto4xQK2bpdVjnVgVzIb5flp1hlXWWe48B6n695JB0b3EkJT&#10;1y0Xa8P3SujQszohWUBKvmmtp8v02roWPNzUtReByJIi05BWBIG9jWu2XLD5zjHbtHx4AnvJE57l&#10;pFirEfSBas0CI3vX/kWlWu6MN3U44UZlfSJJEWRR5M+0uW2YFSkXSO3tg+j+/9Hy94eNI21V0hnq&#10;rplCxX99/f7zxzeCA6jTWT8H6NZu3LDzMGOqx9qp+I8kyBH389HsDLLeoanGeVEU015ccQyEwz89&#10;L/LRFAAOxPlkPJ2dJUT2yGSdD2+FUSQaJXWoXhKVHa59QHRA7yExsDZXrZSpglKTrqSn48TP0JU1&#10;ugGhlEVmXu8oYXKHdufBJUZvZFvF25HHu932UjpyYLFJ0i8+HdH+gMXQa+abHpdcA0xqoKNQvTTR&#10;2prqDsI603ect/yqxf1r5sOGObQYhMAQhhsstTR4vBksShrjvvzrPOJReXgp6dCyyOzznjlBiXyn&#10;0ROzYjIBbUibyfRshI176tk+9ei9ujRIuMC4W57MiA/y3qydUZ8wq6sYFS6mOWL3Gg6by9CPEqad&#10;i9UqwdDXloVrfWt5JO8LtdoHU7epho/qDKKhs5PYwxTG0Xm6T6jHL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WhnDPYAAAACgEAAA8AAAAAAAAAAQAgAAAAIgAAAGRycy9kb3ducmV2LnhtbFBL&#10;AQIUABQAAAAIAIdO4kCdM9g4aAIAAMEEAAAOAAAAAAAAAAEAIAAAACcBAABkcnMvZTJvRG9jLnht&#10;bFBLBQYAAAAABgAGAFkBAAABBgAAAAA=&#10;">
                <v:fill on="f" focussize="0,0"/>
                <v:stroke weight="0.5pt" color="#000000 [3213]" joinstyle="round"/>
                <v:imagedata o:title=""/>
                <o:lock v:ext="edit" aspectratio="f"/>
              </v:rect>
            </w:pict>
          </mc:Fallback>
        </mc:AlternateContent>
      </w:r>
      <w:r w:rsidRPr="00B12FE0">
        <w:rPr>
          <w:b/>
          <w:color w:val="000000" w:themeColor="text1"/>
          <w:sz w:val="32"/>
          <w:szCs w:val="32"/>
        </w:rPr>
        <w:t>表</w:t>
      </w:r>
      <w:r w:rsidRPr="00B12FE0">
        <w:rPr>
          <w:b/>
          <w:color w:val="000000" w:themeColor="text1"/>
          <w:sz w:val="32"/>
          <w:szCs w:val="32"/>
        </w:rPr>
        <w:t xml:space="preserve">11 </w:t>
      </w:r>
      <w:r w:rsidRPr="00B12FE0">
        <w:rPr>
          <w:b/>
          <w:color w:val="000000" w:themeColor="text1"/>
          <w:sz w:val="32"/>
          <w:szCs w:val="32"/>
        </w:rPr>
        <w:t>环境影响分析</w:t>
      </w:r>
      <w:bookmarkEnd w:id="21"/>
    </w:p>
    <w:p w14:paraId="0C136112" w14:textId="77777777" w:rsidR="00A67F21" w:rsidRPr="00B12FE0" w:rsidRDefault="00000000">
      <w:pPr>
        <w:snapToGrid w:val="0"/>
        <w:spacing w:line="360" w:lineRule="auto"/>
        <w:contextualSpacing/>
        <w:outlineLvl w:val="2"/>
        <w:rPr>
          <w:b/>
          <w:color w:val="000000" w:themeColor="text1"/>
          <w:sz w:val="28"/>
          <w:szCs w:val="28"/>
        </w:rPr>
      </w:pPr>
      <w:r w:rsidRPr="00B12FE0">
        <w:rPr>
          <w:b/>
          <w:color w:val="000000" w:themeColor="text1"/>
          <w:sz w:val="28"/>
          <w:szCs w:val="28"/>
        </w:rPr>
        <w:t>11.1</w:t>
      </w:r>
      <w:r w:rsidRPr="00B12FE0">
        <w:rPr>
          <w:b/>
          <w:bCs/>
          <w:color w:val="000000" w:themeColor="text1"/>
          <w:sz w:val="28"/>
          <w:szCs w:val="28"/>
        </w:rPr>
        <w:t>建设阶段对环境的影响</w:t>
      </w:r>
    </w:p>
    <w:p w14:paraId="5E7FB153" w14:textId="77777777" w:rsidR="00A67F21" w:rsidRPr="00B12FE0" w:rsidRDefault="00000000">
      <w:pPr>
        <w:snapToGrid w:val="0"/>
        <w:spacing w:line="360" w:lineRule="auto"/>
        <w:contextualSpacing/>
        <w:outlineLvl w:val="2"/>
        <w:rPr>
          <w:b/>
          <w:color w:val="000000" w:themeColor="text1"/>
        </w:rPr>
      </w:pPr>
      <w:r w:rsidRPr="00B12FE0">
        <w:rPr>
          <w:b/>
          <w:color w:val="000000" w:themeColor="text1"/>
        </w:rPr>
        <w:t>11.1.1</w:t>
      </w:r>
      <w:r w:rsidRPr="00B12FE0">
        <w:rPr>
          <w:b/>
          <w:color w:val="000000" w:themeColor="text1"/>
        </w:rPr>
        <w:t>施工期环境影响分析</w:t>
      </w:r>
    </w:p>
    <w:p w14:paraId="63C2A96C" w14:textId="77777777" w:rsidR="00A67F21" w:rsidRPr="00B12FE0" w:rsidRDefault="00000000">
      <w:pPr>
        <w:widowControl/>
        <w:adjustRightInd w:val="0"/>
        <w:snapToGrid w:val="0"/>
        <w:spacing w:line="360" w:lineRule="auto"/>
        <w:ind w:firstLine="480"/>
        <w:rPr>
          <w:color w:val="000000" w:themeColor="text1"/>
          <w:kern w:val="0"/>
          <w:szCs w:val="24"/>
        </w:rPr>
      </w:pPr>
      <w:r w:rsidRPr="00B12FE0">
        <w:rPr>
          <w:rFonts w:ascii="宋体" w:hAnsi="宋体"/>
          <w:color w:val="000000" w:themeColor="text1"/>
          <w:kern w:val="0"/>
          <w:szCs w:val="24"/>
        </w:rPr>
        <w:t>本项目施工期的建设内容主要是</w:t>
      </w:r>
      <w:r w:rsidRPr="00B12FE0">
        <w:rPr>
          <w:rFonts w:ascii="宋体" w:hAnsi="宋体" w:hint="eastAsia"/>
          <w:color w:val="000000" w:themeColor="text1"/>
          <w:kern w:val="0"/>
          <w:szCs w:val="24"/>
        </w:rPr>
        <w:t>辐射工作场所的建设，主要包括混凝土的浇筑，辐射安全防护设施、机房门的安装等。</w:t>
      </w:r>
    </w:p>
    <w:p w14:paraId="3DEA8022" w14:textId="77777777" w:rsidR="00A67F21" w:rsidRPr="00B12FE0" w:rsidRDefault="00000000">
      <w:pPr>
        <w:overflowPunct w:val="0"/>
        <w:snapToGrid w:val="0"/>
        <w:spacing w:line="360" w:lineRule="auto"/>
        <w:ind w:firstLineChars="200" w:firstLine="480"/>
        <w:rPr>
          <w:bCs/>
          <w:color w:val="000000" w:themeColor="text1"/>
          <w:kern w:val="0"/>
          <w:szCs w:val="24"/>
        </w:rPr>
      </w:pPr>
      <w:r w:rsidRPr="00B12FE0">
        <w:rPr>
          <w:rFonts w:ascii="宋体" w:hAnsi="宋体"/>
          <w:bCs/>
          <w:color w:val="000000" w:themeColor="text1"/>
          <w:kern w:val="0"/>
          <w:szCs w:val="24"/>
        </w:rPr>
        <w:t>（</w:t>
      </w:r>
      <w:r w:rsidRPr="00B12FE0">
        <w:rPr>
          <w:bCs/>
          <w:color w:val="000000" w:themeColor="text1"/>
          <w:kern w:val="0"/>
          <w:szCs w:val="24"/>
        </w:rPr>
        <w:t>1</w:t>
      </w:r>
      <w:r w:rsidRPr="00B12FE0">
        <w:rPr>
          <w:rFonts w:ascii="宋体" w:hAnsi="宋体"/>
          <w:bCs/>
          <w:color w:val="000000" w:themeColor="text1"/>
          <w:kern w:val="0"/>
          <w:szCs w:val="24"/>
        </w:rPr>
        <w:t>）水环境影响分析</w:t>
      </w:r>
    </w:p>
    <w:p w14:paraId="68426168" w14:textId="77777777" w:rsidR="00A67F21" w:rsidRPr="00B12FE0" w:rsidRDefault="00000000">
      <w:pPr>
        <w:overflowPunct w:val="0"/>
        <w:snapToGrid w:val="0"/>
        <w:spacing w:line="360" w:lineRule="auto"/>
        <w:ind w:firstLineChars="200" w:firstLine="480"/>
        <w:rPr>
          <w:bCs/>
          <w:color w:val="000000" w:themeColor="text1"/>
          <w:kern w:val="0"/>
          <w:szCs w:val="24"/>
        </w:rPr>
      </w:pPr>
      <w:r w:rsidRPr="00B12FE0">
        <w:rPr>
          <w:rFonts w:ascii="宋体" w:hAnsi="宋体"/>
          <w:color w:val="000000" w:themeColor="text1"/>
          <w:kern w:val="0"/>
          <w:szCs w:val="24"/>
        </w:rPr>
        <w:t>施工期废水主要包括施工废水和生活污水</w:t>
      </w:r>
      <w:r w:rsidRPr="00B12FE0">
        <w:rPr>
          <w:rFonts w:ascii="宋体" w:hAnsi="宋体" w:hint="eastAsia"/>
          <w:color w:val="000000" w:themeColor="text1"/>
          <w:kern w:val="0"/>
          <w:szCs w:val="24"/>
        </w:rPr>
        <w:t>。</w:t>
      </w:r>
      <w:r w:rsidRPr="00B12FE0">
        <w:rPr>
          <w:rFonts w:ascii="宋体" w:hAnsi="宋体"/>
          <w:color w:val="000000" w:themeColor="text1"/>
          <w:kern w:val="0"/>
          <w:szCs w:val="24"/>
        </w:rPr>
        <w:t>施工废水</w:t>
      </w:r>
      <w:r w:rsidRPr="00B12FE0">
        <w:rPr>
          <w:rFonts w:ascii="宋体" w:hAnsi="宋体" w:hint="eastAsia"/>
          <w:color w:val="000000" w:themeColor="text1"/>
          <w:kern w:val="0"/>
          <w:szCs w:val="24"/>
        </w:rPr>
        <w:t>主要是各种施工机械设备清洗用水和施工现场清洗、建材清洗、混凝土养护产生的废水，其中清洗用水用于场地洒水抑尘、场地浇灌等，含有泥浆的建筑废水进行回收利用；施工人员的</w:t>
      </w:r>
      <w:r w:rsidRPr="00B12FE0">
        <w:rPr>
          <w:rFonts w:ascii="宋体" w:hAnsi="宋体"/>
          <w:color w:val="000000" w:themeColor="text1"/>
          <w:kern w:val="0"/>
          <w:szCs w:val="24"/>
        </w:rPr>
        <w:t>生活污水依托</w:t>
      </w:r>
      <w:r w:rsidRPr="00B12FE0">
        <w:rPr>
          <w:rFonts w:ascii="宋体" w:hAnsi="宋体" w:hint="eastAsia"/>
          <w:color w:val="000000" w:themeColor="text1"/>
          <w:kern w:val="0"/>
          <w:szCs w:val="24"/>
        </w:rPr>
        <w:t>院</w:t>
      </w:r>
      <w:r w:rsidRPr="00B12FE0">
        <w:rPr>
          <w:rFonts w:ascii="宋体" w:hAnsi="宋体"/>
          <w:color w:val="000000" w:themeColor="text1"/>
          <w:kern w:val="0"/>
          <w:szCs w:val="24"/>
        </w:rPr>
        <w:t>内化粪池处理后</w:t>
      </w:r>
      <w:r w:rsidRPr="00B12FE0">
        <w:rPr>
          <w:rFonts w:ascii="宋体" w:hAnsi="宋体" w:hint="eastAsia"/>
          <w:color w:val="000000" w:themeColor="text1"/>
          <w:kern w:val="0"/>
          <w:szCs w:val="24"/>
        </w:rPr>
        <w:t>纳</w:t>
      </w:r>
      <w:r w:rsidRPr="00B12FE0">
        <w:rPr>
          <w:rFonts w:ascii="宋体" w:hAnsi="宋体"/>
          <w:color w:val="000000" w:themeColor="text1"/>
          <w:kern w:val="0"/>
          <w:szCs w:val="24"/>
        </w:rPr>
        <w:t>入市政污水管网，对周围水环境影响很小</w:t>
      </w:r>
      <w:r w:rsidRPr="00B12FE0">
        <w:rPr>
          <w:rFonts w:ascii="宋体" w:hAnsi="宋体"/>
          <w:bCs/>
          <w:color w:val="000000" w:themeColor="text1"/>
          <w:kern w:val="0"/>
          <w:szCs w:val="24"/>
        </w:rPr>
        <w:t>。</w:t>
      </w:r>
    </w:p>
    <w:p w14:paraId="559FB071" w14:textId="77777777" w:rsidR="00A67F21" w:rsidRPr="00B12FE0" w:rsidRDefault="00000000">
      <w:pPr>
        <w:overflowPunct w:val="0"/>
        <w:snapToGrid w:val="0"/>
        <w:spacing w:line="360" w:lineRule="auto"/>
        <w:ind w:firstLineChars="200" w:firstLine="480"/>
        <w:rPr>
          <w:bCs/>
          <w:color w:val="000000" w:themeColor="text1"/>
          <w:kern w:val="0"/>
          <w:szCs w:val="24"/>
        </w:rPr>
      </w:pPr>
      <w:r w:rsidRPr="00B12FE0">
        <w:rPr>
          <w:rFonts w:ascii="宋体" w:hAnsi="宋体"/>
          <w:bCs/>
          <w:color w:val="000000" w:themeColor="text1"/>
          <w:kern w:val="0"/>
          <w:szCs w:val="24"/>
        </w:rPr>
        <w:t>（</w:t>
      </w:r>
      <w:r w:rsidRPr="00B12FE0">
        <w:rPr>
          <w:bCs/>
          <w:color w:val="000000" w:themeColor="text1"/>
          <w:kern w:val="0"/>
          <w:szCs w:val="24"/>
        </w:rPr>
        <w:t>2</w:t>
      </w:r>
      <w:r w:rsidRPr="00B12FE0">
        <w:rPr>
          <w:rFonts w:ascii="宋体" w:hAnsi="宋体"/>
          <w:bCs/>
          <w:color w:val="000000" w:themeColor="text1"/>
          <w:kern w:val="0"/>
          <w:szCs w:val="24"/>
        </w:rPr>
        <w:t>）大气环境影响分析</w:t>
      </w:r>
    </w:p>
    <w:p w14:paraId="6A40BAD6" w14:textId="77777777" w:rsidR="00A67F21" w:rsidRPr="00B12FE0" w:rsidRDefault="00000000">
      <w:pPr>
        <w:adjustRightInd w:val="0"/>
        <w:spacing w:line="360" w:lineRule="auto"/>
        <w:ind w:firstLineChars="200" w:firstLine="480"/>
        <w:rPr>
          <w:color w:val="000000" w:themeColor="text1"/>
          <w:kern w:val="0"/>
          <w:szCs w:val="24"/>
        </w:rPr>
      </w:pPr>
      <w:r w:rsidRPr="00B12FE0">
        <w:rPr>
          <w:rFonts w:ascii="宋体" w:hAnsi="宋体"/>
          <w:color w:val="000000" w:themeColor="text1"/>
          <w:kern w:val="0"/>
          <w:szCs w:val="24"/>
        </w:rPr>
        <w:t>施工期扬尘主要</w:t>
      </w:r>
      <w:r w:rsidRPr="00B12FE0">
        <w:rPr>
          <w:rFonts w:ascii="宋体" w:hAnsi="宋体" w:hint="eastAsia"/>
          <w:color w:val="000000" w:themeColor="text1"/>
          <w:kern w:val="0"/>
          <w:szCs w:val="24"/>
        </w:rPr>
        <w:t>是作业</w:t>
      </w:r>
      <w:r w:rsidRPr="00B12FE0">
        <w:rPr>
          <w:rFonts w:ascii="宋体" w:hAnsi="宋体"/>
          <w:color w:val="000000" w:themeColor="text1"/>
          <w:kern w:val="0"/>
          <w:szCs w:val="24"/>
        </w:rPr>
        <w:t>过程中</w:t>
      </w:r>
      <w:r w:rsidRPr="00B12FE0">
        <w:rPr>
          <w:rFonts w:ascii="宋体" w:hAnsi="宋体" w:hint="eastAsia"/>
          <w:color w:val="000000" w:themeColor="text1"/>
          <w:kern w:val="0"/>
          <w:szCs w:val="24"/>
        </w:rPr>
        <w:t>产生的地面扬尘</w:t>
      </w:r>
      <w:r w:rsidRPr="00B12FE0">
        <w:rPr>
          <w:rFonts w:ascii="宋体" w:hAnsi="宋体"/>
          <w:bCs/>
          <w:color w:val="000000" w:themeColor="text1"/>
          <w:kern w:val="0"/>
          <w:szCs w:val="24"/>
        </w:rPr>
        <w:t>，</w:t>
      </w:r>
      <w:r w:rsidRPr="00B12FE0">
        <w:rPr>
          <w:rFonts w:ascii="宋体" w:hAnsi="宋体" w:hint="eastAsia"/>
          <w:color w:val="000000" w:themeColor="text1"/>
          <w:kern w:val="0"/>
          <w:szCs w:val="24"/>
        </w:rPr>
        <w:t>扬尘影响局限在施工现场。</w:t>
      </w:r>
      <w:r w:rsidRPr="00B12FE0">
        <w:rPr>
          <w:rFonts w:ascii="宋体" w:hAnsi="宋体"/>
          <w:color w:val="000000" w:themeColor="text1"/>
          <w:kern w:val="0"/>
          <w:szCs w:val="24"/>
        </w:rPr>
        <w:t>针对施工期</w:t>
      </w:r>
      <w:r w:rsidRPr="00B12FE0">
        <w:rPr>
          <w:rFonts w:ascii="宋体" w:hAnsi="宋体"/>
          <w:bCs/>
          <w:color w:val="000000" w:themeColor="text1"/>
          <w:kern w:val="0"/>
          <w:szCs w:val="24"/>
        </w:rPr>
        <w:t>大气环境影响</w:t>
      </w:r>
      <w:r w:rsidRPr="00B12FE0">
        <w:rPr>
          <w:rFonts w:ascii="宋体" w:hAnsi="宋体"/>
          <w:color w:val="000000" w:themeColor="text1"/>
          <w:kern w:val="0"/>
          <w:szCs w:val="24"/>
        </w:rPr>
        <w:t>，污染防治措施具体有：</w:t>
      </w:r>
      <w:r w:rsidRPr="00B12FE0">
        <w:rPr>
          <w:rFonts w:ascii="宋体" w:hAnsi="宋体" w:hint="eastAsia"/>
          <w:bCs/>
          <w:color w:val="000000" w:themeColor="text1"/>
          <w:kern w:val="0"/>
          <w:szCs w:val="24"/>
        </w:rPr>
        <w:t>①</w:t>
      </w:r>
      <w:r w:rsidRPr="00B12FE0">
        <w:rPr>
          <w:rFonts w:ascii="宋体" w:hAnsi="宋体"/>
          <w:color w:val="000000" w:themeColor="text1"/>
          <w:kern w:val="0"/>
          <w:szCs w:val="24"/>
        </w:rPr>
        <w:t>及时清扫施工场地，并保持施工场地一定的湿度</w:t>
      </w:r>
      <w:r w:rsidRPr="00B12FE0">
        <w:rPr>
          <w:rFonts w:ascii="宋体" w:hAnsi="宋体" w:hint="eastAsia"/>
          <w:color w:val="000000" w:themeColor="text1"/>
          <w:kern w:val="0"/>
          <w:szCs w:val="24"/>
        </w:rPr>
        <w:t>；</w:t>
      </w:r>
      <w:r w:rsidRPr="00B12FE0">
        <w:rPr>
          <w:rFonts w:ascii="宋体" w:hAnsi="宋体" w:hint="eastAsia"/>
          <w:bCs/>
          <w:color w:val="000000" w:themeColor="text1"/>
          <w:kern w:val="0"/>
          <w:szCs w:val="24"/>
        </w:rPr>
        <w:t>②</w:t>
      </w:r>
      <w:r w:rsidRPr="00B12FE0">
        <w:rPr>
          <w:rFonts w:ascii="宋体" w:hAnsi="宋体"/>
          <w:color w:val="000000" w:themeColor="text1"/>
          <w:kern w:val="0"/>
          <w:szCs w:val="24"/>
        </w:rPr>
        <w:t>易散失冲刷的物料</w:t>
      </w:r>
      <w:r w:rsidRPr="00B12FE0">
        <w:rPr>
          <w:rFonts w:ascii="宋体" w:hAnsi="宋体" w:hint="eastAsia"/>
          <w:color w:val="000000" w:themeColor="text1"/>
          <w:kern w:val="0"/>
          <w:szCs w:val="24"/>
        </w:rPr>
        <w:t>（</w:t>
      </w:r>
      <w:r w:rsidRPr="00B12FE0">
        <w:rPr>
          <w:rFonts w:ascii="宋体" w:hAnsi="宋体"/>
          <w:color w:val="000000" w:themeColor="text1"/>
          <w:kern w:val="0"/>
          <w:szCs w:val="24"/>
        </w:rPr>
        <w:t>石灰、水泥等</w:t>
      </w:r>
      <w:r w:rsidRPr="00B12FE0">
        <w:rPr>
          <w:rFonts w:ascii="宋体" w:hAnsi="宋体" w:hint="eastAsia"/>
          <w:color w:val="000000" w:themeColor="text1"/>
          <w:kern w:val="0"/>
          <w:szCs w:val="24"/>
        </w:rPr>
        <w:t>）</w:t>
      </w:r>
      <w:r w:rsidRPr="00B12FE0">
        <w:rPr>
          <w:rFonts w:ascii="宋体" w:hAnsi="宋体"/>
          <w:color w:val="000000" w:themeColor="text1"/>
          <w:kern w:val="0"/>
          <w:szCs w:val="24"/>
        </w:rPr>
        <w:t>尽量不要在露天堆放，以防粉尘飞扬</w:t>
      </w:r>
      <w:r w:rsidRPr="00B12FE0">
        <w:rPr>
          <w:rFonts w:ascii="宋体" w:hAnsi="宋体" w:hint="eastAsia"/>
          <w:color w:val="000000" w:themeColor="text1"/>
          <w:kern w:val="0"/>
          <w:szCs w:val="24"/>
        </w:rPr>
        <w:t>，</w:t>
      </w:r>
      <w:r w:rsidRPr="00B12FE0">
        <w:rPr>
          <w:rFonts w:ascii="宋体" w:hAnsi="宋体"/>
          <w:color w:val="000000" w:themeColor="text1"/>
          <w:kern w:val="0"/>
          <w:szCs w:val="24"/>
        </w:rPr>
        <w:t>应加盖篷布或库内堆放，同时也应该加强现场管理，采取各种措施，防止在运输途中发生跑、冒、漏、滴。</w:t>
      </w:r>
    </w:p>
    <w:p w14:paraId="504C9123" w14:textId="77777777" w:rsidR="00A67F21" w:rsidRPr="00B12FE0" w:rsidRDefault="00000000">
      <w:pPr>
        <w:overflowPunct w:val="0"/>
        <w:snapToGrid w:val="0"/>
        <w:spacing w:line="360" w:lineRule="auto"/>
        <w:ind w:firstLineChars="200" w:firstLine="480"/>
        <w:rPr>
          <w:color w:val="000000" w:themeColor="text1"/>
          <w:kern w:val="0"/>
          <w:szCs w:val="24"/>
        </w:rPr>
      </w:pPr>
      <w:r w:rsidRPr="00B12FE0">
        <w:rPr>
          <w:rFonts w:ascii="宋体" w:hAnsi="宋体"/>
          <w:color w:val="000000" w:themeColor="text1"/>
          <w:kern w:val="0"/>
          <w:szCs w:val="24"/>
        </w:rPr>
        <w:t>采取以上措施后，施工期扬尘对周围环境的影响可降至最小。</w:t>
      </w:r>
    </w:p>
    <w:p w14:paraId="2468CD0C" w14:textId="77777777" w:rsidR="00A67F21" w:rsidRPr="00B12FE0" w:rsidRDefault="00000000">
      <w:pPr>
        <w:overflowPunct w:val="0"/>
        <w:snapToGrid w:val="0"/>
        <w:spacing w:line="360" w:lineRule="auto"/>
        <w:ind w:firstLineChars="200" w:firstLine="480"/>
        <w:rPr>
          <w:bCs/>
          <w:color w:val="000000" w:themeColor="text1"/>
          <w:kern w:val="0"/>
          <w:szCs w:val="24"/>
        </w:rPr>
      </w:pPr>
      <w:r w:rsidRPr="00B12FE0">
        <w:rPr>
          <w:rFonts w:ascii="宋体" w:hAnsi="宋体"/>
          <w:bCs/>
          <w:color w:val="000000" w:themeColor="text1"/>
          <w:kern w:val="0"/>
          <w:szCs w:val="24"/>
        </w:rPr>
        <w:t>（</w:t>
      </w:r>
      <w:r w:rsidRPr="00B12FE0">
        <w:rPr>
          <w:bCs/>
          <w:color w:val="000000" w:themeColor="text1"/>
          <w:kern w:val="0"/>
          <w:szCs w:val="24"/>
        </w:rPr>
        <w:t>3</w:t>
      </w:r>
      <w:r w:rsidRPr="00B12FE0">
        <w:rPr>
          <w:rFonts w:ascii="宋体" w:hAnsi="宋体"/>
          <w:bCs/>
          <w:color w:val="000000" w:themeColor="text1"/>
          <w:kern w:val="0"/>
          <w:szCs w:val="24"/>
        </w:rPr>
        <w:t>）声环境影响分析</w:t>
      </w:r>
    </w:p>
    <w:p w14:paraId="638F1D53" w14:textId="77777777" w:rsidR="00A67F21" w:rsidRPr="00B12FE0" w:rsidRDefault="00000000">
      <w:pPr>
        <w:adjustRightInd w:val="0"/>
        <w:spacing w:line="360" w:lineRule="auto"/>
        <w:ind w:firstLineChars="200" w:firstLine="480"/>
        <w:rPr>
          <w:color w:val="000000" w:themeColor="text1"/>
          <w:kern w:val="0"/>
          <w:szCs w:val="24"/>
        </w:rPr>
      </w:pPr>
      <w:r w:rsidRPr="00B12FE0">
        <w:rPr>
          <w:rFonts w:ascii="宋体" w:hAnsi="宋体"/>
          <w:color w:val="000000" w:themeColor="text1"/>
          <w:kern w:val="0"/>
          <w:szCs w:val="24"/>
        </w:rPr>
        <w:t>施工期噪声主要</w:t>
      </w:r>
      <w:r w:rsidRPr="00B12FE0">
        <w:rPr>
          <w:rFonts w:ascii="宋体" w:hAnsi="宋体" w:hint="eastAsia"/>
          <w:color w:val="000000" w:themeColor="text1"/>
          <w:kern w:val="0"/>
          <w:szCs w:val="24"/>
        </w:rPr>
        <w:t>是各种</w:t>
      </w:r>
      <w:r w:rsidRPr="00B12FE0">
        <w:rPr>
          <w:rFonts w:ascii="宋体" w:hAnsi="宋体"/>
          <w:color w:val="000000" w:themeColor="text1"/>
          <w:kern w:val="0"/>
          <w:szCs w:val="24"/>
        </w:rPr>
        <w:t>施工设备</w:t>
      </w:r>
      <w:r w:rsidRPr="00B12FE0">
        <w:rPr>
          <w:rFonts w:ascii="宋体" w:hAnsi="宋体" w:hint="eastAsia"/>
          <w:color w:val="000000" w:themeColor="text1"/>
          <w:kern w:val="0"/>
          <w:szCs w:val="24"/>
        </w:rPr>
        <w:t>及</w:t>
      </w:r>
      <w:r w:rsidRPr="00B12FE0">
        <w:rPr>
          <w:rFonts w:ascii="宋体" w:hAnsi="宋体"/>
          <w:color w:val="000000" w:themeColor="text1"/>
          <w:kern w:val="0"/>
          <w:szCs w:val="24"/>
        </w:rPr>
        <w:t>运输车辆</w:t>
      </w:r>
      <w:r w:rsidRPr="00B12FE0">
        <w:rPr>
          <w:rFonts w:ascii="宋体" w:hAnsi="宋体" w:hint="eastAsia"/>
          <w:color w:val="000000" w:themeColor="text1"/>
          <w:kern w:val="0"/>
          <w:szCs w:val="24"/>
        </w:rPr>
        <w:t>运行</w:t>
      </w:r>
      <w:r w:rsidRPr="00B12FE0">
        <w:rPr>
          <w:rFonts w:ascii="宋体" w:hAnsi="宋体"/>
          <w:color w:val="000000" w:themeColor="text1"/>
          <w:kern w:val="0"/>
          <w:szCs w:val="24"/>
        </w:rPr>
        <w:t>过程中产生的噪声，施工方式主要为人工施工，机械设备的使用较少，同时项目施工噪声影响是暂时的，将随着施工期的结束而消失。因此，本项目施工对</w:t>
      </w:r>
      <w:proofErr w:type="gramStart"/>
      <w:r w:rsidRPr="00B12FE0">
        <w:rPr>
          <w:rFonts w:ascii="宋体" w:hAnsi="宋体"/>
          <w:color w:val="000000" w:themeColor="text1"/>
          <w:kern w:val="0"/>
          <w:szCs w:val="24"/>
        </w:rPr>
        <w:t>周围声</w:t>
      </w:r>
      <w:proofErr w:type="gramEnd"/>
      <w:r w:rsidRPr="00B12FE0">
        <w:rPr>
          <w:rFonts w:ascii="宋体" w:hAnsi="宋体"/>
          <w:color w:val="000000" w:themeColor="text1"/>
          <w:kern w:val="0"/>
          <w:szCs w:val="24"/>
        </w:rPr>
        <w:t>环境影响时间和强度均较小，但必须重视对施工期噪声的控制，特别是应减小噪声对周围公众的不利影响。</w:t>
      </w:r>
    </w:p>
    <w:p w14:paraId="0464DC70" w14:textId="77777777" w:rsidR="00A67F21" w:rsidRPr="00B12FE0" w:rsidRDefault="00000000">
      <w:pPr>
        <w:adjustRightInd w:val="0"/>
        <w:spacing w:line="360" w:lineRule="auto"/>
        <w:ind w:firstLineChars="200" w:firstLine="480"/>
        <w:rPr>
          <w:color w:val="000000" w:themeColor="text1"/>
          <w:kern w:val="0"/>
          <w:szCs w:val="24"/>
        </w:rPr>
      </w:pPr>
      <w:r w:rsidRPr="00B12FE0">
        <w:rPr>
          <w:rFonts w:ascii="宋体" w:hAnsi="宋体"/>
          <w:color w:val="000000" w:themeColor="text1"/>
          <w:kern w:val="0"/>
          <w:szCs w:val="24"/>
        </w:rPr>
        <w:t>施工期间，施工设备的噪声时起时停，针对施工期声环境影响，污染防治措施具体有：</w:t>
      </w:r>
      <w:r w:rsidRPr="00B12FE0">
        <w:rPr>
          <w:rFonts w:ascii="宋体" w:hAnsi="宋体" w:hint="eastAsia"/>
          <w:bCs/>
          <w:color w:val="000000" w:themeColor="text1"/>
          <w:kern w:val="0"/>
          <w:szCs w:val="24"/>
        </w:rPr>
        <w:t>①</w:t>
      </w:r>
      <w:r w:rsidRPr="00B12FE0">
        <w:rPr>
          <w:rFonts w:ascii="宋体" w:hAnsi="宋体"/>
          <w:color w:val="000000" w:themeColor="text1"/>
          <w:kern w:val="0"/>
          <w:szCs w:val="24"/>
        </w:rPr>
        <w:t>合理安排施工进度和作业时间，对主要噪声设备应采取相应的限时作业，避开午休时间，禁止在夜间施工</w:t>
      </w:r>
      <w:r w:rsidRPr="00B12FE0">
        <w:rPr>
          <w:rFonts w:ascii="宋体" w:hAnsi="宋体" w:hint="eastAsia"/>
          <w:color w:val="000000" w:themeColor="text1"/>
          <w:kern w:val="0"/>
          <w:szCs w:val="24"/>
        </w:rPr>
        <w:t>；</w:t>
      </w:r>
      <w:r w:rsidRPr="00B12FE0">
        <w:rPr>
          <w:rFonts w:ascii="宋体" w:hAnsi="宋体" w:hint="eastAsia"/>
          <w:bCs/>
          <w:color w:val="000000" w:themeColor="text1"/>
          <w:kern w:val="0"/>
          <w:szCs w:val="24"/>
        </w:rPr>
        <w:t>②</w:t>
      </w:r>
      <w:r w:rsidRPr="00B12FE0">
        <w:rPr>
          <w:rFonts w:ascii="宋体" w:hAnsi="宋体"/>
          <w:color w:val="000000" w:themeColor="text1"/>
          <w:kern w:val="0"/>
          <w:szCs w:val="24"/>
        </w:rPr>
        <w:t>优先选择低噪声设备，日常应注意对施工机械的维修、保养，使其保持良好的运行状态。</w:t>
      </w:r>
    </w:p>
    <w:p w14:paraId="2C695BA7" w14:textId="77777777" w:rsidR="00A67F21" w:rsidRPr="00B12FE0" w:rsidRDefault="00000000">
      <w:pPr>
        <w:adjustRightInd w:val="0"/>
        <w:spacing w:line="360" w:lineRule="auto"/>
        <w:ind w:firstLineChars="200" w:firstLine="480"/>
        <w:rPr>
          <w:color w:val="000000" w:themeColor="text1"/>
          <w:kern w:val="0"/>
          <w:szCs w:val="24"/>
        </w:rPr>
      </w:pPr>
      <w:r w:rsidRPr="00B12FE0">
        <w:rPr>
          <w:rFonts w:ascii="宋体" w:hAnsi="宋体"/>
          <w:color w:val="000000" w:themeColor="text1"/>
          <w:kern w:val="0"/>
          <w:szCs w:val="24"/>
        </w:rPr>
        <w:t>经采取上述有效措施后，可大大降低本项目施工过程中噪声对周围的影响。</w:t>
      </w:r>
    </w:p>
    <w:p w14:paraId="60EDDA86" w14:textId="77777777" w:rsidR="00A67F21" w:rsidRPr="00B12FE0" w:rsidRDefault="00000000">
      <w:pPr>
        <w:overflowPunct w:val="0"/>
        <w:snapToGrid w:val="0"/>
        <w:spacing w:line="360" w:lineRule="auto"/>
        <w:ind w:firstLineChars="200" w:firstLine="480"/>
        <w:rPr>
          <w:bCs/>
          <w:color w:val="000000" w:themeColor="text1"/>
          <w:kern w:val="0"/>
          <w:szCs w:val="24"/>
        </w:rPr>
      </w:pPr>
      <w:r w:rsidRPr="00B12FE0">
        <w:rPr>
          <w:rFonts w:ascii="宋体" w:hAnsi="宋体"/>
          <w:bCs/>
          <w:color w:val="000000" w:themeColor="text1"/>
          <w:kern w:val="0"/>
          <w:szCs w:val="24"/>
        </w:rPr>
        <w:t>（</w:t>
      </w:r>
      <w:r w:rsidRPr="00B12FE0">
        <w:rPr>
          <w:bCs/>
          <w:color w:val="000000" w:themeColor="text1"/>
          <w:kern w:val="0"/>
          <w:szCs w:val="24"/>
        </w:rPr>
        <w:t>4</w:t>
      </w:r>
      <w:r w:rsidRPr="00B12FE0">
        <w:rPr>
          <w:rFonts w:ascii="宋体" w:hAnsi="宋体"/>
          <w:bCs/>
          <w:color w:val="000000" w:themeColor="text1"/>
          <w:kern w:val="0"/>
          <w:szCs w:val="24"/>
        </w:rPr>
        <w:t>）</w:t>
      </w:r>
      <w:r w:rsidRPr="00B12FE0">
        <w:rPr>
          <w:rFonts w:ascii="宋体" w:hAnsi="宋体" w:hint="eastAsia"/>
          <w:bCs/>
          <w:color w:val="000000" w:themeColor="text1"/>
          <w:kern w:val="0"/>
          <w:szCs w:val="24"/>
        </w:rPr>
        <w:t>一般</w:t>
      </w:r>
      <w:r w:rsidRPr="00B12FE0">
        <w:rPr>
          <w:rFonts w:ascii="宋体" w:hAnsi="宋体"/>
          <w:bCs/>
          <w:color w:val="000000" w:themeColor="text1"/>
          <w:kern w:val="0"/>
          <w:szCs w:val="24"/>
        </w:rPr>
        <w:t>固体废物影响分析</w:t>
      </w:r>
    </w:p>
    <w:p w14:paraId="1FE5441D" w14:textId="77777777" w:rsidR="00A67F21" w:rsidRPr="00B12FE0" w:rsidRDefault="00A67F21">
      <w:pPr>
        <w:pStyle w:val="aff"/>
        <w:rPr>
          <w:color w:val="000000" w:themeColor="text1"/>
        </w:rPr>
        <w:sectPr w:rsidR="00A67F21" w:rsidRPr="00B12FE0">
          <w:pgSz w:w="11907" w:h="16840"/>
          <w:pgMar w:top="1440" w:right="1440" w:bottom="1440" w:left="1440" w:header="851" w:footer="850" w:gutter="0"/>
          <w:cols w:space="720"/>
          <w:docGrid w:linePitch="332"/>
        </w:sectPr>
      </w:pPr>
    </w:p>
    <w:p w14:paraId="3972C28F" w14:textId="77777777" w:rsidR="00A67F21" w:rsidRPr="00B12FE0" w:rsidRDefault="00000000">
      <w:pPr>
        <w:overflowPunct w:val="0"/>
        <w:adjustRightInd w:val="0"/>
        <w:snapToGrid w:val="0"/>
        <w:spacing w:line="360" w:lineRule="auto"/>
        <w:ind w:firstLineChars="200" w:firstLine="480"/>
        <w:rPr>
          <w:bCs/>
          <w:color w:val="000000" w:themeColor="text1"/>
          <w:kern w:val="0"/>
          <w:szCs w:val="24"/>
        </w:rPr>
      </w:pPr>
      <w:r w:rsidRPr="00B12FE0">
        <w:rPr>
          <w:rFonts w:ascii="宋体" w:hAnsi="宋体"/>
          <w:bCs/>
          <w:color w:val="000000" w:themeColor="text1"/>
          <w:kern w:val="0"/>
          <w:szCs w:val="24"/>
        </w:rPr>
        <w:lastRenderedPageBreak/>
        <w:t>本项目在施工期会产生建筑垃圾和生活垃圾。</w:t>
      </w:r>
      <w:r w:rsidRPr="00B12FE0">
        <w:rPr>
          <w:rFonts w:ascii="宋体" w:hAnsi="宋体"/>
          <w:color w:val="000000" w:themeColor="text1"/>
          <w:kern w:val="0"/>
          <w:szCs w:val="24"/>
        </w:rPr>
        <w:t>施工期产生的生活垃圾集中收集后交由环卫部门清运处置；建筑垃圾定点堆放，分拣后对可以回收利用的部分进行综合利用，对不能利用的及时清运至城管部门指定的地点堆放，合理处置。</w:t>
      </w:r>
    </w:p>
    <w:p w14:paraId="029EC05E" w14:textId="77777777" w:rsidR="00A67F21" w:rsidRPr="00B12FE0" w:rsidRDefault="00000000">
      <w:pPr>
        <w:snapToGrid w:val="0"/>
        <w:spacing w:line="360" w:lineRule="auto"/>
        <w:contextualSpacing/>
        <w:rPr>
          <w:rFonts w:ascii="宋体" w:hAnsi="宋体" w:hint="eastAsia"/>
          <w:bCs/>
          <w:color w:val="000000" w:themeColor="text1"/>
          <w:kern w:val="0"/>
          <w:szCs w:val="24"/>
        </w:rPr>
      </w:pPr>
      <w:r w:rsidRPr="00B12FE0">
        <w:rPr>
          <w:rFonts w:ascii="宋体" w:hAnsi="宋体"/>
          <w:bCs/>
          <w:color w:val="000000" w:themeColor="text1"/>
          <w:kern w:val="0"/>
          <w:szCs w:val="24"/>
        </w:rPr>
        <w:t>综上所述，在的严格监督下，施工方遵守文明施工、合理施工的原则，做到各项环保措施，对环境影响较小，施工结束后，项目施工期环境影响将随之消除。</w:t>
      </w:r>
    </w:p>
    <w:p w14:paraId="1F469684" w14:textId="77777777" w:rsidR="00A67F21" w:rsidRPr="00B12FE0" w:rsidRDefault="00000000">
      <w:pPr>
        <w:snapToGrid w:val="0"/>
        <w:spacing w:line="360" w:lineRule="auto"/>
        <w:contextualSpacing/>
        <w:outlineLvl w:val="2"/>
        <w:rPr>
          <w:b/>
          <w:color w:val="000000" w:themeColor="text1"/>
        </w:rPr>
      </w:pPr>
      <w:r w:rsidRPr="00B12FE0">
        <w:rPr>
          <w:b/>
          <w:color w:val="000000" w:themeColor="text1"/>
        </w:rPr>
        <w:t>11.1.2</w:t>
      </w:r>
      <w:r w:rsidRPr="00B12FE0">
        <w:rPr>
          <w:b/>
          <w:color w:val="000000" w:themeColor="text1"/>
        </w:rPr>
        <w:t>设备安装调试期</w:t>
      </w:r>
      <w:r w:rsidRPr="00B12FE0">
        <w:rPr>
          <w:rFonts w:hint="eastAsia"/>
          <w:b/>
          <w:color w:val="000000" w:themeColor="text1"/>
          <w:lang w:eastAsia="zh-Hans"/>
        </w:rPr>
        <w:t>环境</w:t>
      </w:r>
      <w:r w:rsidRPr="00B12FE0">
        <w:rPr>
          <w:b/>
          <w:color w:val="000000" w:themeColor="text1"/>
        </w:rPr>
        <w:t>影响分析</w:t>
      </w:r>
    </w:p>
    <w:p w14:paraId="7208FA8D" w14:textId="77777777" w:rsidR="00A67F21" w:rsidRPr="00B12FE0" w:rsidRDefault="00000000">
      <w:pPr>
        <w:spacing w:line="360" w:lineRule="auto"/>
        <w:ind w:firstLineChars="200" w:firstLine="480"/>
        <w:rPr>
          <w:bCs/>
          <w:color w:val="000000" w:themeColor="text1"/>
          <w:szCs w:val="24"/>
        </w:rPr>
      </w:pPr>
      <w:r w:rsidRPr="00B12FE0">
        <w:rPr>
          <w:rFonts w:ascii="宋体" w:hAnsi="宋体"/>
          <w:bCs/>
          <w:color w:val="000000" w:themeColor="text1"/>
          <w:szCs w:val="24"/>
        </w:rPr>
        <w:t>本项目设备的安装、调试应</w:t>
      </w:r>
      <w:proofErr w:type="gramStart"/>
      <w:r w:rsidRPr="00B12FE0">
        <w:rPr>
          <w:rFonts w:ascii="宋体" w:hAnsi="宋体"/>
          <w:bCs/>
          <w:color w:val="000000" w:themeColor="text1"/>
          <w:szCs w:val="24"/>
        </w:rPr>
        <w:t>请设备</w:t>
      </w:r>
      <w:proofErr w:type="gramEnd"/>
      <w:r w:rsidRPr="00B12FE0">
        <w:rPr>
          <w:rFonts w:ascii="宋体" w:hAnsi="宋体"/>
          <w:bCs/>
          <w:color w:val="000000" w:themeColor="text1"/>
          <w:szCs w:val="24"/>
        </w:rPr>
        <w:t>厂家专业人员进行，医院方不得自行安装及调试设备，且安装调试阶段不涉及非密封放射性物质的操作。在设备安装调试阶段，应加强辐射防护管理，在此过程中应保证各屏蔽体屏蔽到位，关闭防护门，在各个机房门外设立电离辐射警告标志，禁止无关人员靠近。设备安装调试阶段，不允许其他无关人员进入机房所在区域，防止辐射事故发生。由于各设备的安装和调试均在机房内进行，经过墙体的屏蔽和距离衰减后对环境的影响是可接受的。设备安装完成后，医院方需及时回收包装材料及其它固体废物并作为一般固体废物进行处置，不得随意丢弃。</w:t>
      </w:r>
    </w:p>
    <w:p w14:paraId="5D80F7B2" w14:textId="77777777" w:rsidR="00A67F21" w:rsidRPr="00B12FE0" w:rsidRDefault="00000000">
      <w:pPr>
        <w:snapToGrid w:val="0"/>
        <w:spacing w:line="360" w:lineRule="auto"/>
        <w:contextualSpacing/>
        <w:outlineLvl w:val="1"/>
        <w:rPr>
          <w:b/>
          <w:color w:val="000000" w:themeColor="text1"/>
          <w:sz w:val="28"/>
          <w:szCs w:val="28"/>
        </w:rPr>
      </w:pPr>
      <w:r w:rsidRPr="00B12FE0">
        <w:rPr>
          <w:b/>
          <w:color w:val="000000" w:themeColor="text1"/>
          <w:sz w:val="28"/>
          <w:szCs w:val="28"/>
        </w:rPr>
        <w:t>11.2</w:t>
      </w:r>
      <w:r w:rsidRPr="00B12FE0">
        <w:rPr>
          <w:rFonts w:hint="eastAsia"/>
          <w:b/>
          <w:color w:val="000000" w:themeColor="text1"/>
          <w:sz w:val="28"/>
          <w:szCs w:val="28"/>
        </w:rPr>
        <w:t>运行阶段对环境的影响</w:t>
      </w:r>
    </w:p>
    <w:p w14:paraId="37AB46E6" w14:textId="77777777" w:rsidR="00A67F21" w:rsidRPr="00B12FE0" w:rsidRDefault="00000000">
      <w:pPr>
        <w:snapToGrid w:val="0"/>
        <w:spacing w:line="360" w:lineRule="auto"/>
        <w:contextualSpacing/>
        <w:outlineLvl w:val="2"/>
        <w:rPr>
          <w:b/>
          <w:color w:val="000000" w:themeColor="text1"/>
          <w:szCs w:val="24"/>
        </w:rPr>
      </w:pPr>
      <w:r w:rsidRPr="00B12FE0">
        <w:rPr>
          <w:rFonts w:hint="eastAsia"/>
          <w:b/>
          <w:color w:val="000000" w:themeColor="text1"/>
          <w:szCs w:val="24"/>
        </w:rPr>
        <w:t>1</w:t>
      </w:r>
      <w:r w:rsidRPr="00B12FE0">
        <w:rPr>
          <w:b/>
          <w:color w:val="000000" w:themeColor="text1"/>
          <w:szCs w:val="24"/>
        </w:rPr>
        <w:t>1.2.1</w:t>
      </w:r>
      <w:r w:rsidRPr="00B12FE0">
        <w:rPr>
          <w:rFonts w:hint="eastAsia"/>
          <w:b/>
          <w:color w:val="000000" w:themeColor="text1"/>
          <w:szCs w:val="24"/>
        </w:rPr>
        <w:t>核医学科</w:t>
      </w:r>
    </w:p>
    <w:p w14:paraId="40CBBA39" w14:textId="77777777" w:rsidR="00A67F21" w:rsidRPr="00B12FE0" w:rsidRDefault="00000000">
      <w:pPr>
        <w:adjustRightInd w:val="0"/>
        <w:snapToGrid w:val="0"/>
        <w:spacing w:line="360" w:lineRule="auto"/>
        <w:outlineLvl w:val="3"/>
        <w:rPr>
          <w:b/>
          <w:bCs/>
          <w:color w:val="000000" w:themeColor="text1"/>
          <w:szCs w:val="32"/>
        </w:rPr>
      </w:pPr>
      <w:r w:rsidRPr="00B12FE0">
        <w:rPr>
          <w:rFonts w:hint="eastAsia"/>
          <w:b/>
          <w:bCs/>
          <w:color w:val="000000" w:themeColor="text1"/>
          <w:szCs w:val="32"/>
        </w:rPr>
        <w:t>11.2.1.1</w:t>
      </w:r>
      <w:r w:rsidRPr="00B12FE0">
        <w:rPr>
          <w:rFonts w:hint="eastAsia"/>
          <w:b/>
          <w:bCs/>
          <w:color w:val="000000" w:themeColor="text1"/>
          <w:szCs w:val="32"/>
        </w:rPr>
        <w:t>核素制备场所</w:t>
      </w:r>
    </w:p>
    <w:p w14:paraId="62B40049" w14:textId="77777777" w:rsidR="00A67F21" w:rsidRPr="00B12FE0" w:rsidRDefault="00000000">
      <w:pPr>
        <w:adjustRightInd w:val="0"/>
        <w:snapToGrid w:val="0"/>
        <w:spacing w:line="360" w:lineRule="auto"/>
        <w:ind w:firstLineChars="200" w:firstLine="482"/>
        <w:rPr>
          <w:b/>
          <w:bCs/>
          <w:color w:val="000000" w:themeColor="text1"/>
          <w:szCs w:val="24"/>
        </w:rPr>
      </w:pPr>
      <w:r w:rsidRPr="00B12FE0">
        <w:rPr>
          <w:rFonts w:ascii="宋体" w:hAnsi="宋体"/>
          <w:b/>
          <w:bCs/>
          <w:color w:val="000000" w:themeColor="text1"/>
          <w:szCs w:val="24"/>
        </w:rPr>
        <w:t>（</w:t>
      </w:r>
      <w:r w:rsidRPr="00B12FE0">
        <w:rPr>
          <w:b/>
          <w:bCs/>
          <w:color w:val="000000" w:themeColor="text1"/>
          <w:szCs w:val="24"/>
        </w:rPr>
        <w:t>1</w:t>
      </w:r>
      <w:r w:rsidRPr="00B12FE0">
        <w:rPr>
          <w:rFonts w:ascii="宋体" w:hAnsi="宋体"/>
          <w:b/>
          <w:bCs/>
          <w:color w:val="000000" w:themeColor="text1"/>
          <w:szCs w:val="24"/>
        </w:rPr>
        <w:t>）工作场所辐射水平分析</w:t>
      </w:r>
    </w:p>
    <w:p w14:paraId="2E7BD9B8" w14:textId="77777777" w:rsidR="00A67F21" w:rsidRPr="00B12FE0" w:rsidRDefault="00000000">
      <w:pPr>
        <w:kinsoku w:val="0"/>
        <w:overflowPunct w:val="0"/>
        <w:autoSpaceDE w:val="0"/>
        <w:autoSpaceDN w:val="0"/>
        <w:adjustRightInd w:val="0"/>
        <w:snapToGrid w:val="0"/>
        <w:spacing w:line="360" w:lineRule="auto"/>
        <w:ind w:firstLineChars="200" w:firstLine="482"/>
        <w:rPr>
          <w:b/>
          <w:bCs/>
          <w:color w:val="000000" w:themeColor="text1"/>
          <w:szCs w:val="24"/>
        </w:rPr>
      </w:pPr>
      <w:r w:rsidRPr="00B12FE0">
        <w:rPr>
          <w:rFonts w:ascii="Cambria Math" w:hAnsi="Cambria Math" w:cs="Cambria Math"/>
          <w:b/>
          <w:bCs/>
          <w:color w:val="000000" w:themeColor="text1"/>
          <w:szCs w:val="24"/>
        </w:rPr>
        <w:t>①</w:t>
      </w:r>
      <w:r w:rsidRPr="00B12FE0">
        <w:rPr>
          <w:rFonts w:ascii="宋体" w:hAnsi="宋体"/>
          <w:b/>
          <w:bCs/>
          <w:color w:val="000000" w:themeColor="text1"/>
          <w:szCs w:val="24"/>
        </w:rPr>
        <w:t>计算参数</w:t>
      </w:r>
    </w:p>
    <w:p w14:paraId="605C4295"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hint="eastAsia"/>
          <w:color w:val="000000" w:themeColor="text1"/>
          <w:szCs w:val="24"/>
        </w:rPr>
        <w:t>由于本项目回旋加速器型号未定，结合同类参数的回旋加速器资料，本项目预测选择与本项目能量、束流强度</w:t>
      </w:r>
      <w:r w:rsidRPr="00B12FE0">
        <w:rPr>
          <w:rFonts w:ascii="宋体" w:hAnsi="宋体"/>
          <w:color w:val="000000" w:themeColor="text1"/>
          <w:szCs w:val="24"/>
        </w:rPr>
        <w:t>和泄漏剂量率较大</w:t>
      </w:r>
      <w:r w:rsidRPr="00B12FE0">
        <w:rPr>
          <w:rFonts w:ascii="宋体" w:hAnsi="宋体" w:hint="eastAsia"/>
          <w:color w:val="000000" w:themeColor="text1"/>
          <w:szCs w:val="24"/>
        </w:rPr>
        <w:t>的</w:t>
      </w:r>
      <w:r w:rsidRPr="00B12FE0">
        <w:rPr>
          <w:color w:val="000000" w:themeColor="text1"/>
          <w:kern w:val="0"/>
          <w:szCs w:val="24"/>
        </w:rPr>
        <w:t>HM-10HC</w:t>
      </w:r>
      <w:r w:rsidRPr="00B12FE0">
        <w:rPr>
          <w:rFonts w:ascii="宋体" w:hAnsi="宋体"/>
          <w:color w:val="000000" w:themeColor="text1"/>
          <w:szCs w:val="24"/>
        </w:rPr>
        <w:t>型自屏蔽回旋加速器</w:t>
      </w:r>
      <w:r w:rsidRPr="00B12FE0">
        <w:rPr>
          <w:rFonts w:ascii="宋体" w:hAnsi="宋体" w:hint="eastAsia"/>
          <w:color w:val="000000" w:themeColor="text1"/>
          <w:szCs w:val="24"/>
        </w:rPr>
        <w:t>进行预测评价</w:t>
      </w:r>
      <w:r w:rsidRPr="00B12FE0">
        <w:rPr>
          <w:rFonts w:ascii="宋体" w:hAnsi="宋体"/>
          <w:color w:val="000000" w:themeColor="text1"/>
          <w:szCs w:val="24"/>
        </w:rPr>
        <w:t>，设备参数详细见下表。</w:t>
      </w:r>
    </w:p>
    <w:p w14:paraId="4E7326B2" w14:textId="77777777" w:rsidR="00A67F21" w:rsidRPr="00B12FE0" w:rsidRDefault="00000000">
      <w:pPr>
        <w:spacing w:line="360" w:lineRule="auto"/>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 xml:space="preserve">11.2.1.1-1  </w:t>
      </w:r>
      <w:r w:rsidRPr="00B12FE0">
        <w:rPr>
          <w:rFonts w:ascii="宋体" w:hAnsi="宋体"/>
          <w:b/>
          <w:bCs/>
          <w:color w:val="000000" w:themeColor="text1"/>
          <w:sz w:val="21"/>
          <w:szCs w:val="21"/>
        </w:rPr>
        <w:t>设备参数一览表</w:t>
      </w:r>
    </w:p>
    <w:tbl>
      <w:tblPr>
        <w:tblStyle w:val="63"/>
        <w:tblW w:w="5000" w:type="pct"/>
        <w:jc w:val="center"/>
        <w:tblLook w:val="04A0" w:firstRow="1" w:lastRow="0" w:firstColumn="1" w:lastColumn="0" w:noHBand="0" w:noVBand="1"/>
      </w:tblPr>
      <w:tblGrid>
        <w:gridCol w:w="1838"/>
        <w:gridCol w:w="2254"/>
        <w:gridCol w:w="4925"/>
      </w:tblGrid>
      <w:tr w:rsidR="00A67F21" w:rsidRPr="00B12FE0" w14:paraId="4BBE6AE5" w14:textId="77777777">
        <w:trPr>
          <w:trHeight w:val="403"/>
          <w:jc w:val="center"/>
        </w:trPr>
        <w:tc>
          <w:tcPr>
            <w:tcW w:w="1019" w:type="pct"/>
            <w:tcBorders>
              <w:top w:val="single" w:sz="4" w:space="0" w:color="auto"/>
              <w:left w:val="single" w:sz="4" w:space="0" w:color="auto"/>
              <w:bottom w:val="single" w:sz="4" w:space="0" w:color="auto"/>
              <w:right w:val="single" w:sz="4" w:space="0" w:color="auto"/>
            </w:tcBorders>
            <w:vAlign w:val="center"/>
          </w:tcPr>
          <w:p w14:paraId="32A048F7" w14:textId="77777777" w:rsidR="00A67F21" w:rsidRPr="00B12FE0" w:rsidRDefault="00000000">
            <w:pPr>
              <w:jc w:val="center"/>
              <w:rPr>
                <w:color w:val="000000" w:themeColor="text1"/>
                <w:sz w:val="21"/>
                <w:szCs w:val="21"/>
              </w:rPr>
            </w:pPr>
            <w:proofErr w:type="spellStart"/>
            <w:r w:rsidRPr="00B12FE0">
              <w:rPr>
                <w:rFonts w:ascii="宋体" w:hAnsi="宋体" w:cs="宋体" w:hint="eastAsia"/>
                <w:color w:val="000000" w:themeColor="text1"/>
                <w:sz w:val="21"/>
                <w:szCs w:val="21"/>
              </w:rPr>
              <w:t>设备厂家</w:t>
            </w:r>
            <w:proofErr w:type="spellEnd"/>
          </w:p>
        </w:tc>
        <w:tc>
          <w:tcPr>
            <w:tcW w:w="1250" w:type="pct"/>
            <w:tcBorders>
              <w:top w:val="single" w:sz="4" w:space="0" w:color="auto"/>
              <w:left w:val="single" w:sz="4" w:space="0" w:color="auto"/>
              <w:bottom w:val="single" w:sz="4" w:space="0" w:color="auto"/>
              <w:right w:val="single" w:sz="4" w:space="0" w:color="auto"/>
            </w:tcBorders>
            <w:vAlign w:val="center"/>
          </w:tcPr>
          <w:p w14:paraId="4A1BFE73" w14:textId="77777777" w:rsidR="00A67F21" w:rsidRPr="00B12FE0" w:rsidRDefault="00000000">
            <w:pPr>
              <w:jc w:val="center"/>
              <w:rPr>
                <w:color w:val="000000" w:themeColor="text1"/>
                <w:sz w:val="21"/>
                <w:szCs w:val="21"/>
              </w:rPr>
            </w:pPr>
            <w:proofErr w:type="spellStart"/>
            <w:r w:rsidRPr="00B12FE0">
              <w:rPr>
                <w:rFonts w:ascii="宋体" w:hAnsi="宋体" w:cs="宋体" w:hint="eastAsia"/>
                <w:color w:val="000000" w:themeColor="text1"/>
                <w:sz w:val="21"/>
                <w:szCs w:val="21"/>
              </w:rPr>
              <w:t>型号</w:t>
            </w:r>
            <w:proofErr w:type="spellEnd"/>
          </w:p>
        </w:tc>
        <w:tc>
          <w:tcPr>
            <w:tcW w:w="2731" w:type="pct"/>
            <w:tcBorders>
              <w:top w:val="single" w:sz="4" w:space="0" w:color="auto"/>
              <w:left w:val="single" w:sz="4" w:space="0" w:color="auto"/>
              <w:bottom w:val="single" w:sz="4" w:space="0" w:color="auto"/>
              <w:right w:val="single" w:sz="4" w:space="0" w:color="auto"/>
            </w:tcBorders>
            <w:vAlign w:val="center"/>
          </w:tcPr>
          <w:p w14:paraId="2EFD7000" w14:textId="77777777" w:rsidR="00A67F21" w:rsidRPr="00B12FE0" w:rsidRDefault="00000000">
            <w:pPr>
              <w:jc w:val="center"/>
              <w:rPr>
                <w:color w:val="000000" w:themeColor="text1"/>
                <w:sz w:val="21"/>
                <w:szCs w:val="21"/>
              </w:rPr>
            </w:pPr>
            <w:proofErr w:type="spellStart"/>
            <w:r w:rsidRPr="00B12FE0">
              <w:rPr>
                <w:rFonts w:ascii="宋体" w:hAnsi="宋体" w:cs="宋体" w:hint="eastAsia"/>
                <w:color w:val="000000" w:themeColor="text1"/>
                <w:sz w:val="21"/>
                <w:szCs w:val="21"/>
              </w:rPr>
              <w:t>参数</w:t>
            </w:r>
            <w:proofErr w:type="spellEnd"/>
          </w:p>
        </w:tc>
      </w:tr>
      <w:tr w:rsidR="00A67F21" w:rsidRPr="00B12FE0" w14:paraId="3D3CE4D5" w14:textId="77777777">
        <w:trPr>
          <w:trHeight w:val="403"/>
          <w:jc w:val="center"/>
        </w:trPr>
        <w:tc>
          <w:tcPr>
            <w:tcW w:w="1019" w:type="pct"/>
            <w:tcBorders>
              <w:top w:val="single" w:sz="4" w:space="0" w:color="auto"/>
              <w:left w:val="single" w:sz="4" w:space="0" w:color="auto"/>
              <w:bottom w:val="single" w:sz="4" w:space="0" w:color="auto"/>
              <w:right w:val="single" w:sz="4" w:space="0" w:color="auto"/>
            </w:tcBorders>
            <w:vAlign w:val="center"/>
          </w:tcPr>
          <w:p w14:paraId="6317A430" w14:textId="77777777" w:rsidR="00A67F21" w:rsidRPr="00B12FE0" w:rsidRDefault="00000000">
            <w:pPr>
              <w:jc w:val="center"/>
              <w:rPr>
                <w:color w:val="000000" w:themeColor="text1"/>
                <w:sz w:val="21"/>
                <w:szCs w:val="21"/>
              </w:rPr>
            </w:pPr>
            <w:proofErr w:type="spellStart"/>
            <w:r w:rsidRPr="00B12FE0">
              <w:rPr>
                <w:rFonts w:ascii="宋体" w:hAnsi="宋体" w:cs="宋体" w:hint="eastAsia"/>
                <w:color w:val="000000" w:themeColor="text1"/>
                <w:sz w:val="21"/>
                <w:szCs w:val="21"/>
              </w:rPr>
              <w:t>住友公司</w:t>
            </w:r>
            <w:proofErr w:type="spellEnd"/>
          </w:p>
        </w:tc>
        <w:tc>
          <w:tcPr>
            <w:tcW w:w="1250" w:type="pct"/>
            <w:tcBorders>
              <w:top w:val="single" w:sz="4" w:space="0" w:color="auto"/>
              <w:left w:val="single" w:sz="4" w:space="0" w:color="auto"/>
              <w:bottom w:val="single" w:sz="4" w:space="0" w:color="auto"/>
              <w:right w:val="single" w:sz="4" w:space="0" w:color="auto"/>
            </w:tcBorders>
            <w:vAlign w:val="center"/>
          </w:tcPr>
          <w:p w14:paraId="1D02ACD7" w14:textId="77777777" w:rsidR="00A67F21" w:rsidRPr="00B12FE0" w:rsidRDefault="00000000">
            <w:pPr>
              <w:jc w:val="center"/>
              <w:rPr>
                <w:color w:val="000000" w:themeColor="text1"/>
                <w:sz w:val="21"/>
                <w:szCs w:val="21"/>
              </w:rPr>
            </w:pPr>
            <w:r w:rsidRPr="00B12FE0">
              <w:rPr>
                <w:color w:val="000000" w:themeColor="text1"/>
                <w:sz w:val="21"/>
                <w:szCs w:val="21"/>
              </w:rPr>
              <w:t>HM-10HC</w:t>
            </w:r>
          </w:p>
        </w:tc>
        <w:tc>
          <w:tcPr>
            <w:tcW w:w="2731" w:type="pct"/>
            <w:tcBorders>
              <w:top w:val="single" w:sz="4" w:space="0" w:color="auto"/>
              <w:left w:val="single" w:sz="4" w:space="0" w:color="auto"/>
              <w:bottom w:val="single" w:sz="4" w:space="0" w:color="auto"/>
              <w:right w:val="single" w:sz="4" w:space="0" w:color="auto"/>
            </w:tcBorders>
            <w:vAlign w:val="center"/>
          </w:tcPr>
          <w:p w14:paraId="0AAD810F" w14:textId="77777777" w:rsidR="00A67F21" w:rsidRPr="00B12FE0" w:rsidRDefault="00000000">
            <w:pPr>
              <w:jc w:val="center"/>
              <w:rPr>
                <w:color w:val="000000" w:themeColor="text1"/>
                <w:sz w:val="21"/>
                <w:szCs w:val="21"/>
              </w:rPr>
            </w:pPr>
            <w:r w:rsidRPr="00B12FE0">
              <w:rPr>
                <w:rFonts w:ascii="宋体" w:hAnsi="宋体"/>
                <w:color w:val="000000" w:themeColor="text1"/>
                <w:sz w:val="21"/>
                <w:szCs w:val="21"/>
              </w:rPr>
              <w:t>能量</w:t>
            </w:r>
            <w:r w:rsidRPr="00B12FE0">
              <w:rPr>
                <w:color w:val="000000" w:themeColor="text1"/>
                <w:sz w:val="21"/>
                <w:szCs w:val="21"/>
              </w:rPr>
              <w:t>≤10MeV</w:t>
            </w:r>
            <w:r w:rsidRPr="00B12FE0">
              <w:rPr>
                <w:rFonts w:ascii="宋体" w:hAnsi="宋体"/>
                <w:color w:val="000000" w:themeColor="text1"/>
                <w:sz w:val="21"/>
                <w:szCs w:val="21"/>
              </w:rPr>
              <w:t>，束流</w:t>
            </w:r>
            <w:r w:rsidRPr="00B12FE0">
              <w:rPr>
                <w:color w:val="000000" w:themeColor="text1"/>
                <w:sz w:val="21"/>
                <w:szCs w:val="21"/>
              </w:rPr>
              <w:t>≤100μA</w:t>
            </w:r>
          </w:p>
        </w:tc>
      </w:tr>
    </w:tbl>
    <w:p w14:paraId="642384B0" w14:textId="77777777" w:rsidR="00A67F21" w:rsidRPr="00B12FE0" w:rsidRDefault="00000000">
      <w:pPr>
        <w:adjustRightInd w:val="0"/>
        <w:snapToGrid w:val="0"/>
        <w:spacing w:beforeLines="50" w:before="120" w:line="360" w:lineRule="auto"/>
        <w:ind w:firstLineChars="200" w:firstLine="480"/>
        <w:rPr>
          <w:color w:val="000000" w:themeColor="text1"/>
          <w:szCs w:val="24"/>
        </w:rPr>
      </w:pPr>
      <w:r w:rsidRPr="00B12FE0">
        <w:rPr>
          <w:rFonts w:ascii="宋体" w:hAnsi="宋体"/>
          <w:color w:val="000000" w:themeColor="text1"/>
          <w:szCs w:val="24"/>
        </w:rPr>
        <w:t>根据设备厂家提供的资料，</w:t>
      </w:r>
      <w:r w:rsidRPr="00B12FE0">
        <w:rPr>
          <w:color w:val="000000" w:themeColor="text1"/>
          <w:szCs w:val="24"/>
        </w:rPr>
        <w:t>住友公司的</w:t>
      </w:r>
      <w:r w:rsidRPr="00B12FE0">
        <w:rPr>
          <w:color w:val="000000" w:themeColor="text1"/>
          <w:szCs w:val="24"/>
        </w:rPr>
        <w:t>HM-10HC</w:t>
      </w:r>
      <w:r w:rsidRPr="00B12FE0">
        <w:rPr>
          <w:color w:val="000000" w:themeColor="text1"/>
          <w:szCs w:val="24"/>
        </w:rPr>
        <w:t>型</w:t>
      </w:r>
      <w:r w:rsidRPr="00B12FE0">
        <w:rPr>
          <w:rFonts w:ascii="宋体" w:hAnsi="宋体"/>
          <w:color w:val="000000" w:themeColor="text1"/>
          <w:szCs w:val="24"/>
        </w:rPr>
        <w:t>回旋加速器有带自屏蔽，主要技术参数见下图</w:t>
      </w:r>
      <w:r w:rsidRPr="00B12FE0">
        <w:rPr>
          <w:color w:val="000000" w:themeColor="text1"/>
          <w:szCs w:val="24"/>
        </w:rPr>
        <w:t>11.2.1.1-1</w:t>
      </w:r>
      <w:r w:rsidRPr="00B12FE0">
        <w:rPr>
          <w:rFonts w:ascii="宋体" w:hAnsi="宋体"/>
          <w:color w:val="000000" w:themeColor="text1"/>
          <w:szCs w:val="24"/>
        </w:rPr>
        <w:t>，回旋加速器表面</w:t>
      </w:r>
      <w:r w:rsidRPr="00B12FE0">
        <w:rPr>
          <w:color w:val="000000" w:themeColor="text1"/>
          <w:szCs w:val="24"/>
        </w:rPr>
        <w:t>γ</w:t>
      </w:r>
      <w:r w:rsidRPr="00B12FE0">
        <w:rPr>
          <w:rFonts w:ascii="宋体" w:hAnsi="宋体"/>
          <w:color w:val="000000" w:themeColor="text1"/>
          <w:szCs w:val="24"/>
        </w:rPr>
        <w:t>射线和中子剂量水平统计见表</w:t>
      </w:r>
      <w:r w:rsidRPr="00B12FE0">
        <w:rPr>
          <w:color w:val="000000" w:themeColor="text1"/>
          <w:szCs w:val="24"/>
        </w:rPr>
        <w:t>11.2.1.1-2</w:t>
      </w:r>
      <w:r w:rsidRPr="00B12FE0">
        <w:rPr>
          <w:rFonts w:ascii="宋体" w:hAnsi="宋体"/>
          <w:color w:val="000000" w:themeColor="text1"/>
          <w:szCs w:val="24"/>
        </w:rPr>
        <w:t>。</w:t>
      </w:r>
    </w:p>
    <w:p w14:paraId="41A62E73" w14:textId="77777777" w:rsidR="00A67F21" w:rsidRPr="00B12FE0" w:rsidRDefault="00000000">
      <w:pPr>
        <w:rPr>
          <w:rFonts w:eastAsia="仿宋_GB2312"/>
          <w:color w:val="000000" w:themeColor="text1"/>
          <w:sz w:val="28"/>
          <w:szCs w:val="28"/>
        </w:rPr>
      </w:pPr>
      <w:r w:rsidRPr="00B12FE0">
        <w:rPr>
          <w:rFonts w:eastAsia="仿宋_GB2312"/>
          <w:noProof/>
          <w:color w:val="000000" w:themeColor="text1"/>
          <w:sz w:val="28"/>
          <w:szCs w:val="28"/>
        </w:rPr>
        <w:lastRenderedPageBreak/>
        <w:drawing>
          <wp:inline distT="0" distB="0" distL="0" distR="0" wp14:anchorId="42A46F6B" wp14:editId="39534539">
            <wp:extent cx="584835" cy="159385"/>
            <wp:effectExtent l="0" t="0" r="5715" b="0"/>
            <wp:docPr id="9624919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91973" name="图片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84835" cy="159385"/>
                    </a:xfrm>
                    <a:prstGeom prst="rect">
                      <a:avLst/>
                    </a:prstGeom>
                    <a:noFill/>
                    <a:ln>
                      <a:noFill/>
                    </a:ln>
                  </pic:spPr>
                </pic:pic>
              </a:graphicData>
            </a:graphic>
          </wp:inline>
        </w:drawing>
      </w:r>
      <w:r w:rsidRPr="00B12FE0">
        <w:rPr>
          <w:color w:val="000000" w:themeColor="text1"/>
          <w:szCs w:val="24"/>
        </w:rPr>
        <w:t xml:space="preserve"> </w:t>
      </w:r>
      <w:r w:rsidRPr="00B12FE0">
        <w:rPr>
          <w:rFonts w:eastAsia="仿宋_GB2312"/>
          <w:noProof/>
          <w:color w:val="000000" w:themeColor="text1"/>
          <w:sz w:val="28"/>
          <w:szCs w:val="28"/>
        </w:rPr>
        <w:drawing>
          <wp:inline distT="0" distB="0" distL="0" distR="0" wp14:anchorId="4A935E05" wp14:editId="128AB625">
            <wp:extent cx="2317750" cy="1977390"/>
            <wp:effectExtent l="0" t="0" r="6350" b="3810"/>
            <wp:docPr id="20203612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61226" name="图片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17750" cy="1977390"/>
                    </a:xfrm>
                    <a:prstGeom prst="rect">
                      <a:avLst/>
                    </a:prstGeom>
                    <a:noFill/>
                    <a:ln>
                      <a:noFill/>
                    </a:ln>
                  </pic:spPr>
                </pic:pic>
              </a:graphicData>
            </a:graphic>
          </wp:inline>
        </w:drawing>
      </w:r>
      <w:r w:rsidRPr="00B12FE0">
        <w:rPr>
          <w:rFonts w:hint="eastAsia"/>
          <w:color w:val="000000" w:themeColor="text1"/>
          <w:szCs w:val="24"/>
        </w:rPr>
        <w:t xml:space="preserve">  </w:t>
      </w:r>
      <w:r w:rsidRPr="00B12FE0">
        <w:rPr>
          <w:rFonts w:eastAsia="仿宋_GB2312"/>
          <w:color w:val="000000" w:themeColor="text1"/>
          <w:szCs w:val="24"/>
        </w:rPr>
        <w:t xml:space="preserve"> </w:t>
      </w:r>
      <w:r w:rsidRPr="00B12FE0">
        <w:rPr>
          <w:rFonts w:eastAsia="仿宋_GB2312"/>
          <w:noProof/>
          <w:color w:val="000000" w:themeColor="text1"/>
          <w:sz w:val="28"/>
          <w:szCs w:val="28"/>
        </w:rPr>
        <w:drawing>
          <wp:inline distT="0" distB="0" distL="0" distR="0" wp14:anchorId="6E7A5220" wp14:editId="65AD87AA">
            <wp:extent cx="2658110" cy="1684655"/>
            <wp:effectExtent l="0" t="0" r="0" b="0"/>
            <wp:docPr id="19491405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40576" name="图片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663457" cy="1688630"/>
                    </a:xfrm>
                    <a:prstGeom prst="rect">
                      <a:avLst/>
                    </a:prstGeom>
                    <a:noFill/>
                    <a:ln>
                      <a:noFill/>
                    </a:ln>
                  </pic:spPr>
                </pic:pic>
              </a:graphicData>
            </a:graphic>
          </wp:inline>
        </w:drawing>
      </w:r>
    </w:p>
    <w:p w14:paraId="1F50DBCE" w14:textId="77777777" w:rsidR="00A67F21" w:rsidRPr="00B12FE0" w:rsidRDefault="00000000">
      <w:pPr>
        <w:rPr>
          <w:color w:val="000000" w:themeColor="text1"/>
          <w:szCs w:val="24"/>
        </w:rPr>
      </w:pPr>
      <w:r w:rsidRPr="00B12FE0">
        <w:rPr>
          <w:color w:val="000000" w:themeColor="text1"/>
          <w:szCs w:val="24"/>
        </w:rPr>
        <w:t xml:space="preserve"> </w:t>
      </w:r>
    </w:p>
    <w:p w14:paraId="7C0D2222" w14:textId="77777777" w:rsidR="00A67F21" w:rsidRPr="00B12FE0" w:rsidRDefault="00000000">
      <w:pPr>
        <w:rPr>
          <w:b/>
          <w:bCs/>
          <w:color w:val="000000" w:themeColor="text1"/>
          <w:sz w:val="21"/>
          <w:szCs w:val="21"/>
        </w:rPr>
      </w:pPr>
      <w:r w:rsidRPr="00B12FE0">
        <w:rPr>
          <w:noProof/>
          <w:color w:val="000000" w:themeColor="text1"/>
          <w:sz w:val="21"/>
          <w:szCs w:val="21"/>
        </w:rPr>
        <w:drawing>
          <wp:inline distT="0" distB="0" distL="0" distR="0" wp14:anchorId="4D3A7048" wp14:editId="55F246BB">
            <wp:extent cx="467995" cy="127635"/>
            <wp:effectExtent l="0" t="0" r="8255" b="5715"/>
            <wp:docPr id="1247836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3616" name="图片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67995" cy="127635"/>
                    </a:xfrm>
                    <a:prstGeom prst="rect">
                      <a:avLst/>
                    </a:prstGeom>
                    <a:noFill/>
                    <a:ln>
                      <a:noFill/>
                    </a:ln>
                  </pic:spPr>
                </pic:pic>
              </a:graphicData>
            </a:graphic>
          </wp:inline>
        </w:drawing>
      </w:r>
      <w:r w:rsidRPr="00B12FE0">
        <w:rPr>
          <w:color w:val="000000" w:themeColor="text1"/>
          <w:szCs w:val="24"/>
        </w:rPr>
        <w:t xml:space="preserve"> </w:t>
      </w:r>
      <w:r w:rsidRPr="00B12FE0">
        <w:rPr>
          <w:noProof/>
          <w:color w:val="000000" w:themeColor="text1"/>
          <w:sz w:val="21"/>
          <w:szCs w:val="21"/>
        </w:rPr>
        <w:drawing>
          <wp:inline distT="0" distB="0" distL="0" distR="0" wp14:anchorId="4A906633" wp14:editId="20AD8C72">
            <wp:extent cx="2317750" cy="1956435"/>
            <wp:effectExtent l="0" t="0" r="6350" b="5715"/>
            <wp:docPr id="10312290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29011" name="图片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317750" cy="1956435"/>
                    </a:xfrm>
                    <a:prstGeom prst="rect">
                      <a:avLst/>
                    </a:prstGeom>
                    <a:noFill/>
                    <a:ln>
                      <a:noFill/>
                    </a:ln>
                  </pic:spPr>
                </pic:pic>
              </a:graphicData>
            </a:graphic>
          </wp:inline>
        </w:drawing>
      </w:r>
      <w:r w:rsidRPr="00B12FE0">
        <w:rPr>
          <w:color w:val="000000" w:themeColor="text1"/>
          <w:szCs w:val="24"/>
        </w:rPr>
        <w:t xml:space="preserve">   </w:t>
      </w:r>
      <w:r w:rsidRPr="00B12FE0">
        <w:rPr>
          <w:noProof/>
          <w:color w:val="000000" w:themeColor="text1"/>
          <w:sz w:val="21"/>
          <w:szCs w:val="21"/>
        </w:rPr>
        <w:drawing>
          <wp:inline distT="0" distB="0" distL="0" distR="0" wp14:anchorId="3CF1A3B1" wp14:editId="1D219292">
            <wp:extent cx="2732405" cy="1787525"/>
            <wp:effectExtent l="0" t="0" r="0" b="3175"/>
            <wp:docPr id="1472922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22049"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737332" cy="1791227"/>
                    </a:xfrm>
                    <a:prstGeom prst="rect">
                      <a:avLst/>
                    </a:prstGeom>
                    <a:noFill/>
                    <a:ln>
                      <a:noFill/>
                    </a:ln>
                  </pic:spPr>
                </pic:pic>
              </a:graphicData>
            </a:graphic>
          </wp:inline>
        </w:drawing>
      </w:r>
    </w:p>
    <w:p w14:paraId="1EE36A50" w14:textId="77777777" w:rsidR="00A67F21" w:rsidRPr="00B12FE0" w:rsidRDefault="00000000">
      <w:pPr>
        <w:jc w:val="center"/>
        <w:rPr>
          <w:b/>
          <w:bCs/>
          <w:color w:val="000000" w:themeColor="text1"/>
          <w:sz w:val="21"/>
          <w:szCs w:val="21"/>
        </w:rPr>
      </w:pPr>
      <w:r w:rsidRPr="00B12FE0">
        <w:rPr>
          <w:rFonts w:ascii="宋体" w:hAnsi="宋体"/>
          <w:b/>
          <w:bCs/>
          <w:color w:val="000000" w:themeColor="text1"/>
          <w:sz w:val="21"/>
          <w:szCs w:val="21"/>
        </w:rPr>
        <w:t>图</w:t>
      </w:r>
      <w:r w:rsidRPr="00B12FE0">
        <w:rPr>
          <w:b/>
          <w:bCs/>
          <w:color w:val="000000" w:themeColor="text1"/>
          <w:sz w:val="21"/>
          <w:szCs w:val="21"/>
        </w:rPr>
        <w:t xml:space="preserve">11.2.1.1-1  </w:t>
      </w:r>
      <w:r w:rsidRPr="00B12FE0">
        <w:rPr>
          <w:rFonts w:ascii="宋体" w:hAnsi="宋体"/>
          <w:b/>
          <w:bCs/>
          <w:color w:val="000000" w:themeColor="text1"/>
          <w:sz w:val="21"/>
          <w:szCs w:val="21"/>
        </w:rPr>
        <w:t>住友公司</w:t>
      </w:r>
      <w:r w:rsidRPr="00B12FE0">
        <w:rPr>
          <w:b/>
          <w:bCs/>
          <w:color w:val="000000" w:themeColor="text1"/>
          <w:sz w:val="21"/>
          <w:szCs w:val="21"/>
        </w:rPr>
        <w:t xml:space="preserve">HM-10HC  </w:t>
      </w:r>
      <w:r w:rsidRPr="00B12FE0">
        <w:rPr>
          <w:rFonts w:ascii="宋体" w:hAnsi="宋体"/>
          <w:b/>
          <w:bCs/>
          <w:color w:val="000000" w:themeColor="text1"/>
          <w:sz w:val="21"/>
          <w:szCs w:val="21"/>
        </w:rPr>
        <w:t>中子和</w:t>
      </w:r>
      <w:r w:rsidRPr="00B12FE0">
        <w:rPr>
          <w:b/>
          <w:bCs/>
          <w:color w:val="000000" w:themeColor="text1"/>
          <w:sz w:val="21"/>
          <w:szCs w:val="21"/>
        </w:rPr>
        <w:t>γ</w:t>
      </w:r>
      <w:r w:rsidRPr="00B12FE0">
        <w:rPr>
          <w:rFonts w:ascii="宋体" w:hAnsi="宋体"/>
          <w:b/>
          <w:bCs/>
          <w:color w:val="000000" w:themeColor="text1"/>
          <w:sz w:val="21"/>
          <w:szCs w:val="21"/>
        </w:rPr>
        <w:t>剂量率分布水平图</w:t>
      </w:r>
    </w:p>
    <w:p w14:paraId="15725190" w14:textId="77777777" w:rsidR="00A67F21" w:rsidRPr="00B12FE0" w:rsidRDefault="00000000">
      <w:pPr>
        <w:ind w:firstLine="482"/>
        <w:jc w:val="center"/>
        <w:rPr>
          <w:b/>
          <w:bCs/>
          <w:color w:val="000000" w:themeColor="text1"/>
          <w:sz w:val="21"/>
          <w:szCs w:val="21"/>
        </w:rPr>
      </w:pPr>
      <w:r w:rsidRPr="00B12FE0">
        <w:rPr>
          <w:rFonts w:ascii="宋体" w:hAnsi="宋体"/>
          <w:b/>
          <w:bCs/>
          <w:color w:val="000000" w:themeColor="text1"/>
          <w:sz w:val="21"/>
          <w:szCs w:val="21"/>
        </w:rPr>
        <w:t>表</w:t>
      </w:r>
      <w:r w:rsidRPr="00B12FE0">
        <w:rPr>
          <w:b/>
          <w:bCs/>
          <w:color w:val="000000" w:themeColor="text1"/>
          <w:sz w:val="21"/>
          <w:szCs w:val="21"/>
        </w:rPr>
        <w:t xml:space="preserve">11.2.1.1-2 </w:t>
      </w:r>
      <w:r w:rsidRPr="00B12FE0">
        <w:rPr>
          <w:rFonts w:ascii="宋体" w:hAnsi="宋体"/>
          <w:b/>
          <w:bCs/>
          <w:color w:val="000000" w:themeColor="text1"/>
          <w:sz w:val="21"/>
          <w:szCs w:val="21"/>
        </w:rPr>
        <w:t>备选品牌设备</w:t>
      </w:r>
      <w:proofErr w:type="gramStart"/>
      <w:r w:rsidRPr="00B12FE0">
        <w:rPr>
          <w:rFonts w:ascii="宋体" w:hAnsi="宋体"/>
          <w:b/>
          <w:bCs/>
          <w:color w:val="000000" w:themeColor="text1"/>
          <w:sz w:val="21"/>
          <w:szCs w:val="21"/>
        </w:rPr>
        <w:t>距自屏蔽</w:t>
      </w:r>
      <w:proofErr w:type="gramEnd"/>
      <w:r w:rsidRPr="00B12FE0">
        <w:rPr>
          <w:rFonts w:ascii="宋体" w:hAnsi="宋体"/>
          <w:b/>
          <w:bCs/>
          <w:color w:val="000000" w:themeColor="text1"/>
          <w:sz w:val="21"/>
          <w:szCs w:val="21"/>
        </w:rPr>
        <w:t>体表面</w:t>
      </w:r>
      <w:r w:rsidRPr="00B12FE0">
        <w:rPr>
          <w:b/>
          <w:bCs/>
          <w:color w:val="000000" w:themeColor="text1"/>
          <w:sz w:val="21"/>
          <w:szCs w:val="21"/>
        </w:rPr>
        <w:t xml:space="preserve">1m </w:t>
      </w:r>
      <w:r w:rsidRPr="00B12FE0">
        <w:rPr>
          <w:rFonts w:ascii="宋体" w:hAnsi="宋体"/>
          <w:b/>
          <w:bCs/>
          <w:color w:val="000000" w:themeColor="text1"/>
          <w:sz w:val="21"/>
          <w:szCs w:val="21"/>
        </w:rPr>
        <w:t>处的中子和</w:t>
      </w:r>
      <w:r w:rsidRPr="00B12FE0">
        <w:rPr>
          <w:b/>
          <w:bCs/>
          <w:color w:val="000000" w:themeColor="text1"/>
          <w:sz w:val="21"/>
          <w:szCs w:val="21"/>
        </w:rPr>
        <w:t xml:space="preserve">γ </w:t>
      </w:r>
      <w:r w:rsidRPr="00B12FE0">
        <w:rPr>
          <w:rFonts w:ascii="宋体" w:hAnsi="宋体"/>
          <w:b/>
          <w:bCs/>
          <w:color w:val="000000" w:themeColor="text1"/>
          <w:sz w:val="21"/>
          <w:szCs w:val="21"/>
        </w:rPr>
        <w:t>射线剂量水平</w:t>
      </w:r>
    </w:p>
    <w:tbl>
      <w:tblPr>
        <w:tblStyle w:val="63"/>
        <w:tblW w:w="5000" w:type="pct"/>
        <w:jc w:val="center"/>
        <w:tblLayout w:type="fixed"/>
        <w:tblLook w:val="04A0" w:firstRow="1" w:lastRow="0" w:firstColumn="1" w:lastColumn="0" w:noHBand="0" w:noVBand="1"/>
      </w:tblPr>
      <w:tblGrid>
        <w:gridCol w:w="2683"/>
        <w:gridCol w:w="3580"/>
        <w:gridCol w:w="2754"/>
      </w:tblGrid>
      <w:tr w:rsidR="00A67F21" w:rsidRPr="00B12FE0" w14:paraId="6E0BBC3D" w14:textId="77777777">
        <w:trPr>
          <w:trHeight w:val="272"/>
          <w:jc w:val="center"/>
        </w:trPr>
        <w:tc>
          <w:tcPr>
            <w:tcW w:w="2683" w:type="dxa"/>
            <w:vMerge w:val="restart"/>
            <w:tcBorders>
              <w:top w:val="single" w:sz="4" w:space="0" w:color="auto"/>
              <w:left w:val="single" w:sz="4" w:space="0" w:color="auto"/>
              <w:bottom w:val="single" w:sz="4" w:space="0" w:color="auto"/>
              <w:right w:val="single" w:sz="4" w:space="0" w:color="auto"/>
            </w:tcBorders>
            <w:vAlign w:val="center"/>
          </w:tcPr>
          <w:p w14:paraId="5DAFB443" w14:textId="77777777" w:rsidR="00A67F21" w:rsidRPr="00B12FE0" w:rsidRDefault="00000000">
            <w:pPr>
              <w:jc w:val="center"/>
              <w:rPr>
                <w:bCs/>
                <w:color w:val="000000" w:themeColor="text1"/>
                <w:sz w:val="21"/>
                <w:szCs w:val="21"/>
              </w:rPr>
            </w:pPr>
            <w:proofErr w:type="spellStart"/>
            <w:r w:rsidRPr="00B12FE0">
              <w:rPr>
                <w:rFonts w:ascii="宋体" w:hAnsi="宋体" w:cs="宋体" w:hint="eastAsia"/>
                <w:bCs/>
                <w:color w:val="000000" w:themeColor="text1"/>
                <w:sz w:val="21"/>
                <w:szCs w:val="21"/>
              </w:rPr>
              <w:t>方位</w:t>
            </w:r>
            <w:proofErr w:type="spellEnd"/>
          </w:p>
        </w:tc>
        <w:tc>
          <w:tcPr>
            <w:tcW w:w="6334" w:type="dxa"/>
            <w:gridSpan w:val="2"/>
            <w:tcBorders>
              <w:top w:val="single" w:sz="4" w:space="0" w:color="auto"/>
              <w:left w:val="single" w:sz="4" w:space="0" w:color="auto"/>
              <w:bottom w:val="single" w:sz="4" w:space="0" w:color="auto"/>
              <w:right w:val="single" w:sz="4" w:space="0" w:color="auto"/>
            </w:tcBorders>
            <w:vAlign w:val="center"/>
          </w:tcPr>
          <w:p w14:paraId="38A35BF6" w14:textId="77777777" w:rsidR="00A67F21" w:rsidRPr="00B12FE0" w:rsidRDefault="00000000">
            <w:pPr>
              <w:jc w:val="center"/>
              <w:rPr>
                <w:color w:val="000000" w:themeColor="text1"/>
                <w:sz w:val="21"/>
                <w:szCs w:val="21"/>
              </w:rPr>
            </w:pPr>
            <w:r w:rsidRPr="00B12FE0">
              <w:rPr>
                <w:rFonts w:ascii="宋体" w:hAnsi="宋体"/>
                <w:bCs/>
                <w:color w:val="000000" w:themeColor="text1"/>
                <w:sz w:val="21"/>
                <w:szCs w:val="21"/>
              </w:rPr>
              <w:t>住友公司</w:t>
            </w:r>
            <w:r w:rsidRPr="00B12FE0">
              <w:rPr>
                <w:bCs/>
                <w:color w:val="000000" w:themeColor="text1"/>
                <w:sz w:val="21"/>
                <w:szCs w:val="21"/>
              </w:rPr>
              <w:t>HM-10HC</w:t>
            </w:r>
          </w:p>
        </w:tc>
      </w:tr>
      <w:tr w:rsidR="00A67F21" w:rsidRPr="00B12FE0" w14:paraId="0A86F8C9" w14:textId="77777777">
        <w:trPr>
          <w:trHeight w:val="272"/>
          <w:jc w:val="center"/>
        </w:trPr>
        <w:tc>
          <w:tcPr>
            <w:tcW w:w="2683" w:type="dxa"/>
            <w:vMerge/>
            <w:tcBorders>
              <w:top w:val="single" w:sz="4" w:space="0" w:color="auto"/>
              <w:left w:val="single" w:sz="4" w:space="0" w:color="auto"/>
              <w:bottom w:val="single" w:sz="4" w:space="0" w:color="auto"/>
              <w:right w:val="single" w:sz="4" w:space="0" w:color="auto"/>
            </w:tcBorders>
            <w:vAlign w:val="center"/>
          </w:tcPr>
          <w:p w14:paraId="53416220" w14:textId="77777777" w:rsidR="00A67F21" w:rsidRPr="00B12FE0" w:rsidRDefault="00A67F21">
            <w:pPr>
              <w:rPr>
                <w:bCs/>
                <w:color w:val="000000" w:themeColor="text1"/>
                <w:sz w:val="21"/>
                <w:szCs w:val="21"/>
              </w:rPr>
            </w:pPr>
          </w:p>
        </w:tc>
        <w:tc>
          <w:tcPr>
            <w:tcW w:w="3580" w:type="dxa"/>
            <w:tcBorders>
              <w:top w:val="single" w:sz="4" w:space="0" w:color="auto"/>
              <w:left w:val="single" w:sz="4" w:space="0" w:color="auto"/>
              <w:bottom w:val="single" w:sz="4" w:space="0" w:color="auto"/>
              <w:right w:val="single" w:sz="4" w:space="0" w:color="auto"/>
            </w:tcBorders>
            <w:vAlign w:val="center"/>
          </w:tcPr>
          <w:p w14:paraId="0E5E4A1B" w14:textId="77777777" w:rsidR="00A67F21" w:rsidRPr="00B12FE0" w:rsidRDefault="00000000">
            <w:pPr>
              <w:jc w:val="center"/>
              <w:rPr>
                <w:bCs/>
                <w:color w:val="000000" w:themeColor="text1"/>
                <w:sz w:val="21"/>
                <w:szCs w:val="21"/>
              </w:rPr>
            </w:pPr>
            <w:proofErr w:type="spellStart"/>
            <w:r w:rsidRPr="00B12FE0">
              <w:rPr>
                <w:rFonts w:eastAsiaTheme="minorEastAsia"/>
                <w:bCs/>
                <w:color w:val="000000" w:themeColor="text1"/>
                <w:sz w:val="21"/>
                <w:szCs w:val="21"/>
              </w:rPr>
              <w:t>γ</w:t>
            </w:r>
            <w:r w:rsidRPr="00B12FE0">
              <w:rPr>
                <w:rFonts w:ascii="宋体" w:hAnsi="宋体" w:cs="宋体" w:hint="eastAsia"/>
                <w:bCs/>
                <w:color w:val="000000" w:themeColor="text1"/>
                <w:sz w:val="21"/>
                <w:szCs w:val="21"/>
              </w:rPr>
              <w:t>（</w:t>
            </w:r>
            <w:r w:rsidRPr="00B12FE0">
              <w:rPr>
                <w:bCs/>
                <w:color w:val="000000" w:themeColor="text1"/>
                <w:sz w:val="21"/>
                <w:szCs w:val="21"/>
              </w:rPr>
              <w:t>μSv</w:t>
            </w:r>
            <w:proofErr w:type="spellEnd"/>
            <w:r w:rsidRPr="00B12FE0">
              <w:rPr>
                <w:bCs/>
                <w:color w:val="000000" w:themeColor="text1"/>
                <w:sz w:val="21"/>
                <w:szCs w:val="21"/>
              </w:rPr>
              <w:t>/h</w:t>
            </w:r>
            <w:r w:rsidRPr="00B12FE0">
              <w:rPr>
                <w:rFonts w:ascii="宋体" w:hAnsi="宋体" w:cs="宋体" w:hint="eastAsia"/>
                <w:bCs/>
                <w:color w:val="000000" w:themeColor="text1"/>
                <w:sz w:val="21"/>
                <w:szCs w:val="21"/>
              </w:rPr>
              <w:t>）</w:t>
            </w:r>
          </w:p>
        </w:tc>
        <w:tc>
          <w:tcPr>
            <w:tcW w:w="2754" w:type="dxa"/>
            <w:tcBorders>
              <w:top w:val="single" w:sz="4" w:space="0" w:color="auto"/>
              <w:left w:val="single" w:sz="4" w:space="0" w:color="auto"/>
              <w:bottom w:val="single" w:sz="4" w:space="0" w:color="auto"/>
              <w:right w:val="single" w:sz="4" w:space="0" w:color="auto"/>
            </w:tcBorders>
            <w:vAlign w:val="center"/>
          </w:tcPr>
          <w:p w14:paraId="524DB78A" w14:textId="77777777" w:rsidR="00A67F21" w:rsidRPr="00B12FE0" w:rsidRDefault="00000000">
            <w:pPr>
              <w:jc w:val="center"/>
              <w:rPr>
                <w:bCs/>
                <w:color w:val="000000" w:themeColor="text1"/>
                <w:sz w:val="21"/>
                <w:szCs w:val="21"/>
              </w:rPr>
            </w:pPr>
            <w:proofErr w:type="spellStart"/>
            <w:r w:rsidRPr="00B12FE0">
              <w:rPr>
                <w:rFonts w:ascii="宋体" w:hAnsi="宋体" w:cs="宋体" w:hint="eastAsia"/>
                <w:bCs/>
                <w:color w:val="000000" w:themeColor="text1"/>
                <w:sz w:val="21"/>
                <w:szCs w:val="21"/>
              </w:rPr>
              <w:t>中子</w:t>
            </w:r>
            <w:r w:rsidRPr="00B12FE0">
              <w:rPr>
                <w:rFonts w:ascii="宋体" w:hAnsi="宋体"/>
                <w:bCs/>
                <w:color w:val="000000" w:themeColor="text1"/>
                <w:sz w:val="21"/>
                <w:szCs w:val="21"/>
              </w:rPr>
              <w:t>（</w:t>
            </w:r>
            <w:r w:rsidRPr="00B12FE0">
              <w:rPr>
                <w:rFonts w:hint="eastAsia"/>
                <w:bCs/>
                <w:color w:val="000000" w:themeColor="text1"/>
                <w:sz w:val="21"/>
                <w:szCs w:val="21"/>
              </w:rPr>
              <w:t>μ</w:t>
            </w:r>
            <w:r w:rsidRPr="00B12FE0">
              <w:rPr>
                <w:bCs/>
                <w:color w:val="000000" w:themeColor="text1"/>
                <w:sz w:val="21"/>
                <w:szCs w:val="21"/>
              </w:rPr>
              <w:t>Sv</w:t>
            </w:r>
            <w:proofErr w:type="spellEnd"/>
            <w:r w:rsidRPr="00B12FE0">
              <w:rPr>
                <w:bCs/>
                <w:color w:val="000000" w:themeColor="text1"/>
                <w:sz w:val="21"/>
                <w:szCs w:val="21"/>
              </w:rPr>
              <w:t>/h</w:t>
            </w:r>
            <w:r w:rsidRPr="00B12FE0">
              <w:rPr>
                <w:rFonts w:ascii="宋体" w:hAnsi="宋体"/>
                <w:bCs/>
                <w:color w:val="000000" w:themeColor="text1"/>
                <w:sz w:val="21"/>
                <w:szCs w:val="21"/>
              </w:rPr>
              <w:t>）</w:t>
            </w:r>
          </w:p>
        </w:tc>
      </w:tr>
      <w:tr w:rsidR="00A67F21" w:rsidRPr="00B12FE0" w14:paraId="38F060AC" w14:textId="77777777">
        <w:trPr>
          <w:trHeight w:val="272"/>
          <w:jc w:val="center"/>
        </w:trPr>
        <w:tc>
          <w:tcPr>
            <w:tcW w:w="2683" w:type="dxa"/>
            <w:tcBorders>
              <w:top w:val="single" w:sz="4" w:space="0" w:color="auto"/>
              <w:left w:val="single" w:sz="4" w:space="0" w:color="auto"/>
              <w:bottom w:val="single" w:sz="4" w:space="0" w:color="auto"/>
              <w:right w:val="single" w:sz="4" w:space="0" w:color="auto"/>
            </w:tcBorders>
            <w:vAlign w:val="center"/>
          </w:tcPr>
          <w:p w14:paraId="7702EDB7" w14:textId="77777777" w:rsidR="00A67F21" w:rsidRPr="00B12FE0" w:rsidRDefault="00000000">
            <w:pPr>
              <w:jc w:val="center"/>
              <w:rPr>
                <w:bCs/>
                <w:color w:val="000000" w:themeColor="text1"/>
                <w:sz w:val="21"/>
                <w:szCs w:val="21"/>
              </w:rPr>
            </w:pPr>
            <w:r w:rsidRPr="00B12FE0">
              <w:rPr>
                <w:rFonts w:ascii="宋体" w:hAnsi="宋体"/>
                <w:bCs/>
                <w:color w:val="000000" w:themeColor="text1"/>
                <w:sz w:val="21"/>
                <w:szCs w:val="21"/>
              </w:rPr>
              <w:t>正面</w:t>
            </w:r>
            <w:r w:rsidRPr="00B12FE0">
              <w:rPr>
                <w:bCs/>
                <w:color w:val="000000" w:themeColor="text1"/>
                <w:sz w:val="21"/>
                <w:szCs w:val="21"/>
              </w:rPr>
              <w:t>1m</w:t>
            </w:r>
            <w:r w:rsidRPr="00B12FE0">
              <w:rPr>
                <w:rFonts w:ascii="宋体" w:hAnsi="宋体"/>
                <w:bCs/>
                <w:color w:val="000000" w:themeColor="text1"/>
                <w:sz w:val="21"/>
                <w:szCs w:val="21"/>
              </w:rPr>
              <w:t>处</w:t>
            </w:r>
          </w:p>
        </w:tc>
        <w:tc>
          <w:tcPr>
            <w:tcW w:w="3580" w:type="dxa"/>
            <w:tcBorders>
              <w:top w:val="single" w:sz="4" w:space="0" w:color="auto"/>
              <w:left w:val="single" w:sz="4" w:space="0" w:color="auto"/>
              <w:bottom w:val="single" w:sz="4" w:space="0" w:color="auto"/>
              <w:right w:val="single" w:sz="4" w:space="0" w:color="auto"/>
            </w:tcBorders>
          </w:tcPr>
          <w:p w14:paraId="4666763F"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34.6</w:t>
            </w:r>
          </w:p>
        </w:tc>
        <w:tc>
          <w:tcPr>
            <w:tcW w:w="2754" w:type="dxa"/>
            <w:tcBorders>
              <w:top w:val="single" w:sz="4" w:space="0" w:color="auto"/>
              <w:left w:val="single" w:sz="4" w:space="0" w:color="auto"/>
              <w:bottom w:val="single" w:sz="4" w:space="0" w:color="auto"/>
              <w:right w:val="single" w:sz="4" w:space="0" w:color="auto"/>
            </w:tcBorders>
          </w:tcPr>
          <w:p w14:paraId="63D336F6"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6.7</w:t>
            </w:r>
          </w:p>
        </w:tc>
      </w:tr>
      <w:tr w:rsidR="00A67F21" w:rsidRPr="00B12FE0" w14:paraId="7E18A93D" w14:textId="77777777">
        <w:trPr>
          <w:trHeight w:val="272"/>
          <w:jc w:val="center"/>
        </w:trPr>
        <w:tc>
          <w:tcPr>
            <w:tcW w:w="2683" w:type="dxa"/>
            <w:tcBorders>
              <w:top w:val="single" w:sz="4" w:space="0" w:color="auto"/>
              <w:left w:val="single" w:sz="4" w:space="0" w:color="auto"/>
              <w:bottom w:val="single" w:sz="4" w:space="0" w:color="auto"/>
              <w:right w:val="single" w:sz="4" w:space="0" w:color="auto"/>
            </w:tcBorders>
            <w:vAlign w:val="center"/>
          </w:tcPr>
          <w:p w14:paraId="78B97023" w14:textId="77777777" w:rsidR="00A67F21" w:rsidRPr="00B12FE0" w:rsidRDefault="00000000">
            <w:pPr>
              <w:jc w:val="center"/>
              <w:rPr>
                <w:bCs/>
                <w:color w:val="000000" w:themeColor="text1"/>
                <w:sz w:val="21"/>
                <w:szCs w:val="21"/>
              </w:rPr>
            </w:pPr>
            <w:r w:rsidRPr="00B12FE0">
              <w:rPr>
                <w:rFonts w:ascii="宋体" w:hAnsi="宋体"/>
                <w:bCs/>
                <w:color w:val="000000" w:themeColor="text1"/>
                <w:sz w:val="21"/>
                <w:szCs w:val="21"/>
              </w:rPr>
              <w:t>背面</w:t>
            </w:r>
            <w:r w:rsidRPr="00B12FE0">
              <w:rPr>
                <w:bCs/>
                <w:color w:val="000000" w:themeColor="text1"/>
                <w:sz w:val="21"/>
                <w:szCs w:val="21"/>
              </w:rPr>
              <w:t>1m</w:t>
            </w:r>
            <w:r w:rsidRPr="00B12FE0">
              <w:rPr>
                <w:rFonts w:ascii="宋体" w:hAnsi="宋体"/>
                <w:bCs/>
                <w:color w:val="000000" w:themeColor="text1"/>
                <w:sz w:val="21"/>
                <w:szCs w:val="21"/>
              </w:rPr>
              <w:t>处</w:t>
            </w:r>
          </w:p>
        </w:tc>
        <w:tc>
          <w:tcPr>
            <w:tcW w:w="3580" w:type="dxa"/>
            <w:tcBorders>
              <w:top w:val="single" w:sz="4" w:space="0" w:color="auto"/>
              <w:left w:val="single" w:sz="4" w:space="0" w:color="auto"/>
              <w:bottom w:val="single" w:sz="4" w:space="0" w:color="auto"/>
              <w:right w:val="single" w:sz="4" w:space="0" w:color="auto"/>
            </w:tcBorders>
          </w:tcPr>
          <w:p w14:paraId="7D0FDDC1"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15.9</w:t>
            </w:r>
          </w:p>
        </w:tc>
        <w:tc>
          <w:tcPr>
            <w:tcW w:w="2754" w:type="dxa"/>
            <w:tcBorders>
              <w:top w:val="single" w:sz="4" w:space="0" w:color="auto"/>
              <w:left w:val="single" w:sz="4" w:space="0" w:color="auto"/>
              <w:bottom w:val="single" w:sz="4" w:space="0" w:color="auto"/>
              <w:right w:val="single" w:sz="4" w:space="0" w:color="auto"/>
            </w:tcBorders>
          </w:tcPr>
          <w:p w14:paraId="64BB3CCE"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14.1</w:t>
            </w:r>
          </w:p>
        </w:tc>
      </w:tr>
      <w:tr w:rsidR="00A67F21" w:rsidRPr="00B12FE0" w14:paraId="13019ACA" w14:textId="77777777">
        <w:trPr>
          <w:trHeight w:val="272"/>
          <w:jc w:val="center"/>
        </w:trPr>
        <w:tc>
          <w:tcPr>
            <w:tcW w:w="2683" w:type="dxa"/>
            <w:tcBorders>
              <w:top w:val="single" w:sz="4" w:space="0" w:color="auto"/>
              <w:left w:val="single" w:sz="4" w:space="0" w:color="auto"/>
              <w:bottom w:val="single" w:sz="4" w:space="0" w:color="auto"/>
              <w:right w:val="single" w:sz="4" w:space="0" w:color="auto"/>
            </w:tcBorders>
            <w:vAlign w:val="center"/>
          </w:tcPr>
          <w:p w14:paraId="13217369" w14:textId="77777777" w:rsidR="00A67F21" w:rsidRPr="00B12FE0" w:rsidRDefault="00000000">
            <w:pPr>
              <w:jc w:val="center"/>
              <w:rPr>
                <w:bCs/>
                <w:color w:val="000000" w:themeColor="text1"/>
                <w:sz w:val="21"/>
                <w:szCs w:val="21"/>
              </w:rPr>
            </w:pPr>
            <w:r w:rsidRPr="00B12FE0">
              <w:rPr>
                <w:rFonts w:ascii="宋体" w:hAnsi="宋体"/>
                <w:bCs/>
                <w:color w:val="000000" w:themeColor="text1"/>
                <w:sz w:val="21"/>
                <w:szCs w:val="21"/>
              </w:rPr>
              <w:t>左侧</w:t>
            </w:r>
            <w:r w:rsidRPr="00B12FE0">
              <w:rPr>
                <w:bCs/>
                <w:color w:val="000000" w:themeColor="text1"/>
                <w:sz w:val="21"/>
                <w:szCs w:val="21"/>
              </w:rPr>
              <w:t>1m</w:t>
            </w:r>
            <w:r w:rsidRPr="00B12FE0">
              <w:rPr>
                <w:rFonts w:ascii="宋体" w:hAnsi="宋体"/>
                <w:bCs/>
                <w:color w:val="000000" w:themeColor="text1"/>
                <w:sz w:val="21"/>
                <w:szCs w:val="21"/>
              </w:rPr>
              <w:t>处</w:t>
            </w:r>
          </w:p>
        </w:tc>
        <w:tc>
          <w:tcPr>
            <w:tcW w:w="3580" w:type="dxa"/>
            <w:tcBorders>
              <w:top w:val="single" w:sz="4" w:space="0" w:color="auto"/>
              <w:left w:val="single" w:sz="4" w:space="0" w:color="auto"/>
              <w:bottom w:val="single" w:sz="4" w:space="0" w:color="auto"/>
              <w:right w:val="single" w:sz="4" w:space="0" w:color="auto"/>
            </w:tcBorders>
          </w:tcPr>
          <w:p w14:paraId="05554C81"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42.5</w:t>
            </w:r>
          </w:p>
        </w:tc>
        <w:tc>
          <w:tcPr>
            <w:tcW w:w="2754" w:type="dxa"/>
            <w:tcBorders>
              <w:top w:val="single" w:sz="4" w:space="0" w:color="auto"/>
              <w:left w:val="single" w:sz="4" w:space="0" w:color="auto"/>
              <w:bottom w:val="single" w:sz="4" w:space="0" w:color="auto"/>
              <w:right w:val="single" w:sz="4" w:space="0" w:color="auto"/>
            </w:tcBorders>
          </w:tcPr>
          <w:p w14:paraId="34649DAC"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30.3</w:t>
            </w:r>
          </w:p>
        </w:tc>
      </w:tr>
      <w:tr w:rsidR="00A67F21" w:rsidRPr="00B12FE0" w14:paraId="65CCBADF" w14:textId="77777777">
        <w:trPr>
          <w:trHeight w:val="272"/>
          <w:jc w:val="center"/>
        </w:trPr>
        <w:tc>
          <w:tcPr>
            <w:tcW w:w="2683" w:type="dxa"/>
            <w:tcBorders>
              <w:top w:val="single" w:sz="4" w:space="0" w:color="auto"/>
              <w:left w:val="single" w:sz="4" w:space="0" w:color="auto"/>
              <w:bottom w:val="single" w:sz="4" w:space="0" w:color="auto"/>
              <w:right w:val="single" w:sz="4" w:space="0" w:color="auto"/>
            </w:tcBorders>
            <w:vAlign w:val="center"/>
          </w:tcPr>
          <w:p w14:paraId="3F9BFFEA" w14:textId="77777777" w:rsidR="00A67F21" w:rsidRPr="00B12FE0" w:rsidRDefault="00000000">
            <w:pPr>
              <w:jc w:val="center"/>
              <w:rPr>
                <w:bCs/>
                <w:color w:val="000000" w:themeColor="text1"/>
                <w:sz w:val="21"/>
                <w:szCs w:val="21"/>
              </w:rPr>
            </w:pPr>
            <w:r w:rsidRPr="00B12FE0">
              <w:rPr>
                <w:rFonts w:ascii="宋体" w:hAnsi="宋体"/>
                <w:bCs/>
                <w:color w:val="000000" w:themeColor="text1"/>
                <w:sz w:val="21"/>
                <w:szCs w:val="21"/>
              </w:rPr>
              <w:t>右侧</w:t>
            </w:r>
            <w:r w:rsidRPr="00B12FE0">
              <w:rPr>
                <w:bCs/>
                <w:color w:val="000000" w:themeColor="text1"/>
                <w:sz w:val="21"/>
                <w:szCs w:val="21"/>
              </w:rPr>
              <w:t>1m</w:t>
            </w:r>
            <w:r w:rsidRPr="00B12FE0">
              <w:rPr>
                <w:rFonts w:ascii="宋体" w:hAnsi="宋体"/>
                <w:bCs/>
                <w:color w:val="000000" w:themeColor="text1"/>
                <w:sz w:val="21"/>
                <w:szCs w:val="21"/>
              </w:rPr>
              <w:t>处</w:t>
            </w:r>
          </w:p>
        </w:tc>
        <w:tc>
          <w:tcPr>
            <w:tcW w:w="3580" w:type="dxa"/>
            <w:tcBorders>
              <w:top w:val="single" w:sz="4" w:space="0" w:color="auto"/>
              <w:left w:val="single" w:sz="4" w:space="0" w:color="auto"/>
              <w:bottom w:val="single" w:sz="4" w:space="0" w:color="auto"/>
              <w:right w:val="single" w:sz="4" w:space="0" w:color="auto"/>
            </w:tcBorders>
          </w:tcPr>
          <w:p w14:paraId="5EB58740"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55.9</w:t>
            </w:r>
          </w:p>
        </w:tc>
        <w:tc>
          <w:tcPr>
            <w:tcW w:w="2754" w:type="dxa"/>
            <w:tcBorders>
              <w:top w:val="single" w:sz="4" w:space="0" w:color="auto"/>
              <w:left w:val="single" w:sz="4" w:space="0" w:color="auto"/>
              <w:bottom w:val="single" w:sz="4" w:space="0" w:color="auto"/>
              <w:right w:val="single" w:sz="4" w:space="0" w:color="auto"/>
            </w:tcBorders>
          </w:tcPr>
          <w:p w14:paraId="75129AE2"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112.7</w:t>
            </w:r>
          </w:p>
        </w:tc>
      </w:tr>
      <w:tr w:rsidR="00A67F21" w:rsidRPr="00B12FE0" w14:paraId="40B5750C" w14:textId="77777777">
        <w:trPr>
          <w:trHeight w:val="272"/>
          <w:jc w:val="center"/>
        </w:trPr>
        <w:tc>
          <w:tcPr>
            <w:tcW w:w="2683" w:type="dxa"/>
            <w:tcBorders>
              <w:top w:val="single" w:sz="4" w:space="0" w:color="auto"/>
              <w:left w:val="single" w:sz="4" w:space="0" w:color="auto"/>
              <w:bottom w:val="single" w:sz="4" w:space="0" w:color="auto"/>
              <w:right w:val="single" w:sz="4" w:space="0" w:color="auto"/>
            </w:tcBorders>
            <w:vAlign w:val="center"/>
          </w:tcPr>
          <w:p w14:paraId="7A29F711" w14:textId="77777777" w:rsidR="00A67F21" w:rsidRPr="00B12FE0" w:rsidRDefault="00000000">
            <w:pPr>
              <w:jc w:val="center"/>
              <w:rPr>
                <w:bCs/>
                <w:color w:val="000000" w:themeColor="text1"/>
                <w:sz w:val="21"/>
                <w:szCs w:val="21"/>
              </w:rPr>
            </w:pPr>
            <w:r w:rsidRPr="00B12FE0">
              <w:rPr>
                <w:rFonts w:ascii="宋体" w:hAnsi="宋体"/>
                <w:bCs/>
                <w:color w:val="000000" w:themeColor="text1"/>
                <w:sz w:val="21"/>
                <w:szCs w:val="21"/>
              </w:rPr>
              <w:t>顶面</w:t>
            </w:r>
            <w:r w:rsidRPr="00B12FE0">
              <w:rPr>
                <w:bCs/>
                <w:color w:val="000000" w:themeColor="text1"/>
                <w:sz w:val="21"/>
                <w:szCs w:val="21"/>
              </w:rPr>
              <w:t>1m</w:t>
            </w:r>
            <w:r w:rsidRPr="00B12FE0">
              <w:rPr>
                <w:rFonts w:ascii="宋体" w:hAnsi="宋体"/>
                <w:bCs/>
                <w:color w:val="000000" w:themeColor="text1"/>
                <w:sz w:val="21"/>
                <w:szCs w:val="21"/>
              </w:rPr>
              <w:t>处</w:t>
            </w:r>
          </w:p>
        </w:tc>
        <w:tc>
          <w:tcPr>
            <w:tcW w:w="3580" w:type="dxa"/>
            <w:tcBorders>
              <w:top w:val="single" w:sz="4" w:space="0" w:color="auto"/>
              <w:left w:val="single" w:sz="4" w:space="0" w:color="auto"/>
              <w:bottom w:val="single" w:sz="4" w:space="0" w:color="auto"/>
              <w:right w:val="single" w:sz="4" w:space="0" w:color="auto"/>
            </w:tcBorders>
          </w:tcPr>
          <w:p w14:paraId="36F84342"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16.5</w:t>
            </w:r>
          </w:p>
        </w:tc>
        <w:tc>
          <w:tcPr>
            <w:tcW w:w="2754" w:type="dxa"/>
            <w:tcBorders>
              <w:top w:val="single" w:sz="4" w:space="0" w:color="auto"/>
              <w:left w:val="single" w:sz="4" w:space="0" w:color="auto"/>
              <w:bottom w:val="single" w:sz="4" w:space="0" w:color="auto"/>
              <w:right w:val="single" w:sz="4" w:space="0" w:color="auto"/>
            </w:tcBorders>
          </w:tcPr>
          <w:p w14:paraId="6D390D05"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14.4</w:t>
            </w:r>
          </w:p>
        </w:tc>
      </w:tr>
      <w:tr w:rsidR="00A67F21" w:rsidRPr="00B12FE0" w14:paraId="2DD61656" w14:textId="77777777">
        <w:trPr>
          <w:trHeight w:val="272"/>
          <w:jc w:val="center"/>
        </w:trPr>
        <w:tc>
          <w:tcPr>
            <w:tcW w:w="9017" w:type="dxa"/>
            <w:gridSpan w:val="3"/>
            <w:tcBorders>
              <w:top w:val="single" w:sz="4" w:space="0" w:color="auto"/>
              <w:left w:val="single" w:sz="4" w:space="0" w:color="auto"/>
              <w:bottom w:val="single" w:sz="4" w:space="0" w:color="auto"/>
              <w:right w:val="single" w:sz="4" w:space="0" w:color="auto"/>
            </w:tcBorders>
            <w:vAlign w:val="center"/>
          </w:tcPr>
          <w:p w14:paraId="0C582D7F" w14:textId="77777777" w:rsidR="00A67F21" w:rsidRPr="00B12FE0" w:rsidRDefault="00000000">
            <w:pPr>
              <w:rPr>
                <w:bCs/>
                <w:color w:val="000000" w:themeColor="text1"/>
                <w:sz w:val="21"/>
                <w:szCs w:val="21"/>
              </w:rPr>
            </w:pPr>
            <w:proofErr w:type="spellStart"/>
            <w:r w:rsidRPr="00B12FE0">
              <w:rPr>
                <w:rFonts w:ascii="宋体" w:hAnsi="宋体" w:hint="eastAsia"/>
                <w:bCs/>
                <w:color w:val="000000" w:themeColor="text1"/>
                <w:sz w:val="18"/>
                <w:szCs w:val="18"/>
              </w:rPr>
              <w:t>注：此参数由设备厂家提供</w:t>
            </w:r>
            <w:proofErr w:type="spellEnd"/>
            <w:r w:rsidRPr="00B12FE0">
              <w:rPr>
                <w:rFonts w:ascii="宋体" w:hAnsi="宋体" w:hint="eastAsia"/>
                <w:bCs/>
                <w:color w:val="000000" w:themeColor="text1"/>
                <w:sz w:val="18"/>
                <w:szCs w:val="18"/>
              </w:rPr>
              <w:t>。</w:t>
            </w:r>
          </w:p>
        </w:tc>
      </w:tr>
    </w:tbl>
    <w:p w14:paraId="0923B9BC" w14:textId="77777777" w:rsidR="00A67F21" w:rsidRPr="00B12FE0" w:rsidRDefault="00000000">
      <w:pPr>
        <w:autoSpaceDE w:val="0"/>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由于回旋加速器机房位于肿瘤治疗中心一层</w:t>
      </w:r>
      <w:r w:rsidRPr="00B12FE0">
        <w:rPr>
          <w:rFonts w:ascii="宋体" w:hAnsi="宋体" w:hint="eastAsia"/>
          <w:color w:val="000000" w:themeColor="text1"/>
          <w:szCs w:val="24"/>
        </w:rPr>
        <w:t>西侧</w:t>
      </w:r>
      <w:r w:rsidRPr="00B12FE0">
        <w:rPr>
          <w:rFonts w:ascii="宋体" w:hAnsi="宋体"/>
          <w:color w:val="000000" w:themeColor="text1"/>
          <w:szCs w:val="24"/>
        </w:rPr>
        <w:t>，</w:t>
      </w:r>
      <w:r w:rsidRPr="00B12FE0">
        <w:rPr>
          <w:rFonts w:ascii="宋体" w:hAnsi="宋体" w:hint="eastAsia"/>
          <w:color w:val="000000" w:themeColor="text1"/>
          <w:szCs w:val="24"/>
        </w:rPr>
        <w:t>下方</w:t>
      </w:r>
      <w:r w:rsidRPr="00B12FE0">
        <w:rPr>
          <w:rFonts w:ascii="宋体" w:hAnsi="宋体"/>
          <w:color w:val="000000" w:themeColor="text1"/>
          <w:szCs w:val="24"/>
        </w:rPr>
        <w:t>为</w:t>
      </w:r>
      <w:r w:rsidRPr="00B12FE0">
        <w:rPr>
          <w:rFonts w:ascii="宋体" w:hAnsi="宋体" w:hint="eastAsia"/>
          <w:color w:val="000000" w:themeColor="text1"/>
          <w:szCs w:val="24"/>
        </w:rPr>
        <w:t>岩土层</w:t>
      </w:r>
      <w:r w:rsidRPr="00B12FE0">
        <w:rPr>
          <w:rFonts w:ascii="宋体" w:hAnsi="宋体"/>
          <w:color w:val="000000" w:themeColor="text1"/>
          <w:szCs w:val="24"/>
        </w:rPr>
        <w:t>，因此不对</w:t>
      </w:r>
      <w:r w:rsidRPr="00B12FE0">
        <w:rPr>
          <w:rFonts w:ascii="宋体" w:hAnsi="宋体" w:hint="eastAsia"/>
          <w:color w:val="000000" w:themeColor="text1"/>
          <w:szCs w:val="24"/>
        </w:rPr>
        <w:t>下方剂量率进行分析</w:t>
      </w:r>
      <w:r w:rsidRPr="00B12FE0">
        <w:rPr>
          <w:rFonts w:ascii="宋体" w:hAnsi="宋体"/>
          <w:color w:val="000000" w:themeColor="text1"/>
          <w:szCs w:val="24"/>
        </w:rPr>
        <w:t>，回旋加速器机房外的</w:t>
      </w:r>
      <w:proofErr w:type="gramStart"/>
      <w:r w:rsidRPr="00B12FE0">
        <w:rPr>
          <w:rFonts w:ascii="宋体" w:hAnsi="宋体"/>
          <w:color w:val="000000" w:themeColor="text1"/>
          <w:szCs w:val="24"/>
        </w:rPr>
        <w:t>各关注点见</w:t>
      </w:r>
      <w:proofErr w:type="gramEnd"/>
      <w:r w:rsidRPr="00B12FE0">
        <w:rPr>
          <w:color w:val="000000" w:themeColor="text1"/>
          <w:szCs w:val="24"/>
        </w:rPr>
        <w:t>附图</w:t>
      </w:r>
      <w:r w:rsidRPr="00B12FE0">
        <w:rPr>
          <w:color w:val="000000" w:themeColor="text1"/>
          <w:szCs w:val="24"/>
        </w:rPr>
        <w:t>11-1</w:t>
      </w:r>
      <w:r w:rsidRPr="00B12FE0">
        <w:rPr>
          <w:color w:val="000000" w:themeColor="text1"/>
          <w:szCs w:val="24"/>
        </w:rPr>
        <w:t>。</w:t>
      </w:r>
    </w:p>
    <w:p w14:paraId="3A9928A1" w14:textId="77777777" w:rsidR="00A67F21" w:rsidRPr="00B12FE0" w:rsidRDefault="00000000">
      <w:pPr>
        <w:adjustRightInd w:val="0"/>
        <w:snapToGrid w:val="0"/>
        <w:spacing w:line="360" w:lineRule="auto"/>
        <w:ind w:firstLineChars="200" w:firstLine="482"/>
        <w:rPr>
          <w:b/>
          <w:bCs/>
          <w:snapToGrid w:val="0"/>
          <w:color w:val="000000" w:themeColor="text1"/>
          <w:szCs w:val="24"/>
        </w:rPr>
      </w:pPr>
      <w:r w:rsidRPr="00B12FE0">
        <w:rPr>
          <w:rFonts w:ascii="Cambria Math" w:hAnsi="Cambria Math" w:cs="Cambria Math"/>
          <w:b/>
          <w:bCs/>
          <w:snapToGrid w:val="0"/>
          <w:color w:val="000000" w:themeColor="text1"/>
          <w:szCs w:val="24"/>
        </w:rPr>
        <w:t>③</w:t>
      </w:r>
      <w:r w:rsidRPr="00B12FE0">
        <w:rPr>
          <w:b/>
          <w:bCs/>
          <w:snapToGrid w:val="0"/>
          <w:color w:val="000000" w:themeColor="text1"/>
          <w:szCs w:val="24"/>
        </w:rPr>
        <w:t>回旋加速器机房外辐射剂量率预测</w:t>
      </w:r>
    </w:p>
    <w:p w14:paraId="20B87F55" w14:textId="77777777" w:rsidR="00A67F21" w:rsidRPr="00B12FE0" w:rsidRDefault="00000000">
      <w:pPr>
        <w:adjustRightInd w:val="0"/>
        <w:snapToGrid w:val="0"/>
        <w:spacing w:line="360" w:lineRule="auto"/>
        <w:ind w:firstLineChars="200" w:firstLine="480"/>
        <w:rPr>
          <w:snapToGrid w:val="0"/>
          <w:color w:val="000000" w:themeColor="text1"/>
          <w:kern w:val="0"/>
          <w:szCs w:val="24"/>
        </w:rPr>
      </w:pPr>
      <w:r w:rsidRPr="00B12FE0">
        <w:rPr>
          <w:snapToGrid w:val="0"/>
          <w:color w:val="000000" w:themeColor="text1"/>
          <w:kern w:val="0"/>
          <w:szCs w:val="24"/>
        </w:rPr>
        <w:t>根据</w:t>
      </w:r>
      <w:r w:rsidRPr="00B12FE0">
        <w:rPr>
          <w:snapToGrid w:val="0"/>
          <w:color w:val="000000" w:themeColor="text1"/>
          <w:szCs w:val="24"/>
        </w:rPr>
        <w:t>《核医学放射防护要求》（</w:t>
      </w:r>
      <w:r w:rsidRPr="00B12FE0">
        <w:rPr>
          <w:snapToGrid w:val="0"/>
          <w:color w:val="000000" w:themeColor="text1"/>
          <w:szCs w:val="24"/>
        </w:rPr>
        <w:t>GBZ120-2020</w:t>
      </w:r>
      <w:r w:rsidRPr="00B12FE0">
        <w:rPr>
          <w:snapToGrid w:val="0"/>
          <w:color w:val="000000" w:themeColor="text1"/>
          <w:szCs w:val="24"/>
        </w:rPr>
        <w:t>），</w:t>
      </w:r>
      <w:r w:rsidRPr="00B12FE0">
        <w:rPr>
          <w:snapToGrid w:val="0"/>
          <w:color w:val="000000" w:themeColor="text1"/>
          <w:kern w:val="0"/>
          <w:szCs w:val="24"/>
        </w:rPr>
        <w:t>回旋加速器屏蔽室外的剂量率可采用生产厂家提供的泄漏辐射剂量等高线，采用近似方法估算。估算公式见下式。</w:t>
      </w:r>
    </w:p>
    <w:p w14:paraId="60F9A75C" w14:textId="77777777" w:rsidR="00A67F21" w:rsidRPr="00B12FE0" w:rsidRDefault="00000000">
      <w:pPr>
        <w:adjustRightInd w:val="0"/>
        <w:snapToGrid w:val="0"/>
        <w:spacing w:line="360" w:lineRule="auto"/>
        <w:ind w:firstLine="200"/>
        <w:jc w:val="center"/>
        <w:rPr>
          <w:rFonts w:eastAsia="仿宋"/>
          <w:snapToGrid w:val="0"/>
          <w:color w:val="000000" w:themeColor="text1"/>
          <w:szCs w:val="24"/>
        </w:rPr>
      </w:pPr>
      <m:oMath>
        <m:sSub>
          <m:sSubPr>
            <m:ctrlPr>
              <w:rPr>
                <w:rFonts w:ascii="Cambria Math" w:eastAsia="仿宋" w:hAnsi="Cambria Math"/>
                <w:i/>
                <w:snapToGrid w:val="0"/>
                <w:color w:val="000000" w:themeColor="text1"/>
                <w:szCs w:val="24"/>
              </w:rPr>
            </m:ctrlPr>
          </m:sSubPr>
          <m:e>
            <m:r>
              <m:rPr>
                <m:nor/>
              </m:rPr>
              <w:rPr>
                <w:rFonts w:ascii="Cambria Math" w:eastAsia="仿宋" w:hAnsi="Cambria Math"/>
                <w:i/>
                <w:snapToGrid w:val="0"/>
                <w:color w:val="000000" w:themeColor="text1"/>
                <w:szCs w:val="24"/>
              </w:rPr>
              <m:t>H</m:t>
            </m:r>
          </m:e>
          <m:sub>
            <m:r>
              <m:rPr>
                <m:nor/>
              </m:rPr>
              <w:rPr>
                <w:rFonts w:ascii="Cambria Math" w:eastAsia="仿宋" w:hAnsi="Cambria Math"/>
                <w:i/>
                <w:snapToGrid w:val="0"/>
                <w:color w:val="000000" w:themeColor="text1"/>
                <w:szCs w:val="24"/>
              </w:rPr>
              <m:t>R</m:t>
            </m:r>
          </m:sub>
        </m:sSub>
        <m:r>
          <m:rPr>
            <m:nor/>
          </m:rPr>
          <w:rPr>
            <w:rFonts w:ascii="Cambria Math" w:eastAsia="仿宋" w:hAnsi="Cambria Math"/>
            <w:i/>
            <w:snapToGrid w:val="0"/>
            <w:color w:val="000000" w:themeColor="text1"/>
            <w:szCs w:val="24"/>
          </w:rPr>
          <m:t>=</m:t>
        </m:r>
        <m:sSup>
          <m:sSupPr>
            <m:ctrlPr>
              <w:rPr>
                <w:rFonts w:ascii="Cambria Math" w:eastAsia="仿宋" w:hAnsi="Cambria Math"/>
                <w:i/>
                <w:snapToGrid w:val="0"/>
                <w:color w:val="000000" w:themeColor="text1"/>
                <w:szCs w:val="24"/>
              </w:rPr>
            </m:ctrlPr>
          </m:sSupPr>
          <m:e>
            <m:r>
              <m:rPr>
                <m:nor/>
              </m:rPr>
              <w:rPr>
                <w:rFonts w:ascii="Cambria Math" w:eastAsia="仿宋" w:hAnsi="Cambria Math"/>
                <w:i/>
                <w:snapToGrid w:val="0"/>
                <w:color w:val="000000" w:themeColor="text1"/>
                <w:szCs w:val="24"/>
              </w:rPr>
              <m:t>(</m:t>
            </m:r>
            <m:f>
              <m:fPr>
                <m:ctrlPr>
                  <w:rPr>
                    <w:rFonts w:ascii="Cambria Math" w:eastAsia="仿宋" w:hAnsi="Cambria Math"/>
                    <w:i/>
                    <w:snapToGrid w:val="0"/>
                    <w:color w:val="000000" w:themeColor="text1"/>
                    <w:szCs w:val="24"/>
                  </w:rPr>
                </m:ctrlPr>
              </m:fPr>
              <m:num>
                <m:sSub>
                  <m:sSubPr>
                    <m:ctrlPr>
                      <w:rPr>
                        <w:rFonts w:ascii="Cambria Math" w:eastAsia="仿宋" w:hAnsi="Cambria Math"/>
                        <w:i/>
                        <w:snapToGrid w:val="0"/>
                        <w:color w:val="000000" w:themeColor="text1"/>
                        <w:szCs w:val="24"/>
                      </w:rPr>
                    </m:ctrlPr>
                  </m:sSubPr>
                  <m:e>
                    <m:r>
                      <m:rPr>
                        <m:nor/>
                      </m:rPr>
                      <w:rPr>
                        <w:rFonts w:ascii="Cambria Math" w:eastAsia="仿宋" w:hAnsi="Cambria Math"/>
                        <w:i/>
                        <w:snapToGrid w:val="0"/>
                        <w:color w:val="000000" w:themeColor="text1"/>
                        <w:szCs w:val="24"/>
                      </w:rPr>
                      <m:t>r</m:t>
                    </m:r>
                  </m:e>
                  <m:sub>
                    <m:r>
                      <m:rPr>
                        <m:nor/>
                      </m:rPr>
                      <w:rPr>
                        <w:rFonts w:ascii="Cambria Math" w:eastAsia="仿宋" w:hAnsi="Cambria Math"/>
                        <w:i/>
                        <w:snapToGrid w:val="0"/>
                        <w:color w:val="000000" w:themeColor="text1"/>
                        <w:szCs w:val="24"/>
                      </w:rPr>
                      <m:t>0</m:t>
                    </m:r>
                  </m:sub>
                </m:sSub>
              </m:num>
              <m:den>
                <m:r>
                  <m:rPr>
                    <m:nor/>
                  </m:rPr>
                  <w:rPr>
                    <w:rFonts w:ascii="Cambria Math" w:eastAsia="仿宋" w:hAnsi="Cambria Math"/>
                    <w:i/>
                    <w:snapToGrid w:val="0"/>
                    <w:color w:val="000000" w:themeColor="text1"/>
                    <w:szCs w:val="24"/>
                  </w:rPr>
                  <m:t>R</m:t>
                </m:r>
              </m:den>
            </m:f>
            <m:r>
              <m:rPr>
                <m:nor/>
              </m:rPr>
              <w:rPr>
                <w:rFonts w:ascii="Cambria Math" w:eastAsia="仿宋" w:hAnsi="Cambria Math"/>
                <w:i/>
                <w:snapToGrid w:val="0"/>
                <w:color w:val="000000" w:themeColor="text1"/>
                <w:szCs w:val="24"/>
              </w:rPr>
              <m:t>)</m:t>
            </m:r>
          </m:e>
          <m:sup>
            <m:r>
              <m:rPr>
                <m:nor/>
              </m:rPr>
              <w:rPr>
                <w:rFonts w:ascii="Cambria Math" w:eastAsia="仿宋" w:hAnsi="Cambria Math"/>
                <w:i/>
                <w:snapToGrid w:val="0"/>
                <w:color w:val="000000" w:themeColor="text1"/>
                <w:szCs w:val="24"/>
              </w:rPr>
              <m:t>2</m:t>
            </m:r>
          </m:sup>
        </m:sSup>
        <m:r>
          <m:rPr>
            <m:nor/>
          </m:rPr>
          <w:rPr>
            <w:rFonts w:ascii="Cambria Math" w:eastAsia="仿宋" w:hAnsi="Cambria Math"/>
            <w:i/>
            <w:snapToGrid w:val="0"/>
            <w:color w:val="000000" w:themeColor="text1"/>
            <w:szCs w:val="24"/>
          </w:rPr>
          <m:t>×</m:t>
        </m:r>
        <m:sSub>
          <m:sSubPr>
            <m:ctrlPr>
              <w:rPr>
                <w:rFonts w:ascii="Cambria Math" w:eastAsia="仿宋" w:hAnsi="Cambria Math"/>
                <w:i/>
                <w:snapToGrid w:val="0"/>
                <w:color w:val="000000" w:themeColor="text1"/>
                <w:szCs w:val="24"/>
              </w:rPr>
            </m:ctrlPr>
          </m:sSubPr>
          <m:e>
            <m:r>
              <m:rPr>
                <m:nor/>
              </m:rPr>
              <w:rPr>
                <w:rFonts w:ascii="Cambria Math" w:eastAsia="仿宋" w:hAnsi="Cambria Math"/>
                <w:i/>
                <w:snapToGrid w:val="0"/>
                <w:color w:val="000000" w:themeColor="text1"/>
                <w:szCs w:val="24"/>
              </w:rPr>
              <m:t>（</m:t>
            </m:r>
            <m:r>
              <m:rPr>
                <m:nor/>
              </m:rPr>
              <w:rPr>
                <w:rFonts w:ascii="Cambria Math" w:eastAsia="仿宋" w:hAnsi="Cambria Math"/>
                <w:i/>
                <w:snapToGrid w:val="0"/>
                <w:color w:val="000000" w:themeColor="text1"/>
                <w:szCs w:val="24"/>
              </w:rPr>
              <m:t>H</m:t>
            </m:r>
          </m:e>
          <m:sub>
            <m:r>
              <m:rPr>
                <m:nor/>
              </m:rPr>
              <w:rPr>
                <w:rFonts w:ascii="Cambria Math" w:eastAsia="仿宋" w:hAnsi="Cambria Math"/>
                <w:i/>
                <w:snapToGrid w:val="0"/>
                <w:color w:val="000000" w:themeColor="text1"/>
                <w:szCs w:val="24"/>
              </w:rPr>
              <m:t>n</m:t>
            </m:r>
          </m:sub>
        </m:sSub>
        <m:r>
          <m:rPr>
            <m:nor/>
          </m:rPr>
          <w:rPr>
            <w:rFonts w:ascii="Cambria Math" w:eastAsia="仿宋" w:hAnsi="Cambria Math"/>
            <w:i/>
            <w:snapToGrid w:val="0"/>
            <w:color w:val="000000" w:themeColor="text1"/>
            <w:szCs w:val="24"/>
          </w:rPr>
          <m:t>×</m:t>
        </m:r>
        <m:sSup>
          <m:sSupPr>
            <m:ctrlPr>
              <w:rPr>
                <w:rFonts w:ascii="Cambria Math" w:eastAsia="仿宋" w:hAnsi="Cambria Math"/>
                <w:i/>
                <w:snapToGrid w:val="0"/>
                <w:color w:val="000000" w:themeColor="text1"/>
                <w:szCs w:val="24"/>
              </w:rPr>
            </m:ctrlPr>
          </m:sSupPr>
          <m:e>
            <m:r>
              <m:rPr>
                <m:nor/>
              </m:rPr>
              <w:rPr>
                <w:rFonts w:ascii="Cambria Math" w:eastAsia="仿宋" w:hAnsi="Cambria Math"/>
                <w:i/>
                <w:snapToGrid w:val="0"/>
                <w:color w:val="000000" w:themeColor="text1"/>
                <w:szCs w:val="24"/>
              </w:rPr>
              <m:t>10</m:t>
            </m:r>
          </m:e>
          <m:sup>
            <m:r>
              <m:rPr>
                <m:nor/>
              </m:rPr>
              <w:rPr>
                <w:rFonts w:ascii="Cambria Math" w:eastAsia="仿宋" w:hAnsi="Cambria Math"/>
                <w:i/>
                <w:snapToGrid w:val="0"/>
                <w:color w:val="000000" w:themeColor="text1"/>
                <w:szCs w:val="24"/>
              </w:rPr>
              <m:t>-</m:t>
            </m:r>
            <m:f>
              <m:fPr>
                <m:ctrlPr>
                  <w:rPr>
                    <w:rFonts w:ascii="Cambria Math" w:eastAsia="仿宋" w:hAnsi="Cambria Math"/>
                    <w:i/>
                    <w:snapToGrid w:val="0"/>
                    <w:color w:val="000000" w:themeColor="text1"/>
                    <w:szCs w:val="24"/>
                  </w:rPr>
                </m:ctrlPr>
              </m:fPr>
              <m:num>
                <m:r>
                  <m:rPr>
                    <m:nor/>
                  </m:rPr>
                  <w:rPr>
                    <w:rFonts w:ascii="Cambria Math" w:eastAsia="仿宋" w:hAnsi="Cambria Math"/>
                    <w:i/>
                    <w:snapToGrid w:val="0"/>
                    <w:color w:val="000000" w:themeColor="text1"/>
                    <w:szCs w:val="24"/>
                  </w:rPr>
                  <m:t>x</m:t>
                </m:r>
              </m:num>
              <m:den>
                <m:sSub>
                  <m:sSubPr>
                    <m:ctrlPr>
                      <w:rPr>
                        <w:rFonts w:ascii="Cambria Math" w:eastAsia="仿宋" w:hAnsi="Cambria Math"/>
                        <w:i/>
                        <w:snapToGrid w:val="0"/>
                        <w:color w:val="000000" w:themeColor="text1"/>
                        <w:szCs w:val="24"/>
                      </w:rPr>
                    </m:ctrlPr>
                  </m:sSubPr>
                  <m:e>
                    <m:r>
                      <m:rPr>
                        <m:nor/>
                      </m:rPr>
                      <w:rPr>
                        <w:rFonts w:ascii="Cambria Math" w:eastAsia="仿宋" w:hAnsi="Cambria Math"/>
                        <w:i/>
                        <w:snapToGrid w:val="0"/>
                        <w:color w:val="000000" w:themeColor="text1"/>
                        <w:szCs w:val="24"/>
                      </w:rPr>
                      <m:t>TVL</m:t>
                    </m:r>
                  </m:e>
                  <m:sub>
                    <m:r>
                      <m:rPr>
                        <m:nor/>
                      </m:rPr>
                      <w:rPr>
                        <w:rFonts w:ascii="Cambria Math" w:eastAsia="仿宋" w:hAnsi="Cambria Math"/>
                        <w:i/>
                        <w:snapToGrid w:val="0"/>
                        <w:color w:val="000000" w:themeColor="text1"/>
                        <w:szCs w:val="24"/>
                      </w:rPr>
                      <m:t>n</m:t>
                    </m:r>
                  </m:sub>
                </m:sSub>
              </m:den>
            </m:f>
          </m:sup>
        </m:sSup>
        <m:r>
          <m:rPr>
            <m:nor/>
          </m:rPr>
          <w:rPr>
            <w:rFonts w:ascii="Cambria Math" w:eastAsia="仿宋" w:hAnsi="Cambria Math"/>
            <w:i/>
            <w:snapToGrid w:val="0"/>
            <w:color w:val="000000" w:themeColor="text1"/>
            <w:szCs w:val="24"/>
          </w:rPr>
          <m:t>+</m:t>
        </m:r>
        <m:sSub>
          <m:sSubPr>
            <m:ctrlPr>
              <w:rPr>
                <w:rFonts w:ascii="Cambria Math" w:eastAsia="仿宋" w:hAnsi="Cambria Math"/>
                <w:i/>
                <w:snapToGrid w:val="0"/>
                <w:color w:val="000000" w:themeColor="text1"/>
                <w:szCs w:val="24"/>
              </w:rPr>
            </m:ctrlPr>
          </m:sSubPr>
          <m:e>
            <m:r>
              <m:rPr>
                <m:nor/>
              </m:rPr>
              <w:rPr>
                <w:rFonts w:ascii="Cambria Math" w:eastAsia="仿宋" w:hAnsi="Cambria Math"/>
                <w:i/>
                <w:snapToGrid w:val="0"/>
                <w:color w:val="000000" w:themeColor="text1"/>
                <w:szCs w:val="24"/>
              </w:rPr>
              <m:t>H</m:t>
            </m:r>
          </m:e>
          <m:sub>
            <m:r>
              <m:rPr>
                <m:nor/>
              </m:rPr>
              <w:rPr>
                <w:rFonts w:ascii="Cambria Math" w:eastAsia="仿宋" w:hAnsi="Cambria Math"/>
                <w:i/>
                <w:snapToGrid w:val="0"/>
                <w:color w:val="000000" w:themeColor="text1"/>
                <w:szCs w:val="24"/>
              </w:rPr>
              <m:t>γ</m:t>
            </m:r>
          </m:sub>
        </m:sSub>
        <m:r>
          <m:rPr>
            <m:nor/>
          </m:rPr>
          <w:rPr>
            <w:rFonts w:ascii="Cambria Math" w:eastAsia="仿宋" w:hAnsi="Cambria Math"/>
            <w:i/>
            <w:snapToGrid w:val="0"/>
            <w:color w:val="000000" w:themeColor="text1"/>
            <w:szCs w:val="24"/>
          </w:rPr>
          <m:t>×</m:t>
        </m:r>
        <m:sSup>
          <m:sSupPr>
            <m:ctrlPr>
              <w:rPr>
                <w:rFonts w:ascii="Cambria Math" w:eastAsia="仿宋" w:hAnsi="Cambria Math"/>
                <w:i/>
                <w:snapToGrid w:val="0"/>
                <w:color w:val="000000" w:themeColor="text1"/>
                <w:szCs w:val="24"/>
              </w:rPr>
            </m:ctrlPr>
          </m:sSupPr>
          <m:e>
            <m:r>
              <m:rPr>
                <m:nor/>
              </m:rPr>
              <w:rPr>
                <w:rFonts w:ascii="Cambria Math" w:eastAsia="仿宋" w:hAnsi="Cambria Math"/>
                <w:i/>
                <w:snapToGrid w:val="0"/>
                <w:color w:val="000000" w:themeColor="text1"/>
                <w:szCs w:val="24"/>
              </w:rPr>
              <m:t>10</m:t>
            </m:r>
          </m:e>
          <m:sup>
            <m:r>
              <m:rPr>
                <m:nor/>
              </m:rPr>
              <w:rPr>
                <w:rFonts w:ascii="Cambria Math" w:eastAsia="仿宋" w:hAnsi="Cambria Math"/>
                <w:i/>
                <w:snapToGrid w:val="0"/>
                <w:color w:val="000000" w:themeColor="text1"/>
                <w:szCs w:val="24"/>
              </w:rPr>
              <m:t>-</m:t>
            </m:r>
            <m:f>
              <m:fPr>
                <m:ctrlPr>
                  <w:rPr>
                    <w:rFonts w:ascii="Cambria Math" w:eastAsia="仿宋" w:hAnsi="Cambria Math"/>
                    <w:i/>
                    <w:snapToGrid w:val="0"/>
                    <w:color w:val="000000" w:themeColor="text1"/>
                    <w:szCs w:val="24"/>
                  </w:rPr>
                </m:ctrlPr>
              </m:fPr>
              <m:num>
                <m:r>
                  <m:rPr>
                    <m:nor/>
                  </m:rPr>
                  <w:rPr>
                    <w:rFonts w:ascii="Cambria Math" w:eastAsia="仿宋" w:hAnsi="Cambria Math"/>
                    <w:i/>
                    <w:snapToGrid w:val="0"/>
                    <w:color w:val="000000" w:themeColor="text1"/>
                    <w:szCs w:val="24"/>
                  </w:rPr>
                  <m:t>x</m:t>
                </m:r>
              </m:num>
              <m:den>
                <m:sSub>
                  <m:sSubPr>
                    <m:ctrlPr>
                      <w:rPr>
                        <w:rFonts w:ascii="Cambria Math" w:eastAsia="仿宋" w:hAnsi="Cambria Math"/>
                        <w:i/>
                        <w:snapToGrid w:val="0"/>
                        <w:color w:val="000000" w:themeColor="text1"/>
                        <w:szCs w:val="24"/>
                      </w:rPr>
                    </m:ctrlPr>
                  </m:sSubPr>
                  <m:e>
                    <m:r>
                      <m:rPr>
                        <m:nor/>
                      </m:rPr>
                      <w:rPr>
                        <w:rFonts w:ascii="Cambria Math" w:eastAsia="仿宋" w:hAnsi="Cambria Math"/>
                        <w:i/>
                        <w:snapToGrid w:val="0"/>
                        <w:color w:val="000000" w:themeColor="text1"/>
                        <w:szCs w:val="24"/>
                      </w:rPr>
                      <m:t>TVL</m:t>
                    </m:r>
                  </m:e>
                  <m:sub>
                    <m:r>
                      <m:rPr>
                        <m:nor/>
                      </m:rPr>
                      <w:rPr>
                        <w:rFonts w:ascii="Cambria Math" w:eastAsia="仿宋" w:hAnsi="Cambria Math"/>
                        <w:i/>
                        <w:snapToGrid w:val="0"/>
                        <w:color w:val="000000" w:themeColor="text1"/>
                        <w:szCs w:val="24"/>
                      </w:rPr>
                      <m:t>γ</m:t>
                    </m:r>
                  </m:sub>
                </m:sSub>
              </m:den>
            </m:f>
          </m:sup>
        </m:sSup>
        <m:r>
          <w:rPr>
            <w:rFonts w:ascii="Cambria Math" w:eastAsia="仿宋" w:hAnsi="Cambria Math"/>
            <w:snapToGrid w:val="0"/>
            <w:color w:val="000000" w:themeColor="text1"/>
            <w:szCs w:val="24"/>
          </w:rPr>
          <m:t>）</m:t>
        </m:r>
      </m:oMath>
      <w:r w:rsidRPr="00B12FE0">
        <w:rPr>
          <w:snapToGrid w:val="0"/>
          <w:color w:val="000000" w:themeColor="text1"/>
          <w:position w:val="2"/>
          <w:szCs w:val="24"/>
        </w:rPr>
        <w:t>………………</w:t>
      </w:r>
      <w:r w:rsidRPr="00B12FE0">
        <w:rPr>
          <w:snapToGrid w:val="0"/>
          <w:color w:val="000000" w:themeColor="text1"/>
          <w:szCs w:val="24"/>
          <w:lang w:val="pt-BR"/>
        </w:rPr>
        <w:t>（式</w:t>
      </w:r>
      <w:r w:rsidRPr="00B12FE0">
        <w:rPr>
          <w:snapToGrid w:val="0"/>
          <w:color w:val="000000" w:themeColor="text1"/>
          <w:szCs w:val="24"/>
        </w:rPr>
        <w:t>11.2.1.1-1</w:t>
      </w:r>
      <w:r w:rsidRPr="00B12FE0">
        <w:rPr>
          <w:snapToGrid w:val="0"/>
          <w:color w:val="000000" w:themeColor="text1"/>
          <w:szCs w:val="24"/>
          <w:lang w:val="pt-BR"/>
        </w:rPr>
        <w:t>）</w:t>
      </w:r>
    </w:p>
    <w:p w14:paraId="64965933"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式中：</w:t>
      </w:r>
    </w:p>
    <w:p w14:paraId="76E8DF21" w14:textId="77777777" w:rsidR="00A67F21" w:rsidRPr="00B12FE0" w:rsidRDefault="00000000">
      <w:pPr>
        <w:adjustRightInd w:val="0"/>
        <w:snapToGrid w:val="0"/>
        <w:spacing w:line="360" w:lineRule="auto"/>
        <w:ind w:firstLineChars="400" w:firstLine="960"/>
        <w:rPr>
          <w:color w:val="000000" w:themeColor="text1"/>
          <w:szCs w:val="24"/>
        </w:rPr>
      </w:pPr>
      <w:r w:rsidRPr="00B12FE0">
        <w:rPr>
          <w:i/>
          <w:color w:val="000000" w:themeColor="text1"/>
          <w:szCs w:val="24"/>
        </w:rPr>
        <w:t>H</w:t>
      </w:r>
      <w:r w:rsidRPr="00B12FE0">
        <w:rPr>
          <w:i/>
          <w:color w:val="000000" w:themeColor="text1"/>
          <w:szCs w:val="24"/>
          <w:vertAlign w:val="subscript"/>
        </w:rPr>
        <w:t>R</w:t>
      </w:r>
      <w:r w:rsidRPr="00B12FE0">
        <w:rPr>
          <w:color w:val="000000" w:themeColor="text1"/>
          <w:szCs w:val="24"/>
        </w:rPr>
        <w:t>—</w:t>
      </w:r>
      <w:r w:rsidRPr="00B12FE0">
        <w:rPr>
          <w:color w:val="000000" w:themeColor="text1"/>
          <w:szCs w:val="24"/>
        </w:rPr>
        <w:t>回旋加速器室外关注点剂量率，单位：</w:t>
      </w:r>
      <w:proofErr w:type="spellStart"/>
      <w:r w:rsidRPr="00B12FE0">
        <w:rPr>
          <w:color w:val="000000" w:themeColor="text1"/>
          <w:szCs w:val="24"/>
        </w:rPr>
        <w:t>μSv</w:t>
      </w:r>
      <w:proofErr w:type="spellEnd"/>
      <w:r w:rsidRPr="00B12FE0">
        <w:rPr>
          <w:color w:val="000000" w:themeColor="text1"/>
          <w:szCs w:val="24"/>
        </w:rPr>
        <w:t>/h</w:t>
      </w:r>
      <w:r w:rsidRPr="00B12FE0">
        <w:rPr>
          <w:color w:val="000000" w:themeColor="text1"/>
          <w:szCs w:val="24"/>
        </w:rPr>
        <w:t>；</w:t>
      </w:r>
    </w:p>
    <w:p w14:paraId="5EC4DA84" w14:textId="77777777" w:rsidR="00A67F21" w:rsidRPr="00B12FE0" w:rsidRDefault="00000000">
      <w:pPr>
        <w:adjustRightInd w:val="0"/>
        <w:snapToGrid w:val="0"/>
        <w:spacing w:line="360" w:lineRule="auto"/>
        <w:ind w:firstLineChars="400" w:firstLine="960"/>
        <w:rPr>
          <w:color w:val="000000" w:themeColor="text1"/>
          <w:szCs w:val="24"/>
        </w:rPr>
      </w:pPr>
      <w:r w:rsidRPr="00B12FE0">
        <w:rPr>
          <w:i/>
          <w:color w:val="000000" w:themeColor="text1"/>
          <w:szCs w:val="24"/>
        </w:rPr>
        <w:t>r</w:t>
      </w:r>
      <w:r w:rsidRPr="00B12FE0">
        <w:rPr>
          <w:i/>
          <w:color w:val="000000" w:themeColor="text1"/>
          <w:szCs w:val="24"/>
          <w:vertAlign w:val="subscript"/>
        </w:rPr>
        <w:t>0</w:t>
      </w:r>
      <w:r w:rsidRPr="00B12FE0">
        <w:rPr>
          <w:i/>
          <w:color w:val="000000" w:themeColor="text1"/>
          <w:szCs w:val="24"/>
        </w:rPr>
        <w:t>—</w:t>
      </w:r>
      <w:r w:rsidRPr="00B12FE0">
        <w:rPr>
          <w:color w:val="000000" w:themeColor="text1"/>
          <w:szCs w:val="24"/>
        </w:rPr>
        <w:t>参考点距靶心的距离，单位：</w:t>
      </w:r>
      <w:r w:rsidRPr="00B12FE0">
        <w:rPr>
          <w:color w:val="000000" w:themeColor="text1"/>
          <w:szCs w:val="24"/>
        </w:rPr>
        <w:t>m</w:t>
      </w:r>
      <w:r w:rsidRPr="00B12FE0">
        <w:rPr>
          <w:color w:val="000000" w:themeColor="text1"/>
          <w:szCs w:val="24"/>
        </w:rPr>
        <w:t>；</w:t>
      </w:r>
    </w:p>
    <w:p w14:paraId="40FFD896" w14:textId="77777777" w:rsidR="00A67F21" w:rsidRPr="00B12FE0" w:rsidRDefault="00000000">
      <w:pPr>
        <w:adjustRightInd w:val="0"/>
        <w:snapToGrid w:val="0"/>
        <w:spacing w:line="360" w:lineRule="auto"/>
        <w:ind w:firstLineChars="400" w:firstLine="960"/>
        <w:rPr>
          <w:color w:val="000000" w:themeColor="text1"/>
          <w:szCs w:val="24"/>
        </w:rPr>
      </w:pPr>
      <w:r w:rsidRPr="00B12FE0">
        <w:rPr>
          <w:i/>
          <w:color w:val="000000" w:themeColor="text1"/>
          <w:szCs w:val="24"/>
        </w:rPr>
        <w:lastRenderedPageBreak/>
        <w:t>R</w:t>
      </w:r>
      <w:r w:rsidRPr="00B12FE0">
        <w:rPr>
          <w:color w:val="000000" w:themeColor="text1"/>
          <w:szCs w:val="24"/>
        </w:rPr>
        <w:t>—</w:t>
      </w:r>
      <w:r w:rsidRPr="00B12FE0">
        <w:rPr>
          <w:color w:val="000000" w:themeColor="text1"/>
          <w:szCs w:val="24"/>
        </w:rPr>
        <w:t>屏蔽体外</w:t>
      </w:r>
      <w:r w:rsidRPr="00B12FE0">
        <w:rPr>
          <w:color w:val="000000" w:themeColor="text1"/>
          <w:szCs w:val="24"/>
        </w:rPr>
        <w:t>30cm</w:t>
      </w:r>
      <w:r w:rsidRPr="00B12FE0">
        <w:rPr>
          <w:color w:val="000000" w:themeColor="text1"/>
          <w:szCs w:val="24"/>
        </w:rPr>
        <w:t>关注点距靶心的距离，单位：</w:t>
      </w:r>
      <w:r w:rsidRPr="00B12FE0">
        <w:rPr>
          <w:color w:val="000000" w:themeColor="text1"/>
          <w:szCs w:val="24"/>
        </w:rPr>
        <w:t>m</w:t>
      </w:r>
      <w:r w:rsidRPr="00B12FE0">
        <w:rPr>
          <w:color w:val="000000" w:themeColor="text1"/>
          <w:szCs w:val="24"/>
        </w:rPr>
        <w:t>；</w:t>
      </w:r>
    </w:p>
    <w:p w14:paraId="3224DC24" w14:textId="77777777" w:rsidR="00A67F21" w:rsidRPr="00B12FE0" w:rsidRDefault="00000000">
      <w:pPr>
        <w:adjustRightInd w:val="0"/>
        <w:snapToGrid w:val="0"/>
        <w:spacing w:line="360" w:lineRule="auto"/>
        <w:ind w:firstLineChars="400" w:firstLine="960"/>
        <w:rPr>
          <w:color w:val="000000" w:themeColor="text1"/>
          <w:szCs w:val="24"/>
        </w:rPr>
      </w:pPr>
      <w:proofErr w:type="spellStart"/>
      <w:r w:rsidRPr="00B12FE0">
        <w:rPr>
          <w:i/>
          <w:color w:val="000000" w:themeColor="text1"/>
          <w:szCs w:val="24"/>
        </w:rPr>
        <w:t>H</w:t>
      </w:r>
      <w:r w:rsidRPr="00B12FE0">
        <w:rPr>
          <w:i/>
          <w:color w:val="000000" w:themeColor="text1"/>
          <w:szCs w:val="24"/>
          <w:vertAlign w:val="subscript"/>
        </w:rPr>
        <w:t>n</w:t>
      </w:r>
      <w:proofErr w:type="spellEnd"/>
      <w:r w:rsidRPr="00B12FE0">
        <w:rPr>
          <w:i/>
          <w:color w:val="000000" w:themeColor="text1"/>
          <w:szCs w:val="24"/>
        </w:rPr>
        <w:t>—</w:t>
      </w:r>
      <w:r w:rsidRPr="00B12FE0">
        <w:rPr>
          <w:color w:val="000000" w:themeColor="text1"/>
          <w:szCs w:val="24"/>
        </w:rPr>
        <w:t>参考点</w:t>
      </w:r>
      <w:r w:rsidRPr="00B12FE0">
        <w:rPr>
          <w:i/>
          <w:color w:val="000000" w:themeColor="text1"/>
          <w:szCs w:val="24"/>
        </w:rPr>
        <w:t>r</w:t>
      </w:r>
      <w:r w:rsidRPr="00B12FE0">
        <w:rPr>
          <w:i/>
          <w:color w:val="000000" w:themeColor="text1"/>
          <w:szCs w:val="24"/>
          <w:vertAlign w:val="subscript"/>
        </w:rPr>
        <w:t>0</w:t>
      </w:r>
      <w:r w:rsidRPr="00B12FE0">
        <w:rPr>
          <w:color w:val="000000" w:themeColor="text1"/>
          <w:szCs w:val="24"/>
        </w:rPr>
        <w:t>处的中子剂量率，单位为</w:t>
      </w:r>
      <w:proofErr w:type="spellStart"/>
      <w:r w:rsidRPr="00B12FE0">
        <w:rPr>
          <w:color w:val="000000" w:themeColor="text1"/>
          <w:szCs w:val="24"/>
        </w:rPr>
        <w:t>μSv</w:t>
      </w:r>
      <w:proofErr w:type="spellEnd"/>
      <w:r w:rsidRPr="00B12FE0">
        <w:rPr>
          <w:color w:val="000000" w:themeColor="text1"/>
          <w:szCs w:val="24"/>
        </w:rPr>
        <w:t>/h</w:t>
      </w:r>
      <w:r w:rsidRPr="00B12FE0">
        <w:rPr>
          <w:color w:val="000000" w:themeColor="text1"/>
          <w:szCs w:val="24"/>
        </w:rPr>
        <w:t>；</w:t>
      </w:r>
    </w:p>
    <w:p w14:paraId="4B1E2F43" w14:textId="77777777" w:rsidR="00A67F21" w:rsidRPr="00B12FE0" w:rsidRDefault="00000000">
      <w:pPr>
        <w:adjustRightInd w:val="0"/>
        <w:snapToGrid w:val="0"/>
        <w:spacing w:line="360" w:lineRule="auto"/>
        <w:ind w:firstLineChars="400" w:firstLine="960"/>
        <w:rPr>
          <w:color w:val="000000" w:themeColor="text1"/>
          <w:szCs w:val="24"/>
        </w:rPr>
      </w:pPr>
      <w:proofErr w:type="spellStart"/>
      <w:r w:rsidRPr="00B12FE0">
        <w:rPr>
          <w:i/>
          <w:color w:val="000000" w:themeColor="text1"/>
          <w:szCs w:val="24"/>
        </w:rPr>
        <w:t>TVL</w:t>
      </w:r>
      <w:r w:rsidRPr="00B12FE0">
        <w:rPr>
          <w:i/>
          <w:color w:val="000000" w:themeColor="text1"/>
          <w:szCs w:val="24"/>
          <w:vertAlign w:val="subscript"/>
        </w:rPr>
        <w:t>n</w:t>
      </w:r>
      <w:proofErr w:type="spellEnd"/>
      <w:r w:rsidRPr="00B12FE0">
        <w:rPr>
          <w:color w:val="000000" w:themeColor="text1"/>
          <w:szCs w:val="24"/>
        </w:rPr>
        <w:t>—</w:t>
      </w:r>
      <w:r w:rsidRPr="00B12FE0">
        <w:rPr>
          <w:color w:val="000000" w:themeColor="text1"/>
          <w:szCs w:val="24"/>
        </w:rPr>
        <w:t>中子射线的十分之一减弱层厚度，单位：</w:t>
      </w:r>
      <w:r w:rsidRPr="00B12FE0">
        <w:rPr>
          <w:color w:val="000000" w:themeColor="text1"/>
          <w:szCs w:val="24"/>
        </w:rPr>
        <w:t>cm</w:t>
      </w:r>
      <w:r w:rsidRPr="00B12FE0">
        <w:rPr>
          <w:color w:val="000000" w:themeColor="text1"/>
          <w:szCs w:val="24"/>
        </w:rPr>
        <w:t>；</w:t>
      </w:r>
    </w:p>
    <w:p w14:paraId="6008038A" w14:textId="77777777" w:rsidR="00A67F21" w:rsidRPr="00B12FE0" w:rsidRDefault="00000000">
      <w:pPr>
        <w:adjustRightInd w:val="0"/>
        <w:snapToGrid w:val="0"/>
        <w:spacing w:line="360" w:lineRule="auto"/>
        <w:ind w:firstLineChars="400" w:firstLine="960"/>
        <w:rPr>
          <w:color w:val="000000" w:themeColor="text1"/>
          <w:szCs w:val="24"/>
        </w:rPr>
      </w:pPr>
      <w:proofErr w:type="spellStart"/>
      <w:r w:rsidRPr="00B12FE0">
        <w:rPr>
          <w:i/>
          <w:color w:val="000000" w:themeColor="text1"/>
          <w:szCs w:val="24"/>
        </w:rPr>
        <w:t>H</w:t>
      </w:r>
      <w:r w:rsidRPr="00B12FE0">
        <w:rPr>
          <w:i/>
          <w:color w:val="000000" w:themeColor="text1"/>
          <w:szCs w:val="24"/>
          <w:vertAlign w:val="subscript"/>
        </w:rPr>
        <w:t>γ</w:t>
      </w:r>
      <w:proofErr w:type="spellEnd"/>
      <w:r w:rsidRPr="00B12FE0">
        <w:rPr>
          <w:color w:val="000000" w:themeColor="text1"/>
          <w:szCs w:val="24"/>
        </w:rPr>
        <w:t>—</w:t>
      </w:r>
      <w:r w:rsidRPr="00B12FE0">
        <w:rPr>
          <w:color w:val="000000" w:themeColor="text1"/>
          <w:szCs w:val="24"/>
        </w:rPr>
        <w:t>参考点</w:t>
      </w:r>
      <w:proofErr w:type="spellStart"/>
      <w:r w:rsidRPr="00B12FE0">
        <w:rPr>
          <w:i/>
          <w:color w:val="000000" w:themeColor="text1"/>
          <w:szCs w:val="24"/>
        </w:rPr>
        <w:t>r</w:t>
      </w:r>
      <w:r w:rsidRPr="00B12FE0">
        <w:rPr>
          <w:i/>
          <w:color w:val="000000" w:themeColor="text1"/>
          <w:szCs w:val="24"/>
          <w:vertAlign w:val="subscript"/>
        </w:rPr>
        <w:t>γ</w:t>
      </w:r>
      <w:proofErr w:type="spellEnd"/>
      <w:r w:rsidRPr="00B12FE0">
        <w:rPr>
          <w:color w:val="000000" w:themeColor="text1"/>
          <w:szCs w:val="24"/>
        </w:rPr>
        <w:t>处的</w:t>
      </w:r>
      <w:r w:rsidRPr="00B12FE0">
        <w:rPr>
          <w:color w:val="000000" w:themeColor="text1"/>
          <w:szCs w:val="24"/>
        </w:rPr>
        <w:t>γ</w:t>
      </w:r>
      <w:r w:rsidRPr="00B12FE0">
        <w:rPr>
          <w:color w:val="000000" w:themeColor="text1"/>
          <w:szCs w:val="24"/>
        </w:rPr>
        <w:t>射线剂量率，单位：</w:t>
      </w:r>
      <w:proofErr w:type="spellStart"/>
      <w:r w:rsidRPr="00B12FE0">
        <w:rPr>
          <w:color w:val="000000" w:themeColor="text1"/>
          <w:szCs w:val="24"/>
        </w:rPr>
        <w:t>μSv</w:t>
      </w:r>
      <w:proofErr w:type="spellEnd"/>
      <w:r w:rsidRPr="00B12FE0">
        <w:rPr>
          <w:color w:val="000000" w:themeColor="text1"/>
          <w:szCs w:val="24"/>
        </w:rPr>
        <w:t>/h</w:t>
      </w:r>
      <w:r w:rsidRPr="00B12FE0">
        <w:rPr>
          <w:color w:val="000000" w:themeColor="text1"/>
          <w:szCs w:val="24"/>
        </w:rPr>
        <w:t>；</w:t>
      </w:r>
    </w:p>
    <w:p w14:paraId="2E7CBC0C" w14:textId="77777777" w:rsidR="00A67F21" w:rsidRPr="00B12FE0" w:rsidRDefault="00000000">
      <w:pPr>
        <w:adjustRightInd w:val="0"/>
        <w:snapToGrid w:val="0"/>
        <w:spacing w:line="360" w:lineRule="auto"/>
        <w:ind w:firstLineChars="400" w:firstLine="960"/>
        <w:rPr>
          <w:color w:val="000000" w:themeColor="text1"/>
          <w:szCs w:val="24"/>
        </w:rPr>
      </w:pPr>
      <w:r w:rsidRPr="00B12FE0">
        <w:rPr>
          <w:rFonts w:hint="eastAsia"/>
          <w:i/>
          <w:color w:val="000000" w:themeColor="text1"/>
          <w:szCs w:val="24"/>
        </w:rPr>
        <w:t>X</w:t>
      </w:r>
      <w:r w:rsidRPr="00B12FE0">
        <w:rPr>
          <w:color w:val="000000" w:themeColor="text1"/>
          <w:szCs w:val="24"/>
        </w:rPr>
        <w:t>—</w:t>
      </w:r>
      <w:r w:rsidRPr="00B12FE0">
        <w:rPr>
          <w:color w:val="000000" w:themeColor="text1"/>
          <w:szCs w:val="24"/>
        </w:rPr>
        <w:t>屏蔽物质的厚度，单位：</w:t>
      </w:r>
      <w:r w:rsidRPr="00B12FE0">
        <w:rPr>
          <w:color w:val="000000" w:themeColor="text1"/>
          <w:szCs w:val="24"/>
        </w:rPr>
        <w:t>cm</w:t>
      </w:r>
      <w:r w:rsidRPr="00B12FE0">
        <w:rPr>
          <w:color w:val="000000" w:themeColor="text1"/>
          <w:szCs w:val="24"/>
        </w:rPr>
        <w:t>；</w:t>
      </w:r>
    </w:p>
    <w:p w14:paraId="0246D5F4" w14:textId="77777777" w:rsidR="00A67F21" w:rsidRPr="00B12FE0" w:rsidRDefault="00000000">
      <w:pPr>
        <w:adjustRightInd w:val="0"/>
        <w:snapToGrid w:val="0"/>
        <w:spacing w:line="360" w:lineRule="auto"/>
        <w:ind w:firstLineChars="400" w:firstLine="960"/>
        <w:rPr>
          <w:color w:val="000000" w:themeColor="text1"/>
          <w:szCs w:val="24"/>
        </w:rPr>
      </w:pPr>
      <w:proofErr w:type="spellStart"/>
      <w:r w:rsidRPr="00B12FE0">
        <w:rPr>
          <w:i/>
          <w:color w:val="000000" w:themeColor="text1"/>
          <w:szCs w:val="24"/>
        </w:rPr>
        <w:t>TVL</w:t>
      </w:r>
      <w:r w:rsidRPr="00B12FE0">
        <w:rPr>
          <w:i/>
          <w:color w:val="000000" w:themeColor="text1"/>
          <w:szCs w:val="24"/>
          <w:vertAlign w:val="subscript"/>
        </w:rPr>
        <w:t>γ</w:t>
      </w:r>
      <w:proofErr w:type="spellEnd"/>
      <w:r w:rsidRPr="00B12FE0">
        <w:rPr>
          <w:color w:val="000000" w:themeColor="text1"/>
          <w:szCs w:val="24"/>
        </w:rPr>
        <w:t>—γ</w:t>
      </w:r>
      <w:r w:rsidRPr="00B12FE0">
        <w:rPr>
          <w:color w:val="000000" w:themeColor="text1"/>
          <w:szCs w:val="24"/>
        </w:rPr>
        <w:t>射线的十分之一减弱层厚度，单位：</w:t>
      </w:r>
      <w:r w:rsidRPr="00B12FE0">
        <w:rPr>
          <w:color w:val="000000" w:themeColor="text1"/>
          <w:szCs w:val="24"/>
        </w:rPr>
        <w:t>cm</w:t>
      </w:r>
      <w:r w:rsidRPr="00B12FE0">
        <w:rPr>
          <w:color w:val="000000" w:themeColor="text1"/>
          <w:szCs w:val="24"/>
        </w:rPr>
        <w:t>，</w:t>
      </w:r>
    </w:p>
    <w:p w14:paraId="728AB0F4" w14:textId="77777777" w:rsidR="00A67F21" w:rsidRPr="00B12FE0" w:rsidRDefault="00000000">
      <w:pPr>
        <w:adjustRightInd w:val="0"/>
        <w:snapToGrid w:val="0"/>
        <w:spacing w:line="360" w:lineRule="auto"/>
        <w:ind w:firstLineChars="200" w:firstLine="480"/>
        <w:rPr>
          <w:b/>
          <w:color w:val="000000" w:themeColor="text1"/>
          <w:sz w:val="28"/>
          <w:szCs w:val="21"/>
        </w:rPr>
      </w:pPr>
      <w:r w:rsidRPr="00B12FE0">
        <w:rPr>
          <w:rFonts w:hint="eastAsia"/>
          <w:color w:val="000000" w:themeColor="text1"/>
          <w:szCs w:val="24"/>
        </w:rPr>
        <w:t>根据</w:t>
      </w:r>
      <w:r w:rsidRPr="00B12FE0">
        <w:rPr>
          <w:color w:val="000000" w:themeColor="text1"/>
          <w:szCs w:val="24"/>
        </w:rPr>
        <w:t>《核医学放射防护要求》（</w:t>
      </w:r>
      <w:r w:rsidRPr="00B12FE0">
        <w:rPr>
          <w:color w:val="000000" w:themeColor="text1"/>
          <w:szCs w:val="24"/>
        </w:rPr>
        <w:t>GBZ120-2020</w:t>
      </w:r>
      <w:r w:rsidRPr="00B12FE0">
        <w:rPr>
          <w:color w:val="000000" w:themeColor="text1"/>
          <w:szCs w:val="24"/>
        </w:rPr>
        <w:t>）</w:t>
      </w:r>
      <w:r w:rsidRPr="00B12FE0">
        <w:rPr>
          <w:rFonts w:hint="eastAsia"/>
          <w:color w:val="000000" w:themeColor="text1"/>
          <w:szCs w:val="24"/>
        </w:rPr>
        <w:t>附录</w:t>
      </w:r>
      <w:r w:rsidRPr="00B12FE0">
        <w:rPr>
          <w:rFonts w:hint="eastAsia"/>
          <w:color w:val="000000" w:themeColor="text1"/>
          <w:szCs w:val="24"/>
        </w:rPr>
        <w:t xml:space="preserve">I </w:t>
      </w:r>
      <w:r w:rsidRPr="00B12FE0">
        <w:rPr>
          <w:rFonts w:hint="eastAsia"/>
          <w:color w:val="000000" w:themeColor="text1"/>
          <w:szCs w:val="24"/>
        </w:rPr>
        <w:t>表</w:t>
      </w:r>
      <w:r w:rsidRPr="00B12FE0">
        <w:rPr>
          <w:rFonts w:hint="eastAsia"/>
          <w:color w:val="000000" w:themeColor="text1"/>
          <w:szCs w:val="24"/>
        </w:rPr>
        <w:t>I.3</w:t>
      </w:r>
      <w:r w:rsidRPr="00B12FE0">
        <w:rPr>
          <w:rFonts w:hint="eastAsia"/>
          <w:color w:val="000000" w:themeColor="text1"/>
          <w:szCs w:val="24"/>
        </w:rPr>
        <w:t>，</w:t>
      </w:r>
      <w:r w:rsidRPr="00B12FE0">
        <w:rPr>
          <w:color w:val="000000" w:themeColor="text1"/>
          <w:szCs w:val="24"/>
        </w:rPr>
        <w:t>对于</w:t>
      </w:r>
      <w:r w:rsidRPr="00B12FE0">
        <w:rPr>
          <w:rFonts w:hint="eastAsia"/>
          <w:color w:val="000000" w:themeColor="text1"/>
          <w:szCs w:val="24"/>
        </w:rPr>
        <w:t>混凝土</w:t>
      </w:r>
      <w:r w:rsidRPr="00B12FE0">
        <w:rPr>
          <w:color w:val="000000" w:themeColor="text1"/>
          <w:szCs w:val="24"/>
        </w:rPr>
        <w:t>，</w:t>
      </w:r>
      <w:proofErr w:type="spellStart"/>
      <w:r w:rsidRPr="00B12FE0">
        <w:rPr>
          <w:color w:val="000000" w:themeColor="text1"/>
          <w:szCs w:val="24"/>
        </w:rPr>
        <w:t>TVL</w:t>
      </w:r>
      <w:r w:rsidRPr="00B12FE0">
        <w:rPr>
          <w:color w:val="000000" w:themeColor="text1"/>
          <w:szCs w:val="24"/>
          <w:vertAlign w:val="subscript"/>
        </w:rPr>
        <w:t>n</w:t>
      </w:r>
      <w:proofErr w:type="spellEnd"/>
      <w:r w:rsidRPr="00B12FE0">
        <w:rPr>
          <w:rFonts w:hint="eastAsia"/>
          <w:color w:val="000000" w:themeColor="text1"/>
          <w:szCs w:val="24"/>
        </w:rPr>
        <w:t>（</w:t>
      </w:r>
      <w:r w:rsidRPr="00B12FE0">
        <w:rPr>
          <w:rFonts w:hint="eastAsia"/>
          <w:color w:val="000000" w:themeColor="text1"/>
          <w:szCs w:val="24"/>
        </w:rPr>
        <w:t>5</w:t>
      </w:r>
      <w:r w:rsidRPr="00B12FE0">
        <w:rPr>
          <w:color w:val="000000" w:themeColor="text1"/>
          <w:szCs w:val="24"/>
        </w:rPr>
        <w:t>MeV</w:t>
      </w:r>
      <w:r w:rsidRPr="00B12FE0">
        <w:rPr>
          <w:rFonts w:hint="eastAsia"/>
          <w:color w:val="000000" w:themeColor="text1"/>
          <w:szCs w:val="24"/>
        </w:rPr>
        <w:t>）</w:t>
      </w:r>
      <w:r w:rsidRPr="00B12FE0">
        <w:rPr>
          <w:color w:val="000000" w:themeColor="text1"/>
          <w:szCs w:val="24"/>
        </w:rPr>
        <w:t>为</w:t>
      </w:r>
      <w:r w:rsidRPr="00B12FE0">
        <w:rPr>
          <w:rFonts w:hint="eastAsia"/>
          <w:color w:val="000000" w:themeColor="text1"/>
          <w:szCs w:val="24"/>
        </w:rPr>
        <w:t>43</w:t>
      </w:r>
      <w:r w:rsidRPr="00B12FE0">
        <w:rPr>
          <w:color w:val="000000" w:themeColor="text1"/>
          <w:szCs w:val="24"/>
        </w:rPr>
        <w:t>cm</w:t>
      </w:r>
      <w:r w:rsidRPr="00B12FE0">
        <w:rPr>
          <w:color w:val="000000" w:themeColor="text1"/>
          <w:szCs w:val="24"/>
        </w:rPr>
        <w:t>，</w:t>
      </w:r>
      <w:proofErr w:type="spellStart"/>
      <w:r w:rsidRPr="00B12FE0">
        <w:rPr>
          <w:color w:val="000000" w:themeColor="text1"/>
          <w:szCs w:val="24"/>
        </w:rPr>
        <w:t>TVL</w:t>
      </w:r>
      <w:r w:rsidRPr="00B12FE0">
        <w:rPr>
          <w:color w:val="000000" w:themeColor="text1"/>
          <w:szCs w:val="24"/>
          <w:vertAlign w:val="subscript"/>
        </w:rPr>
        <w:t>γ</w:t>
      </w:r>
      <w:proofErr w:type="spellEnd"/>
      <w:r w:rsidRPr="00B12FE0">
        <w:rPr>
          <w:rFonts w:hint="eastAsia"/>
          <w:color w:val="000000" w:themeColor="text1"/>
          <w:szCs w:val="24"/>
        </w:rPr>
        <w:t>（</w:t>
      </w:r>
      <w:r w:rsidRPr="00B12FE0">
        <w:rPr>
          <w:rFonts w:hint="eastAsia"/>
          <w:color w:val="000000" w:themeColor="text1"/>
          <w:szCs w:val="24"/>
        </w:rPr>
        <w:t>8</w:t>
      </w:r>
      <w:r w:rsidRPr="00B12FE0">
        <w:rPr>
          <w:color w:val="000000" w:themeColor="text1"/>
          <w:szCs w:val="24"/>
        </w:rPr>
        <w:t>MeV</w:t>
      </w:r>
      <w:r w:rsidRPr="00B12FE0">
        <w:rPr>
          <w:rFonts w:hint="eastAsia"/>
          <w:color w:val="000000" w:themeColor="text1"/>
          <w:szCs w:val="24"/>
        </w:rPr>
        <w:t>）</w:t>
      </w:r>
      <w:r w:rsidRPr="00B12FE0">
        <w:rPr>
          <w:color w:val="000000" w:themeColor="text1"/>
          <w:szCs w:val="24"/>
        </w:rPr>
        <w:t>为</w:t>
      </w:r>
      <w:r w:rsidRPr="00B12FE0">
        <w:rPr>
          <w:rFonts w:hint="eastAsia"/>
          <w:color w:val="000000" w:themeColor="text1"/>
          <w:szCs w:val="24"/>
        </w:rPr>
        <w:t>38</w:t>
      </w:r>
      <w:r w:rsidRPr="00B12FE0">
        <w:rPr>
          <w:color w:val="000000" w:themeColor="text1"/>
          <w:szCs w:val="24"/>
        </w:rPr>
        <w:t>cm</w:t>
      </w:r>
      <w:r w:rsidRPr="00B12FE0">
        <w:rPr>
          <w:color w:val="000000" w:themeColor="text1"/>
          <w:szCs w:val="24"/>
        </w:rPr>
        <w:t>；对于铅，</w:t>
      </w:r>
      <w:proofErr w:type="spellStart"/>
      <w:r w:rsidRPr="00B12FE0">
        <w:rPr>
          <w:color w:val="000000" w:themeColor="text1"/>
          <w:szCs w:val="24"/>
        </w:rPr>
        <w:t>TVL</w:t>
      </w:r>
      <w:r w:rsidRPr="00B12FE0">
        <w:rPr>
          <w:color w:val="000000" w:themeColor="text1"/>
          <w:szCs w:val="24"/>
          <w:vertAlign w:val="subscript"/>
        </w:rPr>
        <w:t>n</w:t>
      </w:r>
      <w:proofErr w:type="spellEnd"/>
      <w:r w:rsidRPr="00B12FE0">
        <w:rPr>
          <w:rFonts w:hint="eastAsia"/>
          <w:color w:val="000000" w:themeColor="text1"/>
          <w:szCs w:val="24"/>
        </w:rPr>
        <w:t>（</w:t>
      </w:r>
      <w:r w:rsidRPr="00B12FE0">
        <w:rPr>
          <w:rFonts w:hint="eastAsia"/>
          <w:color w:val="000000" w:themeColor="text1"/>
          <w:szCs w:val="24"/>
        </w:rPr>
        <w:t>5</w:t>
      </w:r>
      <w:r w:rsidRPr="00B12FE0">
        <w:rPr>
          <w:color w:val="000000" w:themeColor="text1"/>
          <w:szCs w:val="24"/>
        </w:rPr>
        <w:t>MeV</w:t>
      </w:r>
      <w:r w:rsidRPr="00B12FE0">
        <w:rPr>
          <w:rFonts w:hint="eastAsia"/>
          <w:color w:val="000000" w:themeColor="text1"/>
          <w:szCs w:val="24"/>
        </w:rPr>
        <w:t>）</w:t>
      </w:r>
      <w:r w:rsidRPr="00B12FE0">
        <w:rPr>
          <w:color w:val="000000" w:themeColor="text1"/>
          <w:szCs w:val="24"/>
        </w:rPr>
        <w:t>为</w:t>
      </w:r>
      <w:r w:rsidRPr="00B12FE0">
        <w:rPr>
          <w:color w:val="000000" w:themeColor="text1"/>
          <w:szCs w:val="24"/>
        </w:rPr>
        <w:t>47.8cm</w:t>
      </w:r>
      <w:r w:rsidRPr="00B12FE0">
        <w:rPr>
          <w:color w:val="000000" w:themeColor="text1"/>
          <w:szCs w:val="24"/>
        </w:rPr>
        <w:t>，</w:t>
      </w:r>
      <w:proofErr w:type="spellStart"/>
      <w:r w:rsidRPr="00B12FE0">
        <w:rPr>
          <w:color w:val="000000" w:themeColor="text1"/>
          <w:szCs w:val="24"/>
        </w:rPr>
        <w:t>TVL</w:t>
      </w:r>
      <w:r w:rsidRPr="00B12FE0">
        <w:rPr>
          <w:color w:val="000000" w:themeColor="text1"/>
          <w:szCs w:val="24"/>
          <w:vertAlign w:val="subscript"/>
        </w:rPr>
        <w:t>γ</w:t>
      </w:r>
      <w:proofErr w:type="spellEnd"/>
      <w:r w:rsidRPr="00B12FE0">
        <w:rPr>
          <w:rFonts w:hint="eastAsia"/>
          <w:color w:val="000000" w:themeColor="text1"/>
          <w:szCs w:val="24"/>
        </w:rPr>
        <w:t>（</w:t>
      </w:r>
      <w:r w:rsidRPr="00B12FE0">
        <w:rPr>
          <w:rFonts w:hint="eastAsia"/>
          <w:color w:val="000000" w:themeColor="text1"/>
          <w:szCs w:val="24"/>
        </w:rPr>
        <w:t>8</w:t>
      </w:r>
      <w:r w:rsidRPr="00B12FE0">
        <w:rPr>
          <w:color w:val="000000" w:themeColor="text1"/>
          <w:szCs w:val="24"/>
        </w:rPr>
        <w:t>MeV</w:t>
      </w:r>
      <w:r w:rsidRPr="00B12FE0">
        <w:rPr>
          <w:rFonts w:hint="eastAsia"/>
          <w:color w:val="000000" w:themeColor="text1"/>
          <w:szCs w:val="24"/>
        </w:rPr>
        <w:t>）</w:t>
      </w:r>
      <w:r w:rsidRPr="00B12FE0">
        <w:rPr>
          <w:color w:val="000000" w:themeColor="text1"/>
          <w:szCs w:val="24"/>
        </w:rPr>
        <w:t>为</w:t>
      </w:r>
      <w:r w:rsidRPr="00B12FE0">
        <w:rPr>
          <w:color w:val="000000" w:themeColor="text1"/>
          <w:szCs w:val="24"/>
        </w:rPr>
        <w:t>5cm</w:t>
      </w:r>
      <w:r w:rsidRPr="00B12FE0">
        <w:rPr>
          <w:color w:val="000000" w:themeColor="text1"/>
          <w:szCs w:val="24"/>
        </w:rPr>
        <w:t>；对于聚乙烯，</w:t>
      </w:r>
      <w:proofErr w:type="spellStart"/>
      <w:r w:rsidRPr="00B12FE0">
        <w:rPr>
          <w:color w:val="000000" w:themeColor="text1"/>
          <w:szCs w:val="24"/>
        </w:rPr>
        <w:t>TVL</w:t>
      </w:r>
      <w:r w:rsidRPr="00B12FE0">
        <w:rPr>
          <w:color w:val="000000" w:themeColor="text1"/>
          <w:szCs w:val="24"/>
          <w:vertAlign w:val="subscript"/>
        </w:rPr>
        <w:t>n</w:t>
      </w:r>
      <w:proofErr w:type="spellEnd"/>
      <w:r w:rsidRPr="00B12FE0">
        <w:rPr>
          <w:rFonts w:hint="eastAsia"/>
          <w:color w:val="000000" w:themeColor="text1"/>
          <w:szCs w:val="24"/>
        </w:rPr>
        <w:t>（</w:t>
      </w:r>
      <w:r w:rsidRPr="00B12FE0">
        <w:rPr>
          <w:rFonts w:hint="eastAsia"/>
          <w:color w:val="000000" w:themeColor="text1"/>
          <w:szCs w:val="24"/>
        </w:rPr>
        <w:t>5</w:t>
      </w:r>
      <w:r w:rsidRPr="00B12FE0">
        <w:rPr>
          <w:color w:val="000000" w:themeColor="text1"/>
          <w:szCs w:val="24"/>
        </w:rPr>
        <w:t>MeV</w:t>
      </w:r>
      <w:r w:rsidRPr="00B12FE0">
        <w:rPr>
          <w:rFonts w:hint="eastAsia"/>
          <w:color w:val="000000" w:themeColor="text1"/>
          <w:szCs w:val="24"/>
        </w:rPr>
        <w:t>）</w:t>
      </w:r>
      <w:r w:rsidRPr="00B12FE0">
        <w:rPr>
          <w:color w:val="000000" w:themeColor="text1"/>
          <w:szCs w:val="24"/>
        </w:rPr>
        <w:t>为</w:t>
      </w:r>
      <w:r w:rsidRPr="00B12FE0">
        <w:rPr>
          <w:color w:val="000000" w:themeColor="text1"/>
          <w:szCs w:val="24"/>
        </w:rPr>
        <w:t>24cm</w:t>
      </w:r>
      <w:r w:rsidRPr="00B12FE0">
        <w:rPr>
          <w:color w:val="000000" w:themeColor="text1"/>
          <w:szCs w:val="24"/>
        </w:rPr>
        <w:t>，</w:t>
      </w:r>
      <w:proofErr w:type="spellStart"/>
      <w:r w:rsidRPr="00B12FE0">
        <w:rPr>
          <w:color w:val="000000" w:themeColor="text1"/>
          <w:szCs w:val="24"/>
        </w:rPr>
        <w:t>TVL</w:t>
      </w:r>
      <w:r w:rsidRPr="00B12FE0">
        <w:rPr>
          <w:color w:val="000000" w:themeColor="text1"/>
          <w:szCs w:val="24"/>
          <w:vertAlign w:val="subscript"/>
        </w:rPr>
        <w:t>γ</w:t>
      </w:r>
      <w:proofErr w:type="spellEnd"/>
      <w:r w:rsidRPr="00B12FE0">
        <w:rPr>
          <w:rFonts w:hint="eastAsia"/>
          <w:color w:val="000000" w:themeColor="text1"/>
          <w:szCs w:val="24"/>
        </w:rPr>
        <w:t>（</w:t>
      </w:r>
      <w:r w:rsidRPr="00B12FE0">
        <w:rPr>
          <w:rFonts w:hint="eastAsia"/>
          <w:color w:val="000000" w:themeColor="text1"/>
          <w:szCs w:val="24"/>
        </w:rPr>
        <w:t>8</w:t>
      </w:r>
      <w:r w:rsidRPr="00B12FE0">
        <w:rPr>
          <w:color w:val="000000" w:themeColor="text1"/>
          <w:szCs w:val="24"/>
        </w:rPr>
        <w:t>MeV</w:t>
      </w:r>
      <w:r w:rsidRPr="00B12FE0">
        <w:rPr>
          <w:rFonts w:hint="eastAsia"/>
          <w:color w:val="000000" w:themeColor="text1"/>
          <w:szCs w:val="24"/>
        </w:rPr>
        <w:t>）</w:t>
      </w:r>
      <w:r w:rsidRPr="00B12FE0">
        <w:rPr>
          <w:color w:val="000000" w:themeColor="text1"/>
          <w:szCs w:val="24"/>
        </w:rPr>
        <w:t>为</w:t>
      </w:r>
      <w:r w:rsidRPr="00B12FE0">
        <w:rPr>
          <w:color w:val="000000" w:themeColor="text1"/>
          <w:szCs w:val="24"/>
        </w:rPr>
        <w:t>80cm</w:t>
      </w:r>
      <w:r w:rsidRPr="00B12FE0">
        <w:rPr>
          <w:color w:val="000000" w:themeColor="text1"/>
          <w:szCs w:val="24"/>
        </w:rPr>
        <w:t>；</w:t>
      </w:r>
    </w:p>
    <w:p w14:paraId="4DB36D23" w14:textId="77777777" w:rsidR="00A67F21" w:rsidRPr="00B12FE0" w:rsidRDefault="00000000">
      <w:pPr>
        <w:adjustRightInd w:val="0"/>
        <w:snapToGrid w:val="0"/>
        <w:spacing w:line="360" w:lineRule="auto"/>
        <w:jc w:val="center"/>
        <w:rPr>
          <w:b/>
          <w:snapToGrid w:val="0"/>
          <w:color w:val="000000" w:themeColor="text1"/>
          <w:sz w:val="21"/>
          <w:szCs w:val="21"/>
        </w:rPr>
      </w:pPr>
      <w:r w:rsidRPr="00B12FE0">
        <w:rPr>
          <w:b/>
          <w:snapToGrid w:val="0"/>
          <w:color w:val="000000" w:themeColor="text1"/>
          <w:sz w:val="21"/>
          <w:szCs w:val="21"/>
        </w:rPr>
        <w:t>表</w:t>
      </w:r>
      <w:r w:rsidRPr="00B12FE0">
        <w:rPr>
          <w:b/>
          <w:bCs/>
          <w:snapToGrid w:val="0"/>
          <w:color w:val="000000" w:themeColor="text1"/>
          <w:sz w:val="21"/>
          <w:szCs w:val="24"/>
        </w:rPr>
        <w:t xml:space="preserve">11.2.1.1-3  </w:t>
      </w:r>
      <w:r w:rsidRPr="00B12FE0">
        <w:rPr>
          <w:b/>
          <w:snapToGrid w:val="0"/>
          <w:color w:val="000000" w:themeColor="text1"/>
          <w:sz w:val="21"/>
          <w:szCs w:val="21"/>
        </w:rPr>
        <w:t>回旋加速器机房周边辐射剂量</w:t>
      </w:r>
      <w:proofErr w:type="gramStart"/>
      <w:r w:rsidRPr="00B12FE0">
        <w:rPr>
          <w:b/>
          <w:snapToGrid w:val="0"/>
          <w:color w:val="000000" w:themeColor="text1"/>
          <w:sz w:val="21"/>
          <w:szCs w:val="21"/>
        </w:rPr>
        <w:t>率预测</w:t>
      </w:r>
      <w:proofErr w:type="gramEnd"/>
      <w:r w:rsidRPr="00B12FE0">
        <w:rPr>
          <w:b/>
          <w:snapToGrid w:val="0"/>
          <w:color w:val="000000" w:themeColor="text1"/>
          <w:sz w:val="21"/>
          <w:szCs w:val="21"/>
        </w:rPr>
        <w:t>结果</w:t>
      </w:r>
    </w:p>
    <w:tbl>
      <w:tblPr>
        <w:tblW w:w="9026" w:type="dxa"/>
        <w:jc w:val="center"/>
        <w:tblLayout w:type="fixed"/>
        <w:tblLook w:val="04A0" w:firstRow="1" w:lastRow="0" w:firstColumn="1" w:lastColumn="0" w:noHBand="0" w:noVBand="1"/>
      </w:tblPr>
      <w:tblGrid>
        <w:gridCol w:w="527"/>
        <w:gridCol w:w="1432"/>
        <w:gridCol w:w="901"/>
        <w:gridCol w:w="669"/>
        <w:gridCol w:w="1104"/>
        <w:gridCol w:w="891"/>
        <w:gridCol w:w="863"/>
        <w:gridCol w:w="796"/>
        <w:gridCol w:w="797"/>
        <w:gridCol w:w="1046"/>
      </w:tblGrid>
      <w:tr w:rsidR="00A67F21" w:rsidRPr="00B12FE0" w14:paraId="4ED2229E" w14:textId="77777777">
        <w:trPr>
          <w:trHeight w:val="340"/>
          <w:jc w:val="center"/>
        </w:trPr>
        <w:tc>
          <w:tcPr>
            <w:tcW w:w="527" w:type="dxa"/>
            <w:tcBorders>
              <w:top w:val="single" w:sz="4" w:space="0" w:color="000000"/>
              <w:left w:val="single" w:sz="4" w:space="0" w:color="000000"/>
              <w:bottom w:val="single" w:sz="4" w:space="0" w:color="000000"/>
              <w:right w:val="single" w:sz="4" w:space="0" w:color="000000"/>
            </w:tcBorders>
            <w:noWrap/>
            <w:vAlign w:val="center"/>
          </w:tcPr>
          <w:p w14:paraId="776EC93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序号</w:t>
            </w:r>
          </w:p>
        </w:tc>
        <w:tc>
          <w:tcPr>
            <w:tcW w:w="1432" w:type="dxa"/>
            <w:tcBorders>
              <w:top w:val="single" w:sz="4" w:space="0" w:color="000000"/>
              <w:left w:val="single" w:sz="4" w:space="0" w:color="000000"/>
              <w:bottom w:val="single" w:sz="4" w:space="0" w:color="000000"/>
              <w:right w:val="single" w:sz="4" w:space="0" w:color="000000"/>
            </w:tcBorders>
            <w:noWrap/>
            <w:vAlign w:val="center"/>
          </w:tcPr>
          <w:p w14:paraId="702ABD6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关注点</w:t>
            </w:r>
          </w:p>
        </w:tc>
        <w:tc>
          <w:tcPr>
            <w:tcW w:w="901" w:type="dxa"/>
            <w:tcBorders>
              <w:top w:val="single" w:sz="4" w:space="0" w:color="000000"/>
              <w:left w:val="single" w:sz="4" w:space="0" w:color="000000"/>
              <w:bottom w:val="single" w:sz="4" w:space="0" w:color="000000"/>
              <w:right w:val="single" w:sz="4" w:space="0" w:color="000000"/>
            </w:tcBorders>
            <w:noWrap/>
            <w:vAlign w:val="center"/>
          </w:tcPr>
          <w:p w14:paraId="32B080F7" w14:textId="77777777" w:rsidR="00A67F21" w:rsidRPr="00B12FE0" w:rsidRDefault="00000000">
            <w:pPr>
              <w:widowControl/>
              <w:jc w:val="center"/>
              <w:textAlignment w:val="center"/>
              <w:rPr>
                <w:snapToGrid w:val="0"/>
                <w:color w:val="000000" w:themeColor="text1"/>
                <w:sz w:val="21"/>
                <w:szCs w:val="21"/>
                <w:vertAlign w:val="subscript"/>
              </w:rPr>
            </w:pPr>
            <w:r w:rsidRPr="00B12FE0">
              <w:rPr>
                <w:snapToGrid w:val="0"/>
                <w:color w:val="000000" w:themeColor="text1"/>
                <w:sz w:val="21"/>
                <w:szCs w:val="21"/>
              </w:rPr>
              <w:t>r</w:t>
            </w:r>
            <w:r w:rsidRPr="00B12FE0">
              <w:rPr>
                <w:snapToGrid w:val="0"/>
                <w:color w:val="000000" w:themeColor="text1"/>
                <w:sz w:val="21"/>
                <w:szCs w:val="21"/>
                <w:vertAlign w:val="subscript"/>
              </w:rPr>
              <w:t>0</w:t>
            </w:r>
          </w:p>
          <w:p w14:paraId="3850634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(m)</w:t>
            </w:r>
          </w:p>
        </w:tc>
        <w:tc>
          <w:tcPr>
            <w:tcW w:w="669" w:type="dxa"/>
            <w:tcBorders>
              <w:top w:val="single" w:sz="4" w:space="0" w:color="000000"/>
              <w:left w:val="single" w:sz="4" w:space="0" w:color="000000"/>
              <w:bottom w:val="single" w:sz="4" w:space="0" w:color="000000"/>
              <w:right w:val="single" w:sz="4" w:space="0" w:color="000000"/>
            </w:tcBorders>
            <w:noWrap/>
            <w:vAlign w:val="center"/>
          </w:tcPr>
          <w:p w14:paraId="7EFCF1E1"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R</w:t>
            </w:r>
          </w:p>
          <w:p w14:paraId="48D83E3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(m)</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2AD6EEF0" w14:textId="77777777" w:rsidR="00A67F21" w:rsidRPr="00B12FE0" w:rsidRDefault="00000000">
            <w:pPr>
              <w:widowControl/>
              <w:jc w:val="center"/>
              <w:textAlignment w:val="center"/>
              <w:rPr>
                <w:snapToGrid w:val="0"/>
                <w:color w:val="000000" w:themeColor="text1"/>
                <w:kern w:val="0"/>
                <w:sz w:val="21"/>
                <w:szCs w:val="21"/>
                <w:lang w:bidi="ar"/>
              </w:rPr>
            </w:pPr>
            <w:proofErr w:type="spellStart"/>
            <w:r w:rsidRPr="00B12FE0">
              <w:rPr>
                <w:snapToGrid w:val="0"/>
                <w:color w:val="000000" w:themeColor="text1"/>
                <w:kern w:val="0"/>
                <w:sz w:val="21"/>
                <w:szCs w:val="21"/>
                <w:lang w:bidi="ar"/>
              </w:rPr>
              <w:t>H</w:t>
            </w:r>
            <w:r w:rsidRPr="00B12FE0">
              <w:rPr>
                <w:snapToGrid w:val="0"/>
                <w:color w:val="000000" w:themeColor="text1"/>
                <w:kern w:val="0"/>
                <w:sz w:val="21"/>
                <w:szCs w:val="21"/>
                <w:vertAlign w:val="subscript"/>
                <w:lang w:bidi="ar"/>
              </w:rPr>
              <w:t>n</w:t>
            </w:r>
            <w:proofErr w:type="spellEnd"/>
          </w:p>
          <w:p w14:paraId="129940D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891" w:type="dxa"/>
            <w:tcBorders>
              <w:top w:val="single" w:sz="4" w:space="0" w:color="000000"/>
              <w:left w:val="single" w:sz="4" w:space="0" w:color="000000"/>
              <w:bottom w:val="single" w:sz="4" w:space="0" w:color="000000"/>
              <w:right w:val="single" w:sz="4" w:space="0" w:color="000000"/>
            </w:tcBorders>
            <w:noWrap/>
            <w:vAlign w:val="center"/>
          </w:tcPr>
          <w:p w14:paraId="1C5813F4" w14:textId="77777777" w:rsidR="00A67F21" w:rsidRPr="00B12FE0" w:rsidRDefault="00000000">
            <w:pPr>
              <w:widowControl/>
              <w:jc w:val="center"/>
              <w:textAlignment w:val="center"/>
              <w:rPr>
                <w:snapToGrid w:val="0"/>
                <w:color w:val="000000" w:themeColor="text1"/>
                <w:sz w:val="21"/>
                <w:szCs w:val="21"/>
              </w:rPr>
            </w:pPr>
            <w:proofErr w:type="spellStart"/>
            <w:r w:rsidRPr="00B12FE0">
              <w:rPr>
                <w:snapToGrid w:val="0"/>
                <w:color w:val="000000" w:themeColor="text1"/>
                <w:kern w:val="0"/>
                <w:sz w:val="21"/>
                <w:szCs w:val="21"/>
                <w:lang w:bidi="ar"/>
              </w:rPr>
              <w:t>TVL</w:t>
            </w:r>
            <w:r w:rsidRPr="00B12FE0">
              <w:rPr>
                <w:snapToGrid w:val="0"/>
                <w:color w:val="000000" w:themeColor="text1"/>
                <w:kern w:val="0"/>
                <w:sz w:val="21"/>
                <w:szCs w:val="21"/>
                <w:vertAlign w:val="subscript"/>
                <w:lang w:bidi="ar"/>
              </w:rPr>
              <w:t>n</w:t>
            </w:r>
            <w:proofErr w:type="spellEnd"/>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022771" w14:textId="77777777" w:rsidR="00A67F21" w:rsidRPr="00B12FE0" w:rsidRDefault="00000000">
            <w:pPr>
              <w:autoSpaceDE w:val="0"/>
              <w:autoSpaceDN w:val="0"/>
              <w:adjustRightInd w:val="0"/>
              <w:snapToGrid w:val="0"/>
              <w:jc w:val="center"/>
              <w:textAlignment w:val="center"/>
              <w:rPr>
                <w:snapToGrid w:val="0"/>
                <w:color w:val="000000" w:themeColor="text1"/>
                <w:sz w:val="21"/>
                <w:szCs w:val="21"/>
              </w:rPr>
            </w:pPr>
            <w:proofErr w:type="spellStart"/>
            <w:r w:rsidRPr="00B12FE0">
              <w:rPr>
                <w:snapToGrid w:val="0"/>
                <w:color w:val="000000" w:themeColor="text1"/>
                <w:kern w:val="0"/>
                <w:sz w:val="21"/>
                <w:szCs w:val="21"/>
                <w:lang w:bidi="ar"/>
              </w:rPr>
              <w:t>H</w:t>
            </w:r>
            <w:r w:rsidRPr="00B12FE0">
              <w:rPr>
                <w:snapToGrid w:val="0"/>
                <w:color w:val="000000" w:themeColor="text1"/>
                <w:kern w:val="0"/>
                <w:sz w:val="21"/>
                <w:szCs w:val="21"/>
                <w:vertAlign w:val="subscript"/>
                <w:lang w:bidi="ar"/>
              </w:rPr>
              <w:t>γ</w:t>
            </w:r>
            <w:proofErr w:type="spellEnd"/>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796" w:type="dxa"/>
            <w:tcBorders>
              <w:top w:val="single" w:sz="4" w:space="0" w:color="000000"/>
              <w:left w:val="single" w:sz="4" w:space="0" w:color="000000"/>
              <w:bottom w:val="single" w:sz="4" w:space="0" w:color="000000"/>
              <w:right w:val="single" w:sz="4" w:space="0" w:color="000000"/>
            </w:tcBorders>
            <w:noWrap/>
            <w:vAlign w:val="center"/>
          </w:tcPr>
          <w:p w14:paraId="3FB015E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X</w:t>
            </w:r>
          </w:p>
          <w:p w14:paraId="614548D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797" w:type="dxa"/>
            <w:tcBorders>
              <w:top w:val="single" w:sz="4" w:space="0" w:color="000000"/>
              <w:left w:val="single" w:sz="4" w:space="0" w:color="000000"/>
              <w:bottom w:val="single" w:sz="4" w:space="0" w:color="000000"/>
              <w:right w:val="single" w:sz="4" w:space="0" w:color="000000"/>
            </w:tcBorders>
            <w:noWrap/>
            <w:vAlign w:val="center"/>
          </w:tcPr>
          <w:p w14:paraId="3A09091F" w14:textId="77777777" w:rsidR="00A67F21" w:rsidRPr="00B12FE0" w:rsidRDefault="00000000">
            <w:pPr>
              <w:widowControl/>
              <w:jc w:val="center"/>
              <w:textAlignment w:val="center"/>
              <w:rPr>
                <w:snapToGrid w:val="0"/>
                <w:color w:val="000000" w:themeColor="text1"/>
                <w:kern w:val="0"/>
                <w:sz w:val="21"/>
                <w:szCs w:val="21"/>
                <w:lang w:bidi="ar"/>
              </w:rPr>
            </w:pPr>
            <w:proofErr w:type="spellStart"/>
            <w:r w:rsidRPr="00B12FE0">
              <w:rPr>
                <w:snapToGrid w:val="0"/>
                <w:color w:val="000000" w:themeColor="text1"/>
                <w:kern w:val="0"/>
                <w:sz w:val="21"/>
                <w:szCs w:val="21"/>
                <w:lang w:bidi="ar"/>
              </w:rPr>
              <w:t>TVL</w:t>
            </w:r>
            <w:r w:rsidRPr="00B12FE0">
              <w:rPr>
                <w:snapToGrid w:val="0"/>
                <w:color w:val="000000" w:themeColor="text1"/>
                <w:kern w:val="0"/>
                <w:sz w:val="21"/>
                <w:szCs w:val="21"/>
                <w:vertAlign w:val="subscript"/>
                <w:lang w:bidi="ar"/>
              </w:rPr>
              <w:t>γ</w:t>
            </w:r>
            <w:proofErr w:type="spellEnd"/>
          </w:p>
          <w:p w14:paraId="07AFC50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(cm)</w:t>
            </w:r>
          </w:p>
        </w:tc>
        <w:tc>
          <w:tcPr>
            <w:tcW w:w="1046" w:type="dxa"/>
            <w:tcBorders>
              <w:top w:val="single" w:sz="4" w:space="0" w:color="000000"/>
              <w:left w:val="single" w:sz="4" w:space="0" w:color="000000"/>
              <w:bottom w:val="single" w:sz="4" w:space="0" w:color="000000"/>
              <w:right w:val="single" w:sz="4" w:space="0" w:color="000000"/>
            </w:tcBorders>
            <w:noWrap/>
            <w:vAlign w:val="center"/>
          </w:tcPr>
          <w:p w14:paraId="7D256990"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H</w:t>
            </w:r>
            <w:r w:rsidRPr="00B12FE0">
              <w:rPr>
                <w:snapToGrid w:val="0"/>
                <w:color w:val="000000" w:themeColor="text1"/>
                <w:kern w:val="0"/>
                <w:sz w:val="21"/>
                <w:szCs w:val="21"/>
                <w:vertAlign w:val="subscript"/>
                <w:lang w:bidi="ar"/>
              </w:rPr>
              <w:t>R</w:t>
            </w:r>
          </w:p>
          <w:p w14:paraId="1F4FADF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p>
        </w:tc>
      </w:tr>
      <w:tr w:rsidR="00A67F21" w:rsidRPr="00B12FE0" w14:paraId="6F41A0BB" w14:textId="77777777">
        <w:trPr>
          <w:trHeight w:val="340"/>
          <w:jc w:val="center"/>
        </w:trPr>
        <w:tc>
          <w:tcPr>
            <w:tcW w:w="527" w:type="dxa"/>
            <w:tcBorders>
              <w:top w:val="single" w:sz="4" w:space="0" w:color="000000"/>
              <w:left w:val="single" w:sz="4" w:space="0" w:color="000000"/>
              <w:bottom w:val="single" w:sz="4" w:space="0" w:color="000000"/>
              <w:right w:val="single" w:sz="4" w:space="0" w:color="000000"/>
            </w:tcBorders>
            <w:noWrap/>
            <w:vAlign w:val="center"/>
          </w:tcPr>
          <w:p w14:paraId="6E86D63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1-1</w:t>
            </w:r>
          </w:p>
        </w:tc>
        <w:tc>
          <w:tcPr>
            <w:tcW w:w="1432" w:type="dxa"/>
            <w:tcBorders>
              <w:top w:val="single" w:sz="4" w:space="0" w:color="000000"/>
              <w:left w:val="single" w:sz="4" w:space="0" w:color="000000"/>
              <w:bottom w:val="single" w:sz="4" w:space="0" w:color="000000"/>
              <w:right w:val="single" w:sz="4" w:space="0" w:color="000000"/>
            </w:tcBorders>
            <w:noWrap/>
            <w:vAlign w:val="center"/>
          </w:tcPr>
          <w:p w14:paraId="45D525D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东墙外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处（热室房间）</w:t>
            </w:r>
          </w:p>
        </w:tc>
        <w:tc>
          <w:tcPr>
            <w:tcW w:w="901" w:type="dxa"/>
            <w:tcBorders>
              <w:top w:val="single" w:sz="4" w:space="0" w:color="000000"/>
              <w:left w:val="single" w:sz="4" w:space="0" w:color="000000"/>
              <w:bottom w:val="single" w:sz="4" w:space="0" w:color="000000"/>
              <w:right w:val="single" w:sz="4" w:space="0" w:color="000000"/>
            </w:tcBorders>
            <w:noWrap/>
            <w:vAlign w:val="center"/>
          </w:tcPr>
          <w:p w14:paraId="1D19A0E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3.237</w:t>
            </w:r>
          </w:p>
        </w:tc>
        <w:tc>
          <w:tcPr>
            <w:tcW w:w="669" w:type="dxa"/>
            <w:tcBorders>
              <w:top w:val="single" w:sz="4" w:space="0" w:color="000000"/>
              <w:left w:val="single" w:sz="4" w:space="0" w:color="000000"/>
              <w:bottom w:val="single" w:sz="4" w:space="0" w:color="000000"/>
              <w:right w:val="single" w:sz="4" w:space="0" w:color="000000"/>
            </w:tcBorders>
            <w:noWrap/>
            <w:vAlign w:val="center"/>
          </w:tcPr>
          <w:p w14:paraId="7B3F1BDA"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5.13</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3F1C7B2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112.7</w:t>
            </w:r>
          </w:p>
        </w:tc>
        <w:tc>
          <w:tcPr>
            <w:tcW w:w="891" w:type="dxa"/>
            <w:tcBorders>
              <w:top w:val="single" w:sz="4" w:space="0" w:color="000000"/>
              <w:left w:val="single" w:sz="4" w:space="0" w:color="000000"/>
              <w:bottom w:val="single" w:sz="4" w:space="0" w:color="000000"/>
              <w:right w:val="single" w:sz="4" w:space="0" w:color="000000"/>
            </w:tcBorders>
            <w:noWrap/>
            <w:vAlign w:val="center"/>
          </w:tcPr>
          <w:p w14:paraId="42AD2B82"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43</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86AF7B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55.9</w:t>
            </w:r>
          </w:p>
        </w:tc>
        <w:tc>
          <w:tcPr>
            <w:tcW w:w="796" w:type="dxa"/>
            <w:tcBorders>
              <w:top w:val="single" w:sz="4" w:space="0" w:color="000000"/>
              <w:left w:val="single" w:sz="4" w:space="0" w:color="000000"/>
              <w:bottom w:val="single" w:sz="4" w:space="0" w:color="000000"/>
              <w:right w:val="single" w:sz="4" w:space="0" w:color="000000"/>
            </w:tcBorders>
            <w:noWrap/>
            <w:vAlign w:val="center"/>
          </w:tcPr>
          <w:p w14:paraId="0AAEDB8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60</w:t>
            </w:r>
          </w:p>
        </w:tc>
        <w:tc>
          <w:tcPr>
            <w:tcW w:w="797" w:type="dxa"/>
            <w:tcBorders>
              <w:top w:val="single" w:sz="4" w:space="0" w:color="000000"/>
              <w:left w:val="single" w:sz="4" w:space="0" w:color="000000"/>
              <w:bottom w:val="single" w:sz="4" w:space="0" w:color="000000"/>
              <w:right w:val="single" w:sz="4" w:space="0" w:color="000000"/>
            </w:tcBorders>
            <w:noWrap/>
            <w:vAlign w:val="center"/>
          </w:tcPr>
          <w:p w14:paraId="7127FFD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38</w:t>
            </w:r>
          </w:p>
        </w:tc>
        <w:tc>
          <w:tcPr>
            <w:tcW w:w="1046" w:type="dxa"/>
            <w:tcBorders>
              <w:top w:val="single" w:sz="4" w:space="0" w:color="000000"/>
              <w:left w:val="single" w:sz="4" w:space="0" w:color="000000"/>
              <w:bottom w:val="single" w:sz="4" w:space="0" w:color="000000"/>
              <w:right w:val="single" w:sz="4" w:space="0" w:color="000000"/>
            </w:tcBorders>
            <w:noWrap/>
            <w:vAlign w:val="center"/>
          </w:tcPr>
          <w:p w14:paraId="268FA1D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2.39</w:t>
            </w:r>
          </w:p>
        </w:tc>
      </w:tr>
      <w:tr w:rsidR="00A67F21" w:rsidRPr="00B12FE0" w14:paraId="2BBAF7ED" w14:textId="77777777">
        <w:trPr>
          <w:trHeight w:val="340"/>
          <w:jc w:val="center"/>
        </w:trPr>
        <w:tc>
          <w:tcPr>
            <w:tcW w:w="527" w:type="dxa"/>
            <w:tcBorders>
              <w:top w:val="single" w:sz="4" w:space="0" w:color="000000"/>
              <w:left w:val="single" w:sz="4" w:space="0" w:color="000000"/>
              <w:bottom w:val="single" w:sz="4" w:space="0" w:color="000000"/>
              <w:right w:val="single" w:sz="4" w:space="0" w:color="000000"/>
            </w:tcBorders>
            <w:noWrap/>
            <w:vAlign w:val="center"/>
          </w:tcPr>
          <w:p w14:paraId="43C0130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1-2</w:t>
            </w:r>
          </w:p>
        </w:tc>
        <w:tc>
          <w:tcPr>
            <w:tcW w:w="1432" w:type="dxa"/>
            <w:tcBorders>
              <w:top w:val="single" w:sz="4" w:space="0" w:color="000000"/>
              <w:left w:val="single" w:sz="4" w:space="0" w:color="000000"/>
              <w:bottom w:val="single" w:sz="4" w:space="0" w:color="000000"/>
              <w:right w:val="single" w:sz="4" w:space="0" w:color="000000"/>
            </w:tcBorders>
            <w:noWrap/>
            <w:vAlign w:val="center"/>
          </w:tcPr>
          <w:p w14:paraId="3AA6DF5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南墙外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r w:rsidRPr="00B12FE0">
              <w:rPr>
                <w:rFonts w:hint="eastAsia"/>
                <w:snapToGrid w:val="0"/>
                <w:color w:val="000000" w:themeColor="text1"/>
                <w:kern w:val="0"/>
                <w:sz w:val="21"/>
                <w:szCs w:val="21"/>
                <w:lang w:bidi="ar"/>
              </w:rPr>
              <w:t>水冷间</w:t>
            </w:r>
            <w:r w:rsidRPr="00B12FE0">
              <w:rPr>
                <w:snapToGrid w:val="0"/>
                <w:color w:val="000000" w:themeColor="text1"/>
                <w:kern w:val="0"/>
                <w:sz w:val="21"/>
                <w:szCs w:val="21"/>
                <w:lang w:bidi="ar"/>
              </w:rPr>
              <w:t>）</w:t>
            </w:r>
          </w:p>
        </w:tc>
        <w:tc>
          <w:tcPr>
            <w:tcW w:w="901" w:type="dxa"/>
            <w:tcBorders>
              <w:top w:val="single" w:sz="4" w:space="0" w:color="000000"/>
              <w:left w:val="single" w:sz="4" w:space="0" w:color="000000"/>
              <w:bottom w:val="single" w:sz="4" w:space="0" w:color="000000"/>
              <w:right w:val="single" w:sz="4" w:space="0" w:color="000000"/>
            </w:tcBorders>
            <w:noWrap/>
            <w:vAlign w:val="center"/>
          </w:tcPr>
          <w:p w14:paraId="2ED3DB3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2.029</w:t>
            </w:r>
          </w:p>
        </w:tc>
        <w:tc>
          <w:tcPr>
            <w:tcW w:w="669" w:type="dxa"/>
            <w:tcBorders>
              <w:top w:val="single" w:sz="4" w:space="0" w:color="000000"/>
              <w:left w:val="single" w:sz="4" w:space="0" w:color="000000"/>
              <w:bottom w:val="single" w:sz="4" w:space="0" w:color="000000"/>
              <w:right w:val="single" w:sz="4" w:space="0" w:color="000000"/>
            </w:tcBorders>
            <w:noWrap/>
            <w:vAlign w:val="center"/>
          </w:tcPr>
          <w:p w14:paraId="108E6E95"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5.17</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4334FF2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6.7</w:t>
            </w:r>
          </w:p>
        </w:tc>
        <w:tc>
          <w:tcPr>
            <w:tcW w:w="891" w:type="dxa"/>
            <w:tcBorders>
              <w:top w:val="single" w:sz="4" w:space="0" w:color="000000"/>
              <w:left w:val="single" w:sz="4" w:space="0" w:color="000000"/>
              <w:bottom w:val="single" w:sz="4" w:space="0" w:color="000000"/>
              <w:right w:val="single" w:sz="4" w:space="0" w:color="000000"/>
            </w:tcBorders>
            <w:noWrap/>
            <w:vAlign w:val="center"/>
          </w:tcPr>
          <w:p w14:paraId="632E524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43</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16CA4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34.6</w:t>
            </w:r>
          </w:p>
        </w:tc>
        <w:tc>
          <w:tcPr>
            <w:tcW w:w="796" w:type="dxa"/>
            <w:tcBorders>
              <w:top w:val="single" w:sz="4" w:space="0" w:color="000000"/>
              <w:left w:val="single" w:sz="4" w:space="0" w:color="000000"/>
              <w:bottom w:val="single" w:sz="4" w:space="0" w:color="000000"/>
              <w:right w:val="single" w:sz="4" w:space="0" w:color="000000"/>
            </w:tcBorders>
            <w:noWrap/>
            <w:vAlign w:val="center"/>
          </w:tcPr>
          <w:p w14:paraId="1C5ADBE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9</w:t>
            </w:r>
            <w:r w:rsidRPr="00B12FE0">
              <w:rPr>
                <w:snapToGrid w:val="0"/>
                <w:color w:val="000000" w:themeColor="text1"/>
                <w:kern w:val="0"/>
                <w:sz w:val="21"/>
                <w:szCs w:val="21"/>
                <w:lang w:bidi="ar"/>
              </w:rPr>
              <w:t>0</w:t>
            </w:r>
          </w:p>
        </w:tc>
        <w:tc>
          <w:tcPr>
            <w:tcW w:w="797" w:type="dxa"/>
            <w:tcBorders>
              <w:top w:val="single" w:sz="4" w:space="0" w:color="000000"/>
              <w:left w:val="single" w:sz="4" w:space="0" w:color="000000"/>
              <w:bottom w:val="single" w:sz="4" w:space="0" w:color="000000"/>
              <w:right w:val="single" w:sz="4" w:space="0" w:color="000000"/>
            </w:tcBorders>
            <w:noWrap/>
            <w:vAlign w:val="center"/>
          </w:tcPr>
          <w:p w14:paraId="64B261F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38</w:t>
            </w:r>
          </w:p>
        </w:tc>
        <w:tc>
          <w:tcPr>
            <w:tcW w:w="1046" w:type="dxa"/>
            <w:tcBorders>
              <w:top w:val="single" w:sz="4" w:space="0" w:color="000000"/>
              <w:left w:val="single" w:sz="4" w:space="0" w:color="000000"/>
              <w:bottom w:val="single" w:sz="4" w:space="0" w:color="000000"/>
              <w:right w:val="single" w:sz="4" w:space="0" w:color="000000"/>
            </w:tcBorders>
            <w:noWrap/>
            <w:vAlign w:val="center"/>
          </w:tcPr>
          <w:p w14:paraId="2A66258A"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0.07</w:t>
            </w:r>
          </w:p>
        </w:tc>
      </w:tr>
      <w:tr w:rsidR="00A67F21" w:rsidRPr="00B12FE0" w14:paraId="3C84880D" w14:textId="77777777">
        <w:trPr>
          <w:trHeight w:val="340"/>
          <w:jc w:val="center"/>
        </w:trPr>
        <w:tc>
          <w:tcPr>
            <w:tcW w:w="527" w:type="dxa"/>
            <w:vMerge w:val="restart"/>
            <w:tcBorders>
              <w:top w:val="single" w:sz="4" w:space="0" w:color="000000"/>
              <w:left w:val="single" w:sz="4" w:space="0" w:color="000000"/>
              <w:right w:val="single" w:sz="4" w:space="0" w:color="000000"/>
            </w:tcBorders>
            <w:noWrap/>
            <w:vAlign w:val="center"/>
          </w:tcPr>
          <w:p w14:paraId="3EC5FBF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3</w:t>
            </w:r>
          </w:p>
        </w:tc>
        <w:tc>
          <w:tcPr>
            <w:tcW w:w="1432" w:type="dxa"/>
            <w:vMerge w:val="restart"/>
            <w:tcBorders>
              <w:top w:val="single" w:sz="4" w:space="0" w:color="000000"/>
              <w:left w:val="single" w:sz="4" w:space="0" w:color="000000"/>
              <w:right w:val="single" w:sz="4" w:space="0" w:color="000000"/>
            </w:tcBorders>
            <w:noWrap/>
            <w:vAlign w:val="center"/>
          </w:tcPr>
          <w:p w14:paraId="4C5F12E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防护门</w:t>
            </w:r>
          </w:p>
        </w:tc>
        <w:tc>
          <w:tcPr>
            <w:tcW w:w="901" w:type="dxa"/>
            <w:vMerge w:val="restart"/>
            <w:tcBorders>
              <w:top w:val="single" w:sz="4" w:space="0" w:color="000000"/>
              <w:left w:val="single" w:sz="4" w:space="0" w:color="000000"/>
              <w:right w:val="single" w:sz="4" w:space="0" w:color="000000"/>
            </w:tcBorders>
            <w:noWrap/>
            <w:vAlign w:val="center"/>
          </w:tcPr>
          <w:p w14:paraId="76653D9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2.029</w:t>
            </w:r>
          </w:p>
        </w:tc>
        <w:tc>
          <w:tcPr>
            <w:tcW w:w="669" w:type="dxa"/>
            <w:vMerge w:val="restart"/>
            <w:tcBorders>
              <w:top w:val="single" w:sz="4" w:space="0" w:color="000000"/>
              <w:left w:val="single" w:sz="4" w:space="0" w:color="000000"/>
              <w:right w:val="single" w:sz="4" w:space="0" w:color="000000"/>
            </w:tcBorders>
            <w:noWrap/>
            <w:vAlign w:val="center"/>
          </w:tcPr>
          <w:p w14:paraId="24F9F9D2"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5.98</w:t>
            </w:r>
          </w:p>
        </w:tc>
        <w:tc>
          <w:tcPr>
            <w:tcW w:w="1104" w:type="dxa"/>
            <w:vMerge w:val="restart"/>
            <w:tcBorders>
              <w:top w:val="single" w:sz="4" w:space="0" w:color="000000"/>
              <w:left w:val="single" w:sz="4" w:space="0" w:color="000000"/>
              <w:right w:val="single" w:sz="4" w:space="0" w:color="000000"/>
            </w:tcBorders>
            <w:noWrap/>
            <w:vAlign w:val="center"/>
          </w:tcPr>
          <w:p w14:paraId="24F1A6E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6.7</w:t>
            </w:r>
          </w:p>
        </w:tc>
        <w:tc>
          <w:tcPr>
            <w:tcW w:w="891" w:type="dxa"/>
            <w:tcBorders>
              <w:top w:val="single" w:sz="4" w:space="0" w:color="000000"/>
              <w:left w:val="single" w:sz="4" w:space="0" w:color="000000"/>
              <w:bottom w:val="single" w:sz="4" w:space="0" w:color="000000"/>
              <w:right w:val="single" w:sz="4" w:space="0" w:color="000000"/>
            </w:tcBorders>
            <w:noWrap/>
            <w:vAlign w:val="center"/>
          </w:tcPr>
          <w:p w14:paraId="659D064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47.8</w:t>
            </w:r>
          </w:p>
        </w:tc>
        <w:tc>
          <w:tcPr>
            <w:tcW w:w="863" w:type="dxa"/>
            <w:vMerge w:val="restart"/>
            <w:tcBorders>
              <w:top w:val="single" w:sz="4" w:space="0" w:color="000000"/>
              <w:left w:val="single" w:sz="4" w:space="0" w:color="000000"/>
              <w:right w:val="single" w:sz="4" w:space="0" w:color="000000"/>
            </w:tcBorders>
            <w:noWrap/>
            <w:vAlign w:val="center"/>
          </w:tcPr>
          <w:p w14:paraId="540665CC"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34.6</w:t>
            </w:r>
          </w:p>
        </w:tc>
        <w:tc>
          <w:tcPr>
            <w:tcW w:w="796" w:type="dxa"/>
            <w:tcBorders>
              <w:top w:val="single" w:sz="4" w:space="0" w:color="000000"/>
              <w:left w:val="single" w:sz="4" w:space="0" w:color="000000"/>
              <w:bottom w:val="single" w:sz="4" w:space="0" w:color="000000"/>
              <w:right w:val="single" w:sz="4" w:space="0" w:color="000000"/>
            </w:tcBorders>
            <w:noWrap/>
            <w:vAlign w:val="center"/>
          </w:tcPr>
          <w:p w14:paraId="147C300F"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1.6</w:t>
            </w:r>
            <w:r w:rsidRPr="00B12FE0">
              <w:rPr>
                <w:rFonts w:ascii="Cambria Math" w:hAnsi="Cambria Math" w:cs="Cambria Math"/>
                <w:snapToGrid w:val="0"/>
                <w:color w:val="000000" w:themeColor="text1"/>
                <w:kern w:val="0"/>
                <w:sz w:val="21"/>
                <w:szCs w:val="21"/>
                <w:vertAlign w:val="superscript"/>
                <w:lang w:bidi="ar"/>
              </w:rPr>
              <w:t>①</w:t>
            </w:r>
          </w:p>
        </w:tc>
        <w:tc>
          <w:tcPr>
            <w:tcW w:w="797" w:type="dxa"/>
            <w:tcBorders>
              <w:top w:val="single" w:sz="4" w:space="0" w:color="000000"/>
              <w:left w:val="single" w:sz="4" w:space="0" w:color="000000"/>
              <w:bottom w:val="single" w:sz="4" w:space="0" w:color="000000"/>
              <w:right w:val="single" w:sz="4" w:space="0" w:color="000000"/>
            </w:tcBorders>
            <w:noWrap/>
            <w:vAlign w:val="center"/>
          </w:tcPr>
          <w:p w14:paraId="7B4C66F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w:t>
            </w:r>
          </w:p>
        </w:tc>
        <w:tc>
          <w:tcPr>
            <w:tcW w:w="1046" w:type="dxa"/>
            <w:vMerge w:val="restart"/>
            <w:tcBorders>
              <w:top w:val="single" w:sz="4" w:space="0" w:color="000000"/>
              <w:left w:val="single" w:sz="4" w:space="0" w:color="000000"/>
              <w:right w:val="single" w:sz="4" w:space="0" w:color="000000"/>
            </w:tcBorders>
            <w:noWrap/>
            <w:vAlign w:val="center"/>
          </w:tcPr>
          <w:p w14:paraId="3D1728C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0.26</w:t>
            </w:r>
          </w:p>
        </w:tc>
      </w:tr>
      <w:tr w:rsidR="00A67F21" w:rsidRPr="00B12FE0" w14:paraId="70FF0B6A" w14:textId="77777777">
        <w:trPr>
          <w:trHeight w:val="252"/>
          <w:jc w:val="center"/>
        </w:trPr>
        <w:tc>
          <w:tcPr>
            <w:tcW w:w="527" w:type="dxa"/>
            <w:vMerge/>
            <w:tcBorders>
              <w:left w:val="single" w:sz="4" w:space="0" w:color="000000"/>
              <w:right w:val="single" w:sz="4" w:space="0" w:color="000000"/>
            </w:tcBorders>
            <w:noWrap/>
            <w:vAlign w:val="center"/>
          </w:tcPr>
          <w:p w14:paraId="43643D2E" w14:textId="77777777" w:rsidR="00A67F21" w:rsidRPr="00B12FE0" w:rsidRDefault="00A67F21">
            <w:pPr>
              <w:widowControl/>
              <w:jc w:val="center"/>
              <w:textAlignment w:val="center"/>
              <w:rPr>
                <w:snapToGrid w:val="0"/>
                <w:color w:val="000000" w:themeColor="text1"/>
                <w:kern w:val="0"/>
                <w:sz w:val="21"/>
                <w:szCs w:val="21"/>
                <w:lang w:bidi="ar"/>
              </w:rPr>
            </w:pPr>
          </w:p>
        </w:tc>
        <w:tc>
          <w:tcPr>
            <w:tcW w:w="1432" w:type="dxa"/>
            <w:vMerge/>
            <w:tcBorders>
              <w:left w:val="single" w:sz="4" w:space="0" w:color="000000"/>
              <w:right w:val="single" w:sz="4" w:space="0" w:color="000000"/>
            </w:tcBorders>
            <w:noWrap/>
            <w:vAlign w:val="center"/>
          </w:tcPr>
          <w:p w14:paraId="778BDB1C" w14:textId="77777777" w:rsidR="00A67F21" w:rsidRPr="00B12FE0" w:rsidRDefault="00A67F21">
            <w:pPr>
              <w:widowControl/>
              <w:jc w:val="center"/>
              <w:textAlignment w:val="center"/>
              <w:rPr>
                <w:snapToGrid w:val="0"/>
                <w:color w:val="000000" w:themeColor="text1"/>
                <w:kern w:val="0"/>
                <w:sz w:val="21"/>
                <w:szCs w:val="21"/>
                <w:lang w:bidi="ar"/>
              </w:rPr>
            </w:pPr>
          </w:p>
        </w:tc>
        <w:tc>
          <w:tcPr>
            <w:tcW w:w="901" w:type="dxa"/>
            <w:vMerge/>
            <w:tcBorders>
              <w:left w:val="single" w:sz="4" w:space="0" w:color="000000"/>
              <w:right w:val="single" w:sz="4" w:space="0" w:color="000000"/>
            </w:tcBorders>
            <w:noWrap/>
            <w:vAlign w:val="center"/>
          </w:tcPr>
          <w:p w14:paraId="4B61B35D" w14:textId="77777777" w:rsidR="00A67F21" w:rsidRPr="00B12FE0" w:rsidRDefault="00A67F21">
            <w:pPr>
              <w:widowControl/>
              <w:jc w:val="center"/>
              <w:textAlignment w:val="center"/>
              <w:rPr>
                <w:snapToGrid w:val="0"/>
                <w:color w:val="000000" w:themeColor="text1"/>
                <w:kern w:val="0"/>
                <w:sz w:val="21"/>
                <w:szCs w:val="21"/>
                <w:lang w:bidi="ar"/>
              </w:rPr>
            </w:pPr>
          </w:p>
        </w:tc>
        <w:tc>
          <w:tcPr>
            <w:tcW w:w="669" w:type="dxa"/>
            <w:vMerge/>
            <w:tcBorders>
              <w:left w:val="single" w:sz="4" w:space="0" w:color="000000"/>
              <w:right w:val="single" w:sz="4" w:space="0" w:color="000000"/>
            </w:tcBorders>
            <w:noWrap/>
            <w:vAlign w:val="center"/>
          </w:tcPr>
          <w:p w14:paraId="7E2AC9BA" w14:textId="77777777" w:rsidR="00A67F21" w:rsidRPr="00B12FE0" w:rsidRDefault="00A67F21">
            <w:pPr>
              <w:widowControl/>
              <w:jc w:val="center"/>
              <w:textAlignment w:val="center"/>
              <w:rPr>
                <w:snapToGrid w:val="0"/>
                <w:color w:val="000000" w:themeColor="text1"/>
                <w:kern w:val="0"/>
                <w:sz w:val="21"/>
                <w:szCs w:val="21"/>
                <w:lang w:bidi="ar"/>
              </w:rPr>
            </w:pPr>
          </w:p>
        </w:tc>
        <w:tc>
          <w:tcPr>
            <w:tcW w:w="1104" w:type="dxa"/>
            <w:vMerge/>
            <w:tcBorders>
              <w:left w:val="single" w:sz="4" w:space="0" w:color="000000"/>
              <w:right w:val="single" w:sz="4" w:space="0" w:color="000000"/>
            </w:tcBorders>
            <w:noWrap/>
            <w:vAlign w:val="center"/>
          </w:tcPr>
          <w:p w14:paraId="4A89E7B2" w14:textId="77777777" w:rsidR="00A67F21" w:rsidRPr="00B12FE0" w:rsidRDefault="00A67F21">
            <w:pPr>
              <w:widowControl/>
              <w:jc w:val="center"/>
              <w:textAlignment w:val="center"/>
              <w:rPr>
                <w:snapToGrid w:val="0"/>
                <w:color w:val="000000" w:themeColor="text1"/>
                <w:kern w:val="0"/>
                <w:sz w:val="21"/>
                <w:szCs w:val="21"/>
                <w:lang w:bidi="ar"/>
              </w:rPr>
            </w:pPr>
          </w:p>
        </w:tc>
        <w:tc>
          <w:tcPr>
            <w:tcW w:w="891" w:type="dxa"/>
            <w:tcBorders>
              <w:top w:val="single" w:sz="4" w:space="0" w:color="000000"/>
              <w:left w:val="single" w:sz="4" w:space="0" w:color="000000"/>
              <w:bottom w:val="single" w:sz="4" w:space="0" w:color="auto"/>
              <w:right w:val="single" w:sz="4" w:space="0" w:color="000000"/>
            </w:tcBorders>
            <w:noWrap/>
            <w:vAlign w:val="center"/>
          </w:tcPr>
          <w:p w14:paraId="278A6CB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24</w:t>
            </w:r>
          </w:p>
        </w:tc>
        <w:tc>
          <w:tcPr>
            <w:tcW w:w="863" w:type="dxa"/>
            <w:vMerge/>
            <w:tcBorders>
              <w:left w:val="single" w:sz="4" w:space="0" w:color="000000"/>
              <w:right w:val="single" w:sz="4" w:space="0" w:color="000000"/>
            </w:tcBorders>
            <w:noWrap/>
            <w:vAlign w:val="center"/>
          </w:tcPr>
          <w:p w14:paraId="04793BD1" w14:textId="77777777" w:rsidR="00A67F21" w:rsidRPr="00B12FE0" w:rsidRDefault="00A67F21">
            <w:pPr>
              <w:widowControl/>
              <w:jc w:val="center"/>
              <w:textAlignment w:val="center"/>
              <w:rPr>
                <w:snapToGrid w:val="0"/>
                <w:color w:val="000000" w:themeColor="text1"/>
                <w:kern w:val="0"/>
                <w:sz w:val="21"/>
                <w:szCs w:val="21"/>
                <w:lang w:bidi="ar"/>
              </w:rPr>
            </w:pPr>
          </w:p>
        </w:tc>
        <w:tc>
          <w:tcPr>
            <w:tcW w:w="796" w:type="dxa"/>
            <w:tcBorders>
              <w:top w:val="single" w:sz="4" w:space="0" w:color="000000"/>
              <w:left w:val="single" w:sz="4" w:space="0" w:color="000000"/>
              <w:bottom w:val="single" w:sz="4" w:space="0" w:color="auto"/>
              <w:right w:val="single" w:sz="4" w:space="0" w:color="000000"/>
            </w:tcBorders>
            <w:noWrap/>
            <w:vAlign w:val="center"/>
          </w:tcPr>
          <w:p w14:paraId="39F86F2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12</w:t>
            </w:r>
            <w:r w:rsidRPr="00B12FE0">
              <w:rPr>
                <w:rFonts w:ascii="Cambria Math" w:hAnsi="Cambria Math" w:cs="Cambria Math"/>
                <w:snapToGrid w:val="0"/>
                <w:color w:val="000000" w:themeColor="text1"/>
                <w:kern w:val="0"/>
                <w:sz w:val="21"/>
                <w:szCs w:val="21"/>
                <w:vertAlign w:val="superscript"/>
                <w:lang w:bidi="ar"/>
              </w:rPr>
              <w:t>②</w:t>
            </w:r>
          </w:p>
        </w:tc>
        <w:tc>
          <w:tcPr>
            <w:tcW w:w="797" w:type="dxa"/>
            <w:tcBorders>
              <w:top w:val="single" w:sz="4" w:space="0" w:color="000000"/>
              <w:left w:val="single" w:sz="4" w:space="0" w:color="000000"/>
              <w:bottom w:val="single" w:sz="4" w:space="0" w:color="auto"/>
              <w:right w:val="single" w:sz="4" w:space="0" w:color="000000"/>
            </w:tcBorders>
            <w:noWrap/>
            <w:vAlign w:val="center"/>
          </w:tcPr>
          <w:p w14:paraId="0ACD2E2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80</w:t>
            </w:r>
          </w:p>
        </w:tc>
        <w:tc>
          <w:tcPr>
            <w:tcW w:w="1046" w:type="dxa"/>
            <w:vMerge/>
            <w:tcBorders>
              <w:left w:val="single" w:sz="4" w:space="0" w:color="000000"/>
              <w:right w:val="single" w:sz="4" w:space="0" w:color="000000"/>
            </w:tcBorders>
            <w:noWrap/>
            <w:vAlign w:val="center"/>
          </w:tcPr>
          <w:p w14:paraId="7C700865"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3037B2B3" w14:textId="77777777">
        <w:trPr>
          <w:trHeight w:val="98"/>
          <w:jc w:val="center"/>
        </w:trPr>
        <w:tc>
          <w:tcPr>
            <w:tcW w:w="527" w:type="dxa"/>
            <w:vMerge/>
            <w:tcBorders>
              <w:left w:val="single" w:sz="4" w:space="0" w:color="000000"/>
              <w:bottom w:val="single" w:sz="4" w:space="0" w:color="auto"/>
              <w:right w:val="single" w:sz="4" w:space="0" w:color="000000"/>
            </w:tcBorders>
            <w:noWrap/>
            <w:vAlign w:val="center"/>
          </w:tcPr>
          <w:p w14:paraId="0365E41D" w14:textId="77777777" w:rsidR="00A67F21" w:rsidRPr="00B12FE0" w:rsidRDefault="00A67F21">
            <w:pPr>
              <w:widowControl/>
              <w:jc w:val="center"/>
              <w:textAlignment w:val="center"/>
              <w:rPr>
                <w:snapToGrid w:val="0"/>
                <w:color w:val="000000" w:themeColor="text1"/>
                <w:kern w:val="0"/>
                <w:sz w:val="21"/>
                <w:szCs w:val="21"/>
                <w:lang w:bidi="ar"/>
              </w:rPr>
            </w:pPr>
          </w:p>
        </w:tc>
        <w:tc>
          <w:tcPr>
            <w:tcW w:w="1432" w:type="dxa"/>
            <w:vMerge/>
            <w:tcBorders>
              <w:left w:val="single" w:sz="4" w:space="0" w:color="000000"/>
              <w:bottom w:val="single" w:sz="4" w:space="0" w:color="auto"/>
              <w:right w:val="single" w:sz="4" w:space="0" w:color="000000"/>
            </w:tcBorders>
            <w:noWrap/>
            <w:vAlign w:val="center"/>
          </w:tcPr>
          <w:p w14:paraId="76ECD0B9" w14:textId="77777777" w:rsidR="00A67F21" w:rsidRPr="00B12FE0" w:rsidRDefault="00A67F21">
            <w:pPr>
              <w:widowControl/>
              <w:jc w:val="center"/>
              <w:textAlignment w:val="center"/>
              <w:rPr>
                <w:snapToGrid w:val="0"/>
                <w:color w:val="000000" w:themeColor="text1"/>
                <w:kern w:val="0"/>
                <w:sz w:val="21"/>
                <w:szCs w:val="21"/>
                <w:lang w:bidi="ar"/>
              </w:rPr>
            </w:pPr>
          </w:p>
        </w:tc>
        <w:tc>
          <w:tcPr>
            <w:tcW w:w="901" w:type="dxa"/>
            <w:vMerge/>
            <w:tcBorders>
              <w:left w:val="single" w:sz="4" w:space="0" w:color="000000"/>
              <w:bottom w:val="single" w:sz="4" w:space="0" w:color="auto"/>
              <w:right w:val="single" w:sz="4" w:space="0" w:color="000000"/>
            </w:tcBorders>
            <w:noWrap/>
            <w:vAlign w:val="center"/>
          </w:tcPr>
          <w:p w14:paraId="76103F24" w14:textId="77777777" w:rsidR="00A67F21" w:rsidRPr="00B12FE0" w:rsidRDefault="00A67F21">
            <w:pPr>
              <w:widowControl/>
              <w:jc w:val="center"/>
              <w:textAlignment w:val="center"/>
              <w:rPr>
                <w:snapToGrid w:val="0"/>
                <w:color w:val="000000" w:themeColor="text1"/>
                <w:kern w:val="0"/>
                <w:sz w:val="21"/>
                <w:szCs w:val="21"/>
                <w:lang w:bidi="ar"/>
              </w:rPr>
            </w:pPr>
          </w:p>
        </w:tc>
        <w:tc>
          <w:tcPr>
            <w:tcW w:w="669" w:type="dxa"/>
            <w:vMerge/>
            <w:tcBorders>
              <w:left w:val="single" w:sz="4" w:space="0" w:color="000000"/>
              <w:bottom w:val="single" w:sz="4" w:space="0" w:color="auto"/>
              <w:right w:val="single" w:sz="4" w:space="0" w:color="000000"/>
            </w:tcBorders>
            <w:noWrap/>
            <w:vAlign w:val="center"/>
          </w:tcPr>
          <w:p w14:paraId="685344AF" w14:textId="77777777" w:rsidR="00A67F21" w:rsidRPr="00B12FE0" w:rsidRDefault="00A67F21">
            <w:pPr>
              <w:widowControl/>
              <w:jc w:val="center"/>
              <w:textAlignment w:val="center"/>
              <w:rPr>
                <w:snapToGrid w:val="0"/>
                <w:color w:val="000000" w:themeColor="text1"/>
                <w:kern w:val="0"/>
                <w:sz w:val="21"/>
                <w:szCs w:val="21"/>
                <w:lang w:bidi="ar"/>
              </w:rPr>
            </w:pPr>
          </w:p>
        </w:tc>
        <w:tc>
          <w:tcPr>
            <w:tcW w:w="1104" w:type="dxa"/>
            <w:vMerge/>
            <w:tcBorders>
              <w:left w:val="single" w:sz="4" w:space="0" w:color="000000"/>
              <w:bottom w:val="single" w:sz="4" w:space="0" w:color="auto"/>
              <w:right w:val="single" w:sz="4" w:space="0" w:color="000000"/>
            </w:tcBorders>
            <w:noWrap/>
            <w:vAlign w:val="center"/>
          </w:tcPr>
          <w:p w14:paraId="5D7ECA1C" w14:textId="77777777" w:rsidR="00A67F21" w:rsidRPr="00B12FE0" w:rsidRDefault="00A67F21">
            <w:pPr>
              <w:widowControl/>
              <w:jc w:val="center"/>
              <w:textAlignment w:val="center"/>
              <w:rPr>
                <w:snapToGrid w:val="0"/>
                <w:color w:val="000000" w:themeColor="text1"/>
                <w:kern w:val="0"/>
                <w:sz w:val="21"/>
                <w:szCs w:val="21"/>
                <w:lang w:bidi="ar"/>
              </w:rPr>
            </w:pPr>
          </w:p>
        </w:tc>
        <w:tc>
          <w:tcPr>
            <w:tcW w:w="891" w:type="dxa"/>
            <w:tcBorders>
              <w:top w:val="single" w:sz="4" w:space="0" w:color="auto"/>
              <w:left w:val="single" w:sz="4" w:space="0" w:color="000000"/>
              <w:bottom w:val="single" w:sz="4" w:space="0" w:color="auto"/>
              <w:right w:val="single" w:sz="4" w:space="0" w:color="000000"/>
            </w:tcBorders>
            <w:noWrap/>
            <w:vAlign w:val="center"/>
          </w:tcPr>
          <w:p w14:paraId="641C7A86"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43</w:t>
            </w:r>
          </w:p>
        </w:tc>
        <w:tc>
          <w:tcPr>
            <w:tcW w:w="863" w:type="dxa"/>
            <w:vMerge/>
            <w:tcBorders>
              <w:left w:val="single" w:sz="4" w:space="0" w:color="000000"/>
              <w:bottom w:val="single" w:sz="4" w:space="0" w:color="auto"/>
              <w:right w:val="single" w:sz="4" w:space="0" w:color="000000"/>
            </w:tcBorders>
            <w:noWrap/>
            <w:vAlign w:val="center"/>
          </w:tcPr>
          <w:p w14:paraId="3395452A" w14:textId="77777777" w:rsidR="00A67F21" w:rsidRPr="00B12FE0" w:rsidRDefault="00A67F21">
            <w:pPr>
              <w:widowControl/>
              <w:jc w:val="center"/>
              <w:textAlignment w:val="center"/>
              <w:rPr>
                <w:snapToGrid w:val="0"/>
                <w:color w:val="000000" w:themeColor="text1"/>
                <w:kern w:val="0"/>
                <w:sz w:val="21"/>
                <w:szCs w:val="21"/>
                <w:lang w:bidi="ar"/>
              </w:rPr>
            </w:pPr>
          </w:p>
        </w:tc>
        <w:tc>
          <w:tcPr>
            <w:tcW w:w="796" w:type="dxa"/>
            <w:tcBorders>
              <w:top w:val="single" w:sz="4" w:space="0" w:color="auto"/>
              <w:left w:val="single" w:sz="4" w:space="0" w:color="000000"/>
              <w:bottom w:val="single" w:sz="4" w:space="0" w:color="auto"/>
              <w:right w:val="single" w:sz="4" w:space="0" w:color="000000"/>
            </w:tcBorders>
            <w:noWrap/>
            <w:vAlign w:val="center"/>
          </w:tcPr>
          <w:p w14:paraId="008B37F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30</w:t>
            </w:r>
            <w:r w:rsidRPr="00B12FE0">
              <w:rPr>
                <w:rFonts w:hint="eastAsia"/>
                <w:snapToGrid w:val="0"/>
                <w:color w:val="000000" w:themeColor="text1"/>
                <w:kern w:val="0"/>
                <w:sz w:val="21"/>
                <w:szCs w:val="21"/>
                <w:vertAlign w:val="superscript"/>
                <w:lang w:bidi="ar"/>
              </w:rPr>
              <w:t>③</w:t>
            </w:r>
          </w:p>
        </w:tc>
        <w:tc>
          <w:tcPr>
            <w:tcW w:w="797" w:type="dxa"/>
            <w:tcBorders>
              <w:top w:val="single" w:sz="4" w:space="0" w:color="auto"/>
              <w:left w:val="single" w:sz="4" w:space="0" w:color="000000"/>
              <w:bottom w:val="single" w:sz="4" w:space="0" w:color="auto"/>
              <w:right w:val="single" w:sz="4" w:space="0" w:color="000000"/>
            </w:tcBorders>
            <w:noWrap/>
            <w:vAlign w:val="center"/>
          </w:tcPr>
          <w:p w14:paraId="77EF0B8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38</w:t>
            </w:r>
          </w:p>
        </w:tc>
        <w:tc>
          <w:tcPr>
            <w:tcW w:w="1046" w:type="dxa"/>
            <w:vMerge/>
            <w:tcBorders>
              <w:left w:val="single" w:sz="4" w:space="0" w:color="000000"/>
              <w:bottom w:val="single" w:sz="4" w:space="0" w:color="auto"/>
              <w:right w:val="single" w:sz="4" w:space="0" w:color="000000"/>
            </w:tcBorders>
            <w:noWrap/>
            <w:vAlign w:val="center"/>
          </w:tcPr>
          <w:p w14:paraId="2899D2C6"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5AC5D918" w14:textId="77777777">
        <w:trPr>
          <w:trHeight w:val="98"/>
          <w:jc w:val="center"/>
        </w:trPr>
        <w:tc>
          <w:tcPr>
            <w:tcW w:w="527" w:type="dxa"/>
            <w:tcBorders>
              <w:top w:val="single" w:sz="4" w:space="0" w:color="auto"/>
              <w:left w:val="single" w:sz="4" w:space="0" w:color="auto"/>
              <w:bottom w:val="single" w:sz="4" w:space="0" w:color="auto"/>
              <w:right w:val="single" w:sz="4" w:space="0" w:color="auto"/>
            </w:tcBorders>
            <w:noWrap/>
            <w:vAlign w:val="center"/>
          </w:tcPr>
          <w:p w14:paraId="63CF3C6A"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1-4</w:t>
            </w:r>
          </w:p>
        </w:tc>
        <w:tc>
          <w:tcPr>
            <w:tcW w:w="1432" w:type="dxa"/>
            <w:tcBorders>
              <w:top w:val="single" w:sz="4" w:space="0" w:color="auto"/>
              <w:left w:val="single" w:sz="4" w:space="0" w:color="auto"/>
              <w:bottom w:val="single" w:sz="4" w:space="0" w:color="auto"/>
              <w:right w:val="single" w:sz="4" w:space="0" w:color="auto"/>
            </w:tcBorders>
            <w:noWrap/>
            <w:vAlign w:val="center"/>
          </w:tcPr>
          <w:p w14:paraId="204DA1F9"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西墙外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901" w:type="dxa"/>
            <w:tcBorders>
              <w:top w:val="single" w:sz="4" w:space="0" w:color="auto"/>
              <w:left w:val="single" w:sz="4" w:space="0" w:color="auto"/>
              <w:bottom w:val="single" w:sz="4" w:space="0" w:color="auto"/>
              <w:right w:val="single" w:sz="4" w:space="0" w:color="auto"/>
            </w:tcBorders>
            <w:noWrap/>
            <w:vAlign w:val="center"/>
          </w:tcPr>
          <w:p w14:paraId="5D4BA3C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1.873</w:t>
            </w:r>
          </w:p>
        </w:tc>
        <w:tc>
          <w:tcPr>
            <w:tcW w:w="669" w:type="dxa"/>
            <w:tcBorders>
              <w:top w:val="single" w:sz="4" w:space="0" w:color="auto"/>
              <w:left w:val="single" w:sz="4" w:space="0" w:color="auto"/>
              <w:bottom w:val="single" w:sz="4" w:space="0" w:color="auto"/>
              <w:right w:val="single" w:sz="4" w:space="0" w:color="auto"/>
            </w:tcBorders>
            <w:noWrap/>
            <w:vAlign w:val="center"/>
          </w:tcPr>
          <w:p w14:paraId="39D6C65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4.52</w:t>
            </w:r>
          </w:p>
        </w:tc>
        <w:tc>
          <w:tcPr>
            <w:tcW w:w="1104" w:type="dxa"/>
            <w:tcBorders>
              <w:top w:val="single" w:sz="4" w:space="0" w:color="auto"/>
              <w:left w:val="single" w:sz="4" w:space="0" w:color="auto"/>
              <w:bottom w:val="single" w:sz="4" w:space="0" w:color="auto"/>
              <w:right w:val="single" w:sz="4" w:space="0" w:color="auto"/>
            </w:tcBorders>
            <w:noWrap/>
            <w:vAlign w:val="center"/>
          </w:tcPr>
          <w:p w14:paraId="7F8492A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30.3</w:t>
            </w:r>
          </w:p>
        </w:tc>
        <w:tc>
          <w:tcPr>
            <w:tcW w:w="891" w:type="dxa"/>
            <w:tcBorders>
              <w:top w:val="single" w:sz="4" w:space="0" w:color="auto"/>
              <w:left w:val="single" w:sz="4" w:space="0" w:color="auto"/>
              <w:bottom w:val="single" w:sz="4" w:space="0" w:color="auto"/>
              <w:right w:val="single" w:sz="4" w:space="0" w:color="auto"/>
            </w:tcBorders>
            <w:noWrap/>
            <w:vAlign w:val="center"/>
          </w:tcPr>
          <w:p w14:paraId="1BFC268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43</w:t>
            </w:r>
          </w:p>
        </w:tc>
        <w:tc>
          <w:tcPr>
            <w:tcW w:w="863" w:type="dxa"/>
            <w:tcBorders>
              <w:top w:val="single" w:sz="4" w:space="0" w:color="auto"/>
              <w:left w:val="single" w:sz="4" w:space="0" w:color="auto"/>
              <w:bottom w:val="single" w:sz="4" w:space="0" w:color="auto"/>
              <w:right w:val="single" w:sz="4" w:space="0" w:color="auto"/>
            </w:tcBorders>
            <w:noWrap/>
            <w:vAlign w:val="center"/>
          </w:tcPr>
          <w:p w14:paraId="335FED7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42.5</w:t>
            </w:r>
          </w:p>
        </w:tc>
        <w:tc>
          <w:tcPr>
            <w:tcW w:w="796" w:type="dxa"/>
            <w:tcBorders>
              <w:top w:val="single" w:sz="4" w:space="0" w:color="auto"/>
              <w:left w:val="single" w:sz="4" w:space="0" w:color="auto"/>
              <w:bottom w:val="single" w:sz="4" w:space="0" w:color="auto"/>
              <w:right w:val="single" w:sz="4" w:space="0" w:color="auto"/>
            </w:tcBorders>
            <w:noWrap/>
            <w:vAlign w:val="center"/>
          </w:tcPr>
          <w:p w14:paraId="02263DA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60</w:t>
            </w:r>
          </w:p>
        </w:tc>
        <w:tc>
          <w:tcPr>
            <w:tcW w:w="797" w:type="dxa"/>
            <w:tcBorders>
              <w:top w:val="single" w:sz="4" w:space="0" w:color="auto"/>
              <w:left w:val="single" w:sz="4" w:space="0" w:color="auto"/>
              <w:bottom w:val="single" w:sz="4" w:space="0" w:color="auto"/>
              <w:right w:val="single" w:sz="4" w:space="0" w:color="auto"/>
            </w:tcBorders>
            <w:noWrap/>
            <w:vAlign w:val="center"/>
          </w:tcPr>
          <w:p w14:paraId="1017414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38</w:t>
            </w:r>
          </w:p>
        </w:tc>
        <w:tc>
          <w:tcPr>
            <w:tcW w:w="1046" w:type="dxa"/>
            <w:tcBorders>
              <w:top w:val="single" w:sz="4" w:space="0" w:color="auto"/>
              <w:left w:val="single" w:sz="4" w:space="0" w:color="auto"/>
              <w:bottom w:val="single" w:sz="4" w:space="0" w:color="auto"/>
              <w:right w:val="single" w:sz="4" w:space="0" w:color="auto"/>
            </w:tcBorders>
            <w:noWrap/>
            <w:vAlign w:val="center"/>
          </w:tcPr>
          <w:p w14:paraId="6730EB7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0.40</w:t>
            </w:r>
          </w:p>
        </w:tc>
      </w:tr>
      <w:tr w:rsidR="00A67F21" w:rsidRPr="00B12FE0" w14:paraId="1D9D6A1D" w14:textId="77777777">
        <w:trPr>
          <w:trHeight w:val="340"/>
          <w:jc w:val="center"/>
        </w:trPr>
        <w:tc>
          <w:tcPr>
            <w:tcW w:w="527" w:type="dxa"/>
            <w:tcBorders>
              <w:top w:val="single" w:sz="4" w:space="0" w:color="auto"/>
              <w:left w:val="single" w:sz="4" w:space="0" w:color="000000"/>
              <w:bottom w:val="single" w:sz="4" w:space="0" w:color="000000"/>
              <w:right w:val="single" w:sz="4" w:space="0" w:color="000000"/>
            </w:tcBorders>
            <w:noWrap/>
            <w:vAlign w:val="center"/>
          </w:tcPr>
          <w:p w14:paraId="732655A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1-5</w:t>
            </w:r>
          </w:p>
        </w:tc>
        <w:tc>
          <w:tcPr>
            <w:tcW w:w="1432" w:type="dxa"/>
            <w:tcBorders>
              <w:top w:val="single" w:sz="4" w:space="0" w:color="auto"/>
              <w:left w:val="single" w:sz="4" w:space="0" w:color="000000"/>
              <w:bottom w:val="single" w:sz="4" w:space="0" w:color="000000"/>
              <w:right w:val="single" w:sz="4" w:space="0" w:color="000000"/>
            </w:tcBorders>
            <w:noWrap/>
            <w:vAlign w:val="center"/>
          </w:tcPr>
          <w:p w14:paraId="20B0724F"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北墙外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901" w:type="dxa"/>
            <w:tcBorders>
              <w:top w:val="single" w:sz="4" w:space="0" w:color="auto"/>
              <w:left w:val="single" w:sz="4" w:space="0" w:color="000000"/>
              <w:bottom w:val="single" w:sz="4" w:space="0" w:color="000000"/>
              <w:right w:val="single" w:sz="4" w:space="0" w:color="000000"/>
            </w:tcBorders>
            <w:noWrap/>
            <w:vAlign w:val="center"/>
          </w:tcPr>
          <w:p w14:paraId="2C1E12BF"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2.011</w:t>
            </w:r>
          </w:p>
        </w:tc>
        <w:tc>
          <w:tcPr>
            <w:tcW w:w="669" w:type="dxa"/>
            <w:tcBorders>
              <w:top w:val="single" w:sz="4" w:space="0" w:color="auto"/>
              <w:left w:val="single" w:sz="4" w:space="0" w:color="000000"/>
              <w:bottom w:val="single" w:sz="4" w:space="0" w:color="000000"/>
              <w:right w:val="single" w:sz="4" w:space="0" w:color="000000"/>
            </w:tcBorders>
            <w:noWrap/>
            <w:vAlign w:val="center"/>
          </w:tcPr>
          <w:p w14:paraId="18C1FF42"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3.77</w:t>
            </w:r>
          </w:p>
        </w:tc>
        <w:tc>
          <w:tcPr>
            <w:tcW w:w="1104" w:type="dxa"/>
            <w:tcBorders>
              <w:top w:val="single" w:sz="4" w:space="0" w:color="auto"/>
              <w:left w:val="single" w:sz="4" w:space="0" w:color="000000"/>
              <w:bottom w:val="single" w:sz="4" w:space="0" w:color="000000"/>
              <w:right w:val="single" w:sz="4" w:space="0" w:color="000000"/>
            </w:tcBorders>
            <w:noWrap/>
            <w:vAlign w:val="center"/>
          </w:tcPr>
          <w:p w14:paraId="656A4098"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14.1</w:t>
            </w:r>
          </w:p>
        </w:tc>
        <w:tc>
          <w:tcPr>
            <w:tcW w:w="891" w:type="dxa"/>
            <w:tcBorders>
              <w:top w:val="single" w:sz="4" w:space="0" w:color="auto"/>
              <w:left w:val="single" w:sz="4" w:space="0" w:color="000000"/>
              <w:bottom w:val="single" w:sz="4" w:space="0" w:color="000000"/>
              <w:right w:val="single" w:sz="4" w:space="0" w:color="000000"/>
            </w:tcBorders>
            <w:noWrap/>
            <w:vAlign w:val="center"/>
          </w:tcPr>
          <w:p w14:paraId="383CFB3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43</w:t>
            </w:r>
          </w:p>
        </w:tc>
        <w:tc>
          <w:tcPr>
            <w:tcW w:w="863" w:type="dxa"/>
            <w:tcBorders>
              <w:top w:val="single" w:sz="4" w:space="0" w:color="auto"/>
              <w:left w:val="single" w:sz="4" w:space="0" w:color="000000"/>
              <w:bottom w:val="single" w:sz="4" w:space="0" w:color="000000"/>
              <w:right w:val="single" w:sz="4" w:space="0" w:color="000000"/>
            </w:tcBorders>
            <w:noWrap/>
            <w:vAlign w:val="center"/>
          </w:tcPr>
          <w:p w14:paraId="167E00F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15.9</w:t>
            </w:r>
          </w:p>
        </w:tc>
        <w:tc>
          <w:tcPr>
            <w:tcW w:w="796" w:type="dxa"/>
            <w:tcBorders>
              <w:top w:val="single" w:sz="4" w:space="0" w:color="auto"/>
              <w:left w:val="single" w:sz="4" w:space="0" w:color="000000"/>
              <w:bottom w:val="single" w:sz="4" w:space="0" w:color="000000"/>
              <w:right w:val="single" w:sz="4" w:space="0" w:color="000000"/>
            </w:tcBorders>
            <w:noWrap/>
            <w:vAlign w:val="center"/>
          </w:tcPr>
          <w:p w14:paraId="7AF8B07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60</w:t>
            </w:r>
          </w:p>
        </w:tc>
        <w:tc>
          <w:tcPr>
            <w:tcW w:w="797" w:type="dxa"/>
            <w:tcBorders>
              <w:top w:val="single" w:sz="4" w:space="0" w:color="auto"/>
              <w:left w:val="single" w:sz="4" w:space="0" w:color="000000"/>
              <w:bottom w:val="single" w:sz="4" w:space="0" w:color="000000"/>
              <w:right w:val="single" w:sz="4" w:space="0" w:color="000000"/>
            </w:tcBorders>
            <w:noWrap/>
            <w:vAlign w:val="center"/>
          </w:tcPr>
          <w:p w14:paraId="3197AFA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38</w:t>
            </w:r>
          </w:p>
        </w:tc>
        <w:tc>
          <w:tcPr>
            <w:tcW w:w="1046" w:type="dxa"/>
            <w:tcBorders>
              <w:top w:val="single" w:sz="4" w:space="0" w:color="auto"/>
              <w:left w:val="single" w:sz="4" w:space="0" w:color="000000"/>
              <w:bottom w:val="single" w:sz="4" w:space="0" w:color="000000"/>
              <w:right w:val="single" w:sz="4" w:space="0" w:color="000000"/>
            </w:tcBorders>
            <w:noWrap/>
            <w:vAlign w:val="center"/>
          </w:tcPr>
          <w:p w14:paraId="233AB0C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0.53</w:t>
            </w:r>
          </w:p>
        </w:tc>
      </w:tr>
      <w:tr w:rsidR="00A67F21" w:rsidRPr="00B12FE0" w14:paraId="7D18EE2C" w14:textId="77777777">
        <w:trPr>
          <w:trHeight w:val="340"/>
          <w:jc w:val="center"/>
        </w:trPr>
        <w:tc>
          <w:tcPr>
            <w:tcW w:w="527" w:type="dxa"/>
            <w:tcBorders>
              <w:top w:val="single" w:sz="4" w:space="0" w:color="000000"/>
              <w:left w:val="single" w:sz="4" w:space="0" w:color="000000"/>
              <w:bottom w:val="single" w:sz="4" w:space="0" w:color="000000"/>
              <w:right w:val="single" w:sz="4" w:space="0" w:color="000000"/>
            </w:tcBorders>
            <w:noWrap/>
            <w:vAlign w:val="center"/>
          </w:tcPr>
          <w:p w14:paraId="3AFC928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1-6</w:t>
            </w:r>
          </w:p>
        </w:tc>
        <w:tc>
          <w:tcPr>
            <w:tcW w:w="1432" w:type="dxa"/>
            <w:tcBorders>
              <w:top w:val="single" w:sz="4" w:space="0" w:color="000000"/>
              <w:left w:val="single" w:sz="4" w:space="0" w:color="000000"/>
              <w:bottom w:val="single" w:sz="4" w:space="0" w:color="000000"/>
              <w:right w:val="single" w:sz="4" w:space="0" w:color="000000"/>
            </w:tcBorders>
            <w:noWrap/>
            <w:vAlign w:val="center"/>
          </w:tcPr>
          <w:p w14:paraId="068D530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上方</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901" w:type="dxa"/>
            <w:tcBorders>
              <w:top w:val="single" w:sz="4" w:space="0" w:color="000000"/>
              <w:left w:val="single" w:sz="4" w:space="0" w:color="000000"/>
              <w:bottom w:val="single" w:sz="4" w:space="0" w:color="000000"/>
              <w:right w:val="single" w:sz="4" w:space="0" w:color="000000"/>
            </w:tcBorders>
            <w:noWrap/>
            <w:vAlign w:val="center"/>
          </w:tcPr>
          <w:p w14:paraId="76B615A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2.197</w:t>
            </w:r>
          </w:p>
        </w:tc>
        <w:tc>
          <w:tcPr>
            <w:tcW w:w="669" w:type="dxa"/>
            <w:tcBorders>
              <w:top w:val="single" w:sz="4" w:space="0" w:color="000000"/>
              <w:left w:val="single" w:sz="4" w:space="0" w:color="000000"/>
              <w:bottom w:val="single" w:sz="4" w:space="0" w:color="000000"/>
              <w:right w:val="single" w:sz="4" w:space="0" w:color="000000"/>
            </w:tcBorders>
            <w:noWrap/>
            <w:vAlign w:val="center"/>
          </w:tcPr>
          <w:p w14:paraId="426A25D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3.0</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7D39EE4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14.4</w:t>
            </w:r>
          </w:p>
        </w:tc>
        <w:tc>
          <w:tcPr>
            <w:tcW w:w="891" w:type="dxa"/>
            <w:tcBorders>
              <w:top w:val="single" w:sz="4" w:space="0" w:color="000000"/>
              <w:left w:val="single" w:sz="4" w:space="0" w:color="000000"/>
              <w:bottom w:val="single" w:sz="4" w:space="0" w:color="000000"/>
              <w:right w:val="single" w:sz="4" w:space="0" w:color="000000"/>
            </w:tcBorders>
            <w:noWrap/>
            <w:vAlign w:val="center"/>
          </w:tcPr>
          <w:p w14:paraId="3277502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43</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64B5FF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16.5</w:t>
            </w:r>
          </w:p>
        </w:tc>
        <w:tc>
          <w:tcPr>
            <w:tcW w:w="796" w:type="dxa"/>
            <w:tcBorders>
              <w:top w:val="single" w:sz="4" w:space="0" w:color="000000"/>
              <w:left w:val="single" w:sz="4" w:space="0" w:color="000000"/>
              <w:bottom w:val="single" w:sz="4" w:space="0" w:color="000000"/>
              <w:right w:val="single" w:sz="4" w:space="0" w:color="000000"/>
            </w:tcBorders>
            <w:noWrap/>
            <w:vAlign w:val="center"/>
          </w:tcPr>
          <w:p w14:paraId="34AD07C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60</w:t>
            </w:r>
          </w:p>
        </w:tc>
        <w:tc>
          <w:tcPr>
            <w:tcW w:w="797" w:type="dxa"/>
            <w:tcBorders>
              <w:top w:val="single" w:sz="4" w:space="0" w:color="000000"/>
              <w:left w:val="single" w:sz="4" w:space="0" w:color="000000"/>
              <w:bottom w:val="single" w:sz="4" w:space="0" w:color="000000"/>
              <w:right w:val="single" w:sz="4" w:space="0" w:color="000000"/>
            </w:tcBorders>
            <w:noWrap/>
            <w:vAlign w:val="center"/>
          </w:tcPr>
          <w:p w14:paraId="6D104BF6"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38</w:t>
            </w:r>
          </w:p>
        </w:tc>
        <w:tc>
          <w:tcPr>
            <w:tcW w:w="1046" w:type="dxa"/>
            <w:tcBorders>
              <w:top w:val="single" w:sz="4" w:space="0" w:color="000000"/>
              <w:left w:val="single" w:sz="4" w:space="0" w:color="000000"/>
              <w:bottom w:val="single" w:sz="4" w:space="0" w:color="000000"/>
              <w:right w:val="single" w:sz="4" w:space="0" w:color="000000"/>
            </w:tcBorders>
            <w:noWrap/>
            <w:vAlign w:val="center"/>
          </w:tcPr>
          <w:p w14:paraId="253F011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0.54</w:t>
            </w:r>
          </w:p>
        </w:tc>
      </w:tr>
    </w:tbl>
    <w:p w14:paraId="4075F7A2" w14:textId="77777777" w:rsidR="00A67F21" w:rsidRPr="00B12FE0" w:rsidRDefault="00000000">
      <w:pPr>
        <w:spacing w:line="360" w:lineRule="auto"/>
        <w:rPr>
          <w:bCs/>
          <w:snapToGrid w:val="0"/>
          <w:color w:val="000000" w:themeColor="text1"/>
          <w:sz w:val="18"/>
          <w:szCs w:val="18"/>
        </w:rPr>
      </w:pPr>
      <w:r w:rsidRPr="00B12FE0">
        <w:rPr>
          <w:bCs/>
          <w:snapToGrid w:val="0"/>
          <w:color w:val="000000" w:themeColor="text1"/>
          <w:sz w:val="18"/>
          <w:szCs w:val="18"/>
        </w:rPr>
        <w:t>注：</w:t>
      </w:r>
      <w:r w:rsidRPr="00B12FE0">
        <w:rPr>
          <w:rFonts w:ascii="Cambria Math" w:hAnsi="Cambria Math" w:cs="Cambria Math"/>
          <w:bCs/>
          <w:snapToGrid w:val="0"/>
          <w:color w:val="000000" w:themeColor="text1"/>
          <w:sz w:val="18"/>
          <w:szCs w:val="18"/>
        </w:rPr>
        <w:t>①</w:t>
      </w:r>
      <w:r w:rsidRPr="00B12FE0">
        <w:rPr>
          <w:bCs/>
          <w:snapToGrid w:val="0"/>
          <w:color w:val="000000" w:themeColor="text1"/>
          <w:sz w:val="18"/>
          <w:szCs w:val="18"/>
        </w:rPr>
        <w:t>铅板屏蔽物质厚度；</w:t>
      </w:r>
      <w:r w:rsidRPr="00B12FE0">
        <w:rPr>
          <w:rFonts w:ascii="Cambria Math" w:hAnsi="Cambria Math" w:cs="Cambria Math"/>
          <w:bCs/>
          <w:snapToGrid w:val="0"/>
          <w:color w:val="000000" w:themeColor="text1"/>
          <w:sz w:val="18"/>
          <w:szCs w:val="18"/>
        </w:rPr>
        <w:t>②</w:t>
      </w:r>
      <w:r w:rsidRPr="00B12FE0">
        <w:rPr>
          <w:bCs/>
          <w:snapToGrid w:val="0"/>
          <w:color w:val="000000" w:themeColor="text1"/>
          <w:sz w:val="18"/>
          <w:szCs w:val="18"/>
        </w:rPr>
        <w:t>聚乙烯屏蔽物质厚度</w:t>
      </w:r>
      <w:r w:rsidRPr="00B12FE0">
        <w:rPr>
          <w:rFonts w:hint="eastAsia"/>
          <w:bCs/>
          <w:snapToGrid w:val="0"/>
          <w:color w:val="000000" w:themeColor="text1"/>
          <w:sz w:val="18"/>
          <w:szCs w:val="18"/>
        </w:rPr>
        <w:t>；③</w:t>
      </w:r>
      <w:proofErr w:type="gramStart"/>
      <w:r w:rsidRPr="00B12FE0">
        <w:rPr>
          <w:rFonts w:hint="eastAsia"/>
          <w:bCs/>
          <w:snapToGrid w:val="0"/>
          <w:color w:val="000000" w:themeColor="text1"/>
          <w:sz w:val="18"/>
          <w:szCs w:val="18"/>
        </w:rPr>
        <w:t>迷道内墙</w:t>
      </w:r>
      <w:proofErr w:type="gramEnd"/>
      <w:r w:rsidRPr="00B12FE0">
        <w:rPr>
          <w:rFonts w:hint="eastAsia"/>
          <w:bCs/>
          <w:snapToGrid w:val="0"/>
          <w:color w:val="000000" w:themeColor="text1"/>
          <w:sz w:val="18"/>
          <w:szCs w:val="18"/>
        </w:rPr>
        <w:t>混凝土厚度</w:t>
      </w:r>
      <w:r w:rsidRPr="00B12FE0">
        <w:rPr>
          <w:rFonts w:hint="eastAsia"/>
          <w:bCs/>
          <w:snapToGrid w:val="0"/>
          <w:color w:val="000000" w:themeColor="text1"/>
          <w:sz w:val="18"/>
          <w:szCs w:val="18"/>
        </w:rPr>
        <w:t>300mm</w:t>
      </w:r>
      <w:r w:rsidRPr="00B12FE0">
        <w:rPr>
          <w:bCs/>
          <w:snapToGrid w:val="0"/>
          <w:color w:val="000000" w:themeColor="text1"/>
          <w:sz w:val="18"/>
          <w:szCs w:val="18"/>
        </w:rPr>
        <w:t>。</w:t>
      </w:r>
      <w:r w:rsidRPr="00B12FE0">
        <w:rPr>
          <w:rFonts w:hint="eastAsia"/>
          <w:bCs/>
          <w:snapToGrid w:val="0"/>
          <w:color w:val="000000" w:themeColor="text1"/>
          <w:sz w:val="18"/>
          <w:szCs w:val="18"/>
        </w:rPr>
        <w:t>其余为混凝土厚度</w:t>
      </w:r>
    </w:p>
    <w:p w14:paraId="08A9E031"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综上所述，本项目回旋加速器机房墙体外关注</w:t>
      </w:r>
      <w:r w:rsidRPr="00B12FE0">
        <w:rPr>
          <w:rFonts w:hint="eastAsia"/>
          <w:color w:val="000000" w:themeColor="text1"/>
          <w:szCs w:val="24"/>
        </w:rPr>
        <w:t>点</w:t>
      </w:r>
      <w:r w:rsidRPr="00B12FE0">
        <w:rPr>
          <w:color w:val="000000" w:themeColor="text1"/>
          <w:szCs w:val="24"/>
        </w:rPr>
        <w:t>的辐射剂量率小于</w:t>
      </w:r>
      <w:r w:rsidRPr="00B12FE0">
        <w:rPr>
          <w:color w:val="000000" w:themeColor="text1"/>
          <w:szCs w:val="24"/>
        </w:rPr>
        <w:t>2.5μSv/h</w:t>
      </w:r>
      <w:r w:rsidRPr="00B12FE0">
        <w:rPr>
          <w:color w:val="000000" w:themeColor="text1"/>
          <w:szCs w:val="24"/>
        </w:rPr>
        <w:t>，符合《核医学辐射防护与安全要求》（</w:t>
      </w:r>
      <w:r w:rsidRPr="00B12FE0">
        <w:rPr>
          <w:color w:val="000000" w:themeColor="text1"/>
          <w:szCs w:val="24"/>
        </w:rPr>
        <w:t>HJ1188-2021</w:t>
      </w:r>
      <w:r w:rsidRPr="00B12FE0">
        <w:rPr>
          <w:color w:val="000000" w:themeColor="text1"/>
          <w:szCs w:val="24"/>
        </w:rPr>
        <w:t>）中</w:t>
      </w:r>
      <w:r w:rsidRPr="00B12FE0">
        <w:rPr>
          <w:rFonts w:hint="eastAsia"/>
          <w:color w:val="000000" w:themeColor="text1"/>
          <w:szCs w:val="24"/>
        </w:rPr>
        <w:t>“</w:t>
      </w:r>
      <w:r w:rsidRPr="00B12FE0">
        <w:rPr>
          <w:color w:val="000000" w:themeColor="text1"/>
          <w:szCs w:val="24"/>
        </w:rPr>
        <w:t>距核医学工作场所各控制区内房间防护门、观察窗和墙壁外表面</w:t>
      </w:r>
      <w:r w:rsidRPr="00B12FE0">
        <w:rPr>
          <w:color w:val="000000" w:themeColor="text1"/>
          <w:szCs w:val="24"/>
        </w:rPr>
        <w:t>30 cm</w:t>
      </w:r>
      <w:r w:rsidRPr="00B12FE0">
        <w:rPr>
          <w:color w:val="000000" w:themeColor="text1"/>
          <w:szCs w:val="24"/>
        </w:rPr>
        <w:t>处的周围剂量当量率应小于</w:t>
      </w:r>
      <w:r w:rsidRPr="00B12FE0">
        <w:rPr>
          <w:color w:val="000000" w:themeColor="text1"/>
          <w:szCs w:val="24"/>
        </w:rPr>
        <w:t>2.5μSv/h</w:t>
      </w:r>
      <w:r w:rsidRPr="00B12FE0">
        <w:rPr>
          <w:color w:val="000000" w:themeColor="text1"/>
          <w:szCs w:val="24"/>
        </w:rPr>
        <w:t>。</w:t>
      </w:r>
      <w:r w:rsidRPr="00B12FE0">
        <w:rPr>
          <w:rFonts w:hint="eastAsia"/>
          <w:color w:val="000000" w:themeColor="text1"/>
          <w:szCs w:val="24"/>
        </w:rPr>
        <w:t>”</w:t>
      </w:r>
      <w:r w:rsidRPr="00B12FE0">
        <w:rPr>
          <w:color w:val="000000" w:themeColor="text1"/>
          <w:szCs w:val="24"/>
        </w:rPr>
        <w:t>的要求。</w:t>
      </w:r>
    </w:p>
    <w:p w14:paraId="780A5F36" w14:textId="77777777" w:rsidR="00A67F21" w:rsidRPr="00B12FE0" w:rsidRDefault="00000000">
      <w:pPr>
        <w:pStyle w:val="affffffe"/>
        <w:adjustRightInd w:val="0"/>
        <w:snapToGrid w:val="0"/>
        <w:spacing w:line="360" w:lineRule="auto"/>
        <w:ind w:firstLine="482"/>
        <w:rPr>
          <w:rFonts w:hint="eastAsia"/>
          <w:color w:val="000000" w:themeColor="text1"/>
          <w:sz w:val="24"/>
        </w:rPr>
      </w:pPr>
      <w:r w:rsidRPr="00B12FE0">
        <w:rPr>
          <w:rFonts w:ascii="Times New Roman" w:hAnsi="Times New Roman"/>
          <w:b/>
          <w:bCs/>
          <w:color w:val="000000" w:themeColor="text1"/>
          <w:sz w:val="24"/>
        </w:rPr>
        <w:t>④</w:t>
      </w:r>
      <w:r w:rsidRPr="00B12FE0">
        <w:rPr>
          <w:rFonts w:ascii="Times New Roman" w:hAnsi="Times New Roman"/>
          <w:b/>
          <w:bCs/>
          <w:color w:val="000000" w:themeColor="text1"/>
          <w:sz w:val="24"/>
        </w:rPr>
        <w:t>热室</w:t>
      </w:r>
      <w:r w:rsidRPr="00B12FE0">
        <w:rPr>
          <w:rFonts w:hint="eastAsia"/>
          <w:b/>
          <w:bCs/>
          <w:color w:val="000000" w:themeColor="text1"/>
          <w:sz w:val="24"/>
        </w:rPr>
        <w:t>房间</w:t>
      </w:r>
      <w:r w:rsidRPr="00B12FE0">
        <w:rPr>
          <w:rFonts w:ascii="Times New Roman" w:hAnsi="Times New Roman"/>
          <w:b/>
          <w:bCs/>
          <w:color w:val="000000" w:themeColor="text1"/>
          <w:sz w:val="24"/>
        </w:rPr>
        <w:t>辐射剂量率预测</w:t>
      </w:r>
    </w:p>
    <w:p w14:paraId="40F38949" w14:textId="77777777" w:rsidR="00A67F21" w:rsidRPr="00B12FE0" w:rsidRDefault="00000000">
      <w:pPr>
        <w:pStyle w:val="affffffe"/>
        <w:adjustRightInd w:val="0"/>
        <w:snapToGrid w:val="0"/>
        <w:spacing w:line="360" w:lineRule="auto"/>
        <w:ind w:firstLine="480"/>
        <w:rPr>
          <w:rFonts w:ascii="Times New Roman" w:hAnsi="Times New Roman"/>
          <w:color w:val="000000" w:themeColor="text1"/>
          <w:sz w:val="24"/>
        </w:rPr>
      </w:pPr>
      <w:r w:rsidRPr="00B12FE0">
        <w:rPr>
          <w:rFonts w:ascii="Times New Roman" w:hAnsi="Times New Roman"/>
          <w:color w:val="000000" w:themeColor="text1"/>
          <w:sz w:val="24"/>
        </w:rPr>
        <w:t>根据医院提供的资料，对合成柜、分装柜自身的屏蔽防护面均为</w:t>
      </w:r>
      <w:r w:rsidRPr="00B12FE0">
        <w:rPr>
          <w:rFonts w:ascii="Times New Roman" w:hAnsi="Times New Roman"/>
          <w:color w:val="000000" w:themeColor="text1"/>
          <w:sz w:val="24"/>
        </w:rPr>
        <w:t>70mmPb</w:t>
      </w:r>
      <w:r w:rsidRPr="00B12FE0">
        <w:rPr>
          <w:rFonts w:ascii="Times New Roman" w:hAnsi="Times New Roman"/>
          <w:color w:val="000000" w:themeColor="text1"/>
          <w:sz w:val="24"/>
        </w:rPr>
        <w:t>，热室房间西侧墙体屏蔽防护为</w:t>
      </w:r>
      <w:r w:rsidRPr="00B12FE0">
        <w:rPr>
          <w:rFonts w:ascii="Times New Roman" w:hAnsi="Times New Roman"/>
          <w:color w:val="000000" w:themeColor="text1"/>
          <w:sz w:val="24"/>
        </w:rPr>
        <w:t>600mm</w:t>
      </w:r>
      <w:r w:rsidRPr="00B12FE0">
        <w:rPr>
          <w:rFonts w:ascii="Times New Roman" w:hAnsi="Times New Roman"/>
          <w:color w:val="000000" w:themeColor="text1"/>
          <w:sz w:val="24"/>
        </w:rPr>
        <w:t>混凝土，东、</w:t>
      </w:r>
      <w:proofErr w:type="gramStart"/>
      <w:r w:rsidRPr="00B12FE0">
        <w:rPr>
          <w:rFonts w:ascii="Times New Roman" w:hAnsi="Times New Roman"/>
          <w:color w:val="000000" w:themeColor="text1"/>
          <w:sz w:val="24"/>
        </w:rPr>
        <w:t>南侧和</w:t>
      </w:r>
      <w:proofErr w:type="gramEnd"/>
      <w:r w:rsidRPr="00B12FE0">
        <w:rPr>
          <w:rFonts w:ascii="Times New Roman" w:hAnsi="Times New Roman"/>
          <w:color w:val="000000" w:themeColor="text1"/>
          <w:sz w:val="24"/>
        </w:rPr>
        <w:t>北侧墙体屏蔽防护为</w:t>
      </w:r>
      <w:r w:rsidRPr="00B12FE0">
        <w:rPr>
          <w:rFonts w:ascii="Times New Roman" w:hAnsi="Times New Roman"/>
          <w:color w:val="000000" w:themeColor="text1"/>
          <w:sz w:val="24"/>
        </w:rPr>
        <w:t>300mm</w:t>
      </w:r>
      <w:r w:rsidRPr="00B12FE0">
        <w:rPr>
          <w:rFonts w:ascii="Times New Roman" w:hAnsi="Times New Roman"/>
          <w:color w:val="000000" w:themeColor="text1"/>
          <w:sz w:val="24"/>
        </w:rPr>
        <w:t>混凝土，顶棚为</w:t>
      </w:r>
      <w:r w:rsidRPr="00B12FE0">
        <w:rPr>
          <w:rFonts w:ascii="Times New Roman" w:hAnsi="Times New Roman"/>
          <w:color w:val="000000" w:themeColor="text1"/>
          <w:sz w:val="24"/>
        </w:rPr>
        <w:t>250mm</w:t>
      </w:r>
      <w:r w:rsidRPr="00B12FE0">
        <w:rPr>
          <w:rFonts w:ascii="Times New Roman" w:hAnsi="Times New Roman"/>
          <w:color w:val="000000" w:themeColor="text1"/>
          <w:sz w:val="24"/>
        </w:rPr>
        <w:t>混凝土。</w:t>
      </w:r>
    </w:p>
    <w:p w14:paraId="59E69A4C" w14:textId="77777777" w:rsidR="00A67F21" w:rsidRPr="00B12FE0" w:rsidRDefault="00000000">
      <w:pPr>
        <w:pStyle w:val="affffffe"/>
        <w:adjustRightInd w:val="0"/>
        <w:snapToGrid w:val="0"/>
        <w:spacing w:line="360" w:lineRule="auto"/>
        <w:ind w:firstLine="480"/>
        <w:rPr>
          <w:rFonts w:hint="eastAsia"/>
          <w:color w:val="000000" w:themeColor="text1"/>
          <w:sz w:val="24"/>
        </w:rPr>
      </w:pPr>
      <w:r w:rsidRPr="00B12FE0">
        <w:rPr>
          <w:rFonts w:ascii="Times New Roman" w:hAnsi="Times New Roman"/>
          <w:color w:val="000000" w:themeColor="text1"/>
          <w:sz w:val="24"/>
        </w:rPr>
        <w:lastRenderedPageBreak/>
        <w:t>回旋加速器合成的核素为</w:t>
      </w:r>
      <w:r w:rsidRPr="00B12FE0">
        <w:rPr>
          <w:rFonts w:ascii="Times New Roman" w:hAnsi="Times New Roman"/>
          <w:color w:val="000000" w:themeColor="text1"/>
          <w:sz w:val="24"/>
          <w:vertAlign w:val="superscript"/>
        </w:rPr>
        <w:t>18</w:t>
      </w:r>
      <w:r w:rsidRPr="00B12FE0">
        <w:rPr>
          <w:rFonts w:ascii="Times New Roman" w:hAnsi="Times New Roman"/>
          <w:color w:val="000000" w:themeColor="text1"/>
          <w:sz w:val="24"/>
        </w:rPr>
        <w:t>F</w:t>
      </w:r>
      <w:r w:rsidRPr="00B12FE0">
        <w:rPr>
          <w:rFonts w:ascii="Times New Roman" w:hAnsi="Times New Roman"/>
          <w:color w:val="000000" w:themeColor="text1"/>
          <w:sz w:val="24"/>
        </w:rPr>
        <w:t>，根据表</w:t>
      </w:r>
      <w:r w:rsidRPr="00B12FE0">
        <w:rPr>
          <w:rFonts w:ascii="Times New Roman" w:hAnsi="Times New Roman"/>
          <w:color w:val="000000" w:themeColor="text1"/>
          <w:sz w:val="24"/>
        </w:rPr>
        <w:t>9.2.1-1</w:t>
      </w:r>
      <w:r w:rsidRPr="00B12FE0">
        <w:rPr>
          <w:rFonts w:ascii="Times New Roman" w:hAnsi="Times New Roman"/>
          <w:color w:val="000000" w:themeColor="text1"/>
          <w:sz w:val="24"/>
        </w:rPr>
        <w:t>可知，</w:t>
      </w:r>
      <w:r w:rsidRPr="00B12FE0">
        <w:rPr>
          <w:rFonts w:ascii="Times New Roman" w:hAnsi="Times New Roman"/>
          <w:color w:val="000000" w:themeColor="text1"/>
          <w:sz w:val="24"/>
          <w:vertAlign w:val="superscript"/>
        </w:rPr>
        <w:t>18</w:t>
      </w:r>
      <w:r w:rsidRPr="00B12FE0">
        <w:rPr>
          <w:rFonts w:ascii="Times New Roman" w:hAnsi="Times New Roman"/>
          <w:color w:val="000000" w:themeColor="text1"/>
          <w:sz w:val="24"/>
        </w:rPr>
        <w:t>F</w:t>
      </w:r>
      <w:r w:rsidRPr="00B12FE0">
        <w:rPr>
          <w:rFonts w:ascii="Times New Roman" w:hAnsi="Times New Roman"/>
          <w:color w:val="000000" w:themeColor="text1"/>
          <w:sz w:val="24"/>
        </w:rPr>
        <w:t>核素主要光子能量为</w:t>
      </w:r>
      <w:r w:rsidRPr="00B12FE0">
        <w:rPr>
          <w:rFonts w:ascii="Times New Roman" w:hAnsi="Times New Roman"/>
          <w:color w:val="000000" w:themeColor="text1"/>
          <w:sz w:val="24"/>
        </w:rPr>
        <w:t>0.511MeV</w:t>
      </w:r>
      <w:r w:rsidRPr="00B12FE0">
        <w:rPr>
          <w:rFonts w:ascii="Times New Roman" w:hAnsi="Times New Roman"/>
          <w:color w:val="000000" w:themeColor="text1"/>
          <w:sz w:val="24"/>
        </w:rPr>
        <w:t>。</w:t>
      </w:r>
    </w:p>
    <w:p w14:paraId="7EBA3B35" w14:textId="77777777" w:rsidR="00A67F21" w:rsidRPr="00B12FE0" w:rsidRDefault="00000000">
      <w:pPr>
        <w:pStyle w:val="affffffe"/>
        <w:adjustRightInd w:val="0"/>
        <w:snapToGrid w:val="0"/>
        <w:spacing w:line="360" w:lineRule="auto"/>
        <w:ind w:firstLine="480"/>
        <w:rPr>
          <w:rFonts w:hint="eastAsia"/>
          <w:color w:val="000000" w:themeColor="text1"/>
          <w:sz w:val="24"/>
        </w:rPr>
      </w:pPr>
      <w:r w:rsidRPr="00B12FE0">
        <w:rPr>
          <w:rFonts w:ascii="Times New Roman" w:hAnsi="Times New Roman"/>
          <w:color w:val="000000" w:themeColor="text1"/>
          <w:sz w:val="24"/>
        </w:rPr>
        <w:t>按照点源模式进行估算，点源活度按照</w:t>
      </w:r>
      <w:r w:rsidRPr="00B12FE0">
        <w:rPr>
          <w:rFonts w:ascii="Times New Roman" w:hAnsi="Times New Roman"/>
          <w:color w:val="000000" w:themeColor="text1"/>
          <w:sz w:val="24"/>
          <w:vertAlign w:val="superscript"/>
        </w:rPr>
        <w:t>18</w:t>
      </w:r>
      <w:r w:rsidRPr="00B12FE0">
        <w:rPr>
          <w:rFonts w:ascii="Times New Roman" w:hAnsi="Times New Roman"/>
          <w:color w:val="000000" w:themeColor="text1"/>
          <w:sz w:val="24"/>
        </w:rPr>
        <w:t>F</w:t>
      </w:r>
      <w:r w:rsidRPr="00B12FE0">
        <w:rPr>
          <w:rFonts w:ascii="Times New Roman" w:hAnsi="Times New Roman"/>
          <w:color w:val="000000" w:themeColor="text1"/>
          <w:sz w:val="24"/>
        </w:rPr>
        <w:t>每次生产量最大值（</w:t>
      </w:r>
      <w:r w:rsidRPr="00B12FE0">
        <w:rPr>
          <w:rFonts w:ascii="Times New Roman" w:hAnsi="Times New Roman" w:hint="eastAsia"/>
          <w:color w:val="000000" w:themeColor="text1"/>
          <w:sz w:val="24"/>
        </w:rPr>
        <w:t>4.44</w:t>
      </w:r>
      <w:r w:rsidRPr="00B12FE0">
        <w:rPr>
          <w:rFonts w:ascii="Times New Roman" w:hAnsi="Times New Roman"/>
          <w:color w:val="000000" w:themeColor="text1"/>
          <w:sz w:val="24"/>
        </w:rPr>
        <w:t>×10</w:t>
      </w:r>
      <w:r w:rsidRPr="00B12FE0">
        <w:rPr>
          <w:rFonts w:ascii="Times New Roman" w:hAnsi="Times New Roman"/>
          <w:color w:val="000000" w:themeColor="text1"/>
          <w:sz w:val="24"/>
          <w:vertAlign w:val="superscript"/>
        </w:rPr>
        <w:t>10</w:t>
      </w:r>
      <w:r w:rsidRPr="00B12FE0">
        <w:rPr>
          <w:rFonts w:ascii="Times New Roman" w:hAnsi="Times New Roman"/>
          <w:color w:val="000000" w:themeColor="text1"/>
          <w:sz w:val="24"/>
        </w:rPr>
        <w:t>Bq</w:t>
      </w:r>
      <w:r w:rsidRPr="00B12FE0">
        <w:rPr>
          <w:rFonts w:ascii="Times New Roman" w:hAnsi="Times New Roman"/>
          <w:color w:val="000000" w:themeColor="text1"/>
          <w:sz w:val="24"/>
        </w:rPr>
        <w:t>）进行核算。屏蔽计算公式参考《核医学放射防护要求》（</w:t>
      </w:r>
      <w:r w:rsidRPr="00B12FE0">
        <w:rPr>
          <w:rFonts w:ascii="Times New Roman" w:hAnsi="Times New Roman"/>
          <w:color w:val="000000" w:themeColor="text1"/>
          <w:sz w:val="24"/>
        </w:rPr>
        <w:t>GBZ120-2020</w:t>
      </w:r>
      <w:r w:rsidRPr="00B12FE0">
        <w:rPr>
          <w:rFonts w:ascii="Times New Roman" w:hAnsi="Times New Roman"/>
          <w:color w:val="000000" w:themeColor="text1"/>
          <w:sz w:val="24"/>
        </w:rPr>
        <w:t>），辐射剂量率</w:t>
      </w:r>
      <w:proofErr w:type="gramStart"/>
      <w:r w:rsidRPr="00B12FE0">
        <w:rPr>
          <w:rFonts w:ascii="Times New Roman" w:hAnsi="Times New Roman"/>
          <w:color w:val="000000" w:themeColor="text1"/>
          <w:sz w:val="24"/>
        </w:rPr>
        <w:t>估算见</w:t>
      </w:r>
      <w:proofErr w:type="gramEnd"/>
      <w:r w:rsidRPr="00B12FE0">
        <w:rPr>
          <w:rFonts w:ascii="Times New Roman" w:hAnsi="Times New Roman"/>
          <w:color w:val="000000" w:themeColor="text1"/>
          <w:sz w:val="24"/>
        </w:rPr>
        <w:t>下式</w:t>
      </w:r>
      <w:r w:rsidRPr="00B12FE0">
        <w:rPr>
          <w:rFonts w:ascii="Times New Roman" w:eastAsiaTheme="minorEastAsia" w:hAnsi="Times New Roman"/>
          <w:color w:val="000000" w:themeColor="text1"/>
          <w:sz w:val="24"/>
        </w:rPr>
        <w:t>。</w:t>
      </w:r>
      <w:r w:rsidRPr="00B12FE0">
        <w:rPr>
          <w:rFonts w:ascii="Times New Roman" w:hAnsi="Times New Roman"/>
          <w:color w:val="000000" w:themeColor="text1"/>
          <w:sz w:val="24"/>
        </w:rPr>
        <w:t>估算结果见表</w:t>
      </w:r>
      <w:r w:rsidRPr="00B12FE0">
        <w:rPr>
          <w:rFonts w:ascii="Times New Roman" w:hAnsi="Times New Roman"/>
          <w:color w:val="000000" w:themeColor="text1"/>
          <w:sz w:val="24"/>
        </w:rPr>
        <w:t>11.2.1.1-6</w:t>
      </w:r>
      <w:r w:rsidRPr="00B12FE0">
        <w:rPr>
          <w:rFonts w:ascii="Times New Roman" w:hAnsi="Times New Roman"/>
          <w:color w:val="000000" w:themeColor="text1"/>
          <w:sz w:val="24"/>
        </w:rPr>
        <w:t>。</w:t>
      </w:r>
    </w:p>
    <w:p w14:paraId="497E6C25" w14:textId="77777777" w:rsidR="00A67F21" w:rsidRPr="00B12FE0" w:rsidRDefault="00000000">
      <w:pPr>
        <w:adjustRightInd w:val="0"/>
        <w:snapToGrid w:val="0"/>
        <w:spacing w:line="360" w:lineRule="auto"/>
        <w:jc w:val="center"/>
        <w:rPr>
          <w:color w:val="000000" w:themeColor="text1"/>
          <w:lang w:val="pt-BR"/>
        </w:rPr>
      </w:pPr>
      <w:r w:rsidRPr="00B12FE0">
        <w:rPr>
          <w:i/>
          <w:color w:val="000000" w:themeColor="text1"/>
          <w:lang w:val="pt-BR"/>
        </w:rPr>
        <w:t>H=10</w:t>
      </w:r>
      <w:r w:rsidRPr="00B12FE0">
        <w:rPr>
          <w:i/>
          <w:color w:val="000000" w:themeColor="text1"/>
          <w:vertAlign w:val="superscript"/>
          <w:lang w:val="pt-BR"/>
        </w:rPr>
        <w:t>-X/TVL</w:t>
      </w:r>
      <w:r w:rsidRPr="00B12FE0">
        <w:rPr>
          <w:i/>
          <w:color w:val="000000" w:themeColor="text1"/>
          <w:lang w:val="pt-BR"/>
        </w:rPr>
        <w:t>·A·</w:t>
      </w:r>
      <w:r w:rsidRPr="00B12FE0">
        <w:rPr>
          <w:i/>
          <w:color w:val="000000" w:themeColor="text1"/>
        </w:rPr>
        <w:t>Γ</w:t>
      </w:r>
      <w:r w:rsidRPr="00B12FE0">
        <w:rPr>
          <w:i/>
          <w:color w:val="000000" w:themeColor="text1"/>
          <w:lang w:val="pt-BR"/>
        </w:rPr>
        <w:t>/R</w:t>
      </w:r>
      <w:r w:rsidRPr="00B12FE0">
        <w:rPr>
          <w:i/>
          <w:color w:val="000000" w:themeColor="text1"/>
          <w:vertAlign w:val="superscript"/>
          <w:lang w:val="pt-BR"/>
        </w:rPr>
        <w:t>2</w:t>
      </w:r>
      <w:r w:rsidRPr="00B12FE0">
        <w:rPr>
          <w:color w:val="000000" w:themeColor="text1"/>
          <w:position w:val="2"/>
        </w:rPr>
        <w:t>………………………</w:t>
      </w:r>
      <w:r w:rsidRPr="00B12FE0">
        <w:rPr>
          <w:color w:val="000000" w:themeColor="text1"/>
          <w:lang w:val="pt-BR"/>
        </w:rPr>
        <w:t>（式</w:t>
      </w:r>
      <w:r w:rsidRPr="00B12FE0">
        <w:rPr>
          <w:rFonts w:eastAsiaTheme="minorEastAsia"/>
          <w:color w:val="000000" w:themeColor="text1"/>
        </w:rPr>
        <w:t>11.2.1.1-2</w:t>
      </w:r>
      <w:r w:rsidRPr="00B12FE0">
        <w:rPr>
          <w:color w:val="000000" w:themeColor="text1"/>
          <w:lang w:val="pt-BR"/>
        </w:rPr>
        <w:t>）</w:t>
      </w:r>
    </w:p>
    <w:p w14:paraId="1207A614" w14:textId="77777777" w:rsidR="00A67F21" w:rsidRPr="00B12FE0" w:rsidRDefault="00000000">
      <w:pPr>
        <w:adjustRightInd w:val="0"/>
        <w:snapToGrid w:val="0"/>
        <w:spacing w:line="360" w:lineRule="auto"/>
        <w:ind w:firstLineChars="200" w:firstLine="480"/>
        <w:jc w:val="left"/>
        <w:rPr>
          <w:color w:val="000000" w:themeColor="text1"/>
          <w:lang w:val="pt-BR"/>
        </w:rPr>
      </w:pPr>
      <w:r w:rsidRPr="00B12FE0">
        <w:rPr>
          <w:color w:val="000000" w:themeColor="text1"/>
          <w:lang w:val="pt-BR"/>
        </w:rPr>
        <w:t>式中：</w:t>
      </w:r>
    </w:p>
    <w:p w14:paraId="4A7B108D" w14:textId="77777777" w:rsidR="00A67F21" w:rsidRPr="00B12FE0" w:rsidRDefault="00000000">
      <w:pPr>
        <w:adjustRightInd w:val="0"/>
        <w:snapToGrid w:val="0"/>
        <w:spacing w:line="360" w:lineRule="auto"/>
        <w:ind w:firstLineChars="200" w:firstLine="480"/>
        <w:jc w:val="left"/>
        <w:rPr>
          <w:color w:val="000000" w:themeColor="text1"/>
        </w:rPr>
      </w:pPr>
      <w:r w:rsidRPr="00B12FE0">
        <w:rPr>
          <w:i/>
          <w:color w:val="000000" w:themeColor="text1"/>
        </w:rPr>
        <w:t>H</w:t>
      </w:r>
      <w:r w:rsidRPr="00B12FE0">
        <w:rPr>
          <w:color w:val="000000" w:themeColor="text1"/>
          <w:lang w:val="pt-BR"/>
        </w:rPr>
        <w:t>——</w:t>
      </w:r>
      <w:r w:rsidRPr="00B12FE0">
        <w:rPr>
          <w:color w:val="000000" w:themeColor="text1"/>
        </w:rPr>
        <w:t>屏蔽体外关注点剂量率，单位为</w:t>
      </w:r>
      <w:proofErr w:type="spellStart"/>
      <w:r w:rsidRPr="00B12FE0">
        <w:rPr>
          <w:color w:val="000000" w:themeColor="text1"/>
        </w:rPr>
        <w:t>μSv</w:t>
      </w:r>
      <w:proofErr w:type="spellEnd"/>
      <w:r w:rsidRPr="00B12FE0">
        <w:rPr>
          <w:color w:val="000000" w:themeColor="text1"/>
        </w:rPr>
        <w:t>/h</w:t>
      </w:r>
      <w:r w:rsidRPr="00B12FE0">
        <w:rPr>
          <w:color w:val="000000" w:themeColor="text1"/>
        </w:rPr>
        <w:t>；</w:t>
      </w:r>
    </w:p>
    <w:p w14:paraId="6E36CF68" w14:textId="77777777" w:rsidR="00A67F21" w:rsidRPr="00B12FE0" w:rsidRDefault="00000000">
      <w:pPr>
        <w:adjustRightInd w:val="0"/>
        <w:snapToGrid w:val="0"/>
        <w:spacing w:line="360" w:lineRule="auto"/>
        <w:ind w:firstLineChars="200" w:firstLine="480"/>
        <w:jc w:val="left"/>
        <w:rPr>
          <w:color w:val="000000" w:themeColor="text1"/>
        </w:rPr>
      </w:pPr>
      <w:r w:rsidRPr="00B12FE0">
        <w:rPr>
          <w:i/>
          <w:color w:val="000000" w:themeColor="text1"/>
          <w:lang w:val="pt-BR"/>
        </w:rPr>
        <w:t>X</w:t>
      </w:r>
      <w:r w:rsidRPr="00B12FE0">
        <w:rPr>
          <w:color w:val="000000" w:themeColor="text1"/>
        </w:rPr>
        <w:t>——</w:t>
      </w:r>
      <w:r w:rsidRPr="00B12FE0">
        <w:rPr>
          <w:color w:val="000000" w:themeColor="text1"/>
        </w:rPr>
        <w:t>屏蔽厚度，单位为</w:t>
      </w:r>
      <w:r w:rsidRPr="00B12FE0">
        <w:rPr>
          <w:color w:val="000000" w:themeColor="text1"/>
        </w:rPr>
        <w:t>mm</w:t>
      </w:r>
      <w:r w:rsidRPr="00B12FE0">
        <w:rPr>
          <w:color w:val="000000" w:themeColor="text1"/>
        </w:rPr>
        <w:t>；</w:t>
      </w:r>
    </w:p>
    <w:p w14:paraId="47BFAEFC" w14:textId="77777777" w:rsidR="00A67F21" w:rsidRPr="00B12FE0" w:rsidRDefault="00000000">
      <w:pPr>
        <w:adjustRightInd w:val="0"/>
        <w:snapToGrid w:val="0"/>
        <w:spacing w:line="360" w:lineRule="auto"/>
        <w:ind w:firstLineChars="200" w:firstLine="480"/>
        <w:jc w:val="left"/>
        <w:rPr>
          <w:color w:val="000000" w:themeColor="text1"/>
        </w:rPr>
      </w:pPr>
      <w:r w:rsidRPr="00B12FE0">
        <w:rPr>
          <w:i/>
          <w:color w:val="000000" w:themeColor="text1"/>
        </w:rPr>
        <w:t>A</w:t>
      </w:r>
      <w:r w:rsidRPr="00B12FE0">
        <w:rPr>
          <w:color w:val="000000" w:themeColor="text1"/>
        </w:rPr>
        <w:t>——</w:t>
      </w:r>
      <w:r w:rsidRPr="00B12FE0">
        <w:rPr>
          <w:color w:val="000000" w:themeColor="text1"/>
        </w:rPr>
        <w:t>单个患者或受检者所用放射源的最大活度，单位为</w:t>
      </w:r>
      <w:r w:rsidRPr="00B12FE0">
        <w:rPr>
          <w:color w:val="000000" w:themeColor="text1"/>
        </w:rPr>
        <w:t>MBq</w:t>
      </w:r>
      <w:r w:rsidRPr="00B12FE0">
        <w:rPr>
          <w:color w:val="000000" w:themeColor="text1"/>
        </w:rPr>
        <w:t>；</w:t>
      </w:r>
    </w:p>
    <w:p w14:paraId="1FA8CA19" w14:textId="77777777" w:rsidR="00A67F21" w:rsidRPr="00B12FE0" w:rsidRDefault="00000000">
      <w:pPr>
        <w:adjustRightInd w:val="0"/>
        <w:snapToGrid w:val="0"/>
        <w:spacing w:line="360" w:lineRule="auto"/>
        <w:ind w:firstLineChars="200" w:firstLine="480"/>
        <w:jc w:val="left"/>
        <w:rPr>
          <w:color w:val="000000" w:themeColor="text1"/>
        </w:rPr>
      </w:pPr>
      <w:r w:rsidRPr="00B12FE0">
        <w:rPr>
          <w:i/>
          <w:color w:val="000000" w:themeColor="text1"/>
        </w:rPr>
        <w:t>Γ</w:t>
      </w:r>
      <w:r w:rsidRPr="00B12FE0">
        <w:rPr>
          <w:color w:val="000000" w:themeColor="text1"/>
        </w:rPr>
        <w:t>——</w:t>
      </w:r>
      <w:proofErr w:type="gramStart"/>
      <w:r w:rsidRPr="00B12FE0">
        <w:rPr>
          <w:color w:val="000000" w:themeColor="text1"/>
        </w:rPr>
        <w:t>距源</w:t>
      </w:r>
      <w:proofErr w:type="gramEnd"/>
      <w:r w:rsidRPr="00B12FE0">
        <w:rPr>
          <w:color w:val="000000" w:themeColor="text1"/>
        </w:rPr>
        <w:t>1m</w:t>
      </w:r>
      <w:r w:rsidRPr="00B12FE0">
        <w:rPr>
          <w:color w:val="000000" w:themeColor="text1"/>
        </w:rPr>
        <w:t>处的周围剂量当量率常数，单位为</w:t>
      </w:r>
      <w:r w:rsidRPr="00B12FE0">
        <w:rPr>
          <w:color w:val="000000" w:themeColor="text1"/>
          <w:kern w:val="0"/>
        </w:rPr>
        <w:t>μSv·m</w:t>
      </w:r>
      <w:r w:rsidRPr="00B12FE0">
        <w:rPr>
          <w:color w:val="000000" w:themeColor="text1"/>
          <w:kern w:val="0"/>
          <w:vertAlign w:val="superscript"/>
        </w:rPr>
        <w:t>2</w:t>
      </w:r>
      <w:r w:rsidRPr="00B12FE0">
        <w:rPr>
          <w:color w:val="000000" w:themeColor="text1"/>
          <w:kern w:val="0"/>
        </w:rPr>
        <w:t>/(</w:t>
      </w:r>
      <w:proofErr w:type="spellStart"/>
      <w:r w:rsidRPr="00B12FE0">
        <w:rPr>
          <w:color w:val="000000" w:themeColor="text1"/>
          <w:kern w:val="0"/>
        </w:rPr>
        <w:t>h·MBq</w:t>
      </w:r>
      <w:proofErr w:type="spellEnd"/>
      <w:r w:rsidRPr="00B12FE0">
        <w:rPr>
          <w:color w:val="000000" w:themeColor="text1"/>
          <w:kern w:val="0"/>
        </w:rPr>
        <w:t>)</w:t>
      </w:r>
      <w:r w:rsidRPr="00B12FE0">
        <w:rPr>
          <w:color w:val="000000" w:themeColor="text1"/>
        </w:rPr>
        <w:t>；</w:t>
      </w:r>
    </w:p>
    <w:p w14:paraId="295DDEAD" w14:textId="77777777" w:rsidR="00A67F21" w:rsidRPr="00B12FE0" w:rsidRDefault="00000000">
      <w:pPr>
        <w:adjustRightInd w:val="0"/>
        <w:snapToGrid w:val="0"/>
        <w:spacing w:line="360" w:lineRule="auto"/>
        <w:ind w:firstLineChars="200" w:firstLine="480"/>
        <w:jc w:val="left"/>
        <w:rPr>
          <w:color w:val="000000" w:themeColor="text1"/>
        </w:rPr>
      </w:pPr>
      <w:r w:rsidRPr="00B12FE0">
        <w:rPr>
          <w:i/>
          <w:color w:val="000000" w:themeColor="text1"/>
        </w:rPr>
        <w:t>R</w:t>
      </w:r>
      <w:r w:rsidRPr="00B12FE0">
        <w:rPr>
          <w:color w:val="000000" w:themeColor="text1"/>
        </w:rPr>
        <w:t>——</w:t>
      </w:r>
      <w:r w:rsidRPr="00B12FE0">
        <w:rPr>
          <w:color w:val="000000" w:themeColor="text1"/>
        </w:rPr>
        <w:t>参考点与放射源间的距离，</w:t>
      </w:r>
      <w:r w:rsidRPr="00B12FE0">
        <w:rPr>
          <w:color w:val="000000" w:themeColor="text1"/>
        </w:rPr>
        <w:t>m</w:t>
      </w:r>
      <w:r w:rsidRPr="00B12FE0">
        <w:rPr>
          <w:color w:val="000000" w:themeColor="text1"/>
        </w:rPr>
        <w:t>。</w:t>
      </w:r>
    </w:p>
    <w:p w14:paraId="1134522A" w14:textId="77777777" w:rsidR="00A67F21" w:rsidRPr="00B12FE0" w:rsidRDefault="00000000">
      <w:pPr>
        <w:adjustRightInd w:val="0"/>
        <w:snapToGrid w:val="0"/>
        <w:spacing w:line="360" w:lineRule="auto"/>
        <w:jc w:val="center"/>
        <w:rPr>
          <w:b/>
          <w:color w:val="000000" w:themeColor="text1"/>
          <w:szCs w:val="21"/>
        </w:rPr>
      </w:pPr>
      <w:r w:rsidRPr="00B12FE0">
        <w:rPr>
          <w:b/>
          <w:color w:val="000000" w:themeColor="text1"/>
          <w:szCs w:val="21"/>
        </w:rPr>
        <w:t>表</w:t>
      </w:r>
      <w:r w:rsidRPr="00B12FE0">
        <w:rPr>
          <w:b/>
          <w:bCs/>
          <w:color w:val="000000" w:themeColor="text1"/>
        </w:rPr>
        <w:t xml:space="preserve">11.2.1.1-4  </w:t>
      </w:r>
      <w:r w:rsidRPr="00B12FE0">
        <w:rPr>
          <w:b/>
          <w:color w:val="000000" w:themeColor="text1"/>
          <w:szCs w:val="21"/>
        </w:rPr>
        <w:t>核素制备场所涉及核素辐射剂量率估算相关参数取值表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9"/>
        <w:gridCol w:w="3628"/>
      </w:tblGrid>
      <w:tr w:rsidR="00A67F21" w:rsidRPr="00B12FE0" w14:paraId="66A5F342" w14:textId="77777777">
        <w:trPr>
          <w:trHeight w:val="340"/>
          <w:jc w:val="center"/>
        </w:trPr>
        <w:tc>
          <w:tcPr>
            <w:tcW w:w="2988" w:type="pct"/>
            <w:vAlign w:val="center"/>
          </w:tcPr>
          <w:p w14:paraId="1F40DB6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核素名称</w:t>
            </w:r>
          </w:p>
        </w:tc>
        <w:tc>
          <w:tcPr>
            <w:tcW w:w="2012" w:type="pct"/>
            <w:vAlign w:val="center"/>
          </w:tcPr>
          <w:p w14:paraId="162D65C5" w14:textId="77777777" w:rsidR="00A67F21" w:rsidRPr="00B12FE0" w:rsidRDefault="00000000">
            <w:pPr>
              <w:widowControl/>
              <w:jc w:val="center"/>
              <w:rPr>
                <w:color w:val="000000" w:themeColor="text1"/>
                <w:sz w:val="21"/>
                <w:szCs w:val="21"/>
              </w:rPr>
            </w:pPr>
            <w:r w:rsidRPr="00B12FE0">
              <w:rPr>
                <w:color w:val="000000" w:themeColor="text1"/>
                <w:sz w:val="21"/>
                <w:szCs w:val="21"/>
                <w:vertAlign w:val="superscript"/>
              </w:rPr>
              <w:t>18</w:t>
            </w:r>
            <w:r w:rsidRPr="00B12FE0">
              <w:rPr>
                <w:color w:val="000000" w:themeColor="text1"/>
                <w:sz w:val="21"/>
                <w:szCs w:val="21"/>
              </w:rPr>
              <w:t>F</w:t>
            </w:r>
          </w:p>
        </w:tc>
      </w:tr>
      <w:tr w:rsidR="00A67F21" w:rsidRPr="00B12FE0" w14:paraId="76FEEEC1" w14:textId="77777777">
        <w:trPr>
          <w:trHeight w:val="340"/>
          <w:jc w:val="center"/>
        </w:trPr>
        <w:tc>
          <w:tcPr>
            <w:tcW w:w="2988" w:type="pct"/>
            <w:vAlign w:val="center"/>
          </w:tcPr>
          <w:p w14:paraId="077209C4" w14:textId="77777777" w:rsidR="00A67F21" w:rsidRPr="00B12FE0" w:rsidRDefault="00000000">
            <w:pPr>
              <w:adjustRightInd w:val="0"/>
              <w:snapToGrid w:val="0"/>
              <w:jc w:val="center"/>
              <w:rPr>
                <w:color w:val="000000" w:themeColor="text1"/>
                <w:spacing w:val="-4"/>
                <w:sz w:val="21"/>
                <w:szCs w:val="21"/>
              </w:rPr>
            </w:pPr>
            <w:r w:rsidRPr="00B12FE0">
              <w:rPr>
                <w:color w:val="000000" w:themeColor="text1"/>
                <w:spacing w:val="-4"/>
                <w:sz w:val="21"/>
                <w:szCs w:val="21"/>
              </w:rPr>
              <w:t>铅</w:t>
            </w:r>
            <w:r w:rsidRPr="00B12FE0">
              <w:rPr>
                <w:color w:val="000000" w:themeColor="text1"/>
                <w:kern w:val="0"/>
                <w:sz w:val="21"/>
                <w:szCs w:val="21"/>
              </w:rPr>
              <w:t>（</w:t>
            </w:r>
            <w:r w:rsidRPr="00B12FE0">
              <w:rPr>
                <w:color w:val="000000" w:themeColor="text1"/>
                <w:kern w:val="0"/>
                <w:sz w:val="21"/>
                <w:szCs w:val="21"/>
              </w:rPr>
              <w:t>ρ=11.3t/m</w:t>
            </w:r>
            <w:r w:rsidRPr="00B12FE0">
              <w:rPr>
                <w:color w:val="000000" w:themeColor="text1"/>
                <w:kern w:val="0"/>
                <w:sz w:val="21"/>
                <w:szCs w:val="21"/>
                <w:vertAlign w:val="superscript"/>
              </w:rPr>
              <w:t>3</w:t>
            </w:r>
            <w:r w:rsidRPr="00B12FE0">
              <w:rPr>
                <w:color w:val="000000" w:themeColor="text1"/>
                <w:kern w:val="0"/>
                <w:sz w:val="21"/>
                <w:szCs w:val="21"/>
              </w:rPr>
              <w:t>）</w:t>
            </w:r>
            <w:proofErr w:type="gramStart"/>
            <w:r w:rsidRPr="00B12FE0">
              <w:rPr>
                <w:color w:val="000000" w:themeColor="text1"/>
                <w:spacing w:val="-4"/>
                <w:sz w:val="21"/>
                <w:szCs w:val="21"/>
              </w:rPr>
              <w:t>什值层</w:t>
            </w:r>
            <w:proofErr w:type="gramEnd"/>
            <w:r w:rsidRPr="00B12FE0">
              <w:rPr>
                <w:color w:val="000000" w:themeColor="text1"/>
                <w:spacing w:val="-4"/>
                <w:sz w:val="21"/>
                <w:szCs w:val="21"/>
              </w:rPr>
              <w:t>厚度</w:t>
            </w:r>
            <w:r w:rsidRPr="00B12FE0">
              <w:rPr>
                <w:color w:val="000000" w:themeColor="text1"/>
                <w:spacing w:val="-4"/>
                <w:sz w:val="21"/>
                <w:szCs w:val="21"/>
              </w:rPr>
              <w:t>TVL</w:t>
            </w:r>
            <w:r w:rsidRPr="00B12FE0">
              <w:rPr>
                <w:rFonts w:hint="eastAsia"/>
                <w:color w:val="000000" w:themeColor="text1"/>
                <w:spacing w:val="-4"/>
                <w:sz w:val="21"/>
                <w:szCs w:val="21"/>
              </w:rPr>
              <w:t>，</w:t>
            </w:r>
            <w:r w:rsidRPr="00B12FE0">
              <w:rPr>
                <w:rFonts w:hint="eastAsia"/>
                <w:color w:val="000000" w:themeColor="text1"/>
                <w:spacing w:val="-4"/>
                <w:sz w:val="21"/>
                <w:szCs w:val="21"/>
              </w:rPr>
              <w:t>mm</w:t>
            </w:r>
          </w:p>
        </w:tc>
        <w:tc>
          <w:tcPr>
            <w:tcW w:w="2012" w:type="pct"/>
            <w:vAlign w:val="center"/>
          </w:tcPr>
          <w:p w14:paraId="3CED4F1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16.6</w:t>
            </w:r>
          </w:p>
        </w:tc>
      </w:tr>
      <w:tr w:rsidR="00A67F21" w:rsidRPr="00B12FE0" w14:paraId="7EE4E60E" w14:textId="77777777">
        <w:trPr>
          <w:trHeight w:val="340"/>
          <w:jc w:val="center"/>
        </w:trPr>
        <w:tc>
          <w:tcPr>
            <w:tcW w:w="2988" w:type="pct"/>
            <w:vAlign w:val="center"/>
          </w:tcPr>
          <w:p w14:paraId="2D1A4911"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混凝土（</w:t>
            </w:r>
            <w:r w:rsidRPr="00B12FE0">
              <w:rPr>
                <w:color w:val="000000" w:themeColor="text1"/>
                <w:kern w:val="0"/>
                <w:sz w:val="21"/>
                <w:szCs w:val="21"/>
              </w:rPr>
              <w:t>ρ=2.35t/m</w:t>
            </w:r>
            <w:r w:rsidRPr="00B12FE0">
              <w:rPr>
                <w:color w:val="000000" w:themeColor="text1"/>
                <w:kern w:val="0"/>
                <w:sz w:val="21"/>
                <w:szCs w:val="21"/>
                <w:vertAlign w:val="superscript"/>
              </w:rPr>
              <w:t>3</w:t>
            </w:r>
            <w:r w:rsidRPr="00B12FE0">
              <w:rPr>
                <w:color w:val="000000" w:themeColor="text1"/>
                <w:kern w:val="0"/>
                <w:sz w:val="21"/>
                <w:szCs w:val="21"/>
              </w:rPr>
              <w:t>）</w:t>
            </w:r>
            <w:proofErr w:type="gramStart"/>
            <w:r w:rsidRPr="00B12FE0">
              <w:rPr>
                <w:color w:val="000000" w:themeColor="text1"/>
                <w:kern w:val="0"/>
                <w:sz w:val="21"/>
                <w:szCs w:val="21"/>
              </w:rPr>
              <w:t>什值层</w:t>
            </w:r>
            <w:proofErr w:type="gramEnd"/>
            <w:r w:rsidRPr="00B12FE0">
              <w:rPr>
                <w:color w:val="000000" w:themeColor="text1"/>
                <w:kern w:val="0"/>
                <w:sz w:val="21"/>
                <w:szCs w:val="21"/>
              </w:rPr>
              <w:t>厚度</w:t>
            </w:r>
            <w:r w:rsidRPr="00B12FE0">
              <w:rPr>
                <w:color w:val="000000" w:themeColor="text1"/>
                <w:kern w:val="0"/>
                <w:sz w:val="21"/>
                <w:szCs w:val="21"/>
              </w:rPr>
              <w:t>TVL</w:t>
            </w:r>
            <w:r w:rsidRPr="00B12FE0">
              <w:rPr>
                <w:rFonts w:hint="eastAsia"/>
                <w:color w:val="000000" w:themeColor="text1"/>
                <w:kern w:val="0"/>
                <w:sz w:val="21"/>
                <w:szCs w:val="21"/>
              </w:rPr>
              <w:t>，</w:t>
            </w:r>
            <w:r w:rsidRPr="00B12FE0">
              <w:rPr>
                <w:rFonts w:hint="eastAsia"/>
                <w:color w:val="000000" w:themeColor="text1"/>
                <w:kern w:val="0"/>
                <w:sz w:val="21"/>
                <w:szCs w:val="21"/>
              </w:rPr>
              <w:t>mm</w:t>
            </w:r>
          </w:p>
        </w:tc>
        <w:tc>
          <w:tcPr>
            <w:tcW w:w="2012" w:type="pct"/>
            <w:vAlign w:val="center"/>
          </w:tcPr>
          <w:p w14:paraId="6471DAD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176</w:t>
            </w:r>
          </w:p>
        </w:tc>
      </w:tr>
      <w:tr w:rsidR="00A67F21" w:rsidRPr="00B12FE0" w14:paraId="21B0F122" w14:textId="77777777">
        <w:trPr>
          <w:trHeight w:val="340"/>
          <w:jc w:val="center"/>
        </w:trPr>
        <w:tc>
          <w:tcPr>
            <w:tcW w:w="2988" w:type="pct"/>
            <w:vAlign w:val="center"/>
          </w:tcPr>
          <w:p w14:paraId="2E5AAEA2"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砖（</w:t>
            </w:r>
            <w:r w:rsidRPr="00B12FE0">
              <w:rPr>
                <w:color w:val="000000" w:themeColor="text1"/>
                <w:kern w:val="0"/>
                <w:sz w:val="21"/>
                <w:szCs w:val="21"/>
              </w:rPr>
              <w:t>ρ=1.65t/m</w:t>
            </w:r>
            <w:r w:rsidRPr="00B12FE0">
              <w:rPr>
                <w:color w:val="000000" w:themeColor="text1"/>
                <w:kern w:val="0"/>
                <w:sz w:val="21"/>
                <w:szCs w:val="21"/>
                <w:vertAlign w:val="superscript"/>
              </w:rPr>
              <w:t>3</w:t>
            </w:r>
            <w:r w:rsidRPr="00B12FE0">
              <w:rPr>
                <w:color w:val="000000" w:themeColor="text1"/>
                <w:kern w:val="0"/>
                <w:sz w:val="21"/>
                <w:szCs w:val="21"/>
              </w:rPr>
              <w:t>）</w:t>
            </w:r>
            <w:proofErr w:type="gramStart"/>
            <w:r w:rsidRPr="00B12FE0">
              <w:rPr>
                <w:color w:val="000000" w:themeColor="text1"/>
                <w:kern w:val="0"/>
                <w:sz w:val="21"/>
                <w:szCs w:val="21"/>
              </w:rPr>
              <w:t>什值层</w:t>
            </w:r>
            <w:proofErr w:type="gramEnd"/>
            <w:r w:rsidRPr="00B12FE0">
              <w:rPr>
                <w:color w:val="000000" w:themeColor="text1"/>
                <w:kern w:val="0"/>
                <w:sz w:val="21"/>
                <w:szCs w:val="21"/>
              </w:rPr>
              <w:t>厚度</w:t>
            </w:r>
            <w:r w:rsidRPr="00B12FE0">
              <w:rPr>
                <w:color w:val="000000" w:themeColor="text1"/>
                <w:kern w:val="0"/>
                <w:sz w:val="21"/>
                <w:szCs w:val="21"/>
              </w:rPr>
              <w:t>TVL</w:t>
            </w:r>
            <w:r w:rsidRPr="00B12FE0">
              <w:rPr>
                <w:rFonts w:hint="eastAsia"/>
                <w:color w:val="000000" w:themeColor="text1"/>
                <w:kern w:val="0"/>
                <w:sz w:val="21"/>
                <w:szCs w:val="21"/>
              </w:rPr>
              <w:t>，</w:t>
            </w:r>
            <w:r w:rsidRPr="00B12FE0">
              <w:rPr>
                <w:rFonts w:hint="eastAsia"/>
                <w:color w:val="000000" w:themeColor="text1"/>
                <w:kern w:val="0"/>
                <w:sz w:val="21"/>
                <w:szCs w:val="21"/>
              </w:rPr>
              <w:t>mm</w:t>
            </w:r>
          </w:p>
        </w:tc>
        <w:tc>
          <w:tcPr>
            <w:tcW w:w="2012" w:type="pct"/>
            <w:vAlign w:val="center"/>
          </w:tcPr>
          <w:p w14:paraId="67EA46F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263</w:t>
            </w:r>
          </w:p>
        </w:tc>
      </w:tr>
      <w:tr w:rsidR="00A67F21" w:rsidRPr="00B12FE0" w14:paraId="1635A0B7" w14:textId="77777777">
        <w:trPr>
          <w:trHeight w:val="340"/>
          <w:jc w:val="center"/>
        </w:trPr>
        <w:tc>
          <w:tcPr>
            <w:tcW w:w="2988" w:type="pct"/>
            <w:vAlign w:val="center"/>
          </w:tcPr>
          <w:p w14:paraId="1C1F6DCF" w14:textId="77777777" w:rsidR="00A67F21" w:rsidRPr="00B12FE0" w:rsidRDefault="00000000">
            <w:pPr>
              <w:adjustRightInd w:val="0"/>
              <w:snapToGrid w:val="0"/>
              <w:jc w:val="center"/>
              <w:rPr>
                <w:color w:val="000000" w:themeColor="text1"/>
                <w:spacing w:val="-4"/>
                <w:sz w:val="21"/>
                <w:szCs w:val="21"/>
              </w:rPr>
            </w:pPr>
            <w:r w:rsidRPr="00B12FE0">
              <w:rPr>
                <w:color w:val="000000" w:themeColor="text1"/>
                <w:sz w:val="21"/>
                <w:szCs w:val="21"/>
              </w:rPr>
              <w:t>周围剂量当量率常数（裸源）</w:t>
            </w:r>
            <w:r w:rsidRPr="00B12FE0">
              <w:rPr>
                <w:rFonts w:hint="eastAsia"/>
                <w:color w:val="000000" w:themeColor="text1"/>
                <w:sz w:val="21"/>
                <w:szCs w:val="21"/>
              </w:rPr>
              <w:t>，</w:t>
            </w:r>
            <w:r w:rsidRPr="00B12FE0">
              <w:rPr>
                <w:color w:val="000000" w:themeColor="text1"/>
                <w:kern w:val="0"/>
                <w:sz w:val="21"/>
                <w:szCs w:val="21"/>
              </w:rPr>
              <w:t>μSv·m</w:t>
            </w:r>
            <w:r w:rsidRPr="00B12FE0">
              <w:rPr>
                <w:color w:val="000000" w:themeColor="text1"/>
                <w:kern w:val="0"/>
                <w:sz w:val="21"/>
                <w:szCs w:val="21"/>
                <w:vertAlign w:val="superscript"/>
              </w:rPr>
              <w:t>2</w:t>
            </w:r>
            <w:r w:rsidRPr="00B12FE0">
              <w:rPr>
                <w:color w:val="000000" w:themeColor="text1"/>
                <w:kern w:val="0"/>
                <w:sz w:val="21"/>
                <w:szCs w:val="21"/>
              </w:rPr>
              <w:t>/(</w:t>
            </w:r>
            <w:proofErr w:type="spellStart"/>
            <w:r w:rsidRPr="00B12FE0">
              <w:rPr>
                <w:color w:val="000000" w:themeColor="text1"/>
                <w:kern w:val="0"/>
                <w:sz w:val="21"/>
                <w:szCs w:val="21"/>
              </w:rPr>
              <w:t>h·MBq</w:t>
            </w:r>
            <w:proofErr w:type="spellEnd"/>
            <w:r w:rsidRPr="00B12FE0">
              <w:rPr>
                <w:color w:val="000000" w:themeColor="text1"/>
                <w:kern w:val="0"/>
                <w:sz w:val="21"/>
                <w:szCs w:val="21"/>
              </w:rPr>
              <w:t>)</w:t>
            </w:r>
          </w:p>
        </w:tc>
        <w:tc>
          <w:tcPr>
            <w:tcW w:w="2012" w:type="pct"/>
            <w:vAlign w:val="center"/>
          </w:tcPr>
          <w:p w14:paraId="7CC46A7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0.143</w:t>
            </w:r>
          </w:p>
        </w:tc>
      </w:tr>
    </w:tbl>
    <w:p w14:paraId="22635098" w14:textId="77777777" w:rsidR="00A67F21" w:rsidRPr="00B12FE0" w:rsidRDefault="00000000">
      <w:pPr>
        <w:pStyle w:val="afffff1"/>
        <w:spacing w:line="360" w:lineRule="auto"/>
        <w:ind w:firstLine="422"/>
        <w:rPr>
          <w:b/>
          <w:color w:val="000000" w:themeColor="text1"/>
          <w:sz w:val="21"/>
        </w:rPr>
      </w:pPr>
      <w:r w:rsidRPr="00B12FE0">
        <w:rPr>
          <w:b/>
          <w:color w:val="000000" w:themeColor="text1"/>
          <w:sz w:val="21"/>
        </w:rPr>
        <w:t>表</w:t>
      </w:r>
      <w:r w:rsidRPr="00B12FE0">
        <w:rPr>
          <w:b/>
          <w:color w:val="000000" w:themeColor="text1"/>
          <w:sz w:val="21"/>
        </w:rPr>
        <w:t xml:space="preserve">11.2.1.1-5  </w:t>
      </w:r>
      <w:r w:rsidRPr="00B12FE0">
        <w:rPr>
          <w:b/>
          <w:color w:val="000000" w:themeColor="text1"/>
          <w:sz w:val="21"/>
        </w:rPr>
        <w:t>药物</w:t>
      </w:r>
      <w:r w:rsidRPr="00B12FE0">
        <w:rPr>
          <w:rFonts w:hint="eastAsia"/>
          <w:b/>
          <w:color w:val="000000" w:themeColor="text1"/>
          <w:sz w:val="21"/>
        </w:rPr>
        <w:t>热室</w:t>
      </w:r>
      <w:r w:rsidRPr="00B12FE0">
        <w:rPr>
          <w:b/>
          <w:color w:val="000000" w:themeColor="text1"/>
          <w:sz w:val="21"/>
        </w:rPr>
        <w:t>工作场所周围辐射剂量率一览表</w:t>
      </w:r>
    </w:p>
    <w:tbl>
      <w:tblPr>
        <w:tblW w:w="8922" w:type="dxa"/>
        <w:tblLayout w:type="fixed"/>
        <w:tblLook w:val="04A0" w:firstRow="1" w:lastRow="0" w:firstColumn="1" w:lastColumn="0" w:noHBand="0" w:noVBand="1"/>
      </w:tblPr>
      <w:tblGrid>
        <w:gridCol w:w="670"/>
        <w:gridCol w:w="847"/>
        <w:gridCol w:w="1373"/>
        <w:gridCol w:w="1782"/>
        <w:gridCol w:w="1616"/>
        <w:gridCol w:w="859"/>
        <w:gridCol w:w="649"/>
        <w:gridCol w:w="1126"/>
      </w:tblGrid>
      <w:tr w:rsidR="00A67F21" w:rsidRPr="00B12FE0" w14:paraId="480D44B0" w14:textId="77777777">
        <w:trPr>
          <w:trHeight w:val="282"/>
        </w:trPr>
        <w:tc>
          <w:tcPr>
            <w:tcW w:w="670" w:type="dxa"/>
            <w:vMerge w:val="restart"/>
            <w:tcBorders>
              <w:top w:val="single" w:sz="4" w:space="0" w:color="000000"/>
              <w:left w:val="single" w:sz="4" w:space="0" w:color="000000"/>
              <w:bottom w:val="single" w:sz="4" w:space="0" w:color="000000"/>
              <w:right w:val="single" w:sz="4" w:space="0" w:color="000000"/>
            </w:tcBorders>
            <w:noWrap/>
            <w:vAlign w:val="center"/>
          </w:tcPr>
          <w:p w14:paraId="57178EF7"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序号</w:t>
            </w:r>
          </w:p>
        </w:tc>
        <w:tc>
          <w:tcPr>
            <w:tcW w:w="847" w:type="dxa"/>
            <w:vMerge w:val="restart"/>
            <w:tcBorders>
              <w:top w:val="single" w:sz="4" w:space="0" w:color="000000"/>
              <w:left w:val="single" w:sz="4" w:space="0" w:color="000000"/>
              <w:bottom w:val="single" w:sz="4" w:space="0" w:color="000000"/>
              <w:right w:val="single" w:sz="4" w:space="0" w:color="000000"/>
            </w:tcBorders>
            <w:vAlign w:val="center"/>
          </w:tcPr>
          <w:p w14:paraId="3DD478F7"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屏蔽体</w:t>
            </w:r>
          </w:p>
        </w:tc>
        <w:tc>
          <w:tcPr>
            <w:tcW w:w="1373" w:type="dxa"/>
            <w:vMerge w:val="restart"/>
            <w:tcBorders>
              <w:top w:val="single" w:sz="4" w:space="0" w:color="000000"/>
              <w:left w:val="single" w:sz="4" w:space="0" w:color="000000"/>
              <w:bottom w:val="single" w:sz="4" w:space="0" w:color="000000"/>
              <w:right w:val="single" w:sz="4" w:space="0" w:color="000000"/>
            </w:tcBorders>
            <w:vAlign w:val="center"/>
          </w:tcPr>
          <w:p w14:paraId="1B317067"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位置</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14:paraId="52B1DCA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屏蔽防护</w:t>
            </w:r>
          </w:p>
          <w:p w14:paraId="0C6A1C0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设计</w:t>
            </w:r>
          </w:p>
        </w:tc>
        <w:tc>
          <w:tcPr>
            <w:tcW w:w="1616" w:type="dxa"/>
            <w:vMerge w:val="restart"/>
            <w:tcBorders>
              <w:top w:val="single" w:sz="4" w:space="0" w:color="000000"/>
              <w:left w:val="single" w:sz="4" w:space="0" w:color="000000"/>
              <w:bottom w:val="single" w:sz="4" w:space="0" w:color="000000"/>
              <w:right w:val="single" w:sz="4" w:space="0" w:color="000000"/>
            </w:tcBorders>
            <w:noWrap/>
            <w:vAlign w:val="center"/>
          </w:tcPr>
          <w:p w14:paraId="5DC2F976"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A</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MBq</w:t>
            </w:r>
            <w:r w:rsidRPr="00B12FE0">
              <w:rPr>
                <w:snapToGrid w:val="0"/>
                <w:color w:val="000000" w:themeColor="text1"/>
                <w:kern w:val="0"/>
                <w:sz w:val="21"/>
                <w:szCs w:val="21"/>
                <w:lang w:bidi="ar"/>
              </w:rPr>
              <w:t>）</w:t>
            </w:r>
          </w:p>
        </w:tc>
        <w:tc>
          <w:tcPr>
            <w:tcW w:w="859" w:type="dxa"/>
            <w:vMerge w:val="restart"/>
            <w:tcBorders>
              <w:top w:val="single" w:sz="4" w:space="0" w:color="000000"/>
              <w:left w:val="single" w:sz="4" w:space="0" w:color="000000"/>
              <w:bottom w:val="single" w:sz="4" w:space="0" w:color="000000"/>
              <w:right w:val="single" w:sz="4" w:space="0" w:color="000000"/>
            </w:tcBorders>
            <w:noWrap/>
            <w:vAlign w:val="center"/>
          </w:tcPr>
          <w:p w14:paraId="1BE8FC6F"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Γ</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μSv·m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h·MBq</w:t>
            </w:r>
            <w:proofErr w:type="spellEnd"/>
            <w:r w:rsidRPr="00B12FE0">
              <w:rPr>
                <w:snapToGrid w:val="0"/>
                <w:color w:val="000000" w:themeColor="text1"/>
                <w:kern w:val="0"/>
                <w:sz w:val="21"/>
                <w:szCs w:val="21"/>
                <w:lang w:bidi="ar"/>
              </w:rPr>
              <w:t>)</w:t>
            </w:r>
            <w:r w:rsidRPr="00B12FE0">
              <w:rPr>
                <w:snapToGrid w:val="0"/>
                <w:color w:val="000000" w:themeColor="text1"/>
                <w:kern w:val="0"/>
                <w:sz w:val="21"/>
                <w:szCs w:val="21"/>
                <w:lang w:bidi="ar"/>
              </w:rPr>
              <w:t>）</w:t>
            </w:r>
          </w:p>
        </w:tc>
        <w:tc>
          <w:tcPr>
            <w:tcW w:w="649" w:type="dxa"/>
            <w:vMerge w:val="restart"/>
            <w:tcBorders>
              <w:top w:val="single" w:sz="4" w:space="0" w:color="000000"/>
              <w:left w:val="single" w:sz="4" w:space="0" w:color="000000"/>
              <w:bottom w:val="single" w:sz="4" w:space="0" w:color="000000"/>
              <w:right w:val="single" w:sz="4" w:space="0" w:color="000000"/>
            </w:tcBorders>
            <w:vAlign w:val="center"/>
          </w:tcPr>
          <w:p w14:paraId="5428FCA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lang w:bidi="ar"/>
              </w:rPr>
              <w:t>距离（</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126" w:type="dxa"/>
            <w:vMerge w:val="restart"/>
            <w:tcBorders>
              <w:top w:val="single" w:sz="4" w:space="0" w:color="000000"/>
              <w:left w:val="single" w:sz="4" w:space="0" w:color="000000"/>
              <w:bottom w:val="single" w:sz="4" w:space="0" w:color="000000"/>
              <w:right w:val="single" w:sz="4" w:space="0" w:color="000000"/>
            </w:tcBorders>
            <w:vAlign w:val="center"/>
          </w:tcPr>
          <w:p w14:paraId="437058D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辐射剂量率（</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r>
      <w:tr w:rsidR="00A67F21" w:rsidRPr="00B12FE0" w14:paraId="306C1490" w14:textId="77777777">
        <w:trPr>
          <w:trHeight w:val="282"/>
        </w:trPr>
        <w:tc>
          <w:tcPr>
            <w:tcW w:w="670" w:type="dxa"/>
            <w:vMerge/>
            <w:tcBorders>
              <w:top w:val="single" w:sz="4" w:space="0" w:color="000000"/>
              <w:left w:val="single" w:sz="4" w:space="0" w:color="000000"/>
              <w:bottom w:val="single" w:sz="4" w:space="0" w:color="000000"/>
              <w:right w:val="single" w:sz="4" w:space="0" w:color="000000"/>
            </w:tcBorders>
            <w:noWrap/>
            <w:vAlign w:val="center"/>
          </w:tcPr>
          <w:p w14:paraId="4010F532" w14:textId="77777777" w:rsidR="00A67F21" w:rsidRPr="00B12FE0" w:rsidRDefault="00A67F21">
            <w:pPr>
              <w:jc w:val="center"/>
              <w:rPr>
                <w:color w:val="000000" w:themeColor="text1"/>
                <w:sz w:val="21"/>
                <w:szCs w:val="21"/>
              </w:rPr>
            </w:pPr>
          </w:p>
        </w:tc>
        <w:tc>
          <w:tcPr>
            <w:tcW w:w="847" w:type="dxa"/>
            <w:vMerge/>
            <w:tcBorders>
              <w:top w:val="single" w:sz="4" w:space="0" w:color="000000"/>
              <w:left w:val="single" w:sz="4" w:space="0" w:color="000000"/>
              <w:bottom w:val="single" w:sz="4" w:space="0" w:color="000000"/>
              <w:right w:val="single" w:sz="4" w:space="0" w:color="000000"/>
            </w:tcBorders>
            <w:vAlign w:val="center"/>
          </w:tcPr>
          <w:p w14:paraId="659B5029" w14:textId="77777777" w:rsidR="00A67F21" w:rsidRPr="00B12FE0" w:rsidRDefault="00A67F21">
            <w:pPr>
              <w:jc w:val="center"/>
              <w:rPr>
                <w:color w:val="000000" w:themeColor="text1"/>
                <w:sz w:val="21"/>
                <w:szCs w:val="21"/>
              </w:rPr>
            </w:pPr>
          </w:p>
        </w:tc>
        <w:tc>
          <w:tcPr>
            <w:tcW w:w="1373" w:type="dxa"/>
            <w:vMerge/>
            <w:tcBorders>
              <w:top w:val="single" w:sz="4" w:space="0" w:color="000000"/>
              <w:left w:val="single" w:sz="4" w:space="0" w:color="000000"/>
              <w:bottom w:val="single" w:sz="4" w:space="0" w:color="000000"/>
              <w:right w:val="single" w:sz="4" w:space="0" w:color="000000"/>
            </w:tcBorders>
            <w:vAlign w:val="center"/>
          </w:tcPr>
          <w:p w14:paraId="125F1C4C" w14:textId="77777777" w:rsidR="00A67F21" w:rsidRPr="00B12FE0" w:rsidRDefault="00A67F21">
            <w:pPr>
              <w:jc w:val="center"/>
              <w:rPr>
                <w:color w:val="000000" w:themeColor="text1"/>
                <w:sz w:val="21"/>
                <w:szCs w:val="21"/>
              </w:rPr>
            </w:pPr>
          </w:p>
        </w:tc>
        <w:tc>
          <w:tcPr>
            <w:tcW w:w="1782" w:type="dxa"/>
            <w:vMerge/>
            <w:tcBorders>
              <w:top w:val="single" w:sz="4" w:space="0" w:color="000000"/>
              <w:left w:val="single" w:sz="4" w:space="0" w:color="000000"/>
              <w:bottom w:val="single" w:sz="4" w:space="0" w:color="000000"/>
              <w:right w:val="single" w:sz="4" w:space="0" w:color="000000"/>
            </w:tcBorders>
            <w:vAlign w:val="center"/>
          </w:tcPr>
          <w:p w14:paraId="65CD5C8F" w14:textId="77777777" w:rsidR="00A67F21" w:rsidRPr="00B12FE0" w:rsidRDefault="00A67F21">
            <w:pPr>
              <w:jc w:val="center"/>
              <w:rPr>
                <w:color w:val="000000" w:themeColor="text1"/>
                <w:sz w:val="21"/>
                <w:szCs w:val="21"/>
              </w:rPr>
            </w:pPr>
          </w:p>
        </w:tc>
        <w:tc>
          <w:tcPr>
            <w:tcW w:w="1616" w:type="dxa"/>
            <w:vMerge/>
            <w:tcBorders>
              <w:top w:val="single" w:sz="4" w:space="0" w:color="000000"/>
              <w:left w:val="single" w:sz="4" w:space="0" w:color="000000"/>
              <w:bottom w:val="single" w:sz="4" w:space="0" w:color="000000"/>
              <w:right w:val="single" w:sz="4" w:space="0" w:color="000000"/>
            </w:tcBorders>
            <w:noWrap/>
            <w:vAlign w:val="center"/>
          </w:tcPr>
          <w:p w14:paraId="1264C8B2" w14:textId="77777777" w:rsidR="00A67F21" w:rsidRPr="00B12FE0" w:rsidRDefault="00A67F21">
            <w:pPr>
              <w:jc w:val="center"/>
              <w:rPr>
                <w:color w:val="000000" w:themeColor="text1"/>
                <w:sz w:val="21"/>
                <w:szCs w:val="21"/>
              </w:rPr>
            </w:pPr>
          </w:p>
        </w:tc>
        <w:tc>
          <w:tcPr>
            <w:tcW w:w="859" w:type="dxa"/>
            <w:vMerge/>
            <w:tcBorders>
              <w:top w:val="single" w:sz="4" w:space="0" w:color="000000"/>
              <w:left w:val="single" w:sz="4" w:space="0" w:color="000000"/>
              <w:bottom w:val="single" w:sz="4" w:space="0" w:color="000000"/>
              <w:right w:val="single" w:sz="4" w:space="0" w:color="000000"/>
            </w:tcBorders>
            <w:noWrap/>
            <w:vAlign w:val="center"/>
          </w:tcPr>
          <w:p w14:paraId="3F7419F9" w14:textId="77777777" w:rsidR="00A67F21" w:rsidRPr="00B12FE0" w:rsidRDefault="00A67F21">
            <w:pPr>
              <w:jc w:val="center"/>
              <w:rPr>
                <w:color w:val="000000" w:themeColor="text1"/>
                <w:sz w:val="21"/>
                <w:szCs w:val="21"/>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4153FF8" w14:textId="77777777" w:rsidR="00A67F21" w:rsidRPr="00B12FE0" w:rsidRDefault="00A67F21">
            <w:pPr>
              <w:jc w:val="center"/>
              <w:rPr>
                <w:color w:val="000000" w:themeColor="text1"/>
                <w:sz w:val="21"/>
                <w:szCs w:val="21"/>
              </w:rPr>
            </w:pPr>
          </w:p>
        </w:tc>
        <w:tc>
          <w:tcPr>
            <w:tcW w:w="1126" w:type="dxa"/>
            <w:vMerge/>
            <w:tcBorders>
              <w:top w:val="single" w:sz="4" w:space="0" w:color="000000"/>
              <w:left w:val="single" w:sz="4" w:space="0" w:color="000000"/>
              <w:bottom w:val="single" w:sz="4" w:space="0" w:color="000000"/>
              <w:right w:val="single" w:sz="4" w:space="0" w:color="000000"/>
            </w:tcBorders>
            <w:vAlign w:val="center"/>
          </w:tcPr>
          <w:p w14:paraId="1E43F71F" w14:textId="77777777" w:rsidR="00A67F21" w:rsidRPr="00B12FE0" w:rsidRDefault="00A67F21">
            <w:pPr>
              <w:jc w:val="center"/>
              <w:rPr>
                <w:color w:val="000000" w:themeColor="text1"/>
                <w:sz w:val="21"/>
                <w:szCs w:val="21"/>
              </w:rPr>
            </w:pPr>
          </w:p>
        </w:tc>
      </w:tr>
      <w:tr w:rsidR="00A67F21" w:rsidRPr="00B12FE0" w14:paraId="698DFA9A" w14:textId="77777777">
        <w:trPr>
          <w:trHeight w:val="282"/>
        </w:trPr>
        <w:tc>
          <w:tcPr>
            <w:tcW w:w="670" w:type="dxa"/>
            <w:tcBorders>
              <w:top w:val="single" w:sz="4" w:space="0" w:color="000000"/>
              <w:left w:val="single" w:sz="4" w:space="0" w:color="000000"/>
              <w:bottom w:val="single" w:sz="4" w:space="0" w:color="000000"/>
              <w:right w:val="single" w:sz="4" w:space="0" w:color="000000"/>
            </w:tcBorders>
            <w:noWrap/>
            <w:vAlign w:val="center"/>
          </w:tcPr>
          <w:p w14:paraId="3D5DA9E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1-7</w:t>
            </w:r>
          </w:p>
        </w:tc>
        <w:tc>
          <w:tcPr>
            <w:tcW w:w="847" w:type="dxa"/>
            <w:tcBorders>
              <w:top w:val="single" w:sz="4" w:space="0" w:color="000000"/>
              <w:left w:val="single" w:sz="4" w:space="0" w:color="000000"/>
              <w:bottom w:val="single" w:sz="4" w:space="0" w:color="000000"/>
              <w:right w:val="single" w:sz="4" w:space="0" w:color="000000"/>
            </w:tcBorders>
            <w:noWrap/>
            <w:vAlign w:val="center"/>
          </w:tcPr>
          <w:p w14:paraId="4D4C221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合成分装柜</w:t>
            </w:r>
          </w:p>
        </w:tc>
        <w:tc>
          <w:tcPr>
            <w:tcW w:w="1373" w:type="dxa"/>
            <w:tcBorders>
              <w:top w:val="single" w:sz="4" w:space="0" w:color="000000"/>
              <w:left w:val="single" w:sz="4" w:space="0" w:color="000000"/>
              <w:bottom w:val="single" w:sz="4" w:space="0" w:color="000000"/>
              <w:right w:val="single" w:sz="4" w:space="0" w:color="000000"/>
            </w:tcBorders>
            <w:noWrap/>
            <w:vAlign w:val="center"/>
          </w:tcPr>
          <w:p w14:paraId="7CC3B885"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外表面</w:t>
            </w:r>
          </w:p>
          <w:p w14:paraId="7B8AB80E"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30</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处</w:t>
            </w:r>
          </w:p>
        </w:tc>
        <w:tc>
          <w:tcPr>
            <w:tcW w:w="1782" w:type="dxa"/>
            <w:tcBorders>
              <w:top w:val="single" w:sz="4" w:space="0" w:color="000000"/>
              <w:left w:val="single" w:sz="4" w:space="0" w:color="000000"/>
              <w:bottom w:val="single" w:sz="4" w:space="0" w:color="000000"/>
              <w:right w:val="single" w:sz="4" w:space="0" w:color="000000"/>
            </w:tcBorders>
            <w:noWrap/>
            <w:vAlign w:val="center"/>
          </w:tcPr>
          <w:p w14:paraId="13C3E71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70mmPb</w:t>
            </w:r>
          </w:p>
        </w:tc>
        <w:tc>
          <w:tcPr>
            <w:tcW w:w="1616" w:type="dxa"/>
            <w:tcBorders>
              <w:top w:val="single" w:sz="4" w:space="0" w:color="000000"/>
              <w:left w:val="single" w:sz="4" w:space="0" w:color="000000"/>
              <w:bottom w:val="single" w:sz="4" w:space="0" w:color="000000"/>
              <w:right w:val="single" w:sz="4" w:space="0" w:color="000000"/>
            </w:tcBorders>
            <w:noWrap/>
            <w:vAlign w:val="center"/>
          </w:tcPr>
          <w:p w14:paraId="5D858737"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4.44</w:t>
            </w:r>
            <w:r w:rsidRPr="00B12FE0">
              <w:rPr>
                <w:color w:val="000000" w:themeColor="text1"/>
                <w:sz w:val="21"/>
                <w:szCs w:val="21"/>
              </w:rPr>
              <w:t>×10</w:t>
            </w:r>
            <w:r w:rsidRPr="00B12FE0">
              <w:rPr>
                <w:color w:val="000000" w:themeColor="text1"/>
                <w:sz w:val="21"/>
                <w:szCs w:val="21"/>
                <w:vertAlign w:val="superscript"/>
              </w:rPr>
              <w:t>4</w:t>
            </w:r>
          </w:p>
        </w:tc>
        <w:tc>
          <w:tcPr>
            <w:tcW w:w="859" w:type="dxa"/>
            <w:tcBorders>
              <w:top w:val="single" w:sz="4" w:space="0" w:color="000000"/>
              <w:left w:val="single" w:sz="4" w:space="0" w:color="000000"/>
              <w:bottom w:val="single" w:sz="4" w:space="0" w:color="000000"/>
              <w:right w:val="single" w:sz="4" w:space="0" w:color="000000"/>
            </w:tcBorders>
            <w:noWrap/>
            <w:vAlign w:val="center"/>
          </w:tcPr>
          <w:p w14:paraId="66A140B7"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0.143</w:t>
            </w:r>
          </w:p>
        </w:tc>
        <w:tc>
          <w:tcPr>
            <w:tcW w:w="649" w:type="dxa"/>
            <w:tcBorders>
              <w:top w:val="single" w:sz="4" w:space="0" w:color="000000"/>
              <w:left w:val="single" w:sz="4" w:space="0" w:color="000000"/>
              <w:bottom w:val="single" w:sz="4" w:space="0" w:color="000000"/>
              <w:right w:val="single" w:sz="4" w:space="0" w:color="000000"/>
            </w:tcBorders>
            <w:noWrap/>
            <w:vAlign w:val="center"/>
          </w:tcPr>
          <w:p w14:paraId="533C905C"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0.5</w:t>
            </w:r>
          </w:p>
        </w:tc>
        <w:tc>
          <w:tcPr>
            <w:tcW w:w="1126" w:type="dxa"/>
            <w:tcBorders>
              <w:top w:val="single" w:sz="4" w:space="0" w:color="000000"/>
              <w:left w:val="single" w:sz="4" w:space="0" w:color="000000"/>
              <w:bottom w:val="single" w:sz="4" w:space="0" w:color="000000"/>
              <w:right w:val="single" w:sz="4" w:space="0" w:color="000000"/>
            </w:tcBorders>
            <w:noWrap/>
            <w:vAlign w:val="center"/>
          </w:tcPr>
          <w:p w14:paraId="557AF821"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1.54</w:t>
            </w:r>
          </w:p>
        </w:tc>
      </w:tr>
      <w:tr w:rsidR="00A67F21" w:rsidRPr="00B12FE0" w14:paraId="19CDA4D0" w14:textId="77777777">
        <w:trPr>
          <w:trHeight w:val="549"/>
        </w:trPr>
        <w:tc>
          <w:tcPr>
            <w:tcW w:w="670" w:type="dxa"/>
            <w:tcBorders>
              <w:top w:val="single" w:sz="4" w:space="0" w:color="000000"/>
              <w:left w:val="single" w:sz="4" w:space="0" w:color="000000"/>
              <w:bottom w:val="single" w:sz="4" w:space="0" w:color="000000"/>
              <w:right w:val="single" w:sz="4" w:space="0" w:color="000000"/>
            </w:tcBorders>
            <w:noWrap/>
            <w:vAlign w:val="center"/>
          </w:tcPr>
          <w:p w14:paraId="06D3E66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1-8</w:t>
            </w:r>
          </w:p>
        </w:tc>
        <w:tc>
          <w:tcPr>
            <w:tcW w:w="847" w:type="dxa"/>
            <w:vMerge w:val="restart"/>
            <w:tcBorders>
              <w:top w:val="single" w:sz="4" w:space="0" w:color="000000"/>
              <w:left w:val="single" w:sz="4" w:space="0" w:color="000000"/>
              <w:bottom w:val="single" w:sz="4" w:space="0" w:color="000000"/>
              <w:right w:val="single" w:sz="4" w:space="0" w:color="000000"/>
            </w:tcBorders>
            <w:noWrap/>
            <w:vAlign w:val="center"/>
          </w:tcPr>
          <w:p w14:paraId="0A39B118"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热室</w:t>
            </w:r>
          </w:p>
          <w:p w14:paraId="624B8C6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房间</w:t>
            </w:r>
          </w:p>
        </w:tc>
        <w:tc>
          <w:tcPr>
            <w:tcW w:w="1373" w:type="dxa"/>
            <w:tcBorders>
              <w:top w:val="single" w:sz="4" w:space="0" w:color="000000"/>
              <w:left w:val="single" w:sz="4" w:space="0" w:color="000000"/>
              <w:bottom w:val="single" w:sz="4" w:space="0" w:color="000000"/>
              <w:right w:val="single" w:sz="4" w:space="0" w:color="000000"/>
            </w:tcBorders>
            <w:vAlign w:val="center"/>
          </w:tcPr>
          <w:p w14:paraId="07555AF4"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南墙外</w:t>
            </w:r>
          </w:p>
          <w:p w14:paraId="708F03D3"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782" w:type="dxa"/>
            <w:tcBorders>
              <w:top w:val="single" w:sz="4" w:space="0" w:color="000000"/>
              <w:left w:val="single" w:sz="4" w:space="0" w:color="000000"/>
              <w:bottom w:val="single" w:sz="4" w:space="0" w:color="000000"/>
              <w:right w:val="single" w:sz="4" w:space="0" w:color="000000"/>
            </w:tcBorders>
            <w:noWrap/>
            <w:vAlign w:val="center"/>
          </w:tcPr>
          <w:p w14:paraId="3992B6E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70mmPb+3</w:t>
            </w:r>
            <w:r w:rsidRPr="00B12FE0">
              <w:rPr>
                <w:rFonts w:hint="eastAsia"/>
                <w:color w:val="000000" w:themeColor="text1"/>
                <w:sz w:val="21"/>
                <w:szCs w:val="21"/>
              </w:rPr>
              <w:t>00</w:t>
            </w:r>
            <w:r w:rsidRPr="00B12FE0">
              <w:rPr>
                <w:color w:val="000000" w:themeColor="text1"/>
                <w:sz w:val="21"/>
                <w:szCs w:val="21"/>
              </w:rPr>
              <w:t>mm</w:t>
            </w:r>
            <w:r w:rsidRPr="00B12FE0">
              <w:rPr>
                <w:color w:val="000000" w:themeColor="text1"/>
                <w:sz w:val="21"/>
                <w:szCs w:val="21"/>
              </w:rPr>
              <w:t>混凝土</w:t>
            </w:r>
          </w:p>
        </w:tc>
        <w:tc>
          <w:tcPr>
            <w:tcW w:w="1616" w:type="dxa"/>
            <w:tcBorders>
              <w:top w:val="single" w:sz="4" w:space="0" w:color="000000"/>
              <w:left w:val="single" w:sz="4" w:space="0" w:color="000000"/>
              <w:bottom w:val="single" w:sz="4" w:space="0" w:color="000000"/>
              <w:right w:val="single" w:sz="4" w:space="0" w:color="000000"/>
            </w:tcBorders>
            <w:noWrap/>
            <w:vAlign w:val="center"/>
          </w:tcPr>
          <w:p w14:paraId="4C7FA27F"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4.44</w:t>
            </w:r>
            <w:r w:rsidRPr="00B12FE0">
              <w:rPr>
                <w:color w:val="000000" w:themeColor="text1"/>
                <w:sz w:val="21"/>
                <w:szCs w:val="21"/>
              </w:rPr>
              <w:t>×10</w:t>
            </w:r>
            <w:r w:rsidRPr="00B12FE0">
              <w:rPr>
                <w:color w:val="000000" w:themeColor="text1"/>
                <w:sz w:val="21"/>
                <w:szCs w:val="21"/>
                <w:vertAlign w:val="superscript"/>
              </w:rPr>
              <w:t>4</w:t>
            </w:r>
          </w:p>
        </w:tc>
        <w:tc>
          <w:tcPr>
            <w:tcW w:w="859" w:type="dxa"/>
            <w:tcBorders>
              <w:top w:val="single" w:sz="4" w:space="0" w:color="000000"/>
              <w:left w:val="single" w:sz="4" w:space="0" w:color="000000"/>
              <w:bottom w:val="single" w:sz="4" w:space="0" w:color="000000"/>
              <w:right w:val="single" w:sz="4" w:space="0" w:color="000000"/>
            </w:tcBorders>
            <w:noWrap/>
            <w:vAlign w:val="center"/>
          </w:tcPr>
          <w:p w14:paraId="5789AF2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0.143</w:t>
            </w:r>
          </w:p>
        </w:tc>
        <w:tc>
          <w:tcPr>
            <w:tcW w:w="649" w:type="dxa"/>
            <w:tcBorders>
              <w:top w:val="single" w:sz="4" w:space="0" w:color="000000"/>
              <w:left w:val="single" w:sz="4" w:space="0" w:color="000000"/>
              <w:bottom w:val="single" w:sz="4" w:space="0" w:color="000000"/>
              <w:right w:val="single" w:sz="4" w:space="0" w:color="000000"/>
            </w:tcBorders>
            <w:noWrap/>
            <w:vAlign w:val="center"/>
          </w:tcPr>
          <w:p w14:paraId="5811AD9B"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w:t>
            </w:r>
            <w:r w:rsidRPr="00B12FE0">
              <w:rPr>
                <w:rFonts w:hint="eastAsia"/>
                <w:snapToGrid w:val="0"/>
                <w:color w:val="000000" w:themeColor="text1"/>
                <w:kern w:val="0"/>
                <w:sz w:val="21"/>
                <w:szCs w:val="21"/>
                <w:lang w:bidi="ar"/>
              </w:rPr>
              <w:t>5</w:t>
            </w:r>
          </w:p>
        </w:tc>
        <w:tc>
          <w:tcPr>
            <w:tcW w:w="1126" w:type="dxa"/>
            <w:tcBorders>
              <w:top w:val="single" w:sz="4" w:space="0" w:color="000000"/>
              <w:left w:val="single" w:sz="4" w:space="0" w:color="000000"/>
              <w:bottom w:val="single" w:sz="4" w:space="0" w:color="000000"/>
              <w:right w:val="single" w:sz="4" w:space="0" w:color="000000"/>
            </w:tcBorders>
            <w:noWrap/>
            <w:vAlign w:val="center"/>
          </w:tcPr>
          <w:p w14:paraId="393DFADC"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5.27E-04</w:t>
            </w:r>
          </w:p>
        </w:tc>
      </w:tr>
      <w:tr w:rsidR="00A67F21" w:rsidRPr="00B12FE0" w14:paraId="3186218C" w14:textId="77777777">
        <w:trPr>
          <w:trHeight w:val="300"/>
        </w:trPr>
        <w:tc>
          <w:tcPr>
            <w:tcW w:w="670" w:type="dxa"/>
            <w:tcBorders>
              <w:top w:val="single" w:sz="4" w:space="0" w:color="000000"/>
              <w:left w:val="single" w:sz="4" w:space="0" w:color="000000"/>
              <w:bottom w:val="single" w:sz="4" w:space="0" w:color="000000"/>
              <w:right w:val="single" w:sz="4" w:space="0" w:color="000000"/>
            </w:tcBorders>
            <w:noWrap/>
            <w:vAlign w:val="center"/>
          </w:tcPr>
          <w:p w14:paraId="01387FB5"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1-9</w:t>
            </w:r>
          </w:p>
        </w:tc>
        <w:tc>
          <w:tcPr>
            <w:tcW w:w="847" w:type="dxa"/>
            <w:vMerge/>
            <w:tcBorders>
              <w:top w:val="single" w:sz="4" w:space="0" w:color="000000"/>
              <w:left w:val="single" w:sz="4" w:space="0" w:color="000000"/>
              <w:bottom w:val="single" w:sz="4" w:space="0" w:color="000000"/>
              <w:right w:val="single" w:sz="4" w:space="0" w:color="000000"/>
            </w:tcBorders>
            <w:noWrap/>
            <w:vAlign w:val="center"/>
          </w:tcPr>
          <w:p w14:paraId="6F87E272" w14:textId="77777777" w:rsidR="00A67F21" w:rsidRPr="00B12FE0" w:rsidRDefault="00A67F21">
            <w:pPr>
              <w:jc w:val="center"/>
              <w:rPr>
                <w:color w:val="000000" w:themeColor="text1"/>
                <w:sz w:val="21"/>
                <w:szCs w:val="21"/>
              </w:rPr>
            </w:pPr>
          </w:p>
        </w:tc>
        <w:tc>
          <w:tcPr>
            <w:tcW w:w="1373" w:type="dxa"/>
            <w:tcBorders>
              <w:top w:val="single" w:sz="4" w:space="0" w:color="000000"/>
              <w:left w:val="single" w:sz="4" w:space="0" w:color="000000"/>
              <w:bottom w:val="single" w:sz="4" w:space="0" w:color="000000"/>
              <w:right w:val="single" w:sz="4" w:space="0" w:color="000000"/>
            </w:tcBorders>
            <w:vAlign w:val="center"/>
          </w:tcPr>
          <w:p w14:paraId="4B07294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南侧传递窗外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782" w:type="dxa"/>
            <w:tcBorders>
              <w:top w:val="single" w:sz="4" w:space="0" w:color="000000"/>
              <w:left w:val="single" w:sz="4" w:space="0" w:color="000000"/>
              <w:bottom w:val="single" w:sz="4" w:space="0" w:color="000000"/>
              <w:right w:val="single" w:sz="4" w:space="0" w:color="000000"/>
            </w:tcBorders>
            <w:noWrap/>
            <w:vAlign w:val="center"/>
          </w:tcPr>
          <w:p w14:paraId="6CC64899"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70mmPb+</w:t>
            </w:r>
            <w:r w:rsidRPr="00B12FE0">
              <w:rPr>
                <w:rFonts w:hint="eastAsia"/>
                <w:color w:val="000000" w:themeColor="text1"/>
                <w:sz w:val="21"/>
                <w:szCs w:val="21"/>
              </w:rPr>
              <w:t>2</w:t>
            </w:r>
            <w:r w:rsidRPr="00B12FE0">
              <w:rPr>
                <w:color w:val="000000" w:themeColor="text1"/>
                <w:sz w:val="21"/>
                <w:szCs w:val="21"/>
              </w:rPr>
              <w:t>mmPb</w:t>
            </w:r>
            <w:r w:rsidRPr="00B12FE0">
              <w:rPr>
                <w:rFonts w:hint="eastAsia"/>
                <w:color w:val="000000" w:themeColor="text1"/>
                <w:sz w:val="21"/>
                <w:szCs w:val="21"/>
              </w:rPr>
              <w:t>传递窗</w:t>
            </w:r>
          </w:p>
        </w:tc>
        <w:tc>
          <w:tcPr>
            <w:tcW w:w="1616" w:type="dxa"/>
            <w:tcBorders>
              <w:top w:val="single" w:sz="4" w:space="0" w:color="000000"/>
              <w:left w:val="single" w:sz="4" w:space="0" w:color="000000"/>
              <w:bottom w:val="single" w:sz="4" w:space="0" w:color="000000"/>
              <w:right w:val="single" w:sz="4" w:space="0" w:color="000000"/>
            </w:tcBorders>
            <w:noWrap/>
            <w:vAlign w:val="center"/>
          </w:tcPr>
          <w:p w14:paraId="0DDC194F"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4.44</w:t>
            </w:r>
            <w:r w:rsidRPr="00B12FE0">
              <w:rPr>
                <w:color w:val="000000" w:themeColor="text1"/>
                <w:sz w:val="21"/>
                <w:szCs w:val="21"/>
              </w:rPr>
              <w:t>×10</w:t>
            </w:r>
            <w:r w:rsidRPr="00B12FE0">
              <w:rPr>
                <w:color w:val="000000" w:themeColor="text1"/>
                <w:sz w:val="21"/>
                <w:szCs w:val="21"/>
                <w:vertAlign w:val="superscript"/>
              </w:rPr>
              <w:t>4</w:t>
            </w:r>
          </w:p>
        </w:tc>
        <w:tc>
          <w:tcPr>
            <w:tcW w:w="859" w:type="dxa"/>
            <w:tcBorders>
              <w:top w:val="single" w:sz="4" w:space="0" w:color="000000"/>
              <w:left w:val="single" w:sz="4" w:space="0" w:color="000000"/>
              <w:bottom w:val="single" w:sz="4" w:space="0" w:color="000000"/>
              <w:right w:val="single" w:sz="4" w:space="0" w:color="000000"/>
            </w:tcBorders>
            <w:noWrap/>
            <w:vAlign w:val="center"/>
          </w:tcPr>
          <w:p w14:paraId="4FC3ABC3"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0.143</w:t>
            </w:r>
          </w:p>
        </w:tc>
        <w:tc>
          <w:tcPr>
            <w:tcW w:w="649" w:type="dxa"/>
            <w:tcBorders>
              <w:top w:val="single" w:sz="4" w:space="0" w:color="000000"/>
              <w:left w:val="single" w:sz="4" w:space="0" w:color="000000"/>
              <w:bottom w:val="single" w:sz="4" w:space="0" w:color="000000"/>
              <w:right w:val="single" w:sz="4" w:space="0" w:color="000000"/>
            </w:tcBorders>
            <w:noWrap/>
            <w:vAlign w:val="center"/>
          </w:tcPr>
          <w:p w14:paraId="20A13D4C"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3.8</w:t>
            </w:r>
          </w:p>
        </w:tc>
        <w:tc>
          <w:tcPr>
            <w:tcW w:w="1126" w:type="dxa"/>
            <w:tcBorders>
              <w:top w:val="single" w:sz="4" w:space="0" w:color="000000"/>
              <w:left w:val="single" w:sz="4" w:space="0" w:color="000000"/>
              <w:bottom w:val="single" w:sz="4" w:space="0" w:color="000000"/>
              <w:right w:val="single" w:sz="4" w:space="0" w:color="000000"/>
            </w:tcBorders>
            <w:noWrap/>
            <w:vAlign w:val="center"/>
          </w:tcPr>
          <w:p w14:paraId="64B93DD6"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1.92E-02</w:t>
            </w:r>
          </w:p>
        </w:tc>
      </w:tr>
      <w:tr w:rsidR="00A67F21" w:rsidRPr="00B12FE0" w14:paraId="488510A2" w14:textId="77777777">
        <w:trPr>
          <w:trHeight w:val="300"/>
        </w:trPr>
        <w:tc>
          <w:tcPr>
            <w:tcW w:w="670" w:type="dxa"/>
            <w:tcBorders>
              <w:top w:val="single" w:sz="4" w:space="0" w:color="000000"/>
              <w:left w:val="single" w:sz="4" w:space="0" w:color="000000"/>
              <w:bottom w:val="single" w:sz="4" w:space="0" w:color="000000"/>
              <w:right w:val="single" w:sz="4" w:space="0" w:color="000000"/>
            </w:tcBorders>
            <w:noWrap/>
            <w:vAlign w:val="center"/>
          </w:tcPr>
          <w:p w14:paraId="01C1B36E"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1-10</w:t>
            </w:r>
          </w:p>
        </w:tc>
        <w:tc>
          <w:tcPr>
            <w:tcW w:w="847" w:type="dxa"/>
            <w:vMerge/>
            <w:tcBorders>
              <w:top w:val="single" w:sz="4" w:space="0" w:color="000000"/>
              <w:left w:val="single" w:sz="4" w:space="0" w:color="000000"/>
              <w:bottom w:val="single" w:sz="4" w:space="0" w:color="000000"/>
              <w:right w:val="single" w:sz="4" w:space="0" w:color="000000"/>
            </w:tcBorders>
            <w:noWrap/>
            <w:vAlign w:val="center"/>
          </w:tcPr>
          <w:p w14:paraId="7F0D45F1" w14:textId="77777777" w:rsidR="00A67F21" w:rsidRPr="00B12FE0" w:rsidRDefault="00A67F21">
            <w:pPr>
              <w:jc w:val="center"/>
              <w:rPr>
                <w:color w:val="000000" w:themeColor="text1"/>
                <w:sz w:val="21"/>
                <w:szCs w:val="21"/>
              </w:rPr>
            </w:pPr>
          </w:p>
        </w:tc>
        <w:tc>
          <w:tcPr>
            <w:tcW w:w="1373" w:type="dxa"/>
            <w:tcBorders>
              <w:top w:val="single" w:sz="4" w:space="0" w:color="000000"/>
              <w:left w:val="single" w:sz="4" w:space="0" w:color="000000"/>
              <w:bottom w:val="single" w:sz="4" w:space="0" w:color="000000"/>
              <w:right w:val="single" w:sz="4" w:space="0" w:color="000000"/>
            </w:tcBorders>
            <w:vAlign w:val="center"/>
          </w:tcPr>
          <w:p w14:paraId="3B413D98"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东</w:t>
            </w:r>
            <w:r w:rsidRPr="00B12FE0">
              <w:rPr>
                <w:snapToGrid w:val="0"/>
                <w:color w:val="000000" w:themeColor="text1"/>
                <w:kern w:val="0"/>
                <w:sz w:val="21"/>
                <w:szCs w:val="21"/>
                <w:lang w:bidi="ar"/>
              </w:rPr>
              <w:t>墙外</w:t>
            </w:r>
          </w:p>
          <w:p w14:paraId="50E4B12E"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782" w:type="dxa"/>
            <w:tcBorders>
              <w:top w:val="single" w:sz="4" w:space="0" w:color="000000"/>
              <w:left w:val="single" w:sz="4" w:space="0" w:color="000000"/>
              <w:bottom w:val="single" w:sz="4" w:space="0" w:color="000000"/>
              <w:right w:val="single" w:sz="4" w:space="0" w:color="000000"/>
            </w:tcBorders>
            <w:noWrap/>
            <w:vAlign w:val="center"/>
          </w:tcPr>
          <w:p w14:paraId="706E1E0E"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70mmPb+3</w:t>
            </w:r>
            <w:r w:rsidRPr="00B12FE0">
              <w:rPr>
                <w:rFonts w:hint="eastAsia"/>
                <w:color w:val="000000" w:themeColor="text1"/>
                <w:sz w:val="21"/>
                <w:szCs w:val="21"/>
              </w:rPr>
              <w:t>00</w:t>
            </w:r>
            <w:r w:rsidRPr="00B12FE0">
              <w:rPr>
                <w:color w:val="000000" w:themeColor="text1"/>
                <w:sz w:val="21"/>
                <w:szCs w:val="21"/>
              </w:rPr>
              <w:t>mm</w:t>
            </w:r>
            <w:r w:rsidRPr="00B12FE0">
              <w:rPr>
                <w:color w:val="000000" w:themeColor="text1"/>
                <w:sz w:val="21"/>
                <w:szCs w:val="21"/>
              </w:rPr>
              <w:t>混凝土</w:t>
            </w:r>
          </w:p>
        </w:tc>
        <w:tc>
          <w:tcPr>
            <w:tcW w:w="1616" w:type="dxa"/>
            <w:tcBorders>
              <w:top w:val="single" w:sz="4" w:space="0" w:color="000000"/>
              <w:left w:val="single" w:sz="4" w:space="0" w:color="000000"/>
              <w:bottom w:val="single" w:sz="4" w:space="0" w:color="000000"/>
              <w:right w:val="single" w:sz="4" w:space="0" w:color="000000"/>
            </w:tcBorders>
            <w:noWrap/>
            <w:vAlign w:val="center"/>
          </w:tcPr>
          <w:p w14:paraId="4B83F1F3"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4.44</w:t>
            </w:r>
            <w:r w:rsidRPr="00B12FE0">
              <w:rPr>
                <w:color w:val="000000" w:themeColor="text1"/>
                <w:sz w:val="21"/>
                <w:szCs w:val="21"/>
              </w:rPr>
              <w:t>×10</w:t>
            </w:r>
            <w:r w:rsidRPr="00B12FE0">
              <w:rPr>
                <w:color w:val="000000" w:themeColor="text1"/>
                <w:sz w:val="21"/>
                <w:szCs w:val="21"/>
                <w:vertAlign w:val="superscript"/>
              </w:rPr>
              <w:t>4</w:t>
            </w:r>
          </w:p>
        </w:tc>
        <w:tc>
          <w:tcPr>
            <w:tcW w:w="859" w:type="dxa"/>
            <w:tcBorders>
              <w:top w:val="single" w:sz="4" w:space="0" w:color="000000"/>
              <w:left w:val="single" w:sz="4" w:space="0" w:color="000000"/>
              <w:bottom w:val="single" w:sz="4" w:space="0" w:color="000000"/>
              <w:right w:val="single" w:sz="4" w:space="0" w:color="000000"/>
            </w:tcBorders>
            <w:noWrap/>
            <w:vAlign w:val="center"/>
          </w:tcPr>
          <w:p w14:paraId="1FE5E2A7"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0.143</w:t>
            </w:r>
          </w:p>
        </w:tc>
        <w:tc>
          <w:tcPr>
            <w:tcW w:w="649" w:type="dxa"/>
            <w:tcBorders>
              <w:top w:val="single" w:sz="4" w:space="0" w:color="000000"/>
              <w:left w:val="single" w:sz="4" w:space="0" w:color="000000"/>
              <w:bottom w:val="single" w:sz="4" w:space="0" w:color="000000"/>
              <w:right w:val="single" w:sz="4" w:space="0" w:color="000000"/>
            </w:tcBorders>
            <w:noWrap/>
            <w:vAlign w:val="center"/>
          </w:tcPr>
          <w:p w14:paraId="5134DF4F"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3.9</w:t>
            </w:r>
          </w:p>
        </w:tc>
        <w:tc>
          <w:tcPr>
            <w:tcW w:w="1126" w:type="dxa"/>
            <w:tcBorders>
              <w:top w:val="single" w:sz="4" w:space="0" w:color="000000"/>
              <w:left w:val="single" w:sz="4" w:space="0" w:color="000000"/>
              <w:bottom w:val="single" w:sz="4" w:space="0" w:color="000000"/>
              <w:right w:val="single" w:sz="4" w:space="0" w:color="000000"/>
            </w:tcBorders>
            <w:noWrap/>
            <w:vAlign w:val="center"/>
          </w:tcPr>
          <w:p w14:paraId="7467ADD7"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3.93E-04</w:t>
            </w:r>
          </w:p>
        </w:tc>
      </w:tr>
      <w:tr w:rsidR="00A67F21" w:rsidRPr="00B12FE0" w14:paraId="58034B91" w14:textId="77777777">
        <w:trPr>
          <w:trHeight w:val="282"/>
        </w:trPr>
        <w:tc>
          <w:tcPr>
            <w:tcW w:w="670" w:type="dxa"/>
            <w:tcBorders>
              <w:top w:val="single" w:sz="4" w:space="0" w:color="000000"/>
              <w:left w:val="single" w:sz="4" w:space="0" w:color="000000"/>
              <w:bottom w:val="single" w:sz="4" w:space="0" w:color="000000"/>
              <w:right w:val="single" w:sz="4" w:space="0" w:color="000000"/>
            </w:tcBorders>
            <w:noWrap/>
            <w:vAlign w:val="center"/>
          </w:tcPr>
          <w:p w14:paraId="33DBF6B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1-11</w:t>
            </w:r>
          </w:p>
        </w:tc>
        <w:tc>
          <w:tcPr>
            <w:tcW w:w="847" w:type="dxa"/>
            <w:vMerge/>
            <w:tcBorders>
              <w:top w:val="single" w:sz="4" w:space="0" w:color="000000"/>
              <w:left w:val="single" w:sz="4" w:space="0" w:color="000000"/>
              <w:bottom w:val="single" w:sz="4" w:space="0" w:color="000000"/>
              <w:right w:val="single" w:sz="4" w:space="0" w:color="000000"/>
            </w:tcBorders>
            <w:noWrap/>
            <w:vAlign w:val="center"/>
          </w:tcPr>
          <w:p w14:paraId="18937DA1" w14:textId="77777777" w:rsidR="00A67F21" w:rsidRPr="00B12FE0" w:rsidRDefault="00A67F21">
            <w:pPr>
              <w:jc w:val="center"/>
              <w:rPr>
                <w:color w:val="000000" w:themeColor="text1"/>
                <w:sz w:val="21"/>
                <w:szCs w:val="21"/>
              </w:rPr>
            </w:pPr>
          </w:p>
        </w:tc>
        <w:tc>
          <w:tcPr>
            <w:tcW w:w="1373" w:type="dxa"/>
            <w:tcBorders>
              <w:top w:val="single" w:sz="4" w:space="0" w:color="000000"/>
              <w:left w:val="single" w:sz="4" w:space="0" w:color="000000"/>
              <w:bottom w:val="single" w:sz="4" w:space="0" w:color="000000"/>
              <w:right w:val="single" w:sz="4" w:space="0" w:color="000000"/>
            </w:tcBorders>
            <w:noWrap/>
            <w:vAlign w:val="center"/>
          </w:tcPr>
          <w:p w14:paraId="6D474C1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防护门外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782" w:type="dxa"/>
            <w:tcBorders>
              <w:top w:val="single" w:sz="4" w:space="0" w:color="000000"/>
              <w:left w:val="single" w:sz="4" w:space="0" w:color="000000"/>
              <w:bottom w:val="single" w:sz="4" w:space="0" w:color="000000"/>
              <w:right w:val="single" w:sz="4" w:space="0" w:color="000000"/>
            </w:tcBorders>
            <w:noWrap/>
            <w:vAlign w:val="center"/>
          </w:tcPr>
          <w:p w14:paraId="633F474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70mmPb+2mmPb</w:t>
            </w:r>
            <w:proofErr w:type="gramStart"/>
            <w:r w:rsidRPr="00B12FE0">
              <w:rPr>
                <w:rFonts w:hint="eastAsia"/>
                <w:color w:val="000000" w:themeColor="text1"/>
                <w:sz w:val="21"/>
                <w:szCs w:val="21"/>
              </w:rPr>
              <w:t>铅门</w:t>
            </w:r>
            <w:proofErr w:type="gramEnd"/>
          </w:p>
        </w:tc>
        <w:tc>
          <w:tcPr>
            <w:tcW w:w="1616" w:type="dxa"/>
            <w:tcBorders>
              <w:top w:val="single" w:sz="4" w:space="0" w:color="000000"/>
              <w:left w:val="single" w:sz="4" w:space="0" w:color="000000"/>
              <w:bottom w:val="single" w:sz="4" w:space="0" w:color="000000"/>
              <w:right w:val="single" w:sz="4" w:space="0" w:color="000000"/>
            </w:tcBorders>
            <w:noWrap/>
            <w:vAlign w:val="center"/>
          </w:tcPr>
          <w:p w14:paraId="0D9E53BA"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4.44</w:t>
            </w:r>
            <w:r w:rsidRPr="00B12FE0">
              <w:rPr>
                <w:color w:val="000000" w:themeColor="text1"/>
                <w:sz w:val="21"/>
                <w:szCs w:val="21"/>
              </w:rPr>
              <w:t>×10</w:t>
            </w:r>
            <w:r w:rsidRPr="00B12FE0">
              <w:rPr>
                <w:color w:val="000000" w:themeColor="text1"/>
                <w:sz w:val="21"/>
                <w:szCs w:val="21"/>
                <w:vertAlign w:val="superscript"/>
              </w:rPr>
              <w:t>4</w:t>
            </w:r>
          </w:p>
        </w:tc>
        <w:tc>
          <w:tcPr>
            <w:tcW w:w="859" w:type="dxa"/>
            <w:tcBorders>
              <w:top w:val="single" w:sz="4" w:space="0" w:color="000000"/>
              <w:left w:val="single" w:sz="4" w:space="0" w:color="000000"/>
              <w:bottom w:val="single" w:sz="4" w:space="0" w:color="000000"/>
              <w:right w:val="single" w:sz="4" w:space="0" w:color="000000"/>
            </w:tcBorders>
            <w:noWrap/>
            <w:vAlign w:val="center"/>
          </w:tcPr>
          <w:p w14:paraId="0DFEAD63"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0.143</w:t>
            </w:r>
          </w:p>
        </w:tc>
        <w:tc>
          <w:tcPr>
            <w:tcW w:w="649" w:type="dxa"/>
            <w:tcBorders>
              <w:top w:val="single" w:sz="4" w:space="0" w:color="000000"/>
              <w:left w:val="single" w:sz="4" w:space="0" w:color="000000"/>
              <w:bottom w:val="single" w:sz="4" w:space="0" w:color="000000"/>
              <w:right w:val="single" w:sz="4" w:space="0" w:color="000000"/>
            </w:tcBorders>
            <w:noWrap/>
            <w:vAlign w:val="center"/>
          </w:tcPr>
          <w:p w14:paraId="7E4E65E2"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4.4</w:t>
            </w:r>
          </w:p>
        </w:tc>
        <w:tc>
          <w:tcPr>
            <w:tcW w:w="1126" w:type="dxa"/>
            <w:tcBorders>
              <w:top w:val="single" w:sz="4" w:space="0" w:color="000000"/>
              <w:left w:val="single" w:sz="4" w:space="0" w:color="000000"/>
              <w:bottom w:val="single" w:sz="4" w:space="0" w:color="000000"/>
              <w:right w:val="single" w:sz="4" w:space="0" w:color="000000"/>
            </w:tcBorders>
            <w:noWrap/>
            <w:vAlign w:val="center"/>
          </w:tcPr>
          <w:p w14:paraId="20A794C7"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1.58E-02</w:t>
            </w:r>
          </w:p>
        </w:tc>
      </w:tr>
      <w:tr w:rsidR="00A67F21" w:rsidRPr="00B12FE0" w14:paraId="30D4DDEF" w14:textId="77777777">
        <w:trPr>
          <w:trHeight w:val="282"/>
        </w:trPr>
        <w:tc>
          <w:tcPr>
            <w:tcW w:w="670" w:type="dxa"/>
            <w:tcBorders>
              <w:top w:val="single" w:sz="4" w:space="0" w:color="000000"/>
              <w:left w:val="single" w:sz="4" w:space="0" w:color="000000"/>
              <w:bottom w:val="single" w:sz="4" w:space="0" w:color="000000"/>
              <w:right w:val="single" w:sz="4" w:space="0" w:color="000000"/>
            </w:tcBorders>
            <w:noWrap/>
            <w:vAlign w:val="center"/>
          </w:tcPr>
          <w:p w14:paraId="1176D923"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1-12</w:t>
            </w:r>
          </w:p>
        </w:tc>
        <w:tc>
          <w:tcPr>
            <w:tcW w:w="847" w:type="dxa"/>
            <w:vMerge/>
            <w:tcBorders>
              <w:top w:val="single" w:sz="4" w:space="0" w:color="000000"/>
              <w:left w:val="single" w:sz="4" w:space="0" w:color="000000"/>
              <w:bottom w:val="single" w:sz="4" w:space="0" w:color="000000"/>
              <w:right w:val="single" w:sz="4" w:space="0" w:color="000000"/>
            </w:tcBorders>
            <w:noWrap/>
            <w:vAlign w:val="center"/>
          </w:tcPr>
          <w:p w14:paraId="1774D6EE" w14:textId="77777777" w:rsidR="00A67F21" w:rsidRPr="00B12FE0" w:rsidRDefault="00A67F21">
            <w:pPr>
              <w:jc w:val="center"/>
              <w:rPr>
                <w:color w:val="000000" w:themeColor="text1"/>
                <w:sz w:val="21"/>
                <w:szCs w:val="21"/>
              </w:rPr>
            </w:pPr>
          </w:p>
        </w:tc>
        <w:tc>
          <w:tcPr>
            <w:tcW w:w="1373" w:type="dxa"/>
            <w:tcBorders>
              <w:top w:val="single" w:sz="4" w:space="0" w:color="000000"/>
              <w:left w:val="single" w:sz="4" w:space="0" w:color="000000"/>
              <w:bottom w:val="single" w:sz="4" w:space="0" w:color="000000"/>
              <w:right w:val="single" w:sz="4" w:space="0" w:color="000000"/>
            </w:tcBorders>
            <w:noWrap/>
            <w:vAlign w:val="center"/>
          </w:tcPr>
          <w:p w14:paraId="78661950"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北</w:t>
            </w:r>
            <w:r w:rsidRPr="00B12FE0">
              <w:rPr>
                <w:snapToGrid w:val="0"/>
                <w:color w:val="000000" w:themeColor="text1"/>
                <w:kern w:val="0"/>
                <w:sz w:val="21"/>
                <w:szCs w:val="21"/>
                <w:lang w:bidi="ar"/>
              </w:rPr>
              <w:t>墙外</w:t>
            </w:r>
          </w:p>
          <w:p w14:paraId="7FE5FC6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782" w:type="dxa"/>
            <w:tcBorders>
              <w:top w:val="single" w:sz="4" w:space="0" w:color="000000"/>
              <w:left w:val="single" w:sz="4" w:space="0" w:color="000000"/>
              <w:bottom w:val="single" w:sz="4" w:space="0" w:color="000000"/>
              <w:right w:val="single" w:sz="4" w:space="0" w:color="000000"/>
            </w:tcBorders>
            <w:noWrap/>
            <w:vAlign w:val="center"/>
          </w:tcPr>
          <w:p w14:paraId="3510323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70mmPb+3</w:t>
            </w:r>
            <w:r w:rsidRPr="00B12FE0">
              <w:rPr>
                <w:rFonts w:hint="eastAsia"/>
                <w:color w:val="000000" w:themeColor="text1"/>
                <w:sz w:val="21"/>
                <w:szCs w:val="21"/>
              </w:rPr>
              <w:t>00</w:t>
            </w:r>
            <w:r w:rsidRPr="00B12FE0">
              <w:rPr>
                <w:color w:val="000000" w:themeColor="text1"/>
                <w:sz w:val="21"/>
                <w:szCs w:val="21"/>
              </w:rPr>
              <w:t>mm</w:t>
            </w:r>
            <w:r w:rsidRPr="00B12FE0">
              <w:rPr>
                <w:color w:val="000000" w:themeColor="text1"/>
                <w:sz w:val="21"/>
                <w:szCs w:val="21"/>
              </w:rPr>
              <w:t>混凝土</w:t>
            </w:r>
          </w:p>
        </w:tc>
        <w:tc>
          <w:tcPr>
            <w:tcW w:w="1616" w:type="dxa"/>
            <w:tcBorders>
              <w:top w:val="single" w:sz="4" w:space="0" w:color="000000"/>
              <w:left w:val="single" w:sz="4" w:space="0" w:color="000000"/>
              <w:bottom w:val="single" w:sz="4" w:space="0" w:color="000000"/>
              <w:right w:val="single" w:sz="4" w:space="0" w:color="000000"/>
            </w:tcBorders>
            <w:noWrap/>
            <w:vAlign w:val="center"/>
          </w:tcPr>
          <w:p w14:paraId="4963302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4.44</w:t>
            </w:r>
            <w:r w:rsidRPr="00B12FE0">
              <w:rPr>
                <w:color w:val="000000" w:themeColor="text1"/>
                <w:sz w:val="21"/>
                <w:szCs w:val="21"/>
              </w:rPr>
              <w:t>×10</w:t>
            </w:r>
            <w:r w:rsidRPr="00B12FE0">
              <w:rPr>
                <w:color w:val="000000" w:themeColor="text1"/>
                <w:sz w:val="21"/>
                <w:szCs w:val="21"/>
                <w:vertAlign w:val="superscript"/>
              </w:rPr>
              <w:t>4</w:t>
            </w:r>
          </w:p>
        </w:tc>
        <w:tc>
          <w:tcPr>
            <w:tcW w:w="859" w:type="dxa"/>
            <w:tcBorders>
              <w:top w:val="single" w:sz="4" w:space="0" w:color="000000"/>
              <w:left w:val="single" w:sz="4" w:space="0" w:color="000000"/>
              <w:bottom w:val="single" w:sz="4" w:space="0" w:color="000000"/>
              <w:right w:val="single" w:sz="4" w:space="0" w:color="000000"/>
            </w:tcBorders>
            <w:noWrap/>
            <w:vAlign w:val="center"/>
          </w:tcPr>
          <w:p w14:paraId="7D3A857A"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0.143</w:t>
            </w:r>
          </w:p>
        </w:tc>
        <w:tc>
          <w:tcPr>
            <w:tcW w:w="649" w:type="dxa"/>
            <w:tcBorders>
              <w:top w:val="single" w:sz="4" w:space="0" w:color="000000"/>
              <w:left w:val="single" w:sz="4" w:space="0" w:color="000000"/>
              <w:bottom w:val="single" w:sz="4" w:space="0" w:color="000000"/>
              <w:right w:val="single" w:sz="4" w:space="0" w:color="000000"/>
            </w:tcBorders>
            <w:noWrap/>
            <w:vAlign w:val="center"/>
          </w:tcPr>
          <w:p w14:paraId="491FA68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3.4</w:t>
            </w:r>
          </w:p>
        </w:tc>
        <w:tc>
          <w:tcPr>
            <w:tcW w:w="1126" w:type="dxa"/>
            <w:tcBorders>
              <w:top w:val="single" w:sz="4" w:space="0" w:color="000000"/>
              <w:left w:val="single" w:sz="4" w:space="0" w:color="000000"/>
              <w:bottom w:val="single" w:sz="4" w:space="0" w:color="000000"/>
              <w:right w:val="single" w:sz="4" w:space="0" w:color="000000"/>
            </w:tcBorders>
            <w:noWrap/>
            <w:vAlign w:val="center"/>
          </w:tcPr>
          <w:p w14:paraId="5E45A4E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6.58E-04</w:t>
            </w:r>
          </w:p>
        </w:tc>
      </w:tr>
      <w:tr w:rsidR="00A67F21" w:rsidRPr="00B12FE0" w14:paraId="7653B2D9" w14:textId="77777777">
        <w:trPr>
          <w:trHeight w:val="282"/>
        </w:trPr>
        <w:tc>
          <w:tcPr>
            <w:tcW w:w="670" w:type="dxa"/>
            <w:tcBorders>
              <w:top w:val="single" w:sz="4" w:space="0" w:color="000000"/>
              <w:left w:val="single" w:sz="4" w:space="0" w:color="000000"/>
              <w:bottom w:val="single" w:sz="4" w:space="0" w:color="000000"/>
              <w:right w:val="single" w:sz="4" w:space="0" w:color="000000"/>
            </w:tcBorders>
            <w:noWrap/>
            <w:vAlign w:val="center"/>
          </w:tcPr>
          <w:p w14:paraId="7152D863"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1-13</w:t>
            </w:r>
          </w:p>
        </w:tc>
        <w:tc>
          <w:tcPr>
            <w:tcW w:w="847" w:type="dxa"/>
            <w:vMerge/>
            <w:tcBorders>
              <w:top w:val="single" w:sz="4" w:space="0" w:color="000000"/>
              <w:left w:val="single" w:sz="4" w:space="0" w:color="000000"/>
              <w:bottom w:val="single" w:sz="4" w:space="0" w:color="000000"/>
              <w:right w:val="single" w:sz="4" w:space="0" w:color="000000"/>
            </w:tcBorders>
            <w:noWrap/>
            <w:vAlign w:val="center"/>
          </w:tcPr>
          <w:p w14:paraId="12444182" w14:textId="77777777" w:rsidR="00A67F21" w:rsidRPr="00B12FE0" w:rsidRDefault="00A67F21">
            <w:pPr>
              <w:jc w:val="center"/>
              <w:rPr>
                <w:color w:val="000000" w:themeColor="text1"/>
                <w:sz w:val="21"/>
                <w:szCs w:val="21"/>
              </w:rPr>
            </w:pPr>
          </w:p>
        </w:tc>
        <w:tc>
          <w:tcPr>
            <w:tcW w:w="1373" w:type="dxa"/>
            <w:tcBorders>
              <w:top w:val="single" w:sz="4" w:space="0" w:color="000000"/>
              <w:left w:val="single" w:sz="4" w:space="0" w:color="000000"/>
              <w:bottom w:val="single" w:sz="4" w:space="0" w:color="000000"/>
              <w:right w:val="single" w:sz="4" w:space="0" w:color="000000"/>
            </w:tcBorders>
            <w:noWrap/>
            <w:vAlign w:val="center"/>
          </w:tcPr>
          <w:p w14:paraId="5F91CF4C"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顶棚外</w:t>
            </w:r>
          </w:p>
          <w:p w14:paraId="77CA83DA"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782" w:type="dxa"/>
            <w:tcBorders>
              <w:top w:val="single" w:sz="4" w:space="0" w:color="000000"/>
              <w:left w:val="single" w:sz="4" w:space="0" w:color="000000"/>
              <w:bottom w:val="single" w:sz="4" w:space="0" w:color="000000"/>
              <w:right w:val="single" w:sz="4" w:space="0" w:color="000000"/>
            </w:tcBorders>
            <w:noWrap/>
            <w:vAlign w:val="center"/>
          </w:tcPr>
          <w:p w14:paraId="2F313BF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70mmPb+</w:t>
            </w:r>
            <w:r w:rsidRPr="00B12FE0">
              <w:rPr>
                <w:rFonts w:hint="eastAsia"/>
                <w:color w:val="000000" w:themeColor="text1"/>
                <w:sz w:val="21"/>
                <w:szCs w:val="21"/>
              </w:rPr>
              <w:t>25</w:t>
            </w:r>
            <w:r w:rsidRPr="00B12FE0">
              <w:rPr>
                <w:color w:val="000000" w:themeColor="text1"/>
                <w:sz w:val="21"/>
                <w:szCs w:val="21"/>
              </w:rPr>
              <w:t>0mm</w:t>
            </w:r>
            <w:r w:rsidRPr="00B12FE0">
              <w:rPr>
                <w:color w:val="000000" w:themeColor="text1"/>
                <w:sz w:val="21"/>
                <w:szCs w:val="21"/>
              </w:rPr>
              <w:t>混凝土</w:t>
            </w:r>
          </w:p>
        </w:tc>
        <w:tc>
          <w:tcPr>
            <w:tcW w:w="1616" w:type="dxa"/>
            <w:tcBorders>
              <w:top w:val="single" w:sz="4" w:space="0" w:color="000000"/>
              <w:left w:val="single" w:sz="4" w:space="0" w:color="000000"/>
              <w:bottom w:val="single" w:sz="4" w:space="0" w:color="000000"/>
              <w:right w:val="single" w:sz="4" w:space="0" w:color="000000"/>
            </w:tcBorders>
            <w:noWrap/>
            <w:vAlign w:val="center"/>
          </w:tcPr>
          <w:p w14:paraId="0ED5DFED"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4.44</w:t>
            </w:r>
            <w:r w:rsidRPr="00B12FE0">
              <w:rPr>
                <w:color w:val="000000" w:themeColor="text1"/>
                <w:sz w:val="21"/>
                <w:szCs w:val="21"/>
              </w:rPr>
              <w:t>×10</w:t>
            </w:r>
            <w:r w:rsidRPr="00B12FE0">
              <w:rPr>
                <w:color w:val="000000" w:themeColor="text1"/>
                <w:sz w:val="21"/>
                <w:szCs w:val="21"/>
                <w:vertAlign w:val="superscript"/>
              </w:rPr>
              <w:t>4</w:t>
            </w:r>
          </w:p>
        </w:tc>
        <w:tc>
          <w:tcPr>
            <w:tcW w:w="859" w:type="dxa"/>
            <w:tcBorders>
              <w:top w:val="single" w:sz="4" w:space="0" w:color="000000"/>
              <w:left w:val="single" w:sz="4" w:space="0" w:color="000000"/>
              <w:bottom w:val="single" w:sz="4" w:space="0" w:color="000000"/>
              <w:right w:val="single" w:sz="4" w:space="0" w:color="000000"/>
            </w:tcBorders>
            <w:noWrap/>
            <w:vAlign w:val="center"/>
          </w:tcPr>
          <w:p w14:paraId="3DFC4A3C"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0.143</w:t>
            </w:r>
          </w:p>
        </w:tc>
        <w:tc>
          <w:tcPr>
            <w:tcW w:w="649" w:type="dxa"/>
            <w:tcBorders>
              <w:top w:val="single" w:sz="4" w:space="0" w:color="000000"/>
              <w:left w:val="single" w:sz="4" w:space="0" w:color="000000"/>
              <w:bottom w:val="single" w:sz="4" w:space="0" w:color="000000"/>
              <w:right w:val="single" w:sz="4" w:space="0" w:color="000000"/>
            </w:tcBorders>
            <w:noWrap/>
            <w:vAlign w:val="center"/>
          </w:tcPr>
          <w:p w14:paraId="12B8B00C"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3.8</w:t>
            </w:r>
            <w:r w:rsidRPr="00B12FE0">
              <w:rPr>
                <w:snapToGrid w:val="0"/>
                <w:color w:val="000000" w:themeColor="text1"/>
                <w:kern w:val="0"/>
                <w:sz w:val="21"/>
                <w:szCs w:val="21"/>
                <w:lang w:bidi="ar"/>
              </w:rPr>
              <w:t xml:space="preserve"> </w:t>
            </w:r>
          </w:p>
        </w:tc>
        <w:tc>
          <w:tcPr>
            <w:tcW w:w="1126" w:type="dxa"/>
            <w:tcBorders>
              <w:top w:val="single" w:sz="4" w:space="0" w:color="000000"/>
              <w:left w:val="single" w:sz="4" w:space="0" w:color="000000"/>
              <w:bottom w:val="single" w:sz="4" w:space="0" w:color="000000"/>
              <w:right w:val="single" w:sz="4" w:space="0" w:color="000000"/>
            </w:tcBorders>
            <w:noWrap/>
            <w:vAlign w:val="center"/>
          </w:tcPr>
          <w:p w14:paraId="52468471"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5.55E-03</w:t>
            </w:r>
          </w:p>
        </w:tc>
      </w:tr>
    </w:tbl>
    <w:p w14:paraId="040119D5" w14:textId="77777777" w:rsidR="00A67F21" w:rsidRPr="00B12FE0" w:rsidRDefault="00000000">
      <w:pPr>
        <w:adjustRightInd w:val="0"/>
        <w:snapToGrid w:val="0"/>
        <w:spacing w:beforeLines="50" w:before="120" w:line="360" w:lineRule="auto"/>
        <w:ind w:firstLineChars="200" w:firstLine="480"/>
        <w:rPr>
          <w:color w:val="000000" w:themeColor="text1"/>
          <w:szCs w:val="24"/>
        </w:rPr>
      </w:pPr>
      <w:r w:rsidRPr="00B12FE0">
        <w:rPr>
          <w:color w:val="000000" w:themeColor="text1"/>
          <w:szCs w:val="24"/>
        </w:rPr>
        <w:t>由表</w:t>
      </w:r>
      <w:r w:rsidRPr="00B12FE0">
        <w:rPr>
          <w:color w:val="000000" w:themeColor="text1"/>
          <w:szCs w:val="24"/>
        </w:rPr>
        <w:t>11.2.1.1-5</w:t>
      </w:r>
      <w:r w:rsidRPr="00B12FE0">
        <w:rPr>
          <w:color w:val="000000" w:themeColor="text1"/>
          <w:szCs w:val="24"/>
        </w:rPr>
        <w:t>可知，正常工作状态下，合成分装柜表面</w:t>
      </w:r>
      <w:r w:rsidRPr="00B12FE0">
        <w:rPr>
          <w:color w:val="000000" w:themeColor="text1"/>
          <w:szCs w:val="24"/>
        </w:rPr>
        <w:t>30cm</w:t>
      </w:r>
      <w:r w:rsidRPr="00B12FE0">
        <w:rPr>
          <w:color w:val="000000" w:themeColor="text1"/>
          <w:szCs w:val="24"/>
        </w:rPr>
        <w:t>处的辐射剂量率为</w:t>
      </w:r>
      <w:r w:rsidRPr="00B12FE0">
        <w:rPr>
          <w:rFonts w:hint="eastAsia"/>
          <w:color w:val="000000" w:themeColor="text1"/>
          <w:szCs w:val="24"/>
        </w:rPr>
        <w:lastRenderedPageBreak/>
        <w:t>1.54</w:t>
      </w:r>
      <w:r w:rsidRPr="00B12FE0">
        <w:rPr>
          <w:color w:val="000000" w:themeColor="text1"/>
          <w:szCs w:val="24"/>
        </w:rPr>
        <w:t>μSv/h</w:t>
      </w:r>
      <w:r w:rsidRPr="00B12FE0">
        <w:rPr>
          <w:color w:val="000000" w:themeColor="text1"/>
          <w:szCs w:val="24"/>
        </w:rPr>
        <w:t>，热室房间屏蔽墙、防护门外</w:t>
      </w:r>
      <w:r w:rsidRPr="00B12FE0">
        <w:rPr>
          <w:color w:val="000000" w:themeColor="text1"/>
          <w:szCs w:val="24"/>
        </w:rPr>
        <w:t>30cm</w:t>
      </w:r>
      <w:r w:rsidRPr="00B12FE0">
        <w:rPr>
          <w:color w:val="000000" w:themeColor="text1"/>
          <w:szCs w:val="24"/>
        </w:rPr>
        <w:t>处</w:t>
      </w:r>
      <w:r w:rsidRPr="00B12FE0">
        <w:rPr>
          <w:rFonts w:hint="eastAsia"/>
          <w:color w:val="000000" w:themeColor="text1"/>
          <w:szCs w:val="24"/>
        </w:rPr>
        <w:t>最大</w:t>
      </w:r>
      <w:r w:rsidRPr="00B12FE0">
        <w:rPr>
          <w:color w:val="000000" w:themeColor="text1"/>
          <w:szCs w:val="24"/>
        </w:rPr>
        <w:t>辐射剂量率为</w:t>
      </w:r>
      <w:r w:rsidRPr="00B12FE0">
        <w:rPr>
          <w:color w:val="000000" w:themeColor="text1"/>
          <w:szCs w:val="24"/>
        </w:rPr>
        <w:t>1.92E-02μSv/h</w:t>
      </w:r>
      <w:r w:rsidRPr="00B12FE0">
        <w:rPr>
          <w:color w:val="000000" w:themeColor="text1"/>
          <w:szCs w:val="24"/>
        </w:rPr>
        <w:t>，满足《核医学科辐射防护与安全要求》（</w:t>
      </w:r>
      <w:r w:rsidRPr="00B12FE0">
        <w:rPr>
          <w:color w:val="000000" w:themeColor="text1"/>
          <w:szCs w:val="24"/>
        </w:rPr>
        <w:t>HJ1188-2021</w:t>
      </w:r>
      <w:r w:rsidRPr="00B12FE0">
        <w:rPr>
          <w:color w:val="000000" w:themeColor="text1"/>
          <w:szCs w:val="24"/>
        </w:rPr>
        <w:t>）中</w:t>
      </w:r>
      <w:r w:rsidRPr="00B12FE0">
        <w:rPr>
          <w:color w:val="000000" w:themeColor="text1"/>
          <w:szCs w:val="24"/>
        </w:rPr>
        <w:t>“</w:t>
      </w:r>
      <w:r w:rsidRPr="00B12FE0">
        <w:rPr>
          <w:color w:val="000000" w:themeColor="text1"/>
          <w:szCs w:val="24"/>
        </w:rPr>
        <w:t>距核医学工作场所各控制区内房间防护门、观察窗和墙壁外表面</w:t>
      </w:r>
      <w:r w:rsidRPr="00B12FE0">
        <w:rPr>
          <w:color w:val="000000" w:themeColor="text1"/>
          <w:szCs w:val="24"/>
        </w:rPr>
        <w:t>30cm</w:t>
      </w:r>
      <w:r w:rsidRPr="00B12FE0">
        <w:rPr>
          <w:color w:val="000000" w:themeColor="text1"/>
          <w:szCs w:val="24"/>
        </w:rPr>
        <w:t>处的周围剂量当量率应小于</w:t>
      </w:r>
      <w:r w:rsidRPr="00B12FE0">
        <w:rPr>
          <w:color w:val="000000" w:themeColor="text1"/>
          <w:szCs w:val="24"/>
        </w:rPr>
        <w:t>2.5μSvh</w:t>
      </w:r>
      <w:r w:rsidRPr="00B12FE0">
        <w:rPr>
          <w:color w:val="000000" w:themeColor="text1"/>
          <w:szCs w:val="24"/>
        </w:rPr>
        <w:t>；</w:t>
      </w:r>
      <w:r w:rsidRPr="00B12FE0">
        <w:rPr>
          <w:bCs/>
          <w:snapToGrid w:val="0"/>
          <w:color w:val="000000" w:themeColor="text1"/>
          <w:szCs w:val="24"/>
          <w:lang w:bidi="ar"/>
        </w:rPr>
        <w:t>放射性药物合成和分装的箱体、通风柜、注射窗等设备外表面</w:t>
      </w:r>
      <w:r w:rsidRPr="00B12FE0">
        <w:rPr>
          <w:bCs/>
          <w:snapToGrid w:val="0"/>
          <w:color w:val="000000" w:themeColor="text1"/>
          <w:szCs w:val="24"/>
          <w:lang w:bidi="ar"/>
        </w:rPr>
        <w:t>30cm</w:t>
      </w:r>
      <w:r w:rsidRPr="00B12FE0">
        <w:rPr>
          <w:bCs/>
          <w:snapToGrid w:val="0"/>
          <w:color w:val="000000" w:themeColor="text1"/>
          <w:szCs w:val="24"/>
          <w:lang w:bidi="ar"/>
        </w:rPr>
        <w:t>处人员操作位的</w:t>
      </w:r>
      <w:r w:rsidRPr="00B12FE0">
        <w:rPr>
          <w:color w:val="000000" w:themeColor="text1"/>
          <w:szCs w:val="24"/>
        </w:rPr>
        <w:t>周围剂量当量率应小于</w:t>
      </w:r>
      <w:r w:rsidRPr="00B12FE0">
        <w:rPr>
          <w:color w:val="000000" w:themeColor="text1"/>
          <w:szCs w:val="24"/>
        </w:rPr>
        <w:t>2.5μSvh</w:t>
      </w:r>
      <w:r w:rsidRPr="00B12FE0">
        <w:rPr>
          <w:color w:val="000000" w:themeColor="text1"/>
          <w:szCs w:val="24"/>
        </w:rPr>
        <w:t>；</w:t>
      </w:r>
      <w:r w:rsidRPr="00B12FE0">
        <w:rPr>
          <w:bCs/>
          <w:snapToGrid w:val="0"/>
          <w:color w:val="000000" w:themeColor="text1"/>
          <w:szCs w:val="24"/>
          <w:lang w:bidi="ar"/>
        </w:rPr>
        <w:t>放射性药物合成和分装箱体非正对人员操作位表面</w:t>
      </w:r>
      <w:r w:rsidRPr="00B12FE0">
        <w:rPr>
          <w:bCs/>
          <w:snapToGrid w:val="0"/>
          <w:color w:val="000000" w:themeColor="text1"/>
          <w:szCs w:val="24"/>
          <w:lang w:bidi="ar"/>
        </w:rPr>
        <w:t>30cm</w:t>
      </w:r>
      <w:r w:rsidRPr="00B12FE0">
        <w:rPr>
          <w:bCs/>
          <w:snapToGrid w:val="0"/>
          <w:color w:val="000000" w:themeColor="text1"/>
          <w:szCs w:val="24"/>
          <w:lang w:bidi="ar"/>
        </w:rPr>
        <w:t>处的</w:t>
      </w:r>
      <w:r w:rsidRPr="00B12FE0">
        <w:rPr>
          <w:color w:val="000000" w:themeColor="text1"/>
          <w:szCs w:val="24"/>
        </w:rPr>
        <w:t>周围剂量当量率应小于</w:t>
      </w:r>
      <w:r w:rsidRPr="00B12FE0">
        <w:rPr>
          <w:color w:val="000000" w:themeColor="text1"/>
          <w:szCs w:val="24"/>
        </w:rPr>
        <w:t>25μSvh</w:t>
      </w:r>
      <w:r w:rsidRPr="00B12FE0">
        <w:rPr>
          <w:color w:val="000000" w:themeColor="text1"/>
          <w:szCs w:val="24"/>
        </w:rPr>
        <w:t>。</w:t>
      </w:r>
      <w:r w:rsidRPr="00B12FE0">
        <w:rPr>
          <w:color w:val="000000" w:themeColor="text1"/>
          <w:szCs w:val="24"/>
        </w:rPr>
        <w:t>”</w:t>
      </w:r>
      <w:r w:rsidRPr="00B12FE0">
        <w:rPr>
          <w:color w:val="000000" w:themeColor="text1"/>
          <w:szCs w:val="24"/>
        </w:rPr>
        <w:t>的要求。</w:t>
      </w:r>
    </w:p>
    <w:p w14:paraId="3948C28B" w14:textId="77777777" w:rsidR="00A67F21" w:rsidRPr="00B12FE0" w:rsidRDefault="00000000">
      <w:pPr>
        <w:adjustRightInd w:val="0"/>
        <w:snapToGrid w:val="0"/>
        <w:spacing w:line="360" w:lineRule="auto"/>
        <w:ind w:firstLineChars="200" w:firstLine="482"/>
        <w:rPr>
          <w:b/>
          <w:bCs/>
          <w:snapToGrid w:val="0"/>
          <w:color w:val="000000" w:themeColor="text1"/>
          <w:szCs w:val="24"/>
        </w:rPr>
      </w:pPr>
      <w:r w:rsidRPr="00B12FE0">
        <w:rPr>
          <w:rFonts w:ascii="Cambria Math" w:hAnsi="Cambria Math" w:cs="Cambria Math"/>
          <w:b/>
          <w:snapToGrid w:val="0"/>
          <w:color w:val="000000" w:themeColor="text1"/>
          <w:kern w:val="0"/>
          <w:szCs w:val="24"/>
        </w:rPr>
        <w:t>⑤</w:t>
      </w:r>
      <w:proofErr w:type="gramStart"/>
      <w:r w:rsidRPr="00B12FE0">
        <w:rPr>
          <w:b/>
          <w:snapToGrid w:val="0"/>
          <w:color w:val="000000" w:themeColor="text1"/>
          <w:kern w:val="0"/>
          <w:szCs w:val="24"/>
        </w:rPr>
        <w:t>质控及转运</w:t>
      </w:r>
      <w:proofErr w:type="gramEnd"/>
      <w:r w:rsidRPr="00B12FE0">
        <w:rPr>
          <w:b/>
          <w:snapToGrid w:val="0"/>
          <w:color w:val="000000" w:themeColor="text1"/>
          <w:kern w:val="0"/>
          <w:szCs w:val="24"/>
        </w:rPr>
        <w:t>过程</w:t>
      </w:r>
      <w:r w:rsidRPr="00B12FE0">
        <w:rPr>
          <w:b/>
          <w:bCs/>
          <w:snapToGrid w:val="0"/>
          <w:color w:val="000000" w:themeColor="text1"/>
          <w:szCs w:val="24"/>
        </w:rPr>
        <w:t>辐射剂量率预测</w:t>
      </w:r>
    </w:p>
    <w:p w14:paraId="375C10E2"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snapToGrid w:val="0"/>
          <w:color w:val="000000" w:themeColor="text1"/>
          <w:kern w:val="0"/>
          <w:szCs w:val="24"/>
        </w:rPr>
        <w:t>回旋正电子</w:t>
      </w:r>
      <w:r w:rsidRPr="00B12FE0">
        <w:rPr>
          <w:snapToGrid w:val="0"/>
          <w:color w:val="000000" w:themeColor="text1"/>
          <w:szCs w:val="24"/>
        </w:rPr>
        <w:t>药物制备完成后，工作人员进入热室房间将合成分装柜内装有药物</w:t>
      </w:r>
      <w:proofErr w:type="gramStart"/>
      <w:r w:rsidRPr="00B12FE0">
        <w:rPr>
          <w:snapToGrid w:val="0"/>
          <w:color w:val="000000" w:themeColor="text1"/>
          <w:szCs w:val="24"/>
        </w:rPr>
        <w:t>的铅罐取出</w:t>
      </w:r>
      <w:proofErr w:type="gramEnd"/>
      <w:r w:rsidRPr="00B12FE0">
        <w:rPr>
          <w:snapToGrid w:val="0"/>
          <w:color w:val="000000" w:themeColor="text1"/>
          <w:szCs w:val="24"/>
        </w:rPr>
        <w:t>，药物</w:t>
      </w:r>
      <w:proofErr w:type="gramStart"/>
      <w:r w:rsidRPr="00B12FE0">
        <w:rPr>
          <w:snapToGrid w:val="0"/>
          <w:color w:val="000000" w:themeColor="text1"/>
          <w:szCs w:val="24"/>
        </w:rPr>
        <w:t>铅罐</w:t>
      </w:r>
      <w:r w:rsidRPr="00B12FE0">
        <w:rPr>
          <w:snapToGrid w:val="0"/>
          <w:color w:val="000000" w:themeColor="text1"/>
          <w:kern w:val="0"/>
          <w:szCs w:val="24"/>
        </w:rPr>
        <w:t>通过</w:t>
      </w:r>
      <w:proofErr w:type="gramEnd"/>
      <w:r w:rsidRPr="00B12FE0">
        <w:rPr>
          <w:snapToGrid w:val="0"/>
          <w:color w:val="000000" w:themeColor="text1"/>
          <w:kern w:val="0"/>
          <w:szCs w:val="24"/>
        </w:rPr>
        <w:t>药物传递窗送达</w:t>
      </w:r>
      <w:r w:rsidRPr="00B12FE0">
        <w:rPr>
          <w:snapToGrid w:val="0"/>
          <w:color w:val="000000" w:themeColor="text1"/>
          <w:szCs w:val="24"/>
        </w:rPr>
        <w:t>外包间，药物</w:t>
      </w:r>
      <w:proofErr w:type="gramStart"/>
      <w:r w:rsidRPr="00B12FE0">
        <w:rPr>
          <w:snapToGrid w:val="0"/>
          <w:color w:val="000000" w:themeColor="text1"/>
          <w:szCs w:val="24"/>
        </w:rPr>
        <w:t>铅罐使用</w:t>
      </w:r>
      <w:proofErr w:type="gramEnd"/>
      <w:r w:rsidRPr="00B12FE0">
        <w:rPr>
          <w:snapToGrid w:val="0"/>
          <w:color w:val="000000" w:themeColor="text1"/>
          <w:szCs w:val="24"/>
        </w:rPr>
        <w:t>长柄转运小推车进行药物转运。身体与转运铅罐（</w:t>
      </w:r>
      <w:r w:rsidRPr="00B12FE0">
        <w:rPr>
          <w:snapToGrid w:val="0"/>
          <w:color w:val="000000" w:themeColor="text1"/>
          <w:szCs w:val="24"/>
        </w:rPr>
        <w:t>50mmPb</w:t>
      </w:r>
      <w:r w:rsidRPr="00B12FE0">
        <w:rPr>
          <w:snapToGrid w:val="0"/>
          <w:color w:val="000000" w:themeColor="text1"/>
          <w:szCs w:val="24"/>
        </w:rPr>
        <w:t>）的直线距离取</w:t>
      </w:r>
      <w:r w:rsidRPr="00B12FE0">
        <w:rPr>
          <w:snapToGrid w:val="0"/>
          <w:color w:val="000000" w:themeColor="text1"/>
          <w:szCs w:val="24"/>
        </w:rPr>
        <w:t>1m</w:t>
      </w:r>
      <w:r w:rsidRPr="00B12FE0">
        <w:rPr>
          <w:snapToGrid w:val="0"/>
          <w:color w:val="000000" w:themeColor="text1"/>
          <w:szCs w:val="24"/>
        </w:rPr>
        <w:t>。核素药物制备完成后需要进行质控，药物取</w:t>
      </w:r>
      <w:r w:rsidRPr="00B12FE0">
        <w:rPr>
          <w:snapToGrid w:val="0"/>
          <w:color w:val="000000" w:themeColor="text1"/>
          <w:szCs w:val="24"/>
        </w:rPr>
        <w:t>100μCi</w:t>
      </w:r>
      <w:r w:rsidRPr="00B12FE0">
        <w:rPr>
          <w:snapToGrid w:val="0"/>
          <w:color w:val="000000" w:themeColor="text1"/>
          <w:szCs w:val="24"/>
        </w:rPr>
        <w:t>药物在通风橱（</w:t>
      </w:r>
      <w:r w:rsidRPr="00B12FE0">
        <w:rPr>
          <w:snapToGrid w:val="0"/>
          <w:color w:val="000000" w:themeColor="text1"/>
          <w:szCs w:val="24"/>
        </w:rPr>
        <w:t>10mmPb</w:t>
      </w:r>
      <w:r w:rsidRPr="00B12FE0">
        <w:rPr>
          <w:snapToGrid w:val="0"/>
          <w:color w:val="000000" w:themeColor="text1"/>
          <w:szCs w:val="24"/>
        </w:rPr>
        <w:t>）中进行质控，每天质控</w:t>
      </w:r>
      <w:r w:rsidRPr="00B12FE0">
        <w:rPr>
          <w:rFonts w:hint="eastAsia"/>
          <w:snapToGrid w:val="0"/>
          <w:color w:val="000000" w:themeColor="text1"/>
          <w:szCs w:val="24"/>
        </w:rPr>
        <w:t>2</w:t>
      </w:r>
      <w:r w:rsidRPr="00B12FE0">
        <w:rPr>
          <w:snapToGrid w:val="0"/>
          <w:color w:val="000000" w:themeColor="text1"/>
          <w:szCs w:val="24"/>
        </w:rPr>
        <w:t>次，身体与药物的直线距离取</w:t>
      </w:r>
      <w:r w:rsidRPr="00B12FE0">
        <w:rPr>
          <w:snapToGrid w:val="0"/>
          <w:color w:val="000000" w:themeColor="text1"/>
          <w:szCs w:val="24"/>
        </w:rPr>
        <w:t>0.5m</w:t>
      </w:r>
      <w:r w:rsidRPr="00B12FE0">
        <w:rPr>
          <w:snapToGrid w:val="0"/>
          <w:color w:val="000000" w:themeColor="text1"/>
          <w:szCs w:val="24"/>
        </w:rPr>
        <w:t>。估算结果见下表所示。</w:t>
      </w:r>
    </w:p>
    <w:p w14:paraId="62008564" w14:textId="77777777" w:rsidR="00A67F21" w:rsidRPr="00B12FE0" w:rsidRDefault="00000000">
      <w:pPr>
        <w:adjustRightInd w:val="0"/>
        <w:snapToGrid w:val="0"/>
        <w:spacing w:line="360" w:lineRule="auto"/>
        <w:ind w:firstLineChars="100" w:firstLine="211"/>
        <w:jc w:val="center"/>
        <w:rPr>
          <w:b/>
          <w:snapToGrid w:val="0"/>
          <w:color w:val="000000" w:themeColor="text1"/>
          <w:kern w:val="0"/>
          <w:sz w:val="21"/>
          <w:szCs w:val="21"/>
        </w:rPr>
      </w:pPr>
      <w:r w:rsidRPr="00B12FE0">
        <w:rPr>
          <w:b/>
          <w:snapToGrid w:val="0"/>
          <w:color w:val="000000" w:themeColor="text1"/>
          <w:kern w:val="0"/>
          <w:sz w:val="21"/>
          <w:szCs w:val="21"/>
        </w:rPr>
        <w:t>表</w:t>
      </w:r>
      <w:r w:rsidRPr="00B12FE0">
        <w:rPr>
          <w:b/>
          <w:snapToGrid w:val="0"/>
          <w:color w:val="000000" w:themeColor="text1"/>
          <w:sz w:val="21"/>
          <w:szCs w:val="24"/>
        </w:rPr>
        <w:t xml:space="preserve">11.2.1.1-6  </w:t>
      </w:r>
      <w:proofErr w:type="gramStart"/>
      <w:r w:rsidRPr="00B12FE0">
        <w:rPr>
          <w:b/>
          <w:snapToGrid w:val="0"/>
          <w:color w:val="000000" w:themeColor="text1"/>
          <w:kern w:val="0"/>
          <w:sz w:val="21"/>
          <w:szCs w:val="21"/>
        </w:rPr>
        <w:t>质控及转运</w:t>
      </w:r>
      <w:proofErr w:type="gramEnd"/>
      <w:r w:rsidRPr="00B12FE0">
        <w:rPr>
          <w:b/>
          <w:snapToGrid w:val="0"/>
          <w:color w:val="000000" w:themeColor="text1"/>
          <w:kern w:val="0"/>
          <w:sz w:val="21"/>
          <w:szCs w:val="21"/>
        </w:rPr>
        <w:t>过程人员位置的剂量率估算结果表</w:t>
      </w:r>
    </w:p>
    <w:tbl>
      <w:tblPr>
        <w:tblW w:w="8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8"/>
        <w:gridCol w:w="600"/>
        <w:gridCol w:w="1684"/>
        <w:gridCol w:w="1559"/>
        <w:gridCol w:w="1134"/>
        <w:gridCol w:w="1134"/>
        <w:gridCol w:w="911"/>
        <w:gridCol w:w="1222"/>
      </w:tblGrid>
      <w:tr w:rsidR="00A67F21" w:rsidRPr="00B12FE0" w14:paraId="794AEEF2" w14:textId="77777777">
        <w:trPr>
          <w:trHeight w:val="282"/>
        </w:trPr>
        <w:tc>
          <w:tcPr>
            <w:tcW w:w="688" w:type="dxa"/>
            <w:vMerge w:val="restart"/>
            <w:tcBorders>
              <w:tl2br w:val="nil"/>
              <w:tr2bl w:val="nil"/>
            </w:tcBorders>
            <w:noWrap/>
            <w:vAlign w:val="center"/>
          </w:tcPr>
          <w:p w14:paraId="490A3E9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序号</w:t>
            </w:r>
          </w:p>
        </w:tc>
        <w:tc>
          <w:tcPr>
            <w:tcW w:w="600" w:type="dxa"/>
            <w:vMerge w:val="restart"/>
            <w:tcBorders>
              <w:tl2br w:val="nil"/>
              <w:tr2bl w:val="nil"/>
            </w:tcBorders>
            <w:vAlign w:val="center"/>
          </w:tcPr>
          <w:p w14:paraId="291125D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屏蔽体</w:t>
            </w:r>
          </w:p>
        </w:tc>
        <w:tc>
          <w:tcPr>
            <w:tcW w:w="1684" w:type="dxa"/>
            <w:vMerge w:val="restart"/>
            <w:tcBorders>
              <w:tl2br w:val="nil"/>
              <w:tr2bl w:val="nil"/>
            </w:tcBorders>
            <w:vAlign w:val="center"/>
          </w:tcPr>
          <w:p w14:paraId="11E4846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位置</w:t>
            </w:r>
          </w:p>
        </w:tc>
        <w:tc>
          <w:tcPr>
            <w:tcW w:w="1559" w:type="dxa"/>
            <w:vMerge w:val="restart"/>
            <w:tcBorders>
              <w:tl2br w:val="nil"/>
              <w:tr2bl w:val="nil"/>
            </w:tcBorders>
            <w:vAlign w:val="center"/>
          </w:tcPr>
          <w:p w14:paraId="06B8A6E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4"/>
              </w:rPr>
              <w:t>屏蔽防护设计</w:t>
            </w:r>
          </w:p>
        </w:tc>
        <w:tc>
          <w:tcPr>
            <w:tcW w:w="1134" w:type="dxa"/>
            <w:vMerge w:val="restart"/>
            <w:tcBorders>
              <w:tl2br w:val="nil"/>
              <w:tr2bl w:val="nil"/>
            </w:tcBorders>
            <w:noWrap/>
            <w:vAlign w:val="center"/>
          </w:tcPr>
          <w:p w14:paraId="74E7E84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A</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MBq</w:t>
            </w:r>
            <w:r w:rsidRPr="00B12FE0">
              <w:rPr>
                <w:snapToGrid w:val="0"/>
                <w:color w:val="000000" w:themeColor="text1"/>
                <w:kern w:val="0"/>
                <w:sz w:val="21"/>
                <w:szCs w:val="21"/>
                <w:lang w:bidi="ar"/>
              </w:rPr>
              <w:t>）</w:t>
            </w:r>
          </w:p>
        </w:tc>
        <w:tc>
          <w:tcPr>
            <w:tcW w:w="1134" w:type="dxa"/>
            <w:vMerge w:val="restart"/>
            <w:tcBorders>
              <w:tl2br w:val="nil"/>
              <w:tr2bl w:val="nil"/>
            </w:tcBorders>
            <w:noWrap/>
            <w:vAlign w:val="center"/>
          </w:tcPr>
          <w:p w14:paraId="7FC7998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Γ</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μSv·m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h·MBq</w:t>
            </w:r>
            <w:proofErr w:type="spellEnd"/>
            <w:r w:rsidRPr="00B12FE0">
              <w:rPr>
                <w:snapToGrid w:val="0"/>
                <w:color w:val="000000" w:themeColor="text1"/>
                <w:kern w:val="0"/>
                <w:sz w:val="21"/>
                <w:szCs w:val="21"/>
                <w:lang w:bidi="ar"/>
              </w:rPr>
              <w:t>)</w:t>
            </w:r>
            <w:r w:rsidRPr="00B12FE0">
              <w:rPr>
                <w:snapToGrid w:val="0"/>
                <w:color w:val="000000" w:themeColor="text1"/>
                <w:kern w:val="0"/>
                <w:sz w:val="21"/>
                <w:szCs w:val="21"/>
                <w:lang w:bidi="ar"/>
              </w:rPr>
              <w:t>）</w:t>
            </w:r>
          </w:p>
        </w:tc>
        <w:tc>
          <w:tcPr>
            <w:tcW w:w="911" w:type="dxa"/>
            <w:vMerge w:val="restart"/>
            <w:tcBorders>
              <w:tl2br w:val="nil"/>
              <w:tr2bl w:val="nil"/>
            </w:tcBorders>
            <w:vAlign w:val="center"/>
          </w:tcPr>
          <w:p w14:paraId="2759BBD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lang w:bidi="ar"/>
              </w:rPr>
              <w:t>距离（</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222" w:type="dxa"/>
            <w:vMerge w:val="restart"/>
            <w:tcBorders>
              <w:tl2br w:val="nil"/>
              <w:tr2bl w:val="nil"/>
            </w:tcBorders>
            <w:vAlign w:val="center"/>
          </w:tcPr>
          <w:p w14:paraId="3888F5D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辐射剂量率（</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r>
      <w:tr w:rsidR="00A67F21" w:rsidRPr="00B12FE0" w14:paraId="698D4916" w14:textId="77777777">
        <w:trPr>
          <w:trHeight w:val="283"/>
        </w:trPr>
        <w:tc>
          <w:tcPr>
            <w:tcW w:w="688" w:type="dxa"/>
            <w:vMerge/>
            <w:tcBorders>
              <w:tl2br w:val="nil"/>
              <w:tr2bl w:val="nil"/>
            </w:tcBorders>
            <w:noWrap/>
            <w:vAlign w:val="center"/>
          </w:tcPr>
          <w:p w14:paraId="4ABDB792" w14:textId="77777777" w:rsidR="00A67F21" w:rsidRPr="00B12FE0" w:rsidRDefault="00A67F21">
            <w:pPr>
              <w:jc w:val="center"/>
              <w:rPr>
                <w:snapToGrid w:val="0"/>
                <w:color w:val="000000" w:themeColor="text1"/>
                <w:sz w:val="21"/>
                <w:szCs w:val="21"/>
              </w:rPr>
            </w:pPr>
          </w:p>
        </w:tc>
        <w:tc>
          <w:tcPr>
            <w:tcW w:w="600" w:type="dxa"/>
            <w:vMerge/>
            <w:tcBorders>
              <w:tl2br w:val="nil"/>
              <w:tr2bl w:val="nil"/>
            </w:tcBorders>
            <w:vAlign w:val="center"/>
          </w:tcPr>
          <w:p w14:paraId="6B38270A" w14:textId="77777777" w:rsidR="00A67F21" w:rsidRPr="00B12FE0" w:rsidRDefault="00A67F21">
            <w:pPr>
              <w:jc w:val="center"/>
              <w:rPr>
                <w:snapToGrid w:val="0"/>
                <w:color w:val="000000" w:themeColor="text1"/>
                <w:sz w:val="21"/>
                <w:szCs w:val="21"/>
              </w:rPr>
            </w:pPr>
          </w:p>
        </w:tc>
        <w:tc>
          <w:tcPr>
            <w:tcW w:w="1684" w:type="dxa"/>
            <w:vMerge/>
            <w:tcBorders>
              <w:tl2br w:val="nil"/>
              <w:tr2bl w:val="nil"/>
            </w:tcBorders>
            <w:vAlign w:val="center"/>
          </w:tcPr>
          <w:p w14:paraId="643EA404" w14:textId="77777777" w:rsidR="00A67F21" w:rsidRPr="00B12FE0" w:rsidRDefault="00A67F21">
            <w:pPr>
              <w:jc w:val="center"/>
              <w:rPr>
                <w:snapToGrid w:val="0"/>
                <w:color w:val="000000" w:themeColor="text1"/>
                <w:sz w:val="21"/>
                <w:szCs w:val="21"/>
              </w:rPr>
            </w:pPr>
          </w:p>
        </w:tc>
        <w:tc>
          <w:tcPr>
            <w:tcW w:w="1559" w:type="dxa"/>
            <w:vMerge/>
            <w:tcBorders>
              <w:tl2br w:val="nil"/>
              <w:tr2bl w:val="nil"/>
            </w:tcBorders>
            <w:vAlign w:val="center"/>
          </w:tcPr>
          <w:p w14:paraId="5227112F" w14:textId="77777777" w:rsidR="00A67F21" w:rsidRPr="00B12FE0" w:rsidRDefault="00A67F21">
            <w:pPr>
              <w:jc w:val="center"/>
              <w:rPr>
                <w:snapToGrid w:val="0"/>
                <w:color w:val="000000" w:themeColor="text1"/>
                <w:sz w:val="21"/>
                <w:szCs w:val="21"/>
              </w:rPr>
            </w:pPr>
          </w:p>
        </w:tc>
        <w:tc>
          <w:tcPr>
            <w:tcW w:w="1134" w:type="dxa"/>
            <w:vMerge/>
            <w:tcBorders>
              <w:tl2br w:val="nil"/>
              <w:tr2bl w:val="nil"/>
            </w:tcBorders>
            <w:noWrap/>
            <w:vAlign w:val="center"/>
          </w:tcPr>
          <w:p w14:paraId="3FCB08D9" w14:textId="77777777" w:rsidR="00A67F21" w:rsidRPr="00B12FE0" w:rsidRDefault="00A67F21">
            <w:pPr>
              <w:jc w:val="center"/>
              <w:rPr>
                <w:snapToGrid w:val="0"/>
                <w:color w:val="000000" w:themeColor="text1"/>
                <w:sz w:val="21"/>
                <w:szCs w:val="21"/>
              </w:rPr>
            </w:pPr>
          </w:p>
        </w:tc>
        <w:tc>
          <w:tcPr>
            <w:tcW w:w="1134" w:type="dxa"/>
            <w:vMerge/>
            <w:tcBorders>
              <w:tl2br w:val="nil"/>
              <w:tr2bl w:val="nil"/>
            </w:tcBorders>
            <w:noWrap/>
            <w:vAlign w:val="center"/>
          </w:tcPr>
          <w:p w14:paraId="6B1F3F53" w14:textId="77777777" w:rsidR="00A67F21" w:rsidRPr="00B12FE0" w:rsidRDefault="00A67F21">
            <w:pPr>
              <w:jc w:val="center"/>
              <w:rPr>
                <w:snapToGrid w:val="0"/>
                <w:color w:val="000000" w:themeColor="text1"/>
                <w:sz w:val="21"/>
                <w:szCs w:val="21"/>
              </w:rPr>
            </w:pPr>
          </w:p>
        </w:tc>
        <w:tc>
          <w:tcPr>
            <w:tcW w:w="911" w:type="dxa"/>
            <w:vMerge/>
            <w:tcBorders>
              <w:tl2br w:val="nil"/>
              <w:tr2bl w:val="nil"/>
            </w:tcBorders>
            <w:vAlign w:val="center"/>
          </w:tcPr>
          <w:p w14:paraId="28CD52D5" w14:textId="77777777" w:rsidR="00A67F21" w:rsidRPr="00B12FE0" w:rsidRDefault="00A67F21">
            <w:pPr>
              <w:jc w:val="center"/>
              <w:rPr>
                <w:snapToGrid w:val="0"/>
                <w:color w:val="000000" w:themeColor="text1"/>
                <w:sz w:val="21"/>
                <w:szCs w:val="21"/>
              </w:rPr>
            </w:pPr>
          </w:p>
        </w:tc>
        <w:tc>
          <w:tcPr>
            <w:tcW w:w="1222" w:type="dxa"/>
            <w:vMerge/>
            <w:tcBorders>
              <w:tl2br w:val="nil"/>
              <w:tr2bl w:val="nil"/>
            </w:tcBorders>
            <w:vAlign w:val="center"/>
          </w:tcPr>
          <w:p w14:paraId="67EF7CA2" w14:textId="77777777" w:rsidR="00A67F21" w:rsidRPr="00B12FE0" w:rsidRDefault="00A67F21">
            <w:pPr>
              <w:jc w:val="center"/>
              <w:rPr>
                <w:snapToGrid w:val="0"/>
                <w:color w:val="000000" w:themeColor="text1"/>
                <w:sz w:val="21"/>
                <w:szCs w:val="21"/>
              </w:rPr>
            </w:pPr>
          </w:p>
        </w:tc>
      </w:tr>
      <w:tr w:rsidR="00A67F21" w:rsidRPr="00B12FE0" w14:paraId="4A69D6A7" w14:textId="77777777">
        <w:trPr>
          <w:trHeight w:val="549"/>
        </w:trPr>
        <w:tc>
          <w:tcPr>
            <w:tcW w:w="688" w:type="dxa"/>
            <w:tcBorders>
              <w:tl2br w:val="nil"/>
              <w:tr2bl w:val="nil"/>
            </w:tcBorders>
            <w:noWrap/>
            <w:vAlign w:val="center"/>
          </w:tcPr>
          <w:p w14:paraId="6C39C2F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1-1</w:t>
            </w:r>
            <w:r w:rsidRPr="00B12FE0">
              <w:rPr>
                <w:rFonts w:hint="eastAsia"/>
                <w:snapToGrid w:val="0"/>
                <w:color w:val="000000" w:themeColor="text1"/>
                <w:kern w:val="0"/>
                <w:sz w:val="21"/>
                <w:szCs w:val="21"/>
                <w:lang w:bidi="ar"/>
              </w:rPr>
              <w:t>4</w:t>
            </w:r>
          </w:p>
        </w:tc>
        <w:tc>
          <w:tcPr>
            <w:tcW w:w="600" w:type="dxa"/>
            <w:vMerge w:val="restart"/>
            <w:tcBorders>
              <w:tl2br w:val="nil"/>
              <w:tr2bl w:val="nil"/>
            </w:tcBorders>
            <w:noWrap/>
            <w:vAlign w:val="center"/>
          </w:tcPr>
          <w:p w14:paraId="7EF91568"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放化实验室</w:t>
            </w:r>
          </w:p>
        </w:tc>
        <w:tc>
          <w:tcPr>
            <w:tcW w:w="1684" w:type="dxa"/>
            <w:tcBorders>
              <w:tl2br w:val="nil"/>
              <w:tr2bl w:val="nil"/>
            </w:tcBorders>
            <w:vAlign w:val="center"/>
          </w:tcPr>
          <w:p w14:paraId="34B71FE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通风橱操作位</w:t>
            </w:r>
          </w:p>
        </w:tc>
        <w:tc>
          <w:tcPr>
            <w:tcW w:w="1559" w:type="dxa"/>
            <w:tcBorders>
              <w:tl2br w:val="nil"/>
              <w:tr2bl w:val="nil"/>
            </w:tcBorders>
            <w:noWrap/>
            <w:vAlign w:val="center"/>
          </w:tcPr>
          <w:p w14:paraId="704FDB2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10mmPb</w:t>
            </w:r>
          </w:p>
          <w:p w14:paraId="42963E4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通风橱</w:t>
            </w:r>
          </w:p>
        </w:tc>
        <w:tc>
          <w:tcPr>
            <w:tcW w:w="1134" w:type="dxa"/>
            <w:tcBorders>
              <w:tl2br w:val="nil"/>
              <w:tr2bl w:val="nil"/>
            </w:tcBorders>
            <w:noWrap/>
            <w:vAlign w:val="center"/>
          </w:tcPr>
          <w:p w14:paraId="18E01A1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3.70</w:t>
            </w:r>
          </w:p>
        </w:tc>
        <w:tc>
          <w:tcPr>
            <w:tcW w:w="1134" w:type="dxa"/>
            <w:tcBorders>
              <w:tl2br w:val="nil"/>
              <w:tr2bl w:val="nil"/>
            </w:tcBorders>
            <w:noWrap/>
            <w:vAlign w:val="center"/>
          </w:tcPr>
          <w:p w14:paraId="685688B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5AC8184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0.5</w:t>
            </w:r>
          </w:p>
        </w:tc>
        <w:tc>
          <w:tcPr>
            <w:tcW w:w="1222" w:type="dxa"/>
            <w:tcBorders>
              <w:tl2br w:val="nil"/>
              <w:tr2bl w:val="nil"/>
            </w:tcBorders>
            <w:noWrap/>
            <w:vAlign w:val="center"/>
          </w:tcPr>
          <w:p w14:paraId="4957DA9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0.53</w:t>
            </w:r>
          </w:p>
        </w:tc>
      </w:tr>
      <w:tr w:rsidR="00A67F21" w:rsidRPr="00B12FE0" w14:paraId="38EAC949" w14:textId="77777777">
        <w:trPr>
          <w:trHeight w:val="549"/>
        </w:trPr>
        <w:tc>
          <w:tcPr>
            <w:tcW w:w="688" w:type="dxa"/>
            <w:tcBorders>
              <w:tl2br w:val="nil"/>
              <w:tr2bl w:val="nil"/>
            </w:tcBorders>
            <w:noWrap/>
            <w:vAlign w:val="center"/>
          </w:tcPr>
          <w:p w14:paraId="595CB1E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1-1</w:t>
            </w:r>
            <w:r w:rsidRPr="00B12FE0">
              <w:rPr>
                <w:rFonts w:hint="eastAsia"/>
                <w:snapToGrid w:val="0"/>
                <w:color w:val="000000" w:themeColor="text1"/>
                <w:kern w:val="0"/>
                <w:sz w:val="21"/>
                <w:szCs w:val="21"/>
                <w:lang w:bidi="ar"/>
              </w:rPr>
              <w:t>5</w:t>
            </w:r>
          </w:p>
        </w:tc>
        <w:tc>
          <w:tcPr>
            <w:tcW w:w="600" w:type="dxa"/>
            <w:vMerge/>
            <w:tcBorders>
              <w:tl2br w:val="nil"/>
              <w:tr2bl w:val="nil"/>
            </w:tcBorders>
            <w:noWrap/>
            <w:vAlign w:val="center"/>
          </w:tcPr>
          <w:p w14:paraId="54223167" w14:textId="77777777" w:rsidR="00A67F21" w:rsidRPr="00B12FE0" w:rsidRDefault="00A67F21">
            <w:pPr>
              <w:jc w:val="center"/>
              <w:rPr>
                <w:snapToGrid w:val="0"/>
                <w:color w:val="000000" w:themeColor="text1"/>
                <w:sz w:val="21"/>
                <w:szCs w:val="21"/>
              </w:rPr>
            </w:pPr>
          </w:p>
        </w:tc>
        <w:tc>
          <w:tcPr>
            <w:tcW w:w="1684" w:type="dxa"/>
            <w:tcBorders>
              <w:tl2br w:val="nil"/>
              <w:tr2bl w:val="nil"/>
            </w:tcBorders>
            <w:vAlign w:val="center"/>
          </w:tcPr>
          <w:p w14:paraId="3ECE1CA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东墙外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559" w:type="dxa"/>
            <w:tcBorders>
              <w:tl2br w:val="nil"/>
              <w:tr2bl w:val="nil"/>
            </w:tcBorders>
            <w:noWrap/>
            <w:vAlign w:val="center"/>
          </w:tcPr>
          <w:p w14:paraId="042D08A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10mmPb</w:t>
            </w:r>
          </w:p>
          <w:p w14:paraId="4EB1E96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通风橱</w:t>
            </w:r>
          </w:p>
        </w:tc>
        <w:tc>
          <w:tcPr>
            <w:tcW w:w="1134" w:type="dxa"/>
            <w:tcBorders>
              <w:tl2br w:val="nil"/>
              <w:tr2bl w:val="nil"/>
            </w:tcBorders>
            <w:noWrap/>
            <w:vAlign w:val="center"/>
          </w:tcPr>
          <w:p w14:paraId="1A53DC2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3.70</w:t>
            </w:r>
          </w:p>
        </w:tc>
        <w:tc>
          <w:tcPr>
            <w:tcW w:w="1134" w:type="dxa"/>
            <w:tcBorders>
              <w:tl2br w:val="nil"/>
              <w:tr2bl w:val="nil"/>
            </w:tcBorders>
            <w:noWrap/>
            <w:vAlign w:val="center"/>
          </w:tcPr>
          <w:p w14:paraId="1E308AF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474F3F27"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2.7</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636A1D2"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5.50E-03</w:t>
            </w:r>
          </w:p>
        </w:tc>
      </w:tr>
      <w:tr w:rsidR="00A67F21" w:rsidRPr="00B12FE0" w14:paraId="2EADD426" w14:textId="77777777">
        <w:trPr>
          <w:trHeight w:val="549"/>
        </w:trPr>
        <w:tc>
          <w:tcPr>
            <w:tcW w:w="688" w:type="dxa"/>
            <w:tcBorders>
              <w:tl2br w:val="nil"/>
              <w:tr2bl w:val="nil"/>
            </w:tcBorders>
            <w:noWrap/>
            <w:vAlign w:val="center"/>
          </w:tcPr>
          <w:p w14:paraId="2238C0C0"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1-1</w:t>
            </w:r>
            <w:r w:rsidRPr="00B12FE0">
              <w:rPr>
                <w:rFonts w:hint="eastAsia"/>
                <w:snapToGrid w:val="0"/>
                <w:color w:val="000000" w:themeColor="text1"/>
                <w:kern w:val="0"/>
                <w:sz w:val="21"/>
                <w:szCs w:val="21"/>
                <w:lang w:bidi="ar"/>
              </w:rPr>
              <w:t>6</w:t>
            </w:r>
          </w:p>
        </w:tc>
        <w:tc>
          <w:tcPr>
            <w:tcW w:w="600" w:type="dxa"/>
            <w:vMerge/>
            <w:tcBorders>
              <w:tl2br w:val="nil"/>
              <w:tr2bl w:val="nil"/>
            </w:tcBorders>
            <w:noWrap/>
            <w:vAlign w:val="center"/>
          </w:tcPr>
          <w:p w14:paraId="7647474F" w14:textId="77777777" w:rsidR="00A67F21" w:rsidRPr="00B12FE0" w:rsidRDefault="00A67F21">
            <w:pPr>
              <w:jc w:val="center"/>
              <w:rPr>
                <w:snapToGrid w:val="0"/>
                <w:color w:val="000000" w:themeColor="text1"/>
                <w:sz w:val="21"/>
                <w:szCs w:val="21"/>
              </w:rPr>
            </w:pPr>
          </w:p>
        </w:tc>
        <w:tc>
          <w:tcPr>
            <w:tcW w:w="1684" w:type="dxa"/>
            <w:tcBorders>
              <w:tl2br w:val="nil"/>
              <w:tr2bl w:val="nil"/>
            </w:tcBorders>
            <w:vAlign w:val="center"/>
          </w:tcPr>
          <w:p w14:paraId="27879F6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南</w:t>
            </w:r>
            <w:r w:rsidRPr="00B12FE0">
              <w:rPr>
                <w:snapToGrid w:val="0"/>
                <w:color w:val="000000" w:themeColor="text1"/>
                <w:kern w:val="0"/>
                <w:sz w:val="21"/>
                <w:szCs w:val="21"/>
                <w:lang w:bidi="ar"/>
              </w:rPr>
              <w:t>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559" w:type="dxa"/>
            <w:tcBorders>
              <w:tl2br w:val="nil"/>
              <w:tr2bl w:val="nil"/>
            </w:tcBorders>
            <w:noWrap/>
            <w:vAlign w:val="center"/>
          </w:tcPr>
          <w:p w14:paraId="18FC110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10mmPb</w:t>
            </w:r>
          </w:p>
          <w:p w14:paraId="19254F9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通风橱</w:t>
            </w:r>
          </w:p>
        </w:tc>
        <w:tc>
          <w:tcPr>
            <w:tcW w:w="1134" w:type="dxa"/>
            <w:tcBorders>
              <w:tl2br w:val="nil"/>
              <w:tr2bl w:val="nil"/>
            </w:tcBorders>
            <w:noWrap/>
            <w:vAlign w:val="center"/>
          </w:tcPr>
          <w:p w14:paraId="476B5A34"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3.7</w:t>
            </w:r>
          </w:p>
        </w:tc>
        <w:tc>
          <w:tcPr>
            <w:tcW w:w="1134" w:type="dxa"/>
            <w:tcBorders>
              <w:tl2br w:val="nil"/>
              <w:tr2bl w:val="nil"/>
            </w:tcBorders>
            <w:noWrap/>
            <w:vAlign w:val="center"/>
          </w:tcPr>
          <w:p w14:paraId="7C704A83"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7AE78AAF"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2.3</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FC04899"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1.81E-02</w:t>
            </w:r>
          </w:p>
        </w:tc>
      </w:tr>
      <w:tr w:rsidR="00A67F21" w:rsidRPr="00B12FE0" w14:paraId="29519F5D" w14:textId="77777777">
        <w:trPr>
          <w:trHeight w:val="549"/>
        </w:trPr>
        <w:tc>
          <w:tcPr>
            <w:tcW w:w="688" w:type="dxa"/>
            <w:tcBorders>
              <w:tl2br w:val="nil"/>
              <w:tr2bl w:val="nil"/>
            </w:tcBorders>
            <w:noWrap/>
            <w:vAlign w:val="center"/>
          </w:tcPr>
          <w:p w14:paraId="5DB082F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1-1</w:t>
            </w:r>
            <w:r w:rsidRPr="00B12FE0">
              <w:rPr>
                <w:rFonts w:hint="eastAsia"/>
                <w:snapToGrid w:val="0"/>
                <w:color w:val="000000" w:themeColor="text1"/>
                <w:kern w:val="0"/>
                <w:sz w:val="21"/>
                <w:szCs w:val="21"/>
                <w:lang w:bidi="ar"/>
              </w:rPr>
              <w:t>7</w:t>
            </w:r>
          </w:p>
        </w:tc>
        <w:tc>
          <w:tcPr>
            <w:tcW w:w="600" w:type="dxa"/>
            <w:vMerge/>
            <w:tcBorders>
              <w:tl2br w:val="nil"/>
              <w:tr2bl w:val="nil"/>
            </w:tcBorders>
            <w:noWrap/>
            <w:vAlign w:val="center"/>
          </w:tcPr>
          <w:p w14:paraId="579DB478" w14:textId="77777777" w:rsidR="00A67F21" w:rsidRPr="00B12FE0" w:rsidRDefault="00A67F21">
            <w:pPr>
              <w:jc w:val="center"/>
              <w:rPr>
                <w:snapToGrid w:val="0"/>
                <w:color w:val="000000" w:themeColor="text1"/>
                <w:sz w:val="21"/>
                <w:szCs w:val="21"/>
              </w:rPr>
            </w:pPr>
          </w:p>
        </w:tc>
        <w:tc>
          <w:tcPr>
            <w:tcW w:w="1684" w:type="dxa"/>
            <w:tcBorders>
              <w:tl2br w:val="nil"/>
              <w:tr2bl w:val="nil"/>
            </w:tcBorders>
            <w:vAlign w:val="center"/>
          </w:tcPr>
          <w:p w14:paraId="58213EE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防护门外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559" w:type="dxa"/>
            <w:tcBorders>
              <w:tl2br w:val="nil"/>
              <w:tr2bl w:val="nil"/>
            </w:tcBorders>
            <w:noWrap/>
            <w:vAlign w:val="center"/>
          </w:tcPr>
          <w:p w14:paraId="0E76FF8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10mmPb+2mmPb</w:t>
            </w:r>
            <w:proofErr w:type="gramStart"/>
            <w:r w:rsidRPr="00B12FE0">
              <w:rPr>
                <w:snapToGrid w:val="0"/>
                <w:color w:val="000000" w:themeColor="text1"/>
                <w:sz w:val="21"/>
                <w:szCs w:val="21"/>
              </w:rPr>
              <w:t>铅门</w:t>
            </w:r>
            <w:proofErr w:type="gramEnd"/>
          </w:p>
        </w:tc>
        <w:tc>
          <w:tcPr>
            <w:tcW w:w="1134" w:type="dxa"/>
            <w:tcBorders>
              <w:tl2br w:val="nil"/>
              <w:tr2bl w:val="nil"/>
            </w:tcBorders>
            <w:noWrap/>
            <w:vAlign w:val="center"/>
          </w:tcPr>
          <w:p w14:paraId="0636CA0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3.70</w:t>
            </w:r>
          </w:p>
        </w:tc>
        <w:tc>
          <w:tcPr>
            <w:tcW w:w="1134" w:type="dxa"/>
            <w:tcBorders>
              <w:tl2br w:val="nil"/>
              <w:tr2bl w:val="nil"/>
            </w:tcBorders>
            <w:noWrap/>
            <w:vAlign w:val="center"/>
          </w:tcPr>
          <w:p w14:paraId="7EF1F19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22CD4542"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2.3</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7E6B8F0"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1.89E-02</w:t>
            </w:r>
          </w:p>
        </w:tc>
      </w:tr>
      <w:tr w:rsidR="00A67F21" w:rsidRPr="00B12FE0" w14:paraId="6DEE599E" w14:textId="77777777">
        <w:trPr>
          <w:trHeight w:val="549"/>
        </w:trPr>
        <w:tc>
          <w:tcPr>
            <w:tcW w:w="688" w:type="dxa"/>
            <w:tcBorders>
              <w:tl2br w:val="nil"/>
              <w:tr2bl w:val="nil"/>
            </w:tcBorders>
            <w:noWrap/>
            <w:vAlign w:val="center"/>
          </w:tcPr>
          <w:p w14:paraId="3B5B73E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1-1</w:t>
            </w:r>
            <w:r w:rsidRPr="00B12FE0">
              <w:rPr>
                <w:rFonts w:hint="eastAsia"/>
                <w:snapToGrid w:val="0"/>
                <w:color w:val="000000" w:themeColor="text1"/>
                <w:kern w:val="0"/>
                <w:sz w:val="21"/>
                <w:szCs w:val="21"/>
                <w:lang w:bidi="ar"/>
              </w:rPr>
              <w:t>8</w:t>
            </w:r>
          </w:p>
        </w:tc>
        <w:tc>
          <w:tcPr>
            <w:tcW w:w="600" w:type="dxa"/>
            <w:vMerge/>
            <w:tcBorders>
              <w:tl2br w:val="nil"/>
              <w:tr2bl w:val="nil"/>
            </w:tcBorders>
            <w:noWrap/>
            <w:vAlign w:val="center"/>
          </w:tcPr>
          <w:p w14:paraId="3E7A127A" w14:textId="77777777" w:rsidR="00A67F21" w:rsidRPr="00B12FE0" w:rsidRDefault="00A67F21">
            <w:pPr>
              <w:jc w:val="center"/>
              <w:rPr>
                <w:snapToGrid w:val="0"/>
                <w:color w:val="000000" w:themeColor="text1"/>
                <w:sz w:val="21"/>
                <w:szCs w:val="21"/>
              </w:rPr>
            </w:pPr>
          </w:p>
        </w:tc>
        <w:tc>
          <w:tcPr>
            <w:tcW w:w="1684" w:type="dxa"/>
            <w:tcBorders>
              <w:tl2br w:val="nil"/>
              <w:tr2bl w:val="nil"/>
            </w:tcBorders>
            <w:vAlign w:val="center"/>
          </w:tcPr>
          <w:p w14:paraId="6C239694"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西</w:t>
            </w:r>
            <w:r w:rsidRPr="00B12FE0">
              <w:rPr>
                <w:snapToGrid w:val="0"/>
                <w:color w:val="000000" w:themeColor="text1"/>
                <w:kern w:val="0"/>
                <w:sz w:val="21"/>
                <w:szCs w:val="21"/>
                <w:lang w:bidi="ar"/>
              </w:rPr>
              <w:t>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559" w:type="dxa"/>
            <w:tcBorders>
              <w:tl2br w:val="nil"/>
              <w:tr2bl w:val="nil"/>
            </w:tcBorders>
            <w:noWrap/>
            <w:vAlign w:val="center"/>
          </w:tcPr>
          <w:p w14:paraId="2C5497D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10mmPb</w:t>
            </w:r>
          </w:p>
          <w:p w14:paraId="4450DDB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通风橱</w:t>
            </w:r>
          </w:p>
        </w:tc>
        <w:tc>
          <w:tcPr>
            <w:tcW w:w="1134" w:type="dxa"/>
            <w:tcBorders>
              <w:tl2br w:val="nil"/>
              <w:tr2bl w:val="nil"/>
            </w:tcBorders>
            <w:noWrap/>
            <w:vAlign w:val="center"/>
          </w:tcPr>
          <w:p w14:paraId="6D5625B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3.70</w:t>
            </w:r>
          </w:p>
        </w:tc>
        <w:tc>
          <w:tcPr>
            <w:tcW w:w="1134" w:type="dxa"/>
            <w:tcBorders>
              <w:tl2br w:val="nil"/>
              <w:tr2bl w:val="nil"/>
            </w:tcBorders>
            <w:noWrap/>
            <w:vAlign w:val="center"/>
          </w:tcPr>
          <w:p w14:paraId="1CF2E4A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2D3BCE6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2.7</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A698A5F"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1.89E-02</w:t>
            </w:r>
          </w:p>
        </w:tc>
      </w:tr>
      <w:tr w:rsidR="00A67F21" w:rsidRPr="00B12FE0" w14:paraId="56309CB3" w14:textId="77777777">
        <w:trPr>
          <w:trHeight w:val="282"/>
        </w:trPr>
        <w:tc>
          <w:tcPr>
            <w:tcW w:w="688" w:type="dxa"/>
            <w:tcBorders>
              <w:tl2br w:val="nil"/>
              <w:tr2bl w:val="nil"/>
            </w:tcBorders>
            <w:noWrap/>
            <w:vAlign w:val="center"/>
          </w:tcPr>
          <w:p w14:paraId="6BF0ECF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1-1</w:t>
            </w:r>
            <w:r w:rsidRPr="00B12FE0">
              <w:rPr>
                <w:rFonts w:hint="eastAsia"/>
                <w:snapToGrid w:val="0"/>
                <w:color w:val="000000" w:themeColor="text1"/>
                <w:kern w:val="0"/>
                <w:sz w:val="21"/>
                <w:szCs w:val="21"/>
                <w:lang w:bidi="ar"/>
              </w:rPr>
              <w:t>9</w:t>
            </w:r>
          </w:p>
        </w:tc>
        <w:tc>
          <w:tcPr>
            <w:tcW w:w="600" w:type="dxa"/>
            <w:vMerge/>
            <w:tcBorders>
              <w:tl2br w:val="nil"/>
              <w:tr2bl w:val="nil"/>
            </w:tcBorders>
            <w:noWrap/>
            <w:vAlign w:val="center"/>
          </w:tcPr>
          <w:p w14:paraId="14BEE525" w14:textId="77777777" w:rsidR="00A67F21" w:rsidRPr="00B12FE0" w:rsidRDefault="00A67F21">
            <w:pPr>
              <w:jc w:val="center"/>
              <w:rPr>
                <w:snapToGrid w:val="0"/>
                <w:color w:val="000000" w:themeColor="text1"/>
                <w:sz w:val="21"/>
                <w:szCs w:val="21"/>
              </w:rPr>
            </w:pPr>
          </w:p>
        </w:tc>
        <w:tc>
          <w:tcPr>
            <w:tcW w:w="1684" w:type="dxa"/>
            <w:tcBorders>
              <w:tl2br w:val="nil"/>
              <w:tr2bl w:val="nil"/>
            </w:tcBorders>
            <w:noWrap/>
            <w:vAlign w:val="center"/>
          </w:tcPr>
          <w:p w14:paraId="7A697F3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北</w:t>
            </w:r>
            <w:r w:rsidRPr="00B12FE0">
              <w:rPr>
                <w:snapToGrid w:val="0"/>
                <w:color w:val="000000" w:themeColor="text1"/>
                <w:kern w:val="0"/>
                <w:sz w:val="21"/>
                <w:szCs w:val="21"/>
                <w:lang w:bidi="ar"/>
              </w:rPr>
              <w:t>墙外</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559" w:type="dxa"/>
            <w:tcBorders>
              <w:tl2br w:val="nil"/>
              <w:tr2bl w:val="nil"/>
            </w:tcBorders>
            <w:noWrap/>
            <w:vAlign w:val="center"/>
          </w:tcPr>
          <w:p w14:paraId="3C41C1A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10mmPb</w:t>
            </w:r>
          </w:p>
          <w:p w14:paraId="41AF4D3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通风橱</w:t>
            </w:r>
          </w:p>
        </w:tc>
        <w:tc>
          <w:tcPr>
            <w:tcW w:w="1134" w:type="dxa"/>
            <w:tcBorders>
              <w:tl2br w:val="nil"/>
              <w:tr2bl w:val="nil"/>
            </w:tcBorders>
            <w:noWrap/>
            <w:vAlign w:val="center"/>
          </w:tcPr>
          <w:p w14:paraId="7D32AC4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3.70</w:t>
            </w:r>
          </w:p>
        </w:tc>
        <w:tc>
          <w:tcPr>
            <w:tcW w:w="1134" w:type="dxa"/>
            <w:tcBorders>
              <w:tl2br w:val="nil"/>
              <w:tr2bl w:val="nil"/>
            </w:tcBorders>
            <w:noWrap/>
            <w:vAlign w:val="center"/>
          </w:tcPr>
          <w:p w14:paraId="1C08AD9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13F916F6"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2.3</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5F29450"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1.37E-02</w:t>
            </w:r>
          </w:p>
        </w:tc>
      </w:tr>
      <w:tr w:rsidR="00A67F21" w:rsidRPr="00B12FE0" w14:paraId="409B4AE1" w14:textId="77777777">
        <w:trPr>
          <w:trHeight w:val="549"/>
        </w:trPr>
        <w:tc>
          <w:tcPr>
            <w:tcW w:w="688" w:type="dxa"/>
            <w:tcBorders>
              <w:tl2br w:val="nil"/>
              <w:tr2bl w:val="nil"/>
            </w:tcBorders>
            <w:noWrap/>
            <w:vAlign w:val="center"/>
          </w:tcPr>
          <w:p w14:paraId="21F85E7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20</w:t>
            </w:r>
          </w:p>
        </w:tc>
        <w:tc>
          <w:tcPr>
            <w:tcW w:w="600" w:type="dxa"/>
            <w:vMerge/>
            <w:tcBorders>
              <w:tl2br w:val="nil"/>
              <w:tr2bl w:val="nil"/>
            </w:tcBorders>
            <w:noWrap/>
            <w:vAlign w:val="center"/>
          </w:tcPr>
          <w:p w14:paraId="504DA49F" w14:textId="77777777" w:rsidR="00A67F21" w:rsidRPr="00B12FE0" w:rsidRDefault="00A67F21">
            <w:pPr>
              <w:jc w:val="center"/>
              <w:rPr>
                <w:snapToGrid w:val="0"/>
                <w:color w:val="000000" w:themeColor="text1"/>
                <w:sz w:val="21"/>
                <w:szCs w:val="21"/>
              </w:rPr>
            </w:pPr>
          </w:p>
        </w:tc>
        <w:tc>
          <w:tcPr>
            <w:tcW w:w="1684" w:type="dxa"/>
            <w:tcBorders>
              <w:tl2br w:val="nil"/>
              <w:tr2bl w:val="nil"/>
            </w:tcBorders>
            <w:vAlign w:val="center"/>
          </w:tcPr>
          <w:p w14:paraId="4DB13EF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顶棚</w:t>
            </w:r>
            <w:r w:rsidRPr="00B12FE0">
              <w:rPr>
                <w:snapToGrid w:val="0"/>
                <w:color w:val="000000" w:themeColor="text1"/>
                <w:kern w:val="0"/>
                <w:sz w:val="21"/>
                <w:szCs w:val="21"/>
                <w:lang w:bidi="ar"/>
              </w:rPr>
              <w:t>30cm</w:t>
            </w:r>
            <w:r w:rsidRPr="00B12FE0">
              <w:rPr>
                <w:snapToGrid w:val="0"/>
                <w:color w:val="000000" w:themeColor="text1"/>
                <w:kern w:val="0"/>
                <w:sz w:val="21"/>
                <w:szCs w:val="21"/>
                <w:lang w:bidi="ar"/>
              </w:rPr>
              <w:t>处</w:t>
            </w:r>
          </w:p>
        </w:tc>
        <w:tc>
          <w:tcPr>
            <w:tcW w:w="1559" w:type="dxa"/>
            <w:tcBorders>
              <w:tl2br w:val="nil"/>
              <w:tr2bl w:val="nil"/>
            </w:tcBorders>
            <w:noWrap/>
            <w:vAlign w:val="center"/>
          </w:tcPr>
          <w:p w14:paraId="23C9E72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10mmPb+</w:t>
            </w:r>
            <w:r w:rsidRPr="00B12FE0">
              <w:rPr>
                <w:rFonts w:hint="eastAsia"/>
                <w:snapToGrid w:val="0"/>
                <w:color w:val="000000" w:themeColor="text1"/>
                <w:sz w:val="21"/>
                <w:szCs w:val="21"/>
              </w:rPr>
              <w:t>250</w:t>
            </w:r>
            <w:r w:rsidRPr="00B12FE0">
              <w:rPr>
                <w:snapToGrid w:val="0"/>
                <w:color w:val="000000" w:themeColor="text1"/>
                <w:sz w:val="21"/>
                <w:szCs w:val="21"/>
              </w:rPr>
              <w:t>mm</w:t>
            </w:r>
            <w:r w:rsidRPr="00B12FE0">
              <w:rPr>
                <w:snapToGrid w:val="0"/>
                <w:color w:val="000000" w:themeColor="text1"/>
                <w:sz w:val="21"/>
                <w:szCs w:val="21"/>
              </w:rPr>
              <w:t>混凝土</w:t>
            </w:r>
          </w:p>
        </w:tc>
        <w:tc>
          <w:tcPr>
            <w:tcW w:w="1134" w:type="dxa"/>
            <w:tcBorders>
              <w:tl2br w:val="nil"/>
              <w:tr2bl w:val="nil"/>
            </w:tcBorders>
            <w:noWrap/>
            <w:vAlign w:val="center"/>
          </w:tcPr>
          <w:p w14:paraId="13B5469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3.70</w:t>
            </w:r>
          </w:p>
        </w:tc>
        <w:tc>
          <w:tcPr>
            <w:tcW w:w="1134" w:type="dxa"/>
            <w:tcBorders>
              <w:tl2br w:val="nil"/>
              <w:tr2bl w:val="nil"/>
            </w:tcBorders>
            <w:noWrap/>
            <w:vAlign w:val="center"/>
          </w:tcPr>
          <w:p w14:paraId="2C62DC8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67B26182"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3.8</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153A2DA"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1.89E-02</w:t>
            </w:r>
          </w:p>
        </w:tc>
      </w:tr>
      <w:tr w:rsidR="00A67F21" w:rsidRPr="00B12FE0" w14:paraId="361580D7" w14:textId="77777777">
        <w:trPr>
          <w:trHeight w:val="282"/>
        </w:trPr>
        <w:tc>
          <w:tcPr>
            <w:tcW w:w="688" w:type="dxa"/>
            <w:tcBorders>
              <w:tl2br w:val="nil"/>
              <w:tr2bl w:val="nil"/>
            </w:tcBorders>
            <w:noWrap/>
            <w:vAlign w:val="center"/>
          </w:tcPr>
          <w:p w14:paraId="209470B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1-2</w:t>
            </w:r>
            <w:r w:rsidRPr="00B12FE0">
              <w:rPr>
                <w:rFonts w:hint="eastAsia"/>
                <w:snapToGrid w:val="0"/>
                <w:color w:val="000000" w:themeColor="text1"/>
                <w:kern w:val="0"/>
                <w:sz w:val="21"/>
                <w:szCs w:val="21"/>
                <w:lang w:bidi="ar"/>
              </w:rPr>
              <w:t>1</w:t>
            </w:r>
          </w:p>
        </w:tc>
        <w:tc>
          <w:tcPr>
            <w:tcW w:w="2284" w:type="dxa"/>
            <w:gridSpan w:val="2"/>
            <w:tcBorders>
              <w:tl2br w:val="nil"/>
              <w:tr2bl w:val="nil"/>
            </w:tcBorders>
            <w:noWrap/>
            <w:vAlign w:val="center"/>
          </w:tcPr>
          <w:p w14:paraId="79B58B5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核素转运</w:t>
            </w:r>
          </w:p>
        </w:tc>
        <w:tc>
          <w:tcPr>
            <w:tcW w:w="1559" w:type="dxa"/>
            <w:tcBorders>
              <w:tl2br w:val="nil"/>
              <w:tr2bl w:val="nil"/>
            </w:tcBorders>
            <w:noWrap/>
            <w:vAlign w:val="center"/>
          </w:tcPr>
          <w:p w14:paraId="44AFD83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50</w:t>
            </w:r>
            <w:r w:rsidRPr="00B12FE0">
              <w:rPr>
                <w:snapToGrid w:val="0"/>
                <w:color w:val="000000" w:themeColor="text1"/>
                <w:sz w:val="21"/>
                <w:szCs w:val="21"/>
              </w:rPr>
              <w:t>mmPb</w:t>
            </w:r>
          </w:p>
        </w:tc>
        <w:tc>
          <w:tcPr>
            <w:tcW w:w="1134" w:type="dxa"/>
            <w:tcBorders>
              <w:tl2br w:val="nil"/>
              <w:tr2bl w:val="nil"/>
            </w:tcBorders>
            <w:noWrap/>
            <w:vAlign w:val="center"/>
          </w:tcPr>
          <w:p w14:paraId="290735DD"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2.22</w:t>
            </w:r>
            <w:r w:rsidRPr="00B12FE0">
              <w:rPr>
                <w:snapToGrid w:val="0"/>
                <w:color w:val="000000" w:themeColor="text1"/>
                <w:sz w:val="21"/>
                <w:szCs w:val="21"/>
              </w:rPr>
              <w:t>×10</w:t>
            </w:r>
            <w:r w:rsidRPr="00B12FE0">
              <w:rPr>
                <w:snapToGrid w:val="0"/>
                <w:color w:val="000000" w:themeColor="text1"/>
                <w:sz w:val="21"/>
                <w:szCs w:val="21"/>
                <w:vertAlign w:val="superscript"/>
              </w:rPr>
              <w:t>4</w:t>
            </w:r>
            <w:r w:rsidRPr="00B12FE0">
              <w:rPr>
                <w:rFonts w:ascii="宋体" w:hAnsi="宋体" w:cs="宋体"/>
                <w:snapToGrid w:val="0"/>
                <w:color w:val="000000" w:themeColor="text1"/>
                <w:sz w:val="21"/>
                <w:szCs w:val="21"/>
                <w:vertAlign w:val="superscript"/>
              </w:rPr>
              <w:t>①</w:t>
            </w:r>
          </w:p>
        </w:tc>
        <w:tc>
          <w:tcPr>
            <w:tcW w:w="1134" w:type="dxa"/>
            <w:tcBorders>
              <w:tl2br w:val="nil"/>
              <w:tr2bl w:val="nil"/>
            </w:tcBorders>
            <w:noWrap/>
            <w:vAlign w:val="center"/>
          </w:tcPr>
          <w:p w14:paraId="14AA1E6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0.143</w:t>
            </w:r>
          </w:p>
        </w:tc>
        <w:tc>
          <w:tcPr>
            <w:tcW w:w="911" w:type="dxa"/>
            <w:tcBorders>
              <w:tl2br w:val="nil"/>
              <w:tr2bl w:val="nil"/>
            </w:tcBorders>
            <w:noWrap/>
            <w:vAlign w:val="center"/>
          </w:tcPr>
          <w:p w14:paraId="5D5C207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1222" w:type="dxa"/>
            <w:tcBorders>
              <w:tl2br w:val="nil"/>
              <w:tr2bl w:val="nil"/>
            </w:tcBorders>
            <w:noWrap/>
            <w:vAlign w:val="center"/>
          </w:tcPr>
          <w:p w14:paraId="32565C09"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3.09</w:t>
            </w:r>
          </w:p>
        </w:tc>
      </w:tr>
      <w:tr w:rsidR="00A67F21" w:rsidRPr="00B12FE0" w14:paraId="7E0B0A07" w14:textId="77777777">
        <w:trPr>
          <w:trHeight w:val="282"/>
        </w:trPr>
        <w:tc>
          <w:tcPr>
            <w:tcW w:w="8932" w:type="dxa"/>
            <w:gridSpan w:val="8"/>
            <w:tcBorders>
              <w:tl2br w:val="nil"/>
              <w:tr2bl w:val="nil"/>
            </w:tcBorders>
            <w:noWrap/>
            <w:vAlign w:val="center"/>
          </w:tcPr>
          <w:p w14:paraId="71FC7B17" w14:textId="77777777" w:rsidR="00A67F21" w:rsidRPr="00B12FE0" w:rsidRDefault="00000000">
            <w:pPr>
              <w:widowControl/>
              <w:textAlignment w:val="center"/>
              <w:rPr>
                <w:snapToGrid w:val="0"/>
                <w:color w:val="000000" w:themeColor="text1"/>
                <w:kern w:val="0"/>
                <w:sz w:val="21"/>
                <w:szCs w:val="21"/>
                <w:lang w:bidi="ar"/>
              </w:rPr>
            </w:pPr>
            <w:r w:rsidRPr="00B12FE0">
              <w:rPr>
                <w:snapToGrid w:val="0"/>
                <w:color w:val="000000" w:themeColor="text1"/>
                <w:sz w:val="18"/>
                <w:szCs w:val="18"/>
              </w:rPr>
              <w:t>注：</w:t>
            </w:r>
            <w:r w:rsidRPr="00B12FE0">
              <w:rPr>
                <w:rFonts w:ascii="宋体" w:hAnsi="宋体"/>
                <w:snapToGrid w:val="0"/>
                <w:color w:val="000000" w:themeColor="text1"/>
                <w:sz w:val="18"/>
                <w:szCs w:val="18"/>
              </w:rPr>
              <w:t>①</w:t>
            </w:r>
            <w:r w:rsidRPr="00B12FE0">
              <w:rPr>
                <w:snapToGrid w:val="0"/>
                <w:color w:val="000000" w:themeColor="text1"/>
                <w:sz w:val="18"/>
                <w:szCs w:val="18"/>
              </w:rPr>
              <w:t>按照</w:t>
            </w:r>
            <w:r w:rsidRPr="00B12FE0">
              <w:rPr>
                <w:rFonts w:hint="eastAsia"/>
                <w:snapToGrid w:val="0"/>
                <w:color w:val="000000" w:themeColor="text1"/>
                <w:sz w:val="18"/>
                <w:szCs w:val="18"/>
              </w:rPr>
              <w:t>核素一次产生</w:t>
            </w:r>
            <w:r w:rsidRPr="00B12FE0">
              <w:rPr>
                <w:snapToGrid w:val="0"/>
                <w:color w:val="000000" w:themeColor="text1"/>
                <w:sz w:val="18"/>
                <w:szCs w:val="18"/>
              </w:rPr>
              <w:t>量考虑。</w:t>
            </w:r>
          </w:p>
        </w:tc>
      </w:tr>
    </w:tbl>
    <w:p w14:paraId="088CA54F" w14:textId="77777777" w:rsidR="00A67F21" w:rsidRPr="00B12FE0" w:rsidRDefault="00000000">
      <w:pPr>
        <w:adjustRightInd w:val="0"/>
        <w:snapToGrid w:val="0"/>
        <w:spacing w:beforeLines="50" w:before="120" w:line="360" w:lineRule="auto"/>
        <w:ind w:firstLineChars="200" w:firstLine="480"/>
        <w:rPr>
          <w:b/>
          <w:color w:val="000000" w:themeColor="text1"/>
          <w:kern w:val="0"/>
          <w:sz w:val="28"/>
          <w:szCs w:val="21"/>
        </w:rPr>
      </w:pPr>
      <w:r w:rsidRPr="00B12FE0">
        <w:rPr>
          <w:color w:val="000000" w:themeColor="text1"/>
          <w:szCs w:val="24"/>
        </w:rPr>
        <w:t>由表</w:t>
      </w:r>
      <w:r w:rsidRPr="00B12FE0">
        <w:rPr>
          <w:color w:val="000000" w:themeColor="text1"/>
          <w:szCs w:val="24"/>
        </w:rPr>
        <w:t>11.2.1.1-6</w:t>
      </w:r>
      <w:r w:rsidRPr="00B12FE0">
        <w:rPr>
          <w:color w:val="000000" w:themeColor="text1"/>
          <w:szCs w:val="24"/>
        </w:rPr>
        <w:t>可知，正常工作状态下，</w:t>
      </w:r>
      <w:r w:rsidRPr="00B12FE0">
        <w:rPr>
          <w:rFonts w:hint="eastAsia"/>
          <w:color w:val="000000" w:themeColor="text1"/>
          <w:szCs w:val="24"/>
        </w:rPr>
        <w:t>放化实验</w:t>
      </w:r>
      <w:r w:rsidRPr="00B12FE0">
        <w:rPr>
          <w:color w:val="000000" w:themeColor="text1"/>
          <w:szCs w:val="24"/>
        </w:rPr>
        <w:t>室屏蔽墙、防护门外</w:t>
      </w:r>
      <w:r w:rsidRPr="00B12FE0">
        <w:rPr>
          <w:color w:val="000000" w:themeColor="text1"/>
          <w:szCs w:val="24"/>
        </w:rPr>
        <w:t>30cm</w:t>
      </w:r>
      <w:r w:rsidRPr="00B12FE0">
        <w:rPr>
          <w:color w:val="000000" w:themeColor="text1"/>
          <w:szCs w:val="24"/>
        </w:rPr>
        <w:t>处辐射剂量率为</w:t>
      </w:r>
      <w:r w:rsidRPr="00B12FE0">
        <w:rPr>
          <w:rFonts w:hint="eastAsia"/>
          <w:color w:val="000000" w:themeColor="text1"/>
          <w:szCs w:val="24"/>
        </w:rPr>
        <w:t>1.89</w:t>
      </w:r>
      <w:r w:rsidRPr="00B12FE0">
        <w:rPr>
          <w:color w:val="000000" w:themeColor="text1"/>
          <w:szCs w:val="24"/>
        </w:rPr>
        <w:t>E-0</w:t>
      </w:r>
      <w:r w:rsidRPr="00B12FE0">
        <w:rPr>
          <w:rFonts w:hint="eastAsia"/>
          <w:color w:val="000000" w:themeColor="text1"/>
          <w:szCs w:val="24"/>
        </w:rPr>
        <w:t>2</w:t>
      </w:r>
      <w:r w:rsidRPr="00B12FE0">
        <w:rPr>
          <w:color w:val="000000" w:themeColor="text1"/>
          <w:szCs w:val="24"/>
        </w:rPr>
        <w:t>μSv/h</w:t>
      </w:r>
      <w:r w:rsidRPr="00B12FE0">
        <w:rPr>
          <w:color w:val="000000" w:themeColor="text1"/>
          <w:szCs w:val="24"/>
        </w:rPr>
        <w:t>，通风橱操作位的辐射剂量率为</w:t>
      </w:r>
      <w:r w:rsidRPr="00B12FE0">
        <w:rPr>
          <w:color w:val="000000" w:themeColor="text1"/>
          <w:szCs w:val="24"/>
        </w:rPr>
        <w:t>0.53μSv/h</w:t>
      </w:r>
      <w:r w:rsidRPr="00B12FE0">
        <w:rPr>
          <w:color w:val="000000" w:themeColor="text1"/>
          <w:szCs w:val="24"/>
        </w:rPr>
        <w:t>，满足《核医学科辐射防护与安全要求》（</w:t>
      </w:r>
      <w:r w:rsidRPr="00B12FE0">
        <w:rPr>
          <w:color w:val="000000" w:themeColor="text1"/>
          <w:szCs w:val="24"/>
        </w:rPr>
        <w:t>HJ1188-2021</w:t>
      </w:r>
      <w:r w:rsidRPr="00B12FE0">
        <w:rPr>
          <w:color w:val="000000" w:themeColor="text1"/>
          <w:szCs w:val="24"/>
        </w:rPr>
        <w:t>）中</w:t>
      </w:r>
      <w:r w:rsidRPr="00B12FE0">
        <w:rPr>
          <w:color w:val="000000" w:themeColor="text1"/>
          <w:szCs w:val="24"/>
        </w:rPr>
        <w:t>“</w:t>
      </w:r>
      <w:r w:rsidRPr="00B12FE0">
        <w:rPr>
          <w:color w:val="000000" w:themeColor="text1"/>
          <w:szCs w:val="24"/>
        </w:rPr>
        <w:t>距核医学工作场所各控制区内房间防护门、观察窗和墙壁外表面</w:t>
      </w:r>
      <w:r w:rsidRPr="00B12FE0">
        <w:rPr>
          <w:color w:val="000000" w:themeColor="text1"/>
          <w:szCs w:val="24"/>
        </w:rPr>
        <w:t>30cm</w:t>
      </w:r>
      <w:r w:rsidRPr="00B12FE0">
        <w:rPr>
          <w:color w:val="000000" w:themeColor="text1"/>
          <w:szCs w:val="24"/>
        </w:rPr>
        <w:t>处的周围剂量当量率应小于</w:t>
      </w:r>
      <w:r w:rsidRPr="00B12FE0">
        <w:rPr>
          <w:color w:val="000000" w:themeColor="text1"/>
          <w:szCs w:val="24"/>
        </w:rPr>
        <w:t>2.5μSvh</w:t>
      </w:r>
      <w:r w:rsidRPr="00B12FE0">
        <w:rPr>
          <w:color w:val="000000" w:themeColor="text1"/>
          <w:szCs w:val="24"/>
        </w:rPr>
        <w:t>；</w:t>
      </w:r>
      <w:r w:rsidRPr="00B12FE0">
        <w:rPr>
          <w:bCs/>
          <w:snapToGrid w:val="0"/>
          <w:color w:val="000000" w:themeColor="text1"/>
          <w:szCs w:val="24"/>
          <w:lang w:bidi="ar"/>
        </w:rPr>
        <w:t>放射性药物合成和分装的箱体、通风柜、注射窗等设备外表面</w:t>
      </w:r>
      <w:r w:rsidRPr="00B12FE0">
        <w:rPr>
          <w:bCs/>
          <w:snapToGrid w:val="0"/>
          <w:color w:val="000000" w:themeColor="text1"/>
          <w:szCs w:val="24"/>
          <w:lang w:bidi="ar"/>
        </w:rPr>
        <w:t>30cm</w:t>
      </w:r>
      <w:r w:rsidRPr="00B12FE0">
        <w:rPr>
          <w:bCs/>
          <w:snapToGrid w:val="0"/>
          <w:color w:val="000000" w:themeColor="text1"/>
          <w:szCs w:val="24"/>
          <w:lang w:bidi="ar"/>
        </w:rPr>
        <w:t>处人员操作位的</w:t>
      </w:r>
      <w:r w:rsidRPr="00B12FE0">
        <w:rPr>
          <w:color w:val="000000" w:themeColor="text1"/>
          <w:szCs w:val="24"/>
        </w:rPr>
        <w:t>周围剂量当量率应小于</w:t>
      </w:r>
      <w:r w:rsidRPr="00B12FE0">
        <w:rPr>
          <w:color w:val="000000" w:themeColor="text1"/>
          <w:szCs w:val="24"/>
        </w:rPr>
        <w:lastRenderedPageBreak/>
        <w:t>2.5μSvh</w:t>
      </w:r>
      <w:r w:rsidRPr="00B12FE0">
        <w:rPr>
          <w:color w:val="000000" w:themeColor="text1"/>
          <w:szCs w:val="24"/>
        </w:rPr>
        <w:t>；</w:t>
      </w:r>
      <w:r w:rsidRPr="00B12FE0">
        <w:rPr>
          <w:bCs/>
          <w:snapToGrid w:val="0"/>
          <w:color w:val="000000" w:themeColor="text1"/>
          <w:szCs w:val="24"/>
          <w:lang w:bidi="ar"/>
        </w:rPr>
        <w:t>放射性药物合成和分装箱体非正对人员操作位表面</w:t>
      </w:r>
      <w:r w:rsidRPr="00B12FE0">
        <w:rPr>
          <w:bCs/>
          <w:snapToGrid w:val="0"/>
          <w:color w:val="000000" w:themeColor="text1"/>
          <w:szCs w:val="24"/>
          <w:lang w:bidi="ar"/>
        </w:rPr>
        <w:t>30cm</w:t>
      </w:r>
      <w:r w:rsidRPr="00B12FE0">
        <w:rPr>
          <w:bCs/>
          <w:snapToGrid w:val="0"/>
          <w:color w:val="000000" w:themeColor="text1"/>
          <w:szCs w:val="24"/>
          <w:lang w:bidi="ar"/>
        </w:rPr>
        <w:t>处的</w:t>
      </w:r>
      <w:r w:rsidRPr="00B12FE0">
        <w:rPr>
          <w:color w:val="000000" w:themeColor="text1"/>
          <w:szCs w:val="24"/>
        </w:rPr>
        <w:t>周围剂量当量率应小于</w:t>
      </w:r>
      <w:r w:rsidRPr="00B12FE0">
        <w:rPr>
          <w:color w:val="000000" w:themeColor="text1"/>
          <w:szCs w:val="24"/>
        </w:rPr>
        <w:t>25μSvh</w:t>
      </w:r>
      <w:r w:rsidRPr="00B12FE0">
        <w:rPr>
          <w:color w:val="000000" w:themeColor="text1"/>
          <w:szCs w:val="24"/>
        </w:rPr>
        <w:t>。</w:t>
      </w:r>
      <w:r w:rsidRPr="00B12FE0">
        <w:rPr>
          <w:color w:val="000000" w:themeColor="text1"/>
          <w:szCs w:val="24"/>
        </w:rPr>
        <w:t>”</w:t>
      </w:r>
      <w:r w:rsidRPr="00B12FE0">
        <w:rPr>
          <w:color w:val="000000" w:themeColor="text1"/>
          <w:szCs w:val="24"/>
        </w:rPr>
        <w:t>的要求。</w:t>
      </w:r>
    </w:p>
    <w:p w14:paraId="16AE776E" w14:textId="77777777" w:rsidR="00A67F21" w:rsidRPr="00B12FE0" w:rsidRDefault="00000000">
      <w:pPr>
        <w:adjustRightInd w:val="0"/>
        <w:snapToGrid w:val="0"/>
        <w:spacing w:line="360" w:lineRule="auto"/>
        <w:ind w:firstLineChars="196" w:firstLine="472"/>
        <w:rPr>
          <w:b/>
          <w:bCs/>
          <w:snapToGrid w:val="0"/>
          <w:color w:val="000000" w:themeColor="text1"/>
          <w:szCs w:val="24"/>
        </w:rPr>
      </w:pPr>
      <w:r w:rsidRPr="00B12FE0">
        <w:rPr>
          <w:b/>
          <w:bCs/>
          <w:snapToGrid w:val="0"/>
          <w:color w:val="000000" w:themeColor="text1"/>
          <w:szCs w:val="24"/>
        </w:rPr>
        <w:t>（</w:t>
      </w:r>
      <w:r w:rsidRPr="00B12FE0">
        <w:rPr>
          <w:b/>
          <w:bCs/>
          <w:snapToGrid w:val="0"/>
          <w:color w:val="000000" w:themeColor="text1"/>
          <w:szCs w:val="24"/>
        </w:rPr>
        <w:t>2</w:t>
      </w:r>
      <w:r w:rsidRPr="00B12FE0">
        <w:rPr>
          <w:b/>
          <w:bCs/>
          <w:snapToGrid w:val="0"/>
          <w:color w:val="000000" w:themeColor="text1"/>
          <w:szCs w:val="24"/>
        </w:rPr>
        <w:t>）工作人员及公众个人剂量估算</w:t>
      </w:r>
    </w:p>
    <w:p w14:paraId="3E28857C" w14:textId="77777777" w:rsidR="00A67F21" w:rsidRPr="00B12FE0" w:rsidRDefault="00000000">
      <w:pPr>
        <w:adjustRightInd w:val="0"/>
        <w:snapToGrid w:val="0"/>
        <w:spacing w:line="360" w:lineRule="auto"/>
        <w:ind w:firstLineChars="196" w:firstLine="472"/>
        <w:rPr>
          <w:b/>
          <w:bCs/>
          <w:snapToGrid w:val="0"/>
          <w:color w:val="000000" w:themeColor="text1"/>
          <w:szCs w:val="24"/>
        </w:rPr>
      </w:pPr>
      <w:r w:rsidRPr="00B12FE0">
        <w:rPr>
          <w:rFonts w:ascii="Cambria Math" w:hAnsi="Cambria Math" w:cs="Cambria Math"/>
          <w:b/>
          <w:bCs/>
          <w:snapToGrid w:val="0"/>
          <w:color w:val="000000" w:themeColor="text1"/>
          <w:szCs w:val="24"/>
        </w:rPr>
        <w:t>①</w:t>
      </w:r>
      <w:r w:rsidRPr="00B12FE0">
        <w:rPr>
          <w:b/>
          <w:bCs/>
          <w:snapToGrid w:val="0"/>
          <w:color w:val="000000" w:themeColor="text1"/>
          <w:szCs w:val="24"/>
        </w:rPr>
        <w:t>工作负荷及计算参数</w:t>
      </w:r>
    </w:p>
    <w:p w14:paraId="3395CDAC" w14:textId="77777777" w:rsidR="00A67F21" w:rsidRPr="00B12FE0" w:rsidRDefault="00000000">
      <w:pPr>
        <w:adjustRightInd w:val="0"/>
        <w:snapToGrid w:val="0"/>
        <w:spacing w:line="360" w:lineRule="auto"/>
        <w:ind w:firstLine="480"/>
        <w:rPr>
          <w:snapToGrid w:val="0"/>
          <w:color w:val="000000" w:themeColor="text1"/>
          <w:szCs w:val="32"/>
        </w:rPr>
      </w:pPr>
      <w:r w:rsidRPr="00B12FE0">
        <w:rPr>
          <w:rFonts w:hAnsi="宋体"/>
          <w:snapToGrid w:val="0"/>
          <w:color w:val="000000" w:themeColor="text1"/>
          <w:szCs w:val="32"/>
        </w:rPr>
        <w:t>医院提前一天根据患者预定的药物数量，向回旋加速器控制室预定安排第二天的放射性药物生产量。回旋加速器运行期间，工作人员不进入加速器机房内，回旋加速器操作人员仅在加速器控制室内操作。回旋加速器打靶完成后，将制备的核素通过专用防护管道系统，在氦气推动下输送至热室房间的合成分装柜内</w:t>
      </w:r>
      <w:r w:rsidRPr="00B12FE0">
        <w:rPr>
          <w:snapToGrid w:val="0"/>
          <w:color w:val="000000" w:themeColor="text1"/>
          <w:szCs w:val="24"/>
        </w:rPr>
        <w:t>。工作人员在</w:t>
      </w:r>
      <w:r w:rsidRPr="00B12FE0">
        <w:rPr>
          <w:rFonts w:hAnsi="宋体"/>
          <w:snapToGrid w:val="0"/>
          <w:color w:val="000000" w:themeColor="text1"/>
          <w:szCs w:val="32"/>
        </w:rPr>
        <w:t>热室房间</w:t>
      </w:r>
      <w:r w:rsidRPr="00B12FE0">
        <w:rPr>
          <w:bCs/>
          <w:snapToGrid w:val="0"/>
          <w:color w:val="000000" w:themeColor="text1"/>
          <w:szCs w:val="24"/>
        </w:rPr>
        <w:t>内远程操控，并监控整个过程的执行情况。</w:t>
      </w:r>
    </w:p>
    <w:p w14:paraId="15002158" w14:textId="77777777" w:rsidR="00A67F21" w:rsidRPr="00B12FE0" w:rsidRDefault="00000000">
      <w:pPr>
        <w:adjustRightInd w:val="0"/>
        <w:snapToGrid w:val="0"/>
        <w:spacing w:line="360" w:lineRule="auto"/>
        <w:ind w:firstLine="480"/>
        <w:rPr>
          <w:snapToGrid w:val="0"/>
          <w:color w:val="000000" w:themeColor="text1"/>
          <w:szCs w:val="24"/>
        </w:rPr>
      </w:pPr>
      <w:r w:rsidRPr="00B12FE0">
        <w:rPr>
          <w:snapToGrid w:val="0"/>
          <w:color w:val="000000" w:themeColor="text1"/>
          <w:szCs w:val="32"/>
        </w:rPr>
        <w:t>药物制备完成后，工作人员进入</w:t>
      </w:r>
      <w:r w:rsidRPr="00B12FE0">
        <w:rPr>
          <w:rFonts w:hAnsi="宋体"/>
          <w:snapToGrid w:val="0"/>
          <w:color w:val="000000" w:themeColor="text1"/>
          <w:szCs w:val="32"/>
        </w:rPr>
        <w:t>热室房间</w:t>
      </w:r>
      <w:r w:rsidRPr="00B12FE0">
        <w:rPr>
          <w:snapToGrid w:val="0"/>
          <w:color w:val="000000" w:themeColor="text1"/>
          <w:szCs w:val="32"/>
        </w:rPr>
        <w:t>将分装柜装有药物</w:t>
      </w:r>
      <w:proofErr w:type="gramStart"/>
      <w:r w:rsidRPr="00B12FE0">
        <w:rPr>
          <w:snapToGrid w:val="0"/>
          <w:color w:val="000000" w:themeColor="text1"/>
          <w:szCs w:val="32"/>
        </w:rPr>
        <w:t>的铅罐取出</w:t>
      </w:r>
      <w:proofErr w:type="gramEnd"/>
      <w:r w:rsidRPr="00B12FE0">
        <w:rPr>
          <w:snapToGrid w:val="0"/>
          <w:color w:val="000000" w:themeColor="text1"/>
          <w:szCs w:val="32"/>
        </w:rPr>
        <w:t>，</w:t>
      </w:r>
      <w:r w:rsidRPr="00B12FE0">
        <w:rPr>
          <w:snapToGrid w:val="0"/>
          <w:color w:val="000000" w:themeColor="text1"/>
          <w:szCs w:val="24"/>
        </w:rPr>
        <w:t>药物</w:t>
      </w:r>
      <w:proofErr w:type="gramStart"/>
      <w:r w:rsidRPr="00B12FE0">
        <w:rPr>
          <w:snapToGrid w:val="0"/>
          <w:color w:val="000000" w:themeColor="text1"/>
          <w:szCs w:val="24"/>
        </w:rPr>
        <w:t>铅罐</w:t>
      </w:r>
      <w:r w:rsidRPr="00B12FE0">
        <w:rPr>
          <w:snapToGrid w:val="0"/>
          <w:color w:val="000000" w:themeColor="text1"/>
          <w:kern w:val="0"/>
          <w:szCs w:val="24"/>
        </w:rPr>
        <w:t>通过</w:t>
      </w:r>
      <w:proofErr w:type="gramEnd"/>
      <w:r w:rsidRPr="00B12FE0">
        <w:rPr>
          <w:snapToGrid w:val="0"/>
          <w:color w:val="000000" w:themeColor="text1"/>
          <w:kern w:val="0"/>
          <w:szCs w:val="24"/>
        </w:rPr>
        <w:t>药物传递窗送达</w:t>
      </w:r>
      <w:r w:rsidRPr="00B12FE0">
        <w:rPr>
          <w:snapToGrid w:val="0"/>
          <w:color w:val="000000" w:themeColor="text1"/>
          <w:szCs w:val="24"/>
        </w:rPr>
        <w:t>外包间，药物</w:t>
      </w:r>
      <w:proofErr w:type="gramStart"/>
      <w:r w:rsidRPr="00B12FE0">
        <w:rPr>
          <w:snapToGrid w:val="0"/>
          <w:color w:val="000000" w:themeColor="text1"/>
          <w:szCs w:val="24"/>
        </w:rPr>
        <w:t>铅罐使用</w:t>
      </w:r>
      <w:proofErr w:type="gramEnd"/>
      <w:r w:rsidRPr="00B12FE0">
        <w:rPr>
          <w:snapToGrid w:val="0"/>
          <w:color w:val="000000" w:themeColor="text1"/>
          <w:szCs w:val="24"/>
        </w:rPr>
        <w:t>长柄转运小推车进行药物转运，</w:t>
      </w:r>
      <w:r w:rsidRPr="00B12FE0">
        <w:rPr>
          <w:snapToGrid w:val="0"/>
          <w:color w:val="000000" w:themeColor="text1"/>
          <w:szCs w:val="32"/>
        </w:rPr>
        <w:t>转运至核素诊断场所高活室。质检环节取</w:t>
      </w:r>
      <w:r w:rsidRPr="00B12FE0">
        <w:rPr>
          <w:snapToGrid w:val="0"/>
          <w:color w:val="000000" w:themeColor="text1"/>
          <w:szCs w:val="32"/>
        </w:rPr>
        <w:t>0.1mCi</w:t>
      </w:r>
      <w:r w:rsidRPr="00B12FE0">
        <w:rPr>
          <w:snapToGrid w:val="0"/>
          <w:color w:val="000000" w:themeColor="text1"/>
          <w:szCs w:val="32"/>
        </w:rPr>
        <w:t>药物在全检质控室的通风橱中进行质检，</w:t>
      </w:r>
      <w:r w:rsidRPr="00B12FE0">
        <w:rPr>
          <w:bCs/>
          <w:snapToGrid w:val="0"/>
          <w:color w:val="000000" w:themeColor="text1"/>
          <w:szCs w:val="24"/>
        </w:rPr>
        <w:t>质检后产生的质检废弃物（硅胶板、一次性毛细吸管）暂存在</w:t>
      </w:r>
      <w:r w:rsidRPr="00B12FE0">
        <w:rPr>
          <w:rFonts w:hint="eastAsia"/>
          <w:snapToGrid w:val="0"/>
          <w:color w:val="000000" w:themeColor="text1"/>
          <w:szCs w:val="32"/>
        </w:rPr>
        <w:t>放化实验</w:t>
      </w:r>
      <w:r w:rsidRPr="00B12FE0">
        <w:rPr>
          <w:snapToGrid w:val="0"/>
          <w:color w:val="000000" w:themeColor="text1"/>
          <w:szCs w:val="32"/>
        </w:rPr>
        <w:t>室</w:t>
      </w:r>
      <w:r w:rsidRPr="00B12FE0">
        <w:rPr>
          <w:bCs/>
          <w:snapToGrid w:val="0"/>
          <w:color w:val="000000" w:themeColor="text1"/>
          <w:szCs w:val="24"/>
        </w:rPr>
        <w:t>的放射性废物铅桶中，定期转移至医院废物间暂存。人员工作负荷见表</w:t>
      </w:r>
      <w:r w:rsidRPr="00B12FE0">
        <w:rPr>
          <w:snapToGrid w:val="0"/>
          <w:color w:val="000000" w:themeColor="text1"/>
          <w:szCs w:val="28"/>
        </w:rPr>
        <w:t>9.1.1.5-2</w:t>
      </w:r>
      <w:r w:rsidRPr="00B12FE0">
        <w:rPr>
          <w:snapToGrid w:val="0"/>
          <w:color w:val="000000" w:themeColor="text1"/>
          <w:szCs w:val="28"/>
        </w:rPr>
        <w:t>。</w:t>
      </w:r>
    </w:p>
    <w:p w14:paraId="410BE8FD" w14:textId="77777777" w:rsidR="00A67F21" w:rsidRPr="00B12FE0" w:rsidRDefault="00000000">
      <w:pPr>
        <w:adjustRightInd w:val="0"/>
        <w:snapToGrid w:val="0"/>
        <w:spacing w:line="360" w:lineRule="auto"/>
        <w:ind w:firstLineChars="196" w:firstLine="472"/>
        <w:rPr>
          <w:b/>
          <w:bCs/>
          <w:snapToGrid w:val="0"/>
          <w:color w:val="000000" w:themeColor="text1"/>
          <w:szCs w:val="24"/>
        </w:rPr>
      </w:pPr>
      <w:r w:rsidRPr="00B12FE0">
        <w:rPr>
          <w:rFonts w:ascii="Cambria Math" w:hAnsi="Cambria Math" w:cs="Cambria Math"/>
          <w:b/>
          <w:bCs/>
          <w:snapToGrid w:val="0"/>
          <w:color w:val="000000" w:themeColor="text1"/>
          <w:szCs w:val="24"/>
        </w:rPr>
        <w:t>②</w:t>
      </w:r>
      <w:r w:rsidRPr="00B12FE0">
        <w:rPr>
          <w:b/>
          <w:bCs/>
          <w:snapToGrid w:val="0"/>
          <w:color w:val="000000" w:themeColor="text1"/>
          <w:szCs w:val="24"/>
        </w:rPr>
        <w:t>辐射工作人员受照剂量估算</w:t>
      </w:r>
    </w:p>
    <w:p w14:paraId="00F5F859" w14:textId="77777777" w:rsidR="00A67F21" w:rsidRPr="00B12FE0" w:rsidRDefault="00000000">
      <w:pPr>
        <w:overflowPunct w:val="0"/>
        <w:autoSpaceDE w:val="0"/>
        <w:autoSpaceDN w:val="0"/>
        <w:adjustRightInd w:val="0"/>
        <w:snapToGrid w:val="0"/>
        <w:spacing w:line="360" w:lineRule="auto"/>
        <w:ind w:firstLineChars="200" w:firstLine="480"/>
        <w:jc w:val="left"/>
        <w:rPr>
          <w:snapToGrid w:val="0"/>
          <w:color w:val="000000" w:themeColor="text1"/>
          <w:kern w:val="0"/>
          <w:szCs w:val="24"/>
        </w:rPr>
      </w:pPr>
      <w:r w:rsidRPr="00B12FE0">
        <w:rPr>
          <w:snapToGrid w:val="0"/>
          <w:color w:val="000000" w:themeColor="text1"/>
          <w:kern w:val="0"/>
          <w:szCs w:val="24"/>
        </w:rPr>
        <w:t>根据预测的</w:t>
      </w:r>
      <w:proofErr w:type="gramStart"/>
      <w:r w:rsidRPr="00B12FE0">
        <w:rPr>
          <w:snapToGrid w:val="0"/>
          <w:color w:val="000000" w:themeColor="text1"/>
          <w:kern w:val="0"/>
          <w:szCs w:val="24"/>
        </w:rPr>
        <w:t>各关注</w:t>
      </w:r>
      <w:proofErr w:type="gramEnd"/>
      <w:r w:rsidRPr="00B12FE0">
        <w:rPr>
          <w:snapToGrid w:val="0"/>
          <w:color w:val="000000" w:themeColor="text1"/>
          <w:kern w:val="0"/>
          <w:szCs w:val="24"/>
        </w:rPr>
        <w:t>点处辐射剂量率，结合医院预估工作量，关注点处人员居留因子等参数，由式</w:t>
      </w:r>
      <w:r w:rsidRPr="00B12FE0">
        <w:rPr>
          <w:snapToGrid w:val="0"/>
          <w:color w:val="000000" w:themeColor="text1"/>
          <w:szCs w:val="24"/>
        </w:rPr>
        <w:t>11.2.1.1-3</w:t>
      </w:r>
      <w:r w:rsidRPr="00B12FE0">
        <w:rPr>
          <w:snapToGrid w:val="0"/>
          <w:color w:val="000000" w:themeColor="text1"/>
          <w:kern w:val="0"/>
          <w:szCs w:val="24"/>
        </w:rPr>
        <w:t>计算即可得到辐射工作人员的年有效剂量，见表</w:t>
      </w:r>
      <w:r w:rsidRPr="00B12FE0">
        <w:rPr>
          <w:snapToGrid w:val="0"/>
          <w:color w:val="000000" w:themeColor="text1"/>
          <w:szCs w:val="24"/>
        </w:rPr>
        <w:t>11.2.1.1-8</w:t>
      </w:r>
      <w:r w:rsidRPr="00B12FE0">
        <w:rPr>
          <w:snapToGrid w:val="0"/>
          <w:color w:val="000000" w:themeColor="text1"/>
          <w:kern w:val="0"/>
          <w:szCs w:val="24"/>
        </w:rPr>
        <w:t>。关注点人员的有效剂量由方杰主编的《辐射防护导论》中的公式计算，计算公式如下：</w:t>
      </w:r>
    </w:p>
    <w:p w14:paraId="774517EA" w14:textId="77777777" w:rsidR="00A67F21" w:rsidRPr="00B12FE0" w:rsidRDefault="00000000">
      <w:pPr>
        <w:adjustRightInd w:val="0"/>
        <w:snapToGrid w:val="0"/>
        <w:spacing w:line="360" w:lineRule="auto"/>
        <w:jc w:val="center"/>
        <w:rPr>
          <w:rFonts w:eastAsia="TimesNewRomanPSMT"/>
          <w:snapToGrid w:val="0"/>
          <w:color w:val="000000" w:themeColor="text1"/>
          <w:kern w:val="0"/>
          <w:szCs w:val="24"/>
        </w:rPr>
      </w:pPr>
      <w:proofErr w:type="spellStart"/>
      <w:r w:rsidRPr="00B12FE0">
        <w:rPr>
          <w:i/>
          <w:snapToGrid w:val="0"/>
          <w:color w:val="000000" w:themeColor="text1"/>
          <w:kern w:val="0"/>
          <w:szCs w:val="24"/>
        </w:rPr>
        <w:t>D</w:t>
      </w:r>
      <w:r w:rsidRPr="00B12FE0">
        <w:rPr>
          <w:i/>
          <w:snapToGrid w:val="0"/>
          <w:color w:val="000000" w:themeColor="text1"/>
          <w:kern w:val="0"/>
          <w:szCs w:val="24"/>
          <w:vertAlign w:val="subscript"/>
        </w:rPr>
        <w:t>Eff</w:t>
      </w:r>
      <w:proofErr w:type="spellEnd"/>
      <w:r w:rsidRPr="00B12FE0">
        <w:rPr>
          <w:i/>
          <w:snapToGrid w:val="0"/>
          <w:color w:val="000000" w:themeColor="text1"/>
          <w:kern w:val="0"/>
          <w:szCs w:val="24"/>
        </w:rPr>
        <w:t>=</w:t>
      </w:r>
      <w:proofErr w:type="spellStart"/>
      <w:r w:rsidRPr="00B12FE0">
        <w:rPr>
          <w:i/>
          <w:snapToGrid w:val="0"/>
          <w:color w:val="000000" w:themeColor="text1"/>
          <w:kern w:val="0"/>
          <w:szCs w:val="24"/>
        </w:rPr>
        <w:t>Dr×t×T</w:t>
      </w:r>
      <w:proofErr w:type="spellEnd"/>
      <w:r w:rsidRPr="00B12FE0">
        <w:rPr>
          <w:snapToGrid w:val="0"/>
          <w:color w:val="000000" w:themeColor="text1"/>
          <w:position w:val="2"/>
          <w:szCs w:val="24"/>
        </w:rPr>
        <w:t>………………………</w:t>
      </w:r>
      <w:r w:rsidRPr="00B12FE0">
        <w:rPr>
          <w:snapToGrid w:val="0"/>
          <w:color w:val="000000" w:themeColor="text1"/>
          <w:kern w:val="0"/>
          <w:szCs w:val="24"/>
        </w:rPr>
        <w:t>（式</w:t>
      </w:r>
      <w:r w:rsidRPr="00B12FE0">
        <w:rPr>
          <w:snapToGrid w:val="0"/>
          <w:color w:val="000000" w:themeColor="text1"/>
          <w:szCs w:val="24"/>
        </w:rPr>
        <w:t>11.2.1.1-3</w:t>
      </w:r>
      <w:r w:rsidRPr="00B12FE0">
        <w:rPr>
          <w:snapToGrid w:val="0"/>
          <w:color w:val="000000" w:themeColor="text1"/>
          <w:kern w:val="0"/>
          <w:szCs w:val="24"/>
        </w:rPr>
        <w:t>）</w:t>
      </w:r>
    </w:p>
    <w:p w14:paraId="30B364F2" w14:textId="77777777" w:rsidR="00A67F21" w:rsidRPr="00B12FE0" w:rsidRDefault="00000000">
      <w:pPr>
        <w:kinsoku w:val="0"/>
        <w:overflowPunct w:val="0"/>
        <w:autoSpaceDE w:val="0"/>
        <w:autoSpaceDN w:val="0"/>
        <w:adjustRightInd w:val="0"/>
        <w:snapToGrid w:val="0"/>
        <w:spacing w:line="360" w:lineRule="auto"/>
        <w:ind w:firstLineChars="200" w:firstLine="480"/>
        <w:jc w:val="left"/>
        <w:rPr>
          <w:snapToGrid w:val="0"/>
          <w:color w:val="000000" w:themeColor="text1"/>
          <w:kern w:val="0"/>
          <w:szCs w:val="24"/>
        </w:rPr>
      </w:pPr>
      <w:r w:rsidRPr="00B12FE0">
        <w:rPr>
          <w:snapToGrid w:val="0"/>
          <w:color w:val="000000" w:themeColor="text1"/>
          <w:kern w:val="0"/>
          <w:szCs w:val="24"/>
        </w:rPr>
        <w:t>式中：</w:t>
      </w:r>
    </w:p>
    <w:p w14:paraId="6D345D5F" w14:textId="77777777" w:rsidR="00A67F21" w:rsidRPr="00B12FE0" w:rsidRDefault="00000000">
      <w:pPr>
        <w:kinsoku w:val="0"/>
        <w:overflowPunct w:val="0"/>
        <w:autoSpaceDE w:val="0"/>
        <w:autoSpaceDN w:val="0"/>
        <w:adjustRightInd w:val="0"/>
        <w:snapToGrid w:val="0"/>
        <w:spacing w:line="360" w:lineRule="auto"/>
        <w:ind w:firstLineChars="400" w:firstLine="960"/>
        <w:jc w:val="left"/>
        <w:rPr>
          <w:snapToGrid w:val="0"/>
          <w:color w:val="000000" w:themeColor="text1"/>
          <w:kern w:val="0"/>
          <w:szCs w:val="24"/>
        </w:rPr>
      </w:pPr>
      <w:proofErr w:type="spellStart"/>
      <w:r w:rsidRPr="00B12FE0">
        <w:rPr>
          <w:i/>
          <w:snapToGrid w:val="0"/>
          <w:color w:val="000000" w:themeColor="text1"/>
          <w:kern w:val="0"/>
          <w:szCs w:val="24"/>
        </w:rPr>
        <w:t>D</w:t>
      </w:r>
      <w:r w:rsidRPr="00B12FE0">
        <w:rPr>
          <w:i/>
          <w:snapToGrid w:val="0"/>
          <w:color w:val="000000" w:themeColor="text1"/>
          <w:kern w:val="0"/>
          <w:szCs w:val="24"/>
          <w:vertAlign w:val="subscript"/>
        </w:rPr>
        <w:t>Eff</w:t>
      </w:r>
      <w:proofErr w:type="spellEnd"/>
      <w:r w:rsidRPr="00B12FE0">
        <w:rPr>
          <w:snapToGrid w:val="0"/>
          <w:color w:val="000000" w:themeColor="text1"/>
          <w:szCs w:val="24"/>
        </w:rPr>
        <w:t>——</w:t>
      </w:r>
      <w:r w:rsidRPr="00B12FE0">
        <w:rPr>
          <w:snapToGrid w:val="0"/>
          <w:color w:val="000000" w:themeColor="text1"/>
          <w:kern w:val="0"/>
          <w:szCs w:val="24"/>
        </w:rPr>
        <w:t>辐射外照射人均年有效剂量，</w:t>
      </w:r>
      <w:r w:rsidRPr="00B12FE0">
        <w:rPr>
          <w:snapToGrid w:val="0"/>
          <w:color w:val="000000" w:themeColor="text1"/>
          <w:kern w:val="0"/>
          <w:szCs w:val="24"/>
        </w:rPr>
        <w:t>Sv</w:t>
      </w:r>
      <w:r w:rsidRPr="00B12FE0">
        <w:rPr>
          <w:snapToGrid w:val="0"/>
          <w:color w:val="000000" w:themeColor="text1"/>
          <w:kern w:val="0"/>
          <w:szCs w:val="24"/>
        </w:rPr>
        <w:t>；</w:t>
      </w:r>
    </w:p>
    <w:p w14:paraId="0CEEEDF7" w14:textId="77777777" w:rsidR="00A67F21" w:rsidRPr="00B12FE0" w:rsidRDefault="00000000">
      <w:pPr>
        <w:kinsoku w:val="0"/>
        <w:overflowPunct w:val="0"/>
        <w:autoSpaceDE w:val="0"/>
        <w:autoSpaceDN w:val="0"/>
        <w:adjustRightInd w:val="0"/>
        <w:snapToGrid w:val="0"/>
        <w:spacing w:line="360" w:lineRule="auto"/>
        <w:ind w:firstLineChars="400" w:firstLine="960"/>
        <w:jc w:val="left"/>
        <w:rPr>
          <w:snapToGrid w:val="0"/>
          <w:color w:val="000000" w:themeColor="text1"/>
          <w:kern w:val="0"/>
          <w:szCs w:val="24"/>
        </w:rPr>
      </w:pPr>
      <w:r w:rsidRPr="00B12FE0">
        <w:rPr>
          <w:i/>
          <w:iCs/>
          <w:snapToGrid w:val="0"/>
          <w:color w:val="000000" w:themeColor="text1"/>
          <w:kern w:val="0"/>
          <w:szCs w:val="24"/>
        </w:rPr>
        <w:t>Dr</w:t>
      </w:r>
      <w:r w:rsidRPr="00B12FE0">
        <w:rPr>
          <w:snapToGrid w:val="0"/>
          <w:color w:val="000000" w:themeColor="text1"/>
          <w:szCs w:val="24"/>
        </w:rPr>
        <w:t>——</w:t>
      </w:r>
      <w:r w:rsidRPr="00B12FE0">
        <w:rPr>
          <w:snapToGrid w:val="0"/>
          <w:color w:val="000000" w:themeColor="text1"/>
          <w:kern w:val="0"/>
          <w:szCs w:val="24"/>
        </w:rPr>
        <w:t>辐射剂量率，</w:t>
      </w:r>
      <w:r w:rsidRPr="00B12FE0">
        <w:rPr>
          <w:snapToGrid w:val="0"/>
          <w:color w:val="000000" w:themeColor="text1"/>
          <w:kern w:val="0"/>
          <w:szCs w:val="24"/>
        </w:rPr>
        <w:t>Sv/h</w:t>
      </w:r>
      <w:r w:rsidRPr="00B12FE0">
        <w:rPr>
          <w:snapToGrid w:val="0"/>
          <w:color w:val="000000" w:themeColor="text1"/>
          <w:kern w:val="0"/>
          <w:szCs w:val="24"/>
        </w:rPr>
        <w:t>；</w:t>
      </w:r>
    </w:p>
    <w:p w14:paraId="452BD84C" w14:textId="77777777" w:rsidR="00A67F21" w:rsidRPr="00B12FE0" w:rsidRDefault="00000000">
      <w:pPr>
        <w:kinsoku w:val="0"/>
        <w:overflowPunct w:val="0"/>
        <w:autoSpaceDE w:val="0"/>
        <w:autoSpaceDN w:val="0"/>
        <w:adjustRightInd w:val="0"/>
        <w:snapToGrid w:val="0"/>
        <w:spacing w:line="360" w:lineRule="auto"/>
        <w:ind w:firstLineChars="400" w:firstLine="960"/>
        <w:jc w:val="left"/>
        <w:rPr>
          <w:snapToGrid w:val="0"/>
          <w:color w:val="000000" w:themeColor="text1"/>
          <w:kern w:val="0"/>
          <w:szCs w:val="24"/>
        </w:rPr>
      </w:pPr>
      <w:r w:rsidRPr="00B12FE0">
        <w:rPr>
          <w:i/>
          <w:snapToGrid w:val="0"/>
          <w:color w:val="000000" w:themeColor="text1"/>
          <w:kern w:val="0"/>
          <w:szCs w:val="24"/>
        </w:rPr>
        <w:t>t</w:t>
      </w:r>
      <w:r w:rsidRPr="00B12FE0">
        <w:rPr>
          <w:snapToGrid w:val="0"/>
          <w:color w:val="000000" w:themeColor="text1"/>
          <w:szCs w:val="24"/>
        </w:rPr>
        <w:t>——</w:t>
      </w:r>
      <w:r w:rsidRPr="00B12FE0">
        <w:rPr>
          <w:snapToGrid w:val="0"/>
          <w:color w:val="000000" w:themeColor="text1"/>
          <w:kern w:val="0"/>
          <w:szCs w:val="24"/>
        </w:rPr>
        <w:t>年工作时间，</w:t>
      </w:r>
      <w:r w:rsidRPr="00B12FE0">
        <w:rPr>
          <w:snapToGrid w:val="0"/>
          <w:color w:val="000000" w:themeColor="text1"/>
          <w:kern w:val="0"/>
          <w:szCs w:val="24"/>
        </w:rPr>
        <w:t>h</w:t>
      </w:r>
      <w:r w:rsidRPr="00B12FE0">
        <w:rPr>
          <w:snapToGrid w:val="0"/>
          <w:color w:val="000000" w:themeColor="text1"/>
          <w:kern w:val="0"/>
          <w:szCs w:val="24"/>
        </w:rPr>
        <w:t>；</w:t>
      </w:r>
    </w:p>
    <w:p w14:paraId="3E15C4F6" w14:textId="77777777" w:rsidR="00A67F21" w:rsidRPr="00B12FE0" w:rsidRDefault="00000000">
      <w:pPr>
        <w:kinsoku w:val="0"/>
        <w:overflowPunct w:val="0"/>
        <w:autoSpaceDE w:val="0"/>
        <w:autoSpaceDN w:val="0"/>
        <w:adjustRightInd w:val="0"/>
        <w:snapToGrid w:val="0"/>
        <w:spacing w:line="360" w:lineRule="auto"/>
        <w:ind w:firstLineChars="400" w:firstLine="960"/>
        <w:jc w:val="left"/>
        <w:rPr>
          <w:snapToGrid w:val="0"/>
          <w:color w:val="000000" w:themeColor="text1"/>
          <w:kern w:val="0"/>
          <w:szCs w:val="24"/>
        </w:rPr>
      </w:pPr>
      <w:r w:rsidRPr="00B12FE0">
        <w:rPr>
          <w:i/>
          <w:snapToGrid w:val="0"/>
          <w:color w:val="000000" w:themeColor="text1"/>
          <w:kern w:val="0"/>
          <w:szCs w:val="24"/>
        </w:rPr>
        <w:t>T</w:t>
      </w:r>
      <w:r w:rsidRPr="00B12FE0">
        <w:rPr>
          <w:snapToGrid w:val="0"/>
          <w:color w:val="000000" w:themeColor="text1"/>
          <w:szCs w:val="24"/>
        </w:rPr>
        <w:t>——</w:t>
      </w:r>
      <w:r w:rsidRPr="00B12FE0">
        <w:rPr>
          <w:snapToGrid w:val="0"/>
          <w:color w:val="000000" w:themeColor="text1"/>
          <w:kern w:val="0"/>
          <w:szCs w:val="24"/>
        </w:rPr>
        <w:t>居留因子；</w:t>
      </w:r>
    </w:p>
    <w:p w14:paraId="6431D3AD"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居留因子参照《放射治疗辐射安全与防护要求》（</w:t>
      </w:r>
      <w:r w:rsidRPr="00B12FE0">
        <w:rPr>
          <w:snapToGrid w:val="0"/>
          <w:color w:val="000000" w:themeColor="text1"/>
          <w:szCs w:val="24"/>
        </w:rPr>
        <w:t>HJ1198-2021</w:t>
      </w:r>
      <w:r w:rsidRPr="00B12FE0">
        <w:rPr>
          <w:snapToGrid w:val="0"/>
          <w:color w:val="000000" w:themeColor="text1"/>
          <w:szCs w:val="24"/>
        </w:rPr>
        <w:t>）选取，具体数值见表</w:t>
      </w:r>
      <w:r w:rsidRPr="00B12FE0">
        <w:rPr>
          <w:snapToGrid w:val="0"/>
          <w:color w:val="000000" w:themeColor="text1"/>
          <w:szCs w:val="24"/>
        </w:rPr>
        <w:t>11.2.1.1-7</w:t>
      </w:r>
      <w:r w:rsidRPr="00B12FE0">
        <w:rPr>
          <w:snapToGrid w:val="0"/>
          <w:color w:val="000000" w:themeColor="text1"/>
          <w:szCs w:val="24"/>
        </w:rPr>
        <w:t>。</w:t>
      </w:r>
    </w:p>
    <w:p w14:paraId="66928A88" w14:textId="77777777" w:rsidR="00A67F21" w:rsidRPr="00B12FE0" w:rsidRDefault="00000000">
      <w:pPr>
        <w:adjustRightInd w:val="0"/>
        <w:snapToGrid w:val="0"/>
        <w:spacing w:line="360" w:lineRule="auto"/>
        <w:jc w:val="center"/>
        <w:rPr>
          <w:b/>
          <w:snapToGrid w:val="0"/>
          <w:color w:val="000000" w:themeColor="text1"/>
          <w:sz w:val="21"/>
          <w:szCs w:val="21"/>
        </w:rPr>
      </w:pPr>
      <w:r w:rsidRPr="00B12FE0">
        <w:rPr>
          <w:b/>
          <w:snapToGrid w:val="0"/>
          <w:color w:val="000000" w:themeColor="text1"/>
          <w:sz w:val="21"/>
          <w:szCs w:val="24"/>
        </w:rPr>
        <w:t>表</w:t>
      </w:r>
      <w:r w:rsidRPr="00B12FE0">
        <w:rPr>
          <w:b/>
          <w:snapToGrid w:val="0"/>
          <w:color w:val="000000" w:themeColor="text1"/>
          <w:sz w:val="21"/>
          <w:szCs w:val="24"/>
        </w:rPr>
        <w:t xml:space="preserve">11.2.1.1-7  </w:t>
      </w:r>
      <w:r w:rsidRPr="00B12FE0">
        <w:rPr>
          <w:b/>
          <w:snapToGrid w:val="0"/>
          <w:color w:val="000000" w:themeColor="text1"/>
          <w:sz w:val="21"/>
          <w:szCs w:val="21"/>
        </w:rPr>
        <w:t>居留因子的选取</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47"/>
        <w:gridCol w:w="954"/>
        <w:gridCol w:w="1100"/>
        <w:gridCol w:w="5816"/>
      </w:tblGrid>
      <w:tr w:rsidR="00A67F21" w:rsidRPr="00B12FE0" w14:paraId="4DE59073" w14:textId="77777777">
        <w:trPr>
          <w:cantSplit/>
          <w:trHeight w:val="254"/>
          <w:jc w:val="center"/>
        </w:trPr>
        <w:tc>
          <w:tcPr>
            <w:tcW w:w="636" w:type="pct"/>
            <w:vMerge w:val="restart"/>
            <w:tcBorders>
              <w:top w:val="single" w:sz="4" w:space="0" w:color="auto"/>
              <w:left w:val="single" w:sz="4" w:space="0" w:color="auto"/>
              <w:bottom w:val="single" w:sz="6" w:space="0" w:color="auto"/>
              <w:right w:val="single" w:sz="4" w:space="0" w:color="auto"/>
            </w:tcBorders>
            <w:vAlign w:val="center"/>
          </w:tcPr>
          <w:p w14:paraId="1ED978D2"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场所</w:t>
            </w:r>
          </w:p>
        </w:tc>
        <w:tc>
          <w:tcPr>
            <w:tcW w:w="1139" w:type="pct"/>
            <w:gridSpan w:val="2"/>
            <w:tcBorders>
              <w:top w:val="single" w:sz="4" w:space="0" w:color="auto"/>
              <w:left w:val="single" w:sz="4" w:space="0" w:color="auto"/>
              <w:bottom w:val="single" w:sz="4" w:space="0" w:color="auto"/>
              <w:right w:val="single" w:sz="6" w:space="0" w:color="auto"/>
            </w:tcBorders>
            <w:vAlign w:val="center"/>
          </w:tcPr>
          <w:p w14:paraId="17FCDBF8"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居留因子（</w:t>
            </w:r>
            <w:r w:rsidRPr="00B12FE0">
              <w:rPr>
                <w:rFonts w:eastAsia="楷体"/>
                <w:snapToGrid w:val="0"/>
                <w:color w:val="000000" w:themeColor="text1"/>
                <w:sz w:val="21"/>
                <w:szCs w:val="21"/>
              </w:rPr>
              <w:t>T</w:t>
            </w:r>
            <w:r w:rsidRPr="00B12FE0">
              <w:rPr>
                <w:rFonts w:eastAsia="楷体"/>
                <w:snapToGrid w:val="0"/>
                <w:color w:val="000000" w:themeColor="text1"/>
                <w:sz w:val="21"/>
                <w:szCs w:val="21"/>
              </w:rPr>
              <w:t>）</w:t>
            </w:r>
          </w:p>
        </w:tc>
        <w:tc>
          <w:tcPr>
            <w:tcW w:w="3225" w:type="pct"/>
            <w:vMerge w:val="restart"/>
            <w:tcBorders>
              <w:top w:val="single" w:sz="4" w:space="0" w:color="auto"/>
              <w:left w:val="single" w:sz="6" w:space="0" w:color="auto"/>
              <w:bottom w:val="single" w:sz="6" w:space="0" w:color="auto"/>
              <w:right w:val="single" w:sz="4" w:space="0" w:color="auto"/>
            </w:tcBorders>
            <w:vAlign w:val="center"/>
          </w:tcPr>
          <w:p w14:paraId="5A8F7E1A"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停留位置</w:t>
            </w:r>
          </w:p>
        </w:tc>
      </w:tr>
      <w:tr w:rsidR="00A67F21" w:rsidRPr="00B12FE0" w14:paraId="296C9A4D" w14:textId="77777777">
        <w:trPr>
          <w:cantSplit/>
          <w:trHeight w:val="255"/>
          <w:jc w:val="center"/>
        </w:trPr>
        <w:tc>
          <w:tcPr>
            <w:tcW w:w="636" w:type="pct"/>
            <w:vMerge/>
            <w:tcBorders>
              <w:top w:val="single" w:sz="4" w:space="0" w:color="auto"/>
              <w:left w:val="single" w:sz="4" w:space="0" w:color="auto"/>
              <w:bottom w:val="single" w:sz="6" w:space="0" w:color="auto"/>
              <w:right w:val="single" w:sz="4" w:space="0" w:color="auto"/>
            </w:tcBorders>
            <w:vAlign w:val="center"/>
          </w:tcPr>
          <w:p w14:paraId="7AE35FEB" w14:textId="77777777" w:rsidR="00A67F21" w:rsidRPr="00B12FE0" w:rsidRDefault="00A67F21">
            <w:pPr>
              <w:widowControl/>
              <w:jc w:val="left"/>
              <w:rPr>
                <w:rFonts w:eastAsia="楷体"/>
                <w:snapToGrid w:val="0"/>
                <w:color w:val="000000" w:themeColor="text1"/>
                <w:sz w:val="21"/>
                <w:szCs w:val="21"/>
              </w:rPr>
            </w:pPr>
          </w:p>
        </w:tc>
        <w:tc>
          <w:tcPr>
            <w:tcW w:w="529" w:type="pct"/>
            <w:tcBorders>
              <w:top w:val="single" w:sz="4" w:space="0" w:color="auto"/>
              <w:left w:val="single" w:sz="4" w:space="0" w:color="auto"/>
              <w:bottom w:val="single" w:sz="6" w:space="0" w:color="auto"/>
              <w:right w:val="single" w:sz="4" w:space="0" w:color="auto"/>
            </w:tcBorders>
            <w:vAlign w:val="center"/>
          </w:tcPr>
          <w:p w14:paraId="7FE3B9E5"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典型值</w:t>
            </w:r>
          </w:p>
        </w:tc>
        <w:tc>
          <w:tcPr>
            <w:tcW w:w="610" w:type="pct"/>
            <w:tcBorders>
              <w:top w:val="single" w:sz="4" w:space="0" w:color="auto"/>
              <w:left w:val="single" w:sz="4" w:space="0" w:color="auto"/>
              <w:bottom w:val="single" w:sz="6" w:space="0" w:color="auto"/>
              <w:right w:val="single" w:sz="6" w:space="0" w:color="auto"/>
            </w:tcBorders>
            <w:vAlign w:val="center"/>
          </w:tcPr>
          <w:p w14:paraId="5E5F8C63"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范围</w:t>
            </w:r>
          </w:p>
        </w:tc>
        <w:tc>
          <w:tcPr>
            <w:tcW w:w="3225" w:type="pct"/>
            <w:vMerge/>
            <w:tcBorders>
              <w:top w:val="single" w:sz="4" w:space="0" w:color="auto"/>
              <w:left w:val="single" w:sz="6" w:space="0" w:color="auto"/>
              <w:bottom w:val="single" w:sz="6" w:space="0" w:color="auto"/>
              <w:right w:val="single" w:sz="4" w:space="0" w:color="auto"/>
            </w:tcBorders>
            <w:vAlign w:val="center"/>
          </w:tcPr>
          <w:p w14:paraId="12999818" w14:textId="77777777" w:rsidR="00A67F21" w:rsidRPr="00B12FE0" w:rsidRDefault="00A67F21">
            <w:pPr>
              <w:widowControl/>
              <w:jc w:val="left"/>
              <w:rPr>
                <w:rFonts w:eastAsia="楷体"/>
                <w:snapToGrid w:val="0"/>
                <w:color w:val="000000" w:themeColor="text1"/>
                <w:sz w:val="21"/>
                <w:szCs w:val="21"/>
              </w:rPr>
            </w:pPr>
          </w:p>
        </w:tc>
      </w:tr>
      <w:tr w:rsidR="00A67F21" w:rsidRPr="00B12FE0" w14:paraId="61BA28B1" w14:textId="77777777">
        <w:trPr>
          <w:cantSplit/>
          <w:trHeight w:val="269"/>
          <w:jc w:val="center"/>
        </w:trPr>
        <w:tc>
          <w:tcPr>
            <w:tcW w:w="636" w:type="pct"/>
            <w:tcBorders>
              <w:top w:val="single" w:sz="6" w:space="0" w:color="auto"/>
              <w:left w:val="single" w:sz="4" w:space="0" w:color="auto"/>
              <w:bottom w:val="single" w:sz="6" w:space="0" w:color="auto"/>
              <w:right w:val="single" w:sz="4" w:space="0" w:color="auto"/>
            </w:tcBorders>
            <w:vAlign w:val="center"/>
          </w:tcPr>
          <w:p w14:paraId="46683DAF"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lastRenderedPageBreak/>
              <w:t>全停留</w:t>
            </w:r>
          </w:p>
        </w:tc>
        <w:tc>
          <w:tcPr>
            <w:tcW w:w="529" w:type="pct"/>
            <w:tcBorders>
              <w:top w:val="single" w:sz="6" w:space="0" w:color="auto"/>
              <w:left w:val="single" w:sz="4" w:space="0" w:color="auto"/>
              <w:bottom w:val="single" w:sz="6" w:space="0" w:color="auto"/>
              <w:right w:val="single" w:sz="4" w:space="0" w:color="auto"/>
            </w:tcBorders>
            <w:vAlign w:val="center"/>
          </w:tcPr>
          <w:p w14:paraId="281347E1"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1</w:t>
            </w:r>
          </w:p>
        </w:tc>
        <w:tc>
          <w:tcPr>
            <w:tcW w:w="610" w:type="pct"/>
            <w:tcBorders>
              <w:top w:val="single" w:sz="6" w:space="0" w:color="auto"/>
              <w:left w:val="single" w:sz="4" w:space="0" w:color="auto"/>
              <w:bottom w:val="single" w:sz="6" w:space="0" w:color="auto"/>
              <w:right w:val="single" w:sz="6" w:space="0" w:color="auto"/>
            </w:tcBorders>
            <w:vAlign w:val="center"/>
          </w:tcPr>
          <w:p w14:paraId="06B94C66"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1</w:t>
            </w:r>
          </w:p>
        </w:tc>
        <w:tc>
          <w:tcPr>
            <w:tcW w:w="3225" w:type="pct"/>
            <w:tcBorders>
              <w:top w:val="single" w:sz="6" w:space="0" w:color="auto"/>
              <w:left w:val="single" w:sz="6" w:space="0" w:color="auto"/>
              <w:bottom w:val="single" w:sz="6" w:space="0" w:color="auto"/>
              <w:right w:val="single" w:sz="4" w:space="0" w:color="auto"/>
            </w:tcBorders>
            <w:vAlign w:val="center"/>
          </w:tcPr>
          <w:p w14:paraId="0DB48760" w14:textId="77777777" w:rsidR="00A67F21" w:rsidRPr="00B12FE0" w:rsidRDefault="00000000">
            <w:pPr>
              <w:adjustRightInd w:val="0"/>
              <w:snapToGrid w:val="0"/>
              <w:rPr>
                <w:rFonts w:eastAsia="华文楷体"/>
                <w:snapToGrid w:val="0"/>
                <w:color w:val="000000" w:themeColor="text1"/>
                <w:sz w:val="21"/>
                <w:szCs w:val="21"/>
              </w:rPr>
            </w:pPr>
            <w:r w:rsidRPr="00B12FE0">
              <w:rPr>
                <w:rFonts w:eastAsia="华文楷体"/>
                <w:snapToGrid w:val="0"/>
                <w:color w:val="000000" w:themeColor="text1"/>
                <w:sz w:val="21"/>
                <w:szCs w:val="21"/>
              </w:rPr>
              <w:t>管理人员或职员办公室、治疗计划区、治疗控制室、护士站、咨询台、有人护理的候诊室及周边建筑物中的驻留区</w:t>
            </w:r>
          </w:p>
        </w:tc>
      </w:tr>
      <w:tr w:rsidR="00A67F21" w:rsidRPr="00B12FE0" w14:paraId="1BCCF92D" w14:textId="77777777">
        <w:trPr>
          <w:cantSplit/>
          <w:trHeight w:val="709"/>
          <w:jc w:val="center"/>
        </w:trPr>
        <w:tc>
          <w:tcPr>
            <w:tcW w:w="636" w:type="pct"/>
            <w:tcBorders>
              <w:top w:val="single" w:sz="6" w:space="0" w:color="auto"/>
              <w:left w:val="single" w:sz="4" w:space="0" w:color="auto"/>
              <w:bottom w:val="single" w:sz="6" w:space="0" w:color="auto"/>
              <w:right w:val="single" w:sz="4" w:space="0" w:color="auto"/>
            </w:tcBorders>
            <w:vAlign w:val="center"/>
          </w:tcPr>
          <w:p w14:paraId="3DB7FEB2" w14:textId="77777777" w:rsidR="00A67F21" w:rsidRPr="00B12FE0" w:rsidRDefault="00000000">
            <w:pPr>
              <w:adjustRightInd w:val="0"/>
              <w:snapToGrid w:val="0"/>
              <w:jc w:val="center"/>
              <w:rPr>
                <w:rFonts w:eastAsia="楷体"/>
                <w:snapToGrid w:val="0"/>
                <w:color w:val="000000" w:themeColor="text1"/>
                <w:spacing w:val="-4"/>
                <w:sz w:val="21"/>
                <w:szCs w:val="21"/>
              </w:rPr>
            </w:pPr>
            <w:r w:rsidRPr="00B12FE0">
              <w:rPr>
                <w:rFonts w:eastAsia="楷体"/>
                <w:snapToGrid w:val="0"/>
                <w:color w:val="000000" w:themeColor="text1"/>
                <w:spacing w:val="-4"/>
                <w:sz w:val="21"/>
                <w:szCs w:val="21"/>
              </w:rPr>
              <w:t>部分停留</w:t>
            </w:r>
          </w:p>
        </w:tc>
        <w:tc>
          <w:tcPr>
            <w:tcW w:w="529" w:type="pct"/>
            <w:tcBorders>
              <w:top w:val="single" w:sz="6" w:space="0" w:color="auto"/>
              <w:left w:val="single" w:sz="4" w:space="0" w:color="auto"/>
              <w:bottom w:val="single" w:sz="6" w:space="0" w:color="auto"/>
              <w:right w:val="single" w:sz="4" w:space="0" w:color="auto"/>
            </w:tcBorders>
            <w:vAlign w:val="center"/>
          </w:tcPr>
          <w:p w14:paraId="56B2B7D2"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1/4</w:t>
            </w:r>
          </w:p>
        </w:tc>
        <w:tc>
          <w:tcPr>
            <w:tcW w:w="610" w:type="pct"/>
            <w:tcBorders>
              <w:top w:val="single" w:sz="6" w:space="0" w:color="auto"/>
              <w:left w:val="single" w:sz="4" w:space="0" w:color="auto"/>
              <w:bottom w:val="single" w:sz="6" w:space="0" w:color="auto"/>
              <w:right w:val="single" w:sz="6" w:space="0" w:color="auto"/>
            </w:tcBorders>
            <w:vAlign w:val="center"/>
          </w:tcPr>
          <w:p w14:paraId="2142E63B"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1/2-1/5</w:t>
            </w:r>
          </w:p>
        </w:tc>
        <w:tc>
          <w:tcPr>
            <w:tcW w:w="3225" w:type="pct"/>
            <w:tcBorders>
              <w:top w:val="single" w:sz="6" w:space="0" w:color="auto"/>
              <w:left w:val="single" w:sz="6" w:space="0" w:color="auto"/>
              <w:bottom w:val="single" w:sz="6" w:space="0" w:color="auto"/>
              <w:right w:val="single" w:sz="4" w:space="0" w:color="auto"/>
            </w:tcBorders>
            <w:vAlign w:val="center"/>
          </w:tcPr>
          <w:p w14:paraId="1E873157" w14:textId="77777777" w:rsidR="00A67F21" w:rsidRPr="00B12FE0" w:rsidRDefault="00000000">
            <w:pPr>
              <w:adjustRightInd w:val="0"/>
              <w:snapToGrid w:val="0"/>
              <w:rPr>
                <w:rFonts w:eastAsia="华文楷体"/>
                <w:snapToGrid w:val="0"/>
                <w:color w:val="000000" w:themeColor="text1"/>
                <w:sz w:val="21"/>
                <w:szCs w:val="21"/>
              </w:rPr>
            </w:pPr>
            <w:r w:rsidRPr="00B12FE0">
              <w:rPr>
                <w:rFonts w:eastAsia="华文楷体"/>
                <w:snapToGrid w:val="0"/>
                <w:color w:val="000000" w:themeColor="text1"/>
                <w:sz w:val="21"/>
                <w:szCs w:val="21"/>
              </w:rPr>
              <w:t>1/2</w:t>
            </w:r>
            <w:r w:rsidRPr="00B12FE0">
              <w:rPr>
                <w:rFonts w:eastAsia="华文楷体"/>
                <w:snapToGrid w:val="0"/>
                <w:color w:val="000000" w:themeColor="text1"/>
                <w:sz w:val="21"/>
                <w:szCs w:val="21"/>
              </w:rPr>
              <w:t>：相邻的治疗室、与屏蔽室相邻的病人检查室</w:t>
            </w:r>
          </w:p>
          <w:p w14:paraId="437C8A28" w14:textId="77777777" w:rsidR="00A67F21" w:rsidRPr="00B12FE0" w:rsidRDefault="00000000">
            <w:pPr>
              <w:adjustRightInd w:val="0"/>
              <w:snapToGrid w:val="0"/>
              <w:rPr>
                <w:rFonts w:eastAsia="华文楷体"/>
                <w:snapToGrid w:val="0"/>
                <w:color w:val="000000" w:themeColor="text1"/>
                <w:sz w:val="21"/>
                <w:szCs w:val="21"/>
              </w:rPr>
            </w:pPr>
            <w:r w:rsidRPr="00B12FE0">
              <w:rPr>
                <w:rFonts w:eastAsia="华文楷体"/>
                <w:snapToGrid w:val="0"/>
                <w:color w:val="000000" w:themeColor="text1"/>
                <w:sz w:val="21"/>
                <w:szCs w:val="21"/>
              </w:rPr>
              <w:t>1/5</w:t>
            </w:r>
            <w:r w:rsidRPr="00B12FE0">
              <w:rPr>
                <w:rFonts w:eastAsia="华文楷体"/>
                <w:snapToGrid w:val="0"/>
                <w:color w:val="000000" w:themeColor="text1"/>
                <w:sz w:val="21"/>
                <w:szCs w:val="21"/>
              </w:rPr>
              <w:t>：走廊、雇员休息室、职员休息室</w:t>
            </w:r>
          </w:p>
        </w:tc>
      </w:tr>
      <w:tr w:rsidR="00A67F21" w:rsidRPr="00B12FE0" w14:paraId="1889396F" w14:textId="77777777">
        <w:trPr>
          <w:cantSplit/>
          <w:trHeight w:val="1502"/>
          <w:jc w:val="center"/>
        </w:trPr>
        <w:tc>
          <w:tcPr>
            <w:tcW w:w="636" w:type="pct"/>
            <w:tcBorders>
              <w:top w:val="single" w:sz="6" w:space="0" w:color="auto"/>
              <w:left w:val="single" w:sz="4" w:space="0" w:color="auto"/>
              <w:bottom w:val="single" w:sz="4" w:space="0" w:color="auto"/>
              <w:right w:val="single" w:sz="4" w:space="0" w:color="auto"/>
            </w:tcBorders>
            <w:vAlign w:val="center"/>
          </w:tcPr>
          <w:p w14:paraId="217FE241" w14:textId="77777777" w:rsidR="00A67F21" w:rsidRPr="00B12FE0" w:rsidRDefault="00000000">
            <w:pPr>
              <w:adjustRightInd w:val="0"/>
              <w:snapToGrid w:val="0"/>
              <w:jc w:val="center"/>
              <w:rPr>
                <w:rFonts w:eastAsia="楷体"/>
                <w:snapToGrid w:val="0"/>
                <w:color w:val="000000" w:themeColor="text1"/>
                <w:spacing w:val="-4"/>
                <w:sz w:val="21"/>
                <w:szCs w:val="21"/>
              </w:rPr>
            </w:pPr>
            <w:r w:rsidRPr="00B12FE0">
              <w:rPr>
                <w:rFonts w:eastAsia="楷体"/>
                <w:snapToGrid w:val="0"/>
                <w:color w:val="000000" w:themeColor="text1"/>
                <w:spacing w:val="-4"/>
                <w:sz w:val="21"/>
                <w:szCs w:val="21"/>
              </w:rPr>
              <w:t>偶然停留</w:t>
            </w:r>
          </w:p>
        </w:tc>
        <w:tc>
          <w:tcPr>
            <w:tcW w:w="529" w:type="pct"/>
            <w:tcBorders>
              <w:top w:val="single" w:sz="6" w:space="0" w:color="auto"/>
              <w:left w:val="single" w:sz="4" w:space="0" w:color="auto"/>
              <w:bottom w:val="single" w:sz="4" w:space="0" w:color="auto"/>
              <w:right w:val="single" w:sz="4" w:space="0" w:color="auto"/>
            </w:tcBorders>
            <w:vAlign w:val="center"/>
          </w:tcPr>
          <w:p w14:paraId="4217A637"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1/16</w:t>
            </w:r>
          </w:p>
        </w:tc>
        <w:tc>
          <w:tcPr>
            <w:tcW w:w="610" w:type="pct"/>
            <w:tcBorders>
              <w:top w:val="single" w:sz="6" w:space="0" w:color="auto"/>
              <w:left w:val="single" w:sz="4" w:space="0" w:color="auto"/>
              <w:bottom w:val="single" w:sz="4" w:space="0" w:color="auto"/>
              <w:right w:val="single" w:sz="6" w:space="0" w:color="auto"/>
            </w:tcBorders>
            <w:vAlign w:val="center"/>
          </w:tcPr>
          <w:p w14:paraId="20505437" w14:textId="77777777" w:rsidR="00A67F21" w:rsidRPr="00B12FE0" w:rsidRDefault="00000000">
            <w:pPr>
              <w:adjustRightInd w:val="0"/>
              <w:snapToGrid w:val="0"/>
              <w:jc w:val="center"/>
              <w:rPr>
                <w:rFonts w:eastAsia="楷体"/>
                <w:snapToGrid w:val="0"/>
                <w:color w:val="000000" w:themeColor="text1"/>
                <w:sz w:val="21"/>
                <w:szCs w:val="21"/>
              </w:rPr>
            </w:pPr>
            <w:r w:rsidRPr="00B12FE0">
              <w:rPr>
                <w:rFonts w:eastAsia="楷体"/>
                <w:snapToGrid w:val="0"/>
                <w:color w:val="000000" w:themeColor="text1"/>
                <w:sz w:val="21"/>
                <w:szCs w:val="21"/>
              </w:rPr>
              <w:t>1/8-1/40</w:t>
            </w:r>
          </w:p>
        </w:tc>
        <w:tc>
          <w:tcPr>
            <w:tcW w:w="3225" w:type="pct"/>
            <w:tcBorders>
              <w:top w:val="single" w:sz="6" w:space="0" w:color="auto"/>
              <w:left w:val="single" w:sz="6" w:space="0" w:color="auto"/>
              <w:bottom w:val="single" w:sz="4" w:space="0" w:color="auto"/>
              <w:right w:val="single" w:sz="4" w:space="0" w:color="auto"/>
            </w:tcBorders>
            <w:vAlign w:val="center"/>
          </w:tcPr>
          <w:p w14:paraId="44BB795A" w14:textId="77777777" w:rsidR="00A67F21" w:rsidRPr="00B12FE0" w:rsidRDefault="00000000">
            <w:pPr>
              <w:adjustRightInd w:val="0"/>
              <w:snapToGrid w:val="0"/>
              <w:rPr>
                <w:rFonts w:eastAsia="华文楷体"/>
                <w:snapToGrid w:val="0"/>
                <w:color w:val="000000" w:themeColor="text1"/>
                <w:sz w:val="21"/>
                <w:szCs w:val="21"/>
              </w:rPr>
            </w:pPr>
            <w:r w:rsidRPr="00B12FE0">
              <w:rPr>
                <w:rFonts w:eastAsia="华文楷体"/>
                <w:snapToGrid w:val="0"/>
                <w:color w:val="000000" w:themeColor="text1"/>
                <w:sz w:val="21"/>
                <w:szCs w:val="21"/>
              </w:rPr>
              <w:t>1/8</w:t>
            </w:r>
            <w:r w:rsidRPr="00B12FE0">
              <w:rPr>
                <w:rFonts w:eastAsia="华文楷体"/>
                <w:snapToGrid w:val="0"/>
                <w:color w:val="000000" w:themeColor="text1"/>
                <w:sz w:val="21"/>
                <w:szCs w:val="21"/>
              </w:rPr>
              <w:t>：各治疗门</w:t>
            </w:r>
          </w:p>
          <w:p w14:paraId="672B5473" w14:textId="77777777" w:rsidR="00A67F21" w:rsidRPr="00B12FE0" w:rsidRDefault="00000000">
            <w:pPr>
              <w:adjustRightInd w:val="0"/>
              <w:snapToGrid w:val="0"/>
              <w:rPr>
                <w:rFonts w:eastAsia="华文楷体"/>
                <w:snapToGrid w:val="0"/>
                <w:color w:val="000000" w:themeColor="text1"/>
                <w:sz w:val="21"/>
                <w:szCs w:val="21"/>
              </w:rPr>
            </w:pPr>
            <w:r w:rsidRPr="00B12FE0">
              <w:rPr>
                <w:rFonts w:eastAsia="华文楷体"/>
                <w:snapToGrid w:val="0"/>
                <w:color w:val="000000" w:themeColor="text1"/>
                <w:sz w:val="21"/>
                <w:szCs w:val="21"/>
              </w:rPr>
              <w:t>1/20</w:t>
            </w:r>
            <w:r w:rsidRPr="00B12FE0">
              <w:rPr>
                <w:rFonts w:eastAsia="华文楷体"/>
                <w:snapToGrid w:val="0"/>
                <w:color w:val="000000" w:themeColor="text1"/>
                <w:sz w:val="21"/>
                <w:szCs w:val="21"/>
              </w:rPr>
              <w:t>：公厕、自动售货区、储藏室、设有座椅的户外区域、无人护理的候诊室、病人滞留区域、屋顶、门岗室</w:t>
            </w:r>
          </w:p>
          <w:p w14:paraId="0453A90E" w14:textId="77777777" w:rsidR="00A67F21" w:rsidRPr="00B12FE0" w:rsidRDefault="00000000">
            <w:pPr>
              <w:adjustRightInd w:val="0"/>
              <w:snapToGrid w:val="0"/>
              <w:rPr>
                <w:rFonts w:eastAsia="华文楷体"/>
                <w:snapToGrid w:val="0"/>
                <w:color w:val="000000" w:themeColor="text1"/>
                <w:sz w:val="21"/>
                <w:szCs w:val="21"/>
              </w:rPr>
            </w:pPr>
            <w:r w:rsidRPr="00B12FE0">
              <w:rPr>
                <w:rFonts w:eastAsia="华文楷体"/>
                <w:snapToGrid w:val="0"/>
                <w:color w:val="000000" w:themeColor="text1"/>
                <w:sz w:val="21"/>
                <w:szCs w:val="21"/>
              </w:rPr>
              <w:t>1/40</w:t>
            </w:r>
            <w:r w:rsidRPr="00B12FE0">
              <w:rPr>
                <w:rFonts w:eastAsia="华文楷体"/>
                <w:snapToGrid w:val="0"/>
                <w:color w:val="000000" w:themeColor="text1"/>
                <w:sz w:val="21"/>
                <w:szCs w:val="21"/>
              </w:rPr>
              <w:t>：仅有来往行人车辆的户外区域、无人看管的停车场，车辆自动卸货</w:t>
            </w:r>
            <w:r w:rsidRPr="00B12FE0">
              <w:rPr>
                <w:rFonts w:eastAsia="华文楷体"/>
                <w:snapToGrid w:val="0"/>
                <w:color w:val="000000" w:themeColor="text1"/>
                <w:sz w:val="21"/>
                <w:szCs w:val="21"/>
              </w:rPr>
              <w:t>/</w:t>
            </w:r>
            <w:r w:rsidRPr="00B12FE0">
              <w:rPr>
                <w:rFonts w:eastAsia="华文楷体"/>
                <w:snapToGrid w:val="0"/>
                <w:color w:val="000000" w:themeColor="text1"/>
                <w:sz w:val="21"/>
                <w:szCs w:val="21"/>
              </w:rPr>
              <w:t>卸客区域、楼梯、无人看管的电梯</w:t>
            </w:r>
          </w:p>
        </w:tc>
      </w:tr>
    </w:tbl>
    <w:p w14:paraId="636D0567" w14:textId="77777777" w:rsidR="00A67F21" w:rsidRPr="00B12FE0" w:rsidRDefault="00000000">
      <w:pPr>
        <w:adjustRightInd w:val="0"/>
        <w:snapToGrid w:val="0"/>
        <w:spacing w:line="360" w:lineRule="auto"/>
        <w:jc w:val="center"/>
        <w:rPr>
          <w:b/>
          <w:snapToGrid w:val="0"/>
          <w:color w:val="000000" w:themeColor="text1"/>
          <w:sz w:val="21"/>
          <w:szCs w:val="24"/>
        </w:rPr>
      </w:pPr>
      <w:r w:rsidRPr="00B12FE0">
        <w:rPr>
          <w:b/>
          <w:snapToGrid w:val="0"/>
          <w:color w:val="000000" w:themeColor="text1"/>
          <w:sz w:val="21"/>
          <w:szCs w:val="24"/>
        </w:rPr>
        <w:t>表</w:t>
      </w:r>
      <w:r w:rsidRPr="00B12FE0">
        <w:rPr>
          <w:b/>
          <w:snapToGrid w:val="0"/>
          <w:color w:val="000000" w:themeColor="text1"/>
          <w:sz w:val="21"/>
          <w:szCs w:val="24"/>
        </w:rPr>
        <w:t xml:space="preserve">11.2.1.1-8  </w:t>
      </w:r>
      <w:r w:rsidRPr="00B12FE0">
        <w:rPr>
          <w:b/>
          <w:snapToGrid w:val="0"/>
          <w:color w:val="000000" w:themeColor="text1"/>
          <w:sz w:val="21"/>
          <w:szCs w:val="24"/>
        </w:rPr>
        <w:t>辐射工作人员年有效剂量估算</w:t>
      </w:r>
    </w:p>
    <w:tbl>
      <w:tblPr>
        <w:tblW w:w="5000" w:type="pct"/>
        <w:jc w:val="center"/>
        <w:tblLook w:val="04A0" w:firstRow="1" w:lastRow="0" w:firstColumn="1" w:lastColumn="0" w:noHBand="0" w:noVBand="1"/>
      </w:tblPr>
      <w:tblGrid>
        <w:gridCol w:w="1425"/>
        <w:gridCol w:w="1582"/>
        <w:gridCol w:w="2427"/>
        <w:gridCol w:w="1057"/>
        <w:gridCol w:w="1098"/>
        <w:gridCol w:w="1428"/>
      </w:tblGrid>
      <w:tr w:rsidR="00A67F21" w:rsidRPr="00B12FE0" w14:paraId="54EA9B25" w14:textId="77777777">
        <w:trPr>
          <w:trHeight w:val="312"/>
          <w:jc w:val="center"/>
        </w:trPr>
        <w:tc>
          <w:tcPr>
            <w:tcW w:w="790" w:type="pct"/>
            <w:vMerge w:val="restart"/>
            <w:tcBorders>
              <w:top w:val="single" w:sz="4" w:space="0" w:color="000000"/>
              <w:left w:val="single" w:sz="4" w:space="0" w:color="000000"/>
              <w:bottom w:val="single" w:sz="4" w:space="0" w:color="000000"/>
              <w:right w:val="single" w:sz="4" w:space="0" w:color="000000"/>
            </w:tcBorders>
            <w:noWrap/>
            <w:vAlign w:val="center"/>
          </w:tcPr>
          <w:p w14:paraId="6875357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人员操作</w:t>
            </w:r>
          </w:p>
        </w:tc>
        <w:tc>
          <w:tcPr>
            <w:tcW w:w="877" w:type="pct"/>
            <w:vMerge w:val="restart"/>
            <w:tcBorders>
              <w:top w:val="single" w:sz="4" w:space="0" w:color="000000"/>
              <w:left w:val="single" w:sz="4" w:space="0" w:color="auto"/>
              <w:right w:val="single" w:sz="4" w:space="0" w:color="000000"/>
            </w:tcBorders>
            <w:noWrap/>
            <w:vAlign w:val="center"/>
          </w:tcPr>
          <w:p w14:paraId="739098B3"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工作负荷（</w:t>
            </w:r>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1346" w:type="pct"/>
            <w:vMerge w:val="restart"/>
            <w:tcBorders>
              <w:top w:val="single" w:sz="4" w:space="0" w:color="000000"/>
              <w:left w:val="single" w:sz="4" w:space="0" w:color="000000"/>
              <w:bottom w:val="single" w:sz="4" w:space="0" w:color="000000"/>
              <w:right w:val="single" w:sz="4" w:space="0" w:color="000000"/>
            </w:tcBorders>
            <w:noWrap/>
            <w:vAlign w:val="center"/>
          </w:tcPr>
          <w:p w14:paraId="0D3F0B0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辐射剂量率</w:t>
            </w:r>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586" w:type="pct"/>
            <w:vMerge w:val="restart"/>
            <w:tcBorders>
              <w:top w:val="single" w:sz="4" w:space="0" w:color="000000"/>
              <w:left w:val="single" w:sz="4" w:space="0" w:color="000000"/>
              <w:bottom w:val="single" w:sz="4" w:space="0" w:color="000000"/>
              <w:right w:val="single" w:sz="4" w:space="0" w:color="000000"/>
            </w:tcBorders>
            <w:noWrap/>
            <w:vAlign w:val="center"/>
          </w:tcPr>
          <w:p w14:paraId="4696087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居留因子</w:t>
            </w:r>
          </w:p>
        </w:tc>
        <w:tc>
          <w:tcPr>
            <w:tcW w:w="1401" w:type="pct"/>
            <w:gridSpan w:val="2"/>
            <w:vMerge w:val="restart"/>
            <w:tcBorders>
              <w:top w:val="single" w:sz="4" w:space="0" w:color="000000"/>
              <w:left w:val="single" w:sz="4" w:space="0" w:color="000000"/>
              <w:bottom w:val="single" w:sz="4" w:space="0" w:color="000000"/>
              <w:right w:val="single" w:sz="4" w:space="0" w:color="000000"/>
            </w:tcBorders>
            <w:noWrap/>
            <w:vAlign w:val="center"/>
          </w:tcPr>
          <w:p w14:paraId="04D0AF8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年有效剂量（</w:t>
            </w:r>
            <w:r w:rsidRPr="00B12FE0">
              <w:rPr>
                <w:snapToGrid w:val="0"/>
                <w:color w:val="000000" w:themeColor="text1"/>
                <w:kern w:val="0"/>
                <w:sz w:val="21"/>
                <w:szCs w:val="21"/>
                <w:lang w:bidi="ar"/>
              </w:rPr>
              <w:t>mSv/a</w:t>
            </w:r>
            <w:r w:rsidRPr="00B12FE0">
              <w:rPr>
                <w:snapToGrid w:val="0"/>
                <w:color w:val="000000" w:themeColor="text1"/>
                <w:kern w:val="0"/>
                <w:sz w:val="21"/>
                <w:szCs w:val="21"/>
                <w:lang w:bidi="ar"/>
              </w:rPr>
              <w:t>）</w:t>
            </w:r>
          </w:p>
        </w:tc>
      </w:tr>
      <w:tr w:rsidR="00A67F21" w:rsidRPr="00B12FE0" w14:paraId="33C7730F" w14:textId="77777777">
        <w:trPr>
          <w:trHeight w:val="312"/>
          <w:jc w:val="center"/>
        </w:trPr>
        <w:tc>
          <w:tcPr>
            <w:tcW w:w="790" w:type="pct"/>
            <w:vMerge/>
            <w:tcBorders>
              <w:top w:val="single" w:sz="4" w:space="0" w:color="000000"/>
              <w:left w:val="single" w:sz="4" w:space="0" w:color="000000"/>
              <w:bottom w:val="single" w:sz="4" w:space="0" w:color="000000"/>
              <w:right w:val="single" w:sz="4" w:space="0" w:color="000000"/>
            </w:tcBorders>
            <w:noWrap/>
            <w:vAlign w:val="center"/>
          </w:tcPr>
          <w:p w14:paraId="474EB0C2" w14:textId="77777777" w:rsidR="00A67F21" w:rsidRPr="00B12FE0" w:rsidRDefault="00A67F21">
            <w:pPr>
              <w:jc w:val="center"/>
              <w:rPr>
                <w:snapToGrid w:val="0"/>
                <w:color w:val="000000" w:themeColor="text1"/>
                <w:sz w:val="21"/>
                <w:szCs w:val="21"/>
              </w:rPr>
            </w:pPr>
          </w:p>
        </w:tc>
        <w:tc>
          <w:tcPr>
            <w:tcW w:w="877" w:type="pct"/>
            <w:vMerge/>
            <w:tcBorders>
              <w:left w:val="single" w:sz="4" w:space="0" w:color="auto"/>
              <w:bottom w:val="single" w:sz="4" w:space="0" w:color="000000"/>
              <w:right w:val="single" w:sz="4" w:space="0" w:color="000000"/>
            </w:tcBorders>
            <w:noWrap/>
            <w:vAlign w:val="center"/>
          </w:tcPr>
          <w:p w14:paraId="30DFE5E8" w14:textId="77777777" w:rsidR="00A67F21" w:rsidRPr="00B12FE0" w:rsidRDefault="00A67F21">
            <w:pPr>
              <w:widowControl/>
              <w:jc w:val="center"/>
              <w:textAlignment w:val="center"/>
              <w:rPr>
                <w:snapToGrid w:val="0"/>
                <w:color w:val="000000" w:themeColor="text1"/>
                <w:sz w:val="21"/>
                <w:szCs w:val="21"/>
              </w:rPr>
            </w:pPr>
          </w:p>
        </w:tc>
        <w:tc>
          <w:tcPr>
            <w:tcW w:w="1346" w:type="pct"/>
            <w:vMerge/>
            <w:tcBorders>
              <w:top w:val="single" w:sz="4" w:space="0" w:color="000000"/>
              <w:left w:val="single" w:sz="4" w:space="0" w:color="000000"/>
              <w:bottom w:val="single" w:sz="4" w:space="0" w:color="000000"/>
              <w:right w:val="single" w:sz="4" w:space="0" w:color="000000"/>
            </w:tcBorders>
            <w:noWrap/>
            <w:vAlign w:val="center"/>
          </w:tcPr>
          <w:p w14:paraId="1883D08C" w14:textId="77777777" w:rsidR="00A67F21" w:rsidRPr="00B12FE0" w:rsidRDefault="00A67F21">
            <w:pPr>
              <w:jc w:val="center"/>
              <w:rPr>
                <w:snapToGrid w:val="0"/>
                <w:color w:val="000000" w:themeColor="text1"/>
                <w:sz w:val="21"/>
                <w:szCs w:val="21"/>
              </w:rPr>
            </w:pPr>
          </w:p>
        </w:tc>
        <w:tc>
          <w:tcPr>
            <w:tcW w:w="586" w:type="pct"/>
            <w:vMerge/>
            <w:tcBorders>
              <w:top w:val="single" w:sz="4" w:space="0" w:color="000000"/>
              <w:left w:val="single" w:sz="4" w:space="0" w:color="000000"/>
              <w:bottom w:val="single" w:sz="4" w:space="0" w:color="000000"/>
              <w:right w:val="single" w:sz="4" w:space="0" w:color="000000"/>
            </w:tcBorders>
            <w:noWrap/>
            <w:vAlign w:val="center"/>
          </w:tcPr>
          <w:p w14:paraId="13E4477B" w14:textId="77777777" w:rsidR="00A67F21" w:rsidRPr="00B12FE0" w:rsidRDefault="00A67F21">
            <w:pPr>
              <w:jc w:val="center"/>
              <w:rPr>
                <w:snapToGrid w:val="0"/>
                <w:color w:val="000000" w:themeColor="text1"/>
                <w:sz w:val="21"/>
                <w:szCs w:val="21"/>
              </w:rPr>
            </w:pPr>
          </w:p>
        </w:tc>
        <w:tc>
          <w:tcPr>
            <w:tcW w:w="1401" w:type="pct"/>
            <w:gridSpan w:val="2"/>
            <w:vMerge/>
            <w:tcBorders>
              <w:top w:val="single" w:sz="4" w:space="0" w:color="000000"/>
              <w:left w:val="single" w:sz="4" w:space="0" w:color="000000"/>
              <w:bottom w:val="single" w:sz="4" w:space="0" w:color="000000"/>
              <w:right w:val="single" w:sz="4" w:space="0" w:color="000000"/>
            </w:tcBorders>
            <w:noWrap/>
            <w:vAlign w:val="center"/>
          </w:tcPr>
          <w:p w14:paraId="3796EB23" w14:textId="77777777" w:rsidR="00A67F21" w:rsidRPr="00B12FE0" w:rsidRDefault="00A67F21">
            <w:pPr>
              <w:jc w:val="center"/>
              <w:rPr>
                <w:snapToGrid w:val="0"/>
                <w:color w:val="000000" w:themeColor="text1"/>
                <w:sz w:val="21"/>
                <w:szCs w:val="21"/>
              </w:rPr>
            </w:pPr>
          </w:p>
        </w:tc>
      </w:tr>
      <w:tr w:rsidR="00A67F21" w:rsidRPr="00B12FE0" w14:paraId="148546AC" w14:textId="77777777">
        <w:trPr>
          <w:trHeight w:val="282"/>
          <w:jc w:val="center"/>
        </w:trPr>
        <w:tc>
          <w:tcPr>
            <w:tcW w:w="790" w:type="pct"/>
            <w:tcBorders>
              <w:top w:val="single" w:sz="4" w:space="0" w:color="000000"/>
              <w:left w:val="single" w:sz="4" w:space="0" w:color="000000"/>
              <w:bottom w:val="single" w:sz="4" w:space="0" w:color="000000"/>
              <w:right w:val="single" w:sz="4" w:space="0" w:color="000000"/>
            </w:tcBorders>
            <w:vAlign w:val="center"/>
          </w:tcPr>
          <w:p w14:paraId="0595DC0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回旋控制</w:t>
            </w:r>
          </w:p>
        </w:tc>
        <w:tc>
          <w:tcPr>
            <w:tcW w:w="877" w:type="pct"/>
            <w:tcBorders>
              <w:top w:val="single" w:sz="4" w:space="0" w:color="000000"/>
              <w:left w:val="single" w:sz="4" w:space="0" w:color="auto"/>
              <w:bottom w:val="single" w:sz="4" w:space="0" w:color="000000"/>
              <w:right w:val="single" w:sz="4" w:space="0" w:color="000000"/>
            </w:tcBorders>
            <w:noWrap/>
            <w:vAlign w:val="center"/>
          </w:tcPr>
          <w:p w14:paraId="61266FED" w14:textId="77777777" w:rsidR="00A67F21" w:rsidRPr="00B12FE0" w:rsidRDefault="00000000">
            <w:pPr>
              <w:widowControl/>
              <w:jc w:val="center"/>
              <w:textAlignment w:val="center"/>
              <w:rPr>
                <w:color w:val="000000" w:themeColor="text1"/>
                <w:kern w:val="0"/>
                <w:sz w:val="21"/>
                <w:szCs w:val="21"/>
              </w:rPr>
            </w:pPr>
            <w:r w:rsidRPr="00B12FE0">
              <w:rPr>
                <w:rFonts w:hint="eastAsia"/>
                <w:color w:val="000000" w:themeColor="text1"/>
                <w:kern w:val="0"/>
                <w:sz w:val="21"/>
                <w:szCs w:val="21"/>
              </w:rPr>
              <w:t>10</w:t>
            </w:r>
            <w:r w:rsidRPr="00B12FE0">
              <w:rPr>
                <w:color w:val="000000" w:themeColor="text1"/>
                <w:kern w:val="0"/>
                <w:sz w:val="21"/>
                <w:szCs w:val="21"/>
              </w:rPr>
              <w:t>00</w:t>
            </w:r>
          </w:p>
        </w:tc>
        <w:tc>
          <w:tcPr>
            <w:tcW w:w="1346" w:type="pct"/>
            <w:tcBorders>
              <w:top w:val="single" w:sz="4" w:space="0" w:color="000000"/>
              <w:left w:val="single" w:sz="4" w:space="0" w:color="000000"/>
              <w:bottom w:val="single" w:sz="4" w:space="0" w:color="000000"/>
              <w:right w:val="single" w:sz="4" w:space="0" w:color="000000"/>
            </w:tcBorders>
            <w:noWrap/>
            <w:vAlign w:val="center"/>
          </w:tcPr>
          <w:p w14:paraId="1AA0B53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0.</w:t>
            </w:r>
            <w:r w:rsidRPr="00B12FE0">
              <w:rPr>
                <w:rFonts w:hint="eastAsia"/>
                <w:snapToGrid w:val="0"/>
                <w:color w:val="000000" w:themeColor="text1"/>
                <w:kern w:val="0"/>
                <w:sz w:val="21"/>
                <w:szCs w:val="21"/>
                <w:lang w:bidi="ar"/>
              </w:rPr>
              <w:t>14</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1-3#</w:t>
            </w:r>
            <w:r w:rsidRPr="00B12FE0">
              <w:rPr>
                <w:snapToGrid w:val="0"/>
                <w:color w:val="000000" w:themeColor="text1"/>
                <w:kern w:val="0"/>
                <w:sz w:val="21"/>
                <w:szCs w:val="21"/>
                <w:lang w:bidi="ar"/>
              </w:rPr>
              <w:t>）</w:t>
            </w:r>
          </w:p>
        </w:tc>
        <w:tc>
          <w:tcPr>
            <w:tcW w:w="586" w:type="pct"/>
            <w:tcBorders>
              <w:top w:val="single" w:sz="4" w:space="0" w:color="000000"/>
              <w:left w:val="single" w:sz="4" w:space="0" w:color="000000"/>
              <w:bottom w:val="single" w:sz="4" w:space="0" w:color="000000"/>
              <w:right w:val="single" w:sz="4" w:space="0" w:color="000000"/>
            </w:tcBorders>
            <w:noWrap/>
            <w:vAlign w:val="center"/>
          </w:tcPr>
          <w:p w14:paraId="2254917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215E3D15"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0.</w:t>
            </w:r>
            <w:r w:rsidRPr="00B12FE0">
              <w:rPr>
                <w:rFonts w:eastAsia="等线" w:hint="eastAsia"/>
                <w:color w:val="000000" w:themeColor="text1"/>
                <w:sz w:val="21"/>
                <w:szCs w:val="21"/>
              </w:rPr>
              <w:t>14</w:t>
            </w:r>
          </w:p>
        </w:tc>
        <w:tc>
          <w:tcPr>
            <w:tcW w:w="792" w:type="pct"/>
            <w:tcBorders>
              <w:top w:val="single" w:sz="4" w:space="0" w:color="000000"/>
              <w:left w:val="single" w:sz="4" w:space="0" w:color="000000"/>
              <w:bottom w:val="single" w:sz="4" w:space="0" w:color="000000"/>
              <w:right w:val="single" w:sz="4" w:space="0" w:color="000000"/>
            </w:tcBorders>
            <w:noWrap/>
            <w:vAlign w:val="center"/>
          </w:tcPr>
          <w:p w14:paraId="375A0BD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w:t>
            </w:r>
            <w:r w:rsidRPr="00B12FE0">
              <w:rPr>
                <w:rFonts w:hint="eastAsia"/>
                <w:snapToGrid w:val="0"/>
                <w:color w:val="000000" w:themeColor="text1"/>
                <w:kern w:val="0"/>
                <w:sz w:val="21"/>
                <w:szCs w:val="21"/>
                <w:lang w:bidi="ar"/>
              </w:rPr>
              <w:t>14</w:t>
            </w:r>
          </w:p>
        </w:tc>
      </w:tr>
      <w:tr w:rsidR="00A67F21" w:rsidRPr="00B12FE0" w14:paraId="0EFC9120" w14:textId="77777777">
        <w:trPr>
          <w:trHeight w:val="282"/>
          <w:jc w:val="center"/>
        </w:trPr>
        <w:tc>
          <w:tcPr>
            <w:tcW w:w="790" w:type="pct"/>
            <w:tcBorders>
              <w:top w:val="single" w:sz="4" w:space="0" w:color="000000"/>
              <w:left w:val="single" w:sz="4" w:space="0" w:color="000000"/>
              <w:bottom w:val="single" w:sz="4" w:space="0" w:color="000000"/>
              <w:right w:val="single" w:sz="4" w:space="0" w:color="000000"/>
            </w:tcBorders>
            <w:vAlign w:val="center"/>
          </w:tcPr>
          <w:p w14:paraId="57F4E8D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合成控制</w:t>
            </w:r>
          </w:p>
        </w:tc>
        <w:tc>
          <w:tcPr>
            <w:tcW w:w="877" w:type="pct"/>
            <w:tcBorders>
              <w:top w:val="single" w:sz="4" w:space="0" w:color="000000"/>
              <w:left w:val="single" w:sz="4" w:space="0" w:color="auto"/>
              <w:bottom w:val="single" w:sz="4" w:space="0" w:color="000000"/>
              <w:right w:val="single" w:sz="4" w:space="0" w:color="000000"/>
            </w:tcBorders>
            <w:noWrap/>
            <w:vAlign w:val="center"/>
          </w:tcPr>
          <w:p w14:paraId="6996187C"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250</w:t>
            </w:r>
          </w:p>
        </w:tc>
        <w:tc>
          <w:tcPr>
            <w:tcW w:w="1346" w:type="pct"/>
            <w:tcBorders>
              <w:top w:val="single" w:sz="4" w:space="0" w:color="000000"/>
              <w:left w:val="single" w:sz="4" w:space="0" w:color="000000"/>
              <w:bottom w:val="single" w:sz="4" w:space="0" w:color="000000"/>
              <w:right w:val="single" w:sz="4" w:space="0" w:color="000000"/>
            </w:tcBorders>
            <w:noWrap/>
            <w:vAlign w:val="center"/>
          </w:tcPr>
          <w:p w14:paraId="3E3641B6"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1.54</w:t>
            </w:r>
            <w:r w:rsidRPr="00B12FE0">
              <w:rPr>
                <w:snapToGrid w:val="0"/>
                <w:color w:val="000000" w:themeColor="text1"/>
                <w:kern w:val="0"/>
                <w:sz w:val="21"/>
                <w:szCs w:val="21"/>
                <w:lang w:bidi="ar"/>
              </w:rPr>
              <w:t xml:space="preserve"> </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1-7#</w:t>
            </w:r>
            <w:r w:rsidRPr="00B12FE0">
              <w:rPr>
                <w:snapToGrid w:val="0"/>
                <w:color w:val="000000" w:themeColor="text1"/>
                <w:kern w:val="0"/>
                <w:sz w:val="21"/>
                <w:szCs w:val="21"/>
                <w:lang w:bidi="ar"/>
              </w:rPr>
              <w:t>）</w:t>
            </w:r>
          </w:p>
        </w:tc>
        <w:tc>
          <w:tcPr>
            <w:tcW w:w="586" w:type="pct"/>
            <w:tcBorders>
              <w:top w:val="single" w:sz="4" w:space="0" w:color="000000"/>
              <w:left w:val="single" w:sz="4" w:space="0" w:color="000000"/>
              <w:bottom w:val="single" w:sz="4" w:space="0" w:color="000000"/>
              <w:right w:val="single" w:sz="4" w:space="0" w:color="000000"/>
            </w:tcBorders>
            <w:noWrap/>
            <w:vAlign w:val="center"/>
          </w:tcPr>
          <w:p w14:paraId="4283B5D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51E3C0F6"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0.39 </w:t>
            </w:r>
          </w:p>
        </w:tc>
        <w:tc>
          <w:tcPr>
            <w:tcW w:w="792" w:type="pct"/>
            <w:vMerge w:val="restart"/>
            <w:tcBorders>
              <w:top w:val="single" w:sz="4" w:space="0" w:color="000000"/>
              <w:left w:val="single" w:sz="4" w:space="0" w:color="000000"/>
              <w:bottom w:val="single" w:sz="4" w:space="0" w:color="000000"/>
              <w:right w:val="single" w:sz="4" w:space="0" w:color="000000"/>
            </w:tcBorders>
            <w:noWrap/>
            <w:vAlign w:val="center"/>
          </w:tcPr>
          <w:p w14:paraId="296E7EA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0.</w:t>
            </w:r>
            <w:r w:rsidRPr="00B12FE0">
              <w:rPr>
                <w:rFonts w:hint="eastAsia"/>
                <w:snapToGrid w:val="0"/>
                <w:color w:val="000000" w:themeColor="text1"/>
                <w:kern w:val="0"/>
                <w:sz w:val="21"/>
                <w:szCs w:val="21"/>
                <w:lang w:bidi="ar"/>
              </w:rPr>
              <w:t>47</w:t>
            </w:r>
          </w:p>
        </w:tc>
      </w:tr>
      <w:tr w:rsidR="00A67F21" w:rsidRPr="00B12FE0" w14:paraId="6E515D09" w14:textId="77777777">
        <w:trPr>
          <w:trHeight w:val="282"/>
          <w:jc w:val="center"/>
        </w:trPr>
        <w:tc>
          <w:tcPr>
            <w:tcW w:w="790" w:type="pct"/>
            <w:tcBorders>
              <w:top w:val="single" w:sz="4" w:space="0" w:color="000000"/>
              <w:left w:val="single" w:sz="4" w:space="0" w:color="000000"/>
              <w:bottom w:val="single" w:sz="4" w:space="0" w:color="000000"/>
              <w:right w:val="single" w:sz="4" w:space="0" w:color="000000"/>
            </w:tcBorders>
            <w:vAlign w:val="center"/>
          </w:tcPr>
          <w:p w14:paraId="0A5839A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质控</w:t>
            </w:r>
          </w:p>
        </w:tc>
        <w:tc>
          <w:tcPr>
            <w:tcW w:w="877" w:type="pct"/>
            <w:tcBorders>
              <w:top w:val="single" w:sz="4" w:space="0" w:color="000000"/>
              <w:left w:val="single" w:sz="4" w:space="0" w:color="auto"/>
              <w:bottom w:val="single" w:sz="4" w:space="0" w:color="000000"/>
              <w:right w:val="single" w:sz="4" w:space="0" w:color="000000"/>
            </w:tcBorders>
            <w:noWrap/>
            <w:vAlign w:val="center"/>
          </w:tcPr>
          <w:p w14:paraId="75A8FBB5"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41.67</w:t>
            </w:r>
          </w:p>
        </w:tc>
        <w:tc>
          <w:tcPr>
            <w:tcW w:w="1346" w:type="pct"/>
            <w:tcBorders>
              <w:top w:val="single" w:sz="4" w:space="0" w:color="000000"/>
              <w:left w:val="single" w:sz="4" w:space="0" w:color="000000"/>
              <w:bottom w:val="single" w:sz="4" w:space="0" w:color="000000"/>
              <w:right w:val="single" w:sz="4" w:space="0" w:color="000000"/>
            </w:tcBorders>
            <w:noWrap/>
            <w:vAlign w:val="center"/>
          </w:tcPr>
          <w:p w14:paraId="6ECD3D7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 xml:space="preserve">0.53 </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1-1</w:t>
            </w:r>
            <w:r w:rsidRPr="00B12FE0">
              <w:rPr>
                <w:rFonts w:hint="eastAsia"/>
                <w:snapToGrid w:val="0"/>
                <w:color w:val="000000" w:themeColor="text1"/>
                <w:kern w:val="0"/>
                <w:sz w:val="21"/>
                <w:szCs w:val="21"/>
                <w:lang w:bidi="ar"/>
              </w:rPr>
              <w:t>4</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w:t>
            </w:r>
          </w:p>
        </w:tc>
        <w:tc>
          <w:tcPr>
            <w:tcW w:w="586" w:type="pct"/>
            <w:tcBorders>
              <w:top w:val="single" w:sz="4" w:space="0" w:color="000000"/>
              <w:left w:val="single" w:sz="4" w:space="0" w:color="000000"/>
              <w:bottom w:val="single" w:sz="4" w:space="0" w:color="000000"/>
              <w:right w:val="single" w:sz="4" w:space="0" w:color="000000"/>
            </w:tcBorders>
            <w:noWrap/>
            <w:vAlign w:val="center"/>
          </w:tcPr>
          <w:p w14:paraId="52BD1CF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3C0CCB88"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0.0</w:t>
            </w:r>
            <w:r w:rsidRPr="00B12FE0">
              <w:rPr>
                <w:rFonts w:eastAsia="等线" w:hint="eastAsia"/>
                <w:color w:val="000000" w:themeColor="text1"/>
                <w:sz w:val="21"/>
                <w:szCs w:val="21"/>
              </w:rPr>
              <w:t>2</w:t>
            </w:r>
            <w:r w:rsidRPr="00B12FE0">
              <w:rPr>
                <w:rFonts w:eastAsia="等线"/>
                <w:color w:val="000000" w:themeColor="text1"/>
                <w:sz w:val="21"/>
                <w:szCs w:val="21"/>
              </w:rPr>
              <w:t xml:space="preserve"> </w:t>
            </w:r>
          </w:p>
        </w:tc>
        <w:tc>
          <w:tcPr>
            <w:tcW w:w="792" w:type="pct"/>
            <w:vMerge/>
            <w:tcBorders>
              <w:top w:val="single" w:sz="4" w:space="0" w:color="000000"/>
              <w:left w:val="single" w:sz="4" w:space="0" w:color="000000"/>
              <w:bottom w:val="single" w:sz="4" w:space="0" w:color="000000"/>
              <w:right w:val="single" w:sz="4" w:space="0" w:color="000000"/>
            </w:tcBorders>
            <w:noWrap/>
            <w:vAlign w:val="center"/>
          </w:tcPr>
          <w:p w14:paraId="51E8E2CB" w14:textId="77777777" w:rsidR="00A67F21" w:rsidRPr="00B12FE0" w:rsidRDefault="00A67F21">
            <w:pPr>
              <w:jc w:val="center"/>
              <w:rPr>
                <w:snapToGrid w:val="0"/>
                <w:color w:val="000000" w:themeColor="text1"/>
                <w:sz w:val="21"/>
                <w:szCs w:val="21"/>
              </w:rPr>
            </w:pPr>
          </w:p>
        </w:tc>
      </w:tr>
      <w:tr w:rsidR="00A67F21" w:rsidRPr="00B12FE0" w14:paraId="4A4DC137" w14:textId="77777777">
        <w:trPr>
          <w:trHeight w:val="282"/>
          <w:jc w:val="center"/>
        </w:trPr>
        <w:tc>
          <w:tcPr>
            <w:tcW w:w="790" w:type="pct"/>
            <w:tcBorders>
              <w:top w:val="single" w:sz="4" w:space="0" w:color="000000"/>
              <w:left w:val="single" w:sz="4" w:space="0" w:color="000000"/>
              <w:bottom w:val="single" w:sz="4" w:space="0" w:color="000000"/>
              <w:right w:val="single" w:sz="4" w:space="0" w:color="000000"/>
            </w:tcBorders>
            <w:vAlign w:val="center"/>
          </w:tcPr>
          <w:p w14:paraId="426B139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药物转运</w:t>
            </w:r>
          </w:p>
        </w:tc>
        <w:tc>
          <w:tcPr>
            <w:tcW w:w="877" w:type="pct"/>
            <w:tcBorders>
              <w:top w:val="single" w:sz="4" w:space="0" w:color="000000"/>
              <w:left w:val="single" w:sz="4" w:space="0" w:color="000000"/>
              <w:bottom w:val="single" w:sz="4" w:space="0" w:color="000000"/>
              <w:right w:val="single" w:sz="4" w:space="0" w:color="000000"/>
            </w:tcBorders>
            <w:noWrap/>
            <w:vAlign w:val="center"/>
          </w:tcPr>
          <w:p w14:paraId="20DA475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20.83</w:t>
            </w:r>
          </w:p>
        </w:tc>
        <w:tc>
          <w:tcPr>
            <w:tcW w:w="1346" w:type="pct"/>
            <w:tcBorders>
              <w:top w:val="single" w:sz="4" w:space="0" w:color="000000"/>
              <w:left w:val="single" w:sz="4" w:space="0" w:color="000000"/>
              <w:bottom w:val="single" w:sz="4" w:space="0" w:color="000000"/>
              <w:right w:val="single" w:sz="4" w:space="0" w:color="000000"/>
            </w:tcBorders>
            <w:noWrap/>
            <w:vAlign w:val="center"/>
          </w:tcPr>
          <w:p w14:paraId="70F0A2A2"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3.09</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1-2</w:t>
            </w:r>
            <w:r w:rsidRPr="00B12FE0">
              <w:rPr>
                <w:rFonts w:hint="eastAsia"/>
                <w:snapToGrid w:val="0"/>
                <w:color w:val="000000" w:themeColor="text1"/>
                <w:kern w:val="0"/>
                <w:sz w:val="21"/>
                <w:szCs w:val="21"/>
                <w:lang w:bidi="ar"/>
              </w:rPr>
              <w:t>1</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 xml:space="preserve"> </w:t>
            </w:r>
          </w:p>
        </w:tc>
        <w:tc>
          <w:tcPr>
            <w:tcW w:w="586" w:type="pct"/>
            <w:tcBorders>
              <w:top w:val="single" w:sz="4" w:space="0" w:color="000000"/>
              <w:left w:val="single" w:sz="4" w:space="0" w:color="000000"/>
              <w:bottom w:val="single" w:sz="4" w:space="0" w:color="000000"/>
              <w:right w:val="single" w:sz="4" w:space="0" w:color="000000"/>
            </w:tcBorders>
            <w:noWrap/>
            <w:vAlign w:val="center"/>
          </w:tcPr>
          <w:p w14:paraId="5A9C179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609" w:type="pct"/>
            <w:tcBorders>
              <w:top w:val="single" w:sz="4" w:space="0" w:color="000000"/>
              <w:left w:val="single" w:sz="4" w:space="0" w:color="000000"/>
              <w:bottom w:val="single" w:sz="4" w:space="0" w:color="000000"/>
              <w:right w:val="single" w:sz="4" w:space="0" w:color="000000"/>
            </w:tcBorders>
            <w:noWrap/>
            <w:vAlign w:val="center"/>
          </w:tcPr>
          <w:p w14:paraId="3142B821"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0.</w:t>
            </w:r>
            <w:r w:rsidRPr="00B12FE0">
              <w:rPr>
                <w:rFonts w:eastAsia="等线" w:hint="eastAsia"/>
                <w:color w:val="000000" w:themeColor="text1"/>
                <w:sz w:val="21"/>
                <w:szCs w:val="21"/>
              </w:rPr>
              <w:t>06</w:t>
            </w:r>
          </w:p>
        </w:tc>
        <w:tc>
          <w:tcPr>
            <w:tcW w:w="792" w:type="pct"/>
            <w:vMerge/>
            <w:tcBorders>
              <w:top w:val="single" w:sz="4" w:space="0" w:color="000000"/>
              <w:left w:val="single" w:sz="4" w:space="0" w:color="000000"/>
              <w:bottom w:val="single" w:sz="4" w:space="0" w:color="000000"/>
              <w:right w:val="single" w:sz="4" w:space="0" w:color="000000"/>
            </w:tcBorders>
            <w:noWrap/>
            <w:vAlign w:val="center"/>
          </w:tcPr>
          <w:p w14:paraId="679E9883" w14:textId="77777777" w:rsidR="00A67F21" w:rsidRPr="00B12FE0" w:rsidRDefault="00A67F21">
            <w:pPr>
              <w:jc w:val="center"/>
              <w:rPr>
                <w:snapToGrid w:val="0"/>
                <w:color w:val="000000" w:themeColor="text1"/>
                <w:sz w:val="21"/>
                <w:szCs w:val="21"/>
              </w:rPr>
            </w:pPr>
          </w:p>
        </w:tc>
      </w:tr>
    </w:tbl>
    <w:p w14:paraId="23FA3CD7" w14:textId="77777777" w:rsidR="00A67F21" w:rsidRPr="00B12FE0" w:rsidRDefault="00000000">
      <w:pPr>
        <w:spacing w:line="360" w:lineRule="auto"/>
        <w:ind w:firstLineChars="200" w:firstLine="480"/>
        <w:rPr>
          <w:snapToGrid w:val="0"/>
          <w:color w:val="000000" w:themeColor="text1"/>
          <w:szCs w:val="24"/>
        </w:rPr>
      </w:pPr>
      <w:r w:rsidRPr="00B12FE0">
        <w:rPr>
          <w:snapToGrid w:val="0"/>
          <w:color w:val="000000" w:themeColor="text1"/>
          <w:szCs w:val="24"/>
        </w:rPr>
        <w:t>综上，核素制备场所辐射工作人员的年有效剂量</w:t>
      </w:r>
      <w:r w:rsidRPr="00B12FE0">
        <w:rPr>
          <w:bCs/>
          <w:snapToGrid w:val="0"/>
          <w:color w:val="000000" w:themeColor="text1"/>
          <w:spacing w:val="-2"/>
          <w:szCs w:val="24"/>
        </w:rPr>
        <w:t>最大</w:t>
      </w:r>
      <w:r w:rsidRPr="00B12FE0">
        <w:rPr>
          <w:snapToGrid w:val="0"/>
          <w:color w:val="000000" w:themeColor="text1"/>
          <w:spacing w:val="-2"/>
          <w:szCs w:val="24"/>
        </w:rPr>
        <w:t>为</w:t>
      </w:r>
      <w:r w:rsidRPr="00B12FE0">
        <w:rPr>
          <w:snapToGrid w:val="0"/>
          <w:color w:val="000000" w:themeColor="text1"/>
          <w:szCs w:val="24"/>
        </w:rPr>
        <w:t>0.</w:t>
      </w:r>
      <w:r w:rsidRPr="00B12FE0">
        <w:rPr>
          <w:rFonts w:hint="eastAsia"/>
          <w:snapToGrid w:val="0"/>
          <w:color w:val="000000" w:themeColor="text1"/>
          <w:szCs w:val="24"/>
        </w:rPr>
        <w:t>47</w:t>
      </w:r>
      <w:r w:rsidRPr="00B12FE0">
        <w:rPr>
          <w:snapToGrid w:val="0"/>
          <w:color w:val="000000" w:themeColor="text1"/>
          <w:spacing w:val="-2"/>
          <w:szCs w:val="24"/>
        </w:rPr>
        <w:t>mSv</w:t>
      </w:r>
      <w:r w:rsidRPr="00B12FE0">
        <w:rPr>
          <w:snapToGrid w:val="0"/>
          <w:color w:val="000000" w:themeColor="text1"/>
          <w:spacing w:val="-2"/>
          <w:szCs w:val="24"/>
        </w:rPr>
        <w:t>，</w:t>
      </w:r>
      <w:r w:rsidRPr="00B12FE0">
        <w:rPr>
          <w:snapToGrid w:val="0"/>
          <w:color w:val="000000" w:themeColor="text1"/>
          <w:szCs w:val="24"/>
        </w:rPr>
        <w:t>满足辐射工作人员</w:t>
      </w:r>
      <w:r w:rsidRPr="00B12FE0">
        <w:rPr>
          <w:bCs/>
          <w:snapToGrid w:val="0"/>
          <w:color w:val="000000" w:themeColor="text1"/>
          <w:szCs w:val="28"/>
        </w:rPr>
        <w:t>年有效年剂量约束值不超过</w:t>
      </w:r>
      <w:r w:rsidRPr="00B12FE0">
        <w:rPr>
          <w:bCs/>
          <w:snapToGrid w:val="0"/>
          <w:color w:val="000000" w:themeColor="text1"/>
          <w:szCs w:val="28"/>
        </w:rPr>
        <w:t>5mSv</w:t>
      </w:r>
      <w:r w:rsidRPr="00B12FE0">
        <w:rPr>
          <w:bCs/>
          <w:snapToGrid w:val="0"/>
          <w:color w:val="000000" w:themeColor="text1"/>
          <w:szCs w:val="28"/>
        </w:rPr>
        <w:t>的要求</w:t>
      </w:r>
      <w:r w:rsidRPr="00B12FE0">
        <w:rPr>
          <w:snapToGrid w:val="0"/>
          <w:color w:val="000000" w:themeColor="text1"/>
          <w:szCs w:val="24"/>
        </w:rPr>
        <w:t>。</w:t>
      </w:r>
    </w:p>
    <w:p w14:paraId="51FCC01F" w14:textId="77777777" w:rsidR="00A67F21" w:rsidRPr="00B12FE0" w:rsidRDefault="00000000">
      <w:pPr>
        <w:adjustRightInd w:val="0"/>
        <w:snapToGrid w:val="0"/>
        <w:spacing w:line="360" w:lineRule="auto"/>
        <w:ind w:firstLineChars="200" w:firstLine="482"/>
        <w:rPr>
          <w:b/>
          <w:bCs/>
          <w:snapToGrid w:val="0"/>
          <w:color w:val="000000" w:themeColor="text1"/>
          <w:szCs w:val="24"/>
        </w:rPr>
      </w:pPr>
      <w:r w:rsidRPr="00B12FE0">
        <w:rPr>
          <w:rFonts w:ascii="Cambria Math" w:hAnsi="Cambria Math" w:cs="Cambria Math"/>
          <w:b/>
          <w:bCs/>
          <w:snapToGrid w:val="0"/>
          <w:color w:val="000000" w:themeColor="text1"/>
          <w:szCs w:val="24"/>
        </w:rPr>
        <w:t>③</w:t>
      </w:r>
      <w:r w:rsidRPr="00B12FE0">
        <w:rPr>
          <w:b/>
          <w:bCs/>
          <w:snapToGrid w:val="0"/>
          <w:color w:val="000000" w:themeColor="text1"/>
          <w:szCs w:val="24"/>
        </w:rPr>
        <w:t>公众受照剂量估算</w:t>
      </w:r>
    </w:p>
    <w:p w14:paraId="6863520E" w14:textId="77777777" w:rsidR="00A67F21" w:rsidRPr="00B12FE0" w:rsidRDefault="00000000">
      <w:pPr>
        <w:adjustRightInd w:val="0"/>
        <w:snapToGrid w:val="0"/>
        <w:spacing w:line="360" w:lineRule="auto"/>
        <w:ind w:firstLineChars="200" w:firstLine="480"/>
        <w:rPr>
          <w:snapToGrid w:val="0"/>
          <w:color w:val="000000" w:themeColor="text1"/>
        </w:rPr>
      </w:pPr>
      <w:r w:rsidRPr="00B12FE0">
        <w:rPr>
          <w:snapToGrid w:val="0"/>
          <w:color w:val="000000" w:themeColor="text1"/>
          <w:kern w:val="0"/>
          <w:szCs w:val="24"/>
        </w:rPr>
        <w:t>核素制备场所是相对封闭的区域，除工作人员外，其它人员不得入内，普通公众成员不会到达；因</w:t>
      </w:r>
      <w:r w:rsidRPr="00B12FE0">
        <w:rPr>
          <w:snapToGrid w:val="0"/>
          <w:color w:val="000000" w:themeColor="text1"/>
        </w:rPr>
        <w:t>回旋加速器机房上方为</w:t>
      </w:r>
      <w:r w:rsidRPr="00B12FE0">
        <w:rPr>
          <w:rFonts w:hint="eastAsia"/>
          <w:snapToGrid w:val="0"/>
          <w:color w:val="000000" w:themeColor="text1"/>
        </w:rPr>
        <w:t>不可上人屋顶</w:t>
      </w:r>
      <w:r w:rsidRPr="00B12FE0">
        <w:rPr>
          <w:snapToGrid w:val="0"/>
          <w:color w:val="000000" w:themeColor="text1"/>
        </w:rPr>
        <w:t>，因此考虑</w:t>
      </w:r>
      <w:r w:rsidRPr="00B12FE0">
        <w:rPr>
          <w:rFonts w:hint="eastAsia"/>
          <w:snapToGrid w:val="0"/>
          <w:color w:val="000000" w:themeColor="text1"/>
        </w:rPr>
        <w:t>公众</w:t>
      </w:r>
      <w:r w:rsidRPr="00B12FE0">
        <w:rPr>
          <w:snapToGrid w:val="0"/>
          <w:color w:val="000000" w:themeColor="text1"/>
        </w:rPr>
        <w:t>。</w:t>
      </w:r>
      <w:r w:rsidRPr="00B12FE0">
        <w:rPr>
          <w:snapToGrid w:val="0"/>
          <w:color w:val="000000" w:themeColor="text1"/>
          <w:kern w:val="0"/>
          <w:szCs w:val="24"/>
        </w:rPr>
        <w:t>因此，仅考虑核素制备场所周边公众的辐射影响。</w:t>
      </w:r>
    </w:p>
    <w:p w14:paraId="454FD966" w14:textId="77777777" w:rsidR="00A67F21" w:rsidRPr="00B12FE0" w:rsidRDefault="00000000">
      <w:pPr>
        <w:overflowPunct w:val="0"/>
        <w:autoSpaceDE w:val="0"/>
        <w:autoSpaceDN w:val="0"/>
        <w:adjustRightInd w:val="0"/>
        <w:snapToGrid w:val="0"/>
        <w:spacing w:line="360" w:lineRule="auto"/>
        <w:ind w:firstLineChars="200" w:firstLine="480"/>
        <w:rPr>
          <w:snapToGrid w:val="0"/>
          <w:color w:val="000000" w:themeColor="text1"/>
          <w:kern w:val="0"/>
          <w:szCs w:val="24"/>
        </w:rPr>
      </w:pPr>
      <w:r w:rsidRPr="00B12FE0">
        <w:rPr>
          <w:snapToGrid w:val="0"/>
          <w:color w:val="000000" w:themeColor="text1"/>
          <w:kern w:val="0"/>
          <w:szCs w:val="24"/>
        </w:rPr>
        <w:t>根据预测的</w:t>
      </w:r>
      <w:proofErr w:type="gramStart"/>
      <w:r w:rsidRPr="00B12FE0">
        <w:rPr>
          <w:snapToGrid w:val="0"/>
          <w:color w:val="000000" w:themeColor="text1"/>
          <w:kern w:val="0"/>
          <w:szCs w:val="24"/>
        </w:rPr>
        <w:t>各关注</w:t>
      </w:r>
      <w:proofErr w:type="gramEnd"/>
      <w:r w:rsidRPr="00B12FE0">
        <w:rPr>
          <w:snapToGrid w:val="0"/>
          <w:color w:val="000000" w:themeColor="text1"/>
          <w:kern w:val="0"/>
          <w:szCs w:val="24"/>
        </w:rPr>
        <w:t>点处辐射剂量率，结合核医学科核素制备场所</w:t>
      </w:r>
      <w:r w:rsidRPr="00B12FE0">
        <w:rPr>
          <w:snapToGrid w:val="0"/>
          <w:color w:val="000000" w:themeColor="text1"/>
          <w:szCs w:val="24"/>
          <w:lang w:val="en-GB"/>
        </w:rPr>
        <w:t>周围公众情况</w:t>
      </w:r>
      <w:r w:rsidRPr="00B12FE0">
        <w:rPr>
          <w:snapToGrid w:val="0"/>
          <w:color w:val="000000" w:themeColor="text1"/>
          <w:kern w:val="0"/>
          <w:szCs w:val="24"/>
        </w:rPr>
        <w:t>、关注点处人员居留因子等参数，由式</w:t>
      </w:r>
      <w:r w:rsidRPr="00B12FE0">
        <w:rPr>
          <w:snapToGrid w:val="0"/>
          <w:color w:val="000000" w:themeColor="text1"/>
          <w:szCs w:val="24"/>
        </w:rPr>
        <w:t>11.2.1.1-4</w:t>
      </w:r>
      <w:r w:rsidRPr="00B12FE0">
        <w:rPr>
          <w:snapToGrid w:val="0"/>
          <w:color w:val="000000" w:themeColor="text1"/>
          <w:kern w:val="0"/>
          <w:szCs w:val="24"/>
        </w:rPr>
        <w:t>计算即可得到核医学科核素制备场所</w:t>
      </w:r>
      <w:r w:rsidRPr="00B12FE0">
        <w:rPr>
          <w:snapToGrid w:val="0"/>
          <w:color w:val="000000" w:themeColor="text1"/>
          <w:szCs w:val="24"/>
          <w:lang w:val="en-GB"/>
        </w:rPr>
        <w:t>周围公众</w:t>
      </w:r>
      <w:r w:rsidRPr="00B12FE0">
        <w:rPr>
          <w:snapToGrid w:val="0"/>
          <w:color w:val="000000" w:themeColor="text1"/>
          <w:kern w:val="0"/>
          <w:szCs w:val="24"/>
        </w:rPr>
        <w:t>的年有效剂量，见下表。</w:t>
      </w:r>
    </w:p>
    <w:p w14:paraId="2353F0A1" w14:textId="77777777" w:rsidR="00A67F21" w:rsidRPr="00B12FE0" w:rsidRDefault="00000000">
      <w:pPr>
        <w:widowControl/>
        <w:tabs>
          <w:tab w:val="center" w:pos="4201"/>
          <w:tab w:val="right" w:leader="dot" w:pos="9298"/>
        </w:tabs>
        <w:autoSpaceDE w:val="0"/>
        <w:autoSpaceDN w:val="0"/>
        <w:adjustRightInd w:val="0"/>
        <w:snapToGrid w:val="0"/>
        <w:jc w:val="center"/>
        <w:textAlignment w:val="baseline"/>
        <w:rPr>
          <w:b/>
          <w:snapToGrid w:val="0"/>
          <w:color w:val="000000" w:themeColor="text1"/>
          <w:kern w:val="0"/>
          <w:sz w:val="21"/>
          <w:szCs w:val="21"/>
          <w:lang w:val="en-GB"/>
        </w:rPr>
      </w:pPr>
      <w:r w:rsidRPr="00B12FE0">
        <w:rPr>
          <w:b/>
          <w:snapToGrid w:val="0"/>
          <w:color w:val="000000" w:themeColor="text1"/>
          <w:kern w:val="0"/>
          <w:sz w:val="21"/>
          <w:szCs w:val="21"/>
          <w:lang w:val="en-GB"/>
        </w:rPr>
        <w:t>表</w:t>
      </w:r>
      <w:r w:rsidRPr="00B12FE0">
        <w:rPr>
          <w:b/>
          <w:snapToGrid w:val="0"/>
          <w:color w:val="000000" w:themeColor="text1"/>
          <w:kern w:val="0"/>
          <w:sz w:val="21"/>
          <w:szCs w:val="21"/>
          <w:lang w:val="en-GB"/>
        </w:rPr>
        <w:t>11.2.1.1-</w:t>
      </w:r>
      <w:r w:rsidRPr="00B12FE0">
        <w:rPr>
          <w:b/>
          <w:snapToGrid w:val="0"/>
          <w:color w:val="000000" w:themeColor="text1"/>
          <w:kern w:val="0"/>
          <w:sz w:val="21"/>
          <w:szCs w:val="21"/>
        </w:rPr>
        <w:t>9</w:t>
      </w:r>
      <w:r w:rsidRPr="00B12FE0">
        <w:rPr>
          <w:b/>
          <w:snapToGrid w:val="0"/>
          <w:color w:val="000000" w:themeColor="text1"/>
          <w:kern w:val="0"/>
          <w:sz w:val="21"/>
          <w:szCs w:val="21"/>
          <w:lang w:val="en-GB"/>
        </w:rPr>
        <w:t xml:space="preserve">  </w:t>
      </w:r>
      <w:r w:rsidRPr="00B12FE0">
        <w:rPr>
          <w:b/>
          <w:snapToGrid w:val="0"/>
          <w:color w:val="000000" w:themeColor="text1"/>
          <w:kern w:val="0"/>
          <w:sz w:val="21"/>
          <w:szCs w:val="21"/>
          <w:lang w:val="en-GB"/>
        </w:rPr>
        <w:t>核医学科核素制备场所公众人员年有效剂量</w:t>
      </w:r>
      <w:r w:rsidRPr="00B12FE0">
        <w:rPr>
          <w:rFonts w:ascii="宋体"/>
          <w:b/>
          <w:snapToGrid w:val="0"/>
          <w:color w:val="000000" w:themeColor="text1"/>
          <w:kern w:val="0"/>
          <w:sz w:val="21"/>
          <w:szCs w:val="21"/>
        </w:rPr>
        <w:t>估算</w:t>
      </w:r>
    </w:p>
    <w:tbl>
      <w:tblPr>
        <w:tblW w:w="9026" w:type="dxa"/>
        <w:jc w:val="center"/>
        <w:tblLayout w:type="fixed"/>
        <w:tblLook w:val="04A0" w:firstRow="1" w:lastRow="0" w:firstColumn="1" w:lastColumn="0" w:noHBand="0" w:noVBand="1"/>
      </w:tblPr>
      <w:tblGrid>
        <w:gridCol w:w="2122"/>
        <w:gridCol w:w="1800"/>
        <w:gridCol w:w="1091"/>
        <w:gridCol w:w="1003"/>
        <w:gridCol w:w="1263"/>
        <w:gridCol w:w="1747"/>
      </w:tblGrid>
      <w:tr w:rsidR="00A67F21" w:rsidRPr="00B12FE0" w14:paraId="346F7C95" w14:textId="77777777">
        <w:trPr>
          <w:trHeight w:val="312"/>
          <w:jc w:val="center"/>
        </w:trPr>
        <w:tc>
          <w:tcPr>
            <w:tcW w:w="2122" w:type="dxa"/>
            <w:vMerge w:val="restart"/>
            <w:tcBorders>
              <w:top w:val="single" w:sz="4" w:space="0" w:color="000000"/>
              <w:left w:val="single" w:sz="4" w:space="0" w:color="000000"/>
              <w:bottom w:val="single" w:sz="4" w:space="0" w:color="000000"/>
              <w:right w:val="single" w:sz="4" w:space="0" w:color="000000"/>
            </w:tcBorders>
            <w:noWrap/>
            <w:vAlign w:val="center"/>
          </w:tcPr>
          <w:p w14:paraId="66430A6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关注场所</w:t>
            </w:r>
          </w:p>
        </w:tc>
        <w:tc>
          <w:tcPr>
            <w:tcW w:w="1800" w:type="dxa"/>
            <w:vMerge w:val="restart"/>
            <w:tcBorders>
              <w:top w:val="single" w:sz="4" w:space="0" w:color="000000"/>
              <w:left w:val="single" w:sz="4" w:space="0" w:color="000000"/>
              <w:bottom w:val="single" w:sz="4" w:space="0" w:color="000000"/>
              <w:right w:val="single" w:sz="4" w:space="0" w:color="000000"/>
            </w:tcBorders>
            <w:vAlign w:val="center"/>
          </w:tcPr>
          <w:p w14:paraId="34F3214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辐射剂量率（</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1091" w:type="dxa"/>
            <w:vMerge w:val="restart"/>
            <w:tcBorders>
              <w:top w:val="single" w:sz="4" w:space="0" w:color="000000"/>
              <w:left w:val="single" w:sz="4" w:space="0" w:color="000000"/>
              <w:bottom w:val="single" w:sz="4" w:space="0" w:color="000000"/>
              <w:right w:val="single" w:sz="4" w:space="0" w:color="000000"/>
            </w:tcBorders>
            <w:vAlign w:val="center"/>
          </w:tcPr>
          <w:p w14:paraId="6E50976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距离（</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003" w:type="dxa"/>
            <w:vMerge w:val="restart"/>
            <w:tcBorders>
              <w:top w:val="single" w:sz="4" w:space="0" w:color="000000"/>
              <w:left w:val="single" w:sz="4" w:space="0" w:color="000000"/>
              <w:bottom w:val="single" w:sz="4" w:space="0" w:color="000000"/>
              <w:right w:val="single" w:sz="4" w:space="0" w:color="000000"/>
            </w:tcBorders>
            <w:vAlign w:val="center"/>
          </w:tcPr>
          <w:p w14:paraId="24CD38D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居留因子</w:t>
            </w:r>
          </w:p>
        </w:tc>
        <w:tc>
          <w:tcPr>
            <w:tcW w:w="1263" w:type="dxa"/>
            <w:vMerge w:val="restart"/>
            <w:tcBorders>
              <w:top w:val="single" w:sz="4" w:space="0" w:color="000000"/>
              <w:left w:val="single" w:sz="4" w:space="0" w:color="000000"/>
              <w:bottom w:val="single" w:sz="4" w:space="0" w:color="000000"/>
              <w:right w:val="single" w:sz="4" w:space="0" w:color="000000"/>
            </w:tcBorders>
            <w:vAlign w:val="center"/>
          </w:tcPr>
          <w:p w14:paraId="700B463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受照时间（</w:t>
            </w:r>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1747" w:type="dxa"/>
            <w:vMerge w:val="restart"/>
            <w:tcBorders>
              <w:top w:val="single" w:sz="4" w:space="0" w:color="000000"/>
              <w:left w:val="single" w:sz="4" w:space="0" w:color="000000"/>
              <w:bottom w:val="single" w:sz="4" w:space="0" w:color="000000"/>
              <w:right w:val="single" w:sz="4" w:space="0" w:color="000000"/>
            </w:tcBorders>
            <w:vAlign w:val="center"/>
          </w:tcPr>
          <w:p w14:paraId="7B923E5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年有效剂量（</w:t>
            </w:r>
            <w:r w:rsidRPr="00B12FE0">
              <w:rPr>
                <w:snapToGrid w:val="0"/>
                <w:color w:val="000000" w:themeColor="text1"/>
                <w:kern w:val="0"/>
                <w:sz w:val="21"/>
                <w:szCs w:val="21"/>
                <w:lang w:bidi="ar"/>
              </w:rPr>
              <w:t>mSv</w:t>
            </w:r>
            <w:r w:rsidRPr="00B12FE0">
              <w:rPr>
                <w:snapToGrid w:val="0"/>
                <w:color w:val="000000" w:themeColor="text1"/>
                <w:kern w:val="0"/>
                <w:sz w:val="21"/>
                <w:szCs w:val="21"/>
                <w:lang w:bidi="ar"/>
              </w:rPr>
              <w:t>）</w:t>
            </w:r>
          </w:p>
        </w:tc>
      </w:tr>
      <w:tr w:rsidR="00A67F21" w:rsidRPr="00B12FE0" w14:paraId="58761F8C" w14:textId="77777777">
        <w:trPr>
          <w:trHeight w:val="312"/>
          <w:jc w:val="center"/>
        </w:trPr>
        <w:tc>
          <w:tcPr>
            <w:tcW w:w="2122" w:type="dxa"/>
            <w:vMerge/>
            <w:tcBorders>
              <w:top w:val="single" w:sz="4" w:space="0" w:color="000000"/>
              <w:left w:val="single" w:sz="4" w:space="0" w:color="000000"/>
              <w:bottom w:val="single" w:sz="4" w:space="0" w:color="000000"/>
              <w:right w:val="single" w:sz="4" w:space="0" w:color="000000"/>
            </w:tcBorders>
            <w:noWrap/>
            <w:vAlign w:val="center"/>
          </w:tcPr>
          <w:p w14:paraId="340B3147" w14:textId="77777777" w:rsidR="00A67F21" w:rsidRPr="00B12FE0" w:rsidRDefault="00A67F21">
            <w:pPr>
              <w:jc w:val="center"/>
              <w:rPr>
                <w:snapToGrid w:val="0"/>
                <w:color w:val="000000" w:themeColor="text1"/>
                <w:sz w:val="21"/>
                <w:szCs w:val="21"/>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14:paraId="2C6E3FC5" w14:textId="77777777" w:rsidR="00A67F21" w:rsidRPr="00B12FE0" w:rsidRDefault="00A67F21">
            <w:pPr>
              <w:jc w:val="center"/>
              <w:rPr>
                <w:snapToGrid w:val="0"/>
                <w:color w:val="000000" w:themeColor="text1"/>
                <w:sz w:val="21"/>
                <w:szCs w:val="21"/>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1C912D47" w14:textId="77777777" w:rsidR="00A67F21" w:rsidRPr="00B12FE0" w:rsidRDefault="00A67F21">
            <w:pPr>
              <w:jc w:val="center"/>
              <w:rPr>
                <w:snapToGrid w:val="0"/>
                <w:color w:val="000000" w:themeColor="text1"/>
                <w:sz w:val="21"/>
                <w:szCs w:val="21"/>
              </w:rPr>
            </w:pPr>
          </w:p>
        </w:tc>
        <w:tc>
          <w:tcPr>
            <w:tcW w:w="1003" w:type="dxa"/>
            <w:vMerge/>
            <w:tcBorders>
              <w:top w:val="single" w:sz="4" w:space="0" w:color="000000"/>
              <w:left w:val="single" w:sz="4" w:space="0" w:color="000000"/>
              <w:bottom w:val="single" w:sz="4" w:space="0" w:color="000000"/>
              <w:right w:val="single" w:sz="4" w:space="0" w:color="000000"/>
            </w:tcBorders>
            <w:vAlign w:val="center"/>
          </w:tcPr>
          <w:p w14:paraId="0882C5ED" w14:textId="77777777" w:rsidR="00A67F21" w:rsidRPr="00B12FE0" w:rsidRDefault="00A67F21">
            <w:pPr>
              <w:jc w:val="center"/>
              <w:rPr>
                <w:snapToGrid w:val="0"/>
                <w:color w:val="000000" w:themeColor="text1"/>
                <w:sz w:val="21"/>
                <w:szCs w:val="21"/>
              </w:rPr>
            </w:pPr>
          </w:p>
        </w:tc>
        <w:tc>
          <w:tcPr>
            <w:tcW w:w="1263" w:type="dxa"/>
            <w:vMerge/>
            <w:tcBorders>
              <w:top w:val="single" w:sz="4" w:space="0" w:color="000000"/>
              <w:left w:val="single" w:sz="4" w:space="0" w:color="000000"/>
              <w:bottom w:val="single" w:sz="4" w:space="0" w:color="000000"/>
              <w:right w:val="single" w:sz="4" w:space="0" w:color="000000"/>
            </w:tcBorders>
            <w:vAlign w:val="center"/>
          </w:tcPr>
          <w:p w14:paraId="1BEFD35E" w14:textId="77777777" w:rsidR="00A67F21" w:rsidRPr="00B12FE0" w:rsidRDefault="00A67F21">
            <w:pPr>
              <w:jc w:val="center"/>
              <w:rPr>
                <w:snapToGrid w:val="0"/>
                <w:color w:val="000000" w:themeColor="text1"/>
                <w:sz w:val="21"/>
                <w:szCs w:val="21"/>
              </w:rPr>
            </w:pPr>
          </w:p>
        </w:tc>
        <w:tc>
          <w:tcPr>
            <w:tcW w:w="1747" w:type="dxa"/>
            <w:vMerge/>
            <w:tcBorders>
              <w:top w:val="single" w:sz="4" w:space="0" w:color="000000"/>
              <w:left w:val="single" w:sz="4" w:space="0" w:color="000000"/>
              <w:bottom w:val="single" w:sz="4" w:space="0" w:color="000000"/>
              <w:right w:val="single" w:sz="4" w:space="0" w:color="000000"/>
            </w:tcBorders>
            <w:vAlign w:val="center"/>
          </w:tcPr>
          <w:p w14:paraId="5A8C6E73" w14:textId="77777777" w:rsidR="00A67F21" w:rsidRPr="00B12FE0" w:rsidRDefault="00A67F21">
            <w:pPr>
              <w:jc w:val="center"/>
              <w:rPr>
                <w:snapToGrid w:val="0"/>
                <w:color w:val="000000" w:themeColor="text1"/>
                <w:sz w:val="21"/>
                <w:szCs w:val="21"/>
              </w:rPr>
            </w:pPr>
          </w:p>
        </w:tc>
      </w:tr>
      <w:tr w:rsidR="00A67F21" w:rsidRPr="00B12FE0" w14:paraId="247E90EA" w14:textId="77777777">
        <w:trPr>
          <w:trHeight w:val="312"/>
          <w:jc w:val="center"/>
        </w:trPr>
        <w:tc>
          <w:tcPr>
            <w:tcW w:w="2122" w:type="dxa"/>
            <w:tcBorders>
              <w:top w:val="single" w:sz="4" w:space="0" w:color="000000"/>
              <w:left w:val="single" w:sz="4" w:space="0" w:color="000000"/>
              <w:bottom w:val="single" w:sz="4" w:space="0" w:color="000000"/>
              <w:right w:val="single" w:sz="4" w:space="0" w:color="000000"/>
            </w:tcBorders>
            <w:noWrap/>
            <w:vAlign w:val="center"/>
          </w:tcPr>
          <w:p w14:paraId="46A51BAB" w14:textId="77777777" w:rsidR="00A67F21" w:rsidRPr="00B12FE0" w:rsidRDefault="00000000">
            <w:pPr>
              <w:jc w:val="center"/>
              <w:rPr>
                <w:snapToGrid w:val="0"/>
                <w:color w:val="000000" w:themeColor="text1"/>
                <w:sz w:val="21"/>
                <w:szCs w:val="21"/>
              </w:rPr>
            </w:pPr>
            <w:r w:rsidRPr="00B12FE0">
              <w:rPr>
                <w:rFonts w:hint="eastAsia"/>
                <w:color w:val="000000" w:themeColor="text1"/>
                <w:sz w:val="21"/>
                <w:szCs w:val="21"/>
              </w:rPr>
              <w:t>院内道路及绿化</w:t>
            </w:r>
          </w:p>
        </w:tc>
        <w:tc>
          <w:tcPr>
            <w:tcW w:w="1800" w:type="dxa"/>
            <w:tcBorders>
              <w:top w:val="single" w:sz="4" w:space="0" w:color="000000"/>
              <w:left w:val="single" w:sz="4" w:space="0" w:color="000000"/>
              <w:bottom w:val="single" w:sz="4" w:space="0" w:color="000000"/>
              <w:right w:val="single" w:sz="4" w:space="0" w:color="000000"/>
            </w:tcBorders>
            <w:vAlign w:val="center"/>
          </w:tcPr>
          <w:p w14:paraId="472358D8" w14:textId="77777777" w:rsidR="00A67F21" w:rsidRPr="00B12FE0" w:rsidRDefault="00000000">
            <w:pPr>
              <w:jc w:val="center"/>
              <w:rPr>
                <w:snapToGrid w:val="0"/>
                <w:color w:val="000000" w:themeColor="text1"/>
                <w:sz w:val="21"/>
                <w:szCs w:val="21"/>
              </w:rPr>
            </w:pPr>
            <w:r w:rsidRPr="00B12FE0">
              <w:rPr>
                <w:snapToGrid w:val="0"/>
                <w:color w:val="000000" w:themeColor="text1"/>
                <w:kern w:val="0"/>
                <w:sz w:val="21"/>
                <w:szCs w:val="21"/>
                <w:lang w:bidi="ar"/>
              </w:rPr>
              <w:t>1.81E-02</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15</w:t>
            </w:r>
            <w:r w:rsidRPr="00B12FE0">
              <w:rPr>
                <w:snapToGrid w:val="0"/>
                <w:color w:val="000000" w:themeColor="text1"/>
                <w:kern w:val="0"/>
                <w:sz w:val="21"/>
                <w:szCs w:val="21"/>
                <w:lang w:bidi="ar"/>
              </w:rPr>
              <w:t>）</w:t>
            </w:r>
          </w:p>
        </w:tc>
        <w:tc>
          <w:tcPr>
            <w:tcW w:w="1091" w:type="dxa"/>
            <w:tcBorders>
              <w:top w:val="single" w:sz="4" w:space="0" w:color="000000"/>
              <w:left w:val="single" w:sz="4" w:space="0" w:color="000000"/>
              <w:bottom w:val="single" w:sz="4" w:space="0" w:color="000000"/>
              <w:right w:val="single" w:sz="4" w:space="0" w:color="000000"/>
            </w:tcBorders>
            <w:vAlign w:val="center"/>
          </w:tcPr>
          <w:p w14:paraId="32143BA0" w14:textId="77777777" w:rsidR="00A67F21" w:rsidRPr="00B12FE0" w:rsidRDefault="00000000">
            <w:pPr>
              <w:jc w:val="center"/>
              <w:rPr>
                <w:snapToGrid w:val="0"/>
                <w:color w:val="000000" w:themeColor="text1"/>
                <w:sz w:val="21"/>
                <w:szCs w:val="21"/>
              </w:rPr>
            </w:pPr>
            <w:r w:rsidRPr="00B12FE0">
              <w:rPr>
                <w:rFonts w:hint="eastAsia"/>
                <w:snapToGrid w:val="0"/>
                <w:color w:val="000000" w:themeColor="text1"/>
                <w:sz w:val="21"/>
                <w:szCs w:val="21"/>
              </w:rPr>
              <w:t>紧邻</w:t>
            </w:r>
          </w:p>
        </w:tc>
        <w:tc>
          <w:tcPr>
            <w:tcW w:w="1003" w:type="dxa"/>
            <w:tcBorders>
              <w:top w:val="single" w:sz="4" w:space="0" w:color="000000"/>
              <w:left w:val="single" w:sz="4" w:space="0" w:color="000000"/>
              <w:bottom w:val="single" w:sz="4" w:space="0" w:color="000000"/>
              <w:right w:val="single" w:sz="4" w:space="0" w:color="000000"/>
            </w:tcBorders>
            <w:vAlign w:val="center"/>
          </w:tcPr>
          <w:p w14:paraId="4D4024D8" w14:textId="77777777" w:rsidR="00A67F21" w:rsidRPr="00B12FE0" w:rsidRDefault="00000000">
            <w:pPr>
              <w:jc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16</w:t>
            </w:r>
          </w:p>
        </w:tc>
        <w:tc>
          <w:tcPr>
            <w:tcW w:w="1263" w:type="dxa"/>
            <w:tcBorders>
              <w:top w:val="single" w:sz="4" w:space="0" w:color="000000"/>
              <w:left w:val="single" w:sz="4" w:space="0" w:color="000000"/>
              <w:bottom w:val="single" w:sz="4" w:space="0" w:color="000000"/>
              <w:right w:val="single" w:sz="4" w:space="0" w:color="000000"/>
            </w:tcBorders>
            <w:vAlign w:val="center"/>
          </w:tcPr>
          <w:p w14:paraId="30D24364" w14:textId="77777777" w:rsidR="00A67F21" w:rsidRPr="00B12FE0" w:rsidRDefault="00000000">
            <w:pPr>
              <w:jc w:val="center"/>
              <w:rPr>
                <w:snapToGrid w:val="0"/>
                <w:color w:val="000000" w:themeColor="text1"/>
                <w:sz w:val="21"/>
                <w:szCs w:val="21"/>
              </w:rPr>
            </w:pPr>
            <w:r w:rsidRPr="00B12FE0">
              <w:rPr>
                <w:rFonts w:hint="eastAsia"/>
                <w:snapToGrid w:val="0"/>
                <w:color w:val="000000" w:themeColor="text1"/>
                <w:sz w:val="21"/>
                <w:szCs w:val="21"/>
              </w:rPr>
              <w:t>2000</w:t>
            </w:r>
          </w:p>
        </w:tc>
        <w:tc>
          <w:tcPr>
            <w:tcW w:w="1747" w:type="dxa"/>
            <w:tcBorders>
              <w:top w:val="single" w:sz="4" w:space="0" w:color="000000"/>
              <w:left w:val="single" w:sz="4" w:space="0" w:color="000000"/>
              <w:bottom w:val="single" w:sz="4" w:space="0" w:color="000000"/>
              <w:right w:val="single" w:sz="4" w:space="0" w:color="000000"/>
            </w:tcBorders>
            <w:vAlign w:val="center"/>
          </w:tcPr>
          <w:p w14:paraId="0D7033C4" w14:textId="77777777" w:rsidR="00A67F21" w:rsidRPr="00B12FE0" w:rsidRDefault="00000000">
            <w:pPr>
              <w:jc w:val="center"/>
              <w:rPr>
                <w:snapToGrid w:val="0"/>
                <w:color w:val="000000" w:themeColor="text1"/>
                <w:sz w:val="21"/>
                <w:szCs w:val="21"/>
              </w:rPr>
            </w:pPr>
            <w:r w:rsidRPr="00B12FE0">
              <w:rPr>
                <w:rFonts w:eastAsia="等线"/>
                <w:color w:val="000000" w:themeColor="text1"/>
                <w:sz w:val="21"/>
                <w:szCs w:val="21"/>
              </w:rPr>
              <w:t>2.27E-03</w:t>
            </w:r>
          </w:p>
        </w:tc>
      </w:tr>
      <w:tr w:rsidR="00A67F21" w:rsidRPr="00B12FE0" w14:paraId="509572AD" w14:textId="77777777">
        <w:trPr>
          <w:trHeight w:val="270"/>
          <w:jc w:val="center"/>
        </w:trPr>
        <w:tc>
          <w:tcPr>
            <w:tcW w:w="2122" w:type="dxa"/>
            <w:tcBorders>
              <w:top w:val="single" w:sz="4" w:space="0" w:color="000000"/>
              <w:left w:val="single" w:sz="4" w:space="0" w:color="000000"/>
              <w:bottom w:val="single" w:sz="4" w:space="0" w:color="000000"/>
              <w:right w:val="single" w:sz="4" w:space="0" w:color="000000"/>
            </w:tcBorders>
            <w:noWrap/>
            <w:vAlign w:val="center"/>
          </w:tcPr>
          <w:p w14:paraId="268A2904" w14:textId="77777777" w:rsidR="00A67F21" w:rsidRPr="00B12FE0" w:rsidRDefault="00000000">
            <w:pPr>
              <w:widowControl/>
              <w:jc w:val="center"/>
              <w:textAlignment w:val="center"/>
              <w:rPr>
                <w:snapToGrid w:val="0"/>
                <w:color w:val="000000" w:themeColor="text1"/>
                <w:sz w:val="21"/>
                <w:szCs w:val="21"/>
              </w:rPr>
            </w:pPr>
            <w:r w:rsidRPr="00B12FE0">
              <w:rPr>
                <w:rFonts w:hint="eastAsia"/>
                <w:color w:val="000000" w:themeColor="text1"/>
                <w:kern w:val="0"/>
                <w:sz w:val="21"/>
                <w:szCs w:val="21"/>
                <w:lang w:bidi="ar"/>
              </w:rPr>
              <w:t>楼梯间</w:t>
            </w:r>
            <w:r w:rsidRPr="00B12FE0">
              <w:rPr>
                <w:color w:val="000000" w:themeColor="text1"/>
                <w:kern w:val="0"/>
                <w:sz w:val="21"/>
                <w:szCs w:val="21"/>
                <w:lang w:bidi="ar"/>
              </w:rPr>
              <w:t>、卫生间、医护走道</w:t>
            </w: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1D544749"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0.26</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3</w:t>
            </w:r>
            <w:r w:rsidRPr="00B12FE0">
              <w:rPr>
                <w:snapToGrid w:val="0"/>
                <w:color w:val="000000" w:themeColor="text1"/>
                <w:kern w:val="0"/>
                <w:sz w:val="21"/>
                <w:szCs w:val="21"/>
                <w:lang w:bidi="ar"/>
              </w:rPr>
              <w:t>）</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53F8446"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紧邻</w:t>
            </w:r>
          </w:p>
        </w:tc>
        <w:tc>
          <w:tcPr>
            <w:tcW w:w="1003" w:type="dxa"/>
            <w:tcBorders>
              <w:top w:val="single" w:sz="4" w:space="0" w:color="000000"/>
              <w:left w:val="single" w:sz="4" w:space="0" w:color="000000"/>
              <w:bottom w:val="single" w:sz="4" w:space="0" w:color="000000"/>
              <w:right w:val="single" w:sz="4" w:space="0" w:color="000000"/>
            </w:tcBorders>
            <w:noWrap/>
            <w:vAlign w:val="center"/>
          </w:tcPr>
          <w:p w14:paraId="30C2599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8</w:t>
            </w:r>
          </w:p>
        </w:tc>
        <w:tc>
          <w:tcPr>
            <w:tcW w:w="1263" w:type="dxa"/>
            <w:tcBorders>
              <w:top w:val="single" w:sz="4" w:space="0" w:color="000000"/>
              <w:left w:val="single" w:sz="4" w:space="0" w:color="000000"/>
              <w:bottom w:val="single" w:sz="4" w:space="0" w:color="000000"/>
              <w:right w:val="single" w:sz="4" w:space="0" w:color="000000"/>
            </w:tcBorders>
            <w:noWrap/>
            <w:vAlign w:val="center"/>
          </w:tcPr>
          <w:p w14:paraId="2AF36F0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2000</w:t>
            </w:r>
          </w:p>
        </w:tc>
        <w:tc>
          <w:tcPr>
            <w:tcW w:w="1747" w:type="dxa"/>
            <w:tcBorders>
              <w:top w:val="single" w:sz="4" w:space="0" w:color="000000"/>
              <w:left w:val="single" w:sz="4" w:space="0" w:color="000000"/>
              <w:bottom w:val="single" w:sz="4" w:space="0" w:color="000000"/>
              <w:right w:val="single" w:sz="4" w:space="0" w:color="000000"/>
            </w:tcBorders>
            <w:noWrap/>
            <w:vAlign w:val="center"/>
          </w:tcPr>
          <w:p w14:paraId="57F7982A"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6.61E-02</w:t>
            </w:r>
          </w:p>
        </w:tc>
      </w:tr>
      <w:tr w:rsidR="00A67F21" w:rsidRPr="00B12FE0" w14:paraId="0D13D10E" w14:textId="77777777">
        <w:trPr>
          <w:trHeight w:val="270"/>
          <w:jc w:val="center"/>
        </w:trPr>
        <w:tc>
          <w:tcPr>
            <w:tcW w:w="2122" w:type="dxa"/>
            <w:tcBorders>
              <w:top w:val="single" w:sz="4" w:space="0" w:color="000000"/>
              <w:left w:val="single" w:sz="4" w:space="0" w:color="000000"/>
              <w:bottom w:val="single" w:sz="4" w:space="0" w:color="000000"/>
              <w:right w:val="single" w:sz="4" w:space="0" w:color="000000"/>
            </w:tcBorders>
            <w:noWrap/>
            <w:vAlign w:val="center"/>
          </w:tcPr>
          <w:p w14:paraId="105D3483"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sz w:val="21"/>
                <w:szCs w:val="21"/>
              </w:rPr>
              <w:t>院内道路及绿化</w:t>
            </w: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62B43B0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0.40</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4</w:t>
            </w:r>
            <w:r w:rsidRPr="00B12FE0">
              <w:rPr>
                <w:snapToGrid w:val="0"/>
                <w:color w:val="000000" w:themeColor="text1"/>
                <w:kern w:val="0"/>
                <w:sz w:val="21"/>
                <w:szCs w:val="21"/>
                <w:lang w:bidi="ar"/>
              </w:rPr>
              <w:t>）</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748CF7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sz w:val="21"/>
                <w:szCs w:val="21"/>
              </w:rPr>
              <w:t>紧邻</w:t>
            </w:r>
          </w:p>
        </w:tc>
        <w:tc>
          <w:tcPr>
            <w:tcW w:w="1003" w:type="dxa"/>
            <w:tcBorders>
              <w:top w:val="single" w:sz="4" w:space="0" w:color="000000"/>
              <w:left w:val="single" w:sz="4" w:space="0" w:color="000000"/>
              <w:bottom w:val="single" w:sz="4" w:space="0" w:color="000000"/>
              <w:right w:val="single" w:sz="4" w:space="0" w:color="000000"/>
            </w:tcBorders>
            <w:noWrap/>
            <w:vAlign w:val="center"/>
          </w:tcPr>
          <w:p w14:paraId="7F4CA960"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16</w:t>
            </w:r>
          </w:p>
        </w:tc>
        <w:tc>
          <w:tcPr>
            <w:tcW w:w="1263" w:type="dxa"/>
            <w:tcBorders>
              <w:top w:val="single" w:sz="4" w:space="0" w:color="000000"/>
              <w:left w:val="single" w:sz="4" w:space="0" w:color="000000"/>
              <w:bottom w:val="single" w:sz="4" w:space="0" w:color="000000"/>
              <w:right w:val="single" w:sz="4" w:space="0" w:color="000000"/>
            </w:tcBorders>
            <w:noWrap/>
            <w:vAlign w:val="center"/>
          </w:tcPr>
          <w:p w14:paraId="3B0AC634"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sz w:val="21"/>
                <w:szCs w:val="21"/>
              </w:rPr>
              <w:t>2000</w:t>
            </w:r>
          </w:p>
        </w:tc>
        <w:tc>
          <w:tcPr>
            <w:tcW w:w="1747" w:type="dxa"/>
            <w:tcBorders>
              <w:top w:val="single" w:sz="4" w:space="0" w:color="000000"/>
              <w:left w:val="single" w:sz="4" w:space="0" w:color="000000"/>
              <w:bottom w:val="single" w:sz="4" w:space="0" w:color="000000"/>
              <w:right w:val="single" w:sz="4" w:space="0" w:color="000000"/>
            </w:tcBorders>
            <w:noWrap/>
            <w:vAlign w:val="center"/>
          </w:tcPr>
          <w:p w14:paraId="27629C53"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5.02E-02</w:t>
            </w:r>
          </w:p>
        </w:tc>
      </w:tr>
      <w:tr w:rsidR="00A67F21" w:rsidRPr="00B12FE0" w14:paraId="26DF743F" w14:textId="77777777">
        <w:trPr>
          <w:trHeight w:val="270"/>
          <w:jc w:val="center"/>
        </w:trPr>
        <w:tc>
          <w:tcPr>
            <w:tcW w:w="2122" w:type="dxa"/>
            <w:tcBorders>
              <w:top w:val="single" w:sz="4" w:space="0" w:color="000000"/>
              <w:left w:val="single" w:sz="4" w:space="0" w:color="000000"/>
              <w:bottom w:val="single" w:sz="4" w:space="0" w:color="000000"/>
              <w:right w:val="single" w:sz="4" w:space="0" w:color="000000"/>
            </w:tcBorders>
            <w:noWrap/>
            <w:vAlign w:val="center"/>
          </w:tcPr>
          <w:p w14:paraId="4C47C2B4" w14:textId="77777777" w:rsidR="00A67F21" w:rsidRPr="00B12FE0" w:rsidRDefault="00000000">
            <w:pPr>
              <w:widowControl/>
              <w:jc w:val="center"/>
              <w:textAlignment w:val="center"/>
              <w:rPr>
                <w:snapToGrid w:val="0"/>
                <w:color w:val="000000" w:themeColor="text1"/>
                <w:sz w:val="21"/>
                <w:szCs w:val="21"/>
              </w:rPr>
            </w:pPr>
            <w:r w:rsidRPr="00B12FE0">
              <w:rPr>
                <w:rFonts w:hint="eastAsia"/>
                <w:color w:val="000000" w:themeColor="text1"/>
                <w:kern w:val="0"/>
                <w:sz w:val="21"/>
                <w:szCs w:val="21"/>
                <w:lang w:bidi="ar"/>
              </w:rPr>
              <w:t>空调</w:t>
            </w:r>
            <w:r w:rsidRPr="00B12FE0">
              <w:rPr>
                <w:color w:val="000000" w:themeColor="text1"/>
                <w:kern w:val="0"/>
                <w:sz w:val="21"/>
                <w:szCs w:val="21"/>
                <w:lang w:bidi="ar"/>
              </w:rPr>
              <w:t>机房、</w:t>
            </w:r>
            <w:r w:rsidRPr="00B12FE0">
              <w:rPr>
                <w:rFonts w:hint="eastAsia"/>
                <w:color w:val="000000" w:themeColor="text1"/>
                <w:kern w:val="0"/>
                <w:sz w:val="21"/>
                <w:szCs w:val="21"/>
                <w:lang w:bidi="ar"/>
              </w:rPr>
              <w:t>更淋室、卫生间</w:t>
            </w:r>
          </w:p>
        </w:tc>
        <w:tc>
          <w:tcPr>
            <w:tcW w:w="1800" w:type="dxa"/>
            <w:tcBorders>
              <w:top w:val="single" w:sz="4" w:space="0" w:color="000000"/>
              <w:left w:val="single" w:sz="4" w:space="0" w:color="000000"/>
              <w:bottom w:val="single" w:sz="4" w:space="0" w:color="000000"/>
              <w:right w:val="single" w:sz="4" w:space="0" w:color="000000"/>
            </w:tcBorders>
            <w:noWrap/>
            <w:vAlign w:val="center"/>
          </w:tcPr>
          <w:p w14:paraId="78054B34"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0.52</w:t>
            </w: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5</w:t>
            </w:r>
            <w:r w:rsidRPr="00B12FE0">
              <w:rPr>
                <w:snapToGrid w:val="0"/>
                <w:color w:val="000000" w:themeColor="text1"/>
                <w:kern w:val="0"/>
                <w:sz w:val="21"/>
                <w:szCs w:val="21"/>
                <w:lang w:bidi="ar"/>
              </w:rPr>
              <w:t>)</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E230598"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紧邻</w:t>
            </w:r>
          </w:p>
        </w:tc>
        <w:tc>
          <w:tcPr>
            <w:tcW w:w="1003" w:type="dxa"/>
            <w:tcBorders>
              <w:top w:val="single" w:sz="4" w:space="0" w:color="000000"/>
              <w:left w:val="single" w:sz="4" w:space="0" w:color="000000"/>
              <w:bottom w:val="single" w:sz="4" w:space="0" w:color="000000"/>
              <w:right w:val="single" w:sz="4" w:space="0" w:color="000000"/>
            </w:tcBorders>
            <w:noWrap/>
            <w:vAlign w:val="center"/>
          </w:tcPr>
          <w:p w14:paraId="209A943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16</w:t>
            </w:r>
          </w:p>
        </w:tc>
        <w:tc>
          <w:tcPr>
            <w:tcW w:w="1263" w:type="dxa"/>
            <w:tcBorders>
              <w:top w:val="single" w:sz="4" w:space="0" w:color="000000"/>
              <w:left w:val="single" w:sz="4" w:space="0" w:color="000000"/>
              <w:bottom w:val="single" w:sz="4" w:space="0" w:color="000000"/>
              <w:right w:val="single" w:sz="4" w:space="0" w:color="000000"/>
            </w:tcBorders>
            <w:noWrap/>
            <w:vAlign w:val="center"/>
          </w:tcPr>
          <w:p w14:paraId="6535403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2000</w:t>
            </w:r>
          </w:p>
        </w:tc>
        <w:tc>
          <w:tcPr>
            <w:tcW w:w="1747" w:type="dxa"/>
            <w:tcBorders>
              <w:top w:val="single" w:sz="4" w:space="0" w:color="000000"/>
              <w:left w:val="single" w:sz="4" w:space="0" w:color="000000"/>
              <w:bottom w:val="single" w:sz="4" w:space="0" w:color="000000"/>
              <w:right w:val="single" w:sz="4" w:space="0" w:color="000000"/>
            </w:tcBorders>
            <w:noWrap/>
            <w:vAlign w:val="center"/>
          </w:tcPr>
          <w:p w14:paraId="46EDABAA"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6.58E-02</w:t>
            </w:r>
          </w:p>
        </w:tc>
      </w:tr>
      <w:tr w:rsidR="00A67F21" w:rsidRPr="00B12FE0" w14:paraId="4A149599" w14:textId="77777777">
        <w:trPr>
          <w:trHeight w:val="270"/>
          <w:jc w:val="center"/>
        </w:trPr>
        <w:tc>
          <w:tcPr>
            <w:tcW w:w="9026" w:type="dxa"/>
            <w:gridSpan w:val="6"/>
            <w:tcBorders>
              <w:top w:val="single" w:sz="4" w:space="0" w:color="000000"/>
              <w:left w:val="single" w:sz="4" w:space="0" w:color="000000"/>
              <w:bottom w:val="single" w:sz="4" w:space="0" w:color="000000"/>
              <w:right w:val="single" w:sz="4" w:space="0" w:color="000000"/>
            </w:tcBorders>
            <w:noWrap/>
            <w:vAlign w:val="center"/>
          </w:tcPr>
          <w:p w14:paraId="657B6668" w14:textId="77777777" w:rsidR="00A67F21" w:rsidRPr="00B12FE0" w:rsidRDefault="00000000">
            <w:pPr>
              <w:widowControl/>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注：</w:t>
            </w:r>
            <w:r w:rsidRPr="00B12FE0">
              <w:rPr>
                <w:snapToGrid w:val="0"/>
                <w:color w:val="000000" w:themeColor="text1"/>
                <w:sz w:val="18"/>
                <w:szCs w:val="18"/>
              </w:rPr>
              <w:t>公众受照时间保守按照</w:t>
            </w:r>
            <w:r w:rsidRPr="00B12FE0">
              <w:rPr>
                <w:snapToGrid w:val="0"/>
                <w:color w:val="000000" w:themeColor="text1"/>
                <w:sz w:val="18"/>
                <w:szCs w:val="18"/>
              </w:rPr>
              <w:t>2000</w:t>
            </w:r>
            <w:r w:rsidRPr="00B12FE0">
              <w:rPr>
                <w:snapToGrid w:val="0"/>
                <w:color w:val="000000" w:themeColor="text1"/>
                <w:sz w:val="18"/>
                <w:szCs w:val="18"/>
              </w:rPr>
              <w:t>小时考虑。</w:t>
            </w:r>
          </w:p>
        </w:tc>
      </w:tr>
    </w:tbl>
    <w:p w14:paraId="12BBE50D" w14:textId="77777777" w:rsidR="00A67F21" w:rsidRPr="00B12FE0" w:rsidRDefault="00000000">
      <w:pPr>
        <w:tabs>
          <w:tab w:val="left" w:pos="0"/>
        </w:tabs>
        <w:topLinePunct/>
        <w:adjustRightInd w:val="0"/>
        <w:snapToGrid w:val="0"/>
        <w:spacing w:beforeLines="50" w:before="120" w:line="360" w:lineRule="auto"/>
        <w:ind w:firstLineChars="200" w:firstLine="476"/>
        <w:rPr>
          <w:snapToGrid w:val="0"/>
          <w:color w:val="000000" w:themeColor="text1"/>
        </w:rPr>
      </w:pPr>
      <w:r w:rsidRPr="00B12FE0">
        <w:rPr>
          <w:snapToGrid w:val="0"/>
          <w:color w:val="000000" w:themeColor="text1"/>
          <w:spacing w:val="-2"/>
          <w:szCs w:val="24"/>
        </w:rPr>
        <w:t>综上，核素制备</w:t>
      </w:r>
      <w:r w:rsidRPr="00B12FE0">
        <w:rPr>
          <w:rFonts w:hAnsi="宋体"/>
          <w:snapToGrid w:val="0"/>
          <w:color w:val="000000" w:themeColor="text1"/>
          <w:szCs w:val="24"/>
        </w:rPr>
        <w:t>场所</w:t>
      </w:r>
      <w:r w:rsidRPr="00B12FE0">
        <w:rPr>
          <w:snapToGrid w:val="0"/>
          <w:color w:val="000000" w:themeColor="text1"/>
          <w:szCs w:val="24"/>
        </w:rPr>
        <w:t>周边的公众所受</w:t>
      </w:r>
      <w:r w:rsidRPr="00B12FE0">
        <w:rPr>
          <w:bCs/>
          <w:snapToGrid w:val="0"/>
          <w:color w:val="000000" w:themeColor="text1"/>
          <w:spacing w:val="-2"/>
          <w:szCs w:val="24"/>
        </w:rPr>
        <w:t>年有效剂量最大</w:t>
      </w:r>
      <w:r w:rsidRPr="00B12FE0">
        <w:rPr>
          <w:snapToGrid w:val="0"/>
          <w:color w:val="000000" w:themeColor="text1"/>
          <w:spacing w:val="-2"/>
          <w:szCs w:val="24"/>
        </w:rPr>
        <w:t>为</w:t>
      </w:r>
      <w:r w:rsidRPr="00B12FE0">
        <w:rPr>
          <w:rFonts w:hint="eastAsia"/>
          <w:snapToGrid w:val="0"/>
          <w:color w:val="000000" w:themeColor="text1"/>
          <w:szCs w:val="24"/>
        </w:rPr>
        <w:t>6.61</w:t>
      </w:r>
      <w:r w:rsidRPr="00B12FE0">
        <w:rPr>
          <w:snapToGrid w:val="0"/>
          <w:color w:val="000000" w:themeColor="text1"/>
          <w:szCs w:val="24"/>
        </w:rPr>
        <w:t>×10</w:t>
      </w:r>
      <w:r w:rsidRPr="00B12FE0">
        <w:rPr>
          <w:snapToGrid w:val="0"/>
          <w:color w:val="000000" w:themeColor="text1"/>
          <w:szCs w:val="24"/>
          <w:vertAlign w:val="superscript"/>
        </w:rPr>
        <w:t>-</w:t>
      </w:r>
      <w:r w:rsidRPr="00B12FE0">
        <w:rPr>
          <w:rFonts w:hint="eastAsia"/>
          <w:snapToGrid w:val="0"/>
          <w:color w:val="000000" w:themeColor="text1"/>
          <w:szCs w:val="24"/>
          <w:vertAlign w:val="superscript"/>
        </w:rPr>
        <w:t>2</w:t>
      </w:r>
      <w:r w:rsidRPr="00B12FE0">
        <w:rPr>
          <w:snapToGrid w:val="0"/>
          <w:color w:val="000000" w:themeColor="text1"/>
          <w:spacing w:val="-2"/>
          <w:szCs w:val="24"/>
        </w:rPr>
        <w:t>mSv</w:t>
      </w:r>
      <w:r w:rsidRPr="00B12FE0">
        <w:rPr>
          <w:snapToGrid w:val="0"/>
          <w:color w:val="000000" w:themeColor="text1"/>
          <w:spacing w:val="-2"/>
          <w:szCs w:val="24"/>
        </w:rPr>
        <w:t>，满足本项目公众成员年有效年剂量约束值不超过</w:t>
      </w:r>
      <w:r w:rsidRPr="00B12FE0">
        <w:rPr>
          <w:snapToGrid w:val="0"/>
          <w:color w:val="000000" w:themeColor="text1"/>
          <w:spacing w:val="-2"/>
          <w:szCs w:val="24"/>
        </w:rPr>
        <w:t>0.1mSv</w:t>
      </w:r>
      <w:r w:rsidRPr="00B12FE0">
        <w:rPr>
          <w:snapToGrid w:val="0"/>
          <w:color w:val="000000" w:themeColor="text1"/>
          <w:spacing w:val="-2"/>
          <w:szCs w:val="24"/>
        </w:rPr>
        <w:t>的要求。</w:t>
      </w:r>
    </w:p>
    <w:p w14:paraId="4D4EEEBA" w14:textId="77777777" w:rsidR="00A67F21" w:rsidRPr="00B12FE0" w:rsidRDefault="00000000">
      <w:pPr>
        <w:kinsoku w:val="0"/>
        <w:overflowPunct w:val="0"/>
        <w:autoSpaceDE w:val="0"/>
        <w:autoSpaceDN w:val="0"/>
        <w:adjustRightInd w:val="0"/>
        <w:snapToGrid w:val="0"/>
        <w:spacing w:line="360" w:lineRule="auto"/>
        <w:outlineLvl w:val="3"/>
        <w:rPr>
          <w:b/>
          <w:bCs/>
          <w:snapToGrid w:val="0"/>
          <w:color w:val="000000" w:themeColor="text1"/>
          <w:szCs w:val="24"/>
        </w:rPr>
      </w:pPr>
      <w:r w:rsidRPr="00B12FE0">
        <w:rPr>
          <w:b/>
          <w:bCs/>
          <w:snapToGrid w:val="0"/>
          <w:color w:val="000000" w:themeColor="text1"/>
          <w:szCs w:val="24"/>
        </w:rPr>
        <w:t>11.2.1.2</w:t>
      </w:r>
      <w:r w:rsidRPr="00B12FE0">
        <w:rPr>
          <w:b/>
          <w:bCs/>
          <w:snapToGrid w:val="0"/>
          <w:color w:val="000000" w:themeColor="text1"/>
          <w:szCs w:val="24"/>
        </w:rPr>
        <w:t>核素诊断场所</w:t>
      </w:r>
    </w:p>
    <w:p w14:paraId="68292897" w14:textId="77777777" w:rsidR="00A67F21" w:rsidRPr="00B12FE0" w:rsidRDefault="00000000">
      <w:pPr>
        <w:adjustRightInd w:val="0"/>
        <w:snapToGrid w:val="0"/>
        <w:spacing w:line="360" w:lineRule="auto"/>
        <w:ind w:firstLineChars="200" w:firstLine="482"/>
        <w:rPr>
          <w:b/>
          <w:bCs/>
          <w:snapToGrid w:val="0"/>
          <w:color w:val="000000" w:themeColor="text1"/>
          <w:szCs w:val="24"/>
        </w:rPr>
      </w:pPr>
      <w:r w:rsidRPr="00B12FE0">
        <w:rPr>
          <w:b/>
          <w:bCs/>
          <w:snapToGrid w:val="0"/>
          <w:color w:val="000000" w:themeColor="text1"/>
          <w:szCs w:val="24"/>
          <w:lang w:bidi="ar"/>
        </w:rPr>
        <w:lastRenderedPageBreak/>
        <w:t>一、</w:t>
      </w:r>
      <w:r w:rsidRPr="00B12FE0">
        <w:rPr>
          <w:b/>
          <w:bCs/>
          <w:snapToGrid w:val="0"/>
          <w:color w:val="000000" w:themeColor="text1"/>
          <w:szCs w:val="24"/>
          <w:lang w:bidi="ar"/>
        </w:rPr>
        <w:t>β</w:t>
      </w:r>
      <w:r w:rsidRPr="00B12FE0">
        <w:rPr>
          <w:b/>
          <w:bCs/>
          <w:snapToGrid w:val="0"/>
          <w:color w:val="000000" w:themeColor="text1"/>
          <w:szCs w:val="24"/>
        </w:rPr>
        <w:t>表面污染辐射影响分析</w:t>
      </w:r>
    </w:p>
    <w:p w14:paraId="0E070C97" w14:textId="77777777" w:rsidR="00A67F21" w:rsidRPr="00B12FE0" w:rsidRDefault="00000000">
      <w:pPr>
        <w:adjustRightInd w:val="0"/>
        <w:snapToGrid w:val="0"/>
        <w:spacing w:line="360" w:lineRule="auto"/>
        <w:ind w:firstLineChars="200" w:firstLine="480"/>
        <w:rPr>
          <w:color w:val="000000" w:themeColor="text1"/>
          <w:szCs w:val="32"/>
        </w:rPr>
      </w:pPr>
      <w:bookmarkStart w:id="22" w:name="_Hlk131331122"/>
      <w:bookmarkEnd w:id="22"/>
      <w:r w:rsidRPr="00B12FE0">
        <w:rPr>
          <w:rFonts w:hint="eastAsia"/>
          <w:color w:val="000000" w:themeColor="text1"/>
          <w:szCs w:val="32"/>
        </w:rPr>
        <w:t>（</w:t>
      </w:r>
      <w:r w:rsidRPr="00B12FE0">
        <w:rPr>
          <w:rFonts w:hint="eastAsia"/>
          <w:color w:val="000000" w:themeColor="text1"/>
          <w:szCs w:val="32"/>
        </w:rPr>
        <w:t>1</w:t>
      </w:r>
      <w:r w:rsidRPr="00B12FE0">
        <w:rPr>
          <w:rFonts w:hint="eastAsia"/>
          <w:color w:val="000000" w:themeColor="text1"/>
          <w:szCs w:val="32"/>
        </w:rPr>
        <w:t>）</w:t>
      </w:r>
      <w:r w:rsidRPr="00B12FE0">
        <w:rPr>
          <w:color w:val="000000" w:themeColor="text1"/>
          <w:szCs w:val="32"/>
        </w:rPr>
        <w:t>β</w:t>
      </w:r>
      <w:r w:rsidRPr="00B12FE0">
        <w:rPr>
          <w:rFonts w:hint="eastAsia"/>
          <w:color w:val="000000" w:themeColor="text1"/>
          <w:szCs w:val="32"/>
        </w:rPr>
        <w:t>表面污染类比分析</w:t>
      </w:r>
      <w:r w:rsidRPr="00B12FE0">
        <w:rPr>
          <w:rFonts w:hint="eastAsia"/>
          <w:color w:val="000000" w:themeColor="text1"/>
          <w:szCs w:val="32"/>
        </w:rPr>
        <w:t xml:space="preserve"> </w:t>
      </w:r>
    </w:p>
    <w:p w14:paraId="3F7AA744"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szCs w:val="28"/>
        </w:rPr>
        <w:t>①为了解项</w:t>
      </w:r>
      <w:r w:rsidRPr="00B12FE0">
        <w:rPr>
          <w:rFonts w:hint="eastAsia"/>
          <w:color w:val="000000" w:themeColor="text1"/>
          <w:szCs w:val="24"/>
        </w:rPr>
        <w:t>目核医学工作场所运行时工作场所</w:t>
      </w:r>
      <w:r w:rsidRPr="00B12FE0">
        <w:rPr>
          <w:color w:val="000000" w:themeColor="text1"/>
          <w:szCs w:val="24"/>
        </w:rPr>
        <w:t>β</w:t>
      </w:r>
      <w:r w:rsidRPr="00B12FE0">
        <w:rPr>
          <w:rFonts w:hint="eastAsia"/>
          <w:color w:val="000000" w:themeColor="text1"/>
          <w:szCs w:val="24"/>
        </w:rPr>
        <w:t>表面污染影响（针对核素</w:t>
      </w:r>
      <w:r w:rsidRPr="00B12FE0">
        <w:rPr>
          <w:color w:val="000000" w:themeColor="text1"/>
          <w:szCs w:val="24"/>
          <w:vertAlign w:val="superscript"/>
        </w:rPr>
        <w:t>99m</w:t>
      </w:r>
      <w:r w:rsidRPr="00B12FE0">
        <w:rPr>
          <w:color w:val="000000" w:themeColor="text1"/>
          <w:szCs w:val="24"/>
        </w:rPr>
        <w:t>Tc</w:t>
      </w:r>
      <w:r w:rsidRPr="00B12FE0">
        <w:rPr>
          <w:rFonts w:hint="eastAsia"/>
          <w:color w:val="000000" w:themeColor="text1"/>
          <w:szCs w:val="24"/>
        </w:rPr>
        <w:t>、</w:t>
      </w:r>
      <w:r w:rsidRPr="00B12FE0">
        <w:rPr>
          <w:color w:val="000000" w:themeColor="text1"/>
          <w:szCs w:val="24"/>
          <w:vertAlign w:val="superscript"/>
        </w:rPr>
        <w:t>18</w:t>
      </w:r>
      <w:r w:rsidRPr="00B12FE0">
        <w:rPr>
          <w:color w:val="000000" w:themeColor="text1"/>
          <w:szCs w:val="24"/>
        </w:rPr>
        <w:t>F</w:t>
      </w:r>
      <w:r w:rsidRPr="00B12FE0">
        <w:rPr>
          <w:rFonts w:hint="eastAsia"/>
          <w:color w:val="000000" w:themeColor="text1"/>
          <w:szCs w:val="24"/>
        </w:rPr>
        <w:t>、</w:t>
      </w:r>
      <w:r w:rsidRPr="00B12FE0">
        <w:rPr>
          <w:color w:val="000000" w:themeColor="text1"/>
          <w:szCs w:val="24"/>
          <w:vertAlign w:val="superscript"/>
        </w:rPr>
        <w:t>131</w:t>
      </w:r>
      <w:r w:rsidRPr="00B12FE0">
        <w:rPr>
          <w:color w:val="000000" w:themeColor="text1"/>
          <w:szCs w:val="24"/>
        </w:rPr>
        <w:t>I</w:t>
      </w:r>
      <w:r w:rsidRPr="00B12FE0">
        <w:rPr>
          <w:rFonts w:hint="eastAsia"/>
          <w:color w:val="000000" w:themeColor="text1"/>
          <w:szCs w:val="24"/>
        </w:rPr>
        <w:t>），类比对象引用江南大学附属医院（无锡市第四人民医院）新院区新建放射诊疗及迁建</w:t>
      </w:r>
      <w:r w:rsidRPr="00B12FE0">
        <w:rPr>
          <w:color w:val="000000" w:themeColor="text1"/>
          <w:szCs w:val="24"/>
        </w:rPr>
        <w:t>l</w:t>
      </w:r>
      <w:r w:rsidRPr="00B12FE0">
        <w:rPr>
          <w:rFonts w:hint="eastAsia"/>
          <w:color w:val="000000" w:themeColor="text1"/>
          <w:szCs w:val="24"/>
        </w:rPr>
        <w:t>台回旋加速器项目竣工环境保护验收监测数据（报</w:t>
      </w:r>
      <w:r w:rsidRPr="00B12FE0">
        <w:rPr>
          <w:rFonts w:hint="eastAsia"/>
          <w:color w:val="000000" w:themeColor="text1"/>
        </w:rPr>
        <w:t>告编号为</w:t>
      </w:r>
      <w:r w:rsidRPr="00B12FE0">
        <w:rPr>
          <w:color w:val="000000" w:themeColor="text1"/>
        </w:rPr>
        <w:t>GABG-HJ22380068</w:t>
      </w:r>
      <w:r w:rsidRPr="00B12FE0">
        <w:rPr>
          <w:rFonts w:hint="eastAsia"/>
          <w:color w:val="000000" w:themeColor="text1"/>
        </w:rPr>
        <w:t>和</w:t>
      </w:r>
      <w:r w:rsidRPr="00B12FE0">
        <w:rPr>
          <w:color w:val="000000" w:themeColor="text1"/>
        </w:rPr>
        <w:t>GABG-HJ22380068-1</w:t>
      </w:r>
      <w:r w:rsidRPr="00B12FE0">
        <w:rPr>
          <w:rFonts w:hint="eastAsia"/>
          <w:color w:val="000000" w:themeColor="text1"/>
        </w:rPr>
        <w:t>，具体见附件</w:t>
      </w:r>
      <w:r w:rsidRPr="00B12FE0">
        <w:rPr>
          <w:rFonts w:hint="eastAsia"/>
          <w:color w:val="000000" w:themeColor="text1"/>
        </w:rPr>
        <w:t>12</w:t>
      </w:r>
      <w:r w:rsidRPr="00B12FE0">
        <w:rPr>
          <w:rFonts w:hint="eastAsia"/>
          <w:color w:val="000000" w:themeColor="text1"/>
        </w:rPr>
        <w:t>），由于</w:t>
      </w:r>
      <w:r w:rsidRPr="00B12FE0">
        <w:rPr>
          <w:color w:val="000000" w:themeColor="text1"/>
        </w:rPr>
        <w:t>β</w:t>
      </w:r>
      <w:r w:rsidRPr="00B12FE0">
        <w:rPr>
          <w:rFonts w:hint="eastAsia"/>
          <w:color w:val="000000" w:themeColor="text1"/>
        </w:rPr>
        <w:t>表面污染与核素种类和</w:t>
      </w:r>
      <w:proofErr w:type="gramStart"/>
      <w:r w:rsidRPr="00B12FE0">
        <w:rPr>
          <w:rFonts w:hint="eastAsia"/>
          <w:color w:val="000000" w:themeColor="text1"/>
        </w:rPr>
        <w:t>核素日</w:t>
      </w:r>
      <w:proofErr w:type="gramEnd"/>
      <w:r w:rsidRPr="00B12FE0">
        <w:rPr>
          <w:rFonts w:hint="eastAsia"/>
          <w:color w:val="000000" w:themeColor="text1"/>
        </w:rPr>
        <w:t>最大操作量有关，与工作场所屏蔽防护无关。项目可比性分析详见表</w:t>
      </w:r>
      <w:r w:rsidRPr="00B12FE0">
        <w:rPr>
          <w:color w:val="000000" w:themeColor="text1"/>
        </w:rPr>
        <w:t>11.2</w:t>
      </w:r>
      <w:r w:rsidRPr="00B12FE0">
        <w:rPr>
          <w:rFonts w:hint="eastAsia"/>
          <w:color w:val="000000" w:themeColor="text1"/>
        </w:rPr>
        <w:t>.1.2</w:t>
      </w:r>
      <w:r w:rsidRPr="00B12FE0">
        <w:rPr>
          <w:color w:val="000000" w:themeColor="text1"/>
        </w:rPr>
        <w:t>-1</w:t>
      </w:r>
      <w:r w:rsidRPr="00B12FE0">
        <w:rPr>
          <w:rFonts w:hint="eastAsia"/>
          <w:color w:val="000000" w:themeColor="text1"/>
        </w:rPr>
        <w:t>和表</w:t>
      </w:r>
      <w:r w:rsidRPr="00B12FE0">
        <w:rPr>
          <w:color w:val="000000" w:themeColor="text1"/>
        </w:rPr>
        <w:t>11.2</w:t>
      </w:r>
      <w:r w:rsidRPr="00B12FE0">
        <w:rPr>
          <w:rFonts w:hint="eastAsia"/>
          <w:color w:val="000000" w:themeColor="text1"/>
        </w:rPr>
        <w:t>.1.2</w:t>
      </w:r>
      <w:r w:rsidRPr="00B12FE0">
        <w:rPr>
          <w:color w:val="000000" w:themeColor="text1"/>
        </w:rPr>
        <w:t>-</w:t>
      </w:r>
      <w:r w:rsidRPr="00B12FE0">
        <w:rPr>
          <w:rFonts w:hint="eastAsia"/>
          <w:color w:val="000000" w:themeColor="text1"/>
        </w:rPr>
        <w:t>5</w:t>
      </w:r>
      <w:r w:rsidRPr="00B12FE0">
        <w:rPr>
          <w:rFonts w:hint="eastAsia"/>
          <w:color w:val="000000" w:themeColor="text1"/>
        </w:rPr>
        <w:t>，类比对象</w:t>
      </w:r>
      <w:r w:rsidRPr="00B12FE0">
        <w:rPr>
          <w:color w:val="000000" w:themeColor="text1"/>
        </w:rPr>
        <w:t>β</w:t>
      </w:r>
      <w:r w:rsidRPr="00B12FE0">
        <w:rPr>
          <w:rFonts w:hint="eastAsia"/>
          <w:color w:val="000000" w:themeColor="text1"/>
        </w:rPr>
        <w:t>表面污染监测结果详见表</w:t>
      </w:r>
      <w:r w:rsidRPr="00B12FE0">
        <w:rPr>
          <w:color w:val="000000" w:themeColor="text1"/>
        </w:rPr>
        <w:t>11.2</w:t>
      </w:r>
      <w:r w:rsidRPr="00B12FE0">
        <w:rPr>
          <w:rFonts w:hint="eastAsia"/>
          <w:color w:val="000000" w:themeColor="text1"/>
        </w:rPr>
        <w:t>.1.2</w:t>
      </w:r>
      <w:r w:rsidRPr="00B12FE0">
        <w:rPr>
          <w:color w:val="000000" w:themeColor="text1"/>
        </w:rPr>
        <w:t>-2</w:t>
      </w:r>
      <w:r w:rsidRPr="00B12FE0">
        <w:rPr>
          <w:rFonts w:hint="eastAsia"/>
          <w:color w:val="000000" w:themeColor="text1"/>
        </w:rPr>
        <w:t>、表</w:t>
      </w:r>
      <w:r w:rsidRPr="00B12FE0">
        <w:rPr>
          <w:color w:val="000000" w:themeColor="text1"/>
        </w:rPr>
        <w:t>11.2</w:t>
      </w:r>
      <w:r w:rsidRPr="00B12FE0">
        <w:rPr>
          <w:rFonts w:hint="eastAsia"/>
          <w:color w:val="000000" w:themeColor="text1"/>
        </w:rPr>
        <w:t>.1.2</w:t>
      </w:r>
      <w:r w:rsidRPr="00B12FE0">
        <w:rPr>
          <w:color w:val="000000" w:themeColor="text1"/>
        </w:rPr>
        <w:t>-3</w:t>
      </w:r>
      <w:r w:rsidRPr="00B12FE0">
        <w:rPr>
          <w:rFonts w:hint="eastAsia"/>
          <w:color w:val="000000" w:themeColor="text1"/>
        </w:rPr>
        <w:t>、表</w:t>
      </w:r>
      <w:r w:rsidRPr="00B12FE0">
        <w:rPr>
          <w:color w:val="000000" w:themeColor="text1"/>
        </w:rPr>
        <w:t>11.2</w:t>
      </w:r>
      <w:r w:rsidRPr="00B12FE0">
        <w:rPr>
          <w:rFonts w:hint="eastAsia"/>
          <w:color w:val="000000" w:themeColor="text1"/>
        </w:rPr>
        <w:t>.1.2</w:t>
      </w:r>
      <w:r w:rsidRPr="00B12FE0">
        <w:rPr>
          <w:color w:val="000000" w:themeColor="text1"/>
        </w:rPr>
        <w:t>-4</w:t>
      </w:r>
      <w:r w:rsidRPr="00B12FE0">
        <w:rPr>
          <w:rFonts w:hint="eastAsia"/>
          <w:color w:val="000000" w:themeColor="text1"/>
        </w:rPr>
        <w:t>、表</w:t>
      </w:r>
      <w:r w:rsidRPr="00B12FE0">
        <w:rPr>
          <w:color w:val="000000" w:themeColor="text1"/>
        </w:rPr>
        <w:t>11.2</w:t>
      </w:r>
      <w:r w:rsidRPr="00B12FE0">
        <w:rPr>
          <w:rFonts w:hint="eastAsia"/>
          <w:color w:val="000000" w:themeColor="text1"/>
        </w:rPr>
        <w:t>.1.2</w:t>
      </w:r>
      <w:r w:rsidRPr="00B12FE0">
        <w:rPr>
          <w:color w:val="000000" w:themeColor="text1"/>
        </w:rPr>
        <w:t>-</w:t>
      </w:r>
      <w:r w:rsidRPr="00B12FE0">
        <w:rPr>
          <w:rFonts w:hint="eastAsia"/>
          <w:color w:val="000000" w:themeColor="text1"/>
        </w:rPr>
        <w:t>5</w:t>
      </w:r>
      <w:r w:rsidRPr="00B12FE0">
        <w:rPr>
          <w:rFonts w:hint="eastAsia"/>
          <w:color w:val="000000" w:themeColor="text1"/>
        </w:rPr>
        <w:t>和表</w:t>
      </w:r>
      <w:r w:rsidRPr="00B12FE0">
        <w:rPr>
          <w:color w:val="000000" w:themeColor="text1"/>
        </w:rPr>
        <w:t>11.2</w:t>
      </w:r>
      <w:r w:rsidRPr="00B12FE0">
        <w:rPr>
          <w:rFonts w:hint="eastAsia"/>
          <w:color w:val="000000" w:themeColor="text1"/>
        </w:rPr>
        <w:t>.1.2</w:t>
      </w:r>
      <w:r w:rsidRPr="00B12FE0">
        <w:rPr>
          <w:color w:val="000000" w:themeColor="text1"/>
        </w:rPr>
        <w:t>-</w:t>
      </w:r>
      <w:r w:rsidRPr="00B12FE0">
        <w:rPr>
          <w:rFonts w:hint="eastAsia"/>
          <w:color w:val="000000" w:themeColor="text1"/>
        </w:rPr>
        <w:t>6</w:t>
      </w:r>
      <w:r w:rsidRPr="00B12FE0">
        <w:rPr>
          <w:rFonts w:hint="eastAsia"/>
          <w:color w:val="000000" w:themeColor="text1"/>
        </w:rPr>
        <w:t>。</w:t>
      </w:r>
    </w:p>
    <w:p w14:paraId="5F6FAE33" w14:textId="77777777" w:rsidR="00A67F21" w:rsidRPr="00B12FE0" w:rsidRDefault="00000000">
      <w:pPr>
        <w:adjustRightInd w:val="0"/>
        <w:snapToGrid w:val="0"/>
        <w:spacing w:line="360" w:lineRule="auto"/>
        <w:jc w:val="center"/>
        <w:outlineLvl w:val="4"/>
        <w:rPr>
          <w:b/>
          <w:color w:val="000000" w:themeColor="text1"/>
          <w:sz w:val="21"/>
          <w:szCs w:val="21"/>
        </w:rPr>
      </w:pPr>
      <w:r w:rsidRPr="00B12FE0">
        <w:rPr>
          <w:rFonts w:hint="eastAsia"/>
          <w:b/>
          <w:color w:val="000000" w:themeColor="text1"/>
          <w:sz w:val="21"/>
          <w:szCs w:val="21"/>
        </w:rPr>
        <w:t>表</w:t>
      </w:r>
      <w:r w:rsidRPr="00B12FE0">
        <w:rPr>
          <w:b/>
          <w:color w:val="000000" w:themeColor="text1"/>
          <w:sz w:val="21"/>
          <w:szCs w:val="21"/>
        </w:rPr>
        <w:t>11.2</w:t>
      </w:r>
      <w:r w:rsidRPr="00B12FE0">
        <w:rPr>
          <w:rFonts w:hint="eastAsia"/>
          <w:b/>
          <w:color w:val="000000" w:themeColor="text1"/>
          <w:sz w:val="21"/>
          <w:szCs w:val="21"/>
        </w:rPr>
        <w:t>.1.2</w:t>
      </w:r>
      <w:r w:rsidRPr="00B12FE0">
        <w:rPr>
          <w:b/>
          <w:color w:val="000000" w:themeColor="text1"/>
          <w:sz w:val="21"/>
          <w:szCs w:val="21"/>
        </w:rPr>
        <w:t>-1</w:t>
      </w:r>
      <w:r w:rsidRPr="00B12FE0">
        <w:rPr>
          <w:rFonts w:hint="eastAsia"/>
          <w:b/>
          <w:color w:val="000000" w:themeColor="text1"/>
          <w:sz w:val="21"/>
          <w:szCs w:val="21"/>
        </w:rPr>
        <w:t>类比对象可比性分析</w:t>
      </w:r>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2"/>
        <w:gridCol w:w="2222"/>
        <w:gridCol w:w="3364"/>
        <w:gridCol w:w="2368"/>
      </w:tblGrid>
      <w:tr w:rsidR="00A67F21" w:rsidRPr="00B12FE0" w14:paraId="71E00004" w14:textId="77777777">
        <w:trPr>
          <w:trHeight w:val="23"/>
          <w:jc w:val="center"/>
        </w:trPr>
        <w:tc>
          <w:tcPr>
            <w:tcW w:w="1722" w:type="pct"/>
            <w:gridSpan w:val="2"/>
            <w:tcBorders>
              <w:top w:val="single" w:sz="4" w:space="0" w:color="000000"/>
              <w:left w:val="single" w:sz="4" w:space="0" w:color="000000"/>
              <w:bottom w:val="single" w:sz="4" w:space="0" w:color="000000"/>
              <w:right w:val="single" w:sz="4" w:space="0" w:color="000000"/>
            </w:tcBorders>
            <w:vAlign w:val="center"/>
          </w:tcPr>
          <w:p w14:paraId="5A7AB3D7"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核素</w:t>
            </w:r>
          </w:p>
        </w:tc>
        <w:tc>
          <w:tcPr>
            <w:tcW w:w="1923" w:type="pct"/>
            <w:tcBorders>
              <w:top w:val="single" w:sz="4" w:space="0" w:color="000000"/>
              <w:left w:val="single" w:sz="4" w:space="0" w:color="000000"/>
              <w:bottom w:val="single" w:sz="4" w:space="0" w:color="000000"/>
              <w:right w:val="single" w:sz="4" w:space="0" w:color="000000"/>
            </w:tcBorders>
            <w:vAlign w:val="center"/>
          </w:tcPr>
          <w:p w14:paraId="30522CBA"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类比项目（江南大学附属医院）</w:t>
            </w:r>
          </w:p>
        </w:tc>
        <w:tc>
          <w:tcPr>
            <w:tcW w:w="1354" w:type="pct"/>
            <w:tcBorders>
              <w:top w:val="single" w:sz="4" w:space="0" w:color="000000"/>
              <w:left w:val="single" w:sz="4" w:space="0" w:color="000000"/>
              <w:bottom w:val="single" w:sz="4" w:space="0" w:color="000000"/>
              <w:right w:val="single" w:sz="4" w:space="0" w:color="000000"/>
            </w:tcBorders>
            <w:vAlign w:val="center"/>
          </w:tcPr>
          <w:p w14:paraId="5B8AAB71"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本项目患者实际用量</w:t>
            </w:r>
          </w:p>
        </w:tc>
      </w:tr>
      <w:tr w:rsidR="00A67F21" w:rsidRPr="00B12FE0" w14:paraId="49893B08" w14:textId="77777777">
        <w:trPr>
          <w:trHeight w:val="23"/>
          <w:jc w:val="center"/>
        </w:trPr>
        <w:tc>
          <w:tcPr>
            <w:tcW w:w="452" w:type="pct"/>
            <w:tcBorders>
              <w:top w:val="single" w:sz="4" w:space="0" w:color="000000"/>
              <w:left w:val="single" w:sz="4" w:space="0" w:color="000000"/>
              <w:bottom w:val="single" w:sz="4" w:space="0" w:color="000000"/>
              <w:right w:val="single" w:sz="4" w:space="0" w:color="auto"/>
            </w:tcBorders>
            <w:vAlign w:val="center"/>
          </w:tcPr>
          <w:p w14:paraId="396D7DDC" w14:textId="77777777" w:rsidR="00A67F21" w:rsidRPr="00B12FE0" w:rsidRDefault="00000000">
            <w:pPr>
              <w:jc w:val="center"/>
              <w:rPr>
                <w:color w:val="000000" w:themeColor="text1"/>
                <w:sz w:val="21"/>
                <w:szCs w:val="16"/>
              </w:rPr>
            </w:pPr>
            <w:r w:rsidRPr="00B12FE0">
              <w:rPr>
                <w:color w:val="000000" w:themeColor="text1"/>
                <w:sz w:val="21"/>
                <w:szCs w:val="16"/>
                <w:vertAlign w:val="superscript"/>
              </w:rPr>
              <w:t>99m</w:t>
            </w:r>
            <w:r w:rsidRPr="00B12FE0">
              <w:rPr>
                <w:color w:val="000000" w:themeColor="text1"/>
                <w:sz w:val="21"/>
                <w:szCs w:val="16"/>
              </w:rPr>
              <w:t>Tc</w:t>
            </w:r>
          </w:p>
        </w:tc>
        <w:tc>
          <w:tcPr>
            <w:tcW w:w="1269" w:type="pct"/>
            <w:tcBorders>
              <w:top w:val="single" w:sz="4" w:space="0" w:color="000000"/>
              <w:left w:val="single" w:sz="4" w:space="0" w:color="auto"/>
              <w:bottom w:val="single" w:sz="4" w:space="0" w:color="000000"/>
              <w:right w:val="single" w:sz="4" w:space="0" w:color="000000"/>
            </w:tcBorders>
            <w:vAlign w:val="center"/>
          </w:tcPr>
          <w:p w14:paraId="388223AF"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日最大操作量（</w:t>
            </w:r>
            <w:r w:rsidRPr="00B12FE0">
              <w:rPr>
                <w:color w:val="000000" w:themeColor="text1"/>
                <w:sz w:val="21"/>
                <w:szCs w:val="16"/>
              </w:rPr>
              <w:t>Bq</w:t>
            </w:r>
            <w:r w:rsidRPr="00B12FE0">
              <w:rPr>
                <w:rFonts w:hint="eastAsia"/>
                <w:color w:val="000000" w:themeColor="text1"/>
                <w:sz w:val="21"/>
                <w:szCs w:val="16"/>
              </w:rPr>
              <w:t>）</w:t>
            </w:r>
          </w:p>
        </w:tc>
        <w:tc>
          <w:tcPr>
            <w:tcW w:w="1923" w:type="pct"/>
            <w:tcBorders>
              <w:top w:val="single" w:sz="4" w:space="0" w:color="000000"/>
              <w:left w:val="single" w:sz="4" w:space="0" w:color="000000"/>
              <w:bottom w:val="single" w:sz="4" w:space="0" w:color="000000"/>
              <w:right w:val="single" w:sz="4" w:space="0" w:color="000000"/>
            </w:tcBorders>
            <w:vAlign w:val="center"/>
          </w:tcPr>
          <w:p w14:paraId="739FC457" w14:textId="77777777" w:rsidR="00A67F21" w:rsidRPr="00B12FE0" w:rsidRDefault="00000000">
            <w:pPr>
              <w:jc w:val="center"/>
              <w:rPr>
                <w:color w:val="000000" w:themeColor="text1"/>
                <w:sz w:val="21"/>
                <w:szCs w:val="16"/>
              </w:rPr>
            </w:pPr>
            <w:r w:rsidRPr="00B12FE0">
              <w:rPr>
                <w:color w:val="000000" w:themeColor="text1"/>
                <w:sz w:val="21"/>
                <w:szCs w:val="16"/>
              </w:rPr>
              <w:t>3.70×10</w:t>
            </w:r>
            <w:r w:rsidRPr="00B12FE0">
              <w:rPr>
                <w:rFonts w:hint="eastAsia"/>
                <w:color w:val="000000" w:themeColor="text1"/>
                <w:sz w:val="21"/>
                <w:szCs w:val="16"/>
                <w:vertAlign w:val="superscript"/>
              </w:rPr>
              <w:t>10</w:t>
            </w:r>
          </w:p>
        </w:tc>
        <w:tc>
          <w:tcPr>
            <w:tcW w:w="1354" w:type="pct"/>
            <w:tcBorders>
              <w:top w:val="single" w:sz="4" w:space="0" w:color="000000"/>
              <w:left w:val="single" w:sz="4" w:space="0" w:color="000000"/>
              <w:bottom w:val="single" w:sz="4" w:space="0" w:color="000000"/>
              <w:right w:val="single" w:sz="4" w:space="0" w:color="000000"/>
            </w:tcBorders>
            <w:vAlign w:val="center"/>
          </w:tcPr>
          <w:p w14:paraId="533C40A7" w14:textId="77777777" w:rsidR="00A67F21" w:rsidRPr="00B12FE0" w:rsidRDefault="00000000">
            <w:pPr>
              <w:widowControl/>
              <w:jc w:val="center"/>
              <w:textAlignment w:val="center"/>
              <w:rPr>
                <w:color w:val="000000" w:themeColor="text1"/>
                <w:sz w:val="21"/>
                <w:szCs w:val="16"/>
              </w:rPr>
            </w:pPr>
            <w:r w:rsidRPr="00B12FE0">
              <w:rPr>
                <w:color w:val="000000" w:themeColor="text1"/>
                <w:kern w:val="0"/>
                <w:sz w:val="21"/>
                <w:szCs w:val="21"/>
                <w:lang w:bidi="ar"/>
              </w:rPr>
              <w:t>2.78</w:t>
            </w:r>
            <w:r w:rsidRPr="00B12FE0">
              <w:rPr>
                <w:color w:val="000000" w:themeColor="text1"/>
                <w:sz w:val="21"/>
                <w:szCs w:val="16"/>
              </w:rPr>
              <w:t>×10</w:t>
            </w:r>
            <w:r w:rsidRPr="00B12FE0">
              <w:rPr>
                <w:rFonts w:hint="eastAsia"/>
                <w:color w:val="000000" w:themeColor="text1"/>
                <w:sz w:val="21"/>
                <w:szCs w:val="16"/>
                <w:vertAlign w:val="superscript"/>
              </w:rPr>
              <w:t>10</w:t>
            </w:r>
          </w:p>
        </w:tc>
      </w:tr>
      <w:tr w:rsidR="00A67F21" w:rsidRPr="00B12FE0" w14:paraId="5CF30A3C" w14:textId="77777777">
        <w:trPr>
          <w:trHeight w:val="23"/>
          <w:jc w:val="center"/>
        </w:trPr>
        <w:tc>
          <w:tcPr>
            <w:tcW w:w="452" w:type="pct"/>
            <w:tcBorders>
              <w:top w:val="single" w:sz="4" w:space="0" w:color="000000"/>
              <w:left w:val="single" w:sz="4" w:space="0" w:color="000000"/>
              <w:bottom w:val="single" w:sz="4" w:space="0" w:color="000000"/>
              <w:right w:val="single" w:sz="4" w:space="0" w:color="auto"/>
            </w:tcBorders>
            <w:vAlign w:val="center"/>
          </w:tcPr>
          <w:p w14:paraId="30AA7F1E" w14:textId="77777777" w:rsidR="00A67F21" w:rsidRPr="00B12FE0" w:rsidRDefault="00000000">
            <w:pPr>
              <w:jc w:val="center"/>
              <w:rPr>
                <w:color w:val="000000" w:themeColor="text1"/>
                <w:sz w:val="21"/>
                <w:szCs w:val="16"/>
              </w:rPr>
            </w:pPr>
            <w:r w:rsidRPr="00B12FE0">
              <w:rPr>
                <w:color w:val="000000" w:themeColor="text1"/>
                <w:sz w:val="21"/>
                <w:szCs w:val="16"/>
                <w:vertAlign w:val="superscript"/>
              </w:rPr>
              <w:t>18</w:t>
            </w:r>
            <w:r w:rsidRPr="00B12FE0">
              <w:rPr>
                <w:color w:val="000000" w:themeColor="text1"/>
                <w:sz w:val="21"/>
                <w:szCs w:val="16"/>
              </w:rPr>
              <w:t>F</w:t>
            </w:r>
          </w:p>
        </w:tc>
        <w:tc>
          <w:tcPr>
            <w:tcW w:w="1269" w:type="pct"/>
            <w:tcBorders>
              <w:top w:val="single" w:sz="4" w:space="0" w:color="000000"/>
              <w:left w:val="single" w:sz="4" w:space="0" w:color="auto"/>
              <w:bottom w:val="single" w:sz="4" w:space="0" w:color="000000"/>
              <w:right w:val="single" w:sz="4" w:space="0" w:color="000000"/>
            </w:tcBorders>
            <w:vAlign w:val="center"/>
          </w:tcPr>
          <w:p w14:paraId="17DB7A3E"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日最大操作量（</w:t>
            </w:r>
            <w:r w:rsidRPr="00B12FE0">
              <w:rPr>
                <w:color w:val="000000" w:themeColor="text1"/>
                <w:sz w:val="21"/>
                <w:szCs w:val="16"/>
              </w:rPr>
              <w:t>Bq</w:t>
            </w:r>
            <w:r w:rsidRPr="00B12FE0">
              <w:rPr>
                <w:rFonts w:hint="eastAsia"/>
                <w:color w:val="000000" w:themeColor="text1"/>
                <w:sz w:val="21"/>
                <w:szCs w:val="16"/>
              </w:rPr>
              <w:t>）</w:t>
            </w:r>
          </w:p>
        </w:tc>
        <w:tc>
          <w:tcPr>
            <w:tcW w:w="1923" w:type="pct"/>
            <w:tcBorders>
              <w:top w:val="single" w:sz="4" w:space="0" w:color="000000"/>
              <w:left w:val="single" w:sz="4" w:space="0" w:color="000000"/>
              <w:bottom w:val="single" w:sz="4" w:space="0" w:color="000000"/>
              <w:right w:val="single" w:sz="4" w:space="0" w:color="000000"/>
            </w:tcBorders>
            <w:vAlign w:val="center"/>
          </w:tcPr>
          <w:p w14:paraId="59ED55EB" w14:textId="77777777" w:rsidR="00A67F21" w:rsidRPr="00B12FE0" w:rsidRDefault="00000000">
            <w:pPr>
              <w:jc w:val="center"/>
              <w:rPr>
                <w:color w:val="000000" w:themeColor="text1"/>
                <w:sz w:val="21"/>
                <w:szCs w:val="16"/>
              </w:rPr>
            </w:pPr>
            <w:r w:rsidRPr="00B12FE0">
              <w:rPr>
                <w:color w:val="000000" w:themeColor="text1"/>
                <w:sz w:val="21"/>
                <w:szCs w:val="16"/>
              </w:rPr>
              <w:t>1.48×10</w:t>
            </w:r>
            <w:r w:rsidRPr="00B12FE0">
              <w:rPr>
                <w:rFonts w:hint="eastAsia"/>
                <w:color w:val="000000" w:themeColor="text1"/>
                <w:sz w:val="21"/>
                <w:szCs w:val="16"/>
                <w:vertAlign w:val="superscript"/>
              </w:rPr>
              <w:t>10</w:t>
            </w:r>
          </w:p>
        </w:tc>
        <w:tc>
          <w:tcPr>
            <w:tcW w:w="1354" w:type="pct"/>
            <w:tcBorders>
              <w:top w:val="single" w:sz="4" w:space="0" w:color="000000"/>
              <w:left w:val="single" w:sz="4" w:space="0" w:color="000000"/>
              <w:bottom w:val="single" w:sz="4" w:space="0" w:color="000000"/>
              <w:right w:val="single" w:sz="4" w:space="0" w:color="000000"/>
            </w:tcBorders>
            <w:vAlign w:val="center"/>
          </w:tcPr>
          <w:p w14:paraId="0105F776" w14:textId="77777777" w:rsidR="00A67F21" w:rsidRPr="00B12FE0" w:rsidRDefault="00000000">
            <w:pPr>
              <w:widowControl/>
              <w:jc w:val="center"/>
              <w:textAlignment w:val="center"/>
              <w:rPr>
                <w:color w:val="000000" w:themeColor="text1"/>
                <w:sz w:val="21"/>
                <w:szCs w:val="16"/>
              </w:rPr>
            </w:pPr>
            <w:r w:rsidRPr="00B12FE0">
              <w:rPr>
                <w:rFonts w:hint="eastAsia"/>
                <w:color w:val="000000" w:themeColor="text1"/>
                <w:kern w:val="0"/>
                <w:sz w:val="21"/>
                <w:szCs w:val="21"/>
                <w:lang w:bidi="ar"/>
              </w:rPr>
              <w:t>7.40</w:t>
            </w:r>
            <w:r w:rsidRPr="00B12FE0">
              <w:rPr>
                <w:color w:val="000000" w:themeColor="text1"/>
                <w:sz w:val="21"/>
                <w:szCs w:val="16"/>
              </w:rPr>
              <w:t>×10</w:t>
            </w:r>
            <w:r w:rsidRPr="00B12FE0">
              <w:rPr>
                <w:rFonts w:hint="eastAsia"/>
                <w:color w:val="000000" w:themeColor="text1"/>
                <w:sz w:val="21"/>
                <w:szCs w:val="16"/>
                <w:vertAlign w:val="superscript"/>
              </w:rPr>
              <w:t>9</w:t>
            </w:r>
          </w:p>
        </w:tc>
      </w:tr>
      <w:tr w:rsidR="00A67F21" w:rsidRPr="00B12FE0" w14:paraId="06D07340" w14:textId="77777777">
        <w:trPr>
          <w:trHeight w:val="23"/>
          <w:jc w:val="center"/>
        </w:trPr>
        <w:tc>
          <w:tcPr>
            <w:tcW w:w="452" w:type="pct"/>
            <w:tcBorders>
              <w:top w:val="single" w:sz="4" w:space="0" w:color="000000"/>
              <w:left w:val="single" w:sz="4" w:space="0" w:color="000000"/>
              <w:bottom w:val="single" w:sz="4" w:space="0" w:color="000000"/>
              <w:right w:val="single" w:sz="4" w:space="0" w:color="auto"/>
            </w:tcBorders>
            <w:vAlign w:val="center"/>
          </w:tcPr>
          <w:p w14:paraId="72DC8B9E" w14:textId="77777777" w:rsidR="00A67F21" w:rsidRPr="00B12FE0" w:rsidRDefault="00000000">
            <w:pPr>
              <w:jc w:val="center"/>
              <w:rPr>
                <w:color w:val="000000" w:themeColor="text1"/>
                <w:sz w:val="21"/>
                <w:szCs w:val="16"/>
                <w:vertAlign w:val="superscript"/>
              </w:rPr>
            </w:pPr>
            <w:r w:rsidRPr="00B12FE0">
              <w:rPr>
                <w:color w:val="000000" w:themeColor="text1"/>
                <w:sz w:val="21"/>
                <w:szCs w:val="16"/>
                <w:vertAlign w:val="superscript"/>
              </w:rPr>
              <w:t>131</w:t>
            </w:r>
            <w:r w:rsidRPr="00B12FE0">
              <w:rPr>
                <w:color w:val="000000" w:themeColor="text1"/>
                <w:sz w:val="21"/>
                <w:szCs w:val="16"/>
              </w:rPr>
              <w:t>I</w:t>
            </w:r>
          </w:p>
        </w:tc>
        <w:tc>
          <w:tcPr>
            <w:tcW w:w="1269" w:type="pct"/>
            <w:tcBorders>
              <w:top w:val="single" w:sz="4" w:space="0" w:color="000000"/>
              <w:left w:val="single" w:sz="4" w:space="0" w:color="auto"/>
              <w:bottom w:val="single" w:sz="4" w:space="0" w:color="000000"/>
              <w:right w:val="single" w:sz="4" w:space="0" w:color="000000"/>
            </w:tcBorders>
            <w:vAlign w:val="center"/>
          </w:tcPr>
          <w:p w14:paraId="11E52051"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日最大操作量（</w:t>
            </w:r>
            <w:r w:rsidRPr="00B12FE0">
              <w:rPr>
                <w:color w:val="000000" w:themeColor="text1"/>
                <w:sz w:val="21"/>
                <w:szCs w:val="16"/>
              </w:rPr>
              <w:t>Bq</w:t>
            </w:r>
            <w:r w:rsidRPr="00B12FE0">
              <w:rPr>
                <w:rFonts w:hint="eastAsia"/>
                <w:color w:val="000000" w:themeColor="text1"/>
                <w:sz w:val="21"/>
                <w:szCs w:val="16"/>
              </w:rPr>
              <w:t>）</w:t>
            </w:r>
          </w:p>
        </w:tc>
        <w:tc>
          <w:tcPr>
            <w:tcW w:w="1923" w:type="pct"/>
            <w:tcBorders>
              <w:top w:val="single" w:sz="4" w:space="0" w:color="000000"/>
              <w:left w:val="single" w:sz="4" w:space="0" w:color="000000"/>
              <w:bottom w:val="single" w:sz="4" w:space="0" w:color="000000"/>
              <w:right w:val="single" w:sz="4" w:space="0" w:color="000000"/>
            </w:tcBorders>
            <w:vAlign w:val="center"/>
          </w:tcPr>
          <w:p w14:paraId="1E1576E7" w14:textId="77777777" w:rsidR="00A67F21" w:rsidRPr="00B12FE0" w:rsidRDefault="00000000">
            <w:pPr>
              <w:jc w:val="center"/>
              <w:rPr>
                <w:color w:val="000000" w:themeColor="text1"/>
                <w:sz w:val="21"/>
                <w:szCs w:val="16"/>
              </w:rPr>
            </w:pPr>
            <w:r w:rsidRPr="00B12FE0">
              <w:rPr>
                <w:color w:val="000000" w:themeColor="text1"/>
                <w:sz w:val="21"/>
                <w:szCs w:val="21"/>
              </w:rPr>
              <w:t>3.7×10</w:t>
            </w:r>
            <w:r w:rsidRPr="00B12FE0">
              <w:rPr>
                <w:rFonts w:hint="eastAsia"/>
                <w:color w:val="000000" w:themeColor="text1"/>
                <w:sz w:val="21"/>
                <w:szCs w:val="21"/>
                <w:vertAlign w:val="superscript"/>
              </w:rPr>
              <w:t>10</w:t>
            </w:r>
          </w:p>
        </w:tc>
        <w:tc>
          <w:tcPr>
            <w:tcW w:w="1354" w:type="pct"/>
            <w:tcBorders>
              <w:top w:val="single" w:sz="4" w:space="0" w:color="000000"/>
              <w:left w:val="single" w:sz="4" w:space="0" w:color="000000"/>
              <w:bottom w:val="single" w:sz="4" w:space="0" w:color="000000"/>
              <w:right w:val="single" w:sz="4" w:space="0" w:color="000000"/>
            </w:tcBorders>
            <w:vAlign w:val="center"/>
          </w:tcPr>
          <w:p w14:paraId="387F4D97"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3.7</w:t>
            </w:r>
            <w:r w:rsidRPr="00B12FE0">
              <w:rPr>
                <w:color w:val="000000" w:themeColor="text1"/>
                <w:sz w:val="21"/>
                <w:szCs w:val="16"/>
              </w:rPr>
              <w:t>×10</w:t>
            </w:r>
            <w:r w:rsidRPr="00B12FE0">
              <w:rPr>
                <w:rFonts w:hint="eastAsia"/>
                <w:color w:val="000000" w:themeColor="text1"/>
                <w:sz w:val="21"/>
                <w:szCs w:val="16"/>
                <w:vertAlign w:val="superscript"/>
              </w:rPr>
              <w:t>9</w:t>
            </w:r>
          </w:p>
        </w:tc>
      </w:tr>
    </w:tbl>
    <w:p w14:paraId="05E2061E" w14:textId="77777777" w:rsidR="00A67F21" w:rsidRPr="00B12FE0" w:rsidRDefault="00000000">
      <w:pPr>
        <w:adjustRightInd w:val="0"/>
        <w:snapToGrid w:val="0"/>
        <w:spacing w:line="360" w:lineRule="auto"/>
        <w:jc w:val="center"/>
        <w:outlineLvl w:val="4"/>
        <w:rPr>
          <w:b/>
          <w:color w:val="000000" w:themeColor="text1"/>
          <w:sz w:val="21"/>
          <w:szCs w:val="21"/>
        </w:rPr>
      </w:pPr>
      <w:r w:rsidRPr="00B12FE0">
        <w:rPr>
          <w:rFonts w:hint="eastAsia"/>
          <w:b/>
          <w:color w:val="000000" w:themeColor="text1"/>
          <w:sz w:val="21"/>
          <w:szCs w:val="21"/>
        </w:rPr>
        <w:t>表</w:t>
      </w:r>
      <w:r w:rsidRPr="00B12FE0">
        <w:rPr>
          <w:rFonts w:hint="eastAsia"/>
          <w:b/>
          <w:color w:val="000000" w:themeColor="text1"/>
          <w:sz w:val="21"/>
          <w:szCs w:val="21"/>
        </w:rPr>
        <w:t>11.2.1.2-2</w:t>
      </w:r>
      <w:r w:rsidRPr="00B12FE0">
        <w:rPr>
          <w:rFonts w:hint="eastAsia"/>
          <w:b/>
          <w:color w:val="000000" w:themeColor="text1"/>
          <w:sz w:val="21"/>
          <w:szCs w:val="21"/>
        </w:rPr>
        <w:t>江南大学附属医院非密封放射性物质（</w:t>
      </w:r>
      <w:r w:rsidRPr="00B12FE0">
        <w:rPr>
          <w:rFonts w:hint="eastAsia"/>
          <w:b/>
          <w:color w:val="000000" w:themeColor="text1"/>
          <w:sz w:val="21"/>
          <w:szCs w:val="21"/>
          <w:vertAlign w:val="superscript"/>
        </w:rPr>
        <w:t>18</w:t>
      </w:r>
      <w:r w:rsidRPr="00B12FE0">
        <w:rPr>
          <w:rFonts w:hint="eastAsia"/>
          <w:b/>
          <w:color w:val="000000" w:themeColor="text1"/>
          <w:sz w:val="21"/>
          <w:szCs w:val="21"/>
        </w:rPr>
        <w:t>F</w:t>
      </w:r>
      <w:r w:rsidRPr="00B12FE0">
        <w:rPr>
          <w:rFonts w:hint="eastAsia"/>
          <w:b/>
          <w:color w:val="000000" w:themeColor="text1"/>
          <w:sz w:val="21"/>
          <w:szCs w:val="21"/>
        </w:rPr>
        <w:t>）工作场所β表面污染监测结果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159"/>
        <w:gridCol w:w="1854"/>
        <w:gridCol w:w="2377"/>
        <w:gridCol w:w="2285"/>
      </w:tblGrid>
      <w:tr w:rsidR="00A67F21" w:rsidRPr="00B12FE0" w14:paraId="452F5393" w14:textId="77777777">
        <w:trPr>
          <w:trHeight w:val="23"/>
          <w:jc w:val="center"/>
        </w:trPr>
        <w:tc>
          <w:tcPr>
            <w:tcW w:w="657" w:type="pct"/>
            <w:tcBorders>
              <w:top w:val="single" w:sz="4" w:space="0" w:color="auto"/>
              <w:left w:val="single" w:sz="4" w:space="0" w:color="auto"/>
              <w:bottom w:val="single" w:sz="4" w:space="0" w:color="auto"/>
              <w:right w:val="single" w:sz="4" w:space="0" w:color="auto"/>
            </w:tcBorders>
            <w:vAlign w:val="center"/>
          </w:tcPr>
          <w:p w14:paraId="4B11524A"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监测场所</w:t>
            </w:r>
          </w:p>
        </w:tc>
        <w:tc>
          <w:tcPr>
            <w:tcW w:w="643" w:type="pct"/>
            <w:tcBorders>
              <w:top w:val="single" w:sz="4" w:space="0" w:color="auto"/>
              <w:left w:val="single" w:sz="4" w:space="0" w:color="auto"/>
              <w:bottom w:val="single" w:sz="4" w:space="0" w:color="auto"/>
              <w:right w:val="single" w:sz="4" w:space="0" w:color="auto"/>
            </w:tcBorders>
            <w:vAlign w:val="center"/>
          </w:tcPr>
          <w:p w14:paraId="728EACDB" w14:textId="77777777" w:rsidR="00A67F21" w:rsidRPr="00B12FE0" w:rsidRDefault="00000000">
            <w:pPr>
              <w:jc w:val="center"/>
              <w:rPr>
                <w:bCs/>
                <w:color w:val="000000" w:themeColor="text1"/>
                <w:sz w:val="21"/>
                <w:szCs w:val="21"/>
              </w:rPr>
            </w:pPr>
            <w:r w:rsidRPr="00B12FE0">
              <w:rPr>
                <w:bCs/>
                <w:color w:val="000000" w:themeColor="text1"/>
                <w:sz w:val="21"/>
                <w:szCs w:val="21"/>
              </w:rPr>
              <w:br w:type="page"/>
            </w:r>
            <w:r w:rsidRPr="00B12FE0">
              <w:rPr>
                <w:rFonts w:hint="eastAsia"/>
                <w:bCs/>
                <w:color w:val="000000" w:themeColor="text1"/>
                <w:sz w:val="21"/>
                <w:szCs w:val="21"/>
              </w:rPr>
              <w:t>序号</w:t>
            </w:r>
          </w:p>
        </w:tc>
        <w:tc>
          <w:tcPr>
            <w:tcW w:w="2389" w:type="pct"/>
            <w:gridSpan w:val="2"/>
            <w:tcBorders>
              <w:top w:val="single" w:sz="4" w:space="0" w:color="auto"/>
              <w:left w:val="single" w:sz="4" w:space="0" w:color="auto"/>
              <w:bottom w:val="single" w:sz="4" w:space="0" w:color="auto"/>
              <w:right w:val="single" w:sz="4" w:space="0" w:color="auto"/>
            </w:tcBorders>
            <w:vAlign w:val="center"/>
          </w:tcPr>
          <w:p w14:paraId="668A54CD"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监测点位置</w:t>
            </w:r>
          </w:p>
        </w:tc>
        <w:tc>
          <w:tcPr>
            <w:tcW w:w="1310" w:type="pct"/>
            <w:tcBorders>
              <w:top w:val="single" w:sz="4" w:space="0" w:color="auto"/>
              <w:left w:val="single" w:sz="4" w:space="0" w:color="auto"/>
              <w:bottom w:val="single" w:sz="4" w:space="0" w:color="auto"/>
              <w:right w:val="single" w:sz="4" w:space="0" w:color="auto"/>
            </w:tcBorders>
            <w:vAlign w:val="center"/>
          </w:tcPr>
          <w:p w14:paraId="63E4376E"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检测结果（</w:t>
            </w:r>
            <w:r w:rsidRPr="00B12FE0">
              <w:rPr>
                <w:bCs/>
                <w:color w:val="000000" w:themeColor="text1"/>
                <w:sz w:val="21"/>
                <w:szCs w:val="21"/>
              </w:rPr>
              <w:t>Bq/cm</w:t>
            </w:r>
            <w:r w:rsidRPr="00B12FE0">
              <w:rPr>
                <w:bCs/>
                <w:color w:val="000000" w:themeColor="text1"/>
                <w:sz w:val="21"/>
                <w:szCs w:val="21"/>
                <w:vertAlign w:val="superscript"/>
              </w:rPr>
              <w:t>2</w:t>
            </w:r>
            <w:r w:rsidRPr="00B12FE0">
              <w:rPr>
                <w:rFonts w:hint="eastAsia"/>
                <w:bCs/>
                <w:color w:val="000000" w:themeColor="text1"/>
                <w:sz w:val="21"/>
                <w:szCs w:val="21"/>
              </w:rPr>
              <w:t>）</w:t>
            </w:r>
          </w:p>
        </w:tc>
      </w:tr>
      <w:tr w:rsidR="00A67F21" w:rsidRPr="00B12FE0" w14:paraId="7F9941FA" w14:textId="77777777">
        <w:trPr>
          <w:trHeight w:val="23"/>
          <w:jc w:val="center"/>
        </w:trPr>
        <w:tc>
          <w:tcPr>
            <w:tcW w:w="657" w:type="pct"/>
            <w:vMerge w:val="restart"/>
            <w:tcBorders>
              <w:top w:val="single" w:sz="4" w:space="0" w:color="auto"/>
              <w:left w:val="single" w:sz="4" w:space="0" w:color="auto"/>
              <w:bottom w:val="single" w:sz="4" w:space="0" w:color="auto"/>
              <w:right w:val="single" w:sz="4" w:space="0" w:color="auto"/>
            </w:tcBorders>
            <w:vAlign w:val="center"/>
          </w:tcPr>
          <w:p w14:paraId="43A5F55C" w14:textId="77777777" w:rsidR="00A67F21" w:rsidRPr="00B12FE0" w:rsidRDefault="00000000">
            <w:pPr>
              <w:jc w:val="center"/>
              <w:rPr>
                <w:bCs/>
                <w:color w:val="000000" w:themeColor="text1"/>
                <w:sz w:val="21"/>
                <w:szCs w:val="21"/>
              </w:rPr>
            </w:pPr>
            <w:r w:rsidRPr="00B12FE0">
              <w:rPr>
                <w:bCs/>
                <w:color w:val="000000" w:themeColor="text1"/>
                <w:sz w:val="21"/>
                <w:szCs w:val="21"/>
              </w:rPr>
              <w:t>PET</w:t>
            </w:r>
            <w:r w:rsidRPr="00B12FE0">
              <w:rPr>
                <w:rFonts w:hint="eastAsia"/>
                <w:bCs/>
                <w:color w:val="000000" w:themeColor="text1"/>
                <w:sz w:val="21"/>
                <w:szCs w:val="21"/>
              </w:rPr>
              <w:t>诊断区域</w:t>
            </w:r>
          </w:p>
        </w:tc>
        <w:tc>
          <w:tcPr>
            <w:tcW w:w="643" w:type="pct"/>
            <w:tcBorders>
              <w:top w:val="single" w:sz="4" w:space="0" w:color="auto"/>
              <w:left w:val="single" w:sz="4" w:space="0" w:color="auto"/>
              <w:bottom w:val="single" w:sz="4" w:space="0" w:color="auto"/>
              <w:right w:val="single" w:sz="4" w:space="0" w:color="auto"/>
            </w:tcBorders>
            <w:vAlign w:val="center"/>
          </w:tcPr>
          <w:p w14:paraId="50C2A4C9" w14:textId="77777777" w:rsidR="00A67F21" w:rsidRPr="00B12FE0" w:rsidRDefault="00000000">
            <w:pPr>
              <w:jc w:val="center"/>
              <w:rPr>
                <w:bCs/>
                <w:color w:val="000000" w:themeColor="text1"/>
                <w:sz w:val="21"/>
                <w:szCs w:val="21"/>
              </w:rPr>
            </w:pPr>
            <w:r w:rsidRPr="00B12FE0">
              <w:rPr>
                <w:bCs/>
                <w:color w:val="000000" w:themeColor="text1"/>
                <w:sz w:val="21"/>
                <w:szCs w:val="21"/>
              </w:rPr>
              <w:t>1</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56388F1B"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注射室</w:t>
            </w:r>
          </w:p>
        </w:tc>
        <w:tc>
          <w:tcPr>
            <w:tcW w:w="1340" w:type="pct"/>
            <w:tcBorders>
              <w:top w:val="single" w:sz="4" w:space="0" w:color="auto"/>
              <w:left w:val="single" w:sz="4" w:space="0" w:color="auto"/>
              <w:bottom w:val="single" w:sz="4" w:space="0" w:color="auto"/>
              <w:right w:val="single" w:sz="4" w:space="0" w:color="auto"/>
            </w:tcBorders>
            <w:vAlign w:val="center"/>
          </w:tcPr>
          <w:p w14:paraId="52D6E1B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189DFA5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437699A"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5850F61"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4CABC3F2" w14:textId="77777777" w:rsidR="00A67F21" w:rsidRPr="00B12FE0" w:rsidRDefault="00000000">
            <w:pPr>
              <w:jc w:val="center"/>
              <w:rPr>
                <w:bCs/>
                <w:color w:val="000000" w:themeColor="text1"/>
                <w:sz w:val="21"/>
                <w:szCs w:val="21"/>
              </w:rPr>
            </w:pPr>
            <w:r w:rsidRPr="00B12FE0">
              <w:rPr>
                <w:bCs/>
                <w:color w:val="000000" w:themeColor="text1"/>
                <w:sz w:val="21"/>
                <w:szCs w:val="21"/>
              </w:rPr>
              <w:t>2</w:t>
            </w:r>
          </w:p>
        </w:tc>
        <w:tc>
          <w:tcPr>
            <w:tcW w:w="1844" w:type="dxa"/>
            <w:vMerge/>
            <w:tcBorders>
              <w:top w:val="single" w:sz="4" w:space="0" w:color="auto"/>
              <w:left w:val="single" w:sz="4" w:space="0" w:color="auto"/>
              <w:bottom w:val="single" w:sz="4" w:space="0" w:color="auto"/>
              <w:right w:val="single" w:sz="4" w:space="0" w:color="auto"/>
            </w:tcBorders>
            <w:vAlign w:val="center"/>
          </w:tcPr>
          <w:p w14:paraId="7488EE3B"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44284D0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592038F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FBE5E39"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CDB000E"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89DDB07" w14:textId="77777777" w:rsidR="00A67F21" w:rsidRPr="00B12FE0" w:rsidRDefault="00000000">
            <w:pPr>
              <w:jc w:val="center"/>
              <w:rPr>
                <w:bCs/>
                <w:color w:val="000000" w:themeColor="text1"/>
                <w:sz w:val="21"/>
                <w:szCs w:val="21"/>
              </w:rPr>
            </w:pPr>
            <w:r w:rsidRPr="00B12FE0">
              <w:rPr>
                <w:bCs/>
                <w:color w:val="000000" w:themeColor="text1"/>
                <w:sz w:val="21"/>
                <w:szCs w:val="21"/>
              </w:rPr>
              <w:t>3</w:t>
            </w:r>
          </w:p>
        </w:tc>
        <w:tc>
          <w:tcPr>
            <w:tcW w:w="1844" w:type="dxa"/>
            <w:vMerge/>
            <w:tcBorders>
              <w:top w:val="single" w:sz="4" w:space="0" w:color="auto"/>
              <w:left w:val="single" w:sz="4" w:space="0" w:color="auto"/>
              <w:bottom w:val="single" w:sz="4" w:space="0" w:color="auto"/>
              <w:right w:val="single" w:sz="4" w:space="0" w:color="auto"/>
            </w:tcBorders>
            <w:vAlign w:val="center"/>
          </w:tcPr>
          <w:p w14:paraId="7AE84905"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3C464ED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704B31B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8AADBBE"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5315B32"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21844044" w14:textId="77777777" w:rsidR="00A67F21" w:rsidRPr="00B12FE0" w:rsidRDefault="00000000">
            <w:pPr>
              <w:jc w:val="center"/>
              <w:rPr>
                <w:bCs/>
                <w:color w:val="000000" w:themeColor="text1"/>
                <w:sz w:val="21"/>
                <w:szCs w:val="21"/>
              </w:rPr>
            </w:pPr>
            <w:r w:rsidRPr="00B12FE0">
              <w:rPr>
                <w:bCs/>
                <w:color w:val="000000" w:themeColor="text1"/>
                <w:sz w:val="21"/>
                <w:szCs w:val="21"/>
              </w:rPr>
              <w:t>4</w:t>
            </w:r>
          </w:p>
        </w:tc>
        <w:tc>
          <w:tcPr>
            <w:tcW w:w="1844" w:type="dxa"/>
            <w:vMerge/>
            <w:tcBorders>
              <w:top w:val="single" w:sz="4" w:space="0" w:color="auto"/>
              <w:left w:val="single" w:sz="4" w:space="0" w:color="auto"/>
              <w:bottom w:val="single" w:sz="4" w:space="0" w:color="auto"/>
              <w:right w:val="single" w:sz="4" w:space="0" w:color="auto"/>
            </w:tcBorders>
            <w:vAlign w:val="center"/>
          </w:tcPr>
          <w:p w14:paraId="69A245E5"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1160503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通风柜表面</w:t>
            </w:r>
          </w:p>
        </w:tc>
        <w:tc>
          <w:tcPr>
            <w:tcW w:w="1310" w:type="pct"/>
            <w:tcBorders>
              <w:top w:val="single" w:sz="4" w:space="0" w:color="auto"/>
              <w:left w:val="single" w:sz="4" w:space="0" w:color="auto"/>
              <w:bottom w:val="single" w:sz="4" w:space="0" w:color="auto"/>
              <w:right w:val="single" w:sz="4" w:space="0" w:color="auto"/>
            </w:tcBorders>
            <w:vAlign w:val="center"/>
          </w:tcPr>
          <w:p w14:paraId="36F10DCA"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0.84</w:t>
            </w:r>
          </w:p>
        </w:tc>
      </w:tr>
      <w:tr w:rsidR="00A67F21" w:rsidRPr="00B12FE0" w14:paraId="7E9CBD2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DBCEE4D"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440ED77D" w14:textId="77777777" w:rsidR="00A67F21" w:rsidRPr="00B12FE0" w:rsidRDefault="00000000">
            <w:pPr>
              <w:jc w:val="center"/>
              <w:rPr>
                <w:bCs/>
                <w:color w:val="000000" w:themeColor="text1"/>
                <w:sz w:val="21"/>
                <w:szCs w:val="21"/>
              </w:rPr>
            </w:pPr>
            <w:r w:rsidRPr="00B12FE0">
              <w:rPr>
                <w:bCs/>
                <w:color w:val="000000" w:themeColor="text1"/>
                <w:sz w:val="21"/>
                <w:szCs w:val="21"/>
              </w:rPr>
              <w:t>5</w:t>
            </w:r>
          </w:p>
        </w:tc>
        <w:tc>
          <w:tcPr>
            <w:tcW w:w="1844" w:type="dxa"/>
            <w:vMerge/>
            <w:tcBorders>
              <w:top w:val="single" w:sz="4" w:space="0" w:color="auto"/>
              <w:left w:val="single" w:sz="4" w:space="0" w:color="auto"/>
              <w:bottom w:val="single" w:sz="4" w:space="0" w:color="auto"/>
              <w:right w:val="single" w:sz="4" w:space="0" w:color="auto"/>
            </w:tcBorders>
            <w:vAlign w:val="center"/>
          </w:tcPr>
          <w:p w14:paraId="086DB63F"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73F54E9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0" w:type="pct"/>
            <w:tcBorders>
              <w:top w:val="single" w:sz="4" w:space="0" w:color="auto"/>
              <w:left w:val="single" w:sz="4" w:space="0" w:color="auto"/>
              <w:bottom w:val="single" w:sz="4" w:space="0" w:color="auto"/>
              <w:right w:val="single" w:sz="4" w:space="0" w:color="auto"/>
            </w:tcBorders>
            <w:vAlign w:val="center"/>
          </w:tcPr>
          <w:p w14:paraId="24D4466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ED80A1E"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E112056"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521272A9" w14:textId="77777777" w:rsidR="00A67F21" w:rsidRPr="00B12FE0" w:rsidRDefault="00000000">
            <w:pPr>
              <w:jc w:val="center"/>
              <w:rPr>
                <w:bCs/>
                <w:color w:val="000000" w:themeColor="text1"/>
                <w:sz w:val="21"/>
                <w:szCs w:val="21"/>
              </w:rPr>
            </w:pPr>
            <w:r w:rsidRPr="00B12FE0">
              <w:rPr>
                <w:bCs/>
                <w:color w:val="000000" w:themeColor="text1"/>
                <w:sz w:val="21"/>
                <w:szCs w:val="21"/>
              </w:rPr>
              <w:t>6</w:t>
            </w:r>
          </w:p>
        </w:tc>
        <w:tc>
          <w:tcPr>
            <w:tcW w:w="1844" w:type="dxa"/>
            <w:vMerge/>
            <w:tcBorders>
              <w:top w:val="single" w:sz="4" w:space="0" w:color="auto"/>
              <w:left w:val="single" w:sz="4" w:space="0" w:color="auto"/>
              <w:bottom w:val="single" w:sz="4" w:space="0" w:color="auto"/>
              <w:right w:val="single" w:sz="4" w:space="0" w:color="auto"/>
            </w:tcBorders>
            <w:vAlign w:val="center"/>
          </w:tcPr>
          <w:p w14:paraId="28C59B0E"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3FDA43E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洗手池表面</w:t>
            </w:r>
          </w:p>
        </w:tc>
        <w:tc>
          <w:tcPr>
            <w:tcW w:w="1310" w:type="pct"/>
            <w:tcBorders>
              <w:top w:val="single" w:sz="4" w:space="0" w:color="auto"/>
              <w:left w:val="single" w:sz="4" w:space="0" w:color="auto"/>
              <w:bottom w:val="single" w:sz="4" w:space="0" w:color="auto"/>
              <w:right w:val="single" w:sz="4" w:space="0" w:color="auto"/>
            </w:tcBorders>
            <w:vAlign w:val="center"/>
          </w:tcPr>
          <w:p w14:paraId="336AAF6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5C28938"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108D280"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2A805BC8" w14:textId="77777777" w:rsidR="00A67F21" w:rsidRPr="00B12FE0" w:rsidRDefault="00000000">
            <w:pPr>
              <w:jc w:val="center"/>
              <w:rPr>
                <w:bCs/>
                <w:color w:val="000000" w:themeColor="text1"/>
                <w:sz w:val="21"/>
                <w:szCs w:val="21"/>
              </w:rPr>
            </w:pPr>
            <w:r w:rsidRPr="00B12FE0">
              <w:rPr>
                <w:bCs/>
                <w:color w:val="000000" w:themeColor="text1"/>
                <w:sz w:val="21"/>
                <w:szCs w:val="21"/>
              </w:rPr>
              <w:t>7</w:t>
            </w:r>
          </w:p>
        </w:tc>
        <w:tc>
          <w:tcPr>
            <w:tcW w:w="1844" w:type="dxa"/>
            <w:vMerge/>
            <w:tcBorders>
              <w:top w:val="single" w:sz="4" w:space="0" w:color="auto"/>
              <w:left w:val="single" w:sz="4" w:space="0" w:color="auto"/>
              <w:bottom w:val="single" w:sz="4" w:space="0" w:color="auto"/>
              <w:right w:val="single" w:sz="4" w:space="0" w:color="auto"/>
            </w:tcBorders>
            <w:vAlign w:val="center"/>
          </w:tcPr>
          <w:p w14:paraId="194DD4FC"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59F08C68" w14:textId="77777777" w:rsidR="00A67F21" w:rsidRPr="00B12FE0" w:rsidRDefault="00000000">
            <w:pPr>
              <w:tabs>
                <w:tab w:val="left" w:pos="13020"/>
              </w:tabs>
              <w:jc w:val="center"/>
              <w:rPr>
                <w:color w:val="000000" w:themeColor="text1"/>
                <w:sz w:val="21"/>
                <w:szCs w:val="21"/>
              </w:rPr>
            </w:pPr>
            <w:proofErr w:type="gramStart"/>
            <w:r w:rsidRPr="00B12FE0">
              <w:rPr>
                <w:rFonts w:hint="eastAsia"/>
                <w:color w:val="000000" w:themeColor="text1"/>
                <w:sz w:val="21"/>
                <w:szCs w:val="21"/>
              </w:rPr>
              <w:t>注射台表面</w:t>
            </w:r>
            <w:proofErr w:type="gramEnd"/>
          </w:p>
        </w:tc>
        <w:tc>
          <w:tcPr>
            <w:tcW w:w="1310" w:type="pct"/>
            <w:tcBorders>
              <w:top w:val="single" w:sz="4" w:space="0" w:color="auto"/>
              <w:left w:val="single" w:sz="4" w:space="0" w:color="auto"/>
              <w:bottom w:val="single" w:sz="4" w:space="0" w:color="auto"/>
              <w:right w:val="single" w:sz="4" w:space="0" w:color="auto"/>
            </w:tcBorders>
            <w:vAlign w:val="center"/>
          </w:tcPr>
          <w:p w14:paraId="7C4748D8"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2.48</w:t>
            </w:r>
          </w:p>
        </w:tc>
      </w:tr>
      <w:tr w:rsidR="00A67F21" w:rsidRPr="00B12FE0" w14:paraId="41C1B73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31701D6"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44AE3613" w14:textId="77777777" w:rsidR="00A67F21" w:rsidRPr="00B12FE0" w:rsidRDefault="00000000">
            <w:pPr>
              <w:jc w:val="center"/>
              <w:rPr>
                <w:bCs/>
                <w:color w:val="000000" w:themeColor="text1"/>
                <w:sz w:val="21"/>
                <w:szCs w:val="21"/>
              </w:rPr>
            </w:pPr>
            <w:r w:rsidRPr="00B12FE0">
              <w:rPr>
                <w:bCs/>
                <w:color w:val="000000" w:themeColor="text1"/>
                <w:sz w:val="21"/>
                <w:szCs w:val="21"/>
              </w:rPr>
              <w:t>8</w:t>
            </w:r>
          </w:p>
        </w:tc>
        <w:tc>
          <w:tcPr>
            <w:tcW w:w="1844" w:type="dxa"/>
            <w:vMerge/>
            <w:tcBorders>
              <w:top w:val="single" w:sz="4" w:space="0" w:color="auto"/>
              <w:left w:val="single" w:sz="4" w:space="0" w:color="auto"/>
              <w:bottom w:val="single" w:sz="4" w:space="0" w:color="auto"/>
              <w:right w:val="single" w:sz="4" w:space="0" w:color="auto"/>
            </w:tcBorders>
            <w:vAlign w:val="center"/>
          </w:tcPr>
          <w:p w14:paraId="6A5D4DBE"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187C5FD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放射性废物桶表面</w:t>
            </w:r>
          </w:p>
        </w:tc>
        <w:tc>
          <w:tcPr>
            <w:tcW w:w="1310" w:type="pct"/>
            <w:tcBorders>
              <w:top w:val="single" w:sz="4" w:space="0" w:color="auto"/>
              <w:left w:val="single" w:sz="4" w:space="0" w:color="auto"/>
              <w:bottom w:val="single" w:sz="4" w:space="0" w:color="auto"/>
              <w:right w:val="single" w:sz="4" w:space="0" w:color="auto"/>
            </w:tcBorders>
            <w:vAlign w:val="center"/>
          </w:tcPr>
          <w:p w14:paraId="7676AC6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FF1AC4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F9E050E"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2C34C8A6" w14:textId="77777777" w:rsidR="00A67F21" w:rsidRPr="00B12FE0" w:rsidRDefault="00000000">
            <w:pPr>
              <w:jc w:val="center"/>
              <w:rPr>
                <w:bCs/>
                <w:color w:val="000000" w:themeColor="text1"/>
                <w:sz w:val="21"/>
                <w:szCs w:val="21"/>
              </w:rPr>
            </w:pPr>
            <w:r w:rsidRPr="00B12FE0">
              <w:rPr>
                <w:bCs/>
                <w:color w:val="000000" w:themeColor="text1"/>
                <w:sz w:val="21"/>
                <w:szCs w:val="21"/>
              </w:rPr>
              <w:t>9</w:t>
            </w:r>
          </w:p>
        </w:tc>
        <w:tc>
          <w:tcPr>
            <w:tcW w:w="1844" w:type="dxa"/>
            <w:vMerge/>
            <w:tcBorders>
              <w:top w:val="single" w:sz="4" w:space="0" w:color="auto"/>
              <w:left w:val="single" w:sz="4" w:space="0" w:color="auto"/>
              <w:bottom w:val="single" w:sz="4" w:space="0" w:color="auto"/>
              <w:right w:val="single" w:sz="4" w:space="0" w:color="auto"/>
            </w:tcBorders>
            <w:vAlign w:val="center"/>
          </w:tcPr>
          <w:p w14:paraId="000244A0"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720F6A1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推车表面</w:t>
            </w:r>
          </w:p>
        </w:tc>
        <w:tc>
          <w:tcPr>
            <w:tcW w:w="1310" w:type="pct"/>
            <w:tcBorders>
              <w:top w:val="single" w:sz="4" w:space="0" w:color="auto"/>
              <w:left w:val="single" w:sz="4" w:space="0" w:color="auto"/>
              <w:bottom w:val="single" w:sz="4" w:space="0" w:color="auto"/>
              <w:right w:val="single" w:sz="4" w:space="0" w:color="auto"/>
            </w:tcBorders>
            <w:vAlign w:val="center"/>
          </w:tcPr>
          <w:p w14:paraId="5464F40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B9B620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56BA299"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7D4989E4" w14:textId="77777777" w:rsidR="00A67F21" w:rsidRPr="00B12FE0" w:rsidRDefault="00000000">
            <w:pPr>
              <w:jc w:val="center"/>
              <w:rPr>
                <w:bCs/>
                <w:color w:val="000000" w:themeColor="text1"/>
                <w:sz w:val="21"/>
                <w:szCs w:val="21"/>
              </w:rPr>
            </w:pPr>
            <w:r w:rsidRPr="00B12FE0">
              <w:rPr>
                <w:bCs/>
                <w:color w:val="000000" w:themeColor="text1"/>
                <w:sz w:val="21"/>
                <w:szCs w:val="21"/>
              </w:rPr>
              <w:t>10</w:t>
            </w:r>
          </w:p>
        </w:tc>
        <w:tc>
          <w:tcPr>
            <w:tcW w:w="1844" w:type="dxa"/>
            <w:vMerge/>
            <w:tcBorders>
              <w:top w:val="single" w:sz="4" w:space="0" w:color="auto"/>
              <w:left w:val="single" w:sz="4" w:space="0" w:color="auto"/>
              <w:bottom w:val="single" w:sz="4" w:space="0" w:color="auto"/>
              <w:right w:val="single" w:sz="4" w:space="0" w:color="auto"/>
            </w:tcBorders>
            <w:vAlign w:val="center"/>
          </w:tcPr>
          <w:p w14:paraId="093BE685"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5A07250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医疗废物桶表面</w:t>
            </w:r>
          </w:p>
        </w:tc>
        <w:tc>
          <w:tcPr>
            <w:tcW w:w="1310" w:type="pct"/>
            <w:tcBorders>
              <w:top w:val="single" w:sz="4" w:space="0" w:color="auto"/>
              <w:left w:val="single" w:sz="4" w:space="0" w:color="auto"/>
              <w:bottom w:val="single" w:sz="4" w:space="0" w:color="auto"/>
              <w:right w:val="single" w:sz="4" w:space="0" w:color="auto"/>
            </w:tcBorders>
            <w:vAlign w:val="center"/>
          </w:tcPr>
          <w:p w14:paraId="5F23630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B34D83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30BA55E"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30D3DB4B" w14:textId="77777777" w:rsidR="00A67F21" w:rsidRPr="00B12FE0" w:rsidRDefault="00000000">
            <w:pPr>
              <w:jc w:val="center"/>
              <w:rPr>
                <w:bCs/>
                <w:color w:val="000000" w:themeColor="text1"/>
                <w:sz w:val="21"/>
                <w:szCs w:val="21"/>
              </w:rPr>
            </w:pPr>
            <w:r w:rsidRPr="00B12FE0">
              <w:rPr>
                <w:bCs/>
                <w:color w:val="000000" w:themeColor="text1"/>
                <w:sz w:val="21"/>
                <w:szCs w:val="21"/>
              </w:rPr>
              <w:t>11</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4A90A569" w14:textId="77777777" w:rsidR="00A67F21" w:rsidRPr="00B12FE0" w:rsidRDefault="00000000">
            <w:pPr>
              <w:tabs>
                <w:tab w:val="left" w:pos="13020"/>
              </w:tabs>
              <w:jc w:val="center"/>
              <w:rPr>
                <w:color w:val="000000" w:themeColor="text1"/>
                <w:sz w:val="21"/>
                <w:szCs w:val="21"/>
              </w:rPr>
            </w:pPr>
            <w:proofErr w:type="gramStart"/>
            <w:r w:rsidRPr="00B12FE0">
              <w:rPr>
                <w:rFonts w:hint="eastAsia"/>
                <w:color w:val="000000" w:themeColor="text1"/>
                <w:sz w:val="21"/>
                <w:szCs w:val="21"/>
              </w:rPr>
              <w:t>源库</w:t>
            </w:r>
            <w:proofErr w:type="gramEnd"/>
          </w:p>
        </w:tc>
        <w:tc>
          <w:tcPr>
            <w:tcW w:w="1340" w:type="pct"/>
            <w:tcBorders>
              <w:top w:val="single" w:sz="4" w:space="0" w:color="auto"/>
              <w:left w:val="single" w:sz="4" w:space="0" w:color="auto"/>
              <w:bottom w:val="single" w:sz="4" w:space="0" w:color="auto"/>
              <w:right w:val="single" w:sz="4" w:space="0" w:color="auto"/>
            </w:tcBorders>
            <w:vAlign w:val="center"/>
          </w:tcPr>
          <w:p w14:paraId="2A268CD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23F5792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0172D02"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5572E56"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0C998538" w14:textId="77777777" w:rsidR="00A67F21" w:rsidRPr="00B12FE0" w:rsidRDefault="00000000">
            <w:pPr>
              <w:jc w:val="center"/>
              <w:rPr>
                <w:bCs/>
                <w:color w:val="000000" w:themeColor="text1"/>
                <w:sz w:val="21"/>
                <w:szCs w:val="21"/>
              </w:rPr>
            </w:pPr>
            <w:r w:rsidRPr="00B12FE0">
              <w:rPr>
                <w:bCs/>
                <w:color w:val="000000" w:themeColor="text1"/>
                <w:sz w:val="21"/>
                <w:szCs w:val="21"/>
              </w:rPr>
              <w:t>12</w:t>
            </w:r>
          </w:p>
        </w:tc>
        <w:tc>
          <w:tcPr>
            <w:tcW w:w="1844" w:type="dxa"/>
            <w:vMerge/>
            <w:tcBorders>
              <w:top w:val="single" w:sz="4" w:space="0" w:color="auto"/>
              <w:left w:val="single" w:sz="4" w:space="0" w:color="auto"/>
              <w:bottom w:val="single" w:sz="4" w:space="0" w:color="auto"/>
              <w:right w:val="single" w:sz="4" w:space="0" w:color="auto"/>
            </w:tcBorders>
            <w:vAlign w:val="center"/>
          </w:tcPr>
          <w:p w14:paraId="78985F00"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088182E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6B87B42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FF80D6F"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42694D9"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77290A9E" w14:textId="77777777" w:rsidR="00A67F21" w:rsidRPr="00B12FE0" w:rsidRDefault="00000000">
            <w:pPr>
              <w:jc w:val="center"/>
              <w:rPr>
                <w:bCs/>
                <w:color w:val="000000" w:themeColor="text1"/>
                <w:sz w:val="21"/>
                <w:szCs w:val="21"/>
              </w:rPr>
            </w:pPr>
            <w:r w:rsidRPr="00B12FE0">
              <w:rPr>
                <w:bCs/>
                <w:color w:val="000000" w:themeColor="text1"/>
                <w:sz w:val="21"/>
                <w:szCs w:val="21"/>
              </w:rPr>
              <w:t>13</w:t>
            </w:r>
          </w:p>
        </w:tc>
        <w:tc>
          <w:tcPr>
            <w:tcW w:w="1844" w:type="dxa"/>
            <w:vMerge/>
            <w:tcBorders>
              <w:top w:val="single" w:sz="4" w:space="0" w:color="auto"/>
              <w:left w:val="single" w:sz="4" w:space="0" w:color="auto"/>
              <w:bottom w:val="single" w:sz="4" w:space="0" w:color="auto"/>
              <w:right w:val="single" w:sz="4" w:space="0" w:color="auto"/>
            </w:tcBorders>
            <w:vAlign w:val="center"/>
          </w:tcPr>
          <w:p w14:paraId="7C893BAB"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37C2FB1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4E2797D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208376F"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A28335D"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0347610A" w14:textId="77777777" w:rsidR="00A67F21" w:rsidRPr="00B12FE0" w:rsidRDefault="00000000">
            <w:pPr>
              <w:jc w:val="center"/>
              <w:rPr>
                <w:bCs/>
                <w:color w:val="000000" w:themeColor="text1"/>
                <w:sz w:val="21"/>
                <w:szCs w:val="21"/>
              </w:rPr>
            </w:pPr>
            <w:r w:rsidRPr="00B12FE0">
              <w:rPr>
                <w:bCs/>
                <w:color w:val="000000" w:themeColor="text1"/>
                <w:sz w:val="21"/>
                <w:szCs w:val="21"/>
              </w:rPr>
              <w:t>14</w:t>
            </w:r>
          </w:p>
        </w:tc>
        <w:tc>
          <w:tcPr>
            <w:tcW w:w="1844" w:type="dxa"/>
            <w:vMerge/>
            <w:tcBorders>
              <w:top w:val="single" w:sz="4" w:space="0" w:color="auto"/>
              <w:left w:val="single" w:sz="4" w:space="0" w:color="auto"/>
              <w:bottom w:val="single" w:sz="4" w:space="0" w:color="auto"/>
              <w:right w:val="single" w:sz="4" w:space="0" w:color="auto"/>
            </w:tcBorders>
            <w:vAlign w:val="center"/>
          </w:tcPr>
          <w:p w14:paraId="64625F79"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2CF5908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保险柜表面</w:t>
            </w:r>
          </w:p>
        </w:tc>
        <w:tc>
          <w:tcPr>
            <w:tcW w:w="1310" w:type="pct"/>
            <w:tcBorders>
              <w:top w:val="single" w:sz="4" w:space="0" w:color="auto"/>
              <w:left w:val="single" w:sz="4" w:space="0" w:color="auto"/>
              <w:bottom w:val="single" w:sz="4" w:space="0" w:color="auto"/>
              <w:right w:val="single" w:sz="4" w:space="0" w:color="auto"/>
            </w:tcBorders>
            <w:vAlign w:val="center"/>
          </w:tcPr>
          <w:p w14:paraId="63B7822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224C03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0435212"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1B077F3" w14:textId="77777777" w:rsidR="00A67F21" w:rsidRPr="00B12FE0" w:rsidRDefault="00000000">
            <w:pPr>
              <w:jc w:val="center"/>
              <w:rPr>
                <w:bCs/>
                <w:color w:val="000000" w:themeColor="text1"/>
                <w:sz w:val="21"/>
                <w:szCs w:val="21"/>
              </w:rPr>
            </w:pPr>
            <w:r w:rsidRPr="00B12FE0">
              <w:rPr>
                <w:bCs/>
                <w:color w:val="000000" w:themeColor="text1"/>
                <w:sz w:val="21"/>
                <w:szCs w:val="21"/>
              </w:rPr>
              <w:t>15</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39F65EF9"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废物间</w:t>
            </w:r>
          </w:p>
        </w:tc>
        <w:tc>
          <w:tcPr>
            <w:tcW w:w="1340" w:type="pct"/>
            <w:tcBorders>
              <w:top w:val="single" w:sz="4" w:space="0" w:color="auto"/>
              <w:left w:val="single" w:sz="4" w:space="0" w:color="auto"/>
              <w:bottom w:val="single" w:sz="4" w:space="0" w:color="auto"/>
              <w:right w:val="single" w:sz="4" w:space="0" w:color="auto"/>
            </w:tcBorders>
            <w:vAlign w:val="center"/>
          </w:tcPr>
          <w:p w14:paraId="3BA64B0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759A0E5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2CED149"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6EE3EF7"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3CF26CC9" w14:textId="77777777" w:rsidR="00A67F21" w:rsidRPr="00B12FE0" w:rsidRDefault="00000000">
            <w:pPr>
              <w:jc w:val="center"/>
              <w:rPr>
                <w:bCs/>
                <w:color w:val="000000" w:themeColor="text1"/>
                <w:sz w:val="21"/>
                <w:szCs w:val="21"/>
              </w:rPr>
            </w:pPr>
            <w:r w:rsidRPr="00B12FE0">
              <w:rPr>
                <w:bCs/>
                <w:color w:val="000000" w:themeColor="text1"/>
                <w:sz w:val="21"/>
                <w:szCs w:val="21"/>
              </w:rPr>
              <w:t>16</w:t>
            </w:r>
          </w:p>
        </w:tc>
        <w:tc>
          <w:tcPr>
            <w:tcW w:w="1844" w:type="dxa"/>
            <w:vMerge/>
            <w:tcBorders>
              <w:top w:val="single" w:sz="4" w:space="0" w:color="auto"/>
              <w:left w:val="single" w:sz="4" w:space="0" w:color="auto"/>
              <w:bottom w:val="single" w:sz="4" w:space="0" w:color="auto"/>
              <w:right w:val="single" w:sz="4" w:space="0" w:color="auto"/>
            </w:tcBorders>
            <w:vAlign w:val="center"/>
          </w:tcPr>
          <w:p w14:paraId="3B4439CE" w14:textId="77777777" w:rsidR="00A67F21" w:rsidRPr="00B12FE0" w:rsidRDefault="00A67F21">
            <w:pPr>
              <w:widowControl/>
              <w:jc w:val="left"/>
              <w:rPr>
                <w:bCs/>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436A650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63B3C66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771A9BA"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33F80A9"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4637B481" w14:textId="77777777" w:rsidR="00A67F21" w:rsidRPr="00B12FE0" w:rsidRDefault="00000000">
            <w:pPr>
              <w:jc w:val="center"/>
              <w:rPr>
                <w:bCs/>
                <w:color w:val="000000" w:themeColor="text1"/>
                <w:sz w:val="21"/>
                <w:szCs w:val="21"/>
              </w:rPr>
            </w:pPr>
            <w:r w:rsidRPr="00B12FE0">
              <w:rPr>
                <w:bCs/>
                <w:color w:val="000000" w:themeColor="text1"/>
                <w:sz w:val="21"/>
                <w:szCs w:val="21"/>
              </w:rPr>
              <w:t>17</w:t>
            </w:r>
          </w:p>
        </w:tc>
        <w:tc>
          <w:tcPr>
            <w:tcW w:w="1844" w:type="dxa"/>
            <w:vMerge/>
            <w:tcBorders>
              <w:top w:val="single" w:sz="4" w:space="0" w:color="auto"/>
              <w:left w:val="single" w:sz="4" w:space="0" w:color="auto"/>
              <w:bottom w:val="single" w:sz="4" w:space="0" w:color="auto"/>
              <w:right w:val="single" w:sz="4" w:space="0" w:color="auto"/>
            </w:tcBorders>
            <w:vAlign w:val="center"/>
          </w:tcPr>
          <w:p w14:paraId="621492ED" w14:textId="77777777" w:rsidR="00A67F21" w:rsidRPr="00B12FE0" w:rsidRDefault="00A67F21">
            <w:pPr>
              <w:widowControl/>
              <w:jc w:val="left"/>
              <w:rPr>
                <w:bCs/>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4A5574A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4B69DDE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D943BFF"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E8905C3"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09AEBE5E" w14:textId="77777777" w:rsidR="00A67F21" w:rsidRPr="00B12FE0" w:rsidRDefault="00000000">
            <w:pPr>
              <w:jc w:val="center"/>
              <w:rPr>
                <w:bCs/>
                <w:color w:val="000000" w:themeColor="text1"/>
                <w:sz w:val="21"/>
                <w:szCs w:val="21"/>
              </w:rPr>
            </w:pPr>
            <w:r w:rsidRPr="00B12FE0">
              <w:rPr>
                <w:bCs/>
                <w:color w:val="000000" w:themeColor="text1"/>
                <w:sz w:val="21"/>
                <w:szCs w:val="21"/>
              </w:rPr>
              <w:t>18</w:t>
            </w:r>
          </w:p>
        </w:tc>
        <w:tc>
          <w:tcPr>
            <w:tcW w:w="1844" w:type="dxa"/>
            <w:vMerge/>
            <w:tcBorders>
              <w:top w:val="single" w:sz="4" w:space="0" w:color="auto"/>
              <w:left w:val="single" w:sz="4" w:space="0" w:color="auto"/>
              <w:bottom w:val="single" w:sz="4" w:space="0" w:color="auto"/>
              <w:right w:val="single" w:sz="4" w:space="0" w:color="auto"/>
            </w:tcBorders>
            <w:vAlign w:val="center"/>
          </w:tcPr>
          <w:p w14:paraId="0FC9DC4A" w14:textId="77777777" w:rsidR="00A67F21" w:rsidRPr="00B12FE0" w:rsidRDefault="00A67F21">
            <w:pPr>
              <w:widowControl/>
              <w:jc w:val="left"/>
              <w:rPr>
                <w:bCs/>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4E14C8F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放射废物桶表面</w:t>
            </w:r>
          </w:p>
        </w:tc>
        <w:tc>
          <w:tcPr>
            <w:tcW w:w="1310" w:type="pct"/>
            <w:tcBorders>
              <w:top w:val="single" w:sz="4" w:space="0" w:color="auto"/>
              <w:left w:val="single" w:sz="4" w:space="0" w:color="auto"/>
              <w:bottom w:val="single" w:sz="4" w:space="0" w:color="auto"/>
              <w:right w:val="single" w:sz="4" w:space="0" w:color="auto"/>
            </w:tcBorders>
            <w:vAlign w:val="center"/>
          </w:tcPr>
          <w:p w14:paraId="0E6D990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6E9B22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ACE5DAF"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39ECD752" w14:textId="77777777" w:rsidR="00A67F21" w:rsidRPr="00B12FE0" w:rsidRDefault="00000000">
            <w:pPr>
              <w:jc w:val="center"/>
              <w:rPr>
                <w:bCs/>
                <w:color w:val="000000" w:themeColor="text1"/>
                <w:sz w:val="21"/>
                <w:szCs w:val="21"/>
              </w:rPr>
            </w:pPr>
            <w:r w:rsidRPr="00B12FE0">
              <w:rPr>
                <w:bCs/>
                <w:color w:val="000000" w:themeColor="text1"/>
                <w:sz w:val="21"/>
                <w:szCs w:val="21"/>
              </w:rPr>
              <w:t>19</w:t>
            </w:r>
          </w:p>
        </w:tc>
        <w:tc>
          <w:tcPr>
            <w:tcW w:w="1844" w:type="dxa"/>
            <w:vMerge/>
            <w:tcBorders>
              <w:top w:val="single" w:sz="4" w:space="0" w:color="auto"/>
              <w:left w:val="single" w:sz="4" w:space="0" w:color="auto"/>
              <w:bottom w:val="single" w:sz="4" w:space="0" w:color="auto"/>
              <w:right w:val="single" w:sz="4" w:space="0" w:color="auto"/>
            </w:tcBorders>
            <w:vAlign w:val="center"/>
          </w:tcPr>
          <w:p w14:paraId="4E0D28F9" w14:textId="77777777" w:rsidR="00A67F21" w:rsidRPr="00B12FE0" w:rsidRDefault="00A67F21">
            <w:pPr>
              <w:widowControl/>
              <w:jc w:val="left"/>
              <w:rPr>
                <w:bCs/>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69E9BD8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医疗废物桶表面</w:t>
            </w:r>
          </w:p>
        </w:tc>
        <w:tc>
          <w:tcPr>
            <w:tcW w:w="1310" w:type="pct"/>
            <w:tcBorders>
              <w:top w:val="single" w:sz="4" w:space="0" w:color="auto"/>
              <w:left w:val="single" w:sz="4" w:space="0" w:color="auto"/>
              <w:bottom w:val="single" w:sz="4" w:space="0" w:color="auto"/>
              <w:right w:val="single" w:sz="4" w:space="0" w:color="auto"/>
            </w:tcBorders>
            <w:vAlign w:val="center"/>
          </w:tcPr>
          <w:p w14:paraId="47190BE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29AFC19"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E64157F"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099A419" w14:textId="77777777" w:rsidR="00A67F21" w:rsidRPr="00B12FE0" w:rsidRDefault="00000000">
            <w:pPr>
              <w:jc w:val="center"/>
              <w:rPr>
                <w:bCs/>
                <w:color w:val="000000" w:themeColor="text1"/>
                <w:sz w:val="21"/>
                <w:szCs w:val="21"/>
              </w:rPr>
            </w:pPr>
            <w:r w:rsidRPr="00B12FE0">
              <w:rPr>
                <w:bCs/>
                <w:color w:val="000000" w:themeColor="text1"/>
                <w:sz w:val="21"/>
                <w:szCs w:val="21"/>
              </w:rPr>
              <w:t>20</w:t>
            </w:r>
          </w:p>
        </w:tc>
        <w:tc>
          <w:tcPr>
            <w:tcW w:w="1844" w:type="dxa"/>
            <w:vMerge/>
            <w:tcBorders>
              <w:top w:val="single" w:sz="4" w:space="0" w:color="auto"/>
              <w:left w:val="single" w:sz="4" w:space="0" w:color="auto"/>
              <w:bottom w:val="single" w:sz="4" w:space="0" w:color="auto"/>
              <w:right w:val="single" w:sz="4" w:space="0" w:color="auto"/>
            </w:tcBorders>
            <w:vAlign w:val="center"/>
          </w:tcPr>
          <w:p w14:paraId="71390967" w14:textId="77777777" w:rsidR="00A67F21" w:rsidRPr="00B12FE0" w:rsidRDefault="00A67F21">
            <w:pPr>
              <w:widowControl/>
              <w:jc w:val="left"/>
              <w:rPr>
                <w:bCs/>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342AA8B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水池表面</w:t>
            </w:r>
          </w:p>
        </w:tc>
        <w:tc>
          <w:tcPr>
            <w:tcW w:w="1310" w:type="pct"/>
            <w:tcBorders>
              <w:top w:val="single" w:sz="4" w:space="0" w:color="auto"/>
              <w:left w:val="single" w:sz="4" w:space="0" w:color="auto"/>
              <w:bottom w:val="single" w:sz="4" w:space="0" w:color="auto"/>
              <w:right w:val="single" w:sz="4" w:space="0" w:color="auto"/>
            </w:tcBorders>
            <w:vAlign w:val="center"/>
          </w:tcPr>
          <w:p w14:paraId="6396FDF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FE0CA9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EC62A76"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357F9D7" w14:textId="77777777" w:rsidR="00A67F21" w:rsidRPr="00B12FE0" w:rsidRDefault="00000000">
            <w:pPr>
              <w:jc w:val="center"/>
              <w:rPr>
                <w:bCs/>
                <w:color w:val="000000" w:themeColor="text1"/>
                <w:sz w:val="21"/>
                <w:szCs w:val="21"/>
              </w:rPr>
            </w:pPr>
            <w:r w:rsidRPr="00B12FE0">
              <w:rPr>
                <w:bCs/>
                <w:color w:val="000000" w:themeColor="text1"/>
                <w:sz w:val="21"/>
                <w:szCs w:val="21"/>
              </w:rPr>
              <w:t>21</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3118621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1</w:t>
            </w:r>
          </w:p>
        </w:tc>
        <w:tc>
          <w:tcPr>
            <w:tcW w:w="1340" w:type="pct"/>
            <w:tcBorders>
              <w:top w:val="single" w:sz="4" w:space="0" w:color="auto"/>
              <w:left w:val="single" w:sz="4" w:space="0" w:color="auto"/>
              <w:bottom w:val="single" w:sz="4" w:space="0" w:color="auto"/>
              <w:right w:val="single" w:sz="4" w:space="0" w:color="auto"/>
            </w:tcBorders>
            <w:vAlign w:val="center"/>
          </w:tcPr>
          <w:p w14:paraId="0F77833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76F1A8A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0B0EF04"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DC7EEB9"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5A1E0513" w14:textId="77777777" w:rsidR="00A67F21" w:rsidRPr="00B12FE0" w:rsidRDefault="00000000">
            <w:pPr>
              <w:jc w:val="center"/>
              <w:rPr>
                <w:bCs/>
                <w:color w:val="000000" w:themeColor="text1"/>
                <w:sz w:val="21"/>
                <w:szCs w:val="21"/>
              </w:rPr>
            </w:pPr>
            <w:r w:rsidRPr="00B12FE0">
              <w:rPr>
                <w:bCs/>
                <w:color w:val="000000" w:themeColor="text1"/>
                <w:sz w:val="21"/>
                <w:szCs w:val="21"/>
              </w:rPr>
              <w:t>22</w:t>
            </w:r>
          </w:p>
        </w:tc>
        <w:tc>
          <w:tcPr>
            <w:tcW w:w="1844" w:type="dxa"/>
            <w:vMerge/>
            <w:tcBorders>
              <w:top w:val="single" w:sz="4" w:space="0" w:color="auto"/>
              <w:left w:val="single" w:sz="4" w:space="0" w:color="auto"/>
              <w:bottom w:val="single" w:sz="4" w:space="0" w:color="auto"/>
              <w:right w:val="single" w:sz="4" w:space="0" w:color="auto"/>
            </w:tcBorders>
            <w:vAlign w:val="center"/>
          </w:tcPr>
          <w:p w14:paraId="4CB589E3"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6B77971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65EC2E1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621977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ECE2AF2"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6524C20" w14:textId="77777777" w:rsidR="00A67F21" w:rsidRPr="00B12FE0" w:rsidRDefault="00000000">
            <w:pPr>
              <w:jc w:val="center"/>
              <w:rPr>
                <w:bCs/>
                <w:color w:val="000000" w:themeColor="text1"/>
                <w:sz w:val="21"/>
                <w:szCs w:val="21"/>
              </w:rPr>
            </w:pPr>
            <w:r w:rsidRPr="00B12FE0">
              <w:rPr>
                <w:bCs/>
                <w:color w:val="000000" w:themeColor="text1"/>
                <w:sz w:val="21"/>
                <w:szCs w:val="21"/>
              </w:rPr>
              <w:t>23</w:t>
            </w:r>
          </w:p>
        </w:tc>
        <w:tc>
          <w:tcPr>
            <w:tcW w:w="1844" w:type="dxa"/>
            <w:vMerge/>
            <w:tcBorders>
              <w:top w:val="single" w:sz="4" w:space="0" w:color="auto"/>
              <w:left w:val="single" w:sz="4" w:space="0" w:color="auto"/>
              <w:bottom w:val="single" w:sz="4" w:space="0" w:color="auto"/>
              <w:right w:val="single" w:sz="4" w:space="0" w:color="auto"/>
            </w:tcBorders>
            <w:vAlign w:val="center"/>
          </w:tcPr>
          <w:p w14:paraId="6E3F22AA"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0721D90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3890CD5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36B596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1BC4715"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5EFFD9D4" w14:textId="77777777" w:rsidR="00A67F21" w:rsidRPr="00B12FE0" w:rsidRDefault="00000000">
            <w:pPr>
              <w:jc w:val="center"/>
              <w:rPr>
                <w:bCs/>
                <w:color w:val="000000" w:themeColor="text1"/>
                <w:sz w:val="21"/>
                <w:szCs w:val="21"/>
              </w:rPr>
            </w:pPr>
            <w:r w:rsidRPr="00B12FE0">
              <w:rPr>
                <w:bCs/>
                <w:color w:val="000000" w:themeColor="text1"/>
                <w:sz w:val="21"/>
                <w:szCs w:val="21"/>
              </w:rPr>
              <w:t>24</w:t>
            </w:r>
          </w:p>
        </w:tc>
        <w:tc>
          <w:tcPr>
            <w:tcW w:w="1844" w:type="dxa"/>
            <w:vMerge/>
            <w:tcBorders>
              <w:top w:val="single" w:sz="4" w:space="0" w:color="auto"/>
              <w:left w:val="single" w:sz="4" w:space="0" w:color="auto"/>
              <w:bottom w:val="single" w:sz="4" w:space="0" w:color="auto"/>
              <w:right w:val="single" w:sz="4" w:space="0" w:color="auto"/>
            </w:tcBorders>
            <w:vAlign w:val="center"/>
          </w:tcPr>
          <w:p w14:paraId="185474C2"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7B0FE8AD"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椅子表面</w:t>
            </w:r>
          </w:p>
        </w:tc>
        <w:tc>
          <w:tcPr>
            <w:tcW w:w="1310" w:type="pct"/>
            <w:tcBorders>
              <w:top w:val="single" w:sz="4" w:space="0" w:color="auto"/>
              <w:left w:val="single" w:sz="4" w:space="0" w:color="auto"/>
              <w:bottom w:val="single" w:sz="4" w:space="0" w:color="auto"/>
              <w:right w:val="single" w:sz="4" w:space="0" w:color="auto"/>
            </w:tcBorders>
            <w:vAlign w:val="center"/>
          </w:tcPr>
          <w:p w14:paraId="2C5E2983"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F304477"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850F9CA"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58B9786" w14:textId="77777777" w:rsidR="00A67F21" w:rsidRPr="00B12FE0" w:rsidRDefault="00000000">
            <w:pPr>
              <w:jc w:val="center"/>
              <w:rPr>
                <w:bCs/>
                <w:color w:val="000000" w:themeColor="text1"/>
                <w:sz w:val="21"/>
                <w:szCs w:val="21"/>
              </w:rPr>
            </w:pPr>
            <w:r w:rsidRPr="00B12FE0">
              <w:rPr>
                <w:bCs/>
                <w:color w:val="000000" w:themeColor="text1"/>
                <w:sz w:val="21"/>
                <w:szCs w:val="21"/>
              </w:rPr>
              <w:t>25</w:t>
            </w:r>
          </w:p>
        </w:tc>
        <w:tc>
          <w:tcPr>
            <w:tcW w:w="1844" w:type="dxa"/>
            <w:vMerge/>
            <w:tcBorders>
              <w:top w:val="single" w:sz="4" w:space="0" w:color="auto"/>
              <w:left w:val="single" w:sz="4" w:space="0" w:color="auto"/>
              <w:bottom w:val="single" w:sz="4" w:space="0" w:color="auto"/>
              <w:right w:val="single" w:sz="4" w:space="0" w:color="auto"/>
            </w:tcBorders>
            <w:vAlign w:val="center"/>
          </w:tcPr>
          <w:p w14:paraId="27409AB1"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747B35D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0" w:type="pct"/>
            <w:tcBorders>
              <w:top w:val="single" w:sz="4" w:space="0" w:color="auto"/>
              <w:left w:val="single" w:sz="4" w:space="0" w:color="auto"/>
              <w:bottom w:val="single" w:sz="4" w:space="0" w:color="auto"/>
              <w:right w:val="single" w:sz="4" w:space="0" w:color="auto"/>
            </w:tcBorders>
            <w:vAlign w:val="center"/>
          </w:tcPr>
          <w:p w14:paraId="35CC71A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ECE7C6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9BF89A8"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4410D8C2" w14:textId="77777777" w:rsidR="00A67F21" w:rsidRPr="00B12FE0" w:rsidRDefault="00000000">
            <w:pPr>
              <w:jc w:val="center"/>
              <w:rPr>
                <w:bCs/>
                <w:color w:val="000000" w:themeColor="text1"/>
                <w:sz w:val="21"/>
                <w:szCs w:val="21"/>
              </w:rPr>
            </w:pPr>
            <w:r w:rsidRPr="00B12FE0">
              <w:rPr>
                <w:bCs/>
                <w:color w:val="000000" w:themeColor="text1"/>
                <w:sz w:val="21"/>
                <w:szCs w:val="21"/>
              </w:rPr>
              <w:t>26</w:t>
            </w:r>
          </w:p>
        </w:tc>
        <w:tc>
          <w:tcPr>
            <w:tcW w:w="1844" w:type="dxa"/>
            <w:vMerge/>
            <w:tcBorders>
              <w:top w:val="single" w:sz="4" w:space="0" w:color="auto"/>
              <w:left w:val="single" w:sz="4" w:space="0" w:color="auto"/>
              <w:bottom w:val="single" w:sz="4" w:space="0" w:color="auto"/>
              <w:right w:val="single" w:sz="4" w:space="0" w:color="auto"/>
            </w:tcBorders>
            <w:vAlign w:val="center"/>
          </w:tcPr>
          <w:p w14:paraId="55586583"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3B3B470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6C20BBB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8CF2FE9"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28841BC"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04E7E80" w14:textId="77777777" w:rsidR="00A67F21" w:rsidRPr="00B12FE0" w:rsidRDefault="00000000">
            <w:pPr>
              <w:jc w:val="center"/>
              <w:rPr>
                <w:bCs/>
                <w:color w:val="000000" w:themeColor="text1"/>
                <w:sz w:val="21"/>
                <w:szCs w:val="21"/>
              </w:rPr>
            </w:pPr>
            <w:r w:rsidRPr="00B12FE0">
              <w:rPr>
                <w:bCs/>
                <w:color w:val="000000" w:themeColor="text1"/>
                <w:sz w:val="21"/>
                <w:szCs w:val="21"/>
              </w:rPr>
              <w:t>27</w:t>
            </w:r>
          </w:p>
        </w:tc>
        <w:tc>
          <w:tcPr>
            <w:tcW w:w="1844" w:type="dxa"/>
            <w:vMerge/>
            <w:tcBorders>
              <w:top w:val="single" w:sz="4" w:space="0" w:color="auto"/>
              <w:left w:val="single" w:sz="4" w:space="0" w:color="auto"/>
              <w:bottom w:val="single" w:sz="4" w:space="0" w:color="auto"/>
              <w:right w:val="single" w:sz="4" w:space="0" w:color="auto"/>
            </w:tcBorders>
            <w:vAlign w:val="center"/>
          </w:tcPr>
          <w:p w14:paraId="2E57A6A1"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73A035D1"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洗手间地面</w:t>
            </w:r>
          </w:p>
        </w:tc>
        <w:tc>
          <w:tcPr>
            <w:tcW w:w="1310" w:type="pct"/>
            <w:tcBorders>
              <w:top w:val="single" w:sz="4" w:space="0" w:color="auto"/>
              <w:left w:val="single" w:sz="4" w:space="0" w:color="auto"/>
              <w:bottom w:val="single" w:sz="4" w:space="0" w:color="auto"/>
              <w:right w:val="single" w:sz="4" w:space="0" w:color="auto"/>
            </w:tcBorders>
            <w:vAlign w:val="center"/>
          </w:tcPr>
          <w:p w14:paraId="643D9021"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D86297F"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F6DC308" w14:textId="77777777" w:rsidR="00A67F21" w:rsidRPr="00B12FE0" w:rsidRDefault="00A67F21">
            <w:pPr>
              <w:widowControl/>
              <w:jc w:val="left"/>
              <w:rPr>
                <w:bCs/>
                <w:color w:val="000000" w:themeColor="text1"/>
                <w:sz w:val="2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20DFC507" w14:textId="77777777" w:rsidR="00A67F21" w:rsidRPr="00B12FE0" w:rsidRDefault="00000000">
            <w:pPr>
              <w:jc w:val="center"/>
              <w:rPr>
                <w:bCs/>
                <w:color w:val="000000" w:themeColor="text1"/>
                <w:sz w:val="21"/>
                <w:szCs w:val="21"/>
              </w:rPr>
            </w:pPr>
            <w:r w:rsidRPr="00B12FE0">
              <w:rPr>
                <w:bCs/>
                <w:color w:val="000000" w:themeColor="text1"/>
                <w:sz w:val="21"/>
                <w:szCs w:val="21"/>
              </w:rPr>
              <w:t>28</w:t>
            </w:r>
          </w:p>
        </w:tc>
        <w:tc>
          <w:tcPr>
            <w:tcW w:w="1844" w:type="dxa"/>
            <w:vMerge/>
            <w:tcBorders>
              <w:top w:val="single" w:sz="4" w:space="0" w:color="auto"/>
              <w:left w:val="single" w:sz="4" w:space="0" w:color="auto"/>
              <w:bottom w:val="single" w:sz="4" w:space="0" w:color="auto"/>
              <w:right w:val="single" w:sz="4" w:space="0" w:color="auto"/>
            </w:tcBorders>
            <w:vAlign w:val="center"/>
          </w:tcPr>
          <w:p w14:paraId="43965D15" w14:textId="77777777" w:rsidR="00A67F21" w:rsidRPr="00B12FE0" w:rsidRDefault="00A67F21">
            <w:pPr>
              <w:widowControl/>
              <w:jc w:val="left"/>
              <w:rPr>
                <w:color w:val="000000" w:themeColor="text1"/>
                <w:sz w:val="21"/>
                <w:szCs w:val="21"/>
              </w:rPr>
            </w:pPr>
          </w:p>
        </w:tc>
        <w:tc>
          <w:tcPr>
            <w:tcW w:w="1340" w:type="pct"/>
            <w:tcBorders>
              <w:top w:val="single" w:sz="4" w:space="0" w:color="auto"/>
              <w:left w:val="single" w:sz="4" w:space="0" w:color="auto"/>
              <w:bottom w:val="single" w:sz="4" w:space="0" w:color="auto"/>
              <w:right w:val="single" w:sz="4" w:space="0" w:color="auto"/>
            </w:tcBorders>
            <w:vAlign w:val="center"/>
          </w:tcPr>
          <w:p w14:paraId="7A7DC9AA"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洗手池墙面</w:t>
            </w:r>
          </w:p>
        </w:tc>
        <w:tc>
          <w:tcPr>
            <w:tcW w:w="1310" w:type="pct"/>
            <w:tcBorders>
              <w:top w:val="single" w:sz="4" w:space="0" w:color="auto"/>
              <w:left w:val="single" w:sz="4" w:space="0" w:color="auto"/>
              <w:bottom w:val="single" w:sz="4" w:space="0" w:color="auto"/>
              <w:right w:val="single" w:sz="4" w:space="0" w:color="auto"/>
            </w:tcBorders>
            <w:vAlign w:val="center"/>
          </w:tcPr>
          <w:p w14:paraId="46AE7332"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DFAF4F7" w14:textId="77777777">
        <w:trPr>
          <w:trHeight w:val="23"/>
          <w:jc w:val="center"/>
        </w:trPr>
        <w:tc>
          <w:tcPr>
            <w:tcW w:w="639" w:type="pct"/>
            <w:vMerge w:val="restart"/>
            <w:tcBorders>
              <w:top w:val="single" w:sz="4" w:space="0" w:color="auto"/>
              <w:left w:val="single" w:sz="4" w:space="0" w:color="auto"/>
              <w:bottom w:val="single" w:sz="4" w:space="0" w:color="auto"/>
              <w:right w:val="single" w:sz="4" w:space="0" w:color="auto"/>
            </w:tcBorders>
            <w:vAlign w:val="center"/>
          </w:tcPr>
          <w:p w14:paraId="0EF2A8EF" w14:textId="77777777" w:rsidR="00A67F21" w:rsidRPr="00B12FE0" w:rsidRDefault="00000000">
            <w:pPr>
              <w:jc w:val="center"/>
              <w:rPr>
                <w:bCs/>
                <w:color w:val="000000" w:themeColor="text1"/>
                <w:sz w:val="21"/>
                <w:szCs w:val="21"/>
              </w:rPr>
            </w:pPr>
            <w:r w:rsidRPr="00B12FE0">
              <w:rPr>
                <w:bCs/>
                <w:color w:val="000000" w:themeColor="text1"/>
                <w:sz w:val="21"/>
                <w:szCs w:val="21"/>
              </w:rPr>
              <w:t>PET</w:t>
            </w:r>
            <w:r w:rsidRPr="00B12FE0">
              <w:rPr>
                <w:rFonts w:hint="eastAsia"/>
                <w:bCs/>
                <w:color w:val="000000" w:themeColor="text1"/>
                <w:sz w:val="21"/>
                <w:szCs w:val="21"/>
              </w:rPr>
              <w:t>诊断区域</w:t>
            </w:r>
          </w:p>
        </w:tc>
        <w:tc>
          <w:tcPr>
            <w:tcW w:w="656" w:type="pct"/>
            <w:tcBorders>
              <w:top w:val="single" w:sz="4" w:space="0" w:color="auto"/>
              <w:left w:val="single" w:sz="4" w:space="0" w:color="auto"/>
              <w:bottom w:val="single" w:sz="4" w:space="0" w:color="auto"/>
              <w:right w:val="single" w:sz="4" w:space="0" w:color="auto"/>
            </w:tcBorders>
            <w:vAlign w:val="center"/>
          </w:tcPr>
          <w:p w14:paraId="0E478A5B" w14:textId="77777777" w:rsidR="00A67F21" w:rsidRPr="00B12FE0" w:rsidRDefault="00000000">
            <w:pPr>
              <w:jc w:val="center"/>
              <w:rPr>
                <w:bCs/>
                <w:color w:val="000000" w:themeColor="text1"/>
                <w:sz w:val="21"/>
                <w:szCs w:val="21"/>
              </w:rPr>
            </w:pPr>
            <w:r w:rsidRPr="00B12FE0">
              <w:rPr>
                <w:bCs/>
                <w:color w:val="000000" w:themeColor="text1"/>
                <w:sz w:val="21"/>
                <w:szCs w:val="21"/>
              </w:rPr>
              <w:t>29</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69937B0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1</w:t>
            </w:r>
          </w:p>
        </w:tc>
        <w:tc>
          <w:tcPr>
            <w:tcW w:w="1345" w:type="pct"/>
            <w:tcBorders>
              <w:top w:val="single" w:sz="4" w:space="0" w:color="auto"/>
              <w:left w:val="single" w:sz="4" w:space="0" w:color="auto"/>
              <w:bottom w:val="single" w:sz="4" w:space="0" w:color="auto"/>
              <w:right w:val="single" w:sz="4" w:space="0" w:color="auto"/>
            </w:tcBorders>
            <w:vAlign w:val="center"/>
          </w:tcPr>
          <w:p w14:paraId="59E2CD2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洗手间门表面</w:t>
            </w:r>
          </w:p>
        </w:tc>
        <w:tc>
          <w:tcPr>
            <w:tcW w:w="1310" w:type="pct"/>
            <w:tcBorders>
              <w:top w:val="single" w:sz="4" w:space="0" w:color="auto"/>
              <w:left w:val="single" w:sz="4" w:space="0" w:color="auto"/>
              <w:bottom w:val="single" w:sz="4" w:space="0" w:color="auto"/>
              <w:right w:val="single" w:sz="4" w:space="0" w:color="auto"/>
            </w:tcBorders>
            <w:vAlign w:val="center"/>
          </w:tcPr>
          <w:p w14:paraId="6CE5FBD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656903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F9498CC"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72B6A79E" w14:textId="77777777" w:rsidR="00A67F21" w:rsidRPr="00B12FE0" w:rsidRDefault="00000000">
            <w:pPr>
              <w:jc w:val="center"/>
              <w:rPr>
                <w:bCs/>
                <w:color w:val="000000" w:themeColor="text1"/>
                <w:sz w:val="21"/>
                <w:szCs w:val="21"/>
              </w:rPr>
            </w:pPr>
            <w:r w:rsidRPr="00B12FE0">
              <w:rPr>
                <w:bCs/>
                <w:color w:val="000000" w:themeColor="text1"/>
                <w:sz w:val="21"/>
                <w:szCs w:val="21"/>
              </w:rPr>
              <w:t>30</w:t>
            </w:r>
          </w:p>
        </w:tc>
        <w:tc>
          <w:tcPr>
            <w:tcW w:w="1844" w:type="dxa"/>
            <w:vMerge/>
            <w:tcBorders>
              <w:top w:val="single" w:sz="4" w:space="0" w:color="auto"/>
              <w:left w:val="single" w:sz="4" w:space="0" w:color="auto"/>
              <w:bottom w:val="single" w:sz="4" w:space="0" w:color="auto"/>
              <w:right w:val="single" w:sz="4" w:space="0" w:color="auto"/>
            </w:tcBorders>
            <w:vAlign w:val="center"/>
          </w:tcPr>
          <w:p w14:paraId="64494C9C"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B0CF26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0" w:type="pct"/>
            <w:tcBorders>
              <w:top w:val="single" w:sz="4" w:space="0" w:color="auto"/>
              <w:left w:val="single" w:sz="4" w:space="0" w:color="auto"/>
              <w:bottom w:val="single" w:sz="4" w:space="0" w:color="auto"/>
              <w:right w:val="single" w:sz="4" w:space="0" w:color="auto"/>
            </w:tcBorders>
            <w:vAlign w:val="center"/>
          </w:tcPr>
          <w:p w14:paraId="6ABB8126"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0.44</w:t>
            </w:r>
          </w:p>
        </w:tc>
      </w:tr>
      <w:tr w:rsidR="00A67F21" w:rsidRPr="00B12FE0" w14:paraId="63CEA1E9"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1E70F55"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843EDB3" w14:textId="77777777" w:rsidR="00A67F21" w:rsidRPr="00B12FE0" w:rsidRDefault="00000000">
            <w:pPr>
              <w:jc w:val="center"/>
              <w:rPr>
                <w:bCs/>
                <w:color w:val="000000" w:themeColor="text1"/>
                <w:sz w:val="21"/>
                <w:szCs w:val="21"/>
              </w:rPr>
            </w:pPr>
            <w:r w:rsidRPr="00B12FE0">
              <w:rPr>
                <w:bCs/>
                <w:color w:val="000000" w:themeColor="text1"/>
                <w:sz w:val="21"/>
                <w:szCs w:val="21"/>
              </w:rPr>
              <w:t>31</w:t>
            </w:r>
          </w:p>
        </w:tc>
        <w:tc>
          <w:tcPr>
            <w:tcW w:w="1844" w:type="dxa"/>
            <w:vMerge/>
            <w:tcBorders>
              <w:top w:val="single" w:sz="4" w:space="0" w:color="auto"/>
              <w:left w:val="single" w:sz="4" w:space="0" w:color="auto"/>
              <w:bottom w:val="single" w:sz="4" w:space="0" w:color="auto"/>
              <w:right w:val="single" w:sz="4" w:space="0" w:color="auto"/>
            </w:tcBorders>
            <w:vAlign w:val="center"/>
          </w:tcPr>
          <w:p w14:paraId="310299E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BD6533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洗手池表面</w:t>
            </w:r>
          </w:p>
        </w:tc>
        <w:tc>
          <w:tcPr>
            <w:tcW w:w="1310" w:type="pct"/>
            <w:tcBorders>
              <w:top w:val="single" w:sz="4" w:space="0" w:color="auto"/>
              <w:left w:val="single" w:sz="4" w:space="0" w:color="auto"/>
              <w:bottom w:val="single" w:sz="4" w:space="0" w:color="auto"/>
              <w:right w:val="single" w:sz="4" w:space="0" w:color="auto"/>
            </w:tcBorders>
            <w:vAlign w:val="center"/>
          </w:tcPr>
          <w:p w14:paraId="7844005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66729E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926556B"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EA7A152" w14:textId="77777777" w:rsidR="00A67F21" w:rsidRPr="00B12FE0" w:rsidRDefault="00000000">
            <w:pPr>
              <w:jc w:val="center"/>
              <w:rPr>
                <w:bCs/>
                <w:color w:val="000000" w:themeColor="text1"/>
                <w:sz w:val="21"/>
                <w:szCs w:val="21"/>
              </w:rPr>
            </w:pPr>
            <w:r w:rsidRPr="00B12FE0">
              <w:rPr>
                <w:bCs/>
                <w:color w:val="000000" w:themeColor="text1"/>
                <w:sz w:val="21"/>
                <w:szCs w:val="21"/>
              </w:rPr>
              <w:t>32</w:t>
            </w:r>
          </w:p>
        </w:tc>
        <w:tc>
          <w:tcPr>
            <w:tcW w:w="1844" w:type="dxa"/>
            <w:vMerge/>
            <w:tcBorders>
              <w:top w:val="single" w:sz="4" w:space="0" w:color="auto"/>
              <w:left w:val="single" w:sz="4" w:space="0" w:color="auto"/>
              <w:bottom w:val="single" w:sz="4" w:space="0" w:color="auto"/>
              <w:right w:val="single" w:sz="4" w:space="0" w:color="auto"/>
            </w:tcBorders>
            <w:vAlign w:val="center"/>
          </w:tcPr>
          <w:p w14:paraId="1FE48A27"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1D94B8F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6D88711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4F0F8D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EBFD670"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0927E21" w14:textId="77777777" w:rsidR="00A67F21" w:rsidRPr="00B12FE0" w:rsidRDefault="00000000">
            <w:pPr>
              <w:jc w:val="center"/>
              <w:rPr>
                <w:bCs/>
                <w:color w:val="000000" w:themeColor="text1"/>
                <w:sz w:val="21"/>
                <w:szCs w:val="21"/>
              </w:rPr>
            </w:pPr>
            <w:r w:rsidRPr="00B12FE0">
              <w:rPr>
                <w:bCs/>
                <w:color w:val="000000" w:themeColor="text1"/>
                <w:sz w:val="21"/>
                <w:szCs w:val="21"/>
              </w:rPr>
              <w:t>33</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0EFD59A2"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2</w:t>
            </w:r>
          </w:p>
        </w:tc>
        <w:tc>
          <w:tcPr>
            <w:tcW w:w="1345" w:type="pct"/>
            <w:tcBorders>
              <w:top w:val="single" w:sz="4" w:space="0" w:color="auto"/>
              <w:left w:val="single" w:sz="4" w:space="0" w:color="auto"/>
              <w:bottom w:val="single" w:sz="4" w:space="0" w:color="auto"/>
              <w:right w:val="single" w:sz="4" w:space="0" w:color="auto"/>
            </w:tcBorders>
            <w:vAlign w:val="center"/>
          </w:tcPr>
          <w:p w14:paraId="286464A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2E7761D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9941C6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B863040"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5F5B991" w14:textId="77777777" w:rsidR="00A67F21" w:rsidRPr="00B12FE0" w:rsidRDefault="00000000">
            <w:pPr>
              <w:jc w:val="center"/>
              <w:rPr>
                <w:bCs/>
                <w:color w:val="000000" w:themeColor="text1"/>
                <w:sz w:val="21"/>
                <w:szCs w:val="21"/>
              </w:rPr>
            </w:pPr>
            <w:r w:rsidRPr="00B12FE0">
              <w:rPr>
                <w:bCs/>
                <w:color w:val="000000" w:themeColor="text1"/>
                <w:sz w:val="21"/>
                <w:szCs w:val="21"/>
              </w:rPr>
              <w:t>34</w:t>
            </w:r>
          </w:p>
        </w:tc>
        <w:tc>
          <w:tcPr>
            <w:tcW w:w="1844" w:type="dxa"/>
            <w:vMerge/>
            <w:tcBorders>
              <w:top w:val="single" w:sz="4" w:space="0" w:color="auto"/>
              <w:left w:val="single" w:sz="4" w:space="0" w:color="auto"/>
              <w:bottom w:val="single" w:sz="4" w:space="0" w:color="auto"/>
              <w:right w:val="single" w:sz="4" w:space="0" w:color="auto"/>
            </w:tcBorders>
            <w:vAlign w:val="center"/>
          </w:tcPr>
          <w:p w14:paraId="3EDCB53F"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422119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1A0A560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A8488D9"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2122934"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DC399E9" w14:textId="77777777" w:rsidR="00A67F21" w:rsidRPr="00B12FE0" w:rsidRDefault="00000000">
            <w:pPr>
              <w:jc w:val="center"/>
              <w:rPr>
                <w:bCs/>
                <w:color w:val="000000" w:themeColor="text1"/>
                <w:sz w:val="21"/>
                <w:szCs w:val="21"/>
              </w:rPr>
            </w:pPr>
            <w:r w:rsidRPr="00B12FE0">
              <w:rPr>
                <w:bCs/>
                <w:color w:val="000000" w:themeColor="text1"/>
                <w:sz w:val="21"/>
                <w:szCs w:val="21"/>
              </w:rPr>
              <w:t>35</w:t>
            </w:r>
          </w:p>
        </w:tc>
        <w:tc>
          <w:tcPr>
            <w:tcW w:w="1844" w:type="dxa"/>
            <w:vMerge/>
            <w:tcBorders>
              <w:top w:val="single" w:sz="4" w:space="0" w:color="auto"/>
              <w:left w:val="single" w:sz="4" w:space="0" w:color="auto"/>
              <w:bottom w:val="single" w:sz="4" w:space="0" w:color="auto"/>
              <w:right w:val="single" w:sz="4" w:space="0" w:color="auto"/>
            </w:tcBorders>
            <w:vAlign w:val="center"/>
          </w:tcPr>
          <w:p w14:paraId="03F480AD"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5F9183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50236FC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5A82E7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982DF52"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CBE3B9C" w14:textId="77777777" w:rsidR="00A67F21" w:rsidRPr="00B12FE0" w:rsidRDefault="00000000">
            <w:pPr>
              <w:jc w:val="center"/>
              <w:rPr>
                <w:bCs/>
                <w:color w:val="000000" w:themeColor="text1"/>
                <w:sz w:val="21"/>
                <w:szCs w:val="21"/>
              </w:rPr>
            </w:pPr>
            <w:r w:rsidRPr="00B12FE0">
              <w:rPr>
                <w:bCs/>
                <w:color w:val="000000" w:themeColor="text1"/>
                <w:sz w:val="21"/>
                <w:szCs w:val="21"/>
              </w:rPr>
              <w:t>36</w:t>
            </w:r>
          </w:p>
        </w:tc>
        <w:tc>
          <w:tcPr>
            <w:tcW w:w="1844" w:type="dxa"/>
            <w:vMerge/>
            <w:tcBorders>
              <w:top w:val="single" w:sz="4" w:space="0" w:color="auto"/>
              <w:left w:val="single" w:sz="4" w:space="0" w:color="auto"/>
              <w:bottom w:val="single" w:sz="4" w:space="0" w:color="auto"/>
              <w:right w:val="single" w:sz="4" w:space="0" w:color="auto"/>
            </w:tcBorders>
            <w:vAlign w:val="center"/>
          </w:tcPr>
          <w:p w14:paraId="69019BF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7DC88FA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123C7D8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C0D4F98"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00B21DD"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61EC938" w14:textId="77777777" w:rsidR="00A67F21" w:rsidRPr="00B12FE0" w:rsidRDefault="00000000">
            <w:pPr>
              <w:jc w:val="center"/>
              <w:rPr>
                <w:bCs/>
                <w:color w:val="000000" w:themeColor="text1"/>
                <w:sz w:val="21"/>
                <w:szCs w:val="21"/>
              </w:rPr>
            </w:pPr>
            <w:r w:rsidRPr="00B12FE0">
              <w:rPr>
                <w:bCs/>
                <w:color w:val="000000" w:themeColor="text1"/>
                <w:sz w:val="21"/>
                <w:szCs w:val="21"/>
              </w:rPr>
              <w:t>37</w:t>
            </w:r>
          </w:p>
        </w:tc>
        <w:tc>
          <w:tcPr>
            <w:tcW w:w="1844" w:type="dxa"/>
            <w:vMerge/>
            <w:tcBorders>
              <w:top w:val="single" w:sz="4" w:space="0" w:color="auto"/>
              <w:left w:val="single" w:sz="4" w:space="0" w:color="auto"/>
              <w:bottom w:val="single" w:sz="4" w:space="0" w:color="auto"/>
              <w:right w:val="single" w:sz="4" w:space="0" w:color="auto"/>
            </w:tcBorders>
            <w:vAlign w:val="center"/>
          </w:tcPr>
          <w:p w14:paraId="361A2A15"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4CD3F1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0" w:type="pct"/>
            <w:tcBorders>
              <w:top w:val="single" w:sz="4" w:space="0" w:color="auto"/>
              <w:left w:val="single" w:sz="4" w:space="0" w:color="auto"/>
              <w:bottom w:val="single" w:sz="4" w:space="0" w:color="auto"/>
              <w:right w:val="single" w:sz="4" w:space="0" w:color="auto"/>
            </w:tcBorders>
            <w:vAlign w:val="center"/>
          </w:tcPr>
          <w:p w14:paraId="70F96E6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9DFBA4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5B33C88"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825FDBB" w14:textId="77777777" w:rsidR="00A67F21" w:rsidRPr="00B12FE0" w:rsidRDefault="00000000">
            <w:pPr>
              <w:jc w:val="center"/>
              <w:rPr>
                <w:bCs/>
                <w:color w:val="000000" w:themeColor="text1"/>
                <w:sz w:val="21"/>
                <w:szCs w:val="21"/>
              </w:rPr>
            </w:pPr>
            <w:r w:rsidRPr="00B12FE0">
              <w:rPr>
                <w:bCs/>
                <w:color w:val="000000" w:themeColor="text1"/>
                <w:sz w:val="21"/>
                <w:szCs w:val="21"/>
              </w:rPr>
              <w:t>38</w:t>
            </w:r>
          </w:p>
        </w:tc>
        <w:tc>
          <w:tcPr>
            <w:tcW w:w="1844" w:type="dxa"/>
            <w:vMerge/>
            <w:tcBorders>
              <w:top w:val="single" w:sz="4" w:space="0" w:color="auto"/>
              <w:left w:val="single" w:sz="4" w:space="0" w:color="auto"/>
              <w:bottom w:val="single" w:sz="4" w:space="0" w:color="auto"/>
              <w:right w:val="single" w:sz="4" w:space="0" w:color="auto"/>
            </w:tcBorders>
            <w:vAlign w:val="center"/>
          </w:tcPr>
          <w:p w14:paraId="0483BDFD"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D1C383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0" w:type="pct"/>
            <w:tcBorders>
              <w:top w:val="single" w:sz="4" w:space="0" w:color="auto"/>
              <w:left w:val="single" w:sz="4" w:space="0" w:color="auto"/>
              <w:bottom w:val="single" w:sz="4" w:space="0" w:color="auto"/>
              <w:right w:val="single" w:sz="4" w:space="0" w:color="auto"/>
            </w:tcBorders>
            <w:vAlign w:val="center"/>
          </w:tcPr>
          <w:p w14:paraId="4EA5CE1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10BE8E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6F9BD3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5DC99C8" w14:textId="77777777" w:rsidR="00A67F21" w:rsidRPr="00B12FE0" w:rsidRDefault="00000000">
            <w:pPr>
              <w:jc w:val="center"/>
              <w:rPr>
                <w:bCs/>
                <w:color w:val="000000" w:themeColor="text1"/>
                <w:sz w:val="21"/>
                <w:szCs w:val="21"/>
              </w:rPr>
            </w:pPr>
            <w:r w:rsidRPr="00B12FE0">
              <w:rPr>
                <w:bCs/>
                <w:color w:val="000000" w:themeColor="text1"/>
                <w:sz w:val="21"/>
                <w:szCs w:val="21"/>
              </w:rPr>
              <w:t>39</w:t>
            </w:r>
          </w:p>
        </w:tc>
        <w:tc>
          <w:tcPr>
            <w:tcW w:w="1844" w:type="dxa"/>
            <w:vMerge/>
            <w:tcBorders>
              <w:top w:val="single" w:sz="4" w:space="0" w:color="auto"/>
              <w:left w:val="single" w:sz="4" w:space="0" w:color="auto"/>
              <w:bottom w:val="single" w:sz="4" w:space="0" w:color="auto"/>
              <w:right w:val="single" w:sz="4" w:space="0" w:color="auto"/>
            </w:tcBorders>
            <w:vAlign w:val="center"/>
          </w:tcPr>
          <w:p w14:paraId="0B046D58"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3E37AB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洗手间地面</w:t>
            </w:r>
          </w:p>
        </w:tc>
        <w:tc>
          <w:tcPr>
            <w:tcW w:w="1310" w:type="pct"/>
            <w:tcBorders>
              <w:top w:val="single" w:sz="4" w:space="0" w:color="auto"/>
              <w:left w:val="single" w:sz="4" w:space="0" w:color="auto"/>
              <w:bottom w:val="single" w:sz="4" w:space="0" w:color="auto"/>
              <w:right w:val="single" w:sz="4" w:space="0" w:color="auto"/>
            </w:tcBorders>
            <w:vAlign w:val="center"/>
          </w:tcPr>
          <w:p w14:paraId="08E7D61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707AFD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0F2852B"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72EB6C47" w14:textId="77777777" w:rsidR="00A67F21" w:rsidRPr="00B12FE0" w:rsidRDefault="00000000">
            <w:pPr>
              <w:jc w:val="center"/>
              <w:rPr>
                <w:bCs/>
                <w:color w:val="000000" w:themeColor="text1"/>
                <w:sz w:val="21"/>
                <w:szCs w:val="21"/>
              </w:rPr>
            </w:pPr>
            <w:r w:rsidRPr="00B12FE0">
              <w:rPr>
                <w:bCs/>
                <w:color w:val="000000" w:themeColor="text1"/>
                <w:sz w:val="21"/>
                <w:szCs w:val="21"/>
              </w:rPr>
              <w:t>40</w:t>
            </w:r>
          </w:p>
        </w:tc>
        <w:tc>
          <w:tcPr>
            <w:tcW w:w="1844" w:type="dxa"/>
            <w:vMerge/>
            <w:tcBorders>
              <w:top w:val="single" w:sz="4" w:space="0" w:color="auto"/>
              <w:left w:val="single" w:sz="4" w:space="0" w:color="auto"/>
              <w:bottom w:val="single" w:sz="4" w:space="0" w:color="auto"/>
              <w:right w:val="single" w:sz="4" w:space="0" w:color="auto"/>
            </w:tcBorders>
            <w:vAlign w:val="center"/>
          </w:tcPr>
          <w:p w14:paraId="4CA5DFB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1283977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洗手池墙面</w:t>
            </w:r>
          </w:p>
        </w:tc>
        <w:tc>
          <w:tcPr>
            <w:tcW w:w="1310" w:type="pct"/>
            <w:tcBorders>
              <w:top w:val="single" w:sz="4" w:space="0" w:color="auto"/>
              <w:left w:val="single" w:sz="4" w:space="0" w:color="auto"/>
              <w:bottom w:val="single" w:sz="4" w:space="0" w:color="auto"/>
              <w:right w:val="single" w:sz="4" w:space="0" w:color="auto"/>
            </w:tcBorders>
            <w:vAlign w:val="center"/>
          </w:tcPr>
          <w:p w14:paraId="5D55937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F23ECD2"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CF0F8D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386F2A7" w14:textId="77777777" w:rsidR="00A67F21" w:rsidRPr="00B12FE0" w:rsidRDefault="00000000">
            <w:pPr>
              <w:jc w:val="center"/>
              <w:rPr>
                <w:bCs/>
                <w:color w:val="000000" w:themeColor="text1"/>
                <w:sz w:val="21"/>
                <w:szCs w:val="21"/>
              </w:rPr>
            </w:pPr>
            <w:r w:rsidRPr="00B12FE0">
              <w:rPr>
                <w:bCs/>
                <w:color w:val="000000" w:themeColor="text1"/>
                <w:sz w:val="21"/>
                <w:szCs w:val="21"/>
              </w:rPr>
              <w:t>41</w:t>
            </w:r>
          </w:p>
        </w:tc>
        <w:tc>
          <w:tcPr>
            <w:tcW w:w="1844" w:type="dxa"/>
            <w:vMerge/>
            <w:tcBorders>
              <w:top w:val="single" w:sz="4" w:space="0" w:color="auto"/>
              <w:left w:val="single" w:sz="4" w:space="0" w:color="auto"/>
              <w:bottom w:val="single" w:sz="4" w:space="0" w:color="auto"/>
              <w:right w:val="single" w:sz="4" w:space="0" w:color="auto"/>
            </w:tcBorders>
            <w:vAlign w:val="center"/>
          </w:tcPr>
          <w:p w14:paraId="6B179A07"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37CE29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洗手间门表面</w:t>
            </w:r>
          </w:p>
        </w:tc>
        <w:tc>
          <w:tcPr>
            <w:tcW w:w="1310" w:type="pct"/>
            <w:tcBorders>
              <w:top w:val="single" w:sz="4" w:space="0" w:color="auto"/>
              <w:left w:val="single" w:sz="4" w:space="0" w:color="auto"/>
              <w:bottom w:val="single" w:sz="4" w:space="0" w:color="auto"/>
              <w:right w:val="single" w:sz="4" w:space="0" w:color="auto"/>
            </w:tcBorders>
            <w:vAlign w:val="center"/>
          </w:tcPr>
          <w:p w14:paraId="690CE7C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A9D4B7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0410AFC"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A4F1F18" w14:textId="77777777" w:rsidR="00A67F21" w:rsidRPr="00B12FE0" w:rsidRDefault="00000000">
            <w:pPr>
              <w:jc w:val="center"/>
              <w:rPr>
                <w:bCs/>
                <w:color w:val="000000" w:themeColor="text1"/>
                <w:sz w:val="21"/>
                <w:szCs w:val="21"/>
              </w:rPr>
            </w:pPr>
            <w:r w:rsidRPr="00B12FE0">
              <w:rPr>
                <w:bCs/>
                <w:color w:val="000000" w:themeColor="text1"/>
                <w:sz w:val="21"/>
                <w:szCs w:val="21"/>
              </w:rPr>
              <w:t>42</w:t>
            </w:r>
          </w:p>
        </w:tc>
        <w:tc>
          <w:tcPr>
            <w:tcW w:w="1844" w:type="dxa"/>
            <w:vMerge/>
            <w:tcBorders>
              <w:top w:val="single" w:sz="4" w:space="0" w:color="auto"/>
              <w:left w:val="single" w:sz="4" w:space="0" w:color="auto"/>
              <w:bottom w:val="single" w:sz="4" w:space="0" w:color="auto"/>
              <w:right w:val="single" w:sz="4" w:space="0" w:color="auto"/>
            </w:tcBorders>
            <w:vAlign w:val="center"/>
          </w:tcPr>
          <w:p w14:paraId="3868A260"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12A21B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0" w:type="pct"/>
            <w:tcBorders>
              <w:top w:val="single" w:sz="4" w:space="0" w:color="auto"/>
              <w:left w:val="single" w:sz="4" w:space="0" w:color="auto"/>
              <w:bottom w:val="single" w:sz="4" w:space="0" w:color="auto"/>
              <w:right w:val="single" w:sz="4" w:space="0" w:color="auto"/>
            </w:tcBorders>
            <w:vAlign w:val="center"/>
          </w:tcPr>
          <w:p w14:paraId="685CC924"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0.61</w:t>
            </w:r>
          </w:p>
        </w:tc>
      </w:tr>
      <w:tr w:rsidR="00A67F21" w:rsidRPr="00B12FE0" w14:paraId="58A469C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F65B2FC"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B902658" w14:textId="77777777" w:rsidR="00A67F21" w:rsidRPr="00B12FE0" w:rsidRDefault="00000000">
            <w:pPr>
              <w:jc w:val="center"/>
              <w:rPr>
                <w:bCs/>
                <w:color w:val="000000" w:themeColor="text1"/>
                <w:sz w:val="21"/>
                <w:szCs w:val="21"/>
              </w:rPr>
            </w:pPr>
            <w:r w:rsidRPr="00B12FE0">
              <w:rPr>
                <w:bCs/>
                <w:color w:val="000000" w:themeColor="text1"/>
                <w:sz w:val="21"/>
                <w:szCs w:val="21"/>
              </w:rPr>
              <w:t>43</w:t>
            </w:r>
          </w:p>
        </w:tc>
        <w:tc>
          <w:tcPr>
            <w:tcW w:w="1844" w:type="dxa"/>
            <w:vMerge/>
            <w:tcBorders>
              <w:top w:val="single" w:sz="4" w:space="0" w:color="auto"/>
              <w:left w:val="single" w:sz="4" w:space="0" w:color="auto"/>
              <w:bottom w:val="single" w:sz="4" w:space="0" w:color="auto"/>
              <w:right w:val="single" w:sz="4" w:space="0" w:color="auto"/>
            </w:tcBorders>
            <w:vAlign w:val="center"/>
          </w:tcPr>
          <w:p w14:paraId="741BCBAB"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96146D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洗手池表面</w:t>
            </w:r>
          </w:p>
        </w:tc>
        <w:tc>
          <w:tcPr>
            <w:tcW w:w="1310" w:type="pct"/>
            <w:tcBorders>
              <w:top w:val="single" w:sz="4" w:space="0" w:color="auto"/>
              <w:left w:val="single" w:sz="4" w:space="0" w:color="auto"/>
              <w:bottom w:val="single" w:sz="4" w:space="0" w:color="auto"/>
              <w:right w:val="single" w:sz="4" w:space="0" w:color="auto"/>
            </w:tcBorders>
            <w:vAlign w:val="center"/>
          </w:tcPr>
          <w:p w14:paraId="53E6CF1D"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0.16</w:t>
            </w:r>
          </w:p>
        </w:tc>
      </w:tr>
      <w:tr w:rsidR="00A67F21" w:rsidRPr="00B12FE0" w14:paraId="6EE737B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67B7DEB"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A9A6CCC" w14:textId="77777777" w:rsidR="00A67F21" w:rsidRPr="00B12FE0" w:rsidRDefault="00000000">
            <w:pPr>
              <w:jc w:val="center"/>
              <w:rPr>
                <w:bCs/>
                <w:color w:val="000000" w:themeColor="text1"/>
                <w:sz w:val="21"/>
                <w:szCs w:val="21"/>
              </w:rPr>
            </w:pPr>
            <w:r w:rsidRPr="00B12FE0">
              <w:rPr>
                <w:bCs/>
                <w:color w:val="000000" w:themeColor="text1"/>
                <w:sz w:val="21"/>
                <w:szCs w:val="21"/>
              </w:rPr>
              <w:t>44</w:t>
            </w:r>
          </w:p>
        </w:tc>
        <w:tc>
          <w:tcPr>
            <w:tcW w:w="1844" w:type="dxa"/>
            <w:vMerge/>
            <w:tcBorders>
              <w:top w:val="single" w:sz="4" w:space="0" w:color="auto"/>
              <w:left w:val="single" w:sz="4" w:space="0" w:color="auto"/>
              <w:bottom w:val="single" w:sz="4" w:space="0" w:color="auto"/>
              <w:right w:val="single" w:sz="4" w:space="0" w:color="auto"/>
            </w:tcBorders>
            <w:vAlign w:val="center"/>
          </w:tcPr>
          <w:p w14:paraId="514CB270"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66654D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1ED1BA5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FCA484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751F8BF"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EC07BF2" w14:textId="77777777" w:rsidR="00A67F21" w:rsidRPr="00B12FE0" w:rsidRDefault="00000000">
            <w:pPr>
              <w:jc w:val="center"/>
              <w:rPr>
                <w:bCs/>
                <w:color w:val="000000" w:themeColor="text1"/>
                <w:sz w:val="21"/>
                <w:szCs w:val="21"/>
              </w:rPr>
            </w:pPr>
            <w:r w:rsidRPr="00B12FE0">
              <w:rPr>
                <w:bCs/>
                <w:color w:val="000000" w:themeColor="text1"/>
                <w:sz w:val="21"/>
                <w:szCs w:val="21"/>
              </w:rPr>
              <w:t>45</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195FD47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3</w:t>
            </w:r>
          </w:p>
        </w:tc>
        <w:tc>
          <w:tcPr>
            <w:tcW w:w="1345" w:type="pct"/>
            <w:tcBorders>
              <w:top w:val="single" w:sz="4" w:space="0" w:color="auto"/>
              <w:left w:val="single" w:sz="4" w:space="0" w:color="auto"/>
              <w:bottom w:val="single" w:sz="4" w:space="0" w:color="auto"/>
              <w:right w:val="single" w:sz="4" w:space="0" w:color="auto"/>
            </w:tcBorders>
            <w:vAlign w:val="center"/>
          </w:tcPr>
          <w:p w14:paraId="0C66EC7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638A682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A64A44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E42C64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2BD2B0C" w14:textId="77777777" w:rsidR="00A67F21" w:rsidRPr="00B12FE0" w:rsidRDefault="00000000">
            <w:pPr>
              <w:jc w:val="center"/>
              <w:rPr>
                <w:bCs/>
                <w:color w:val="000000" w:themeColor="text1"/>
                <w:sz w:val="21"/>
                <w:szCs w:val="21"/>
              </w:rPr>
            </w:pPr>
            <w:r w:rsidRPr="00B12FE0">
              <w:rPr>
                <w:bCs/>
                <w:color w:val="000000" w:themeColor="text1"/>
                <w:sz w:val="21"/>
                <w:szCs w:val="21"/>
              </w:rPr>
              <w:t>46</w:t>
            </w:r>
          </w:p>
        </w:tc>
        <w:tc>
          <w:tcPr>
            <w:tcW w:w="1844" w:type="dxa"/>
            <w:vMerge/>
            <w:tcBorders>
              <w:top w:val="single" w:sz="4" w:space="0" w:color="auto"/>
              <w:left w:val="single" w:sz="4" w:space="0" w:color="auto"/>
              <w:bottom w:val="single" w:sz="4" w:space="0" w:color="auto"/>
              <w:right w:val="single" w:sz="4" w:space="0" w:color="auto"/>
            </w:tcBorders>
            <w:vAlign w:val="center"/>
          </w:tcPr>
          <w:p w14:paraId="2E292701"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7BCA1B5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1386EDF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FAAB989"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1FE24EF"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DDBBE10" w14:textId="77777777" w:rsidR="00A67F21" w:rsidRPr="00B12FE0" w:rsidRDefault="00000000">
            <w:pPr>
              <w:jc w:val="center"/>
              <w:rPr>
                <w:bCs/>
                <w:color w:val="000000" w:themeColor="text1"/>
                <w:sz w:val="21"/>
                <w:szCs w:val="21"/>
              </w:rPr>
            </w:pPr>
            <w:r w:rsidRPr="00B12FE0">
              <w:rPr>
                <w:bCs/>
                <w:color w:val="000000" w:themeColor="text1"/>
                <w:sz w:val="21"/>
                <w:szCs w:val="21"/>
              </w:rPr>
              <w:t>47</w:t>
            </w:r>
          </w:p>
        </w:tc>
        <w:tc>
          <w:tcPr>
            <w:tcW w:w="1844" w:type="dxa"/>
            <w:vMerge/>
            <w:tcBorders>
              <w:top w:val="single" w:sz="4" w:space="0" w:color="auto"/>
              <w:left w:val="single" w:sz="4" w:space="0" w:color="auto"/>
              <w:bottom w:val="single" w:sz="4" w:space="0" w:color="auto"/>
              <w:right w:val="single" w:sz="4" w:space="0" w:color="auto"/>
            </w:tcBorders>
            <w:vAlign w:val="center"/>
          </w:tcPr>
          <w:p w14:paraId="02175278"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3C3733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0C28434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3985B4E"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39CB16F"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D4FC21F" w14:textId="77777777" w:rsidR="00A67F21" w:rsidRPr="00B12FE0" w:rsidRDefault="00000000">
            <w:pPr>
              <w:jc w:val="center"/>
              <w:rPr>
                <w:bCs/>
                <w:color w:val="000000" w:themeColor="text1"/>
                <w:sz w:val="21"/>
                <w:szCs w:val="21"/>
              </w:rPr>
            </w:pPr>
            <w:r w:rsidRPr="00B12FE0">
              <w:rPr>
                <w:bCs/>
                <w:color w:val="000000" w:themeColor="text1"/>
                <w:sz w:val="21"/>
                <w:szCs w:val="21"/>
              </w:rPr>
              <w:t>48</w:t>
            </w:r>
          </w:p>
        </w:tc>
        <w:tc>
          <w:tcPr>
            <w:tcW w:w="1844" w:type="dxa"/>
            <w:vMerge/>
            <w:tcBorders>
              <w:top w:val="single" w:sz="4" w:space="0" w:color="auto"/>
              <w:left w:val="single" w:sz="4" w:space="0" w:color="auto"/>
              <w:bottom w:val="single" w:sz="4" w:space="0" w:color="auto"/>
              <w:right w:val="single" w:sz="4" w:space="0" w:color="auto"/>
            </w:tcBorders>
            <w:vAlign w:val="center"/>
          </w:tcPr>
          <w:p w14:paraId="37D6EE16"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B789F2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6D7D865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8CB3F6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6F377C3"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5461EB3" w14:textId="77777777" w:rsidR="00A67F21" w:rsidRPr="00B12FE0" w:rsidRDefault="00000000">
            <w:pPr>
              <w:jc w:val="center"/>
              <w:rPr>
                <w:bCs/>
                <w:color w:val="000000" w:themeColor="text1"/>
                <w:sz w:val="21"/>
                <w:szCs w:val="21"/>
              </w:rPr>
            </w:pPr>
            <w:r w:rsidRPr="00B12FE0">
              <w:rPr>
                <w:bCs/>
                <w:color w:val="000000" w:themeColor="text1"/>
                <w:sz w:val="21"/>
                <w:szCs w:val="21"/>
              </w:rPr>
              <w:t>49</w:t>
            </w:r>
          </w:p>
        </w:tc>
        <w:tc>
          <w:tcPr>
            <w:tcW w:w="1844" w:type="dxa"/>
            <w:vMerge/>
            <w:tcBorders>
              <w:top w:val="single" w:sz="4" w:space="0" w:color="auto"/>
              <w:left w:val="single" w:sz="4" w:space="0" w:color="auto"/>
              <w:bottom w:val="single" w:sz="4" w:space="0" w:color="auto"/>
              <w:right w:val="single" w:sz="4" w:space="0" w:color="auto"/>
            </w:tcBorders>
            <w:vAlign w:val="center"/>
          </w:tcPr>
          <w:p w14:paraId="2E148EF9"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5BDA70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0" w:type="pct"/>
            <w:tcBorders>
              <w:top w:val="single" w:sz="4" w:space="0" w:color="auto"/>
              <w:left w:val="single" w:sz="4" w:space="0" w:color="auto"/>
              <w:bottom w:val="single" w:sz="4" w:space="0" w:color="auto"/>
              <w:right w:val="single" w:sz="4" w:space="0" w:color="auto"/>
            </w:tcBorders>
            <w:vAlign w:val="center"/>
          </w:tcPr>
          <w:p w14:paraId="37BE40D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0C2525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84BC8C1"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E615D65" w14:textId="77777777" w:rsidR="00A67F21" w:rsidRPr="00B12FE0" w:rsidRDefault="00000000">
            <w:pPr>
              <w:jc w:val="center"/>
              <w:rPr>
                <w:bCs/>
                <w:color w:val="000000" w:themeColor="text1"/>
                <w:sz w:val="21"/>
                <w:szCs w:val="21"/>
              </w:rPr>
            </w:pPr>
            <w:r w:rsidRPr="00B12FE0">
              <w:rPr>
                <w:bCs/>
                <w:color w:val="000000" w:themeColor="text1"/>
                <w:sz w:val="21"/>
                <w:szCs w:val="21"/>
              </w:rPr>
              <w:t>50</w:t>
            </w:r>
          </w:p>
        </w:tc>
        <w:tc>
          <w:tcPr>
            <w:tcW w:w="1844" w:type="dxa"/>
            <w:vMerge/>
            <w:tcBorders>
              <w:top w:val="single" w:sz="4" w:space="0" w:color="auto"/>
              <w:left w:val="single" w:sz="4" w:space="0" w:color="auto"/>
              <w:bottom w:val="single" w:sz="4" w:space="0" w:color="auto"/>
              <w:right w:val="single" w:sz="4" w:space="0" w:color="auto"/>
            </w:tcBorders>
            <w:vAlign w:val="center"/>
          </w:tcPr>
          <w:p w14:paraId="1848B7E5"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8C39B9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0" w:type="pct"/>
            <w:tcBorders>
              <w:top w:val="single" w:sz="4" w:space="0" w:color="auto"/>
              <w:left w:val="single" w:sz="4" w:space="0" w:color="auto"/>
              <w:bottom w:val="single" w:sz="4" w:space="0" w:color="auto"/>
              <w:right w:val="single" w:sz="4" w:space="0" w:color="auto"/>
            </w:tcBorders>
            <w:vAlign w:val="center"/>
          </w:tcPr>
          <w:p w14:paraId="4335C48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42018B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9DE2D93"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B8722F1" w14:textId="77777777" w:rsidR="00A67F21" w:rsidRPr="00B12FE0" w:rsidRDefault="00000000">
            <w:pPr>
              <w:jc w:val="center"/>
              <w:rPr>
                <w:bCs/>
                <w:color w:val="000000" w:themeColor="text1"/>
                <w:sz w:val="21"/>
                <w:szCs w:val="21"/>
              </w:rPr>
            </w:pPr>
            <w:r w:rsidRPr="00B12FE0">
              <w:rPr>
                <w:bCs/>
                <w:color w:val="000000" w:themeColor="text1"/>
                <w:sz w:val="21"/>
                <w:szCs w:val="21"/>
              </w:rPr>
              <w:t>51</w:t>
            </w:r>
          </w:p>
        </w:tc>
        <w:tc>
          <w:tcPr>
            <w:tcW w:w="1844" w:type="dxa"/>
            <w:vMerge/>
            <w:tcBorders>
              <w:top w:val="single" w:sz="4" w:space="0" w:color="auto"/>
              <w:left w:val="single" w:sz="4" w:space="0" w:color="auto"/>
              <w:bottom w:val="single" w:sz="4" w:space="0" w:color="auto"/>
              <w:right w:val="single" w:sz="4" w:space="0" w:color="auto"/>
            </w:tcBorders>
            <w:vAlign w:val="center"/>
          </w:tcPr>
          <w:p w14:paraId="2A5441E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7D7035C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洗手间地面</w:t>
            </w:r>
          </w:p>
        </w:tc>
        <w:tc>
          <w:tcPr>
            <w:tcW w:w="1310" w:type="pct"/>
            <w:tcBorders>
              <w:top w:val="single" w:sz="4" w:space="0" w:color="auto"/>
              <w:left w:val="single" w:sz="4" w:space="0" w:color="auto"/>
              <w:bottom w:val="single" w:sz="4" w:space="0" w:color="auto"/>
              <w:right w:val="single" w:sz="4" w:space="0" w:color="auto"/>
            </w:tcBorders>
            <w:vAlign w:val="center"/>
          </w:tcPr>
          <w:p w14:paraId="54CBA90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45CB8D2"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E6197B2"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10578BC" w14:textId="77777777" w:rsidR="00A67F21" w:rsidRPr="00B12FE0" w:rsidRDefault="00000000">
            <w:pPr>
              <w:jc w:val="center"/>
              <w:rPr>
                <w:bCs/>
                <w:color w:val="000000" w:themeColor="text1"/>
                <w:sz w:val="21"/>
                <w:szCs w:val="21"/>
              </w:rPr>
            </w:pPr>
            <w:r w:rsidRPr="00B12FE0">
              <w:rPr>
                <w:bCs/>
                <w:color w:val="000000" w:themeColor="text1"/>
                <w:sz w:val="21"/>
                <w:szCs w:val="21"/>
              </w:rPr>
              <w:t>52</w:t>
            </w:r>
          </w:p>
        </w:tc>
        <w:tc>
          <w:tcPr>
            <w:tcW w:w="1844" w:type="dxa"/>
            <w:vMerge/>
            <w:tcBorders>
              <w:top w:val="single" w:sz="4" w:space="0" w:color="auto"/>
              <w:left w:val="single" w:sz="4" w:space="0" w:color="auto"/>
              <w:bottom w:val="single" w:sz="4" w:space="0" w:color="auto"/>
              <w:right w:val="single" w:sz="4" w:space="0" w:color="auto"/>
            </w:tcBorders>
            <w:vAlign w:val="center"/>
          </w:tcPr>
          <w:p w14:paraId="49F57B85"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990722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洗手池墙面</w:t>
            </w:r>
          </w:p>
        </w:tc>
        <w:tc>
          <w:tcPr>
            <w:tcW w:w="1310" w:type="pct"/>
            <w:tcBorders>
              <w:top w:val="single" w:sz="4" w:space="0" w:color="auto"/>
              <w:left w:val="single" w:sz="4" w:space="0" w:color="auto"/>
              <w:bottom w:val="single" w:sz="4" w:space="0" w:color="auto"/>
              <w:right w:val="single" w:sz="4" w:space="0" w:color="auto"/>
            </w:tcBorders>
            <w:vAlign w:val="center"/>
          </w:tcPr>
          <w:p w14:paraId="65777F5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765A95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42B1B11"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4BA3FA7" w14:textId="77777777" w:rsidR="00A67F21" w:rsidRPr="00B12FE0" w:rsidRDefault="00000000">
            <w:pPr>
              <w:jc w:val="center"/>
              <w:rPr>
                <w:bCs/>
                <w:color w:val="000000" w:themeColor="text1"/>
                <w:sz w:val="21"/>
                <w:szCs w:val="21"/>
              </w:rPr>
            </w:pPr>
            <w:r w:rsidRPr="00B12FE0">
              <w:rPr>
                <w:bCs/>
                <w:color w:val="000000" w:themeColor="text1"/>
                <w:sz w:val="21"/>
                <w:szCs w:val="21"/>
              </w:rPr>
              <w:t>53</w:t>
            </w:r>
          </w:p>
        </w:tc>
        <w:tc>
          <w:tcPr>
            <w:tcW w:w="1844" w:type="dxa"/>
            <w:vMerge/>
            <w:tcBorders>
              <w:top w:val="single" w:sz="4" w:space="0" w:color="auto"/>
              <w:left w:val="single" w:sz="4" w:space="0" w:color="auto"/>
              <w:bottom w:val="single" w:sz="4" w:space="0" w:color="auto"/>
              <w:right w:val="single" w:sz="4" w:space="0" w:color="auto"/>
            </w:tcBorders>
            <w:vAlign w:val="center"/>
          </w:tcPr>
          <w:p w14:paraId="5828D9C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236DD7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洗手间门表面</w:t>
            </w:r>
          </w:p>
        </w:tc>
        <w:tc>
          <w:tcPr>
            <w:tcW w:w="1310" w:type="pct"/>
            <w:tcBorders>
              <w:top w:val="single" w:sz="4" w:space="0" w:color="auto"/>
              <w:left w:val="single" w:sz="4" w:space="0" w:color="auto"/>
              <w:bottom w:val="single" w:sz="4" w:space="0" w:color="auto"/>
              <w:right w:val="single" w:sz="4" w:space="0" w:color="auto"/>
            </w:tcBorders>
            <w:vAlign w:val="center"/>
          </w:tcPr>
          <w:p w14:paraId="7DDBE17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1384EA0"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21F1680"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DAEEB84" w14:textId="77777777" w:rsidR="00A67F21" w:rsidRPr="00B12FE0" w:rsidRDefault="00000000">
            <w:pPr>
              <w:jc w:val="center"/>
              <w:rPr>
                <w:bCs/>
                <w:color w:val="000000" w:themeColor="text1"/>
                <w:sz w:val="21"/>
                <w:szCs w:val="21"/>
              </w:rPr>
            </w:pPr>
            <w:r w:rsidRPr="00B12FE0">
              <w:rPr>
                <w:bCs/>
                <w:color w:val="000000" w:themeColor="text1"/>
                <w:sz w:val="21"/>
                <w:szCs w:val="21"/>
              </w:rPr>
              <w:t>54</w:t>
            </w:r>
          </w:p>
        </w:tc>
        <w:tc>
          <w:tcPr>
            <w:tcW w:w="1844" w:type="dxa"/>
            <w:vMerge/>
            <w:tcBorders>
              <w:top w:val="single" w:sz="4" w:space="0" w:color="auto"/>
              <w:left w:val="single" w:sz="4" w:space="0" w:color="auto"/>
              <w:bottom w:val="single" w:sz="4" w:space="0" w:color="auto"/>
              <w:right w:val="single" w:sz="4" w:space="0" w:color="auto"/>
            </w:tcBorders>
            <w:vAlign w:val="center"/>
          </w:tcPr>
          <w:p w14:paraId="4A8DF793"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35FAD5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0" w:type="pct"/>
            <w:tcBorders>
              <w:top w:val="single" w:sz="4" w:space="0" w:color="auto"/>
              <w:left w:val="single" w:sz="4" w:space="0" w:color="auto"/>
              <w:bottom w:val="single" w:sz="4" w:space="0" w:color="auto"/>
              <w:right w:val="single" w:sz="4" w:space="0" w:color="auto"/>
            </w:tcBorders>
            <w:vAlign w:val="center"/>
          </w:tcPr>
          <w:p w14:paraId="48892AB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0DDBB6A"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82D270A"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773F9F71" w14:textId="77777777" w:rsidR="00A67F21" w:rsidRPr="00B12FE0" w:rsidRDefault="00000000">
            <w:pPr>
              <w:jc w:val="center"/>
              <w:rPr>
                <w:bCs/>
                <w:color w:val="000000" w:themeColor="text1"/>
                <w:sz w:val="21"/>
                <w:szCs w:val="21"/>
              </w:rPr>
            </w:pPr>
            <w:r w:rsidRPr="00B12FE0">
              <w:rPr>
                <w:bCs/>
                <w:color w:val="000000" w:themeColor="text1"/>
                <w:sz w:val="21"/>
                <w:szCs w:val="21"/>
              </w:rPr>
              <w:t>55</w:t>
            </w:r>
          </w:p>
        </w:tc>
        <w:tc>
          <w:tcPr>
            <w:tcW w:w="1844" w:type="dxa"/>
            <w:vMerge/>
            <w:tcBorders>
              <w:top w:val="single" w:sz="4" w:space="0" w:color="auto"/>
              <w:left w:val="single" w:sz="4" w:space="0" w:color="auto"/>
              <w:bottom w:val="single" w:sz="4" w:space="0" w:color="auto"/>
              <w:right w:val="single" w:sz="4" w:space="0" w:color="auto"/>
            </w:tcBorders>
            <w:vAlign w:val="center"/>
          </w:tcPr>
          <w:p w14:paraId="5ED4B925"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1CFAD7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洗手池表面</w:t>
            </w:r>
          </w:p>
        </w:tc>
        <w:tc>
          <w:tcPr>
            <w:tcW w:w="1310" w:type="pct"/>
            <w:tcBorders>
              <w:top w:val="single" w:sz="4" w:space="0" w:color="auto"/>
              <w:left w:val="single" w:sz="4" w:space="0" w:color="auto"/>
              <w:bottom w:val="single" w:sz="4" w:space="0" w:color="auto"/>
              <w:right w:val="single" w:sz="4" w:space="0" w:color="auto"/>
            </w:tcBorders>
            <w:vAlign w:val="center"/>
          </w:tcPr>
          <w:p w14:paraId="373E6CB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4.1</w:t>
            </w:r>
          </w:p>
        </w:tc>
      </w:tr>
      <w:tr w:rsidR="00A67F21" w:rsidRPr="00B12FE0" w14:paraId="13B557F4"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56BB2EB"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FBB99F2" w14:textId="77777777" w:rsidR="00A67F21" w:rsidRPr="00B12FE0" w:rsidRDefault="00000000">
            <w:pPr>
              <w:jc w:val="center"/>
              <w:rPr>
                <w:bCs/>
                <w:color w:val="000000" w:themeColor="text1"/>
                <w:sz w:val="21"/>
                <w:szCs w:val="21"/>
              </w:rPr>
            </w:pPr>
            <w:r w:rsidRPr="00B12FE0">
              <w:rPr>
                <w:bCs/>
                <w:color w:val="000000" w:themeColor="text1"/>
                <w:sz w:val="21"/>
                <w:szCs w:val="21"/>
              </w:rPr>
              <w:t>56</w:t>
            </w:r>
          </w:p>
        </w:tc>
        <w:tc>
          <w:tcPr>
            <w:tcW w:w="1844" w:type="dxa"/>
            <w:vMerge/>
            <w:tcBorders>
              <w:top w:val="single" w:sz="4" w:space="0" w:color="auto"/>
              <w:left w:val="single" w:sz="4" w:space="0" w:color="auto"/>
              <w:bottom w:val="single" w:sz="4" w:space="0" w:color="auto"/>
              <w:right w:val="single" w:sz="4" w:space="0" w:color="auto"/>
            </w:tcBorders>
            <w:vAlign w:val="center"/>
          </w:tcPr>
          <w:p w14:paraId="2B0D91B6"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29BC0D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6C40F9A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0BF3A2B" w14:textId="77777777">
        <w:trPr>
          <w:trHeight w:val="23"/>
          <w:jc w:val="center"/>
        </w:trPr>
        <w:tc>
          <w:tcPr>
            <w:tcW w:w="639" w:type="pct"/>
            <w:vMerge w:val="restart"/>
            <w:tcBorders>
              <w:top w:val="single" w:sz="4" w:space="0" w:color="auto"/>
              <w:left w:val="single" w:sz="4" w:space="0" w:color="auto"/>
              <w:bottom w:val="single" w:sz="4" w:space="0" w:color="auto"/>
              <w:right w:val="single" w:sz="4" w:space="0" w:color="auto"/>
            </w:tcBorders>
            <w:vAlign w:val="center"/>
          </w:tcPr>
          <w:p w14:paraId="2EFBE39D" w14:textId="77777777" w:rsidR="00A67F21" w:rsidRPr="00B12FE0" w:rsidRDefault="00000000">
            <w:pPr>
              <w:jc w:val="center"/>
              <w:rPr>
                <w:bCs/>
                <w:color w:val="000000" w:themeColor="text1"/>
                <w:sz w:val="21"/>
                <w:szCs w:val="21"/>
              </w:rPr>
            </w:pPr>
            <w:r w:rsidRPr="00B12FE0">
              <w:rPr>
                <w:bCs/>
                <w:color w:val="000000" w:themeColor="text1"/>
                <w:sz w:val="21"/>
                <w:szCs w:val="21"/>
              </w:rPr>
              <w:t>PET</w:t>
            </w:r>
            <w:r w:rsidRPr="00B12FE0">
              <w:rPr>
                <w:rFonts w:hint="eastAsia"/>
                <w:bCs/>
                <w:color w:val="000000" w:themeColor="text1"/>
                <w:sz w:val="21"/>
                <w:szCs w:val="21"/>
              </w:rPr>
              <w:t>诊断区域</w:t>
            </w:r>
          </w:p>
        </w:tc>
        <w:tc>
          <w:tcPr>
            <w:tcW w:w="656" w:type="pct"/>
            <w:tcBorders>
              <w:top w:val="single" w:sz="4" w:space="0" w:color="auto"/>
              <w:left w:val="single" w:sz="4" w:space="0" w:color="auto"/>
              <w:bottom w:val="single" w:sz="4" w:space="0" w:color="auto"/>
              <w:right w:val="single" w:sz="4" w:space="0" w:color="auto"/>
            </w:tcBorders>
            <w:vAlign w:val="center"/>
          </w:tcPr>
          <w:p w14:paraId="1057CBD0" w14:textId="77777777" w:rsidR="00A67F21" w:rsidRPr="00B12FE0" w:rsidRDefault="00000000">
            <w:pPr>
              <w:jc w:val="center"/>
              <w:rPr>
                <w:bCs/>
                <w:color w:val="000000" w:themeColor="text1"/>
                <w:sz w:val="21"/>
                <w:szCs w:val="21"/>
              </w:rPr>
            </w:pPr>
            <w:r w:rsidRPr="00B12FE0">
              <w:rPr>
                <w:bCs/>
                <w:color w:val="000000" w:themeColor="text1"/>
                <w:sz w:val="21"/>
                <w:szCs w:val="21"/>
              </w:rPr>
              <w:t>57</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1332B2D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4</w:t>
            </w:r>
          </w:p>
        </w:tc>
        <w:tc>
          <w:tcPr>
            <w:tcW w:w="1345" w:type="pct"/>
            <w:tcBorders>
              <w:top w:val="single" w:sz="4" w:space="0" w:color="auto"/>
              <w:left w:val="single" w:sz="4" w:space="0" w:color="auto"/>
              <w:bottom w:val="single" w:sz="4" w:space="0" w:color="auto"/>
              <w:right w:val="single" w:sz="4" w:space="0" w:color="auto"/>
            </w:tcBorders>
            <w:vAlign w:val="center"/>
          </w:tcPr>
          <w:p w14:paraId="1B04D35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232D025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8497BBA"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3273B72"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3204440" w14:textId="77777777" w:rsidR="00A67F21" w:rsidRPr="00B12FE0" w:rsidRDefault="00000000">
            <w:pPr>
              <w:jc w:val="center"/>
              <w:rPr>
                <w:bCs/>
                <w:color w:val="000000" w:themeColor="text1"/>
                <w:sz w:val="21"/>
                <w:szCs w:val="21"/>
              </w:rPr>
            </w:pPr>
            <w:r w:rsidRPr="00B12FE0">
              <w:rPr>
                <w:bCs/>
                <w:color w:val="000000" w:themeColor="text1"/>
                <w:sz w:val="21"/>
                <w:szCs w:val="21"/>
              </w:rPr>
              <w:t>58</w:t>
            </w:r>
          </w:p>
        </w:tc>
        <w:tc>
          <w:tcPr>
            <w:tcW w:w="1844" w:type="dxa"/>
            <w:vMerge/>
            <w:tcBorders>
              <w:top w:val="single" w:sz="4" w:space="0" w:color="auto"/>
              <w:left w:val="single" w:sz="4" w:space="0" w:color="auto"/>
              <w:bottom w:val="single" w:sz="4" w:space="0" w:color="auto"/>
              <w:right w:val="single" w:sz="4" w:space="0" w:color="auto"/>
            </w:tcBorders>
            <w:vAlign w:val="center"/>
          </w:tcPr>
          <w:p w14:paraId="67E74229"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DE202D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5294248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960015F"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61C42A5"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5359700" w14:textId="77777777" w:rsidR="00A67F21" w:rsidRPr="00B12FE0" w:rsidRDefault="00000000">
            <w:pPr>
              <w:jc w:val="center"/>
              <w:rPr>
                <w:bCs/>
                <w:color w:val="000000" w:themeColor="text1"/>
                <w:sz w:val="21"/>
                <w:szCs w:val="21"/>
              </w:rPr>
            </w:pPr>
            <w:r w:rsidRPr="00B12FE0">
              <w:rPr>
                <w:bCs/>
                <w:color w:val="000000" w:themeColor="text1"/>
                <w:sz w:val="21"/>
                <w:szCs w:val="21"/>
              </w:rPr>
              <w:t>59</w:t>
            </w:r>
          </w:p>
        </w:tc>
        <w:tc>
          <w:tcPr>
            <w:tcW w:w="1844" w:type="dxa"/>
            <w:vMerge/>
            <w:tcBorders>
              <w:top w:val="single" w:sz="4" w:space="0" w:color="auto"/>
              <w:left w:val="single" w:sz="4" w:space="0" w:color="auto"/>
              <w:bottom w:val="single" w:sz="4" w:space="0" w:color="auto"/>
              <w:right w:val="single" w:sz="4" w:space="0" w:color="auto"/>
            </w:tcBorders>
            <w:vAlign w:val="center"/>
          </w:tcPr>
          <w:p w14:paraId="43EE936C"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29A677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687FC97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FE1778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3213CA7"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D20B3C6" w14:textId="77777777" w:rsidR="00A67F21" w:rsidRPr="00B12FE0" w:rsidRDefault="00000000">
            <w:pPr>
              <w:jc w:val="center"/>
              <w:rPr>
                <w:bCs/>
                <w:color w:val="000000" w:themeColor="text1"/>
                <w:sz w:val="21"/>
                <w:szCs w:val="21"/>
              </w:rPr>
            </w:pPr>
            <w:r w:rsidRPr="00B12FE0">
              <w:rPr>
                <w:bCs/>
                <w:color w:val="000000" w:themeColor="text1"/>
                <w:sz w:val="21"/>
                <w:szCs w:val="21"/>
              </w:rPr>
              <w:t>60</w:t>
            </w:r>
          </w:p>
        </w:tc>
        <w:tc>
          <w:tcPr>
            <w:tcW w:w="1844" w:type="dxa"/>
            <w:vMerge/>
            <w:tcBorders>
              <w:top w:val="single" w:sz="4" w:space="0" w:color="auto"/>
              <w:left w:val="single" w:sz="4" w:space="0" w:color="auto"/>
              <w:bottom w:val="single" w:sz="4" w:space="0" w:color="auto"/>
              <w:right w:val="single" w:sz="4" w:space="0" w:color="auto"/>
            </w:tcBorders>
            <w:vAlign w:val="center"/>
          </w:tcPr>
          <w:p w14:paraId="1A9D9C5B"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B84186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05A96DA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0CB118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7B2CB7D"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135274B" w14:textId="77777777" w:rsidR="00A67F21" w:rsidRPr="00B12FE0" w:rsidRDefault="00000000">
            <w:pPr>
              <w:jc w:val="center"/>
              <w:rPr>
                <w:bCs/>
                <w:color w:val="000000" w:themeColor="text1"/>
                <w:sz w:val="21"/>
                <w:szCs w:val="21"/>
              </w:rPr>
            </w:pPr>
            <w:r w:rsidRPr="00B12FE0">
              <w:rPr>
                <w:bCs/>
                <w:color w:val="000000" w:themeColor="text1"/>
                <w:sz w:val="21"/>
                <w:szCs w:val="21"/>
              </w:rPr>
              <w:t>61</w:t>
            </w:r>
          </w:p>
        </w:tc>
        <w:tc>
          <w:tcPr>
            <w:tcW w:w="1844" w:type="dxa"/>
            <w:vMerge/>
            <w:tcBorders>
              <w:top w:val="single" w:sz="4" w:space="0" w:color="auto"/>
              <w:left w:val="single" w:sz="4" w:space="0" w:color="auto"/>
              <w:bottom w:val="single" w:sz="4" w:space="0" w:color="auto"/>
              <w:right w:val="single" w:sz="4" w:space="0" w:color="auto"/>
            </w:tcBorders>
            <w:vAlign w:val="center"/>
          </w:tcPr>
          <w:p w14:paraId="2F313A85"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E9EC4B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0" w:type="pct"/>
            <w:tcBorders>
              <w:top w:val="single" w:sz="4" w:space="0" w:color="auto"/>
              <w:left w:val="single" w:sz="4" w:space="0" w:color="auto"/>
              <w:bottom w:val="single" w:sz="4" w:space="0" w:color="auto"/>
              <w:right w:val="single" w:sz="4" w:space="0" w:color="auto"/>
            </w:tcBorders>
            <w:vAlign w:val="center"/>
          </w:tcPr>
          <w:p w14:paraId="7BEDE73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F2A17A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96D2477"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B1CC5C5" w14:textId="77777777" w:rsidR="00A67F21" w:rsidRPr="00B12FE0" w:rsidRDefault="00000000">
            <w:pPr>
              <w:jc w:val="center"/>
              <w:rPr>
                <w:bCs/>
                <w:color w:val="000000" w:themeColor="text1"/>
                <w:sz w:val="21"/>
                <w:szCs w:val="21"/>
              </w:rPr>
            </w:pPr>
            <w:r w:rsidRPr="00B12FE0">
              <w:rPr>
                <w:bCs/>
                <w:color w:val="000000" w:themeColor="text1"/>
                <w:sz w:val="21"/>
                <w:szCs w:val="21"/>
              </w:rPr>
              <w:t>62</w:t>
            </w:r>
          </w:p>
        </w:tc>
        <w:tc>
          <w:tcPr>
            <w:tcW w:w="1844" w:type="dxa"/>
            <w:vMerge/>
            <w:tcBorders>
              <w:top w:val="single" w:sz="4" w:space="0" w:color="auto"/>
              <w:left w:val="single" w:sz="4" w:space="0" w:color="auto"/>
              <w:bottom w:val="single" w:sz="4" w:space="0" w:color="auto"/>
              <w:right w:val="single" w:sz="4" w:space="0" w:color="auto"/>
            </w:tcBorders>
            <w:vAlign w:val="center"/>
          </w:tcPr>
          <w:p w14:paraId="09DBD68F"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1C2E41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0" w:type="pct"/>
            <w:tcBorders>
              <w:top w:val="single" w:sz="4" w:space="0" w:color="auto"/>
              <w:left w:val="single" w:sz="4" w:space="0" w:color="auto"/>
              <w:bottom w:val="single" w:sz="4" w:space="0" w:color="auto"/>
              <w:right w:val="single" w:sz="4" w:space="0" w:color="auto"/>
            </w:tcBorders>
            <w:vAlign w:val="center"/>
          </w:tcPr>
          <w:p w14:paraId="3CB4624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9C3962E"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CDB2D4D"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F65BAB7" w14:textId="77777777" w:rsidR="00A67F21" w:rsidRPr="00B12FE0" w:rsidRDefault="00000000">
            <w:pPr>
              <w:jc w:val="center"/>
              <w:rPr>
                <w:bCs/>
                <w:color w:val="000000" w:themeColor="text1"/>
                <w:sz w:val="21"/>
                <w:szCs w:val="21"/>
              </w:rPr>
            </w:pPr>
            <w:r w:rsidRPr="00B12FE0">
              <w:rPr>
                <w:bCs/>
                <w:color w:val="000000" w:themeColor="text1"/>
                <w:sz w:val="21"/>
                <w:szCs w:val="21"/>
              </w:rPr>
              <w:t>63</w:t>
            </w:r>
          </w:p>
        </w:tc>
        <w:tc>
          <w:tcPr>
            <w:tcW w:w="1844" w:type="dxa"/>
            <w:vMerge/>
            <w:tcBorders>
              <w:top w:val="single" w:sz="4" w:space="0" w:color="auto"/>
              <w:left w:val="single" w:sz="4" w:space="0" w:color="auto"/>
              <w:bottom w:val="single" w:sz="4" w:space="0" w:color="auto"/>
              <w:right w:val="single" w:sz="4" w:space="0" w:color="auto"/>
            </w:tcBorders>
            <w:vAlign w:val="center"/>
          </w:tcPr>
          <w:p w14:paraId="3CB8CCDB"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1897C74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洗手间地面</w:t>
            </w:r>
          </w:p>
        </w:tc>
        <w:tc>
          <w:tcPr>
            <w:tcW w:w="1310" w:type="pct"/>
            <w:tcBorders>
              <w:top w:val="single" w:sz="4" w:space="0" w:color="auto"/>
              <w:left w:val="single" w:sz="4" w:space="0" w:color="auto"/>
              <w:bottom w:val="single" w:sz="4" w:space="0" w:color="auto"/>
              <w:right w:val="single" w:sz="4" w:space="0" w:color="auto"/>
            </w:tcBorders>
            <w:vAlign w:val="center"/>
          </w:tcPr>
          <w:p w14:paraId="11C3A5F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4C5C02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F65302F"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7F6743B" w14:textId="77777777" w:rsidR="00A67F21" w:rsidRPr="00B12FE0" w:rsidRDefault="00000000">
            <w:pPr>
              <w:jc w:val="center"/>
              <w:rPr>
                <w:bCs/>
                <w:color w:val="000000" w:themeColor="text1"/>
                <w:sz w:val="21"/>
                <w:szCs w:val="21"/>
              </w:rPr>
            </w:pPr>
            <w:r w:rsidRPr="00B12FE0">
              <w:rPr>
                <w:bCs/>
                <w:color w:val="000000" w:themeColor="text1"/>
                <w:sz w:val="21"/>
                <w:szCs w:val="21"/>
              </w:rPr>
              <w:t>64</w:t>
            </w:r>
          </w:p>
        </w:tc>
        <w:tc>
          <w:tcPr>
            <w:tcW w:w="1844" w:type="dxa"/>
            <w:vMerge/>
            <w:tcBorders>
              <w:top w:val="single" w:sz="4" w:space="0" w:color="auto"/>
              <w:left w:val="single" w:sz="4" w:space="0" w:color="auto"/>
              <w:bottom w:val="single" w:sz="4" w:space="0" w:color="auto"/>
              <w:right w:val="single" w:sz="4" w:space="0" w:color="auto"/>
            </w:tcBorders>
            <w:vAlign w:val="center"/>
          </w:tcPr>
          <w:p w14:paraId="74D5F0B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E7FC0C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洗手池墙面</w:t>
            </w:r>
          </w:p>
        </w:tc>
        <w:tc>
          <w:tcPr>
            <w:tcW w:w="1310" w:type="pct"/>
            <w:tcBorders>
              <w:top w:val="single" w:sz="4" w:space="0" w:color="auto"/>
              <w:left w:val="single" w:sz="4" w:space="0" w:color="auto"/>
              <w:bottom w:val="single" w:sz="4" w:space="0" w:color="auto"/>
              <w:right w:val="single" w:sz="4" w:space="0" w:color="auto"/>
            </w:tcBorders>
            <w:vAlign w:val="center"/>
          </w:tcPr>
          <w:p w14:paraId="161312D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08A353A"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16A7FE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DB976A4" w14:textId="77777777" w:rsidR="00A67F21" w:rsidRPr="00B12FE0" w:rsidRDefault="00000000">
            <w:pPr>
              <w:jc w:val="center"/>
              <w:rPr>
                <w:bCs/>
                <w:color w:val="000000" w:themeColor="text1"/>
                <w:sz w:val="21"/>
                <w:szCs w:val="21"/>
              </w:rPr>
            </w:pPr>
            <w:r w:rsidRPr="00B12FE0">
              <w:rPr>
                <w:bCs/>
                <w:color w:val="000000" w:themeColor="text1"/>
                <w:sz w:val="21"/>
                <w:szCs w:val="21"/>
              </w:rPr>
              <w:t>65</w:t>
            </w:r>
          </w:p>
        </w:tc>
        <w:tc>
          <w:tcPr>
            <w:tcW w:w="1844" w:type="dxa"/>
            <w:vMerge/>
            <w:tcBorders>
              <w:top w:val="single" w:sz="4" w:space="0" w:color="auto"/>
              <w:left w:val="single" w:sz="4" w:space="0" w:color="auto"/>
              <w:bottom w:val="single" w:sz="4" w:space="0" w:color="auto"/>
              <w:right w:val="single" w:sz="4" w:space="0" w:color="auto"/>
            </w:tcBorders>
            <w:vAlign w:val="center"/>
          </w:tcPr>
          <w:p w14:paraId="5F09547B"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3FAE9E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洗手间门表面</w:t>
            </w:r>
          </w:p>
        </w:tc>
        <w:tc>
          <w:tcPr>
            <w:tcW w:w="1310" w:type="pct"/>
            <w:tcBorders>
              <w:top w:val="single" w:sz="4" w:space="0" w:color="auto"/>
              <w:left w:val="single" w:sz="4" w:space="0" w:color="auto"/>
              <w:bottom w:val="single" w:sz="4" w:space="0" w:color="auto"/>
              <w:right w:val="single" w:sz="4" w:space="0" w:color="auto"/>
            </w:tcBorders>
            <w:vAlign w:val="center"/>
          </w:tcPr>
          <w:p w14:paraId="4BEBCFA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E2C557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128B9B4"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268FABE" w14:textId="77777777" w:rsidR="00A67F21" w:rsidRPr="00B12FE0" w:rsidRDefault="00000000">
            <w:pPr>
              <w:jc w:val="center"/>
              <w:rPr>
                <w:bCs/>
                <w:color w:val="000000" w:themeColor="text1"/>
                <w:sz w:val="21"/>
                <w:szCs w:val="21"/>
              </w:rPr>
            </w:pPr>
            <w:r w:rsidRPr="00B12FE0">
              <w:rPr>
                <w:bCs/>
                <w:color w:val="000000" w:themeColor="text1"/>
                <w:sz w:val="21"/>
                <w:szCs w:val="21"/>
              </w:rPr>
              <w:t>66</w:t>
            </w:r>
          </w:p>
        </w:tc>
        <w:tc>
          <w:tcPr>
            <w:tcW w:w="1844" w:type="dxa"/>
            <w:vMerge/>
            <w:tcBorders>
              <w:top w:val="single" w:sz="4" w:space="0" w:color="auto"/>
              <w:left w:val="single" w:sz="4" w:space="0" w:color="auto"/>
              <w:bottom w:val="single" w:sz="4" w:space="0" w:color="auto"/>
              <w:right w:val="single" w:sz="4" w:space="0" w:color="auto"/>
            </w:tcBorders>
            <w:vAlign w:val="center"/>
          </w:tcPr>
          <w:p w14:paraId="20682863"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6E21DE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0" w:type="pct"/>
            <w:tcBorders>
              <w:top w:val="single" w:sz="4" w:space="0" w:color="auto"/>
              <w:left w:val="single" w:sz="4" w:space="0" w:color="auto"/>
              <w:bottom w:val="single" w:sz="4" w:space="0" w:color="auto"/>
              <w:right w:val="single" w:sz="4" w:space="0" w:color="auto"/>
            </w:tcBorders>
            <w:vAlign w:val="center"/>
          </w:tcPr>
          <w:p w14:paraId="3BA1184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0.31</w:t>
            </w:r>
          </w:p>
        </w:tc>
      </w:tr>
      <w:tr w:rsidR="00A67F21" w:rsidRPr="00B12FE0" w14:paraId="5FC16722"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5D6DC77"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ED4AA34" w14:textId="77777777" w:rsidR="00A67F21" w:rsidRPr="00B12FE0" w:rsidRDefault="00000000">
            <w:pPr>
              <w:jc w:val="center"/>
              <w:rPr>
                <w:bCs/>
                <w:color w:val="000000" w:themeColor="text1"/>
                <w:sz w:val="21"/>
                <w:szCs w:val="21"/>
              </w:rPr>
            </w:pPr>
            <w:r w:rsidRPr="00B12FE0">
              <w:rPr>
                <w:bCs/>
                <w:color w:val="000000" w:themeColor="text1"/>
                <w:sz w:val="21"/>
                <w:szCs w:val="21"/>
              </w:rPr>
              <w:t>67</w:t>
            </w:r>
          </w:p>
        </w:tc>
        <w:tc>
          <w:tcPr>
            <w:tcW w:w="1844" w:type="dxa"/>
            <w:vMerge/>
            <w:tcBorders>
              <w:top w:val="single" w:sz="4" w:space="0" w:color="auto"/>
              <w:left w:val="single" w:sz="4" w:space="0" w:color="auto"/>
              <w:bottom w:val="single" w:sz="4" w:space="0" w:color="auto"/>
              <w:right w:val="single" w:sz="4" w:space="0" w:color="auto"/>
            </w:tcBorders>
            <w:vAlign w:val="center"/>
          </w:tcPr>
          <w:p w14:paraId="4F927929"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13F05C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洗手池表面</w:t>
            </w:r>
          </w:p>
        </w:tc>
        <w:tc>
          <w:tcPr>
            <w:tcW w:w="1310" w:type="pct"/>
            <w:tcBorders>
              <w:top w:val="single" w:sz="4" w:space="0" w:color="auto"/>
              <w:left w:val="single" w:sz="4" w:space="0" w:color="auto"/>
              <w:bottom w:val="single" w:sz="4" w:space="0" w:color="auto"/>
              <w:right w:val="single" w:sz="4" w:space="0" w:color="auto"/>
            </w:tcBorders>
            <w:vAlign w:val="center"/>
          </w:tcPr>
          <w:p w14:paraId="29CE05CE"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0.18</w:t>
            </w:r>
          </w:p>
        </w:tc>
      </w:tr>
      <w:tr w:rsidR="00A67F21" w:rsidRPr="00B12FE0" w14:paraId="725F6CD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99E5F24"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BB4AF1C" w14:textId="77777777" w:rsidR="00A67F21" w:rsidRPr="00B12FE0" w:rsidRDefault="00000000">
            <w:pPr>
              <w:jc w:val="center"/>
              <w:rPr>
                <w:bCs/>
                <w:color w:val="000000" w:themeColor="text1"/>
                <w:sz w:val="21"/>
                <w:szCs w:val="21"/>
              </w:rPr>
            </w:pPr>
            <w:r w:rsidRPr="00B12FE0">
              <w:rPr>
                <w:bCs/>
                <w:color w:val="000000" w:themeColor="text1"/>
                <w:sz w:val="21"/>
                <w:szCs w:val="21"/>
              </w:rPr>
              <w:t>68</w:t>
            </w:r>
          </w:p>
        </w:tc>
        <w:tc>
          <w:tcPr>
            <w:tcW w:w="1844" w:type="dxa"/>
            <w:vMerge/>
            <w:tcBorders>
              <w:top w:val="single" w:sz="4" w:space="0" w:color="auto"/>
              <w:left w:val="single" w:sz="4" w:space="0" w:color="auto"/>
              <w:bottom w:val="single" w:sz="4" w:space="0" w:color="auto"/>
              <w:right w:val="single" w:sz="4" w:space="0" w:color="auto"/>
            </w:tcBorders>
            <w:vAlign w:val="center"/>
          </w:tcPr>
          <w:p w14:paraId="0DAEA68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0367AE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4515DA2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0A7682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1DED4A3"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C903FF6" w14:textId="77777777" w:rsidR="00A67F21" w:rsidRPr="00B12FE0" w:rsidRDefault="00000000">
            <w:pPr>
              <w:jc w:val="center"/>
              <w:rPr>
                <w:bCs/>
                <w:color w:val="000000" w:themeColor="text1"/>
                <w:sz w:val="21"/>
                <w:szCs w:val="21"/>
              </w:rPr>
            </w:pPr>
            <w:r w:rsidRPr="00B12FE0">
              <w:rPr>
                <w:bCs/>
                <w:color w:val="000000" w:themeColor="text1"/>
                <w:sz w:val="21"/>
                <w:szCs w:val="21"/>
              </w:rPr>
              <w:t>69</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74F2BCE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5</w:t>
            </w:r>
          </w:p>
        </w:tc>
        <w:tc>
          <w:tcPr>
            <w:tcW w:w="1345" w:type="pct"/>
            <w:tcBorders>
              <w:top w:val="single" w:sz="4" w:space="0" w:color="auto"/>
              <w:left w:val="single" w:sz="4" w:space="0" w:color="auto"/>
              <w:bottom w:val="single" w:sz="4" w:space="0" w:color="auto"/>
              <w:right w:val="single" w:sz="4" w:space="0" w:color="auto"/>
            </w:tcBorders>
            <w:vAlign w:val="center"/>
          </w:tcPr>
          <w:p w14:paraId="1F45993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4C1304A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EB16F78"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154151D"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1BAA4B2" w14:textId="77777777" w:rsidR="00A67F21" w:rsidRPr="00B12FE0" w:rsidRDefault="00000000">
            <w:pPr>
              <w:jc w:val="center"/>
              <w:rPr>
                <w:bCs/>
                <w:color w:val="000000" w:themeColor="text1"/>
                <w:sz w:val="21"/>
                <w:szCs w:val="21"/>
              </w:rPr>
            </w:pPr>
            <w:r w:rsidRPr="00B12FE0">
              <w:rPr>
                <w:bCs/>
                <w:color w:val="000000" w:themeColor="text1"/>
                <w:sz w:val="21"/>
                <w:szCs w:val="21"/>
              </w:rPr>
              <w:t>70</w:t>
            </w:r>
          </w:p>
        </w:tc>
        <w:tc>
          <w:tcPr>
            <w:tcW w:w="1844" w:type="dxa"/>
            <w:vMerge/>
            <w:tcBorders>
              <w:top w:val="single" w:sz="4" w:space="0" w:color="auto"/>
              <w:left w:val="single" w:sz="4" w:space="0" w:color="auto"/>
              <w:bottom w:val="single" w:sz="4" w:space="0" w:color="auto"/>
              <w:right w:val="single" w:sz="4" w:space="0" w:color="auto"/>
            </w:tcBorders>
            <w:vAlign w:val="center"/>
          </w:tcPr>
          <w:p w14:paraId="404D0C1E"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6D6BCD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57186A4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A1E75E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80E3458"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3FB076F" w14:textId="77777777" w:rsidR="00A67F21" w:rsidRPr="00B12FE0" w:rsidRDefault="00000000">
            <w:pPr>
              <w:jc w:val="center"/>
              <w:rPr>
                <w:bCs/>
                <w:color w:val="000000" w:themeColor="text1"/>
                <w:sz w:val="21"/>
                <w:szCs w:val="21"/>
              </w:rPr>
            </w:pPr>
            <w:r w:rsidRPr="00B12FE0">
              <w:rPr>
                <w:bCs/>
                <w:color w:val="000000" w:themeColor="text1"/>
                <w:sz w:val="21"/>
                <w:szCs w:val="21"/>
              </w:rPr>
              <w:t>71</w:t>
            </w:r>
          </w:p>
        </w:tc>
        <w:tc>
          <w:tcPr>
            <w:tcW w:w="1844" w:type="dxa"/>
            <w:vMerge/>
            <w:tcBorders>
              <w:top w:val="single" w:sz="4" w:space="0" w:color="auto"/>
              <w:left w:val="single" w:sz="4" w:space="0" w:color="auto"/>
              <w:bottom w:val="single" w:sz="4" w:space="0" w:color="auto"/>
              <w:right w:val="single" w:sz="4" w:space="0" w:color="auto"/>
            </w:tcBorders>
            <w:vAlign w:val="center"/>
          </w:tcPr>
          <w:p w14:paraId="405903A4"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1ED8E0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016DBDF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EEBF14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D9D83A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ED031C1" w14:textId="77777777" w:rsidR="00A67F21" w:rsidRPr="00B12FE0" w:rsidRDefault="00000000">
            <w:pPr>
              <w:jc w:val="center"/>
              <w:rPr>
                <w:bCs/>
                <w:color w:val="000000" w:themeColor="text1"/>
                <w:sz w:val="21"/>
                <w:szCs w:val="21"/>
              </w:rPr>
            </w:pPr>
            <w:r w:rsidRPr="00B12FE0">
              <w:rPr>
                <w:bCs/>
                <w:color w:val="000000" w:themeColor="text1"/>
                <w:sz w:val="21"/>
                <w:szCs w:val="21"/>
              </w:rPr>
              <w:t>72</w:t>
            </w:r>
          </w:p>
        </w:tc>
        <w:tc>
          <w:tcPr>
            <w:tcW w:w="1844" w:type="dxa"/>
            <w:vMerge/>
            <w:tcBorders>
              <w:top w:val="single" w:sz="4" w:space="0" w:color="auto"/>
              <w:left w:val="single" w:sz="4" w:space="0" w:color="auto"/>
              <w:bottom w:val="single" w:sz="4" w:space="0" w:color="auto"/>
              <w:right w:val="single" w:sz="4" w:space="0" w:color="auto"/>
            </w:tcBorders>
            <w:vAlign w:val="center"/>
          </w:tcPr>
          <w:p w14:paraId="6411604D"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9A843B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173B745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508047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C94BE7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15B8425" w14:textId="77777777" w:rsidR="00A67F21" w:rsidRPr="00B12FE0" w:rsidRDefault="00000000">
            <w:pPr>
              <w:jc w:val="center"/>
              <w:rPr>
                <w:bCs/>
                <w:color w:val="000000" w:themeColor="text1"/>
                <w:sz w:val="21"/>
                <w:szCs w:val="21"/>
              </w:rPr>
            </w:pPr>
            <w:r w:rsidRPr="00B12FE0">
              <w:rPr>
                <w:bCs/>
                <w:color w:val="000000" w:themeColor="text1"/>
                <w:sz w:val="21"/>
                <w:szCs w:val="21"/>
              </w:rPr>
              <w:t>73</w:t>
            </w:r>
          </w:p>
        </w:tc>
        <w:tc>
          <w:tcPr>
            <w:tcW w:w="1844" w:type="dxa"/>
            <w:vMerge/>
            <w:tcBorders>
              <w:top w:val="single" w:sz="4" w:space="0" w:color="auto"/>
              <w:left w:val="single" w:sz="4" w:space="0" w:color="auto"/>
              <w:bottom w:val="single" w:sz="4" w:space="0" w:color="auto"/>
              <w:right w:val="single" w:sz="4" w:space="0" w:color="auto"/>
            </w:tcBorders>
            <w:vAlign w:val="center"/>
          </w:tcPr>
          <w:p w14:paraId="7EE939A8"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455E76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0" w:type="pct"/>
            <w:tcBorders>
              <w:top w:val="single" w:sz="4" w:space="0" w:color="auto"/>
              <w:left w:val="single" w:sz="4" w:space="0" w:color="auto"/>
              <w:bottom w:val="single" w:sz="4" w:space="0" w:color="auto"/>
              <w:right w:val="single" w:sz="4" w:space="0" w:color="auto"/>
            </w:tcBorders>
            <w:vAlign w:val="center"/>
          </w:tcPr>
          <w:p w14:paraId="7E9B408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BA3220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F9F24EA"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757F1E2" w14:textId="77777777" w:rsidR="00A67F21" w:rsidRPr="00B12FE0" w:rsidRDefault="00000000">
            <w:pPr>
              <w:jc w:val="center"/>
              <w:rPr>
                <w:bCs/>
                <w:color w:val="000000" w:themeColor="text1"/>
                <w:sz w:val="21"/>
                <w:szCs w:val="21"/>
              </w:rPr>
            </w:pPr>
            <w:r w:rsidRPr="00B12FE0">
              <w:rPr>
                <w:bCs/>
                <w:color w:val="000000" w:themeColor="text1"/>
                <w:sz w:val="21"/>
                <w:szCs w:val="21"/>
              </w:rPr>
              <w:t>74</w:t>
            </w:r>
          </w:p>
        </w:tc>
        <w:tc>
          <w:tcPr>
            <w:tcW w:w="1844" w:type="dxa"/>
            <w:vMerge/>
            <w:tcBorders>
              <w:top w:val="single" w:sz="4" w:space="0" w:color="auto"/>
              <w:left w:val="single" w:sz="4" w:space="0" w:color="auto"/>
              <w:bottom w:val="single" w:sz="4" w:space="0" w:color="auto"/>
              <w:right w:val="single" w:sz="4" w:space="0" w:color="auto"/>
            </w:tcBorders>
            <w:vAlign w:val="center"/>
          </w:tcPr>
          <w:p w14:paraId="63E752E0"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C634B2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0" w:type="pct"/>
            <w:tcBorders>
              <w:top w:val="single" w:sz="4" w:space="0" w:color="auto"/>
              <w:left w:val="single" w:sz="4" w:space="0" w:color="auto"/>
              <w:bottom w:val="single" w:sz="4" w:space="0" w:color="auto"/>
              <w:right w:val="single" w:sz="4" w:space="0" w:color="auto"/>
            </w:tcBorders>
            <w:vAlign w:val="center"/>
          </w:tcPr>
          <w:p w14:paraId="48478AC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F687E4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C5D091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83260CA" w14:textId="77777777" w:rsidR="00A67F21" w:rsidRPr="00B12FE0" w:rsidRDefault="00000000">
            <w:pPr>
              <w:jc w:val="center"/>
              <w:rPr>
                <w:bCs/>
                <w:color w:val="000000" w:themeColor="text1"/>
                <w:sz w:val="21"/>
                <w:szCs w:val="21"/>
              </w:rPr>
            </w:pPr>
            <w:r w:rsidRPr="00B12FE0">
              <w:rPr>
                <w:bCs/>
                <w:color w:val="000000" w:themeColor="text1"/>
                <w:sz w:val="21"/>
                <w:szCs w:val="21"/>
              </w:rPr>
              <w:t>75</w:t>
            </w:r>
          </w:p>
        </w:tc>
        <w:tc>
          <w:tcPr>
            <w:tcW w:w="1844" w:type="dxa"/>
            <w:vMerge/>
            <w:tcBorders>
              <w:top w:val="single" w:sz="4" w:space="0" w:color="auto"/>
              <w:left w:val="single" w:sz="4" w:space="0" w:color="auto"/>
              <w:bottom w:val="single" w:sz="4" w:space="0" w:color="auto"/>
              <w:right w:val="single" w:sz="4" w:space="0" w:color="auto"/>
            </w:tcBorders>
            <w:vAlign w:val="center"/>
          </w:tcPr>
          <w:p w14:paraId="1FB8106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735941C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洗手间地面</w:t>
            </w:r>
          </w:p>
        </w:tc>
        <w:tc>
          <w:tcPr>
            <w:tcW w:w="1310" w:type="pct"/>
            <w:tcBorders>
              <w:top w:val="single" w:sz="4" w:space="0" w:color="auto"/>
              <w:left w:val="single" w:sz="4" w:space="0" w:color="auto"/>
              <w:bottom w:val="single" w:sz="4" w:space="0" w:color="auto"/>
              <w:right w:val="single" w:sz="4" w:space="0" w:color="auto"/>
            </w:tcBorders>
            <w:vAlign w:val="center"/>
          </w:tcPr>
          <w:p w14:paraId="423CBE9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77A34B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6C20279"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BE5C621" w14:textId="77777777" w:rsidR="00A67F21" w:rsidRPr="00B12FE0" w:rsidRDefault="00000000">
            <w:pPr>
              <w:jc w:val="center"/>
              <w:rPr>
                <w:bCs/>
                <w:color w:val="000000" w:themeColor="text1"/>
                <w:sz w:val="21"/>
                <w:szCs w:val="21"/>
              </w:rPr>
            </w:pPr>
            <w:r w:rsidRPr="00B12FE0">
              <w:rPr>
                <w:bCs/>
                <w:color w:val="000000" w:themeColor="text1"/>
                <w:sz w:val="21"/>
                <w:szCs w:val="21"/>
              </w:rPr>
              <w:t>76</w:t>
            </w:r>
          </w:p>
        </w:tc>
        <w:tc>
          <w:tcPr>
            <w:tcW w:w="1844" w:type="dxa"/>
            <w:vMerge/>
            <w:tcBorders>
              <w:top w:val="single" w:sz="4" w:space="0" w:color="auto"/>
              <w:left w:val="single" w:sz="4" w:space="0" w:color="auto"/>
              <w:bottom w:val="single" w:sz="4" w:space="0" w:color="auto"/>
              <w:right w:val="single" w:sz="4" w:space="0" w:color="auto"/>
            </w:tcBorders>
            <w:vAlign w:val="center"/>
          </w:tcPr>
          <w:p w14:paraId="68EEC896"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B92123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洗手池墙面</w:t>
            </w:r>
          </w:p>
        </w:tc>
        <w:tc>
          <w:tcPr>
            <w:tcW w:w="1310" w:type="pct"/>
            <w:tcBorders>
              <w:top w:val="single" w:sz="4" w:space="0" w:color="auto"/>
              <w:left w:val="single" w:sz="4" w:space="0" w:color="auto"/>
              <w:bottom w:val="single" w:sz="4" w:space="0" w:color="auto"/>
              <w:right w:val="single" w:sz="4" w:space="0" w:color="auto"/>
            </w:tcBorders>
            <w:vAlign w:val="center"/>
          </w:tcPr>
          <w:p w14:paraId="1DD174C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3919B0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6440C77"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B9F2AD7" w14:textId="77777777" w:rsidR="00A67F21" w:rsidRPr="00B12FE0" w:rsidRDefault="00000000">
            <w:pPr>
              <w:jc w:val="center"/>
              <w:rPr>
                <w:bCs/>
                <w:color w:val="000000" w:themeColor="text1"/>
                <w:sz w:val="21"/>
                <w:szCs w:val="21"/>
              </w:rPr>
            </w:pPr>
            <w:r w:rsidRPr="00B12FE0">
              <w:rPr>
                <w:bCs/>
                <w:color w:val="000000" w:themeColor="text1"/>
                <w:sz w:val="21"/>
                <w:szCs w:val="21"/>
              </w:rPr>
              <w:t>77</w:t>
            </w:r>
          </w:p>
        </w:tc>
        <w:tc>
          <w:tcPr>
            <w:tcW w:w="1844" w:type="dxa"/>
            <w:vMerge/>
            <w:tcBorders>
              <w:top w:val="single" w:sz="4" w:space="0" w:color="auto"/>
              <w:left w:val="single" w:sz="4" w:space="0" w:color="auto"/>
              <w:bottom w:val="single" w:sz="4" w:space="0" w:color="auto"/>
              <w:right w:val="single" w:sz="4" w:space="0" w:color="auto"/>
            </w:tcBorders>
            <w:vAlign w:val="center"/>
          </w:tcPr>
          <w:p w14:paraId="143B4C74"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1F0C98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洗手间门表面</w:t>
            </w:r>
          </w:p>
        </w:tc>
        <w:tc>
          <w:tcPr>
            <w:tcW w:w="1310" w:type="pct"/>
            <w:tcBorders>
              <w:top w:val="single" w:sz="4" w:space="0" w:color="auto"/>
              <w:left w:val="single" w:sz="4" w:space="0" w:color="auto"/>
              <w:bottom w:val="single" w:sz="4" w:space="0" w:color="auto"/>
              <w:right w:val="single" w:sz="4" w:space="0" w:color="auto"/>
            </w:tcBorders>
            <w:vAlign w:val="center"/>
          </w:tcPr>
          <w:p w14:paraId="4D6FC2D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9F8224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3F6145F"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2784166" w14:textId="77777777" w:rsidR="00A67F21" w:rsidRPr="00B12FE0" w:rsidRDefault="00000000">
            <w:pPr>
              <w:jc w:val="center"/>
              <w:rPr>
                <w:bCs/>
                <w:color w:val="000000" w:themeColor="text1"/>
                <w:sz w:val="21"/>
                <w:szCs w:val="21"/>
              </w:rPr>
            </w:pPr>
            <w:r w:rsidRPr="00B12FE0">
              <w:rPr>
                <w:bCs/>
                <w:color w:val="000000" w:themeColor="text1"/>
                <w:sz w:val="21"/>
                <w:szCs w:val="21"/>
              </w:rPr>
              <w:t>78</w:t>
            </w:r>
          </w:p>
        </w:tc>
        <w:tc>
          <w:tcPr>
            <w:tcW w:w="1844" w:type="dxa"/>
            <w:vMerge/>
            <w:tcBorders>
              <w:top w:val="single" w:sz="4" w:space="0" w:color="auto"/>
              <w:left w:val="single" w:sz="4" w:space="0" w:color="auto"/>
              <w:bottom w:val="single" w:sz="4" w:space="0" w:color="auto"/>
              <w:right w:val="single" w:sz="4" w:space="0" w:color="auto"/>
            </w:tcBorders>
            <w:vAlign w:val="center"/>
          </w:tcPr>
          <w:p w14:paraId="3A71CB6F"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A9631F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0" w:type="pct"/>
            <w:tcBorders>
              <w:top w:val="single" w:sz="4" w:space="0" w:color="auto"/>
              <w:left w:val="single" w:sz="4" w:space="0" w:color="auto"/>
              <w:bottom w:val="single" w:sz="4" w:space="0" w:color="auto"/>
              <w:right w:val="single" w:sz="4" w:space="0" w:color="auto"/>
            </w:tcBorders>
            <w:vAlign w:val="center"/>
          </w:tcPr>
          <w:p w14:paraId="2F06FBD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B6900B4"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F48AA7A"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1C1079A" w14:textId="77777777" w:rsidR="00A67F21" w:rsidRPr="00B12FE0" w:rsidRDefault="00000000">
            <w:pPr>
              <w:jc w:val="center"/>
              <w:rPr>
                <w:bCs/>
                <w:color w:val="000000" w:themeColor="text1"/>
                <w:sz w:val="21"/>
                <w:szCs w:val="21"/>
              </w:rPr>
            </w:pPr>
            <w:r w:rsidRPr="00B12FE0">
              <w:rPr>
                <w:bCs/>
                <w:color w:val="000000" w:themeColor="text1"/>
                <w:sz w:val="21"/>
                <w:szCs w:val="21"/>
              </w:rPr>
              <w:t>79</w:t>
            </w:r>
          </w:p>
        </w:tc>
        <w:tc>
          <w:tcPr>
            <w:tcW w:w="1844" w:type="dxa"/>
            <w:vMerge/>
            <w:tcBorders>
              <w:top w:val="single" w:sz="4" w:space="0" w:color="auto"/>
              <w:left w:val="single" w:sz="4" w:space="0" w:color="auto"/>
              <w:bottom w:val="single" w:sz="4" w:space="0" w:color="auto"/>
              <w:right w:val="single" w:sz="4" w:space="0" w:color="auto"/>
            </w:tcBorders>
            <w:vAlign w:val="center"/>
          </w:tcPr>
          <w:p w14:paraId="054D6D66"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66A9C5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洗手池表面</w:t>
            </w:r>
          </w:p>
        </w:tc>
        <w:tc>
          <w:tcPr>
            <w:tcW w:w="1310" w:type="pct"/>
            <w:tcBorders>
              <w:top w:val="single" w:sz="4" w:space="0" w:color="auto"/>
              <w:left w:val="single" w:sz="4" w:space="0" w:color="auto"/>
              <w:bottom w:val="single" w:sz="4" w:space="0" w:color="auto"/>
              <w:right w:val="single" w:sz="4" w:space="0" w:color="auto"/>
            </w:tcBorders>
            <w:vAlign w:val="center"/>
          </w:tcPr>
          <w:p w14:paraId="42FCE84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0.14</w:t>
            </w:r>
          </w:p>
        </w:tc>
      </w:tr>
      <w:tr w:rsidR="00A67F21" w:rsidRPr="00B12FE0" w14:paraId="092EF5C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64CE9B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FAEA962" w14:textId="77777777" w:rsidR="00A67F21" w:rsidRPr="00B12FE0" w:rsidRDefault="00000000">
            <w:pPr>
              <w:jc w:val="center"/>
              <w:rPr>
                <w:bCs/>
                <w:color w:val="000000" w:themeColor="text1"/>
                <w:sz w:val="21"/>
                <w:szCs w:val="21"/>
              </w:rPr>
            </w:pPr>
            <w:r w:rsidRPr="00B12FE0">
              <w:rPr>
                <w:bCs/>
                <w:color w:val="000000" w:themeColor="text1"/>
                <w:sz w:val="21"/>
                <w:szCs w:val="21"/>
              </w:rPr>
              <w:t>80</w:t>
            </w:r>
          </w:p>
        </w:tc>
        <w:tc>
          <w:tcPr>
            <w:tcW w:w="1844" w:type="dxa"/>
            <w:vMerge/>
            <w:tcBorders>
              <w:top w:val="single" w:sz="4" w:space="0" w:color="auto"/>
              <w:left w:val="single" w:sz="4" w:space="0" w:color="auto"/>
              <w:bottom w:val="single" w:sz="4" w:space="0" w:color="auto"/>
              <w:right w:val="single" w:sz="4" w:space="0" w:color="auto"/>
            </w:tcBorders>
            <w:vAlign w:val="center"/>
          </w:tcPr>
          <w:p w14:paraId="7AA4EC44"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408DA7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02B231D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6CFEA4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9987424"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8AC8288" w14:textId="77777777" w:rsidR="00A67F21" w:rsidRPr="00B12FE0" w:rsidRDefault="00000000">
            <w:pPr>
              <w:jc w:val="center"/>
              <w:rPr>
                <w:bCs/>
                <w:color w:val="000000" w:themeColor="text1"/>
                <w:sz w:val="21"/>
                <w:szCs w:val="21"/>
              </w:rPr>
            </w:pPr>
            <w:r w:rsidRPr="00B12FE0">
              <w:rPr>
                <w:bCs/>
                <w:color w:val="000000" w:themeColor="text1"/>
                <w:sz w:val="21"/>
                <w:szCs w:val="21"/>
              </w:rPr>
              <w:t>81</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2D18507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6</w:t>
            </w:r>
          </w:p>
        </w:tc>
        <w:tc>
          <w:tcPr>
            <w:tcW w:w="1345" w:type="pct"/>
            <w:tcBorders>
              <w:top w:val="single" w:sz="4" w:space="0" w:color="auto"/>
              <w:left w:val="single" w:sz="4" w:space="0" w:color="auto"/>
              <w:bottom w:val="single" w:sz="4" w:space="0" w:color="auto"/>
              <w:right w:val="single" w:sz="4" w:space="0" w:color="auto"/>
            </w:tcBorders>
            <w:vAlign w:val="center"/>
          </w:tcPr>
          <w:p w14:paraId="18D3630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008C060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D2825C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15B4DF5"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6CA7CC4" w14:textId="77777777" w:rsidR="00A67F21" w:rsidRPr="00B12FE0" w:rsidRDefault="00000000">
            <w:pPr>
              <w:jc w:val="center"/>
              <w:rPr>
                <w:bCs/>
                <w:color w:val="000000" w:themeColor="text1"/>
                <w:sz w:val="21"/>
                <w:szCs w:val="21"/>
              </w:rPr>
            </w:pPr>
            <w:r w:rsidRPr="00B12FE0">
              <w:rPr>
                <w:bCs/>
                <w:color w:val="000000" w:themeColor="text1"/>
                <w:sz w:val="21"/>
                <w:szCs w:val="21"/>
              </w:rPr>
              <w:t>82</w:t>
            </w:r>
          </w:p>
        </w:tc>
        <w:tc>
          <w:tcPr>
            <w:tcW w:w="1844" w:type="dxa"/>
            <w:vMerge/>
            <w:tcBorders>
              <w:top w:val="single" w:sz="4" w:space="0" w:color="auto"/>
              <w:left w:val="single" w:sz="4" w:space="0" w:color="auto"/>
              <w:bottom w:val="single" w:sz="4" w:space="0" w:color="auto"/>
              <w:right w:val="single" w:sz="4" w:space="0" w:color="auto"/>
            </w:tcBorders>
            <w:vAlign w:val="center"/>
          </w:tcPr>
          <w:p w14:paraId="01215BC0"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77C9817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0879366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E037F1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83EAE91"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7BBD801" w14:textId="77777777" w:rsidR="00A67F21" w:rsidRPr="00B12FE0" w:rsidRDefault="00000000">
            <w:pPr>
              <w:jc w:val="center"/>
              <w:rPr>
                <w:bCs/>
                <w:color w:val="000000" w:themeColor="text1"/>
                <w:sz w:val="21"/>
                <w:szCs w:val="21"/>
              </w:rPr>
            </w:pPr>
            <w:r w:rsidRPr="00B12FE0">
              <w:rPr>
                <w:bCs/>
                <w:color w:val="000000" w:themeColor="text1"/>
                <w:sz w:val="21"/>
                <w:szCs w:val="21"/>
              </w:rPr>
              <w:t>83</w:t>
            </w:r>
          </w:p>
        </w:tc>
        <w:tc>
          <w:tcPr>
            <w:tcW w:w="1844" w:type="dxa"/>
            <w:vMerge/>
            <w:tcBorders>
              <w:top w:val="single" w:sz="4" w:space="0" w:color="auto"/>
              <w:left w:val="single" w:sz="4" w:space="0" w:color="auto"/>
              <w:bottom w:val="single" w:sz="4" w:space="0" w:color="auto"/>
              <w:right w:val="single" w:sz="4" w:space="0" w:color="auto"/>
            </w:tcBorders>
            <w:vAlign w:val="center"/>
          </w:tcPr>
          <w:p w14:paraId="1C5A646C"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2CB56B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5DCA1E9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83B088F"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72F43BC"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B466DD8" w14:textId="77777777" w:rsidR="00A67F21" w:rsidRPr="00B12FE0" w:rsidRDefault="00000000">
            <w:pPr>
              <w:jc w:val="center"/>
              <w:rPr>
                <w:bCs/>
                <w:color w:val="000000" w:themeColor="text1"/>
                <w:sz w:val="21"/>
                <w:szCs w:val="21"/>
              </w:rPr>
            </w:pPr>
            <w:r w:rsidRPr="00B12FE0">
              <w:rPr>
                <w:bCs/>
                <w:color w:val="000000" w:themeColor="text1"/>
                <w:sz w:val="21"/>
                <w:szCs w:val="21"/>
              </w:rPr>
              <w:t>84</w:t>
            </w:r>
          </w:p>
        </w:tc>
        <w:tc>
          <w:tcPr>
            <w:tcW w:w="1844" w:type="dxa"/>
            <w:vMerge/>
            <w:tcBorders>
              <w:top w:val="single" w:sz="4" w:space="0" w:color="auto"/>
              <w:left w:val="single" w:sz="4" w:space="0" w:color="auto"/>
              <w:bottom w:val="single" w:sz="4" w:space="0" w:color="auto"/>
              <w:right w:val="single" w:sz="4" w:space="0" w:color="auto"/>
            </w:tcBorders>
            <w:vAlign w:val="center"/>
          </w:tcPr>
          <w:p w14:paraId="67F0DC8B"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1E49C1F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0EA3428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E6A3FA2" w14:textId="77777777">
        <w:trPr>
          <w:trHeight w:val="23"/>
          <w:jc w:val="center"/>
        </w:trPr>
        <w:tc>
          <w:tcPr>
            <w:tcW w:w="639" w:type="pct"/>
            <w:vMerge w:val="restart"/>
            <w:tcBorders>
              <w:top w:val="single" w:sz="4" w:space="0" w:color="auto"/>
              <w:left w:val="single" w:sz="4" w:space="0" w:color="auto"/>
              <w:bottom w:val="single" w:sz="4" w:space="0" w:color="auto"/>
              <w:right w:val="single" w:sz="4" w:space="0" w:color="auto"/>
            </w:tcBorders>
            <w:vAlign w:val="center"/>
          </w:tcPr>
          <w:p w14:paraId="7BC42A8A" w14:textId="77777777" w:rsidR="00A67F21" w:rsidRPr="00B12FE0" w:rsidRDefault="00000000">
            <w:pPr>
              <w:jc w:val="center"/>
              <w:rPr>
                <w:bCs/>
                <w:color w:val="000000" w:themeColor="text1"/>
                <w:sz w:val="21"/>
                <w:szCs w:val="21"/>
              </w:rPr>
            </w:pPr>
            <w:r w:rsidRPr="00B12FE0">
              <w:rPr>
                <w:bCs/>
                <w:color w:val="000000" w:themeColor="text1"/>
                <w:sz w:val="21"/>
                <w:szCs w:val="21"/>
              </w:rPr>
              <w:t>PET</w:t>
            </w:r>
            <w:r w:rsidRPr="00B12FE0">
              <w:rPr>
                <w:rFonts w:hint="eastAsia"/>
                <w:bCs/>
                <w:color w:val="000000" w:themeColor="text1"/>
                <w:sz w:val="21"/>
                <w:szCs w:val="21"/>
              </w:rPr>
              <w:t>诊断区域</w:t>
            </w:r>
          </w:p>
        </w:tc>
        <w:tc>
          <w:tcPr>
            <w:tcW w:w="656" w:type="pct"/>
            <w:tcBorders>
              <w:top w:val="single" w:sz="4" w:space="0" w:color="auto"/>
              <w:left w:val="single" w:sz="4" w:space="0" w:color="auto"/>
              <w:bottom w:val="single" w:sz="4" w:space="0" w:color="auto"/>
              <w:right w:val="single" w:sz="4" w:space="0" w:color="auto"/>
            </w:tcBorders>
            <w:vAlign w:val="center"/>
          </w:tcPr>
          <w:p w14:paraId="2FA0F31C" w14:textId="77777777" w:rsidR="00A67F21" w:rsidRPr="00B12FE0" w:rsidRDefault="00000000">
            <w:pPr>
              <w:jc w:val="center"/>
              <w:rPr>
                <w:bCs/>
                <w:color w:val="000000" w:themeColor="text1"/>
                <w:sz w:val="21"/>
                <w:szCs w:val="21"/>
              </w:rPr>
            </w:pPr>
            <w:r w:rsidRPr="00B12FE0">
              <w:rPr>
                <w:bCs/>
                <w:color w:val="000000" w:themeColor="text1"/>
                <w:sz w:val="21"/>
                <w:szCs w:val="21"/>
              </w:rPr>
              <w:t>85</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4C9B402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候检室</w:t>
            </w:r>
            <w:r w:rsidRPr="00B12FE0">
              <w:rPr>
                <w:color w:val="000000" w:themeColor="text1"/>
                <w:sz w:val="21"/>
                <w:szCs w:val="21"/>
              </w:rPr>
              <w:t>6</w:t>
            </w:r>
          </w:p>
        </w:tc>
        <w:tc>
          <w:tcPr>
            <w:tcW w:w="1345" w:type="pct"/>
            <w:tcBorders>
              <w:top w:val="single" w:sz="4" w:space="0" w:color="auto"/>
              <w:left w:val="single" w:sz="4" w:space="0" w:color="auto"/>
              <w:bottom w:val="single" w:sz="4" w:space="0" w:color="auto"/>
              <w:right w:val="single" w:sz="4" w:space="0" w:color="auto"/>
            </w:tcBorders>
            <w:vAlign w:val="center"/>
          </w:tcPr>
          <w:p w14:paraId="7AF80C5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0" w:type="pct"/>
            <w:tcBorders>
              <w:top w:val="single" w:sz="4" w:space="0" w:color="auto"/>
              <w:left w:val="single" w:sz="4" w:space="0" w:color="auto"/>
              <w:bottom w:val="single" w:sz="4" w:space="0" w:color="auto"/>
              <w:right w:val="single" w:sz="4" w:space="0" w:color="auto"/>
            </w:tcBorders>
            <w:vAlign w:val="center"/>
          </w:tcPr>
          <w:p w14:paraId="18FEB4C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C581D7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4D182808"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2C49040" w14:textId="77777777" w:rsidR="00A67F21" w:rsidRPr="00B12FE0" w:rsidRDefault="00000000">
            <w:pPr>
              <w:jc w:val="center"/>
              <w:rPr>
                <w:bCs/>
                <w:color w:val="000000" w:themeColor="text1"/>
                <w:sz w:val="21"/>
                <w:szCs w:val="21"/>
              </w:rPr>
            </w:pPr>
            <w:r w:rsidRPr="00B12FE0">
              <w:rPr>
                <w:bCs/>
                <w:color w:val="000000" w:themeColor="text1"/>
                <w:sz w:val="21"/>
                <w:szCs w:val="21"/>
              </w:rPr>
              <w:t>86</w:t>
            </w:r>
          </w:p>
        </w:tc>
        <w:tc>
          <w:tcPr>
            <w:tcW w:w="1844" w:type="dxa"/>
            <w:vMerge/>
            <w:tcBorders>
              <w:top w:val="single" w:sz="4" w:space="0" w:color="auto"/>
              <w:left w:val="single" w:sz="4" w:space="0" w:color="auto"/>
              <w:bottom w:val="single" w:sz="4" w:space="0" w:color="auto"/>
              <w:right w:val="single" w:sz="4" w:space="0" w:color="auto"/>
            </w:tcBorders>
            <w:vAlign w:val="center"/>
          </w:tcPr>
          <w:p w14:paraId="39DEBCD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0FE886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0" w:type="pct"/>
            <w:tcBorders>
              <w:top w:val="single" w:sz="4" w:space="0" w:color="auto"/>
              <w:left w:val="single" w:sz="4" w:space="0" w:color="auto"/>
              <w:bottom w:val="single" w:sz="4" w:space="0" w:color="auto"/>
              <w:right w:val="single" w:sz="4" w:space="0" w:color="auto"/>
            </w:tcBorders>
            <w:vAlign w:val="center"/>
          </w:tcPr>
          <w:p w14:paraId="2FC38F2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CA3405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B703F71"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7C3EB5C7" w14:textId="77777777" w:rsidR="00A67F21" w:rsidRPr="00B12FE0" w:rsidRDefault="00000000">
            <w:pPr>
              <w:jc w:val="center"/>
              <w:rPr>
                <w:bCs/>
                <w:color w:val="000000" w:themeColor="text1"/>
                <w:sz w:val="21"/>
                <w:szCs w:val="21"/>
              </w:rPr>
            </w:pPr>
            <w:r w:rsidRPr="00B12FE0">
              <w:rPr>
                <w:bCs/>
                <w:color w:val="000000" w:themeColor="text1"/>
                <w:sz w:val="21"/>
                <w:szCs w:val="21"/>
              </w:rPr>
              <w:t>87</w:t>
            </w:r>
          </w:p>
        </w:tc>
        <w:tc>
          <w:tcPr>
            <w:tcW w:w="1844" w:type="dxa"/>
            <w:vMerge/>
            <w:tcBorders>
              <w:top w:val="single" w:sz="4" w:space="0" w:color="auto"/>
              <w:left w:val="single" w:sz="4" w:space="0" w:color="auto"/>
              <w:bottom w:val="single" w:sz="4" w:space="0" w:color="auto"/>
              <w:right w:val="single" w:sz="4" w:space="0" w:color="auto"/>
            </w:tcBorders>
            <w:vAlign w:val="center"/>
          </w:tcPr>
          <w:p w14:paraId="0CD08A6F"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75B709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洗手间地面</w:t>
            </w:r>
          </w:p>
        </w:tc>
        <w:tc>
          <w:tcPr>
            <w:tcW w:w="1310" w:type="pct"/>
            <w:tcBorders>
              <w:top w:val="single" w:sz="4" w:space="0" w:color="auto"/>
              <w:left w:val="single" w:sz="4" w:space="0" w:color="auto"/>
              <w:bottom w:val="single" w:sz="4" w:space="0" w:color="auto"/>
              <w:right w:val="single" w:sz="4" w:space="0" w:color="auto"/>
            </w:tcBorders>
            <w:vAlign w:val="center"/>
          </w:tcPr>
          <w:p w14:paraId="49FBD18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56137F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DE7A723"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B03D4A3" w14:textId="77777777" w:rsidR="00A67F21" w:rsidRPr="00B12FE0" w:rsidRDefault="00000000">
            <w:pPr>
              <w:jc w:val="center"/>
              <w:rPr>
                <w:bCs/>
                <w:color w:val="000000" w:themeColor="text1"/>
                <w:sz w:val="21"/>
                <w:szCs w:val="21"/>
              </w:rPr>
            </w:pPr>
            <w:r w:rsidRPr="00B12FE0">
              <w:rPr>
                <w:bCs/>
                <w:color w:val="000000" w:themeColor="text1"/>
                <w:sz w:val="21"/>
                <w:szCs w:val="21"/>
              </w:rPr>
              <w:t>88</w:t>
            </w:r>
          </w:p>
        </w:tc>
        <w:tc>
          <w:tcPr>
            <w:tcW w:w="1844" w:type="dxa"/>
            <w:vMerge/>
            <w:tcBorders>
              <w:top w:val="single" w:sz="4" w:space="0" w:color="auto"/>
              <w:left w:val="single" w:sz="4" w:space="0" w:color="auto"/>
              <w:bottom w:val="single" w:sz="4" w:space="0" w:color="auto"/>
              <w:right w:val="single" w:sz="4" w:space="0" w:color="auto"/>
            </w:tcBorders>
            <w:vAlign w:val="center"/>
          </w:tcPr>
          <w:p w14:paraId="1D0152D9"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6D41C4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洗手池墙面</w:t>
            </w:r>
          </w:p>
        </w:tc>
        <w:tc>
          <w:tcPr>
            <w:tcW w:w="1310" w:type="pct"/>
            <w:tcBorders>
              <w:top w:val="single" w:sz="4" w:space="0" w:color="auto"/>
              <w:left w:val="single" w:sz="4" w:space="0" w:color="auto"/>
              <w:bottom w:val="single" w:sz="4" w:space="0" w:color="auto"/>
              <w:right w:val="single" w:sz="4" w:space="0" w:color="auto"/>
            </w:tcBorders>
            <w:vAlign w:val="center"/>
          </w:tcPr>
          <w:p w14:paraId="224ED57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FB55BF4"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DACB581"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5BBE73D" w14:textId="77777777" w:rsidR="00A67F21" w:rsidRPr="00B12FE0" w:rsidRDefault="00000000">
            <w:pPr>
              <w:jc w:val="center"/>
              <w:rPr>
                <w:bCs/>
                <w:color w:val="000000" w:themeColor="text1"/>
                <w:sz w:val="21"/>
                <w:szCs w:val="21"/>
              </w:rPr>
            </w:pPr>
            <w:r w:rsidRPr="00B12FE0">
              <w:rPr>
                <w:bCs/>
                <w:color w:val="000000" w:themeColor="text1"/>
                <w:sz w:val="21"/>
                <w:szCs w:val="21"/>
              </w:rPr>
              <w:t>89</w:t>
            </w:r>
          </w:p>
        </w:tc>
        <w:tc>
          <w:tcPr>
            <w:tcW w:w="1844" w:type="dxa"/>
            <w:vMerge/>
            <w:tcBorders>
              <w:top w:val="single" w:sz="4" w:space="0" w:color="auto"/>
              <w:left w:val="single" w:sz="4" w:space="0" w:color="auto"/>
              <w:bottom w:val="single" w:sz="4" w:space="0" w:color="auto"/>
              <w:right w:val="single" w:sz="4" w:space="0" w:color="auto"/>
            </w:tcBorders>
            <w:vAlign w:val="center"/>
          </w:tcPr>
          <w:p w14:paraId="34A2CCAD"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492E78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洗手间门表面</w:t>
            </w:r>
          </w:p>
        </w:tc>
        <w:tc>
          <w:tcPr>
            <w:tcW w:w="1310" w:type="pct"/>
            <w:tcBorders>
              <w:top w:val="single" w:sz="4" w:space="0" w:color="auto"/>
              <w:left w:val="single" w:sz="4" w:space="0" w:color="auto"/>
              <w:bottom w:val="single" w:sz="4" w:space="0" w:color="auto"/>
              <w:right w:val="single" w:sz="4" w:space="0" w:color="auto"/>
            </w:tcBorders>
            <w:vAlign w:val="center"/>
          </w:tcPr>
          <w:p w14:paraId="72CA233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3DB543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B95865D"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2509F1D" w14:textId="77777777" w:rsidR="00A67F21" w:rsidRPr="00B12FE0" w:rsidRDefault="00000000">
            <w:pPr>
              <w:jc w:val="center"/>
              <w:rPr>
                <w:bCs/>
                <w:color w:val="000000" w:themeColor="text1"/>
                <w:sz w:val="21"/>
                <w:szCs w:val="21"/>
              </w:rPr>
            </w:pPr>
            <w:r w:rsidRPr="00B12FE0">
              <w:rPr>
                <w:bCs/>
                <w:color w:val="000000" w:themeColor="text1"/>
                <w:sz w:val="21"/>
                <w:szCs w:val="21"/>
              </w:rPr>
              <w:t>90</w:t>
            </w:r>
          </w:p>
        </w:tc>
        <w:tc>
          <w:tcPr>
            <w:tcW w:w="1844" w:type="dxa"/>
            <w:vMerge/>
            <w:tcBorders>
              <w:top w:val="single" w:sz="4" w:space="0" w:color="auto"/>
              <w:left w:val="single" w:sz="4" w:space="0" w:color="auto"/>
              <w:bottom w:val="single" w:sz="4" w:space="0" w:color="auto"/>
              <w:right w:val="single" w:sz="4" w:space="0" w:color="auto"/>
            </w:tcBorders>
            <w:vAlign w:val="center"/>
          </w:tcPr>
          <w:p w14:paraId="59F4E2CA"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2AD559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0" w:type="pct"/>
            <w:tcBorders>
              <w:top w:val="single" w:sz="4" w:space="0" w:color="auto"/>
              <w:left w:val="single" w:sz="4" w:space="0" w:color="auto"/>
              <w:bottom w:val="single" w:sz="4" w:space="0" w:color="auto"/>
              <w:right w:val="single" w:sz="4" w:space="0" w:color="auto"/>
            </w:tcBorders>
            <w:vAlign w:val="center"/>
          </w:tcPr>
          <w:p w14:paraId="6EBA805D"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4.5</w:t>
            </w:r>
          </w:p>
        </w:tc>
      </w:tr>
      <w:tr w:rsidR="00A67F21" w:rsidRPr="00B12FE0" w14:paraId="429D0EA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0399E91"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D84CE16" w14:textId="77777777" w:rsidR="00A67F21" w:rsidRPr="00B12FE0" w:rsidRDefault="00000000">
            <w:pPr>
              <w:jc w:val="center"/>
              <w:rPr>
                <w:bCs/>
                <w:color w:val="000000" w:themeColor="text1"/>
                <w:sz w:val="21"/>
                <w:szCs w:val="21"/>
              </w:rPr>
            </w:pPr>
            <w:r w:rsidRPr="00B12FE0">
              <w:rPr>
                <w:bCs/>
                <w:color w:val="000000" w:themeColor="text1"/>
                <w:sz w:val="21"/>
                <w:szCs w:val="21"/>
              </w:rPr>
              <w:t>91</w:t>
            </w:r>
          </w:p>
        </w:tc>
        <w:tc>
          <w:tcPr>
            <w:tcW w:w="1844" w:type="dxa"/>
            <w:vMerge/>
            <w:tcBorders>
              <w:top w:val="single" w:sz="4" w:space="0" w:color="auto"/>
              <w:left w:val="single" w:sz="4" w:space="0" w:color="auto"/>
              <w:bottom w:val="single" w:sz="4" w:space="0" w:color="auto"/>
              <w:right w:val="single" w:sz="4" w:space="0" w:color="auto"/>
            </w:tcBorders>
            <w:vAlign w:val="center"/>
          </w:tcPr>
          <w:p w14:paraId="3AE2D851"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B91695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洗手池表面</w:t>
            </w:r>
          </w:p>
        </w:tc>
        <w:tc>
          <w:tcPr>
            <w:tcW w:w="1310" w:type="pct"/>
            <w:tcBorders>
              <w:top w:val="single" w:sz="4" w:space="0" w:color="auto"/>
              <w:left w:val="single" w:sz="4" w:space="0" w:color="auto"/>
              <w:bottom w:val="single" w:sz="4" w:space="0" w:color="auto"/>
              <w:right w:val="single" w:sz="4" w:space="0" w:color="auto"/>
            </w:tcBorders>
            <w:vAlign w:val="center"/>
          </w:tcPr>
          <w:p w14:paraId="048377F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E682A5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E47D5B1"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4DDA38B" w14:textId="77777777" w:rsidR="00A67F21" w:rsidRPr="00B12FE0" w:rsidRDefault="00000000">
            <w:pPr>
              <w:jc w:val="center"/>
              <w:rPr>
                <w:bCs/>
                <w:color w:val="000000" w:themeColor="text1"/>
                <w:sz w:val="21"/>
                <w:szCs w:val="21"/>
              </w:rPr>
            </w:pPr>
            <w:r w:rsidRPr="00B12FE0">
              <w:rPr>
                <w:bCs/>
                <w:color w:val="000000" w:themeColor="text1"/>
                <w:sz w:val="21"/>
                <w:szCs w:val="21"/>
              </w:rPr>
              <w:t>92</w:t>
            </w:r>
          </w:p>
        </w:tc>
        <w:tc>
          <w:tcPr>
            <w:tcW w:w="1844" w:type="dxa"/>
            <w:vMerge/>
            <w:tcBorders>
              <w:top w:val="single" w:sz="4" w:space="0" w:color="auto"/>
              <w:left w:val="single" w:sz="4" w:space="0" w:color="auto"/>
              <w:bottom w:val="single" w:sz="4" w:space="0" w:color="auto"/>
              <w:right w:val="single" w:sz="4" w:space="0" w:color="auto"/>
            </w:tcBorders>
            <w:vAlign w:val="center"/>
          </w:tcPr>
          <w:p w14:paraId="05D7E6D6"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6BF635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洗手间垃圾桶表面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3752613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DB6106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D2CF74A"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3117A7D4" w14:textId="77777777" w:rsidR="00A67F21" w:rsidRPr="00B12FE0" w:rsidRDefault="00000000">
            <w:pPr>
              <w:jc w:val="center"/>
              <w:rPr>
                <w:bCs/>
                <w:color w:val="000000" w:themeColor="text1"/>
                <w:sz w:val="21"/>
                <w:szCs w:val="21"/>
              </w:rPr>
            </w:pPr>
            <w:r w:rsidRPr="00B12FE0">
              <w:rPr>
                <w:bCs/>
                <w:color w:val="000000" w:themeColor="text1"/>
                <w:sz w:val="21"/>
                <w:szCs w:val="21"/>
              </w:rPr>
              <w:t>93</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738E309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病人通道</w:t>
            </w:r>
          </w:p>
        </w:tc>
        <w:tc>
          <w:tcPr>
            <w:tcW w:w="1345" w:type="pct"/>
            <w:tcBorders>
              <w:top w:val="single" w:sz="4" w:space="0" w:color="auto"/>
              <w:left w:val="single" w:sz="4" w:space="0" w:color="auto"/>
              <w:bottom w:val="single" w:sz="4" w:space="0" w:color="auto"/>
              <w:right w:val="single" w:sz="4" w:space="0" w:color="auto"/>
            </w:tcBorders>
            <w:vAlign w:val="center"/>
          </w:tcPr>
          <w:p w14:paraId="30EB73D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53C6D3B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0D2ED53"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CA09E08"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8DB657B" w14:textId="77777777" w:rsidR="00A67F21" w:rsidRPr="00B12FE0" w:rsidRDefault="00000000">
            <w:pPr>
              <w:jc w:val="center"/>
              <w:rPr>
                <w:bCs/>
                <w:color w:val="000000" w:themeColor="text1"/>
                <w:sz w:val="21"/>
                <w:szCs w:val="21"/>
              </w:rPr>
            </w:pPr>
            <w:r w:rsidRPr="00B12FE0">
              <w:rPr>
                <w:bCs/>
                <w:color w:val="000000" w:themeColor="text1"/>
                <w:sz w:val="21"/>
                <w:szCs w:val="21"/>
              </w:rPr>
              <w:t>94</w:t>
            </w:r>
          </w:p>
        </w:tc>
        <w:tc>
          <w:tcPr>
            <w:tcW w:w="1844" w:type="dxa"/>
            <w:vMerge/>
            <w:tcBorders>
              <w:top w:val="single" w:sz="4" w:space="0" w:color="auto"/>
              <w:left w:val="single" w:sz="4" w:space="0" w:color="auto"/>
              <w:bottom w:val="single" w:sz="4" w:space="0" w:color="auto"/>
              <w:right w:val="single" w:sz="4" w:space="0" w:color="auto"/>
            </w:tcBorders>
            <w:vAlign w:val="center"/>
          </w:tcPr>
          <w:p w14:paraId="73D111F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36AA713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43C53D7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516ECF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6E73164"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E5E918F" w14:textId="77777777" w:rsidR="00A67F21" w:rsidRPr="00B12FE0" w:rsidRDefault="00000000">
            <w:pPr>
              <w:jc w:val="center"/>
              <w:rPr>
                <w:bCs/>
                <w:color w:val="000000" w:themeColor="text1"/>
                <w:sz w:val="21"/>
                <w:szCs w:val="21"/>
              </w:rPr>
            </w:pPr>
            <w:r w:rsidRPr="00B12FE0">
              <w:rPr>
                <w:bCs/>
                <w:color w:val="000000" w:themeColor="text1"/>
                <w:sz w:val="21"/>
                <w:szCs w:val="21"/>
              </w:rPr>
              <w:t>95</w:t>
            </w:r>
          </w:p>
        </w:tc>
        <w:tc>
          <w:tcPr>
            <w:tcW w:w="1844" w:type="dxa"/>
            <w:vMerge/>
            <w:tcBorders>
              <w:top w:val="single" w:sz="4" w:space="0" w:color="auto"/>
              <w:left w:val="single" w:sz="4" w:space="0" w:color="auto"/>
              <w:bottom w:val="single" w:sz="4" w:space="0" w:color="auto"/>
              <w:right w:val="single" w:sz="4" w:space="0" w:color="auto"/>
            </w:tcBorders>
            <w:vAlign w:val="center"/>
          </w:tcPr>
          <w:p w14:paraId="6D030425"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7C3008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7EF8AD2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98D5BE8"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B8E4E4B"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D5E8FC8" w14:textId="77777777" w:rsidR="00A67F21" w:rsidRPr="00B12FE0" w:rsidRDefault="00000000">
            <w:pPr>
              <w:jc w:val="center"/>
              <w:rPr>
                <w:bCs/>
                <w:color w:val="000000" w:themeColor="text1"/>
                <w:sz w:val="21"/>
                <w:szCs w:val="21"/>
              </w:rPr>
            </w:pPr>
            <w:r w:rsidRPr="00B12FE0">
              <w:rPr>
                <w:bCs/>
                <w:color w:val="000000" w:themeColor="text1"/>
                <w:sz w:val="21"/>
                <w:szCs w:val="21"/>
              </w:rPr>
              <w:t>96</w:t>
            </w:r>
          </w:p>
        </w:tc>
        <w:tc>
          <w:tcPr>
            <w:tcW w:w="1844" w:type="dxa"/>
            <w:vMerge/>
            <w:tcBorders>
              <w:top w:val="single" w:sz="4" w:space="0" w:color="auto"/>
              <w:left w:val="single" w:sz="4" w:space="0" w:color="auto"/>
              <w:bottom w:val="single" w:sz="4" w:space="0" w:color="auto"/>
              <w:right w:val="single" w:sz="4" w:space="0" w:color="auto"/>
            </w:tcBorders>
            <w:vAlign w:val="center"/>
          </w:tcPr>
          <w:p w14:paraId="4FBE9AEF"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E4AB44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0" w:type="pct"/>
            <w:tcBorders>
              <w:top w:val="single" w:sz="4" w:space="0" w:color="auto"/>
              <w:left w:val="single" w:sz="4" w:space="0" w:color="auto"/>
              <w:bottom w:val="single" w:sz="4" w:space="0" w:color="auto"/>
              <w:right w:val="single" w:sz="4" w:space="0" w:color="auto"/>
            </w:tcBorders>
            <w:vAlign w:val="center"/>
          </w:tcPr>
          <w:p w14:paraId="72F26EB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68F7DA8"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F0BCACB"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26F9CB9" w14:textId="77777777" w:rsidR="00A67F21" w:rsidRPr="00B12FE0" w:rsidRDefault="00000000">
            <w:pPr>
              <w:jc w:val="center"/>
              <w:rPr>
                <w:bCs/>
                <w:color w:val="000000" w:themeColor="text1"/>
                <w:sz w:val="21"/>
                <w:szCs w:val="21"/>
              </w:rPr>
            </w:pPr>
            <w:r w:rsidRPr="00B12FE0">
              <w:rPr>
                <w:bCs/>
                <w:color w:val="000000" w:themeColor="text1"/>
                <w:sz w:val="21"/>
                <w:szCs w:val="21"/>
              </w:rPr>
              <w:t>97</w:t>
            </w:r>
          </w:p>
        </w:tc>
        <w:tc>
          <w:tcPr>
            <w:tcW w:w="1844" w:type="dxa"/>
            <w:vMerge/>
            <w:tcBorders>
              <w:top w:val="single" w:sz="4" w:space="0" w:color="auto"/>
              <w:left w:val="single" w:sz="4" w:space="0" w:color="auto"/>
              <w:bottom w:val="single" w:sz="4" w:space="0" w:color="auto"/>
              <w:right w:val="single" w:sz="4" w:space="0" w:color="auto"/>
            </w:tcBorders>
            <w:vAlign w:val="center"/>
          </w:tcPr>
          <w:p w14:paraId="2EDC29EB"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F40E58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饮水机表面</w:t>
            </w:r>
          </w:p>
        </w:tc>
        <w:tc>
          <w:tcPr>
            <w:tcW w:w="1310" w:type="pct"/>
            <w:tcBorders>
              <w:top w:val="single" w:sz="4" w:space="0" w:color="auto"/>
              <w:left w:val="single" w:sz="4" w:space="0" w:color="auto"/>
              <w:bottom w:val="single" w:sz="4" w:space="0" w:color="auto"/>
              <w:right w:val="single" w:sz="4" w:space="0" w:color="auto"/>
            </w:tcBorders>
            <w:vAlign w:val="center"/>
          </w:tcPr>
          <w:p w14:paraId="07B1442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F82BF48"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39D45D70"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3116F80" w14:textId="77777777" w:rsidR="00A67F21" w:rsidRPr="00B12FE0" w:rsidRDefault="00000000">
            <w:pPr>
              <w:jc w:val="center"/>
              <w:rPr>
                <w:bCs/>
                <w:color w:val="000000" w:themeColor="text1"/>
                <w:sz w:val="21"/>
                <w:szCs w:val="21"/>
              </w:rPr>
            </w:pPr>
            <w:r w:rsidRPr="00B12FE0">
              <w:rPr>
                <w:bCs/>
                <w:color w:val="000000" w:themeColor="text1"/>
                <w:sz w:val="21"/>
                <w:szCs w:val="21"/>
              </w:rPr>
              <w:t>98</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6EEF44DC"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检查室</w:t>
            </w:r>
            <w:r w:rsidRPr="00B12FE0">
              <w:rPr>
                <w:color w:val="000000" w:themeColor="text1"/>
                <w:sz w:val="21"/>
                <w:szCs w:val="21"/>
              </w:rPr>
              <w:t>2</w:t>
            </w:r>
          </w:p>
        </w:tc>
        <w:tc>
          <w:tcPr>
            <w:tcW w:w="1345" w:type="pct"/>
            <w:tcBorders>
              <w:top w:val="single" w:sz="4" w:space="0" w:color="auto"/>
              <w:left w:val="single" w:sz="4" w:space="0" w:color="auto"/>
              <w:bottom w:val="single" w:sz="4" w:space="0" w:color="auto"/>
              <w:right w:val="single" w:sz="4" w:space="0" w:color="auto"/>
            </w:tcBorders>
            <w:vAlign w:val="center"/>
          </w:tcPr>
          <w:p w14:paraId="6C31911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4497682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D18C045"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55F132AD"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21320B10" w14:textId="77777777" w:rsidR="00A67F21" w:rsidRPr="00B12FE0" w:rsidRDefault="00000000">
            <w:pPr>
              <w:jc w:val="center"/>
              <w:rPr>
                <w:bCs/>
                <w:color w:val="000000" w:themeColor="text1"/>
                <w:sz w:val="21"/>
                <w:szCs w:val="21"/>
              </w:rPr>
            </w:pPr>
            <w:r w:rsidRPr="00B12FE0">
              <w:rPr>
                <w:bCs/>
                <w:color w:val="000000" w:themeColor="text1"/>
                <w:sz w:val="21"/>
                <w:szCs w:val="21"/>
              </w:rPr>
              <w:t>99</w:t>
            </w:r>
          </w:p>
        </w:tc>
        <w:tc>
          <w:tcPr>
            <w:tcW w:w="1844" w:type="dxa"/>
            <w:vMerge/>
            <w:tcBorders>
              <w:top w:val="single" w:sz="4" w:space="0" w:color="auto"/>
              <w:left w:val="single" w:sz="4" w:space="0" w:color="auto"/>
              <w:bottom w:val="single" w:sz="4" w:space="0" w:color="auto"/>
              <w:right w:val="single" w:sz="4" w:space="0" w:color="auto"/>
            </w:tcBorders>
            <w:vAlign w:val="center"/>
          </w:tcPr>
          <w:p w14:paraId="17DF3417"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8DE109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2A2EB66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0B07557"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9950703"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053ABFCE" w14:textId="77777777" w:rsidR="00A67F21" w:rsidRPr="00B12FE0" w:rsidRDefault="00000000">
            <w:pPr>
              <w:jc w:val="center"/>
              <w:rPr>
                <w:bCs/>
                <w:color w:val="000000" w:themeColor="text1"/>
                <w:sz w:val="21"/>
                <w:szCs w:val="21"/>
              </w:rPr>
            </w:pPr>
            <w:r w:rsidRPr="00B12FE0">
              <w:rPr>
                <w:bCs/>
                <w:color w:val="000000" w:themeColor="text1"/>
                <w:sz w:val="21"/>
                <w:szCs w:val="21"/>
              </w:rPr>
              <w:t>100</w:t>
            </w:r>
          </w:p>
        </w:tc>
        <w:tc>
          <w:tcPr>
            <w:tcW w:w="1844" w:type="dxa"/>
            <w:vMerge/>
            <w:tcBorders>
              <w:top w:val="single" w:sz="4" w:space="0" w:color="auto"/>
              <w:left w:val="single" w:sz="4" w:space="0" w:color="auto"/>
              <w:bottom w:val="single" w:sz="4" w:space="0" w:color="auto"/>
              <w:right w:val="single" w:sz="4" w:space="0" w:color="auto"/>
            </w:tcBorders>
            <w:vAlign w:val="center"/>
          </w:tcPr>
          <w:p w14:paraId="39DD00C7"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E739BF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643281F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EBF33F6"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0C923C3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11CA089" w14:textId="77777777" w:rsidR="00A67F21" w:rsidRPr="00B12FE0" w:rsidRDefault="00000000">
            <w:pPr>
              <w:jc w:val="center"/>
              <w:rPr>
                <w:bCs/>
                <w:color w:val="000000" w:themeColor="text1"/>
                <w:sz w:val="21"/>
                <w:szCs w:val="21"/>
              </w:rPr>
            </w:pPr>
            <w:r w:rsidRPr="00B12FE0">
              <w:rPr>
                <w:bCs/>
                <w:color w:val="000000" w:themeColor="text1"/>
                <w:sz w:val="21"/>
                <w:szCs w:val="21"/>
              </w:rPr>
              <w:t>101</w:t>
            </w:r>
          </w:p>
        </w:tc>
        <w:tc>
          <w:tcPr>
            <w:tcW w:w="1844" w:type="dxa"/>
            <w:vMerge/>
            <w:tcBorders>
              <w:top w:val="single" w:sz="4" w:space="0" w:color="auto"/>
              <w:left w:val="single" w:sz="4" w:space="0" w:color="auto"/>
              <w:bottom w:val="single" w:sz="4" w:space="0" w:color="auto"/>
              <w:right w:val="single" w:sz="4" w:space="0" w:color="auto"/>
            </w:tcBorders>
            <w:vAlign w:val="center"/>
          </w:tcPr>
          <w:p w14:paraId="22478099"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2C1D410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诊断床表面</w:t>
            </w:r>
          </w:p>
        </w:tc>
        <w:tc>
          <w:tcPr>
            <w:tcW w:w="1310" w:type="pct"/>
            <w:tcBorders>
              <w:top w:val="single" w:sz="4" w:space="0" w:color="auto"/>
              <w:left w:val="single" w:sz="4" w:space="0" w:color="auto"/>
              <w:bottom w:val="single" w:sz="4" w:space="0" w:color="auto"/>
              <w:right w:val="single" w:sz="4" w:space="0" w:color="auto"/>
            </w:tcBorders>
            <w:vAlign w:val="center"/>
          </w:tcPr>
          <w:p w14:paraId="795576E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0B1EC6C"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8395F79"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7C108F80" w14:textId="77777777" w:rsidR="00A67F21" w:rsidRPr="00B12FE0" w:rsidRDefault="00000000">
            <w:pPr>
              <w:jc w:val="center"/>
              <w:rPr>
                <w:bCs/>
                <w:color w:val="000000" w:themeColor="text1"/>
                <w:sz w:val="21"/>
                <w:szCs w:val="21"/>
              </w:rPr>
            </w:pPr>
            <w:r w:rsidRPr="00B12FE0">
              <w:rPr>
                <w:bCs/>
                <w:color w:val="000000" w:themeColor="text1"/>
                <w:sz w:val="21"/>
                <w:szCs w:val="21"/>
              </w:rPr>
              <w:t>102</w:t>
            </w:r>
          </w:p>
        </w:tc>
        <w:tc>
          <w:tcPr>
            <w:tcW w:w="1844" w:type="dxa"/>
            <w:vMerge/>
            <w:tcBorders>
              <w:top w:val="single" w:sz="4" w:space="0" w:color="auto"/>
              <w:left w:val="single" w:sz="4" w:space="0" w:color="auto"/>
              <w:bottom w:val="single" w:sz="4" w:space="0" w:color="auto"/>
              <w:right w:val="single" w:sz="4" w:space="0" w:color="auto"/>
            </w:tcBorders>
            <w:vAlign w:val="center"/>
          </w:tcPr>
          <w:p w14:paraId="225E2CF2"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11EEF4B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推车表面</w:t>
            </w:r>
          </w:p>
        </w:tc>
        <w:tc>
          <w:tcPr>
            <w:tcW w:w="1310" w:type="pct"/>
            <w:tcBorders>
              <w:top w:val="single" w:sz="4" w:space="0" w:color="auto"/>
              <w:left w:val="single" w:sz="4" w:space="0" w:color="auto"/>
              <w:bottom w:val="single" w:sz="4" w:space="0" w:color="auto"/>
              <w:right w:val="single" w:sz="4" w:space="0" w:color="auto"/>
            </w:tcBorders>
            <w:vAlign w:val="center"/>
          </w:tcPr>
          <w:p w14:paraId="172FD2A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2FA5EA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4C7C033"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E2563FB" w14:textId="77777777" w:rsidR="00A67F21" w:rsidRPr="00B12FE0" w:rsidRDefault="00000000">
            <w:pPr>
              <w:jc w:val="center"/>
              <w:rPr>
                <w:bCs/>
                <w:color w:val="000000" w:themeColor="text1"/>
                <w:sz w:val="21"/>
                <w:szCs w:val="21"/>
              </w:rPr>
            </w:pPr>
            <w:r w:rsidRPr="00B12FE0">
              <w:rPr>
                <w:bCs/>
                <w:color w:val="000000" w:themeColor="text1"/>
                <w:sz w:val="21"/>
                <w:szCs w:val="21"/>
              </w:rPr>
              <w:t>103</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5B796CE6"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PET/CT</w:t>
            </w:r>
            <w:r w:rsidRPr="00B12FE0">
              <w:rPr>
                <w:rFonts w:hint="eastAsia"/>
                <w:color w:val="000000" w:themeColor="text1"/>
                <w:sz w:val="21"/>
                <w:szCs w:val="21"/>
              </w:rPr>
              <w:t>控制室</w:t>
            </w:r>
          </w:p>
        </w:tc>
        <w:tc>
          <w:tcPr>
            <w:tcW w:w="1345" w:type="pct"/>
            <w:tcBorders>
              <w:top w:val="single" w:sz="4" w:space="0" w:color="auto"/>
              <w:left w:val="single" w:sz="4" w:space="0" w:color="auto"/>
              <w:bottom w:val="single" w:sz="4" w:space="0" w:color="auto"/>
              <w:right w:val="single" w:sz="4" w:space="0" w:color="auto"/>
            </w:tcBorders>
            <w:vAlign w:val="center"/>
          </w:tcPr>
          <w:p w14:paraId="5C538FC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0" w:type="pct"/>
            <w:tcBorders>
              <w:top w:val="single" w:sz="4" w:space="0" w:color="auto"/>
              <w:left w:val="single" w:sz="4" w:space="0" w:color="auto"/>
              <w:bottom w:val="single" w:sz="4" w:space="0" w:color="auto"/>
              <w:right w:val="single" w:sz="4" w:space="0" w:color="auto"/>
            </w:tcBorders>
            <w:vAlign w:val="center"/>
          </w:tcPr>
          <w:p w14:paraId="0CC0293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CA08258"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A0EED10"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9A94CF6" w14:textId="77777777" w:rsidR="00A67F21" w:rsidRPr="00B12FE0" w:rsidRDefault="00000000">
            <w:pPr>
              <w:jc w:val="center"/>
              <w:rPr>
                <w:bCs/>
                <w:color w:val="000000" w:themeColor="text1"/>
                <w:sz w:val="21"/>
                <w:szCs w:val="21"/>
              </w:rPr>
            </w:pPr>
            <w:r w:rsidRPr="00B12FE0">
              <w:rPr>
                <w:bCs/>
                <w:color w:val="000000" w:themeColor="text1"/>
                <w:sz w:val="21"/>
                <w:szCs w:val="21"/>
              </w:rPr>
              <w:t>104</w:t>
            </w:r>
          </w:p>
        </w:tc>
        <w:tc>
          <w:tcPr>
            <w:tcW w:w="1844" w:type="dxa"/>
            <w:vMerge/>
            <w:tcBorders>
              <w:top w:val="single" w:sz="4" w:space="0" w:color="auto"/>
              <w:left w:val="single" w:sz="4" w:space="0" w:color="auto"/>
              <w:bottom w:val="single" w:sz="4" w:space="0" w:color="auto"/>
              <w:right w:val="single" w:sz="4" w:space="0" w:color="auto"/>
            </w:tcBorders>
            <w:vAlign w:val="center"/>
          </w:tcPr>
          <w:p w14:paraId="7EFA6483"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66EEEC0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0" w:type="pct"/>
            <w:tcBorders>
              <w:top w:val="single" w:sz="4" w:space="0" w:color="auto"/>
              <w:left w:val="single" w:sz="4" w:space="0" w:color="auto"/>
              <w:bottom w:val="single" w:sz="4" w:space="0" w:color="auto"/>
              <w:right w:val="single" w:sz="4" w:space="0" w:color="auto"/>
            </w:tcBorders>
            <w:vAlign w:val="center"/>
          </w:tcPr>
          <w:p w14:paraId="76E28F4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4CD8AAB"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64B55018"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1ACE98BD" w14:textId="77777777" w:rsidR="00A67F21" w:rsidRPr="00B12FE0" w:rsidRDefault="00000000">
            <w:pPr>
              <w:jc w:val="center"/>
              <w:rPr>
                <w:bCs/>
                <w:color w:val="000000" w:themeColor="text1"/>
                <w:sz w:val="21"/>
                <w:szCs w:val="21"/>
              </w:rPr>
            </w:pPr>
            <w:r w:rsidRPr="00B12FE0">
              <w:rPr>
                <w:bCs/>
                <w:color w:val="000000" w:themeColor="text1"/>
                <w:sz w:val="21"/>
                <w:szCs w:val="21"/>
              </w:rPr>
              <w:t>105</w:t>
            </w:r>
          </w:p>
        </w:tc>
        <w:tc>
          <w:tcPr>
            <w:tcW w:w="1844" w:type="dxa"/>
            <w:vMerge/>
            <w:tcBorders>
              <w:top w:val="single" w:sz="4" w:space="0" w:color="auto"/>
              <w:left w:val="single" w:sz="4" w:space="0" w:color="auto"/>
              <w:bottom w:val="single" w:sz="4" w:space="0" w:color="auto"/>
              <w:right w:val="single" w:sz="4" w:space="0" w:color="auto"/>
            </w:tcBorders>
            <w:vAlign w:val="center"/>
          </w:tcPr>
          <w:p w14:paraId="02C65358"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0D7811C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0" w:type="pct"/>
            <w:tcBorders>
              <w:top w:val="single" w:sz="4" w:space="0" w:color="auto"/>
              <w:left w:val="single" w:sz="4" w:space="0" w:color="auto"/>
              <w:bottom w:val="single" w:sz="4" w:space="0" w:color="auto"/>
              <w:right w:val="single" w:sz="4" w:space="0" w:color="auto"/>
            </w:tcBorders>
            <w:vAlign w:val="center"/>
          </w:tcPr>
          <w:p w14:paraId="524F3C6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AB4579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1C4DABFF"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6ACC225C" w14:textId="77777777" w:rsidR="00A67F21" w:rsidRPr="00B12FE0" w:rsidRDefault="00000000">
            <w:pPr>
              <w:jc w:val="center"/>
              <w:rPr>
                <w:bCs/>
                <w:color w:val="000000" w:themeColor="text1"/>
                <w:sz w:val="21"/>
                <w:szCs w:val="21"/>
              </w:rPr>
            </w:pPr>
            <w:r w:rsidRPr="00B12FE0">
              <w:rPr>
                <w:bCs/>
                <w:color w:val="000000" w:themeColor="text1"/>
                <w:sz w:val="21"/>
                <w:szCs w:val="21"/>
              </w:rPr>
              <w:t>106</w:t>
            </w:r>
          </w:p>
        </w:tc>
        <w:tc>
          <w:tcPr>
            <w:tcW w:w="1844" w:type="dxa"/>
            <w:vMerge/>
            <w:tcBorders>
              <w:top w:val="single" w:sz="4" w:space="0" w:color="auto"/>
              <w:left w:val="single" w:sz="4" w:space="0" w:color="auto"/>
              <w:bottom w:val="single" w:sz="4" w:space="0" w:color="auto"/>
              <w:right w:val="single" w:sz="4" w:space="0" w:color="auto"/>
            </w:tcBorders>
            <w:vAlign w:val="center"/>
          </w:tcPr>
          <w:p w14:paraId="344F23A0"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5B1682D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桌面</w:t>
            </w:r>
          </w:p>
        </w:tc>
        <w:tc>
          <w:tcPr>
            <w:tcW w:w="1310" w:type="pct"/>
            <w:tcBorders>
              <w:top w:val="single" w:sz="4" w:space="0" w:color="auto"/>
              <w:left w:val="single" w:sz="4" w:space="0" w:color="auto"/>
              <w:bottom w:val="single" w:sz="4" w:space="0" w:color="auto"/>
              <w:right w:val="single" w:sz="4" w:space="0" w:color="auto"/>
            </w:tcBorders>
            <w:vAlign w:val="center"/>
          </w:tcPr>
          <w:p w14:paraId="09A7856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172EFE1"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73921486"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462A4780" w14:textId="77777777" w:rsidR="00A67F21" w:rsidRPr="00B12FE0" w:rsidRDefault="00000000">
            <w:pPr>
              <w:jc w:val="center"/>
              <w:rPr>
                <w:bCs/>
                <w:color w:val="000000" w:themeColor="text1"/>
                <w:sz w:val="21"/>
                <w:szCs w:val="21"/>
              </w:rPr>
            </w:pPr>
            <w:r w:rsidRPr="00B12FE0">
              <w:rPr>
                <w:bCs/>
                <w:color w:val="000000" w:themeColor="text1"/>
                <w:sz w:val="21"/>
                <w:szCs w:val="21"/>
              </w:rPr>
              <w:t>107</w:t>
            </w:r>
          </w:p>
        </w:tc>
        <w:tc>
          <w:tcPr>
            <w:tcW w:w="1844" w:type="dxa"/>
            <w:vMerge/>
            <w:tcBorders>
              <w:top w:val="single" w:sz="4" w:space="0" w:color="auto"/>
              <w:left w:val="single" w:sz="4" w:space="0" w:color="auto"/>
              <w:bottom w:val="single" w:sz="4" w:space="0" w:color="auto"/>
              <w:right w:val="single" w:sz="4" w:space="0" w:color="auto"/>
            </w:tcBorders>
            <w:vAlign w:val="center"/>
          </w:tcPr>
          <w:p w14:paraId="5F05C5DA"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7B84198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椅面</w:t>
            </w:r>
          </w:p>
        </w:tc>
        <w:tc>
          <w:tcPr>
            <w:tcW w:w="1310" w:type="pct"/>
            <w:tcBorders>
              <w:top w:val="single" w:sz="4" w:space="0" w:color="auto"/>
              <w:left w:val="single" w:sz="4" w:space="0" w:color="auto"/>
              <w:bottom w:val="single" w:sz="4" w:space="0" w:color="auto"/>
              <w:right w:val="single" w:sz="4" w:space="0" w:color="auto"/>
            </w:tcBorders>
            <w:vAlign w:val="center"/>
          </w:tcPr>
          <w:p w14:paraId="15D542D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2F828BD" w14:textId="77777777">
        <w:trPr>
          <w:trHeight w:val="23"/>
          <w:jc w:val="center"/>
        </w:trPr>
        <w:tc>
          <w:tcPr>
            <w:tcW w:w="1155" w:type="dxa"/>
            <w:vMerge/>
            <w:tcBorders>
              <w:top w:val="single" w:sz="4" w:space="0" w:color="auto"/>
              <w:left w:val="single" w:sz="4" w:space="0" w:color="auto"/>
              <w:bottom w:val="single" w:sz="4" w:space="0" w:color="auto"/>
              <w:right w:val="single" w:sz="4" w:space="0" w:color="auto"/>
            </w:tcBorders>
            <w:vAlign w:val="center"/>
          </w:tcPr>
          <w:p w14:paraId="21694B2E" w14:textId="77777777" w:rsidR="00A67F21" w:rsidRPr="00B12FE0" w:rsidRDefault="00A67F21">
            <w:pPr>
              <w:widowControl/>
              <w:jc w:val="left"/>
              <w:rPr>
                <w:bCs/>
                <w:color w:val="000000" w:themeColor="text1"/>
                <w:sz w:val="21"/>
                <w:szCs w:val="21"/>
              </w:rPr>
            </w:pPr>
          </w:p>
        </w:tc>
        <w:tc>
          <w:tcPr>
            <w:tcW w:w="656" w:type="pct"/>
            <w:tcBorders>
              <w:top w:val="single" w:sz="4" w:space="0" w:color="auto"/>
              <w:left w:val="single" w:sz="4" w:space="0" w:color="auto"/>
              <w:bottom w:val="single" w:sz="4" w:space="0" w:color="auto"/>
              <w:right w:val="single" w:sz="4" w:space="0" w:color="auto"/>
            </w:tcBorders>
            <w:vAlign w:val="center"/>
          </w:tcPr>
          <w:p w14:paraId="5F75DF47" w14:textId="77777777" w:rsidR="00A67F21" w:rsidRPr="00B12FE0" w:rsidRDefault="00000000">
            <w:pPr>
              <w:jc w:val="center"/>
              <w:rPr>
                <w:bCs/>
                <w:color w:val="000000" w:themeColor="text1"/>
                <w:sz w:val="21"/>
                <w:szCs w:val="21"/>
              </w:rPr>
            </w:pPr>
            <w:r w:rsidRPr="00B12FE0">
              <w:rPr>
                <w:bCs/>
                <w:color w:val="000000" w:themeColor="text1"/>
                <w:sz w:val="21"/>
                <w:szCs w:val="21"/>
              </w:rPr>
              <w:t>108</w:t>
            </w:r>
          </w:p>
        </w:tc>
        <w:tc>
          <w:tcPr>
            <w:tcW w:w="1844" w:type="dxa"/>
            <w:vMerge/>
            <w:tcBorders>
              <w:top w:val="single" w:sz="4" w:space="0" w:color="auto"/>
              <w:left w:val="single" w:sz="4" w:space="0" w:color="auto"/>
              <w:bottom w:val="single" w:sz="4" w:space="0" w:color="auto"/>
              <w:right w:val="single" w:sz="4" w:space="0" w:color="auto"/>
            </w:tcBorders>
            <w:vAlign w:val="center"/>
          </w:tcPr>
          <w:p w14:paraId="48039024" w14:textId="77777777" w:rsidR="00A67F21" w:rsidRPr="00B12FE0" w:rsidRDefault="00A67F21">
            <w:pPr>
              <w:widowControl/>
              <w:jc w:val="left"/>
              <w:rPr>
                <w:color w:val="000000" w:themeColor="text1"/>
                <w:sz w:val="21"/>
                <w:szCs w:val="21"/>
              </w:rPr>
            </w:pPr>
          </w:p>
        </w:tc>
        <w:tc>
          <w:tcPr>
            <w:tcW w:w="1345" w:type="pct"/>
            <w:tcBorders>
              <w:top w:val="single" w:sz="4" w:space="0" w:color="auto"/>
              <w:left w:val="single" w:sz="4" w:space="0" w:color="auto"/>
              <w:bottom w:val="single" w:sz="4" w:space="0" w:color="auto"/>
              <w:right w:val="single" w:sz="4" w:space="0" w:color="auto"/>
            </w:tcBorders>
            <w:vAlign w:val="center"/>
          </w:tcPr>
          <w:p w14:paraId="4BBD9DC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铅玻璃观察窗表面</w:t>
            </w:r>
          </w:p>
        </w:tc>
        <w:tc>
          <w:tcPr>
            <w:tcW w:w="1310" w:type="pct"/>
            <w:tcBorders>
              <w:top w:val="single" w:sz="4" w:space="0" w:color="auto"/>
              <w:left w:val="single" w:sz="4" w:space="0" w:color="auto"/>
              <w:bottom w:val="single" w:sz="4" w:space="0" w:color="auto"/>
              <w:right w:val="single" w:sz="4" w:space="0" w:color="auto"/>
            </w:tcBorders>
            <w:vAlign w:val="center"/>
          </w:tcPr>
          <w:p w14:paraId="4459C57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5DD1C9E" w14:textId="77777777">
        <w:trPr>
          <w:trHeight w:val="2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53FA656" w14:textId="77777777" w:rsidR="00A67F21" w:rsidRPr="00B12FE0" w:rsidRDefault="00000000">
            <w:pPr>
              <w:tabs>
                <w:tab w:val="left" w:pos="13020"/>
              </w:tabs>
              <w:rPr>
                <w:color w:val="000000" w:themeColor="text1"/>
                <w:sz w:val="18"/>
                <w:szCs w:val="18"/>
              </w:rPr>
            </w:pPr>
            <w:r w:rsidRPr="00B12FE0">
              <w:rPr>
                <w:rFonts w:hint="eastAsia"/>
                <w:color w:val="000000" w:themeColor="text1"/>
                <w:sz w:val="18"/>
                <w:szCs w:val="18"/>
              </w:rPr>
              <w:t>注：仪器检出限为</w:t>
            </w:r>
            <w:r w:rsidRPr="00B12FE0">
              <w:rPr>
                <w:color w:val="000000" w:themeColor="text1"/>
                <w:sz w:val="18"/>
                <w:szCs w:val="18"/>
              </w:rPr>
              <w:t>0.12Bq/cm</w:t>
            </w:r>
            <w:r w:rsidRPr="00B12FE0">
              <w:rPr>
                <w:color w:val="000000" w:themeColor="text1"/>
                <w:sz w:val="18"/>
                <w:szCs w:val="18"/>
                <w:vertAlign w:val="superscript"/>
              </w:rPr>
              <w:t>2</w:t>
            </w:r>
            <w:r w:rsidRPr="00B12FE0">
              <w:rPr>
                <w:rFonts w:hint="eastAsia"/>
                <w:color w:val="000000" w:themeColor="text1"/>
                <w:sz w:val="18"/>
                <w:szCs w:val="18"/>
              </w:rPr>
              <w:t>。</w:t>
            </w:r>
          </w:p>
        </w:tc>
      </w:tr>
    </w:tbl>
    <w:p w14:paraId="7E9F9809" w14:textId="77777777" w:rsidR="00A67F21" w:rsidRPr="00B12FE0" w:rsidRDefault="00000000">
      <w:pPr>
        <w:adjustRightInd w:val="0"/>
        <w:snapToGrid w:val="0"/>
        <w:spacing w:line="360" w:lineRule="auto"/>
        <w:jc w:val="center"/>
        <w:outlineLvl w:val="4"/>
        <w:rPr>
          <w:b/>
          <w:color w:val="000000" w:themeColor="text1"/>
          <w:sz w:val="21"/>
          <w:szCs w:val="21"/>
        </w:rPr>
      </w:pPr>
      <w:r w:rsidRPr="00B12FE0">
        <w:rPr>
          <w:rFonts w:hint="eastAsia"/>
          <w:b/>
          <w:color w:val="000000" w:themeColor="text1"/>
          <w:sz w:val="21"/>
          <w:szCs w:val="21"/>
        </w:rPr>
        <w:t>表</w:t>
      </w:r>
      <w:r w:rsidRPr="00B12FE0">
        <w:rPr>
          <w:rFonts w:hint="eastAsia"/>
          <w:b/>
          <w:color w:val="000000" w:themeColor="text1"/>
          <w:sz w:val="21"/>
          <w:szCs w:val="21"/>
        </w:rPr>
        <w:t>11.2.1.2-3</w:t>
      </w:r>
      <w:r w:rsidRPr="00B12FE0">
        <w:rPr>
          <w:rFonts w:hint="eastAsia"/>
          <w:b/>
          <w:color w:val="000000" w:themeColor="text1"/>
          <w:sz w:val="21"/>
          <w:szCs w:val="21"/>
        </w:rPr>
        <w:t>江南大学附属医院非密封放射性物质（</w:t>
      </w:r>
      <w:r w:rsidRPr="00B12FE0">
        <w:rPr>
          <w:rFonts w:hint="eastAsia"/>
          <w:b/>
          <w:color w:val="000000" w:themeColor="text1"/>
          <w:sz w:val="21"/>
          <w:szCs w:val="21"/>
          <w:vertAlign w:val="superscript"/>
        </w:rPr>
        <w:t>99m</w:t>
      </w:r>
      <w:r w:rsidRPr="00B12FE0">
        <w:rPr>
          <w:rFonts w:hint="eastAsia"/>
          <w:b/>
          <w:color w:val="000000" w:themeColor="text1"/>
          <w:sz w:val="21"/>
          <w:szCs w:val="21"/>
        </w:rPr>
        <w:t>Tc</w:t>
      </w:r>
      <w:r w:rsidRPr="00B12FE0">
        <w:rPr>
          <w:rFonts w:hint="eastAsia"/>
          <w:b/>
          <w:color w:val="000000" w:themeColor="text1"/>
          <w:sz w:val="21"/>
          <w:szCs w:val="21"/>
        </w:rPr>
        <w:t>）工作场所周围辐射水平监测结果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135"/>
        <w:gridCol w:w="1847"/>
        <w:gridCol w:w="2374"/>
        <w:gridCol w:w="2328"/>
      </w:tblGrid>
      <w:tr w:rsidR="00A67F21" w:rsidRPr="00B12FE0" w14:paraId="099721B8" w14:textId="77777777">
        <w:trPr>
          <w:trHeight w:val="23"/>
          <w:jc w:val="center"/>
        </w:trPr>
        <w:tc>
          <w:tcPr>
            <w:tcW w:w="653" w:type="pct"/>
            <w:tcBorders>
              <w:top w:val="single" w:sz="4" w:space="0" w:color="auto"/>
              <w:left w:val="single" w:sz="4" w:space="0" w:color="auto"/>
              <w:bottom w:val="single" w:sz="4" w:space="0" w:color="auto"/>
              <w:right w:val="single" w:sz="4" w:space="0" w:color="auto"/>
            </w:tcBorders>
            <w:vAlign w:val="center"/>
          </w:tcPr>
          <w:p w14:paraId="4B988BC7"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监测场所</w:t>
            </w:r>
          </w:p>
        </w:tc>
        <w:tc>
          <w:tcPr>
            <w:tcW w:w="642" w:type="pct"/>
            <w:tcBorders>
              <w:top w:val="single" w:sz="4" w:space="0" w:color="auto"/>
              <w:left w:val="single" w:sz="4" w:space="0" w:color="auto"/>
              <w:bottom w:val="single" w:sz="4" w:space="0" w:color="auto"/>
              <w:right w:val="single" w:sz="4" w:space="0" w:color="auto"/>
            </w:tcBorders>
            <w:vAlign w:val="center"/>
          </w:tcPr>
          <w:p w14:paraId="36372A89" w14:textId="77777777" w:rsidR="00A67F21" w:rsidRPr="00B12FE0" w:rsidRDefault="00000000">
            <w:pPr>
              <w:jc w:val="center"/>
              <w:rPr>
                <w:bCs/>
                <w:color w:val="000000" w:themeColor="text1"/>
                <w:sz w:val="21"/>
                <w:szCs w:val="21"/>
              </w:rPr>
            </w:pPr>
            <w:r w:rsidRPr="00B12FE0">
              <w:rPr>
                <w:bCs/>
                <w:color w:val="000000" w:themeColor="text1"/>
                <w:sz w:val="21"/>
                <w:szCs w:val="21"/>
              </w:rPr>
              <w:br w:type="page"/>
            </w:r>
            <w:r w:rsidRPr="00B12FE0">
              <w:rPr>
                <w:rFonts w:hint="eastAsia"/>
                <w:bCs/>
                <w:color w:val="000000" w:themeColor="text1"/>
                <w:sz w:val="21"/>
                <w:szCs w:val="21"/>
              </w:rPr>
              <w:t>序号</w:t>
            </w:r>
          </w:p>
        </w:tc>
        <w:tc>
          <w:tcPr>
            <w:tcW w:w="2388" w:type="pct"/>
            <w:gridSpan w:val="2"/>
            <w:tcBorders>
              <w:top w:val="single" w:sz="4" w:space="0" w:color="auto"/>
              <w:left w:val="single" w:sz="4" w:space="0" w:color="auto"/>
              <w:bottom w:val="single" w:sz="4" w:space="0" w:color="auto"/>
              <w:right w:val="single" w:sz="4" w:space="0" w:color="auto"/>
            </w:tcBorders>
            <w:vAlign w:val="center"/>
          </w:tcPr>
          <w:p w14:paraId="7D678A0E"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监测点位置</w:t>
            </w:r>
          </w:p>
        </w:tc>
        <w:tc>
          <w:tcPr>
            <w:tcW w:w="1315" w:type="pct"/>
            <w:tcBorders>
              <w:top w:val="single" w:sz="4" w:space="0" w:color="auto"/>
              <w:left w:val="single" w:sz="4" w:space="0" w:color="auto"/>
              <w:bottom w:val="single" w:sz="4" w:space="0" w:color="auto"/>
              <w:right w:val="single" w:sz="4" w:space="0" w:color="auto"/>
            </w:tcBorders>
            <w:vAlign w:val="center"/>
          </w:tcPr>
          <w:p w14:paraId="08283573"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检测结果（</w:t>
            </w:r>
            <w:r w:rsidRPr="00B12FE0">
              <w:rPr>
                <w:bCs/>
                <w:color w:val="000000" w:themeColor="text1"/>
                <w:sz w:val="21"/>
                <w:szCs w:val="21"/>
              </w:rPr>
              <w:t>Bq/cm</w:t>
            </w:r>
            <w:r w:rsidRPr="00B12FE0">
              <w:rPr>
                <w:bCs/>
                <w:color w:val="000000" w:themeColor="text1"/>
                <w:sz w:val="21"/>
                <w:szCs w:val="21"/>
                <w:vertAlign w:val="superscript"/>
              </w:rPr>
              <w:t>2</w:t>
            </w:r>
            <w:r w:rsidRPr="00B12FE0">
              <w:rPr>
                <w:rFonts w:hint="eastAsia"/>
                <w:bCs/>
                <w:color w:val="000000" w:themeColor="text1"/>
                <w:sz w:val="21"/>
                <w:szCs w:val="21"/>
              </w:rPr>
              <w:t>）</w:t>
            </w:r>
          </w:p>
        </w:tc>
      </w:tr>
      <w:tr w:rsidR="00A67F21" w:rsidRPr="00B12FE0" w14:paraId="0AD9D081" w14:textId="77777777">
        <w:trPr>
          <w:trHeight w:val="23"/>
          <w:jc w:val="center"/>
        </w:trPr>
        <w:tc>
          <w:tcPr>
            <w:tcW w:w="653" w:type="pct"/>
            <w:vMerge w:val="restart"/>
            <w:tcBorders>
              <w:top w:val="single" w:sz="4" w:space="0" w:color="auto"/>
              <w:left w:val="single" w:sz="4" w:space="0" w:color="auto"/>
              <w:bottom w:val="single" w:sz="4" w:space="0" w:color="auto"/>
              <w:right w:val="single" w:sz="4" w:space="0" w:color="auto"/>
            </w:tcBorders>
            <w:vAlign w:val="center"/>
          </w:tcPr>
          <w:p w14:paraId="05F55861" w14:textId="77777777" w:rsidR="00A67F21" w:rsidRPr="00B12FE0" w:rsidRDefault="00000000">
            <w:pPr>
              <w:jc w:val="center"/>
              <w:rPr>
                <w:bCs/>
                <w:color w:val="000000" w:themeColor="text1"/>
                <w:sz w:val="21"/>
                <w:szCs w:val="21"/>
              </w:rPr>
            </w:pPr>
            <w:r w:rsidRPr="00B12FE0">
              <w:rPr>
                <w:bCs/>
                <w:color w:val="000000" w:themeColor="text1"/>
                <w:sz w:val="21"/>
                <w:szCs w:val="21"/>
              </w:rPr>
              <w:t>SPECT</w:t>
            </w:r>
            <w:r w:rsidRPr="00B12FE0">
              <w:rPr>
                <w:rFonts w:hint="eastAsia"/>
                <w:bCs/>
                <w:color w:val="000000" w:themeColor="text1"/>
                <w:sz w:val="21"/>
                <w:szCs w:val="21"/>
              </w:rPr>
              <w:t>诊断区域</w:t>
            </w:r>
          </w:p>
        </w:tc>
        <w:tc>
          <w:tcPr>
            <w:tcW w:w="642" w:type="pct"/>
            <w:tcBorders>
              <w:top w:val="single" w:sz="4" w:space="0" w:color="auto"/>
              <w:left w:val="single" w:sz="4" w:space="0" w:color="auto"/>
              <w:bottom w:val="single" w:sz="4" w:space="0" w:color="auto"/>
              <w:right w:val="single" w:sz="4" w:space="0" w:color="auto"/>
            </w:tcBorders>
            <w:vAlign w:val="center"/>
          </w:tcPr>
          <w:p w14:paraId="304C2E1F" w14:textId="77777777" w:rsidR="00A67F21" w:rsidRPr="00B12FE0" w:rsidRDefault="00000000">
            <w:pPr>
              <w:jc w:val="center"/>
              <w:rPr>
                <w:bCs/>
                <w:color w:val="000000" w:themeColor="text1"/>
                <w:sz w:val="21"/>
                <w:szCs w:val="21"/>
              </w:rPr>
            </w:pPr>
            <w:r w:rsidRPr="00B12FE0">
              <w:rPr>
                <w:bCs/>
                <w:color w:val="000000" w:themeColor="text1"/>
                <w:sz w:val="21"/>
                <w:szCs w:val="21"/>
              </w:rPr>
              <w:t>1</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75922D88" w14:textId="77777777" w:rsidR="00A67F21" w:rsidRPr="00B12FE0" w:rsidRDefault="00000000">
            <w:pPr>
              <w:jc w:val="center"/>
              <w:rPr>
                <w:color w:val="000000" w:themeColor="text1"/>
                <w:sz w:val="21"/>
                <w:szCs w:val="21"/>
              </w:rPr>
            </w:pPr>
            <w:r w:rsidRPr="00B12FE0">
              <w:rPr>
                <w:color w:val="000000" w:themeColor="text1"/>
                <w:sz w:val="21"/>
                <w:szCs w:val="21"/>
              </w:rPr>
              <w:t>SPECT-CT</w:t>
            </w:r>
            <w:r w:rsidRPr="00B12FE0">
              <w:rPr>
                <w:rFonts w:hint="eastAsia"/>
                <w:color w:val="000000" w:themeColor="text1"/>
                <w:sz w:val="21"/>
                <w:szCs w:val="21"/>
              </w:rPr>
              <w:t>注射室</w:t>
            </w:r>
          </w:p>
        </w:tc>
        <w:tc>
          <w:tcPr>
            <w:tcW w:w="1342" w:type="pct"/>
            <w:tcBorders>
              <w:top w:val="single" w:sz="4" w:space="0" w:color="auto"/>
              <w:left w:val="single" w:sz="4" w:space="0" w:color="auto"/>
              <w:bottom w:val="single" w:sz="4" w:space="0" w:color="auto"/>
              <w:right w:val="single" w:sz="4" w:space="0" w:color="auto"/>
            </w:tcBorders>
            <w:vAlign w:val="center"/>
          </w:tcPr>
          <w:p w14:paraId="03E9A52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通风柜表面</w:t>
            </w:r>
          </w:p>
        </w:tc>
        <w:tc>
          <w:tcPr>
            <w:tcW w:w="1315" w:type="pct"/>
            <w:tcBorders>
              <w:top w:val="single" w:sz="4" w:space="0" w:color="auto"/>
              <w:left w:val="single" w:sz="4" w:space="0" w:color="auto"/>
              <w:bottom w:val="single" w:sz="4" w:space="0" w:color="auto"/>
              <w:right w:val="single" w:sz="4" w:space="0" w:color="auto"/>
            </w:tcBorders>
            <w:vAlign w:val="center"/>
          </w:tcPr>
          <w:p w14:paraId="3572A96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0FFB35A"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6120908B"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95620BA" w14:textId="77777777" w:rsidR="00A67F21" w:rsidRPr="00B12FE0" w:rsidRDefault="00000000">
            <w:pPr>
              <w:jc w:val="center"/>
              <w:rPr>
                <w:bCs/>
                <w:color w:val="000000" w:themeColor="text1"/>
                <w:sz w:val="21"/>
                <w:szCs w:val="21"/>
              </w:rPr>
            </w:pPr>
            <w:r w:rsidRPr="00B12FE0">
              <w:rPr>
                <w:bCs/>
                <w:color w:val="000000" w:themeColor="text1"/>
                <w:sz w:val="21"/>
                <w:szCs w:val="21"/>
              </w:rPr>
              <w:t>2</w:t>
            </w:r>
          </w:p>
        </w:tc>
        <w:tc>
          <w:tcPr>
            <w:tcW w:w="1837" w:type="dxa"/>
            <w:vMerge/>
            <w:tcBorders>
              <w:top w:val="single" w:sz="4" w:space="0" w:color="auto"/>
              <w:left w:val="single" w:sz="4" w:space="0" w:color="auto"/>
              <w:bottom w:val="single" w:sz="4" w:space="0" w:color="auto"/>
              <w:right w:val="single" w:sz="4" w:space="0" w:color="auto"/>
            </w:tcBorders>
            <w:vAlign w:val="center"/>
          </w:tcPr>
          <w:p w14:paraId="38325F8E"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F88983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5" w:type="pct"/>
            <w:tcBorders>
              <w:top w:val="single" w:sz="4" w:space="0" w:color="auto"/>
              <w:left w:val="single" w:sz="4" w:space="0" w:color="auto"/>
              <w:bottom w:val="single" w:sz="4" w:space="0" w:color="auto"/>
              <w:right w:val="single" w:sz="4" w:space="0" w:color="auto"/>
            </w:tcBorders>
            <w:vAlign w:val="center"/>
          </w:tcPr>
          <w:p w14:paraId="3644305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C5816C1"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1C90688D"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6B07AF94" w14:textId="77777777" w:rsidR="00A67F21" w:rsidRPr="00B12FE0" w:rsidRDefault="00000000">
            <w:pPr>
              <w:jc w:val="center"/>
              <w:rPr>
                <w:bCs/>
                <w:color w:val="000000" w:themeColor="text1"/>
                <w:sz w:val="21"/>
                <w:szCs w:val="21"/>
              </w:rPr>
            </w:pPr>
            <w:r w:rsidRPr="00B12FE0">
              <w:rPr>
                <w:bCs/>
                <w:color w:val="000000" w:themeColor="text1"/>
                <w:sz w:val="21"/>
                <w:szCs w:val="21"/>
              </w:rPr>
              <w:t>3</w:t>
            </w:r>
          </w:p>
        </w:tc>
        <w:tc>
          <w:tcPr>
            <w:tcW w:w="1837" w:type="dxa"/>
            <w:vMerge/>
            <w:tcBorders>
              <w:top w:val="single" w:sz="4" w:space="0" w:color="auto"/>
              <w:left w:val="single" w:sz="4" w:space="0" w:color="auto"/>
              <w:bottom w:val="single" w:sz="4" w:space="0" w:color="auto"/>
              <w:right w:val="single" w:sz="4" w:space="0" w:color="auto"/>
            </w:tcBorders>
            <w:vAlign w:val="center"/>
          </w:tcPr>
          <w:p w14:paraId="20E7B01C"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35BF90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5" w:type="pct"/>
            <w:tcBorders>
              <w:top w:val="single" w:sz="4" w:space="0" w:color="auto"/>
              <w:left w:val="single" w:sz="4" w:space="0" w:color="auto"/>
              <w:bottom w:val="single" w:sz="4" w:space="0" w:color="auto"/>
              <w:right w:val="single" w:sz="4" w:space="0" w:color="auto"/>
            </w:tcBorders>
            <w:vAlign w:val="center"/>
          </w:tcPr>
          <w:p w14:paraId="2A6CD5F0"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0.34</w:t>
            </w:r>
          </w:p>
        </w:tc>
      </w:tr>
      <w:tr w:rsidR="00A67F21" w:rsidRPr="00B12FE0" w14:paraId="393A4294"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A6DB74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6E1D6F2B" w14:textId="77777777" w:rsidR="00A67F21" w:rsidRPr="00B12FE0" w:rsidRDefault="00000000">
            <w:pPr>
              <w:jc w:val="center"/>
              <w:rPr>
                <w:bCs/>
                <w:color w:val="000000" w:themeColor="text1"/>
                <w:sz w:val="21"/>
                <w:szCs w:val="21"/>
              </w:rPr>
            </w:pPr>
            <w:r w:rsidRPr="00B12FE0">
              <w:rPr>
                <w:bCs/>
                <w:color w:val="000000" w:themeColor="text1"/>
                <w:sz w:val="21"/>
                <w:szCs w:val="21"/>
              </w:rPr>
              <w:t>4</w:t>
            </w:r>
          </w:p>
        </w:tc>
        <w:tc>
          <w:tcPr>
            <w:tcW w:w="1837" w:type="dxa"/>
            <w:vMerge/>
            <w:tcBorders>
              <w:top w:val="single" w:sz="4" w:space="0" w:color="auto"/>
              <w:left w:val="single" w:sz="4" w:space="0" w:color="auto"/>
              <w:bottom w:val="single" w:sz="4" w:space="0" w:color="auto"/>
              <w:right w:val="single" w:sz="4" w:space="0" w:color="auto"/>
            </w:tcBorders>
            <w:vAlign w:val="center"/>
          </w:tcPr>
          <w:p w14:paraId="7A3EA3ED"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023BD1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医疗废物桶表面</w:t>
            </w:r>
          </w:p>
        </w:tc>
        <w:tc>
          <w:tcPr>
            <w:tcW w:w="1315" w:type="pct"/>
            <w:tcBorders>
              <w:top w:val="single" w:sz="4" w:space="0" w:color="auto"/>
              <w:left w:val="single" w:sz="4" w:space="0" w:color="auto"/>
              <w:bottom w:val="single" w:sz="4" w:space="0" w:color="auto"/>
              <w:right w:val="single" w:sz="4" w:space="0" w:color="auto"/>
            </w:tcBorders>
            <w:vAlign w:val="center"/>
          </w:tcPr>
          <w:p w14:paraId="061A479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F1C7FA9"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0B18FADD"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85CB49E" w14:textId="77777777" w:rsidR="00A67F21" w:rsidRPr="00B12FE0" w:rsidRDefault="00000000">
            <w:pPr>
              <w:jc w:val="center"/>
              <w:rPr>
                <w:bCs/>
                <w:color w:val="000000" w:themeColor="text1"/>
                <w:sz w:val="21"/>
                <w:szCs w:val="21"/>
              </w:rPr>
            </w:pPr>
            <w:r w:rsidRPr="00B12FE0">
              <w:rPr>
                <w:bCs/>
                <w:color w:val="000000" w:themeColor="text1"/>
                <w:sz w:val="21"/>
                <w:szCs w:val="21"/>
              </w:rPr>
              <w:t>5</w:t>
            </w:r>
          </w:p>
        </w:tc>
        <w:tc>
          <w:tcPr>
            <w:tcW w:w="1837" w:type="dxa"/>
            <w:vMerge/>
            <w:tcBorders>
              <w:top w:val="single" w:sz="4" w:space="0" w:color="auto"/>
              <w:left w:val="single" w:sz="4" w:space="0" w:color="auto"/>
              <w:bottom w:val="single" w:sz="4" w:space="0" w:color="auto"/>
              <w:right w:val="single" w:sz="4" w:space="0" w:color="auto"/>
            </w:tcBorders>
            <w:vAlign w:val="center"/>
          </w:tcPr>
          <w:p w14:paraId="778A0469"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4D82962" w14:textId="77777777" w:rsidR="00A67F21" w:rsidRPr="00B12FE0" w:rsidRDefault="00000000">
            <w:pPr>
              <w:tabs>
                <w:tab w:val="left" w:pos="13020"/>
              </w:tabs>
              <w:jc w:val="center"/>
              <w:rPr>
                <w:color w:val="000000" w:themeColor="text1"/>
                <w:sz w:val="21"/>
                <w:szCs w:val="21"/>
              </w:rPr>
            </w:pPr>
            <w:proofErr w:type="gramStart"/>
            <w:r w:rsidRPr="00B12FE0">
              <w:rPr>
                <w:rFonts w:hint="eastAsia"/>
                <w:color w:val="000000" w:themeColor="text1"/>
                <w:sz w:val="21"/>
                <w:szCs w:val="21"/>
              </w:rPr>
              <w:t>注射台表面</w:t>
            </w:r>
            <w:proofErr w:type="gramEnd"/>
          </w:p>
        </w:tc>
        <w:tc>
          <w:tcPr>
            <w:tcW w:w="1315" w:type="pct"/>
            <w:tcBorders>
              <w:top w:val="single" w:sz="4" w:space="0" w:color="auto"/>
              <w:left w:val="single" w:sz="4" w:space="0" w:color="auto"/>
              <w:bottom w:val="single" w:sz="4" w:space="0" w:color="auto"/>
              <w:right w:val="single" w:sz="4" w:space="0" w:color="auto"/>
            </w:tcBorders>
            <w:vAlign w:val="center"/>
          </w:tcPr>
          <w:p w14:paraId="73B8442E"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C8A803A"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035A666B"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E17B943" w14:textId="77777777" w:rsidR="00A67F21" w:rsidRPr="00B12FE0" w:rsidRDefault="00000000">
            <w:pPr>
              <w:jc w:val="center"/>
              <w:rPr>
                <w:bCs/>
                <w:color w:val="000000" w:themeColor="text1"/>
                <w:sz w:val="21"/>
                <w:szCs w:val="21"/>
              </w:rPr>
            </w:pPr>
            <w:r w:rsidRPr="00B12FE0">
              <w:rPr>
                <w:bCs/>
                <w:color w:val="000000" w:themeColor="text1"/>
                <w:sz w:val="21"/>
                <w:szCs w:val="21"/>
              </w:rPr>
              <w:t>6</w:t>
            </w:r>
          </w:p>
        </w:tc>
        <w:tc>
          <w:tcPr>
            <w:tcW w:w="1837" w:type="dxa"/>
            <w:vMerge/>
            <w:tcBorders>
              <w:top w:val="single" w:sz="4" w:space="0" w:color="auto"/>
              <w:left w:val="single" w:sz="4" w:space="0" w:color="auto"/>
              <w:bottom w:val="single" w:sz="4" w:space="0" w:color="auto"/>
              <w:right w:val="single" w:sz="4" w:space="0" w:color="auto"/>
            </w:tcBorders>
            <w:vAlign w:val="center"/>
          </w:tcPr>
          <w:p w14:paraId="2F2B277E"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2596D2A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5" w:type="pct"/>
            <w:tcBorders>
              <w:top w:val="single" w:sz="4" w:space="0" w:color="auto"/>
              <w:left w:val="single" w:sz="4" w:space="0" w:color="auto"/>
              <w:bottom w:val="single" w:sz="4" w:space="0" w:color="auto"/>
              <w:right w:val="single" w:sz="4" w:space="0" w:color="auto"/>
            </w:tcBorders>
            <w:vAlign w:val="center"/>
          </w:tcPr>
          <w:p w14:paraId="261D491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35273909"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78660EB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7E4FF7B8" w14:textId="77777777" w:rsidR="00A67F21" w:rsidRPr="00B12FE0" w:rsidRDefault="00000000">
            <w:pPr>
              <w:jc w:val="center"/>
              <w:rPr>
                <w:bCs/>
                <w:color w:val="000000" w:themeColor="text1"/>
                <w:sz w:val="21"/>
                <w:szCs w:val="21"/>
              </w:rPr>
            </w:pPr>
            <w:r w:rsidRPr="00B12FE0">
              <w:rPr>
                <w:bCs/>
                <w:color w:val="000000" w:themeColor="text1"/>
                <w:sz w:val="21"/>
                <w:szCs w:val="21"/>
              </w:rPr>
              <w:t>7</w:t>
            </w:r>
          </w:p>
        </w:tc>
        <w:tc>
          <w:tcPr>
            <w:tcW w:w="1837" w:type="dxa"/>
            <w:vMerge/>
            <w:tcBorders>
              <w:top w:val="single" w:sz="4" w:space="0" w:color="auto"/>
              <w:left w:val="single" w:sz="4" w:space="0" w:color="auto"/>
              <w:bottom w:val="single" w:sz="4" w:space="0" w:color="auto"/>
              <w:right w:val="single" w:sz="4" w:space="0" w:color="auto"/>
            </w:tcBorders>
            <w:vAlign w:val="center"/>
          </w:tcPr>
          <w:p w14:paraId="5CDF3B50"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AF3546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63FB278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0B9C77B"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3CC3D873"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05386E0" w14:textId="77777777" w:rsidR="00A67F21" w:rsidRPr="00B12FE0" w:rsidRDefault="00000000">
            <w:pPr>
              <w:jc w:val="center"/>
              <w:rPr>
                <w:bCs/>
                <w:color w:val="000000" w:themeColor="text1"/>
                <w:sz w:val="21"/>
                <w:szCs w:val="21"/>
              </w:rPr>
            </w:pPr>
            <w:r w:rsidRPr="00B12FE0">
              <w:rPr>
                <w:bCs/>
                <w:color w:val="000000" w:themeColor="text1"/>
                <w:sz w:val="21"/>
                <w:szCs w:val="21"/>
              </w:rPr>
              <w:t>8</w:t>
            </w:r>
          </w:p>
        </w:tc>
        <w:tc>
          <w:tcPr>
            <w:tcW w:w="1837" w:type="dxa"/>
            <w:vMerge/>
            <w:tcBorders>
              <w:top w:val="single" w:sz="4" w:space="0" w:color="auto"/>
              <w:left w:val="single" w:sz="4" w:space="0" w:color="auto"/>
              <w:bottom w:val="single" w:sz="4" w:space="0" w:color="auto"/>
              <w:right w:val="single" w:sz="4" w:space="0" w:color="auto"/>
            </w:tcBorders>
            <w:vAlign w:val="center"/>
          </w:tcPr>
          <w:p w14:paraId="5F6A03B5"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11D29C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56D83D7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3360CC7"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32269E2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E8E7AFE" w14:textId="77777777" w:rsidR="00A67F21" w:rsidRPr="00B12FE0" w:rsidRDefault="00000000">
            <w:pPr>
              <w:jc w:val="center"/>
              <w:rPr>
                <w:bCs/>
                <w:color w:val="000000" w:themeColor="text1"/>
                <w:sz w:val="21"/>
                <w:szCs w:val="21"/>
              </w:rPr>
            </w:pPr>
            <w:r w:rsidRPr="00B12FE0">
              <w:rPr>
                <w:bCs/>
                <w:color w:val="000000" w:themeColor="text1"/>
                <w:sz w:val="21"/>
                <w:szCs w:val="21"/>
              </w:rPr>
              <w:t>9</w:t>
            </w:r>
          </w:p>
        </w:tc>
        <w:tc>
          <w:tcPr>
            <w:tcW w:w="1837" w:type="dxa"/>
            <w:vMerge/>
            <w:tcBorders>
              <w:top w:val="single" w:sz="4" w:space="0" w:color="auto"/>
              <w:left w:val="single" w:sz="4" w:space="0" w:color="auto"/>
              <w:bottom w:val="single" w:sz="4" w:space="0" w:color="auto"/>
              <w:right w:val="single" w:sz="4" w:space="0" w:color="auto"/>
            </w:tcBorders>
            <w:vAlign w:val="center"/>
          </w:tcPr>
          <w:p w14:paraId="0B110B90"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27F54A0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铅废物桶表面</w:t>
            </w:r>
          </w:p>
        </w:tc>
        <w:tc>
          <w:tcPr>
            <w:tcW w:w="1315" w:type="pct"/>
            <w:tcBorders>
              <w:top w:val="single" w:sz="4" w:space="0" w:color="auto"/>
              <w:left w:val="single" w:sz="4" w:space="0" w:color="auto"/>
              <w:bottom w:val="single" w:sz="4" w:space="0" w:color="auto"/>
              <w:right w:val="single" w:sz="4" w:space="0" w:color="auto"/>
            </w:tcBorders>
            <w:vAlign w:val="center"/>
          </w:tcPr>
          <w:p w14:paraId="08251F7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CDB52C5"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1B94E644"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A528C7B" w14:textId="77777777" w:rsidR="00A67F21" w:rsidRPr="00B12FE0" w:rsidRDefault="00000000">
            <w:pPr>
              <w:jc w:val="center"/>
              <w:rPr>
                <w:bCs/>
                <w:color w:val="000000" w:themeColor="text1"/>
                <w:sz w:val="21"/>
                <w:szCs w:val="21"/>
              </w:rPr>
            </w:pPr>
            <w:r w:rsidRPr="00B12FE0">
              <w:rPr>
                <w:bCs/>
                <w:color w:val="000000" w:themeColor="text1"/>
                <w:sz w:val="21"/>
                <w:szCs w:val="21"/>
              </w:rPr>
              <w:t>10</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0BE412FE" w14:textId="77777777" w:rsidR="00A67F21" w:rsidRPr="00B12FE0" w:rsidRDefault="00000000">
            <w:pPr>
              <w:jc w:val="center"/>
              <w:rPr>
                <w:bCs/>
                <w:color w:val="000000" w:themeColor="text1"/>
                <w:sz w:val="21"/>
                <w:szCs w:val="21"/>
              </w:rPr>
            </w:pPr>
            <w:r w:rsidRPr="00B12FE0">
              <w:rPr>
                <w:color w:val="000000" w:themeColor="text1"/>
                <w:sz w:val="21"/>
                <w:szCs w:val="21"/>
              </w:rPr>
              <w:t>SPECT-CT</w:t>
            </w:r>
            <w:r w:rsidRPr="00B12FE0">
              <w:rPr>
                <w:rFonts w:hint="eastAsia"/>
                <w:color w:val="000000" w:themeColor="text1"/>
                <w:sz w:val="21"/>
                <w:szCs w:val="21"/>
              </w:rPr>
              <w:t>注射后候诊室</w:t>
            </w:r>
          </w:p>
        </w:tc>
        <w:tc>
          <w:tcPr>
            <w:tcW w:w="1342" w:type="pct"/>
            <w:tcBorders>
              <w:top w:val="single" w:sz="4" w:space="0" w:color="auto"/>
              <w:left w:val="single" w:sz="4" w:space="0" w:color="auto"/>
              <w:bottom w:val="single" w:sz="4" w:space="0" w:color="auto"/>
              <w:right w:val="single" w:sz="4" w:space="0" w:color="auto"/>
            </w:tcBorders>
            <w:vAlign w:val="center"/>
          </w:tcPr>
          <w:p w14:paraId="47B9589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2C895DA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7929299"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75032DC0"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5FF04F5" w14:textId="77777777" w:rsidR="00A67F21" w:rsidRPr="00B12FE0" w:rsidRDefault="00000000">
            <w:pPr>
              <w:jc w:val="center"/>
              <w:rPr>
                <w:bCs/>
                <w:color w:val="000000" w:themeColor="text1"/>
                <w:sz w:val="21"/>
                <w:szCs w:val="21"/>
              </w:rPr>
            </w:pPr>
            <w:r w:rsidRPr="00B12FE0">
              <w:rPr>
                <w:bCs/>
                <w:color w:val="000000" w:themeColor="text1"/>
                <w:sz w:val="21"/>
                <w:szCs w:val="21"/>
              </w:rPr>
              <w:t>11</w:t>
            </w:r>
          </w:p>
        </w:tc>
        <w:tc>
          <w:tcPr>
            <w:tcW w:w="1837" w:type="dxa"/>
            <w:vMerge/>
            <w:tcBorders>
              <w:top w:val="single" w:sz="4" w:space="0" w:color="auto"/>
              <w:left w:val="single" w:sz="4" w:space="0" w:color="auto"/>
              <w:bottom w:val="single" w:sz="4" w:space="0" w:color="auto"/>
              <w:right w:val="single" w:sz="4" w:space="0" w:color="auto"/>
            </w:tcBorders>
            <w:vAlign w:val="center"/>
          </w:tcPr>
          <w:p w14:paraId="736DD530" w14:textId="77777777" w:rsidR="00A67F21" w:rsidRPr="00B12FE0" w:rsidRDefault="00A67F21">
            <w:pPr>
              <w:widowControl/>
              <w:jc w:val="left"/>
              <w:rPr>
                <w:bCs/>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798766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0F02C02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3AF24FF"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D0EF024"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11F78F5" w14:textId="77777777" w:rsidR="00A67F21" w:rsidRPr="00B12FE0" w:rsidRDefault="00000000">
            <w:pPr>
              <w:jc w:val="center"/>
              <w:rPr>
                <w:bCs/>
                <w:color w:val="000000" w:themeColor="text1"/>
                <w:sz w:val="21"/>
                <w:szCs w:val="21"/>
              </w:rPr>
            </w:pPr>
            <w:r w:rsidRPr="00B12FE0">
              <w:rPr>
                <w:bCs/>
                <w:color w:val="000000" w:themeColor="text1"/>
                <w:sz w:val="21"/>
                <w:szCs w:val="21"/>
              </w:rPr>
              <w:t>12</w:t>
            </w:r>
          </w:p>
        </w:tc>
        <w:tc>
          <w:tcPr>
            <w:tcW w:w="1837" w:type="dxa"/>
            <w:vMerge/>
            <w:tcBorders>
              <w:top w:val="single" w:sz="4" w:space="0" w:color="auto"/>
              <w:left w:val="single" w:sz="4" w:space="0" w:color="auto"/>
              <w:bottom w:val="single" w:sz="4" w:space="0" w:color="auto"/>
              <w:right w:val="single" w:sz="4" w:space="0" w:color="auto"/>
            </w:tcBorders>
            <w:vAlign w:val="center"/>
          </w:tcPr>
          <w:p w14:paraId="3F702DB7" w14:textId="77777777" w:rsidR="00A67F21" w:rsidRPr="00B12FE0" w:rsidRDefault="00A67F21">
            <w:pPr>
              <w:widowControl/>
              <w:jc w:val="left"/>
              <w:rPr>
                <w:bCs/>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D968FB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座椅</w:t>
            </w:r>
          </w:p>
        </w:tc>
        <w:tc>
          <w:tcPr>
            <w:tcW w:w="1315" w:type="pct"/>
            <w:tcBorders>
              <w:top w:val="single" w:sz="4" w:space="0" w:color="auto"/>
              <w:left w:val="single" w:sz="4" w:space="0" w:color="auto"/>
              <w:bottom w:val="single" w:sz="4" w:space="0" w:color="auto"/>
              <w:right w:val="single" w:sz="4" w:space="0" w:color="auto"/>
            </w:tcBorders>
            <w:vAlign w:val="center"/>
          </w:tcPr>
          <w:p w14:paraId="2414F95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C952436"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012B3E08"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72F761E4" w14:textId="77777777" w:rsidR="00A67F21" w:rsidRPr="00B12FE0" w:rsidRDefault="00000000">
            <w:pPr>
              <w:jc w:val="center"/>
              <w:rPr>
                <w:bCs/>
                <w:color w:val="000000" w:themeColor="text1"/>
                <w:sz w:val="21"/>
                <w:szCs w:val="21"/>
              </w:rPr>
            </w:pPr>
            <w:r w:rsidRPr="00B12FE0">
              <w:rPr>
                <w:bCs/>
                <w:color w:val="000000" w:themeColor="text1"/>
                <w:sz w:val="21"/>
                <w:szCs w:val="21"/>
              </w:rPr>
              <w:t>13</w:t>
            </w:r>
          </w:p>
        </w:tc>
        <w:tc>
          <w:tcPr>
            <w:tcW w:w="1837" w:type="dxa"/>
            <w:vMerge/>
            <w:tcBorders>
              <w:top w:val="single" w:sz="4" w:space="0" w:color="auto"/>
              <w:left w:val="single" w:sz="4" w:space="0" w:color="auto"/>
              <w:bottom w:val="single" w:sz="4" w:space="0" w:color="auto"/>
              <w:right w:val="single" w:sz="4" w:space="0" w:color="auto"/>
            </w:tcBorders>
            <w:vAlign w:val="center"/>
          </w:tcPr>
          <w:p w14:paraId="17734F62" w14:textId="77777777" w:rsidR="00A67F21" w:rsidRPr="00B12FE0" w:rsidRDefault="00A67F21">
            <w:pPr>
              <w:widowControl/>
              <w:jc w:val="left"/>
              <w:rPr>
                <w:bCs/>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DB922A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5" w:type="pct"/>
            <w:tcBorders>
              <w:top w:val="single" w:sz="4" w:space="0" w:color="auto"/>
              <w:left w:val="single" w:sz="4" w:space="0" w:color="auto"/>
              <w:bottom w:val="single" w:sz="4" w:space="0" w:color="auto"/>
              <w:right w:val="single" w:sz="4" w:space="0" w:color="auto"/>
            </w:tcBorders>
            <w:vAlign w:val="center"/>
          </w:tcPr>
          <w:p w14:paraId="0273B93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CEA5809"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709AEC0E"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25ECE06" w14:textId="77777777" w:rsidR="00A67F21" w:rsidRPr="00B12FE0" w:rsidRDefault="00000000">
            <w:pPr>
              <w:jc w:val="center"/>
              <w:rPr>
                <w:bCs/>
                <w:color w:val="000000" w:themeColor="text1"/>
                <w:sz w:val="21"/>
                <w:szCs w:val="21"/>
              </w:rPr>
            </w:pPr>
            <w:r w:rsidRPr="00B12FE0">
              <w:rPr>
                <w:bCs/>
                <w:color w:val="000000" w:themeColor="text1"/>
                <w:sz w:val="21"/>
                <w:szCs w:val="21"/>
              </w:rPr>
              <w:t>14</w:t>
            </w:r>
          </w:p>
        </w:tc>
        <w:tc>
          <w:tcPr>
            <w:tcW w:w="1837" w:type="dxa"/>
            <w:vMerge/>
            <w:tcBorders>
              <w:top w:val="single" w:sz="4" w:space="0" w:color="auto"/>
              <w:left w:val="single" w:sz="4" w:space="0" w:color="auto"/>
              <w:bottom w:val="single" w:sz="4" w:space="0" w:color="auto"/>
              <w:right w:val="single" w:sz="4" w:space="0" w:color="auto"/>
            </w:tcBorders>
            <w:vAlign w:val="center"/>
          </w:tcPr>
          <w:p w14:paraId="0A127641" w14:textId="77777777" w:rsidR="00A67F21" w:rsidRPr="00B12FE0" w:rsidRDefault="00A67F21">
            <w:pPr>
              <w:widowControl/>
              <w:jc w:val="left"/>
              <w:rPr>
                <w:bCs/>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14F465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5" w:type="pct"/>
            <w:tcBorders>
              <w:top w:val="single" w:sz="4" w:space="0" w:color="auto"/>
              <w:left w:val="single" w:sz="4" w:space="0" w:color="auto"/>
              <w:bottom w:val="single" w:sz="4" w:space="0" w:color="auto"/>
              <w:right w:val="single" w:sz="4" w:space="0" w:color="auto"/>
            </w:tcBorders>
            <w:vAlign w:val="center"/>
          </w:tcPr>
          <w:p w14:paraId="5949BD2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707C11B"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54051FF"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F967FDF" w14:textId="77777777" w:rsidR="00A67F21" w:rsidRPr="00B12FE0" w:rsidRDefault="00000000">
            <w:pPr>
              <w:jc w:val="center"/>
              <w:rPr>
                <w:bCs/>
                <w:color w:val="000000" w:themeColor="text1"/>
                <w:sz w:val="21"/>
                <w:szCs w:val="21"/>
              </w:rPr>
            </w:pPr>
            <w:r w:rsidRPr="00B12FE0">
              <w:rPr>
                <w:bCs/>
                <w:color w:val="000000" w:themeColor="text1"/>
                <w:sz w:val="21"/>
                <w:szCs w:val="21"/>
              </w:rPr>
              <w:t>15</w:t>
            </w:r>
          </w:p>
        </w:tc>
        <w:tc>
          <w:tcPr>
            <w:tcW w:w="1837" w:type="dxa"/>
            <w:vMerge/>
            <w:tcBorders>
              <w:top w:val="single" w:sz="4" w:space="0" w:color="auto"/>
              <w:left w:val="single" w:sz="4" w:space="0" w:color="auto"/>
              <w:bottom w:val="single" w:sz="4" w:space="0" w:color="auto"/>
              <w:right w:val="single" w:sz="4" w:space="0" w:color="auto"/>
            </w:tcBorders>
            <w:vAlign w:val="center"/>
          </w:tcPr>
          <w:p w14:paraId="5BB47EDA" w14:textId="77777777" w:rsidR="00A67F21" w:rsidRPr="00B12FE0" w:rsidRDefault="00A67F21">
            <w:pPr>
              <w:widowControl/>
              <w:jc w:val="left"/>
              <w:rPr>
                <w:bCs/>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673602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饮水机表面</w:t>
            </w:r>
          </w:p>
        </w:tc>
        <w:tc>
          <w:tcPr>
            <w:tcW w:w="1315" w:type="pct"/>
            <w:tcBorders>
              <w:top w:val="single" w:sz="4" w:space="0" w:color="auto"/>
              <w:left w:val="single" w:sz="4" w:space="0" w:color="auto"/>
              <w:bottom w:val="single" w:sz="4" w:space="0" w:color="auto"/>
              <w:right w:val="single" w:sz="4" w:space="0" w:color="auto"/>
            </w:tcBorders>
            <w:vAlign w:val="center"/>
          </w:tcPr>
          <w:p w14:paraId="033D057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DAA4E85"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5F8813F5"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272851C" w14:textId="77777777" w:rsidR="00A67F21" w:rsidRPr="00B12FE0" w:rsidRDefault="00000000">
            <w:pPr>
              <w:jc w:val="center"/>
              <w:rPr>
                <w:bCs/>
                <w:color w:val="000000" w:themeColor="text1"/>
                <w:sz w:val="21"/>
                <w:szCs w:val="21"/>
              </w:rPr>
            </w:pPr>
            <w:r w:rsidRPr="00B12FE0">
              <w:rPr>
                <w:bCs/>
                <w:color w:val="000000" w:themeColor="text1"/>
                <w:sz w:val="21"/>
                <w:szCs w:val="21"/>
              </w:rPr>
              <w:t>16</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7E69343F"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男卫生间</w:t>
            </w:r>
          </w:p>
        </w:tc>
        <w:tc>
          <w:tcPr>
            <w:tcW w:w="1342" w:type="pct"/>
            <w:tcBorders>
              <w:top w:val="single" w:sz="4" w:space="0" w:color="auto"/>
              <w:left w:val="single" w:sz="4" w:space="0" w:color="auto"/>
              <w:bottom w:val="single" w:sz="4" w:space="0" w:color="auto"/>
              <w:right w:val="single" w:sz="4" w:space="0" w:color="auto"/>
            </w:tcBorders>
            <w:vAlign w:val="center"/>
          </w:tcPr>
          <w:p w14:paraId="2506541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7ED5DDC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595E835"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399330BD"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EC19634" w14:textId="77777777" w:rsidR="00A67F21" w:rsidRPr="00B12FE0" w:rsidRDefault="00000000">
            <w:pPr>
              <w:jc w:val="center"/>
              <w:rPr>
                <w:bCs/>
                <w:color w:val="000000" w:themeColor="text1"/>
                <w:sz w:val="21"/>
                <w:szCs w:val="21"/>
              </w:rPr>
            </w:pPr>
            <w:r w:rsidRPr="00B12FE0">
              <w:rPr>
                <w:bCs/>
                <w:color w:val="000000" w:themeColor="text1"/>
                <w:sz w:val="21"/>
                <w:szCs w:val="21"/>
              </w:rPr>
              <w:t>17</w:t>
            </w:r>
          </w:p>
        </w:tc>
        <w:tc>
          <w:tcPr>
            <w:tcW w:w="1837" w:type="dxa"/>
            <w:vMerge/>
            <w:tcBorders>
              <w:top w:val="single" w:sz="4" w:space="0" w:color="auto"/>
              <w:left w:val="single" w:sz="4" w:space="0" w:color="auto"/>
              <w:bottom w:val="single" w:sz="4" w:space="0" w:color="auto"/>
              <w:right w:val="single" w:sz="4" w:space="0" w:color="auto"/>
            </w:tcBorders>
            <w:vAlign w:val="center"/>
          </w:tcPr>
          <w:p w14:paraId="43AC3709"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0C82E8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5AAEF91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0C3A6B2"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62F9E35D"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79443C6" w14:textId="77777777" w:rsidR="00A67F21" w:rsidRPr="00B12FE0" w:rsidRDefault="00000000">
            <w:pPr>
              <w:jc w:val="center"/>
              <w:rPr>
                <w:bCs/>
                <w:color w:val="000000" w:themeColor="text1"/>
                <w:sz w:val="21"/>
                <w:szCs w:val="21"/>
              </w:rPr>
            </w:pPr>
            <w:r w:rsidRPr="00B12FE0">
              <w:rPr>
                <w:bCs/>
                <w:color w:val="000000" w:themeColor="text1"/>
                <w:sz w:val="21"/>
                <w:szCs w:val="21"/>
              </w:rPr>
              <w:t>18</w:t>
            </w:r>
          </w:p>
        </w:tc>
        <w:tc>
          <w:tcPr>
            <w:tcW w:w="1837" w:type="dxa"/>
            <w:vMerge/>
            <w:tcBorders>
              <w:top w:val="single" w:sz="4" w:space="0" w:color="auto"/>
              <w:left w:val="single" w:sz="4" w:space="0" w:color="auto"/>
              <w:bottom w:val="single" w:sz="4" w:space="0" w:color="auto"/>
              <w:right w:val="single" w:sz="4" w:space="0" w:color="auto"/>
            </w:tcBorders>
            <w:vAlign w:val="center"/>
          </w:tcPr>
          <w:p w14:paraId="7DF8C65D"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BDEC9E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5" w:type="pct"/>
            <w:tcBorders>
              <w:top w:val="single" w:sz="4" w:space="0" w:color="auto"/>
              <w:left w:val="single" w:sz="4" w:space="0" w:color="auto"/>
              <w:bottom w:val="single" w:sz="4" w:space="0" w:color="auto"/>
              <w:right w:val="single" w:sz="4" w:space="0" w:color="auto"/>
            </w:tcBorders>
            <w:vAlign w:val="center"/>
          </w:tcPr>
          <w:p w14:paraId="3CF4A75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A45F3A4"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3CDEAD17"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5A32E8F" w14:textId="77777777" w:rsidR="00A67F21" w:rsidRPr="00B12FE0" w:rsidRDefault="00000000">
            <w:pPr>
              <w:jc w:val="center"/>
              <w:rPr>
                <w:bCs/>
                <w:color w:val="000000" w:themeColor="text1"/>
                <w:sz w:val="21"/>
                <w:szCs w:val="21"/>
              </w:rPr>
            </w:pPr>
            <w:r w:rsidRPr="00B12FE0">
              <w:rPr>
                <w:bCs/>
                <w:color w:val="000000" w:themeColor="text1"/>
                <w:sz w:val="21"/>
                <w:szCs w:val="21"/>
              </w:rPr>
              <w:t>19</w:t>
            </w:r>
          </w:p>
        </w:tc>
        <w:tc>
          <w:tcPr>
            <w:tcW w:w="1837" w:type="dxa"/>
            <w:vMerge/>
            <w:tcBorders>
              <w:top w:val="single" w:sz="4" w:space="0" w:color="auto"/>
              <w:left w:val="single" w:sz="4" w:space="0" w:color="auto"/>
              <w:bottom w:val="single" w:sz="4" w:space="0" w:color="auto"/>
              <w:right w:val="single" w:sz="4" w:space="0" w:color="auto"/>
            </w:tcBorders>
            <w:vAlign w:val="center"/>
          </w:tcPr>
          <w:p w14:paraId="203E10AC"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8125F7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5" w:type="pct"/>
            <w:tcBorders>
              <w:top w:val="single" w:sz="4" w:space="0" w:color="auto"/>
              <w:left w:val="single" w:sz="4" w:space="0" w:color="auto"/>
              <w:bottom w:val="single" w:sz="4" w:space="0" w:color="auto"/>
              <w:right w:val="single" w:sz="4" w:space="0" w:color="auto"/>
            </w:tcBorders>
            <w:vAlign w:val="center"/>
          </w:tcPr>
          <w:p w14:paraId="43E52EEC"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3.0</w:t>
            </w:r>
          </w:p>
        </w:tc>
      </w:tr>
      <w:tr w:rsidR="00A67F21" w:rsidRPr="00B12FE0" w14:paraId="47371884"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78A0C798"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B161D6F" w14:textId="77777777" w:rsidR="00A67F21" w:rsidRPr="00B12FE0" w:rsidRDefault="00000000">
            <w:pPr>
              <w:jc w:val="center"/>
              <w:rPr>
                <w:bCs/>
                <w:color w:val="000000" w:themeColor="text1"/>
                <w:sz w:val="21"/>
                <w:szCs w:val="21"/>
              </w:rPr>
            </w:pPr>
            <w:r w:rsidRPr="00B12FE0">
              <w:rPr>
                <w:bCs/>
                <w:color w:val="000000" w:themeColor="text1"/>
                <w:sz w:val="21"/>
                <w:szCs w:val="21"/>
              </w:rPr>
              <w:t>20</w:t>
            </w:r>
          </w:p>
        </w:tc>
        <w:tc>
          <w:tcPr>
            <w:tcW w:w="1837" w:type="dxa"/>
            <w:vMerge/>
            <w:tcBorders>
              <w:top w:val="single" w:sz="4" w:space="0" w:color="auto"/>
              <w:left w:val="single" w:sz="4" w:space="0" w:color="auto"/>
              <w:bottom w:val="single" w:sz="4" w:space="0" w:color="auto"/>
              <w:right w:val="single" w:sz="4" w:space="0" w:color="auto"/>
            </w:tcBorders>
            <w:vAlign w:val="center"/>
          </w:tcPr>
          <w:p w14:paraId="2A74180C"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2CB4D5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洗手池墙面</w:t>
            </w:r>
          </w:p>
        </w:tc>
        <w:tc>
          <w:tcPr>
            <w:tcW w:w="1315" w:type="pct"/>
            <w:tcBorders>
              <w:top w:val="single" w:sz="4" w:space="0" w:color="auto"/>
              <w:left w:val="single" w:sz="4" w:space="0" w:color="auto"/>
              <w:bottom w:val="single" w:sz="4" w:space="0" w:color="auto"/>
              <w:right w:val="single" w:sz="4" w:space="0" w:color="auto"/>
            </w:tcBorders>
            <w:vAlign w:val="center"/>
          </w:tcPr>
          <w:p w14:paraId="0C62D94D"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0.13</w:t>
            </w:r>
          </w:p>
        </w:tc>
      </w:tr>
      <w:tr w:rsidR="00A67F21" w:rsidRPr="00B12FE0" w14:paraId="0A8111FE"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27B46CF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FC5714F" w14:textId="77777777" w:rsidR="00A67F21" w:rsidRPr="00B12FE0" w:rsidRDefault="00000000">
            <w:pPr>
              <w:jc w:val="center"/>
              <w:rPr>
                <w:bCs/>
                <w:color w:val="000000" w:themeColor="text1"/>
                <w:sz w:val="21"/>
                <w:szCs w:val="21"/>
              </w:rPr>
            </w:pPr>
            <w:r w:rsidRPr="00B12FE0">
              <w:rPr>
                <w:bCs/>
                <w:color w:val="000000" w:themeColor="text1"/>
                <w:sz w:val="21"/>
                <w:szCs w:val="21"/>
              </w:rPr>
              <w:t>21</w:t>
            </w:r>
          </w:p>
        </w:tc>
        <w:tc>
          <w:tcPr>
            <w:tcW w:w="1837" w:type="dxa"/>
            <w:vMerge/>
            <w:tcBorders>
              <w:top w:val="single" w:sz="4" w:space="0" w:color="auto"/>
              <w:left w:val="single" w:sz="4" w:space="0" w:color="auto"/>
              <w:bottom w:val="single" w:sz="4" w:space="0" w:color="auto"/>
              <w:right w:val="single" w:sz="4" w:space="0" w:color="auto"/>
            </w:tcBorders>
            <w:vAlign w:val="center"/>
          </w:tcPr>
          <w:p w14:paraId="6498D045"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57AC87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垃圾桶表面</w:t>
            </w:r>
          </w:p>
        </w:tc>
        <w:tc>
          <w:tcPr>
            <w:tcW w:w="1315" w:type="pct"/>
            <w:tcBorders>
              <w:top w:val="single" w:sz="4" w:space="0" w:color="auto"/>
              <w:left w:val="single" w:sz="4" w:space="0" w:color="auto"/>
              <w:bottom w:val="single" w:sz="4" w:space="0" w:color="auto"/>
              <w:right w:val="single" w:sz="4" w:space="0" w:color="auto"/>
            </w:tcBorders>
            <w:vAlign w:val="center"/>
          </w:tcPr>
          <w:p w14:paraId="6269A8E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8507FEA"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149BE49D"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B9E1C60" w14:textId="77777777" w:rsidR="00A67F21" w:rsidRPr="00B12FE0" w:rsidRDefault="00000000">
            <w:pPr>
              <w:jc w:val="center"/>
              <w:rPr>
                <w:bCs/>
                <w:color w:val="000000" w:themeColor="text1"/>
                <w:sz w:val="21"/>
                <w:szCs w:val="21"/>
              </w:rPr>
            </w:pPr>
            <w:r w:rsidRPr="00B12FE0">
              <w:rPr>
                <w:bCs/>
                <w:color w:val="000000" w:themeColor="text1"/>
                <w:sz w:val="21"/>
                <w:szCs w:val="21"/>
              </w:rPr>
              <w:t>22</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3BB35156"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女卫生间</w:t>
            </w:r>
          </w:p>
        </w:tc>
        <w:tc>
          <w:tcPr>
            <w:tcW w:w="1342" w:type="pct"/>
            <w:tcBorders>
              <w:top w:val="single" w:sz="4" w:space="0" w:color="auto"/>
              <w:left w:val="single" w:sz="4" w:space="0" w:color="auto"/>
              <w:bottom w:val="single" w:sz="4" w:space="0" w:color="auto"/>
              <w:right w:val="single" w:sz="4" w:space="0" w:color="auto"/>
            </w:tcBorders>
            <w:vAlign w:val="center"/>
          </w:tcPr>
          <w:p w14:paraId="69442E8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77B8D1A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F20E9B3"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1347F1F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A1ABF9D" w14:textId="77777777" w:rsidR="00A67F21" w:rsidRPr="00B12FE0" w:rsidRDefault="00000000">
            <w:pPr>
              <w:jc w:val="center"/>
              <w:rPr>
                <w:bCs/>
                <w:color w:val="000000" w:themeColor="text1"/>
                <w:sz w:val="21"/>
                <w:szCs w:val="21"/>
              </w:rPr>
            </w:pPr>
            <w:r w:rsidRPr="00B12FE0">
              <w:rPr>
                <w:bCs/>
                <w:color w:val="000000" w:themeColor="text1"/>
                <w:sz w:val="21"/>
                <w:szCs w:val="21"/>
              </w:rPr>
              <w:t>23</w:t>
            </w:r>
          </w:p>
        </w:tc>
        <w:tc>
          <w:tcPr>
            <w:tcW w:w="1837" w:type="dxa"/>
            <w:vMerge/>
            <w:tcBorders>
              <w:top w:val="single" w:sz="4" w:space="0" w:color="auto"/>
              <w:left w:val="single" w:sz="4" w:space="0" w:color="auto"/>
              <w:bottom w:val="single" w:sz="4" w:space="0" w:color="auto"/>
              <w:right w:val="single" w:sz="4" w:space="0" w:color="auto"/>
            </w:tcBorders>
            <w:vAlign w:val="center"/>
          </w:tcPr>
          <w:p w14:paraId="7F35C1EC"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C5D7D6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39A0F69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C9A0C35"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5CB278F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5D7FFE3" w14:textId="77777777" w:rsidR="00A67F21" w:rsidRPr="00B12FE0" w:rsidRDefault="00000000">
            <w:pPr>
              <w:jc w:val="center"/>
              <w:rPr>
                <w:bCs/>
                <w:color w:val="000000" w:themeColor="text1"/>
                <w:sz w:val="21"/>
                <w:szCs w:val="21"/>
              </w:rPr>
            </w:pPr>
            <w:r w:rsidRPr="00B12FE0">
              <w:rPr>
                <w:bCs/>
                <w:color w:val="000000" w:themeColor="text1"/>
                <w:sz w:val="21"/>
                <w:szCs w:val="21"/>
              </w:rPr>
              <w:t>24</w:t>
            </w:r>
          </w:p>
        </w:tc>
        <w:tc>
          <w:tcPr>
            <w:tcW w:w="1837" w:type="dxa"/>
            <w:vMerge/>
            <w:tcBorders>
              <w:top w:val="single" w:sz="4" w:space="0" w:color="auto"/>
              <w:left w:val="single" w:sz="4" w:space="0" w:color="auto"/>
              <w:bottom w:val="single" w:sz="4" w:space="0" w:color="auto"/>
              <w:right w:val="single" w:sz="4" w:space="0" w:color="auto"/>
            </w:tcBorders>
            <w:vAlign w:val="center"/>
          </w:tcPr>
          <w:p w14:paraId="0A8084FB"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F7A38AB"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门表面</w:t>
            </w:r>
          </w:p>
        </w:tc>
        <w:tc>
          <w:tcPr>
            <w:tcW w:w="1315" w:type="pct"/>
            <w:tcBorders>
              <w:top w:val="single" w:sz="4" w:space="0" w:color="auto"/>
              <w:left w:val="single" w:sz="4" w:space="0" w:color="auto"/>
              <w:bottom w:val="single" w:sz="4" w:space="0" w:color="auto"/>
              <w:right w:val="single" w:sz="4" w:space="0" w:color="auto"/>
            </w:tcBorders>
            <w:vAlign w:val="center"/>
          </w:tcPr>
          <w:p w14:paraId="0EDCEDC3"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5B96B84"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CD33A33"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E6C9469" w14:textId="77777777" w:rsidR="00A67F21" w:rsidRPr="00B12FE0" w:rsidRDefault="00000000">
            <w:pPr>
              <w:jc w:val="center"/>
              <w:rPr>
                <w:bCs/>
                <w:color w:val="000000" w:themeColor="text1"/>
                <w:sz w:val="21"/>
                <w:szCs w:val="21"/>
              </w:rPr>
            </w:pPr>
            <w:r w:rsidRPr="00B12FE0">
              <w:rPr>
                <w:bCs/>
                <w:color w:val="000000" w:themeColor="text1"/>
                <w:sz w:val="21"/>
                <w:szCs w:val="21"/>
              </w:rPr>
              <w:t>25</w:t>
            </w:r>
          </w:p>
        </w:tc>
        <w:tc>
          <w:tcPr>
            <w:tcW w:w="1837" w:type="dxa"/>
            <w:vMerge/>
            <w:tcBorders>
              <w:top w:val="single" w:sz="4" w:space="0" w:color="auto"/>
              <w:left w:val="single" w:sz="4" w:space="0" w:color="auto"/>
              <w:bottom w:val="single" w:sz="4" w:space="0" w:color="auto"/>
              <w:right w:val="single" w:sz="4" w:space="0" w:color="auto"/>
            </w:tcBorders>
            <w:vAlign w:val="center"/>
          </w:tcPr>
          <w:p w14:paraId="068670D7"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6EA3A2C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便池表面</w:t>
            </w:r>
          </w:p>
        </w:tc>
        <w:tc>
          <w:tcPr>
            <w:tcW w:w="1315" w:type="pct"/>
            <w:tcBorders>
              <w:top w:val="single" w:sz="4" w:space="0" w:color="auto"/>
              <w:left w:val="single" w:sz="4" w:space="0" w:color="auto"/>
              <w:bottom w:val="single" w:sz="4" w:space="0" w:color="auto"/>
              <w:right w:val="single" w:sz="4" w:space="0" w:color="auto"/>
            </w:tcBorders>
            <w:vAlign w:val="center"/>
          </w:tcPr>
          <w:p w14:paraId="16A86863"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2.2</w:t>
            </w:r>
          </w:p>
        </w:tc>
      </w:tr>
      <w:tr w:rsidR="00A67F21" w:rsidRPr="00B12FE0" w14:paraId="49020208"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55E80B8"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57CDD8C" w14:textId="77777777" w:rsidR="00A67F21" w:rsidRPr="00B12FE0" w:rsidRDefault="00000000">
            <w:pPr>
              <w:jc w:val="center"/>
              <w:rPr>
                <w:bCs/>
                <w:color w:val="000000" w:themeColor="text1"/>
                <w:sz w:val="21"/>
                <w:szCs w:val="21"/>
              </w:rPr>
            </w:pPr>
            <w:r w:rsidRPr="00B12FE0">
              <w:rPr>
                <w:bCs/>
                <w:color w:val="000000" w:themeColor="text1"/>
                <w:sz w:val="21"/>
                <w:szCs w:val="21"/>
              </w:rPr>
              <w:t>26</w:t>
            </w:r>
          </w:p>
        </w:tc>
        <w:tc>
          <w:tcPr>
            <w:tcW w:w="1837" w:type="dxa"/>
            <w:vMerge/>
            <w:tcBorders>
              <w:top w:val="single" w:sz="4" w:space="0" w:color="auto"/>
              <w:left w:val="single" w:sz="4" w:space="0" w:color="auto"/>
              <w:bottom w:val="single" w:sz="4" w:space="0" w:color="auto"/>
              <w:right w:val="single" w:sz="4" w:space="0" w:color="auto"/>
            </w:tcBorders>
            <w:vAlign w:val="center"/>
          </w:tcPr>
          <w:p w14:paraId="324C215F"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2DA9075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洗手池墙面</w:t>
            </w:r>
          </w:p>
        </w:tc>
        <w:tc>
          <w:tcPr>
            <w:tcW w:w="1315" w:type="pct"/>
            <w:tcBorders>
              <w:top w:val="single" w:sz="4" w:space="0" w:color="auto"/>
              <w:left w:val="single" w:sz="4" w:space="0" w:color="auto"/>
              <w:bottom w:val="single" w:sz="4" w:space="0" w:color="auto"/>
              <w:right w:val="single" w:sz="4" w:space="0" w:color="auto"/>
            </w:tcBorders>
            <w:vAlign w:val="center"/>
          </w:tcPr>
          <w:p w14:paraId="488C4A0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0.23</w:t>
            </w:r>
          </w:p>
        </w:tc>
      </w:tr>
      <w:tr w:rsidR="00A67F21" w:rsidRPr="00B12FE0" w14:paraId="373A9094"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6D14CBE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1DFB622" w14:textId="77777777" w:rsidR="00A67F21" w:rsidRPr="00B12FE0" w:rsidRDefault="00000000">
            <w:pPr>
              <w:jc w:val="center"/>
              <w:rPr>
                <w:bCs/>
                <w:color w:val="000000" w:themeColor="text1"/>
                <w:sz w:val="21"/>
                <w:szCs w:val="21"/>
              </w:rPr>
            </w:pPr>
            <w:r w:rsidRPr="00B12FE0">
              <w:rPr>
                <w:bCs/>
                <w:color w:val="000000" w:themeColor="text1"/>
                <w:sz w:val="21"/>
                <w:szCs w:val="21"/>
              </w:rPr>
              <w:t>27</w:t>
            </w:r>
          </w:p>
        </w:tc>
        <w:tc>
          <w:tcPr>
            <w:tcW w:w="1837" w:type="dxa"/>
            <w:vMerge/>
            <w:tcBorders>
              <w:top w:val="single" w:sz="4" w:space="0" w:color="auto"/>
              <w:left w:val="single" w:sz="4" w:space="0" w:color="auto"/>
              <w:bottom w:val="single" w:sz="4" w:space="0" w:color="auto"/>
              <w:right w:val="single" w:sz="4" w:space="0" w:color="auto"/>
            </w:tcBorders>
            <w:vAlign w:val="center"/>
          </w:tcPr>
          <w:p w14:paraId="0E5B265F"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9DBD331"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垃圾桶表面</w:t>
            </w:r>
          </w:p>
        </w:tc>
        <w:tc>
          <w:tcPr>
            <w:tcW w:w="1315" w:type="pct"/>
            <w:tcBorders>
              <w:top w:val="single" w:sz="4" w:space="0" w:color="auto"/>
              <w:left w:val="single" w:sz="4" w:space="0" w:color="auto"/>
              <w:bottom w:val="single" w:sz="4" w:space="0" w:color="auto"/>
              <w:right w:val="single" w:sz="4" w:space="0" w:color="auto"/>
            </w:tcBorders>
            <w:vAlign w:val="center"/>
          </w:tcPr>
          <w:p w14:paraId="6141DFFB" w14:textId="77777777" w:rsidR="00A67F21" w:rsidRPr="00B12FE0" w:rsidRDefault="00000000">
            <w:pPr>
              <w:jc w:val="center"/>
              <w:rPr>
                <w:bCs/>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831C152" w14:textId="77777777">
        <w:trPr>
          <w:trHeight w:val="23"/>
          <w:jc w:val="center"/>
        </w:trPr>
        <w:tc>
          <w:tcPr>
            <w:tcW w:w="653" w:type="pct"/>
            <w:vMerge w:val="restart"/>
            <w:tcBorders>
              <w:top w:val="single" w:sz="4" w:space="0" w:color="auto"/>
              <w:left w:val="single" w:sz="4" w:space="0" w:color="auto"/>
              <w:bottom w:val="single" w:sz="4" w:space="0" w:color="auto"/>
              <w:right w:val="single" w:sz="4" w:space="0" w:color="auto"/>
            </w:tcBorders>
            <w:vAlign w:val="center"/>
          </w:tcPr>
          <w:p w14:paraId="5CC942EC" w14:textId="77777777" w:rsidR="00A67F21" w:rsidRPr="00B12FE0" w:rsidRDefault="00000000">
            <w:pPr>
              <w:jc w:val="center"/>
              <w:rPr>
                <w:bCs/>
                <w:color w:val="000000" w:themeColor="text1"/>
                <w:sz w:val="21"/>
                <w:szCs w:val="21"/>
              </w:rPr>
            </w:pPr>
            <w:r w:rsidRPr="00B12FE0">
              <w:rPr>
                <w:bCs/>
                <w:color w:val="000000" w:themeColor="text1"/>
                <w:sz w:val="21"/>
                <w:szCs w:val="21"/>
              </w:rPr>
              <w:t>SPECT</w:t>
            </w:r>
            <w:r w:rsidRPr="00B12FE0">
              <w:rPr>
                <w:rFonts w:hint="eastAsia"/>
                <w:bCs/>
                <w:color w:val="000000" w:themeColor="text1"/>
                <w:sz w:val="21"/>
                <w:szCs w:val="21"/>
              </w:rPr>
              <w:t>诊断区域</w:t>
            </w:r>
          </w:p>
        </w:tc>
        <w:tc>
          <w:tcPr>
            <w:tcW w:w="642" w:type="pct"/>
            <w:tcBorders>
              <w:top w:val="single" w:sz="4" w:space="0" w:color="auto"/>
              <w:left w:val="single" w:sz="4" w:space="0" w:color="auto"/>
              <w:bottom w:val="single" w:sz="4" w:space="0" w:color="auto"/>
              <w:right w:val="single" w:sz="4" w:space="0" w:color="auto"/>
            </w:tcBorders>
            <w:vAlign w:val="center"/>
          </w:tcPr>
          <w:p w14:paraId="30194AAD" w14:textId="77777777" w:rsidR="00A67F21" w:rsidRPr="00B12FE0" w:rsidRDefault="00000000">
            <w:pPr>
              <w:jc w:val="center"/>
              <w:rPr>
                <w:bCs/>
                <w:color w:val="000000" w:themeColor="text1"/>
                <w:sz w:val="21"/>
                <w:szCs w:val="21"/>
              </w:rPr>
            </w:pPr>
            <w:r w:rsidRPr="00B12FE0">
              <w:rPr>
                <w:bCs/>
                <w:color w:val="000000" w:themeColor="text1"/>
                <w:sz w:val="21"/>
                <w:szCs w:val="21"/>
              </w:rPr>
              <w:t>28</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55529AC0"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患者通道</w:t>
            </w:r>
          </w:p>
        </w:tc>
        <w:tc>
          <w:tcPr>
            <w:tcW w:w="1342" w:type="pct"/>
            <w:tcBorders>
              <w:top w:val="single" w:sz="4" w:space="0" w:color="auto"/>
              <w:left w:val="single" w:sz="4" w:space="0" w:color="auto"/>
              <w:bottom w:val="single" w:sz="4" w:space="0" w:color="auto"/>
              <w:right w:val="single" w:sz="4" w:space="0" w:color="auto"/>
            </w:tcBorders>
            <w:vAlign w:val="center"/>
          </w:tcPr>
          <w:p w14:paraId="5D0791A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066BFF6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821798E"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27D25BC1"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C16C36B" w14:textId="77777777" w:rsidR="00A67F21" w:rsidRPr="00B12FE0" w:rsidRDefault="00000000">
            <w:pPr>
              <w:jc w:val="center"/>
              <w:rPr>
                <w:bCs/>
                <w:color w:val="000000" w:themeColor="text1"/>
                <w:sz w:val="21"/>
                <w:szCs w:val="21"/>
              </w:rPr>
            </w:pPr>
            <w:r w:rsidRPr="00B12FE0">
              <w:rPr>
                <w:bCs/>
                <w:color w:val="000000" w:themeColor="text1"/>
                <w:sz w:val="21"/>
                <w:szCs w:val="21"/>
              </w:rPr>
              <w:t>29</w:t>
            </w:r>
          </w:p>
        </w:tc>
        <w:tc>
          <w:tcPr>
            <w:tcW w:w="1837" w:type="dxa"/>
            <w:vMerge/>
            <w:tcBorders>
              <w:top w:val="single" w:sz="4" w:space="0" w:color="auto"/>
              <w:left w:val="single" w:sz="4" w:space="0" w:color="auto"/>
              <w:bottom w:val="single" w:sz="4" w:space="0" w:color="auto"/>
              <w:right w:val="single" w:sz="4" w:space="0" w:color="auto"/>
            </w:tcBorders>
            <w:vAlign w:val="center"/>
          </w:tcPr>
          <w:p w14:paraId="2053C494"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8A91A0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1A58B4EC"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614E37A"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174122CA"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8E06FEE" w14:textId="77777777" w:rsidR="00A67F21" w:rsidRPr="00B12FE0" w:rsidRDefault="00000000">
            <w:pPr>
              <w:jc w:val="center"/>
              <w:rPr>
                <w:bCs/>
                <w:color w:val="000000" w:themeColor="text1"/>
                <w:sz w:val="21"/>
                <w:szCs w:val="21"/>
              </w:rPr>
            </w:pPr>
            <w:r w:rsidRPr="00B12FE0">
              <w:rPr>
                <w:bCs/>
                <w:color w:val="000000" w:themeColor="text1"/>
                <w:sz w:val="21"/>
                <w:szCs w:val="21"/>
              </w:rPr>
              <w:t>30</w:t>
            </w:r>
          </w:p>
        </w:tc>
        <w:tc>
          <w:tcPr>
            <w:tcW w:w="1837" w:type="dxa"/>
            <w:vMerge/>
            <w:tcBorders>
              <w:top w:val="single" w:sz="4" w:space="0" w:color="auto"/>
              <w:left w:val="single" w:sz="4" w:space="0" w:color="auto"/>
              <w:bottom w:val="single" w:sz="4" w:space="0" w:color="auto"/>
              <w:right w:val="single" w:sz="4" w:space="0" w:color="auto"/>
            </w:tcBorders>
            <w:vAlign w:val="center"/>
          </w:tcPr>
          <w:p w14:paraId="1532E16B"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BFE852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5" w:type="pct"/>
            <w:tcBorders>
              <w:top w:val="single" w:sz="4" w:space="0" w:color="auto"/>
              <w:left w:val="single" w:sz="4" w:space="0" w:color="auto"/>
              <w:bottom w:val="single" w:sz="4" w:space="0" w:color="auto"/>
              <w:right w:val="single" w:sz="4" w:space="0" w:color="auto"/>
            </w:tcBorders>
            <w:vAlign w:val="center"/>
          </w:tcPr>
          <w:p w14:paraId="4E484892"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FBF0173"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2A67A261"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64CD1BA8" w14:textId="77777777" w:rsidR="00A67F21" w:rsidRPr="00B12FE0" w:rsidRDefault="00000000">
            <w:pPr>
              <w:jc w:val="center"/>
              <w:rPr>
                <w:bCs/>
                <w:color w:val="000000" w:themeColor="text1"/>
                <w:sz w:val="21"/>
                <w:szCs w:val="21"/>
              </w:rPr>
            </w:pPr>
            <w:r w:rsidRPr="00B12FE0">
              <w:rPr>
                <w:bCs/>
                <w:color w:val="000000" w:themeColor="text1"/>
                <w:sz w:val="21"/>
                <w:szCs w:val="21"/>
              </w:rPr>
              <w:t>31</w:t>
            </w:r>
          </w:p>
        </w:tc>
        <w:tc>
          <w:tcPr>
            <w:tcW w:w="1837" w:type="dxa"/>
            <w:vMerge/>
            <w:tcBorders>
              <w:top w:val="single" w:sz="4" w:space="0" w:color="auto"/>
              <w:left w:val="single" w:sz="4" w:space="0" w:color="auto"/>
              <w:bottom w:val="single" w:sz="4" w:space="0" w:color="auto"/>
              <w:right w:val="single" w:sz="4" w:space="0" w:color="auto"/>
            </w:tcBorders>
            <w:vAlign w:val="center"/>
          </w:tcPr>
          <w:p w14:paraId="2BAAF39E"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850CA5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5" w:type="pct"/>
            <w:tcBorders>
              <w:top w:val="single" w:sz="4" w:space="0" w:color="auto"/>
              <w:left w:val="single" w:sz="4" w:space="0" w:color="auto"/>
              <w:bottom w:val="single" w:sz="4" w:space="0" w:color="auto"/>
              <w:right w:val="single" w:sz="4" w:space="0" w:color="auto"/>
            </w:tcBorders>
            <w:vAlign w:val="center"/>
          </w:tcPr>
          <w:p w14:paraId="2E6F528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4DA8BB99"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5DA7A03F"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2BB7A51" w14:textId="77777777" w:rsidR="00A67F21" w:rsidRPr="00B12FE0" w:rsidRDefault="00000000">
            <w:pPr>
              <w:jc w:val="center"/>
              <w:rPr>
                <w:bCs/>
                <w:color w:val="000000" w:themeColor="text1"/>
                <w:sz w:val="21"/>
                <w:szCs w:val="21"/>
              </w:rPr>
            </w:pPr>
            <w:r w:rsidRPr="00B12FE0">
              <w:rPr>
                <w:bCs/>
                <w:color w:val="000000" w:themeColor="text1"/>
                <w:sz w:val="21"/>
                <w:szCs w:val="21"/>
              </w:rPr>
              <w:t>32</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6D501857"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SPECT-CT</w:t>
            </w:r>
            <w:r w:rsidRPr="00B12FE0">
              <w:rPr>
                <w:rFonts w:hint="eastAsia"/>
                <w:color w:val="000000" w:themeColor="text1"/>
                <w:sz w:val="21"/>
                <w:szCs w:val="21"/>
              </w:rPr>
              <w:t>检查室</w:t>
            </w:r>
            <w:r w:rsidRPr="00B12FE0">
              <w:rPr>
                <w:color w:val="000000" w:themeColor="text1"/>
                <w:sz w:val="21"/>
                <w:szCs w:val="21"/>
              </w:rPr>
              <w:t>1</w:t>
            </w:r>
          </w:p>
        </w:tc>
        <w:tc>
          <w:tcPr>
            <w:tcW w:w="1342" w:type="pct"/>
            <w:tcBorders>
              <w:top w:val="single" w:sz="4" w:space="0" w:color="auto"/>
              <w:left w:val="single" w:sz="4" w:space="0" w:color="auto"/>
              <w:bottom w:val="single" w:sz="4" w:space="0" w:color="auto"/>
              <w:right w:val="single" w:sz="4" w:space="0" w:color="auto"/>
            </w:tcBorders>
            <w:vAlign w:val="center"/>
          </w:tcPr>
          <w:p w14:paraId="34C2B42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2C86E26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13CB0F8A"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5D31B42C"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6D9E2C9" w14:textId="77777777" w:rsidR="00A67F21" w:rsidRPr="00B12FE0" w:rsidRDefault="00000000">
            <w:pPr>
              <w:jc w:val="center"/>
              <w:rPr>
                <w:bCs/>
                <w:color w:val="000000" w:themeColor="text1"/>
                <w:sz w:val="21"/>
                <w:szCs w:val="21"/>
              </w:rPr>
            </w:pPr>
            <w:r w:rsidRPr="00B12FE0">
              <w:rPr>
                <w:bCs/>
                <w:color w:val="000000" w:themeColor="text1"/>
                <w:sz w:val="21"/>
                <w:szCs w:val="21"/>
              </w:rPr>
              <w:t>33</w:t>
            </w:r>
          </w:p>
        </w:tc>
        <w:tc>
          <w:tcPr>
            <w:tcW w:w="1837" w:type="dxa"/>
            <w:vMerge/>
            <w:tcBorders>
              <w:top w:val="single" w:sz="4" w:space="0" w:color="auto"/>
              <w:left w:val="single" w:sz="4" w:space="0" w:color="auto"/>
              <w:bottom w:val="single" w:sz="4" w:space="0" w:color="auto"/>
              <w:right w:val="single" w:sz="4" w:space="0" w:color="auto"/>
            </w:tcBorders>
            <w:vAlign w:val="center"/>
          </w:tcPr>
          <w:p w14:paraId="7FDE1AF2"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6BCC5A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12F673F4"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00DC74A"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701FE7F0"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311D4FB" w14:textId="77777777" w:rsidR="00A67F21" w:rsidRPr="00B12FE0" w:rsidRDefault="00000000">
            <w:pPr>
              <w:jc w:val="center"/>
              <w:rPr>
                <w:bCs/>
                <w:color w:val="000000" w:themeColor="text1"/>
                <w:sz w:val="21"/>
                <w:szCs w:val="21"/>
              </w:rPr>
            </w:pPr>
            <w:r w:rsidRPr="00B12FE0">
              <w:rPr>
                <w:bCs/>
                <w:color w:val="000000" w:themeColor="text1"/>
                <w:sz w:val="21"/>
                <w:szCs w:val="21"/>
              </w:rPr>
              <w:t>34</w:t>
            </w:r>
          </w:p>
        </w:tc>
        <w:tc>
          <w:tcPr>
            <w:tcW w:w="1837" w:type="dxa"/>
            <w:vMerge/>
            <w:tcBorders>
              <w:top w:val="single" w:sz="4" w:space="0" w:color="auto"/>
              <w:left w:val="single" w:sz="4" w:space="0" w:color="auto"/>
              <w:bottom w:val="single" w:sz="4" w:space="0" w:color="auto"/>
              <w:right w:val="single" w:sz="4" w:space="0" w:color="auto"/>
            </w:tcBorders>
            <w:vAlign w:val="center"/>
          </w:tcPr>
          <w:p w14:paraId="2E245F27"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46316F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门表面</w:t>
            </w:r>
          </w:p>
        </w:tc>
        <w:tc>
          <w:tcPr>
            <w:tcW w:w="1315" w:type="pct"/>
            <w:tcBorders>
              <w:top w:val="single" w:sz="4" w:space="0" w:color="auto"/>
              <w:left w:val="single" w:sz="4" w:space="0" w:color="auto"/>
              <w:bottom w:val="single" w:sz="4" w:space="0" w:color="auto"/>
              <w:right w:val="single" w:sz="4" w:space="0" w:color="auto"/>
            </w:tcBorders>
            <w:vAlign w:val="center"/>
          </w:tcPr>
          <w:p w14:paraId="2874B34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756D5C1"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BA33354"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EF5085D" w14:textId="77777777" w:rsidR="00A67F21" w:rsidRPr="00B12FE0" w:rsidRDefault="00000000">
            <w:pPr>
              <w:jc w:val="center"/>
              <w:rPr>
                <w:bCs/>
                <w:color w:val="000000" w:themeColor="text1"/>
                <w:sz w:val="21"/>
                <w:szCs w:val="21"/>
              </w:rPr>
            </w:pPr>
            <w:r w:rsidRPr="00B12FE0">
              <w:rPr>
                <w:bCs/>
                <w:color w:val="000000" w:themeColor="text1"/>
                <w:sz w:val="21"/>
                <w:szCs w:val="21"/>
              </w:rPr>
              <w:t>35</w:t>
            </w:r>
          </w:p>
        </w:tc>
        <w:tc>
          <w:tcPr>
            <w:tcW w:w="1837" w:type="dxa"/>
            <w:vMerge/>
            <w:tcBorders>
              <w:top w:val="single" w:sz="4" w:space="0" w:color="auto"/>
              <w:left w:val="single" w:sz="4" w:space="0" w:color="auto"/>
              <w:bottom w:val="single" w:sz="4" w:space="0" w:color="auto"/>
              <w:right w:val="single" w:sz="4" w:space="0" w:color="auto"/>
            </w:tcBorders>
            <w:vAlign w:val="center"/>
          </w:tcPr>
          <w:p w14:paraId="294EB260"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B1DD78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诊断床表面</w:t>
            </w:r>
          </w:p>
        </w:tc>
        <w:tc>
          <w:tcPr>
            <w:tcW w:w="1315" w:type="pct"/>
            <w:tcBorders>
              <w:top w:val="single" w:sz="4" w:space="0" w:color="auto"/>
              <w:left w:val="single" w:sz="4" w:space="0" w:color="auto"/>
              <w:bottom w:val="single" w:sz="4" w:space="0" w:color="auto"/>
              <w:right w:val="single" w:sz="4" w:space="0" w:color="auto"/>
            </w:tcBorders>
            <w:vAlign w:val="center"/>
          </w:tcPr>
          <w:p w14:paraId="52E14668"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3780C8D"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9531C03"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4668332" w14:textId="77777777" w:rsidR="00A67F21" w:rsidRPr="00B12FE0" w:rsidRDefault="00000000">
            <w:pPr>
              <w:jc w:val="center"/>
              <w:rPr>
                <w:bCs/>
                <w:color w:val="000000" w:themeColor="text1"/>
                <w:sz w:val="21"/>
                <w:szCs w:val="21"/>
              </w:rPr>
            </w:pPr>
            <w:r w:rsidRPr="00B12FE0">
              <w:rPr>
                <w:bCs/>
                <w:color w:val="000000" w:themeColor="text1"/>
                <w:sz w:val="21"/>
                <w:szCs w:val="21"/>
              </w:rPr>
              <w:t>36</w:t>
            </w:r>
          </w:p>
        </w:tc>
        <w:tc>
          <w:tcPr>
            <w:tcW w:w="1837" w:type="dxa"/>
            <w:vMerge/>
            <w:tcBorders>
              <w:top w:val="single" w:sz="4" w:space="0" w:color="auto"/>
              <w:left w:val="single" w:sz="4" w:space="0" w:color="auto"/>
              <w:bottom w:val="single" w:sz="4" w:space="0" w:color="auto"/>
              <w:right w:val="single" w:sz="4" w:space="0" w:color="auto"/>
            </w:tcBorders>
            <w:vAlign w:val="center"/>
          </w:tcPr>
          <w:p w14:paraId="3BC3E26A"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64D1E0C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凳子表面</w:t>
            </w:r>
          </w:p>
        </w:tc>
        <w:tc>
          <w:tcPr>
            <w:tcW w:w="1315" w:type="pct"/>
            <w:tcBorders>
              <w:top w:val="single" w:sz="4" w:space="0" w:color="auto"/>
              <w:left w:val="single" w:sz="4" w:space="0" w:color="auto"/>
              <w:bottom w:val="single" w:sz="4" w:space="0" w:color="auto"/>
              <w:right w:val="single" w:sz="4" w:space="0" w:color="auto"/>
            </w:tcBorders>
            <w:vAlign w:val="center"/>
          </w:tcPr>
          <w:p w14:paraId="62A8740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FE047A9"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5F867F85"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5D70CB9" w14:textId="77777777" w:rsidR="00A67F21" w:rsidRPr="00B12FE0" w:rsidRDefault="00000000">
            <w:pPr>
              <w:jc w:val="center"/>
              <w:rPr>
                <w:bCs/>
                <w:color w:val="000000" w:themeColor="text1"/>
                <w:sz w:val="21"/>
                <w:szCs w:val="21"/>
              </w:rPr>
            </w:pPr>
            <w:r w:rsidRPr="00B12FE0">
              <w:rPr>
                <w:bCs/>
                <w:color w:val="000000" w:themeColor="text1"/>
                <w:sz w:val="21"/>
                <w:szCs w:val="21"/>
              </w:rPr>
              <w:t>37</w:t>
            </w:r>
          </w:p>
        </w:tc>
        <w:tc>
          <w:tcPr>
            <w:tcW w:w="1837" w:type="dxa"/>
            <w:vMerge/>
            <w:tcBorders>
              <w:top w:val="single" w:sz="4" w:space="0" w:color="auto"/>
              <w:left w:val="single" w:sz="4" w:space="0" w:color="auto"/>
              <w:bottom w:val="single" w:sz="4" w:space="0" w:color="auto"/>
              <w:right w:val="single" w:sz="4" w:space="0" w:color="auto"/>
            </w:tcBorders>
            <w:vAlign w:val="center"/>
          </w:tcPr>
          <w:p w14:paraId="660FF543"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D41064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柜表面</w:t>
            </w:r>
          </w:p>
        </w:tc>
        <w:tc>
          <w:tcPr>
            <w:tcW w:w="1315" w:type="pct"/>
            <w:tcBorders>
              <w:top w:val="single" w:sz="4" w:space="0" w:color="auto"/>
              <w:left w:val="single" w:sz="4" w:space="0" w:color="auto"/>
              <w:bottom w:val="single" w:sz="4" w:space="0" w:color="auto"/>
              <w:right w:val="single" w:sz="4" w:space="0" w:color="auto"/>
            </w:tcBorders>
            <w:vAlign w:val="center"/>
          </w:tcPr>
          <w:p w14:paraId="129B6E3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1DE27BB"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0A2A1F20"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CF8C480" w14:textId="77777777" w:rsidR="00A67F21" w:rsidRPr="00B12FE0" w:rsidRDefault="00000000">
            <w:pPr>
              <w:jc w:val="center"/>
              <w:rPr>
                <w:bCs/>
                <w:color w:val="000000" w:themeColor="text1"/>
                <w:sz w:val="21"/>
                <w:szCs w:val="21"/>
              </w:rPr>
            </w:pPr>
            <w:r w:rsidRPr="00B12FE0">
              <w:rPr>
                <w:bCs/>
                <w:color w:val="000000" w:themeColor="text1"/>
                <w:sz w:val="21"/>
                <w:szCs w:val="21"/>
              </w:rPr>
              <w:t>38</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3E972CF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卫生</w:t>
            </w:r>
            <w:proofErr w:type="gramStart"/>
            <w:r w:rsidRPr="00B12FE0">
              <w:rPr>
                <w:rFonts w:hint="eastAsia"/>
                <w:color w:val="000000" w:themeColor="text1"/>
                <w:sz w:val="21"/>
                <w:szCs w:val="21"/>
              </w:rPr>
              <w:t>通过间</w:t>
            </w:r>
            <w:proofErr w:type="gramEnd"/>
          </w:p>
        </w:tc>
        <w:tc>
          <w:tcPr>
            <w:tcW w:w="1342" w:type="pct"/>
            <w:tcBorders>
              <w:top w:val="single" w:sz="4" w:space="0" w:color="auto"/>
              <w:left w:val="single" w:sz="4" w:space="0" w:color="auto"/>
              <w:bottom w:val="single" w:sz="4" w:space="0" w:color="auto"/>
              <w:right w:val="single" w:sz="4" w:space="0" w:color="auto"/>
            </w:tcBorders>
            <w:vAlign w:val="center"/>
          </w:tcPr>
          <w:p w14:paraId="48A561C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0BA55C9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AC4B5B3"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22A71C15"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7FED21B9" w14:textId="77777777" w:rsidR="00A67F21" w:rsidRPr="00B12FE0" w:rsidRDefault="00000000">
            <w:pPr>
              <w:jc w:val="center"/>
              <w:rPr>
                <w:bCs/>
                <w:color w:val="000000" w:themeColor="text1"/>
                <w:sz w:val="21"/>
                <w:szCs w:val="21"/>
              </w:rPr>
            </w:pPr>
            <w:r w:rsidRPr="00B12FE0">
              <w:rPr>
                <w:bCs/>
                <w:color w:val="000000" w:themeColor="text1"/>
                <w:sz w:val="21"/>
                <w:szCs w:val="21"/>
              </w:rPr>
              <w:t>39</w:t>
            </w:r>
          </w:p>
        </w:tc>
        <w:tc>
          <w:tcPr>
            <w:tcW w:w="1837" w:type="dxa"/>
            <w:vMerge/>
            <w:tcBorders>
              <w:top w:val="single" w:sz="4" w:space="0" w:color="auto"/>
              <w:left w:val="single" w:sz="4" w:space="0" w:color="auto"/>
              <w:bottom w:val="single" w:sz="4" w:space="0" w:color="auto"/>
              <w:right w:val="single" w:sz="4" w:space="0" w:color="auto"/>
            </w:tcBorders>
            <w:vAlign w:val="center"/>
          </w:tcPr>
          <w:p w14:paraId="4733BD14"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26E9804F"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66EC1A9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459D442"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377B5943"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21C32E3" w14:textId="77777777" w:rsidR="00A67F21" w:rsidRPr="00B12FE0" w:rsidRDefault="00000000">
            <w:pPr>
              <w:jc w:val="center"/>
              <w:rPr>
                <w:bCs/>
                <w:color w:val="000000" w:themeColor="text1"/>
                <w:sz w:val="21"/>
                <w:szCs w:val="21"/>
              </w:rPr>
            </w:pPr>
            <w:r w:rsidRPr="00B12FE0">
              <w:rPr>
                <w:bCs/>
                <w:color w:val="000000" w:themeColor="text1"/>
                <w:sz w:val="21"/>
                <w:szCs w:val="21"/>
              </w:rPr>
              <w:t>40</w:t>
            </w:r>
          </w:p>
        </w:tc>
        <w:tc>
          <w:tcPr>
            <w:tcW w:w="1837" w:type="dxa"/>
            <w:vMerge/>
            <w:tcBorders>
              <w:top w:val="single" w:sz="4" w:space="0" w:color="auto"/>
              <w:left w:val="single" w:sz="4" w:space="0" w:color="auto"/>
              <w:bottom w:val="single" w:sz="4" w:space="0" w:color="auto"/>
              <w:right w:val="single" w:sz="4" w:space="0" w:color="auto"/>
            </w:tcBorders>
            <w:vAlign w:val="center"/>
          </w:tcPr>
          <w:p w14:paraId="5ED8F63F"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46BA92D"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淋浴表面</w:t>
            </w:r>
          </w:p>
        </w:tc>
        <w:tc>
          <w:tcPr>
            <w:tcW w:w="1315" w:type="pct"/>
            <w:tcBorders>
              <w:top w:val="single" w:sz="4" w:space="0" w:color="auto"/>
              <w:left w:val="single" w:sz="4" w:space="0" w:color="auto"/>
              <w:bottom w:val="single" w:sz="4" w:space="0" w:color="auto"/>
              <w:right w:val="single" w:sz="4" w:space="0" w:color="auto"/>
            </w:tcBorders>
            <w:vAlign w:val="center"/>
          </w:tcPr>
          <w:p w14:paraId="7145F877"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555A7718"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2530B887"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923D0A2" w14:textId="77777777" w:rsidR="00A67F21" w:rsidRPr="00B12FE0" w:rsidRDefault="00000000">
            <w:pPr>
              <w:jc w:val="center"/>
              <w:rPr>
                <w:bCs/>
                <w:color w:val="000000" w:themeColor="text1"/>
                <w:sz w:val="21"/>
                <w:szCs w:val="21"/>
              </w:rPr>
            </w:pPr>
            <w:r w:rsidRPr="00B12FE0">
              <w:rPr>
                <w:bCs/>
                <w:color w:val="000000" w:themeColor="text1"/>
                <w:sz w:val="21"/>
                <w:szCs w:val="21"/>
              </w:rPr>
              <w:t>41</w:t>
            </w:r>
          </w:p>
        </w:tc>
        <w:tc>
          <w:tcPr>
            <w:tcW w:w="1045" w:type="pct"/>
            <w:vMerge w:val="restart"/>
            <w:tcBorders>
              <w:top w:val="single" w:sz="4" w:space="0" w:color="auto"/>
              <w:left w:val="single" w:sz="4" w:space="0" w:color="auto"/>
              <w:bottom w:val="single" w:sz="4" w:space="0" w:color="auto"/>
              <w:right w:val="single" w:sz="4" w:space="0" w:color="auto"/>
            </w:tcBorders>
            <w:vAlign w:val="center"/>
          </w:tcPr>
          <w:p w14:paraId="4E07BC87"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SPECT-CT</w:t>
            </w:r>
            <w:r w:rsidRPr="00B12FE0">
              <w:rPr>
                <w:rFonts w:hint="eastAsia"/>
                <w:color w:val="000000" w:themeColor="text1"/>
                <w:sz w:val="21"/>
                <w:szCs w:val="21"/>
              </w:rPr>
              <w:t>操作室</w:t>
            </w:r>
          </w:p>
        </w:tc>
        <w:tc>
          <w:tcPr>
            <w:tcW w:w="1342" w:type="pct"/>
            <w:tcBorders>
              <w:top w:val="single" w:sz="4" w:space="0" w:color="auto"/>
              <w:left w:val="single" w:sz="4" w:space="0" w:color="auto"/>
              <w:bottom w:val="single" w:sz="4" w:space="0" w:color="auto"/>
              <w:right w:val="single" w:sz="4" w:space="0" w:color="auto"/>
            </w:tcBorders>
            <w:vAlign w:val="center"/>
          </w:tcPr>
          <w:p w14:paraId="19D8738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地面</w:t>
            </w:r>
          </w:p>
        </w:tc>
        <w:tc>
          <w:tcPr>
            <w:tcW w:w="1315" w:type="pct"/>
            <w:tcBorders>
              <w:top w:val="single" w:sz="4" w:space="0" w:color="auto"/>
              <w:left w:val="single" w:sz="4" w:space="0" w:color="auto"/>
              <w:bottom w:val="single" w:sz="4" w:space="0" w:color="auto"/>
              <w:right w:val="single" w:sz="4" w:space="0" w:color="auto"/>
            </w:tcBorders>
            <w:vAlign w:val="center"/>
          </w:tcPr>
          <w:p w14:paraId="1FD54F9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E12501B"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0A97B282"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78A7D015" w14:textId="77777777" w:rsidR="00A67F21" w:rsidRPr="00B12FE0" w:rsidRDefault="00000000">
            <w:pPr>
              <w:jc w:val="center"/>
              <w:rPr>
                <w:bCs/>
                <w:color w:val="000000" w:themeColor="text1"/>
                <w:sz w:val="21"/>
                <w:szCs w:val="21"/>
              </w:rPr>
            </w:pPr>
            <w:r w:rsidRPr="00B12FE0">
              <w:rPr>
                <w:bCs/>
                <w:color w:val="000000" w:themeColor="text1"/>
                <w:sz w:val="21"/>
                <w:szCs w:val="21"/>
              </w:rPr>
              <w:t>42</w:t>
            </w:r>
          </w:p>
        </w:tc>
        <w:tc>
          <w:tcPr>
            <w:tcW w:w="1837" w:type="dxa"/>
            <w:vMerge/>
            <w:tcBorders>
              <w:top w:val="single" w:sz="4" w:space="0" w:color="auto"/>
              <w:left w:val="single" w:sz="4" w:space="0" w:color="auto"/>
              <w:bottom w:val="single" w:sz="4" w:space="0" w:color="auto"/>
              <w:right w:val="single" w:sz="4" w:space="0" w:color="auto"/>
            </w:tcBorders>
            <w:vAlign w:val="center"/>
          </w:tcPr>
          <w:p w14:paraId="58E6B1EF"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254504DA"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墙面</w:t>
            </w:r>
          </w:p>
        </w:tc>
        <w:tc>
          <w:tcPr>
            <w:tcW w:w="1315" w:type="pct"/>
            <w:tcBorders>
              <w:top w:val="single" w:sz="4" w:space="0" w:color="auto"/>
              <w:left w:val="single" w:sz="4" w:space="0" w:color="auto"/>
              <w:bottom w:val="single" w:sz="4" w:space="0" w:color="auto"/>
              <w:right w:val="single" w:sz="4" w:space="0" w:color="auto"/>
            </w:tcBorders>
            <w:vAlign w:val="center"/>
          </w:tcPr>
          <w:p w14:paraId="63D7EFAB"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7F59F2C1"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4F98059B"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61BF76F" w14:textId="77777777" w:rsidR="00A67F21" w:rsidRPr="00B12FE0" w:rsidRDefault="00000000">
            <w:pPr>
              <w:jc w:val="center"/>
              <w:rPr>
                <w:bCs/>
                <w:color w:val="000000" w:themeColor="text1"/>
                <w:sz w:val="21"/>
                <w:szCs w:val="21"/>
              </w:rPr>
            </w:pPr>
            <w:r w:rsidRPr="00B12FE0">
              <w:rPr>
                <w:bCs/>
                <w:color w:val="000000" w:themeColor="text1"/>
                <w:sz w:val="21"/>
                <w:szCs w:val="21"/>
              </w:rPr>
              <w:t>43</w:t>
            </w:r>
          </w:p>
        </w:tc>
        <w:tc>
          <w:tcPr>
            <w:tcW w:w="1837" w:type="dxa"/>
            <w:vMerge/>
            <w:tcBorders>
              <w:top w:val="single" w:sz="4" w:space="0" w:color="auto"/>
              <w:left w:val="single" w:sz="4" w:space="0" w:color="auto"/>
              <w:bottom w:val="single" w:sz="4" w:space="0" w:color="auto"/>
              <w:right w:val="single" w:sz="4" w:space="0" w:color="auto"/>
            </w:tcBorders>
            <w:vAlign w:val="center"/>
          </w:tcPr>
          <w:p w14:paraId="49F014EC"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1A5F7309"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桌子表面</w:t>
            </w:r>
          </w:p>
        </w:tc>
        <w:tc>
          <w:tcPr>
            <w:tcW w:w="1315" w:type="pct"/>
            <w:tcBorders>
              <w:top w:val="single" w:sz="4" w:space="0" w:color="auto"/>
              <w:left w:val="single" w:sz="4" w:space="0" w:color="auto"/>
              <w:bottom w:val="single" w:sz="4" w:space="0" w:color="auto"/>
              <w:right w:val="single" w:sz="4" w:space="0" w:color="auto"/>
            </w:tcBorders>
            <w:vAlign w:val="center"/>
          </w:tcPr>
          <w:p w14:paraId="5ACCD6D1"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0B5CBD89"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38C2C65B"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3406ECC" w14:textId="77777777" w:rsidR="00A67F21" w:rsidRPr="00B12FE0" w:rsidRDefault="00000000">
            <w:pPr>
              <w:jc w:val="center"/>
              <w:rPr>
                <w:bCs/>
                <w:color w:val="000000" w:themeColor="text1"/>
                <w:sz w:val="21"/>
                <w:szCs w:val="21"/>
              </w:rPr>
            </w:pPr>
            <w:r w:rsidRPr="00B12FE0">
              <w:rPr>
                <w:bCs/>
                <w:color w:val="000000" w:themeColor="text1"/>
                <w:sz w:val="21"/>
                <w:szCs w:val="21"/>
              </w:rPr>
              <w:t>44</w:t>
            </w:r>
          </w:p>
        </w:tc>
        <w:tc>
          <w:tcPr>
            <w:tcW w:w="1837" w:type="dxa"/>
            <w:vMerge/>
            <w:tcBorders>
              <w:top w:val="single" w:sz="4" w:space="0" w:color="auto"/>
              <w:left w:val="single" w:sz="4" w:space="0" w:color="auto"/>
              <w:bottom w:val="single" w:sz="4" w:space="0" w:color="auto"/>
              <w:right w:val="single" w:sz="4" w:space="0" w:color="auto"/>
            </w:tcBorders>
            <w:vAlign w:val="center"/>
          </w:tcPr>
          <w:p w14:paraId="79E74480"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83BCBC6"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椅子表面</w:t>
            </w:r>
          </w:p>
        </w:tc>
        <w:tc>
          <w:tcPr>
            <w:tcW w:w="1315" w:type="pct"/>
            <w:tcBorders>
              <w:top w:val="single" w:sz="4" w:space="0" w:color="auto"/>
              <w:left w:val="single" w:sz="4" w:space="0" w:color="auto"/>
              <w:bottom w:val="single" w:sz="4" w:space="0" w:color="auto"/>
              <w:right w:val="single" w:sz="4" w:space="0" w:color="auto"/>
            </w:tcBorders>
            <w:vAlign w:val="center"/>
          </w:tcPr>
          <w:p w14:paraId="69054CB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222DD6D3" w14:textId="77777777">
        <w:trPr>
          <w:trHeight w:val="23"/>
          <w:jc w:val="center"/>
        </w:trPr>
        <w:tc>
          <w:tcPr>
            <w:tcW w:w="1147" w:type="dxa"/>
            <w:vMerge/>
            <w:tcBorders>
              <w:top w:val="single" w:sz="4" w:space="0" w:color="auto"/>
              <w:left w:val="single" w:sz="4" w:space="0" w:color="auto"/>
              <w:bottom w:val="single" w:sz="4" w:space="0" w:color="auto"/>
              <w:right w:val="single" w:sz="4" w:space="0" w:color="auto"/>
            </w:tcBorders>
            <w:vAlign w:val="center"/>
          </w:tcPr>
          <w:p w14:paraId="7FDFD4F5" w14:textId="77777777" w:rsidR="00A67F21" w:rsidRPr="00B12FE0" w:rsidRDefault="00A67F21">
            <w:pPr>
              <w:widowControl/>
              <w:jc w:val="left"/>
              <w:rPr>
                <w:bCs/>
                <w:color w:val="000000" w:themeColor="text1"/>
                <w:sz w:val="2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8F9B0F1" w14:textId="77777777" w:rsidR="00A67F21" w:rsidRPr="00B12FE0" w:rsidRDefault="00000000">
            <w:pPr>
              <w:jc w:val="center"/>
              <w:rPr>
                <w:bCs/>
                <w:color w:val="000000" w:themeColor="text1"/>
                <w:sz w:val="21"/>
                <w:szCs w:val="21"/>
              </w:rPr>
            </w:pPr>
            <w:r w:rsidRPr="00B12FE0">
              <w:rPr>
                <w:bCs/>
                <w:color w:val="000000" w:themeColor="text1"/>
                <w:sz w:val="21"/>
                <w:szCs w:val="21"/>
              </w:rPr>
              <w:t>45</w:t>
            </w:r>
          </w:p>
        </w:tc>
        <w:tc>
          <w:tcPr>
            <w:tcW w:w="1837" w:type="dxa"/>
            <w:vMerge/>
            <w:tcBorders>
              <w:top w:val="single" w:sz="4" w:space="0" w:color="auto"/>
              <w:left w:val="single" w:sz="4" w:space="0" w:color="auto"/>
              <w:bottom w:val="single" w:sz="4" w:space="0" w:color="auto"/>
              <w:right w:val="single" w:sz="4" w:space="0" w:color="auto"/>
            </w:tcBorders>
            <w:vAlign w:val="center"/>
          </w:tcPr>
          <w:p w14:paraId="2E05E3CB" w14:textId="77777777" w:rsidR="00A67F21" w:rsidRPr="00B12FE0" w:rsidRDefault="00A67F21">
            <w:pPr>
              <w:widowControl/>
              <w:jc w:val="left"/>
              <w:rPr>
                <w:color w:val="000000" w:themeColor="text1"/>
                <w:sz w:val="2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300BF35"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铅玻璃观察窗表面</w:t>
            </w:r>
          </w:p>
        </w:tc>
        <w:tc>
          <w:tcPr>
            <w:tcW w:w="1315" w:type="pct"/>
            <w:tcBorders>
              <w:top w:val="single" w:sz="4" w:space="0" w:color="auto"/>
              <w:left w:val="single" w:sz="4" w:space="0" w:color="auto"/>
              <w:bottom w:val="single" w:sz="4" w:space="0" w:color="auto"/>
              <w:right w:val="single" w:sz="4" w:space="0" w:color="auto"/>
            </w:tcBorders>
            <w:vAlign w:val="center"/>
          </w:tcPr>
          <w:p w14:paraId="3EB433A3" w14:textId="77777777" w:rsidR="00A67F21" w:rsidRPr="00B12FE0" w:rsidRDefault="00000000">
            <w:pPr>
              <w:tabs>
                <w:tab w:val="left" w:pos="13020"/>
              </w:tabs>
              <w:jc w:val="center"/>
              <w:rPr>
                <w:color w:val="000000" w:themeColor="text1"/>
                <w:sz w:val="21"/>
                <w:szCs w:val="21"/>
              </w:rPr>
            </w:pPr>
            <w:r w:rsidRPr="00B12FE0">
              <w:rPr>
                <w:rFonts w:hint="eastAsia"/>
                <w:color w:val="000000" w:themeColor="text1"/>
                <w:sz w:val="21"/>
                <w:szCs w:val="21"/>
              </w:rPr>
              <w:t>＜</w:t>
            </w:r>
            <w:r w:rsidRPr="00B12FE0">
              <w:rPr>
                <w:color w:val="000000" w:themeColor="text1"/>
                <w:sz w:val="21"/>
                <w:szCs w:val="21"/>
              </w:rPr>
              <w:t>0.12</w:t>
            </w:r>
          </w:p>
        </w:tc>
      </w:tr>
      <w:tr w:rsidR="00A67F21" w:rsidRPr="00B12FE0" w14:paraId="658C1112" w14:textId="77777777">
        <w:trPr>
          <w:trHeight w:val="2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39711A0" w14:textId="77777777" w:rsidR="00A67F21" w:rsidRPr="00B12FE0" w:rsidRDefault="00000000">
            <w:pPr>
              <w:tabs>
                <w:tab w:val="left" w:pos="13020"/>
              </w:tabs>
              <w:rPr>
                <w:color w:val="000000" w:themeColor="text1"/>
                <w:sz w:val="18"/>
                <w:szCs w:val="18"/>
              </w:rPr>
            </w:pPr>
            <w:r w:rsidRPr="00B12FE0">
              <w:rPr>
                <w:rFonts w:hint="eastAsia"/>
                <w:color w:val="000000" w:themeColor="text1"/>
                <w:sz w:val="18"/>
                <w:szCs w:val="18"/>
              </w:rPr>
              <w:t>注：仪器检出限为</w:t>
            </w:r>
            <w:r w:rsidRPr="00B12FE0">
              <w:rPr>
                <w:color w:val="000000" w:themeColor="text1"/>
                <w:sz w:val="18"/>
                <w:szCs w:val="18"/>
              </w:rPr>
              <w:t>0.12Bq/cm</w:t>
            </w:r>
            <w:r w:rsidRPr="00B12FE0">
              <w:rPr>
                <w:color w:val="000000" w:themeColor="text1"/>
                <w:sz w:val="18"/>
                <w:szCs w:val="18"/>
                <w:vertAlign w:val="superscript"/>
              </w:rPr>
              <w:t>2</w:t>
            </w:r>
            <w:r w:rsidRPr="00B12FE0">
              <w:rPr>
                <w:rFonts w:hint="eastAsia"/>
                <w:color w:val="000000" w:themeColor="text1"/>
                <w:sz w:val="18"/>
                <w:szCs w:val="18"/>
              </w:rPr>
              <w:t>。</w:t>
            </w:r>
          </w:p>
        </w:tc>
      </w:tr>
    </w:tbl>
    <w:p w14:paraId="4977D999" w14:textId="77777777" w:rsidR="00A67F21" w:rsidRPr="00B12FE0" w:rsidRDefault="00000000">
      <w:pPr>
        <w:adjustRightInd w:val="0"/>
        <w:snapToGrid w:val="0"/>
        <w:spacing w:line="360" w:lineRule="auto"/>
        <w:jc w:val="center"/>
        <w:outlineLvl w:val="4"/>
        <w:rPr>
          <w:b/>
          <w:color w:val="000000" w:themeColor="text1"/>
          <w:sz w:val="21"/>
          <w:szCs w:val="21"/>
        </w:rPr>
      </w:pPr>
      <w:r w:rsidRPr="00B12FE0">
        <w:rPr>
          <w:rFonts w:hint="eastAsia"/>
          <w:b/>
          <w:color w:val="000000" w:themeColor="text1"/>
          <w:sz w:val="21"/>
          <w:szCs w:val="21"/>
        </w:rPr>
        <w:t>表</w:t>
      </w:r>
      <w:r w:rsidRPr="00B12FE0">
        <w:rPr>
          <w:rFonts w:hint="eastAsia"/>
          <w:b/>
          <w:color w:val="000000" w:themeColor="text1"/>
          <w:sz w:val="21"/>
          <w:szCs w:val="21"/>
        </w:rPr>
        <w:t>11.2.1.2-4</w:t>
      </w:r>
      <w:r w:rsidRPr="00B12FE0">
        <w:rPr>
          <w:rFonts w:hint="eastAsia"/>
          <w:b/>
          <w:color w:val="000000" w:themeColor="text1"/>
          <w:sz w:val="21"/>
          <w:szCs w:val="21"/>
        </w:rPr>
        <w:t>江南大学附属医院非密封放射性物质（</w:t>
      </w:r>
      <w:r w:rsidRPr="00B12FE0">
        <w:rPr>
          <w:rFonts w:hint="eastAsia"/>
          <w:b/>
          <w:color w:val="000000" w:themeColor="text1"/>
          <w:sz w:val="21"/>
          <w:szCs w:val="21"/>
          <w:vertAlign w:val="superscript"/>
        </w:rPr>
        <w:t>131</w:t>
      </w:r>
      <w:r w:rsidRPr="00B12FE0">
        <w:rPr>
          <w:rFonts w:hint="eastAsia"/>
          <w:b/>
          <w:color w:val="000000" w:themeColor="text1"/>
          <w:sz w:val="21"/>
          <w:szCs w:val="21"/>
        </w:rPr>
        <w:t>I</w:t>
      </w:r>
      <w:r w:rsidRPr="00B12FE0">
        <w:rPr>
          <w:rFonts w:hint="eastAsia"/>
          <w:b/>
          <w:color w:val="000000" w:themeColor="text1"/>
          <w:sz w:val="21"/>
          <w:szCs w:val="21"/>
        </w:rPr>
        <w:t>）工作场所β表面污染监测数据</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36"/>
        <w:gridCol w:w="1854"/>
        <w:gridCol w:w="2375"/>
        <w:gridCol w:w="2312"/>
      </w:tblGrid>
      <w:tr w:rsidR="00A67F21" w:rsidRPr="00B12FE0" w14:paraId="0A083194" w14:textId="77777777">
        <w:trPr>
          <w:trHeight w:val="23"/>
          <w:jc w:val="center"/>
        </w:trPr>
        <w:tc>
          <w:tcPr>
            <w:tcW w:w="656" w:type="pct"/>
            <w:tcBorders>
              <w:top w:val="single" w:sz="4" w:space="0" w:color="auto"/>
              <w:left w:val="single" w:sz="4" w:space="0" w:color="auto"/>
              <w:bottom w:val="single" w:sz="4" w:space="0" w:color="auto"/>
              <w:right w:val="single" w:sz="4" w:space="0" w:color="auto"/>
            </w:tcBorders>
            <w:vAlign w:val="center"/>
          </w:tcPr>
          <w:p w14:paraId="15E3984E" w14:textId="77777777" w:rsidR="00A67F21" w:rsidRPr="00B12FE0" w:rsidRDefault="00000000">
            <w:pPr>
              <w:jc w:val="center"/>
              <w:rPr>
                <w:bCs/>
                <w:color w:val="000000" w:themeColor="text1"/>
                <w:szCs w:val="21"/>
              </w:rPr>
            </w:pPr>
            <w:r w:rsidRPr="00B12FE0">
              <w:rPr>
                <w:rFonts w:hint="eastAsia"/>
                <w:bCs/>
                <w:color w:val="000000" w:themeColor="text1"/>
                <w:sz w:val="21"/>
                <w:szCs w:val="21"/>
              </w:rPr>
              <w:t>监测场所</w:t>
            </w:r>
          </w:p>
        </w:tc>
        <w:tc>
          <w:tcPr>
            <w:tcW w:w="641" w:type="pct"/>
            <w:tcBorders>
              <w:top w:val="single" w:sz="4" w:space="0" w:color="auto"/>
              <w:left w:val="single" w:sz="4" w:space="0" w:color="auto"/>
              <w:bottom w:val="single" w:sz="4" w:space="0" w:color="auto"/>
              <w:right w:val="single" w:sz="4" w:space="0" w:color="auto"/>
            </w:tcBorders>
            <w:vAlign w:val="center"/>
          </w:tcPr>
          <w:p w14:paraId="57569405" w14:textId="77777777" w:rsidR="00A67F21" w:rsidRPr="00B12FE0" w:rsidRDefault="00000000">
            <w:pPr>
              <w:jc w:val="center"/>
              <w:rPr>
                <w:bCs/>
                <w:color w:val="000000" w:themeColor="text1"/>
                <w:szCs w:val="21"/>
              </w:rPr>
            </w:pPr>
            <w:r w:rsidRPr="00B12FE0">
              <w:rPr>
                <w:bCs/>
                <w:color w:val="000000" w:themeColor="text1"/>
                <w:sz w:val="21"/>
                <w:szCs w:val="21"/>
              </w:rPr>
              <w:br w:type="page"/>
            </w:r>
            <w:r w:rsidRPr="00B12FE0">
              <w:rPr>
                <w:rFonts w:hint="eastAsia"/>
                <w:bCs/>
                <w:color w:val="000000" w:themeColor="text1"/>
                <w:sz w:val="21"/>
                <w:szCs w:val="21"/>
              </w:rPr>
              <w:t>序号</w:t>
            </w:r>
          </w:p>
        </w:tc>
        <w:tc>
          <w:tcPr>
            <w:tcW w:w="2393" w:type="pct"/>
            <w:gridSpan w:val="2"/>
            <w:tcBorders>
              <w:top w:val="single" w:sz="4" w:space="0" w:color="auto"/>
              <w:left w:val="single" w:sz="4" w:space="0" w:color="auto"/>
              <w:bottom w:val="single" w:sz="4" w:space="0" w:color="auto"/>
              <w:right w:val="single" w:sz="4" w:space="0" w:color="auto"/>
            </w:tcBorders>
            <w:vAlign w:val="center"/>
          </w:tcPr>
          <w:p w14:paraId="2F7959B0" w14:textId="77777777" w:rsidR="00A67F21" w:rsidRPr="00B12FE0" w:rsidRDefault="00000000">
            <w:pPr>
              <w:jc w:val="center"/>
              <w:rPr>
                <w:bCs/>
                <w:color w:val="000000" w:themeColor="text1"/>
                <w:szCs w:val="21"/>
              </w:rPr>
            </w:pPr>
            <w:r w:rsidRPr="00B12FE0">
              <w:rPr>
                <w:rFonts w:hint="eastAsia"/>
                <w:bCs/>
                <w:color w:val="000000" w:themeColor="text1"/>
                <w:sz w:val="21"/>
                <w:szCs w:val="21"/>
              </w:rPr>
              <w:t>监测点位置</w:t>
            </w:r>
          </w:p>
        </w:tc>
        <w:tc>
          <w:tcPr>
            <w:tcW w:w="1308" w:type="pct"/>
            <w:tcBorders>
              <w:top w:val="single" w:sz="4" w:space="0" w:color="auto"/>
              <w:left w:val="single" w:sz="4" w:space="0" w:color="auto"/>
              <w:bottom w:val="single" w:sz="4" w:space="0" w:color="auto"/>
              <w:right w:val="single" w:sz="4" w:space="0" w:color="auto"/>
            </w:tcBorders>
            <w:vAlign w:val="center"/>
          </w:tcPr>
          <w:p w14:paraId="5D726E8E" w14:textId="77777777" w:rsidR="00A67F21" w:rsidRPr="00B12FE0" w:rsidRDefault="00000000">
            <w:pPr>
              <w:jc w:val="center"/>
              <w:rPr>
                <w:bCs/>
                <w:color w:val="000000" w:themeColor="text1"/>
                <w:szCs w:val="21"/>
              </w:rPr>
            </w:pPr>
            <w:r w:rsidRPr="00B12FE0">
              <w:rPr>
                <w:rFonts w:hint="eastAsia"/>
                <w:bCs/>
                <w:color w:val="000000" w:themeColor="text1"/>
                <w:sz w:val="21"/>
                <w:szCs w:val="21"/>
              </w:rPr>
              <w:t>检测结果（</w:t>
            </w:r>
            <w:r w:rsidRPr="00B12FE0">
              <w:rPr>
                <w:bCs/>
                <w:color w:val="000000" w:themeColor="text1"/>
                <w:sz w:val="21"/>
                <w:szCs w:val="21"/>
              </w:rPr>
              <w:t>Bq/cm</w:t>
            </w:r>
            <w:r w:rsidRPr="00B12FE0">
              <w:rPr>
                <w:bCs/>
                <w:color w:val="000000" w:themeColor="text1"/>
                <w:sz w:val="21"/>
                <w:szCs w:val="21"/>
                <w:vertAlign w:val="superscript"/>
              </w:rPr>
              <w:t>2</w:t>
            </w:r>
            <w:r w:rsidRPr="00B12FE0">
              <w:rPr>
                <w:rFonts w:hint="eastAsia"/>
                <w:bCs/>
                <w:color w:val="000000" w:themeColor="text1"/>
                <w:sz w:val="21"/>
                <w:szCs w:val="21"/>
              </w:rPr>
              <w:t>）</w:t>
            </w:r>
          </w:p>
        </w:tc>
      </w:tr>
      <w:tr w:rsidR="00A67F21" w:rsidRPr="00B12FE0" w14:paraId="13297847" w14:textId="77777777">
        <w:trPr>
          <w:trHeight w:val="23"/>
          <w:jc w:val="center"/>
        </w:trPr>
        <w:tc>
          <w:tcPr>
            <w:tcW w:w="656" w:type="pct"/>
            <w:vMerge w:val="restart"/>
            <w:tcBorders>
              <w:top w:val="single" w:sz="4" w:space="0" w:color="auto"/>
              <w:left w:val="single" w:sz="4" w:space="0" w:color="auto"/>
              <w:bottom w:val="single" w:sz="4" w:space="0" w:color="auto"/>
              <w:right w:val="single" w:sz="4" w:space="0" w:color="auto"/>
            </w:tcBorders>
            <w:vAlign w:val="center"/>
          </w:tcPr>
          <w:p w14:paraId="7762B522" w14:textId="77777777" w:rsidR="00A67F21" w:rsidRPr="00B12FE0" w:rsidRDefault="00000000">
            <w:pPr>
              <w:jc w:val="center"/>
              <w:rPr>
                <w:bCs/>
                <w:color w:val="000000" w:themeColor="text1"/>
                <w:szCs w:val="21"/>
              </w:rPr>
            </w:pPr>
            <w:r w:rsidRPr="00B12FE0">
              <w:rPr>
                <w:rFonts w:hint="eastAsia"/>
                <w:bCs/>
                <w:color w:val="000000" w:themeColor="text1"/>
                <w:sz w:val="21"/>
                <w:szCs w:val="21"/>
              </w:rPr>
              <w:t>核素治疗区域</w:t>
            </w:r>
          </w:p>
        </w:tc>
        <w:tc>
          <w:tcPr>
            <w:tcW w:w="641" w:type="pct"/>
            <w:tcBorders>
              <w:top w:val="single" w:sz="4" w:space="0" w:color="auto"/>
              <w:left w:val="single" w:sz="4" w:space="0" w:color="auto"/>
              <w:bottom w:val="single" w:sz="4" w:space="0" w:color="auto"/>
              <w:right w:val="single" w:sz="4" w:space="0" w:color="auto"/>
            </w:tcBorders>
            <w:vAlign w:val="center"/>
          </w:tcPr>
          <w:p w14:paraId="20CBC64D" w14:textId="77777777" w:rsidR="00A67F21" w:rsidRPr="00B12FE0" w:rsidRDefault="00000000">
            <w:pPr>
              <w:jc w:val="center"/>
              <w:rPr>
                <w:bCs/>
                <w:color w:val="000000" w:themeColor="text1"/>
                <w:szCs w:val="21"/>
              </w:rPr>
            </w:pPr>
            <w:r w:rsidRPr="00B12FE0">
              <w:rPr>
                <w:bCs/>
                <w:color w:val="000000" w:themeColor="text1"/>
                <w:sz w:val="21"/>
                <w:szCs w:val="21"/>
              </w:rPr>
              <w:t>1</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44832FA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给药间</w:t>
            </w:r>
          </w:p>
        </w:tc>
        <w:tc>
          <w:tcPr>
            <w:tcW w:w="1343" w:type="pct"/>
            <w:tcBorders>
              <w:top w:val="single" w:sz="4" w:space="0" w:color="auto"/>
              <w:left w:val="single" w:sz="4" w:space="0" w:color="auto"/>
              <w:bottom w:val="single" w:sz="4" w:space="0" w:color="auto"/>
              <w:right w:val="single" w:sz="4" w:space="0" w:color="auto"/>
            </w:tcBorders>
            <w:vAlign w:val="center"/>
          </w:tcPr>
          <w:p w14:paraId="77C7A53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通风柜表面</w:t>
            </w:r>
          </w:p>
        </w:tc>
        <w:tc>
          <w:tcPr>
            <w:tcW w:w="1308" w:type="pct"/>
            <w:tcBorders>
              <w:top w:val="single" w:sz="4" w:space="0" w:color="auto"/>
              <w:left w:val="single" w:sz="4" w:space="0" w:color="auto"/>
              <w:bottom w:val="single" w:sz="4" w:space="0" w:color="auto"/>
              <w:right w:val="single" w:sz="4" w:space="0" w:color="auto"/>
            </w:tcBorders>
            <w:vAlign w:val="center"/>
          </w:tcPr>
          <w:p w14:paraId="4119BB0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6514E9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8F8091F"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1E82AF20" w14:textId="77777777" w:rsidR="00A67F21" w:rsidRPr="00B12FE0" w:rsidRDefault="00000000">
            <w:pPr>
              <w:jc w:val="center"/>
              <w:rPr>
                <w:bCs/>
                <w:color w:val="000000" w:themeColor="text1"/>
                <w:szCs w:val="21"/>
              </w:rPr>
            </w:pPr>
            <w:r w:rsidRPr="00B12FE0">
              <w:rPr>
                <w:bCs/>
                <w:color w:val="000000" w:themeColor="text1"/>
                <w:sz w:val="21"/>
                <w:szCs w:val="21"/>
              </w:rPr>
              <w:t>2</w:t>
            </w:r>
          </w:p>
        </w:tc>
        <w:tc>
          <w:tcPr>
            <w:tcW w:w="1844" w:type="dxa"/>
            <w:vMerge/>
            <w:tcBorders>
              <w:top w:val="single" w:sz="4" w:space="0" w:color="auto"/>
              <w:left w:val="single" w:sz="4" w:space="0" w:color="auto"/>
              <w:bottom w:val="single" w:sz="4" w:space="0" w:color="auto"/>
              <w:right w:val="single" w:sz="4" w:space="0" w:color="auto"/>
            </w:tcBorders>
            <w:vAlign w:val="center"/>
          </w:tcPr>
          <w:p w14:paraId="16850F55"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09A9E5E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55E5A75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5B10DC8"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8416B45"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60BD2389" w14:textId="77777777" w:rsidR="00A67F21" w:rsidRPr="00B12FE0" w:rsidRDefault="00000000">
            <w:pPr>
              <w:jc w:val="center"/>
              <w:rPr>
                <w:bCs/>
                <w:color w:val="000000" w:themeColor="text1"/>
                <w:szCs w:val="21"/>
              </w:rPr>
            </w:pPr>
            <w:r w:rsidRPr="00B12FE0">
              <w:rPr>
                <w:bCs/>
                <w:color w:val="000000" w:themeColor="text1"/>
                <w:sz w:val="21"/>
                <w:szCs w:val="21"/>
              </w:rPr>
              <w:t>3</w:t>
            </w:r>
          </w:p>
        </w:tc>
        <w:tc>
          <w:tcPr>
            <w:tcW w:w="1844" w:type="dxa"/>
            <w:vMerge/>
            <w:tcBorders>
              <w:top w:val="single" w:sz="4" w:space="0" w:color="auto"/>
              <w:left w:val="single" w:sz="4" w:space="0" w:color="auto"/>
              <w:bottom w:val="single" w:sz="4" w:space="0" w:color="auto"/>
              <w:right w:val="single" w:sz="4" w:space="0" w:color="auto"/>
            </w:tcBorders>
            <w:vAlign w:val="center"/>
          </w:tcPr>
          <w:p w14:paraId="53092712"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212CB16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4A9DE04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895209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46A8847"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5FABE5E" w14:textId="77777777" w:rsidR="00A67F21" w:rsidRPr="00B12FE0" w:rsidRDefault="00000000">
            <w:pPr>
              <w:jc w:val="center"/>
              <w:rPr>
                <w:bCs/>
                <w:color w:val="000000" w:themeColor="text1"/>
                <w:szCs w:val="21"/>
              </w:rPr>
            </w:pPr>
            <w:r w:rsidRPr="00B12FE0">
              <w:rPr>
                <w:bCs/>
                <w:color w:val="000000" w:themeColor="text1"/>
                <w:sz w:val="21"/>
                <w:szCs w:val="21"/>
              </w:rPr>
              <w:t>4</w:t>
            </w:r>
          </w:p>
        </w:tc>
        <w:tc>
          <w:tcPr>
            <w:tcW w:w="1844" w:type="dxa"/>
            <w:vMerge/>
            <w:tcBorders>
              <w:top w:val="single" w:sz="4" w:space="0" w:color="auto"/>
              <w:left w:val="single" w:sz="4" w:space="0" w:color="auto"/>
              <w:bottom w:val="single" w:sz="4" w:space="0" w:color="auto"/>
              <w:right w:val="single" w:sz="4" w:space="0" w:color="auto"/>
            </w:tcBorders>
            <w:vAlign w:val="center"/>
          </w:tcPr>
          <w:p w14:paraId="0F660D4B"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918B45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铅废物桶表面</w:t>
            </w:r>
          </w:p>
        </w:tc>
        <w:tc>
          <w:tcPr>
            <w:tcW w:w="1308" w:type="pct"/>
            <w:tcBorders>
              <w:top w:val="single" w:sz="4" w:space="0" w:color="auto"/>
              <w:left w:val="single" w:sz="4" w:space="0" w:color="auto"/>
              <w:bottom w:val="single" w:sz="4" w:space="0" w:color="auto"/>
              <w:right w:val="single" w:sz="4" w:space="0" w:color="auto"/>
            </w:tcBorders>
            <w:vAlign w:val="center"/>
          </w:tcPr>
          <w:p w14:paraId="23CC1D8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19CF0EF"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C109102"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6297C421" w14:textId="77777777" w:rsidR="00A67F21" w:rsidRPr="00B12FE0" w:rsidRDefault="00000000">
            <w:pPr>
              <w:jc w:val="center"/>
              <w:rPr>
                <w:bCs/>
                <w:color w:val="000000" w:themeColor="text1"/>
                <w:szCs w:val="21"/>
              </w:rPr>
            </w:pPr>
            <w:r w:rsidRPr="00B12FE0">
              <w:rPr>
                <w:bCs/>
                <w:color w:val="000000" w:themeColor="text1"/>
                <w:sz w:val="21"/>
                <w:szCs w:val="21"/>
              </w:rPr>
              <w:t>5</w:t>
            </w:r>
          </w:p>
        </w:tc>
        <w:tc>
          <w:tcPr>
            <w:tcW w:w="1844" w:type="dxa"/>
            <w:vMerge/>
            <w:tcBorders>
              <w:top w:val="single" w:sz="4" w:space="0" w:color="auto"/>
              <w:left w:val="single" w:sz="4" w:space="0" w:color="auto"/>
              <w:bottom w:val="single" w:sz="4" w:space="0" w:color="auto"/>
              <w:right w:val="single" w:sz="4" w:space="0" w:color="auto"/>
            </w:tcBorders>
            <w:vAlign w:val="center"/>
          </w:tcPr>
          <w:p w14:paraId="734C0DFC"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7C1813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65881BB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F9781B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CD3E168"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177B31CB" w14:textId="77777777" w:rsidR="00A67F21" w:rsidRPr="00B12FE0" w:rsidRDefault="00000000">
            <w:pPr>
              <w:jc w:val="center"/>
              <w:rPr>
                <w:bCs/>
                <w:color w:val="000000" w:themeColor="text1"/>
                <w:szCs w:val="21"/>
              </w:rPr>
            </w:pPr>
            <w:r w:rsidRPr="00B12FE0">
              <w:rPr>
                <w:bCs/>
                <w:color w:val="000000" w:themeColor="text1"/>
                <w:sz w:val="21"/>
                <w:szCs w:val="21"/>
              </w:rPr>
              <w:t>6</w:t>
            </w:r>
          </w:p>
        </w:tc>
        <w:tc>
          <w:tcPr>
            <w:tcW w:w="1844" w:type="dxa"/>
            <w:vMerge/>
            <w:tcBorders>
              <w:top w:val="single" w:sz="4" w:space="0" w:color="auto"/>
              <w:left w:val="single" w:sz="4" w:space="0" w:color="auto"/>
              <w:bottom w:val="single" w:sz="4" w:space="0" w:color="auto"/>
              <w:right w:val="single" w:sz="4" w:space="0" w:color="auto"/>
            </w:tcBorders>
            <w:vAlign w:val="center"/>
          </w:tcPr>
          <w:p w14:paraId="6C31F882"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417832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250FF0D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E82B3D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257E488"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20E6FEEA" w14:textId="77777777" w:rsidR="00A67F21" w:rsidRPr="00B12FE0" w:rsidRDefault="00000000">
            <w:pPr>
              <w:jc w:val="center"/>
              <w:rPr>
                <w:bCs/>
                <w:color w:val="000000" w:themeColor="text1"/>
                <w:szCs w:val="21"/>
              </w:rPr>
            </w:pPr>
            <w:r w:rsidRPr="00B12FE0">
              <w:rPr>
                <w:bCs/>
                <w:color w:val="000000" w:themeColor="text1"/>
                <w:sz w:val="21"/>
                <w:szCs w:val="21"/>
              </w:rPr>
              <w:t>7</w:t>
            </w:r>
          </w:p>
        </w:tc>
        <w:tc>
          <w:tcPr>
            <w:tcW w:w="1844" w:type="dxa"/>
            <w:vMerge/>
            <w:tcBorders>
              <w:top w:val="single" w:sz="4" w:space="0" w:color="auto"/>
              <w:left w:val="single" w:sz="4" w:space="0" w:color="auto"/>
              <w:bottom w:val="single" w:sz="4" w:space="0" w:color="auto"/>
              <w:right w:val="single" w:sz="4" w:space="0" w:color="auto"/>
            </w:tcBorders>
            <w:vAlign w:val="center"/>
          </w:tcPr>
          <w:p w14:paraId="58CE11C0"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748BDC2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给药窗表面</w:t>
            </w:r>
          </w:p>
        </w:tc>
        <w:tc>
          <w:tcPr>
            <w:tcW w:w="1308" w:type="pct"/>
            <w:tcBorders>
              <w:top w:val="single" w:sz="4" w:space="0" w:color="auto"/>
              <w:left w:val="single" w:sz="4" w:space="0" w:color="auto"/>
              <w:bottom w:val="single" w:sz="4" w:space="0" w:color="auto"/>
              <w:right w:val="single" w:sz="4" w:space="0" w:color="auto"/>
            </w:tcBorders>
            <w:vAlign w:val="center"/>
          </w:tcPr>
          <w:p w14:paraId="348A73A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9B90DA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73A1C78"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B62E782" w14:textId="77777777" w:rsidR="00A67F21" w:rsidRPr="00B12FE0" w:rsidRDefault="00000000">
            <w:pPr>
              <w:jc w:val="center"/>
              <w:rPr>
                <w:bCs/>
                <w:color w:val="000000" w:themeColor="text1"/>
                <w:szCs w:val="21"/>
              </w:rPr>
            </w:pPr>
            <w:r w:rsidRPr="00B12FE0">
              <w:rPr>
                <w:bCs/>
                <w:color w:val="000000" w:themeColor="text1"/>
                <w:sz w:val="21"/>
                <w:szCs w:val="21"/>
              </w:rPr>
              <w:t>8</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2C583DB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抢救室</w:t>
            </w:r>
          </w:p>
        </w:tc>
        <w:tc>
          <w:tcPr>
            <w:tcW w:w="1343" w:type="pct"/>
            <w:tcBorders>
              <w:top w:val="single" w:sz="4" w:space="0" w:color="auto"/>
              <w:left w:val="single" w:sz="4" w:space="0" w:color="auto"/>
              <w:bottom w:val="single" w:sz="4" w:space="0" w:color="auto"/>
              <w:right w:val="single" w:sz="4" w:space="0" w:color="auto"/>
            </w:tcBorders>
            <w:vAlign w:val="center"/>
          </w:tcPr>
          <w:p w14:paraId="504581D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1593949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A1CF23C"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B4D5F24"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247A6A4" w14:textId="77777777" w:rsidR="00A67F21" w:rsidRPr="00B12FE0" w:rsidRDefault="00000000">
            <w:pPr>
              <w:jc w:val="center"/>
              <w:rPr>
                <w:bCs/>
                <w:color w:val="000000" w:themeColor="text1"/>
                <w:szCs w:val="21"/>
              </w:rPr>
            </w:pPr>
            <w:r w:rsidRPr="00B12FE0">
              <w:rPr>
                <w:bCs/>
                <w:color w:val="000000" w:themeColor="text1"/>
                <w:sz w:val="21"/>
                <w:szCs w:val="21"/>
              </w:rPr>
              <w:t>9</w:t>
            </w:r>
          </w:p>
        </w:tc>
        <w:tc>
          <w:tcPr>
            <w:tcW w:w="1844" w:type="dxa"/>
            <w:vMerge/>
            <w:tcBorders>
              <w:top w:val="single" w:sz="4" w:space="0" w:color="auto"/>
              <w:left w:val="single" w:sz="4" w:space="0" w:color="auto"/>
              <w:bottom w:val="single" w:sz="4" w:space="0" w:color="auto"/>
              <w:right w:val="single" w:sz="4" w:space="0" w:color="auto"/>
            </w:tcBorders>
            <w:vAlign w:val="center"/>
          </w:tcPr>
          <w:p w14:paraId="21D0D51F"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38CBD2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2942936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9EB05B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385ED9E"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3F9B020" w14:textId="77777777" w:rsidR="00A67F21" w:rsidRPr="00B12FE0" w:rsidRDefault="00000000">
            <w:pPr>
              <w:jc w:val="center"/>
              <w:rPr>
                <w:bCs/>
                <w:color w:val="000000" w:themeColor="text1"/>
                <w:szCs w:val="21"/>
              </w:rPr>
            </w:pPr>
            <w:r w:rsidRPr="00B12FE0">
              <w:rPr>
                <w:bCs/>
                <w:color w:val="000000" w:themeColor="text1"/>
                <w:sz w:val="21"/>
                <w:szCs w:val="21"/>
              </w:rPr>
              <w:t>10</w:t>
            </w:r>
          </w:p>
        </w:tc>
        <w:tc>
          <w:tcPr>
            <w:tcW w:w="1844" w:type="dxa"/>
            <w:vMerge/>
            <w:tcBorders>
              <w:top w:val="single" w:sz="4" w:space="0" w:color="auto"/>
              <w:left w:val="single" w:sz="4" w:space="0" w:color="auto"/>
              <w:bottom w:val="single" w:sz="4" w:space="0" w:color="auto"/>
              <w:right w:val="single" w:sz="4" w:space="0" w:color="auto"/>
            </w:tcBorders>
            <w:vAlign w:val="center"/>
          </w:tcPr>
          <w:p w14:paraId="1CE67A6B"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0F3169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18B66FC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6DDA029"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84781A5"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2A455EF3" w14:textId="77777777" w:rsidR="00A67F21" w:rsidRPr="00B12FE0" w:rsidRDefault="00000000">
            <w:pPr>
              <w:jc w:val="center"/>
              <w:rPr>
                <w:bCs/>
                <w:color w:val="000000" w:themeColor="text1"/>
                <w:szCs w:val="21"/>
              </w:rPr>
            </w:pPr>
            <w:r w:rsidRPr="00B12FE0">
              <w:rPr>
                <w:bCs/>
                <w:color w:val="000000" w:themeColor="text1"/>
                <w:sz w:val="21"/>
                <w:szCs w:val="21"/>
              </w:rPr>
              <w:t>11</w:t>
            </w:r>
          </w:p>
        </w:tc>
        <w:tc>
          <w:tcPr>
            <w:tcW w:w="1844" w:type="dxa"/>
            <w:vMerge/>
            <w:tcBorders>
              <w:top w:val="single" w:sz="4" w:space="0" w:color="auto"/>
              <w:left w:val="single" w:sz="4" w:space="0" w:color="auto"/>
              <w:bottom w:val="single" w:sz="4" w:space="0" w:color="auto"/>
              <w:right w:val="single" w:sz="4" w:space="0" w:color="auto"/>
            </w:tcBorders>
            <w:vAlign w:val="center"/>
          </w:tcPr>
          <w:p w14:paraId="4258591C"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25F4FE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2D8A1F4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A2FA569"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F560A6E"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2DAE704" w14:textId="77777777" w:rsidR="00A67F21" w:rsidRPr="00B12FE0" w:rsidRDefault="00000000">
            <w:pPr>
              <w:jc w:val="center"/>
              <w:rPr>
                <w:bCs/>
                <w:color w:val="000000" w:themeColor="text1"/>
                <w:szCs w:val="21"/>
              </w:rPr>
            </w:pPr>
            <w:r w:rsidRPr="00B12FE0">
              <w:rPr>
                <w:bCs/>
                <w:color w:val="000000" w:themeColor="text1"/>
                <w:sz w:val="21"/>
                <w:szCs w:val="21"/>
              </w:rPr>
              <w:t>12</w:t>
            </w:r>
          </w:p>
        </w:tc>
        <w:tc>
          <w:tcPr>
            <w:tcW w:w="1844" w:type="dxa"/>
            <w:vMerge/>
            <w:tcBorders>
              <w:top w:val="single" w:sz="4" w:space="0" w:color="auto"/>
              <w:left w:val="single" w:sz="4" w:space="0" w:color="auto"/>
              <w:bottom w:val="single" w:sz="4" w:space="0" w:color="auto"/>
              <w:right w:val="single" w:sz="4" w:space="0" w:color="auto"/>
            </w:tcBorders>
            <w:vAlign w:val="center"/>
          </w:tcPr>
          <w:p w14:paraId="62DD621D"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209CE5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床表面</w:t>
            </w:r>
          </w:p>
        </w:tc>
        <w:tc>
          <w:tcPr>
            <w:tcW w:w="1308" w:type="pct"/>
            <w:tcBorders>
              <w:top w:val="single" w:sz="4" w:space="0" w:color="auto"/>
              <w:left w:val="single" w:sz="4" w:space="0" w:color="auto"/>
              <w:bottom w:val="single" w:sz="4" w:space="0" w:color="auto"/>
              <w:right w:val="single" w:sz="4" w:space="0" w:color="auto"/>
            </w:tcBorders>
            <w:vAlign w:val="center"/>
          </w:tcPr>
          <w:p w14:paraId="2D3D0D3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177836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0E95EC0"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3E4A8AC" w14:textId="77777777" w:rsidR="00A67F21" w:rsidRPr="00B12FE0" w:rsidRDefault="00000000">
            <w:pPr>
              <w:jc w:val="center"/>
              <w:rPr>
                <w:bCs/>
                <w:color w:val="000000" w:themeColor="text1"/>
                <w:szCs w:val="21"/>
              </w:rPr>
            </w:pPr>
            <w:r w:rsidRPr="00B12FE0">
              <w:rPr>
                <w:bCs/>
                <w:color w:val="000000" w:themeColor="text1"/>
                <w:sz w:val="21"/>
                <w:szCs w:val="21"/>
              </w:rPr>
              <w:t>13</w:t>
            </w:r>
          </w:p>
        </w:tc>
        <w:tc>
          <w:tcPr>
            <w:tcW w:w="1844" w:type="dxa"/>
            <w:vMerge/>
            <w:tcBorders>
              <w:top w:val="single" w:sz="4" w:space="0" w:color="auto"/>
              <w:left w:val="single" w:sz="4" w:space="0" w:color="auto"/>
              <w:bottom w:val="single" w:sz="4" w:space="0" w:color="auto"/>
              <w:right w:val="single" w:sz="4" w:space="0" w:color="auto"/>
            </w:tcBorders>
            <w:vAlign w:val="center"/>
          </w:tcPr>
          <w:p w14:paraId="76277572"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2D181A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柜子表面</w:t>
            </w:r>
          </w:p>
        </w:tc>
        <w:tc>
          <w:tcPr>
            <w:tcW w:w="1308" w:type="pct"/>
            <w:tcBorders>
              <w:top w:val="single" w:sz="4" w:space="0" w:color="auto"/>
              <w:left w:val="single" w:sz="4" w:space="0" w:color="auto"/>
              <w:bottom w:val="single" w:sz="4" w:space="0" w:color="auto"/>
              <w:right w:val="single" w:sz="4" w:space="0" w:color="auto"/>
            </w:tcBorders>
            <w:vAlign w:val="center"/>
          </w:tcPr>
          <w:p w14:paraId="1A67215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7EE1280"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0F94DCD"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72A9893" w14:textId="77777777" w:rsidR="00A67F21" w:rsidRPr="00B12FE0" w:rsidRDefault="00000000">
            <w:pPr>
              <w:jc w:val="center"/>
              <w:rPr>
                <w:bCs/>
                <w:color w:val="000000" w:themeColor="text1"/>
                <w:szCs w:val="21"/>
              </w:rPr>
            </w:pPr>
            <w:r w:rsidRPr="00B12FE0">
              <w:rPr>
                <w:bCs/>
                <w:color w:val="000000" w:themeColor="text1"/>
                <w:sz w:val="21"/>
                <w:szCs w:val="21"/>
              </w:rPr>
              <w:t>14</w:t>
            </w:r>
          </w:p>
        </w:tc>
        <w:tc>
          <w:tcPr>
            <w:tcW w:w="1844" w:type="dxa"/>
            <w:vMerge/>
            <w:tcBorders>
              <w:top w:val="single" w:sz="4" w:space="0" w:color="auto"/>
              <w:left w:val="single" w:sz="4" w:space="0" w:color="auto"/>
              <w:bottom w:val="single" w:sz="4" w:space="0" w:color="auto"/>
              <w:right w:val="single" w:sz="4" w:space="0" w:color="auto"/>
            </w:tcBorders>
            <w:vAlign w:val="center"/>
          </w:tcPr>
          <w:p w14:paraId="182C224F"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702D018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09A1315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5DA9DC8"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34867B4"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1BBF4EDE" w14:textId="77777777" w:rsidR="00A67F21" w:rsidRPr="00B12FE0" w:rsidRDefault="00000000">
            <w:pPr>
              <w:jc w:val="center"/>
              <w:rPr>
                <w:bCs/>
                <w:color w:val="000000" w:themeColor="text1"/>
                <w:szCs w:val="21"/>
              </w:rPr>
            </w:pPr>
            <w:r w:rsidRPr="00B12FE0">
              <w:rPr>
                <w:bCs/>
                <w:color w:val="000000" w:themeColor="text1"/>
                <w:sz w:val="21"/>
                <w:szCs w:val="21"/>
              </w:rPr>
              <w:t>15</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15415266" w14:textId="77777777" w:rsidR="00A67F21" w:rsidRPr="00B12FE0" w:rsidRDefault="00000000">
            <w:pPr>
              <w:jc w:val="center"/>
              <w:rPr>
                <w:bCs/>
                <w:color w:val="000000" w:themeColor="text1"/>
                <w:szCs w:val="21"/>
              </w:rPr>
            </w:pPr>
            <w:proofErr w:type="gramStart"/>
            <w:r w:rsidRPr="00B12FE0">
              <w:rPr>
                <w:rFonts w:hint="eastAsia"/>
                <w:color w:val="000000" w:themeColor="text1"/>
                <w:sz w:val="21"/>
                <w:szCs w:val="21"/>
              </w:rPr>
              <w:t>清洗污被暂存</w:t>
            </w:r>
            <w:proofErr w:type="gramEnd"/>
            <w:r w:rsidRPr="00B12FE0">
              <w:rPr>
                <w:rFonts w:hint="eastAsia"/>
                <w:color w:val="000000" w:themeColor="text1"/>
                <w:sz w:val="21"/>
                <w:szCs w:val="21"/>
              </w:rPr>
              <w:t>区</w:t>
            </w:r>
          </w:p>
        </w:tc>
        <w:tc>
          <w:tcPr>
            <w:tcW w:w="1343" w:type="pct"/>
            <w:tcBorders>
              <w:top w:val="single" w:sz="4" w:space="0" w:color="auto"/>
              <w:left w:val="single" w:sz="4" w:space="0" w:color="auto"/>
              <w:bottom w:val="single" w:sz="4" w:space="0" w:color="auto"/>
              <w:right w:val="single" w:sz="4" w:space="0" w:color="auto"/>
            </w:tcBorders>
            <w:vAlign w:val="center"/>
          </w:tcPr>
          <w:p w14:paraId="0602CBE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345617C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4B5016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EE3EADC"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8B5AE4C" w14:textId="77777777" w:rsidR="00A67F21" w:rsidRPr="00B12FE0" w:rsidRDefault="00000000">
            <w:pPr>
              <w:jc w:val="center"/>
              <w:rPr>
                <w:bCs/>
                <w:color w:val="000000" w:themeColor="text1"/>
                <w:szCs w:val="21"/>
              </w:rPr>
            </w:pPr>
            <w:r w:rsidRPr="00B12FE0">
              <w:rPr>
                <w:bCs/>
                <w:color w:val="000000" w:themeColor="text1"/>
                <w:sz w:val="21"/>
                <w:szCs w:val="21"/>
              </w:rPr>
              <w:t>16</w:t>
            </w:r>
          </w:p>
        </w:tc>
        <w:tc>
          <w:tcPr>
            <w:tcW w:w="1844" w:type="dxa"/>
            <w:vMerge/>
            <w:tcBorders>
              <w:top w:val="single" w:sz="4" w:space="0" w:color="auto"/>
              <w:left w:val="single" w:sz="4" w:space="0" w:color="auto"/>
              <w:bottom w:val="single" w:sz="4" w:space="0" w:color="auto"/>
              <w:right w:val="single" w:sz="4" w:space="0" w:color="auto"/>
            </w:tcBorders>
            <w:vAlign w:val="center"/>
          </w:tcPr>
          <w:p w14:paraId="4CEC722D"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25E4F6A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5BD7110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7B767BE"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F038751"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156AD910" w14:textId="77777777" w:rsidR="00A67F21" w:rsidRPr="00B12FE0" w:rsidRDefault="00000000">
            <w:pPr>
              <w:jc w:val="center"/>
              <w:rPr>
                <w:bCs/>
                <w:color w:val="000000" w:themeColor="text1"/>
                <w:szCs w:val="21"/>
              </w:rPr>
            </w:pPr>
            <w:r w:rsidRPr="00B12FE0">
              <w:rPr>
                <w:bCs/>
                <w:color w:val="000000" w:themeColor="text1"/>
                <w:sz w:val="21"/>
                <w:szCs w:val="21"/>
              </w:rPr>
              <w:t>17</w:t>
            </w:r>
          </w:p>
        </w:tc>
        <w:tc>
          <w:tcPr>
            <w:tcW w:w="1844" w:type="dxa"/>
            <w:vMerge/>
            <w:tcBorders>
              <w:top w:val="single" w:sz="4" w:space="0" w:color="auto"/>
              <w:left w:val="single" w:sz="4" w:space="0" w:color="auto"/>
              <w:bottom w:val="single" w:sz="4" w:space="0" w:color="auto"/>
              <w:right w:val="single" w:sz="4" w:space="0" w:color="auto"/>
            </w:tcBorders>
            <w:vAlign w:val="center"/>
          </w:tcPr>
          <w:p w14:paraId="3F15FBDA"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96BA72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41F8253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8D62D4C"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213E4E7"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0413594" w14:textId="77777777" w:rsidR="00A67F21" w:rsidRPr="00B12FE0" w:rsidRDefault="00000000">
            <w:pPr>
              <w:jc w:val="center"/>
              <w:rPr>
                <w:bCs/>
                <w:color w:val="000000" w:themeColor="text1"/>
                <w:szCs w:val="21"/>
              </w:rPr>
            </w:pPr>
            <w:r w:rsidRPr="00B12FE0">
              <w:rPr>
                <w:bCs/>
                <w:color w:val="000000" w:themeColor="text1"/>
                <w:sz w:val="21"/>
                <w:szCs w:val="21"/>
              </w:rPr>
              <w:t>18</w:t>
            </w:r>
          </w:p>
        </w:tc>
        <w:tc>
          <w:tcPr>
            <w:tcW w:w="1844" w:type="dxa"/>
            <w:vMerge/>
            <w:tcBorders>
              <w:top w:val="single" w:sz="4" w:space="0" w:color="auto"/>
              <w:left w:val="single" w:sz="4" w:space="0" w:color="auto"/>
              <w:bottom w:val="single" w:sz="4" w:space="0" w:color="auto"/>
              <w:right w:val="single" w:sz="4" w:space="0" w:color="auto"/>
            </w:tcBorders>
            <w:vAlign w:val="center"/>
          </w:tcPr>
          <w:p w14:paraId="70B1496E"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C5AE98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26BF02A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4F8D2D8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B94618D"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266F26C1" w14:textId="77777777" w:rsidR="00A67F21" w:rsidRPr="00B12FE0" w:rsidRDefault="00000000">
            <w:pPr>
              <w:jc w:val="center"/>
              <w:rPr>
                <w:bCs/>
                <w:color w:val="000000" w:themeColor="text1"/>
                <w:szCs w:val="21"/>
              </w:rPr>
            </w:pPr>
            <w:r w:rsidRPr="00B12FE0">
              <w:rPr>
                <w:bCs/>
                <w:color w:val="000000" w:themeColor="text1"/>
                <w:sz w:val="21"/>
                <w:szCs w:val="21"/>
              </w:rPr>
              <w:t>19</w:t>
            </w:r>
          </w:p>
        </w:tc>
        <w:tc>
          <w:tcPr>
            <w:tcW w:w="1844" w:type="dxa"/>
            <w:vMerge/>
            <w:tcBorders>
              <w:top w:val="single" w:sz="4" w:space="0" w:color="auto"/>
              <w:left w:val="single" w:sz="4" w:space="0" w:color="auto"/>
              <w:bottom w:val="single" w:sz="4" w:space="0" w:color="auto"/>
              <w:right w:val="single" w:sz="4" w:space="0" w:color="auto"/>
            </w:tcBorders>
            <w:vAlign w:val="center"/>
          </w:tcPr>
          <w:p w14:paraId="112E8D5D"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1F1D4B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7579751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33BC96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6183C6D"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1AD31E22" w14:textId="77777777" w:rsidR="00A67F21" w:rsidRPr="00B12FE0" w:rsidRDefault="00000000">
            <w:pPr>
              <w:jc w:val="center"/>
              <w:rPr>
                <w:bCs/>
                <w:color w:val="000000" w:themeColor="text1"/>
                <w:szCs w:val="21"/>
              </w:rPr>
            </w:pPr>
            <w:r w:rsidRPr="00B12FE0">
              <w:rPr>
                <w:bCs/>
                <w:color w:val="000000" w:themeColor="text1"/>
                <w:sz w:val="21"/>
                <w:szCs w:val="21"/>
              </w:rPr>
              <w:t>20</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3037ADA2" w14:textId="77777777" w:rsidR="00A67F21" w:rsidRPr="00B12FE0" w:rsidRDefault="00000000">
            <w:pPr>
              <w:jc w:val="center"/>
              <w:rPr>
                <w:bCs/>
                <w:color w:val="000000" w:themeColor="text1"/>
                <w:szCs w:val="21"/>
              </w:rPr>
            </w:pPr>
            <w:r w:rsidRPr="00B12FE0">
              <w:rPr>
                <w:rFonts w:hint="eastAsia"/>
                <w:color w:val="000000" w:themeColor="text1"/>
                <w:sz w:val="21"/>
                <w:szCs w:val="21"/>
              </w:rPr>
              <w:t>患者通道</w:t>
            </w:r>
          </w:p>
        </w:tc>
        <w:tc>
          <w:tcPr>
            <w:tcW w:w="1343" w:type="pct"/>
            <w:tcBorders>
              <w:top w:val="single" w:sz="4" w:space="0" w:color="auto"/>
              <w:left w:val="single" w:sz="4" w:space="0" w:color="auto"/>
              <w:bottom w:val="single" w:sz="4" w:space="0" w:color="auto"/>
              <w:right w:val="single" w:sz="4" w:space="0" w:color="auto"/>
            </w:tcBorders>
            <w:vAlign w:val="center"/>
          </w:tcPr>
          <w:p w14:paraId="630CEAE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019D867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50499CF"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7A9AC1C"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33CAF03" w14:textId="77777777" w:rsidR="00A67F21" w:rsidRPr="00B12FE0" w:rsidRDefault="00000000">
            <w:pPr>
              <w:jc w:val="center"/>
              <w:rPr>
                <w:bCs/>
                <w:color w:val="000000" w:themeColor="text1"/>
                <w:szCs w:val="21"/>
              </w:rPr>
            </w:pPr>
            <w:r w:rsidRPr="00B12FE0">
              <w:rPr>
                <w:bCs/>
                <w:color w:val="000000" w:themeColor="text1"/>
                <w:sz w:val="21"/>
                <w:szCs w:val="21"/>
              </w:rPr>
              <w:t>21</w:t>
            </w:r>
          </w:p>
        </w:tc>
        <w:tc>
          <w:tcPr>
            <w:tcW w:w="1844" w:type="dxa"/>
            <w:vMerge/>
            <w:tcBorders>
              <w:top w:val="single" w:sz="4" w:space="0" w:color="auto"/>
              <w:left w:val="single" w:sz="4" w:space="0" w:color="auto"/>
              <w:bottom w:val="single" w:sz="4" w:space="0" w:color="auto"/>
              <w:right w:val="single" w:sz="4" w:space="0" w:color="auto"/>
            </w:tcBorders>
            <w:vAlign w:val="center"/>
          </w:tcPr>
          <w:p w14:paraId="0A12D97D"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102E4A4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5AE3822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22E4B00"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C8D8844"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CB19263" w14:textId="77777777" w:rsidR="00A67F21" w:rsidRPr="00B12FE0" w:rsidRDefault="00000000">
            <w:pPr>
              <w:jc w:val="center"/>
              <w:rPr>
                <w:bCs/>
                <w:color w:val="000000" w:themeColor="text1"/>
                <w:szCs w:val="21"/>
              </w:rPr>
            </w:pPr>
            <w:r w:rsidRPr="00B12FE0">
              <w:rPr>
                <w:bCs/>
                <w:color w:val="000000" w:themeColor="text1"/>
                <w:sz w:val="21"/>
                <w:szCs w:val="21"/>
              </w:rPr>
              <w:t>22</w:t>
            </w:r>
          </w:p>
        </w:tc>
        <w:tc>
          <w:tcPr>
            <w:tcW w:w="1844" w:type="dxa"/>
            <w:vMerge/>
            <w:tcBorders>
              <w:top w:val="single" w:sz="4" w:space="0" w:color="auto"/>
              <w:left w:val="single" w:sz="4" w:space="0" w:color="auto"/>
              <w:bottom w:val="single" w:sz="4" w:space="0" w:color="auto"/>
              <w:right w:val="single" w:sz="4" w:space="0" w:color="auto"/>
            </w:tcBorders>
            <w:vAlign w:val="center"/>
          </w:tcPr>
          <w:p w14:paraId="2349B935"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E52E68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2D63367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485E72C1"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50026ED"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1E22978" w14:textId="77777777" w:rsidR="00A67F21" w:rsidRPr="00B12FE0" w:rsidRDefault="00000000">
            <w:pPr>
              <w:jc w:val="center"/>
              <w:rPr>
                <w:bCs/>
                <w:color w:val="000000" w:themeColor="text1"/>
                <w:szCs w:val="21"/>
              </w:rPr>
            </w:pPr>
            <w:r w:rsidRPr="00B12FE0">
              <w:rPr>
                <w:bCs/>
                <w:color w:val="000000" w:themeColor="text1"/>
                <w:sz w:val="21"/>
                <w:szCs w:val="21"/>
              </w:rPr>
              <w:t>23</w:t>
            </w:r>
          </w:p>
        </w:tc>
        <w:tc>
          <w:tcPr>
            <w:tcW w:w="1844" w:type="dxa"/>
            <w:vMerge/>
            <w:tcBorders>
              <w:top w:val="single" w:sz="4" w:space="0" w:color="auto"/>
              <w:left w:val="single" w:sz="4" w:space="0" w:color="auto"/>
              <w:bottom w:val="single" w:sz="4" w:space="0" w:color="auto"/>
              <w:right w:val="single" w:sz="4" w:space="0" w:color="auto"/>
            </w:tcBorders>
            <w:vAlign w:val="center"/>
          </w:tcPr>
          <w:p w14:paraId="5C5D8C20"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0BD595E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1BE5579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ECCE668"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A653EB6"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923BBD6" w14:textId="77777777" w:rsidR="00A67F21" w:rsidRPr="00B12FE0" w:rsidRDefault="00000000">
            <w:pPr>
              <w:jc w:val="center"/>
              <w:rPr>
                <w:bCs/>
                <w:color w:val="000000" w:themeColor="text1"/>
                <w:szCs w:val="21"/>
              </w:rPr>
            </w:pPr>
            <w:r w:rsidRPr="00B12FE0">
              <w:rPr>
                <w:bCs/>
                <w:color w:val="000000" w:themeColor="text1"/>
                <w:sz w:val="21"/>
                <w:szCs w:val="21"/>
              </w:rPr>
              <w:t>24</w:t>
            </w:r>
          </w:p>
        </w:tc>
        <w:tc>
          <w:tcPr>
            <w:tcW w:w="1844" w:type="dxa"/>
            <w:vMerge/>
            <w:tcBorders>
              <w:top w:val="single" w:sz="4" w:space="0" w:color="auto"/>
              <w:left w:val="single" w:sz="4" w:space="0" w:color="auto"/>
              <w:bottom w:val="single" w:sz="4" w:space="0" w:color="auto"/>
              <w:right w:val="single" w:sz="4" w:space="0" w:color="auto"/>
            </w:tcBorders>
            <w:vAlign w:val="center"/>
          </w:tcPr>
          <w:p w14:paraId="7AE9D3E9" w14:textId="77777777" w:rsidR="00A67F21" w:rsidRPr="00B12FE0" w:rsidRDefault="00A67F21">
            <w:pPr>
              <w:widowControl/>
              <w:jc w:val="left"/>
              <w:rPr>
                <w:bCs/>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7773834F" w14:textId="77777777" w:rsidR="00A67F21" w:rsidRPr="00B12FE0" w:rsidRDefault="00000000">
            <w:pPr>
              <w:jc w:val="center"/>
              <w:rPr>
                <w:bCs/>
                <w:color w:val="000000" w:themeColor="text1"/>
                <w:szCs w:val="21"/>
              </w:rPr>
            </w:pPr>
            <w:r w:rsidRPr="00B12FE0">
              <w:rPr>
                <w:rFonts w:hint="eastAsia"/>
                <w:color w:val="000000" w:themeColor="text1"/>
                <w:sz w:val="21"/>
                <w:szCs w:val="21"/>
              </w:rPr>
              <w:t>电梯门表面</w:t>
            </w:r>
          </w:p>
        </w:tc>
        <w:tc>
          <w:tcPr>
            <w:tcW w:w="1308" w:type="pct"/>
            <w:tcBorders>
              <w:top w:val="single" w:sz="4" w:space="0" w:color="auto"/>
              <w:left w:val="single" w:sz="4" w:space="0" w:color="auto"/>
              <w:bottom w:val="single" w:sz="4" w:space="0" w:color="auto"/>
              <w:right w:val="single" w:sz="4" w:space="0" w:color="auto"/>
            </w:tcBorders>
            <w:vAlign w:val="center"/>
          </w:tcPr>
          <w:p w14:paraId="25815CAC" w14:textId="77777777" w:rsidR="00A67F21" w:rsidRPr="00B12FE0" w:rsidRDefault="00000000">
            <w:pPr>
              <w:jc w:val="center"/>
              <w:rPr>
                <w:bCs/>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BF7DE32"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5B01F43"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10AC345F" w14:textId="77777777" w:rsidR="00A67F21" w:rsidRPr="00B12FE0" w:rsidRDefault="00000000">
            <w:pPr>
              <w:jc w:val="center"/>
              <w:rPr>
                <w:bCs/>
                <w:color w:val="000000" w:themeColor="text1"/>
                <w:szCs w:val="21"/>
              </w:rPr>
            </w:pPr>
            <w:r w:rsidRPr="00B12FE0">
              <w:rPr>
                <w:bCs/>
                <w:color w:val="000000" w:themeColor="text1"/>
                <w:sz w:val="21"/>
                <w:szCs w:val="21"/>
              </w:rPr>
              <w:t>25</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3961CA9F"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1</w:t>
            </w:r>
          </w:p>
        </w:tc>
        <w:tc>
          <w:tcPr>
            <w:tcW w:w="1343" w:type="pct"/>
            <w:tcBorders>
              <w:top w:val="single" w:sz="4" w:space="0" w:color="auto"/>
              <w:left w:val="single" w:sz="4" w:space="0" w:color="auto"/>
              <w:bottom w:val="single" w:sz="4" w:space="0" w:color="auto"/>
              <w:right w:val="single" w:sz="4" w:space="0" w:color="auto"/>
            </w:tcBorders>
            <w:vAlign w:val="center"/>
          </w:tcPr>
          <w:p w14:paraId="77A712B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5F87132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50D37C9"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F140220"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DA256EC" w14:textId="77777777" w:rsidR="00A67F21" w:rsidRPr="00B12FE0" w:rsidRDefault="00000000">
            <w:pPr>
              <w:jc w:val="center"/>
              <w:rPr>
                <w:bCs/>
                <w:color w:val="000000" w:themeColor="text1"/>
                <w:szCs w:val="21"/>
              </w:rPr>
            </w:pPr>
            <w:r w:rsidRPr="00B12FE0">
              <w:rPr>
                <w:bCs/>
                <w:color w:val="000000" w:themeColor="text1"/>
                <w:sz w:val="21"/>
                <w:szCs w:val="21"/>
              </w:rPr>
              <w:t>26</w:t>
            </w:r>
          </w:p>
        </w:tc>
        <w:tc>
          <w:tcPr>
            <w:tcW w:w="1844" w:type="dxa"/>
            <w:vMerge/>
            <w:tcBorders>
              <w:top w:val="single" w:sz="4" w:space="0" w:color="auto"/>
              <w:left w:val="single" w:sz="4" w:space="0" w:color="auto"/>
              <w:bottom w:val="single" w:sz="4" w:space="0" w:color="auto"/>
              <w:right w:val="single" w:sz="4" w:space="0" w:color="auto"/>
            </w:tcBorders>
            <w:vAlign w:val="center"/>
          </w:tcPr>
          <w:p w14:paraId="67ED78A5"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1C3A34C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000759D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5FDE21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721EED7"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BD486E5" w14:textId="77777777" w:rsidR="00A67F21" w:rsidRPr="00B12FE0" w:rsidRDefault="00000000">
            <w:pPr>
              <w:jc w:val="center"/>
              <w:rPr>
                <w:bCs/>
                <w:color w:val="000000" w:themeColor="text1"/>
                <w:szCs w:val="21"/>
              </w:rPr>
            </w:pPr>
            <w:r w:rsidRPr="00B12FE0">
              <w:rPr>
                <w:bCs/>
                <w:color w:val="000000" w:themeColor="text1"/>
                <w:sz w:val="21"/>
                <w:szCs w:val="21"/>
              </w:rPr>
              <w:t>27</w:t>
            </w:r>
          </w:p>
        </w:tc>
        <w:tc>
          <w:tcPr>
            <w:tcW w:w="1844" w:type="dxa"/>
            <w:vMerge/>
            <w:tcBorders>
              <w:top w:val="single" w:sz="4" w:space="0" w:color="auto"/>
              <w:left w:val="single" w:sz="4" w:space="0" w:color="auto"/>
              <w:bottom w:val="single" w:sz="4" w:space="0" w:color="auto"/>
              <w:right w:val="single" w:sz="4" w:space="0" w:color="auto"/>
            </w:tcBorders>
            <w:vAlign w:val="center"/>
          </w:tcPr>
          <w:p w14:paraId="3347E266"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7C52969" w14:textId="77777777" w:rsidR="00A67F21" w:rsidRPr="00B12FE0" w:rsidRDefault="00000000">
            <w:pPr>
              <w:jc w:val="center"/>
              <w:rPr>
                <w:bCs/>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11D2907E" w14:textId="77777777" w:rsidR="00A67F21" w:rsidRPr="00B12FE0" w:rsidRDefault="00000000">
            <w:pPr>
              <w:jc w:val="center"/>
              <w:rPr>
                <w:bCs/>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147B8C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7D7DF5B"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7FA06CB6" w14:textId="77777777" w:rsidR="00A67F21" w:rsidRPr="00B12FE0" w:rsidRDefault="00000000">
            <w:pPr>
              <w:jc w:val="center"/>
              <w:rPr>
                <w:bCs/>
                <w:color w:val="000000" w:themeColor="text1"/>
                <w:szCs w:val="21"/>
              </w:rPr>
            </w:pPr>
            <w:r w:rsidRPr="00B12FE0">
              <w:rPr>
                <w:bCs/>
                <w:color w:val="000000" w:themeColor="text1"/>
                <w:sz w:val="21"/>
                <w:szCs w:val="21"/>
              </w:rPr>
              <w:t>28</w:t>
            </w:r>
          </w:p>
        </w:tc>
        <w:tc>
          <w:tcPr>
            <w:tcW w:w="1844" w:type="dxa"/>
            <w:vMerge/>
            <w:tcBorders>
              <w:top w:val="single" w:sz="4" w:space="0" w:color="auto"/>
              <w:left w:val="single" w:sz="4" w:space="0" w:color="auto"/>
              <w:bottom w:val="single" w:sz="4" w:space="0" w:color="auto"/>
              <w:right w:val="single" w:sz="4" w:space="0" w:color="auto"/>
            </w:tcBorders>
            <w:vAlign w:val="center"/>
          </w:tcPr>
          <w:p w14:paraId="48778D55"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2D75E29A" w14:textId="77777777" w:rsidR="00A67F21" w:rsidRPr="00B12FE0" w:rsidRDefault="00000000">
            <w:pPr>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1E82F6EE" w14:textId="77777777" w:rsidR="00A67F21" w:rsidRPr="00B12FE0" w:rsidRDefault="00000000">
            <w:pPr>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6CFDC32" w14:textId="77777777">
        <w:trPr>
          <w:trHeight w:val="23"/>
          <w:jc w:val="center"/>
        </w:trPr>
        <w:tc>
          <w:tcPr>
            <w:tcW w:w="656" w:type="pct"/>
            <w:vMerge w:val="restart"/>
            <w:tcBorders>
              <w:top w:val="single" w:sz="4" w:space="0" w:color="auto"/>
              <w:left w:val="single" w:sz="4" w:space="0" w:color="auto"/>
              <w:bottom w:val="single" w:sz="4" w:space="0" w:color="auto"/>
              <w:right w:val="single" w:sz="4" w:space="0" w:color="auto"/>
            </w:tcBorders>
            <w:vAlign w:val="center"/>
          </w:tcPr>
          <w:p w14:paraId="5788FD4A" w14:textId="77777777" w:rsidR="00A67F21" w:rsidRPr="00B12FE0" w:rsidRDefault="00000000">
            <w:pPr>
              <w:jc w:val="center"/>
              <w:rPr>
                <w:bCs/>
                <w:color w:val="000000" w:themeColor="text1"/>
                <w:szCs w:val="21"/>
              </w:rPr>
            </w:pPr>
            <w:r w:rsidRPr="00B12FE0">
              <w:rPr>
                <w:rFonts w:hint="eastAsia"/>
                <w:bCs/>
                <w:color w:val="000000" w:themeColor="text1"/>
                <w:sz w:val="21"/>
                <w:szCs w:val="21"/>
              </w:rPr>
              <w:t>核素治疗区域</w:t>
            </w:r>
          </w:p>
        </w:tc>
        <w:tc>
          <w:tcPr>
            <w:tcW w:w="641" w:type="pct"/>
            <w:tcBorders>
              <w:top w:val="single" w:sz="4" w:space="0" w:color="auto"/>
              <w:left w:val="single" w:sz="4" w:space="0" w:color="auto"/>
              <w:bottom w:val="single" w:sz="4" w:space="0" w:color="auto"/>
              <w:right w:val="single" w:sz="4" w:space="0" w:color="auto"/>
            </w:tcBorders>
            <w:vAlign w:val="center"/>
          </w:tcPr>
          <w:p w14:paraId="3D69ECE7" w14:textId="77777777" w:rsidR="00A67F21" w:rsidRPr="00B12FE0" w:rsidRDefault="00000000">
            <w:pPr>
              <w:jc w:val="center"/>
              <w:rPr>
                <w:bCs/>
                <w:color w:val="000000" w:themeColor="text1"/>
                <w:szCs w:val="21"/>
              </w:rPr>
            </w:pPr>
            <w:r w:rsidRPr="00B12FE0">
              <w:rPr>
                <w:bCs/>
                <w:color w:val="000000" w:themeColor="text1"/>
                <w:sz w:val="21"/>
                <w:szCs w:val="21"/>
              </w:rPr>
              <w:t>29</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23B23EC6"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1</w:t>
            </w:r>
          </w:p>
        </w:tc>
        <w:tc>
          <w:tcPr>
            <w:tcW w:w="1343" w:type="pct"/>
            <w:tcBorders>
              <w:top w:val="single" w:sz="4" w:space="0" w:color="auto"/>
              <w:left w:val="single" w:sz="4" w:space="0" w:color="auto"/>
              <w:bottom w:val="single" w:sz="4" w:space="0" w:color="auto"/>
              <w:right w:val="single" w:sz="4" w:space="0" w:color="auto"/>
            </w:tcBorders>
            <w:vAlign w:val="center"/>
          </w:tcPr>
          <w:p w14:paraId="081EF82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床表面</w:t>
            </w:r>
          </w:p>
        </w:tc>
        <w:tc>
          <w:tcPr>
            <w:tcW w:w="1308" w:type="pct"/>
            <w:tcBorders>
              <w:top w:val="single" w:sz="4" w:space="0" w:color="auto"/>
              <w:left w:val="single" w:sz="4" w:space="0" w:color="auto"/>
              <w:bottom w:val="single" w:sz="4" w:space="0" w:color="auto"/>
              <w:right w:val="single" w:sz="4" w:space="0" w:color="auto"/>
            </w:tcBorders>
            <w:vAlign w:val="center"/>
          </w:tcPr>
          <w:p w14:paraId="2722382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EE9344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F3F4953"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9ECC2DA" w14:textId="77777777" w:rsidR="00A67F21" w:rsidRPr="00B12FE0" w:rsidRDefault="00000000">
            <w:pPr>
              <w:jc w:val="center"/>
              <w:rPr>
                <w:bCs/>
                <w:color w:val="000000" w:themeColor="text1"/>
                <w:szCs w:val="21"/>
              </w:rPr>
            </w:pPr>
            <w:r w:rsidRPr="00B12FE0">
              <w:rPr>
                <w:bCs/>
                <w:color w:val="000000" w:themeColor="text1"/>
                <w:sz w:val="21"/>
                <w:szCs w:val="21"/>
              </w:rPr>
              <w:t>30</w:t>
            </w:r>
          </w:p>
        </w:tc>
        <w:tc>
          <w:tcPr>
            <w:tcW w:w="1844" w:type="dxa"/>
            <w:vMerge/>
            <w:tcBorders>
              <w:top w:val="single" w:sz="4" w:space="0" w:color="auto"/>
              <w:left w:val="single" w:sz="4" w:space="0" w:color="auto"/>
              <w:bottom w:val="single" w:sz="4" w:space="0" w:color="auto"/>
              <w:right w:val="single" w:sz="4" w:space="0" w:color="auto"/>
            </w:tcBorders>
            <w:vAlign w:val="center"/>
          </w:tcPr>
          <w:p w14:paraId="1AFC0CE6"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287960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柜子表面</w:t>
            </w:r>
          </w:p>
        </w:tc>
        <w:tc>
          <w:tcPr>
            <w:tcW w:w="1308" w:type="pct"/>
            <w:tcBorders>
              <w:top w:val="single" w:sz="4" w:space="0" w:color="auto"/>
              <w:left w:val="single" w:sz="4" w:space="0" w:color="auto"/>
              <w:bottom w:val="single" w:sz="4" w:space="0" w:color="auto"/>
              <w:right w:val="single" w:sz="4" w:space="0" w:color="auto"/>
            </w:tcBorders>
            <w:vAlign w:val="center"/>
          </w:tcPr>
          <w:p w14:paraId="3692F5B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190F80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387C750"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AF60607" w14:textId="77777777" w:rsidR="00A67F21" w:rsidRPr="00B12FE0" w:rsidRDefault="00000000">
            <w:pPr>
              <w:jc w:val="center"/>
              <w:rPr>
                <w:bCs/>
                <w:color w:val="000000" w:themeColor="text1"/>
                <w:szCs w:val="21"/>
              </w:rPr>
            </w:pPr>
            <w:r w:rsidRPr="00B12FE0">
              <w:rPr>
                <w:bCs/>
                <w:color w:val="000000" w:themeColor="text1"/>
                <w:sz w:val="21"/>
                <w:szCs w:val="21"/>
              </w:rPr>
              <w:t>31</w:t>
            </w:r>
          </w:p>
        </w:tc>
        <w:tc>
          <w:tcPr>
            <w:tcW w:w="1844" w:type="dxa"/>
            <w:vMerge/>
            <w:tcBorders>
              <w:top w:val="single" w:sz="4" w:space="0" w:color="auto"/>
              <w:left w:val="single" w:sz="4" w:space="0" w:color="auto"/>
              <w:bottom w:val="single" w:sz="4" w:space="0" w:color="auto"/>
              <w:right w:val="single" w:sz="4" w:space="0" w:color="auto"/>
            </w:tcBorders>
            <w:vAlign w:val="center"/>
          </w:tcPr>
          <w:p w14:paraId="2B521CB3"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0823D6E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洗手间墙面</w:t>
            </w:r>
          </w:p>
        </w:tc>
        <w:tc>
          <w:tcPr>
            <w:tcW w:w="1308" w:type="pct"/>
            <w:tcBorders>
              <w:top w:val="single" w:sz="4" w:space="0" w:color="auto"/>
              <w:left w:val="single" w:sz="4" w:space="0" w:color="auto"/>
              <w:bottom w:val="single" w:sz="4" w:space="0" w:color="auto"/>
              <w:right w:val="single" w:sz="4" w:space="0" w:color="auto"/>
            </w:tcBorders>
            <w:vAlign w:val="center"/>
          </w:tcPr>
          <w:p w14:paraId="61F8D1A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950214D"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187C2AA"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6043CE58" w14:textId="77777777" w:rsidR="00A67F21" w:rsidRPr="00B12FE0" w:rsidRDefault="00000000">
            <w:pPr>
              <w:jc w:val="center"/>
              <w:rPr>
                <w:bCs/>
                <w:color w:val="000000" w:themeColor="text1"/>
                <w:szCs w:val="21"/>
              </w:rPr>
            </w:pPr>
            <w:r w:rsidRPr="00B12FE0">
              <w:rPr>
                <w:bCs/>
                <w:color w:val="000000" w:themeColor="text1"/>
                <w:sz w:val="21"/>
                <w:szCs w:val="21"/>
              </w:rPr>
              <w:t>32</w:t>
            </w:r>
          </w:p>
        </w:tc>
        <w:tc>
          <w:tcPr>
            <w:tcW w:w="1844" w:type="dxa"/>
            <w:vMerge/>
            <w:tcBorders>
              <w:top w:val="single" w:sz="4" w:space="0" w:color="auto"/>
              <w:left w:val="single" w:sz="4" w:space="0" w:color="auto"/>
              <w:bottom w:val="single" w:sz="4" w:space="0" w:color="auto"/>
              <w:right w:val="single" w:sz="4" w:space="0" w:color="auto"/>
            </w:tcBorders>
            <w:vAlign w:val="center"/>
          </w:tcPr>
          <w:p w14:paraId="244FF6F6"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2AC211E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洗手间地面</w:t>
            </w:r>
          </w:p>
        </w:tc>
        <w:tc>
          <w:tcPr>
            <w:tcW w:w="1308" w:type="pct"/>
            <w:tcBorders>
              <w:top w:val="single" w:sz="4" w:space="0" w:color="auto"/>
              <w:left w:val="single" w:sz="4" w:space="0" w:color="auto"/>
              <w:bottom w:val="single" w:sz="4" w:space="0" w:color="auto"/>
              <w:right w:val="single" w:sz="4" w:space="0" w:color="auto"/>
            </w:tcBorders>
            <w:vAlign w:val="center"/>
          </w:tcPr>
          <w:p w14:paraId="7235E99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6DA968E"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21A44CA"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34CDCD9A" w14:textId="77777777" w:rsidR="00A67F21" w:rsidRPr="00B12FE0" w:rsidRDefault="00000000">
            <w:pPr>
              <w:jc w:val="center"/>
              <w:rPr>
                <w:bCs/>
                <w:color w:val="000000" w:themeColor="text1"/>
                <w:szCs w:val="21"/>
              </w:rPr>
            </w:pPr>
            <w:r w:rsidRPr="00B12FE0">
              <w:rPr>
                <w:bCs/>
                <w:color w:val="000000" w:themeColor="text1"/>
                <w:sz w:val="21"/>
                <w:szCs w:val="21"/>
              </w:rPr>
              <w:t>33</w:t>
            </w:r>
          </w:p>
        </w:tc>
        <w:tc>
          <w:tcPr>
            <w:tcW w:w="1844" w:type="dxa"/>
            <w:vMerge/>
            <w:tcBorders>
              <w:top w:val="single" w:sz="4" w:space="0" w:color="auto"/>
              <w:left w:val="single" w:sz="4" w:space="0" w:color="auto"/>
              <w:bottom w:val="single" w:sz="4" w:space="0" w:color="auto"/>
              <w:right w:val="single" w:sz="4" w:space="0" w:color="auto"/>
            </w:tcBorders>
            <w:vAlign w:val="center"/>
          </w:tcPr>
          <w:p w14:paraId="56556D14"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264673D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77D6648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7FEAC12"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ACEC2CB"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2913AD4E" w14:textId="77777777" w:rsidR="00A67F21" w:rsidRPr="00B12FE0" w:rsidRDefault="00000000">
            <w:pPr>
              <w:jc w:val="center"/>
              <w:rPr>
                <w:bCs/>
                <w:color w:val="000000" w:themeColor="text1"/>
                <w:szCs w:val="21"/>
              </w:rPr>
            </w:pPr>
            <w:r w:rsidRPr="00B12FE0">
              <w:rPr>
                <w:bCs/>
                <w:color w:val="000000" w:themeColor="text1"/>
                <w:sz w:val="21"/>
                <w:szCs w:val="21"/>
              </w:rPr>
              <w:t>34</w:t>
            </w:r>
          </w:p>
        </w:tc>
        <w:tc>
          <w:tcPr>
            <w:tcW w:w="1844" w:type="dxa"/>
            <w:vMerge/>
            <w:tcBorders>
              <w:top w:val="single" w:sz="4" w:space="0" w:color="auto"/>
              <w:left w:val="single" w:sz="4" w:space="0" w:color="auto"/>
              <w:bottom w:val="single" w:sz="4" w:space="0" w:color="auto"/>
              <w:right w:val="single" w:sz="4" w:space="0" w:color="auto"/>
            </w:tcBorders>
            <w:vAlign w:val="center"/>
          </w:tcPr>
          <w:p w14:paraId="72EC4EB7"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E94CA5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便池表面</w:t>
            </w:r>
          </w:p>
        </w:tc>
        <w:tc>
          <w:tcPr>
            <w:tcW w:w="1308" w:type="pct"/>
            <w:tcBorders>
              <w:top w:val="single" w:sz="4" w:space="0" w:color="auto"/>
              <w:left w:val="single" w:sz="4" w:space="0" w:color="auto"/>
              <w:bottom w:val="single" w:sz="4" w:space="0" w:color="auto"/>
              <w:right w:val="single" w:sz="4" w:space="0" w:color="auto"/>
            </w:tcBorders>
            <w:vAlign w:val="center"/>
          </w:tcPr>
          <w:p w14:paraId="5D22B821" w14:textId="77777777" w:rsidR="00A67F21" w:rsidRPr="00B12FE0" w:rsidRDefault="00000000">
            <w:pPr>
              <w:tabs>
                <w:tab w:val="left" w:pos="13020"/>
              </w:tabs>
              <w:jc w:val="center"/>
              <w:rPr>
                <w:color w:val="000000" w:themeColor="text1"/>
                <w:szCs w:val="21"/>
              </w:rPr>
            </w:pPr>
            <w:r w:rsidRPr="00B12FE0">
              <w:rPr>
                <w:color w:val="000000" w:themeColor="text1"/>
                <w:sz w:val="21"/>
                <w:szCs w:val="21"/>
              </w:rPr>
              <w:t>0.25</w:t>
            </w:r>
          </w:p>
        </w:tc>
      </w:tr>
      <w:tr w:rsidR="00A67F21" w:rsidRPr="00B12FE0" w14:paraId="3568ACB9"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01BFF77"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6D24324C" w14:textId="77777777" w:rsidR="00A67F21" w:rsidRPr="00B12FE0" w:rsidRDefault="00000000">
            <w:pPr>
              <w:jc w:val="center"/>
              <w:rPr>
                <w:bCs/>
                <w:color w:val="000000" w:themeColor="text1"/>
                <w:szCs w:val="21"/>
              </w:rPr>
            </w:pPr>
            <w:r w:rsidRPr="00B12FE0">
              <w:rPr>
                <w:bCs/>
                <w:color w:val="000000" w:themeColor="text1"/>
                <w:sz w:val="21"/>
                <w:szCs w:val="21"/>
              </w:rPr>
              <w:t>35</w:t>
            </w:r>
          </w:p>
        </w:tc>
        <w:tc>
          <w:tcPr>
            <w:tcW w:w="1844" w:type="dxa"/>
            <w:vMerge/>
            <w:tcBorders>
              <w:top w:val="single" w:sz="4" w:space="0" w:color="auto"/>
              <w:left w:val="single" w:sz="4" w:space="0" w:color="auto"/>
              <w:bottom w:val="single" w:sz="4" w:space="0" w:color="auto"/>
              <w:right w:val="single" w:sz="4" w:space="0" w:color="auto"/>
            </w:tcBorders>
            <w:vAlign w:val="center"/>
          </w:tcPr>
          <w:p w14:paraId="20AA850C"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8BEE58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洗手间门表面</w:t>
            </w:r>
          </w:p>
        </w:tc>
        <w:tc>
          <w:tcPr>
            <w:tcW w:w="1308" w:type="pct"/>
            <w:tcBorders>
              <w:top w:val="single" w:sz="4" w:space="0" w:color="auto"/>
              <w:left w:val="single" w:sz="4" w:space="0" w:color="auto"/>
              <w:bottom w:val="single" w:sz="4" w:space="0" w:color="auto"/>
              <w:right w:val="single" w:sz="4" w:space="0" w:color="auto"/>
            </w:tcBorders>
            <w:vAlign w:val="center"/>
          </w:tcPr>
          <w:p w14:paraId="5E77CFB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6CE6B3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BB6F7BF"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54B1941" w14:textId="77777777" w:rsidR="00A67F21" w:rsidRPr="00B12FE0" w:rsidRDefault="00000000">
            <w:pPr>
              <w:jc w:val="center"/>
              <w:rPr>
                <w:bCs/>
                <w:color w:val="000000" w:themeColor="text1"/>
                <w:szCs w:val="21"/>
              </w:rPr>
            </w:pPr>
            <w:r w:rsidRPr="00B12FE0">
              <w:rPr>
                <w:bCs/>
                <w:color w:val="000000" w:themeColor="text1"/>
                <w:sz w:val="21"/>
                <w:szCs w:val="21"/>
              </w:rPr>
              <w:t>36</w:t>
            </w:r>
          </w:p>
        </w:tc>
        <w:tc>
          <w:tcPr>
            <w:tcW w:w="1844" w:type="dxa"/>
            <w:vMerge/>
            <w:tcBorders>
              <w:top w:val="single" w:sz="4" w:space="0" w:color="auto"/>
              <w:left w:val="single" w:sz="4" w:space="0" w:color="auto"/>
              <w:bottom w:val="single" w:sz="4" w:space="0" w:color="auto"/>
              <w:right w:val="single" w:sz="4" w:space="0" w:color="auto"/>
            </w:tcBorders>
            <w:vAlign w:val="center"/>
          </w:tcPr>
          <w:p w14:paraId="2D14954D"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09B077C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51EFC7B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08B492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7F3D061"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F8E0A75" w14:textId="77777777" w:rsidR="00A67F21" w:rsidRPr="00B12FE0" w:rsidRDefault="00000000">
            <w:pPr>
              <w:jc w:val="center"/>
              <w:rPr>
                <w:bCs/>
                <w:color w:val="000000" w:themeColor="text1"/>
                <w:szCs w:val="21"/>
              </w:rPr>
            </w:pPr>
            <w:r w:rsidRPr="00B12FE0">
              <w:rPr>
                <w:bCs/>
                <w:color w:val="000000" w:themeColor="text1"/>
                <w:sz w:val="21"/>
                <w:szCs w:val="21"/>
              </w:rPr>
              <w:t>37</w:t>
            </w:r>
          </w:p>
        </w:tc>
        <w:tc>
          <w:tcPr>
            <w:tcW w:w="1844" w:type="dxa"/>
            <w:vMerge/>
            <w:tcBorders>
              <w:top w:val="single" w:sz="4" w:space="0" w:color="auto"/>
              <w:left w:val="single" w:sz="4" w:space="0" w:color="auto"/>
              <w:bottom w:val="single" w:sz="4" w:space="0" w:color="auto"/>
              <w:right w:val="single" w:sz="4" w:space="0" w:color="auto"/>
            </w:tcBorders>
            <w:vAlign w:val="center"/>
          </w:tcPr>
          <w:p w14:paraId="5733EF96"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7E7B397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废物桶表面</w:t>
            </w:r>
          </w:p>
        </w:tc>
        <w:tc>
          <w:tcPr>
            <w:tcW w:w="1308" w:type="pct"/>
            <w:tcBorders>
              <w:top w:val="single" w:sz="4" w:space="0" w:color="auto"/>
              <w:left w:val="single" w:sz="4" w:space="0" w:color="auto"/>
              <w:bottom w:val="single" w:sz="4" w:space="0" w:color="auto"/>
              <w:right w:val="single" w:sz="4" w:space="0" w:color="auto"/>
            </w:tcBorders>
            <w:vAlign w:val="center"/>
          </w:tcPr>
          <w:p w14:paraId="58585A4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20C73F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A823955"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0DE3564" w14:textId="77777777" w:rsidR="00A67F21" w:rsidRPr="00B12FE0" w:rsidRDefault="00000000">
            <w:pPr>
              <w:jc w:val="center"/>
              <w:rPr>
                <w:bCs/>
                <w:color w:val="000000" w:themeColor="text1"/>
                <w:szCs w:val="21"/>
              </w:rPr>
            </w:pPr>
            <w:r w:rsidRPr="00B12FE0">
              <w:rPr>
                <w:bCs/>
                <w:color w:val="000000" w:themeColor="text1"/>
                <w:sz w:val="21"/>
                <w:szCs w:val="21"/>
              </w:rPr>
              <w:t>38</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27B30A0E"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2</w:t>
            </w:r>
          </w:p>
        </w:tc>
        <w:tc>
          <w:tcPr>
            <w:tcW w:w="1343" w:type="pct"/>
            <w:tcBorders>
              <w:top w:val="single" w:sz="4" w:space="0" w:color="auto"/>
              <w:left w:val="single" w:sz="4" w:space="0" w:color="auto"/>
              <w:bottom w:val="single" w:sz="4" w:space="0" w:color="auto"/>
              <w:right w:val="single" w:sz="4" w:space="0" w:color="auto"/>
            </w:tcBorders>
            <w:vAlign w:val="center"/>
          </w:tcPr>
          <w:p w14:paraId="1A9594E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777F19C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D90A862"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2C94C4F"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F811F0E" w14:textId="77777777" w:rsidR="00A67F21" w:rsidRPr="00B12FE0" w:rsidRDefault="00000000">
            <w:pPr>
              <w:jc w:val="center"/>
              <w:rPr>
                <w:bCs/>
                <w:color w:val="000000" w:themeColor="text1"/>
                <w:szCs w:val="21"/>
              </w:rPr>
            </w:pPr>
            <w:r w:rsidRPr="00B12FE0">
              <w:rPr>
                <w:bCs/>
                <w:color w:val="000000" w:themeColor="text1"/>
                <w:sz w:val="21"/>
                <w:szCs w:val="21"/>
              </w:rPr>
              <w:t>39</w:t>
            </w:r>
          </w:p>
        </w:tc>
        <w:tc>
          <w:tcPr>
            <w:tcW w:w="1844" w:type="dxa"/>
            <w:vMerge/>
            <w:tcBorders>
              <w:top w:val="single" w:sz="4" w:space="0" w:color="auto"/>
              <w:left w:val="single" w:sz="4" w:space="0" w:color="auto"/>
              <w:bottom w:val="single" w:sz="4" w:space="0" w:color="auto"/>
              <w:right w:val="single" w:sz="4" w:space="0" w:color="auto"/>
            </w:tcBorders>
            <w:vAlign w:val="center"/>
          </w:tcPr>
          <w:p w14:paraId="27914A4F"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0BDC739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234B5F3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982A2B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198848D"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632203F7" w14:textId="77777777" w:rsidR="00A67F21" w:rsidRPr="00B12FE0" w:rsidRDefault="00000000">
            <w:pPr>
              <w:jc w:val="center"/>
              <w:rPr>
                <w:bCs/>
                <w:color w:val="000000" w:themeColor="text1"/>
                <w:szCs w:val="21"/>
              </w:rPr>
            </w:pPr>
            <w:r w:rsidRPr="00B12FE0">
              <w:rPr>
                <w:bCs/>
                <w:color w:val="000000" w:themeColor="text1"/>
                <w:sz w:val="21"/>
                <w:szCs w:val="21"/>
              </w:rPr>
              <w:t>40</w:t>
            </w:r>
          </w:p>
        </w:tc>
        <w:tc>
          <w:tcPr>
            <w:tcW w:w="1844" w:type="dxa"/>
            <w:vMerge/>
            <w:tcBorders>
              <w:top w:val="single" w:sz="4" w:space="0" w:color="auto"/>
              <w:left w:val="single" w:sz="4" w:space="0" w:color="auto"/>
              <w:bottom w:val="single" w:sz="4" w:space="0" w:color="auto"/>
              <w:right w:val="single" w:sz="4" w:space="0" w:color="auto"/>
            </w:tcBorders>
            <w:vAlign w:val="center"/>
          </w:tcPr>
          <w:p w14:paraId="2AFF0667"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14A577E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2AF6CF7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9630169"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3A8F1B8"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34DCBE8" w14:textId="77777777" w:rsidR="00A67F21" w:rsidRPr="00B12FE0" w:rsidRDefault="00000000">
            <w:pPr>
              <w:jc w:val="center"/>
              <w:rPr>
                <w:bCs/>
                <w:color w:val="000000" w:themeColor="text1"/>
                <w:szCs w:val="21"/>
              </w:rPr>
            </w:pPr>
            <w:r w:rsidRPr="00B12FE0">
              <w:rPr>
                <w:bCs/>
                <w:color w:val="000000" w:themeColor="text1"/>
                <w:sz w:val="21"/>
                <w:szCs w:val="21"/>
              </w:rPr>
              <w:t>41</w:t>
            </w:r>
          </w:p>
        </w:tc>
        <w:tc>
          <w:tcPr>
            <w:tcW w:w="1844" w:type="dxa"/>
            <w:vMerge/>
            <w:tcBorders>
              <w:top w:val="single" w:sz="4" w:space="0" w:color="auto"/>
              <w:left w:val="single" w:sz="4" w:space="0" w:color="auto"/>
              <w:bottom w:val="single" w:sz="4" w:space="0" w:color="auto"/>
              <w:right w:val="single" w:sz="4" w:space="0" w:color="auto"/>
            </w:tcBorders>
            <w:vAlign w:val="center"/>
          </w:tcPr>
          <w:p w14:paraId="5A942F43"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01E60F1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71DD7F2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B68FD9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63A039E"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3AA9A282" w14:textId="77777777" w:rsidR="00A67F21" w:rsidRPr="00B12FE0" w:rsidRDefault="00000000">
            <w:pPr>
              <w:jc w:val="center"/>
              <w:rPr>
                <w:bCs/>
                <w:color w:val="000000" w:themeColor="text1"/>
                <w:szCs w:val="21"/>
              </w:rPr>
            </w:pPr>
            <w:r w:rsidRPr="00B12FE0">
              <w:rPr>
                <w:bCs/>
                <w:color w:val="000000" w:themeColor="text1"/>
                <w:sz w:val="21"/>
                <w:szCs w:val="21"/>
              </w:rPr>
              <w:t>42</w:t>
            </w:r>
          </w:p>
        </w:tc>
        <w:tc>
          <w:tcPr>
            <w:tcW w:w="1844" w:type="dxa"/>
            <w:vMerge/>
            <w:tcBorders>
              <w:top w:val="single" w:sz="4" w:space="0" w:color="auto"/>
              <w:left w:val="single" w:sz="4" w:space="0" w:color="auto"/>
              <w:bottom w:val="single" w:sz="4" w:space="0" w:color="auto"/>
              <w:right w:val="single" w:sz="4" w:space="0" w:color="auto"/>
            </w:tcBorders>
            <w:vAlign w:val="center"/>
          </w:tcPr>
          <w:p w14:paraId="18CC3477"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D05678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床表面</w:t>
            </w:r>
          </w:p>
        </w:tc>
        <w:tc>
          <w:tcPr>
            <w:tcW w:w="1308" w:type="pct"/>
            <w:tcBorders>
              <w:top w:val="single" w:sz="4" w:space="0" w:color="auto"/>
              <w:left w:val="single" w:sz="4" w:space="0" w:color="auto"/>
              <w:bottom w:val="single" w:sz="4" w:space="0" w:color="auto"/>
              <w:right w:val="single" w:sz="4" w:space="0" w:color="auto"/>
            </w:tcBorders>
            <w:vAlign w:val="center"/>
          </w:tcPr>
          <w:p w14:paraId="0361D65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224AA5D"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5D60503"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E8B3EE5" w14:textId="77777777" w:rsidR="00A67F21" w:rsidRPr="00B12FE0" w:rsidRDefault="00000000">
            <w:pPr>
              <w:jc w:val="center"/>
              <w:rPr>
                <w:bCs/>
                <w:color w:val="000000" w:themeColor="text1"/>
                <w:szCs w:val="21"/>
              </w:rPr>
            </w:pPr>
            <w:r w:rsidRPr="00B12FE0">
              <w:rPr>
                <w:bCs/>
                <w:color w:val="000000" w:themeColor="text1"/>
                <w:sz w:val="21"/>
                <w:szCs w:val="21"/>
              </w:rPr>
              <w:t>43</w:t>
            </w:r>
          </w:p>
        </w:tc>
        <w:tc>
          <w:tcPr>
            <w:tcW w:w="1844" w:type="dxa"/>
            <w:vMerge/>
            <w:tcBorders>
              <w:top w:val="single" w:sz="4" w:space="0" w:color="auto"/>
              <w:left w:val="single" w:sz="4" w:space="0" w:color="auto"/>
              <w:bottom w:val="single" w:sz="4" w:space="0" w:color="auto"/>
              <w:right w:val="single" w:sz="4" w:space="0" w:color="auto"/>
            </w:tcBorders>
            <w:vAlign w:val="center"/>
          </w:tcPr>
          <w:p w14:paraId="1EF8CC3B"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9BFC2A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柜子表面</w:t>
            </w:r>
          </w:p>
        </w:tc>
        <w:tc>
          <w:tcPr>
            <w:tcW w:w="1308" w:type="pct"/>
            <w:tcBorders>
              <w:top w:val="single" w:sz="4" w:space="0" w:color="auto"/>
              <w:left w:val="single" w:sz="4" w:space="0" w:color="auto"/>
              <w:bottom w:val="single" w:sz="4" w:space="0" w:color="auto"/>
              <w:right w:val="single" w:sz="4" w:space="0" w:color="auto"/>
            </w:tcBorders>
            <w:vAlign w:val="center"/>
          </w:tcPr>
          <w:p w14:paraId="5C9A9A7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8AC762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3A8712D"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300A9873" w14:textId="77777777" w:rsidR="00A67F21" w:rsidRPr="00B12FE0" w:rsidRDefault="00000000">
            <w:pPr>
              <w:jc w:val="center"/>
              <w:rPr>
                <w:bCs/>
                <w:color w:val="000000" w:themeColor="text1"/>
                <w:szCs w:val="21"/>
              </w:rPr>
            </w:pPr>
            <w:r w:rsidRPr="00B12FE0">
              <w:rPr>
                <w:bCs/>
                <w:color w:val="000000" w:themeColor="text1"/>
                <w:sz w:val="21"/>
                <w:szCs w:val="21"/>
              </w:rPr>
              <w:t>44</w:t>
            </w:r>
          </w:p>
        </w:tc>
        <w:tc>
          <w:tcPr>
            <w:tcW w:w="1844" w:type="dxa"/>
            <w:vMerge/>
            <w:tcBorders>
              <w:top w:val="single" w:sz="4" w:space="0" w:color="auto"/>
              <w:left w:val="single" w:sz="4" w:space="0" w:color="auto"/>
              <w:bottom w:val="single" w:sz="4" w:space="0" w:color="auto"/>
              <w:right w:val="single" w:sz="4" w:space="0" w:color="auto"/>
            </w:tcBorders>
            <w:vAlign w:val="center"/>
          </w:tcPr>
          <w:p w14:paraId="21874A19"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5E325E2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洗手间地面</w:t>
            </w:r>
          </w:p>
        </w:tc>
        <w:tc>
          <w:tcPr>
            <w:tcW w:w="1308" w:type="pct"/>
            <w:tcBorders>
              <w:top w:val="single" w:sz="4" w:space="0" w:color="auto"/>
              <w:left w:val="single" w:sz="4" w:space="0" w:color="auto"/>
              <w:bottom w:val="single" w:sz="4" w:space="0" w:color="auto"/>
              <w:right w:val="single" w:sz="4" w:space="0" w:color="auto"/>
            </w:tcBorders>
            <w:vAlign w:val="center"/>
          </w:tcPr>
          <w:p w14:paraId="4D52B31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834807C"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B3DB45A"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93C8FAD" w14:textId="77777777" w:rsidR="00A67F21" w:rsidRPr="00B12FE0" w:rsidRDefault="00000000">
            <w:pPr>
              <w:jc w:val="center"/>
              <w:rPr>
                <w:bCs/>
                <w:color w:val="000000" w:themeColor="text1"/>
                <w:szCs w:val="21"/>
              </w:rPr>
            </w:pPr>
            <w:r w:rsidRPr="00B12FE0">
              <w:rPr>
                <w:bCs/>
                <w:color w:val="000000" w:themeColor="text1"/>
                <w:sz w:val="21"/>
                <w:szCs w:val="21"/>
              </w:rPr>
              <w:t>45</w:t>
            </w:r>
          </w:p>
        </w:tc>
        <w:tc>
          <w:tcPr>
            <w:tcW w:w="1844" w:type="dxa"/>
            <w:vMerge/>
            <w:tcBorders>
              <w:top w:val="single" w:sz="4" w:space="0" w:color="auto"/>
              <w:left w:val="single" w:sz="4" w:space="0" w:color="auto"/>
              <w:bottom w:val="single" w:sz="4" w:space="0" w:color="auto"/>
              <w:right w:val="single" w:sz="4" w:space="0" w:color="auto"/>
            </w:tcBorders>
            <w:vAlign w:val="center"/>
          </w:tcPr>
          <w:p w14:paraId="0360B56B"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301C8DF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洗手间墙面</w:t>
            </w:r>
          </w:p>
        </w:tc>
        <w:tc>
          <w:tcPr>
            <w:tcW w:w="1308" w:type="pct"/>
            <w:tcBorders>
              <w:top w:val="single" w:sz="4" w:space="0" w:color="auto"/>
              <w:left w:val="single" w:sz="4" w:space="0" w:color="auto"/>
              <w:bottom w:val="single" w:sz="4" w:space="0" w:color="auto"/>
              <w:right w:val="single" w:sz="4" w:space="0" w:color="auto"/>
            </w:tcBorders>
            <w:vAlign w:val="center"/>
          </w:tcPr>
          <w:p w14:paraId="527FB44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538F88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131C35A"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4D203746" w14:textId="77777777" w:rsidR="00A67F21" w:rsidRPr="00B12FE0" w:rsidRDefault="00000000">
            <w:pPr>
              <w:jc w:val="center"/>
              <w:rPr>
                <w:bCs/>
                <w:color w:val="000000" w:themeColor="text1"/>
                <w:szCs w:val="21"/>
              </w:rPr>
            </w:pPr>
            <w:r w:rsidRPr="00B12FE0">
              <w:rPr>
                <w:bCs/>
                <w:color w:val="000000" w:themeColor="text1"/>
                <w:sz w:val="21"/>
                <w:szCs w:val="21"/>
              </w:rPr>
              <w:t>46</w:t>
            </w:r>
          </w:p>
        </w:tc>
        <w:tc>
          <w:tcPr>
            <w:tcW w:w="1844" w:type="dxa"/>
            <w:vMerge/>
            <w:tcBorders>
              <w:top w:val="single" w:sz="4" w:space="0" w:color="auto"/>
              <w:left w:val="single" w:sz="4" w:space="0" w:color="auto"/>
              <w:bottom w:val="single" w:sz="4" w:space="0" w:color="auto"/>
              <w:right w:val="single" w:sz="4" w:space="0" w:color="auto"/>
            </w:tcBorders>
            <w:vAlign w:val="center"/>
          </w:tcPr>
          <w:p w14:paraId="67F561A0"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BAF383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1C0CE1A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A7D15B2"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5A2B2AC"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2DAD5EB5" w14:textId="77777777" w:rsidR="00A67F21" w:rsidRPr="00B12FE0" w:rsidRDefault="00000000">
            <w:pPr>
              <w:jc w:val="center"/>
              <w:rPr>
                <w:bCs/>
                <w:color w:val="000000" w:themeColor="text1"/>
                <w:szCs w:val="21"/>
              </w:rPr>
            </w:pPr>
            <w:r w:rsidRPr="00B12FE0">
              <w:rPr>
                <w:bCs/>
                <w:color w:val="000000" w:themeColor="text1"/>
                <w:sz w:val="21"/>
                <w:szCs w:val="21"/>
              </w:rPr>
              <w:t>47</w:t>
            </w:r>
          </w:p>
        </w:tc>
        <w:tc>
          <w:tcPr>
            <w:tcW w:w="1844" w:type="dxa"/>
            <w:vMerge/>
            <w:tcBorders>
              <w:top w:val="single" w:sz="4" w:space="0" w:color="auto"/>
              <w:left w:val="single" w:sz="4" w:space="0" w:color="auto"/>
              <w:bottom w:val="single" w:sz="4" w:space="0" w:color="auto"/>
              <w:right w:val="single" w:sz="4" w:space="0" w:color="auto"/>
            </w:tcBorders>
            <w:vAlign w:val="center"/>
          </w:tcPr>
          <w:p w14:paraId="6F1700A5"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080B14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便池表面</w:t>
            </w:r>
          </w:p>
        </w:tc>
        <w:tc>
          <w:tcPr>
            <w:tcW w:w="1308" w:type="pct"/>
            <w:tcBorders>
              <w:top w:val="single" w:sz="4" w:space="0" w:color="auto"/>
              <w:left w:val="single" w:sz="4" w:space="0" w:color="auto"/>
              <w:bottom w:val="single" w:sz="4" w:space="0" w:color="auto"/>
              <w:right w:val="single" w:sz="4" w:space="0" w:color="auto"/>
            </w:tcBorders>
            <w:vAlign w:val="center"/>
          </w:tcPr>
          <w:p w14:paraId="441EBE7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C70385D"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BB63849"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789A3490" w14:textId="77777777" w:rsidR="00A67F21" w:rsidRPr="00B12FE0" w:rsidRDefault="00000000">
            <w:pPr>
              <w:jc w:val="center"/>
              <w:rPr>
                <w:bCs/>
                <w:color w:val="000000" w:themeColor="text1"/>
                <w:szCs w:val="21"/>
              </w:rPr>
            </w:pPr>
            <w:r w:rsidRPr="00B12FE0">
              <w:rPr>
                <w:bCs/>
                <w:color w:val="000000" w:themeColor="text1"/>
                <w:sz w:val="21"/>
                <w:szCs w:val="21"/>
              </w:rPr>
              <w:t>48</w:t>
            </w:r>
          </w:p>
        </w:tc>
        <w:tc>
          <w:tcPr>
            <w:tcW w:w="1844" w:type="dxa"/>
            <w:vMerge/>
            <w:tcBorders>
              <w:top w:val="single" w:sz="4" w:space="0" w:color="auto"/>
              <w:left w:val="single" w:sz="4" w:space="0" w:color="auto"/>
              <w:bottom w:val="single" w:sz="4" w:space="0" w:color="auto"/>
              <w:right w:val="single" w:sz="4" w:space="0" w:color="auto"/>
            </w:tcBorders>
            <w:vAlign w:val="center"/>
          </w:tcPr>
          <w:p w14:paraId="4EDF75AB"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DB1F69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洗手间门表面</w:t>
            </w:r>
          </w:p>
        </w:tc>
        <w:tc>
          <w:tcPr>
            <w:tcW w:w="1308" w:type="pct"/>
            <w:tcBorders>
              <w:top w:val="single" w:sz="4" w:space="0" w:color="auto"/>
              <w:left w:val="single" w:sz="4" w:space="0" w:color="auto"/>
              <w:bottom w:val="single" w:sz="4" w:space="0" w:color="auto"/>
              <w:right w:val="single" w:sz="4" w:space="0" w:color="auto"/>
            </w:tcBorders>
            <w:vAlign w:val="center"/>
          </w:tcPr>
          <w:p w14:paraId="5F4EC88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874C79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82F26A5"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33EA6048" w14:textId="77777777" w:rsidR="00A67F21" w:rsidRPr="00B12FE0" w:rsidRDefault="00000000">
            <w:pPr>
              <w:jc w:val="center"/>
              <w:rPr>
                <w:bCs/>
                <w:color w:val="000000" w:themeColor="text1"/>
                <w:szCs w:val="21"/>
              </w:rPr>
            </w:pPr>
            <w:r w:rsidRPr="00B12FE0">
              <w:rPr>
                <w:bCs/>
                <w:color w:val="000000" w:themeColor="text1"/>
                <w:sz w:val="21"/>
                <w:szCs w:val="21"/>
              </w:rPr>
              <w:t>49</w:t>
            </w:r>
          </w:p>
        </w:tc>
        <w:tc>
          <w:tcPr>
            <w:tcW w:w="1844" w:type="dxa"/>
            <w:vMerge/>
            <w:tcBorders>
              <w:top w:val="single" w:sz="4" w:space="0" w:color="auto"/>
              <w:left w:val="single" w:sz="4" w:space="0" w:color="auto"/>
              <w:bottom w:val="single" w:sz="4" w:space="0" w:color="auto"/>
              <w:right w:val="single" w:sz="4" w:space="0" w:color="auto"/>
            </w:tcBorders>
            <w:vAlign w:val="center"/>
          </w:tcPr>
          <w:p w14:paraId="417C89EA"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61C3B51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2C07207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956299E"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31A2109"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3C7211B0" w14:textId="77777777" w:rsidR="00A67F21" w:rsidRPr="00B12FE0" w:rsidRDefault="00000000">
            <w:pPr>
              <w:jc w:val="center"/>
              <w:rPr>
                <w:bCs/>
                <w:color w:val="000000" w:themeColor="text1"/>
                <w:szCs w:val="21"/>
              </w:rPr>
            </w:pPr>
            <w:r w:rsidRPr="00B12FE0">
              <w:rPr>
                <w:bCs/>
                <w:color w:val="000000" w:themeColor="text1"/>
                <w:sz w:val="21"/>
                <w:szCs w:val="21"/>
              </w:rPr>
              <w:t>50</w:t>
            </w:r>
          </w:p>
        </w:tc>
        <w:tc>
          <w:tcPr>
            <w:tcW w:w="1844" w:type="dxa"/>
            <w:vMerge/>
            <w:tcBorders>
              <w:top w:val="single" w:sz="4" w:space="0" w:color="auto"/>
              <w:left w:val="single" w:sz="4" w:space="0" w:color="auto"/>
              <w:bottom w:val="single" w:sz="4" w:space="0" w:color="auto"/>
              <w:right w:val="single" w:sz="4" w:space="0" w:color="auto"/>
            </w:tcBorders>
            <w:vAlign w:val="center"/>
          </w:tcPr>
          <w:p w14:paraId="7F1D6859"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26390F4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废物桶表面</w:t>
            </w:r>
          </w:p>
        </w:tc>
        <w:tc>
          <w:tcPr>
            <w:tcW w:w="1308" w:type="pct"/>
            <w:tcBorders>
              <w:top w:val="single" w:sz="4" w:space="0" w:color="auto"/>
              <w:left w:val="single" w:sz="4" w:space="0" w:color="auto"/>
              <w:bottom w:val="single" w:sz="4" w:space="0" w:color="auto"/>
              <w:right w:val="single" w:sz="4" w:space="0" w:color="auto"/>
            </w:tcBorders>
            <w:vAlign w:val="center"/>
          </w:tcPr>
          <w:p w14:paraId="760AD9E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E79EE53"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9875CF4"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7905CC36" w14:textId="77777777" w:rsidR="00A67F21" w:rsidRPr="00B12FE0" w:rsidRDefault="00000000">
            <w:pPr>
              <w:jc w:val="center"/>
              <w:rPr>
                <w:bCs/>
                <w:color w:val="000000" w:themeColor="text1"/>
                <w:szCs w:val="21"/>
              </w:rPr>
            </w:pPr>
            <w:r w:rsidRPr="00B12FE0">
              <w:rPr>
                <w:bCs/>
                <w:color w:val="000000" w:themeColor="text1"/>
                <w:sz w:val="21"/>
                <w:szCs w:val="21"/>
              </w:rPr>
              <w:t>51</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6E783012"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3</w:t>
            </w:r>
          </w:p>
        </w:tc>
        <w:tc>
          <w:tcPr>
            <w:tcW w:w="1343" w:type="pct"/>
            <w:tcBorders>
              <w:top w:val="single" w:sz="4" w:space="0" w:color="auto"/>
              <w:left w:val="single" w:sz="4" w:space="0" w:color="auto"/>
              <w:bottom w:val="single" w:sz="4" w:space="0" w:color="auto"/>
              <w:right w:val="single" w:sz="4" w:space="0" w:color="auto"/>
            </w:tcBorders>
            <w:vAlign w:val="center"/>
          </w:tcPr>
          <w:p w14:paraId="13D9178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0A67782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998F52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6B8C4C9"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9623CAB" w14:textId="77777777" w:rsidR="00A67F21" w:rsidRPr="00B12FE0" w:rsidRDefault="00000000">
            <w:pPr>
              <w:jc w:val="center"/>
              <w:rPr>
                <w:bCs/>
                <w:color w:val="000000" w:themeColor="text1"/>
                <w:szCs w:val="21"/>
              </w:rPr>
            </w:pPr>
            <w:r w:rsidRPr="00B12FE0">
              <w:rPr>
                <w:bCs/>
                <w:color w:val="000000" w:themeColor="text1"/>
                <w:sz w:val="21"/>
                <w:szCs w:val="21"/>
              </w:rPr>
              <w:t>52</w:t>
            </w:r>
          </w:p>
        </w:tc>
        <w:tc>
          <w:tcPr>
            <w:tcW w:w="1844" w:type="dxa"/>
            <w:vMerge/>
            <w:tcBorders>
              <w:top w:val="single" w:sz="4" w:space="0" w:color="auto"/>
              <w:left w:val="single" w:sz="4" w:space="0" w:color="auto"/>
              <w:bottom w:val="single" w:sz="4" w:space="0" w:color="auto"/>
              <w:right w:val="single" w:sz="4" w:space="0" w:color="auto"/>
            </w:tcBorders>
            <w:vAlign w:val="center"/>
          </w:tcPr>
          <w:p w14:paraId="28BE4A4F"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2735788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495E16A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C6EF85E"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C0231F0"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3B428A52" w14:textId="77777777" w:rsidR="00A67F21" w:rsidRPr="00B12FE0" w:rsidRDefault="00000000">
            <w:pPr>
              <w:jc w:val="center"/>
              <w:rPr>
                <w:bCs/>
                <w:color w:val="000000" w:themeColor="text1"/>
                <w:szCs w:val="21"/>
              </w:rPr>
            </w:pPr>
            <w:r w:rsidRPr="00B12FE0">
              <w:rPr>
                <w:bCs/>
                <w:color w:val="000000" w:themeColor="text1"/>
                <w:sz w:val="21"/>
                <w:szCs w:val="21"/>
              </w:rPr>
              <w:t>53</w:t>
            </w:r>
          </w:p>
        </w:tc>
        <w:tc>
          <w:tcPr>
            <w:tcW w:w="1844" w:type="dxa"/>
            <w:vMerge/>
            <w:tcBorders>
              <w:top w:val="single" w:sz="4" w:space="0" w:color="auto"/>
              <w:left w:val="single" w:sz="4" w:space="0" w:color="auto"/>
              <w:bottom w:val="single" w:sz="4" w:space="0" w:color="auto"/>
              <w:right w:val="single" w:sz="4" w:space="0" w:color="auto"/>
            </w:tcBorders>
            <w:vAlign w:val="center"/>
          </w:tcPr>
          <w:p w14:paraId="02C1463B"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BB0022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3A4E646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0CEBE8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83B2163"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F7CBAE5" w14:textId="77777777" w:rsidR="00A67F21" w:rsidRPr="00B12FE0" w:rsidRDefault="00000000">
            <w:pPr>
              <w:jc w:val="center"/>
              <w:rPr>
                <w:bCs/>
                <w:color w:val="000000" w:themeColor="text1"/>
                <w:szCs w:val="21"/>
              </w:rPr>
            </w:pPr>
            <w:r w:rsidRPr="00B12FE0">
              <w:rPr>
                <w:bCs/>
                <w:color w:val="000000" w:themeColor="text1"/>
                <w:sz w:val="21"/>
                <w:szCs w:val="21"/>
              </w:rPr>
              <w:t>54</w:t>
            </w:r>
          </w:p>
        </w:tc>
        <w:tc>
          <w:tcPr>
            <w:tcW w:w="1844" w:type="dxa"/>
            <w:vMerge/>
            <w:tcBorders>
              <w:top w:val="single" w:sz="4" w:space="0" w:color="auto"/>
              <w:left w:val="single" w:sz="4" w:space="0" w:color="auto"/>
              <w:bottom w:val="single" w:sz="4" w:space="0" w:color="auto"/>
              <w:right w:val="single" w:sz="4" w:space="0" w:color="auto"/>
            </w:tcBorders>
            <w:vAlign w:val="center"/>
          </w:tcPr>
          <w:p w14:paraId="3F1A9445"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79B6F3E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7AB8DBA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C29E20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6701171"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0459F213" w14:textId="77777777" w:rsidR="00A67F21" w:rsidRPr="00B12FE0" w:rsidRDefault="00000000">
            <w:pPr>
              <w:jc w:val="center"/>
              <w:rPr>
                <w:bCs/>
                <w:color w:val="000000" w:themeColor="text1"/>
                <w:szCs w:val="21"/>
              </w:rPr>
            </w:pPr>
            <w:r w:rsidRPr="00B12FE0">
              <w:rPr>
                <w:bCs/>
                <w:color w:val="000000" w:themeColor="text1"/>
                <w:sz w:val="21"/>
                <w:szCs w:val="21"/>
              </w:rPr>
              <w:t>55</w:t>
            </w:r>
          </w:p>
        </w:tc>
        <w:tc>
          <w:tcPr>
            <w:tcW w:w="1844" w:type="dxa"/>
            <w:vMerge/>
            <w:tcBorders>
              <w:top w:val="single" w:sz="4" w:space="0" w:color="auto"/>
              <w:left w:val="single" w:sz="4" w:space="0" w:color="auto"/>
              <w:bottom w:val="single" w:sz="4" w:space="0" w:color="auto"/>
              <w:right w:val="single" w:sz="4" w:space="0" w:color="auto"/>
            </w:tcBorders>
            <w:vAlign w:val="center"/>
          </w:tcPr>
          <w:p w14:paraId="09A86419"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1C14D87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床表面</w:t>
            </w:r>
          </w:p>
        </w:tc>
        <w:tc>
          <w:tcPr>
            <w:tcW w:w="1308" w:type="pct"/>
            <w:tcBorders>
              <w:top w:val="single" w:sz="4" w:space="0" w:color="auto"/>
              <w:left w:val="single" w:sz="4" w:space="0" w:color="auto"/>
              <w:bottom w:val="single" w:sz="4" w:space="0" w:color="auto"/>
              <w:right w:val="single" w:sz="4" w:space="0" w:color="auto"/>
            </w:tcBorders>
            <w:vAlign w:val="center"/>
          </w:tcPr>
          <w:p w14:paraId="66C12EB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615D60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DD0B4DC"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1AB703A3" w14:textId="77777777" w:rsidR="00A67F21" w:rsidRPr="00B12FE0" w:rsidRDefault="00000000">
            <w:pPr>
              <w:jc w:val="center"/>
              <w:rPr>
                <w:bCs/>
                <w:color w:val="000000" w:themeColor="text1"/>
                <w:szCs w:val="21"/>
              </w:rPr>
            </w:pPr>
            <w:r w:rsidRPr="00B12FE0">
              <w:rPr>
                <w:bCs/>
                <w:color w:val="000000" w:themeColor="text1"/>
                <w:sz w:val="21"/>
                <w:szCs w:val="21"/>
              </w:rPr>
              <w:t>56</w:t>
            </w:r>
          </w:p>
        </w:tc>
        <w:tc>
          <w:tcPr>
            <w:tcW w:w="1844" w:type="dxa"/>
            <w:vMerge/>
            <w:tcBorders>
              <w:top w:val="single" w:sz="4" w:space="0" w:color="auto"/>
              <w:left w:val="single" w:sz="4" w:space="0" w:color="auto"/>
              <w:bottom w:val="single" w:sz="4" w:space="0" w:color="auto"/>
              <w:right w:val="single" w:sz="4" w:space="0" w:color="auto"/>
            </w:tcBorders>
            <w:vAlign w:val="center"/>
          </w:tcPr>
          <w:p w14:paraId="7A134207"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4FD9012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柜子表面</w:t>
            </w:r>
          </w:p>
        </w:tc>
        <w:tc>
          <w:tcPr>
            <w:tcW w:w="1308" w:type="pct"/>
            <w:tcBorders>
              <w:top w:val="single" w:sz="4" w:space="0" w:color="auto"/>
              <w:left w:val="single" w:sz="4" w:space="0" w:color="auto"/>
              <w:bottom w:val="single" w:sz="4" w:space="0" w:color="auto"/>
              <w:right w:val="single" w:sz="4" w:space="0" w:color="auto"/>
            </w:tcBorders>
            <w:vAlign w:val="center"/>
          </w:tcPr>
          <w:p w14:paraId="530D08C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968D7C9"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EC1161F" w14:textId="77777777" w:rsidR="00A67F21" w:rsidRPr="00B12FE0" w:rsidRDefault="00A67F21">
            <w:pPr>
              <w:widowControl/>
              <w:jc w:val="left"/>
              <w:rPr>
                <w:bCs/>
                <w:color w:val="000000" w:themeColor="text1"/>
                <w:szCs w:val="21"/>
              </w:rPr>
            </w:pPr>
          </w:p>
        </w:tc>
        <w:tc>
          <w:tcPr>
            <w:tcW w:w="641" w:type="pct"/>
            <w:tcBorders>
              <w:top w:val="single" w:sz="4" w:space="0" w:color="auto"/>
              <w:left w:val="single" w:sz="4" w:space="0" w:color="auto"/>
              <w:bottom w:val="single" w:sz="4" w:space="0" w:color="auto"/>
              <w:right w:val="single" w:sz="4" w:space="0" w:color="auto"/>
            </w:tcBorders>
            <w:vAlign w:val="center"/>
          </w:tcPr>
          <w:p w14:paraId="507A90F5" w14:textId="77777777" w:rsidR="00A67F21" w:rsidRPr="00B12FE0" w:rsidRDefault="00000000">
            <w:pPr>
              <w:jc w:val="center"/>
              <w:rPr>
                <w:bCs/>
                <w:color w:val="000000" w:themeColor="text1"/>
                <w:szCs w:val="21"/>
              </w:rPr>
            </w:pPr>
            <w:r w:rsidRPr="00B12FE0">
              <w:rPr>
                <w:bCs/>
                <w:color w:val="000000" w:themeColor="text1"/>
                <w:sz w:val="21"/>
                <w:szCs w:val="21"/>
              </w:rPr>
              <w:t>57</w:t>
            </w:r>
          </w:p>
        </w:tc>
        <w:tc>
          <w:tcPr>
            <w:tcW w:w="1844" w:type="dxa"/>
            <w:vMerge/>
            <w:tcBorders>
              <w:top w:val="single" w:sz="4" w:space="0" w:color="auto"/>
              <w:left w:val="single" w:sz="4" w:space="0" w:color="auto"/>
              <w:bottom w:val="single" w:sz="4" w:space="0" w:color="auto"/>
              <w:right w:val="single" w:sz="4" w:space="0" w:color="auto"/>
            </w:tcBorders>
            <w:vAlign w:val="center"/>
          </w:tcPr>
          <w:p w14:paraId="0917DDD9" w14:textId="77777777" w:rsidR="00A67F21" w:rsidRPr="00B12FE0" w:rsidRDefault="00A67F21">
            <w:pPr>
              <w:widowControl/>
              <w:jc w:val="left"/>
              <w:rPr>
                <w:color w:val="000000" w:themeColor="text1"/>
                <w:szCs w:val="21"/>
              </w:rPr>
            </w:pPr>
          </w:p>
        </w:tc>
        <w:tc>
          <w:tcPr>
            <w:tcW w:w="1343" w:type="pct"/>
            <w:tcBorders>
              <w:top w:val="single" w:sz="4" w:space="0" w:color="auto"/>
              <w:left w:val="single" w:sz="4" w:space="0" w:color="auto"/>
              <w:bottom w:val="single" w:sz="4" w:space="0" w:color="auto"/>
              <w:right w:val="single" w:sz="4" w:space="0" w:color="auto"/>
            </w:tcBorders>
            <w:vAlign w:val="center"/>
          </w:tcPr>
          <w:p w14:paraId="73A6955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洗手间地面</w:t>
            </w:r>
          </w:p>
        </w:tc>
        <w:tc>
          <w:tcPr>
            <w:tcW w:w="1308" w:type="pct"/>
            <w:tcBorders>
              <w:top w:val="single" w:sz="4" w:space="0" w:color="auto"/>
              <w:left w:val="single" w:sz="4" w:space="0" w:color="auto"/>
              <w:bottom w:val="single" w:sz="4" w:space="0" w:color="auto"/>
              <w:right w:val="single" w:sz="4" w:space="0" w:color="auto"/>
            </w:tcBorders>
            <w:vAlign w:val="center"/>
          </w:tcPr>
          <w:p w14:paraId="58BB02D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04C2B49" w14:textId="77777777">
        <w:trPr>
          <w:trHeight w:val="23"/>
          <w:jc w:val="center"/>
        </w:trPr>
        <w:tc>
          <w:tcPr>
            <w:tcW w:w="656" w:type="pct"/>
            <w:vMerge w:val="restart"/>
            <w:tcBorders>
              <w:top w:val="single" w:sz="4" w:space="0" w:color="auto"/>
              <w:left w:val="single" w:sz="4" w:space="0" w:color="auto"/>
              <w:bottom w:val="single" w:sz="4" w:space="0" w:color="auto"/>
              <w:right w:val="single" w:sz="4" w:space="0" w:color="auto"/>
            </w:tcBorders>
            <w:vAlign w:val="center"/>
          </w:tcPr>
          <w:p w14:paraId="662B0027" w14:textId="77777777" w:rsidR="00A67F21" w:rsidRPr="00B12FE0" w:rsidRDefault="00000000">
            <w:pPr>
              <w:jc w:val="center"/>
              <w:rPr>
                <w:bCs/>
                <w:color w:val="000000" w:themeColor="text1"/>
                <w:szCs w:val="21"/>
              </w:rPr>
            </w:pPr>
            <w:r w:rsidRPr="00B12FE0">
              <w:rPr>
                <w:rFonts w:hint="eastAsia"/>
                <w:bCs/>
                <w:color w:val="000000" w:themeColor="text1"/>
                <w:sz w:val="21"/>
                <w:szCs w:val="21"/>
              </w:rPr>
              <w:t>核素治疗区域</w:t>
            </w:r>
          </w:p>
        </w:tc>
        <w:tc>
          <w:tcPr>
            <w:tcW w:w="642" w:type="pct"/>
            <w:tcBorders>
              <w:top w:val="single" w:sz="4" w:space="0" w:color="auto"/>
              <w:left w:val="single" w:sz="4" w:space="0" w:color="auto"/>
              <w:bottom w:val="single" w:sz="4" w:space="0" w:color="auto"/>
              <w:right w:val="single" w:sz="4" w:space="0" w:color="auto"/>
            </w:tcBorders>
            <w:vAlign w:val="center"/>
          </w:tcPr>
          <w:p w14:paraId="1AB1B29C" w14:textId="77777777" w:rsidR="00A67F21" w:rsidRPr="00B12FE0" w:rsidRDefault="00000000">
            <w:pPr>
              <w:jc w:val="center"/>
              <w:rPr>
                <w:bCs/>
                <w:color w:val="000000" w:themeColor="text1"/>
                <w:szCs w:val="21"/>
              </w:rPr>
            </w:pPr>
            <w:r w:rsidRPr="00B12FE0">
              <w:rPr>
                <w:color w:val="000000" w:themeColor="text1"/>
                <w:sz w:val="21"/>
                <w:szCs w:val="21"/>
              </w:rPr>
              <w:t>58</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2E1DC75D"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3</w:t>
            </w:r>
          </w:p>
        </w:tc>
        <w:tc>
          <w:tcPr>
            <w:tcW w:w="1342" w:type="pct"/>
            <w:tcBorders>
              <w:top w:val="single" w:sz="4" w:space="0" w:color="auto"/>
              <w:left w:val="single" w:sz="4" w:space="0" w:color="auto"/>
              <w:bottom w:val="single" w:sz="4" w:space="0" w:color="auto"/>
              <w:right w:val="single" w:sz="4" w:space="0" w:color="auto"/>
            </w:tcBorders>
            <w:vAlign w:val="center"/>
          </w:tcPr>
          <w:p w14:paraId="4776199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洗手间墙面</w:t>
            </w:r>
          </w:p>
        </w:tc>
        <w:tc>
          <w:tcPr>
            <w:tcW w:w="1308" w:type="pct"/>
            <w:tcBorders>
              <w:top w:val="single" w:sz="4" w:space="0" w:color="auto"/>
              <w:left w:val="single" w:sz="4" w:space="0" w:color="auto"/>
              <w:bottom w:val="single" w:sz="4" w:space="0" w:color="auto"/>
              <w:right w:val="single" w:sz="4" w:space="0" w:color="auto"/>
            </w:tcBorders>
            <w:vAlign w:val="center"/>
          </w:tcPr>
          <w:p w14:paraId="18BFC74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447FBB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525501B"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37F0BAE" w14:textId="77777777" w:rsidR="00A67F21" w:rsidRPr="00B12FE0" w:rsidRDefault="00000000">
            <w:pPr>
              <w:jc w:val="center"/>
              <w:rPr>
                <w:bCs/>
                <w:color w:val="000000" w:themeColor="text1"/>
                <w:szCs w:val="21"/>
              </w:rPr>
            </w:pPr>
            <w:r w:rsidRPr="00B12FE0">
              <w:rPr>
                <w:color w:val="000000" w:themeColor="text1"/>
                <w:sz w:val="21"/>
                <w:szCs w:val="21"/>
              </w:rPr>
              <w:t>59</w:t>
            </w:r>
          </w:p>
        </w:tc>
        <w:tc>
          <w:tcPr>
            <w:tcW w:w="1844" w:type="dxa"/>
            <w:vMerge/>
            <w:tcBorders>
              <w:top w:val="single" w:sz="4" w:space="0" w:color="auto"/>
              <w:left w:val="single" w:sz="4" w:space="0" w:color="auto"/>
              <w:bottom w:val="single" w:sz="4" w:space="0" w:color="auto"/>
              <w:right w:val="single" w:sz="4" w:space="0" w:color="auto"/>
            </w:tcBorders>
            <w:vAlign w:val="center"/>
          </w:tcPr>
          <w:p w14:paraId="0BEFCCF5"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996961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7107D37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F17828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8901E40"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7BE572BC" w14:textId="77777777" w:rsidR="00A67F21" w:rsidRPr="00B12FE0" w:rsidRDefault="00000000">
            <w:pPr>
              <w:jc w:val="center"/>
              <w:rPr>
                <w:bCs/>
                <w:color w:val="000000" w:themeColor="text1"/>
                <w:szCs w:val="21"/>
              </w:rPr>
            </w:pPr>
            <w:r w:rsidRPr="00B12FE0">
              <w:rPr>
                <w:color w:val="000000" w:themeColor="text1"/>
                <w:sz w:val="21"/>
                <w:szCs w:val="21"/>
              </w:rPr>
              <w:t>60</w:t>
            </w:r>
          </w:p>
        </w:tc>
        <w:tc>
          <w:tcPr>
            <w:tcW w:w="1844" w:type="dxa"/>
            <w:vMerge/>
            <w:tcBorders>
              <w:top w:val="single" w:sz="4" w:space="0" w:color="auto"/>
              <w:left w:val="single" w:sz="4" w:space="0" w:color="auto"/>
              <w:bottom w:val="single" w:sz="4" w:space="0" w:color="auto"/>
              <w:right w:val="single" w:sz="4" w:space="0" w:color="auto"/>
            </w:tcBorders>
            <w:vAlign w:val="center"/>
          </w:tcPr>
          <w:p w14:paraId="2C6F8F4F"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ED98AA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便池表面</w:t>
            </w:r>
          </w:p>
        </w:tc>
        <w:tc>
          <w:tcPr>
            <w:tcW w:w="1308" w:type="pct"/>
            <w:tcBorders>
              <w:top w:val="single" w:sz="4" w:space="0" w:color="auto"/>
              <w:left w:val="single" w:sz="4" w:space="0" w:color="auto"/>
              <w:bottom w:val="single" w:sz="4" w:space="0" w:color="auto"/>
              <w:right w:val="single" w:sz="4" w:space="0" w:color="auto"/>
            </w:tcBorders>
            <w:vAlign w:val="center"/>
          </w:tcPr>
          <w:p w14:paraId="0AA961B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F69E93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3F739FA"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E7809DC" w14:textId="77777777" w:rsidR="00A67F21" w:rsidRPr="00B12FE0" w:rsidRDefault="00000000">
            <w:pPr>
              <w:jc w:val="center"/>
              <w:rPr>
                <w:bCs/>
                <w:color w:val="000000" w:themeColor="text1"/>
                <w:szCs w:val="21"/>
              </w:rPr>
            </w:pPr>
            <w:r w:rsidRPr="00B12FE0">
              <w:rPr>
                <w:color w:val="000000" w:themeColor="text1"/>
                <w:sz w:val="21"/>
                <w:szCs w:val="21"/>
              </w:rPr>
              <w:t>61</w:t>
            </w:r>
          </w:p>
        </w:tc>
        <w:tc>
          <w:tcPr>
            <w:tcW w:w="1844" w:type="dxa"/>
            <w:vMerge/>
            <w:tcBorders>
              <w:top w:val="single" w:sz="4" w:space="0" w:color="auto"/>
              <w:left w:val="single" w:sz="4" w:space="0" w:color="auto"/>
              <w:bottom w:val="single" w:sz="4" w:space="0" w:color="auto"/>
              <w:right w:val="single" w:sz="4" w:space="0" w:color="auto"/>
            </w:tcBorders>
            <w:vAlign w:val="center"/>
          </w:tcPr>
          <w:p w14:paraId="7E1EEED2"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3BCED7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洗手间门表面</w:t>
            </w:r>
          </w:p>
        </w:tc>
        <w:tc>
          <w:tcPr>
            <w:tcW w:w="1308" w:type="pct"/>
            <w:tcBorders>
              <w:top w:val="single" w:sz="4" w:space="0" w:color="auto"/>
              <w:left w:val="single" w:sz="4" w:space="0" w:color="auto"/>
              <w:bottom w:val="single" w:sz="4" w:space="0" w:color="auto"/>
              <w:right w:val="single" w:sz="4" w:space="0" w:color="auto"/>
            </w:tcBorders>
            <w:vAlign w:val="center"/>
          </w:tcPr>
          <w:p w14:paraId="01EDEB5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45C273B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D245B1E"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6C8559B" w14:textId="77777777" w:rsidR="00A67F21" w:rsidRPr="00B12FE0" w:rsidRDefault="00000000">
            <w:pPr>
              <w:jc w:val="center"/>
              <w:rPr>
                <w:bCs/>
                <w:color w:val="000000" w:themeColor="text1"/>
                <w:szCs w:val="21"/>
              </w:rPr>
            </w:pPr>
            <w:r w:rsidRPr="00B12FE0">
              <w:rPr>
                <w:color w:val="000000" w:themeColor="text1"/>
                <w:sz w:val="21"/>
                <w:szCs w:val="21"/>
              </w:rPr>
              <w:t>62</w:t>
            </w:r>
          </w:p>
        </w:tc>
        <w:tc>
          <w:tcPr>
            <w:tcW w:w="1844" w:type="dxa"/>
            <w:vMerge/>
            <w:tcBorders>
              <w:top w:val="single" w:sz="4" w:space="0" w:color="auto"/>
              <w:left w:val="single" w:sz="4" w:space="0" w:color="auto"/>
              <w:bottom w:val="single" w:sz="4" w:space="0" w:color="auto"/>
              <w:right w:val="single" w:sz="4" w:space="0" w:color="auto"/>
            </w:tcBorders>
            <w:vAlign w:val="center"/>
          </w:tcPr>
          <w:p w14:paraId="3E88EEA1"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26376FB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37C6193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5B3E71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FDD8B9E"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1421454" w14:textId="77777777" w:rsidR="00A67F21" w:rsidRPr="00B12FE0" w:rsidRDefault="00000000">
            <w:pPr>
              <w:jc w:val="center"/>
              <w:rPr>
                <w:bCs/>
                <w:color w:val="000000" w:themeColor="text1"/>
                <w:szCs w:val="21"/>
              </w:rPr>
            </w:pPr>
            <w:r w:rsidRPr="00B12FE0">
              <w:rPr>
                <w:color w:val="000000" w:themeColor="text1"/>
                <w:sz w:val="21"/>
                <w:szCs w:val="21"/>
              </w:rPr>
              <w:t>63</w:t>
            </w:r>
          </w:p>
        </w:tc>
        <w:tc>
          <w:tcPr>
            <w:tcW w:w="1844" w:type="dxa"/>
            <w:vMerge/>
            <w:tcBorders>
              <w:top w:val="single" w:sz="4" w:space="0" w:color="auto"/>
              <w:left w:val="single" w:sz="4" w:space="0" w:color="auto"/>
              <w:bottom w:val="single" w:sz="4" w:space="0" w:color="auto"/>
              <w:right w:val="single" w:sz="4" w:space="0" w:color="auto"/>
            </w:tcBorders>
            <w:vAlign w:val="center"/>
          </w:tcPr>
          <w:p w14:paraId="5F128B84"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657F3F3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废物桶表面</w:t>
            </w:r>
          </w:p>
        </w:tc>
        <w:tc>
          <w:tcPr>
            <w:tcW w:w="1308" w:type="pct"/>
            <w:tcBorders>
              <w:top w:val="single" w:sz="4" w:space="0" w:color="auto"/>
              <w:left w:val="single" w:sz="4" w:space="0" w:color="auto"/>
              <w:bottom w:val="single" w:sz="4" w:space="0" w:color="auto"/>
              <w:right w:val="single" w:sz="4" w:space="0" w:color="auto"/>
            </w:tcBorders>
            <w:vAlign w:val="center"/>
          </w:tcPr>
          <w:p w14:paraId="5DA8F46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1EF7740"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1B4F329"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5E14044" w14:textId="77777777" w:rsidR="00A67F21" w:rsidRPr="00B12FE0" w:rsidRDefault="00000000">
            <w:pPr>
              <w:jc w:val="center"/>
              <w:rPr>
                <w:bCs/>
                <w:color w:val="000000" w:themeColor="text1"/>
                <w:szCs w:val="21"/>
              </w:rPr>
            </w:pPr>
            <w:r w:rsidRPr="00B12FE0">
              <w:rPr>
                <w:color w:val="000000" w:themeColor="text1"/>
                <w:sz w:val="21"/>
                <w:szCs w:val="21"/>
              </w:rPr>
              <w:t>64</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4D6B3869"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5</w:t>
            </w:r>
          </w:p>
        </w:tc>
        <w:tc>
          <w:tcPr>
            <w:tcW w:w="1342" w:type="pct"/>
            <w:tcBorders>
              <w:top w:val="single" w:sz="4" w:space="0" w:color="auto"/>
              <w:left w:val="single" w:sz="4" w:space="0" w:color="auto"/>
              <w:bottom w:val="single" w:sz="4" w:space="0" w:color="auto"/>
              <w:right w:val="single" w:sz="4" w:space="0" w:color="auto"/>
            </w:tcBorders>
            <w:vAlign w:val="center"/>
          </w:tcPr>
          <w:p w14:paraId="255FE77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6B3F997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E86ABB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ABE8008"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9428C12" w14:textId="77777777" w:rsidR="00A67F21" w:rsidRPr="00B12FE0" w:rsidRDefault="00000000">
            <w:pPr>
              <w:jc w:val="center"/>
              <w:rPr>
                <w:bCs/>
                <w:color w:val="000000" w:themeColor="text1"/>
                <w:szCs w:val="21"/>
              </w:rPr>
            </w:pPr>
            <w:r w:rsidRPr="00B12FE0">
              <w:rPr>
                <w:color w:val="000000" w:themeColor="text1"/>
                <w:sz w:val="21"/>
                <w:szCs w:val="21"/>
              </w:rPr>
              <w:t>65</w:t>
            </w:r>
          </w:p>
        </w:tc>
        <w:tc>
          <w:tcPr>
            <w:tcW w:w="1844" w:type="dxa"/>
            <w:vMerge/>
            <w:tcBorders>
              <w:top w:val="single" w:sz="4" w:space="0" w:color="auto"/>
              <w:left w:val="single" w:sz="4" w:space="0" w:color="auto"/>
              <w:bottom w:val="single" w:sz="4" w:space="0" w:color="auto"/>
              <w:right w:val="single" w:sz="4" w:space="0" w:color="auto"/>
            </w:tcBorders>
            <w:vAlign w:val="center"/>
          </w:tcPr>
          <w:p w14:paraId="69048539"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6D77D11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289E5DF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82E37A8"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F7631B1"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45D4592" w14:textId="77777777" w:rsidR="00A67F21" w:rsidRPr="00B12FE0" w:rsidRDefault="00000000">
            <w:pPr>
              <w:jc w:val="center"/>
              <w:rPr>
                <w:bCs/>
                <w:color w:val="000000" w:themeColor="text1"/>
                <w:szCs w:val="21"/>
              </w:rPr>
            </w:pPr>
            <w:r w:rsidRPr="00B12FE0">
              <w:rPr>
                <w:color w:val="000000" w:themeColor="text1"/>
                <w:sz w:val="21"/>
                <w:szCs w:val="21"/>
              </w:rPr>
              <w:t>66</w:t>
            </w:r>
          </w:p>
        </w:tc>
        <w:tc>
          <w:tcPr>
            <w:tcW w:w="1844" w:type="dxa"/>
            <w:vMerge/>
            <w:tcBorders>
              <w:top w:val="single" w:sz="4" w:space="0" w:color="auto"/>
              <w:left w:val="single" w:sz="4" w:space="0" w:color="auto"/>
              <w:bottom w:val="single" w:sz="4" w:space="0" w:color="auto"/>
              <w:right w:val="single" w:sz="4" w:space="0" w:color="auto"/>
            </w:tcBorders>
            <w:vAlign w:val="center"/>
          </w:tcPr>
          <w:p w14:paraId="2942A5AB"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CDA4A5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5D63C94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C8A21E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01A1A14"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4670FEA" w14:textId="77777777" w:rsidR="00A67F21" w:rsidRPr="00B12FE0" w:rsidRDefault="00000000">
            <w:pPr>
              <w:jc w:val="center"/>
              <w:rPr>
                <w:bCs/>
                <w:color w:val="000000" w:themeColor="text1"/>
                <w:szCs w:val="21"/>
              </w:rPr>
            </w:pPr>
            <w:r w:rsidRPr="00B12FE0">
              <w:rPr>
                <w:color w:val="000000" w:themeColor="text1"/>
                <w:sz w:val="21"/>
                <w:szCs w:val="21"/>
              </w:rPr>
              <w:t>67</w:t>
            </w:r>
          </w:p>
        </w:tc>
        <w:tc>
          <w:tcPr>
            <w:tcW w:w="1844" w:type="dxa"/>
            <w:vMerge/>
            <w:tcBorders>
              <w:top w:val="single" w:sz="4" w:space="0" w:color="auto"/>
              <w:left w:val="single" w:sz="4" w:space="0" w:color="auto"/>
              <w:bottom w:val="single" w:sz="4" w:space="0" w:color="auto"/>
              <w:right w:val="single" w:sz="4" w:space="0" w:color="auto"/>
            </w:tcBorders>
            <w:vAlign w:val="center"/>
          </w:tcPr>
          <w:p w14:paraId="00DA42A7"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03BBCD2"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1EC7A82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8FF18E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A4376EF"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9366466" w14:textId="77777777" w:rsidR="00A67F21" w:rsidRPr="00B12FE0" w:rsidRDefault="00000000">
            <w:pPr>
              <w:jc w:val="center"/>
              <w:rPr>
                <w:bCs/>
                <w:color w:val="000000" w:themeColor="text1"/>
                <w:szCs w:val="21"/>
              </w:rPr>
            </w:pPr>
            <w:r w:rsidRPr="00B12FE0">
              <w:rPr>
                <w:color w:val="000000" w:themeColor="text1"/>
                <w:sz w:val="21"/>
                <w:szCs w:val="21"/>
              </w:rPr>
              <w:t>68</w:t>
            </w:r>
          </w:p>
        </w:tc>
        <w:tc>
          <w:tcPr>
            <w:tcW w:w="1844" w:type="dxa"/>
            <w:vMerge/>
            <w:tcBorders>
              <w:top w:val="single" w:sz="4" w:space="0" w:color="auto"/>
              <w:left w:val="single" w:sz="4" w:space="0" w:color="auto"/>
              <w:bottom w:val="single" w:sz="4" w:space="0" w:color="auto"/>
              <w:right w:val="single" w:sz="4" w:space="0" w:color="auto"/>
            </w:tcBorders>
            <w:vAlign w:val="center"/>
          </w:tcPr>
          <w:p w14:paraId="16B67207"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041294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床表面</w:t>
            </w:r>
          </w:p>
        </w:tc>
        <w:tc>
          <w:tcPr>
            <w:tcW w:w="1308" w:type="pct"/>
            <w:tcBorders>
              <w:top w:val="single" w:sz="4" w:space="0" w:color="auto"/>
              <w:left w:val="single" w:sz="4" w:space="0" w:color="auto"/>
              <w:bottom w:val="single" w:sz="4" w:space="0" w:color="auto"/>
              <w:right w:val="single" w:sz="4" w:space="0" w:color="auto"/>
            </w:tcBorders>
            <w:vAlign w:val="center"/>
          </w:tcPr>
          <w:p w14:paraId="0ED914C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45966F9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D6AD3AC"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76473616" w14:textId="77777777" w:rsidR="00A67F21" w:rsidRPr="00B12FE0" w:rsidRDefault="00000000">
            <w:pPr>
              <w:jc w:val="center"/>
              <w:rPr>
                <w:bCs/>
                <w:color w:val="000000" w:themeColor="text1"/>
                <w:szCs w:val="21"/>
              </w:rPr>
            </w:pPr>
            <w:r w:rsidRPr="00B12FE0">
              <w:rPr>
                <w:color w:val="000000" w:themeColor="text1"/>
                <w:sz w:val="21"/>
                <w:szCs w:val="21"/>
              </w:rPr>
              <w:t>69</w:t>
            </w:r>
          </w:p>
        </w:tc>
        <w:tc>
          <w:tcPr>
            <w:tcW w:w="1844" w:type="dxa"/>
            <w:vMerge/>
            <w:tcBorders>
              <w:top w:val="single" w:sz="4" w:space="0" w:color="auto"/>
              <w:left w:val="single" w:sz="4" w:space="0" w:color="auto"/>
              <w:bottom w:val="single" w:sz="4" w:space="0" w:color="auto"/>
              <w:right w:val="single" w:sz="4" w:space="0" w:color="auto"/>
            </w:tcBorders>
            <w:vAlign w:val="center"/>
          </w:tcPr>
          <w:p w14:paraId="24F2EA92"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161DB13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柜子表面</w:t>
            </w:r>
          </w:p>
        </w:tc>
        <w:tc>
          <w:tcPr>
            <w:tcW w:w="1308" w:type="pct"/>
            <w:tcBorders>
              <w:top w:val="single" w:sz="4" w:space="0" w:color="auto"/>
              <w:left w:val="single" w:sz="4" w:space="0" w:color="auto"/>
              <w:bottom w:val="single" w:sz="4" w:space="0" w:color="auto"/>
              <w:right w:val="single" w:sz="4" w:space="0" w:color="auto"/>
            </w:tcBorders>
            <w:vAlign w:val="center"/>
          </w:tcPr>
          <w:p w14:paraId="0C23699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EB95D7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743D45D"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036CBD4" w14:textId="77777777" w:rsidR="00A67F21" w:rsidRPr="00B12FE0" w:rsidRDefault="00000000">
            <w:pPr>
              <w:jc w:val="center"/>
              <w:rPr>
                <w:bCs/>
                <w:color w:val="000000" w:themeColor="text1"/>
                <w:szCs w:val="21"/>
              </w:rPr>
            </w:pPr>
            <w:r w:rsidRPr="00B12FE0">
              <w:rPr>
                <w:color w:val="000000" w:themeColor="text1"/>
                <w:sz w:val="21"/>
                <w:szCs w:val="21"/>
              </w:rPr>
              <w:t>70</w:t>
            </w:r>
          </w:p>
        </w:tc>
        <w:tc>
          <w:tcPr>
            <w:tcW w:w="1844" w:type="dxa"/>
            <w:vMerge/>
            <w:tcBorders>
              <w:top w:val="single" w:sz="4" w:space="0" w:color="auto"/>
              <w:left w:val="single" w:sz="4" w:space="0" w:color="auto"/>
              <w:bottom w:val="single" w:sz="4" w:space="0" w:color="auto"/>
              <w:right w:val="single" w:sz="4" w:space="0" w:color="auto"/>
            </w:tcBorders>
            <w:vAlign w:val="center"/>
          </w:tcPr>
          <w:p w14:paraId="113647E7"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6A71321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洗手间地面</w:t>
            </w:r>
          </w:p>
        </w:tc>
        <w:tc>
          <w:tcPr>
            <w:tcW w:w="1308" w:type="pct"/>
            <w:tcBorders>
              <w:top w:val="single" w:sz="4" w:space="0" w:color="auto"/>
              <w:left w:val="single" w:sz="4" w:space="0" w:color="auto"/>
              <w:bottom w:val="single" w:sz="4" w:space="0" w:color="auto"/>
              <w:right w:val="single" w:sz="4" w:space="0" w:color="auto"/>
            </w:tcBorders>
            <w:vAlign w:val="center"/>
          </w:tcPr>
          <w:p w14:paraId="139CBAD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FC0B800"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8438C60"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26D1950" w14:textId="77777777" w:rsidR="00A67F21" w:rsidRPr="00B12FE0" w:rsidRDefault="00000000">
            <w:pPr>
              <w:jc w:val="center"/>
              <w:rPr>
                <w:bCs/>
                <w:color w:val="000000" w:themeColor="text1"/>
                <w:szCs w:val="21"/>
              </w:rPr>
            </w:pPr>
            <w:r w:rsidRPr="00B12FE0">
              <w:rPr>
                <w:color w:val="000000" w:themeColor="text1"/>
                <w:sz w:val="21"/>
                <w:szCs w:val="21"/>
              </w:rPr>
              <w:t>71</w:t>
            </w:r>
          </w:p>
        </w:tc>
        <w:tc>
          <w:tcPr>
            <w:tcW w:w="1844" w:type="dxa"/>
            <w:vMerge/>
            <w:tcBorders>
              <w:top w:val="single" w:sz="4" w:space="0" w:color="auto"/>
              <w:left w:val="single" w:sz="4" w:space="0" w:color="auto"/>
              <w:bottom w:val="single" w:sz="4" w:space="0" w:color="auto"/>
              <w:right w:val="single" w:sz="4" w:space="0" w:color="auto"/>
            </w:tcBorders>
            <w:vAlign w:val="center"/>
          </w:tcPr>
          <w:p w14:paraId="6E70F51D"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E785EA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洗手间墙面</w:t>
            </w:r>
          </w:p>
        </w:tc>
        <w:tc>
          <w:tcPr>
            <w:tcW w:w="1308" w:type="pct"/>
            <w:tcBorders>
              <w:top w:val="single" w:sz="4" w:space="0" w:color="auto"/>
              <w:left w:val="single" w:sz="4" w:space="0" w:color="auto"/>
              <w:bottom w:val="single" w:sz="4" w:space="0" w:color="auto"/>
              <w:right w:val="single" w:sz="4" w:space="0" w:color="auto"/>
            </w:tcBorders>
            <w:vAlign w:val="center"/>
          </w:tcPr>
          <w:p w14:paraId="6AD530D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FAB5AA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F5F9B82"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1DDBD51" w14:textId="77777777" w:rsidR="00A67F21" w:rsidRPr="00B12FE0" w:rsidRDefault="00000000">
            <w:pPr>
              <w:jc w:val="center"/>
              <w:rPr>
                <w:bCs/>
                <w:color w:val="000000" w:themeColor="text1"/>
                <w:szCs w:val="21"/>
              </w:rPr>
            </w:pPr>
            <w:r w:rsidRPr="00B12FE0">
              <w:rPr>
                <w:color w:val="000000" w:themeColor="text1"/>
                <w:sz w:val="21"/>
                <w:szCs w:val="21"/>
              </w:rPr>
              <w:t>72</w:t>
            </w:r>
          </w:p>
        </w:tc>
        <w:tc>
          <w:tcPr>
            <w:tcW w:w="1844" w:type="dxa"/>
            <w:vMerge/>
            <w:tcBorders>
              <w:top w:val="single" w:sz="4" w:space="0" w:color="auto"/>
              <w:left w:val="single" w:sz="4" w:space="0" w:color="auto"/>
              <w:bottom w:val="single" w:sz="4" w:space="0" w:color="auto"/>
              <w:right w:val="single" w:sz="4" w:space="0" w:color="auto"/>
            </w:tcBorders>
            <w:vAlign w:val="center"/>
          </w:tcPr>
          <w:p w14:paraId="72B4A643"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175B506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25274C6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BB81519"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BC23BFF"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5847271" w14:textId="77777777" w:rsidR="00A67F21" w:rsidRPr="00B12FE0" w:rsidRDefault="00000000">
            <w:pPr>
              <w:jc w:val="center"/>
              <w:rPr>
                <w:bCs/>
                <w:color w:val="000000" w:themeColor="text1"/>
                <w:szCs w:val="21"/>
              </w:rPr>
            </w:pPr>
            <w:r w:rsidRPr="00B12FE0">
              <w:rPr>
                <w:color w:val="000000" w:themeColor="text1"/>
                <w:sz w:val="21"/>
                <w:szCs w:val="21"/>
              </w:rPr>
              <w:t>73</w:t>
            </w:r>
          </w:p>
        </w:tc>
        <w:tc>
          <w:tcPr>
            <w:tcW w:w="1844" w:type="dxa"/>
            <w:vMerge/>
            <w:tcBorders>
              <w:top w:val="single" w:sz="4" w:space="0" w:color="auto"/>
              <w:left w:val="single" w:sz="4" w:space="0" w:color="auto"/>
              <w:bottom w:val="single" w:sz="4" w:space="0" w:color="auto"/>
              <w:right w:val="single" w:sz="4" w:space="0" w:color="auto"/>
            </w:tcBorders>
            <w:vAlign w:val="center"/>
          </w:tcPr>
          <w:p w14:paraId="4527137F"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0723BCB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便池表面</w:t>
            </w:r>
          </w:p>
        </w:tc>
        <w:tc>
          <w:tcPr>
            <w:tcW w:w="1308" w:type="pct"/>
            <w:tcBorders>
              <w:top w:val="single" w:sz="4" w:space="0" w:color="auto"/>
              <w:left w:val="single" w:sz="4" w:space="0" w:color="auto"/>
              <w:bottom w:val="single" w:sz="4" w:space="0" w:color="auto"/>
              <w:right w:val="single" w:sz="4" w:space="0" w:color="auto"/>
            </w:tcBorders>
            <w:vAlign w:val="center"/>
          </w:tcPr>
          <w:p w14:paraId="010A85B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FFB55C2"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00E173B"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79E0BCA" w14:textId="77777777" w:rsidR="00A67F21" w:rsidRPr="00B12FE0" w:rsidRDefault="00000000">
            <w:pPr>
              <w:jc w:val="center"/>
              <w:rPr>
                <w:bCs/>
                <w:color w:val="000000" w:themeColor="text1"/>
                <w:szCs w:val="21"/>
              </w:rPr>
            </w:pPr>
            <w:r w:rsidRPr="00B12FE0">
              <w:rPr>
                <w:color w:val="000000" w:themeColor="text1"/>
                <w:sz w:val="21"/>
                <w:szCs w:val="21"/>
              </w:rPr>
              <w:t>74</w:t>
            </w:r>
          </w:p>
        </w:tc>
        <w:tc>
          <w:tcPr>
            <w:tcW w:w="1844" w:type="dxa"/>
            <w:vMerge/>
            <w:tcBorders>
              <w:top w:val="single" w:sz="4" w:space="0" w:color="auto"/>
              <w:left w:val="single" w:sz="4" w:space="0" w:color="auto"/>
              <w:bottom w:val="single" w:sz="4" w:space="0" w:color="auto"/>
              <w:right w:val="single" w:sz="4" w:space="0" w:color="auto"/>
            </w:tcBorders>
            <w:vAlign w:val="center"/>
          </w:tcPr>
          <w:p w14:paraId="7536FBF0"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596C2D8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洗手间门表面</w:t>
            </w:r>
          </w:p>
        </w:tc>
        <w:tc>
          <w:tcPr>
            <w:tcW w:w="1308" w:type="pct"/>
            <w:tcBorders>
              <w:top w:val="single" w:sz="4" w:space="0" w:color="auto"/>
              <w:left w:val="single" w:sz="4" w:space="0" w:color="auto"/>
              <w:bottom w:val="single" w:sz="4" w:space="0" w:color="auto"/>
              <w:right w:val="single" w:sz="4" w:space="0" w:color="auto"/>
            </w:tcBorders>
            <w:vAlign w:val="center"/>
          </w:tcPr>
          <w:p w14:paraId="261C1FC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776866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815A5C2"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184B262" w14:textId="77777777" w:rsidR="00A67F21" w:rsidRPr="00B12FE0" w:rsidRDefault="00000000">
            <w:pPr>
              <w:jc w:val="center"/>
              <w:rPr>
                <w:bCs/>
                <w:color w:val="000000" w:themeColor="text1"/>
                <w:szCs w:val="21"/>
              </w:rPr>
            </w:pPr>
            <w:r w:rsidRPr="00B12FE0">
              <w:rPr>
                <w:color w:val="000000" w:themeColor="text1"/>
                <w:sz w:val="21"/>
                <w:szCs w:val="21"/>
              </w:rPr>
              <w:t>75</w:t>
            </w:r>
          </w:p>
        </w:tc>
        <w:tc>
          <w:tcPr>
            <w:tcW w:w="1844" w:type="dxa"/>
            <w:vMerge/>
            <w:tcBorders>
              <w:top w:val="single" w:sz="4" w:space="0" w:color="auto"/>
              <w:left w:val="single" w:sz="4" w:space="0" w:color="auto"/>
              <w:bottom w:val="single" w:sz="4" w:space="0" w:color="auto"/>
              <w:right w:val="single" w:sz="4" w:space="0" w:color="auto"/>
            </w:tcBorders>
            <w:vAlign w:val="center"/>
          </w:tcPr>
          <w:p w14:paraId="1ABC2834"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F5F1B1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3EA051F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B5FBB9D"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90E939B"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F415CA8" w14:textId="77777777" w:rsidR="00A67F21" w:rsidRPr="00B12FE0" w:rsidRDefault="00000000">
            <w:pPr>
              <w:jc w:val="center"/>
              <w:rPr>
                <w:bCs/>
                <w:color w:val="000000" w:themeColor="text1"/>
                <w:szCs w:val="21"/>
              </w:rPr>
            </w:pPr>
            <w:r w:rsidRPr="00B12FE0">
              <w:rPr>
                <w:color w:val="000000" w:themeColor="text1"/>
                <w:sz w:val="21"/>
                <w:szCs w:val="21"/>
              </w:rPr>
              <w:t>76</w:t>
            </w:r>
          </w:p>
        </w:tc>
        <w:tc>
          <w:tcPr>
            <w:tcW w:w="1844" w:type="dxa"/>
            <w:vMerge/>
            <w:tcBorders>
              <w:top w:val="single" w:sz="4" w:space="0" w:color="auto"/>
              <w:left w:val="single" w:sz="4" w:space="0" w:color="auto"/>
              <w:bottom w:val="single" w:sz="4" w:space="0" w:color="auto"/>
              <w:right w:val="single" w:sz="4" w:space="0" w:color="auto"/>
            </w:tcBorders>
            <w:vAlign w:val="center"/>
          </w:tcPr>
          <w:p w14:paraId="598C471C"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7590F23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废物桶表面</w:t>
            </w:r>
          </w:p>
        </w:tc>
        <w:tc>
          <w:tcPr>
            <w:tcW w:w="1308" w:type="pct"/>
            <w:tcBorders>
              <w:top w:val="single" w:sz="4" w:space="0" w:color="auto"/>
              <w:left w:val="single" w:sz="4" w:space="0" w:color="auto"/>
              <w:bottom w:val="single" w:sz="4" w:space="0" w:color="auto"/>
              <w:right w:val="single" w:sz="4" w:space="0" w:color="auto"/>
            </w:tcBorders>
            <w:vAlign w:val="center"/>
          </w:tcPr>
          <w:p w14:paraId="54A8D0D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7661E1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2AD6022"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604DD9FB" w14:textId="77777777" w:rsidR="00A67F21" w:rsidRPr="00B12FE0" w:rsidRDefault="00000000">
            <w:pPr>
              <w:jc w:val="center"/>
              <w:rPr>
                <w:bCs/>
                <w:color w:val="000000" w:themeColor="text1"/>
                <w:szCs w:val="21"/>
              </w:rPr>
            </w:pPr>
            <w:r w:rsidRPr="00B12FE0">
              <w:rPr>
                <w:color w:val="000000" w:themeColor="text1"/>
                <w:sz w:val="21"/>
                <w:szCs w:val="21"/>
              </w:rPr>
              <w:t>77</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25B06606"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6</w:t>
            </w:r>
          </w:p>
        </w:tc>
        <w:tc>
          <w:tcPr>
            <w:tcW w:w="1342" w:type="pct"/>
            <w:tcBorders>
              <w:top w:val="single" w:sz="4" w:space="0" w:color="auto"/>
              <w:left w:val="single" w:sz="4" w:space="0" w:color="auto"/>
              <w:bottom w:val="single" w:sz="4" w:space="0" w:color="auto"/>
              <w:right w:val="single" w:sz="4" w:space="0" w:color="auto"/>
            </w:tcBorders>
            <w:vAlign w:val="center"/>
          </w:tcPr>
          <w:p w14:paraId="7B46C6F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654C33A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C072C92"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39CB6A3"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E176F19" w14:textId="77777777" w:rsidR="00A67F21" w:rsidRPr="00B12FE0" w:rsidRDefault="00000000">
            <w:pPr>
              <w:jc w:val="center"/>
              <w:rPr>
                <w:bCs/>
                <w:color w:val="000000" w:themeColor="text1"/>
                <w:szCs w:val="21"/>
              </w:rPr>
            </w:pPr>
            <w:r w:rsidRPr="00B12FE0">
              <w:rPr>
                <w:color w:val="000000" w:themeColor="text1"/>
                <w:sz w:val="21"/>
                <w:szCs w:val="21"/>
              </w:rPr>
              <w:t>78</w:t>
            </w:r>
          </w:p>
        </w:tc>
        <w:tc>
          <w:tcPr>
            <w:tcW w:w="1844" w:type="dxa"/>
            <w:vMerge/>
            <w:tcBorders>
              <w:top w:val="single" w:sz="4" w:space="0" w:color="auto"/>
              <w:left w:val="single" w:sz="4" w:space="0" w:color="auto"/>
              <w:bottom w:val="single" w:sz="4" w:space="0" w:color="auto"/>
              <w:right w:val="single" w:sz="4" w:space="0" w:color="auto"/>
            </w:tcBorders>
            <w:vAlign w:val="center"/>
          </w:tcPr>
          <w:p w14:paraId="340DCA6E"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101BA83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1011200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0589E6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A45D06E"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359DB50" w14:textId="77777777" w:rsidR="00A67F21" w:rsidRPr="00B12FE0" w:rsidRDefault="00000000">
            <w:pPr>
              <w:jc w:val="center"/>
              <w:rPr>
                <w:bCs/>
                <w:color w:val="000000" w:themeColor="text1"/>
                <w:szCs w:val="21"/>
              </w:rPr>
            </w:pPr>
            <w:r w:rsidRPr="00B12FE0">
              <w:rPr>
                <w:color w:val="000000" w:themeColor="text1"/>
                <w:sz w:val="21"/>
                <w:szCs w:val="21"/>
              </w:rPr>
              <w:t>79</w:t>
            </w:r>
          </w:p>
        </w:tc>
        <w:tc>
          <w:tcPr>
            <w:tcW w:w="1844" w:type="dxa"/>
            <w:vMerge/>
            <w:tcBorders>
              <w:top w:val="single" w:sz="4" w:space="0" w:color="auto"/>
              <w:left w:val="single" w:sz="4" w:space="0" w:color="auto"/>
              <w:bottom w:val="single" w:sz="4" w:space="0" w:color="auto"/>
              <w:right w:val="single" w:sz="4" w:space="0" w:color="auto"/>
            </w:tcBorders>
            <w:vAlign w:val="center"/>
          </w:tcPr>
          <w:p w14:paraId="493F4D40"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1C836B2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78B2043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06ADB90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2C1A8F7"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A7BD384" w14:textId="77777777" w:rsidR="00A67F21" w:rsidRPr="00B12FE0" w:rsidRDefault="00000000">
            <w:pPr>
              <w:jc w:val="center"/>
              <w:rPr>
                <w:bCs/>
                <w:color w:val="000000" w:themeColor="text1"/>
                <w:szCs w:val="21"/>
              </w:rPr>
            </w:pPr>
            <w:r w:rsidRPr="00B12FE0">
              <w:rPr>
                <w:color w:val="000000" w:themeColor="text1"/>
                <w:sz w:val="21"/>
                <w:szCs w:val="21"/>
              </w:rPr>
              <w:t>80</w:t>
            </w:r>
          </w:p>
        </w:tc>
        <w:tc>
          <w:tcPr>
            <w:tcW w:w="1844" w:type="dxa"/>
            <w:vMerge/>
            <w:tcBorders>
              <w:top w:val="single" w:sz="4" w:space="0" w:color="auto"/>
              <w:left w:val="single" w:sz="4" w:space="0" w:color="auto"/>
              <w:bottom w:val="single" w:sz="4" w:space="0" w:color="auto"/>
              <w:right w:val="single" w:sz="4" w:space="0" w:color="auto"/>
            </w:tcBorders>
            <w:vAlign w:val="center"/>
          </w:tcPr>
          <w:p w14:paraId="1B6E22E2"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6B3CE6D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1A71469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4CBFF6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51A09896"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190A982C" w14:textId="77777777" w:rsidR="00A67F21" w:rsidRPr="00B12FE0" w:rsidRDefault="00000000">
            <w:pPr>
              <w:jc w:val="center"/>
              <w:rPr>
                <w:bCs/>
                <w:color w:val="000000" w:themeColor="text1"/>
                <w:szCs w:val="21"/>
              </w:rPr>
            </w:pPr>
            <w:r w:rsidRPr="00B12FE0">
              <w:rPr>
                <w:color w:val="000000" w:themeColor="text1"/>
                <w:sz w:val="21"/>
                <w:szCs w:val="21"/>
              </w:rPr>
              <w:t>81</w:t>
            </w:r>
          </w:p>
        </w:tc>
        <w:tc>
          <w:tcPr>
            <w:tcW w:w="1844" w:type="dxa"/>
            <w:vMerge/>
            <w:tcBorders>
              <w:top w:val="single" w:sz="4" w:space="0" w:color="auto"/>
              <w:left w:val="single" w:sz="4" w:space="0" w:color="auto"/>
              <w:bottom w:val="single" w:sz="4" w:space="0" w:color="auto"/>
              <w:right w:val="single" w:sz="4" w:space="0" w:color="auto"/>
            </w:tcBorders>
            <w:vAlign w:val="center"/>
          </w:tcPr>
          <w:p w14:paraId="467C961E"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497D75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床表面</w:t>
            </w:r>
          </w:p>
        </w:tc>
        <w:tc>
          <w:tcPr>
            <w:tcW w:w="1308" w:type="pct"/>
            <w:tcBorders>
              <w:top w:val="single" w:sz="4" w:space="0" w:color="auto"/>
              <w:left w:val="single" w:sz="4" w:space="0" w:color="auto"/>
              <w:bottom w:val="single" w:sz="4" w:space="0" w:color="auto"/>
              <w:right w:val="single" w:sz="4" w:space="0" w:color="auto"/>
            </w:tcBorders>
            <w:vAlign w:val="center"/>
          </w:tcPr>
          <w:p w14:paraId="402CE14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FA0C7DF"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11196E9"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AD764F3" w14:textId="77777777" w:rsidR="00A67F21" w:rsidRPr="00B12FE0" w:rsidRDefault="00000000">
            <w:pPr>
              <w:jc w:val="center"/>
              <w:rPr>
                <w:bCs/>
                <w:color w:val="000000" w:themeColor="text1"/>
                <w:szCs w:val="21"/>
              </w:rPr>
            </w:pPr>
            <w:r w:rsidRPr="00B12FE0">
              <w:rPr>
                <w:color w:val="000000" w:themeColor="text1"/>
                <w:sz w:val="21"/>
                <w:szCs w:val="21"/>
              </w:rPr>
              <w:t>82</w:t>
            </w:r>
          </w:p>
        </w:tc>
        <w:tc>
          <w:tcPr>
            <w:tcW w:w="1844" w:type="dxa"/>
            <w:vMerge/>
            <w:tcBorders>
              <w:top w:val="single" w:sz="4" w:space="0" w:color="auto"/>
              <w:left w:val="single" w:sz="4" w:space="0" w:color="auto"/>
              <w:bottom w:val="single" w:sz="4" w:space="0" w:color="auto"/>
              <w:right w:val="single" w:sz="4" w:space="0" w:color="auto"/>
            </w:tcBorders>
            <w:vAlign w:val="center"/>
          </w:tcPr>
          <w:p w14:paraId="4448A54E"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1FA71C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柜子表面</w:t>
            </w:r>
          </w:p>
        </w:tc>
        <w:tc>
          <w:tcPr>
            <w:tcW w:w="1308" w:type="pct"/>
            <w:tcBorders>
              <w:top w:val="single" w:sz="4" w:space="0" w:color="auto"/>
              <w:left w:val="single" w:sz="4" w:space="0" w:color="auto"/>
              <w:bottom w:val="single" w:sz="4" w:space="0" w:color="auto"/>
              <w:right w:val="single" w:sz="4" w:space="0" w:color="auto"/>
            </w:tcBorders>
            <w:vAlign w:val="center"/>
          </w:tcPr>
          <w:p w14:paraId="6FECEF2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B69D65E"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620A223"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2CF8D063" w14:textId="77777777" w:rsidR="00A67F21" w:rsidRPr="00B12FE0" w:rsidRDefault="00000000">
            <w:pPr>
              <w:jc w:val="center"/>
              <w:rPr>
                <w:bCs/>
                <w:color w:val="000000" w:themeColor="text1"/>
                <w:szCs w:val="21"/>
              </w:rPr>
            </w:pPr>
            <w:r w:rsidRPr="00B12FE0">
              <w:rPr>
                <w:color w:val="000000" w:themeColor="text1"/>
                <w:sz w:val="21"/>
                <w:szCs w:val="21"/>
              </w:rPr>
              <w:t>83</w:t>
            </w:r>
          </w:p>
        </w:tc>
        <w:tc>
          <w:tcPr>
            <w:tcW w:w="1844" w:type="dxa"/>
            <w:vMerge/>
            <w:tcBorders>
              <w:top w:val="single" w:sz="4" w:space="0" w:color="auto"/>
              <w:left w:val="single" w:sz="4" w:space="0" w:color="auto"/>
              <w:bottom w:val="single" w:sz="4" w:space="0" w:color="auto"/>
              <w:right w:val="single" w:sz="4" w:space="0" w:color="auto"/>
            </w:tcBorders>
            <w:vAlign w:val="center"/>
          </w:tcPr>
          <w:p w14:paraId="605F3E3B"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0E3363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洗手间地面</w:t>
            </w:r>
          </w:p>
        </w:tc>
        <w:tc>
          <w:tcPr>
            <w:tcW w:w="1308" w:type="pct"/>
            <w:tcBorders>
              <w:top w:val="single" w:sz="4" w:space="0" w:color="auto"/>
              <w:left w:val="single" w:sz="4" w:space="0" w:color="auto"/>
              <w:bottom w:val="single" w:sz="4" w:space="0" w:color="auto"/>
              <w:right w:val="single" w:sz="4" w:space="0" w:color="auto"/>
            </w:tcBorders>
            <w:vAlign w:val="center"/>
          </w:tcPr>
          <w:p w14:paraId="67A40BE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4FD5064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6519D21"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4405D1AE" w14:textId="77777777" w:rsidR="00A67F21" w:rsidRPr="00B12FE0" w:rsidRDefault="00000000">
            <w:pPr>
              <w:jc w:val="center"/>
              <w:rPr>
                <w:color w:val="000000" w:themeColor="text1"/>
                <w:szCs w:val="21"/>
              </w:rPr>
            </w:pPr>
            <w:r w:rsidRPr="00B12FE0">
              <w:rPr>
                <w:color w:val="000000" w:themeColor="text1"/>
                <w:sz w:val="21"/>
                <w:szCs w:val="21"/>
              </w:rPr>
              <w:t>84</w:t>
            </w:r>
          </w:p>
        </w:tc>
        <w:tc>
          <w:tcPr>
            <w:tcW w:w="1844" w:type="dxa"/>
            <w:vMerge/>
            <w:tcBorders>
              <w:top w:val="single" w:sz="4" w:space="0" w:color="auto"/>
              <w:left w:val="single" w:sz="4" w:space="0" w:color="auto"/>
              <w:bottom w:val="single" w:sz="4" w:space="0" w:color="auto"/>
              <w:right w:val="single" w:sz="4" w:space="0" w:color="auto"/>
            </w:tcBorders>
            <w:vAlign w:val="center"/>
          </w:tcPr>
          <w:p w14:paraId="2E49E01F"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6327CBEB"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洗手间墙面</w:t>
            </w:r>
          </w:p>
        </w:tc>
        <w:tc>
          <w:tcPr>
            <w:tcW w:w="1308" w:type="pct"/>
            <w:tcBorders>
              <w:top w:val="single" w:sz="4" w:space="0" w:color="auto"/>
              <w:left w:val="single" w:sz="4" w:space="0" w:color="auto"/>
              <w:bottom w:val="single" w:sz="4" w:space="0" w:color="auto"/>
              <w:right w:val="single" w:sz="4" w:space="0" w:color="auto"/>
            </w:tcBorders>
            <w:vAlign w:val="center"/>
          </w:tcPr>
          <w:p w14:paraId="08C6DB3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47803788"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A5EB333"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5E0D8A76" w14:textId="77777777" w:rsidR="00A67F21" w:rsidRPr="00B12FE0" w:rsidRDefault="00000000">
            <w:pPr>
              <w:jc w:val="center"/>
              <w:rPr>
                <w:color w:val="000000" w:themeColor="text1"/>
                <w:szCs w:val="21"/>
              </w:rPr>
            </w:pPr>
            <w:r w:rsidRPr="00B12FE0">
              <w:rPr>
                <w:color w:val="000000" w:themeColor="text1"/>
                <w:sz w:val="21"/>
                <w:szCs w:val="21"/>
              </w:rPr>
              <w:t>85</w:t>
            </w:r>
          </w:p>
        </w:tc>
        <w:tc>
          <w:tcPr>
            <w:tcW w:w="1844" w:type="dxa"/>
            <w:vMerge/>
            <w:tcBorders>
              <w:top w:val="single" w:sz="4" w:space="0" w:color="auto"/>
              <w:left w:val="single" w:sz="4" w:space="0" w:color="auto"/>
              <w:bottom w:val="single" w:sz="4" w:space="0" w:color="auto"/>
              <w:right w:val="single" w:sz="4" w:space="0" w:color="auto"/>
            </w:tcBorders>
            <w:vAlign w:val="center"/>
          </w:tcPr>
          <w:p w14:paraId="4885B007"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4BBECA3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7161943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9A11FB7"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CDF3ABE" w14:textId="77777777" w:rsidR="00A67F21" w:rsidRPr="00B12FE0" w:rsidRDefault="00A67F21">
            <w:pPr>
              <w:widowControl/>
              <w:jc w:val="left"/>
              <w:rPr>
                <w:bCs/>
                <w:color w:val="000000" w:themeColor="text1"/>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3ADD58CD" w14:textId="77777777" w:rsidR="00A67F21" w:rsidRPr="00B12FE0" w:rsidRDefault="00000000">
            <w:pPr>
              <w:jc w:val="center"/>
              <w:rPr>
                <w:color w:val="000000" w:themeColor="text1"/>
                <w:szCs w:val="21"/>
              </w:rPr>
            </w:pPr>
            <w:r w:rsidRPr="00B12FE0">
              <w:rPr>
                <w:color w:val="000000" w:themeColor="text1"/>
                <w:sz w:val="21"/>
                <w:szCs w:val="21"/>
              </w:rPr>
              <w:t>86</w:t>
            </w:r>
          </w:p>
        </w:tc>
        <w:tc>
          <w:tcPr>
            <w:tcW w:w="1844" w:type="dxa"/>
            <w:vMerge/>
            <w:tcBorders>
              <w:top w:val="single" w:sz="4" w:space="0" w:color="auto"/>
              <w:left w:val="single" w:sz="4" w:space="0" w:color="auto"/>
              <w:bottom w:val="single" w:sz="4" w:space="0" w:color="auto"/>
              <w:right w:val="single" w:sz="4" w:space="0" w:color="auto"/>
            </w:tcBorders>
            <w:vAlign w:val="center"/>
          </w:tcPr>
          <w:p w14:paraId="58A478C7" w14:textId="77777777" w:rsidR="00A67F21" w:rsidRPr="00B12FE0" w:rsidRDefault="00A67F21">
            <w:pPr>
              <w:widowControl/>
              <w:jc w:val="left"/>
              <w:rPr>
                <w:color w:val="000000" w:themeColor="text1"/>
                <w:szCs w:val="21"/>
              </w:rPr>
            </w:pPr>
          </w:p>
        </w:tc>
        <w:tc>
          <w:tcPr>
            <w:tcW w:w="1342" w:type="pct"/>
            <w:tcBorders>
              <w:top w:val="single" w:sz="4" w:space="0" w:color="auto"/>
              <w:left w:val="single" w:sz="4" w:space="0" w:color="auto"/>
              <w:bottom w:val="single" w:sz="4" w:space="0" w:color="auto"/>
              <w:right w:val="single" w:sz="4" w:space="0" w:color="auto"/>
            </w:tcBorders>
            <w:vAlign w:val="center"/>
          </w:tcPr>
          <w:p w14:paraId="38BA4EFF"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便池表面</w:t>
            </w:r>
          </w:p>
        </w:tc>
        <w:tc>
          <w:tcPr>
            <w:tcW w:w="1308" w:type="pct"/>
            <w:tcBorders>
              <w:top w:val="single" w:sz="4" w:space="0" w:color="auto"/>
              <w:left w:val="single" w:sz="4" w:space="0" w:color="auto"/>
              <w:bottom w:val="single" w:sz="4" w:space="0" w:color="auto"/>
              <w:right w:val="single" w:sz="4" w:space="0" w:color="auto"/>
            </w:tcBorders>
            <w:vAlign w:val="center"/>
          </w:tcPr>
          <w:p w14:paraId="5E756B4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F1C767E" w14:textId="77777777">
        <w:trPr>
          <w:trHeight w:val="23"/>
          <w:jc w:val="center"/>
        </w:trPr>
        <w:tc>
          <w:tcPr>
            <w:tcW w:w="656" w:type="pct"/>
            <w:vMerge w:val="restart"/>
            <w:tcBorders>
              <w:top w:val="single" w:sz="4" w:space="0" w:color="auto"/>
              <w:left w:val="single" w:sz="4" w:space="0" w:color="auto"/>
              <w:bottom w:val="single" w:sz="4" w:space="0" w:color="auto"/>
              <w:right w:val="single" w:sz="4" w:space="0" w:color="auto"/>
            </w:tcBorders>
            <w:vAlign w:val="center"/>
          </w:tcPr>
          <w:p w14:paraId="154A8DAB" w14:textId="77777777" w:rsidR="00A67F21" w:rsidRPr="00B12FE0" w:rsidRDefault="00000000">
            <w:pPr>
              <w:jc w:val="center"/>
              <w:rPr>
                <w:bCs/>
                <w:color w:val="000000" w:themeColor="text1"/>
                <w:szCs w:val="21"/>
              </w:rPr>
            </w:pPr>
            <w:r w:rsidRPr="00B12FE0">
              <w:rPr>
                <w:rFonts w:hint="eastAsia"/>
                <w:bCs/>
                <w:color w:val="000000" w:themeColor="text1"/>
                <w:sz w:val="21"/>
                <w:szCs w:val="21"/>
              </w:rPr>
              <w:t>核素治疗区域</w:t>
            </w:r>
          </w:p>
        </w:tc>
        <w:tc>
          <w:tcPr>
            <w:tcW w:w="643" w:type="pct"/>
            <w:tcBorders>
              <w:top w:val="single" w:sz="4" w:space="0" w:color="auto"/>
              <w:left w:val="single" w:sz="4" w:space="0" w:color="auto"/>
              <w:bottom w:val="single" w:sz="4" w:space="0" w:color="auto"/>
              <w:right w:val="single" w:sz="4" w:space="0" w:color="auto"/>
            </w:tcBorders>
            <w:vAlign w:val="center"/>
          </w:tcPr>
          <w:p w14:paraId="682998F5" w14:textId="77777777" w:rsidR="00A67F21" w:rsidRPr="00B12FE0" w:rsidRDefault="00000000">
            <w:pPr>
              <w:jc w:val="center"/>
              <w:rPr>
                <w:bCs/>
                <w:color w:val="000000" w:themeColor="text1"/>
                <w:szCs w:val="21"/>
              </w:rPr>
            </w:pPr>
            <w:r w:rsidRPr="00B12FE0">
              <w:rPr>
                <w:bCs/>
                <w:color w:val="000000" w:themeColor="text1"/>
                <w:sz w:val="21"/>
                <w:szCs w:val="21"/>
              </w:rPr>
              <w:t>87</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1EDDE5EB"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6</w:t>
            </w:r>
          </w:p>
        </w:tc>
        <w:tc>
          <w:tcPr>
            <w:tcW w:w="1341" w:type="pct"/>
            <w:tcBorders>
              <w:top w:val="single" w:sz="4" w:space="0" w:color="auto"/>
              <w:left w:val="single" w:sz="4" w:space="0" w:color="auto"/>
              <w:bottom w:val="single" w:sz="4" w:space="0" w:color="auto"/>
              <w:right w:val="single" w:sz="4" w:space="0" w:color="auto"/>
            </w:tcBorders>
            <w:vAlign w:val="center"/>
          </w:tcPr>
          <w:p w14:paraId="41CA25F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洗手间门表面</w:t>
            </w:r>
          </w:p>
        </w:tc>
        <w:tc>
          <w:tcPr>
            <w:tcW w:w="1308" w:type="pct"/>
            <w:tcBorders>
              <w:top w:val="single" w:sz="4" w:space="0" w:color="auto"/>
              <w:left w:val="single" w:sz="4" w:space="0" w:color="auto"/>
              <w:bottom w:val="single" w:sz="4" w:space="0" w:color="auto"/>
              <w:right w:val="single" w:sz="4" w:space="0" w:color="auto"/>
            </w:tcBorders>
            <w:vAlign w:val="center"/>
          </w:tcPr>
          <w:p w14:paraId="031F340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6F5D4E3"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1FA9A36"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65FB03AC" w14:textId="77777777" w:rsidR="00A67F21" w:rsidRPr="00B12FE0" w:rsidRDefault="00000000">
            <w:pPr>
              <w:jc w:val="center"/>
              <w:rPr>
                <w:bCs/>
                <w:color w:val="000000" w:themeColor="text1"/>
                <w:szCs w:val="21"/>
              </w:rPr>
            </w:pPr>
            <w:r w:rsidRPr="00B12FE0">
              <w:rPr>
                <w:bCs/>
                <w:color w:val="000000" w:themeColor="text1"/>
                <w:sz w:val="21"/>
                <w:szCs w:val="21"/>
              </w:rPr>
              <w:t>88</w:t>
            </w:r>
          </w:p>
        </w:tc>
        <w:tc>
          <w:tcPr>
            <w:tcW w:w="1844" w:type="dxa"/>
            <w:vMerge/>
            <w:tcBorders>
              <w:top w:val="single" w:sz="4" w:space="0" w:color="auto"/>
              <w:left w:val="single" w:sz="4" w:space="0" w:color="auto"/>
              <w:bottom w:val="single" w:sz="4" w:space="0" w:color="auto"/>
              <w:right w:val="single" w:sz="4" w:space="0" w:color="auto"/>
            </w:tcBorders>
            <w:vAlign w:val="center"/>
          </w:tcPr>
          <w:p w14:paraId="69C8D990"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594F61B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5564CC1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627675BE"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FF4D617"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EC61117" w14:textId="77777777" w:rsidR="00A67F21" w:rsidRPr="00B12FE0" w:rsidRDefault="00000000">
            <w:pPr>
              <w:jc w:val="center"/>
              <w:rPr>
                <w:bCs/>
                <w:color w:val="000000" w:themeColor="text1"/>
                <w:szCs w:val="21"/>
              </w:rPr>
            </w:pPr>
            <w:r w:rsidRPr="00B12FE0">
              <w:rPr>
                <w:bCs/>
                <w:color w:val="000000" w:themeColor="text1"/>
                <w:sz w:val="21"/>
                <w:szCs w:val="21"/>
              </w:rPr>
              <w:t>89</w:t>
            </w:r>
          </w:p>
        </w:tc>
        <w:tc>
          <w:tcPr>
            <w:tcW w:w="1844" w:type="dxa"/>
            <w:vMerge/>
            <w:tcBorders>
              <w:top w:val="single" w:sz="4" w:space="0" w:color="auto"/>
              <w:left w:val="single" w:sz="4" w:space="0" w:color="auto"/>
              <w:bottom w:val="single" w:sz="4" w:space="0" w:color="auto"/>
              <w:right w:val="single" w:sz="4" w:space="0" w:color="auto"/>
            </w:tcBorders>
            <w:vAlign w:val="center"/>
          </w:tcPr>
          <w:p w14:paraId="2F8A6604"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6B7865F1"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废物桶表面</w:t>
            </w:r>
          </w:p>
        </w:tc>
        <w:tc>
          <w:tcPr>
            <w:tcW w:w="1308" w:type="pct"/>
            <w:tcBorders>
              <w:top w:val="single" w:sz="4" w:space="0" w:color="auto"/>
              <w:left w:val="single" w:sz="4" w:space="0" w:color="auto"/>
              <w:bottom w:val="single" w:sz="4" w:space="0" w:color="auto"/>
              <w:right w:val="single" w:sz="4" w:space="0" w:color="auto"/>
            </w:tcBorders>
            <w:vAlign w:val="center"/>
          </w:tcPr>
          <w:p w14:paraId="04EBBB2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BEBC8BD"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58FDFEC"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2B8E6223" w14:textId="77777777" w:rsidR="00A67F21" w:rsidRPr="00B12FE0" w:rsidRDefault="00000000">
            <w:pPr>
              <w:jc w:val="center"/>
              <w:rPr>
                <w:bCs/>
                <w:color w:val="000000" w:themeColor="text1"/>
                <w:szCs w:val="21"/>
              </w:rPr>
            </w:pPr>
            <w:r w:rsidRPr="00B12FE0">
              <w:rPr>
                <w:bCs/>
                <w:color w:val="000000" w:themeColor="text1"/>
                <w:sz w:val="21"/>
                <w:szCs w:val="21"/>
              </w:rPr>
              <w:t>90</w:t>
            </w:r>
          </w:p>
        </w:tc>
        <w:tc>
          <w:tcPr>
            <w:tcW w:w="1049" w:type="pct"/>
            <w:vMerge w:val="restart"/>
            <w:tcBorders>
              <w:top w:val="single" w:sz="4" w:space="0" w:color="auto"/>
              <w:left w:val="single" w:sz="4" w:space="0" w:color="auto"/>
              <w:bottom w:val="single" w:sz="4" w:space="0" w:color="auto"/>
              <w:right w:val="single" w:sz="4" w:space="0" w:color="auto"/>
            </w:tcBorders>
            <w:vAlign w:val="center"/>
          </w:tcPr>
          <w:p w14:paraId="1057A6DE" w14:textId="77777777" w:rsidR="00A67F21" w:rsidRPr="00B12FE0" w:rsidRDefault="00000000">
            <w:pPr>
              <w:tabs>
                <w:tab w:val="left" w:pos="13020"/>
              </w:tabs>
              <w:jc w:val="center"/>
              <w:rPr>
                <w:color w:val="000000" w:themeColor="text1"/>
                <w:szCs w:val="21"/>
              </w:rPr>
            </w:pPr>
            <w:proofErr w:type="gramStart"/>
            <w:r w:rsidRPr="00B12FE0">
              <w:rPr>
                <w:rFonts w:hint="eastAsia"/>
                <w:color w:val="000000" w:themeColor="text1"/>
                <w:sz w:val="21"/>
                <w:szCs w:val="21"/>
              </w:rPr>
              <w:t>甲癌病房</w:t>
            </w:r>
            <w:proofErr w:type="gramEnd"/>
            <w:r w:rsidRPr="00B12FE0">
              <w:rPr>
                <w:color w:val="000000" w:themeColor="text1"/>
                <w:sz w:val="21"/>
                <w:szCs w:val="21"/>
              </w:rPr>
              <w:t>7</w:t>
            </w:r>
          </w:p>
        </w:tc>
        <w:tc>
          <w:tcPr>
            <w:tcW w:w="1341" w:type="pct"/>
            <w:tcBorders>
              <w:top w:val="single" w:sz="4" w:space="0" w:color="auto"/>
              <w:left w:val="single" w:sz="4" w:space="0" w:color="auto"/>
              <w:bottom w:val="single" w:sz="4" w:space="0" w:color="auto"/>
              <w:right w:val="single" w:sz="4" w:space="0" w:color="auto"/>
            </w:tcBorders>
            <w:vAlign w:val="center"/>
          </w:tcPr>
          <w:p w14:paraId="0DA9577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地面</w:t>
            </w:r>
          </w:p>
        </w:tc>
        <w:tc>
          <w:tcPr>
            <w:tcW w:w="1308" w:type="pct"/>
            <w:tcBorders>
              <w:top w:val="single" w:sz="4" w:space="0" w:color="auto"/>
              <w:left w:val="single" w:sz="4" w:space="0" w:color="auto"/>
              <w:bottom w:val="single" w:sz="4" w:space="0" w:color="auto"/>
              <w:right w:val="single" w:sz="4" w:space="0" w:color="auto"/>
            </w:tcBorders>
            <w:vAlign w:val="center"/>
          </w:tcPr>
          <w:p w14:paraId="348C0D6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C41F12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F80F911"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31DFC523" w14:textId="77777777" w:rsidR="00A67F21" w:rsidRPr="00B12FE0" w:rsidRDefault="00000000">
            <w:pPr>
              <w:jc w:val="center"/>
              <w:rPr>
                <w:bCs/>
                <w:color w:val="000000" w:themeColor="text1"/>
                <w:szCs w:val="21"/>
              </w:rPr>
            </w:pPr>
            <w:r w:rsidRPr="00B12FE0">
              <w:rPr>
                <w:bCs/>
                <w:color w:val="000000" w:themeColor="text1"/>
                <w:sz w:val="21"/>
                <w:szCs w:val="21"/>
              </w:rPr>
              <w:t>91</w:t>
            </w:r>
          </w:p>
        </w:tc>
        <w:tc>
          <w:tcPr>
            <w:tcW w:w="1844" w:type="dxa"/>
            <w:vMerge/>
            <w:tcBorders>
              <w:top w:val="single" w:sz="4" w:space="0" w:color="auto"/>
              <w:left w:val="single" w:sz="4" w:space="0" w:color="auto"/>
              <w:bottom w:val="single" w:sz="4" w:space="0" w:color="auto"/>
              <w:right w:val="single" w:sz="4" w:space="0" w:color="auto"/>
            </w:tcBorders>
            <w:vAlign w:val="center"/>
          </w:tcPr>
          <w:p w14:paraId="709A9FE3"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76F4AEF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墙面</w:t>
            </w:r>
          </w:p>
        </w:tc>
        <w:tc>
          <w:tcPr>
            <w:tcW w:w="1308" w:type="pct"/>
            <w:tcBorders>
              <w:top w:val="single" w:sz="4" w:space="0" w:color="auto"/>
              <w:left w:val="single" w:sz="4" w:space="0" w:color="auto"/>
              <w:bottom w:val="single" w:sz="4" w:space="0" w:color="auto"/>
              <w:right w:val="single" w:sz="4" w:space="0" w:color="auto"/>
            </w:tcBorders>
            <w:vAlign w:val="center"/>
          </w:tcPr>
          <w:p w14:paraId="23E8278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0D8A68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8CDA0CA"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739E38A0" w14:textId="77777777" w:rsidR="00A67F21" w:rsidRPr="00B12FE0" w:rsidRDefault="00000000">
            <w:pPr>
              <w:jc w:val="center"/>
              <w:rPr>
                <w:bCs/>
                <w:color w:val="000000" w:themeColor="text1"/>
                <w:szCs w:val="21"/>
              </w:rPr>
            </w:pPr>
            <w:r w:rsidRPr="00B12FE0">
              <w:rPr>
                <w:bCs/>
                <w:color w:val="000000" w:themeColor="text1"/>
                <w:sz w:val="21"/>
                <w:szCs w:val="21"/>
              </w:rPr>
              <w:t>92</w:t>
            </w:r>
          </w:p>
        </w:tc>
        <w:tc>
          <w:tcPr>
            <w:tcW w:w="1844" w:type="dxa"/>
            <w:vMerge/>
            <w:tcBorders>
              <w:top w:val="single" w:sz="4" w:space="0" w:color="auto"/>
              <w:left w:val="single" w:sz="4" w:space="0" w:color="auto"/>
              <w:bottom w:val="single" w:sz="4" w:space="0" w:color="auto"/>
              <w:right w:val="single" w:sz="4" w:space="0" w:color="auto"/>
            </w:tcBorders>
            <w:vAlign w:val="center"/>
          </w:tcPr>
          <w:p w14:paraId="17EF4AC3"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5213DF66"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门表面</w:t>
            </w:r>
          </w:p>
        </w:tc>
        <w:tc>
          <w:tcPr>
            <w:tcW w:w="1308" w:type="pct"/>
            <w:tcBorders>
              <w:top w:val="single" w:sz="4" w:space="0" w:color="auto"/>
              <w:left w:val="single" w:sz="4" w:space="0" w:color="auto"/>
              <w:bottom w:val="single" w:sz="4" w:space="0" w:color="auto"/>
              <w:right w:val="single" w:sz="4" w:space="0" w:color="auto"/>
            </w:tcBorders>
            <w:vAlign w:val="center"/>
          </w:tcPr>
          <w:p w14:paraId="5F6E2D9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E79874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3279F96A"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0C6225F6" w14:textId="77777777" w:rsidR="00A67F21" w:rsidRPr="00B12FE0" w:rsidRDefault="00000000">
            <w:pPr>
              <w:jc w:val="center"/>
              <w:rPr>
                <w:bCs/>
                <w:color w:val="000000" w:themeColor="text1"/>
                <w:szCs w:val="21"/>
              </w:rPr>
            </w:pPr>
            <w:r w:rsidRPr="00B12FE0">
              <w:rPr>
                <w:bCs/>
                <w:color w:val="000000" w:themeColor="text1"/>
                <w:sz w:val="21"/>
                <w:szCs w:val="21"/>
              </w:rPr>
              <w:t>93</w:t>
            </w:r>
          </w:p>
        </w:tc>
        <w:tc>
          <w:tcPr>
            <w:tcW w:w="1844" w:type="dxa"/>
            <w:vMerge/>
            <w:tcBorders>
              <w:top w:val="single" w:sz="4" w:space="0" w:color="auto"/>
              <w:left w:val="single" w:sz="4" w:space="0" w:color="auto"/>
              <w:bottom w:val="single" w:sz="4" w:space="0" w:color="auto"/>
              <w:right w:val="single" w:sz="4" w:space="0" w:color="auto"/>
            </w:tcBorders>
            <w:vAlign w:val="center"/>
          </w:tcPr>
          <w:p w14:paraId="2C5708AA"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21F42160"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2DB11B85"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85DD92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747469F"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246D129D" w14:textId="77777777" w:rsidR="00A67F21" w:rsidRPr="00B12FE0" w:rsidRDefault="00000000">
            <w:pPr>
              <w:jc w:val="center"/>
              <w:rPr>
                <w:bCs/>
                <w:color w:val="000000" w:themeColor="text1"/>
                <w:szCs w:val="21"/>
              </w:rPr>
            </w:pPr>
            <w:r w:rsidRPr="00B12FE0">
              <w:rPr>
                <w:bCs/>
                <w:color w:val="000000" w:themeColor="text1"/>
                <w:sz w:val="21"/>
                <w:szCs w:val="21"/>
              </w:rPr>
              <w:t>94</w:t>
            </w:r>
          </w:p>
        </w:tc>
        <w:tc>
          <w:tcPr>
            <w:tcW w:w="1844" w:type="dxa"/>
            <w:vMerge/>
            <w:tcBorders>
              <w:top w:val="single" w:sz="4" w:space="0" w:color="auto"/>
              <w:left w:val="single" w:sz="4" w:space="0" w:color="auto"/>
              <w:bottom w:val="single" w:sz="4" w:space="0" w:color="auto"/>
              <w:right w:val="single" w:sz="4" w:space="0" w:color="auto"/>
            </w:tcBorders>
            <w:vAlign w:val="center"/>
          </w:tcPr>
          <w:p w14:paraId="076FC424"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65C447E8"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床表面</w:t>
            </w:r>
          </w:p>
        </w:tc>
        <w:tc>
          <w:tcPr>
            <w:tcW w:w="1308" w:type="pct"/>
            <w:tcBorders>
              <w:top w:val="single" w:sz="4" w:space="0" w:color="auto"/>
              <w:left w:val="single" w:sz="4" w:space="0" w:color="auto"/>
              <w:bottom w:val="single" w:sz="4" w:space="0" w:color="auto"/>
              <w:right w:val="single" w:sz="4" w:space="0" w:color="auto"/>
            </w:tcBorders>
            <w:vAlign w:val="center"/>
          </w:tcPr>
          <w:p w14:paraId="36077D4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7F51243"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23603DCE"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3E2FC7C0" w14:textId="77777777" w:rsidR="00A67F21" w:rsidRPr="00B12FE0" w:rsidRDefault="00000000">
            <w:pPr>
              <w:jc w:val="center"/>
              <w:rPr>
                <w:bCs/>
                <w:color w:val="000000" w:themeColor="text1"/>
                <w:szCs w:val="21"/>
              </w:rPr>
            </w:pPr>
            <w:r w:rsidRPr="00B12FE0">
              <w:rPr>
                <w:bCs/>
                <w:color w:val="000000" w:themeColor="text1"/>
                <w:sz w:val="21"/>
                <w:szCs w:val="21"/>
              </w:rPr>
              <w:t>95</w:t>
            </w:r>
          </w:p>
        </w:tc>
        <w:tc>
          <w:tcPr>
            <w:tcW w:w="1844" w:type="dxa"/>
            <w:vMerge/>
            <w:tcBorders>
              <w:top w:val="single" w:sz="4" w:space="0" w:color="auto"/>
              <w:left w:val="single" w:sz="4" w:space="0" w:color="auto"/>
              <w:bottom w:val="single" w:sz="4" w:space="0" w:color="auto"/>
              <w:right w:val="single" w:sz="4" w:space="0" w:color="auto"/>
            </w:tcBorders>
            <w:vAlign w:val="center"/>
          </w:tcPr>
          <w:p w14:paraId="4A0EE844"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38F1588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柜子表面</w:t>
            </w:r>
          </w:p>
        </w:tc>
        <w:tc>
          <w:tcPr>
            <w:tcW w:w="1308" w:type="pct"/>
            <w:tcBorders>
              <w:top w:val="single" w:sz="4" w:space="0" w:color="auto"/>
              <w:left w:val="single" w:sz="4" w:space="0" w:color="auto"/>
              <w:bottom w:val="single" w:sz="4" w:space="0" w:color="auto"/>
              <w:right w:val="single" w:sz="4" w:space="0" w:color="auto"/>
            </w:tcBorders>
            <w:vAlign w:val="center"/>
          </w:tcPr>
          <w:p w14:paraId="1DDE65D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FCFC5AA"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0FCA808A"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66B1ECB2" w14:textId="77777777" w:rsidR="00A67F21" w:rsidRPr="00B12FE0" w:rsidRDefault="00000000">
            <w:pPr>
              <w:jc w:val="center"/>
              <w:rPr>
                <w:bCs/>
                <w:color w:val="000000" w:themeColor="text1"/>
                <w:szCs w:val="21"/>
              </w:rPr>
            </w:pPr>
            <w:r w:rsidRPr="00B12FE0">
              <w:rPr>
                <w:bCs/>
                <w:color w:val="000000" w:themeColor="text1"/>
                <w:sz w:val="21"/>
                <w:szCs w:val="21"/>
              </w:rPr>
              <w:t>96</w:t>
            </w:r>
          </w:p>
        </w:tc>
        <w:tc>
          <w:tcPr>
            <w:tcW w:w="1844" w:type="dxa"/>
            <w:vMerge/>
            <w:tcBorders>
              <w:top w:val="single" w:sz="4" w:space="0" w:color="auto"/>
              <w:left w:val="single" w:sz="4" w:space="0" w:color="auto"/>
              <w:bottom w:val="single" w:sz="4" w:space="0" w:color="auto"/>
              <w:right w:val="single" w:sz="4" w:space="0" w:color="auto"/>
            </w:tcBorders>
            <w:vAlign w:val="center"/>
          </w:tcPr>
          <w:p w14:paraId="52D25C34"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6B28142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洗手间地面</w:t>
            </w:r>
          </w:p>
        </w:tc>
        <w:tc>
          <w:tcPr>
            <w:tcW w:w="1308" w:type="pct"/>
            <w:tcBorders>
              <w:top w:val="single" w:sz="4" w:space="0" w:color="auto"/>
              <w:left w:val="single" w:sz="4" w:space="0" w:color="auto"/>
              <w:bottom w:val="single" w:sz="4" w:space="0" w:color="auto"/>
              <w:right w:val="single" w:sz="4" w:space="0" w:color="auto"/>
            </w:tcBorders>
            <w:vAlign w:val="center"/>
          </w:tcPr>
          <w:p w14:paraId="7B9AE1A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46167701"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0DF10A7"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688EC748" w14:textId="77777777" w:rsidR="00A67F21" w:rsidRPr="00B12FE0" w:rsidRDefault="00000000">
            <w:pPr>
              <w:jc w:val="center"/>
              <w:rPr>
                <w:bCs/>
                <w:color w:val="000000" w:themeColor="text1"/>
                <w:szCs w:val="21"/>
              </w:rPr>
            </w:pPr>
            <w:r w:rsidRPr="00B12FE0">
              <w:rPr>
                <w:bCs/>
                <w:color w:val="000000" w:themeColor="text1"/>
                <w:sz w:val="21"/>
                <w:szCs w:val="21"/>
              </w:rPr>
              <w:t>97</w:t>
            </w:r>
          </w:p>
        </w:tc>
        <w:tc>
          <w:tcPr>
            <w:tcW w:w="1844" w:type="dxa"/>
            <w:vMerge/>
            <w:tcBorders>
              <w:top w:val="single" w:sz="4" w:space="0" w:color="auto"/>
              <w:left w:val="single" w:sz="4" w:space="0" w:color="auto"/>
              <w:bottom w:val="single" w:sz="4" w:space="0" w:color="auto"/>
              <w:right w:val="single" w:sz="4" w:space="0" w:color="auto"/>
            </w:tcBorders>
            <w:vAlign w:val="center"/>
          </w:tcPr>
          <w:p w14:paraId="48801595"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74C8DBB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洗手间墙面</w:t>
            </w:r>
          </w:p>
        </w:tc>
        <w:tc>
          <w:tcPr>
            <w:tcW w:w="1308" w:type="pct"/>
            <w:tcBorders>
              <w:top w:val="single" w:sz="4" w:space="0" w:color="auto"/>
              <w:left w:val="single" w:sz="4" w:space="0" w:color="auto"/>
              <w:bottom w:val="single" w:sz="4" w:space="0" w:color="auto"/>
              <w:right w:val="single" w:sz="4" w:space="0" w:color="auto"/>
            </w:tcBorders>
            <w:vAlign w:val="center"/>
          </w:tcPr>
          <w:p w14:paraId="58A17BC7"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8DEC805"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66E048EA"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455A13E5" w14:textId="77777777" w:rsidR="00A67F21" w:rsidRPr="00B12FE0" w:rsidRDefault="00000000">
            <w:pPr>
              <w:jc w:val="center"/>
              <w:rPr>
                <w:bCs/>
                <w:color w:val="000000" w:themeColor="text1"/>
                <w:szCs w:val="21"/>
              </w:rPr>
            </w:pPr>
            <w:r w:rsidRPr="00B12FE0">
              <w:rPr>
                <w:bCs/>
                <w:color w:val="000000" w:themeColor="text1"/>
                <w:sz w:val="21"/>
                <w:szCs w:val="21"/>
              </w:rPr>
              <w:t>98</w:t>
            </w:r>
          </w:p>
        </w:tc>
        <w:tc>
          <w:tcPr>
            <w:tcW w:w="1844" w:type="dxa"/>
            <w:vMerge/>
            <w:tcBorders>
              <w:top w:val="single" w:sz="4" w:space="0" w:color="auto"/>
              <w:left w:val="single" w:sz="4" w:space="0" w:color="auto"/>
              <w:bottom w:val="single" w:sz="4" w:space="0" w:color="auto"/>
              <w:right w:val="single" w:sz="4" w:space="0" w:color="auto"/>
            </w:tcBorders>
            <w:vAlign w:val="center"/>
          </w:tcPr>
          <w:p w14:paraId="2BBA1EB2"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1E3858B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洗手池表面</w:t>
            </w:r>
          </w:p>
        </w:tc>
        <w:tc>
          <w:tcPr>
            <w:tcW w:w="1308" w:type="pct"/>
            <w:tcBorders>
              <w:top w:val="single" w:sz="4" w:space="0" w:color="auto"/>
              <w:left w:val="single" w:sz="4" w:space="0" w:color="auto"/>
              <w:bottom w:val="single" w:sz="4" w:space="0" w:color="auto"/>
              <w:right w:val="single" w:sz="4" w:space="0" w:color="auto"/>
            </w:tcBorders>
            <w:vAlign w:val="center"/>
          </w:tcPr>
          <w:p w14:paraId="72B084AD"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1226F934"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15AC6CAB"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12D1918C" w14:textId="77777777" w:rsidR="00A67F21" w:rsidRPr="00B12FE0" w:rsidRDefault="00000000">
            <w:pPr>
              <w:jc w:val="center"/>
              <w:rPr>
                <w:bCs/>
                <w:color w:val="000000" w:themeColor="text1"/>
                <w:szCs w:val="21"/>
              </w:rPr>
            </w:pPr>
            <w:r w:rsidRPr="00B12FE0">
              <w:rPr>
                <w:bCs/>
                <w:color w:val="000000" w:themeColor="text1"/>
                <w:sz w:val="21"/>
                <w:szCs w:val="21"/>
              </w:rPr>
              <w:t>99</w:t>
            </w:r>
          </w:p>
        </w:tc>
        <w:tc>
          <w:tcPr>
            <w:tcW w:w="1844" w:type="dxa"/>
            <w:vMerge/>
            <w:tcBorders>
              <w:top w:val="single" w:sz="4" w:space="0" w:color="auto"/>
              <w:left w:val="single" w:sz="4" w:space="0" w:color="auto"/>
              <w:bottom w:val="single" w:sz="4" w:space="0" w:color="auto"/>
              <w:right w:val="single" w:sz="4" w:space="0" w:color="auto"/>
            </w:tcBorders>
            <w:vAlign w:val="center"/>
          </w:tcPr>
          <w:p w14:paraId="0CC96EE5"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26B0022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便池表面</w:t>
            </w:r>
          </w:p>
        </w:tc>
        <w:tc>
          <w:tcPr>
            <w:tcW w:w="1308" w:type="pct"/>
            <w:tcBorders>
              <w:top w:val="single" w:sz="4" w:space="0" w:color="auto"/>
              <w:left w:val="single" w:sz="4" w:space="0" w:color="auto"/>
              <w:bottom w:val="single" w:sz="4" w:space="0" w:color="auto"/>
              <w:right w:val="single" w:sz="4" w:space="0" w:color="auto"/>
            </w:tcBorders>
            <w:vAlign w:val="center"/>
          </w:tcPr>
          <w:p w14:paraId="494FB6DC"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204685B3"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7C330D37"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4D8EE234" w14:textId="77777777" w:rsidR="00A67F21" w:rsidRPr="00B12FE0" w:rsidRDefault="00000000">
            <w:pPr>
              <w:jc w:val="center"/>
              <w:rPr>
                <w:bCs/>
                <w:color w:val="000000" w:themeColor="text1"/>
                <w:szCs w:val="21"/>
              </w:rPr>
            </w:pPr>
            <w:r w:rsidRPr="00B12FE0">
              <w:rPr>
                <w:bCs/>
                <w:color w:val="000000" w:themeColor="text1"/>
                <w:sz w:val="21"/>
                <w:szCs w:val="21"/>
              </w:rPr>
              <w:t>100</w:t>
            </w:r>
          </w:p>
        </w:tc>
        <w:tc>
          <w:tcPr>
            <w:tcW w:w="1844" w:type="dxa"/>
            <w:vMerge/>
            <w:tcBorders>
              <w:top w:val="single" w:sz="4" w:space="0" w:color="auto"/>
              <w:left w:val="single" w:sz="4" w:space="0" w:color="auto"/>
              <w:bottom w:val="single" w:sz="4" w:space="0" w:color="auto"/>
              <w:right w:val="single" w:sz="4" w:space="0" w:color="auto"/>
            </w:tcBorders>
            <w:vAlign w:val="center"/>
          </w:tcPr>
          <w:p w14:paraId="7D88BC07"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01A26244"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洗手间门表面</w:t>
            </w:r>
          </w:p>
        </w:tc>
        <w:tc>
          <w:tcPr>
            <w:tcW w:w="1308" w:type="pct"/>
            <w:tcBorders>
              <w:top w:val="single" w:sz="4" w:space="0" w:color="auto"/>
              <w:left w:val="single" w:sz="4" w:space="0" w:color="auto"/>
              <w:bottom w:val="single" w:sz="4" w:space="0" w:color="auto"/>
              <w:right w:val="single" w:sz="4" w:space="0" w:color="auto"/>
            </w:tcBorders>
            <w:vAlign w:val="center"/>
          </w:tcPr>
          <w:p w14:paraId="4DA078C9"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5CC01366"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C83D854"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790EE01C" w14:textId="77777777" w:rsidR="00A67F21" w:rsidRPr="00B12FE0" w:rsidRDefault="00000000">
            <w:pPr>
              <w:jc w:val="center"/>
              <w:rPr>
                <w:bCs/>
                <w:color w:val="000000" w:themeColor="text1"/>
                <w:szCs w:val="21"/>
              </w:rPr>
            </w:pPr>
            <w:r w:rsidRPr="00B12FE0">
              <w:rPr>
                <w:bCs/>
                <w:color w:val="000000" w:themeColor="text1"/>
                <w:sz w:val="21"/>
                <w:szCs w:val="21"/>
              </w:rPr>
              <w:t>101</w:t>
            </w:r>
          </w:p>
        </w:tc>
        <w:tc>
          <w:tcPr>
            <w:tcW w:w="1844" w:type="dxa"/>
            <w:vMerge/>
            <w:tcBorders>
              <w:top w:val="single" w:sz="4" w:space="0" w:color="auto"/>
              <w:left w:val="single" w:sz="4" w:space="0" w:color="auto"/>
              <w:bottom w:val="single" w:sz="4" w:space="0" w:color="auto"/>
              <w:right w:val="single" w:sz="4" w:space="0" w:color="auto"/>
            </w:tcBorders>
            <w:vAlign w:val="center"/>
          </w:tcPr>
          <w:p w14:paraId="4AB88AF5"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24B7AB5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洗手间门把手表面</w:t>
            </w:r>
          </w:p>
        </w:tc>
        <w:tc>
          <w:tcPr>
            <w:tcW w:w="1308" w:type="pct"/>
            <w:tcBorders>
              <w:top w:val="single" w:sz="4" w:space="0" w:color="auto"/>
              <w:left w:val="single" w:sz="4" w:space="0" w:color="auto"/>
              <w:bottom w:val="single" w:sz="4" w:space="0" w:color="auto"/>
              <w:right w:val="single" w:sz="4" w:space="0" w:color="auto"/>
            </w:tcBorders>
            <w:vAlign w:val="center"/>
          </w:tcPr>
          <w:p w14:paraId="35356713"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31D38E6B" w14:textId="77777777">
        <w:trPr>
          <w:trHeight w:val="23"/>
          <w:jc w:val="center"/>
        </w:trPr>
        <w:tc>
          <w:tcPr>
            <w:tcW w:w="1153" w:type="dxa"/>
            <w:vMerge/>
            <w:tcBorders>
              <w:top w:val="single" w:sz="4" w:space="0" w:color="auto"/>
              <w:left w:val="single" w:sz="4" w:space="0" w:color="auto"/>
              <w:bottom w:val="single" w:sz="4" w:space="0" w:color="auto"/>
              <w:right w:val="single" w:sz="4" w:space="0" w:color="auto"/>
            </w:tcBorders>
            <w:vAlign w:val="center"/>
          </w:tcPr>
          <w:p w14:paraId="4FB5258B" w14:textId="77777777" w:rsidR="00A67F21" w:rsidRPr="00B12FE0" w:rsidRDefault="00A67F21">
            <w:pPr>
              <w:widowControl/>
              <w:jc w:val="left"/>
              <w:rPr>
                <w:bCs/>
                <w:color w:val="000000" w:themeColor="text1"/>
                <w:szCs w:val="21"/>
              </w:rPr>
            </w:pPr>
          </w:p>
        </w:tc>
        <w:tc>
          <w:tcPr>
            <w:tcW w:w="643" w:type="pct"/>
            <w:tcBorders>
              <w:top w:val="single" w:sz="4" w:space="0" w:color="auto"/>
              <w:left w:val="single" w:sz="4" w:space="0" w:color="auto"/>
              <w:bottom w:val="single" w:sz="4" w:space="0" w:color="auto"/>
              <w:right w:val="single" w:sz="4" w:space="0" w:color="auto"/>
            </w:tcBorders>
            <w:vAlign w:val="center"/>
          </w:tcPr>
          <w:p w14:paraId="736E1824" w14:textId="77777777" w:rsidR="00A67F21" w:rsidRPr="00B12FE0" w:rsidRDefault="00000000">
            <w:pPr>
              <w:jc w:val="center"/>
              <w:rPr>
                <w:bCs/>
                <w:color w:val="000000" w:themeColor="text1"/>
                <w:szCs w:val="21"/>
              </w:rPr>
            </w:pPr>
            <w:r w:rsidRPr="00B12FE0">
              <w:rPr>
                <w:bCs/>
                <w:color w:val="000000" w:themeColor="text1"/>
                <w:sz w:val="21"/>
                <w:szCs w:val="21"/>
              </w:rPr>
              <w:t>102</w:t>
            </w:r>
          </w:p>
        </w:tc>
        <w:tc>
          <w:tcPr>
            <w:tcW w:w="1844" w:type="dxa"/>
            <w:vMerge/>
            <w:tcBorders>
              <w:top w:val="single" w:sz="4" w:space="0" w:color="auto"/>
              <w:left w:val="single" w:sz="4" w:space="0" w:color="auto"/>
              <w:bottom w:val="single" w:sz="4" w:space="0" w:color="auto"/>
              <w:right w:val="single" w:sz="4" w:space="0" w:color="auto"/>
            </w:tcBorders>
            <w:vAlign w:val="center"/>
          </w:tcPr>
          <w:p w14:paraId="61A10454" w14:textId="77777777" w:rsidR="00A67F21" w:rsidRPr="00B12FE0" w:rsidRDefault="00A67F21">
            <w:pPr>
              <w:widowControl/>
              <w:jc w:val="left"/>
              <w:rPr>
                <w:color w:val="000000" w:themeColor="text1"/>
                <w:szCs w:val="21"/>
              </w:rPr>
            </w:pPr>
          </w:p>
        </w:tc>
        <w:tc>
          <w:tcPr>
            <w:tcW w:w="1341" w:type="pct"/>
            <w:tcBorders>
              <w:top w:val="single" w:sz="4" w:space="0" w:color="auto"/>
              <w:left w:val="single" w:sz="4" w:space="0" w:color="auto"/>
              <w:bottom w:val="single" w:sz="4" w:space="0" w:color="auto"/>
              <w:right w:val="single" w:sz="4" w:space="0" w:color="auto"/>
            </w:tcBorders>
            <w:vAlign w:val="center"/>
          </w:tcPr>
          <w:p w14:paraId="792FF00A"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废物桶表面</w:t>
            </w:r>
          </w:p>
        </w:tc>
        <w:tc>
          <w:tcPr>
            <w:tcW w:w="1308" w:type="pct"/>
            <w:tcBorders>
              <w:top w:val="single" w:sz="4" w:space="0" w:color="auto"/>
              <w:left w:val="single" w:sz="4" w:space="0" w:color="auto"/>
              <w:bottom w:val="single" w:sz="4" w:space="0" w:color="auto"/>
              <w:right w:val="single" w:sz="4" w:space="0" w:color="auto"/>
            </w:tcBorders>
            <w:vAlign w:val="center"/>
          </w:tcPr>
          <w:p w14:paraId="3F18B48E" w14:textId="77777777" w:rsidR="00A67F21" w:rsidRPr="00B12FE0" w:rsidRDefault="00000000">
            <w:pPr>
              <w:tabs>
                <w:tab w:val="left" w:pos="13020"/>
              </w:tabs>
              <w:jc w:val="center"/>
              <w:rPr>
                <w:color w:val="000000" w:themeColor="text1"/>
                <w:szCs w:val="21"/>
              </w:rPr>
            </w:pPr>
            <w:r w:rsidRPr="00B12FE0">
              <w:rPr>
                <w:rFonts w:hint="eastAsia"/>
                <w:color w:val="000000" w:themeColor="text1"/>
                <w:sz w:val="21"/>
                <w:szCs w:val="21"/>
              </w:rPr>
              <w:t>＜</w:t>
            </w:r>
            <w:r w:rsidRPr="00B12FE0">
              <w:rPr>
                <w:color w:val="000000" w:themeColor="text1"/>
                <w:sz w:val="21"/>
                <w:szCs w:val="21"/>
              </w:rPr>
              <w:t>0.05</w:t>
            </w:r>
          </w:p>
        </w:tc>
      </w:tr>
      <w:tr w:rsidR="00A67F21" w:rsidRPr="00B12FE0" w14:paraId="7CBE6B55" w14:textId="77777777">
        <w:trPr>
          <w:trHeight w:val="2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C0B68C1" w14:textId="77777777" w:rsidR="00A67F21" w:rsidRPr="00B12FE0" w:rsidRDefault="00000000">
            <w:pPr>
              <w:tabs>
                <w:tab w:val="left" w:pos="13020"/>
              </w:tabs>
              <w:rPr>
                <w:color w:val="000000" w:themeColor="text1"/>
                <w:sz w:val="18"/>
                <w:szCs w:val="18"/>
              </w:rPr>
            </w:pPr>
            <w:r w:rsidRPr="00B12FE0">
              <w:rPr>
                <w:rFonts w:hint="eastAsia"/>
                <w:color w:val="000000" w:themeColor="text1"/>
                <w:sz w:val="18"/>
                <w:szCs w:val="18"/>
              </w:rPr>
              <w:t>注：仪器检出限为</w:t>
            </w:r>
            <w:r w:rsidRPr="00B12FE0">
              <w:rPr>
                <w:color w:val="000000" w:themeColor="text1"/>
                <w:sz w:val="18"/>
                <w:szCs w:val="18"/>
              </w:rPr>
              <w:t>0.05Bq/cm</w:t>
            </w:r>
            <w:r w:rsidRPr="00B12FE0">
              <w:rPr>
                <w:color w:val="000000" w:themeColor="text1"/>
                <w:sz w:val="18"/>
                <w:szCs w:val="18"/>
                <w:vertAlign w:val="superscript"/>
              </w:rPr>
              <w:t>2</w:t>
            </w:r>
            <w:r w:rsidRPr="00B12FE0">
              <w:rPr>
                <w:rFonts w:hint="eastAsia"/>
                <w:color w:val="000000" w:themeColor="text1"/>
                <w:sz w:val="18"/>
                <w:szCs w:val="18"/>
              </w:rPr>
              <w:t>。</w:t>
            </w:r>
          </w:p>
        </w:tc>
      </w:tr>
    </w:tbl>
    <w:p w14:paraId="30289710" w14:textId="77777777" w:rsidR="00A67F21" w:rsidRPr="00B12FE0" w:rsidRDefault="00000000">
      <w:pPr>
        <w:topLinePunct/>
        <w:autoSpaceDE w:val="0"/>
        <w:adjustRightInd w:val="0"/>
        <w:snapToGrid w:val="0"/>
        <w:spacing w:beforeLines="50" w:before="120" w:line="360" w:lineRule="auto"/>
        <w:ind w:firstLineChars="200" w:firstLine="480"/>
        <w:rPr>
          <w:color w:val="000000" w:themeColor="text1"/>
          <w:szCs w:val="24"/>
        </w:rPr>
      </w:pPr>
      <w:r w:rsidRPr="00B12FE0">
        <w:rPr>
          <w:rFonts w:hint="eastAsia"/>
          <w:color w:val="000000" w:themeColor="text1"/>
        </w:rPr>
        <w:t>根据上述监测结果可知，江南大学附属医院非密封放射性物质（</w:t>
      </w:r>
      <w:r w:rsidRPr="00B12FE0">
        <w:rPr>
          <w:color w:val="000000" w:themeColor="text1"/>
          <w:vertAlign w:val="superscript"/>
        </w:rPr>
        <w:t>18</w:t>
      </w:r>
      <w:r w:rsidRPr="00B12FE0">
        <w:rPr>
          <w:color w:val="000000" w:themeColor="text1"/>
        </w:rPr>
        <w:t>F</w:t>
      </w:r>
      <w:r w:rsidRPr="00B12FE0">
        <w:rPr>
          <w:rFonts w:hint="eastAsia"/>
          <w:color w:val="000000" w:themeColor="text1"/>
        </w:rPr>
        <w:t>）工作场所大部分点位</w:t>
      </w:r>
      <w:r w:rsidRPr="00B12FE0">
        <w:rPr>
          <w:rFonts w:hint="eastAsia"/>
          <w:color w:val="000000" w:themeColor="text1"/>
          <w:szCs w:val="32"/>
        </w:rPr>
        <w:t>均未检出</w:t>
      </w:r>
      <w:r w:rsidRPr="00B12FE0">
        <w:rPr>
          <w:color w:val="000000" w:themeColor="text1"/>
          <w:szCs w:val="32"/>
        </w:rPr>
        <w:t>β</w:t>
      </w:r>
      <w:r w:rsidRPr="00B12FE0">
        <w:rPr>
          <w:rFonts w:hint="eastAsia"/>
          <w:color w:val="000000" w:themeColor="text1"/>
          <w:szCs w:val="32"/>
        </w:rPr>
        <w:t>表面污染，剩余点位中检出最大</w:t>
      </w:r>
      <w:r w:rsidRPr="00B12FE0">
        <w:rPr>
          <w:color w:val="000000" w:themeColor="text1"/>
          <w:szCs w:val="36"/>
        </w:rPr>
        <w:t>β</w:t>
      </w:r>
      <w:r w:rsidRPr="00B12FE0">
        <w:rPr>
          <w:rFonts w:hint="eastAsia"/>
          <w:color w:val="000000" w:themeColor="text1"/>
          <w:szCs w:val="36"/>
        </w:rPr>
        <w:t>表面污染为</w:t>
      </w:r>
      <w:r w:rsidRPr="00B12FE0">
        <w:rPr>
          <w:color w:val="000000" w:themeColor="text1"/>
          <w:szCs w:val="36"/>
        </w:rPr>
        <w:t>4.5</w:t>
      </w:r>
      <w:r w:rsidRPr="00B12FE0">
        <w:rPr>
          <w:color w:val="000000" w:themeColor="text1"/>
          <w:szCs w:val="32"/>
        </w:rPr>
        <w:t>Bq/cm</w:t>
      </w:r>
      <w:r w:rsidRPr="00B12FE0">
        <w:rPr>
          <w:color w:val="000000" w:themeColor="text1"/>
          <w:szCs w:val="32"/>
          <w:vertAlign w:val="superscript"/>
        </w:rPr>
        <w:t>2</w:t>
      </w:r>
      <w:r w:rsidRPr="00B12FE0">
        <w:rPr>
          <w:rFonts w:hint="eastAsia"/>
          <w:color w:val="000000" w:themeColor="text1"/>
          <w:szCs w:val="32"/>
        </w:rPr>
        <w:t>；</w:t>
      </w:r>
      <w:r w:rsidRPr="00B12FE0">
        <w:rPr>
          <w:rFonts w:hint="eastAsia"/>
          <w:color w:val="000000" w:themeColor="text1"/>
        </w:rPr>
        <w:t>江南大学附属医院非密封放射性物质（</w:t>
      </w:r>
      <w:r w:rsidRPr="00B12FE0">
        <w:rPr>
          <w:color w:val="000000" w:themeColor="text1"/>
          <w:szCs w:val="24"/>
          <w:vertAlign w:val="superscript"/>
        </w:rPr>
        <w:t>99m</w:t>
      </w:r>
      <w:r w:rsidRPr="00B12FE0">
        <w:rPr>
          <w:color w:val="000000" w:themeColor="text1"/>
          <w:szCs w:val="24"/>
        </w:rPr>
        <w:t>Tc</w:t>
      </w:r>
      <w:r w:rsidRPr="00B12FE0">
        <w:rPr>
          <w:rFonts w:hint="eastAsia"/>
          <w:color w:val="000000" w:themeColor="text1"/>
        </w:rPr>
        <w:t>）工作场所大部分点位</w:t>
      </w:r>
      <w:r w:rsidRPr="00B12FE0">
        <w:rPr>
          <w:rFonts w:hint="eastAsia"/>
          <w:color w:val="000000" w:themeColor="text1"/>
          <w:szCs w:val="32"/>
        </w:rPr>
        <w:t>均未检出</w:t>
      </w:r>
      <w:r w:rsidRPr="00B12FE0">
        <w:rPr>
          <w:color w:val="000000" w:themeColor="text1"/>
          <w:szCs w:val="32"/>
        </w:rPr>
        <w:t>β</w:t>
      </w:r>
      <w:r w:rsidRPr="00B12FE0">
        <w:rPr>
          <w:rFonts w:hint="eastAsia"/>
          <w:color w:val="000000" w:themeColor="text1"/>
          <w:szCs w:val="32"/>
        </w:rPr>
        <w:t>表面污染，剩余点位中检出最大</w:t>
      </w:r>
      <w:r w:rsidRPr="00B12FE0">
        <w:rPr>
          <w:color w:val="000000" w:themeColor="text1"/>
          <w:szCs w:val="36"/>
        </w:rPr>
        <w:t>β</w:t>
      </w:r>
      <w:r w:rsidRPr="00B12FE0">
        <w:rPr>
          <w:rFonts w:hint="eastAsia"/>
          <w:color w:val="000000" w:themeColor="text1"/>
          <w:szCs w:val="36"/>
        </w:rPr>
        <w:t>表面污</w:t>
      </w:r>
      <w:r w:rsidRPr="00B12FE0">
        <w:rPr>
          <w:rFonts w:hint="eastAsia"/>
          <w:color w:val="000000" w:themeColor="text1"/>
          <w:szCs w:val="24"/>
        </w:rPr>
        <w:t>染为</w:t>
      </w:r>
      <w:r w:rsidRPr="00B12FE0">
        <w:rPr>
          <w:color w:val="000000" w:themeColor="text1"/>
          <w:szCs w:val="24"/>
        </w:rPr>
        <w:t>3.0Bq/cm</w:t>
      </w:r>
      <w:r w:rsidRPr="00B12FE0">
        <w:rPr>
          <w:color w:val="000000" w:themeColor="text1"/>
          <w:szCs w:val="24"/>
          <w:vertAlign w:val="superscript"/>
        </w:rPr>
        <w:t>2</w:t>
      </w:r>
      <w:r w:rsidRPr="00B12FE0">
        <w:rPr>
          <w:rFonts w:hint="eastAsia"/>
          <w:color w:val="000000" w:themeColor="text1"/>
          <w:szCs w:val="24"/>
        </w:rPr>
        <w:t>；江南大学附属医院非密封放射性物质（</w:t>
      </w:r>
      <w:r w:rsidRPr="00B12FE0">
        <w:rPr>
          <w:bCs/>
          <w:color w:val="000000" w:themeColor="text1"/>
          <w:szCs w:val="24"/>
          <w:vertAlign w:val="superscript"/>
        </w:rPr>
        <w:t>131</w:t>
      </w:r>
      <w:r w:rsidRPr="00B12FE0">
        <w:rPr>
          <w:bCs/>
          <w:color w:val="000000" w:themeColor="text1"/>
          <w:szCs w:val="24"/>
        </w:rPr>
        <w:t>I</w:t>
      </w:r>
      <w:r w:rsidRPr="00B12FE0">
        <w:rPr>
          <w:rFonts w:hint="eastAsia"/>
          <w:color w:val="000000" w:themeColor="text1"/>
          <w:szCs w:val="24"/>
        </w:rPr>
        <w:t>）</w:t>
      </w:r>
      <w:r w:rsidRPr="00B12FE0">
        <w:rPr>
          <w:rFonts w:hint="eastAsia"/>
          <w:color w:val="000000" w:themeColor="text1"/>
          <w:szCs w:val="24"/>
        </w:rPr>
        <w:lastRenderedPageBreak/>
        <w:t>工作场所大部分点位均未检出</w:t>
      </w:r>
      <w:r w:rsidRPr="00B12FE0">
        <w:rPr>
          <w:color w:val="000000" w:themeColor="text1"/>
          <w:szCs w:val="24"/>
        </w:rPr>
        <w:t>β</w:t>
      </w:r>
      <w:r w:rsidRPr="00B12FE0">
        <w:rPr>
          <w:rFonts w:hint="eastAsia"/>
          <w:color w:val="000000" w:themeColor="text1"/>
          <w:szCs w:val="24"/>
        </w:rPr>
        <w:t>表面污染，剩余点位中检出最大</w:t>
      </w:r>
      <w:r w:rsidRPr="00B12FE0">
        <w:rPr>
          <w:color w:val="000000" w:themeColor="text1"/>
          <w:szCs w:val="24"/>
        </w:rPr>
        <w:t>β</w:t>
      </w:r>
      <w:r w:rsidRPr="00B12FE0">
        <w:rPr>
          <w:rFonts w:hint="eastAsia"/>
          <w:color w:val="000000" w:themeColor="text1"/>
          <w:szCs w:val="24"/>
        </w:rPr>
        <w:t>表面污染为</w:t>
      </w:r>
      <w:r w:rsidRPr="00B12FE0">
        <w:rPr>
          <w:color w:val="000000" w:themeColor="text1"/>
          <w:szCs w:val="24"/>
        </w:rPr>
        <w:t>0.25Bq/cm</w:t>
      </w:r>
      <w:r w:rsidRPr="00B12FE0">
        <w:rPr>
          <w:color w:val="000000" w:themeColor="text1"/>
          <w:szCs w:val="24"/>
          <w:vertAlign w:val="superscript"/>
        </w:rPr>
        <w:t>2</w:t>
      </w:r>
      <w:r w:rsidRPr="00B12FE0">
        <w:rPr>
          <w:rFonts w:hint="eastAsia"/>
          <w:color w:val="000000" w:themeColor="text1"/>
          <w:szCs w:val="24"/>
        </w:rPr>
        <w:t>。以上三个非密封放射性物质工作场所均符合《电离辐射防护与辐射源安全基本标准》（</w:t>
      </w:r>
      <w:r w:rsidRPr="00B12FE0">
        <w:rPr>
          <w:color w:val="000000" w:themeColor="text1"/>
          <w:szCs w:val="24"/>
        </w:rPr>
        <w:t>GB18871-2002</w:t>
      </w:r>
      <w:r w:rsidRPr="00B12FE0">
        <w:rPr>
          <w:rFonts w:hint="eastAsia"/>
          <w:color w:val="000000" w:themeColor="text1"/>
          <w:szCs w:val="24"/>
        </w:rPr>
        <w:t>）规定的控制区</w:t>
      </w:r>
      <w:r w:rsidRPr="00B12FE0">
        <w:rPr>
          <w:color w:val="000000" w:themeColor="text1"/>
          <w:szCs w:val="24"/>
        </w:rPr>
        <w:t>β</w:t>
      </w:r>
      <w:r w:rsidRPr="00B12FE0">
        <w:rPr>
          <w:rFonts w:hint="eastAsia"/>
          <w:color w:val="000000" w:themeColor="text1"/>
          <w:szCs w:val="24"/>
        </w:rPr>
        <w:t>表面污染小于</w:t>
      </w:r>
      <w:r w:rsidRPr="00B12FE0">
        <w:rPr>
          <w:color w:val="000000" w:themeColor="text1"/>
          <w:szCs w:val="24"/>
        </w:rPr>
        <w:t>40Bq/cm</w:t>
      </w:r>
      <w:r w:rsidRPr="00B12FE0">
        <w:rPr>
          <w:color w:val="000000" w:themeColor="text1"/>
          <w:szCs w:val="24"/>
          <w:vertAlign w:val="superscript"/>
        </w:rPr>
        <w:t>2</w:t>
      </w:r>
      <w:r w:rsidRPr="00B12FE0">
        <w:rPr>
          <w:rFonts w:hint="eastAsia"/>
          <w:color w:val="000000" w:themeColor="text1"/>
          <w:szCs w:val="24"/>
        </w:rPr>
        <w:t>，监督区</w:t>
      </w:r>
      <w:r w:rsidRPr="00B12FE0">
        <w:rPr>
          <w:color w:val="000000" w:themeColor="text1"/>
          <w:szCs w:val="24"/>
        </w:rPr>
        <w:t>β</w:t>
      </w:r>
      <w:r w:rsidRPr="00B12FE0">
        <w:rPr>
          <w:rFonts w:hint="eastAsia"/>
          <w:color w:val="000000" w:themeColor="text1"/>
          <w:szCs w:val="24"/>
        </w:rPr>
        <w:t>表面污染小于</w:t>
      </w:r>
      <w:r w:rsidRPr="00B12FE0">
        <w:rPr>
          <w:color w:val="000000" w:themeColor="text1"/>
          <w:szCs w:val="24"/>
        </w:rPr>
        <w:t>4Bq/cm</w:t>
      </w:r>
      <w:r w:rsidRPr="00B12FE0">
        <w:rPr>
          <w:color w:val="000000" w:themeColor="text1"/>
          <w:szCs w:val="24"/>
          <w:vertAlign w:val="superscript"/>
        </w:rPr>
        <w:t>2</w:t>
      </w:r>
      <w:r w:rsidRPr="00B12FE0">
        <w:rPr>
          <w:rFonts w:hint="eastAsia"/>
          <w:color w:val="000000" w:themeColor="text1"/>
          <w:szCs w:val="24"/>
        </w:rPr>
        <w:t>要求。</w:t>
      </w:r>
    </w:p>
    <w:p w14:paraId="20380BF8" w14:textId="77777777" w:rsidR="00A67F21" w:rsidRPr="00B12FE0" w:rsidRDefault="00000000">
      <w:pPr>
        <w:topLinePunct/>
        <w:autoSpaceDE w:val="0"/>
        <w:adjustRightInd w:val="0"/>
        <w:snapToGrid w:val="0"/>
        <w:spacing w:line="360" w:lineRule="auto"/>
        <w:ind w:firstLineChars="200" w:firstLine="480"/>
        <w:rPr>
          <w:color w:val="000000" w:themeColor="text1"/>
        </w:rPr>
      </w:pPr>
      <w:r w:rsidRPr="00B12FE0">
        <w:rPr>
          <w:rFonts w:hint="eastAsia"/>
          <w:color w:val="000000" w:themeColor="text1"/>
          <w:szCs w:val="24"/>
        </w:rPr>
        <w:t>②为了解项目核医学工作场所运行时工作场所</w:t>
      </w:r>
      <w:r w:rsidRPr="00B12FE0">
        <w:rPr>
          <w:color w:val="000000" w:themeColor="text1"/>
          <w:szCs w:val="24"/>
        </w:rPr>
        <w:t>β</w:t>
      </w:r>
      <w:r w:rsidRPr="00B12FE0">
        <w:rPr>
          <w:rFonts w:hint="eastAsia"/>
          <w:color w:val="000000" w:themeColor="text1"/>
          <w:szCs w:val="24"/>
        </w:rPr>
        <w:t>表面污染影响（针对核素</w:t>
      </w:r>
      <w:r w:rsidRPr="00B12FE0">
        <w:rPr>
          <w:rFonts w:hint="eastAsia"/>
          <w:color w:val="000000" w:themeColor="text1"/>
          <w:szCs w:val="24"/>
          <w:vertAlign w:val="superscript"/>
        </w:rPr>
        <w:t>32</w:t>
      </w:r>
      <w:r w:rsidRPr="00B12FE0">
        <w:rPr>
          <w:rFonts w:hint="eastAsia"/>
          <w:color w:val="000000" w:themeColor="text1"/>
          <w:szCs w:val="24"/>
        </w:rPr>
        <w:t>P</w:t>
      </w:r>
      <w:r w:rsidRPr="00B12FE0">
        <w:rPr>
          <w:rFonts w:hint="eastAsia"/>
          <w:color w:val="000000" w:themeColor="text1"/>
          <w:szCs w:val="24"/>
        </w:rPr>
        <w:t>），类比对象引用</w:t>
      </w:r>
      <w:r w:rsidRPr="00B12FE0">
        <w:rPr>
          <w:rFonts w:hint="eastAsia"/>
          <w:color w:val="000000" w:themeColor="text1"/>
        </w:rPr>
        <w:t>武警浙江省总队杭州医院</w:t>
      </w:r>
      <w:r w:rsidRPr="00B12FE0">
        <w:rPr>
          <w:rFonts w:hint="eastAsia"/>
          <w:color w:val="000000" w:themeColor="text1"/>
          <w:vertAlign w:val="superscript"/>
        </w:rPr>
        <w:t>3</w:t>
      </w:r>
      <w:r w:rsidRPr="00B12FE0">
        <w:rPr>
          <w:color w:val="000000" w:themeColor="text1"/>
          <w:vertAlign w:val="superscript"/>
        </w:rPr>
        <w:t>2</w:t>
      </w:r>
      <w:r w:rsidRPr="00B12FE0">
        <w:rPr>
          <w:color w:val="000000" w:themeColor="text1"/>
        </w:rPr>
        <w:t>P</w:t>
      </w:r>
      <w:r w:rsidRPr="00B12FE0">
        <w:rPr>
          <w:rFonts w:hint="eastAsia"/>
          <w:color w:val="000000" w:themeColor="text1"/>
        </w:rPr>
        <w:t>敷贴治疗辐射工作场所验收检测数据（报告编号为</w:t>
      </w:r>
      <w:r w:rsidRPr="00B12FE0">
        <w:rPr>
          <w:color w:val="000000" w:themeColor="text1"/>
        </w:rPr>
        <w:t>GABG-CF16220762-1</w:t>
      </w:r>
      <w:r w:rsidRPr="00B12FE0">
        <w:rPr>
          <w:rFonts w:hint="eastAsia"/>
          <w:color w:val="000000" w:themeColor="text1"/>
        </w:rPr>
        <w:t>，具体见附件</w:t>
      </w:r>
      <w:r w:rsidRPr="00B12FE0">
        <w:rPr>
          <w:rFonts w:hint="eastAsia"/>
          <w:color w:val="000000" w:themeColor="text1"/>
        </w:rPr>
        <w:t>10</w:t>
      </w:r>
      <w:r w:rsidRPr="00B12FE0">
        <w:rPr>
          <w:rFonts w:hint="eastAsia"/>
          <w:color w:val="000000" w:themeColor="text1"/>
        </w:rPr>
        <w:t>），由于</w:t>
      </w:r>
      <w:r w:rsidRPr="00B12FE0">
        <w:rPr>
          <w:color w:val="000000" w:themeColor="text1"/>
        </w:rPr>
        <w:t>β</w:t>
      </w:r>
      <w:r w:rsidRPr="00B12FE0">
        <w:rPr>
          <w:rFonts w:hint="eastAsia"/>
          <w:color w:val="000000" w:themeColor="text1"/>
        </w:rPr>
        <w:t>表面污染与核素种类和</w:t>
      </w:r>
      <w:proofErr w:type="gramStart"/>
      <w:r w:rsidRPr="00B12FE0">
        <w:rPr>
          <w:rFonts w:hint="eastAsia"/>
          <w:color w:val="000000" w:themeColor="text1"/>
        </w:rPr>
        <w:t>核素日</w:t>
      </w:r>
      <w:proofErr w:type="gramEnd"/>
      <w:r w:rsidRPr="00B12FE0">
        <w:rPr>
          <w:rFonts w:hint="eastAsia"/>
          <w:color w:val="000000" w:themeColor="text1"/>
        </w:rPr>
        <w:t>等效操作量有关，与工作场所屏蔽防护无关。项目可比性分析详见表</w:t>
      </w:r>
      <w:r w:rsidRPr="00B12FE0">
        <w:rPr>
          <w:color w:val="000000" w:themeColor="text1"/>
        </w:rPr>
        <w:t>11</w:t>
      </w:r>
      <w:r w:rsidRPr="00B12FE0">
        <w:rPr>
          <w:rFonts w:hint="eastAsia"/>
          <w:color w:val="000000" w:themeColor="text1"/>
        </w:rPr>
        <w:t>.2.1.2-5</w:t>
      </w:r>
      <w:r w:rsidRPr="00B12FE0">
        <w:rPr>
          <w:rFonts w:hint="eastAsia"/>
          <w:color w:val="000000" w:themeColor="text1"/>
        </w:rPr>
        <w:t>，类比对象</w:t>
      </w:r>
      <w:r w:rsidRPr="00B12FE0">
        <w:rPr>
          <w:color w:val="000000" w:themeColor="text1"/>
        </w:rPr>
        <w:t>β</w:t>
      </w:r>
      <w:r w:rsidRPr="00B12FE0">
        <w:rPr>
          <w:rFonts w:hint="eastAsia"/>
          <w:color w:val="000000" w:themeColor="text1"/>
        </w:rPr>
        <w:t>表面污染监测结果详见表</w:t>
      </w:r>
      <w:r w:rsidRPr="00B12FE0">
        <w:rPr>
          <w:color w:val="000000" w:themeColor="text1"/>
        </w:rPr>
        <w:t>11</w:t>
      </w:r>
      <w:r w:rsidRPr="00B12FE0">
        <w:rPr>
          <w:rFonts w:hint="eastAsia"/>
          <w:color w:val="000000" w:themeColor="text1"/>
        </w:rPr>
        <w:t>.2.1.2-6</w:t>
      </w:r>
      <w:r w:rsidRPr="00B12FE0">
        <w:rPr>
          <w:rFonts w:hint="eastAsia"/>
          <w:color w:val="000000" w:themeColor="text1"/>
        </w:rPr>
        <w:t>。</w:t>
      </w:r>
    </w:p>
    <w:p w14:paraId="212FE3B1" w14:textId="77777777" w:rsidR="00A67F21" w:rsidRPr="00B12FE0" w:rsidRDefault="00000000">
      <w:pPr>
        <w:adjustRightInd w:val="0"/>
        <w:snapToGrid w:val="0"/>
        <w:spacing w:line="360" w:lineRule="auto"/>
        <w:jc w:val="center"/>
        <w:outlineLvl w:val="4"/>
        <w:rPr>
          <w:b/>
          <w:color w:val="000000" w:themeColor="text1"/>
          <w:sz w:val="21"/>
          <w:szCs w:val="21"/>
        </w:rPr>
      </w:pPr>
      <w:r w:rsidRPr="00B12FE0">
        <w:rPr>
          <w:rFonts w:hint="eastAsia"/>
          <w:b/>
          <w:color w:val="000000" w:themeColor="text1"/>
          <w:sz w:val="21"/>
          <w:szCs w:val="21"/>
        </w:rPr>
        <w:t>表</w:t>
      </w:r>
      <w:r w:rsidRPr="00B12FE0">
        <w:rPr>
          <w:rFonts w:hint="eastAsia"/>
          <w:b/>
          <w:color w:val="000000" w:themeColor="text1"/>
          <w:sz w:val="21"/>
          <w:szCs w:val="21"/>
        </w:rPr>
        <w:t xml:space="preserve">11.2.1.2-5  </w:t>
      </w:r>
      <w:r w:rsidRPr="00B12FE0">
        <w:rPr>
          <w:rFonts w:hint="eastAsia"/>
          <w:b/>
          <w:color w:val="000000" w:themeColor="text1"/>
          <w:sz w:val="21"/>
          <w:szCs w:val="21"/>
        </w:rPr>
        <w:t>类比对象可比性分析</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
        <w:gridCol w:w="2540"/>
        <w:gridCol w:w="3987"/>
        <w:gridCol w:w="1835"/>
      </w:tblGrid>
      <w:tr w:rsidR="00A67F21" w:rsidRPr="00B12FE0" w14:paraId="7B160BF2" w14:textId="77777777">
        <w:trPr>
          <w:trHeight w:val="340"/>
          <w:jc w:val="center"/>
        </w:trPr>
        <w:tc>
          <w:tcPr>
            <w:tcW w:w="1706" w:type="pct"/>
            <w:gridSpan w:val="2"/>
            <w:tcBorders>
              <w:top w:val="single" w:sz="4" w:space="0" w:color="000000"/>
              <w:left w:val="single" w:sz="4" w:space="0" w:color="000000"/>
              <w:bottom w:val="single" w:sz="4" w:space="0" w:color="000000"/>
              <w:right w:val="single" w:sz="4" w:space="0" w:color="000000"/>
            </w:tcBorders>
            <w:vAlign w:val="center"/>
          </w:tcPr>
          <w:p w14:paraId="453EB26D"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核素</w:t>
            </w:r>
          </w:p>
        </w:tc>
        <w:tc>
          <w:tcPr>
            <w:tcW w:w="2256" w:type="pct"/>
            <w:tcBorders>
              <w:top w:val="single" w:sz="4" w:space="0" w:color="000000"/>
              <w:left w:val="single" w:sz="4" w:space="0" w:color="000000"/>
              <w:bottom w:val="single" w:sz="4" w:space="0" w:color="000000"/>
              <w:right w:val="single" w:sz="4" w:space="0" w:color="000000"/>
            </w:tcBorders>
            <w:vAlign w:val="center"/>
          </w:tcPr>
          <w:p w14:paraId="114FD11F"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类比项目（武警浙江省总队杭州医院）</w:t>
            </w:r>
          </w:p>
        </w:tc>
        <w:tc>
          <w:tcPr>
            <w:tcW w:w="1038" w:type="pct"/>
            <w:tcBorders>
              <w:top w:val="single" w:sz="4" w:space="0" w:color="000000"/>
              <w:left w:val="single" w:sz="4" w:space="0" w:color="000000"/>
              <w:bottom w:val="single" w:sz="4" w:space="0" w:color="000000"/>
              <w:right w:val="single" w:sz="4" w:space="0" w:color="000000"/>
            </w:tcBorders>
            <w:vAlign w:val="center"/>
          </w:tcPr>
          <w:p w14:paraId="3E165DB7"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本项目</w:t>
            </w:r>
          </w:p>
        </w:tc>
      </w:tr>
      <w:tr w:rsidR="00A67F21" w:rsidRPr="00B12FE0" w14:paraId="0916E956" w14:textId="77777777">
        <w:trPr>
          <w:trHeight w:val="340"/>
          <w:jc w:val="center"/>
        </w:trPr>
        <w:tc>
          <w:tcPr>
            <w:tcW w:w="269" w:type="pct"/>
            <w:vMerge w:val="restart"/>
            <w:tcBorders>
              <w:top w:val="single" w:sz="4" w:space="0" w:color="000000"/>
              <w:left w:val="single" w:sz="4" w:space="0" w:color="000000"/>
              <w:right w:val="single" w:sz="4" w:space="0" w:color="auto"/>
            </w:tcBorders>
            <w:vAlign w:val="center"/>
          </w:tcPr>
          <w:p w14:paraId="17D53449" w14:textId="77777777" w:rsidR="00A67F21" w:rsidRPr="00B12FE0" w:rsidRDefault="00000000">
            <w:pPr>
              <w:jc w:val="center"/>
              <w:rPr>
                <w:color w:val="000000" w:themeColor="text1"/>
                <w:sz w:val="21"/>
                <w:szCs w:val="16"/>
              </w:rPr>
            </w:pPr>
            <w:r w:rsidRPr="00B12FE0">
              <w:rPr>
                <w:color w:val="000000" w:themeColor="text1"/>
                <w:sz w:val="21"/>
                <w:szCs w:val="16"/>
                <w:vertAlign w:val="superscript"/>
              </w:rPr>
              <w:t>32</w:t>
            </w:r>
            <w:r w:rsidRPr="00B12FE0">
              <w:rPr>
                <w:color w:val="000000" w:themeColor="text1"/>
                <w:sz w:val="21"/>
                <w:szCs w:val="16"/>
              </w:rPr>
              <w:t>P</w:t>
            </w:r>
          </w:p>
        </w:tc>
        <w:tc>
          <w:tcPr>
            <w:tcW w:w="1437" w:type="pct"/>
            <w:vMerge w:val="restart"/>
            <w:tcBorders>
              <w:top w:val="single" w:sz="4" w:space="0" w:color="000000"/>
              <w:left w:val="single" w:sz="4" w:space="0" w:color="auto"/>
              <w:right w:val="single" w:sz="4" w:space="0" w:color="000000"/>
            </w:tcBorders>
            <w:vAlign w:val="center"/>
          </w:tcPr>
          <w:p w14:paraId="69438140"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日等效最大操作量（</w:t>
            </w:r>
            <w:r w:rsidRPr="00B12FE0">
              <w:rPr>
                <w:color w:val="000000" w:themeColor="text1"/>
                <w:sz w:val="21"/>
                <w:szCs w:val="16"/>
              </w:rPr>
              <w:t>Bq</w:t>
            </w:r>
            <w:r w:rsidRPr="00B12FE0">
              <w:rPr>
                <w:rFonts w:hint="eastAsia"/>
                <w:color w:val="000000" w:themeColor="text1"/>
                <w:sz w:val="21"/>
                <w:szCs w:val="16"/>
              </w:rPr>
              <w:t>）</w:t>
            </w:r>
          </w:p>
        </w:tc>
        <w:tc>
          <w:tcPr>
            <w:tcW w:w="2256" w:type="pct"/>
            <w:tcBorders>
              <w:top w:val="single" w:sz="4" w:space="0" w:color="000000"/>
              <w:left w:val="single" w:sz="4" w:space="0" w:color="000000"/>
              <w:bottom w:val="single" w:sz="4" w:space="0" w:color="000000"/>
              <w:right w:val="single" w:sz="4" w:space="0" w:color="000000"/>
            </w:tcBorders>
            <w:vAlign w:val="center"/>
          </w:tcPr>
          <w:p w14:paraId="5DC25EF2" w14:textId="77777777" w:rsidR="00A67F21" w:rsidRPr="00B12FE0" w:rsidRDefault="00000000">
            <w:pPr>
              <w:jc w:val="center"/>
              <w:rPr>
                <w:color w:val="000000" w:themeColor="text1"/>
                <w:sz w:val="21"/>
                <w:szCs w:val="16"/>
              </w:rPr>
            </w:pPr>
            <w:r w:rsidRPr="00B12FE0">
              <w:rPr>
                <w:color w:val="000000" w:themeColor="text1"/>
                <w:sz w:val="21"/>
                <w:szCs w:val="21"/>
              </w:rPr>
              <w:t>5.55</w:t>
            </w:r>
            <w:r w:rsidRPr="00B12FE0">
              <w:rPr>
                <w:rFonts w:hint="eastAsia"/>
                <w:color w:val="000000" w:themeColor="text1"/>
                <w:sz w:val="21"/>
                <w:szCs w:val="21"/>
              </w:rPr>
              <w:t>×</w:t>
            </w:r>
            <w:r w:rsidRPr="00B12FE0">
              <w:rPr>
                <w:color w:val="000000" w:themeColor="text1"/>
                <w:sz w:val="21"/>
                <w:szCs w:val="21"/>
              </w:rPr>
              <w:t>10</w:t>
            </w:r>
            <w:r w:rsidRPr="00B12FE0">
              <w:rPr>
                <w:color w:val="000000" w:themeColor="text1"/>
                <w:sz w:val="21"/>
                <w:szCs w:val="21"/>
                <w:vertAlign w:val="superscript"/>
              </w:rPr>
              <w:t>7</w:t>
            </w:r>
          </w:p>
        </w:tc>
        <w:tc>
          <w:tcPr>
            <w:tcW w:w="1038" w:type="pct"/>
            <w:tcBorders>
              <w:top w:val="single" w:sz="4" w:space="0" w:color="000000"/>
              <w:left w:val="single" w:sz="4" w:space="0" w:color="000000"/>
              <w:bottom w:val="single" w:sz="4" w:space="0" w:color="000000"/>
              <w:right w:val="single" w:sz="4" w:space="0" w:color="000000"/>
            </w:tcBorders>
            <w:vAlign w:val="center"/>
          </w:tcPr>
          <w:p w14:paraId="04C15CEF" w14:textId="77777777" w:rsidR="00A67F21" w:rsidRPr="00B12FE0" w:rsidRDefault="00000000">
            <w:pPr>
              <w:jc w:val="center"/>
              <w:rPr>
                <w:color w:val="000000" w:themeColor="text1"/>
                <w:sz w:val="21"/>
                <w:szCs w:val="16"/>
              </w:rPr>
            </w:pPr>
            <w:r w:rsidRPr="00B12FE0">
              <w:rPr>
                <w:color w:val="000000" w:themeColor="text1"/>
                <w:sz w:val="21"/>
                <w:szCs w:val="16"/>
              </w:rPr>
              <w:t>3.7×10</w:t>
            </w:r>
            <w:r w:rsidRPr="00B12FE0">
              <w:rPr>
                <w:color w:val="000000" w:themeColor="text1"/>
                <w:sz w:val="21"/>
                <w:szCs w:val="16"/>
                <w:vertAlign w:val="superscript"/>
              </w:rPr>
              <w:t>7</w:t>
            </w:r>
          </w:p>
        </w:tc>
      </w:tr>
      <w:tr w:rsidR="00A67F21" w:rsidRPr="00B12FE0" w14:paraId="3440A9FE" w14:textId="77777777">
        <w:trPr>
          <w:trHeight w:val="340"/>
          <w:jc w:val="center"/>
        </w:trPr>
        <w:tc>
          <w:tcPr>
            <w:tcW w:w="269" w:type="pct"/>
            <w:vMerge/>
            <w:tcBorders>
              <w:left w:val="single" w:sz="4" w:space="0" w:color="000000"/>
              <w:right w:val="single" w:sz="4" w:space="0" w:color="auto"/>
            </w:tcBorders>
            <w:vAlign w:val="center"/>
          </w:tcPr>
          <w:p w14:paraId="4F0237AC" w14:textId="77777777" w:rsidR="00A67F21" w:rsidRPr="00B12FE0" w:rsidRDefault="00A67F21">
            <w:pPr>
              <w:jc w:val="center"/>
              <w:rPr>
                <w:color w:val="000000" w:themeColor="text1"/>
                <w:sz w:val="21"/>
                <w:szCs w:val="16"/>
                <w:vertAlign w:val="superscript"/>
              </w:rPr>
            </w:pPr>
          </w:p>
        </w:tc>
        <w:tc>
          <w:tcPr>
            <w:tcW w:w="1437" w:type="pct"/>
            <w:vMerge/>
            <w:tcBorders>
              <w:left w:val="single" w:sz="4" w:space="0" w:color="auto"/>
              <w:right w:val="single" w:sz="4" w:space="0" w:color="000000"/>
            </w:tcBorders>
            <w:vAlign w:val="center"/>
          </w:tcPr>
          <w:p w14:paraId="231E9A80" w14:textId="77777777" w:rsidR="00A67F21" w:rsidRPr="00B12FE0" w:rsidRDefault="00A67F21">
            <w:pPr>
              <w:jc w:val="center"/>
              <w:rPr>
                <w:color w:val="000000" w:themeColor="text1"/>
                <w:sz w:val="21"/>
                <w:szCs w:val="16"/>
              </w:rPr>
            </w:pPr>
          </w:p>
        </w:tc>
        <w:tc>
          <w:tcPr>
            <w:tcW w:w="2256" w:type="pct"/>
            <w:tcBorders>
              <w:top w:val="single" w:sz="4" w:space="0" w:color="000000"/>
              <w:left w:val="single" w:sz="4" w:space="0" w:color="000000"/>
              <w:bottom w:val="single" w:sz="4" w:space="0" w:color="000000"/>
              <w:right w:val="single" w:sz="4" w:space="0" w:color="000000"/>
            </w:tcBorders>
            <w:vAlign w:val="center"/>
          </w:tcPr>
          <w:p w14:paraId="6819F23F"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检测日期：</w:t>
            </w:r>
            <w:r w:rsidRPr="00B12FE0">
              <w:rPr>
                <w:rFonts w:hint="eastAsia"/>
                <w:color w:val="000000" w:themeColor="text1"/>
                <w:sz w:val="21"/>
                <w:szCs w:val="21"/>
              </w:rPr>
              <w:t>2</w:t>
            </w:r>
            <w:r w:rsidRPr="00B12FE0">
              <w:rPr>
                <w:color w:val="000000" w:themeColor="text1"/>
                <w:sz w:val="21"/>
                <w:szCs w:val="21"/>
              </w:rPr>
              <w:t>020</w:t>
            </w:r>
            <w:r w:rsidRPr="00B12FE0">
              <w:rPr>
                <w:rFonts w:hint="eastAsia"/>
                <w:color w:val="000000" w:themeColor="text1"/>
                <w:sz w:val="21"/>
                <w:szCs w:val="21"/>
              </w:rPr>
              <w:t>年</w:t>
            </w:r>
            <w:r w:rsidRPr="00B12FE0">
              <w:rPr>
                <w:rFonts w:hint="eastAsia"/>
                <w:color w:val="000000" w:themeColor="text1"/>
                <w:sz w:val="21"/>
                <w:szCs w:val="21"/>
              </w:rPr>
              <w:t>6</w:t>
            </w:r>
            <w:r w:rsidRPr="00B12FE0">
              <w:rPr>
                <w:rFonts w:hint="eastAsia"/>
                <w:color w:val="000000" w:themeColor="text1"/>
                <w:sz w:val="21"/>
                <w:szCs w:val="21"/>
              </w:rPr>
              <w:t>月</w:t>
            </w:r>
            <w:r w:rsidRPr="00B12FE0">
              <w:rPr>
                <w:rFonts w:hint="eastAsia"/>
                <w:color w:val="000000" w:themeColor="text1"/>
                <w:sz w:val="21"/>
                <w:szCs w:val="21"/>
              </w:rPr>
              <w:t>1</w:t>
            </w:r>
            <w:r w:rsidRPr="00B12FE0">
              <w:rPr>
                <w:color w:val="000000" w:themeColor="text1"/>
                <w:sz w:val="21"/>
                <w:szCs w:val="21"/>
              </w:rPr>
              <w:t>5</w:t>
            </w:r>
            <w:r w:rsidRPr="00B12FE0">
              <w:rPr>
                <w:rFonts w:hint="eastAsia"/>
                <w:color w:val="000000" w:themeColor="text1"/>
                <w:sz w:val="21"/>
                <w:szCs w:val="21"/>
              </w:rPr>
              <w:t>日</w:t>
            </w:r>
          </w:p>
        </w:tc>
        <w:tc>
          <w:tcPr>
            <w:tcW w:w="1038" w:type="pct"/>
            <w:tcBorders>
              <w:top w:val="single" w:sz="4" w:space="0" w:color="000000"/>
              <w:left w:val="single" w:sz="4" w:space="0" w:color="000000"/>
              <w:bottom w:val="single" w:sz="4" w:space="0" w:color="000000"/>
              <w:right w:val="single" w:sz="4" w:space="0" w:color="000000"/>
            </w:tcBorders>
            <w:vAlign w:val="center"/>
          </w:tcPr>
          <w:p w14:paraId="466F3B3F"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w:t>
            </w:r>
          </w:p>
        </w:tc>
      </w:tr>
      <w:tr w:rsidR="00A67F21" w:rsidRPr="00B12FE0" w14:paraId="58359BD9" w14:textId="77777777">
        <w:trPr>
          <w:trHeight w:val="340"/>
          <w:jc w:val="center"/>
        </w:trPr>
        <w:tc>
          <w:tcPr>
            <w:tcW w:w="269" w:type="pct"/>
            <w:vMerge/>
            <w:tcBorders>
              <w:left w:val="single" w:sz="4" w:space="0" w:color="000000"/>
              <w:right w:val="single" w:sz="4" w:space="0" w:color="auto"/>
            </w:tcBorders>
            <w:vAlign w:val="center"/>
          </w:tcPr>
          <w:p w14:paraId="2FC64167" w14:textId="77777777" w:rsidR="00A67F21" w:rsidRPr="00B12FE0" w:rsidRDefault="00A67F21">
            <w:pPr>
              <w:jc w:val="center"/>
              <w:rPr>
                <w:color w:val="000000" w:themeColor="text1"/>
                <w:sz w:val="21"/>
                <w:szCs w:val="16"/>
                <w:vertAlign w:val="superscript"/>
              </w:rPr>
            </w:pPr>
          </w:p>
        </w:tc>
        <w:tc>
          <w:tcPr>
            <w:tcW w:w="1437" w:type="pct"/>
            <w:vMerge/>
            <w:tcBorders>
              <w:left w:val="single" w:sz="4" w:space="0" w:color="auto"/>
              <w:right w:val="single" w:sz="4" w:space="0" w:color="000000"/>
            </w:tcBorders>
            <w:vAlign w:val="center"/>
          </w:tcPr>
          <w:p w14:paraId="63C7D4DF" w14:textId="77777777" w:rsidR="00A67F21" w:rsidRPr="00B12FE0" w:rsidRDefault="00A67F21">
            <w:pPr>
              <w:jc w:val="center"/>
              <w:rPr>
                <w:color w:val="000000" w:themeColor="text1"/>
                <w:sz w:val="21"/>
                <w:szCs w:val="16"/>
              </w:rPr>
            </w:pPr>
          </w:p>
        </w:tc>
        <w:tc>
          <w:tcPr>
            <w:tcW w:w="2256" w:type="pct"/>
            <w:tcBorders>
              <w:top w:val="single" w:sz="4" w:space="0" w:color="000000"/>
              <w:left w:val="single" w:sz="4" w:space="0" w:color="000000"/>
              <w:bottom w:val="single" w:sz="4" w:space="0" w:color="000000"/>
              <w:right w:val="single" w:sz="4" w:space="0" w:color="000000"/>
            </w:tcBorders>
            <w:vAlign w:val="center"/>
          </w:tcPr>
          <w:p w14:paraId="043E61A8" w14:textId="77777777" w:rsidR="00A67F21" w:rsidRPr="00B12FE0" w:rsidRDefault="00000000">
            <w:pPr>
              <w:jc w:val="center"/>
              <w:rPr>
                <w:color w:val="000000" w:themeColor="text1"/>
                <w:sz w:val="21"/>
                <w:szCs w:val="21"/>
              </w:rPr>
            </w:pPr>
            <w:r w:rsidRPr="00B12FE0">
              <w:rPr>
                <w:color w:val="000000" w:themeColor="text1"/>
                <w:sz w:val="21"/>
                <w:szCs w:val="21"/>
              </w:rPr>
              <w:t>检测仪器：</w:t>
            </w:r>
            <w:r w:rsidRPr="00B12FE0">
              <w:rPr>
                <w:color w:val="000000" w:themeColor="text1"/>
                <w:sz w:val="21"/>
                <w:szCs w:val="21"/>
              </w:rPr>
              <w:t>CoMo170</w:t>
            </w:r>
            <w:r w:rsidRPr="00B12FE0">
              <w:rPr>
                <w:color w:val="000000" w:themeColor="text1"/>
                <w:sz w:val="21"/>
                <w:szCs w:val="21"/>
              </w:rPr>
              <w:t>型</w:t>
            </w:r>
            <w:r w:rsidRPr="00B12FE0">
              <w:rPr>
                <w:color w:val="000000" w:themeColor="text1"/>
                <w:sz w:val="21"/>
                <w:szCs w:val="21"/>
              </w:rPr>
              <w:t>α</w:t>
            </w:r>
            <w:r w:rsidRPr="00B12FE0">
              <w:rPr>
                <w:color w:val="000000" w:themeColor="text1"/>
                <w:sz w:val="21"/>
                <w:szCs w:val="21"/>
              </w:rPr>
              <w:t>、</w:t>
            </w:r>
            <w:r w:rsidRPr="00B12FE0">
              <w:rPr>
                <w:color w:val="000000" w:themeColor="text1"/>
                <w:sz w:val="21"/>
                <w:szCs w:val="21"/>
              </w:rPr>
              <w:t>β</w:t>
            </w:r>
            <w:r w:rsidRPr="00B12FE0">
              <w:rPr>
                <w:color w:val="000000" w:themeColor="text1"/>
                <w:sz w:val="21"/>
                <w:szCs w:val="21"/>
              </w:rPr>
              <w:t>表面污染仪</w:t>
            </w:r>
            <w:r w:rsidRPr="00B12FE0">
              <w:rPr>
                <w:color w:val="000000" w:themeColor="text1"/>
                <w:sz w:val="21"/>
                <w:szCs w:val="21"/>
              </w:rPr>
              <w:t>/05032309(</w:t>
            </w:r>
            <w:r w:rsidRPr="00B12FE0">
              <w:rPr>
                <w:color w:val="000000" w:themeColor="text1"/>
                <w:sz w:val="21"/>
                <w:szCs w:val="21"/>
              </w:rPr>
              <w:t>探测下限为</w:t>
            </w:r>
            <w:r w:rsidRPr="00B12FE0">
              <w:rPr>
                <w:color w:val="000000" w:themeColor="text1"/>
                <w:sz w:val="21"/>
                <w:szCs w:val="21"/>
              </w:rPr>
              <w:t>0.25Bq/cm</w:t>
            </w:r>
            <w:r w:rsidRPr="00B12FE0">
              <w:rPr>
                <w:color w:val="000000" w:themeColor="text1"/>
                <w:sz w:val="21"/>
                <w:szCs w:val="21"/>
                <w:vertAlign w:val="superscript"/>
              </w:rPr>
              <w:t>2</w:t>
            </w:r>
            <w:r w:rsidRPr="00B12FE0">
              <w:rPr>
                <w:color w:val="000000" w:themeColor="text1"/>
                <w:sz w:val="21"/>
                <w:szCs w:val="21"/>
              </w:rPr>
              <w:t>)</w:t>
            </w:r>
          </w:p>
        </w:tc>
        <w:tc>
          <w:tcPr>
            <w:tcW w:w="1038" w:type="pct"/>
            <w:tcBorders>
              <w:top w:val="single" w:sz="4" w:space="0" w:color="000000"/>
              <w:left w:val="single" w:sz="4" w:space="0" w:color="000000"/>
              <w:bottom w:val="single" w:sz="4" w:space="0" w:color="000000"/>
              <w:right w:val="single" w:sz="4" w:space="0" w:color="000000"/>
            </w:tcBorders>
            <w:vAlign w:val="center"/>
          </w:tcPr>
          <w:p w14:paraId="68351A0F"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w:t>
            </w:r>
          </w:p>
        </w:tc>
      </w:tr>
      <w:tr w:rsidR="00A67F21" w:rsidRPr="00B12FE0" w14:paraId="4FCC02D6" w14:textId="77777777">
        <w:trPr>
          <w:trHeight w:val="340"/>
          <w:jc w:val="center"/>
        </w:trPr>
        <w:tc>
          <w:tcPr>
            <w:tcW w:w="269" w:type="pct"/>
            <w:vMerge/>
            <w:tcBorders>
              <w:left w:val="single" w:sz="4" w:space="0" w:color="000000"/>
              <w:right w:val="single" w:sz="4" w:space="0" w:color="auto"/>
            </w:tcBorders>
            <w:vAlign w:val="center"/>
          </w:tcPr>
          <w:p w14:paraId="1BA8AAFA" w14:textId="77777777" w:rsidR="00A67F21" w:rsidRPr="00B12FE0" w:rsidRDefault="00A67F21">
            <w:pPr>
              <w:jc w:val="center"/>
              <w:rPr>
                <w:color w:val="000000" w:themeColor="text1"/>
                <w:sz w:val="21"/>
                <w:szCs w:val="16"/>
                <w:vertAlign w:val="superscript"/>
              </w:rPr>
            </w:pPr>
          </w:p>
        </w:tc>
        <w:tc>
          <w:tcPr>
            <w:tcW w:w="1437" w:type="pct"/>
            <w:vMerge/>
            <w:tcBorders>
              <w:left w:val="single" w:sz="4" w:space="0" w:color="auto"/>
              <w:right w:val="single" w:sz="4" w:space="0" w:color="000000"/>
            </w:tcBorders>
            <w:vAlign w:val="center"/>
          </w:tcPr>
          <w:p w14:paraId="30B3F5D0" w14:textId="77777777" w:rsidR="00A67F21" w:rsidRPr="00B12FE0" w:rsidRDefault="00A67F21">
            <w:pPr>
              <w:jc w:val="center"/>
              <w:rPr>
                <w:color w:val="000000" w:themeColor="text1"/>
                <w:sz w:val="21"/>
                <w:szCs w:val="16"/>
              </w:rPr>
            </w:pPr>
          </w:p>
        </w:tc>
        <w:tc>
          <w:tcPr>
            <w:tcW w:w="2256" w:type="pct"/>
            <w:tcBorders>
              <w:top w:val="single" w:sz="4" w:space="0" w:color="000000"/>
              <w:left w:val="single" w:sz="4" w:space="0" w:color="000000"/>
              <w:bottom w:val="single" w:sz="4" w:space="0" w:color="000000"/>
              <w:right w:val="single" w:sz="4" w:space="0" w:color="000000"/>
            </w:tcBorders>
            <w:vAlign w:val="center"/>
          </w:tcPr>
          <w:p w14:paraId="02EA00DC"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检测方式：现场检测</w:t>
            </w:r>
          </w:p>
        </w:tc>
        <w:tc>
          <w:tcPr>
            <w:tcW w:w="1038" w:type="pct"/>
            <w:tcBorders>
              <w:top w:val="single" w:sz="4" w:space="0" w:color="000000"/>
              <w:left w:val="single" w:sz="4" w:space="0" w:color="000000"/>
              <w:bottom w:val="single" w:sz="4" w:space="0" w:color="000000"/>
              <w:right w:val="single" w:sz="4" w:space="0" w:color="000000"/>
            </w:tcBorders>
            <w:vAlign w:val="center"/>
          </w:tcPr>
          <w:p w14:paraId="662FB8A8"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w:t>
            </w:r>
          </w:p>
        </w:tc>
      </w:tr>
      <w:tr w:rsidR="00A67F21" w:rsidRPr="00B12FE0" w14:paraId="41F9A6B3" w14:textId="77777777">
        <w:trPr>
          <w:trHeight w:val="340"/>
          <w:jc w:val="center"/>
        </w:trPr>
        <w:tc>
          <w:tcPr>
            <w:tcW w:w="269" w:type="pct"/>
            <w:vMerge/>
            <w:tcBorders>
              <w:left w:val="single" w:sz="4" w:space="0" w:color="000000"/>
              <w:bottom w:val="single" w:sz="4" w:space="0" w:color="000000"/>
              <w:right w:val="single" w:sz="4" w:space="0" w:color="auto"/>
            </w:tcBorders>
            <w:vAlign w:val="center"/>
          </w:tcPr>
          <w:p w14:paraId="6095BB9C" w14:textId="77777777" w:rsidR="00A67F21" w:rsidRPr="00B12FE0" w:rsidRDefault="00A67F21">
            <w:pPr>
              <w:jc w:val="center"/>
              <w:rPr>
                <w:color w:val="000000" w:themeColor="text1"/>
                <w:sz w:val="21"/>
                <w:szCs w:val="16"/>
                <w:vertAlign w:val="superscript"/>
              </w:rPr>
            </w:pPr>
          </w:p>
        </w:tc>
        <w:tc>
          <w:tcPr>
            <w:tcW w:w="1437" w:type="pct"/>
            <w:vMerge/>
            <w:tcBorders>
              <w:left w:val="single" w:sz="4" w:space="0" w:color="auto"/>
              <w:bottom w:val="single" w:sz="4" w:space="0" w:color="000000"/>
              <w:right w:val="single" w:sz="4" w:space="0" w:color="000000"/>
            </w:tcBorders>
            <w:vAlign w:val="center"/>
          </w:tcPr>
          <w:p w14:paraId="6B4B30C7" w14:textId="77777777" w:rsidR="00A67F21" w:rsidRPr="00B12FE0" w:rsidRDefault="00A67F21">
            <w:pPr>
              <w:jc w:val="center"/>
              <w:rPr>
                <w:color w:val="000000" w:themeColor="text1"/>
                <w:sz w:val="21"/>
                <w:szCs w:val="16"/>
              </w:rPr>
            </w:pPr>
          </w:p>
        </w:tc>
        <w:tc>
          <w:tcPr>
            <w:tcW w:w="2256" w:type="pct"/>
            <w:tcBorders>
              <w:top w:val="single" w:sz="4" w:space="0" w:color="000000"/>
              <w:left w:val="single" w:sz="4" w:space="0" w:color="000000"/>
              <w:bottom w:val="single" w:sz="4" w:space="0" w:color="000000"/>
              <w:right w:val="single" w:sz="4" w:space="0" w:color="000000"/>
            </w:tcBorders>
            <w:vAlign w:val="center"/>
          </w:tcPr>
          <w:p w14:paraId="3E9B2BB8"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检测地址：杭州市滨江区江南大道</w:t>
            </w:r>
            <w:r w:rsidRPr="00B12FE0">
              <w:rPr>
                <w:rFonts w:hint="eastAsia"/>
                <w:color w:val="000000" w:themeColor="text1"/>
                <w:sz w:val="21"/>
                <w:szCs w:val="21"/>
              </w:rPr>
              <w:t>8</w:t>
            </w:r>
            <w:r w:rsidRPr="00B12FE0">
              <w:rPr>
                <w:color w:val="000000" w:themeColor="text1"/>
                <w:sz w:val="21"/>
                <w:szCs w:val="21"/>
              </w:rPr>
              <w:t>6</w:t>
            </w:r>
            <w:r w:rsidRPr="00B12FE0">
              <w:rPr>
                <w:rFonts w:hint="eastAsia"/>
                <w:color w:val="000000" w:themeColor="text1"/>
                <w:sz w:val="21"/>
                <w:szCs w:val="21"/>
              </w:rPr>
              <w:t>号</w:t>
            </w:r>
          </w:p>
        </w:tc>
        <w:tc>
          <w:tcPr>
            <w:tcW w:w="1038" w:type="pct"/>
            <w:tcBorders>
              <w:top w:val="single" w:sz="4" w:space="0" w:color="000000"/>
              <w:left w:val="single" w:sz="4" w:space="0" w:color="000000"/>
              <w:bottom w:val="single" w:sz="4" w:space="0" w:color="000000"/>
              <w:right w:val="single" w:sz="4" w:space="0" w:color="000000"/>
            </w:tcBorders>
            <w:vAlign w:val="center"/>
          </w:tcPr>
          <w:p w14:paraId="61E8FB32" w14:textId="77777777" w:rsidR="00A67F21" w:rsidRPr="00B12FE0" w:rsidRDefault="00000000">
            <w:pPr>
              <w:jc w:val="center"/>
              <w:rPr>
                <w:color w:val="000000" w:themeColor="text1"/>
                <w:sz w:val="21"/>
                <w:szCs w:val="16"/>
              </w:rPr>
            </w:pPr>
            <w:r w:rsidRPr="00B12FE0">
              <w:rPr>
                <w:rFonts w:hint="eastAsia"/>
                <w:color w:val="000000" w:themeColor="text1"/>
                <w:sz w:val="21"/>
                <w:szCs w:val="16"/>
              </w:rPr>
              <w:t>/</w:t>
            </w:r>
          </w:p>
        </w:tc>
      </w:tr>
    </w:tbl>
    <w:p w14:paraId="217CEC55" w14:textId="77777777" w:rsidR="00A67F21" w:rsidRPr="00B12FE0" w:rsidRDefault="00000000">
      <w:pPr>
        <w:adjustRightInd w:val="0"/>
        <w:snapToGrid w:val="0"/>
        <w:spacing w:line="360" w:lineRule="auto"/>
        <w:jc w:val="center"/>
        <w:outlineLvl w:val="4"/>
        <w:rPr>
          <w:b/>
          <w:color w:val="000000" w:themeColor="text1"/>
          <w:sz w:val="21"/>
          <w:szCs w:val="21"/>
        </w:rPr>
      </w:pPr>
      <w:r w:rsidRPr="00B12FE0">
        <w:rPr>
          <w:rFonts w:hint="eastAsia"/>
          <w:b/>
          <w:color w:val="000000" w:themeColor="text1"/>
          <w:sz w:val="21"/>
          <w:szCs w:val="21"/>
        </w:rPr>
        <w:t>表</w:t>
      </w:r>
      <w:r w:rsidRPr="00B12FE0">
        <w:rPr>
          <w:rFonts w:hint="eastAsia"/>
          <w:b/>
          <w:color w:val="000000" w:themeColor="text1"/>
          <w:sz w:val="21"/>
          <w:szCs w:val="21"/>
        </w:rPr>
        <w:t xml:space="preserve">11.2.1.1-6  </w:t>
      </w:r>
      <w:r w:rsidRPr="00B12FE0">
        <w:rPr>
          <w:rFonts w:hint="eastAsia"/>
          <w:b/>
          <w:color w:val="000000" w:themeColor="text1"/>
          <w:sz w:val="21"/>
          <w:szCs w:val="21"/>
        </w:rPr>
        <w:t>武警浙江省总队杭州医院非密封放射性物质（</w:t>
      </w:r>
      <w:r w:rsidRPr="00B12FE0">
        <w:rPr>
          <w:rFonts w:hint="eastAsia"/>
          <w:b/>
          <w:color w:val="000000" w:themeColor="text1"/>
          <w:sz w:val="21"/>
          <w:szCs w:val="21"/>
          <w:vertAlign w:val="superscript"/>
        </w:rPr>
        <w:t>32</w:t>
      </w:r>
      <w:r w:rsidRPr="00B12FE0">
        <w:rPr>
          <w:rFonts w:hint="eastAsia"/>
          <w:b/>
          <w:color w:val="000000" w:themeColor="text1"/>
          <w:sz w:val="21"/>
          <w:szCs w:val="21"/>
        </w:rPr>
        <w:t>P</w:t>
      </w:r>
      <w:r w:rsidRPr="00B12FE0">
        <w:rPr>
          <w:rFonts w:hint="eastAsia"/>
          <w:b/>
          <w:color w:val="000000" w:themeColor="text1"/>
          <w:sz w:val="21"/>
          <w:szCs w:val="21"/>
        </w:rPr>
        <w:t>）工作场所β表面污染监测结果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505"/>
        <w:gridCol w:w="2700"/>
        <w:gridCol w:w="1989"/>
        <w:gridCol w:w="1878"/>
      </w:tblGrid>
      <w:tr w:rsidR="00A67F21" w:rsidRPr="00B12FE0" w14:paraId="747849F5" w14:textId="77777777">
        <w:trPr>
          <w:trHeight w:hRule="exact" w:val="510"/>
          <w:tblHeader/>
          <w:jc w:val="center"/>
        </w:trPr>
        <w:tc>
          <w:tcPr>
            <w:tcW w:w="763" w:type="dxa"/>
            <w:tcBorders>
              <w:top w:val="single" w:sz="4" w:space="0" w:color="auto"/>
              <w:left w:val="single" w:sz="4" w:space="0" w:color="auto"/>
              <w:bottom w:val="single" w:sz="4" w:space="0" w:color="auto"/>
              <w:right w:val="single" w:sz="4" w:space="0" w:color="auto"/>
            </w:tcBorders>
            <w:vAlign w:val="center"/>
          </w:tcPr>
          <w:p w14:paraId="5083416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序号</w:t>
            </w:r>
          </w:p>
        </w:tc>
        <w:tc>
          <w:tcPr>
            <w:tcW w:w="1502" w:type="dxa"/>
            <w:tcBorders>
              <w:top w:val="single" w:sz="4" w:space="0" w:color="auto"/>
              <w:left w:val="single" w:sz="4" w:space="0" w:color="auto"/>
              <w:bottom w:val="single" w:sz="4" w:space="0" w:color="auto"/>
              <w:right w:val="single" w:sz="4" w:space="0" w:color="auto"/>
            </w:tcBorders>
            <w:vAlign w:val="center"/>
          </w:tcPr>
          <w:p w14:paraId="56712C64"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场所名称</w:t>
            </w:r>
          </w:p>
        </w:tc>
        <w:tc>
          <w:tcPr>
            <w:tcW w:w="2694" w:type="dxa"/>
            <w:tcBorders>
              <w:top w:val="single" w:sz="4" w:space="0" w:color="auto"/>
              <w:left w:val="single" w:sz="4" w:space="0" w:color="auto"/>
              <w:bottom w:val="single" w:sz="4" w:space="0" w:color="auto"/>
              <w:right w:val="single" w:sz="4" w:space="0" w:color="auto"/>
            </w:tcBorders>
            <w:vAlign w:val="center"/>
          </w:tcPr>
          <w:p w14:paraId="4EC0CA9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检测点位置</w:t>
            </w:r>
          </w:p>
        </w:tc>
        <w:tc>
          <w:tcPr>
            <w:tcW w:w="1984" w:type="dxa"/>
            <w:tcBorders>
              <w:top w:val="single" w:sz="4" w:space="0" w:color="auto"/>
              <w:left w:val="single" w:sz="4" w:space="0" w:color="auto"/>
              <w:bottom w:val="single" w:sz="4" w:space="0" w:color="auto"/>
              <w:right w:val="single" w:sz="4" w:space="0" w:color="auto"/>
            </w:tcBorders>
            <w:vAlign w:val="center"/>
          </w:tcPr>
          <w:p w14:paraId="55293A5B"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检测结果（</w:t>
            </w:r>
            <w:r w:rsidRPr="00B12FE0">
              <w:rPr>
                <w:color w:val="000000" w:themeColor="text1"/>
                <w:sz w:val="21"/>
                <w:szCs w:val="21"/>
              </w:rPr>
              <w:t>Bq/cm</w:t>
            </w:r>
            <w:r w:rsidRPr="00B12FE0">
              <w:rPr>
                <w:color w:val="000000" w:themeColor="text1"/>
                <w:sz w:val="21"/>
                <w:szCs w:val="21"/>
                <w:vertAlign w:val="superscript"/>
              </w:rPr>
              <w:t>2</w:t>
            </w:r>
            <w:r w:rsidRPr="00B12FE0">
              <w:rPr>
                <w:color w:val="000000" w:themeColor="text1"/>
                <w:sz w:val="21"/>
                <w:szCs w:val="21"/>
              </w:rPr>
              <w:t>）</w:t>
            </w:r>
          </w:p>
        </w:tc>
        <w:tc>
          <w:tcPr>
            <w:tcW w:w="1874" w:type="dxa"/>
            <w:tcBorders>
              <w:top w:val="single" w:sz="4" w:space="0" w:color="auto"/>
              <w:left w:val="single" w:sz="4" w:space="0" w:color="auto"/>
              <w:bottom w:val="single" w:sz="4" w:space="0" w:color="auto"/>
              <w:right w:val="single" w:sz="4" w:space="0" w:color="auto"/>
            </w:tcBorders>
            <w:vAlign w:val="center"/>
          </w:tcPr>
          <w:p w14:paraId="29B088AE"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控制水平（</w:t>
            </w:r>
            <w:r w:rsidRPr="00B12FE0">
              <w:rPr>
                <w:color w:val="000000" w:themeColor="text1"/>
                <w:sz w:val="21"/>
                <w:szCs w:val="21"/>
              </w:rPr>
              <w:t>Bq/cm</w:t>
            </w:r>
            <w:r w:rsidRPr="00B12FE0">
              <w:rPr>
                <w:color w:val="000000" w:themeColor="text1"/>
                <w:sz w:val="21"/>
                <w:szCs w:val="21"/>
                <w:vertAlign w:val="superscript"/>
              </w:rPr>
              <w:t>2</w:t>
            </w:r>
            <w:r w:rsidRPr="00B12FE0">
              <w:rPr>
                <w:color w:val="000000" w:themeColor="text1"/>
                <w:sz w:val="21"/>
                <w:szCs w:val="21"/>
              </w:rPr>
              <w:t>）</w:t>
            </w:r>
          </w:p>
        </w:tc>
      </w:tr>
      <w:tr w:rsidR="00A67F21" w:rsidRPr="00B12FE0" w14:paraId="41B45E44"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45BA388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w:t>
            </w:r>
          </w:p>
        </w:tc>
        <w:tc>
          <w:tcPr>
            <w:tcW w:w="1502" w:type="dxa"/>
            <w:vMerge w:val="restart"/>
            <w:tcBorders>
              <w:top w:val="single" w:sz="4" w:space="0" w:color="auto"/>
              <w:left w:val="single" w:sz="4" w:space="0" w:color="auto"/>
              <w:bottom w:val="single" w:sz="4" w:space="0" w:color="auto"/>
              <w:right w:val="single" w:sz="4" w:space="0" w:color="auto"/>
            </w:tcBorders>
            <w:vAlign w:val="center"/>
          </w:tcPr>
          <w:p w14:paraId="1417B56A" w14:textId="77777777" w:rsidR="00A67F21" w:rsidRPr="00B12FE0" w:rsidRDefault="00000000">
            <w:pPr>
              <w:tabs>
                <w:tab w:val="left" w:pos="13020"/>
              </w:tabs>
              <w:jc w:val="center"/>
              <w:rPr>
                <w:color w:val="000000" w:themeColor="text1"/>
                <w:sz w:val="21"/>
                <w:szCs w:val="21"/>
              </w:rPr>
            </w:pPr>
            <w:proofErr w:type="gramStart"/>
            <w:r w:rsidRPr="00B12FE0">
              <w:rPr>
                <w:color w:val="000000" w:themeColor="text1"/>
                <w:sz w:val="21"/>
                <w:szCs w:val="21"/>
              </w:rPr>
              <w:t>高活室</w:t>
            </w:r>
            <w:proofErr w:type="gramEnd"/>
          </w:p>
        </w:tc>
        <w:tc>
          <w:tcPr>
            <w:tcW w:w="2694" w:type="dxa"/>
            <w:tcBorders>
              <w:top w:val="single" w:sz="4" w:space="0" w:color="auto"/>
              <w:left w:val="single" w:sz="4" w:space="0" w:color="auto"/>
              <w:bottom w:val="single" w:sz="4" w:space="0" w:color="auto"/>
              <w:right w:val="single" w:sz="4" w:space="0" w:color="auto"/>
            </w:tcBorders>
            <w:vAlign w:val="center"/>
          </w:tcPr>
          <w:p w14:paraId="6C976E9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地面</w:t>
            </w:r>
          </w:p>
        </w:tc>
        <w:tc>
          <w:tcPr>
            <w:tcW w:w="1984" w:type="dxa"/>
            <w:tcBorders>
              <w:top w:val="single" w:sz="4" w:space="0" w:color="auto"/>
              <w:left w:val="single" w:sz="4" w:space="0" w:color="auto"/>
              <w:bottom w:val="single" w:sz="4" w:space="0" w:color="auto"/>
              <w:right w:val="single" w:sz="4" w:space="0" w:color="auto"/>
            </w:tcBorders>
            <w:vAlign w:val="center"/>
          </w:tcPr>
          <w:p w14:paraId="087A4A7C"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5688305E"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1001B47A"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3F91218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2</w:t>
            </w:r>
          </w:p>
        </w:tc>
        <w:tc>
          <w:tcPr>
            <w:tcW w:w="1502" w:type="dxa"/>
            <w:vMerge/>
            <w:tcBorders>
              <w:top w:val="single" w:sz="4" w:space="0" w:color="auto"/>
              <w:left w:val="single" w:sz="4" w:space="0" w:color="auto"/>
              <w:bottom w:val="single" w:sz="4" w:space="0" w:color="auto"/>
              <w:right w:val="single" w:sz="4" w:space="0" w:color="auto"/>
            </w:tcBorders>
            <w:vAlign w:val="center"/>
          </w:tcPr>
          <w:p w14:paraId="3DC13009"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375C8EE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墙面</w:t>
            </w:r>
          </w:p>
        </w:tc>
        <w:tc>
          <w:tcPr>
            <w:tcW w:w="1984" w:type="dxa"/>
            <w:tcBorders>
              <w:top w:val="single" w:sz="4" w:space="0" w:color="auto"/>
              <w:left w:val="single" w:sz="4" w:space="0" w:color="auto"/>
              <w:bottom w:val="single" w:sz="4" w:space="0" w:color="auto"/>
              <w:right w:val="single" w:sz="4" w:space="0" w:color="auto"/>
            </w:tcBorders>
            <w:vAlign w:val="center"/>
          </w:tcPr>
          <w:p w14:paraId="74E21DC2"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219C9B62"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73A9B123"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2C7576CD"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3</w:t>
            </w:r>
          </w:p>
        </w:tc>
        <w:tc>
          <w:tcPr>
            <w:tcW w:w="1502" w:type="dxa"/>
            <w:vMerge/>
            <w:tcBorders>
              <w:top w:val="single" w:sz="4" w:space="0" w:color="auto"/>
              <w:left w:val="single" w:sz="4" w:space="0" w:color="auto"/>
              <w:bottom w:val="single" w:sz="4" w:space="0" w:color="auto"/>
              <w:right w:val="single" w:sz="4" w:space="0" w:color="auto"/>
            </w:tcBorders>
            <w:vAlign w:val="center"/>
          </w:tcPr>
          <w:p w14:paraId="315B5F14"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195B5C7B"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工作台面</w:t>
            </w:r>
          </w:p>
        </w:tc>
        <w:tc>
          <w:tcPr>
            <w:tcW w:w="1984" w:type="dxa"/>
            <w:tcBorders>
              <w:top w:val="single" w:sz="4" w:space="0" w:color="auto"/>
              <w:left w:val="single" w:sz="4" w:space="0" w:color="auto"/>
              <w:bottom w:val="single" w:sz="4" w:space="0" w:color="auto"/>
              <w:right w:val="single" w:sz="4" w:space="0" w:color="auto"/>
            </w:tcBorders>
            <w:vAlign w:val="center"/>
          </w:tcPr>
          <w:p w14:paraId="60F7A8D5"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1814DE87"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0E1E543D"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4FFD9296"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w:t>
            </w:r>
          </w:p>
        </w:tc>
        <w:tc>
          <w:tcPr>
            <w:tcW w:w="1502" w:type="dxa"/>
            <w:vMerge/>
            <w:tcBorders>
              <w:top w:val="single" w:sz="4" w:space="0" w:color="auto"/>
              <w:left w:val="single" w:sz="4" w:space="0" w:color="auto"/>
              <w:bottom w:val="single" w:sz="4" w:space="0" w:color="auto"/>
              <w:right w:val="single" w:sz="4" w:space="0" w:color="auto"/>
            </w:tcBorders>
            <w:vAlign w:val="center"/>
          </w:tcPr>
          <w:p w14:paraId="4DED5C88"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2603B7A8"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座椅表面</w:t>
            </w:r>
          </w:p>
        </w:tc>
        <w:tc>
          <w:tcPr>
            <w:tcW w:w="1984" w:type="dxa"/>
            <w:tcBorders>
              <w:top w:val="single" w:sz="4" w:space="0" w:color="auto"/>
              <w:left w:val="single" w:sz="4" w:space="0" w:color="auto"/>
              <w:bottom w:val="single" w:sz="4" w:space="0" w:color="auto"/>
              <w:right w:val="single" w:sz="4" w:space="0" w:color="auto"/>
            </w:tcBorders>
            <w:vAlign w:val="center"/>
          </w:tcPr>
          <w:p w14:paraId="77A9713C"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3A69F66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3C31528E"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3C926FF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5</w:t>
            </w:r>
          </w:p>
        </w:tc>
        <w:tc>
          <w:tcPr>
            <w:tcW w:w="1502" w:type="dxa"/>
            <w:vMerge/>
            <w:tcBorders>
              <w:top w:val="single" w:sz="4" w:space="0" w:color="auto"/>
              <w:left w:val="single" w:sz="4" w:space="0" w:color="auto"/>
              <w:bottom w:val="single" w:sz="4" w:space="0" w:color="auto"/>
              <w:right w:val="single" w:sz="4" w:space="0" w:color="auto"/>
            </w:tcBorders>
            <w:vAlign w:val="center"/>
          </w:tcPr>
          <w:p w14:paraId="58DD4AD7"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3C8CEF3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通风柜表面</w:t>
            </w:r>
          </w:p>
        </w:tc>
        <w:tc>
          <w:tcPr>
            <w:tcW w:w="1984" w:type="dxa"/>
            <w:tcBorders>
              <w:top w:val="single" w:sz="4" w:space="0" w:color="auto"/>
              <w:left w:val="single" w:sz="4" w:space="0" w:color="auto"/>
              <w:bottom w:val="single" w:sz="4" w:space="0" w:color="auto"/>
              <w:right w:val="single" w:sz="4" w:space="0" w:color="auto"/>
            </w:tcBorders>
            <w:vAlign w:val="center"/>
          </w:tcPr>
          <w:p w14:paraId="05C244BD"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08D3B0C6"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6F97CFE3"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4B38D50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6</w:t>
            </w:r>
          </w:p>
        </w:tc>
        <w:tc>
          <w:tcPr>
            <w:tcW w:w="1502" w:type="dxa"/>
            <w:vMerge/>
            <w:tcBorders>
              <w:top w:val="single" w:sz="4" w:space="0" w:color="auto"/>
              <w:left w:val="single" w:sz="4" w:space="0" w:color="auto"/>
              <w:bottom w:val="single" w:sz="4" w:space="0" w:color="auto"/>
              <w:right w:val="single" w:sz="4" w:space="0" w:color="auto"/>
            </w:tcBorders>
            <w:vAlign w:val="center"/>
          </w:tcPr>
          <w:p w14:paraId="5E510CF0"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666A312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门表面</w:t>
            </w:r>
          </w:p>
        </w:tc>
        <w:tc>
          <w:tcPr>
            <w:tcW w:w="1984" w:type="dxa"/>
            <w:tcBorders>
              <w:top w:val="single" w:sz="4" w:space="0" w:color="auto"/>
              <w:left w:val="single" w:sz="4" w:space="0" w:color="auto"/>
              <w:bottom w:val="single" w:sz="4" w:space="0" w:color="auto"/>
              <w:right w:val="single" w:sz="4" w:space="0" w:color="auto"/>
            </w:tcBorders>
            <w:vAlign w:val="center"/>
          </w:tcPr>
          <w:p w14:paraId="12EC501B"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0EC9D25C"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3FBA15FB"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2E0F27B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7</w:t>
            </w:r>
          </w:p>
        </w:tc>
        <w:tc>
          <w:tcPr>
            <w:tcW w:w="1502" w:type="dxa"/>
            <w:vMerge/>
            <w:tcBorders>
              <w:top w:val="single" w:sz="4" w:space="0" w:color="auto"/>
              <w:left w:val="single" w:sz="4" w:space="0" w:color="auto"/>
              <w:bottom w:val="single" w:sz="4" w:space="0" w:color="auto"/>
              <w:right w:val="single" w:sz="4" w:space="0" w:color="auto"/>
            </w:tcBorders>
            <w:vAlign w:val="center"/>
          </w:tcPr>
          <w:p w14:paraId="1673287E"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5AE5262A"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门把手表面</w:t>
            </w:r>
          </w:p>
        </w:tc>
        <w:tc>
          <w:tcPr>
            <w:tcW w:w="1984" w:type="dxa"/>
            <w:tcBorders>
              <w:top w:val="single" w:sz="4" w:space="0" w:color="auto"/>
              <w:left w:val="single" w:sz="4" w:space="0" w:color="auto"/>
              <w:bottom w:val="single" w:sz="4" w:space="0" w:color="auto"/>
              <w:right w:val="single" w:sz="4" w:space="0" w:color="auto"/>
            </w:tcBorders>
            <w:vAlign w:val="center"/>
          </w:tcPr>
          <w:p w14:paraId="23F60289"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2FCBFD1D"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3647A980"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60EA0CDB"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8</w:t>
            </w:r>
          </w:p>
        </w:tc>
        <w:tc>
          <w:tcPr>
            <w:tcW w:w="1502" w:type="dxa"/>
            <w:vMerge/>
            <w:tcBorders>
              <w:top w:val="single" w:sz="4" w:space="0" w:color="auto"/>
              <w:left w:val="single" w:sz="4" w:space="0" w:color="auto"/>
              <w:bottom w:val="single" w:sz="4" w:space="0" w:color="auto"/>
              <w:right w:val="single" w:sz="4" w:space="0" w:color="auto"/>
            </w:tcBorders>
            <w:vAlign w:val="center"/>
          </w:tcPr>
          <w:p w14:paraId="0DFC2320"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1CDC35E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垃圾桶表面</w:t>
            </w:r>
          </w:p>
        </w:tc>
        <w:tc>
          <w:tcPr>
            <w:tcW w:w="1984" w:type="dxa"/>
            <w:tcBorders>
              <w:top w:val="single" w:sz="4" w:space="0" w:color="auto"/>
              <w:left w:val="single" w:sz="4" w:space="0" w:color="auto"/>
              <w:bottom w:val="single" w:sz="4" w:space="0" w:color="auto"/>
              <w:right w:val="single" w:sz="4" w:space="0" w:color="auto"/>
            </w:tcBorders>
            <w:vAlign w:val="center"/>
          </w:tcPr>
          <w:p w14:paraId="470BB581"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273EFB9E"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4E1B1A26"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763E69D0"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9</w:t>
            </w:r>
          </w:p>
        </w:tc>
        <w:tc>
          <w:tcPr>
            <w:tcW w:w="1502" w:type="dxa"/>
            <w:vMerge/>
            <w:tcBorders>
              <w:top w:val="single" w:sz="4" w:space="0" w:color="auto"/>
              <w:left w:val="single" w:sz="4" w:space="0" w:color="auto"/>
              <w:bottom w:val="single" w:sz="4" w:space="0" w:color="auto"/>
              <w:right w:val="single" w:sz="4" w:space="0" w:color="auto"/>
            </w:tcBorders>
            <w:vAlign w:val="center"/>
          </w:tcPr>
          <w:p w14:paraId="536E5A5B"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4B8D306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柜子表面</w:t>
            </w:r>
          </w:p>
        </w:tc>
        <w:tc>
          <w:tcPr>
            <w:tcW w:w="1984" w:type="dxa"/>
            <w:tcBorders>
              <w:top w:val="single" w:sz="4" w:space="0" w:color="auto"/>
              <w:left w:val="single" w:sz="4" w:space="0" w:color="auto"/>
              <w:bottom w:val="single" w:sz="4" w:space="0" w:color="auto"/>
              <w:right w:val="single" w:sz="4" w:space="0" w:color="auto"/>
            </w:tcBorders>
            <w:vAlign w:val="center"/>
          </w:tcPr>
          <w:p w14:paraId="02867CA5"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7C68734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791F60B9"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00C70CE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10</w:t>
            </w:r>
          </w:p>
        </w:tc>
        <w:tc>
          <w:tcPr>
            <w:tcW w:w="1502" w:type="dxa"/>
            <w:vMerge/>
            <w:tcBorders>
              <w:top w:val="single" w:sz="4" w:space="0" w:color="auto"/>
              <w:left w:val="single" w:sz="4" w:space="0" w:color="auto"/>
              <w:bottom w:val="single" w:sz="4" w:space="0" w:color="auto"/>
              <w:right w:val="single" w:sz="4" w:space="0" w:color="auto"/>
            </w:tcBorders>
            <w:vAlign w:val="center"/>
          </w:tcPr>
          <w:p w14:paraId="6F47DA3A"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328BE61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废物柜表面</w:t>
            </w:r>
          </w:p>
        </w:tc>
        <w:tc>
          <w:tcPr>
            <w:tcW w:w="1984" w:type="dxa"/>
            <w:tcBorders>
              <w:top w:val="single" w:sz="4" w:space="0" w:color="auto"/>
              <w:left w:val="single" w:sz="4" w:space="0" w:color="auto"/>
              <w:bottom w:val="single" w:sz="4" w:space="0" w:color="auto"/>
              <w:right w:val="single" w:sz="4" w:space="0" w:color="auto"/>
            </w:tcBorders>
            <w:vAlign w:val="center"/>
          </w:tcPr>
          <w:p w14:paraId="3C080CCD"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1BDFF0A3"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4CBF5A96"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43CE8C4C"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11</w:t>
            </w:r>
          </w:p>
        </w:tc>
        <w:tc>
          <w:tcPr>
            <w:tcW w:w="1502" w:type="dxa"/>
            <w:vMerge/>
            <w:tcBorders>
              <w:top w:val="single" w:sz="4" w:space="0" w:color="auto"/>
              <w:left w:val="single" w:sz="4" w:space="0" w:color="auto"/>
              <w:bottom w:val="single" w:sz="4" w:space="0" w:color="auto"/>
              <w:right w:val="single" w:sz="4" w:space="0" w:color="auto"/>
            </w:tcBorders>
            <w:vAlign w:val="center"/>
          </w:tcPr>
          <w:p w14:paraId="65E91972"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3A822273"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洗手池表面</w:t>
            </w:r>
          </w:p>
        </w:tc>
        <w:tc>
          <w:tcPr>
            <w:tcW w:w="1984" w:type="dxa"/>
            <w:tcBorders>
              <w:top w:val="single" w:sz="4" w:space="0" w:color="auto"/>
              <w:left w:val="single" w:sz="4" w:space="0" w:color="auto"/>
              <w:bottom w:val="single" w:sz="4" w:space="0" w:color="auto"/>
              <w:right w:val="single" w:sz="4" w:space="0" w:color="auto"/>
            </w:tcBorders>
            <w:vAlign w:val="center"/>
          </w:tcPr>
          <w:p w14:paraId="2D706F2B"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4D6592D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3DAEE428"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6402F878"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lastRenderedPageBreak/>
              <w:t>12</w:t>
            </w:r>
          </w:p>
        </w:tc>
        <w:tc>
          <w:tcPr>
            <w:tcW w:w="1502" w:type="dxa"/>
            <w:vMerge/>
            <w:tcBorders>
              <w:top w:val="single" w:sz="4" w:space="0" w:color="auto"/>
              <w:left w:val="single" w:sz="4" w:space="0" w:color="auto"/>
              <w:bottom w:val="single" w:sz="4" w:space="0" w:color="auto"/>
              <w:right w:val="single" w:sz="4" w:space="0" w:color="auto"/>
            </w:tcBorders>
            <w:vAlign w:val="center"/>
          </w:tcPr>
          <w:p w14:paraId="6102F479"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4969C0D7"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水池表面</w:t>
            </w:r>
          </w:p>
        </w:tc>
        <w:tc>
          <w:tcPr>
            <w:tcW w:w="1984" w:type="dxa"/>
            <w:tcBorders>
              <w:top w:val="single" w:sz="4" w:space="0" w:color="auto"/>
              <w:left w:val="single" w:sz="4" w:space="0" w:color="auto"/>
              <w:bottom w:val="single" w:sz="4" w:space="0" w:color="auto"/>
              <w:right w:val="single" w:sz="4" w:space="0" w:color="auto"/>
            </w:tcBorders>
            <w:vAlign w:val="center"/>
          </w:tcPr>
          <w:p w14:paraId="7917CDBF"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213D09D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1F6F8975"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797399B6"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13</w:t>
            </w:r>
          </w:p>
        </w:tc>
        <w:tc>
          <w:tcPr>
            <w:tcW w:w="1502" w:type="dxa"/>
            <w:vMerge w:val="restart"/>
            <w:tcBorders>
              <w:top w:val="single" w:sz="4" w:space="0" w:color="auto"/>
              <w:left w:val="single" w:sz="4" w:space="0" w:color="auto"/>
              <w:bottom w:val="single" w:sz="4" w:space="0" w:color="auto"/>
              <w:right w:val="single" w:sz="4" w:space="0" w:color="auto"/>
            </w:tcBorders>
            <w:vAlign w:val="center"/>
          </w:tcPr>
          <w:p w14:paraId="62DCCA62"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同位素</w:t>
            </w:r>
            <w:r w:rsidRPr="00B12FE0">
              <w:rPr>
                <w:color w:val="000000" w:themeColor="text1"/>
                <w:sz w:val="21"/>
                <w:szCs w:val="21"/>
                <w:vertAlign w:val="superscript"/>
              </w:rPr>
              <w:t>32</w:t>
            </w:r>
            <w:r w:rsidRPr="00B12FE0">
              <w:rPr>
                <w:color w:val="000000" w:themeColor="text1"/>
                <w:sz w:val="21"/>
                <w:szCs w:val="21"/>
              </w:rPr>
              <w:t>P</w:t>
            </w:r>
            <w:r w:rsidRPr="00B12FE0">
              <w:rPr>
                <w:color w:val="000000" w:themeColor="text1"/>
                <w:sz w:val="21"/>
                <w:szCs w:val="21"/>
              </w:rPr>
              <w:t>敷贴治疗室</w:t>
            </w:r>
          </w:p>
        </w:tc>
        <w:tc>
          <w:tcPr>
            <w:tcW w:w="2694" w:type="dxa"/>
            <w:tcBorders>
              <w:top w:val="single" w:sz="4" w:space="0" w:color="auto"/>
              <w:left w:val="single" w:sz="4" w:space="0" w:color="auto"/>
              <w:bottom w:val="single" w:sz="4" w:space="0" w:color="auto"/>
              <w:right w:val="single" w:sz="4" w:space="0" w:color="auto"/>
            </w:tcBorders>
            <w:vAlign w:val="center"/>
          </w:tcPr>
          <w:p w14:paraId="4B4D07C3"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地面</w:t>
            </w:r>
          </w:p>
        </w:tc>
        <w:tc>
          <w:tcPr>
            <w:tcW w:w="1984" w:type="dxa"/>
            <w:tcBorders>
              <w:top w:val="single" w:sz="4" w:space="0" w:color="auto"/>
              <w:left w:val="single" w:sz="4" w:space="0" w:color="auto"/>
              <w:bottom w:val="single" w:sz="4" w:space="0" w:color="auto"/>
              <w:right w:val="single" w:sz="4" w:space="0" w:color="auto"/>
            </w:tcBorders>
            <w:vAlign w:val="center"/>
          </w:tcPr>
          <w:p w14:paraId="652FAED6"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71533044"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7D6BD471"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14F8FE96"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14</w:t>
            </w:r>
          </w:p>
        </w:tc>
        <w:tc>
          <w:tcPr>
            <w:tcW w:w="1502" w:type="dxa"/>
            <w:vMerge/>
            <w:tcBorders>
              <w:top w:val="single" w:sz="4" w:space="0" w:color="auto"/>
              <w:left w:val="single" w:sz="4" w:space="0" w:color="auto"/>
              <w:bottom w:val="single" w:sz="4" w:space="0" w:color="auto"/>
              <w:right w:val="single" w:sz="4" w:space="0" w:color="auto"/>
            </w:tcBorders>
            <w:vAlign w:val="center"/>
          </w:tcPr>
          <w:p w14:paraId="2F4B72FF"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7C876472"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墙面</w:t>
            </w:r>
          </w:p>
        </w:tc>
        <w:tc>
          <w:tcPr>
            <w:tcW w:w="1984" w:type="dxa"/>
            <w:tcBorders>
              <w:top w:val="single" w:sz="4" w:space="0" w:color="auto"/>
              <w:left w:val="single" w:sz="4" w:space="0" w:color="auto"/>
              <w:bottom w:val="single" w:sz="4" w:space="0" w:color="auto"/>
              <w:right w:val="single" w:sz="4" w:space="0" w:color="auto"/>
            </w:tcBorders>
            <w:vAlign w:val="center"/>
          </w:tcPr>
          <w:p w14:paraId="71255203"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3FC82CC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0FA80D3E"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2CC1EBB0"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15</w:t>
            </w:r>
          </w:p>
        </w:tc>
        <w:tc>
          <w:tcPr>
            <w:tcW w:w="1502" w:type="dxa"/>
            <w:vMerge/>
            <w:tcBorders>
              <w:top w:val="single" w:sz="4" w:space="0" w:color="auto"/>
              <w:left w:val="single" w:sz="4" w:space="0" w:color="auto"/>
              <w:bottom w:val="single" w:sz="4" w:space="0" w:color="auto"/>
              <w:right w:val="single" w:sz="4" w:space="0" w:color="auto"/>
            </w:tcBorders>
            <w:vAlign w:val="center"/>
          </w:tcPr>
          <w:p w14:paraId="267B8380"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6B7080B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门表面</w:t>
            </w:r>
          </w:p>
        </w:tc>
        <w:tc>
          <w:tcPr>
            <w:tcW w:w="1984" w:type="dxa"/>
            <w:tcBorders>
              <w:top w:val="single" w:sz="4" w:space="0" w:color="auto"/>
              <w:left w:val="single" w:sz="4" w:space="0" w:color="auto"/>
              <w:bottom w:val="single" w:sz="4" w:space="0" w:color="auto"/>
              <w:right w:val="single" w:sz="4" w:space="0" w:color="auto"/>
            </w:tcBorders>
            <w:vAlign w:val="center"/>
          </w:tcPr>
          <w:p w14:paraId="5605F32C"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3D4EB5FA"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3C9AC8A3"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3D10B9B2"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16</w:t>
            </w:r>
          </w:p>
        </w:tc>
        <w:tc>
          <w:tcPr>
            <w:tcW w:w="1502" w:type="dxa"/>
            <w:vMerge/>
            <w:tcBorders>
              <w:top w:val="single" w:sz="4" w:space="0" w:color="auto"/>
              <w:left w:val="single" w:sz="4" w:space="0" w:color="auto"/>
              <w:bottom w:val="single" w:sz="4" w:space="0" w:color="auto"/>
              <w:right w:val="single" w:sz="4" w:space="0" w:color="auto"/>
            </w:tcBorders>
            <w:vAlign w:val="center"/>
          </w:tcPr>
          <w:p w14:paraId="45B0C804"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29F61FF0"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门把手表面</w:t>
            </w:r>
          </w:p>
        </w:tc>
        <w:tc>
          <w:tcPr>
            <w:tcW w:w="1984" w:type="dxa"/>
            <w:tcBorders>
              <w:top w:val="single" w:sz="4" w:space="0" w:color="auto"/>
              <w:left w:val="single" w:sz="4" w:space="0" w:color="auto"/>
              <w:bottom w:val="single" w:sz="4" w:space="0" w:color="auto"/>
              <w:right w:val="single" w:sz="4" w:space="0" w:color="auto"/>
            </w:tcBorders>
            <w:vAlign w:val="center"/>
          </w:tcPr>
          <w:p w14:paraId="623415E6"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0338FEFC"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≤40</w:t>
            </w:r>
          </w:p>
        </w:tc>
      </w:tr>
      <w:tr w:rsidR="00A67F21" w:rsidRPr="00B12FE0" w14:paraId="4517DBED"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190FECD0"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17</w:t>
            </w:r>
          </w:p>
        </w:tc>
        <w:tc>
          <w:tcPr>
            <w:tcW w:w="1502" w:type="dxa"/>
            <w:vMerge w:val="restart"/>
            <w:tcBorders>
              <w:top w:val="single" w:sz="4" w:space="0" w:color="auto"/>
              <w:left w:val="single" w:sz="4" w:space="0" w:color="auto"/>
              <w:bottom w:val="single" w:sz="4" w:space="0" w:color="auto"/>
              <w:right w:val="single" w:sz="4" w:space="0" w:color="auto"/>
            </w:tcBorders>
            <w:vAlign w:val="center"/>
          </w:tcPr>
          <w:p w14:paraId="12FC98A5"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工作人员</w:t>
            </w:r>
          </w:p>
        </w:tc>
        <w:tc>
          <w:tcPr>
            <w:tcW w:w="2694" w:type="dxa"/>
            <w:tcBorders>
              <w:top w:val="single" w:sz="4" w:space="0" w:color="auto"/>
              <w:left w:val="single" w:sz="4" w:space="0" w:color="auto"/>
              <w:bottom w:val="single" w:sz="4" w:space="0" w:color="auto"/>
              <w:right w:val="single" w:sz="4" w:space="0" w:color="auto"/>
            </w:tcBorders>
            <w:vAlign w:val="center"/>
          </w:tcPr>
          <w:p w14:paraId="7F78A47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手表面</w:t>
            </w:r>
          </w:p>
        </w:tc>
        <w:tc>
          <w:tcPr>
            <w:tcW w:w="1984" w:type="dxa"/>
            <w:tcBorders>
              <w:top w:val="single" w:sz="4" w:space="0" w:color="auto"/>
              <w:left w:val="single" w:sz="4" w:space="0" w:color="auto"/>
              <w:bottom w:val="single" w:sz="4" w:space="0" w:color="auto"/>
              <w:right w:val="single" w:sz="4" w:space="0" w:color="auto"/>
            </w:tcBorders>
            <w:vAlign w:val="center"/>
          </w:tcPr>
          <w:p w14:paraId="52496D39"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65F00C6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≤0.4</w:t>
            </w:r>
          </w:p>
        </w:tc>
      </w:tr>
      <w:tr w:rsidR="00A67F21" w:rsidRPr="00B12FE0" w14:paraId="05FDECAB"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3F5CE226"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18</w:t>
            </w:r>
          </w:p>
        </w:tc>
        <w:tc>
          <w:tcPr>
            <w:tcW w:w="1502" w:type="dxa"/>
            <w:vMerge/>
            <w:tcBorders>
              <w:top w:val="single" w:sz="4" w:space="0" w:color="auto"/>
              <w:left w:val="single" w:sz="4" w:space="0" w:color="auto"/>
              <w:bottom w:val="single" w:sz="4" w:space="0" w:color="auto"/>
              <w:right w:val="single" w:sz="4" w:space="0" w:color="auto"/>
            </w:tcBorders>
            <w:vAlign w:val="center"/>
          </w:tcPr>
          <w:p w14:paraId="695C977B"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202C350F"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衣服表面</w:t>
            </w:r>
          </w:p>
        </w:tc>
        <w:tc>
          <w:tcPr>
            <w:tcW w:w="1984" w:type="dxa"/>
            <w:tcBorders>
              <w:top w:val="single" w:sz="4" w:space="0" w:color="auto"/>
              <w:left w:val="single" w:sz="4" w:space="0" w:color="auto"/>
              <w:bottom w:val="single" w:sz="4" w:space="0" w:color="auto"/>
              <w:right w:val="single" w:sz="4" w:space="0" w:color="auto"/>
            </w:tcBorders>
            <w:vAlign w:val="center"/>
          </w:tcPr>
          <w:p w14:paraId="5AFC3F17"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1A0D2981"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w:t>
            </w:r>
          </w:p>
        </w:tc>
      </w:tr>
      <w:tr w:rsidR="00A67F21" w:rsidRPr="00B12FE0" w14:paraId="60EE246D" w14:textId="77777777">
        <w:trPr>
          <w:trHeight w:hRule="exact" w:val="510"/>
          <w:jc w:val="center"/>
        </w:trPr>
        <w:tc>
          <w:tcPr>
            <w:tcW w:w="763" w:type="dxa"/>
            <w:tcBorders>
              <w:top w:val="single" w:sz="4" w:space="0" w:color="auto"/>
              <w:left w:val="single" w:sz="4" w:space="0" w:color="auto"/>
              <w:bottom w:val="single" w:sz="4" w:space="0" w:color="auto"/>
              <w:right w:val="single" w:sz="4" w:space="0" w:color="auto"/>
            </w:tcBorders>
            <w:vAlign w:val="center"/>
          </w:tcPr>
          <w:p w14:paraId="796D1570"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19</w:t>
            </w:r>
          </w:p>
        </w:tc>
        <w:tc>
          <w:tcPr>
            <w:tcW w:w="1502" w:type="dxa"/>
            <w:vMerge/>
            <w:tcBorders>
              <w:top w:val="single" w:sz="4" w:space="0" w:color="auto"/>
              <w:left w:val="single" w:sz="4" w:space="0" w:color="auto"/>
              <w:bottom w:val="single" w:sz="4" w:space="0" w:color="auto"/>
              <w:right w:val="single" w:sz="4" w:space="0" w:color="auto"/>
            </w:tcBorders>
            <w:vAlign w:val="center"/>
          </w:tcPr>
          <w:p w14:paraId="68DC682A" w14:textId="77777777" w:rsidR="00A67F21" w:rsidRPr="00B12FE0" w:rsidRDefault="00A67F21">
            <w:pPr>
              <w:widowControl/>
              <w:jc w:val="left"/>
              <w:rPr>
                <w:color w:val="000000" w:themeColor="text1"/>
                <w:sz w:val="21"/>
                <w:szCs w:val="21"/>
              </w:rPr>
            </w:pPr>
          </w:p>
        </w:tc>
        <w:tc>
          <w:tcPr>
            <w:tcW w:w="2694" w:type="dxa"/>
            <w:tcBorders>
              <w:top w:val="single" w:sz="4" w:space="0" w:color="auto"/>
              <w:left w:val="single" w:sz="4" w:space="0" w:color="auto"/>
              <w:bottom w:val="single" w:sz="4" w:space="0" w:color="auto"/>
              <w:right w:val="single" w:sz="4" w:space="0" w:color="auto"/>
            </w:tcBorders>
            <w:vAlign w:val="center"/>
          </w:tcPr>
          <w:p w14:paraId="6A950479"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鞋表面</w:t>
            </w:r>
          </w:p>
        </w:tc>
        <w:tc>
          <w:tcPr>
            <w:tcW w:w="1984" w:type="dxa"/>
            <w:tcBorders>
              <w:top w:val="single" w:sz="4" w:space="0" w:color="auto"/>
              <w:left w:val="single" w:sz="4" w:space="0" w:color="auto"/>
              <w:bottom w:val="single" w:sz="4" w:space="0" w:color="auto"/>
              <w:right w:val="single" w:sz="4" w:space="0" w:color="auto"/>
            </w:tcBorders>
            <w:vAlign w:val="center"/>
          </w:tcPr>
          <w:p w14:paraId="71D98167"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color w:val="000000" w:themeColor="text1"/>
                <w:sz w:val="21"/>
                <w:szCs w:val="21"/>
              </w:rPr>
              <w:t>0.25</w:t>
            </w:r>
          </w:p>
        </w:tc>
        <w:tc>
          <w:tcPr>
            <w:tcW w:w="1874" w:type="dxa"/>
            <w:tcBorders>
              <w:top w:val="single" w:sz="4" w:space="0" w:color="auto"/>
              <w:left w:val="single" w:sz="4" w:space="0" w:color="auto"/>
              <w:bottom w:val="single" w:sz="4" w:space="0" w:color="auto"/>
              <w:right w:val="single" w:sz="4" w:space="0" w:color="auto"/>
            </w:tcBorders>
            <w:vAlign w:val="center"/>
          </w:tcPr>
          <w:p w14:paraId="40463864" w14:textId="77777777" w:rsidR="00A67F21" w:rsidRPr="00B12FE0" w:rsidRDefault="00000000">
            <w:pPr>
              <w:tabs>
                <w:tab w:val="left" w:pos="13020"/>
              </w:tabs>
              <w:jc w:val="center"/>
              <w:rPr>
                <w:color w:val="000000" w:themeColor="text1"/>
                <w:sz w:val="21"/>
                <w:szCs w:val="21"/>
              </w:rPr>
            </w:pPr>
            <w:r w:rsidRPr="00B12FE0">
              <w:rPr>
                <w:color w:val="000000" w:themeColor="text1"/>
                <w:sz w:val="21"/>
                <w:szCs w:val="21"/>
              </w:rPr>
              <w:t>≤4</w:t>
            </w:r>
          </w:p>
        </w:tc>
      </w:tr>
    </w:tbl>
    <w:p w14:paraId="2AF84A1B" w14:textId="77777777" w:rsidR="00A67F21" w:rsidRPr="00B12FE0" w:rsidRDefault="00000000">
      <w:pPr>
        <w:topLinePunct/>
        <w:autoSpaceDE w:val="0"/>
        <w:adjustRightInd w:val="0"/>
        <w:snapToGrid w:val="0"/>
        <w:spacing w:line="360" w:lineRule="auto"/>
        <w:ind w:firstLineChars="200" w:firstLine="480"/>
        <w:rPr>
          <w:color w:val="000000" w:themeColor="text1"/>
          <w:szCs w:val="36"/>
        </w:rPr>
      </w:pPr>
      <w:r w:rsidRPr="00B12FE0">
        <w:rPr>
          <w:rFonts w:hint="eastAsia"/>
          <w:color w:val="000000" w:themeColor="text1"/>
        </w:rPr>
        <w:t>武警浙江省总队杭州医院非密封放射性物质（</w:t>
      </w:r>
      <w:r w:rsidRPr="00B12FE0">
        <w:rPr>
          <w:color w:val="000000" w:themeColor="text1"/>
          <w:vertAlign w:val="superscript"/>
        </w:rPr>
        <w:t>32</w:t>
      </w:r>
      <w:r w:rsidRPr="00B12FE0">
        <w:rPr>
          <w:color w:val="000000" w:themeColor="text1"/>
        </w:rPr>
        <w:t>P</w:t>
      </w:r>
      <w:r w:rsidRPr="00B12FE0">
        <w:rPr>
          <w:rFonts w:hint="eastAsia"/>
          <w:color w:val="000000" w:themeColor="text1"/>
        </w:rPr>
        <w:t>）工作场所检测点位检测结果均小于监测下限。</w:t>
      </w:r>
      <w:r w:rsidRPr="00B12FE0">
        <w:rPr>
          <w:rFonts w:hint="eastAsia"/>
          <w:color w:val="000000" w:themeColor="text1"/>
          <w:szCs w:val="32"/>
        </w:rPr>
        <w:t>该</w:t>
      </w:r>
      <w:r w:rsidRPr="00B12FE0">
        <w:rPr>
          <w:rFonts w:hint="eastAsia"/>
          <w:color w:val="000000" w:themeColor="text1"/>
        </w:rPr>
        <w:t>非密封放射性物质工作场所均</w:t>
      </w:r>
      <w:r w:rsidRPr="00B12FE0">
        <w:rPr>
          <w:rFonts w:hint="eastAsia"/>
          <w:color w:val="000000" w:themeColor="text1"/>
          <w:szCs w:val="36"/>
        </w:rPr>
        <w:t>符合《电离辐射防护与辐射源安全基本标准》（</w:t>
      </w:r>
      <w:r w:rsidRPr="00B12FE0">
        <w:rPr>
          <w:color w:val="000000" w:themeColor="text1"/>
          <w:szCs w:val="36"/>
        </w:rPr>
        <w:t>GB18871-2002</w:t>
      </w:r>
      <w:r w:rsidRPr="00B12FE0">
        <w:rPr>
          <w:rFonts w:hint="eastAsia"/>
          <w:color w:val="000000" w:themeColor="text1"/>
          <w:szCs w:val="36"/>
        </w:rPr>
        <w:t>）规定的控制区</w:t>
      </w:r>
      <w:r w:rsidRPr="00B12FE0">
        <w:rPr>
          <w:color w:val="000000" w:themeColor="text1"/>
          <w:szCs w:val="36"/>
        </w:rPr>
        <w:t>β</w:t>
      </w:r>
      <w:r w:rsidRPr="00B12FE0">
        <w:rPr>
          <w:rFonts w:hint="eastAsia"/>
          <w:color w:val="000000" w:themeColor="text1"/>
          <w:szCs w:val="36"/>
        </w:rPr>
        <w:t>表面污染小于</w:t>
      </w:r>
      <w:r w:rsidRPr="00B12FE0">
        <w:rPr>
          <w:color w:val="000000" w:themeColor="text1"/>
          <w:szCs w:val="36"/>
        </w:rPr>
        <w:t>40Bq/cm</w:t>
      </w:r>
      <w:r w:rsidRPr="00B12FE0">
        <w:rPr>
          <w:color w:val="000000" w:themeColor="text1"/>
          <w:szCs w:val="36"/>
          <w:vertAlign w:val="superscript"/>
        </w:rPr>
        <w:t>2</w:t>
      </w:r>
      <w:r w:rsidRPr="00B12FE0">
        <w:rPr>
          <w:rFonts w:hint="eastAsia"/>
          <w:color w:val="000000" w:themeColor="text1"/>
          <w:szCs w:val="36"/>
        </w:rPr>
        <w:t>，监督区</w:t>
      </w:r>
      <w:r w:rsidRPr="00B12FE0">
        <w:rPr>
          <w:color w:val="000000" w:themeColor="text1"/>
          <w:szCs w:val="36"/>
        </w:rPr>
        <w:t>β</w:t>
      </w:r>
      <w:r w:rsidRPr="00B12FE0">
        <w:rPr>
          <w:rFonts w:hint="eastAsia"/>
          <w:color w:val="000000" w:themeColor="text1"/>
          <w:szCs w:val="36"/>
        </w:rPr>
        <w:t>表面污染小于</w:t>
      </w:r>
      <w:r w:rsidRPr="00B12FE0">
        <w:rPr>
          <w:color w:val="000000" w:themeColor="text1"/>
          <w:szCs w:val="36"/>
        </w:rPr>
        <w:t>4Bq/cm</w:t>
      </w:r>
      <w:r w:rsidRPr="00B12FE0">
        <w:rPr>
          <w:color w:val="000000" w:themeColor="text1"/>
          <w:szCs w:val="36"/>
          <w:vertAlign w:val="superscript"/>
        </w:rPr>
        <w:t>2</w:t>
      </w:r>
      <w:r w:rsidRPr="00B12FE0">
        <w:rPr>
          <w:rFonts w:hint="eastAsia"/>
          <w:color w:val="000000" w:themeColor="text1"/>
          <w:szCs w:val="36"/>
        </w:rPr>
        <w:t>要求；</w:t>
      </w:r>
    </w:p>
    <w:p w14:paraId="123FC5DA" w14:textId="77777777" w:rsidR="00A67F21" w:rsidRPr="00B12FE0" w:rsidRDefault="00000000">
      <w:pPr>
        <w:keepLines/>
        <w:topLinePunct/>
        <w:autoSpaceDE w:val="0"/>
        <w:adjustRightInd w:val="0"/>
        <w:snapToGrid w:val="0"/>
        <w:spacing w:line="360" w:lineRule="auto"/>
        <w:ind w:firstLineChars="200" w:firstLine="480"/>
        <w:rPr>
          <w:color w:val="000000" w:themeColor="text1"/>
        </w:rPr>
      </w:pPr>
      <w:r w:rsidRPr="00B12FE0">
        <w:rPr>
          <w:rFonts w:hint="eastAsia"/>
          <w:color w:val="000000" w:themeColor="text1"/>
          <w:szCs w:val="36"/>
        </w:rPr>
        <w:t>综上所述，医院在</w:t>
      </w:r>
      <w:r w:rsidRPr="00B12FE0">
        <w:rPr>
          <w:rFonts w:hint="eastAsia"/>
          <w:color w:val="000000" w:themeColor="text1"/>
          <w:kern w:val="0"/>
          <w:szCs w:val="32"/>
        </w:rPr>
        <w:t>落实相关屏蔽和辐射安全措施后，</w:t>
      </w:r>
      <w:r w:rsidRPr="00B12FE0">
        <w:rPr>
          <w:rFonts w:hint="eastAsia"/>
          <w:color w:val="000000" w:themeColor="text1"/>
          <w:szCs w:val="36"/>
        </w:rPr>
        <w:t>可以推测本项目运行时核医学科工作场所监督区和控制区</w:t>
      </w:r>
      <w:r w:rsidRPr="00B12FE0">
        <w:rPr>
          <w:color w:val="000000" w:themeColor="text1"/>
          <w:szCs w:val="36"/>
        </w:rPr>
        <w:t>β</w:t>
      </w:r>
      <w:r w:rsidRPr="00B12FE0">
        <w:rPr>
          <w:rFonts w:hint="eastAsia"/>
          <w:color w:val="000000" w:themeColor="text1"/>
          <w:szCs w:val="36"/>
        </w:rPr>
        <w:t>表面污染符合《电离辐射防护与辐射源安全基本标准》（</w:t>
      </w:r>
      <w:r w:rsidRPr="00B12FE0">
        <w:rPr>
          <w:color w:val="000000" w:themeColor="text1"/>
          <w:szCs w:val="36"/>
        </w:rPr>
        <w:t>GB18871-2002</w:t>
      </w:r>
      <w:r w:rsidRPr="00B12FE0">
        <w:rPr>
          <w:rFonts w:hint="eastAsia"/>
          <w:color w:val="000000" w:themeColor="text1"/>
          <w:szCs w:val="36"/>
        </w:rPr>
        <w:t>）相关标准。</w:t>
      </w:r>
    </w:p>
    <w:p w14:paraId="33960015" w14:textId="77777777" w:rsidR="00A67F21" w:rsidRPr="00B12FE0" w:rsidRDefault="00000000">
      <w:pPr>
        <w:snapToGrid w:val="0"/>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2</w:t>
      </w:r>
      <w:r w:rsidRPr="00B12FE0">
        <w:rPr>
          <w:rFonts w:hint="eastAsia"/>
          <w:color w:val="000000" w:themeColor="text1"/>
        </w:rPr>
        <w:t>）</w:t>
      </w:r>
      <w:r w:rsidRPr="00B12FE0">
        <w:rPr>
          <w:color w:val="000000" w:themeColor="text1"/>
        </w:rPr>
        <w:t>β</w:t>
      </w:r>
      <w:r w:rsidRPr="00B12FE0">
        <w:rPr>
          <w:color w:val="000000" w:themeColor="text1"/>
        </w:rPr>
        <w:t>表面污染</w:t>
      </w:r>
      <w:r w:rsidRPr="00B12FE0">
        <w:rPr>
          <w:rFonts w:hint="eastAsia"/>
          <w:color w:val="000000" w:themeColor="text1"/>
        </w:rPr>
        <w:t>防护管理措施</w:t>
      </w:r>
    </w:p>
    <w:p w14:paraId="1C8DEED6" w14:textId="77777777" w:rsidR="00A67F21" w:rsidRPr="00B12FE0" w:rsidRDefault="00000000">
      <w:pPr>
        <w:adjustRightInd w:val="0"/>
        <w:snapToGrid w:val="0"/>
        <w:spacing w:line="360" w:lineRule="auto"/>
        <w:ind w:firstLineChars="200" w:firstLine="480"/>
        <w:rPr>
          <w:snapToGrid w:val="0"/>
          <w:color w:val="000000" w:themeColor="text1"/>
          <w:sz w:val="21"/>
          <w:szCs w:val="21"/>
        </w:rPr>
      </w:pPr>
      <w:r w:rsidRPr="00B12FE0">
        <w:rPr>
          <w:snapToGrid w:val="0"/>
          <w:color w:val="000000" w:themeColor="text1"/>
          <w:szCs w:val="24"/>
          <w:lang w:bidi="ar"/>
        </w:rPr>
        <w:t xml:space="preserve">β </w:t>
      </w:r>
      <w:r w:rsidRPr="00B12FE0">
        <w:rPr>
          <w:snapToGrid w:val="0"/>
          <w:color w:val="000000" w:themeColor="text1"/>
          <w:szCs w:val="24"/>
          <w:lang w:bidi="ar"/>
        </w:rPr>
        <w:t>表面</w:t>
      </w:r>
      <w:proofErr w:type="gramStart"/>
      <w:r w:rsidRPr="00B12FE0">
        <w:rPr>
          <w:rFonts w:hint="eastAsia"/>
          <w:snapToGrid w:val="0"/>
          <w:color w:val="000000" w:themeColor="text1"/>
          <w:szCs w:val="24"/>
          <w:lang w:bidi="ar"/>
        </w:rPr>
        <w:t>沾</w:t>
      </w:r>
      <w:r w:rsidRPr="00B12FE0">
        <w:rPr>
          <w:snapToGrid w:val="0"/>
          <w:color w:val="000000" w:themeColor="text1"/>
          <w:szCs w:val="24"/>
          <w:lang w:bidi="ar"/>
        </w:rPr>
        <w:t>污</w:t>
      </w:r>
      <w:proofErr w:type="gramEnd"/>
      <w:r w:rsidRPr="00B12FE0">
        <w:rPr>
          <w:snapToGrid w:val="0"/>
          <w:color w:val="000000" w:themeColor="text1"/>
          <w:szCs w:val="24"/>
          <w:lang w:bidi="ar"/>
        </w:rPr>
        <w:t>的影响主要来源于医生操作时，放射性物质逸出或飞散在操作台、地板、墙壁、个人防护用品等表面，对职业人员和公众造成辐射影响，因此，为了使本项目非密封放射性物质工作场所的</w:t>
      </w:r>
      <w:r w:rsidRPr="00B12FE0">
        <w:rPr>
          <w:snapToGrid w:val="0"/>
          <w:color w:val="000000" w:themeColor="text1"/>
          <w:szCs w:val="24"/>
          <w:lang w:bidi="ar"/>
        </w:rPr>
        <w:t>β</w:t>
      </w:r>
      <w:r w:rsidRPr="00B12FE0">
        <w:rPr>
          <w:snapToGrid w:val="0"/>
          <w:color w:val="000000" w:themeColor="text1"/>
          <w:szCs w:val="24"/>
          <w:lang w:bidi="ar"/>
        </w:rPr>
        <w:t>表面污染水平达到</w:t>
      </w:r>
      <w:r w:rsidRPr="00B12FE0">
        <w:rPr>
          <w:snapToGrid w:val="0"/>
          <w:color w:val="000000" w:themeColor="text1"/>
          <w:szCs w:val="24"/>
          <w:lang w:bidi="ar"/>
        </w:rPr>
        <w:t>GB18871-2002</w:t>
      </w:r>
      <w:r w:rsidRPr="00B12FE0">
        <w:rPr>
          <w:snapToGrid w:val="0"/>
          <w:color w:val="000000" w:themeColor="text1"/>
          <w:szCs w:val="24"/>
          <w:lang w:bidi="ar"/>
        </w:rPr>
        <w:t>规定的要求，建设单位要做到以下防护措施：</w:t>
      </w:r>
    </w:p>
    <w:p w14:paraId="0C104CFB"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1</w:t>
      </w:r>
      <w:r w:rsidRPr="00B12FE0">
        <w:rPr>
          <w:color w:val="000000" w:themeColor="text1"/>
          <w:szCs w:val="32"/>
        </w:rPr>
        <w:t>）使用、操作放射性同位素的人员应经过培训，具备相应的技能与防护知识；</w:t>
      </w:r>
    </w:p>
    <w:p w14:paraId="6865E65D"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2</w:t>
      </w:r>
      <w:r w:rsidRPr="00B12FE0">
        <w:rPr>
          <w:color w:val="000000" w:themeColor="text1"/>
          <w:szCs w:val="32"/>
        </w:rPr>
        <w:t>）开瓶、转移、标记、分离纯化等易产生放射性物质逸出或飞散的操作，其操作须在手套箱内进行；</w:t>
      </w:r>
    </w:p>
    <w:p w14:paraId="28436BEE"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3</w:t>
      </w:r>
      <w:r w:rsidRPr="00B12FE0">
        <w:rPr>
          <w:color w:val="000000" w:themeColor="text1"/>
          <w:szCs w:val="32"/>
        </w:rPr>
        <w:t>）操作液体放射性物质应在易去除污染的工作台上放置的搪瓷或不锈钢盘内进行，并铺以吸水性好的材料；</w:t>
      </w:r>
    </w:p>
    <w:p w14:paraId="3D9063C0"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4</w:t>
      </w:r>
      <w:r w:rsidRPr="00B12FE0">
        <w:rPr>
          <w:color w:val="000000" w:themeColor="text1"/>
          <w:szCs w:val="32"/>
        </w:rPr>
        <w:t>）吸取液体的操作必须用合适的器具，严禁用口吸取；</w:t>
      </w:r>
    </w:p>
    <w:p w14:paraId="674F91DE"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5</w:t>
      </w:r>
      <w:r w:rsidRPr="00B12FE0">
        <w:rPr>
          <w:color w:val="000000" w:themeColor="text1"/>
          <w:szCs w:val="32"/>
        </w:rPr>
        <w:t>）不允许用裸露的手直接接触放射性物质或进行污染物件操作；</w:t>
      </w:r>
    </w:p>
    <w:p w14:paraId="729BD8AC"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6</w:t>
      </w:r>
      <w:r w:rsidRPr="00B12FE0">
        <w:rPr>
          <w:color w:val="000000" w:themeColor="text1"/>
          <w:szCs w:val="32"/>
        </w:rPr>
        <w:t>）放射性操作之后应对工作台、设备、地面及个人防护用品等进行表面污染检查</w:t>
      </w:r>
      <w:r w:rsidRPr="00B12FE0">
        <w:rPr>
          <w:color w:val="000000" w:themeColor="text1"/>
          <w:szCs w:val="32"/>
        </w:rPr>
        <w:lastRenderedPageBreak/>
        <w:t>清洗、去污。工作人员应进行淋浴；</w:t>
      </w:r>
    </w:p>
    <w:p w14:paraId="5FD43552"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7</w:t>
      </w:r>
      <w:r w:rsidRPr="00B12FE0">
        <w:rPr>
          <w:color w:val="000000" w:themeColor="text1"/>
          <w:szCs w:val="32"/>
        </w:rPr>
        <w:t>）放射性药品用后应及时存放在专用柜内，需防盗、防水、防火、柜外应有电离辐射标志；</w:t>
      </w:r>
    </w:p>
    <w:p w14:paraId="6B0E67EC"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8</w:t>
      </w:r>
      <w:r w:rsidRPr="00B12FE0">
        <w:rPr>
          <w:color w:val="000000" w:themeColor="text1"/>
          <w:szCs w:val="32"/>
        </w:rPr>
        <w:t>）做好就诊病人的管理，特别是已服药和注射放射性药品的病人管理工作，严格划定好控制区和监督区，禁止无关人员随处走动；</w:t>
      </w:r>
    </w:p>
    <w:p w14:paraId="22B5C079" w14:textId="77777777" w:rsidR="00A67F21" w:rsidRPr="00B12FE0" w:rsidRDefault="00000000">
      <w:pPr>
        <w:adjustRightInd w:val="0"/>
        <w:snapToGrid w:val="0"/>
        <w:spacing w:line="360" w:lineRule="auto"/>
        <w:ind w:firstLineChars="200" w:firstLine="480"/>
        <w:rPr>
          <w:color w:val="000000" w:themeColor="text1"/>
          <w:szCs w:val="32"/>
        </w:rPr>
      </w:pPr>
      <w:r w:rsidRPr="00B12FE0">
        <w:rPr>
          <w:color w:val="000000" w:themeColor="text1"/>
          <w:szCs w:val="32"/>
        </w:rPr>
        <w:t>9</w:t>
      </w:r>
      <w:r w:rsidRPr="00B12FE0">
        <w:rPr>
          <w:color w:val="000000" w:themeColor="text1"/>
          <w:szCs w:val="32"/>
        </w:rPr>
        <w:t>）如</w:t>
      </w:r>
      <w:r w:rsidRPr="00B12FE0">
        <w:rPr>
          <w:color w:val="000000" w:themeColor="text1"/>
          <w:szCs w:val="32"/>
        </w:rPr>
        <w:t>β</w:t>
      </w:r>
      <w:r w:rsidRPr="00B12FE0">
        <w:rPr>
          <w:color w:val="000000" w:themeColor="text1"/>
          <w:szCs w:val="32"/>
        </w:rPr>
        <w:t>表面污染水平超过</w:t>
      </w:r>
      <w:r w:rsidRPr="00B12FE0">
        <w:rPr>
          <w:color w:val="000000" w:themeColor="text1"/>
          <w:szCs w:val="32"/>
        </w:rPr>
        <w:t xml:space="preserve">GB18871-2002 </w:t>
      </w:r>
      <w:r w:rsidRPr="00B12FE0">
        <w:rPr>
          <w:color w:val="000000" w:themeColor="text1"/>
          <w:szCs w:val="32"/>
        </w:rPr>
        <w:t>规定值，医院应暂停开展核医学活性区的相关业务，去污染经监测符合标准后方可重新开展业务。</w:t>
      </w:r>
    </w:p>
    <w:p w14:paraId="31A59FA0" w14:textId="77777777" w:rsidR="00A67F21" w:rsidRPr="00B12FE0" w:rsidRDefault="00000000">
      <w:pPr>
        <w:snapToGrid w:val="0"/>
        <w:spacing w:line="360" w:lineRule="auto"/>
        <w:ind w:firstLineChars="200" w:firstLine="480"/>
        <w:rPr>
          <w:color w:val="000000" w:themeColor="text1"/>
        </w:rPr>
      </w:pPr>
      <w:r w:rsidRPr="00B12FE0">
        <w:rPr>
          <w:rFonts w:cs="宋体" w:hint="eastAsia"/>
          <w:color w:val="000000" w:themeColor="text1"/>
          <w:szCs w:val="32"/>
        </w:rPr>
        <w:t>（</w:t>
      </w:r>
      <w:r w:rsidRPr="00B12FE0">
        <w:rPr>
          <w:rFonts w:cs="宋体" w:hint="eastAsia"/>
          <w:color w:val="000000" w:themeColor="text1"/>
          <w:szCs w:val="32"/>
        </w:rPr>
        <w:t>3</w:t>
      </w:r>
      <w:r w:rsidRPr="00B12FE0">
        <w:rPr>
          <w:rFonts w:cs="宋体" w:hint="eastAsia"/>
          <w:color w:val="000000" w:themeColor="text1"/>
          <w:szCs w:val="32"/>
        </w:rPr>
        <w:t>）</w:t>
      </w:r>
      <w:r w:rsidRPr="00B12FE0">
        <w:rPr>
          <w:rFonts w:cs="宋体"/>
          <w:color w:val="000000" w:themeColor="text1"/>
          <w:szCs w:val="32"/>
        </w:rPr>
        <w:t>β</w:t>
      </w:r>
      <w:r w:rsidRPr="00B12FE0">
        <w:rPr>
          <w:rFonts w:cs="宋体"/>
          <w:color w:val="000000" w:themeColor="text1"/>
          <w:szCs w:val="32"/>
        </w:rPr>
        <w:t>射线影响分析</w:t>
      </w:r>
    </w:p>
    <w:p w14:paraId="39E98369"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kern w:val="0"/>
          <w:szCs w:val="24"/>
        </w:rPr>
        <w:t>根据</w:t>
      </w:r>
      <w:r w:rsidRPr="00B12FE0">
        <w:rPr>
          <w:rFonts w:ascii="宋体" w:hAnsi="宋体"/>
          <w:color w:val="000000" w:themeColor="text1"/>
          <w:szCs w:val="24"/>
        </w:rPr>
        <w:t>《辐射防护导论》（方杰，北京，</w:t>
      </w:r>
      <w:r w:rsidRPr="00B12FE0">
        <w:rPr>
          <w:color w:val="000000" w:themeColor="text1"/>
          <w:szCs w:val="24"/>
        </w:rPr>
        <w:t>1991</w:t>
      </w:r>
      <w:r w:rsidRPr="00B12FE0">
        <w:rPr>
          <w:rFonts w:ascii="宋体" w:hAnsi="宋体"/>
          <w:color w:val="000000" w:themeColor="text1"/>
          <w:szCs w:val="24"/>
        </w:rPr>
        <w:t>）</w:t>
      </w:r>
      <w:r w:rsidRPr="00B12FE0">
        <w:rPr>
          <w:color w:val="000000" w:themeColor="text1"/>
          <w:szCs w:val="24"/>
        </w:rPr>
        <w:t>P127</w:t>
      </w:r>
      <w:r w:rsidRPr="00B12FE0">
        <w:rPr>
          <w:rFonts w:ascii="宋体" w:hAnsi="宋体"/>
          <w:color w:val="000000" w:themeColor="text1"/>
          <w:szCs w:val="24"/>
        </w:rPr>
        <w:t>，</w:t>
      </w:r>
      <w:r w:rsidRPr="00B12FE0">
        <w:rPr>
          <w:color w:val="000000" w:themeColor="text1"/>
          <w:szCs w:val="24"/>
        </w:rPr>
        <w:t>β</w:t>
      </w:r>
      <w:r w:rsidRPr="00B12FE0">
        <w:rPr>
          <w:rFonts w:ascii="宋体" w:hAnsi="宋体"/>
          <w:color w:val="000000" w:themeColor="text1"/>
          <w:szCs w:val="24"/>
        </w:rPr>
        <w:t>粒子射程：</w:t>
      </w:r>
    </w:p>
    <w:p w14:paraId="4E631528" w14:textId="77777777" w:rsidR="00A67F21" w:rsidRPr="00B12FE0" w:rsidRDefault="00000000">
      <w:pPr>
        <w:adjustRightInd w:val="0"/>
        <w:snapToGrid w:val="0"/>
        <w:spacing w:line="360" w:lineRule="auto"/>
        <w:jc w:val="center"/>
        <w:rPr>
          <w:color w:val="000000" w:themeColor="text1"/>
          <w:szCs w:val="24"/>
        </w:rPr>
      </w:pPr>
      <w:r w:rsidRPr="00B12FE0">
        <w:rPr>
          <w:i/>
          <w:color w:val="000000" w:themeColor="text1"/>
          <w:szCs w:val="24"/>
        </w:rPr>
        <w:t>R</w:t>
      </w:r>
      <w:r w:rsidRPr="00B12FE0">
        <w:rPr>
          <w:color w:val="000000" w:themeColor="text1"/>
          <w:szCs w:val="24"/>
        </w:rPr>
        <w:t>=0.412</w:t>
      </w:r>
      <w:r w:rsidRPr="00B12FE0">
        <w:rPr>
          <w:i/>
          <w:color w:val="000000" w:themeColor="text1"/>
          <w:szCs w:val="24"/>
        </w:rPr>
        <w:t>E</w:t>
      </w:r>
      <w:r w:rsidRPr="00B12FE0">
        <w:rPr>
          <w:rFonts w:ascii="宋体" w:hAnsi="宋体"/>
          <w:color w:val="000000" w:themeColor="text1"/>
          <w:szCs w:val="24"/>
          <w:vertAlign w:val="superscript"/>
        </w:rPr>
        <w:t>（</w:t>
      </w:r>
      <w:r w:rsidRPr="00B12FE0">
        <w:rPr>
          <w:color w:val="000000" w:themeColor="text1"/>
          <w:szCs w:val="24"/>
          <w:vertAlign w:val="superscript"/>
        </w:rPr>
        <w:t>1.265-0.09541In</w:t>
      </w:r>
      <w:r w:rsidRPr="00B12FE0">
        <w:rPr>
          <w:i/>
          <w:color w:val="000000" w:themeColor="text1"/>
          <w:szCs w:val="24"/>
          <w:vertAlign w:val="superscript"/>
        </w:rPr>
        <w:t>E</w:t>
      </w:r>
      <w:r w:rsidRPr="00B12FE0">
        <w:rPr>
          <w:rFonts w:ascii="宋体" w:hAnsi="宋体"/>
          <w:color w:val="000000" w:themeColor="text1"/>
          <w:szCs w:val="24"/>
          <w:vertAlign w:val="superscript"/>
        </w:rPr>
        <w:t>）</w:t>
      </w:r>
      <w:r w:rsidRPr="00B12FE0">
        <w:rPr>
          <w:color w:val="000000" w:themeColor="text1"/>
          <w:szCs w:val="24"/>
          <w:vertAlign w:val="superscript"/>
        </w:rPr>
        <w:t xml:space="preserve">   </w:t>
      </w:r>
      <w:r w:rsidRPr="00B12FE0">
        <w:rPr>
          <w:color w:val="000000" w:themeColor="text1"/>
          <w:szCs w:val="24"/>
        </w:rPr>
        <w:t xml:space="preserve">  0.01</w:t>
      </w:r>
      <w:r w:rsidRPr="00B12FE0">
        <w:rPr>
          <w:rFonts w:ascii="宋体" w:hAnsi="宋体"/>
          <w:color w:val="000000" w:themeColor="text1"/>
          <w:szCs w:val="24"/>
        </w:rPr>
        <w:t>＜</w:t>
      </w:r>
      <w:r w:rsidRPr="00B12FE0">
        <w:rPr>
          <w:color w:val="000000" w:themeColor="text1"/>
          <w:szCs w:val="24"/>
        </w:rPr>
        <w:t>E</w:t>
      </w:r>
      <w:r w:rsidRPr="00B12FE0">
        <w:rPr>
          <w:rFonts w:ascii="宋体" w:hAnsi="宋体"/>
          <w:color w:val="000000" w:themeColor="text1"/>
          <w:szCs w:val="24"/>
        </w:rPr>
        <w:t>＜</w:t>
      </w:r>
      <w:r w:rsidRPr="00B12FE0">
        <w:rPr>
          <w:color w:val="000000" w:themeColor="text1"/>
          <w:szCs w:val="24"/>
        </w:rPr>
        <w:t xml:space="preserve">2.5MeV    </w:t>
      </w:r>
      <w:r w:rsidRPr="00B12FE0">
        <w:rPr>
          <w:rFonts w:ascii="宋体" w:hAnsi="宋体"/>
          <w:color w:val="000000" w:themeColor="text1"/>
          <w:szCs w:val="24"/>
        </w:rPr>
        <w:t>（</w:t>
      </w:r>
      <w:r w:rsidRPr="00B12FE0">
        <w:rPr>
          <w:color w:val="000000" w:themeColor="text1"/>
          <w:szCs w:val="24"/>
        </w:rPr>
        <w:t>式</w:t>
      </w:r>
      <w:r w:rsidRPr="00B12FE0">
        <w:rPr>
          <w:color w:val="000000" w:themeColor="text1"/>
          <w:szCs w:val="24"/>
        </w:rPr>
        <w:t>11.2.1.</w:t>
      </w:r>
      <w:r w:rsidRPr="00B12FE0">
        <w:rPr>
          <w:rFonts w:hint="eastAsia"/>
          <w:color w:val="000000" w:themeColor="text1"/>
          <w:szCs w:val="24"/>
        </w:rPr>
        <w:t>2</w:t>
      </w:r>
      <w:r w:rsidRPr="00B12FE0">
        <w:rPr>
          <w:color w:val="000000" w:themeColor="text1"/>
          <w:szCs w:val="24"/>
        </w:rPr>
        <w:t>-1</w:t>
      </w:r>
      <w:r w:rsidRPr="00B12FE0">
        <w:rPr>
          <w:rFonts w:ascii="宋体" w:hAnsi="宋体"/>
          <w:color w:val="000000" w:themeColor="text1"/>
          <w:szCs w:val="24"/>
        </w:rPr>
        <w:t>）</w:t>
      </w:r>
    </w:p>
    <w:p w14:paraId="4A2F7A58" w14:textId="77777777" w:rsidR="00A67F21" w:rsidRPr="00B12FE0" w:rsidRDefault="00000000">
      <w:pPr>
        <w:adjustRightInd w:val="0"/>
        <w:snapToGrid w:val="0"/>
        <w:spacing w:line="360" w:lineRule="auto"/>
        <w:jc w:val="center"/>
        <w:rPr>
          <w:color w:val="000000" w:themeColor="text1"/>
          <w:szCs w:val="24"/>
        </w:rPr>
      </w:pPr>
      <w:r w:rsidRPr="00B12FE0">
        <w:rPr>
          <w:i/>
          <w:color w:val="000000" w:themeColor="text1"/>
          <w:szCs w:val="24"/>
        </w:rPr>
        <w:t>R</w:t>
      </w:r>
      <w:r w:rsidRPr="00B12FE0">
        <w:rPr>
          <w:color w:val="000000" w:themeColor="text1"/>
          <w:szCs w:val="24"/>
        </w:rPr>
        <w:t>=0.53</w:t>
      </w:r>
      <w:r w:rsidRPr="00B12FE0">
        <w:rPr>
          <w:i/>
          <w:color w:val="000000" w:themeColor="text1"/>
          <w:szCs w:val="24"/>
        </w:rPr>
        <w:t>E</w:t>
      </w:r>
      <w:r w:rsidRPr="00B12FE0">
        <w:rPr>
          <w:color w:val="000000" w:themeColor="text1"/>
          <w:szCs w:val="24"/>
        </w:rPr>
        <w:t>-1.06              2.5</w:t>
      </w:r>
      <w:r w:rsidRPr="00B12FE0">
        <w:rPr>
          <w:rFonts w:ascii="宋体" w:hAnsi="宋体"/>
          <w:color w:val="000000" w:themeColor="text1"/>
          <w:szCs w:val="24"/>
        </w:rPr>
        <w:t>≤</w:t>
      </w:r>
      <w:r w:rsidRPr="00B12FE0">
        <w:rPr>
          <w:color w:val="000000" w:themeColor="text1"/>
          <w:szCs w:val="24"/>
        </w:rPr>
        <w:t>E</w:t>
      </w:r>
      <w:r w:rsidRPr="00B12FE0">
        <w:rPr>
          <w:rFonts w:ascii="宋体" w:hAnsi="宋体"/>
          <w:color w:val="000000" w:themeColor="text1"/>
          <w:szCs w:val="24"/>
        </w:rPr>
        <w:t>＜</w:t>
      </w:r>
      <w:r w:rsidRPr="00B12FE0">
        <w:rPr>
          <w:color w:val="000000" w:themeColor="text1"/>
          <w:szCs w:val="24"/>
        </w:rPr>
        <w:t xml:space="preserve">20MeV     </w:t>
      </w:r>
      <w:r w:rsidRPr="00B12FE0">
        <w:rPr>
          <w:rFonts w:ascii="宋体" w:hAnsi="宋体"/>
          <w:color w:val="000000" w:themeColor="text1"/>
          <w:szCs w:val="24"/>
        </w:rPr>
        <w:t>（</w:t>
      </w:r>
      <w:r w:rsidRPr="00B12FE0">
        <w:rPr>
          <w:color w:val="000000" w:themeColor="text1"/>
          <w:szCs w:val="24"/>
        </w:rPr>
        <w:t>式</w:t>
      </w:r>
      <w:r w:rsidRPr="00B12FE0">
        <w:rPr>
          <w:color w:val="000000" w:themeColor="text1"/>
          <w:szCs w:val="24"/>
        </w:rPr>
        <w:t>11.2.1.</w:t>
      </w:r>
      <w:r w:rsidRPr="00B12FE0">
        <w:rPr>
          <w:rFonts w:hint="eastAsia"/>
          <w:color w:val="000000" w:themeColor="text1"/>
          <w:szCs w:val="24"/>
        </w:rPr>
        <w:t>2</w:t>
      </w:r>
      <w:r w:rsidRPr="00B12FE0">
        <w:rPr>
          <w:color w:val="000000" w:themeColor="text1"/>
          <w:szCs w:val="24"/>
        </w:rPr>
        <w:t>-2</w:t>
      </w:r>
      <w:r w:rsidRPr="00B12FE0">
        <w:rPr>
          <w:rFonts w:ascii="宋体" w:hAnsi="宋体"/>
          <w:color w:val="000000" w:themeColor="text1"/>
          <w:szCs w:val="24"/>
        </w:rPr>
        <w:t>）</w:t>
      </w:r>
    </w:p>
    <w:p w14:paraId="1A756181"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式中：</w:t>
      </w:r>
    </w:p>
    <w:p w14:paraId="242A5C0B" w14:textId="77777777" w:rsidR="00A67F21" w:rsidRPr="00B12FE0" w:rsidRDefault="00000000">
      <w:pPr>
        <w:adjustRightInd w:val="0"/>
        <w:snapToGrid w:val="0"/>
        <w:spacing w:line="360" w:lineRule="auto"/>
        <w:ind w:firstLineChars="200" w:firstLine="480"/>
        <w:rPr>
          <w:color w:val="000000" w:themeColor="text1"/>
          <w:szCs w:val="24"/>
        </w:rPr>
      </w:pPr>
      <w:r w:rsidRPr="00B12FE0">
        <w:rPr>
          <w:i/>
          <w:color w:val="000000" w:themeColor="text1"/>
          <w:szCs w:val="24"/>
        </w:rPr>
        <w:t>R</w:t>
      </w:r>
      <w:r w:rsidRPr="00B12FE0">
        <w:rPr>
          <w:rFonts w:ascii="宋体" w:hAnsi="宋体"/>
          <w:color w:val="000000" w:themeColor="text1"/>
          <w:szCs w:val="24"/>
        </w:rPr>
        <w:t>——粒子在低原子序数物质中的射程，</w:t>
      </w:r>
      <w:r w:rsidRPr="00B12FE0">
        <w:rPr>
          <w:color w:val="000000" w:themeColor="text1"/>
          <w:szCs w:val="24"/>
        </w:rPr>
        <w:t>g/cm</w:t>
      </w:r>
      <w:r w:rsidRPr="00B12FE0">
        <w:rPr>
          <w:color w:val="000000" w:themeColor="text1"/>
          <w:szCs w:val="24"/>
          <w:vertAlign w:val="superscript"/>
        </w:rPr>
        <w:t>2</w:t>
      </w:r>
      <w:r w:rsidRPr="00B12FE0">
        <w:rPr>
          <w:rFonts w:ascii="宋体" w:hAnsi="宋体"/>
          <w:color w:val="000000" w:themeColor="text1"/>
          <w:szCs w:val="24"/>
        </w:rPr>
        <w:t>；</w:t>
      </w:r>
    </w:p>
    <w:p w14:paraId="0819E518" w14:textId="77777777" w:rsidR="00A67F21" w:rsidRPr="00B12FE0" w:rsidRDefault="00000000">
      <w:pPr>
        <w:adjustRightInd w:val="0"/>
        <w:snapToGrid w:val="0"/>
        <w:spacing w:line="360" w:lineRule="auto"/>
        <w:ind w:firstLineChars="200" w:firstLine="480"/>
        <w:rPr>
          <w:color w:val="000000" w:themeColor="text1"/>
          <w:szCs w:val="24"/>
        </w:rPr>
      </w:pPr>
      <w:r w:rsidRPr="00B12FE0">
        <w:rPr>
          <w:i/>
          <w:color w:val="000000" w:themeColor="text1"/>
          <w:szCs w:val="24"/>
        </w:rPr>
        <w:t>E</w:t>
      </w:r>
      <w:r w:rsidRPr="00B12FE0">
        <w:rPr>
          <w:rFonts w:ascii="宋体" w:hAnsi="宋体"/>
          <w:color w:val="000000" w:themeColor="text1"/>
          <w:szCs w:val="24"/>
        </w:rPr>
        <w:t>——</w:t>
      </w:r>
      <w:r w:rsidRPr="00B12FE0">
        <w:rPr>
          <w:color w:val="000000" w:themeColor="text1"/>
          <w:szCs w:val="24"/>
        </w:rPr>
        <w:t>β</w:t>
      </w:r>
      <w:r w:rsidRPr="00B12FE0">
        <w:rPr>
          <w:rFonts w:ascii="宋体" w:hAnsi="宋体"/>
          <w:color w:val="000000" w:themeColor="text1"/>
          <w:szCs w:val="24"/>
        </w:rPr>
        <w:t>粒子最大能量，</w:t>
      </w:r>
      <w:r w:rsidRPr="00B12FE0">
        <w:rPr>
          <w:color w:val="000000" w:themeColor="text1"/>
          <w:szCs w:val="24"/>
        </w:rPr>
        <w:t>MeV</w:t>
      </w:r>
      <w:r w:rsidRPr="00B12FE0">
        <w:rPr>
          <w:rFonts w:ascii="宋体" w:hAnsi="宋体"/>
          <w:color w:val="000000" w:themeColor="text1"/>
          <w:szCs w:val="24"/>
        </w:rPr>
        <w:t>，本项目</w:t>
      </w:r>
      <w:r w:rsidRPr="00B12FE0">
        <w:rPr>
          <w:color w:val="000000" w:themeColor="text1"/>
          <w:szCs w:val="24"/>
          <w:vertAlign w:val="superscript"/>
        </w:rPr>
        <w:t>89</w:t>
      </w:r>
      <w:r w:rsidRPr="00B12FE0">
        <w:rPr>
          <w:color w:val="000000" w:themeColor="text1"/>
          <w:szCs w:val="24"/>
        </w:rPr>
        <w:t>Sr</w:t>
      </w:r>
      <w:r w:rsidRPr="00B12FE0">
        <w:rPr>
          <w:rFonts w:ascii="宋体" w:hAnsi="宋体"/>
          <w:color w:val="000000" w:themeColor="text1"/>
          <w:szCs w:val="24"/>
        </w:rPr>
        <w:t>为</w:t>
      </w:r>
      <w:r w:rsidRPr="00B12FE0">
        <w:rPr>
          <w:color w:val="000000" w:themeColor="text1"/>
          <w:szCs w:val="24"/>
        </w:rPr>
        <w:t>0.5846MeV</w:t>
      </w:r>
      <w:r w:rsidRPr="00B12FE0">
        <w:rPr>
          <w:rFonts w:ascii="宋体" w:hAnsi="宋体"/>
          <w:color w:val="000000" w:themeColor="text1"/>
          <w:szCs w:val="24"/>
        </w:rPr>
        <w:t>，</w:t>
      </w:r>
      <w:r w:rsidRPr="00B12FE0">
        <w:rPr>
          <w:color w:val="000000" w:themeColor="text1"/>
          <w:szCs w:val="24"/>
          <w:vertAlign w:val="superscript"/>
        </w:rPr>
        <w:t>32</w:t>
      </w:r>
      <w:r w:rsidRPr="00B12FE0">
        <w:rPr>
          <w:color w:val="000000" w:themeColor="text1"/>
          <w:szCs w:val="24"/>
        </w:rPr>
        <w:t>P</w:t>
      </w:r>
      <w:r w:rsidRPr="00B12FE0">
        <w:rPr>
          <w:rFonts w:ascii="宋体" w:hAnsi="宋体"/>
          <w:color w:val="000000" w:themeColor="text1"/>
          <w:szCs w:val="24"/>
        </w:rPr>
        <w:t>为</w:t>
      </w:r>
      <w:r w:rsidRPr="00B12FE0">
        <w:rPr>
          <w:color w:val="000000" w:themeColor="text1"/>
          <w:szCs w:val="24"/>
        </w:rPr>
        <w:t>1.71MeV</w:t>
      </w:r>
      <w:r w:rsidRPr="00B12FE0">
        <w:rPr>
          <w:rFonts w:ascii="宋体" w:hAnsi="宋体"/>
          <w:color w:val="000000" w:themeColor="text1"/>
          <w:szCs w:val="24"/>
        </w:rPr>
        <w:t>。</w:t>
      </w:r>
    </w:p>
    <w:p w14:paraId="64768E0D"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β</w:t>
      </w:r>
      <w:r w:rsidRPr="00B12FE0">
        <w:rPr>
          <w:rFonts w:ascii="宋体" w:hAnsi="宋体"/>
          <w:color w:val="000000" w:themeColor="text1"/>
          <w:szCs w:val="24"/>
        </w:rPr>
        <w:t>粒子的屏蔽厚度：</w:t>
      </w:r>
    </w:p>
    <w:p w14:paraId="33347BBD" w14:textId="77777777" w:rsidR="00A67F21" w:rsidRPr="00B12FE0" w:rsidRDefault="00000000">
      <w:pPr>
        <w:adjustRightInd w:val="0"/>
        <w:snapToGrid w:val="0"/>
        <w:spacing w:line="360" w:lineRule="auto"/>
        <w:ind w:firstLineChars="200" w:firstLine="480"/>
        <w:jc w:val="center"/>
        <w:rPr>
          <w:color w:val="000000" w:themeColor="text1"/>
          <w:szCs w:val="24"/>
        </w:rPr>
      </w:pPr>
      <w:r w:rsidRPr="00B12FE0">
        <w:rPr>
          <w:color w:val="000000" w:themeColor="text1"/>
          <w:szCs w:val="24"/>
        </w:rPr>
        <w:t xml:space="preserve">d=R/ρ    </w:t>
      </w:r>
      <w:r w:rsidRPr="00B12FE0">
        <w:rPr>
          <w:rFonts w:ascii="宋体" w:hAnsi="宋体"/>
          <w:color w:val="000000" w:themeColor="text1"/>
          <w:szCs w:val="24"/>
        </w:rPr>
        <w:t>（</w:t>
      </w:r>
      <w:r w:rsidRPr="00B12FE0">
        <w:rPr>
          <w:color w:val="000000" w:themeColor="text1"/>
        </w:rPr>
        <w:t>式</w:t>
      </w:r>
      <w:r w:rsidRPr="00B12FE0">
        <w:rPr>
          <w:color w:val="000000" w:themeColor="text1"/>
        </w:rPr>
        <w:t>11.2.1.</w:t>
      </w:r>
      <w:r w:rsidRPr="00B12FE0">
        <w:rPr>
          <w:rFonts w:hint="eastAsia"/>
          <w:color w:val="000000" w:themeColor="text1"/>
        </w:rPr>
        <w:t>2</w:t>
      </w:r>
      <w:r w:rsidRPr="00B12FE0">
        <w:rPr>
          <w:color w:val="000000" w:themeColor="text1"/>
          <w:szCs w:val="24"/>
        </w:rPr>
        <w:t>-3</w:t>
      </w:r>
      <w:r w:rsidRPr="00B12FE0">
        <w:rPr>
          <w:rFonts w:ascii="宋体" w:hAnsi="宋体"/>
          <w:color w:val="000000" w:themeColor="text1"/>
          <w:szCs w:val="24"/>
        </w:rPr>
        <w:t>）</w:t>
      </w:r>
    </w:p>
    <w:p w14:paraId="7F7BD487"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式中：</w:t>
      </w:r>
    </w:p>
    <w:p w14:paraId="4C953B33"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t>ρ</w:t>
      </w:r>
      <w:r w:rsidRPr="00B12FE0">
        <w:rPr>
          <w:rFonts w:ascii="宋体" w:hAnsi="宋体"/>
          <w:color w:val="000000" w:themeColor="text1"/>
          <w:szCs w:val="24"/>
        </w:rPr>
        <w:t>——物质密度，</w:t>
      </w:r>
      <w:r w:rsidRPr="00B12FE0">
        <w:rPr>
          <w:color w:val="000000" w:themeColor="text1"/>
          <w:szCs w:val="24"/>
        </w:rPr>
        <w:t>g/cm</w:t>
      </w:r>
      <w:r w:rsidRPr="00B12FE0">
        <w:rPr>
          <w:color w:val="000000" w:themeColor="text1"/>
          <w:szCs w:val="24"/>
          <w:vertAlign w:val="superscript"/>
        </w:rPr>
        <w:t>3</w:t>
      </w:r>
      <w:r w:rsidRPr="00B12FE0">
        <w:rPr>
          <w:rFonts w:ascii="宋体" w:hAnsi="宋体"/>
          <w:color w:val="000000" w:themeColor="text1"/>
          <w:szCs w:val="24"/>
        </w:rPr>
        <w:t>，</w:t>
      </w:r>
      <w:r w:rsidRPr="00B12FE0">
        <w:rPr>
          <w:color w:val="000000" w:themeColor="text1"/>
        </w:rPr>
        <w:t>空气密度为</w:t>
      </w:r>
      <w:r w:rsidRPr="00B12FE0">
        <w:rPr>
          <w:color w:val="000000" w:themeColor="text1"/>
        </w:rPr>
        <w:t>1.29×10</w:t>
      </w:r>
      <w:r w:rsidRPr="00B12FE0">
        <w:rPr>
          <w:color w:val="000000" w:themeColor="text1"/>
          <w:vertAlign w:val="superscript"/>
        </w:rPr>
        <w:t>-3</w:t>
      </w:r>
      <w:r w:rsidRPr="00B12FE0">
        <w:rPr>
          <w:color w:val="000000" w:themeColor="text1"/>
        </w:rPr>
        <w:t>g/cm</w:t>
      </w:r>
      <w:r w:rsidRPr="00B12FE0">
        <w:rPr>
          <w:color w:val="000000" w:themeColor="text1"/>
          <w:vertAlign w:val="superscript"/>
        </w:rPr>
        <w:t>3</w:t>
      </w:r>
      <w:r w:rsidRPr="00B12FE0">
        <w:rPr>
          <w:color w:val="000000" w:themeColor="text1"/>
        </w:rPr>
        <w:t>；有机玻璃度为</w:t>
      </w:r>
      <w:r w:rsidRPr="00B12FE0">
        <w:rPr>
          <w:color w:val="000000" w:themeColor="text1"/>
        </w:rPr>
        <w:t>1.18g/cm</w:t>
      </w:r>
      <w:r w:rsidRPr="00B12FE0">
        <w:rPr>
          <w:color w:val="000000" w:themeColor="text1"/>
          <w:vertAlign w:val="superscript"/>
        </w:rPr>
        <w:t>3</w:t>
      </w:r>
      <w:r w:rsidRPr="00B12FE0">
        <w:rPr>
          <w:color w:val="000000" w:themeColor="text1"/>
        </w:rPr>
        <w:t>；人体密度为</w:t>
      </w:r>
      <w:r w:rsidRPr="00B12FE0">
        <w:rPr>
          <w:color w:val="000000" w:themeColor="text1"/>
        </w:rPr>
        <w:t>1g/cm</w:t>
      </w:r>
      <w:r w:rsidRPr="00B12FE0">
        <w:rPr>
          <w:color w:val="000000" w:themeColor="text1"/>
          <w:vertAlign w:val="superscript"/>
        </w:rPr>
        <w:t>3</w:t>
      </w:r>
      <w:r w:rsidRPr="00B12FE0">
        <w:rPr>
          <w:color w:val="000000" w:themeColor="text1"/>
        </w:rPr>
        <w:t>。</w:t>
      </w:r>
    </w:p>
    <w:p w14:paraId="140CEC9F" w14:textId="77777777" w:rsidR="00A67F21" w:rsidRPr="00B12FE0" w:rsidRDefault="00000000">
      <w:pPr>
        <w:adjustRightInd w:val="0"/>
        <w:snapToGrid w:val="0"/>
        <w:spacing w:line="360" w:lineRule="auto"/>
        <w:ind w:firstLineChars="200" w:firstLine="480"/>
        <w:rPr>
          <w:color w:val="000000" w:themeColor="text1"/>
          <w:szCs w:val="24"/>
        </w:rPr>
      </w:pPr>
      <w:r w:rsidRPr="00B12FE0">
        <w:rPr>
          <w:rFonts w:ascii="宋体" w:hAnsi="宋体"/>
          <w:color w:val="000000" w:themeColor="text1"/>
          <w:szCs w:val="24"/>
        </w:rPr>
        <w:t>用不同材料做屏蔽时，所需厚度如下表所示：</w:t>
      </w:r>
    </w:p>
    <w:p w14:paraId="4EDE421D" w14:textId="77777777" w:rsidR="00A67F21" w:rsidRPr="00B12FE0" w:rsidRDefault="00000000">
      <w:pPr>
        <w:adjustRightInd w:val="0"/>
        <w:snapToGrid w:val="0"/>
        <w:spacing w:line="360" w:lineRule="auto"/>
        <w:jc w:val="center"/>
        <w:rPr>
          <w:b/>
          <w:color w:val="000000" w:themeColor="text1"/>
          <w:sz w:val="21"/>
          <w:szCs w:val="18"/>
        </w:rPr>
      </w:pPr>
      <w:r w:rsidRPr="00B12FE0">
        <w:rPr>
          <w:b/>
          <w:color w:val="000000" w:themeColor="text1"/>
          <w:sz w:val="21"/>
          <w:szCs w:val="18"/>
        </w:rPr>
        <w:t>表</w:t>
      </w:r>
      <w:r w:rsidRPr="00B12FE0">
        <w:rPr>
          <w:b/>
          <w:color w:val="000000" w:themeColor="text1"/>
          <w:sz w:val="21"/>
          <w:szCs w:val="18"/>
        </w:rPr>
        <w:t>11.2.1.</w:t>
      </w:r>
      <w:r w:rsidRPr="00B12FE0">
        <w:rPr>
          <w:rFonts w:hint="eastAsia"/>
          <w:b/>
          <w:color w:val="000000" w:themeColor="text1"/>
          <w:sz w:val="21"/>
          <w:szCs w:val="18"/>
        </w:rPr>
        <w:t>2</w:t>
      </w:r>
      <w:r w:rsidRPr="00B12FE0">
        <w:rPr>
          <w:b/>
          <w:color w:val="000000" w:themeColor="text1"/>
          <w:sz w:val="21"/>
          <w:szCs w:val="18"/>
        </w:rPr>
        <w:t>-</w:t>
      </w:r>
      <w:r w:rsidRPr="00B12FE0">
        <w:rPr>
          <w:rFonts w:hint="eastAsia"/>
          <w:b/>
          <w:color w:val="000000" w:themeColor="text1"/>
          <w:sz w:val="21"/>
          <w:szCs w:val="18"/>
        </w:rPr>
        <w:t>7</w:t>
      </w:r>
      <w:r w:rsidRPr="00B12FE0">
        <w:rPr>
          <w:b/>
          <w:color w:val="000000" w:themeColor="text1"/>
          <w:sz w:val="21"/>
          <w:szCs w:val="18"/>
        </w:rPr>
        <w:t xml:space="preserve">  </w:t>
      </w:r>
      <w:r w:rsidRPr="00B12FE0">
        <w:rPr>
          <w:b/>
          <w:bCs/>
          <w:color w:val="000000" w:themeColor="text1"/>
          <w:sz w:val="21"/>
          <w:szCs w:val="18"/>
        </w:rPr>
        <w:t>屏蔽</w:t>
      </w:r>
      <w:r w:rsidRPr="00B12FE0">
        <w:rPr>
          <w:b/>
          <w:bCs/>
          <w:color w:val="000000" w:themeColor="text1"/>
          <w:sz w:val="21"/>
          <w:szCs w:val="18"/>
        </w:rPr>
        <w:t>β</w:t>
      </w:r>
      <w:r w:rsidRPr="00B12FE0">
        <w:rPr>
          <w:b/>
          <w:bCs/>
          <w:color w:val="000000" w:themeColor="text1"/>
          <w:sz w:val="21"/>
          <w:szCs w:val="18"/>
        </w:rPr>
        <w:t>粒子所需厚度</w:t>
      </w:r>
    </w:p>
    <w:tbl>
      <w:tblPr>
        <w:tblStyle w:val="affff"/>
        <w:tblW w:w="5000" w:type="pct"/>
        <w:jc w:val="center"/>
        <w:tblLook w:val="04A0" w:firstRow="1" w:lastRow="0" w:firstColumn="1" w:lastColumn="0" w:noHBand="0" w:noVBand="1"/>
      </w:tblPr>
      <w:tblGrid>
        <w:gridCol w:w="1586"/>
        <w:gridCol w:w="1895"/>
        <w:gridCol w:w="1904"/>
        <w:gridCol w:w="1731"/>
        <w:gridCol w:w="1901"/>
      </w:tblGrid>
      <w:tr w:rsidR="00A67F21" w:rsidRPr="00B12FE0" w14:paraId="66806290" w14:textId="77777777">
        <w:trPr>
          <w:trHeight w:val="340"/>
          <w:jc w:val="center"/>
        </w:trPr>
        <w:tc>
          <w:tcPr>
            <w:tcW w:w="879" w:type="pct"/>
            <w:vAlign w:val="center"/>
          </w:tcPr>
          <w:p w14:paraId="3F9B2EC6"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核素</w:t>
            </w:r>
          </w:p>
        </w:tc>
        <w:tc>
          <w:tcPr>
            <w:tcW w:w="1051" w:type="pct"/>
            <w:vAlign w:val="center"/>
          </w:tcPr>
          <w:p w14:paraId="3F5E2C69"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β</w:t>
            </w:r>
            <w:r w:rsidRPr="00B12FE0">
              <w:rPr>
                <w:color w:val="000000" w:themeColor="text1"/>
                <w:sz w:val="21"/>
                <w:szCs w:val="18"/>
              </w:rPr>
              <w:t>射线能量（</w:t>
            </w:r>
            <w:r w:rsidRPr="00B12FE0">
              <w:rPr>
                <w:color w:val="000000" w:themeColor="text1"/>
                <w:sz w:val="21"/>
                <w:szCs w:val="18"/>
              </w:rPr>
              <w:t>MeV</w:t>
            </w:r>
            <w:r w:rsidRPr="00B12FE0">
              <w:rPr>
                <w:color w:val="000000" w:themeColor="text1"/>
                <w:sz w:val="21"/>
                <w:szCs w:val="18"/>
              </w:rPr>
              <w:t>）</w:t>
            </w:r>
          </w:p>
        </w:tc>
        <w:tc>
          <w:tcPr>
            <w:tcW w:w="1056" w:type="pct"/>
            <w:vAlign w:val="center"/>
          </w:tcPr>
          <w:p w14:paraId="1ADA80C1"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空气中射程（</w:t>
            </w:r>
            <w:r w:rsidRPr="00B12FE0">
              <w:rPr>
                <w:color w:val="000000" w:themeColor="text1"/>
                <w:sz w:val="21"/>
                <w:szCs w:val="18"/>
              </w:rPr>
              <w:t>cm</w:t>
            </w:r>
            <w:r w:rsidRPr="00B12FE0">
              <w:rPr>
                <w:color w:val="000000" w:themeColor="text1"/>
                <w:sz w:val="21"/>
                <w:szCs w:val="18"/>
              </w:rPr>
              <w:t>）</w:t>
            </w:r>
          </w:p>
        </w:tc>
        <w:tc>
          <w:tcPr>
            <w:tcW w:w="960" w:type="pct"/>
            <w:vAlign w:val="center"/>
          </w:tcPr>
          <w:p w14:paraId="4B8A1FF7"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有机玻璃中射程</w:t>
            </w:r>
          </w:p>
          <w:p w14:paraId="0CF914E2"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w:t>
            </w:r>
            <w:r w:rsidRPr="00B12FE0">
              <w:rPr>
                <w:color w:val="000000" w:themeColor="text1"/>
                <w:sz w:val="21"/>
                <w:szCs w:val="18"/>
              </w:rPr>
              <w:t>cm</w:t>
            </w:r>
            <w:r w:rsidRPr="00B12FE0">
              <w:rPr>
                <w:color w:val="000000" w:themeColor="text1"/>
                <w:sz w:val="21"/>
                <w:szCs w:val="18"/>
              </w:rPr>
              <w:t>）</w:t>
            </w:r>
          </w:p>
        </w:tc>
        <w:tc>
          <w:tcPr>
            <w:tcW w:w="1054" w:type="pct"/>
            <w:tcBorders>
              <w:right w:val="single" w:sz="4" w:space="0" w:color="auto"/>
            </w:tcBorders>
            <w:vAlign w:val="center"/>
          </w:tcPr>
          <w:p w14:paraId="4AA2E6E3"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人体中射程（</w:t>
            </w:r>
            <w:r w:rsidRPr="00B12FE0">
              <w:rPr>
                <w:color w:val="000000" w:themeColor="text1"/>
                <w:sz w:val="21"/>
                <w:szCs w:val="18"/>
              </w:rPr>
              <w:t>cm</w:t>
            </w:r>
            <w:r w:rsidRPr="00B12FE0">
              <w:rPr>
                <w:color w:val="000000" w:themeColor="text1"/>
                <w:sz w:val="21"/>
                <w:szCs w:val="18"/>
              </w:rPr>
              <w:t>）</w:t>
            </w:r>
          </w:p>
        </w:tc>
      </w:tr>
      <w:tr w:rsidR="00A67F21" w:rsidRPr="00B12FE0" w14:paraId="4EE91B6F" w14:textId="77777777">
        <w:trPr>
          <w:trHeight w:val="340"/>
          <w:jc w:val="center"/>
        </w:trPr>
        <w:tc>
          <w:tcPr>
            <w:tcW w:w="879" w:type="pct"/>
            <w:vAlign w:val="center"/>
          </w:tcPr>
          <w:p w14:paraId="66520ED1"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vertAlign w:val="superscript"/>
              </w:rPr>
              <w:t>32</w:t>
            </w:r>
            <w:r w:rsidRPr="00B12FE0">
              <w:rPr>
                <w:color w:val="000000" w:themeColor="text1"/>
                <w:sz w:val="21"/>
                <w:szCs w:val="18"/>
              </w:rPr>
              <w:t>P</w:t>
            </w:r>
          </w:p>
        </w:tc>
        <w:tc>
          <w:tcPr>
            <w:tcW w:w="1051" w:type="pct"/>
            <w:vAlign w:val="center"/>
          </w:tcPr>
          <w:p w14:paraId="750F6654"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1.71</w:t>
            </w:r>
          </w:p>
        </w:tc>
        <w:tc>
          <w:tcPr>
            <w:tcW w:w="1056" w:type="pct"/>
            <w:vAlign w:val="center"/>
          </w:tcPr>
          <w:p w14:paraId="6AD58EC3"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613</w:t>
            </w:r>
          </w:p>
        </w:tc>
        <w:tc>
          <w:tcPr>
            <w:tcW w:w="960" w:type="pct"/>
            <w:vAlign w:val="center"/>
          </w:tcPr>
          <w:p w14:paraId="1DD2BE8F"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0.67</w:t>
            </w:r>
          </w:p>
        </w:tc>
        <w:tc>
          <w:tcPr>
            <w:tcW w:w="1054" w:type="pct"/>
            <w:tcBorders>
              <w:right w:val="single" w:sz="4" w:space="0" w:color="auto"/>
            </w:tcBorders>
            <w:vAlign w:val="center"/>
          </w:tcPr>
          <w:p w14:paraId="38E54732"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0.79</w:t>
            </w:r>
          </w:p>
        </w:tc>
      </w:tr>
    </w:tbl>
    <w:p w14:paraId="5FCE5C18" w14:textId="77777777" w:rsidR="00A67F21" w:rsidRPr="00B12FE0" w:rsidRDefault="00000000">
      <w:pPr>
        <w:topLinePunct/>
        <w:autoSpaceDE w:val="0"/>
        <w:spacing w:line="360" w:lineRule="auto"/>
        <w:ind w:firstLine="480"/>
        <w:rPr>
          <w:rFonts w:cs="宋体"/>
          <w:color w:val="000000" w:themeColor="text1"/>
        </w:rPr>
      </w:pPr>
      <w:r w:rsidRPr="00B12FE0">
        <w:rPr>
          <w:rFonts w:cs="宋体"/>
          <w:color w:val="000000" w:themeColor="text1"/>
        </w:rPr>
        <w:t>经计算可知，本项目</w:t>
      </w:r>
      <w:r w:rsidRPr="00B12FE0">
        <w:rPr>
          <w:rFonts w:cs="宋体"/>
          <w:color w:val="000000" w:themeColor="text1"/>
          <w:vertAlign w:val="superscript"/>
        </w:rPr>
        <w:t>32</w:t>
      </w:r>
      <w:r w:rsidRPr="00B12FE0">
        <w:rPr>
          <w:rFonts w:cs="宋体"/>
          <w:color w:val="000000" w:themeColor="text1"/>
        </w:rPr>
        <w:t>P</w:t>
      </w:r>
      <w:r w:rsidRPr="00B12FE0">
        <w:rPr>
          <w:rFonts w:cs="宋体" w:hint="eastAsia"/>
          <w:color w:val="000000" w:themeColor="text1"/>
        </w:rPr>
        <w:t>核素</w:t>
      </w:r>
      <w:r w:rsidRPr="00B12FE0">
        <w:rPr>
          <w:rFonts w:cs="宋体"/>
          <w:color w:val="000000" w:themeColor="text1"/>
        </w:rPr>
        <w:t>在</w:t>
      </w:r>
      <w:r w:rsidRPr="00B12FE0">
        <w:rPr>
          <w:rFonts w:cs="宋体"/>
          <w:color w:val="000000" w:themeColor="text1"/>
        </w:rPr>
        <w:t>10mm</w:t>
      </w:r>
      <w:r w:rsidRPr="00B12FE0">
        <w:rPr>
          <w:rFonts w:cs="宋体"/>
          <w:color w:val="000000" w:themeColor="text1"/>
        </w:rPr>
        <w:t>厚的有机玻璃中操作即可对</w:t>
      </w:r>
      <w:r w:rsidRPr="00B12FE0">
        <w:rPr>
          <w:rFonts w:cs="宋体"/>
          <w:color w:val="000000" w:themeColor="text1"/>
        </w:rPr>
        <w:t>β</w:t>
      </w:r>
      <w:r w:rsidRPr="00B12FE0">
        <w:rPr>
          <w:rFonts w:cs="宋体"/>
          <w:color w:val="000000" w:themeColor="text1"/>
        </w:rPr>
        <w:t>粒子进行有效屏蔽。</w:t>
      </w:r>
    </w:p>
    <w:p w14:paraId="0AAFFEB5" w14:textId="77777777" w:rsidR="00A67F21" w:rsidRPr="00B12FE0" w:rsidRDefault="00000000">
      <w:pPr>
        <w:topLinePunct/>
        <w:autoSpaceDE w:val="0"/>
        <w:spacing w:line="360" w:lineRule="auto"/>
        <w:ind w:firstLine="480"/>
        <w:rPr>
          <w:rFonts w:cs="宋体"/>
          <w:color w:val="000000" w:themeColor="text1"/>
        </w:rPr>
      </w:pPr>
      <w:r w:rsidRPr="00B12FE0">
        <w:rPr>
          <w:rFonts w:ascii="Cambria Math" w:hAnsi="Cambria Math" w:cs="Cambria Math"/>
          <w:color w:val="000000" w:themeColor="text1"/>
        </w:rPr>
        <w:t>④</w:t>
      </w:r>
      <w:r w:rsidRPr="00B12FE0">
        <w:rPr>
          <w:rFonts w:cs="宋体"/>
          <w:bCs/>
          <w:color w:val="000000" w:themeColor="text1"/>
        </w:rPr>
        <w:t>轫致辐射影响分析</w:t>
      </w:r>
    </w:p>
    <w:p w14:paraId="1CCB0E25" w14:textId="77777777" w:rsidR="00A67F21" w:rsidRPr="00B12FE0" w:rsidRDefault="00000000">
      <w:pPr>
        <w:spacing w:line="360" w:lineRule="auto"/>
        <w:ind w:firstLineChars="200" w:firstLine="480"/>
        <w:rPr>
          <w:rFonts w:cs="宋体"/>
          <w:color w:val="000000" w:themeColor="text1"/>
          <w:szCs w:val="32"/>
        </w:rPr>
      </w:pPr>
      <w:r w:rsidRPr="00B12FE0">
        <w:rPr>
          <w:color w:val="000000" w:themeColor="text1"/>
        </w:rPr>
        <w:t>对于</w:t>
      </w:r>
      <w:r w:rsidRPr="00B12FE0">
        <w:rPr>
          <w:color w:val="000000" w:themeColor="text1"/>
          <w:vertAlign w:val="superscript"/>
        </w:rPr>
        <w:t>32</w:t>
      </w:r>
      <w:r w:rsidRPr="00B12FE0">
        <w:rPr>
          <w:color w:val="000000" w:themeColor="text1"/>
        </w:rPr>
        <w:t>P</w:t>
      </w:r>
      <w:r w:rsidRPr="00B12FE0">
        <w:rPr>
          <w:color w:val="000000" w:themeColor="text1"/>
        </w:rPr>
        <w:t>核素为纯</w:t>
      </w:r>
      <w:r w:rsidRPr="00B12FE0">
        <w:rPr>
          <w:color w:val="000000" w:themeColor="text1"/>
        </w:rPr>
        <w:t>β</w:t>
      </w:r>
      <w:r w:rsidRPr="00B12FE0">
        <w:rPr>
          <w:color w:val="000000" w:themeColor="text1"/>
        </w:rPr>
        <w:t>衰变，</w:t>
      </w:r>
      <w:r w:rsidRPr="00B12FE0">
        <w:rPr>
          <w:color w:val="000000" w:themeColor="text1"/>
        </w:rPr>
        <w:t>β</w:t>
      </w:r>
      <w:r w:rsidRPr="00B12FE0">
        <w:rPr>
          <w:color w:val="000000" w:themeColor="text1"/>
        </w:rPr>
        <w:t>粒子如遇高原子序数材料会产生轫致辐射。</w:t>
      </w:r>
    </w:p>
    <w:p w14:paraId="34EA513F" w14:textId="77777777" w:rsidR="00A67F21" w:rsidRPr="00B12FE0" w:rsidRDefault="00000000">
      <w:pPr>
        <w:topLinePunct/>
        <w:autoSpaceDE w:val="0"/>
        <w:spacing w:line="360" w:lineRule="auto"/>
        <w:ind w:firstLine="480"/>
        <w:rPr>
          <w:rFonts w:cs="宋体"/>
          <w:color w:val="000000" w:themeColor="text1"/>
        </w:rPr>
      </w:pPr>
      <w:r w:rsidRPr="00B12FE0">
        <w:rPr>
          <w:rFonts w:cs="宋体"/>
          <w:color w:val="000000" w:themeColor="text1"/>
          <w:szCs w:val="32"/>
        </w:rPr>
        <w:t>根据《辐射防护导论》，对</w:t>
      </w:r>
      <w:r w:rsidRPr="00B12FE0">
        <w:rPr>
          <w:rFonts w:cs="宋体"/>
          <w:color w:val="000000" w:themeColor="text1"/>
          <w:szCs w:val="32"/>
        </w:rPr>
        <w:t>β</w:t>
      </w:r>
      <w:r w:rsidRPr="00B12FE0">
        <w:rPr>
          <w:rFonts w:cs="宋体"/>
          <w:color w:val="000000" w:themeColor="text1"/>
          <w:szCs w:val="32"/>
        </w:rPr>
        <w:t>辐射源，轫致辐射采用下式进行计算。</w:t>
      </w:r>
    </w:p>
    <w:p w14:paraId="1C3BB362" w14:textId="77777777" w:rsidR="00A67F21" w:rsidRPr="00B12FE0" w:rsidRDefault="00A0682D">
      <w:pPr>
        <w:topLinePunct/>
        <w:autoSpaceDE w:val="0"/>
        <w:adjustRightInd w:val="0"/>
        <w:snapToGrid w:val="0"/>
        <w:spacing w:line="360" w:lineRule="auto"/>
        <w:jc w:val="center"/>
        <w:rPr>
          <w:rFonts w:cs="宋体"/>
          <w:color w:val="000000" w:themeColor="text1"/>
        </w:rPr>
      </w:pPr>
      <w:r>
        <w:rPr>
          <w:rFonts w:cs="宋体"/>
          <w:color w:val="000000" w:themeColor="text1"/>
        </w:rPr>
        <w:pict w14:anchorId="2C00B9A4">
          <v:shape id="_x0000_i1029" type="#_x0000_t75" style="width:250.6pt;height:22.45pt" equationxml="&lt;">
            <v:imagedata r:id="rId62" o:title="" chromakey="white"/>
          </v:shape>
        </w:pict>
      </w:r>
      <w:r w:rsidR="00B12FE0" w:rsidRPr="00B12FE0">
        <w:rPr>
          <w:color w:val="000000" w:themeColor="text1"/>
          <w:position w:val="2"/>
        </w:rPr>
        <w:t>……</w:t>
      </w:r>
      <w:r w:rsidR="00B12FE0" w:rsidRPr="00B12FE0">
        <w:rPr>
          <w:rFonts w:cs="宋体"/>
          <w:color w:val="000000" w:themeColor="text1"/>
        </w:rPr>
        <w:t>（式</w:t>
      </w:r>
      <w:r w:rsidR="00B12FE0" w:rsidRPr="00B12FE0">
        <w:rPr>
          <w:color w:val="000000" w:themeColor="text1"/>
        </w:rPr>
        <w:t>11.2.1.</w:t>
      </w:r>
      <w:r w:rsidR="00B12FE0" w:rsidRPr="00B12FE0">
        <w:rPr>
          <w:rFonts w:hint="eastAsia"/>
          <w:color w:val="000000" w:themeColor="text1"/>
        </w:rPr>
        <w:t>2</w:t>
      </w:r>
      <w:r w:rsidR="00B12FE0" w:rsidRPr="00B12FE0">
        <w:rPr>
          <w:color w:val="000000" w:themeColor="text1"/>
        </w:rPr>
        <w:t>-4</w:t>
      </w:r>
      <w:r w:rsidR="00B12FE0" w:rsidRPr="00B12FE0">
        <w:rPr>
          <w:rFonts w:cs="宋体"/>
          <w:color w:val="000000" w:themeColor="text1"/>
        </w:rPr>
        <w:t>）</w:t>
      </w:r>
    </w:p>
    <w:p w14:paraId="395D73BE" w14:textId="77777777" w:rsidR="00A67F21" w:rsidRPr="00B12FE0" w:rsidRDefault="00000000">
      <w:pPr>
        <w:adjustRightInd w:val="0"/>
        <w:snapToGrid w:val="0"/>
        <w:spacing w:line="360" w:lineRule="auto"/>
        <w:ind w:firstLineChars="200" w:firstLine="480"/>
        <w:rPr>
          <w:color w:val="000000" w:themeColor="text1"/>
          <w:szCs w:val="24"/>
        </w:rPr>
      </w:pPr>
      <w:r w:rsidRPr="00B12FE0">
        <w:rPr>
          <w:color w:val="000000" w:themeColor="text1"/>
          <w:szCs w:val="24"/>
        </w:rPr>
        <w:lastRenderedPageBreak/>
        <w:t>式中：</w:t>
      </w:r>
    </w:p>
    <w:p w14:paraId="512E2241" w14:textId="77777777" w:rsidR="00A67F21" w:rsidRPr="00B12FE0" w:rsidRDefault="00000000">
      <w:pPr>
        <w:spacing w:line="360" w:lineRule="auto"/>
        <w:ind w:firstLineChars="200" w:firstLine="480"/>
        <w:rPr>
          <w:rFonts w:cs="宋体"/>
          <w:color w:val="000000" w:themeColor="text1"/>
        </w:rPr>
      </w:pPr>
      <w:proofErr w:type="spellStart"/>
      <w:r w:rsidRPr="00B12FE0">
        <w:rPr>
          <w:rFonts w:cs="宋体"/>
          <w:color w:val="000000" w:themeColor="text1"/>
        </w:rPr>
        <w:t>H</w:t>
      </w:r>
      <w:r w:rsidRPr="00B12FE0">
        <w:rPr>
          <w:rFonts w:cs="宋体"/>
          <w:color w:val="000000" w:themeColor="text1"/>
          <w:vertAlign w:val="subscript"/>
        </w:rPr>
        <w:t>r</w:t>
      </w:r>
      <w:proofErr w:type="spellEnd"/>
      <w:r w:rsidRPr="00B12FE0">
        <w:rPr>
          <w:rFonts w:cs="宋体"/>
          <w:color w:val="000000" w:themeColor="text1"/>
        </w:rPr>
        <w:t>——</w:t>
      </w:r>
      <w:r w:rsidRPr="00B12FE0">
        <w:rPr>
          <w:rFonts w:cs="宋体"/>
          <w:color w:val="000000" w:themeColor="text1"/>
        </w:rPr>
        <w:t>距离</w:t>
      </w:r>
      <w:proofErr w:type="gramStart"/>
      <w:r w:rsidRPr="00B12FE0">
        <w:rPr>
          <w:rFonts w:cs="宋体"/>
          <w:color w:val="000000" w:themeColor="text1"/>
        </w:rPr>
        <w:t>屏蔽层源</w:t>
      </w:r>
      <w:proofErr w:type="gramEnd"/>
      <w:r w:rsidRPr="00B12FE0">
        <w:rPr>
          <w:rFonts w:cs="宋体"/>
          <w:color w:val="000000" w:themeColor="text1"/>
        </w:rPr>
        <w:t>r</w:t>
      </w:r>
      <w:r w:rsidRPr="00B12FE0">
        <w:rPr>
          <w:rFonts w:cs="宋体"/>
          <w:color w:val="000000" w:themeColor="text1"/>
        </w:rPr>
        <w:t>米处的辐射剂量率，</w:t>
      </w:r>
      <w:r w:rsidRPr="00B12FE0">
        <w:rPr>
          <w:rFonts w:cs="宋体"/>
          <w:color w:val="000000" w:themeColor="text1"/>
        </w:rPr>
        <w:t>Gy/h</w:t>
      </w:r>
      <w:r w:rsidRPr="00B12FE0">
        <w:rPr>
          <w:rFonts w:cs="宋体"/>
          <w:color w:val="000000" w:themeColor="text1"/>
        </w:rPr>
        <w:t>；</w:t>
      </w:r>
    </w:p>
    <w:p w14:paraId="71E4F678" w14:textId="77777777" w:rsidR="00A67F21" w:rsidRPr="00B12FE0" w:rsidRDefault="00000000">
      <w:pPr>
        <w:spacing w:line="360" w:lineRule="auto"/>
        <w:ind w:firstLineChars="200" w:firstLine="480"/>
        <w:rPr>
          <w:rFonts w:cs="宋体"/>
          <w:color w:val="000000" w:themeColor="text1"/>
        </w:rPr>
      </w:pPr>
      <w:r w:rsidRPr="00B12FE0">
        <w:rPr>
          <w:rFonts w:cs="宋体"/>
          <w:color w:val="000000" w:themeColor="text1"/>
        </w:rPr>
        <w:t>r——</w:t>
      </w:r>
      <w:r w:rsidRPr="00B12FE0">
        <w:rPr>
          <w:rFonts w:cs="宋体"/>
          <w:color w:val="000000" w:themeColor="text1"/>
        </w:rPr>
        <w:t>参考点与屏蔽层的距离，</w:t>
      </w:r>
      <w:r w:rsidRPr="00B12FE0">
        <w:rPr>
          <w:rFonts w:cs="宋体"/>
          <w:color w:val="000000" w:themeColor="text1"/>
        </w:rPr>
        <w:t>m</w:t>
      </w:r>
      <w:r w:rsidRPr="00B12FE0">
        <w:rPr>
          <w:rFonts w:cs="宋体"/>
          <w:color w:val="000000" w:themeColor="text1"/>
        </w:rPr>
        <w:t>；</w:t>
      </w:r>
    </w:p>
    <w:p w14:paraId="77D05825" w14:textId="77777777" w:rsidR="00A67F21" w:rsidRPr="00B12FE0" w:rsidRDefault="00000000">
      <w:pPr>
        <w:spacing w:line="360" w:lineRule="auto"/>
        <w:ind w:firstLineChars="200" w:firstLine="480"/>
        <w:rPr>
          <w:rFonts w:cs="宋体"/>
          <w:color w:val="000000" w:themeColor="text1"/>
        </w:rPr>
      </w:pPr>
      <w:r w:rsidRPr="00B12FE0">
        <w:rPr>
          <w:rFonts w:cs="宋体"/>
          <w:color w:val="000000" w:themeColor="text1"/>
        </w:rPr>
        <w:t>A ——</w:t>
      </w:r>
      <w:r w:rsidRPr="00B12FE0">
        <w:rPr>
          <w:rFonts w:cs="宋体"/>
          <w:color w:val="000000" w:themeColor="text1"/>
        </w:rPr>
        <w:t>放射源活度，</w:t>
      </w:r>
      <w:r w:rsidRPr="00B12FE0">
        <w:rPr>
          <w:rFonts w:cs="宋体"/>
          <w:color w:val="000000" w:themeColor="text1"/>
        </w:rPr>
        <w:t>Bq</w:t>
      </w:r>
      <w:r w:rsidRPr="00B12FE0">
        <w:rPr>
          <w:rFonts w:cs="宋体"/>
          <w:color w:val="000000" w:themeColor="text1"/>
        </w:rPr>
        <w:t>；</w:t>
      </w:r>
    </w:p>
    <w:p w14:paraId="0ED27BB4" w14:textId="77777777" w:rsidR="00A67F21" w:rsidRPr="00B12FE0" w:rsidRDefault="00000000">
      <w:pPr>
        <w:spacing w:line="360" w:lineRule="auto"/>
        <w:ind w:firstLineChars="200" w:firstLine="480"/>
        <w:rPr>
          <w:rFonts w:cs="宋体"/>
          <w:color w:val="000000" w:themeColor="text1"/>
        </w:rPr>
      </w:pPr>
      <w:r w:rsidRPr="00B12FE0">
        <w:rPr>
          <w:rFonts w:cs="宋体"/>
          <w:color w:val="000000" w:themeColor="text1"/>
        </w:rPr>
        <w:t>Z</w:t>
      </w:r>
      <w:r w:rsidRPr="00B12FE0">
        <w:rPr>
          <w:rFonts w:cs="宋体"/>
          <w:color w:val="000000" w:themeColor="text1"/>
          <w:vertAlign w:val="subscript"/>
        </w:rPr>
        <w:t>e</w:t>
      </w:r>
      <w:r w:rsidRPr="00B12FE0">
        <w:rPr>
          <w:rFonts w:cs="宋体"/>
          <w:color w:val="000000" w:themeColor="text1"/>
        </w:rPr>
        <w:t>——</w:t>
      </w:r>
      <w:r w:rsidRPr="00B12FE0">
        <w:rPr>
          <w:rFonts w:cs="宋体"/>
          <w:color w:val="000000" w:themeColor="text1"/>
        </w:rPr>
        <w:t>屏蔽材料的有效原子序数，取自《辐射防护导论》表</w:t>
      </w:r>
      <w:r w:rsidRPr="00B12FE0">
        <w:rPr>
          <w:rFonts w:cs="宋体"/>
          <w:color w:val="000000" w:themeColor="text1"/>
        </w:rPr>
        <w:t>4.4</w:t>
      </w:r>
      <w:r w:rsidRPr="00B12FE0">
        <w:rPr>
          <w:rFonts w:cs="宋体"/>
          <w:color w:val="000000" w:themeColor="text1"/>
        </w:rPr>
        <w:t>，有机玻璃取</w:t>
      </w:r>
      <w:r w:rsidRPr="00B12FE0">
        <w:rPr>
          <w:rFonts w:cs="宋体"/>
          <w:color w:val="000000" w:themeColor="text1"/>
        </w:rPr>
        <w:t>5.85</w:t>
      </w:r>
      <w:r w:rsidRPr="00B12FE0">
        <w:rPr>
          <w:rFonts w:cs="宋体"/>
          <w:color w:val="000000" w:themeColor="text1"/>
        </w:rPr>
        <w:t>，空气取</w:t>
      </w:r>
      <w:r w:rsidRPr="00B12FE0">
        <w:rPr>
          <w:rFonts w:cs="宋体"/>
          <w:color w:val="000000" w:themeColor="text1"/>
        </w:rPr>
        <w:t>7.36</w:t>
      </w:r>
      <w:r w:rsidRPr="00B12FE0">
        <w:rPr>
          <w:rFonts w:cs="宋体" w:hint="eastAsia"/>
          <w:color w:val="000000" w:themeColor="text1"/>
        </w:rPr>
        <w:t>，</w:t>
      </w:r>
      <w:proofErr w:type="gramStart"/>
      <w:r w:rsidRPr="00B12FE0">
        <w:rPr>
          <w:rFonts w:cs="宋体" w:hint="eastAsia"/>
          <w:color w:val="000000" w:themeColor="text1"/>
        </w:rPr>
        <w:t>铅</w:t>
      </w:r>
      <w:r w:rsidRPr="00B12FE0">
        <w:rPr>
          <w:rFonts w:cs="宋体"/>
          <w:color w:val="000000" w:themeColor="text1"/>
        </w:rPr>
        <w:t>取</w:t>
      </w:r>
      <w:proofErr w:type="gramEnd"/>
      <w:r w:rsidRPr="00B12FE0">
        <w:rPr>
          <w:rFonts w:cs="宋体" w:hint="eastAsia"/>
          <w:color w:val="000000" w:themeColor="text1"/>
        </w:rPr>
        <w:t>82</w:t>
      </w:r>
      <w:r w:rsidRPr="00B12FE0">
        <w:rPr>
          <w:rFonts w:cs="宋体"/>
          <w:color w:val="000000" w:themeColor="text1"/>
        </w:rPr>
        <w:t>；</w:t>
      </w:r>
    </w:p>
    <w:p w14:paraId="3BE07066" w14:textId="77777777" w:rsidR="00A67F21" w:rsidRPr="00B12FE0" w:rsidRDefault="00000000">
      <w:pPr>
        <w:spacing w:line="360" w:lineRule="auto"/>
        <w:ind w:firstLineChars="200" w:firstLine="480"/>
        <w:rPr>
          <w:rFonts w:cs="宋体"/>
          <w:color w:val="000000" w:themeColor="text1"/>
        </w:rPr>
      </w:pPr>
      <w:r w:rsidRPr="00B12FE0">
        <w:rPr>
          <w:rFonts w:cs="宋体"/>
          <w:color w:val="000000" w:themeColor="text1"/>
        </w:rPr>
        <w:t>E</w:t>
      </w:r>
      <w:r w:rsidRPr="00B12FE0">
        <w:rPr>
          <w:rFonts w:cs="宋体"/>
          <w:color w:val="000000" w:themeColor="text1"/>
          <w:vertAlign w:val="subscript"/>
        </w:rPr>
        <w:t>b</w:t>
      </w:r>
      <w:r w:rsidRPr="00B12FE0">
        <w:rPr>
          <w:rFonts w:cs="宋体"/>
          <w:color w:val="000000" w:themeColor="text1"/>
        </w:rPr>
        <w:t>——</w:t>
      </w:r>
      <w:r w:rsidRPr="00B12FE0">
        <w:rPr>
          <w:rFonts w:cs="宋体"/>
          <w:color w:val="000000" w:themeColor="text1"/>
        </w:rPr>
        <w:t>轫致辐射的平均能量</w:t>
      </w:r>
      <w:r w:rsidRPr="00B12FE0">
        <w:rPr>
          <w:rFonts w:cs="宋体"/>
          <w:color w:val="000000" w:themeColor="text1"/>
        </w:rPr>
        <w:t>E</w:t>
      </w:r>
      <w:r w:rsidRPr="00B12FE0">
        <w:rPr>
          <w:rFonts w:cs="宋体"/>
          <w:color w:val="000000" w:themeColor="text1"/>
          <w:vertAlign w:val="subscript"/>
        </w:rPr>
        <w:t>b</w:t>
      </w:r>
      <w:r w:rsidRPr="00B12FE0">
        <w:rPr>
          <w:rFonts w:cs="宋体"/>
          <w:color w:val="000000" w:themeColor="text1"/>
        </w:rPr>
        <w:t>是入射</w:t>
      </w:r>
      <w:r w:rsidRPr="00B12FE0">
        <w:rPr>
          <w:rFonts w:cs="宋体"/>
          <w:color w:val="000000" w:themeColor="text1"/>
        </w:rPr>
        <w:t>β</w:t>
      </w:r>
      <w:r w:rsidRPr="00B12FE0">
        <w:rPr>
          <w:rFonts w:cs="宋体"/>
          <w:color w:val="000000" w:themeColor="text1"/>
        </w:rPr>
        <w:t>粒子的最大能量的</w:t>
      </w:r>
      <w:r w:rsidRPr="00B12FE0">
        <w:rPr>
          <w:rFonts w:cs="宋体"/>
          <w:color w:val="000000" w:themeColor="text1"/>
        </w:rPr>
        <w:t>1/3</w:t>
      </w:r>
      <w:r w:rsidRPr="00B12FE0">
        <w:rPr>
          <w:rFonts w:cs="宋体"/>
          <w:color w:val="000000" w:themeColor="text1"/>
        </w:rPr>
        <w:t>，即</w:t>
      </w:r>
      <w:r w:rsidRPr="00B12FE0">
        <w:rPr>
          <w:rFonts w:cs="宋体"/>
          <w:color w:val="000000" w:themeColor="text1"/>
        </w:rPr>
        <w:t>E</w:t>
      </w:r>
      <w:r w:rsidRPr="00B12FE0">
        <w:rPr>
          <w:rFonts w:cs="宋体"/>
          <w:color w:val="000000" w:themeColor="text1"/>
          <w:vertAlign w:val="subscript"/>
        </w:rPr>
        <w:t>b</w:t>
      </w:r>
      <w:r w:rsidRPr="00B12FE0">
        <w:rPr>
          <w:rFonts w:cs="宋体"/>
          <w:color w:val="000000" w:themeColor="text1"/>
        </w:rPr>
        <w:t>=E</w:t>
      </w:r>
      <w:r w:rsidRPr="00B12FE0">
        <w:rPr>
          <w:rFonts w:cs="宋体"/>
          <w:color w:val="000000" w:themeColor="text1"/>
          <w:vertAlign w:val="subscript"/>
        </w:rPr>
        <w:t>max</w:t>
      </w:r>
      <w:r w:rsidRPr="00B12FE0">
        <w:rPr>
          <w:rFonts w:cs="宋体"/>
          <w:color w:val="000000" w:themeColor="text1"/>
        </w:rPr>
        <w:t>/3</w:t>
      </w:r>
      <w:r w:rsidRPr="00B12FE0">
        <w:rPr>
          <w:rFonts w:cs="宋体"/>
          <w:color w:val="000000" w:themeColor="text1"/>
        </w:rPr>
        <w:t>，</w:t>
      </w:r>
      <w:r w:rsidRPr="00B12FE0">
        <w:rPr>
          <w:rFonts w:cs="宋体"/>
          <w:color w:val="000000" w:themeColor="text1"/>
        </w:rPr>
        <w:t>MeV</w:t>
      </w:r>
      <w:r w:rsidRPr="00B12FE0">
        <w:rPr>
          <w:rFonts w:cs="宋体"/>
          <w:color w:val="000000" w:themeColor="text1"/>
        </w:rPr>
        <w:t>，本项目</w:t>
      </w:r>
      <w:r w:rsidRPr="00B12FE0">
        <w:rPr>
          <w:rFonts w:cs="宋体"/>
          <w:color w:val="000000" w:themeColor="text1"/>
          <w:vertAlign w:val="superscript"/>
        </w:rPr>
        <w:t>32</w:t>
      </w:r>
      <w:r w:rsidRPr="00B12FE0">
        <w:rPr>
          <w:rFonts w:cs="宋体"/>
          <w:color w:val="000000" w:themeColor="text1"/>
        </w:rPr>
        <w:t>P</w:t>
      </w:r>
      <w:r w:rsidRPr="00B12FE0">
        <w:rPr>
          <w:rFonts w:cs="宋体"/>
          <w:color w:val="000000" w:themeColor="text1"/>
        </w:rPr>
        <w:t>为</w:t>
      </w:r>
      <w:r w:rsidRPr="00B12FE0">
        <w:rPr>
          <w:rFonts w:cs="宋体"/>
          <w:color w:val="000000" w:themeColor="text1"/>
        </w:rPr>
        <w:t>0.57MeV</w:t>
      </w:r>
      <w:r w:rsidRPr="00B12FE0">
        <w:rPr>
          <w:rFonts w:cs="宋体"/>
          <w:color w:val="000000" w:themeColor="text1"/>
        </w:rPr>
        <w:t>；</w:t>
      </w:r>
    </w:p>
    <w:p w14:paraId="2C44C1E3" w14:textId="77777777" w:rsidR="00A67F21" w:rsidRPr="00B12FE0" w:rsidRDefault="00000000">
      <w:pPr>
        <w:spacing w:line="360" w:lineRule="auto"/>
        <w:rPr>
          <w:color w:val="000000" w:themeColor="text1"/>
          <w:sz w:val="21"/>
        </w:rPr>
      </w:pPr>
      <w:r w:rsidRPr="00B12FE0">
        <w:rPr>
          <w:rFonts w:cs="宋体"/>
          <w:color w:val="000000" w:themeColor="text1"/>
        </w:rPr>
        <w:t xml:space="preserve">　　</w:t>
      </w:r>
      <w:r w:rsidRPr="00B12FE0">
        <w:rPr>
          <w:rFonts w:cs="宋体"/>
          <w:color w:val="000000" w:themeColor="text1"/>
        </w:rPr>
        <w:fldChar w:fldCharType="begin"/>
      </w:r>
      <w:r w:rsidRPr="00B12FE0">
        <w:rPr>
          <w:rFonts w:cs="宋体"/>
          <w:color w:val="000000" w:themeColor="text1"/>
        </w:rPr>
        <w:instrText xml:space="preserve"> QUOTE </w:instrText>
      </w:r>
      <w:r w:rsidR="00A0682D">
        <w:rPr>
          <w:rFonts w:cs="宋体"/>
          <w:color w:val="000000" w:themeColor="text1"/>
        </w:rPr>
        <w:pict w14:anchorId="32DE90CF">
          <v:shape id="_x0000_i1030" type="#_x0000_t75" style="width:29.9pt;height:13.1pt" equationxml="&lt;">
            <v:imagedata r:id="rId63" o:title="" chromakey="white"/>
          </v:shape>
        </w:pict>
      </w:r>
      <w:r w:rsidRPr="00B12FE0">
        <w:rPr>
          <w:rFonts w:cs="宋体"/>
          <w:color w:val="000000" w:themeColor="text1"/>
        </w:rPr>
        <w:instrText xml:space="preserve"> </w:instrText>
      </w:r>
      <w:r w:rsidRPr="00B12FE0">
        <w:rPr>
          <w:rFonts w:cs="宋体"/>
          <w:color w:val="000000" w:themeColor="text1"/>
        </w:rPr>
        <w:fldChar w:fldCharType="separate"/>
      </w:r>
      <w:r w:rsidRPr="00B12FE0">
        <w:rPr>
          <w:rFonts w:cs="宋体"/>
          <w:color w:val="000000" w:themeColor="text1"/>
        </w:rPr>
        <w:fldChar w:fldCharType="end"/>
      </w:r>
      <w:proofErr w:type="spellStart"/>
      <w:r w:rsidRPr="00B12FE0">
        <w:rPr>
          <w:color w:val="000000" w:themeColor="text1"/>
        </w:rPr>
        <w:t>μ</w:t>
      </w:r>
      <w:r w:rsidRPr="00B12FE0">
        <w:rPr>
          <w:color w:val="000000" w:themeColor="text1"/>
          <w:vertAlign w:val="subscript"/>
        </w:rPr>
        <w:t>en</w:t>
      </w:r>
      <w:proofErr w:type="spellEnd"/>
      <w:r w:rsidRPr="00B12FE0">
        <w:rPr>
          <w:color w:val="000000" w:themeColor="text1"/>
        </w:rPr>
        <w:t>/ρ</w:t>
      </w:r>
      <w:r w:rsidRPr="00B12FE0">
        <w:rPr>
          <w:rFonts w:cs="宋体"/>
          <w:color w:val="000000" w:themeColor="text1"/>
        </w:rPr>
        <w:t>——</w:t>
      </w:r>
      <w:r w:rsidRPr="00B12FE0">
        <w:rPr>
          <w:rFonts w:cs="宋体"/>
          <w:color w:val="000000" w:themeColor="text1"/>
        </w:rPr>
        <w:t>平均能量为</w:t>
      </w:r>
      <w:r w:rsidRPr="00B12FE0">
        <w:rPr>
          <w:rFonts w:cs="宋体"/>
          <w:color w:val="000000" w:themeColor="text1"/>
        </w:rPr>
        <w:t>E</w:t>
      </w:r>
      <w:r w:rsidRPr="00B12FE0">
        <w:rPr>
          <w:rFonts w:cs="宋体"/>
          <w:color w:val="000000" w:themeColor="text1"/>
          <w:vertAlign w:val="subscript"/>
        </w:rPr>
        <w:t>b</w:t>
      </w:r>
      <w:r w:rsidRPr="00B12FE0">
        <w:rPr>
          <w:rFonts w:cs="宋体"/>
          <w:color w:val="000000" w:themeColor="text1"/>
        </w:rPr>
        <w:t>的轫致辐射在空气中的质量能量吸收系数，</w:t>
      </w:r>
      <w:r w:rsidRPr="00B12FE0">
        <w:rPr>
          <w:rFonts w:cs="宋体"/>
          <w:color w:val="000000" w:themeColor="text1"/>
        </w:rPr>
        <w:t>m</w:t>
      </w:r>
      <w:r w:rsidRPr="00B12FE0">
        <w:rPr>
          <w:rFonts w:cs="宋体"/>
          <w:color w:val="000000" w:themeColor="text1"/>
          <w:vertAlign w:val="superscript"/>
        </w:rPr>
        <w:t>2</w:t>
      </w:r>
      <w:r w:rsidRPr="00B12FE0">
        <w:rPr>
          <w:rFonts w:cs="宋体"/>
          <w:color w:val="000000" w:themeColor="text1"/>
        </w:rPr>
        <w:t>/kg</w:t>
      </w:r>
      <w:r w:rsidRPr="00B12FE0">
        <w:rPr>
          <w:rFonts w:cs="宋体"/>
          <w:color w:val="000000" w:themeColor="text1"/>
        </w:rPr>
        <w:t>，取自《辐射防护导论》附表</w:t>
      </w:r>
      <w:r w:rsidRPr="00B12FE0">
        <w:rPr>
          <w:rFonts w:cs="宋体"/>
          <w:color w:val="000000" w:themeColor="text1"/>
          <w:szCs w:val="24"/>
        </w:rPr>
        <w:t>1</w:t>
      </w:r>
      <w:r w:rsidRPr="00B12FE0">
        <w:rPr>
          <w:rFonts w:cs="宋体"/>
          <w:color w:val="000000" w:themeColor="text1"/>
          <w:szCs w:val="24"/>
        </w:rPr>
        <w:t>，</w:t>
      </w:r>
      <w:r w:rsidRPr="00B12FE0">
        <w:rPr>
          <w:rFonts w:cs="宋体"/>
          <w:color w:val="000000" w:themeColor="text1"/>
          <w:szCs w:val="24"/>
          <w:vertAlign w:val="superscript"/>
        </w:rPr>
        <w:t>32</w:t>
      </w:r>
      <w:r w:rsidRPr="00B12FE0">
        <w:rPr>
          <w:rFonts w:cs="宋体"/>
          <w:color w:val="000000" w:themeColor="text1"/>
          <w:szCs w:val="24"/>
        </w:rPr>
        <w:t>P</w:t>
      </w:r>
      <w:r w:rsidRPr="00B12FE0">
        <w:rPr>
          <w:rFonts w:cs="宋体"/>
          <w:color w:val="000000" w:themeColor="text1"/>
          <w:szCs w:val="24"/>
        </w:rPr>
        <w:t>取</w:t>
      </w:r>
      <w:r w:rsidRPr="00B12FE0">
        <w:rPr>
          <w:rFonts w:cs="宋体"/>
          <w:color w:val="000000" w:themeColor="text1"/>
          <w:szCs w:val="24"/>
        </w:rPr>
        <w:t>2.953×10</w:t>
      </w:r>
      <w:r w:rsidRPr="00B12FE0">
        <w:rPr>
          <w:rFonts w:cs="宋体"/>
          <w:color w:val="000000" w:themeColor="text1"/>
          <w:szCs w:val="24"/>
          <w:vertAlign w:val="superscript"/>
        </w:rPr>
        <w:t>-3</w:t>
      </w:r>
      <w:r w:rsidRPr="00B12FE0">
        <w:rPr>
          <w:rFonts w:cs="宋体"/>
          <w:color w:val="000000" w:themeColor="text1"/>
          <w:szCs w:val="24"/>
        </w:rPr>
        <w:t>；</w:t>
      </w:r>
    </w:p>
    <w:p w14:paraId="64CEEA38" w14:textId="77777777" w:rsidR="00A67F21" w:rsidRPr="00B12FE0" w:rsidRDefault="00000000">
      <w:pPr>
        <w:spacing w:line="360" w:lineRule="auto"/>
        <w:ind w:firstLineChars="200" w:firstLine="480"/>
        <w:rPr>
          <w:rFonts w:cs="宋体"/>
          <w:color w:val="000000" w:themeColor="text1"/>
        </w:rPr>
      </w:pPr>
      <w:r w:rsidRPr="00B12FE0">
        <w:rPr>
          <w:rFonts w:cs="宋体"/>
          <w:color w:val="000000" w:themeColor="text1"/>
        </w:rPr>
        <w:t>q——</w:t>
      </w:r>
      <w:r w:rsidRPr="00B12FE0">
        <w:rPr>
          <w:rFonts w:cs="宋体"/>
          <w:color w:val="000000" w:themeColor="text1"/>
        </w:rPr>
        <w:t>参考点所在区域相应的居留因子，保守取</w:t>
      </w:r>
      <w:r w:rsidRPr="00B12FE0">
        <w:rPr>
          <w:rFonts w:cs="宋体"/>
          <w:color w:val="000000" w:themeColor="text1"/>
        </w:rPr>
        <w:t>1</w:t>
      </w:r>
      <w:r w:rsidRPr="00B12FE0">
        <w:rPr>
          <w:rFonts w:cs="宋体"/>
          <w:color w:val="000000" w:themeColor="text1"/>
        </w:rPr>
        <w:t>；</w:t>
      </w:r>
    </w:p>
    <w:p w14:paraId="70FC4E7E" w14:textId="77777777" w:rsidR="00A67F21" w:rsidRPr="00B12FE0" w:rsidRDefault="00000000">
      <w:pPr>
        <w:spacing w:line="360" w:lineRule="auto"/>
        <w:ind w:firstLineChars="200" w:firstLine="480"/>
        <w:rPr>
          <w:color w:val="000000" w:themeColor="text1"/>
        </w:rPr>
      </w:pPr>
      <w:r w:rsidRPr="00B12FE0">
        <w:rPr>
          <w:color w:val="000000" w:themeColor="text1"/>
        </w:rPr>
        <w:t>η——</w:t>
      </w:r>
      <w:r w:rsidRPr="00B12FE0">
        <w:rPr>
          <w:color w:val="000000" w:themeColor="text1"/>
        </w:rPr>
        <w:t>透射比，根据公式</w:t>
      </w:r>
      <w:r w:rsidRPr="00B12FE0">
        <w:rPr>
          <w:color w:val="000000" w:themeColor="text1"/>
        </w:rPr>
        <w:t>η=10</w:t>
      </w:r>
      <w:r w:rsidRPr="00B12FE0">
        <w:rPr>
          <w:color w:val="000000" w:themeColor="text1"/>
          <w:vertAlign w:val="superscript"/>
        </w:rPr>
        <w:t>-d/TVL</w:t>
      </w:r>
      <w:r w:rsidRPr="00B12FE0">
        <w:rPr>
          <w:color w:val="000000" w:themeColor="text1"/>
        </w:rPr>
        <w:t>得出（其中</w:t>
      </w:r>
      <w:r w:rsidRPr="00B12FE0">
        <w:rPr>
          <w:color w:val="000000" w:themeColor="text1"/>
        </w:rPr>
        <w:t>TVL</w:t>
      </w:r>
      <w:r w:rsidRPr="00B12FE0">
        <w:rPr>
          <w:color w:val="000000" w:themeColor="text1"/>
        </w:rPr>
        <w:t>屏蔽层在</w:t>
      </w:r>
      <w:r w:rsidRPr="00B12FE0">
        <w:rPr>
          <w:color w:val="000000" w:themeColor="text1"/>
        </w:rPr>
        <w:t>β</w:t>
      </w:r>
      <w:r w:rsidRPr="00B12FE0">
        <w:rPr>
          <w:color w:val="000000" w:themeColor="text1"/>
        </w:rPr>
        <w:t>粒子平均能量下的</w:t>
      </w:r>
      <w:proofErr w:type="gramStart"/>
      <w:r w:rsidRPr="00B12FE0">
        <w:rPr>
          <w:color w:val="000000" w:themeColor="text1"/>
        </w:rPr>
        <w:t>什值层</w:t>
      </w:r>
      <w:proofErr w:type="gramEnd"/>
      <w:r w:rsidRPr="00B12FE0">
        <w:rPr>
          <w:color w:val="000000" w:themeColor="text1"/>
        </w:rPr>
        <w:t>厚度，由《辐射防护导论》</w:t>
      </w:r>
      <w:r w:rsidRPr="00B12FE0">
        <w:rPr>
          <w:rFonts w:hint="eastAsia"/>
          <w:color w:val="000000" w:themeColor="text1"/>
        </w:rPr>
        <w:t>附表</w:t>
      </w:r>
      <w:r w:rsidRPr="00B12FE0">
        <w:rPr>
          <w:rFonts w:hint="eastAsia"/>
          <w:color w:val="000000" w:themeColor="text1"/>
        </w:rPr>
        <w:t>9</w:t>
      </w:r>
      <w:r w:rsidRPr="00B12FE0">
        <w:rPr>
          <w:rFonts w:hint="eastAsia"/>
          <w:color w:val="000000" w:themeColor="text1"/>
        </w:rPr>
        <w:t>和附表</w:t>
      </w:r>
      <w:r w:rsidRPr="00B12FE0">
        <w:rPr>
          <w:rFonts w:hint="eastAsia"/>
          <w:color w:val="000000" w:themeColor="text1"/>
        </w:rPr>
        <w:t>11</w:t>
      </w:r>
      <w:r w:rsidRPr="00B12FE0">
        <w:rPr>
          <w:color w:val="000000" w:themeColor="text1"/>
        </w:rPr>
        <w:t>，</w:t>
      </w:r>
      <w:r w:rsidRPr="00B12FE0">
        <w:rPr>
          <w:color w:val="000000" w:themeColor="text1"/>
          <w:vertAlign w:val="superscript"/>
        </w:rPr>
        <w:t xml:space="preserve"> 32</w:t>
      </w:r>
      <w:r w:rsidRPr="00B12FE0">
        <w:rPr>
          <w:color w:val="000000" w:themeColor="text1"/>
        </w:rPr>
        <w:t>P</w:t>
      </w:r>
      <w:r w:rsidRPr="00B12FE0">
        <w:rPr>
          <w:color w:val="000000" w:themeColor="text1"/>
        </w:rPr>
        <w:t>敷贴源保守取衰变倍数为</w:t>
      </w:r>
      <w:r w:rsidRPr="00B12FE0">
        <w:rPr>
          <w:rFonts w:hint="eastAsia"/>
          <w:color w:val="000000" w:themeColor="text1"/>
        </w:rPr>
        <w:t>10</w:t>
      </w:r>
      <w:r w:rsidRPr="00B12FE0">
        <w:rPr>
          <w:color w:val="000000" w:themeColor="text1"/>
        </w:rPr>
        <w:t>下</w:t>
      </w:r>
      <w:r w:rsidRPr="00B12FE0">
        <w:rPr>
          <w:color w:val="000000" w:themeColor="text1"/>
        </w:rPr>
        <w:t>,</w:t>
      </w:r>
      <w:r w:rsidRPr="00B12FE0">
        <w:rPr>
          <w:rFonts w:hint="eastAsia"/>
          <w:color w:val="000000" w:themeColor="text1"/>
        </w:rPr>
        <w:t>0.5</w:t>
      </w:r>
      <w:r w:rsidRPr="00B12FE0">
        <w:rPr>
          <w:color w:val="000000" w:themeColor="text1"/>
        </w:rPr>
        <w:t>MeV</w:t>
      </w:r>
      <w:r w:rsidRPr="00B12FE0">
        <w:rPr>
          <w:color w:val="000000" w:themeColor="text1"/>
        </w:rPr>
        <w:t>与</w:t>
      </w:r>
      <w:r w:rsidRPr="00B12FE0">
        <w:rPr>
          <w:rFonts w:hint="eastAsia"/>
          <w:color w:val="000000" w:themeColor="text1"/>
        </w:rPr>
        <w:t>0.662</w:t>
      </w:r>
      <w:r w:rsidRPr="00B12FE0">
        <w:rPr>
          <w:color w:val="000000" w:themeColor="text1"/>
        </w:rPr>
        <w:t>MeV</w:t>
      </w:r>
      <w:r w:rsidRPr="00B12FE0">
        <w:rPr>
          <w:color w:val="000000" w:themeColor="text1"/>
        </w:rPr>
        <w:t>的参数进行内插法计算，即在</w:t>
      </w:r>
      <w:r w:rsidRPr="00B12FE0">
        <w:rPr>
          <w:rFonts w:hint="eastAsia"/>
          <w:color w:val="000000" w:themeColor="text1"/>
        </w:rPr>
        <w:t>混凝土</w:t>
      </w:r>
      <w:r w:rsidRPr="00B12FE0">
        <w:rPr>
          <w:color w:val="000000" w:themeColor="text1"/>
        </w:rPr>
        <w:t>中的</w:t>
      </w:r>
      <w:r w:rsidRPr="00B12FE0">
        <w:rPr>
          <w:color w:val="000000" w:themeColor="text1"/>
        </w:rPr>
        <w:t>HVL</w:t>
      </w:r>
      <w:r w:rsidRPr="00B12FE0">
        <w:rPr>
          <w:color w:val="000000" w:themeColor="text1"/>
        </w:rPr>
        <w:t>为</w:t>
      </w:r>
      <w:r w:rsidRPr="00B12FE0">
        <w:rPr>
          <w:rFonts w:hint="eastAsia"/>
          <w:color w:val="000000" w:themeColor="text1"/>
        </w:rPr>
        <w:t>25.42</w:t>
      </w:r>
      <w:r w:rsidRPr="00B12FE0">
        <w:rPr>
          <w:color w:val="000000" w:themeColor="text1"/>
        </w:rPr>
        <w:t>cm</w:t>
      </w:r>
      <w:r w:rsidRPr="00B12FE0">
        <w:rPr>
          <w:rFonts w:hint="eastAsia"/>
          <w:color w:val="000000" w:themeColor="text1"/>
        </w:rPr>
        <w:t>，在</w:t>
      </w:r>
      <w:r w:rsidRPr="00B12FE0">
        <w:rPr>
          <w:color w:val="000000" w:themeColor="text1"/>
        </w:rPr>
        <w:t>铅中的</w:t>
      </w:r>
      <w:r w:rsidRPr="00B12FE0">
        <w:rPr>
          <w:color w:val="000000" w:themeColor="text1"/>
        </w:rPr>
        <w:t>HVL</w:t>
      </w:r>
      <w:r w:rsidRPr="00B12FE0">
        <w:rPr>
          <w:color w:val="000000" w:themeColor="text1"/>
        </w:rPr>
        <w:t>为</w:t>
      </w:r>
      <w:r w:rsidRPr="00B12FE0">
        <w:rPr>
          <w:rFonts w:hint="eastAsia"/>
          <w:color w:val="000000" w:themeColor="text1"/>
        </w:rPr>
        <w:t>1.89</w:t>
      </w:r>
      <w:r w:rsidRPr="00B12FE0">
        <w:rPr>
          <w:color w:val="000000" w:themeColor="text1"/>
        </w:rPr>
        <w:t>cm)</w:t>
      </w:r>
      <w:r w:rsidRPr="00B12FE0">
        <w:rPr>
          <w:color w:val="000000" w:themeColor="text1"/>
        </w:rPr>
        <w:t>。</w:t>
      </w:r>
    </w:p>
    <w:p w14:paraId="1A5C240C" w14:textId="77777777" w:rsidR="00A67F21" w:rsidRPr="00B12FE0" w:rsidRDefault="00000000">
      <w:pPr>
        <w:adjustRightInd w:val="0"/>
        <w:snapToGrid w:val="0"/>
        <w:spacing w:line="360" w:lineRule="auto"/>
        <w:jc w:val="center"/>
        <w:outlineLvl w:val="4"/>
        <w:rPr>
          <w:b/>
          <w:color w:val="000000" w:themeColor="text1"/>
          <w:sz w:val="21"/>
          <w:szCs w:val="21"/>
        </w:rPr>
      </w:pPr>
      <w:r w:rsidRPr="00B12FE0">
        <w:rPr>
          <w:b/>
          <w:color w:val="000000" w:themeColor="text1"/>
          <w:sz w:val="21"/>
          <w:szCs w:val="21"/>
        </w:rPr>
        <w:t>表</w:t>
      </w:r>
      <w:r w:rsidRPr="00B12FE0">
        <w:rPr>
          <w:b/>
          <w:color w:val="000000" w:themeColor="text1"/>
          <w:sz w:val="21"/>
          <w:szCs w:val="21"/>
        </w:rPr>
        <w:t>11.2.1.</w:t>
      </w:r>
      <w:r w:rsidRPr="00B12FE0">
        <w:rPr>
          <w:rFonts w:hint="eastAsia"/>
          <w:b/>
          <w:color w:val="000000" w:themeColor="text1"/>
          <w:sz w:val="21"/>
          <w:szCs w:val="21"/>
        </w:rPr>
        <w:t>2</w:t>
      </w:r>
      <w:r w:rsidRPr="00B12FE0">
        <w:rPr>
          <w:b/>
          <w:color w:val="000000" w:themeColor="text1"/>
          <w:sz w:val="21"/>
          <w:szCs w:val="21"/>
        </w:rPr>
        <w:t>-</w:t>
      </w:r>
      <w:r w:rsidRPr="00B12FE0">
        <w:rPr>
          <w:rFonts w:hint="eastAsia"/>
          <w:b/>
          <w:color w:val="000000" w:themeColor="text1"/>
          <w:sz w:val="21"/>
          <w:szCs w:val="21"/>
        </w:rPr>
        <w:t>8</w:t>
      </w:r>
      <w:r w:rsidRPr="00B12FE0">
        <w:rPr>
          <w:b/>
          <w:color w:val="000000" w:themeColor="text1"/>
          <w:sz w:val="21"/>
          <w:szCs w:val="21"/>
        </w:rPr>
        <w:t xml:space="preserve">  </w:t>
      </w:r>
      <w:r w:rsidRPr="00B12FE0">
        <w:rPr>
          <w:b/>
          <w:color w:val="000000" w:themeColor="text1"/>
          <w:sz w:val="21"/>
          <w:szCs w:val="21"/>
        </w:rPr>
        <w:t>敷贴治疗关注点辐射剂量率估算</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382"/>
        <w:gridCol w:w="945"/>
        <w:gridCol w:w="1375"/>
        <w:gridCol w:w="1858"/>
        <w:gridCol w:w="601"/>
        <w:gridCol w:w="549"/>
        <w:gridCol w:w="932"/>
        <w:gridCol w:w="1587"/>
      </w:tblGrid>
      <w:tr w:rsidR="00A67F21" w:rsidRPr="00B12FE0" w14:paraId="319A893C" w14:textId="77777777">
        <w:trPr>
          <w:cantSplit/>
          <w:trHeight w:val="272"/>
          <w:jc w:val="center"/>
        </w:trPr>
        <w:tc>
          <w:tcPr>
            <w:tcW w:w="606" w:type="dxa"/>
            <w:noWrap/>
            <w:vAlign w:val="center"/>
          </w:tcPr>
          <w:p w14:paraId="5BDFA5F7"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关注点编号</w:t>
            </w:r>
          </w:p>
        </w:tc>
        <w:tc>
          <w:tcPr>
            <w:tcW w:w="1327" w:type="dxa"/>
            <w:gridSpan w:val="2"/>
            <w:noWrap/>
            <w:vAlign w:val="center"/>
          </w:tcPr>
          <w:p w14:paraId="2DEEEB1E"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位置</w:t>
            </w:r>
          </w:p>
        </w:tc>
        <w:tc>
          <w:tcPr>
            <w:tcW w:w="1375" w:type="dxa"/>
            <w:noWrap/>
            <w:vAlign w:val="center"/>
          </w:tcPr>
          <w:p w14:paraId="41BEB770"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源活度</w:t>
            </w:r>
            <w:r w:rsidRPr="00B12FE0">
              <w:rPr>
                <w:color w:val="000000" w:themeColor="text1"/>
                <w:kern w:val="0"/>
                <w:sz w:val="18"/>
                <w:szCs w:val="18"/>
                <w:lang w:bidi="ar"/>
              </w:rPr>
              <w:t>A</w:t>
            </w:r>
            <w:r w:rsidRPr="00B12FE0">
              <w:rPr>
                <w:color w:val="000000" w:themeColor="text1"/>
                <w:kern w:val="0"/>
                <w:sz w:val="18"/>
                <w:szCs w:val="18"/>
                <w:lang w:bidi="ar"/>
              </w:rPr>
              <w:t>（</w:t>
            </w:r>
            <w:r w:rsidRPr="00B12FE0">
              <w:rPr>
                <w:color w:val="000000" w:themeColor="text1"/>
                <w:kern w:val="0"/>
                <w:sz w:val="18"/>
                <w:szCs w:val="18"/>
                <w:lang w:bidi="ar"/>
              </w:rPr>
              <w:t>Bq</w:t>
            </w:r>
            <w:r w:rsidRPr="00B12FE0">
              <w:rPr>
                <w:color w:val="000000" w:themeColor="text1"/>
                <w:kern w:val="0"/>
                <w:sz w:val="18"/>
                <w:szCs w:val="18"/>
                <w:lang w:bidi="ar"/>
              </w:rPr>
              <w:t>）</w:t>
            </w:r>
          </w:p>
        </w:tc>
        <w:tc>
          <w:tcPr>
            <w:tcW w:w="1858" w:type="dxa"/>
            <w:noWrap/>
            <w:vAlign w:val="center"/>
          </w:tcPr>
          <w:p w14:paraId="4C901FD9"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屏蔽厚度</w:t>
            </w:r>
          </w:p>
        </w:tc>
        <w:tc>
          <w:tcPr>
            <w:tcW w:w="601" w:type="dxa"/>
            <w:noWrap/>
            <w:vAlign w:val="center"/>
          </w:tcPr>
          <w:p w14:paraId="5022B1B4"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Ze</w:t>
            </w:r>
          </w:p>
        </w:tc>
        <w:tc>
          <w:tcPr>
            <w:tcW w:w="549" w:type="dxa"/>
            <w:noWrap/>
            <w:vAlign w:val="center"/>
          </w:tcPr>
          <w:p w14:paraId="5E08397B"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距离</w:t>
            </w:r>
            <w:r w:rsidRPr="00B12FE0">
              <w:rPr>
                <w:color w:val="000000" w:themeColor="text1"/>
                <w:kern w:val="0"/>
                <w:sz w:val="18"/>
                <w:szCs w:val="18"/>
                <w:lang w:bidi="ar"/>
              </w:rPr>
              <w:t>r</w:t>
            </w:r>
            <w:r w:rsidRPr="00B12FE0">
              <w:rPr>
                <w:color w:val="000000" w:themeColor="text1"/>
                <w:kern w:val="0"/>
                <w:sz w:val="18"/>
                <w:szCs w:val="18"/>
                <w:lang w:bidi="ar"/>
              </w:rPr>
              <w:t>（</w:t>
            </w:r>
            <w:r w:rsidRPr="00B12FE0">
              <w:rPr>
                <w:color w:val="000000" w:themeColor="text1"/>
                <w:kern w:val="0"/>
                <w:sz w:val="18"/>
                <w:szCs w:val="18"/>
                <w:lang w:bidi="ar"/>
              </w:rPr>
              <w:t>m</w:t>
            </w:r>
            <w:r w:rsidRPr="00B12FE0">
              <w:rPr>
                <w:color w:val="000000" w:themeColor="text1"/>
                <w:kern w:val="0"/>
                <w:sz w:val="18"/>
                <w:szCs w:val="18"/>
                <w:lang w:bidi="ar"/>
              </w:rPr>
              <w:t>）</w:t>
            </w:r>
          </w:p>
        </w:tc>
        <w:tc>
          <w:tcPr>
            <w:tcW w:w="932" w:type="dxa"/>
            <w:tcBorders>
              <w:bottom w:val="single" w:sz="4" w:space="0" w:color="auto"/>
            </w:tcBorders>
            <w:noWrap/>
            <w:vAlign w:val="center"/>
          </w:tcPr>
          <w:p w14:paraId="7C91FD85"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η</w:t>
            </w:r>
          </w:p>
        </w:tc>
        <w:tc>
          <w:tcPr>
            <w:tcW w:w="1587" w:type="dxa"/>
            <w:noWrap/>
            <w:vAlign w:val="center"/>
          </w:tcPr>
          <w:p w14:paraId="07B7CF5B"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辐射剂量率（</w:t>
            </w:r>
            <w:proofErr w:type="spellStart"/>
            <w:r w:rsidRPr="00B12FE0">
              <w:rPr>
                <w:color w:val="000000" w:themeColor="text1"/>
                <w:kern w:val="0"/>
                <w:sz w:val="18"/>
                <w:szCs w:val="18"/>
                <w:lang w:bidi="ar"/>
              </w:rPr>
              <w:t>μSv</w:t>
            </w:r>
            <w:proofErr w:type="spellEnd"/>
            <w:r w:rsidRPr="00B12FE0">
              <w:rPr>
                <w:color w:val="000000" w:themeColor="text1"/>
                <w:kern w:val="0"/>
                <w:sz w:val="18"/>
                <w:szCs w:val="18"/>
                <w:lang w:bidi="ar"/>
              </w:rPr>
              <w:t>/h</w:t>
            </w:r>
            <w:r w:rsidRPr="00B12FE0">
              <w:rPr>
                <w:color w:val="000000" w:themeColor="text1"/>
                <w:kern w:val="0"/>
                <w:sz w:val="18"/>
                <w:szCs w:val="18"/>
                <w:lang w:bidi="ar"/>
              </w:rPr>
              <w:t>）</w:t>
            </w:r>
          </w:p>
        </w:tc>
      </w:tr>
      <w:tr w:rsidR="00A67F21" w:rsidRPr="00B12FE0" w14:paraId="6E5F09BD" w14:textId="77777777">
        <w:trPr>
          <w:cantSplit/>
          <w:trHeight w:val="272"/>
          <w:jc w:val="center"/>
        </w:trPr>
        <w:tc>
          <w:tcPr>
            <w:tcW w:w="606" w:type="dxa"/>
            <w:noWrap/>
            <w:vAlign w:val="center"/>
          </w:tcPr>
          <w:p w14:paraId="108F9EF6"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2-3</w:t>
            </w:r>
          </w:p>
        </w:tc>
        <w:tc>
          <w:tcPr>
            <w:tcW w:w="382" w:type="dxa"/>
            <w:noWrap/>
            <w:vAlign w:val="center"/>
          </w:tcPr>
          <w:p w14:paraId="70D206E0" w14:textId="77777777" w:rsidR="00A67F21" w:rsidRPr="00B12FE0" w:rsidRDefault="00000000">
            <w:pPr>
              <w:widowControl/>
              <w:jc w:val="center"/>
              <w:textAlignment w:val="center"/>
              <w:rPr>
                <w:color w:val="000000" w:themeColor="text1"/>
                <w:kern w:val="0"/>
                <w:sz w:val="18"/>
                <w:szCs w:val="18"/>
                <w:lang w:bidi="ar"/>
              </w:rPr>
            </w:pPr>
            <w:proofErr w:type="gramStart"/>
            <w:r w:rsidRPr="00B12FE0">
              <w:rPr>
                <w:color w:val="000000" w:themeColor="text1"/>
                <w:kern w:val="0"/>
                <w:sz w:val="18"/>
                <w:szCs w:val="18"/>
                <w:lang w:bidi="ar"/>
              </w:rPr>
              <w:t>高活室</w:t>
            </w:r>
            <w:proofErr w:type="gramEnd"/>
          </w:p>
        </w:tc>
        <w:tc>
          <w:tcPr>
            <w:tcW w:w="945" w:type="dxa"/>
            <w:vAlign w:val="center"/>
          </w:tcPr>
          <w:p w14:paraId="445EB277"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SPECT</w:t>
            </w:r>
            <w:r w:rsidRPr="00B12FE0">
              <w:rPr>
                <w:color w:val="000000" w:themeColor="text1"/>
                <w:kern w:val="0"/>
                <w:sz w:val="18"/>
                <w:szCs w:val="18"/>
                <w:lang w:bidi="ar"/>
              </w:rPr>
              <w:t>手套箱取药位</w:t>
            </w:r>
          </w:p>
        </w:tc>
        <w:tc>
          <w:tcPr>
            <w:tcW w:w="1375" w:type="dxa"/>
            <w:noWrap/>
            <w:vAlign w:val="center"/>
          </w:tcPr>
          <w:p w14:paraId="7FF15911"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1.11</w:t>
            </w:r>
            <w:r w:rsidRPr="00B12FE0">
              <w:rPr>
                <w:color w:val="000000" w:themeColor="text1"/>
                <w:kern w:val="0"/>
                <w:sz w:val="18"/>
                <w:szCs w:val="18"/>
                <w:lang w:bidi="ar"/>
              </w:rPr>
              <w:t>E+0</w:t>
            </w:r>
            <w:r w:rsidRPr="00B12FE0">
              <w:rPr>
                <w:rFonts w:hint="eastAsia"/>
                <w:color w:val="000000" w:themeColor="text1"/>
                <w:kern w:val="0"/>
                <w:sz w:val="18"/>
                <w:szCs w:val="18"/>
                <w:lang w:bidi="ar"/>
              </w:rPr>
              <w:t>8</w:t>
            </w:r>
          </w:p>
        </w:tc>
        <w:tc>
          <w:tcPr>
            <w:tcW w:w="1858" w:type="dxa"/>
            <w:noWrap/>
            <w:vAlign w:val="center"/>
          </w:tcPr>
          <w:p w14:paraId="68F2D935"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10mm</w:t>
            </w:r>
            <w:r w:rsidRPr="00B12FE0">
              <w:rPr>
                <w:color w:val="000000" w:themeColor="text1"/>
                <w:kern w:val="0"/>
                <w:sz w:val="18"/>
                <w:szCs w:val="18"/>
                <w:lang w:bidi="ar"/>
              </w:rPr>
              <w:t>有机玻璃</w:t>
            </w:r>
            <w:r w:rsidRPr="00B12FE0">
              <w:rPr>
                <w:color w:val="000000" w:themeColor="text1"/>
                <w:kern w:val="0"/>
                <w:sz w:val="18"/>
                <w:szCs w:val="18"/>
                <w:lang w:bidi="ar"/>
              </w:rPr>
              <w:t>+20mmPb</w:t>
            </w:r>
            <w:r w:rsidRPr="00B12FE0">
              <w:rPr>
                <w:color w:val="000000" w:themeColor="text1"/>
                <w:kern w:val="0"/>
                <w:sz w:val="18"/>
                <w:szCs w:val="18"/>
                <w:lang w:bidi="ar"/>
              </w:rPr>
              <w:t>手套箱</w:t>
            </w:r>
          </w:p>
        </w:tc>
        <w:tc>
          <w:tcPr>
            <w:tcW w:w="601" w:type="dxa"/>
            <w:noWrap/>
            <w:vAlign w:val="center"/>
          </w:tcPr>
          <w:p w14:paraId="4783C628"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5.85</w:t>
            </w:r>
          </w:p>
        </w:tc>
        <w:tc>
          <w:tcPr>
            <w:tcW w:w="549" w:type="dxa"/>
            <w:noWrap/>
            <w:vAlign w:val="center"/>
          </w:tcPr>
          <w:p w14:paraId="2555C8B2"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0.5</w:t>
            </w:r>
          </w:p>
        </w:tc>
        <w:tc>
          <w:tcPr>
            <w:tcW w:w="932" w:type="dxa"/>
            <w:tcBorders>
              <w:top w:val="single" w:sz="4" w:space="0" w:color="auto"/>
              <w:left w:val="nil"/>
              <w:bottom w:val="single" w:sz="4" w:space="0" w:color="auto"/>
              <w:right w:val="single" w:sz="4" w:space="0" w:color="auto"/>
            </w:tcBorders>
            <w:noWrap/>
            <w:vAlign w:val="center"/>
          </w:tcPr>
          <w:p w14:paraId="6701182C"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8.75E-02</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30094313"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9.52E-03</w:t>
            </w:r>
          </w:p>
        </w:tc>
      </w:tr>
      <w:tr w:rsidR="00A67F21" w:rsidRPr="00B12FE0" w14:paraId="23676F5D" w14:textId="77777777">
        <w:trPr>
          <w:cantSplit/>
          <w:trHeight w:val="272"/>
          <w:jc w:val="center"/>
        </w:trPr>
        <w:tc>
          <w:tcPr>
            <w:tcW w:w="606" w:type="dxa"/>
            <w:noWrap/>
            <w:vAlign w:val="center"/>
          </w:tcPr>
          <w:p w14:paraId="4F058FB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2-6</w:t>
            </w:r>
          </w:p>
        </w:tc>
        <w:tc>
          <w:tcPr>
            <w:tcW w:w="382" w:type="dxa"/>
            <w:vMerge w:val="restart"/>
            <w:noWrap/>
            <w:vAlign w:val="center"/>
          </w:tcPr>
          <w:p w14:paraId="23667935"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储源室</w:t>
            </w:r>
          </w:p>
        </w:tc>
        <w:tc>
          <w:tcPr>
            <w:tcW w:w="945" w:type="dxa"/>
            <w:noWrap/>
            <w:vAlign w:val="center"/>
          </w:tcPr>
          <w:p w14:paraId="2D449C0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上方</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3C238899"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1.11</w:t>
            </w:r>
            <w:r w:rsidRPr="00B12FE0">
              <w:rPr>
                <w:color w:val="000000" w:themeColor="text1"/>
                <w:kern w:val="0"/>
                <w:sz w:val="18"/>
                <w:szCs w:val="18"/>
                <w:lang w:bidi="ar"/>
              </w:rPr>
              <w:t>E+0</w:t>
            </w:r>
            <w:r w:rsidRPr="00B12FE0">
              <w:rPr>
                <w:rFonts w:hint="eastAsia"/>
                <w:color w:val="000000" w:themeColor="text1"/>
                <w:kern w:val="0"/>
                <w:sz w:val="18"/>
                <w:szCs w:val="18"/>
                <w:lang w:bidi="ar"/>
              </w:rPr>
              <w:t>8</w:t>
            </w:r>
          </w:p>
        </w:tc>
        <w:tc>
          <w:tcPr>
            <w:tcW w:w="1858" w:type="dxa"/>
            <w:noWrap/>
            <w:vAlign w:val="center"/>
          </w:tcPr>
          <w:p w14:paraId="3A3C224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15</w:t>
            </w:r>
            <w:r w:rsidRPr="00B12FE0">
              <w:rPr>
                <w:color w:val="000000" w:themeColor="text1"/>
                <w:kern w:val="0"/>
                <w:sz w:val="18"/>
                <w:szCs w:val="18"/>
                <w:lang w:bidi="ar"/>
              </w:rPr>
              <w:t>mmPb</w:t>
            </w:r>
            <w:proofErr w:type="gramStart"/>
            <w:r w:rsidRPr="00B12FE0">
              <w:rPr>
                <w:color w:val="000000" w:themeColor="text1"/>
                <w:kern w:val="0"/>
                <w:sz w:val="18"/>
                <w:szCs w:val="18"/>
                <w:lang w:bidi="ar"/>
              </w:rPr>
              <w:t>铅罐</w:t>
            </w:r>
            <w:proofErr w:type="gramEnd"/>
            <w:r w:rsidRPr="00B12FE0">
              <w:rPr>
                <w:color w:val="000000" w:themeColor="text1"/>
                <w:kern w:val="0"/>
                <w:sz w:val="18"/>
                <w:szCs w:val="18"/>
                <w:lang w:bidi="ar"/>
              </w:rPr>
              <w:t xml:space="preserve"> +2</w:t>
            </w:r>
            <w:r w:rsidRPr="00B12FE0">
              <w:rPr>
                <w:rFonts w:hint="eastAsia"/>
                <w:color w:val="000000" w:themeColor="text1"/>
                <w:kern w:val="0"/>
                <w:sz w:val="18"/>
                <w:szCs w:val="18"/>
                <w:lang w:bidi="ar"/>
              </w:rPr>
              <w:t>5</w:t>
            </w:r>
            <w:r w:rsidRPr="00B12FE0">
              <w:rPr>
                <w:color w:val="000000" w:themeColor="text1"/>
                <w:kern w:val="0"/>
                <w:sz w:val="18"/>
                <w:szCs w:val="18"/>
                <w:lang w:bidi="ar"/>
              </w:rPr>
              <w:t>0mm</w:t>
            </w:r>
            <w:r w:rsidRPr="00B12FE0">
              <w:rPr>
                <w:rFonts w:hint="eastAsia"/>
                <w:color w:val="000000" w:themeColor="text1"/>
                <w:kern w:val="0"/>
                <w:sz w:val="18"/>
                <w:szCs w:val="18"/>
                <w:lang w:bidi="ar"/>
              </w:rPr>
              <w:t>混凝土</w:t>
            </w:r>
          </w:p>
        </w:tc>
        <w:tc>
          <w:tcPr>
            <w:tcW w:w="601" w:type="dxa"/>
            <w:noWrap/>
            <w:vAlign w:val="center"/>
          </w:tcPr>
          <w:p w14:paraId="2FFD0A8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82</w:t>
            </w:r>
          </w:p>
        </w:tc>
        <w:tc>
          <w:tcPr>
            <w:tcW w:w="549" w:type="dxa"/>
            <w:noWrap/>
            <w:vAlign w:val="center"/>
          </w:tcPr>
          <w:p w14:paraId="198A21C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4.5</w:t>
            </w:r>
          </w:p>
        </w:tc>
        <w:tc>
          <w:tcPr>
            <w:tcW w:w="932" w:type="dxa"/>
            <w:tcBorders>
              <w:top w:val="single" w:sz="4" w:space="0" w:color="auto"/>
              <w:left w:val="nil"/>
              <w:bottom w:val="single" w:sz="4" w:space="0" w:color="auto"/>
              <w:right w:val="single" w:sz="4" w:space="0" w:color="auto"/>
            </w:tcBorders>
            <w:noWrap/>
            <w:vAlign w:val="center"/>
          </w:tcPr>
          <w:p w14:paraId="633FB539"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1.67E-02</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1E18404C"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3.30E-04</w:t>
            </w:r>
          </w:p>
        </w:tc>
      </w:tr>
      <w:tr w:rsidR="00A67F21" w:rsidRPr="00B12FE0" w14:paraId="164A89CB" w14:textId="77777777">
        <w:trPr>
          <w:cantSplit/>
          <w:trHeight w:val="272"/>
          <w:jc w:val="center"/>
        </w:trPr>
        <w:tc>
          <w:tcPr>
            <w:tcW w:w="606" w:type="dxa"/>
            <w:vMerge w:val="restart"/>
            <w:noWrap/>
            <w:vAlign w:val="center"/>
          </w:tcPr>
          <w:p w14:paraId="52280EC3"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2-8</w:t>
            </w:r>
          </w:p>
        </w:tc>
        <w:tc>
          <w:tcPr>
            <w:tcW w:w="382" w:type="dxa"/>
            <w:vMerge/>
            <w:noWrap/>
            <w:vAlign w:val="center"/>
          </w:tcPr>
          <w:p w14:paraId="65CB2FB8" w14:textId="77777777" w:rsidR="00A67F21" w:rsidRPr="00B12FE0" w:rsidRDefault="00A67F21">
            <w:pPr>
              <w:jc w:val="center"/>
              <w:rPr>
                <w:color w:val="000000" w:themeColor="text1"/>
                <w:sz w:val="18"/>
                <w:szCs w:val="18"/>
              </w:rPr>
            </w:pPr>
          </w:p>
        </w:tc>
        <w:tc>
          <w:tcPr>
            <w:tcW w:w="945" w:type="dxa"/>
            <w:noWrap/>
            <w:vAlign w:val="center"/>
          </w:tcPr>
          <w:p w14:paraId="3EF2A0B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南</w:t>
            </w:r>
            <w:r w:rsidRPr="00B12FE0">
              <w:rPr>
                <w:color w:val="000000" w:themeColor="text1"/>
                <w:kern w:val="0"/>
                <w:sz w:val="18"/>
                <w:szCs w:val="18"/>
                <w:lang w:bidi="ar"/>
              </w:rPr>
              <w:t>侧墙外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7D0CD536"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1.11</w:t>
            </w:r>
            <w:r w:rsidRPr="00B12FE0">
              <w:rPr>
                <w:color w:val="000000" w:themeColor="text1"/>
                <w:kern w:val="0"/>
                <w:sz w:val="18"/>
                <w:szCs w:val="18"/>
                <w:lang w:bidi="ar"/>
              </w:rPr>
              <w:t>E+0</w:t>
            </w:r>
            <w:r w:rsidRPr="00B12FE0">
              <w:rPr>
                <w:rFonts w:hint="eastAsia"/>
                <w:color w:val="000000" w:themeColor="text1"/>
                <w:kern w:val="0"/>
                <w:sz w:val="18"/>
                <w:szCs w:val="18"/>
                <w:lang w:bidi="ar"/>
              </w:rPr>
              <w:t>8</w:t>
            </w:r>
          </w:p>
        </w:tc>
        <w:tc>
          <w:tcPr>
            <w:tcW w:w="1858" w:type="dxa"/>
            <w:noWrap/>
            <w:vAlign w:val="center"/>
          </w:tcPr>
          <w:p w14:paraId="705C6A0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15</w:t>
            </w:r>
            <w:r w:rsidRPr="00B12FE0">
              <w:rPr>
                <w:color w:val="000000" w:themeColor="text1"/>
                <w:kern w:val="0"/>
                <w:sz w:val="18"/>
                <w:szCs w:val="18"/>
                <w:lang w:bidi="ar"/>
              </w:rPr>
              <w:t>mmPb</w:t>
            </w:r>
            <w:proofErr w:type="gramStart"/>
            <w:r w:rsidRPr="00B12FE0">
              <w:rPr>
                <w:color w:val="000000" w:themeColor="text1"/>
                <w:kern w:val="0"/>
                <w:sz w:val="18"/>
                <w:szCs w:val="18"/>
                <w:lang w:bidi="ar"/>
              </w:rPr>
              <w:t>铅罐</w:t>
            </w:r>
            <w:proofErr w:type="gramEnd"/>
            <w:r w:rsidRPr="00B12FE0">
              <w:rPr>
                <w:color w:val="000000" w:themeColor="text1"/>
                <w:kern w:val="0"/>
                <w:sz w:val="18"/>
                <w:szCs w:val="18"/>
                <w:lang w:bidi="ar"/>
              </w:rPr>
              <w:t>+240mm</w:t>
            </w:r>
            <w:r w:rsidRPr="00B12FE0">
              <w:rPr>
                <w:color w:val="000000" w:themeColor="text1"/>
                <w:kern w:val="0"/>
                <w:sz w:val="18"/>
                <w:szCs w:val="18"/>
                <w:lang w:bidi="ar"/>
              </w:rPr>
              <w:t>实心砖</w:t>
            </w:r>
          </w:p>
        </w:tc>
        <w:tc>
          <w:tcPr>
            <w:tcW w:w="601" w:type="dxa"/>
            <w:noWrap/>
            <w:vAlign w:val="center"/>
          </w:tcPr>
          <w:p w14:paraId="245D9B9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82</w:t>
            </w:r>
          </w:p>
        </w:tc>
        <w:tc>
          <w:tcPr>
            <w:tcW w:w="549" w:type="dxa"/>
            <w:noWrap/>
            <w:vAlign w:val="center"/>
          </w:tcPr>
          <w:p w14:paraId="3626B71D"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1.8</w:t>
            </w:r>
          </w:p>
        </w:tc>
        <w:tc>
          <w:tcPr>
            <w:tcW w:w="932" w:type="dxa"/>
            <w:tcBorders>
              <w:top w:val="single" w:sz="4" w:space="0" w:color="auto"/>
              <w:left w:val="nil"/>
              <w:bottom w:val="single" w:sz="4" w:space="0" w:color="auto"/>
              <w:right w:val="single" w:sz="4" w:space="0" w:color="auto"/>
            </w:tcBorders>
            <w:noWrap/>
            <w:vAlign w:val="center"/>
          </w:tcPr>
          <w:p w14:paraId="064BA36A"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3.49E-02</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1EC8BEC0"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4.31E-03</w:t>
            </w:r>
          </w:p>
        </w:tc>
      </w:tr>
      <w:tr w:rsidR="00A67F21" w:rsidRPr="00B12FE0" w14:paraId="3DF3F762" w14:textId="77777777">
        <w:trPr>
          <w:cantSplit/>
          <w:trHeight w:val="524"/>
          <w:jc w:val="center"/>
        </w:trPr>
        <w:tc>
          <w:tcPr>
            <w:tcW w:w="606" w:type="dxa"/>
            <w:vMerge/>
            <w:noWrap/>
            <w:vAlign w:val="center"/>
          </w:tcPr>
          <w:p w14:paraId="4494F382" w14:textId="77777777" w:rsidR="00A67F21" w:rsidRPr="00B12FE0" w:rsidRDefault="00A67F21">
            <w:pPr>
              <w:jc w:val="center"/>
              <w:rPr>
                <w:color w:val="000000" w:themeColor="text1"/>
                <w:sz w:val="18"/>
                <w:szCs w:val="18"/>
              </w:rPr>
            </w:pPr>
          </w:p>
        </w:tc>
        <w:tc>
          <w:tcPr>
            <w:tcW w:w="382" w:type="dxa"/>
            <w:vMerge/>
            <w:noWrap/>
            <w:vAlign w:val="center"/>
          </w:tcPr>
          <w:p w14:paraId="214E9600" w14:textId="77777777" w:rsidR="00A67F21" w:rsidRPr="00B12FE0" w:rsidRDefault="00A67F21">
            <w:pPr>
              <w:jc w:val="center"/>
              <w:rPr>
                <w:color w:val="000000" w:themeColor="text1"/>
                <w:sz w:val="18"/>
                <w:szCs w:val="18"/>
              </w:rPr>
            </w:pPr>
          </w:p>
        </w:tc>
        <w:tc>
          <w:tcPr>
            <w:tcW w:w="945" w:type="dxa"/>
            <w:noWrap/>
            <w:vAlign w:val="center"/>
          </w:tcPr>
          <w:p w14:paraId="5EDD345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南</w:t>
            </w:r>
            <w:r w:rsidRPr="00B12FE0">
              <w:rPr>
                <w:color w:val="000000" w:themeColor="text1"/>
                <w:kern w:val="0"/>
                <w:sz w:val="18"/>
                <w:szCs w:val="18"/>
                <w:lang w:bidi="ar"/>
              </w:rPr>
              <w:t>侧防护门外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672D2213"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1.11</w:t>
            </w:r>
            <w:r w:rsidRPr="00B12FE0">
              <w:rPr>
                <w:color w:val="000000" w:themeColor="text1"/>
                <w:kern w:val="0"/>
                <w:sz w:val="18"/>
                <w:szCs w:val="18"/>
                <w:lang w:bidi="ar"/>
              </w:rPr>
              <w:t>E+0</w:t>
            </w:r>
            <w:r w:rsidRPr="00B12FE0">
              <w:rPr>
                <w:rFonts w:hint="eastAsia"/>
                <w:color w:val="000000" w:themeColor="text1"/>
                <w:kern w:val="0"/>
                <w:sz w:val="18"/>
                <w:szCs w:val="18"/>
                <w:lang w:bidi="ar"/>
              </w:rPr>
              <w:t>8</w:t>
            </w:r>
          </w:p>
        </w:tc>
        <w:tc>
          <w:tcPr>
            <w:tcW w:w="1858" w:type="dxa"/>
            <w:noWrap/>
            <w:vAlign w:val="center"/>
          </w:tcPr>
          <w:p w14:paraId="49812F8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15mmPb</w:t>
            </w:r>
            <w:proofErr w:type="gramStart"/>
            <w:r w:rsidRPr="00B12FE0">
              <w:rPr>
                <w:rFonts w:hint="eastAsia"/>
                <w:color w:val="000000" w:themeColor="text1"/>
                <w:sz w:val="18"/>
                <w:szCs w:val="18"/>
              </w:rPr>
              <w:t>铅罐</w:t>
            </w:r>
            <w:proofErr w:type="gramEnd"/>
            <w:r w:rsidRPr="00B12FE0">
              <w:rPr>
                <w:rFonts w:hint="eastAsia"/>
                <w:color w:val="000000" w:themeColor="text1"/>
                <w:sz w:val="18"/>
                <w:szCs w:val="18"/>
              </w:rPr>
              <w:t>+</w:t>
            </w:r>
            <w:r w:rsidRPr="00B12FE0">
              <w:rPr>
                <w:rFonts w:hint="eastAsia"/>
                <w:color w:val="000000" w:themeColor="text1"/>
                <w:sz w:val="18"/>
                <w:szCs w:val="18"/>
              </w:rPr>
              <w:t>内衬</w:t>
            </w:r>
            <w:r w:rsidRPr="00B12FE0">
              <w:rPr>
                <w:rFonts w:hint="eastAsia"/>
                <w:color w:val="000000" w:themeColor="text1"/>
                <w:sz w:val="18"/>
                <w:szCs w:val="18"/>
              </w:rPr>
              <w:t>6mmPb</w:t>
            </w:r>
            <w:proofErr w:type="gramStart"/>
            <w:r w:rsidRPr="00B12FE0">
              <w:rPr>
                <w:rFonts w:hint="eastAsia"/>
                <w:color w:val="000000" w:themeColor="text1"/>
                <w:sz w:val="18"/>
                <w:szCs w:val="18"/>
              </w:rPr>
              <w:t>铅门</w:t>
            </w:r>
            <w:proofErr w:type="gramEnd"/>
          </w:p>
        </w:tc>
        <w:tc>
          <w:tcPr>
            <w:tcW w:w="601" w:type="dxa"/>
            <w:noWrap/>
            <w:vAlign w:val="center"/>
          </w:tcPr>
          <w:p w14:paraId="7C086AA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82</w:t>
            </w:r>
          </w:p>
        </w:tc>
        <w:tc>
          <w:tcPr>
            <w:tcW w:w="549" w:type="dxa"/>
            <w:noWrap/>
            <w:vAlign w:val="center"/>
          </w:tcPr>
          <w:p w14:paraId="69F1C15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1.8</w:t>
            </w:r>
          </w:p>
        </w:tc>
        <w:tc>
          <w:tcPr>
            <w:tcW w:w="932" w:type="dxa"/>
            <w:tcBorders>
              <w:top w:val="single" w:sz="4" w:space="0" w:color="auto"/>
              <w:left w:val="nil"/>
              <w:bottom w:val="single" w:sz="4" w:space="0" w:color="auto"/>
              <w:right w:val="single" w:sz="4" w:space="0" w:color="auto"/>
            </w:tcBorders>
            <w:noWrap/>
            <w:vAlign w:val="center"/>
          </w:tcPr>
          <w:p w14:paraId="7A924977"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1.16E-08</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591962E6"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1.43E-09</w:t>
            </w:r>
          </w:p>
        </w:tc>
      </w:tr>
      <w:tr w:rsidR="00A67F21" w:rsidRPr="00B12FE0" w14:paraId="0D959A28" w14:textId="77777777">
        <w:trPr>
          <w:cantSplit/>
          <w:trHeight w:val="524"/>
          <w:jc w:val="center"/>
        </w:trPr>
        <w:tc>
          <w:tcPr>
            <w:tcW w:w="606" w:type="dxa"/>
            <w:noWrap/>
            <w:vAlign w:val="center"/>
          </w:tcPr>
          <w:p w14:paraId="53663EAC"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2-9</w:t>
            </w:r>
          </w:p>
        </w:tc>
        <w:tc>
          <w:tcPr>
            <w:tcW w:w="382" w:type="dxa"/>
            <w:vMerge w:val="restart"/>
            <w:noWrap/>
            <w:vAlign w:val="center"/>
          </w:tcPr>
          <w:p w14:paraId="147F1EAF" w14:textId="77777777" w:rsidR="00A67F21" w:rsidRPr="00B12FE0" w:rsidRDefault="00000000">
            <w:pPr>
              <w:jc w:val="center"/>
              <w:rPr>
                <w:color w:val="000000" w:themeColor="text1"/>
                <w:sz w:val="18"/>
                <w:szCs w:val="18"/>
              </w:rPr>
            </w:pPr>
            <w:proofErr w:type="gramStart"/>
            <w:r w:rsidRPr="00B12FE0">
              <w:rPr>
                <w:rFonts w:hint="eastAsia"/>
                <w:color w:val="000000" w:themeColor="text1"/>
                <w:sz w:val="18"/>
                <w:szCs w:val="18"/>
              </w:rPr>
              <w:t>固废间</w:t>
            </w:r>
            <w:proofErr w:type="gramEnd"/>
          </w:p>
        </w:tc>
        <w:tc>
          <w:tcPr>
            <w:tcW w:w="945" w:type="dxa"/>
            <w:noWrap/>
            <w:vAlign w:val="center"/>
          </w:tcPr>
          <w:p w14:paraId="6BC8DD03"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上方</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13D3BA32" w14:textId="77777777" w:rsidR="00A67F21" w:rsidRPr="00B12FE0" w:rsidRDefault="00000000">
            <w:pPr>
              <w:widowControl/>
              <w:jc w:val="center"/>
              <w:textAlignment w:val="center"/>
              <w:rPr>
                <w:color w:val="000000" w:themeColor="text1"/>
                <w:kern w:val="0"/>
                <w:sz w:val="18"/>
                <w:szCs w:val="18"/>
                <w:vertAlign w:val="superscript"/>
                <w:lang w:bidi="ar"/>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4.44</w:t>
            </w:r>
            <w:r w:rsidRPr="00B12FE0">
              <w:rPr>
                <w:color w:val="000000" w:themeColor="text1"/>
                <w:kern w:val="0"/>
                <w:sz w:val="18"/>
                <w:szCs w:val="18"/>
                <w:lang w:bidi="ar"/>
              </w:rPr>
              <w:t>E+0</w:t>
            </w:r>
            <w:r w:rsidRPr="00B12FE0">
              <w:rPr>
                <w:rFonts w:hint="eastAsia"/>
                <w:color w:val="000000" w:themeColor="text1"/>
                <w:kern w:val="0"/>
                <w:sz w:val="18"/>
                <w:szCs w:val="18"/>
                <w:lang w:bidi="ar"/>
              </w:rPr>
              <w:t>9</w:t>
            </w:r>
          </w:p>
        </w:tc>
        <w:tc>
          <w:tcPr>
            <w:tcW w:w="1858" w:type="dxa"/>
            <w:noWrap/>
            <w:vAlign w:val="center"/>
          </w:tcPr>
          <w:p w14:paraId="3C9ADE9D"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2mmPb</w:t>
            </w:r>
            <w:r w:rsidRPr="00B12FE0">
              <w:rPr>
                <w:color w:val="000000" w:themeColor="text1"/>
                <w:sz w:val="18"/>
                <w:szCs w:val="18"/>
              </w:rPr>
              <w:t>衰变箱</w:t>
            </w:r>
            <w:r w:rsidRPr="00B12FE0">
              <w:rPr>
                <w:color w:val="000000" w:themeColor="text1"/>
                <w:sz w:val="18"/>
                <w:szCs w:val="18"/>
              </w:rPr>
              <w:t>+2</w:t>
            </w:r>
            <w:r w:rsidRPr="00B12FE0">
              <w:rPr>
                <w:rFonts w:hint="eastAsia"/>
                <w:color w:val="000000" w:themeColor="text1"/>
                <w:sz w:val="18"/>
                <w:szCs w:val="18"/>
              </w:rPr>
              <w:t>50</w:t>
            </w:r>
            <w:r w:rsidRPr="00B12FE0">
              <w:rPr>
                <w:color w:val="000000" w:themeColor="text1"/>
                <w:sz w:val="18"/>
                <w:szCs w:val="18"/>
              </w:rPr>
              <w:t>mm</w:t>
            </w:r>
            <w:r w:rsidRPr="00B12FE0">
              <w:rPr>
                <w:rFonts w:hint="eastAsia"/>
                <w:color w:val="000000" w:themeColor="text1"/>
                <w:sz w:val="18"/>
                <w:szCs w:val="18"/>
              </w:rPr>
              <w:t>混凝土</w:t>
            </w:r>
          </w:p>
        </w:tc>
        <w:tc>
          <w:tcPr>
            <w:tcW w:w="601" w:type="dxa"/>
            <w:noWrap/>
            <w:vAlign w:val="center"/>
          </w:tcPr>
          <w:p w14:paraId="1C5B0DB2"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82</w:t>
            </w:r>
          </w:p>
        </w:tc>
        <w:tc>
          <w:tcPr>
            <w:tcW w:w="549" w:type="dxa"/>
            <w:noWrap/>
            <w:vAlign w:val="center"/>
          </w:tcPr>
          <w:p w14:paraId="6C292547"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4.5</w:t>
            </w:r>
          </w:p>
        </w:tc>
        <w:tc>
          <w:tcPr>
            <w:tcW w:w="932" w:type="dxa"/>
            <w:tcBorders>
              <w:top w:val="single" w:sz="4" w:space="0" w:color="auto"/>
              <w:left w:val="nil"/>
              <w:bottom w:val="single" w:sz="4" w:space="0" w:color="auto"/>
              <w:right w:val="single" w:sz="4" w:space="0" w:color="auto"/>
            </w:tcBorders>
            <w:noWrap/>
            <w:vAlign w:val="center"/>
          </w:tcPr>
          <w:p w14:paraId="0187F6CE"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8.14E-02</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5813E06D"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6.43E-02</w:t>
            </w:r>
          </w:p>
        </w:tc>
      </w:tr>
      <w:tr w:rsidR="00A67F21" w:rsidRPr="00B12FE0" w14:paraId="74AE5C63" w14:textId="77777777">
        <w:trPr>
          <w:cantSplit/>
          <w:trHeight w:val="524"/>
          <w:jc w:val="center"/>
        </w:trPr>
        <w:tc>
          <w:tcPr>
            <w:tcW w:w="606" w:type="dxa"/>
            <w:noWrap/>
            <w:vAlign w:val="center"/>
          </w:tcPr>
          <w:p w14:paraId="3F47A655"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2-10</w:t>
            </w:r>
          </w:p>
        </w:tc>
        <w:tc>
          <w:tcPr>
            <w:tcW w:w="382" w:type="dxa"/>
            <w:vMerge/>
            <w:noWrap/>
            <w:vAlign w:val="center"/>
          </w:tcPr>
          <w:p w14:paraId="3AC4CE64" w14:textId="77777777" w:rsidR="00A67F21" w:rsidRPr="00B12FE0" w:rsidRDefault="00A67F21">
            <w:pPr>
              <w:jc w:val="center"/>
              <w:rPr>
                <w:color w:val="000000" w:themeColor="text1"/>
                <w:sz w:val="18"/>
                <w:szCs w:val="18"/>
              </w:rPr>
            </w:pPr>
          </w:p>
        </w:tc>
        <w:tc>
          <w:tcPr>
            <w:tcW w:w="945" w:type="dxa"/>
            <w:noWrap/>
            <w:vAlign w:val="center"/>
          </w:tcPr>
          <w:p w14:paraId="2B2E9F0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北侧墙外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3698B5ED" w14:textId="77777777" w:rsidR="00A67F21" w:rsidRPr="00B12FE0" w:rsidRDefault="00000000">
            <w:pPr>
              <w:widowControl/>
              <w:jc w:val="center"/>
              <w:textAlignment w:val="center"/>
              <w:rPr>
                <w:color w:val="000000" w:themeColor="text1"/>
                <w:kern w:val="0"/>
                <w:sz w:val="18"/>
                <w:szCs w:val="18"/>
                <w:vertAlign w:val="superscript"/>
                <w:lang w:bidi="ar"/>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4.44</w:t>
            </w:r>
            <w:r w:rsidRPr="00B12FE0">
              <w:rPr>
                <w:color w:val="000000" w:themeColor="text1"/>
                <w:kern w:val="0"/>
                <w:sz w:val="18"/>
                <w:szCs w:val="18"/>
                <w:lang w:bidi="ar"/>
              </w:rPr>
              <w:t>E+0</w:t>
            </w:r>
            <w:r w:rsidRPr="00B12FE0">
              <w:rPr>
                <w:rFonts w:hint="eastAsia"/>
                <w:color w:val="000000" w:themeColor="text1"/>
                <w:kern w:val="0"/>
                <w:sz w:val="18"/>
                <w:szCs w:val="18"/>
                <w:lang w:bidi="ar"/>
              </w:rPr>
              <w:t>9</w:t>
            </w:r>
          </w:p>
        </w:tc>
        <w:tc>
          <w:tcPr>
            <w:tcW w:w="1858" w:type="dxa"/>
            <w:noWrap/>
            <w:vAlign w:val="center"/>
          </w:tcPr>
          <w:p w14:paraId="1B8816C6"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2mmPb</w:t>
            </w:r>
            <w:r w:rsidRPr="00B12FE0">
              <w:rPr>
                <w:color w:val="000000" w:themeColor="text1"/>
                <w:sz w:val="18"/>
                <w:szCs w:val="18"/>
              </w:rPr>
              <w:t>衰变箱</w:t>
            </w:r>
            <w:r w:rsidRPr="00B12FE0">
              <w:rPr>
                <w:color w:val="000000" w:themeColor="text1"/>
                <w:sz w:val="18"/>
                <w:szCs w:val="18"/>
              </w:rPr>
              <w:t>+240mm</w:t>
            </w:r>
            <w:r w:rsidRPr="00B12FE0">
              <w:rPr>
                <w:color w:val="000000" w:themeColor="text1"/>
                <w:sz w:val="18"/>
                <w:szCs w:val="18"/>
              </w:rPr>
              <w:t>实心砖</w:t>
            </w:r>
          </w:p>
        </w:tc>
        <w:tc>
          <w:tcPr>
            <w:tcW w:w="601" w:type="dxa"/>
            <w:noWrap/>
            <w:vAlign w:val="center"/>
          </w:tcPr>
          <w:p w14:paraId="4EDE5CF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82</w:t>
            </w:r>
          </w:p>
        </w:tc>
        <w:tc>
          <w:tcPr>
            <w:tcW w:w="549" w:type="dxa"/>
            <w:noWrap/>
            <w:vAlign w:val="center"/>
          </w:tcPr>
          <w:p w14:paraId="43A0F13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1.8</w:t>
            </w:r>
          </w:p>
        </w:tc>
        <w:tc>
          <w:tcPr>
            <w:tcW w:w="932" w:type="dxa"/>
            <w:tcBorders>
              <w:top w:val="single" w:sz="4" w:space="0" w:color="auto"/>
              <w:left w:val="nil"/>
              <w:bottom w:val="single" w:sz="4" w:space="0" w:color="auto"/>
              <w:right w:val="single" w:sz="4" w:space="0" w:color="auto"/>
            </w:tcBorders>
            <w:noWrap/>
            <w:vAlign w:val="center"/>
          </w:tcPr>
          <w:p w14:paraId="10533030"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1.70E-01</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626C6D6A"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8.41E-01</w:t>
            </w:r>
          </w:p>
        </w:tc>
      </w:tr>
      <w:tr w:rsidR="00A67F21" w:rsidRPr="00B12FE0" w14:paraId="63DA75EA" w14:textId="77777777">
        <w:trPr>
          <w:cantSplit/>
          <w:trHeight w:val="524"/>
          <w:jc w:val="center"/>
        </w:trPr>
        <w:tc>
          <w:tcPr>
            <w:tcW w:w="606" w:type="dxa"/>
            <w:vMerge w:val="restart"/>
            <w:noWrap/>
            <w:vAlign w:val="center"/>
          </w:tcPr>
          <w:p w14:paraId="601B3CD8"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2-11</w:t>
            </w:r>
          </w:p>
        </w:tc>
        <w:tc>
          <w:tcPr>
            <w:tcW w:w="382" w:type="dxa"/>
            <w:vMerge/>
            <w:noWrap/>
            <w:vAlign w:val="center"/>
          </w:tcPr>
          <w:p w14:paraId="0FFA267A" w14:textId="77777777" w:rsidR="00A67F21" w:rsidRPr="00B12FE0" w:rsidRDefault="00A67F21">
            <w:pPr>
              <w:jc w:val="center"/>
              <w:rPr>
                <w:color w:val="000000" w:themeColor="text1"/>
                <w:sz w:val="18"/>
                <w:szCs w:val="18"/>
              </w:rPr>
            </w:pPr>
          </w:p>
        </w:tc>
        <w:tc>
          <w:tcPr>
            <w:tcW w:w="945" w:type="dxa"/>
            <w:noWrap/>
            <w:vAlign w:val="center"/>
          </w:tcPr>
          <w:p w14:paraId="0AA2E167"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南</w:t>
            </w:r>
            <w:r w:rsidRPr="00B12FE0">
              <w:rPr>
                <w:color w:val="000000" w:themeColor="text1"/>
                <w:kern w:val="0"/>
                <w:sz w:val="18"/>
                <w:szCs w:val="18"/>
                <w:lang w:bidi="ar"/>
              </w:rPr>
              <w:t>侧墙外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25ADE00C" w14:textId="77777777" w:rsidR="00A67F21" w:rsidRPr="00B12FE0" w:rsidRDefault="00000000">
            <w:pPr>
              <w:widowControl/>
              <w:jc w:val="center"/>
              <w:textAlignment w:val="center"/>
              <w:rPr>
                <w:color w:val="000000" w:themeColor="text1"/>
                <w:kern w:val="0"/>
                <w:sz w:val="18"/>
                <w:szCs w:val="18"/>
                <w:vertAlign w:val="superscript"/>
                <w:lang w:bidi="ar"/>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4.44</w:t>
            </w:r>
            <w:r w:rsidRPr="00B12FE0">
              <w:rPr>
                <w:color w:val="000000" w:themeColor="text1"/>
                <w:kern w:val="0"/>
                <w:sz w:val="18"/>
                <w:szCs w:val="18"/>
                <w:lang w:bidi="ar"/>
              </w:rPr>
              <w:t>E+0</w:t>
            </w:r>
            <w:r w:rsidRPr="00B12FE0">
              <w:rPr>
                <w:rFonts w:hint="eastAsia"/>
                <w:color w:val="000000" w:themeColor="text1"/>
                <w:kern w:val="0"/>
                <w:sz w:val="18"/>
                <w:szCs w:val="18"/>
                <w:lang w:bidi="ar"/>
              </w:rPr>
              <w:t>9</w:t>
            </w:r>
          </w:p>
        </w:tc>
        <w:tc>
          <w:tcPr>
            <w:tcW w:w="1858" w:type="dxa"/>
            <w:noWrap/>
            <w:vAlign w:val="center"/>
          </w:tcPr>
          <w:p w14:paraId="1A78E59B"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2mmPb</w:t>
            </w:r>
            <w:r w:rsidRPr="00B12FE0">
              <w:rPr>
                <w:rFonts w:hint="eastAsia"/>
                <w:color w:val="000000" w:themeColor="text1"/>
                <w:sz w:val="18"/>
                <w:szCs w:val="18"/>
              </w:rPr>
              <w:t>衰变箱</w:t>
            </w:r>
            <w:r w:rsidRPr="00B12FE0">
              <w:rPr>
                <w:rFonts w:hint="eastAsia"/>
                <w:color w:val="000000" w:themeColor="text1"/>
                <w:sz w:val="18"/>
                <w:szCs w:val="18"/>
              </w:rPr>
              <w:t>+240mm</w:t>
            </w:r>
            <w:r w:rsidRPr="00B12FE0">
              <w:rPr>
                <w:rFonts w:hint="eastAsia"/>
                <w:color w:val="000000" w:themeColor="text1"/>
                <w:sz w:val="18"/>
                <w:szCs w:val="18"/>
              </w:rPr>
              <w:t>实心砖</w:t>
            </w:r>
          </w:p>
        </w:tc>
        <w:tc>
          <w:tcPr>
            <w:tcW w:w="601" w:type="dxa"/>
            <w:noWrap/>
            <w:vAlign w:val="center"/>
          </w:tcPr>
          <w:p w14:paraId="2B0D3C7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82</w:t>
            </w:r>
          </w:p>
        </w:tc>
        <w:tc>
          <w:tcPr>
            <w:tcW w:w="549" w:type="dxa"/>
            <w:noWrap/>
            <w:vAlign w:val="center"/>
          </w:tcPr>
          <w:p w14:paraId="35D5237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1.8</w:t>
            </w:r>
          </w:p>
        </w:tc>
        <w:tc>
          <w:tcPr>
            <w:tcW w:w="932" w:type="dxa"/>
            <w:tcBorders>
              <w:top w:val="single" w:sz="4" w:space="0" w:color="auto"/>
              <w:left w:val="nil"/>
              <w:bottom w:val="single" w:sz="4" w:space="0" w:color="auto"/>
              <w:right w:val="single" w:sz="4" w:space="0" w:color="auto"/>
            </w:tcBorders>
            <w:noWrap/>
            <w:vAlign w:val="center"/>
          </w:tcPr>
          <w:p w14:paraId="4CBEEA64"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1.70E-01</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5332EDD2"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8.41E-01</w:t>
            </w:r>
          </w:p>
        </w:tc>
      </w:tr>
      <w:tr w:rsidR="00A67F21" w:rsidRPr="00B12FE0" w14:paraId="64639F67" w14:textId="77777777">
        <w:trPr>
          <w:cantSplit/>
          <w:trHeight w:val="524"/>
          <w:jc w:val="center"/>
        </w:trPr>
        <w:tc>
          <w:tcPr>
            <w:tcW w:w="606" w:type="dxa"/>
            <w:vMerge/>
            <w:noWrap/>
            <w:vAlign w:val="center"/>
          </w:tcPr>
          <w:p w14:paraId="4EEA9009" w14:textId="77777777" w:rsidR="00A67F21" w:rsidRPr="00B12FE0" w:rsidRDefault="00A67F21">
            <w:pPr>
              <w:jc w:val="center"/>
              <w:rPr>
                <w:color w:val="000000" w:themeColor="text1"/>
                <w:sz w:val="18"/>
                <w:szCs w:val="18"/>
              </w:rPr>
            </w:pPr>
          </w:p>
        </w:tc>
        <w:tc>
          <w:tcPr>
            <w:tcW w:w="382" w:type="dxa"/>
            <w:vMerge/>
            <w:noWrap/>
            <w:vAlign w:val="center"/>
          </w:tcPr>
          <w:p w14:paraId="17A4970B" w14:textId="77777777" w:rsidR="00A67F21" w:rsidRPr="00B12FE0" w:rsidRDefault="00A67F21">
            <w:pPr>
              <w:jc w:val="center"/>
              <w:rPr>
                <w:color w:val="000000" w:themeColor="text1"/>
                <w:sz w:val="18"/>
                <w:szCs w:val="18"/>
              </w:rPr>
            </w:pPr>
          </w:p>
        </w:tc>
        <w:tc>
          <w:tcPr>
            <w:tcW w:w="945" w:type="dxa"/>
            <w:noWrap/>
            <w:vAlign w:val="center"/>
          </w:tcPr>
          <w:p w14:paraId="20433872"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南</w:t>
            </w:r>
            <w:r w:rsidRPr="00B12FE0">
              <w:rPr>
                <w:color w:val="000000" w:themeColor="text1"/>
                <w:kern w:val="0"/>
                <w:sz w:val="18"/>
                <w:szCs w:val="18"/>
                <w:lang w:bidi="ar"/>
              </w:rPr>
              <w:t>侧防护门外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4DD930C6" w14:textId="77777777" w:rsidR="00A67F21" w:rsidRPr="00B12FE0" w:rsidRDefault="00000000">
            <w:pPr>
              <w:widowControl/>
              <w:jc w:val="center"/>
              <w:textAlignment w:val="center"/>
              <w:rPr>
                <w:color w:val="000000" w:themeColor="text1"/>
                <w:kern w:val="0"/>
                <w:sz w:val="18"/>
                <w:szCs w:val="18"/>
                <w:vertAlign w:val="superscript"/>
                <w:lang w:bidi="ar"/>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4.44</w:t>
            </w:r>
            <w:r w:rsidRPr="00B12FE0">
              <w:rPr>
                <w:color w:val="000000" w:themeColor="text1"/>
                <w:kern w:val="0"/>
                <w:sz w:val="18"/>
                <w:szCs w:val="18"/>
                <w:lang w:bidi="ar"/>
              </w:rPr>
              <w:t>E+0</w:t>
            </w:r>
            <w:r w:rsidRPr="00B12FE0">
              <w:rPr>
                <w:rFonts w:hint="eastAsia"/>
                <w:color w:val="000000" w:themeColor="text1"/>
                <w:kern w:val="0"/>
                <w:sz w:val="18"/>
                <w:szCs w:val="18"/>
                <w:lang w:bidi="ar"/>
              </w:rPr>
              <w:t>9</w:t>
            </w:r>
          </w:p>
        </w:tc>
        <w:tc>
          <w:tcPr>
            <w:tcW w:w="1858" w:type="dxa"/>
            <w:noWrap/>
            <w:vAlign w:val="center"/>
          </w:tcPr>
          <w:p w14:paraId="20310116"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2mmPb</w:t>
            </w:r>
            <w:r w:rsidRPr="00B12FE0">
              <w:rPr>
                <w:color w:val="000000" w:themeColor="text1"/>
                <w:sz w:val="18"/>
                <w:szCs w:val="18"/>
              </w:rPr>
              <w:t>衰变箱</w:t>
            </w:r>
            <w:r w:rsidRPr="00B12FE0">
              <w:rPr>
                <w:color w:val="000000" w:themeColor="text1"/>
                <w:sz w:val="18"/>
                <w:szCs w:val="18"/>
              </w:rPr>
              <w:t>+</w:t>
            </w:r>
            <w:r w:rsidRPr="00B12FE0">
              <w:rPr>
                <w:color w:val="000000" w:themeColor="text1"/>
                <w:sz w:val="18"/>
                <w:szCs w:val="18"/>
              </w:rPr>
              <w:t>内衬</w:t>
            </w:r>
            <w:r w:rsidRPr="00B12FE0">
              <w:rPr>
                <w:color w:val="000000" w:themeColor="text1"/>
                <w:sz w:val="18"/>
                <w:szCs w:val="18"/>
              </w:rPr>
              <w:t>6mmPb</w:t>
            </w:r>
            <w:proofErr w:type="gramStart"/>
            <w:r w:rsidRPr="00B12FE0">
              <w:rPr>
                <w:color w:val="000000" w:themeColor="text1"/>
                <w:sz w:val="18"/>
                <w:szCs w:val="18"/>
              </w:rPr>
              <w:t>铅门</w:t>
            </w:r>
            <w:proofErr w:type="gramEnd"/>
          </w:p>
        </w:tc>
        <w:tc>
          <w:tcPr>
            <w:tcW w:w="601" w:type="dxa"/>
            <w:noWrap/>
            <w:vAlign w:val="center"/>
          </w:tcPr>
          <w:p w14:paraId="130364B7"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82</w:t>
            </w:r>
          </w:p>
        </w:tc>
        <w:tc>
          <w:tcPr>
            <w:tcW w:w="549" w:type="dxa"/>
            <w:noWrap/>
            <w:vAlign w:val="center"/>
          </w:tcPr>
          <w:p w14:paraId="043B6B0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1.8</w:t>
            </w:r>
          </w:p>
        </w:tc>
        <w:tc>
          <w:tcPr>
            <w:tcW w:w="932" w:type="dxa"/>
            <w:tcBorders>
              <w:top w:val="single" w:sz="4" w:space="0" w:color="auto"/>
              <w:left w:val="nil"/>
              <w:bottom w:val="single" w:sz="4" w:space="0" w:color="auto"/>
              <w:right w:val="single" w:sz="4" w:space="0" w:color="auto"/>
            </w:tcBorders>
            <w:noWrap/>
            <w:vAlign w:val="center"/>
          </w:tcPr>
          <w:p w14:paraId="76863F10"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5.85E-05</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172E4040"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3.21E-05</w:t>
            </w:r>
          </w:p>
        </w:tc>
      </w:tr>
      <w:tr w:rsidR="00A67F21" w:rsidRPr="00B12FE0" w14:paraId="2E7FB3D6" w14:textId="77777777">
        <w:trPr>
          <w:cantSplit/>
          <w:trHeight w:val="272"/>
          <w:jc w:val="center"/>
        </w:trPr>
        <w:tc>
          <w:tcPr>
            <w:tcW w:w="606" w:type="dxa"/>
            <w:noWrap/>
            <w:vAlign w:val="center"/>
          </w:tcPr>
          <w:p w14:paraId="5CE72F8C"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2-14</w:t>
            </w:r>
          </w:p>
        </w:tc>
        <w:tc>
          <w:tcPr>
            <w:tcW w:w="382" w:type="dxa"/>
            <w:vMerge w:val="restart"/>
            <w:noWrap/>
            <w:vAlign w:val="center"/>
          </w:tcPr>
          <w:p w14:paraId="2C17F4BD" w14:textId="77777777" w:rsidR="00A67F21" w:rsidRPr="00B12FE0" w:rsidRDefault="00000000">
            <w:pPr>
              <w:widowControl/>
              <w:jc w:val="center"/>
              <w:textAlignment w:val="center"/>
              <w:rPr>
                <w:color w:val="000000" w:themeColor="text1"/>
                <w:sz w:val="18"/>
                <w:szCs w:val="18"/>
              </w:rPr>
            </w:pPr>
            <w:proofErr w:type="gramStart"/>
            <w:r w:rsidRPr="00B12FE0">
              <w:rPr>
                <w:color w:val="000000" w:themeColor="text1"/>
                <w:kern w:val="0"/>
                <w:sz w:val="18"/>
                <w:szCs w:val="18"/>
                <w:lang w:bidi="ar"/>
              </w:rPr>
              <w:t>敷贴室</w:t>
            </w:r>
            <w:proofErr w:type="gramEnd"/>
          </w:p>
        </w:tc>
        <w:tc>
          <w:tcPr>
            <w:tcW w:w="945" w:type="dxa"/>
            <w:noWrap/>
            <w:vAlign w:val="center"/>
          </w:tcPr>
          <w:p w14:paraId="2E14B933" w14:textId="77777777" w:rsidR="00A67F21" w:rsidRPr="00B12FE0" w:rsidRDefault="00000000">
            <w:pPr>
              <w:widowControl/>
              <w:jc w:val="center"/>
              <w:textAlignment w:val="center"/>
              <w:rPr>
                <w:color w:val="000000" w:themeColor="text1"/>
                <w:sz w:val="18"/>
                <w:szCs w:val="18"/>
              </w:rPr>
            </w:pPr>
            <w:proofErr w:type="gramStart"/>
            <w:r w:rsidRPr="00B12FE0">
              <w:rPr>
                <w:color w:val="000000" w:themeColor="text1"/>
                <w:kern w:val="0"/>
                <w:sz w:val="18"/>
                <w:szCs w:val="18"/>
                <w:lang w:bidi="ar"/>
              </w:rPr>
              <w:t>敷贴室医生位</w:t>
            </w:r>
            <w:proofErr w:type="gramEnd"/>
          </w:p>
        </w:tc>
        <w:tc>
          <w:tcPr>
            <w:tcW w:w="1375" w:type="dxa"/>
            <w:noWrap/>
            <w:vAlign w:val="center"/>
          </w:tcPr>
          <w:p w14:paraId="6C119864"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7.40</w:t>
            </w:r>
            <w:r w:rsidRPr="00B12FE0">
              <w:rPr>
                <w:color w:val="000000" w:themeColor="text1"/>
                <w:kern w:val="0"/>
                <w:sz w:val="18"/>
                <w:szCs w:val="18"/>
                <w:lang w:bidi="ar"/>
              </w:rPr>
              <w:t>E+0</w:t>
            </w:r>
            <w:r w:rsidRPr="00B12FE0">
              <w:rPr>
                <w:rFonts w:hint="eastAsia"/>
                <w:color w:val="000000" w:themeColor="text1"/>
                <w:kern w:val="0"/>
                <w:sz w:val="18"/>
                <w:szCs w:val="18"/>
                <w:lang w:bidi="ar"/>
              </w:rPr>
              <w:t>6</w:t>
            </w:r>
          </w:p>
        </w:tc>
        <w:tc>
          <w:tcPr>
            <w:tcW w:w="1858" w:type="dxa"/>
            <w:noWrap/>
            <w:vAlign w:val="center"/>
          </w:tcPr>
          <w:p w14:paraId="7A101D60"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0.5mmPb</w:t>
            </w:r>
            <w:proofErr w:type="gramStart"/>
            <w:r w:rsidRPr="00B12FE0">
              <w:rPr>
                <w:color w:val="000000" w:themeColor="text1"/>
                <w:kern w:val="0"/>
                <w:sz w:val="18"/>
                <w:szCs w:val="18"/>
                <w:lang w:bidi="ar"/>
              </w:rPr>
              <w:t>铅衣</w:t>
            </w:r>
            <w:proofErr w:type="gramEnd"/>
          </w:p>
        </w:tc>
        <w:tc>
          <w:tcPr>
            <w:tcW w:w="601" w:type="dxa"/>
            <w:noWrap/>
            <w:vAlign w:val="center"/>
          </w:tcPr>
          <w:p w14:paraId="5743DF30"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7.36</w:t>
            </w:r>
          </w:p>
        </w:tc>
        <w:tc>
          <w:tcPr>
            <w:tcW w:w="549" w:type="dxa"/>
            <w:noWrap/>
            <w:vAlign w:val="center"/>
          </w:tcPr>
          <w:p w14:paraId="61D6234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0.5</w:t>
            </w:r>
          </w:p>
        </w:tc>
        <w:tc>
          <w:tcPr>
            <w:tcW w:w="932" w:type="dxa"/>
            <w:tcBorders>
              <w:top w:val="single" w:sz="4" w:space="0" w:color="auto"/>
              <w:left w:val="nil"/>
              <w:bottom w:val="single" w:sz="4" w:space="0" w:color="auto"/>
              <w:right w:val="single" w:sz="4" w:space="0" w:color="auto"/>
            </w:tcBorders>
            <w:noWrap/>
            <w:vAlign w:val="center"/>
          </w:tcPr>
          <w:p w14:paraId="6F136740"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5.44E-01</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566CFF01"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5.21E-03</w:t>
            </w:r>
          </w:p>
        </w:tc>
      </w:tr>
      <w:tr w:rsidR="00A67F21" w:rsidRPr="00B12FE0" w14:paraId="71BF83CE" w14:textId="77777777">
        <w:trPr>
          <w:cantSplit/>
          <w:trHeight w:val="272"/>
          <w:jc w:val="center"/>
        </w:trPr>
        <w:tc>
          <w:tcPr>
            <w:tcW w:w="606" w:type="dxa"/>
            <w:noWrap/>
            <w:vAlign w:val="center"/>
          </w:tcPr>
          <w:p w14:paraId="7422F6D9"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lastRenderedPageBreak/>
              <w:t>2-15</w:t>
            </w:r>
          </w:p>
        </w:tc>
        <w:tc>
          <w:tcPr>
            <w:tcW w:w="382" w:type="dxa"/>
            <w:vMerge/>
            <w:noWrap/>
            <w:vAlign w:val="center"/>
          </w:tcPr>
          <w:p w14:paraId="7C64E86D" w14:textId="77777777" w:rsidR="00A67F21" w:rsidRPr="00B12FE0" w:rsidRDefault="00A67F21">
            <w:pPr>
              <w:jc w:val="center"/>
              <w:rPr>
                <w:color w:val="000000" w:themeColor="text1"/>
                <w:sz w:val="18"/>
                <w:szCs w:val="18"/>
              </w:rPr>
            </w:pPr>
          </w:p>
        </w:tc>
        <w:tc>
          <w:tcPr>
            <w:tcW w:w="945" w:type="dxa"/>
            <w:noWrap/>
            <w:vAlign w:val="center"/>
          </w:tcPr>
          <w:p w14:paraId="463598B4"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上方</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11301C04"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7.40</w:t>
            </w:r>
            <w:r w:rsidRPr="00B12FE0">
              <w:rPr>
                <w:color w:val="000000" w:themeColor="text1"/>
                <w:kern w:val="0"/>
                <w:sz w:val="18"/>
                <w:szCs w:val="18"/>
                <w:lang w:bidi="ar"/>
              </w:rPr>
              <w:t>E+0</w:t>
            </w:r>
            <w:r w:rsidRPr="00B12FE0">
              <w:rPr>
                <w:rFonts w:hint="eastAsia"/>
                <w:color w:val="000000" w:themeColor="text1"/>
                <w:kern w:val="0"/>
                <w:sz w:val="18"/>
                <w:szCs w:val="18"/>
                <w:lang w:bidi="ar"/>
              </w:rPr>
              <w:t>6</w:t>
            </w:r>
          </w:p>
        </w:tc>
        <w:tc>
          <w:tcPr>
            <w:tcW w:w="1858" w:type="dxa"/>
            <w:noWrap/>
            <w:vAlign w:val="center"/>
          </w:tcPr>
          <w:p w14:paraId="7DAF8B2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25</w:t>
            </w:r>
            <w:r w:rsidRPr="00B12FE0">
              <w:rPr>
                <w:color w:val="000000" w:themeColor="text1"/>
                <w:kern w:val="0"/>
                <w:sz w:val="18"/>
                <w:szCs w:val="18"/>
                <w:lang w:bidi="ar"/>
              </w:rPr>
              <w:t>0mm</w:t>
            </w:r>
            <w:r w:rsidRPr="00B12FE0">
              <w:rPr>
                <w:color w:val="000000" w:themeColor="text1"/>
                <w:kern w:val="0"/>
                <w:sz w:val="18"/>
                <w:szCs w:val="18"/>
                <w:lang w:bidi="ar"/>
              </w:rPr>
              <w:t>混凝土</w:t>
            </w:r>
          </w:p>
        </w:tc>
        <w:tc>
          <w:tcPr>
            <w:tcW w:w="601" w:type="dxa"/>
            <w:noWrap/>
            <w:vAlign w:val="center"/>
          </w:tcPr>
          <w:p w14:paraId="527994B5"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7.36</w:t>
            </w:r>
          </w:p>
        </w:tc>
        <w:tc>
          <w:tcPr>
            <w:tcW w:w="549" w:type="dxa"/>
            <w:noWrap/>
            <w:vAlign w:val="center"/>
          </w:tcPr>
          <w:p w14:paraId="1D4AB94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4.5</w:t>
            </w:r>
          </w:p>
        </w:tc>
        <w:tc>
          <w:tcPr>
            <w:tcW w:w="932" w:type="dxa"/>
            <w:tcBorders>
              <w:top w:val="single" w:sz="4" w:space="0" w:color="auto"/>
              <w:left w:val="nil"/>
              <w:bottom w:val="single" w:sz="4" w:space="0" w:color="auto"/>
              <w:right w:val="single" w:sz="4" w:space="0" w:color="auto"/>
            </w:tcBorders>
            <w:noWrap/>
            <w:vAlign w:val="center"/>
          </w:tcPr>
          <w:p w14:paraId="56B18964"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1.04E-01</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73F0A38E"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1.36E-06</w:t>
            </w:r>
          </w:p>
        </w:tc>
      </w:tr>
      <w:tr w:rsidR="00A67F21" w:rsidRPr="00B12FE0" w14:paraId="10293408" w14:textId="77777777">
        <w:trPr>
          <w:cantSplit/>
          <w:trHeight w:val="272"/>
          <w:jc w:val="center"/>
        </w:trPr>
        <w:tc>
          <w:tcPr>
            <w:tcW w:w="606" w:type="dxa"/>
            <w:vMerge w:val="restart"/>
            <w:noWrap/>
            <w:vAlign w:val="center"/>
          </w:tcPr>
          <w:p w14:paraId="5B30748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2-16</w:t>
            </w:r>
          </w:p>
        </w:tc>
        <w:tc>
          <w:tcPr>
            <w:tcW w:w="382" w:type="dxa"/>
            <w:vMerge/>
            <w:noWrap/>
            <w:vAlign w:val="center"/>
          </w:tcPr>
          <w:p w14:paraId="6CF3B1F7" w14:textId="77777777" w:rsidR="00A67F21" w:rsidRPr="00B12FE0" w:rsidRDefault="00A67F21">
            <w:pPr>
              <w:jc w:val="center"/>
              <w:rPr>
                <w:color w:val="000000" w:themeColor="text1"/>
                <w:sz w:val="18"/>
                <w:szCs w:val="18"/>
              </w:rPr>
            </w:pPr>
          </w:p>
        </w:tc>
        <w:tc>
          <w:tcPr>
            <w:tcW w:w="945" w:type="dxa"/>
            <w:noWrap/>
            <w:vAlign w:val="center"/>
          </w:tcPr>
          <w:p w14:paraId="5BFF36C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东</w:t>
            </w:r>
            <w:r w:rsidRPr="00B12FE0">
              <w:rPr>
                <w:color w:val="000000" w:themeColor="text1"/>
                <w:kern w:val="0"/>
                <w:sz w:val="18"/>
                <w:szCs w:val="18"/>
                <w:lang w:bidi="ar"/>
              </w:rPr>
              <w:t>侧墙外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68E57FC7"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7.40</w:t>
            </w:r>
            <w:r w:rsidRPr="00B12FE0">
              <w:rPr>
                <w:color w:val="000000" w:themeColor="text1"/>
                <w:kern w:val="0"/>
                <w:sz w:val="18"/>
                <w:szCs w:val="18"/>
                <w:lang w:bidi="ar"/>
              </w:rPr>
              <w:t>E+0</w:t>
            </w:r>
            <w:r w:rsidRPr="00B12FE0">
              <w:rPr>
                <w:rFonts w:hint="eastAsia"/>
                <w:color w:val="000000" w:themeColor="text1"/>
                <w:kern w:val="0"/>
                <w:sz w:val="18"/>
                <w:szCs w:val="18"/>
                <w:lang w:bidi="ar"/>
              </w:rPr>
              <w:t>6</w:t>
            </w:r>
          </w:p>
        </w:tc>
        <w:tc>
          <w:tcPr>
            <w:tcW w:w="1858" w:type="dxa"/>
            <w:noWrap/>
            <w:vAlign w:val="center"/>
          </w:tcPr>
          <w:p w14:paraId="4763EF6D"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20</w:t>
            </w:r>
            <w:r w:rsidRPr="00B12FE0">
              <w:rPr>
                <w:color w:val="000000" w:themeColor="text1"/>
                <w:kern w:val="0"/>
                <w:sz w:val="18"/>
                <w:szCs w:val="18"/>
                <w:lang w:bidi="ar"/>
              </w:rPr>
              <w:t>0mm</w:t>
            </w:r>
            <w:r w:rsidRPr="00B12FE0">
              <w:rPr>
                <w:rFonts w:hint="eastAsia"/>
                <w:color w:val="000000" w:themeColor="text1"/>
                <w:kern w:val="0"/>
                <w:sz w:val="18"/>
                <w:szCs w:val="18"/>
                <w:lang w:bidi="ar"/>
              </w:rPr>
              <w:t>实心砖</w:t>
            </w:r>
          </w:p>
        </w:tc>
        <w:tc>
          <w:tcPr>
            <w:tcW w:w="601" w:type="dxa"/>
            <w:noWrap/>
            <w:vAlign w:val="center"/>
          </w:tcPr>
          <w:p w14:paraId="5FE5054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7.36</w:t>
            </w:r>
          </w:p>
        </w:tc>
        <w:tc>
          <w:tcPr>
            <w:tcW w:w="549" w:type="dxa"/>
            <w:noWrap/>
            <w:vAlign w:val="center"/>
          </w:tcPr>
          <w:p w14:paraId="70088F71"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2.4</w:t>
            </w:r>
          </w:p>
        </w:tc>
        <w:tc>
          <w:tcPr>
            <w:tcW w:w="932" w:type="dxa"/>
            <w:tcBorders>
              <w:top w:val="single" w:sz="4" w:space="0" w:color="auto"/>
              <w:left w:val="nil"/>
              <w:bottom w:val="single" w:sz="4" w:space="0" w:color="auto"/>
              <w:right w:val="single" w:sz="4" w:space="0" w:color="auto"/>
            </w:tcBorders>
            <w:noWrap/>
            <w:vAlign w:val="center"/>
          </w:tcPr>
          <w:p w14:paraId="1373DEA9"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1.63E-01</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5F31AF91" w14:textId="77777777" w:rsidR="00A67F21" w:rsidRPr="00B12FE0" w:rsidRDefault="00000000">
            <w:pPr>
              <w:widowControl/>
              <w:jc w:val="center"/>
              <w:textAlignment w:val="center"/>
              <w:rPr>
                <w:color w:val="000000" w:themeColor="text1"/>
                <w:sz w:val="18"/>
                <w:szCs w:val="18"/>
              </w:rPr>
            </w:pPr>
            <w:r w:rsidRPr="00B12FE0">
              <w:rPr>
                <w:rFonts w:eastAsia="等线" w:hint="eastAsia"/>
                <w:color w:val="000000" w:themeColor="text1"/>
                <w:sz w:val="18"/>
                <w:szCs w:val="18"/>
              </w:rPr>
              <w:t>1.16</w:t>
            </w:r>
            <w:r w:rsidRPr="00B12FE0">
              <w:rPr>
                <w:rFonts w:eastAsia="等线"/>
                <w:color w:val="000000" w:themeColor="text1"/>
                <w:sz w:val="18"/>
                <w:szCs w:val="18"/>
              </w:rPr>
              <w:t>E-0</w:t>
            </w:r>
            <w:r w:rsidRPr="00B12FE0">
              <w:rPr>
                <w:rFonts w:eastAsia="等线" w:hint="eastAsia"/>
                <w:color w:val="000000" w:themeColor="text1"/>
                <w:sz w:val="18"/>
                <w:szCs w:val="18"/>
              </w:rPr>
              <w:t>4</w:t>
            </w:r>
          </w:p>
        </w:tc>
      </w:tr>
      <w:tr w:rsidR="00A67F21" w:rsidRPr="00B12FE0" w14:paraId="72E5DC13" w14:textId="77777777">
        <w:trPr>
          <w:cantSplit/>
          <w:trHeight w:val="272"/>
          <w:jc w:val="center"/>
        </w:trPr>
        <w:tc>
          <w:tcPr>
            <w:tcW w:w="606" w:type="dxa"/>
            <w:vMerge/>
            <w:noWrap/>
            <w:vAlign w:val="center"/>
          </w:tcPr>
          <w:p w14:paraId="17BDCF08" w14:textId="77777777" w:rsidR="00A67F21" w:rsidRPr="00B12FE0" w:rsidRDefault="00A67F21">
            <w:pPr>
              <w:widowControl/>
              <w:jc w:val="center"/>
              <w:textAlignment w:val="center"/>
              <w:rPr>
                <w:color w:val="000000" w:themeColor="text1"/>
                <w:kern w:val="0"/>
                <w:sz w:val="18"/>
                <w:szCs w:val="18"/>
                <w:lang w:bidi="ar"/>
              </w:rPr>
            </w:pPr>
          </w:p>
        </w:tc>
        <w:tc>
          <w:tcPr>
            <w:tcW w:w="382" w:type="dxa"/>
            <w:vMerge/>
            <w:noWrap/>
            <w:vAlign w:val="center"/>
          </w:tcPr>
          <w:p w14:paraId="67BC1B41" w14:textId="77777777" w:rsidR="00A67F21" w:rsidRPr="00B12FE0" w:rsidRDefault="00A67F21">
            <w:pPr>
              <w:jc w:val="center"/>
              <w:rPr>
                <w:color w:val="000000" w:themeColor="text1"/>
                <w:sz w:val="18"/>
                <w:szCs w:val="18"/>
              </w:rPr>
            </w:pPr>
          </w:p>
        </w:tc>
        <w:tc>
          <w:tcPr>
            <w:tcW w:w="945" w:type="dxa"/>
            <w:noWrap/>
            <w:vAlign w:val="center"/>
          </w:tcPr>
          <w:p w14:paraId="366E730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东</w:t>
            </w:r>
            <w:r w:rsidRPr="00B12FE0">
              <w:rPr>
                <w:color w:val="000000" w:themeColor="text1"/>
                <w:kern w:val="0"/>
                <w:sz w:val="18"/>
                <w:szCs w:val="18"/>
                <w:lang w:bidi="ar"/>
              </w:rPr>
              <w:t>侧防护门外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1375" w:type="dxa"/>
            <w:noWrap/>
            <w:vAlign w:val="center"/>
          </w:tcPr>
          <w:p w14:paraId="46402C16" w14:textId="77777777" w:rsidR="00A67F21" w:rsidRPr="00B12FE0" w:rsidRDefault="00000000">
            <w:pPr>
              <w:widowControl/>
              <w:jc w:val="center"/>
              <w:textAlignment w:val="center"/>
              <w:rPr>
                <w:color w:val="000000" w:themeColor="text1"/>
                <w:kern w:val="0"/>
                <w:sz w:val="18"/>
                <w:szCs w:val="18"/>
                <w:vertAlign w:val="superscript"/>
                <w:lang w:bidi="ar"/>
              </w:rPr>
            </w:pPr>
            <w:r w:rsidRPr="00B12FE0">
              <w:rPr>
                <w:color w:val="000000" w:themeColor="text1"/>
                <w:kern w:val="0"/>
                <w:sz w:val="18"/>
                <w:szCs w:val="18"/>
                <w:vertAlign w:val="superscript"/>
                <w:lang w:bidi="ar"/>
              </w:rPr>
              <w:t>32</w:t>
            </w:r>
            <w:r w:rsidRPr="00B12FE0">
              <w:rPr>
                <w:color w:val="000000" w:themeColor="text1"/>
                <w:kern w:val="0"/>
                <w:sz w:val="18"/>
                <w:szCs w:val="18"/>
                <w:lang w:bidi="ar"/>
              </w:rPr>
              <w:t>P:</w:t>
            </w:r>
            <w:r w:rsidRPr="00B12FE0">
              <w:rPr>
                <w:rFonts w:hint="eastAsia"/>
                <w:color w:val="000000" w:themeColor="text1"/>
                <w:kern w:val="0"/>
                <w:sz w:val="18"/>
                <w:szCs w:val="18"/>
                <w:lang w:bidi="ar"/>
              </w:rPr>
              <w:t>7.40</w:t>
            </w:r>
            <w:r w:rsidRPr="00B12FE0">
              <w:rPr>
                <w:color w:val="000000" w:themeColor="text1"/>
                <w:kern w:val="0"/>
                <w:sz w:val="18"/>
                <w:szCs w:val="18"/>
                <w:lang w:bidi="ar"/>
              </w:rPr>
              <w:t>E+0</w:t>
            </w:r>
            <w:r w:rsidRPr="00B12FE0">
              <w:rPr>
                <w:rFonts w:hint="eastAsia"/>
                <w:color w:val="000000" w:themeColor="text1"/>
                <w:kern w:val="0"/>
                <w:sz w:val="18"/>
                <w:szCs w:val="18"/>
                <w:lang w:bidi="ar"/>
              </w:rPr>
              <w:t>6</w:t>
            </w:r>
          </w:p>
        </w:tc>
        <w:tc>
          <w:tcPr>
            <w:tcW w:w="1858" w:type="dxa"/>
            <w:noWrap/>
            <w:vAlign w:val="center"/>
          </w:tcPr>
          <w:p w14:paraId="26E81F96"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内衬</w:t>
            </w:r>
            <w:r w:rsidRPr="00B12FE0">
              <w:rPr>
                <w:color w:val="000000" w:themeColor="text1"/>
                <w:kern w:val="0"/>
                <w:sz w:val="18"/>
                <w:szCs w:val="18"/>
                <w:lang w:bidi="ar"/>
              </w:rPr>
              <w:t>4mm</w:t>
            </w:r>
            <w:r w:rsidRPr="00B12FE0">
              <w:rPr>
                <w:color w:val="000000" w:themeColor="text1"/>
                <w:kern w:val="0"/>
                <w:sz w:val="18"/>
                <w:szCs w:val="18"/>
                <w:lang w:bidi="ar"/>
              </w:rPr>
              <w:t>铅板</w:t>
            </w:r>
          </w:p>
        </w:tc>
        <w:tc>
          <w:tcPr>
            <w:tcW w:w="601" w:type="dxa"/>
            <w:noWrap/>
            <w:vAlign w:val="center"/>
          </w:tcPr>
          <w:p w14:paraId="32107DEF"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7.36</w:t>
            </w:r>
          </w:p>
        </w:tc>
        <w:tc>
          <w:tcPr>
            <w:tcW w:w="549" w:type="dxa"/>
            <w:noWrap/>
            <w:vAlign w:val="center"/>
          </w:tcPr>
          <w:p w14:paraId="3DBBF56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2.4</w:t>
            </w:r>
          </w:p>
        </w:tc>
        <w:tc>
          <w:tcPr>
            <w:tcW w:w="932" w:type="dxa"/>
            <w:tcBorders>
              <w:top w:val="single" w:sz="4" w:space="0" w:color="auto"/>
              <w:left w:val="nil"/>
              <w:bottom w:val="single" w:sz="4" w:space="0" w:color="auto"/>
              <w:right w:val="single" w:sz="4" w:space="0" w:color="auto"/>
            </w:tcBorders>
            <w:noWrap/>
            <w:vAlign w:val="center"/>
          </w:tcPr>
          <w:p w14:paraId="6EC1E6AD"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7.65E-03</w:t>
            </w:r>
          </w:p>
        </w:tc>
        <w:tc>
          <w:tcPr>
            <w:tcW w:w="1587" w:type="dxa"/>
            <w:tcBorders>
              <w:top w:val="single" w:sz="4" w:space="0" w:color="000000"/>
              <w:left w:val="single" w:sz="4" w:space="0" w:color="000000"/>
              <w:bottom w:val="single" w:sz="4" w:space="0" w:color="000000"/>
              <w:right w:val="single" w:sz="4" w:space="0" w:color="000000"/>
            </w:tcBorders>
            <w:noWrap/>
            <w:vAlign w:val="center"/>
          </w:tcPr>
          <w:p w14:paraId="1FBB6386"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3.53E-07</w:t>
            </w:r>
          </w:p>
        </w:tc>
      </w:tr>
      <w:tr w:rsidR="00A67F21" w:rsidRPr="00B12FE0" w14:paraId="790A25B9" w14:textId="77777777">
        <w:trPr>
          <w:cantSplit/>
          <w:trHeight w:val="272"/>
          <w:jc w:val="center"/>
        </w:trPr>
        <w:tc>
          <w:tcPr>
            <w:tcW w:w="8835" w:type="dxa"/>
            <w:gridSpan w:val="9"/>
            <w:noWrap/>
            <w:vAlign w:val="center"/>
          </w:tcPr>
          <w:p w14:paraId="7738C148" w14:textId="77777777" w:rsidR="00A67F21" w:rsidRPr="00B12FE0" w:rsidRDefault="00000000">
            <w:pPr>
              <w:pStyle w:val="B"/>
              <w:adjustRightInd w:val="0"/>
              <w:snapToGrid w:val="0"/>
              <w:jc w:val="left"/>
              <w:rPr>
                <w:color w:val="000000" w:themeColor="text1"/>
                <w:kern w:val="0"/>
                <w:sz w:val="18"/>
                <w:szCs w:val="18"/>
              </w:rPr>
            </w:pPr>
            <w:r w:rsidRPr="00B12FE0">
              <w:rPr>
                <w:rFonts w:hint="eastAsia"/>
                <w:color w:val="000000" w:themeColor="text1"/>
                <w:kern w:val="0"/>
                <w:sz w:val="18"/>
                <w:szCs w:val="18"/>
              </w:rPr>
              <w:t>注：①实心砖按照密度折算成混凝土后，进行计算；</w:t>
            </w:r>
          </w:p>
          <w:p w14:paraId="575BD513" w14:textId="77777777" w:rsidR="00A67F21" w:rsidRPr="00B12FE0" w:rsidRDefault="00000000">
            <w:pPr>
              <w:widowControl/>
              <w:textAlignment w:val="center"/>
              <w:rPr>
                <w:color w:val="000000" w:themeColor="text1"/>
                <w:kern w:val="0"/>
                <w:sz w:val="18"/>
                <w:szCs w:val="18"/>
                <w:lang w:bidi="ar"/>
              </w:rPr>
            </w:pPr>
            <w:r w:rsidRPr="00B12FE0">
              <w:rPr>
                <w:rFonts w:hint="eastAsia"/>
                <w:color w:val="000000" w:themeColor="text1"/>
                <w:kern w:val="0"/>
                <w:sz w:val="18"/>
                <w:szCs w:val="18"/>
              </w:rPr>
              <w:t>②本项目手套箱取药位和</w:t>
            </w:r>
            <w:proofErr w:type="gramStart"/>
            <w:r w:rsidRPr="00B12FE0">
              <w:rPr>
                <w:rFonts w:hint="eastAsia"/>
                <w:color w:val="000000" w:themeColor="text1"/>
                <w:kern w:val="0"/>
                <w:sz w:val="18"/>
                <w:szCs w:val="18"/>
              </w:rPr>
              <w:t>储源室</w:t>
            </w:r>
            <w:proofErr w:type="gramEnd"/>
            <w:r w:rsidRPr="00B12FE0">
              <w:rPr>
                <w:rFonts w:hint="eastAsia"/>
                <w:color w:val="000000" w:themeColor="text1"/>
                <w:kern w:val="0"/>
                <w:sz w:val="18"/>
                <w:szCs w:val="18"/>
              </w:rPr>
              <w:t>活度按日最大使用量计</w:t>
            </w:r>
            <w:r w:rsidRPr="00B12FE0">
              <w:rPr>
                <w:color w:val="000000" w:themeColor="text1"/>
                <w:kern w:val="0"/>
                <w:sz w:val="18"/>
                <w:szCs w:val="18"/>
                <w:vertAlign w:val="superscript"/>
              </w:rPr>
              <w:t>32</w:t>
            </w:r>
            <w:r w:rsidRPr="00B12FE0">
              <w:rPr>
                <w:color w:val="000000" w:themeColor="text1"/>
                <w:kern w:val="0"/>
                <w:sz w:val="18"/>
                <w:szCs w:val="18"/>
              </w:rPr>
              <w:t>P</w:t>
            </w:r>
            <w:r w:rsidRPr="00B12FE0">
              <w:rPr>
                <w:rFonts w:hint="eastAsia"/>
                <w:color w:val="000000" w:themeColor="text1"/>
                <w:kern w:val="0"/>
                <w:sz w:val="18"/>
                <w:szCs w:val="18"/>
              </w:rPr>
              <w:t>1.11</w:t>
            </w:r>
            <w:r w:rsidRPr="00B12FE0">
              <w:rPr>
                <w:color w:val="000000" w:themeColor="text1"/>
                <w:kern w:val="0"/>
                <w:sz w:val="18"/>
                <w:szCs w:val="18"/>
              </w:rPr>
              <w:t>×10</w:t>
            </w:r>
            <w:r w:rsidRPr="00B12FE0">
              <w:rPr>
                <w:rFonts w:hint="eastAsia"/>
                <w:color w:val="000000" w:themeColor="text1"/>
                <w:kern w:val="0"/>
                <w:sz w:val="18"/>
                <w:szCs w:val="18"/>
                <w:vertAlign w:val="superscript"/>
              </w:rPr>
              <w:t>8</w:t>
            </w:r>
            <w:r w:rsidRPr="00B12FE0">
              <w:rPr>
                <w:color w:val="000000" w:themeColor="text1"/>
                <w:kern w:val="0"/>
                <w:sz w:val="18"/>
                <w:szCs w:val="18"/>
                <w:lang w:bidi="ar"/>
              </w:rPr>
              <w:t xml:space="preserve"> Bq</w:t>
            </w:r>
            <w:r w:rsidRPr="00B12FE0">
              <w:rPr>
                <w:rFonts w:hint="eastAsia"/>
                <w:color w:val="000000" w:themeColor="text1"/>
                <w:kern w:val="0"/>
                <w:sz w:val="18"/>
                <w:szCs w:val="18"/>
              </w:rPr>
              <w:t>；</w:t>
            </w:r>
            <w:r w:rsidRPr="00B12FE0">
              <w:rPr>
                <w:color w:val="000000" w:themeColor="text1"/>
                <w:sz w:val="18"/>
                <w:szCs w:val="18"/>
                <w:vertAlign w:val="superscript"/>
              </w:rPr>
              <w:t>32</w:t>
            </w:r>
            <w:r w:rsidRPr="00B12FE0">
              <w:rPr>
                <w:color w:val="000000" w:themeColor="text1"/>
                <w:sz w:val="18"/>
                <w:szCs w:val="18"/>
              </w:rPr>
              <w:t>P</w:t>
            </w:r>
            <w:r w:rsidRPr="00B12FE0">
              <w:rPr>
                <w:rFonts w:hint="eastAsia"/>
                <w:color w:val="000000" w:themeColor="text1"/>
                <w:sz w:val="18"/>
                <w:szCs w:val="18"/>
              </w:rPr>
              <w:t>为敷贴治疗，废弃敷贴器内核素活度保守考虑每周核素最大操作量的</w:t>
            </w:r>
            <w:r w:rsidRPr="00B12FE0">
              <w:rPr>
                <w:color w:val="000000" w:themeColor="text1"/>
                <w:sz w:val="18"/>
                <w:szCs w:val="18"/>
              </w:rPr>
              <w:t>100</w:t>
            </w:r>
            <w:r w:rsidRPr="00B12FE0">
              <w:rPr>
                <w:rFonts w:hint="eastAsia"/>
                <w:color w:val="000000" w:themeColor="text1"/>
                <w:sz w:val="18"/>
                <w:szCs w:val="18"/>
              </w:rPr>
              <w:t>%</w:t>
            </w:r>
            <w:r w:rsidRPr="00B12FE0">
              <w:rPr>
                <w:rFonts w:hint="eastAsia"/>
                <w:color w:val="000000" w:themeColor="text1"/>
                <w:sz w:val="18"/>
                <w:szCs w:val="18"/>
              </w:rPr>
              <w:t>，则每</w:t>
            </w:r>
            <w:proofErr w:type="gramStart"/>
            <w:r w:rsidRPr="00B12FE0">
              <w:rPr>
                <w:rFonts w:hint="eastAsia"/>
                <w:color w:val="000000" w:themeColor="text1"/>
                <w:sz w:val="18"/>
                <w:szCs w:val="18"/>
              </w:rPr>
              <w:t>周产生</w:t>
            </w:r>
            <w:proofErr w:type="gramEnd"/>
            <w:r w:rsidRPr="00B12FE0">
              <w:rPr>
                <w:rFonts w:hint="eastAsia"/>
                <w:color w:val="000000" w:themeColor="text1"/>
                <w:sz w:val="18"/>
                <w:szCs w:val="18"/>
              </w:rPr>
              <w:t>的含</w:t>
            </w:r>
            <w:r w:rsidRPr="00B12FE0">
              <w:rPr>
                <w:color w:val="000000" w:themeColor="text1"/>
                <w:sz w:val="18"/>
                <w:szCs w:val="18"/>
                <w:vertAlign w:val="superscript"/>
              </w:rPr>
              <w:t>32</w:t>
            </w:r>
            <w:r w:rsidRPr="00B12FE0">
              <w:rPr>
                <w:color w:val="000000" w:themeColor="text1"/>
                <w:sz w:val="18"/>
                <w:szCs w:val="18"/>
              </w:rPr>
              <w:t>P</w:t>
            </w:r>
            <w:r w:rsidRPr="00B12FE0">
              <w:rPr>
                <w:rFonts w:hint="eastAsia"/>
                <w:color w:val="000000" w:themeColor="text1"/>
                <w:sz w:val="18"/>
                <w:szCs w:val="18"/>
              </w:rPr>
              <w:t>放射性固废活度为</w:t>
            </w:r>
            <w:r w:rsidRPr="00B12FE0">
              <w:rPr>
                <w:rFonts w:hint="eastAsia"/>
                <w:color w:val="000000" w:themeColor="text1"/>
                <w:sz w:val="18"/>
                <w:szCs w:val="18"/>
              </w:rPr>
              <w:t>1.11</w:t>
            </w:r>
            <w:r w:rsidRPr="00B12FE0">
              <w:rPr>
                <w:color w:val="000000" w:themeColor="text1"/>
                <w:sz w:val="18"/>
                <w:szCs w:val="18"/>
              </w:rPr>
              <w:t>×10</w:t>
            </w:r>
            <w:r w:rsidRPr="00B12FE0">
              <w:rPr>
                <w:color w:val="000000" w:themeColor="text1"/>
                <w:sz w:val="18"/>
                <w:szCs w:val="18"/>
                <w:vertAlign w:val="superscript"/>
              </w:rPr>
              <w:t>8</w:t>
            </w:r>
            <w:r w:rsidRPr="00B12FE0">
              <w:rPr>
                <w:color w:val="000000" w:themeColor="text1"/>
                <w:sz w:val="18"/>
                <w:szCs w:val="18"/>
              </w:rPr>
              <w:t>Bq</w:t>
            </w:r>
            <w:r w:rsidRPr="00B12FE0">
              <w:rPr>
                <w:rFonts w:hint="eastAsia"/>
                <w:color w:val="000000" w:themeColor="text1"/>
                <w:sz w:val="18"/>
                <w:szCs w:val="18"/>
              </w:rPr>
              <w:t>；由于</w:t>
            </w:r>
            <w:r w:rsidRPr="00B12FE0">
              <w:rPr>
                <w:rFonts w:hint="eastAsia"/>
                <w:color w:val="000000" w:themeColor="text1"/>
                <w:sz w:val="18"/>
                <w:szCs w:val="18"/>
                <w:vertAlign w:val="superscript"/>
              </w:rPr>
              <w:t>32</w:t>
            </w:r>
            <w:r w:rsidRPr="00B12FE0">
              <w:rPr>
                <w:rFonts w:hint="eastAsia"/>
                <w:color w:val="000000" w:themeColor="text1"/>
                <w:sz w:val="18"/>
                <w:szCs w:val="18"/>
              </w:rPr>
              <w:t>P</w:t>
            </w:r>
            <w:r w:rsidRPr="00B12FE0">
              <w:rPr>
                <w:rFonts w:hint="eastAsia"/>
                <w:color w:val="000000" w:themeColor="text1"/>
                <w:sz w:val="18"/>
                <w:szCs w:val="18"/>
              </w:rPr>
              <w:t>放射性废物中核素活度会随着时间衰变而减少，</w:t>
            </w:r>
            <w:r w:rsidRPr="00B12FE0">
              <w:rPr>
                <w:rFonts w:hint="eastAsia"/>
                <w:color w:val="000000" w:themeColor="text1"/>
                <w:sz w:val="18"/>
                <w:szCs w:val="18"/>
              </w:rPr>
              <w:t>10</w:t>
            </w:r>
            <w:r w:rsidRPr="00B12FE0">
              <w:rPr>
                <w:rFonts w:hint="eastAsia"/>
                <w:color w:val="000000" w:themeColor="text1"/>
                <w:sz w:val="18"/>
                <w:szCs w:val="18"/>
              </w:rPr>
              <w:t>个半衰期内产生的放射性废物中核素活度不超过</w:t>
            </w:r>
            <w:r w:rsidRPr="00B12FE0">
              <w:rPr>
                <w:rFonts w:hint="eastAsia"/>
                <w:color w:val="000000" w:themeColor="text1"/>
                <w:sz w:val="18"/>
                <w:szCs w:val="18"/>
              </w:rPr>
              <w:t>2</w:t>
            </w:r>
            <w:r w:rsidRPr="00B12FE0">
              <w:rPr>
                <w:rFonts w:hint="eastAsia"/>
                <w:color w:val="000000" w:themeColor="text1"/>
                <w:sz w:val="18"/>
                <w:szCs w:val="18"/>
              </w:rPr>
              <w:t>个衰变周期（</w:t>
            </w:r>
            <w:r w:rsidRPr="00B12FE0">
              <w:rPr>
                <w:rFonts w:hint="eastAsia"/>
                <w:color w:val="000000" w:themeColor="text1"/>
                <w:sz w:val="18"/>
                <w:szCs w:val="18"/>
              </w:rPr>
              <w:t>28.</w:t>
            </w:r>
            <w:r w:rsidRPr="00B12FE0">
              <w:rPr>
                <w:color w:val="000000" w:themeColor="text1"/>
                <w:sz w:val="18"/>
                <w:szCs w:val="18"/>
              </w:rPr>
              <w:t>5</w:t>
            </w:r>
            <w:r w:rsidRPr="00B12FE0">
              <w:rPr>
                <w:rFonts w:hint="eastAsia"/>
                <w:color w:val="000000" w:themeColor="text1"/>
                <w:sz w:val="18"/>
                <w:szCs w:val="18"/>
              </w:rPr>
              <w:t>2</w:t>
            </w:r>
            <w:r w:rsidRPr="00B12FE0">
              <w:rPr>
                <w:rFonts w:hint="eastAsia"/>
                <w:color w:val="000000" w:themeColor="text1"/>
                <w:sz w:val="18"/>
                <w:szCs w:val="18"/>
              </w:rPr>
              <w:t>天，约</w:t>
            </w:r>
            <w:r w:rsidRPr="00B12FE0">
              <w:rPr>
                <w:rFonts w:hint="eastAsia"/>
                <w:color w:val="000000" w:themeColor="text1"/>
                <w:sz w:val="18"/>
                <w:szCs w:val="18"/>
              </w:rPr>
              <w:t>4</w:t>
            </w:r>
            <w:r w:rsidRPr="00B12FE0">
              <w:rPr>
                <w:rFonts w:hint="eastAsia"/>
                <w:color w:val="000000" w:themeColor="text1"/>
                <w:sz w:val="18"/>
                <w:szCs w:val="18"/>
              </w:rPr>
              <w:t>周）内的核素活度。因此放射性废物间内</w:t>
            </w:r>
            <w:r w:rsidRPr="00B12FE0">
              <w:rPr>
                <w:rFonts w:hint="eastAsia"/>
                <w:color w:val="000000" w:themeColor="text1"/>
                <w:sz w:val="18"/>
                <w:szCs w:val="18"/>
                <w:vertAlign w:val="superscript"/>
              </w:rPr>
              <w:t>32</w:t>
            </w:r>
            <w:r w:rsidRPr="00B12FE0">
              <w:rPr>
                <w:rFonts w:hint="eastAsia"/>
                <w:color w:val="000000" w:themeColor="text1"/>
                <w:sz w:val="18"/>
                <w:szCs w:val="18"/>
              </w:rPr>
              <w:t>P</w:t>
            </w:r>
            <w:r w:rsidRPr="00B12FE0">
              <w:rPr>
                <w:rFonts w:hint="eastAsia"/>
                <w:color w:val="000000" w:themeColor="text1"/>
                <w:sz w:val="18"/>
                <w:szCs w:val="18"/>
              </w:rPr>
              <w:t>核素活度按照</w:t>
            </w:r>
            <w:r w:rsidRPr="00B12FE0">
              <w:rPr>
                <w:rFonts w:hint="eastAsia"/>
                <w:color w:val="000000" w:themeColor="text1"/>
                <w:sz w:val="18"/>
                <w:szCs w:val="18"/>
              </w:rPr>
              <w:t>4</w:t>
            </w:r>
            <w:r w:rsidRPr="00B12FE0">
              <w:rPr>
                <w:rFonts w:hint="eastAsia"/>
                <w:color w:val="000000" w:themeColor="text1"/>
                <w:sz w:val="18"/>
                <w:szCs w:val="18"/>
              </w:rPr>
              <w:t>周的活度（即</w:t>
            </w:r>
            <w:r w:rsidRPr="00B12FE0">
              <w:rPr>
                <w:rFonts w:hint="eastAsia"/>
                <w:color w:val="000000" w:themeColor="text1"/>
                <w:sz w:val="18"/>
                <w:szCs w:val="18"/>
              </w:rPr>
              <w:t>4.44</w:t>
            </w:r>
            <w:r w:rsidRPr="00B12FE0">
              <w:rPr>
                <w:color w:val="000000" w:themeColor="text1"/>
                <w:sz w:val="18"/>
                <w:szCs w:val="18"/>
              </w:rPr>
              <w:t>×10</w:t>
            </w:r>
            <w:r w:rsidRPr="00B12FE0">
              <w:rPr>
                <w:color w:val="000000" w:themeColor="text1"/>
                <w:sz w:val="18"/>
                <w:szCs w:val="18"/>
                <w:vertAlign w:val="superscript"/>
              </w:rPr>
              <w:t>9</w:t>
            </w:r>
            <w:r w:rsidRPr="00B12FE0">
              <w:rPr>
                <w:color w:val="000000" w:themeColor="text1"/>
                <w:sz w:val="18"/>
                <w:szCs w:val="18"/>
              </w:rPr>
              <w:t>Bq</w:t>
            </w:r>
            <w:r w:rsidRPr="00B12FE0">
              <w:rPr>
                <w:rFonts w:hint="eastAsia"/>
                <w:color w:val="000000" w:themeColor="text1"/>
                <w:sz w:val="18"/>
                <w:szCs w:val="18"/>
              </w:rPr>
              <w:t>）考虑；</w:t>
            </w:r>
          </w:p>
        </w:tc>
      </w:tr>
    </w:tbl>
    <w:p w14:paraId="155612A9"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由上表估算结果可知，放射性核素产生的轫致辐射在核素诊断场所各控制区内房间防护门、观察窗和墙壁外表面</w:t>
      </w:r>
      <w:r w:rsidRPr="00B12FE0">
        <w:rPr>
          <w:color w:val="000000" w:themeColor="text1"/>
        </w:rPr>
        <w:t>30cm</w:t>
      </w:r>
      <w:r w:rsidRPr="00B12FE0">
        <w:rPr>
          <w:color w:val="000000" w:themeColor="text1"/>
        </w:rPr>
        <w:t>处的周围剂量当量率均小于</w:t>
      </w:r>
      <w:r w:rsidRPr="00B12FE0">
        <w:rPr>
          <w:color w:val="000000" w:themeColor="text1"/>
        </w:rPr>
        <w:t>2.5μSv/h</w:t>
      </w:r>
      <w:r w:rsidRPr="00B12FE0">
        <w:rPr>
          <w:color w:val="000000" w:themeColor="text1"/>
        </w:rPr>
        <w:t>；手套箱、注射窗等设备外表面</w:t>
      </w:r>
      <w:r w:rsidRPr="00B12FE0">
        <w:rPr>
          <w:color w:val="000000" w:themeColor="text1"/>
        </w:rPr>
        <w:t>30cm</w:t>
      </w:r>
      <w:r w:rsidRPr="00B12FE0">
        <w:rPr>
          <w:color w:val="000000" w:themeColor="text1"/>
        </w:rPr>
        <w:t>处人员操作位的周围剂量当量率均小于</w:t>
      </w:r>
      <w:r w:rsidRPr="00B12FE0">
        <w:rPr>
          <w:color w:val="000000" w:themeColor="text1"/>
        </w:rPr>
        <w:t>2.5μSv/h</w:t>
      </w:r>
      <w:r w:rsidRPr="00B12FE0">
        <w:rPr>
          <w:color w:val="000000" w:themeColor="text1"/>
        </w:rPr>
        <w:t>，且与</w:t>
      </w:r>
      <w:r w:rsidRPr="00B12FE0">
        <w:rPr>
          <w:color w:val="000000" w:themeColor="text1"/>
        </w:rPr>
        <w:t>γ</w:t>
      </w:r>
      <w:r w:rsidRPr="00B12FE0">
        <w:rPr>
          <w:color w:val="000000" w:themeColor="text1"/>
        </w:rPr>
        <w:t>射线辐射影响叠加后，仍满足周围剂量当量率均小于</w:t>
      </w:r>
      <w:r w:rsidRPr="00B12FE0">
        <w:rPr>
          <w:color w:val="000000" w:themeColor="text1"/>
        </w:rPr>
        <w:t>2.5μSv/h</w:t>
      </w:r>
      <w:r w:rsidRPr="00B12FE0">
        <w:rPr>
          <w:color w:val="000000" w:themeColor="text1"/>
        </w:rPr>
        <w:t>的要求，屏蔽设计满足要求，对周围辐射环境影响较小。</w:t>
      </w:r>
    </w:p>
    <w:p w14:paraId="221698F7" w14:textId="77777777" w:rsidR="00A67F21" w:rsidRPr="00B12FE0" w:rsidRDefault="00000000">
      <w:pPr>
        <w:adjustRightInd w:val="0"/>
        <w:snapToGrid w:val="0"/>
        <w:spacing w:line="360" w:lineRule="auto"/>
        <w:ind w:firstLineChars="200" w:firstLine="482"/>
        <w:rPr>
          <w:b/>
          <w:bCs/>
          <w:snapToGrid w:val="0"/>
          <w:color w:val="000000" w:themeColor="text1"/>
          <w:szCs w:val="28"/>
        </w:rPr>
      </w:pPr>
      <w:r w:rsidRPr="00B12FE0">
        <w:rPr>
          <w:b/>
          <w:snapToGrid w:val="0"/>
          <w:color w:val="000000" w:themeColor="text1"/>
          <w:szCs w:val="24"/>
        </w:rPr>
        <w:t>二、放射性核素产生的</w:t>
      </w:r>
      <w:r w:rsidRPr="00B12FE0">
        <w:rPr>
          <w:b/>
          <w:snapToGrid w:val="0"/>
          <w:color w:val="000000" w:themeColor="text1"/>
          <w:szCs w:val="24"/>
        </w:rPr>
        <w:t>γ</w:t>
      </w:r>
      <w:r w:rsidRPr="00B12FE0">
        <w:rPr>
          <w:b/>
          <w:snapToGrid w:val="0"/>
          <w:color w:val="000000" w:themeColor="text1"/>
          <w:szCs w:val="24"/>
        </w:rPr>
        <w:t>射线</w:t>
      </w:r>
      <w:r w:rsidRPr="00B12FE0">
        <w:rPr>
          <w:b/>
          <w:bCs/>
          <w:snapToGrid w:val="0"/>
          <w:color w:val="000000" w:themeColor="text1"/>
          <w:szCs w:val="28"/>
        </w:rPr>
        <w:t>辐射环境影响分析</w:t>
      </w:r>
    </w:p>
    <w:p w14:paraId="57F6FEB7" w14:textId="77777777" w:rsidR="00A67F21" w:rsidRPr="00B12FE0" w:rsidRDefault="00000000">
      <w:pPr>
        <w:adjustRightInd w:val="0"/>
        <w:snapToGrid w:val="0"/>
        <w:spacing w:line="360" w:lineRule="auto"/>
        <w:ind w:firstLineChars="200" w:firstLine="482"/>
        <w:rPr>
          <w:b/>
          <w:snapToGrid w:val="0"/>
          <w:color w:val="000000" w:themeColor="text1"/>
          <w:szCs w:val="24"/>
        </w:rPr>
      </w:pPr>
      <w:r w:rsidRPr="00B12FE0">
        <w:rPr>
          <w:b/>
          <w:bCs/>
          <w:snapToGrid w:val="0"/>
          <w:color w:val="000000" w:themeColor="text1"/>
          <w:szCs w:val="28"/>
        </w:rPr>
        <w:t>1</w:t>
      </w:r>
      <w:r w:rsidRPr="00B12FE0">
        <w:rPr>
          <w:b/>
          <w:bCs/>
          <w:snapToGrid w:val="0"/>
          <w:color w:val="000000" w:themeColor="text1"/>
          <w:szCs w:val="28"/>
        </w:rPr>
        <w:t>、核素诊断场所屏蔽体外关注点处剂量率计算公式</w:t>
      </w:r>
    </w:p>
    <w:p w14:paraId="39969B28"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辐射工作人员在放射性药物</w:t>
      </w:r>
      <w:proofErr w:type="gramStart"/>
      <w:r w:rsidRPr="00B12FE0">
        <w:rPr>
          <w:snapToGrid w:val="0"/>
          <w:color w:val="000000" w:themeColor="text1"/>
          <w:szCs w:val="24"/>
        </w:rPr>
        <w:t>操作区</w:t>
      </w:r>
      <w:proofErr w:type="gramEnd"/>
      <w:r w:rsidRPr="00B12FE0">
        <w:rPr>
          <w:snapToGrid w:val="0"/>
          <w:color w:val="000000" w:themeColor="text1"/>
          <w:szCs w:val="24"/>
        </w:rPr>
        <w:t>进行相关放射性药物的操作和给病人注射放射性核素，这个过程主要是放射性核素产生的</w:t>
      </w:r>
      <w:r w:rsidRPr="00B12FE0">
        <w:rPr>
          <w:snapToGrid w:val="0"/>
          <w:color w:val="000000" w:themeColor="text1"/>
          <w:szCs w:val="24"/>
        </w:rPr>
        <w:t>γ</w:t>
      </w:r>
      <w:r w:rsidRPr="00B12FE0">
        <w:rPr>
          <w:snapToGrid w:val="0"/>
          <w:color w:val="000000" w:themeColor="text1"/>
          <w:szCs w:val="24"/>
        </w:rPr>
        <w:t>射线引起的辐射照射。当病人注射了放射性药物之后，病人又成为一个活动的辐射体，其所在的工作场所则要考虑来自病人身体的射线辐射。</w:t>
      </w:r>
    </w:p>
    <w:p w14:paraId="61CB1DDA" w14:textId="77777777" w:rsidR="00A67F21" w:rsidRPr="00B12FE0" w:rsidRDefault="00000000">
      <w:pPr>
        <w:adjustRightInd w:val="0"/>
        <w:snapToGrid w:val="0"/>
        <w:spacing w:line="360" w:lineRule="auto"/>
        <w:ind w:firstLineChars="200" w:firstLine="480"/>
        <w:jc w:val="left"/>
        <w:rPr>
          <w:snapToGrid w:val="0"/>
          <w:color w:val="000000" w:themeColor="text1"/>
          <w:szCs w:val="24"/>
        </w:rPr>
      </w:pPr>
      <w:r w:rsidRPr="00B12FE0">
        <w:rPr>
          <w:snapToGrid w:val="0"/>
          <w:color w:val="000000" w:themeColor="text1"/>
          <w:szCs w:val="24"/>
        </w:rPr>
        <w:t>核素诊断场所屏蔽计算公式参考《核医学放射防护要求》（</w:t>
      </w:r>
      <w:r w:rsidRPr="00B12FE0">
        <w:rPr>
          <w:snapToGrid w:val="0"/>
          <w:color w:val="000000" w:themeColor="text1"/>
          <w:szCs w:val="24"/>
        </w:rPr>
        <w:t>GBZ120-2020</w:t>
      </w:r>
      <w:r w:rsidRPr="00B12FE0">
        <w:rPr>
          <w:snapToGrid w:val="0"/>
          <w:color w:val="000000" w:themeColor="text1"/>
          <w:szCs w:val="24"/>
        </w:rPr>
        <w:t>），辐射剂量率估算公式同式</w:t>
      </w:r>
      <w:r w:rsidRPr="00B12FE0">
        <w:rPr>
          <w:snapToGrid w:val="0"/>
          <w:color w:val="000000" w:themeColor="text1"/>
          <w:szCs w:val="24"/>
        </w:rPr>
        <w:t>11.2.1.1-</w:t>
      </w:r>
      <w:r w:rsidRPr="00B12FE0">
        <w:rPr>
          <w:rFonts w:hint="eastAsia"/>
          <w:snapToGrid w:val="0"/>
          <w:color w:val="000000" w:themeColor="text1"/>
          <w:szCs w:val="24"/>
        </w:rPr>
        <w:t>2</w:t>
      </w:r>
      <w:r w:rsidRPr="00B12FE0">
        <w:rPr>
          <w:snapToGrid w:val="0"/>
          <w:color w:val="000000" w:themeColor="text1"/>
          <w:szCs w:val="24"/>
        </w:rPr>
        <w:t>。</w:t>
      </w:r>
    </w:p>
    <w:p w14:paraId="4845299C" w14:textId="77777777" w:rsidR="00A67F21" w:rsidRPr="00B12FE0" w:rsidRDefault="00000000">
      <w:pPr>
        <w:adjustRightInd w:val="0"/>
        <w:snapToGrid w:val="0"/>
        <w:spacing w:line="360" w:lineRule="auto"/>
        <w:jc w:val="center"/>
        <w:rPr>
          <w:b/>
          <w:snapToGrid w:val="0"/>
          <w:color w:val="000000" w:themeColor="text1"/>
          <w:sz w:val="21"/>
          <w:szCs w:val="21"/>
        </w:rPr>
      </w:pPr>
      <w:r w:rsidRPr="00B12FE0">
        <w:rPr>
          <w:b/>
          <w:snapToGrid w:val="0"/>
          <w:color w:val="000000" w:themeColor="text1"/>
          <w:sz w:val="21"/>
          <w:szCs w:val="21"/>
        </w:rPr>
        <w:t>表</w:t>
      </w:r>
      <w:r w:rsidRPr="00B12FE0">
        <w:rPr>
          <w:b/>
          <w:snapToGrid w:val="0"/>
          <w:color w:val="000000" w:themeColor="text1"/>
          <w:sz w:val="21"/>
          <w:szCs w:val="21"/>
        </w:rPr>
        <w:t>11.2.1.2-</w:t>
      </w:r>
      <w:r w:rsidRPr="00B12FE0">
        <w:rPr>
          <w:rFonts w:hint="eastAsia"/>
          <w:b/>
          <w:snapToGrid w:val="0"/>
          <w:color w:val="000000" w:themeColor="text1"/>
          <w:sz w:val="21"/>
          <w:szCs w:val="21"/>
        </w:rPr>
        <w:t>9</w:t>
      </w:r>
      <w:r w:rsidRPr="00B12FE0">
        <w:rPr>
          <w:b/>
          <w:snapToGrid w:val="0"/>
          <w:color w:val="000000" w:themeColor="text1"/>
          <w:sz w:val="21"/>
          <w:szCs w:val="21"/>
        </w:rPr>
        <w:t xml:space="preserve">  </w:t>
      </w:r>
      <w:r w:rsidRPr="00B12FE0">
        <w:rPr>
          <w:b/>
          <w:snapToGrid w:val="0"/>
          <w:color w:val="000000" w:themeColor="text1"/>
          <w:sz w:val="21"/>
          <w:szCs w:val="21"/>
        </w:rPr>
        <w:t>本项目涉及核素辐射剂量率估算相关参数取值表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9"/>
        <w:gridCol w:w="1500"/>
        <w:gridCol w:w="1425"/>
        <w:gridCol w:w="1423"/>
      </w:tblGrid>
      <w:tr w:rsidR="00A67F21" w:rsidRPr="00B12FE0" w14:paraId="61B6BCFB" w14:textId="77777777">
        <w:trPr>
          <w:trHeight w:val="340"/>
          <w:jc w:val="center"/>
        </w:trPr>
        <w:tc>
          <w:tcPr>
            <w:tcW w:w="2589" w:type="pct"/>
            <w:vAlign w:val="center"/>
          </w:tcPr>
          <w:p w14:paraId="205A115A"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核素名称</w:t>
            </w:r>
          </w:p>
        </w:tc>
        <w:tc>
          <w:tcPr>
            <w:tcW w:w="832" w:type="pct"/>
            <w:vAlign w:val="center"/>
          </w:tcPr>
          <w:p w14:paraId="3A586EB4" w14:textId="77777777" w:rsidR="00A67F21" w:rsidRPr="00B12FE0" w:rsidRDefault="00000000">
            <w:pPr>
              <w:widowControl/>
              <w:jc w:val="center"/>
              <w:rPr>
                <w:snapToGrid w:val="0"/>
                <w:color w:val="000000" w:themeColor="text1"/>
                <w:sz w:val="21"/>
                <w:szCs w:val="21"/>
              </w:rPr>
            </w:pPr>
            <w:r w:rsidRPr="00B12FE0">
              <w:rPr>
                <w:snapToGrid w:val="0"/>
                <w:color w:val="000000" w:themeColor="text1"/>
                <w:sz w:val="21"/>
                <w:szCs w:val="21"/>
                <w:vertAlign w:val="superscript"/>
              </w:rPr>
              <w:t>18</w:t>
            </w:r>
            <w:r w:rsidRPr="00B12FE0">
              <w:rPr>
                <w:snapToGrid w:val="0"/>
                <w:color w:val="000000" w:themeColor="text1"/>
                <w:sz w:val="21"/>
                <w:szCs w:val="21"/>
              </w:rPr>
              <w:t>F</w:t>
            </w:r>
          </w:p>
        </w:tc>
        <w:tc>
          <w:tcPr>
            <w:tcW w:w="790" w:type="pct"/>
            <w:vAlign w:val="center"/>
          </w:tcPr>
          <w:p w14:paraId="6D9BD464" w14:textId="77777777" w:rsidR="00A67F21" w:rsidRPr="00B12FE0" w:rsidRDefault="00000000">
            <w:pPr>
              <w:widowControl/>
              <w:jc w:val="center"/>
              <w:rPr>
                <w:snapToGrid w:val="0"/>
                <w:color w:val="000000" w:themeColor="text1"/>
                <w:sz w:val="21"/>
                <w:szCs w:val="21"/>
              </w:rPr>
            </w:pPr>
            <w:r w:rsidRPr="00B12FE0">
              <w:rPr>
                <w:snapToGrid w:val="0"/>
                <w:color w:val="000000" w:themeColor="text1"/>
                <w:sz w:val="21"/>
                <w:szCs w:val="21"/>
                <w:vertAlign w:val="superscript"/>
              </w:rPr>
              <w:t>99m</w:t>
            </w:r>
            <w:r w:rsidRPr="00B12FE0">
              <w:rPr>
                <w:snapToGrid w:val="0"/>
                <w:color w:val="000000" w:themeColor="text1"/>
                <w:sz w:val="21"/>
                <w:szCs w:val="21"/>
              </w:rPr>
              <w:t>Tc</w:t>
            </w:r>
          </w:p>
        </w:tc>
        <w:tc>
          <w:tcPr>
            <w:tcW w:w="789" w:type="pct"/>
            <w:vAlign w:val="center"/>
          </w:tcPr>
          <w:p w14:paraId="0E2FFAD7" w14:textId="77777777" w:rsidR="00A67F21" w:rsidRPr="00B12FE0" w:rsidRDefault="00000000">
            <w:pPr>
              <w:widowControl/>
              <w:jc w:val="center"/>
              <w:rPr>
                <w:snapToGrid w:val="0"/>
                <w:color w:val="000000" w:themeColor="text1"/>
                <w:sz w:val="21"/>
                <w:szCs w:val="21"/>
                <w:vertAlign w:val="superscript"/>
              </w:rPr>
            </w:pPr>
            <w:r w:rsidRPr="00B12FE0">
              <w:rPr>
                <w:rFonts w:hint="eastAsia"/>
                <w:color w:val="000000" w:themeColor="text1"/>
                <w:sz w:val="21"/>
                <w:szCs w:val="21"/>
                <w:vertAlign w:val="superscript"/>
              </w:rPr>
              <w:t>1</w:t>
            </w:r>
            <w:r w:rsidRPr="00B12FE0">
              <w:rPr>
                <w:color w:val="000000" w:themeColor="text1"/>
                <w:sz w:val="21"/>
                <w:szCs w:val="21"/>
                <w:vertAlign w:val="superscript"/>
              </w:rPr>
              <w:t>31</w:t>
            </w:r>
            <w:r w:rsidRPr="00B12FE0">
              <w:rPr>
                <w:color w:val="000000" w:themeColor="text1"/>
                <w:sz w:val="21"/>
                <w:szCs w:val="21"/>
              </w:rPr>
              <w:t>I</w:t>
            </w:r>
          </w:p>
        </w:tc>
      </w:tr>
      <w:tr w:rsidR="00A67F21" w:rsidRPr="00B12FE0" w14:paraId="73D6CCB1" w14:textId="77777777">
        <w:trPr>
          <w:trHeight w:val="340"/>
          <w:jc w:val="center"/>
        </w:trPr>
        <w:tc>
          <w:tcPr>
            <w:tcW w:w="2589" w:type="pct"/>
            <w:vAlign w:val="center"/>
          </w:tcPr>
          <w:p w14:paraId="3A7CCFD6" w14:textId="77777777" w:rsidR="00A67F21" w:rsidRPr="00B12FE0" w:rsidRDefault="00000000">
            <w:pPr>
              <w:adjustRightInd w:val="0"/>
              <w:snapToGrid w:val="0"/>
              <w:jc w:val="center"/>
              <w:rPr>
                <w:snapToGrid w:val="0"/>
                <w:color w:val="000000" w:themeColor="text1"/>
                <w:spacing w:val="-4"/>
                <w:sz w:val="21"/>
                <w:szCs w:val="21"/>
              </w:rPr>
            </w:pPr>
            <w:r w:rsidRPr="00B12FE0">
              <w:rPr>
                <w:snapToGrid w:val="0"/>
                <w:color w:val="000000" w:themeColor="text1"/>
                <w:spacing w:val="-4"/>
                <w:sz w:val="21"/>
                <w:szCs w:val="21"/>
              </w:rPr>
              <w:t>铅</w:t>
            </w:r>
            <w:r w:rsidRPr="00B12FE0">
              <w:rPr>
                <w:snapToGrid w:val="0"/>
                <w:color w:val="000000" w:themeColor="text1"/>
                <w:kern w:val="0"/>
                <w:sz w:val="21"/>
                <w:szCs w:val="21"/>
              </w:rPr>
              <w:t>（</w:t>
            </w:r>
            <w:r w:rsidRPr="00B12FE0">
              <w:rPr>
                <w:snapToGrid w:val="0"/>
                <w:color w:val="000000" w:themeColor="text1"/>
                <w:kern w:val="0"/>
                <w:sz w:val="21"/>
                <w:szCs w:val="21"/>
              </w:rPr>
              <w:t>ρ=11.3t/m</w:t>
            </w:r>
            <w:r w:rsidRPr="00B12FE0">
              <w:rPr>
                <w:snapToGrid w:val="0"/>
                <w:color w:val="000000" w:themeColor="text1"/>
                <w:kern w:val="0"/>
                <w:sz w:val="21"/>
                <w:szCs w:val="21"/>
                <w:vertAlign w:val="superscript"/>
              </w:rPr>
              <w:t>3</w:t>
            </w:r>
            <w:r w:rsidRPr="00B12FE0">
              <w:rPr>
                <w:snapToGrid w:val="0"/>
                <w:color w:val="000000" w:themeColor="text1"/>
                <w:kern w:val="0"/>
                <w:sz w:val="21"/>
                <w:szCs w:val="21"/>
              </w:rPr>
              <w:t>）</w:t>
            </w:r>
            <w:proofErr w:type="gramStart"/>
            <w:r w:rsidRPr="00B12FE0">
              <w:rPr>
                <w:snapToGrid w:val="0"/>
                <w:color w:val="000000" w:themeColor="text1"/>
                <w:spacing w:val="-4"/>
                <w:sz w:val="21"/>
                <w:szCs w:val="21"/>
              </w:rPr>
              <w:t>什值层</w:t>
            </w:r>
            <w:proofErr w:type="gramEnd"/>
            <w:r w:rsidRPr="00B12FE0">
              <w:rPr>
                <w:snapToGrid w:val="0"/>
                <w:color w:val="000000" w:themeColor="text1"/>
                <w:spacing w:val="-4"/>
                <w:sz w:val="21"/>
                <w:szCs w:val="21"/>
              </w:rPr>
              <w:t>厚度</w:t>
            </w:r>
            <w:r w:rsidRPr="00B12FE0">
              <w:rPr>
                <w:snapToGrid w:val="0"/>
                <w:color w:val="000000" w:themeColor="text1"/>
                <w:spacing w:val="-4"/>
                <w:sz w:val="21"/>
                <w:szCs w:val="21"/>
              </w:rPr>
              <w:t>TVL</w:t>
            </w:r>
            <w:r w:rsidRPr="00B12FE0">
              <w:rPr>
                <w:snapToGrid w:val="0"/>
                <w:color w:val="000000" w:themeColor="text1"/>
                <w:spacing w:val="-4"/>
                <w:sz w:val="21"/>
                <w:szCs w:val="21"/>
              </w:rPr>
              <w:t>，</w:t>
            </w:r>
            <w:r w:rsidRPr="00B12FE0">
              <w:rPr>
                <w:snapToGrid w:val="0"/>
                <w:color w:val="000000" w:themeColor="text1"/>
                <w:spacing w:val="-4"/>
                <w:sz w:val="21"/>
                <w:szCs w:val="21"/>
              </w:rPr>
              <w:t>mm</w:t>
            </w:r>
          </w:p>
        </w:tc>
        <w:tc>
          <w:tcPr>
            <w:tcW w:w="832" w:type="pct"/>
            <w:vAlign w:val="center"/>
          </w:tcPr>
          <w:p w14:paraId="613E18BC"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16.6</w:t>
            </w:r>
          </w:p>
        </w:tc>
        <w:tc>
          <w:tcPr>
            <w:tcW w:w="790" w:type="pct"/>
            <w:vAlign w:val="center"/>
          </w:tcPr>
          <w:p w14:paraId="2647D5E4"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w:t>
            </w:r>
          </w:p>
        </w:tc>
        <w:tc>
          <w:tcPr>
            <w:tcW w:w="789" w:type="pct"/>
            <w:vAlign w:val="center"/>
          </w:tcPr>
          <w:p w14:paraId="2CE54D64" w14:textId="77777777" w:rsidR="00A67F21" w:rsidRPr="00B12FE0" w:rsidRDefault="00000000">
            <w:pPr>
              <w:adjustRightInd w:val="0"/>
              <w:snapToGrid w:val="0"/>
              <w:jc w:val="center"/>
              <w:rPr>
                <w:snapToGrid w:val="0"/>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1</w:t>
            </w:r>
          </w:p>
        </w:tc>
      </w:tr>
      <w:tr w:rsidR="00A67F21" w:rsidRPr="00B12FE0" w14:paraId="43B5041B" w14:textId="77777777">
        <w:trPr>
          <w:trHeight w:val="340"/>
          <w:jc w:val="center"/>
        </w:trPr>
        <w:tc>
          <w:tcPr>
            <w:tcW w:w="2589" w:type="pct"/>
            <w:vAlign w:val="center"/>
          </w:tcPr>
          <w:p w14:paraId="12779A90" w14:textId="77777777" w:rsidR="00A67F21" w:rsidRPr="00B12FE0" w:rsidRDefault="00000000">
            <w:pPr>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混凝土（</w:t>
            </w:r>
            <w:r w:rsidRPr="00B12FE0">
              <w:rPr>
                <w:snapToGrid w:val="0"/>
                <w:color w:val="000000" w:themeColor="text1"/>
                <w:kern w:val="0"/>
                <w:sz w:val="21"/>
                <w:szCs w:val="21"/>
              </w:rPr>
              <w:t>ρ=2.35t/m</w:t>
            </w:r>
            <w:r w:rsidRPr="00B12FE0">
              <w:rPr>
                <w:snapToGrid w:val="0"/>
                <w:color w:val="000000" w:themeColor="text1"/>
                <w:kern w:val="0"/>
                <w:sz w:val="21"/>
                <w:szCs w:val="21"/>
                <w:vertAlign w:val="superscript"/>
              </w:rPr>
              <w:t>3</w:t>
            </w:r>
            <w:r w:rsidRPr="00B12FE0">
              <w:rPr>
                <w:snapToGrid w:val="0"/>
                <w:color w:val="000000" w:themeColor="text1"/>
                <w:kern w:val="0"/>
                <w:sz w:val="21"/>
                <w:szCs w:val="21"/>
              </w:rPr>
              <w:t>）</w:t>
            </w:r>
            <w:proofErr w:type="gramStart"/>
            <w:r w:rsidRPr="00B12FE0">
              <w:rPr>
                <w:snapToGrid w:val="0"/>
                <w:color w:val="000000" w:themeColor="text1"/>
                <w:kern w:val="0"/>
                <w:sz w:val="21"/>
                <w:szCs w:val="21"/>
              </w:rPr>
              <w:t>什值层</w:t>
            </w:r>
            <w:proofErr w:type="gramEnd"/>
            <w:r w:rsidRPr="00B12FE0">
              <w:rPr>
                <w:snapToGrid w:val="0"/>
                <w:color w:val="000000" w:themeColor="text1"/>
                <w:kern w:val="0"/>
                <w:sz w:val="21"/>
                <w:szCs w:val="21"/>
              </w:rPr>
              <w:t>厚度</w:t>
            </w:r>
            <w:r w:rsidRPr="00B12FE0">
              <w:rPr>
                <w:snapToGrid w:val="0"/>
                <w:color w:val="000000" w:themeColor="text1"/>
                <w:kern w:val="0"/>
                <w:sz w:val="21"/>
                <w:szCs w:val="21"/>
              </w:rPr>
              <w:t>TVL</w:t>
            </w:r>
            <w:r w:rsidRPr="00B12FE0">
              <w:rPr>
                <w:snapToGrid w:val="0"/>
                <w:color w:val="000000" w:themeColor="text1"/>
                <w:kern w:val="0"/>
                <w:sz w:val="21"/>
                <w:szCs w:val="21"/>
              </w:rPr>
              <w:t>，</w:t>
            </w:r>
            <w:r w:rsidRPr="00B12FE0">
              <w:rPr>
                <w:snapToGrid w:val="0"/>
                <w:color w:val="000000" w:themeColor="text1"/>
                <w:kern w:val="0"/>
                <w:sz w:val="21"/>
                <w:szCs w:val="21"/>
              </w:rPr>
              <w:t>mm</w:t>
            </w:r>
          </w:p>
        </w:tc>
        <w:tc>
          <w:tcPr>
            <w:tcW w:w="832" w:type="pct"/>
            <w:vAlign w:val="center"/>
          </w:tcPr>
          <w:p w14:paraId="11714E52"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176</w:t>
            </w:r>
          </w:p>
        </w:tc>
        <w:tc>
          <w:tcPr>
            <w:tcW w:w="790" w:type="pct"/>
            <w:vAlign w:val="center"/>
          </w:tcPr>
          <w:p w14:paraId="42D6689F"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110</w:t>
            </w:r>
          </w:p>
        </w:tc>
        <w:tc>
          <w:tcPr>
            <w:tcW w:w="789" w:type="pct"/>
            <w:vAlign w:val="center"/>
          </w:tcPr>
          <w:p w14:paraId="36786485" w14:textId="77777777" w:rsidR="00A67F21" w:rsidRPr="00B12FE0" w:rsidRDefault="00000000">
            <w:pPr>
              <w:adjustRightInd w:val="0"/>
              <w:snapToGrid w:val="0"/>
              <w:jc w:val="center"/>
              <w:rPr>
                <w:snapToGrid w:val="0"/>
                <w:color w:val="000000" w:themeColor="text1"/>
                <w:sz w:val="21"/>
                <w:szCs w:val="21"/>
              </w:rPr>
            </w:pPr>
            <w:r w:rsidRPr="00B12FE0">
              <w:rPr>
                <w:color w:val="000000" w:themeColor="text1"/>
                <w:sz w:val="21"/>
                <w:szCs w:val="21"/>
              </w:rPr>
              <w:t>170</w:t>
            </w:r>
          </w:p>
        </w:tc>
      </w:tr>
      <w:tr w:rsidR="00A67F21" w:rsidRPr="00B12FE0" w14:paraId="0FAA8112" w14:textId="77777777">
        <w:trPr>
          <w:trHeight w:val="340"/>
          <w:jc w:val="center"/>
        </w:trPr>
        <w:tc>
          <w:tcPr>
            <w:tcW w:w="2589" w:type="pct"/>
            <w:vAlign w:val="center"/>
          </w:tcPr>
          <w:p w14:paraId="126B45B8" w14:textId="77777777" w:rsidR="00A67F21" w:rsidRPr="00B12FE0" w:rsidRDefault="00000000">
            <w:pPr>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砖（</w:t>
            </w:r>
            <w:r w:rsidRPr="00B12FE0">
              <w:rPr>
                <w:snapToGrid w:val="0"/>
                <w:color w:val="000000" w:themeColor="text1"/>
                <w:kern w:val="0"/>
                <w:sz w:val="21"/>
                <w:szCs w:val="21"/>
              </w:rPr>
              <w:t>ρ=1.65t/m</w:t>
            </w:r>
            <w:r w:rsidRPr="00B12FE0">
              <w:rPr>
                <w:snapToGrid w:val="0"/>
                <w:color w:val="000000" w:themeColor="text1"/>
                <w:kern w:val="0"/>
                <w:sz w:val="21"/>
                <w:szCs w:val="21"/>
                <w:vertAlign w:val="superscript"/>
              </w:rPr>
              <w:t>3</w:t>
            </w:r>
            <w:r w:rsidRPr="00B12FE0">
              <w:rPr>
                <w:snapToGrid w:val="0"/>
                <w:color w:val="000000" w:themeColor="text1"/>
                <w:kern w:val="0"/>
                <w:sz w:val="21"/>
                <w:szCs w:val="21"/>
              </w:rPr>
              <w:t>）</w:t>
            </w:r>
            <w:proofErr w:type="gramStart"/>
            <w:r w:rsidRPr="00B12FE0">
              <w:rPr>
                <w:snapToGrid w:val="0"/>
                <w:color w:val="000000" w:themeColor="text1"/>
                <w:kern w:val="0"/>
                <w:sz w:val="21"/>
                <w:szCs w:val="21"/>
              </w:rPr>
              <w:t>什值层</w:t>
            </w:r>
            <w:proofErr w:type="gramEnd"/>
            <w:r w:rsidRPr="00B12FE0">
              <w:rPr>
                <w:snapToGrid w:val="0"/>
                <w:color w:val="000000" w:themeColor="text1"/>
                <w:kern w:val="0"/>
                <w:sz w:val="21"/>
                <w:szCs w:val="21"/>
              </w:rPr>
              <w:t>厚度</w:t>
            </w:r>
            <w:r w:rsidRPr="00B12FE0">
              <w:rPr>
                <w:snapToGrid w:val="0"/>
                <w:color w:val="000000" w:themeColor="text1"/>
                <w:kern w:val="0"/>
                <w:sz w:val="21"/>
                <w:szCs w:val="21"/>
              </w:rPr>
              <w:t>TVL</w:t>
            </w:r>
            <w:r w:rsidRPr="00B12FE0">
              <w:rPr>
                <w:snapToGrid w:val="0"/>
                <w:color w:val="000000" w:themeColor="text1"/>
                <w:kern w:val="0"/>
                <w:sz w:val="21"/>
                <w:szCs w:val="21"/>
              </w:rPr>
              <w:t>，</w:t>
            </w:r>
            <w:r w:rsidRPr="00B12FE0">
              <w:rPr>
                <w:snapToGrid w:val="0"/>
                <w:color w:val="000000" w:themeColor="text1"/>
                <w:kern w:val="0"/>
                <w:sz w:val="21"/>
                <w:szCs w:val="21"/>
              </w:rPr>
              <w:t>mm</w:t>
            </w:r>
          </w:p>
        </w:tc>
        <w:tc>
          <w:tcPr>
            <w:tcW w:w="832" w:type="pct"/>
            <w:vAlign w:val="center"/>
          </w:tcPr>
          <w:p w14:paraId="385E6961"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263</w:t>
            </w:r>
          </w:p>
        </w:tc>
        <w:tc>
          <w:tcPr>
            <w:tcW w:w="790" w:type="pct"/>
            <w:vAlign w:val="center"/>
          </w:tcPr>
          <w:p w14:paraId="18FD774C"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160</w:t>
            </w:r>
          </w:p>
        </w:tc>
        <w:tc>
          <w:tcPr>
            <w:tcW w:w="789" w:type="pct"/>
            <w:vAlign w:val="center"/>
          </w:tcPr>
          <w:p w14:paraId="4ED655E8" w14:textId="77777777" w:rsidR="00A67F21" w:rsidRPr="00B12FE0" w:rsidRDefault="00000000">
            <w:pPr>
              <w:adjustRightInd w:val="0"/>
              <w:snapToGrid w:val="0"/>
              <w:jc w:val="center"/>
              <w:rPr>
                <w:snapToGrid w:val="0"/>
                <w:color w:val="000000" w:themeColor="text1"/>
                <w:sz w:val="21"/>
                <w:szCs w:val="21"/>
              </w:rPr>
            </w:pPr>
            <w:r w:rsidRPr="00B12FE0">
              <w:rPr>
                <w:color w:val="000000" w:themeColor="text1"/>
                <w:sz w:val="21"/>
                <w:szCs w:val="21"/>
              </w:rPr>
              <w:t>240</w:t>
            </w:r>
          </w:p>
        </w:tc>
      </w:tr>
      <w:tr w:rsidR="00A67F21" w:rsidRPr="00B12FE0" w14:paraId="34033446" w14:textId="77777777">
        <w:trPr>
          <w:trHeight w:val="340"/>
          <w:jc w:val="center"/>
        </w:trPr>
        <w:tc>
          <w:tcPr>
            <w:tcW w:w="2589" w:type="pct"/>
            <w:vAlign w:val="center"/>
          </w:tcPr>
          <w:p w14:paraId="1B265693" w14:textId="77777777" w:rsidR="00A67F21" w:rsidRPr="00B12FE0" w:rsidRDefault="00000000">
            <w:pPr>
              <w:widowControl/>
              <w:jc w:val="center"/>
              <w:textAlignment w:val="center"/>
              <w:rPr>
                <w:snapToGrid w:val="0"/>
                <w:color w:val="000000" w:themeColor="text1"/>
                <w:sz w:val="21"/>
                <w:szCs w:val="21"/>
              </w:rPr>
            </w:pPr>
            <w:r w:rsidRPr="00B12FE0">
              <w:rPr>
                <w:rFonts w:ascii="宋体" w:hAnsi="宋体" w:cs="宋体"/>
                <w:snapToGrid w:val="0"/>
                <w:color w:val="000000" w:themeColor="text1"/>
                <w:kern w:val="0"/>
                <w:sz w:val="21"/>
                <w:szCs w:val="21"/>
                <w:lang w:bidi="ar"/>
              </w:rPr>
              <w:t>硫酸钡（</w:t>
            </w:r>
            <w:r w:rsidRPr="00B12FE0">
              <w:rPr>
                <w:snapToGrid w:val="0"/>
                <w:color w:val="000000" w:themeColor="text1"/>
                <w:kern w:val="0"/>
                <w:sz w:val="21"/>
                <w:szCs w:val="21"/>
                <w:lang w:bidi="ar"/>
              </w:rPr>
              <w:t>ρ=</w:t>
            </w:r>
            <w:r w:rsidRPr="00B12FE0">
              <w:rPr>
                <w:rFonts w:hint="eastAsia"/>
                <w:snapToGrid w:val="0"/>
                <w:color w:val="000000" w:themeColor="text1"/>
                <w:kern w:val="0"/>
                <w:sz w:val="21"/>
                <w:szCs w:val="21"/>
                <w:lang w:bidi="ar"/>
              </w:rPr>
              <w:t>2.79</w:t>
            </w:r>
            <w:r w:rsidRPr="00B12FE0">
              <w:rPr>
                <w:snapToGrid w:val="0"/>
                <w:color w:val="000000" w:themeColor="text1"/>
                <w:kern w:val="0"/>
                <w:sz w:val="21"/>
                <w:szCs w:val="21"/>
                <w:lang w:bidi="ar"/>
              </w:rPr>
              <w:t>t/m</w:t>
            </w:r>
            <w:r w:rsidRPr="00B12FE0">
              <w:rPr>
                <w:snapToGrid w:val="0"/>
                <w:color w:val="000000" w:themeColor="text1"/>
                <w:kern w:val="0"/>
                <w:sz w:val="21"/>
                <w:szCs w:val="21"/>
                <w:vertAlign w:val="superscript"/>
                <w:lang w:bidi="ar"/>
              </w:rPr>
              <w:t>3</w:t>
            </w:r>
            <w:r w:rsidRPr="00B12FE0">
              <w:rPr>
                <w:rFonts w:ascii="宋体" w:hAnsi="宋体" w:cs="宋体"/>
                <w:snapToGrid w:val="0"/>
                <w:color w:val="000000" w:themeColor="text1"/>
                <w:kern w:val="0"/>
                <w:sz w:val="21"/>
                <w:szCs w:val="21"/>
                <w:lang w:bidi="ar"/>
              </w:rPr>
              <w:t>）</w:t>
            </w:r>
            <w:proofErr w:type="gramStart"/>
            <w:r w:rsidRPr="00B12FE0">
              <w:rPr>
                <w:rFonts w:ascii="宋体" w:hAnsi="宋体" w:cs="宋体"/>
                <w:snapToGrid w:val="0"/>
                <w:color w:val="000000" w:themeColor="text1"/>
                <w:kern w:val="0"/>
                <w:sz w:val="21"/>
                <w:szCs w:val="21"/>
                <w:lang w:bidi="ar"/>
              </w:rPr>
              <w:t>什值层</w:t>
            </w:r>
            <w:proofErr w:type="gramEnd"/>
            <w:r w:rsidRPr="00B12FE0">
              <w:rPr>
                <w:rFonts w:ascii="宋体" w:hAnsi="宋体" w:cs="宋体"/>
                <w:snapToGrid w:val="0"/>
                <w:color w:val="000000" w:themeColor="text1"/>
                <w:kern w:val="0"/>
                <w:sz w:val="21"/>
                <w:szCs w:val="21"/>
                <w:lang w:bidi="ar"/>
              </w:rPr>
              <w:t>厚度</w:t>
            </w:r>
            <w:r w:rsidRPr="00B12FE0">
              <w:rPr>
                <w:snapToGrid w:val="0"/>
                <w:color w:val="000000" w:themeColor="text1"/>
                <w:kern w:val="0"/>
                <w:sz w:val="21"/>
                <w:szCs w:val="21"/>
                <w:lang w:bidi="ar"/>
              </w:rPr>
              <w:t>mm</w:t>
            </w:r>
          </w:p>
        </w:tc>
        <w:tc>
          <w:tcPr>
            <w:tcW w:w="832" w:type="pct"/>
            <w:vAlign w:val="center"/>
          </w:tcPr>
          <w:p w14:paraId="28D4005F"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148</w:t>
            </w:r>
          </w:p>
        </w:tc>
        <w:tc>
          <w:tcPr>
            <w:tcW w:w="790" w:type="pct"/>
            <w:vAlign w:val="center"/>
          </w:tcPr>
          <w:p w14:paraId="681F147A"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93</w:t>
            </w:r>
          </w:p>
        </w:tc>
        <w:tc>
          <w:tcPr>
            <w:tcW w:w="789" w:type="pct"/>
            <w:vAlign w:val="center"/>
          </w:tcPr>
          <w:p w14:paraId="0B616F9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143</w:t>
            </w:r>
          </w:p>
        </w:tc>
      </w:tr>
      <w:tr w:rsidR="00A67F21" w:rsidRPr="00B12FE0" w14:paraId="1B67B97F" w14:textId="77777777">
        <w:trPr>
          <w:trHeight w:val="340"/>
          <w:jc w:val="center"/>
        </w:trPr>
        <w:tc>
          <w:tcPr>
            <w:tcW w:w="2589" w:type="pct"/>
            <w:vAlign w:val="center"/>
          </w:tcPr>
          <w:p w14:paraId="79F92649" w14:textId="77777777" w:rsidR="00A67F21" w:rsidRPr="00B12FE0" w:rsidRDefault="00000000">
            <w:pPr>
              <w:adjustRightInd w:val="0"/>
              <w:snapToGrid w:val="0"/>
              <w:jc w:val="center"/>
              <w:rPr>
                <w:snapToGrid w:val="0"/>
                <w:color w:val="000000" w:themeColor="text1"/>
                <w:spacing w:val="-4"/>
                <w:sz w:val="21"/>
                <w:szCs w:val="21"/>
              </w:rPr>
            </w:pPr>
            <w:r w:rsidRPr="00B12FE0">
              <w:rPr>
                <w:snapToGrid w:val="0"/>
                <w:color w:val="000000" w:themeColor="text1"/>
                <w:sz w:val="21"/>
                <w:szCs w:val="21"/>
              </w:rPr>
              <w:t>周围剂量当量率常数（裸源），</w:t>
            </w:r>
            <w:r w:rsidRPr="00B12FE0">
              <w:rPr>
                <w:snapToGrid w:val="0"/>
                <w:color w:val="000000" w:themeColor="text1"/>
                <w:kern w:val="0"/>
                <w:sz w:val="21"/>
                <w:szCs w:val="21"/>
              </w:rPr>
              <w:t>μSv·m</w:t>
            </w:r>
            <w:r w:rsidRPr="00B12FE0">
              <w:rPr>
                <w:snapToGrid w:val="0"/>
                <w:color w:val="000000" w:themeColor="text1"/>
                <w:kern w:val="0"/>
                <w:sz w:val="21"/>
                <w:szCs w:val="21"/>
                <w:vertAlign w:val="superscript"/>
              </w:rPr>
              <w:t>2</w:t>
            </w:r>
            <w:r w:rsidRPr="00B12FE0">
              <w:rPr>
                <w:snapToGrid w:val="0"/>
                <w:color w:val="000000" w:themeColor="text1"/>
                <w:kern w:val="0"/>
                <w:sz w:val="21"/>
                <w:szCs w:val="21"/>
              </w:rPr>
              <w:t>/(</w:t>
            </w:r>
            <w:proofErr w:type="spellStart"/>
            <w:r w:rsidRPr="00B12FE0">
              <w:rPr>
                <w:snapToGrid w:val="0"/>
                <w:color w:val="000000" w:themeColor="text1"/>
                <w:kern w:val="0"/>
                <w:sz w:val="21"/>
                <w:szCs w:val="21"/>
              </w:rPr>
              <w:t>h·MBq</w:t>
            </w:r>
            <w:proofErr w:type="spellEnd"/>
            <w:r w:rsidRPr="00B12FE0">
              <w:rPr>
                <w:snapToGrid w:val="0"/>
                <w:color w:val="000000" w:themeColor="text1"/>
                <w:kern w:val="0"/>
                <w:sz w:val="21"/>
                <w:szCs w:val="21"/>
              </w:rPr>
              <w:t>)</w:t>
            </w:r>
          </w:p>
        </w:tc>
        <w:tc>
          <w:tcPr>
            <w:tcW w:w="832" w:type="pct"/>
            <w:vAlign w:val="center"/>
          </w:tcPr>
          <w:p w14:paraId="663EBBF3"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0.143</w:t>
            </w:r>
          </w:p>
        </w:tc>
        <w:tc>
          <w:tcPr>
            <w:tcW w:w="790" w:type="pct"/>
            <w:vAlign w:val="center"/>
          </w:tcPr>
          <w:p w14:paraId="0FBD35D1"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0.0303</w:t>
            </w:r>
          </w:p>
        </w:tc>
        <w:tc>
          <w:tcPr>
            <w:tcW w:w="789" w:type="pct"/>
            <w:vAlign w:val="center"/>
          </w:tcPr>
          <w:p w14:paraId="68C652EA" w14:textId="77777777" w:rsidR="00A67F21" w:rsidRPr="00B12FE0" w:rsidRDefault="00000000">
            <w:pPr>
              <w:adjustRightInd w:val="0"/>
              <w:snapToGrid w:val="0"/>
              <w:jc w:val="center"/>
              <w:rPr>
                <w:snapToGrid w:val="0"/>
                <w:color w:val="000000" w:themeColor="text1"/>
                <w:sz w:val="21"/>
                <w:szCs w:val="21"/>
              </w:rPr>
            </w:pPr>
            <w:r w:rsidRPr="00B12FE0">
              <w:rPr>
                <w:rFonts w:hint="eastAsia"/>
                <w:color w:val="000000" w:themeColor="text1"/>
                <w:sz w:val="21"/>
                <w:szCs w:val="21"/>
              </w:rPr>
              <w:t>0</w:t>
            </w:r>
            <w:r w:rsidRPr="00B12FE0">
              <w:rPr>
                <w:color w:val="000000" w:themeColor="text1"/>
                <w:sz w:val="21"/>
                <w:szCs w:val="21"/>
              </w:rPr>
              <w:t>.0595</w:t>
            </w:r>
          </w:p>
        </w:tc>
      </w:tr>
      <w:tr w:rsidR="00A67F21" w:rsidRPr="00B12FE0" w14:paraId="60B65C23" w14:textId="77777777">
        <w:trPr>
          <w:trHeight w:val="340"/>
          <w:jc w:val="center"/>
        </w:trPr>
        <w:tc>
          <w:tcPr>
            <w:tcW w:w="2589" w:type="pct"/>
            <w:vAlign w:val="center"/>
          </w:tcPr>
          <w:p w14:paraId="7543F27C"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患者体内单位放射性活度所致体外</w:t>
            </w:r>
            <w:r w:rsidRPr="00B12FE0">
              <w:rPr>
                <w:snapToGrid w:val="0"/>
                <w:color w:val="000000" w:themeColor="text1"/>
                <w:sz w:val="21"/>
                <w:szCs w:val="21"/>
              </w:rPr>
              <w:t>1m</w:t>
            </w:r>
            <w:r w:rsidRPr="00B12FE0">
              <w:rPr>
                <w:snapToGrid w:val="0"/>
                <w:color w:val="000000" w:themeColor="text1"/>
                <w:sz w:val="21"/>
                <w:szCs w:val="21"/>
              </w:rPr>
              <w:t>处的周围剂量当量率，</w:t>
            </w:r>
            <w:r w:rsidRPr="00B12FE0">
              <w:rPr>
                <w:snapToGrid w:val="0"/>
                <w:color w:val="000000" w:themeColor="text1"/>
                <w:kern w:val="0"/>
                <w:sz w:val="21"/>
                <w:szCs w:val="21"/>
              </w:rPr>
              <w:t>（</w:t>
            </w:r>
            <w:r w:rsidRPr="00B12FE0">
              <w:rPr>
                <w:snapToGrid w:val="0"/>
                <w:color w:val="000000" w:themeColor="text1"/>
                <w:kern w:val="0"/>
                <w:sz w:val="21"/>
                <w:szCs w:val="21"/>
              </w:rPr>
              <w:t>μSv·m</w:t>
            </w:r>
            <w:r w:rsidRPr="00B12FE0">
              <w:rPr>
                <w:snapToGrid w:val="0"/>
                <w:color w:val="000000" w:themeColor="text1"/>
                <w:kern w:val="0"/>
                <w:sz w:val="21"/>
                <w:szCs w:val="21"/>
                <w:vertAlign w:val="superscript"/>
              </w:rPr>
              <w:t>2</w:t>
            </w:r>
            <w:r w:rsidRPr="00B12FE0">
              <w:rPr>
                <w:snapToGrid w:val="0"/>
                <w:color w:val="000000" w:themeColor="text1"/>
                <w:kern w:val="0"/>
                <w:sz w:val="21"/>
                <w:szCs w:val="21"/>
              </w:rPr>
              <w:t>/(</w:t>
            </w:r>
            <w:proofErr w:type="spellStart"/>
            <w:r w:rsidRPr="00B12FE0">
              <w:rPr>
                <w:snapToGrid w:val="0"/>
                <w:color w:val="000000" w:themeColor="text1"/>
                <w:kern w:val="0"/>
                <w:sz w:val="21"/>
                <w:szCs w:val="21"/>
              </w:rPr>
              <w:t>h·MBq</w:t>
            </w:r>
            <w:proofErr w:type="spellEnd"/>
            <w:r w:rsidRPr="00B12FE0">
              <w:rPr>
                <w:snapToGrid w:val="0"/>
                <w:color w:val="000000" w:themeColor="text1"/>
                <w:kern w:val="0"/>
                <w:sz w:val="21"/>
                <w:szCs w:val="21"/>
              </w:rPr>
              <w:t>)</w:t>
            </w:r>
            <w:r w:rsidRPr="00B12FE0">
              <w:rPr>
                <w:snapToGrid w:val="0"/>
                <w:color w:val="000000" w:themeColor="text1"/>
                <w:sz w:val="21"/>
                <w:szCs w:val="21"/>
              </w:rPr>
              <w:t>）</w:t>
            </w:r>
          </w:p>
        </w:tc>
        <w:tc>
          <w:tcPr>
            <w:tcW w:w="832" w:type="pct"/>
            <w:vAlign w:val="center"/>
          </w:tcPr>
          <w:p w14:paraId="4ABA6579"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0.092</w:t>
            </w:r>
          </w:p>
        </w:tc>
        <w:tc>
          <w:tcPr>
            <w:tcW w:w="790" w:type="pct"/>
            <w:vAlign w:val="center"/>
          </w:tcPr>
          <w:p w14:paraId="6BD3B87C"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0.0207</w:t>
            </w:r>
          </w:p>
        </w:tc>
        <w:tc>
          <w:tcPr>
            <w:tcW w:w="789" w:type="pct"/>
            <w:vAlign w:val="center"/>
          </w:tcPr>
          <w:p w14:paraId="34594B9C" w14:textId="77777777" w:rsidR="00A67F21" w:rsidRPr="00B12FE0" w:rsidRDefault="00000000">
            <w:pPr>
              <w:adjustRightInd w:val="0"/>
              <w:snapToGrid w:val="0"/>
              <w:jc w:val="center"/>
              <w:rPr>
                <w:snapToGrid w:val="0"/>
                <w:color w:val="000000" w:themeColor="text1"/>
                <w:sz w:val="21"/>
                <w:szCs w:val="21"/>
              </w:rPr>
            </w:pPr>
            <w:r w:rsidRPr="00B12FE0">
              <w:rPr>
                <w:rFonts w:hint="eastAsia"/>
                <w:color w:val="000000" w:themeColor="text1"/>
                <w:sz w:val="21"/>
                <w:szCs w:val="21"/>
              </w:rPr>
              <w:t>0</w:t>
            </w:r>
            <w:r w:rsidRPr="00B12FE0">
              <w:rPr>
                <w:color w:val="000000" w:themeColor="text1"/>
                <w:sz w:val="21"/>
                <w:szCs w:val="21"/>
              </w:rPr>
              <w:t>.0583</w:t>
            </w:r>
          </w:p>
        </w:tc>
      </w:tr>
      <w:tr w:rsidR="00A67F21" w:rsidRPr="00B12FE0" w14:paraId="58BA8697" w14:textId="77777777">
        <w:trPr>
          <w:trHeight w:val="340"/>
          <w:jc w:val="center"/>
        </w:trPr>
        <w:tc>
          <w:tcPr>
            <w:tcW w:w="5000" w:type="pct"/>
            <w:gridSpan w:val="4"/>
            <w:vAlign w:val="center"/>
          </w:tcPr>
          <w:p w14:paraId="4EF99AF5" w14:textId="77777777" w:rsidR="00A67F21" w:rsidRPr="00B12FE0" w:rsidRDefault="00000000">
            <w:pPr>
              <w:adjustRightInd w:val="0"/>
              <w:snapToGrid w:val="0"/>
              <w:rPr>
                <w:snapToGrid w:val="0"/>
                <w:color w:val="000000" w:themeColor="text1"/>
                <w:sz w:val="21"/>
                <w:szCs w:val="21"/>
              </w:rPr>
            </w:pPr>
            <w:r w:rsidRPr="00B12FE0">
              <w:rPr>
                <w:snapToGrid w:val="0"/>
                <w:color w:val="000000" w:themeColor="text1"/>
                <w:sz w:val="21"/>
                <w:szCs w:val="21"/>
              </w:rPr>
              <w:t>注：</w:t>
            </w:r>
            <w:r w:rsidRPr="00B12FE0">
              <w:rPr>
                <w:rFonts w:ascii="Cambria Math" w:hAnsi="Cambria Math" w:cs="Cambria Math"/>
                <w:snapToGrid w:val="0"/>
                <w:color w:val="000000" w:themeColor="text1"/>
                <w:sz w:val="21"/>
                <w:szCs w:val="21"/>
              </w:rPr>
              <w:t>①</w:t>
            </w:r>
            <w:r w:rsidRPr="00B12FE0">
              <w:rPr>
                <w:snapToGrid w:val="0"/>
                <w:color w:val="000000" w:themeColor="text1"/>
                <w:sz w:val="21"/>
                <w:szCs w:val="21"/>
              </w:rPr>
              <w:t>以上数据均来源于《核医学放射防护要求》（</w:t>
            </w:r>
            <w:r w:rsidRPr="00B12FE0">
              <w:rPr>
                <w:snapToGrid w:val="0"/>
                <w:color w:val="000000" w:themeColor="text1"/>
                <w:sz w:val="21"/>
                <w:szCs w:val="21"/>
              </w:rPr>
              <w:t>GBZ 120-2020</w:t>
            </w:r>
            <w:r w:rsidRPr="00B12FE0">
              <w:rPr>
                <w:snapToGrid w:val="0"/>
                <w:color w:val="000000" w:themeColor="text1"/>
                <w:sz w:val="21"/>
                <w:szCs w:val="21"/>
              </w:rPr>
              <w:t>）附录</w:t>
            </w:r>
            <w:r w:rsidRPr="00B12FE0">
              <w:rPr>
                <w:snapToGrid w:val="0"/>
                <w:color w:val="000000" w:themeColor="text1"/>
                <w:sz w:val="21"/>
                <w:szCs w:val="21"/>
              </w:rPr>
              <w:t>I</w:t>
            </w:r>
            <w:r w:rsidRPr="00B12FE0">
              <w:rPr>
                <w:snapToGrid w:val="0"/>
                <w:color w:val="000000" w:themeColor="text1"/>
                <w:sz w:val="21"/>
                <w:szCs w:val="21"/>
              </w:rPr>
              <w:t>和附录</w:t>
            </w:r>
            <w:r w:rsidRPr="00B12FE0">
              <w:rPr>
                <w:snapToGrid w:val="0"/>
                <w:color w:val="000000" w:themeColor="text1"/>
                <w:sz w:val="21"/>
                <w:szCs w:val="21"/>
              </w:rPr>
              <w:t>L</w:t>
            </w:r>
            <w:r w:rsidRPr="00B12FE0">
              <w:rPr>
                <w:snapToGrid w:val="0"/>
                <w:color w:val="000000" w:themeColor="text1"/>
                <w:sz w:val="21"/>
                <w:szCs w:val="21"/>
              </w:rPr>
              <w:t>。</w:t>
            </w:r>
            <w:r w:rsidRPr="00B12FE0">
              <w:rPr>
                <w:rFonts w:ascii="Cambria Math" w:hAnsi="Cambria Math" w:cs="Cambria Math"/>
                <w:snapToGrid w:val="0"/>
                <w:color w:val="000000" w:themeColor="text1"/>
                <w:sz w:val="21"/>
                <w:szCs w:val="21"/>
              </w:rPr>
              <w:t>②</w:t>
            </w:r>
            <w:r w:rsidRPr="00B12FE0">
              <w:rPr>
                <w:snapToGrid w:val="0"/>
                <w:color w:val="000000" w:themeColor="text1"/>
                <w:kern w:val="0"/>
                <w:sz w:val="21"/>
                <w:szCs w:val="21"/>
                <w:lang w:bidi="ar"/>
              </w:rPr>
              <w:t>根据《辐射防护导论》，将</w:t>
            </w:r>
            <w:r w:rsidRPr="00B12FE0">
              <w:rPr>
                <w:snapToGrid w:val="0"/>
                <w:color w:val="000000" w:themeColor="text1"/>
                <w:kern w:val="0"/>
                <w:sz w:val="21"/>
                <w:szCs w:val="21"/>
                <w:lang w:bidi="ar"/>
              </w:rPr>
              <w:t>γ</w:t>
            </w:r>
            <w:r w:rsidRPr="00B12FE0">
              <w:rPr>
                <w:snapToGrid w:val="0"/>
                <w:color w:val="000000" w:themeColor="text1"/>
                <w:kern w:val="0"/>
                <w:sz w:val="21"/>
                <w:szCs w:val="21"/>
                <w:lang w:bidi="ar"/>
              </w:rPr>
              <w:t>射线减弱一定程度所需物质厚度</w:t>
            </w:r>
            <w:r w:rsidRPr="00B12FE0">
              <w:rPr>
                <w:snapToGrid w:val="0"/>
                <w:color w:val="000000" w:themeColor="text1"/>
                <w:kern w:val="0"/>
                <w:sz w:val="21"/>
                <w:szCs w:val="21"/>
                <w:lang w:bidi="ar"/>
              </w:rPr>
              <w:t>d</w:t>
            </w:r>
            <w:r w:rsidRPr="00B12FE0">
              <w:rPr>
                <w:snapToGrid w:val="0"/>
                <w:color w:val="000000" w:themeColor="text1"/>
                <w:kern w:val="0"/>
                <w:sz w:val="21"/>
                <w:szCs w:val="21"/>
                <w:lang w:bidi="ar"/>
              </w:rPr>
              <w:t>与物质的密度</w:t>
            </w:r>
            <w:r w:rsidRPr="00B12FE0">
              <w:rPr>
                <w:snapToGrid w:val="0"/>
                <w:color w:val="000000" w:themeColor="text1"/>
                <w:kern w:val="0"/>
                <w:sz w:val="21"/>
                <w:szCs w:val="21"/>
                <w:lang w:bidi="ar"/>
              </w:rPr>
              <w:t>ρ</w:t>
            </w:r>
            <w:r w:rsidRPr="00B12FE0">
              <w:rPr>
                <w:snapToGrid w:val="0"/>
                <w:color w:val="000000" w:themeColor="text1"/>
                <w:kern w:val="0"/>
                <w:sz w:val="21"/>
                <w:szCs w:val="21"/>
                <w:lang w:bidi="ar"/>
              </w:rPr>
              <w:t>成反比关系（</w:t>
            </w:r>
            <w:r w:rsidRPr="00B12FE0">
              <w:rPr>
                <w:snapToGrid w:val="0"/>
                <w:color w:val="000000" w:themeColor="text1"/>
                <w:kern w:val="0"/>
                <w:sz w:val="21"/>
                <w:szCs w:val="21"/>
                <w:lang w:bidi="ar"/>
              </w:rPr>
              <w:t>d1/d2=ρ2/ρ1</w:t>
            </w:r>
            <w:r w:rsidRPr="00B12FE0">
              <w:rPr>
                <w:snapToGrid w:val="0"/>
                <w:color w:val="000000" w:themeColor="text1"/>
                <w:kern w:val="0"/>
                <w:sz w:val="21"/>
                <w:szCs w:val="21"/>
                <w:lang w:bidi="ar"/>
              </w:rPr>
              <w:t>）。本项目拟使用的硫酸钡水泥密度为不低于</w:t>
            </w:r>
            <w:r w:rsidRPr="00B12FE0">
              <w:rPr>
                <w:rFonts w:hint="eastAsia"/>
                <w:snapToGrid w:val="0"/>
                <w:color w:val="000000" w:themeColor="text1"/>
                <w:kern w:val="0"/>
                <w:sz w:val="21"/>
                <w:szCs w:val="21"/>
                <w:lang w:bidi="ar"/>
              </w:rPr>
              <w:t>2.79</w:t>
            </w:r>
            <w:r w:rsidRPr="00B12FE0">
              <w:rPr>
                <w:snapToGrid w:val="0"/>
                <w:color w:val="000000" w:themeColor="text1"/>
                <w:kern w:val="0"/>
                <w:sz w:val="21"/>
                <w:szCs w:val="21"/>
                <w:lang w:bidi="ar"/>
              </w:rPr>
              <w:t>g/cm</w:t>
            </w:r>
            <w:r w:rsidRPr="00B12FE0">
              <w:rPr>
                <w:snapToGrid w:val="0"/>
                <w:color w:val="000000" w:themeColor="text1"/>
                <w:kern w:val="0"/>
                <w:sz w:val="21"/>
                <w:szCs w:val="21"/>
                <w:vertAlign w:val="superscript"/>
                <w:lang w:bidi="ar"/>
              </w:rPr>
              <w:t>3</w:t>
            </w:r>
            <w:r w:rsidRPr="00B12FE0">
              <w:rPr>
                <w:snapToGrid w:val="0"/>
                <w:color w:val="000000" w:themeColor="text1"/>
                <w:kern w:val="0"/>
                <w:sz w:val="21"/>
                <w:szCs w:val="21"/>
                <w:lang w:bidi="ar"/>
              </w:rPr>
              <w:t>，混凝土密度为</w:t>
            </w:r>
            <w:r w:rsidRPr="00B12FE0">
              <w:rPr>
                <w:snapToGrid w:val="0"/>
                <w:color w:val="000000" w:themeColor="text1"/>
                <w:kern w:val="0"/>
                <w:sz w:val="21"/>
                <w:szCs w:val="21"/>
                <w:lang w:bidi="ar"/>
              </w:rPr>
              <w:t>2.35g/cm</w:t>
            </w:r>
            <w:r w:rsidRPr="00B12FE0">
              <w:rPr>
                <w:snapToGrid w:val="0"/>
                <w:color w:val="000000" w:themeColor="text1"/>
                <w:kern w:val="0"/>
                <w:sz w:val="21"/>
                <w:szCs w:val="21"/>
                <w:vertAlign w:val="superscript"/>
                <w:lang w:bidi="ar"/>
              </w:rPr>
              <w:t>3</w:t>
            </w:r>
            <w:r w:rsidRPr="00B12FE0">
              <w:rPr>
                <w:snapToGrid w:val="0"/>
                <w:color w:val="000000" w:themeColor="text1"/>
                <w:kern w:val="0"/>
                <w:sz w:val="21"/>
                <w:szCs w:val="21"/>
                <w:lang w:bidi="ar"/>
              </w:rPr>
              <w:t>，预测时将硫酸钡防护涂料厚度折合为混凝土厚度。</w:t>
            </w:r>
          </w:p>
        </w:tc>
      </w:tr>
    </w:tbl>
    <w:p w14:paraId="06CA23AE" w14:textId="77777777" w:rsidR="00A67F21" w:rsidRPr="00B12FE0" w:rsidRDefault="00000000">
      <w:pPr>
        <w:topLinePunct/>
        <w:autoSpaceDE w:val="0"/>
        <w:adjustRightInd w:val="0"/>
        <w:snapToGrid w:val="0"/>
        <w:spacing w:line="360" w:lineRule="auto"/>
        <w:ind w:firstLineChars="200" w:firstLine="482"/>
        <w:rPr>
          <w:b/>
          <w:bCs/>
          <w:color w:val="000000" w:themeColor="text1"/>
        </w:rPr>
      </w:pPr>
      <w:r w:rsidRPr="00B12FE0">
        <w:rPr>
          <w:b/>
          <w:bCs/>
          <w:color w:val="000000" w:themeColor="text1"/>
        </w:rPr>
        <w:t>2</w:t>
      </w:r>
      <w:r w:rsidRPr="00B12FE0">
        <w:rPr>
          <w:b/>
          <w:bCs/>
          <w:color w:val="000000" w:themeColor="text1"/>
        </w:rPr>
        <w:t>、</w:t>
      </w:r>
      <w:r w:rsidRPr="00B12FE0">
        <w:rPr>
          <w:rFonts w:hint="eastAsia"/>
          <w:b/>
          <w:color w:val="000000" w:themeColor="text1"/>
          <w:szCs w:val="28"/>
        </w:rPr>
        <w:t>工作场所辐射水平分析及预测</w:t>
      </w:r>
    </w:p>
    <w:p w14:paraId="13C76F01" w14:textId="77777777" w:rsidR="00A67F21" w:rsidRPr="00B12FE0" w:rsidRDefault="00000000">
      <w:pPr>
        <w:topLinePunct/>
        <w:autoSpaceDE w:val="0"/>
        <w:spacing w:line="360" w:lineRule="auto"/>
        <w:ind w:firstLine="480"/>
        <w:rPr>
          <w:bCs/>
          <w:snapToGrid w:val="0"/>
          <w:color w:val="000000" w:themeColor="text1"/>
          <w:szCs w:val="24"/>
        </w:rPr>
      </w:pPr>
      <w:r w:rsidRPr="00B12FE0">
        <w:rPr>
          <w:rFonts w:hint="eastAsia"/>
          <w:bCs/>
          <w:snapToGrid w:val="0"/>
          <w:color w:val="000000" w:themeColor="text1"/>
          <w:szCs w:val="24"/>
        </w:rPr>
        <w:lastRenderedPageBreak/>
        <w:t>根据平面布局及项目分区情况，选取核素诊断场所高活室、</w:t>
      </w:r>
      <w:r w:rsidRPr="00B12FE0">
        <w:rPr>
          <w:rFonts w:hint="eastAsia"/>
          <w:bCs/>
          <w:snapToGrid w:val="0"/>
          <w:color w:val="000000" w:themeColor="text1"/>
          <w:szCs w:val="24"/>
        </w:rPr>
        <w:t>PET/CT</w:t>
      </w:r>
      <w:r w:rsidRPr="00B12FE0">
        <w:rPr>
          <w:rFonts w:hint="eastAsia"/>
          <w:bCs/>
          <w:snapToGrid w:val="0"/>
          <w:color w:val="000000" w:themeColor="text1"/>
          <w:szCs w:val="24"/>
        </w:rPr>
        <w:t>机房及其配套区域、</w:t>
      </w:r>
      <w:r w:rsidRPr="00B12FE0">
        <w:rPr>
          <w:rFonts w:hint="eastAsia"/>
          <w:bCs/>
          <w:snapToGrid w:val="0"/>
          <w:color w:val="000000" w:themeColor="text1"/>
          <w:szCs w:val="24"/>
        </w:rPr>
        <w:t>SPECT/CT</w:t>
      </w:r>
      <w:r w:rsidRPr="00B12FE0">
        <w:rPr>
          <w:rFonts w:hint="eastAsia"/>
          <w:bCs/>
          <w:snapToGrid w:val="0"/>
          <w:color w:val="000000" w:themeColor="text1"/>
          <w:szCs w:val="24"/>
        </w:rPr>
        <w:t>机房及其配套区域等处为预测关注点。见附图</w:t>
      </w:r>
      <w:r w:rsidRPr="00B12FE0">
        <w:rPr>
          <w:rFonts w:hint="eastAsia"/>
          <w:bCs/>
          <w:snapToGrid w:val="0"/>
          <w:color w:val="000000" w:themeColor="text1"/>
          <w:szCs w:val="24"/>
        </w:rPr>
        <w:t>11-2</w:t>
      </w:r>
      <w:r w:rsidRPr="00B12FE0">
        <w:rPr>
          <w:rFonts w:hint="eastAsia"/>
          <w:bCs/>
          <w:snapToGrid w:val="0"/>
          <w:color w:val="000000" w:themeColor="text1"/>
          <w:szCs w:val="24"/>
        </w:rPr>
        <w:t>。</w:t>
      </w:r>
    </w:p>
    <w:p w14:paraId="64FA33F5" w14:textId="77777777" w:rsidR="00A67F21" w:rsidRPr="00B12FE0" w:rsidRDefault="00000000">
      <w:pPr>
        <w:topLinePunct/>
        <w:autoSpaceDE w:val="0"/>
        <w:spacing w:line="360" w:lineRule="auto"/>
        <w:ind w:firstLineChars="200" w:firstLine="480"/>
        <w:rPr>
          <w:rFonts w:cs="宋体"/>
          <w:color w:val="000000" w:themeColor="text1"/>
        </w:rPr>
      </w:pPr>
      <w:r w:rsidRPr="00B12FE0">
        <w:rPr>
          <w:rFonts w:cs="宋体" w:hint="eastAsia"/>
          <w:color w:val="000000" w:themeColor="text1"/>
        </w:rPr>
        <w:t>1</w:t>
      </w:r>
      <w:r w:rsidRPr="00B12FE0">
        <w:rPr>
          <w:rFonts w:cs="宋体" w:hint="eastAsia"/>
          <w:color w:val="000000" w:themeColor="text1"/>
        </w:rPr>
        <w:t>）储源室</w:t>
      </w:r>
    </w:p>
    <w:p w14:paraId="6DA8197D" w14:textId="77777777" w:rsidR="00A67F21" w:rsidRPr="00B12FE0" w:rsidRDefault="00000000">
      <w:pPr>
        <w:topLinePunct/>
        <w:autoSpaceDE w:val="0"/>
        <w:spacing w:line="360" w:lineRule="auto"/>
        <w:ind w:firstLine="480"/>
        <w:rPr>
          <w:bCs/>
          <w:snapToGrid w:val="0"/>
          <w:color w:val="000000" w:themeColor="text1"/>
          <w:szCs w:val="24"/>
        </w:rPr>
      </w:pPr>
      <w:r w:rsidRPr="00B12FE0">
        <w:rPr>
          <w:rFonts w:hint="eastAsia"/>
          <w:bCs/>
          <w:snapToGrid w:val="0"/>
          <w:color w:val="000000" w:themeColor="text1"/>
          <w:szCs w:val="24"/>
        </w:rPr>
        <w:t>本项目</w:t>
      </w:r>
      <w:r w:rsidRPr="00B12FE0">
        <w:rPr>
          <w:bCs/>
          <w:snapToGrid w:val="0"/>
          <w:color w:val="000000" w:themeColor="text1"/>
          <w:szCs w:val="24"/>
        </w:rPr>
        <w:t>显像用的正电子放射性核素</w:t>
      </w:r>
      <w:r w:rsidRPr="00B12FE0">
        <w:rPr>
          <w:bCs/>
          <w:snapToGrid w:val="0"/>
          <w:color w:val="000000" w:themeColor="text1"/>
          <w:szCs w:val="24"/>
          <w:vertAlign w:val="superscript"/>
        </w:rPr>
        <w:t>18</w:t>
      </w:r>
      <w:r w:rsidRPr="00B12FE0">
        <w:rPr>
          <w:bCs/>
          <w:snapToGrid w:val="0"/>
          <w:color w:val="000000" w:themeColor="text1"/>
          <w:szCs w:val="24"/>
        </w:rPr>
        <w:t>F</w:t>
      </w:r>
      <w:r w:rsidRPr="00B12FE0">
        <w:rPr>
          <w:bCs/>
          <w:snapToGrid w:val="0"/>
          <w:color w:val="000000" w:themeColor="text1"/>
          <w:szCs w:val="24"/>
        </w:rPr>
        <w:t>、</w:t>
      </w:r>
      <w:r w:rsidRPr="00B12FE0">
        <w:rPr>
          <w:snapToGrid w:val="0"/>
          <w:color w:val="000000" w:themeColor="text1"/>
          <w:szCs w:val="24"/>
          <w:vertAlign w:val="superscript"/>
        </w:rPr>
        <w:t>99m</w:t>
      </w:r>
      <w:r w:rsidRPr="00B12FE0">
        <w:rPr>
          <w:snapToGrid w:val="0"/>
          <w:color w:val="000000" w:themeColor="text1"/>
          <w:szCs w:val="24"/>
        </w:rPr>
        <w:t>Tc</w:t>
      </w:r>
      <w:r w:rsidRPr="00B12FE0">
        <w:rPr>
          <w:bCs/>
          <w:snapToGrid w:val="0"/>
          <w:color w:val="000000" w:themeColor="text1"/>
          <w:szCs w:val="24"/>
        </w:rPr>
        <w:t>为医院自行生产药物。工作人员根据临床诊断所需用药量、病人预约情况确定诊断所需药物的使用量，提前生产药物。</w:t>
      </w:r>
      <w:r w:rsidRPr="00B12FE0">
        <w:rPr>
          <w:bCs/>
          <w:snapToGrid w:val="0"/>
          <w:color w:val="000000" w:themeColor="text1"/>
          <w:szCs w:val="24"/>
          <w:vertAlign w:val="superscript"/>
        </w:rPr>
        <w:t>18</w:t>
      </w:r>
      <w:r w:rsidRPr="00B12FE0">
        <w:rPr>
          <w:bCs/>
          <w:snapToGrid w:val="0"/>
          <w:color w:val="000000" w:themeColor="text1"/>
          <w:szCs w:val="24"/>
        </w:rPr>
        <w:t>F</w:t>
      </w:r>
      <w:r w:rsidRPr="00B12FE0">
        <w:rPr>
          <w:bCs/>
          <w:snapToGrid w:val="0"/>
          <w:color w:val="000000" w:themeColor="text1"/>
          <w:szCs w:val="24"/>
        </w:rPr>
        <w:t>由回旋加速器药物生产完毕后自动进入转运铅罐，由专人使用转运小推车，经由核素</w:t>
      </w:r>
      <w:r w:rsidRPr="00B12FE0">
        <w:rPr>
          <w:rFonts w:hint="eastAsia"/>
          <w:bCs/>
          <w:snapToGrid w:val="0"/>
          <w:color w:val="000000" w:themeColor="text1"/>
          <w:szCs w:val="24"/>
        </w:rPr>
        <w:t>入口</w:t>
      </w:r>
      <w:r w:rsidRPr="00B12FE0">
        <w:rPr>
          <w:bCs/>
          <w:snapToGrid w:val="0"/>
          <w:color w:val="000000" w:themeColor="text1"/>
          <w:szCs w:val="24"/>
        </w:rPr>
        <w:t>将药物运至核医学科核素诊断场所，定点</w:t>
      </w:r>
      <w:proofErr w:type="gramStart"/>
      <w:r w:rsidRPr="00B12FE0">
        <w:rPr>
          <w:bCs/>
          <w:snapToGrid w:val="0"/>
          <w:color w:val="000000" w:themeColor="text1"/>
          <w:szCs w:val="24"/>
        </w:rPr>
        <w:t>运送到储源室</w:t>
      </w:r>
      <w:proofErr w:type="gramEnd"/>
      <w:r w:rsidRPr="00B12FE0">
        <w:rPr>
          <w:bCs/>
          <w:snapToGrid w:val="0"/>
          <w:color w:val="000000" w:themeColor="text1"/>
          <w:szCs w:val="24"/>
        </w:rPr>
        <w:t>内；核素</w:t>
      </w:r>
      <w:r w:rsidRPr="00B12FE0">
        <w:rPr>
          <w:snapToGrid w:val="0"/>
          <w:color w:val="000000" w:themeColor="text1"/>
          <w:szCs w:val="24"/>
          <w:vertAlign w:val="superscript"/>
        </w:rPr>
        <w:t>99m</w:t>
      </w:r>
      <w:r w:rsidRPr="00B12FE0">
        <w:rPr>
          <w:snapToGrid w:val="0"/>
          <w:color w:val="000000" w:themeColor="text1"/>
          <w:szCs w:val="24"/>
        </w:rPr>
        <w:t>Tc</w:t>
      </w:r>
      <w:r w:rsidRPr="00B12FE0">
        <w:rPr>
          <w:snapToGrid w:val="0"/>
          <w:color w:val="000000" w:themeColor="text1"/>
          <w:szCs w:val="24"/>
        </w:rPr>
        <w:t>由</w:t>
      </w:r>
      <w:proofErr w:type="gramStart"/>
      <w:r w:rsidRPr="00B12FE0">
        <w:rPr>
          <w:snapToGrid w:val="0"/>
          <w:color w:val="000000" w:themeColor="text1"/>
          <w:szCs w:val="24"/>
        </w:rPr>
        <w:t>钼</w:t>
      </w:r>
      <w:proofErr w:type="gramEnd"/>
      <w:r w:rsidRPr="00B12FE0">
        <w:rPr>
          <w:snapToGrid w:val="0"/>
          <w:color w:val="000000" w:themeColor="text1"/>
          <w:szCs w:val="24"/>
        </w:rPr>
        <w:t>锝发生器淋洗标记，根据《放射性物品安全运输规程》（</w:t>
      </w:r>
      <w:r w:rsidRPr="00B12FE0">
        <w:rPr>
          <w:snapToGrid w:val="0"/>
          <w:color w:val="000000" w:themeColor="text1"/>
          <w:szCs w:val="24"/>
        </w:rPr>
        <w:t>GB11806-2019</w:t>
      </w:r>
      <w:r w:rsidRPr="00B12FE0">
        <w:rPr>
          <w:snapToGrid w:val="0"/>
          <w:color w:val="000000" w:themeColor="text1"/>
          <w:szCs w:val="24"/>
        </w:rPr>
        <w:t>），</w:t>
      </w:r>
      <w:proofErr w:type="gramStart"/>
      <w:r w:rsidRPr="00B12FE0">
        <w:rPr>
          <w:snapToGrid w:val="0"/>
          <w:color w:val="000000" w:themeColor="text1"/>
          <w:szCs w:val="24"/>
        </w:rPr>
        <w:t>钼</w:t>
      </w:r>
      <w:proofErr w:type="gramEnd"/>
      <w:r w:rsidRPr="00B12FE0">
        <w:rPr>
          <w:snapToGrid w:val="0"/>
          <w:color w:val="000000" w:themeColor="text1"/>
          <w:szCs w:val="24"/>
        </w:rPr>
        <w:t>锝发生器表面剂量率不高于</w:t>
      </w:r>
      <w:r w:rsidRPr="00B12FE0">
        <w:rPr>
          <w:snapToGrid w:val="0"/>
          <w:color w:val="000000" w:themeColor="text1"/>
          <w:szCs w:val="24"/>
        </w:rPr>
        <w:t>500μSv/h</w:t>
      </w:r>
      <w:r w:rsidRPr="00B12FE0">
        <w:rPr>
          <w:snapToGrid w:val="0"/>
          <w:color w:val="000000" w:themeColor="text1"/>
          <w:szCs w:val="24"/>
        </w:rPr>
        <w:t>。</w:t>
      </w:r>
    </w:p>
    <w:p w14:paraId="64E6C84B"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color w:val="000000" w:themeColor="text1"/>
        </w:rPr>
        <w:t>本项目核医学科核素诊断场所</w:t>
      </w:r>
      <w:r w:rsidRPr="00B12FE0">
        <w:rPr>
          <w:rFonts w:cs="宋体"/>
          <w:bCs/>
          <w:color w:val="000000" w:themeColor="text1"/>
        </w:rPr>
        <w:t>使用的</w:t>
      </w:r>
      <w:r w:rsidRPr="00B12FE0">
        <w:rPr>
          <w:rFonts w:cs="宋体" w:hint="eastAsia"/>
          <w:bCs/>
          <w:color w:val="000000" w:themeColor="text1"/>
          <w:vertAlign w:val="superscript"/>
        </w:rPr>
        <w:t>131</w:t>
      </w:r>
      <w:r w:rsidRPr="00B12FE0">
        <w:rPr>
          <w:rFonts w:cs="宋体" w:hint="eastAsia"/>
          <w:bCs/>
          <w:color w:val="000000" w:themeColor="text1"/>
        </w:rPr>
        <w:t>I</w:t>
      </w:r>
      <w:r w:rsidRPr="00B12FE0">
        <w:rPr>
          <w:rFonts w:cs="宋体"/>
          <w:bCs/>
          <w:color w:val="000000" w:themeColor="text1"/>
        </w:rPr>
        <w:t>核素为外购成品药物。工作人员根据临床诊断所需药物的使用量、预约检查的人数，提前</w:t>
      </w:r>
      <w:proofErr w:type="gramStart"/>
      <w:r w:rsidRPr="00B12FE0">
        <w:rPr>
          <w:rFonts w:cs="宋体"/>
          <w:bCs/>
          <w:color w:val="000000" w:themeColor="text1"/>
        </w:rPr>
        <w:t>一天向供药单</w:t>
      </w:r>
      <w:proofErr w:type="gramEnd"/>
      <w:r w:rsidRPr="00B12FE0">
        <w:rPr>
          <w:rFonts w:cs="宋体"/>
          <w:bCs/>
          <w:color w:val="000000" w:themeColor="text1"/>
        </w:rPr>
        <w:t>位订购放射性药物，供药单位在约定的时间，将预约用量的药物送至核医学科核素诊断治疗场所，核医学</w:t>
      </w:r>
      <w:proofErr w:type="gramStart"/>
      <w:r w:rsidRPr="00B12FE0">
        <w:rPr>
          <w:rFonts w:cs="宋体"/>
          <w:bCs/>
          <w:color w:val="000000" w:themeColor="text1"/>
        </w:rPr>
        <w:t>科安排</w:t>
      </w:r>
      <w:proofErr w:type="gramEnd"/>
      <w:r w:rsidRPr="00B12FE0">
        <w:rPr>
          <w:rFonts w:cs="宋体"/>
          <w:bCs/>
          <w:color w:val="000000" w:themeColor="text1"/>
        </w:rPr>
        <w:t>专人接收放射性核素，经确认无误完成相关交接手续后暂存在储源室</w:t>
      </w:r>
      <w:r w:rsidRPr="00B12FE0">
        <w:rPr>
          <w:rFonts w:cs="宋体" w:hint="eastAsia"/>
          <w:bCs/>
          <w:color w:val="000000" w:themeColor="text1"/>
        </w:rPr>
        <w:t>。</w:t>
      </w:r>
    </w:p>
    <w:p w14:paraId="049ED711" w14:textId="77777777" w:rsidR="00A67F21" w:rsidRPr="00B12FE0" w:rsidRDefault="00000000">
      <w:pPr>
        <w:topLinePunct/>
        <w:autoSpaceDE w:val="0"/>
        <w:spacing w:line="360" w:lineRule="auto"/>
        <w:ind w:firstLineChars="200" w:firstLine="480"/>
        <w:rPr>
          <w:rFonts w:cs="宋体"/>
          <w:color w:val="000000" w:themeColor="text1"/>
        </w:rPr>
      </w:pPr>
      <w:r w:rsidRPr="00B12FE0">
        <w:rPr>
          <w:rFonts w:cs="宋体" w:hint="eastAsia"/>
          <w:color w:val="000000" w:themeColor="text1"/>
        </w:rPr>
        <w:t>储源室四侧墙体</w:t>
      </w:r>
      <w:r w:rsidRPr="00B12FE0">
        <w:rPr>
          <w:rFonts w:cs="宋体"/>
          <w:color w:val="000000" w:themeColor="text1"/>
        </w:rPr>
        <w:t>为</w:t>
      </w:r>
      <w:r w:rsidRPr="00B12FE0">
        <w:rPr>
          <w:rFonts w:cs="宋体"/>
          <w:color w:val="000000" w:themeColor="text1"/>
        </w:rPr>
        <w:t>240mm</w:t>
      </w:r>
      <w:r w:rsidRPr="00B12FE0">
        <w:rPr>
          <w:rFonts w:cs="宋体"/>
          <w:color w:val="000000" w:themeColor="text1"/>
        </w:rPr>
        <w:t>实心砖</w:t>
      </w:r>
      <w:r w:rsidRPr="00B12FE0">
        <w:rPr>
          <w:rFonts w:cs="宋体" w:hint="eastAsia"/>
          <w:color w:val="000000" w:themeColor="text1"/>
        </w:rPr>
        <w:t>，</w:t>
      </w:r>
      <w:r w:rsidRPr="00B12FE0">
        <w:rPr>
          <w:rFonts w:cs="宋体"/>
          <w:color w:val="000000" w:themeColor="text1"/>
        </w:rPr>
        <w:t>顶棚为</w:t>
      </w:r>
      <w:r w:rsidRPr="00B12FE0">
        <w:rPr>
          <w:rFonts w:cs="宋体" w:hint="eastAsia"/>
          <w:color w:val="000000" w:themeColor="text1"/>
        </w:rPr>
        <w:t>250mm</w:t>
      </w:r>
      <w:r w:rsidRPr="00B12FE0">
        <w:rPr>
          <w:rFonts w:cs="宋体" w:hint="eastAsia"/>
          <w:color w:val="000000" w:themeColor="text1"/>
        </w:rPr>
        <w:t>混凝土</w:t>
      </w:r>
      <w:r w:rsidRPr="00B12FE0">
        <w:rPr>
          <w:rFonts w:cs="宋体"/>
          <w:color w:val="000000" w:themeColor="text1"/>
        </w:rPr>
        <w:t>，防护门内衬</w:t>
      </w:r>
      <w:r w:rsidRPr="00B12FE0">
        <w:rPr>
          <w:rFonts w:cs="宋体"/>
          <w:color w:val="000000" w:themeColor="text1"/>
        </w:rPr>
        <w:t>6mm</w:t>
      </w:r>
      <w:r w:rsidRPr="00B12FE0">
        <w:rPr>
          <w:rFonts w:cs="宋体"/>
          <w:color w:val="000000" w:themeColor="text1"/>
        </w:rPr>
        <w:t>铅板，放射性药物</w:t>
      </w:r>
      <w:r w:rsidRPr="00B12FE0">
        <w:rPr>
          <w:rFonts w:cs="宋体" w:hint="eastAsia"/>
          <w:color w:val="000000" w:themeColor="text1"/>
        </w:rPr>
        <w:t>存于储源铅罐内</w:t>
      </w:r>
      <w:r w:rsidRPr="00B12FE0">
        <w:rPr>
          <w:rFonts w:cs="宋体"/>
          <w:color w:val="000000" w:themeColor="text1"/>
        </w:rPr>
        <w:t>。</w:t>
      </w:r>
    </w:p>
    <w:p w14:paraId="5CAD5747" w14:textId="77777777" w:rsidR="00A67F21" w:rsidRPr="00B12FE0" w:rsidRDefault="00000000">
      <w:pPr>
        <w:topLinePunct/>
        <w:autoSpaceDE w:val="0"/>
        <w:spacing w:line="360" w:lineRule="auto"/>
        <w:ind w:firstLineChars="200" w:firstLine="480"/>
        <w:rPr>
          <w:rFonts w:cs="宋体"/>
          <w:color w:val="000000" w:themeColor="text1"/>
          <w:kern w:val="0"/>
        </w:rPr>
      </w:pPr>
      <w:r w:rsidRPr="00B12FE0">
        <w:rPr>
          <w:rFonts w:cs="宋体" w:hint="eastAsia"/>
          <w:color w:val="000000" w:themeColor="text1"/>
        </w:rPr>
        <w:t>2</w:t>
      </w:r>
      <w:r w:rsidRPr="00B12FE0">
        <w:rPr>
          <w:rFonts w:cs="宋体" w:hint="eastAsia"/>
          <w:color w:val="000000" w:themeColor="text1"/>
        </w:rPr>
        <w:t>）</w:t>
      </w:r>
      <w:r w:rsidRPr="00B12FE0">
        <w:rPr>
          <w:rFonts w:cs="宋体" w:hint="eastAsia"/>
          <w:color w:val="000000" w:themeColor="text1"/>
          <w:kern w:val="0"/>
        </w:rPr>
        <w:t>固废间</w:t>
      </w:r>
    </w:p>
    <w:p w14:paraId="00FA302A" w14:textId="77777777" w:rsidR="00A67F21" w:rsidRPr="00B12FE0" w:rsidRDefault="00000000">
      <w:pPr>
        <w:topLinePunct/>
        <w:autoSpaceDE w:val="0"/>
        <w:spacing w:line="360" w:lineRule="auto"/>
        <w:ind w:firstLineChars="200" w:firstLine="480"/>
        <w:rPr>
          <w:rFonts w:cs="宋体"/>
          <w:color w:val="000000" w:themeColor="text1"/>
        </w:rPr>
      </w:pPr>
      <w:r w:rsidRPr="00B12FE0">
        <w:rPr>
          <w:rFonts w:cs="宋体"/>
          <w:color w:val="000000" w:themeColor="text1"/>
          <w:kern w:val="0"/>
        </w:rPr>
        <w:t>核素应用过程中产生的固废表面核素活度按不超过使用量的</w:t>
      </w:r>
      <w:r w:rsidRPr="00B12FE0">
        <w:rPr>
          <w:rFonts w:cs="宋体"/>
          <w:color w:val="000000" w:themeColor="text1"/>
          <w:kern w:val="0"/>
        </w:rPr>
        <w:t>1%</w:t>
      </w:r>
      <w:r w:rsidRPr="00B12FE0">
        <w:rPr>
          <w:rFonts w:cs="宋体"/>
          <w:color w:val="000000" w:themeColor="text1"/>
          <w:kern w:val="0"/>
        </w:rPr>
        <w:t>计</w:t>
      </w:r>
      <w:r w:rsidRPr="00B12FE0">
        <w:rPr>
          <w:rFonts w:cs="宋体" w:hint="eastAsia"/>
          <w:color w:val="000000" w:themeColor="text1"/>
          <w:kern w:val="0"/>
        </w:rPr>
        <w:t>。</w:t>
      </w:r>
      <w:proofErr w:type="gramStart"/>
      <w:r w:rsidRPr="00B12FE0">
        <w:rPr>
          <w:rFonts w:cs="宋体" w:hint="eastAsia"/>
          <w:color w:val="000000" w:themeColor="text1"/>
          <w:kern w:val="0"/>
        </w:rPr>
        <w:t>废物间四侧墙</w:t>
      </w:r>
      <w:proofErr w:type="gramEnd"/>
      <w:r w:rsidRPr="00B12FE0">
        <w:rPr>
          <w:rFonts w:cs="宋体" w:hint="eastAsia"/>
          <w:color w:val="000000" w:themeColor="text1"/>
          <w:kern w:val="0"/>
        </w:rPr>
        <w:t>体</w:t>
      </w:r>
      <w:r w:rsidRPr="00B12FE0">
        <w:rPr>
          <w:rFonts w:cs="宋体"/>
          <w:color w:val="000000" w:themeColor="text1"/>
        </w:rPr>
        <w:t>为</w:t>
      </w:r>
      <w:r w:rsidRPr="00B12FE0">
        <w:rPr>
          <w:rFonts w:cs="宋体"/>
          <w:color w:val="000000" w:themeColor="text1"/>
        </w:rPr>
        <w:t>240mm</w:t>
      </w:r>
      <w:r w:rsidRPr="00B12FE0">
        <w:rPr>
          <w:rFonts w:cs="宋体"/>
          <w:color w:val="000000" w:themeColor="text1"/>
        </w:rPr>
        <w:t>实心砖</w:t>
      </w:r>
      <w:r w:rsidRPr="00B12FE0">
        <w:rPr>
          <w:rFonts w:cs="宋体" w:hint="eastAsia"/>
          <w:color w:val="000000" w:themeColor="text1"/>
        </w:rPr>
        <w:t>，</w:t>
      </w:r>
      <w:r w:rsidRPr="00B12FE0">
        <w:rPr>
          <w:rFonts w:cs="宋体"/>
          <w:color w:val="000000" w:themeColor="text1"/>
        </w:rPr>
        <w:t>顶棚为</w:t>
      </w:r>
      <w:r w:rsidRPr="00B12FE0">
        <w:rPr>
          <w:rFonts w:cs="宋体" w:hint="eastAsia"/>
          <w:color w:val="000000" w:themeColor="text1"/>
        </w:rPr>
        <w:t>250mm</w:t>
      </w:r>
      <w:r w:rsidRPr="00B12FE0">
        <w:rPr>
          <w:rFonts w:cs="宋体" w:hint="eastAsia"/>
          <w:color w:val="000000" w:themeColor="text1"/>
        </w:rPr>
        <w:t>混凝土</w:t>
      </w:r>
      <w:r w:rsidRPr="00B12FE0">
        <w:rPr>
          <w:rFonts w:cs="宋体"/>
          <w:color w:val="000000" w:themeColor="text1"/>
        </w:rPr>
        <w:t>，防护门内衬</w:t>
      </w:r>
      <w:r w:rsidRPr="00B12FE0">
        <w:rPr>
          <w:rFonts w:cs="宋体"/>
          <w:color w:val="000000" w:themeColor="text1"/>
        </w:rPr>
        <w:t>6mm</w:t>
      </w:r>
      <w:r w:rsidRPr="00B12FE0">
        <w:rPr>
          <w:rFonts w:cs="宋体"/>
          <w:color w:val="000000" w:themeColor="text1"/>
        </w:rPr>
        <w:t>铅板，</w:t>
      </w:r>
      <w:r w:rsidRPr="00B12FE0">
        <w:rPr>
          <w:rFonts w:cs="宋体"/>
          <w:color w:val="000000" w:themeColor="text1"/>
          <w:kern w:val="0"/>
        </w:rPr>
        <w:t>放射性固废暂存于</w:t>
      </w:r>
      <w:r w:rsidRPr="00B12FE0">
        <w:rPr>
          <w:rFonts w:cs="宋体" w:hint="eastAsia"/>
          <w:color w:val="000000" w:themeColor="text1"/>
          <w:kern w:val="0"/>
        </w:rPr>
        <w:t>废物间</w:t>
      </w:r>
      <w:r w:rsidRPr="00B12FE0">
        <w:rPr>
          <w:rFonts w:cs="宋体" w:hint="eastAsia"/>
          <w:color w:val="000000" w:themeColor="text1"/>
        </w:rPr>
        <w:t>1</w:t>
      </w:r>
      <w:r w:rsidRPr="00B12FE0">
        <w:rPr>
          <w:rFonts w:cs="宋体"/>
          <w:color w:val="000000" w:themeColor="text1"/>
        </w:rPr>
        <w:t>0</w:t>
      </w:r>
      <w:r w:rsidRPr="00B12FE0">
        <w:rPr>
          <w:rFonts w:cs="宋体" w:hint="eastAsia"/>
          <w:color w:val="000000" w:themeColor="text1"/>
        </w:rPr>
        <w:t>mm</w:t>
      </w:r>
      <w:r w:rsidRPr="00B12FE0">
        <w:rPr>
          <w:rFonts w:cs="宋体"/>
          <w:color w:val="000000" w:themeColor="text1"/>
        </w:rPr>
        <w:t>P</w:t>
      </w:r>
      <w:r w:rsidRPr="00B12FE0">
        <w:rPr>
          <w:rFonts w:cs="宋体" w:hint="eastAsia"/>
          <w:color w:val="000000" w:themeColor="text1"/>
        </w:rPr>
        <w:t>b</w:t>
      </w:r>
      <w:r w:rsidRPr="00B12FE0">
        <w:rPr>
          <w:rFonts w:cs="宋体" w:hint="eastAsia"/>
          <w:color w:val="000000" w:themeColor="text1"/>
        </w:rPr>
        <w:t>铅衰变箱中</w:t>
      </w:r>
      <w:r w:rsidRPr="00B12FE0">
        <w:rPr>
          <w:rFonts w:cs="宋体"/>
          <w:color w:val="000000" w:themeColor="text1"/>
        </w:rPr>
        <w:t>。</w:t>
      </w:r>
    </w:p>
    <w:p w14:paraId="191667EB" w14:textId="77777777" w:rsidR="00A67F21" w:rsidRPr="00B12FE0" w:rsidRDefault="00000000">
      <w:pPr>
        <w:topLinePunct/>
        <w:autoSpaceDE w:val="0"/>
        <w:spacing w:line="360" w:lineRule="auto"/>
        <w:ind w:firstLineChars="200" w:firstLine="480"/>
        <w:rPr>
          <w:color w:val="000000" w:themeColor="text1"/>
        </w:rPr>
      </w:pPr>
      <w:r w:rsidRPr="00B12FE0">
        <w:rPr>
          <w:color w:val="000000" w:themeColor="text1"/>
        </w:rPr>
        <w:t>3</w:t>
      </w:r>
      <w:r w:rsidRPr="00B12FE0">
        <w:rPr>
          <w:color w:val="000000" w:themeColor="text1"/>
        </w:rPr>
        <w:t>）</w:t>
      </w:r>
      <w:r w:rsidRPr="00B12FE0">
        <w:rPr>
          <w:rFonts w:hint="eastAsia"/>
          <w:color w:val="000000" w:themeColor="text1"/>
        </w:rPr>
        <w:t>高活</w:t>
      </w:r>
      <w:r w:rsidRPr="00B12FE0">
        <w:rPr>
          <w:color w:val="000000" w:themeColor="text1"/>
        </w:rPr>
        <w:t>室</w:t>
      </w:r>
    </w:p>
    <w:p w14:paraId="0B9D5FBE" w14:textId="77777777" w:rsidR="00A67F21" w:rsidRPr="00B12FE0" w:rsidRDefault="00000000">
      <w:pPr>
        <w:topLinePunct/>
        <w:autoSpaceDE w:val="0"/>
        <w:spacing w:line="360" w:lineRule="auto"/>
        <w:ind w:firstLineChars="200" w:firstLine="480"/>
        <w:rPr>
          <w:snapToGrid w:val="0"/>
          <w:color w:val="000000" w:themeColor="text1"/>
          <w:szCs w:val="24"/>
        </w:rPr>
      </w:pPr>
      <w:r w:rsidRPr="00B12FE0">
        <w:rPr>
          <w:snapToGrid w:val="0"/>
          <w:color w:val="000000" w:themeColor="text1"/>
          <w:szCs w:val="24"/>
        </w:rPr>
        <w:t>医护人员给药前，将放射性药物从储源室</w:t>
      </w:r>
      <w:proofErr w:type="gramStart"/>
      <w:r w:rsidRPr="00B12FE0">
        <w:rPr>
          <w:snapToGrid w:val="0"/>
          <w:color w:val="000000" w:themeColor="text1"/>
          <w:szCs w:val="24"/>
        </w:rPr>
        <w:t>连同铅罐拿到</w:t>
      </w:r>
      <w:proofErr w:type="gramEnd"/>
      <w:r w:rsidRPr="00B12FE0">
        <w:rPr>
          <w:snapToGrid w:val="0"/>
          <w:color w:val="000000" w:themeColor="text1"/>
          <w:szCs w:val="24"/>
        </w:rPr>
        <w:t>高活室，放置于手套箱内，给药前的相关操作均在手套箱内进行。回旋加速器制备的正电子药物及淋洗标记的药物根据病人的需要进行自动分装，分装后放入注射器防护套内，注射前医护人员在不小于</w:t>
      </w:r>
      <w:r w:rsidRPr="00B12FE0">
        <w:rPr>
          <w:snapToGrid w:val="0"/>
          <w:color w:val="000000" w:themeColor="text1"/>
          <w:szCs w:val="24"/>
        </w:rPr>
        <w:t>20mmPb</w:t>
      </w:r>
      <w:r w:rsidRPr="00B12FE0">
        <w:rPr>
          <w:snapToGrid w:val="0"/>
          <w:color w:val="000000" w:themeColor="text1"/>
          <w:szCs w:val="24"/>
        </w:rPr>
        <w:t>的手套箱内直接拿出带有铅防护套的注射器并置于注射器防护提盒内。</w:t>
      </w:r>
    </w:p>
    <w:p w14:paraId="2F6EB1F0" w14:textId="77777777" w:rsidR="00A67F21" w:rsidRPr="00B12FE0" w:rsidRDefault="00000000">
      <w:pPr>
        <w:topLinePunct/>
        <w:autoSpaceDE w:val="0"/>
        <w:spacing w:line="360" w:lineRule="auto"/>
        <w:ind w:firstLineChars="200" w:firstLine="480"/>
        <w:rPr>
          <w:snapToGrid w:val="0"/>
          <w:color w:val="000000" w:themeColor="text1"/>
          <w:szCs w:val="24"/>
        </w:rPr>
      </w:pPr>
      <w:r w:rsidRPr="00B12FE0">
        <w:rPr>
          <w:snapToGrid w:val="0"/>
          <w:color w:val="000000" w:themeColor="text1"/>
          <w:szCs w:val="24"/>
          <w:vertAlign w:val="superscript"/>
        </w:rPr>
        <w:t>18</w:t>
      </w:r>
      <w:r w:rsidRPr="00B12FE0">
        <w:rPr>
          <w:snapToGrid w:val="0"/>
          <w:color w:val="000000" w:themeColor="text1"/>
          <w:szCs w:val="24"/>
        </w:rPr>
        <w:t>F</w:t>
      </w:r>
      <w:r w:rsidRPr="00B12FE0">
        <w:rPr>
          <w:snapToGrid w:val="0"/>
          <w:color w:val="000000" w:themeColor="text1"/>
          <w:szCs w:val="24"/>
        </w:rPr>
        <w:t>药物分装等给药前的相关操作均在</w:t>
      </w:r>
      <w:r w:rsidRPr="00B12FE0">
        <w:rPr>
          <w:snapToGrid w:val="0"/>
          <w:color w:val="000000" w:themeColor="text1"/>
          <w:szCs w:val="24"/>
          <w:vertAlign w:val="superscript"/>
        </w:rPr>
        <w:t>18</w:t>
      </w:r>
      <w:r w:rsidRPr="00B12FE0">
        <w:rPr>
          <w:snapToGrid w:val="0"/>
          <w:color w:val="000000" w:themeColor="text1"/>
          <w:szCs w:val="24"/>
        </w:rPr>
        <w:t>F</w:t>
      </w:r>
      <w:r w:rsidRPr="00B12FE0">
        <w:rPr>
          <w:snapToGrid w:val="0"/>
          <w:color w:val="000000" w:themeColor="text1"/>
          <w:szCs w:val="24"/>
        </w:rPr>
        <w:t>手套箱（</w:t>
      </w:r>
      <w:r w:rsidRPr="00B12FE0">
        <w:rPr>
          <w:snapToGrid w:val="0"/>
          <w:color w:val="000000" w:themeColor="text1"/>
          <w:szCs w:val="24"/>
        </w:rPr>
        <w:t>40mmPb</w:t>
      </w:r>
      <w:r w:rsidRPr="00B12FE0">
        <w:rPr>
          <w:snapToGrid w:val="0"/>
          <w:color w:val="000000" w:themeColor="text1"/>
          <w:szCs w:val="24"/>
        </w:rPr>
        <w:t>）内进行，距离手套箱</w:t>
      </w:r>
      <w:r w:rsidRPr="00B12FE0">
        <w:rPr>
          <w:snapToGrid w:val="0"/>
          <w:color w:val="000000" w:themeColor="text1"/>
          <w:szCs w:val="24"/>
        </w:rPr>
        <w:t>0.5m</w:t>
      </w:r>
      <w:r w:rsidRPr="00B12FE0">
        <w:rPr>
          <w:snapToGrid w:val="0"/>
          <w:color w:val="000000" w:themeColor="text1"/>
          <w:szCs w:val="24"/>
        </w:rPr>
        <w:t>处操作。</w:t>
      </w:r>
      <w:r w:rsidRPr="00B12FE0">
        <w:rPr>
          <w:snapToGrid w:val="0"/>
          <w:color w:val="000000" w:themeColor="text1"/>
          <w:szCs w:val="24"/>
        </w:rPr>
        <w:t>PET</w:t>
      </w:r>
      <w:r w:rsidRPr="00B12FE0">
        <w:rPr>
          <w:snapToGrid w:val="0"/>
          <w:color w:val="000000" w:themeColor="text1"/>
          <w:szCs w:val="24"/>
        </w:rPr>
        <w:t>诊断患者注射时，药物置于</w:t>
      </w:r>
      <w:r w:rsidRPr="00B12FE0">
        <w:rPr>
          <w:snapToGrid w:val="0"/>
          <w:color w:val="000000" w:themeColor="text1"/>
          <w:szCs w:val="24"/>
        </w:rPr>
        <w:t>10mmPb</w:t>
      </w:r>
      <w:r w:rsidRPr="00B12FE0">
        <w:rPr>
          <w:snapToGrid w:val="0"/>
          <w:color w:val="000000" w:themeColor="text1"/>
          <w:szCs w:val="24"/>
        </w:rPr>
        <w:t>注射器防护套内，工作人员</w:t>
      </w:r>
      <w:r w:rsidRPr="00B12FE0">
        <w:rPr>
          <w:snapToGrid w:val="0"/>
          <w:color w:val="000000" w:themeColor="text1"/>
          <w:szCs w:val="24"/>
        </w:rPr>
        <w:t>PET</w:t>
      </w:r>
      <w:r w:rsidRPr="00B12FE0">
        <w:rPr>
          <w:snapToGrid w:val="0"/>
          <w:color w:val="000000" w:themeColor="text1"/>
          <w:szCs w:val="24"/>
        </w:rPr>
        <w:t>注射室内在</w:t>
      </w:r>
      <w:r w:rsidRPr="00B12FE0">
        <w:rPr>
          <w:snapToGrid w:val="0"/>
          <w:color w:val="000000" w:themeColor="text1"/>
          <w:szCs w:val="24"/>
        </w:rPr>
        <w:t>40mmPb</w:t>
      </w:r>
      <w:r w:rsidRPr="00B12FE0">
        <w:rPr>
          <w:snapToGrid w:val="0"/>
          <w:color w:val="000000" w:themeColor="text1"/>
          <w:szCs w:val="24"/>
        </w:rPr>
        <w:t>铅玻璃注射窗后进行，距离注射</w:t>
      </w:r>
      <w:proofErr w:type="gramStart"/>
      <w:r w:rsidRPr="00B12FE0">
        <w:rPr>
          <w:snapToGrid w:val="0"/>
          <w:color w:val="000000" w:themeColor="text1"/>
          <w:szCs w:val="24"/>
        </w:rPr>
        <w:t>铅窗约</w:t>
      </w:r>
      <w:proofErr w:type="gramEnd"/>
      <w:r w:rsidRPr="00B12FE0">
        <w:rPr>
          <w:snapToGrid w:val="0"/>
          <w:color w:val="000000" w:themeColor="text1"/>
          <w:szCs w:val="24"/>
        </w:rPr>
        <w:t>0.5m</w:t>
      </w:r>
      <w:r w:rsidRPr="00B12FE0">
        <w:rPr>
          <w:snapToGrid w:val="0"/>
          <w:color w:val="000000" w:themeColor="text1"/>
          <w:szCs w:val="24"/>
        </w:rPr>
        <w:t>。</w:t>
      </w:r>
    </w:p>
    <w:p w14:paraId="44ACFEF8" w14:textId="77777777" w:rsidR="00A67F21" w:rsidRPr="00B12FE0" w:rsidRDefault="00000000">
      <w:pPr>
        <w:topLinePunct/>
        <w:autoSpaceDE w:val="0"/>
        <w:spacing w:line="360" w:lineRule="auto"/>
        <w:ind w:firstLineChars="200" w:firstLine="480"/>
        <w:rPr>
          <w:snapToGrid w:val="0"/>
          <w:color w:val="000000" w:themeColor="text1"/>
          <w:szCs w:val="24"/>
        </w:rPr>
      </w:pPr>
      <w:r w:rsidRPr="00B12FE0">
        <w:rPr>
          <w:snapToGrid w:val="0"/>
          <w:color w:val="000000" w:themeColor="text1"/>
          <w:szCs w:val="24"/>
          <w:vertAlign w:val="superscript"/>
        </w:rPr>
        <w:t>99m</w:t>
      </w:r>
      <w:r w:rsidRPr="00B12FE0">
        <w:rPr>
          <w:snapToGrid w:val="0"/>
          <w:color w:val="000000" w:themeColor="text1"/>
          <w:szCs w:val="24"/>
        </w:rPr>
        <w:t>Tc</w:t>
      </w:r>
      <w:r w:rsidRPr="00B12FE0">
        <w:rPr>
          <w:snapToGrid w:val="0"/>
          <w:color w:val="000000" w:themeColor="text1"/>
          <w:szCs w:val="24"/>
        </w:rPr>
        <w:t>药物淋洗标记、分装等给药前的相关操作均在</w:t>
      </w:r>
      <w:r w:rsidRPr="00B12FE0">
        <w:rPr>
          <w:snapToGrid w:val="0"/>
          <w:color w:val="000000" w:themeColor="text1"/>
          <w:szCs w:val="24"/>
          <w:vertAlign w:val="superscript"/>
        </w:rPr>
        <w:t>99m</w:t>
      </w:r>
      <w:r w:rsidRPr="00B12FE0">
        <w:rPr>
          <w:snapToGrid w:val="0"/>
          <w:color w:val="000000" w:themeColor="text1"/>
          <w:szCs w:val="24"/>
        </w:rPr>
        <w:t>Tc</w:t>
      </w:r>
      <w:r w:rsidRPr="00B12FE0">
        <w:rPr>
          <w:snapToGrid w:val="0"/>
          <w:color w:val="000000" w:themeColor="text1"/>
          <w:szCs w:val="24"/>
        </w:rPr>
        <w:t>淋洗手套箱（</w:t>
      </w:r>
      <w:r w:rsidRPr="00B12FE0">
        <w:rPr>
          <w:snapToGrid w:val="0"/>
          <w:color w:val="000000" w:themeColor="text1"/>
          <w:szCs w:val="24"/>
        </w:rPr>
        <w:t>20mmPb</w:t>
      </w:r>
      <w:r w:rsidRPr="00B12FE0">
        <w:rPr>
          <w:snapToGrid w:val="0"/>
          <w:color w:val="000000" w:themeColor="text1"/>
          <w:szCs w:val="24"/>
        </w:rPr>
        <w:t>）内进行，距离手套箱</w:t>
      </w:r>
      <w:r w:rsidRPr="00B12FE0">
        <w:rPr>
          <w:snapToGrid w:val="0"/>
          <w:color w:val="000000" w:themeColor="text1"/>
          <w:szCs w:val="24"/>
        </w:rPr>
        <w:t>0.5m</w:t>
      </w:r>
      <w:r w:rsidRPr="00B12FE0">
        <w:rPr>
          <w:snapToGrid w:val="0"/>
          <w:color w:val="000000" w:themeColor="text1"/>
          <w:szCs w:val="24"/>
        </w:rPr>
        <w:t>处操作。</w:t>
      </w:r>
      <w:r w:rsidRPr="00B12FE0">
        <w:rPr>
          <w:snapToGrid w:val="0"/>
          <w:color w:val="000000" w:themeColor="text1"/>
          <w:szCs w:val="24"/>
          <w:vertAlign w:val="superscript"/>
        </w:rPr>
        <w:t>99m</w:t>
      </w:r>
      <w:r w:rsidRPr="00B12FE0">
        <w:rPr>
          <w:snapToGrid w:val="0"/>
          <w:color w:val="000000" w:themeColor="text1"/>
          <w:szCs w:val="24"/>
        </w:rPr>
        <w:t>Tc</w:t>
      </w:r>
      <w:r w:rsidRPr="00B12FE0">
        <w:rPr>
          <w:snapToGrid w:val="0"/>
          <w:color w:val="000000" w:themeColor="text1"/>
          <w:szCs w:val="24"/>
        </w:rPr>
        <w:t>注射时，药物置于</w:t>
      </w:r>
      <w:r w:rsidRPr="00B12FE0">
        <w:rPr>
          <w:snapToGrid w:val="0"/>
          <w:color w:val="000000" w:themeColor="text1"/>
          <w:szCs w:val="24"/>
        </w:rPr>
        <w:t>4mmPb</w:t>
      </w:r>
      <w:r w:rsidRPr="00B12FE0">
        <w:rPr>
          <w:snapToGrid w:val="0"/>
          <w:color w:val="000000" w:themeColor="text1"/>
          <w:szCs w:val="24"/>
        </w:rPr>
        <w:t>注射器防护套内，</w:t>
      </w:r>
      <w:r w:rsidRPr="00B12FE0">
        <w:rPr>
          <w:snapToGrid w:val="0"/>
          <w:color w:val="000000" w:themeColor="text1"/>
          <w:szCs w:val="24"/>
        </w:rPr>
        <w:t>SPECT</w:t>
      </w:r>
      <w:r w:rsidRPr="00B12FE0">
        <w:rPr>
          <w:snapToGrid w:val="0"/>
          <w:color w:val="000000" w:themeColor="text1"/>
          <w:szCs w:val="24"/>
        </w:rPr>
        <w:t>诊断患者注射时，工作人员在</w:t>
      </w:r>
      <w:r w:rsidRPr="00B12FE0">
        <w:rPr>
          <w:rFonts w:hint="eastAsia"/>
          <w:snapToGrid w:val="0"/>
          <w:color w:val="000000" w:themeColor="text1"/>
          <w:szCs w:val="24"/>
        </w:rPr>
        <w:t>高</w:t>
      </w:r>
      <w:proofErr w:type="gramStart"/>
      <w:r w:rsidRPr="00B12FE0">
        <w:rPr>
          <w:rFonts w:hint="eastAsia"/>
          <w:snapToGrid w:val="0"/>
          <w:color w:val="000000" w:themeColor="text1"/>
          <w:szCs w:val="24"/>
        </w:rPr>
        <w:t>活室注射区</w:t>
      </w:r>
      <w:proofErr w:type="gramEnd"/>
      <w:r w:rsidRPr="00B12FE0">
        <w:rPr>
          <w:snapToGrid w:val="0"/>
          <w:color w:val="000000" w:themeColor="text1"/>
          <w:szCs w:val="24"/>
        </w:rPr>
        <w:t>20mmPb</w:t>
      </w:r>
      <w:r w:rsidRPr="00B12FE0">
        <w:rPr>
          <w:snapToGrid w:val="0"/>
          <w:color w:val="000000" w:themeColor="text1"/>
          <w:szCs w:val="24"/>
        </w:rPr>
        <w:t>铅玻璃注射窗后进行，距</w:t>
      </w:r>
      <w:r w:rsidRPr="00B12FE0">
        <w:rPr>
          <w:snapToGrid w:val="0"/>
          <w:color w:val="000000" w:themeColor="text1"/>
          <w:szCs w:val="24"/>
        </w:rPr>
        <w:lastRenderedPageBreak/>
        <w:t>离注射</w:t>
      </w:r>
      <w:proofErr w:type="gramStart"/>
      <w:r w:rsidRPr="00B12FE0">
        <w:rPr>
          <w:snapToGrid w:val="0"/>
          <w:color w:val="000000" w:themeColor="text1"/>
          <w:szCs w:val="24"/>
        </w:rPr>
        <w:t>铅窗约</w:t>
      </w:r>
      <w:proofErr w:type="gramEnd"/>
      <w:r w:rsidRPr="00B12FE0">
        <w:rPr>
          <w:snapToGrid w:val="0"/>
          <w:color w:val="000000" w:themeColor="text1"/>
          <w:szCs w:val="24"/>
        </w:rPr>
        <w:t>0.5m</w:t>
      </w:r>
      <w:r w:rsidRPr="00B12FE0">
        <w:rPr>
          <w:snapToGrid w:val="0"/>
          <w:color w:val="000000" w:themeColor="text1"/>
          <w:szCs w:val="24"/>
        </w:rPr>
        <w:t>，并穿戴有</w:t>
      </w:r>
      <w:r w:rsidRPr="00B12FE0">
        <w:rPr>
          <w:snapToGrid w:val="0"/>
          <w:color w:val="000000" w:themeColor="text1"/>
          <w:szCs w:val="24"/>
        </w:rPr>
        <w:t>0.5mmPb</w:t>
      </w:r>
      <w:r w:rsidRPr="00B12FE0">
        <w:rPr>
          <w:snapToGrid w:val="0"/>
          <w:color w:val="000000" w:themeColor="text1"/>
          <w:szCs w:val="24"/>
        </w:rPr>
        <w:t>铅橡胶围裙。</w:t>
      </w:r>
    </w:p>
    <w:p w14:paraId="3BBE49D2"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4</w:t>
      </w:r>
      <w:r w:rsidRPr="00B12FE0">
        <w:rPr>
          <w:color w:val="000000" w:themeColor="text1"/>
        </w:rPr>
        <w:t>）</w:t>
      </w:r>
      <w:proofErr w:type="gramStart"/>
      <w:r w:rsidRPr="00B12FE0">
        <w:rPr>
          <w:color w:val="000000" w:themeColor="text1"/>
        </w:rPr>
        <w:t>服碘室</w:t>
      </w:r>
      <w:proofErr w:type="gramEnd"/>
    </w:p>
    <w:p w14:paraId="0E22D7A8" w14:textId="77777777" w:rsidR="00A67F21" w:rsidRPr="00B12FE0" w:rsidRDefault="00000000">
      <w:pPr>
        <w:keepLines/>
        <w:spacing w:line="360" w:lineRule="auto"/>
        <w:ind w:firstLineChars="200" w:firstLine="480"/>
        <w:rPr>
          <w:color w:val="000000" w:themeColor="text1"/>
          <w:kern w:val="0"/>
        </w:rPr>
      </w:pPr>
      <w:r w:rsidRPr="00B12FE0">
        <w:rPr>
          <w:color w:val="000000" w:themeColor="text1"/>
        </w:rPr>
        <w:t>医护人员给药前，将放射性药物从储源室连同</w:t>
      </w:r>
      <w:proofErr w:type="gramStart"/>
      <w:r w:rsidRPr="00B12FE0">
        <w:rPr>
          <w:color w:val="000000" w:themeColor="text1"/>
        </w:rPr>
        <w:t>铅罐拿到</w:t>
      </w:r>
      <w:r w:rsidRPr="00B12FE0">
        <w:rPr>
          <w:rFonts w:hint="eastAsia"/>
          <w:color w:val="000000" w:themeColor="text1"/>
        </w:rPr>
        <w:t>服碘</w:t>
      </w:r>
      <w:r w:rsidRPr="00B12FE0">
        <w:rPr>
          <w:color w:val="000000" w:themeColor="text1"/>
        </w:rPr>
        <w:t>室</w:t>
      </w:r>
      <w:proofErr w:type="gramEnd"/>
      <w:r w:rsidRPr="00B12FE0">
        <w:rPr>
          <w:color w:val="000000" w:themeColor="text1"/>
        </w:rPr>
        <w:t>，</w:t>
      </w:r>
      <w:proofErr w:type="gramStart"/>
      <w:r w:rsidRPr="00B12FE0">
        <w:rPr>
          <w:color w:val="000000" w:themeColor="text1"/>
        </w:rPr>
        <w:t>连同铅罐放入给服碘室内</w:t>
      </w:r>
      <w:proofErr w:type="gramEnd"/>
      <w:r w:rsidRPr="00B12FE0">
        <w:rPr>
          <w:color w:val="000000" w:themeColor="text1"/>
        </w:rPr>
        <w:t>自动</w:t>
      </w:r>
      <w:proofErr w:type="gramStart"/>
      <w:r w:rsidRPr="00B12FE0">
        <w:rPr>
          <w:color w:val="000000" w:themeColor="text1"/>
        </w:rPr>
        <w:t>分碘仪</w:t>
      </w:r>
      <w:proofErr w:type="gramEnd"/>
      <w:r w:rsidRPr="00B12FE0">
        <w:rPr>
          <w:color w:val="000000" w:themeColor="text1"/>
        </w:rPr>
        <w:t>中。根据病人的需要，工作人员远程操作自动分装仪，患者在</w:t>
      </w:r>
      <w:proofErr w:type="gramStart"/>
      <w:r w:rsidRPr="00B12FE0">
        <w:rPr>
          <w:color w:val="000000" w:themeColor="text1"/>
        </w:rPr>
        <w:t>服碘室</w:t>
      </w:r>
      <w:proofErr w:type="gramEnd"/>
      <w:r w:rsidRPr="00B12FE0">
        <w:rPr>
          <w:color w:val="000000" w:themeColor="text1"/>
        </w:rPr>
        <w:t>直接拿取盛有分装好的药液的一次性杯子服药。服药后，</w:t>
      </w:r>
      <w:proofErr w:type="gramStart"/>
      <w:r w:rsidRPr="00B12FE0">
        <w:rPr>
          <w:color w:val="000000" w:themeColor="text1"/>
        </w:rPr>
        <w:t>甲测和</w:t>
      </w:r>
      <w:proofErr w:type="gramEnd"/>
      <w:r w:rsidRPr="00B12FE0">
        <w:rPr>
          <w:color w:val="000000" w:themeColor="text1"/>
        </w:rPr>
        <w:t>甲亢患者从</w:t>
      </w:r>
      <w:r w:rsidRPr="00B12FE0">
        <w:rPr>
          <w:rFonts w:hint="eastAsia"/>
          <w:color w:val="000000" w:themeColor="text1"/>
        </w:rPr>
        <w:t>患者</w:t>
      </w:r>
      <w:r w:rsidRPr="00B12FE0">
        <w:rPr>
          <w:color w:val="000000" w:themeColor="text1"/>
        </w:rPr>
        <w:t>出口离开。</w:t>
      </w:r>
      <w:proofErr w:type="gramStart"/>
      <w:r w:rsidRPr="00B12FE0">
        <w:rPr>
          <w:rFonts w:ascii="宋体" w:hAnsi="宋体" w:hint="eastAsia"/>
          <w:color w:val="000000" w:themeColor="text1"/>
          <w:kern w:val="0"/>
        </w:rPr>
        <w:t>服碘室</w:t>
      </w:r>
      <w:proofErr w:type="gramEnd"/>
      <w:r w:rsidRPr="00B12FE0">
        <w:rPr>
          <w:rFonts w:ascii="宋体" w:hAnsi="宋体" w:hint="eastAsia"/>
          <w:color w:val="000000" w:themeColor="text1"/>
          <w:kern w:val="0"/>
        </w:rPr>
        <w:t>每次控制</w:t>
      </w:r>
      <w:r w:rsidRPr="00B12FE0">
        <w:rPr>
          <w:color w:val="000000" w:themeColor="text1"/>
          <w:kern w:val="0"/>
        </w:rPr>
        <w:t>1</w:t>
      </w:r>
      <w:r w:rsidRPr="00B12FE0">
        <w:rPr>
          <w:rFonts w:ascii="宋体" w:hAnsi="宋体" w:hint="eastAsia"/>
          <w:color w:val="000000" w:themeColor="text1"/>
          <w:kern w:val="0"/>
        </w:rPr>
        <w:t>个病人服碘，按最大服药量即单个甲亢患者</w:t>
      </w:r>
      <w:r w:rsidRPr="00B12FE0">
        <w:rPr>
          <w:bCs/>
          <w:color w:val="000000" w:themeColor="text1"/>
          <w:kern w:val="0"/>
        </w:rPr>
        <w:t>3.7×10</w:t>
      </w:r>
      <w:r w:rsidRPr="00B12FE0">
        <w:rPr>
          <w:bCs/>
          <w:color w:val="000000" w:themeColor="text1"/>
          <w:kern w:val="0"/>
          <w:vertAlign w:val="superscript"/>
        </w:rPr>
        <w:t>8</w:t>
      </w:r>
      <w:r w:rsidRPr="00B12FE0">
        <w:rPr>
          <w:rFonts w:cs="仿宋"/>
          <w:bCs/>
          <w:color w:val="000000" w:themeColor="text1"/>
          <w:kern w:val="0"/>
        </w:rPr>
        <w:t>Bq</w:t>
      </w:r>
      <w:r w:rsidRPr="00B12FE0">
        <w:rPr>
          <w:rFonts w:ascii="宋体" w:hAnsi="宋体" w:cs="仿宋"/>
          <w:bCs/>
          <w:color w:val="000000" w:themeColor="text1"/>
          <w:kern w:val="0"/>
        </w:rPr>
        <w:t>（</w:t>
      </w:r>
      <w:r w:rsidRPr="00B12FE0">
        <w:rPr>
          <w:bCs/>
          <w:color w:val="000000" w:themeColor="text1"/>
          <w:kern w:val="0"/>
        </w:rPr>
        <w:t>1</w:t>
      </w:r>
      <w:r w:rsidRPr="00B12FE0">
        <w:rPr>
          <w:rFonts w:hint="eastAsia"/>
          <w:bCs/>
          <w:color w:val="000000" w:themeColor="text1"/>
          <w:kern w:val="0"/>
        </w:rPr>
        <w:t>0</w:t>
      </w:r>
      <w:r w:rsidRPr="00B12FE0">
        <w:rPr>
          <w:rFonts w:cs="仿宋"/>
          <w:bCs/>
          <w:color w:val="000000" w:themeColor="text1"/>
          <w:kern w:val="0"/>
        </w:rPr>
        <w:t>mCi</w:t>
      </w:r>
      <w:r w:rsidRPr="00B12FE0">
        <w:rPr>
          <w:rFonts w:ascii="宋体" w:hAnsi="宋体" w:cs="仿宋"/>
          <w:bCs/>
          <w:color w:val="000000" w:themeColor="text1"/>
          <w:kern w:val="0"/>
        </w:rPr>
        <w:t>）</w:t>
      </w:r>
      <w:r w:rsidRPr="00B12FE0">
        <w:rPr>
          <w:rFonts w:ascii="宋体" w:hAnsi="宋体" w:hint="eastAsia"/>
          <w:color w:val="000000" w:themeColor="text1"/>
          <w:kern w:val="0"/>
        </w:rPr>
        <w:t>的点源计算，</w:t>
      </w:r>
      <w:proofErr w:type="gramStart"/>
      <w:r w:rsidRPr="00B12FE0">
        <w:rPr>
          <w:rFonts w:ascii="宋体" w:hAnsi="宋体" w:hint="eastAsia"/>
          <w:color w:val="000000" w:themeColor="text1"/>
          <w:kern w:val="0"/>
        </w:rPr>
        <w:t>则服碘窗口</w:t>
      </w:r>
      <w:proofErr w:type="gramEnd"/>
      <w:r w:rsidRPr="00B12FE0">
        <w:rPr>
          <w:rFonts w:ascii="宋体" w:hAnsi="宋体" w:hint="eastAsia"/>
          <w:color w:val="000000" w:themeColor="text1"/>
          <w:kern w:val="0"/>
        </w:rPr>
        <w:t>源强活度为：</w:t>
      </w:r>
      <w:r w:rsidRPr="00B12FE0">
        <w:rPr>
          <w:bCs/>
          <w:color w:val="000000" w:themeColor="text1"/>
          <w:kern w:val="0"/>
        </w:rPr>
        <w:t>3.7×10</w:t>
      </w:r>
      <w:r w:rsidRPr="00B12FE0">
        <w:rPr>
          <w:bCs/>
          <w:color w:val="000000" w:themeColor="text1"/>
          <w:kern w:val="0"/>
          <w:vertAlign w:val="superscript"/>
        </w:rPr>
        <w:t>8</w:t>
      </w:r>
      <w:r w:rsidRPr="00B12FE0">
        <w:rPr>
          <w:rFonts w:cs="仿宋"/>
          <w:bCs/>
          <w:color w:val="000000" w:themeColor="text1"/>
          <w:kern w:val="0"/>
        </w:rPr>
        <w:t>Bq</w:t>
      </w:r>
      <w:r w:rsidRPr="00B12FE0">
        <w:rPr>
          <w:rFonts w:ascii="宋体" w:hAnsi="宋体" w:cs="仿宋" w:hint="eastAsia"/>
          <w:bCs/>
          <w:color w:val="000000" w:themeColor="text1"/>
          <w:kern w:val="0"/>
        </w:rPr>
        <w:t>。</w:t>
      </w:r>
    </w:p>
    <w:p w14:paraId="69B7FDC1"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5</w:t>
      </w:r>
      <w:r w:rsidRPr="00B12FE0">
        <w:rPr>
          <w:color w:val="000000" w:themeColor="text1"/>
        </w:rPr>
        <w:t>）</w:t>
      </w:r>
      <w:proofErr w:type="gramStart"/>
      <w:r w:rsidRPr="00B12FE0">
        <w:rPr>
          <w:rFonts w:hint="eastAsia"/>
          <w:color w:val="000000" w:themeColor="text1"/>
        </w:rPr>
        <w:t>甲测室</w:t>
      </w:r>
      <w:proofErr w:type="gramEnd"/>
    </w:p>
    <w:p w14:paraId="528EB805" w14:textId="77777777" w:rsidR="00A67F21" w:rsidRPr="00B12FE0" w:rsidRDefault="00000000">
      <w:pPr>
        <w:topLinePunct/>
        <w:autoSpaceDE w:val="0"/>
        <w:spacing w:line="360" w:lineRule="auto"/>
        <w:ind w:firstLineChars="200" w:firstLine="480"/>
        <w:rPr>
          <w:color w:val="000000" w:themeColor="text1"/>
        </w:rPr>
      </w:pPr>
      <w:proofErr w:type="gramStart"/>
      <w:r w:rsidRPr="00B12FE0">
        <w:rPr>
          <w:rFonts w:hint="eastAsia"/>
          <w:color w:val="000000" w:themeColor="text1"/>
        </w:rPr>
        <w:t>甲测病人在甲测室</w:t>
      </w:r>
      <w:proofErr w:type="gramEnd"/>
      <w:r w:rsidRPr="00B12FE0">
        <w:rPr>
          <w:rFonts w:hint="eastAsia"/>
          <w:color w:val="000000" w:themeColor="text1"/>
        </w:rPr>
        <w:t>服药后离开核医学科，等到检查时间后再进入</w:t>
      </w:r>
      <w:proofErr w:type="gramStart"/>
      <w:r w:rsidRPr="00B12FE0">
        <w:rPr>
          <w:rFonts w:hint="eastAsia"/>
          <w:color w:val="000000" w:themeColor="text1"/>
        </w:rPr>
        <w:t>甲测室</w:t>
      </w:r>
      <w:proofErr w:type="gramEnd"/>
      <w:r w:rsidRPr="00B12FE0">
        <w:rPr>
          <w:rFonts w:hint="eastAsia"/>
          <w:color w:val="000000" w:themeColor="text1"/>
        </w:rPr>
        <w:t>检查测定，</w:t>
      </w:r>
      <w:r w:rsidRPr="00B12FE0">
        <w:rPr>
          <w:rFonts w:hint="eastAsia"/>
          <w:color w:val="000000" w:themeColor="text1"/>
          <w:vertAlign w:val="superscript"/>
        </w:rPr>
        <w:t>131</w:t>
      </w:r>
      <w:r w:rsidRPr="00B12FE0">
        <w:rPr>
          <w:rFonts w:hint="eastAsia"/>
          <w:color w:val="000000" w:themeColor="text1"/>
        </w:rPr>
        <w:t>I</w:t>
      </w:r>
      <w:r w:rsidRPr="00B12FE0">
        <w:rPr>
          <w:rFonts w:hint="eastAsia"/>
          <w:color w:val="000000" w:themeColor="text1"/>
        </w:rPr>
        <w:t>的药物活度已经小于</w:t>
      </w:r>
      <w:r w:rsidRPr="00B12FE0">
        <w:rPr>
          <w:color w:val="000000" w:themeColor="text1"/>
        </w:rPr>
        <w:t>1.85</w:t>
      </w:r>
      <w:r w:rsidRPr="00B12FE0">
        <w:rPr>
          <w:rFonts w:hint="eastAsia"/>
          <w:color w:val="000000" w:themeColor="text1"/>
        </w:rPr>
        <w:t>×</w:t>
      </w:r>
      <w:r w:rsidRPr="00B12FE0">
        <w:rPr>
          <w:rFonts w:hint="eastAsia"/>
          <w:color w:val="000000" w:themeColor="text1"/>
        </w:rPr>
        <w:t>10</w:t>
      </w:r>
      <w:r w:rsidRPr="00B12FE0">
        <w:rPr>
          <w:rFonts w:hint="eastAsia"/>
          <w:color w:val="000000" w:themeColor="text1"/>
          <w:vertAlign w:val="superscript"/>
        </w:rPr>
        <w:t>5</w:t>
      </w:r>
      <w:r w:rsidRPr="00B12FE0">
        <w:rPr>
          <w:rFonts w:hint="eastAsia"/>
          <w:color w:val="000000" w:themeColor="text1"/>
        </w:rPr>
        <w:t>Bq</w:t>
      </w:r>
      <w:r w:rsidRPr="00B12FE0">
        <w:rPr>
          <w:rFonts w:hint="eastAsia"/>
          <w:color w:val="000000" w:themeColor="text1"/>
        </w:rPr>
        <w:t>（</w:t>
      </w:r>
      <w:r w:rsidRPr="00B12FE0">
        <w:rPr>
          <w:rFonts w:hint="eastAsia"/>
          <w:color w:val="000000" w:themeColor="text1"/>
        </w:rPr>
        <w:t>5</w:t>
      </w:r>
      <w:r w:rsidRPr="00B12FE0">
        <w:rPr>
          <w:color w:val="000000" w:themeColor="text1"/>
        </w:rPr>
        <w:t>μCi</w:t>
      </w:r>
      <w:r w:rsidRPr="00B12FE0">
        <w:rPr>
          <w:rFonts w:hint="eastAsia"/>
          <w:color w:val="000000" w:themeColor="text1"/>
        </w:rPr>
        <w:t>），偏保守的角度仍按单个患者</w:t>
      </w:r>
      <w:r w:rsidRPr="00B12FE0">
        <w:rPr>
          <w:color w:val="000000" w:themeColor="text1"/>
        </w:rPr>
        <w:t>1.85</w:t>
      </w:r>
      <w:r w:rsidRPr="00B12FE0">
        <w:rPr>
          <w:rFonts w:hint="eastAsia"/>
          <w:color w:val="000000" w:themeColor="text1"/>
        </w:rPr>
        <w:t>×</w:t>
      </w:r>
      <w:r w:rsidRPr="00B12FE0">
        <w:rPr>
          <w:rFonts w:hint="eastAsia"/>
          <w:color w:val="000000" w:themeColor="text1"/>
        </w:rPr>
        <w:t>10</w:t>
      </w:r>
      <w:r w:rsidRPr="00B12FE0">
        <w:rPr>
          <w:rFonts w:hint="eastAsia"/>
          <w:color w:val="000000" w:themeColor="text1"/>
          <w:vertAlign w:val="superscript"/>
        </w:rPr>
        <w:t>5</w:t>
      </w:r>
      <w:r w:rsidRPr="00B12FE0">
        <w:rPr>
          <w:rFonts w:hint="eastAsia"/>
          <w:color w:val="000000" w:themeColor="text1"/>
        </w:rPr>
        <w:t>Bq</w:t>
      </w:r>
      <w:r w:rsidRPr="00B12FE0">
        <w:rPr>
          <w:rFonts w:hint="eastAsia"/>
          <w:color w:val="000000" w:themeColor="text1"/>
        </w:rPr>
        <w:t>（</w:t>
      </w:r>
      <w:r w:rsidRPr="00B12FE0">
        <w:rPr>
          <w:color w:val="000000" w:themeColor="text1"/>
        </w:rPr>
        <w:t>5μCi</w:t>
      </w:r>
      <w:r w:rsidRPr="00B12FE0">
        <w:rPr>
          <w:rFonts w:hint="eastAsia"/>
          <w:color w:val="000000" w:themeColor="text1"/>
        </w:rPr>
        <w:t>）的点源计算，则</w:t>
      </w:r>
      <w:proofErr w:type="gramStart"/>
      <w:r w:rsidRPr="00B12FE0">
        <w:rPr>
          <w:rFonts w:hint="eastAsia"/>
          <w:color w:val="000000" w:themeColor="text1"/>
        </w:rPr>
        <w:t>甲测室源</w:t>
      </w:r>
      <w:proofErr w:type="gramEnd"/>
      <w:r w:rsidRPr="00B12FE0">
        <w:rPr>
          <w:rFonts w:hint="eastAsia"/>
          <w:color w:val="000000" w:themeColor="text1"/>
        </w:rPr>
        <w:t>强总活度为：</w:t>
      </w:r>
      <w:r w:rsidRPr="00B12FE0">
        <w:rPr>
          <w:color w:val="000000" w:themeColor="text1"/>
        </w:rPr>
        <w:t>1.85</w:t>
      </w:r>
      <w:r w:rsidRPr="00B12FE0">
        <w:rPr>
          <w:rFonts w:hint="eastAsia"/>
          <w:color w:val="000000" w:themeColor="text1"/>
        </w:rPr>
        <w:t>×</w:t>
      </w:r>
      <w:r w:rsidRPr="00B12FE0">
        <w:rPr>
          <w:rFonts w:hint="eastAsia"/>
          <w:color w:val="000000" w:themeColor="text1"/>
        </w:rPr>
        <w:t>10</w:t>
      </w:r>
      <w:r w:rsidRPr="00B12FE0">
        <w:rPr>
          <w:rFonts w:hint="eastAsia"/>
          <w:color w:val="000000" w:themeColor="text1"/>
          <w:vertAlign w:val="superscript"/>
        </w:rPr>
        <w:t>5</w:t>
      </w:r>
      <w:r w:rsidRPr="00B12FE0">
        <w:rPr>
          <w:rFonts w:hint="eastAsia"/>
          <w:color w:val="000000" w:themeColor="text1"/>
        </w:rPr>
        <w:t>Bq</w:t>
      </w:r>
      <w:r w:rsidRPr="00B12FE0">
        <w:rPr>
          <w:rFonts w:hint="eastAsia"/>
          <w:color w:val="000000" w:themeColor="text1"/>
        </w:rPr>
        <w:t>。</w:t>
      </w:r>
      <w:r w:rsidRPr="00B12FE0">
        <w:rPr>
          <w:color w:val="000000" w:themeColor="text1"/>
        </w:rPr>
        <w:t>因此，在药物分装和患者服药过程中，工作人员</w:t>
      </w:r>
      <w:proofErr w:type="gramStart"/>
      <w:r w:rsidRPr="00B12FE0">
        <w:rPr>
          <w:color w:val="000000" w:themeColor="text1"/>
        </w:rPr>
        <w:t>不</w:t>
      </w:r>
      <w:proofErr w:type="gramEnd"/>
      <w:r w:rsidRPr="00B12FE0">
        <w:rPr>
          <w:color w:val="000000" w:themeColor="text1"/>
        </w:rPr>
        <w:t>近距离接触药物。</w:t>
      </w:r>
    </w:p>
    <w:p w14:paraId="483668AA" w14:textId="77777777" w:rsidR="00A67F21" w:rsidRPr="00B12FE0" w:rsidRDefault="00000000">
      <w:pPr>
        <w:topLinePunct/>
        <w:autoSpaceDE w:val="0"/>
        <w:spacing w:line="360" w:lineRule="auto"/>
        <w:ind w:firstLineChars="200" w:firstLine="480"/>
        <w:rPr>
          <w:rFonts w:cs="宋体"/>
          <w:color w:val="000000" w:themeColor="text1"/>
        </w:rPr>
      </w:pPr>
      <w:r w:rsidRPr="00B12FE0">
        <w:rPr>
          <w:rFonts w:cs="宋体" w:hint="eastAsia"/>
          <w:color w:val="000000" w:themeColor="text1"/>
        </w:rPr>
        <w:t>6</w:t>
      </w:r>
      <w:r w:rsidRPr="00B12FE0">
        <w:rPr>
          <w:rFonts w:cs="宋体"/>
          <w:color w:val="000000" w:themeColor="text1"/>
        </w:rPr>
        <w:t>）</w:t>
      </w:r>
      <w:r w:rsidRPr="00B12FE0">
        <w:rPr>
          <w:rFonts w:cs="宋体" w:hint="eastAsia"/>
          <w:color w:val="000000" w:themeColor="text1"/>
        </w:rPr>
        <w:t>运动负荷室、抢救室</w:t>
      </w:r>
    </w:p>
    <w:p w14:paraId="6A5A1B38" w14:textId="77777777" w:rsidR="00A67F21" w:rsidRPr="00B12FE0" w:rsidRDefault="00000000">
      <w:pPr>
        <w:topLinePunct/>
        <w:autoSpaceDE w:val="0"/>
        <w:spacing w:line="360" w:lineRule="auto"/>
        <w:ind w:firstLineChars="200" w:firstLine="480"/>
        <w:rPr>
          <w:rFonts w:cs="宋体"/>
          <w:color w:val="000000" w:themeColor="text1"/>
        </w:rPr>
      </w:pPr>
      <w:r w:rsidRPr="00B12FE0">
        <w:rPr>
          <w:rFonts w:cs="宋体" w:hint="eastAsia"/>
          <w:color w:val="000000" w:themeColor="text1"/>
        </w:rPr>
        <w:t>运动负荷</w:t>
      </w:r>
      <w:proofErr w:type="gramStart"/>
      <w:r w:rsidRPr="00B12FE0">
        <w:rPr>
          <w:rFonts w:cs="宋体" w:hint="eastAsia"/>
          <w:color w:val="000000" w:themeColor="text1"/>
        </w:rPr>
        <w:t>室</w:t>
      </w:r>
      <w:r w:rsidRPr="00B12FE0">
        <w:rPr>
          <w:rFonts w:cs="宋体"/>
          <w:color w:val="000000" w:themeColor="text1"/>
        </w:rPr>
        <w:t>存在</w:t>
      </w:r>
      <w:proofErr w:type="gramEnd"/>
      <w:r w:rsidRPr="00B12FE0">
        <w:rPr>
          <w:rFonts w:cs="宋体"/>
          <w:color w:val="000000" w:themeColor="text1"/>
        </w:rPr>
        <w:t>使用</w:t>
      </w:r>
      <w:r w:rsidRPr="00B12FE0">
        <w:rPr>
          <w:rFonts w:cs="宋体"/>
          <w:color w:val="000000" w:themeColor="text1"/>
          <w:vertAlign w:val="superscript"/>
        </w:rPr>
        <w:t>99m</w:t>
      </w:r>
      <w:r w:rsidRPr="00B12FE0">
        <w:rPr>
          <w:rFonts w:cs="宋体"/>
          <w:color w:val="000000" w:themeColor="text1"/>
        </w:rPr>
        <w:t>Tc</w:t>
      </w:r>
      <w:r w:rsidRPr="00B12FE0">
        <w:rPr>
          <w:rFonts w:cs="宋体"/>
          <w:color w:val="000000" w:themeColor="text1"/>
        </w:rPr>
        <w:t>的患者，患者注射药物</w:t>
      </w:r>
      <w:r w:rsidRPr="00B12FE0">
        <w:rPr>
          <w:rFonts w:cs="宋体"/>
          <w:color w:val="000000" w:themeColor="text1"/>
          <w:vertAlign w:val="superscript"/>
        </w:rPr>
        <w:t>99m</w:t>
      </w:r>
      <w:r w:rsidRPr="00B12FE0">
        <w:rPr>
          <w:rFonts w:cs="宋体"/>
          <w:color w:val="000000" w:themeColor="text1"/>
        </w:rPr>
        <w:t>Tc</w:t>
      </w:r>
      <w:r w:rsidRPr="00B12FE0">
        <w:rPr>
          <w:rFonts w:cs="宋体"/>
          <w:color w:val="000000" w:themeColor="text1"/>
        </w:rPr>
        <w:t>经过一段时间的等待，药物活度已经小于</w:t>
      </w:r>
      <w:r w:rsidRPr="00B12FE0">
        <w:rPr>
          <w:rFonts w:cs="宋体" w:hint="eastAsia"/>
          <w:color w:val="000000" w:themeColor="text1"/>
        </w:rPr>
        <w:t>9.25</w:t>
      </w:r>
      <w:r w:rsidRPr="00B12FE0">
        <w:rPr>
          <w:rFonts w:cs="宋体"/>
          <w:color w:val="000000" w:themeColor="text1"/>
        </w:rPr>
        <w:t>×10</w:t>
      </w:r>
      <w:r w:rsidRPr="00B12FE0">
        <w:rPr>
          <w:rFonts w:cs="宋体"/>
          <w:color w:val="000000" w:themeColor="text1"/>
          <w:vertAlign w:val="superscript"/>
        </w:rPr>
        <w:t>8</w:t>
      </w:r>
      <w:r w:rsidRPr="00B12FE0">
        <w:rPr>
          <w:rFonts w:cs="宋体"/>
          <w:color w:val="000000" w:themeColor="text1"/>
        </w:rPr>
        <w:t>Bq</w:t>
      </w:r>
      <w:r w:rsidRPr="00B12FE0">
        <w:rPr>
          <w:rFonts w:cs="宋体"/>
          <w:color w:val="000000" w:themeColor="text1"/>
        </w:rPr>
        <w:t>（</w:t>
      </w:r>
      <w:r w:rsidRPr="00B12FE0">
        <w:rPr>
          <w:rFonts w:cs="宋体" w:hint="eastAsia"/>
          <w:color w:val="000000" w:themeColor="text1"/>
        </w:rPr>
        <w:t>25mCi</w:t>
      </w:r>
      <w:r w:rsidRPr="00B12FE0">
        <w:rPr>
          <w:rFonts w:cs="宋体"/>
          <w:color w:val="000000" w:themeColor="text1"/>
        </w:rPr>
        <w:t>），偏保守的角度仍按单个患者</w:t>
      </w:r>
      <w:r w:rsidRPr="00B12FE0">
        <w:rPr>
          <w:rFonts w:cs="宋体" w:hint="eastAsia"/>
          <w:color w:val="000000" w:themeColor="text1"/>
        </w:rPr>
        <w:t>9.25</w:t>
      </w:r>
      <w:r w:rsidRPr="00B12FE0">
        <w:rPr>
          <w:rFonts w:cs="宋体"/>
          <w:color w:val="000000" w:themeColor="text1"/>
        </w:rPr>
        <w:t>×10</w:t>
      </w:r>
      <w:r w:rsidRPr="00B12FE0">
        <w:rPr>
          <w:rFonts w:cs="宋体"/>
          <w:color w:val="000000" w:themeColor="text1"/>
          <w:vertAlign w:val="superscript"/>
        </w:rPr>
        <w:t>8</w:t>
      </w:r>
      <w:r w:rsidRPr="00B12FE0">
        <w:rPr>
          <w:rFonts w:cs="宋体"/>
          <w:color w:val="000000" w:themeColor="text1"/>
        </w:rPr>
        <w:t>Bq</w:t>
      </w:r>
      <w:r w:rsidRPr="00B12FE0">
        <w:rPr>
          <w:rFonts w:cs="宋体"/>
          <w:color w:val="000000" w:themeColor="text1"/>
        </w:rPr>
        <w:t>（</w:t>
      </w:r>
      <w:r w:rsidRPr="00B12FE0">
        <w:rPr>
          <w:rFonts w:cs="宋体" w:hint="eastAsia"/>
          <w:color w:val="000000" w:themeColor="text1"/>
        </w:rPr>
        <w:t>25mCi</w:t>
      </w:r>
      <w:r w:rsidRPr="00B12FE0">
        <w:rPr>
          <w:rFonts w:cs="宋体"/>
          <w:color w:val="000000" w:themeColor="text1"/>
        </w:rPr>
        <w:t>）的点源计算。</w:t>
      </w:r>
    </w:p>
    <w:p w14:paraId="1DD32EE7" w14:textId="77777777" w:rsidR="00A67F21" w:rsidRPr="00B12FE0" w:rsidRDefault="00000000">
      <w:pPr>
        <w:topLinePunct/>
        <w:autoSpaceDE w:val="0"/>
        <w:spacing w:line="360" w:lineRule="auto"/>
        <w:ind w:firstLineChars="200" w:firstLine="480"/>
        <w:rPr>
          <w:color w:val="000000" w:themeColor="text1"/>
        </w:rPr>
      </w:pPr>
      <w:r w:rsidRPr="00B12FE0">
        <w:rPr>
          <w:color w:val="000000" w:themeColor="text1"/>
        </w:rPr>
        <w:t>患者</w:t>
      </w:r>
      <w:r w:rsidRPr="00B12FE0">
        <w:rPr>
          <w:rFonts w:hint="eastAsia"/>
          <w:color w:val="000000" w:themeColor="text1"/>
        </w:rPr>
        <w:t>在显像诊断过程中遇到抢救的情况</w:t>
      </w:r>
      <w:r w:rsidRPr="00B12FE0">
        <w:rPr>
          <w:color w:val="000000" w:themeColor="text1"/>
        </w:rPr>
        <w:t>，</w:t>
      </w:r>
      <w:r w:rsidRPr="00B12FE0">
        <w:rPr>
          <w:rFonts w:hint="eastAsia"/>
          <w:color w:val="000000" w:themeColor="text1"/>
        </w:rPr>
        <w:t>需及时进入抢救</w:t>
      </w:r>
      <w:proofErr w:type="gramStart"/>
      <w:r w:rsidRPr="00B12FE0">
        <w:rPr>
          <w:rFonts w:hint="eastAsia"/>
          <w:color w:val="000000" w:themeColor="text1"/>
        </w:rPr>
        <w:t>室实施</w:t>
      </w:r>
      <w:proofErr w:type="gramEnd"/>
      <w:r w:rsidRPr="00B12FE0">
        <w:rPr>
          <w:rFonts w:hint="eastAsia"/>
          <w:color w:val="000000" w:themeColor="text1"/>
        </w:rPr>
        <w:t>抢救。</w:t>
      </w:r>
      <w:r w:rsidRPr="00B12FE0">
        <w:rPr>
          <w:color w:val="000000" w:themeColor="text1"/>
        </w:rPr>
        <w:t>以照射量常数</w:t>
      </w:r>
      <w:proofErr w:type="gramStart"/>
      <w:r w:rsidRPr="00B12FE0">
        <w:rPr>
          <w:color w:val="000000" w:themeColor="text1"/>
        </w:rPr>
        <w:t>及</w:t>
      </w:r>
      <w:r w:rsidRPr="00B12FE0">
        <w:rPr>
          <w:rFonts w:hint="eastAsia"/>
          <w:color w:val="000000" w:themeColor="text1"/>
        </w:rPr>
        <w:t>什</w:t>
      </w:r>
      <w:r w:rsidRPr="00B12FE0">
        <w:rPr>
          <w:color w:val="000000" w:themeColor="text1"/>
        </w:rPr>
        <w:t>值层</w:t>
      </w:r>
      <w:proofErr w:type="gramEnd"/>
      <w:r w:rsidRPr="00B12FE0">
        <w:rPr>
          <w:color w:val="000000" w:themeColor="text1"/>
        </w:rPr>
        <w:t>厚度最大</w:t>
      </w:r>
      <w:r w:rsidRPr="00B12FE0">
        <w:rPr>
          <w:rFonts w:hint="eastAsia"/>
          <w:color w:val="000000" w:themeColor="text1"/>
        </w:rPr>
        <w:t>的核素</w:t>
      </w:r>
      <w:r w:rsidRPr="00B12FE0">
        <w:rPr>
          <w:color w:val="000000" w:themeColor="text1"/>
          <w:vertAlign w:val="superscript"/>
        </w:rPr>
        <w:t>18</w:t>
      </w:r>
      <w:r w:rsidRPr="00B12FE0">
        <w:rPr>
          <w:color w:val="000000" w:themeColor="text1"/>
        </w:rPr>
        <w:t>F</w:t>
      </w:r>
      <w:r w:rsidRPr="00B12FE0">
        <w:rPr>
          <w:color w:val="000000" w:themeColor="text1"/>
        </w:rPr>
        <w:t>进行估算</w:t>
      </w:r>
      <w:r w:rsidRPr="00B12FE0">
        <w:rPr>
          <w:rFonts w:hint="eastAsia"/>
          <w:color w:val="000000" w:themeColor="text1"/>
        </w:rPr>
        <w:t>，</w:t>
      </w:r>
      <w:r w:rsidRPr="00B12FE0">
        <w:rPr>
          <w:color w:val="000000" w:themeColor="text1"/>
        </w:rPr>
        <w:t>注射</w:t>
      </w:r>
      <w:r w:rsidRPr="00B12FE0">
        <w:rPr>
          <w:color w:val="000000" w:themeColor="text1"/>
          <w:vertAlign w:val="superscript"/>
        </w:rPr>
        <w:t>18</w:t>
      </w:r>
      <w:r w:rsidRPr="00B12FE0">
        <w:rPr>
          <w:color w:val="000000" w:themeColor="text1"/>
        </w:rPr>
        <w:t>F</w:t>
      </w:r>
      <w:r w:rsidRPr="00B12FE0">
        <w:rPr>
          <w:color w:val="000000" w:themeColor="text1"/>
        </w:rPr>
        <w:t>的患者</w:t>
      </w:r>
      <w:r w:rsidRPr="00B12FE0">
        <w:rPr>
          <w:rFonts w:hAnsi="宋体" w:hint="eastAsia"/>
          <w:bCs/>
          <w:color w:val="000000" w:themeColor="text1"/>
        </w:rPr>
        <w:t>每人最大用量为</w:t>
      </w:r>
      <w:r w:rsidRPr="00B12FE0">
        <w:rPr>
          <w:rFonts w:hAnsi="宋体" w:hint="eastAsia"/>
          <w:bCs/>
          <w:color w:val="000000" w:themeColor="text1"/>
        </w:rPr>
        <w:t>3.70</w:t>
      </w:r>
      <w:r w:rsidRPr="00B12FE0">
        <w:rPr>
          <w:rFonts w:hAnsi="宋体" w:hint="eastAsia"/>
          <w:bCs/>
          <w:color w:val="000000" w:themeColor="text1"/>
        </w:rPr>
        <w:t>×</w:t>
      </w:r>
      <w:r w:rsidRPr="00B12FE0">
        <w:rPr>
          <w:rFonts w:hAnsi="宋体"/>
          <w:bCs/>
          <w:color w:val="000000" w:themeColor="text1"/>
        </w:rPr>
        <w:t>10</w:t>
      </w:r>
      <w:r w:rsidRPr="00B12FE0">
        <w:rPr>
          <w:rFonts w:hAnsi="宋体" w:hint="eastAsia"/>
          <w:bCs/>
          <w:color w:val="000000" w:themeColor="text1"/>
          <w:vertAlign w:val="superscript"/>
        </w:rPr>
        <w:t>8</w:t>
      </w:r>
      <w:r w:rsidRPr="00B12FE0">
        <w:rPr>
          <w:rFonts w:hAnsi="宋体"/>
          <w:bCs/>
          <w:color w:val="000000" w:themeColor="text1"/>
        </w:rPr>
        <w:t>Bq</w:t>
      </w:r>
      <w:r w:rsidRPr="00B12FE0">
        <w:rPr>
          <w:rFonts w:hAnsi="宋体" w:hint="eastAsia"/>
          <w:bCs/>
          <w:color w:val="000000" w:themeColor="text1"/>
        </w:rPr>
        <w:t>（</w:t>
      </w:r>
      <w:r w:rsidRPr="00B12FE0">
        <w:rPr>
          <w:rFonts w:hAnsi="宋体" w:hint="eastAsia"/>
          <w:bCs/>
          <w:color w:val="000000" w:themeColor="text1"/>
        </w:rPr>
        <w:t>10mCi</w:t>
      </w:r>
      <w:r w:rsidRPr="00B12FE0">
        <w:rPr>
          <w:rFonts w:hAnsi="宋体" w:hint="eastAsia"/>
          <w:bCs/>
          <w:color w:val="000000" w:themeColor="text1"/>
        </w:rPr>
        <w:t>），故</w:t>
      </w:r>
      <w:r w:rsidRPr="00B12FE0">
        <w:rPr>
          <w:color w:val="000000" w:themeColor="text1"/>
        </w:rPr>
        <w:t>按单个患者</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10mCi</w:t>
      </w:r>
      <w:r w:rsidRPr="00B12FE0">
        <w:rPr>
          <w:color w:val="000000" w:themeColor="text1"/>
        </w:rPr>
        <w:t>）点源计算。</w:t>
      </w:r>
      <w:r w:rsidRPr="00B12FE0">
        <w:rPr>
          <w:rFonts w:hint="eastAsia"/>
          <w:color w:val="000000" w:themeColor="text1"/>
        </w:rPr>
        <w:t>抢救</w:t>
      </w:r>
      <w:r w:rsidRPr="00B12FE0">
        <w:rPr>
          <w:color w:val="000000" w:themeColor="text1"/>
        </w:rPr>
        <w:t>过程工作人员穿着</w:t>
      </w:r>
      <w:r w:rsidRPr="00B12FE0">
        <w:rPr>
          <w:color w:val="000000" w:themeColor="text1"/>
        </w:rPr>
        <w:t>0.5mmPb</w:t>
      </w:r>
      <w:r w:rsidRPr="00B12FE0">
        <w:rPr>
          <w:color w:val="000000" w:themeColor="text1"/>
        </w:rPr>
        <w:t>当量的铅橡胶围裙，按身体距离患者约</w:t>
      </w:r>
      <w:r w:rsidRPr="00B12FE0">
        <w:rPr>
          <w:color w:val="000000" w:themeColor="text1"/>
        </w:rPr>
        <w:t>0.5m</w:t>
      </w:r>
      <w:r w:rsidRPr="00B12FE0">
        <w:rPr>
          <w:color w:val="000000" w:themeColor="text1"/>
        </w:rPr>
        <w:t>进行估算。</w:t>
      </w:r>
    </w:p>
    <w:p w14:paraId="49BB1B8D"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7</w:t>
      </w:r>
      <w:r w:rsidRPr="00B12FE0">
        <w:rPr>
          <w:color w:val="000000" w:themeColor="text1"/>
        </w:rPr>
        <w:t>）注射后等候室</w:t>
      </w:r>
      <w:r w:rsidRPr="00B12FE0">
        <w:rPr>
          <w:rFonts w:hint="eastAsia"/>
          <w:color w:val="000000" w:themeColor="text1"/>
        </w:rPr>
        <w:t>、留观室</w:t>
      </w:r>
    </w:p>
    <w:p w14:paraId="2A1CBC94" w14:textId="77777777" w:rsidR="00A67F21" w:rsidRPr="00B12FE0" w:rsidRDefault="00000000">
      <w:pPr>
        <w:topLinePunct/>
        <w:autoSpaceDE w:val="0"/>
        <w:spacing w:line="360" w:lineRule="auto"/>
        <w:ind w:firstLineChars="200" w:firstLine="480"/>
        <w:rPr>
          <w:color w:val="000000" w:themeColor="text1"/>
        </w:rPr>
      </w:pPr>
      <w:r w:rsidRPr="00B12FE0">
        <w:rPr>
          <w:color w:val="000000" w:themeColor="text1"/>
        </w:rPr>
        <w:t>PET</w:t>
      </w:r>
      <w:r w:rsidRPr="00B12FE0">
        <w:rPr>
          <w:rFonts w:hint="eastAsia"/>
          <w:color w:val="000000" w:themeColor="text1"/>
        </w:rPr>
        <w:t>诊断和</w:t>
      </w:r>
      <w:r w:rsidRPr="00B12FE0">
        <w:rPr>
          <w:rFonts w:hint="eastAsia"/>
          <w:color w:val="000000" w:themeColor="text1"/>
        </w:rPr>
        <w:t>SPECT</w:t>
      </w:r>
      <w:r w:rsidRPr="00B12FE0">
        <w:rPr>
          <w:rFonts w:hint="eastAsia"/>
          <w:color w:val="000000" w:themeColor="text1"/>
        </w:rPr>
        <w:t>诊断患者注射完放射性药物后，通过患者通道进入相关</w:t>
      </w:r>
      <w:r w:rsidRPr="00B12FE0">
        <w:rPr>
          <w:color w:val="000000" w:themeColor="text1"/>
        </w:rPr>
        <w:t>注射后等候室</w:t>
      </w:r>
      <w:r w:rsidRPr="00B12FE0">
        <w:rPr>
          <w:rFonts w:hint="eastAsia"/>
          <w:color w:val="000000" w:themeColor="text1"/>
        </w:rPr>
        <w:t>等候，随后进入相应机房</w:t>
      </w:r>
      <w:r w:rsidRPr="00B12FE0">
        <w:rPr>
          <w:color w:val="000000" w:themeColor="text1"/>
        </w:rPr>
        <w:t>进行显像和诊断</w:t>
      </w:r>
      <w:r w:rsidRPr="00B12FE0">
        <w:rPr>
          <w:rFonts w:hint="eastAsia"/>
          <w:color w:val="000000" w:themeColor="text1"/>
        </w:rPr>
        <w:t>；诊断患者结束检查后，通过患者通道进入留</w:t>
      </w:r>
      <w:proofErr w:type="gramStart"/>
      <w:r w:rsidRPr="00B12FE0">
        <w:rPr>
          <w:rFonts w:hint="eastAsia"/>
          <w:color w:val="000000" w:themeColor="text1"/>
        </w:rPr>
        <w:t>观室留</w:t>
      </w:r>
      <w:proofErr w:type="gramEnd"/>
      <w:r w:rsidRPr="00B12FE0">
        <w:rPr>
          <w:rFonts w:hint="eastAsia"/>
          <w:color w:val="000000" w:themeColor="text1"/>
        </w:rPr>
        <w:t>观，无特殊情况发生则</w:t>
      </w:r>
      <w:r w:rsidRPr="00B12FE0">
        <w:rPr>
          <w:color w:val="000000" w:themeColor="text1"/>
        </w:rPr>
        <w:t>由</w:t>
      </w:r>
      <w:r w:rsidRPr="00B12FE0">
        <w:rPr>
          <w:rFonts w:hint="eastAsia"/>
          <w:color w:val="000000" w:themeColor="text1"/>
        </w:rPr>
        <w:t>患者</w:t>
      </w:r>
      <w:r w:rsidRPr="00B12FE0">
        <w:rPr>
          <w:color w:val="000000" w:themeColor="text1"/>
        </w:rPr>
        <w:t>通道离开</w:t>
      </w:r>
      <w:r w:rsidRPr="00B12FE0">
        <w:rPr>
          <w:rFonts w:hint="eastAsia"/>
          <w:color w:val="000000" w:themeColor="text1"/>
        </w:rPr>
        <w:t>。骨癌等治疗患者注射完放射性药物后直接离开核医学科。</w:t>
      </w:r>
    </w:p>
    <w:p w14:paraId="2B7B30C4"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核素诊断场所拟设置</w:t>
      </w:r>
      <w:r w:rsidRPr="00B12FE0">
        <w:rPr>
          <w:rFonts w:hint="eastAsia"/>
          <w:color w:val="000000" w:themeColor="text1"/>
        </w:rPr>
        <w:t>2</w:t>
      </w:r>
      <w:r w:rsidRPr="00B12FE0">
        <w:rPr>
          <w:rFonts w:hint="eastAsia"/>
          <w:color w:val="000000" w:themeColor="text1"/>
        </w:rPr>
        <w:t>间</w:t>
      </w:r>
      <w:r w:rsidRPr="00B12FE0">
        <w:rPr>
          <w:rFonts w:hint="eastAsia"/>
          <w:color w:val="000000" w:themeColor="text1"/>
        </w:rPr>
        <w:t>P</w:t>
      </w:r>
      <w:r w:rsidRPr="00B12FE0">
        <w:rPr>
          <w:color w:val="000000" w:themeColor="text1"/>
        </w:rPr>
        <w:t>ET</w:t>
      </w:r>
      <w:r w:rsidRPr="00B12FE0">
        <w:rPr>
          <w:rFonts w:hint="eastAsia"/>
          <w:color w:val="000000" w:themeColor="text1"/>
        </w:rPr>
        <w:t>注射后等候室，每间注射后等候室设置</w:t>
      </w:r>
      <w:r w:rsidRPr="00B12FE0">
        <w:rPr>
          <w:color w:val="000000" w:themeColor="text1"/>
        </w:rPr>
        <w:t>2</w:t>
      </w:r>
      <w:r w:rsidRPr="00B12FE0">
        <w:rPr>
          <w:color w:val="000000" w:themeColor="text1"/>
        </w:rPr>
        <w:t>张</w:t>
      </w:r>
      <w:r w:rsidRPr="00B12FE0">
        <w:rPr>
          <w:rFonts w:hint="eastAsia"/>
          <w:color w:val="000000" w:themeColor="text1"/>
        </w:rPr>
        <w:t>候诊床</w:t>
      </w:r>
      <w:r w:rsidRPr="00B12FE0">
        <w:rPr>
          <w:color w:val="000000" w:themeColor="text1"/>
        </w:rPr>
        <w:t>，设置防护屏风</w:t>
      </w:r>
      <w:r w:rsidRPr="00B12FE0">
        <w:rPr>
          <w:color w:val="000000" w:themeColor="text1"/>
        </w:rPr>
        <w:t>1</w:t>
      </w:r>
      <w:r w:rsidRPr="00B12FE0">
        <w:rPr>
          <w:color w:val="000000" w:themeColor="text1"/>
        </w:rPr>
        <w:t>个（</w:t>
      </w:r>
      <w:r w:rsidRPr="00B12FE0">
        <w:rPr>
          <w:rFonts w:hAnsi="宋体"/>
          <w:bCs/>
          <w:color w:val="000000" w:themeColor="text1"/>
        </w:rPr>
        <w:t>4</w:t>
      </w:r>
      <w:r w:rsidRPr="00B12FE0">
        <w:rPr>
          <w:rFonts w:hAnsi="宋体" w:hint="eastAsia"/>
          <w:bCs/>
          <w:color w:val="000000" w:themeColor="text1"/>
        </w:rPr>
        <w:t>mmPb</w:t>
      </w:r>
      <w:r w:rsidRPr="00B12FE0">
        <w:rPr>
          <w:rFonts w:hAnsi="宋体" w:hint="eastAsia"/>
          <w:bCs/>
          <w:color w:val="000000" w:themeColor="text1"/>
        </w:rPr>
        <w:t>）</w:t>
      </w:r>
      <w:r w:rsidRPr="00B12FE0">
        <w:rPr>
          <w:rFonts w:hint="eastAsia"/>
          <w:color w:val="000000" w:themeColor="text1"/>
        </w:rPr>
        <w:t>。</w:t>
      </w:r>
      <w:r w:rsidRPr="00B12FE0">
        <w:rPr>
          <w:color w:val="000000" w:themeColor="text1"/>
        </w:rPr>
        <w:t>PET</w:t>
      </w:r>
      <w:r w:rsidRPr="00B12FE0">
        <w:rPr>
          <w:color w:val="000000" w:themeColor="text1"/>
        </w:rPr>
        <w:t>每次仅能扫描一个患者，患者注射</w:t>
      </w:r>
      <w:r w:rsidRPr="00B12FE0">
        <w:rPr>
          <w:color w:val="000000" w:themeColor="text1"/>
          <w:vertAlign w:val="superscript"/>
        </w:rPr>
        <w:t>18</w:t>
      </w:r>
      <w:r w:rsidRPr="00B12FE0">
        <w:rPr>
          <w:color w:val="000000" w:themeColor="text1"/>
        </w:rPr>
        <w:t>F</w:t>
      </w:r>
      <w:r w:rsidRPr="00B12FE0">
        <w:rPr>
          <w:color w:val="000000" w:themeColor="text1"/>
        </w:rPr>
        <w:t>药物后经过一段时间的等待，药物活度已经小于</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10mCi</w:t>
      </w:r>
      <w:r w:rsidRPr="00B12FE0">
        <w:rPr>
          <w:color w:val="000000" w:themeColor="text1"/>
        </w:rPr>
        <w:t>），</w:t>
      </w:r>
      <w:r w:rsidRPr="00B12FE0">
        <w:rPr>
          <w:rFonts w:hint="eastAsia"/>
          <w:color w:val="000000" w:themeColor="text1"/>
        </w:rPr>
        <w:t>P</w:t>
      </w:r>
      <w:r w:rsidRPr="00B12FE0">
        <w:rPr>
          <w:color w:val="000000" w:themeColor="text1"/>
        </w:rPr>
        <w:t>ET</w:t>
      </w:r>
      <w:r w:rsidRPr="00B12FE0">
        <w:rPr>
          <w:rFonts w:hint="eastAsia"/>
          <w:color w:val="000000" w:themeColor="text1"/>
        </w:rPr>
        <w:t>注射后等候室</w:t>
      </w:r>
      <w:r w:rsidRPr="00B12FE0">
        <w:rPr>
          <w:color w:val="000000" w:themeColor="text1"/>
        </w:rPr>
        <w:t>按</w:t>
      </w:r>
      <w:r w:rsidRPr="00B12FE0">
        <w:rPr>
          <w:rFonts w:hint="eastAsia"/>
          <w:color w:val="000000" w:themeColor="text1"/>
        </w:rPr>
        <w:t>2</w:t>
      </w:r>
      <w:r w:rsidRPr="00B12FE0">
        <w:rPr>
          <w:color w:val="000000" w:themeColor="text1"/>
        </w:rPr>
        <w:t>个</w:t>
      </w:r>
      <w:r w:rsidRPr="00B12FE0">
        <w:rPr>
          <w:rFonts w:hint="eastAsia"/>
          <w:color w:val="000000" w:themeColor="text1"/>
          <w:vertAlign w:val="superscript"/>
        </w:rPr>
        <w:t>18</w:t>
      </w:r>
      <w:r w:rsidRPr="00B12FE0">
        <w:rPr>
          <w:rFonts w:hint="eastAsia"/>
          <w:color w:val="000000" w:themeColor="text1"/>
        </w:rPr>
        <w:t>F</w:t>
      </w:r>
      <w:r w:rsidRPr="00B12FE0">
        <w:rPr>
          <w:color w:val="000000" w:themeColor="text1"/>
        </w:rPr>
        <w:t>扫描患者同时等待</w:t>
      </w:r>
      <w:r w:rsidRPr="00B12FE0">
        <w:rPr>
          <w:rFonts w:hint="eastAsia"/>
          <w:color w:val="000000" w:themeColor="text1"/>
        </w:rPr>
        <w:t>，</w:t>
      </w:r>
      <w:r w:rsidRPr="00B12FE0">
        <w:rPr>
          <w:color w:val="000000" w:themeColor="text1"/>
        </w:rPr>
        <w:t>单个患者注射</w:t>
      </w:r>
      <w:r w:rsidRPr="00B12FE0">
        <w:rPr>
          <w:rFonts w:hint="eastAsia"/>
          <w:color w:val="000000" w:themeColor="text1"/>
          <w:vertAlign w:val="superscript"/>
        </w:rPr>
        <w:t>18</w:t>
      </w:r>
      <w:r w:rsidRPr="00B12FE0">
        <w:rPr>
          <w:rFonts w:hint="eastAsia"/>
          <w:color w:val="000000" w:themeColor="text1"/>
        </w:rPr>
        <w:t>F</w:t>
      </w:r>
      <w:r w:rsidRPr="00B12FE0">
        <w:rPr>
          <w:color w:val="000000" w:themeColor="text1"/>
        </w:rPr>
        <w:t>为</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color w:val="000000" w:themeColor="text1"/>
        </w:rPr>
        <w:t>，则</w:t>
      </w:r>
      <w:r w:rsidRPr="00B12FE0">
        <w:rPr>
          <w:rFonts w:hint="eastAsia"/>
          <w:color w:val="000000" w:themeColor="text1"/>
        </w:rPr>
        <w:t>P</w:t>
      </w:r>
      <w:r w:rsidRPr="00B12FE0">
        <w:rPr>
          <w:color w:val="000000" w:themeColor="text1"/>
        </w:rPr>
        <w:t>ET</w:t>
      </w:r>
      <w:r w:rsidRPr="00B12FE0">
        <w:rPr>
          <w:rFonts w:hint="eastAsia"/>
          <w:color w:val="000000" w:themeColor="text1"/>
        </w:rPr>
        <w:t>注射后等候室</w:t>
      </w:r>
      <w:r w:rsidRPr="00B12FE0">
        <w:rPr>
          <w:color w:val="000000" w:themeColor="text1"/>
        </w:rPr>
        <w:t>源强总活度为</w:t>
      </w:r>
      <w:r w:rsidRPr="00B12FE0">
        <w:rPr>
          <w:color w:val="000000" w:themeColor="text1"/>
        </w:rPr>
        <w:t>7.4×10</w:t>
      </w:r>
      <w:r w:rsidRPr="00B12FE0">
        <w:rPr>
          <w:color w:val="000000" w:themeColor="text1"/>
          <w:vertAlign w:val="superscript"/>
        </w:rPr>
        <w:t>8</w:t>
      </w:r>
      <w:r w:rsidRPr="00B12FE0">
        <w:rPr>
          <w:color w:val="000000" w:themeColor="text1"/>
        </w:rPr>
        <w:t>Bq(2</w:t>
      </w:r>
      <w:r w:rsidRPr="00B12FE0">
        <w:rPr>
          <w:rFonts w:hint="eastAsia"/>
          <w:color w:val="000000" w:themeColor="text1"/>
        </w:rPr>
        <w:t>0mCi</w:t>
      </w:r>
      <w:r w:rsidRPr="00B12FE0">
        <w:rPr>
          <w:color w:val="000000" w:themeColor="text1"/>
        </w:rPr>
        <w:t>)</w:t>
      </w:r>
      <w:r w:rsidRPr="00B12FE0">
        <w:rPr>
          <w:rFonts w:hint="eastAsia"/>
          <w:color w:val="000000" w:themeColor="text1"/>
        </w:rPr>
        <w:t>。</w:t>
      </w:r>
    </w:p>
    <w:p w14:paraId="300A8F1E"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lastRenderedPageBreak/>
        <w:t>核素诊断场所</w:t>
      </w:r>
      <w:r w:rsidRPr="00B12FE0">
        <w:rPr>
          <w:color w:val="000000" w:themeColor="text1"/>
        </w:rPr>
        <w:t>拟设置</w:t>
      </w:r>
      <w:r w:rsidRPr="00B12FE0">
        <w:rPr>
          <w:color w:val="000000" w:themeColor="text1"/>
        </w:rPr>
        <w:t>1</w:t>
      </w:r>
      <w:r w:rsidRPr="00B12FE0">
        <w:rPr>
          <w:color w:val="000000" w:themeColor="text1"/>
        </w:rPr>
        <w:t>间</w:t>
      </w:r>
      <w:r w:rsidRPr="00B12FE0">
        <w:rPr>
          <w:color w:val="000000" w:themeColor="text1"/>
        </w:rPr>
        <w:t>SPECT</w:t>
      </w:r>
      <w:r w:rsidRPr="00B12FE0">
        <w:rPr>
          <w:color w:val="000000" w:themeColor="text1"/>
        </w:rPr>
        <w:t>注射后等候室，</w:t>
      </w:r>
      <w:r w:rsidRPr="00B12FE0">
        <w:rPr>
          <w:color w:val="000000" w:themeColor="text1"/>
        </w:rPr>
        <w:t>SPECT</w:t>
      </w:r>
      <w:r w:rsidRPr="00B12FE0">
        <w:rPr>
          <w:color w:val="000000" w:themeColor="text1"/>
        </w:rPr>
        <w:t>注射后等候室设置</w:t>
      </w:r>
      <w:r w:rsidRPr="00B12FE0">
        <w:rPr>
          <w:color w:val="000000" w:themeColor="text1"/>
        </w:rPr>
        <w:t>4</w:t>
      </w:r>
      <w:r w:rsidRPr="00B12FE0">
        <w:rPr>
          <w:color w:val="000000" w:themeColor="text1"/>
        </w:rPr>
        <w:t>张</w:t>
      </w:r>
      <w:r w:rsidRPr="00B12FE0">
        <w:rPr>
          <w:rFonts w:hint="eastAsia"/>
          <w:color w:val="000000" w:themeColor="text1"/>
        </w:rPr>
        <w:t>候诊座位</w:t>
      </w:r>
      <w:r w:rsidRPr="00B12FE0">
        <w:rPr>
          <w:color w:val="000000" w:themeColor="text1"/>
        </w:rPr>
        <w:t>，</w:t>
      </w:r>
      <w:r w:rsidRPr="00B12FE0">
        <w:rPr>
          <w:rFonts w:hAnsi="宋体" w:hint="eastAsia"/>
          <w:bCs/>
          <w:color w:val="000000" w:themeColor="text1"/>
        </w:rPr>
        <w:t>座位</w:t>
      </w:r>
      <w:r w:rsidRPr="00B12FE0">
        <w:rPr>
          <w:color w:val="000000" w:themeColor="text1"/>
        </w:rPr>
        <w:t>均匀分布，设置防护屏风</w:t>
      </w:r>
      <w:r w:rsidRPr="00B12FE0">
        <w:rPr>
          <w:color w:val="000000" w:themeColor="text1"/>
        </w:rPr>
        <w:t>3</w:t>
      </w:r>
      <w:r w:rsidRPr="00B12FE0">
        <w:rPr>
          <w:color w:val="000000" w:themeColor="text1"/>
        </w:rPr>
        <w:t>个（</w:t>
      </w:r>
      <w:r w:rsidRPr="00B12FE0">
        <w:rPr>
          <w:color w:val="000000" w:themeColor="text1"/>
        </w:rPr>
        <w:t>4mm</w:t>
      </w:r>
      <w:r w:rsidRPr="00B12FE0">
        <w:rPr>
          <w:color w:val="000000" w:themeColor="text1"/>
        </w:rPr>
        <w:t>铅当量）。</w:t>
      </w:r>
      <w:r w:rsidRPr="00B12FE0">
        <w:rPr>
          <w:color w:val="000000" w:themeColor="text1"/>
        </w:rPr>
        <w:t>SPECT/CT</w:t>
      </w:r>
      <w:r w:rsidRPr="00B12FE0">
        <w:rPr>
          <w:color w:val="000000" w:themeColor="text1"/>
        </w:rPr>
        <w:t>每次仅能扫描一个患者，</w:t>
      </w:r>
      <w:r w:rsidRPr="00B12FE0">
        <w:rPr>
          <w:color w:val="000000" w:themeColor="text1"/>
          <w:vertAlign w:val="superscript"/>
        </w:rPr>
        <w:t>99m</w:t>
      </w:r>
      <w:r w:rsidRPr="00B12FE0">
        <w:rPr>
          <w:color w:val="000000" w:themeColor="text1"/>
        </w:rPr>
        <w:t>Tc</w:t>
      </w:r>
      <w:r w:rsidRPr="00B12FE0">
        <w:rPr>
          <w:color w:val="000000" w:themeColor="text1"/>
        </w:rPr>
        <w:t>扫描患者注射药物经过一段时间的等待，药物活度已经小于</w:t>
      </w:r>
      <w:r w:rsidRPr="00B12FE0">
        <w:rPr>
          <w:rFonts w:hint="eastAsia"/>
          <w:color w:val="000000" w:themeColor="text1"/>
        </w:rPr>
        <w:t>9.25</w:t>
      </w:r>
      <w:r w:rsidRPr="00B12FE0">
        <w:rPr>
          <w:color w:val="000000" w:themeColor="text1"/>
        </w:rPr>
        <w:t>×10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25mCi</w:t>
      </w:r>
      <w:r w:rsidRPr="00B12FE0">
        <w:rPr>
          <w:color w:val="000000" w:themeColor="text1"/>
        </w:rPr>
        <w:t>），偏保守的角度仍按单个患者</w:t>
      </w:r>
      <w:r w:rsidRPr="00B12FE0">
        <w:rPr>
          <w:rFonts w:hint="eastAsia"/>
          <w:color w:val="000000" w:themeColor="text1"/>
        </w:rPr>
        <w:t>9.25</w:t>
      </w:r>
      <w:r w:rsidRPr="00B12FE0">
        <w:rPr>
          <w:color w:val="000000" w:themeColor="text1"/>
        </w:rPr>
        <w:t>×10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25mCi</w:t>
      </w:r>
      <w:r w:rsidRPr="00B12FE0">
        <w:rPr>
          <w:color w:val="000000" w:themeColor="text1"/>
        </w:rPr>
        <w:t>）</w:t>
      </w:r>
      <w:r w:rsidRPr="00B12FE0">
        <w:rPr>
          <w:color w:val="000000" w:themeColor="text1"/>
          <w:vertAlign w:val="superscript"/>
        </w:rPr>
        <w:t>99m</w:t>
      </w:r>
      <w:r w:rsidRPr="00B12FE0">
        <w:rPr>
          <w:color w:val="000000" w:themeColor="text1"/>
        </w:rPr>
        <w:t>Tc</w:t>
      </w:r>
      <w:r w:rsidRPr="00B12FE0">
        <w:rPr>
          <w:color w:val="000000" w:themeColor="text1"/>
        </w:rPr>
        <w:t>的点源计算。</w:t>
      </w:r>
      <w:r w:rsidRPr="00B12FE0">
        <w:rPr>
          <w:color w:val="000000" w:themeColor="text1"/>
        </w:rPr>
        <w:t>SPECT</w:t>
      </w:r>
      <w:r w:rsidRPr="00B12FE0">
        <w:rPr>
          <w:color w:val="000000" w:themeColor="text1"/>
        </w:rPr>
        <w:t>注射后等候室按</w:t>
      </w:r>
      <w:r w:rsidRPr="00B12FE0">
        <w:rPr>
          <w:color w:val="000000" w:themeColor="text1"/>
        </w:rPr>
        <w:t>4</w:t>
      </w:r>
      <w:r w:rsidRPr="00B12FE0">
        <w:rPr>
          <w:color w:val="000000" w:themeColor="text1"/>
        </w:rPr>
        <w:t>个</w:t>
      </w:r>
      <w:r w:rsidRPr="00B12FE0">
        <w:rPr>
          <w:color w:val="000000" w:themeColor="text1"/>
          <w:vertAlign w:val="superscript"/>
        </w:rPr>
        <w:t>99m</w:t>
      </w:r>
      <w:r w:rsidRPr="00B12FE0">
        <w:rPr>
          <w:color w:val="000000" w:themeColor="text1"/>
        </w:rPr>
        <w:t>Tc</w:t>
      </w:r>
      <w:r w:rsidRPr="00B12FE0">
        <w:rPr>
          <w:color w:val="000000" w:themeColor="text1"/>
        </w:rPr>
        <w:t>扫描患者同时等待或观察，单个患者注射</w:t>
      </w:r>
      <w:r w:rsidRPr="00B12FE0">
        <w:rPr>
          <w:color w:val="000000" w:themeColor="text1"/>
          <w:vertAlign w:val="superscript"/>
        </w:rPr>
        <w:t>99m</w:t>
      </w:r>
      <w:r w:rsidRPr="00B12FE0">
        <w:rPr>
          <w:color w:val="000000" w:themeColor="text1"/>
        </w:rPr>
        <w:t>Tc</w:t>
      </w:r>
      <w:r w:rsidRPr="00B12FE0">
        <w:rPr>
          <w:color w:val="000000" w:themeColor="text1"/>
        </w:rPr>
        <w:t>为</w:t>
      </w:r>
      <w:r w:rsidRPr="00B12FE0">
        <w:rPr>
          <w:rFonts w:hint="eastAsia"/>
          <w:color w:val="000000" w:themeColor="text1"/>
        </w:rPr>
        <w:t>9.25</w:t>
      </w:r>
      <w:r w:rsidRPr="00B12FE0">
        <w:rPr>
          <w:color w:val="000000" w:themeColor="text1"/>
        </w:rPr>
        <w:t>×10</w:t>
      </w:r>
      <w:r w:rsidRPr="00B12FE0">
        <w:rPr>
          <w:color w:val="000000" w:themeColor="text1"/>
          <w:vertAlign w:val="superscript"/>
        </w:rPr>
        <w:t>8</w:t>
      </w:r>
      <w:r w:rsidRPr="00B12FE0">
        <w:rPr>
          <w:color w:val="000000" w:themeColor="text1"/>
        </w:rPr>
        <w:t>Bq</w:t>
      </w:r>
      <w:r w:rsidRPr="00B12FE0">
        <w:rPr>
          <w:color w:val="000000" w:themeColor="text1"/>
        </w:rPr>
        <w:t>，则</w:t>
      </w:r>
      <w:r w:rsidRPr="00B12FE0">
        <w:rPr>
          <w:rFonts w:hint="eastAsia"/>
          <w:color w:val="000000" w:themeColor="text1"/>
        </w:rPr>
        <w:t>SPECT</w:t>
      </w:r>
      <w:r w:rsidRPr="00B12FE0">
        <w:rPr>
          <w:rFonts w:hint="eastAsia"/>
          <w:bCs/>
          <w:color w:val="000000" w:themeColor="text1"/>
        </w:rPr>
        <w:t>/CT</w:t>
      </w:r>
      <w:r w:rsidRPr="00B12FE0">
        <w:rPr>
          <w:color w:val="000000" w:themeColor="text1"/>
        </w:rPr>
        <w:t>注射后等候室源强总活度为：</w:t>
      </w:r>
      <w:r w:rsidRPr="00B12FE0">
        <w:rPr>
          <w:color w:val="000000" w:themeColor="text1"/>
        </w:rPr>
        <w:t>3.7×10</w:t>
      </w:r>
      <w:r w:rsidRPr="00B12FE0">
        <w:rPr>
          <w:color w:val="000000" w:themeColor="text1"/>
          <w:vertAlign w:val="superscript"/>
        </w:rPr>
        <w:t>9</w:t>
      </w:r>
      <w:r w:rsidRPr="00B12FE0">
        <w:rPr>
          <w:color w:val="000000" w:themeColor="text1"/>
        </w:rPr>
        <w:t>Bq(</w:t>
      </w:r>
      <w:r w:rsidRPr="00B12FE0">
        <w:rPr>
          <w:rFonts w:hint="eastAsia"/>
          <w:color w:val="000000" w:themeColor="text1"/>
        </w:rPr>
        <w:t>1</w:t>
      </w:r>
      <w:r w:rsidRPr="00B12FE0">
        <w:rPr>
          <w:color w:val="000000" w:themeColor="text1"/>
        </w:rPr>
        <w:t>00</w:t>
      </w:r>
      <w:r w:rsidRPr="00B12FE0">
        <w:rPr>
          <w:rFonts w:hint="eastAsia"/>
          <w:color w:val="000000" w:themeColor="text1"/>
        </w:rPr>
        <w:t>mCi</w:t>
      </w:r>
      <w:r w:rsidRPr="00B12FE0">
        <w:rPr>
          <w:color w:val="000000" w:themeColor="text1"/>
        </w:rPr>
        <w:t>)</w:t>
      </w:r>
      <w:r w:rsidRPr="00B12FE0">
        <w:rPr>
          <w:color w:val="000000" w:themeColor="text1"/>
        </w:rPr>
        <w:t>。</w:t>
      </w:r>
    </w:p>
    <w:p w14:paraId="2021496B"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核素诊断场所</w:t>
      </w:r>
      <w:r w:rsidRPr="00B12FE0">
        <w:rPr>
          <w:color w:val="000000" w:themeColor="text1"/>
        </w:rPr>
        <w:t>拟设置</w:t>
      </w:r>
      <w:r w:rsidRPr="00B12FE0">
        <w:rPr>
          <w:color w:val="000000" w:themeColor="text1"/>
        </w:rPr>
        <w:t>1</w:t>
      </w:r>
      <w:r w:rsidRPr="00B12FE0">
        <w:rPr>
          <w:color w:val="000000" w:themeColor="text1"/>
        </w:rPr>
        <w:t>间</w:t>
      </w:r>
      <w:r w:rsidRPr="00B12FE0">
        <w:rPr>
          <w:rFonts w:hint="eastAsia"/>
          <w:bCs/>
          <w:color w:val="000000" w:themeColor="text1"/>
        </w:rPr>
        <w:t>留观室</w:t>
      </w:r>
      <w:r w:rsidRPr="00B12FE0">
        <w:rPr>
          <w:color w:val="000000" w:themeColor="text1"/>
        </w:rPr>
        <w:t>，</w:t>
      </w:r>
      <w:proofErr w:type="gramStart"/>
      <w:r w:rsidRPr="00B12FE0">
        <w:rPr>
          <w:rFonts w:hint="eastAsia"/>
          <w:bCs/>
          <w:color w:val="000000" w:themeColor="text1"/>
        </w:rPr>
        <w:t>留观室</w:t>
      </w:r>
      <w:r w:rsidRPr="00B12FE0">
        <w:rPr>
          <w:color w:val="000000" w:themeColor="text1"/>
        </w:rPr>
        <w:t>设置</w:t>
      </w:r>
      <w:proofErr w:type="gramEnd"/>
      <w:r w:rsidRPr="00B12FE0">
        <w:rPr>
          <w:rFonts w:hint="eastAsia"/>
          <w:color w:val="000000" w:themeColor="text1"/>
        </w:rPr>
        <w:t>2</w:t>
      </w:r>
      <w:r w:rsidRPr="00B12FE0">
        <w:rPr>
          <w:color w:val="000000" w:themeColor="text1"/>
        </w:rPr>
        <w:t>张</w:t>
      </w:r>
      <w:r w:rsidRPr="00B12FE0">
        <w:rPr>
          <w:rFonts w:hint="eastAsia"/>
          <w:color w:val="000000" w:themeColor="text1"/>
        </w:rPr>
        <w:t>候诊座位</w:t>
      </w:r>
      <w:r w:rsidRPr="00B12FE0">
        <w:rPr>
          <w:color w:val="000000" w:themeColor="text1"/>
        </w:rPr>
        <w:t>，</w:t>
      </w:r>
      <w:r w:rsidRPr="00B12FE0">
        <w:rPr>
          <w:rFonts w:hAnsi="宋体" w:hint="eastAsia"/>
          <w:bCs/>
          <w:color w:val="000000" w:themeColor="text1"/>
        </w:rPr>
        <w:t>座位</w:t>
      </w:r>
      <w:r w:rsidRPr="00B12FE0">
        <w:rPr>
          <w:color w:val="000000" w:themeColor="text1"/>
        </w:rPr>
        <w:t>均匀分布，设置防护屏风</w:t>
      </w:r>
      <w:r w:rsidRPr="00B12FE0">
        <w:rPr>
          <w:rFonts w:hint="eastAsia"/>
          <w:color w:val="000000" w:themeColor="text1"/>
        </w:rPr>
        <w:t>1</w:t>
      </w:r>
      <w:r w:rsidRPr="00B12FE0">
        <w:rPr>
          <w:color w:val="000000" w:themeColor="text1"/>
        </w:rPr>
        <w:t>个（</w:t>
      </w:r>
      <w:r w:rsidRPr="00B12FE0">
        <w:rPr>
          <w:color w:val="000000" w:themeColor="text1"/>
        </w:rPr>
        <w:t>4mm</w:t>
      </w:r>
      <w:r w:rsidRPr="00B12FE0">
        <w:rPr>
          <w:color w:val="000000" w:themeColor="text1"/>
        </w:rPr>
        <w:t>铅当量）</w:t>
      </w:r>
      <w:r w:rsidRPr="00B12FE0">
        <w:rPr>
          <w:rFonts w:hint="eastAsia"/>
          <w:color w:val="000000" w:themeColor="text1"/>
        </w:rPr>
        <w:t>，</w:t>
      </w:r>
      <w:r w:rsidRPr="00B12FE0">
        <w:rPr>
          <w:color w:val="000000" w:themeColor="text1"/>
        </w:rPr>
        <w:t>患者扫描后如有需要在</w:t>
      </w:r>
      <w:proofErr w:type="gramStart"/>
      <w:r w:rsidRPr="00B12FE0">
        <w:rPr>
          <w:rFonts w:hint="eastAsia"/>
          <w:bCs/>
          <w:color w:val="000000" w:themeColor="text1"/>
        </w:rPr>
        <w:t>留观室</w:t>
      </w:r>
      <w:r w:rsidRPr="00B12FE0">
        <w:rPr>
          <w:color w:val="000000" w:themeColor="text1"/>
        </w:rPr>
        <w:t>进行</w:t>
      </w:r>
      <w:proofErr w:type="gramEnd"/>
      <w:r w:rsidRPr="00B12FE0">
        <w:rPr>
          <w:color w:val="000000" w:themeColor="text1"/>
        </w:rPr>
        <w:t>观察。患者注射药物</w:t>
      </w:r>
      <w:r w:rsidRPr="00B12FE0">
        <w:rPr>
          <w:color w:val="000000" w:themeColor="text1"/>
          <w:vertAlign w:val="superscript"/>
        </w:rPr>
        <w:t>18</w:t>
      </w:r>
      <w:r w:rsidRPr="00B12FE0">
        <w:rPr>
          <w:color w:val="000000" w:themeColor="text1"/>
        </w:rPr>
        <w:t>F</w:t>
      </w:r>
      <w:r w:rsidRPr="00B12FE0">
        <w:rPr>
          <w:color w:val="000000" w:themeColor="text1"/>
        </w:rPr>
        <w:t>后经过一段时间的等待，药物活度已经小于</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10mCi</w:t>
      </w:r>
      <w:r w:rsidRPr="00B12FE0">
        <w:rPr>
          <w:color w:val="000000" w:themeColor="text1"/>
        </w:rPr>
        <w:t>），偏保守的角度仍按单个患者</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10mCi</w:t>
      </w:r>
      <w:r w:rsidRPr="00B12FE0">
        <w:rPr>
          <w:color w:val="000000" w:themeColor="text1"/>
        </w:rPr>
        <w:t>）的点源计算</w:t>
      </w:r>
      <w:r w:rsidRPr="00B12FE0">
        <w:rPr>
          <w:rFonts w:hint="eastAsia"/>
          <w:color w:val="000000" w:themeColor="text1"/>
        </w:rPr>
        <w:t>。</w:t>
      </w:r>
      <w:r w:rsidRPr="00B12FE0">
        <w:rPr>
          <w:color w:val="000000" w:themeColor="text1"/>
        </w:rPr>
        <w:t>患者注射药物</w:t>
      </w:r>
      <w:r w:rsidRPr="00B12FE0">
        <w:rPr>
          <w:color w:val="000000" w:themeColor="text1"/>
          <w:vertAlign w:val="superscript"/>
        </w:rPr>
        <w:t>99m</w:t>
      </w:r>
      <w:r w:rsidRPr="00B12FE0">
        <w:rPr>
          <w:color w:val="000000" w:themeColor="text1"/>
        </w:rPr>
        <w:t>Tc</w:t>
      </w:r>
      <w:r w:rsidRPr="00B12FE0">
        <w:rPr>
          <w:color w:val="000000" w:themeColor="text1"/>
        </w:rPr>
        <w:t>经过一段时间的等待，药物活度已经小于</w:t>
      </w:r>
      <w:r w:rsidRPr="00B12FE0">
        <w:rPr>
          <w:rFonts w:hint="eastAsia"/>
          <w:color w:val="000000" w:themeColor="text1"/>
        </w:rPr>
        <w:t>9.25</w:t>
      </w:r>
      <w:r w:rsidRPr="00B12FE0">
        <w:rPr>
          <w:color w:val="000000" w:themeColor="text1"/>
        </w:rPr>
        <w:t>×10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25mCi</w:t>
      </w:r>
      <w:r w:rsidRPr="00B12FE0">
        <w:rPr>
          <w:color w:val="000000" w:themeColor="text1"/>
        </w:rPr>
        <w:t>）</w:t>
      </w:r>
      <w:r w:rsidRPr="00B12FE0">
        <w:rPr>
          <w:rFonts w:hint="eastAsia"/>
          <w:color w:val="000000" w:themeColor="text1"/>
        </w:rPr>
        <w:t>，</w:t>
      </w:r>
      <w:r w:rsidRPr="00B12FE0">
        <w:rPr>
          <w:rFonts w:cs="宋体"/>
          <w:color w:val="000000" w:themeColor="text1"/>
        </w:rPr>
        <w:t>偏保守的角度仍按单个患者</w:t>
      </w:r>
      <w:r w:rsidRPr="00B12FE0">
        <w:rPr>
          <w:rFonts w:cs="宋体" w:hint="eastAsia"/>
          <w:color w:val="000000" w:themeColor="text1"/>
        </w:rPr>
        <w:t>9.25</w:t>
      </w:r>
      <w:r w:rsidRPr="00B12FE0">
        <w:rPr>
          <w:rFonts w:cs="宋体"/>
          <w:color w:val="000000" w:themeColor="text1"/>
        </w:rPr>
        <w:t>×10</w:t>
      </w:r>
      <w:r w:rsidRPr="00B12FE0">
        <w:rPr>
          <w:rFonts w:cs="宋体"/>
          <w:color w:val="000000" w:themeColor="text1"/>
          <w:vertAlign w:val="superscript"/>
        </w:rPr>
        <w:t>8</w:t>
      </w:r>
      <w:r w:rsidRPr="00B12FE0">
        <w:rPr>
          <w:rFonts w:cs="宋体"/>
          <w:color w:val="000000" w:themeColor="text1"/>
        </w:rPr>
        <w:t>Bq</w:t>
      </w:r>
      <w:r w:rsidRPr="00B12FE0">
        <w:rPr>
          <w:rFonts w:cs="宋体"/>
          <w:color w:val="000000" w:themeColor="text1"/>
        </w:rPr>
        <w:t>（</w:t>
      </w:r>
      <w:r w:rsidRPr="00B12FE0">
        <w:rPr>
          <w:rFonts w:cs="宋体" w:hint="eastAsia"/>
          <w:color w:val="000000" w:themeColor="text1"/>
        </w:rPr>
        <w:t>25mCi</w:t>
      </w:r>
      <w:r w:rsidRPr="00B12FE0">
        <w:rPr>
          <w:rFonts w:cs="宋体"/>
          <w:color w:val="000000" w:themeColor="text1"/>
        </w:rPr>
        <w:t>）的点源计算</w:t>
      </w:r>
      <w:r w:rsidRPr="00B12FE0">
        <w:rPr>
          <w:rFonts w:hint="eastAsia"/>
          <w:color w:val="000000" w:themeColor="text1"/>
        </w:rPr>
        <w:t>。本项目</w:t>
      </w:r>
      <w:r w:rsidRPr="00B12FE0">
        <w:rPr>
          <w:color w:val="000000" w:themeColor="text1"/>
        </w:rPr>
        <w:t>按</w:t>
      </w:r>
      <w:r w:rsidRPr="00B12FE0">
        <w:rPr>
          <w:rFonts w:hint="eastAsia"/>
          <w:color w:val="000000" w:themeColor="text1"/>
        </w:rPr>
        <w:t>1</w:t>
      </w:r>
      <w:r w:rsidRPr="00B12FE0">
        <w:rPr>
          <w:color w:val="000000" w:themeColor="text1"/>
        </w:rPr>
        <w:t>个</w:t>
      </w:r>
      <w:r w:rsidRPr="00B12FE0">
        <w:rPr>
          <w:rFonts w:cs="宋体" w:hint="eastAsia"/>
          <w:color w:val="000000" w:themeColor="text1"/>
          <w:vertAlign w:val="superscript"/>
        </w:rPr>
        <w:t>18</w:t>
      </w:r>
      <w:r w:rsidRPr="00B12FE0">
        <w:rPr>
          <w:rFonts w:cs="宋体" w:hint="eastAsia"/>
          <w:color w:val="000000" w:themeColor="text1"/>
        </w:rPr>
        <w:t>F</w:t>
      </w:r>
      <w:r w:rsidRPr="00B12FE0">
        <w:rPr>
          <w:rFonts w:cs="宋体"/>
          <w:color w:val="000000" w:themeColor="text1"/>
        </w:rPr>
        <w:t>扫描</w:t>
      </w:r>
      <w:r w:rsidRPr="00B12FE0">
        <w:rPr>
          <w:color w:val="000000" w:themeColor="text1"/>
        </w:rPr>
        <w:t>患者</w:t>
      </w:r>
      <w:r w:rsidRPr="00B12FE0">
        <w:rPr>
          <w:rFonts w:cs="宋体" w:hint="eastAsia"/>
          <w:color w:val="000000" w:themeColor="text1"/>
        </w:rPr>
        <w:t>和</w:t>
      </w:r>
      <w:r w:rsidRPr="00B12FE0">
        <w:rPr>
          <w:rFonts w:hint="eastAsia"/>
          <w:color w:val="000000" w:themeColor="text1"/>
        </w:rPr>
        <w:t>1</w:t>
      </w:r>
      <w:r w:rsidRPr="00B12FE0">
        <w:rPr>
          <w:rFonts w:hint="eastAsia"/>
          <w:color w:val="000000" w:themeColor="text1"/>
        </w:rPr>
        <w:t>个</w:t>
      </w:r>
      <w:r w:rsidRPr="00B12FE0">
        <w:rPr>
          <w:rFonts w:cs="宋体"/>
          <w:color w:val="000000" w:themeColor="text1"/>
          <w:vertAlign w:val="superscript"/>
        </w:rPr>
        <w:t>99m</w:t>
      </w:r>
      <w:r w:rsidRPr="00B12FE0">
        <w:rPr>
          <w:rFonts w:cs="宋体"/>
          <w:color w:val="000000" w:themeColor="text1"/>
        </w:rPr>
        <w:t>Tc</w:t>
      </w:r>
      <w:r w:rsidRPr="00B12FE0">
        <w:rPr>
          <w:rFonts w:cs="宋体" w:hint="eastAsia"/>
          <w:color w:val="000000" w:themeColor="text1"/>
        </w:rPr>
        <w:t>扫描</w:t>
      </w:r>
      <w:r w:rsidRPr="00B12FE0">
        <w:rPr>
          <w:rFonts w:cs="宋体"/>
          <w:color w:val="000000" w:themeColor="text1"/>
        </w:rPr>
        <w:t>患者</w:t>
      </w:r>
      <w:r w:rsidRPr="00B12FE0">
        <w:rPr>
          <w:rFonts w:hint="eastAsia"/>
          <w:color w:val="000000" w:themeColor="text1"/>
        </w:rPr>
        <w:t>考虑。</w:t>
      </w:r>
    </w:p>
    <w:p w14:paraId="380A4758"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8</w:t>
      </w:r>
      <w:r w:rsidRPr="00B12FE0">
        <w:rPr>
          <w:color w:val="000000" w:themeColor="text1"/>
        </w:rPr>
        <w:t>）</w:t>
      </w:r>
      <w:r w:rsidRPr="00B12FE0">
        <w:rPr>
          <w:rFonts w:hint="eastAsia"/>
          <w:color w:val="000000" w:themeColor="text1"/>
        </w:rPr>
        <w:t>甲亢留观室</w:t>
      </w:r>
    </w:p>
    <w:p w14:paraId="7D5FBAA8"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核素诊断场所</w:t>
      </w:r>
      <w:r w:rsidRPr="00B12FE0">
        <w:rPr>
          <w:color w:val="000000" w:themeColor="text1"/>
        </w:rPr>
        <w:t>拟设置</w:t>
      </w:r>
      <w:r w:rsidRPr="00B12FE0">
        <w:rPr>
          <w:color w:val="000000" w:themeColor="text1"/>
        </w:rPr>
        <w:t>1</w:t>
      </w:r>
      <w:r w:rsidRPr="00B12FE0">
        <w:rPr>
          <w:color w:val="000000" w:themeColor="text1"/>
        </w:rPr>
        <w:t>间</w:t>
      </w:r>
      <w:r w:rsidRPr="00B12FE0">
        <w:rPr>
          <w:rFonts w:hint="eastAsia"/>
          <w:color w:val="000000" w:themeColor="text1"/>
        </w:rPr>
        <w:t>甲亢</w:t>
      </w:r>
      <w:r w:rsidRPr="00B12FE0">
        <w:rPr>
          <w:rFonts w:hint="eastAsia"/>
          <w:bCs/>
          <w:color w:val="000000" w:themeColor="text1"/>
        </w:rPr>
        <w:t>留观室</w:t>
      </w:r>
      <w:r w:rsidRPr="00B12FE0">
        <w:rPr>
          <w:color w:val="000000" w:themeColor="text1"/>
        </w:rPr>
        <w:t>，</w:t>
      </w:r>
      <w:proofErr w:type="gramStart"/>
      <w:r w:rsidRPr="00B12FE0">
        <w:rPr>
          <w:rFonts w:hint="eastAsia"/>
          <w:bCs/>
          <w:color w:val="000000" w:themeColor="text1"/>
        </w:rPr>
        <w:t>留观室</w:t>
      </w:r>
      <w:r w:rsidRPr="00B12FE0">
        <w:rPr>
          <w:color w:val="000000" w:themeColor="text1"/>
        </w:rPr>
        <w:t>设置</w:t>
      </w:r>
      <w:proofErr w:type="gramEnd"/>
      <w:r w:rsidRPr="00B12FE0">
        <w:rPr>
          <w:rFonts w:hint="eastAsia"/>
          <w:color w:val="000000" w:themeColor="text1"/>
        </w:rPr>
        <w:t>2</w:t>
      </w:r>
      <w:r w:rsidRPr="00B12FE0">
        <w:rPr>
          <w:color w:val="000000" w:themeColor="text1"/>
        </w:rPr>
        <w:t>张</w:t>
      </w:r>
      <w:r w:rsidRPr="00B12FE0">
        <w:rPr>
          <w:rFonts w:hint="eastAsia"/>
          <w:color w:val="000000" w:themeColor="text1"/>
        </w:rPr>
        <w:t>候诊座位，</w:t>
      </w:r>
      <w:r w:rsidRPr="00B12FE0">
        <w:rPr>
          <w:color w:val="000000" w:themeColor="text1"/>
        </w:rPr>
        <w:t>采用</w:t>
      </w:r>
      <w:r w:rsidRPr="00B12FE0">
        <w:rPr>
          <w:color w:val="000000" w:themeColor="text1"/>
        </w:rPr>
        <w:t>4mmPb</w:t>
      </w:r>
      <w:r w:rsidRPr="00B12FE0">
        <w:rPr>
          <w:color w:val="000000" w:themeColor="text1"/>
        </w:rPr>
        <w:t>铅屏风隔开</w:t>
      </w:r>
      <w:r w:rsidRPr="00B12FE0">
        <w:rPr>
          <w:rFonts w:hint="eastAsia"/>
          <w:color w:val="000000" w:themeColor="text1"/>
        </w:rPr>
        <w:t>，</w:t>
      </w:r>
      <w:r w:rsidRPr="00B12FE0">
        <w:rPr>
          <w:color w:val="000000" w:themeColor="text1"/>
        </w:rPr>
        <w:t>患者</w:t>
      </w:r>
      <w:r w:rsidRPr="00B12FE0">
        <w:rPr>
          <w:rFonts w:hint="eastAsia"/>
          <w:color w:val="000000" w:themeColor="text1"/>
        </w:rPr>
        <w:t>服药</w:t>
      </w:r>
      <w:r w:rsidRPr="00B12FE0">
        <w:rPr>
          <w:color w:val="000000" w:themeColor="text1"/>
        </w:rPr>
        <w:t>需要在</w:t>
      </w:r>
      <w:proofErr w:type="gramStart"/>
      <w:r w:rsidRPr="00B12FE0">
        <w:rPr>
          <w:rFonts w:hint="eastAsia"/>
          <w:bCs/>
          <w:color w:val="000000" w:themeColor="text1"/>
        </w:rPr>
        <w:t>留观室</w:t>
      </w:r>
      <w:r w:rsidRPr="00B12FE0">
        <w:rPr>
          <w:color w:val="000000" w:themeColor="text1"/>
        </w:rPr>
        <w:t>进行</w:t>
      </w:r>
      <w:proofErr w:type="gramEnd"/>
      <w:r w:rsidRPr="00B12FE0">
        <w:rPr>
          <w:color w:val="000000" w:themeColor="text1"/>
        </w:rPr>
        <w:t>观察。患者</w:t>
      </w:r>
      <w:r w:rsidRPr="00B12FE0">
        <w:rPr>
          <w:rFonts w:hint="eastAsia"/>
          <w:color w:val="000000" w:themeColor="text1"/>
        </w:rPr>
        <w:t>口服</w:t>
      </w:r>
      <w:r w:rsidRPr="00B12FE0">
        <w:rPr>
          <w:rFonts w:hint="eastAsia"/>
          <w:color w:val="000000" w:themeColor="text1"/>
          <w:vertAlign w:val="superscript"/>
        </w:rPr>
        <w:t>131</w:t>
      </w:r>
      <w:r w:rsidRPr="00B12FE0">
        <w:rPr>
          <w:rFonts w:hint="eastAsia"/>
          <w:color w:val="000000" w:themeColor="text1"/>
        </w:rPr>
        <w:t>I</w:t>
      </w:r>
      <w:r w:rsidRPr="00B12FE0">
        <w:rPr>
          <w:color w:val="000000" w:themeColor="text1"/>
        </w:rPr>
        <w:t>后经过一段时间的等待，药物活度已经小于</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10mCi</w:t>
      </w:r>
      <w:r w:rsidRPr="00B12FE0">
        <w:rPr>
          <w:color w:val="000000" w:themeColor="text1"/>
        </w:rPr>
        <w:t>），偏保守的角度仍按单个患者</w:t>
      </w:r>
      <w:r w:rsidRPr="00B12FE0">
        <w:rPr>
          <w:color w:val="000000" w:themeColor="text1"/>
        </w:rPr>
        <w:t>3.7×10</w:t>
      </w:r>
      <w:r w:rsidRPr="00B12FE0">
        <w:rPr>
          <w:color w:val="000000" w:themeColor="text1"/>
          <w:vertAlign w:val="superscript"/>
        </w:rPr>
        <w:t>8</w:t>
      </w:r>
      <w:r w:rsidRPr="00B12FE0">
        <w:rPr>
          <w:color w:val="000000" w:themeColor="text1"/>
        </w:rPr>
        <w:t>Bq</w:t>
      </w:r>
      <w:r w:rsidRPr="00B12FE0">
        <w:rPr>
          <w:color w:val="000000" w:themeColor="text1"/>
        </w:rPr>
        <w:t>（</w:t>
      </w:r>
      <w:r w:rsidRPr="00B12FE0">
        <w:rPr>
          <w:rFonts w:hint="eastAsia"/>
          <w:color w:val="000000" w:themeColor="text1"/>
        </w:rPr>
        <w:t>10mCi</w:t>
      </w:r>
      <w:r w:rsidRPr="00B12FE0">
        <w:rPr>
          <w:color w:val="000000" w:themeColor="text1"/>
        </w:rPr>
        <w:t>）的点源计算。本项目按</w:t>
      </w:r>
      <w:r w:rsidRPr="00B12FE0">
        <w:rPr>
          <w:color w:val="000000" w:themeColor="text1"/>
        </w:rPr>
        <w:t>2</w:t>
      </w:r>
      <w:r w:rsidRPr="00B12FE0">
        <w:rPr>
          <w:color w:val="000000" w:themeColor="text1"/>
        </w:rPr>
        <w:t>个</w:t>
      </w:r>
      <w:r w:rsidRPr="00B12FE0">
        <w:rPr>
          <w:rFonts w:hint="eastAsia"/>
          <w:color w:val="000000" w:themeColor="text1"/>
        </w:rPr>
        <w:t>甲亢</w:t>
      </w:r>
      <w:r w:rsidRPr="00B12FE0">
        <w:rPr>
          <w:color w:val="000000" w:themeColor="text1"/>
        </w:rPr>
        <w:t>患者考虑。</w:t>
      </w:r>
    </w:p>
    <w:p w14:paraId="5C88A801" w14:textId="77777777" w:rsidR="00A67F21" w:rsidRPr="00B12FE0" w:rsidRDefault="00000000">
      <w:pPr>
        <w:topLinePunct/>
        <w:autoSpaceDE w:val="0"/>
        <w:spacing w:line="360" w:lineRule="auto"/>
        <w:ind w:firstLineChars="200" w:firstLine="480"/>
        <w:rPr>
          <w:color w:val="000000" w:themeColor="text1"/>
        </w:rPr>
      </w:pPr>
      <w:r w:rsidRPr="00B12FE0">
        <w:rPr>
          <w:color w:val="000000" w:themeColor="text1"/>
        </w:rPr>
        <w:t>9</w:t>
      </w:r>
      <w:r w:rsidRPr="00B12FE0">
        <w:rPr>
          <w:color w:val="000000" w:themeColor="text1"/>
        </w:rPr>
        <w:t>）机房摆位人员</w:t>
      </w:r>
    </w:p>
    <w:p w14:paraId="01A21AA4"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本项目摆位是在控制室内通过语音指导摆位，必要时进入机房内进行摆位。</w:t>
      </w:r>
      <w:r w:rsidRPr="00B12FE0">
        <w:rPr>
          <w:color w:val="000000" w:themeColor="text1"/>
        </w:rPr>
        <w:t>摆</w:t>
      </w:r>
      <w:proofErr w:type="gramStart"/>
      <w:r w:rsidRPr="00B12FE0">
        <w:rPr>
          <w:color w:val="000000" w:themeColor="text1"/>
        </w:rPr>
        <w:t>位过程</w:t>
      </w:r>
      <w:proofErr w:type="gramEnd"/>
      <w:r w:rsidRPr="00B12FE0">
        <w:rPr>
          <w:color w:val="000000" w:themeColor="text1"/>
        </w:rPr>
        <w:t>工作人员穿着</w:t>
      </w:r>
      <w:r w:rsidRPr="00B12FE0">
        <w:rPr>
          <w:color w:val="000000" w:themeColor="text1"/>
        </w:rPr>
        <w:t>0.5mmPb</w:t>
      </w:r>
      <w:r w:rsidRPr="00B12FE0">
        <w:rPr>
          <w:color w:val="000000" w:themeColor="text1"/>
        </w:rPr>
        <w:t>当量的铅橡胶围裙，在防护屏风（</w:t>
      </w:r>
      <w:r w:rsidRPr="00B12FE0">
        <w:rPr>
          <w:rFonts w:hint="eastAsia"/>
          <w:color w:val="000000" w:themeColor="text1"/>
        </w:rPr>
        <w:t>PET/CT</w:t>
      </w:r>
      <w:r w:rsidRPr="00B12FE0">
        <w:rPr>
          <w:rFonts w:hint="eastAsia"/>
          <w:color w:val="000000" w:themeColor="text1"/>
        </w:rPr>
        <w:t>机房</w:t>
      </w:r>
      <w:r w:rsidRPr="00B12FE0">
        <w:rPr>
          <w:color w:val="000000" w:themeColor="text1"/>
        </w:rPr>
        <w:t>为</w:t>
      </w:r>
      <w:r w:rsidRPr="00B12FE0">
        <w:rPr>
          <w:color w:val="000000" w:themeColor="text1"/>
        </w:rPr>
        <w:t>10mm</w:t>
      </w:r>
      <w:r w:rsidRPr="00B12FE0">
        <w:rPr>
          <w:color w:val="000000" w:themeColor="text1"/>
        </w:rPr>
        <w:t>铅当量，</w:t>
      </w:r>
      <w:r w:rsidRPr="00B12FE0">
        <w:rPr>
          <w:color w:val="000000" w:themeColor="text1"/>
        </w:rPr>
        <w:t>SPECT/CT</w:t>
      </w:r>
      <w:r w:rsidRPr="00B12FE0">
        <w:rPr>
          <w:color w:val="000000" w:themeColor="text1"/>
        </w:rPr>
        <w:t>机房</w:t>
      </w:r>
      <w:r w:rsidRPr="00B12FE0">
        <w:rPr>
          <w:color w:val="000000" w:themeColor="text1"/>
        </w:rPr>
        <w:t>4mm</w:t>
      </w:r>
      <w:r w:rsidRPr="00B12FE0">
        <w:rPr>
          <w:color w:val="000000" w:themeColor="text1"/>
        </w:rPr>
        <w:t>铅当量）后进行摆位工作，按身体距离患者约</w:t>
      </w:r>
      <w:r w:rsidRPr="00B12FE0">
        <w:rPr>
          <w:color w:val="000000" w:themeColor="text1"/>
        </w:rPr>
        <w:t>0.5m</w:t>
      </w:r>
      <w:r w:rsidRPr="00B12FE0">
        <w:rPr>
          <w:color w:val="000000" w:themeColor="text1"/>
        </w:rPr>
        <w:t>进行估算。</w:t>
      </w:r>
    </w:p>
    <w:p w14:paraId="42E4A4C0" w14:textId="77777777" w:rsidR="00A67F21" w:rsidRPr="00B12FE0" w:rsidRDefault="00000000">
      <w:pPr>
        <w:snapToGrid w:val="0"/>
        <w:spacing w:line="360" w:lineRule="auto"/>
        <w:ind w:firstLineChars="200" w:firstLine="480"/>
        <w:contextualSpacing/>
        <w:rPr>
          <w:color w:val="000000" w:themeColor="text1"/>
          <w:szCs w:val="24"/>
        </w:rPr>
      </w:pPr>
      <w:r w:rsidRPr="00B12FE0">
        <w:rPr>
          <w:rFonts w:ascii="宋体" w:hAnsi="宋体"/>
          <w:color w:val="000000" w:themeColor="text1"/>
          <w:szCs w:val="24"/>
        </w:rPr>
        <w:t>根据式</w:t>
      </w:r>
      <w:r w:rsidRPr="00B12FE0">
        <w:rPr>
          <w:color w:val="000000" w:themeColor="text1"/>
          <w:szCs w:val="24"/>
        </w:rPr>
        <w:t>11.2.1.1-2</w:t>
      </w:r>
      <w:r w:rsidRPr="00B12FE0">
        <w:rPr>
          <w:rFonts w:ascii="宋体" w:hAnsi="宋体"/>
          <w:color w:val="000000" w:themeColor="text1"/>
          <w:szCs w:val="24"/>
        </w:rPr>
        <w:t>，拟建核医学科核素</w:t>
      </w:r>
      <w:r w:rsidRPr="00B12FE0">
        <w:rPr>
          <w:rFonts w:ascii="宋体" w:hAnsi="宋体" w:hint="eastAsia"/>
          <w:color w:val="000000" w:themeColor="text1"/>
          <w:szCs w:val="24"/>
        </w:rPr>
        <w:t>诊断</w:t>
      </w:r>
      <w:r w:rsidRPr="00B12FE0">
        <w:rPr>
          <w:rFonts w:ascii="宋体" w:hAnsi="宋体"/>
          <w:color w:val="000000" w:themeColor="text1"/>
          <w:szCs w:val="24"/>
        </w:rPr>
        <w:t>场所辐射剂量率计算结果见表</w:t>
      </w:r>
      <w:r w:rsidRPr="00B12FE0">
        <w:rPr>
          <w:color w:val="000000" w:themeColor="text1"/>
          <w:szCs w:val="24"/>
        </w:rPr>
        <w:t>11.2.1.2-</w:t>
      </w:r>
      <w:r w:rsidRPr="00B12FE0">
        <w:rPr>
          <w:rFonts w:hint="eastAsia"/>
          <w:color w:val="000000" w:themeColor="text1"/>
          <w:szCs w:val="24"/>
        </w:rPr>
        <w:t>10</w:t>
      </w:r>
      <w:r w:rsidRPr="00B12FE0">
        <w:rPr>
          <w:rFonts w:ascii="宋体" w:hAnsi="宋体"/>
          <w:color w:val="000000" w:themeColor="text1"/>
          <w:szCs w:val="24"/>
        </w:rPr>
        <w:t>，</w:t>
      </w:r>
      <w:r w:rsidRPr="00B12FE0">
        <w:rPr>
          <w:color w:val="000000" w:themeColor="text1"/>
          <w:szCs w:val="24"/>
        </w:rPr>
        <w:t>关注点位置见附图</w:t>
      </w:r>
      <w:r w:rsidRPr="00B12FE0">
        <w:rPr>
          <w:color w:val="000000" w:themeColor="text1"/>
          <w:szCs w:val="24"/>
        </w:rPr>
        <w:t>11-2</w:t>
      </w:r>
      <w:r w:rsidRPr="00B12FE0">
        <w:rPr>
          <w:rFonts w:ascii="宋体" w:hAnsi="宋体"/>
          <w:color w:val="000000" w:themeColor="text1"/>
          <w:szCs w:val="24"/>
        </w:rPr>
        <w:t>。</w:t>
      </w:r>
    </w:p>
    <w:p w14:paraId="589122CE" w14:textId="77777777" w:rsidR="00A67F21" w:rsidRPr="00B12FE0" w:rsidRDefault="00000000">
      <w:pPr>
        <w:adjustRightInd w:val="0"/>
        <w:snapToGrid w:val="0"/>
        <w:spacing w:line="360" w:lineRule="auto"/>
        <w:jc w:val="center"/>
        <w:rPr>
          <w:b/>
          <w:color w:val="000000" w:themeColor="text1"/>
          <w:sz w:val="21"/>
          <w:szCs w:val="21"/>
        </w:rPr>
      </w:pPr>
      <w:r w:rsidRPr="00B12FE0">
        <w:rPr>
          <w:rFonts w:ascii="宋体" w:hAnsi="宋体"/>
          <w:b/>
          <w:color w:val="000000" w:themeColor="text1"/>
          <w:sz w:val="21"/>
          <w:szCs w:val="21"/>
        </w:rPr>
        <w:t>表</w:t>
      </w:r>
      <w:r w:rsidRPr="00B12FE0">
        <w:rPr>
          <w:b/>
          <w:color w:val="000000" w:themeColor="text1"/>
          <w:sz w:val="21"/>
          <w:szCs w:val="21"/>
        </w:rPr>
        <w:t>11.2.1.2-</w:t>
      </w:r>
      <w:r w:rsidRPr="00B12FE0">
        <w:rPr>
          <w:rFonts w:hint="eastAsia"/>
          <w:b/>
          <w:color w:val="000000" w:themeColor="text1"/>
          <w:sz w:val="21"/>
          <w:szCs w:val="21"/>
        </w:rPr>
        <w:t>10</w:t>
      </w:r>
      <w:r w:rsidRPr="00B12FE0">
        <w:rPr>
          <w:b/>
          <w:color w:val="000000" w:themeColor="text1"/>
          <w:sz w:val="21"/>
          <w:szCs w:val="21"/>
        </w:rPr>
        <w:t xml:space="preserve">  </w:t>
      </w:r>
      <w:r w:rsidRPr="00B12FE0">
        <w:rPr>
          <w:rFonts w:ascii="宋体" w:hAnsi="宋体"/>
          <w:b/>
          <w:color w:val="000000" w:themeColor="text1"/>
          <w:sz w:val="21"/>
          <w:szCs w:val="21"/>
        </w:rPr>
        <w:t>核医学科核素诊断场所辐射剂量率计算结果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18"/>
        <w:gridCol w:w="861"/>
        <w:gridCol w:w="912"/>
        <w:gridCol w:w="1624"/>
        <w:gridCol w:w="1481"/>
        <w:gridCol w:w="1115"/>
        <w:gridCol w:w="50"/>
        <w:gridCol w:w="1065"/>
        <w:gridCol w:w="222"/>
      </w:tblGrid>
      <w:tr w:rsidR="00A67F21" w:rsidRPr="00B12FE0" w14:paraId="48F76A86" w14:textId="77777777">
        <w:trPr>
          <w:gridAfter w:val="1"/>
          <w:trHeight w:val="340"/>
          <w:jc w:val="center"/>
        </w:trPr>
        <w:tc>
          <w:tcPr>
            <w:tcW w:w="569" w:type="dxa"/>
            <w:tcBorders>
              <w:top w:val="single" w:sz="4" w:space="0" w:color="auto"/>
              <w:left w:val="single" w:sz="4" w:space="0" w:color="auto"/>
              <w:bottom w:val="single" w:sz="4" w:space="0" w:color="auto"/>
              <w:right w:val="single" w:sz="4" w:space="0" w:color="auto"/>
            </w:tcBorders>
            <w:vAlign w:val="center"/>
          </w:tcPr>
          <w:p w14:paraId="52F121F6"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序号</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07B0AE24"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位置</w:t>
            </w:r>
          </w:p>
        </w:tc>
        <w:tc>
          <w:tcPr>
            <w:tcW w:w="912" w:type="dxa"/>
            <w:tcBorders>
              <w:top w:val="single" w:sz="4" w:space="0" w:color="auto"/>
              <w:left w:val="single" w:sz="4" w:space="0" w:color="auto"/>
              <w:bottom w:val="single" w:sz="4" w:space="0" w:color="auto"/>
              <w:right w:val="single" w:sz="4" w:space="0" w:color="auto"/>
            </w:tcBorders>
            <w:vAlign w:val="center"/>
          </w:tcPr>
          <w:p w14:paraId="20155167"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距离（</w:t>
            </w:r>
            <w:r w:rsidRPr="00B12FE0">
              <w:rPr>
                <w:color w:val="000000" w:themeColor="text1"/>
                <w:kern w:val="0"/>
                <w:sz w:val="18"/>
                <w:szCs w:val="18"/>
              </w:rPr>
              <w:t>m</w:t>
            </w:r>
            <w:r w:rsidRPr="00B12FE0">
              <w:rPr>
                <w:color w:val="000000" w:themeColor="text1"/>
                <w:kern w:val="0"/>
                <w:sz w:val="18"/>
                <w:szCs w:val="18"/>
              </w:rPr>
              <w:t>）</w:t>
            </w:r>
          </w:p>
        </w:tc>
        <w:tc>
          <w:tcPr>
            <w:tcW w:w="1624" w:type="dxa"/>
            <w:tcBorders>
              <w:top w:val="single" w:sz="4" w:space="0" w:color="auto"/>
              <w:left w:val="single" w:sz="4" w:space="0" w:color="auto"/>
              <w:bottom w:val="single" w:sz="4" w:space="0" w:color="auto"/>
              <w:right w:val="single" w:sz="4" w:space="0" w:color="auto"/>
            </w:tcBorders>
            <w:vAlign w:val="center"/>
          </w:tcPr>
          <w:p w14:paraId="6CE0AA57"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源强（</w:t>
            </w:r>
            <w:r w:rsidRPr="00B12FE0">
              <w:rPr>
                <w:color w:val="000000" w:themeColor="text1"/>
                <w:kern w:val="0"/>
                <w:sz w:val="18"/>
                <w:szCs w:val="18"/>
              </w:rPr>
              <w:t>Bq</w:t>
            </w:r>
            <w:r w:rsidRPr="00B12FE0">
              <w:rPr>
                <w:color w:val="000000" w:themeColor="text1"/>
                <w:kern w:val="0"/>
                <w:sz w:val="18"/>
                <w:szCs w:val="18"/>
              </w:rPr>
              <w:t>）</w:t>
            </w:r>
          </w:p>
        </w:tc>
        <w:tc>
          <w:tcPr>
            <w:tcW w:w="1481" w:type="dxa"/>
            <w:tcBorders>
              <w:top w:val="single" w:sz="4" w:space="0" w:color="auto"/>
              <w:left w:val="single" w:sz="4" w:space="0" w:color="auto"/>
              <w:bottom w:val="single" w:sz="4" w:space="0" w:color="auto"/>
              <w:right w:val="single" w:sz="4" w:space="0" w:color="auto"/>
            </w:tcBorders>
            <w:vAlign w:val="center"/>
          </w:tcPr>
          <w:p w14:paraId="01F3C837"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屏蔽厚度</w:t>
            </w:r>
          </w:p>
        </w:tc>
        <w:tc>
          <w:tcPr>
            <w:tcW w:w="2230" w:type="dxa"/>
            <w:gridSpan w:val="3"/>
            <w:tcBorders>
              <w:top w:val="single" w:sz="4" w:space="0" w:color="auto"/>
              <w:left w:val="single" w:sz="4" w:space="0" w:color="auto"/>
              <w:bottom w:val="single" w:sz="4" w:space="0" w:color="auto"/>
              <w:right w:val="single" w:sz="4" w:space="0" w:color="auto"/>
            </w:tcBorders>
            <w:vAlign w:val="center"/>
          </w:tcPr>
          <w:p w14:paraId="00549C28"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辐射剂量率（</w:t>
            </w:r>
            <w:proofErr w:type="spellStart"/>
            <w:r w:rsidRPr="00B12FE0">
              <w:rPr>
                <w:color w:val="000000" w:themeColor="text1"/>
                <w:kern w:val="0"/>
                <w:sz w:val="18"/>
                <w:szCs w:val="18"/>
              </w:rPr>
              <w:t>μSv</w:t>
            </w:r>
            <w:proofErr w:type="spellEnd"/>
            <w:r w:rsidRPr="00B12FE0">
              <w:rPr>
                <w:color w:val="000000" w:themeColor="text1"/>
                <w:kern w:val="0"/>
                <w:sz w:val="18"/>
                <w:szCs w:val="18"/>
              </w:rPr>
              <w:t>/h</w:t>
            </w:r>
            <w:r w:rsidRPr="00B12FE0">
              <w:rPr>
                <w:color w:val="000000" w:themeColor="text1"/>
                <w:kern w:val="0"/>
                <w:sz w:val="18"/>
                <w:szCs w:val="18"/>
              </w:rPr>
              <w:t>）</w:t>
            </w:r>
          </w:p>
        </w:tc>
      </w:tr>
      <w:tr w:rsidR="00A67F21" w:rsidRPr="00B12FE0" w14:paraId="0BC705FC" w14:textId="77777777">
        <w:trPr>
          <w:gridAfter w:val="1"/>
          <w:trHeight w:val="340"/>
          <w:jc w:val="center"/>
        </w:trPr>
        <w:tc>
          <w:tcPr>
            <w:tcW w:w="569" w:type="dxa"/>
            <w:tcBorders>
              <w:top w:val="single" w:sz="4" w:space="0" w:color="auto"/>
              <w:left w:val="single" w:sz="4" w:space="0" w:color="auto"/>
              <w:right w:val="single" w:sz="4" w:space="0" w:color="auto"/>
            </w:tcBorders>
            <w:vAlign w:val="center"/>
          </w:tcPr>
          <w:p w14:paraId="56BE65C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w:t>
            </w:r>
          </w:p>
        </w:tc>
        <w:tc>
          <w:tcPr>
            <w:tcW w:w="1118" w:type="dxa"/>
            <w:vMerge w:val="restart"/>
            <w:tcBorders>
              <w:top w:val="single" w:sz="4" w:space="0" w:color="auto"/>
              <w:left w:val="single" w:sz="4" w:space="0" w:color="auto"/>
              <w:right w:val="single" w:sz="4" w:space="0" w:color="auto"/>
            </w:tcBorders>
            <w:vAlign w:val="center"/>
          </w:tcPr>
          <w:p w14:paraId="61542BDB" w14:textId="77777777" w:rsidR="00A67F21" w:rsidRPr="00B12FE0" w:rsidRDefault="00000000">
            <w:pPr>
              <w:widowControl/>
              <w:adjustRightInd w:val="0"/>
              <w:snapToGrid w:val="0"/>
              <w:jc w:val="center"/>
              <w:rPr>
                <w:color w:val="000000" w:themeColor="text1"/>
                <w:kern w:val="0"/>
                <w:sz w:val="18"/>
                <w:szCs w:val="18"/>
              </w:rPr>
            </w:pPr>
            <w:proofErr w:type="gramStart"/>
            <w:r w:rsidRPr="00B12FE0">
              <w:rPr>
                <w:color w:val="000000" w:themeColor="text1"/>
                <w:sz w:val="18"/>
                <w:szCs w:val="18"/>
              </w:rPr>
              <w:t>高活室</w:t>
            </w:r>
            <w:proofErr w:type="gramEnd"/>
          </w:p>
        </w:tc>
        <w:tc>
          <w:tcPr>
            <w:tcW w:w="861" w:type="dxa"/>
            <w:tcBorders>
              <w:top w:val="single" w:sz="4" w:space="0" w:color="auto"/>
              <w:left w:val="single" w:sz="4" w:space="0" w:color="auto"/>
              <w:right w:val="single" w:sz="4" w:space="0" w:color="auto"/>
            </w:tcBorders>
            <w:vAlign w:val="center"/>
          </w:tcPr>
          <w:p w14:paraId="75236E36"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PET</w:t>
            </w:r>
            <w:r w:rsidRPr="00B12FE0">
              <w:rPr>
                <w:color w:val="000000" w:themeColor="text1"/>
                <w:sz w:val="18"/>
                <w:szCs w:val="18"/>
              </w:rPr>
              <w:t>手套箱</w:t>
            </w:r>
            <w:r w:rsidRPr="00B12FE0">
              <w:rPr>
                <w:rFonts w:hint="eastAsia"/>
                <w:color w:val="000000" w:themeColor="text1"/>
                <w:sz w:val="18"/>
                <w:szCs w:val="18"/>
              </w:rPr>
              <w:t>表面外</w:t>
            </w:r>
          </w:p>
          <w:p w14:paraId="6B47FEE8" w14:textId="77777777" w:rsidR="00A67F21" w:rsidRPr="00B12FE0" w:rsidRDefault="00000000">
            <w:pPr>
              <w:topLinePunct/>
              <w:autoSpaceDE w:val="0"/>
              <w:jc w:val="center"/>
              <w:rPr>
                <w:color w:val="000000" w:themeColor="text1"/>
                <w:kern w:val="0"/>
                <w:sz w:val="18"/>
                <w:szCs w:val="18"/>
              </w:rPr>
            </w:pPr>
            <w:r w:rsidRPr="00B12FE0">
              <w:rPr>
                <w:rFonts w:hint="eastAsia"/>
                <w:color w:val="000000" w:themeColor="text1"/>
                <w:sz w:val="18"/>
                <w:szCs w:val="18"/>
              </w:rPr>
              <w:t>30cm</w:t>
            </w:r>
            <w:r w:rsidRPr="00B12FE0">
              <w:rPr>
                <w:rFonts w:hint="eastAsia"/>
                <w:color w:val="000000" w:themeColor="text1"/>
                <w:sz w:val="18"/>
                <w:szCs w:val="18"/>
              </w:rPr>
              <w:t>处</w:t>
            </w:r>
          </w:p>
        </w:tc>
        <w:tc>
          <w:tcPr>
            <w:tcW w:w="912" w:type="dxa"/>
            <w:tcBorders>
              <w:top w:val="single" w:sz="4" w:space="0" w:color="auto"/>
              <w:left w:val="single" w:sz="4" w:space="0" w:color="auto"/>
              <w:right w:val="single" w:sz="4" w:space="0" w:color="auto"/>
            </w:tcBorders>
            <w:vAlign w:val="center"/>
          </w:tcPr>
          <w:p w14:paraId="440AFCB2"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748D2096" w14:textId="77777777" w:rsidR="00A67F21" w:rsidRPr="00B12FE0" w:rsidRDefault="00000000">
            <w:pPr>
              <w:topLinePunct/>
              <w:autoSpaceDE w:val="0"/>
              <w:spacing w:line="280" w:lineRule="exact"/>
              <w:jc w:val="center"/>
              <w:rPr>
                <w:color w:val="000000" w:themeColor="text1"/>
                <w:sz w:val="18"/>
                <w:szCs w:val="18"/>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2.22</w:t>
            </w:r>
            <w:r w:rsidRPr="00B12FE0">
              <w:rPr>
                <w:color w:val="000000" w:themeColor="text1"/>
                <w:sz w:val="18"/>
                <w:szCs w:val="18"/>
              </w:rPr>
              <w:t>×10</w:t>
            </w:r>
            <w:r w:rsidRPr="00B12FE0">
              <w:rPr>
                <w:color w:val="000000" w:themeColor="text1"/>
                <w:sz w:val="18"/>
                <w:szCs w:val="18"/>
                <w:vertAlign w:val="superscript"/>
              </w:rPr>
              <w:t>10</w:t>
            </w:r>
          </w:p>
        </w:tc>
        <w:tc>
          <w:tcPr>
            <w:tcW w:w="1481" w:type="dxa"/>
            <w:tcBorders>
              <w:top w:val="single" w:sz="4" w:space="0" w:color="auto"/>
              <w:left w:val="single" w:sz="4" w:space="0" w:color="auto"/>
              <w:right w:val="single" w:sz="4" w:space="0" w:color="auto"/>
            </w:tcBorders>
            <w:vAlign w:val="center"/>
          </w:tcPr>
          <w:p w14:paraId="65281838"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50mmPb</w:t>
            </w:r>
            <w:proofErr w:type="gramStart"/>
            <w:r w:rsidRPr="00B12FE0">
              <w:rPr>
                <w:color w:val="000000" w:themeColor="text1"/>
                <w:sz w:val="18"/>
                <w:szCs w:val="18"/>
              </w:rPr>
              <w:t>铅罐</w:t>
            </w:r>
            <w:proofErr w:type="gramEnd"/>
            <w:r w:rsidRPr="00B12FE0">
              <w:rPr>
                <w:color w:val="000000" w:themeColor="text1"/>
                <w:sz w:val="18"/>
                <w:szCs w:val="18"/>
              </w:rPr>
              <w:t>+40mmPb</w:t>
            </w:r>
            <w:r w:rsidRPr="00B12FE0">
              <w:rPr>
                <w:color w:val="000000" w:themeColor="text1"/>
                <w:sz w:val="18"/>
                <w:szCs w:val="18"/>
              </w:rPr>
              <w:t>手套箱</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E3614C1" w14:textId="77777777" w:rsidR="00A67F21" w:rsidRPr="00B12FE0" w:rsidRDefault="00000000">
            <w:pPr>
              <w:widowControl/>
              <w:adjustRightInd w:val="0"/>
              <w:snapToGrid w:val="0"/>
              <w:jc w:val="center"/>
              <w:rPr>
                <w:color w:val="000000" w:themeColor="text1"/>
                <w:kern w:val="0"/>
                <w:sz w:val="18"/>
                <w:szCs w:val="18"/>
              </w:rPr>
            </w:pPr>
            <w:r w:rsidRPr="00B12FE0">
              <w:rPr>
                <w:rFonts w:eastAsia="等线" w:hint="eastAsia"/>
                <w:color w:val="000000" w:themeColor="text1"/>
                <w:sz w:val="18"/>
                <w:szCs w:val="18"/>
              </w:rPr>
              <w:t>4.81</w:t>
            </w:r>
            <w:r w:rsidRPr="00B12FE0">
              <w:rPr>
                <w:rFonts w:eastAsia="等线"/>
                <w:color w:val="000000" w:themeColor="text1"/>
                <w:sz w:val="18"/>
                <w:szCs w:val="18"/>
              </w:rPr>
              <w:t>E-02</w:t>
            </w:r>
          </w:p>
        </w:tc>
      </w:tr>
      <w:tr w:rsidR="00A67F21" w:rsidRPr="00B12FE0" w14:paraId="56F78E97" w14:textId="77777777">
        <w:trPr>
          <w:gridAfter w:val="1"/>
          <w:trHeight w:val="340"/>
          <w:jc w:val="center"/>
        </w:trPr>
        <w:tc>
          <w:tcPr>
            <w:tcW w:w="569" w:type="dxa"/>
            <w:vMerge w:val="restart"/>
            <w:tcBorders>
              <w:top w:val="single" w:sz="4" w:space="0" w:color="auto"/>
              <w:left w:val="single" w:sz="4" w:space="0" w:color="auto"/>
              <w:right w:val="single" w:sz="4" w:space="0" w:color="auto"/>
            </w:tcBorders>
            <w:vAlign w:val="center"/>
          </w:tcPr>
          <w:p w14:paraId="6D3D4E2A" w14:textId="77777777" w:rsidR="00A67F21" w:rsidRPr="00B12FE0" w:rsidRDefault="00000000">
            <w:pPr>
              <w:adjustRightInd w:val="0"/>
              <w:snapToGrid w:val="0"/>
              <w:jc w:val="center"/>
              <w:rPr>
                <w:color w:val="000000" w:themeColor="text1"/>
                <w:kern w:val="0"/>
                <w:sz w:val="18"/>
                <w:szCs w:val="18"/>
              </w:rPr>
            </w:pPr>
            <w:r w:rsidRPr="00B12FE0">
              <w:rPr>
                <w:rFonts w:hint="eastAsia"/>
                <w:color w:val="000000" w:themeColor="text1"/>
                <w:kern w:val="0"/>
                <w:sz w:val="18"/>
                <w:szCs w:val="18"/>
              </w:rPr>
              <w:t>2-2</w:t>
            </w:r>
          </w:p>
        </w:tc>
        <w:tc>
          <w:tcPr>
            <w:tcW w:w="1118" w:type="dxa"/>
            <w:vMerge/>
            <w:tcBorders>
              <w:top w:val="single" w:sz="4" w:space="0" w:color="auto"/>
              <w:left w:val="single" w:sz="4" w:space="0" w:color="auto"/>
              <w:right w:val="single" w:sz="4" w:space="0" w:color="auto"/>
            </w:tcBorders>
            <w:vAlign w:val="center"/>
          </w:tcPr>
          <w:p w14:paraId="63EC953F" w14:textId="77777777" w:rsidR="00A67F21" w:rsidRPr="00B12FE0" w:rsidRDefault="00A67F21">
            <w:pPr>
              <w:widowControl/>
              <w:adjustRightInd w:val="0"/>
              <w:snapToGrid w:val="0"/>
              <w:jc w:val="center"/>
              <w:rPr>
                <w:color w:val="000000" w:themeColor="text1"/>
                <w:sz w:val="18"/>
                <w:szCs w:val="18"/>
              </w:rPr>
            </w:pPr>
          </w:p>
        </w:tc>
        <w:tc>
          <w:tcPr>
            <w:tcW w:w="861" w:type="dxa"/>
            <w:vMerge w:val="restart"/>
            <w:tcBorders>
              <w:top w:val="single" w:sz="4" w:space="0" w:color="auto"/>
              <w:left w:val="single" w:sz="4" w:space="0" w:color="auto"/>
              <w:right w:val="single" w:sz="4" w:space="0" w:color="auto"/>
            </w:tcBorders>
            <w:vAlign w:val="center"/>
          </w:tcPr>
          <w:p w14:paraId="0626729F"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SPECT</w:t>
            </w:r>
            <w:r w:rsidRPr="00B12FE0">
              <w:rPr>
                <w:color w:val="000000" w:themeColor="text1"/>
                <w:sz w:val="18"/>
                <w:szCs w:val="18"/>
              </w:rPr>
              <w:lastRenderedPageBreak/>
              <w:t>手套箱</w:t>
            </w:r>
            <w:r w:rsidRPr="00B12FE0">
              <w:rPr>
                <w:rFonts w:hint="eastAsia"/>
                <w:color w:val="000000" w:themeColor="text1"/>
                <w:sz w:val="18"/>
                <w:szCs w:val="18"/>
              </w:rPr>
              <w:t>表面外</w:t>
            </w:r>
          </w:p>
          <w:p w14:paraId="0C080459"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30cm</w:t>
            </w:r>
            <w:r w:rsidRPr="00B12FE0">
              <w:rPr>
                <w:rFonts w:hint="eastAsia"/>
                <w:color w:val="000000" w:themeColor="text1"/>
                <w:sz w:val="18"/>
                <w:szCs w:val="18"/>
              </w:rPr>
              <w:t>处</w:t>
            </w:r>
          </w:p>
        </w:tc>
        <w:tc>
          <w:tcPr>
            <w:tcW w:w="912" w:type="dxa"/>
            <w:tcBorders>
              <w:top w:val="single" w:sz="4" w:space="0" w:color="auto"/>
              <w:left w:val="single" w:sz="4" w:space="0" w:color="auto"/>
              <w:right w:val="single" w:sz="4" w:space="0" w:color="auto"/>
            </w:tcBorders>
            <w:vAlign w:val="center"/>
          </w:tcPr>
          <w:p w14:paraId="2A9B81DB"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lastRenderedPageBreak/>
              <w:t>0.5</w:t>
            </w:r>
          </w:p>
        </w:tc>
        <w:tc>
          <w:tcPr>
            <w:tcW w:w="1624" w:type="dxa"/>
            <w:tcBorders>
              <w:top w:val="single" w:sz="4" w:space="0" w:color="auto"/>
              <w:left w:val="single" w:sz="4" w:space="0" w:color="auto"/>
              <w:bottom w:val="single" w:sz="4" w:space="0" w:color="auto"/>
              <w:right w:val="single" w:sz="4" w:space="0" w:color="auto"/>
            </w:tcBorders>
            <w:vAlign w:val="center"/>
          </w:tcPr>
          <w:p w14:paraId="2AD178E4" w14:textId="77777777" w:rsidR="00A67F21" w:rsidRPr="00B12FE0" w:rsidRDefault="00000000">
            <w:pPr>
              <w:topLinePunct/>
              <w:autoSpaceDE w:val="0"/>
              <w:spacing w:line="280" w:lineRule="exact"/>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3.33</w:t>
            </w:r>
            <w:r w:rsidRPr="00B12FE0">
              <w:rPr>
                <w:color w:val="000000" w:themeColor="text1"/>
                <w:sz w:val="18"/>
                <w:szCs w:val="18"/>
              </w:rPr>
              <w:t>×10</w:t>
            </w:r>
            <w:r w:rsidRPr="00B12FE0">
              <w:rPr>
                <w:color w:val="000000" w:themeColor="text1"/>
                <w:sz w:val="18"/>
                <w:szCs w:val="18"/>
                <w:vertAlign w:val="superscript"/>
              </w:rPr>
              <w:t>10</w:t>
            </w:r>
          </w:p>
        </w:tc>
        <w:tc>
          <w:tcPr>
            <w:tcW w:w="1481" w:type="dxa"/>
            <w:vMerge w:val="restart"/>
            <w:tcBorders>
              <w:top w:val="single" w:sz="4" w:space="0" w:color="auto"/>
              <w:left w:val="single" w:sz="4" w:space="0" w:color="auto"/>
              <w:right w:val="single" w:sz="4" w:space="0" w:color="auto"/>
            </w:tcBorders>
            <w:vAlign w:val="center"/>
          </w:tcPr>
          <w:p w14:paraId="41177D7F"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20mmPb</w:t>
            </w:r>
            <w:r w:rsidRPr="00B12FE0">
              <w:rPr>
                <w:color w:val="000000" w:themeColor="text1"/>
                <w:sz w:val="18"/>
                <w:szCs w:val="18"/>
              </w:rPr>
              <w:t>手套箱</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3D365398" w14:textId="77777777" w:rsidR="00A67F21" w:rsidRPr="00B12FE0" w:rsidRDefault="00000000">
            <w:pPr>
              <w:widowControl/>
              <w:jc w:val="center"/>
              <w:rPr>
                <w:color w:val="000000" w:themeColor="text1"/>
                <w:kern w:val="0"/>
                <w:sz w:val="18"/>
                <w:szCs w:val="18"/>
              </w:rPr>
            </w:pPr>
            <w:r w:rsidRPr="00B12FE0">
              <w:rPr>
                <w:rFonts w:eastAsia="等线"/>
                <w:color w:val="000000" w:themeColor="text1"/>
                <w:sz w:val="18"/>
                <w:szCs w:val="18"/>
              </w:rPr>
              <w:t>4.04E-17</w:t>
            </w:r>
          </w:p>
        </w:tc>
        <w:tc>
          <w:tcPr>
            <w:tcW w:w="1065" w:type="dxa"/>
            <w:vMerge w:val="restart"/>
            <w:tcBorders>
              <w:top w:val="single" w:sz="4" w:space="0" w:color="000000"/>
              <w:left w:val="single" w:sz="4" w:space="0" w:color="000000"/>
              <w:bottom w:val="single" w:sz="4" w:space="0" w:color="000000"/>
              <w:right w:val="single" w:sz="4" w:space="0" w:color="000000"/>
            </w:tcBorders>
            <w:vAlign w:val="center"/>
          </w:tcPr>
          <w:p w14:paraId="6831BB9E" w14:textId="77777777" w:rsidR="00A67F21" w:rsidRPr="00B12FE0" w:rsidRDefault="00000000">
            <w:pPr>
              <w:widowControl/>
              <w:adjustRightInd w:val="0"/>
              <w:snapToGrid w:val="0"/>
              <w:jc w:val="center"/>
              <w:rPr>
                <w:color w:val="000000" w:themeColor="text1"/>
                <w:kern w:val="0"/>
                <w:sz w:val="18"/>
                <w:szCs w:val="18"/>
              </w:rPr>
            </w:pPr>
            <w:r w:rsidRPr="00B12FE0">
              <w:rPr>
                <w:rFonts w:eastAsia="等线"/>
                <w:color w:val="000000" w:themeColor="text1"/>
                <w:sz w:val="18"/>
                <w:szCs w:val="18"/>
              </w:rPr>
              <w:t>4.04E-17</w:t>
            </w:r>
          </w:p>
        </w:tc>
      </w:tr>
      <w:tr w:rsidR="00A67F21" w:rsidRPr="00B12FE0" w14:paraId="120EE8E1" w14:textId="77777777">
        <w:trPr>
          <w:trHeight w:val="340"/>
          <w:jc w:val="center"/>
        </w:trPr>
        <w:tc>
          <w:tcPr>
            <w:tcW w:w="569" w:type="dxa"/>
            <w:vMerge/>
            <w:tcBorders>
              <w:left w:val="single" w:sz="4" w:space="0" w:color="auto"/>
              <w:right w:val="single" w:sz="4" w:space="0" w:color="auto"/>
            </w:tcBorders>
            <w:vAlign w:val="center"/>
          </w:tcPr>
          <w:p w14:paraId="722609CC"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3852DA3C" w14:textId="77777777" w:rsidR="00A67F21" w:rsidRPr="00B12FE0" w:rsidRDefault="00A67F21">
            <w:pPr>
              <w:widowControl/>
              <w:adjustRightInd w:val="0"/>
              <w:snapToGrid w:val="0"/>
              <w:jc w:val="center"/>
              <w:rPr>
                <w:color w:val="000000" w:themeColor="text1"/>
                <w:sz w:val="18"/>
                <w:szCs w:val="18"/>
              </w:rPr>
            </w:pPr>
          </w:p>
        </w:tc>
        <w:tc>
          <w:tcPr>
            <w:tcW w:w="861" w:type="dxa"/>
            <w:vMerge/>
            <w:tcBorders>
              <w:left w:val="single" w:sz="4" w:space="0" w:color="auto"/>
              <w:right w:val="single" w:sz="4" w:space="0" w:color="auto"/>
            </w:tcBorders>
            <w:vAlign w:val="center"/>
          </w:tcPr>
          <w:p w14:paraId="5D8B04D7" w14:textId="77777777" w:rsidR="00A67F21" w:rsidRPr="00B12FE0" w:rsidRDefault="00A67F21">
            <w:pPr>
              <w:topLinePunct/>
              <w:autoSpaceDE w:val="0"/>
              <w:jc w:val="center"/>
              <w:rPr>
                <w:color w:val="000000" w:themeColor="text1"/>
                <w:sz w:val="18"/>
                <w:szCs w:val="18"/>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39458C2A"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3C1EFBDA" w14:textId="77777777" w:rsidR="00A67F21" w:rsidRPr="00B12FE0" w:rsidRDefault="00000000">
            <w:pPr>
              <w:widowControl/>
              <w:adjustRightInd w:val="0"/>
              <w:snapToGrid w:val="0"/>
              <w:jc w:val="center"/>
              <w:rPr>
                <w:color w:val="000000" w:themeColor="text1"/>
                <w:kern w:val="0"/>
                <w:sz w:val="18"/>
                <w:szCs w:val="18"/>
              </w:rPr>
            </w:pPr>
            <w:r w:rsidRPr="00B12FE0">
              <w:rPr>
                <w:rFonts w:ascii="宋体" w:hAnsi="宋体"/>
                <w:color w:val="000000" w:themeColor="text1"/>
                <w:kern w:val="0"/>
                <w:sz w:val="18"/>
                <w:szCs w:val="18"/>
              </w:rPr>
              <w:t>发生器</w:t>
            </w:r>
          </w:p>
        </w:tc>
        <w:tc>
          <w:tcPr>
            <w:tcW w:w="1624" w:type="dxa"/>
            <w:tcBorders>
              <w:top w:val="single" w:sz="4" w:space="0" w:color="000000"/>
              <w:left w:val="nil"/>
              <w:bottom w:val="single" w:sz="4" w:space="0" w:color="000000"/>
              <w:right w:val="single" w:sz="4" w:space="0" w:color="000000"/>
            </w:tcBorders>
            <w:vAlign w:val="center"/>
          </w:tcPr>
          <w:p w14:paraId="0BB0B6CF" w14:textId="77777777" w:rsidR="00A67F21" w:rsidRPr="00B12FE0" w:rsidRDefault="00000000">
            <w:pPr>
              <w:topLinePunct/>
              <w:autoSpaceDE w:val="0"/>
              <w:jc w:val="center"/>
              <w:rPr>
                <w:color w:val="000000" w:themeColor="text1"/>
                <w:sz w:val="18"/>
                <w:szCs w:val="18"/>
                <w:vertAlign w:val="superscript"/>
              </w:rPr>
            </w:pPr>
            <w:r w:rsidRPr="00B12FE0">
              <w:rPr>
                <w:rFonts w:hint="eastAsia"/>
                <w:color w:val="000000" w:themeColor="text1"/>
                <w:sz w:val="18"/>
                <w:szCs w:val="18"/>
              </w:rPr>
              <w:t>/</w:t>
            </w:r>
          </w:p>
        </w:tc>
        <w:tc>
          <w:tcPr>
            <w:tcW w:w="1481" w:type="dxa"/>
            <w:vMerge/>
            <w:tcBorders>
              <w:left w:val="single" w:sz="4" w:space="0" w:color="auto"/>
              <w:right w:val="single" w:sz="4" w:space="0" w:color="auto"/>
            </w:tcBorders>
            <w:vAlign w:val="center"/>
          </w:tcPr>
          <w:p w14:paraId="1561EA29" w14:textId="77777777" w:rsidR="00A67F21" w:rsidRPr="00B12FE0" w:rsidRDefault="00A67F21">
            <w:pPr>
              <w:topLinePunct/>
              <w:autoSpaceDE w:val="0"/>
              <w:jc w:val="center"/>
              <w:rPr>
                <w:color w:val="000000" w:themeColor="text1"/>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6860DAE5" w14:textId="77777777" w:rsidR="00A67F21" w:rsidRPr="00B12FE0" w:rsidRDefault="00000000">
            <w:pPr>
              <w:widowControl/>
              <w:adjustRightInd w:val="0"/>
              <w:snapToGrid w:val="0"/>
              <w:jc w:val="center"/>
              <w:rPr>
                <w:color w:val="000000" w:themeColor="text1"/>
                <w:kern w:val="0"/>
                <w:sz w:val="18"/>
                <w:szCs w:val="18"/>
              </w:rPr>
            </w:pPr>
            <w:r w:rsidRPr="00B12FE0">
              <w:rPr>
                <w:rFonts w:eastAsia="等线"/>
                <w:color w:val="000000" w:themeColor="text1"/>
                <w:sz w:val="18"/>
                <w:szCs w:val="18"/>
              </w:rPr>
              <w:t>5.00E-21</w:t>
            </w:r>
          </w:p>
        </w:tc>
        <w:tc>
          <w:tcPr>
            <w:tcW w:w="1065" w:type="dxa"/>
            <w:vMerge/>
            <w:tcBorders>
              <w:top w:val="single" w:sz="4" w:space="0" w:color="000000"/>
              <w:left w:val="single" w:sz="4" w:space="0" w:color="000000"/>
              <w:bottom w:val="single" w:sz="4" w:space="0" w:color="000000"/>
              <w:right w:val="single" w:sz="4" w:space="0" w:color="000000"/>
            </w:tcBorders>
            <w:vAlign w:val="center"/>
          </w:tcPr>
          <w:p w14:paraId="66BA5F47" w14:textId="77777777" w:rsidR="00A67F21" w:rsidRPr="00B12FE0" w:rsidRDefault="00A67F21">
            <w:pPr>
              <w:adjustRightInd w:val="0"/>
              <w:snapToGrid w:val="0"/>
              <w:jc w:val="center"/>
              <w:rPr>
                <w:color w:val="000000" w:themeColor="text1"/>
                <w:sz w:val="18"/>
                <w:szCs w:val="18"/>
              </w:rPr>
            </w:pPr>
          </w:p>
        </w:tc>
        <w:tc>
          <w:tcPr>
            <w:tcW w:w="0" w:type="auto"/>
            <w:tcBorders>
              <w:top w:val="nil"/>
              <w:left w:val="nil"/>
              <w:bottom w:val="nil"/>
              <w:right w:val="nil"/>
            </w:tcBorders>
            <w:vAlign w:val="bottom"/>
          </w:tcPr>
          <w:p w14:paraId="16E609B3" w14:textId="77777777" w:rsidR="00A67F21" w:rsidRPr="00B12FE0" w:rsidRDefault="00A67F21">
            <w:pPr>
              <w:widowControl/>
              <w:jc w:val="left"/>
              <w:rPr>
                <w:color w:val="000000" w:themeColor="text1"/>
                <w:sz w:val="18"/>
                <w:szCs w:val="18"/>
              </w:rPr>
            </w:pPr>
          </w:p>
        </w:tc>
      </w:tr>
      <w:tr w:rsidR="00A67F21" w:rsidRPr="00B12FE0" w14:paraId="7226794D" w14:textId="77777777">
        <w:trPr>
          <w:gridAfter w:val="1"/>
          <w:trHeight w:val="340"/>
          <w:jc w:val="center"/>
        </w:trPr>
        <w:tc>
          <w:tcPr>
            <w:tcW w:w="569" w:type="dxa"/>
            <w:vMerge w:val="restart"/>
            <w:tcBorders>
              <w:top w:val="single" w:sz="4" w:space="0" w:color="auto"/>
              <w:left w:val="single" w:sz="4" w:space="0" w:color="auto"/>
              <w:right w:val="single" w:sz="4" w:space="0" w:color="auto"/>
            </w:tcBorders>
            <w:vAlign w:val="center"/>
          </w:tcPr>
          <w:p w14:paraId="6108B2D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w:t>
            </w:r>
          </w:p>
        </w:tc>
        <w:tc>
          <w:tcPr>
            <w:tcW w:w="1118" w:type="dxa"/>
            <w:vMerge/>
            <w:tcBorders>
              <w:left w:val="single" w:sz="4" w:space="0" w:color="auto"/>
              <w:right w:val="single" w:sz="4" w:space="0" w:color="auto"/>
            </w:tcBorders>
            <w:vAlign w:val="center"/>
          </w:tcPr>
          <w:p w14:paraId="25C1B74D" w14:textId="77777777" w:rsidR="00A67F21" w:rsidRPr="00B12FE0" w:rsidRDefault="00A67F21">
            <w:pPr>
              <w:widowControl/>
              <w:jc w:val="left"/>
              <w:rPr>
                <w:color w:val="000000" w:themeColor="text1"/>
                <w:kern w:val="0"/>
                <w:sz w:val="18"/>
                <w:szCs w:val="18"/>
              </w:rPr>
            </w:pPr>
          </w:p>
        </w:tc>
        <w:tc>
          <w:tcPr>
            <w:tcW w:w="861" w:type="dxa"/>
            <w:tcBorders>
              <w:top w:val="single" w:sz="4" w:space="0" w:color="auto"/>
              <w:left w:val="single" w:sz="4" w:space="0" w:color="auto"/>
              <w:right w:val="single" w:sz="4" w:space="0" w:color="auto"/>
            </w:tcBorders>
            <w:vAlign w:val="center"/>
          </w:tcPr>
          <w:p w14:paraId="13A1CC9B"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sz w:val="18"/>
                <w:szCs w:val="18"/>
              </w:rPr>
              <w:t>SPECT</w:t>
            </w:r>
            <w:r w:rsidRPr="00B12FE0">
              <w:rPr>
                <w:color w:val="000000" w:themeColor="text1"/>
                <w:sz w:val="18"/>
                <w:szCs w:val="18"/>
              </w:rPr>
              <w:t>注射位</w:t>
            </w:r>
          </w:p>
        </w:tc>
        <w:tc>
          <w:tcPr>
            <w:tcW w:w="912" w:type="dxa"/>
            <w:tcBorders>
              <w:top w:val="single" w:sz="4" w:space="0" w:color="auto"/>
              <w:left w:val="single" w:sz="4" w:space="0" w:color="auto"/>
              <w:right w:val="single" w:sz="4" w:space="0" w:color="auto"/>
            </w:tcBorders>
            <w:vAlign w:val="center"/>
          </w:tcPr>
          <w:p w14:paraId="413322A9"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61C58AC1"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7268F463"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20mmPb</w:t>
            </w:r>
            <w:r w:rsidRPr="00B12FE0">
              <w:rPr>
                <w:color w:val="000000" w:themeColor="text1"/>
                <w:sz w:val="18"/>
                <w:szCs w:val="18"/>
              </w:rPr>
              <w:t>注射窗</w:t>
            </w:r>
            <w:r w:rsidRPr="00B12FE0">
              <w:rPr>
                <w:color w:val="000000" w:themeColor="text1"/>
                <w:sz w:val="18"/>
                <w:szCs w:val="18"/>
              </w:rPr>
              <w:t>+</w:t>
            </w:r>
            <w:r w:rsidRPr="00B12FE0">
              <w:rPr>
                <w:rFonts w:hint="eastAsia"/>
                <w:color w:val="000000" w:themeColor="text1"/>
                <w:sz w:val="18"/>
                <w:szCs w:val="18"/>
              </w:rPr>
              <w:t>4</w:t>
            </w:r>
            <w:r w:rsidRPr="00B12FE0">
              <w:rPr>
                <w:color w:val="000000" w:themeColor="text1"/>
                <w:sz w:val="18"/>
                <w:szCs w:val="18"/>
              </w:rPr>
              <w:t>mmPb</w:t>
            </w:r>
            <w:r w:rsidRPr="00B12FE0">
              <w:rPr>
                <w:color w:val="000000" w:themeColor="text1"/>
                <w:sz w:val="18"/>
                <w:szCs w:val="18"/>
              </w:rPr>
              <w:t>注射器防护套</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F7477D8" w14:textId="77777777" w:rsidR="00A67F21" w:rsidRPr="00B12FE0" w:rsidRDefault="00000000">
            <w:pPr>
              <w:widowControl/>
              <w:jc w:val="center"/>
              <w:rPr>
                <w:color w:val="000000" w:themeColor="text1"/>
                <w:kern w:val="0"/>
                <w:sz w:val="18"/>
                <w:szCs w:val="18"/>
              </w:rPr>
            </w:pPr>
            <w:r w:rsidRPr="00B12FE0">
              <w:rPr>
                <w:rFonts w:eastAsia="等线"/>
                <w:color w:val="000000" w:themeColor="text1"/>
                <w:sz w:val="18"/>
                <w:szCs w:val="18"/>
              </w:rPr>
              <w:t>7.66E-23</w:t>
            </w:r>
          </w:p>
        </w:tc>
      </w:tr>
      <w:tr w:rsidR="00A67F21" w:rsidRPr="00B12FE0" w14:paraId="642C4164" w14:textId="77777777">
        <w:trPr>
          <w:gridAfter w:val="1"/>
          <w:trHeight w:val="340"/>
          <w:jc w:val="center"/>
        </w:trPr>
        <w:tc>
          <w:tcPr>
            <w:tcW w:w="569" w:type="dxa"/>
            <w:vMerge/>
            <w:tcBorders>
              <w:left w:val="single" w:sz="4" w:space="0" w:color="auto"/>
              <w:right w:val="single" w:sz="4" w:space="0" w:color="auto"/>
            </w:tcBorders>
            <w:vAlign w:val="center"/>
          </w:tcPr>
          <w:p w14:paraId="49086506"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6218804D"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60FF041B"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药物转移</w:t>
            </w:r>
          </w:p>
        </w:tc>
        <w:tc>
          <w:tcPr>
            <w:tcW w:w="912" w:type="dxa"/>
            <w:tcBorders>
              <w:left w:val="single" w:sz="4" w:space="0" w:color="auto"/>
              <w:right w:val="single" w:sz="4" w:space="0" w:color="auto"/>
            </w:tcBorders>
            <w:vAlign w:val="center"/>
          </w:tcPr>
          <w:p w14:paraId="324D5C7F"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5CE2421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6F0D360D"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4</w:t>
            </w:r>
            <w:r w:rsidRPr="00B12FE0">
              <w:rPr>
                <w:color w:val="000000" w:themeColor="text1"/>
                <w:sz w:val="18"/>
                <w:szCs w:val="18"/>
              </w:rPr>
              <w:t>mmPb</w:t>
            </w:r>
            <w:r w:rsidRPr="00B12FE0">
              <w:rPr>
                <w:color w:val="000000" w:themeColor="text1"/>
                <w:sz w:val="18"/>
                <w:szCs w:val="18"/>
              </w:rPr>
              <w:t>注射器防护套</w:t>
            </w:r>
            <w:r w:rsidRPr="00B12FE0">
              <w:rPr>
                <w:color w:val="000000" w:themeColor="text1"/>
                <w:sz w:val="18"/>
                <w:szCs w:val="18"/>
              </w:rPr>
              <w:t>+</w:t>
            </w:r>
            <w:r w:rsidRPr="00B12FE0">
              <w:rPr>
                <w:rFonts w:hint="eastAsia"/>
                <w:color w:val="000000" w:themeColor="text1"/>
                <w:sz w:val="18"/>
                <w:szCs w:val="18"/>
              </w:rPr>
              <w:t>4</w:t>
            </w:r>
            <w:r w:rsidRPr="00B12FE0">
              <w:rPr>
                <w:color w:val="000000" w:themeColor="text1"/>
                <w:sz w:val="18"/>
                <w:szCs w:val="18"/>
              </w:rPr>
              <w:t>mmPb</w:t>
            </w:r>
            <w:r w:rsidRPr="00B12FE0">
              <w:rPr>
                <w:color w:val="000000" w:themeColor="text1"/>
                <w:sz w:val="18"/>
                <w:szCs w:val="18"/>
              </w:rPr>
              <w:t>铅提盒</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68DF938C" w14:textId="77777777" w:rsidR="00A67F21" w:rsidRPr="00B12FE0" w:rsidRDefault="00000000">
            <w:pPr>
              <w:widowControl/>
              <w:jc w:val="center"/>
              <w:rPr>
                <w:rFonts w:eastAsia="等线"/>
                <w:color w:val="000000" w:themeColor="text1"/>
                <w:sz w:val="18"/>
                <w:szCs w:val="18"/>
              </w:rPr>
            </w:pPr>
            <w:r w:rsidRPr="00B12FE0">
              <w:rPr>
                <w:rFonts w:eastAsia="等线"/>
                <w:color w:val="000000" w:themeColor="text1"/>
                <w:sz w:val="18"/>
                <w:szCs w:val="18"/>
              </w:rPr>
              <w:t>7.66E-0</w:t>
            </w:r>
            <w:r w:rsidRPr="00B12FE0">
              <w:rPr>
                <w:rFonts w:eastAsia="等线" w:hint="eastAsia"/>
                <w:color w:val="000000" w:themeColor="text1"/>
                <w:sz w:val="18"/>
                <w:szCs w:val="18"/>
              </w:rPr>
              <w:t>7</w:t>
            </w:r>
          </w:p>
        </w:tc>
      </w:tr>
      <w:tr w:rsidR="00A67F21" w:rsidRPr="00B12FE0" w14:paraId="6D56E0D5" w14:textId="77777777">
        <w:trPr>
          <w:gridAfter w:val="1"/>
          <w:trHeight w:val="340"/>
          <w:jc w:val="center"/>
        </w:trPr>
        <w:tc>
          <w:tcPr>
            <w:tcW w:w="569" w:type="dxa"/>
            <w:vMerge w:val="restart"/>
            <w:tcBorders>
              <w:top w:val="single" w:sz="4" w:space="0" w:color="auto"/>
              <w:left w:val="single" w:sz="4" w:space="0" w:color="auto"/>
              <w:right w:val="single" w:sz="4" w:space="0" w:color="auto"/>
            </w:tcBorders>
            <w:vAlign w:val="center"/>
          </w:tcPr>
          <w:p w14:paraId="10D589E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w:t>
            </w:r>
          </w:p>
        </w:tc>
        <w:tc>
          <w:tcPr>
            <w:tcW w:w="1118" w:type="dxa"/>
            <w:vMerge/>
            <w:tcBorders>
              <w:left w:val="single" w:sz="4" w:space="0" w:color="auto"/>
              <w:right w:val="single" w:sz="4" w:space="0" w:color="auto"/>
            </w:tcBorders>
            <w:vAlign w:val="center"/>
          </w:tcPr>
          <w:p w14:paraId="6B17031B" w14:textId="77777777" w:rsidR="00A67F21" w:rsidRPr="00B12FE0" w:rsidRDefault="00A67F21">
            <w:pPr>
              <w:widowControl/>
              <w:jc w:val="left"/>
              <w:rPr>
                <w:color w:val="000000" w:themeColor="text1"/>
                <w:kern w:val="0"/>
                <w:sz w:val="18"/>
                <w:szCs w:val="18"/>
              </w:rPr>
            </w:pPr>
          </w:p>
        </w:tc>
        <w:tc>
          <w:tcPr>
            <w:tcW w:w="861" w:type="dxa"/>
            <w:tcBorders>
              <w:top w:val="single" w:sz="4" w:space="0" w:color="auto"/>
              <w:left w:val="single" w:sz="4" w:space="0" w:color="auto"/>
              <w:right w:val="single" w:sz="4" w:space="0" w:color="auto"/>
            </w:tcBorders>
            <w:vAlign w:val="center"/>
          </w:tcPr>
          <w:p w14:paraId="6CDF0D81"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sz w:val="18"/>
                <w:szCs w:val="18"/>
              </w:rPr>
              <w:t>PET</w:t>
            </w:r>
            <w:r w:rsidRPr="00B12FE0">
              <w:rPr>
                <w:color w:val="000000" w:themeColor="text1"/>
                <w:sz w:val="18"/>
                <w:szCs w:val="18"/>
              </w:rPr>
              <w:t>注射位</w:t>
            </w:r>
          </w:p>
        </w:tc>
        <w:tc>
          <w:tcPr>
            <w:tcW w:w="912" w:type="dxa"/>
            <w:tcBorders>
              <w:top w:val="single" w:sz="4" w:space="0" w:color="auto"/>
              <w:left w:val="single" w:sz="4" w:space="0" w:color="auto"/>
              <w:right w:val="single" w:sz="4" w:space="0" w:color="auto"/>
            </w:tcBorders>
            <w:vAlign w:val="center"/>
          </w:tcPr>
          <w:p w14:paraId="441600E1"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1B2C8AB0"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16D13857"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40mmPb</w:t>
            </w:r>
            <w:r w:rsidRPr="00B12FE0">
              <w:rPr>
                <w:color w:val="000000" w:themeColor="text1"/>
                <w:sz w:val="18"/>
                <w:szCs w:val="18"/>
              </w:rPr>
              <w:t>注射窗</w:t>
            </w:r>
            <w:r w:rsidRPr="00B12FE0">
              <w:rPr>
                <w:color w:val="000000" w:themeColor="text1"/>
                <w:sz w:val="18"/>
                <w:szCs w:val="18"/>
              </w:rPr>
              <w:t>+10mmPb</w:t>
            </w:r>
            <w:r w:rsidRPr="00B12FE0">
              <w:rPr>
                <w:color w:val="000000" w:themeColor="text1"/>
                <w:sz w:val="18"/>
                <w:szCs w:val="18"/>
              </w:rPr>
              <w:t>注射器防护套</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736B1022" w14:textId="77777777" w:rsidR="00A67F21" w:rsidRPr="00B12FE0" w:rsidRDefault="00000000">
            <w:pPr>
              <w:widowControl/>
              <w:adjustRightInd w:val="0"/>
              <w:snapToGrid w:val="0"/>
              <w:jc w:val="center"/>
              <w:rPr>
                <w:color w:val="000000" w:themeColor="text1"/>
                <w:kern w:val="0"/>
                <w:sz w:val="18"/>
                <w:szCs w:val="18"/>
              </w:rPr>
            </w:pPr>
            <w:r w:rsidRPr="00B12FE0">
              <w:rPr>
                <w:rFonts w:eastAsia="等线"/>
                <w:color w:val="000000" w:themeColor="text1"/>
                <w:sz w:val="18"/>
                <w:szCs w:val="18"/>
              </w:rPr>
              <w:t>1.32E-01</w:t>
            </w:r>
          </w:p>
        </w:tc>
      </w:tr>
      <w:tr w:rsidR="00A67F21" w:rsidRPr="00B12FE0" w14:paraId="3EFD20DB" w14:textId="77777777">
        <w:trPr>
          <w:gridAfter w:val="1"/>
          <w:trHeight w:val="340"/>
          <w:jc w:val="center"/>
        </w:trPr>
        <w:tc>
          <w:tcPr>
            <w:tcW w:w="569" w:type="dxa"/>
            <w:vMerge/>
            <w:tcBorders>
              <w:left w:val="single" w:sz="4" w:space="0" w:color="auto"/>
              <w:right w:val="single" w:sz="4" w:space="0" w:color="auto"/>
            </w:tcBorders>
            <w:vAlign w:val="center"/>
          </w:tcPr>
          <w:p w14:paraId="38FC4E94"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425F5FB4"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5FE7515C"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药物转移</w:t>
            </w:r>
          </w:p>
        </w:tc>
        <w:tc>
          <w:tcPr>
            <w:tcW w:w="912" w:type="dxa"/>
            <w:tcBorders>
              <w:left w:val="single" w:sz="4" w:space="0" w:color="auto"/>
              <w:right w:val="single" w:sz="4" w:space="0" w:color="auto"/>
            </w:tcBorders>
            <w:vAlign w:val="center"/>
          </w:tcPr>
          <w:p w14:paraId="48290F83"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6A44ED4D"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7150A592"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color w:val="000000" w:themeColor="text1"/>
                <w:sz w:val="18"/>
                <w:szCs w:val="18"/>
              </w:rPr>
              <w:t>注射器防护套</w:t>
            </w:r>
            <w:r w:rsidRPr="00B12FE0">
              <w:rPr>
                <w:color w:val="000000" w:themeColor="text1"/>
                <w:sz w:val="18"/>
                <w:szCs w:val="18"/>
              </w:rPr>
              <w:t>+</w:t>
            </w:r>
            <w:r w:rsidRPr="00B12FE0">
              <w:rPr>
                <w:rFonts w:hint="eastAsia"/>
                <w:color w:val="000000" w:themeColor="text1"/>
                <w:sz w:val="18"/>
                <w:szCs w:val="18"/>
              </w:rPr>
              <w:t>1</w:t>
            </w:r>
            <w:r w:rsidRPr="00B12FE0">
              <w:rPr>
                <w:color w:val="000000" w:themeColor="text1"/>
                <w:sz w:val="18"/>
                <w:szCs w:val="18"/>
              </w:rPr>
              <w:t>0mmPb</w:t>
            </w:r>
            <w:r w:rsidRPr="00B12FE0">
              <w:rPr>
                <w:color w:val="000000" w:themeColor="text1"/>
                <w:sz w:val="18"/>
                <w:szCs w:val="18"/>
              </w:rPr>
              <w:t>铅提盒</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DECC2E2" w14:textId="77777777" w:rsidR="00A67F21" w:rsidRPr="00B12FE0" w:rsidRDefault="00000000">
            <w:pPr>
              <w:adjustRightInd w:val="0"/>
              <w:snapToGrid w:val="0"/>
              <w:jc w:val="center"/>
              <w:rPr>
                <w:rFonts w:eastAsia="等线"/>
                <w:color w:val="000000" w:themeColor="text1"/>
                <w:sz w:val="18"/>
                <w:szCs w:val="18"/>
              </w:rPr>
            </w:pPr>
            <w:r w:rsidRPr="00B12FE0">
              <w:rPr>
                <w:rFonts w:eastAsia="等线" w:hint="eastAsia"/>
                <w:color w:val="000000" w:themeColor="text1"/>
                <w:sz w:val="18"/>
                <w:szCs w:val="18"/>
              </w:rPr>
              <w:t>13.2</w:t>
            </w:r>
          </w:p>
        </w:tc>
      </w:tr>
      <w:tr w:rsidR="00A67F21" w:rsidRPr="00B12FE0" w14:paraId="0676DB17" w14:textId="77777777">
        <w:trPr>
          <w:gridAfter w:val="1"/>
          <w:trHeight w:val="340"/>
          <w:jc w:val="center"/>
        </w:trPr>
        <w:tc>
          <w:tcPr>
            <w:tcW w:w="569" w:type="dxa"/>
            <w:tcBorders>
              <w:left w:val="single" w:sz="4" w:space="0" w:color="auto"/>
              <w:right w:val="single" w:sz="4" w:space="0" w:color="auto"/>
            </w:tcBorders>
            <w:vAlign w:val="center"/>
          </w:tcPr>
          <w:p w14:paraId="0FE259B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2-5</w:t>
            </w:r>
          </w:p>
        </w:tc>
        <w:tc>
          <w:tcPr>
            <w:tcW w:w="1118" w:type="dxa"/>
            <w:vMerge/>
            <w:tcBorders>
              <w:left w:val="single" w:sz="4" w:space="0" w:color="auto"/>
              <w:right w:val="single" w:sz="4" w:space="0" w:color="auto"/>
            </w:tcBorders>
            <w:vAlign w:val="center"/>
          </w:tcPr>
          <w:p w14:paraId="79986106"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65CF0F13"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远程操作位</w:t>
            </w:r>
          </w:p>
        </w:tc>
        <w:tc>
          <w:tcPr>
            <w:tcW w:w="912" w:type="dxa"/>
            <w:tcBorders>
              <w:left w:val="single" w:sz="4" w:space="0" w:color="auto"/>
              <w:right w:val="single" w:sz="4" w:space="0" w:color="auto"/>
            </w:tcBorders>
            <w:vAlign w:val="center"/>
          </w:tcPr>
          <w:p w14:paraId="53823B52"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1.5</w:t>
            </w:r>
          </w:p>
        </w:tc>
        <w:tc>
          <w:tcPr>
            <w:tcW w:w="1624" w:type="dxa"/>
            <w:tcBorders>
              <w:top w:val="single" w:sz="4" w:space="0" w:color="auto"/>
              <w:left w:val="single" w:sz="4" w:space="0" w:color="auto"/>
              <w:right w:val="single" w:sz="4" w:space="0" w:color="auto"/>
            </w:tcBorders>
            <w:vAlign w:val="center"/>
          </w:tcPr>
          <w:p w14:paraId="462A9673"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w:t>
            </w:r>
            <w:r w:rsidRPr="00B12FE0">
              <w:rPr>
                <w:color w:val="000000" w:themeColor="text1"/>
                <w:sz w:val="18"/>
                <w:szCs w:val="18"/>
              </w:rPr>
              <w:t>3.7×10</w:t>
            </w:r>
            <w:r w:rsidRPr="00B12FE0">
              <w:rPr>
                <w:rFonts w:hint="eastAsia"/>
                <w:color w:val="000000" w:themeColor="text1"/>
                <w:sz w:val="18"/>
                <w:szCs w:val="18"/>
                <w:vertAlign w:val="superscript"/>
              </w:rPr>
              <w:t>9</w:t>
            </w:r>
          </w:p>
        </w:tc>
        <w:tc>
          <w:tcPr>
            <w:tcW w:w="1481" w:type="dxa"/>
            <w:tcBorders>
              <w:top w:val="single" w:sz="4" w:space="0" w:color="auto"/>
              <w:left w:val="single" w:sz="4" w:space="0" w:color="auto"/>
              <w:right w:val="single" w:sz="4" w:space="0" w:color="auto"/>
            </w:tcBorders>
            <w:vAlign w:val="center"/>
          </w:tcPr>
          <w:p w14:paraId="6ADA9590"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12</w:t>
            </w:r>
            <w:r w:rsidRPr="00B12FE0">
              <w:rPr>
                <w:color w:val="000000" w:themeColor="text1"/>
                <w:sz w:val="18"/>
                <w:szCs w:val="18"/>
              </w:rPr>
              <w:t>mmPb</w:t>
            </w:r>
            <w:r w:rsidRPr="00B12FE0">
              <w:rPr>
                <w:rFonts w:hint="eastAsia"/>
                <w:color w:val="000000" w:themeColor="text1"/>
                <w:sz w:val="18"/>
                <w:szCs w:val="18"/>
              </w:rPr>
              <w:t>铅玻璃</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5EA8A2B5" w14:textId="77777777" w:rsidR="00A67F21" w:rsidRPr="00B12FE0" w:rsidRDefault="00000000">
            <w:pPr>
              <w:adjustRightInd w:val="0"/>
              <w:snapToGrid w:val="0"/>
              <w:jc w:val="center"/>
              <w:rPr>
                <w:rFonts w:eastAsia="等线"/>
                <w:color w:val="000000" w:themeColor="text1"/>
                <w:sz w:val="18"/>
                <w:szCs w:val="18"/>
              </w:rPr>
            </w:pPr>
            <w:r w:rsidRPr="00B12FE0">
              <w:rPr>
                <w:rFonts w:eastAsia="等线"/>
                <w:color w:val="000000" w:themeColor="text1"/>
                <w:sz w:val="18"/>
                <w:szCs w:val="18"/>
              </w:rPr>
              <w:t>7.</w:t>
            </w:r>
            <w:r w:rsidRPr="00B12FE0">
              <w:rPr>
                <w:rFonts w:eastAsia="等线" w:hint="eastAsia"/>
                <w:color w:val="000000" w:themeColor="text1"/>
                <w:sz w:val="18"/>
                <w:szCs w:val="18"/>
              </w:rPr>
              <w:t>78</w:t>
            </w:r>
            <w:r w:rsidRPr="00B12FE0">
              <w:rPr>
                <w:rFonts w:eastAsia="等线"/>
                <w:color w:val="000000" w:themeColor="text1"/>
                <w:sz w:val="18"/>
                <w:szCs w:val="18"/>
              </w:rPr>
              <w:t>E-01</w:t>
            </w:r>
          </w:p>
        </w:tc>
      </w:tr>
      <w:tr w:rsidR="00A67F21" w:rsidRPr="00B12FE0" w14:paraId="0729C571" w14:textId="77777777">
        <w:trPr>
          <w:gridAfter w:val="1"/>
          <w:trHeight w:val="340"/>
          <w:jc w:val="center"/>
        </w:trPr>
        <w:tc>
          <w:tcPr>
            <w:tcW w:w="569" w:type="dxa"/>
            <w:vMerge w:val="restart"/>
            <w:tcBorders>
              <w:top w:val="single" w:sz="4" w:space="0" w:color="auto"/>
              <w:left w:val="single" w:sz="4" w:space="0" w:color="auto"/>
              <w:right w:val="single" w:sz="4" w:space="0" w:color="auto"/>
            </w:tcBorders>
            <w:vAlign w:val="center"/>
          </w:tcPr>
          <w:p w14:paraId="18BFB2F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2-6</w:t>
            </w:r>
          </w:p>
        </w:tc>
        <w:tc>
          <w:tcPr>
            <w:tcW w:w="1118" w:type="dxa"/>
            <w:vMerge/>
            <w:tcBorders>
              <w:left w:val="single" w:sz="4" w:space="0" w:color="auto"/>
              <w:right w:val="single" w:sz="4" w:space="0" w:color="auto"/>
            </w:tcBorders>
            <w:vAlign w:val="center"/>
          </w:tcPr>
          <w:p w14:paraId="0D41444A" w14:textId="77777777" w:rsidR="00A67F21" w:rsidRPr="00B12FE0" w:rsidRDefault="00A67F21">
            <w:pPr>
              <w:widowControl/>
              <w:jc w:val="left"/>
              <w:rPr>
                <w:color w:val="000000" w:themeColor="text1"/>
                <w:kern w:val="0"/>
                <w:sz w:val="18"/>
                <w:szCs w:val="18"/>
              </w:rPr>
            </w:pPr>
          </w:p>
        </w:tc>
        <w:tc>
          <w:tcPr>
            <w:tcW w:w="861" w:type="dxa"/>
            <w:vMerge w:val="restart"/>
            <w:tcBorders>
              <w:top w:val="single" w:sz="4" w:space="0" w:color="auto"/>
              <w:left w:val="single" w:sz="4" w:space="0" w:color="auto"/>
              <w:right w:val="single" w:sz="4" w:space="0" w:color="auto"/>
            </w:tcBorders>
            <w:vAlign w:val="center"/>
          </w:tcPr>
          <w:p w14:paraId="1BE571D9"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vMerge w:val="restart"/>
            <w:tcBorders>
              <w:top w:val="single" w:sz="4" w:space="0" w:color="auto"/>
              <w:left w:val="single" w:sz="4" w:space="0" w:color="auto"/>
              <w:right w:val="single" w:sz="4" w:space="0" w:color="auto"/>
            </w:tcBorders>
            <w:vAlign w:val="center"/>
          </w:tcPr>
          <w:p w14:paraId="4C4D56B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4E039B5E"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7B6C4188"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25</w:t>
            </w:r>
            <w:r w:rsidRPr="00B12FE0">
              <w:rPr>
                <w:color w:val="000000" w:themeColor="text1"/>
                <w:sz w:val="18"/>
                <w:szCs w:val="18"/>
              </w:rPr>
              <w:t>0mm</w:t>
            </w:r>
            <w:r w:rsidRPr="00B12FE0">
              <w:rPr>
                <w:color w:val="000000" w:themeColor="text1"/>
                <w:sz w:val="18"/>
                <w:szCs w:val="18"/>
              </w:rPr>
              <w:t>混凝土</w:t>
            </w:r>
            <w:r w:rsidRPr="00B12FE0">
              <w:rPr>
                <w:color w:val="000000" w:themeColor="text1"/>
                <w:sz w:val="18"/>
                <w:szCs w:val="18"/>
              </w:rPr>
              <w:t>+10mmPb</w:t>
            </w:r>
            <w:r w:rsidRPr="00B12FE0">
              <w:rPr>
                <w:color w:val="000000" w:themeColor="text1"/>
                <w:sz w:val="18"/>
                <w:szCs w:val="18"/>
              </w:rPr>
              <w:t>防护套</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031AFD30" w14:textId="77777777" w:rsidR="00A67F21" w:rsidRPr="00B12FE0" w:rsidRDefault="00000000">
            <w:pPr>
              <w:widowControl/>
              <w:jc w:val="center"/>
              <w:rPr>
                <w:color w:val="000000" w:themeColor="text1"/>
                <w:kern w:val="0"/>
                <w:sz w:val="18"/>
                <w:szCs w:val="18"/>
              </w:rPr>
            </w:pPr>
            <w:r w:rsidRPr="00B12FE0">
              <w:rPr>
                <w:rFonts w:eastAsia="等线"/>
                <w:color w:val="000000" w:themeColor="text1"/>
                <w:sz w:val="18"/>
                <w:szCs w:val="18"/>
              </w:rPr>
              <w:t>1.59E-02</w:t>
            </w:r>
          </w:p>
        </w:tc>
        <w:tc>
          <w:tcPr>
            <w:tcW w:w="1065" w:type="dxa"/>
            <w:vMerge w:val="restart"/>
            <w:tcBorders>
              <w:top w:val="single" w:sz="4" w:space="0" w:color="auto"/>
              <w:left w:val="single" w:sz="4" w:space="0" w:color="auto"/>
              <w:right w:val="single" w:sz="4" w:space="0" w:color="auto"/>
            </w:tcBorders>
            <w:vAlign w:val="center"/>
          </w:tcPr>
          <w:p w14:paraId="3D6FDACD"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1.59E-02</w:t>
            </w:r>
          </w:p>
        </w:tc>
      </w:tr>
      <w:tr w:rsidR="00A67F21" w:rsidRPr="00B12FE0" w14:paraId="46CB3ECE" w14:textId="77777777">
        <w:trPr>
          <w:gridAfter w:val="1"/>
          <w:trHeight w:val="340"/>
          <w:jc w:val="center"/>
        </w:trPr>
        <w:tc>
          <w:tcPr>
            <w:tcW w:w="569" w:type="dxa"/>
            <w:vMerge/>
            <w:tcBorders>
              <w:left w:val="single" w:sz="4" w:space="0" w:color="auto"/>
              <w:right w:val="single" w:sz="4" w:space="0" w:color="auto"/>
            </w:tcBorders>
            <w:vAlign w:val="center"/>
          </w:tcPr>
          <w:p w14:paraId="688837CC"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4CD16C58"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193640A4"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515A90CB"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1A71A4F3"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14D1B2A8"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25</w:t>
            </w:r>
            <w:r w:rsidRPr="00B12FE0">
              <w:rPr>
                <w:color w:val="000000" w:themeColor="text1"/>
                <w:sz w:val="18"/>
                <w:szCs w:val="18"/>
              </w:rPr>
              <w:t>0mm</w:t>
            </w:r>
            <w:r w:rsidRPr="00B12FE0">
              <w:rPr>
                <w:color w:val="000000" w:themeColor="text1"/>
                <w:sz w:val="18"/>
                <w:szCs w:val="18"/>
              </w:rPr>
              <w:t>混凝土</w:t>
            </w:r>
            <w:r w:rsidRPr="00B12FE0">
              <w:rPr>
                <w:color w:val="000000" w:themeColor="text1"/>
                <w:sz w:val="18"/>
                <w:szCs w:val="18"/>
              </w:rPr>
              <w:t>+</w:t>
            </w:r>
            <w:r w:rsidRPr="00B12FE0">
              <w:rPr>
                <w:rFonts w:hint="eastAsia"/>
                <w:color w:val="000000" w:themeColor="text1"/>
                <w:sz w:val="18"/>
                <w:szCs w:val="18"/>
              </w:rPr>
              <w:t>4</w:t>
            </w:r>
            <w:r w:rsidRPr="00B12FE0">
              <w:rPr>
                <w:color w:val="000000" w:themeColor="text1"/>
                <w:sz w:val="18"/>
                <w:szCs w:val="18"/>
              </w:rPr>
              <w:t>mmPb</w:t>
            </w:r>
            <w:r w:rsidRPr="00B12FE0">
              <w:rPr>
                <w:color w:val="000000" w:themeColor="text1"/>
                <w:sz w:val="18"/>
                <w:szCs w:val="18"/>
              </w:rPr>
              <w:t>防护套</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4BBF893C" w14:textId="77777777" w:rsidR="00A67F21" w:rsidRPr="00B12FE0" w:rsidRDefault="00000000">
            <w:pPr>
              <w:widowControl/>
              <w:jc w:val="center"/>
              <w:rPr>
                <w:color w:val="000000" w:themeColor="text1"/>
                <w:kern w:val="0"/>
                <w:sz w:val="18"/>
                <w:szCs w:val="18"/>
              </w:rPr>
            </w:pPr>
            <w:r w:rsidRPr="00B12FE0">
              <w:rPr>
                <w:rFonts w:eastAsia="等线"/>
                <w:color w:val="000000" w:themeColor="text1"/>
                <w:sz w:val="18"/>
                <w:szCs w:val="18"/>
              </w:rPr>
              <w:t>5.05E-07</w:t>
            </w:r>
          </w:p>
        </w:tc>
        <w:tc>
          <w:tcPr>
            <w:tcW w:w="1065" w:type="dxa"/>
            <w:vMerge/>
            <w:tcBorders>
              <w:left w:val="single" w:sz="4" w:space="0" w:color="auto"/>
              <w:right w:val="single" w:sz="4" w:space="0" w:color="auto"/>
            </w:tcBorders>
            <w:vAlign w:val="center"/>
          </w:tcPr>
          <w:p w14:paraId="0E00911A" w14:textId="77777777" w:rsidR="00A67F21" w:rsidRPr="00B12FE0" w:rsidRDefault="00A67F21">
            <w:pPr>
              <w:jc w:val="center"/>
              <w:rPr>
                <w:color w:val="000000" w:themeColor="text1"/>
                <w:sz w:val="18"/>
                <w:szCs w:val="18"/>
              </w:rPr>
            </w:pPr>
          </w:p>
        </w:tc>
      </w:tr>
      <w:tr w:rsidR="00A67F21" w:rsidRPr="00B12FE0" w14:paraId="23E4C6AA" w14:textId="77777777">
        <w:trPr>
          <w:gridAfter w:val="1"/>
          <w:trHeight w:val="340"/>
          <w:jc w:val="center"/>
        </w:trPr>
        <w:tc>
          <w:tcPr>
            <w:tcW w:w="569" w:type="dxa"/>
            <w:vMerge w:val="restart"/>
            <w:tcBorders>
              <w:left w:val="single" w:sz="4" w:space="0" w:color="auto"/>
              <w:right w:val="single" w:sz="4" w:space="0" w:color="auto"/>
            </w:tcBorders>
            <w:vAlign w:val="center"/>
          </w:tcPr>
          <w:p w14:paraId="7E352CB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2-7</w:t>
            </w:r>
          </w:p>
        </w:tc>
        <w:tc>
          <w:tcPr>
            <w:tcW w:w="1118" w:type="dxa"/>
            <w:vMerge w:val="restart"/>
            <w:tcBorders>
              <w:left w:val="single" w:sz="4" w:space="0" w:color="auto"/>
              <w:right w:val="single" w:sz="4" w:space="0" w:color="auto"/>
            </w:tcBorders>
            <w:vAlign w:val="center"/>
          </w:tcPr>
          <w:p w14:paraId="5900638E" w14:textId="77777777" w:rsidR="00A67F21" w:rsidRPr="00B12FE0" w:rsidRDefault="00000000">
            <w:pPr>
              <w:widowControl/>
              <w:jc w:val="center"/>
              <w:rPr>
                <w:color w:val="000000" w:themeColor="text1"/>
                <w:kern w:val="0"/>
                <w:sz w:val="18"/>
                <w:szCs w:val="18"/>
              </w:rPr>
            </w:pPr>
            <w:r w:rsidRPr="00B12FE0">
              <w:rPr>
                <w:rFonts w:hint="eastAsia"/>
                <w:color w:val="000000" w:themeColor="text1"/>
                <w:kern w:val="0"/>
                <w:sz w:val="18"/>
                <w:szCs w:val="18"/>
              </w:rPr>
              <w:t>储源室</w:t>
            </w:r>
          </w:p>
        </w:tc>
        <w:tc>
          <w:tcPr>
            <w:tcW w:w="861" w:type="dxa"/>
            <w:vMerge w:val="restart"/>
            <w:tcBorders>
              <w:left w:val="single" w:sz="4" w:space="0" w:color="auto"/>
              <w:right w:val="single" w:sz="4" w:space="0" w:color="auto"/>
            </w:tcBorders>
            <w:vAlign w:val="center"/>
          </w:tcPr>
          <w:p w14:paraId="7EF83618"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南侧墙外</w:t>
            </w:r>
            <w:r w:rsidRPr="00B12FE0">
              <w:rPr>
                <w:color w:val="000000" w:themeColor="text1"/>
                <w:sz w:val="18"/>
                <w:szCs w:val="18"/>
              </w:rPr>
              <w:t>30cm</w:t>
            </w:r>
          </w:p>
        </w:tc>
        <w:tc>
          <w:tcPr>
            <w:tcW w:w="912" w:type="dxa"/>
            <w:vMerge w:val="restart"/>
            <w:tcBorders>
              <w:left w:val="single" w:sz="4" w:space="0" w:color="auto"/>
              <w:right w:val="single" w:sz="4" w:space="0" w:color="auto"/>
            </w:tcBorders>
            <w:vAlign w:val="center"/>
          </w:tcPr>
          <w:p w14:paraId="13402C0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1.8</w:t>
            </w:r>
          </w:p>
        </w:tc>
        <w:tc>
          <w:tcPr>
            <w:tcW w:w="1624" w:type="dxa"/>
            <w:tcBorders>
              <w:top w:val="single" w:sz="4" w:space="0" w:color="auto"/>
              <w:left w:val="single" w:sz="4" w:space="0" w:color="auto"/>
              <w:bottom w:val="single" w:sz="4" w:space="0" w:color="auto"/>
              <w:right w:val="single" w:sz="4" w:space="0" w:color="auto"/>
            </w:tcBorders>
            <w:vAlign w:val="center"/>
          </w:tcPr>
          <w:p w14:paraId="1FE7005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2.22</w:t>
            </w:r>
            <w:r w:rsidRPr="00B12FE0">
              <w:rPr>
                <w:color w:val="000000" w:themeColor="text1"/>
                <w:sz w:val="18"/>
                <w:szCs w:val="18"/>
              </w:rPr>
              <w:t>×10</w:t>
            </w:r>
            <w:r w:rsidRPr="00B12FE0">
              <w:rPr>
                <w:color w:val="000000" w:themeColor="text1"/>
                <w:sz w:val="18"/>
                <w:szCs w:val="18"/>
                <w:vertAlign w:val="superscript"/>
              </w:rPr>
              <w:t>10</w:t>
            </w:r>
          </w:p>
        </w:tc>
        <w:tc>
          <w:tcPr>
            <w:tcW w:w="1481" w:type="dxa"/>
            <w:tcBorders>
              <w:left w:val="single" w:sz="4" w:space="0" w:color="auto"/>
              <w:right w:val="single" w:sz="4" w:space="0" w:color="auto"/>
            </w:tcBorders>
            <w:vAlign w:val="center"/>
          </w:tcPr>
          <w:p w14:paraId="7C03ADC3"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50mmPb</w:t>
            </w:r>
            <w:proofErr w:type="gramStart"/>
            <w:r w:rsidRPr="00B12FE0">
              <w:rPr>
                <w:color w:val="000000" w:themeColor="text1"/>
                <w:sz w:val="18"/>
                <w:szCs w:val="18"/>
              </w:rPr>
              <w:t>铅罐</w:t>
            </w:r>
            <w:proofErr w:type="gramEnd"/>
            <w:r w:rsidRPr="00B12FE0">
              <w:rPr>
                <w:rFonts w:hint="eastAsia"/>
                <w:color w:val="000000" w:themeColor="text1"/>
                <w:sz w:val="18"/>
                <w:szCs w:val="18"/>
              </w:rPr>
              <w:t>+240mm</w:t>
            </w:r>
            <w:r w:rsidRPr="00B12FE0">
              <w:rPr>
                <w:rFonts w:hint="eastAsia"/>
                <w:color w:val="000000" w:themeColor="text1"/>
                <w:sz w:val="18"/>
                <w:szCs w:val="18"/>
              </w:rPr>
              <w:t>实心砖</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342E1497"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1.17E-01</w:t>
            </w:r>
          </w:p>
        </w:tc>
        <w:tc>
          <w:tcPr>
            <w:tcW w:w="1065" w:type="dxa"/>
            <w:vMerge w:val="restart"/>
            <w:tcBorders>
              <w:left w:val="single" w:sz="4" w:space="0" w:color="auto"/>
              <w:right w:val="single" w:sz="4" w:space="0" w:color="auto"/>
            </w:tcBorders>
            <w:vAlign w:val="center"/>
          </w:tcPr>
          <w:p w14:paraId="66D8BD58"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1.45</w:t>
            </w:r>
            <w:r w:rsidRPr="00B12FE0">
              <w:rPr>
                <w:color w:val="000000" w:themeColor="text1"/>
                <w:sz w:val="18"/>
                <w:szCs w:val="18"/>
              </w:rPr>
              <w:t>E-0</w:t>
            </w:r>
            <w:r w:rsidRPr="00B12FE0">
              <w:rPr>
                <w:rFonts w:hint="eastAsia"/>
                <w:color w:val="000000" w:themeColor="text1"/>
                <w:sz w:val="18"/>
                <w:szCs w:val="18"/>
              </w:rPr>
              <w:t>1</w:t>
            </w:r>
          </w:p>
        </w:tc>
      </w:tr>
      <w:tr w:rsidR="00A67F21" w:rsidRPr="00B12FE0" w14:paraId="5E4F0185" w14:textId="77777777">
        <w:trPr>
          <w:gridAfter w:val="1"/>
          <w:trHeight w:val="340"/>
          <w:jc w:val="center"/>
        </w:trPr>
        <w:tc>
          <w:tcPr>
            <w:tcW w:w="569" w:type="dxa"/>
            <w:vMerge/>
            <w:tcBorders>
              <w:left w:val="single" w:sz="4" w:space="0" w:color="auto"/>
              <w:right w:val="single" w:sz="4" w:space="0" w:color="auto"/>
            </w:tcBorders>
            <w:vAlign w:val="center"/>
          </w:tcPr>
          <w:p w14:paraId="1AA63E9A"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76BC616D"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33F27761"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77DA838D"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000000"/>
              <w:left w:val="single" w:sz="4" w:space="0" w:color="000000"/>
              <w:bottom w:val="single" w:sz="4" w:space="0" w:color="000000"/>
              <w:right w:val="single" w:sz="4" w:space="0" w:color="000000"/>
            </w:tcBorders>
            <w:vAlign w:val="center"/>
          </w:tcPr>
          <w:p w14:paraId="14F5A4B9"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2EBD0149" w14:textId="77777777" w:rsidR="00A67F21" w:rsidRPr="00B12FE0" w:rsidRDefault="00000000">
            <w:pPr>
              <w:topLinePunct/>
              <w:autoSpaceDE w:val="0"/>
              <w:jc w:val="center"/>
              <w:rPr>
                <w:color w:val="000000" w:themeColor="text1"/>
                <w:sz w:val="18"/>
                <w:szCs w:val="18"/>
                <w:vertAlign w:val="superscript"/>
              </w:rPr>
            </w:pPr>
            <w:r w:rsidRPr="00B12FE0">
              <w:rPr>
                <w:rFonts w:ascii="宋体" w:hAnsi="宋体"/>
                <w:color w:val="000000" w:themeColor="text1"/>
                <w:kern w:val="0"/>
                <w:sz w:val="18"/>
                <w:szCs w:val="18"/>
              </w:rPr>
              <w:t>发生器</w:t>
            </w:r>
          </w:p>
        </w:tc>
        <w:tc>
          <w:tcPr>
            <w:tcW w:w="1481" w:type="dxa"/>
            <w:tcBorders>
              <w:top w:val="single" w:sz="4" w:space="0" w:color="000000"/>
              <w:left w:val="nil"/>
              <w:bottom w:val="single" w:sz="4" w:space="0" w:color="000000"/>
              <w:right w:val="single" w:sz="4" w:space="0" w:color="000000"/>
            </w:tcBorders>
            <w:vAlign w:val="center"/>
          </w:tcPr>
          <w:p w14:paraId="23E70A37" w14:textId="77777777" w:rsidR="00A67F21" w:rsidRPr="00B12FE0" w:rsidRDefault="00000000">
            <w:pPr>
              <w:topLinePunct/>
              <w:autoSpaceDE w:val="0"/>
              <w:jc w:val="center"/>
              <w:rPr>
                <w:color w:val="000000" w:themeColor="text1"/>
                <w:sz w:val="18"/>
                <w:szCs w:val="18"/>
              </w:rPr>
            </w:pPr>
            <w:r w:rsidRPr="00B12FE0">
              <w:rPr>
                <w:rStyle w:val="150"/>
                <w:rFonts w:ascii="Times New Roman" w:hAnsi="Times New Roman" w:cs="Times New Roman"/>
                <w:color w:val="000000" w:themeColor="text1"/>
                <w:sz w:val="18"/>
                <w:szCs w:val="18"/>
              </w:rPr>
              <w:t>240mm</w:t>
            </w:r>
            <w:r w:rsidRPr="00B12FE0">
              <w:rPr>
                <w:rStyle w:val="160"/>
                <w:rFonts w:ascii="Times New Roman" w:hAnsi="Times New Roman" w:cs="Times New Roman" w:hint="default"/>
                <w:color w:val="000000" w:themeColor="text1"/>
                <w:sz w:val="18"/>
                <w:szCs w:val="18"/>
              </w:rPr>
              <w:t>实心砖</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717F9866"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1.58E-02</w:t>
            </w:r>
          </w:p>
        </w:tc>
        <w:tc>
          <w:tcPr>
            <w:tcW w:w="1065" w:type="dxa"/>
            <w:vMerge/>
            <w:tcBorders>
              <w:left w:val="single" w:sz="4" w:space="0" w:color="auto"/>
              <w:right w:val="single" w:sz="4" w:space="0" w:color="auto"/>
            </w:tcBorders>
            <w:vAlign w:val="center"/>
          </w:tcPr>
          <w:p w14:paraId="470678A4" w14:textId="77777777" w:rsidR="00A67F21" w:rsidRPr="00B12FE0" w:rsidRDefault="00A67F21">
            <w:pPr>
              <w:jc w:val="center"/>
              <w:rPr>
                <w:color w:val="000000" w:themeColor="text1"/>
                <w:sz w:val="18"/>
                <w:szCs w:val="18"/>
              </w:rPr>
            </w:pPr>
          </w:p>
        </w:tc>
      </w:tr>
      <w:tr w:rsidR="00A67F21" w:rsidRPr="00B12FE0" w14:paraId="02B7999C" w14:textId="77777777">
        <w:trPr>
          <w:gridAfter w:val="1"/>
          <w:trHeight w:val="340"/>
          <w:jc w:val="center"/>
        </w:trPr>
        <w:tc>
          <w:tcPr>
            <w:tcW w:w="569" w:type="dxa"/>
            <w:vMerge/>
            <w:tcBorders>
              <w:left w:val="single" w:sz="4" w:space="0" w:color="auto"/>
              <w:right w:val="single" w:sz="4" w:space="0" w:color="auto"/>
            </w:tcBorders>
            <w:vAlign w:val="center"/>
          </w:tcPr>
          <w:p w14:paraId="17FA3245"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74674A91"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39A4A426"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7C3A08DD"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5972F5ED"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color w:val="000000" w:themeColor="text1"/>
                <w:sz w:val="18"/>
                <w:szCs w:val="18"/>
                <w:vertAlign w:val="superscript"/>
              </w:rPr>
              <w:t>9</w:t>
            </w:r>
          </w:p>
        </w:tc>
        <w:tc>
          <w:tcPr>
            <w:tcW w:w="1481" w:type="dxa"/>
            <w:tcBorders>
              <w:left w:val="single" w:sz="4" w:space="0" w:color="auto"/>
              <w:right w:val="single" w:sz="4" w:space="0" w:color="auto"/>
            </w:tcBorders>
            <w:vAlign w:val="center"/>
          </w:tcPr>
          <w:p w14:paraId="2A5177D1"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30mmPb</w:t>
            </w:r>
            <w:proofErr w:type="gramStart"/>
            <w:r w:rsidRPr="00B12FE0">
              <w:rPr>
                <w:color w:val="000000" w:themeColor="text1"/>
                <w:sz w:val="18"/>
                <w:szCs w:val="18"/>
              </w:rPr>
              <w:t>铅罐</w:t>
            </w:r>
            <w:proofErr w:type="gramEnd"/>
            <w:r w:rsidRPr="00B12FE0">
              <w:rPr>
                <w:color w:val="000000" w:themeColor="text1"/>
                <w:sz w:val="18"/>
                <w:szCs w:val="18"/>
              </w:rPr>
              <w:t>+240mm</w:t>
            </w:r>
            <w:r w:rsidRPr="00B12FE0">
              <w:rPr>
                <w:color w:val="000000" w:themeColor="text1"/>
                <w:sz w:val="18"/>
                <w:szCs w:val="18"/>
              </w:rPr>
              <w:t>实心砖</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126E43ED"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1.27E-02</w:t>
            </w:r>
          </w:p>
        </w:tc>
        <w:tc>
          <w:tcPr>
            <w:tcW w:w="1065" w:type="dxa"/>
            <w:vMerge/>
            <w:tcBorders>
              <w:left w:val="single" w:sz="4" w:space="0" w:color="auto"/>
              <w:right w:val="single" w:sz="4" w:space="0" w:color="auto"/>
            </w:tcBorders>
            <w:vAlign w:val="center"/>
          </w:tcPr>
          <w:p w14:paraId="2B309B03" w14:textId="77777777" w:rsidR="00A67F21" w:rsidRPr="00B12FE0" w:rsidRDefault="00A67F21">
            <w:pPr>
              <w:jc w:val="center"/>
              <w:rPr>
                <w:color w:val="000000" w:themeColor="text1"/>
                <w:sz w:val="18"/>
                <w:szCs w:val="18"/>
              </w:rPr>
            </w:pPr>
          </w:p>
        </w:tc>
      </w:tr>
      <w:tr w:rsidR="00A67F21" w:rsidRPr="00B12FE0" w14:paraId="6C597491" w14:textId="77777777">
        <w:trPr>
          <w:gridAfter w:val="1"/>
          <w:trHeight w:val="340"/>
          <w:jc w:val="center"/>
        </w:trPr>
        <w:tc>
          <w:tcPr>
            <w:tcW w:w="569" w:type="dxa"/>
            <w:vMerge/>
            <w:tcBorders>
              <w:left w:val="single" w:sz="4" w:space="0" w:color="auto"/>
              <w:right w:val="single" w:sz="4" w:space="0" w:color="auto"/>
            </w:tcBorders>
            <w:vAlign w:val="center"/>
          </w:tcPr>
          <w:p w14:paraId="588CAF24" w14:textId="77777777" w:rsidR="00A67F21" w:rsidRPr="00B12FE0" w:rsidRDefault="00A67F21">
            <w:pPr>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2827DE22" w14:textId="77777777" w:rsidR="00A67F21" w:rsidRPr="00B12FE0" w:rsidRDefault="00A67F21">
            <w:pPr>
              <w:widowControl/>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1C8197F8"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南侧防护门外</w:t>
            </w:r>
            <w:r w:rsidRPr="00B12FE0">
              <w:rPr>
                <w:color w:val="000000" w:themeColor="text1"/>
                <w:sz w:val="18"/>
                <w:szCs w:val="18"/>
              </w:rPr>
              <w:t>30cm</w:t>
            </w:r>
          </w:p>
        </w:tc>
        <w:tc>
          <w:tcPr>
            <w:tcW w:w="912" w:type="dxa"/>
            <w:vMerge w:val="restart"/>
            <w:tcBorders>
              <w:left w:val="single" w:sz="4" w:space="0" w:color="auto"/>
              <w:right w:val="single" w:sz="4" w:space="0" w:color="auto"/>
            </w:tcBorders>
            <w:vAlign w:val="center"/>
          </w:tcPr>
          <w:p w14:paraId="32AFC1DD"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1.8</w:t>
            </w:r>
          </w:p>
        </w:tc>
        <w:tc>
          <w:tcPr>
            <w:tcW w:w="1624" w:type="dxa"/>
            <w:tcBorders>
              <w:top w:val="single" w:sz="4" w:space="0" w:color="auto"/>
              <w:left w:val="single" w:sz="4" w:space="0" w:color="auto"/>
              <w:bottom w:val="single" w:sz="4" w:space="0" w:color="auto"/>
              <w:right w:val="single" w:sz="4" w:space="0" w:color="auto"/>
            </w:tcBorders>
            <w:vAlign w:val="center"/>
          </w:tcPr>
          <w:p w14:paraId="1BACFAAD"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2.22</w:t>
            </w:r>
            <w:r w:rsidRPr="00B12FE0">
              <w:rPr>
                <w:color w:val="000000" w:themeColor="text1"/>
                <w:sz w:val="18"/>
                <w:szCs w:val="18"/>
              </w:rPr>
              <w:t>×10</w:t>
            </w:r>
            <w:r w:rsidRPr="00B12FE0">
              <w:rPr>
                <w:color w:val="000000" w:themeColor="text1"/>
                <w:sz w:val="18"/>
                <w:szCs w:val="18"/>
                <w:vertAlign w:val="superscript"/>
              </w:rPr>
              <w:t>10</w:t>
            </w:r>
          </w:p>
        </w:tc>
        <w:tc>
          <w:tcPr>
            <w:tcW w:w="1481" w:type="dxa"/>
            <w:tcBorders>
              <w:left w:val="single" w:sz="4" w:space="0" w:color="auto"/>
              <w:right w:val="single" w:sz="4" w:space="0" w:color="auto"/>
            </w:tcBorders>
            <w:vAlign w:val="center"/>
          </w:tcPr>
          <w:p w14:paraId="56198BF3"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50mmPb</w:t>
            </w:r>
            <w:proofErr w:type="gramStart"/>
            <w:r w:rsidRPr="00B12FE0">
              <w:rPr>
                <w:color w:val="000000" w:themeColor="text1"/>
                <w:sz w:val="18"/>
                <w:szCs w:val="18"/>
              </w:rPr>
              <w:t>铅罐</w:t>
            </w:r>
            <w:proofErr w:type="gramEnd"/>
            <w:r w:rsidRPr="00B12FE0">
              <w:rPr>
                <w:color w:val="000000" w:themeColor="text1"/>
                <w:sz w:val="18"/>
                <w:szCs w:val="18"/>
              </w:rPr>
              <w:t>+</w:t>
            </w:r>
            <w:r w:rsidRPr="00B12FE0">
              <w:rPr>
                <w:rFonts w:hint="eastAsia"/>
                <w:color w:val="000000" w:themeColor="text1"/>
                <w:sz w:val="18"/>
                <w:szCs w:val="18"/>
              </w:rPr>
              <w:t>内衬</w:t>
            </w:r>
            <w:r w:rsidRPr="00B12FE0">
              <w:rPr>
                <w:rFonts w:hint="eastAsia"/>
                <w:color w:val="000000" w:themeColor="text1"/>
                <w:sz w:val="18"/>
                <w:szCs w:val="18"/>
              </w:rPr>
              <w:t>6mmPb</w:t>
            </w:r>
            <w:proofErr w:type="gramStart"/>
            <w:r w:rsidRPr="00B12FE0">
              <w:rPr>
                <w:rFonts w:hint="eastAsia"/>
                <w:color w:val="000000" w:themeColor="text1"/>
                <w:sz w:val="18"/>
                <w:szCs w:val="18"/>
              </w:rPr>
              <w:t>铅门</w:t>
            </w:r>
            <w:proofErr w:type="gramEnd"/>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2D1ABF99"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4.15E-01</w:t>
            </w:r>
          </w:p>
        </w:tc>
        <w:tc>
          <w:tcPr>
            <w:tcW w:w="1065" w:type="dxa"/>
            <w:vMerge w:val="restart"/>
            <w:tcBorders>
              <w:left w:val="single" w:sz="4" w:space="0" w:color="auto"/>
              <w:right w:val="single" w:sz="4" w:space="0" w:color="auto"/>
            </w:tcBorders>
            <w:vAlign w:val="center"/>
          </w:tcPr>
          <w:p w14:paraId="76350DA5"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4.51</w:t>
            </w:r>
            <w:r w:rsidRPr="00B12FE0">
              <w:rPr>
                <w:color w:val="000000" w:themeColor="text1"/>
                <w:sz w:val="18"/>
                <w:szCs w:val="18"/>
              </w:rPr>
              <w:t>E-01</w:t>
            </w:r>
          </w:p>
        </w:tc>
      </w:tr>
      <w:tr w:rsidR="00A67F21" w:rsidRPr="00B12FE0" w14:paraId="410E781F" w14:textId="77777777">
        <w:trPr>
          <w:gridAfter w:val="1"/>
          <w:trHeight w:val="340"/>
          <w:jc w:val="center"/>
        </w:trPr>
        <w:tc>
          <w:tcPr>
            <w:tcW w:w="569" w:type="dxa"/>
            <w:vMerge/>
            <w:tcBorders>
              <w:left w:val="single" w:sz="4" w:space="0" w:color="auto"/>
              <w:right w:val="single" w:sz="4" w:space="0" w:color="auto"/>
            </w:tcBorders>
            <w:vAlign w:val="center"/>
          </w:tcPr>
          <w:p w14:paraId="3ED9C1CE"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42ECE1AA"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149A0AD5"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749E3936"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7505B06B"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764DF6F9" w14:textId="77777777" w:rsidR="00A67F21" w:rsidRPr="00B12FE0" w:rsidRDefault="00000000">
            <w:pPr>
              <w:topLinePunct/>
              <w:autoSpaceDE w:val="0"/>
              <w:jc w:val="center"/>
              <w:rPr>
                <w:color w:val="000000" w:themeColor="text1"/>
                <w:sz w:val="18"/>
                <w:szCs w:val="18"/>
                <w:vertAlign w:val="superscript"/>
              </w:rPr>
            </w:pPr>
            <w:r w:rsidRPr="00B12FE0">
              <w:rPr>
                <w:rFonts w:ascii="宋体" w:hAnsi="宋体"/>
                <w:color w:val="000000" w:themeColor="text1"/>
                <w:kern w:val="0"/>
                <w:sz w:val="18"/>
                <w:szCs w:val="18"/>
              </w:rPr>
              <w:t>发生器</w:t>
            </w:r>
          </w:p>
        </w:tc>
        <w:tc>
          <w:tcPr>
            <w:tcW w:w="1481" w:type="dxa"/>
            <w:tcBorders>
              <w:top w:val="single" w:sz="4" w:space="0" w:color="000000"/>
              <w:left w:val="nil"/>
              <w:bottom w:val="single" w:sz="4" w:space="0" w:color="000000"/>
              <w:right w:val="single" w:sz="4" w:space="0" w:color="000000"/>
            </w:tcBorders>
            <w:vAlign w:val="center"/>
          </w:tcPr>
          <w:p w14:paraId="2808A346" w14:textId="77777777" w:rsidR="00A67F21" w:rsidRPr="00B12FE0" w:rsidRDefault="00000000">
            <w:pPr>
              <w:topLinePunct/>
              <w:autoSpaceDE w:val="0"/>
              <w:jc w:val="center"/>
              <w:rPr>
                <w:color w:val="000000" w:themeColor="text1"/>
                <w:sz w:val="18"/>
                <w:szCs w:val="18"/>
              </w:rPr>
            </w:pPr>
            <w:r w:rsidRPr="00B12FE0">
              <w:rPr>
                <w:rStyle w:val="150"/>
                <w:rFonts w:ascii="Times New Roman" w:hAnsi="Times New Roman" w:cs="Times New Roman"/>
                <w:color w:val="000000" w:themeColor="text1"/>
                <w:sz w:val="18"/>
                <w:szCs w:val="18"/>
              </w:rPr>
              <w:t>内衬</w:t>
            </w:r>
            <w:r w:rsidRPr="00B12FE0">
              <w:rPr>
                <w:rStyle w:val="150"/>
                <w:rFonts w:ascii="Times New Roman" w:hAnsi="Times New Roman" w:cs="Times New Roman"/>
                <w:color w:val="000000" w:themeColor="text1"/>
                <w:sz w:val="18"/>
                <w:szCs w:val="18"/>
              </w:rPr>
              <w:t>6mmPb</w:t>
            </w:r>
            <w:proofErr w:type="gramStart"/>
            <w:r w:rsidRPr="00B12FE0">
              <w:rPr>
                <w:rStyle w:val="150"/>
                <w:rFonts w:ascii="Times New Roman" w:hAnsi="Times New Roman" w:cs="Times New Roman"/>
                <w:color w:val="000000" w:themeColor="text1"/>
                <w:sz w:val="18"/>
                <w:szCs w:val="18"/>
              </w:rPr>
              <w:t>铅门</w:t>
            </w:r>
            <w:proofErr w:type="gramEnd"/>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6E6C6ECC"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5.00E-07</w:t>
            </w:r>
          </w:p>
        </w:tc>
        <w:tc>
          <w:tcPr>
            <w:tcW w:w="1065" w:type="dxa"/>
            <w:vMerge/>
            <w:tcBorders>
              <w:left w:val="single" w:sz="4" w:space="0" w:color="auto"/>
              <w:right w:val="single" w:sz="4" w:space="0" w:color="auto"/>
            </w:tcBorders>
            <w:vAlign w:val="center"/>
          </w:tcPr>
          <w:p w14:paraId="50E3750E" w14:textId="77777777" w:rsidR="00A67F21" w:rsidRPr="00B12FE0" w:rsidRDefault="00A67F21">
            <w:pPr>
              <w:jc w:val="center"/>
              <w:rPr>
                <w:color w:val="000000" w:themeColor="text1"/>
                <w:sz w:val="18"/>
                <w:szCs w:val="18"/>
              </w:rPr>
            </w:pPr>
          </w:p>
        </w:tc>
      </w:tr>
      <w:tr w:rsidR="00A67F21" w:rsidRPr="00B12FE0" w14:paraId="1477DA79" w14:textId="77777777">
        <w:trPr>
          <w:gridAfter w:val="1"/>
          <w:trHeight w:val="340"/>
          <w:jc w:val="center"/>
        </w:trPr>
        <w:tc>
          <w:tcPr>
            <w:tcW w:w="569" w:type="dxa"/>
            <w:vMerge/>
            <w:tcBorders>
              <w:left w:val="single" w:sz="4" w:space="0" w:color="auto"/>
              <w:right w:val="single" w:sz="4" w:space="0" w:color="auto"/>
            </w:tcBorders>
            <w:vAlign w:val="center"/>
          </w:tcPr>
          <w:p w14:paraId="63231587"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53FDB4D5"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470F3295"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2D146ADA"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0353F62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color w:val="000000" w:themeColor="text1"/>
                <w:sz w:val="18"/>
                <w:szCs w:val="18"/>
                <w:vertAlign w:val="superscript"/>
              </w:rPr>
              <w:t>9</w:t>
            </w:r>
          </w:p>
        </w:tc>
        <w:tc>
          <w:tcPr>
            <w:tcW w:w="1481" w:type="dxa"/>
            <w:tcBorders>
              <w:left w:val="single" w:sz="4" w:space="0" w:color="auto"/>
              <w:right w:val="single" w:sz="4" w:space="0" w:color="auto"/>
            </w:tcBorders>
            <w:vAlign w:val="center"/>
          </w:tcPr>
          <w:p w14:paraId="4717F30A"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30mmPb</w:t>
            </w:r>
            <w:proofErr w:type="gramStart"/>
            <w:r w:rsidRPr="00B12FE0">
              <w:rPr>
                <w:color w:val="000000" w:themeColor="text1"/>
                <w:sz w:val="18"/>
                <w:szCs w:val="18"/>
              </w:rPr>
              <w:t>铅罐</w:t>
            </w:r>
            <w:proofErr w:type="gramEnd"/>
            <w:r w:rsidRPr="00B12FE0">
              <w:rPr>
                <w:color w:val="000000" w:themeColor="text1"/>
                <w:sz w:val="18"/>
                <w:szCs w:val="18"/>
              </w:rPr>
              <w:t>+</w:t>
            </w:r>
            <w:r w:rsidRPr="00B12FE0">
              <w:rPr>
                <w:rFonts w:hint="eastAsia"/>
                <w:color w:val="000000" w:themeColor="text1"/>
                <w:sz w:val="18"/>
                <w:szCs w:val="18"/>
              </w:rPr>
              <w:t>内衬</w:t>
            </w:r>
            <w:r w:rsidRPr="00B12FE0">
              <w:rPr>
                <w:rFonts w:hint="eastAsia"/>
                <w:color w:val="000000" w:themeColor="text1"/>
                <w:sz w:val="18"/>
                <w:szCs w:val="18"/>
              </w:rPr>
              <w:t>6mmPb</w:t>
            </w:r>
            <w:proofErr w:type="gramStart"/>
            <w:r w:rsidRPr="00B12FE0">
              <w:rPr>
                <w:rFonts w:hint="eastAsia"/>
                <w:color w:val="000000" w:themeColor="text1"/>
                <w:sz w:val="18"/>
                <w:szCs w:val="18"/>
              </w:rPr>
              <w:t>铅门</w:t>
            </w:r>
            <w:proofErr w:type="gramEnd"/>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7CD3A68A"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3.63E-02</w:t>
            </w:r>
          </w:p>
        </w:tc>
        <w:tc>
          <w:tcPr>
            <w:tcW w:w="1065" w:type="dxa"/>
            <w:vMerge/>
            <w:tcBorders>
              <w:left w:val="single" w:sz="4" w:space="0" w:color="auto"/>
              <w:right w:val="single" w:sz="4" w:space="0" w:color="auto"/>
            </w:tcBorders>
            <w:vAlign w:val="center"/>
          </w:tcPr>
          <w:p w14:paraId="5EA90028" w14:textId="77777777" w:rsidR="00A67F21" w:rsidRPr="00B12FE0" w:rsidRDefault="00A67F21">
            <w:pPr>
              <w:jc w:val="center"/>
              <w:rPr>
                <w:color w:val="000000" w:themeColor="text1"/>
                <w:sz w:val="18"/>
                <w:szCs w:val="18"/>
              </w:rPr>
            </w:pPr>
          </w:p>
        </w:tc>
      </w:tr>
      <w:tr w:rsidR="00A67F21" w:rsidRPr="00B12FE0" w14:paraId="7059CAAB" w14:textId="77777777">
        <w:trPr>
          <w:gridAfter w:val="1"/>
          <w:trHeight w:val="340"/>
          <w:jc w:val="center"/>
        </w:trPr>
        <w:tc>
          <w:tcPr>
            <w:tcW w:w="569" w:type="dxa"/>
            <w:vMerge w:val="restart"/>
            <w:tcBorders>
              <w:left w:val="single" w:sz="4" w:space="0" w:color="auto"/>
              <w:right w:val="single" w:sz="4" w:space="0" w:color="auto"/>
            </w:tcBorders>
            <w:vAlign w:val="center"/>
          </w:tcPr>
          <w:p w14:paraId="5505029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2-8</w:t>
            </w:r>
          </w:p>
        </w:tc>
        <w:tc>
          <w:tcPr>
            <w:tcW w:w="1118" w:type="dxa"/>
            <w:vMerge/>
            <w:tcBorders>
              <w:left w:val="single" w:sz="4" w:space="0" w:color="auto"/>
              <w:right w:val="single" w:sz="4" w:space="0" w:color="auto"/>
            </w:tcBorders>
            <w:vAlign w:val="center"/>
          </w:tcPr>
          <w:p w14:paraId="3C402767" w14:textId="77777777" w:rsidR="00A67F21" w:rsidRPr="00B12FE0" w:rsidRDefault="00A67F21">
            <w:pPr>
              <w:widowControl/>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04347323"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6B31BB9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6DF65A5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2.22</w:t>
            </w:r>
            <w:r w:rsidRPr="00B12FE0">
              <w:rPr>
                <w:color w:val="000000" w:themeColor="text1"/>
                <w:sz w:val="18"/>
                <w:szCs w:val="18"/>
              </w:rPr>
              <w:t>×10</w:t>
            </w:r>
            <w:r w:rsidRPr="00B12FE0">
              <w:rPr>
                <w:color w:val="000000" w:themeColor="text1"/>
                <w:sz w:val="18"/>
                <w:szCs w:val="18"/>
                <w:vertAlign w:val="superscript"/>
              </w:rPr>
              <w:t>10</w:t>
            </w:r>
          </w:p>
        </w:tc>
        <w:tc>
          <w:tcPr>
            <w:tcW w:w="1481" w:type="dxa"/>
            <w:tcBorders>
              <w:left w:val="single" w:sz="4" w:space="0" w:color="auto"/>
              <w:right w:val="single" w:sz="4" w:space="0" w:color="auto"/>
            </w:tcBorders>
            <w:vAlign w:val="center"/>
          </w:tcPr>
          <w:p w14:paraId="1EF45E00"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50mmPb</w:t>
            </w:r>
            <w:proofErr w:type="gramStart"/>
            <w:r w:rsidRPr="00B12FE0">
              <w:rPr>
                <w:color w:val="000000" w:themeColor="text1"/>
                <w:sz w:val="18"/>
                <w:szCs w:val="18"/>
              </w:rPr>
              <w:t>铅罐</w:t>
            </w:r>
            <w:proofErr w:type="gramEnd"/>
            <w:r w:rsidRPr="00B12FE0">
              <w:rPr>
                <w:color w:val="000000" w:themeColor="text1"/>
                <w:sz w:val="18"/>
                <w:szCs w:val="18"/>
              </w:rPr>
              <w:t>+</w:t>
            </w:r>
            <w:r w:rsidRPr="00B12FE0">
              <w:rPr>
                <w:rFonts w:hint="eastAsia"/>
                <w:color w:val="000000" w:themeColor="text1"/>
                <w:kern w:val="0"/>
                <w:sz w:val="18"/>
                <w:szCs w:val="18"/>
              </w:rPr>
              <w:t>25</w:t>
            </w:r>
            <w:r w:rsidRPr="00B12FE0">
              <w:rPr>
                <w:color w:val="000000" w:themeColor="text1"/>
                <w:kern w:val="0"/>
                <w:sz w:val="18"/>
                <w:szCs w:val="18"/>
              </w:rPr>
              <w:t>0mm</w:t>
            </w:r>
            <w:r w:rsidRPr="00B12FE0">
              <w:rPr>
                <w:rFonts w:ascii="宋体" w:hAnsi="宋体" w:hint="eastAsia"/>
                <w:color w:val="000000" w:themeColor="text1"/>
                <w:kern w:val="0"/>
                <w:sz w:val="18"/>
                <w:szCs w:val="18"/>
              </w:rPr>
              <w:t>混凝土</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1FC6E7DD"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5.79E-03</w:t>
            </w:r>
          </w:p>
        </w:tc>
        <w:tc>
          <w:tcPr>
            <w:tcW w:w="1065" w:type="dxa"/>
            <w:vMerge w:val="restart"/>
            <w:tcBorders>
              <w:left w:val="single" w:sz="4" w:space="0" w:color="auto"/>
              <w:right w:val="single" w:sz="4" w:space="0" w:color="auto"/>
            </w:tcBorders>
            <w:vAlign w:val="center"/>
          </w:tcPr>
          <w:p w14:paraId="2CB9D62A"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9.15</w:t>
            </w:r>
            <w:r w:rsidRPr="00B12FE0">
              <w:rPr>
                <w:color w:val="000000" w:themeColor="text1"/>
                <w:sz w:val="18"/>
                <w:szCs w:val="18"/>
              </w:rPr>
              <w:t>E-03</w:t>
            </w:r>
          </w:p>
        </w:tc>
      </w:tr>
      <w:tr w:rsidR="00A67F21" w:rsidRPr="00B12FE0" w14:paraId="0E86D317" w14:textId="77777777">
        <w:trPr>
          <w:gridAfter w:val="1"/>
          <w:trHeight w:val="340"/>
          <w:jc w:val="center"/>
        </w:trPr>
        <w:tc>
          <w:tcPr>
            <w:tcW w:w="569" w:type="dxa"/>
            <w:vMerge/>
            <w:tcBorders>
              <w:left w:val="single" w:sz="4" w:space="0" w:color="auto"/>
              <w:right w:val="single" w:sz="4" w:space="0" w:color="auto"/>
            </w:tcBorders>
            <w:vAlign w:val="center"/>
          </w:tcPr>
          <w:p w14:paraId="3FC0F1EA"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680D7825"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67C710FC"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5AE382D0"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651E5BA6"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58AED355" w14:textId="77777777" w:rsidR="00A67F21" w:rsidRPr="00B12FE0" w:rsidRDefault="00000000">
            <w:pPr>
              <w:topLinePunct/>
              <w:autoSpaceDE w:val="0"/>
              <w:jc w:val="center"/>
              <w:rPr>
                <w:color w:val="000000" w:themeColor="text1"/>
                <w:sz w:val="18"/>
                <w:szCs w:val="18"/>
                <w:vertAlign w:val="superscript"/>
              </w:rPr>
            </w:pPr>
            <w:r w:rsidRPr="00B12FE0">
              <w:rPr>
                <w:rFonts w:ascii="宋体" w:hAnsi="宋体"/>
                <w:color w:val="000000" w:themeColor="text1"/>
                <w:kern w:val="0"/>
                <w:sz w:val="18"/>
                <w:szCs w:val="18"/>
              </w:rPr>
              <w:t>发生器</w:t>
            </w:r>
          </w:p>
        </w:tc>
        <w:tc>
          <w:tcPr>
            <w:tcW w:w="1481" w:type="dxa"/>
            <w:tcBorders>
              <w:top w:val="single" w:sz="4" w:space="0" w:color="000000"/>
              <w:left w:val="nil"/>
              <w:bottom w:val="single" w:sz="4" w:space="0" w:color="000000"/>
              <w:right w:val="single" w:sz="4" w:space="0" w:color="000000"/>
            </w:tcBorders>
            <w:vAlign w:val="center"/>
          </w:tcPr>
          <w:p w14:paraId="45EE5086"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rFonts w:ascii="宋体" w:hAnsi="宋体" w:hint="eastAsia"/>
                <w:color w:val="000000" w:themeColor="text1"/>
                <w:kern w:val="0"/>
                <w:sz w:val="18"/>
                <w:szCs w:val="18"/>
              </w:rPr>
              <w:t>混凝土</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62940D0E"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2.67E-03</w:t>
            </w:r>
          </w:p>
        </w:tc>
        <w:tc>
          <w:tcPr>
            <w:tcW w:w="1065" w:type="dxa"/>
            <w:vMerge/>
            <w:tcBorders>
              <w:left w:val="single" w:sz="4" w:space="0" w:color="auto"/>
              <w:right w:val="single" w:sz="4" w:space="0" w:color="auto"/>
            </w:tcBorders>
            <w:vAlign w:val="center"/>
          </w:tcPr>
          <w:p w14:paraId="64C5ACE6" w14:textId="77777777" w:rsidR="00A67F21" w:rsidRPr="00B12FE0" w:rsidRDefault="00A67F21">
            <w:pPr>
              <w:jc w:val="center"/>
              <w:rPr>
                <w:color w:val="000000" w:themeColor="text1"/>
                <w:sz w:val="18"/>
                <w:szCs w:val="18"/>
              </w:rPr>
            </w:pPr>
          </w:p>
        </w:tc>
      </w:tr>
      <w:tr w:rsidR="00A67F21" w:rsidRPr="00B12FE0" w14:paraId="57DD227E" w14:textId="77777777">
        <w:trPr>
          <w:gridAfter w:val="1"/>
          <w:trHeight w:val="340"/>
          <w:jc w:val="center"/>
        </w:trPr>
        <w:tc>
          <w:tcPr>
            <w:tcW w:w="569" w:type="dxa"/>
            <w:vMerge/>
            <w:tcBorders>
              <w:left w:val="single" w:sz="4" w:space="0" w:color="auto"/>
              <w:right w:val="single" w:sz="4" w:space="0" w:color="auto"/>
            </w:tcBorders>
            <w:vAlign w:val="center"/>
          </w:tcPr>
          <w:p w14:paraId="655CE388"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3791D1DE"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702CF5FB"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07E59134"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0D00247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color w:val="000000" w:themeColor="text1"/>
                <w:sz w:val="18"/>
                <w:szCs w:val="18"/>
                <w:vertAlign w:val="superscript"/>
              </w:rPr>
              <w:t>9</w:t>
            </w:r>
          </w:p>
        </w:tc>
        <w:tc>
          <w:tcPr>
            <w:tcW w:w="1481" w:type="dxa"/>
            <w:tcBorders>
              <w:left w:val="single" w:sz="4" w:space="0" w:color="auto"/>
              <w:right w:val="single" w:sz="4" w:space="0" w:color="auto"/>
            </w:tcBorders>
            <w:vAlign w:val="center"/>
          </w:tcPr>
          <w:p w14:paraId="598412B8"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3</w:t>
            </w:r>
            <w:r w:rsidRPr="00B12FE0">
              <w:rPr>
                <w:color w:val="000000" w:themeColor="text1"/>
                <w:sz w:val="18"/>
                <w:szCs w:val="18"/>
              </w:rPr>
              <w:t>0mmPb</w:t>
            </w:r>
            <w:proofErr w:type="gramStart"/>
            <w:r w:rsidRPr="00B12FE0">
              <w:rPr>
                <w:color w:val="000000" w:themeColor="text1"/>
                <w:sz w:val="18"/>
                <w:szCs w:val="18"/>
              </w:rPr>
              <w:t>铅罐</w:t>
            </w:r>
            <w:proofErr w:type="gramEnd"/>
            <w:r w:rsidRPr="00B12FE0">
              <w:rPr>
                <w:rFonts w:hint="eastAsia"/>
                <w:color w:val="000000" w:themeColor="text1"/>
                <w:sz w:val="18"/>
                <w:szCs w:val="18"/>
              </w:rPr>
              <w:t>+</w:t>
            </w:r>
            <w:r w:rsidRPr="00B12FE0">
              <w:rPr>
                <w:rFonts w:hint="eastAsia"/>
                <w:color w:val="000000" w:themeColor="text1"/>
                <w:kern w:val="0"/>
                <w:sz w:val="18"/>
                <w:szCs w:val="18"/>
              </w:rPr>
              <w:t>25</w:t>
            </w:r>
            <w:r w:rsidRPr="00B12FE0">
              <w:rPr>
                <w:color w:val="000000" w:themeColor="text1"/>
                <w:kern w:val="0"/>
                <w:sz w:val="18"/>
                <w:szCs w:val="18"/>
              </w:rPr>
              <w:t>0mm</w:t>
            </w:r>
            <w:r w:rsidRPr="00B12FE0">
              <w:rPr>
                <w:rFonts w:ascii="宋体" w:hAnsi="宋体" w:hint="eastAsia"/>
                <w:color w:val="000000" w:themeColor="text1"/>
                <w:kern w:val="0"/>
                <w:sz w:val="18"/>
                <w:szCs w:val="18"/>
              </w:rPr>
              <w:t>混凝土</w:t>
            </w: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3ACEF1BD" w14:textId="77777777" w:rsidR="00A67F21" w:rsidRPr="00B12FE0" w:rsidRDefault="00000000">
            <w:pPr>
              <w:widowControl/>
              <w:jc w:val="center"/>
              <w:rPr>
                <w:color w:val="000000" w:themeColor="text1"/>
                <w:sz w:val="18"/>
                <w:szCs w:val="18"/>
              </w:rPr>
            </w:pPr>
            <w:r w:rsidRPr="00B12FE0">
              <w:rPr>
                <w:rFonts w:eastAsia="等线"/>
                <w:color w:val="000000" w:themeColor="text1"/>
                <w:sz w:val="18"/>
                <w:szCs w:val="18"/>
              </w:rPr>
              <w:t>6.89E-04</w:t>
            </w:r>
          </w:p>
        </w:tc>
        <w:tc>
          <w:tcPr>
            <w:tcW w:w="1065" w:type="dxa"/>
            <w:vMerge/>
            <w:tcBorders>
              <w:left w:val="single" w:sz="4" w:space="0" w:color="auto"/>
              <w:right w:val="single" w:sz="4" w:space="0" w:color="auto"/>
            </w:tcBorders>
            <w:vAlign w:val="center"/>
          </w:tcPr>
          <w:p w14:paraId="301CB1C8" w14:textId="77777777" w:rsidR="00A67F21" w:rsidRPr="00B12FE0" w:rsidRDefault="00A67F21">
            <w:pPr>
              <w:jc w:val="center"/>
              <w:rPr>
                <w:color w:val="000000" w:themeColor="text1"/>
                <w:sz w:val="18"/>
                <w:szCs w:val="18"/>
              </w:rPr>
            </w:pPr>
          </w:p>
        </w:tc>
      </w:tr>
      <w:tr w:rsidR="00A67F21" w:rsidRPr="00B12FE0" w14:paraId="416FB11C" w14:textId="77777777">
        <w:trPr>
          <w:gridAfter w:val="1"/>
          <w:trHeight w:val="340"/>
          <w:jc w:val="center"/>
        </w:trPr>
        <w:tc>
          <w:tcPr>
            <w:tcW w:w="569" w:type="dxa"/>
            <w:vMerge w:val="restart"/>
            <w:tcBorders>
              <w:left w:val="single" w:sz="4" w:space="0" w:color="auto"/>
              <w:right w:val="single" w:sz="4" w:space="0" w:color="auto"/>
            </w:tcBorders>
            <w:vAlign w:val="center"/>
          </w:tcPr>
          <w:p w14:paraId="598117A2"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118" w:type="dxa"/>
            <w:vMerge w:val="restart"/>
            <w:tcBorders>
              <w:left w:val="single" w:sz="4" w:space="0" w:color="auto"/>
              <w:right w:val="single" w:sz="4" w:space="0" w:color="auto"/>
            </w:tcBorders>
            <w:vAlign w:val="center"/>
          </w:tcPr>
          <w:p w14:paraId="48749637" w14:textId="77777777" w:rsidR="00A67F21" w:rsidRPr="00B12FE0" w:rsidRDefault="00000000">
            <w:pPr>
              <w:widowControl/>
              <w:jc w:val="center"/>
              <w:rPr>
                <w:color w:val="000000" w:themeColor="text1"/>
                <w:kern w:val="0"/>
                <w:sz w:val="18"/>
                <w:szCs w:val="18"/>
              </w:rPr>
            </w:pPr>
            <w:proofErr w:type="gramStart"/>
            <w:r w:rsidRPr="00B12FE0">
              <w:rPr>
                <w:rFonts w:hint="eastAsia"/>
                <w:color w:val="000000" w:themeColor="text1"/>
                <w:kern w:val="0"/>
                <w:sz w:val="18"/>
                <w:szCs w:val="18"/>
              </w:rPr>
              <w:t>固废间</w:t>
            </w:r>
            <w:proofErr w:type="gramEnd"/>
          </w:p>
        </w:tc>
        <w:tc>
          <w:tcPr>
            <w:tcW w:w="861" w:type="dxa"/>
            <w:vMerge w:val="restart"/>
            <w:tcBorders>
              <w:left w:val="single" w:sz="4" w:space="0" w:color="auto"/>
              <w:right w:val="single" w:sz="4" w:space="0" w:color="auto"/>
            </w:tcBorders>
            <w:vAlign w:val="center"/>
          </w:tcPr>
          <w:p w14:paraId="3BB39931"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7408C523"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0F7FD5D7"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363B51FA"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10mmPb</w:t>
            </w:r>
            <w:r w:rsidRPr="00B12FE0">
              <w:rPr>
                <w:rFonts w:ascii="宋体" w:hAnsi="宋体"/>
                <w:color w:val="000000" w:themeColor="text1"/>
                <w:kern w:val="0"/>
                <w:sz w:val="18"/>
                <w:szCs w:val="18"/>
              </w:rPr>
              <w:t>衰变箱</w:t>
            </w:r>
            <w:r w:rsidRPr="00B12FE0">
              <w:rPr>
                <w:color w:val="000000" w:themeColor="text1"/>
                <w:kern w:val="0"/>
                <w:sz w:val="18"/>
                <w:szCs w:val="18"/>
              </w:rPr>
              <w:t>+</w:t>
            </w:r>
            <w:r w:rsidRPr="00B12FE0">
              <w:rPr>
                <w:rFonts w:hint="eastAsia"/>
                <w:color w:val="000000" w:themeColor="text1"/>
                <w:kern w:val="0"/>
                <w:sz w:val="18"/>
                <w:szCs w:val="18"/>
              </w:rPr>
              <w:t>25</w:t>
            </w:r>
            <w:r w:rsidRPr="00B12FE0">
              <w:rPr>
                <w:color w:val="000000" w:themeColor="text1"/>
                <w:kern w:val="0"/>
                <w:sz w:val="18"/>
                <w:szCs w:val="18"/>
              </w:rPr>
              <w:t>0mm</w:t>
            </w:r>
            <w:r w:rsidRPr="00B12FE0">
              <w:rPr>
                <w:rFonts w:ascii="宋体" w:hAnsi="宋体" w:hint="eastAsia"/>
                <w:color w:val="000000" w:themeColor="text1"/>
                <w:kern w:val="0"/>
                <w:sz w:val="18"/>
                <w:szCs w:val="18"/>
              </w:rPr>
              <w:t>混凝土</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1CC4B87E" w14:textId="77777777" w:rsidR="00A67F21" w:rsidRPr="00B12FE0" w:rsidRDefault="00000000">
            <w:pPr>
              <w:widowControl/>
              <w:jc w:val="center"/>
              <w:rPr>
                <w:color w:val="000000" w:themeColor="text1"/>
                <w:sz w:val="18"/>
                <w:szCs w:val="18"/>
              </w:rPr>
            </w:pPr>
            <w:r w:rsidRPr="00B12FE0">
              <w:rPr>
                <w:color w:val="000000" w:themeColor="text1"/>
                <w:sz w:val="18"/>
                <w:szCs w:val="18"/>
              </w:rPr>
              <w:t>6.38E-03</w:t>
            </w:r>
          </w:p>
        </w:tc>
        <w:tc>
          <w:tcPr>
            <w:tcW w:w="1065" w:type="dxa"/>
            <w:vMerge w:val="restart"/>
            <w:tcBorders>
              <w:left w:val="single" w:sz="4" w:space="0" w:color="auto"/>
              <w:right w:val="single" w:sz="4" w:space="0" w:color="auto"/>
            </w:tcBorders>
            <w:vAlign w:val="center"/>
          </w:tcPr>
          <w:p w14:paraId="41E676FD"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9.49</w:t>
            </w:r>
            <w:r w:rsidRPr="00B12FE0">
              <w:rPr>
                <w:color w:val="000000" w:themeColor="text1"/>
                <w:sz w:val="18"/>
                <w:szCs w:val="18"/>
              </w:rPr>
              <w:t>E-03</w:t>
            </w:r>
          </w:p>
        </w:tc>
      </w:tr>
      <w:tr w:rsidR="00A67F21" w:rsidRPr="00B12FE0" w14:paraId="1A168D59" w14:textId="77777777">
        <w:trPr>
          <w:gridAfter w:val="1"/>
          <w:trHeight w:val="340"/>
          <w:jc w:val="center"/>
        </w:trPr>
        <w:tc>
          <w:tcPr>
            <w:tcW w:w="569" w:type="dxa"/>
            <w:vMerge/>
            <w:tcBorders>
              <w:left w:val="single" w:sz="4" w:space="0" w:color="auto"/>
              <w:right w:val="single" w:sz="4" w:space="0" w:color="auto"/>
            </w:tcBorders>
            <w:vAlign w:val="center"/>
          </w:tcPr>
          <w:p w14:paraId="74EA59E8"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5D881835" w14:textId="77777777" w:rsidR="00A67F21" w:rsidRPr="00B12FE0" w:rsidRDefault="00A67F21">
            <w:pPr>
              <w:widowControl/>
              <w:jc w:val="center"/>
              <w:rPr>
                <w:color w:val="000000" w:themeColor="text1"/>
                <w:kern w:val="0"/>
                <w:sz w:val="18"/>
                <w:szCs w:val="18"/>
              </w:rPr>
            </w:pPr>
          </w:p>
        </w:tc>
        <w:tc>
          <w:tcPr>
            <w:tcW w:w="861" w:type="dxa"/>
            <w:vMerge/>
            <w:tcBorders>
              <w:left w:val="single" w:sz="4" w:space="0" w:color="auto"/>
              <w:right w:val="single" w:sz="4" w:space="0" w:color="auto"/>
            </w:tcBorders>
            <w:vAlign w:val="center"/>
          </w:tcPr>
          <w:p w14:paraId="49159E11"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5D5DD2D5"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736E1B5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621C5410" w14:textId="77777777" w:rsidR="00A67F21" w:rsidRPr="00B12FE0" w:rsidRDefault="00A67F21">
            <w:pPr>
              <w:topLinePunct/>
              <w:autoSpaceDE w:val="0"/>
              <w:jc w:val="center"/>
              <w:rPr>
                <w:color w:val="000000" w:themeColor="text1"/>
                <w:sz w:val="18"/>
                <w:szCs w:val="18"/>
              </w:rPr>
            </w:pP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73D1DA21" w14:textId="77777777" w:rsidR="00A67F21" w:rsidRPr="00B12FE0" w:rsidRDefault="00000000">
            <w:pPr>
              <w:widowControl/>
              <w:jc w:val="center"/>
              <w:rPr>
                <w:color w:val="000000" w:themeColor="text1"/>
                <w:sz w:val="18"/>
                <w:szCs w:val="18"/>
              </w:rPr>
            </w:pPr>
            <w:r w:rsidRPr="00B12FE0">
              <w:rPr>
                <w:color w:val="000000" w:themeColor="text1"/>
                <w:sz w:val="18"/>
                <w:szCs w:val="18"/>
              </w:rPr>
              <w:t>1.51E-13</w:t>
            </w:r>
          </w:p>
        </w:tc>
        <w:tc>
          <w:tcPr>
            <w:tcW w:w="1065" w:type="dxa"/>
            <w:vMerge/>
            <w:tcBorders>
              <w:left w:val="single" w:sz="4" w:space="0" w:color="auto"/>
              <w:right w:val="single" w:sz="4" w:space="0" w:color="auto"/>
            </w:tcBorders>
            <w:vAlign w:val="center"/>
          </w:tcPr>
          <w:p w14:paraId="54AA088B" w14:textId="77777777" w:rsidR="00A67F21" w:rsidRPr="00B12FE0" w:rsidRDefault="00A67F21">
            <w:pPr>
              <w:jc w:val="center"/>
              <w:rPr>
                <w:color w:val="000000" w:themeColor="text1"/>
                <w:sz w:val="18"/>
                <w:szCs w:val="18"/>
              </w:rPr>
            </w:pPr>
          </w:p>
        </w:tc>
      </w:tr>
      <w:tr w:rsidR="00A67F21" w:rsidRPr="00B12FE0" w14:paraId="2F4961AB" w14:textId="77777777">
        <w:trPr>
          <w:gridAfter w:val="1"/>
          <w:trHeight w:val="340"/>
          <w:jc w:val="center"/>
        </w:trPr>
        <w:tc>
          <w:tcPr>
            <w:tcW w:w="569" w:type="dxa"/>
            <w:vMerge/>
            <w:tcBorders>
              <w:left w:val="single" w:sz="4" w:space="0" w:color="auto"/>
              <w:right w:val="single" w:sz="4" w:space="0" w:color="auto"/>
            </w:tcBorders>
            <w:vAlign w:val="center"/>
          </w:tcPr>
          <w:p w14:paraId="6E39426E"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25B67185" w14:textId="77777777" w:rsidR="00A67F21" w:rsidRPr="00B12FE0" w:rsidRDefault="00A67F21">
            <w:pPr>
              <w:widowControl/>
              <w:jc w:val="center"/>
              <w:rPr>
                <w:color w:val="000000" w:themeColor="text1"/>
                <w:kern w:val="0"/>
                <w:sz w:val="18"/>
                <w:szCs w:val="18"/>
              </w:rPr>
            </w:pPr>
          </w:p>
        </w:tc>
        <w:tc>
          <w:tcPr>
            <w:tcW w:w="861" w:type="dxa"/>
            <w:vMerge/>
            <w:tcBorders>
              <w:left w:val="single" w:sz="4" w:space="0" w:color="auto"/>
              <w:right w:val="single" w:sz="4" w:space="0" w:color="auto"/>
            </w:tcBorders>
            <w:vAlign w:val="center"/>
          </w:tcPr>
          <w:p w14:paraId="632DC305"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6D9F907F"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000000"/>
              <w:left w:val="single" w:sz="4" w:space="0" w:color="000000"/>
              <w:bottom w:val="single" w:sz="4" w:space="0" w:color="000000"/>
              <w:right w:val="single" w:sz="4" w:space="0" w:color="000000"/>
            </w:tcBorders>
            <w:vAlign w:val="center"/>
          </w:tcPr>
          <w:p w14:paraId="1D7757BE"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066DD464" w14:textId="77777777" w:rsidR="00A67F21" w:rsidRPr="00B12FE0" w:rsidRDefault="00000000">
            <w:pPr>
              <w:topLinePunct/>
              <w:autoSpaceDE w:val="0"/>
              <w:jc w:val="center"/>
              <w:rPr>
                <w:color w:val="000000" w:themeColor="text1"/>
                <w:sz w:val="18"/>
                <w:szCs w:val="18"/>
                <w:vertAlign w:val="superscript"/>
              </w:rPr>
            </w:pPr>
            <w:r w:rsidRPr="00B12FE0">
              <w:rPr>
                <w:rFonts w:ascii="宋体" w:hAnsi="宋体"/>
                <w:color w:val="000000" w:themeColor="text1"/>
                <w:kern w:val="0"/>
                <w:sz w:val="18"/>
                <w:szCs w:val="18"/>
              </w:rPr>
              <w:t>发生器</w:t>
            </w:r>
          </w:p>
        </w:tc>
        <w:tc>
          <w:tcPr>
            <w:tcW w:w="1481" w:type="dxa"/>
            <w:tcBorders>
              <w:left w:val="single" w:sz="4" w:space="0" w:color="auto"/>
              <w:right w:val="single" w:sz="4" w:space="0" w:color="auto"/>
            </w:tcBorders>
            <w:vAlign w:val="center"/>
          </w:tcPr>
          <w:p w14:paraId="3E79B4EE"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rFonts w:ascii="宋体" w:hAnsi="宋体" w:hint="eastAsia"/>
                <w:color w:val="000000" w:themeColor="text1"/>
                <w:kern w:val="0"/>
                <w:sz w:val="18"/>
                <w:szCs w:val="18"/>
              </w:rPr>
              <w:t>混凝土</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5E1ED591" w14:textId="77777777" w:rsidR="00A67F21" w:rsidRPr="00B12FE0" w:rsidRDefault="00000000">
            <w:pPr>
              <w:widowControl/>
              <w:jc w:val="center"/>
              <w:rPr>
                <w:color w:val="000000" w:themeColor="text1"/>
                <w:sz w:val="18"/>
                <w:szCs w:val="18"/>
              </w:rPr>
            </w:pPr>
            <w:r w:rsidRPr="00B12FE0">
              <w:rPr>
                <w:color w:val="000000" w:themeColor="text1"/>
                <w:sz w:val="18"/>
                <w:szCs w:val="18"/>
              </w:rPr>
              <w:t>2.67E-0</w:t>
            </w:r>
            <w:r w:rsidRPr="00B12FE0">
              <w:rPr>
                <w:rFonts w:hint="eastAsia"/>
                <w:color w:val="000000" w:themeColor="text1"/>
                <w:sz w:val="18"/>
                <w:szCs w:val="18"/>
              </w:rPr>
              <w:t>3</w:t>
            </w:r>
          </w:p>
        </w:tc>
        <w:tc>
          <w:tcPr>
            <w:tcW w:w="1065" w:type="dxa"/>
            <w:vMerge/>
            <w:tcBorders>
              <w:left w:val="single" w:sz="4" w:space="0" w:color="auto"/>
              <w:right w:val="single" w:sz="4" w:space="0" w:color="auto"/>
            </w:tcBorders>
            <w:vAlign w:val="center"/>
          </w:tcPr>
          <w:p w14:paraId="5FF403F9" w14:textId="77777777" w:rsidR="00A67F21" w:rsidRPr="00B12FE0" w:rsidRDefault="00A67F21">
            <w:pPr>
              <w:jc w:val="center"/>
              <w:rPr>
                <w:color w:val="000000" w:themeColor="text1"/>
                <w:sz w:val="18"/>
                <w:szCs w:val="18"/>
              </w:rPr>
            </w:pPr>
          </w:p>
        </w:tc>
      </w:tr>
      <w:tr w:rsidR="00A67F21" w:rsidRPr="00B12FE0" w14:paraId="00791B68" w14:textId="77777777">
        <w:trPr>
          <w:gridAfter w:val="1"/>
          <w:trHeight w:val="340"/>
          <w:jc w:val="center"/>
        </w:trPr>
        <w:tc>
          <w:tcPr>
            <w:tcW w:w="569" w:type="dxa"/>
            <w:vMerge/>
            <w:tcBorders>
              <w:left w:val="single" w:sz="4" w:space="0" w:color="auto"/>
              <w:right w:val="single" w:sz="4" w:space="0" w:color="auto"/>
            </w:tcBorders>
            <w:vAlign w:val="center"/>
          </w:tcPr>
          <w:p w14:paraId="2D349A6A"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56149E50"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700A39AD"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5353A126"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4A5A200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7E8B4B43"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10mmPb</w:t>
            </w:r>
            <w:r w:rsidRPr="00B12FE0">
              <w:rPr>
                <w:rFonts w:ascii="宋体" w:hAnsi="宋体"/>
                <w:color w:val="000000" w:themeColor="text1"/>
                <w:kern w:val="0"/>
                <w:sz w:val="18"/>
                <w:szCs w:val="18"/>
              </w:rPr>
              <w:t>衰变箱</w:t>
            </w:r>
            <w:r w:rsidRPr="00B12FE0">
              <w:rPr>
                <w:color w:val="000000" w:themeColor="text1"/>
                <w:kern w:val="0"/>
                <w:sz w:val="18"/>
                <w:szCs w:val="18"/>
              </w:rPr>
              <w:t>+</w:t>
            </w:r>
            <w:r w:rsidRPr="00B12FE0">
              <w:rPr>
                <w:rFonts w:hint="eastAsia"/>
                <w:color w:val="000000" w:themeColor="text1"/>
                <w:kern w:val="0"/>
                <w:sz w:val="18"/>
                <w:szCs w:val="18"/>
              </w:rPr>
              <w:t>250</w:t>
            </w:r>
            <w:r w:rsidRPr="00B12FE0">
              <w:rPr>
                <w:color w:val="000000" w:themeColor="text1"/>
                <w:kern w:val="0"/>
                <w:sz w:val="18"/>
                <w:szCs w:val="18"/>
              </w:rPr>
              <w:t>mm</w:t>
            </w:r>
            <w:r w:rsidRPr="00B12FE0">
              <w:rPr>
                <w:rFonts w:ascii="宋体" w:hAnsi="宋体" w:hint="eastAsia"/>
                <w:color w:val="000000" w:themeColor="text1"/>
                <w:kern w:val="0"/>
                <w:sz w:val="18"/>
                <w:szCs w:val="18"/>
              </w:rPr>
              <w:t>混凝土</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40D33550" w14:textId="77777777" w:rsidR="00A67F21" w:rsidRPr="00B12FE0" w:rsidRDefault="00000000">
            <w:pPr>
              <w:widowControl/>
              <w:jc w:val="center"/>
              <w:rPr>
                <w:color w:val="000000" w:themeColor="text1"/>
                <w:sz w:val="18"/>
                <w:szCs w:val="18"/>
              </w:rPr>
            </w:pPr>
            <w:r w:rsidRPr="00B12FE0">
              <w:rPr>
                <w:color w:val="000000" w:themeColor="text1"/>
                <w:sz w:val="18"/>
                <w:szCs w:val="18"/>
              </w:rPr>
              <w:t>4.44E-04</w:t>
            </w:r>
          </w:p>
        </w:tc>
        <w:tc>
          <w:tcPr>
            <w:tcW w:w="1065" w:type="dxa"/>
            <w:vMerge/>
            <w:tcBorders>
              <w:left w:val="single" w:sz="4" w:space="0" w:color="auto"/>
              <w:right w:val="single" w:sz="4" w:space="0" w:color="auto"/>
            </w:tcBorders>
            <w:vAlign w:val="center"/>
          </w:tcPr>
          <w:p w14:paraId="01B10E2A" w14:textId="77777777" w:rsidR="00A67F21" w:rsidRPr="00B12FE0" w:rsidRDefault="00A67F21">
            <w:pPr>
              <w:jc w:val="center"/>
              <w:rPr>
                <w:color w:val="000000" w:themeColor="text1"/>
                <w:sz w:val="18"/>
                <w:szCs w:val="18"/>
              </w:rPr>
            </w:pPr>
          </w:p>
        </w:tc>
      </w:tr>
      <w:tr w:rsidR="00A67F21" w:rsidRPr="00B12FE0" w14:paraId="4B47C2BB" w14:textId="77777777">
        <w:trPr>
          <w:gridAfter w:val="1"/>
          <w:trHeight w:val="340"/>
          <w:jc w:val="center"/>
        </w:trPr>
        <w:tc>
          <w:tcPr>
            <w:tcW w:w="569" w:type="dxa"/>
            <w:vMerge w:val="restart"/>
            <w:tcBorders>
              <w:left w:val="single" w:sz="4" w:space="0" w:color="auto"/>
              <w:right w:val="single" w:sz="4" w:space="0" w:color="auto"/>
            </w:tcBorders>
            <w:vAlign w:val="center"/>
          </w:tcPr>
          <w:p w14:paraId="411D167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2-10</w:t>
            </w:r>
          </w:p>
        </w:tc>
        <w:tc>
          <w:tcPr>
            <w:tcW w:w="1118" w:type="dxa"/>
            <w:vMerge/>
            <w:tcBorders>
              <w:left w:val="single" w:sz="4" w:space="0" w:color="auto"/>
              <w:right w:val="single" w:sz="4" w:space="0" w:color="auto"/>
            </w:tcBorders>
            <w:vAlign w:val="center"/>
          </w:tcPr>
          <w:p w14:paraId="13F387C1" w14:textId="77777777" w:rsidR="00A67F21" w:rsidRPr="00B12FE0" w:rsidRDefault="00A67F21">
            <w:pPr>
              <w:widowControl/>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00ABA426"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侧墙外</w:t>
            </w:r>
            <w:r w:rsidRPr="00B12FE0">
              <w:rPr>
                <w:color w:val="000000" w:themeColor="text1"/>
                <w:sz w:val="18"/>
                <w:szCs w:val="18"/>
              </w:rPr>
              <w:t>30cm</w:t>
            </w:r>
          </w:p>
        </w:tc>
        <w:tc>
          <w:tcPr>
            <w:tcW w:w="912" w:type="dxa"/>
            <w:vMerge w:val="restart"/>
            <w:tcBorders>
              <w:left w:val="single" w:sz="4" w:space="0" w:color="auto"/>
              <w:right w:val="single" w:sz="4" w:space="0" w:color="auto"/>
            </w:tcBorders>
            <w:vAlign w:val="center"/>
          </w:tcPr>
          <w:p w14:paraId="53C4FFA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1.8</w:t>
            </w:r>
          </w:p>
        </w:tc>
        <w:tc>
          <w:tcPr>
            <w:tcW w:w="1624" w:type="dxa"/>
            <w:tcBorders>
              <w:top w:val="single" w:sz="4" w:space="0" w:color="auto"/>
              <w:left w:val="single" w:sz="4" w:space="0" w:color="auto"/>
              <w:bottom w:val="single" w:sz="4" w:space="0" w:color="auto"/>
              <w:right w:val="single" w:sz="4" w:space="0" w:color="auto"/>
            </w:tcBorders>
            <w:vAlign w:val="center"/>
          </w:tcPr>
          <w:p w14:paraId="479065D6"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099FA294"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4C2CC774" w14:textId="77777777" w:rsidR="00A67F21" w:rsidRPr="00B12FE0" w:rsidRDefault="00000000">
            <w:pPr>
              <w:widowControl/>
              <w:jc w:val="center"/>
              <w:rPr>
                <w:color w:val="000000" w:themeColor="text1"/>
                <w:sz w:val="18"/>
                <w:szCs w:val="18"/>
              </w:rPr>
            </w:pPr>
            <w:r w:rsidRPr="00B12FE0">
              <w:rPr>
                <w:color w:val="000000" w:themeColor="text1"/>
                <w:sz w:val="18"/>
                <w:szCs w:val="18"/>
              </w:rPr>
              <w:t>1.28E-01</w:t>
            </w:r>
          </w:p>
        </w:tc>
        <w:tc>
          <w:tcPr>
            <w:tcW w:w="1065" w:type="dxa"/>
            <w:vMerge w:val="restart"/>
            <w:tcBorders>
              <w:left w:val="single" w:sz="4" w:space="0" w:color="auto"/>
              <w:right w:val="single" w:sz="4" w:space="0" w:color="auto"/>
            </w:tcBorders>
            <w:vAlign w:val="center"/>
          </w:tcPr>
          <w:p w14:paraId="6CEC961D" w14:textId="77777777" w:rsidR="00A67F21" w:rsidRPr="00B12FE0" w:rsidRDefault="00000000">
            <w:pPr>
              <w:jc w:val="center"/>
              <w:rPr>
                <w:color w:val="000000" w:themeColor="text1"/>
                <w:sz w:val="18"/>
                <w:szCs w:val="18"/>
              </w:rPr>
            </w:pPr>
            <w:r w:rsidRPr="00B12FE0">
              <w:rPr>
                <w:color w:val="000000" w:themeColor="text1"/>
                <w:sz w:val="18"/>
                <w:szCs w:val="18"/>
              </w:rPr>
              <w:t>1.</w:t>
            </w:r>
            <w:r w:rsidRPr="00B12FE0">
              <w:rPr>
                <w:rFonts w:hint="eastAsia"/>
                <w:color w:val="000000" w:themeColor="text1"/>
                <w:sz w:val="18"/>
                <w:szCs w:val="18"/>
              </w:rPr>
              <w:t>52</w:t>
            </w:r>
            <w:r w:rsidRPr="00B12FE0">
              <w:rPr>
                <w:color w:val="000000" w:themeColor="text1"/>
                <w:sz w:val="18"/>
                <w:szCs w:val="18"/>
              </w:rPr>
              <w:t>E-01</w:t>
            </w:r>
          </w:p>
        </w:tc>
      </w:tr>
      <w:tr w:rsidR="00A67F21" w:rsidRPr="00B12FE0" w14:paraId="4CC42076" w14:textId="77777777">
        <w:trPr>
          <w:gridAfter w:val="1"/>
          <w:trHeight w:val="340"/>
          <w:jc w:val="center"/>
        </w:trPr>
        <w:tc>
          <w:tcPr>
            <w:tcW w:w="569" w:type="dxa"/>
            <w:vMerge/>
            <w:tcBorders>
              <w:left w:val="single" w:sz="4" w:space="0" w:color="auto"/>
              <w:right w:val="single" w:sz="4" w:space="0" w:color="auto"/>
            </w:tcBorders>
            <w:vAlign w:val="center"/>
          </w:tcPr>
          <w:p w14:paraId="1B0664DD"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5F583F76"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57876F27"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01C00A7B"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3F5EC5F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31DD2777" w14:textId="77777777" w:rsidR="00A67F21" w:rsidRPr="00B12FE0" w:rsidRDefault="00A67F21">
            <w:pPr>
              <w:topLinePunct/>
              <w:autoSpaceDE w:val="0"/>
              <w:jc w:val="center"/>
              <w:rPr>
                <w:color w:val="000000" w:themeColor="text1"/>
                <w:sz w:val="18"/>
                <w:szCs w:val="18"/>
              </w:rPr>
            </w:pP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0C3FDA73" w14:textId="77777777" w:rsidR="00A67F21" w:rsidRPr="00B12FE0" w:rsidRDefault="00000000">
            <w:pPr>
              <w:widowControl/>
              <w:jc w:val="center"/>
              <w:rPr>
                <w:color w:val="000000" w:themeColor="text1"/>
                <w:sz w:val="18"/>
                <w:szCs w:val="18"/>
              </w:rPr>
            </w:pPr>
            <w:r w:rsidRPr="00B12FE0">
              <w:rPr>
                <w:color w:val="000000" w:themeColor="text1"/>
                <w:sz w:val="18"/>
                <w:szCs w:val="18"/>
              </w:rPr>
              <w:t>5.61E-12</w:t>
            </w:r>
          </w:p>
        </w:tc>
        <w:tc>
          <w:tcPr>
            <w:tcW w:w="1065" w:type="dxa"/>
            <w:vMerge/>
            <w:tcBorders>
              <w:left w:val="single" w:sz="4" w:space="0" w:color="auto"/>
              <w:right w:val="single" w:sz="4" w:space="0" w:color="auto"/>
            </w:tcBorders>
            <w:vAlign w:val="center"/>
          </w:tcPr>
          <w:p w14:paraId="08AC1591" w14:textId="77777777" w:rsidR="00A67F21" w:rsidRPr="00B12FE0" w:rsidRDefault="00A67F21">
            <w:pPr>
              <w:jc w:val="center"/>
              <w:rPr>
                <w:color w:val="000000" w:themeColor="text1"/>
                <w:sz w:val="18"/>
                <w:szCs w:val="18"/>
              </w:rPr>
            </w:pPr>
          </w:p>
        </w:tc>
      </w:tr>
      <w:tr w:rsidR="00A67F21" w:rsidRPr="00B12FE0" w14:paraId="314DE79C" w14:textId="77777777">
        <w:trPr>
          <w:gridAfter w:val="1"/>
          <w:trHeight w:val="340"/>
          <w:jc w:val="center"/>
        </w:trPr>
        <w:tc>
          <w:tcPr>
            <w:tcW w:w="569" w:type="dxa"/>
            <w:vMerge/>
            <w:tcBorders>
              <w:left w:val="single" w:sz="4" w:space="0" w:color="auto"/>
              <w:right w:val="single" w:sz="4" w:space="0" w:color="auto"/>
            </w:tcBorders>
            <w:vAlign w:val="center"/>
          </w:tcPr>
          <w:p w14:paraId="1B1E1EF8"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6D96CA3C"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4CD95E33"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9FFB4DA"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000000"/>
              <w:left w:val="single" w:sz="4" w:space="0" w:color="000000"/>
              <w:bottom w:val="single" w:sz="4" w:space="0" w:color="000000"/>
              <w:right w:val="single" w:sz="4" w:space="0" w:color="000000"/>
            </w:tcBorders>
            <w:vAlign w:val="center"/>
          </w:tcPr>
          <w:p w14:paraId="71C9DF5E"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688B009F" w14:textId="77777777" w:rsidR="00A67F21" w:rsidRPr="00B12FE0" w:rsidRDefault="00000000">
            <w:pPr>
              <w:topLinePunct/>
              <w:autoSpaceDE w:val="0"/>
              <w:jc w:val="center"/>
              <w:rPr>
                <w:color w:val="000000" w:themeColor="text1"/>
                <w:sz w:val="18"/>
                <w:szCs w:val="18"/>
                <w:vertAlign w:val="superscript"/>
              </w:rPr>
            </w:pPr>
            <w:r w:rsidRPr="00B12FE0">
              <w:rPr>
                <w:rFonts w:ascii="宋体" w:hAnsi="宋体"/>
                <w:color w:val="000000" w:themeColor="text1"/>
                <w:kern w:val="0"/>
                <w:sz w:val="18"/>
                <w:szCs w:val="18"/>
              </w:rPr>
              <w:t>发生器</w:t>
            </w:r>
          </w:p>
        </w:tc>
        <w:tc>
          <w:tcPr>
            <w:tcW w:w="1481" w:type="dxa"/>
            <w:tcBorders>
              <w:left w:val="single" w:sz="4" w:space="0" w:color="auto"/>
              <w:right w:val="single" w:sz="4" w:space="0" w:color="auto"/>
            </w:tcBorders>
            <w:vAlign w:val="center"/>
          </w:tcPr>
          <w:p w14:paraId="37A3CE1F"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240mm</w:t>
            </w:r>
            <w:r w:rsidRPr="00B12FE0">
              <w:rPr>
                <w:rFonts w:ascii="宋体" w:hAnsi="宋体"/>
                <w:color w:val="000000" w:themeColor="text1"/>
                <w:kern w:val="0"/>
                <w:sz w:val="18"/>
                <w:szCs w:val="18"/>
              </w:rPr>
              <w:t>实心砖</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2227467E" w14:textId="77777777" w:rsidR="00A67F21" w:rsidRPr="00B12FE0" w:rsidRDefault="00000000">
            <w:pPr>
              <w:widowControl/>
              <w:jc w:val="center"/>
              <w:rPr>
                <w:color w:val="000000" w:themeColor="text1"/>
                <w:sz w:val="18"/>
                <w:szCs w:val="18"/>
              </w:rPr>
            </w:pPr>
            <w:r w:rsidRPr="00B12FE0">
              <w:rPr>
                <w:color w:val="000000" w:themeColor="text1"/>
                <w:sz w:val="18"/>
                <w:szCs w:val="18"/>
              </w:rPr>
              <w:t>1.58E-0</w:t>
            </w:r>
            <w:r w:rsidRPr="00B12FE0">
              <w:rPr>
                <w:rFonts w:hint="eastAsia"/>
                <w:color w:val="000000" w:themeColor="text1"/>
                <w:sz w:val="18"/>
                <w:szCs w:val="18"/>
              </w:rPr>
              <w:t>2</w:t>
            </w:r>
          </w:p>
        </w:tc>
        <w:tc>
          <w:tcPr>
            <w:tcW w:w="1065" w:type="dxa"/>
            <w:vMerge/>
            <w:tcBorders>
              <w:left w:val="single" w:sz="4" w:space="0" w:color="auto"/>
              <w:right w:val="single" w:sz="4" w:space="0" w:color="auto"/>
            </w:tcBorders>
            <w:vAlign w:val="center"/>
          </w:tcPr>
          <w:p w14:paraId="57C81156" w14:textId="77777777" w:rsidR="00A67F21" w:rsidRPr="00B12FE0" w:rsidRDefault="00A67F21">
            <w:pPr>
              <w:jc w:val="center"/>
              <w:rPr>
                <w:color w:val="000000" w:themeColor="text1"/>
                <w:sz w:val="18"/>
                <w:szCs w:val="18"/>
              </w:rPr>
            </w:pPr>
          </w:p>
        </w:tc>
      </w:tr>
      <w:tr w:rsidR="00A67F21" w:rsidRPr="00B12FE0" w14:paraId="3077BD3E" w14:textId="77777777">
        <w:trPr>
          <w:gridAfter w:val="1"/>
          <w:trHeight w:val="340"/>
          <w:jc w:val="center"/>
        </w:trPr>
        <w:tc>
          <w:tcPr>
            <w:tcW w:w="569" w:type="dxa"/>
            <w:vMerge/>
            <w:tcBorders>
              <w:left w:val="single" w:sz="4" w:space="0" w:color="auto"/>
              <w:right w:val="single" w:sz="4" w:space="0" w:color="auto"/>
            </w:tcBorders>
            <w:vAlign w:val="center"/>
          </w:tcPr>
          <w:p w14:paraId="14BB1D92"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696A31F8"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2A0BDF52"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248319AB"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547C7688"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45DC2F33"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2B0B91AB" w14:textId="77777777" w:rsidR="00A67F21" w:rsidRPr="00B12FE0" w:rsidRDefault="00000000">
            <w:pPr>
              <w:widowControl/>
              <w:jc w:val="center"/>
              <w:rPr>
                <w:color w:val="000000" w:themeColor="text1"/>
                <w:sz w:val="18"/>
                <w:szCs w:val="18"/>
              </w:rPr>
            </w:pPr>
            <w:r w:rsidRPr="00B12FE0">
              <w:rPr>
                <w:color w:val="000000" w:themeColor="text1"/>
                <w:sz w:val="18"/>
                <w:szCs w:val="18"/>
              </w:rPr>
              <w:t>8.21E-03</w:t>
            </w:r>
          </w:p>
        </w:tc>
        <w:tc>
          <w:tcPr>
            <w:tcW w:w="1065" w:type="dxa"/>
            <w:vMerge/>
            <w:tcBorders>
              <w:left w:val="single" w:sz="4" w:space="0" w:color="auto"/>
              <w:right w:val="single" w:sz="4" w:space="0" w:color="auto"/>
            </w:tcBorders>
            <w:vAlign w:val="center"/>
          </w:tcPr>
          <w:p w14:paraId="75E0144D" w14:textId="77777777" w:rsidR="00A67F21" w:rsidRPr="00B12FE0" w:rsidRDefault="00A67F21">
            <w:pPr>
              <w:jc w:val="center"/>
              <w:rPr>
                <w:color w:val="000000" w:themeColor="text1"/>
                <w:sz w:val="18"/>
                <w:szCs w:val="18"/>
              </w:rPr>
            </w:pPr>
          </w:p>
        </w:tc>
      </w:tr>
      <w:tr w:rsidR="00A67F21" w:rsidRPr="00B12FE0" w14:paraId="7B4BC9BD" w14:textId="77777777">
        <w:trPr>
          <w:gridAfter w:val="1"/>
          <w:trHeight w:val="340"/>
          <w:jc w:val="center"/>
        </w:trPr>
        <w:tc>
          <w:tcPr>
            <w:tcW w:w="569" w:type="dxa"/>
            <w:vMerge w:val="restart"/>
            <w:tcBorders>
              <w:left w:val="single" w:sz="4" w:space="0" w:color="auto"/>
              <w:right w:val="single" w:sz="4" w:space="0" w:color="auto"/>
            </w:tcBorders>
            <w:vAlign w:val="center"/>
          </w:tcPr>
          <w:p w14:paraId="7CA3C352"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2-11</w:t>
            </w:r>
          </w:p>
        </w:tc>
        <w:tc>
          <w:tcPr>
            <w:tcW w:w="1118" w:type="dxa"/>
            <w:vMerge/>
            <w:tcBorders>
              <w:left w:val="single" w:sz="4" w:space="0" w:color="auto"/>
              <w:right w:val="single" w:sz="4" w:space="0" w:color="auto"/>
            </w:tcBorders>
            <w:vAlign w:val="center"/>
          </w:tcPr>
          <w:p w14:paraId="31890BCA" w14:textId="77777777" w:rsidR="00A67F21" w:rsidRPr="00B12FE0" w:rsidRDefault="00A67F21">
            <w:pPr>
              <w:widowControl/>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7196068B"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南侧墙外</w:t>
            </w:r>
            <w:r w:rsidRPr="00B12FE0">
              <w:rPr>
                <w:color w:val="000000" w:themeColor="text1"/>
                <w:sz w:val="18"/>
                <w:szCs w:val="18"/>
              </w:rPr>
              <w:t>30cm</w:t>
            </w:r>
          </w:p>
        </w:tc>
        <w:tc>
          <w:tcPr>
            <w:tcW w:w="912" w:type="dxa"/>
            <w:vMerge w:val="restart"/>
            <w:tcBorders>
              <w:left w:val="single" w:sz="4" w:space="0" w:color="auto"/>
              <w:right w:val="single" w:sz="4" w:space="0" w:color="auto"/>
            </w:tcBorders>
            <w:vAlign w:val="center"/>
          </w:tcPr>
          <w:p w14:paraId="2385EB3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1.8</w:t>
            </w:r>
          </w:p>
        </w:tc>
        <w:tc>
          <w:tcPr>
            <w:tcW w:w="1624" w:type="dxa"/>
            <w:tcBorders>
              <w:top w:val="single" w:sz="4" w:space="0" w:color="auto"/>
              <w:left w:val="single" w:sz="4" w:space="0" w:color="auto"/>
              <w:bottom w:val="single" w:sz="4" w:space="0" w:color="auto"/>
              <w:right w:val="single" w:sz="4" w:space="0" w:color="auto"/>
            </w:tcBorders>
            <w:vAlign w:val="center"/>
          </w:tcPr>
          <w:p w14:paraId="639EA75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58861A61"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lastRenderedPageBreak/>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2BAEE56A" w14:textId="77777777" w:rsidR="00A67F21" w:rsidRPr="00B12FE0" w:rsidRDefault="00000000">
            <w:pPr>
              <w:widowControl/>
              <w:jc w:val="center"/>
              <w:rPr>
                <w:color w:val="000000" w:themeColor="text1"/>
                <w:sz w:val="18"/>
                <w:szCs w:val="18"/>
              </w:rPr>
            </w:pPr>
            <w:r w:rsidRPr="00B12FE0">
              <w:rPr>
                <w:color w:val="000000" w:themeColor="text1"/>
                <w:sz w:val="18"/>
                <w:szCs w:val="18"/>
              </w:rPr>
              <w:lastRenderedPageBreak/>
              <w:t>1.28E-01</w:t>
            </w:r>
          </w:p>
        </w:tc>
        <w:tc>
          <w:tcPr>
            <w:tcW w:w="1065" w:type="dxa"/>
            <w:vMerge w:val="restart"/>
            <w:tcBorders>
              <w:left w:val="single" w:sz="4" w:space="0" w:color="auto"/>
              <w:right w:val="single" w:sz="4" w:space="0" w:color="auto"/>
            </w:tcBorders>
            <w:vAlign w:val="center"/>
          </w:tcPr>
          <w:p w14:paraId="6FA3D5BE" w14:textId="77777777" w:rsidR="00A67F21" w:rsidRPr="00B12FE0" w:rsidRDefault="00000000">
            <w:pPr>
              <w:jc w:val="center"/>
              <w:rPr>
                <w:color w:val="000000" w:themeColor="text1"/>
                <w:sz w:val="18"/>
                <w:szCs w:val="18"/>
              </w:rPr>
            </w:pPr>
            <w:r w:rsidRPr="00B12FE0">
              <w:rPr>
                <w:color w:val="000000" w:themeColor="text1"/>
                <w:sz w:val="18"/>
                <w:szCs w:val="18"/>
              </w:rPr>
              <w:t>1.</w:t>
            </w:r>
            <w:r w:rsidRPr="00B12FE0">
              <w:rPr>
                <w:rFonts w:hint="eastAsia"/>
                <w:color w:val="000000" w:themeColor="text1"/>
                <w:sz w:val="18"/>
                <w:szCs w:val="18"/>
              </w:rPr>
              <w:t>52</w:t>
            </w:r>
            <w:r w:rsidRPr="00B12FE0">
              <w:rPr>
                <w:color w:val="000000" w:themeColor="text1"/>
                <w:sz w:val="18"/>
                <w:szCs w:val="18"/>
              </w:rPr>
              <w:t>E-01</w:t>
            </w:r>
          </w:p>
        </w:tc>
      </w:tr>
      <w:tr w:rsidR="00A67F21" w:rsidRPr="00B12FE0" w14:paraId="7446ECDD" w14:textId="77777777">
        <w:trPr>
          <w:gridAfter w:val="1"/>
          <w:trHeight w:val="340"/>
          <w:jc w:val="center"/>
        </w:trPr>
        <w:tc>
          <w:tcPr>
            <w:tcW w:w="569" w:type="dxa"/>
            <w:vMerge/>
            <w:tcBorders>
              <w:left w:val="single" w:sz="4" w:space="0" w:color="auto"/>
              <w:right w:val="single" w:sz="4" w:space="0" w:color="auto"/>
            </w:tcBorders>
            <w:vAlign w:val="center"/>
          </w:tcPr>
          <w:p w14:paraId="25875145"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53459669"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2FA82BE3"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61A872F6"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164F3CDC"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78DE7034" w14:textId="77777777" w:rsidR="00A67F21" w:rsidRPr="00B12FE0" w:rsidRDefault="00A67F21">
            <w:pPr>
              <w:topLinePunct/>
              <w:autoSpaceDE w:val="0"/>
              <w:jc w:val="center"/>
              <w:rPr>
                <w:color w:val="000000" w:themeColor="text1"/>
                <w:sz w:val="18"/>
                <w:szCs w:val="18"/>
              </w:rPr>
            </w:pP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08836225" w14:textId="77777777" w:rsidR="00A67F21" w:rsidRPr="00B12FE0" w:rsidRDefault="00000000">
            <w:pPr>
              <w:widowControl/>
              <w:jc w:val="center"/>
              <w:rPr>
                <w:color w:val="000000" w:themeColor="text1"/>
                <w:sz w:val="18"/>
                <w:szCs w:val="18"/>
              </w:rPr>
            </w:pPr>
            <w:r w:rsidRPr="00B12FE0">
              <w:rPr>
                <w:color w:val="000000" w:themeColor="text1"/>
                <w:sz w:val="18"/>
                <w:szCs w:val="18"/>
              </w:rPr>
              <w:t>5.61E-12</w:t>
            </w:r>
          </w:p>
        </w:tc>
        <w:tc>
          <w:tcPr>
            <w:tcW w:w="1065" w:type="dxa"/>
            <w:vMerge/>
            <w:tcBorders>
              <w:left w:val="single" w:sz="4" w:space="0" w:color="auto"/>
              <w:right w:val="single" w:sz="4" w:space="0" w:color="auto"/>
            </w:tcBorders>
            <w:vAlign w:val="center"/>
          </w:tcPr>
          <w:p w14:paraId="3358E49B" w14:textId="77777777" w:rsidR="00A67F21" w:rsidRPr="00B12FE0" w:rsidRDefault="00A67F21">
            <w:pPr>
              <w:jc w:val="center"/>
              <w:rPr>
                <w:color w:val="000000" w:themeColor="text1"/>
                <w:sz w:val="18"/>
                <w:szCs w:val="18"/>
              </w:rPr>
            </w:pPr>
          </w:p>
        </w:tc>
      </w:tr>
      <w:tr w:rsidR="00A67F21" w:rsidRPr="00B12FE0" w14:paraId="630AA483" w14:textId="77777777">
        <w:trPr>
          <w:gridAfter w:val="1"/>
          <w:trHeight w:val="340"/>
          <w:jc w:val="center"/>
        </w:trPr>
        <w:tc>
          <w:tcPr>
            <w:tcW w:w="569" w:type="dxa"/>
            <w:vMerge/>
            <w:tcBorders>
              <w:left w:val="single" w:sz="4" w:space="0" w:color="auto"/>
              <w:right w:val="single" w:sz="4" w:space="0" w:color="auto"/>
            </w:tcBorders>
            <w:vAlign w:val="center"/>
          </w:tcPr>
          <w:p w14:paraId="5FF9E354"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1092EFE6"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700A10FC"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D3A89DC"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000000"/>
              <w:left w:val="single" w:sz="4" w:space="0" w:color="000000"/>
              <w:bottom w:val="single" w:sz="4" w:space="0" w:color="000000"/>
              <w:right w:val="single" w:sz="4" w:space="0" w:color="000000"/>
            </w:tcBorders>
            <w:vAlign w:val="center"/>
          </w:tcPr>
          <w:p w14:paraId="59C78F91"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57DB94ED" w14:textId="77777777" w:rsidR="00A67F21" w:rsidRPr="00B12FE0" w:rsidRDefault="00000000">
            <w:pPr>
              <w:topLinePunct/>
              <w:autoSpaceDE w:val="0"/>
              <w:jc w:val="center"/>
              <w:rPr>
                <w:color w:val="000000" w:themeColor="text1"/>
                <w:sz w:val="18"/>
                <w:szCs w:val="18"/>
                <w:vertAlign w:val="superscript"/>
              </w:rPr>
            </w:pPr>
            <w:r w:rsidRPr="00B12FE0">
              <w:rPr>
                <w:rFonts w:ascii="宋体" w:hAnsi="宋体"/>
                <w:color w:val="000000" w:themeColor="text1"/>
                <w:kern w:val="0"/>
                <w:sz w:val="18"/>
                <w:szCs w:val="18"/>
              </w:rPr>
              <w:t>发生器</w:t>
            </w:r>
          </w:p>
        </w:tc>
        <w:tc>
          <w:tcPr>
            <w:tcW w:w="1481" w:type="dxa"/>
            <w:tcBorders>
              <w:left w:val="single" w:sz="4" w:space="0" w:color="auto"/>
              <w:right w:val="single" w:sz="4" w:space="0" w:color="auto"/>
            </w:tcBorders>
            <w:vAlign w:val="center"/>
          </w:tcPr>
          <w:p w14:paraId="1DED2D7A"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240mm</w:t>
            </w:r>
            <w:r w:rsidRPr="00B12FE0">
              <w:rPr>
                <w:rFonts w:ascii="宋体" w:hAnsi="宋体"/>
                <w:color w:val="000000" w:themeColor="text1"/>
                <w:kern w:val="0"/>
                <w:sz w:val="18"/>
                <w:szCs w:val="18"/>
              </w:rPr>
              <w:t>实心砖</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2EF671F2" w14:textId="77777777" w:rsidR="00A67F21" w:rsidRPr="00B12FE0" w:rsidRDefault="00000000">
            <w:pPr>
              <w:widowControl/>
              <w:jc w:val="center"/>
              <w:rPr>
                <w:color w:val="000000" w:themeColor="text1"/>
                <w:sz w:val="18"/>
                <w:szCs w:val="18"/>
              </w:rPr>
            </w:pPr>
            <w:r w:rsidRPr="00B12FE0">
              <w:rPr>
                <w:color w:val="000000" w:themeColor="text1"/>
                <w:sz w:val="18"/>
                <w:szCs w:val="18"/>
              </w:rPr>
              <w:t>1.58E-0</w:t>
            </w:r>
            <w:r w:rsidRPr="00B12FE0">
              <w:rPr>
                <w:rFonts w:hint="eastAsia"/>
                <w:color w:val="000000" w:themeColor="text1"/>
                <w:sz w:val="18"/>
                <w:szCs w:val="18"/>
              </w:rPr>
              <w:t>2</w:t>
            </w:r>
          </w:p>
        </w:tc>
        <w:tc>
          <w:tcPr>
            <w:tcW w:w="1065" w:type="dxa"/>
            <w:vMerge/>
            <w:tcBorders>
              <w:left w:val="single" w:sz="4" w:space="0" w:color="auto"/>
              <w:right w:val="single" w:sz="4" w:space="0" w:color="auto"/>
            </w:tcBorders>
            <w:vAlign w:val="center"/>
          </w:tcPr>
          <w:p w14:paraId="3F7E1579" w14:textId="77777777" w:rsidR="00A67F21" w:rsidRPr="00B12FE0" w:rsidRDefault="00A67F21">
            <w:pPr>
              <w:jc w:val="center"/>
              <w:rPr>
                <w:color w:val="000000" w:themeColor="text1"/>
                <w:sz w:val="18"/>
                <w:szCs w:val="18"/>
              </w:rPr>
            </w:pPr>
          </w:p>
        </w:tc>
      </w:tr>
      <w:tr w:rsidR="00A67F21" w:rsidRPr="00B12FE0" w14:paraId="06996040" w14:textId="77777777">
        <w:trPr>
          <w:gridAfter w:val="1"/>
          <w:trHeight w:val="340"/>
          <w:jc w:val="center"/>
        </w:trPr>
        <w:tc>
          <w:tcPr>
            <w:tcW w:w="569" w:type="dxa"/>
            <w:vMerge/>
            <w:tcBorders>
              <w:left w:val="single" w:sz="4" w:space="0" w:color="auto"/>
              <w:right w:val="single" w:sz="4" w:space="0" w:color="auto"/>
            </w:tcBorders>
            <w:vAlign w:val="center"/>
          </w:tcPr>
          <w:p w14:paraId="2A562276"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4574DFC9"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2FB9F079"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0B4B0C41"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5921D93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02976815"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rFonts w:hint="eastAsia"/>
                <w:color w:val="000000" w:themeColor="text1"/>
                <w:sz w:val="18"/>
                <w:szCs w:val="18"/>
              </w:rPr>
              <w:t>衰变</w:t>
            </w:r>
            <w:r w:rsidRPr="00B12FE0">
              <w:rPr>
                <w:color w:val="000000" w:themeColor="text1"/>
                <w:sz w:val="18"/>
                <w:szCs w:val="18"/>
              </w:rPr>
              <w:t>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05809139" w14:textId="77777777" w:rsidR="00A67F21" w:rsidRPr="00B12FE0" w:rsidRDefault="00000000">
            <w:pPr>
              <w:widowControl/>
              <w:jc w:val="center"/>
              <w:rPr>
                <w:color w:val="000000" w:themeColor="text1"/>
                <w:sz w:val="18"/>
                <w:szCs w:val="18"/>
              </w:rPr>
            </w:pPr>
            <w:r w:rsidRPr="00B12FE0">
              <w:rPr>
                <w:color w:val="000000" w:themeColor="text1"/>
                <w:sz w:val="18"/>
                <w:szCs w:val="18"/>
              </w:rPr>
              <w:t>8.21E-03</w:t>
            </w:r>
          </w:p>
        </w:tc>
        <w:tc>
          <w:tcPr>
            <w:tcW w:w="1065" w:type="dxa"/>
            <w:vMerge/>
            <w:tcBorders>
              <w:left w:val="single" w:sz="4" w:space="0" w:color="auto"/>
              <w:right w:val="single" w:sz="4" w:space="0" w:color="auto"/>
            </w:tcBorders>
            <w:vAlign w:val="center"/>
          </w:tcPr>
          <w:p w14:paraId="304FF5E7" w14:textId="77777777" w:rsidR="00A67F21" w:rsidRPr="00B12FE0" w:rsidRDefault="00A67F21">
            <w:pPr>
              <w:jc w:val="center"/>
              <w:rPr>
                <w:color w:val="000000" w:themeColor="text1"/>
                <w:sz w:val="18"/>
                <w:szCs w:val="18"/>
              </w:rPr>
            </w:pPr>
          </w:p>
        </w:tc>
      </w:tr>
      <w:tr w:rsidR="00A67F21" w:rsidRPr="00B12FE0" w14:paraId="07363915" w14:textId="77777777">
        <w:trPr>
          <w:gridAfter w:val="1"/>
          <w:trHeight w:val="340"/>
          <w:jc w:val="center"/>
        </w:trPr>
        <w:tc>
          <w:tcPr>
            <w:tcW w:w="569" w:type="dxa"/>
            <w:vMerge/>
            <w:tcBorders>
              <w:left w:val="single" w:sz="4" w:space="0" w:color="auto"/>
              <w:right w:val="single" w:sz="4" w:space="0" w:color="auto"/>
            </w:tcBorders>
            <w:vAlign w:val="center"/>
          </w:tcPr>
          <w:p w14:paraId="450E2A77"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4B7FE3B2" w14:textId="77777777" w:rsidR="00A67F21" w:rsidRPr="00B12FE0" w:rsidRDefault="00A67F21">
            <w:pPr>
              <w:widowControl/>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044EF856"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南侧防护门外</w:t>
            </w:r>
            <w:r w:rsidRPr="00B12FE0">
              <w:rPr>
                <w:color w:val="000000" w:themeColor="text1"/>
                <w:sz w:val="18"/>
                <w:szCs w:val="18"/>
              </w:rPr>
              <w:t>30cm</w:t>
            </w:r>
          </w:p>
        </w:tc>
        <w:tc>
          <w:tcPr>
            <w:tcW w:w="912" w:type="dxa"/>
            <w:vMerge w:val="restart"/>
            <w:tcBorders>
              <w:left w:val="single" w:sz="4" w:space="0" w:color="auto"/>
              <w:right w:val="single" w:sz="4" w:space="0" w:color="auto"/>
            </w:tcBorders>
            <w:vAlign w:val="center"/>
          </w:tcPr>
          <w:p w14:paraId="6499B875"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1.8</w:t>
            </w:r>
          </w:p>
        </w:tc>
        <w:tc>
          <w:tcPr>
            <w:tcW w:w="1624" w:type="dxa"/>
            <w:tcBorders>
              <w:top w:val="single" w:sz="4" w:space="0" w:color="auto"/>
              <w:left w:val="single" w:sz="4" w:space="0" w:color="auto"/>
              <w:bottom w:val="single" w:sz="4" w:space="0" w:color="auto"/>
              <w:right w:val="single" w:sz="4" w:space="0" w:color="auto"/>
            </w:tcBorders>
            <w:vAlign w:val="center"/>
          </w:tcPr>
          <w:p w14:paraId="784649B3"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3B865921"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rFonts w:hint="eastAsia"/>
                <w:color w:val="000000" w:themeColor="text1"/>
                <w:sz w:val="18"/>
                <w:szCs w:val="18"/>
              </w:rPr>
              <w:t>衰变箱</w:t>
            </w:r>
            <w:r w:rsidRPr="00B12FE0">
              <w:rPr>
                <w:rFonts w:hint="eastAsia"/>
                <w:color w:val="000000" w:themeColor="text1"/>
                <w:sz w:val="18"/>
                <w:szCs w:val="18"/>
              </w:rPr>
              <w:t>+</w:t>
            </w:r>
            <w:r w:rsidRPr="00B12FE0">
              <w:rPr>
                <w:rFonts w:hint="eastAsia"/>
                <w:color w:val="000000" w:themeColor="text1"/>
                <w:sz w:val="18"/>
                <w:szCs w:val="18"/>
              </w:rPr>
              <w:t>内衬</w:t>
            </w:r>
            <w:r w:rsidRPr="00B12FE0">
              <w:rPr>
                <w:rFonts w:hint="eastAsia"/>
                <w:color w:val="000000" w:themeColor="text1"/>
                <w:sz w:val="18"/>
                <w:szCs w:val="18"/>
              </w:rPr>
              <w:t>6mmPb</w:t>
            </w:r>
            <w:proofErr w:type="gramStart"/>
            <w:r w:rsidRPr="00B12FE0">
              <w:rPr>
                <w:rFonts w:hint="eastAsia"/>
                <w:color w:val="000000" w:themeColor="text1"/>
                <w:sz w:val="18"/>
                <w:szCs w:val="18"/>
              </w:rPr>
              <w:t>铅门</w:t>
            </w:r>
            <w:proofErr w:type="gramEnd"/>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2C161FA1" w14:textId="77777777" w:rsidR="00A67F21" w:rsidRPr="00B12FE0" w:rsidRDefault="00000000">
            <w:pPr>
              <w:widowControl/>
              <w:jc w:val="center"/>
              <w:rPr>
                <w:color w:val="000000" w:themeColor="text1"/>
                <w:sz w:val="18"/>
                <w:szCs w:val="18"/>
              </w:rPr>
            </w:pPr>
            <w:r w:rsidRPr="00B12FE0">
              <w:rPr>
                <w:color w:val="000000" w:themeColor="text1"/>
                <w:sz w:val="18"/>
                <w:szCs w:val="18"/>
              </w:rPr>
              <w:t>4.57E-01</w:t>
            </w:r>
          </w:p>
        </w:tc>
        <w:tc>
          <w:tcPr>
            <w:tcW w:w="1065" w:type="dxa"/>
            <w:vMerge w:val="restart"/>
            <w:tcBorders>
              <w:left w:val="single" w:sz="4" w:space="0" w:color="auto"/>
              <w:right w:val="single" w:sz="4" w:space="0" w:color="auto"/>
            </w:tcBorders>
            <w:vAlign w:val="center"/>
          </w:tcPr>
          <w:p w14:paraId="67C838C1" w14:textId="77777777" w:rsidR="00A67F21" w:rsidRPr="00B12FE0" w:rsidRDefault="00000000">
            <w:pPr>
              <w:jc w:val="center"/>
              <w:rPr>
                <w:color w:val="000000" w:themeColor="text1"/>
                <w:sz w:val="18"/>
                <w:szCs w:val="18"/>
              </w:rPr>
            </w:pPr>
            <w:r w:rsidRPr="00B12FE0">
              <w:rPr>
                <w:color w:val="000000" w:themeColor="text1"/>
                <w:sz w:val="18"/>
                <w:szCs w:val="18"/>
              </w:rPr>
              <w:t>4.</w:t>
            </w:r>
            <w:r w:rsidRPr="00B12FE0">
              <w:rPr>
                <w:rFonts w:hint="eastAsia"/>
                <w:color w:val="000000" w:themeColor="text1"/>
                <w:sz w:val="18"/>
                <w:szCs w:val="18"/>
              </w:rPr>
              <w:t>80</w:t>
            </w:r>
            <w:r w:rsidRPr="00B12FE0">
              <w:rPr>
                <w:color w:val="000000" w:themeColor="text1"/>
                <w:sz w:val="18"/>
                <w:szCs w:val="18"/>
              </w:rPr>
              <w:t>E-01</w:t>
            </w:r>
          </w:p>
        </w:tc>
      </w:tr>
      <w:tr w:rsidR="00A67F21" w:rsidRPr="00B12FE0" w14:paraId="75CD37DC" w14:textId="77777777">
        <w:trPr>
          <w:gridAfter w:val="1"/>
          <w:trHeight w:val="340"/>
          <w:jc w:val="center"/>
        </w:trPr>
        <w:tc>
          <w:tcPr>
            <w:tcW w:w="569" w:type="dxa"/>
            <w:vMerge/>
            <w:tcBorders>
              <w:left w:val="single" w:sz="4" w:space="0" w:color="auto"/>
              <w:right w:val="single" w:sz="4" w:space="0" w:color="auto"/>
            </w:tcBorders>
            <w:vAlign w:val="center"/>
          </w:tcPr>
          <w:p w14:paraId="46387C7F"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000CF1E0"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0BA7DAC5"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1807A7B"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78E789A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6599CD66" w14:textId="77777777" w:rsidR="00A67F21" w:rsidRPr="00B12FE0" w:rsidRDefault="00A67F21">
            <w:pPr>
              <w:topLinePunct/>
              <w:autoSpaceDE w:val="0"/>
              <w:jc w:val="center"/>
              <w:rPr>
                <w:color w:val="000000" w:themeColor="text1"/>
                <w:sz w:val="18"/>
                <w:szCs w:val="18"/>
              </w:rPr>
            </w:pP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58699F30" w14:textId="77777777" w:rsidR="00A67F21" w:rsidRPr="00B12FE0" w:rsidRDefault="00000000">
            <w:pPr>
              <w:widowControl/>
              <w:jc w:val="center"/>
              <w:rPr>
                <w:color w:val="000000" w:themeColor="text1"/>
                <w:sz w:val="18"/>
                <w:szCs w:val="18"/>
              </w:rPr>
            </w:pPr>
            <w:r w:rsidRPr="00B12FE0">
              <w:rPr>
                <w:color w:val="000000" w:themeColor="text1"/>
                <w:sz w:val="18"/>
                <w:szCs w:val="18"/>
              </w:rPr>
              <w:t>1.77E-16</w:t>
            </w:r>
          </w:p>
        </w:tc>
        <w:tc>
          <w:tcPr>
            <w:tcW w:w="1065" w:type="dxa"/>
            <w:vMerge/>
            <w:tcBorders>
              <w:left w:val="single" w:sz="4" w:space="0" w:color="auto"/>
              <w:right w:val="single" w:sz="4" w:space="0" w:color="auto"/>
            </w:tcBorders>
            <w:vAlign w:val="center"/>
          </w:tcPr>
          <w:p w14:paraId="670CEC2C" w14:textId="77777777" w:rsidR="00A67F21" w:rsidRPr="00B12FE0" w:rsidRDefault="00A67F21">
            <w:pPr>
              <w:jc w:val="center"/>
              <w:rPr>
                <w:color w:val="000000" w:themeColor="text1"/>
                <w:sz w:val="18"/>
                <w:szCs w:val="18"/>
              </w:rPr>
            </w:pPr>
          </w:p>
        </w:tc>
      </w:tr>
      <w:tr w:rsidR="00A67F21" w:rsidRPr="00B12FE0" w14:paraId="7F72F633" w14:textId="77777777">
        <w:trPr>
          <w:gridAfter w:val="1"/>
          <w:trHeight w:val="340"/>
          <w:jc w:val="center"/>
        </w:trPr>
        <w:tc>
          <w:tcPr>
            <w:tcW w:w="569" w:type="dxa"/>
            <w:vMerge/>
            <w:tcBorders>
              <w:left w:val="single" w:sz="4" w:space="0" w:color="auto"/>
              <w:right w:val="single" w:sz="4" w:space="0" w:color="auto"/>
            </w:tcBorders>
            <w:vAlign w:val="center"/>
          </w:tcPr>
          <w:p w14:paraId="5CE4F7FE"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570ABBE4"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51D6F3E4"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3E575868"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000000"/>
              <w:left w:val="single" w:sz="4" w:space="0" w:color="000000"/>
              <w:bottom w:val="single" w:sz="4" w:space="0" w:color="000000"/>
              <w:right w:val="single" w:sz="4" w:space="0" w:color="000000"/>
            </w:tcBorders>
            <w:vAlign w:val="center"/>
          </w:tcPr>
          <w:p w14:paraId="37E75ACF" w14:textId="77777777" w:rsidR="00A67F21" w:rsidRPr="00B12FE0" w:rsidRDefault="00000000">
            <w:pPr>
              <w:widowControl/>
              <w:jc w:val="center"/>
              <w:textAlignment w:val="center"/>
              <w:rPr>
                <w:color w:val="000000" w:themeColor="text1"/>
                <w:kern w:val="0"/>
                <w:sz w:val="18"/>
                <w:szCs w:val="18"/>
              </w:rPr>
            </w:pPr>
            <w:r w:rsidRPr="00B12FE0">
              <w:rPr>
                <w:color w:val="000000" w:themeColor="text1"/>
                <w:kern w:val="0"/>
                <w:sz w:val="18"/>
                <w:szCs w:val="18"/>
              </w:rPr>
              <w:t>0.5mSv/h</w:t>
            </w:r>
            <w:proofErr w:type="gramStart"/>
            <w:r w:rsidRPr="00B12FE0">
              <w:rPr>
                <w:rFonts w:ascii="宋体" w:hAnsi="宋体"/>
                <w:color w:val="000000" w:themeColor="text1"/>
                <w:kern w:val="0"/>
                <w:sz w:val="18"/>
                <w:szCs w:val="18"/>
              </w:rPr>
              <w:t>钼</w:t>
            </w:r>
            <w:proofErr w:type="gramEnd"/>
            <w:r w:rsidRPr="00B12FE0">
              <w:rPr>
                <w:rFonts w:ascii="宋体" w:hAnsi="宋体"/>
                <w:color w:val="000000" w:themeColor="text1"/>
                <w:kern w:val="0"/>
                <w:sz w:val="18"/>
                <w:szCs w:val="18"/>
              </w:rPr>
              <w:t>锝</w:t>
            </w:r>
          </w:p>
          <w:p w14:paraId="4193868C" w14:textId="77777777" w:rsidR="00A67F21" w:rsidRPr="00B12FE0" w:rsidRDefault="00000000">
            <w:pPr>
              <w:topLinePunct/>
              <w:autoSpaceDE w:val="0"/>
              <w:jc w:val="center"/>
              <w:rPr>
                <w:color w:val="000000" w:themeColor="text1"/>
                <w:sz w:val="18"/>
                <w:szCs w:val="18"/>
                <w:vertAlign w:val="superscript"/>
              </w:rPr>
            </w:pPr>
            <w:r w:rsidRPr="00B12FE0">
              <w:rPr>
                <w:rFonts w:ascii="宋体" w:hAnsi="宋体"/>
                <w:color w:val="000000" w:themeColor="text1"/>
                <w:kern w:val="0"/>
                <w:sz w:val="18"/>
                <w:szCs w:val="18"/>
              </w:rPr>
              <w:t>发生器</w:t>
            </w:r>
          </w:p>
        </w:tc>
        <w:tc>
          <w:tcPr>
            <w:tcW w:w="1481" w:type="dxa"/>
            <w:tcBorders>
              <w:left w:val="single" w:sz="4" w:space="0" w:color="auto"/>
              <w:right w:val="single" w:sz="4" w:space="0" w:color="auto"/>
            </w:tcBorders>
            <w:vAlign w:val="center"/>
          </w:tcPr>
          <w:p w14:paraId="539D9069"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内衬</w:t>
            </w:r>
            <w:r w:rsidRPr="00B12FE0">
              <w:rPr>
                <w:color w:val="000000" w:themeColor="text1"/>
                <w:kern w:val="0"/>
                <w:sz w:val="18"/>
                <w:szCs w:val="18"/>
              </w:rPr>
              <w:t>6mmPb</w:t>
            </w:r>
            <w:proofErr w:type="gramStart"/>
            <w:r w:rsidRPr="00B12FE0">
              <w:rPr>
                <w:color w:val="000000" w:themeColor="text1"/>
                <w:kern w:val="0"/>
                <w:sz w:val="18"/>
                <w:szCs w:val="18"/>
              </w:rPr>
              <w:t>铅门</w:t>
            </w:r>
            <w:proofErr w:type="gramEnd"/>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5EB9E708" w14:textId="77777777" w:rsidR="00A67F21" w:rsidRPr="00B12FE0" w:rsidRDefault="00000000">
            <w:pPr>
              <w:widowControl/>
              <w:jc w:val="center"/>
              <w:rPr>
                <w:color w:val="000000" w:themeColor="text1"/>
                <w:sz w:val="18"/>
                <w:szCs w:val="18"/>
              </w:rPr>
            </w:pPr>
            <w:r w:rsidRPr="00B12FE0">
              <w:rPr>
                <w:color w:val="000000" w:themeColor="text1"/>
                <w:sz w:val="18"/>
                <w:szCs w:val="18"/>
              </w:rPr>
              <w:t>5.00E-</w:t>
            </w:r>
            <w:r w:rsidRPr="00B12FE0">
              <w:rPr>
                <w:rFonts w:hint="eastAsia"/>
                <w:color w:val="000000" w:themeColor="text1"/>
                <w:sz w:val="18"/>
                <w:szCs w:val="18"/>
              </w:rPr>
              <w:t>07</w:t>
            </w:r>
          </w:p>
        </w:tc>
        <w:tc>
          <w:tcPr>
            <w:tcW w:w="1065" w:type="dxa"/>
            <w:vMerge/>
            <w:tcBorders>
              <w:left w:val="single" w:sz="4" w:space="0" w:color="auto"/>
              <w:right w:val="single" w:sz="4" w:space="0" w:color="auto"/>
            </w:tcBorders>
            <w:vAlign w:val="center"/>
          </w:tcPr>
          <w:p w14:paraId="1CE10469" w14:textId="77777777" w:rsidR="00A67F21" w:rsidRPr="00B12FE0" w:rsidRDefault="00A67F21">
            <w:pPr>
              <w:jc w:val="center"/>
              <w:rPr>
                <w:color w:val="000000" w:themeColor="text1"/>
                <w:sz w:val="18"/>
                <w:szCs w:val="18"/>
              </w:rPr>
            </w:pPr>
          </w:p>
        </w:tc>
      </w:tr>
      <w:tr w:rsidR="00A67F21" w:rsidRPr="00B12FE0" w14:paraId="1CFB5420" w14:textId="77777777">
        <w:trPr>
          <w:gridAfter w:val="1"/>
          <w:trHeight w:val="340"/>
          <w:jc w:val="center"/>
        </w:trPr>
        <w:tc>
          <w:tcPr>
            <w:tcW w:w="569" w:type="dxa"/>
            <w:vMerge/>
            <w:tcBorders>
              <w:left w:val="single" w:sz="4" w:space="0" w:color="auto"/>
              <w:right w:val="single" w:sz="4" w:space="0" w:color="auto"/>
            </w:tcBorders>
            <w:vAlign w:val="center"/>
          </w:tcPr>
          <w:p w14:paraId="785BFC5C"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7BED3CBF"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574057CF"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5A7573BE"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66E62E2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278601E9"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rFonts w:hint="eastAsia"/>
                <w:color w:val="000000" w:themeColor="text1"/>
                <w:sz w:val="18"/>
                <w:szCs w:val="18"/>
              </w:rPr>
              <w:t>衰变箱</w:t>
            </w:r>
            <w:r w:rsidRPr="00B12FE0">
              <w:rPr>
                <w:rFonts w:hint="eastAsia"/>
                <w:color w:val="000000" w:themeColor="text1"/>
                <w:sz w:val="18"/>
                <w:szCs w:val="18"/>
              </w:rPr>
              <w:t>+</w:t>
            </w:r>
            <w:r w:rsidRPr="00B12FE0">
              <w:rPr>
                <w:rFonts w:hint="eastAsia"/>
                <w:color w:val="000000" w:themeColor="text1"/>
                <w:sz w:val="18"/>
                <w:szCs w:val="18"/>
              </w:rPr>
              <w:t>内衬</w:t>
            </w:r>
            <w:r w:rsidRPr="00B12FE0">
              <w:rPr>
                <w:rFonts w:hint="eastAsia"/>
                <w:color w:val="000000" w:themeColor="text1"/>
                <w:sz w:val="18"/>
                <w:szCs w:val="18"/>
              </w:rPr>
              <w:t>6mmPb</w:t>
            </w:r>
            <w:proofErr w:type="gramStart"/>
            <w:r w:rsidRPr="00B12FE0">
              <w:rPr>
                <w:rFonts w:hint="eastAsia"/>
                <w:color w:val="000000" w:themeColor="text1"/>
                <w:sz w:val="18"/>
                <w:szCs w:val="18"/>
              </w:rPr>
              <w:t>铅门</w:t>
            </w:r>
            <w:proofErr w:type="gramEnd"/>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5B041CC3" w14:textId="77777777" w:rsidR="00A67F21" w:rsidRPr="00B12FE0" w:rsidRDefault="00000000">
            <w:pPr>
              <w:widowControl/>
              <w:jc w:val="center"/>
              <w:rPr>
                <w:color w:val="000000" w:themeColor="text1"/>
                <w:sz w:val="18"/>
                <w:szCs w:val="18"/>
              </w:rPr>
            </w:pPr>
            <w:r w:rsidRPr="00B12FE0">
              <w:rPr>
                <w:color w:val="000000" w:themeColor="text1"/>
                <w:sz w:val="18"/>
                <w:szCs w:val="18"/>
              </w:rPr>
              <w:t>2.34E-02</w:t>
            </w:r>
          </w:p>
        </w:tc>
        <w:tc>
          <w:tcPr>
            <w:tcW w:w="1065" w:type="dxa"/>
            <w:vMerge/>
            <w:tcBorders>
              <w:left w:val="single" w:sz="4" w:space="0" w:color="auto"/>
              <w:right w:val="single" w:sz="4" w:space="0" w:color="auto"/>
            </w:tcBorders>
            <w:vAlign w:val="center"/>
          </w:tcPr>
          <w:p w14:paraId="47D04BDE" w14:textId="77777777" w:rsidR="00A67F21" w:rsidRPr="00B12FE0" w:rsidRDefault="00A67F21">
            <w:pPr>
              <w:jc w:val="center"/>
              <w:rPr>
                <w:color w:val="000000" w:themeColor="text1"/>
                <w:sz w:val="18"/>
                <w:szCs w:val="18"/>
              </w:rPr>
            </w:pPr>
          </w:p>
        </w:tc>
      </w:tr>
      <w:tr w:rsidR="00A67F21" w:rsidRPr="00B12FE0" w14:paraId="7D1AD34E" w14:textId="77777777">
        <w:trPr>
          <w:gridAfter w:val="1"/>
          <w:trHeight w:val="340"/>
          <w:jc w:val="center"/>
        </w:trPr>
        <w:tc>
          <w:tcPr>
            <w:tcW w:w="569" w:type="dxa"/>
            <w:tcBorders>
              <w:left w:val="single" w:sz="4" w:space="0" w:color="auto"/>
              <w:right w:val="single" w:sz="4" w:space="0" w:color="auto"/>
            </w:tcBorders>
            <w:vAlign w:val="center"/>
          </w:tcPr>
          <w:p w14:paraId="70D7063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2-12</w:t>
            </w:r>
          </w:p>
        </w:tc>
        <w:tc>
          <w:tcPr>
            <w:tcW w:w="1118" w:type="dxa"/>
            <w:vMerge w:val="restart"/>
            <w:tcBorders>
              <w:left w:val="single" w:sz="4" w:space="0" w:color="auto"/>
              <w:right w:val="single" w:sz="4" w:space="0" w:color="auto"/>
            </w:tcBorders>
            <w:vAlign w:val="center"/>
          </w:tcPr>
          <w:p w14:paraId="041788B0" w14:textId="77777777" w:rsidR="00A67F21" w:rsidRPr="00B12FE0" w:rsidRDefault="00000000">
            <w:pPr>
              <w:widowControl/>
              <w:jc w:val="center"/>
              <w:rPr>
                <w:color w:val="000000" w:themeColor="text1"/>
                <w:kern w:val="0"/>
                <w:sz w:val="18"/>
                <w:szCs w:val="18"/>
              </w:rPr>
            </w:pPr>
            <w:proofErr w:type="gramStart"/>
            <w:r w:rsidRPr="00B12FE0">
              <w:rPr>
                <w:color w:val="000000" w:themeColor="text1"/>
                <w:kern w:val="0"/>
                <w:sz w:val="18"/>
                <w:szCs w:val="18"/>
              </w:rPr>
              <w:t>甲测室</w:t>
            </w:r>
            <w:proofErr w:type="gramEnd"/>
          </w:p>
        </w:tc>
        <w:tc>
          <w:tcPr>
            <w:tcW w:w="861" w:type="dxa"/>
            <w:tcBorders>
              <w:left w:val="single" w:sz="4" w:space="0" w:color="auto"/>
              <w:right w:val="single" w:sz="4" w:space="0" w:color="auto"/>
            </w:tcBorders>
            <w:vAlign w:val="center"/>
          </w:tcPr>
          <w:p w14:paraId="15E38DB3" w14:textId="77777777" w:rsidR="00A67F21" w:rsidRPr="00B12FE0" w:rsidRDefault="00000000">
            <w:pPr>
              <w:widowControl/>
              <w:adjustRightInd w:val="0"/>
              <w:snapToGrid w:val="0"/>
              <w:jc w:val="center"/>
              <w:rPr>
                <w:color w:val="000000" w:themeColor="text1"/>
                <w:sz w:val="18"/>
                <w:szCs w:val="18"/>
              </w:rPr>
            </w:pPr>
            <w:proofErr w:type="gramStart"/>
            <w:r w:rsidRPr="00B12FE0">
              <w:rPr>
                <w:color w:val="000000" w:themeColor="text1"/>
                <w:sz w:val="18"/>
                <w:szCs w:val="18"/>
              </w:rPr>
              <w:t>医生位</w:t>
            </w:r>
            <w:proofErr w:type="gramEnd"/>
          </w:p>
        </w:tc>
        <w:tc>
          <w:tcPr>
            <w:tcW w:w="912" w:type="dxa"/>
            <w:tcBorders>
              <w:left w:val="single" w:sz="4" w:space="0" w:color="auto"/>
              <w:right w:val="single" w:sz="4" w:space="0" w:color="auto"/>
            </w:tcBorders>
            <w:vAlign w:val="center"/>
          </w:tcPr>
          <w:p w14:paraId="55BFC3A0"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38C0A26C"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color w:val="000000" w:themeColor="text1"/>
                <w:sz w:val="18"/>
                <w:szCs w:val="18"/>
              </w:rPr>
              <w:t>I1.85×10</w:t>
            </w:r>
            <w:r w:rsidRPr="00B12FE0">
              <w:rPr>
                <w:color w:val="000000" w:themeColor="text1"/>
                <w:sz w:val="18"/>
                <w:szCs w:val="18"/>
                <w:vertAlign w:val="superscript"/>
              </w:rPr>
              <w:t>5</w:t>
            </w:r>
          </w:p>
        </w:tc>
        <w:tc>
          <w:tcPr>
            <w:tcW w:w="1481" w:type="dxa"/>
            <w:tcBorders>
              <w:left w:val="single" w:sz="4" w:space="0" w:color="auto"/>
              <w:right w:val="single" w:sz="4" w:space="0" w:color="auto"/>
            </w:tcBorders>
            <w:vAlign w:val="center"/>
          </w:tcPr>
          <w:p w14:paraId="5123E625"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0.5mmPb</w:t>
            </w:r>
            <w:r w:rsidRPr="00B12FE0">
              <w:rPr>
                <w:color w:val="000000" w:themeColor="text1"/>
                <w:sz w:val="18"/>
                <w:szCs w:val="18"/>
              </w:rPr>
              <w:t>防护衣</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6940FC45"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3.89E-02</w:t>
            </w:r>
          </w:p>
        </w:tc>
      </w:tr>
      <w:tr w:rsidR="00A67F21" w:rsidRPr="00B12FE0" w14:paraId="62EEF055" w14:textId="77777777">
        <w:trPr>
          <w:gridAfter w:val="1"/>
          <w:trHeight w:val="340"/>
          <w:jc w:val="center"/>
        </w:trPr>
        <w:tc>
          <w:tcPr>
            <w:tcW w:w="569" w:type="dxa"/>
            <w:vMerge w:val="restart"/>
            <w:tcBorders>
              <w:left w:val="single" w:sz="4" w:space="0" w:color="auto"/>
              <w:right w:val="single" w:sz="4" w:space="0" w:color="auto"/>
            </w:tcBorders>
            <w:vAlign w:val="center"/>
          </w:tcPr>
          <w:p w14:paraId="09295B4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2-13</w:t>
            </w:r>
          </w:p>
        </w:tc>
        <w:tc>
          <w:tcPr>
            <w:tcW w:w="1118" w:type="dxa"/>
            <w:vMerge/>
            <w:tcBorders>
              <w:left w:val="single" w:sz="4" w:space="0" w:color="auto"/>
              <w:right w:val="single" w:sz="4" w:space="0" w:color="auto"/>
            </w:tcBorders>
            <w:vAlign w:val="center"/>
          </w:tcPr>
          <w:p w14:paraId="129FD46B"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18A4B8A2"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东墙外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024BD554"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w:t>
            </w:r>
          </w:p>
        </w:tc>
        <w:tc>
          <w:tcPr>
            <w:tcW w:w="1624" w:type="dxa"/>
            <w:tcBorders>
              <w:top w:val="single" w:sz="4" w:space="0" w:color="auto"/>
              <w:left w:val="single" w:sz="4" w:space="0" w:color="auto"/>
              <w:bottom w:val="single" w:sz="4" w:space="0" w:color="auto"/>
              <w:right w:val="single" w:sz="4" w:space="0" w:color="auto"/>
            </w:tcBorders>
            <w:vAlign w:val="center"/>
          </w:tcPr>
          <w:p w14:paraId="3243AD0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color w:val="000000" w:themeColor="text1"/>
                <w:sz w:val="18"/>
                <w:szCs w:val="18"/>
              </w:rPr>
              <w:t>I1.85×10</w:t>
            </w:r>
            <w:r w:rsidRPr="00B12FE0">
              <w:rPr>
                <w:color w:val="000000" w:themeColor="text1"/>
                <w:sz w:val="18"/>
                <w:szCs w:val="18"/>
                <w:vertAlign w:val="superscript"/>
              </w:rPr>
              <w:t>5</w:t>
            </w:r>
          </w:p>
        </w:tc>
        <w:tc>
          <w:tcPr>
            <w:tcW w:w="1481" w:type="dxa"/>
            <w:tcBorders>
              <w:left w:val="single" w:sz="4" w:space="0" w:color="auto"/>
              <w:right w:val="single" w:sz="4" w:space="0" w:color="auto"/>
            </w:tcBorders>
            <w:vAlign w:val="center"/>
          </w:tcPr>
          <w:p w14:paraId="69514074"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20</w:t>
            </w:r>
            <w:r w:rsidRPr="00B12FE0">
              <w:rPr>
                <w:color w:val="000000" w:themeColor="text1"/>
                <w:sz w:val="18"/>
                <w:szCs w:val="18"/>
              </w:rPr>
              <w:t>0mm</w:t>
            </w:r>
            <w:r w:rsidRPr="00B12FE0">
              <w:rPr>
                <w:color w:val="000000" w:themeColor="text1"/>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6D22965A"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2.75E-04</w:t>
            </w:r>
          </w:p>
        </w:tc>
      </w:tr>
      <w:tr w:rsidR="00A67F21" w:rsidRPr="00B12FE0" w14:paraId="08F3676E" w14:textId="77777777">
        <w:trPr>
          <w:gridAfter w:val="1"/>
          <w:trHeight w:val="340"/>
          <w:jc w:val="center"/>
        </w:trPr>
        <w:tc>
          <w:tcPr>
            <w:tcW w:w="569" w:type="dxa"/>
            <w:vMerge/>
            <w:tcBorders>
              <w:left w:val="single" w:sz="4" w:space="0" w:color="auto"/>
              <w:right w:val="single" w:sz="4" w:space="0" w:color="auto"/>
            </w:tcBorders>
            <w:vAlign w:val="center"/>
          </w:tcPr>
          <w:p w14:paraId="0386CD9E"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658AC69E"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17F27949"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东侧防护门外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4C23AFD9"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w:t>
            </w:r>
          </w:p>
        </w:tc>
        <w:tc>
          <w:tcPr>
            <w:tcW w:w="1624" w:type="dxa"/>
            <w:tcBorders>
              <w:top w:val="single" w:sz="4" w:space="0" w:color="auto"/>
              <w:left w:val="single" w:sz="4" w:space="0" w:color="auto"/>
              <w:bottom w:val="single" w:sz="4" w:space="0" w:color="auto"/>
              <w:right w:val="single" w:sz="4" w:space="0" w:color="auto"/>
            </w:tcBorders>
            <w:vAlign w:val="center"/>
          </w:tcPr>
          <w:p w14:paraId="101DF8D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color w:val="000000" w:themeColor="text1"/>
                <w:sz w:val="18"/>
                <w:szCs w:val="18"/>
              </w:rPr>
              <w:t>I1.85×10</w:t>
            </w:r>
            <w:r w:rsidRPr="00B12FE0">
              <w:rPr>
                <w:color w:val="000000" w:themeColor="text1"/>
                <w:sz w:val="18"/>
                <w:szCs w:val="18"/>
                <w:vertAlign w:val="superscript"/>
              </w:rPr>
              <w:t>5</w:t>
            </w:r>
          </w:p>
        </w:tc>
        <w:tc>
          <w:tcPr>
            <w:tcW w:w="1481" w:type="dxa"/>
            <w:tcBorders>
              <w:left w:val="single" w:sz="4" w:space="0" w:color="auto"/>
              <w:right w:val="single" w:sz="4" w:space="0" w:color="auto"/>
            </w:tcBorders>
            <w:vAlign w:val="center"/>
          </w:tcPr>
          <w:p w14:paraId="68E118BD"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内衬</w:t>
            </w:r>
            <w:r w:rsidRPr="00B12FE0">
              <w:rPr>
                <w:rFonts w:ascii="宋体" w:hAnsi="宋体" w:hint="eastAsia"/>
                <w:color w:val="000000" w:themeColor="text1"/>
                <w:sz w:val="18"/>
                <w:szCs w:val="18"/>
              </w:rPr>
              <w:t>4</w:t>
            </w:r>
            <w:r w:rsidRPr="00B12FE0">
              <w:rPr>
                <w:rFonts w:ascii="宋体" w:hAnsi="宋体"/>
                <w:color w:val="000000" w:themeColor="text1"/>
                <w:sz w:val="18"/>
                <w:szCs w:val="18"/>
              </w:rPr>
              <w:t>mm</w:t>
            </w:r>
            <w:r w:rsidRPr="00B12FE0">
              <w:rPr>
                <w:color w:val="000000" w:themeColor="text1"/>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1E7EFE6D"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8.11E-04</w:t>
            </w:r>
          </w:p>
        </w:tc>
      </w:tr>
      <w:tr w:rsidR="00A67F21" w:rsidRPr="00B12FE0" w14:paraId="11653360" w14:textId="77777777">
        <w:trPr>
          <w:gridAfter w:val="1"/>
          <w:trHeight w:val="340"/>
          <w:jc w:val="center"/>
        </w:trPr>
        <w:tc>
          <w:tcPr>
            <w:tcW w:w="569" w:type="dxa"/>
            <w:tcBorders>
              <w:left w:val="single" w:sz="4" w:space="0" w:color="auto"/>
              <w:right w:val="single" w:sz="4" w:space="0" w:color="auto"/>
            </w:tcBorders>
            <w:vAlign w:val="center"/>
          </w:tcPr>
          <w:p w14:paraId="7CD3938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2-17</w:t>
            </w:r>
          </w:p>
        </w:tc>
        <w:tc>
          <w:tcPr>
            <w:tcW w:w="1118" w:type="dxa"/>
            <w:vMerge w:val="restart"/>
            <w:tcBorders>
              <w:left w:val="single" w:sz="4" w:space="0" w:color="auto"/>
              <w:right w:val="single" w:sz="4" w:space="0" w:color="auto"/>
            </w:tcBorders>
            <w:vAlign w:val="center"/>
          </w:tcPr>
          <w:p w14:paraId="5BD01842" w14:textId="77777777" w:rsidR="00A67F21" w:rsidRPr="00B12FE0" w:rsidRDefault="00000000">
            <w:pPr>
              <w:widowControl/>
              <w:jc w:val="center"/>
              <w:rPr>
                <w:color w:val="000000" w:themeColor="text1"/>
                <w:kern w:val="0"/>
                <w:sz w:val="18"/>
                <w:szCs w:val="18"/>
              </w:rPr>
            </w:pPr>
            <w:r w:rsidRPr="00B12FE0">
              <w:rPr>
                <w:rFonts w:hint="eastAsia"/>
                <w:color w:val="000000" w:themeColor="text1"/>
                <w:kern w:val="0"/>
                <w:sz w:val="18"/>
                <w:szCs w:val="18"/>
              </w:rPr>
              <w:t>运动负荷室</w:t>
            </w:r>
          </w:p>
        </w:tc>
        <w:tc>
          <w:tcPr>
            <w:tcW w:w="861" w:type="dxa"/>
            <w:tcBorders>
              <w:left w:val="single" w:sz="4" w:space="0" w:color="auto"/>
              <w:right w:val="single" w:sz="4" w:space="0" w:color="auto"/>
            </w:tcBorders>
            <w:vAlign w:val="center"/>
          </w:tcPr>
          <w:p w14:paraId="593F7105"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东</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71DFACD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2.5</w:t>
            </w:r>
          </w:p>
        </w:tc>
        <w:tc>
          <w:tcPr>
            <w:tcW w:w="1624" w:type="dxa"/>
            <w:tcBorders>
              <w:top w:val="single" w:sz="4" w:space="0" w:color="auto"/>
              <w:left w:val="single" w:sz="4" w:space="0" w:color="auto"/>
              <w:bottom w:val="single" w:sz="4" w:space="0" w:color="auto"/>
              <w:right w:val="single" w:sz="4" w:space="0" w:color="auto"/>
            </w:tcBorders>
            <w:vAlign w:val="center"/>
          </w:tcPr>
          <w:p w14:paraId="2CF7E1F8"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3CA4C3C8"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17F79D96"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9.69E-02</w:t>
            </w:r>
          </w:p>
        </w:tc>
      </w:tr>
      <w:tr w:rsidR="00A67F21" w:rsidRPr="00B12FE0" w14:paraId="204C82BF" w14:textId="77777777">
        <w:trPr>
          <w:gridAfter w:val="1"/>
          <w:trHeight w:val="340"/>
          <w:jc w:val="center"/>
        </w:trPr>
        <w:tc>
          <w:tcPr>
            <w:tcW w:w="569" w:type="dxa"/>
            <w:tcBorders>
              <w:left w:val="single" w:sz="4" w:space="0" w:color="auto"/>
              <w:right w:val="single" w:sz="4" w:space="0" w:color="auto"/>
            </w:tcBorders>
            <w:vAlign w:val="center"/>
          </w:tcPr>
          <w:p w14:paraId="72709FF8"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2-18</w:t>
            </w:r>
          </w:p>
        </w:tc>
        <w:tc>
          <w:tcPr>
            <w:tcW w:w="1118" w:type="dxa"/>
            <w:vMerge/>
            <w:tcBorders>
              <w:left w:val="single" w:sz="4" w:space="0" w:color="auto"/>
              <w:right w:val="single" w:sz="4" w:space="0" w:color="auto"/>
            </w:tcBorders>
            <w:vAlign w:val="center"/>
          </w:tcPr>
          <w:p w14:paraId="65B5F2D7"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103204CA" w14:textId="77777777" w:rsidR="00A67F21" w:rsidRPr="00B12FE0" w:rsidRDefault="00000000">
            <w:pPr>
              <w:widowControl/>
              <w:adjustRightInd w:val="0"/>
              <w:snapToGrid w:val="0"/>
              <w:jc w:val="center"/>
              <w:rPr>
                <w:color w:val="000000" w:themeColor="text1"/>
                <w:sz w:val="18"/>
                <w:szCs w:val="18"/>
              </w:rPr>
            </w:pPr>
            <w:proofErr w:type="gramStart"/>
            <w:r w:rsidRPr="00B12FE0">
              <w:rPr>
                <w:color w:val="000000" w:themeColor="text1"/>
                <w:sz w:val="18"/>
                <w:szCs w:val="18"/>
              </w:rPr>
              <w:t>医生位</w:t>
            </w:r>
            <w:proofErr w:type="gramEnd"/>
          </w:p>
        </w:tc>
        <w:tc>
          <w:tcPr>
            <w:tcW w:w="912" w:type="dxa"/>
            <w:tcBorders>
              <w:left w:val="single" w:sz="4" w:space="0" w:color="auto"/>
              <w:right w:val="single" w:sz="4" w:space="0" w:color="auto"/>
            </w:tcBorders>
            <w:vAlign w:val="center"/>
          </w:tcPr>
          <w:p w14:paraId="69EE7553"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7C17D6F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399F2F41"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0.5mmPb</w:t>
            </w:r>
            <w:proofErr w:type="gramStart"/>
            <w:r w:rsidRPr="00B12FE0">
              <w:rPr>
                <w:color w:val="000000" w:themeColor="text1"/>
                <w:sz w:val="18"/>
                <w:szCs w:val="18"/>
              </w:rPr>
              <w:t>铅衣</w:t>
            </w:r>
            <w:proofErr w:type="gramEnd"/>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2AE4A2F6"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2.42E+01</w:t>
            </w:r>
          </w:p>
        </w:tc>
      </w:tr>
      <w:tr w:rsidR="00A67F21" w:rsidRPr="00B12FE0" w14:paraId="6B07B758" w14:textId="77777777">
        <w:trPr>
          <w:gridAfter w:val="1"/>
          <w:trHeight w:val="340"/>
          <w:jc w:val="center"/>
        </w:trPr>
        <w:tc>
          <w:tcPr>
            <w:tcW w:w="569" w:type="dxa"/>
            <w:vMerge w:val="restart"/>
            <w:tcBorders>
              <w:left w:val="single" w:sz="4" w:space="0" w:color="auto"/>
              <w:right w:val="single" w:sz="4" w:space="0" w:color="auto"/>
            </w:tcBorders>
            <w:vAlign w:val="center"/>
          </w:tcPr>
          <w:p w14:paraId="3240A8E3"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2-19</w:t>
            </w:r>
          </w:p>
        </w:tc>
        <w:tc>
          <w:tcPr>
            <w:tcW w:w="1118" w:type="dxa"/>
            <w:vMerge/>
            <w:tcBorders>
              <w:left w:val="single" w:sz="4" w:space="0" w:color="auto"/>
              <w:right w:val="single" w:sz="4" w:space="0" w:color="auto"/>
            </w:tcBorders>
            <w:vAlign w:val="center"/>
          </w:tcPr>
          <w:p w14:paraId="759BDB96"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77440280" w14:textId="77777777" w:rsidR="00A67F21" w:rsidRPr="00B12FE0" w:rsidRDefault="00000000">
            <w:pPr>
              <w:adjustRightInd w:val="0"/>
              <w:snapToGrid w:val="0"/>
              <w:rPr>
                <w:color w:val="000000" w:themeColor="text1"/>
                <w:sz w:val="18"/>
                <w:szCs w:val="18"/>
              </w:rPr>
            </w:pPr>
            <w:r w:rsidRPr="00B12FE0">
              <w:rPr>
                <w:rFonts w:hint="eastAsia"/>
                <w:color w:val="000000" w:themeColor="text1"/>
                <w:sz w:val="18"/>
                <w:szCs w:val="18"/>
              </w:rPr>
              <w:t>西</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0720CFD4"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2.5</w:t>
            </w:r>
          </w:p>
        </w:tc>
        <w:tc>
          <w:tcPr>
            <w:tcW w:w="1624" w:type="dxa"/>
            <w:tcBorders>
              <w:top w:val="single" w:sz="4" w:space="0" w:color="auto"/>
              <w:left w:val="single" w:sz="4" w:space="0" w:color="auto"/>
              <w:bottom w:val="single" w:sz="4" w:space="0" w:color="auto"/>
              <w:right w:val="single" w:sz="4" w:space="0" w:color="auto"/>
            </w:tcBorders>
            <w:vAlign w:val="center"/>
          </w:tcPr>
          <w:p w14:paraId="10D1BE1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5975B25F"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1348CDB1"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9.69E-02</w:t>
            </w:r>
          </w:p>
        </w:tc>
      </w:tr>
      <w:tr w:rsidR="00A67F21" w:rsidRPr="00B12FE0" w14:paraId="47D8699D" w14:textId="77777777">
        <w:trPr>
          <w:gridAfter w:val="1"/>
          <w:trHeight w:val="340"/>
          <w:jc w:val="center"/>
        </w:trPr>
        <w:tc>
          <w:tcPr>
            <w:tcW w:w="569" w:type="dxa"/>
            <w:vMerge/>
            <w:tcBorders>
              <w:left w:val="single" w:sz="4" w:space="0" w:color="auto"/>
              <w:right w:val="single" w:sz="4" w:space="0" w:color="auto"/>
            </w:tcBorders>
            <w:vAlign w:val="center"/>
          </w:tcPr>
          <w:p w14:paraId="2211A614"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1A1D1187"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68362DB9"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西</w:t>
            </w:r>
            <w:r w:rsidRPr="00B12FE0">
              <w:rPr>
                <w:color w:val="000000" w:themeColor="text1"/>
                <w:sz w:val="18"/>
                <w:szCs w:val="18"/>
              </w:rPr>
              <w:t>侧防护门外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01850F9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w:t>
            </w:r>
          </w:p>
        </w:tc>
        <w:tc>
          <w:tcPr>
            <w:tcW w:w="1624" w:type="dxa"/>
            <w:tcBorders>
              <w:top w:val="single" w:sz="4" w:space="0" w:color="auto"/>
              <w:left w:val="single" w:sz="4" w:space="0" w:color="auto"/>
              <w:bottom w:val="single" w:sz="4" w:space="0" w:color="auto"/>
              <w:right w:val="single" w:sz="4" w:space="0" w:color="auto"/>
            </w:tcBorders>
            <w:vAlign w:val="center"/>
          </w:tcPr>
          <w:p w14:paraId="68B2DCBB"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30CACE79"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内衬</w:t>
            </w:r>
            <w:r w:rsidRPr="00B12FE0">
              <w:rPr>
                <w:rFonts w:hint="eastAsia"/>
                <w:color w:val="000000" w:themeColor="text1"/>
                <w:kern w:val="0"/>
                <w:sz w:val="18"/>
                <w:szCs w:val="18"/>
              </w:rPr>
              <w:t>8</w:t>
            </w:r>
            <w:r w:rsidRPr="00B12FE0">
              <w:rPr>
                <w:color w:val="000000" w:themeColor="text1"/>
                <w:kern w:val="0"/>
                <w:sz w:val="18"/>
                <w:szCs w:val="18"/>
              </w:rPr>
              <w:t>mm</w:t>
            </w:r>
            <w:r w:rsidRPr="00B12FE0">
              <w:rPr>
                <w:color w:val="000000" w:themeColor="text1"/>
                <w:kern w:val="0"/>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6F5FC368"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3.32E-08</w:t>
            </w:r>
          </w:p>
        </w:tc>
      </w:tr>
      <w:tr w:rsidR="00A67F21" w:rsidRPr="00B12FE0" w14:paraId="5CC94DBE" w14:textId="77777777">
        <w:trPr>
          <w:gridAfter w:val="1"/>
          <w:trHeight w:val="340"/>
          <w:jc w:val="center"/>
        </w:trPr>
        <w:tc>
          <w:tcPr>
            <w:tcW w:w="569" w:type="dxa"/>
            <w:tcBorders>
              <w:left w:val="single" w:sz="4" w:space="0" w:color="auto"/>
              <w:right w:val="single" w:sz="4" w:space="0" w:color="auto"/>
            </w:tcBorders>
            <w:vAlign w:val="center"/>
          </w:tcPr>
          <w:p w14:paraId="5458773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2-20</w:t>
            </w:r>
          </w:p>
        </w:tc>
        <w:tc>
          <w:tcPr>
            <w:tcW w:w="1118" w:type="dxa"/>
            <w:tcBorders>
              <w:left w:val="single" w:sz="4" w:space="0" w:color="auto"/>
              <w:right w:val="single" w:sz="4" w:space="0" w:color="auto"/>
            </w:tcBorders>
            <w:vAlign w:val="center"/>
          </w:tcPr>
          <w:p w14:paraId="60E14D65" w14:textId="77777777" w:rsidR="00A67F21" w:rsidRPr="00B12FE0" w:rsidRDefault="00000000">
            <w:pPr>
              <w:widowControl/>
              <w:rPr>
                <w:color w:val="000000" w:themeColor="text1"/>
                <w:kern w:val="0"/>
                <w:sz w:val="18"/>
                <w:szCs w:val="18"/>
              </w:rPr>
            </w:pPr>
            <w:r w:rsidRPr="00B12FE0">
              <w:rPr>
                <w:rFonts w:hint="eastAsia"/>
                <w:color w:val="000000" w:themeColor="text1"/>
                <w:kern w:val="0"/>
                <w:sz w:val="18"/>
                <w:szCs w:val="18"/>
              </w:rPr>
              <w:t>ECT</w:t>
            </w:r>
            <w:r w:rsidRPr="00B12FE0">
              <w:rPr>
                <w:rFonts w:hint="eastAsia"/>
                <w:color w:val="000000" w:themeColor="text1"/>
                <w:kern w:val="0"/>
                <w:sz w:val="18"/>
                <w:szCs w:val="18"/>
              </w:rPr>
              <w:t>注射位</w:t>
            </w:r>
          </w:p>
        </w:tc>
        <w:tc>
          <w:tcPr>
            <w:tcW w:w="861" w:type="dxa"/>
            <w:tcBorders>
              <w:left w:val="single" w:sz="4" w:space="0" w:color="auto"/>
              <w:right w:val="single" w:sz="4" w:space="0" w:color="auto"/>
            </w:tcBorders>
            <w:vAlign w:val="center"/>
          </w:tcPr>
          <w:p w14:paraId="3E62F72E" w14:textId="77777777" w:rsidR="00A67F21" w:rsidRPr="00B12FE0" w:rsidRDefault="00000000">
            <w:pPr>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75B1713B"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3351D64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65952BCA" w14:textId="77777777" w:rsidR="00A67F21" w:rsidRPr="00B12FE0" w:rsidRDefault="00000000">
            <w:pPr>
              <w:topLinePunct/>
              <w:autoSpaceDE w:val="0"/>
              <w:jc w:val="center"/>
              <w:rPr>
                <w:color w:val="000000" w:themeColor="text1"/>
                <w:kern w:val="0"/>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color w:val="000000" w:themeColor="text1"/>
                <w:kern w:val="0"/>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26BDDCB8"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6.38E-02</w:t>
            </w:r>
          </w:p>
        </w:tc>
      </w:tr>
      <w:tr w:rsidR="00A67F21" w:rsidRPr="00B12FE0" w14:paraId="4C5B2400" w14:textId="77777777">
        <w:trPr>
          <w:gridAfter w:val="1"/>
          <w:trHeight w:val="340"/>
          <w:jc w:val="center"/>
        </w:trPr>
        <w:tc>
          <w:tcPr>
            <w:tcW w:w="569" w:type="dxa"/>
            <w:tcBorders>
              <w:left w:val="single" w:sz="4" w:space="0" w:color="auto"/>
              <w:right w:val="single" w:sz="4" w:space="0" w:color="auto"/>
            </w:tcBorders>
            <w:vAlign w:val="center"/>
          </w:tcPr>
          <w:p w14:paraId="31B8562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2-21</w:t>
            </w:r>
          </w:p>
        </w:tc>
        <w:tc>
          <w:tcPr>
            <w:tcW w:w="1118" w:type="dxa"/>
            <w:tcBorders>
              <w:left w:val="single" w:sz="4" w:space="0" w:color="auto"/>
              <w:right w:val="single" w:sz="4" w:space="0" w:color="auto"/>
            </w:tcBorders>
            <w:vAlign w:val="center"/>
          </w:tcPr>
          <w:p w14:paraId="07CCFD3E" w14:textId="77777777" w:rsidR="00A67F21" w:rsidRPr="00B12FE0" w:rsidRDefault="00000000">
            <w:pPr>
              <w:widowControl/>
              <w:jc w:val="left"/>
              <w:rPr>
                <w:color w:val="000000" w:themeColor="text1"/>
                <w:kern w:val="0"/>
                <w:sz w:val="18"/>
                <w:szCs w:val="18"/>
              </w:rPr>
            </w:pPr>
            <w:r w:rsidRPr="00B12FE0">
              <w:rPr>
                <w:rFonts w:hint="eastAsia"/>
                <w:color w:val="000000" w:themeColor="text1"/>
                <w:kern w:val="0"/>
                <w:sz w:val="18"/>
                <w:szCs w:val="18"/>
              </w:rPr>
              <w:t>PET</w:t>
            </w:r>
            <w:r w:rsidRPr="00B12FE0">
              <w:rPr>
                <w:rFonts w:hint="eastAsia"/>
                <w:color w:val="000000" w:themeColor="text1"/>
                <w:kern w:val="0"/>
                <w:sz w:val="18"/>
                <w:szCs w:val="18"/>
              </w:rPr>
              <w:t>注射位</w:t>
            </w:r>
          </w:p>
        </w:tc>
        <w:tc>
          <w:tcPr>
            <w:tcW w:w="861" w:type="dxa"/>
            <w:tcBorders>
              <w:left w:val="single" w:sz="4" w:space="0" w:color="auto"/>
              <w:right w:val="single" w:sz="4" w:space="0" w:color="auto"/>
            </w:tcBorders>
            <w:vAlign w:val="center"/>
          </w:tcPr>
          <w:p w14:paraId="5E1BF16A" w14:textId="77777777" w:rsidR="00A67F21" w:rsidRPr="00B12FE0" w:rsidRDefault="00000000">
            <w:pPr>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71094AB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0C836AA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28A04AC9" w14:textId="77777777" w:rsidR="00A67F21" w:rsidRPr="00B12FE0" w:rsidRDefault="00000000">
            <w:pPr>
              <w:topLinePunct/>
              <w:autoSpaceDE w:val="0"/>
              <w:jc w:val="center"/>
              <w:rPr>
                <w:color w:val="000000" w:themeColor="text1"/>
                <w:kern w:val="0"/>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color w:val="000000" w:themeColor="text1"/>
                <w:kern w:val="0"/>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2861D5FD"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5.05E-03</w:t>
            </w:r>
          </w:p>
        </w:tc>
      </w:tr>
      <w:tr w:rsidR="00A67F21" w:rsidRPr="00B12FE0" w14:paraId="7ABF95EE" w14:textId="77777777">
        <w:trPr>
          <w:gridAfter w:val="1"/>
          <w:trHeight w:val="340"/>
          <w:jc w:val="center"/>
        </w:trPr>
        <w:tc>
          <w:tcPr>
            <w:tcW w:w="569" w:type="dxa"/>
            <w:vMerge w:val="restart"/>
            <w:tcBorders>
              <w:left w:val="single" w:sz="4" w:space="0" w:color="auto"/>
              <w:right w:val="single" w:sz="4" w:space="0" w:color="auto"/>
            </w:tcBorders>
            <w:vAlign w:val="center"/>
          </w:tcPr>
          <w:p w14:paraId="5F80ECB7"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2-22</w:t>
            </w:r>
          </w:p>
        </w:tc>
        <w:tc>
          <w:tcPr>
            <w:tcW w:w="1118" w:type="dxa"/>
            <w:vMerge w:val="restart"/>
            <w:tcBorders>
              <w:left w:val="single" w:sz="4" w:space="0" w:color="auto"/>
              <w:right w:val="single" w:sz="4" w:space="0" w:color="auto"/>
            </w:tcBorders>
            <w:vAlign w:val="center"/>
          </w:tcPr>
          <w:p w14:paraId="700604B7" w14:textId="77777777" w:rsidR="00A67F21" w:rsidRPr="00B12FE0" w:rsidRDefault="00000000">
            <w:pPr>
              <w:widowControl/>
              <w:jc w:val="center"/>
              <w:rPr>
                <w:color w:val="000000" w:themeColor="text1"/>
                <w:kern w:val="0"/>
                <w:sz w:val="18"/>
                <w:szCs w:val="18"/>
              </w:rPr>
            </w:pPr>
            <w:proofErr w:type="gramStart"/>
            <w:r w:rsidRPr="00B12FE0">
              <w:rPr>
                <w:rFonts w:hint="eastAsia"/>
                <w:color w:val="000000" w:themeColor="text1"/>
                <w:kern w:val="0"/>
                <w:sz w:val="18"/>
                <w:szCs w:val="18"/>
              </w:rPr>
              <w:t>服碘室</w:t>
            </w:r>
            <w:proofErr w:type="gramEnd"/>
          </w:p>
        </w:tc>
        <w:tc>
          <w:tcPr>
            <w:tcW w:w="861" w:type="dxa"/>
            <w:tcBorders>
              <w:left w:val="single" w:sz="4" w:space="0" w:color="auto"/>
              <w:right w:val="single" w:sz="4" w:space="0" w:color="auto"/>
            </w:tcBorders>
            <w:vAlign w:val="center"/>
          </w:tcPr>
          <w:p w14:paraId="31EFD153"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583E25E8"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1.6</w:t>
            </w:r>
          </w:p>
        </w:tc>
        <w:tc>
          <w:tcPr>
            <w:tcW w:w="1624" w:type="dxa"/>
            <w:tcBorders>
              <w:top w:val="single" w:sz="4" w:space="0" w:color="auto"/>
              <w:left w:val="single" w:sz="4" w:space="0" w:color="auto"/>
              <w:bottom w:val="single" w:sz="4" w:space="0" w:color="auto"/>
              <w:right w:val="single" w:sz="4" w:space="0" w:color="auto"/>
            </w:tcBorders>
            <w:vAlign w:val="center"/>
          </w:tcPr>
          <w:p w14:paraId="63411D6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w:t>
            </w:r>
            <w:r w:rsidRPr="00B12FE0">
              <w:rPr>
                <w:color w:val="000000" w:themeColor="text1"/>
                <w:sz w:val="18"/>
                <w:szCs w:val="18"/>
              </w:rPr>
              <w:t>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5412F13B" w14:textId="77777777" w:rsidR="00A67F21" w:rsidRPr="00B12FE0" w:rsidRDefault="00000000">
            <w:pPr>
              <w:topLinePunct/>
              <w:autoSpaceDE w:val="0"/>
              <w:jc w:val="center"/>
              <w:rPr>
                <w:color w:val="000000" w:themeColor="text1"/>
                <w:kern w:val="0"/>
                <w:sz w:val="18"/>
                <w:szCs w:val="18"/>
              </w:rPr>
            </w:pPr>
            <w:r w:rsidRPr="00B12FE0">
              <w:rPr>
                <w:color w:val="000000" w:themeColor="text1"/>
                <w:sz w:val="18"/>
                <w:szCs w:val="18"/>
              </w:rPr>
              <w:t>240mm</w:t>
            </w:r>
            <w:r w:rsidRPr="00B12FE0">
              <w:rPr>
                <w:color w:val="000000" w:themeColor="text1"/>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75BD5054"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8.43E-01</w:t>
            </w:r>
          </w:p>
        </w:tc>
      </w:tr>
      <w:tr w:rsidR="00A67F21" w:rsidRPr="00B12FE0" w14:paraId="08141862" w14:textId="77777777">
        <w:trPr>
          <w:gridAfter w:val="1"/>
          <w:trHeight w:val="340"/>
          <w:jc w:val="center"/>
        </w:trPr>
        <w:tc>
          <w:tcPr>
            <w:tcW w:w="569" w:type="dxa"/>
            <w:vMerge/>
            <w:tcBorders>
              <w:left w:val="single" w:sz="4" w:space="0" w:color="auto"/>
              <w:right w:val="single" w:sz="4" w:space="0" w:color="auto"/>
            </w:tcBorders>
            <w:vAlign w:val="center"/>
          </w:tcPr>
          <w:p w14:paraId="22E7CF90"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321283C8"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0B56598A"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侧防护门外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0AB5BA5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1.6</w:t>
            </w:r>
          </w:p>
        </w:tc>
        <w:tc>
          <w:tcPr>
            <w:tcW w:w="1624" w:type="dxa"/>
            <w:tcBorders>
              <w:top w:val="single" w:sz="4" w:space="0" w:color="auto"/>
              <w:left w:val="single" w:sz="4" w:space="0" w:color="auto"/>
              <w:bottom w:val="single" w:sz="4" w:space="0" w:color="auto"/>
              <w:right w:val="single" w:sz="4" w:space="0" w:color="auto"/>
            </w:tcBorders>
            <w:vAlign w:val="center"/>
          </w:tcPr>
          <w:p w14:paraId="78BB09E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w:t>
            </w:r>
            <w:r w:rsidRPr="00B12FE0">
              <w:rPr>
                <w:color w:val="000000" w:themeColor="text1"/>
                <w:sz w:val="18"/>
                <w:szCs w:val="18"/>
              </w:rPr>
              <w:t>3.7×10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3A76C7E4" w14:textId="77777777" w:rsidR="00A67F21" w:rsidRPr="00B12FE0" w:rsidRDefault="00000000">
            <w:pPr>
              <w:topLinePunct/>
              <w:autoSpaceDE w:val="0"/>
              <w:jc w:val="center"/>
              <w:rPr>
                <w:color w:val="000000" w:themeColor="text1"/>
                <w:kern w:val="0"/>
                <w:sz w:val="18"/>
                <w:szCs w:val="18"/>
              </w:rPr>
            </w:pPr>
            <w:r w:rsidRPr="00B12FE0">
              <w:rPr>
                <w:color w:val="000000" w:themeColor="text1"/>
                <w:kern w:val="0"/>
                <w:sz w:val="18"/>
                <w:szCs w:val="18"/>
              </w:rPr>
              <w:t>内衬</w:t>
            </w:r>
            <w:r w:rsidRPr="00B12FE0">
              <w:rPr>
                <w:color w:val="000000" w:themeColor="text1"/>
                <w:kern w:val="0"/>
                <w:sz w:val="18"/>
                <w:szCs w:val="18"/>
              </w:rPr>
              <w:t>6mm</w:t>
            </w:r>
            <w:r w:rsidRPr="00B12FE0">
              <w:rPr>
                <w:color w:val="000000" w:themeColor="text1"/>
                <w:kern w:val="0"/>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79DF56DB"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2.40</w:t>
            </w:r>
          </w:p>
        </w:tc>
      </w:tr>
      <w:tr w:rsidR="00A67F21" w:rsidRPr="00B12FE0" w14:paraId="7DE1348B" w14:textId="77777777">
        <w:trPr>
          <w:gridAfter w:val="1"/>
          <w:trHeight w:val="340"/>
          <w:jc w:val="center"/>
        </w:trPr>
        <w:tc>
          <w:tcPr>
            <w:tcW w:w="569" w:type="dxa"/>
            <w:tcBorders>
              <w:left w:val="single" w:sz="4" w:space="0" w:color="auto"/>
              <w:right w:val="single" w:sz="4" w:space="0" w:color="auto"/>
            </w:tcBorders>
            <w:vAlign w:val="center"/>
          </w:tcPr>
          <w:p w14:paraId="05F80ECB"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2-23</w:t>
            </w:r>
          </w:p>
        </w:tc>
        <w:tc>
          <w:tcPr>
            <w:tcW w:w="1118" w:type="dxa"/>
            <w:vMerge/>
            <w:tcBorders>
              <w:left w:val="single" w:sz="4" w:space="0" w:color="auto"/>
              <w:right w:val="single" w:sz="4" w:space="0" w:color="auto"/>
            </w:tcBorders>
            <w:vAlign w:val="center"/>
          </w:tcPr>
          <w:p w14:paraId="185C3526"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246FBD83" w14:textId="77777777" w:rsidR="00A67F21" w:rsidRPr="00B12FE0" w:rsidRDefault="00000000">
            <w:pPr>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6DC601B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603D7D82"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w:t>
            </w:r>
            <w:r w:rsidRPr="00B12FE0">
              <w:rPr>
                <w:color w:val="000000" w:themeColor="text1"/>
                <w:sz w:val="18"/>
                <w:szCs w:val="18"/>
              </w:rPr>
              <w:t>3.7×10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3204D9F1"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color w:val="000000" w:themeColor="text1"/>
                <w:kern w:val="0"/>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7F29B3BC"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3.60E-02</w:t>
            </w:r>
          </w:p>
        </w:tc>
      </w:tr>
      <w:tr w:rsidR="00A67F21" w:rsidRPr="00B12FE0" w14:paraId="7B65F9F3" w14:textId="77777777">
        <w:trPr>
          <w:gridAfter w:val="1"/>
          <w:trHeight w:val="340"/>
          <w:jc w:val="center"/>
        </w:trPr>
        <w:tc>
          <w:tcPr>
            <w:tcW w:w="569" w:type="dxa"/>
            <w:tcBorders>
              <w:left w:val="single" w:sz="4" w:space="0" w:color="auto"/>
              <w:right w:val="single" w:sz="4" w:space="0" w:color="auto"/>
            </w:tcBorders>
            <w:vAlign w:val="center"/>
          </w:tcPr>
          <w:p w14:paraId="43A9C57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2-24</w:t>
            </w:r>
          </w:p>
        </w:tc>
        <w:tc>
          <w:tcPr>
            <w:tcW w:w="1118" w:type="dxa"/>
            <w:vMerge/>
            <w:tcBorders>
              <w:left w:val="single" w:sz="4" w:space="0" w:color="auto"/>
              <w:right w:val="single" w:sz="4" w:space="0" w:color="auto"/>
            </w:tcBorders>
            <w:vAlign w:val="center"/>
          </w:tcPr>
          <w:p w14:paraId="630826C9"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4AC4E9B3"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铅管安装位</w:t>
            </w:r>
          </w:p>
        </w:tc>
        <w:tc>
          <w:tcPr>
            <w:tcW w:w="912" w:type="dxa"/>
            <w:tcBorders>
              <w:left w:val="single" w:sz="4" w:space="0" w:color="auto"/>
              <w:right w:val="single" w:sz="4" w:space="0" w:color="auto"/>
            </w:tcBorders>
            <w:vAlign w:val="center"/>
          </w:tcPr>
          <w:p w14:paraId="7F465B74"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492F72C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w:t>
            </w:r>
            <w:r w:rsidRPr="00B12FE0">
              <w:rPr>
                <w:color w:val="000000" w:themeColor="text1"/>
                <w:sz w:val="18"/>
                <w:szCs w:val="18"/>
              </w:rPr>
              <w:t>3.7×10</w:t>
            </w:r>
            <w:r w:rsidRPr="00B12FE0">
              <w:rPr>
                <w:rFonts w:hint="eastAsia"/>
                <w:color w:val="000000" w:themeColor="text1"/>
                <w:sz w:val="18"/>
                <w:szCs w:val="18"/>
                <w:vertAlign w:val="superscript"/>
              </w:rPr>
              <w:t>9</w:t>
            </w:r>
          </w:p>
        </w:tc>
        <w:tc>
          <w:tcPr>
            <w:tcW w:w="1481" w:type="dxa"/>
            <w:tcBorders>
              <w:top w:val="single" w:sz="4" w:space="0" w:color="auto"/>
              <w:left w:val="single" w:sz="4" w:space="0" w:color="auto"/>
              <w:right w:val="single" w:sz="4" w:space="0" w:color="auto"/>
            </w:tcBorders>
            <w:vAlign w:val="center"/>
          </w:tcPr>
          <w:p w14:paraId="3C52AC55" w14:textId="77777777" w:rsidR="00A67F21" w:rsidRPr="00B12FE0" w:rsidRDefault="00000000">
            <w:pPr>
              <w:topLinePunct/>
              <w:autoSpaceDE w:val="0"/>
              <w:jc w:val="center"/>
              <w:rPr>
                <w:color w:val="000000" w:themeColor="text1"/>
                <w:kern w:val="0"/>
                <w:sz w:val="18"/>
                <w:szCs w:val="18"/>
              </w:rPr>
            </w:pPr>
            <w:r w:rsidRPr="00B12FE0">
              <w:rPr>
                <w:rFonts w:hint="eastAsia"/>
                <w:color w:val="000000" w:themeColor="text1"/>
                <w:kern w:val="0"/>
                <w:sz w:val="18"/>
                <w:szCs w:val="18"/>
                <w:lang w:bidi="ar"/>
              </w:rPr>
              <w:t>3</w:t>
            </w:r>
            <w:r w:rsidRPr="00B12FE0">
              <w:rPr>
                <w:color w:val="000000" w:themeColor="text1"/>
                <w:kern w:val="0"/>
                <w:sz w:val="18"/>
                <w:szCs w:val="18"/>
                <w:lang w:bidi="ar"/>
              </w:rPr>
              <w:t>0mmPb</w:t>
            </w:r>
            <w:proofErr w:type="gramStart"/>
            <w:r w:rsidRPr="00B12FE0">
              <w:rPr>
                <w:color w:val="000000" w:themeColor="text1"/>
                <w:kern w:val="0"/>
                <w:sz w:val="18"/>
                <w:szCs w:val="18"/>
                <w:lang w:bidi="ar"/>
              </w:rPr>
              <w:t>铅罐</w:t>
            </w:r>
            <w:proofErr w:type="gramEnd"/>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AAA1EA2" w14:textId="77777777" w:rsidR="00A67F21" w:rsidRPr="00B12FE0" w:rsidRDefault="00000000">
            <w:pPr>
              <w:jc w:val="center"/>
              <w:rPr>
                <w:rFonts w:eastAsia="等线"/>
                <w:color w:val="000000" w:themeColor="text1"/>
                <w:sz w:val="18"/>
                <w:szCs w:val="18"/>
              </w:rPr>
            </w:pPr>
            <w:r w:rsidRPr="00B12FE0">
              <w:rPr>
                <w:rFonts w:eastAsia="等线"/>
                <w:color w:val="000000" w:themeColor="text1"/>
                <w:sz w:val="18"/>
                <w:szCs w:val="18"/>
              </w:rPr>
              <w:t>1.65E-01</w:t>
            </w:r>
          </w:p>
        </w:tc>
      </w:tr>
      <w:tr w:rsidR="00A67F21" w:rsidRPr="00B12FE0" w14:paraId="33B597FB" w14:textId="77777777">
        <w:trPr>
          <w:gridAfter w:val="1"/>
          <w:trHeight w:val="340"/>
          <w:jc w:val="center"/>
        </w:trPr>
        <w:tc>
          <w:tcPr>
            <w:tcW w:w="569" w:type="dxa"/>
            <w:tcBorders>
              <w:left w:val="single" w:sz="4" w:space="0" w:color="auto"/>
              <w:right w:val="single" w:sz="4" w:space="0" w:color="auto"/>
            </w:tcBorders>
            <w:vAlign w:val="center"/>
          </w:tcPr>
          <w:p w14:paraId="1232DBF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2-25</w:t>
            </w:r>
          </w:p>
        </w:tc>
        <w:tc>
          <w:tcPr>
            <w:tcW w:w="1118" w:type="dxa"/>
            <w:vMerge w:val="restart"/>
            <w:tcBorders>
              <w:left w:val="single" w:sz="4" w:space="0" w:color="auto"/>
              <w:right w:val="single" w:sz="4" w:space="0" w:color="auto"/>
            </w:tcBorders>
            <w:vAlign w:val="center"/>
          </w:tcPr>
          <w:p w14:paraId="442D296F" w14:textId="77777777" w:rsidR="00A67F21" w:rsidRPr="00B12FE0" w:rsidRDefault="00000000">
            <w:pPr>
              <w:jc w:val="center"/>
              <w:rPr>
                <w:color w:val="000000" w:themeColor="text1"/>
                <w:kern w:val="0"/>
                <w:sz w:val="18"/>
                <w:szCs w:val="18"/>
              </w:rPr>
            </w:pPr>
            <w:r w:rsidRPr="00B12FE0">
              <w:rPr>
                <w:color w:val="000000" w:themeColor="text1"/>
                <w:kern w:val="0"/>
                <w:sz w:val="18"/>
                <w:szCs w:val="18"/>
              </w:rPr>
              <w:t>抢救</w:t>
            </w:r>
            <w:r w:rsidRPr="00B12FE0">
              <w:rPr>
                <w:rFonts w:hint="eastAsia"/>
                <w:color w:val="000000" w:themeColor="text1"/>
                <w:kern w:val="0"/>
                <w:sz w:val="18"/>
                <w:szCs w:val="18"/>
              </w:rPr>
              <w:t>室</w:t>
            </w:r>
          </w:p>
        </w:tc>
        <w:tc>
          <w:tcPr>
            <w:tcW w:w="861" w:type="dxa"/>
            <w:tcBorders>
              <w:left w:val="single" w:sz="4" w:space="0" w:color="auto"/>
              <w:right w:val="single" w:sz="4" w:space="0" w:color="auto"/>
            </w:tcBorders>
            <w:vAlign w:val="center"/>
          </w:tcPr>
          <w:p w14:paraId="139B6297"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东</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4B21F779"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right w:val="single" w:sz="4" w:space="0" w:color="auto"/>
            </w:tcBorders>
            <w:vAlign w:val="center"/>
          </w:tcPr>
          <w:p w14:paraId="711FB4C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6866E545"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24</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E768412"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4.95E-01</w:t>
            </w:r>
          </w:p>
        </w:tc>
      </w:tr>
      <w:tr w:rsidR="00A67F21" w:rsidRPr="00B12FE0" w14:paraId="728A1BBE" w14:textId="77777777">
        <w:trPr>
          <w:gridAfter w:val="1"/>
          <w:trHeight w:val="340"/>
          <w:jc w:val="center"/>
        </w:trPr>
        <w:tc>
          <w:tcPr>
            <w:tcW w:w="569" w:type="dxa"/>
            <w:tcBorders>
              <w:left w:val="single" w:sz="4" w:space="0" w:color="auto"/>
              <w:right w:val="single" w:sz="4" w:space="0" w:color="auto"/>
            </w:tcBorders>
            <w:vAlign w:val="center"/>
          </w:tcPr>
          <w:p w14:paraId="5894522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2-26</w:t>
            </w:r>
          </w:p>
        </w:tc>
        <w:tc>
          <w:tcPr>
            <w:tcW w:w="1118" w:type="dxa"/>
            <w:vMerge/>
            <w:tcBorders>
              <w:left w:val="single" w:sz="4" w:space="0" w:color="auto"/>
              <w:right w:val="single" w:sz="4" w:space="0" w:color="auto"/>
            </w:tcBorders>
            <w:vAlign w:val="center"/>
          </w:tcPr>
          <w:p w14:paraId="4D214198" w14:textId="77777777" w:rsidR="00A67F21" w:rsidRPr="00B12FE0" w:rsidRDefault="00A67F21">
            <w:pPr>
              <w:jc w:val="left"/>
              <w:rPr>
                <w:color w:val="000000" w:themeColor="text1"/>
                <w:kern w:val="0"/>
                <w:sz w:val="18"/>
                <w:szCs w:val="18"/>
              </w:rPr>
            </w:pPr>
          </w:p>
        </w:tc>
        <w:tc>
          <w:tcPr>
            <w:tcW w:w="861" w:type="dxa"/>
            <w:tcBorders>
              <w:left w:val="single" w:sz="4" w:space="0" w:color="auto"/>
              <w:right w:val="single" w:sz="4" w:space="0" w:color="auto"/>
            </w:tcBorders>
            <w:vAlign w:val="center"/>
          </w:tcPr>
          <w:p w14:paraId="0FDE355F"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5AB2261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right w:val="single" w:sz="4" w:space="0" w:color="auto"/>
            </w:tcBorders>
            <w:vAlign w:val="center"/>
          </w:tcPr>
          <w:p w14:paraId="7F6D5E5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21C8D260" w14:textId="77777777" w:rsidR="00A67F21" w:rsidRPr="00B12FE0" w:rsidRDefault="00000000">
            <w:pPr>
              <w:topLinePunct/>
              <w:autoSpaceDE w:val="0"/>
              <w:jc w:val="center"/>
              <w:rPr>
                <w:color w:val="000000" w:themeColor="text1"/>
                <w:kern w:val="0"/>
                <w:sz w:val="18"/>
                <w:szCs w:val="18"/>
              </w:rPr>
            </w:pPr>
            <w:r w:rsidRPr="00B12FE0">
              <w:rPr>
                <w:rFonts w:hint="eastAsia"/>
                <w:color w:val="000000" w:themeColor="text1"/>
                <w:kern w:val="0"/>
                <w:sz w:val="18"/>
                <w:szCs w:val="18"/>
              </w:rPr>
              <w:t>37</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03B6B24"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1.59E-01</w:t>
            </w:r>
          </w:p>
        </w:tc>
      </w:tr>
      <w:tr w:rsidR="00A67F21" w:rsidRPr="00B12FE0" w14:paraId="1467953D" w14:textId="77777777">
        <w:trPr>
          <w:gridAfter w:val="1"/>
          <w:trHeight w:val="340"/>
          <w:jc w:val="center"/>
        </w:trPr>
        <w:tc>
          <w:tcPr>
            <w:tcW w:w="569" w:type="dxa"/>
            <w:tcBorders>
              <w:left w:val="single" w:sz="4" w:space="0" w:color="auto"/>
              <w:right w:val="single" w:sz="4" w:space="0" w:color="auto"/>
            </w:tcBorders>
            <w:vAlign w:val="center"/>
          </w:tcPr>
          <w:p w14:paraId="375735CB"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2-27</w:t>
            </w:r>
          </w:p>
        </w:tc>
        <w:tc>
          <w:tcPr>
            <w:tcW w:w="1118" w:type="dxa"/>
            <w:vMerge w:val="restart"/>
            <w:tcBorders>
              <w:left w:val="single" w:sz="4" w:space="0" w:color="auto"/>
              <w:right w:val="single" w:sz="4" w:space="0" w:color="auto"/>
            </w:tcBorders>
            <w:vAlign w:val="center"/>
          </w:tcPr>
          <w:p w14:paraId="27B78AA2" w14:textId="77777777" w:rsidR="00A67F21" w:rsidRPr="00B12FE0" w:rsidRDefault="00000000">
            <w:pPr>
              <w:widowControl/>
              <w:jc w:val="center"/>
              <w:rPr>
                <w:color w:val="000000" w:themeColor="text1"/>
                <w:kern w:val="0"/>
                <w:sz w:val="18"/>
                <w:szCs w:val="18"/>
              </w:rPr>
            </w:pPr>
            <w:r w:rsidRPr="00B12FE0">
              <w:rPr>
                <w:rFonts w:hint="eastAsia"/>
                <w:color w:val="000000" w:themeColor="text1"/>
                <w:kern w:val="0"/>
                <w:sz w:val="18"/>
                <w:szCs w:val="18"/>
              </w:rPr>
              <w:t>甲亢</w:t>
            </w:r>
            <w:proofErr w:type="gramStart"/>
            <w:r w:rsidRPr="00B12FE0">
              <w:rPr>
                <w:rFonts w:hint="eastAsia"/>
                <w:color w:val="000000" w:themeColor="text1"/>
                <w:kern w:val="0"/>
                <w:sz w:val="18"/>
                <w:szCs w:val="18"/>
              </w:rPr>
              <w:t>留观室</w:t>
            </w:r>
            <w:proofErr w:type="gramEnd"/>
          </w:p>
        </w:tc>
        <w:tc>
          <w:tcPr>
            <w:tcW w:w="861" w:type="dxa"/>
            <w:tcBorders>
              <w:left w:val="single" w:sz="4" w:space="0" w:color="auto"/>
              <w:right w:val="single" w:sz="4" w:space="0" w:color="auto"/>
            </w:tcBorders>
            <w:vAlign w:val="center"/>
          </w:tcPr>
          <w:p w14:paraId="474E332E"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1E0E4CB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3.8</w:t>
            </w:r>
          </w:p>
        </w:tc>
        <w:tc>
          <w:tcPr>
            <w:tcW w:w="1624" w:type="dxa"/>
            <w:tcBorders>
              <w:top w:val="single" w:sz="4" w:space="0" w:color="auto"/>
              <w:left w:val="single" w:sz="4" w:space="0" w:color="auto"/>
              <w:bottom w:val="single" w:sz="4" w:space="0" w:color="auto"/>
              <w:right w:val="single" w:sz="4" w:space="0" w:color="auto"/>
            </w:tcBorders>
            <w:vAlign w:val="center"/>
          </w:tcPr>
          <w:p w14:paraId="25A2F77B"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bottom w:val="single" w:sz="4" w:space="0" w:color="auto"/>
              <w:right w:val="single" w:sz="4" w:space="0" w:color="auto"/>
            </w:tcBorders>
            <w:vAlign w:val="center"/>
          </w:tcPr>
          <w:p w14:paraId="77FCF715"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37</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E9FD2D2"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8.58E-02</w:t>
            </w:r>
          </w:p>
        </w:tc>
      </w:tr>
      <w:tr w:rsidR="00A67F21" w:rsidRPr="00B12FE0" w14:paraId="340637C7" w14:textId="77777777">
        <w:trPr>
          <w:gridAfter w:val="1"/>
          <w:trHeight w:val="340"/>
          <w:jc w:val="center"/>
        </w:trPr>
        <w:tc>
          <w:tcPr>
            <w:tcW w:w="569" w:type="dxa"/>
            <w:tcBorders>
              <w:left w:val="single" w:sz="4" w:space="0" w:color="auto"/>
              <w:right w:val="single" w:sz="4" w:space="0" w:color="auto"/>
            </w:tcBorders>
            <w:vAlign w:val="center"/>
          </w:tcPr>
          <w:p w14:paraId="64D4FB8E"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2-28</w:t>
            </w:r>
          </w:p>
        </w:tc>
        <w:tc>
          <w:tcPr>
            <w:tcW w:w="1118" w:type="dxa"/>
            <w:vMerge/>
            <w:tcBorders>
              <w:left w:val="single" w:sz="4" w:space="0" w:color="auto"/>
              <w:right w:val="single" w:sz="4" w:space="0" w:color="auto"/>
            </w:tcBorders>
            <w:vAlign w:val="center"/>
          </w:tcPr>
          <w:p w14:paraId="59C371D7"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39F33D97"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438EA6B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529DB029"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067C0943"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color w:val="000000" w:themeColor="text1"/>
                <w:kern w:val="0"/>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5F7C0630"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7.21E-02</w:t>
            </w:r>
          </w:p>
        </w:tc>
      </w:tr>
      <w:tr w:rsidR="00A67F21" w:rsidRPr="00B12FE0" w14:paraId="4A1C0107" w14:textId="77777777">
        <w:trPr>
          <w:gridAfter w:val="1"/>
          <w:trHeight w:val="340"/>
          <w:jc w:val="center"/>
        </w:trPr>
        <w:tc>
          <w:tcPr>
            <w:tcW w:w="569" w:type="dxa"/>
            <w:vMerge w:val="restart"/>
            <w:tcBorders>
              <w:left w:val="single" w:sz="4" w:space="0" w:color="auto"/>
              <w:right w:val="single" w:sz="4" w:space="0" w:color="auto"/>
            </w:tcBorders>
            <w:vAlign w:val="center"/>
          </w:tcPr>
          <w:p w14:paraId="6D96AD0D" w14:textId="77777777" w:rsidR="00A67F21" w:rsidRPr="00B12FE0" w:rsidRDefault="00000000">
            <w:pPr>
              <w:adjustRightInd w:val="0"/>
              <w:snapToGrid w:val="0"/>
              <w:jc w:val="center"/>
              <w:rPr>
                <w:color w:val="000000" w:themeColor="text1"/>
                <w:kern w:val="0"/>
                <w:sz w:val="18"/>
                <w:szCs w:val="18"/>
              </w:rPr>
            </w:pPr>
            <w:r w:rsidRPr="00B12FE0">
              <w:rPr>
                <w:rFonts w:hint="eastAsia"/>
                <w:color w:val="000000" w:themeColor="text1"/>
                <w:kern w:val="0"/>
                <w:sz w:val="18"/>
                <w:szCs w:val="18"/>
              </w:rPr>
              <w:t>2-29</w:t>
            </w:r>
          </w:p>
        </w:tc>
        <w:tc>
          <w:tcPr>
            <w:tcW w:w="1118" w:type="dxa"/>
            <w:vMerge/>
            <w:tcBorders>
              <w:left w:val="single" w:sz="4" w:space="0" w:color="auto"/>
              <w:right w:val="single" w:sz="4" w:space="0" w:color="auto"/>
            </w:tcBorders>
            <w:vAlign w:val="center"/>
          </w:tcPr>
          <w:p w14:paraId="4879AACE"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7E9A8E01"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0A46AF28"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1.9</w:t>
            </w:r>
          </w:p>
        </w:tc>
        <w:tc>
          <w:tcPr>
            <w:tcW w:w="1624" w:type="dxa"/>
            <w:tcBorders>
              <w:top w:val="single" w:sz="4" w:space="0" w:color="auto"/>
              <w:left w:val="single" w:sz="4" w:space="0" w:color="auto"/>
              <w:bottom w:val="single" w:sz="4" w:space="0" w:color="auto"/>
              <w:right w:val="single" w:sz="4" w:space="0" w:color="auto"/>
            </w:tcBorders>
            <w:vAlign w:val="center"/>
          </w:tcPr>
          <w:p w14:paraId="54BA4F7F"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0A889D4C"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24</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6071E23"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1.20</w:t>
            </w:r>
          </w:p>
        </w:tc>
      </w:tr>
      <w:tr w:rsidR="00A67F21" w:rsidRPr="00B12FE0" w14:paraId="7DCB0ADF" w14:textId="77777777">
        <w:trPr>
          <w:gridAfter w:val="1"/>
          <w:trHeight w:val="340"/>
          <w:jc w:val="center"/>
        </w:trPr>
        <w:tc>
          <w:tcPr>
            <w:tcW w:w="569" w:type="dxa"/>
            <w:vMerge/>
            <w:tcBorders>
              <w:left w:val="single" w:sz="4" w:space="0" w:color="auto"/>
              <w:right w:val="single" w:sz="4" w:space="0" w:color="auto"/>
            </w:tcBorders>
            <w:vAlign w:val="center"/>
          </w:tcPr>
          <w:p w14:paraId="2F603AFE"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19C3E6C3"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0B787B12"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侧防护门外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281605CE"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2.2</w:t>
            </w:r>
          </w:p>
        </w:tc>
        <w:tc>
          <w:tcPr>
            <w:tcW w:w="1624" w:type="dxa"/>
            <w:tcBorders>
              <w:top w:val="single" w:sz="4" w:space="0" w:color="auto"/>
              <w:left w:val="single" w:sz="4" w:space="0" w:color="auto"/>
              <w:bottom w:val="single" w:sz="4" w:space="0" w:color="auto"/>
              <w:right w:val="single" w:sz="4" w:space="0" w:color="auto"/>
            </w:tcBorders>
            <w:vAlign w:val="center"/>
          </w:tcPr>
          <w:p w14:paraId="6FE9866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6CD50935"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内衬</w:t>
            </w:r>
            <w:r w:rsidRPr="00B12FE0">
              <w:rPr>
                <w:rFonts w:hint="eastAsia"/>
                <w:color w:val="000000" w:themeColor="text1"/>
                <w:kern w:val="0"/>
                <w:sz w:val="18"/>
                <w:szCs w:val="18"/>
              </w:rPr>
              <w:t>6</w:t>
            </w:r>
            <w:r w:rsidRPr="00B12FE0">
              <w:rPr>
                <w:color w:val="000000" w:themeColor="text1"/>
                <w:kern w:val="0"/>
                <w:sz w:val="18"/>
                <w:szCs w:val="18"/>
              </w:rPr>
              <w:t>mm</w:t>
            </w:r>
            <w:r w:rsidRPr="00B12FE0">
              <w:rPr>
                <w:color w:val="000000" w:themeColor="text1"/>
                <w:kern w:val="0"/>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3CF2BAB"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2.54</w:t>
            </w:r>
          </w:p>
        </w:tc>
      </w:tr>
      <w:tr w:rsidR="00A67F21" w:rsidRPr="00B12FE0" w14:paraId="4052DFBA" w14:textId="77777777">
        <w:trPr>
          <w:gridAfter w:val="1"/>
          <w:trHeight w:val="340"/>
          <w:jc w:val="center"/>
        </w:trPr>
        <w:tc>
          <w:tcPr>
            <w:tcW w:w="569" w:type="dxa"/>
            <w:vMerge w:val="restart"/>
            <w:tcBorders>
              <w:left w:val="single" w:sz="4" w:space="0" w:color="auto"/>
              <w:right w:val="single" w:sz="4" w:space="0" w:color="auto"/>
            </w:tcBorders>
            <w:vAlign w:val="center"/>
          </w:tcPr>
          <w:p w14:paraId="716CFF5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2-30</w:t>
            </w:r>
          </w:p>
        </w:tc>
        <w:tc>
          <w:tcPr>
            <w:tcW w:w="1118" w:type="dxa"/>
            <w:vMerge w:val="restart"/>
            <w:tcBorders>
              <w:left w:val="single" w:sz="4" w:space="0" w:color="auto"/>
              <w:right w:val="single" w:sz="4" w:space="0" w:color="auto"/>
            </w:tcBorders>
            <w:vAlign w:val="center"/>
          </w:tcPr>
          <w:p w14:paraId="7D8D00B9" w14:textId="77777777" w:rsidR="00A67F21" w:rsidRPr="00B12FE0" w:rsidRDefault="00000000">
            <w:pPr>
              <w:widowControl/>
              <w:jc w:val="center"/>
              <w:rPr>
                <w:color w:val="000000" w:themeColor="text1"/>
                <w:kern w:val="0"/>
                <w:sz w:val="18"/>
                <w:szCs w:val="18"/>
              </w:rPr>
            </w:pPr>
            <w:r w:rsidRPr="00B12FE0">
              <w:rPr>
                <w:color w:val="000000" w:themeColor="text1"/>
                <w:kern w:val="0"/>
                <w:sz w:val="18"/>
                <w:szCs w:val="18"/>
              </w:rPr>
              <w:t>SPECT/CT</w:t>
            </w:r>
            <w:r w:rsidRPr="00B12FE0">
              <w:rPr>
                <w:color w:val="000000" w:themeColor="text1"/>
                <w:kern w:val="0"/>
                <w:sz w:val="18"/>
                <w:szCs w:val="18"/>
              </w:rPr>
              <w:t>注射后</w:t>
            </w:r>
            <w:r w:rsidRPr="00B12FE0">
              <w:rPr>
                <w:rFonts w:hint="eastAsia"/>
                <w:color w:val="000000" w:themeColor="text1"/>
                <w:kern w:val="0"/>
                <w:sz w:val="18"/>
                <w:szCs w:val="18"/>
              </w:rPr>
              <w:t>候诊</w:t>
            </w:r>
            <w:r w:rsidRPr="00B12FE0">
              <w:rPr>
                <w:color w:val="000000" w:themeColor="text1"/>
                <w:kern w:val="0"/>
                <w:sz w:val="18"/>
                <w:szCs w:val="18"/>
              </w:rPr>
              <w:t>室</w:t>
            </w:r>
          </w:p>
        </w:tc>
        <w:tc>
          <w:tcPr>
            <w:tcW w:w="861" w:type="dxa"/>
            <w:tcBorders>
              <w:left w:val="single" w:sz="4" w:space="0" w:color="auto"/>
              <w:right w:val="single" w:sz="4" w:space="0" w:color="auto"/>
            </w:tcBorders>
            <w:vAlign w:val="center"/>
          </w:tcPr>
          <w:p w14:paraId="2561C21A"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326033E4"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bottom w:val="single" w:sz="4" w:space="0" w:color="auto"/>
              <w:right w:val="single" w:sz="4" w:space="0" w:color="auto"/>
            </w:tcBorders>
            <w:vAlign w:val="center"/>
          </w:tcPr>
          <w:p w14:paraId="2FB38081"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 3.7×10</w:t>
            </w:r>
            <w:r w:rsidRPr="00B12FE0">
              <w:rPr>
                <w:color w:val="000000" w:themeColor="text1"/>
                <w:sz w:val="18"/>
                <w:szCs w:val="18"/>
                <w:vertAlign w:val="superscript"/>
              </w:rPr>
              <w:t>9</w:t>
            </w:r>
          </w:p>
        </w:tc>
        <w:tc>
          <w:tcPr>
            <w:tcW w:w="1481" w:type="dxa"/>
            <w:tcBorders>
              <w:top w:val="single" w:sz="4" w:space="0" w:color="auto"/>
              <w:left w:val="single" w:sz="4" w:space="0" w:color="auto"/>
              <w:right w:val="single" w:sz="4" w:space="0" w:color="auto"/>
            </w:tcBorders>
            <w:vAlign w:val="center"/>
          </w:tcPr>
          <w:p w14:paraId="1455A411"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24</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483D36E"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2.88E-01</w:t>
            </w:r>
          </w:p>
        </w:tc>
      </w:tr>
      <w:tr w:rsidR="00A67F21" w:rsidRPr="00B12FE0" w14:paraId="31017B4C" w14:textId="77777777">
        <w:trPr>
          <w:gridAfter w:val="1"/>
          <w:trHeight w:val="340"/>
          <w:jc w:val="center"/>
        </w:trPr>
        <w:tc>
          <w:tcPr>
            <w:tcW w:w="569" w:type="dxa"/>
            <w:vMerge/>
            <w:tcBorders>
              <w:left w:val="single" w:sz="4" w:space="0" w:color="auto"/>
              <w:right w:val="single" w:sz="4" w:space="0" w:color="auto"/>
            </w:tcBorders>
            <w:vAlign w:val="center"/>
          </w:tcPr>
          <w:p w14:paraId="465DC853"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16DAE542"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6699C4EE"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侧防护门外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3424C1E4"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3.3</w:t>
            </w:r>
          </w:p>
        </w:tc>
        <w:tc>
          <w:tcPr>
            <w:tcW w:w="1624" w:type="dxa"/>
            <w:tcBorders>
              <w:top w:val="single" w:sz="4" w:space="0" w:color="auto"/>
              <w:left w:val="single" w:sz="4" w:space="0" w:color="auto"/>
              <w:bottom w:val="single" w:sz="4" w:space="0" w:color="auto"/>
              <w:right w:val="single" w:sz="4" w:space="0" w:color="auto"/>
            </w:tcBorders>
            <w:vAlign w:val="center"/>
          </w:tcPr>
          <w:p w14:paraId="012F2318"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 3.7×10</w:t>
            </w:r>
            <w:r w:rsidRPr="00B12FE0">
              <w:rPr>
                <w:color w:val="000000" w:themeColor="text1"/>
                <w:sz w:val="18"/>
                <w:szCs w:val="18"/>
                <w:vertAlign w:val="superscript"/>
              </w:rPr>
              <w:t>9</w:t>
            </w:r>
          </w:p>
        </w:tc>
        <w:tc>
          <w:tcPr>
            <w:tcW w:w="1481" w:type="dxa"/>
            <w:tcBorders>
              <w:top w:val="single" w:sz="4" w:space="0" w:color="auto"/>
              <w:left w:val="single" w:sz="4" w:space="0" w:color="auto"/>
              <w:right w:val="single" w:sz="4" w:space="0" w:color="auto"/>
            </w:tcBorders>
            <w:vAlign w:val="center"/>
          </w:tcPr>
          <w:p w14:paraId="08620C57" w14:textId="77777777" w:rsidR="00A67F21" w:rsidRPr="00B12FE0" w:rsidRDefault="00000000">
            <w:pPr>
              <w:topLinePunct/>
              <w:autoSpaceDE w:val="0"/>
              <w:jc w:val="center"/>
              <w:rPr>
                <w:color w:val="000000" w:themeColor="text1"/>
                <w:kern w:val="0"/>
                <w:sz w:val="18"/>
                <w:szCs w:val="18"/>
              </w:rPr>
            </w:pPr>
            <w:r w:rsidRPr="00B12FE0">
              <w:rPr>
                <w:color w:val="000000" w:themeColor="text1"/>
                <w:kern w:val="0"/>
                <w:sz w:val="18"/>
                <w:szCs w:val="18"/>
              </w:rPr>
              <w:t>内衬</w:t>
            </w:r>
            <w:r w:rsidRPr="00B12FE0">
              <w:rPr>
                <w:rFonts w:hint="eastAsia"/>
                <w:color w:val="000000" w:themeColor="text1"/>
                <w:kern w:val="0"/>
                <w:sz w:val="18"/>
                <w:szCs w:val="18"/>
              </w:rPr>
              <w:t>4</w:t>
            </w:r>
            <w:r w:rsidRPr="00B12FE0">
              <w:rPr>
                <w:color w:val="000000" w:themeColor="text1"/>
                <w:kern w:val="0"/>
                <w:sz w:val="18"/>
                <w:szCs w:val="18"/>
              </w:rPr>
              <w:t>mm</w:t>
            </w:r>
            <w:r w:rsidRPr="00B12FE0">
              <w:rPr>
                <w:color w:val="000000" w:themeColor="text1"/>
                <w:kern w:val="0"/>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480170F"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7.03E-04</w:t>
            </w:r>
          </w:p>
        </w:tc>
      </w:tr>
      <w:tr w:rsidR="00A67F21" w:rsidRPr="00B12FE0" w14:paraId="406AD960" w14:textId="77777777">
        <w:trPr>
          <w:gridAfter w:val="1"/>
          <w:trHeight w:val="340"/>
          <w:jc w:val="center"/>
        </w:trPr>
        <w:tc>
          <w:tcPr>
            <w:tcW w:w="569" w:type="dxa"/>
            <w:tcBorders>
              <w:left w:val="single" w:sz="4" w:space="0" w:color="auto"/>
              <w:right w:val="single" w:sz="4" w:space="0" w:color="auto"/>
            </w:tcBorders>
            <w:vAlign w:val="center"/>
          </w:tcPr>
          <w:p w14:paraId="20E3D077"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2-31</w:t>
            </w:r>
          </w:p>
        </w:tc>
        <w:tc>
          <w:tcPr>
            <w:tcW w:w="1118" w:type="dxa"/>
            <w:vMerge/>
            <w:tcBorders>
              <w:left w:val="single" w:sz="4" w:space="0" w:color="auto"/>
              <w:right w:val="single" w:sz="4" w:space="0" w:color="auto"/>
            </w:tcBorders>
            <w:vAlign w:val="center"/>
          </w:tcPr>
          <w:p w14:paraId="5EC129C0" w14:textId="77777777" w:rsidR="00A67F21" w:rsidRPr="00B12FE0" w:rsidRDefault="00A67F21">
            <w:pPr>
              <w:widowControl/>
              <w:jc w:val="left"/>
              <w:rPr>
                <w:color w:val="000000" w:themeColor="text1"/>
                <w:kern w:val="0"/>
                <w:sz w:val="18"/>
                <w:szCs w:val="18"/>
              </w:rPr>
            </w:pPr>
          </w:p>
        </w:tc>
        <w:tc>
          <w:tcPr>
            <w:tcW w:w="861" w:type="dxa"/>
            <w:tcBorders>
              <w:left w:val="single" w:sz="4" w:space="0" w:color="auto"/>
              <w:right w:val="single" w:sz="4" w:space="0" w:color="auto"/>
            </w:tcBorders>
            <w:vAlign w:val="center"/>
          </w:tcPr>
          <w:p w14:paraId="336B9C01"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424CAE13"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12BEF55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 3.7×10</w:t>
            </w:r>
            <w:r w:rsidRPr="00B12FE0">
              <w:rPr>
                <w:color w:val="000000" w:themeColor="text1"/>
                <w:sz w:val="18"/>
                <w:szCs w:val="18"/>
                <w:vertAlign w:val="superscript"/>
              </w:rPr>
              <w:t>9</w:t>
            </w:r>
          </w:p>
        </w:tc>
        <w:tc>
          <w:tcPr>
            <w:tcW w:w="1481" w:type="dxa"/>
            <w:tcBorders>
              <w:top w:val="single" w:sz="4" w:space="0" w:color="auto"/>
              <w:left w:val="single" w:sz="4" w:space="0" w:color="auto"/>
              <w:right w:val="single" w:sz="4" w:space="0" w:color="auto"/>
            </w:tcBorders>
            <w:vAlign w:val="center"/>
          </w:tcPr>
          <w:p w14:paraId="42D67CF8"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250</w:t>
            </w:r>
            <w:r w:rsidRPr="00B12FE0">
              <w:rPr>
                <w:color w:val="000000" w:themeColor="text1"/>
                <w:kern w:val="0"/>
                <w:sz w:val="18"/>
                <w:szCs w:val="18"/>
              </w:rPr>
              <w:t>mm</w:t>
            </w:r>
            <w:r w:rsidRPr="00B12FE0">
              <w:rPr>
                <w:color w:val="000000" w:themeColor="text1"/>
                <w:kern w:val="0"/>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39850DB0"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2.02E-02</w:t>
            </w:r>
          </w:p>
        </w:tc>
      </w:tr>
      <w:tr w:rsidR="00A67F21" w:rsidRPr="00B12FE0" w14:paraId="6B500E1C" w14:textId="77777777">
        <w:trPr>
          <w:gridAfter w:val="1"/>
          <w:trHeight w:val="340"/>
          <w:jc w:val="center"/>
        </w:trPr>
        <w:tc>
          <w:tcPr>
            <w:tcW w:w="569" w:type="dxa"/>
            <w:tcBorders>
              <w:left w:val="single" w:sz="4" w:space="0" w:color="auto"/>
              <w:right w:val="single" w:sz="4" w:space="0" w:color="auto"/>
            </w:tcBorders>
            <w:vAlign w:val="center"/>
          </w:tcPr>
          <w:p w14:paraId="5E2219CE"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2-32</w:t>
            </w:r>
          </w:p>
        </w:tc>
        <w:tc>
          <w:tcPr>
            <w:tcW w:w="1118" w:type="dxa"/>
            <w:vMerge/>
            <w:tcBorders>
              <w:left w:val="single" w:sz="4" w:space="0" w:color="auto"/>
              <w:right w:val="single" w:sz="4" w:space="0" w:color="auto"/>
            </w:tcBorders>
            <w:vAlign w:val="center"/>
          </w:tcPr>
          <w:p w14:paraId="5D44DD2F"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35E63CC0"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墙外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5CB56212"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bottom w:val="single" w:sz="4" w:space="0" w:color="auto"/>
              <w:right w:val="single" w:sz="4" w:space="0" w:color="auto"/>
            </w:tcBorders>
            <w:vAlign w:val="center"/>
          </w:tcPr>
          <w:p w14:paraId="358041F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 3.7×10</w:t>
            </w:r>
            <w:r w:rsidRPr="00B12FE0">
              <w:rPr>
                <w:color w:val="000000" w:themeColor="text1"/>
                <w:sz w:val="18"/>
                <w:szCs w:val="18"/>
                <w:vertAlign w:val="superscript"/>
              </w:rPr>
              <w:t>9</w:t>
            </w:r>
          </w:p>
        </w:tc>
        <w:tc>
          <w:tcPr>
            <w:tcW w:w="1481" w:type="dxa"/>
            <w:tcBorders>
              <w:top w:val="single" w:sz="4" w:space="0" w:color="auto"/>
              <w:left w:val="single" w:sz="4" w:space="0" w:color="auto"/>
              <w:right w:val="single" w:sz="4" w:space="0" w:color="auto"/>
            </w:tcBorders>
            <w:vAlign w:val="center"/>
          </w:tcPr>
          <w:p w14:paraId="146EF952"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37</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005F83CD"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4.43E-02</w:t>
            </w:r>
          </w:p>
        </w:tc>
      </w:tr>
      <w:tr w:rsidR="00A67F21" w:rsidRPr="00B12FE0" w14:paraId="227187EB" w14:textId="77777777">
        <w:trPr>
          <w:gridAfter w:val="1"/>
          <w:trHeight w:val="340"/>
          <w:jc w:val="center"/>
        </w:trPr>
        <w:tc>
          <w:tcPr>
            <w:tcW w:w="569" w:type="dxa"/>
            <w:tcBorders>
              <w:left w:val="single" w:sz="4" w:space="0" w:color="auto"/>
              <w:right w:val="single" w:sz="4" w:space="0" w:color="auto"/>
            </w:tcBorders>
            <w:vAlign w:val="center"/>
          </w:tcPr>
          <w:p w14:paraId="793A42AE"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2-33</w:t>
            </w:r>
          </w:p>
        </w:tc>
        <w:tc>
          <w:tcPr>
            <w:tcW w:w="1118" w:type="dxa"/>
            <w:vMerge w:val="restart"/>
            <w:tcBorders>
              <w:left w:val="single" w:sz="4" w:space="0" w:color="auto"/>
              <w:right w:val="single" w:sz="4" w:space="0" w:color="auto"/>
            </w:tcBorders>
            <w:vAlign w:val="center"/>
          </w:tcPr>
          <w:p w14:paraId="4B1CF4D6" w14:textId="77777777" w:rsidR="00A67F21" w:rsidRPr="00B12FE0" w:rsidRDefault="00000000">
            <w:pPr>
              <w:jc w:val="center"/>
              <w:rPr>
                <w:color w:val="000000" w:themeColor="text1"/>
                <w:kern w:val="0"/>
                <w:sz w:val="18"/>
                <w:szCs w:val="18"/>
              </w:rPr>
            </w:pPr>
            <w:r w:rsidRPr="00B12FE0">
              <w:rPr>
                <w:color w:val="000000" w:themeColor="text1"/>
                <w:kern w:val="0"/>
                <w:sz w:val="18"/>
                <w:szCs w:val="18"/>
              </w:rPr>
              <w:t>PET/CT</w:t>
            </w:r>
            <w:r w:rsidRPr="00B12FE0">
              <w:rPr>
                <w:rFonts w:hint="eastAsia"/>
                <w:color w:val="000000" w:themeColor="text1"/>
                <w:kern w:val="0"/>
                <w:sz w:val="18"/>
                <w:szCs w:val="18"/>
              </w:rPr>
              <w:t>注射后候诊室</w:t>
            </w:r>
            <w:r w:rsidRPr="00B12FE0">
              <w:rPr>
                <w:rFonts w:hint="eastAsia"/>
                <w:color w:val="000000" w:themeColor="text1"/>
                <w:kern w:val="0"/>
                <w:sz w:val="18"/>
                <w:szCs w:val="18"/>
              </w:rPr>
              <w:t>2</w:t>
            </w:r>
          </w:p>
        </w:tc>
        <w:tc>
          <w:tcPr>
            <w:tcW w:w="861" w:type="dxa"/>
            <w:tcBorders>
              <w:left w:val="single" w:sz="4" w:space="0" w:color="auto"/>
              <w:right w:val="single" w:sz="4" w:space="0" w:color="auto"/>
            </w:tcBorders>
            <w:vAlign w:val="center"/>
          </w:tcPr>
          <w:p w14:paraId="30E997AD"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墙外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0C6C8AD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bottom w:val="single" w:sz="4" w:space="0" w:color="auto"/>
              <w:right w:val="single" w:sz="4" w:space="0" w:color="auto"/>
            </w:tcBorders>
            <w:vAlign w:val="center"/>
          </w:tcPr>
          <w:p w14:paraId="3B16F60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7AEA4768"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37</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08C25633"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3.17E-01</w:t>
            </w:r>
          </w:p>
        </w:tc>
      </w:tr>
      <w:tr w:rsidR="00A67F21" w:rsidRPr="00B12FE0" w14:paraId="56027067" w14:textId="77777777">
        <w:trPr>
          <w:gridAfter w:val="1"/>
          <w:trHeight w:val="340"/>
          <w:jc w:val="center"/>
        </w:trPr>
        <w:tc>
          <w:tcPr>
            <w:tcW w:w="569" w:type="dxa"/>
            <w:tcBorders>
              <w:left w:val="single" w:sz="4" w:space="0" w:color="auto"/>
              <w:right w:val="single" w:sz="4" w:space="0" w:color="auto"/>
            </w:tcBorders>
            <w:vAlign w:val="center"/>
          </w:tcPr>
          <w:p w14:paraId="78780E58"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2-34</w:t>
            </w:r>
          </w:p>
        </w:tc>
        <w:tc>
          <w:tcPr>
            <w:tcW w:w="1118" w:type="dxa"/>
            <w:vMerge/>
            <w:tcBorders>
              <w:left w:val="single" w:sz="4" w:space="0" w:color="auto"/>
              <w:right w:val="single" w:sz="4" w:space="0" w:color="auto"/>
            </w:tcBorders>
            <w:vAlign w:val="center"/>
          </w:tcPr>
          <w:p w14:paraId="30CB4D37" w14:textId="77777777" w:rsidR="00A67F21" w:rsidRPr="00B12FE0" w:rsidRDefault="00A67F21">
            <w:pPr>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025E0B94"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6CEEE303"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2387D76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2D5FC883"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color w:val="000000" w:themeColor="text1"/>
                <w:kern w:val="0"/>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E9C1C9C"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1.28E-01</w:t>
            </w:r>
          </w:p>
        </w:tc>
      </w:tr>
      <w:tr w:rsidR="00A67F21" w:rsidRPr="00B12FE0" w14:paraId="1C7D4220" w14:textId="77777777">
        <w:trPr>
          <w:gridAfter w:val="1"/>
          <w:trHeight w:val="340"/>
          <w:jc w:val="center"/>
        </w:trPr>
        <w:tc>
          <w:tcPr>
            <w:tcW w:w="569" w:type="dxa"/>
            <w:vMerge w:val="restart"/>
            <w:tcBorders>
              <w:left w:val="single" w:sz="4" w:space="0" w:color="auto"/>
              <w:right w:val="single" w:sz="4" w:space="0" w:color="auto"/>
            </w:tcBorders>
            <w:vAlign w:val="center"/>
          </w:tcPr>
          <w:p w14:paraId="369EF03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2-35</w:t>
            </w:r>
          </w:p>
        </w:tc>
        <w:tc>
          <w:tcPr>
            <w:tcW w:w="1118" w:type="dxa"/>
            <w:vMerge/>
            <w:tcBorders>
              <w:left w:val="single" w:sz="4" w:space="0" w:color="auto"/>
              <w:right w:val="single" w:sz="4" w:space="0" w:color="auto"/>
            </w:tcBorders>
            <w:vAlign w:val="center"/>
          </w:tcPr>
          <w:p w14:paraId="0A715A4D"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39A1EEED"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1457C15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2.8</w:t>
            </w:r>
          </w:p>
        </w:tc>
        <w:tc>
          <w:tcPr>
            <w:tcW w:w="1624" w:type="dxa"/>
            <w:tcBorders>
              <w:top w:val="single" w:sz="4" w:space="0" w:color="auto"/>
              <w:left w:val="single" w:sz="4" w:space="0" w:color="auto"/>
              <w:bottom w:val="single" w:sz="4" w:space="0" w:color="auto"/>
              <w:right w:val="single" w:sz="4" w:space="0" w:color="auto"/>
            </w:tcBorders>
            <w:vAlign w:val="center"/>
          </w:tcPr>
          <w:p w14:paraId="05A18FF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221B8F6E"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24</w:t>
            </w:r>
            <w:r w:rsidRPr="00B12FE0">
              <w:rPr>
                <w:color w:val="000000" w:themeColor="text1"/>
                <w:kern w:val="0"/>
                <w:sz w:val="18"/>
                <w:szCs w:val="18"/>
              </w:rPr>
              <w:t>0mm</w:t>
            </w:r>
            <w:r w:rsidRPr="00B12FE0">
              <w:rPr>
                <w:color w:val="000000" w:themeColor="text1"/>
                <w:kern w:val="0"/>
                <w:sz w:val="18"/>
                <w:szCs w:val="18"/>
              </w:rPr>
              <w:t>实心砖</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165A2D01"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1.06</w:t>
            </w:r>
          </w:p>
        </w:tc>
      </w:tr>
      <w:tr w:rsidR="00A67F21" w:rsidRPr="00B12FE0" w14:paraId="78001853" w14:textId="77777777">
        <w:trPr>
          <w:gridAfter w:val="1"/>
          <w:trHeight w:val="340"/>
          <w:jc w:val="center"/>
        </w:trPr>
        <w:tc>
          <w:tcPr>
            <w:tcW w:w="569" w:type="dxa"/>
            <w:vMerge/>
            <w:tcBorders>
              <w:left w:val="single" w:sz="4" w:space="0" w:color="auto"/>
              <w:right w:val="single" w:sz="4" w:space="0" w:color="auto"/>
            </w:tcBorders>
            <w:vAlign w:val="center"/>
          </w:tcPr>
          <w:p w14:paraId="0C5E9966" w14:textId="77777777" w:rsidR="00A67F21" w:rsidRPr="00B12FE0" w:rsidRDefault="00A67F21">
            <w:pPr>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242F9461"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505C1B2A"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侧防护门外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788AF07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bottom w:val="single" w:sz="4" w:space="0" w:color="auto"/>
              <w:right w:val="single" w:sz="4" w:space="0" w:color="auto"/>
            </w:tcBorders>
            <w:vAlign w:val="center"/>
          </w:tcPr>
          <w:p w14:paraId="05393AF7"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7.4</w:t>
            </w:r>
            <w:r w:rsidRPr="00B12FE0">
              <w:rPr>
                <w:color w:val="000000" w:themeColor="text1"/>
                <w:sz w:val="18"/>
                <w:szCs w:val="18"/>
              </w:rPr>
              <w:t>×10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7F97CEE6" w14:textId="77777777" w:rsidR="00A67F21" w:rsidRPr="00B12FE0" w:rsidRDefault="00000000">
            <w:pPr>
              <w:topLinePunct/>
              <w:autoSpaceDE w:val="0"/>
              <w:jc w:val="center"/>
              <w:rPr>
                <w:color w:val="000000" w:themeColor="text1"/>
                <w:kern w:val="0"/>
                <w:sz w:val="18"/>
                <w:szCs w:val="18"/>
              </w:rPr>
            </w:pPr>
            <w:r w:rsidRPr="00B12FE0">
              <w:rPr>
                <w:color w:val="000000" w:themeColor="text1"/>
                <w:kern w:val="0"/>
                <w:sz w:val="18"/>
                <w:szCs w:val="18"/>
              </w:rPr>
              <w:t>内衬</w:t>
            </w:r>
            <w:r w:rsidRPr="00B12FE0">
              <w:rPr>
                <w:rFonts w:hint="eastAsia"/>
                <w:color w:val="000000" w:themeColor="text1"/>
                <w:kern w:val="0"/>
                <w:sz w:val="18"/>
                <w:szCs w:val="18"/>
              </w:rPr>
              <w:t>8</w:t>
            </w:r>
            <w:r w:rsidRPr="00B12FE0">
              <w:rPr>
                <w:color w:val="000000" w:themeColor="text1"/>
                <w:kern w:val="0"/>
                <w:sz w:val="18"/>
                <w:szCs w:val="18"/>
              </w:rPr>
              <w:t>mm</w:t>
            </w:r>
            <w:r w:rsidRPr="00B12FE0">
              <w:rPr>
                <w:color w:val="000000" w:themeColor="text1"/>
                <w:kern w:val="0"/>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7DE93E18"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2.67</w:t>
            </w:r>
          </w:p>
        </w:tc>
      </w:tr>
      <w:tr w:rsidR="00A67F21" w:rsidRPr="00B12FE0" w14:paraId="3A76C5B7" w14:textId="77777777">
        <w:trPr>
          <w:gridAfter w:val="1"/>
          <w:trHeight w:val="239"/>
          <w:jc w:val="center"/>
        </w:trPr>
        <w:tc>
          <w:tcPr>
            <w:tcW w:w="569" w:type="dxa"/>
            <w:tcBorders>
              <w:left w:val="single" w:sz="4" w:space="0" w:color="auto"/>
              <w:right w:val="single" w:sz="4" w:space="0" w:color="auto"/>
            </w:tcBorders>
            <w:vAlign w:val="center"/>
          </w:tcPr>
          <w:p w14:paraId="36B220DD"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2-36</w:t>
            </w:r>
          </w:p>
        </w:tc>
        <w:tc>
          <w:tcPr>
            <w:tcW w:w="1118" w:type="dxa"/>
            <w:vMerge w:val="restart"/>
            <w:tcBorders>
              <w:left w:val="single" w:sz="4" w:space="0" w:color="auto"/>
              <w:right w:val="single" w:sz="4" w:space="0" w:color="auto"/>
            </w:tcBorders>
            <w:vAlign w:val="center"/>
          </w:tcPr>
          <w:p w14:paraId="6AA389BC" w14:textId="77777777" w:rsidR="00A67F21" w:rsidRPr="00B12FE0" w:rsidRDefault="00000000">
            <w:pPr>
              <w:widowControl/>
              <w:jc w:val="center"/>
              <w:rPr>
                <w:color w:val="000000" w:themeColor="text1"/>
                <w:kern w:val="0"/>
                <w:sz w:val="18"/>
                <w:szCs w:val="18"/>
              </w:rPr>
            </w:pPr>
            <w:r w:rsidRPr="00B12FE0">
              <w:rPr>
                <w:color w:val="000000" w:themeColor="text1"/>
                <w:kern w:val="0"/>
                <w:sz w:val="18"/>
                <w:szCs w:val="18"/>
              </w:rPr>
              <w:t>SPECT/CT</w:t>
            </w:r>
            <w:r w:rsidRPr="00B12FE0">
              <w:rPr>
                <w:color w:val="000000" w:themeColor="text1"/>
                <w:kern w:val="0"/>
                <w:sz w:val="18"/>
                <w:szCs w:val="18"/>
              </w:rPr>
              <w:t>机房</w:t>
            </w:r>
          </w:p>
        </w:tc>
        <w:tc>
          <w:tcPr>
            <w:tcW w:w="861" w:type="dxa"/>
            <w:tcBorders>
              <w:left w:val="single" w:sz="4" w:space="0" w:color="auto"/>
              <w:right w:val="single" w:sz="4" w:space="0" w:color="auto"/>
            </w:tcBorders>
            <w:vAlign w:val="center"/>
          </w:tcPr>
          <w:p w14:paraId="1EE7EE21"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东</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42A732FE"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3.6</w:t>
            </w:r>
          </w:p>
        </w:tc>
        <w:tc>
          <w:tcPr>
            <w:tcW w:w="1624" w:type="dxa"/>
            <w:tcBorders>
              <w:top w:val="single" w:sz="4" w:space="0" w:color="auto"/>
              <w:left w:val="single" w:sz="4" w:space="0" w:color="auto"/>
              <w:right w:val="single" w:sz="4" w:space="0" w:color="auto"/>
            </w:tcBorders>
            <w:vAlign w:val="center"/>
          </w:tcPr>
          <w:p w14:paraId="235C0D4C"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tcPr>
          <w:p w14:paraId="1D76D9FA"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r w:rsidRPr="00B12FE0">
              <w:rPr>
                <w:color w:val="000000" w:themeColor="text1"/>
                <w:sz w:val="18"/>
                <w:szCs w:val="18"/>
              </w:rPr>
              <w:t>+40mm</w:t>
            </w:r>
            <w:r w:rsidRPr="00B12FE0">
              <w:rPr>
                <w:color w:val="000000" w:themeColor="text1"/>
                <w:sz w:val="18"/>
                <w:szCs w:val="18"/>
              </w:rPr>
              <w:t>硫酸钡防护涂料</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73951C97" w14:textId="77777777" w:rsidR="00A67F21" w:rsidRPr="00B12FE0" w:rsidRDefault="00000000">
            <w:pPr>
              <w:jc w:val="center"/>
              <w:rPr>
                <w:b/>
                <w:bCs/>
                <w:color w:val="000000" w:themeColor="text1"/>
                <w:sz w:val="18"/>
                <w:szCs w:val="18"/>
              </w:rPr>
            </w:pPr>
            <w:r w:rsidRPr="00B12FE0">
              <w:rPr>
                <w:rFonts w:eastAsia="等线"/>
                <w:color w:val="000000" w:themeColor="text1"/>
                <w:sz w:val="18"/>
                <w:szCs w:val="18"/>
              </w:rPr>
              <w:t>2.31E-02</w:t>
            </w:r>
          </w:p>
        </w:tc>
      </w:tr>
      <w:tr w:rsidR="00A67F21" w:rsidRPr="00B12FE0" w14:paraId="027D1799" w14:textId="77777777">
        <w:trPr>
          <w:gridAfter w:val="1"/>
          <w:trHeight w:val="218"/>
          <w:jc w:val="center"/>
        </w:trPr>
        <w:tc>
          <w:tcPr>
            <w:tcW w:w="569" w:type="dxa"/>
            <w:vMerge w:val="restart"/>
            <w:tcBorders>
              <w:left w:val="single" w:sz="4" w:space="0" w:color="auto"/>
              <w:right w:val="single" w:sz="4" w:space="0" w:color="auto"/>
            </w:tcBorders>
            <w:vAlign w:val="center"/>
          </w:tcPr>
          <w:p w14:paraId="798BD6DE"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2-37</w:t>
            </w:r>
          </w:p>
        </w:tc>
        <w:tc>
          <w:tcPr>
            <w:tcW w:w="1118" w:type="dxa"/>
            <w:vMerge/>
            <w:tcBorders>
              <w:left w:val="single" w:sz="4" w:space="0" w:color="auto"/>
              <w:right w:val="single" w:sz="4" w:space="0" w:color="auto"/>
            </w:tcBorders>
            <w:vAlign w:val="center"/>
          </w:tcPr>
          <w:p w14:paraId="04BEF73E"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2D1FAAEA"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32EC9EF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4.6</w:t>
            </w:r>
          </w:p>
        </w:tc>
        <w:tc>
          <w:tcPr>
            <w:tcW w:w="1624" w:type="dxa"/>
            <w:tcBorders>
              <w:left w:val="single" w:sz="4" w:space="0" w:color="auto"/>
              <w:bottom w:val="single" w:sz="4" w:space="0" w:color="auto"/>
              <w:right w:val="single" w:sz="4" w:space="0" w:color="auto"/>
            </w:tcBorders>
            <w:vAlign w:val="center"/>
          </w:tcPr>
          <w:p w14:paraId="3A9C0A6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tcPr>
          <w:p w14:paraId="0F48F27C"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r w:rsidRPr="00B12FE0">
              <w:rPr>
                <w:color w:val="000000" w:themeColor="text1"/>
                <w:sz w:val="18"/>
                <w:szCs w:val="18"/>
              </w:rPr>
              <w:t>+40mm</w:t>
            </w:r>
            <w:r w:rsidRPr="00B12FE0">
              <w:rPr>
                <w:color w:val="000000" w:themeColor="text1"/>
                <w:sz w:val="18"/>
                <w:szCs w:val="18"/>
              </w:rPr>
              <w:t>硫酸钡防护涂料</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7C8B2E53"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1.42E-02</w:t>
            </w:r>
          </w:p>
        </w:tc>
      </w:tr>
      <w:tr w:rsidR="00A67F21" w:rsidRPr="00B12FE0" w14:paraId="77913F62" w14:textId="77777777">
        <w:trPr>
          <w:gridAfter w:val="1"/>
          <w:trHeight w:val="218"/>
          <w:jc w:val="center"/>
        </w:trPr>
        <w:tc>
          <w:tcPr>
            <w:tcW w:w="569" w:type="dxa"/>
            <w:vMerge/>
            <w:tcBorders>
              <w:left w:val="single" w:sz="4" w:space="0" w:color="auto"/>
              <w:right w:val="single" w:sz="4" w:space="0" w:color="auto"/>
            </w:tcBorders>
            <w:vAlign w:val="center"/>
          </w:tcPr>
          <w:p w14:paraId="13FEFC5C"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38241C9B"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5C6A4637"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侧防护门外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7414990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4.8</w:t>
            </w:r>
          </w:p>
        </w:tc>
        <w:tc>
          <w:tcPr>
            <w:tcW w:w="1624" w:type="dxa"/>
            <w:tcBorders>
              <w:left w:val="single" w:sz="4" w:space="0" w:color="auto"/>
              <w:bottom w:val="single" w:sz="4" w:space="0" w:color="auto"/>
              <w:right w:val="single" w:sz="4" w:space="0" w:color="auto"/>
            </w:tcBorders>
            <w:vAlign w:val="center"/>
          </w:tcPr>
          <w:p w14:paraId="553E79D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58D58CEA" w14:textId="77777777" w:rsidR="00A67F21" w:rsidRPr="00B12FE0" w:rsidRDefault="00000000">
            <w:pPr>
              <w:topLinePunct/>
              <w:autoSpaceDE w:val="0"/>
              <w:jc w:val="center"/>
              <w:rPr>
                <w:color w:val="000000" w:themeColor="text1"/>
                <w:kern w:val="0"/>
                <w:sz w:val="18"/>
                <w:szCs w:val="18"/>
              </w:rPr>
            </w:pPr>
            <w:r w:rsidRPr="00B12FE0">
              <w:rPr>
                <w:color w:val="000000" w:themeColor="text1"/>
                <w:kern w:val="0"/>
                <w:sz w:val="18"/>
                <w:szCs w:val="18"/>
              </w:rPr>
              <w:t>内衬</w:t>
            </w:r>
            <w:r w:rsidRPr="00B12FE0">
              <w:rPr>
                <w:rFonts w:hint="eastAsia"/>
                <w:color w:val="000000" w:themeColor="text1"/>
                <w:kern w:val="0"/>
                <w:sz w:val="18"/>
                <w:szCs w:val="18"/>
              </w:rPr>
              <w:t>4</w:t>
            </w:r>
            <w:r w:rsidRPr="00B12FE0">
              <w:rPr>
                <w:color w:val="000000" w:themeColor="text1"/>
                <w:kern w:val="0"/>
                <w:sz w:val="18"/>
                <w:szCs w:val="18"/>
              </w:rPr>
              <w:t>mm</w:t>
            </w:r>
            <w:r w:rsidRPr="00B12FE0">
              <w:rPr>
                <w:color w:val="000000" w:themeColor="text1"/>
                <w:kern w:val="0"/>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138BDC5B"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8.31E-05</w:t>
            </w:r>
          </w:p>
        </w:tc>
      </w:tr>
      <w:tr w:rsidR="00A67F21" w:rsidRPr="00B12FE0" w14:paraId="69EC8139" w14:textId="77777777">
        <w:trPr>
          <w:gridAfter w:val="1"/>
          <w:trHeight w:val="218"/>
          <w:jc w:val="center"/>
        </w:trPr>
        <w:tc>
          <w:tcPr>
            <w:tcW w:w="569" w:type="dxa"/>
            <w:tcBorders>
              <w:left w:val="single" w:sz="4" w:space="0" w:color="auto"/>
              <w:right w:val="single" w:sz="4" w:space="0" w:color="auto"/>
            </w:tcBorders>
            <w:vAlign w:val="center"/>
          </w:tcPr>
          <w:p w14:paraId="1A3998E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2-38</w:t>
            </w:r>
          </w:p>
        </w:tc>
        <w:tc>
          <w:tcPr>
            <w:tcW w:w="1118" w:type="dxa"/>
            <w:vMerge/>
            <w:tcBorders>
              <w:left w:val="single" w:sz="4" w:space="0" w:color="auto"/>
              <w:right w:val="single" w:sz="4" w:space="0" w:color="auto"/>
            </w:tcBorders>
            <w:vAlign w:val="center"/>
          </w:tcPr>
          <w:p w14:paraId="2EAA9009"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606467C2"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西</w:t>
            </w:r>
            <w:r w:rsidRPr="00B12FE0">
              <w:rPr>
                <w:color w:val="000000" w:themeColor="text1"/>
                <w:sz w:val="18"/>
                <w:szCs w:val="18"/>
              </w:rPr>
              <w:t>侧墙外</w:t>
            </w:r>
            <w:r w:rsidRPr="00B12FE0">
              <w:rPr>
                <w:color w:val="000000" w:themeColor="text1"/>
                <w:sz w:val="18"/>
                <w:szCs w:val="18"/>
              </w:rPr>
              <w:t>30cm</w:t>
            </w:r>
          </w:p>
        </w:tc>
        <w:tc>
          <w:tcPr>
            <w:tcW w:w="912" w:type="dxa"/>
            <w:tcBorders>
              <w:left w:val="single" w:sz="4" w:space="0" w:color="auto"/>
              <w:right w:val="single" w:sz="4" w:space="0" w:color="auto"/>
            </w:tcBorders>
            <w:vAlign w:val="center"/>
          </w:tcPr>
          <w:p w14:paraId="06ED6A0D"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3.6</w:t>
            </w:r>
          </w:p>
        </w:tc>
        <w:tc>
          <w:tcPr>
            <w:tcW w:w="1624" w:type="dxa"/>
            <w:tcBorders>
              <w:left w:val="single" w:sz="4" w:space="0" w:color="auto"/>
              <w:bottom w:val="single" w:sz="4" w:space="0" w:color="auto"/>
              <w:right w:val="single" w:sz="4" w:space="0" w:color="auto"/>
            </w:tcBorders>
            <w:vAlign w:val="center"/>
          </w:tcPr>
          <w:p w14:paraId="5D0A2FC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6AD75123" w14:textId="77777777" w:rsidR="00A67F21" w:rsidRPr="00B12FE0" w:rsidRDefault="00000000">
            <w:pPr>
              <w:topLinePunct/>
              <w:autoSpaceDE w:val="0"/>
              <w:jc w:val="center"/>
              <w:rPr>
                <w:color w:val="000000" w:themeColor="text1"/>
                <w:kern w:val="0"/>
                <w:sz w:val="18"/>
                <w:szCs w:val="18"/>
              </w:rPr>
            </w:pPr>
            <w:r w:rsidRPr="00B12FE0">
              <w:rPr>
                <w:color w:val="000000" w:themeColor="text1"/>
                <w:sz w:val="18"/>
                <w:szCs w:val="18"/>
              </w:rPr>
              <w:t>240mm</w:t>
            </w:r>
            <w:r w:rsidRPr="00B12FE0">
              <w:rPr>
                <w:color w:val="000000" w:themeColor="text1"/>
                <w:sz w:val="18"/>
                <w:szCs w:val="18"/>
              </w:rPr>
              <w:t>实心砖</w:t>
            </w:r>
            <w:r w:rsidRPr="00B12FE0">
              <w:rPr>
                <w:color w:val="000000" w:themeColor="text1"/>
                <w:sz w:val="18"/>
                <w:szCs w:val="18"/>
              </w:rPr>
              <w:t>+40mm</w:t>
            </w:r>
            <w:r w:rsidRPr="00B12FE0">
              <w:rPr>
                <w:color w:val="000000" w:themeColor="text1"/>
                <w:sz w:val="18"/>
                <w:szCs w:val="18"/>
              </w:rPr>
              <w:t>硫酸钡防护涂料</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61508ADF"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2.31E-02</w:t>
            </w:r>
          </w:p>
        </w:tc>
      </w:tr>
      <w:tr w:rsidR="00A67F21" w:rsidRPr="00B12FE0" w14:paraId="2A055C5D" w14:textId="77777777">
        <w:trPr>
          <w:gridAfter w:val="1"/>
          <w:trHeight w:val="218"/>
          <w:jc w:val="center"/>
        </w:trPr>
        <w:tc>
          <w:tcPr>
            <w:tcW w:w="569" w:type="dxa"/>
            <w:tcBorders>
              <w:left w:val="single" w:sz="4" w:space="0" w:color="auto"/>
              <w:right w:val="single" w:sz="4" w:space="0" w:color="auto"/>
            </w:tcBorders>
            <w:vAlign w:val="center"/>
          </w:tcPr>
          <w:p w14:paraId="31265D58"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2-39</w:t>
            </w:r>
          </w:p>
        </w:tc>
        <w:tc>
          <w:tcPr>
            <w:tcW w:w="1118" w:type="dxa"/>
            <w:vMerge/>
            <w:tcBorders>
              <w:left w:val="single" w:sz="4" w:space="0" w:color="auto"/>
              <w:right w:val="single" w:sz="4" w:space="0" w:color="auto"/>
            </w:tcBorders>
            <w:vAlign w:val="center"/>
          </w:tcPr>
          <w:p w14:paraId="27D7D98E"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1EC1D53C" w14:textId="77777777" w:rsidR="00A67F21" w:rsidRPr="00B12FE0" w:rsidRDefault="00000000">
            <w:pPr>
              <w:adjustRightInd w:val="0"/>
              <w:snapToGrid w:val="0"/>
              <w:jc w:val="center"/>
              <w:rPr>
                <w:color w:val="000000" w:themeColor="text1"/>
                <w:sz w:val="18"/>
                <w:szCs w:val="18"/>
              </w:rPr>
            </w:pPr>
            <w:r w:rsidRPr="00B12FE0">
              <w:rPr>
                <w:color w:val="000000" w:themeColor="text1"/>
                <w:sz w:val="18"/>
                <w:szCs w:val="18"/>
              </w:rPr>
              <w:t>观察窗外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0D1E1E9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4.6</w:t>
            </w:r>
          </w:p>
        </w:tc>
        <w:tc>
          <w:tcPr>
            <w:tcW w:w="1624" w:type="dxa"/>
            <w:tcBorders>
              <w:left w:val="single" w:sz="4" w:space="0" w:color="auto"/>
              <w:bottom w:val="single" w:sz="4" w:space="0" w:color="auto"/>
              <w:right w:val="single" w:sz="4" w:space="0" w:color="auto"/>
            </w:tcBorders>
            <w:vAlign w:val="center"/>
          </w:tcPr>
          <w:p w14:paraId="578743E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7B4469E6" w14:textId="77777777" w:rsidR="00A67F21" w:rsidRPr="00B12FE0" w:rsidRDefault="00000000">
            <w:pPr>
              <w:topLinePunct/>
              <w:autoSpaceDE w:val="0"/>
              <w:jc w:val="center"/>
              <w:rPr>
                <w:color w:val="000000" w:themeColor="text1"/>
                <w:kern w:val="0"/>
                <w:sz w:val="18"/>
                <w:szCs w:val="18"/>
              </w:rPr>
            </w:pPr>
            <w:r w:rsidRPr="00B12FE0">
              <w:rPr>
                <w:color w:val="000000" w:themeColor="text1"/>
                <w:kern w:val="0"/>
                <w:sz w:val="18"/>
                <w:szCs w:val="18"/>
              </w:rPr>
              <w:t>4mmPb</w:t>
            </w:r>
            <w:r w:rsidRPr="00B12FE0">
              <w:rPr>
                <w:color w:val="000000" w:themeColor="text1"/>
                <w:kern w:val="0"/>
                <w:sz w:val="18"/>
                <w:szCs w:val="18"/>
              </w:rPr>
              <w:t>铅玻璃</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0A9FA839"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9.05E-05</w:t>
            </w:r>
          </w:p>
        </w:tc>
      </w:tr>
      <w:tr w:rsidR="00A67F21" w:rsidRPr="00B12FE0" w14:paraId="7421BC26" w14:textId="77777777">
        <w:trPr>
          <w:gridAfter w:val="1"/>
          <w:trHeight w:val="218"/>
          <w:jc w:val="center"/>
        </w:trPr>
        <w:tc>
          <w:tcPr>
            <w:tcW w:w="569" w:type="dxa"/>
            <w:tcBorders>
              <w:left w:val="single" w:sz="4" w:space="0" w:color="auto"/>
              <w:right w:val="single" w:sz="4" w:space="0" w:color="auto"/>
            </w:tcBorders>
            <w:vAlign w:val="center"/>
          </w:tcPr>
          <w:p w14:paraId="2AB52478"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2-40</w:t>
            </w:r>
          </w:p>
        </w:tc>
        <w:tc>
          <w:tcPr>
            <w:tcW w:w="1118" w:type="dxa"/>
            <w:vMerge/>
            <w:tcBorders>
              <w:left w:val="single" w:sz="4" w:space="0" w:color="auto"/>
              <w:right w:val="single" w:sz="4" w:space="0" w:color="auto"/>
            </w:tcBorders>
            <w:vAlign w:val="center"/>
          </w:tcPr>
          <w:p w14:paraId="0244CA6B"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24160E8A" w14:textId="77777777" w:rsidR="00A67F21" w:rsidRPr="00B12FE0" w:rsidRDefault="00000000">
            <w:pPr>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7D38894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left w:val="single" w:sz="4" w:space="0" w:color="auto"/>
              <w:bottom w:val="single" w:sz="4" w:space="0" w:color="auto"/>
              <w:right w:val="single" w:sz="4" w:space="0" w:color="auto"/>
            </w:tcBorders>
            <w:vAlign w:val="center"/>
          </w:tcPr>
          <w:p w14:paraId="7CF7E5D3"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left w:val="single" w:sz="4" w:space="0" w:color="auto"/>
              <w:right w:val="single" w:sz="4" w:space="0" w:color="auto"/>
            </w:tcBorders>
            <w:vAlign w:val="center"/>
          </w:tcPr>
          <w:p w14:paraId="4D38B8ED" w14:textId="77777777" w:rsidR="00A67F21" w:rsidRPr="00B12FE0" w:rsidRDefault="00000000">
            <w:pPr>
              <w:topLinePunct/>
              <w:autoSpaceDE w:val="0"/>
              <w:jc w:val="center"/>
              <w:rPr>
                <w:color w:val="000000" w:themeColor="text1"/>
                <w:kern w:val="0"/>
                <w:sz w:val="18"/>
                <w:szCs w:val="18"/>
              </w:rPr>
            </w:pPr>
            <w:r w:rsidRPr="00B12FE0">
              <w:rPr>
                <w:rFonts w:hint="eastAsia"/>
                <w:color w:val="000000" w:themeColor="text1"/>
                <w:kern w:val="0"/>
                <w:sz w:val="18"/>
                <w:szCs w:val="18"/>
              </w:rPr>
              <w:t>25</w:t>
            </w:r>
            <w:r w:rsidRPr="00B12FE0">
              <w:rPr>
                <w:color w:val="000000" w:themeColor="text1"/>
                <w:kern w:val="0"/>
                <w:sz w:val="18"/>
                <w:szCs w:val="18"/>
              </w:rPr>
              <w:t>0mm</w:t>
            </w:r>
            <w:r w:rsidRPr="00B12FE0">
              <w:rPr>
                <w:color w:val="000000" w:themeColor="text1"/>
                <w:kern w:val="0"/>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141B3DE2"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5.05E-03</w:t>
            </w:r>
          </w:p>
        </w:tc>
      </w:tr>
      <w:tr w:rsidR="00A67F21" w:rsidRPr="00B12FE0" w14:paraId="226B2F61" w14:textId="77777777">
        <w:trPr>
          <w:gridAfter w:val="1"/>
          <w:trHeight w:val="340"/>
          <w:jc w:val="center"/>
        </w:trPr>
        <w:tc>
          <w:tcPr>
            <w:tcW w:w="569" w:type="dxa"/>
            <w:tcBorders>
              <w:left w:val="single" w:sz="4" w:space="0" w:color="auto"/>
              <w:right w:val="single" w:sz="4" w:space="0" w:color="auto"/>
            </w:tcBorders>
            <w:vAlign w:val="center"/>
          </w:tcPr>
          <w:p w14:paraId="4D3BEEB9"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2-41</w:t>
            </w:r>
          </w:p>
        </w:tc>
        <w:tc>
          <w:tcPr>
            <w:tcW w:w="1118" w:type="dxa"/>
            <w:vMerge/>
            <w:tcBorders>
              <w:left w:val="single" w:sz="4" w:space="0" w:color="auto"/>
              <w:right w:val="single" w:sz="4" w:space="0" w:color="auto"/>
            </w:tcBorders>
            <w:vAlign w:val="center"/>
          </w:tcPr>
          <w:p w14:paraId="0F41FEDC"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71DAF49E"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医生摆位处</w:t>
            </w:r>
          </w:p>
        </w:tc>
        <w:tc>
          <w:tcPr>
            <w:tcW w:w="912" w:type="dxa"/>
            <w:tcBorders>
              <w:left w:val="single" w:sz="4" w:space="0" w:color="auto"/>
              <w:right w:val="single" w:sz="4" w:space="0" w:color="auto"/>
            </w:tcBorders>
            <w:vAlign w:val="center"/>
          </w:tcPr>
          <w:p w14:paraId="77E7422A"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7DE22D5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68F1FB41"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4mm</w:t>
            </w:r>
            <w:r w:rsidRPr="00B12FE0">
              <w:rPr>
                <w:color w:val="000000" w:themeColor="text1"/>
                <w:sz w:val="18"/>
                <w:szCs w:val="18"/>
              </w:rPr>
              <w:t>铅屏风</w:t>
            </w:r>
            <w:r w:rsidRPr="00B12FE0">
              <w:rPr>
                <w:color w:val="000000" w:themeColor="text1"/>
                <w:sz w:val="18"/>
                <w:szCs w:val="18"/>
              </w:rPr>
              <w:t>+0.5mmPb</w:t>
            </w:r>
            <w:proofErr w:type="gramStart"/>
            <w:r w:rsidRPr="00B12FE0">
              <w:rPr>
                <w:color w:val="000000" w:themeColor="text1"/>
                <w:sz w:val="18"/>
                <w:szCs w:val="18"/>
              </w:rPr>
              <w:t>铅衣</w:t>
            </w:r>
            <w:proofErr w:type="gramEnd"/>
          </w:p>
        </w:tc>
        <w:tc>
          <w:tcPr>
            <w:tcW w:w="2230" w:type="dxa"/>
            <w:gridSpan w:val="3"/>
            <w:tcBorders>
              <w:top w:val="single" w:sz="4" w:space="0" w:color="000000"/>
              <w:left w:val="single" w:sz="4" w:space="0" w:color="000000"/>
              <w:bottom w:val="nil"/>
              <w:right w:val="single" w:sz="4" w:space="0" w:color="000000"/>
            </w:tcBorders>
            <w:vAlign w:val="center"/>
          </w:tcPr>
          <w:p w14:paraId="2640E3AD"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2.42E-03</w:t>
            </w:r>
          </w:p>
        </w:tc>
      </w:tr>
      <w:tr w:rsidR="00A67F21" w:rsidRPr="00B12FE0" w14:paraId="12B0069F" w14:textId="77777777">
        <w:trPr>
          <w:gridAfter w:val="1"/>
          <w:trHeight w:val="340"/>
          <w:jc w:val="center"/>
        </w:trPr>
        <w:tc>
          <w:tcPr>
            <w:tcW w:w="569" w:type="dxa"/>
            <w:tcBorders>
              <w:left w:val="single" w:sz="4" w:space="0" w:color="auto"/>
              <w:right w:val="single" w:sz="4" w:space="0" w:color="auto"/>
            </w:tcBorders>
            <w:vAlign w:val="center"/>
          </w:tcPr>
          <w:p w14:paraId="0505535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2-42</w:t>
            </w:r>
          </w:p>
        </w:tc>
        <w:tc>
          <w:tcPr>
            <w:tcW w:w="1118" w:type="dxa"/>
            <w:vMerge w:val="restart"/>
            <w:tcBorders>
              <w:left w:val="single" w:sz="4" w:space="0" w:color="auto"/>
              <w:right w:val="single" w:sz="4" w:space="0" w:color="auto"/>
            </w:tcBorders>
            <w:vAlign w:val="center"/>
          </w:tcPr>
          <w:p w14:paraId="3859EAF2" w14:textId="77777777" w:rsidR="00A67F21" w:rsidRPr="00B12FE0" w:rsidRDefault="00000000">
            <w:pPr>
              <w:jc w:val="center"/>
              <w:rPr>
                <w:color w:val="000000" w:themeColor="text1"/>
                <w:kern w:val="0"/>
                <w:sz w:val="18"/>
                <w:szCs w:val="18"/>
              </w:rPr>
            </w:pPr>
            <w:r w:rsidRPr="00B12FE0">
              <w:rPr>
                <w:color w:val="000000" w:themeColor="text1"/>
                <w:kern w:val="0"/>
                <w:sz w:val="18"/>
                <w:szCs w:val="18"/>
              </w:rPr>
              <w:t>PET/CT</w:t>
            </w:r>
            <w:r w:rsidRPr="00B12FE0">
              <w:rPr>
                <w:color w:val="000000" w:themeColor="text1"/>
                <w:kern w:val="0"/>
                <w:sz w:val="18"/>
                <w:szCs w:val="18"/>
              </w:rPr>
              <w:t>机房</w:t>
            </w:r>
          </w:p>
        </w:tc>
        <w:tc>
          <w:tcPr>
            <w:tcW w:w="861" w:type="dxa"/>
            <w:tcBorders>
              <w:left w:val="single" w:sz="4" w:space="0" w:color="auto"/>
              <w:right w:val="single" w:sz="4" w:space="0" w:color="auto"/>
            </w:tcBorders>
            <w:vAlign w:val="center"/>
          </w:tcPr>
          <w:p w14:paraId="6C97194F"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东</w:t>
            </w:r>
            <w:r w:rsidRPr="00B12FE0">
              <w:rPr>
                <w:color w:val="000000" w:themeColor="text1"/>
                <w:sz w:val="18"/>
                <w:szCs w:val="18"/>
              </w:rPr>
              <w:t>侧墙外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7BB2CBE7"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3.6</w:t>
            </w:r>
          </w:p>
        </w:tc>
        <w:tc>
          <w:tcPr>
            <w:tcW w:w="1624" w:type="dxa"/>
            <w:tcBorders>
              <w:top w:val="single" w:sz="4" w:space="0" w:color="auto"/>
              <w:left w:val="single" w:sz="4" w:space="0" w:color="auto"/>
              <w:bottom w:val="single" w:sz="4" w:space="0" w:color="auto"/>
              <w:right w:val="single" w:sz="4" w:space="0" w:color="auto"/>
            </w:tcBorders>
            <w:vAlign w:val="center"/>
          </w:tcPr>
          <w:p w14:paraId="154565D1"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225FB102"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r w:rsidRPr="00B12FE0">
              <w:rPr>
                <w:color w:val="000000" w:themeColor="text1"/>
                <w:sz w:val="18"/>
                <w:szCs w:val="18"/>
              </w:rPr>
              <w:t>+40mm</w:t>
            </w:r>
            <w:r w:rsidRPr="00B12FE0">
              <w:rPr>
                <w:color w:val="000000" w:themeColor="text1"/>
                <w:sz w:val="18"/>
                <w:szCs w:val="18"/>
              </w:rPr>
              <w:t>硫酸钡防护涂料</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C166867"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1.72E-01</w:t>
            </w:r>
          </w:p>
        </w:tc>
      </w:tr>
      <w:tr w:rsidR="00A67F21" w:rsidRPr="00B12FE0" w14:paraId="45018661" w14:textId="77777777">
        <w:trPr>
          <w:gridAfter w:val="1"/>
          <w:trHeight w:val="340"/>
          <w:jc w:val="center"/>
        </w:trPr>
        <w:tc>
          <w:tcPr>
            <w:tcW w:w="569" w:type="dxa"/>
            <w:vMerge w:val="restart"/>
            <w:tcBorders>
              <w:left w:val="single" w:sz="4" w:space="0" w:color="auto"/>
              <w:right w:val="single" w:sz="4" w:space="0" w:color="auto"/>
            </w:tcBorders>
            <w:vAlign w:val="center"/>
          </w:tcPr>
          <w:p w14:paraId="05FAB504" w14:textId="77777777" w:rsidR="00A67F21" w:rsidRPr="00B12FE0" w:rsidRDefault="00000000">
            <w:pPr>
              <w:adjustRightInd w:val="0"/>
              <w:snapToGrid w:val="0"/>
              <w:jc w:val="center"/>
              <w:rPr>
                <w:color w:val="000000" w:themeColor="text1"/>
                <w:kern w:val="0"/>
                <w:sz w:val="18"/>
                <w:szCs w:val="18"/>
              </w:rPr>
            </w:pPr>
            <w:r w:rsidRPr="00B12FE0">
              <w:rPr>
                <w:rFonts w:hint="eastAsia"/>
                <w:color w:val="000000" w:themeColor="text1"/>
                <w:kern w:val="0"/>
                <w:sz w:val="18"/>
                <w:szCs w:val="18"/>
              </w:rPr>
              <w:t>2-43</w:t>
            </w:r>
          </w:p>
        </w:tc>
        <w:tc>
          <w:tcPr>
            <w:tcW w:w="1118" w:type="dxa"/>
            <w:vMerge/>
            <w:tcBorders>
              <w:left w:val="single" w:sz="4" w:space="0" w:color="auto"/>
              <w:right w:val="single" w:sz="4" w:space="0" w:color="auto"/>
            </w:tcBorders>
            <w:vAlign w:val="center"/>
          </w:tcPr>
          <w:p w14:paraId="7DFF1737" w14:textId="77777777" w:rsidR="00A67F21" w:rsidRPr="00B12FE0" w:rsidRDefault="00A67F21">
            <w:pPr>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3E2AA519"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南侧墙外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050C7D5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4.6</w:t>
            </w:r>
          </w:p>
        </w:tc>
        <w:tc>
          <w:tcPr>
            <w:tcW w:w="1624" w:type="dxa"/>
            <w:tcBorders>
              <w:top w:val="single" w:sz="4" w:space="0" w:color="auto"/>
              <w:left w:val="single" w:sz="4" w:space="0" w:color="auto"/>
              <w:bottom w:val="single" w:sz="4" w:space="0" w:color="auto"/>
              <w:right w:val="single" w:sz="4" w:space="0" w:color="auto"/>
            </w:tcBorders>
            <w:vAlign w:val="center"/>
          </w:tcPr>
          <w:p w14:paraId="4B310A22"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335E958A"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r w:rsidRPr="00B12FE0">
              <w:rPr>
                <w:color w:val="000000" w:themeColor="text1"/>
                <w:sz w:val="18"/>
                <w:szCs w:val="18"/>
              </w:rPr>
              <w:t>+40mm</w:t>
            </w:r>
            <w:r w:rsidRPr="00B12FE0">
              <w:rPr>
                <w:color w:val="000000" w:themeColor="text1"/>
                <w:sz w:val="18"/>
                <w:szCs w:val="18"/>
              </w:rPr>
              <w:t>硫酸钡防护涂料</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E9BAB25"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1.06E-01</w:t>
            </w:r>
          </w:p>
        </w:tc>
      </w:tr>
      <w:tr w:rsidR="00A67F21" w:rsidRPr="00B12FE0" w14:paraId="7ACFB7EA" w14:textId="77777777">
        <w:trPr>
          <w:gridAfter w:val="1"/>
          <w:trHeight w:val="340"/>
          <w:jc w:val="center"/>
        </w:trPr>
        <w:tc>
          <w:tcPr>
            <w:tcW w:w="569" w:type="dxa"/>
            <w:vMerge/>
            <w:tcBorders>
              <w:left w:val="single" w:sz="4" w:space="0" w:color="auto"/>
              <w:right w:val="single" w:sz="4" w:space="0" w:color="auto"/>
            </w:tcBorders>
            <w:vAlign w:val="center"/>
          </w:tcPr>
          <w:p w14:paraId="668D0C34"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4C1A2658" w14:textId="77777777" w:rsidR="00A67F21" w:rsidRPr="00B12FE0" w:rsidRDefault="00A67F21">
            <w:pPr>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223DD6B0"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南侧防护门外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3961D3D0"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4.8</w:t>
            </w:r>
          </w:p>
        </w:tc>
        <w:tc>
          <w:tcPr>
            <w:tcW w:w="1624" w:type="dxa"/>
            <w:tcBorders>
              <w:top w:val="single" w:sz="4" w:space="0" w:color="auto"/>
              <w:left w:val="single" w:sz="4" w:space="0" w:color="auto"/>
              <w:bottom w:val="single" w:sz="4" w:space="0" w:color="auto"/>
              <w:right w:val="single" w:sz="4" w:space="0" w:color="auto"/>
            </w:tcBorders>
            <w:vAlign w:val="center"/>
          </w:tcPr>
          <w:p w14:paraId="79079D0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3420779A"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内衬</w:t>
            </w:r>
            <w:r w:rsidRPr="00B12FE0">
              <w:rPr>
                <w:color w:val="000000" w:themeColor="text1"/>
                <w:sz w:val="18"/>
                <w:szCs w:val="18"/>
              </w:rPr>
              <w:t>8mm</w:t>
            </w:r>
            <w:r w:rsidRPr="00B12FE0">
              <w:rPr>
                <w:color w:val="000000" w:themeColor="text1"/>
                <w:sz w:val="18"/>
                <w:szCs w:val="18"/>
              </w:rPr>
              <w:t>铅板</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5C99293C"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4.87E-01</w:t>
            </w:r>
          </w:p>
        </w:tc>
      </w:tr>
      <w:tr w:rsidR="00A67F21" w:rsidRPr="00B12FE0" w14:paraId="3FBD21D4" w14:textId="77777777">
        <w:trPr>
          <w:gridAfter w:val="1"/>
          <w:trHeight w:val="340"/>
          <w:jc w:val="center"/>
        </w:trPr>
        <w:tc>
          <w:tcPr>
            <w:tcW w:w="569" w:type="dxa"/>
            <w:tcBorders>
              <w:left w:val="single" w:sz="4" w:space="0" w:color="auto"/>
              <w:right w:val="single" w:sz="4" w:space="0" w:color="auto"/>
            </w:tcBorders>
            <w:vAlign w:val="center"/>
          </w:tcPr>
          <w:p w14:paraId="0DCF730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2-44</w:t>
            </w:r>
          </w:p>
        </w:tc>
        <w:tc>
          <w:tcPr>
            <w:tcW w:w="1118" w:type="dxa"/>
            <w:vMerge/>
            <w:tcBorders>
              <w:left w:val="single" w:sz="4" w:space="0" w:color="auto"/>
              <w:right w:val="single" w:sz="4" w:space="0" w:color="auto"/>
            </w:tcBorders>
            <w:vAlign w:val="center"/>
          </w:tcPr>
          <w:p w14:paraId="6A7CF0D1"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562F65E1"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西</w:t>
            </w:r>
            <w:r w:rsidRPr="00B12FE0">
              <w:rPr>
                <w:color w:val="000000" w:themeColor="text1"/>
                <w:sz w:val="18"/>
                <w:szCs w:val="18"/>
              </w:rPr>
              <w:t>侧墙外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73644E6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3.6</w:t>
            </w:r>
          </w:p>
        </w:tc>
        <w:tc>
          <w:tcPr>
            <w:tcW w:w="1624" w:type="dxa"/>
            <w:tcBorders>
              <w:top w:val="single" w:sz="4" w:space="0" w:color="auto"/>
              <w:left w:val="single" w:sz="4" w:space="0" w:color="auto"/>
              <w:bottom w:val="single" w:sz="4" w:space="0" w:color="auto"/>
              <w:right w:val="single" w:sz="4" w:space="0" w:color="auto"/>
            </w:tcBorders>
            <w:vAlign w:val="center"/>
          </w:tcPr>
          <w:p w14:paraId="6A21250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149571CE"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r w:rsidRPr="00B12FE0">
              <w:rPr>
                <w:color w:val="000000" w:themeColor="text1"/>
                <w:sz w:val="18"/>
                <w:szCs w:val="18"/>
              </w:rPr>
              <w:t>+40mm</w:t>
            </w:r>
            <w:r w:rsidRPr="00B12FE0">
              <w:rPr>
                <w:color w:val="000000" w:themeColor="text1"/>
                <w:sz w:val="18"/>
                <w:szCs w:val="18"/>
              </w:rPr>
              <w:t>硫酸钡防护涂料</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443BA887"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1.72E-01</w:t>
            </w:r>
          </w:p>
        </w:tc>
      </w:tr>
      <w:tr w:rsidR="00A67F21" w:rsidRPr="00B12FE0" w14:paraId="44E0BD16" w14:textId="77777777">
        <w:trPr>
          <w:gridAfter w:val="1"/>
          <w:trHeight w:val="340"/>
          <w:jc w:val="center"/>
        </w:trPr>
        <w:tc>
          <w:tcPr>
            <w:tcW w:w="569" w:type="dxa"/>
            <w:tcBorders>
              <w:left w:val="single" w:sz="4" w:space="0" w:color="auto"/>
              <w:right w:val="single" w:sz="4" w:space="0" w:color="auto"/>
            </w:tcBorders>
            <w:vAlign w:val="center"/>
          </w:tcPr>
          <w:p w14:paraId="55C7933D"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2-45</w:t>
            </w:r>
          </w:p>
        </w:tc>
        <w:tc>
          <w:tcPr>
            <w:tcW w:w="1118" w:type="dxa"/>
            <w:vMerge/>
            <w:tcBorders>
              <w:left w:val="single" w:sz="4" w:space="0" w:color="auto"/>
              <w:right w:val="single" w:sz="4" w:space="0" w:color="auto"/>
            </w:tcBorders>
            <w:vAlign w:val="center"/>
          </w:tcPr>
          <w:p w14:paraId="6468611A"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13620966"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观察窗外</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330F578F"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4.6</w:t>
            </w:r>
          </w:p>
        </w:tc>
        <w:tc>
          <w:tcPr>
            <w:tcW w:w="1624" w:type="dxa"/>
            <w:tcBorders>
              <w:top w:val="single" w:sz="4" w:space="0" w:color="auto"/>
              <w:left w:val="single" w:sz="4" w:space="0" w:color="auto"/>
              <w:bottom w:val="single" w:sz="4" w:space="0" w:color="auto"/>
              <w:right w:val="single" w:sz="4" w:space="0" w:color="auto"/>
            </w:tcBorders>
            <w:vAlign w:val="center"/>
          </w:tcPr>
          <w:p w14:paraId="6E9EEA0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61860482"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8mmPb</w:t>
            </w:r>
            <w:r w:rsidRPr="00B12FE0">
              <w:rPr>
                <w:color w:val="000000" w:themeColor="text1"/>
                <w:sz w:val="18"/>
                <w:szCs w:val="18"/>
              </w:rPr>
              <w:t>铅玻璃</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6D67DEF1"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5.30E-01</w:t>
            </w:r>
          </w:p>
        </w:tc>
      </w:tr>
      <w:tr w:rsidR="00A67F21" w:rsidRPr="00B12FE0" w14:paraId="6E92FE37" w14:textId="77777777">
        <w:trPr>
          <w:gridAfter w:val="1"/>
          <w:trHeight w:val="340"/>
          <w:jc w:val="center"/>
        </w:trPr>
        <w:tc>
          <w:tcPr>
            <w:tcW w:w="569" w:type="dxa"/>
            <w:tcBorders>
              <w:left w:val="single" w:sz="4" w:space="0" w:color="auto"/>
              <w:right w:val="single" w:sz="4" w:space="0" w:color="auto"/>
            </w:tcBorders>
            <w:vAlign w:val="center"/>
          </w:tcPr>
          <w:p w14:paraId="7CC2C07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2-46</w:t>
            </w:r>
          </w:p>
        </w:tc>
        <w:tc>
          <w:tcPr>
            <w:tcW w:w="1118" w:type="dxa"/>
            <w:vMerge/>
            <w:tcBorders>
              <w:left w:val="single" w:sz="4" w:space="0" w:color="auto"/>
              <w:right w:val="single" w:sz="4" w:space="0" w:color="auto"/>
            </w:tcBorders>
            <w:vAlign w:val="center"/>
          </w:tcPr>
          <w:p w14:paraId="565DABE1"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6297C841"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tcBorders>
              <w:left w:val="single" w:sz="4" w:space="0" w:color="auto"/>
              <w:right w:val="single" w:sz="4" w:space="0" w:color="auto"/>
            </w:tcBorders>
            <w:vAlign w:val="center"/>
          </w:tcPr>
          <w:p w14:paraId="73EA4691"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7DA22A86"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51464EA4"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25</w:t>
            </w:r>
            <w:r w:rsidRPr="00B12FE0">
              <w:rPr>
                <w:color w:val="000000" w:themeColor="text1"/>
                <w:sz w:val="18"/>
                <w:szCs w:val="18"/>
              </w:rPr>
              <w:t>0mm</w:t>
            </w:r>
            <w:r w:rsidRPr="00B12FE0">
              <w:rPr>
                <w:color w:val="000000" w:themeColor="text1"/>
                <w:sz w:val="18"/>
                <w:szCs w:val="18"/>
              </w:rPr>
              <w:t>混凝土</w:t>
            </w:r>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1143BC14"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6.38E-02</w:t>
            </w:r>
          </w:p>
        </w:tc>
      </w:tr>
      <w:tr w:rsidR="00A67F21" w:rsidRPr="00B12FE0" w14:paraId="6F477039" w14:textId="77777777">
        <w:trPr>
          <w:gridAfter w:val="1"/>
          <w:trHeight w:val="340"/>
          <w:jc w:val="center"/>
        </w:trPr>
        <w:tc>
          <w:tcPr>
            <w:tcW w:w="569" w:type="dxa"/>
            <w:tcBorders>
              <w:left w:val="single" w:sz="4" w:space="0" w:color="auto"/>
              <w:right w:val="single" w:sz="4" w:space="0" w:color="auto"/>
            </w:tcBorders>
            <w:vAlign w:val="center"/>
          </w:tcPr>
          <w:p w14:paraId="182F719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2-47</w:t>
            </w:r>
          </w:p>
        </w:tc>
        <w:tc>
          <w:tcPr>
            <w:tcW w:w="1118" w:type="dxa"/>
            <w:vMerge/>
            <w:tcBorders>
              <w:left w:val="single" w:sz="4" w:space="0" w:color="auto"/>
              <w:right w:val="single" w:sz="4" w:space="0" w:color="auto"/>
            </w:tcBorders>
            <w:vAlign w:val="center"/>
          </w:tcPr>
          <w:p w14:paraId="6F25F0E4" w14:textId="77777777" w:rsidR="00A67F21" w:rsidRPr="00B12FE0" w:rsidRDefault="00A67F21">
            <w:pPr>
              <w:widowControl/>
              <w:jc w:val="center"/>
              <w:rPr>
                <w:color w:val="000000" w:themeColor="text1"/>
                <w:kern w:val="0"/>
                <w:sz w:val="18"/>
                <w:szCs w:val="18"/>
              </w:rPr>
            </w:pPr>
          </w:p>
        </w:tc>
        <w:tc>
          <w:tcPr>
            <w:tcW w:w="861" w:type="dxa"/>
            <w:tcBorders>
              <w:left w:val="single" w:sz="4" w:space="0" w:color="auto"/>
              <w:right w:val="single" w:sz="4" w:space="0" w:color="auto"/>
            </w:tcBorders>
            <w:vAlign w:val="center"/>
          </w:tcPr>
          <w:p w14:paraId="1D9753C4"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医生摆位处</w:t>
            </w:r>
          </w:p>
        </w:tc>
        <w:tc>
          <w:tcPr>
            <w:tcW w:w="912" w:type="dxa"/>
            <w:tcBorders>
              <w:left w:val="single" w:sz="4" w:space="0" w:color="auto"/>
              <w:right w:val="single" w:sz="4" w:space="0" w:color="auto"/>
            </w:tcBorders>
            <w:vAlign w:val="center"/>
          </w:tcPr>
          <w:p w14:paraId="51754046" w14:textId="77777777" w:rsidR="00A67F21" w:rsidRPr="00B12FE0" w:rsidRDefault="00000000">
            <w:pPr>
              <w:widowControl/>
              <w:adjustRightInd w:val="0"/>
              <w:snapToGrid w:val="0"/>
              <w:jc w:val="center"/>
              <w:rPr>
                <w:color w:val="000000" w:themeColor="text1"/>
                <w:kern w:val="0"/>
                <w:sz w:val="18"/>
                <w:szCs w:val="18"/>
              </w:rPr>
            </w:pPr>
            <w:r w:rsidRPr="00B12FE0">
              <w:rPr>
                <w:color w:val="000000" w:themeColor="text1"/>
                <w:kern w:val="0"/>
                <w:sz w:val="18"/>
                <w:szCs w:val="18"/>
              </w:rPr>
              <w:t>0.5</w:t>
            </w:r>
          </w:p>
        </w:tc>
        <w:tc>
          <w:tcPr>
            <w:tcW w:w="1624" w:type="dxa"/>
            <w:tcBorders>
              <w:top w:val="single" w:sz="4" w:space="0" w:color="auto"/>
              <w:left w:val="single" w:sz="4" w:space="0" w:color="auto"/>
              <w:bottom w:val="single" w:sz="4" w:space="0" w:color="auto"/>
              <w:right w:val="single" w:sz="4" w:space="0" w:color="auto"/>
            </w:tcBorders>
            <w:vAlign w:val="center"/>
          </w:tcPr>
          <w:p w14:paraId="1A2F8E81"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F3.7×10</w:t>
            </w:r>
            <w:r w:rsidRPr="00B12FE0">
              <w:rPr>
                <w:color w:val="000000" w:themeColor="text1"/>
                <w:sz w:val="18"/>
                <w:szCs w:val="18"/>
                <w:vertAlign w:val="superscript"/>
              </w:rPr>
              <w:t>8</w:t>
            </w:r>
          </w:p>
        </w:tc>
        <w:tc>
          <w:tcPr>
            <w:tcW w:w="1481" w:type="dxa"/>
            <w:tcBorders>
              <w:top w:val="single" w:sz="4" w:space="0" w:color="auto"/>
              <w:left w:val="single" w:sz="4" w:space="0" w:color="auto"/>
              <w:right w:val="single" w:sz="4" w:space="0" w:color="auto"/>
            </w:tcBorders>
            <w:vAlign w:val="center"/>
          </w:tcPr>
          <w:p w14:paraId="2D7AB2DF"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w:t>
            </w:r>
            <w:r w:rsidRPr="00B12FE0">
              <w:rPr>
                <w:color w:val="000000" w:themeColor="text1"/>
                <w:sz w:val="18"/>
                <w:szCs w:val="18"/>
              </w:rPr>
              <w:t>铅屏风</w:t>
            </w:r>
            <w:r w:rsidRPr="00B12FE0">
              <w:rPr>
                <w:color w:val="000000" w:themeColor="text1"/>
                <w:sz w:val="18"/>
                <w:szCs w:val="18"/>
              </w:rPr>
              <w:t>+0.5mmPb</w:t>
            </w:r>
            <w:proofErr w:type="gramStart"/>
            <w:r w:rsidRPr="00B12FE0">
              <w:rPr>
                <w:color w:val="000000" w:themeColor="text1"/>
                <w:sz w:val="18"/>
                <w:szCs w:val="18"/>
              </w:rPr>
              <w:t>铅衣</w:t>
            </w:r>
            <w:proofErr w:type="gramEnd"/>
          </w:p>
        </w:tc>
        <w:tc>
          <w:tcPr>
            <w:tcW w:w="2230" w:type="dxa"/>
            <w:gridSpan w:val="3"/>
            <w:tcBorders>
              <w:top w:val="single" w:sz="4" w:space="0" w:color="000000"/>
              <w:left w:val="single" w:sz="4" w:space="0" w:color="000000"/>
              <w:bottom w:val="single" w:sz="4" w:space="0" w:color="000000"/>
              <w:right w:val="single" w:sz="4" w:space="0" w:color="000000"/>
            </w:tcBorders>
            <w:vAlign w:val="center"/>
          </w:tcPr>
          <w:p w14:paraId="572CDDD7" w14:textId="77777777" w:rsidR="00A67F21" w:rsidRPr="00B12FE0" w:rsidRDefault="00000000">
            <w:pPr>
              <w:jc w:val="center"/>
              <w:rPr>
                <w:color w:val="000000" w:themeColor="text1"/>
                <w:sz w:val="18"/>
                <w:szCs w:val="18"/>
              </w:rPr>
            </w:pPr>
            <w:r w:rsidRPr="00B12FE0">
              <w:rPr>
                <w:rFonts w:eastAsia="等线" w:hint="eastAsia"/>
                <w:color w:val="000000" w:themeColor="text1"/>
                <w:sz w:val="18"/>
                <w:szCs w:val="18"/>
              </w:rPr>
              <w:t>31.7</w:t>
            </w:r>
          </w:p>
        </w:tc>
      </w:tr>
      <w:tr w:rsidR="00A67F21" w:rsidRPr="00B12FE0" w14:paraId="3FD19DB4" w14:textId="77777777">
        <w:trPr>
          <w:gridAfter w:val="1"/>
          <w:trHeight w:val="394"/>
          <w:jc w:val="center"/>
        </w:trPr>
        <w:tc>
          <w:tcPr>
            <w:tcW w:w="569" w:type="dxa"/>
            <w:vMerge w:val="restart"/>
            <w:tcBorders>
              <w:left w:val="single" w:sz="4" w:space="0" w:color="auto"/>
              <w:right w:val="single" w:sz="4" w:space="0" w:color="auto"/>
            </w:tcBorders>
            <w:vAlign w:val="center"/>
          </w:tcPr>
          <w:p w14:paraId="22A922D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2-48</w:t>
            </w:r>
          </w:p>
        </w:tc>
        <w:tc>
          <w:tcPr>
            <w:tcW w:w="1118" w:type="dxa"/>
            <w:vMerge w:val="restart"/>
            <w:tcBorders>
              <w:left w:val="single" w:sz="4" w:space="0" w:color="auto"/>
              <w:right w:val="single" w:sz="4" w:space="0" w:color="auto"/>
            </w:tcBorders>
            <w:vAlign w:val="center"/>
          </w:tcPr>
          <w:p w14:paraId="4DAB17FB" w14:textId="77777777" w:rsidR="00A67F21" w:rsidRPr="00B12FE0" w:rsidRDefault="00000000">
            <w:pPr>
              <w:widowControl/>
              <w:jc w:val="center"/>
              <w:rPr>
                <w:color w:val="000000" w:themeColor="text1"/>
                <w:kern w:val="0"/>
                <w:sz w:val="18"/>
                <w:szCs w:val="18"/>
              </w:rPr>
            </w:pPr>
            <w:proofErr w:type="gramStart"/>
            <w:r w:rsidRPr="00B12FE0">
              <w:rPr>
                <w:rFonts w:hint="eastAsia"/>
                <w:color w:val="000000" w:themeColor="text1"/>
                <w:kern w:val="0"/>
                <w:sz w:val="18"/>
                <w:szCs w:val="18"/>
              </w:rPr>
              <w:t>留观室</w:t>
            </w:r>
            <w:proofErr w:type="gramEnd"/>
          </w:p>
        </w:tc>
        <w:tc>
          <w:tcPr>
            <w:tcW w:w="861" w:type="dxa"/>
            <w:vMerge w:val="restart"/>
            <w:tcBorders>
              <w:left w:val="single" w:sz="4" w:space="0" w:color="auto"/>
              <w:right w:val="single" w:sz="4" w:space="0" w:color="auto"/>
            </w:tcBorders>
            <w:vAlign w:val="center"/>
          </w:tcPr>
          <w:p w14:paraId="37C3CBA8"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北侧</w:t>
            </w:r>
            <w:r w:rsidRPr="00B12FE0">
              <w:rPr>
                <w:color w:val="000000" w:themeColor="text1"/>
                <w:sz w:val="18"/>
                <w:szCs w:val="18"/>
              </w:rPr>
              <w:t>墙体外</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6D68ACD7"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right w:val="single" w:sz="4" w:space="0" w:color="auto"/>
            </w:tcBorders>
            <w:vAlign w:val="center"/>
          </w:tcPr>
          <w:p w14:paraId="63BBB8E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3.7</w:t>
            </w:r>
            <w:r w:rsidRPr="00B12FE0">
              <w:rPr>
                <w:color w:val="000000" w:themeColor="text1"/>
                <w:sz w:val="18"/>
                <w:szCs w:val="18"/>
              </w:rPr>
              <w:t>×10</w:t>
            </w:r>
            <w:r w:rsidRPr="00B12FE0">
              <w:rPr>
                <w:color w:val="000000" w:themeColor="text1"/>
                <w:sz w:val="18"/>
                <w:szCs w:val="18"/>
                <w:vertAlign w:val="superscript"/>
              </w:rPr>
              <w:t>8</w:t>
            </w:r>
          </w:p>
        </w:tc>
        <w:tc>
          <w:tcPr>
            <w:tcW w:w="1481" w:type="dxa"/>
            <w:vMerge w:val="restart"/>
            <w:tcBorders>
              <w:top w:val="single" w:sz="4" w:space="0" w:color="auto"/>
              <w:left w:val="single" w:sz="4" w:space="0" w:color="auto"/>
              <w:right w:val="single" w:sz="4" w:space="0" w:color="auto"/>
            </w:tcBorders>
            <w:vAlign w:val="center"/>
          </w:tcPr>
          <w:p w14:paraId="33B0647C"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240mm</w:t>
            </w:r>
            <w:r w:rsidRPr="00B12FE0">
              <w:rPr>
                <w:color w:val="000000" w:themeColor="text1"/>
                <w:sz w:val="18"/>
                <w:szCs w:val="18"/>
              </w:rPr>
              <w:t>实心砖</w:t>
            </w:r>
          </w:p>
        </w:tc>
        <w:tc>
          <w:tcPr>
            <w:tcW w:w="1115" w:type="dxa"/>
            <w:tcBorders>
              <w:top w:val="single" w:sz="4" w:space="0" w:color="000000"/>
              <w:left w:val="single" w:sz="4" w:space="0" w:color="000000"/>
              <w:bottom w:val="single" w:sz="4" w:space="0" w:color="000000"/>
              <w:right w:val="single" w:sz="4" w:space="0" w:color="000000"/>
            </w:tcBorders>
            <w:vAlign w:val="center"/>
          </w:tcPr>
          <w:p w14:paraId="110BAD3C"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4.95E-01</w:t>
            </w:r>
          </w:p>
        </w:tc>
        <w:tc>
          <w:tcPr>
            <w:tcW w:w="1115" w:type="dxa"/>
            <w:gridSpan w:val="2"/>
            <w:vMerge w:val="restart"/>
            <w:tcBorders>
              <w:top w:val="single" w:sz="4" w:space="0" w:color="auto"/>
              <w:left w:val="single" w:sz="4" w:space="0" w:color="auto"/>
              <w:right w:val="single" w:sz="4" w:space="0" w:color="auto"/>
            </w:tcBorders>
            <w:vAlign w:val="center"/>
          </w:tcPr>
          <w:p w14:paraId="08019584" w14:textId="77777777" w:rsidR="00A67F21" w:rsidRPr="00B12FE0" w:rsidRDefault="00000000">
            <w:pPr>
              <w:jc w:val="center"/>
              <w:rPr>
                <w:color w:val="000000" w:themeColor="text1"/>
                <w:sz w:val="18"/>
                <w:szCs w:val="18"/>
              </w:rPr>
            </w:pPr>
            <w:r w:rsidRPr="00B12FE0">
              <w:rPr>
                <w:color w:val="000000" w:themeColor="text1"/>
                <w:sz w:val="18"/>
                <w:szCs w:val="18"/>
              </w:rPr>
              <w:t>5.67E-01</w:t>
            </w:r>
          </w:p>
        </w:tc>
      </w:tr>
      <w:tr w:rsidR="00A67F21" w:rsidRPr="00B12FE0" w14:paraId="13B86E41" w14:textId="77777777">
        <w:trPr>
          <w:gridAfter w:val="1"/>
          <w:trHeight w:val="393"/>
          <w:jc w:val="center"/>
        </w:trPr>
        <w:tc>
          <w:tcPr>
            <w:tcW w:w="569" w:type="dxa"/>
            <w:vMerge/>
            <w:tcBorders>
              <w:left w:val="single" w:sz="4" w:space="0" w:color="auto"/>
              <w:right w:val="single" w:sz="4" w:space="0" w:color="auto"/>
            </w:tcBorders>
            <w:vAlign w:val="center"/>
          </w:tcPr>
          <w:p w14:paraId="679BD76F"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60A49D61" w14:textId="77777777" w:rsidR="00A67F21" w:rsidRPr="00B12FE0" w:rsidRDefault="00A67F21">
            <w:pPr>
              <w:widowControl/>
              <w:jc w:val="center"/>
              <w:rPr>
                <w:color w:val="000000" w:themeColor="text1"/>
                <w:kern w:val="0"/>
                <w:sz w:val="18"/>
                <w:szCs w:val="18"/>
              </w:rPr>
            </w:pPr>
          </w:p>
        </w:tc>
        <w:tc>
          <w:tcPr>
            <w:tcW w:w="861" w:type="dxa"/>
            <w:vMerge/>
            <w:tcBorders>
              <w:left w:val="single" w:sz="4" w:space="0" w:color="auto"/>
              <w:right w:val="single" w:sz="4" w:space="0" w:color="auto"/>
            </w:tcBorders>
            <w:vAlign w:val="center"/>
          </w:tcPr>
          <w:p w14:paraId="26368D33" w14:textId="77777777" w:rsidR="00A67F21" w:rsidRPr="00B12FE0" w:rsidRDefault="00A67F21">
            <w:pPr>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15D393C7"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right w:val="single" w:sz="4" w:space="0" w:color="auto"/>
            </w:tcBorders>
            <w:vAlign w:val="center"/>
          </w:tcPr>
          <w:p w14:paraId="70D9003F"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4FEB719D" w14:textId="77777777" w:rsidR="00A67F21" w:rsidRPr="00B12FE0" w:rsidRDefault="00A67F21">
            <w:pPr>
              <w:topLinePunct/>
              <w:autoSpaceDE w:val="0"/>
              <w:jc w:val="center"/>
              <w:rPr>
                <w:color w:val="000000" w:themeColor="text1"/>
                <w:sz w:val="18"/>
                <w:szCs w:val="18"/>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16727046"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7.20E-02</w:t>
            </w:r>
          </w:p>
        </w:tc>
        <w:tc>
          <w:tcPr>
            <w:tcW w:w="1115" w:type="dxa"/>
            <w:gridSpan w:val="2"/>
            <w:vMerge/>
            <w:tcBorders>
              <w:left w:val="single" w:sz="4" w:space="0" w:color="auto"/>
              <w:right w:val="single" w:sz="4" w:space="0" w:color="auto"/>
            </w:tcBorders>
            <w:vAlign w:val="center"/>
          </w:tcPr>
          <w:p w14:paraId="3F49F7E9" w14:textId="77777777" w:rsidR="00A67F21" w:rsidRPr="00B12FE0" w:rsidRDefault="00A67F21">
            <w:pPr>
              <w:jc w:val="center"/>
              <w:rPr>
                <w:color w:val="000000" w:themeColor="text1"/>
                <w:sz w:val="18"/>
                <w:szCs w:val="18"/>
              </w:rPr>
            </w:pPr>
          </w:p>
        </w:tc>
      </w:tr>
      <w:tr w:rsidR="00A67F21" w:rsidRPr="00B12FE0" w14:paraId="678D04B0" w14:textId="77777777">
        <w:trPr>
          <w:gridAfter w:val="1"/>
          <w:trHeight w:val="394"/>
          <w:jc w:val="center"/>
        </w:trPr>
        <w:tc>
          <w:tcPr>
            <w:tcW w:w="569" w:type="dxa"/>
            <w:vMerge/>
            <w:tcBorders>
              <w:left w:val="single" w:sz="4" w:space="0" w:color="auto"/>
              <w:right w:val="single" w:sz="4" w:space="0" w:color="auto"/>
            </w:tcBorders>
            <w:vAlign w:val="center"/>
          </w:tcPr>
          <w:p w14:paraId="256A6777"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7E100E61" w14:textId="77777777" w:rsidR="00A67F21" w:rsidRPr="00B12FE0" w:rsidRDefault="00A67F21">
            <w:pPr>
              <w:widowControl/>
              <w:jc w:val="center"/>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49048A63"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侧防护门外</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4E3DC83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3.1</w:t>
            </w:r>
          </w:p>
        </w:tc>
        <w:tc>
          <w:tcPr>
            <w:tcW w:w="1624" w:type="dxa"/>
            <w:tcBorders>
              <w:top w:val="single" w:sz="4" w:space="0" w:color="auto"/>
              <w:left w:val="single" w:sz="4" w:space="0" w:color="auto"/>
              <w:right w:val="single" w:sz="4" w:space="0" w:color="auto"/>
            </w:tcBorders>
            <w:vAlign w:val="center"/>
          </w:tcPr>
          <w:p w14:paraId="3336AE1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3.7</w:t>
            </w:r>
            <w:r w:rsidRPr="00B12FE0">
              <w:rPr>
                <w:color w:val="000000" w:themeColor="text1"/>
                <w:sz w:val="18"/>
                <w:szCs w:val="18"/>
              </w:rPr>
              <w:t>×10</w:t>
            </w:r>
            <w:r w:rsidRPr="00B12FE0">
              <w:rPr>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53C06B9C"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内衬</w:t>
            </w:r>
            <w:r w:rsidRPr="00B12FE0">
              <w:rPr>
                <w:color w:val="000000" w:themeColor="text1"/>
                <w:sz w:val="18"/>
                <w:szCs w:val="18"/>
              </w:rPr>
              <w:t>8mm</w:t>
            </w:r>
            <w:r w:rsidRPr="00B12FE0">
              <w:rPr>
                <w:color w:val="000000" w:themeColor="text1"/>
                <w:sz w:val="18"/>
                <w:szCs w:val="18"/>
              </w:rPr>
              <w:t>铅板</w:t>
            </w:r>
          </w:p>
        </w:tc>
        <w:tc>
          <w:tcPr>
            <w:tcW w:w="1115" w:type="dxa"/>
            <w:tcBorders>
              <w:top w:val="single" w:sz="4" w:space="0" w:color="000000"/>
              <w:left w:val="single" w:sz="4" w:space="0" w:color="000000"/>
              <w:bottom w:val="single" w:sz="4" w:space="0" w:color="000000"/>
              <w:right w:val="single" w:sz="4" w:space="0" w:color="000000"/>
            </w:tcBorders>
            <w:vAlign w:val="center"/>
          </w:tcPr>
          <w:p w14:paraId="17ED2AAC"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1.17E+00</w:t>
            </w:r>
          </w:p>
        </w:tc>
        <w:tc>
          <w:tcPr>
            <w:tcW w:w="1115" w:type="dxa"/>
            <w:gridSpan w:val="2"/>
            <w:vMerge w:val="restart"/>
            <w:tcBorders>
              <w:left w:val="single" w:sz="4" w:space="0" w:color="auto"/>
              <w:right w:val="single" w:sz="4" w:space="0" w:color="auto"/>
            </w:tcBorders>
            <w:vAlign w:val="center"/>
          </w:tcPr>
          <w:p w14:paraId="008ACAA6"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1.17</w:t>
            </w:r>
          </w:p>
        </w:tc>
      </w:tr>
      <w:tr w:rsidR="00A67F21" w:rsidRPr="00B12FE0" w14:paraId="0E37916D" w14:textId="77777777">
        <w:trPr>
          <w:gridAfter w:val="1"/>
          <w:trHeight w:val="393"/>
          <w:jc w:val="center"/>
        </w:trPr>
        <w:tc>
          <w:tcPr>
            <w:tcW w:w="569" w:type="dxa"/>
            <w:vMerge/>
            <w:tcBorders>
              <w:left w:val="single" w:sz="4" w:space="0" w:color="auto"/>
              <w:right w:val="single" w:sz="4" w:space="0" w:color="auto"/>
            </w:tcBorders>
            <w:vAlign w:val="center"/>
          </w:tcPr>
          <w:p w14:paraId="27F9D198"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35EA8A9D" w14:textId="77777777" w:rsidR="00A67F21" w:rsidRPr="00B12FE0" w:rsidRDefault="00A67F21">
            <w:pPr>
              <w:widowControl/>
              <w:jc w:val="center"/>
              <w:rPr>
                <w:color w:val="000000" w:themeColor="text1"/>
                <w:kern w:val="0"/>
                <w:sz w:val="18"/>
                <w:szCs w:val="18"/>
              </w:rPr>
            </w:pPr>
          </w:p>
        </w:tc>
        <w:tc>
          <w:tcPr>
            <w:tcW w:w="861" w:type="dxa"/>
            <w:vMerge/>
            <w:tcBorders>
              <w:left w:val="single" w:sz="4" w:space="0" w:color="auto"/>
              <w:right w:val="single" w:sz="4" w:space="0" w:color="auto"/>
            </w:tcBorders>
            <w:vAlign w:val="center"/>
          </w:tcPr>
          <w:p w14:paraId="01D46D13" w14:textId="77777777" w:rsidR="00A67F21" w:rsidRPr="00B12FE0" w:rsidRDefault="00A67F21">
            <w:pPr>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D6922AE"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right w:val="single" w:sz="4" w:space="0" w:color="auto"/>
            </w:tcBorders>
            <w:vAlign w:val="center"/>
          </w:tcPr>
          <w:p w14:paraId="55645091"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0473B5FA" w14:textId="77777777" w:rsidR="00A67F21" w:rsidRPr="00B12FE0" w:rsidRDefault="00A67F21">
            <w:pPr>
              <w:topLinePunct/>
              <w:autoSpaceDE w:val="0"/>
              <w:jc w:val="center"/>
              <w:rPr>
                <w:color w:val="000000" w:themeColor="text1"/>
                <w:sz w:val="18"/>
                <w:szCs w:val="18"/>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6618EF7D"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1.99E-08</w:t>
            </w:r>
          </w:p>
        </w:tc>
        <w:tc>
          <w:tcPr>
            <w:tcW w:w="1115" w:type="dxa"/>
            <w:gridSpan w:val="2"/>
            <w:vMerge/>
            <w:tcBorders>
              <w:left w:val="single" w:sz="4" w:space="0" w:color="auto"/>
              <w:bottom w:val="single" w:sz="4" w:space="0" w:color="auto"/>
              <w:right w:val="single" w:sz="4" w:space="0" w:color="auto"/>
            </w:tcBorders>
            <w:vAlign w:val="center"/>
          </w:tcPr>
          <w:p w14:paraId="65A88D09" w14:textId="77777777" w:rsidR="00A67F21" w:rsidRPr="00B12FE0" w:rsidRDefault="00A67F21">
            <w:pPr>
              <w:jc w:val="center"/>
              <w:rPr>
                <w:color w:val="000000" w:themeColor="text1"/>
                <w:sz w:val="18"/>
                <w:szCs w:val="18"/>
              </w:rPr>
            </w:pPr>
          </w:p>
        </w:tc>
      </w:tr>
      <w:tr w:rsidR="00A67F21" w:rsidRPr="00B12FE0" w14:paraId="3F2C42D8" w14:textId="77777777">
        <w:trPr>
          <w:gridAfter w:val="1"/>
          <w:trHeight w:val="394"/>
          <w:jc w:val="center"/>
        </w:trPr>
        <w:tc>
          <w:tcPr>
            <w:tcW w:w="569" w:type="dxa"/>
            <w:vMerge w:val="restart"/>
            <w:tcBorders>
              <w:left w:val="single" w:sz="4" w:space="0" w:color="auto"/>
              <w:right w:val="single" w:sz="4" w:space="0" w:color="auto"/>
            </w:tcBorders>
            <w:vAlign w:val="center"/>
          </w:tcPr>
          <w:p w14:paraId="04D2BF72"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2-49</w:t>
            </w:r>
          </w:p>
        </w:tc>
        <w:tc>
          <w:tcPr>
            <w:tcW w:w="1118" w:type="dxa"/>
            <w:vMerge/>
            <w:tcBorders>
              <w:left w:val="single" w:sz="4" w:space="0" w:color="auto"/>
              <w:right w:val="single" w:sz="4" w:space="0" w:color="auto"/>
            </w:tcBorders>
            <w:vAlign w:val="center"/>
          </w:tcPr>
          <w:p w14:paraId="24071869" w14:textId="77777777" w:rsidR="00A67F21" w:rsidRPr="00B12FE0" w:rsidRDefault="00A67F21">
            <w:pPr>
              <w:widowControl/>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3F403D20"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1E75CB52"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right w:val="single" w:sz="4" w:space="0" w:color="auto"/>
            </w:tcBorders>
            <w:vAlign w:val="center"/>
          </w:tcPr>
          <w:p w14:paraId="2805C256"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3.7</w:t>
            </w:r>
            <w:r w:rsidRPr="00B12FE0">
              <w:rPr>
                <w:color w:val="000000" w:themeColor="text1"/>
                <w:sz w:val="18"/>
                <w:szCs w:val="18"/>
              </w:rPr>
              <w:t>×10</w:t>
            </w:r>
            <w:r w:rsidRPr="00B12FE0">
              <w:rPr>
                <w:color w:val="000000" w:themeColor="text1"/>
                <w:sz w:val="18"/>
                <w:szCs w:val="18"/>
                <w:vertAlign w:val="superscript"/>
              </w:rPr>
              <w:t>8</w:t>
            </w:r>
          </w:p>
        </w:tc>
        <w:tc>
          <w:tcPr>
            <w:tcW w:w="1481" w:type="dxa"/>
            <w:vMerge w:val="restart"/>
            <w:tcBorders>
              <w:top w:val="single" w:sz="4" w:space="0" w:color="auto"/>
              <w:left w:val="single" w:sz="4" w:space="0" w:color="auto"/>
              <w:right w:val="single" w:sz="4" w:space="0" w:color="auto"/>
            </w:tcBorders>
            <w:vAlign w:val="center"/>
          </w:tcPr>
          <w:p w14:paraId="7FFD23E5"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sz w:val="18"/>
                <w:szCs w:val="18"/>
              </w:rPr>
              <w:t>25</w:t>
            </w:r>
            <w:r w:rsidRPr="00B12FE0">
              <w:rPr>
                <w:color w:val="000000" w:themeColor="text1"/>
                <w:sz w:val="18"/>
                <w:szCs w:val="18"/>
              </w:rPr>
              <w:t>0mm</w:t>
            </w:r>
            <w:r w:rsidRPr="00B12FE0">
              <w:rPr>
                <w:color w:val="000000" w:themeColor="text1"/>
                <w:sz w:val="18"/>
                <w:szCs w:val="18"/>
              </w:rPr>
              <w:t>混凝土</w:t>
            </w:r>
          </w:p>
        </w:tc>
        <w:tc>
          <w:tcPr>
            <w:tcW w:w="1115" w:type="dxa"/>
            <w:tcBorders>
              <w:top w:val="single" w:sz="4" w:space="0" w:color="000000"/>
              <w:left w:val="single" w:sz="4" w:space="0" w:color="000000"/>
              <w:bottom w:val="single" w:sz="4" w:space="0" w:color="000000"/>
              <w:right w:val="single" w:sz="4" w:space="0" w:color="000000"/>
            </w:tcBorders>
            <w:vAlign w:val="center"/>
          </w:tcPr>
          <w:p w14:paraId="2D571369"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6.38E-02</w:t>
            </w:r>
          </w:p>
        </w:tc>
        <w:tc>
          <w:tcPr>
            <w:tcW w:w="1115" w:type="dxa"/>
            <w:gridSpan w:val="2"/>
            <w:vMerge w:val="restart"/>
            <w:tcBorders>
              <w:top w:val="single" w:sz="4" w:space="0" w:color="auto"/>
              <w:left w:val="single" w:sz="4" w:space="0" w:color="auto"/>
              <w:right w:val="single" w:sz="4" w:space="0" w:color="auto"/>
            </w:tcBorders>
            <w:vAlign w:val="center"/>
          </w:tcPr>
          <w:p w14:paraId="00906982"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6.89</w:t>
            </w:r>
            <w:r w:rsidRPr="00B12FE0">
              <w:rPr>
                <w:color w:val="000000" w:themeColor="text1"/>
                <w:sz w:val="18"/>
                <w:szCs w:val="18"/>
              </w:rPr>
              <w:t>E-0</w:t>
            </w:r>
            <w:r w:rsidRPr="00B12FE0">
              <w:rPr>
                <w:rFonts w:hint="eastAsia"/>
                <w:color w:val="000000" w:themeColor="text1"/>
                <w:sz w:val="18"/>
                <w:szCs w:val="18"/>
              </w:rPr>
              <w:t>2</w:t>
            </w:r>
          </w:p>
        </w:tc>
      </w:tr>
      <w:tr w:rsidR="00A67F21" w:rsidRPr="00B12FE0" w14:paraId="2461B5D6" w14:textId="77777777">
        <w:trPr>
          <w:gridAfter w:val="1"/>
          <w:trHeight w:val="393"/>
          <w:jc w:val="center"/>
        </w:trPr>
        <w:tc>
          <w:tcPr>
            <w:tcW w:w="569" w:type="dxa"/>
            <w:vMerge/>
            <w:tcBorders>
              <w:left w:val="single" w:sz="4" w:space="0" w:color="auto"/>
              <w:right w:val="single" w:sz="4" w:space="0" w:color="auto"/>
            </w:tcBorders>
            <w:vAlign w:val="center"/>
          </w:tcPr>
          <w:p w14:paraId="200D2F2A"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34D72345"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3C70CCB5"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E6A0FE6"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right w:val="single" w:sz="4" w:space="0" w:color="auto"/>
            </w:tcBorders>
            <w:vAlign w:val="center"/>
          </w:tcPr>
          <w:p w14:paraId="55F0C3B8"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10914988" w14:textId="77777777" w:rsidR="00A67F21" w:rsidRPr="00B12FE0" w:rsidRDefault="00A67F21">
            <w:pPr>
              <w:topLinePunct/>
              <w:autoSpaceDE w:val="0"/>
              <w:jc w:val="center"/>
              <w:rPr>
                <w:color w:val="000000" w:themeColor="text1"/>
                <w:sz w:val="18"/>
                <w:szCs w:val="18"/>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30BE9829"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5.05E-03</w:t>
            </w:r>
          </w:p>
        </w:tc>
        <w:tc>
          <w:tcPr>
            <w:tcW w:w="1115" w:type="dxa"/>
            <w:gridSpan w:val="2"/>
            <w:vMerge/>
            <w:tcBorders>
              <w:left w:val="single" w:sz="4" w:space="0" w:color="auto"/>
              <w:bottom w:val="single" w:sz="4" w:space="0" w:color="auto"/>
              <w:right w:val="single" w:sz="4" w:space="0" w:color="auto"/>
            </w:tcBorders>
            <w:vAlign w:val="center"/>
          </w:tcPr>
          <w:p w14:paraId="1AE027C0" w14:textId="77777777" w:rsidR="00A67F21" w:rsidRPr="00B12FE0" w:rsidRDefault="00A67F21">
            <w:pPr>
              <w:jc w:val="center"/>
              <w:rPr>
                <w:color w:val="000000" w:themeColor="text1"/>
                <w:sz w:val="18"/>
                <w:szCs w:val="18"/>
              </w:rPr>
            </w:pPr>
          </w:p>
        </w:tc>
      </w:tr>
      <w:tr w:rsidR="00A67F21" w:rsidRPr="00B12FE0" w14:paraId="07525776" w14:textId="77777777">
        <w:trPr>
          <w:gridAfter w:val="1"/>
          <w:trHeight w:val="394"/>
          <w:jc w:val="center"/>
        </w:trPr>
        <w:tc>
          <w:tcPr>
            <w:tcW w:w="569" w:type="dxa"/>
            <w:vMerge w:val="restart"/>
            <w:tcBorders>
              <w:left w:val="single" w:sz="4" w:space="0" w:color="auto"/>
              <w:right w:val="single" w:sz="4" w:space="0" w:color="auto"/>
            </w:tcBorders>
            <w:vAlign w:val="center"/>
          </w:tcPr>
          <w:p w14:paraId="5389985A"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2-50</w:t>
            </w:r>
          </w:p>
        </w:tc>
        <w:tc>
          <w:tcPr>
            <w:tcW w:w="1118" w:type="dxa"/>
            <w:vMerge/>
            <w:tcBorders>
              <w:left w:val="single" w:sz="4" w:space="0" w:color="auto"/>
              <w:right w:val="single" w:sz="4" w:space="0" w:color="auto"/>
            </w:tcBorders>
            <w:vAlign w:val="center"/>
          </w:tcPr>
          <w:p w14:paraId="60A684B8" w14:textId="77777777" w:rsidR="00A67F21" w:rsidRPr="00B12FE0" w:rsidRDefault="00A67F21">
            <w:pPr>
              <w:widowControl/>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6F3E6061"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南侧墙体外</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47046BC3"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right w:val="single" w:sz="4" w:space="0" w:color="auto"/>
            </w:tcBorders>
            <w:vAlign w:val="center"/>
          </w:tcPr>
          <w:p w14:paraId="0FA701DE"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3.7</w:t>
            </w:r>
            <w:r w:rsidRPr="00B12FE0">
              <w:rPr>
                <w:color w:val="000000" w:themeColor="text1"/>
                <w:sz w:val="18"/>
                <w:szCs w:val="18"/>
              </w:rPr>
              <w:t>×10</w:t>
            </w:r>
            <w:r w:rsidRPr="00B12FE0">
              <w:rPr>
                <w:color w:val="000000" w:themeColor="text1"/>
                <w:sz w:val="18"/>
                <w:szCs w:val="18"/>
                <w:vertAlign w:val="superscript"/>
              </w:rPr>
              <w:t>8</w:t>
            </w:r>
          </w:p>
        </w:tc>
        <w:tc>
          <w:tcPr>
            <w:tcW w:w="1481" w:type="dxa"/>
            <w:vMerge w:val="restart"/>
            <w:tcBorders>
              <w:top w:val="single" w:sz="4" w:space="0" w:color="auto"/>
              <w:left w:val="single" w:sz="4" w:space="0" w:color="auto"/>
              <w:right w:val="single" w:sz="4" w:space="0" w:color="auto"/>
            </w:tcBorders>
            <w:vAlign w:val="center"/>
          </w:tcPr>
          <w:p w14:paraId="14FF55F4" w14:textId="77777777" w:rsidR="00A67F21" w:rsidRPr="00B12FE0" w:rsidRDefault="00000000">
            <w:pPr>
              <w:topLinePunct/>
              <w:autoSpaceDE w:val="0"/>
              <w:jc w:val="center"/>
              <w:rPr>
                <w:color w:val="000000" w:themeColor="text1"/>
                <w:sz w:val="18"/>
                <w:szCs w:val="18"/>
              </w:rPr>
            </w:pPr>
            <w:r w:rsidRPr="00B12FE0">
              <w:rPr>
                <w:rFonts w:hint="eastAsia"/>
                <w:color w:val="000000" w:themeColor="text1"/>
                <w:kern w:val="0"/>
                <w:sz w:val="18"/>
                <w:szCs w:val="18"/>
              </w:rPr>
              <w:t>370mm</w:t>
            </w:r>
            <w:r w:rsidRPr="00B12FE0">
              <w:rPr>
                <w:rFonts w:hint="eastAsia"/>
                <w:color w:val="000000" w:themeColor="text1"/>
                <w:kern w:val="0"/>
                <w:sz w:val="18"/>
                <w:szCs w:val="18"/>
              </w:rPr>
              <w:t>实心砖</w:t>
            </w:r>
          </w:p>
        </w:tc>
        <w:tc>
          <w:tcPr>
            <w:tcW w:w="1115" w:type="dxa"/>
            <w:tcBorders>
              <w:top w:val="single" w:sz="4" w:space="0" w:color="000000"/>
              <w:left w:val="single" w:sz="4" w:space="0" w:color="000000"/>
              <w:bottom w:val="single" w:sz="4" w:space="0" w:color="000000"/>
              <w:right w:val="single" w:sz="4" w:space="0" w:color="000000"/>
            </w:tcBorders>
            <w:vAlign w:val="center"/>
          </w:tcPr>
          <w:p w14:paraId="22911CE0"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1.59E-01</w:t>
            </w:r>
          </w:p>
        </w:tc>
        <w:tc>
          <w:tcPr>
            <w:tcW w:w="1115" w:type="dxa"/>
            <w:gridSpan w:val="2"/>
            <w:vMerge w:val="restart"/>
            <w:tcBorders>
              <w:top w:val="single" w:sz="4" w:space="0" w:color="auto"/>
              <w:left w:val="single" w:sz="4" w:space="0" w:color="auto"/>
              <w:right w:val="single" w:sz="4" w:space="0" w:color="auto"/>
            </w:tcBorders>
            <w:vAlign w:val="center"/>
          </w:tcPr>
          <w:p w14:paraId="340D8FCC"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1.70</w:t>
            </w:r>
            <w:r w:rsidRPr="00B12FE0">
              <w:rPr>
                <w:color w:val="000000" w:themeColor="text1"/>
                <w:sz w:val="18"/>
                <w:szCs w:val="18"/>
              </w:rPr>
              <w:t>E-01</w:t>
            </w:r>
          </w:p>
        </w:tc>
      </w:tr>
      <w:tr w:rsidR="00A67F21" w:rsidRPr="00B12FE0" w14:paraId="08A0D9F2" w14:textId="77777777">
        <w:trPr>
          <w:gridAfter w:val="1"/>
          <w:trHeight w:val="393"/>
          <w:jc w:val="center"/>
        </w:trPr>
        <w:tc>
          <w:tcPr>
            <w:tcW w:w="569" w:type="dxa"/>
            <w:vMerge/>
            <w:tcBorders>
              <w:left w:val="single" w:sz="4" w:space="0" w:color="auto"/>
              <w:right w:val="single" w:sz="4" w:space="0" w:color="auto"/>
            </w:tcBorders>
            <w:vAlign w:val="center"/>
          </w:tcPr>
          <w:p w14:paraId="7CF1EEE1" w14:textId="77777777" w:rsidR="00A67F21" w:rsidRPr="00B12FE0" w:rsidRDefault="00A67F21">
            <w:pPr>
              <w:widowControl/>
              <w:adjustRightInd w:val="0"/>
              <w:snapToGrid w:val="0"/>
              <w:jc w:val="center"/>
              <w:rPr>
                <w:color w:val="000000" w:themeColor="text1"/>
                <w:kern w:val="0"/>
                <w:sz w:val="18"/>
                <w:szCs w:val="18"/>
              </w:rPr>
            </w:pPr>
          </w:p>
        </w:tc>
        <w:tc>
          <w:tcPr>
            <w:tcW w:w="1118" w:type="dxa"/>
            <w:vMerge/>
            <w:tcBorders>
              <w:left w:val="single" w:sz="4" w:space="0" w:color="auto"/>
              <w:right w:val="single" w:sz="4" w:space="0" w:color="auto"/>
            </w:tcBorders>
            <w:vAlign w:val="center"/>
          </w:tcPr>
          <w:p w14:paraId="68662399"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31709A25"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7D6570E"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right w:val="single" w:sz="4" w:space="0" w:color="auto"/>
            </w:tcBorders>
            <w:vAlign w:val="center"/>
          </w:tcPr>
          <w:p w14:paraId="04D69738"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Tc9.25×10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3773FEBC" w14:textId="77777777" w:rsidR="00A67F21" w:rsidRPr="00B12FE0" w:rsidRDefault="00A67F21">
            <w:pPr>
              <w:topLinePunct/>
              <w:autoSpaceDE w:val="0"/>
              <w:jc w:val="center"/>
              <w:rPr>
                <w:color w:val="000000" w:themeColor="text1"/>
                <w:kern w:val="0"/>
                <w:sz w:val="18"/>
                <w:szCs w:val="18"/>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78003F65" w14:textId="77777777" w:rsidR="00A67F21" w:rsidRPr="00B12FE0" w:rsidRDefault="00000000">
            <w:pPr>
              <w:jc w:val="center"/>
              <w:rPr>
                <w:color w:val="000000" w:themeColor="text1"/>
                <w:sz w:val="18"/>
                <w:szCs w:val="18"/>
              </w:rPr>
            </w:pPr>
            <w:r w:rsidRPr="00B12FE0">
              <w:rPr>
                <w:rFonts w:eastAsia="等线"/>
                <w:color w:val="000000" w:themeColor="text1"/>
                <w:sz w:val="18"/>
                <w:szCs w:val="18"/>
              </w:rPr>
              <w:t>1.11E-02</w:t>
            </w:r>
          </w:p>
        </w:tc>
        <w:tc>
          <w:tcPr>
            <w:tcW w:w="1115" w:type="dxa"/>
            <w:gridSpan w:val="2"/>
            <w:vMerge/>
            <w:tcBorders>
              <w:left w:val="single" w:sz="4" w:space="0" w:color="auto"/>
              <w:bottom w:val="single" w:sz="4" w:space="0" w:color="auto"/>
              <w:right w:val="single" w:sz="4" w:space="0" w:color="auto"/>
            </w:tcBorders>
            <w:vAlign w:val="center"/>
          </w:tcPr>
          <w:p w14:paraId="3C8D025F" w14:textId="77777777" w:rsidR="00A67F21" w:rsidRPr="00B12FE0" w:rsidRDefault="00A67F21">
            <w:pPr>
              <w:jc w:val="center"/>
              <w:rPr>
                <w:color w:val="000000" w:themeColor="text1"/>
                <w:sz w:val="18"/>
                <w:szCs w:val="18"/>
              </w:rPr>
            </w:pPr>
          </w:p>
        </w:tc>
      </w:tr>
      <w:tr w:rsidR="00A67F21" w:rsidRPr="00B12FE0" w14:paraId="0F9DBD7A" w14:textId="77777777">
        <w:trPr>
          <w:gridAfter w:val="1"/>
          <w:trHeight w:val="231"/>
          <w:jc w:val="center"/>
        </w:trPr>
        <w:tc>
          <w:tcPr>
            <w:tcW w:w="569" w:type="dxa"/>
            <w:vMerge w:val="restart"/>
            <w:tcBorders>
              <w:left w:val="single" w:sz="4" w:space="0" w:color="auto"/>
              <w:right w:val="single" w:sz="4" w:space="0" w:color="auto"/>
            </w:tcBorders>
            <w:vAlign w:val="center"/>
          </w:tcPr>
          <w:p w14:paraId="1DD5CDD1"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2-51</w:t>
            </w:r>
          </w:p>
        </w:tc>
        <w:tc>
          <w:tcPr>
            <w:tcW w:w="1118" w:type="dxa"/>
            <w:vMerge w:val="restart"/>
            <w:tcBorders>
              <w:left w:val="single" w:sz="4" w:space="0" w:color="auto"/>
              <w:right w:val="single" w:sz="4" w:space="0" w:color="auto"/>
            </w:tcBorders>
            <w:vAlign w:val="center"/>
          </w:tcPr>
          <w:p w14:paraId="2E45878B" w14:textId="77777777" w:rsidR="00A67F21" w:rsidRPr="00B12FE0" w:rsidRDefault="00000000">
            <w:pPr>
              <w:widowControl/>
              <w:jc w:val="center"/>
              <w:rPr>
                <w:color w:val="000000" w:themeColor="text1"/>
                <w:kern w:val="0"/>
                <w:sz w:val="18"/>
                <w:szCs w:val="18"/>
              </w:rPr>
            </w:pPr>
            <w:proofErr w:type="gramStart"/>
            <w:r w:rsidRPr="00B12FE0">
              <w:rPr>
                <w:rFonts w:hint="eastAsia"/>
                <w:color w:val="000000" w:themeColor="text1"/>
                <w:kern w:val="0"/>
                <w:sz w:val="18"/>
                <w:szCs w:val="18"/>
              </w:rPr>
              <w:t>污洗</w:t>
            </w:r>
            <w:proofErr w:type="gramEnd"/>
            <w:r w:rsidRPr="00B12FE0">
              <w:rPr>
                <w:rFonts w:hint="eastAsia"/>
                <w:color w:val="000000" w:themeColor="text1"/>
                <w:kern w:val="0"/>
                <w:sz w:val="18"/>
                <w:szCs w:val="18"/>
              </w:rPr>
              <w:t>/</w:t>
            </w:r>
            <w:r w:rsidRPr="00B12FE0">
              <w:rPr>
                <w:rFonts w:hint="eastAsia"/>
                <w:color w:val="000000" w:themeColor="text1"/>
                <w:kern w:val="0"/>
                <w:sz w:val="18"/>
                <w:szCs w:val="18"/>
              </w:rPr>
              <w:t>污物暂存</w:t>
            </w:r>
          </w:p>
        </w:tc>
        <w:tc>
          <w:tcPr>
            <w:tcW w:w="861" w:type="dxa"/>
            <w:vMerge w:val="restart"/>
            <w:tcBorders>
              <w:left w:val="single" w:sz="4" w:space="0" w:color="auto"/>
              <w:right w:val="single" w:sz="4" w:space="0" w:color="auto"/>
            </w:tcBorders>
            <w:vAlign w:val="center"/>
          </w:tcPr>
          <w:p w14:paraId="3C6DB750"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南</w:t>
            </w:r>
            <w:r w:rsidRPr="00B12FE0">
              <w:rPr>
                <w:color w:val="000000" w:themeColor="text1"/>
                <w:sz w:val="18"/>
                <w:szCs w:val="18"/>
              </w:rPr>
              <w:t>墙外</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581E4D68"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2.9</w:t>
            </w:r>
          </w:p>
        </w:tc>
        <w:tc>
          <w:tcPr>
            <w:tcW w:w="1624" w:type="dxa"/>
            <w:tcBorders>
              <w:top w:val="single" w:sz="4" w:space="0" w:color="auto"/>
              <w:left w:val="single" w:sz="4" w:space="0" w:color="auto"/>
              <w:bottom w:val="single" w:sz="4" w:space="0" w:color="auto"/>
              <w:right w:val="single" w:sz="4" w:space="0" w:color="auto"/>
            </w:tcBorders>
            <w:vAlign w:val="center"/>
          </w:tcPr>
          <w:p w14:paraId="1D8C645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2DF294CE"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t>+</w:t>
            </w:r>
            <w:r w:rsidRPr="00B12FE0">
              <w:rPr>
                <w:rFonts w:hint="eastAsia"/>
                <w:color w:val="000000" w:themeColor="text1"/>
                <w:sz w:val="18"/>
                <w:szCs w:val="18"/>
              </w:rPr>
              <w:t>37</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auto"/>
              <w:left w:val="single" w:sz="4" w:space="0" w:color="auto"/>
              <w:right w:val="single" w:sz="4" w:space="0" w:color="auto"/>
            </w:tcBorders>
            <w:vAlign w:val="center"/>
          </w:tcPr>
          <w:p w14:paraId="4E4380F2"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1.58E-02</w:t>
            </w:r>
          </w:p>
        </w:tc>
        <w:tc>
          <w:tcPr>
            <w:tcW w:w="1115" w:type="dxa"/>
            <w:gridSpan w:val="2"/>
            <w:vMerge w:val="restart"/>
            <w:tcBorders>
              <w:top w:val="single" w:sz="4" w:space="0" w:color="auto"/>
              <w:left w:val="single" w:sz="4" w:space="0" w:color="auto"/>
              <w:right w:val="single" w:sz="4" w:space="0" w:color="auto"/>
            </w:tcBorders>
            <w:vAlign w:val="center"/>
          </w:tcPr>
          <w:p w14:paraId="0EB6A327" w14:textId="77777777" w:rsidR="00A67F21" w:rsidRPr="00B12FE0" w:rsidRDefault="00000000">
            <w:pPr>
              <w:jc w:val="center"/>
              <w:rPr>
                <w:color w:val="000000" w:themeColor="text1"/>
                <w:sz w:val="18"/>
                <w:szCs w:val="18"/>
              </w:rPr>
            </w:pPr>
            <w:r w:rsidRPr="00B12FE0">
              <w:rPr>
                <w:color w:val="000000" w:themeColor="text1"/>
                <w:sz w:val="18"/>
                <w:szCs w:val="18"/>
              </w:rPr>
              <w:t>1.68E-02</w:t>
            </w:r>
          </w:p>
        </w:tc>
      </w:tr>
      <w:tr w:rsidR="00A67F21" w:rsidRPr="00B12FE0" w14:paraId="65513A70" w14:textId="77777777">
        <w:trPr>
          <w:gridAfter w:val="1"/>
          <w:trHeight w:val="231"/>
          <w:jc w:val="center"/>
        </w:trPr>
        <w:tc>
          <w:tcPr>
            <w:tcW w:w="569" w:type="dxa"/>
            <w:vMerge/>
            <w:tcBorders>
              <w:left w:val="single" w:sz="4" w:space="0" w:color="auto"/>
              <w:right w:val="single" w:sz="4" w:space="0" w:color="auto"/>
            </w:tcBorders>
            <w:vAlign w:val="center"/>
          </w:tcPr>
          <w:p w14:paraId="317AAE8A" w14:textId="77777777" w:rsidR="00A67F21" w:rsidRPr="00B12FE0" w:rsidRDefault="00A67F21">
            <w:pPr>
              <w:widowControl/>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4A86A6F8"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2AC052D5"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2F368DF2"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5AF04B36"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4F824FB3" w14:textId="77777777" w:rsidR="00A67F21" w:rsidRPr="00B12FE0" w:rsidRDefault="00A67F21">
            <w:pPr>
              <w:topLinePunct/>
              <w:autoSpaceDE w:val="0"/>
              <w:jc w:val="center"/>
              <w:rPr>
                <w:color w:val="000000" w:themeColor="text1"/>
                <w:sz w:val="18"/>
                <w:szCs w:val="18"/>
              </w:rPr>
            </w:pPr>
          </w:p>
        </w:tc>
        <w:tc>
          <w:tcPr>
            <w:tcW w:w="1115" w:type="dxa"/>
            <w:tcBorders>
              <w:top w:val="single" w:sz="4" w:space="0" w:color="auto"/>
              <w:left w:val="single" w:sz="4" w:space="0" w:color="auto"/>
              <w:right w:val="single" w:sz="4" w:space="0" w:color="auto"/>
            </w:tcBorders>
            <w:vAlign w:val="center"/>
          </w:tcPr>
          <w:p w14:paraId="5538743F"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3.33E-13</w:t>
            </w:r>
          </w:p>
        </w:tc>
        <w:tc>
          <w:tcPr>
            <w:tcW w:w="1115" w:type="dxa"/>
            <w:gridSpan w:val="2"/>
            <w:vMerge/>
            <w:tcBorders>
              <w:left w:val="single" w:sz="4" w:space="0" w:color="auto"/>
              <w:right w:val="single" w:sz="4" w:space="0" w:color="auto"/>
            </w:tcBorders>
            <w:vAlign w:val="center"/>
          </w:tcPr>
          <w:p w14:paraId="71D07624" w14:textId="77777777" w:rsidR="00A67F21" w:rsidRPr="00B12FE0" w:rsidRDefault="00A67F21">
            <w:pPr>
              <w:jc w:val="center"/>
              <w:rPr>
                <w:color w:val="000000" w:themeColor="text1"/>
                <w:sz w:val="18"/>
                <w:szCs w:val="18"/>
              </w:rPr>
            </w:pPr>
          </w:p>
        </w:tc>
      </w:tr>
      <w:tr w:rsidR="00A67F21" w:rsidRPr="00B12FE0" w14:paraId="5BA1207C" w14:textId="77777777">
        <w:trPr>
          <w:gridAfter w:val="1"/>
          <w:trHeight w:val="231"/>
          <w:jc w:val="center"/>
        </w:trPr>
        <w:tc>
          <w:tcPr>
            <w:tcW w:w="569" w:type="dxa"/>
            <w:vMerge/>
            <w:tcBorders>
              <w:left w:val="single" w:sz="4" w:space="0" w:color="auto"/>
              <w:right w:val="single" w:sz="4" w:space="0" w:color="auto"/>
            </w:tcBorders>
            <w:vAlign w:val="center"/>
          </w:tcPr>
          <w:p w14:paraId="783BC229" w14:textId="77777777" w:rsidR="00A67F21" w:rsidRPr="00B12FE0" w:rsidRDefault="00A67F21">
            <w:pPr>
              <w:widowControl/>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2794992E"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0AC53DF9"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BE73F24"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016E1F13"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78AACAF4"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rFonts w:hint="eastAsia"/>
                <w:color w:val="000000" w:themeColor="text1"/>
                <w:sz w:val="18"/>
                <w:szCs w:val="18"/>
              </w:rPr>
              <w:t>衰变</w:t>
            </w:r>
            <w:r w:rsidRPr="00B12FE0">
              <w:rPr>
                <w:color w:val="000000" w:themeColor="text1"/>
                <w:sz w:val="18"/>
                <w:szCs w:val="18"/>
              </w:rPr>
              <w:t>箱</w:t>
            </w:r>
            <w:r w:rsidRPr="00B12FE0">
              <w:rPr>
                <w:color w:val="000000" w:themeColor="text1"/>
                <w:sz w:val="18"/>
                <w:szCs w:val="18"/>
              </w:rPr>
              <w:t>+</w:t>
            </w:r>
            <w:r w:rsidRPr="00B12FE0">
              <w:rPr>
                <w:rFonts w:hint="eastAsia"/>
                <w:color w:val="000000" w:themeColor="text1"/>
                <w:sz w:val="18"/>
                <w:szCs w:val="18"/>
              </w:rPr>
              <w:t>37</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auto"/>
              <w:left w:val="single" w:sz="4" w:space="0" w:color="auto"/>
              <w:right w:val="single" w:sz="4" w:space="0" w:color="auto"/>
            </w:tcBorders>
            <w:vAlign w:val="center"/>
          </w:tcPr>
          <w:p w14:paraId="4B38F58B"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9.08E-04</w:t>
            </w:r>
          </w:p>
        </w:tc>
        <w:tc>
          <w:tcPr>
            <w:tcW w:w="1115" w:type="dxa"/>
            <w:gridSpan w:val="2"/>
            <w:vMerge/>
            <w:tcBorders>
              <w:left w:val="single" w:sz="4" w:space="0" w:color="auto"/>
              <w:right w:val="single" w:sz="4" w:space="0" w:color="auto"/>
            </w:tcBorders>
            <w:vAlign w:val="center"/>
          </w:tcPr>
          <w:p w14:paraId="6330A119" w14:textId="77777777" w:rsidR="00A67F21" w:rsidRPr="00B12FE0" w:rsidRDefault="00A67F21">
            <w:pPr>
              <w:jc w:val="center"/>
              <w:rPr>
                <w:color w:val="000000" w:themeColor="text1"/>
                <w:sz w:val="18"/>
                <w:szCs w:val="18"/>
              </w:rPr>
            </w:pPr>
          </w:p>
        </w:tc>
      </w:tr>
      <w:tr w:rsidR="00A67F21" w:rsidRPr="00B12FE0" w14:paraId="3EFDC7F2" w14:textId="77777777">
        <w:trPr>
          <w:gridAfter w:val="1"/>
          <w:trHeight w:val="231"/>
          <w:jc w:val="center"/>
        </w:trPr>
        <w:tc>
          <w:tcPr>
            <w:tcW w:w="569" w:type="dxa"/>
            <w:vMerge w:val="restart"/>
            <w:tcBorders>
              <w:left w:val="single" w:sz="4" w:space="0" w:color="auto"/>
              <w:right w:val="single" w:sz="4" w:space="0" w:color="auto"/>
            </w:tcBorders>
            <w:vAlign w:val="center"/>
          </w:tcPr>
          <w:p w14:paraId="4F681E2C"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2-52</w:t>
            </w:r>
          </w:p>
        </w:tc>
        <w:tc>
          <w:tcPr>
            <w:tcW w:w="1118" w:type="dxa"/>
            <w:vMerge/>
            <w:tcBorders>
              <w:left w:val="single" w:sz="4" w:space="0" w:color="auto"/>
              <w:right w:val="single" w:sz="4" w:space="0" w:color="auto"/>
            </w:tcBorders>
            <w:vAlign w:val="center"/>
          </w:tcPr>
          <w:p w14:paraId="685A51C1" w14:textId="77777777" w:rsidR="00A67F21" w:rsidRPr="00B12FE0" w:rsidRDefault="00A67F21">
            <w:pPr>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6BFF35CC"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西</w:t>
            </w:r>
            <w:r w:rsidRPr="00B12FE0">
              <w:rPr>
                <w:color w:val="000000" w:themeColor="text1"/>
                <w:sz w:val="18"/>
                <w:szCs w:val="18"/>
              </w:rPr>
              <w:t>墙外</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38BFC766"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1.6</w:t>
            </w:r>
          </w:p>
        </w:tc>
        <w:tc>
          <w:tcPr>
            <w:tcW w:w="1624" w:type="dxa"/>
            <w:tcBorders>
              <w:top w:val="single" w:sz="4" w:space="0" w:color="auto"/>
              <w:left w:val="single" w:sz="4" w:space="0" w:color="auto"/>
              <w:bottom w:val="single" w:sz="4" w:space="0" w:color="auto"/>
              <w:right w:val="single" w:sz="4" w:space="0" w:color="auto"/>
            </w:tcBorders>
            <w:vAlign w:val="center"/>
          </w:tcPr>
          <w:p w14:paraId="30516A4C"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3E67C212"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auto"/>
              <w:left w:val="single" w:sz="4" w:space="0" w:color="auto"/>
              <w:right w:val="single" w:sz="4" w:space="0" w:color="auto"/>
            </w:tcBorders>
            <w:vAlign w:val="center"/>
          </w:tcPr>
          <w:p w14:paraId="2D8D0BED"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1.62E-01</w:t>
            </w:r>
          </w:p>
        </w:tc>
        <w:tc>
          <w:tcPr>
            <w:tcW w:w="1115" w:type="dxa"/>
            <w:gridSpan w:val="2"/>
            <w:vMerge w:val="restart"/>
            <w:tcBorders>
              <w:top w:val="single" w:sz="4" w:space="0" w:color="auto"/>
              <w:left w:val="single" w:sz="4" w:space="0" w:color="auto"/>
              <w:right w:val="single" w:sz="4" w:space="0" w:color="auto"/>
            </w:tcBorders>
            <w:vAlign w:val="center"/>
          </w:tcPr>
          <w:p w14:paraId="170F3F58" w14:textId="77777777" w:rsidR="00A67F21" w:rsidRPr="00B12FE0" w:rsidRDefault="00000000">
            <w:pPr>
              <w:jc w:val="center"/>
              <w:rPr>
                <w:color w:val="000000" w:themeColor="text1"/>
                <w:sz w:val="18"/>
                <w:szCs w:val="18"/>
              </w:rPr>
            </w:pPr>
            <w:r w:rsidRPr="00B12FE0">
              <w:rPr>
                <w:color w:val="000000" w:themeColor="text1"/>
                <w:sz w:val="18"/>
                <w:szCs w:val="18"/>
              </w:rPr>
              <w:t>1.73E-01</w:t>
            </w:r>
          </w:p>
        </w:tc>
      </w:tr>
      <w:tr w:rsidR="00A67F21" w:rsidRPr="00B12FE0" w14:paraId="300EBB38" w14:textId="77777777">
        <w:trPr>
          <w:gridAfter w:val="1"/>
          <w:trHeight w:val="231"/>
          <w:jc w:val="center"/>
        </w:trPr>
        <w:tc>
          <w:tcPr>
            <w:tcW w:w="569" w:type="dxa"/>
            <w:vMerge/>
            <w:tcBorders>
              <w:left w:val="single" w:sz="4" w:space="0" w:color="auto"/>
              <w:right w:val="single" w:sz="4" w:space="0" w:color="auto"/>
            </w:tcBorders>
            <w:vAlign w:val="center"/>
          </w:tcPr>
          <w:p w14:paraId="28EC5280" w14:textId="77777777" w:rsidR="00A67F21" w:rsidRPr="00B12FE0" w:rsidRDefault="00A67F21">
            <w:pPr>
              <w:widowControl/>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0D25CC33"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7E176FE1"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642C0325"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07819EC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12B3EC57" w14:textId="77777777" w:rsidR="00A67F21" w:rsidRPr="00B12FE0" w:rsidRDefault="00A67F21">
            <w:pPr>
              <w:topLinePunct/>
              <w:autoSpaceDE w:val="0"/>
              <w:jc w:val="center"/>
              <w:rPr>
                <w:color w:val="000000" w:themeColor="text1"/>
                <w:sz w:val="18"/>
                <w:szCs w:val="18"/>
              </w:rPr>
            </w:pPr>
          </w:p>
        </w:tc>
        <w:tc>
          <w:tcPr>
            <w:tcW w:w="1115" w:type="dxa"/>
            <w:tcBorders>
              <w:top w:val="single" w:sz="4" w:space="0" w:color="auto"/>
              <w:left w:val="single" w:sz="4" w:space="0" w:color="auto"/>
              <w:right w:val="single" w:sz="4" w:space="0" w:color="auto"/>
            </w:tcBorders>
            <w:vAlign w:val="center"/>
          </w:tcPr>
          <w:p w14:paraId="1B7E8F1D"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7.11E-12</w:t>
            </w:r>
          </w:p>
        </w:tc>
        <w:tc>
          <w:tcPr>
            <w:tcW w:w="1115" w:type="dxa"/>
            <w:gridSpan w:val="2"/>
            <w:vMerge/>
            <w:tcBorders>
              <w:left w:val="single" w:sz="4" w:space="0" w:color="auto"/>
              <w:right w:val="single" w:sz="4" w:space="0" w:color="auto"/>
            </w:tcBorders>
            <w:vAlign w:val="center"/>
          </w:tcPr>
          <w:p w14:paraId="61450647" w14:textId="77777777" w:rsidR="00A67F21" w:rsidRPr="00B12FE0" w:rsidRDefault="00A67F21">
            <w:pPr>
              <w:jc w:val="center"/>
              <w:rPr>
                <w:color w:val="000000" w:themeColor="text1"/>
                <w:sz w:val="18"/>
                <w:szCs w:val="18"/>
              </w:rPr>
            </w:pPr>
          </w:p>
        </w:tc>
      </w:tr>
      <w:tr w:rsidR="00A67F21" w:rsidRPr="00B12FE0" w14:paraId="2FDD4D09" w14:textId="77777777">
        <w:trPr>
          <w:gridAfter w:val="1"/>
          <w:trHeight w:val="231"/>
          <w:jc w:val="center"/>
        </w:trPr>
        <w:tc>
          <w:tcPr>
            <w:tcW w:w="569" w:type="dxa"/>
            <w:vMerge/>
            <w:tcBorders>
              <w:left w:val="single" w:sz="4" w:space="0" w:color="auto"/>
              <w:right w:val="single" w:sz="4" w:space="0" w:color="auto"/>
            </w:tcBorders>
            <w:vAlign w:val="center"/>
          </w:tcPr>
          <w:p w14:paraId="40311CA0" w14:textId="77777777" w:rsidR="00A67F21" w:rsidRPr="00B12FE0" w:rsidRDefault="00A67F21">
            <w:pPr>
              <w:widowControl/>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3723F254"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79144FF0"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1B4B98B6"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3E2E2E99"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0CBE6B11"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rFonts w:hint="eastAsia"/>
                <w:color w:val="000000" w:themeColor="text1"/>
                <w:sz w:val="18"/>
                <w:szCs w:val="18"/>
              </w:rPr>
              <w:t>衰变</w:t>
            </w:r>
            <w:r w:rsidRPr="00B12FE0">
              <w:rPr>
                <w:color w:val="000000" w:themeColor="text1"/>
                <w:sz w:val="18"/>
                <w:szCs w:val="18"/>
              </w:rPr>
              <w:t>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auto"/>
              <w:left w:val="single" w:sz="4" w:space="0" w:color="auto"/>
              <w:right w:val="single" w:sz="4" w:space="0" w:color="auto"/>
            </w:tcBorders>
            <w:vAlign w:val="center"/>
          </w:tcPr>
          <w:p w14:paraId="001E2998"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1.04E-02</w:t>
            </w:r>
          </w:p>
        </w:tc>
        <w:tc>
          <w:tcPr>
            <w:tcW w:w="1115" w:type="dxa"/>
            <w:gridSpan w:val="2"/>
            <w:vMerge/>
            <w:tcBorders>
              <w:left w:val="single" w:sz="4" w:space="0" w:color="auto"/>
              <w:right w:val="single" w:sz="4" w:space="0" w:color="auto"/>
            </w:tcBorders>
            <w:vAlign w:val="center"/>
          </w:tcPr>
          <w:p w14:paraId="202E6B76" w14:textId="77777777" w:rsidR="00A67F21" w:rsidRPr="00B12FE0" w:rsidRDefault="00A67F21">
            <w:pPr>
              <w:jc w:val="center"/>
              <w:rPr>
                <w:color w:val="000000" w:themeColor="text1"/>
                <w:sz w:val="18"/>
                <w:szCs w:val="18"/>
              </w:rPr>
            </w:pPr>
          </w:p>
        </w:tc>
      </w:tr>
      <w:tr w:rsidR="00A67F21" w:rsidRPr="00B12FE0" w14:paraId="77CDC828" w14:textId="77777777">
        <w:trPr>
          <w:gridAfter w:val="1"/>
          <w:trHeight w:val="231"/>
          <w:jc w:val="center"/>
        </w:trPr>
        <w:tc>
          <w:tcPr>
            <w:tcW w:w="569" w:type="dxa"/>
            <w:vMerge w:val="restart"/>
            <w:tcBorders>
              <w:left w:val="single" w:sz="4" w:space="0" w:color="auto"/>
              <w:right w:val="single" w:sz="4" w:space="0" w:color="auto"/>
            </w:tcBorders>
            <w:vAlign w:val="center"/>
          </w:tcPr>
          <w:p w14:paraId="57E118DA"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2-53</w:t>
            </w:r>
          </w:p>
        </w:tc>
        <w:tc>
          <w:tcPr>
            <w:tcW w:w="1118" w:type="dxa"/>
            <w:vMerge/>
            <w:tcBorders>
              <w:left w:val="single" w:sz="4" w:space="0" w:color="auto"/>
              <w:right w:val="single" w:sz="4" w:space="0" w:color="auto"/>
            </w:tcBorders>
            <w:vAlign w:val="center"/>
          </w:tcPr>
          <w:p w14:paraId="71834114" w14:textId="77777777" w:rsidR="00A67F21" w:rsidRPr="00B12FE0" w:rsidRDefault="00A67F21">
            <w:pPr>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53648CF5"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墙外</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53807409"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2.8</w:t>
            </w:r>
          </w:p>
        </w:tc>
        <w:tc>
          <w:tcPr>
            <w:tcW w:w="1624" w:type="dxa"/>
            <w:tcBorders>
              <w:top w:val="single" w:sz="4" w:space="0" w:color="auto"/>
              <w:left w:val="single" w:sz="4" w:space="0" w:color="auto"/>
              <w:bottom w:val="single" w:sz="4" w:space="0" w:color="auto"/>
              <w:right w:val="single" w:sz="4" w:space="0" w:color="auto"/>
            </w:tcBorders>
            <w:vAlign w:val="center"/>
          </w:tcPr>
          <w:p w14:paraId="01F05FBB"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7D952FF8" w14:textId="77777777" w:rsidR="00A67F21" w:rsidRPr="00B12FE0" w:rsidRDefault="00000000">
            <w:pPr>
              <w:topLinePunct/>
              <w:autoSpaceDE w:val="0"/>
              <w:jc w:val="center"/>
              <w:rPr>
                <w:color w:val="000000" w:themeColor="text1"/>
                <w:kern w:val="0"/>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auto"/>
              <w:left w:val="single" w:sz="4" w:space="0" w:color="auto"/>
              <w:right w:val="single" w:sz="4" w:space="0" w:color="auto"/>
            </w:tcBorders>
            <w:vAlign w:val="center"/>
          </w:tcPr>
          <w:p w14:paraId="5F5E2F49"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5.31E-02</w:t>
            </w:r>
          </w:p>
        </w:tc>
        <w:tc>
          <w:tcPr>
            <w:tcW w:w="1115" w:type="dxa"/>
            <w:gridSpan w:val="2"/>
            <w:vMerge w:val="restart"/>
            <w:tcBorders>
              <w:top w:val="single" w:sz="4" w:space="0" w:color="auto"/>
              <w:left w:val="single" w:sz="4" w:space="0" w:color="auto"/>
              <w:right w:val="single" w:sz="4" w:space="0" w:color="auto"/>
            </w:tcBorders>
            <w:vAlign w:val="center"/>
          </w:tcPr>
          <w:p w14:paraId="3B48ED8B" w14:textId="77777777" w:rsidR="00A67F21" w:rsidRPr="00B12FE0" w:rsidRDefault="00000000">
            <w:pPr>
              <w:jc w:val="center"/>
              <w:rPr>
                <w:color w:val="000000" w:themeColor="text1"/>
                <w:sz w:val="18"/>
                <w:szCs w:val="18"/>
              </w:rPr>
            </w:pPr>
            <w:r w:rsidRPr="00B12FE0">
              <w:rPr>
                <w:color w:val="000000" w:themeColor="text1"/>
                <w:sz w:val="18"/>
                <w:szCs w:val="18"/>
              </w:rPr>
              <w:t>5.65E-02</w:t>
            </w:r>
          </w:p>
        </w:tc>
      </w:tr>
      <w:tr w:rsidR="00A67F21" w:rsidRPr="00B12FE0" w14:paraId="68A72FD2" w14:textId="77777777">
        <w:trPr>
          <w:gridAfter w:val="1"/>
          <w:trHeight w:val="231"/>
          <w:jc w:val="center"/>
        </w:trPr>
        <w:tc>
          <w:tcPr>
            <w:tcW w:w="569" w:type="dxa"/>
            <w:vMerge/>
            <w:tcBorders>
              <w:left w:val="single" w:sz="4" w:space="0" w:color="auto"/>
              <w:right w:val="single" w:sz="4" w:space="0" w:color="auto"/>
            </w:tcBorders>
            <w:vAlign w:val="center"/>
          </w:tcPr>
          <w:p w14:paraId="2C849E7E" w14:textId="77777777" w:rsidR="00A67F21" w:rsidRPr="00B12FE0" w:rsidRDefault="00A67F21">
            <w:pPr>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76C11A44"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6919A261"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177750DC"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5765D7CB"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791478B5" w14:textId="77777777" w:rsidR="00A67F21" w:rsidRPr="00B12FE0" w:rsidRDefault="00A67F21">
            <w:pPr>
              <w:topLinePunct/>
              <w:autoSpaceDE w:val="0"/>
              <w:jc w:val="center"/>
              <w:rPr>
                <w:color w:val="000000" w:themeColor="text1"/>
                <w:sz w:val="18"/>
                <w:szCs w:val="18"/>
              </w:rPr>
            </w:pPr>
          </w:p>
        </w:tc>
        <w:tc>
          <w:tcPr>
            <w:tcW w:w="1115" w:type="dxa"/>
            <w:tcBorders>
              <w:top w:val="single" w:sz="4" w:space="0" w:color="auto"/>
              <w:left w:val="single" w:sz="4" w:space="0" w:color="auto"/>
              <w:right w:val="single" w:sz="4" w:space="0" w:color="auto"/>
            </w:tcBorders>
            <w:vAlign w:val="center"/>
          </w:tcPr>
          <w:p w14:paraId="2167C286"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2.32E-12</w:t>
            </w:r>
          </w:p>
        </w:tc>
        <w:tc>
          <w:tcPr>
            <w:tcW w:w="1115" w:type="dxa"/>
            <w:gridSpan w:val="2"/>
            <w:vMerge/>
            <w:tcBorders>
              <w:left w:val="single" w:sz="4" w:space="0" w:color="auto"/>
              <w:right w:val="single" w:sz="4" w:space="0" w:color="auto"/>
            </w:tcBorders>
            <w:vAlign w:val="center"/>
          </w:tcPr>
          <w:p w14:paraId="249E5171" w14:textId="77777777" w:rsidR="00A67F21" w:rsidRPr="00B12FE0" w:rsidRDefault="00A67F21">
            <w:pPr>
              <w:jc w:val="center"/>
              <w:rPr>
                <w:color w:val="000000" w:themeColor="text1"/>
                <w:sz w:val="18"/>
                <w:szCs w:val="18"/>
              </w:rPr>
            </w:pPr>
          </w:p>
        </w:tc>
      </w:tr>
      <w:tr w:rsidR="00A67F21" w:rsidRPr="00B12FE0" w14:paraId="3706325E" w14:textId="77777777">
        <w:trPr>
          <w:gridAfter w:val="1"/>
          <w:trHeight w:val="231"/>
          <w:jc w:val="center"/>
        </w:trPr>
        <w:tc>
          <w:tcPr>
            <w:tcW w:w="569" w:type="dxa"/>
            <w:vMerge/>
            <w:tcBorders>
              <w:left w:val="single" w:sz="4" w:space="0" w:color="auto"/>
              <w:right w:val="single" w:sz="4" w:space="0" w:color="auto"/>
            </w:tcBorders>
            <w:vAlign w:val="center"/>
          </w:tcPr>
          <w:p w14:paraId="70E267F9" w14:textId="77777777" w:rsidR="00A67F21" w:rsidRPr="00B12FE0" w:rsidRDefault="00A67F21">
            <w:pPr>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38BBAFBF"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135208A2"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D21E4F3"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28591DAA"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7DD3BEFF"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rFonts w:hint="eastAsia"/>
                <w:color w:val="000000" w:themeColor="text1"/>
                <w:sz w:val="18"/>
                <w:szCs w:val="18"/>
              </w:rPr>
              <w:t>衰变</w:t>
            </w:r>
            <w:r w:rsidRPr="00B12FE0">
              <w:rPr>
                <w:color w:val="000000" w:themeColor="text1"/>
                <w:sz w:val="18"/>
                <w:szCs w:val="18"/>
              </w:rPr>
              <w:t>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auto"/>
              <w:left w:val="single" w:sz="4" w:space="0" w:color="auto"/>
              <w:right w:val="single" w:sz="4" w:space="0" w:color="auto"/>
            </w:tcBorders>
            <w:vAlign w:val="center"/>
          </w:tcPr>
          <w:p w14:paraId="3F533E57"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3.39E-03</w:t>
            </w:r>
          </w:p>
        </w:tc>
        <w:tc>
          <w:tcPr>
            <w:tcW w:w="1115" w:type="dxa"/>
            <w:gridSpan w:val="2"/>
            <w:vMerge/>
            <w:tcBorders>
              <w:left w:val="single" w:sz="4" w:space="0" w:color="auto"/>
              <w:right w:val="single" w:sz="4" w:space="0" w:color="auto"/>
            </w:tcBorders>
            <w:vAlign w:val="center"/>
          </w:tcPr>
          <w:p w14:paraId="778B5343" w14:textId="77777777" w:rsidR="00A67F21" w:rsidRPr="00B12FE0" w:rsidRDefault="00A67F21">
            <w:pPr>
              <w:jc w:val="center"/>
              <w:rPr>
                <w:color w:val="000000" w:themeColor="text1"/>
                <w:sz w:val="18"/>
                <w:szCs w:val="18"/>
              </w:rPr>
            </w:pPr>
          </w:p>
        </w:tc>
      </w:tr>
      <w:tr w:rsidR="00A67F21" w:rsidRPr="00B12FE0" w14:paraId="0D83561A" w14:textId="77777777">
        <w:trPr>
          <w:gridAfter w:val="1"/>
          <w:trHeight w:val="231"/>
          <w:jc w:val="center"/>
        </w:trPr>
        <w:tc>
          <w:tcPr>
            <w:tcW w:w="569" w:type="dxa"/>
            <w:vMerge/>
            <w:tcBorders>
              <w:left w:val="single" w:sz="4" w:space="0" w:color="auto"/>
              <w:right w:val="single" w:sz="4" w:space="0" w:color="auto"/>
            </w:tcBorders>
            <w:vAlign w:val="center"/>
          </w:tcPr>
          <w:p w14:paraId="03C711E6" w14:textId="77777777" w:rsidR="00A67F21" w:rsidRPr="00B12FE0" w:rsidRDefault="00A67F21">
            <w:pPr>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07065E8E" w14:textId="77777777" w:rsidR="00A67F21" w:rsidRPr="00B12FE0" w:rsidRDefault="00A67F21">
            <w:pPr>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1A661154"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侧防护门外</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58B38FA4"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2.8</w:t>
            </w:r>
          </w:p>
        </w:tc>
        <w:tc>
          <w:tcPr>
            <w:tcW w:w="1624" w:type="dxa"/>
            <w:tcBorders>
              <w:top w:val="single" w:sz="4" w:space="0" w:color="auto"/>
              <w:left w:val="single" w:sz="4" w:space="0" w:color="auto"/>
              <w:bottom w:val="single" w:sz="4" w:space="0" w:color="auto"/>
              <w:right w:val="single" w:sz="4" w:space="0" w:color="auto"/>
            </w:tcBorders>
            <w:vAlign w:val="center"/>
          </w:tcPr>
          <w:p w14:paraId="7B9A756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6F969654"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t>+</w:t>
            </w:r>
            <w:r w:rsidRPr="00B12FE0">
              <w:rPr>
                <w:color w:val="000000" w:themeColor="text1"/>
                <w:sz w:val="18"/>
                <w:szCs w:val="18"/>
              </w:rPr>
              <w:t>内衬</w:t>
            </w:r>
            <w:r w:rsidRPr="00B12FE0">
              <w:rPr>
                <w:color w:val="000000" w:themeColor="text1"/>
                <w:sz w:val="18"/>
                <w:szCs w:val="18"/>
              </w:rPr>
              <w:t>6mmPb</w:t>
            </w:r>
            <w:proofErr w:type="gramStart"/>
            <w:r w:rsidRPr="00B12FE0">
              <w:rPr>
                <w:color w:val="000000" w:themeColor="text1"/>
                <w:sz w:val="18"/>
                <w:szCs w:val="18"/>
              </w:rPr>
              <w:t>铅门</w:t>
            </w:r>
            <w:proofErr w:type="gramEnd"/>
          </w:p>
        </w:tc>
        <w:tc>
          <w:tcPr>
            <w:tcW w:w="1115" w:type="dxa"/>
            <w:tcBorders>
              <w:top w:val="single" w:sz="4" w:space="0" w:color="auto"/>
              <w:left w:val="single" w:sz="4" w:space="0" w:color="auto"/>
              <w:right w:val="single" w:sz="4" w:space="0" w:color="auto"/>
            </w:tcBorders>
            <w:vAlign w:val="center"/>
          </w:tcPr>
          <w:p w14:paraId="7F12116B"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1.89E-01</w:t>
            </w:r>
          </w:p>
        </w:tc>
        <w:tc>
          <w:tcPr>
            <w:tcW w:w="1115" w:type="dxa"/>
            <w:gridSpan w:val="2"/>
            <w:vMerge w:val="restart"/>
            <w:tcBorders>
              <w:top w:val="single" w:sz="4" w:space="0" w:color="auto"/>
              <w:left w:val="single" w:sz="4" w:space="0" w:color="auto"/>
              <w:right w:val="single" w:sz="4" w:space="0" w:color="auto"/>
            </w:tcBorders>
            <w:vAlign w:val="center"/>
          </w:tcPr>
          <w:p w14:paraId="73332E47" w14:textId="77777777" w:rsidR="00A67F21" w:rsidRPr="00B12FE0" w:rsidRDefault="00000000">
            <w:pPr>
              <w:jc w:val="center"/>
              <w:rPr>
                <w:color w:val="000000" w:themeColor="text1"/>
                <w:sz w:val="18"/>
                <w:szCs w:val="18"/>
              </w:rPr>
            </w:pPr>
            <w:r w:rsidRPr="00B12FE0">
              <w:rPr>
                <w:color w:val="000000" w:themeColor="text1"/>
                <w:sz w:val="18"/>
                <w:szCs w:val="18"/>
              </w:rPr>
              <w:t>1.98E-01</w:t>
            </w:r>
          </w:p>
        </w:tc>
      </w:tr>
      <w:tr w:rsidR="00A67F21" w:rsidRPr="00B12FE0" w14:paraId="0B3F478B" w14:textId="77777777">
        <w:trPr>
          <w:gridAfter w:val="1"/>
          <w:trHeight w:val="231"/>
          <w:jc w:val="center"/>
        </w:trPr>
        <w:tc>
          <w:tcPr>
            <w:tcW w:w="569" w:type="dxa"/>
            <w:vMerge/>
            <w:tcBorders>
              <w:left w:val="single" w:sz="4" w:space="0" w:color="auto"/>
              <w:right w:val="single" w:sz="4" w:space="0" w:color="auto"/>
            </w:tcBorders>
            <w:vAlign w:val="center"/>
          </w:tcPr>
          <w:p w14:paraId="028AE41D" w14:textId="77777777" w:rsidR="00A67F21" w:rsidRPr="00B12FE0" w:rsidRDefault="00A67F21">
            <w:pPr>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255DD6A6"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1C0054EF" w14:textId="77777777" w:rsidR="00A67F21" w:rsidRPr="00B12FE0" w:rsidRDefault="00A67F21">
            <w:pPr>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53C708E6"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15AD429D"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32E13975" w14:textId="77777777" w:rsidR="00A67F21" w:rsidRPr="00B12FE0" w:rsidRDefault="00A67F21">
            <w:pPr>
              <w:topLinePunct/>
              <w:autoSpaceDE w:val="0"/>
              <w:jc w:val="center"/>
              <w:rPr>
                <w:color w:val="000000" w:themeColor="text1"/>
                <w:sz w:val="18"/>
                <w:szCs w:val="18"/>
              </w:rPr>
            </w:pPr>
          </w:p>
        </w:tc>
        <w:tc>
          <w:tcPr>
            <w:tcW w:w="1115" w:type="dxa"/>
            <w:tcBorders>
              <w:top w:val="single" w:sz="4" w:space="0" w:color="auto"/>
              <w:left w:val="single" w:sz="4" w:space="0" w:color="auto"/>
              <w:right w:val="single" w:sz="4" w:space="0" w:color="auto"/>
            </w:tcBorders>
            <w:vAlign w:val="center"/>
          </w:tcPr>
          <w:p w14:paraId="05660EBB"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7.34E-17</w:t>
            </w:r>
          </w:p>
        </w:tc>
        <w:tc>
          <w:tcPr>
            <w:tcW w:w="1115" w:type="dxa"/>
            <w:gridSpan w:val="2"/>
            <w:vMerge/>
            <w:tcBorders>
              <w:left w:val="single" w:sz="4" w:space="0" w:color="auto"/>
              <w:right w:val="single" w:sz="4" w:space="0" w:color="auto"/>
            </w:tcBorders>
            <w:vAlign w:val="center"/>
          </w:tcPr>
          <w:p w14:paraId="374FCB84" w14:textId="77777777" w:rsidR="00A67F21" w:rsidRPr="00B12FE0" w:rsidRDefault="00A67F21">
            <w:pPr>
              <w:jc w:val="center"/>
              <w:rPr>
                <w:color w:val="000000" w:themeColor="text1"/>
                <w:sz w:val="18"/>
                <w:szCs w:val="18"/>
              </w:rPr>
            </w:pPr>
          </w:p>
        </w:tc>
      </w:tr>
      <w:tr w:rsidR="00A67F21" w:rsidRPr="00B12FE0" w14:paraId="55903690" w14:textId="77777777">
        <w:trPr>
          <w:gridAfter w:val="1"/>
          <w:trHeight w:val="222"/>
          <w:jc w:val="center"/>
        </w:trPr>
        <w:tc>
          <w:tcPr>
            <w:tcW w:w="569" w:type="dxa"/>
            <w:vMerge/>
            <w:tcBorders>
              <w:left w:val="single" w:sz="4" w:space="0" w:color="auto"/>
              <w:right w:val="single" w:sz="4" w:space="0" w:color="auto"/>
            </w:tcBorders>
            <w:vAlign w:val="center"/>
          </w:tcPr>
          <w:p w14:paraId="15A86901" w14:textId="77777777" w:rsidR="00A67F21" w:rsidRPr="00B12FE0" w:rsidRDefault="00A67F21">
            <w:pPr>
              <w:widowControl/>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78D1061B"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05E4233D"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1C287E27"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587C7156"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3914E1E9" w14:textId="77777777" w:rsidR="00A67F21" w:rsidRPr="00B12FE0" w:rsidRDefault="00000000">
            <w:pPr>
              <w:topLinePunct/>
              <w:autoSpaceDE w:val="0"/>
              <w:jc w:val="center"/>
              <w:rPr>
                <w:color w:val="000000" w:themeColor="text1"/>
                <w:sz w:val="18"/>
                <w:szCs w:val="18"/>
              </w:rPr>
            </w:pPr>
            <w:r w:rsidRPr="00B12FE0">
              <w:rPr>
                <w:color w:val="000000" w:themeColor="text1"/>
                <w:sz w:val="18"/>
                <w:szCs w:val="18"/>
              </w:rPr>
              <w:t>10mmPb</w:t>
            </w:r>
            <w:r w:rsidRPr="00B12FE0">
              <w:rPr>
                <w:rFonts w:hint="eastAsia"/>
                <w:color w:val="000000" w:themeColor="text1"/>
                <w:sz w:val="18"/>
                <w:szCs w:val="18"/>
              </w:rPr>
              <w:t>衰变</w:t>
            </w:r>
            <w:r w:rsidRPr="00B12FE0">
              <w:rPr>
                <w:color w:val="000000" w:themeColor="text1"/>
                <w:sz w:val="18"/>
                <w:szCs w:val="18"/>
              </w:rPr>
              <w:t>箱</w:t>
            </w:r>
            <w:r w:rsidRPr="00B12FE0">
              <w:rPr>
                <w:color w:val="000000" w:themeColor="text1"/>
                <w:sz w:val="18"/>
                <w:szCs w:val="18"/>
              </w:rPr>
              <w:t>+</w:t>
            </w:r>
            <w:r w:rsidRPr="00B12FE0">
              <w:rPr>
                <w:color w:val="000000" w:themeColor="text1"/>
                <w:sz w:val="18"/>
                <w:szCs w:val="18"/>
              </w:rPr>
              <w:t>内衬</w:t>
            </w:r>
            <w:r w:rsidRPr="00B12FE0">
              <w:rPr>
                <w:color w:val="000000" w:themeColor="text1"/>
                <w:sz w:val="18"/>
                <w:szCs w:val="18"/>
              </w:rPr>
              <w:t>6mmPb</w:t>
            </w:r>
            <w:proofErr w:type="gramStart"/>
            <w:r w:rsidRPr="00B12FE0">
              <w:rPr>
                <w:color w:val="000000" w:themeColor="text1"/>
                <w:sz w:val="18"/>
                <w:szCs w:val="18"/>
              </w:rPr>
              <w:t>铅门</w:t>
            </w:r>
            <w:proofErr w:type="gramEnd"/>
          </w:p>
        </w:tc>
        <w:tc>
          <w:tcPr>
            <w:tcW w:w="1115" w:type="dxa"/>
            <w:tcBorders>
              <w:left w:val="single" w:sz="4" w:space="0" w:color="auto"/>
              <w:bottom w:val="single" w:sz="4" w:space="0" w:color="auto"/>
              <w:right w:val="single" w:sz="4" w:space="0" w:color="auto"/>
            </w:tcBorders>
            <w:vAlign w:val="center"/>
          </w:tcPr>
          <w:p w14:paraId="712B702C"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9.66E-03</w:t>
            </w:r>
          </w:p>
        </w:tc>
        <w:tc>
          <w:tcPr>
            <w:tcW w:w="1115" w:type="dxa"/>
            <w:gridSpan w:val="2"/>
            <w:vMerge/>
            <w:tcBorders>
              <w:left w:val="single" w:sz="4" w:space="0" w:color="auto"/>
              <w:bottom w:val="single" w:sz="4" w:space="0" w:color="auto"/>
              <w:right w:val="single" w:sz="4" w:space="0" w:color="auto"/>
            </w:tcBorders>
            <w:vAlign w:val="center"/>
          </w:tcPr>
          <w:p w14:paraId="2A7B4198" w14:textId="77777777" w:rsidR="00A67F21" w:rsidRPr="00B12FE0" w:rsidRDefault="00A67F21">
            <w:pPr>
              <w:jc w:val="center"/>
              <w:rPr>
                <w:color w:val="000000" w:themeColor="text1"/>
                <w:sz w:val="18"/>
                <w:szCs w:val="18"/>
              </w:rPr>
            </w:pPr>
          </w:p>
        </w:tc>
      </w:tr>
      <w:tr w:rsidR="00A67F21" w:rsidRPr="00B12FE0" w14:paraId="256EAA89" w14:textId="77777777">
        <w:trPr>
          <w:gridAfter w:val="1"/>
          <w:trHeight w:val="222"/>
          <w:jc w:val="center"/>
        </w:trPr>
        <w:tc>
          <w:tcPr>
            <w:tcW w:w="569" w:type="dxa"/>
            <w:vMerge w:val="restart"/>
            <w:tcBorders>
              <w:left w:val="single" w:sz="4" w:space="0" w:color="auto"/>
              <w:right w:val="single" w:sz="4" w:space="0" w:color="auto"/>
            </w:tcBorders>
            <w:vAlign w:val="center"/>
          </w:tcPr>
          <w:p w14:paraId="188A240E" w14:textId="77777777" w:rsidR="00A67F21" w:rsidRPr="00B12FE0" w:rsidRDefault="00000000">
            <w:pPr>
              <w:widowControl/>
              <w:adjustRightInd w:val="0"/>
              <w:snapToGrid w:val="0"/>
              <w:jc w:val="center"/>
              <w:rPr>
                <w:color w:val="000000" w:themeColor="text1"/>
                <w:sz w:val="18"/>
                <w:szCs w:val="18"/>
              </w:rPr>
            </w:pPr>
            <w:r w:rsidRPr="00B12FE0">
              <w:rPr>
                <w:rFonts w:hint="eastAsia"/>
                <w:color w:val="000000" w:themeColor="text1"/>
                <w:sz w:val="18"/>
                <w:szCs w:val="18"/>
              </w:rPr>
              <w:t>2-54</w:t>
            </w:r>
          </w:p>
        </w:tc>
        <w:tc>
          <w:tcPr>
            <w:tcW w:w="1118" w:type="dxa"/>
            <w:vMerge/>
            <w:tcBorders>
              <w:left w:val="single" w:sz="4" w:space="0" w:color="auto"/>
              <w:right w:val="single" w:sz="4" w:space="0" w:color="auto"/>
            </w:tcBorders>
            <w:vAlign w:val="center"/>
          </w:tcPr>
          <w:p w14:paraId="0695FC97" w14:textId="77777777" w:rsidR="00A67F21" w:rsidRPr="00B12FE0" w:rsidRDefault="00A67F21">
            <w:pPr>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4307D59E" w14:textId="77777777" w:rsidR="00A67F21" w:rsidRPr="00B12FE0" w:rsidRDefault="00000000">
            <w:pPr>
              <w:widowControl/>
              <w:adjustRightInd w:val="0"/>
              <w:snapToGrid w:val="0"/>
              <w:jc w:val="center"/>
              <w:rPr>
                <w:color w:val="000000" w:themeColor="text1"/>
                <w:sz w:val="18"/>
                <w:szCs w:val="18"/>
              </w:rPr>
            </w:pPr>
            <w:r w:rsidRPr="00B12FE0">
              <w:rPr>
                <w:color w:val="000000" w:themeColor="text1"/>
                <w:sz w:val="18"/>
                <w:szCs w:val="18"/>
              </w:rPr>
              <w:t>上方</w:t>
            </w:r>
            <w:r w:rsidRPr="00B12FE0">
              <w:rPr>
                <w:color w:val="000000" w:themeColor="text1"/>
                <w:sz w:val="18"/>
                <w:szCs w:val="18"/>
              </w:rPr>
              <w:t>30cm</w:t>
            </w:r>
            <w:r w:rsidRPr="00B12FE0">
              <w:rPr>
                <w:color w:val="000000" w:themeColor="text1"/>
                <w:sz w:val="18"/>
                <w:szCs w:val="18"/>
              </w:rPr>
              <w:t>处</w:t>
            </w:r>
          </w:p>
        </w:tc>
        <w:tc>
          <w:tcPr>
            <w:tcW w:w="912" w:type="dxa"/>
            <w:vMerge w:val="restart"/>
            <w:tcBorders>
              <w:left w:val="single" w:sz="4" w:space="0" w:color="auto"/>
              <w:right w:val="single" w:sz="4" w:space="0" w:color="auto"/>
            </w:tcBorders>
            <w:vAlign w:val="center"/>
          </w:tcPr>
          <w:p w14:paraId="1E9AE10C"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4.5</w:t>
            </w:r>
          </w:p>
        </w:tc>
        <w:tc>
          <w:tcPr>
            <w:tcW w:w="1624" w:type="dxa"/>
            <w:tcBorders>
              <w:top w:val="single" w:sz="4" w:space="0" w:color="auto"/>
              <w:left w:val="single" w:sz="4" w:space="0" w:color="auto"/>
              <w:bottom w:val="single" w:sz="4" w:space="0" w:color="auto"/>
              <w:right w:val="single" w:sz="4" w:space="0" w:color="auto"/>
            </w:tcBorders>
            <w:vAlign w:val="center"/>
          </w:tcPr>
          <w:p w14:paraId="36B84A4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57053843"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10mmPb</w:t>
            </w:r>
            <w:r w:rsidRPr="00B12FE0">
              <w:rPr>
                <w:rFonts w:ascii="宋体" w:hAnsi="宋体"/>
                <w:color w:val="000000" w:themeColor="text1"/>
                <w:kern w:val="0"/>
                <w:sz w:val="18"/>
                <w:szCs w:val="18"/>
              </w:rPr>
              <w:t>衰变箱</w:t>
            </w:r>
            <w:r w:rsidRPr="00B12FE0">
              <w:rPr>
                <w:color w:val="000000" w:themeColor="text1"/>
                <w:kern w:val="0"/>
                <w:sz w:val="18"/>
                <w:szCs w:val="18"/>
              </w:rPr>
              <w:t>+</w:t>
            </w:r>
            <w:r w:rsidRPr="00B12FE0">
              <w:rPr>
                <w:rFonts w:hint="eastAsia"/>
                <w:color w:val="000000" w:themeColor="text1"/>
                <w:kern w:val="0"/>
                <w:sz w:val="18"/>
                <w:szCs w:val="18"/>
              </w:rPr>
              <w:t>25</w:t>
            </w:r>
            <w:r w:rsidRPr="00B12FE0">
              <w:rPr>
                <w:color w:val="000000" w:themeColor="text1"/>
                <w:kern w:val="0"/>
                <w:sz w:val="18"/>
                <w:szCs w:val="18"/>
              </w:rPr>
              <w:t>0mm</w:t>
            </w:r>
            <w:r w:rsidRPr="00B12FE0">
              <w:rPr>
                <w:rFonts w:ascii="宋体" w:hAnsi="宋体" w:hint="eastAsia"/>
                <w:color w:val="000000" w:themeColor="text1"/>
                <w:kern w:val="0"/>
                <w:sz w:val="18"/>
                <w:szCs w:val="18"/>
              </w:rPr>
              <w:t>混凝土</w:t>
            </w:r>
          </w:p>
        </w:tc>
        <w:tc>
          <w:tcPr>
            <w:tcW w:w="1115" w:type="dxa"/>
            <w:tcBorders>
              <w:left w:val="single" w:sz="4" w:space="0" w:color="auto"/>
              <w:bottom w:val="single" w:sz="4" w:space="0" w:color="auto"/>
              <w:right w:val="single" w:sz="4" w:space="0" w:color="auto"/>
            </w:tcBorders>
            <w:vAlign w:val="center"/>
          </w:tcPr>
          <w:p w14:paraId="7E4C5953"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6.38E-03</w:t>
            </w:r>
          </w:p>
        </w:tc>
        <w:tc>
          <w:tcPr>
            <w:tcW w:w="1115" w:type="dxa"/>
            <w:gridSpan w:val="2"/>
            <w:vMerge w:val="restart"/>
            <w:tcBorders>
              <w:left w:val="single" w:sz="4" w:space="0" w:color="auto"/>
              <w:right w:val="single" w:sz="4" w:space="0" w:color="auto"/>
            </w:tcBorders>
            <w:vAlign w:val="center"/>
          </w:tcPr>
          <w:p w14:paraId="520BB013" w14:textId="77777777" w:rsidR="00A67F21" w:rsidRPr="00B12FE0" w:rsidRDefault="00000000">
            <w:pPr>
              <w:pStyle w:val="21"/>
              <w:adjustRightInd w:val="0"/>
              <w:snapToGrid w:val="0"/>
              <w:spacing w:after="0"/>
              <w:ind w:leftChars="0" w:left="0" w:firstLineChars="0" w:firstLine="0"/>
              <w:jc w:val="center"/>
              <w:rPr>
                <w:color w:val="000000" w:themeColor="text1"/>
              </w:rPr>
            </w:pPr>
            <w:r w:rsidRPr="00B12FE0">
              <w:rPr>
                <w:color w:val="000000" w:themeColor="text1"/>
                <w:sz w:val="18"/>
                <w:szCs w:val="18"/>
              </w:rPr>
              <w:t>6.82E-03</w:t>
            </w:r>
          </w:p>
        </w:tc>
      </w:tr>
      <w:tr w:rsidR="00A67F21" w:rsidRPr="00B12FE0" w14:paraId="18524D4D" w14:textId="77777777">
        <w:trPr>
          <w:gridAfter w:val="1"/>
          <w:trHeight w:val="222"/>
          <w:jc w:val="center"/>
        </w:trPr>
        <w:tc>
          <w:tcPr>
            <w:tcW w:w="569" w:type="dxa"/>
            <w:vMerge/>
            <w:tcBorders>
              <w:left w:val="single" w:sz="4" w:space="0" w:color="auto"/>
              <w:right w:val="single" w:sz="4" w:space="0" w:color="auto"/>
            </w:tcBorders>
            <w:vAlign w:val="center"/>
          </w:tcPr>
          <w:p w14:paraId="2191173F" w14:textId="77777777" w:rsidR="00A67F21" w:rsidRPr="00B12FE0" w:rsidRDefault="00A67F21">
            <w:pPr>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56359EAE"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62156E66"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6B391C30"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08FB552D"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2CFF5D04" w14:textId="77777777" w:rsidR="00A67F21" w:rsidRPr="00B12FE0" w:rsidRDefault="00A67F21">
            <w:pPr>
              <w:topLinePunct/>
              <w:autoSpaceDE w:val="0"/>
              <w:jc w:val="center"/>
              <w:rPr>
                <w:color w:val="000000" w:themeColor="text1"/>
                <w:sz w:val="18"/>
                <w:szCs w:val="18"/>
              </w:rPr>
            </w:pPr>
          </w:p>
        </w:tc>
        <w:tc>
          <w:tcPr>
            <w:tcW w:w="1115" w:type="dxa"/>
            <w:tcBorders>
              <w:left w:val="single" w:sz="4" w:space="0" w:color="auto"/>
              <w:bottom w:val="single" w:sz="4" w:space="0" w:color="auto"/>
              <w:right w:val="single" w:sz="4" w:space="0" w:color="auto"/>
            </w:tcBorders>
            <w:vAlign w:val="center"/>
          </w:tcPr>
          <w:p w14:paraId="5BA028BC"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1.52E-13</w:t>
            </w:r>
          </w:p>
        </w:tc>
        <w:tc>
          <w:tcPr>
            <w:tcW w:w="1115" w:type="dxa"/>
            <w:gridSpan w:val="2"/>
            <w:vMerge/>
            <w:tcBorders>
              <w:left w:val="single" w:sz="4" w:space="0" w:color="auto"/>
              <w:right w:val="single" w:sz="4" w:space="0" w:color="auto"/>
            </w:tcBorders>
            <w:vAlign w:val="center"/>
          </w:tcPr>
          <w:p w14:paraId="2A479CAC" w14:textId="77777777" w:rsidR="00A67F21" w:rsidRPr="00B12FE0" w:rsidRDefault="00A67F21">
            <w:pPr>
              <w:jc w:val="center"/>
              <w:rPr>
                <w:color w:val="000000" w:themeColor="text1"/>
                <w:sz w:val="18"/>
                <w:szCs w:val="18"/>
              </w:rPr>
            </w:pPr>
          </w:p>
        </w:tc>
      </w:tr>
      <w:tr w:rsidR="00A67F21" w:rsidRPr="00B12FE0" w14:paraId="1B28F70A" w14:textId="77777777">
        <w:trPr>
          <w:gridAfter w:val="1"/>
          <w:trHeight w:val="222"/>
          <w:jc w:val="center"/>
        </w:trPr>
        <w:tc>
          <w:tcPr>
            <w:tcW w:w="569" w:type="dxa"/>
            <w:vMerge/>
            <w:tcBorders>
              <w:left w:val="single" w:sz="4" w:space="0" w:color="auto"/>
              <w:right w:val="single" w:sz="4" w:space="0" w:color="auto"/>
            </w:tcBorders>
            <w:vAlign w:val="center"/>
          </w:tcPr>
          <w:p w14:paraId="286C3C25" w14:textId="77777777" w:rsidR="00A67F21" w:rsidRPr="00B12FE0" w:rsidRDefault="00A67F21">
            <w:pPr>
              <w:widowControl/>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5B4C219E"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12B2A3DC"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6A44F341"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7234F7A0"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750CAE5B" w14:textId="77777777" w:rsidR="00A67F21" w:rsidRPr="00B12FE0" w:rsidRDefault="00000000">
            <w:pPr>
              <w:topLinePunct/>
              <w:autoSpaceDE w:val="0"/>
              <w:jc w:val="center"/>
              <w:rPr>
                <w:color w:val="000000" w:themeColor="text1"/>
                <w:sz w:val="18"/>
                <w:szCs w:val="18"/>
              </w:rPr>
            </w:pPr>
            <w:r w:rsidRPr="00B12FE0">
              <w:rPr>
                <w:color w:val="000000" w:themeColor="text1"/>
                <w:kern w:val="0"/>
                <w:sz w:val="18"/>
                <w:szCs w:val="18"/>
              </w:rPr>
              <w:t>10mmPb</w:t>
            </w:r>
            <w:r w:rsidRPr="00B12FE0">
              <w:rPr>
                <w:rFonts w:ascii="宋体" w:hAnsi="宋体"/>
                <w:color w:val="000000" w:themeColor="text1"/>
                <w:kern w:val="0"/>
                <w:sz w:val="18"/>
                <w:szCs w:val="18"/>
              </w:rPr>
              <w:t>衰变箱</w:t>
            </w:r>
            <w:r w:rsidRPr="00B12FE0">
              <w:rPr>
                <w:color w:val="000000" w:themeColor="text1"/>
                <w:kern w:val="0"/>
                <w:sz w:val="18"/>
                <w:szCs w:val="18"/>
              </w:rPr>
              <w:t>+</w:t>
            </w:r>
            <w:r w:rsidRPr="00B12FE0">
              <w:rPr>
                <w:rFonts w:hint="eastAsia"/>
                <w:color w:val="000000" w:themeColor="text1"/>
                <w:kern w:val="0"/>
                <w:sz w:val="18"/>
                <w:szCs w:val="18"/>
              </w:rPr>
              <w:t>250</w:t>
            </w:r>
            <w:r w:rsidRPr="00B12FE0">
              <w:rPr>
                <w:color w:val="000000" w:themeColor="text1"/>
                <w:kern w:val="0"/>
                <w:sz w:val="18"/>
                <w:szCs w:val="18"/>
              </w:rPr>
              <w:t>mm</w:t>
            </w:r>
            <w:r w:rsidRPr="00B12FE0">
              <w:rPr>
                <w:rFonts w:ascii="宋体" w:hAnsi="宋体" w:hint="eastAsia"/>
                <w:color w:val="000000" w:themeColor="text1"/>
                <w:kern w:val="0"/>
                <w:sz w:val="18"/>
                <w:szCs w:val="18"/>
              </w:rPr>
              <w:t>混凝土</w:t>
            </w:r>
          </w:p>
        </w:tc>
        <w:tc>
          <w:tcPr>
            <w:tcW w:w="1115" w:type="dxa"/>
            <w:tcBorders>
              <w:left w:val="single" w:sz="4" w:space="0" w:color="auto"/>
              <w:bottom w:val="single" w:sz="4" w:space="0" w:color="auto"/>
              <w:right w:val="single" w:sz="4" w:space="0" w:color="auto"/>
            </w:tcBorders>
            <w:vAlign w:val="center"/>
          </w:tcPr>
          <w:p w14:paraId="0289D55E"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4.44E-04</w:t>
            </w:r>
          </w:p>
        </w:tc>
        <w:tc>
          <w:tcPr>
            <w:tcW w:w="1115" w:type="dxa"/>
            <w:gridSpan w:val="2"/>
            <w:vMerge/>
            <w:tcBorders>
              <w:left w:val="single" w:sz="4" w:space="0" w:color="auto"/>
              <w:bottom w:val="single" w:sz="4" w:space="0" w:color="auto"/>
              <w:right w:val="single" w:sz="4" w:space="0" w:color="auto"/>
            </w:tcBorders>
            <w:vAlign w:val="center"/>
          </w:tcPr>
          <w:p w14:paraId="7CCB37CF" w14:textId="77777777" w:rsidR="00A67F21" w:rsidRPr="00B12FE0" w:rsidRDefault="00A67F21">
            <w:pPr>
              <w:jc w:val="center"/>
              <w:rPr>
                <w:color w:val="000000" w:themeColor="text1"/>
                <w:sz w:val="18"/>
                <w:szCs w:val="18"/>
              </w:rPr>
            </w:pPr>
          </w:p>
        </w:tc>
      </w:tr>
      <w:tr w:rsidR="00A67F21" w:rsidRPr="00B12FE0" w14:paraId="5ACBA17A" w14:textId="77777777">
        <w:trPr>
          <w:gridAfter w:val="1"/>
          <w:trHeight w:val="222"/>
          <w:jc w:val="center"/>
        </w:trPr>
        <w:tc>
          <w:tcPr>
            <w:tcW w:w="569" w:type="dxa"/>
            <w:vMerge w:val="restart"/>
            <w:tcBorders>
              <w:left w:val="single" w:sz="4" w:space="0" w:color="auto"/>
              <w:right w:val="single" w:sz="4" w:space="0" w:color="auto"/>
            </w:tcBorders>
            <w:vAlign w:val="center"/>
          </w:tcPr>
          <w:p w14:paraId="0D9A0856"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2-55</w:t>
            </w:r>
          </w:p>
        </w:tc>
        <w:tc>
          <w:tcPr>
            <w:tcW w:w="1118" w:type="dxa"/>
            <w:vMerge/>
            <w:tcBorders>
              <w:left w:val="single" w:sz="4" w:space="0" w:color="auto"/>
              <w:right w:val="single" w:sz="4" w:space="0" w:color="auto"/>
            </w:tcBorders>
            <w:vAlign w:val="center"/>
          </w:tcPr>
          <w:p w14:paraId="693E8C94" w14:textId="77777777" w:rsidR="00A67F21" w:rsidRPr="00B12FE0" w:rsidRDefault="00A67F21">
            <w:pPr>
              <w:jc w:val="left"/>
              <w:rPr>
                <w:color w:val="000000" w:themeColor="text1"/>
                <w:kern w:val="0"/>
                <w:sz w:val="18"/>
                <w:szCs w:val="18"/>
              </w:rPr>
            </w:pPr>
          </w:p>
        </w:tc>
        <w:tc>
          <w:tcPr>
            <w:tcW w:w="861" w:type="dxa"/>
            <w:vMerge w:val="restart"/>
            <w:tcBorders>
              <w:left w:val="single" w:sz="4" w:space="0" w:color="auto"/>
              <w:right w:val="single" w:sz="4" w:space="0" w:color="auto"/>
            </w:tcBorders>
            <w:vAlign w:val="center"/>
          </w:tcPr>
          <w:p w14:paraId="1FA3F298" w14:textId="77777777" w:rsidR="00A67F21" w:rsidRPr="00B12FE0" w:rsidRDefault="00000000">
            <w:pPr>
              <w:adjustRightInd w:val="0"/>
              <w:snapToGrid w:val="0"/>
              <w:jc w:val="center"/>
              <w:rPr>
                <w:color w:val="000000" w:themeColor="text1"/>
                <w:sz w:val="18"/>
                <w:szCs w:val="18"/>
              </w:rPr>
            </w:pPr>
            <w:r w:rsidRPr="00B12FE0">
              <w:rPr>
                <w:rFonts w:hint="eastAsia"/>
                <w:color w:val="000000" w:themeColor="text1"/>
                <w:sz w:val="18"/>
                <w:szCs w:val="18"/>
              </w:rPr>
              <w:t>西侧医护走廊</w:t>
            </w:r>
          </w:p>
        </w:tc>
        <w:tc>
          <w:tcPr>
            <w:tcW w:w="912" w:type="dxa"/>
            <w:vMerge w:val="restart"/>
            <w:tcBorders>
              <w:left w:val="single" w:sz="4" w:space="0" w:color="auto"/>
              <w:right w:val="single" w:sz="4" w:space="0" w:color="auto"/>
            </w:tcBorders>
            <w:vAlign w:val="center"/>
          </w:tcPr>
          <w:p w14:paraId="6F9E691D" w14:textId="77777777" w:rsidR="00A67F21" w:rsidRPr="00B12FE0" w:rsidRDefault="00000000">
            <w:pPr>
              <w:widowControl/>
              <w:adjustRightInd w:val="0"/>
              <w:snapToGrid w:val="0"/>
              <w:jc w:val="center"/>
              <w:rPr>
                <w:color w:val="000000" w:themeColor="text1"/>
                <w:kern w:val="0"/>
                <w:sz w:val="18"/>
                <w:szCs w:val="18"/>
              </w:rPr>
            </w:pPr>
            <w:r w:rsidRPr="00B12FE0">
              <w:rPr>
                <w:rFonts w:hint="eastAsia"/>
                <w:color w:val="000000" w:themeColor="text1"/>
                <w:kern w:val="0"/>
                <w:sz w:val="18"/>
                <w:szCs w:val="18"/>
              </w:rPr>
              <w:t>4.6</w:t>
            </w:r>
          </w:p>
        </w:tc>
        <w:tc>
          <w:tcPr>
            <w:tcW w:w="1624" w:type="dxa"/>
            <w:tcBorders>
              <w:top w:val="single" w:sz="4" w:space="0" w:color="auto"/>
              <w:left w:val="single" w:sz="4" w:space="0" w:color="auto"/>
              <w:bottom w:val="single" w:sz="4" w:space="0" w:color="auto"/>
              <w:right w:val="single" w:sz="4" w:space="0" w:color="auto"/>
            </w:tcBorders>
            <w:vAlign w:val="center"/>
          </w:tcPr>
          <w:p w14:paraId="2B336AB5"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18</w:t>
            </w:r>
            <w:r w:rsidRPr="00B12FE0">
              <w:rPr>
                <w:color w:val="000000" w:themeColor="text1"/>
                <w:sz w:val="18"/>
                <w:szCs w:val="18"/>
              </w:rPr>
              <w:t>F</w:t>
            </w:r>
            <w:r w:rsidRPr="00B12FE0">
              <w:rPr>
                <w:rFonts w:hint="eastAsia"/>
                <w:color w:val="000000" w:themeColor="text1"/>
                <w:sz w:val="18"/>
                <w:szCs w:val="18"/>
              </w:rPr>
              <w:t>1.48</w:t>
            </w:r>
            <w:r w:rsidRPr="00B12FE0">
              <w:rPr>
                <w:color w:val="000000" w:themeColor="text1"/>
                <w:sz w:val="18"/>
                <w:szCs w:val="18"/>
              </w:rPr>
              <w:t>×10</w:t>
            </w:r>
            <w:r w:rsidRPr="00B12FE0">
              <w:rPr>
                <w:rFonts w:hint="eastAsia"/>
                <w:color w:val="000000" w:themeColor="text1"/>
                <w:sz w:val="18"/>
                <w:szCs w:val="18"/>
                <w:vertAlign w:val="superscript"/>
              </w:rPr>
              <w:t>8</w:t>
            </w:r>
          </w:p>
        </w:tc>
        <w:tc>
          <w:tcPr>
            <w:tcW w:w="1481" w:type="dxa"/>
            <w:vMerge w:val="restart"/>
            <w:tcBorders>
              <w:left w:val="single" w:sz="4" w:space="0" w:color="auto"/>
              <w:right w:val="single" w:sz="4" w:space="0" w:color="auto"/>
            </w:tcBorders>
            <w:vAlign w:val="center"/>
          </w:tcPr>
          <w:p w14:paraId="6E916E41" w14:textId="77777777" w:rsidR="00A67F21" w:rsidRPr="00B12FE0" w:rsidRDefault="00000000">
            <w:pPr>
              <w:topLinePunct/>
              <w:autoSpaceDE w:val="0"/>
              <w:jc w:val="center"/>
              <w:rPr>
                <w:color w:val="000000" w:themeColor="text1"/>
                <w:kern w:val="0"/>
                <w:sz w:val="18"/>
                <w:szCs w:val="18"/>
              </w:rPr>
            </w:pPr>
            <w:r w:rsidRPr="00B12FE0">
              <w:rPr>
                <w:color w:val="000000" w:themeColor="text1"/>
                <w:sz w:val="18"/>
                <w:szCs w:val="18"/>
              </w:rPr>
              <w:t>10mmPb</w:t>
            </w:r>
            <w:r w:rsidRPr="00B12FE0">
              <w:rPr>
                <w:color w:val="000000" w:themeColor="text1"/>
                <w:sz w:val="18"/>
                <w:szCs w:val="18"/>
              </w:rPr>
              <w:t>衰变箱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000000"/>
              <w:left w:val="single" w:sz="4" w:space="0" w:color="000000"/>
              <w:bottom w:val="single" w:sz="4" w:space="0" w:color="000000"/>
              <w:right w:val="single" w:sz="4" w:space="0" w:color="000000"/>
            </w:tcBorders>
            <w:vAlign w:val="center"/>
          </w:tcPr>
          <w:p w14:paraId="5C3F9EE9"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rFonts w:eastAsia="等线"/>
                <w:color w:val="000000" w:themeColor="text1"/>
                <w:sz w:val="18"/>
                <w:szCs w:val="18"/>
              </w:rPr>
              <w:t>2.40E-03</w:t>
            </w:r>
          </w:p>
        </w:tc>
        <w:tc>
          <w:tcPr>
            <w:tcW w:w="1115" w:type="dxa"/>
            <w:gridSpan w:val="2"/>
            <w:vMerge w:val="restart"/>
            <w:tcBorders>
              <w:left w:val="single" w:sz="4" w:space="0" w:color="auto"/>
              <w:right w:val="single" w:sz="4" w:space="0" w:color="auto"/>
            </w:tcBorders>
            <w:vAlign w:val="center"/>
          </w:tcPr>
          <w:p w14:paraId="0FC02EAF" w14:textId="77777777" w:rsidR="00A67F21" w:rsidRPr="00B12FE0" w:rsidRDefault="00000000">
            <w:pPr>
              <w:jc w:val="center"/>
              <w:rPr>
                <w:color w:val="000000" w:themeColor="text1"/>
                <w:sz w:val="18"/>
                <w:szCs w:val="18"/>
              </w:rPr>
            </w:pPr>
            <w:r w:rsidRPr="00B12FE0">
              <w:rPr>
                <w:color w:val="000000" w:themeColor="text1"/>
                <w:sz w:val="18"/>
                <w:szCs w:val="18"/>
              </w:rPr>
              <w:t>2.53E-03</w:t>
            </w:r>
          </w:p>
        </w:tc>
      </w:tr>
      <w:tr w:rsidR="00A67F21" w:rsidRPr="00B12FE0" w14:paraId="38E872B9" w14:textId="77777777">
        <w:trPr>
          <w:gridAfter w:val="1"/>
          <w:trHeight w:val="222"/>
          <w:jc w:val="center"/>
        </w:trPr>
        <w:tc>
          <w:tcPr>
            <w:tcW w:w="569" w:type="dxa"/>
            <w:vMerge/>
            <w:tcBorders>
              <w:left w:val="single" w:sz="4" w:space="0" w:color="auto"/>
              <w:right w:val="single" w:sz="4" w:space="0" w:color="auto"/>
            </w:tcBorders>
            <w:vAlign w:val="center"/>
          </w:tcPr>
          <w:p w14:paraId="50FE9E1C" w14:textId="77777777" w:rsidR="00A67F21" w:rsidRPr="00B12FE0" w:rsidRDefault="00A67F21">
            <w:pPr>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53047B60" w14:textId="77777777" w:rsidR="00A67F21" w:rsidRPr="00B12FE0" w:rsidRDefault="00A67F21">
            <w:pPr>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6DFDFE98" w14:textId="77777777" w:rsidR="00A67F21" w:rsidRPr="00B12FE0" w:rsidRDefault="00A67F21">
            <w:pPr>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441CFC90"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2711F728"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99m</w:t>
            </w:r>
            <w:r w:rsidRPr="00B12FE0">
              <w:rPr>
                <w:color w:val="000000" w:themeColor="text1"/>
                <w:sz w:val="18"/>
                <w:szCs w:val="18"/>
              </w:rPr>
              <w:t>Tc</w:t>
            </w:r>
            <w:r w:rsidRPr="00B12FE0">
              <w:rPr>
                <w:rFonts w:hint="eastAsia"/>
                <w:color w:val="000000" w:themeColor="text1"/>
                <w:sz w:val="18"/>
                <w:szCs w:val="18"/>
              </w:rPr>
              <w:t>2.78</w:t>
            </w:r>
            <w:r w:rsidRPr="00B12FE0">
              <w:rPr>
                <w:color w:val="000000" w:themeColor="text1"/>
                <w:sz w:val="18"/>
                <w:szCs w:val="18"/>
              </w:rPr>
              <w:t>×10</w:t>
            </w:r>
            <w:r w:rsidRPr="00B12FE0">
              <w:rPr>
                <w:color w:val="000000" w:themeColor="text1"/>
                <w:sz w:val="18"/>
                <w:szCs w:val="18"/>
                <w:vertAlign w:val="superscript"/>
              </w:rPr>
              <w:t>8</w:t>
            </w:r>
          </w:p>
        </w:tc>
        <w:tc>
          <w:tcPr>
            <w:tcW w:w="1481" w:type="dxa"/>
            <w:vMerge/>
            <w:tcBorders>
              <w:left w:val="single" w:sz="4" w:space="0" w:color="auto"/>
              <w:right w:val="single" w:sz="4" w:space="0" w:color="auto"/>
            </w:tcBorders>
            <w:vAlign w:val="center"/>
          </w:tcPr>
          <w:p w14:paraId="77438103" w14:textId="77777777" w:rsidR="00A67F21" w:rsidRPr="00B12FE0" w:rsidRDefault="00A67F21">
            <w:pPr>
              <w:topLinePunct/>
              <w:autoSpaceDE w:val="0"/>
              <w:jc w:val="center"/>
              <w:rPr>
                <w:color w:val="000000" w:themeColor="text1"/>
                <w:kern w:val="0"/>
                <w:sz w:val="18"/>
                <w:szCs w:val="18"/>
              </w:rPr>
            </w:pPr>
          </w:p>
        </w:tc>
        <w:tc>
          <w:tcPr>
            <w:tcW w:w="1115" w:type="dxa"/>
            <w:tcBorders>
              <w:top w:val="single" w:sz="4" w:space="0" w:color="000000"/>
              <w:left w:val="single" w:sz="4" w:space="0" w:color="000000"/>
              <w:bottom w:val="single" w:sz="4" w:space="0" w:color="000000"/>
              <w:right w:val="single" w:sz="4" w:space="0" w:color="000000"/>
            </w:tcBorders>
            <w:vAlign w:val="center"/>
          </w:tcPr>
          <w:p w14:paraId="73B934DE"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rFonts w:eastAsia="等线"/>
                <w:color w:val="000000" w:themeColor="text1"/>
                <w:sz w:val="18"/>
                <w:szCs w:val="18"/>
              </w:rPr>
              <w:t>2.72E-14</w:t>
            </w:r>
          </w:p>
        </w:tc>
        <w:tc>
          <w:tcPr>
            <w:tcW w:w="1115" w:type="dxa"/>
            <w:gridSpan w:val="2"/>
            <w:vMerge/>
            <w:tcBorders>
              <w:left w:val="single" w:sz="4" w:space="0" w:color="auto"/>
              <w:right w:val="single" w:sz="4" w:space="0" w:color="auto"/>
            </w:tcBorders>
            <w:vAlign w:val="center"/>
          </w:tcPr>
          <w:p w14:paraId="232E0E54" w14:textId="77777777" w:rsidR="00A67F21" w:rsidRPr="00B12FE0" w:rsidRDefault="00A67F21">
            <w:pPr>
              <w:jc w:val="center"/>
              <w:rPr>
                <w:color w:val="000000" w:themeColor="text1"/>
                <w:sz w:val="18"/>
                <w:szCs w:val="18"/>
              </w:rPr>
            </w:pPr>
          </w:p>
        </w:tc>
      </w:tr>
      <w:tr w:rsidR="00A67F21" w:rsidRPr="00B12FE0" w14:paraId="21A3C98F" w14:textId="77777777">
        <w:trPr>
          <w:gridAfter w:val="1"/>
          <w:trHeight w:val="222"/>
          <w:jc w:val="center"/>
        </w:trPr>
        <w:tc>
          <w:tcPr>
            <w:tcW w:w="569" w:type="dxa"/>
            <w:vMerge/>
            <w:tcBorders>
              <w:left w:val="single" w:sz="4" w:space="0" w:color="auto"/>
              <w:right w:val="single" w:sz="4" w:space="0" w:color="auto"/>
            </w:tcBorders>
            <w:vAlign w:val="center"/>
          </w:tcPr>
          <w:p w14:paraId="4886049D" w14:textId="77777777" w:rsidR="00A67F21" w:rsidRPr="00B12FE0" w:rsidRDefault="00A67F21">
            <w:pPr>
              <w:widowControl/>
              <w:adjustRightInd w:val="0"/>
              <w:snapToGrid w:val="0"/>
              <w:jc w:val="center"/>
              <w:rPr>
                <w:color w:val="000000" w:themeColor="text1"/>
                <w:sz w:val="18"/>
                <w:szCs w:val="18"/>
              </w:rPr>
            </w:pPr>
          </w:p>
        </w:tc>
        <w:tc>
          <w:tcPr>
            <w:tcW w:w="1118" w:type="dxa"/>
            <w:vMerge/>
            <w:tcBorders>
              <w:left w:val="single" w:sz="4" w:space="0" w:color="auto"/>
              <w:right w:val="single" w:sz="4" w:space="0" w:color="auto"/>
            </w:tcBorders>
            <w:vAlign w:val="center"/>
          </w:tcPr>
          <w:p w14:paraId="586BD9F8" w14:textId="77777777" w:rsidR="00A67F21" w:rsidRPr="00B12FE0" w:rsidRDefault="00A67F21">
            <w:pPr>
              <w:widowControl/>
              <w:jc w:val="left"/>
              <w:rPr>
                <w:color w:val="000000" w:themeColor="text1"/>
                <w:kern w:val="0"/>
                <w:sz w:val="18"/>
                <w:szCs w:val="18"/>
              </w:rPr>
            </w:pPr>
          </w:p>
        </w:tc>
        <w:tc>
          <w:tcPr>
            <w:tcW w:w="861" w:type="dxa"/>
            <w:vMerge/>
            <w:tcBorders>
              <w:left w:val="single" w:sz="4" w:space="0" w:color="auto"/>
              <w:right w:val="single" w:sz="4" w:space="0" w:color="auto"/>
            </w:tcBorders>
            <w:vAlign w:val="center"/>
          </w:tcPr>
          <w:p w14:paraId="3C95DE41" w14:textId="77777777" w:rsidR="00A67F21" w:rsidRPr="00B12FE0" w:rsidRDefault="00A67F21">
            <w:pPr>
              <w:widowControl/>
              <w:adjustRightInd w:val="0"/>
              <w:snapToGrid w:val="0"/>
              <w:jc w:val="center"/>
              <w:rPr>
                <w:color w:val="000000" w:themeColor="text1"/>
                <w:sz w:val="18"/>
                <w:szCs w:val="18"/>
              </w:rPr>
            </w:pPr>
          </w:p>
        </w:tc>
        <w:tc>
          <w:tcPr>
            <w:tcW w:w="912" w:type="dxa"/>
            <w:vMerge/>
            <w:tcBorders>
              <w:left w:val="single" w:sz="4" w:space="0" w:color="auto"/>
              <w:right w:val="single" w:sz="4" w:space="0" w:color="auto"/>
            </w:tcBorders>
            <w:vAlign w:val="center"/>
          </w:tcPr>
          <w:p w14:paraId="5C7C3150" w14:textId="77777777" w:rsidR="00A67F21" w:rsidRPr="00B12FE0" w:rsidRDefault="00A67F21">
            <w:pPr>
              <w:widowControl/>
              <w:adjustRightInd w:val="0"/>
              <w:snapToGrid w:val="0"/>
              <w:jc w:val="center"/>
              <w:rPr>
                <w:color w:val="000000" w:themeColor="text1"/>
                <w:kern w:val="0"/>
                <w:sz w:val="18"/>
                <w:szCs w:val="18"/>
              </w:rPr>
            </w:pPr>
          </w:p>
        </w:tc>
        <w:tc>
          <w:tcPr>
            <w:tcW w:w="1624" w:type="dxa"/>
            <w:tcBorders>
              <w:top w:val="single" w:sz="4" w:space="0" w:color="auto"/>
              <w:left w:val="single" w:sz="4" w:space="0" w:color="auto"/>
              <w:bottom w:val="single" w:sz="4" w:space="0" w:color="auto"/>
              <w:right w:val="single" w:sz="4" w:space="0" w:color="auto"/>
            </w:tcBorders>
            <w:vAlign w:val="center"/>
          </w:tcPr>
          <w:p w14:paraId="237CB1C4" w14:textId="77777777" w:rsidR="00A67F21" w:rsidRPr="00B12FE0" w:rsidRDefault="00000000">
            <w:pPr>
              <w:topLinePunct/>
              <w:autoSpaceDE w:val="0"/>
              <w:jc w:val="center"/>
              <w:rPr>
                <w:color w:val="000000" w:themeColor="text1"/>
                <w:sz w:val="18"/>
                <w:szCs w:val="18"/>
                <w:vertAlign w:val="superscript"/>
              </w:rPr>
            </w:pPr>
            <w:r w:rsidRPr="00B12FE0">
              <w:rPr>
                <w:color w:val="000000" w:themeColor="text1"/>
                <w:sz w:val="18"/>
                <w:szCs w:val="18"/>
                <w:vertAlign w:val="superscript"/>
              </w:rPr>
              <w:t>131</w:t>
            </w:r>
            <w:r w:rsidRPr="00B12FE0">
              <w:rPr>
                <w:rFonts w:hint="eastAsia"/>
                <w:color w:val="000000" w:themeColor="text1"/>
                <w:sz w:val="18"/>
                <w:szCs w:val="18"/>
              </w:rPr>
              <w:t>I3.7</w:t>
            </w:r>
            <w:r w:rsidRPr="00B12FE0">
              <w:rPr>
                <w:color w:val="000000" w:themeColor="text1"/>
                <w:sz w:val="18"/>
                <w:szCs w:val="18"/>
              </w:rPr>
              <w:t>×10</w:t>
            </w:r>
            <w:r w:rsidRPr="00B12FE0">
              <w:rPr>
                <w:rFonts w:hint="eastAsia"/>
                <w:color w:val="000000" w:themeColor="text1"/>
                <w:sz w:val="18"/>
                <w:szCs w:val="18"/>
                <w:vertAlign w:val="superscript"/>
              </w:rPr>
              <w:t>7</w:t>
            </w:r>
          </w:p>
        </w:tc>
        <w:tc>
          <w:tcPr>
            <w:tcW w:w="1481" w:type="dxa"/>
            <w:tcBorders>
              <w:left w:val="single" w:sz="4" w:space="0" w:color="auto"/>
              <w:right w:val="single" w:sz="4" w:space="0" w:color="auto"/>
            </w:tcBorders>
            <w:vAlign w:val="center"/>
          </w:tcPr>
          <w:p w14:paraId="01BC6EAB" w14:textId="77777777" w:rsidR="00A67F21" w:rsidRPr="00B12FE0" w:rsidRDefault="00000000">
            <w:pPr>
              <w:topLinePunct/>
              <w:autoSpaceDE w:val="0"/>
              <w:jc w:val="center"/>
              <w:rPr>
                <w:color w:val="000000" w:themeColor="text1"/>
                <w:kern w:val="0"/>
                <w:sz w:val="18"/>
                <w:szCs w:val="18"/>
              </w:rPr>
            </w:pPr>
            <w:r w:rsidRPr="00B12FE0">
              <w:rPr>
                <w:color w:val="000000" w:themeColor="text1"/>
                <w:sz w:val="18"/>
                <w:szCs w:val="18"/>
              </w:rPr>
              <w:t>10mmPb</w:t>
            </w:r>
            <w:r w:rsidRPr="00B12FE0">
              <w:rPr>
                <w:rFonts w:hint="eastAsia"/>
                <w:color w:val="000000" w:themeColor="text1"/>
                <w:sz w:val="18"/>
                <w:szCs w:val="18"/>
              </w:rPr>
              <w:t>衰变</w:t>
            </w:r>
            <w:r w:rsidRPr="00B12FE0">
              <w:rPr>
                <w:color w:val="000000" w:themeColor="text1"/>
                <w:sz w:val="18"/>
                <w:szCs w:val="18"/>
              </w:rPr>
              <w:t>箱</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r w:rsidRPr="00B12FE0">
              <w:rPr>
                <w:color w:val="000000" w:themeColor="text1"/>
                <w:sz w:val="18"/>
                <w:szCs w:val="18"/>
              </w:rPr>
              <w:t>+</w:t>
            </w:r>
            <w:r w:rsidRPr="00B12FE0">
              <w:rPr>
                <w:rFonts w:hint="eastAsia"/>
                <w:color w:val="000000" w:themeColor="text1"/>
                <w:sz w:val="18"/>
                <w:szCs w:val="18"/>
              </w:rPr>
              <w:t>24</w:t>
            </w:r>
            <w:r w:rsidRPr="00B12FE0">
              <w:rPr>
                <w:color w:val="000000" w:themeColor="text1"/>
                <w:sz w:val="18"/>
                <w:szCs w:val="18"/>
              </w:rPr>
              <w:t>0mm</w:t>
            </w:r>
            <w:r w:rsidRPr="00B12FE0">
              <w:rPr>
                <w:color w:val="000000" w:themeColor="text1"/>
                <w:sz w:val="18"/>
                <w:szCs w:val="18"/>
              </w:rPr>
              <w:t>实心砖</w:t>
            </w:r>
          </w:p>
        </w:tc>
        <w:tc>
          <w:tcPr>
            <w:tcW w:w="1115" w:type="dxa"/>
            <w:tcBorders>
              <w:top w:val="single" w:sz="4" w:space="0" w:color="000000"/>
              <w:left w:val="single" w:sz="4" w:space="0" w:color="000000"/>
              <w:bottom w:val="single" w:sz="4" w:space="0" w:color="000000"/>
              <w:right w:val="single" w:sz="4" w:space="0" w:color="000000"/>
            </w:tcBorders>
            <w:vAlign w:val="center"/>
          </w:tcPr>
          <w:p w14:paraId="34EE4E05"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rFonts w:eastAsia="等线"/>
                <w:color w:val="000000" w:themeColor="text1"/>
                <w:sz w:val="18"/>
                <w:szCs w:val="18"/>
              </w:rPr>
              <w:t>1.26E-04</w:t>
            </w:r>
          </w:p>
        </w:tc>
        <w:tc>
          <w:tcPr>
            <w:tcW w:w="1115" w:type="dxa"/>
            <w:gridSpan w:val="2"/>
            <w:vMerge/>
            <w:tcBorders>
              <w:left w:val="single" w:sz="4" w:space="0" w:color="auto"/>
              <w:bottom w:val="single" w:sz="4" w:space="0" w:color="auto"/>
              <w:right w:val="single" w:sz="4" w:space="0" w:color="auto"/>
            </w:tcBorders>
            <w:vAlign w:val="center"/>
          </w:tcPr>
          <w:p w14:paraId="3533DCA1" w14:textId="77777777" w:rsidR="00A67F21" w:rsidRPr="00B12FE0" w:rsidRDefault="00A67F21">
            <w:pPr>
              <w:jc w:val="center"/>
              <w:rPr>
                <w:color w:val="000000" w:themeColor="text1"/>
                <w:sz w:val="18"/>
                <w:szCs w:val="18"/>
              </w:rPr>
            </w:pPr>
          </w:p>
        </w:tc>
      </w:tr>
      <w:tr w:rsidR="00A67F21" w:rsidRPr="00B12FE0" w14:paraId="5F160D60" w14:textId="77777777">
        <w:trPr>
          <w:gridAfter w:val="1"/>
          <w:trHeight w:val="340"/>
          <w:jc w:val="center"/>
        </w:trPr>
        <w:tc>
          <w:tcPr>
            <w:tcW w:w="8795" w:type="dxa"/>
            <w:gridSpan w:val="9"/>
            <w:tcBorders>
              <w:left w:val="single" w:sz="4" w:space="0" w:color="auto"/>
              <w:right w:val="single" w:sz="4" w:space="0" w:color="auto"/>
            </w:tcBorders>
            <w:vAlign w:val="center"/>
          </w:tcPr>
          <w:p w14:paraId="237827DA" w14:textId="77777777" w:rsidR="00A67F21" w:rsidRPr="00B12FE0" w:rsidRDefault="00000000">
            <w:pPr>
              <w:rPr>
                <w:rFonts w:ascii="宋体" w:hAnsi="宋体" w:hint="eastAsia"/>
                <w:color w:val="000000" w:themeColor="text1"/>
                <w:sz w:val="18"/>
                <w:szCs w:val="18"/>
              </w:rPr>
            </w:pPr>
            <w:r w:rsidRPr="00B12FE0">
              <w:rPr>
                <w:color w:val="000000" w:themeColor="text1"/>
                <w:sz w:val="18"/>
                <w:szCs w:val="18"/>
              </w:rPr>
              <w:t>注：</w:t>
            </w:r>
            <w:r w:rsidRPr="00B12FE0">
              <w:rPr>
                <w:rFonts w:ascii="宋体" w:hAnsi="宋体"/>
                <w:color w:val="000000" w:themeColor="text1"/>
                <w:sz w:val="18"/>
                <w:szCs w:val="18"/>
              </w:rPr>
              <w:t>①注：</w:t>
            </w:r>
            <w:r w:rsidRPr="00B12FE0">
              <w:rPr>
                <w:rFonts w:ascii="宋体" w:hAnsi="宋体" w:hint="eastAsia"/>
                <w:color w:val="000000" w:themeColor="text1"/>
                <w:sz w:val="18"/>
                <w:szCs w:val="18"/>
              </w:rPr>
              <w:t>固废</w:t>
            </w:r>
            <w:r w:rsidRPr="00B12FE0">
              <w:rPr>
                <w:rFonts w:ascii="宋体" w:hAnsi="宋体"/>
                <w:color w:val="000000" w:themeColor="text1"/>
                <w:sz w:val="18"/>
                <w:szCs w:val="18"/>
              </w:rPr>
              <w:t>间、</w:t>
            </w:r>
            <w:proofErr w:type="gramStart"/>
            <w:r w:rsidRPr="00B12FE0">
              <w:rPr>
                <w:rFonts w:ascii="宋体" w:hAnsi="宋体" w:hint="eastAsia"/>
                <w:color w:val="000000" w:themeColor="text1"/>
                <w:sz w:val="18"/>
                <w:szCs w:val="18"/>
              </w:rPr>
              <w:t>污洗</w:t>
            </w:r>
            <w:proofErr w:type="gramEnd"/>
            <w:r w:rsidRPr="00B12FE0">
              <w:rPr>
                <w:rFonts w:ascii="宋体" w:hAnsi="宋体" w:hint="eastAsia"/>
                <w:color w:val="000000" w:themeColor="text1"/>
                <w:sz w:val="18"/>
                <w:szCs w:val="18"/>
              </w:rPr>
              <w:t>/</w:t>
            </w:r>
            <w:r w:rsidRPr="00B12FE0">
              <w:rPr>
                <w:rFonts w:ascii="宋体" w:hAnsi="宋体"/>
                <w:color w:val="000000" w:themeColor="text1"/>
                <w:sz w:val="18"/>
                <w:szCs w:val="18"/>
              </w:rPr>
              <w:t>污物</w:t>
            </w:r>
            <w:proofErr w:type="gramStart"/>
            <w:r w:rsidRPr="00B12FE0">
              <w:rPr>
                <w:rFonts w:ascii="宋体" w:hAnsi="宋体" w:hint="eastAsia"/>
                <w:color w:val="000000" w:themeColor="text1"/>
                <w:sz w:val="18"/>
                <w:szCs w:val="18"/>
              </w:rPr>
              <w:t>暂存间</w:t>
            </w:r>
            <w:r w:rsidRPr="00B12FE0">
              <w:rPr>
                <w:rFonts w:ascii="宋体" w:hAnsi="宋体"/>
                <w:color w:val="000000" w:themeColor="text1"/>
                <w:sz w:val="18"/>
                <w:szCs w:val="18"/>
              </w:rPr>
              <w:t>源强</w:t>
            </w:r>
            <w:proofErr w:type="gramEnd"/>
            <w:r w:rsidRPr="00B12FE0">
              <w:rPr>
                <w:rFonts w:ascii="宋体" w:hAnsi="宋体"/>
                <w:color w:val="000000" w:themeColor="text1"/>
                <w:sz w:val="18"/>
                <w:szCs w:val="18"/>
              </w:rPr>
              <w:t>以</w:t>
            </w:r>
            <w:proofErr w:type="gramStart"/>
            <w:r w:rsidRPr="00B12FE0">
              <w:rPr>
                <w:rFonts w:ascii="宋体" w:hAnsi="宋体"/>
                <w:color w:val="000000" w:themeColor="text1"/>
                <w:sz w:val="18"/>
                <w:szCs w:val="18"/>
              </w:rPr>
              <w:t>日操作</w:t>
            </w:r>
            <w:proofErr w:type="gramEnd"/>
            <w:r w:rsidRPr="00B12FE0">
              <w:rPr>
                <w:rFonts w:ascii="宋体" w:hAnsi="宋体"/>
                <w:color w:val="000000" w:themeColor="text1"/>
                <w:sz w:val="18"/>
                <w:szCs w:val="18"/>
              </w:rPr>
              <w:t>量最大活度的1%计。</w:t>
            </w:r>
          </w:p>
          <w:p w14:paraId="539D92D0" w14:textId="77777777" w:rsidR="00A67F21" w:rsidRPr="00B12FE0" w:rsidRDefault="00000000">
            <w:pPr>
              <w:rPr>
                <w:color w:val="000000" w:themeColor="text1"/>
                <w:sz w:val="18"/>
                <w:szCs w:val="18"/>
              </w:rPr>
            </w:pPr>
            <w:r w:rsidRPr="00B12FE0">
              <w:rPr>
                <w:rFonts w:ascii="宋体" w:hAnsi="宋体" w:hint="eastAsia"/>
                <w:color w:val="000000" w:themeColor="text1"/>
                <w:sz w:val="18"/>
                <w:szCs w:val="18"/>
              </w:rPr>
              <w:t>②</w:t>
            </w:r>
            <w:r w:rsidRPr="00B12FE0">
              <w:rPr>
                <w:color w:val="000000" w:themeColor="text1"/>
                <w:sz w:val="18"/>
                <w:szCs w:val="18"/>
              </w:rPr>
              <w:t>根据《辐射防护导论》，将</w:t>
            </w:r>
            <w:r w:rsidRPr="00B12FE0">
              <w:rPr>
                <w:color w:val="000000" w:themeColor="text1"/>
                <w:sz w:val="18"/>
                <w:szCs w:val="18"/>
              </w:rPr>
              <w:t>γ</w:t>
            </w:r>
            <w:r w:rsidRPr="00B12FE0">
              <w:rPr>
                <w:color w:val="000000" w:themeColor="text1"/>
                <w:sz w:val="18"/>
                <w:szCs w:val="18"/>
              </w:rPr>
              <w:t>射线减弱一定程度所需物质厚度</w:t>
            </w:r>
            <w:r w:rsidRPr="00B12FE0">
              <w:rPr>
                <w:color w:val="000000" w:themeColor="text1"/>
                <w:sz w:val="18"/>
                <w:szCs w:val="18"/>
              </w:rPr>
              <w:t>d</w:t>
            </w:r>
            <w:r w:rsidRPr="00B12FE0">
              <w:rPr>
                <w:color w:val="000000" w:themeColor="text1"/>
                <w:sz w:val="18"/>
                <w:szCs w:val="18"/>
              </w:rPr>
              <w:t>与物质的密度</w:t>
            </w:r>
            <w:r w:rsidRPr="00B12FE0">
              <w:rPr>
                <w:color w:val="000000" w:themeColor="text1"/>
                <w:sz w:val="18"/>
                <w:szCs w:val="18"/>
              </w:rPr>
              <w:t>ρ</w:t>
            </w:r>
            <w:r w:rsidRPr="00B12FE0">
              <w:rPr>
                <w:color w:val="000000" w:themeColor="text1"/>
                <w:sz w:val="18"/>
                <w:szCs w:val="18"/>
              </w:rPr>
              <w:t>成反比关系（</w:t>
            </w:r>
            <w:r w:rsidRPr="00B12FE0">
              <w:rPr>
                <w:color w:val="000000" w:themeColor="text1"/>
                <w:sz w:val="18"/>
                <w:szCs w:val="18"/>
              </w:rPr>
              <w:t>d1/d2=ρ2/ρ1</w:t>
            </w:r>
            <w:r w:rsidRPr="00B12FE0">
              <w:rPr>
                <w:color w:val="000000" w:themeColor="text1"/>
                <w:sz w:val="18"/>
                <w:szCs w:val="18"/>
              </w:rPr>
              <w:t>）。本项目拟使用的硫酸钡水泥密度为</w:t>
            </w:r>
            <w:r w:rsidRPr="00B12FE0">
              <w:rPr>
                <w:rFonts w:hint="eastAsia"/>
                <w:color w:val="000000" w:themeColor="text1"/>
                <w:sz w:val="18"/>
                <w:szCs w:val="18"/>
              </w:rPr>
              <w:t>2.79</w:t>
            </w:r>
            <w:r w:rsidRPr="00B12FE0">
              <w:rPr>
                <w:color w:val="000000" w:themeColor="text1"/>
                <w:sz w:val="18"/>
                <w:szCs w:val="18"/>
              </w:rPr>
              <w:t>g/cm</w:t>
            </w:r>
            <w:r w:rsidRPr="00B12FE0">
              <w:rPr>
                <w:color w:val="000000" w:themeColor="text1"/>
                <w:sz w:val="18"/>
                <w:szCs w:val="18"/>
                <w:vertAlign w:val="superscript"/>
              </w:rPr>
              <w:t>3</w:t>
            </w:r>
            <w:r w:rsidRPr="00B12FE0">
              <w:rPr>
                <w:color w:val="000000" w:themeColor="text1"/>
                <w:sz w:val="18"/>
                <w:szCs w:val="18"/>
              </w:rPr>
              <w:t>，混凝土密度为</w:t>
            </w:r>
            <w:r w:rsidRPr="00B12FE0">
              <w:rPr>
                <w:color w:val="000000" w:themeColor="text1"/>
                <w:sz w:val="18"/>
                <w:szCs w:val="18"/>
              </w:rPr>
              <w:t>2.35g/cm</w:t>
            </w:r>
            <w:r w:rsidRPr="00B12FE0">
              <w:rPr>
                <w:color w:val="000000" w:themeColor="text1"/>
                <w:sz w:val="18"/>
                <w:szCs w:val="18"/>
                <w:vertAlign w:val="superscript"/>
              </w:rPr>
              <w:t>3</w:t>
            </w:r>
            <w:r w:rsidRPr="00B12FE0">
              <w:rPr>
                <w:color w:val="000000" w:themeColor="text1"/>
                <w:sz w:val="18"/>
                <w:szCs w:val="18"/>
              </w:rPr>
              <w:t>，预测时将硫酸钡防护涂料厚度折合为混凝土厚度。如本表</w:t>
            </w:r>
            <w:r w:rsidRPr="00B12FE0">
              <w:rPr>
                <w:rFonts w:hint="eastAsia"/>
                <w:color w:val="000000" w:themeColor="text1"/>
                <w:sz w:val="18"/>
                <w:szCs w:val="18"/>
              </w:rPr>
              <w:t>2-36</w:t>
            </w:r>
            <w:r w:rsidRPr="00B12FE0">
              <w:rPr>
                <w:color w:val="000000" w:themeColor="text1"/>
                <w:sz w:val="18"/>
                <w:szCs w:val="18"/>
              </w:rPr>
              <w:t>点位屏蔽材料及厚度为</w:t>
            </w:r>
            <w:r w:rsidRPr="00B12FE0">
              <w:rPr>
                <w:color w:val="000000" w:themeColor="text1"/>
                <w:sz w:val="18"/>
                <w:szCs w:val="18"/>
              </w:rPr>
              <w:t>240mm</w:t>
            </w:r>
            <w:r w:rsidRPr="00B12FE0">
              <w:rPr>
                <w:color w:val="000000" w:themeColor="text1"/>
                <w:sz w:val="18"/>
                <w:szCs w:val="18"/>
              </w:rPr>
              <w:t>实心砖墙</w:t>
            </w:r>
            <w:r w:rsidRPr="00B12FE0">
              <w:rPr>
                <w:color w:val="000000" w:themeColor="text1"/>
                <w:sz w:val="18"/>
                <w:szCs w:val="18"/>
              </w:rPr>
              <w:t>+40mm</w:t>
            </w:r>
            <w:r w:rsidRPr="00B12FE0">
              <w:rPr>
                <w:color w:val="000000" w:themeColor="text1"/>
                <w:sz w:val="18"/>
                <w:szCs w:val="18"/>
              </w:rPr>
              <w:t>硫酸钡防护涂料，经密度折算后等效</w:t>
            </w:r>
            <w:r w:rsidRPr="00B12FE0">
              <w:rPr>
                <w:color w:val="000000" w:themeColor="text1"/>
                <w:sz w:val="18"/>
                <w:szCs w:val="18"/>
              </w:rPr>
              <w:t>168.5mm</w:t>
            </w:r>
            <w:r w:rsidRPr="00B12FE0">
              <w:rPr>
                <w:color w:val="000000" w:themeColor="text1"/>
                <w:sz w:val="18"/>
                <w:szCs w:val="18"/>
              </w:rPr>
              <w:t>混凝土</w:t>
            </w:r>
            <w:r w:rsidRPr="00B12FE0">
              <w:rPr>
                <w:color w:val="000000" w:themeColor="text1"/>
                <w:sz w:val="18"/>
                <w:szCs w:val="18"/>
              </w:rPr>
              <w:t>+</w:t>
            </w:r>
            <w:r w:rsidRPr="00B12FE0">
              <w:rPr>
                <w:rFonts w:hint="eastAsia"/>
                <w:color w:val="000000" w:themeColor="text1"/>
                <w:sz w:val="18"/>
                <w:szCs w:val="18"/>
              </w:rPr>
              <w:t>54.5</w:t>
            </w:r>
            <w:r w:rsidRPr="00B12FE0">
              <w:rPr>
                <w:color w:val="000000" w:themeColor="text1"/>
                <w:sz w:val="18"/>
                <w:szCs w:val="18"/>
              </w:rPr>
              <w:t>mm</w:t>
            </w:r>
            <w:r w:rsidRPr="00B12FE0">
              <w:rPr>
                <w:color w:val="000000" w:themeColor="text1"/>
                <w:sz w:val="18"/>
                <w:szCs w:val="18"/>
              </w:rPr>
              <w:t>混凝土。</w:t>
            </w:r>
          </w:p>
        </w:tc>
      </w:tr>
    </w:tbl>
    <w:p w14:paraId="6C0C1794"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由上表估算结果可知，放射性核素产生的</w:t>
      </w:r>
      <w:r w:rsidRPr="00B12FE0">
        <w:rPr>
          <w:color w:val="000000" w:themeColor="text1"/>
        </w:rPr>
        <w:t>γ</w:t>
      </w:r>
      <w:r w:rsidRPr="00B12FE0">
        <w:rPr>
          <w:color w:val="000000" w:themeColor="text1"/>
        </w:rPr>
        <w:t>射线在核素诊断场所各控制区内工作人员经常性停留的场所（人员居留因子</w:t>
      </w:r>
      <w:r w:rsidRPr="00B12FE0">
        <w:rPr>
          <w:color w:val="000000" w:themeColor="text1"/>
        </w:rPr>
        <w:t>≥1/2</w:t>
      </w:r>
      <w:r w:rsidRPr="00B12FE0">
        <w:rPr>
          <w:color w:val="000000" w:themeColor="text1"/>
        </w:rPr>
        <w:t>）周围剂量当量率均小于</w:t>
      </w:r>
      <w:r w:rsidRPr="00B12FE0">
        <w:rPr>
          <w:color w:val="000000" w:themeColor="text1"/>
        </w:rPr>
        <w:t>2.5μSv/h</w:t>
      </w:r>
      <w:r w:rsidRPr="00B12FE0">
        <w:rPr>
          <w:color w:val="000000" w:themeColor="text1"/>
        </w:rPr>
        <w:t>，控制区内工作人员较少停留或无需到达的场所（人员居留因子＜</w:t>
      </w:r>
      <w:r w:rsidRPr="00B12FE0">
        <w:rPr>
          <w:color w:val="000000" w:themeColor="text1"/>
        </w:rPr>
        <w:t>1/2</w:t>
      </w:r>
      <w:r w:rsidRPr="00B12FE0">
        <w:rPr>
          <w:color w:val="000000" w:themeColor="text1"/>
        </w:rPr>
        <w:t>）周围剂量当量率均小于</w:t>
      </w:r>
      <w:r w:rsidRPr="00B12FE0">
        <w:rPr>
          <w:color w:val="000000" w:themeColor="text1"/>
        </w:rPr>
        <w:t>10μSv/h</w:t>
      </w:r>
      <w:r w:rsidRPr="00B12FE0">
        <w:rPr>
          <w:color w:val="000000" w:themeColor="text1"/>
        </w:rPr>
        <w:t>。手套箱、注射窗等设备外表面</w:t>
      </w:r>
      <w:r w:rsidRPr="00B12FE0">
        <w:rPr>
          <w:color w:val="000000" w:themeColor="text1"/>
        </w:rPr>
        <w:t>30cm</w:t>
      </w:r>
      <w:r w:rsidRPr="00B12FE0">
        <w:rPr>
          <w:color w:val="000000" w:themeColor="text1"/>
        </w:rPr>
        <w:t>处人员操作位的周围剂量当量率均小于</w:t>
      </w:r>
      <w:r w:rsidRPr="00B12FE0">
        <w:rPr>
          <w:color w:val="000000" w:themeColor="text1"/>
        </w:rPr>
        <w:t>2.5μSv/h</w:t>
      </w:r>
      <w:r w:rsidRPr="00B12FE0">
        <w:rPr>
          <w:color w:val="000000" w:themeColor="text1"/>
        </w:rPr>
        <w:t>，屏蔽设计满足要求，对周围辐射环境影响较小</w:t>
      </w:r>
      <w:r w:rsidRPr="00B12FE0">
        <w:rPr>
          <w:rFonts w:hint="eastAsia"/>
          <w:color w:val="000000" w:themeColor="text1"/>
        </w:rPr>
        <w:t>，与前文表</w:t>
      </w:r>
      <w:r w:rsidRPr="00B12FE0">
        <w:rPr>
          <w:rFonts w:hint="eastAsia"/>
          <w:color w:val="000000" w:themeColor="text1"/>
        </w:rPr>
        <w:t>11.2.1.2-8</w:t>
      </w:r>
      <w:r w:rsidRPr="00B12FE0">
        <w:rPr>
          <w:rFonts w:hint="eastAsia"/>
          <w:color w:val="000000" w:themeColor="text1"/>
        </w:rPr>
        <w:t>的轫致辐射叠加之后也能满足相关要求</w:t>
      </w:r>
      <w:r w:rsidRPr="00B12FE0">
        <w:rPr>
          <w:color w:val="000000" w:themeColor="text1"/>
        </w:rPr>
        <w:t>。</w:t>
      </w:r>
    </w:p>
    <w:p w14:paraId="26F184B3" w14:textId="77777777" w:rsidR="00A67F21" w:rsidRPr="00B12FE0" w:rsidRDefault="00000000">
      <w:pPr>
        <w:adjustRightInd w:val="0"/>
        <w:snapToGrid w:val="0"/>
        <w:spacing w:line="360" w:lineRule="auto"/>
        <w:ind w:firstLineChars="200" w:firstLine="480"/>
        <w:jc w:val="left"/>
        <w:rPr>
          <w:rFonts w:cs="宋体"/>
          <w:color w:val="000000" w:themeColor="text1"/>
        </w:rPr>
      </w:pPr>
      <w:r w:rsidRPr="00B12FE0">
        <w:rPr>
          <w:rFonts w:cs="宋体" w:hint="eastAsia"/>
          <w:color w:val="000000" w:themeColor="text1"/>
        </w:rPr>
        <w:t>实际上，患者在注射后等候室等待过程中，由于衰变作用导致患者体内核素的活度不断减少，因而对墙外或门外的辐射影响也不断降低。</w:t>
      </w:r>
    </w:p>
    <w:p w14:paraId="1A7C8B4A" w14:textId="77777777" w:rsidR="00A67F21" w:rsidRPr="00B12FE0" w:rsidRDefault="00000000">
      <w:pPr>
        <w:snapToGrid w:val="0"/>
        <w:spacing w:line="360" w:lineRule="auto"/>
        <w:ind w:firstLineChars="200" w:firstLine="482"/>
        <w:rPr>
          <w:rFonts w:cs="宋体"/>
          <w:b/>
          <w:color w:val="000000" w:themeColor="text1"/>
        </w:rPr>
      </w:pPr>
      <w:r w:rsidRPr="00B12FE0">
        <w:rPr>
          <w:rFonts w:cs="宋体" w:hint="eastAsia"/>
          <w:b/>
          <w:color w:val="000000" w:themeColor="text1"/>
        </w:rPr>
        <w:lastRenderedPageBreak/>
        <w:t>3</w:t>
      </w:r>
      <w:r w:rsidRPr="00B12FE0">
        <w:rPr>
          <w:rFonts w:cs="宋体" w:hint="eastAsia"/>
          <w:b/>
          <w:color w:val="000000" w:themeColor="text1"/>
        </w:rPr>
        <w:t>、校准源辐射影响分析</w:t>
      </w:r>
    </w:p>
    <w:p w14:paraId="36F85B91" w14:textId="77777777" w:rsidR="00A67F21" w:rsidRPr="00B12FE0" w:rsidRDefault="00000000">
      <w:pPr>
        <w:adjustRightInd w:val="0"/>
        <w:snapToGrid w:val="0"/>
        <w:spacing w:line="360" w:lineRule="auto"/>
        <w:ind w:firstLine="480"/>
        <w:rPr>
          <w:bCs/>
          <w:color w:val="000000" w:themeColor="text1"/>
        </w:rPr>
      </w:pPr>
      <w:r w:rsidRPr="00B12FE0">
        <w:rPr>
          <w:color w:val="000000" w:themeColor="text1"/>
        </w:rPr>
        <w:t>PET</w:t>
      </w:r>
      <w:r w:rsidRPr="00B12FE0">
        <w:rPr>
          <w:color w:val="000000" w:themeColor="text1"/>
        </w:rPr>
        <w:t>使用</w:t>
      </w:r>
      <w:r w:rsidRPr="00B12FE0">
        <w:rPr>
          <w:color w:val="000000" w:themeColor="text1"/>
        </w:rPr>
        <w:t>3</w:t>
      </w:r>
      <w:r w:rsidRPr="00B12FE0">
        <w:rPr>
          <w:color w:val="000000" w:themeColor="text1"/>
        </w:rPr>
        <w:t>枚</w:t>
      </w:r>
      <w:r w:rsidRPr="00B12FE0">
        <w:rPr>
          <w:color w:val="000000" w:themeColor="text1"/>
          <w:vertAlign w:val="superscript"/>
        </w:rPr>
        <w:t>68</w:t>
      </w:r>
      <w:r w:rsidRPr="00B12FE0">
        <w:rPr>
          <w:color w:val="000000" w:themeColor="text1"/>
        </w:rPr>
        <w:t>Ge</w:t>
      </w:r>
      <w:r w:rsidRPr="00B12FE0">
        <w:rPr>
          <w:color w:val="000000" w:themeColor="text1"/>
        </w:rPr>
        <w:t>校准源，每周一次，</w:t>
      </w:r>
      <w:r w:rsidRPr="00B12FE0">
        <w:rPr>
          <w:color w:val="000000" w:themeColor="text1"/>
          <w:szCs w:val="24"/>
        </w:rPr>
        <w:t>由技师将</w:t>
      </w:r>
      <w:r w:rsidRPr="00B12FE0">
        <w:rPr>
          <w:bCs/>
          <w:color w:val="000000" w:themeColor="text1"/>
          <w:szCs w:val="24"/>
          <w:vertAlign w:val="superscript"/>
        </w:rPr>
        <w:t>68</w:t>
      </w:r>
      <w:r w:rsidRPr="00B12FE0">
        <w:rPr>
          <w:bCs/>
          <w:color w:val="000000" w:themeColor="text1"/>
          <w:szCs w:val="24"/>
        </w:rPr>
        <w:t>Ge</w:t>
      </w:r>
      <w:r w:rsidRPr="00B12FE0">
        <w:rPr>
          <w:bCs/>
          <w:color w:val="000000" w:themeColor="text1"/>
          <w:szCs w:val="24"/>
        </w:rPr>
        <w:t>放射源连同专用屏蔽容器（</w:t>
      </w:r>
      <w:r w:rsidRPr="00B12FE0">
        <w:rPr>
          <w:bCs/>
          <w:color w:val="000000" w:themeColor="text1"/>
          <w:szCs w:val="24"/>
        </w:rPr>
        <w:t>30mmPb</w:t>
      </w:r>
      <w:r w:rsidRPr="00B12FE0">
        <w:rPr>
          <w:bCs/>
          <w:color w:val="000000" w:themeColor="text1"/>
          <w:szCs w:val="24"/>
        </w:rPr>
        <w:t>）从储源室转移至</w:t>
      </w:r>
      <w:r w:rsidRPr="00B12FE0">
        <w:rPr>
          <w:bCs/>
          <w:color w:val="000000" w:themeColor="text1"/>
          <w:szCs w:val="24"/>
        </w:rPr>
        <w:t>PET/CT</w:t>
      </w:r>
      <w:r w:rsidRPr="00B12FE0">
        <w:rPr>
          <w:bCs/>
          <w:color w:val="000000" w:themeColor="text1"/>
          <w:szCs w:val="24"/>
        </w:rPr>
        <w:t>机房，并用长柄工具取出</w:t>
      </w:r>
      <w:r w:rsidRPr="00B12FE0">
        <w:rPr>
          <w:bCs/>
          <w:color w:val="000000" w:themeColor="text1"/>
          <w:szCs w:val="24"/>
          <w:vertAlign w:val="superscript"/>
        </w:rPr>
        <w:t>68</w:t>
      </w:r>
      <w:r w:rsidRPr="00B12FE0">
        <w:rPr>
          <w:bCs/>
          <w:color w:val="000000" w:themeColor="text1"/>
          <w:szCs w:val="24"/>
        </w:rPr>
        <w:t>Ge</w:t>
      </w:r>
      <w:r w:rsidRPr="00B12FE0">
        <w:rPr>
          <w:bCs/>
          <w:color w:val="000000" w:themeColor="text1"/>
          <w:szCs w:val="24"/>
        </w:rPr>
        <w:t>放射源并放置在</w:t>
      </w:r>
      <w:r w:rsidRPr="00B12FE0">
        <w:rPr>
          <w:bCs/>
          <w:color w:val="000000" w:themeColor="text1"/>
        </w:rPr>
        <w:t>设备检查床支架上。</w:t>
      </w:r>
      <w:r w:rsidRPr="00B12FE0">
        <w:rPr>
          <w:bCs/>
          <w:color w:val="000000" w:themeColor="text1"/>
          <w:szCs w:val="24"/>
        </w:rPr>
        <w:t>本项目配备的</w:t>
      </w:r>
      <w:r w:rsidRPr="00B12FE0">
        <w:rPr>
          <w:rFonts w:hint="eastAsia"/>
          <w:bCs/>
          <w:color w:val="000000" w:themeColor="text1"/>
          <w:szCs w:val="24"/>
        </w:rPr>
        <w:t>校准</w:t>
      </w:r>
      <w:r w:rsidRPr="00B12FE0">
        <w:rPr>
          <w:bCs/>
          <w:color w:val="000000" w:themeColor="text1"/>
          <w:szCs w:val="24"/>
        </w:rPr>
        <w:t>源活度</w:t>
      </w:r>
      <w:r w:rsidRPr="00B12FE0">
        <w:rPr>
          <w:rFonts w:hint="eastAsia"/>
          <w:bCs/>
          <w:color w:val="000000" w:themeColor="text1"/>
          <w:szCs w:val="24"/>
        </w:rPr>
        <w:t>最大</w:t>
      </w:r>
      <w:r w:rsidRPr="00B12FE0">
        <w:rPr>
          <w:bCs/>
          <w:color w:val="000000" w:themeColor="text1"/>
          <w:szCs w:val="24"/>
        </w:rPr>
        <w:t>为</w:t>
      </w:r>
      <w:r w:rsidRPr="00B12FE0">
        <w:rPr>
          <w:rFonts w:hint="eastAsia"/>
          <w:color w:val="000000" w:themeColor="text1"/>
          <w:szCs w:val="24"/>
        </w:rPr>
        <w:t>1.11</w:t>
      </w:r>
      <w:r w:rsidRPr="00B12FE0">
        <w:rPr>
          <w:color w:val="000000" w:themeColor="text1"/>
          <w:szCs w:val="24"/>
        </w:rPr>
        <w:t>0E+0</w:t>
      </w:r>
      <w:r w:rsidRPr="00B12FE0">
        <w:rPr>
          <w:rFonts w:hint="eastAsia"/>
          <w:color w:val="000000" w:themeColor="text1"/>
          <w:szCs w:val="24"/>
        </w:rPr>
        <w:t>8</w:t>
      </w:r>
      <w:r w:rsidRPr="00B12FE0">
        <w:rPr>
          <w:color w:val="000000" w:themeColor="text1"/>
          <w:szCs w:val="24"/>
        </w:rPr>
        <w:t>Bq</w:t>
      </w:r>
      <w:r w:rsidRPr="00B12FE0">
        <w:rPr>
          <w:color w:val="000000" w:themeColor="text1"/>
          <w:szCs w:val="24"/>
        </w:rPr>
        <w:t>，</w:t>
      </w:r>
      <w:r w:rsidRPr="00B12FE0">
        <w:rPr>
          <w:bCs/>
          <w:color w:val="000000" w:themeColor="text1"/>
          <w:kern w:val="0"/>
        </w:rPr>
        <w:t>技师转移时间合计约</w:t>
      </w:r>
      <w:r w:rsidRPr="00B12FE0">
        <w:rPr>
          <w:bCs/>
          <w:color w:val="000000" w:themeColor="text1"/>
          <w:kern w:val="0"/>
        </w:rPr>
        <w:t>2min</w:t>
      </w:r>
      <w:r w:rsidRPr="00B12FE0">
        <w:rPr>
          <w:bCs/>
          <w:color w:val="000000" w:themeColor="text1"/>
          <w:kern w:val="0"/>
        </w:rPr>
        <w:t>，取出</w:t>
      </w:r>
      <w:r w:rsidRPr="00B12FE0">
        <w:rPr>
          <w:bCs/>
          <w:color w:val="000000" w:themeColor="text1"/>
          <w:kern w:val="0"/>
        </w:rPr>
        <w:t>/</w:t>
      </w:r>
      <w:r w:rsidRPr="00B12FE0">
        <w:rPr>
          <w:bCs/>
          <w:color w:val="000000" w:themeColor="text1"/>
          <w:kern w:val="0"/>
        </w:rPr>
        <w:t>放回放射源时间合计约</w:t>
      </w:r>
      <w:r w:rsidRPr="00B12FE0">
        <w:rPr>
          <w:bCs/>
          <w:color w:val="000000" w:themeColor="text1"/>
          <w:kern w:val="0"/>
        </w:rPr>
        <w:t>30s</w:t>
      </w:r>
      <w:r w:rsidRPr="00B12FE0">
        <w:rPr>
          <w:bCs/>
          <w:color w:val="000000" w:themeColor="text1"/>
          <w:kern w:val="0"/>
        </w:rPr>
        <w:t>。</w:t>
      </w:r>
      <w:r w:rsidRPr="00B12FE0">
        <w:rPr>
          <w:bCs/>
          <w:color w:val="000000" w:themeColor="text1"/>
          <w:kern w:val="0"/>
          <w:vertAlign w:val="superscript"/>
        </w:rPr>
        <w:t>68</w:t>
      </w:r>
      <w:r w:rsidRPr="00B12FE0">
        <w:rPr>
          <w:bCs/>
          <w:color w:val="000000" w:themeColor="text1"/>
          <w:kern w:val="0"/>
        </w:rPr>
        <w:t>Ge</w:t>
      </w:r>
      <w:r w:rsidRPr="00B12FE0">
        <w:rPr>
          <w:bCs/>
          <w:color w:val="000000" w:themeColor="text1"/>
          <w:kern w:val="0"/>
        </w:rPr>
        <w:t>放射源按照</w:t>
      </w:r>
      <w:r w:rsidRPr="00B12FE0">
        <w:rPr>
          <w:bCs/>
          <w:color w:val="000000" w:themeColor="text1"/>
          <w:kern w:val="0"/>
          <w:vertAlign w:val="superscript"/>
        </w:rPr>
        <w:t>68</w:t>
      </w:r>
      <w:r w:rsidRPr="00B12FE0">
        <w:rPr>
          <w:bCs/>
          <w:color w:val="000000" w:themeColor="text1"/>
          <w:kern w:val="0"/>
        </w:rPr>
        <w:t>Ge</w:t>
      </w:r>
      <w:r w:rsidRPr="00B12FE0">
        <w:rPr>
          <w:bCs/>
          <w:color w:val="000000" w:themeColor="text1"/>
          <w:kern w:val="0"/>
        </w:rPr>
        <w:t>的能量很低，而</w:t>
      </w:r>
      <w:r w:rsidRPr="00B12FE0">
        <w:rPr>
          <w:bCs/>
          <w:color w:val="000000" w:themeColor="text1"/>
          <w:kern w:val="0"/>
          <w:vertAlign w:val="superscript"/>
        </w:rPr>
        <w:t>68</w:t>
      </w:r>
      <w:r w:rsidRPr="00B12FE0">
        <w:rPr>
          <w:bCs/>
          <w:color w:val="000000" w:themeColor="text1"/>
          <w:kern w:val="0"/>
        </w:rPr>
        <w:t>Ge</w:t>
      </w:r>
      <w:r w:rsidRPr="00B12FE0">
        <w:rPr>
          <w:bCs/>
          <w:color w:val="000000" w:themeColor="text1"/>
          <w:kern w:val="0"/>
        </w:rPr>
        <w:t>的衰变子体</w:t>
      </w:r>
      <w:r w:rsidRPr="00B12FE0">
        <w:rPr>
          <w:bCs/>
          <w:color w:val="000000" w:themeColor="text1"/>
          <w:kern w:val="0"/>
          <w:vertAlign w:val="superscript"/>
        </w:rPr>
        <w:t>68</w:t>
      </w:r>
      <w:r w:rsidRPr="00B12FE0">
        <w:rPr>
          <w:bCs/>
          <w:color w:val="000000" w:themeColor="text1"/>
          <w:kern w:val="0"/>
        </w:rPr>
        <w:t>Ga</w:t>
      </w:r>
      <w:r w:rsidRPr="00B12FE0">
        <w:rPr>
          <w:bCs/>
          <w:color w:val="000000" w:themeColor="text1"/>
          <w:kern w:val="0"/>
        </w:rPr>
        <w:t>能量较高，因此对于</w:t>
      </w:r>
      <w:r w:rsidRPr="00B12FE0">
        <w:rPr>
          <w:bCs/>
          <w:color w:val="000000" w:themeColor="text1"/>
          <w:kern w:val="0"/>
          <w:vertAlign w:val="superscript"/>
        </w:rPr>
        <w:t>68</w:t>
      </w:r>
      <w:r w:rsidRPr="00B12FE0">
        <w:rPr>
          <w:bCs/>
          <w:color w:val="000000" w:themeColor="text1"/>
          <w:kern w:val="0"/>
        </w:rPr>
        <w:t>Ge</w:t>
      </w:r>
      <w:r w:rsidRPr="00B12FE0">
        <w:rPr>
          <w:bCs/>
          <w:color w:val="000000" w:themeColor="text1"/>
          <w:kern w:val="0"/>
        </w:rPr>
        <w:t>放射源质</w:t>
      </w:r>
      <w:proofErr w:type="gramStart"/>
      <w:r w:rsidRPr="00B12FE0">
        <w:rPr>
          <w:bCs/>
          <w:color w:val="000000" w:themeColor="text1"/>
          <w:kern w:val="0"/>
        </w:rPr>
        <w:t>控过程</w:t>
      </w:r>
      <w:proofErr w:type="gramEnd"/>
      <w:r w:rsidRPr="00B12FE0">
        <w:rPr>
          <w:bCs/>
          <w:color w:val="000000" w:themeColor="text1"/>
          <w:kern w:val="0"/>
        </w:rPr>
        <w:t>按照</w:t>
      </w:r>
      <w:r w:rsidRPr="00B12FE0">
        <w:rPr>
          <w:bCs/>
          <w:color w:val="000000" w:themeColor="text1"/>
          <w:kern w:val="0"/>
          <w:vertAlign w:val="superscript"/>
        </w:rPr>
        <w:t>68</w:t>
      </w:r>
      <w:r w:rsidRPr="00B12FE0">
        <w:rPr>
          <w:bCs/>
          <w:color w:val="000000" w:themeColor="text1"/>
          <w:kern w:val="0"/>
        </w:rPr>
        <w:t>Ga</w:t>
      </w:r>
      <w:r w:rsidRPr="00B12FE0">
        <w:rPr>
          <w:bCs/>
          <w:color w:val="000000" w:themeColor="text1"/>
          <w:kern w:val="0"/>
        </w:rPr>
        <w:t>相关参数进行分析。</w:t>
      </w:r>
    </w:p>
    <w:p w14:paraId="70DDA0AA" w14:textId="77777777" w:rsidR="00A67F21" w:rsidRPr="00B12FE0" w:rsidRDefault="00000000">
      <w:pPr>
        <w:pStyle w:val="afffffc"/>
        <w:rPr>
          <w:color w:val="000000" w:themeColor="text1"/>
        </w:rPr>
      </w:pPr>
      <w:r w:rsidRPr="00B12FE0">
        <w:rPr>
          <w:color w:val="000000" w:themeColor="text1"/>
        </w:rPr>
        <w:t>表</w:t>
      </w:r>
      <w:r w:rsidRPr="00B12FE0">
        <w:rPr>
          <w:color w:val="000000" w:themeColor="text1"/>
        </w:rPr>
        <w:t>11.2.</w:t>
      </w:r>
      <w:r w:rsidRPr="00B12FE0">
        <w:rPr>
          <w:rFonts w:hint="eastAsia"/>
          <w:color w:val="000000" w:themeColor="text1"/>
        </w:rPr>
        <w:t>1.2</w:t>
      </w:r>
      <w:r w:rsidRPr="00B12FE0">
        <w:rPr>
          <w:color w:val="000000" w:themeColor="text1"/>
        </w:rPr>
        <w:t>-</w:t>
      </w:r>
      <w:r w:rsidRPr="00B12FE0">
        <w:rPr>
          <w:rFonts w:hint="eastAsia"/>
          <w:color w:val="000000" w:themeColor="text1"/>
        </w:rPr>
        <w:t>11</w:t>
      </w:r>
      <w:r w:rsidRPr="00B12FE0">
        <w:rPr>
          <w:color w:val="000000" w:themeColor="text1"/>
        </w:rPr>
        <w:t xml:space="preserve">  </w:t>
      </w:r>
      <w:r w:rsidRPr="00B12FE0">
        <w:rPr>
          <w:rFonts w:hint="eastAsia"/>
          <w:color w:val="000000" w:themeColor="text1"/>
        </w:rPr>
        <w:t>技师身体</w:t>
      </w:r>
      <w:r w:rsidRPr="00B12FE0">
        <w:rPr>
          <w:color w:val="000000" w:themeColor="text1"/>
        </w:rPr>
        <w:t>γ</w:t>
      </w:r>
      <w:r w:rsidRPr="00B12FE0">
        <w:rPr>
          <w:rFonts w:hint="eastAsia"/>
          <w:color w:val="000000" w:themeColor="text1"/>
        </w:rPr>
        <w:t>辐射剂量率估算结果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4"/>
        <w:gridCol w:w="601"/>
        <w:gridCol w:w="1850"/>
        <w:gridCol w:w="1167"/>
        <w:gridCol w:w="1325"/>
        <w:gridCol w:w="748"/>
        <w:gridCol w:w="1499"/>
        <w:gridCol w:w="1215"/>
        <w:gridCol w:w="18"/>
      </w:tblGrid>
      <w:tr w:rsidR="00A67F21" w:rsidRPr="00B12FE0" w14:paraId="63972EBF" w14:textId="77777777">
        <w:trPr>
          <w:trHeight w:val="340"/>
          <w:jc w:val="center"/>
        </w:trPr>
        <w:tc>
          <w:tcPr>
            <w:tcW w:w="329" w:type="pct"/>
            <w:tcBorders>
              <w:top w:val="single" w:sz="4" w:space="0" w:color="auto"/>
              <w:left w:val="single" w:sz="4" w:space="0" w:color="auto"/>
              <w:right w:val="single" w:sz="4" w:space="0" w:color="auto"/>
            </w:tcBorders>
            <w:vAlign w:val="center"/>
          </w:tcPr>
          <w:p w14:paraId="0169958B" w14:textId="77777777" w:rsidR="00A67F21" w:rsidRPr="00B12FE0" w:rsidRDefault="00000000">
            <w:pPr>
              <w:pStyle w:val="afffffffa"/>
              <w:rPr>
                <w:b/>
                <w:color w:val="000000" w:themeColor="text1"/>
                <w:szCs w:val="21"/>
              </w:rPr>
            </w:pPr>
            <w:r w:rsidRPr="00B12FE0">
              <w:rPr>
                <w:rFonts w:hint="eastAsia"/>
                <w:b/>
                <w:color w:val="000000" w:themeColor="text1"/>
                <w:szCs w:val="21"/>
              </w:rPr>
              <w:t>核素</w:t>
            </w:r>
          </w:p>
        </w:tc>
        <w:tc>
          <w:tcPr>
            <w:tcW w:w="333" w:type="pct"/>
            <w:tcBorders>
              <w:top w:val="single" w:sz="4" w:space="0" w:color="auto"/>
              <w:left w:val="single" w:sz="4" w:space="0" w:color="auto"/>
              <w:right w:val="single" w:sz="4" w:space="0" w:color="auto"/>
            </w:tcBorders>
            <w:vAlign w:val="center"/>
          </w:tcPr>
          <w:p w14:paraId="4A9AABAB" w14:textId="77777777" w:rsidR="00A67F21" w:rsidRPr="00B12FE0" w:rsidRDefault="00000000">
            <w:pPr>
              <w:pStyle w:val="afffffffa"/>
              <w:rPr>
                <w:b/>
                <w:color w:val="000000" w:themeColor="text1"/>
                <w:szCs w:val="21"/>
              </w:rPr>
            </w:pPr>
            <w:r w:rsidRPr="00B12FE0">
              <w:rPr>
                <w:rFonts w:hint="eastAsia"/>
                <w:b/>
                <w:color w:val="000000" w:themeColor="text1"/>
                <w:szCs w:val="21"/>
              </w:rPr>
              <w:t>辐射工作人员</w:t>
            </w:r>
          </w:p>
        </w:tc>
        <w:tc>
          <w:tcPr>
            <w:tcW w:w="1026" w:type="pct"/>
            <w:tcBorders>
              <w:top w:val="single" w:sz="4" w:space="0" w:color="auto"/>
              <w:left w:val="single" w:sz="4" w:space="0" w:color="auto"/>
              <w:right w:val="single" w:sz="4" w:space="0" w:color="auto"/>
            </w:tcBorders>
            <w:vAlign w:val="center"/>
          </w:tcPr>
          <w:p w14:paraId="2AB8A57A" w14:textId="77777777" w:rsidR="00A67F21" w:rsidRPr="00B12FE0" w:rsidRDefault="00000000">
            <w:pPr>
              <w:pStyle w:val="afffffffa"/>
              <w:rPr>
                <w:b/>
                <w:color w:val="000000" w:themeColor="text1"/>
                <w:szCs w:val="21"/>
              </w:rPr>
            </w:pPr>
            <w:r w:rsidRPr="00B12FE0">
              <w:rPr>
                <w:rFonts w:hint="eastAsia"/>
                <w:b/>
                <w:color w:val="000000" w:themeColor="text1"/>
                <w:szCs w:val="21"/>
              </w:rPr>
              <w:t>工序</w:t>
            </w:r>
          </w:p>
        </w:tc>
        <w:tc>
          <w:tcPr>
            <w:tcW w:w="647" w:type="pct"/>
            <w:tcBorders>
              <w:top w:val="single" w:sz="4" w:space="0" w:color="auto"/>
              <w:left w:val="single" w:sz="4" w:space="0" w:color="auto"/>
              <w:right w:val="single" w:sz="4" w:space="0" w:color="auto"/>
            </w:tcBorders>
            <w:vAlign w:val="center"/>
          </w:tcPr>
          <w:p w14:paraId="08B0FCE9" w14:textId="77777777" w:rsidR="00A67F21" w:rsidRPr="00B12FE0" w:rsidRDefault="00000000">
            <w:pPr>
              <w:pStyle w:val="afffffffa"/>
              <w:rPr>
                <w:color w:val="000000" w:themeColor="text1"/>
                <w:szCs w:val="21"/>
              </w:rPr>
            </w:pPr>
            <w:r w:rsidRPr="00B12FE0">
              <w:rPr>
                <w:b/>
                <w:color w:val="000000" w:themeColor="text1"/>
                <w:szCs w:val="21"/>
              </w:rPr>
              <w:t>源强</w:t>
            </w:r>
            <w:r w:rsidRPr="00B12FE0">
              <w:rPr>
                <w:b/>
                <w:color w:val="000000" w:themeColor="text1"/>
                <w:szCs w:val="21"/>
              </w:rPr>
              <w:t>Bq</w:t>
            </w:r>
          </w:p>
        </w:tc>
        <w:tc>
          <w:tcPr>
            <w:tcW w:w="735" w:type="pct"/>
            <w:tcBorders>
              <w:top w:val="single" w:sz="4" w:space="0" w:color="auto"/>
              <w:left w:val="single" w:sz="4" w:space="0" w:color="auto"/>
              <w:right w:val="single" w:sz="4" w:space="0" w:color="auto"/>
            </w:tcBorders>
            <w:vAlign w:val="center"/>
          </w:tcPr>
          <w:p w14:paraId="08E323FB" w14:textId="77777777" w:rsidR="00A67F21" w:rsidRPr="00B12FE0" w:rsidRDefault="00000000">
            <w:pPr>
              <w:pStyle w:val="afffffffa"/>
              <w:rPr>
                <w:color w:val="000000" w:themeColor="text1"/>
                <w:szCs w:val="21"/>
              </w:rPr>
            </w:pPr>
            <w:proofErr w:type="gramStart"/>
            <w:r w:rsidRPr="00B12FE0">
              <w:rPr>
                <w:b/>
                <w:color w:val="000000" w:themeColor="text1"/>
                <w:kern w:val="0"/>
                <w:sz w:val="18"/>
                <w:szCs w:val="21"/>
              </w:rPr>
              <w:t>距源</w:t>
            </w:r>
            <w:proofErr w:type="gramEnd"/>
            <w:r w:rsidRPr="00B12FE0">
              <w:rPr>
                <w:b/>
                <w:color w:val="000000" w:themeColor="text1"/>
                <w:kern w:val="0"/>
                <w:sz w:val="18"/>
                <w:szCs w:val="21"/>
              </w:rPr>
              <w:t>1m</w:t>
            </w:r>
            <w:r w:rsidRPr="00B12FE0">
              <w:rPr>
                <w:b/>
                <w:color w:val="000000" w:themeColor="text1"/>
                <w:kern w:val="0"/>
                <w:sz w:val="18"/>
                <w:szCs w:val="21"/>
              </w:rPr>
              <w:t>处周围剂量当量率常数</w:t>
            </w:r>
            <w:r w:rsidRPr="00B12FE0">
              <w:rPr>
                <w:b/>
                <w:color w:val="000000" w:themeColor="text1"/>
                <w:sz w:val="18"/>
                <w:szCs w:val="21"/>
              </w:rPr>
              <w:t>μSv·m</w:t>
            </w:r>
            <w:r w:rsidRPr="00B12FE0">
              <w:rPr>
                <w:b/>
                <w:color w:val="000000" w:themeColor="text1"/>
                <w:sz w:val="18"/>
                <w:szCs w:val="21"/>
                <w:vertAlign w:val="superscript"/>
              </w:rPr>
              <w:t>2</w:t>
            </w:r>
            <w:r w:rsidRPr="00B12FE0">
              <w:rPr>
                <w:b/>
                <w:color w:val="000000" w:themeColor="text1"/>
                <w:sz w:val="18"/>
                <w:szCs w:val="21"/>
              </w:rPr>
              <w:t>/</w:t>
            </w:r>
            <w:proofErr w:type="spellStart"/>
            <w:r w:rsidRPr="00B12FE0">
              <w:rPr>
                <w:b/>
                <w:color w:val="000000" w:themeColor="text1"/>
                <w:sz w:val="18"/>
                <w:szCs w:val="21"/>
              </w:rPr>
              <w:t>MBq·h</w:t>
            </w:r>
            <w:proofErr w:type="spellEnd"/>
          </w:p>
        </w:tc>
        <w:tc>
          <w:tcPr>
            <w:tcW w:w="415" w:type="pct"/>
            <w:tcBorders>
              <w:top w:val="single" w:sz="4" w:space="0" w:color="auto"/>
              <w:left w:val="single" w:sz="4" w:space="0" w:color="auto"/>
              <w:right w:val="single" w:sz="4" w:space="0" w:color="auto"/>
            </w:tcBorders>
            <w:vAlign w:val="center"/>
          </w:tcPr>
          <w:p w14:paraId="0CE8038B" w14:textId="77777777" w:rsidR="00A67F21" w:rsidRPr="00B12FE0" w:rsidRDefault="00000000">
            <w:pPr>
              <w:pStyle w:val="afffffffa"/>
              <w:rPr>
                <w:color w:val="000000" w:themeColor="text1"/>
                <w:szCs w:val="21"/>
              </w:rPr>
            </w:pPr>
            <w:r w:rsidRPr="00B12FE0">
              <w:rPr>
                <w:b/>
                <w:color w:val="000000" w:themeColor="text1"/>
                <w:kern w:val="0"/>
                <w:szCs w:val="21"/>
              </w:rPr>
              <w:t>与源的距离</w:t>
            </w:r>
            <w:r w:rsidRPr="00B12FE0">
              <w:rPr>
                <w:b/>
                <w:color w:val="000000" w:themeColor="text1"/>
                <w:kern w:val="0"/>
                <w:szCs w:val="21"/>
              </w:rPr>
              <w:t>(m)</w:t>
            </w:r>
          </w:p>
        </w:tc>
        <w:tc>
          <w:tcPr>
            <w:tcW w:w="831" w:type="pct"/>
            <w:tcBorders>
              <w:top w:val="single" w:sz="4" w:space="0" w:color="auto"/>
              <w:left w:val="single" w:sz="4" w:space="0" w:color="auto"/>
              <w:bottom w:val="single" w:sz="4" w:space="0" w:color="auto"/>
              <w:right w:val="single" w:sz="4" w:space="0" w:color="auto"/>
            </w:tcBorders>
            <w:vAlign w:val="center"/>
          </w:tcPr>
          <w:p w14:paraId="3BDC972E" w14:textId="77777777" w:rsidR="00A67F21" w:rsidRPr="00B12FE0" w:rsidRDefault="00000000">
            <w:pPr>
              <w:pStyle w:val="afffffffa"/>
              <w:rPr>
                <w:color w:val="000000" w:themeColor="text1"/>
                <w:szCs w:val="21"/>
              </w:rPr>
            </w:pPr>
            <w:r w:rsidRPr="00B12FE0">
              <w:rPr>
                <w:b/>
                <w:color w:val="000000" w:themeColor="text1"/>
                <w:szCs w:val="21"/>
              </w:rPr>
              <w:t>屏蔽材料及厚度</w:t>
            </w:r>
          </w:p>
        </w:tc>
        <w:tc>
          <w:tcPr>
            <w:tcW w:w="684" w:type="pct"/>
            <w:gridSpan w:val="2"/>
            <w:tcBorders>
              <w:top w:val="single" w:sz="4" w:space="0" w:color="auto"/>
              <w:left w:val="single" w:sz="4" w:space="0" w:color="auto"/>
              <w:right w:val="single" w:sz="4" w:space="0" w:color="auto"/>
            </w:tcBorders>
            <w:vAlign w:val="center"/>
          </w:tcPr>
          <w:p w14:paraId="18A09595" w14:textId="77777777" w:rsidR="00A67F21" w:rsidRPr="00B12FE0" w:rsidRDefault="00000000">
            <w:pPr>
              <w:pStyle w:val="afffffffa"/>
              <w:rPr>
                <w:color w:val="000000" w:themeColor="text1"/>
                <w:szCs w:val="21"/>
              </w:rPr>
            </w:pPr>
            <w:r w:rsidRPr="00B12FE0">
              <w:rPr>
                <w:b/>
                <w:color w:val="000000" w:themeColor="text1"/>
                <w:szCs w:val="21"/>
              </w:rPr>
              <w:t>γ</w:t>
            </w:r>
            <w:r w:rsidRPr="00B12FE0">
              <w:rPr>
                <w:b/>
                <w:color w:val="000000" w:themeColor="text1"/>
                <w:szCs w:val="21"/>
              </w:rPr>
              <w:t>辐射剂量率</w:t>
            </w:r>
            <w:proofErr w:type="spellStart"/>
            <w:r w:rsidRPr="00B12FE0">
              <w:rPr>
                <w:b/>
                <w:color w:val="000000" w:themeColor="text1"/>
                <w:szCs w:val="21"/>
              </w:rPr>
              <w:t>μSv</w:t>
            </w:r>
            <w:proofErr w:type="spellEnd"/>
            <w:r w:rsidRPr="00B12FE0">
              <w:rPr>
                <w:b/>
                <w:color w:val="000000" w:themeColor="text1"/>
                <w:szCs w:val="21"/>
              </w:rPr>
              <w:t>/h</w:t>
            </w:r>
          </w:p>
        </w:tc>
      </w:tr>
      <w:tr w:rsidR="00A67F21" w:rsidRPr="00B12FE0" w14:paraId="4159AF58" w14:textId="77777777">
        <w:trPr>
          <w:gridAfter w:val="1"/>
          <w:wAfter w:w="10" w:type="pct"/>
          <w:trHeight w:val="340"/>
          <w:jc w:val="center"/>
        </w:trPr>
        <w:tc>
          <w:tcPr>
            <w:tcW w:w="329" w:type="pct"/>
            <w:vMerge w:val="restart"/>
            <w:tcBorders>
              <w:left w:val="single" w:sz="4" w:space="0" w:color="auto"/>
              <w:right w:val="single" w:sz="4" w:space="0" w:color="auto"/>
            </w:tcBorders>
            <w:vAlign w:val="center"/>
          </w:tcPr>
          <w:p w14:paraId="39E94960" w14:textId="77777777" w:rsidR="00A67F21" w:rsidRPr="00B12FE0" w:rsidRDefault="00000000">
            <w:pPr>
              <w:pStyle w:val="afffffffa"/>
              <w:rPr>
                <w:color w:val="000000" w:themeColor="text1"/>
                <w:szCs w:val="21"/>
              </w:rPr>
            </w:pPr>
            <w:r w:rsidRPr="00B12FE0">
              <w:rPr>
                <w:rFonts w:hint="eastAsia"/>
                <w:bCs/>
                <w:color w:val="000000" w:themeColor="text1"/>
                <w:szCs w:val="21"/>
                <w:vertAlign w:val="superscript"/>
              </w:rPr>
              <w:t>6</w:t>
            </w:r>
            <w:r w:rsidRPr="00B12FE0">
              <w:rPr>
                <w:bCs/>
                <w:color w:val="000000" w:themeColor="text1"/>
                <w:szCs w:val="21"/>
                <w:vertAlign w:val="superscript"/>
              </w:rPr>
              <w:t>8</w:t>
            </w:r>
            <w:r w:rsidRPr="00B12FE0">
              <w:rPr>
                <w:bCs/>
                <w:color w:val="000000" w:themeColor="text1"/>
                <w:szCs w:val="21"/>
              </w:rPr>
              <w:t>Ge</w:t>
            </w:r>
          </w:p>
        </w:tc>
        <w:tc>
          <w:tcPr>
            <w:tcW w:w="333" w:type="pct"/>
            <w:vMerge w:val="restart"/>
            <w:tcBorders>
              <w:left w:val="single" w:sz="4" w:space="0" w:color="auto"/>
              <w:right w:val="single" w:sz="4" w:space="0" w:color="auto"/>
            </w:tcBorders>
            <w:vAlign w:val="center"/>
          </w:tcPr>
          <w:p w14:paraId="45B0C89B" w14:textId="77777777" w:rsidR="00A67F21" w:rsidRPr="00B12FE0" w:rsidRDefault="00000000">
            <w:pPr>
              <w:pStyle w:val="afffffffa"/>
              <w:rPr>
                <w:color w:val="000000" w:themeColor="text1"/>
                <w:szCs w:val="21"/>
              </w:rPr>
            </w:pPr>
            <w:r w:rsidRPr="00B12FE0">
              <w:rPr>
                <w:rFonts w:hint="eastAsia"/>
                <w:color w:val="000000" w:themeColor="text1"/>
                <w:szCs w:val="21"/>
              </w:rPr>
              <w:t>技师</w:t>
            </w:r>
          </w:p>
        </w:tc>
        <w:tc>
          <w:tcPr>
            <w:tcW w:w="1026" w:type="pct"/>
            <w:tcBorders>
              <w:left w:val="single" w:sz="4" w:space="0" w:color="auto"/>
              <w:right w:val="single" w:sz="4" w:space="0" w:color="auto"/>
            </w:tcBorders>
          </w:tcPr>
          <w:p w14:paraId="2A0CCF42" w14:textId="77777777" w:rsidR="00A67F21" w:rsidRPr="00B12FE0" w:rsidRDefault="00000000">
            <w:pPr>
              <w:pStyle w:val="afffffffa"/>
              <w:rPr>
                <w:color w:val="000000" w:themeColor="text1"/>
                <w:szCs w:val="21"/>
              </w:rPr>
            </w:pPr>
            <w:r w:rsidRPr="00B12FE0">
              <w:rPr>
                <w:rFonts w:hint="eastAsia"/>
                <w:color w:val="000000" w:themeColor="text1"/>
              </w:rPr>
              <w:t>校准</w:t>
            </w:r>
            <w:proofErr w:type="gramStart"/>
            <w:r w:rsidRPr="00B12FE0">
              <w:rPr>
                <w:rFonts w:hint="eastAsia"/>
                <w:color w:val="000000" w:themeColor="text1"/>
              </w:rPr>
              <w:t>源转移</w:t>
            </w:r>
            <w:proofErr w:type="gramEnd"/>
          </w:p>
        </w:tc>
        <w:tc>
          <w:tcPr>
            <w:tcW w:w="647" w:type="pct"/>
            <w:tcBorders>
              <w:left w:val="single" w:sz="4" w:space="0" w:color="auto"/>
              <w:right w:val="single" w:sz="4" w:space="0" w:color="auto"/>
            </w:tcBorders>
            <w:vAlign w:val="center"/>
          </w:tcPr>
          <w:p w14:paraId="4877CE80" w14:textId="77777777" w:rsidR="00A67F21" w:rsidRPr="00B12FE0" w:rsidRDefault="00000000">
            <w:pPr>
              <w:pStyle w:val="afffffffa"/>
              <w:rPr>
                <w:color w:val="000000" w:themeColor="text1"/>
                <w:szCs w:val="21"/>
              </w:rPr>
            </w:pPr>
            <w:r w:rsidRPr="00B12FE0">
              <w:rPr>
                <w:color w:val="000000" w:themeColor="text1"/>
                <w:szCs w:val="21"/>
              </w:rPr>
              <w:t>7.40E+07</w:t>
            </w:r>
          </w:p>
        </w:tc>
        <w:tc>
          <w:tcPr>
            <w:tcW w:w="735" w:type="pct"/>
            <w:tcBorders>
              <w:left w:val="single" w:sz="4" w:space="0" w:color="auto"/>
              <w:right w:val="single" w:sz="4" w:space="0" w:color="auto"/>
            </w:tcBorders>
            <w:vAlign w:val="center"/>
          </w:tcPr>
          <w:p w14:paraId="3739CED4" w14:textId="77777777" w:rsidR="00A67F21" w:rsidRPr="00B12FE0" w:rsidRDefault="00000000">
            <w:pPr>
              <w:pStyle w:val="afffffffa"/>
              <w:rPr>
                <w:color w:val="000000" w:themeColor="text1"/>
                <w:szCs w:val="21"/>
              </w:rPr>
            </w:pPr>
            <w:r w:rsidRPr="00B12FE0">
              <w:rPr>
                <w:color w:val="000000" w:themeColor="text1"/>
                <w:szCs w:val="21"/>
              </w:rPr>
              <w:t>0.134</w:t>
            </w:r>
          </w:p>
        </w:tc>
        <w:tc>
          <w:tcPr>
            <w:tcW w:w="415" w:type="pct"/>
            <w:tcBorders>
              <w:top w:val="single" w:sz="4" w:space="0" w:color="auto"/>
              <w:left w:val="single" w:sz="4" w:space="0" w:color="auto"/>
              <w:bottom w:val="single" w:sz="4" w:space="0" w:color="auto"/>
              <w:right w:val="single" w:sz="4" w:space="0" w:color="auto"/>
            </w:tcBorders>
            <w:vAlign w:val="center"/>
          </w:tcPr>
          <w:p w14:paraId="3FC07C0C" w14:textId="77777777" w:rsidR="00A67F21" w:rsidRPr="00B12FE0" w:rsidRDefault="00000000">
            <w:pPr>
              <w:pStyle w:val="afffffffa"/>
              <w:rPr>
                <w:color w:val="000000" w:themeColor="text1"/>
                <w:szCs w:val="21"/>
              </w:rPr>
            </w:pPr>
            <w:r w:rsidRPr="00B12FE0">
              <w:rPr>
                <w:rFonts w:hint="eastAsia"/>
                <w:color w:val="000000" w:themeColor="text1"/>
                <w:szCs w:val="21"/>
              </w:rPr>
              <w:t>0.5</w:t>
            </w:r>
          </w:p>
        </w:tc>
        <w:tc>
          <w:tcPr>
            <w:tcW w:w="831" w:type="pct"/>
            <w:tcBorders>
              <w:top w:val="single" w:sz="4" w:space="0" w:color="auto"/>
              <w:left w:val="single" w:sz="4" w:space="0" w:color="auto"/>
              <w:bottom w:val="single" w:sz="4" w:space="0" w:color="auto"/>
              <w:right w:val="single" w:sz="4" w:space="0" w:color="auto"/>
            </w:tcBorders>
            <w:vAlign w:val="center"/>
          </w:tcPr>
          <w:p w14:paraId="5663BAD0" w14:textId="77777777" w:rsidR="00A67F21" w:rsidRPr="00B12FE0" w:rsidRDefault="00000000">
            <w:pPr>
              <w:pStyle w:val="afffffffa"/>
              <w:rPr>
                <w:color w:val="000000" w:themeColor="text1"/>
                <w:szCs w:val="21"/>
              </w:rPr>
            </w:pPr>
            <w:r w:rsidRPr="00B12FE0">
              <w:rPr>
                <w:rFonts w:hint="eastAsia"/>
                <w:color w:val="000000" w:themeColor="text1"/>
                <w:szCs w:val="21"/>
              </w:rPr>
              <w:t>3</w:t>
            </w:r>
            <w:r w:rsidRPr="00B12FE0">
              <w:rPr>
                <w:color w:val="000000" w:themeColor="text1"/>
                <w:szCs w:val="21"/>
              </w:rPr>
              <w:t>0mmPb</w:t>
            </w:r>
            <w:proofErr w:type="gramStart"/>
            <w:r w:rsidRPr="00B12FE0">
              <w:rPr>
                <w:rFonts w:hint="eastAsia"/>
                <w:color w:val="000000" w:themeColor="text1"/>
                <w:szCs w:val="21"/>
              </w:rPr>
              <w:t>铅罐</w:t>
            </w:r>
            <w:proofErr w:type="gramEnd"/>
          </w:p>
        </w:tc>
        <w:tc>
          <w:tcPr>
            <w:tcW w:w="674" w:type="pct"/>
            <w:tcBorders>
              <w:top w:val="single" w:sz="4" w:space="0" w:color="000000"/>
              <w:left w:val="single" w:sz="4" w:space="0" w:color="000000"/>
              <w:bottom w:val="single" w:sz="4" w:space="0" w:color="000000"/>
              <w:right w:val="single" w:sz="4" w:space="0" w:color="000000"/>
            </w:tcBorders>
            <w:vAlign w:val="center"/>
          </w:tcPr>
          <w:p w14:paraId="4B02B154" w14:textId="77777777" w:rsidR="00A67F21" w:rsidRPr="00B12FE0" w:rsidRDefault="00000000">
            <w:pPr>
              <w:pStyle w:val="afffffffa"/>
              <w:rPr>
                <w:color w:val="000000" w:themeColor="text1"/>
                <w:szCs w:val="21"/>
              </w:rPr>
            </w:pPr>
            <w:r w:rsidRPr="00B12FE0">
              <w:rPr>
                <w:rFonts w:eastAsia="等线"/>
                <w:color w:val="000000" w:themeColor="text1"/>
                <w:szCs w:val="21"/>
              </w:rPr>
              <w:t>9.27E-01</w:t>
            </w:r>
          </w:p>
        </w:tc>
      </w:tr>
      <w:tr w:rsidR="00A67F21" w:rsidRPr="00B12FE0" w14:paraId="17FB5515" w14:textId="77777777">
        <w:trPr>
          <w:gridAfter w:val="1"/>
          <w:wAfter w:w="10" w:type="pct"/>
          <w:trHeight w:val="340"/>
          <w:jc w:val="center"/>
        </w:trPr>
        <w:tc>
          <w:tcPr>
            <w:tcW w:w="329" w:type="pct"/>
            <w:vMerge/>
            <w:tcBorders>
              <w:left w:val="single" w:sz="4" w:space="0" w:color="auto"/>
              <w:right w:val="single" w:sz="4" w:space="0" w:color="auto"/>
            </w:tcBorders>
            <w:vAlign w:val="center"/>
          </w:tcPr>
          <w:p w14:paraId="28A895EB" w14:textId="77777777" w:rsidR="00A67F21" w:rsidRPr="00B12FE0" w:rsidRDefault="00A67F21">
            <w:pPr>
              <w:pStyle w:val="afffffffa"/>
              <w:rPr>
                <w:color w:val="000000" w:themeColor="text1"/>
                <w:szCs w:val="21"/>
              </w:rPr>
            </w:pPr>
          </w:p>
        </w:tc>
        <w:tc>
          <w:tcPr>
            <w:tcW w:w="333" w:type="pct"/>
            <w:vMerge/>
            <w:tcBorders>
              <w:left w:val="single" w:sz="4" w:space="0" w:color="auto"/>
              <w:right w:val="single" w:sz="4" w:space="0" w:color="auto"/>
            </w:tcBorders>
            <w:vAlign w:val="center"/>
          </w:tcPr>
          <w:p w14:paraId="668C0EC4" w14:textId="77777777" w:rsidR="00A67F21" w:rsidRPr="00B12FE0" w:rsidRDefault="00A67F21">
            <w:pPr>
              <w:pStyle w:val="afffffffa"/>
              <w:rPr>
                <w:color w:val="000000" w:themeColor="text1"/>
                <w:szCs w:val="21"/>
              </w:rPr>
            </w:pPr>
          </w:p>
        </w:tc>
        <w:tc>
          <w:tcPr>
            <w:tcW w:w="1026" w:type="pct"/>
            <w:tcBorders>
              <w:left w:val="single" w:sz="4" w:space="0" w:color="auto"/>
              <w:right w:val="single" w:sz="4" w:space="0" w:color="auto"/>
            </w:tcBorders>
          </w:tcPr>
          <w:p w14:paraId="261F7076" w14:textId="77777777" w:rsidR="00A67F21" w:rsidRPr="00B12FE0" w:rsidRDefault="00000000">
            <w:pPr>
              <w:pStyle w:val="afffffffa"/>
              <w:rPr>
                <w:color w:val="000000" w:themeColor="text1"/>
                <w:szCs w:val="21"/>
              </w:rPr>
            </w:pPr>
            <w:r w:rsidRPr="00B12FE0">
              <w:rPr>
                <w:rFonts w:hint="eastAsia"/>
                <w:color w:val="000000" w:themeColor="text1"/>
              </w:rPr>
              <w:t>校准源取出</w:t>
            </w:r>
            <w:r w:rsidRPr="00B12FE0">
              <w:rPr>
                <w:rFonts w:hint="eastAsia"/>
                <w:color w:val="000000" w:themeColor="text1"/>
              </w:rPr>
              <w:t>/</w:t>
            </w:r>
            <w:r w:rsidRPr="00B12FE0">
              <w:rPr>
                <w:rFonts w:hint="eastAsia"/>
                <w:color w:val="000000" w:themeColor="text1"/>
              </w:rPr>
              <w:t>放回</w:t>
            </w:r>
          </w:p>
        </w:tc>
        <w:tc>
          <w:tcPr>
            <w:tcW w:w="647" w:type="pct"/>
            <w:tcBorders>
              <w:left w:val="single" w:sz="4" w:space="0" w:color="auto"/>
              <w:right w:val="single" w:sz="4" w:space="0" w:color="auto"/>
            </w:tcBorders>
            <w:vAlign w:val="center"/>
          </w:tcPr>
          <w:p w14:paraId="1F2A30FE" w14:textId="77777777" w:rsidR="00A67F21" w:rsidRPr="00B12FE0" w:rsidRDefault="00000000">
            <w:pPr>
              <w:pStyle w:val="afffffffa"/>
              <w:rPr>
                <w:color w:val="000000" w:themeColor="text1"/>
                <w:szCs w:val="21"/>
              </w:rPr>
            </w:pPr>
            <w:r w:rsidRPr="00B12FE0">
              <w:rPr>
                <w:color w:val="000000" w:themeColor="text1"/>
                <w:szCs w:val="21"/>
              </w:rPr>
              <w:t>7.40E+07</w:t>
            </w:r>
          </w:p>
        </w:tc>
        <w:tc>
          <w:tcPr>
            <w:tcW w:w="735" w:type="pct"/>
            <w:tcBorders>
              <w:left w:val="single" w:sz="4" w:space="0" w:color="auto"/>
              <w:right w:val="single" w:sz="4" w:space="0" w:color="auto"/>
            </w:tcBorders>
            <w:vAlign w:val="center"/>
          </w:tcPr>
          <w:p w14:paraId="30A636BF" w14:textId="77777777" w:rsidR="00A67F21" w:rsidRPr="00B12FE0" w:rsidRDefault="00000000">
            <w:pPr>
              <w:pStyle w:val="afffffffa"/>
              <w:rPr>
                <w:color w:val="000000" w:themeColor="text1"/>
                <w:szCs w:val="21"/>
              </w:rPr>
            </w:pPr>
            <w:r w:rsidRPr="00B12FE0">
              <w:rPr>
                <w:color w:val="000000" w:themeColor="text1"/>
                <w:szCs w:val="21"/>
              </w:rPr>
              <w:t>0.134</w:t>
            </w:r>
          </w:p>
        </w:tc>
        <w:tc>
          <w:tcPr>
            <w:tcW w:w="415" w:type="pct"/>
            <w:tcBorders>
              <w:top w:val="single" w:sz="4" w:space="0" w:color="auto"/>
              <w:left w:val="single" w:sz="4" w:space="0" w:color="auto"/>
              <w:bottom w:val="single" w:sz="4" w:space="0" w:color="auto"/>
              <w:right w:val="single" w:sz="4" w:space="0" w:color="auto"/>
            </w:tcBorders>
            <w:vAlign w:val="center"/>
          </w:tcPr>
          <w:p w14:paraId="738F193F" w14:textId="77777777" w:rsidR="00A67F21" w:rsidRPr="00B12FE0" w:rsidRDefault="00000000">
            <w:pPr>
              <w:pStyle w:val="afffffffa"/>
              <w:rPr>
                <w:color w:val="000000" w:themeColor="text1"/>
                <w:szCs w:val="21"/>
              </w:rPr>
            </w:pPr>
            <w:r w:rsidRPr="00B12FE0">
              <w:rPr>
                <w:rFonts w:hint="eastAsia"/>
                <w:color w:val="000000" w:themeColor="text1"/>
                <w:szCs w:val="21"/>
              </w:rPr>
              <w:t>0.5</w:t>
            </w:r>
          </w:p>
        </w:tc>
        <w:tc>
          <w:tcPr>
            <w:tcW w:w="831" w:type="pct"/>
            <w:tcBorders>
              <w:top w:val="single" w:sz="4" w:space="0" w:color="auto"/>
              <w:left w:val="single" w:sz="4" w:space="0" w:color="auto"/>
              <w:bottom w:val="single" w:sz="4" w:space="0" w:color="auto"/>
              <w:right w:val="single" w:sz="4" w:space="0" w:color="auto"/>
            </w:tcBorders>
            <w:vAlign w:val="center"/>
          </w:tcPr>
          <w:p w14:paraId="53C87A40" w14:textId="77777777" w:rsidR="00A67F21" w:rsidRPr="00B12FE0" w:rsidRDefault="00000000">
            <w:pPr>
              <w:pStyle w:val="afffffffa"/>
              <w:rPr>
                <w:color w:val="000000" w:themeColor="text1"/>
                <w:szCs w:val="21"/>
              </w:rPr>
            </w:pPr>
            <w:r w:rsidRPr="00B12FE0">
              <w:rPr>
                <w:rFonts w:hint="eastAsia"/>
                <w:color w:val="000000" w:themeColor="text1"/>
                <w:szCs w:val="21"/>
              </w:rPr>
              <w:t>/</w:t>
            </w:r>
          </w:p>
        </w:tc>
        <w:tc>
          <w:tcPr>
            <w:tcW w:w="674" w:type="pct"/>
            <w:tcBorders>
              <w:top w:val="single" w:sz="4" w:space="0" w:color="000000"/>
              <w:left w:val="single" w:sz="4" w:space="0" w:color="000000"/>
              <w:bottom w:val="single" w:sz="4" w:space="0" w:color="000000"/>
              <w:right w:val="single" w:sz="4" w:space="0" w:color="000000"/>
            </w:tcBorders>
            <w:vAlign w:val="center"/>
          </w:tcPr>
          <w:p w14:paraId="4D06C689" w14:textId="77777777" w:rsidR="00A67F21" w:rsidRPr="00B12FE0" w:rsidRDefault="00000000">
            <w:pPr>
              <w:pStyle w:val="afffffffa"/>
              <w:rPr>
                <w:color w:val="000000" w:themeColor="text1"/>
                <w:szCs w:val="21"/>
              </w:rPr>
            </w:pPr>
            <w:r w:rsidRPr="00B12FE0">
              <w:rPr>
                <w:rFonts w:eastAsia="等线"/>
                <w:color w:val="000000" w:themeColor="text1"/>
                <w:szCs w:val="21"/>
              </w:rPr>
              <w:t>5.95E+01</w:t>
            </w:r>
          </w:p>
        </w:tc>
      </w:tr>
    </w:tbl>
    <w:p w14:paraId="1FFBBBE8" w14:textId="77777777" w:rsidR="00A67F21" w:rsidRPr="00B12FE0" w:rsidRDefault="00000000">
      <w:pPr>
        <w:keepNext/>
        <w:adjustRightInd w:val="0"/>
        <w:snapToGrid w:val="0"/>
        <w:spacing w:line="360" w:lineRule="auto"/>
        <w:ind w:firstLineChars="200" w:firstLine="482"/>
        <w:rPr>
          <w:b/>
          <w:bCs/>
          <w:color w:val="000000" w:themeColor="text1"/>
          <w:szCs w:val="24"/>
        </w:rPr>
      </w:pPr>
      <w:r w:rsidRPr="00B12FE0">
        <w:rPr>
          <w:rFonts w:ascii="宋体" w:hAnsi="宋体"/>
          <w:b/>
          <w:bCs/>
          <w:color w:val="000000" w:themeColor="text1"/>
          <w:szCs w:val="24"/>
        </w:rPr>
        <w:t>三、核医学</w:t>
      </w:r>
      <w:proofErr w:type="gramStart"/>
      <w:r w:rsidRPr="00B12FE0">
        <w:rPr>
          <w:rFonts w:ascii="宋体" w:hAnsi="宋体"/>
          <w:b/>
          <w:bCs/>
          <w:color w:val="000000" w:themeColor="text1"/>
          <w:szCs w:val="24"/>
        </w:rPr>
        <w:t>科运行</w:t>
      </w:r>
      <w:proofErr w:type="gramEnd"/>
      <w:r w:rsidRPr="00B12FE0">
        <w:rPr>
          <w:rFonts w:ascii="宋体" w:hAnsi="宋体"/>
          <w:b/>
          <w:bCs/>
          <w:color w:val="000000" w:themeColor="text1"/>
          <w:szCs w:val="24"/>
        </w:rPr>
        <w:t>期</w:t>
      </w:r>
      <w:r w:rsidRPr="00B12FE0">
        <w:rPr>
          <w:b/>
          <w:bCs/>
          <w:color w:val="000000" w:themeColor="text1"/>
          <w:szCs w:val="24"/>
        </w:rPr>
        <w:t>PET/CT</w:t>
      </w:r>
      <w:r w:rsidRPr="00B12FE0">
        <w:rPr>
          <w:rFonts w:ascii="宋体" w:hAnsi="宋体"/>
          <w:b/>
          <w:bCs/>
          <w:color w:val="000000" w:themeColor="text1"/>
          <w:szCs w:val="24"/>
        </w:rPr>
        <w:t>和</w:t>
      </w:r>
      <w:r w:rsidRPr="00B12FE0">
        <w:rPr>
          <w:b/>
          <w:bCs/>
          <w:color w:val="000000" w:themeColor="text1"/>
          <w:szCs w:val="24"/>
        </w:rPr>
        <w:t>SPECT/CT X</w:t>
      </w:r>
      <w:r w:rsidRPr="00B12FE0">
        <w:rPr>
          <w:rFonts w:ascii="宋体" w:hAnsi="宋体"/>
          <w:b/>
          <w:bCs/>
          <w:color w:val="000000" w:themeColor="text1"/>
          <w:szCs w:val="24"/>
        </w:rPr>
        <w:t>射线辐射影响分析</w:t>
      </w:r>
    </w:p>
    <w:p w14:paraId="17646C61" w14:textId="77777777" w:rsidR="00A67F21" w:rsidRPr="00B12FE0" w:rsidRDefault="00000000">
      <w:pPr>
        <w:topLinePunct/>
        <w:spacing w:line="360" w:lineRule="auto"/>
        <w:ind w:firstLineChars="200" w:firstLine="480"/>
        <w:rPr>
          <w:color w:val="000000" w:themeColor="text1"/>
        </w:rPr>
      </w:pPr>
      <w:r w:rsidRPr="00B12FE0">
        <w:rPr>
          <w:rFonts w:hint="eastAsia"/>
          <w:bCs/>
          <w:color w:val="000000" w:themeColor="text1"/>
          <w:szCs w:val="28"/>
        </w:rPr>
        <w:t>本项目所使用的</w:t>
      </w:r>
      <w:r w:rsidRPr="00B12FE0">
        <w:rPr>
          <w:rFonts w:hint="eastAsia"/>
          <w:color w:val="000000" w:themeColor="text1"/>
        </w:rPr>
        <w:t>P</w:t>
      </w:r>
      <w:r w:rsidRPr="00B12FE0">
        <w:rPr>
          <w:color w:val="000000" w:themeColor="text1"/>
        </w:rPr>
        <w:t>ET/CT</w:t>
      </w:r>
      <w:r w:rsidRPr="00B12FE0">
        <w:rPr>
          <w:rFonts w:hint="eastAsia"/>
          <w:color w:val="000000" w:themeColor="text1"/>
        </w:rPr>
        <w:t>和</w:t>
      </w:r>
      <w:r w:rsidRPr="00B12FE0">
        <w:rPr>
          <w:color w:val="000000" w:themeColor="text1"/>
        </w:rPr>
        <w:t>SPECT/CT</w:t>
      </w:r>
      <w:r w:rsidRPr="00B12FE0">
        <w:rPr>
          <w:rFonts w:hint="eastAsia"/>
          <w:color w:val="000000" w:themeColor="text1"/>
        </w:rPr>
        <w:t>配套</w:t>
      </w:r>
      <w:r w:rsidRPr="00B12FE0">
        <w:rPr>
          <w:rFonts w:hint="eastAsia"/>
          <w:color w:val="000000" w:themeColor="text1"/>
        </w:rPr>
        <w:t>C</w:t>
      </w:r>
      <w:r w:rsidRPr="00B12FE0">
        <w:rPr>
          <w:color w:val="000000" w:themeColor="text1"/>
        </w:rPr>
        <w:t>T</w:t>
      </w:r>
      <w:r w:rsidRPr="00B12FE0">
        <w:rPr>
          <w:rFonts w:hint="eastAsia"/>
          <w:bCs/>
          <w:color w:val="000000" w:themeColor="text1"/>
          <w:szCs w:val="28"/>
        </w:rPr>
        <w:t>额定管电压均为</w:t>
      </w:r>
      <w:r w:rsidRPr="00B12FE0">
        <w:rPr>
          <w:bCs/>
          <w:color w:val="000000" w:themeColor="text1"/>
          <w:szCs w:val="28"/>
        </w:rPr>
        <w:t>140kV</w:t>
      </w:r>
      <w:r w:rsidRPr="00B12FE0">
        <w:rPr>
          <w:rFonts w:hint="eastAsia"/>
          <w:bCs/>
          <w:color w:val="000000" w:themeColor="text1"/>
          <w:szCs w:val="28"/>
        </w:rPr>
        <w:t>，</w:t>
      </w:r>
      <w:r w:rsidRPr="00B12FE0">
        <w:rPr>
          <w:color w:val="000000" w:themeColor="text1"/>
        </w:rPr>
        <w:t>还需考虑</w:t>
      </w:r>
      <w:r w:rsidRPr="00B12FE0">
        <w:rPr>
          <w:color w:val="000000" w:themeColor="text1"/>
        </w:rPr>
        <w:t>CT</w:t>
      </w:r>
      <w:r w:rsidRPr="00B12FE0">
        <w:rPr>
          <w:color w:val="000000" w:themeColor="text1"/>
        </w:rPr>
        <w:t>运行时产生的</w:t>
      </w:r>
      <w:r w:rsidRPr="00B12FE0">
        <w:rPr>
          <w:color w:val="000000" w:themeColor="text1"/>
        </w:rPr>
        <w:t>X</w:t>
      </w:r>
      <w:r w:rsidRPr="00B12FE0">
        <w:rPr>
          <w:color w:val="000000" w:themeColor="text1"/>
        </w:rPr>
        <w:t>射线的辐射屏蔽。</w:t>
      </w:r>
      <w:r w:rsidRPr="00B12FE0">
        <w:rPr>
          <w:rFonts w:hint="eastAsia"/>
          <w:color w:val="000000" w:themeColor="text1"/>
        </w:rPr>
        <w:t>参考</w:t>
      </w:r>
      <w:r w:rsidRPr="00B12FE0">
        <w:rPr>
          <w:rFonts w:hint="eastAsia"/>
          <w:color w:val="000000" w:themeColor="text1"/>
          <w:lang w:eastAsia="zh-Hans"/>
        </w:rPr>
        <w:t>西门子</w:t>
      </w:r>
      <w:r w:rsidRPr="00B12FE0">
        <w:rPr>
          <w:rFonts w:hint="eastAsia"/>
          <w:color w:val="000000" w:themeColor="text1"/>
        </w:rPr>
        <w:t>厂家提供的</w:t>
      </w:r>
      <w:r w:rsidRPr="00B12FE0">
        <w:rPr>
          <w:color w:val="000000" w:themeColor="text1"/>
        </w:rPr>
        <w:t>140kV</w:t>
      </w:r>
      <w:r w:rsidRPr="00B12FE0">
        <w:rPr>
          <w:color w:val="000000" w:themeColor="text1"/>
        </w:rPr>
        <w:t>工况下</w:t>
      </w:r>
      <w:r w:rsidRPr="00B12FE0">
        <w:rPr>
          <w:color w:val="000000" w:themeColor="text1"/>
        </w:rPr>
        <w:t>CT</w:t>
      </w:r>
      <w:r w:rsidRPr="00B12FE0">
        <w:rPr>
          <w:rFonts w:hint="eastAsia"/>
          <w:color w:val="000000" w:themeColor="text1"/>
          <w:lang w:eastAsia="zh-Hans"/>
        </w:rPr>
        <w:t>周围的剂量率分布曲线</w:t>
      </w:r>
      <w:r w:rsidRPr="00B12FE0">
        <w:rPr>
          <w:color w:val="000000" w:themeColor="text1"/>
        </w:rPr>
        <w:t>，</w:t>
      </w:r>
      <w:r w:rsidRPr="00B12FE0">
        <w:rPr>
          <w:rFonts w:hint="eastAsia"/>
          <w:color w:val="000000" w:themeColor="text1"/>
        </w:rPr>
        <w:t>水平方向</w:t>
      </w:r>
      <w:r w:rsidRPr="00B12FE0">
        <w:rPr>
          <w:rFonts w:hint="eastAsia"/>
          <w:color w:val="000000" w:themeColor="text1"/>
        </w:rPr>
        <w:t>1m</w:t>
      </w:r>
      <w:r w:rsidRPr="00B12FE0">
        <w:rPr>
          <w:rFonts w:hint="eastAsia"/>
          <w:color w:val="000000" w:themeColor="text1"/>
        </w:rPr>
        <w:t>处的杂散辐射剂量率</w:t>
      </w:r>
      <w:bookmarkStart w:id="23" w:name="_Hlk141630224"/>
      <w:r w:rsidRPr="00B12FE0">
        <w:rPr>
          <w:color w:val="000000" w:themeColor="text1"/>
        </w:rPr>
        <w:t>0</w:t>
      </w:r>
      <w:r w:rsidRPr="00B12FE0">
        <w:rPr>
          <w:rFonts w:hint="eastAsia"/>
          <w:color w:val="000000" w:themeColor="text1"/>
          <w:lang w:eastAsia="zh-Hans"/>
        </w:rPr>
        <w:t>.</w:t>
      </w:r>
      <w:r w:rsidRPr="00B12FE0">
        <w:rPr>
          <w:color w:val="000000" w:themeColor="text1"/>
          <w:lang w:eastAsia="zh-Hans"/>
        </w:rPr>
        <w:t>051</w:t>
      </w:r>
      <w:r w:rsidRPr="00B12FE0">
        <w:rPr>
          <w:color w:val="000000" w:themeColor="text1"/>
          <w:kern w:val="0"/>
        </w:rPr>
        <w:t>μ</w:t>
      </w:r>
      <w:r w:rsidRPr="00B12FE0">
        <w:rPr>
          <w:rFonts w:hint="eastAsia"/>
          <w:color w:val="000000" w:themeColor="text1"/>
          <w:kern w:val="0"/>
          <w:lang w:eastAsia="zh-Hans"/>
        </w:rPr>
        <w:t>Gy</w:t>
      </w:r>
      <w:r w:rsidRPr="00B12FE0">
        <w:rPr>
          <w:rFonts w:cs="宋体"/>
          <w:color w:val="000000" w:themeColor="text1"/>
          <w:kern w:val="0"/>
        </w:rPr>
        <w:t>/</w:t>
      </w:r>
      <w:bookmarkEnd w:id="23"/>
      <w:proofErr w:type="spellStart"/>
      <w:r w:rsidRPr="00B12FE0">
        <w:rPr>
          <w:rFonts w:cs="宋体" w:hint="eastAsia"/>
          <w:color w:val="000000" w:themeColor="text1"/>
          <w:kern w:val="0"/>
          <w:lang w:eastAsia="zh-Hans"/>
        </w:rPr>
        <w:t>mA</w:t>
      </w:r>
      <w:r w:rsidRPr="00B12FE0">
        <w:rPr>
          <w:rFonts w:cs="宋体"/>
          <w:color w:val="000000" w:themeColor="text1"/>
          <w:kern w:val="0"/>
          <w:lang w:eastAsia="zh-Hans"/>
        </w:rPr>
        <w:t>·</w:t>
      </w:r>
      <w:r w:rsidRPr="00B12FE0">
        <w:rPr>
          <w:rFonts w:cs="宋体" w:hint="eastAsia"/>
          <w:color w:val="000000" w:themeColor="text1"/>
          <w:kern w:val="0"/>
          <w:lang w:eastAsia="zh-Hans"/>
        </w:rPr>
        <w:t>s</w:t>
      </w:r>
      <w:proofErr w:type="spellEnd"/>
      <w:r w:rsidRPr="00B12FE0">
        <w:rPr>
          <w:rFonts w:cs="宋体" w:hint="eastAsia"/>
          <w:color w:val="000000" w:themeColor="text1"/>
          <w:kern w:val="0"/>
        </w:rPr>
        <w:t>，垂直方向</w:t>
      </w:r>
      <w:r w:rsidRPr="00B12FE0">
        <w:rPr>
          <w:rFonts w:cs="宋体" w:hint="eastAsia"/>
          <w:color w:val="000000" w:themeColor="text1"/>
          <w:kern w:val="0"/>
        </w:rPr>
        <w:t>1m</w:t>
      </w:r>
      <w:r w:rsidRPr="00B12FE0">
        <w:rPr>
          <w:rFonts w:cs="宋体" w:hint="eastAsia"/>
          <w:color w:val="000000" w:themeColor="text1"/>
          <w:kern w:val="0"/>
        </w:rPr>
        <w:t>处的杂散辐射剂量率</w:t>
      </w:r>
      <w:r w:rsidRPr="00B12FE0">
        <w:rPr>
          <w:rFonts w:cs="宋体"/>
          <w:color w:val="000000" w:themeColor="text1"/>
          <w:kern w:val="0"/>
        </w:rPr>
        <w:t>0</w:t>
      </w:r>
      <w:r w:rsidRPr="00B12FE0">
        <w:rPr>
          <w:rFonts w:cs="宋体" w:hint="eastAsia"/>
          <w:color w:val="000000" w:themeColor="text1"/>
          <w:kern w:val="0"/>
          <w:lang w:eastAsia="zh-Hans"/>
        </w:rPr>
        <w:t>.</w:t>
      </w:r>
      <w:r w:rsidRPr="00B12FE0">
        <w:rPr>
          <w:rFonts w:cs="宋体"/>
          <w:color w:val="000000" w:themeColor="text1"/>
          <w:kern w:val="0"/>
          <w:lang w:eastAsia="zh-Hans"/>
        </w:rPr>
        <w:t>052</w:t>
      </w:r>
      <w:r w:rsidRPr="00B12FE0">
        <w:rPr>
          <w:color w:val="000000" w:themeColor="text1"/>
          <w:kern w:val="0"/>
        </w:rPr>
        <w:t>μ</w:t>
      </w:r>
      <w:r w:rsidRPr="00B12FE0">
        <w:rPr>
          <w:rFonts w:hint="eastAsia"/>
          <w:color w:val="000000" w:themeColor="text1"/>
          <w:kern w:val="0"/>
          <w:lang w:eastAsia="zh-Hans"/>
        </w:rPr>
        <w:t>Gy</w:t>
      </w:r>
      <w:r w:rsidRPr="00B12FE0">
        <w:rPr>
          <w:rFonts w:cs="宋体"/>
          <w:color w:val="000000" w:themeColor="text1"/>
          <w:kern w:val="0"/>
        </w:rPr>
        <w:t>/</w:t>
      </w:r>
      <w:proofErr w:type="spellStart"/>
      <w:r w:rsidRPr="00B12FE0">
        <w:rPr>
          <w:rFonts w:cs="宋体" w:hint="eastAsia"/>
          <w:color w:val="000000" w:themeColor="text1"/>
          <w:kern w:val="0"/>
          <w:lang w:eastAsia="zh-Hans"/>
        </w:rPr>
        <w:t>mA</w:t>
      </w:r>
      <w:r w:rsidRPr="00B12FE0">
        <w:rPr>
          <w:rFonts w:cs="宋体"/>
          <w:color w:val="000000" w:themeColor="text1"/>
          <w:kern w:val="0"/>
          <w:lang w:eastAsia="zh-Hans"/>
        </w:rPr>
        <w:t>·</w:t>
      </w:r>
      <w:r w:rsidRPr="00B12FE0">
        <w:rPr>
          <w:rFonts w:cs="宋体" w:hint="eastAsia"/>
          <w:color w:val="000000" w:themeColor="text1"/>
          <w:kern w:val="0"/>
          <w:lang w:eastAsia="zh-Hans"/>
        </w:rPr>
        <w:t>s</w:t>
      </w:r>
      <w:proofErr w:type="spellEnd"/>
      <w:r w:rsidRPr="00B12FE0">
        <w:rPr>
          <w:rFonts w:cs="宋体" w:hint="eastAsia"/>
          <w:color w:val="000000" w:themeColor="text1"/>
          <w:kern w:val="0"/>
        </w:rPr>
        <w:t>。</w:t>
      </w:r>
      <w:r w:rsidRPr="00B12FE0">
        <w:rPr>
          <w:color w:val="000000" w:themeColor="text1"/>
        </w:rPr>
        <w:t>CT</w:t>
      </w:r>
      <w:r w:rsidRPr="00B12FE0">
        <w:rPr>
          <w:color w:val="000000" w:themeColor="text1"/>
        </w:rPr>
        <w:t>设备运行电流不超过</w:t>
      </w:r>
      <w:r w:rsidRPr="00B12FE0">
        <w:rPr>
          <w:color w:val="000000" w:themeColor="text1"/>
        </w:rPr>
        <w:t>300mA</w:t>
      </w:r>
      <w:r w:rsidRPr="00B12FE0">
        <w:rPr>
          <w:color w:val="000000" w:themeColor="text1"/>
        </w:rPr>
        <w:t>，参考</w:t>
      </w:r>
      <w:r w:rsidRPr="00B12FE0">
        <w:rPr>
          <w:color w:val="000000" w:themeColor="text1"/>
        </w:rPr>
        <w:t>GBZ/T201.1</w:t>
      </w:r>
      <w:r w:rsidRPr="00B12FE0">
        <w:rPr>
          <w:color w:val="000000" w:themeColor="text1"/>
        </w:rPr>
        <w:t>的</w:t>
      </w:r>
      <w:r w:rsidRPr="00B12FE0">
        <w:rPr>
          <w:color w:val="000000" w:themeColor="text1"/>
        </w:rPr>
        <w:t>4.8.3</w:t>
      </w:r>
      <w:r w:rsidRPr="00B12FE0">
        <w:rPr>
          <w:color w:val="000000" w:themeColor="text1"/>
        </w:rPr>
        <w:t>，</w:t>
      </w:r>
      <w:r w:rsidRPr="00B12FE0">
        <w:rPr>
          <w:rFonts w:hint="eastAsia"/>
          <w:color w:val="000000" w:themeColor="text1"/>
          <w:lang w:eastAsia="zh-Hans"/>
        </w:rPr>
        <w:t>故</w:t>
      </w:r>
      <w:r w:rsidRPr="00B12FE0">
        <w:rPr>
          <w:color w:val="000000" w:themeColor="text1"/>
          <w:lang w:eastAsia="zh-Hans"/>
        </w:rPr>
        <w:t>1</w:t>
      </w:r>
      <w:r w:rsidRPr="00B12FE0">
        <w:rPr>
          <w:rFonts w:hint="eastAsia"/>
          <w:color w:val="000000" w:themeColor="text1"/>
          <w:lang w:eastAsia="zh-Hans"/>
        </w:rPr>
        <w:t>m</w:t>
      </w:r>
      <w:r w:rsidRPr="00B12FE0">
        <w:rPr>
          <w:rFonts w:hint="eastAsia"/>
          <w:color w:val="000000" w:themeColor="text1"/>
          <w:lang w:eastAsia="zh-Hans"/>
        </w:rPr>
        <w:t>处</w:t>
      </w:r>
      <w:r w:rsidRPr="00B12FE0">
        <w:rPr>
          <w:rFonts w:cs="宋体" w:hint="eastAsia"/>
          <w:color w:val="000000" w:themeColor="text1"/>
          <w:kern w:val="0"/>
        </w:rPr>
        <w:t>杂散辐射剂量率</w:t>
      </w:r>
      <w:r w:rsidRPr="00B12FE0">
        <w:rPr>
          <w:rFonts w:cs="宋体" w:hint="eastAsia"/>
          <w:color w:val="000000" w:themeColor="text1"/>
          <w:kern w:val="0"/>
          <w:lang w:eastAsia="zh-Hans"/>
        </w:rPr>
        <w:t>最高约</w:t>
      </w:r>
      <w:r w:rsidRPr="00B12FE0">
        <w:rPr>
          <w:rFonts w:cs="宋体"/>
          <w:color w:val="000000" w:themeColor="text1"/>
          <w:kern w:val="0"/>
          <w:lang w:eastAsia="zh-Hans"/>
        </w:rPr>
        <w:t>56</w:t>
      </w:r>
      <w:r w:rsidRPr="00B12FE0">
        <w:rPr>
          <w:rFonts w:cs="宋体" w:hint="eastAsia"/>
          <w:color w:val="000000" w:themeColor="text1"/>
          <w:kern w:val="0"/>
          <w:lang w:eastAsia="zh-Hans"/>
        </w:rPr>
        <w:t>.</w:t>
      </w:r>
      <w:r w:rsidRPr="00B12FE0">
        <w:rPr>
          <w:rFonts w:cs="宋体"/>
          <w:color w:val="000000" w:themeColor="text1"/>
          <w:kern w:val="0"/>
          <w:lang w:eastAsia="zh-Hans"/>
        </w:rPr>
        <w:t>16</w:t>
      </w:r>
      <w:r w:rsidRPr="00B12FE0">
        <w:rPr>
          <w:rFonts w:cs="宋体" w:hint="eastAsia"/>
          <w:color w:val="000000" w:themeColor="text1"/>
          <w:kern w:val="0"/>
          <w:lang w:eastAsia="zh-Hans"/>
        </w:rPr>
        <w:t>mGy</w:t>
      </w:r>
      <w:r w:rsidRPr="00B12FE0">
        <w:rPr>
          <w:rFonts w:cs="宋体"/>
          <w:color w:val="000000" w:themeColor="text1"/>
          <w:kern w:val="0"/>
          <w:lang w:eastAsia="zh-Hans"/>
        </w:rPr>
        <w:t>/</w:t>
      </w:r>
      <w:r w:rsidRPr="00B12FE0">
        <w:rPr>
          <w:rFonts w:cs="宋体" w:hint="eastAsia"/>
          <w:color w:val="000000" w:themeColor="text1"/>
          <w:kern w:val="0"/>
          <w:lang w:eastAsia="zh-Hans"/>
        </w:rPr>
        <w:t>h</w:t>
      </w:r>
      <w:r w:rsidRPr="00B12FE0">
        <w:rPr>
          <w:rFonts w:cs="宋体"/>
          <w:color w:val="000000" w:themeColor="text1"/>
          <w:kern w:val="0"/>
          <w:lang w:eastAsia="zh-Hans"/>
        </w:rPr>
        <w:t>。</w:t>
      </w:r>
      <w:r w:rsidRPr="00B12FE0">
        <w:rPr>
          <w:rFonts w:hint="eastAsia"/>
          <w:color w:val="000000" w:themeColor="text1"/>
          <w:lang w:eastAsia="zh-Hans"/>
        </w:rPr>
        <w:t>其他型号设备的</w:t>
      </w:r>
      <w:r w:rsidRPr="00B12FE0">
        <w:rPr>
          <w:rFonts w:hint="eastAsia"/>
          <w:color w:val="000000" w:themeColor="text1"/>
          <w:lang w:eastAsia="zh-Hans"/>
        </w:rPr>
        <w:t>CT</w:t>
      </w:r>
      <w:r w:rsidRPr="00B12FE0">
        <w:rPr>
          <w:rFonts w:hint="eastAsia"/>
          <w:color w:val="000000" w:themeColor="text1"/>
          <w:lang w:eastAsia="zh-Hans"/>
        </w:rPr>
        <w:t>散射辐射水平也在相同量级</w:t>
      </w:r>
      <w:r w:rsidRPr="00B12FE0">
        <w:rPr>
          <w:color w:val="000000" w:themeColor="text1"/>
          <w:lang w:eastAsia="zh-Hans"/>
        </w:rPr>
        <w:t>。</w:t>
      </w:r>
    </w:p>
    <w:p w14:paraId="029E8874" w14:textId="77777777" w:rsidR="00A67F21" w:rsidRPr="00B12FE0" w:rsidRDefault="00000000">
      <w:pPr>
        <w:adjustRightInd w:val="0"/>
        <w:snapToGrid w:val="0"/>
        <w:spacing w:line="360" w:lineRule="auto"/>
        <w:ind w:firstLine="480"/>
        <w:rPr>
          <w:color w:val="000000" w:themeColor="text1"/>
        </w:rPr>
      </w:pPr>
      <w:r w:rsidRPr="00B12FE0">
        <w:rPr>
          <w:bCs/>
          <w:color w:val="000000" w:themeColor="text1"/>
          <w:szCs w:val="28"/>
        </w:rPr>
        <w:t>根据</w:t>
      </w:r>
      <w:r w:rsidRPr="00B12FE0">
        <w:rPr>
          <w:rFonts w:hint="eastAsia"/>
          <w:bCs/>
          <w:color w:val="000000" w:themeColor="text1"/>
          <w:szCs w:val="28"/>
        </w:rPr>
        <w:t>表</w:t>
      </w:r>
      <w:r w:rsidRPr="00B12FE0">
        <w:rPr>
          <w:rFonts w:hint="eastAsia"/>
          <w:bCs/>
          <w:color w:val="000000" w:themeColor="text1"/>
          <w:szCs w:val="28"/>
        </w:rPr>
        <w:t>10.1.1.5-3</w:t>
      </w:r>
      <w:r w:rsidRPr="00B12FE0">
        <w:rPr>
          <w:bCs/>
          <w:color w:val="000000" w:themeColor="text1"/>
          <w:szCs w:val="28"/>
        </w:rPr>
        <w:t>可知</w:t>
      </w:r>
      <w:r w:rsidRPr="00B12FE0">
        <w:rPr>
          <w:rFonts w:hint="eastAsia"/>
          <w:bCs/>
          <w:color w:val="000000" w:themeColor="text1"/>
          <w:szCs w:val="28"/>
        </w:rPr>
        <w:t>，</w:t>
      </w:r>
      <w:r w:rsidRPr="00B12FE0">
        <w:rPr>
          <w:rFonts w:hint="eastAsia"/>
          <w:bCs/>
          <w:color w:val="000000" w:themeColor="text1"/>
          <w:szCs w:val="28"/>
        </w:rPr>
        <w:t>PET/CT</w:t>
      </w:r>
      <w:r w:rsidRPr="00B12FE0">
        <w:rPr>
          <w:bCs/>
          <w:color w:val="000000" w:themeColor="text1"/>
          <w:szCs w:val="28"/>
        </w:rPr>
        <w:t>机房屏蔽体外最低铅当量为</w:t>
      </w:r>
      <w:r w:rsidRPr="00B12FE0">
        <w:rPr>
          <w:rFonts w:hint="eastAsia"/>
          <w:bCs/>
          <w:color w:val="000000" w:themeColor="text1"/>
          <w:szCs w:val="28"/>
        </w:rPr>
        <w:t>3</w:t>
      </w:r>
      <w:r w:rsidRPr="00B12FE0">
        <w:rPr>
          <w:bCs/>
          <w:color w:val="000000" w:themeColor="text1"/>
          <w:szCs w:val="28"/>
        </w:rPr>
        <w:t>mmPb</w:t>
      </w:r>
      <w:r w:rsidRPr="00B12FE0">
        <w:rPr>
          <w:bCs/>
          <w:color w:val="000000" w:themeColor="text1"/>
          <w:szCs w:val="28"/>
        </w:rPr>
        <w:t>，根据《放射诊断放射防护要求》附录</w:t>
      </w:r>
      <w:r w:rsidRPr="00B12FE0">
        <w:rPr>
          <w:bCs/>
          <w:color w:val="000000" w:themeColor="text1"/>
          <w:szCs w:val="28"/>
        </w:rPr>
        <w:t>C</w:t>
      </w:r>
      <w:r w:rsidRPr="00B12FE0">
        <w:rPr>
          <w:bCs/>
          <w:color w:val="000000" w:themeColor="text1"/>
          <w:szCs w:val="28"/>
        </w:rPr>
        <w:t>的</w:t>
      </w:r>
      <w:r w:rsidRPr="00B12FE0">
        <w:rPr>
          <w:bCs/>
          <w:color w:val="000000" w:themeColor="text1"/>
          <w:szCs w:val="28"/>
        </w:rPr>
        <w:t>C.1.2</w:t>
      </w:r>
      <w:r w:rsidRPr="00B12FE0">
        <w:rPr>
          <w:bCs/>
          <w:color w:val="000000" w:themeColor="text1"/>
          <w:szCs w:val="28"/>
        </w:rPr>
        <w:t>中式</w:t>
      </w:r>
      <w:r w:rsidRPr="00B12FE0">
        <w:rPr>
          <w:bCs/>
          <w:color w:val="000000" w:themeColor="text1"/>
          <w:szCs w:val="28"/>
        </w:rPr>
        <w:t>C.1</w:t>
      </w:r>
      <w:r w:rsidRPr="00B12FE0">
        <w:rPr>
          <w:bCs/>
          <w:color w:val="000000" w:themeColor="text1"/>
          <w:szCs w:val="28"/>
        </w:rPr>
        <w:t>计算得屏蔽透射因子为</w:t>
      </w:r>
      <w:r w:rsidRPr="00B12FE0">
        <w:rPr>
          <w:rFonts w:hint="eastAsia"/>
          <w:bCs/>
          <w:color w:val="000000" w:themeColor="text1"/>
          <w:szCs w:val="28"/>
        </w:rPr>
        <w:t>1.28</w:t>
      </w:r>
      <w:r w:rsidRPr="00B12FE0">
        <w:rPr>
          <w:bCs/>
          <w:color w:val="000000" w:themeColor="text1"/>
          <w:szCs w:val="28"/>
        </w:rPr>
        <w:t>×10</w:t>
      </w:r>
      <w:r w:rsidRPr="00B12FE0">
        <w:rPr>
          <w:bCs/>
          <w:color w:val="000000" w:themeColor="text1"/>
          <w:szCs w:val="28"/>
          <w:vertAlign w:val="superscript"/>
        </w:rPr>
        <w:t>-</w:t>
      </w:r>
      <w:r w:rsidRPr="00B12FE0">
        <w:rPr>
          <w:rFonts w:hint="eastAsia"/>
          <w:bCs/>
          <w:color w:val="000000" w:themeColor="text1"/>
          <w:szCs w:val="28"/>
          <w:vertAlign w:val="superscript"/>
        </w:rPr>
        <w:t>4</w:t>
      </w:r>
      <w:r w:rsidRPr="00B12FE0">
        <w:rPr>
          <w:bCs/>
          <w:color w:val="000000" w:themeColor="text1"/>
          <w:szCs w:val="28"/>
        </w:rPr>
        <w:t>。距离屏蔽体外最近关注点的距离取</w:t>
      </w:r>
      <w:r w:rsidRPr="00B12FE0">
        <w:rPr>
          <w:bCs/>
          <w:color w:val="000000" w:themeColor="text1"/>
          <w:szCs w:val="28"/>
        </w:rPr>
        <w:t>3</w:t>
      </w:r>
      <w:r w:rsidRPr="00B12FE0">
        <w:rPr>
          <w:rFonts w:hint="eastAsia"/>
          <w:bCs/>
          <w:color w:val="000000" w:themeColor="text1"/>
          <w:szCs w:val="28"/>
        </w:rPr>
        <w:t>.6</w:t>
      </w:r>
      <w:r w:rsidRPr="00B12FE0">
        <w:rPr>
          <w:bCs/>
          <w:color w:val="000000" w:themeColor="text1"/>
          <w:szCs w:val="28"/>
        </w:rPr>
        <w:t>m</w:t>
      </w:r>
      <w:r w:rsidRPr="00B12FE0">
        <w:rPr>
          <w:bCs/>
          <w:color w:val="000000" w:themeColor="text1"/>
          <w:szCs w:val="28"/>
        </w:rPr>
        <w:t>，以上述数据核算，</w:t>
      </w:r>
      <w:r w:rsidRPr="00B12FE0">
        <w:rPr>
          <w:rFonts w:hint="eastAsia"/>
          <w:bCs/>
          <w:color w:val="000000" w:themeColor="text1"/>
          <w:szCs w:val="28"/>
        </w:rPr>
        <w:t>C</w:t>
      </w:r>
      <w:r w:rsidRPr="00B12FE0">
        <w:rPr>
          <w:bCs/>
          <w:color w:val="000000" w:themeColor="text1"/>
          <w:szCs w:val="28"/>
        </w:rPr>
        <w:t>T</w:t>
      </w:r>
      <w:r w:rsidRPr="00B12FE0">
        <w:rPr>
          <w:bCs/>
          <w:color w:val="000000" w:themeColor="text1"/>
          <w:szCs w:val="28"/>
        </w:rPr>
        <w:t>设备运行所致的</w:t>
      </w:r>
      <w:r w:rsidRPr="00B12FE0">
        <w:rPr>
          <w:rFonts w:hint="eastAsia"/>
          <w:bCs/>
          <w:color w:val="000000" w:themeColor="text1"/>
          <w:szCs w:val="28"/>
        </w:rPr>
        <w:t>辐射</w:t>
      </w:r>
      <w:r w:rsidRPr="00B12FE0">
        <w:rPr>
          <w:bCs/>
          <w:color w:val="000000" w:themeColor="text1"/>
          <w:szCs w:val="28"/>
        </w:rPr>
        <w:t>剂量率为</w:t>
      </w:r>
      <w:r w:rsidRPr="00B12FE0">
        <w:rPr>
          <w:bCs/>
          <w:color w:val="000000" w:themeColor="text1"/>
          <w:szCs w:val="28"/>
        </w:rPr>
        <w:t>0</w:t>
      </w:r>
      <w:r w:rsidRPr="00B12FE0">
        <w:rPr>
          <w:rFonts w:hint="eastAsia"/>
          <w:bCs/>
          <w:color w:val="000000" w:themeColor="text1"/>
          <w:szCs w:val="28"/>
          <w:lang w:eastAsia="zh-Hans"/>
        </w:rPr>
        <w:t>.</w:t>
      </w:r>
      <w:r w:rsidRPr="00B12FE0">
        <w:rPr>
          <w:rFonts w:hint="eastAsia"/>
          <w:bCs/>
          <w:color w:val="000000" w:themeColor="text1"/>
          <w:szCs w:val="28"/>
        </w:rPr>
        <w:t>55</w:t>
      </w:r>
      <w:r w:rsidRPr="00B12FE0">
        <w:rPr>
          <w:bCs/>
          <w:color w:val="000000" w:themeColor="text1"/>
          <w:szCs w:val="28"/>
        </w:rPr>
        <w:t>μSv/h</w:t>
      </w:r>
      <w:r w:rsidRPr="00B12FE0">
        <w:rPr>
          <w:bCs/>
          <w:color w:val="000000" w:themeColor="text1"/>
          <w:szCs w:val="28"/>
        </w:rPr>
        <w:t>，满足《放射诊断放射防护要求》（</w:t>
      </w:r>
      <w:r w:rsidRPr="00B12FE0">
        <w:rPr>
          <w:bCs/>
          <w:color w:val="000000" w:themeColor="text1"/>
          <w:szCs w:val="28"/>
        </w:rPr>
        <w:t>GBZ130-2020</w:t>
      </w:r>
      <w:r w:rsidRPr="00B12FE0">
        <w:rPr>
          <w:bCs/>
          <w:color w:val="000000" w:themeColor="text1"/>
          <w:szCs w:val="28"/>
        </w:rPr>
        <w:t>）规定的</w:t>
      </w:r>
      <w:r w:rsidRPr="00B12FE0">
        <w:rPr>
          <w:bCs/>
          <w:color w:val="000000" w:themeColor="text1"/>
          <w:szCs w:val="28"/>
        </w:rPr>
        <w:t>2.5μSv/h</w:t>
      </w:r>
      <w:r w:rsidRPr="00B12FE0">
        <w:rPr>
          <w:bCs/>
          <w:color w:val="000000" w:themeColor="text1"/>
          <w:szCs w:val="28"/>
        </w:rPr>
        <w:t>控制剂量率要求。</w:t>
      </w:r>
      <w:r w:rsidRPr="00B12FE0">
        <w:rPr>
          <w:rFonts w:hint="eastAsia"/>
          <w:color w:val="000000" w:themeColor="text1"/>
        </w:rPr>
        <w:t>根据表</w:t>
      </w:r>
      <w:r w:rsidRPr="00B12FE0">
        <w:rPr>
          <w:rFonts w:hint="eastAsia"/>
          <w:color w:val="000000" w:themeColor="text1"/>
        </w:rPr>
        <w:t>11.2.1.2-10</w:t>
      </w:r>
      <w:r w:rsidRPr="00B12FE0">
        <w:rPr>
          <w:rFonts w:hint="eastAsia"/>
          <w:bCs/>
          <w:color w:val="000000" w:themeColor="text1"/>
          <w:szCs w:val="28"/>
        </w:rPr>
        <w:t>PET/CT</w:t>
      </w:r>
      <w:r w:rsidRPr="00B12FE0">
        <w:rPr>
          <w:color w:val="000000" w:themeColor="text1"/>
        </w:rPr>
        <w:t>机房控制区边界外的附加剂量率估算结果叠加</w:t>
      </w:r>
      <w:r w:rsidRPr="00B12FE0">
        <w:rPr>
          <w:color w:val="000000" w:themeColor="text1"/>
        </w:rPr>
        <w:t>CT</w:t>
      </w:r>
      <w:r w:rsidRPr="00B12FE0">
        <w:rPr>
          <w:color w:val="000000" w:themeColor="text1"/>
        </w:rPr>
        <w:t>运行所致</w:t>
      </w:r>
      <w:r w:rsidRPr="00B12FE0">
        <w:rPr>
          <w:rFonts w:hint="eastAsia"/>
          <w:color w:val="000000" w:themeColor="text1"/>
        </w:rPr>
        <w:t>辐射</w:t>
      </w:r>
      <w:r w:rsidRPr="00B12FE0">
        <w:rPr>
          <w:color w:val="000000" w:themeColor="text1"/>
        </w:rPr>
        <w:t>剂量率</w:t>
      </w:r>
      <w:r w:rsidRPr="00B12FE0">
        <w:rPr>
          <w:rFonts w:hint="eastAsia"/>
          <w:color w:val="000000" w:themeColor="text1"/>
        </w:rPr>
        <w:t>后最大值为</w:t>
      </w:r>
      <w:r w:rsidRPr="00B12FE0">
        <w:rPr>
          <w:rFonts w:hint="eastAsia"/>
          <w:color w:val="000000" w:themeColor="text1"/>
        </w:rPr>
        <w:t>1.08</w:t>
      </w:r>
      <w:r w:rsidRPr="00B12FE0">
        <w:rPr>
          <w:color w:val="000000" w:themeColor="text1"/>
        </w:rPr>
        <w:t>μ</w:t>
      </w:r>
      <w:r w:rsidRPr="00B12FE0">
        <w:rPr>
          <w:rFonts w:hint="eastAsia"/>
          <w:color w:val="000000" w:themeColor="text1"/>
        </w:rPr>
        <w:t>Sv</w:t>
      </w:r>
      <w:r w:rsidRPr="00B12FE0">
        <w:rPr>
          <w:color w:val="000000" w:themeColor="text1"/>
        </w:rPr>
        <w:t>/h</w:t>
      </w:r>
      <w:r w:rsidRPr="00B12FE0">
        <w:rPr>
          <w:rFonts w:hint="eastAsia"/>
          <w:color w:val="000000" w:themeColor="text1"/>
        </w:rPr>
        <w:t>，</w:t>
      </w:r>
      <w:r w:rsidRPr="00B12FE0">
        <w:rPr>
          <w:color w:val="000000" w:themeColor="text1"/>
        </w:rPr>
        <w:t>也不超过设定的</w:t>
      </w:r>
      <w:r w:rsidRPr="00B12FE0">
        <w:rPr>
          <w:color w:val="000000" w:themeColor="text1"/>
        </w:rPr>
        <w:t>2.5μSv/h</w:t>
      </w:r>
      <w:r w:rsidRPr="00B12FE0">
        <w:rPr>
          <w:color w:val="000000" w:themeColor="text1"/>
        </w:rPr>
        <w:t>的剂量率控制水平。</w:t>
      </w:r>
    </w:p>
    <w:p w14:paraId="16E57AFF"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同理，</w:t>
      </w:r>
      <w:r w:rsidRPr="00B12FE0">
        <w:rPr>
          <w:color w:val="000000" w:themeColor="text1"/>
        </w:rPr>
        <w:t>SPECT/CT</w:t>
      </w:r>
      <w:r w:rsidRPr="00B12FE0">
        <w:rPr>
          <w:bCs/>
          <w:color w:val="000000" w:themeColor="text1"/>
          <w:szCs w:val="28"/>
        </w:rPr>
        <w:t>机房屏蔽体外最低铅当量为</w:t>
      </w:r>
      <w:r w:rsidRPr="00B12FE0">
        <w:rPr>
          <w:rFonts w:hint="eastAsia"/>
          <w:bCs/>
          <w:color w:val="000000" w:themeColor="text1"/>
          <w:szCs w:val="28"/>
        </w:rPr>
        <w:t>3</w:t>
      </w:r>
      <w:r w:rsidRPr="00B12FE0">
        <w:rPr>
          <w:bCs/>
          <w:color w:val="000000" w:themeColor="text1"/>
          <w:szCs w:val="28"/>
        </w:rPr>
        <w:t>mmPb</w:t>
      </w:r>
      <w:r w:rsidRPr="00B12FE0">
        <w:rPr>
          <w:rFonts w:hint="eastAsia"/>
          <w:bCs/>
          <w:color w:val="000000" w:themeColor="text1"/>
          <w:szCs w:val="28"/>
        </w:rPr>
        <w:t>，</w:t>
      </w:r>
      <w:r w:rsidRPr="00B12FE0">
        <w:rPr>
          <w:rFonts w:hint="eastAsia"/>
          <w:bCs/>
          <w:color w:val="000000" w:themeColor="text1"/>
          <w:szCs w:val="28"/>
        </w:rPr>
        <w:t>C</w:t>
      </w:r>
      <w:r w:rsidRPr="00B12FE0">
        <w:rPr>
          <w:bCs/>
          <w:color w:val="000000" w:themeColor="text1"/>
          <w:szCs w:val="28"/>
        </w:rPr>
        <w:t>T</w:t>
      </w:r>
      <w:r w:rsidRPr="00B12FE0">
        <w:rPr>
          <w:bCs/>
          <w:color w:val="000000" w:themeColor="text1"/>
          <w:szCs w:val="28"/>
        </w:rPr>
        <w:t>设备运行所致的</w:t>
      </w:r>
      <w:r w:rsidRPr="00B12FE0">
        <w:rPr>
          <w:rFonts w:hint="eastAsia"/>
          <w:bCs/>
          <w:color w:val="000000" w:themeColor="text1"/>
          <w:szCs w:val="28"/>
        </w:rPr>
        <w:t>辐射</w:t>
      </w:r>
      <w:r w:rsidRPr="00B12FE0">
        <w:rPr>
          <w:bCs/>
          <w:color w:val="000000" w:themeColor="text1"/>
          <w:szCs w:val="28"/>
        </w:rPr>
        <w:t>剂量率为</w:t>
      </w:r>
      <w:r w:rsidRPr="00B12FE0">
        <w:rPr>
          <w:bCs/>
          <w:color w:val="000000" w:themeColor="text1"/>
          <w:szCs w:val="28"/>
        </w:rPr>
        <w:t>0</w:t>
      </w:r>
      <w:r w:rsidRPr="00B12FE0">
        <w:rPr>
          <w:rFonts w:hint="eastAsia"/>
          <w:bCs/>
          <w:color w:val="000000" w:themeColor="text1"/>
          <w:szCs w:val="28"/>
          <w:lang w:eastAsia="zh-Hans"/>
        </w:rPr>
        <w:t>.</w:t>
      </w:r>
      <w:r w:rsidRPr="00B12FE0">
        <w:rPr>
          <w:rFonts w:hint="eastAsia"/>
          <w:bCs/>
          <w:color w:val="000000" w:themeColor="text1"/>
          <w:szCs w:val="28"/>
        </w:rPr>
        <w:t>55</w:t>
      </w:r>
      <w:r w:rsidRPr="00B12FE0">
        <w:rPr>
          <w:bCs/>
          <w:color w:val="000000" w:themeColor="text1"/>
          <w:szCs w:val="28"/>
        </w:rPr>
        <w:t>μSv/h</w:t>
      </w:r>
      <w:r w:rsidRPr="00B12FE0">
        <w:rPr>
          <w:bCs/>
          <w:color w:val="000000" w:themeColor="text1"/>
          <w:szCs w:val="28"/>
        </w:rPr>
        <w:t>，满足《放射诊断放射防护要求》（</w:t>
      </w:r>
      <w:r w:rsidRPr="00B12FE0">
        <w:rPr>
          <w:bCs/>
          <w:color w:val="000000" w:themeColor="text1"/>
          <w:szCs w:val="28"/>
        </w:rPr>
        <w:t>GBZ130-2020</w:t>
      </w:r>
      <w:r w:rsidRPr="00B12FE0">
        <w:rPr>
          <w:bCs/>
          <w:color w:val="000000" w:themeColor="text1"/>
          <w:szCs w:val="28"/>
        </w:rPr>
        <w:t>）规定的</w:t>
      </w:r>
      <w:r w:rsidRPr="00B12FE0">
        <w:rPr>
          <w:bCs/>
          <w:color w:val="000000" w:themeColor="text1"/>
          <w:szCs w:val="28"/>
        </w:rPr>
        <w:t>2.5μSv/h</w:t>
      </w:r>
      <w:r w:rsidRPr="00B12FE0">
        <w:rPr>
          <w:bCs/>
          <w:color w:val="000000" w:themeColor="text1"/>
          <w:szCs w:val="28"/>
        </w:rPr>
        <w:t>控制剂量率要求。</w:t>
      </w:r>
      <w:r w:rsidRPr="00B12FE0">
        <w:rPr>
          <w:rFonts w:hint="eastAsia"/>
          <w:color w:val="000000" w:themeColor="text1"/>
        </w:rPr>
        <w:t>根据表</w:t>
      </w:r>
      <w:r w:rsidRPr="00B12FE0">
        <w:rPr>
          <w:rFonts w:hint="eastAsia"/>
          <w:color w:val="000000" w:themeColor="text1"/>
        </w:rPr>
        <w:t>11.2.1.1-</w:t>
      </w:r>
      <w:r w:rsidRPr="00B12FE0">
        <w:rPr>
          <w:color w:val="000000" w:themeColor="text1"/>
        </w:rPr>
        <w:t>8 SPECT/CT</w:t>
      </w:r>
      <w:r w:rsidRPr="00B12FE0">
        <w:rPr>
          <w:color w:val="000000" w:themeColor="text1"/>
        </w:rPr>
        <w:t>机房控制区边界外的附加剂量率估算结果叠加</w:t>
      </w:r>
      <w:r w:rsidRPr="00B12FE0">
        <w:rPr>
          <w:color w:val="000000" w:themeColor="text1"/>
        </w:rPr>
        <w:t>CT</w:t>
      </w:r>
      <w:r w:rsidRPr="00B12FE0">
        <w:rPr>
          <w:color w:val="000000" w:themeColor="text1"/>
        </w:rPr>
        <w:t>运行所致</w:t>
      </w:r>
      <w:r w:rsidRPr="00B12FE0">
        <w:rPr>
          <w:rFonts w:hint="eastAsia"/>
          <w:color w:val="000000" w:themeColor="text1"/>
        </w:rPr>
        <w:t>辐射</w:t>
      </w:r>
      <w:r w:rsidRPr="00B12FE0">
        <w:rPr>
          <w:color w:val="000000" w:themeColor="text1"/>
        </w:rPr>
        <w:t>剂量率</w:t>
      </w:r>
      <w:r w:rsidRPr="00B12FE0">
        <w:rPr>
          <w:rFonts w:hint="eastAsia"/>
          <w:color w:val="000000" w:themeColor="text1"/>
        </w:rPr>
        <w:t>后最大值为</w:t>
      </w:r>
      <w:r w:rsidRPr="00B12FE0">
        <w:rPr>
          <w:bCs/>
          <w:color w:val="000000" w:themeColor="text1"/>
          <w:szCs w:val="28"/>
        </w:rPr>
        <w:t>0</w:t>
      </w:r>
      <w:r w:rsidRPr="00B12FE0">
        <w:rPr>
          <w:rFonts w:hint="eastAsia"/>
          <w:bCs/>
          <w:color w:val="000000" w:themeColor="text1"/>
          <w:szCs w:val="28"/>
          <w:lang w:eastAsia="zh-Hans"/>
        </w:rPr>
        <w:t>.</w:t>
      </w:r>
      <w:r w:rsidRPr="00B12FE0">
        <w:rPr>
          <w:rFonts w:hint="eastAsia"/>
          <w:bCs/>
          <w:color w:val="000000" w:themeColor="text1"/>
          <w:szCs w:val="28"/>
        </w:rPr>
        <w:t>57</w:t>
      </w:r>
      <w:r w:rsidRPr="00B12FE0">
        <w:rPr>
          <w:color w:val="000000" w:themeColor="text1"/>
        </w:rPr>
        <w:t>μ</w:t>
      </w:r>
      <w:r w:rsidRPr="00B12FE0">
        <w:rPr>
          <w:rFonts w:hint="eastAsia"/>
          <w:color w:val="000000" w:themeColor="text1"/>
        </w:rPr>
        <w:t>Sv</w:t>
      </w:r>
      <w:r w:rsidRPr="00B12FE0">
        <w:rPr>
          <w:color w:val="000000" w:themeColor="text1"/>
        </w:rPr>
        <w:t>/h</w:t>
      </w:r>
      <w:r w:rsidRPr="00B12FE0">
        <w:rPr>
          <w:rFonts w:hint="eastAsia"/>
          <w:color w:val="000000" w:themeColor="text1"/>
        </w:rPr>
        <w:t>，</w:t>
      </w:r>
      <w:r w:rsidRPr="00B12FE0">
        <w:rPr>
          <w:color w:val="000000" w:themeColor="text1"/>
        </w:rPr>
        <w:t>也不超过设定的</w:t>
      </w:r>
      <w:r w:rsidRPr="00B12FE0">
        <w:rPr>
          <w:color w:val="000000" w:themeColor="text1"/>
        </w:rPr>
        <w:t>2.5μSv/h</w:t>
      </w:r>
      <w:r w:rsidRPr="00B12FE0">
        <w:rPr>
          <w:color w:val="000000" w:themeColor="text1"/>
        </w:rPr>
        <w:t>的剂量率控制水平。</w:t>
      </w:r>
    </w:p>
    <w:p w14:paraId="7CAC4C98" w14:textId="77777777" w:rsidR="00A67F21" w:rsidRPr="00B12FE0" w:rsidRDefault="00000000">
      <w:pPr>
        <w:topLinePunct/>
        <w:autoSpaceDE w:val="0"/>
        <w:adjustRightInd w:val="0"/>
        <w:snapToGrid w:val="0"/>
        <w:spacing w:line="360" w:lineRule="auto"/>
        <w:ind w:firstLineChars="200" w:firstLine="482"/>
        <w:rPr>
          <w:b/>
          <w:bCs/>
          <w:snapToGrid w:val="0"/>
          <w:color w:val="000000" w:themeColor="text1"/>
          <w:szCs w:val="28"/>
        </w:rPr>
      </w:pPr>
      <w:r w:rsidRPr="00B12FE0">
        <w:rPr>
          <w:b/>
          <w:bCs/>
          <w:snapToGrid w:val="0"/>
          <w:color w:val="000000" w:themeColor="text1"/>
          <w:szCs w:val="28"/>
        </w:rPr>
        <w:lastRenderedPageBreak/>
        <w:t>四、工作人员受照剂量估算</w:t>
      </w:r>
    </w:p>
    <w:p w14:paraId="790370C1" w14:textId="77777777" w:rsidR="00A67F21" w:rsidRPr="00B12FE0" w:rsidRDefault="00000000">
      <w:pPr>
        <w:adjustRightInd w:val="0"/>
        <w:snapToGrid w:val="0"/>
        <w:spacing w:line="360" w:lineRule="auto"/>
        <w:ind w:firstLineChars="200" w:firstLine="482"/>
        <w:rPr>
          <w:b/>
          <w:snapToGrid w:val="0"/>
          <w:color w:val="000000" w:themeColor="text1"/>
          <w:szCs w:val="24"/>
        </w:rPr>
      </w:pPr>
      <w:r w:rsidRPr="00B12FE0">
        <w:rPr>
          <w:b/>
          <w:snapToGrid w:val="0"/>
          <w:color w:val="000000" w:themeColor="text1"/>
          <w:szCs w:val="24"/>
        </w:rPr>
        <w:t>1</w:t>
      </w:r>
      <w:r w:rsidRPr="00B12FE0">
        <w:rPr>
          <w:b/>
          <w:snapToGrid w:val="0"/>
          <w:color w:val="000000" w:themeColor="text1"/>
          <w:szCs w:val="24"/>
        </w:rPr>
        <w:t>、核医学科核素诊断场所辐射工作人员受照剂量</w:t>
      </w:r>
    </w:p>
    <w:p w14:paraId="1409A0F7"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bCs/>
          <w:snapToGrid w:val="0"/>
          <w:color w:val="000000" w:themeColor="text1"/>
          <w:szCs w:val="24"/>
        </w:rPr>
        <w:t>根据医院提供的资料，项目正式开展后，每年工作</w:t>
      </w:r>
      <w:r w:rsidRPr="00B12FE0">
        <w:rPr>
          <w:bCs/>
          <w:snapToGrid w:val="0"/>
          <w:color w:val="000000" w:themeColor="text1"/>
          <w:szCs w:val="24"/>
        </w:rPr>
        <w:t>250</w:t>
      </w:r>
      <w:r w:rsidRPr="00B12FE0">
        <w:rPr>
          <w:bCs/>
          <w:snapToGrid w:val="0"/>
          <w:color w:val="000000" w:themeColor="text1"/>
          <w:szCs w:val="24"/>
        </w:rPr>
        <w:t>天，每周工作</w:t>
      </w:r>
      <w:r w:rsidRPr="00B12FE0">
        <w:rPr>
          <w:bCs/>
          <w:snapToGrid w:val="0"/>
          <w:color w:val="000000" w:themeColor="text1"/>
          <w:szCs w:val="24"/>
        </w:rPr>
        <w:t>5</w:t>
      </w:r>
      <w:r w:rsidRPr="00B12FE0">
        <w:rPr>
          <w:bCs/>
          <w:snapToGrid w:val="0"/>
          <w:color w:val="000000" w:themeColor="text1"/>
          <w:szCs w:val="24"/>
        </w:rPr>
        <w:t>天，每天工作</w:t>
      </w:r>
      <w:r w:rsidRPr="00B12FE0">
        <w:rPr>
          <w:bCs/>
          <w:snapToGrid w:val="0"/>
          <w:color w:val="000000" w:themeColor="text1"/>
          <w:szCs w:val="24"/>
        </w:rPr>
        <w:t>8h</w:t>
      </w:r>
      <w:r w:rsidRPr="00B12FE0">
        <w:rPr>
          <w:bCs/>
          <w:snapToGrid w:val="0"/>
          <w:color w:val="000000" w:themeColor="text1"/>
          <w:szCs w:val="24"/>
        </w:rPr>
        <w:t>。</w:t>
      </w:r>
      <w:r w:rsidRPr="00B12FE0">
        <w:rPr>
          <w:snapToGrid w:val="0"/>
          <w:color w:val="000000" w:themeColor="text1"/>
          <w:szCs w:val="24"/>
        </w:rPr>
        <w:t>核医学科核素诊断场所</w:t>
      </w:r>
      <w:r w:rsidRPr="00B12FE0">
        <w:rPr>
          <w:bCs/>
          <w:snapToGrid w:val="0"/>
          <w:color w:val="000000" w:themeColor="text1"/>
          <w:szCs w:val="24"/>
        </w:rPr>
        <w:t>各工序涉及辐射工作人员情况以及工作负荷见表</w:t>
      </w:r>
      <w:r w:rsidRPr="00B12FE0">
        <w:rPr>
          <w:bCs/>
          <w:snapToGrid w:val="0"/>
          <w:color w:val="000000" w:themeColor="text1"/>
          <w:szCs w:val="24"/>
        </w:rPr>
        <w:t>9.1.1.5-2</w:t>
      </w:r>
      <w:r w:rsidRPr="00B12FE0">
        <w:rPr>
          <w:bCs/>
          <w:snapToGrid w:val="0"/>
          <w:color w:val="000000" w:themeColor="text1"/>
          <w:szCs w:val="24"/>
        </w:rPr>
        <w:t>。</w:t>
      </w:r>
    </w:p>
    <w:p w14:paraId="5070D927" w14:textId="77777777" w:rsidR="00A67F21" w:rsidRPr="00B12FE0" w:rsidRDefault="00000000">
      <w:pPr>
        <w:overflowPunct w:val="0"/>
        <w:autoSpaceDE w:val="0"/>
        <w:autoSpaceDN w:val="0"/>
        <w:adjustRightInd w:val="0"/>
        <w:snapToGrid w:val="0"/>
        <w:spacing w:line="360" w:lineRule="auto"/>
        <w:ind w:firstLineChars="200" w:firstLine="480"/>
        <w:jc w:val="left"/>
        <w:rPr>
          <w:snapToGrid w:val="0"/>
          <w:color w:val="000000" w:themeColor="text1"/>
          <w:kern w:val="0"/>
          <w:szCs w:val="24"/>
        </w:rPr>
      </w:pPr>
      <w:r w:rsidRPr="00B12FE0">
        <w:rPr>
          <w:snapToGrid w:val="0"/>
          <w:color w:val="000000" w:themeColor="text1"/>
          <w:kern w:val="0"/>
          <w:szCs w:val="24"/>
        </w:rPr>
        <w:t>根据表</w:t>
      </w:r>
      <w:r w:rsidRPr="00B12FE0">
        <w:rPr>
          <w:snapToGrid w:val="0"/>
          <w:color w:val="000000" w:themeColor="text1"/>
          <w:kern w:val="0"/>
          <w:szCs w:val="24"/>
        </w:rPr>
        <w:t>11.2.1.2-2</w:t>
      </w:r>
      <w:r w:rsidRPr="00B12FE0">
        <w:rPr>
          <w:snapToGrid w:val="0"/>
          <w:color w:val="000000" w:themeColor="text1"/>
          <w:kern w:val="0"/>
          <w:szCs w:val="24"/>
        </w:rPr>
        <w:t>预测的</w:t>
      </w:r>
      <w:proofErr w:type="gramStart"/>
      <w:r w:rsidRPr="00B12FE0">
        <w:rPr>
          <w:snapToGrid w:val="0"/>
          <w:color w:val="000000" w:themeColor="text1"/>
          <w:kern w:val="0"/>
          <w:szCs w:val="24"/>
        </w:rPr>
        <w:t>各关注</w:t>
      </w:r>
      <w:proofErr w:type="gramEnd"/>
      <w:r w:rsidRPr="00B12FE0">
        <w:rPr>
          <w:snapToGrid w:val="0"/>
          <w:color w:val="000000" w:themeColor="text1"/>
          <w:kern w:val="0"/>
          <w:szCs w:val="24"/>
        </w:rPr>
        <w:t>点处辐射剂量率，结合医院预估工作量，关注点处人员居留因子等参数，由</w:t>
      </w:r>
      <w:r w:rsidRPr="00B12FE0">
        <w:rPr>
          <w:snapToGrid w:val="0"/>
          <w:color w:val="000000" w:themeColor="text1"/>
          <w:szCs w:val="24"/>
          <w:lang w:val="pt-BR"/>
        </w:rPr>
        <w:t>式</w:t>
      </w:r>
      <w:r w:rsidRPr="00B12FE0">
        <w:rPr>
          <w:snapToGrid w:val="0"/>
          <w:color w:val="000000" w:themeColor="text1"/>
          <w:szCs w:val="24"/>
        </w:rPr>
        <w:t>11.2.1.1-3</w:t>
      </w:r>
      <w:r w:rsidRPr="00B12FE0">
        <w:rPr>
          <w:snapToGrid w:val="0"/>
          <w:color w:val="000000" w:themeColor="text1"/>
          <w:kern w:val="0"/>
          <w:szCs w:val="24"/>
        </w:rPr>
        <w:t>计算即可得到辐射工作人员的年有效剂量，见表</w:t>
      </w:r>
      <w:r w:rsidRPr="00B12FE0">
        <w:rPr>
          <w:snapToGrid w:val="0"/>
          <w:color w:val="000000" w:themeColor="text1"/>
          <w:kern w:val="0"/>
          <w:szCs w:val="24"/>
        </w:rPr>
        <w:t>11.2.1.2-</w:t>
      </w:r>
      <w:r w:rsidRPr="00B12FE0">
        <w:rPr>
          <w:rFonts w:hint="eastAsia"/>
          <w:snapToGrid w:val="0"/>
          <w:color w:val="000000" w:themeColor="text1"/>
          <w:kern w:val="0"/>
          <w:szCs w:val="24"/>
        </w:rPr>
        <w:t>12</w:t>
      </w:r>
      <w:r w:rsidRPr="00B12FE0">
        <w:rPr>
          <w:snapToGrid w:val="0"/>
          <w:color w:val="000000" w:themeColor="text1"/>
          <w:kern w:val="0"/>
          <w:szCs w:val="24"/>
        </w:rPr>
        <w:t>。</w:t>
      </w:r>
    </w:p>
    <w:p w14:paraId="14479A91" w14:textId="77777777" w:rsidR="00A67F21" w:rsidRPr="00B12FE0" w:rsidRDefault="00000000">
      <w:pPr>
        <w:kinsoku w:val="0"/>
        <w:overflowPunct w:val="0"/>
        <w:autoSpaceDE w:val="0"/>
        <w:autoSpaceDN w:val="0"/>
        <w:adjustRightInd w:val="0"/>
        <w:snapToGrid w:val="0"/>
        <w:spacing w:line="360" w:lineRule="auto"/>
        <w:jc w:val="center"/>
        <w:rPr>
          <w:b/>
          <w:snapToGrid w:val="0"/>
          <w:color w:val="000000" w:themeColor="text1"/>
          <w:sz w:val="21"/>
          <w:szCs w:val="21"/>
        </w:rPr>
      </w:pPr>
      <w:r w:rsidRPr="00B12FE0">
        <w:rPr>
          <w:b/>
          <w:snapToGrid w:val="0"/>
          <w:color w:val="000000" w:themeColor="text1"/>
          <w:kern w:val="0"/>
          <w:sz w:val="21"/>
          <w:szCs w:val="21"/>
        </w:rPr>
        <w:t>表</w:t>
      </w:r>
      <w:r w:rsidRPr="00B12FE0">
        <w:rPr>
          <w:b/>
          <w:snapToGrid w:val="0"/>
          <w:color w:val="000000" w:themeColor="text1"/>
          <w:kern w:val="0"/>
          <w:sz w:val="21"/>
          <w:szCs w:val="21"/>
        </w:rPr>
        <w:t>11.2.1.2-</w:t>
      </w:r>
      <w:r w:rsidRPr="00B12FE0">
        <w:rPr>
          <w:rFonts w:hint="eastAsia"/>
          <w:b/>
          <w:snapToGrid w:val="0"/>
          <w:color w:val="000000" w:themeColor="text1"/>
          <w:kern w:val="0"/>
          <w:sz w:val="21"/>
          <w:szCs w:val="21"/>
        </w:rPr>
        <w:t>12</w:t>
      </w:r>
      <w:r w:rsidRPr="00B12FE0">
        <w:rPr>
          <w:b/>
          <w:snapToGrid w:val="0"/>
          <w:color w:val="000000" w:themeColor="text1"/>
          <w:kern w:val="0"/>
          <w:sz w:val="21"/>
          <w:szCs w:val="21"/>
        </w:rPr>
        <w:t xml:space="preserve"> </w:t>
      </w:r>
      <w:r w:rsidRPr="00B12FE0">
        <w:rPr>
          <w:b/>
          <w:snapToGrid w:val="0"/>
          <w:color w:val="000000" w:themeColor="text1"/>
          <w:kern w:val="0"/>
          <w:sz w:val="21"/>
          <w:szCs w:val="21"/>
        </w:rPr>
        <w:t>核素诊断场所</w:t>
      </w:r>
      <w:r w:rsidRPr="00B12FE0">
        <w:rPr>
          <w:b/>
          <w:snapToGrid w:val="0"/>
          <w:color w:val="000000" w:themeColor="text1"/>
          <w:sz w:val="21"/>
          <w:szCs w:val="21"/>
        </w:rPr>
        <w:t>辐射工作人员年有效剂量估算</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933"/>
        <w:gridCol w:w="1309"/>
        <w:gridCol w:w="1700"/>
        <w:gridCol w:w="1183"/>
        <w:gridCol w:w="753"/>
        <w:gridCol w:w="1096"/>
        <w:gridCol w:w="1095"/>
      </w:tblGrid>
      <w:tr w:rsidR="00A67F21" w:rsidRPr="00B12FE0" w14:paraId="7CB2BFC0" w14:textId="77777777">
        <w:trPr>
          <w:trHeight w:val="766"/>
          <w:jc w:val="center"/>
        </w:trPr>
        <w:tc>
          <w:tcPr>
            <w:tcW w:w="1689" w:type="pct"/>
            <w:gridSpan w:val="3"/>
            <w:vAlign w:val="center"/>
          </w:tcPr>
          <w:p w14:paraId="1A0167A6"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位置</w:t>
            </w:r>
          </w:p>
        </w:tc>
        <w:tc>
          <w:tcPr>
            <w:tcW w:w="966" w:type="pct"/>
            <w:vAlign w:val="center"/>
          </w:tcPr>
          <w:p w14:paraId="42F1FCE8"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sz w:val="18"/>
                <w:szCs w:val="18"/>
              </w:rPr>
              <w:t>关注点</w:t>
            </w:r>
            <w:r w:rsidRPr="00B12FE0">
              <w:rPr>
                <w:snapToGrid w:val="0"/>
                <w:color w:val="000000" w:themeColor="text1"/>
                <w:kern w:val="0"/>
                <w:sz w:val="18"/>
                <w:szCs w:val="18"/>
                <w:lang w:bidi="ar"/>
              </w:rPr>
              <w:t>辐射剂量率（</w:t>
            </w:r>
            <w:proofErr w:type="spellStart"/>
            <w:r w:rsidRPr="00B12FE0">
              <w:rPr>
                <w:snapToGrid w:val="0"/>
                <w:color w:val="000000" w:themeColor="text1"/>
                <w:sz w:val="18"/>
                <w:szCs w:val="18"/>
                <w:lang w:bidi="ar"/>
              </w:rPr>
              <w:t>μSv</w:t>
            </w:r>
            <w:proofErr w:type="spellEnd"/>
            <w:r w:rsidRPr="00B12FE0">
              <w:rPr>
                <w:snapToGrid w:val="0"/>
                <w:color w:val="000000" w:themeColor="text1"/>
                <w:sz w:val="18"/>
                <w:szCs w:val="18"/>
                <w:lang w:bidi="ar"/>
              </w:rPr>
              <w:t>/h</w:t>
            </w:r>
            <w:r w:rsidRPr="00B12FE0">
              <w:rPr>
                <w:snapToGrid w:val="0"/>
                <w:color w:val="000000" w:themeColor="text1"/>
                <w:kern w:val="0"/>
                <w:sz w:val="18"/>
                <w:szCs w:val="18"/>
                <w:lang w:bidi="ar"/>
              </w:rPr>
              <w:t>）</w:t>
            </w:r>
          </w:p>
        </w:tc>
        <w:tc>
          <w:tcPr>
            <w:tcW w:w="672" w:type="pct"/>
            <w:noWrap/>
            <w:vAlign w:val="center"/>
          </w:tcPr>
          <w:p w14:paraId="5880338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年工作时间（</w:t>
            </w:r>
            <w:r w:rsidRPr="00B12FE0">
              <w:rPr>
                <w:snapToGrid w:val="0"/>
                <w:color w:val="000000" w:themeColor="text1"/>
                <w:sz w:val="18"/>
                <w:szCs w:val="18"/>
                <w:lang w:bidi="ar"/>
              </w:rPr>
              <w:t>h</w:t>
            </w:r>
            <w:r w:rsidRPr="00B12FE0">
              <w:rPr>
                <w:snapToGrid w:val="0"/>
                <w:color w:val="000000" w:themeColor="text1"/>
                <w:kern w:val="0"/>
                <w:sz w:val="18"/>
                <w:szCs w:val="18"/>
                <w:lang w:bidi="ar"/>
              </w:rPr>
              <w:t>）</w:t>
            </w:r>
          </w:p>
        </w:tc>
        <w:tc>
          <w:tcPr>
            <w:tcW w:w="428" w:type="pct"/>
            <w:noWrap/>
            <w:vAlign w:val="center"/>
          </w:tcPr>
          <w:p w14:paraId="4946E8A3"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居留因子</w:t>
            </w:r>
            <w:r w:rsidRPr="00B12FE0">
              <w:rPr>
                <w:snapToGrid w:val="0"/>
                <w:color w:val="000000" w:themeColor="text1"/>
                <w:kern w:val="0"/>
                <w:sz w:val="18"/>
                <w:szCs w:val="18"/>
                <w:lang w:bidi="ar"/>
              </w:rPr>
              <w:t>T</w:t>
            </w:r>
          </w:p>
        </w:tc>
        <w:tc>
          <w:tcPr>
            <w:tcW w:w="1245" w:type="pct"/>
            <w:gridSpan w:val="2"/>
            <w:vAlign w:val="center"/>
          </w:tcPr>
          <w:p w14:paraId="4057A07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年有效剂量（</w:t>
            </w:r>
            <w:r w:rsidRPr="00B12FE0">
              <w:rPr>
                <w:snapToGrid w:val="0"/>
                <w:color w:val="000000" w:themeColor="text1"/>
                <w:sz w:val="18"/>
                <w:szCs w:val="18"/>
                <w:lang w:bidi="ar"/>
              </w:rPr>
              <w:t>mSv</w:t>
            </w:r>
            <w:r w:rsidRPr="00B12FE0">
              <w:rPr>
                <w:snapToGrid w:val="0"/>
                <w:color w:val="000000" w:themeColor="text1"/>
                <w:kern w:val="0"/>
                <w:sz w:val="18"/>
                <w:szCs w:val="18"/>
                <w:lang w:bidi="ar"/>
              </w:rPr>
              <w:t>）</w:t>
            </w:r>
          </w:p>
        </w:tc>
      </w:tr>
      <w:tr w:rsidR="00A67F21" w:rsidRPr="00B12FE0" w14:paraId="725FE440" w14:textId="77777777">
        <w:trPr>
          <w:trHeight w:val="485"/>
          <w:jc w:val="center"/>
        </w:trPr>
        <w:tc>
          <w:tcPr>
            <w:tcW w:w="415" w:type="pct"/>
            <w:vMerge w:val="restart"/>
            <w:noWrap/>
            <w:vAlign w:val="center"/>
          </w:tcPr>
          <w:p w14:paraId="70732B7F"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高活</w:t>
            </w:r>
          </w:p>
          <w:p w14:paraId="0D58A5FE" w14:textId="77777777" w:rsidR="00A67F21" w:rsidRPr="00B12FE0" w:rsidRDefault="00000000">
            <w:pPr>
              <w:widowControl/>
              <w:adjustRightInd w:val="0"/>
              <w:snapToGrid w:val="0"/>
              <w:jc w:val="center"/>
              <w:textAlignment w:val="center"/>
              <w:rPr>
                <w:snapToGrid w:val="0"/>
                <w:color w:val="000000" w:themeColor="text1"/>
                <w:sz w:val="18"/>
                <w:szCs w:val="18"/>
              </w:rPr>
            </w:pPr>
            <w:proofErr w:type="gramStart"/>
            <w:r w:rsidRPr="00B12FE0">
              <w:rPr>
                <w:snapToGrid w:val="0"/>
                <w:color w:val="000000" w:themeColor="text1"/>
                <w:kern w:val="0"/>
                <w:sz w:val="18"/>
                <w:szCs w:val="18"/>
                <w:lang w:bidi="ar"/>
              </w:rPr>
              <w:t>性室</w:t>
            </w:r>
            <w:proofErr w:type="gramEnd"/>
          </w:p>
        </w:tc>
        <w:tc>
          <w:tcPr>
            <w:tcW w:w="530" w:type="pct"/>
            <w:noWrap/>
            <w:vAlign w:val="center"/>
          </w:tcPr>
          <w:p w14:paraId="1CE4C8A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淋洗</w:t>
            </w:r>
          </w:p>
        </w:tc>
        <w:tc>
          <w:tcPr>
            <w:tcW w:w="744" w:type="pct"/>
            <w:noWrap/>
            <w:vAlign w:val="center"/>
          </w:tcPr>
          <w:p w14:paraId="0FF39906"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vertAlign w:val="superscript"/>
                <w:lang w:bidi="ar"/>
              </w:rPr>
              <w:t>99m</w:t>
            </w:r>
            <w:r w:rsidRPr="00B12FE0">
              <w:rPr>
                <w:snapToGrid w:val="0"/>
                <w:color w:val="000000" w:themeColor="text1"/>
                <w:kern w:val="0"/>
                <w:sz w:val="18"/>
                <w:szCs w:val="18"/>
                <w:lang w:bidi="ar"/>
              </w:rPr>
              <w:t>Tc</w:t>
            </w:r>
            <w:r w:rsidRPr="00B12FE0">
              <w:rPr>
                <w:snapToGrid w:val="0"/>
                <w:color w:val="000000" w:themeColor="text1"/>
                <w:sz w:val="18"/>
                <w:szCs w:val="18"/>
                <w:lang w:bidi="ar"/>
              </w:rPr>
              <w:t>淋洗</w:t>
            </w:r>
          </w:p>
        </w:tc>
        <w:tc>
          <w:tcPr>
            <w:tcW w:w="966" w:type="pct"/>
            <w:noWrap/>
            <w:vAlign w:val="center"/>
          </w:tcPr>
          <w:p w14:paraId="0F423E8B"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color w:val="000000" w:themeColor="text1"/>
                <w:sz w:val="18"/>
                <w:szCs w:val="18"/>
              </w:rPr>
              <w:t>4.04E-17</w:t>
            </w:r>
          </w:p>
          <w:p w14:paraId="7B661948"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2</w:t>
            </w:r>
            <w:r w:rsidRPr="00B12FE0">
              <w:rPr>
                <w:snapToGrid w:val="0"/>
                <w:color w:val="000000" w:themeColor="text1"/>
                <w:kern w:val="0"/>
                <w:sz w:val="18"/>
                <w:szCs w:val="18"/>
                <w:lang w:bidi="ar"/>
              </w:rPr>
              <w:t>）</w:t>
            </w:r>
          </w:p>
        </w:tc>
        <w:tc>
          <w:tcPr>
            <w:tcW w:w="672" w:type="pct"/>
            <w:vAlign w:val="center"/>
          </w:tcPr>
          <w:p w14:paraId="16E4E79A"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83.3h</w:t>
            </w:r>
          </w:p>
          <w:p w14:paraId="6695CFF1" w14:textId="77777777" w:rsidR="00A67F21" w:rsidRPr="00B12FE0" w:rsidRDefault="00000000">
            <w:pPr>
              <w:pStyle w:val="21"/>
              <w:adjustRightInd w:val="0"/>
              <w:snapToGrid w:val="0"/>
              <w:spacing w:after="0"/>
              <w:ind w:leftChars="0" w:left="0" w:firstLineChars="0" w:firstLine="0"/>
              <w:rPr>
                <w:color w:val="000000" w:themeColor="text1"/>
                <w:sz w:val="18"/>
                <w:szCs w:val="18"/>
                <w:lang w:bidi="ar"/>
              </w:rPr>
            </w:pPr>
            <w:r w:rsidRPr="00B12FE0">
              <w:rPr>
                <w:rFonts w:hint="eastAsia"/>
                <w:color w:val="000000" w:themeColor="text1"/>
                <w:sz w:val="18"/>
                <w:szCs w:val="18"/>
                <w:lang w:bidi="ar"/>
              </w:rPr>
              <w:t>（</w:t>
            </w:r>
            <w:r w:rsidRPr="00B12FE0">
              <w:rPr>
                <w:rFonts w:hint="eastAsia"/>
                <w:color w:val="000000" w:themeColor="text1"/>
                <w:sz w:val="18"/>
                <w:szCs w:val="18"/>
                <w:lang w:bidi="ar"/>
              </w:rPr>
              <w:t>20min/</w:t>
            </w:r>
            <w:r w:rsidRPr="00B12FE0">
              <w:rPr>
                <w:rFonts w:hint="eastAsia"/>
                <w:color w:val="000000" w:themeColor="text1"/>
                <w:sz w:val="18"/>
                <w:szCs w:val="18"/>
                <w:lang w:bidi="ar"/>
              </w:rPr>
              <w:t>次</w:t>
            </w:r>
            <w:r w:rsidRPr="00B12FE0">
              <w:rPr>
                <w:color w:val="000000" w:themeColor="text1"/>
                <w:kern w:val="0"/>
                <w:sz w:val="18"/>
                <w:szCs w:val="18"/>
              </w:rPr>
              <w:t>×</w:t>
            </w:r>
            <w:r w:rsidRPr="00B12FE0">
              <w:rPr>
                <w:rFonts w:hint="eastAsia"/>
                <w:color w:val="000000" w:themeColor="text1"/>
                <w:kern w:val="0"/>
                <w:sz w:val="18"/>
                <w:szCs w:val="18"/>
              </w:rPr>
              <w:t>25</w:t>
            </w:r>
            <w:r w:rsidRPr="00B12FE0">
              <w:rPr>
                <w:color w:val="000000" w:themeColor="text1"/>
                <w:kern w:val="0"/>
                <w:sz w:val="18"/>
                <w:szCs w:val="18"/>
              </w:rPr>
              <w:t>0</w:t>
            </w:r>
            <w:r w:rsidRPr="00B12FE0">
              <w:rPr>
                <w:rFonts w:hint="eastAsia"/>
                <w:color w:val="000000" w:themeColor="text1"/>
                <w:kern w:val="0"/>
                <w:sz w:val="18"/>
                <w:szCs w:val="18"/>
              </w:rPr>
              <w:t>次</w:t>
            </w:r>
            <w:r w:rsidRPr="00B12FE0">
              <w:rPr>
                <w:rFonts w:hint="eastAsia"/>
                <w:color w:val="000000" w:themeColor="text1"/>
                <w:sz w:val="18"/>
                <w:szCs w:val="18"/>
                <w:lang w:bidi="ar"/>
              </w:rPr>
              <w:t>）</w:t>
            </w:r>
          </w:p>
        </w:tc>
        <w:tc>
          <w:tcPr>
            <w:tcW w:w="428" w:type="pct"/>
            <w:noWrap/>
            <w:vAlign w:val="center"/>
          </w:tcPr>
          <w:p w14:paraId="1C5737F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590A5897"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3.36E-18</w:t>
            </w:r>
          </w:p>
        </w:tc>
        <w:tc>
          <w:tcPr>
            <w:tcW w:w="622" w:type="pct"/>
            <w:vMerge w:val="restart"/>
            <w:noWrap/>
            <w:vAlign w:val="center"/>
          </w:tcPr>
          <w:p w14:paraId="7CF58799"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3.01</w:t>
            </w:r>
          </w:p>
        </w:tc>
      </w:tr>
      <w:tr w:rsidR="00A67F21" w:rsidRPr="00B12FE0" w14:paraId="5AE0F7F4" w14:textId="77777777">
        <w:trPr>
          <w:trHeight w:val="513"/>
          <w:jc w:val="center"/>
        </w:trPr>
        <w:tc>
          <w:tcPr>
            <w:tcW w:w="415" w:type="pct"/>
            <w:vMerge/>
            <w:noWrap/>
            <w:vAlign w:val="center"/>
          </w:tcPr>
          <w:p w14:paraId="63C46C33" w14:textId="77777777" w:rsidR="00A67F21" w:rsidRPr="00B12FE0" w:rsidRDefault="00A67F21">
            <w:pPr>
              <w:adjustRightInd w:val="0"/>
              <w:snapToGrid w:val="0"/>
              <w:jc w:val="center"/>
              <w:rPr>
                <w:snapToGrid w:val="0"/>
                <w:color w:val="000000" w:themeColor="text1"/>
                <w:sz w:val="18"/>
                <w:szCs w:val="18"/>
              </w:rPr>
            </w:pPr>
          </w:p>
        </w:tc>
        <w:tc>
          <w:tcPr>
            <w:tcW w:w="530" w:type="pct"/>
            <w:vMerge w:val="restart"/>
            <w:noWrap/>
            <w:vAlign w:val="center"/>
          </w:tcPr>
          <w:p w14:paraId="0177D199"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取药</w:t>
            </w:r>
          </w:p>
          <w:p w14:paraId="6CB091BA"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测活</w:t>
            </w:r>
          </w:p>
        </w:tc>
        <w:tc>
          <w:tcPr>
            <w:tcW w:w="744" w:type="pct"/>
            <w:vMerge w:val="restart"/>
            <w:noWrap/>
            <w:vAlign w:val="center"/>
          </w:tcPr>
          <w:p w14:paraId="4CD380C9"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sz w:val="18"/>
                <w:szCs w:val="18"/>
                <w:lang w:bidi="ar"/>
              </w:rPr>
              <w:t>SPECT</w:t>
            </w:r>
            <w:r w:rsidRPr="00B12FE0">
              <w:rPr>
                <w:snapToGrid w:val="0"/>
                <w:color w:val="000000" w:themeColor="text1"/>
                <w:kern w:val="0"/>
                <w:sz w:val="18"/>
                <w:szCs w:val="18"/>
                <w:lang w:bidi="ar"/>
              </w:rPr>
              <w:t>手套箱</w:t>
            </w:r>
            <w:r w:rsidRPr="00B12FE0">
              <w:rPr>
                <w:rFonts w:hint="eastAsia"/>
                <w:snapToGrid w:val="0"/>
                <w:color w:val="000000" w:themeColor="text1"/>
                <w:kern w:val="0"/>
                <w:sz w:val="18"/>
                <w:szCs w:val="18"/>
                <w:lang w:bidi="ar"/>
              </w:rPr>
              <w:t>表面外</w:t>
            </w:r>
          </w:p>
          <w:p w14:paraId="690079E8"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snapToGrid w:val="0"/>
                <w:color w:val="000000" w:themeColor="text1"/>
                <w:kern w:val="0"/>
                <w:sz w:val="18"/>
                <w:szCs w:val="18"/>
                <w:lang w:bidi="ar"/>
              </w:rPr>
              <w:t>30cm</w:t>
            </w:r>
            <w:r w:rsidRPr="00B12FE0">
              <w:rPr>
                <w:rFonts w:hint="eastAsia"/>
                <w:snapToGrid w:val="0"/>
                <w:color w:val="000000" w:themeColor="text1"/>
                <w:kern w:val="0"/>
                <w:sz w:val="18"/>
                <w:szCs w:val="18"/>
                <w:lang w:bidi="ar"/>
              </w:rPr>
              <w:t>处</w:t>
            </w:r>
          </w:p>
        </w:tc>
        <w:tc>
          <w:tcPr>
            <w:tcW w:w="966" w:type="pct"/>
            <w:noWrap/>
            <w:vAlign w:val="center"/>
          </w:tcPr>
          <w:p w14:paraId="52519FC8" w14:textId="77777777" w:rsidR="00A67F21" w:rsidRPr="00B12FE0" w:rsidRDefault="00000000">
            <w:pPr>
              <w:pStyle w:val="21"/>
              <w:adjustRightInd w:val="0"/>
              <w:snapToGrid w:val="0"/>
              <w:spacing w:after="0"/>
              <w:ind w:leftChars="0" w:left="0" w:firstLineChars="0" w:firstLine="0"/>
              <w:jc w:val="center"/>
              <w:rPr>
                <w:rFonts w:eastAsia="等线"/>
                <w:color w:val="000000" w:themeColor="text1"/>
                <w:sz w:val="18"/>
                <w:szCs w:val="18"/>
              </w:rPr>
            </w:pPr>
            <w:r w:rsidRPr="00B12FE0">
              <w:rPr>
                <w:rFonts w:eastAsia="等线"/>
                <w:color w:val="000000" w:themeColor="text1"/>
                <w:sz w:val="18"/>
                <w:szCs w:val="18"/>
              </w:rPr>
              <w:t>9.52E-03</w:t>
            </w:r>
          </w:p>
          <w:p w14:paraId="206BA814"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3</w:t>
            </w:r>
            <w:r w:rsidRPr="00B12FE0">
              <w:rPr>
                <w:snapToGrid w:val="0"/>
                <w:color w:val="000000" w:themeColor="text1"/>
                <w:kern w:val="0"/>
                <w:sz w:val="18"/>
                <w:szCs w:val="18"/>
                <w:lang w:bidi="ar"/>
              </w:rPr>
              <w:t>轫致辐射）</w:t>
            </w:r>
          </w:p>
        </w:tc>
        <w:tc>
          <w:tcPr>
            <w:tcW w:w="672" w:type="pct"/>
            <w:vAlign w:val="center"/>
          </w:tcPr>
          <w:p w14:paraId="5D1BDAB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6.3</w:t>
            </w:r>
            <w:r w:rsidRPr="00B12FE0">
              <w:rPr>
                <w:snapToGrid w:val="0"/>
                <w:color w:val="000000" w:themeColor="text1"/>
                <w:kern w:val="0"/>
                <w:sz w:val="18"/>
                <w:szCs w:val="18"/>
                <w:lang w:bidi="ar"/>
              </w:rPr>
              <w:t>h</w:t>
            </w:r>
          </w:p>
          <w:p w14:paraId="10A3457A" w14:textId="77777777" w:rsidR="00A67F21" w:rsidRPr="00B12FE0" w:rsidRDefault="00000000">
            <w:pPr>
              <w:adjustRightInd w:val="0"/>
              <w:snapToGrid w:val="0"/>
              <w:jc w:val="center"/>
              <w:textAlignment w:val="center"/>
              <w:rPr>
                <w:snapToGrid w:val="0"/>
                <w:color w:val="000000" w:themeColor="text1"/>
                <w:kern w:val="0"/>
                <w:sz w:val="18"/>
                <w:szCs w:val="18"/>
                <w:lang w:bidi="ar"/>
              </w:rPr>
            </w:pPr>
            <w:r w:rsidRPr="00B12FE0">
              <w:rPr>
                <w:rFonts w:hint="eastAsia"/>
                <w:color w:val="000000" w:themeColor="text1"/>
                <w:sz w:val="18"/>
                <w:szCs w:val="18"/>
                <w:lang w:bidi="ar"/>
              </w:rPr>
              <w:t>（</w:t>
            </w:r>
            <w:r w:rsidRPr="00B12FE0">
              <w:rPr>
                <w:rFonts w:hint="eastAsia"/>
                <w:color w:val="000000" w:themeColor="text1"/>
                <w:sz w:val="18"/>
                <w:szCs w:val="18"/>
                <w:lang w:bidi="ar"/>
              </w:rPr>
              <w:t>30s/</w:t>
            </w:r>
            <w:r w:rsidRPr="00B12FE0">
              <w:rPr>
                <w:rFonts w:hint="eastAsia"/>
                <w:color w:val="000000" w:themeColor="text1"/>
                <w:sz w:val="18"/>
                <w:szCs w:val="18"/>
                <w:lang w:bidi="ar"/>
              </w:rPr>
              <w:t>次</w:t>
            </w:r>
            <w:r w:rsidRPr="00B12FE0">
              <w:rPr>
                <w:color w:val="000000" w:themeColor="text1"/>
                <w:kern w:val="0"/>
                <w:sz w:val="18"/>
                <w:szCs w:val="18"/>
              </w:rPr>
              <w:t>×</w:t>
            </w:r>
            <w:r w:rsidRPr="00B12FE0">
              <w:rPr>
                <w:rFonts w:hint="eastAsia"/>
                <w:color w:val="000000" w:themeColor="text1"/>
                <w:kern w:val="0"/>
                <w:sz w:val="18"/>
                <w:szCs w:val="18"/>
              </w:rPr>
              <w:t>750</w:t>
            </w:r>
            <w:r w:rsidRPr="00B12FE0">
              <w:rPr>
                <w:rFonts w:hint="eastAsia"/>
                <w:color w:val="000000" w:themeColor="text1"/>
                <w:kern w:val="0"/>
                <w:sz w:val="18"/>
                <w:szCs w:val="18"/>
              </w:rPr>
              <w:t>人次</w:t>
            </w:r>
            <w:r w:rsidRPr="00B12FE0">
              <w:rPr>
                <w:rFonts w:hint="eastAsia"/>
                <w:color w:val="000000" w:themeColor="text1"/>
                <w:sz w:val="18"/>
                <w:szCs w:val="18"/>
                <w:lang w:bidi="ar"/>
              </w:rPr>
              <w:t>）</w:t>
            </w:r>
          </w:p>
        </w:tc>
        <w:tc>
          <w:tcPr>
            <w:tcW w:w="428" w:type="pct"/>
            <w:noWrap/>
            <w:vAlign w:val="center"/>
          </w:tcPr>
          <w:p w14:paraId="62AD115D"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248017E5"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color w:val="000000" w:themeColor="text1"/>
                <w:sz w:val="18"/>
                <w:szCs w:val="18"/>
              </w:rPr>
              <w:t>5.95E-05</w:t>
            </w:r>
          </w:p>
        </w:tc>
        <w:tc>
          <w:tcPr>
            <w:tcW w:w="622" w:type="pct"/>
            <w:vMerge/>
            <w:noWrap/>
            <w:vAlign w:val="center"/>
          </w:tcPr>
          <w:p w14:paraId="61217060"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2AE9148C" w14:textId="77777777">
        <w:trPr>
          <w:trHeight w:val="513"/>
          <w:jc w:val="center"/>
        </w:trPr>
        <w:tc>
          <w:tcPr>
            <w:tcW w:w="415" w:type="pct"/>
            <w:vMerge/>
            <w:noWrap/>
            <w:vAlign w:val="center"/>
          </w:tcPr>
          <w:p w14:paraId="039526C2"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0BFC8F29"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744" w:type="pct"/>
            <w:vMerge/>
            <w:noWrap/>
            <w:vAlign w:val="center"/>
          </w:tcPr>
          <w:p w14:paraId="730CD196" w14:textId="77777777" w:rsidR="00A67F21" w:rsidRPr="00B12FE0" w:rsidRDefault="00A67F21">
            <w:pPr>
              <w:widowControl/>
              <w:adjustRightInd w:val="0"/>
              <w:snapToGrid w:val="0"/>
              <w:jc w:val="center"/>
              <w:textAlignment w:val="center"/>
              <w:rPr>
                <w:snapToGrid w:val="0"/>
                <w:color w:val="000000" w:themeColor="text1"/>
                <w:sz w:val="18"/>
                <w:szCs w:val="18"/>
                <w:lang w:bidi="ar"/>
              </w:rPr>
            </w:pPr>
          </w:p>
        </w:tc>
        <w:tc>
          <w:tcPr>
            <w:tcW w:w="966" w:type="pct"/>
            <w:noWrap/>
            <w:vAlign w:val="center"/>
          </w:tcPr>
          <w:p w14:paraId="4DD16273"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color w:val="000000" w:themeColor="text1"/>
                <w:sz w:val="18"/>
                <w:szCs w:val="18"/>
              </w:rPr>
              <w:t>4.04E-17</w:t>
            </w:r>
          </w:p>
          <w:p w14:paraId="74BAB27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2</w:t>
            </w:r>
            <w:r w:rsidRPr="00B12FE0">
              <w:rPr>
                <w:snapToGrid w:val="0"/>
                <w:color w:val="000000" w:themeColor="text1"/>
                <w:kern w:val="0"/>
                <w:sz w:val="18"/>
                <w:szCs w:val="18"/>
                <w:lang w:bidi="ar"/>
              </w:rPr>
              <w:t>）</w:t>
            </w:r>
          </w:p>
        </w:tc>
        <w:tc>
          <w:tcPr>
            <w:tcW w:w="672" w:type="pct"/>
            <w:vAlign w:val="center"/>
          </w:tcPr>
          <w:p w14:paraId="395D4D2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62.5</w:t>
            </w:r>
            <w:r w:rsidRPr="00B12FE0">
              <w:rPr>
                <w:snapToGrid w:val="0"/>
                <w:color w:val="000000" w:themeColor="text1"/>
                <w:kern w:val="0"/>
                <w:sz w:val="18"/>
                <w:szCs w:val="18"/>
                <w:lang w:bidi="ar"/>
              </w:rPr>
              <w:t>h</w:t>
            </w:r>
          </w:p>
          <w:p w14:paraId="4B65CDC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color w:val="000000" w:themeColor="text1"/>
                <w:sz w:val="18"/>
                <w:szCs w:val="18"/>
                <w:lang w:bidi="ar"/>
              </w:rPr>
              <w:t>（</w:t>
            </w:r>
            <w:r w:rsidRPr="00B12FE0">
              <w:rPr>
                <w:rFonts w:hint="eastAsia"/>
                <w:color w:val="000000" w:themeColor="text1"/>
                <w:sz w:val="18"/>
                <w:szCs w:val="18"/>
                <w:lang w:bidi="ar"/>
              </w:rPr>
              <w:t>30s/</w:t>
            </w:r>
            <w:r w:rsidRPr="00B12FE0">
              <w:rPr>
                <w:rFonts w:hint="eastAsia"/>
                <w:color w:val="000000" w:themeColor="text1"/>
                <w:sz w:val="18"/>
                <w:szCs w:val="18"/>
                <w:lang w:bidi="ar"/>
              </w:rPr>
              <w:t>次</w:t>
            </w:r>
            <w:r w:rsidRPr="00B12FE0">
              <w:rPr>
                <w:color w:val="000000" w:themeColor="text1"/>
                <w:kern w:val="0"/>
                <w:sz w:val="18"/>
                <w:szCs w:val="18"/>
              </w:rPr>
              <w:t>×</w:t>
            </w:r>
            <w:r w:rsidRPr="00B12FE0">
              <w:rPr>
                <w:rFonts w:hint="eastAsia"/>
                <w:color w:val="000000" w:themeColor="text1"/>
                <w:kern w:val="0"/>
                <w:sz w:val="18"/>
                <w:szCs w:val="18"/>
              </w:rPr>
              <w:t>7500</w:t>
            </w:r>
            <w:r w:rsidRPr="00B12FE0">
              <w:rPr>
                <w:rFonts w:hint="eastAsia"/>
                <w:color w:val="000000" w:themeColor="text1"/>
                <w:kern w:val="0"/>
                <w:sz w:val="18"/>
                <w:szCs w:val="18"/>
              </w:rPr>
              <w:t>人次</w:t>
            </w:r>
            <w:r w:rsidRPr="00B12FE0">
              <w:rPr>
                <w:rFonts w:hint="eastAsia"/>
                <w:color w:val="000000" w:themeColor="text1"/>
                <w:sz w:val="18"/>
                <w:szCs w:val="18"/>
                <w:lang w:bidi="ar"/>
              </w:rPr>
              <w:t>）</w:t>
            </w:r>
          </w:p>
        </w:tc>
        <w:tc>
          <w:tcPr>
            <w:tcW w:w="428" w:type="pct"/>
            <w:noWrap/>
            <w:vAlign w:val="center"/>
          </w:tcPr>
          <w:p w14:paraId="1B94016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180638B7"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2.52E-18</w:t>
            </w:r>
          </w:p>
        </w:tc>
        <w:tc>
          <w:tcPr>
            <w:tcW w:w="622" w:type="pct"/>
            <w:vMerge/>
            <w:noWrap/>
            <w:vAlign w:val="center"/>
          </w:tcPr>
          <w:p w14:paraId="41BA80B9"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6F9FDA93" w14:textId="77777777">
        <w:trPr>
          <w:trHeight w:val="766"/>
          <w:jc w:val="center"/>
        </w:trPr>
        <w:tc>
          <w:tcPr>
            <w:tcW w:w="415" w:type="pct"/>
            <w:vMerge/>
            <w:noWrap/>
            <w:vAlign w:val="center"/>
          </w:tcPr>
          <w:p w14:paraId="4AC60272"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2958A31C"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48763EE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sz w:val="18"/>
                <w:szCs w:val="18"/>
                <w:lang w:bidi="ar"/>
              </w:rPr>
              <w:t>PET</w:t>
            </w:r>
            <w:r w:rsidRPr="00B12FE0">
              <w:rPr>
                <w:snapToGrid w:val="0"/>
                <w:color w:val="000000" w:themeColor="text1"/>
                <w:kern w:val="0"/>
                <w:sz w:val="18"/>
                <w:szCs w:val="18"/>
                <w:lang w:bidi="ar"/>
              </w:rPr>
              <w:t>手套箱</w:t>
            </w:r>
          </w:p>
          <w:p w14:paraId="7B5782DF"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表面外</w:t>
            </w:r>
          </w:p>
          <w:p w14:paraId="6744A13E"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snapToGrid w:val="0"/>
                <w:color w:val="000000" w:themeColor="text1"/>
                <w:kern w:val="0"/>
                <w:sz w:val="18"/>
                <w:szCs w:val="18"/>
                <w:lang w:bidi="ar"/>
              </w:rPr>
              <w:t>30cm</w:t>
            </w:r>
            <w:r w:rsidRPr="00B12FE0">
              <w:rPr>
                <w:rFonts w:hint="eastAsia"/>
                <w:snapToGrid w:val="0"/>
                <w:color w:val="000000" w:themeColor="text1"/>
                <w:kern w:val="0"/>
                <w:sz w:val="18"/>
                <w:szCs w:val="18"/>
                <w:lang w:bidi="ar"/>
              </w:rPr>
              <w:t>处</w:t>
            </w:r>
          </w:p>
        </w:tc>
        <w:tc>
          <w:tcPr>
            <w:tcW w:w="966" w:type="pct"/>
            <w:noWrap/>
            <w:vAlign w:val="center"/>
          </w:tcPr>
          <w:p w14:paraId="4EEAA7A8"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hint="eastAsia"/>
                <w:color w:val="000000" w:themeColor="text1"/>
                <w:sz w:val="18"/>
                <w:szCs w:val="18"/>
              </w:rPr>
              <w:t>4.81</w:t>
            </w:r>
            <w:r w:rsidRPr="00B12FE0">
              <w:rPr>
                <w:rFonts w:eastAsia="等线"/>
                <w:color w:val="000000" w:themeColor="text1"/>
                <w:sz w:val="18"/>
                <w:szCs w:val="18"/>
              </w:rPr>
              <w:t>E-02</w:t>
            </w:r>
          </w:p>
          <w:p w14:paraId="1B2EB399"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1</w:t>
            </w:r>
            <w:r w:rsidRPr="00B12FE0">
              <w:rPr>
                <w:snapToGrid w:val="0"/>
                <w:color w:val="000000" w:themeColor="text1"/>
                <w:kern w:val="0"/>
                <w:sz w:val="18"/>
                <w:szCs w:val="18"/>
                <w:lang w:bidi="ar"/>
              </w:rPr>
              <w:t>）</w:t>
            </w:r>
          </w:p>
        </w:tc>
        <w:tc>
          <w:tcPr>
            <w:tcW w:w="672" w:type="pct"/>
            <w:vAlign w:val="center"/>
          </w:tcPr>
          <w:p w14:paraId="69ACA6B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83.3</w:t>
            </w:r>
            <w:r w:rsidRPr="00B12FE0">
              <w:rPr>
                <w:snapToGrid w:val="0"/>
                <w:color w:val="000000" w:themeColor="text1"/>
                <w:kern w:val="0"/>
                <w:sz w:val="18"/>
                <w:szCs w:val="18"/>
                <w:lang w:bidi="ar"/>
              </w:rPr>
              <w:t>h</w:t>
            </w:r>
          </w:p>
          <w:p w14:paraId="1F845B7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color w:val="000000" w:themeColor="text1"/>
                <w:sz w:val="18"/>
                <w:szCs w:val="18"/>
                <w:lang w:bidi="ar"/>
              </w:rPr>
              <w:t>（</w:t>
            </w:r>
            <w:r w:rsidRPr="00B12FE0">
              <w:rPr>
                <w:rFonts w:hint="eastAsia"/>
                <w:color w:val="000000" w:themeColor="text1"/>
                <w:sz w:val="18"/>
                <w:szCs w:val="18"/>
                <w:lang w:bidi="ar"/>
              </w:rPr>
              <w:t>30s/</w:t>
            </w:r>
            <w:r w:rsidRPr="00B12FE0">
              <w:rPr>
                <w:rFonts w:hint="eastAsia"/>
                <w:color w:val="000000" w:themeColor="text1"/>
                <w:sz w:val="18"/>
                <w:szCs w:val="18"/>
                <w:lang w:bidi="ar"/>
              </w:rPr>
              <w:t>次</w:t>
            </w:r>
            <w:r w:rsidRPr="00B12FE0">
              <w:rPr>
                <w:color w:val="000000" w:themeColor="text1"/>
                <w:kern w:val="0"/>
                <w:sz w:val="18"/>
                <w:szCs w:val="18"/>
              </w:rPr>
              <w:t>×</w:t>
            </w:r>
            <w:r w:rsidRPr="00B12FE0">
              <w:rPr>
                <w:rFonts w:hint="eastAsia"/>
                <w:color w:val="000000" w:themeColor="text1"/>
                <w:kern w:val="0"/>
                <w:sz w:val="18"/>
                <w:szCs w:val="18"/>
              </w:rPr>
              <w:t>10000</w:t>
            </w:r>
            <w:r w:rsidRPr="00B12FE0">
              <w:rPr>
                <w:rFonts w:hint="eastAsia"/>
                <w:color w:val="000000" w:themeColor="text1"/>
                <w:kern w:val="0"/>
                <w:sz w:val="18"/>
                <w:szCs w:val="18"/>
              </w:rPr>
              <w:t>人次</w:t>
            </w:r>
            <w:r w:rsidRPr="00B12FE0">
              <w:rPr>
                <w:rFonts w:hint="eastAsia"/>
                <w:color w:val="000000" w:themeColor="text1"/>
                <w:sz w:val="18"/>
                <w:szCs w:val="18"/>
                <w:lang w:bidi="ar"/>
              </w:rPr>
              <w:t>）</w:t>
            </w:r>
          </w:p>
        </w:tc>
        <w:tc>
          <w:tcPr>
            <w:tcW w:w="428" w:type="pct"/>
            <w:noWrap/>
            <w:vAlign w:val="center"/>
          </w:tcPr>
          <w:p w14:paraId="33B5219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46D7983E"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hint="eastAsia"/>
                <w:color w:val="000000" w:themeColor="text1"/>
                <w:sz w:val="18"/>
                <w:szCs w:val="18"/>
              </w:rPr>
              <w:t>4.01</w:t>
            </w:r>
            <w:r w:rsidRPr="00B12FE0">
              <w:rPr>
                <w:rFonts w:eastAsia="等线"/>
                <w:color w:val="000000" w:themeColor="text1"/>
                <w:sz w:val="18"/>
                <w:szCs w:val="18"/>
              </w:rPr>
              <w:t>E-03</w:t>
            </w:r>
          </w:p>
        </w:tc>
        <w:tc>
          <w:tcPr>
            <w:tcW w:w="622" w:type="pct"/>
            <w:vMerge/>
            <w:noWrap/>
            <w:vAlign w:val="center"/>
          </w:tcPr>
          <w:p w14:paraId="57F8674D"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6B028A38" w14:textId="77777777">
        <w:trPr>
          <w:trHeight w:val="383"/>
          <w:jc w:val="center"/>
        </w:trPr>
        <w:tc>
          <w:tcPr>
            <w:tcW w:w="415" w:type="pct"/>
            <w:vMerge/>
            <w:noWrap/>
            <w:vAlign w:val="center"/>
          </w:tcPr>
          <w:p w14:paraId="62911EEE"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745C6F18" w14:textId="77777777" w:rsidR="00A67F21" w:rsidRPr="00B12FE0" w:rsidRDefault="00A67F21">
            <w:pPr>
              <w:adjustRightInd w:val="0"/>
              <w:snapToGrid w:val="0"/>
              <w:jc w:val="center"/>
              <w:rPr>
                <w:snapToGrid w:val="0"/>
                <w:color w:val="000000" w:themeColor="text1"/>
                <w:sz w:val="18"/>
                <w:szCs w:val="18"/>
              </w:rPr>
            </w:pPr>
          </w:p>
        </w:tc>
        <w:tc>
          <w:tcPr>
            <w:tcW w:w="744" w:type="pct"/>
            <w:vMerge w:val="restart"/>
            <w:noWrap/>
            <w:vAlign w:val="center"/>
          </w:tcPr>
          <w:p w14:paraId="191ED55F" w14:textId="77777777" w:rsidR="00A67F21" w:rsidRPr="00B12FE0" w:rsidRDefault="00000000">
            <w:pPr>
              <w:widowControl/>
              <w:adjustRightInd w:val="0"/>
              <w:snapToGrid w:val="0"/>
              <w:jc w:val="center"/>
              <w:textAlignment w:val="center"/>
              <w:rPr>
                <w:snapToGrid w:val="0"/>
                <w:color w:val="000000" w:themeColor="text1"/>
                <w:sz w:val="18"/>
                <w:szCs w:val="18"/>
                <w:lang w:bidi="ar"/>
              </w:rPr>
            </w:pPr>
            <w:r w:rsidRPr="00B12FE0">
              <w:rPr>
                <w:snapToGrid w:val="0"/>
                <w:color w:val="000000" w:themeColor="text1"/>
                <w:sz w:val="18"/>
                <w:szCs w:val="18"/>
                <w:lang w:bidi="ar"/>
              </w:rPr>
              <w:t>储源室</w:t>
            </w:r>
          </w:p>
        </w:tc>
        <w:tc>
          <w:tcPr>
            <w:tcW w:w="966" w:type="pct"/>
            <w:noWrap/>
            <w:vAlign w:val="center"/>
          </w:tcPr>
          <w:p w14:paraId="4EEC557C"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hint="eastAsia"/>
                <w:color w:val="000000" w:themeColor="text1"/>
                <w:sz w:val="18"/>
                <w:szCs w:val="18"/>
              </w:rPr>
              <w:t>4.51</w:t>
            </w:r>
            <w:r w:rsidRPr="00B12FE0">
              <w:rPr>
                <w:rFonts w:eastAsia="等线"/>
                <w:color w:val="000000" w:themeColor="text1"/>
                <w:sz w:val="18"/>
                <w:szCs w:val="18"/>
              </w:rPr>
              <w:t>E-01</w:t>
            </w:r>
          </w:p>
          <w:p w14:paraId="5B9843D2" w14:textId="77777777" w:rsidR="00A67F21" w:rsidRPr="00B12FE0" w:rsidRDefault="00000000">
            <w:pPr>
              <w:pStyle w:val="21"/>
              <w:overflowPunct w:val="0"/>
              <w:autoSpaceDE w:val="0"/>
              <w:autoSpaceDN w:val="0"/>
              <w:adjustRightInd w:val="0"/>
              <w:snapToGrid w:val="0"/>
              <w:spacing w:after="0"/>
              <w:ind w:leftChars="0" w:left="0" w:firstLineChars="0" w:firstLine="0"/>
              <w:jc w:val="center"/>
              <w:rPr>
                <w:color w:val="000000" w:themeColor="text1"/>
                <w:sz w:val="18"/>
                <w:szCs w:val="18"/>
              </w:rPr>
            </w:pPr>
            <w:r w:rsidRPr="00B12FE0">
              <w:rPr>
                <w:rFonts w:hint="eastAsia"/>
                <w:color w:val="000000" w:themeColor="text1"/>
                <w:sz w:val="18"/>
                <w:szCs w:val="18"/>
              </w:rPr>
              <w:t>（</w:t>
            </w:r>
            <w:r w:rsidRPr="00B12FE0">
              <w:rPr>
                <w:rFonts w:hint="eastAsia"/>
                <w:color w:val="000000" w:themeColor="text1"/>
                <w:sz w:val="18"/>
                <w:szCs w:val="18"/>
              </w:rPr>
              <w:t>2-7</w:t>
            </w:r>
            <w:r w:rsidRPr="00B12FE0">
              <w:rPr>
                <w:rFonts w:hint="eastAsia"/>
                <w:color w:val="000000" w:themeColor="text1"/>
                <w:sz w:val="18"/>
                <w:szCs w:val="18"/>
              </w:rPr>
              <w:t>）</w:t>
            </w:r>
          </w:p>
        </w:tc>
        <w:tc>
          <w:tcPr>
            <w:tcW w:w="672" w:type="pct"/>
            <w:vMerge w:val="restart"/>
            <w:vAlign w:val="center"/>
          </w:tcPr>
          <w:p w14:paraId="7B6EBDF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2000h</w:t>
            </w:r>
          </w:p>
        </w:tc>
        <w:tc>
          <w:tcPr>
            <w:tcW w:w="428" w:type="pct"/>
            <w:vMerge w:val="restart"/>
            <w:noWrap/>
            <w:vAlign w:val="center"/>
          </w:tcPr>
          <w:p w14:paraId="627A44B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07AAB26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9.02E-01</w:t>
            </w:r>
          </w:p>
        </w:tc>
        <w:tc>
          <w:tcPr>
            <w:tcW w:w="622" w:type="pct"/>
            <w:vMerge/>
            <w:noWrap/>
            <w:vAlign w:val="center"/>
          </w:tcPr>
          <w:p w14:paraId="3A8A699D"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51382B2C" w14:textId="77777777">
        <w:trPr>
          <w:trHeight w:val="382"/>
          <w:jc w:val="center"/>
        </w:trPr>
        <w:tc>
          <w:tcPr>
            <w:tcW w:w="415" w:type="pct"/>
            <w:vMerge/>
            <w:noWrap/>
            <w:vAlign w:val="center"/>
          </w:tcPr>
          <w:p w14:paraId="5B7D6C8B"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75BA0768" w14:textId="77777777" w:rsidR="00A67F21" w:rsidRPr="00B12FE0" w:rsidRDefault="00A67F21">
            <w:pPr>
              <w:adjustRightInd w:val="0"/>
              <w:snapToGrid w:val="0"/>
              <w:jc w:val="center"/>
              <w:rPr>
                <w:snapToGrid w:val="0"/>
                <w:color w:val="000000" w:themeColor="text1"/>
                <w:sz w:val="18"/>
                <w:szCs w:val="18"/>
              </w:rPr>
            </w:pPr>
          </w:p>
        </w:tc>
        <w:tc>
          <w:tcPr>
            <w:tcW w:w="744" w:type="pct"/>
            <w:vMerge/>
            <w:noWrap/>
            <w:vAlign w:val="center"/>
          </w:tcPr>
          <w:p w14:paraId="7CBB04BB" w14:textId="77777777" w:rsidR="00A67F21" w:rsidRPr="00B12FE0" w:rsidRDefault="00A67F21">
            <w:pPr>
              <w:widowControl/>
              <w:adjustRightInd w:val="0"/>
              <w:snapToGrid w:val="0"/>
              <w:jc w:val="center"/>
              <w:textAlignment w:val="center"/>
              <w:rPr>
                <w:snapToGrid w:val="0"/>
                <w:color w:val="000000" w:themeColor="text1"/>
                <w:sz w:val="18"/>
                <w:szCs w:val="18"/>
                <w:lang w:bidi="ar"/>
              </w:rPr>
            </w:pPr>
          </w:p>
        </w:tc>
        <w:tc>
          <w:tcPr>
            <w:tcW w:w="966" w:type="pct"/>
            <w:noWrap/>
            <w:vAlign w:val="center"/>
          </w:tcPr>
          <w:p w14:paraId="2DB18620" w14:textId="77777777" w:rsidR="00A67F21" w:rsidRPr="00B12FE0" w:rsidRDefault="00000000">
            <w:pPr>
              <w:pStyle w:val="21"/>
              <w:adjustRightInd w:val="0"/>
              <w:snapToGrid w:val="0"/>
              <w:spacing w:after="0"/>
              <w:ind w:leftChars="0" w:left="0" w:firstLineChars="0" w:firstLine="0"/>
              <w:jc w:val="center"/>
              <w:rPr>
                <w:rFonts w:eastAsia="等线"/>
                <w:color w:val="000000" w:themeColor="text1"/>
                <w:sz w:val="18"/>
                <w:szCs w:val="18"/>
              </w:rPr>
            </w:pPr>
            <w:r w:rsidRPr="00B12FE0">
              <w:rPr>
                <w:rFonts w:eastAsia="等线"/>
                <w:color w:val="000000" w:themeColor="text1"/>
                <w:sz w:val="18"/>
                <w:szCs w:val="18"/>
              </w:rPr>
              <w:t>4.31E-03</w:t>
            </w:r>
          </w:p>
          <w:p w14:paraId="0E734DC6"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rPr>
            </w:pPr>
            <w:r w:rsidRPr="00B12FE0">
              <w:rPr>
                <w:color w:val="000000" w:themeColor="text1"/>
                <w:sz w:val="18"/>
                <w:szCs w:val="18"/>
              </w:rPr>
              <w:t>（</w:t>
            </w:r>
            <w:r w:rsidRPr="00B12FE0">
              <w:rPr>
                <w:color w:val="000000" w:themeColor="text1"/>
                <w:sz w:val="18"/>
                <w:szCs w:val="18"/>
              </w:rPr>
              <w:t>2-</w:t>
            </w:r>
            <w:r w:rsidRPr="00B12FE0">
              <w:rPr>
                <w:rFonts w:hint="eastAsia"/>
                <w:color w:val="000000" w:themeColor="text1"/>
                <w:sz w:val="18"/>
                <w:szCs w:val="18"/>
              </w:rPr>
              <w:t>8</w:t>
            </w:r>
            <w:r w:rsidRPr="00B12FE0">
              <w:rPr>
                <w:color w:val="000000" w:themeColor="text1"/>
                <w:sz w:val="18"/>
                <w:szCs w:val="18"/>
              </w:rPr>
              <w:t>轫致辐射）</w:t>
            </w:r>
          </w:p>
        </w:tc>
        <w:tc>
          <w:tcPr>
            <w:tcW w:w="672" w:type="pct"/>
            <w:vMerge/>
            <w:vAlign w:val="center"/>
          </w:tcPr>
          <w:p w14:paraId="787B57BA"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428" w:type="pct"/>
            <w:vMerge/>
            <w:noWrap/>
            <w:vAlign w:val="center"/>
          </w:tcPr>
          <w:p w14:paraId="2EE1809E"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1C100597"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8.63E-03</w:t>
            </w:r>
          </w:p>
        </w:tc>
        <w:tc>
          <w:tcPr>
            <w:tcW w:w="622" w:type="pct"/>
            <w:vMerge/>
            <w:noWrap/>
            <w:vAlign w:val="center"/>
          </w:tcPr>
          <w:p w14:paraId="2DB343AE"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315ED45A" w14:textId="77777777">
        <w:trPr>
          <w:trHeight w:val="383"/>
          <w:jc w:val="center"/>
        </w:trPr>
        <w:tc>
          <w:tcPr>
            <w:tcW w:w="415" w:type="pct"/>
            <w:vMerge/>
            <w:noWrap/>
            <w:vAlign w:val="center"/>
          </w:tcPr>
          <w:p w14:paraId="72DD2354"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28A14062" w14:textId="77777777" w:rsidR="00A67F21" w:rsidRPr="00B12FE0" w:rsidRDefault="00A67F21">
            <w:pPr>
              <w:adjustRightInd w:val="0"/>
              <w:snapToGrid w:val="0"/>
              <w:jc w:val="center"/>
              <w:rPr>
                <w:snapToGrid w:val="0"/>
                <w:color w:val="000000" w:themeColor="text1"/>
                <w:sz w:val="18"/>
                <w:szCs w:val="18"/>
              </w:rPr>
            </w:pPr>
          </w:p>
        </w:tc>
        <w:tc>
          <w:tcPr>
            <w:tcW w:w="744" w:type="pct"/>
            <w:vMerge w:val="restart"/>
            <w:noWrap/>
            <w:vAlign w:val="center"/>
          </w:tcPr>
          <w:p w14:paraId="4D2FB49C" w14:textId="77777777" w:rsidR="00A67F21" w:rsidRPr="00B12FE0" w:rsidRDefault="00000000">
            <w:pPr>
              <w:widowControl/>
              <w:adjustRightInd w:val="0"/>
              <w:snapToGrid w:val="0"/>
              <w:jc w:val="center"/>
              <w:textAlignment w:val="center"/>
              <w:rPr>
                <w:snapToGrid w:val="0"/>
                <w:color w:val="000000" w:themeColor="text1"/>
                <w:sz w:val="18"/>
                <w:szCs w:val="18"/>
                <w:lang w:bidi="ar"/>
              </w:rPr>
            </w:pPr>
            <w:proofErr w:type="gramStart"/>
            <w:r w:rsidRPr="00B12FE0">
              <w:rPr>
                <w:snapToGrid w:val="0"/>
                <w:color w:val="000000" w:themeColor="text1"/>
                <w:sz w:val="18"/>
                <w:szCs w:val="18"/>
                <w:lang w:bidi="ar"/>
              </w:rPr>
              <w:t>固废间</w:t>
            </w:r>
            <w:proofErr w:type="gramEnd"/>
          </w:p>
        </w:tc>
        <w:tc>
          <w:tcPr>
            <w:tcW w:w="966" w:type="pct"/>
            <w:noWrap/>
            <w:vAlign w:val="center"/>
          </w:tcPr>
          <w:p w14:paraId="3A30A9AD" w14:textId="77777777" w:rsidR="00A67F21" w:rsidRPr="00B12FE0" w:rsidRDefault="00000000">
            <w:pPr>
              <w:widowControl/>
              <w:adjustRightInd w:val="0"/>
              <w:snapToGrid w:val="0"/>
              <w:jc w:val="center"/>
              <w:textAlignment w:val="center"/>
              <w:rPr>
                <w:color w:val="000000" w:themeColor="text1"/>
                <w:sz w:val="18"/>
                <w:szCs w:val="18"/>
              </w:rPr>
            </w:pPr>
            <w:r w:rsidRPr="00B12FE0">
              <w:rPr>
                <w:color w:val="000000" w:themeColor="text1"/>
                <w:sz w:val="18"/>
                <w:szCs w:val="18"/>
              </w:rPr>
              <w:t>4.80E-01</w:t>
            </w:r>
          </w:p>
          <w:p w14:paraId="77EA25FD"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hint="eastAsia"/>
                <w:color w:val="000000" w:themeColor="text1"/>
                <w:sz w:val="18"/>
                <w:szCs w:val="18"/>
              </w:rPr>
              <w:t>（</w:t>
            </w:r>
            <w:r w:rsidRPr="00B12FE0">
              <w:rPr>
                <w:rFonts w:hint="eastAsia"/>
                <w:color w:val="000000" w:themeColor="text1"/>
                <w:sz w:val="18"/>
                <w:szCs w:val="18"/>
              </w:rPr>
              <w:t>2-11</w:t>
            </w:r>
            <w:r w:rsidRPr="00B12FE0">
              <w:rPr>
                <w:rFonts w:hint="eastAsia"/>
                <w:color w:val="000000" w:themeColor="text1"/>
                <w:sz w:val="18"/>
                <w:szCs w:val="18"/>
              </w:rPr>
              <w:t>）</w:t>
            </w:r>
          </w:p>
        </w:tc>
        <w:tc>
          <w:tcPr>
            <w:tcW w:w="672" w:type="pct"/>
            <w:vMerge w:val="restart"/>
            <w:vAlign w:val="center"/>
          </w:tcPr>
          <w:p w14:paraId="6CC05A7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2000h</w:t>
            </w:r>
          </w:p>
        </w:tc>
        <w:tc>
          <w:tcPr>
            <w:tcW w:w="428" w:type="pct"/>
            <w:vMerge w:val="restart"/>
            <w:noWrap/>
            <w:vAlign w:val="center"/>
          </w:tcPr>
          <w:p w14:paraId="2A5A5A8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674F8671"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9.60E-01</w:t>
            </w:r>
          </w:p>
        </w:tc>
        <w:tc>
          <w:tcPr>
            <w:tcW w:w="622" w:type="pct"/>
            <w:vMerge/>
            <w:noWrap/>
            <w:vAlign w:val="center"/>
          </w:tcPr>
          <w:p w14:paraId="70E58CFE"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2ABFEF60" w14:textId="77777777">
        <w:trPr>
          <w:trHeight w:val="382"/>
          <w:jc w:val="center"/>
        </w:trPr>
        <w:tc>
          <w:tcPr>
            <w:tcW w:w="415" w:type="pct"/>
            <w:vMerge/>
            <w:noWrap/>
            <w:vAlign w:val="center"/>
          </w:tcPr>
          <w:p w14:paraId="1E053FB6"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4A69F9BD" w14:textId="77777777" w:rsidR="00A67F21" w:rsidRPr="00B12FE0" w:rsidRDefault="00A67F21">
            <w:pPr>
              <w:adjustRightInd w:val="0"/>
              <w:snapToGrid w:val="0"/>
              <w:jc w:val="center"/>
              <w:rPr>
                <w:snapToGrid w:val="0"/>
                <w:color w:val="000000" w:themeColor="text1"/>
                <w:sz w:val="18"/>
                <w:szCs w:val="18"/>
              </w:rPr>
            </w:pPr>
          </w:p>
        </w:tc>
        <w:tc>
          <w:tcPr>
            <w:tcW w:w="744" w:type="pct"/>
            <w:vMerge/>
            <w:noWrap/>
            <w:vAlign w:val="center"/>
          </w:tcPr>
          <w:p w14:paraId="5E9EB295" w14:textId="77777777" w:rsidR="00A67F21" w:rsidRPr="00B12FE0" w:rsidRDefault="00A67F21">
            <w:pPr>
              <w:widowControl/>
              <w:adjustRightInd w:val="0"/>
              <w:snapToGrid w:val="0"/>
              <w:jc w:val="center"/>
              <w:textAlignment w:val="center"/>
              <w:rPr>
                <w:snapToGrid w:val="0"/>
                <w:color w:val="000000" w:themeColor="text1"/>
                <w:sz w:val="18"/>
                <w:szCs w:val="18"/>
                <w:lang w:bidi="ar"/>
              </w:rPr>
            </w:pPr>
          </w:p>
        </w:tc>
        <w:tc>
          <w:tcPr>
            <w:tcW w:w="966" w:type="pct"/>
            <w:noWrap/>
            <w:vAlign w:val="center"/>
          </w:tcPr>
          <w:p w14:paraId="0935DFB0"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color w:val="000000" w:themeColor="text1"/>
                <w:sz w:val="18"/>
                <w:szCs w:val="18"/>
              </w:rPr>
              <w:t>8.41E-01</w:t>
            </w:r>
          </w:p>
          <w:p w14:paraId="72D32971" w14:textId="77777777" w:rsidR="00A67F21" w:rsidRPr="00B12FE0" w:rsidRDefault="00000000">
            <w:pPr>
              <w:widowControl/>
              <w:adjustRightInd w:val="0"/>
              <w:snapToGrid w:val="0"/>
              <w:jc w:val="center"/>
              <w:textAlignment w:val="center"/>
              <w:rPr>
                <w:color w:val="000000" w:themeColor="text1"/>
                <w:sz w:val="18"/>
                <w:szCs w:val="18"/>
              </w:rPr>
            </w:pPr>
            <w:r w:rsidRPr="00B12FE0">
              <w:rPr>
                <w:rFonts w:hint="eastAsia"/>
                <w:color w:val="000000" w:themeColor="text1"/>
                <w:sz w:val="18"/>
                <w:szCs w:val="18"/>
              </w:rPr>
              <w:t>（</w:t>
            </w:r>
            <w:r w:rsidRPr="00B12FE0">
              <w:rPr>
                <w:rFonts w:hint="eastAsia"/>
                <w:color w:val="000000" w:themeColor="text1"/>
                <w:sz w:val="18"/>
                <w:szCs w:val="18"/>
              </w:rPr>
              <w:t>2-11</w:t>
            </w:r>
            <w:r w:rsidRPr="00B12FE0">
              <w:rPr>
                <w:rFonts w:hint="eastAsia"/>
                <w:color w:val="000000" w:themeColor="text1"/>
                <w:sz w:val="18"/>
                <w:szCs w:val="18"/>
              </w:rPr>
              <w:t>轫致辐射）</w:t>
            </w:r>
          </w:p>
        </w:tc>
        <w:tc>
          <w:tcPr>
            <w:tcW w:w="672" w:type="pct"/>
            <w:vMerge/>
            <w:vAlign w:val="center"/>
          </w:tcPr>
          <w:p w14:paraId="29E9D155"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428" w:type="pct"/>
            <w:vMerge/>
            <w:noWrap/>
            <w:vAlign w:val="center"/>
          </w:tcPr>
          <w:p w14:paraId="0A107855"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34E50F2D"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1.</w:t>
            </w:r>
            <w:r w:rsidRPr="00B12FE0">
              <w:rPr>
                <w:rFonts w:eastAsia="等线" w:hint="eastAsia"/>
                <w:color w:val="000000" w:themeColor="text1"/>
                <w:sz w:val="18"/>
                <w:szCs w:val="18"/>
              </w:rPr>
              <w:t>68</w:t>
            </w:r>
          </w:p>
        </w:tc>
        <w:tc>
          <w:tcPr>
            <w:tcW w:w="622" w:type="pct"/>
            <w:vMerge/>
            <w:noWrap/>
            <w:vAlign w:val="center"/>
          </w:tcPr>
          <w:p w14:paraId="5283F0F6"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6925543E" w14:textId="77777777">
        <w:trPr>
          <w:trHeight w:val="383"/>
          <w:jc w:val="center"/>
        </w:trPr>
        <w:tc>
          <w:tcPr>
            <w:tcW w:w="415" w:type="pct"/>
            <w:vMerge/>
            <w:noWrap/>
            <w:vAlign w:val="center"/>
          </w:tcPr>
          <w:p w14:paraId="204EFFD5"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11B94C93"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0CBB4DBE" w14:textId="77777777" w:rsidR="00A67F21" w:rsidRPr="00B12FE0" w:rsidRDefault="00000000">
            <w:pPr>
              <w:widowControl/>
              <w:adjustRightInd w:val="0"/>
              <w:snapToGrid w:val="0"/>
              <w:jc w:val="center"/>
              <w:textAlignment w:val="center"/>
              <w:rPr>
                <w:snapToGrid w:val="0"/>
                <w:color w:val="000000" w:themeColor="text1"/>
                <w:sz w:val="18"/>
                <w:szCs w:val="18"/>
                <w:lang w:bidi="ar"/>
              </w:rPr>
            </w:pPr>
            <w:proofErr w:type="gramStart"/>
            <w:r w:rsidRPr="00B12FE0">
              <w:rPr>
                <w:rFonts w:hint="eastAsia"/>
                <w:snapToGrid w:val="0"/>
                <w:color w:val="000000" w:themeColor="text1"/>
                <w:sz w:val="18"/>
                <w:szCs w:val="18"/>
                <w:lang w:bidi="ar"/>
              </w:rPr>
              <w:t>敷贴室</w:t>
            </w:r>
            <w:proofErr w:type="gramEnd"/>
          </w:p>
        </w:tc>
        <w:tc>
          <w:tcPr>
            <w:tcW w:w="966" w:type="pct"/>
            <w:noWrap/>
            <w:vAlign w:val="center"/>
          </w:tcPr>
          <w:p w14:paraId="08A21731"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hint="eastAsia"/>
                <w:color w:val="000000" w:themeColor="text1"/>
                <w:sz w:val="18"/>
                <w:szCs w:val="18"/>
              </w:rPr>
              <w:t>1.16</w:t>
            </w:r>
            <w:r w:rsidRPr="00B12FE0">
              <w:rPr>
                <w:rFonts w:eastAsia="等线"/>
                <w:color w:val="000000" w:themeColor="text1"/>
                <w:sz w:val="18"/>
                <w:szCs w:val="18"/>
              </w:rPr>
              <w:t>E-0</w:t>
            </w:r>
            <w:r w:rsidRPr="00B12FE0">
              <w:rPr>
                <w:rFonts w:eastAsia="等线" w:hint="eastAsia"/>
                <w:color w:val="000000" w:themeColor="text1"/>
                <w:sz w:val="18"/>
                <w:szCs w:val="18"/>
              </w:rPr>
              <w:t>4</w:t>
            </w:r>
          </w:p>
          <w:p w14:paraId="4D6069DF"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color w:val="000000" w:themeColor="text1"/>
                <w:sz w:val="18"/>
                <w:szCs w:val="18"/>
              </w:rPr>
              <w:t>（</w:t>
            </w:r>
            <w:r w:rsidRPr="00B12FE0">
              <w:rPr>
                <w:color w:val="000000" w:themeColor="text1"/>
                <w:sz w:val="18"/>
                <w:szCs w:val="18"/>
              </w:rPr>
              <w:t>2-</w:t>
            </w:r>
            <w:r w:rsidRPr="00B12FE0">
              <w:rPr>
                <w:rFonts w:hint="eastAsia"/>
                <w:color w:val="000000" w:themeColor="text1"/>
                <w:sz w:val="18"/>
                <w:szCs w:val="18"/>
              </w:rPr>
              <w:t>16</w:t>
            </w:r>
            <w:r w:rsidRPr="00B12FE0">
              <w:rPr>
                <w:color w:val="000000" w:themeColor="text1"/>
                <w:sz w:val="18"/>
                <w:szCs w:val="18"/>
              </w:rPr>
              <w:t>轫致辐射）</w:t>
            </w:r>
          </w:p>
        </w:tc>
        <w:tc>
          <w:tcPr>
            <w:tcW w:w="672" w:type="pct"/>
            <w:vAlign w:val="center"/>
          </w:tcPr>
          <w:p w14:paraId="06CA7D43"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2000h</w:t>
            </w:r>
          </w:p>
        </w:tc>
        <w:tc>
          <w:tcPr>
            <w:tcW w:w="428" w:type="pct"/>
            <w:noWrap/>
            <w:vAlign w:val="center"/>
          </w:tcPr>
          <w:p w14:paraId="2134206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67CABCB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hint="eastAsia"/>
                <w:color w:val="000000" w:themeColor="text1"/>
                <w:sz w:val="18"/>
                <w:szCs w:val="18"/>
              </w:rPr>
              <w:t>2.33</w:t>
            </w:r>
            <w:r w:rsidRPr="00B12FE0">
              <w:rPr>
                <w:rFonts w:eastAsia="等线"/>
                <w:color w:val="000000" w:themeColor="text1"/>
                <w:sz w:val="18"/>
                <w:szCs w:val="18"/>
              </w:rPr>
              <w:t>E-0</w:t>
            </w:r>
            <w:r w:rsidRPr="00B12FE0">
              <w:rPr>
                <w:rFonts w:eastAsia="等线" w:hint="eastAsia"/>
                <w:color w:val="000000" w:themeColor="text1"/>
                <w:sz w:val="18"/>
                <w:szCs w:val="18"/>
              </w:rPr>
              <w:t>4</w:t>
            </w:r>
          </w:p>
        </w:tc>
        <w:tc>
          <w:tcPr>
            <w:tcW w:w="622" w:type="pct"/>
            <w:vMerge/>
            <w:noWrap/>
            <w:vAlign w:val="center"/>
          </w:tcPr>
          <w:p w14:paraId="67B6C15F"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59216A85" w14:textId="77777777">
        <w:trPr>
          <w:trHeight w:val="766"/>
          <w:jc w:val="center"/>
        </w:trPr>
        <w:tc>
          <w:tcPr>
            <w:tcW w:w="415" w:type="pct"/>
            <w:vMerge/>
            <w:noWrap/>
            <w:vAlign w:val="center"/>
          </w:tcPr>
          <w:p w14:paraId="581DBC98"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07D8E68B"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27111560" w14:textId="77777777" w:rsidR="00A67F21" w:rsidRPr="00B12FE0" w:rsidRDefault="00000000">
            <w:pPr>
              <w:widowControl/>
              <w:adjustRightInd w:val="0"/>
              <w:snapToGrid w:val="0"/>
              <w:jc w:val="center"/>
              <w:textAlignment w:val="center"/>
              <w:rPr>
                <w:snapToGrid w:val="0"/>
                <w:color w:val="000000" w:themeColor="text1"/>
                <w:sz w:val="18"/>
                <w:szCs w:val="18"/>
                <w:lang w:bidi="ar"/>
              </w:rPr>
            </w:pPr>
            <w:proofErr w:type="gramStart"/>
            <w:r w:rsidRPr="00B12FE0">
              <w:rPr>
                <w:rFonts w:hint="eastAsia"/>
                <w:snapToGrid w:val="0"/>
                <w:color w:val="000000" w:themeColor="text1"/>
                <w:sz w:val="18"/>
                <w:szCs w:val="18"/>
                <w:lang w:bidi="ar"/>
              </w:rPr>
              <w:t>甲测室</w:t>
            </w:r>
            <w:proofErr w:type="gramEnd"/>
          </w:p>
        </w:tc>
        <w:tc>
          <w:tcPr>
            <w:tcW w:w="966" w:type="pct"/>
            <w:noWrap/>
            <w:vAlign w:val="center"/>
          </w:tcPr>
          <w:p w14:paraId="556DC42A" w14:textId="77777777" w:rsidR="00A67F21" w:rsidRPr="00B12FE0" w:rsidRDefault="00000000">
            <w:pPr>
              <w:widowControl/>
              <w:adjustRightInd w:val="0"/>
              <w:snapToGrid w:val="0"/>
              <w:jc w:val="center"/>
              <w:textAlignment w:val="center"/>
              <w:rPr>
                <w:color w:val="000000" w:themeColor="text1"/>
                <w:sz w:val="18"/>
                <w:szCs w:val="18"/>
              </w:rPr>
            </w:pPr>
            <w:r w:rsidRPr="00B12FE0">
              <w:rPr>
                <w:color w:val="000000" w:themeColor="text1"/>
                <w:sz w:val="18"/>
                <w:szCs w:val="18"/>
              </w:rPr>
              <w:t>8.11E-04</w:t>
            </w:r>
          </w:p>
          <w:p w14:paraId="6F0B5340" w14:textId="77777777" w:rsidR="00A67F21" w:rsidRPr="00B12FE0" w:rsidRDefault="00000000">
            <w:pPr>
              <w:widowControl/>
              <w:adjustRightInd w:val="0"/>
              <w:snapToGrid w:val="0"/>
              <w:jc w:val="center"/>
              <w:textAlignment w:val="center"/>
              <w:rPr>
                <w:color w:val="000000" w:themeColor="text1"/>
                <w:sz w:val="18"/>
                <w:szCs w:val="18"/>
              </w:rPr>
            </w:pPr>
            <w:r w:rsidRPr="00B12FE0">
              <w:rPr>
                <w:rFonts w:hint="eastAsia"/>
                <w:color w:val="000000" w:themeColor="text1"/>
                <w:sz w:val="18"/>
                <w:szCs w:val="18"/>
              </w:rPr>
              <w:t>（</w:t>
            </w:r>
            <w:r w:rsidRPr="00B12FE0">
              <w:rPr>
                <w:rFonts w:hint="eastAsia"/>
                <w:color w:val="000000" w:themeColor="text1"/>
                <w:sz w:val="18"/>
                <w:szCs w:val="18"/>
              </w:rPr>
              <w:t>2-13</w:t>
            </w:r>
            <w:r w:rsidRPr="00B12FE0">
              <w:rPr>
                <w:rFonts w:hint="eastAsia"/>
                <w:color w:val="000000" w:themeColor="text1"/>
                <w:sz w:val="18"/>
                <w:szCs w:val="18"/>
              </w:rPr>
              <w:t>）</w:t>
            </w:r>
          </w:p>
        </w:tc>
        <w:tc>
          <w:tcPr>
            <w:tcW w:w="672" w:type="pct"/>
            <w:vAlign w:val="center"/>
          </w:tcPr>
          <w:p w14:paraId="2085AFD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2000h</w:t>
            </w:r>
          </w:p>
        </w:tc>
        <w:tc>
          <w:tcPr>
            <w:tcW w:w="428" w:type="pct"/>
            <w:noWrap/>
            <w:vAlign w:val="center"/>
          </w:tcPr>
          <w:p w14:paraId="43B7B30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795C114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1.62E-03</w:t>
            </w:r>
          </w:p>
        </w:tc>
        <w:tc>
          <w:tcPr>
            <w:tcW w:w="622" w:type="pct"/>
            <w:vMerge/>
            <w:noWrap/>
            <w:vAlign w:val="center"/>
          </w:tcPr>
          <w:p w14:paraId="5C0F7C53"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0831F7CF" w14:textId="77777777">
        <w:trPr>
          <w:trHeight w:val="766"/>
          <w:jc w:val="center"/>
        </w:trPr>
        <w:tc>
          <w:tcPr>
            <w:tcW w:w="415" w:type="pct"/>
            <w:vMerge/>
            <w:noWrap/>
            <w:vAlign w:val="center"/>
          </w:tcPr>
          <w:p w14:paraId="72005F82"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135CED59"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6F0A3131" w14:textId="77777777" w:rsidR="00A67F21" w:rsidRPr="00B12FE0" w:rsidRDefault="00000000">
            <w:pPr>
              <w:widowControl/>
              <w:adjustRightInd w:val="0"/>
              <w:snapToGrid w:val="0"/>
              <w:jc w:val="center"/>
              <w:textAlignment w:val="center"/>
              <w:rPr>
                <w:snapToGrid w:val="0"/>
                <w:color w:val="000000" w:themeColor="text1"/>
                <w:sz w:val="18"/>
                <w:szCs w:val="18"/>
                <w:lang w:bidi="ar"/>
              </w:rPr>
            </w:pPr>
            <w:r w:rsidRPr="00B12FE0">
              <w:rPr>
                <w:snapToGrid w:val="0"/>
                <w:color w:val="000000" w:themeColor="text1"/>
                <w:sz w:val="18"/>
                <w:szCs w:val="18"/>
                <w:lang w:bidi="ar"/>
              </w:rPr>
              <w:t>运动负荷室</w:t>
            </w:r>
          </w:p>
        </w:tc>
        <w:tc>
          <w:tcPr>
            <w:tcW w:w="966" w:type="pct"/>
            <w:noWrap/>
            <w:vAlign w:val="center"/>
          </w:tcPr>
          <w:p w14:paraId="750E180A" w14:textId="77777777" w:rsidR="00A67F21" w:rsidRPr="00B12FE0" w:rsidRDefault="00000000">
            <w:pPr>
              <w:pStyle w:val="21"/>
              <w:adjustRightInd w:val="0"/>
              <w:snapToGrid w:val="0"/>
              <w:spacing w:after="0"/>
              <w:ind w:leftChars="0" w:left="0" w:firstLine="360"/>
              <w:rPr>
                <w:rFonts w:eastAsia="等线"/>
                <w:color w:val="000000" w:themeColor="text1"/>
                <w:sz w:val="18"/>
                <w:szCs w:val="18"/>
              </w:rPr>
            </w:pPr>
            <w:r w:rsidRPr="00B12FE0">
              <w:rPr>
                <w:rFonts w:eastAsia="等线"/>
                <w:color w:val="000000" w:themeColor="text1"/>
                <w:sz w:val="18"/>
                <w:szCs w:val="18"/>
              </w:rPr>
              <w:t>9.69E-02</w:t>
            </w:r>
          </w:p>
          <w:p w14:paraId="38BD1F8F" w14:textId="77777777" w:rsidR="00A67F21" w:rsidRPr="00B12FE0" w:rsidRDefault="00000000">
            <w:pPr>
              <w:pStyle w:val="21"/>
              <w:adjustRightInd w:val="0"/>
              <w:snapToGrid w:val="0"/>
              <w:spacing w:after="0"/>
              <w:ind w:leftChars="0" w:left="0" w:firstLine="360"/>
              <w:rPr>
                <w:color w:val="000000" w:themeColor="text1"/>
                <w:sz w:val="18"/>
                <w:szCs w:val="18"/>
              </w:rPr>
            </w:pPr>
            <w:r w:rsidRPr="00B12FE0">
              <w:rPr>
                <w:rFonts w:hint="eastAsia"/>
                <w:color w:val="000000" w:themeColor="text1"/>
                <w:sz w:val="18"/>
                <w:szCs w:val="18"/>
              </w:rPr>
              <w:t>（</w:t>
            </w:r>
            <w:r w:rsidRPr="00B12FE0">
              <w:rPr>
                <w:rFonts w:hint="eastAsia"/>
                <w:color w:val="000000" w:themeColor="text1"/>
                <w:sz w:val="18"/>
                <w:szCs w:val="18"/>
              </w:rPr>
              <w:t>2-19</w:t>
            </w:r>
            <w:r w:rsidRPr="00B12FE0">
              <w:rPr>
                <w:rFonts w:hint="eastAsia"/>
                <w:color w:val="000000" w:themeColor="text1"/>
                <w:sz w:val="18"/>
                <w:szCs w:val="18"/>
              </w:rPr>
              <w:t>）</w:t>
            </w:r>
          </w:p>
        </w:tc>
        <w:tc>
          <w:tcPr>
            <w:tcW w:w="672" w:type="pct"/>
            <w:vAlign w:val="center"/>
          </w:tcPr>
          <w:p w14:paraId="4A70886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2000h</w:t>
            </w:r>
          </w:p>
        </w:tc>
        <w:tc>
          <w:tcPr>
            <w:tcW w:w="428" w:type="pct"/>
            <w:noWrap/>
            <w:vAlign w:val="center"/>
          </w:tcPr>
          <w:p w14:paraId="5A2D3D31"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14916AFA" w14:textId="77777777" w:rsidR="00A67F21" w:rsidRPr="00B12FE0" w:rsidRDefault="00000000">
            <w:pPr>
              <w:pStyle w:val="21"/>
              <w:adjustRightInd w:val="0"/>
              <w:snapToGrid w:val="0"/>
              <w:spacing w:after="0"/>
              <w:ind w:leftChars="0" w:left="0" w:firstLineChars="0" w:firstLine="0"/>
              <w:jc w:val="center"/>
              <w:rPr>
                <w:rFonts w:eastAsia="等线"/>
                <w:color w:val="000000" w:themeColor="text1"/>
                <w:sz w:val="18"/>
                <w:szCs w:val="18"/>
              </w:rPr>
            </w:pPr>
            <w:r w:rsidRPr="00B12FE0">
              <w:rPr>
                <w:rFonts w:eastAsia="等线"/>
                <w:color w:val="000000" w:themeColor="text1"/>
                <w:sz w:val="18"/>
                <w:szCs w:val="18"/>
              </w:rPr>
              <w:t>1.94E-01</w:t>
            </w:r>
          </w:p>
        </w:tc>
        <w:tc>
          <w:tcPr>
            <w:tcW w:w="622" w:type="pct"/>
            <w:vMerge/>
            <w:noWrap/>
            <w:vAlign w:val="center"/>
          </w:tcPr>
          <w:p w14:paraId="29C1BB0F"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23E61ED6" w14:textId="77777777">
        <w:trPr>
          <w:trHeight w:val="766"/>
          <w:jc w:val="center"/>
        </w:trPr>
        <w:tc>
          <w:tcPr>
            <w:tcW w:w="415" w:type="pct"/>
            <w:vMerge/>
            <w:noWrap/>
            <w:vAlign w:val="center"/>
          </w:tcPr>
          <w:p w14:paraId="7FFC6D01"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11EEB108"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0D0A4884" w14:textId="77777777" w:rsidR="00A67F21" w:rsidRPr="00B12FE0" w:rsidRDefault="00000000">
            <w:pPr>
              <w:widowControl/>
              <w:adjustRightInd w:val="0"/>
              <w:snapToGrid w:val="0"/>
              <w:jc w:val="center"/>
              <w:textAlignment w:val="center"/>
              <w:rPr>
                <w:snapToGrid w:val="0"/>
                <w:color w:val="000000" w:themeColor="text1"/>
                <w:sz w:val="18"/>
                <w:szCs w:val="18"/>
                <w:lang w:bidi="ar"/>
              </w:rPr>
            </w:pPr>
            <w:r w:rsidRPr="00B12FE0">
              <w:rPr>
                <w:rFonts w:hint="eastAsia"/>
                <w:snapToGrid w:val="0"/>
                <w:color w:val="000000" w:themeColor="text1"/>
                <w:sz w:val="18"/>
                <w:szCs w:val="18"/>
                <w:lang w:bidi="ar"/>
              </w:rPr>
              <w:t>SPECT</w:t>
            </w:r>
            <w:r w:rsidRPr="00B12FE0">
              <w:rPr>
                <w:snapToGrid w:val="0"/>
                <w:color w:val="000000" w:themeColor="text1"/>
                <w:sz w:val="18"/>
                <w:szCs w:val="18"/>
                <w:lang w:bidi="ar"/>
              </w:rPr>
              <w:t>/CT</w:t>
            </w:r>
            <w:r w:rsidRPr="00B12FE0">
              <w:rPr>
                <w:snapToGrid w:val="0"/>
                <w:color w:val="000000" w:themeColor="text1"/>
                <w:sz w:val="18"/>
                <w:szCs w:val="18"/>
                <w:lang w:bidi="ar"/>
              </w:rPr>
              <w:t>机房</w:t>
            </w:r>
            <w:r w:rsidRPr="00B12FE0">
              <w:rPr>
                <w:rFonts w:hint="eastAsia"/>
                <w:snapToGrid w:val="0"/>
                <w:color w:val="000000" w:themeColor="text1"/>
                <w:sz w:val="18"/>
                <w:szCs w:val="18"/>
                <w:lang w:bidi="ar"/>
              </w:rPr>
              <w:t>东侧</w:t>
            </w:r>
          </w:p>
        </w:tc>
        <w:tc>
          <w:tcPr>
            <w:tcW w:w="966" w:type="pct"/>
            <w:noWrap/>
            <w:vAlign w:val="center"/>
          </w:tcPr>
          <w:p w14:paraId="5E8CA3CD" w14:textId="77777777" w:rsidR="00A67F21" w:rsidRPr="00B12FE0" w:rsidRDefault="00000000">
            <w:pPr>
              <w:pStyle w:val="21"/>
              <w:adjustRightInd w:val="0"/>
              <w:snapToGrid w:val="0"/>
              <w:spacing w:after="0"/>
              <w:ind w:leftChars="0" w:left="0" w:firstLine="360"/>
              <w:rPr>
                <w:color w:val="000000" w:themeColor="text1"/>
                <w:sz w:val="18"/>
                <w:szCs w:val="18"/>
              </w:rPr>
            </w:pPr>
            <w:r w:rsidRPr="00B12FE0">
              <w:rPr>
                <w:color w:val="000000" w:themeColor="text1"/>
                <w:sz w:val="18"/>
                <w:szCs w:val="18"/>
              </w:rPr>
              <w:t>2.31E-02</w:t>
            </w:r>
          </w:p>
          <w:p w14:paraId="5474E3FC" w14:textId="77777777" w:rsidR="00A67F21" w:rsidRPr="00B12FE0" w:rsidRDefault="00000000">
            <w:pPr>
              <w:pStyle w:val="21"/>
              <w:adjustRightInd w:val="0"/>
              <w:snapToGrid w:val="0"/>
              <w:spacing w:after="0"/>
              <w:ind w:leftChars="0" w:left="0" w:firstLine="360"/>
              <w:rPr>
                <w:color w:val="000000" w:themeColor="text1"/>
                <w:sz w:val="18"/>
                <w:szCs w:val="18"/>
              </w:rPr>
            </w:pPr>
            <w:r w:rsidRPr="00B12FE0">
              <w:rPr>
                <w:rFonts w:hint="eastAsia"/>
                <w:color w:val="000000" w:themeColor="text1"/>
                <w:sz w:val="18"/>
                <w:szCs w:val="18"/>
              </w:rPr>
              <w:t>（</w:t>
            </w:r>
            <w:r w:rsidRPr="00B12FE0">
              <w:rPr>
                <w:rFonts w:hint="eastAsia"/>
                <w:color w:val="000000" w:themeColor="text1"/>
                <w:sz w:val="18"/>
                <w:szCs w:val="18"/>
              </w:rPr>
              <w:t>2-36</w:t>
            </w:r>
            <w:r w:rsidRPr="00B12FE0">
              <w:rPr>
                <w:rFonts w:hint="eastAsia"/>
                <w:color w:val="000000" w:themeColor="text1"/>
                <w:sz w:val="18"/>
                <w:szCs w:val="18"/>
              </w:rPr>
              <w:t>））</w:t>
            </w:r>
          </w:p>
        </w:tc>
        <w:tc>
          <w:tcPr>
            <w:tcW w:w="672" w:type="pct"/>
            <w:vAlign w:val="center"/>
          </w:tcPr>
          <w:p w14:paraId="235B25B2"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2000h</w:t>
            </w:r>
          </w:p>
        </w:tc>
        <w:tc>
          <w:tcPr>
            <w:tcW w:w="428" w:type="pct"/>
            <w:noWrap/>
            <w:vAlign w:val="center"/>
          </w:tcPr>
          <w:p w14:paraId="7AC1EDC2"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7CCB325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4.63E-02</w:t>
            </w:r>
          </w:p>
        </w:tc>
        <w:tc>
          <w:tcPr>
            <w:tcW w:w="622" w:type="pct"/>
            <w:vMerge/>
            <w:noWrap/>
            <w:vAlign w:val="center"/>
          </w:tcPr>
          <w:p w14:paraId="1A575860"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06E895E7" w14:textId="77777777">
        <w:trPr>
          <w:trHeight w:val="485"/>
          <w:jc w:val="center"/>
        </w:trPr>
        <w:tc>
          <w:tcPr>
            <w:tcW w:w="415" w:type="pct"/>
            <w:vMerge/>
            <w:noWrap/>
            <w:vAlign w:val="center"/>
          </w:tcPr>
          <w:p w14:paraId="4E39C7EA" w14:textId="77777777" w:rsidR="00A67F21" w:rsidRPr="00B12FE0" w:rsidRDefault="00A67F21">
            <w:pPr>
              <w:widowControl/>
              <w:adjustRightInd w:val="0"/>
              <w:snapToGrid w:val="0"/>
              <w:jc w:val="center"/>
              <w:textAlignment w:val="center"/>
              <w:rPr>
                <w:snapToGrid w:val="0"/>
                <w:color w:val="000000" w:themeColor="text1"/>
                <w:sz w:val="18"/>
                <w:szCs w:val="18"/>
              </w:rPr>
            </w:pPr>
          </w:p>
        </w:tc>
        <w:tc>
          <w:tcPr>
            <w:tcW w:w="530" w:type="pct"/>
            <w:vMerge w:val="restart"/>
            <w:noWrap/>
            <w:vAlign w:val="center"/>
          </w:tcPr>
          <w:p w14:paraId="19B7437D" w14:textId="77777777" w:rsidR="00A67F21" w:rsidRPr="00B12FE0" w:rsidRDefault="00000000">
            <w:pPr>
              <w:widowControl/>
              <w:adjustRightInd w:val="0"/>
              <w:snapToGrid w:val="0"/>
              <w:jc w:val="center"/>
              <w:textAlignment w:val="center"/>
              <w:rPr>
                <w:snapToGrid w:val="0"/>
                <w:color w:val="000000" w:themeColor="text1"/>
                <w:sz w:val="18"/>
                <w:szCs w:val="18"/>
              </w:rPr>
            </w:pPr>
            <w:proofErr w:type="gramStart"/>
            <w:r w:rsidRPr="00B12FE0">
              <w:rPr>
                <w:snapToGrid w:val="0"/>
                <w:color w:val="000000" w:themeColor="text1"/>
                <w:kern w:val="0"/>
                <w:sz w:val="18"/>
                <w:szCs w:val="18"/>
                <w:lang w:bidi="ar"/>
              </w:rPr>
              <w:t>注射</w:t>
            </w:r>
            <w:r w:rsidRPr="00B12FE0">
              <w:rPr>
                <w:rFonts w:hint="eastAsia"/>
                <w:snapToGrid w:val="0"/>
                <w:color w:val="000000" w:themeColor="text1"/>
                <w:kern w:val="0"/>
                <w:sz w:val="18"/>
                <w:szCs w:val="18"/>
                <w:lang w:bidi="ar"/>
              </w:rPr>
              <w:t>区</w:t>
            </w:r>
            <w:proofErr w:type="gramEnd"/>
          </w:p>
        </w:tc>
        <w:tc>
          <w:tcPr>
            <w:tcW w:w="744" w:type="pct"/>
            <w:noWrap/>
            <w:vAlign w:val="center"/>
          </w:tcPr>
          <w:p w14:paraId="26A4BFF8"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PET</w:t>
            </w:r>
            <w:r w:rsidRPr="00B12FE0">
              <w:rPr>
                <w:snapToGrid w:val="0"/>
                <w:color w:val="000000" w:themeColor="text1"/>
                <w:kern w:val="0"/>
                <w:sz w:val="18"/>
                <w:szCs w:val="18"/>
                <w:lang w:bidi="ar"/>
              </w:rPr>
              <w:t>注射位</w:t>
            </w:r>
          </w:p>
        </w:tc>
        <w:tc>
          <w:tcPr>
            <w:tcW w:w="966" w:type="pct"/>
            <w:noWrap/>
            <w:vAlign w:val="center"/>
          </w:tcPr>
          <w:p w14:paraId="1965515B"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color w:val="000000" w:themeColor="text1"/>
                <w:sz w:val="18"/>
                <w:szCs w:val="18"/>
              </w:rPr>
              <w:t>1.32E-01</w:t>
            </w:r>
          </w:p>
          <w:p w14:paraId="5EEED5BE" w14:textId="77777777" w:rsidR="00A67F21" w:rsidRPr="00B12FE0" w:rsidRDefault="00000000">
            <w:pPr>
              <w:pStyle w:val="21"/>
              <w:adjustRightInd w:val="0"/>
              <w:snapToGrid w:val="0"/>
              <w:spacing w:after="0"/>
              <w:ind w:leftChars="0" w:left="0" w:firstLineChars="0" w:firstLine="0"/>
              <w:jc w:val="center"/>
              <w:rPr>
                <w:rFonts w:eastAsia="等线"/>
                <w:color w:val="000000" w:themeColor="text1"/>
                <w:sz w:val="18"/>
                <w:szCs w:val="18"/>
              </w:rPr>
            </w:pPr>
            <w:r w:rsidRPr="00B12FE0">
              <w:rPr>
                <w:rFonts w:eastAsia="等线" w:hint="eastAsia"/>
                <w:color w:val="000000" w:themeColor="text1"/>
                <w:sz w:val="18"/>
                <w:szCs w:val="18"/>
              </w:rPr>
              <w:t>（</w:t>
            </w:r>
            <w:r w:rsidRPr="00B12FE0">
              <w:rPr>
                <w:rFonts w:eastAsia="等线" w:hint="eastAsia"/>
                <w:color w:val="000000" w:themeColor="text1"/>
                <w:sz w:val="18"/>
                <w:szCs w:val="18"/>
              </w:rPr>
              <w:t>2-4</w:t>
            </w:r>
            <w:r w:rsidRPr="00B12FE0">
              <w:rPr>
                <w:rFonts w:eastAsia="等线" w:hint="eastAsia"/>
                <w:color w:val="000000" w:themeColor="text1"/>
                <w:sz w:val="18"/>
                <w:szCs w:val="18"/>
              </w:rPr>
              <w:t>）</w:t>
            </w:r>
          </w:p>
        </w:tc>
        <w:tc>
          <w:tcPr>
            <w:tcW w:w="672" w:type="pct"/>
            <w:vAlign w:val="center"/>
          </w:tcPr>
          <w:p w14:paraId="0B8AB10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83.3</w:t>
            </w:r>
            <w:r w:rsidRPr="00B12FE0">
              <w:rPr>
                <w:snapToGrid w:val="0"/>
                <w:color w:val="000000" w:themeColor="text1"/>
                <w:kern w:val="0"/>
                <w:sz w:val="18"/>
                <w:szCs w:val="18"/>
                <w:lang w:bidi="ar"/>
              </w:rPr>
              <w:t>h</w:t>
            </w:r>
          </w:p>
          <w:p w14:paraId="62B5BBD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color w:val="000000" w:themeColor="text1"/>
                <w:sz w:val="18"/>
                <w:szCs w:val="18"/>
                <w:lang w:bidi="ar"/>
              </w:rPr>
              <w:t>（</w:t>
            </w:r>
            <w:r w:rsidRPr="00B12FE0">
              <w:rPr>
                <w:rFonts w:hint="eastAsia"/>
                <w:color w:val="000000" w:themeColor="text1"/>
                <w:sz w:val="18"/>
                <w:szCs w:val="18"/>
                <w:lang w:bidi="ar"/>
              </w:rPr>
              <w:t>30s/</w:t>
            </w:r>
            <w:r w:rsidRPr="00B12FE0">
              <w:rPr>
                <w:rFonts w:hint="eastAsia"/>
                <w:color w:val="000000" w:themeColor="text1"/>
                <w:sz w:val="18"/>
                <w:szCs w:val="18"/>
                <w:lang w:bidi="ar"/>
              </w:rPr>
              <w:t>次</w:t>
            </w:r>
            <w:r w:rsidRPr="00B12FE0">
              <w:rPr>
                <w:color w:val="000000" w:themeColor="text1"/>
                <w:kern w:val="0"/>
                <w:sz w:val="18"/>
                <w:szCs w:val="18"/>
              </w:rPr>
              <w:t>×</w:t>
            </w:r>
            <w:r w:rsidRPr="00B12FE0">
              <w:rPr>
                <w:rFonts w:hint="eastAsia"/>
                <w:color w:val="000000" w:themeColor="text1"/>
                <w:kern w:val="0"/>
                <w:sz w:val="18"/>
                <w:szCs w:val="18"/>
              </w:rPr>
              <w:t>10000</w:t>
            </w:r>
            <w:r w:rsidRPr="00B12FE0">
              <w:rPr>
                <w:rFonts w:hint="eastAsia"/>
                <w:color w:val="000000" w:themeColor="text1"/>
                <w:kern w:val="0"/>
                <w:sz w:val="18"/>
                <w:szCs w:val="18"/>
              </w:rPr>
              <w:t>人次</w:t>
            </w:r>
            <w:r w:rsidRPr="00B12FE0">
              <w:rPr>
                <w:rFonts w:hint="eastAsia"/>
                <w:color w:val="000000" w:themeColor="text1"/>
                <w:sz w:val="18"/>
                <w:szCs w:val="18"/>
                <w:lang w:bidi="ar"/>
              </w:rPr>
              <w:t>）</w:t>
            </w:r>
          </w:p>
        </w:tc>
        <w:tc>
          <w:tcPr>
            <w:tcW w:w="428" w:type="pct"/>
            <w:noWrap/>
            <w:vAlign w:val="center"/>
          </w:tcPr>
          <w:p w14:paraId="70F5368C"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0A3A7F37"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1.10E-02</w:t>
            </w:r>
          </w:p>
        </w:tc>
        <w:tc>
          <w:tcPr>
            <w:tcW w:w="622" w:type="pct"/>
            <w:vMerge/>
            <w:noWrap/>
            <w:vAlign w:val="center"/>
          </w:tcPr>
          <w:p w14:paraId="012F1941"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6E1EC8B0" w14:textId="77777777">
        <w:trPr>
          <w:trHeight w:val="485"/>
          <w:jc w:val="center"/>
        </w:trPr>
        <w:tc>
          <w:tcPr>
            <w:tcW w:w="415" w:type="pct"/>
            <w:vMerge/>
            <w:noWrap/>
            <w:vAlign w:val="center"/>
          </w:tcPr>
          <w:p w14:paraId="23CB76BE"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4F97225D"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740E28FB"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SPECT</w:t>
            </w:r>
          </w:p>
          <w:p w14:paraId="5E470996"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注射位</w:t>
            </w:r>
          </w:p>
        </w:tc>
        <w:tc>
          <w:tcPr>
            <w:tcW w:w="966" w:type="pct"/>
            <w:noWrap/>
            <w:vAlign w:val="center"/>
          </w:tcPr>
          <w:p w14:paraId="6647A89D"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snapToGrid w:val="0"/>
                <w:color w:val="000000" w:themeColor="text1"/>
                <w:kern w:val="0"/>
                <w:sz w:val="18"/>
                <w:szCs w:val="18"/>
                <w:lang w:bidi="ar"/>
              </w:rPr>
              <w:t>7.66E-23</w:t>
            </w:r>
          </w:p>
          <w:p w14:paraId="661C892B"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2-3</w:t>
            </w:r>
            <w:r w:rsidRPr="00B12FE0">
              <w:rPr>
                <w:rFonts w:hint="eastAsia"/>
                <w:snapToGrid w:val="0"/>
                <w:color w:val="000000" w:themeColor="text1"/>
                <w:kern w:val="0"/>
                <w:sz w:val="18"/>
                <w:szCs w:val="18"/>
                <w:lang w:bidi="ar"/>
              </w:rPr>
              <w:t>）</w:t>
            </w:r>
          </w:p>
        </w:tc>
        <w:tc>
          <w:tcPr>
            <w:tcW w:w="672" w:type="pct"/>
            <w:vAlign w:val="center"/>
          </w:tcPr>
          <w:p w14:paraId="6FC7134E"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62.5</w:t>
            </w:r>
            <w:r w:rsidRPr="00B12FE0">
              <w:rPr>
                <w:snapToGrid w:val="0"/>
                <w:color w:val="000000" w:themeColor="text1"/>
                <w:kern w:val="0"/>
                <w:sz w:val="18"/>
                <w:szCs w:val="18"/>
                <w:lang w:bidi="ar"/>
              </w:rPr>
              <w:t>h</w:t>
            </w:r>
          </w:p>
          <w:p w14:paraId="433C8BA0"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color w:val="000000" w:themeColor="text1"/>
                <w:sz w:val="18"/>
                <w:szCs w:val="18"/>
                <w:lang w:bidi="ar"/>
              </w:rPr>
              <w:t>（</w:t>
            </w:r>
            <w:r w:rsidRPr="00B12FE0">
              <w:rPr>
                <w:rFonts w:hint="eastAsia"/>
                <w:color w:val="000000" w:themeColor="text1"/>
                <w:sz w:val="18"/>
                <w:szCs w:val="18"/>
                <w:lang w:bidi="ar"/>
              </w:rPr>
              <w:t>30s/</w:t>
            </w:r>
            <w:r w:rsidRPr="00B12FE0">
              <w:rPr>
                <w:rFonts w:hint="eastAsia"/>
                <w:color w:val="000000" w:themeColor="text1"/>
                <w:sz w:val="18"/>
                <w:szCs w:val="18"/>
                <w:lang w:bidi="ar"/>
              </w:rPr>
              <w:t>次</w:t>
            </w:r>
            <w:r w:rsidRPr="00B12FE0">
              <w:rPr>
                <w:color w:val="000000" w:themeColor="text1"/>
                <w:kern w:val="0"/>
                <w:sz w:val="18"/>
                <w:szCs w:val="18"/>
              </w:rPr>
              <w:t>×</w:t>
            </w:r>
            <w:r w:rsidRPr="00B12FE0">
              <w:rPr>
                <w:rFonts w:hint="eastAsia"/>
                <w:color w:val="000000" w:themeColor="text1"/>
                <w:kern w:val="0"/>
                <w:sz w:val="18"/>
                <w:szCs w:val="18"/>
              </w:rPr>
              <w:t>75000</w:t>
            </w:r>
            <w:r w:rsidRPr="00B12FE0">
              <w:rPr>
                <w:rFonts w:hint="eastAsia"/>
                <w:color w:val="000000" w:themeColor="text1"/>
                <w:kern w:val="0"/>
                <w:sz w:val="18"/>
                <w:szCs w:val="18"/>
              </w:rPr>
              <w:t>人次</w:t>
            </w:r>
            <w:r w:rsidRPr="00B12FE0">
              <w:rPr>
                <w:rFonts w:hint="eastAsia"/>
                <w:color w:val="000000" w:themeColor="text1"/>
                <w:sz w:val="18"/>
                <w:szCs w:val="18"/>
                <w:lang w:bidi="ar"/>
              </w:rPr>
              <w:t>）</w:t>
            </w:r>
          </w:p>
        </w:tc>
        <w:tc>
          <w:tcPr>
            <w:tcW w:w="428" w:type="pct"/>
            <w:noWrap/>
            <w:vAlign w:val="center"/>
          </w:tcPr>
          <w:p w14:paraId="04C54F5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2082A59D"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4.79E-24</w:t>
            </w:r>
          </w:p>
        </w:tc>
        <w:tc>
          <w:tcPr>
            <w:tcW w:w="622" w:type="pct"/>
            <w:vMerge/>
            <w:noWrap/>
            <w:vAlign w:val="center"/>
          </w:tcPr>
          <w:p w14:paraId="4F18310E"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19FA8D90" w14:textId="77777777">
        <w:trPr>
          <w:trHeight w:val="485"/>
          <w:jc w:val="center"/>
        </w:trPr>
        <w:tc>
          <w:tcPr>
            <w:tcW w:w="415" w:type="pct"/>
            <w:vMerge/>
            <w:noWrap/>
            <w:vAlign w:val="center"/>
          </w:tcPr>
          <w:p w14:paraId="2E0609A4" w14:textId="77777777" w:rsidR="00A67F21" w:rsidRPr="00B12FE0" w:rsidRDefault="00A67F21">
            <w:pPr>
              <w:adjustRightInd w:val="0"/>
              <w:snapToGrid w:val="0"/>
              <w:jc w:val="center"/>
              <w:rPr>
                <w:snapToGrid w:val="0"/>
                <w:color w:val="000000" w:themeColor="text1"/>
                <w:sz w:val="18"/>
                <w:szCs w:val="18"/>
              </w:rPr>
            </w:pPr>
          </w:p>
        </w:tc>
        <w:tc>
          <w:tcPr>
            <w:tcW w:w="1274" w:type="pct"/>
            <w:gridSpan w:val="2"/>
            <w:vMerge w:val="restart"/>
            <w:noWrap/>
            <w:vAlign w:val="center"/>
          </w:tcPr>
          <w:p w14:paraId="38AC9C3D"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药物转移</w:t>
            </w:r>
          </w:p>
        </w:tc>
        <w:tc>
          <w:tcPr>
            <w:tcW w:w="966" w:type="pct"/>
            <w:noWrap/>
            <w:vAlign w:val="center"/>
          </w:tcPr>
          <w:p w14:paraId="50F2AAD3"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snapToGrid w:val="0"/>
                <w:color w:val="000000" w:themeColor="text1"/>
                <w:kern w:val="0"/>
                <w:sz w:val="18"/>
                <w:szCs w:val="18"/>
                <w:lang w:bidi="ar"/>
              </w:rPr>
              <w:t>7.66E-0</w:t>
            </w:r>
            <w:r w:rsidRPr="00B12FE0">
              <w:rPr>
                <w:rFonts w:hint="eastAsia"/>
                <w:snapToGrid w:val="0"/>
                <w:color w:val="000000" w:themeColor="text1"/>
                <w:kern w:val="0"/>
                <w:sz w:val="18"/>
                <w:szCs w:val="18"/>
                <w:lang w:bidi="ar"/>
              </w:rPr>
              <w:t>7</w:t>
            </w:r>
          </w:p>
          <w:p w14:paraId="08903241"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(2-3</w:t>
            </w:r>
            <w:r w:rsidRPr="00B12FE0">
              <w:rPr>
                <w:rFonts w:hint="eastAsia"/>
                <w:snapToGrid w:val="0"/>
                <w:color w:val="000000" w:themeColor="text1"/>
                <w:kern w:val="0"/>
                <w:sz w:val="18"/>
                <w:szCs w:val="18"/>
                <w:lang w:bidi="ar"/>
              </w:rPr>
              <w:t>药物转移</w:t>
            </w:r>
            <w:r w:rsidRPr="00B12FE0">
              <w:rPr>
                <w:rFonts w:hint="eastAsia"/>
                <w:snapToGrid w:val="0"/>
                <w:color w:val="000000" w:themeColor="text1"/>
                <w:kern w:val="0"/>
                <w:sz w:val="18"/>
                <w:szCs w:val="18"/>
                <w:lang w:bidi="ar"/>
              </w:rPr>
              <w:t>)</w:t>
            </w:r>
          </w:p>
        </w:tc>
        <w:tc>
          <w:tcPr>
            <w:tcW w:w="672" w:type="pct"/>
            <w:vAlign w:val="center"/>
          </w:tcPr>
          <w:p w14:paraId="1EE493A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r w:rsidRPr="00B12FE0">
              <w:rPr>
                <w:snapToGrid w:val="0"/>
                <w:color w:val="000000" w:themeColor="text1"/>
                <w:kern w:val="0"/>
                <w:sz w:val="18"/>
                <w:szCs w:val="18"/>
                <w:lang w:bidi="ar"/>
              </w:rPr>
              <w:t>25h</w:t>
            </w:r>
          </w:p>
          <w:p w14:paraId="4201FFD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7500</w:t>
            </w:r>
            <w:r w:rsidRPr="00B12FE0">
              <w:rPr>
                <w:rFonts w:hint="eastAsia"/>
                <w:snapToGrid w:val="0"/>
                <w:color w:val="000000" w:themeColor="text1"/>
                <w:kern w:val="0"/>
                <w:sz w:val="18"/>
                <w:szCs w:val="18"/>
                <w:lang w:bidi="ar"/>
              </w:rPr>
              <w:t>次）</w:t>
            </w:r>
          </w:p>
        </w:tc>
        <w:tc>
          <w:tcPr>
            <w:tcW w:w="428" w:type="pct"/>
            <w:noWrap/>
            <w:vAlign w:val="center"/>
          </w:tcPr>
          <w:p w14:paraId="61C059C1"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tcBorders>
            <w:noWrap/>
            <w:vAlign w:val="center"/>
          </w:tcPr>
          <w:p w14:paraId="2B4036FA"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9.57E-0</w:t>
            </w:r>
            <w:r w:rsidRPr="00B12FE0">
              <w:rPr>
                <w:rFonts w:eastAsia="等线" w:hint="eastAsia"/>
                <w:color w:val="000000" w:themeColor="text1"/>
                <w:sz w:val="18"/>
                <w:szCs w:val="18"/>
              </w:rPr>
              <w:t>8</w:t>
            </w:r>
          </w:p>
        </w:tc>
        <w:tc>
          <w:tcPr>
            <w:tcW w:w="622" w:type="pct"/>
            <w:vMerge/>
            <w:noWrap/>
            <w:vAlign w:val="center"/>
          </w:tcPr>
          <w:p w14:paraId="5989E3F1"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75F70046" w14:textId="77777777">
        <w:trPr>
          <w:trHeight w:val="485"/>
          <w:jc w:val="center"/>
        </w:trPr>
        <w:tc>
          <w:tcPr>
            <w:tcW w:w="415" w:type="pct"/>
            <w:vMerge/>
            <w:noWrap/>
            <w:vAlign w:val="center"/>
          </w:tcPr>
          <w:p w14:paraId="3C158E33" w14:textId="77777777" w:rsidR="00A67F21" w:rsidRPr="00B12FE0" w:rsidRDefault="00A67F21">
            <w:pPr>
              <w:adjustRightInd w:val="0"/>
              <w:snapToGrid w:val="0"/>
              <w:jc w:val="center"/>
              <w:rPr>
                <w:snapToGrid w:val="0"/>
                <w:color w:val="000000" w:themeColor="text1"/>
                <w:sz w:val="18"/>
                <w:szCs w:val="18"/>
              </w:rPr>
            </w:pPr>
          </w:p>
        </w:tc>
        <w:tc>
          <w:tcPr>
            <w:tcW w:w="1274" w:type="pct"/>
            <w:gridSpan w:val="2"/>
            <w:vMerge/>
            <w:noWrap/>
            <w:vAlign w:val="center"/>
          </w:tcPr>
          <w:p w14:paraId="21FD1FE8"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966" w:type="pct"/>
            <w:noWrap/>
            <w:vAlign w:val="center"/>
          </w:tcPr>
          <w:p w14:paraId="06BDD7E8"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13.2</w:t>
            </w:r>
          </w:p>
          <w:p w14:paraId="3C10A3D7"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(2-4</w:t>
            </w:r>
            <w:r w:rsidRPr="00B12FE0">
              <w:rPr>
                <w:rFonts w:hint="eastAsia"/>
                <w:snapToGrid w:val="0"/>
                <w:color w:val="000000" w:themeColor="text1"/>
                <w:kern w:val="0"/>
                <w:sz w:val="18"/>
                <w:szCs w:val="18"/>
                <w:lang w:bidi="ar"/>
              </w:rPr>
              <w:t>药物转移</w:t>
            </w:r>
            <w:r w:rsidRPr="00B12FE0">
              <w:rPr>
                <w:rFonts w:hint="eastAsia"/>
                <w:snapToGrid w:val="0"/>
                <w:color w:val="000000" w:themeColor="text1"/>
                <w:kern w:val="0"/>
                <w:sz w:val="18"/>
                <w:szCs w:val="18"/>
                <w:lang w:bidi="ar"/>
              </w:rPr>
              <w:t>)</w:t>
            </w:r>
          </w:p>
        </w:tc>
        <w:tc>
          <w:tcPr>
            <w:tcW w:w="672" w:type="pct"/>
            <w:vAlign w:val="center"/>
          </w:tcPr>
          <w:p w14:paraId="656A50A9"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166.67</w:t>
            </w:r>
            <w:r w:rsidRPr="00B12FE0">
              <w:rPr>
                <w:snapToGrid w:val="0"/>
                <w:color w:val="000000" w:themeColor="text1"/>
                <w:kern w:val="0"/>
                <w:sz w:val="18"/>
                <w:szCs w:val="18"/>
                <w:lang w:bidi="ar"/>
              </w:rPr>
              <w:t>h</w:t>
            </w:r>
          </w:p>
          <w:p w14:paraId="3AA5504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10000</w:t>
            </w:r>
            <w:r w:rsidRPr="00B12FE0">
              <w:rPr>
                <w:rFonts w:hint="eastAsia"/>
                <w:snapToGrid w:val="0"/>
                <w:color w:val="000000" w:themeColor="text1"/>
                <w:kern w:val="0"/>
                <w:sz w:val="18"/>
                <w:szCs w:val="18"/>
                <w:lang w:bidi="ar"/>
              </w:rPr>
              <w:t>次）</w:t>
            </w:r>
          </w:p>
        </w:tc>
        <w:tc>
          <w:tcPr>
            <w:tcW w:w="428" w:type="pct"/>
            <w:noWrap/>
            <w:vAlign w:val="center"/>
          </w:tcPr>
          <w:p w14:paraId="7305179E"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tcBorders>
            <w:noWrap/>
            <w:vAlign w:val="center"/>
          </w:tcPr>
          <w:p w14:paraId="2567FD37"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hint="eastAsia"/>
                <w:color w:val="000000" w:themeColor="text1"/>
                <w:sz w:val="18"/>
                <w:szCs w:val="18"/>
              </w:rPr>
              <w:t>2.20</w:t>
            </w:r>
          </w:p>
        </w:tc>
        <w:tc>
          <w:tcPr>
            <w:tcW w:w="622" w:type="pct"/>
            <w:vMerge/>
            <w:noWrap/>
            <w:vAlign w:val="center"/>
          </w:tcPr>
          <w:p w14:paraId="2169E15A"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0CADE467" w14:textId="77777777">
        <w:trPr>
          <w:trHeight w:val="485"/>
          <w:jc w:val="center"/>
        </w:trPr>
        <w:tc>
          <w:tcPr>
            <w:tcW w:w="415" w:type="pct"/>
            <w:vMerge/>
            <w:noWrap/>
            <w:vAlign w:val="center"/>
          </w:tcPr>
          <w:p w14:paraId="1FD281AE" w14:textId="77777777" w:rsidR="00A67F21" w:rsidRPr="00B12FE0" w:rsidRDefault="00A67F21">
            <w:pPr>
              <w:adjustRightInd w:val="0"/>
              <w:snapToGrid w:val="0"/>
              <w:jc w:val="center"/>
              <w:rPr>
                <w:snapToGrid w:val="0"/>
                <w:color w:val="000000" w:themeColor="text1"/>
                <w:sz w:val="18"/>
                <w:szCs w:val="18"/>
              </w:rPr>
            </w:pPr>
          </w:p>
        </w:tc>
        <w:tc>
          <w:tcPr>
            <w:tcW w:w="1274" w:type="pct"/>
            <w:gridSpan w:val="2"/>
            <w:noWrap/>
            <w:vAlign w:val="center"/>
          </w:tcPr>
          <w:p w14:paraId="69C5BA9D"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color w:val="000000" w:themeColor="text1"/>
                <w:sz w:val="18"/>
                <w:szCs w:val="18"/>
              </w:rPr>
              <w:t>远程操作位</w:t>
            </w:r>
          </w:p>
        </w:tc>
        <w:tc>
          <w:tcPr>
            <w:tcW w:w="966" w:type="pct"/>
            <w:noWrap/>
            <w:vAlign w:val="center"/>
          </w:tcPr>
          <w:p w14:paraId="61950109" w14:textId="77777777" w:rsidR="00A67F21" w:rsidRPr="00B12FE0" w:rsidRDefault="00000000">
            <w:pPr>
              <w:pStyle w:val="21"/>
              <w:adjustRightInd w:val="0"/>
              <w:snapToGrid w:val="0"/>
              <w:spacing w:after="0"/>
              <w:ind w:leftChars="0" w:left="0" w:firstLineChars="0" w:firstLine="0"/>
              <w:jc w:val="center"/>
              <w:rPr>
                <w:rFonts w:eastAsia="等线"/>
                <w:color w:val="000000" w:themeColor="text1"/>
                <w:sz w:val="18"/>
                <w:szCs w:val="18"/>
              </w:rPr>
            </w:pPr>
            <w:r w:rsidRPr="00B12FE0">
              <w:rPr>
                <w:rFonts w:eastAsia="等线" w:hint="eastAsia"/>
                <w:color w:val="000000" w:themeColor="text1"/>
                <w:sz w:val="18"/>
                <w:szCs w:val="18"/>
              </w:rPr>
              <w:t>7.78</w:t>
            </w:r>
            <w:r w:rsidRPr="00B12FE0">
              <w:rPr>
                <w:rFonts w:eastAsia="等线"/>
                <w:color w:val="000000" w:themeColor="text1"/>
                <w:sz w:val="18"/>
                <w:szCs w:val="18"/>
              </w:rPr>
              <w:t>E-01</w:t>
            </w:r>
          </w:p>
          <w:p w14:paraId="2C55949B"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18"/>
                <w:szCs w:val="18"/>
                <w:lang w:bidi="ar"/>
              </w:rPr>
            </w:pPr>
            <w:r w:rsidRPr="00B12FE0">
              <w:rPr>
                <w:rFonts w:eastAsia="等线" w:hint="eastAsia"/>
                <w:color w:val="000000" w:themeColor="text1"/>
                <w:sz w:val="18"/>
                <w:szCs w:val="18"/>
              </w:rPr>
              <w:t>（</w:t>
            </w:r>
            <w:r w:rsidRPr="00B12FE0">
              <w:rPr>
                <w:rFonts w:eastAsia="等线" w:hint="eastAsia"/>
                <w:color w:val="000000" w:themeColor="text1"/>
                <w:sz w:val="18"/>
                <w:szCs w:val="18"/>
              </w:rPr>
              <w:t>2-5</w:t>
            </w:r>
            <w:r w:rsidRPr="00B12FE0">
              <w:rPr>
                <w:rFonts w:eastAsia="等线" w:hint="eastAsia"/>
                <w:color w:val="000000" w:themeColor="text1"/>
                <w:sz w:val="18"/>
                <w:szCs w:val="18"/>
              </w:rPr>
              <w:t>）</w:t>
            </w:r>
          </w:p>
        </w:tc>
        <w:tc>
          <w:tcPr>
            <w:tcW w:w="672" w:type="pct"/>
            <w:vAlign w:val="center"/>
          </w:tcPr>
          <w:p w14:paraId="6A32CC1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8.33</w:t>
            </w:r>
            <w:r w:rsidRPr="00B12FE0">
              <w:rPr>
                <w:snapToGrid w:val="0"/>
                <w:color w:val="000000" w:themeColor="text1"/>
                <w:kern w:val="0"/>
                <w:sz w:val="18"/>
                <w:szCs w:val="18"/>
                <w:lang w:bidi="ar"/>
              </w:rPr>
              <w:t>h</w:t>
            </w:r>
          </w:p>
          <w:p w14:paraId="39CC304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500</w:t>
            </w:r>
            <w:r w:rsidRPr="00B12FE0">
              <w:rPr>
                <w:rFonts w:hint="eastAsia"/>
                <w:snapToGrid w:val="0"/>
                <w:color w:val="000000" w:themeColor="text1"/>
                <w:kern w:val="0"/>
                <w:sz w:val="18"/>
                <w:szCs w:val="18"/>
                <w:lang w:bidi="ar"/>
              </w:rPr>
              <w:t>次）</w:t>
            </w:r>
          </w:p>
        </w:tc>
        <w:tc>
          <w:tcPr>
            <w:tcW w:w="428" w:type="pct"/>
            <w:noWrap/>
            <w:vAlign w:val="center"/>
          </w:tcPr>
          <w:p w14:paraId="6965B85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7E5CB3B2"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6.48E-03</w:t>
            </w:r>
          </w:p>
        </w:tc>
        <w:tc>
          <w:tcPr>
            <w:tcW w:w="622" w:type="pct"/>
            <w:vMerge/>
            <w:noWrap/>
            <w:vAlign w:val="center"/>
          </w:tcPr>
          <w:p w14:paraId="45669D50" w14:textId="77777777" w:rsidR="00A67F21" w:rsidRPr="00B12FE0" w:rsidRDefault="00A67F21">
            <w:pPr>
              <w:adjustRightInd w:val="0"/>
              <w:snapToGrid w:val="0"/>
              <w:jc w:val="center"/>
              <w:textAlignment w:val="center"/>
              <w:rPr>
                <w:snapToGrid w:val="0"/>
                <w:color w:val="000000" w:themeColor="text1"/>
                <w:kern w:val="0"/>
                <w:sz w:val="18"/>
                <w:szCs w:val="18"/>
                <w:lang w:bidi="ar"/>
              </w:rPr>
            </w:pPr>
          </w:p>
        </w:tc>
      </w:tr>
      <w:tr w:rsidR="00A67F21" w:rsidRPr="00B12FE0" w14:paraId="5AC7F3D9" w14:textId="77777777">
        <w:trPr>
          <w:trHeight w:val="485"/>
          <w:jc w:val="center"/>
        </w:trPr>
        <w:tc>
          <w:tcPr>
            <w:tcW w:w="415" w:type="pct"/>
            <w:noWrap/>
            <w:vAlign w:val="center"/>
          </w:tcPr>
          <w:p w14:paraId="061FEAD6" w14:textId="77777777" w:rsidR="00A67F21" w:rsidRPr="00B12FE0" w:rsidRDefault="00000000">
            <w:pPr>
              <w:adjustRightInd w:val="0"/>
              <w:snapToGrid w:val="0"/>
              <w:jc w:val="center"/>
              <w:rPr>
                <w:snapToGrid w:val="0"/>
                <w:color w:val="000000" w:themeColor="text1"/>
                <w:sz w:val="18"/>
                <w:szCs w:val="18"/>
              </w:rPr>
            </w:pPr>
            <w:proofErr w:type="gramStart"/>
            <w:r w:rsidRPr="00B12FE0">
              <w:rPr>
                <w:rFonts w:hint="eastAsia"/>
                <w:snapToGrid w:val="0"/>
                <w:color w:val="000000" w:themeColor="text1"/>
                <w:sz w:val="18"/>
                <w:szCs w:val="18"/>
              </w:rPr>
              <w:t>敷贴室</w:t>
            </w:r>
            <w:proofErr w:type="gramEnd"/>
          </w:p>
        </w:tc>
        <w:tc>
          <w:tcPr>
            <w:tcW w:w="530" w:type="pct"/>
            <w:noWrap/>
            <w:vAlign w:val="center"/>
          </w:tcPr>
          <w:p w14:paraId="1180B5B0" w14:textId="77777777" w:rsidR="00A67F21" w:rsidRPr="00B12FE0" w:rsidRDefault="00000000">
            <w:pPr>
              <w:adjustRightInd w:val="0"/>
              <w:snapToGrid w:val="0"/>
              <w:jc w:val="center"/>
              <w:rPr>
                <w:snapToGrid w:val="0"/>
                <w:color w:val="000000" w:themeColor="text1"/>
                <w:sz w:val="18"/>
                <w:szCs w:val="18"/>
              </w:rPr>
            </w:pPr>
            <w:r w:rsidRPr="00B12FE0">
              <w:rPr>
                <w:rFonts w:hint="eastAsia"/>
                <w:snapToGrid w:val="0"/>
                <w:color w:val="000000" w:themeColor="text1"/>
                <w:sz w:val="18"/>
                <w:szCs w:val="18"/>
              </w:rPr>
              <w:t>敷贴</w:t>
            </w:r>
          </w:p>
        </w:tc>
        <w:tc>
          <w:tcPr>
            <w:tcW w:w="744" w:type="pct"/>
            <w:noWrap/>
            <w:vAlign w:val="center"/>
          </w:tcPr>
          <w:p w14:paraId="11C6DF4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proofErr w:type="gramStart"/>
            <w:r w:rsidRPr="00B12FE0">
              <w:rPr>
                <w:rFonts w:hint="eastAsia"/>
                <w:snapToGrid w:val="0"/>
                <w:color w:val="000000" w:themeColor="text1"/>
                <w:kern w:val="0"/>
                <w:sz w:val="18"/>
                <w:szCs w:val="18"/>
                <w:lang w:bidi="ar"/>
              </w:rPr>
              <w:t>敷贴室医生位</w:t>
            </w:r>
            <w:proofErr w:type="gramEnd"/>
          </w:p>
        </w:tc>
        <w:tc>
          <w:tcPr>
            <w:tcW w:w="966" w:type="pct"/>
            <w:noWrap/>
            <w:vAlign w:val="center"/>
          </w:tcPr>
          <w:p w14:paraId="1570856E"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5.21</w:t>
            </w:r>
            <w:r w:rsidRPr="00B12FE0">
              <w:rPr>
                <w:snapToGrid w:val="0"/>
                <w:color w:val="000000" w:themeColor="text1"/>
                <w:kern w:val="0"/>
                <w:sz w:val="18"/>
                <w:szCs w:val="18"/>
                <w:lang w:bidi="ar"/>
              </w:rPr>
              <w:t>E-03</w:t>
            </w:r>
          </w:p>
          <w:p w14:paraId="18BB904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2-1</w:t>
            </w:r>
            <w:r w:rsidRPr="00B12FE0">
              <w:rPr>
                <w:rFonts w:hint="eastAsia"/>
                <w:snapToGrid w:val="0"/>
                <w:color w:val="000000" w:themeColor="text1"/>
                <w:kern w:val="0"/>
                <w:sz w:val="18"/>
                <w:szCs w:val="18"/>
                <w:lang w:bidi="ar"/>
              </w:rPr>
              <w:t>4</w:t>
            </w:r>
            <w:r w:rsidRPr="00B12FE0">
              <w:rPr>
                <w:snapToGrid w:val="0"/>
                <w:color w:val="000000" w:themeColor="text1"/>
                <w:kern w:val="0"/>
                <w:sz w:val="18"/>
                <w:szCs w:val="18"/>
                <w:lang w:bidi="ar"/>
              </w:rPr>
              <w:t>轫致辐射）</w:t>
            </w:r>
          </w:p>
        </w:tc>
        <w:tc>
          <w:tcPr>
            <w:tcW w:w="672" w:type="pct"/>
            <w:vAlign w:val="center"/>
          </w:tcPr>
          <w:p w14:paraId="6E999F12"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12.5</w:t>
            </w:r>
            <w:r w:rsidRPr="00B12FE0">
              <w:rPr>
                <w:snapToGrid w:val="0"/>
                <w:color w:val="000000" w:themeColor="text1"/>
                <w:kern w:val="0"/>
                <w:sz w:val="18"/>
                <w:szCs w:val="18"/>
                <w:lang w:bidi="ar"/>
              </w:rPr>
              <w:t>h</w:t>
            </w:r>
          </w:p>
          <w:p w14:paraId="16785BBE"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750</w:t>
            </w:r>
            <w:r w:rsidRPr="00B12FE0">
              <w:rPr>
                <w:rFonts w:hint="eastAsia"/>
                <w:snapToGrid w:val="0"/>
                <w:color w:val="000000" w:themeColor="text1"/>
                <w:kern w:val="0"/>
                <w:sz w:val="18"/>
                <w:szCs w:val="18"/>
                <w:lang w:bidi="ar"/>
              </w:rPr>
              <w:t>次）</w:t>
            </w:r>
          </w:p>
        </w:tc>
        <w:tc>
          <w:tcPr>
            <w:tcW w:w="428" w:type="pct"/>
            <w:noWrap/>
            <w:vAlign w:val="center"/>
          </w:tcPr>
          <w:p w14:paraId="22645893"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7EA6BCFD"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hint="eastAsia"/>
                <w:color w:val="000000" w:themeColor="text1"/>
                <w:sz w:val="18"/>
                <w:szCs w:val="18"/>
              </w:rPr>
              <w:t>6.51</w:t>
            </w:r>
            <w:r w:rsidRPr="00B12FE0">
              <w:rPr>
                <w:rFonts w:eastAsia="等线"/>
                <w:color w:val="000000" w:themeColor="text1"/>
                <w:sz w:val="18"/>
                <w:szCs w:val="18"/>
              </w:rPr>
              <w:t>E-05</w:t>
            </w:r>
          </w:p>
        </w:tc>
        <w:tc>
          <w:tcPr>
            <w:tcW w:w="622" w:type="pct"/>
            <w:vMerge/>
            <w:noWrap/>
            <w:vAlign w:val="center"/>
          </w:tcPr>
          <w:p w14:paraId="5DAD41F3"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1F9EB070" w14:textId="77777777">
        <w:trPr>
          <w:trHeight w:val="485"/>
          <w:jc w:val="center"/>
        </w:trPr>
        <w:tc>
          <w:tcPr>
            <w:tcW w:w="415" w:type="pct"/>
            <w:noWrap/>
            <w:vAlign w:val="center"/>
          </w:tcPr>
          <w:p w14:paraId="43E2AD3D" w14:textId="77777777" w:rsidR="00A67F21" w:rsidRPr="00B12FE0" w:rsidRDefault="00000000">
            <w:pPr>
              <w:adjustRightInd w:val="0"/>
              <w:snapToGrid w:val="0"/>
              <w:jc w:val="center"/>
              <w:rPr>
                <w:snapToGrid w:val="0"/>
                <w:color w:val="000000" w:themeColor="text1"/>
                <w:sz w:val="18"/>
                <w:szCs w:val="18"/>
              </w:rPr>
            </w:pPr>
            <w:proofErr w:type="gramStart"/>
            <w:r w:rsidRPr="00B12FE0">
              <w:rPr>
                <w:rFonts w:hint="eastAsia"/>
                <w:snapToGrid w:val="0"/>
                <w:color w:val="000000" w:themeColor="text1"/>
                <w:sz w:val="18"/>
                <w:szCs w:val="18"/>
              </w:rPr>
              <w:t>甲测室</w:t>
            </w:r>
            <w:proofErr w:type="gramEnd"/>
          </w:p>
        </w:tc>
        <w:tc>
          <w:tcPr>
            <w:tcW w:w="530" w:type="pct"/>
            <w:noWrap/>
            <w:vAlign w:val="center"/>
          </w:tcPr>
          <w:p w14:paraId="6A1CDC18" w14:textId="77777777" w:rsidR="00A67F21" w:rsidRPr="00B12FE0" w:rsidRDefault="00000000">
            <w:pPr>
              <w:adjustRightInd w:val="0"/>
              <w:snapToGrid w:val="0"/>
              <w:jc w:val="center"/>
              <w:rPr>
                <w:snapToGrid w:val="0"/>
                <w:color w:val="000000" w:themeColor="text1"/>
                <w:sz w:val="18"/>
                <w:szCs w:val="18"/>
              </w:rPr>
            </w:pPr>
            <w:proofErr w:type="gramStart"/>
            <w:r w:rsidRPr="00B12FE0">
              <w:rPr>
                <w:rFonts w:hint="eastAsia"/>
                <w:snapToGrid w:val="0"/>
                <w:color w:val="000000" w:themeColor="text1"/>
                <w:sz w:val="18"/>
                <w:szCs w:val="18"/>
              </w:rPr>
              <w:t>甲测</w:t>
            </w:r>
            <w:proofErr w:type="gramEnd"/>
          </w:p>
        </w:tc>
        <w:tc>
          <w:tcPr>
            <w:tcW w:w="744" w:type="pct"/>
            <w:noWrap/>
            <w:vAlign w:val="center"/>
          </w:tcPr>
          <w:p w14:paraId="703463E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proofErr w:type="gramStart"/>
            <w:r w:rsidRPr="00B12FE0">
              <w:rPr>
                <w:rFonts w:hint="eastAsia"/>
                <w:snapToGrid w:val="0"/>
                <w:color w:val="000000" w:themeColor="text1"/>
                <w:kern w:val="0"/>
                <w:sz w:val="18"/>
                <w:szCs w:val="18"/>
                <w:lang w:bidi="ar"/>
              </w:rPr>
              <w:t>医生位</w:t>
            </w:r>
            <w:proofErr w:type="gramEnd"/>
          </w:p>
        </w:tc>
        <w:tc>
          <w:tcPr>
            <w:tcW w:w="966" w:type="pct"/>
            <w:noWrap/>
            <w:vAlign w:val="center"/>
          </w:tcPr>
          <w:p w14:paraId="24E87C71"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color w:val="000000" w:themeColor="text1"/>
                <w:sz w:val="18"/>
                <w:szCs w:val="18"/>
              </w:rPr>
              <w:t>3.89E-02</w:t>
            </w:r>
          </w:p>
          <w:p w14:paraId="05FABC7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2-1</w:t>
            </w:r>
            <w:r w:rsidRPr="00B12FE0">
              <w:rPr>
                <w:rFonts w:hint="eastAsia"/>
                <w:snapToGrid w:val="0"/>
                <w:color w:val="000000" w:themeColor="text1"/>
                <w:kern w:val="0"/>
                <w:sz w:val="18"/>
                <w:szCs w:val="18"/>
                <w:lang w:bidi="ar"/>
              </w:rPr>
              <w:t>2</w:t>
            </w:r>
            <w:r w:rsidRPr="00B12FE0">
              <w:rPr>
                <w:snapToGrid w:val="0"/>
                <w:color w:val="000000" w:themeColor="text1"/>
                <w:kern w:val="0"/>
                <w:sz w:val="18"/>
                <w:szCs w:val="18"/>
                <w:lang w:bidi="ar"/>
              </w:rPr>
              <w:t>）</w:t>
            </w:r>
          </w:p>
        </w:tc>
        <w:tc>
          <w:tcPr>
            <w:tcW w:w="672" w:type="pct"/>
            <w:vAlign w:val="center"/>
          </w:tcPr>
          <w:p w14:paraId="7F1CEAA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8.33</w:t>
            </w:r>
            <w:r w:rsidRPr="00B12FE0">
              <w:rPr>
                <w:snapToGrid w:val="0"/>
                <w:color w:val="000000" w:themeColor="text1"/>
                <w:kern w:val="0"/>
                <w:sz w:val="18"/>
                <w:szCs w:val="18"/>
                <w:lang w:bidi="ar"/>
              </w:rPr>
              <w:t>h</w:t>
            </w:r>
          </w:p>
          <w:p w14:paraId="13632F89"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2500</w:t>
            </w:r>
            <w:r w:rsidRPr="00B12FE0">
              <w:rPr>
                <w:rFonts w:hint="eastAsia"/>
                <w:snapToGrid w:val="0"/>
                <w:color w:val="000000" w:themeColor="text1"/>
                <w:kern w:val="0"/>
                <w:sz w:val="18"/>
                <w:szCs w:val="18"/>
                <w:lang w:bidi="ar"/>
              </w:rPr>
              <w:t>次）</w:t>
            </w:r>
          </w:p>
        </w:tc>
        <w:tc>
          <w:tcPr>
            <w:tcW w:w="428" w:type="pct"/>
            <w:noWrap/>
            <w:vAlign w:val="center"/>
          </w:tcPr>
          <w:p w14:paraId="5F23620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6B74766A"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hint="eastAsia"/>
                <w:color w:val="000000" w:themeColor="text1"/>
                <w:sz w:val="18"/>
                <w:szCs w:val="18"/>
              </w:rPr>
              <w:t>1.62</w:t>
            </w:r>
            <w:r w:rsidRPr="00B12FE0">
              <w:rPr>
                <w:rFonts w:eastAsia="等线"/>
                <w:color w:val="000000" w:themeColor="text1"/>
                <w:sz w:val="18"/>
                <w:szCs w:val="18"/>
              </w:rPr>
              <w:t>E-0</w:t>
            </w:r>
            <w:r w:rsidRPr="00B12FE0">
              <w:rPr>
                <w:rFonts w:eastAsia="等线" w:hint="eastAsia"/>
                <w:color w:val="000000" w:themeColor="text1"/>
                <w:sz w:val="18"/>
                <w:szCs w:val="18"/>
              </w:rPr>
              <w:t>3</w:t>
            </w:r>
          </w:p>
        </w:tc>
        <w:tc>
          <w:tcPr>
            <w:tcW w:w="622" w:type="pct"/>
            <w:vMerge/>
            <w:noWrap/>
            <w:vAlign w:val="center"/>
          </w:tcPr>
          <w:p w14:paraId="6DEFB279"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3212BA98" w14:textId="77777777">
        <w:trPr>
          <w:trHeight w:val="485"/>
          <w:jc w:val="center"/>
        </w:trPr>
        <w:tc>
          <w:tcPr>
            <w:tcW w:w="415" w:type="pct"/>
            <w:noWrap/>
            <w:vAlign w:val="center"/>
          </w:tcPr>
          <w:p w14:paraId="25E3827E" w14:textId="77777777" w:rsidR="00A67F21" w:rsidRPr="00B12FE0" w:rsidRDefault="00000000">
            <w:pPr>
              <w:adjustRightInd w:val="0"/>
              <w:snapToGrid w:val="0"/>
              <w:jc w:val="center"/>
              <w:rPr>
                <w:snapToGrid w:val="0"/>
                <w:color w:val="000000" w:themeColor="text1"/>
                <w:sz w:val="18"/>
                <w:szCs w:val="18"/>
              </w:rPr>
            </w:pPr>
            <w:proofErr w:type="gramStart"/>
            <w:r w:rsidRPr="00B12FE0">
              <w:rPr>
                <w:rFonts w:hint="eastAsia"/>
                <w:snapToGrid w:val="0"/>
                <w:color w:val="000000" w:themeColor="text1"/>
                <w:sz w:val="18"/>
                <w:szCs w:val="18"/>
              </w:rPr>
              <w:t>服碘室</w:t>
            </w:r>
            <w:proofErr w:type="gramEnd"/>
          </w:p>
        </w:tc>
        <w:tc>
          <w:tcPr>
            <w:tcW w:w="1274" w:type="pct"/>
            <w:gridSpan w:val="2"/>
            <w:noWrap/>
            <w:vAlign w:val="center"/>
          </w:tcPr>
          <w:p w14:paraId="2411F26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proofErr w:type="gramStart"/>
            <w:r w:rsidRPr="00B12FE0">
              <w:rPr>
                <w:rFonts w:hint="eastAsia"/>
                <w:snapToGrid w:val="0"/>
                <w:color w:val="000000" w:themeColor="text1"/>
                <w:kern w:val="0"/>
                <w:sz w:val="18"/>
                <w:szCs w:val="18"/>
                <w:lang w:bidi="ar"/>
              </w:rPr>
              <w:t>铅罐安装</w:t>
            </w:r>
            <w:proofErr w:type="gramEnd"/>
          </w:p>
        </w:tc>
        <w:tc>
          <w:tcPr>
            <w:tcW w:w="966" w:type="pct"/>
            <w:noWrap/>
            <w:vAlign w:val="center"/>
          </w:tcPr>
          <w:p w14:paraId="5F8CBF44" w14:textId="77777777" w:rsidR="00A67F21" w:rsidRPr="00B12FE0" w:rsidRDefault="00000000">
            <w:pPr>
              <w:pStyle w:val="21"/>
              <w:adjustRightInd w:val="0"/>
              <w:snapToGrid w:val="0"/>
              <w:spacing w:after="0"/>
              <w:ind w:leftChars="0" w:left="0" w:firstLineChars="0" w:firstLine="0"/>
              <w:jc w:val="center"/>
              <w:rPr>
                <w:rFonts w:eastAsia="等线"/>
                <w:color w:val="000000" w:themeColor="text1"/>
                <w:sz w:val="18"/>
                <w:szCs w:val="18"/>
              </w:rPr>
            </w:pPr>
            <w:r w:rsidRPr="00B12FE0">
              <w:rPr>
                <w:rFonts w:eastAsia="等线"/>
                <w:color w:val="000000" w:themeColor="text1"/>
                <w:sz w:val="18"/>
                <w:szCs w:val="18"/>
              </w:rPr>
              <w:t>1.65E-01</w:t>
            </w:r>
          </w:p>
          <w:p w14:paraId="359284D9" w14:textId="77777777" w:rsidR="00A67F21" w:rsidRPr="00B12FE0" w:rsidRDefault="00000000">
            <w:pPr>
              <w:pStyle w:val="21"/>
              <w:adjustRightInd w:val="0"/>
              <w:snapToGrid w:val="0"/>
              <w:spacing w:after="0"/>
              <w:ind w:leftChars="0" w:left="0" w:firstLineChars="0" w:firstLine="0"/>
              <w:jc w:val="center"/>
              <w:rPr>
                <w:color w:val="000000" w:themeColor="text1"/>
                <w:sz w:val="18"/>
                <w:szCs w:val="18"/>
                <w:lang w:bidi="ar"/>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24</w:t>
            </w:r>
            <w:r w:rsidRPr="00B12FE0">
              <w:rPr>
                <w:snapToGrid w:val="0"/>
                <w:color w:val="000000" w:themeColor="text1"/>
                <w:kern w:val="0"/>
                <w:sz w:val="18"/>
                <w:szCs w:val="18"/>
                <w:lang w:bidi="ar"/>
              </w:rPr>
              <w:t>）</w:t>
            </w:r>
          </w:p>
        </w:tc>
        <w:tc>
          <w:tcPr>
            <w:tcW w:w="672" w:type="pct"/>
            <w:vAlign w:val="center"/>
          </w:tcPr>
          <w:p w14:paraId="50FF36F2"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21"/>
                <w:szCs w:val="21"/>
                <w:lang w:bidi="ar"/>
              </w:rPr>
              <w:t>1</w:t>
            </w:r>
            <w:r w:rsidRPr="00B12FE0">
              <w:rPr>
                <w:snapToGrid w:val="0"/>
                <w:color w:val="000000" w:themeColor="text1"/>
                <w:kern w:val="0"/>
                <w:sz w:val="21"/>
                <w:szCs w:val="21"/>
                <w:lang w:bidi="ar"/>
              </w:rPr>
              <w:t>2.5h(3min/</w:t>
            </w:r>
            <w:r w:rsidRPr="00B12FE0">
              <w:rPr>
                <w:snapToGrid w:val="0"/>
                <w:color w:val="000000" w:themeColor="text1"/>
                <w:kern w:val="0"/>
                <w:sz w:val="21"/>
                <w:szCs w:val="21"/>
                <w:lang w:bidi="ar"/>
              </w:rPr>
              <w:t>次</w:t>
            </w:r>
            <w:r w:rsidRPr="00B12FE0">
              <w:rPr>
                <w:snapToGrid w:val="0"/>
                <w:color w:val="000000" w:themeColor="text1"/>
                <w:kern w:val="0"/>
                <w:sz w:val="21"/>
                <w:szCs w:val="21"/>
                <w:lang w:bidi="ar"/>
              </w:rPr>
              <w:t>×</w:t>
            </w:r>
            <w:r w:rsidRPr="00B12FE0">
              <w:rPr>
                <w:rFonts w:hint="eastAsia"/>
                <w:snapToGrid w:val="0"/>
                <w:color w:val="000000" w:themeColor="text1"/>
                <w:kern w:val="0"/>
                <w:sz w:val="21"/>
                <w:szCs w:val="21"/>
                <w:lang w:bidi="ar"/>
              </w:rPr>
              <w:t>250</w:t>
            </w:r>
            <w:r w:rsidRPr="00B12FE0">
              <w:rPr>
                <w:rFonts w:hint="eastAsia"/>
                <w:snapToGrid w:val="0"/>
                <w:color w:val="000000" w:themeColor="text1"/>
                <w:kern w:val="0"/>
                <w:sz w:val="21"/>
                <w:szCs w:val="21"/>
                <w:lang w:bidi="ar"/>
              </w:rPr>
              <w:t>次</w:t>
            </w:r>
            <w:r w:rsidRPr="00B12FE0">
              <w:rPr>
                <w:snapToGrid w:val="0"/>
                <w:color w:val="000000" w:themeColor="text1"/>
                <w:kern w:val="0"/>
                <w:sz w:val="21"/>
                <w:szCs w:val="21"/>
                <w:lang w:bidi="ar"/>
              </w:rPr>
              <w:t>)</w:t>
            </w:r>
          </w:p>
        </w:tc>
        <w:tc>
          <w:tcPr>
            <w:tcW w:w="428" w:type="pct"/>
            <w:noWrap/>
            <w:vAlign w:val="center"/>
          </w:tcPr>
          <w:p w14:paraId="69EBD201"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16E46661"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2.06E-03</w:t>
            </w:r>
          </w:p>
        </w:tc>
        <w:tc>
          <w:tcPr>
            <w:tcW w:w="622" w:type="pct"/>
            <w:vMerge/>
            <w:noWrap/>
            <w:vAlign w:val="center"/>
          </w:tcPr>
          <w:p w14:paraId="53384DEF"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25F60D51" w14:textId="77777777">
        <w:trPr>
          <w:trHeight w:val="485"/>
          <w:jc w:val="center"/>
        </w:trPr>
        <w:tc>
          <w:tcPr>
            <w:tcW w:w="415" w:type="pct"/>
            <w:noWrap/>
            <w:vAlign w:val="center"/>
          </w:tcPr>
          <w:p w14:paraId="138D1ADC" w14:textId="77777777" w:rsidR="00A67F21" w:rsidRPr="00B12FE0" w:rsidRDefault="00000000">
            <w:pPr>
              <w:adjustRightInd w:val="0"/>
              <w:snapToGrid w:val="0"/>
              <w:jc w:val="center"/>
              <w:rPr>
                <w:snapToGrid w:val="0"/>
                <w:color w:val="000000" w:themeColor="text1"/>
                <w:sz w:val="18"/>
                <w:szCs w:val="18"/>
              </w:rPr>
            </w:pPr>
            <w:r w:rsidRPr="00B12FE0">
              <w:rPr>
                <w:rFonts w:hint="eastAsia"/>
                <w:snapToGrid w:val="0"/>
                <w:color w:val="000000" w:themeColor="text1"/>
                <w:sz w:val="18"/>
                <w:szCs w:val="18"/>
              </w:rPr>
              <w:t>抢救室</w:t>
            </w:r>
          </w:p>
        </w:tc>
        <w:tc>
          <w:tcPr>
            <w:tcW w:w="1274" w:type="pct"/>
            <w:gridSpan w:val="2"/>
            <w:noWrap/>
            <w:vAlign w:val="center"/>
          </w:tcPr>
          <w:p w14:paraId="274C21E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sz w:val="18"/>
                <w:szCs w:val="18"/>
              </w:rPr>
              <w:t>抢救</w:t>
            </w:r>
          </w:p>
        </w:tc>
        <w:tc>
          <w:tcPr>
            <w:tcW w:w="966" w:type="pct"/>
            <w:noWrap/>
            <w:vAlign w:val="center"/>
          </w:tcPr>
          <w:p w14:paraId="2EBD1BF8" w14:textId="77777777" w:rsidR="00A67F21" w:rsidRPr="00B12FE0" w:rsidRDefault="00000000">
            <w:pPr>
              <w:pStyle w:val="21"/>
              <w:ind w:left="480" w:firstLineChars="0" w:firstLine="0"/>
              <w:rPr>
                <w:rFonts w:eastAsia="等线"/>
                <w:color w:val="000000" w:themeColor="text1"/>
                <w:sz w:val="18"/>
                <w:szCs w:val="18"/>
              </w:rPr>
            </w:pPr>
            <w:r w:rsidRPr="00B12FE0">
              <w:rPr>
                <w:rFonts w:eastAsia="等线"/>
                <w:color w:val="000000" w:themeColor="text1"/>
                <w:sz w:val="18"/>
                <w:szCs w:val="18"/>
              </w:rPr>
              <w:t>4.95E-01</w:t>
            </w:r>
          </w:p>
          <w:p w14:paraId="27E6C167" w14:textId="77777777" w:rsidR="00A67F21" w:rsidRPr="00B12FE0" w:rsidRDefault="00000000">
            <w:pPr>
              <w:pStyle w:val="21"/>
              <w:ind w:left="480" w:firstLineChars="0" w:firstLine="0"/>
              <w:rPr>
                <w:color w:val="000000" w:themeColor="text1"/>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25</w:t>
            </w:r>
            <w:r w:rsidRPr="00B12FE0">
              <w:rPr>
                <w:snapToGrid w:val="0"/>
                <w:color w:val="000000" w:themeColor="text1"/>
                <w:kern w:val="0"/>
                <w:sz w:val="18"/>
                <w:szCs w:val="18"/>
                <w:lang w:bidi="ar"/>
              </w:rPr>
              <w:t>）</w:t>
            </w:r>
          </w:p>
        </w:tc>
        <w:tc>
          <w:tcPr>
            <w:tcW w:w="672" w:type="pct"/>
            <w:vAlign w:val="center"/>
          </w:tcPr>
          <w:p w14:paraId="5A964AC2" w14:textId="77777777" w:rsidR="00A67F21" w:rsidRPr="00B12FE0" w:rsidRDefault="00000000">
            <w:pPr>
              <w:widowControl/>
              <w:adjustRightInd w:val="0"/>
              <w:snapToGrid w:val="0"/>
              <w:jc w:val="center"/>
              <w:rPr>
                <w:rFonts w:cs="宋体"/>
                <w:bCs/>
                <w:color w:val="000000" w:themeColor="text1"/>
                <w:sz w:val="18"/>
                <w:szCs w:val="18"/>
              </w:rPr>
            </w:pPr>
            <w:r w:rsidRPr="00B12FE0">
              <w:rPr>
                <w:rFonts w:cs="宋体" w:hint="eastAsia"/>
                <w:bCs/>
                <w:color w:val="000000" w:themeColor="text1"/>
                <w:sz w:val="18"/>
                <w:szCs w:val="18"/>
              </w:rPr>
              <w:t>5h</w:t>
            </w:r>
          </w:p>
          <w:p w14:paraId="52BED31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cs="宋体" w:hint="eastAsia"/>
                <w:bCs/>
                <w:color w:val="000000" w:themeColor="text1"/>
                <w:sz w:val="18"/>
                <w:szCs w:val="18"/>
              </w:rPr>
              <w:t>（每次</w:t>
            </w:r>
            <w:proofErr w:type="gramStart"/>
            <w:r w:rsidRPr="00B12FE0">
              <w:rPr>
                <w:rFonts w:cs="宋体" w:hint="eastAsia"/>
                <w:bCs/>
                <w:color w:val="000000" w:themeColor="text1"/>
                <w:sz w:val="18"/>
                <w:szCs w:val="18"/>
              </w:rPr>
              <w:t>抢救按</w:t>
            </w:r>
            <w:proofErr w:type="gramEnd"/>
            <w:r w:rsidRPr="00B12FE0">
              <w:rPr>
                <w:rFonts w:cs="宋体" w:hint="eastAsia"/>
                <w:bCs/>
                <w:color w:val="000000" w:themeColor="text1"/>
                <w:sz w:val="18"/>
                <w:szCs w:val="18"/>
              </w:rPr>
              <w:t>30</w:t>
            </w:r>
            <w:r w:rsidRPr="00B12FE0">
              <w:rPr>
                <w:rFonts w:cs="宋体" w:hint="eastAsia"/>
                <w:bCs/>
                <w:color w:val="000000" w:themeColor="text1"/>
                <w:sz w:val="18"/>
                <w:szCs w:val="18"/>
              </w:rPr>
              <w:t>分钟计，一年不超过</w:t>
            </w:r>
            <w:r w:rsidRPr="00B12FE0">
              <w:rPr>
                <w:rFonts w:cs="宋体" w:hint="eastAsia"/>
                <w:bCs/>
                <w:color w:val="000000" w:themeColor="text1"/>
                <w:sz w:val="18"/>
                <w:szCs w:val="18"/>
              </w:rPr>
              <w:t>10</w:t>
            </w:r>
            <w:r w:rsidRPr="00B12FE0">
              <w:rPr>
                <w:rFonts w:cs="宋体" w:hint="eastAsia"/>
                <w:bCs/>
                <w:color w:val="000000" w:themeColor="text1"/>
                <w:sz w:val="18"/>
                <w:szCs w:val="18"/>
              </w:rPr>
              <w:t>次）</w:t>
            </w:r>
          </w:p>
        </w:tc>
        <w:tc>
          <w:tcPr>
            <w:tcW w:w="428" w:type="pct"/>
            <w:noWrap/>
            <w:vAlign w:val="center"/>
          </w:tcPr>
          <w:p w14:paraId="7DB5C2D1"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noWrap/>
            <w:vAlign w:val="center"/>
          </w:tcPr>
          <w:p w14:paraId="40FFD079"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5.48E-03</w:t>
            </w:r>
          </w:p>
        </w:tc>
        <w:tc>
          <w:tcPr>
            <w:tcW w:w="622" w:type="pct"/>
            <w:vMerge w:val="restart"/>
            <w:tcBorders>
              <w:top w:val="single" w:sz="4" w:space="0" w:color="000000"/>
              <w:left w:val="single" w:sz="4" w:space="0" w:color="000000"/>
              <w:right w:val="single" w:sz="4" w:space="0" w:color="000000"/>
            </w:tcBorders>
            <w:noWrap/>
            <w:vAlign w:val="center"/>
          </w:tcPr>
          <w:p w14:paraId="30ED983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2.25</w:t>
            </w:r>
          </w:p>
        </w:tc>
      </w:tr>
      <w:tr w:rsidR="00A67F21" w:rsidRPr="00B12FE0" w14:paraId="2D9E0B72" w14:textId="77777777">
        <w:trPr>
          <w:trHeight w:val="513"/>
          <w:jc w:val="center"/>
        </w:trPr>
        <w:tc>
          <w:tcPr>
            <w:tcW w:w="945" w:type="pct"/>
            <w:gridSpan w:val="2"/>
            <w:vMerge w:val="restart"/>
            <w:noWrap/>
            <w:vAlign w:val="center"/>
          </w:tcPr>
          <w:p w14:paraId="6B6995E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办公、值班室</w:t>
            </w:r>
          </w:p>
        </w:tc>
        <w:tc>
          <w:tcPr>
            <w:tcW w:w="744" w:type="pct"/>
            <w:vMerge w:val="restart"/>
            <w:noWrap/>
            <w:vAlign w:val="center"/>
          </w:tcPr>
          <w:p w14:paraId="4CA8583E"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医生接诊</w:t>
            </w:r>
          </w:p>
        </w:tc>
        <w:tc>
          <w:tcPr>
            <w:tcW w:w="966" w:type="pct"/>
            <w:noWrap/>
            <w:vAlign w:val="center"/>
          </w:tcPr>
          <w:p w14:paraId="714E2BA5" w14:textId="77777777" w:rsidR="00A67F21" w:rsidRPr="00B12FE0" w:rsidRDefault="00000000">
            <w:pPr>
              <w:widowControl/>
              <w:adjustRightInd w:val="0"/>
              <w:snapToGrid w:val="0"/>
              <w:jc w:val="center"/>
              <w:textAlignment w:val="center"/>
              <w:rPr>
                <w:color w:val="000000" w:themeColor="text1"/>
                <w:sz w:val="18"/>
                <w:szCs w:val="18"/>
              </w:rPr>
            </w:pPr>
            <w:r w:rsidRPr="00B12FE0">
              <w:rPr>
                <w:color w:val="000000" w:themeColor="text1"/>
                <w:sz w:val="18"/>
                <w:szCs w:val="18"/>
              </w:rPr>
              <w:t>2.53E-03</w:t>
            </w:r>
          </w:p>
          <w:p w14:paraId="5EED5313"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55</w:t>
            </w:r>
            <w:r w:rsidRPr="00B12FE0">
              <w:rPr>
                <w:snapToGrid w:val="0"/>
                <w:color w:val="000000" w:themeColor="text1"/>
                <w:kern w:val="0"/>
                <w:sz w:val="18"/>
                <w:szCs w:val="18"/>
                <w:lang w:bidi="ar"/>
              </w:rPr>
              <w:t>）</w:t>
            </w:r>
          </w:p>
        </w:tc>
        <w:tc>
          <w:tcPr>
            <w:tcW w:w="672" w:type="pct"/>
            <w:vAlign w:val="center"/>
          </w:tcPr>
          <w:p w14:paraId="5198DCBD"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2000h</w:t>
            </w:r>
          </w:p>
        </w:tc>
        <w:tc>
          <w:tcPr>
            <w:tcW w:w="428" w:type="pct"/>
            <w:noWrap/>
            <w:vAlign w:val="center"/>
          </w:tcPr>
          <w:p w14:paraId="70591A8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1</w:t>
            </w:r>
          </w:p>
        </w:tc>
        <w:tc>
          <w:tcPr>
            <w:tcW w:w="623" w:type="pct"/>
            <w:noWrap/>
            <w:vAlign w:val="center"/>
          </w:tcPr>
          <w:p w14:paraId="255B54AF"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5.06E-03</w:t>
            </w:r>
          </w:p>
        </w:tc>
        <w:tc>
          <w:tcPr>
            <w:tcW w:w="622" w:type="pct"/>
            <w:vMerge/>
            <w:tcBorders>
              <w:left w:val="single" w:sz="4" w:space="0" w:color="000000"/>
              <w:right w:val="single" w:sz="4" w:space="0" w:color="000000"/>
            </w:tcBorders>
            <w:noWrap/>
            <w:vAlign w:val="center"/>
          </w:tcPr>
          <w:p w14:paraId="3BCC747F" w14:textId="77777777" w:rsidR="00A67F21" w:rsidRPr="00B12FE0" w:rsidRDefault="00A67F21">
            <w:pPr>
              <w:widowControl/>
              <w:adjustRightInd w:val="0"/>
              <w:snapToGrid w:val="0"/>
              <w:jc w:val="center"/>
              <w:textAlignment w:val="center"/>
              <w:rPr>
                <w:snapToGrid w:val="0"/>
                <w:color w:val="000000" w:themeColor="text1"/>
                <w:kern w:val="0"/>
                <w:sz w:val="18"/>
                <w:szCs w:val="18"/>
              </w:rPr>
            </w:pPr>
          </w:p>
        </w:tc>
      </w:tr>
      <w:tr w:rsidR="00A67F21" w:rsidRPr="00B12FE0" w14:paraId="272FFAE3" w14:textId="77777777">
        <w:trPr>
          <w:trHeight w:val="513"/>
          <w:jc w:val="center"/>
        </w:trPr>
        <w:tc>
          <w:tcPr>
            <w:tcW w:w="945" w:type="pct"/>
            <w:gridSpan w:val="2"/>
            <w:vMerge/>
            <w:noWrap/>
            <w:vAlign w:val="center"/>
          </w:tcPr>
          <w:p w14:paraId="2329F00E"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744" w:type="pct"/>
            <w:vMerge/>
            <w:noWrap/>
            <w:vAlign w:val="center"/>
          </w:tcPr>
          <w:p w14:paraId="1AEB022F"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966" w:type="pct"/>
            <w:noWrap/>
            <w:vAlign w:val="center"/>
          </w:tcPr>
          <w:p w14:paraId="44BF8849" w14:textId="77777777" w:rsidR="00A67F21" w:rsidRPr="00B12FE0" w:rsidRDefault="00000000">
            <w:pPr>
              <w:widowControl/>
              <w:adjustRightInd w:val="0"/>
              <w:snapToGrid w:val="0"/>
              <w:jc w:val="center"/>
              <w:textAlignment w:val="center"/>
              <w:rPr>
                <w:color w:val="000000" w:themeColor="text1"/>
                <w:sz w:val="18"/>
                <w:szCs w:val="18"/>
              </w:rPr>
            </w:pPr>
            <w:r w:rsidRPr="00B12FE0">
              <w:rPr>
                <w:rFonts w:hint="eastAsia"/>
                <w:color w:val="000000" w:themeColor="text1"/>
                <w:sz w:val="18"/>
                <w:szCs w:val="18"/>
              </w:rPr>
              <w:t>1.12</w:t>
            </w:r>
          </w:p>
          <w:p w14:paraId="02DC2FBD" w14:textId="77777777" w:rsidR="00A67F21" w:rsidRPr="00B12FE0" w:rsidRDefault="00000000">
            <w:pPr>
              <w:widowControl/>
              <w:adjustRightInd w:val="0"/>
              <w:snapToGrid w:val="0"/>
              <w:jc w:val="center"/>
              <w:textAlignment w:val="center"/>
              <w:rPr>
                <w:color w:val="000000" w:themeColor="text1"/>
                <w:sz w:val="18"/>
                <w:szCs w:val="18"/>
              </w:rPr>
            </w:pPr>
            <w:r w:rsidRPr="00B12FE0">
              <w:rPr>
                <w:rFonts w:hint="eastAsia"/>
                <w:color w:val="000000" w:themeColor="text1"/>
                <w:sz w:val="18"/>
                <w:szCs w:val="18"/>
              </w:rPr>
              <w:t>(3-</w:t>
            </w:r>
            <w:proofErr w:type="gramStart"/>
            <w:r w:rsidRPr="00B12FE0">
              <w:rPr>
                <w:rFonts w:hint="eastAsia"/>
                <w:color w:val="000000" w:themeColor="text1"/>
                <w:sz w:val="18"/>
                <w:szCs w:val="18"/>
              </w:rPr>
              <w:t>17)*</w:t>
            </w:r>
            <w:proofErr w:type="gramEnd"/>
          </w:p>
        </w:tc>
        <w:tc>
          <w:tcPr>
            <w:tcW w:w="672" w:type="pct"/>
            <w:vAlign w:val="center"/>
          </w:tcPr>
          <w:p w14:paraId="5420299F"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2000h</w:t>
            </w:r>
          </w:p>
        </w:tc>
        <w:tc>
          <w:tcPr>
            <w:tcW w:w="428" w:type="pct"/>
            <w:noWrap/>
            <w:vAlign w:val="center"/>
          </w:tcPr>
          <w:p w14:paraId="70E988EF"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noWrap/>
            <w:vAlign w:val="center"/>
          </w:tcPr>
          <w:p w14:paraId="4A37374E" w14:textId="77777777" w:rsidR="00A67F21" w:rsidRPr="00B12FE0" w:rsidRDefault="00000000">
            <w:pPr>
              <w:widowControl/>
              <w:adjustRightInd w:val="0"/>
              <w:snapToGrid w:val="0"/>
              <w:jc w:val="center"/>
              <w:textAlignment w:val="center"/>
              <w:rPr>
                <w:rFonts w:eastAsia="等线"/>
                <w:color w:val="000000" w:themeColor="text1"/>
                <w:sz w:val="18"/>
                <w:szCs w:val="18"/>
              </w:rPr>
            </w:pPr>
            <w:r w:rsidRPr="00B12FE0">
              <w:rPr>
                <w:rFonts w:eastAsia="等线" w:hint="eastAsia"/>
                <w:color w:val="000000" w:themeColor="text1"/>
                <w:sz w:val="18"/>
                <w:szCs w:val="18"/>
              </w:rPr>
              <w:t>2.24</w:t>
            </w:r>
          </w:p>
        </w:tc>
        <w:tc>
          <w:tcPr>
            <w:tcW w:w="622" w:type="pct"/>
            <w:vMerge/>
            <w:tcBorders>
              <w:left w:val="single" w:sz="4" w:space="0" w:color="000000"/>
              <w:bottom w:val="single" w:sz="4" w:space="0" w:color="000000"/>
              <w:right w:val="single" w:sz="4" w:space="0" w:color="000000"/>
            </w:tcBorders>
            <w:noWrap/>
            <w:vAlign w:val="center"/>
          </w:tcPr>
          <w:p w14:paraId="43517630" w14:textId="77777777" w:rsidR="00A67F21" w:rsidRPr="00B12FE0" w:rsidRDefault="00A67F21">
            <w:pPr>
              <w:widowControl/>
              <w:adjustRightInd w:val="0"/>
              <w:snapToGrid w:val="0"/>
              <w:jc w:val="center"/>
              <w:textAlignment w:val="center"/>
              <w:rPr>
                <w:snapToGrid w:val="0"/>
                <w:color w:val="000000" w:themeColor="text1"/>
                <w:kern w:val="0"/>
                <w:sz w:val="18"/>
                <w:szCs w:val="18"/>
              </w:rPr>
            </w:pPr>
          </w:p>
        </w:tc>
      </w:tr>
      <w:tr w:rsidR="00A67F21" w:rsidRPr="00B12FE0" w14:paraId="3E51C7E5" w14:textId="77777777">
        <w:trPr>
          <w:trHeight w:val="513"/>
          <w:jc w:val="center"/>
        </w:trPr>
        <w:tc>
          <w:tcPr>
            <w:tcW w:w="415" w:type="pct"/>
            <w:vMerge w:val="restart"/>
            <w:noWrap/>
            <w:vAlign w:val="center"/>
          </w:tcPr>
          <w:p w14:paraId="76B89C12"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SPECT/CT</w:t>
            </w:r>
            <w:r w:rsidRPr="00B12FE0">
              <w:rPr>
                <w:snapToGrid w:val="0"/>
                <w:color w:val="000000" w:themeColor="text1"/>
                <w:kern w:val="0"/>
                <w:sz w:val="18"/>
                <w:szCs w:val="18"/>
                <w:lang w:bidi="ar"/>
              </w:rPr>
              <w:t>机房（</w:t>
            </w:r>
            <w:r w:rsidRPr="00B12FE0">
              <w:rPr>
                <w:snapToGrid w:val="0"/>
                <w:color w:val="000000" w:themeColor="text1"/>
                <w:kern w:val="0"/>
                <w:sz w:val="18"/>
                <w:szCs w:val="18"/>
                <w:lang w:bidi="ar"/>
              </w:rPr>
              <w:t>2</w:t>
            </w:r>
            <w:r w:rsidRPr="00B12FE0">
              <w:rPr>
                <w:snapToGrid w:val="0"/>
                <w:color w:val="000000" w:themeColor="text1"/>
                <w:kern w:val="0"/>
                <w:sz w:val="18"/>
                <w:szCs w:val="18"/>
                <w:lang w:bidi="ar"/>
              </w:rPr>
              <w:t>间）</w:t>
            </w:r>
          </w:p>
        </w:tc>
        <w:tc>
          <w:tcPr>
            <w:tcW w:w="530" w:type="pct"/>
            <w:noWrap/>
            <w:vAlign w:val="center"/>
          </w:tcPr>
          <w:p w14:paraId="234854EE"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摆位</w:t>
            </w:r>
          </w:p>
        </w:tc>
        <w:tc>
          <w:tcPr>
            <w:tcW w:w="744" w:type="pct"/>
            <w:noWrap/>
            <w:vAlign w:val="center"/>
          </w:tcPr>
          <w:p w14:paraId="28EEE1A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技师摆位处</w:t>
            </w:r>
          </w:p>
        </w:tc>
        <w:tc>
          <w:tcPr>
            <w:tcW w:w="966" w:type="pct"/>
            <w:noWrap/>
            <w:vAlign w:val="center"/>
          </w:tcPr>
          <w:p w14:paraId="6F53066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2.42E-03</w:t>
            </w:r>
          </w:p>
          <w:p w14:paraId="5F287AB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41</w:t>
            </w:r>
            <w:r w:rsidRPr="00B12FE0">
              <w:rPr>
                <w:snapToGrid w:val="0"/>
                <w:color w:val="000000" w:themeColor="text1"/>
                <w:kern w:val="0"/>
                <w:sz w:val="18"/>
                <w:szCs w:val="18"/>
                <w:lang w:bidi="ar"/>
              </w:rPr>
              <w:t>）</w:t>
            </w:r>
            <w:r w:rsidRPr="00B12FE0">
              <w:rPr>
                <w:snapToGrid w:val="0"/>
                <w:color w:val="000000" w:themeColor="text1"/>
                <w:kern w:val="0"/>
                <w:sz w:val="18"/>
                <w:szCs w:val="18"/>
                <w:lang w:bidi="ar"/>
              </w:rPr>
              <w:t xml:space="preserve"> </w:t>
            </w:r>
          </w:p>
        </w:tc>
        <w:tc>
          <w:tcPr>
            <w:tcW w:w="672" w:type="pct"/>
            <w:vAlign w:val="center"/>
          </w:tcPr>
          <w:p w14:paraId="2EF9E48E"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125</w:t>
            </w:r>
            <w:r w:rsidRPr="00B12FE0">
              <w:rPr>
                <w:snapToGrid w:val="0"/>
                <w:color w:val="000000" w:themeColor="text1"/>
                <w:kern w:val="0"/>
                <w:sz w:val="18"/>
                <w:szCs w:val="18"/>
                <w:lang w:bidi="ar"/>
              </w:rPr>
              <w:t>h</w:t>
            </w:r>
          </w:p>
          <w:p w14:paraId="43C1D608"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7500</w:t>
            </w:r>
            <w:r w:rsidRPr="00B12FE0">
              <w:rPr>
                <w:rFonts w:hint="eastAsia"/>
                <w:snapToGrid w:val="0"/>
                <w:color w:val="000000" w:themeColor="text1"/>
                <w:kern w:val="0"/>
                <w:sz w:val="18"/>
                <w:szCs w:val="18"/>
                <w:lang w:bidi="ar"/>
              </w:rPr>
              <w:t>次）</w:t>
            </w:r>
          </w:p>
        </w:tc>
        <w:tc>
          <w:tcPr>
            <w:tcW w:w="428" w:type="pct"/>
            <w:noWrap/>
            <w:vAlign w:val="center"/>
          </w:tcPr>
          <w:p w14:paraId="7E3CBE7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7B63684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3.03E-04</w:t>
            </w:r>
          </w:p>
        </w:tc>
        <w:tc>
          <w:tcPr>
            <w:tcW w:w="622" w:type="pct"/>
            <w:vMerge w:val="restart"/>
            <w:noWrap/>
            <w:vAlign w:val="center"/>
          </w:tcPr>
          <w:p w14:paraId="2FA3E9E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rPr>
              <w:t>5.97E-03</w:t>
            </w:r>
          </w:p>
        </w:tc>
      </w:tr>
      <w:tr w:rsidR="00A67F21" w:rsidRPr="00B12FE0" w14:paraId="590747D8" w14:textId="77777777">
        <w:trPr>
          <w:trHeight w:val="513"/>
          <w:jc w:val="center"/>
        </w:trPr>
        <w:tc>
          <w:tcPr>
            <w:tcW w:w="415" w:type="pct"/>
            <w:vMerge/>
            <w:noWrap/>
            <w:vAlign w:val="center"/>
          </w:tcPr>
          <w:p w14:paraId="626E68C4" w14:textId="77777777" w:rsidR="00A67F21" w:rsidRPr="00B12FE0" w:rsidRDefault="00A67F21">
            <w:pPr>
              <w:adjustRightInd w:val="0"/>
              <w:snapToGrid w:val="0"/>
              <w:jc w:val="center"/>
              <w:rPr>
                <w:snapToGrid w:val="0"/>
                <w:color w:val="000000" w:themeColor="text1"/>
                <w:sz w:val="18"/>
                <w:szCs w:val="18"/>
              </w:rPr>
            </w:pPr>
          </w:p>
        </w:tc>
        <w:tc>
          <w:tcPr>
            <w:tcW w:w="530" w:type="pct"/>
            <w:vMerge w:val="restart"/>
            <w:noWrap/>
            <w:vAlign w:val="center"/>
          </w:tcPr>
          <w:p w14:paraId="40B61978"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扫描</w:t>
            </w:r>
          </w:p>
        </w:tc>
        <w:tc>
          <w:tcPr>
            <w:tcW w:w="744" w:type="pct"/>
            <w:noWrap/>
            <w:vAlign w:val="center"/>
          </w:tcPr>
          <w:p w14:paraId="24FBEA82"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观察窗外</w:t>
            </w:r>
            <w:r w:rsidRPr="00B12FE0">
              <w:rPr>
                <w:snapToGrid w:val="0"/>
                <w:color w:val="000000" w:themeColor="text1"/>
                <w:kern w:val="0"/>
                <w:sz w:val="18"/>
                <w:szCs w:val="18"/>
                <w:lang w:bidi="ar"/>
              </w:rPr>
              <w:t>30cm</w:t>
            </w:r>
            <w:r w:rsidRPr="00B12FE0">
              <w:rPr>
                <w:snapToGrid w:val="0"/>
                <w:color w:val="000000" w:themeColor="text1"/>
                <w:kern w:val="0"/>
                <w:sz w:val="18"/>
                <w:szCs w:val="18"/>
                <w:lang w:bidi="ar"/>
              </w:rPr>
              <w:t>处</w:t>
            </w:r>
          </w:p>
        </w:tc>
        <w:tc>
          <w:tcPr>
            <w:tcW w:w="966" w:type="pct"/>
            <w:noWrap/>
            <w:vAlign w:val="center"/>
          </w:tcPr>
          <w:p w14:paraId="6F6055DD"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9.05E-05</w:t>
            </w:r>
          </w:p>
          <w:p w14:paraId="5DCAFAEA"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39</w:t>
            </w:r>
            <w:r w:rsidRPr="00B12FE0">
              <w:rPr>
                <w:snapToGrid w:val="0"/>
                <w:color w:val="000000" w:themeColor="text1"/>
                <w:kern w:val="0"/>
                <w:sz w:val="18"/>
                <w:szCs w:val="18"/>
                <w:lang w:bidi="ar"/>
              </w:rPr>
              <w:t>）</w:t>
            </w:r>
          </w:p>
        </w:tc>
        <w:tc>
          <w:tcPr>
            <w:tcW w:w="672" w:type="pct"/>
            <w:vAlign w:val="center"/>
          </w:tcPr>
          <w:p w14:paraId="4F08D81F"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1875</w:t>
            </w:r>
            <w:r w:rsidRPr="00B12FE0">
              <w:rPr>
                <w:snapToGrid w:val="0"/>
                <w:color w:val="000000" w:themeColor="text1"/>
                <w:kern w:val="0"/>
                <w:sz w:val="18"/>
                <w:szCs w:val="18"/>
                <w:lang w:bidi="ar"/>
              </w:rPr>
              <w:t>h</w:t>
            </w:r>
          </w:p>
          <w:p w14:paraId="2157F36E"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15min/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7500</w:t>
            </w:r>
            <w:r w:rsidRPr="00B12FE0">
              <w:rPr>
                <w:rFonts w:hint="eastAsia"/>
                <w:snapToGrid w:val="0"/>
                <w:color w:val="000000" w:themeColor="text1"/>
                <w:kern w:val="0"/>
                <w:sz w:val="18"/>
                <w:szCs w:val="18"/>
                <w:lang w:bidi="ar"/>
              </w:rPr>
              <w:t>次）</w:t>
            </w:r>
          </w:p>
        </w:tc>
        <w:tc>
          <w:tcPr>
            <w:tcW w:w="428" w:type="pct"/>
            <w:noWrap/>
            <w:vAlign w:val="center"/>
          </w:tcPr>
          <w:p w14:paraId="4622987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383F7DA5"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1.70E-04</w:t>
            </w:r>
          </w:p>
        </w:tc>
        <w:tc>
          <w:tcPr>
            <w:tcW w:w="622" w:type="pct"/>
            <w:vMerge/>
            <w:noWrap/>
            <w:vAlign w:val="center"/>
          </w:tcPr>
          <w:p w14:paraId="76C4052B"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5E8E1C31" w14:textId="77777777">
        <w:trPr>
          <w:trHeight w:val="485"/>
          <w:jc w:val="center"/>
        </w:trPr>
        <w:tc>
          <w:tcPr>
            <w:tcW w:w="415" w:type="pct"/>
            <w:vMerge/>
            <w:noWrap/>
            <w:vAlign w:val="center"/>
          </w:tcPr>
          <w:p w14:paraId="075C01D0"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6FBE41F4"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70F53316"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CT</w:t>
            </w:r>
          </w:p>
        </w:tc>
        <w:tc>
          <w:tcPr>
            <w:tcW w:w="966" w:type="pct"/>
            <w:noWrap/>
            <w:vAlign w:val="center"/>
          </w:tcPr>
          <w:p w14:paraId="09B5C02B"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0.55</w:t>
            </w:r>
          </w:p>
          <w:p w14:paraId="1C99D7C3"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CT</w:t>
            </w:r>
            <w:r w:rsidRPr="00B12FE0">
              <w:rPr>
                <w:snapToGrid w:val="0"/>
                <w:color w:val="000000" w:themeColor="text1"/>
                <w:kern w:val="0"/>
                <w:sz w:val="18"/>
                <w:szCs w:val="18"/>
                <w:lang w:bidi="ar"/>
              </w:rPr>
              <w:t>）</w:t>
            </w:r>
          </w:p>
        </w:tc>
        <w:tc>
          <w:tcPr>
            <w:tcW w:w="672" w:type="pct"/>
            <w:vAlign w:val="center"/>
          </w:tcPr>
          <w:p w14:paraId="54F718C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20.8</w:t>
            </w:r>
            <w:r w:rsidRPr="00B12FE0">
              <w:rPr>
                <w:snapToGrid w:val="0"/>
                <w:color w:val="000000" w:themeColor="text1"/>
                <w:kern w:val="0"/>
                <w:sz w:val="18"/>
                <w:szCs w:val="18"/>
                <w:lang w:bidi="ar"/>
              </w:rPr>
              <w:t>h</w:t>
            </w:r>
          </w:p>
          <w:p w14:paraId="267E41F7"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10s/</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7500</w:t>
            </w:r>
            <w:r w:rsidRPr="00B12FE0">
              <w:rPr>
                <w:rFonts w:hint="eastAsia"/>
                <w:snapToGrid w:val="0"/>
                <w:color w:val="000000" w:themeColor="text1"/>
                <w:kern w:val="0"/>
                <w:sz w:val="18"/>
                <w:szCs w:val="18"/>
                <w:lang w:bidi="ar"/>
              </w:rPr>
              <w:t>次）</w:t>
            </w:r>
          </w:p>
        </w:tc>
        <w:tc>
          <w:tcPr>
            <w:tcW w:w="428" w:type="pct"/>
            <w:noWrap/>
            <w:vAlign w:val="center"/>
          </w:tcPr>
          <w:p w14:paraId="54B578F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50EFA76D"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1.15E-02</w:t>
            </w:r>
          </w:p>
        </w:tc>
        <w:tc>
          <w:tcPr>
            <w:tcW w:w="622" w:type="pct"/>
            <w:vMerge/>
            <w:noWrap/>
            <w:vAlign w:val="center"/>
          </w:tcPr>
          <w:p w14:paraId="14F6E3CE"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6BD5618F" w14:textId="77777777">
        <w:trPr>
          <w:trHeight w:val="513"/>
          <w:jc w:val="center"/>
        </w:trPr>
        <w:tc>
          <w:tcPr>
            <w:tcW w:w="415" w:type="pct"/>
            <w:vMerge w:val="restart"/>
            <w:noWrap/>
            <w:vAlign w:val="center"/>
          </w:tcPr>
          <w:p w14:paraId="0CDC732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sz w:val="18"/>
                <w:szCs w:val="18"/>
                <w:lang w:bidi="ar"/>
              </w:rPr>
              <w:t>PET/CT</w:t>
            </w:r>
            <w:r w:rsidRPr="00B12FE0">
              <w:rPr>
                <w:snapToGrid w:val="0"/>
                <w:color w:val="000000" w:themeColor="text1"/>
                <w:kern w:val="0"/>
                <w:sz w:val="18"/>
                <w:szCs w:val="18"/>
                <w:lang w:bidi="ar"/>
              </w:rPr>
              <w:t>机房</w:t>
            </w:r>
          </w:p>
          <w:p w14:paraId="003A2923"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1</w:t>
            </w:r>
            <w:r w:rsidRPr="00B12FE0">
              <w:rPr>
                <w:snapToGrid w:val="0"/>
                <w:color w:val="000000" w:themeColor="text1"/>
                <w:kern w:val="0"/>
                <w:sz w:val="18"/>
                <w:szCs w:val="18"/>
                <w:lang w:bidi="ar"/>
              </w:rPr>
              <w:t>间）</w:t>
            </w:r>
          </w:p>
        </w:tc>
        <w:tc>
          <w:tcPr>
            <w:tcW w:w="530" w:type="pct"/>
            <w:noWrap/>
            <w:vAlign w:val="center"/>
          </w:tcPr>
          <w:p w14:paraId="5248DD42"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摆位</w:t>
            </w:r>
          </w:p>
        </w:tc>
        <w:tc>
          <w:tcPr>
            <w:tcW w:w="744" w:type="pct"/>
            <w:noWrap/>
            <w:vAlign w:val="center"/>
          </w:tcPr>
          <w:p w14:paraId="505D19F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技师摆位处</w:t>
            </w:r>
          </w:p>
        </w:tc>
        <w:tc>
          <w:tcPr>
            <w:tcW w:w="966" w:type="pct"/>
            <w:noWrap/>
            <w:vAlign w:val="center"/>
          </w:tcPr>
          <w:p w14:paraId="1EBB3EE1"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31.7</w:t>
            </w:r>
          </w:p>
          <w:p w14:paraId="1067FF27"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47</w:t>
            </w:r>
            <w:r w:rsidRPr="00B12FE0">
              <w:rPr>
                <w:snapToGrid w:val="0"/>
                <w:color w:val="000000" w:themeColor="text1"/>
                <w:kern w:val="0"/>
                <w:sz w:val="18"/>
                <w:szCs w:val="18"/>
                <w:lang w:bidi="ar"/>
              </w:rPr>
              <w:t>）</w:t>
            </w:r>
          </w:p>
        </w:tc>
        <w:tc>
          <w:tcPr>
            <w:tcW w:w="672" w:type="pct"/>
            <w:vAlign w:val="center"/>
          </w:tcPr>
          <w:p w14:paraId="00B4449A"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166.7</w:t>
            </w:r>
            <w:r w:rsidRPr="00B12FE0">
              <w:rPr>
                <w:snapToGrid w:val="0"/>
                <w:color w:val="000000" w:themeColor="text1"/>
                <w:kern w:val="0"/>
                <w:sz w:val="18"/>
                <w:szCs w:val="18"/>
                <w:lang w:bidi="ar"/>
              </w:rPr>
              <w:t>h</w:t>
            </w:r>
          </w:p>
          <w:p w14:paraId="1EB87BB9"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10000</w:t>
            </w:r>
            <w:r w:rsidRPr="00B12FE0">
              <w:rPr>
                <w:rFonts w:hint="eastAsia"/>
                <w:snapToGrid w:val="0"/>
                <w:color w:val="000000" w:themeColor="text1"/>
                <w:kern w:val="0"/>
                <w:sz w:val="18"/>
                <w:szCs w:val="18"/>
                <w:lang w:bidi="ar"/>
              </w:rPr>
              <w:t>次）</w:t>
            </w:r>
          </w:p>
        </w:tc>
        <w:tc>
          <w:tcPr>
            <w:tcW w:w="428" w:type="pct"/>
            <w:noWrap/>
            <w:vAlign w:val="center"/>
          </w:tcPr>
          <w:p w14:paraId="266F2F6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auto"/>
              <w:right w:val="single" w:sz="4" w:space="0" w:color="000000"/>
            </w:tcBorders>
            <w:noWrap/>
            <w:vAlign w:val="center"/>
          </w:tcPr>
          <w:p w14:paraId="1279E3BD"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5.29</w:t>
            </w:r>
          </w:p>
        </w:tc>
        <w:tc>
          <w:tcPr>
            <w:tcW w:w="622" w:type="pct"/>
            <w:vMerge w:val="restart"/>
            <w:noWrap/>
            <w:vAlign w:val="center"/>
          </w:tcPr>
          <w:p w14:paraId="692281AB"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3.33</w:t>
            </w:r>
          </w:p>
        </w:tc>
      </w:tr>
      <w:tr w:rsidR="00A67F21" w:rsidRPr="00B12FE0" w14:paraId="6B60CCE8" w14:textId="77777777">
        <w:trPr>
          <w:trHeight w:val="513"/>
          <w:jc w:val="center"/>
        </w:trPr>
        <w:tc>
          <w:tcPr>
            <w:tcW w:w="415" w:type="pct"/>
            <w:vMerge/>
            <w:noWrap/>
            <w:vAlign w:val="center"/>
          </w:tcPr>
          <w:p w14:paraId="740CAAC6" w14:textId="77777777" w:rsidR="00A67F21" w:rsidRPr="00B12FE0" w:rsidRDefault="00A67F21">
            <w:pPr>
              <w:widowControl/>
              <w:adjustRightInd w:val="0"/>
              <w:snapToGrid w:val="0"/>
              <w:jc w:val="center"/>
              <w:textAlignment w:val="center"/>
              <w:rPr>
                <w:snapToGrid w:val="0"/>
                <w:color w:val="000000" w:themeColor="text1"/>
                <w:sz w:val="18"/>
                <w:szCs w:val="18"/>
                <w:lang w:bidi="ar"/>
              </w:rPr>
            </w:pPr>
          </w:p>
        </w:tc>
        <w:tc>
          <w:tcPr>
            <w:tcW w:w="530" w:type="pct"/>
            <w:vMerge w:val="restart"/>
            <w:noWrap/>
            <w:vAlign w:val="center"/>
          </w:tcPr>
          <w:p w14:paraId="250069A3"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vertAlign w:val="superscript"/>
                <w:lang w:bidi="ar"/>
              </w:rPr>
              <w:t>68</w:t>
            </w:r>
            <w:r w:rsidRPr="00B12FE0">
              <w:rPr>
                <w:snapToGrid w:val="0"/>
                <w:color w:val="000000" w:themeColor="text1"/>
                <w:kern w:val="0"/>
                <w:sz w:val="18"/>
                <w:szCs w:val="18"/>
                <w:lang w:bidi="ar"/>
              </w:rPr>
              <w:t>Ge</w:t>
            </w:r>
            <w:r w:rsidRPr="00B12FE0">
              <w:rPr>
                <w:snapToGrid w:val="0"/>
                <w:color w:val="000000" w:themeColor="text1"/>
                <w:kern w:val="0"/>
                <w:sz w:val="18"/>
                <w:szCs w:val="18"/>
                <w:lang w:bidi="ar"/>
              </w:rPr>
              <w:t>校准源</w:t>
            </w:r>
          </w:p>
        </w:tc>
        <w:tc>
          <w:tcPr>
            <w:tcW w:w="744" w:type="pct"/>
            <w:tcBorders>
              <w:left w:val="single" w:sz="4" w:space="0" w:color="auto"/>
              <w:bottom w:val="single" w:sz="4" w:space="0" w:color="auto"/>
              <w:right w:val="single" w:sz="4" w:space="0" w:color="auto"/>
            </w:tcBorders>
            <w:noWrap/>
            <w:vAlign w:val="center"/>
          </w:tcPr>
          <w:p w14:paraId="1BE167D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校准</w:t>
            </w:r>
            <w:proofErr w:type="gramStart"/>
            <w:r w:rsidRPr="00B12FE0">
              <w:rPr>
                <w:rFonts w:hint="eastAsia"/>
                <w:snapToGrid w:val="0"/>
                <w:color w:val="000000" w:themeColor="text1"/>
                <w:kern w:val="0"/>
                <w:sz w:val="18"/>
                <w:szCs w:val="18"/>
                <w:lang w:bidi="ar"/>
              </w:rPr>
              <w:t>源转移</w:t>
            </w:r>
            <w:proofErr w:type="gramEnd"/>
          </w:p>
        </w:tc>
        <w:tc>
          <w:tcPr>
            <w:tcW w:w="966" w:type="pct"/>
            <w:tcBorders>
              <w:left w:val="single" w:sz="4" w:space="0" w:color="auto"/>
              <w:right w:val="single" w:sz="4" w:space="0" w:color="auto"/>
            </w:tcBorders>
            <w:noWrap/>
            <w:vAlign w:val="center"/>
          </w:tcPr>
          <w:p w14:paraId="315A2E00"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9.27E-01</w:t>
            </w:r>
          </w:p>
        </w:tc>
        <w:tc>
          <w:tcPr>
            <w:tcW w:w="672" w:type="pct"/>
            <w:tcBorders>
              <w:top w:val="single" w:sz="4" w:space="0" w:color="auto"/>
              <w:left w:val="single" w:sz="4" w:space="0" w:color="auto"/>
              <w:bottom w:val="single" w:sz="4" w:space="0" w:color="auto"/>
              <w:right w:val="single" w:sz="4" w:space="0" w:color="auto"/>
            </w:tcBorders>
            <w:vAlign w:val="center"/>
          </w:tcPr>
          <w:p w14:paraId="6BA38FFD"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color w:val="000000" w:themeColor="text1"/>
                <w:sz w:val="18"/>
                <w:szCs w:val="18"/>
              </w:rPr>
              <w:t>120s</w:t>
            </w:r>
            <w:r w:rsidRPr="00B12FE0">
              <w:rPr>
                <w:rFonts w:hint="eastAsia"/>
                <w:color w:val="000000" w:themeColor="text1"/>
                <w:sz w:val="18"/>
                <w:szCs w:val="18"/>
              </w:rPr>
              <w:t>×</w:t>
            </w:r>
            <w:r w:rsidRPr="00B12FE0">
              <w:rPr>
                <w:color w:val="000000" w:themeColor="text1"/>
                <w:sz w:val="18"/>
                <w:szCs w:val="18"/>
              </w:rPr>
              <w:t>50</w:t>
            </w:r>
            <w:r w:rsidRPr="00B12FE0">
              <w:rPr>
                <w:rFonts w:hint="eastAsia"/>
                <w:color w:val="000000" w:themeColor="text1"/>
                <w:sz w:val="18"/>
                <w:szCs w:val="18"/>
              </w:rPr>
              <w:t>次</w:t>
            </w:r>
            <w:r w:rsidRPr="00B12FE0">
              <w:rPr>
                <w:rFonts w:hint="eastAsia"/>
                <w:color w:val="000000" w:themeColor="text1"/>
                <w:sz w:val="18"/>
                <w:szCs w:val="18"/>
              </w:rPr>
              <w:t>=</w:t>
            </w:r>
            <w:r w:rsidRPr="00B12FE0">
              <w:rPr>
                <w:color w:val="000000" w:themeColor="text1"/>
                <w:sz w:val="18"/>
                <w:szCs w:val="18"/>
              </w:rPr>
              <w:t>1.7h</w:t>
            </w:r>
          </w:p>
        </w:tc>
        <w:tc>
          <w:tcPr>
            <w:tcW w:w="428" w:type="pct"/>
            <w:noWrap/>
            <w:vAlign w:val="center"/>
          </w:tcPr>
          <w:p w14:paraId="7CD7BC8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auto"/>
              <w:left w:val="nil"/>
              <w:bottom w:val="single" w:sz="4" w:space="0" w:color="auto"/>
              <w:right w:val="nil"/>
            </w:tcBorders>
            <w:noWrap/>
            <w:vAlign w:val="center"/>
          </w:tcPr>
          <w:p w14:paraId="7B680B7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1.58E-03</w:t>
            </w:r>
          </w:p>
        </w:tc>
        <w:tc>
          <w:tcPr>
            <w:tcW w:w="622" w:type="pct"/>
            <w:vMerge/>
            <w:noWrap/>
            <w:vAlign w:val="center"/>
          </w:tcPr>
          <w:p w14:paraId="618CA347"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496FB2D0" w14:textId="77777777">
        <w:trPr>
          <w:trHeight w:val="513"/>
          <w:jc w:val="center"/>
        </w:trPr>
        <w:tc>
          <w:tcPr>
            <w:tcW w:w="415" w:type="pct"/>
            <w:vMerge/>
            <w:noWrap/>
            <w:vAlign w:val="center"/>
          </w:tcPr>
          <w:p w14:paraId="7BA1D29E" w14:textId="77777777" w:rsidR="00A67F21" w:rsidRPr="00B12FE0" w:rsidRDefault="00A67F21">
            <w:pPr>
              <w:widowControl/>
              <w:adjustRightInd w:val="0"/>
              <w:snapToGrid w:val="0"/>
              <w:jc w:val="center"/>
              <w:textAlignment w:val="center"/>
              <w:rPr>
                <w:snapToGrid w:val="0"/>
                <w:color w:val="000000" w:themeColor="text1"/>
                <w:sz w:val="18"/>
                <w:szCs w:val="18"/>
                <w:lang w:bidi="ar"/>
              </w:rPr>
            </w:pPr>
          </w:p>
        </w:tc>
        <w:tc>
          <w:tcPr>
            <w:tcW w:w="530" w:type="pct"/>
            <w:vMerge/>
            <w:noWrap/>
            <w:vAlign w:val="center"/>
          </w:tcPr>
          <w:p w14:paraId="0A19FECC"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c>
          <w:tcPr>
            <w:tcW w:w="744" w:type="pct"/>
            <w:tcBorders>
              <w:left w:val="single" w:sz="4" w:space="0" w:color="auto"/>
              <w:bottom w:val="single" w:sz="4" w:space="0" w:color="auto"/>
              <w:right w:val="single" w:sz="4" w:space="0" w:color="auto"/>
            </w:tcBorders>
            <w:noWrap/>
            <w:vAlign w:val="center"/>
          </w:tcPr>
          <w:p w14:paraId="22509447"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校准源取出</w:t>
            </w: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放回</w:t>
            </w:r>
          </w:p>
        </w:tc>
        <w:tc>
          <w:tcPr>
            <w:tcW w:w="966" w:type="pct"/>
            <w:tcBorders>
              <w:left w:val="single" w:sz="4" w:space="0" w:color="auto"/>
              <w:right w:val="single" w:sz="4" w:space="0" w:color="auto"/>
            </w:tcBorders>
            <w:noWrap/>
            <w:vAlign w:val="center"/>
          </w:tcPr>
          <w:p w14:paraId="08553C2A"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5.95E+01</w:t>
            </w:r>
          </w:p>
        </w:tc>
        <w:tc>
          <w:tcPr>
            <w:tcW w:w="672" w:type="pct"/>
            <w:tcBorders>
              <w:top w:val="single" w:sz="4" w:space="0" w:color="auto"/>
              <w:left w:val="single" w:sz="4" w:space="0" w:color="auto"/>
              <w:bottom w:val="single" w:sz="4" w:space="0" w:color="auto"/>
              <w:right w:val="single" w:sz="4" w:space="0" w:color="auto"/>
            </w:tcBorders>
            <w:vAlign w:val="center"/>
          </w:tcPr>
          <w:p w14:paraId="48F1DEF7"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color w:val="000000" w:themeColor="text1"/>
                <w:sz w:val="18"/>
                <w:szCs w:val="18"/>
              </w:rPr>
              <w:t>30s</w:t>
            </w:r>
            <w:r w:rsidRPr="00B12FE0">
              <w:rPr>
                <w:rFonts w:hint="eastAsia"/>
                <w:color w:val="000000" w:themeColor="text1"/>
                <w:sz w:val="18"/>
                <w:szCs w:val="18"/>
              </w:rPr>
              <w:t>×</w:t>
            </w:r>
            <w:r w:rsidRPr="00B12FE0">
              <w:rPr>
                <w:color w:val="000000" w:themeColor="text1"/>
                <w:sz w:val="18"/>
                <w:szCs w:val="18"/>
              </w:rPr>
              <w:t>50</w:t>
            </w:r>
            <w:r w:rsidRPr="00B12FE0">
              <w:rPr>
                <w:rFonts w:hint="eastAsia"/>
                <w:color w:val="000000" w:themeColor="text1"/>
                <w:sz w:val="18"/>
                <w:szCs w:val="18"/>
              </w:rPr>
              <w:t>次</w:t>
            </w:r>
            <w:r w:rsidRPr="00B12FE0">
              <w:rPr>
                <w:rFonts w:hint="eastAsia"/>
                <w:color w:val="000000" w:themeColor="text1"/>
                <w:sz w:val="18"/>
                <w:szCs w:val="18"/>
              </w:rPr>
              <w:t>=</w:t>
            </w:r>
            <w:r w:rsidRPr="00B12FE0">
              <w:rPr>
                <w:color w:val="000000" w:themeColor="text1"/>
                <w:sz w:val="18"/>
                <w:szCs w:val="18"/>
              </w:rPr>
              <w:t>0.42h</w:t>
            </w:r>
          </w:p>
        </w:tc>
        <w:tc>
          <w:tcPr>
            <w:tcW w:w="428" w:type="pct"/>
            <w:noWrap/>
            <w:vAlign w:val="center"/>
          </w:tcPr>
          <w:p w14:paraId="02037D0E"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1</w:t>
            </w:r>
          </w:p>
        </w:tc>
        <w:tc>
          <w:tcPr>
            <w:tcW w:w="623" w:type="pct"/>
            <w:tcBorders>
              <w:top w:val="single" w:sz="4" w:space="0" w:color="auto"/>
              <w:left w:val="nil"/>
              <w:bottom w:val="single" w:sz="4" w:space="0" w:color="auto"/>
              <w:right w:val="nil"/>
            </w:tcBorders>
            <w:noWrap/>
            <w:vAlign w:val="center"/>
          </w:tcPr>
          <w:p w14:paraId="5AE134F6"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eastAsia="等线"/>
                <w:color w:val="000000" w:themeColor="text1"/>
                <w:sz w:val="18"/>
                <w:szCs w:val="18"/>
              </w:rPr>
              <w:t>2.50E-02</w:t>
            </w:r>
          </w:p>
        </w:tc>
        <w:tc>
          <w:tcPr>
            <w:tcW w:w="622" w:type="pct"/>
            <w:vMerge/>
            <w:noWrap/>
            <w:vAlign w:val="center"/>
          </w:tcPr>
          <w:p w14:paraId="0CB9A806"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38B938F5" w14:textId="77777777">
        <w:trPr>
          <w:trHeight w:val="513"/>
          <w:jc w:val="center"/>
        </w:trPr>
        <w:tc>
          <w:tcPr>
            <w:tcW w:w="415" w:type="pct"/>
            <w:vMerge/>
            <w:noWrap/>
            <w:vAlign w:val="center"/>
          </w:tcPr>
          <w:p w14:paraId="5D2BBE16" w14:textId="77777777" w:rsidR="00A67F21" w:rsidRPr="00B12FE0" w:rsidRDefault="00A67F21">
            <w:pPr>
              <w:adjustRightInd w:val="0"/>
              <w:snapToGrid w:val="0"/>
              <w:jc w:val="center"/>
              <w:rPr>
                <w:snapToGrid w:val="0"/>
                <w:color w:val="000000" w:themeColor="text1"/>
                <w:sz w:val="18"/>
                <w:szCs w:val="18"/>
              </w:rPr>
            </w:pPr>
          </w:p>
        </w:tc>
        <w:tc>
          <w:tcPr>
            <w:tcW w:w="530" w:type="pct"/>
            <w:vMerge w:val="restart"/>
            <w:noWrap/>
            <w:vAlign w:val="center"/>
          </w:tcPr>
          <w:p w14:paraId="72283ABD"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扫描</w:t>
            </w:r>
          </w:p>
        </w:tc>
        <w:tc>
          <w:tcPr>
            <w:tcW w:w="744" w:type="pct"/>
            <w:noWrap/>
            <w:vAlign w:val="center"/>
          </w:tcPr>
          <w:p w14:paraId="0C626252"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观察窗外</w:t>
            </w:r>
          </w:p>
          <w:p w14:paraId="3562886E"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30cm</w:t>
            </w:r>
            <w:r w:rsidRPr="00B12FE0">
              <w:rPr>
                <w:snapToGrid w:val="0"/>
                <w:color w:val="000000" w:themeColor="text1"/>
                <w:kern w:val="0"/>
                <w:sz w:val="18"/>
                <w:szCs w:val="18"/>
                <w:lang w:bidi="ar"/>
              </w:rPr>
              <w:t>处</w:t>
            </w:r>
          </w:p>
        </w:tc>
        <w:tc>
          <w:tcPr>
            <w:tcW w:w="966" w:type="pct"/>
            <w:noWrap/>
            <w:vAlign w:val="center"/>
          </w:tcPr>
          <w:p w14:paraId="2018B6FC"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snapToGrid w:val="0"/>
                <w:color w:val="000000" w:themeColor="text1"/>
                <w:kern w:val="0"/>
                <w:sz w:val="18"/>
                <w:szCs w:val="18"/>
                <w:lang w:bidi="ar"/>
              </w:rPr>
              <w:t>5.30E-01</w:t>
            </w:r>
          </w:p>
          <w:p w14:paraId="6F309EE9"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2-</w:t>
            </w:r>
            <w:r w:rsidRPr="00B12FE0">
              <w:rPr>
                <w:rFonts w:hint="eastAsia"/>
                <w:snapToGrid w:val="0"/>
                <w:color w:val="000000" w:themeColor="text1"/>
                <w:kern w:val="0"/>
                <w:sz w:val="18"/>
                <w:szCs w:val="18"/>
                <w:lang w:bidi="ar"/>
              </w:rPr>
              <w:t>45</w:t>
            </w:r>
            <w:r w:rsidRPr="00B12FE0">
              <w:rPr>
                <w:snapToGrid w:val="0"/>
                <w:color w:val="000000" w:themeColor="text1"/>
                <w:kern w:val="0"/>
                <w:sz w:val="18"/>
                <w:szCs w:val="18"/>
                <w:lang w:bidi="ar"/>
              </w:rPr>
              <w:t>）</w:t>
            </w:r>
          </w:p>
        </w:tc>
        <w:tc>
          <w:tcPr>
            <w:tcW w:w="672" w:type="pct"/>
            <w:vAlign w:val="center"/>
          </w:tcPr>
          <w:p w14:paraId="374D47C8"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2500</w:t>
            </w:r>
            <w:r w:rsidRPr="00B12FE0">
              <w:rPr>
                <w:snapToGrid w:val="0"/>
                <w:color w:val="000000" w:themeColor="text1"/>
                <w:kern w:val="0"/>
                <w:sz w:val="18"/>
                <w:szCs w:val="18"/>
                <w:lang w:bidi="ar"/>
              </w:rPr>
              <w:t>h</w:t>
            </w:r>
          </w:p>
          <w:p w14:paraId="2AC7964E"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15min/</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10000</w:t>
            </w:r>
            <w:r w:rsidRPr="00B12FE0">
              <w:rPr>
                <w:rFonts w:hint="eastAsia"/>
                <w:snapToGrid w:val="0"/>
                <w:color w:val="000000" w:themeColor="text1"/>
                <w:kern w:val="0"/>
                <w:sz w:val="18"/>
                <w:szCs w:val="18"/>
                <w:lang w:bidi="ar"/>
              </w:rPr>
              <w:t>次）</w:t>
            </w:r>
          </w:p>
        </w:tc>
        <w:tc>
          <w:tcPr>
            <w:tcW w:w="428" w:type="pct"/>
            <w:noWrap/>
            <w:vAlign w:val="center"/>
          </w:tcPr>
          <w:p w14:paraId="45DDEF39"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auto"/>
              <w:left w:val="single" w:sz="4" w:space="0" w:color="000000"/>
              <w:bottom w:val="single" w:sz="4" w:space="0" w:color="000000"/>
              <w:right w:val="single" w:sz="4" w:space="0" w:color="000000"/>
            </w:tcBorders>
            <w:noWrap/>
            <w:vAlign w:val="center"/>
          </w:tcPr>
          <w:p w14:paraId="6E2F4315"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1.33</w:t>
            </w:r>
          </w:p>
        </w:tc>
        <w:tc>
          <w:tcPr>
            <w:tcW w:w="622" w:type="pct"/>
            <w:vMerge/>
            <w:noWrap/>
            <w:vAlign w:val="center"/>
          </w:tcPr>
          <w:p w14:paraId="262D739E"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0CCAA311" w14:textId="77777777">
        <w:trPr>
          <w:trHeight w:val="494"/>
          <w:jc w:val="center"/>
        </w:trPr>
        <w:tc>
          <w:tcPr>
            <w:tcW w:w="415" w:type="pct"/>
            <w:vMerge/>
            <w:noWrap/>
            <w:vAlign w:val="center"/>
          </w:tcPr>
          <w:p w14:paraId="34CAF090" w14:textId="77777777" w:rsidR="00A67F21" w:rsidRPr="00B12FE0" w:rsidRDefault="00A67F21">
            <w:pPr>
              <w:adjustRightInd w:val="0"/>
              <w:snapToGrid w:val="0"/>
              <w:jc w:val="center"/>
              <w:rPr>
                <w:snapToGrid w:val="0"/>
                <w:color w:val="000000" w:themeColor="text1"/>
                <w:sz w:val="18"/>
                <w:szCs w:val="18"/>
              </w:rPr>
            </w:pPr>
          </w:p>
        </w:tc>
        <w:tc>
          <w:tcPr>
            <w:tcW w:w="530" w:type="pct"/>
            <w:vMerge/>
            <w:noWrap/>
            <w:vAlign w:val="center"/>
          </w:tcPr>
          <w:p w14:paraId="687B8AD1" w14:textId="77777777" w:rsidR="00A67F21" w:rsidRPr="00B12FE0" w:rsidRDefault="00A67F21">
            <w:pPr>
              <w:adjustRightInd w:val="0"/>
              <w:snapToGrid w:val="0"/>
              <w:jc w:val="center"/>
              <w:rPr>
                <w:snapToGrid w:val="0"/>
                <w:color w:val="000000" w:themeColor="text1"/>
                <w:sz w:val="18"/>
                <w:szCs w:val="18"/>
              </w:rPr>
            </w:pPr>
          </w:p>
        </w:tc>
        <w:tc>
          <w:tcPr>
            <w:tcW w:w="744" w:type="pct"/>
            <w:noWrap/>
            <w:vAlign w:val="center"/>
          </w:tcPr>
          <w:p w14:paraId="66897134"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CT</w:t>
            </w:r>
          </w:p>
        </w:tc>
        <w:tc>
          <w:tcPr>
            <w:tcW w:w="966" w:type="pct"/>
            <w:noWrap/>
            <w:vAlign w:val="center"/>
          </w:tcPr>
          <w:p w14:paraId="41C8CCB4"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0.55</w:t>
            </w:r>
          </w:p>
          <w:p w14:paraId="4F61F60C"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w:t>
            </w:r>
            <w:r w:rsidRPr="00B12FE0">
              <w:rPr>
                <w:snapToGrid w:val="0"/>
                <w:color w:val="000000" w:themeColor="text1"/>
                <w:kern w:val="0"/>
                <w:sz w:val="18"/>
                <w:szCs w:val="18"/>
                <w:lang w:bidi="ar"/>
              </w:rPr>
              <w:t>CT</w:t>
            </w:r>
            <w:r w:rsidRPr="00B12FE0">
              <w:rPr>
                <w:snapToGrid w:val="0"/>
                <w:color w:val="000000" w:themeColor="text1"/>
                <w:kern w:val="0"/>
                <w:sz w:val="18"/>
                <w:szCs w:val="18"/>
                <w:lang w:bidi="ar"/>
              </w:rPr>
              <w:t>）</w:t>
            </w:r>
          </w:p>
        </w:tc>
        <w:tc>
          <w:tcPr>
            <w:tcW w:w="672" w:type="pct"/>
            <w:vAlign w:val="center"/>
          </w:tcPr>
          <w:p w14:paraId="7C291055" w14:textId="77777777" w:rsidR="00A67F21" w:rsidRPr="00B12FE0" w:rsidRDefault="00000000">
            <w:pPr>
              <w:widowControl/>
              <w:adjustRightInd w:val="0"/>
              <w:snapToGrid w:val="0"/>
              <w:jc w:val="center"/>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27.8</w:t>
            </w:r>
            <w:r w:rsidRPr="00B12FE0">
              <w:rPr>
                <w:snapToGrid w:val="0"/>
                <w:color w:val="000000" w:themeColor="text1"/>
                <w:kern w:val="0"/>
                <w:sz w:val="18"/>
                <w:szCs w:val="18"/>
                <w:lang w:bidi="ar"/>
              </w:rPr>
              <w:t>h</w:t>
            </w:r>
          </w:p>
          <w:p w14:paraId="4E64953F"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hint="eastAsia"/>
                <w:snapToGrid w:val="0"/>
                <w:color w:val="000000" w:themeColor="text1"/>
                <w:kern w:val="0"/>
                <w:sz w:val="18"/>
                <w:szCs w:val="18"/>
                <w:lang w:bidi="ar"/>
              </w:rPr>
              <w:t>（</w:t>
            </w:r>
            <w:r w:rsidRPr="00B12FE0">
              <w:rPr>
                <w:rFonts w:hint="eastAsia"/>
                <w:snapToGrid w:val="0"/>
                <w:color w:val="000000" w:themeColor="text1"/>
                <w:kern w:val="0"/>
                <w:sz w:val="18"/>
                <w:szCs w:val="18"/>
                <w:lang w:bidi="ar"/>
              </w:rPr>
              <w:t>10s/</w:t>
            </w:r>
            <w:r w:rsidRPr="00B12FE0">
              <w:rPr>
                <w:rFonts w:hint="eastAsia"/>
                <w:snapToGrid w:val="0"/>
                <w:color w:val="000000" w:themeColor="text1"/>
                <w:kern w:val="0"/>
                <w:sz w:val="18"/>
                <w:szCs w:val="18"/>
                <w:lang w:bidi="ar"/>
              </w:rPr>
              <w:t>次×</w:t>
            </w:r>
            <w:r w:rsidRPr="00B12FE0">
              <w:rPr>
                <w:rFonts w:hint="eastAsia"/>
                <w:snapToGrid w:val="0"/>
                <w:color w:val="000000" w:themeColor="text1"/>
                <w:kern w:val="0"/>
                <w:sz w:val="18"/>
                <w:szCs w:val="18"/>
                <w:lang w:bidi="ar"/>
              </w:rPr>
              <w:t>10000</w:t>
            </w:r>
            <w:r w:rsidRPr="00B12FE0">
              <w:rPr>
                <w:rFonts w:hint="eastAsia"/>
                <w:snapToGrid w:val="0"/>
                <w:color w:val="000000" w:themeColor="text1"/>
                <w:kern w:val="0"/>
                <w:sz w:val="18"/>
                <w:szCs w:val="18"/>
                <w:lang w:bidi="ar"/>
              </w:rPr>
              <w:t>次）</w:t>
            </w:r>
          </w:p>
        </w:tc>
        <w:tc>
          <w:tcPr>
            <w:tcW w:w="428" w:type="pct"/>
            <w:noWrap/>
            <w:vAlign w:val="center"/>
          </w:tcPr>
          <w:p w14:paraId="03BE8235"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snapToGrid w:val="0"/>
                <w:color w:val="000000" w:themeColor="text1"/>
                <w:kern w:val="0"/>
                <w:sz w:val="18"/>
                <w:szCs w:val="18"/>
                <w:lang w:bidi="ar"/>
              </w:rPr>
              <w:t>1</w:t>
            </w:r>
          </w:p>
        </w:tc>
        <w:tc>
          <w:tcPr>
            <w:tcW w:w="623" w:type="pct"/>
            <w:tcBorders>
              <w:top w:val="single" w:sz="4" w:space="0" w:color="000000"/>
              <w:left w:val="single" w:sz="4" w:space="0" w:color="000000"/>
              <w:bottom w:val="single" w:sz="4" w:space="0" w:color="000000"/>
              <w:right w:val="single" w:sz="4" w:space="0" w:color="000000"/>
            </w:tcBorders>
            <w:noWrap/>
            <w:vAlign w:val="center"/>
          </w:tcPr>
          <w:p w14:paraId="3E95E972" w14:textId="77777777" w:rsidR="00A67F21" w:rsidRPr="00B12FE0" w:rsidRDefault="00000000">
            <w:pPr>
              <w:widowControl/>
              <w:adjustRightInd w:val="0"/>
              <w:snapToGrid w:val="0"/>
              <w:jc w:val="center"/>
              <w:textAlignment w:val="center"/>
              <w:rPr>
                <w:snapToGrid w:val="0"/>
                <w:color w:val="000000" w:themeColor="text1"/>
                <w:sz w:val="18"/>
                <w:szCs w:val="18"/>
              </w:rPr>
            </w:pPr>
            <w:r w:rsidRPr="00B12FE0">
              <w:rPr>
                <w:rFonts w:eastAsia="等线"/>
                <w:color w:val="000000" w:themeColor="text1"/>
                <w:sz w:val="18"/>
                <w:szCs w:val="18"/>
              </w:rPr>
              <w:t>1.53E-02</w:t>
            </w:r>
          </w:p>
        </w:tc>
        <w:tc>
          <w:tcPr>
            <w:tcW w:w="622" w:type="pct"/>
            <w:vMerge/>
            <w:noWrap/>
            <w:vAlign w:val="center"/>
          </w:tcPr>
          <w:p w14:paraId="18298B1D" w14:textId="77777777" w:rsidR="00A67F21" w:rsidRPr="00B12FE0" w:rsidRDefault="00A67F21">
            <w:pPr>
              <w:widowControl/>
              <w:adjustRightInd w:val="0"/>
              <w:snapToGrid w:val="0"/>
              <w:jc w:val="center"/>
              <w:textAlignment w:val="center"/>
              <w:rPr>
                <w:snapToGrid w:val="0"/>
                <w:color w:val="000000" w:themeColor="text1"/>
                <w:kern w:val="0"/>
                <w:sz w:val="18"/>
                <w:szCs w:val="18"/>
                <w:lang w:bidi="ar"/>
              </w:rPr>
            </w:pPr>
          </w:p>
        </w:tc>
      </w:tr>
      <w:tr w:rsidR="00A67F21" w:rsidRPr="00B12FE0" w14:paraId="7604B021" w14:textId="77777777">
        <w:trPr>
          <w:trHeight w:val="494"/>
          <w:jc w:val="center"/>
        </w:trPr>
        <w:tc>
          <w:tcPr>
            <w:tcW w:w="5000" w:type="pct"/>
            <w:gridSpan w:val="8"/>
            <w:noWrap/>
            <w:vAlign w:val="center"/>
          </w:tcPr>
          <w:p w14:paraId="54DE7A3F" w14:textId="77777777" w:rsidR="00A67F21" w:rsidRPr="00B12FE0" w:rsidRDefault="00000000">
            <w:pPr>
              <w:widowControl/>
              <w:adjustRightInd w:val="0"/>
              <w:snapToGrid w:val="0"/>
              <w:textAlignment w:val="center"/>
              <w:rPr>
                <w:snapToGrid w:val="0"/>
                <w:color w:val="000000" w:themeColor="text1"/>
                <w:kern w:val="0"/>
                <w:sz w:val="18"/>
                <w:szCs w:val="18"/>
                <w:lang w:bidi="ar"/>
              </w:rPr>
            </w:pPr>
            <w:r w:rsidRPr="00B12FE0">
              <w:rPr>
                <w:rFonts w:hint="eastAsia"/>
                <w:snapToGrid w:val="0"/>
                <w:color w:val="000000" w:themeColor="text1"/>
                <w:kern w:val="0"/>
                <w:sz w:val="18"/>
                <w:szCs w:val="18"/>
                <w:lang w:bidi="ar"/>
              </w:rPr>
              <w:t>注：办公、值班室医生</w:t>
            </w:r>
            <w:r w:rsidRPr="00B12FE0">
              <w:rPr>
                <w:snapToGrid w:val="0"/>
                <w:color w:val="000000" w:themeColor="text1"/>
                <w:kern w:val="0"/>
                <w:sz w:val="18"/>
                <w:szCs w:val="18"/>
                <w:lang w:bidi="ar"/>
              </w:rPr>
              <w:t>同时受到上方核素治疗场所的影响</w:t>
            </w:r>
            <w:r w:rsidRPr="00B12FE0">
              <w:rPr>
                <w:rFonts w:hint="eastAsia"/>
                <w:snapToGrid w:val="0"/>
                <w:color w:val="000000" w:themeColor="text1"/>
                <w:kern w:val="0"/>
                <w:sz w:val="18"/>
                <w:szCs w:val="18"/>
                <w:lang w:bidi="ar"/>
              </w:rPr>
              <w:t>，故本项目取核素治疗场所对下方的</w:t>
            </w:r>
            <w:r w:rsidRPr="00B12FE0">
              <w:rPr>
                <w:snapToGrid w:val="0"/>
                <w:color w:val="000000" w:themeColor="text1"/>
                <w:kern w:val="0"/>
                <w:sz w:val="18"/>
                <w:szCs w:val="18"/>
                <w:lang w:bidi="ar"/>
              </w:rPr>
              <w:t>辐射剂量率最大</w:t>
            </w:r>
            <w:r w:rsidRPr="00B12FE0">
              <w:rPr>
                <w:rFonts w:hint="eastAsia"/>
                <w:snapToGrid w:val="0"/>
                <w:color w:val="000000" w:themeColor="text1"/>
                <w:kern w:val="0"/>
                <w:sz w:val="18"/>
                <w:szCs w:val="18"/>
                <w:lang w:bidi="ar"/>
              </w:rPr>
              <w:t>值</w:t>
            </w:r>
            <w:r w:rsidRPr="00B12FE0">
              <w:rPr>
                <w:rFonts w:hint="eastAsia"/>
                <w:snapToGrid w:val="0"/>
                <w:color w:val="000000" w:themeColor="text1"/>
                <w:kern w:val="0"/>
                <w:sz w:val="18"/>
                <w:szCs w:val="18"/>
                <w:lang w:bidi="ar"/>
              </w:rPr>
              <w:t>1.12</w:t>
            </w:r>
            <w:r w:rsidRPr="00B12FE0">
              <w:rPr>
                <w:snapToGrid w:val="0"/>
                <w:color w:val="000000" w:themeColor="text1"/>
                <w:kern w:val="0"/>
                <w:sz w:val="18"/>
                <w:szCs w:val="18"/>
                <w:lang w:bidi="ar"/>
              </w:rPr>
              <w:t>μSv/h</w:t>
            </w:r>
          </w:p>
        </w:tc>
      </w:tr>
    </w:tbl>
    <w:p w14:paraId="2CE5DBC0" w14:textId="77777777" w:rsidR="00A67F21" w:rsidRPr="00B12FE0" w:rsidRDefault="00000000">
      <w:pPr>
        <w:topLinePunct/>
        <w:autoSpaceDE w:val="0"/>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综上，核素诊断场所辐射工作人员的年有效剂量最大为</w:t>
      </w:r>
      <w:r w:rsidRPr="00B12FE0">
        <w:rPr>
          <w:rFonts w:hint="eastAsia"/>
          <w:snapToGrid w:val="0"/>
          <w:color w:val="000000" w:themeColor="text1"/>
          <w:szCs w:val="24"/>
        </w:rPr>
        <w:t>4.86</w:t>
      </w:r>
      <w:r w:rsidRPr="00B12FE0">
        <w:rPr>
          <w:snapToGrid w:val="0"/>
          <w:color w:val="000000" w:themeColor="text1"/>
          <w:szCs w:val="24"/>
        </w:rPr>
        <w:t>mSv</w:t>
      </w:r>
      <w:r w:rsidRPr="00B12FE0">
        <w:rPr>
          <w:snapToGrid w:val="0"/>
          <w:color w:val="000000" w:themeColor="text1"/>
          <w:szCs w:val="24"/>
        </w:rPr>
        <w:t>，满足辐射工作</w:t>
      </w:r>
      <w:r w:rsidRPr="00B12FE0">
        <w:rPr>
          <w:snapToGrid w:val="0"/>
          <w:color w:val="000000" w:themeColor="text1"/>
          <w:szCs w:val="24"/>
        </w:rPr>
        <w:lastRenderedPageBreak/>
        <w:t>人员</w:t>
      </w:r>
      <w:r w:rsidRPr="00B12FE0">
        <w:rPr>
          <w:snapToGrid w:val="0"/>
          <w:color w:val="000000" w:themeColor="text1"/>
          <w:szCs w:val="28"/>
        </w:rPr>
        <w:t>年有效剂量约束值不超过</w:t>
      </w:r>
      <w:r w:rsidRPr="00B12FE0">
        <w:rPr>
          <w:snapToGrid w:val="0"/>
          <w:color w:val="000000" w:themeColor="text1"/>
          <w:szCs w:val="28"/>
        </w:rPr>
        <w:t>5mSv</w:t>
      </w:r>
      <w:r w:rsidRPr="00B12FE0">
        <w:rPr>
          <w:snapToGrid w:val="0"/>
          <w:color w:val="000000" w:themeColor="text1"/>
          <w:szCs w:val="28"/>
        </w:rPr>
        <w:t>的要求</w:t>
      </w:r>
      <w:r w:rsidRPr="00B12FE0">
        <w:rPr>
          <w:snapToGrid w:val="0"/>
          <w:color w:val="000000" w:themeColor="text1"/>
          <w:szCs w:val="24"/>
        </w:rPr>
        <w:t>。</w:t>
      </w:r>
    </w:p>
    <w:p w14:paraId="092C0EAC" w14:textId="77777777" w:rsidR="00A67F21" w:rsidRPr="00B12FE0" w:rsidRDefault="00000000">
      <w:pPr>
        <w:wordWrap w:val="0"/>
        <w:spacing w:line="360" w:lineRule="auto"/>
        <w:ind w:leftChars="50" w:left="120" w:rightChars="50" w:right="120" w:firstLineChars="200" w:firstLine="482"/>
        <w:rPr>
          <w:b/>
          <w:snapToGrid w:val="0"/>
          <w:color w:val="000000" w:themeColor="text1"/>
          <w:szCs w:val="24"/>
        </w:rPr>
      </w:pPr>
      <w:r w:rsidRPr="00B12FE0">
        <w:rPr>
          <w:b/>
          <w:snapToGrid w:val="0"/>
          <w:color w:val="000000" w:themeColor="text1"/>
          <w:szCs w:val="24"/>
        </w:rPr>
        <w:t>2</w:t>
      </w:r>
      <w:r w:rsidRPr="00B12FE0">
        <w:rPr>
          <w:b/>
          <w:snapToGrid w:val="0"/>
          <w:color w:val="000000" w:themeColor="text1"/>
          <w:szCs w:val="24"/>
        </w:rPr>
        <w:t>、公众</w:t>
      </w:r>
      <w:r w:rsidRPr="00B12FE0">
        <w:rPr>
          <w:b/>
          <w:bCs/>
          <w:snapToGrid w:val="0"/>
          <w:color w:val="000000" w:themeColor="text1"/>
          <w:szCs w:val="24"/>
        </w:rPr>
        <w:t>受照剂量估算</w:t>
      </w:r>
    </w:p>
    <w:p w14:paraId="7A3B9F9E" w14:textId="77777777" w:rsidR="00A67F21" w:rsidRPr="00B12FE0" w:rsidRDefault="00000000">
      <w:pPr>
        <w:overflowPunct w:val="0"/>
        <w:autoSpaceDE w:val="0"/>
        <w:autoSpaceDN w:val="0"/>
        <w:adjustRightInd w:val="0"/>
        <w:snapToGrid w:val="0"/>
        <w:spacing w:line="360" w:lineRule="auto"/>
        <w:ind w:firstLineChars="200" w:firstLine="480"/>
        <w:rPr>
          <w:snapToGrid w:val="0"/>
          <w:color w:val="000000" w:themeColor="text1"/>
          <w:kern w:val="0"/>
          <w:szCs w:val="24"/>
        </w:rPr>
      </w:pPr>
      <w:r w:rsidRPr="00B12FE0">
        <w:rPr>
          <w:snapToGrid w:val="0"/>
          <w:color w:val="000000" w:themeColor="text1"/>
          <w:kern w:val="0"/>
          <w:szCs w:val="24"/>
        </w:rPr>
        <w:t>根据表</w:t>
      </w:r>
      <w:r w:rsidRPr="00B12FE0">
        <w:rPr>
          <w:snapToGrid w:val="0"/>
          <w:color w:val="000000" w:themeColor="text1"/>
          <w:kern w:val="0"/>
          <w:szCs w:val="24"/>
        </w:rPr>
        <w:t>11.2.1.2-2</w:t>
      </w:r>
      <w:r w:rsidRPr="00B12FE0">
        <w:rPr>
          <w:snapToGrid w:val="0"/>
          <w:color w:val="000000" w:themeColor="text1"/>
          <w:kern w:val="0"/>
          <w:szCs w:val="24"/>
        </w:rPr>
        <w:t>预测的</w:t>
      </w:r>
      <w:proofErr w:type="gramStart"/>
      <w:r w:rsidRPr="00B12FE0">
        <w:rPr>
          <w:snapToGrid w:val="0"/>
          <w:color w:val="000000" w:themeColor="text1"/>
          <w:kern w:val="0"/>
          <w:szCs w:val="24"/>
        </w:rPr>
        <w:t>各关注</w:t>
      </w:r>
      <w:proofErr w:type="gramEnd"/>
      <w:r w:rsidRPr="00B12FE0">
        <w:rPr>
          <w:snapToGrid w:val="0"/>
          <w:color w:val="000000" w:themeColor="text1"/>
          <w:kern w:val="0"/>
          <w:szCs w:val="24"/>
        </w:rPr>
        <w:t>点处辐射剂量率，结合核医学科核素诊断场所</w:t>
      </w:r>
      <w:r w:rsidRPr="00B12FE0">
        <w:rPr>
          <w:snapToGrid w:val="0"/>
          <w:color w:val="000000" w:themeColor="text1"/>
          <w:szCs w:val="24"/>
          <w:lang w:val="en-GB"/>
        </w:rPr>
        <w:t>周围公众情况</w:t>
      </w:r>
      <w:r w:rsidRPr="00B12FE0">
        <w:rPr>
          <w:snapToGrid w:val="0"/>
          <w:color w:val="000000" w:themeColor="text1"/>
          <w:kern w:val="0"/>
          <w:szCs w:val="24"/>
        </w:rPr>
        <w:t>、关注点处人员居留因子等参数，由式</w:t>
      </w:r>
      <w:r w:rsidRPr="00B12FE0">
        <w:rPr>
          <w:snapToGrid w:val="0"/>
          <w:color w:val="000000" w:themeColor="text1"/>
          <w:szCs w:val="24"/>
        </w:rPr>
        <w:t>11.2.1.1-3</w:t>
      </w:r>
      <w:r w:rsidRPr="00B12FE0">
        <w:rPr>
          <w:snapToGrid w:val="0"/>
          <w:color w:val="000000" w:themeColor="text1"/>
          <w:kern w:val="0"/>
          <w:szCs w:val="24"/>
        </w:rPr>
        <w:t>计算即可得到核医学科核素诊断场所</w:t>
      </w:r>
      <w:r w:rsidRPr="00B12FE0">
        <w:rPr>
          <w:snapToGrid w:val="0"/>
          <w:color w:val="000000" w:themeColor="text1"/>
          <w:szCs w:val="24"/>
          <w:lang w:val="en-GB"/>
        </w:rPr>
        <w:t>周围公众</w:t>
      </w:r>
      <w:r w:rsidRPr="00B12FE0">
        <w:rPr>
          <w:snapToGrid w:val="0"/>
          <w:color w:val="000000" w:themeColor="text1"/>
          <w:kern w:val="0"/>
          <w:szCs w:val="24"/>
        </w:rPr>
        <w:t>的年有效剂量，见表</w:t>
      </w:r>
      <w:r w:rsidRPr="00B12FE0">
        <w:rPr>
          <w:snapToGrid w:val="0"/>
          <w:color w:val="000000" w:themeColor="text1"/>
          <w:kern w:val="0"/>
          <w:szCs w:val="24"/>
        </w:rPr>
        <w:t>11.2.1.2-</w:t>
      </w:r>
      <w:r w:rsidRPr="00B12FE0">
        <w:rPr>
          <w:rFonts w:hint="eastAsia"/>
          <w:snapToGrid w:val="0"/>
          <w:color w:val="000000" w:themeColor="text1"/>
          <w:kern w:val="0"/>
          <w:szCs w:val="24"/>
        </w:rPr>
        <w:t>13</w:t>
      </w:r>
      <w:r w:rsidRPr="00B12FE0">
        <w:rPr>
          <w:snapToGrid w:val="0"/>
          <w:color w:val="000000" w:themeColor="text1"/>
          <w:kern w:val="0"/>
          <w:szCs w:val="24"/>
        </w:rPr>
        <w:t>。</w:t>
      </w:r>
    </w:p>
    <w:p w14:paraId="5C676702" w14:textId="77777777" w:rsidR="00A67F21" w:rsidRPr="00B12FE0" w:rsidRDefault="00000000">
      <w:pPr>
        <w:widowControl/>
        <w:tabs>
          <w:tab w:val="center" w:pos="4201"/>
          <w:tab w:val="right" w:leader="dot" w:pos="9298"/>
        </w:tabs>
        <w:autoSpaceDE w:val="0"/>
        <w:autoSpaceDN w:val="0"/>
        <w:adjustRightInd w:val="0"/>
        <w:spacing w:line="360" w:lineRule="auto"/>
        <w:jc w:val="center"/>
        <w:textAlignment w:val="baseline"/>
        <w:rPr>
          <w:snapToGrid w:val="0"/>
          <w:color w:val="000000" w:themeColor="text1"/>
          <w:kern w:val="0"/>
          <w:szCs w:val="24"/>
        </w:rPr>
      </w:pPr>
      <w:r w:rsidRPr="00B12FE0">
        <w:rPr>
          <w:b/>
          <w:snapToGrid w:val="0"/>
          <w:color w:val="000000" w:themeColor="text1"/>
          <w:kern w:val="0"/>
          <w:sz w:val="21"/>
          <w:szCs w:val="21"/>
          <w:lang w:val="en-GB"/>
        </w:rPr>
        <w:t>表</w:t>
      </w:r>
      <w:r w:rsidRPr="00B12FE0">
        <w:rPr>
          <w:b/>
          <w:snapToGrid w:val="0"/>
          <w:color w:val="000000" w:themeColor="text1"/>
          <w:kern w:val="0"/>
          <w:sz w:val="21"/>
          <w:szCs w:val="21"/>
          <w:lang w:val="en-GB"/>
        </w:rPr>
        <w:t>11.2.1.</w:t>
      </w:r>
      <w:r w:rsidRPr="00B12FE0">
        <w:rPr>
          <w:b/>
          <w:snapToGrid w:val="0"/>
          <w:color w:val="000000" w:themeColor="text1"/>
          <w:kern w:val="0"/>
          <w:sz w:val="21"/>
          <w:szCs w:val="21"/>
        </w:rPr>
        <w:t>2</w:t>
      </w:r>
      <w:r w:rsidRPr="00B12FE0">
        <w:rPr>
          <w:b/>
          <w:snapToGrid w:val="0"/>
          <w:color w:val="000000" w:themeColor="text1"/>
          <w:kern w:val="0"/>
          <w:sz w:val="21"/>
          <w:szCs w:val="21"/>
          <w:lang w:val="en-GB"/>
        </w:rPr>
        <w:t>-</w:t>
      </w:r>
      <w:r w:rsidRPr="00B12FE0">
        <w:rPr>
          <w:rFonts w:hint="eastAsia"/>
          <w:b/>
          <w:snapToGrid w:val="0"/>
          <w:color w:val="000000" w:themeColor="text1"/>
          <w:kern w:val="0"/>
          <w:sz w:val="21"/>
          <w:szCs w:val="21"/>
        </w:rPr>
        <w:t>13</w:t>
      </w:r>
      <w:r w:rsidRPr="00B12FE0">
        <w:rPr>
          <w:b/>
          <w:snapToGrid w:val="0"/>
          <w:color w:val="000000" w:themeColor="text1"/>
          <w:kern w:val="0"/>
          <w:sz w:val="21"/>
          <w:szCs w:val="21"/>
          <w:lang w:val="en-GB"/>
        </w:rPr>
        <w:t>核医学科核素诊断场所公众人员年有效剂量</w:t>
      </w:r>
      <w:r w:rsidRPr="00B12FE0">
        <w:rPr>
          <w:b/>
          <w:snapToGrid w:val="0"/>
          <w:color w:val="000000" w:themeColor="text1"/>
          <w:kern w:val="0"/>
          <w:sz w:val="21"/>
          <w:szCs w:val="21"/>
        </w:rPr>
        <w:t>估算</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959"/>
        <w:gridCol w:w="1676"/>
        <w:gridCol w:w="6"/>
        <w:gridCol w:w="802"/>
        <w:gridCol w:w="6"/>
        <w:gridCol w:w="1196"/>
        <w:gridCol w:w="1059"/>
        <w:gridCol w:w="1229"/>
        <w:gridCol w:w="12"/>
      </w:tblGrid>
      <w:tr w:rsidR="00A67F21" w:rsidRPr="00B12FE0" w14:paraId="3A414C14" w14:textId="77777777">
        <w:trPr>
          <w:gridAfter w:val="1"/>
          <w:wAfter w:w="12" w:type="dxa"/>
          <w:trHeight w:val="566"/>
          <w:jc w:val="center"/>
        </w:trPr>
        <w:tc>
          <w:tcPr>
            <w:tcW w:w="1855" w:type="dxa"/>
            <w:noWrap/>
            <w:vAlign w:val="center"/>
          </w:tcPr>
          <w:p w14:paraId="05E7A64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关注场所</w:t>
            </w:r>
          </w:p>
        </w:tc>
        <w:tc>
          <w:tcPr>
            <w:tcW w:w="959" w:type="dxa"/>
            <w:noWrap/>
            <w:vAlign w:val="center"/>
          </w:tcPr>
          <w:p w14:paraId="22E195A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人员类型</w:t>
            </w:r>
          </w:p>
        </w:tc>
        <w:tc>
          <w:tcPr>
            <w:tcW w:w="1676" w:type="dxa"/>
            <w:noWrap/>
            <w:vAlign w:val="center"/>
          </w:tcPr>
          <w:p w14:paraId="43370E8B"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辐射剂量率（</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808" w:type="dxa"/>
            <w:gridSpan w:val="2"/>
            <w:vAlign w:val="center"/>
          </w:tcPr>
          <w:p w14:paraId="3235D36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距离</w:t>
            </w:r>
            <w:r w:rsidRPr="00B12FE0">
              <w:rPr>
                <w:snapToGrid w:val="0"/>
                <w:color w:val="000000" w:themeColor="text1"/>
                <w:kern w:val="0"/>
                <w:sz w:val="21"/>
                <w:szCs w:val="21"/>
                <w:lang w:bidi="ar"/>
              </w:rPr>
              <w:br/>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202" w:type="dxa"/>
            <w:gridSpan w:val="2"/>
            <w:noWrap/>
            <w:vAlign w:val="center"/>
          </w:tcPr>
          <w:p w14:paraId="55FBAEE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居留因子</w:t>
            </w:r>
          </w:p>
        </w:tc>
        <w:tc>
          <w:tcPr>
            <w:tcW w:w="1059" w:type="dxa"/>
            <w:noWrap/>
            <w:vAlign w:val="center"/>
          </w:tcPr>
          <w:p w14:paraId="3372566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受照时间（</w:t>
            </w:r>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1229" w:type="dxa"/>
            <w:noWrap/>
            <w:vAlign w:val="center"/>
          </w:tcPr>
          <w:p w14:paraId="446A3A0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年有效剂量（</w:t>
            </w:r>
            <w:r w:rsidRPr="00B12FE0">
              <w:rPr>
                <w:snapToGrid w:val="0"/>
                <w:color w:val="000000" w:themeColor="text1"/>
                <w:kern w:val="0"/>
                <w:sz w:val="21"/>
                <w:szCs w:val="21"/>
                <w:lang w:bidi="ar"/>
              </w:rPr>
              <w:t>mSv</w:t>
            </w:r>
            <w:r w:rsidRPr="00B12FE0">
              <w:rPr>
                <w:snapToGrid w:val="0"/>
                <w:color w:val="000000" w:themeColor="text1"/>
                <w:kern w:val="0"/>
                <w:sz w:val="21"/>
                <w:szCs w:val="21"/>
                <w:lang w:bidi="ar"/>
              </w:rPr>
              <w:t>）</w:t>
            </w:r>
          </w:p>
        </w:tc>
      </w:tr>
      <w:tr w:rsidR="00A67F21" w:rsidRPr="00B12FE0" w14:paraId="12D069EE" w14:textId="77777777">
        <w:trPr>
          <w:trHeight w:val="282"/>
          <w:jc w:val="center"/>
        </w:trPr>
        <w:tc>
          <w:tcPr>
            <w:tcW w:w="1855" w:type="dxa"/>
            <w:noWrap/>
            <w:vAlign w:val="center"/>
          </w:tcPr>
          <w:p w14:paraId="761068D0"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kern w:val="0"/>
                <w:sz w:val="21"/>
                <w:szCs w:val="21"/>
                <w:lang w:bidi="ar"/>
              </w:rPr>
              <w:t>候诊区及其卫生间</w:t>
            </w:r>
          </w:p>
        </w:tc>
        <w:tc>
          <w:tcPr>
            <w:tcW w:w="959" w:type="dxa"/>
            <w:vMerge w:val="restart"/>
            <w:noWrap/>
            <w:vAlign w:val="center"/>
          </w:tcPr>
          <w:p w14:paraId="6E91F3B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公众</w:t>
            </w:r>
          </w:p>
        </w:tc>
        <w:tc>
          <w:tcPr>
            <w:tcW w:w="1682" w:type="dxa"/>
            <w:gridSpan w:val="2"/>
            <w:noWrap/>
            <w:vAlign w:val="center"/>
          </w:tcPr>
          <w:p w14:paraId="703E9827" w14:textId="77777777" w:rsidR="00A67F21" w:rsidRPr="00B12FE0" w:rsidRDefault="00000000">
            <w:pPr>
              <w:pStyle w:val="21"/>
              <w:adjustRightInd w:val="0"/>
              <w:snapToGrid w:val="0"/>
              <w:spacing w:after="0"/>
              <w:ind w:leftChars="0" w:left="0" w:firstLine="360"/>
              <w:rPr>
                <w:rFonts w:eastAsia="等线"/>
                <w:color w:val="000000" w:themeColor="text1"/>
                <w:sz w:val="18"/>
                <w:szCs w:val="18"/>
              </w:rPr>
            </w:pPr>
            <w:r w:rsidRPr="00B12FE0">
              <w:rPr>
                <w:rFonts w:eastAsia="等线"/>
                <w:color w:val="000000" w:themeColor="text1"/>
                <w:sz w:val="18"/>
                <w:szCs w:val="18"/>
              </w:rPr>
              <w:t>4.95E-01</w:t>
            </w:r>
          </w:p>
          <w:p w14:paraId="2C5FFBB1" w14:textId="77777777" w:rsidR="00A67F21" w:rsidRPr="00B12FE0" w:rsidRDefault="00000000">
            <w:pPr>
              <w:pStyle w:val="21"/>
              <w:adjustRightInd w:val="0"/>
              <w:snapToGrid w:val="0"/>
              <w:spacing w:after="0"/>
              <w:ind w:leftChars="0" w:left="0"/>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2-25</w:t>
            </w:r>
            <w:r w:rsidRPr="00B12FE0">
              <w:rPr>
                <w:rFonts w:hint="eastAsia"/>
                <w:snapToGrid w:val="0"/>
                <w:color w:val="000000" w:themeColor="text1"/>
                <w:kern w:val="0"/>
                <w:sz w:val="21"/>
                <w:szCs w:val="21"/>
                <w:lang w:bidi="ar"/>
              </w:rPr>
              <w:t>）</w:t>
            </w:r>
          </w:p>
        </w:tc>
        <w:tc>
          <w:tcPr>
            <w:tcW w:w="808" w:type="dxa"/>
            <w:gridSpan w:val="2"/>
            <w:noWrap/>
            <w:vAlign w:val="center"/>
          </w:tcPr>
          <w:p w14:paraId="794781F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w:t>
            </w:r>
          </w:p>
        </w:tc>
        <w:tc>
          <w:tcPr>
            <w:tcW w:w="1196" w:type="dxa"/>
            <w:noWrap/>
            <w:vAlign w:val="center"/>
          </w:tcPr>
          <w:p w14:paraId="4751408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w:t>
            </w:r>
            <w:r w:rsidRPr="00B12FE0">
              <w:rPr>
                <w:rFonts w:hint="eastAsia"/>
                <w:snapToGrid w:val="0"/>
                <w:color w:val="000000" w:themeColor="text1"/>
                <w:sz w:val="21"/>
                <w:szCs w:val="21"/>
              </w:rPr>
              <w:t>4</w:t>
            </w:r>
          </w:p>
        </w:tc>
        <w:tc>
          <w:tcPr>
            <w:tcW w:w="1059" w:type="dxa"/>
            <w:noWrap/>
            <w:vAlign w:val="center"/>
          </w:tcPr>
          <w:p w14:paraId="1324B78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2000</w:t>
            </w:r>
          </w:p>
        </w:tc>
        <w:tc>
          <w:tcPr>
            <w:tcW w:w="1241" w:type="dxa"/>
            <w:gridSpan w:val="2"/>
            <w:tcBorders>
              <w:top w:val="single" w:sz="4" w:space="0" w:color="auto"/>
              <w:left w:val="nil"/>
              <w:bottom w:val="single" w:sz="4" w:space="0" w:color="auto"/>
              <w:right w:val="single" w:sz="4" w:space="0" w:color="auto"/>
            </w:tcBorders>
            <w:noWrap/>
            <w:vAlign w:val="center"/>
          </w:tcPr>
          <w:p w14:paraId="02A1C35D" w14:textId="77777777" w:rsidR="00A67F21" w:rsidRPr="00B12FE0" w:rsidRDefault="00000000">
            <w:pPr>
              <w:widowControl/>
              <w:jc w:val="center"/>
              <w:textAlignment w:val="center"/>
              <w:rPr>
                <w:snapToGrid w:val="0"/>
                <w:color w:val="000000" w:themeColor="text1"/>
                <w:sz w:val="18"/>
                <w:szCs w:val="18"/>
              </w:rPr>
            </w:pPr>
            <w:r w:rsidRPr="00B12FE0">
              <w:rPr>
                <w:rFonts w:eastAsia="等线"/>
                <w:color w:val="000000" w:themeColor="text1"/>
                <w:sz w:val="18"/>
                <w:szCs w:val="18"/>
              </w:rPr>
              <w:t>6.19E-02</w:t>
            </w:r>
          </w:p>
        </w:tc>
      </w:tr>
      <w:tr w:rsidR="00A67F21" w:rsidRPr="00B12FE0" w14:paraId="7F45EF16" w14:textId="77777777">
        <w:trPr>
          <w:trHeight w:val="282"/>
          <w:jc w:val="center"/>
        </w:trPr>
        <w:tc>
          <w:tcPr>
            <w:tcW w:w="1855" w:type="dxa"/>
            <w:noWrap/>
            <w:vAlign w:val="center"/>
          </w:tcPr>
          <w:p w14:paraId="607C8A35"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kern w:val="0"/>
                <w:sz w:val="21"/>
                <w:szCs w:val="21"/>
                <w:lang w:bidi="ar"/>
              </w:rPr>
              <w:t>院内道路</w:t>
            </w:r>
            <w:r w:rsidRPr="00B12FE0">
              <w:rPr>
                <w:rFonts w:hint="eastAsia"/>
                <w:color w:val="000000" w:themeColor="text1"/>
                <w:kern w:val="0"/>
                <w:sz w:val="21"/>
                <w:szCs w:val="21"/>
                <w:lang w:bidi="ar"/>
              </w:rPr>
              <w:t>及绿化</w:t>
            </w:r>
          </w:p>
        </w:tc>
        <w:tc>
          <w:tcPr>
            <w:tcW w:w="959" w:type="dxa"/>
            <w:vMerge/>
            <w:noWrap/>
            <w:vAlign w:val="center"/>
          </w:tcPr>
          <w:p w14:paraId="24CEED52" w14:textId="77777777" w:rsidR="00A67F21" w:rsidRPr="00B12FE0" w:rsidRDefault="00A67F21">
            <w:pPr>
              <w:jc w:val="center"/>
              <w:rPr>
                <w:snapToGrid w:val="0"/>
                <w:color w:val="000000" w:themeColor="text1"/>
                <w:sz w:val="21"/>
                <w:szCs w:val="21"/>
              </w:rPr>
            </w:pPr>
          </w:p>
        </w:tc>
        <w:tc>
          <w:tcPr>
            <w:tcW w:w="1682" w:type="dxa"/>
            <w:gridSpan w:val="2"/>
            <w:noWrap/>
            <w:vAlign w:val="center"/>
          </w:tcPr>
          <w:p w14:paraId="31732301"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1.70</w:t>
            </w:r>
            <w:r w:rsidRPr="00B12FE0">
              <w:rPr>
                <w:snapToGrid w:val="0"/>
                <w:color w:val="000000" w:themeColor="text1"/>
                <w:kern w:val="0"/>
                <w:sz w:val="21"/>
                <w:szCs w:val="21"/>
                <w:lang w:bidi="ar"/>
              </w:rPr>
              <w:t>E-01</w:t>
            </w:r>
          </w:p>
          <w:p w14:paraId="2912AA64"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2-50</w:t>
            </w:r>
            <w:r w:rsidRPr="00B12FE0">
              <w:rPr>
                <w:rFonts w:hint="eastAsia"/>
                <w:snapToGrid w:val="0"/>
                <w:color w:val="000000" w:themeColor="text1"/>
                <w:kern w:val="0"/>
                <w:sz w:val="21"/>
                <w:szCs w:val="21"/>
                <w:lang w:bidi="ar"/>
              </w:rPr>
              <w:t>）</w:t>
            </w:r>
          </w:p>
        </w:tc>
        <w:tc>
          <w:tcPr>
            <w:tcW w:w="808" w:type="dxa"/>
            <w:gridSpan w:val="2"/>
            <w:noWrap/>
            <w:vAlign w:val="center"/>
          </w:tcPr>
          <w:p w14:paraId="4C1F8DAD"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w:t>
            </w:r>
          </w:p>
        </w:tc>
        <w:tc>
          <w:tcPr>
            <w:tcW w:w="1196" w:type="dxa"/>
            <w:noWrap/>
            <w:vAlign w:val="center"/>
          </w:tcPr>
          <w:p w14:paraId="718B0D65"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kern w:val="0"/>
                <w:sz w:val="21"/>
                <w:szCs w:val="21"/>
              </w:rPr>
              <w:t>1/</w:t>
            </w:r>
            <w:r w:rsidRPr="00B12FE0">
              <w:rPr>
                <w:rFonts w:hint="eastAsia"/>
                <w:color w:val="000000" w:themeColor="text1"/>
                <w:kern w:val="0"/>
                <w:sz w:val="21"/>
                <w:szCs w:val="21"/>
              </w:rPr>
              <w:t>16</w:t>
            </w:r>
          </w:p>
        </w:tc>
        <w:tc>
          <w:tcPr>
            <w:tcW w:w="1059" w:type="dxa"/>
            <w:noWrap/>
            <w:vAlign w:val="center"/>
          </w:tcPr>
          <w:p w14:paraId="7E8DDCF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2000</w:t>
            </w:r>
          </w:p>
        </w:tc>
        <w:tc>
          <w:tcPr>
            <w:tcW w:w="1241" w:type="dxa"/>
            <w:gridSpan w:val="2"/>
            <w:tcBorders>
              <w:top w:val="single" w:sz="4" w:space="0" w:color="auto"/>
              <w:left w:val="nil"/>
              <w:bottom w:val="single" w:sz="4" w:space="0" w:color="auto"/>
              <w:right w:val="single" w:sz="4" w:space="0" w:color="auto"/>
            </w:tcBorders>
            <w:noWrap/>
            <w:vAlign w:val="center"/>
          </w:tcPr>
          <w:p w14:paraId="2361F021" w14:textId="77777777" w:rsidR="00A67F21" w:rsidRPr="00B12FE0" w:rsidRDefault="00000000">
            <w:pPr>
              <w:widowControl/>
              <w:jc w:val="center"/>
              <w:textAlignment w:val="center"/>
              <w:rPr>
                <w:snapToGrid w:val="0"/>
                <w:color w:val="000000" w:themeColor="text1"/>
                <w:sz w:val="18"/>
                <w:szCs w:val="18"/>
              </w:rPr>
            </w:pPr>
            <w:r w:rsidRPr="00B12FE0">
              <w:rPr>
                <w:rFonts w:eastAsia="等线"/>
                <w:color w:val="000000" w:themeColor="text1"/>
                <w:sz w:val="18"/>
                <w:szCs w:val="18"/>
              </w:rPr>
              <w:t>2.12E-02</w:t>
            </w:r>
          </w:p>
        </w:tc>
      </w:tr>
      <w:tr w:rsidR="00A67F21" w:rsidRPr="00B12FE0" w14:paraId="781E498A" w14:textId="77777777">
        <w:trPr>
          <w:trHeight w:val="282"/>
          <w:jc w:val="center"/>
        </w:trPr>
        <w:tc>
          <w:tcPr>
            <w:tcW w:w="1855" w:type="dxa"/>
            <w:noWrap/>
            <w:vAlign w:val="center"/>
          </w:tcPr>
          <w:p w14:paraId="38F21BA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color w:val="000000" w:themeColor="text1"/>
                <w:kern w:val="0"/>
                <w:sz w:val="21"/>
                <w:szCs w:val="21"/>
                <w:lang w:bidi="ar"/>
              </w:rPr>
              <w:t>后勤中心楼</w:t>
            </w:r>
          </w:p>
        </w:tc>
        <w:tc>
          <w:tcPr>
            <w:tcW w:w="959" w:type="dxa"/>
            <w:vMerge/>
            <w:noWrap/>
            <w:vAlign w:val="center"/>
          </w:tcPr>
          <w:p w14:paraId="3B1C78EA" w14:textId="77777777" w:rsidR="00A67F21" w:rsidRPr="00B12FE0" w:rsidRDefault="00A67F21">
            <w:pPr>
              <w:jc w:val="center"/>
              <w:rPr>
                <w:snapToGrid w:val="0"/>
                <w:color w:val="000000" w:themeColor="text1"/>
                <w:sz w:val="21"/>
                <w:szCs w:val="21"/>
              </w:rPr>
            </w:pPr>
          </w:p>
        </w:tc>
        <w:tc>
          <w:tcPr>
            <w:tcW w:w="1682" w:type="dxa"/>
            <w:gridSpan w:val="2"/>
            <w:noWrap/>
            <w:vAlign w:val="center"/>
          </w:tcPr>
          <w:p w14:paraId="4E57844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1.70</w:t>
            </w:r>
            <w:r w:rsidRPr="00B12FE0">
              <w:rPr>
                <w:snapToGrid w:val="0"/>
                <w:color w:val="000000" w:themeColor="text1"/>
                <w:kern w:val="0"/>
                <w:sz w:val="21"/>
                <w:szCs w:val="21"/>
                <w:lang w:bidi="ar"/>
              </w:rPr>
              <w:t>E-01</w:t>
            </w:r>
          </w:p>
          <w:p w14:paraId="0E7A2E0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2-50</w:t>
            </w:r>
            <w:r w:rsidRPr="00B12FE0">
              <w:rPr>
                <w:rFonts w:hint="eastAsia"/>
                <w:snapToGrid w:val="0"/>
                <w:color w:val="000000" w:themeColor="text1"/>
                <w:kern w:val="0"/>
                <w:sz w:val="21"/>
                <w:szCs w:val="21"/>
                <w:lang w:bidi="ar"/>
              </w:rPr>
              <w:t>）</w:t>
            </w:r>
          </w:p>
        </w:tc>
        <w:tc>
          <w:tcPr>
            <w:tcW w:w="808" w:type="dxa"/>
            <w:gridSpan w:val="2"/>
            <w:noWrap/>
            <w:vAlign w:val="center"/>
          </w:tcPr>
          <w:p w14:paraId="00455A2E"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40</w:t>
            </w:r>
          </w:p>
        </w:tc>
        <w:tc>
          <w:tcPr>
            <w:tcW w:w="1196" w:type="dxa"/>
            <w:noWrap/>
            <w:vAlign w:val="center"/>
          </w:tcPr>
          <w:p w14:paraId="7FA145B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color w:val="000000" w:themeColor="text1"/>
                <w:kern w:val="0"/>
                <w:sz w:val="21"/>
                <w:szCs w:val="21"/>
              </w:rPr>
              <w:t>1</w:t>
            </w:r>
          </w:p>
        </w:tc>
        <w:tc>
          <w:tcPr>
            <w:tcW w:w="1059" w:type="dxa"/>
            <w:noWrap/>
            <w:vAlign w:val="center"/>
          </w:tcPr>
          <w:p w14:paraId="68FB6CD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2000</w:t>
            </w:r>
          </w:p>
        </w:tc>
        <w:tc>
          <w:tcPr>
            <w:tcW w:w="1241" w:type="dxa"/>
            <w:gridSpan w:val="2"/>
            <w:tcBorders>
              <w:top w:val="single" w:sz="4" w:space="0" w:color="auto"/>
              <w:left w:val="nil"/>
              <w:bottom w:val="single" w:sz="4" w:space="0" w:color="auto"/>
              <w:right w:val="single" w:sz="4" w:space="0" w:color="auto"/>
            </w:tcBorders>
            <w:noWrap/>
            <w:vAlign w:val="center"/>
          </w:tcPr>
          <w:p w14:paraId="108C7983" w14:textId="77777777" w:rsidR="00A67F21" w:rsidRPr="00B12FE0" w:rsidRDefault="00000000">
            <w:pPr>
              <w:widowControl/>
              <w:jc w:val="center"/>
              <w:textAlignment w:val="center"/>
              <w:rPr>
                <w:snapToGrid w:val="0"/>
                <w:color w:val="000000" w:themeColor="text1"/>
                <w:kern w:val="0"/>
                <w:sz w:val="18"/>
                <w:szCs w:val="18"/>
                <w:lang w:bidi="ar"/>
              </w:rPr>
            </w:pPr>
            <w:r w:rsidRPr="00B12FE0">
              <w:rPr>
                <w:rFonts w:eastAsia="等线"/>
                <w:color w:val="000000" w:themeColor="text1"/>
                <w:sz w:val="18"/>
                <w:szCs w:val="18"/>
              </w:rPr>
              <w:t>2.12E-04</w:t>
            </w:r>
          </w:p>
        </w:tc>
      </w:tr>
      <w:tr w:rsidR="00A67F21" w:rsidRPr="00B12FE0" w14:paraId="2723E8B9" w14:textId="77777777">
        <w:trPr>
          <w:trHeight w:val="282"/>
          <w:jc w:val="center"/>
        </w:trPr>
        <w:tc>
          <w:tcPr>
            <w:tcW w:w="1855" w:type="dxa"/>
            <w:noWrap/>
            <w:vAlign w:val="center"/>
          </w:tcPr>
          <w:p w14:paraId="3CF820C1"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kern w:val="0"/>
                <w:sz w:val="21"/>
                <w:szCs w:val="21"/>
                <w:lang w:bidi="ar"/>
              </w:rPr>
              <w:t>院内道路</w:t>
            </w:r>
            <w:r w:rsidRPr="00B12FE0">
              <w:rPr>
                <w:rFonts w:hint="eastAsia"/>
                <w:color w:val="000000" w:themeColor="text1"/>
                <w:kern w:val="0"/>
                <w:sz w:val="21"/>
                <w:szCs w:val="21"/>
                <w:lang w:bidi="ar"/>
              </w:rPr>
              <w:t>及绿化</w:t>
            </w:r>
          </w:p>
        </w:tc>
        <w:tc>
          <w:tcPr>
            <w:tcW w:w="959" w:type="dxa"/>
            <w:vMerge/>
            <w:noWrap/>
            <w:vAlign w:val="center"/>
          </w:tcPr>
          <w:p w14:paraId="160D5C11" w14:textId="77777777" w:rsidR="00A67F21" w:rsidRPr="00B12FE0" w:rsidRDefault="00A67F21">
            <w:pPr>
              <w:jc w:val="center"/>
              <w:rPr>
                <w:snapToGrid w:val="0"/>
                <w:color w:val="000000" w:themeColor="text1"/>
                <w:sz w:val="21"/>
                <w:szCs w:val="21"/>
              </w:rPr>
            </w:pPr>
          </w:p>
        </w:tc>
        <w:tc>
          <w:tcPr>
            <w:tcW w:w="1682" w:type="dxa"/>
            <w:gridSpan w:val="2"/>
            <w:noWrap/>
            <w:vAlign w:val="center"/>
          </w:tcPr>
          <w:p w14:paraId="1991A463"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1.7</w:t>
            </w:r>
            <w:r w:rsidRPr="00B12FE0">
              <w:rPr>
                <w:color w:val="000000" w:themeColor="text1"/>
                <w:sz w:val="21"/>
                <w:szCs w:val="21"/>
              </w:rPr>
              <w:t>3E-0</w:t>
            </w:r>
            <w:r w:rsidRPr="00B12FE0">
              <w:rPr>
                <w:rFonts w:hint="eastAsia"/>
                <w:color w:val="000000" w:themeColor="text1"/>
                <w:sz w:val="21"/>
                <w:szCs w:val="21"/>
              </w:rPr>
              <w:t>1</w:t>
            </w:r>
          </w:p>
          <w:p w14:paraId="035C23E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2-52</w:t>
            </w:r>
            <w:r w:rsidRPr="00B12FE0">
              <w:rPr>
                <w:rFonts w:hint="eastAsia"/>
                <w:snapToGrid w:val="0"/>
                <w:color w:val="000000" w:themeColor="text1"/>
                <w:kern w:val="0"/>
                <w:sz w:val="21"/>
                <w:szCs w:val="21"/>
                <w:lang w:bidi="ar"/>
              </w:rPr>
              <w:t>）</w:t>
            </w:r>
          </w:p>
        </w:tc>
        <w:tc>
          <w:tcPr>
            <w:tcW w:w="808" w:type="dxa"/>
            <w:gridSpan w:val="2"/>
            <w:noWrap/>
            <w:vAlign w:val="center"/>
          </w:tcPr>
          <w:p w14:paraId="00D97E9B"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11.5</w:t>
            </w:r>
          </w:p>
        </w:tc>
        <w:tc>
          <w:tcPr>
            <w:tcW w:w="1196" w:type="dxa"/>
            <w:noWrap/>
            <w:vAlign w:val="center"/>
          </w:tcPr>
          <w:p w14:paraId="32DAAA32"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kern w:val="0"/>
                <w:sz w:val="21"/>
                <w:szCs w:val="21"/>
              </w:rPr>
              <w:t>1/</w:t>
            </w:r>
            <w:r w:rsidRPr="00B12FE0">
              <w:rPr>
                <w:rFonts w:hint="eastAsia"/>
                <w:color w:val="000000" w:themeColor="text1"/>
                <w:kern w:val="0"/>
                <w:sz w:val="21"/>
                <w:szCs w:val="21"/>
              </w:rPr>
              <w:t>16</w:t>
            </w:r>
          </w:p>
        </w:tc>
        <w:tc>
          <w:tcPr>
            <w:tcW w:w="1059" w:type="dxa"/>
            <w:noWrap/>
            <w:vAlign w:val="center"/>
          </w:tcPr>
          <w:p w14:paraId="09C00840"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2000</w:t>
            </w:r>
          </w:p>
        </w:tc>
        <w:tc>
          <w:tcPr>
            <w:tcW w:w="1241" w:type="dxa"/>
            <w:gridSpan w:val="2"/>
            <w:tcBorders>
              <w:top w:val="single" w:sz="4" w:space="0" w:color="auto"/>
              <w:left w:val="nil"/>
              <w:bottom w:val="single" w:sz="4" w:space="0" w:color="auto"/>
              <w:right w:val="single" w:sz="4" w:space="0" w:color="auto"/>
            </w:tcBorders>
            <w:noWrap/>
            <w:vAlign w:val="center"/>
          </w:tcPr>
          <w:p w14:paraId="27093430" w14:textId="77777777" w:rsidR="00A67F21" w:rsidRPr="00B12FE0" w:rsidRDefault="00000000">
            <w:pPr>
              <w:widowControl/>
              <w:jc w:val="center"/>
              <w:textAlignment w:val="center"/>
              <w:rPr>
                <w:snapToGrid w:val="0"/>
                <w:color w:val="000000" w:themeColor="text1"/>
                <w:kern w:val="0"/>
                <w:sz w:val="18"/>
                <w:szCs w:val="18"/>
                <w:lang w:bidi="ar"/>
              </w:rPr>
            </w:pPr>
            <w:r w:rsidRPr="00B12FE0">
              <w:rPr>
                <w:rFonts w:eastAsia="等线"/>
                <w:color w:val="000000" w:themeColor="text1"/>
                <w:sz w:val="18"/>
                <w:szCs w:val="18"/>
              </w:rPr>
              <w:t>1.63E-04</w:t>
            </w:r>
          </w:p>
        </w:tc>
      </w:tr>
      <w:tr w:rsidR="00A67F21" w:rsidRPr="00B12FE0" w14:paraId="52E86067" w14:textId="77777777">
        <w:trPr>
          <w:trHeight w:val="282"/>
          <w:jc w:val="center"/>
        </w:trPr>
        <w:tc>
          <w:tcPr>
            <w:tcW w:w="1855" w:type="dxa"/>
            <w:noWrap/>
            <w:vAlign w:val="center"/>
          </w:tcPr>
          <w:p w14:paraId="27A3C3C8"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color w:val="000000" w:themeColor="text1"/>
                <w:kern w:val="0"/>
                <w:sz w:val="21"/>
                <w:szCs w:val="21"/>
                <w:lang w:bidi="ar"/>
              </w:rPr>
              <w:t>医院规划道路及预留医疗用地</w:t>
            </w:r>
          </w:p>
        </w:tc>
        <w:tc>
          <w:tcPr>
            <w:tcW w:w="959" w:type="dxa"/>
            <w:vMerge/>
            <w:noWrap/>
            <w:vAlign w:val="center"/>
          </w:tcPr>
          <w:p w14:paraId="509AA530" w14:textId="77777777" w:rsidR="00A67F21" w:rsidRPr="00B12FE0" w:rsidRDefault="00A67F21">
            <w:pPr>
              <w:jc w:val="center"/>
              <w:rPr>
                <w:snapToGrid w:val="0"/>
                <w:color w:val="000000" w:themeColor="text1"/>
                <w:sz w:val="21"/>
                <w:szCs w:val="21"/>
              </w:rPr>
            </w:pPr>
          </w:p>
        </w:tc>
        <w:tc>
          <w:tcPr>
            <w:tcW w:w="1682" w:type="dxa"/>
            <w:gridSpan w:val="2"/>
            <w:noWrap/>
            <w:vAlign w:val="center"/>
          </w:tcPr>
          <w:p w14:paraId="57BFF63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1.73</w:t>
            </w:r>
            <w:r w:rsidRPr="00B12FE0">
              <w:rPr>
                <w:snapToGrid w:val="0"/>
                <w:color w:val="000000" w:themeColor="text1"/>
                <w:kern w:val="0"/>
                <w:sz w:val="21"/>
                <w:szCs w:val="21"/>
                <w:lang w:bidi="ar"/>
              </w:rPr>
              <w:t>E-01</w:t>
            </w:r>
          </w:p>
          <w:p w14:paraId="7A569BE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2-52</w:t>
            </w:r>
            <w:r w:rsidRPr="00B12FE0">
              <w:rPr>
                <w:rFonts w:hint="eastAsia"/>
                <w:snapToGrid w:val="0"/>
                <w:color w:val="000000" w:themeColor="text1"/>
                <w:kern w:val="0"/>
                <w:sz w:val="21"/>
                <w:szCs w:val="21"/>
                <w:lang w:bidi="ar"/>
              </w:rPr>
              <w:t>）</w:t>
            </w:r>
          </w:p>
        </w:tc>
        <w:tc>
          <w:tcPr>
            <w:tcW w:w="808" w:type="dxa"/>
            <w:gridSpan w:val="2"/>
            <w:noWrap/>
            <w:vAlign w:val="center"/>
          </w:tcPr>
          <w:p w14:paraId="67A82F5B"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36.5</w:t>
            </w:r>
          </w:p>
        </w:tc>
        <w:tc>
          <w:tcPr>
            <w:tcW w:w="1196" w:type="dxa"/>
            <w:noWrap/>
            <w:vAlign w:val="center"/>
          </w:tcPr>
          <w:p w14:paraId="3A2D9DAF"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kern w:val="0"/>
                <w:sz w:val="21"/>
                <w:szCs w:val="21"/>
              </w:rPr>
              <w:t>1/40</w:t>
            </w:r>
          </w:p>
        </w:tc>
        <w:tc>
          <w:tcPr>
            <w:tcW w:w="1059" w:type="dxa"/>
            <w:noWrap/>
            <w:vAlign w:val="center"/>
          </w:tcPr>
          <w:p w14:paraId="0307246F"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2000</w:t>
            </w:r>
          </w:p>
        </w:tc>
        <w:tc>
          <w:tcPr>
            <w:tcW w:w="1241" w:type="dxa"/>
            <w:gridSpan w:val="2"/>
            <w:tcBorders>
              <w:top w:val="single" w:sz="4" w:space="0" w:color="auto"/>
              <w:left w:val="nil"/>
              <w:bottom w:val="single" w:sz="4" w:space="0" w:color="auto"/>
              <w:right w:val="single" w:sz="4" w:space="0" w:color="auto"/>
            </w:tcBorders>
            <w:noWrap/>
            <w:vAlign w:val="center"/>
          </w:tcPr>
          <w:p w14:paraId="440D7258" w14:textId="77777777" w:rsidR="00A67F21" w:rsidRPr="00B12FE0" w:rsidRDefault="00000000">
            <w:pPr>
              <w:widowControl/>
              <w:jc w:val="center"/>
              <w:textAlignment w:val="center"/>
              <w:rPr>
                <w:snapToGrid w:val="0"/>
                <w:color w:val="000000" w:themeColor="text1"/>
                <w:kern w:val="0"/>
                <w:sz w:val="18"/>
                <w:szCs w:val="18"/>
                <w:lang w:bidi="ar"/>
              </w:rPr>
            </w:pPr>
            <w:r w:rsidRPr="00B12FE0">
              <w:rPr>
                <w:rFonts w:eastAsia="等线"/>
                <w:color w:val="000000" w:themeColor="text1"/>
                <w:sz w:val="18"/>
                <w:szCs w:val="18"/>
              </w:rPr>
              <w:t>1.62E-05</w:t>
            </w:r>
          </w:p>
        </w:tc>
      </w:tr>
    </w:tbl>
    <w:p w14:paraId="37C7365F" w14:textId="77777777" w:rsidR="00A67F21" w:rsidRPr="00B12FE0" w:rsidRDefault="00000000">
      <w:pPr>
        <w:tabs>
          <w:tab w:val="left" w:pos="0"/>
        </w:tabs>
        <w:topLinePunct/>
        <w:adjustRightInd w:val="0"/>
        <w:snapToGrid w:val="0"/>
        <w:spacing w:line="360" w:lineRule="auto"/>
        <w:ind w:firstLineChars="200" w:firstLine="480"/>
        <w:rPr>
          <w:snapToGrid w:val="0"/>
          <w:color w:val="000000" w:themeColor="text1"/>
          <w:spacing w:val="-2"/>
          <w:szCs w:val="24"/>
        </w:rPr>
      </w:pPr>
      <w:r w:rsidRPr="00B12FE0">
        <w:rPr>
          <w:snapToGrid w:val="0"/>
          <w:color w:val="000000" w:themeColor="text1"/>
          <w:kern w:val="0"/>
          <w:szCs w:val="24"/>
        </w:rPr>
        <w:t>综上，公众年有效剂量最大为</w:t>
      </w:r>
      <w:r w:rsidRPr="00B12FE0">
        <w:rPr>
          <w:rFonts w:hint="eastAsia"/>
          <w:snapToGrid w:val="0"/>
          <w:color w:val="000000" w:themeColor="text1"/>
          <w:szCs w:val="24"/>
        </w:rPr>
        <w:t>6.19</w:t>
      </w:r>
      <w:r w:rsidRPr="00B12FE0">
        <w:rPr>
          <w:snapToGrid w:val="0"/>
          <w:color w:val="000000" w:themeColor="text1"/>
          <w:szCs w:val="24"/>
        </w:rPr>
        <w:t>E-02</w:t>
      </w:r>
      <w:r w:rsidRPr="00B12FE0">
        <w:rPr>
          <w:snapToGrid w:val="0"/>
          <w:color w:val="000000" w:themeColor="text1"/>
          <w:kern w:val="0"/>
          <w:szCs w:val="24"/>
        </w:rPr>
        <w:t>mSv</w:t>
      </w:r>
      <w:r w:rsidRPr="00B12FE0">
        <w:rPr>
          <w:snapToGrid w:val="0"/>
          <w:color w:val="000000" w:themeColor="text1"/>
          <w:kern w:val="0"/>
          <w:szCs w:val="24"/>
        </w:rPr>
        <w:t>，</w:t>
      </w:r>
      <w:r w:rsidRPr="00B12FE0">
        <w:rPr>
          <w:snapToGrid w:val="0"/>
          <w:color w:val="000000" w:themeColor="text1"/>
          <w:spacing w:val="-2"/>
          <w:szCs w:val="24"/>
        </w:rPr>
        <w:t>满足本项目公众成员年有效年剂量约束值不超过</w:t>
      </w:r>
      <w:r w:rsidRPr="00B12FE0">
        <w:rPr>
          <w:snapToGrid w:val="0"/>
          <w:color w:val="000000" w:themeColor="text1"/>
          <w:spacing w:val="-2"/>
          <w:szCs w:val="24"/>
        </w:rPr>
        <w:t>0.1mSv</w:t>
      </w:r>
      <w:r w:rsidRPr="00B12FE0">
        <w:rPr>
          <w:snapToGrid w:val="0"/>
          <w:color w:val="000000" w:themeColor="text1"/>
          <w:spacing w:val="-2"/>
          <w:szCs w:val="24"/>
        </w:rPr>
        <w:t>的要求。</w:t>
      </w:r>
    </w:p>
    <w:p w14:paraId="707DA404" w14:textId="77777777" w:rsidR="00A67F21" w:rsidRPr="00B12FE0" w:rsidRDefault="00000000">
      <w:pPr>
        <w:kinsoku w:val="0"/>
        <w:overflowPunct w:val="0"/>
        <w:autoSpaceDE w:val="0"/>
        <w:autoSpaceDN w:val="0"/>
        <w:adjustRightInd w:val="0"/>
        <w:snapToGrid w:val="0"/>
        <w:spacing w:line="360" w:lineRule="auto"/>
        <w:outlineLvl w:val="3"/>
        <w:rPr>
          <w:b/>
          <w:bCs/>
          <w:snapToGrid w:val="0"/>
          <w:color w:val="000000" w:themeColor="text1"/>
          <w:szCs w:val="24"/>
        </w:rPr>
      </w:pPr>
      <w:r w:rsidRPr="00B12FE0">
        <w:rPr>
          <w:b/>
          <w:bCs/>
          <w:snapToGrid w:val="0"/>
          <w:color w:val="000000" w:themeColor="text1"/>
          <w:szCs w:val="24"/>
        </w:rPr>
        <w:t>11.2.1.3</w:t>
      </w:r>
      <w:r w:rsidRPr="00B12FE0">
        <w:rPr>
          <w:b/>
          <w:bCs/>
          <w:snapToGrid w:val="0"/>
          <w:color w:val="000000" w:themeColor="text1"/>
          <w:szCs w:val="24"/>
        </w:rPr>
        <w:t>核素治疗场所</w:t>
      </w:r>
    </w:p>
    <w:p w14:paraId="1F0A0E90" w14:textId="77777777" w:rsidR="00A67F21" w:rsidRPr="00B12FE0" w:rsidRDefault="00000000">
      <w:pPr>
        <w:keepNext/>
        <w:keepLines/>
        <w:widowControl/>
        <w:adjustRightInd w:val="0"/>
        <w:snapToGrid w:val="0"/>
        <w:spacing w:line="360" w:lineRule="auto"/>
        <w:ind w:firstLineChars="250" w:firstLine="602"/>
        <w:rPr>
          <w:b/>
          <w:bCs/>
          <w:snapToGrid w:val="0"/>
          <w:color w:val="000000" w:themeColor="text1"/>
          <w:szCs w:val="24"/>
        </w:rPr>
      </w:pPr>
      <w:r w:rsidRPr="00B12FE0">
        <w:rPr>
          <w:b/>
          <w:bCs/>
          <w:snapToGrid w:val="0"/>
          <w:color w:val="000000" w:themeColor="text1"/>
          <w:szCs w:val="24"/>
        </w:rPr>
        <w:t>一、核医学</w:t>
      </w:r>
      <w:proofErr w:type="gramStart"/>
      <w:r w:rsidRPr="00B12FE0">
        <w:rPr>
          <w:b/>
          <w:bCs/>
          <w:snapToGrid w:val="0"/>
          <w:color w:val="000000" w:themeColor="text1"/>
          <w:szCs w:val="24"/>
        </w:rPr>
        <w:t>科运行</w:t>
      </w:r>
      <w:proofErr w:type="gramEnd"/>
      <w:r w:rsidRPr="00B12FE0">
        <w:rPr>
          <w:b/>
          <w:bCs/>
          <w:snapToGrid w:val="0"/>
          <w:color w:val="000000" w:themeColor="text1"/>
          <w:szCs w:val="24"/>
        </w:rPr>
        <w:t>期</w:t>
      </w:r>
      <w:r w:rsidRPr="00B12FE0">
        <w:rPr>
          <w:b/>
          <w:bCs/>
          <w:snapToGrid w:val="0"/>
          <w:color w:val="000000" w:themeColor="text1"/>
          <w:szCs w:val="24"/>
        </w:rPr>
        <w:t>β</w:t>
      </w:r>
      <w:r w:rsidRPr="00B12FE0">
        <w:rPr>
          <w:b/>
          <w:bCs/>
          <w:snapToGrid w:val="0"/>
          <w:color w:val="000000" w:themeColor="text1"/>
          <w:szCs w:val="24"/>
        </w:rPr>
        <w:t>射线及表面污染辐射影响分析</w:t>
      </w:r>
    </w:p>
    <w:p w14:paraId="5FDD6D5F" w14:textId="77777777" w:rsidR="00A67F21" w:rsidRPr="00B12FE0" w:rsidRDefault="00000000">
      <w:pPr>
        <w:overflowPunct w:val="0"/>
        <w:autoSpaceDE w:val="0"/>
        <w:autoSpaceDN w:val="0"/>
        <w:adjustRightInd w:val="0"/>
        <w:snapToGrid w:val="0"/>
        <w:spacing w:beforeLines="50" w:before="120" w:line="360" w:lineRule="auto"/>
        <w:ind w:firstLineChars="200" w:firstLine="482"/>
        <w:rPr>
          <w:b/>
          <w:bCs/>
          <w:snapToGrid w:val="0"/>
          <w:color w:val="000000" w:themeColor="text1"/>
          <w:sz w:val="21"/>
          <w:szCs w:val="21"/>
        </w:rPr>
      </w:pPr>
      <w:r w:rsidRPr="00B12FE0">
        <w:rPr>
          <w:rFonts w:eastAsia="Times New Roman"/>
          <w:b/>
          <w:bCs/>
          <w:snapToGrid w:val="0"/>
          <w:color w:val="000000" w:themeColor="text1"/>
          <w:szCs w:val="24"/>
          <w:lang w:bidi="ar"/>
        </w:rPr>
        <w:t>1</w:t>
      </w:r>
      <w:r w:rsidRPr="00B12FE0">
        <w:rPr>
          <w:rFonts w:ascii="宋体" w:hAnsi="宋体" w:cs="宋体" w:hint="eastAsia"/>
          <w:b/>
          <w:bCs/>
          <w:snapToGrid w:val="0"/>
          <w:color w:val="000000" w:themeColor="text1"/>
          <w:szCs w:val="24"/>
          <w:lang w:bidi="ar"/>
        </w:rPr>
        <w:t>、</w:t>
      </w:r>
      <w:r w:rsidRPr="00B12FE0">
        <w:rPr>
          <w:b/>
          <w:bCs/>
          <w:snapToGrid w:val="0"/>
          <w:color w:val="000000" w:themeColor="text1"/>
          <w:szCs w:val="24"/>
          <w:lang w:bidi="ar"/>
        </w:rPr>
        <w:t>β</w:t>
      </w:r>
      <w:r w:rsidRPr="00B12FE0">
        <w:rPr>
          <w:b/>
          <w:bCs/>
          <w:snapToGrid w:val="0"/>
          <w:color w:val="000000" w:themeColor="text1"/>
          <w:szCs w:val="24"/>
          <w:lang w:bidi="ar"/>
        </w:rPr>
        <w:t>表面污染</w:t>
      </w:r>
    </w:p>
    <w:p w14:paraId="4CB9C528" w14:textId="77777777" w:rsidR="00A67F21" w:rsidRPr="00B12FE0" w:rsidRDefault="00000000">
      <w:pPr>
        <w:adjustRightInd w:val="0"/>
        <w:snapToGrid w:val="0"/>
        <w:spacing w:line="360" w:lineRule="auto"/>
        <w:ind w:firstLine="480"/>
        <w:rPr>
          <w:bCs/>
          <w:snapToGrid w:val="0"/>
          <w:color w:val="000000" w:themeColor="text1"/>
          <w:szCs w:val="24"/>
        </w:rPr>
      </w:pPr>
      <w:r w:rsidRPr="00B12FE0">
        <w:rPr>
          <w:bCs/>
          <w:snapToGrid w:val="0"/>
          <w:color w:val="000000" w:themeColor="text1"/>
          <w:szCs w:val="24"/>
          <w:lang w:bidi="ar"/>
        </w:rPr>
        <w:t>同</w:t>
      </w:r>
      <w:r w:rsidRPr="00B12FE0">
        <w:rPr>
          <w:bCs/>
          <w:snapToGrid w:val="0"/>
          <w:color w:val="000000" w:themeColor="text1"/>
          <w:szCs w:val="24"/>
          <w:lang w:bidi="ar"/>
        </w:rPr>
        <w:t>11.2.1.2</w:t>
      </w:r>
      <w:r w:rsidRPr="00B12FE0">
        <w:rPr>
          <w:bCs/>
          <w:snapToGrid w:val="0"/>
          <w:color w:val="000000" w:themeColor="text1"/>
          <w:szCs w:val="24"/>
          <w:lang w:bidi="ar"/>
        </w:rPr>
        <w:t>核素诊断场所</w:t>
      </w:r>
    </w:p>
    <w:p w14:paraId="0DCD5BBD" w14:textId="77777777" w:rsidR="00A67F21" w:rsidRPr="00B12FE0" w:rsidRDefault="00000000">
      <w:pPr>
        <w:keepNext/>
        <w:keepLines/>
        <w:widowControl/>
        <w:adjustRightInd w:val="0"/>
        <w:snapToGrid w:val="0"/>
        <w:spacing w:line="360" w:lineRule="auto"/>
        <w:ind w:firstLineChars="250" w:firstLine="602"/>
        <w:rPr>
          <w:b/>
          <w:bCs/>
          <w:snapToGrid w:val="0"/>
          <w:color w:val="000000" w:themeColor="text1"/>
          <w:szCs w:val="24"/>
        </w:rPr>
      </w:pPr>
      <w:r w:rsidRPr="00B12FE0">
        <w:rPr>
          <w:b/>
          <w:bCs/>
          <w:snapToGrid w:val="0"/>
          <w:color w:val="000000" w:themeColor="text1"/>
          <w:szCs w:val="24"/>
        </w:rPr>
        <w:t>二、核医学</w:t>
      </w:r>
      <w:proofErr w:type="gramStart"/>
      <w:r w:rsidRPr="00B12FE0">
        <w:rPr>
          <w:b/>
          <w:bCs/>
          <w:snapToGrid w:val="0"/>
          <w:color w:val="000000" w:themeColor="text1"/>
          <w:szCs w:val="24"/>
        </w:rPr>
        <w:t>科运行</w:t>
      </w:r>
      <w:proofErr w:type="gramEnd"/>
      <w:r w:rsidRPr="00B12FE0">
        <w:rPr>
          <w:b/>
          <w:bCs/>
          <w:snapToGrid w:val="0"/>
          <w:color w:val="000000" w:themeColor="text1"/>
          <w:szCs w:val="24"/>
        </w:rPr>
        <w:t>期</w:t>
      </w:r>
      <w:r w:rsidRPr="00B12FE0">
        <w:rPr>
          <w:b/>
          <w:bCs/>
          <w:snapToGrid w:val="0"/>
          <w:color w:val="000000" w:themeColor="text1"/>
          <w:szCs w:val="24"/>
        </w:rPr>
        <w:t>γ</w:t>
      </w:r>
      <w:r w:rsidRPr="00B12FE0">
        <w:rPr>
          <w:b/>
          <w:bCs/>
          <w:snapToGrid w:val="0"/>
          <w:color w:val="000000" w:themeColor="text1"/>
          <w:szCs w:val="24"/>
        </w:rPr>
        <w:t>射线辐射影响分析</w:t>
      </w:r>
    </w:p>
    <w:p w14:paraId="1A450AB9" w14:textId="77777777" w:rsidR="00A67F21" w:rsidRPr="00B12FE0" w:rsidRDefault="00000000">
      <w:pPr>
        <w:adjustRightInd w:val="0"/>
        <w:snapToGrid w:val="0"/>
        <w:spacing w:line="360" w:lineRule="auto"/>
        <w:ind w:firstLineChars="200" w:firstLine="482"/>
        <w:rPr>
          <w:b/>
          <w:snapToGrid w:val="0"/>
          <w:color w:val="000000" w:themeColor="text1"/>
          <w:szCs w:val="24"/>
        </w:rPr>
      </w:pPr>
      <w:r w:rsidRPr="00B12FE0">
        <w:rPr>
          <w:b/>
          <w:bCs/>
          <w:snapToGrid w:val="0"/>
          <w:color w:val="000000" w:themeColor="text1"/>
          <w:szCs w:val="24"/>
          <w:lang w:bidi="ar"/>
        </w:rPr>
        <w:t>1</w:t>
      </w:r>
      <w:r w:rsidRPr="00B12FE0">
        <w:rPr>
          <w:b/>
          <w:bCs/>
          <w:snapToGrid w:val="0"/>
          <w:color w:val="000000" w:themeColor="text1"/>
          <w:szCs w:val="24"/>
          <w:lang w:bidi="ar"/>
        </w:rPr>
        <w:t>、</w:t>
      </w:r>
      <w:r w:rsidRPr="00B12FE0">
        <w:rPr>
          <w:b/>
          <w:bCs/>
          <w:snapToGrid w:val="0"/>
          <w:color w:val="000000" w:themeColor="text1"/>
          <w:szCs w:val="28"/>
        </w:rPr>
        <w:t>核素治疗场所屏蔽体外关注点处剂量率计算公式</w:t>
      </w:r>
    </w:p>
    <w:p w14:paraId="65B9235C" w14:textId="77777777" w:rsidR="00A67F21" w:rsidRPr="00B12FE0" w:rsidRDefault="00000000">
      <w:pPr>
        <w:adjustRightInd w:val="0"/>
        <w:snapToGrid w:val="0"/>
        <w:spacing w:line="360" w:lineRule="auto"/>
        <w:ind w:firstLineChars="200" w:firstLine="480"/>
        <w:rPr>
          <w:b/>
          <w:bCs/>
          <w:snapToGrid w:val="0"/>
          <w:color w:val="000000" w:themeColor="text1"/>
          <w:sz w:val="21"/>
          <w:szCs w:val="21"/>
        </w:rPr>
      </w:pPr>
      <w:r w:rsidRPr="00B12FE0">
        <w:rPr>
          <w:snapToGrid w:val="0"/>
          <w:color w:val="000000" w:themeColor="text1"/>
          <w:szCs w:val="24"/>
        </w:rPr>
        <w:t>辐射工作人员在放射性药物</w:t>
      </w:r>
      <w:proofErr w:type="gramStart"/>
      <w:r w:rsidRPr="00B12FE0">
        <w:rPr>
          <w:snapToGrid w:val="0"/>
          <w:color w:val="000000" w:themeColor="text1"/>
          <w:szCs w:val="24"/>
        </w:rPr>
        <w:t>操作区</w:t>
      </w:r>
      <w:proofErr w:type="gramEnd"/>
      <w:r w:rsidRPr="00B12FE0">
        <w:rPr>
          <w:snapToGrid w:val="0"/>
          <w:color w:val="000000" w:themeColor="text1"/>
          <w:szCs w:val="24"/>
        </w:rPr>
        <w:t>进行相关放射性药物的操作，这个过程主要是放射性核素产生的</w:t>
      </w:r>
      <w:r w:rsidRPr="00B12FE0">
        <w:rPr>
          <w:snapToGrid w:val="0"/>
          <w:color w:val="000000" w:themeColor="text1"/>
          <w:szCs w:val="24"/>
        </w:rPr>
        <w:t>γ</w:t>
      </w:r>
      <w:r w:rsidRPr="00B12FE0">
        <w:rPr>
          <w:snapToGrid w:val="0"/>
          <w:color w:val="000000" w:themeColor="text1"/>
          <w:szCs w:val="24"/>
        </w:rPr>
        <w:t>射线引起的辐射照射。当病人服了放射性药物之后，病人又成为一个活动的辐射体，其所在的工作场所则要考虑来自病人身体的射线辐射。</w:t>
      </w:r>
    </w:p>
    <w:p w14:paraId="0A8E7D8E" w14:textId="77777777" w:rsidR="00A67F21" w:rsidRPr="00B12FE0" w:rsidRDefault="00000000">
      <w:pPr>
        <w:adjustRightInd w:val="0"/>
        <w:snapToGrid w:val="0"/>
        <w:spacing w:line="360" w:lineRule="auto"/>
        <w:ind w:firstLineChars="200" w:firstLine="480"/>
        <w:rPr>
          <w:b/>
          <w:snapToGrid w:val="0"/>
          <w:color w:val="000000" w:themeColor="text1"/>
          <w:sz w:val="21"/>
          <w:szCs w:val="21"/>
        </w:rPr>
      </w:pPr>
      <w:r w:rsidRPr="00B12FE0">
        <w:rPr>
          <w:snapToGrid w:val="0"/>
          <w:color w:val="000000" w:themeColor="text1"/>
          <w:szCs w:val="24"/>
          <w:lang w:bidi="ar"/>
        </w:rPr>
        <w:t>核素治疗场所屏蔽计算公式同式</w:t>
      </w:r>
      <w:r w:rsidRPr="00B12FE0">
        <w:rPr>
          <w:snapToGrid w:val="0"/>
          <w:color w:val="000000" w:themeColor="text1"/>
          <w:szCs w:val="24"/>
          <w:lang w:bidi="ar"/>
        </w:rPr>
        <w:t>11.2.1.1-2</w:t>
      </w:r>
      <w:r w:rsidRPr="00B12FE0">
        <w:rPr>
          <w:snapToGrid w:val="0"/>
          <w:color w:val="000000" w:themeColor="text1"/>
          <w:szCs w:val="24"/>
          <w:lang w:bidi="ar"/>
        </w:rPr>
        <w:t>。</w:t>
      </w:r>
    </w:p>
    <w:p w14:paraId="1773711A" w14:textId="77777777" w:rsidR="00A67F21" w:rsidRPr="00B12FE0" w:rsidRDefault="00000000">
      <w:pPr>
        <w:adjustRightInd w:val="0"/>
        <w:snapToGrid w:val="0"/>
        <w:spacing w:line="360" w:lineRule="auto"/>
        <w:ind w:leftChars="200" w:left="480"/>
        <w:rPr>
          <w:b/>
          <w:snapToGrid w:val="0"/>
          <w:color w:val="000000" w:themeColor="text1"/>
          <w:szCs w:val="24"/>
        </w:rPr>
      </w:pPr>
      <w:r w:rsidRPr="00B12FE0">
        <w:rPr>
          <w:b/>
          <w:snapToGrid w:val="0"/>
          <w:color w:val="000000" w:themeColor="text1"/>
          <w:szCs w:val="24"/>
        </w:rPr>
        <w:t>2</w:t>
      </w:r>
      <w:r w:rsidRPr="00B12FE0">
        <w:rPr>
          <w:b/>
          <w:snapToGrid w:val="0"/>
          <w:color w:val="000000" w:themeColor="text1"/>
          <w:szCs w:val="24"/>
        </w:rPr>
        <w:t>、</w:t>
      </w:r>
      <w:r w:rsidRPr="00B12FE0">
        <w:rPr>
          <w:b/>
          <w:snapToGrid w:val="0"/>
          <w:color w:val="000000" w:themeColor="text1"/>
          <w:szCs w:val="28"/>
        </w:rPr>
        <w:t>工作场所辐射水平分析及预测</w:t>
      </w:r>
    </w:p>
    <w:p w14:paraId="42C6B4FB" w14:textId="77777777" w:rsidR="00A67F21" w:rsidRPr="00B12FE0" w:rsidRDefault="00000000">
      <w:pPr>
        <w:adjustRightInd w:val="0"/>
        <w:snapToGrid w:val="0"/>
        <w:spacing w:line="360" w:lineRule="auto"/>
        <w:ind w:firstLineChars="200" w:firstLine="480"/>
        <w:rPr>
          <w:snapToGrid w:val="0"/>
          <w:color w:val="000000" w:themeColor="text1"/>
          <w:sz w:val="21"/>
          <w:szCs w:val="21"/>
        </w:rPr>
      </w:pPr>
      <w:r w:rsidRPr="00B12FE0">
        <w:rPr>
          <w:snapToGrid w:val="0"/>
          <w:color w:val="000000" w:themeColor="text1"/>
          <w:szCs w:val="24"/>
        </w:rPr>
        <w:t>根据平面布局及项目分区情况，选取核素治疗场所高活室、</w:t>
      </w:r>
      <w:proofErr w:type="gramStart"/>
      <w:r w:rsidRPr="00B12FE0">
        <w:rPr>
          <w:snapToGrid w:val="0"/>
          <w:color w:val="000000" w:themeColor="text1"/>
          <w:szCs w:val="24"/>
        </w:rPr>
        <w:t>甲癌病房</w:t>
      </w:r>
      <w:proofErr w:type="gramEnd"/>
      <w:r w:rsidRPr="00B12FE0">
        <w:rPr>
          <w:snapToGrid w:val="0"/>
          <w:color w:val="000000" w:themeColor="text1"/>
          <w:szCs w:val="24"/>
        </w:rPr>
        <w:t>及其配套区域等处为预测关注点。见</w:t>
      </w:r>
      <w:r w:rsidRPr="00B12FE0">
        <w:rPr>
          <w:rFonts w:hint="eastAsia"/>
          <w:snapToGrid w:val="0"/>
          <w:color w:val="000000" w:themeColor="text1"/>
          <w:szCs w:val="24"/>
        </w:rPr>
        <w:t>附图</w:t>
      </w:r>
      <w:r w:rsidRPr="00B12FE0">
        <w:rPr>
          <w:rFonts w:hint="eastAsia"/>
          <w:snapToGrid w:val="0"/>
          <w:color w:val="000000" w:themeColor="text1"/>
          <w:szCs w:val="24"/>
        </w:rPr>
        <w:t>11-3</w:t>
      </w:r>
      <w:r w:rsidRPr="00B12FE0">
        <w:rPr>
          <w:bCs/>
          <w:snapToGrid w:val="0"/>
          <w:color w:val="000000" w:themeColor="text1"/>
          <w:szCs w:val="24"/>
        </w:rPr>
        <w:t>。</w:t>
      </w:r>
    </w:p>
    <w:p w14:paraId="5C19E669"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1</w:t>
      </w:r>
      <w:r w:rsidRPr="00B12FE0">
        <w:rPr>
          <w:rFonts w:hint="eastAsia"/>
          <w:color w:val="000000" w:themeColor="text1"/>
        </w:rPr>
        <w:t>）储源室</w:t>
      </w:r>
    </w:p>
    <w:p w14:paraId="68A93331" w14:textId="77777777" w:rsidR="00A67F21" w:rsidRPr="00B12FE0" w:rsidRDefault="00000000">
      <w:pPr>
        <w:adjustRightInd w:val="0"/>
        <w:snapToGrid w:val="0"/>
        <w:spacing w:line="360" w:lineRule="auto"/>
        <w:ind w:firstLineChars="200" w:firstLine="480"/>
        <w:rPr>
          <w:bCs/>
          <w:color w:val="000000" w:themeColor="text1"/>
        </w:rPr>
      </w:pPr>
      <w:proofErr w:type="gramStart"/>
      <w:r w:rsidRPr="00B12FE0">
        <w:rPr>
          <w:rFonts w:hint="eastAsia"/>
          <w:bCs/>
          <w:color w:val="000000" w:themeColor="text1"/>
        </w:rPr>
        <w:lastRenderedPageBreak/>
        <w:t>甲癌治疗</w:t>
      </w:r>
      <w:proofErr w:type="gramEnd"/>
      <w:r w:rsidRPr="00B12FE0">
        <w:rPr>
          <w:bCs/>
          <w:color w:val="000000" w:themeColor="text1"/>
        </w:rPr>
        <w:t>所使用的</w:t>
      </w:r>
      <w:r w:rsidRPr="00B12FE0">
        <w:rPr>
          <w:bCs/>
          <w:color w:val="000000" w:themeColor="text1"/>
          <w:vertAlign w:val="superscript"/>
        </w:rPr>
        <w:t>131</w:t>
      </w:r>
      <w:r w:rsidRPr="00B12FE0">
        <w:rPr>
          <w:bCs/>
          <w:color w:val="000000" w:themeColor="text1"/>
        </w:rPr>
        <w:t>I</w:t>
      </w:r>
      <w:r w:rsidRPr="00B12FE0">
        <w:rPr>
          <w:bCs/>
          <w:color w:val="000000" w:themeColor="text1"/>
        </w:rPr>
        <w:t>核素为外购</w:t>
      </w:r>
      <w:r w:rsidRPr="00B12FE0">
        <w:rPr>
          <w:rFonts w:hint="eastAsia"/>
          <w:bCs/>
          <w:color w:val="000000" w:themeColor="text1"/>
        </w:rPr>
        <w:t>罐装</w:t>
      </w:r>
      <w:r w:rsidRPr="00B12FE0">
        <w:rPr>
          <w:bCs/>
          <w:color w:val="000000" w:themeColor="text1"/>
        </w:rPr>
        <w:t>药物。工作人员根据临床诊断所需药物的使用量、预约检查的人数，提前</w:t>
      </w:r>
      <w:proofErr w:type="gramStart"/>
      <w:r w:rsidRPr="00B12FE0">
        <w:rPr>
          <w:bCs/>
          <w:color w:val="000000" w:themeColor="text1"/>
        </w:rPr>
        <w:t>一天向供药单</w:t>
      </w:r>
      <w:proofErr w:type="gramEnd"/>
      <w:r w:rsidRPr="00B12FE0">
        <w:rPr>
          <w:bCs/>
          <w:color w:val="000000" w:themeColor="text1"/>
        </w:rPr>
        <w:t>位订购放射性药物，供药单位在约定的时间，将预约用量的药物以单支成品药物送至核医学科核素诊断治疗场所，核医学</w:t>
      </w:r>
      <w:proofErr w:type="gramStart"/>
      <w:r w:rsidRPr="00B12FE0">
        <w:rPr>
          <w:bCs/>
          <w:color w:val="000000" w:themeColor="text1"/>
        </w:rPr>
        <w:t>科安排</w:t>
      </w:r>
      <w:proofErr w:type="gramEnd"/>
      <w:r w:rsidRPr="00B12FE0">
        <w:rPr>
          <w:bCs/>
          <w:color w:val="000000" w:themeColor="text1"/>
        </w:rPr>
        <w:t>专人接收放射性核素，经确认无误完成相关交接手续后暂存在储源室</w:t>
      </w:r>
      <w:r w:rsidRPr="00B12FE0">
        <w:rPr>
          <w:rFonts w:hint="eastAsia"/>
          <w:bCs/>
          <w:color w:val="000000" w:themeColor="text1"/>
        </w:rPr>
        <w:t>。</w:t>
      </w:r>
    </w:p>
    <w:p w14:paraId="3E1DD1F7"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储源室四侧墙体</w:t>
      </w:r>
      <w:r w:rsidRPr="00B12FE0">
        <w:rPr>
          <w:color w:val="000000" w:themeColor="text1"/>
        </w:rPr>
        <w:t>为</w:t>
      </w:r>
      <w:r w:rsidRPr="00B12FE0">
        <w:rPr>
          <w:color w:val="000000" w:themeColor="text1"/>
        </w:rPr>
        <w:t>370mm</w:t>
      </w:r>
      <w:r w:rsidRPr="00B12FE0">
        <w:rPr>
          <w:color w:val="000000" w:themeColor="text1"/>
        </w:rPr>
        <w:t>实心砖</w:t>
      </w:r>
      <w:r w:rsidRPr="00B12FE0">
        <w:rPr>
          <w:rFonts w:hint="eastAsia"/>
          <w:color w:val="000000" w:themeColor="text1"/>
        </w:rPr>
        <w:t>，</w:t>
      </w:r>
      <w:r w:rsidRPr="00B12FE0">
        <w:rPr>
          <w:color w:val="000000" w:themeColor="text1"/>
        </w:rPr>
        <w:t>顶棚为</w:t>
      </w:r>
      <w:r w:rsidRPr="00B12FE0">
        <w:rPr>
          <w:rFonts w:hint="eastAsia"/>
          <w:color w:val="000000" w:themeColor="text1"/>
        </w:rPr>
        <w:t>250</w:t>
      </w:r>
      <w:r w:rsidRPr="00B12FE0">
        <w:rPr>
          <w:color w:val="000000" w:themeColor="text1"/>
        </w:rPr>
        <w:t>mm</w:t>
      </w:r>
      <w:r w:rsidRPr="00B12FE0">
        <w:rPr>
          <w:color w:val="000000" w:themeColor="text1"/>
        </w:rPr>
        <w:t>混凝土，</w:t>
      </w:r>
      <w:r w:rsidRPr="00B12FE0">
        <w:rPr>
          <w:rFonts w:hint="eastAsia"/>
          <w:color w:val="000000" w:themeColor="text1"/>
        </w:rPr>
        <w:t>地坪</w:t>
      </w:r>
      <w:r w:rsidRPr="00B12FE0">
        <w:rPr>
          <w:color w:val="000000" w:themeColor="text1"/>
        </w:rPr>
        <w:t>为</w:t>
      </w:r>
      <w:r w:rsidRPr="00B12FE0">
        <w:rPr>
          <w:rFonts w:hint="eastAsia"/>
          <w:color w:val="000000" w:themeColor="text1"/>
        </w:rPr>
        <w:t>250</w:t>
      </w:r>
      <w:r w:rsidRPr="00B12FE0">
        <w:rPr>
          <w:color w:val="000000" w:themeColor="text1"/>
        </w:rPr>
        <w:t>mm</w:t>
      </w:r>
      <w:r w:rsidRPr="00B12FE0">
        <w:rPr>
          <w:color w:val="000000" w:themeColor="text1"/>
        </w:rPr>
        <w:t>混凝土</w:t>
      </w:r>
      <w:r w:rsidRPr="00B12FE0">
        <w:rPr>
          <w:rFonts w:hint="eastAsia"/>
          <w:color w:val="000000" w:themeColor="text1"/>
        </w:rPr>
        <w:t>，</w:t>
      </w:r>
      <w:r w:rsidRPr="00B12FE0">
        <w:rPr>
          <w:color w:val="000000" w:themeColor="text1"/>
        </w:rPr>
        <w:t>防护门内衬</w:t>
      </w:r>
      <w:r w:rsidRPr="00B12FE0">
        <w:rPr>
          <w:color w:val="000000" w:themeColor="text1"/>
        </w:rPr>
        <w:t>4mm</w:t>
      </w:r>
      <w:r w:rsidRPr="00B12FE0">
        <w:rPr>
          <w:color w:val="000000" w:themeColor="text1"/>
        </w:rPr>
        <w:t>铅板，放射性药物</w:t>
      </w:r>
      <w:r w:rsidRPr="00B12FE0">
        <w:rPr>
          <w:rFonts w:hint="eastAsia"/>
          <w:color w:val="000000" w:themeColor="text1"/>
        </w:rPr>
        <w:t>存于储源铅罐内，</w:t>
      </w:r>
      <w:r w:rsidRPr="00B12FE0">
        <w:rPr>
          <w:color w:val="000000" w:themeColor="text1"/>
        </w:rPr>
        <w:t>在</w:t>
      </w:r>
      <w:r w:rsidRPr="00B12FE0">
        <w:rPr>
          <w:rFonts w:hint="eastAsia"/>
          <w:color w:val="000000" w:themeColor="text1"/>
        </w:rPr>
        <w:t>储源室</w:t>
      </w:r>
      <w:r w:rsidRPr="00B12FE0">
        <w:rPr>
          <w:color w:val="000000" w:themeColor="text1"/>
        </w:rPr>
        <w:t>期间对周围辐射环境影响很小。</w:t>
      </w:r>
    </w:p>
    <w:p w14:paraId="190CD18A" w14:textId="77777777" w:rsidR="00A67F21" w:rsidRPr="00B12FE0" w:rsidRDefault="00000000">
      <w:pPr>
        <w:topLinePunct/>
        <w:autoSpaceDE w:val="0"/>
        <w:spacing w:line="360" w:lineRule="auto"/>
        <w:ind w:firstLineChars="200" w:firstLine="480"/>
        <w:rPr>
          <w:color w:val="000000" w:themeColor="text1"/>
          <w:kern w:val="0"/>
        </w:rPr>
      </w:pPr>
      <w:r w:rsidRPr="00B12FE0">
        <w:rPr>
          <w:rFonts w:hint="eastAsia"/>
          <w:color w:val="000000" w:themeColor="text1"/>
        </w:rPr>
        <w:t>2</w:t>
      </w:r>
      <w:r w:rsidRPr="00B12FE0">
        <w:rPr>
          <w:rFonts w:hint="eastAsia"/>
          <w:color w:val="000000" w:themeColor="text1"/>
        </w:rPr>
        <w:t>）</w:t>
      </w:r>
      <w:proofErr w:type="gramStart"/>
      <w:r w:rsidRPr="00B12FE0">
        <w:rPr>
          <w:rFonts w:hint="eastAsia"/>
          <w:color w:val="000000" w:themeColor="text1"/>
          <w:kern w:val="0"/>
        </w:rPr>
        <w:t>放废间</w:t>
      </w:r>
      <w:proofErr w:type="gramEnd"/>
    </w:p>
    <w:p w14:paraId="1BCF68B0" w14:textId="77777777" w:rsidR="00A67F21" w:rsidRPr="00B12FE0" w:rsidRDefault="00000000">
      <w:pPr>
        <w:topLinePunct/>
        <w:autoSpaceDE w:val="0"/>
        <w:spacing w:line="360" w:lineRule="auto"/>
        <w:ind w:firstLineChars="200" w:firstLine="480"/>
        <w:rPr>
          <w:color w:val="000000" w:themeColor="text1"/>
        </w:rPr>
      </w:pPr>
      <w:r w:rsidRPr="00B12FE0">
        <w:rPr>
          <w:color w:val="000000" w:themeColor="text1"/>
          <w:kern w:val="0"/>
        </w:rPr>
        <w:t>核素应用过程中产生的固废表面核素活度按不超过使用量的</w:t>
      </w:r>
      <w:r w:rsidRPr="00B12FE0">
        <w:rPr>
          <w:color w:val="000000" w:themeColor="text1"/>
          <w:kern w:val="0"/>
        </w:rPr>
        <w:t>1%</w:t>
      </w:r>
      <w:r w:rsidRPr="00B12FE0">
        <w:rPr>
          <w:color w:val="000000" w:themeColor="text1"/>
          <w:kern w:val="0"/>
        </w:rPr>
        <w:t>计</w:t>
      </w:r>
      <w:r w:rsidRPr="00B12FE0">
        <w:rPr>
          <w:rFonts w:hint="eastAsia"/>
          <w:color w:val="000000" w:themeColor="text1"/>
          <w:kern w:val="0"/>
        </w:rPr>
        <w:t>。</w:t>
      </w:r>
      <w:proofErr w:type="gramStart"/>
      <w:r w:rsidRPr="00B12FE0">
        <w:rPr>
          <w:rFonts w:hint="eastAsia"/>
          <w:color w:val="000000" w:themeColor="text1"/>
          <w:kern w:val="0"/>
        </w:rPr>
        <w:t>废物间</w:t>
      </w:r>
      <w:r w:rsidRPr="00B12FE0">
        <w:rPr>
          <w:rFonts w:hint="eastAsia"/>
          <w:color w:val="000000" w:themeColor="text1"/>
        </w:rPr>
        <w:t>四侧墙</w:t>
      </w:r>
      <w:proofErr w:type="gramEnd"/>
      <w:r w:rsidRPr="00B12FE0">
        <w:rPr>
          <w:rFonts w:hint="eastAsia"/>
          <w:color w:val="000000" w:themeColor="text1"/>
        </w:rPr>
        <w:t>体</w:t>
      </w:r>
      <w:r w:rsidRPr="00B12FE0">
        <w:rPr>
          <w:color w:val="000000" w:themeColor="text1"/>
        </w:rPr>
        <w:t>为</w:t>
      </w:r>
      <w:r w:rsidRPr="00B12FE0">
        <w:rPr>
          <w:color w:val="000000" w:themeColor="text1"/>
        </w:rPr>
        <w:t>370mm</w:t>
      </w:r>
      <w:r w:rsidRPr="00B12FE0">
        <w:rPr>
          <w:color w:val="000000" w:themeColor="text1"/>
        </w:rPr>
        <w:t>实心砖</w:t>
      </w:r>
      <w:r w:rsidRPr="00B12FE0">
        <w:rPr>
          <w:rFonts w:hint="eastAsia"/>
          <w:color w:val="000000" w:themeColor="text1"/>
        </w:rPr>
        <w:t>，</w:t>
      </w:r>
      <w:r w:rsidRPr="00B12FE0">
        <w:rPr>
          <w:color w:val="000000" w:themeColor="text1"/>
        </w:rPr>
        <w:t>顶棚为</w:t>
      </w:r>
      <w:r w:rsidRPr="00B12FE0">
        <w:rPr>
          <w:rFonts w:hint="eastAsia"/>
          <w:color w:val="000000" w:themeColor="text1"/>
        </w:rPr>
        <w:t>250</w:t>
      </w:r>
      <w:r w:rsidRPr="00B12FE0">
        <w:rPr>
          <w:color w:val="000000" w:themeColor="text1"/>
        </w:rPr>
        <w:t>mm</w:t>
      </w:r>
      <w:r w:rsidRPr="00B12FE0">
        <w:rPr>
          <w:color w:val="000000" w:themeColor="text1"/>
        </w:rPr>
        <w:t>混凝土</w:t>
      </w:r>
      <w:r w:rsidRPr="00B12FE0">
        <w:rPr>
          <w:rFonts w:hint="eastAsia"/>
          <w:color w:val="000000" w:themeColor="text1"/>
        </w:rPr>
        <w:t>，地坪</w:t>
      </w:r>
      <w:r w:rsidRPr="00B12FE0">
        <w:rPr>
          <w:color w:val="000000" w:themeColor="text1"/>
        </w:rPr>
        <w:t>为</w:t>
      </w:r>
      <w:r w:rsidRPr="00B12FE0">
        <w:rPr>
          <w:rFonts w:hint="eastAsia"/>
          <w:color w:val="000000" w:themeColor="text1"/>
        </w:rPr>
        <w:t>250</w:t>
      </w:r>
      <w:r w:rsidRPr="00B12FE0">
        <w:rPr>
          <w:color w:val="000000" w:themeColor="text1"/>
        </w:rPr>
        <w:t>mm</w:t>
      </w:r>
      <w:r w:rsidRPr="00B12FE0">
        <w:rPr>
          <w:color w:val="000000" w:themeColor="text1"/>
        </w:rPr>
        <w:t>混凝土，防护门内衬</w:t>
      </w:r>
      <w:r w:rsidRPr="00B12FE0">
        <w:rPr>
          <w:color w:val="000000" w:themeColor="text1"/>
        </w:rPr>
        <w:t>4mm</w:t>
      </w:r>
      <w:r w:rsidRPr="00B12FE0">
        <w:rPr>
          <w:color w:val="000000" w:themeColor="text1"/>
        </w:rPr>
        <w:t>铅板，</w:t>
      </w:r>
      <w:r w:rsidRPr="00B12FE0">
        <w:rPr>
          <w:color w:val="000000" w:themeColor="text1"/>
          <w:kern w:val="0"/>
        </w:rPr>
        <w:t>放射性固废暂存于</w:t>
      </w:r>
      <w:r w:rsidRPr="00B12FE0">
        <w:rPr>
          <w:rFonts w:hint="eastAsia"/>
          <w:color w:val="000000" w:themeColor="text1"/>
          <w:kern w:val="0"/>
        </w:rPr>
        <w:t>废物间</w:t>
      </w:r>
      <w:r w:rsidRPr="00B12FE0">
        <w:rPr>
          <w:rFonts w:hint="eastAsia"/>
          <w:color w:val="000000" w:themeColor="text1"/>
        </w:rPr>
        <w:t>1</w:t>
      </w:r>
      <w:r w:rsidRPr="00B12FE0">
        <w:rPr>
          <w:color w:val="000000" w:themeColor="text1"/>
        </w:rPr>
        <w:t>0</w:t>
      </w:r>
      <w:r w:rsidRPr="00B12FE0">
        <w:rPr>
          <w:rFonts w:hint="eastAsia"/>
          <w:color w:val="000000" w:themeColor="text1"/>
        </w:rPr>
        <w:t>mm</w:t>
      </w:r>
      <w:r w:rsidRPr="00B12FE0">
        <w:rPr>
          <w:color w:val="000000" w:themeColor="text1"/>
        </w:rPr>
        <w:t>P</w:t>
      </w:r>
      <w:r w:rsidRPr="00B12FE0">
        <w:rPr>
          <w:rFonts w:hint="eastAsia"/>
          <w:color w:val="000000" w:themeColor="text1"/>
        </w:rPr>
        <w:t>b</w:t>
      </w:r>
      <w:r w:rsidRPr="00B12FE0">
        <w:rPr>
          <w:rFonts w:hint="eastAsia"/>
          <w:color w:val="000000" w:themeColor="text1"/>
        </w:rPr>
        <w:t>铅废物箱中</w:t>
      </w:r>
      <w:r w:rsidRPr="00B12FE0">
        <w:rPr>
          <w:color w:val="000000" w:themeColor="text1"/>
          <w:kern w:val="0"/>
        </w:rPr>
        <w:t>，</w:t>
      </w:r>
      <w:r w:rsidRPr="00B12FE0">
        <w:rPr>
          <w:color w:val="000000" w:themeColor="text1"/>
        </w:rPr>
        <w:t>在</w:t>
      </w:r>
      <w:r w:rsidRPr="00B12FE0">
        <w:rPr>
          <w:rFonts w:hint="eastAsia"/>
          <w:color w:val="000000" w:themeColor="text1"/>
          <w:kern w:val="0"/>
        </w:rPr>
        <w:t>废物间</w:t>
      </w:r>
      <w:r w:rsidRPr="00B12FE0">
        <w:rPr>
          <w:color w:val="000000" w:themeColor="text1"/>
        </w:rPr>
        <w:t>暂存衰变期间对周围辐射环境影响很小。</w:t>
      </w:r>
    </w:p>
    <w:p w14:paraId="7EEFDB56"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3</w:t>
      </w:r>
      <w:r w:rsidRPr="00B12FE0">
        <w:rPr>
          <w:color w:val="000000" w:themeColor="text1"/>
        </w:rPr>
        <w:t>）高活室</w:t>
      </w:r>
    </w:p>
    <w:p w14:paraId="52BE634F" w14:textId="77777777" w:rsidR="00A67F21" w:rsidRPr="00B12FE0" w:rsidRDefault="00000000">
      <w:pPr>
        <w:spacing w:line="360" w:lineRule="auto"/>
        <w:ind w:firstLineChars="200" w:firstLine="480"/>
        <w:rPr>
          <w:snapToGrid w:val="0"/>
          <w:color w:val="000000" w:themeColor="text1"/>
          <w:szCs w:val="24"/>
        </w:rPr>
      </w:pPr>
      <w:r w:rsidRPr="00B12FE0">
        <w:rPr>
          <w:snapToGrid w:val="0"/>
          <w:color w:val="000000" w:themeColor="text1"/>
          <w:szCs w:val="24"/>
          <w:lang w:bidi="ar"/>
        </w:rPr>
        <w:t>所用核素</w:t>
      </w:r>
      <w:r w:rsidRPr="00B12FE0">
        <w:rPr>
          <w:snapToGrid w:val="0"/>
          <w:color w:val="000000" w:themeColor="text1"/>
          <w:szCs w:val="24"/>
          <w:vertAlign w:val="superscript"/>
          <w:lang w:bidi="ar"/>
        </w:rPr>
        <w:t>131</w:t>
      </w:r>
      <w:r w:rsidRPr="00B12FE0">
        <w:rPr>
          <w:snapToGrid w:val="0"/>
          <w:color w:val="000000" w:themeColor="text1"/>
          <w:szCs w:val="24"/>
          <w:lang w:bidi="ar"/>
        </w:rPr>
        <w:t>I</w:t>
      </w:r>
      <w:r w:rsidRPr="00B12FE0">
        <w:rPr>
          <w:snapToGrid w:val="0"/>
          <w:color w:val="000000" w:themeColor="text1"/>
          <w:szCs w:val="24"/>
          <w:lang w:bidi="ar"/>
        </w:rPr>
        <w:t>给药前由医护人员将存有药物的</w:t>
      </w:r>
      <w:proofErr w:type="gramStart"/>
      <w:r w:rsidRPr="00B12FE0">
        <w:rPr>
          <w:snapToGrid w:val="0"/>
          <w:color w:val="000000" w:themeColor="text1"/>
          <w:szCs w:val="24"/>
          <w:lang w:bidi="ar"/>
        </w:rPr>
        <w:t>铅罐从</w:t>
      </w:r>
      <w:proofErr w:type="gramEnd"/>
      <w:r w:rsidRPr="00B12FE0">
        <w:rPr>
          <w:snapToGrid w:val="0"/>
          <w:color w:val="000000" w:themeColor="text1"/>
          <w:szCs w:val="24"/>
          <w:lang w:bidi="ar"/>
        </w:rPr>
        <w:t>储源室拿出，置于</w:t>
      </w:r>
      <w:proofErr w:type="gramStart"/>
      <w:r w:rsidRPr="00B12FE0">
        <w:rPr>
          <w:snapToGrid w:val="0"/>
          <w:color w:val="000000" w:themeColor="text1"/>
          <w:szCs w:val="24"/>
          <w:lang w:bidi="ar"/>
        </w:rPr>
        <w:t>高活室手套箱</w:t>
      </w:r>
      <w:proofErr w:type="gramEnd"/>
      <w:r w:rsidRPr="00B12FE0">
        <w:rPr>
          <w:snapToGrid w:val="0"/>
          <w:color w:val="000000" w:themeColor="text1"/>
          <w:szCs w:val="24"/>
          <w:lang w:bidi="ar"/>
        </w:rPr>
        <w:t>碘自动分装仪内。工作人员在护士站进行远程操作药物的自动分装。</w:t>
      </w:r>
      <w:proofErr w:type="gramStart"/>
      <w:r w:rsidRPr="00B12FE0">
        <w:rPr>
          <w:snapToGrid w:val="0"/>
          <w:color w:val="000000" w:themeColor="text1"/>
          <w:szCs w:val="24"/>
          <w:lang w:bidi="ar"/>
        </w:rPr>
        <w:t>甲癌患者在服碘窗口</w:t>
      </w:r>
      <w:proofErr w:type="gramEnd"/>
      <w:r w:rsidRPr="00B12FE0">
        <w:rPr>
          <w:snapToGrid w:val="0"/>
          <w:color w:val="000000" w:themeColor="text1"/>
          <w:szCs w:val="24"/>
          <w:lang w:bidi="ar"/>
        </w:rPr>
        <w:t>可直接拿取盛有分装好药液的一次性杯子，全过程医护人员进行严格监控。在药物分装和病人服药过程中，工作人员</w:t>
      </w:r>
      <w:proofErr w:type="gramStart"/>
      <w:r w:rsidRPr="00B12FE0">
        <w:rPr>
          <w:snapToGrid w:val="0"/>
          <w:color w:val="000000" w:themeColor="text1"/>
          <w:szCs w:val="24"/>
          <w:lang w:bidi="ar"/>
        </w:rPr>
        <w:t>不</w:t>
      </w:r>
      <w:proofErr w:type="gramEnd"/>
      <w:r w:rsidRPr="00B12FE0">
        <w:rPr>
          <w:snapToGrid w:val="0"/>
          <w:color w:val="000000" w:themeColor="text1"/>
          <w:szCs w:val="24"/>
          <w:lang w:bidi="ar"/>
        </w:rPr>
        <w:t>近距离接触药物。</w:t>
      </w:r>
    </w:p>
    <w:p w14:paraId="6CF4AB48"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4</w:t>
      </w:r>
      <w:r w:rsidRPr="00B12FE0">
        <w:rPr>
          <w:color w:val="000000" w:themeColor="text1"/>
        </w:rPr>
        <w:t>）</w:t>
      </w:r>
      <w:r w:rsidRPr="00B12FE0">
        <w:rPr>
          <w:rFonts w:hint="eastAsia"/>
          <w:color w:val="000000" w:themeColor="text1"/>
        </w:rPr>
        <w:t>服药间</w:t>
      </w:r>
    </w:p>
    <w:p w14:paraId="015BE458" w14:textId="77777777" w:rsidR="00A67F21" w:rsidRPr="00B12FE0" w:rsidRDefault="00000000">
      <w:pPr>
        <w:topLinePunct/>
        <w:autoSpaceDE w:val="0"/>
        <w:spacing w:line="360" w:lineRule="auto"/>
        <w:ind w:firstLineChars="200" w:firstLine="480"/>
        <w:rPr>
          <w:color w:val="000000" w:themeColor="text1"/>
        </w:rPr>
      </w:pPr>
      <w:r w:rsidRPr="00B12FE0">
        <w:rPr>
          <w:color w:val="000000" w:themeColor="text1"/>
        </w:rPr>
        <w:t>根据病人的需要</w:t>
      </w:r>
      <w:r w:rsidRPr="00B12FE0">
        <w:rPr>
          <w:rFonts w:hint="eastAsia"/>
          <w:color w:val="000000" w:themeColor="text1"/>
        </w:rPr>
        <w:t>，工作人员</w:t>
      </w:r>
      <w:r w:rsidRPr="00B12FE0">
        <w:rPr>
          <w:color w:val="000000" w:themeColor="text1"/>
        </w:rPr>
        <w:t>在</w:t>
      </w:r>
      <w:proofErr w:type="gramStart"/>
      <w:r w:rsidRPr="00B12FE0">
        <w:rPr>
          <w:rFonts w:hint="eastAsia"/>
          <w:color w:val="000000" w:themeColor="text1"/>
        </w:rPr>
        <w:t>高活室远程</w:t>
      </w:r>
      <w:proofErr w:type="gramEnd"/>
      <w:r w:rsidRPr="00B12FE0">
        <w:rPr>
          <w:color w:val="000000" w:themeColor="text1"/>
        </w:rPr>
        <w:t>操作自动分装仪，患者在</w:t>
      </w:r>
      <w:proofErr w:type="gramStart"/>
      <w:r w:rsidRPr="00B12FE0">
        <w:rPr>
          <w:rFonts w:hint="eastAsia"/>
          <w:color w:val="000000" w:themeColor="text1"/>
        </w:rPr>
        <w:t>服药间</w:t>
      </w:r>
      <w:proofErr w:type="gramEnd"/>
      <w:r w:rsidRPr="00B12FE0">
        <w:rPr>
          <w:color w:val="000000" w:themeColor="text1"/>
        </w:rPr>
        <w:t>直接拿取盛有分装好的药液的一次性杯子</w:t>
      </w:r>
      <w:r w:rsidRPr="00B12FE0">
        <w:rPr>
          <w:rFonts w:hint="eastAsia"/>
          <w:color w:val="000000" w:themeColor="text1"/>
        </w:rPr>
        <w:t>服药。</w:t>
      </w:r>
      <w:r w:rsidRPr="00B12FE0">
        <w:rPr>
          <w:color w:val="000000" w:themeColor="text1"/>
        </w:rPr>
        <w:t>服药后</w:t>
      </w:r>
      <w:r w:rsidRPr="00B12FE0">
        <w:rPr>
          <w:rFonts w:hint="eastAsia"/>
          <w:color w:val="000000" w:themeColor="text1"/>
        </w:rPr>
        <w:t>，</w:t>
      </w:r>
      <w:proofErr w:type="gramStart"/>
      <w:r w:rsidRPr="00B12FE0">
        <w:rPr>
          <w:rFonts w:hint="eastAsia"/>
          <w:color w:val="000000" w:themeColor="text1"/>
        </w:rPr>
        <w:t>甲癌患者</w:t>
      </w:r>
      <w:proofErr w:type="gramEnd"/>
      <w:r w:rsidRPr="00B12FE0">
        <w:rPr>
          <w:color w:val="000000" w:themeColor="text1"/>
        </w:rPr>
        <w:t>到病房住院观察，全过程进行严格监控。因此，在药物分装和患者服药过程中，工作人员</w:t>
      </w:r>
      <w:proofErr w:type="gramStart"/>
      <w:r w:rsidRPr="00B12FE0">
        <w:rPr>
          <w:color w:val="000000" w:themeColor="text1"/>
        </w:rPr>
        <w:t>不</w:t>
      </w:r>
      <w:proofErr w:type="gramEnd"/>
      <w:r w:rsidRPr="00B12FE0">
        <w:rPr>
          <w:color w:val="000000" w:themeColor="text1"/>
        </w:rPr>
        <w:t>近距离接触药物。</w:t>
      </w:r>
    </w:p>
    <w:p w14:paraId="3D53A8C2" w14:textId="77777777" w:rsidR="00A67F21" w:rsidRPr="00B12FE0" w:rsidRDefault="00000000">
      <w:pPr>
        <w:topLinePunct/>
        <w:autoSpaceDE w:val="0"/>
        <w:spacing w:line="360" w:lineRule="auto"/>
        <w:ind w:firstLineChars="200" w:firstLine="480"/>
        <w:rPr>
          <w:color w:val="000000" w:themeColor="text1"/>
        </w:rPr>
      </w:pPr>
      <w:r w:rsidRPr="00B12FE0">
        <w:rPr>
          <w:rFonts w:hint="eastAsia"/>
          <w:color w:val="000000" w:themeColor="text1"/>
        </w:rPr>
        <w:t>5</w:t>
      </w:r>
      <w:r w:rsidRPr="00B12FE0">
        <w:rPr>
          <w:color w:val="000000" w:themeColor="text1"/>
        </w:rPr>
        <w:t>）</w:t>
      </w:r>
      <w:r w:rsidRPr="00B12FE0">
        <w:rPr>
          <w:rFonts w:hint="eastAsia"/>
          <w:color w:val="000000" w:themeColor="text1"/>
        </w:rPr>
        <w:t>核素病房</w:t>
      </w:r>
    </w:p>
    <w:p w14:paraId="4D7DFB6F" w14:textId="77777777" w:rsidR="00A67F21" w:rsidRPr="00B12FE0" w:rsidRDefault="00000000">
      <w:pPr>
        <w:pStyle w:val="Default"/>
        <w:spacing w:line="360" w:lineRule="auto"/>
        <w:ind w:firstLineChars="200" w:firstLine="480"/>
        <w:jc w:val="both"/>
        <w:rPr>
          <w:rFonts w:ascii="Times New Roman" w:eastAsia="宋体" w:cs="Times New Roman"/>
          <w:bCs/>
          <w:color w:val="000000" w:themeColor="text1"/>
        </w:rPr>
      </w:pPr>
      <w:proofErr w:type="gramStart"/>
      <w:r w:rsidRPr="00B12FE0">
        <w:rPr>
          <w:rFonts w:ascii="Times New Roman" w:eastAsia="宋体" w:cs="Times New Roman"/>
          <w:color w:val="000000" w:themeColor="text1"/>
        </w:rPr>
        <w:t>甲癌患者</w:t>
      </w:r>
      <w:proofErr w:type="gramEnd"/>
      <w:r w:rsidRPr="00B12FE0">
        <w:rPr>
          <w:rFonts w:ascii="Times New Roman" w:eastAsia="宋体" w:cs="Times New Roman"/>
          <w:color w:val="000000" w:themeColor="text1"/>
        </w:rPr>
        <w:t>口服完放射性药物后，通过患者通道进入病房</w:t>
      </w:r>
      <w:r w:rsidRPr="00B12FE0">
        <w:rPr>
          <w:rFonts w:ascii="Times New Roman" w:eastAsia="宋体" w:cs="Times New Roman"/>
          <w:bCs/>
          <w:color w:val="000000" w:themeColor="text1"/>
        </w:rPr>
        <w:t>（</w:t>
      </w:r>
      <w:r w:rsidRPr="00B12FE0">
        <w:rPr>
          <w:rFonts w:ascii="Times New Roman" w:eastAsia="宋体" w:cs="Times New Roman"/>
          <w:bCs/>
          <w:color w:val="000000" w:themeColor="text1"/>
        </w:rPr>
        <w:t>1~8</w:t>
      </w:r>
      <w:r w:rsidRPr="00B12FE0">
        <w:rPr>
          <w:rFonts w:ascii="Times New Roman" w:eastAsia="宋体" w:cs="Times New Roman"/>
          <w:bCs/>
          <w:color w:val="000000" w:themeColor="text1"/>
        </w:rPr>
        <w:t>号病房）</w:t>
      </w:r>
      <w:r w:rsidRPr="00B12FE0">
        <w:rPr>
          <w:rFonts w:ascii="Times New Roman" w:eastAsia="宋体" w:cs="Times New Roman"/>
          <w:color w:val="000000" w:themeColor="text1"/>
        </w:rPr>
        <w:t>。</w:t>
      </w:r>
      <w:proofErr w:type="gramStart"/>
      <w:r w:rsidRPr="00B12FE0">
        <w:rPr>
          <w:rFonts w:ascii="Times New Roman" w:eastAsia="宋体" w:cs="Times New Roman"/>
          <w:color w:val="000000" w:themeColor="text1"/>
        </w:rPr>
        <w:t>甲癌治疗</w:t>
      </w:r>
      <w:proofErr w:type="gramEnd"/>
      <w:r w:rsidRPr="00B12FE0">
        <w:rPr>
          <w:rFonts w:ascii="Times New Roman" w:eastAsia="宋体" w:cs="Times New Roman"/>
          <w:color w:val="000000" w:themeColor="text1"/>
        </w:rPr>
        <w:t>患者每周一安排住院，</w:t>
      </w:r>
      <w:proofErr w:type="gramStart"/>
      <w:r w:rsidRPr="00B12FE0">
        <w:rPr>
          <w:rFonts w:ascii="Times New Roman" w:eastAsia="宋体" w:cs="Times New Roman"/>
          <w:color w:val="000000" w:themeColor="text1"/>
        </w:rPr>
        <w:t>甲癌患者</w:t>
      </w:r>
      <w:proofErr w:type="gramEnd"/>
      <w:r w:rsidRPr="00B12FE0">
        <w:rPr>
          <w:rFonts w:ascii="Times New Roman" w:eastAsia="宋体" w:cs="Times New Roman"/>
          <w:color w:val="000000" w:themeColor="text1"/>
        </w:rPr>
        <w:t>需要住院</w:t>
      </w:r>
      <w:r w:rsidRPr="00B12FE0">
        <w:rPr>
          <w:rFonts w:ascii="Times New Roman" w:eastAsia="宋体" w:cs="Times New Roman"/>
          <w:color w:val="000000" w:themeColor="text1"/>
        </w:rPr>
        <w:t>5</w:t>
      </w:r>
      <w:r w:rsidRPr="00B12FE0">
        <w:rPr>
          <w:rFonts w:ascii="Times New Roman" w:eastAsia="宋体" w:cs="Times New Roman"/>
          <w:color w:val="000000" w:themeColor="text1"/>
        </w:rPr>
        <w:t>天，</w:t>
      </w:r>
      <w:proofErr w:type="gramStart"/>
      <w:r w:rsidRPr="00B12FE0">
        <w:rPr>
          <w:rFonts w:ascii="Times New Roman" w:eastAsia="宋体" w:cs="Times New Roman"/>
          <w:snapToGrid w:val="0"/>
          <w:color w:val="000000" w:themeColor="text1"/>
        </w:rPr>
        <w:t>甲癌病房</w:t>
      </w:r>
      <w:proofErr w:type="gramEnd"/>
      <w:r w:rsidRPr="00B12FE0">
        <w:rPr>
          <w:rFonts w:ascii="Times New Roman" w:eastAsia="宋体" w:cs="Times New Roman"/>
          <w:snapToGrid w:val="0"/>
          <w:color w:val="000000" w:themeColor="text1"/>
        </w:rPr>
        <w:t>为单人间病房，采用单人最大剂量</w:t>
      </w:r>
      <w:r w:rsidRPr="00B12FE0">
        <w:rPr>
          <w:rFonts w:ascii="Times New Roman" w:eastAsia="宋体" w:cs="Times New Roman"/>
          <w:snapToGrid w:val="0"/>
          <w:color w:val="000000" w:themeColor="text1"/>
        </w:rPr>
        <w:t xml:space="preserve">200mCi </w:t>
      </w:r>
      <w:r w:rsidRPr="00B12FE0">
        <w:rPr>
          <w:rFonts w:ascii="Times New Roman" w:eastAsia="宋体" w:cs="Times New Roman"/>
          <w:snapToGrid w:val="0"/>
          <w:color w:val="000000" w:themeColor="text1"/>
        </w:rPr>
        <w:t>进行剂量估算，则甲癌病</w:t>
      </w:r>
      <w:proofErr w:type="gramStart"/>
      <w:r w:rsidRPr="00B12FE0">
        <w:rPr>
          <w:rFonts w:ascii="Times New Roman" w:eastAsia="宋体" w:cs="Times New Roman"/>
          <w:snapToGrid w:val="0"/>
          <w:color w:val="000000" w:themeColor="text1"/>
        </w:rPr>
        <w:t>房源强</w:t>
      </w:r>
      <w:proofErr w:type="gramEnd"/>
      <w:r w:rsidRPr="00B12FE0">
        <w:rPr>
          <w:rFonts w:ascii="Times New Roman" w:eastAsia="宋体" w:cs="Times New Roman"/>
          <w:snapToGrid w:val="0"/>
          <w:color w:val="000000" w:themeColor="text1"/>
        </w:rPr>
        <w:t>活度为：</w:t>
      </w:r>
      <w:r w:rsidRPr="00B12FE0">
        <w:rPr>
          <w:rFonts w:ascii="Times New Roman" w:eastAsia="宋体" w:cs="Times New Roman"/>
          <w:snapToGrid w:val="0"/>
          <w:color w:val="000000" w:themeColor="text1"/>
        </w:rPr>
        <w:t>7.40×10</w:t>
      </w:r>
      <w:r w:rsidRPr="00B12FE0">
        <w:rPr>
          <w:rFonts w:ascii="Times New Roman" w:eastAsia="宋体" w:cs="Times New Roman"/>
          <w:snapToGrid w:val="0"/>
          <w:color w:val="000000" w:themeColor="text1"/>
          <w:vertAlign w:val="superscript"/>
        </w:rPr>
        <w:t>9</w:t>
      </w:r>
      <w:r w:rsidRPr="00B12FE0">
        <w:rPr>
          <w:rFonts w:ascii="Times New Roman" w:eastAsia="宋体" w:cs="Times New Roman"/>
          <w:snapToGrid w:val="0"/>
          <w:color w:val="000000" w:themeColor="text1"/>
        </w:rPr>
        <w:t>Bq</w:t>
      </w:r>
      <w:r w:rsidRPr="00B12FE0">
        <w:rPr>
          <w:rFonts w:ascii="Times New Roman" w:eastAsia="宋体" w:cs="Times New Roman"/>
          <w:snapToGrid w:val="0"/>
          <w:color w:val="000000" w:themeColor="text1"/>
        </w:rPr>
        <w:t>。</w:t>
      </w:r>
      <w:proofErr w:type="gramStart"/>
      <w:r w:rsidRPr="00B12FE0">
        <w:rPr>
          <w:rFonts w:ascii="Times New Roman" w:eastAsia="宋体" w:cs="Times New Roman"/>
          <w:color w:val="000000" w:themeColor="text1"/>
        </w:rPr>
        <w:t>甲癌患者</w:t>
      </w:r>
      <w:proofErr w:type="gramEnd"/>
      <w:r w:rsidRPr="00B12FE0">
        <w:rPr>
          <w:rFonts w:ascii="Times New Roman" w:eastAsia="宋体" w:cs="Times New Roman"/>
          <w:color w:val="000000" w:themeColor="text1"/>
        </w:rPr>
        <w:t>出院前需在辐射剂量检查室进行出院剂量检查</w:t>
      </w:r>
      <w:r w:rsidRPr="00B12FE0">
        <w:rPr>
          <w:rFonts w:ascii="Times New Roman" w:eastAsia="宋体" w:cs="Times New Roman"/>
          <w:bCs/>
          <w:color w:val="000000" w:themeColor="text1"/>
        </w:rPr>
        <w:t>。</w:t>
      </w:r>
    </w:p>
    <w:p w14:paraId="7523B846"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szCs w:val="24"/>
        </w:rPr>
        <w:t>根据</w:t>
      </w:r>
      <w:r w:rsidRPr="00B12FE0">
        <w:rPr>
          <w:color w:val="000000" w:themeColor="text1"/>
          <w:szCs w:val="24"/>
          <w:lang w:val="pt-BR"/>
        </w:rPr>
        <w:t>式</w:t>
      </w:r>
      <w:r w:rsidRPr="00B12FE0">
        <w:rPr>
          <w:rFonts w:eastAsiaTheme="minorEastAsia"/>
          <w:color w:val="000000" w:themeColor="text1"/>
          <w:szCs w:val="24"/>
        </w:rPr>
        <w:t>11.2.1.1-2</w:t>
      </w:r>
      <w:r w:rsidRPr="00B12FE0">
        <w:rPr>
          <w:color w:val="000000" w:themeColor="text1"/>
          <w:szCs w:val="24"/>
        </w:rPr>
        <w:t>，拟建核医学科核素治疗场所辐射剂量率计算结果见表</w:t>
      </w:r>
      <w:r w:rsidRPr="00B12FE0">
        <w:rPr>
          <w:color w:val="000000" w:themeColor="text1"/>
          <w:szCs w:val="24"/>
        </w:rPr>
        <w:t>11.2.1.3-</w:t>
      </w:r>
      <w:r w:rsidRPr="00B12FE0">
        <w:rPr>
          <w:rFonts w:hint="eastAsia"/>
          <w:color w:val="000000" w:themeColor="text1"/>
          <w:szCs w:val="24"/>
        </w:rPr>
        <w:t>1</w:t>
      </w:r>
      <w:r w:rsidRPr="00B12FE0">
        <w:rPr>
          <w:color w:val="000000" w:themeColor="text1"/>
          <w:szCs w:val="24"/>
        </w:rPr>
        <w:t>，关注点位置见</w:t>
      </w:r>
      <w:r w:rsidRPr="00B12FE0">
        <w:rPr>
          <w:rFonts w:eastAsiaTheme="minorEastAsia"/>
          <w:color w:val="000000" w:themeColor="text1"/>
          <w:szCs w:val="24"/>
        </w:rPr>
        <w:t>图</w:t>
      </w:r>
      <w:r w:rsidRPr="00B12FE0">
        <w:rPr>
          <w:rFonts w:eastAsiaTheme="minorEastAsia" w:hint="eastAsia"/>
          <w:color w:val="000000" w:themeColor="text1"/>
          <w:szCs w:val="24"/>
        </w:rPr>
        <w:t>11-3</w:t>
      </w:r>
      <w:r w:rsidRPr="00B12FE0">
        <w:rPr>
          <w:color w:val="000000" w:themeColor="text1"/>
          <w:szCs w:val="24"/>
        </w:rPr>
        <w:t>。</w:t>
      </w:r>
    </w:p>
    <w:p w14:paraId="7661454B" w14:textId="77777777" w:rsidR="00A67F21" w:rsidRPr="00B12FE0" w:rsidRDefault="00000000">
      <w:pPr>
        <w:adjustRightInd w:val="0"/>
        <w:snapToGrid w:val="0"/>
        <w:spacing w:line="360" w:lineRule="auto"/>
        <w:jc w:val="center"/>
        <w:rPr>
          <w:b/>
          <w:color w:val="000000" w:themeColor="text1"/>
          <w:szCs w:val="21"/>
        </w:rPr>
      </w:pPr>
      <w:r w:rsidRPr="00B12FE0">
        <w:rPr>
          <w:b/>
          <w:color w:val="000000" w:themeColor="text1"/>
          <w:szCs w:val="21"/>
        </w:rPr>
        <w:t>表</w:t>
      </w:r>
      <w:r w:rsidRPr="00B12FE0">
        <w:rPr>
          <w:b/>
          <w:color w:val="000000" w:themeColor="text1"/>
          <w:szCs w:val="21"/>
        </w:rPr>
        <w:t>11.2.1.3-</w:t>
      </w:r>
      <w:r w:rsidRPr="00B12FE0">
        <w:rPr>
          <w:rFonts w:hint="eastAsia"/>
          <w:b/>
          <w:color w:val="000000" w:themeColor="text1"/>
          <w:szCs w:val="21"/>
        </w:rPr>
        <w:t>1</w:t>
      </w:r>
      <w:r w:rsidRPr="00B12FE0">
        <w:rPr>
          <w:b/>
          <w:color w:val="000000" w:themeColor="text1"/>
          <w:szCs w:val="21"/>
        </w:rPr>
        <w:t xml:space="preserve">  </w:t>
      </w:r>
      <w:r w:rsidRPr="00B12FE0">
        <w:rPr>
          <w:b/>
          <w:color w:val="000000" w:themeColor="text1"/>
          <w:szCs w:val="21"/>
        </w:rPr>
        <w:t>核医学科核素治疗场所辐射剂量率计算结果</w:t>
      </w:r>
    </w:p>
    <w:tbl>
      <w:tblPr>
        <w:tblW w:w="8801" w:type="dxa"/>
        <w:jc w:val="center"/>
        <w:tblLayout w:type="fixed"/>
        <w:tblLook w:val="04A0" w:firstRow="1" w:lastRow="0" w:firstColumn="1" w:lastColumn="0" w:noHBand="0" w:noVBand="1"/>
      </w:tblPr>
      <w:tblGrid>
        <w:gridCol w:w="744"/>
        <w:gridCol w:w="827"/>
        <w:gridCol w:w="1685"/>
        <w:gridCol w:w="642"/>
        <w:gridCol w:w="965"/>
        <w:gridCol w:w="2859"/>
        <w:gridCol w:w="1079"/>
      </w:tblGrid>
      <w:tr w:rsidR="00A67F21" w:rsidRPr="00B12FE0" w14:paraId="5D6FC68D" w14:textId="77777777">
        <w:trPr>
          <w:trHeight w:val="340"/>
          <w:jc w:val="center"/>
        </w:trPr>
        <w:tc>
          <w:tcPr>
            <w:tcW w:w="423" w:type="pct"/>
            <w:tcBorders>
              <w:top w:val="single" w:sz="4" w:space="0" w:color="000000"/>
              <w:left w:val="single" w:sz="4" w:space="0" w:color="000000"/>
              <w:bottom w:val="single" w:sz="4" w:space="0" w:color="000000"/>
              <w:right w:val="single" w:sz="4" w:space="0" w:color="000000"/>
            </w:tcBorders>
            <w:vAlign w:val="center"/>
          </w:tcPr>
          <w:p w14:paraId="0CAC55CB"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lastRenderedPageBreak/>
              <w:t>序号</w:t>
            </w:r>
          </w:p>
        </w:tc>
        <w:tc>
          <w:tcPr>
            <w:tcW w:w="1427" w:type="pct"/>
            <w:gridSpan w:val="2"/>
            <w:tcBorders>
              <w:top w:val="single" w:sz="4" w:space="0" w:color="000000"/>
              <w:left w:val="single" w:sz="4" w:space="0" w:color="000000"/>
              <w:bottom w:val="single" w:sz="4" w:space="0" w:color="000000"/>
              <w:right w:val="single" w:sz="4" w:space="0" w:color="000000"/>
            </w:tcBorders>
            <w:vAlign w:val="center"/>
          </w:tcPr>
          <w:p w14:paraId="4A6416DA"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位置</w:t>
            </w:r>
          </w:p>
        </w:tc>
        <w:tc>
          <w:tcPr>
            <w:tcW w:w="365" w:type="pct"/>
            <w:tcBorders>
              <w:top w:val="single" w:sz="4" w:space="0" w:color="000000"/>
              <w:left w:val="single" w:sz="4" w:space="0" w:color="000000"/>
              <w:bottom w:val="single" w:sz="4" w:space="0" w:color="000000"/>
              <w:right w:val="single" w:sz="4" w:space="0" w:color="000000"/>
            </w:tcBorders>
            <w:vAlign w:val="center"/>
          </w:tcPr>
          <w:p w14:paraId="7CCD7552"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距离（</w:t>
            </w:r>
            <w:r w:rsidRPr="00B12FE0">
              <w:rPr>
                <w:color w:val="000000" w:themeColor="text1"/>
                <w:kern w:val="0"/>
                <w:sz w:val="18"/>
                <w:szCs w:val="18"/>
                <w:lang w:bidi="ar"/>
              </w:rPr>
              <w:t>m</w:t>
            </w:r>
            <w:r w:rsidRPr="00B12FE0">
              <w:rPr>
                <w:color w:val="000000" w:themeColor="text1"/>
                <w:kern w:val="0"/>
                <w:sz w:val="18"/>
                <w:szCs w:val="18"/>
                <w:lang w:bidi="ar"/>
              </w:rPr>
              <w:t>）</w:t>
            </w:r>
          </w:p>
          <w:p w14:paraId="711AB99B" w14:textId="77777777" w:rsidR="00A67F21" w:rsidRPr="00B12FE0" w:rsidRDefault="00A67F21">
            <w:pPr>
              <w:pStyle w:val="21"/>
              <w:ind w:left="480" w:firstLine="480"/>
              <w:rPr>
                <w:color w:val="000000" w:themeColor="text1"/>
                <w:lang w:bidi="ar"/>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294F6207"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源强（</w:t>
            </w:r>
            <w:r w:rsidRPr="00B12FE0">
              <w:rPr>
                <w:color w:val="000000" w:themeColor="text1"/>
                <w:kern w:val="0"/>
                <w:sz w:val="18"/>
                <w:szCs w:val="18"/>
                <w:lang w:bidi="ar"/>
              </w:rPr>
              <w:t>Bq</w:t>
            </w:r>
            <w:r w:rsidRPr="00B12FE0">
              <w:rPr>
                <w:color w:val="000000" w:themeColor="text1"/>
                <w:kern w:val="0"/>
                <w:sz w:val="18"/>
                <w:szCs w:val="18"/>
                <w:lang w:bidi="ar"/>
              </w:rPr>
              <w:t>）</w:t>
            </w:r>
          </w:p>
        </w:tc>
        <w:tc>
          <w:tcPr>
            <w:tcW w:w="1624" w:type="pct"/>
            <w:tcBorders>
              <w:top w:val="single" w:sz="4" w:space="0" w:color="000000"/>
              <w:left w:val="single" w:sz="4" w:space="0" w:color="000000"/>
              <w:bottom w:val="single" w:sz="4" w:space="0" w:color="000000"/>
              <w:right w:val="single" w:sz="4" w:space="0" w:color="000000"/>
            </w:tcBorders>
            <w:vAlign w:val="center"/>
          </w:tcPr>
          <w:p w14:paraId="65705D9D"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屏蔽厚度</w:t>
            </w:r>
          </w:p>
        </w:tc>
        <w:tc>
          <w:tcPr>
            <w:tcW w:w="613" w:type="pct"/>
            <w:tcBorders>
              <w:top w:val="single" w:sz="4" w:space="0" w:color="000000"/>
              <w:left w:val="single" w:sz="4" w:space="0" w:color="000000"/>
              <w:bottom w:val="single" w:sz="4" w:space="0" w:color="auto"/>
              <w:right w:val="single" w:sz="4" w:space="0" w:color="000000"/>
            </w:tcBorders>
            <w:vAlign w:val="center"/>
          </w:tcPr>
          <w:p w14:paraId="22C43D4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辐射剂量率（</w:t>
            </w:r>
            <w:proofErr w:type="spellStart"/>
            <w:r w:rsidRPr="00B12FE0">
              <w:rPr>
                <w:color w:val="000000" w:themeColor="text1"/>
                <w:kern w:val="0"/>
                <w:sz w:val="18"/>
                <w:szCs w:val="18"/>
                <w:lang w:bidi="ar"/>
              </w:rPr>
              <w:t>μSv</w:t>
            </w:r>
            <w:proofErr w:type="spellEnd"/>
            <w:r w:rsidRPr="00B12FE0">
              <w:rPr>
                <w:color w:val="000000" w:themeColor="text1"/>
                <w:kern w:val="0"/>
                <w:sz w:val="18"/>
                <w:szCs w:val="18"/>
                <w:lang w:bidi="ar"/>
              </w:rPr>
              <w:t>/h</w:t>
            </w:r>
            <w:r w:rsidRPr="00B12FE0">
              <w:rPr>
                <w:color w:val="000000" w:themeColor="text1"/>
                <w:kern w:val="0"/>
                <w:sz w:val="18"/>
                <w:szCs w:val="18"/>
                <w:lang w:bidi="ar"/>
              </w:rPr>
              <w:t>）</w:t>
            </w:r>
          </w:p>
        </w:tc>
      </w:tr>
      <w:tr w:rsidR="00A67F21" w:rsidRPr="00B12FE0" w14:paraId="7CC3A654" w14:textId="77777777">
        <w:trPr>
          <w:trHeight w:val="340"/>
          <w:jc w:val="center"/>
        </w:trPr>
        <w:tc>
          <w:tcPr>
            <w:tcW w:w="423" w:type="pct"/>
            <w:tcBorders>
              <w:top w:val="single" w:sz="4" w:space="0" w:color="000000"/>
              <w:left w:val="single" w:sz="4" w:space="0" w:color="000000"/>
              <w:bottom w:val="single" w:sz="4" w:space="0" w:color="auto"/>
              <w:right w:val="single" w:sz="4" w:space="0" w:color="000000"/>
            </w:tcBorders>
            <w:noWrap/>
            <w:vAlign w:val="center"/>
          </w:tcPr>
          <w:p w14:paraId="2420EF6F"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3-1</w:t>
            </w:r>
          </w:p>
        </w:tc>
        <w:tc>
          <w:tcPr>
            <w:tcW w:w="470" w:type="pct"/>
            <w:vMerge w:val="restart"/>
            <w:tcBorders>
              <w:top w:val="single" w:sz="4" w:space="0" w:color="000000"/>
              <w:left w:val="single" w:sz="4" w:space="0" w:color="000000"/>
              <w:right w:val="single" w:sz="4" w:space="0" w:color="000000"/>
            </w:tcBorders>
            <w:noWrap/>
            <w:vAlign w:val="center"/>
          </w:tcPr>
          <w:p w14:paraId="1E8E317E"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储源室</w:t>
            </w: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500D8324"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上方</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316CEA2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3A5F8720"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w:t>
            </w:r>
            <w:r w:rsidRPr="00B12FE0">
              <w:rPr>
                <w:rFonts w:hint="eastAsia"/>
                <w:color w:val="000000" w:themeColor="text1"/>
                <w:kern w:val="0"/>
                <w:sz w:val="18"/>
                <w:szCs w:val="18"/>
                <w:lang w:bidi="ar"/>
              </w:rPr>
              <w:t>55</w:t>
            </w:r>
            <w:r w:rsidRPr="00B12FE0">
              <w:rPr>
                <w:color w:val="000000" w:themeColor="text1"/>
                <w:sz w:val="18"/>
                <w:szCs w:val="18"/>
              </w:rPr>
              <w:t>×10</w:t>
            </w:r>
            <w:r w:rsidRPr="00B12FE0">
              <w:rPr>
                <w:color w:val="000000" w:themeColor="text1"/>
                <w:sz w:val="18"/>
                <w:szCs w:val="18"/>
                <w:vertAlign w:val="superscript"/>
              </w:rPr>
              <w:t>10</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7DCFAFDC"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50mmPb</w:t>
            </w:r>
            <w:proofErr w:type="gramStart"/>
            <w:r w:rsidRPr="00B12FE0">
              <w:rPr>
                <w:color w:val="000000" w:themeColor="text1"/>
                <w:kern w:val="0"/>
                <w:sz w:val="18"/>
                <w:szCs w:val="18"/>
                <w:lang w:bidi="ar"/>
              </w:rPr>
              <w:t>铅罐</w:t>
            </w:r>
            <w:proofErr w:type="gramEnd"/>
            <w:r w:rsidRPr="00B12FE0">
              <w:rPr>
                <w:color w:val="000000" w:themeColor="text1"/>
                <w:kern w:val="0"/>
                <w:sz w:val="18"/>
                <w:szCs w:val="18"/>
                <w:lang w:bidi="ar"/>
              </w:rPr>
              <w:t>+</w:t>
            </w:r>
            <w:r w:rsidRPr="00B12FE0">
              <w:rPr>
                <w:rFonts w:hint="eastAsia"/>
                <w:color w:val="000000" w:themeColor="text1"/>
                <w:kern w:val="0"/>
                <w:sz w:val="18"/>
                <w:szCs w:val="18"/>
                <w:lang w:bidi="ar"/>
              </w:rPr>
              <w:t>25</w:t>
            </w:r>
            <w:r w:rsidRPr="00B12FE0">
              <w:rPr>
                <w:color w:val="000000" w:themeColor="text1"/>
                <w:kern w:val="0"/>
                <w:sz w:val="18"/>
                <w:szCs w:val="18"/>
                <w:lang w:bidi="ar"/>
              </w:rPr>
              <w:t>0mm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239A97F0"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8.84E-05</w:t>
            </w:r>
          </w:p>
        </w:tc>
      </w:tr>
      <w:tr w:rsidR="00A67F21" w:rsidRPr="00B12FE0" w14:paraId="2146566F" w14:textId="77777777">
        <w:trPr>
          <w:trHeight w:val="340"/>
          <w:jc w:val="center"/>
        </w:trPr>
        <w:tc>
          <w:tcPr>
            <w:tcW w:w="423" w:type="pct"/>
            <w:tcBorders>
              <w:top w:val="single" w:sz="4" w:space="0" w:color="auto"/>
              <w:left w:val="single" w:sz="4" w:space="0" w:color="000000"/>
              <w:bottom w:val="single" w:sz="4" w:space="0" w:color="000000"/>
              <w:right w:val="single" w:sz="4" w:space="0" w:color="000000"/>
            </w:tcBorders>
            <w:noWrap/>
            <w:vAlign w:val="center"/>
          </w:tcPr>
          <w:p w14:paraId="78D0E40A" w14:textId="77777777" w:rsidR="00A67F21" w:rsidRPr="00B12FE0" w:rsidRDefault="00000000">
            <w:pPr>
              <w:jc w:val="center"/>
              <w:rPr>
                <w:color w:val="000000" w:themeColor="text1"/>
                <w:sz w:val="18"/>
                <w:szCs w:val="18"/>
              </w:rPr>
            </w:pPr>
            <w:r w:rsidRPr="00B12FE0">
              <w:rPr>
                <w:color w:val="000000" w:themeColor="text1"/>
                <w:kern w:val="0"/>
                <w:sz w:val="18"/>
                <w:szCs w:val="18"/>
                <w:lang w:bidi="ar"/>
              </w:rPr>
              <w:t>3-2</w:t>
            </w:r>
          </w:p>
        </w:tc>
        <w:tc>
          <w:tcPr>
            <w:tcW w:w="470" w:type="pct"/>
            <w:vMerge/>
            <w:tcBorders>
              <w:left w:val="single" w:sz="4" w:space="0" w:color="000000"/>
              <w:right w:val="single" w:sz="4" w:space="0" w:color="000000"/>
            </w:tcBorders>
            <w:noWrap/>
            <w:vAlign w:val="center"/>
          </w:tcPr>
          <w:p w14:paraId="00C959D5"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47880025"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下方距地</w:t>
            </w:r>
            <w:r w:rsidRPr="00B12FE0">
              <w:rPr>
                <w:color w:val="000000" w:themeColor="text1"/>
                <w:kern w:val="0"/>
                <w:sz w:val="18"/>
                <w:szCs w:val="18"/>
                <w:lang w:bidi="ar"/>
              </w:rPr>
              <w:t>170cm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477A550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3B1C945B"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w:t>
            </w:r>
            <w:r w:rsidRPr="00B12FE0">
              <w:rPr>
                <w:rFonts w:hint="eastAsia"/>
                <w:color w:val="000000" w:themeColor="text1"/>
                <w:kern w:val="0"/>
                <w:sz w:val="18"/>
                <w:szCs w:val="18"/>
                <w:lang w:bidi="ar"/>
              </w:rPr>
              <w:t>5</w:t>
            </w:r>
            <w:r w:rsidRPr="00B12FE0">
              <w:rPr>
                <w:color w:val="000000" w:themeColor="text1"/>
                <w:sz w:val="18"/>
                <w:szCs w:val="18"/>
              </w:rPr>
              <w:t>×10</w:t>
            </w:r>
            <w:r w:rsidRPr="00B12FE0">
              <w:rPr>
                <w:color w:val="000000" w:themeColor="text1"/>
                <w:sz w:val="18"/>
                <w:szCs w:val="18"/>
                <w:vertAlign w:val="superscript"/>
              </w:rPr>
              <w:t>10</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5274445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50mmPb</w:t>
            </w:r>
            <w:proofErr w:type="gramStart"/>
            <w:r w:rsidRPr="00B12FE0">
              <w:rPr>
                <w:color w:val="000000" w:themeColor="text1"/>
                <w:kern w:val="0"/>
                <w:sz w:val="18"/>
                <w:szCs w:val="18"/>
                <w:lang w:bidi="ar"/>
              </w:rPr>
              <w:t>铅罐</w:t>
            </w:r>
            <w:proofErr w:type="gramEnd"/>
            <w:r w:rsidRPr="00B12FE0">
              <w:rPr>
                <w:color w:val="000000" w:themeColor="text1"/>
                <w:kern w:val="0"/>
                <w:sz w:val="18"/>
                <w:szCs w:val="18"/>
                <w:lang w:bidi="ar"/>
              </w:rPr>
              <w:t>+250mm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516EC347"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2.60E-04</w:t>
            </w:r>
          </w:p>
        </w:tc>
      </w:tr>
      <w:tr w:rsidR="00A67F21" w:rsidRPr="00B12FE0" w14:paraId="05B63975" w14:textId="77777777">
        <w:trPr>
          <w:trHeight w:val="340"/>
          <w:jc w:val="center"/>
        </w:trPr>
        <w:tc>
          <w:tcPr>
            <w:tcW w:w="423" w:type="pct"/>
            <w:vMerge w:val="restart"/>
            <w:tcBorders>
              <w:top w:val="single" w:sz="4" w:space="0" w:color="000000"/>
              <w:left w:val="single" w:sz="4" w:space="0" w:color="000000"/>
              <w:bottom w:val="single" w:sz="4" w:space="0" w:color="000000"/>
              <w:right w:val="single" w:sz="4" w:space="0" w:color="000000"/>
            </w:tcBorders>
            <w:noWrap/>
            <w:vAlign w:val="center"/>
          </w:tcPr>
          <w:p w14:paraId="226E996C"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3-3</w:t>
            </w:r>
          </w:p>
        </w:tc>
        <w:tc>
          <w:tcPr>
            <w:tcW w:w="470" w:type="pct"/>
            <w:vMerge/>
            <w:tcBorders>
              <w:left w:val="single" w:sz="4" w:space="0" w:color="000000"/>
              <w:right w:val="single" w:sz="4" w:space="0" w:color="000000"/>
            </w:tcBorders>
            <w:noWrap/>
            <w:vAlign w:val="center"/>
          </w:tcPr>
          <w:p w14:paraId="08008773"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1758F7A2"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北墙外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4B20C5D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1.4</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43518CBC"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w:t>
            </w:r>
            <w:r w:rsidRPr="00B12FE0">
              <w:rPr>
                <w:rFonts w:hint="eastAsia"/>
                <w:color w:val="000000" w:themeColor="text1"/>
                <w:kern w:val="0"/>
                <w:sz w:val="18"/>
                <w:szCs w:val="18"/>
                <w:lang w:bidi="ar"/>
              </w:rPr>
              <w:t>55</w:t>
            </w:r>
            <w:r w:rsidRPr="00B12FE0">
              <w:rPr>
                <w:color w:val="000000" w:themeColor="text1"/>
                <w:sz w:val="18"/>
                <w:szCs w:val="18"/>
              </w:rPr>
              <w:t>×10</w:t>
            </w:r>
            <w:r w:rsidRPr="00B12FE0">
              <w:rPr>
                <w:color w:val="000000" w:themeColor="text1"/>
                <w:sz w:val="18"/>
                <w:szCs w:val="18"/>
                <w:vertAlign w:val="superscript"/>
              </w:rPr>
              <w:t>10</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2A90EFC6"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50mmPb</w:t>
            </w:r>
            <w:proofErr w:type="gramStart"/>
            <w:r w:rsidRPr="00B12FE0">
              <w:rPr>
                <w:color w:val="000000" w:themeColor="text1"/>
                <w:kern w:val="0"/>
                <w:sz w:val="18"/>
                <w:szCs w:val="18"/>
                <w:lang w:bidi="ar"/>
              </w:rPr>
              <w:t>铅罐</w:t>
            </w:r>
            <w:proofErr w:type="gramEnd"/>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auto"/>
              <w:left w:val="single" w:sz="4" w:space="0" w:color="auto"/>
              <w:bottom w:val="single" w:sz="4" w:space="0" w:color="auto"/>
              <w:right w:val="single" w:sz="4" w:space="0" w:color="auto"/>
            </w:tcBorders>
            <w:noWrap/>
            <w:vAlign w:val="center"/>
          </w:tcPr>
          <w:p w14:paraId="154B52DA"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8.82E-04</w:t>
            </w:r>
          </w:p>
        </w:tc>
      </w:tr>
      <w:tr w:rsidR="00A67F21" w:rsidRPr="00B12FE0" w14:paraId="5D8D5F17" w14:textId="77777777">
        <w:trPr>
          <w:trHeight w:val="340"/>
          <w:jc w:val="center"/>
        </w:trPr>
        <w:tc>
          <w:tcPr>
            <w:tcW w:w="423" w:type="pct"/>
            <w:vMerge/>
            <w:tcBorders>
              <w:top w:val="single" w:sz="4" w:space="0" w:color="000000"/>
              <w:left w:val="single" w:sz="4" w:space="0" w:color="000000"/>
              <w:bottom w:val="single" w:sz="4" w:space="0" w:color="000000"/>
              <w:right w:val="single" w:sz="4" w:space="0" w:color="000000"/>
            </w:tcBorders>
            <w:noWrap/>
            <w:vAlign w:val="center"/>
          </w:tcPr>
          <w:p w14:paraId="3AC70330" w14:textId="77777777" w:rsidR="00A67F21" w:rsidRPr="00B12FE0" w:rsidRDefault="00A67F21">
            <w:pPr>
              <w:jc w:val="center"/>
              <w:rPr>
                <w:color w:val="000000" w:themeColor="text1"/>
                <w:sz w:val="18"/>
                <w:szCs w:val="18"/>
              </w:rPr>
            </w:pPr>
          </w:p>
        </w:tc>
        <w:tc>
          <w:tcPr>
            <w:tcW w:w="470" w:type="pct"/>
            <w:vMerge/>
            <w:tcBorders>
              <w:left w:val="single" w:sz="4" w:space="0" w:color="000000"/>
              <w:bottom w:val="single" w:sz="4" w:space="0" w:color="000000"/>
              <w:right w:val="single" w:sz="4" w:space="0" w:color="000000"/>
            </w:tcBorders>
            <w:noWrap/>
            <w:vAlign w:val="center"/>
          </w:tcPr>
          <w:p w14:paraId="7FD21F6D"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3B0C946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防护门外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6CA529C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1.6</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17407749"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w:t>
            </w:r>
            <w:r w:rsidRPr="00B12FE0">
              <w:rPr>
                <w:rFonts w:hint="eastAsia"/>
                <w:color w:val="000000" w:themeColor="text1"/>
                <w:kern w:val="0"/>
                <w:sz w:val="18"/>
                <w:szCs w:val="18"/>
                <w:lang w:bidi="ar"/>
              </w:rPr>
              <w:t>55</w:t>
            </w:r>
            <w:r w:rsidRPr="00B12FE0">
              <w:rPr>
                <w:color w:val="000000" w:themeColor="text1"/>
                <w:sz w:val="18"/>
                <w:szCs w:val="18"/>
              </w:rPr>
              <w:t>×10</w:t>
            </w:r>
            <w:r w:rsidRPr="00B12FE0">
              <w:rPr>
                <w:color w:val="000000" w:themeColor="text1"/>
                <w:sz w:val="18"/>
                <w:szCs w:val="18"/>
                <w:vertAlign w:val="superscript"/>
              </w:rPr>
              <w:t>10</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1F2CE3CB"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50mmPb</w:t>
            </w:r>
            <w:proofErr w:type="gramStart"/>
            <w:r w:rsidRPr="00B12FE0">
              <w:rPr>
                <w:color w:val="000000" w:themeColor="text1"/>
                <w:kern w:val="0"/>
                <w:sz w:val="18"/>
                <w:szCs w:val="18"/>
                <w:lang w:bidi="ar"/>
              </w:rPr>
              <w:t>铅罐</w:t>
            </w:r>
            <w:proofErr w:type="gramEnd"/>
            <w:r w:rsidRPr="00B12FE0">
              <w:rPr>
                <w:color w:val="000000" w:themeColor="text1"/>
                <w:kern w:val="0"/>
                <w:sz w:val="18"/>
                <w:szCs w:val="18"/>
                <w:lang w:bidi="ar"/>
              </w:rPr>
              <w:t>+</w:t>
            </w:r>
            <w:r w:rsidRPr="00B12FE0">
              <w:rPr>
                <w:rFonts w:hint="eastAsia"/>
                <w:color w:val="000000" w:themeColor="text1"/>
                <w:kern w:val="0"/>
                <w:sz w:val="18"/>
                <w:szCs w:val="18"/>
                <w:lang w:bidi="ar"/>
              </w:rPr>
              <w:t>4</w:t>
            </w:r>
            <w:r w:rsidRPr="00B12FE0">
              <w:rPr>
                <w:color w:val="000000" w:themeColor="text1"/>
                <w:kern w:val="0"/>
                <w:sz w:val="18"/>
                <w:szCs w:val="18"/>
                <w:lang w:bidi="ar"/>
              </w:rPr>
              <w:t>mmPb</w:t>
            </w:r>
            <w:proofErr w:type="gramStart"/>
            <w:r w:rsidRPr="00B12FE0">
              <w:rPr>
                <w:color w:val="000000" w:themeColor="text1"/>
                <w:kern w:val="0"/>
                <w:sz w:val="18"/>
                <w:szCs w:val="18"/>
                <w:lang w:bidi="ar"/>
              </w:rPr>
              <w:t>铅门</w:t>
            </w:r>
            <w:proofErr w:type="gramEnd"/>
          </w:p>
        </w:tc>
        <w:tc>
          <w:tcPr>
            <w:tcW w:w="613" w:type="pct"/>
            <w:tcBorders>
              <w:top w:val="single" w:sz="4" w:space="0" w:color="auto"/>
              <w:left w:val="single" w:sz="4" w:space="0" w:color="auto"/>
              <w:bottom w:val="single" w:sz="4" w:space="0" w:color="auto"/>
              <w:right w:val="single" w:sz="4" w:space="0" w:color="auto"/>
            </w:tcBorders>
            <w:noWrap/>
            <w:vAlign w:val="center"/>
          </w:tcPr>
          <w:p w14:paraId="182BA609"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1.02E-02</w:t>
            </w:r>
          </w:p>
        </w:tc>
      </w:tr>
      <w:tr w:rsidR="00A67F21" w:rsidRPr="00B12FE0" w14:paraId="3D003748" w14:textId="77777777">
        <w:trPr>
          <w:trHeight w:val="340"/>
          <w:jc w:val="center"/>
        </w:trPr>
        <w:tc>
          <w:tcPr>
            <w:tcW w:w="423" w:type="pct"/>
            <w:vMerge w:val="restart"/>
            <w:tcBorders>
              <w:top w:val="single" w:sz="4" w:space="0" w:color="000000"/>
              <w:left w:val="single" w:sz="4" w:space="0" w:color="000000"/>
              <w:right w:val="single" w:sz="4" w:space="0" w:color="000000"/>
            </w:tcBorders>
            <w:noWrap/>
            <w:vAlign w:val="center"/>
          </w:tcPr>
          <w:p w14:paraId="1385DB90"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3-4</w:t>
            </w:r>
          </w:p>
        </w:tc>
        <w:tc>
          <w:tcPr>
            <w:tcW w:w="470" w:type="pct"/>
            <w:vMerge w:val="restart"/>
            <w:tcBorders>
              <w:left w:val="single" w:sz="4" w:space="0" w:color="000000"/>
              <w:right w:val="single" w:sz="4" w:space="0" w:color="000000"/>
            </w:tcBorders>
            <w:noWrap/>
            <w:vAlign w:val="center"/>
          </w:tcPr>
          <w:p w14:paraId="1144CD80" w14:textId="77777777" w:rsidR="00A67F21" w:rsidRPr="00B12FE0" w:rsidRDefault="00000000">
            <w:pPr>
              <w:jc w:val="center"/>
              <w:rPr>
                <w:color w:val="000000" w:themeColor="text1"/>
                <w:sz w:val="18"/>
                <w:szCs w:val="18"/>
              </w:rPr>
            </w:pPr>
            <w:proofErr w:type="gramStart"/>
            <w:r w:rsidRPr="00B12FE0">
              <w:rPr>
                <w:color w:val="000000" w:themeColor="text1"/>
                <w:kern w:val="0"/>
                <w:sz w:val="18"/>
                <w:szCs w:val="18"/>
                <w:lang w:bidi="ar"/>
              </w:rPr>
              <w:t>高活室</w:t>
            </w:r>
            <w:proofErr w:type="gramEnd"/>
          </w:p>
        </w:tc>
        <w:tc>
          <w:tcPr>
            <w:tcW w:w="957" w:type="pct"/>
            <w:tcBorders>
              <w:top w:val="single" w:sz="4" w:space="0" w:color="000000"/>
              <w:left w:val="single" w:sz="4" w:space="0" w:color="000000"/>
              <w:bottom w:val="single" w:sz="4" w:space="0" w:color="000000"/>
              <w:right w:val="single" w:sz="4" w:space="0" w:color="000000"/>
            </w:tcBorders>
            <w:noWrap/>
            <w:vAlign w:val="center"/>
          </w:tcPr>
          <w:p w14:paraId="178C6518"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远程操作位</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000F090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1.5</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5BDA6467"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w:t>
            </w:r>
            <w:r w:rsidRPr="00B12FE0">
              <w:rPr>
                <w:rFonts w:hint="eastAsia"/>
                <w:color w:val="000000" w:themeColor="text1"/>
                <w:kern w:val="0"/>
                <w:sz w:val="18"/>
                <w:szCs w:val="18"/>
                <w:lang w:bidi="ar"/>
              </w:rPr>
              <w:t>55</w:t>
            </w:r>
            <w:r w:rsidRPr="00B12FE0">
              <w:rPr>
                <w:color w:val="000000" w:themeColor="text1"/>
                <w:sz w:val="18"/>
                <w:szCs w:val="18"/>
              </w:rPr>
              <w:t>×10</w:t>
            </w:r>
            <w:r w:rsidRPr="00B12FE0">
              <w:rPr>
                <w:color w:val="000000" w:themeColor="text1"/>
                <w:sz w:val="18"/>
                <w:szCs w:val="18"/>
                <w:vertAlign w:val="superscript"/>
              </w:rPr>
              <w:t>10</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644A9DDB"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50mmPb</w:t>
            </w:r>
            <w:proofErr w:type="gramStart"/>
            <w:r w:rsidRPr="00B12FE0">
              <w:rPr>
                <w:color w:val="000000" w:themeColor="text1"/>
                <w:kern w:val="0"/>
                <w:sz w:val="18"/>
                <w:szCs w:val="18"/>
                <w:lang w:bidi="ar"/>
              </w:rPr>
              <w:t>铅罐</w:t>
            </w:r>
            <w:proofErr w:type="gramEnd"/>
          </w:p>
        </w:tc>
        <w:tc>
          <w:tcPr>
            <w:tcW w:w="613" w:type="pct"/>
            <w:tcBorders>
              <w:top w:val="single" w:sz="4" w:space="0" w:color="000000"/>
              <w:left w:val="single" w:sz="4" w:space="0" w:color="000000"/>
              <w:bottom w:val="single" w:sz="4" w:space="0" w:color="000000"/>
              <w:right w:val="single" w:sz="4" w:space="0" w:color="000000"/>
            </w:tcBorders>
            <w:noWrap/>
            <w:vAlign w:val="center"/>
          </w:tcPr>
          <w:p w14:paraId="1D96CB41"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2.68E-02</w:t>
            </w:r>
          </w:p>
        </w:tc>
      </w:tr>
      <w:tr w:rsidR="00A67F21" w:rsidRPr="00B12FE0" w14:paraId="1791977C" w14:textId="77777777">
        <w:trPr>
          <w:trHeight w:val="340"/>
          <w:jc w:val="center"/>
        </w:trPr>
        <w:tc>
          <w:tcPr>
            <w:tcW w:w="423" w:type="pct"/>
            <w:vMerge/>
            <w:tcBorders>
              <w:left w:val="single" w:sz="4" w:space="0" w:color="000000"/>
              <w:bottom w:val="single" w:sz="4" w:space="0" w:color="000000"/>
              <w:right w:val="single" w:sz="4" w:space="0" w:color="000000"/>
            </w:tcBorders>
            <w:noWrap/>
            <w:vAlign w:val="center"/>
          </w:tcPr>
          <w:p w14:paraId="4C55A79D" w14:textId="77777777" w:rsidR="00A67F21" w:rsidRPr="00B12FE0" w:rsidRDefault="00A67F21">
            <w:pPr>
              <w:jc w:val="center"/>
              <w:rPr>
                <w:color w:val="000000" w:themeColor="text1"/>
                <w:sz w:val="18"/>
                <w:szCs w:val="18"/>
              </w:rPr>
            </w:pPr>
          </w:p>
        </w:tc>
        <w:tc>
          <w:tcPr>
            <w:tcW w:w="470" w:type="pct"/>
            <w:vMerge/>
            <w:tcBorders>
              <w:left w:val="single" w:sz="4" w:space="0" w:color="000000"/>
              <w:right w:val="single" w:sz="4" w:space="0" w:color="000000"/>
            </w:tcBorders>
            <w:noWrap/>
            <w:vAlign w:val="center"/>
          </w:tcPr>
          <w:p w14:paraId="0D0BFF71"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20533784" w14:textId="77777777" w:rsidR="00A67F21" w:rsidRPr="00B12FE0" w:rsidRDefault="00000000">
            <w:pPr>
              <w:widowControl/>
              <w:jc w:val="center"/>
              <w:textAlignment w:val="center"/>
              <w:rPr>
                <w:color w:val="000000" w:themeColor="text1"/>
                <w:kern w:val="0"/>
                <w:sz w:val="18"/>
                <w:szCs w:val="18"/>
                <w:lang w:bidi="ar"/>
              </w:rPr>
            </w:pPr>
            <w:proofErr w:type="gramStart"/>
            <w:r w:rsidRPr="00B12FE0">
              <w:rPr>
                <w:color w:val="000000" w:themeColor="text1"/>
                <w:kern w:val="0"/>
                <w:sz w:val="18"/>
                <w:szCs w:val="18"/>
                <w:lang w:bidi="ar"/>
              </w:rPr>
              <w:t>铅罐安装</w:t>
            </w:r>
            <w:proofErr w:type="gramEnd"/>
          </w:p>
        </w:tc>
        <w:tc>
          <w:tcPr>
            <w:tcW w:w="365" w:type="pct"/>
            <w:tcBorders>
              <w:top w:val="single" w:sz="4" w:space="0" w:color="000000"/>
              <w:left w:val="single" w:sz="4" w:space="0" w:color="000000"/>
              <w:bottom w:val="single" w:sz="4" w:space="0" w:color="000000"/>
              <w:right w:val="single" w:sz="4" w:space="0" w:color="000000"/>
            </w:tcBorders>
            <w:noWrap/>
            <w:vAlign w:val="center"/>
          </w:tcPr>
          <w:p w14:paraId="338595E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0.5</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26D47551"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w:t>
            </w:r>
            <w:r w:rsidRPr="00B12FE0">
              <w:rPr>
                <w:rFonts w:hint="eastAsia"/>
                <w:color w:val="000000" w:themeColor="text1"/>
                <w:kern w:val="0"/>
                <w:sz w:val="18"/>
                <w:szCs w:val="18"/>
                <w:lang w:bidi="ar"/>
              </w:rPr>
              <w:t>55</w:t>
            </w:r>
            <w:r w:rsidRPr="00B12FE0">
              <w:rPr>
                <w:color w:val="000000" w:themeColor="text1"/>
                <w:sz w:val="18"/>
                <w:szCs w:val="18"/>
              </w:rPr>
              <w:t>×10</w:t>
            </w:r>
            <w:r w:rsidRPr="00B12FE0">
              <w:rPr>
                <w:color w:val="000000" w:themeColor="text1"/>
                <w:sz w:val="18"/>
                <w:szCs w:val="18"/>
                <w:vertAlign w:val="superscript"/>
              </w:rPr>
              <w:t>10</w:t>
            </w:r>
          </w:p>
        </w:tc>
        <w:tc>
          <w:tcPr>
            <w:tcW w:w="1624" w:type="pct"/>
            <w:tcBorders>
              <w:top w:val="single" w:sz="4" w:space="0" w:color="000000"/>
              <w:left w:val="single" w:sz="4" w:space="0" w:color="000000"/>
              <w:bottom w:val="single" w:sz="4" w:space="0" w:color="auto"/>
              <w:right w:val="single" w:sz="4" w:space="0" w:color="auto"/>
            </w:tcBorders>
            <w:noWrap/>
            <w:vAlign w:val="center"/>
          </w:tcPr>
          <w:p w14:paraId="3FA57952"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50mmPb</w:t>
            </w:r>
            <w:proofErr w:type="gramStart"/>
            <w:r w:rsidRPr="00B12FE0">
              <w:rPr>
                <w:color w:val="000000" w:themeColor="text1"/>
                <w:kern w:val="0"/>
                <w:sz w:val="18"/>
                <w:szCs w:val="18"/>
                <w:lang w:bidi="ar"/>
              </w:rPr>
              <w:t>铅罐</w:t>
            </w:r>
            <w:proofErr w:type="gramEnd"/>
          </w:p>
        </w:tc>
        <w:tc>
          <w:tcPr>
            <w:tcW w:w="613" w:type="pct"/>
            <w:tcBorders>
              <w:top w:val="single" w:sz="4" w:space="0" w:color="000000"/>
              <w:left w:val="single" w:sz="4" w:space="0" w:color="000000"/>
              <w:bottom w:val="single" w:sz="4" w:space="0" w:color="000000"/>
              <w:right w:val="single" w:sz="4" w:space="0" w:color="000000"/>
            </w:tcBorders>
            <w:noWrap/>
            <w:vAlign w:val="center"/>
          </w:tcPr>
          <w:p w14:paraId="4A2C10E9"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2.41E-01</w:t>
            </w:r>
          </w:p>
        </w:tc>
      </w:tr>
      <w:tr w:rsidR="00A67F21" w:rsidRPr="00B12FE0" w14:paraId="0781AE53" w14:textId="77777777">
        <w:trPr>
          <w:trHeight w:val="340"/>
          <w:jc w:val="center"/>
        </w:trPr>
        <w:tc>
          <w:tcPr>
            <w:tcW w:w="423" w:type="pct"/>
            <w:tcBorders>
              <w:left w:val="single" w:sz="4" w:space="0" w:color="000000"/>
              <w:bottom w:val="single" w:sz="4" w:space="0" w:color="000000"/>
              <w:right w:val="single" w:sz="4" w:space="0" w:color="000000"/>
            </w:tcBorders>
            <w:noWrap/>
            <w:vAlign w:val="center"/>
          </w:tcPr>
          <w:p w14:paraId="476D258C"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3-5</w:t>
            </w:r>
          </w:p>
        </w:tc>
        <w:tc>
          <w:tcPr>
            <w:tcW w:w="470" w:type="pct"/>
            <w:vMerge/>
            <w:tcBorders>
              <w:left w:val="single" w:sz="4" w:space="0" w:color="000000"/>
              <w:bottom w:val="single" w:sz="4" w:space="0" w:color="000000"/>
              <w:right w:val="single" w:sz="4" w:space="0" w:color="000000"/>
            </w:tcBorders>
            <w:noWrap/>
            <w:vAlign w:val="center"/>
          </w:tcPr>
          <w:p w14:paraId="414639DC"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3E268A22"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北墙外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678E12B1"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2.3</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506FF00F"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w:t>
            </w:r>
            <w:r w:rsidRPr="00B12FE0">
              <w:rPr>
                <w:rFonts w:hint="eastAsia"/>
                <w:color w:val="000000" w:themeColor="text1"/>
                <w:kern w:val="0"/>
                <w:sz w:val="18"/>
                <w:szCs w:val="18"/>
                <w:lang w:bidi="ar"/>
              </w:rPr>
              <w:t>55</w:t>
            </w:r>
            <w:r w:rsidRPr="00B12FE0">
              <w:rPr>
                <w:color w:val="000000" w:themeColor="text1"/>
                <w:sz w:val="18"/>
                <w:szCs w:val="18"/>
              </w:rPr>
              <w:t>×10</w:t>
            </w:r>
            <w:r w:rsidRPr="00B12FE0">
              <w:rPr>
                <w:color w:val="000000" w:themeColor="text1"/>
                <w:sz w:val="18"/>
                <w:szCs w:val="18"/>
                <w:vertAlign w:val="superscript"/>
              </w:rPr>
              <w:t>10</w:t>
            </w:r>
          </w:p>
        </w:tc>
        <w:tc>
          <w:tcPr>
            <w:tcW w:w="1624" w:type="pct"/>
            <w:tcBorders>
              <w:top w:val="single" w:sz="4" w:space="0" w:color="auto"/>
              <w:left w:val="single" w:sz="4" w:space="0" w:color="000000"/>
              <w:bottom w:val="single" w:sz="4" w:space="0" w:color="000000"/>
              <w:right w:val="single" w:sz="4" w:space="0" w:color="auto"/>
            </w:tcBorders>
            <w:noWrap/>
            <w:vAlign w:val="center"/>
          </w:tcPr>
          <w:p w14:paraId="71594E88"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000000"/>
              <w:left w:val="single" w:sz="4" w:space="0" w:color="000000"/>
              <w:bottom w:val="single" w:sz="4" w:space="0" w:color="000000"/>
              <w:right w:val="single" w:sz="4" w:space="0" w:color="000000"/>
            </w:tcBorders>
            <w:noWrap/>
            <w:vAlign w:val="center"/>
          </w:tcPr>
          <w:p w14:paraId="0A26A481"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1.12E+01</w:t>
            </w:r>
          </w:p>
        </w:tc>
      </w:tr>
      <w:tr w:rsidR="00A67F21" w:rsidRPr="00B12FE0" w14:paraId="195AC267" w14:textId="77777777">
        <w:trPr>
          <w:trHeight w:val="340"/>
          <w:jc w:val="center"/>
        </w:trPr>
        <w:tc>
          <w:tcPr>
            <w:tcW w:w="423" w:type="pct"/>
            <w:tcBorders>
              <w:top w:val="single" w:sz="4" w:space="0" w:color="000000"/>
              <w:left w:val="single" w:sz="4" w:space="0" w:color="000000"/>
              <w:bottom w:val="single" w:sz="4" w:space="0" w:color="000000"/>
              <w:right w:val="single" w:sz="4" w:space="0" w:color="000000"/>
            </w:tcBorders>
            <w:noWrap/>
            <w:vAlign w:val="center"/>
          </w:tcPr>
          <w:p w14:paraId="1509683E"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w:t>
            </w:r>
            <w:r w:rsidRPr="00B12FE0">
              <w:rPr>
                <w:rFonts w:hint="eastAsia"/>
                <w:color w:val="000000" w:themeColor="text1"/>
                <w:kern w:val="0"/>
                <w:sz w:val="18"/>
                <w:szCs w:val="18"/>
                <w:lang w:bidi="ar"/>
              </w:rPr>
              <w:t>6</w:t>
            </w:r>
          </w:p>
        </w:tc>
        <w:tc>
          <w:tcPr>
            <w:tcW w:w="470" w:type="pct"/>
            <w:vMerge w:val="restart"/>
            <w:tcBorders>
              <w:top w:val="single" w:sz="4" w:space="0" w:color="000000"/>
              <w:left w:val="single" w:sz="4" w:space="0" w:color="000000"/>
              <w:right w:val="single" w:sz="4" w:space="0" w:color="000000"/>
            </w:tcBorders>
            <w:noWrap/>
            <w:vAlign w:val="center"/>
          </w:tcPr>
          <w:p w14:paraId="24F0CDF2" w14:textId="77777777" w:rsidR="00A67F21" w:rsidRPr="00B12FE0" w:rsidRDefault="00000000">
            <w:pPr>
              <w:jc w:val="center"/>
              <w:textAlignment w:val="center"/>
              <w:rPr>
                <w:color w:val="000000" w:themeColor="text1"/>
                <w:sz w:val="18"/>
                <w:szCs w:val="18"/>
              </w:rPr>
            </w:pPr>
            <w:r w:rsidRPr="00B12FE0">
              <w:rPr>
                <w:rFonts w:hint="eastAsia"/>
                <w:color w:val="000000" w:themeColor="text1"/>
                <w:kern w:val="0"/>
                <w:sz w:val="18"/>
                <w:szCs w:val="18"/>
                <w:lang w:bidi="ar"/>
              </w:rPr>
              <w:t>给药室</w:t>
            </w: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451971F7"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上方</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7C35DB4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4.8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392A4F1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272921F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25</w:t>
            </w:r>
            <w:r w:rsidRPr="00B12FE0">
              <w:rPr>
                <w:color w:val="000000" w:themeColor="text1"/>
                <w:kern w:val="0"/>
                <w:sz w:val="18"/>
                <w:szCs w:val="18"/>
                <w:lang w:bidi="ar"/>
              </w:rPr>
              <w:t>0mm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7008B6D3"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3.80E-01</w:t>
            </w:r>
          </w:p>
        </w:tc>
      </w:tr>
      <w:tr w:rsidR="00A67F21" w:rsidRPr="00B12FE0" w14:paraId="72816C1D" w14:textId="77777777">
        <w:trPr>
          <w:trHeight w:val="340"/>
          <w:jc w:val="center"/>
        </w:trPr>
        <w:tc>
          <w:tcPr>
            <w:tcW w:w="423" w:type="pct"/>
            <w:tcBorders>
              <w:top w:val="single" w:sz="4" w:space="0" w:color="000000"/>
              <w:left w:val="single" w:sz="4" w:space="0" w:color="000000"/>
              <w:bottom w:val="single" w:sz="4" w:space="0" w:color="000000"/>
              <w:right w:val="single" w:sz="4" w:space="0" w:color="000000"/>
            </w:tcBorders>
            <w:noWrap/>
            <w:vAlign w:val="center"/>
          </w:tcPr>
          <w:p w14:paraId="49E0A5BC"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w:t>
            </w:r>
            <w:r w:rsidRPr="00B12FE0">
              <w:rPr>
                <w:rFonts w:hint="eastAsia"/>
                <w:color w:val="000000" w:themeColor="text1"/>
                <w:kern w:val="0"/>
                <w:sz w:val="18"/>
                <w:szCs w:val="18"/>
                <w:lang w:bidi="ar"/>
              </w:rPr>
              <w:t>7</w:t>
            </w:r>
          </w:p>
        </w:tc>
        <w:tc>
          <w:tcPr>
            <w:tcW w:w="470" w:type="pct"/>
            <w:vMerge/>
            <w:tcBorders>
              <w:left w:val="single" w:sz="4" w:space="0" w:color="000000"/>
              <w:right w:val="single" w:sz="4" w:space="0" w:color="000000"/>
            </w:tcBorders>
            <w:noWrap/>
            <w:vAlign w:val="center"/>
          </w:tcPr>
          <w:p w14:paraId="4A42FF9A" w14:textId="77777777" w:rsidR="00A67F21" w:rsidRPr="00B12FE0" w:rsidRDefault="00A67F21">
            <w:pPr>
              <w:jc w:val="center"/>
              <w:textAlignment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07549CC7"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下方距地</w:t>
            </w:r>
            <w:r w:rsidRPr="00B12FE0">
              <w:rPr>
                <w:color w:val="000000" w:themeColor="text1"/>
                <w:kern w:val="0"/>
                <w:sz w:val="18"/>
                <w:szCs w:val="18"/>
                <w:lang w:bidi="ar"/>
              </w:rPr>
              <w:t>170cm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540F2C0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2.8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6517CE3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5D4E37F8"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250</w:t>
            </w:r>
            <w:r w:rsidRPr="00B12FE0">
              <w:rPr>
                <w:color w:val="000000" w:themeColor="text1"/>
                <w:kern w:val="0"/>
                <w:sz w:val="18"/>
                <w:szCs w:val="18"/>
                <w:lang w:bidi="ar"/>
              </w:rPr>
              <w:t>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1CC5FCD6"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1.12</w:t>
            </w:r>
          </w:p>
        </w:tc>
      </w:tr>
      <w:tr w:rsidR="00A67F21" w:rsidRPr="00B12FE0" w14:paraId="37B91A38" w14:textId="77777777">
        <w:trPr>
          <w:trHeight w:val="340"/>
          <w:jc w:val="center"/>
        </w:trPr>
        <w:tc>
          <w:tcPr>
            <w:tcW w:w="423" w:type="pct"/>
            <w:vMerge w:val="restart"/>
            <w:tcBorders>
              <w:top w:val="single" w:sz="4" w:space="0" w:color="000000"/>
              <w:left w:val="single" w:sz="4" w:space="0" w:color="000000"/>
              <w:right w:val="single" w:sz="4" w:space="0" w:color="000000"/>
            </w:tcBorders>
            <w:noWrap/>
            <w:vAlign w:val="center"/>
          </w:tcPr>
          <w:p w14:paraId="6A1D9496"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w:t>
            </w:r>
            <w:r w:rsidRPr="00B12FE0">
              <w:rPr>
                <w:rFonts w:hint="eastAsia"/>
                <w:color w:val="000000" w:themeColor="text1"/>
                <w:kern w:val="0"/>
                <w:sz w:val="18"/>
                <w:szCs w:val="18"/>
                <w:lang w:bidi="ar"/>
              </w:rPr>
              <w:t>8</w:t>
            </w:r>
          </w:p>
        </w:tc>
        <w:tc>
          <w:tcPr>
            <w:tcW w:w="470" w:type="pct"/>
            <w:vMerge/>
            <w:tcBorders>
              <w:left w:val="single" w:sz="4" w:space="0" w:color="000000"/>
              <w:right w:val="single" w:sz="4" w:space="0" w:color="000000"/>
            </w:tcBorders>
            <w:noWrap/>
            <w:vAlign w:val="center"/>
          </w:tcPr>
          <w:p w14:paraId="0BDA28AB" w14:textId="77777777" w:rsidR="00A67F21" w:rsidRPr="00B12FE0" w:rsidRDefault="00A67F21">
            <w:pPr>
              <w:widowControl/>
              <w:jc w:val="center"/>
              <w:textAlignment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4B56EA5B"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西</w:t>
            </w:r>
            <w:r w:rsidRPr="00B12FE0">
              <w:rPr>
                <w:color w:val="000000" w:themeColor="text1"/>
                <w:kern w:val="0"/>
                <w:sz w:val="18"/>
                <w:szCs w:val="18"/>
                <w:lang w:bidi="ar"/>
              </w:rPr>
              <w:t>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606994C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1.8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4D7D697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5F43C58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auto"/>
              <w:left w:val="single" w:sz="4" w:space="0" w:color="auto"/>
              <w:bottom w:val="single" w:sz="4" w:space="0" w:color="auto"/>
              <w:right w:val="single" w:sz="4" w:space="0" w:color="auto"/>
            </w:tcBorders>
            <w:noWrap/>
            <w:vAlign w:val="center"/>
          </w:tcPr>
          <w:p w14:paraId="45FDE14D"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2.30</w:t>
            </w:r>
          </w:p>
        </w:tc>
      </w:tr>
      <w:tr w:rsidR="00A67F21" w:rsidRPr="00B12FE0" w14:paraId="6588E907" w14:textId="77777777">
        <w:trPr>
          <w:trHeight w:val="340"/>
          <w:jc w:val="center"/>
        </w:trPr>
        <w:tc>
          <w:tcPr>
            <w:tcW w:w="423" w:type="pct"/>
            <w:vMerge/>
            <w:tcBorders>
              <w:left w:val="single" w:sz="4" w:space="0" w:color="000000"/>
              <w:bottom w:val="single" w:sz="4" w:space="0" w:color="000000"/>
              <w:right w:val="single" w:sz="4" w:space="0" w:color="000000"/>
            </w:tcBorders>
            <w:noWrap/>
            <w:vAlign w:val="center"/>
          </w:tcPr>
          <w:p w14:paraId="532FA89D" w14:textId="77777777" w:rsidR="00A67F21" w:rsidRPr="00B12FE0" w:rsidRDefault="00A67F21">
            <w:pPr>
              <w:widowControl/>
              <w:jc w:val="center"/>
              <w:textAlignment w:val="center"/>
              <w:rPr>
                <w:color w:val="000000" w:themeColor="text1"/>
                <w:sz w:val="18"/>
                <w:szCs w:val="18"/>
              </w:rPr>
            </w:pPr>
          </w:p>
        </w:tc>
        <w:tc>
          <w:tcPr>
            <w:tcW w:w="470" w:type="pct"/>
            <w:vMerge/>
            <w:tcBorders>
              <w:left w:val="single" w:sz="4" w:space="0" w:color="000000"/>
              <w:right w:val="single" w:sz="4" w:space="0" w:color="000000"/>
            </w:tcBorders>
            <w:noWrap/>
            <w:vAlign w:val="center"/>
          </w:tcPr>
          <w:p w14:paraId="666479CE"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37A1CDD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西</w:t>
            </w:r>
            <w:r w:rsidRPr="00B12FE0">
              <w:rPr>
                <w:color w:val="000000" w:themeColor="text1"/>
                <w:kern w:val="0"/>
                <w:sz w:val="18"/>
                <w:szCs w:val="18"/>
                <w:lang w:bidi="ar"/>
              </w:rPr>
              <w:t>侧防护门外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5561C00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2.7</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221115CD"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047E2EF8"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1</w:t>
            </w:r>
            <w:r w:rsidRPr="00B12FE0">
              <w:rPr>
                <w:rFonts w:hint="eastAsia"/>
                <w:color w:val="000000" w:themeColor="text1"/>
                <w:kern w:val="0"/>
                <w:sz w:val="18"/>
                <w:szCs w:val="18"/>
                <w:lang w:bidi="ar"/>
              </w:rPr>
              <w:t>0</w:t>
            </w:r>
            <w:r w:rsidRPr="00B12FE0">
              <w:rPr>
                <w:color w:val="000000" w:themeColor="text1"/>
                <w:kern w:val="0"/>
                <w:sz w:val="18"/>
                <w:szCs w:val="18"/>
                <w:lang w:bidi="ar"/>
              </w:rPr>
              <w:t>mmPb</w:t>
            </w:r>
            <w:proofErr w:type="gramStart"/>
            <w:r w:rsidRPr="00B12FE0">
              <w:rPr>
                <w:color w:val="000000" w:themeColor="text1"/>
                <w:kern w:val="0"/>
                <w:sz w:val="18"/>
                <w:szCs w:val="18"/>
                <w:lang w:bidi="ar"/>
              </w:rPr>
              <w:t>铅门</w:t>
            </w:r>
            <w:proofErr w:type="gramEnd"/>
          </w:p>
        </w:tc>
        <w:tc>
          <w:tcPr>
            <w:tcW w:w="613" w:type="pct"/>
            <w:tcBorders>
              <w:top w:val="single" w:sz="4" w:space="0" w:color="auto"/>
              <w:left w:val="single" w:sz="4" w:space="0" w:color="auto"/>
              <w:bottom w:val="single" w:sz="4" w:space="0" w:color="auto"/>
              <w:right w:val="single" w:sz="4" w:space="0" w:color="auto"/>
            </w:tcBorders>
            <w:noWrap/>
            <w:vAlign w:val="center"/>
          </w:tcPr>
          <w:p w14:paraId="77DC9D3B"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4.38</w:t>
            </w:r>
          </w:p>
        </w:tc>
      </w:tr>
      <w:tr w:rsidR="00A67F21" w:rsidRPr="00B12FE0" w14:paraId="1008C938" w14:textId="77777777">
        <w:trPr>
          <w:trHeight w:val="340"/>
          <w:jc w:val="center"/>
        </w:trPr>
        <w:tc>
          <w:tcPr>
            <w:tcW w:w="423" w:type="pct"/>
            <w:tcBorders>
              <w:left w:val="single" w:sz="4" w:space="0" w:color="000000"/>
              <w:bottom w:val="single" w:sz="4" w:space="0" w:color="auto"/>
              <w:right w:val="single" w:sz="4" w:space="0" w:color="000000"/>
            </w:tcBorders>
            <w:noWrap/>
            <w:vAlign w:val="center"/>
          </w:tcPr>
          <w:p w14:paraId="5060907A"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3-9</w:t>
            </w:r>
          </w:p>
        </w:tc>
        <w:tc>
          <w:tcPr>
            <w:tcW w:w="470" w:type="pct"/>
            <w:vMerge/>
            <w:tcBorders>
              <w:left w:val="single" w:sz="4" w:space="0" w:color="000000"/>
              <w:right w:val="single" w:sz="4" w:space="0" w:color="000000"/>
            </w:tcBorders>
            <w:noWrap/>
            <w:vAlign w:val="center"/>
          </w:tcPr>
          <w:p w14:paraId="2393777B"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6B5B7762"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北</w:t>
            </w:r>
            <w:r w:rsidRPr="00B12FE0">
              <w:rPr>
                <w:color w:val="000000" w:themeColor="text1"/>
                <w:kern w:val="0"/>
                <w:sz w:val="18"/>
                <w:szCs w:val="18"/>
                <w:lang w:bidi="ar"/>
              </w:rPr>
              <w:t>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2EFFD24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3.2</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2733BCCD"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06DEBC5F"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auto"/>
              <w:left w:val="single" w:sz="4" w:space="0" w:color="auto"/>
              <w:bottom w:val="single" w:sz="4" w:space="0" w:color="auto"/>
              <w:right w:val="single" w:sz="4" w:space="0" w:color="auto"/>
            </w:tcBorders>
            <w:noWrap/>
            <w:vAlign w:val="center"/>
          </w:tcPr>
          <w:p w14:paraId="29ED4F52"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7.26E-01</w:t>
            </w:r>
          </w:p>
        </w:tc>
      </w:tr>
      <w:tr w:rsidR="00A67F21" w:rsidRPr="00B12FE0" w14:paraId="0CB5E9DF" w14:textId="77777777">
        <w:trPr>
          <w:trHeight w:val="340"/>
          <w:jc w:val="center"/>
        </w:trPr>
        <w:tc>
          <w:tcPr>
            <w:tcW w:w="423" w:type="pct"/>
            <w:tcBorders>
              <w:left w:val="single" w:sz="4" w:space="0" w:color="000000"/>
              <w:bottom w:val="single" w:sz="4" w:space="0" w:color="auto"/>
              <w:right w:val="single" w:sz="4" w:space="0" w:color="000000"/>
            </w:tcBorders>
            <w:noWrap/>
            <w:vAlign w:val="center"/>
          </w:tcPr>
          <w:p w14:paraId="3C1C274F"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w:t>
            </w:r>
            <w:r w:rsidRPr="00B12FE0">
              <w:rPr>
                <w:rFonts w:hint="eastAsia"/>
                <w:color w:val="000000" w:themeColor="text1"/>
                <w:kern w:val="0"/>
                <w:sz w:val="18"/>
                <w:szCs w:val="18"/>
                <w:lang w:bidi="ar"/>
              </w:rPr>
              <w:t>10</w:t>
            </w:r>
          </w:p>
        </w:tc>
        <w:tc>
          <w:tcPr>
            <w:tcW w:w="470" w:type="pct"/>
            <w:vMerge/>
            <w:tcBorders>
              <w:left w:val="single" w:sz="4" w:space="0" w:color="000000"/>
              <w:bottom w:val="single" w:sz="4" w:space="0" w:color="auto"/>
              <w:right w:val="single" w:sz="4" w:space="0" w:color="000000"/>
            </w:tcBorders>
            <w:noWrap/>
            <w:vAlign w:val="center"/>
          </w:tcPr>
          <w:p w14:paraId="1F1CE3DC"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325E2073"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东</w:t>
            </w:r>
            <w:r w:rsidRPr="00B12FE0">
              <w:rPr>
                <w:color w:val="000000" w:themeColor="text1"/>
                <w:kern w:val="0"/>
                <w:sz w:val="18"/>
                <w:szCs w:val="18"/>
                <w:lang w:bidi="ar"/>
              </w:rPr>
              <w:t>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600FB816"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1.8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56161BCD"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29357252"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auto"/>
              <w:left w:val="single" w:sz="4" w:space="0" w:color="auto"/>
              <w:bottom w:val="single" w:sz="4" w:space="0" w:color="auto"/>
              <w:right w:val="single" w:sz="4" w:space="0" w:color="auto"/>
            </w:tcBorders>
            <w:noWrap/>
            <w:vAlign w:val="center"/>
          </w:tcPr>
          <w:p w14:paraId="026F8E62"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2.30</w:t>
            </w:r>
          </w:p>
        </w:tc>
      </w:tr>
      <w:tr w:rsidR="00A67F21" w:rsidRPr="00B12FE0" w14:paraId="78488F59" w14:textId="77777777">
        <w:trPr>
          <w:trHeight w:val="340"/>
          <w:jc w:val="center"/>
        </w:trPr>
        <w:tc>
          <w:tcPr>
            <w:tcW w:w="423" w:type="pct"/>
            <w:tcBorders>
              <w:top w:val="single" w:sz="4" w:space="0" w:color="auto"/>
              <w:left w:val="single" w:sz="4" w:space="0" w:color="auto"/>
              <w:bottom w:val="single" w:sz="4" w:space="0" w:color="auto"/>
              <w:right w:val="single" w:sz="4" w:space="0" w:color="auto"/>
            </w:tcBorders>
            <w:noWrap/>
            <w:vAlign w:val="center"/>
          </w:tcPr>
          <w:p w14:paraId="39D9C032" w14:textId="77777777" w:rsidR="00A67F21" w:rsidRPr="00B12FE0" w:rsidRDefault="00000000">
            <w:pPr>
              <w:jc w:val="center"/>
              <w:rPr>
                <w:color w:val="000000" w:themeColor="text1"/>
                <w:sz w:val="18"/>
                <w:szCs w:val="18"/>
              </w:rPr>
            </w:pPr>
            <w:r w:rsidRPr="00B12FE0">
              <w:rPr>
                <w:color w:val="000000" w:themeColor="text1"/>
                <w:kern w:val="0"/>
                <w:sz w:val="18"/>
                <w:szCs w:val="18"/>
                <w:lang w:bidi="ar"/>
              </w:rPr>
              <w:t>3-1</w:t>
            </w:r>
            <w:r w:rsidRPr="00B12FE0">
              <w:rPr>
                <w:rFonts w:hint="eastAsia"/>
                <w:color w:val="000000" w:themeColor="text1"/>
                <w:kern w:val="0"/>
                <w:sz w:val="18"/>
                <w:szCs w:val="18"/>
                <w:lang w:bidi="ar"/>
              </w:rPr>
              <w:t>1</w:t>
            </w:r>
          </w:p>
        </w:tc>
        <w:tc>
          <w:tcPr>
            <w:tcW w:w="470" w:type="pct"/>
            <w:tcBorders>
              <w:top w:val="single" w:sz="4" w:space="0" w:color="auto"/>
              <w:left w:val="single" w:sz="4" w:space="0" w:color="auto"/>
              <w:bottom w:val="single" w:sz="4" w:space="0" w:color="auto"/>
              <w:right w:val="single" w:sz="4" w:space="0" w:color="auto"/>
            </w:tcBorders>
            <w:noWrap/>
            <w:vAlign w:val="center"/>
          </w:tcPr>
          <w:p w14:paraId="71AF00C3" w14:textId="77777777" w:rsidR="00A67F21" w:rsidRPr="00B12FE0" w:rsidRDefault="00000000">
            <w:pPr>
              <w:jc w:val="center"/>
              <w:rPr>
                <w:color w:val="000000" w:themeColor="text1"/>
                <w:sz w:val="18"/>
                <w:szCs w:val="18"/>
              </w:rPr>
            </w:pPr>
            <w:proofErr w:type="gramStart"/>
            <w:r w:rsidRPr="00B12FE0">
              <w:rPr>
                <w:rFonts w:hint="eastAsia"/>
                <w:color w:val="000000" w:themeColor="text1"/>
                <w:sz w:val="18"/>
                <w:szCs w:val="18"/>
              </w:rPr>
              <w:t>放废间</w:t>
            </w:r>
            <w:proofErr w:type="gramEnd"/>
          </w:p>
        </w:tc>
        <w:tc>
          <w:tcPr>
            <w:tcW w:w="957" w:type="pct"/>
            <w:tcBorders>
              <w:top w:val="single" w:sz="4" w:space="0" w:color="000000"/>
              <w:left w:val="single" w:sz="4" w:space="0" w:color="auto"/>
              <w:bottom w:val="single" w:sz="4" w:space="0" w:color="000000"/>
              <w:right w:val="single" w:sz="4" w:space="0" w:color="000000"/>
            </w:tcBorders>
            <w:noWrap/>
            <w:vAlign w:val="center"/>
          </w:tcPr>
          <w:p w14:paraId="61BD3C1D"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北墙外</w:t>
            </w:r>
            <w:r w:rsidRPr="00B12FE0">
              <w:rPr>
                <w:color w:val="000000" w:themeColor="text1"/>
                <w:sz w:val="18"/>
                <w:szCs w:val="18"/>
              </w:rPr>
              <w:t>30cm</w:t>
            </w:r>
            <w:r w:rsidRPr="00B12FE0">
              <w:rPr>
                <w:color w:val="000000" w:themeColor="text1"/>
                <w:sz w:val="18"/>
                <w:szCs w:val="18"/>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33B8075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1.8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35FF6B0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3.55</w:t>
            </w:r>
            <w:r w:rsidRPr="00B12FE0">
              <w:rPr>
                <w:color w:val="000000" w:themeColor="text1"/>
                <w:sz w:val="18"/>
                <w:szCs w:val="18"/>
              </w:rPr>
              <w:t>×10</w:t>
            </w:r>
            <w:r w:rsidRPr="00B12FE0">
              <w:rPr>
                <w:rFonts w:hint="eastAsia"/>
                <w:color w:val="000000" w:themeColor="text1"/>
                <w:sz w:val="18"/>
                <w:szCs w:val="18"/>
                <w:vertAlign w:val="superscript"/>
              </w:rPr>
              <w:t>8</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22B9C92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10mmPb</w:t>
            </w:r>
            <w:r w:rsidRPr="00B12FE0">
              <w:rPr>
                <w:color w:val="000000" w:themeColor="text1"/>
                <w:kern w:val="0"/>
                <w:sz w:val="18"/>
                <w:szCs w:val="18"/>
                <w:lang w:bidi="ar"/>
              </w:rPr>
              <w:t>废物箱</w:t>
            </w: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000000"/>
              <w:left w:val="single" w:sz="4" w:space="0" w:color="000000"/>
              <w:bottom w:val="single" w:sz="4" w:space="0" w:color="000000"/>
              <w:right w:val="single" w:sz="4" w:space="0" w:color="000000"/>
            </w:tcBorders>
            <w:noWrap/>
            <w:vAlign w:val="center"/>
          </w:tcPr>
          <w:p w14:paraId="4C65CBCF"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2.26E-02</w:t>
            </w:r>
          </w:p>
        </w:tc>
      </w:tr>
      <w:tr w:rsidR="00A67F21" w:rsidRPr="00B12FE0" w14:paraId="4F9228A6" w14:textId="77777777">
        <w:trPr>
          <w:trHeight w:val="340"/>
          <w:jc w:val="center"/>
        </w:trPr>
        <w:tc>
          <w:tcPr>
            <w:tcW w:w="423" w:type="pct"/>
            <w:vMerge w:val="restart"/>
            <w:tcBorders>
              <w:top w:val="single" w:sz="4" w:space="0" w:color="auto"/>
              <w:left w:val="single" w:sz="4" w:space="0" w:color="auto"/>
              <w:bottom w:val="single" w:sz="4" w:space="0" w:color="auto"/>
              <w:right w:val="single" w:sz="4" w:space="0" w:color="auto"/>
            </w:tcBorders>
            <w:noWrap/>
            <w:vAlign w:val="center"/>
          </w:tcPr>
          <w:p w14:paraId="12B050A8" w14:textId="77777777" w:rsidR="00A67F21" w:rsidRPr="00B12FE0" w:rsidRDefault="00000000">
            <w:pPr>
              <w:jc w:val="center"/>
              <w:textAlignment w:val="center"/>
              <w:rPr>
                <w:color w:val="000000" w:themeColor="text1"/>
                <w:sz w:val="18"/>
                <w:szCs w:val="18"/>
              </w:rPr>
            </w:pPr>
            <w:r w:rsidRPr="00B12FE0">
              <w:rPr>
                <w:rFonts w:hint="eastAsia"/>
                <w:color w:val="000000" w:themeColor="text1"/>
                <w:sz w:val="18"/>
                <w:szCs w:val="18"/>
              </w:rPr>
              <w:t>3-12</w:t>
            </w:r>
          </w:p>
        </w:tc>
        <w:tc>
          <w:tcPr>
            <w:tcW w:w="470" w:type="pct"/>
            <w:vMerge w:val="restart"/>
            <w:tcBorders>
              <w:top w:val="single" w:sz="4" w:space="0" w:color="auto"/>
              <w:left w:val="single" w:sz="4" w:space="0" w:color="auto"/>
              <w:right w:val="single" w:sz="4" w:space="0" w:color="auto"/>
            </w:tcBorders>
            <w:noWrap/>
            <w:vAlign w:val="center"/>
          </w:tcPr>
          <w:p w14:paraId="1112F24F" w14:textId="77777777" w:rsidR="00A67F21" w:rsidRPr="00B12FE0" w:rsidRDefault="00000000">
            <w:pPr>
              <w:jc w:val="center"/>
              <w:rPr>
                <w:color w:val="000000" w:themeColor="text1"/>
                <w:sz w:val="18"/>
                <w:szCs w:val="18"/>
              </w:rPr>
            </w:pPr>
            <w:proofErr w:type="gramStart"/>
            <w:r w:rsidRPr="00B12FE0">
              <w:rPr>
                <w:color w:val="000000" w:themeColor="text1"/>
                <w:sz w:val="18"/>
                <w:szCs w:val="18"/>
              </w:rPr>
              <w:t>甲癌病房</w:t>
            </w:r>
            <w:proofErr w:type="gramEnd"/>
          </w:p>
        </w:tc>
        <w:tc>
          <w:tcPr>
            <w:tcW w:w="957" w:type="pct"/>
            <w:tcBorders>
              <w:top w:val="single" w:sz="4" w:space="0" w:color="000000"/>
              <w:left w:val="single" w:sz="4" w:space="0" w:color="auto"/>
              <w:bottom w:val="single" w:sz="4" w:space="0" w:color="000000"/>
              <w:right w:val="single" w:sz="4" w:space="0" w:color="000000"/>
            </w:tcBorders>
            <w:noWrap/>
            <w:vAlign w:val="center"/>
          </w:tcPr>
          <w:p w14:paraId="1EE679CC"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北墙外</w:t>
            </w:r>
            <w:r w:rsidRPr="00B12FE0">
              <w:rPr>
                <w:color w:val="000000" w:themeColor="text1"/>
                <w:sz w:val="18"/>
                <w:szCs w:val="18"/>
              </w:rPr>
              <w:t>30cm</w:t>
            </w:r>
            <w:r w:rsidRPr="00B12FE0">
              <w:rPr>
                <w:color w:val="000000" w:themeColor="text1"/>
                <w:sz w:val="18"/>
                <w:szCs w:val="18"/>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0ADB4A53"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4.8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19BF030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4FE327B0"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auto"/>
              <w:left w:val="single" w:sz="4" w:space="0" w:color="auto"/>
              <w:bottom w:val="single" w:sz="4" w:space="0" w:color="auto"/>
              <w:right w:val="single" w:sz="4" w:space="0" w:color="auto"/>
            </w:tcBorders>
            <w:noWrap/>
            <w:vAlign w:val="center"/>
          </w:tcPr>
          <w:p w14:paraId="58765B1C"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3.23E-01</w:t>
            </w:r>
          </w:p>
        </w:tc>
      </w:tr>
      <w:tr w:rsidR="00A67F21" w:rsidRPr="00B12FE0" w14:paraId="52D18863" w14:textId="77777777">
        <w:trPr>
          <w:trHeight w:val="340"/>
          <w:jc w:val="center"/>
        </w:trPr>
        <w:tc>
          <w:tcPr>
            <w:tcW w:w="423" w:type="pct"/>
            <w:vMerge/>
            <w:tcBorders>
              <w:top w:val="single" w:sz="4" w:space="0" w:color="auto"/>
              <w:left w:val="single" w:sz="4" w:space="0" w:color="auto"/>
              <w:bottom w:val="single" w:sz="4" w:space="0" w:color="auto"/>
              <w:right w:val="single" w:sz="4" w:space="0" w:color="auto"/>
            </w:tcBorders>
            <w:noWrap/>
            <w:vAlign w:val="center"/>
          </w:tcPr>
          <w:p w14:paraId="352E3C3A" w14:textId="77777777" w:rsidR="00A67F21" w:rsidRPr="00B12FE0" w:rsidRDefault="00A67F21">
            <w:pPr>
              <w:widowControl/>
              <w:jc w:val="center"/>
              <w:textAlignment w:val="center"/>
              <w:rPr>
                <w:color w:val="000000" w:themeColor="text1"/>
                <w:sz w:val="18"/>
                <w:szCs w:val="18"/>
              </w:rPr>
            </w:pPr>
          </w:p>
        </w:tc>
        <w:tc>
          <w:tcPr>
            <w:tcW w:w="470" w:type="pct"/>
            <w:vMerge/>
            <w:tcBorders>
              <w:left w:val="single" w:sz="4" w:space="0" w:color="auto"/>
              <w:right w:val="single" w:sz="4" w:space="0" w:color="auto"/>
            </w:tcBorders>
            <w:noWrap/>
            <w:vAlign w:val="center"/>
          </w:tcPr>
          <w:p w14:paraId="49C94154"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auto"/>
              <w:bottom w:val="single" w:sz="4" w:space="0" w:color="000000"/>
              <w:right w:val="single" w:sz="4" w:space="0" w:color="000000"/>
            </w:tcBorders>
            <w:noWrap/>
            <w:vAlign w:val="center"/>
          </w:tcPr>
          <w:p w14:paraId="48DC1F9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北</w:t>
            </w:r>
            <w:r w:rsidRPr="00B12FE0">
              <w:rPr>
                <w:color w:val="000000" w:themeColor="text1"/>
                <w:sz w:val="18"/>
                <w:szCs w:val="18"/>
              </w:rPr>
              <w:t>侧防护门外</w:t>
            </w:r>
            <w:r w:rsidRPr="00B12FE0">
              <w:rPr>
                <w:color w:val="000000" w:themeColor="text1"/>
                <w:sz w:val="18"/>
                <w:szCs w:val="18"/>
              </w:rPr>
              <w:t>30cm</w:t>
            </w:r>
            <w:r w:rsidRPr="00B12FE0">
              <w:rPr>
                <w:color w:val="000000" w:themeColor="text1"/>
                <w:sz w:val="18"/>
                <w:szCs w:val="18"/>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3FB3AE4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4.8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6B32BBC0"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1459B7A7"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10mmPb</w:t>
            </w:r>
            <w:proofErr w:type="gramStart"/>
            <w:r w:rsidRPr="00B12FE0">
              <w:rPr>
                <w:color w:val="000000" w:themeColor="text1"/>
                <w:sz w:val="18"/>
                <w:szCs w:val="18"/>
              </w:rPr>
              <w:t>铅门</w:t>
            </w:r>
            <w:proofErr w:type="gramEnd"/>
          </w:p>
        </w:tc>
        <w:tc>
          <w:tcPr>
            <w:tcW w:w="613" w:type="pct"/>
            <w:tcBorders>
              <w:top w:val="single" w:sz="4" w:space="0" w:color="auto"/>
              <w:left w:val="single" w:sz="4" w:space="0" w:color="auto"/>
              <w:bottom w:val="single" w:sz="4" w:space="0" w:color="auto"/>
              <w:right w:val="single" w:sz="4" w:space="0" w:color="auto"/>
            </w:tcBorders>
            <w:noWrap/>
            <w:vAlign w:val="center"/>
          </w:tcPr>
          <w:p w14:paraId="50E741BB"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1.39</w:t>
            </w:r>
          </w:p>
        </w:tc>
      </w:tr>
      <w:tr w:rsidR="00A67F21" w:rsidRPr="00B12FE0" w14:paraId="60266F9C" w14:textId="77777777">
        <w:trPr>
          <w:trHeight w:val="215"/>
          <w:jc w:val="center"/>
        </w:trPr>
        <w:tc>
          <w:tcPr>
            <w:tcW w:w="423" w:type="pct"/>
            <w:tcBorders>
              <w:top w:val="single" w:sz="4" w:space="0" w:color="auto"/>
              <w:left w:val="single" w:sz="4" w:space="0" w:color="auto"/>
              <w:bottom w:val="single" w:sz="4" w:space="0" w:color="auto"/>
              <w:right w:val="single" w:sz="4" w:space="0" w:color="auto"/>
            </w:tcBorders>
            <w:noWrap/>
            <w:vAlign w:val="center"/>
          </w:tcPr>
          <w:p w14:paraId="4B6A158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3-13</w:t>
            </w:r>
          </w:p>
        </w:tc>
        <w:tc>
          <w:tcPr>
            <w:tcW w:w="470" w:type="pct"/>
            <w:vMerge/>
            <w:tcBorders>
              <w:left w:val="single" w:sz="4" w:space="0" w:color="auto"/>
              <w:right w:val="single" w:sz="4" w:space="0" w:color="auto"/>
            </w:tcBorders>
            <w:noWrap/>
            <w:vAlign w:val="center"/>
          </w:tcPr>
          <w:p w14:paraId="3FC9CF63" w14:textId="77777777" w:rsidR="00A67F21" w:rsidRPr="00B12FE0" w:rsidRDefault="00A67F21">
            <w:pPr>
              <w:widowControl/>
              <w:jc w:val="center"/>
              <w:textAlignment w:val="center"/>
              <w:rPr>
                <w:color w:val="000000" w:themeColor="text1"/>
                <w:sz w:val="18"/>
                <w:szCs w:val="18"/>
              </w:rPr>
            </w:pPr>
          </w:p>
        </w:tc>
        <w:tc>
          <w:tcPr>
            <w:tcW w:w="957" w:type="pct"/>
            <w:tcBorders>
              <w:top w:val="single" w:sz="4" w:space="0" w:color="000000"/>
              <w:left w:val="single" w:sz="4" w:space="0" w:color="auto"/>
              <w:bottom w:val="single" w:sz="4" w:space="0" w:color="auto"/>
              <w:right w:val="single" w:sz="4" w:space="0" w:color="000000"/>
            </w:tcBorders>
            <w:noWrap/>
            <w:vAlign w:val="center"/>
          </w:tcPr>
          <w:p w14:paraId="3C25EAE6"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上方</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auto"/>
              <w:right w:val="single" w:sz="4" w:space="0" w:color="000000"/>
            </w:tcBorders>
            <w:noWrap/>
            <w:vAlign w:val="center"/>
          </w:tcPr>
          <w:p w14:paraId="15B13C8B"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4B6C62CF"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18176F86"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2</w:t>
            </w:r>
            <w:r w:rsidRPr="00B12FE0">
              <w:rPr>
                <w:rFonts w:hint="eastAsia"/>
                <w:color w:val="000000" w:themeColor="text1"/>
                <w:kern w:val="0"/>
                <w:sz w:val="18"/>
                <w:szCs w:val="18"/>
                <w:lang w:bidi="ar"/>
              </w:rPr>
              <w:t>5</w:t>
            </w:r>
            <w:r w:rsidRPr="00B12FE0">
              <w:rPr>
                <w:color w:val="000000" w:themeColor="text1"/>
                <w:kern w:val="0"/>
                <w:sz w:val="18"/>
                <w:szCs w:val="18"/>
                <w:lang w:bidi="ar"/>
              </w:rPr>
              <w:t>0mm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561E36BA"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3.80E-01</w:t>
            </w:r>
          </w:p>
        </w:tc>
      </w:tr>
      <w:tr w:rsidR="00A67F21" w:rsidRPr="00B12FE0" w14:paraId="179F4629" w14:textId="77777777">
        <w:trPr>
          <w:trHeight w:val="135"/>
          <w:jc w:val="center"/>
        </w:trPr>
        <w:tc>
          <w:tcPr>
            <w:tcW w:w="423" w:type="pct"/>
            <w:tcBorders>
              <w:top w:val="single" w:sz="4" w:space="0" w:color="auto"/>
              <w:left w:val="single" w:sz="4" w:space="0" w:color="auto"/>
              <w:bottom w:val="single" w:sz="4" w:space="0" w:color="auto"/>
              <w:right w:val="single" w:sz="4" w:space="0" w:color="auto"/>
            </w:tcBorders>
            <w:noWrap/>
            <w:vAlign w:val="center"/>
          </w:tcPr>
          <w:p w14:paraId="3D949F0B"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3-1</w:t>
            </w:r>
            <w:r w:rsidRPr="00B12FE0">
              <w:rPr>
                <w:rFonts w:hint="eastAsia"/>
                <w:color w:val="000000" w:themeColor="text1"/>
                <w:kern w:val="0"/>
                <w:sz w:val="18"/>
                <w:szCs w:val="18"/>
                <w:lang w:bidi="ar"/>
              </w:rPr>
              <w:t>4</w:t>
            </w:r>
          </w:p>
        </w:tc>
        <w:tc>
          <w:tcPr>
            <w:tcW w:w="470" w:type="pct"/>
            <w:vMerge/>
            <w:tcBorders>
              <w:left w:val="single" w:sz="4" w:space="0" w:color="auto"/>
              <w:right w:val="single" w:sz="4" w:space="0" w:color="auto"/>
            </w:tcBorders>
            <w:noWrap/>
            <w:vAlign w:val="center"/>
          </w:tcPr>
          <w:p w14:paraId="09A64E01" w14:textId="77777777" w:rsidR="00A67F21" w:rsidRPr="00B12FE0" w:rsidRDefault="00A67F21">
            <w:pPr>
              <w:widowControl/>
              <w:jc w:val="center"/>
              <w:textAlignment w:val="center"/>
              <w:rPr>
                <w:color w:val="000000" w:themeColor="text1"/>
                <w:kern w:val="0"/>
                <w:sz w:val="18"/>
                <w:szCs w:val="18"/>
                <w:lang w:bidi="ar"/>
              </w:rPr>
            </w:pPr>
          </w:p>
        </w:tc>
        <w:tc>
          <w:tcPr>
            <w:tcW w:w="957" w:type="pct"/>
            <w:tcBorders>
              <w:top w:val="single" w:sz="4" w:space="0" w:color="auto"/>
              <w:left w:val="single" w:sz="4" w:space="0" w:color="auto"/>
              <w:bottom w:val="single" w:sz="4" w:space="0" w:color="000000"/>
              <w:right w:val="single" w:sz="4" w:space="0" w:color="000000"/>
            </w:tcBorders>
            <w:noWrap/>
            <w:vAlign w:val="center"/>
          </w:tcPr>
          <w:p w14:paraId="4C0B2A25"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下方距地</w:t>
            </w:r>
            <w:r w:rsidRPr="00B12FE0">
              <w:rPr>
                <w:color w:val="000000" w:themeColor="text1"/>
                <w:kern w:val="0"/>
                <w:sz w:val="18"/>
                <w:szCs w:val="18"/>
                <w:lang w:bidi="ar"/>
              </w:rPr>
              <w:t>170cm</w:t>
            </w:r>
            <w:r w:rsidRPr="00B12FE0">
              <w:rPr>
                <w:color w:val="000000" w:themeColor="text1"/>
                <w:kern w:val="0"/>
                <w:sz w:val="18"/>
                <w:szCs w:val="18"/>
                <w:lang w:bidi="ar"/>
              </w:rPr>
              <w:t>处</w:t>
            </w:r>
          </w:p>
        </w:tc>
        <w:tc>
          <w:tcPr>
            <w:tcW w:w="365" w:type="pct"/>
            <w:tcBorders>
              <w:top w:val="single" w:sz="4" w:space="0" w:color="auto"/>
              <w:left w:val="single" w:sz="4" w:space="0" w:color="000000"/>
              <w:bottom w:val="single" w:sz="4" w:space="0" w:color="000000"/>
              <w:right w:val="single" w:sz="4" w:space="0" w:color="000000"/>
            </w:tcBorders>
            <w:noWrap/>
            <w:vAlign w:val="center"/>
          </w:tcPr>
          <w:p w14:paraId="635CA69B"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2.8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747067FD"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17525364"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2</w:t>
            </w:r>
            <w:r w:rsidRPr="00B12FE0">
              <w:rPr>
                <w:rFonts w:hint="eastAsia"/>
                <w:color w:val="000000" w:themeColor="text1"/>
                <w:kern w:val="0"/>
                <w:sz w:val="18"/>
                <w:szCs w:val="18"/>
                <w:lang w:bidi="ar"/>
              </w:rPr>
              <w:t>5</w:t>
            </w:r>
            <w:r w:rsidRPr="00B12FE0">
              <w:rPr>
                <w:color w:val="000000" w:themeColor="text1"/>
                <w:kern w:val="0"/>
                <w:sz w:val="18"/>
                <w:szCs w:val="18"/>
                <w:lang w:bidi="ar"/>
              </w:rPr>
              <w:t>0mm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4C55EE2E" w14:textId="77777777" w:rsidR="00A67F21" w:rsidRPr="00B12FE0" w:rsidRDefault="00000000">
            <w:pPr>
              <w:widowControl/>
              <w:jc w:val="center"/>
              <w:textAlignment w:val="center"/>
              <w:rPr>
                <w:color w:val="000000" w:themeColor="text1"/>
                <w:kern w:val="0"/>
                <w:sz w:val="18"/>
                <w:szCs w:val="18"/>
                <w:lang w:bidi="ar"/>
              </w:rPr>
            </w:pPr>
            <w:r w:rsidRPr="00B12FE0">
              <w:rPr>
                <w:rFonts w:eastAsia="等线"/>
                <w:color w:val="000000" w:themeColor="text1"/>
                <w:sz w:val="18"/>
                <w:szCs w:val="18"/>
              </w:rPr>
              <w:t>1.12</w:t>
            </w:r>
          </w:p>
        </w:tc>
      </w:tr>
      <w:tr w:rsidR="00A67F21" w:rsidRPr="00B12FE0" w14:paraId="52CDBBAA" w14:textId="77777777">
        <w:trPr>
          <w:trHeight w:val="340"/>
          <w:jc w:val="center"/>
        </w:trPr>
        <w:tc>
          <w:tcPr>
            <w:tcW w:w="423" w:type="pct"/>
            <w:tcBorders>
              <w:top w:val="single" w:sz="4" w:space="0" w:color="auto"/>
              <w:left w:val="single" w:sz="4" w:space="0" w:color="000000"/>
              <w:bottom w:val="single" w:sz="4" w:space="0" w:color="000000"/>
              <w:right w:val="single" w:sz="4" w:space="0" w:color="auto"/>
            </w:tcBorders>
            <w:noWrap/>
            <w:vAlign w:val="center"/>
          </w:tcPr>
          <w:p w14:paraId="54535881"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3-1</w:t>
            </w:r>
            <w:r w:rsidRPr="00B12FE0">
              <w:rPr>
                <w:rFonts w:hint="eastAsia"/>
                <w:color w:val="000000" w:themeColor="text1"/>
                <w:kern w:val="0"/>
                <w:sz w:val="18"/>
                <w:szCs w:val="18"/>
                <w:lang w:bidi="ar"/>
              </w:rPr>
              <w:t>5</w:t>
            </w:r>
          </w:p>
        </w:tc>
        <w:tc>
          <w:tcPr>
            <w:tcW w:w="470" w:type="pct"/>
            <w:vMerge/>
            <w:tcBorders>
              <w:left w:val="single" w:sz="4" w:space="0" w:color="auto"/>
              <w:right w:val="single" w:sz="4" w:space="0" w:color="auto"/>
            </w:tcBorders>
            <w:noWrap/>
            <w:vAlign w:val="center"/>
          </w:tcPr>
          <w:p w14:paraId="1C771CE4"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auto"/>
              <w:bottom w:val="single" w:sz="4" w:space="0" w:color="000000"/>
              <w:right w:val="single" w:sz="4" w:space="0" w:color="000000"/>
            </w:tcBorders>
            <w:noWrap/>
            <w:vAlign w:val="center"/>
          </w:tcPr>
          <w:p w14:paraId="209C0A0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东</w:t>
            </w:r>
            <w:r w:rsidRPr="00B12FE0">
              <w:rPr>
                <w:color w:val="000000" w:themeColor="text1"/>
                <w:kern w:val="0"/>
                <w:sz w:val="18"/>
                <w:szCs w:val="18"/>
                <w:lang w:bidi="ar"/>
              </w:rPr>
              <w:t>墙外</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1D38A48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2.6</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210C928E"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7A5F1E4F" w14:textId="77777777" w:rsidR="00A67F21" w:rsidRPr="00B12FE0" w:rsidRDefault="00000000">
            <w:pPr>
              <w:widowControl/>
              <w:jc w:val="center"/>
              <w:textAlignment w:val="center"/>
              <w:rPr>
                <w:color w:val="000000" w:themeColor="text1"/>
                <w:sz w:val="18"/>
                <w:szCs w:val="18"/>
              </w:rPr>
            </w:pPr>
            <w:r w:rsidRPr="00B12FE0">
              <w:rPr>
                <w:color w:val="000000" w:themeColor="text1"/>
                <w:sz w:val="18"/>
                <w:szCs w:val="18"/>
              </w:rPr>
              <w:t>370mm</w:t>
            </w:r>
            <w:r w:rsidRPr="00B12FE0">
              <w:rPr>
                <w:color w:val="000000" w:themeColor="text1"/>
                <w:sz w:val="18"/>
                <w:szCs w:val="18"/>
              </w:rPr>
              <w:t>实心砖</w:t>
            </w:r>
          </w:p>
        </w:tc>
        <w:tc>
          <w:tcPr>
            <w:tcW w:w="613" w:type="pct"/>
            <w:tcBorders>
              <w:top w:val="single" w:sz="4" w:space="0" w:color="auto"/>
              <w:left w:val="single" w:sz="4" w:space="0" w:color="auto"/>
              <w:bottom w:val="single" w:sz="4" w:space="0" w:color="auto"/>
              <w:right w:val="single" w:sz="4" w:space="0" w:color="auto"/>
            </w:tcBorders>
            <w:noWrap/>
            <w:vAlign w:val="center"/>
          </w:tcPr>
          <w:p w14:paraId="2E1ABCE7"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1.10</w:t>
            </w:r>
          </w:p>
        </w:tc>
      </w:tr>
      <w:tr w:rsidR="00A67F21" w:rsidRPr="00B12FE0" w14:paraId="63DF9F44" w14:textId="77777777">
        <w:trPr>
          <w:trHeight w:val="340"/>
          <w:jc w:val="center"/>
        </w:trPr>
        <w:tc>
          <w:tcPr>
            <w:tcW w:w="423" w:type="pct"/>
            <w:tcBorders>
              <w:top w:val="single" w:sz="4" w:space="0" w:color="auto"/>
              <w:left w:val="single" w:sz="4" w:space="0" w:color="000000"/>
              <w:bottom w:val="single" w:sz="4" w:space="0" w:color="000000"/>
              <w:right w:val="single" w:sz="4" w:space="0" w:color="auto"/>
            </w:tcBorders>
            <w:noWrap/>
            <w:vAlign w:val="center"/>
          </w:tcPr>
          <w:p w14:paraId="39A5491E"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3-1</w:t>
            </w:r>
            <w:r w:rsidRPr="00B12FE0">
              <w:rPr>
                <w:rFonts w:hint="eastAsia"/>
                <w:color w:val="000000" w:themeColor="text1"/>
                <w:kern w:val="0"/>
                <w:sz w:val="18"/>
                <w:szCs w:val="18"/>
                <w:lang w:bidi="ar"/>
              </w:rPr>
              <w:t>6</w:t>
            </w:r>
          </w:p>
        </w:tc>
        <w:tc>
          <w:tcPr>
            <w:tcW w:w="470" w:type="pct"/>
            <w:vMerge/>
            <w:tcBorders>
              <w:left w:val="single" w:sz="4" w:space="0" w:color="auto"/>
              <w:bottom w:val="single" w:sz="4" w:space="0" w:color="auto"/>
              <w:right w:val="single" w:sz="4" w:space="0" w:color="auto"/>
            </w:tcBorders>
            <w:noWrap/>
            <w:vAlign w:val="center"/>
          </w:tcPr>
          <w:p w14:paraId="14F2CE01"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auto"/>
              <w:bottom w:val="single" w:sz="4" w:space="0" w:color="000000"/>
              <w:right w:val="single" w:sz="4" w:space="0" w:color="000000"/>
            </w:tcBorders>
            <w:noWrap/>
            <w:vAlign w:val="center"/>
          </w:tcPr>
          <w:p w14:paraId="41D5C87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医生</w:t>
            </w:r>
            <w:proofErr w:type="gramStart"/>
            <w:r w:rsidRPr="00B12FE0">
              <w:rPr>
                <w:rFonts w:hint="eastAsia"/>
                <w:color w:val="000000" w:themeColor="text1"/>
                <w:kern w:val="0"/>
                <w:sz w:val="18"/>
                <w:szCs w:val="18"/>
                <w:lang w:bidi="ar"/>
              </w:rPr>
              <w:t>查房位</w:t>
            </w:r>
            <w:proofErr w:type="gramEnd"/>
          </w:p>
        </w:tc>
        <w:tc>
          <w:tcPr>
            <w:tcW w:w="365" w:type="pct"/>
            <w:tcBorders>
              <w:top w:val="single" w:sz="4" w:space="0" w:color="000000"/>
              <w:left w:val="single" w:sz="4" w:space="0" w:color="000000"/>
              <w:bottom w:val="single" w:sz="4" w:space="0" w:color="000000"/>
              <w:right w:val="single" w:sz="4" w:space="0" w:color="000000"/>
            </w:tcBorders>
            <w:noWrap/>
            <w:vAlign w:val="center"/>
          </w:tcPr>
          <w:p w14:paraId="4179523B"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0.5</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66546DB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5001B582"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0.5mmPb</w:t>
            </w:r>
            <w:proofErr w:type="gramStart"/>
            <w:r w:rsidRPr="00B12FE0">
              <w:rPr>
                <w:rFonts w:hint="eastAsia"/>
                <w:color w:val="000000" w:themeColor="text1"/>
                <w:sz w:val="18"/>
                <w:szCs w:val="18"/>
              </w:rPr>
              <w:t>铅衣</w:t>
            </w:r>
            <w:proofErr w:type="gramEnd"/>
          </w:p>
        </w:tc>
        <w:tc>
          <w:tcPr>
            <w:tcW w:w="613" w:type="pct"/>
            <w:tcBorders>
              <w:top w:val="single" w:sz="4" w:space="0" w:color="auto"/>
              <w:left w:val="single" w:sz="4" w:space="0" w:color="auto"/>
              <w:bottom w:val="single" w:sz="4" w:space="0" w:color="auto"/>
              <w:right w:val="single" w:sz="4" w:space="0" w:color="auto"/>
            </w:tcBorders>
            <w:noWrap/>
            <w:vAlign w:val="center"/>
          </w:tcPr>
          <w:p w14:paraId="6C9D269F" w14:textId="77777777" w:rsidR="00A67F21" w:rsidRPr="00B12FE0" w:rsidRDefault="00000000">
            <w:pPr>
              <w:widowControl/>
              <w:jc w:val="center"/>
              <w:textAlignment w:val="center"/>
              <w:rPr>
                <w:rFonts w:eastAsia="等线"/>
                <w:color w:val="000000" w:themeColor="text1"/>
                <w:sz w:val="18"/>
                <w:szCs w:val="18"/>
              </w:rPr>
            </w:pPr>
            <w:r w:rsidRPr="00B12FE0">
              <w:rPr>
                <w:rFonts w:eastAsia="等线" w:hint="eastAsia"/>
                <w:color w:val="000000" w:themeColor="text1"/>
                <w:sz w:val="18"/>
                <w:szCs w:val="18"/>
              </w:rPr>
              <w:t>933</w:t>
            </w:r>
          </w:p>
        </w:tc>
      </w:tr>
      <w:tr w:rsidR="00A67F21" w:rsidRPr="00B12FE0" w14:paraId="043664F8" w14:textId="77777777">
        <w:trPr>
          <w:trHeight w:val="340"/>
          <w:jc w:val="center"/>
        </w:trPr>
        <w:tc>
          <w:tcPr>
            <w:tcW w:w="423" w:type="pct"/>
            <w:tcBorders>
              <w:top w:val="single" w:sz="4" w:space="0" w:color="000000"/>
              <w:left w:val="single" w:sz="4" w:space="0" w:color="000000"/>
              <w:bottom w:val="single" w:sz="4" w:space="0" w:color="000000"/>
              <w:right w:val="single" w:sz="4" w:space="0" w:color="000000"/>
            </w:tcBorders>
            <w:noWrap/>
            <w:vAlign w:val="center"/>
          </w:tcPr>
          <w:p w14:paraId="14EDD723"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3-17</w:t>
            </w:r>
          </w:p>
        </w:tc>
        <w:tc>
          <w:tcPr>
            <w:tcW w:w="470" w:type="pct"/>
            <w:vMerge w:val="restart"/>
            <w:tcBorders>
              <w:top w:val="single" w:sz="4" w:space="0" w:color="auto"/>
              <w:left w:val="single" w:sz="4" w:space="0" w:color="000000"/>
              <w:bottom w:val="single" w:sz="4" w:space="0" w:color="000000"/>
              <w:right w:val="single" w:sz="4" w:space="0" w:color="000000"/>
            </w:tcBorders>
            <w:noWrap/>
            <w:vAlign w:val="center"/>
          </w:tcPr>
          <w:p w14:paraId="03630E9E"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患者通道</w:t>
            </w: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0A348005"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上方</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1B1FF146"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4.8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3377B969"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1310C6B7"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2</w:t>
            </w:r>
            <w:r w:rsidRPr="00B12FE0">
              <w:rPr>
                <w:rFonts w:hint="eastAsia"/>
                <w:color w:val="000000" w:themeColor="text1"/>
                <w:kern w:val="0"/>
                <w:sz w:val="18"/>
                <w:szCs w:val="18"/>
                <w:lang w:bidi="ar"/>
              </w:rPr>
              <w:t>5</w:t>
            </w:r>
            <w:r w:rsidRPr="00B12FE0">
              <w:rPr>
                <w:color w:val="000000" w:themeColor="text1"/>
                <w:kern w:val="0"/>
                <w:sz w:val="18"/>
                <w:szCs w:val="18"/>
                <w:lang w:bidi="ar"/>
              </w:rPr>
              <w:t>0mm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05A41E98"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3.80E-01</w:t>
            </w:r>
          </w:p>
        </w:tc>
      </w:tr>
      <w:tr w:rsidR="00A67F21" w:rsidRPr="00B12FE0" w14:paraId="1505C638" w14:textId="77777777">
        <w:trPr>
          <w:trHeight w:val="340"/>
          <w:jc w:val="center"/>
        </w:trPr>
        <w:tc>
          <w:tcPr>
            <w:tcW w:w="423" w:type="pct"/>
            <w:tcBorders>
              <w:top w:val="single" w:sz="4" w:space="0" w:color="000000"/>
              <w:left w:val="single" w:sz="4" w:space="0" w:color="000000"/>
              <w:bottom w:val="single" w:sz="4" w:space="0" w:color="000000"/>
              <w:right w:val="single" w:sz="4" w:space="0" w:color="000000"/>
            </w:tcBorders>
            <w:noWrap/>
            <w:vAlign w:val="center"/>
          </w:tcPr>
          <w:p w14:paraId="35CC36F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3-18</w:t>
            </w:r>
          </w:p>
        </w:tc>
        <w:tc>
          <w:tcPr>
            <w:tcW w:w="470" w:type="pct"/>
            <w:vMerge/>
            <w:tcBorders>
              <w:top w:val="single" w:sz="4" w:space="0" w:color="000000"/>
              <w:left w:val="single" w:sz="4" w:space="0" w:color="000000"/>
              <w:bottom w:val="single" w:sz="4" w:space="0" w:color="000000"/>
              <w:right w:val="single" w:sz="4" w:space="0" w:color="000000"/>
            </w:tcBorders>
            <w:noWrap/>
            <w:vAlign w:val="center"/>
          </w:tcPr>
          <w:p w14:paraId="76657665"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2D7C0AA3"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下方距地</w:t>
            </w:r>
            <w:r w:rsidRPr="00B12FE0">
              <w:rPr>
                <w:color w:val="000000" w:themeColor="text1"/>
                <w:kern w:val="0"/>
                <w:sz w:val="18"/>
                <w:szCs w:val="18"/>
                <w:lang w:bidi="ar"/>
              </w:rPr>
              <w:t>170cm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0AB0D221"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2.8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3C79F755"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2E124C53" w14:textId="77777777" w:rsidR="00A67F21" w:rsidRPr="00B12FE0" w:rsidRDefault="00000000">
            <w:pPr>
              <w:widowControl/>
              <w:jc w:val="center"/>
              <w:textAlignment w:val="center"/>
              <w:rPr>
                <w:color w:val="000000" w:themeColor="text1"/>
                <w:sz w:val="18"/>
                <w:szCs w:val="18"/>
              </w:rPr>
            </w:pPr>
            <w:r w:rsidRPr="00B12FE0">
              <w:rPr>
                <w:color w:val="000000" w:themeColor="text1"/>
                <w:kern w:val="0"/>
                <w:sz w:val="18"/>
                <w:szCs w:val="18"/>
                <w:lang w:bidi="ar"/>
              </w:rPr>
              <w:t>2</w:t>
            </w:r>
            <w:r w:rsidRPr="00B12FE0">
              <w:rPr>
                <w:rFonts w:hint="eastAsia"/>
                <w:color w:val="000000" w:themeColor="text1"/>
                <w:kern w:val="0"/>
                <w:sz w:val="18"/>
                <w:szCs w:val="18"/>
                <w:lang w:bidi="ar"/>
              </w:rPr>
              <w:t>5</w:t>
            </w:r>
            <w:r w:rsidRPr="00B12FE0">
              <w:rPr>
                <w:color w:val="000000" w:themeColor="text1"/>
                <w:kern w:val="0"/>
                <w:sz w:val="18"/>
                <w:szCs w:val="18"/>
                <w:lang w:bidi="ar"/>
              </w:rPr>
              <w:t>0mm</w:t>
            </w:r>
            <w:r w:rsidRPr="00B12FE0">
              <w:rPr>
                <w:color w:val="000000" w:themeColor="text1"/>
                <w:kern w:val="0"/>
                <w:sz w:val="18"/>
                <w:szCs w:val="18"/>
                <w:lang w:bidi="ar"/>
              </w:rPr>
              <w:t>混凝土</w:t>
            </w:r>
          </w:p>
        </w:tc>
        <w:tc>
          <w:tcPr>
            <w:tcW w:w="613" w:type="pct"/>
            <w:tcBorders>
              <w:top w:val="single" w:sz="4" w:space="0" w:color="auto"/>
              <w:left w:val="single" w:sz="4" w:space="0" w:color="auto"/>
              <w:bottom w:val="single" w:sz="4" w:space="0" w:color="auto"/>
              <w:right w:val="single" w:sz="4" w:space="0" w:color="auto"/>
            </w:tcBorders>
            <w:noWrap/>
            <w:vAlign w:val="center"/>
          </w:tcPr>
          <w:p w14:paraId="0F06DAD5" w14:textId="77777777" w:rsidR="00A67F21" w:rsidRPr="00B12FE0" w:rsidRDefault="00000000">
            <w:pPr>
              <w:widowControl/>
              <w:jc w:val="center"/>
              <w:textAlignment w:val="center"/>
              <w:rPr>
                <w:color w:val="000000" w:themeColor="text1"/>
                <w:sz w:val="18"/>
                <w:szCs w:val="18"/>
              </w:rPr>
            </w:pPr>
            <w:r w:rsidRPr="00B12FE0">
              <w:rPr>
                <w:rFonts w:eastAsia="等线"/>
                <w:color w:val="000000" w:themeColor="text1"/>
                <w:sz w:val="18"/>
                <w:szCs w:val="18"/>
              </w:rPr>
              <w:t>1.12</w:t>
            </w:r>
          </w:p>
        </w:tc>
      </w:tr>
      <w:tr w:rsidR="00A67F21" w:rsidRPr="00B12FE0" w14:paraId="2C877D40" w14:textId="77777777">
        <w:trPr>
          <w:trHeight w:val="340"/>
          <w:jc w:val="center"/>
        </w:trPr>
        <w:tc>
          <w:tcPr>
            <w:tcW w:w="423" w:type="pct"/>
            <w:tcBorders>
              <w:top w:val="single" w:sz="4" w:space="0" w:color="000000"/>
              <w:left w:val="single" w:sz="4" w:space="0" w:color="000000"/>
              <w:bottom w:val="single" w:sz="4" w:space="0" w:color="000000"/>
              <w:right w:val="single" w:sz="4" w:space="0" w:color="000000"/>
            </w:tcBorders>
            <w:noWrap/>
            <w:vAlign w:val="center"/>
          </w:tcPr>
          <w:p w14:paraId="19920599"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3-19</w:t>
            </w:r>
          </w:p>
        </w:tc>
        <w:tc>
          <w:tcPr>
            <w:tcW w:w="470" w:type="pct"/>
            <w:tcBorders>
              <w:top w:val="single" w:sz="4" w:space="0" w:color="000000"/>
              <w:left w:val="single" w:sz="4" w:space="0" w:color="000000"/>
              <w:bottom w:val="single" w:sz="4" w:space="0" w:color="000000"/>
              <w:right w:val="single" w:sz="4" w:space="0" w:color="000000"/>
            </w:tcBorders>
            <w:noWrap/>
            <w:vAlign w:val="center"/>
          </w:tcPr>
          <w:p w14:paraId="11ED7B5A"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示教室</w:t>
            </w: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5EA1EB1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南墙内</w:t>
            </w:r>
            <w:r w:rsidRPr="00B12FE0">
              <w:rPr>
                <w:rFonts w:hint="eastAsia"/>
                <w:color w:val="000000" w:themeColor="text1"/>
                <w:kern w:val="0"/>
                <w:sz w:val="18"/>
                <w:szCs w:val="18"/>
                <w:lang w:bidi="ar"/>
              </w:rPr>
              <w:t>30cm</w:t>
            </w:r>
            <w:r w:rsidRPr="00B12FE0">
              <w:rPr>
                <w:rFonts w:hint="eastAsia"/>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04C47819"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7.8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0040070A"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8.88</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335AC7B3"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370mm</w:t>
            </w:r>
            <w:r w:rsidRPr="00B12FE0">
              <w:rPr>
                <w:color w:val="000000" w:themeColor="text1"/>
                <w:kern w:val="0"/>
                <w:sz w:val="18"/>
                <w:szCs w:val="18"/>
                <w:lang w:bidi="ar"/>
              </w:rPr>
              <w:t>实心砖</w:t>
            </w:r>
            <w:r w:rsidRPr="00B12FE0">
              <w:rPr>
                <w:rFonts w:hint="eastAsia"/>
                <w:color w:val="000000" w:themeColor="text1"/>
                <w:kern w:val="0"/>
                <w:sz w:val="18"/>
                <w:szCs w:val="18"/>
                <w:lang w:bidi="ar"/>
              </w:rPr>
              <w:t>+</w:t>
            </w: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000000"/>
              <w:left w:val="single" w:sz="4" w:space="0" w:color="000000"/>
              <w:bottom w:val="nil"/>
              <w:right w:val="single" w:sz="4" w:space="0" w:color="000000"/>
            </w:tcBorders>
            <w:noWrap/>
            <w:vAlign w:val="center"/>
          </w:tcPr>
          <w:p w14:paraId="3CABF94B" w14:textId="77777777" w:rsidR="00A67F21" w:rsidRPr="00B12FE0" w:rsidRDefault="00000000">
            <w:pPr>
              <w:widowControl/>
              <w:jc w:val="center"/>
              <w:textAlignment w:val="center"/>
              <w:rPr>
                <w:rFonts w:eastAsia="等线"/>
                <w:color w:val="000000" w:themeColor="text1"/>
                <w:sz w:val="18"/>
                <w:szCs w:val="18"/>
              </w:rPr>
            </w:pPr>
            <w:r w:rsidRPr="00B12FE0">
              <w:rPr>
                <w:rFonts w:eastAsia="等线" w:hint="eastAsia"/>
                <w:color w:val="000000" w:themeColor="text1"/>
                <w:sz w:val="18"/>
                <w:szCs w:val="18"/>
              </w:rPr>
              <w:t>7.02</w:t>
            </w:r>
            <w:r w:rsidRPr="00B12FE0">
              <w:rPr>
                <w:rFonts w:eastAsia="等线"/>
                <w:color w:val="000000" w:themeColor="text1"/>
                <w:sz w:val="18"/>
                <w:szCs w:val="18"/>
              </w:rPr>
              <w:t>E-03</w:t>
            </w:r>
          </w:p>
        </w:tc>
      </w:tr>
      <w:tr w:rsidR="00A67F21" w:rsidRPr="00B12FE0" w14:paraId="56BB2A96" w14:textId="77777777">
        <w:trPr>
          <w:trHeight w:val="340"/>
          <w:jc w:val="center"/>
        </w:trPr>
        <w:tc>
          <w:tcPr>
            <w:tcW w:w="423" w:type="pct"/>
            <w:vMerge w:val="restart"/>
            <w:tcBorders>
              <w:top w:val="single" w:sz="4" w:space="0" w:color="000000"/>
              <w:left w:val="single" w:sz="4" w:space="0" w:color="000000"/>
              <w:right w:val="single" w:sz="4" w:space="0" w:color="000000"/>
            </w:tcBorders>
            <w:noWrap/>
            <w:vAlign w:val="center"/>
          </w:tcPr>
          <w:p w14:paraId="64DCD345"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3-20</w:t>
            </w:r>
          </w:p>
        </w:tc>
        <w:tc>
          <w:tcPr>
            <w:tcW w:w="470" w:type="pct"/>
            <w:vMerge w:val="restart"/>
            <w:tcBorders>
              <w:top w:val="single" w:sz="4" w:space="0" w:color="000000"/>
              <w:left w:val="single" w:sz="4" w:space="0" w:color="000000"/>
              <w:right w:val="single" w:sz="4" w:space="0" w:color="000000"/>
            </w:tcBorders>
            <w:noWrap/>
            <w:vAlign w:val="center"/>
          </w:tcPr>
          <w:p w14:paraId="06A1E1CD"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抢救室</w:t>
            </w:r>
          </w:p>
        </w:tc>
        <w:tc>
          <w:tcPr>
            <w:tcW w:w="957" w:type="pct"/>
            <w:tcBorders>
              <w:top w:val="single" w:sz="4" w:space="0" w:color="000000"/>
              <w:left w:val="single" w:sz="4" w:space="0" w:color="auto"/>
              <w:bottom w:val="single" w:sz="4" w:space="0" w:color="000000"/>
              <w:right w:val="single" w:sz="4" w:space="0" w:color="000000"/>
            </w:tcBorders>
            <w:noWrap/>
            <w:vAlign w:val="center"/>
          </w:tcPr>
          <w:p w14:paraId="0B601FE3"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sz w:val="18"/>
                <w:szCs w:val="18"/>
              </w:rPr>
              <w:t>北墙外</w:t>
            </w:r>
            <w:r w:rsidRPr="00B12FE0">
              <w:rPr>
                <w:color w:val="000000" w:themeColor="text1"/>
                <w:sz w:val="18"/>
                <w:szCs w:val="18"/>
              </w:rPr>
              <w:t>30cm</w:t>
            </w:r>
            <w:r w:rsidRPr="00B12FE0">
              <w:rPr>
                <w:color w:val="000000" w:themeColor="text1"/>
                <w:sz w:val="18"/>
                <w:szCs w:val="18"/>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01B3F39A"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3.2</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6F950DE5"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4442F7D0"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000000"/>
              <w:left w:val="single" w:sz="4" w:space="0" w:color="000000"/>
              <w:bottom w:val="nil"/>
              <w:right w:val="single" w:sz="4" w:space="0" w:color="000000"/>
            </w:tcBorders>
            <w:noWrap/>
            <w:vAlign w:val="center"/>
          </w:tcPr>
          <w:p w14:paraId="5829CD70" w14:textId="77777777" w:rsidR="00A67F21" w:rsidRPr="00B12FE0" w:rsidRDefault="00000000">
            <w:pPr>
              <w:widowControl/>
              <w:jc w:val="center"/>
              <w:textAlignment w:val="center"/>
              <w:rPr>
                <w:rFonts w:eastAsia="等线"/>
                <w:color w:val="000000" w:themeColor="text1"/>
                <w:sz w:val="18"/>
                <w:szCs w:val="18"/>
              </w:rPr>
            </w:pPr>
            <w:r w:rsidRPr="00B12FE0">
              <w:rPr>
                <w:rFonts w:eastAsia="等线"/>
                <w:color w:val="000000" w:themeColor="text1"/>
                <w:sz w:val="18"/>
                <w:szCs w:val="18"/>
              </w:rPr>
              <w:t>7.26E-01</w:t>
            </w:r>
          </w:p>
        </w:tc>
      </w:tr>
      <w:tr w:rsidR="00A67F21" w:rsidRPr="00B12FE0" w14:paraId="64D069B0" w14:textId="77777777">
        <w:trPr>
          <w:trHeight w:val="340"/>
          <w:jc w:val="center"/>
        </w:trPr>
        <w:tc>
          <w:tcPr>
            <w:tcW w:w="423" w:type="pct"/>
            <w:vMerge/>
            <w:tcBorders>
              <w:left w:val="single" w:sz="4" w:space="0" w:color="000000"/>
              <w:bottom w:val="single" w:sz="4" w:space="0" w:color="000000"/>
              <w:right w:val="single" w:sz="4" w:space="0" w:color="000000"/>
            </w:tcBorders>
            <w:noWrap/>
            <w:vAlign w:val="center"/>
          </w:tcPr>
          <w:p w14:paraId="655DA1B8" w14:textId="77777777" w:rsidR="00A67F21" w:rsidRPr="00B12FE0" w:rsidRDefault="00A67F21">
            <w:pPr>
              <w:widowControl/>
              <w:jc w:val="center"/>
              <w:textAlignment w:val="center"/>
              <w:rPr>
                <w:color w:val="000000" w:themeColor="text1"/>
                <w:sz w:val="18"/>
                <w:szCs w:val="18"/>
              </w:rPr>
            </w:pPr>
          </w:p>
        </w:tc>
        <w:tc>
          <w:tcPr>
            <w:tcW w:w="470" w:type="pct"/>
            <w:vMerge/>
            <w:tcBorders>
              <w:left w:val="single" w:sz="4" w:space="0" w:color="000000"/>
              <w:bottom w:val="single" w:sz="4" w:space="0" w:color="000000"/>
              <w:right w:val="single" w:sz="4" w:space="0" w:color="000000"/>
            </w:tcBorders>
            <w:noWrap/>
            <w:vAlign w:val="center"/>
          </w:tcPr>
          <w:p w14:paraId="5411F8E4" w14:textId="77777777" w:rsidR="00A67F21" w:rsidRPr="00B12FE0" w:rsidRDefault="00A67F21">
            <w:pPr>
              <w:jc w:val="center"/>
              <w:rPr>
                <w:color w:val="000000" w:themeColor="text1"/>
                <w:sz w:val="18"/>
                <w:szCs w:val="18"/>
              </w:rPr>
            </w:pPr>
          </w:p>
        </w:tc>
        <w:tc>
          <w:tcPr>
            <w:tcW w:w="957" w:type="pct"/>
            <w:tcBorders>
              <w:top w:val="single" w:sz="4" w:space="0" w:color="000000"/>
              <w:left w:val="single" w:sz="4" w:space="0" w:color="auto"/>
              <w:bottom w:val="single" w:sz="4" w:space="0" w:color="000000"/>
              <w:right w:val="single" w:sz="4" w:space="0" w:color="000000"/>
            </w:tcBorders>
            <w:noWrap/>
            <w:vAlign w:val="center"/>
          </w:tcPr>
          <w:p w14:paraId="508635FE"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sz w:val="18"/>
                <w:szCs w:val="18"/>
              </w:rPr>
              <w:t>北</w:t>
            </w:r>
            <w:r w:rsidRPr="00B12FE0">
              <w:rPr>
                <w:color w:val="000000" w:themeColor="text1"/>
                <w:sz w:val="18"/>
                <w:szCs w:val="18"/>
              </w:rPr>
              <w:t>侧防护门外</w:t>
            </w:r>
            <w:r w:rsidRPr="00B12FE0">
              <w:rPr>
                <w:color w:val="000000" w:themeColor="text1"/>
                <w:sz w:val="18"/>
                <w:szCs w:val="18"/>
              </w:rPr>
              <w:t>30cm</w:t>
            </w:r>
            <w:r w:rsidRPr="00B12FE0">
              <w:rPr>
                <w:color w:val="000000" w:themeColor="text1"/>
                <w:sz w:val="18"/>
                <w:szCs w:val="18"/>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47D23215"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3.2</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65D81D2D"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4.44</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2EE4477A"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sz w:val="18"/>
                <w:szCs w:val="18"/>
              </w:rPr>
              <w:t>10mmPb</w:t>
            </w:r>
            <w:proofErr w:type="gramStart"/>
            <w:r w:rsidRPr="00B12FE0">
              <w:rPr>
                <w:color w:val="000000" w:themeColor="text1"/>
                <w:sz w:val="18"/>
                <w:szCs w:val="18"/>
              </w:rPr>
              <w:t>铅门</w:t>
            </w:r>
            <w:proofErr w:type="gramEnd"/>
          </w:p>
        </w:tc>
        <w:tc>
          <w:tcPr>
            <w:tcW w:w="613" w:type="pct"/>
            <w:tcBorders>
              <w:top w:val="single" w:sz="4" w:space="0" w:color="000000"/>
              <w:left w:val="single" w:sz="4" w:space="0" w:color="000000"/>
              <w:bottom w:val="nil"/>
              <w:right w:val="single" w:sz="4" w:space="0" w:color="000000"/>
            </w:tcBorders>
            <w:noWrap/>
            <w:vAlign w:val="center"/>
          </w:tcPr>
          <w:p w14:paraId="0696DE07" w14:textId="77777777" w:rsidR="00A67F21" w:rsidRPr="00B12FE0" w:rsidRDefault="00000000">
            <w:pPr>
              <w:widowControl/>
              <w:jc w:val="center"/>
              <w:textAlignment w:val="center"/>
              <w:rPr>
                <w:rFonts w:eastAsia="等线"/>
                <w:color w:val="000000" w:themeColor="text1"/>
                <w:sz w:val="18"/>
                <w:szCs w:val="18"/>
              </w:rPr>
            </w:pPr>
            <w:r w:rsidRPr="00B12FE0">
              <w:rPr>
                <w:rFonts w:eastAsia="等线" w:hint="eastAsia"/>
                <w:color w:val="000000" w:themeColor="text1"/>
                <w:sz w:val="18"/>
                <w:szCs w:val="18"/>
              </w:rPr>
              <w:t>3.12</w:t>
            </w:r>
          </w:p>
        </w:tc>
      </w:tr>
      <w:tr w:rsidR="00A67F21" w:rsidRPr="00B12FE0" w14:paraId="67B421A9" w14:textId="77777777">
        <w:trPr>
          <w:trHeight w:val="340"/>
          <w:jc w:val="center"/>
        </w:trPr>
        <w:tc>
          <w:tcPr>
            <w:tcW w:w="423" w:type="pct"/>
            <w:tcBorders>
              <w:top w:val="single" w:sz="4" w:space="0" w:color="000000"/>
              <w:left w:val="single" w:sz="4" w:space="0" w:color="000000"/>
              <w:bottom w:val="single" w:sz="4" w:space="0" w:color="000000"/>
              <w:right w:val="single" w:sz="4" w:space="0" w:color="000000"/>
            </w:tcBorders>
            <w:noWrap/>
            <w:vAlign w:val="center"/>
          </w:tcPr>
          <w:p w14:paraId="2A737927"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3-21</w:t>
            </w:r>
          </w:p>
        </w:tc>
        <w:tc>
          <w:tcPr>
            <w:tcW w:w="470" w:type="pct"/>
            <w:tcBorders>
              <w:top w:val="single" w:sz="4" w:space="0" w:color="000000"/>
              <w:left w:val="single" w:sz="4" w:space="0" w:color="000000"/>
              <w:bottom w:val="single" w:sz="4" w:space="0" w:color="000000"/>
              <w:right w:val="single" w:sz="4" w:space="0" w:color="000000"/>
            </w:tcBorders>
            <w:noWrap/>
            <w:vAlign w:val="center"/>
          </w:tcPr>
          <w:p w14:paraId="2AFB9C72" w14:textId="77777777" w:rsidR="00A67F21" w:rsidRPr="00B12FE0" w:rsidRDefault="00000000">
            <w:pPr>
              <w:jc w:val="center"/>
              <w:rPr>
                <w:color w:val="000000" w:themeColor="text1"/>
                <w:sz w:val="18"/>
                <w:szCs w:val="18"/>
              </w:rPr>
            </w:pPr>
            <w:r w:rsidRPr="00B12FE0">
              <w:rPr>
                <w:rFonts w:hint="eastAsia"/>
                <w:color w:val="000000" w:themeColor="text1"/>
                <w:sz w:val="18"/>
                <w:szCs w:val="18"/>
              </w:rPr>
              <w:t>空调机房</w:t>
            </w:r>
          </w:p>
        </w:tc>
        <w:tc>
          <w:tcPr>
            <w:tcW w:w="957" w:type="pct"/>
            <w:tcBorders>
              <w:top w:val="single" w:sz="4" w:space="0" w:color="000000"/>
              <w:left w:val="single" w:sz="4" w:space="0" w:color="000000"/>
              <w:bottom w:val="single" w:sz="4" w:space="0" w:color="000000"/>
              <w:right w:val="single" w:sz="4" w:space="0" w:color="000000"/>
            </w:tcBorders>
            <w:noWrap/>
            <w:vAlign w:val="center"/>
          </w:tcPr>
          <w:p w14:paraId="11AD7BA3"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南墙内</w:t>
            </w:r>
            <w:r w:rsidRPr="00B12FE0">
              <w:rPr>
                <w:color w:val="000000" w:themeColor="text1"/>
                <w:kern w:val="0"/>
                <w:sz w:val="18"/>
                <w:szCs w:val="18"/>
                <w:lang w:bidi="ar"/>
              </w:rPr>
              <w:t>30cm</w:t>
            </w:r>
            <w:r w:rsidRPr="00B12FE0">
              <w:rPr>
                <w:color w:val="000000" w:themeColor="text1"/>
                <w:kern w:val="0"/>
                <w:sz w:val="18"/>
                <w:szCs w:val="18"/>
                <w:lang w:bidi="ar"/>
              </w:rPr>
              <w:t>处</w:t>
            </w:r>
          </w:p>
        </w:tc>
        <w:tc>
          <w:tcPr>
            <w:tcW w:w="365" w:type="pct"/>
            <w:tcBorders>
              <w:top w:val="single" w:sz="4" w:space="0" w:color="000000"/>
              <w:left w:val="single" w:sz="4" w:space="0" w:color="000000"/>
              <w:bottom w:val="single" w:sz="4" w:space="0" w:color="000000"/>
              <w:right w:val="single" w:sz="4" w:space="0" w:color="000000"/>
            </w:tcBorders>
            <w:noWrap/>
            <w:vAlign w:val="center"/>
          </w:tcPr>
          <w:p w14:paraId="476CD4DC" w14:textId="77777777" w:rsidR="00A67F21" w:rsidRPr="00B12FE0" w:rsidRDefault="00000000">
            <w:pPr>
              <w:widowControl/>
              <w:jc w:val="center"/>
              <w:textAlignment w:val="center"/>
              <w:rPr>
                <w:color w:val="000000" w:themeColor="text1"/>
                <w:sz w:val="18"/>
                <w:szCs w:val="18"/>
              </w:rPr>
            </w:pPr>
            <w:r w:rsidRPr="00B12FE0">
              <w:rPr>
                <w:rFonts w:hint="eastAsia"/>
                <w:color w:val="000000" w:themeColor="text1"/>
                <w:sz w:val="18"/>
                <w:szCs w:val="18"/>
              </w:rPr>
              <w:t>7.8</w:t>
            </w:r>
          </w:p>
        </w:tc>
        <w:tc>
          <w:tcPr>
            <w:tcW w:w="548" w:type="pct"/>
            <w:tcBorders>
              <w:top w:val="single" w:sz="4" w:space="0" w:color="000000"/>
              <w:left w:val="single" w:sz="4" w:space="0" w:color="000000"/>
              <w:bottom w:val="single" w:sz="4" w:space="0" w:color="000000"/>
              <w:right w:val="single" w:sz="4" w:space="0" w:color="000000"/>
            </w:tcBorders>
            <w:noWrap/>
            <w:vAlign w:val="center"/>
          </w:tcPr>
          <w:p w14:paraId="352EE20D" w14:textId="77777777" w:rsidR="00A67F21" w:rsidRPr="00B12FE0" w:rsidRDefault="00000000">
            <w:pPr>
              <w:widowControl/>
              <w:jc w:val="center"/>
              <w:textAlignment w:val="center"/>
              <w:rPr>
                <w:color w:val="000000" w:themeColor="text1"/>
                <w:kern w:val="0"/>
                <w:sz w:val="18"/>
                <w:szCs w:val="18"/>
                <w:lang w:bidi="ar"/>
              </w:rPr>
            </w:pPr>
            <w:r w:rsidRPr="00B12FE0">
              <w:rPr>
                <w:rFonts w:hint="eastAsia"/>
                <w:color w:val="000000" w:themeColor="text1"/>
                <w:kern w:val="0"/>
                <w:sz w:val="18"/>
                <w:szCs w:val="18"/>
                <w:lang w:bidi="ar"/>
              </w:rPr>
              <w:t>8.88</w:t>
            </w:r>
            <w:r w:rsidRPr="00B12FE0">
              <w:rPr>
                <w:color w:val="000000" w:themeColor="text1"/>
                <w:sz w:val="18"/>
                <w:szCs w:val="18"/>
              </w:rPr>
              <w:t>×10</w:t>
            </w:r>
            <w:r w:rsidRPr="00B12FE0">
              <w:rPr>
                <w:rFonts w:hint="eastAsia"/>
                <w:color w:val="000000" w:themeColor="text1"/>
                <w:sz w:val="18"/>
                <w:szCs w:val="18"/>
                <w:vertAlign w:val="superscript"/>
              </w:rPr>
              <w:t>9</w:t>
            </w:r>
          </w:p>
        </w:tc>
        <w:tc>
          <w:tcPr>
            <w:tcW w:w="1624" w:type="pct"/>
            <w:tcBorders>
              <w:top w:val="single" w:sz="4" w:space="0" w:color="000000"/>
              <w:left w:val="single" w:sz="4" w:space="0" w:color="000000"/>
              <w:bottom w:val="single" w:sz="4" w:space="0" w:color="000000"/>
              <w:right w:val="single" w:sz="4" w:space="0" w:color="auto"/>
            </w:tcBorders>
            <w:noWrap/>
            <w:vAlign w:val="center"/>
          </w:tcPr>
          <w:p w14:paraId="62A2D64D" w14:textId="77777777" w:rsidR="00A67F21" w:rsidRPr="00B12FE0" w:rsidRDefault="00000000">
            <w:pPr>
              <w:widowControl/>
              <w:jc w:val="center"/>
              <w:textAlignment w:val="center"/>
              <w:rPr>
                <w:color w:val="000000" w:themeColor="text1"/>
                <w:kern w:val="0"/>
                <w:sz w:val="18"/>
                <w:szCs w:val="18"/>
                <w:lang w:bidi="ar"/>
              </w:rPr>
            </w:pPr>
            <w:r w:rsidRPr="00B12FE0">
              <w:rPr>
                <w:color w:val="000000" w:themeColor="text1"/>
                <w:kern w:val="0"/>
                <w:sz w:val="18"/>
                <w:szCs w:val="18"/>
                <w:lang w:bidi="ar"/>
              </w:rPr>
              <w:t>370mm</w:t>
            </w:r>
            <w:r w:rsidRPr="00B12FE0">
              <w:rPr>
                <w:color w:val="000000" w:themeColor="text1"/>
                <w:kern w:val="0"/>
                <w:sz w:val="18"/>
                <w:szCs w:val="18"/>
                <w:lang w:bidi="ar"/>
              </w:rPr>
              <w:t>实心砖</w:t>
            </w:r>
            <w:r w:rsidRPr="00B12FE0">
              <w:rPr>
                <w:rFonts w:hint="eastAsia"/>
                <w:color w:val="000000" w:themeColor="text1"/>
                <w:kern w:val="0"/>
                <w:sz w:val="18"/>
                <w:szCs w:val="18"/>
                <w:lang w:bidi="ar"/>
              </w:rPr>
              <w:t>+</w:t>
            </w:r>
            <w:r w:rsidRPr="00B12FE0">
              <w:rPr>
                <w:color w:val="000000" w:themeColor="text1"/>
                <w:kern w:val="0"/>
                <w:sz w:val="18"/>
                <w:szCs w:val="18"/>
                <w:lang w:bidi="ar"/>
              </w:rPr>
              <w:t>370mm</w:t>
            </w:r>
            <w:r w:rsidRPr="00B12FE0">
              <w:rPr>
                <w:color w:val="000000" w:themeColor="text1"/>
                <w:kern w:val="0"/>
                <w:sz w:val="18"/>
                <w:szCs w:val="18"/>
                <w:lang w:bidi="ar"/>
              </w:rPr>
              <w:t>实心砖</w:t>
            </w:r>
          </w:p>
        </w:tc>
        <w:tc>
          <w:tcPr>
            <w:tcW w:w="613" w:type="pct"/>
            <w:tcBorders>
              <w:top w:val="single" w:sz="4" w:space="0" w:color="000000"/>
              <w:left w:val="single" w:sz="4" w:space="0" w:color="000000"/>
              <w:bottom w:val="nil"/>
              <w:right w:val="single" w:sz="4" w:space="0" w:color="000000"/>
            </w:tcBorders>
            <w:noWrap/>
            <w:vAlign w:val="center"/>
          </w:tcPr>
          <w:p w14:paraId="1C04300D" w14:textId="77777777" w:rsidR="00A67F21" w:rsidRPr="00B12FE0" w:rsidRDefault="00000000">
            <w:pPr>
              <w:widowControl/>
              <w:jc w:val="center"/>
              <w:textAlignment w:val="center"/>
              <w:rPr>
                <w:rFonts w:eastAsia="等线"/>
                <w:color w:val="000000" w:themeColor="text1"/>
                <w:sz w:val="18"/>
                <w:szCs w:val="18"/>
              </w:rPr>
            </w:pPr>
            <w:r w:rsidRPr="00B12FE0">
              <w:rPr>
                <w:rFonts w:eastAsia="等线" w:hint="eastAsia"/>
                <w:color w:val="000000" w:themeColor="text1"/>
                <w:sz w:val="18"/>
                <w:szCs w:val="18"/>
              </w:rPr>
              <w:t>7.02</w:t>
            </w:r>
            <w:r w:rsidRPr="00B12FE0">
              <w:rPr>
                <w:rFonts w:eastAsia="等线"/>
                <w:color w:val="000000" w:themeColor="text1"/>
                <w:sz w:val="18"/>
                <w:szCs w:val="18"/>
              </w:rPr>
              <w:t>E-03</w:t>
            </w:r>
          </w:p>
        </w:tc>
      </w:tr>
      <w:tr w:rsidR="00A67F21" w:rsidRPr="00B12FE0" w14:paraId="2DBFEB31" w14:textId="77777777">
        <w:trPr>
          <w:trHeight w:val="340"/>
          <w:jc w:val="center"/>
        </w:trPr>
        <w:tc>
          <w:tcPr>
            <w:tcW w:w="5000" w:type="pct"/>
            <w:gridSpan w:val="7"/>
            <w:tcBorders>
              <w:top w:val="single" w:sz="4" w:space="0" w:color="000000"/>
              <w:left w:val="single" w:sz="4" w:space="0" w:color="000000"/>
              <w:bottom w:val="single" w:sz="4" w:space="0" w:color="000000"/>
              <w:right w:val="single" w:sz="4" w:space="0" w:color="000000"/>
            </w:tcBorders>
            <w:noWrap/>
            <w:vAlign w:val="center"/>
          </w:tcPr>
          <w:p w14:paraId="047C406B" w14:textId="77777777" w:rsidR="00A67F21" w:rsidRPr="00B12FE0" w:rsidRDefault="00000000">
            <w:pPr>
              <w:widowControl/>
              <w:textAlignment w:val="center"/>
              <w:rPr>
                <w:color w:val="000000" w:themeColor="text1"/>
                <w:kern w:val="0"/>
                <w:sz w:val="18"/>
                <w:szCs w:val="18"/>
                <w:lang w:bidi="ar"/>
              </w:rPr>
            </w:pPr>
            <w:r w:rsidRPr="00B12FE0">
              <w:rPr>
                <w:snapToGrid w:val="0"/>
                <w:color w:val="000000" w:themeColor="text1"/>
                <w:kern w:val="0"/>
                <w:sz w:val="21"/>
                <w:szCs w:val="21"/>
                <w:lang w:bidi="ar"/>
              </w:rPr>
              <w:t>注：</w:t>
            </w:r>
            <w:r w:rsidRPr="00B12FE0">
              <w:rPr>
                <w:rFonts w:ascii="Cambria Math" w:hAnsi="Cambria Math" w:cs="Cambria Math"/>
                <w:snapToGrid w:val="0"/>
                <w:color w:val="000000" w:themeColor="text1"/>
                <w:kern w:val="0"/>
                <w:sz w:val="21"/>
                <w:szCs w:val="21"/>
                <w:lang w:bidi="ar"/>
              </w:rPr>
              <w:t>①</w:t>
            </w:r>
            <w:proofErr w:type="gramStart"/>
            <w:r w:rsidRPr="00B12FE0">
              <w:rPr>
                <w:snapToGrid w:val="0"/>
                <w:color w:val="000000" w:themeColor="text1"/>
                <w:kern w:val="0"/>
                <w:sz w:val="21"/>
                <w:szCs w:val="21"/>
                <w:lang w:bidi="ar"/>
              </w:rPr>
              <w:t>废物间源强</w:t>
            </w:r>
            <w:proofErr w:type="gramEnd"/>
            <w:r w:rsidRPr="00B12FE0">
              <w:rPr>
                <w:snapToGrid w:val="0"/>
                <w:color w:val="000000" w:themeColor="text1"/>
                <w:kern w:val="0"/>
                <w:sz w:val="21"/>
                <w:szCs w:val="21"/>
                <w:lang w:bidi="ar"/>
              </w:rPr>
              <w:t>以</w:t>
            </w:r>
            <w:proofErr w:type="gramStart"/>
            <w:r w:rsidRPr="00B12FE0">
              <w:rPr>
                <w:snapToGrid w:val="0"/>
                <w:color w:val="000000" w:themeColor="text1"/>
                <w:kern w:val="0"/>
                <w:sz w:val="21"/>
                <w:szCs w:val="21"/>
                <w:lang w:bidi="ar"/>
              </w:rPr>
              <w:t>日操作</w:t>
            </w:r>
            <w:proofErr w:type="gramEnd"/>
            <w:r w:rsidRPr="00B12FE0">
              <w:rPr>
                <w:snapToGrid w:val="0"/>
                <w:color w:val="000000" w:themeColor="text1"/>
                <w:kern w:val="0"/>
                <w:sz w:val="21"/>
                <w:szCs w:val="21"/>
                <w:lang w:bidi="ar"/>
              </w:rPr>
              <w:t>量最大活度的</w:t>
            </w:r>
            <w:r w:rsidRPr="00B12FE0">
              <w:rPr>
                <w:snapToGrid w:val="0"/>
                <w:color w:val="000000" w:themeColor="text1"/>
                <w:kern w:val="0"/>
                <w:sz w:val="21"/>
                <w:szCs w:val="21"/>
                <w:lang w:bidi="ar"/>
              </w:rPr>
              <w:t>1%</w:t>
            </w:r>
            <w:r w:rsidRPr="00B12FE0">
              <w:rPr>
                <w:snapToGrid w:val="0"/>
                <w:color w:val="000000" w:themeColor="text1"/>
                <w:kern w:val="0"/>
                <w:sz w:val="21"/>
                <w:szCs w:val="21"/>
                <w:lang w:bidi="ar"/>
              </w:rPr>
              <w:t>计。</w:t>
            </w:r>
            <w:r w:rsidRPr="00B12FE0">
              <w:rPr>
                <w:rFonts w:hint="eastAsia"/>
                <w:snapToGrid w:val="0"/>
                <w:color w:val="000000" w:themeColor="text1"/>
                <w:kern w:val="0"/>
                <w:sz w:val="21"/>
                <w:szCs w:val="21"/>
                <w:lang w:bidi="ar"/>
              </w:rPr>
              <w:t>②示教室和空调机房按照</w:t>
            </w:r>
            <w:r w:rsidRPr="00B12FE0">
              <w:rPr>
                <w:rFonts w:hint="eastAsia"/>
                <w:snapToGrid w:val="0"/>
                <w:color w:val="000000" w:themeColor="text1"/>
                <w:kern w:val="0"/>
                <w:sz w:val="21"/>
                <w:szCs w:val="21"/>
                <w:lang w:bidi="ar"/>
              </w:rPr>
              <w:t>2</w:t>
            </w:r>
            <w:r w:rsidRPr="00B12FE0">
              <w:rPr>
                <w:rFonts w:hint="eastAsia"/>
                <w:snapToGrid w:val="0"/>
                <w:color w:val="000000" w:themeColor="text1"/>
                <w:kern w:val="0"/>
                <w:sz w:val="21"/>
                <w:szCs w:val="21"/>
                <w:lang w:bidi="ar"/>
              </w:rPr>
              <w:t>间病房的影响进行分析。</w:t>
            </w:r>
          </w:p>
        </w:tc>
      </w:tr>
    </w:tbl>
    <w:p w14:paraId="36AE719F" w14:textId="77777777" w:rsidR="00A67F21" w:rsidRPr="00B12FE0" w:rsidRDefault="00000000">
      <w:pPr>
        <w:keepLines/>
        <w:snapToGrid w:val="0"/>
        <w:spacing w:line="360" w:lineRule="auto"/>
        <w:ind w:firstLineChars="200" w:firstLine="480"/>
        <w:rPr>
          <w:color w:val="000000" w:themeColor="text1"/>
        </w:rPr>
      </w:pPr>
      <w:r w:rsidRPr="00B12FE0">
        <w:rPr>
          <w:snapToGrid w:val="0"/>
          <w:color w:val="000000" w:themeColor="text1"/>
          <w:szCs w:val="24"/>
          <w:lang w:bidi="ar"/>
        </w:rPr>
        <w:t>根据《核医学辐射防护与安全要求》（</w:t>
      </w:r>
      <w:r w:rsidRPr="00B12FE0">
        <w:rPr>
          <w:snapToGrid w:val="0"/>
          <w:color w:val="000000" w:themeColor="text1"/>
          <w:szCs w:val="24"/>
          <w:lang w:bidi="ar"/>
        </w:rPr>
        <w:t>HJ1188-2021</w:t>
      </w:r>
      <w:r w:rsidRPr="00B12FE0">
        <w:rPr>
          <w:snapToGrid w:val="0"/>
          <w:color w:val="000000" w:themeColor="text1"/>
          <w:szCs w:val="24"/>
          <w:lang w:bidi="ar"/>
        </w:rPr>
        <w:t>）</w:t>
      </w:r>
      <w:r w:rsidRPr="00B12FE0">
        <w:rPr>
          <w:snapToGrid w:val="0"/>
          <w:color w:val="000000" w:themeColor="text1"/>
          <w:szCs w:val="24"/>
        </w:rPr>
        <w:t>及《关于核医学标准相关条款咨询的复函》（辐射函</w:t>
      </w:r>
      <w:r w:rsidRPr="00B12FE0">
        <w:rPr>
          <w:snapToGrid w:val="0"/>
          <w:color w:val="000000" w:themeColor="text1"/>
          <w:szCs w:val="24"/>
        </w:rPr>
        <w:t>[2023]20</w:t>
      </w:r>
      <w:r w:rsidRPr="00B12FE0">
        <w:rPr>
          <w:snapToGrid w:val="0"/>
          <w:color w:val="000000" w:themeColor="text1"/>
          <w:szCs w:val="24"/>
        </w:rPr>
        <w:t>号），</w:t>
      </w:r>
      <w:r w:rsidRPr="00B12FE0">
        <w:rPr>
          <w:rFonts w:hint="eastAsia"/>
          <w:color w:val="000000" w:themeColor="text1"/>
        </w:rPr>
        <w:t>由上表估算结果可知，核素治疗场所各控制区内房间防护门和墙壁外表面</w:t>
      </w:r>
      <w:r w:rsidRPr="00B12FE0">
        <w:rPr>
          <w:rFonts w:hint="eastAsia"/>
          <w:color w:val="000000" w:themeColor="text1"/>
        </w:rPr>
        <w:t>30cm</w:t>
      </w:r>
      <w:r w:rsidRPr="00B12FE0">
        <w:rPr>
          <w:rFonts w:hint="eastAsia"/>
          <w:color w:val="000000" w:themeColor="text1"/>
        </w:rPr>
        <w:t>处的周围剂量当量率均小于</w:t>
      </w:r>
      <w:r w:rsidRPr="00B12FE0">
        <w:rPr>
          <w:rFonts w:hint="eastAsia"/>
          <w:color w:val="000000" w:themeColor="text1"/>
        </w:rPr>
        <w:t>2.5</w:t>
      </w:r>
      <w:r w:rsidRPr="00B12FE0">
        <w:rPr>
          <w:color w:val="000000" w:themeColor="text1"/>
        </w:rPr>
        <w:t>μSv/h</w:t>
      </w:r>
      <w:r w:rsidRPr="00B12FE0">
        <w:rPr>
          <w:color w:val="000000" w:themeColor="text1"/>
        </w:rPr>
        <w:t>，</w:t>
      </w:r>
      <w:r w:rsidRPr="00B12FE0">
        <w:rPr>
          <w:rFonts w:hint="eastAsia"/>
          <w:color w:val="000000" w:themeColor="text1"/>
        </w:rPr>
        <w:t>屏蔽墙外人员偶尔居留的区域（如给药间西侧防护门外）周围剂量当量率均小于</w:t>
      </w:r>
      <w:r w:rsidRPr="00B12FE0">
        <w:rPr>
          <w:rFonts w:hint="eastAsia"/>
          <w:color w:val="000000" w:themeColor="text1"/>
        </w:rPr>
        <w:t>10</w:t>
      </w:r>
      <w:r w:rsidRPr="00B12FE0">
        <w:rPr>
          <w:color w:val="000000" w:themeColor="text1"/>
        </w:rPr>
        <w:t>μSv/h</w:t>
      </w:r>
      <w:r w:rsidRPr="00B12FE0">
        <w:rPr>
          <w:rFonts w:hint="eastAsia"/>
          <w:color w:val="000000" w:themeColor="text1"/>
        </w:rPr>
        <w:t>，</w:t>
      </w:r>
      <w:r w:rsidRPr="00B12FE0">
        <w:rPr>
          <w:color w:val="000000" w:themeColor="text1"/>
        </w:rPr>
        <w:t>屏蔽</w:t>
      </w:r>
      <w:r w:rsidRPr="00B12FE0">
        <w:rPr>
          <w:rFonts w:hint="eastAsia"/>
          <w:color w:val="000000" w:themeColor="text1"/>
        </w:rPr>
        <w:t>设计满足要求，对周围辐射环境影响较小。</w:t>
      </w:r>
    </w:p>
    <w:p w14:paraId="5D49AACA" w14:textId="77777777" w:rsidR="00A67F21" w:rsidRPr="00B12FE0" w:rsidRDefault="00000000">
      <w:pPr>
        <w:adjustRightInd w:val="0"/>
        <w:spacing w:line="360" w:lineRule="auto"/>
        <w:ind w:firstLineChars="200" w:firstLine="480"/>
        <w:rPr>
          <w:snapToGrid w:val="0"/>
          <w:color w:val="000000" w:themeColor="text1"/>
        </w:rPr>
      </w:pPr>
      <w:r w:rsidRPr="00B12FE0">
        <w:rPr>
          <w:snapToGrid w:val="0"/>
          <w:color w:val="000000" w:themeColor="text1"/>
          <w:szCs w:val="24"/>
        </w:rPr>
        <w:lastRenderedPageBreak/>
        <w:t>实际上，患者在住院过程中，由于衰变作用导致患者体内核素的活度不断减少，因而对墙外或门外的辐射影响也不断降低。</w:t>
      </w:r>
    </w:p>
    <w:p w14:paraId="6E29F2E7" w14:textId="77777777" w:rsidR="00A67F21" w:rsidRPr="00B12FE0" w:rsidRDefault="00000000">
      <w:pPr>
        <w:adjustRightInd w:val="0"/>
        <w:snapToGrid w:val="0"/>
        <w:spacing w:line="360" w:lineRule="auto"/>
        <w:ind w:firstLine="480"/>
        <w:rPr>
          <w:b/>
          <w:snapToGrid w:val="0"/>
          <w:color w:val="000000" w:themeColor="text1"/>
          <w:szCs w:val="28"/>
        </w:rPr>
      </w:pPr>
      <w:r w:rsidRPr="00B12FE0">
        <w:rPr>
          <w:b/>
          <w:snapToGrid w:val="0"/>
          <w:color w:val="000000" w:themeColor="text1"/>
          <w:szCs w:val="28"/>
        </w:rPr>
        <w:t>三、工作人员及公众个人剂量估算</w:t>
      </w:r>
    </w:p>
    <w:p w14:paraId="5A587ADB" w14:textId="77777777" w:rsidR="00A67F21" w:rsidRPr="00B12FE0" w:rsidRDefault="00000000">
      <w:pPr>
        <w:adjustRightInd w:val="0"/>
        <w:snapToGrid w:val="0"/>
        <w:spacing w:line="360" w:lineRule="auto"/>
        <w:ind w:firstLine="480"/>
        <w:rPr>
          <w:b/>
          <w:snapToGrid w:val="0"/>
          <w:color w:val="000000" w:themeColor="text1"/>
          <w:szCs w:val="28"/>
        </w:rPr>
      </w:pPr>
      <w:r w:rsidRPr="00B12FE0">
        <w:rPr>
          <w:rFonts w:ascii="Cambria Math" w:hAnsi="Cambria Math" w:cs="Cambria Math"/>
          <w:b/>
          <w:snapToGrid w:val="0"/>
          <w:color w:val="000000" w:themeColor="text1"/>
          <w:szCs w:val="28"/>
        </w:rPr>
        <w:t>①</w:t>
      </w:r>
      <w:r w:rsidRPr="00B12FE0">
        <w:rPr>
          <w:b/>
          <w:snapToGrid w:val="0"/>
          <w:color w:val="000000" w:themeColor="text1"/>
          <w:szCs w:val="28"/>
        </w:rPr>
        <w:t>辐射工作人员受照剂量估算</w:t>
      </w:r>
    </w:p>
    <w:p w14:paraId="0F6E15FA"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bCs/>
          <w:snapToGrid w:val="0"/>
          <w:color w:val="000000" w:themeColor="text1"/>
          <w:szCs w:val="24"/>
        </w:rPr>
        <w:t>根据医院提供的资料，项目正式开展后，每年工作</w:t>
      </w:r>
      <w:r w:rsidRPr="00B12FE0">
        <w:rPr>
          <w:bCs/>
          <w:snapToGrid w:val="0"/>
          <w:color w:val="000000" w:themeColor="text1"/>
          <w:szCs w:val="24"/>
        </w:rPr>
        <w:t>250</w:t>
      </w:r>
      <w:r w:rsidRPr="00B12FE0">
        <w:rPr>
          <w:bCs/>
          <w:snapToGrid w:val="0"/>
          <w:color w:val="000000" w:themeColor="text1"/>
          <w:szCs w:val="24"/>
        </w:rPr>
        <w:t>天，每周工作</w:t>
      </w:r>
      <w:r w:rsidRPr="00B12FE0">
        <w:rPr>
          <w:bCs/>
          <w:snapToGrid w:val="0"/>
          <w:color w:val="000000" w:themeColor="text1"/>
          <w:szCs w:val="24"/>
        </w:rPr>
        <w:t>5</w:t>
      </w:r>
      <w:r w:rsidRPr="00B12FE0">
        <w:rPr>
          <w:bCs/>
          <w:snapToGrid w:val="0"/>
          <w:color w:val="000000" w:themeColor="text1"/>
          <w:szCs w:val="24"/>
        </w:rPr>
        <w:t>天，每天工作</w:t>
      </w:r>
      <w:r w:rsidRPr="00B12FE0">
        <w:rPr>
          <w:bCs/>
          <w:snapToGrid w:val="0"/>
          <w:color w:val="000000" w:themeColor="text1"/>
          <w:szCs w:val="24"/>
        </w:rPr>
        <w:t>8h</w:t>
      </w:r>
      <w:r w:rsidRPr="00B12FE0">
        <w:rPr>
          <w:bCs/>
          <w:snapToGrid w:val="0"/>
          <w:color w:val="000000" w:themeColor="text1"/>
          <w:szCs w:val="24"/>
        </w:rPr>
        <w:t>。</w:t>
      </w:r>
      <w:r w:rsidRPr="00B12FE0">
        <w:rPr>
          <w:snapToGrid w:val="0"/>
          <w:color w:val="000000" w:themeColor="text1"/>
          <w:szCs w:val="24"/>
        </w:rPr>
        <w:t>核医学科核素治疗场所</w:t>
      </w:r>
      <w:r w:rsidRPr="00B12FE0">
        <w:rPr>
          <w:bCs/>
          <w:snapToGrid w:val="0"/>
          <w:color w:val="000000" w:themeColor="text1"/>
          <w:szCs w:val="24"/>
        </w:rPr>
        <w:t>各工序涉及辐射工作人员情况以及工作负荷见表</w:t>
      </w:r>
      <w:r w:rsidRPr="00B12FE0">
        <w:rPr>
          <w:bCs/>
          <w:snapToGrid w:val="0"/>
          <w:color w:val="000000" w:themeColor="text1"/>
          <w:szCs w:val="24"/>
        </w:rPr>
        <w:t>9.1.1.5-2</w:t>
      </w:r>
      <w:r w:rsidRPr="00B12FE0">
        <w:rPr>
          <w:bCs/>
          <w:snapToGrid w:val="0"/>
          <w:color w:val="000000" w:themeColor="text1"/>
          <w:szCs w:val="24"/>
        </w:rPr>
        <w:t>。</w:t>
      </w:r>
    </w:p>
    <w:p w14:paraId="0D4DD950" w14:textId="77777777" w:rsidR="00A67F21" w:rsidRPr="00B12FE0" w:rsidRDefault="00000000">
      <w:pPr>
        <w:overflowPunct w:val="0"/>
        <w:autoSpaceDE w:val="0"/>
        <w:autoSpaceDN w:val="0"/>
        <w:adjustRightInd w:val="0"/>
        <w:snapToGrid w:val="0"/>
        <w:spacing w:line="360" w:lineRule="auto"/>
        <w:ind w:firstLineChars="200" w:firstLine="480"/>
        <w:jc w:val="left"/>
        <w:rPr>
          <w:snapToGrid w:val="0"/>
          <w:color w:val="000000" w:themeColor="text1"/>
          <w:kern w:val="0"/>
          <w:szCs w:val="24"/>
        </w:rPr>
      </w:pPr>
      <w:r w:rsidRPr="00B12FE0">
        <w:rPr>
          <w:snapToGrid w:val="0"/>
          <w:color w:val="000000" w:themeColor="text1"/>
          <w:kern w:val="0"/>
          <w:szCs w:val="24"/>
        </w:rPr>
        <w:t>根据表</w:t>
      </w:r>
      <w:r w:rsidRPr="00B12FE0">
        <w:rPr>
          <w:snapToGrid w:val="0"/>
          <w:color w:val="000000" w:themeColor="text1"/>
          <w:kern w:val="0"/>
          <w:szCs w:val="24"/>
        </w:rPr>
        <w:t>11.2.1.3-2</w:t>
      </w:r>
      <w:r w:rsidRPr="00B12FE0">
        <w:rPr>
          <w:snapToGrid w:val="0"/>
          <w:color w:val="000000" w:themeColor="text1"/>
          <w:kern w:val="0"/>
          <w:szCs w:val="24"/>
        </w:rPr>
        <w:t>预测的</w:t>
      </w:r>
      <w:proofErr w:type="gramStart"/>
      <w:r w:rsidRPr="00B12FE0">
        <w:rPr>
          <w:snapToGrid w:val="0"/>
          <w:color w:val="000000" w:themeColor="text1"/>
          <w:kern w:val="0"/>
          <w:szCs w:val="24"/>
        </w:rPr>
        <w:t>各关注</w:t>
      </w:r>
      <w:proofErr w:type="gramEnd"/>
      <w:r w:rsidRPr="00B12FE0">
        <w:rPr>
          <w:snapToGrid w:val="0"/>
          <w:color w:val="000000" w:themeColor="text1"/>
          <w:kern w:val="0"/>
          <w:szCs w:val="24"/>
        </w:rPr>
        <w:t>点处辐射剂量率，结合医院预估工作量，关注点处人员居留因子等参数，由</w:t>
      </w:r>
      <w:r w:rsidRPr="00B12FE0">
        <w:rPr>
          <w:snapToGrid w:val="0"/>
          <w:color w:val="000000" w:themeColor="text1"/>
          <w:szCs w:val="24"/>
          <w:lang w:val="pt-BR"/>
        </w:rPr>
        <w:t>式</w:t>
      </w:r>
      <w:r w:rsidRPr="00B12FE0">
        <w:rPr>
          <w:snapToGrid w:val="0"/>
          <w:color w:val="000000" w:themeColor="text1"/>
          <w:szCs w:val="24"/>
        </w:rPr>
        <w:t>11.2.1.1-3</w:t>
      </w:r>
      <w:r w:rsidRPr="00B12FE0">
        <w:rPr>
          <w:snapToGrid w:val="0"/>
          <w:color w:val="000000" w:themeColor="text1"/>
          <w:kern w:val="0"/>
          <w:szCs w:val="24"/>
        </w:rPr>
        <w:t>计算即可得到辐射工作人员的年有效剂量，见表</w:t>
      </w:r>
      <w:r w:rsidRPr="00B12FE0">
        <w:rPr>
          <w:snapToGrid w:val="0"/>
          <w:color w:val="000000" w:themeColor="text1"/>
          <w:kern w:val="0"/>
          <w:szCs w:val="24"/>
        </w:rPr>
        <w:t>11.2.1.3-</w:t>
      </w:r>
      <w:r w:rsidRPr="00B12FE0">
        <w:rPr>
          <w:rFonts w:hint="eastAsia"/>
          <w:snapToGrid w:val="0"/>
          <w:color w:val="000000" w:themeColor="text1"/>
          <w:kern w:val="0"/>
          <w:szCs w:val="24"/>
        </w:rPr>
        <w:t>2</w:t>
      </w:r>
      <w:r w:rsidRPr="00B12FE0">
        <w:rPr>
          <w:snapToGrid w:val="0"/>
          <w:color w:val="000000" w:themeColor="text1"/>
          <w:kern w:val="0"/>
          <w:szCs w:val="24"/>
        </w:rPr>
        <w:t>。</w:t>
      </w:r>
    </w:p>
    <w:p w14:paraId="7E967C18" w14:textId="77777777" w:rsidR="00A67F21" w:rsidRPr="00B12FE0" w:rsidRDefault="00000000">
      <w:pPr>
        <w:kinsoku w:val="0"/>
        <w:overflowPunct w:val="0"/>
        <w:autoSpaceDE w:val="0"/>
        <w:autoSpaceDN w:val="0"/>
        <w:adjustRightInd w:val="0"/>
        <w:snapToGrid w:val="0"/>
        <w:spacing w:line="360" w:lineRule="auto"/>
        <w:jc w:val="center"/>
        <w:rPr>
          <w:b/>
          <w:snapToGrid w:val="0"/>
          <w:color w:val="000000" w:themeColor="text1"/>
          <w:kern w:val="0"/>
          <w:sz w:val="21"/>
          <w:szCs w:val="21"/>
        </w:rPr>
      </w:pPr>
      <w:r w:rsidRPr="00B12FE0">
        <w:rPr>
          <w:b/>
          <w:snapToGrid w:val="0"/>
          <w:color w:val="000000" w:themeColor="text1"/>
          <w:kern w:val="0"/>
          <w:sz w:val="21"/>
          <w:szCs w:val="21"/>
        </w:rPr>
        <w:t>表</w:t>
      </w:r>
      <w:r w:rsidRPr="00B12FE0">
        <w:rPr>
          <w:b/>
          <w:snapToGrid w:val="0"/>
          <w:color w:val="000000" w:themeColor="text1"/>
          <w:kern w:val="0"/>
          <w:sz w:val="21"/>
          <w:szCs w:val="21"/>
        </w:rPr>
        <w:t>11.2.1.3-</w:t>
      </w:r>
      <w:r w:rsidRPr="00B12FE0">
        <w:rPr>
          <w:rFonts w:hint="eastAsia"/>
          <w:b/>
          <w:snapToGrid w:val="0"/>
          <w:color w:val="000000" w:themeColor="text1"/>
          <w:kern w:val="0"/>
          <w:sz w:val="21"/>
          <w:szCs w:val="21"/>
        </w:rPr>
        <w:t>2</w:t>
      </w:r>
      <w:r w:rsidRPr="00B12FE0">
        <w:rPr>
          <w:b/>
          <w:snapToGrid w:val="0"/>
          <w:color w:val="000000" w:themeColor="text1"/>
          <w:kern w:val="0"/>
          <w:sz w:val="21"/>
          <w:szCs w:val="21"/>
        </w:rPr>
        <w:t xml:space="preserve">  </w:t>
      </w:r>
      <w:r w:rsidRPr="00B12FE0">
        <w:rPr>
          <w:b/>
          <w:snapToGrid w:val="0"/>
          <w:color w:val="000000" w:themeColor="text1"/>
          <w:kern w:val="0"/>
          <w:sz w:val="21"/>
          <w:szCs w:val="21"/>
        </w:rPr>
        <w:t>核素治疗场所</w:t>
      </w:r>
      <w:r w:rsidRPr="00B12FE0">
        <w:rPr>
          <w:b/>
          <w:snapToGrid w:val="0"/>
          <w:color w:val="000000" w:themeColor="text1"/>
          <w:sz w:val="21"/>
          <w:szCs w:val="21"/>
        </w:rPr>
        <w:t>辐射工作人员年有效剂量估算</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942"/>
        <w:gridCol w:w="1419"/>
        <w:gridCol w:w="2527"/>
        <w:gridCol w:w="1510"/>
        <w:gridCol w:w="1507"/>
      </w:tblGrid>
      <w:tr w:rsidR="00A67F21" w:rsidRPr="00B12FE0" w14:paraId="79085897" w14:textId="77777777">
        <w:trPr>
          <w:trHeight w:val="272"/>
          <w:jc w:val="center"/>
        </w:trPr>
        <w:tc>
          <w:tcPr>
            <w:tcW w:w="509" w:type="pct"/>
            <w:noWrap/>
            <w:vAlign w:val="center"/>
          </w:tcPr>
          <w:p w14:paraId="6E23A119"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工作</w:t>
            </w:r>
          </w:p>
          <w:p w14:paraId="67E82A0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场所</w:t>
            </w:r>
          </w:p>
        </w:tc>
        <w:tc>
          <w:tcPr>
            <w:tcW w:w="535" w:type="pct"/>
            <w:noWrap/>
            <w:vAlign w:val="center"/>
          </w:tcPr>
          <w:p w14:paraId="50A02DD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操作</w:t>
            </w:r>
          </w:p>
        </w:tc>
        <w:tc>
          <w:tcPr>
            <w:tcW w:w="806" w:type="pct"/>
            <w:noWrap/>
            <w:vAlign w:val="center"/>
          </w:tcPr>
          <w:p w14:paraId="2C0AB9B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辐射剂量率</w:t>
            </w:r>
          </w:p>
          <w:p w14:paraId="3284697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1436" w:type="pct"/>
            <w:noWrap/>
            <w:vAlign w:val="center"/>
          </w:tcPr>
          <w:p w14:paraId="1CCDEF7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年工作时间（</w:t>
            </w:r>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c>
          <w:tcPr>
            <w:tcW w:w="1714" w:type="pct"/>
            <w:gridSpan w:val="2"/>
            <w:noWrap/>
            <w:vAlign w:val="center"/>
          </w:tcPr>
          <w:p w14:paraId="236872C9"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年有效剂量（</w:t>
            </w:r>
            <w:r w:rsidRPr="00B12FE0">
              <w:rPr>
                <w:snapToGrid w:val="0"/>
                <w:color w:val="000000" w:themeColor="text1"/>
                <w:kern w:val="0"/>
                <w:sz w:val="21"/>
                <w:szCs w:val="21"/>
                <w:lang w:bidi="ar"/>
              </w:rPr>
              <w:t>mSv</w:t>
            </w:r>
            <w:r w:rsidRPr="00B12FE0">
              <w:rPr>
                <w:snapToGrid w:val="0"/>
                <w:color w:val="000000" w:themeColor="text1"/>
                <w:kern w:val="0"/>
                <w:sz w:val="21"/>
                <w:szCs w:val="21"/>
                <w:lang w:bidi="ar"/>
              </w:rPr>
              <w:t>）</w:t>
            </w:r>
          </w:p>
        </w:tc>
      </w:tr>
      <w:tr w:rsidR="00A67F21" w:rsidRPr="00B12FE0" w14:paraId="139456A3" w14:textId="77777777">
        <w:trPr>
          <w:trHeight w:val="272"/>
          <w:jc w:val="center"/>
        </w:trPr>
        <w:tc>
          <w:tcPr>
            <w:tcW w:w="509" w:type="pct"/>
            <w:vMerge w:val="restart"/>
            <w:noWrap/>
            <w:vAlign w:val="center"/>
          </w:tcPr>
          <w:p w14:paraId="503B9550" w14:textId="77777777" w:rsidR="00A67F21" w:rsidRPr="00B12FE0" w:rsidRDefault="00000000">
            <w:pPr>
              <w:widowControl/>
              <w:jc w:val="center"/>
              <w:textAlignment w:val="center"/>
              <w:rPr>
                <w:snapToGrid w:val="0"/>
                <w:color w:val="000000" w:themeColor="text1"/>
                <w:sz w:val="21"/>
                <w:szCs w:val="21"/>
              </w:rPr>
            </w:pPr>
            <w:proofErr w:type="gramStart"/>
            <w:r w:rsidRPr="00B12FE0">
              <w:rPr>
                <w:snapToGrid w:val="0"/>
                <w:color w:val="000000" w:themeColor="text1"/>
                <w:kern w:val="0"/>
                <w:sz w:val="21"/>
                <w:szCs w:val="21"/>
                <w:lang w:bidi="ar"/>
              </w:rPr>
              <w:t>高活室</w:t>
            </w:r>
            <w:proofErr w:type="gramEnd"/>
          </w:p>
        </w:tc>
        <w:tc>
          <w:tcPr>
            <w:tcW w:w="535" w:type="pct"/>
            <w:noWrap/>
            <w:vAlign w:val="center"/>
          </w:tcPr>
          <w:p w14:paraId="18DBECAA" w14:textId="77777777" w:rsidR="00A67F21" w:rsidRPr="00B12FE0" w:rsidRDefault="00000000">
            <w:pPr>
              <w:widowControl/>
              <w:jc w:val="center"/>
              <w:textAlignment w:val="center"/>
              <w:rPr>
                <w:snapToGrid w:val="0"/>
                <w:color w:val="000000" w:themeColor="text1"/>
                <w:sz w:val="21"/>
                <w:szCs w:val="21"/>
              </w:rPr>
            </w:pPr>
            <w:proofErr w:type="gramStart"/>
            <w:r w:rsidRPr="00B12FE0">
              <w:rPr>
                <w:snapToGrid w:val="0"/>
                <w:color w:val="000000" w:themeColor="text1"/>
                <w:kern w:val="0"/>
                <w:sz w:val="21"/>
                <w:szCs w:val="21"/>
                <w:lang w:bidi="ar"/>
              </w:rPr>
              <w:t>铅罐安装</w:t>
            </w:r>
            <w:proofErr w:type="gramEnd"/>
          </w:p>
        </w:tc>
        <w:tc>
          <w:tcPr>
            <w:tcW w:w="806" w:type="pct"/>
            <w:noWrap/>
            <w:vAlign w:val="center"/>
          </w:tcPr>
          <w:p w14:paraId="4812FDFD"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2.41E-01</w:t>
            </w:r>
          </w:p>
          <w:p w14:paraId="1BA6B0A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w:t>
            </w:r>
            <w:r w:rsidRPr="00B12FE0">
              <w:rPr>
                <w:snapToGrid w:val="0"/>
                <w:color w:val="000000" w:themeColor="text1"/>
                <w:kern w:val="0"/>
                <w:sz w:val="21"/>
                <w:szCs w:val="21"/>
                <w:lang w:bidi="ar"/>
              </w:rPr>
              <w:t>3-</w:t>
            </w:r>
            <w:r w:rsidRPr="00B12FE0">
              <w:rPr>
                <w:rFonts w:hint="eastAsia"/>
                <w:snapToGrid w:val="0"/>
                <w:color w:val="000000" w:themeColor="text1"/>
                <w:kern w:val="0"/>
                <w:sz w:val="21"/>
                <w:szCs w:val="21"/>
                <w:lang w:bidi="ar"/>
              </w:rPr>
              <w:t>4</w:t>
            </w:r>
            <w:r w:rsidRPr="00B12FE0">
              <w:rPr>
                <w:snapToGrid w:val="0"/>
                <w:color w:val="000000" w:themeColor="text1"/>
                <w:kern w:val="0"/>
                <w:sz w:val="21"/>
                <w:szCs w:val="21"/>
                <w:lang w:bidi="ar"/>
              </w:rPr>
              <w:t>）</w:t>
            </w:r>
          </w:p>
        </w:tc>
        <w:tc>
          <w:tcPr>
            <w:tcW w:w="1436" w:type="pct"/>
            <w:noWrap/>
            <w:vAlign w:val="center"/>
          </w:tcPr>
          <w:p w14:paraId="64D38CB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2.5h(3min/</w:t>
            </w:r>
            <w:r w:rsidRPr="00B12FE0">
              <w:rPr>
                <w:snapToGrid w:val="0"/>
                <w:color w:val="000000" w:themeColor="text1"/>
                <w:kern w:val="0"/>
                <w:sz w:val="21"/>
                <w:szCs w:val="21"/>
                <w:lang w:bidi="ar"/>
              </w:rPr>
              <w:t>次</w:t>
            </w:r>
            <w:r w:rsidRPr="00B12FE0">
              <w:rPr>
                <w:snapToGrid w:val="0"/>
                <w:color w:val="000000" w:themeColor="text1"/>
                <w:kern w:val="0"/>
                <w:sz w:val="21"/>
                <w:szCs w:val="21"/>
                <w:lang w:bidi="ar"/>
              </w:rPr>
              <w:t>×1</w:t>
            </w:r>
            <w:r w:rsidRPr="00B12FE0">
              <w:rPr>
                <w:snapToGrid w:val="0"/>
                <w:color w:val="000000" w:themeColor="text1"/>
                <w:kern w:val="0"/>
                <w:sz w:val="21"/>
                <w:szCs w:val="21"/>
                <w:lang w:bidi="ar"/>
              </w:rPr>
              <w:t>次</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周</w:t>
            </w:r>
            <w:r w:rsidRPr="00B12FE0">
              <w:rPr>
                <w:snapToGrid w:val="0"/>
                <w:color w:val="000000" w:themeColor="text1"/>
                <w:kern w:val="0"/>
                <w:sz w:val="21"/>
                <w:szCs w:val="21"/>
                <w:lang w:bidi="ar"/>
              </w:rPr>
              <w:t>×50</w:t>
            </w:r>
            <w:r w:rsidRPr="00B12FE0">
              <w:rPr>
                <w:snapToGrid w:val="0"/>
                <w:color w:val="000000" w:themeColor="text1"/>
                <w:kern w:val="0"/>
                <w:sz w:val="21"/>
                <w:szCs w:val="21"/>
                <w:lang w:bidi="ar"/>
              </w:rPr>
              <w:t>周</w:t>
            </w:r>
            <w:r w:rsidRPr="00B12FE0">
              <w:rPr>
                <w:snapToGrid w:val="0"/>
                <w:color w:val="000000" w:themeColor="text1"/>
                <w:kern w:val="0"/>
                <w:sz w:val="21"/>
                <w:szCs w:val="21"/>
                <w:lang w:bidi="ar"/>
              </w:rPr>
              <w:t>/a)</w:t>
            </w:r>
          </w:p>
        </w:tc>
        <w:tc>
          <w:tcPr>
            <w:tcW w:w="858" w:type="pct"/>
            <w:noWrap/>
            <w:vAlign w:val="center"/>
          </w:tcPr>
          <w:p w14:paraId="22C971F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6.02E-04</w:t>
            </w:r>
          </w:p>
        </w:tc>
        <w:tc>
          <w:tcPr>
            <w:tcW w:w="856" w:type="pct"/>
            <w:vMerge w:val="restart"/>
            <w:noWrap/>
            <w:vAlign w:val="center"/>
          </w:tcPr>
          <w:p w14:paraId="2524E5E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2.46</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人</w:t>
            </w:r>
          </w:p>
        </w:tc>
      </w:tr>
      <w:tr w:rsidR="00A67F21" w:rsidRPr="00B12FE0" w14:paraId="075B59BA" w14:textId="77777777">
        <w:trPr>
          <w:trHeight w:val="272"/>
          <w:jc w:val="center"/>
        </w:trPr>
        <w:tc>
          <w:tcPr>
            <w:tcW w:w="509" w:type="pct"/>
            <w:vMerge/>
            <w:noWrap/>
            <w:vAlign w:val="center"/>
          </w:tcPr>
          <w:p w14:paraId="3CCC79E4" w14:textId="77777777" w:rsidR="00A67F21" w:rsidRPr="00B12FE0" w:rsidRDefault="00A67F21">
            <w:pPr>
              <w:widowControl/>
              <w:jc w:val="center"/>
              <w:textAlignment w:val="center"/>
              <w:rPr>
                <w:snapToGrid w:val="0"/>
                <w:color w:val="000000" w:themeColor="text1"/>
                <w:kern w:val="0"/>
                <w:sz w:val="21"/>
                <w:szCs w:val="21"/>
                <w:lang w:bidi="ar"/>
              </w:rPr>
            </w:pPr>
          </w:p>
        </w:tc>
        <w:tc>
          <w:tcPr>
            <w:tcW w:w="535" w:type="pct"/>
            <w:noWrap/>
            <w:vAlign w:val="center"/>
          </w:tcPr>
          <w:p w14:paraId="0B6CEF08"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指导服药</w:t>
            </w:r>
          </w:p>
        </w:tc>
        <w:tc>
          <w:tcPr>
            <w:tcW w:w="806" w:type="pct"/>
            <w:noWrap/>
            <w:vAlign w:val="center"/>
          </w:tcPr>
          <w:p w14:paraId="6D1AB928"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2.68</w:t>
            </w:r>
            <w:r w:rsidRPr="00B12FE0">
              <w:rPr>
                <w:snapToGrid w:val="0"/>
                <w:color w:val="000000" w:themeColor="text1"/>
                <w:kern w:val="0"/>
                <w:sz w:val="21"/>
                <w:szCs w:val="21"/>
                <w:lang w:bidi="ar"/>
              </w:rPr>
              <w:t>E-0</w:t>
            </w:r>
            <w:r w:rsidRPr="00B12FE0">
              <w:rPr>
                <w:rFonts w:hint="eastAsia"/>
                <w:snapToGrid w:val="0"/>
                <w:color w:val="000000" w:themeColor="text1"/>
                <w:kern w:val="0"/>
                <w:sz w:val="21"/>
                <w:szCs w:val="21"/>
                <w:lang w:bidi="ar"/>
              </w:rPr>
              <w:t>2</w:t>
            </w:r>
          </w:p>
          <w:p w14:paraId="353E16AA" w14:textId="77777777" w:rsidR="00A67F21" w:rsidRPr="00B12FE0" w:rsidRDefault="00000000">
            <w:pPr>
              <w:pStyle w:val="21"/>
              <w:adjustRightInd w:val="0"/>
              <w:snapToGrid w:val="0"/>
              <w:spacing w:after="0"/>
              <w:ind w:leftChars="0" w:left="0" w:firstLineChars="0" w:firstLine="0"/>
              <w:jc w:val="center"/>
              <w:rPr>
                <w:color w:val="000000" w:themeColor="text1"/>
                <w:sz w:val="21"/>
                <w:szCs w:val="21"/>
                <w:lang w:bidi="ar"/>
              </w:rPr>
            </w:pPr>
            <w:r w:rsidRPr="00B12FE0">
              <w:rPr>
                <w:rFonts w:hint="eastAsia"/>
                <w:color w:val="000000" w:themeColor="text1"/>
                <w:sz w:val="21"/>
                <w:szCs w:val="21"/>
                <w:lang w:bidi="ar"/>
              </w:rPr>
              <w:t>（</w:t>
            </w:r>
            <w:r w:rsidRPr="00B12FE0">
              <w:rPr>
                <w:rFonts w:hint="eastAsia"/>
                <w:color w:val="000000" w:themeColor="text1"/>
                <w:sz w:val="21"/>
                <w:szCs w:val="21"/>
                <w:lang w:bidi="ar"/>
              </w:rPr>
              <w:t>3-4</w:t>
            </w:r>
            <w:r w:rsidRPr="00B12FE0">
              <w:rPr>
                <w:rFonts w:hint="eastAsia"/>
                <w:color w:val="000000" w:themeColor="text1"/>
                <w:sz w:val="21"/>
                <w:szCs w:val="21"/>
                <w:lang w:bidi="ar"/>
              </w:rPr>
              <w:t>）</w:t>
            </w:r>
          </w:p>
        </w:tc>
        <w:tc>
          <w:tcPr>
            <w:tcW w:w="1436" w:type="pct"/>
            <w:noWrap/>
            <w:vAlign w:val="center"/>
          </w:tcPr>
          <w:p w14:paraId="29F8373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6.7</w:t>
            </w:r>
            <w:r w:rsidRPr="00B12FE0">
              <w:rPr>
                <w:snapToGrid w:val="0"/>
                <w:color w:val="000000" w:themeColor="text1"/>
                <w:kern w:val="0"/>
                <w:sz w:val="21"/>
                <w:szCs w:val="21"/>
                <w:lang w:bidi="ar"/>
              </w:rPr>
              <w:t>h</w:t>
            </w:r>
          </w:p>
          <w:p w14:paraId="326B59C7"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1min/</w:t>
            </w:r>
            <w:r w:rsidRPr="00B12FE0">
              <w:rPr>
                <w:rFonts w:hint="eastAsia"/>
                <w:snapToGrid w:val="0"/>
                <w:color w:val="000000" w:themeColor="text1"/>
                <w:kern w:val="0"/>
                <w:sz w:val="21"/>
                <w:szCs w:val="21"/>
                <w:lang w:bidi="ar"/>
              </w:rPr>
              <w:t>次×</w:t>
            </w:r>
            <w:r w:rsidRPr="00B12FE0">
              <w:rPr>
                <w:rFonts w:hint="eastAsia"/>
                <w:snapToGrid w:val="0"/>
                <w:color w:val="000000" w:themeColor="text1"/>
                <w:kern w:val="0"/>
                <w:sz w:val="21"/>
                <w:szCs w:val="21"/>
                <w:lang w:bidi="ar"/>
              </w:rPr>
              <w:t>400</w:t>
            </w:r>
            <w:r w:rsidRPr="00B12FE0">
              <w:rPr>
                <w:rFonts w:hint="eastAsia"/>
                <w:snapToGrid w:val="0"/>
                <w:color w:val="000000" w:themeColor="text1"/>
                <w:kern w:val="0"/>
                <w:sz w:val="21"/>
                <w:szCs w:val="21"/>
                <w:lang w:bidi="ar"/>
              </w:rPr>
              <w:t>次</w:t>
            </w: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年）</w:t>
            </w:r>
          </w:p>
        </w:tc>
        <w:tc>
          <w:tcPr>
            <w:tcW w:w="858" w:type="pct"/>
            <w:noWrap/>
            <w:vAlign w:val="center"/>
          </w:tcPr>
          <w:p w14:paraId="5B5FF97D"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1.79</w:t>
            </w:r>
            <w:r w:rsidRPr="00B12FE0">
              <w:rPr>
                <w:snapToGrid w:val="0"/>
                <w:color w:val="000000" w:themeColor="text1"/>
                <w:sz w:val="21"/>
                <w:szCs w:val="21"/>
              </w:rPr>
              <w:t>E-0</w:t>
            </w:r>
            <w:r w:rsidRPr="00B12FE0">
              <w:rPr>
                <w:rFonts w:hint="eastAsia"/>
                <w:snapToGrid w:val="0"/>
                <w:color w:val="000000" w:themeColor="text1"/>
                <w:sz w:val="21"/>
                <w:szCs w:val="21"/>
              </w:rPr>
              <w:t>4</w:t>
            </w:r>
          </w:p>
        </w:tc>
        <w:tc>
          <w:tcPr>
            <w:tcW w:w="856" w:type="pct"/>
            <w:vMerge/>
            <w:noWrap/>
            <w:vAlign w:val="center"/>
          </w:tcPr>
          <w:p w14:paraId="0BF31438"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53D19128" w14:textId="77777777">
        <w:trPr>
          <w:trHeight w:val="272"/>
          <w:jc w:val="center"/>
        </w:trPr>
        <w:tc>
          <w:tcPr>
            <w:tcW w:w="509" w:type="pct"/>
            <w:vMerge w:val="restart"/>
            <w:noWrap/>
            <w:vAlign w:val="center"/>
          </w:tcPr>
          <w:p w14:paraId="568DDC9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护士站</w:t>
            </w:r>
          </w:p>
        </w:tc>
        <w:tc>
          <w:tcPr>
            <w:tcW w:w="535" w:type="pct"/>
            <w:vMerge w:val="restart"/>
            <w:noWrap/>
            <w:vAlign w:val="center"/>
          </w:tcPr>
          <w:p w14:paraId="1B5419D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登记</w:t>
            </w:r>
          </w:p>
        </w:tc>
        <w:tc>
          <w:tcPr>
            <w:tcW w:w="806" w:type="pct"/>
            <w:noWrap/>
            <w:vAlign w:val="center"/>
          </w:tcPr>
          <w:p w14:paraId="046F5107"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2.3</w:t>
            </w:r>
          </w:p>
          <w:p w14:paraId="3D8434D0"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w:t>
            </w:r>
            <w:r w:rsidRPr="00B12FE0">
              <w:rPr>
                <w:snapToGrid w:val="0"/>
                <w:color w:val="000000" w:themeColor="text1"/>
                <w:kern w:val="0"/>
                <w:sz w:val="21"/>
                <w:szCs w:val="21"/>
                <w:lang w:bidi="ar"/>
              </w:rPr>
              <w:t>3-1</w:t>
            </w:r>
            <w:r w:rsidRPr="00B12FE0">
              <w:rPr>
                <w:rFonts w:hint="eastAsia"/>
                <w:snapToGrid w:val="0"/>
                <w:color w:val="000000" w:themeColor="text1"/>
                <w:kern w:val="0"/>
                <w:sz w:val="21"/>
                <w:szCs w:val="21"/>
                <w:lang w:bidi="ar"/>
              </w:rPr>
              <w:t>0</w:t>
            </w:r>
            <w:r w:rsidRPr="00B12FE0">
              <w:rPr>
                <w:snapToGrid w:val="0"/>
                <w:color w:val="000000" w:themeColor="text1"/>
                <w:kern w:val="0"/>
                <w:sz w:val="21"/>
                <w:szCs w:val="21"/>
                <w:lang w:bidi="ar"/>
              </w:rPr>
              <w:t>）</w:t>
            </w:r>
          </w:p>
        </w:tc>
        <w:tc>
          <w:tcPr>
            <w:tcW w:w="1436" w:type="pct"/>
            <w:noWrap/>
            <w:vAlign w:val="center"/>
          </w:tcPr>
          <w:p w14:paraId="13EADD0B"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2000</w:t>
            </w:r>
          </w:p>
        </w:tc>
        <w:tc>
          <w:tcPr>
            <w:tcW w:w="858" w:type="pct"/>
            <w:noWrap/>
            <w:vAlign w:val="center"/>
          </w:tcPr>
          <w:p w14:paraId="342E9B6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4.59</w:t>
            </w:r>
          </w:p>
        </w:tc>
        <w:tc>
          <w:tcPr>
            <w:tcW w:w="856" w:type="pct"/>
            <w:vMerge/>
            <w:noWrap/>
            <w:vAlign w:val="center"/>
          </w:tcPr>
          <w:p w14:paraId="7B0D99C8"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6EF6EF62" w14:textId="77777777">
        <w:trPr>
          <w:trHeight w:val="272"/>
          <w:jc w:val="center"/>
        </w:trPr>
        <w:tc>
          <w:tcPr>
            <w:tcW w:w="509" w:type="pct"/>
            <w:vMerge/>
            <w:noWrap/>
            <w:vAlign w:val="center"/>
          </w:tcPr>
          <w:p w14:paraId="29BA7CFB" w14:textId="77777777" w:rsidR="00A67F21" w:rsidRPr="00B12FE0" w:rsidRDefault="00A67F21">
            <w:pPr>
              <w:widowControl/>
              <w:jc w:val="center"/>
              <w:textAlignment w:val="center"/>
              <w:rPr>
                <w:snapToGrid w:val="0"/>
                <w:color w:val="000000" w:themeColor="text1"/>
                <w:kern w:val="0"/>
                <w:sz w:val="21"/>
                <w:szCs w:val="21"/>
                <w:lang w:bidi="ar"/>
              </w:rPr>
            </w:pPr>
          </w:p>
        </w:tc>
        <w:tc>
          <w:tcPr>
            <w:tcW w:w="535" w:type="pct"/>
            <w:vMerge/>
            <w:noWrap/>
            <w:vAlign w:val="center"/>
          </w:tcPr>
          <w:p w14:paraId="72596DAA" w14:textId="77777777" w:rsidR="00A67F21" w:rsidRPr="00B12FE0" w:rsidRDefault="00A67F21">
            <w:pPr>
              <w:widowControl/>
              <w:jc w:val="center"/>
              <w:textAlignment w:val="center"/>
              <w:rPr>
                <w:snapToGrid w:val="0"/>
                <w:color w:val="000000" w:themeColor="text1"/>
                <w:kern w:val="0"/>
                <w:sz w:val="21"/>
                <w:szCs w:val="21"/>
                <w:lang w:bidi="ar"/>
              </w:rPr>
            </w:pPr>
          </w:p>
        </w:tc>
        <w:tc>
          <w:tcPr>
            <w:tcW w:w="806" w:type="pct"/>
            <w:noWrap/>
            <w:vAlign w:val="center"/>
          </w:tcPr>
          <w:p w14:paraId="6BD113B5"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2.26E-02</w:t>
            </w:r>
          </w:p>
          <w:p w14:paraId="4EEDF7D2" w14:textId="77777777" w:rsidR="00A67F21" w:rsidRPr="00B12FE0" w:rsidRDefault="00000000">
            <w:pPr>
              <w:pStyle w:val="21"/>
              <w:adjustRightInd w:val="0"/>
              <w:snapToGrid w:val="0"/>
              <w:spacing w:after="0"/>
              <w:ind w:leftChars="0" w:left="0" w:firstLineChars="0" w:firstLine="0"/>
              <w:jc w:val="center"/>
              <w:rPr>
                <w:color w:val="000000" w:themeColor="text1"/>
                <w:sz w:val="21"/>
                <w:szCs w:val="21"/>
                <w:lang w:bidi="ar"/>
              </w:rPr>
            </w:pPr>
            <w:r w:rsidRPr="00B12FE0">
              <w:rPr>
                <w:snapToGrid w:val="0"/>
                <w:color w:val="000000" w:themeColor="text1"/>
                <w:kern w:val="0"/>
                <w:sz w:val="21"/>
                <w:szCs w:val="21"/>
                <w:lang w:bidi="ar"/>
              </w:rPr>
              <w:t>（</w:t>
            </w:r>
            <w:r w:rsidRPr="00B12FE0">
              <w:rPr>
                <w:snapToGrid w:val="0"/>
                <w:color w:val="000000" w:themeColor="text1"/>
                <w:kern w:val="0"/>
                <w:sz w:val="21"/>
                <w:szCs w:val="21"/>
                <w:lang w:bidi="ar"/>
              </w:rPr>
              <w:t>3-1</w:t>
            </w:r>
            <w:r w:rsidRPr="00B12FE0">
              <w:rPr>
                <w:rFonts w:hint="eastAsia"/>
                <w:snapToGrid w:val="0"/>
                <w:color w:val="000000" w:themeColor="text1"/>
                <w:kern w:val="0"/>
                <w:sz w:val="21"/>
                <w:szCs w:val="21"/>
                <w:lang w:bidi="ar"/>
              </w:rPr>
              <w:t>1</w:t>
            </w:r>
            <w:r w:rsidRPr="00B12FE0">
              <w:rPr>
                <w:snapToGrid w:val="0"/>
                <w:color w:val="000000" w:themeColor="text1"/>
                <w:kern w:val="0"/>
                <w:sz w:val="21"/>
                <w:szCs w:val="21"/>
                <w:lang w:bidi="ar"/>
              </w:rPr>
              <w:t>）</w:t>
            </w:r>
          </w:p>
        </w:tc>
        <w:tc>
          <w:tcPr>
            <w:tcW w:w="1436" w:type="pct"/>
            <w:noWrap/>
            <w:vAlign w:val="center"/>
          </w:tcPr>
          <w:p w14:paraId="1A4910E1"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2000</w:t>
            </w:r>
          </w:p>
        </w:tc>
        <w:tc>
          <w:tcPr>
            <w:tcW w:w="858" w:type="pct"/>
            <w:noWrap/>
            <w:vAlign w:val="center"/>
          </w:tcPr>
          <w:p w14:paraId="00193633"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4.53E-02</w:t>
            </w:r>
          </w:p>
        </w:tc>
        <w:tc>
          <w:tcPr>
            <w:tcW w:w="856" w:type="pct"/>
            <w:vMerge/>
            <w:noWrap/>
            <w:vAlign w:val="center"/>
          </w:tcPr>
          <w:p w14:paraId="6240E751"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69A32E24" w14:textId="77777777">
        <w:trPr>
          <w:trHeight w:val="272"/>
          <w:jc w:val="center"/>
        </w:trPr>
        <w:tc>
          <w:tcPr>
            <w:tcW w:w="509" w:type="pct"/>
            <w:vMerge/>
            <w:noWrap/>
            <w:vAlign w:val="center"/>
          </w:tcPr>
          <w:p w14:paraId="124A6BBB" w14:textId="77777777" w:rsidR="00A67F21" w:rsidRPr="00B12FE0" w:rsidRDefault="00A67F21">
            <w:pPr>
              <w:widowControl/>
              <w:jc w:val="center"/>
              <w:textAlignment w:val="center"/>
              <w:rPr>
                <w:snapToGrid w:val="0"/>
                <w:color w:val="000000" w:themeColor="text1"/>
                <w:kern w:val="0"/>
                <w:sz w:val="21"/>
                <w:szCs w:val="21"/>
                <w:lang w:bidi="ar"/>
              </w:rPr>
            </w:pPr>
          </w:p>
        </w:tc>
        <w:tc>
          <w:tcPr>
            <w:tcW w:w="535" w:type="pct"/>
            <w:vMerge/>
            <w:noWrap/>
            <w:vAlign w:val="center"/>
          </w:tcPr>
          <w:p w14:paraId="4C13926A" w14:textId="77777777" w:rsidR="00A67F21" w:rsidRPr="00B12FE0" w:rsidRDefault="00A67F21">
            <w:pPr>
              <w:widowControl/>
              <w:jc w:val="center"/>
              <w:textAlignment w:val="center"/>
              <w:rPr>
                <w:snapToGrid w:val="0"/>
                <w:color w:val="000000" w:themeColor="text1"/>
                <w:kern w:val="0"/>
                <w:sz w:val="21"/>
                <w:szCs w:val="21"/>
                <w:lang w:bidi="ar"/>
              </w:rPr>
            </w:pPr>
          </w:p>
        </w:tc>
        <w:tc>
          <w:tcPr>
            <w:tcW w:w="806" w:type="pct"/>
            <w:noWrap/>
            <w:vAlign w:val="center"/>
          </w:tcPr>
          <w:p w14:paraId="25E4D02A"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21"/>
                <w:szCs w:val="21"/>
                <w:lang w:bidi="ar"/>
              </w:rPr>
            </w:pPr>
            <w:r w:rsidRPr="00B12FE0">
              <w:rPr>
                <w:snapToGrid w:val="0"/>
                <w:color w:val="000000" w:themeColor="text1"/>
                <w:kern w:val="0"/>
                <w:sz w:val="21"/>
                <w:szCs w:val="21"/>
                <w:lang w:bidi="ar"/>
              </w:rPr>
              <w:t>1.38E-01</w:t>
            </w:r>
          </w:p>
          <w:p w14:paraId="5612A510" w14:textId="77777777" w:rsidR="00A67F21" w:rsidRPr="00B12FE0" w:rsidRDefault="00000000">
            <w:pPr>
              <w:pStyle w:val="21"/>
              <w:adjustRightInd w:val="0"/>
              <w:snapToGrid w:val="0"/>
              <w:spacing w:after="0"/>
              <w:ind w:leftChars="0" w:left="0" w:firstLineChars="0" w:firstLine="0"/>
              <w:jc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2-49</w:t>
            </w:r>
            <w:r w:rsidRPr="00B12FE0">
              <w:rPr>
                <w:rFonts w:hint="eastAsia"/>
                <w:snapToGrid w:val="0"/>
                <w:color w:val="000000" w:themeColor="text1"/>
                <w:kern w:val="0"/>
                <w:sz w:val="21"/>
                <w:szCs w:val="21"/>
                <w:lang w:bidi="ar"/>
              </w:rPr>
              <w:t>）</w:t>
            </w:r>
          </w:p>
        </w:tc>
        <w:tc>
          <w:tcPr>
            <w:tcW w:w="1436" w:type="pct"/>
            <w:noWrap/>
            <w:vAlign w:val="center"/>
          </w:tcPr>
          <w:p w14:paraId="24532D6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2000</w:t>
            </w:r>
          </w:p>
        </w:tc>
        <w:tc>
          <w:tcPr>
            <w:tcW w:w="858" w:type="pct"/>
            <w:noWrap/>
            <w:vAlign w:val="center"/>
          </w:tcPr>
          <w:p w14:paraId="2602ADE7"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2.76E-01</w:t>
            </w:r>
          </w:p>
        </w:tc>
        <w:tc>
          <w:tcPr>
            <w:tcW w:w="856" w:type="pct"/>
            <w:vMerge/>
            <w:noWrap/>
            <w:vAlign w:val="center"/>
          </w:tcPr>
          <w:p w14:paraId="4FD641B2"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7170F207" w14:textId="77777777">
        <w:trPr>
          <w:trHeight w:val="272"/>
          <w:jc w:val="center"/>
        </w:trPr>
        <w:tc>
          <w:tcPr>
            <w:tcW w:w="509" w:type="pct"/>
            <w:vMerge w:val="restart"/>
            <w:noWrap/>
            <w:vAlign w:val="center"/>
          </w:tcPr>
          <w:p w14:paraId="342E0B2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医生办、值班室、医护走廊等区域</w:t>
            </w:r>
          </w:p>
        </w:tc>
        <w:tc>
          <w:tcPr>
            <w:tcW w:w="535" w:type="pct"/>
            <w:vMerge w:val="restart"/>
            <w:noWrap/>
            <w:vAlign w:val="center"/>
          </w:tcPr>
          <w:p w14:paraId="656F66A2"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诊断、抢救、值班、查房</w:t>
            </w:r>
          </w:p>
        </w:tc>
        <w:tc>
          <w:tcPr>
            <w:tcW w:w="806" w:type="pct"/>
            <w:noWrap/>
            <w:vAlign w:val="center"/>
          </w:tcPr>
          <w:p w14:paraId="7DC131E9"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2.3</w:t>
            </w:r>
          </w:p>
          <w:p w14:paraId="77A4A869"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w:t>
            </w:r>
            <w:r w:rsidRPr="00B12FE0">
              <w:rPr>
                <w:rFonts w:eastAsia="等线" w:hint="eastAsia"/>
                <w:color w:val="000000" w:themeColor="text1"/>
                <w:sz w:val="21"/>
                <w:szCs w:val="21"/>
              </w:rPr>
              <w:t>3-10</w:t>
            </w:r>
            <w:r w:rsidRPr="00B12FE0">
              <w:rPr>
                <w:rFonts w:eastAsia="等线" w:hint="eastAsia"/>
                <w:color w:val="000000" w:themeColor="text1"/>
                <w:sz w:val="21"/>
                <w:szCs w:val="21"/>
              </w:rPr>
              <w:t>）</w:t>
            </w:r>
          </w:p>
        </w:tc>
        <w:tc>
          <w:tcPr>
            <w:tcW w:w="1436" w:type="pct"/>
            <w:noWrap/>
            <w:vAlign w:val="center"/>
          </w:tcPr>
          <w:p w14:paraId="02DDAC39"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6.7h</w:t>
            </w:r>
          </w:p>
          <w:p w14:paraId="0D24C5BA"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1min/</w:t>
            </w:r>
            <w:r w:rsidRPr="00B12FE0">
              <w:rPr>
                <w:rFonts w:hint="eastAsia"/>
                <w:snapToGrid w:val="0"/>
                <w:color w:val="000000" w:themeColor="text1"/>
                <w:kern w:val="0"/>
                <w:sz w:val="21"/>
                <w:szCs w:val="21"/>
                <w:lang w:bidi="ar"/>
              </w:rPr>
              <w:t>次×</w:t>
            </w:r>
            <w:r w:rsidRPr="00B12FE0">
              <w:rPr>
                <w:rFonts w:hint="eastAsia"/>
                <w:snapToGrid w:val="0"/>
                <w:color w:val="000000" w:themeColor="text1"/>
                <w:kern w:val="0"/>
                <w:sz w:val="21"/>
                <w:szCs w:val="21"/>
                <w:lang w:bidi="ar"/>
              </w:rPr>
              <w:t>400</w:t>
            </w:r>
            <w:r w:rsidRPr="00B12FE0">
              <w:rPr>
                <w:rFonts w:hint="eastAsia"/>
                <w:snapToGrid w:val="0"/>
                <w:color w:val="000000" w:themeColor="text1"/>
                <w:kern w:val="0"/>
                <w:sz w:val="21"/>
                <w:szCs w:val="21"/>
                <w:lang w:bidi="ar"/>
              </w:rPr>
              <w:t>次</w:t>
            </w: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年）</w:t>
            </w:r>
          </w:p>
        </w:tc>
        <w:tc>
          <w:tcPr>
            <w:tcW w:w="858" w:type="pct"/>
            <w:noWrap/>
            <w:vAlign w:val="center"/>
          </w:tcPr>
          <w:p w14:paraId="56C21AD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1.54E-02</w:t>
            </w:r>
          </w:p>
        </w:tc>
        <w:tc>
          <w:tcPr>
            <w:tcW w:w="856" w:type="pct"/>
            <w:vMerge w:val="restart"/>
            <w:vAlign w:val="center"/>
          </w:tcPr>
          <w:p w14:paraId="6F8C38E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3.2</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人</w:t>
            </w:r>
          </w:p>
        </w:tc>
      </w:tr>
      <w:tr w:rsidR="00A67F21" w:rsidRPr="00B12FE0" w14:paraId="2BF4AF2B" w14:textId="77777777">
        <w:trPr>
          <w:trHeight w:val="272"/>
          <w:jc w:val="center"/>
        </w:trPr>
        <w:tc>
          <w:tcPr>
            <w:tcW w:w="509" w:type="pct"/>
            <w:vMerge/>
            <w:noWrap/>
            <w:vAlign w:val="center"/>
          </w:tcPr>
          <w:p w14:paraId="1501E238" w14:textId="77777777" w:rsidR="00A67F21" w:rsidRPr="00B12FE0" w:rsidRDefault="00A67F21">
            <w:pPr>
              <w:widowControl/>
              <w:jc w:val="center"/>
              <w:textAlignment w:val="center"/>
              <w:rPr>
                <w:snapToGrid w:val="0"/>
                <w:color w:val="000000" w:themeColor="text1"/>
                <w:kern w:val="0"/>
                <w:sz w:val="21"/>
                <w:szCs w:val="21"/>
                <w:lang w:bidi="ar"/>
              </w:rPr>
            </w:pPr>
          </w:p>
        </w:tc>
        <w:tc>
          <w:tcPr>
            <w:tcW w:w="535" w:type="pct"/>
            <w:vMerge/>
            <w:noWrap/>
            <w:vAlign w:val="center"/>
          </w:tcPr>
          <w:p w14:paraId="04503293" w14:textId="77777777" w:rsidR="00A67F21" w:rsidRPr="00B12FE0" w:rsidRDefault="00A67F21">
            <w:pPr>
              <w:widowControl/>
              <w:jc w:val="center"/>
              <w:textAlignment w:val="center"/>
              <w:rPr>
                <w:snapToGrid w:val="0"/>
                <w:color w:val="000000" w:themeColor="text1"/>
                <w:kern w:val="0"/>
                <w:sz w:val="21"/>
                <w:szCs w:val="21"/>
                <w:lang w:bidi="ar"/>
              </w:rPr>
            </w:pPr>
          </w:p>
        </w:tc>
        <w:tc>
          <w:tcPr>
            <w:tcW w:w="806" w:type="pct"/>
            <w:noWrap/>
            <w:vAlign w:val="center"/>
          </w:tcPr>
          <w:p w14:paraId="13B0D5AC"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933</w:t>
            </w:r>
          </w:p>
          <w:p w14:paraId="0201D7AB"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w:t>
            </w:r>
            <w:r w:rsidRPr="00B12FE0">
              <w:rPr>
                <w:rFonts w:eastAsia="等线" w:hint="eastAsia"/>
                <w:color w:val="000000" w:themeColor="text1"/>
                <w:sz w:val="21"/>
                <w:szCs w:val="21"/>
              </w:rPr>
              <w:t>3-16</w:t>
            </w:r>
            <w:r w:rsidRPr="00B12FE0">
              <w:rPr>
                <w:rFonts w:eastAsia="等线" w:hint="eastAsia"/>
                <w:color w:val="000000" w:themeColor="text1"/>
                <w:sz w:val="21"/>
                <w:szCs w:val="21"/>
              </w:rPr>
              <w:t>）</w:t>
            </w:r>
          </w:p>
        </w:tc>
        <w:tc>
          <w:tcPr>
            <w:tcW w:w="1436" w:type="pct"/>
            <w:noWrap/>
            <w:vAlign w:val="center"/>
          </w:tcPr>
          <w:p w14:paraId="1BBB66BB" w14:textId="77777777" w:rsidR="00A67F21" w:rsidRPr="00B12FE0" w:rsidRDefault="00000000">
            <w:pPr>
              <w:widowControl/>
              <w:adjustRightInd w:val="0"/>
              <w:snapToGrid w:val="0"/>
              <w:jc w:val="center"/>
              <w:rPr>
                <w:color w:val="000000" w:themeColor="text1"/>
                <w:kern w:val="0"/>
                <w:sz w:val="21"/>
                <w:szCs w:val="21"/>
              </w:rPr>
            </w:pPr>
            <w:r w:rsidRPr="00B12FE0">
              <w:rPr>
                <w:rFonts w:hint="eastAsia"/>
                <w:color w:val="000000" w:themeColor="text1"/>
                <w:kern w:val="0"/>
                <w:sz w:val="21"/>
                <w:szCs w:val="21"/>
              </w:rPr>
              <w:t>6.67</w:t>
            </w:r>
            <w:r w:rsidRPr="00B12FE0">
              <w:rPr>
                <w:color w:val="000000" w:themeColor="text1"/>
                <w:kern w:val="0"/>
                <w:sz w:val="21"/>
                <w:szCs w:val="21"/>
              </w:rPr>
              <w:t>h</w:t>
            </w:r>
          </w:p>
          <w:p w14:paraId="7F60E2D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color w:val="000000" w:themeColor="text1"/>
                <w:kern w:val="0"/>
                <w:sz w:val="21"/>
                <w:szCs w:val="21"/>
              </w:rPr>
              <w:t>每年</w:t>
            </w:r>
            <w:r w:rsidRPr="00B12FE0">
              <w:rPr>
                <w:rFonts w:hint="eastAsia"/>
                <w:color w:val="000000" w:themeColor="text1"/>
                <w:kern w:val="0"/>
                <w:sz w:val="21"/>
                <w:szCs w:val="21"/>
              </w:rPr>
              <w:t>400</w:t>
            </w:r>
            <w:r w:rsidRPr="00B12FE0">
              <w:rPr>
                <w:rFonts w:hint="eastAsia"/>
                <w:color w:val="000000" w:themeColor="text1"/>
                <w:kern w:val="0"/>
                <w:sz w:val="21"/>
                <w:szCs w:val="21"/>
              </w:rPr>
              <w:t>人，每人次</w:t>
            </w:r>
            <w:r w:rsidRPr="00B12FE0">
              <w:rPr>
                <w:rFonts w:hint="eastAsia"/>
                <w:color w:val="000000" w:themeColor="text1"/>
                <w:kern w:val="0"/>
                <w:sz w:val="21"/>
                <w:szCs w:val="21"/>
              </w:rPr>
              <w:t>1min</w:t>
            </w:r>
          </w:p>
        </w:tc>
        <w:tc>
          <w:tcPr>
            <w:tcW w:w="858" w:type="pct"/>
            <w:noWrap/>
            <w:vAlign w:val="center"/>
          </w:tcPr>
          <w:p w14:paraId="42EB007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6.22</w:t>
            </w:r>
          </w:p>
        </w:tc>
        <w:tc>
          <w:tcPr>
            <w:tcW w:w="856" w:type="pct"/>
            <w:vMerge/>
            <w:vAlign w:val="center"/>
          </w:tcPr>
          <w:p w14:paraId="4C7E7FAB"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73052C01" w14:textId="77777777">
        <w:trPr>
          <w:trHeight w:val="272"/>
          <w:jc w:val="center"/>
        </w:trPr>
        <w:tc>
          <w:tcPr>
            <w:tcW w:w="509" w:type="pct"/>
            <w:vMerge/>
            <w:noWrap/>
            <w:vAlign w:val="center"/>
          </w:tcPr>
          <w:p w14:paraId="64F0DB9C" w14:textId="77777777" w:rsidR="00A67F21" w:rsidRPr="00B12FE0" w:rsidRDefault="00A67F21">
            <w:pPr>
              <w:widowControl/>
              <w:jc w:val="center"/>
              <w:textAlignment w:val="center"/>
              <w:rPr>
                <w:snapToGrid w:val="0"/>
                <w:color w:val="000000" w:themeColor="text1"/>
                <w:kern w:val="0"/>
                <w:sz w:val="21"/>
                <w:szCs w:val="21"/>
                <w:lang w:bidi="ar"/>
              </w:rPr>
            </w:pPr>
          </w:p>
        </w:tc>
        <w:tc>
          <w:tcPr>
            <w:tcW w:w="535" w:type="pct"/>
            <w:vMerge/>
            <w:noWrap/>
            <w:vAlign w:val="center"/>
          </w:tcPr>
          <w:p w14:paraId="0725EB75" w14:textId="77777777" w:rsidR="00A67F21" w:rsidRPr="00B12FE0" w:rsidRDefault="00A67F21">
            <w:pPr>
              <w:widowControl/>
              <w:jc w:val="center"/>
              <w:textAlignment w:val="center"/>
              <w:rPr>
                <w:snapToGrid w:val="0"/>
                <w:color w:val="000000" w:themeColor="text1"/>
                <w:kern w:val="0"/>
                <w:sz w:val="21"/>
                <w:szCs w:val="21"/>
                <w:lang w:bidi="ar"/>
              </w:rPr>
            </w:pPr>
          </w:p>
        </w:tc>
        <w:tc>
          <w:tcPr>
            <w:tcW w:w="806" w:type="pct"/>
            <w:noWrap/>
            <w:vAlign w:val="center"/>
          </w:tcPr>
          <w:p w14:paraId="54C69DAD" w14:textId="77777777" w:rsidR="00A67F21" w:rsidRPr="00B12FE0" w:rsidRDefault="00000000">
            <w:pPr>
              <w:widowControl/>
              <w:jc w:val="center"/>
              <w:textAlignment w:val="center"/>
              <w:rPr>
                <w:rFonts w:eastAsia="等线"/>
                <w:color w:val="000000" w:themeColor="text1"/>
                <w:sz w:val="18"/>
                <w:szCs w:val="18"/>
              </w:rPr>
            </w:pPr>
            <w:r w:rsidRPr="00B12FE0">
              <w:rPr>
                <w:rFonts w:eastAsia="等线"/>
                <w:color w:val="000000" w:themeColor="text1"/>
                <w:sz w:val="18"/>
                <w:szCs w:val="18"/>
              </w:rPr>
              <w:t>1.28E-01</w:t>
            </w:r>
          </w:p>
          <w:p w14:paraId="629BDC33" w14:textId="77777777" w:rsidR="00A67F21" w:rsidRPr="00B12FE0" w:rsidRDefault="00000000">
            <w:pPr>
              <w:widowControl/>
              <w:jc w:val="center"/>
              <w:textAlignment w:val="center"/>
              <w:rPr>
                <w:rFonts w:eastAsia="等线"/>
                <w:color w:val="000000" w:themeColor="text1"/>
                <w:sz w:val="21"/>
                <w:szCs w:val="21"/>
              </w:rPr>
            </w:pPr>
            <w:r w:rsidRPr="00B12FE0">
              <w:rPr>
                <w:rFonts w:hint="eastAsia"/>
                <w:snapToGrid w:val="0"/>
                <w:color w:val="000000" w:themeColor="text1"/>
                <w:kern w:val="0"/>
                <w:sz w:val="21"/>
                <w:szCs w:val="21"/>
                <w:lang w:bidi="ar"/>
              </w:rPr>
              <w:t>（</w:t>
            </w:r>
            <w:r w:rsidRPr="00B12FE0">
              <w:rPr>
                <w:rFonts w:hint="eastAsia"/>
                <w:snapToGrid w:val="0"/>
                <w:color w:val="000000" w:themeColor="text1"/>
                <w:kern w:val="0"/>
                <w:sz w:val="21"/>
                <w:szCs w:val="21"/>
                <w:lang w:bidi="ar"/>
              </w:rPr>
              <w:t>2-34</w:t>
            </w:r>
            <w:r w:rsidRPr="00B12FE0">
              <w:rPr>
                <w:rFonts w:hint="eastAsia"/>
                <w:snapToGrid w:val="0"/>
                <w:color w:val="000000" w:themeColor="text1"/>
                <w:kern w:val="0"/>
                <w:sz w:val="21"/>
                <w:szCs w:val="21"/>
                <w:lang w:bidi="ar"/>
              </w:rPr>
              <w:t>）</w:t>
            </w:r>
          </w:p>
        </w:tc>
        <w:tc>
          <w:tcPr>
            <w:tcW w:w="1436" w:type="pct"/>
            <w:noWrap/>
            <w:vAlign w:val="center"/>
          </w:tcPr>
          <w:p w14:paraId="105B6F04"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2000</w:t>
            </w:r>
          </w:p>
        </w:tc>
        <w:tc>
          <w:tcPr>
            <w:tcW w:w="858" w:type="pct"/>
            <w:noWrap/>
            <w:vAlign w:val="center"/>
          </w:tcPr>
          <w:p w14:paraId="1EBEA1C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w:t>
            </w:r>
            <w:r w:rsidRPr="00B12FE0">
              <w:rPr>
                <w:rFonts w:hint="eastAsia"/>
                <w:snapToGrid w:val="0"/>
                <w:color w:val="000000" w:themeColor="text1"/>
                <w:kern w:val="0"/>
                <w:sz w:val="21"/>
                <w:szCs w:val="21"/>
                <w:lang w:bidi="ar"/>
              </w:rPr>
              <w:t>56</w:t>
            </w:r>
            <w:r w:rsidRPr="00B12FE0">
              <w:rPr>
                <w:snapToGrid w:val="0"/>
                <w:color w:val="000000" w:themeColor="text1"/>
                <w:kern w:val="0"/>
                <w:sz w:val="21"/>
                <w:szCs w:val="21"/>
                <w:lang w:bidi="ar"/>
              </w:rPr>
              <w:t>E-01</w:t>
            </w:r>
          </w:p>
        </w:tc>
        <w:tc>
          <w:tcPr>
            <w:tcW w:w="856" w:type="pct"/>
            <w:vMerge/>
            <w:vAlign w:val="center"/>
          </w:tcPr>
          <w:p w14:paraId="12521BE7" w14:textId="77777777" w:rsidR="00A67F21" w:rsidRPr="00B12FE0" w:rsidRDefault="00A67F21">
            <w:pPr>
              <w:widowControl/>
              <w:jc w:val="center"/>
              <w:textAlignment w:val="center"/>
              <w:rPr>
                <w:snapToGrid w:val="0"/>
                <w:color w:val="000000" w:themeColor="text1"/>
                <w:kern w:val="0"/>
                <w:sz w:val="21"/>
                <w:szCs w:val="21"/>
                <w:lang w:bidi="ar"/>
              </w:rPr>
            </w:pPr>
          </w:p>
        </w:tc>
      </w:tr>
      <w:tr w:rsidR="00A67F21" w:rsidRPr="00B12FE0" w14:paraId="56C2AA4D" w14:textId="77777777">
        <w:trPr>
          <w:trHeight w:val="272"/>
          <w:jc w:val="center"/>
        </w:trPr>
        <w:tc>
          <w:tcPr>
            <w:tcW w:w="5000" w:type="pct"/>
            <w:gridSpan w:val="6"/>
            <w:noWrap/>
            <w:vAlign w:val="center"/>
          </w:tcPr>
          <w:p w14:paraId="28762052" w14:textId="77777777" w:rsidR="00A67F21" w:rsidRPr="00B12FE0" w:rsidRDefault="00000000">
            <w:pPr>
              <w:widowControl/>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注：护士工作时间保守按照</w:t>
            </w:r>
            <w:r w:rsidRPr="00B12FE0">
              <w:rPr>
                <w:snapToGrid w:val="0"/>
                <w:color w:val="000000" w:themeColor="text1"/>
                <w:kern w:val="0"/>
                <w:sz w:val="21"/>
                <w:szCs w:val="21"/>
                <w:lang w:bidi="ar"/>
              </w:rPr>
              <w:t>2000h</w:t>
            </w:r>
            <w:r w:rsidRPr="00B12FE0">
              <w:rPr>
                <w:snapToGrid w:val="0"/>
                <w:color w:val="000000" w:themeColor="text1"/>
                <w:kern w:val="0"/>
                <w:sz w:val="21"/>
                <w:szCs w:val="21"/>
                <w:lang w:bidi="ar"/>
              </w:rPr>
              <w:t>考虑</w:t>
            </w:r>
            <w:r w:rsidRPr="00B12FE0">
              <w:rPr>
                <w:rFonts w:hint="eastAsia"/>
                <w:snapToGrid w:val="0"/>
                <w:color w:val="000000" w:themeColor="text1"/>
                <w:kern w:val="0"/>
                <w:sz w:val="21"/>
                <w:szCs w:val="21"/>
                <w:lang w:bidi="ar"/>
              </w:rPr>
              <w:t>。</w:t>
            </w:r>
            <w:r w:rsidRPr="00B12FE0">
              <w:rPr>
                <w:snapToGrid w:val="0"/>
                <w:color w:val="000000" w:themeColor="text1"/>
                <w:kern w:val="0"/>
                <w:sz w:val="21"/>
                <w:szCs w:val="21"/>
                <w:lang w:bidi="ar"/>
              </w:rPr>
              <w:t>由于核素治疗场所辐射工作人员还会受到下方核素诊断场所的影响，需进行剂量叠加</w:t>
            </w:r>
            <w:r w:rsidRPr="00B12FE0">
              <w:rPr>
                <w:rFonts w:hint="eastAsia"/>
                <w:snapToGrid w:val="0"/>
                <w:color w:val="000000" w:themeColor="text1"/>
                <w:kern w:val="0"/>
                <w:sz w:val="21"/>
                <w:szCs w:val="21"/>
                <w:lang w:bidi="ar"/>
              </w:rPr>
              <w:t>，故取核素诊断场所</w:t>
            </w:r>
            <w:r w:rsidRPr="00B12FE0">
              <w:rPr>
                <w:snapToGrid w:val="0"/>
                <w:color w:val="000000" w:themeColor="text1"/>
                <w:kern w:val="0"/>
                <w:sz w:val="21"/>
                <w:szCs w:val="21"/>
                <w:lang w:bidi="ar"/>
              </w:rPr>
              <w:t>对</w:t>
            </w:r>
            <w:r w:rsidRPr="00B12FE0">
              <w:rPr>
                <w:rFonts w:hint="eastAsia"/>
                <w:snapToGrid w:val="0"/>
                <w:color w:val="000000" w:themeColor="text1"/>
                <w:kern w:val="0"/>
                <w:sz w:val="21"/>
                <w:szCs w:val="21"/>
                <w:lang w:bidi="ar"/>
              </w:rPr>
              <w:t>上</w:t>
            </w:r>
            <w:r w:rsidRPr="00B12FE0">
              <w:rPr>
                <w:snapToGrid w:val="0"/>
                <w:color w:val="000000" w:themeColor="text1"/>
                <w:kern w:val="0"/>
                <w:sz w:val="21"/>
                <w:szCs w:val="21"/>
                <w:lang w:bidi="ar"/>
              </w:rPr>
              <w:t>方的辐射剂量率最大值</w:t>
            </w:r>
            <w:r w:rsidRPr="00B12FE0">
              <w:rPr>
                <w:snapToGrid w:val="0"/>
                <w:color w:val="000000" w:themeColor="text1"/>
                <w:kern w:val="0"/>
                <w:sz w:val="21"/>
                <w:szCs w:val="21"/>
                <w:lang w:bidi="ar"/>
              </w:rPr>
              <w:t>1.38E-01μSv/h</w:t>
            </w:r>
            <w:r w:rsidRPr="00B12FE0">
              <w:rPr>
                <w:rFonts w:hint="eastAsia"/>
                <w:snapToGrid w:val="0"/>
                <w:color w:val="000000" w:themeColor="text1"/>
                <w:kern w:val="0"/>
                <w:sz w:val="21"/>
                <w:szCs w:val="21"/>
                <w:lang w:bidi="ar"/>
              </w:rPr>
              <w:t>。</w:t>
            </w:r>
          </w:p>
        </w:tc>
      </w:tr>
    </w:tbl>
    <w:p w14:paraId="050C34E0" w14:textId="77777777" w:rsidR="00A67F21" w:rsidRPr="00B12FE0" w:rsidRDefault="00000000">
      <w:pPr>
        <w:wordWrap w:val="0"/>
        <w:spacing w:line="360" w:lineRule="auto"/>
        <w:ind w:firstLineChars="200" w:firstLine="480"/>
        <w:rPr>
          <w:rFonts w:cs="宋体"/>
          <w:bCs/>
          <w:color w:val="000000" w:themeColor="text1"/>
          <w:szCs w:val="24"/>
        </w:rPr>
      </w:pPr>
      <w:r w:rsidRPr="00B12FE0">
        <w:rPr>
          <w:snapToGrid w:val="0"/>
          <w:color w:val="000000" w:themeColor="text1"/>
          <w:szCs w:val="24"/>
        </w:rPr>
        <w:t>综上，核素治疗场所辐射工作人员的年有效剂量最大为</w:t>
      </w:r>
      <w:r w:rsidRPr="00B12FE0">
        <w:rPr>
          <w:rFonts w:hint="eastAsia"/>
          <w:snapToGrid w:val="0"/>
          <w:color w:val="000000" w:themeColor="text1"/>
          <w:szCs w:val="24"/>
        </w:rPr>
        <w:t>3.2</w:t>
      </w:r>
      <w:r w:rsidRPr="00B12FE0">
        <w:rPr>
          <w:snapToGrid w:val="0"/>
          <w:color w:val="000000" w:themeColor="text1"/>
          <w:szCs w:val="24"/>
        </w:rPr>
        <w:t>mSv</w:t>
      </w:r>
      <w:r w:rsidRPr="00B12FE0">
        <w:rPr>
          <w:snapToGrid w:val="0"/>
          <w:color w:val="000000" w:themeColor="text1"/>
          <w:szCs w:val="24"/>
        </w:rPr>
        <w:t>，</w:t>
      </w:r>
      <w:r w:rsidRPr="00B12FE0">
        <w:rPr>
          <w:rFonts w:cs="宋体" w:hint="eastAsia"/>
          <w:bCs/>
          <w:color w:val="000000" w:themeColor="text1"/>
          <w:szCs w:val="24"/>
        </w:rPr>
        <w:t>满足辐射工作人员年有效年剂量约束值不超过</w:t>
      </w:r>
      <w:r w:rsidRPr="00B12FE0">
        <w:rPr>
          <w:rFonts w:cs="宋体"/>
          <w:bCs/>
          <w:color w:val="000000" w:themeColor="text1"/>
          <w:szCs w:val="24"/>
        </w:rPr>
        <w:t>5mSv</w:t>
      </w:r>
      <w:r w:rsidRPr="00B12FE0">
        <w:rPr>
          <w:rFonts w:cs="宋体" w:hint="eastAsia"/>
          <w:bCs/>
          <w:color w:val="000000" w:themeColor="text1"/>
          <w:szCs w:val="24"/>
        </w:rPr>
        <w:t>的要求。</w:t>
      </w:r>
    </w:p>
    <w:p w14:paraId="4055343D" w14:textId="77777777" w:rsidR="00A67F21" w:rsidRPr="00B12FE0" w:rsidRDefault="00000000">
      <w:pPr>
        <w:adjustRightInd w:val="0"/>
        <w:snapToGrid w:val="0"/>
        <w:spacing w:line="360" w:lineRule="auto"/>
        <w:ind w:firstLine="480"/>
        <w:rPr>
          <w:b/>
          <w:snapToGrid w:val="0"/>
          <w:color w:val="000000" w:themeColor="text1"/>
          <w:szCs w:val="28"/>
        </w:rPr>
      </w:pPr>
      <w:r w:rsidRPr="00B12FE0">
        <w:rPr>
          <w:rFonts w:ascii="Cambria Math" w:hAnsi="Cambria Math" w:cs="Cambria Math"/>
          <w:b/>
          <w:snapToGrid w:val="0"/>
          <w:color w:val="000000" w:themeColor="text1"/>
          <w:szCs w:val="28"/>
        </w:rPr>
        <w:t>②</w:t>
      </w:r>
      <w:r w:rsidRPr="00B12FE0">
        <w:rPr>
          <w:b/>
          <w:snapToGrid w:val="0"/>
          <w:color w:val="000000" w:themeColor="text1"/>
          <w:szCs w:val="28"/>
        </w:rPr>
        <w:t>公众受照剂量估算</w:t>
      </w:r>
    </w:p>
    <w:p w14:paraId="1FC1F136" w14:textId="77777777" w:rsidR="00A67F21" w:rsidRPr="00B12FE0" w:rsidRDefault="00000000">
      <w:pPr>
        <w:overflowPunct w:val="0"/>
        <w:autoSpaceDE w:val="0"/>
        <w:autoSpaceDN w:val="0"/>
        <w:adjustRightInd w:val="0"/>
        <w:snapToGrid w:val="0"/>
        <w:spacing w:line="360" w:lineRule="auto"/>
        <w:ind w:firstLineChars="200" w:firstLine="480"/>
        <w:rPr>
          <w:snapToGrid w:val="0"/>
          <w:color w:val="000000" w:themeColor="text1"/>
          <w:kern w:val="0"/>
          <w:szCs w:val="24"/>
        </w:rPr>
      </w:pPr>
      <w:r w:rsidRPr="00B12FE0">
        <w:rPr>
          <w:snapToGrid w:val="0"/>
          <w:color w:val="000000" w:themeColor="text1"/>
          <w:kern w:val="0"/>
          <w:szCs w:val="24"/>
        </w:rPr>
        <w:t>根据预测的</w:t>
      </w:r>
      <w:proofErr w:type="gramStart"/>
      <w:r w:rsidRPr="00B12FE0">
        <w:rPr>
          <w:snapToGrid w:val="0"/>
          <w:color w:val="000000" w:themeColor="text1"/>
          <w:kern w:val="0"/>
          <w:szCs w:val="24"/>
        </w:rPr>
        <w:t>各关注</w:t>
      </w:r>
      <w:proofErr w:type="gramEnd"/>
      <w:r w:rsidRPr="00B12FE0">
        <w:rPr>
          <w:snapToGrid w:val="0"/>
          <w:color w:val="000000" w:themeColor="text1"/>
          <w:kern w:val="0"/>
          <w:szCs w:val="24"/>
        </w:rPr>
        <w:t>点处辐射剂量率，结合核医学科核素治疗场所</w:t>
      </w:r>
      <w:r w:rsidRPr="00B12FE0">
        <w:rPr>
          <w:snapToGrid w:val="0"/>
          <w:color w:val="000000" w:themeColor="text1"/>
          <w:szCs w:val="24"/>
          <w:lang w:val="en-GB"/>
        </w:rPr>
        <w:t>周围公众情况</w:t>
      </w:r>
      <w:r w:rsidRPr="00B12FE0">
        <w:rPr>
          <w:snapToGrid w:val="0"/>
          <w:color w:val="000000" w:themeColor="text1"/>
          <w:kern w:val="0"/>
          <w:szCs w:val="24"/>
        </w:rPr>
        <w:t>、关注点处人员居留因子等参数，由式</w:t>
      </w:r>
      <w:r w:rsidRPr="00B12FE0">
        <w:rPr>
          <w:snapToGrid w:val="0"/>
          <w:color w:val="000000" w:themeColor="text1"/>
          <w:szCs w:val="24"/>
        </w:rPr>
        <w:t>11.2.1.1-3</w:t>
      </w:r>
      <w:r w:rsidRPr="00B12FE0">
        <w:rPr>
          <w:snapToGrid w:val="0"/>
          <w:color w:val="000000" w:themeColor="text1"/>
          <w:kern w:val="0"/>
          <w:szCs w:val="24"/>
        </w:rPr>
        <w:t>计算即可得到核医学科核素治疗场所</w:t>
      </w:r>
      <w:r w:rsidRPr="00B12FE0">
        <w:rPr>
          <w:snapToGrid w:val="0"/>
          <w:color w:val="000000" w:themeColor="text1"/>
          <w:szCs w:val="24"/>
          <w:lang w:val="en-GB"/>
        </w:rPr>
        <w:t>周围公众</w:t>
      </w:r>
      <w:r w:rsidRPr="00B12FE0">
        <w:rPr>
          <w:snapToGrid w:val="0"/>
          <w:color w:val="000000" w:themeColor="text1"/>
          <w:kern w:val="0"/>
          <w:szCs w:val="24"/>
        </w:rPr>
        <w:t>的年有效剂量，见下表。</w:t>
      </w:r>
    </w:p>
    <w:p w14:paraId="6E4F716B" w14:textId="77777777" w:rsidR="00A67F21" w:rsidRPr="00B12FE0" w:rsidRDefault="00000000">
      <w:pPr>
        <w:widowControl/>
        <w:tabs>
          <w:tab w:val="center" w:pos="4201"/>
          <w:tab w:val="right" w:leader="dot" w:pos="9298"/>
        </w:tabs>
        <w:autoSpaceDE w:val="0"/>
        <w:autoSpaceDN w:val="0"/>
        <w:adjustRightInd w:val="0"/>
        <w:spacing w:line="360" w:lineRule="auto"/>
        <w:jc w:val="center"/>
        <w:textAlignment w:val="baseline"/>
        <w:rPr>
          <w:b/>
          <w:snapToGrid w:val="0"/>
          <w:color w:val="000000" w:themeColor="text1"/>
          <w:kern w:val="0"/>
          <w:sz w:val="21"/>
          <w:szCs w:val="21"/>
          <w:lang w:val="en-GB"/>
        </w:rPr>
      </w:pPr>
      <w:r w:rsidRPr="00B12FE0">
        <w:rPr>
          <w:b/>
          <w:snapToGrid w:val="0"/>
          <w:color w:val="000000" w:themeColor="text1"/>
          <w:kern w:val="0"/>
          <w:sz w:val="21"/>
          <w:szCs w:val="21"/>
          <w:lang w:val="en-GB"/>
        </w:rPr>
        <w:lastRenderedPageBreak/>
        <w:t>表</w:t>
      </w:r>
      <w:r w:rsidRPr="00B12FE0">
        <w:rPr>
          <w:b/>
          <w:snapToGrid w:val="0"/>
          <w:color w:val="000000" w:themeColor="text1"/>
          <w:kern w:val="0"/>
          <w:sz w:val="21"/>
          <w:szCs w:val="21"/>
          <w:lang w:val="en-GB"/>
        </w:rPr>
        <w:t>11.2.1.3-</w:t>
      </w:r>
      <w:r w:rsidRPr="00B12FE0">
        <w:rPr>
          <w:rFonts w:hint="eastAsia"/>
          <w:b/>
          <w:snapToGrid w:val="0"/>
          <w:color w:val="000000" w:themeColor="text1"/>
          <w:kern w:val="0"/>
          <w:sz w:val="21"/>
          <w:szCs w:val="21"/>
          <w:lang w:val="en-GB"/>
        </w:rPr>
        <w:t>3</w:t>
      </w:r>
      <w:r w:rsidRPr="00B12FE0">
        <w:rPr>
          <w:b/>
          <w:snapToGrid w:val="0"/>
          <w:color w:val="000000" w:themeColor="text1"/>
          <w:kern w:val="0"/>
          <w:sz w:val="21"/>
          <w:szCs w:val="21"/>
          <w:lang w:val="en-GB"/>
        </w:rPr>
        <w:t xml:space="preserve">  </w:t>
      </w:r>
      <w:r w:rsidRPr="00B12FE0">
        <w:rPr>
          <w:b/>
          <w:snapToGrid w:val="0"/>
          <w:color w:val="000000" w:themeColor="text1"/>
          <w:kern w:val="0"/>
          <w:sz w:val="21"/>
          <w:szCs w:val="21"/>
          <w:lang w:val="en-GB"/>
        </w:rPr>
        <w:t>核医学科核素治疗场所公众人员年有效剂量</w:t>
      </w:r>
      <w:r w:rsidRPr="00B12FE0">
        <w:rPr>
          <w:b/>
          <w:snapToGrid w:val="0"/>
          <w:color w:val="000000" w:themeColor="text1"/>
          <w:kern w:val="0"/>
          <w:sz w:val="21"/>
          <w:szCs w:val="21"/>
        </w:rPr>
        <w:t>估算</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709"/>
        <w:gridCol w:w="2005"/>
        <w:gridCol w:w="1077"/>
        <w:gridCol w:w="948"/>
        <w:gridCol w:w="1138"/>
        <w:gridCol w:w="1267"/>
      </w:tblGrid>
      <w:tr w:rsidR="00A67F21" w:rsidRPr="00B12FE0" w14:paraId="3BAB1617" w14:textId="77777777">
        <w:trPr>
          <w:trHeight w:val="340"/>
          <w:jc w:val="center"/>
        </w:trPr>
        <w:tc>
          <w:tcPr>
            <w:tcW w:w="939" w:type="pct"/>
            <w:vMerge w:val="restart"/>
            <w:vAlign w:val="center"/>
          </w:tcPr>
          <w:p w14:paraId="78BEF6A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关注场所</w:t>
            </w:r>
          </w:p>
        </w:tc>
        <w:tc>
          <w:tcPr>
            <w:tcW w:w="403" w:type="pct"/>
            <w:vMerge w:val="restart"/>
            <w:vAlign w:val="center"/>
          </w:tcPr>
          <w:p w14:paraId="510A3EC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人员类型</w:t>
            </w:r>
          </w:p>
        </w:tc>
        <w:tc>
          <w:tcPr>
            <w:tcW w:w="1140" w:type="pct"/>
            <w:vMerge w:val="restart"/>
            <w:vAlign w:val="center"/>
          </w:tcPr>
          <w:p w14:paraId="111698A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辐射剂量率（</w:t>
            </w:r>
            <w:proofErr w:type="spellStart"/>
            <w:r w:rsidRPr="00B12FE0">
              <w:rPr>
                <w:snapToGrid w:val="0"/>
                <w:color w:val="000000" w:themeColor="text1"/>
                <w:sz w:val="21"/>
                <w:szCs w:val="21"/>
                <w:lang w:bidi="ar"/>
              </w:rPr>
              <w:t>μSv</w:t>
            </w:r>
            <w:proofErr w:type="spellEnd"/>
            <w:r w:rsidRPr="00B12FE0">
              <w:rPr>
                <w:snapToGrid w:val="0"/>
                <w:color w:val="000000" w:themeColor="text1"/>
                <w:sz w:val="21"/>
                <w:szCs w:val="21"/>
                <w:lang w:bidi="ar"/>
              </w:rPr>
              <w:t>/h</w:t>
            </w:r>
            <w:r w:rsidRPr="00B12FE0">
              <w:rPr>
                <w:snapToGrid w:val="0"/>
                <w:color w:val="000000" w:themeColor="text1"/>
                <w:kern w:val="0"/>
                <w:sz w:val="21"/>
                <w:szCs w:val="21"/>
                <w:lang w:bidi="ar"/>
              </w:rPr>
              <w:t>）</w:t>
            </w:r>
          </w:p>
        </w:tc>
        <w:tc>
          <w:tcPr>
            <w:tcW w:w="612" w:type="pct"/>
            <w:vMerge w:val="restart"/>
            <w:vAlign w:val="center"/>
          </w:tcPr>
          <w:p w14:paraId="2AEC1CE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距离（</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539" w:type="pct"/>
            <w:vMerge w:val="restart"/>
            <w:vAlign w:val="center"/>
          </w:tcPr>
          <w:p w14:paraId="3F1CE37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居留因子</w:t>
            </w:r>
          </w:p>
        </w:tc>
        <w:tc>
          <w:tcPr>
            <w:tcW w:w="647" w:type="pct"/>
            <w:vMerge w:val="restart"/>
            <w:vAlign w:val="center"/>
          </w:tcPr>
          <w:p w14:paraId="525026F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受照时间（</w:t>
            </w:r>
            <w:r w:rsidRPr="00B12FE0">
              <w:rPr>
                <w:snapToGrid w:val="0"/>
                <w:color w:val="000000" w:themeColor="text1"/>
                <w:sz w:val="21"/>
                <w:szCs w:val="21"/>
                <w:lang w:bidi="ar"/>
              </w:rPr>
              <w:t>h</w:t>
            </w:r>
            <w:r w:rsidRPr="00B12FE0">
              <w:rPr>
                <w:snapToGrid w:val="0"/>
                <w:color w:val="000000" w:themeColor="text1"/>
                <w:kern w:val="0"/>
                <w:sz w:val="21"/>
                <w:szCs w:val="21"/>
                <w:lang w:bidi="ar"/>
              </w:rPr>
              <w:t>）</w:t>
            </w:r>
          </w:p>
        </w:tc>
        <w:tc>
          <w:tcPr>
            <w:tcW w:w="720" w:type="pct"/>
            <w:vMerge w:val="restart"/>
            <w:vAlign w:val="center"/>
          </w:tcPr>
          <w:p w14:paraId="67F4F6C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年有效剂量（</w:t>
            </w:r>
            <w:r w:rsidRPr="00B12FE0">
              <w:rPr>
                <w:snapToGrid w:val="0"/>
                <w:color w:val="000000" w:themeColor="text1"/>
                <w:sz w:val="21"/>
                <w:szCs w:val="21"/>
                <w:lang w:bidi="ar"/>
              </w:rPr>
              <w:t>mSv</w:t>
            </w:r>
            <w:r w:rsidRPr="00B12FE0">
              <w:rPr>
                <w:snapToGrid w:val="0"/>
                <w:color w:val="000000" w:themeColor="text1"/>
                <w:kern w:val="0"/>
                <w:sz w:val="21"/>
                <w:szCs w:val="21"/>
                <w:lang w:bidi="ar"/>
              </w:rPr>
              <w:t>）</w:t>
            </w:r>
          </w:p>
        </w:tc>
      </w:tr>
      <w:tr w:rsidR="00A67F21" w:rsidRPr="00B12FE0" w14:paraId="525507A6" w14:textId="77777777">
        <w:trPr>
          <w:trHeight w:val="340"/>
          <w:jc w:val="center"/>
        </w:trPr>
        <w:tc>
          <w:tcPr>
            <w:tcW w:w="939" w:type="pct"/>
            <w:vMerge/>
            <w:vAlign w:val="center"/>
          </w:tcPr>
          <w:p w14:paraId="2D7B513D" w14:textId="77777777" w:rsidR="00A67F21" w:rsidRPr="00B12FE0" w:rsidRDefault="00A67F21">
            <w:pPr>
              <w:jc w:val="center"/>
              <w:rPr>
                <w:snapToGrid w:val="0"/>
                <w:color w:val="000000" w:themeColor="text1"/>
                <w:sz w:val="21"/>
                <w:szCs w:val="21"/>
              </w:rPr>
            </w:pPr>
          </w:p>
        </w:tc>
        <w:tc>
          <w:tcPr>
            <w:tcW w:w="403" w:type="pct"/>
            <w:vMerge/>
            <w:vAlign w:val="center"/>
          </w:tcPr>
          <w:p w14:paraId="6EE865AD" w14:textId="77777777" w:rsidR="00A67F21" w:rsidRPr="00B12FE0" w:rsidRDefault="00A67F21">
            <w:pPr>
              <w:jc w:val="center"/>
              <w:rPr>
                <w:snapToGrid w:val="0"/>
                <w:color w:val="000000" w:themeColor="text1"/>
                <w:sz w:val="21"/>
                <w:szCs w:val="21"/>
              </w:rPr>
            </w:pPr>
          </w:p>
        </w:tc>
        <w:tc>
          <w:tcPr>
            <w:tcW w:w="1140" w:type="pct"/>
            <w:vMerge/>
            <w:vAlign w:val="center"/>
          </w:tcPr>
          <w:p w14:paraId="649199DA" w14:textId="77777777" w:rsidR="00A67F21" w:rsidRPr="00B12FE0" w:rsidRDefault="00A67F21">
            <w:pPr>
              <w:jc w:val="center"/>
              <w:rPr>
                <w:snapToGrid w:val="0"/>
                <w:color w:val="000000" w:themeColor="text1"/>
                <w:sz w:val="21"/>
                <w:szCs w:val="21"/>
              </w:rPr>
            </w:pPr>
          </w:p>
        </w:tc>
        <w:tc>
          <w:tcPr>
            <w:tcW w:w="612" w:type="pct"/>
            <w:vMerge/>
            <w:vAlign w:val="center"/>
          </w:tcPr>
          <w:p w14:paraId="40C831B6" w14:textId="77777777" w:rsidR="00A67F21" w:rsidRPr="00B12FE0" w:rsidRDefault="00A67F21">
            <w:pPr>
              <w:jc w:val="center"/>
              <w:rPr>
                <w:snapToGrid w:val="0"/>
                <w:color w:val="000000" w:themeColor="text1"/>
                <w:sz w:val="21"/>
                <w:szCs w:val="21"/>
              </w:rPr>
            </w:pPr>
          </w:p>
        </w:tc>
        <w:tc>
          <w:tcPr>
            <w:tcW w:w="539" w:type="pct"/>
            <w:vMerge/>
            <w:vAlign w:val="center"/>
          </w:tcPr>
          <w:p w14:paraId="5B27F413" w14:textId="77777777" w:rsidR="00A67F21" w:rsidRPr="00B12FE0" w:rsidRDefault="00A67F21">
            <w:pPr>
              <w:jc w:val="center"/>
              <w:rPr>
                <w:snapToGrid w:val="0"/>
                <w:color w:val="000000" w:themeColor="text1"/>
                <w:sz w:val="21"/>
                <w:szCs w:val="21"/>
              </w:rPr>
            </w:pPr>
          </w:p>
        </w:tc>
        <w:tc>
          <w:tcPr>
            <w:tcW w:w="647" w:type="pct"/>
            <w:vMerge/>
            <w:vAlign w:val="center"/>
          </w:tcPr>
          <w:p w14:paraId="26CB5864" w14:textId="77777777" w:rsidR="00A67F21" w:rsidRPr="00B12FE0" w:rsidRDefault="00A67F21">
            <w:pPr>
              <w:jc w:val="center"/>
              <w:rPr>
                <w:snapToGrid w:val="0"/>
                <w:color w:val="000000" w:themeColor="text1"/>
                <w:sz w:val="21"/>
                <w:szCs w:val="21"/>
              </w:rPr>
            </w:pPr>
          </w:p>
        </w:tc>
        <w:tc>
          <w:tcPr>
            <w:tcW w:w="720" w:type="pct"/>
            <w:vMerge/>
            <w:vAlign w:val="center"/>
          </w:tcPr>
          <w:p w14:paraId="620AC5D9" w14:textId="77777777" w:rsidR="00A67F21" w:rsidRPr="00B12FE0" w:rsidRDefault="00A67F21">
            <w:pPr>
              <w:jc w:val="center"/>
              <w:rPr>
                <w:snapToGrid w:val="0"/>
                <w:color w:val="000000" w:themeColor="text1"/>
                <w:sz w:val="21"/>
                <w:szCs w:val="21"/>
              </w:rPr>
            </w:pPr>
          </w:p>
        </w:tc>
      </w:tr>
      <w:tr w:rsidR="00A67F21" w:rsidRPr="00B12FE0" w14:paraId="7C0913CA" w14:textId="77777777">
        <w:trPr>
          <w:trHeight w:val="340"/>
          <w:jc w:val="center"/>
        </w:trPr>
        <w:tc>
          <w:tcPr>
            <w:tcW w:w="939" w:type="pct"/>
            <w:noWrap/>
            <w:vAlign w:val="center"/>
          </w:tcPr>
          <w:p w14:paraId="231341C6"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kern w:val="0"/>
                <w:sz w:val="18"/>
                <w:szCs w:val="18"/>
                <w:lang w:bidi="ar"/>
              </w:rPr>
              <w:t>候诊区及其卫生间、空调机房、库房及护士站</w:t>
            </w:r>
          </w:p>
        </w:tc>
        <w:tc>
          <w:tcPr>
            <w:tcW w:w="403" w:type="pct"/>
            <w:vMerge w:val="restart"/>
            <w:noWrap/>
            <w:vAlign w:val="center"/>
          </w:tcPr>
          <w:p w14:paraId="34CF13E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公众</w:t>
            </w:r>
          </w:p>
        </w:tc>
        <w:tc>
          <w:tcPr>
            <w:tcW w:w="1140" w:type="pct"/>
            <w:noWrap/>
            <w:vAlign w:val="center"/>
          </w:tcPr>
          <w:p w14:paraId="073C8AD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1.10</w:t>
            </w:r>
          </w:p>
          <w:p w14:paraId="38A7643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w:t>
            </w:r>
            <w:r w:rsidRPr="00B12FE0">
              <w:rPr>
                <w:snapToGrid w:val="0"/>
                <w:color w:val="000000" w:themeColor="text1"/>
                <w:kern w:val="0"/>
                <w:sz w:val="21"/>
                <w:szCs w:val="21"/>
                <w:lang w:bidi="ar"/>
              </w:rPr>
              <w:t>3-</w:t>
            </w:r>
            <w:r w:rsidRPr="00B12FE0">
              <w:rPr>
                <w:rFonts w:hint="eastAsia"/>
                <w:snapToGrid w:val="0"/>
                <w:color w:val="000000" w:themeColor="text1"/>
                <w:kern w:val="0"/>
                <w:sz w:val="21"/>
                <w:szCs w:val="21"/>
                <w:lang w:bidi="ar"/>
              </w:rPr>
              <w:t>15</w:t>
            </w:r>
            <w:r w:rsidRPr="00B12FE0">
              <w:rPr>
                <w:snapToGrid w:val="0"/>
                <w:color w:val="000000" w:themeColor="text1"/>
                <w:kern w:val="0"/>
                <w:sz w:val="21"/>
                <w:szCs w:val="21"/>
                <w:lang w:bidi="ar"/>
              </w:rPr>
              <w:t>）</w:t>
            </w:r>
          </w:p>
        </w:tc>
        <w:tc>
          <w:tcPr>
            <w:tcW w:w="612" w:type="pct"/>
            <w:noWrap/>
            <w:vAlign w:val="center"/>
          </w:tcPr>
          <w:p w14:paraId="08BBC94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紧邻</w:t>
            </w:r>
          </w:p>
        </w:tc>
        <w:tc>
          <w:tcPr>
            <w:tcW w:w="539" w:type="pct"/>
            <w:noWrap/>
            <w:vAlign w:val="center"/>
          </w:tcPr>
          <w:p w14:paraId="2726617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4</w:t>
            </w:r>
            <w:r w:rsidRPr="00B12FE0">
              <w:rPr>
                <w:snapToGrid w:val="0"/>
                <w:color w:val="000000" w:themeColor="text1"/>
                <w:kern w:val="0"/>
                <w:sz w:val="21"/>
                <w:szCs w:val="21"/>
                <w:lang w:bidi="ar"/>
              </w:rPr>
              <w:t>0</w:t>
            </w:r>
          </w:p>
        </w:tc>
        <w:tc>
          <w:tcPr>
            <w:tcW w:w="647" w:type="pct"/>
            <w:noWrap/>
            <w:vAlign w:val="center"/>
          </w:tcPr>
          <w:p w14:paraId="067611E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2000</w:t>
            </w:r>
          </w:p>
        </w:tc>
        <w:tc>
          <w:tcPr>
            <w:tcW w:w="720" w:type="pct"/>
            <w:noWrap/>
            <w:vAlign w:val="center"/>
          </w:tcPr>
          <w:p w14:paraId="7A99DEE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5.50E-02</w:t>
            </w:r>
          </w:p>
        </w:tc>
      </w:tr>
      <w:tr w:rsidR="00A67F21" w:rsidRPr="00B12FE0" w14:paraId="5327289A" w14:textId="77777777">
        <w:trPr>
          <w:trHeight w:val="340"/>
          <w:jc w:val="center"/>
        </w:trPr>
        <w:tc>
          <w:tcPr>
            <w:tcW w:w="939" w:type="pct"/>
            <w:noWrap/>
            <w:vAlign w:val="center"/>
          </w:tcPr>
          <w:p w14:paraId="03491E81" w14:textId="77777777" w:rsidR="00A67F21" w:rsidRPr="00B12FE0" w:rsidRDefault="00000000">
            <w:pPr>
              <w:widowControl/>
              <w:jc w:val="center"/>
              <w:textAlignment w:val="center"/>
              <w:rPr>
                <w:snapToGrid w:val="0"/>
                <w:color w:val="000000" w:themeColor="text1"/>
                <w:sz w:val="21"/>
                <w:szCs w:val="21"/>
              </w:rPr>
            </w:pPr>
            <w:r w:rsidRPr="00B12FE0">
              <w:rPr>
                <w:rFonts w:hint="eastAsia"/>
                <w:color w:val="000000" w:themeColor="text1"/>
                <w:kern w:val="0"/>
                <w:sz w:val="18"/>
                <w:szCs w:val="18"/>
                <w:lang w:bidi="ar"/>
              </w:rPr>
              <w:t>空调机房</w:t>
            </w:r>
          </w:p>
        </w:tc>
        <w:tc>
          <w:tcPr>
            <w:tcW w:w="403" w:type="pct"/>
            <w:vMerge/>
            <w:noWrap/>
            <w:vAlign w:val="center"/>
          </w:tcPr>
          <w:p w14:paraId="2723E08E" w14:textId="77777777" w:rsidR="00A67F21" w:rsidRPr="00B12FE0" w:rsidRDefault="00A67F21">
            <w:pPr>
              <w:jc w:val="center"/>
              <w:rPr>
                <w:snapToGrid w:val="0"/>
                <w:color w:val="000000" w:themeColor="text1"/>
                <w:sz w:val="21"/>
                <w:szCs w:val="21"/>
              </w:rPr>
            </w:pPr>
          </w:p>
        </w:tc>
        <w:tc>
          <w:tcPr>
            <w:tcW w:w="1140" w:type="pct"/>
            <w:noWrap/>
            <w:vAlign w:val="center"/>
          </w:tcPr>
          <w:p w14:paraId="266A6914"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7.02</w:t>
            </w:r>
            <w:r w:rsidRPr="00B12FE0">
              <w:rPr>
                <w:snapToGrid w:val="0"/>
                <w:color w:val="000000" w:themeColor="text1"/>
                <w:kern w:val="0"/>
                <w:sz w:val="21"/>
                <w:szCs w:val="21"/>
                <w:lang w:bidi="ar"/>
              </w:rPr>
              <w:t>E-03</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3-</w:t>
            </w:r>
            <w:r w:rsidRPr="00B12FE0">
              <w:rPr>
                <w:rFonts w:hint="eastAsia"/>
                <w:snapToGrid w:val="0"/>
                <w:color w:val="000000" w:themeColor="text1"/>
                <w:kern w:val="0"/>
                <w:sz w:val="21"/>
                <w:szCs w:val="21"/>
                <w:lang w:bidi="ar"/>
              </w:rPr>
              <w:t>21</w:t>
            </w:r>
            <w:r w:rsidRPr="00B12FE0">
              <w:rPr>
                <w:snapToGrid w:val="0"/>
                <w:color w:val="000000" w:themeColor="text1"/>
                <w:kern w:val="0"/>
                <w:sz w:val="21"/>
                <w:szCs w:val="21"/>
                <w:lang w:bidi="ar"/>
              </w:rPr>
              <w:t>）</w:t>
            </w:r>
          </w:p>
        </w:tc>
        <w:tc>
          <w:tcPr>
            <w:tcW w:w="612" w:type="pct"/>
            <w:noWrap/>
            <w:vAlign w:val="center"/>
          </w:tcPr>
          <w:p w14:paraId="5B4DE54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紧邻</w:t>
            </w:r>
          </w:p>
        </w:tc>
        <w:tc>
          <w:tcPr>
            <w:tcW w:w="539" w:type="pct"/>
            <w:noWrap/>
            <w:vAlign w:val="center"/>
          </w:tcPr>
          <w:p w14:paraId="5662AE4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1/40</w:t>
            </w:r>
          </w:p>
        </w:tc>
        <w:tc>
          <w:tcPr>
            <w:tcW w:w="647" w:type="pct"/>
            <w:noWrap/>
            <w:vAlign w:val="center"/>
          </w:tcPr>
          <w:p w14:paraId="22C5154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2000</w:t>
            </w:r>
          </w:p>
        </w:tc>
        <w:tc>
          <w:tcPr>
            <w:tcW w:w="720" w:type="pct"/>
            <w:noWrap/>
            <w:vAlign w:val="center"/>
          </w:tcPr>
          <w:p w14:paraId="7DCD9702"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3.51</w:t>
            </w:r>
            <w:r w:rsidRPr="00B12FE0">
              <w:rPr>
                <w:snapToGrid w:val="0"/>
                <w:color w:val="000000" w:themeColor="text1"/>
                <w:kern w:val="0"/>
                <w:sz w:val="21"/>
                <w:szCs w:val="21"/>
                <w:lang w:bidi="ar"/>
              </w:rPr>
              <w:t>E-03</w:t>
            </w:r>
          </w:p>
        </w:tc>
      </w:tr>
    </w:tbl>
    <w:p w14:paraId="204D85F9" w14:textId="77777777" w:rsidR="00A67F21" w:rsidRPr="00B12FE0" w:rsidRDefault="00000000">
      <w:pPr>
        <w:tabs>
          <w:tab w:val="left" w:pos="0"/>
        </w:tabs>
        <w:topLinePunct/>
        <w:adjustRightInd w:val="0"/>
        <w:snapToGrid w:val="0"/>
        <w:spacing w:line="360" w:lineRule="auto"/>
        <w:ind w:firstLineChars="200" w:firstLine="476"/>
        <w:rPr>
          <w:snapToGrid w:val="0"/>
          <w:color w:val="000000" w:themeColor="text1"/>
          <w:spacing w:val="-2"/>
          <w:szCs w:val="24"/>
        </w:rPr>
      </w:pPr>
      <w:r w:rsidRPr="00B12FE0">
        <w:rPr>
          <w:snapToGrid w:val="0"/>
          <w:color w:val="000000" w:themeColor="text1"/>
          <w:spacing w:val="-2"/>
          <w:szCs w:val="24"/>
        </w:rPr>
        <w:t>综上，核素治疗场所公众年有效剂量最大为</w:t>
      </w:r>
      <w:r w:rsidRPr="00B12FE0">
        <w:rPr>
          <w:snapToGrid w:val="0"/>
          <w:color w:val="000000" w:themeColor="text1"/>
          <w:szCs w:val="24"/>
        </w:rPr>
        <w:t>5.50E-02</w:t>
      </w:r>
      <w:r w:rsidRPr="00B12FE0">
        <w:rPr>
          <w:snapToGrid w:val="0"/>
          <w:color w:val="000000" w:themeColor="text1"/>
          <w:spacing w:val="-2"/>
          <w:szCs w:val="24"/>
        </w:rPr>
        <w:t>mSv</w:t>
      </w:r>
      <w:r w:rsidRPr="00B12FE0">
        <w:rPr>
          <w:snapToGrid w:val="0"/>
          <w:color w:val="000000" w:themeColor="text1"/>
          <w:spacing w:val="-2"/>
          <w:szCs w:val="24"/>
        </w:rPr>
        <w:t>，满足本项目公众成员年有效年剂量约束值不超过</w:t>
      </w:r>
      <w:r w:rsidRPr="00B12FE0">
        <w:rPr>
          <w:snapToGrid w:val="0"/>
          <w:color w:val="000000" w:themeColor="text1"/>
          <w:spacing w:val="-2"/>
          <w:szCs w:val="24"/>
        </w:rPr>
        <w:t>0.1mSv</w:t>
      </w:r>
      <w:r w:rsidRPr="00B12FE0">
        <w:rPr>
          <w:snapToGrid w:val="0"/>
          <w:color w:val="000000" w:themeColor="text1"/>
          <w:spacing w:val="-2"/>
          <w:szCs w:val="24"/>
        </w:rPr>
        <w:t>的要求。</w:t>
      </w:r>
    </w:p>
    <w:p w14:paraId="591955C1" w14:textId="77777777" w:rsidR="00A67F21" w:rsidRPr="00B12FE0" w:rsidRDefault="00000000">
      <w:pPr>
        <w:kinsoku w:val="0"/>
        <w:overflowPunct w:val="0"/>
        <w:autoSpaceDE w:val="0"/>
        <w:autoSpaceDN w:val="0"/>
        <w:adjustRightInd w:val="0"/>
        <w:snapToGrid w:val="0"/>
        <w:spacing w:line="360" w:lineRule="auto"/>
        <w:outlineLvl w:val="3"/>
        <w:rPr>
          <w:b/>
          <w:bCs/>
          <w:snapToGrid w:val="0"/>
          <w:color w:val="000000" w:themeColor="text1"/>
          <w:szCs w:val="24"/>
        </w:rPr>
      </w:pPr>
      <w:r w:rsidRPr="00B12FE0">
        <w:rPr>
          <w:b/>
          <w:bCs/>
          <w:snapToGrid w:val="0"/>
          <w:color w:val="000000" w:themeColor="text1"/>
          <w:szCs w:val="24"/>
        </w:rPr>
        <w:t>11.2.1.</w:t>
      </w:r>
      <w:r w:rsidRPr="00B12FE0">
        <w:rPr>
          <w:rFonts w:hint="eastAsia"/>
          <w:b/>
          <w:bCs/>
          <w:snapToGrid w:val="0"/>
          <w:color w:val="000000" w:themeColor="text1"/>
          <w:szCs w:val="24"/>
        </w:rPr>
        <w:t>4</w:t>
      </w:r>
      <w:r w:rsidRPr="00B12FE0">
        <w:rPr>
          <w:b/>
          <w:bCs/>
          <w:snapToGrid w:val="0"/>
          <w:color w:val="000000" w:themeColor="text1"/>
          <w:szCs w:val="24"/>
        </w:rPr>
        <w:t>核医学科</w:t>
      </w:r>
      <w:r w:rsidRPr="00B12FE0">
        <w:rPr>
          <w:b/>
          <w:bCs/>
          <w:snapToGrid w:val="0"/>
          <w:color w:val="000000" w:themeColor="text1"/>
          <w:szCs w:val="24"/>
        </w:rPr>
        <w:t>“</w:t>
      </w:r>
      <w:r w:rsidRPr="00B12FE0">
        <w:rPr>
          <w:b/>
          <w:bCs/>
          <w:snapToGrid w:val="0"/>
          <w:color w:val="000000" w:themeColor="text1"/>
          <w:szCs w:val="24"/>
        </w:rPr>
        <w:t>三废</w:t>
      </w:r>
      <w:r w:rsidRPr="00B12FE0">
        <w:rPr>
          <w:b/>
          <w:bCs/>
          <w:snapToGrid w:val="0"/>
          <w:color w:val="000000" w:themeColor="text1"/>
          <w:szCs w:val="24"/>
        </w:rPr>
        <w:t>”</w:t>
      </w:r>
      <w:r w:rsidRPr="00B12FE0">
        <w:rPr>
          <w:b/>
          <w:bCs/>
          <w:snapToGrid w:val="0"/>
          <w:color w:val="000000" w:themeColor="text1"/>
          <w:szCs w:val="24"/>
        </w:rPr>
        <w:t>影响分析</w:t>
      </w:r>
    </w:p>
    <w:p w14:paraId="3BFBC513" w14:textId="77777777" w:rsidR="00A67F21" w:rsidRPr="00B12FE0" w:rsidRDefault="00000000">
      <w:pPr>
        <w:adjustRightInd w:val="0"/>
        <w:snapToGrid w:val="0"/>
        <w:spacing w:line="360" w:lineRule="auto"/>
        <w:ind w:firstLineChars="200" w:firstLine="482"/>
        <w:rPr>
          <w:b/>
          <w:snapToGrid w:val="0"/>
          <w:color w:val="000000" w:themeColor="text1"/>
          <w:szCs w:val="24"/>
        </w:rPr>
      </w:pPr>
      <w:r w:rsidRPr="00B12FE0">
        <w:rPr>
          <w:b/>
          <w:snapToGrid w:val="0"/>
          <w:color w:val="000000" w:themeColor="text1"/>
          <w:szCs w:val="24"/>
        </w:rPr>
        <w:t>（</w:t>
      </w:r>
      <w:r w:rsidRPr="00B12FE0">
        <w:rPr>
          <w:b/>
          <w:snapToGrid w:val="0"/>
          <w:color w:val="000000" w:themeColor="text1"/>
          <w:szCs w:val="24"/>
        </w:rPr>
        <w:t>1</w:t>
      </w:r>
      <w:r w:rsidRPr="00B12FE0">
        <w:rPr>
          <w:b/>
          <w:snapToGrid w:val="0"/>
          <w:color w:val="000000" w:themeColor="text1"/>
          <w:szCs w:val="24"/>
        </w:rPr>
        <w:t>）放射性废水影响分析</w:t>
      </w:r>
    </w:p>
    <w:p w14:paraId="44C43C53" w14:textId="77777777" w:rsidR="00A67F21" w:rsidRPr="00B12FE0" w:rsidRDefault="00000000">
      <w:pPr>
        <w:spacing w:line="360" w:lineRule="auto"/>
        <w:ind w:firstLineChars="200" w:firstLine="480"/>
        <w:rPr>
          <w:snapToGrid w:val="0"/>
          <w:color w:val="000000" w:themeColor="text1"/>
        </w:rPr>
      </w:pPr>
      <w:r w:rsidRPr="00B12FE0">
        <w:rPr>
          <w:bCs/>
          <w:snapToGrid w:val="0"/>
          <w:color w:val="000000" w:themeColor="text1"/>
          <w:szCs w:val="24"/>
        </w:rPr>
        <w:t>核医学科核素制备场所</w:t>
      </w:r>
      <w:r w:rsidRPr="00B12FE0">
        <w:rPr>
          <w:rFonts w:hint="eastAsia"/>
          <w:bCs/>
          <w:snapToGrid w:val="0"/>
          <w:color w:val="000000" w:themeColor="text1"/>
          <w:szCs w:val="24"/>
        </w:rPr>
        <w:t>、</w:t>
      </w:r>
      <w:r w:rsidRPr="00B12FE0">
        <w:rPr>
          <w:bCs/>
          <w:snapToGrid w:val="0"/>
          <w:color w:val="000000" w:themeColor="text1"/>
          <w:szCs w:val="24"/>
        </w:rPr>
        <w:t>核素</w:t>
      </w:r>
      <w:r w:rsidRPr="00B12FE0">
        <w:rPr>
          <w:rFonts w:hint="eastAsia"/>
          <w:bCs/>
          <w:snapToGrid w:val="0"/>
          <w:color w:val="000000" w:themeColor="text1"/>
          <w:szCs w:val="24"/>
        </w:rPr>
        <w:t>诊断</w:t>
      </w:r>
      <w:r w:rsidRPr="00B12FE0">
        <w:rPr>
          <w:bCs/>
          <w:snapToGrid w:val="0"/>
          <w:color w:val="000000" w:themeColor="text1"/>
          <w:szCs w:val="24"/>
        </w:rPr>
        <w:t>场所</w:t>
      </w:r>
      <w:r w:rsidRPr="00B12FE0">
        <w:rPr>
          <w:rFonts w:hint="eastAsia"/>
          <w:bCs/>
          <w:snapToGrid w:val="0"/>
          <w:color w:val="000000" w:themeColor="text1"/>
          <w:szCs w:val="24"/>
        </w:rPr>
        <w:t>和核素制备场所</w:t>
      </w:r>
      <w:r w:rsidRPr="00B12FE0">
        <w:rPr>
          <w:bCs/>
          <w:snapToGrid w:val="0"/>
          <w:color w:val="000000" w:themeColor="text1"/>
          <w:szCs w:val="24"/>
        </w:rPr>
        <w:t>共用一个衰变池。</w:t>
      </w:r>
      <w:r w:rsidRPr="00B12FE0">
        <w:rPr>
          <w:snapToGrid w:val="0"/>
          <w:color w:val="000000" w:themeColor="text1"/>
          <w:szCs w:val="24"/>
        </w:rPr>
        <w:t>衰变</w:t>
      </w:r>
      <w:proofErr w:type="gramStart"/>
      <w:r w:rsidRPr="00B12FE0">
        <w:rPr>
          <w:snapToGrid w:val="0"/>
          <w:color w:val="000000" w:themeColor="text1"/>
          <w:szCs w:val="24"/>
        </w:rPr>
        <w:t>池设置</w:t>
      </w:r>
      <w:proofErr w:type="gramEnd"/>
      <w:r w:rsidRPr="00B12FE0">
        <w:rPr>
          <w:snapToGrid w:val="0"/>
          <w:color w:val="000000" w:themeColor="text1"/>
          <w:szCs w:val="24"/>
        </w:rPr>
        <w:t>在</w:t>
      </w:r>
      <w:r w:rsidRPr="00B12FE0">
        <w:rPr>
          <w:rFonts w:hint="eastAsia"/>
          <w:snapToGrid w:val="0"/>
          <w:color w:val="000000" w:themeColor="text1"/>
          <w:szCs w:val="24"/>
        </w:rPr>
        <w:t>肿瘤治疗中心综合楼一层南侧绿化带内</w:t>
      </w:r>
      <w:r w:rsidRPr="00B12FE0">
        <w:rPr>
          <w:snapToGrid w:val="0"/>
          <w:color w:val="000000" w:themeColor="text1"/>
          <w:szCs w:val="24"/>
        </w:rPr>
        <w:t>。</w:t>
      </w:r>
      <w:proofErr w:type="gramStart"/>
      <w:r w:rsidRPr="00B12FE0">
        <w:rPr>
          <w:snapToGrid w:val="0"/>
          <w:color w:val="000000" w:themeColor="text1"/>
          <w:szCs w:val="24"/>
        </w:rPr>
        <w:t>衰变池由</w:t>
      </w:r>
      <w:r w:rsidRPr="00B12FE0">
        <w:rPr>
          <w:snapToGrid w:val="0"/>
          <w:color w:val="000000" w:themeColor="text1"/>
          <w:szCs w:val="24"/>
        </w:rPr>
        <w:t>3</w:t>
      </w:r>
      <w:r w:rsidRPr="00B12FE0">
        <w:rPr>
          <w:snapToGrid w:val="0"/>
          <w:color w:val="000000" w:themeColor="text1"/>
          <w:szCs w:val="24"/>
        </w:rPr>
        <w:t>个</w:t>
      </w:r>
      <w:proofErr w:type="gramEnd"/>
      <w:r w:rsidRPr="00B12FE0">
        <w:rPr>
          <w:snapToGrid w:val="0"/>
          <w:color w:val="000000" w:themeColor="text1"/>
          <w:szCs w:val="24"/>
        </w:rPr>
        <w:t>相同的</w:t>
      </w:r>
      <w:proofErr w:type="gramStart"/>
      <w:r w:rsidRPr="00B12FE0">
        <w:rPr>
          <w:snapToGrid w:val="0"/>
          <w:color w:val="000000" w:themeColor="text1"/>
          <w:szCs w:val="24"/>
        </w:rPr>
        <w:t>衰变池</w:t>
      </w:r>
      <w:r w:rsidRPr="00B12FE0">
        <w:rPr>
          <w:rFonts w:hint="eastAsia"/>
          <w:snapToGrid w:val="0"/>
          <w:color w:val="000000" w:themeColor="text1"/>
          <w:szCs w:val="24"/>
        </w:rPr>
        <w:t>组组成</w:t>
      </w:r>
      <w:proofErr w:type="gramEnd"/>
      <w:r w:rsidRPr="00B12FE0">
        <w:rPr>
          <w:snapToGrid w:val="0"/>
          <w:color w:val="000000" w:themeColor="text1"/>
          <w:szCs w:val="24"/>
        </w:rPr>
        <w:t>，每个衰变池有效容积为</w:t>
      </w:r>
      <w:r w:rsidRPr="00B12FE0">
        <w:rPr>
          <w:rFonts w:hint="eastAsia"/>
          <w:snapToGrid w:val="0"/>
          <w:color w:val="000000" w:themeColor="text1"/>
          <w:szCs w:val="24"/>
        </w:rPr>
        <w:t>200</w:t>
      </w:r>
      <w:r w:rsidRPr="00B12FE0">
        <w:rPr>
          <w:snapToGrid w:val="0"/>
          <w:color w:val="000000" w:themeColor="text1"/>
          <w:szCs w:val="24"/>
        </w:rPr>
        <w:t>m</w:t>
      </w:r>
      <w:r w:rsidRPr="00B12FE0">
        <w:rPr>
          <w:snapToGrid w:val="0"/>
          <w:color w:val="000000" w:themeColor="text1"/>
          <w:szCs w:val="24"/>
          <w:vertAlign w:val="superscript"/>
        </w:rPr>
        <w:t>3</w:t>
      </w:r>
      <w:r w:rsidRPr="00B12FE0">
        <w:rPr>
          <w:snapToGrid w:val="0"/>
          <w:color w:val="000000" w:themeColor="text1"/>
          <w:szCs w:val="24"/>
        </w:rPr>
        <w:t>，</w:t>
      </w:r>
      <w:r w:rsidRPr="00B12FE0">
        <w:rPr>
          <w:bCs/>
          <w:snapToGrid w:val="0"/>
          <w:color w:val="000000" w:themeColor="text1"/>
          <w:szCs w:val="24"/>
        </w:rPr>
        <w:t>衰变池并联设置，交替使用。由工程分析可知，</w:t>
      </w:r>
      <w:r w:rsidRPr="00B12FE0">
        <w:rPr>
          <w:snapToGrid w:val="0"/>
          <w:color w:val="000000" w:themeColor="text1"/>
          <w:szCs w:val="24"/>
        </w:rPr>
        <w:t>根据</w:t>
      </w:r>
      <w:r w:rsidRPr="00B12FE0">
        <w:rPr>
          <w:snapToGrid w:val="0"/>
          <w:color w:val="000000" w:themeColor="text1"/>
          <w:szCs w:val="24"/>
        </w:rPr>
        <w:t>9.2.1</w:t>
      </w:r>
      <w:r w:rsidRPr="00B12FE0">
        <w:rPr>
          <w:snapToGrid w:val="0"/>
          <w:color w:val="000000" w:themeColor="text1"/>
          <w:szCs w:val="24"/>
        </w:rPr>
        <w:t>核医学科污染源项分析可知，本项目核医学科核素制备场所</w:t>
      </w:r>
      <w:r w:rsidRPr="00B12FE0">
        <w:rPr>
          <w:rFonts w:hint="eastAsia"/>
          <w:snapToGrid w:val="0"/>
          <w:color w:val="000000" w:themeColor="text1"/>
          <w:szCs w:val="24"/>
        </w:rPr>
        <w:t>、</w:t>
      </w:r>
      <w:r w:rsidRPr="00B12FE0">
        <w:rPr>
          <w:snapToGrid w:val="0"/>
          <w:color w:val="000000" w:themeColor="text1"/>
          <w:szCs w:val="24"/>
        </w:rPr>
        <w:t>核素</w:t>
      </w:r>
      <w:r w:rsidRPr="00B12FE0">
        <w:rPr>
          <w:rFonts w:hint="eastAsia"/>
          <w:snapToGrid w:val="0"/>
          <w:color w:val="000000" w:themeColor="text1"/>
          <w:szCs w:val="24"/>
        </w:rPr>
        <w:t>诊断</w:t>
      </w:r>
      <w:r w:rsidRPr="00B12FE0">
        <w:rPr>
          <w:snapToGrid w:val="0"/>
          <w:color w:val="000000" w:themeColor="text1"/>
          <w:szCs w:val="24"/>
        </w:rPr>
        <w:t>场所</w:t>
      </w:r>
      <w:r w:rsidRPr="00B12FE0">
        <w:rPr>
          <w:rFonts w:hint="eastAsia"/>
          <w:snapToGrid w:val="0"/>
          <w:color w:val="000000" w:themeColor="text1"/>
          <w:szCs w:val="24"/>
        </w:rPr>
        <w:t>和核素治疗场所</w:t>
      </w:r>
      <w:r w:rsidRPr="00B12FE0">
        <w:rPr>
          <w:snapToGrid w:val="0"/>
          <w:color w:val="000000" w:themeColor="text1"/>
          <w:szCs w:val="24"/>
        </w:rPr>
        <w:t>放射性废水产生量为</w:t>
      </w:r>
      <w:r w:rsidRPr="00B12FE0">
        <w:rPr>
          <w:rFonts w:hint="eastAsia"/>
          <w:snapToGrid w:val="0"/>
          <w:color w:val="000000" w:themeColor="text1"/>
          <w:szCs w:val="24"/>
        </w:rPr>
        <w:t>25</w:t>
      </w:r>
      <w:r w:rsidRPr="00B12FE0">
        <w:rPr>
          <w:snapToGrid w:val="0"/>
          <w:color w:val="000000" w:themeColor="text1"/>
          <w:szCs w:val="24"/>
        </w:rPr>
        <w:t>m</w:t>
      </w:r>
      <w:r w:rsidRPr="00B12FE0">
        <w:rPr>
          <w:snapToGrid w:val="0"/>
          <w:color w:val="000000" w:themeColor="text1"/>
          <w:szCs w:val="24"/>
          <w:vertAlign w:val="superscript"/>
        </w:rPr>
        <w:t>3</w:t>
      </w:r>
      <w:r w:rsidRPr="00B12FE0">
        <w:rPr>
          <w:snapToGrid w:val="0"/>
          <w:color w:val="000000" w:themeColor="text1"/>
          <w:szCs w:val="24"/>
        </w:rPr>
        <w:t>/</w:t>
      </w:r>
      <w:r w:rsidRPr="00B12FE0">
        <w:rPr>
          <w:rFonts w:hint="eastAsia"/>
          <w:snapToGrid w:val="0"/>
          <w:color w:val="000000" w:themeColor="text1"/>
          <w:szCs w:val="24"/>
        </w:rPr>
        <w:t>a</w:t>
      </w:r>
      <w:r w:rsidRPr="00B12FE0">
        <w:rPr>
          <w:snapToGrid w:val="0"/>
          <w:color w:val="000000" w:themeColor="text1"/>
          <w:szCs w:val="24"/>
        </w:rPr>
        <w:t>、</w:t>
      </w:r>
      <w:r w:rsidRPr="00B12FE0">
        <w:rPr>
          <w:rFonts w:hint="eastAsia"/>
          <w:snapToGrid w:val="0"/>
          <w:color w:val="000000" w:themeColor="text1"/>
          <w:szCs w:val="24"/>
        </w:rPr>
        <w:t>230</w:t>
      </w:r>
      <w:r w:rsidRPr="00B12FE0">
        <w:rPr>
          <w:snapToGrid w:val="0"/>
          <w:color w:val="000000" w:themeColor="text1"/>
          <w:szCs w:val="24"/>
        </w:rPr>
        <w:t>m</w:t>
      </w:r>
      <w:r w:rsidRPr="00B12FE0">
        <w:rPr>
          <w:snapToGrid w:val="0"/>
          <w:color w:val="000000" w:themeColor="text1"/>
          <w:szCs w:val="24"/>
          <w:vertAlign w:val="superscript"/>
        </w:rPr>
        <w:t>3</w:t>
      </w:r>
      <w:r w:rsidRPr="00B12FE0">
        <w:rPr>
          <w:snapToGrid w:val="0"/>
          <w:color w:val="000000" w:themeColor="text1"/>
          <w:szCs w:val="24"/>
        </w:rPr>
        <w:t>/a</w:t>
      </w:r>
      <w:r w:rsidRPr="00B12FE0">
        <w:rPr>
          <w:rFonts w:hint="eastAsia"/>
          <w:snapToGrid w:val="0"/>
          <w:color w:val="000000" w:themeColor="text1"/>
          <w:szCs w:val="24"/>
        </w:rPr>
        <w:t>，</w:t>
      </w:r>
      <w:r w:rsidRPr="00B12FE0">
        <w:rPr>
          <w:rFonts w:cs="宋体" w:hint="eastAsia"/>
          <w:color w:val="000000" w:themeColor="text1"/>
        </w:rPr>
        <w:t>370</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w:t>
      </w:r>
      <w:r w:rsidRPr="00B12FE0">
        <w:rPr>
          <w:rFonts w:cs="宋体" w:hint="eastAsia"/>
          <w:color w:val="000000" w:themeColor="text1"/>
        </w:rPr>
        <w:t>a(</w:t>
      </w:r>
      <w:r w:rsidRPr="00B12FE0">
        <w:rPr>
          <w:rFonts w:cs="宋体" w:hint="eastAsia"/>
          <w:color w:val="000000" w:themeColor="text1"/>
        </w:rPr>
        <w:t>约</w:t>
      </w:r>
      <w:r w:rsidRPr="00B12FE0">
        <w:rPr>
          <w:rFonts w:hint="eastAsia"/>
          <w:snapToGrid w:val="0"/>
          <w:color w:val="000000" w:themeColor="text1"/>
          <w:kern w:val="0"/>
          <w:szCs w:val="24"/>
        </w:rPr>
        <w:t>（</w:t>
      </w:r>
      <w:r w:rsidRPr="00B12FE0">
        <w:rPr>
          <w:rFonts w:hint="eastAsia"/>
          <w:snapToGrid w:val="0"/>
          <w:color w:val="000000" w:themeColor="text1"/>
          <w:kern w:val="0"/>
          <w:szCs w:val="24"/>
        </w:rPr>
        <w:t>25+230+370</w:t>
      </w:r>
      <w:r w:rsidRPr="00B12FE0">
        <w:rPr>
          <w:rFonts w:hint="eastAsia"/>
          <w:snapToGrid w:val="0"/>
          <w:color w:val="000000" w:themeColor="text1"/>
          <w:kern w:val="0"/>
          <w:szCs w:val="24"/>
        </w:rPr>
        <w:t>）</w:t>
      </w:r>
      <w:r w:rsidRPr="00B12FE0">
        <w:rPr>
          <w:rFonts w:hint="eastAsia"/>
          <w:snapToGrid w:val="0"/>
          <w:color w:val="000000" w:themeColor="text1"/>
          <w:kern w:val="0"/>
          <w:szCs w:val="24"/>
        </w:rPr>
        <w:t>/250=2.5</w:t>
      </w:r>
      <w:r w:rsidRPr="00B12FE0">
        <w:rPr>
          <w:snapToGrid w:val="0"/>
          <w:color w:val="000000" w:themeColor="text1"/>
          <w:szCs w:val="24"/>
        </w:rPr>
        <w:t>m</w:t>
      </w:r>
      <w:r w:rsidRPr="00B12FE0">
        <w:rPr>
          <w:snapToGrid w:val="0"/>
          <w:color w:val="000000" w:themeColor="text1"/>
          <w:szCs w:val="24"/>
          <w:vertAlign w:val="superscript"/>
        </w:rPr>
        <w:t>3</w:t>
      </w:r>
      <w:r w:rsidRPr="00B12FE0">
        <w:rPr>
          <w:snapToGrid w:val="0"/>
          <w:color w:val="000000" w:themeColor="text1"/>
          <w:szCs w:val="24"/>
        </w:rPr>
        <w:t>/</w:t>
      </w:r>
      <w:r w:rsidRPr="00B12FE0">
        <w:rPr>
          <w:rFonts w:hint="eastAsia"/>
          <w:snapToGrid w:val="0"/>
          <w:color w:val="000000" w:themeColor="text1"/>
          <w:szCs w:val="24"/>
        </w:rPr>
        <w:t>d</w:t>
      </w:r>
      <w:r w:rsidRPr="00B12FE0">
        <w:rPr>
          <w:rFonts w:hint="eastAsia"/>
          <w:snapToGrid w:val="0"/>
          <w:color w:val="000000" w:themeColor="text1"/>
          <w:kern w:val="0"/>
          <w:szCs w:val="24"/>
        </w:rPr>
        <w:t>)</w:t>
      </w:r>
      <w:r w:rsidRPr="00B12FE0">
        <w:rPr>
          <w:snapToGrid w:val="0"/>
          <w:color w:val="000000" w:themeColor="text1"/>
        </w:rPr>
        <w:t>，每个衰变池有效容积为</w:t>
      </w:r>
      <w:r w:rsidRPr="00B12FE0">
        <w:rPr>
          <w:snapToGrid w:val="0"/>
          <w:color w:val="000000" w:themeColor="text1"/>
        </w:rPr>
        <w:t>2</w:t>
      </w:r>
      <w:r w:rsidRPr="00B12FE0">
        <w:rPr>
          <w:rFonts w:hint="eastAsia"/>
          <w:snapToGrid w:val="0"/>
          <w:color w:val="000000" w:themeColor="text1"/>
        </w:rPr>
        <w:t>0</w:t>
      </w:r>
      <w:r w:rsidRPr="00B12FE0">
        <w:rPr>
          <w:snapToGrid w:val="0"/>
          <w:color w:val="000000" w:themeColor="text1"/>
        </w:rPr>
        <w:t>0</w:t>
      </w:r>
      <w:r w:rsidRPr="00B12FE0">
        <w:rPr>
          <w:snapToGrid w:val="0"/>
          <w:color w:val="000000" w:themeColor="text1"/>
          <w:szCs w:val="24"/>
        </w:rPr>
        <w:t>m</w:t>
      </w:r>
      <w:r w:rsidRPr="00B12FE0">
        <w:rPr>
          <w:snapToGrid w:val="0"/>
          <w:color w:val="000000" w:themeColor="text1"/>
          <w:szCs w:val="24"/>
          <w:vertAlign w:val="superscript"/>
        </w:rPr>
        <w:t>3</w:t>
      </w:r>
      <w:r w:rsidRPr="00B12FE0">
        <w:rPr>
          <w:snapToGrid w:val="0"/>
          <w:color w:val="000000" w:themeColor="text1"/>
          <w:szCs w:val="24"/>
        </w:rPr>
        <w:t>，则放射性废水注满一个衰变</w:t>
      </w:r>
      <w:proofErr w:type="gramStart"/>
      <w:r w:rsidRPr="00B12FE0">
        <w:rPr>
          <w:snapToGrid w:val="0"/>
          <w:color w:val="000000" w:themeColor="text1"/>
          <w:szCs w:val="24"/>
        </w:rPr>
        <w:t>池需要</w:t>
      </w:r>
      <w:proofErr w:type="gramEnd"/>
      <w:r w:rsidRPr="00B12FE0">
        <w:rPr>
          <w:rFonts w:hint="eastAsia"/>
          <w:snapToGrid w:val="0"/>
          <w:color w:val="000000" w:themeColor="text1"/>
          <w:szCs w:val="24"/>
        </w:rPr>
        <w:t>89</w:t>
      </w:r>
      <w:r w:rsidRPr="00B12FE0">
        <w:rPr>
          <w:snapToGrid w:val="0"/>
          <w:color w:val="000000" w:themeColor="text1"/>
          <w:szCs w:val="24"/>
        </w:rPr>
        <w:t>个工作日</w:t>
      </w:r>
      <w:r w:rsidRPr="00B12FE0">
        <w:rPr>
          <w:snapToGrid w:val="0"/>
          <w:color w:val="000000" w:themeColor="text1"/>
          <w:kern w:val="0"/>
          <w:szCs w:val="24"/>
        </w:rPr>
        <w:t>，</w:t>
      </w:r>
      <w:r w:rsidRPr="00B12FE0">
        <w:rPr>
          <w:snapToGrid w:val="0"/>
          <w:color w:val="000000" w:themeColor="text1"/>
          <w:szCs w:val="24"/>
        </w:rPr>
        <w:t>第一个衰变</w:t>
      </w:r>
      <w:proofErr w:type="gramStart"/>
      <w:r w:rsidRPr="00B12FE0">
        <w:rPr>
          <w:snapToGrid w:val="0"/>
          <w:color w:val="000000" w:themeColor="text1"/>
          <w:szCs w:val="24"/>
        </w:rPr>
        <w:t>池最后</w:t>
      </w:r>
      <w:proofErr w:type="gramEnd"/>
      <w:r w:rsidRPr="00B12FE0">
        <w:rPr>
          <w:snapToGrid w:val="0"/>
          <w:color w:val="000000" w:themeColor="text1"/>
          <w:szCs w:val="24"/>
        </w:rPr>
        <w:t>进入的废水存储时间（即为将第二、第三个衰变池注满的时间）约为</w:t>
      </w:r>
      <w:r w:rsidRPr="00B12FE0">
        <w:rPr>
          <w:rFonts w:hint="eastAsia"/>
          <w:snapToGrid w:val="0"/>
          <w:color w:val="000000" w:themeColor="text1"/>
          <w:szCs w:val="24"/>
        </w:rPr>
        <w:t>80</w:t>
      </w:r>
      <w:r w:rsidRPr="00B12FE0">
        <w:rPr>
          <w:snapToGrid w:val="0"/>
          <w:color w:val="000000" w:themeColor="text1"/>
          <w:szCs w:val="24"/>
        </w:rPr>
        <w:t>个工作日</w:t>
      </w:r>
      <w:r w:rsidRPr="00B12FE0">
        <w:rPr>
          <w:snapToGrid w:val="0"/>
          <w:color w:val="000000" w:themeColor="text1"/>
          <w:kern w:val="0"/>
          <w:szCs w:val="24"/>
        </w:rPr>
        <w:t>（保守按照</w:t>
      </w:r>
      <w:r w:rsidRPr="00B12FE0">
        <w:rPr>
          <w:rFonts w:hint="eastAsia"/>
          <w:snapToGrid w:val="0"/>
          <w:color w:val="000000" w:themeColor="text1"/>
          <w:kern w:val="0"/>
          <w:szCs w:val="24"/>
        </w:rPr>
        <w:t>16</w:t>
      </w:r>
      <w:r w:rsidRPr="00B12FE0">
        <w:rPr>
          <w:snapToGrid w:val="0"/>
          <w:color w:val="000000" w:themeColor="text1"/>
          <w:kern w:val="0"/>
          <w:szCs w:val="24"/>
        </w:rPr>
        <w:t>周考虑，约</w:t>
      </w:r>
      <w:r w:rsidRPr="00B12FE0">
        <w:rPr>
          <w:rFonts w:hint="eastAsia"/>
          <w:snapToGrid w:val="0"/>
          <w:color w:val="000000" w:themeColor="text1"/>
          <w:kern w:val="0"/>
          <w:szCs w:val="24"/>
        </w:rPr>
        <w:t>112</w:t>
      </w:r>
      <w:r w:rsidRPr="00B12FE0">
        <w:rPr>
          <w:snapToGrid w:val="0"/>
          <w:color w:val="000000" w:themeColor="text1"/>
          <w:kern w:val="0"/>
          <w:szCs w:val="24"/>
        </w:rPr>
        <w:t>天），本项目的放射性废水可以在衰变池内暂存</w:t>
      </w:r>
      <w:r w:rsidRPr="00B12FE0">
        <w:rPr>
          <w:rFonts w:hint="eastAsia"/>
          <w:snapToGrid w:val="0"/>
          <w:color w:val="000000" w:themeColor="text1"/>
          <w:kern w:val="0"/>
          <w:szCs w:val="24"/>
        </w:rPr>
        <w:t>224</w:t>
      </w:r>
      <w:r w:rsidRPr="00B12FE0">
        <w:rPr>
          <w:snapToGrid w:val="0"/>
          <w:color w:val="000000" w:themeColor="text1"/>
          <w:kern w:val="0"/>
          <w:szCs w:val="24"/>
        </w:rPr>
        <w:t>天。</w:t>
      </w:r>
      <w:r w:rsidRPr="00B12FE0">
        <w:rPr>
          <w:snapToGrid w:val="0"/>
          <w:color w:val="000000" w:themeColor="text1"/>
          <w:szCs w:val="24"/>
        </w:rPr>
        <w:t>本项目放射性废</w:t>
      </w:r>
      <w:r w:rsidRPr="00B12FE0">
        <w:rPr>
          <w:rFonts w:hint="eastAsia"/>
          <w:snapToGrid w:val="0"/>
          <w:color w:val="000000" w:themeColor="text1"/>
          <w:szCs w:val="24"/>
        </w:rPr>
        <w:t>水</w:t>
      </w:r>
      <w:r w:rsidRPr="00B12FE0">
        <w:rPr>
          <w:snapToGrid w:val="0"/>
          <w:color w:val="000000" w:themeColor="text1"/>
          <w:szCs w:val="24"/>
        </w:rPr>
        <w:t>含</w:t>
      </w:r>
      <w:r w:rsidRPr="00B12FE0">
        <w:rPr>
          <w:bCs/>
          <w:snapToGrid w:val="0"/>
          <w:color w:val="000000" w:themeColor="text1"/>
          <w:szCs w:val="24"/>
          <w:vertAlign w:val="superscript"/>
        </w:rPr>
        <w:t>131</w:t>
      </w:r>
      <w:r w:rsidRPr="00B12FE0">
        <w:rPr>
          <w:bCs/>
          <w:snapToGrid w:val="0"/>
          <w:color w:val="000000" w:themeColor="text1"/>
          <w:szCs w:val="24"/>
        </w:rPr>
        <w:t>I</w:t>
      </w:r>
      <w:r w:rsidRPr="00B12FE0">
        <w:rPr>
          <w:color w:val="000000" w:themeColor="text1"/>
          <w:szCs w:val="24"/>
        </w:rPr>
        <w:t>，</w:t>
      </w:r>
      <w:r w:rsidRPr="00B12FE0">
        <w:rPr>
          <w:bCs/>
          <w:snapToGrid w:val="0"/>
          <w:color w:val="000000" w:themeColor="text1"/>
          <w:szCs w:val="24"/>
        </w:rPr>
        <w:t>根据《核医学辐射防护与安全要求》（</w:t>
      </w:r>
      <w:r w:rsidRPr="00B12FE0">
        <w:rPr>
          <w:bCs/>
          <w:snapToGrid w:val="0"/>
          <w:color w:val="000000" w:themeColor="text1"/>
          <w:szCs w:val="24"/>
        </w:rPr>
        <w:t>HJ1188-2021</w:t>
      </w:r>
      <w:r w:rsidRPr="00B12FE0">
        <w:rPr>
          <w:bCs/>
          <w:snapToGrid w:val="0"/>
          <w:color w:val="000000" w:themeColor="text1"/>
          <w:szCs w:val="24"/>
        </w:rPr>
        <w:t>）</w:t>
      </w:r>
      <w:r w:rsidRPr="00B12FE0">
        <w:rPr>
          <w:snapToGrid w:val="0"/>
          <w:color w:val="000000" w:themeColor="text1"/>
          <w:kern w:val="0"/>
          <w:szCs w:val="24"/>
          <w:lang w:bidi="ar"/>
        </w:rPr>
        <w:t>及《关于核医学标准相关条款咨询的复函》（辐射函</w:t>
      </w:r>
      <w:r w:rsidRPr="00B12FE0">
        <w:rPr>
          <w:snapToGrid w:val="0"/>
          <w:color w:val="000000" w:themeColor="text1"/>
          <w:kern w:val="0"/>
          <w:szCs w:val="24"/>
          <w:lang w:bidi="ar"/>
        </w:rPr>
        <w:t>[2023]20</w:t>
      </w:r>
      <w:r w:rsidRPr="00B12FE0">
        <w:rPr>
          <w:snapToGrid w:val="0"/>
          <w:color w:val="000000" w:themeColor="text1"/>
          <w:kern w:val="0"/>
          <w:szCs w:val="24"/>
          <w:lang w:bidi="ar"/>
        </w:rPr>
        <w:t>号）相关要求，</w:t>
      </w:r>
      <w:r w:rsidRPr="00B12FE0">
        <w:rPr>
          <w:bCs/>
          <w:snapToGrid w:val="0"/>
          <w:color w:val="000000" w:themeColor="text1"/>
          <w:szCs w:val="24"/>
        </w:rPr>
        <w:t>本项目</w:t>
      </w:r>
      <w:r w:rsidRPr="00B12FE0">
        <w:rPr>
          <w:snapToGrid w:val="0"/>
          <w:color w:val="000000" w:themeColor="text1"/>
          <w:szCs w:val="24"/>
        </w:rPr>
        <w:t>核素治疗场所衰变池内放射性废水暂存超过</w:t>
      </w:r>
      <w:r w:rsidRPr="00B12FE0">
        <w:rPr>
          <w:snapToGrid w:val="0"/>
          <w:color w:val="000000" w:themeColor="text1"/>
          <w:szCs w:val="24"/>
        </w:rPr>
        <w:t>180</w:t>
      </w:r>
      <w:r w:rsidRPr="00B12FE0">
        <w:rPr>
          <w:snapToGrid w:val="0"/>
          <w:color w:val="000000" w:themeColor="text1"/>
          <w:szCs w:val="24"/>
        </w:rPr>
        <w:t>天后可直接排放，入医院污水处理站，医院应做好相关排放记录。</w:t>
      </w:r>
    </w:p>
    <w:p w14:paraId="374B0E80" w14:textId="77777777" w:rsidR="00A67F21" w:rsidRPr="00B12FE0" w:rsidRDefault="00000000">
      <w:pPr>
        <w:adjustRightInd w:val="0"/>
        <w:snapToGrid w:val="0"/>
        <w:spacing w:line="360" w:lineRule="auto"/>
        <w:ind w:firstLineChars="200" w:firstLine="482"/>
        <w:rPr>
          <w:b/>
          <w:snapToGrid w:val="0"/>
          <w:color w:val="000000" w:themeColor="text1"/>
          <w:szCs w:val="24"/>
        </w:rPr>
      </w:pPr>
      <w:r w:rsidRPr="00B12FE0">
        <w:rPr>
          <w:b/>
          <w:snapToGrid w:val="0"/>
          <w:color w:val="000000" w:themeColor="text1"/>
          <w:szCs w:val="24"/>
        </w:rPr>
        <w:t>（</w:t>
      </w:r>
      <w:r w:rsidRPr="00B12FE0">
        <w:rPr>
          <w:b/>
          <w:snapToGrid w:val="0"/>
          <w:color w:val="000000" w:themeColor="text1"/>
          <w:szCs w:val="24"/>
        </w:rPr>
        <w:t>2</w:t>
      </w:r>
      <w:r w:rsidRPr="00B12FE0">
        <w:rPr>
          <w:b/>
          <w:snapToGrid w:val="0"/>
          <w:color w:val="000000" w:themeColor="text1"/>
          <w:szCs w:val="24"/>
        </w:rPr>
        <w:t>）放射性废气影响分析</w:t>
      </w:r>
    </w:p>
    <w:p w14:paraId="55780FE0" w14:textId="77777777" w:rsidR="00A67F21" w:rsidRPr="00B12FE0" w:rsidRDefault="00000000">
      <w:pPr>
        <w:autoSpaceDE w:val="0"/>
        <w:autoSpaceDN w:val="0"/>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核医学科核素制备场所、核素</w:t>
      </w:r>
      <w:r w:rsidRPr="00B12FE0">
        <w:rPr>
          <w:rFonts w:hint="eastAsia"/>
          <w:snapToGrid w:val="0"/>
          <w:color w:val="000000" w:themeColor="text1"/>
          <w:szCs w:val="24"/>
        </w:rPr>
        <w:t>诊断</w:t>
      </w:r>
      <w:r w:rsidRPr="00B12FE0">
        <w:rPr>
          <w:snapToGrid w:val="0"/>
          <w:color w:val="000000" w:themeColor="text1"/>
          <w:szCs w:val="24"/>
        </w:rPr>
        <w:t>场所和核素治疗场所产生的废气经由排风井内单独密闭管道排至肿瘤治疗中心楼顶，并高出屋脊排放。排风井由混凝土浇筑，能有效屏蔽放射性废气对其余楼层公众的辐射影响。各排风管道内保持负压，拟安装防回流装置，</w:t>
      </w:r>
      <w:r w:rsidRPr="00B12FE0">
        <w:rPr>
          <w:snapToGrid w:val="0"/>
          <w:color w:val="000000" w:themeColor="text1"/>
          <w:kern w:val="0"/>
          <w:szCs w:val="24"/>
        </w:rPr>
        <w:t>排风口均设活性炭吸附装置</w:t>
      </w:r>
      <w:r w:rsidRPr="00B12FE0">
        <w:rPr>
          <w:snapToGrid w:val="0"/>
          <w:color w:val="000000" w:themeColor="text1"/>
          <w:szCs w:val="24"/>
        </w:rPr>
        <w:t>。</w:t>
      </w:r>
    </w:p>
    <w:p w14:paraId="7A05FA3C" w14:textId="77777777" w:rsidR="00A67F21" w:rsidRPr="00B12FE0" w:rsidRDefault="00000000">
      <w:pPr>
        <w:topLinePunct/>
        <w:autoSpaceDE w:val="0"/>
        <w:adjustRightInd w:val="0"/>
        <w:snapToGrid w:val="0"/>
        <w:spacing w:line="360" w:lineRule="auto"/>
        <w:ind w:firstLineChars="200" w:firstLine="482"/>
        <w:rPr>
          <w:b/>
          <w:snapToGrid w:val="0"/>
          <w:color w:val="000000" w:themeColor="text1"/>
          <w:szCs w:val="24"/>
        </w:rPr>
      </w:pPr>
      <w:r w:rsidRPr="00B12FE0">
        <w:rPr>
          <w:b/>
          <w:snapToGrid w:val="0"/>
          <w:color w:val="000000" w:themeColor="text1"/>
          <w:szCs w:val="24"/>
        </w:rPr>
        <w:t>（</w:t>
      </w:r>
      <w:r w:rsidRPr="00B12FE0">
        <w:rPr>
          <w:b/>
          <w:snapToGrid w:val="0"/>
          <w:color w:val="000000" w:themeColor="text1"/>
          <w:szCs w:val="24"/>
        </w:rPr>
        <w:t>3</w:t>
      </w:r>
      <w:r w:rsidRPr="00B12FE0">
        <w:rPr>
          <w:b/>
          <w:snapToGrid w:val="0"/>
          <w:color w:val="000000" w:themeColor="text1"/>
          <w:szCs w:val="24"/>
        </w:rPr>
        <w:t>）放射性固体废物影响分析</w:t>
      </w:r>
    </w:p>
    <w:p w14:paraId="525DC549" w14:textId="77777777" w:rsidR="00A67F21" w:rsidRPr="00B12FE0" w:rsidRDefault="00000000">
      <w:pPr>
        <w:snapToGrid w:val="0"/>
        <w:spacing w:line="360" w:lineRule="auto"/>
        <w:ind w:firstLine="480"/>
        <w:rPr>
          <w:snapToGrid w:val="0"/>
          <w:color w:val="000000" w:themeColor="text1"/>
          <w:szCs w:val="24"/>
        </w:rPr>
      </w:pPr>
      <w:r w:rsidRPr="00B12FE0">
        <w:rPr>
          <w:snapToGrid w:val="0"/>
          <w:color w:val="000000" w:themeColor="text1"/>
          <w:szCs w:val="24"/>
        </w:rPr>
        <w:t>本项目核医学放射性固体废物主要为树脂、滤膜、注射器、针头、手套、药棉、纱布、药瓶、破损杯</w:t>
      </w:r>
      <w:proofErr w:type="gramStart"/>
      <w:r w:rsidRPr="00B12FE0">
        <w:rPr>
          <w:snapToGrid w:val="0"/>
          <w:color w:val="000000" w:themeColor="text1"/>
          <w:szCs w:val="24"/>
        </w:rPr>
        <w:t>皿</w:t>
      </w:r>
      <w:proofErr w:type="gramEnd"/>
      <w:r w:rsidRPr="00B12FE0">
        <w:rPr>
          <w:snapToGrid w:val="0"/>
          <w:color w:val="000000" w:themeColor="text1"/>
          <w:szCs w:val="24"/>
        </w:rPr>
        <w:t>、擦拭污染地面的物品、一次性杯子等。本项目放射性药物根据治疗计划按需制备</w:t>
      </w:r>
      <w:r w:rsidRPr="00B12FE0">
        <w:rPr>
          <w:snapToGrid w:val="0"/>
          <w:color w:val="000000" w:themeColor="text1"/>
          <w:szCs w:val="24"/>
        </w:rPr>
        <w:t>/</w:t>
      </w:r>
      <w:r w:rsidRPr="00B12FE0">
        <w:rPr>
          <w:snapToGrid w:val="0"/>
          <w:color w:val="000000" w:themeColor="text1"/>
          <w:szCs w:val="24"/>
        </w:rPr>
        <w:t>订购，一般不会产生剩余放射性药物。</w:t>
      </w:r>
    </w:p>
    <w:p w14:paraId="7266542A" w14:textId="77777777" w:rsidR="00A67F21" w:rsidRPr="00B12FE0" w:rsidRDefault="00000000">
      <w:pPr>
        <w:snapToGrid w:val="0"/>
        <w:spacing w:line="360" w:lineRule="auto"/>
        <w:ind w:firstLine="480"/>
        <w:rPr>
          <w:snapToGrid w:val="0"/>
          <w:color w:val="000000" w:themeColor="text1"/>
          <w:szCs w:val="24"/>
        </w:rPr>
      </w:pPr>
      <w:r w:rsidRPr="00B12FE0">
        <w:rPr>
          <w:snapToGrid w:val="0"/>
          <w:color w:val="000000" w:themeColor="text1"/>
          <w:szCs w:val="24"/>
        </w:rPr>
        <w:lastRenderedPageBreak/>
        <w:t>含</w:t>
      </w:r>
      <w:r w:rsidRPr="00B12FE0">
        <w:rPr>
          <w:snapToGrid w:val="0"/>
          <w:color w:val="000000" w:themeColor="text1"/>
          <w:szCs w:val="24"/>
          <w:vertAlign w:val="superscript"/>
        </w:rPr>
        <w:t>18</w:t>
      </w:r>
      <w:r w:rsidRPr="00B12FE0">
        <w:rPr>
          <w:snapToGrid w:val="0"/>
          <w:color w:val="000000" w:themeColor="text1"/>
          <w:szCs w:val="24"/>
        </w:rPr>
        <w:t>F</w:t>
      </w:r>
      <w:r w:rsidRPr="00B12FE0">
        <w:rPr>
          <w:snapToGrid w:val="0"/>
          <w:color w:val="000000" w:themeColor="text1"/>
          <w:szCs w:val="24"/>
        </w:rPr>
        <w:t>和</w:t>
      </w:r>
      <w:r w:rsidRPr="00B12FE0">
        <w:rPr>
          <w:snapToGrid w:val="0"/>
          <w:color w:val="000000" w:themeColor="text1"/>
          <w:szCs w:val="24"/>
          <w:vertAlign w:val="superscript"/>
        </w:rPr>
        <w:t>99m</w:t>
      </w:r>
      <w:r w:rsidRPr="00B12FE0">
        <w:rPr>
          <w:snapToGrid w:val="0"/>
          <w:color w:val="000000" w:themeColor="text1"/>
          <w:szCs w:val="24"/>
        </w:rPr>
        <w:t>Tc</w:t>
      </w:r>
      <w:r w:rsidRPr="00B12FE0">
        <w:rPr>
          <w:snapToGrid w:val="0"/>
          <w:color w:val="000000" w:themeColor="text1"/>
          <w:szCs w:val="24"/>
        </w:rPr>
        <w:t>等半衰期小于</w:t>
      </w:r>
      <w:r w:rsidRPr="00B12FE0">
        <w:rPr>
          <w:snapToGrid w:val="0"/>
          <w:color w:val="000000" w:themeColor="text1"/>
          <w:szCs w:val="24"/>
        </w:rPr>
        <w:t>24h</w:t>
      </w:r>
      <w:r w:rsidRPr="00B12FE0">
        <w:rPr>
          <w:snapToGrid w:val="0"/>
          <w:color w:val="000000" w:themeColor="text1"/>
          <w:szCs w:val="24"/>
        </w:rPr>
        <w:t>核素的固体废物集中贮存衰变超过</w:t>
      </w:r>
      <w:r w:rsidRPr="00B12FE0">
        <w:rPr>
          <w:snapToGrid w:val="0"/>
          <w:color w:val="000000" w:themeColor="text1"/>
          <w:szCs w:val="24"/>
        </w:rPr>
        <w:t>30</w:t>
      </w:r>
      <w:r w:rsidRPr="00B12FE0">
        <w:rPr>
          <w:snapToGrid w:val="0"/>
          <w:color w:val="000000" w:themeColor="text1"/>
          <w:szCs w:val="24"/>
        </w:rPr>
        <w:t>天，含</w:t>
      </w:r>
      <w:r w:rsidRPr="00B12FE0">
        <w:rPr>
          <w:snapToGrid w:val="0"/>
          <w:color w:val="000000" w:themeColor="text1"/>
          <w:szCs w:val="24"/>
          <w:vertAlign w:val="superscript"/>
        </w:rPr>
        <w:t>131</w:t>
      </w:r>
      <w:r w:rsidRPr="00B12FE0">
        <w:rPr>
          <w:snapToGrid w:val="0"/>
          <w:color w:val="000000" w:themeColor="text1"/>
          <w:szCs w:val="24"/>
        </w:rPr>
        <w:t>I</w:t>
      </w:r>
      <w:r w:rsidRPr="00B12FE0">
        <w:rPr>
          <w:snapToGrid w:val="0"/>
          <w:color w:val="000000" w:themeColor="text1"/>
          <w:szCs w:val="24"/>
        </w:rPr>
        <w:t>核素的固体废物集中在衰变箱中贮存衰变超过</w:t>
      </w:r>
      <w:r w:rsidRPr="00B12FE0">
        <w:rPr>
          <w:snapToGrid w:val="0"/>
          <w:color w:val="000000" w:themeColor="text1"/>
          <w:szCs w:val="24"/>
        </w:rPr>
        <w:t>180</w:t>
      </w:r>
      <w:r w:rsidRPr="00B12FE0">
        <w:rPr>
          <w:snapToGrid w:val="0"/>
          <w:color w:val="000000" w:themeColor="text1"/>
          <w:szCs w:val="24"/>
        </w:rPr>
        <w:t>天，含</w:t>
      </w:r>
      <w:r w:rsidRPr="00B12FE0">
        <w:rPr>
          <w:rFonts w:hint="eastAsia"/>
          <w:snapToGrid w:val="0"/>
          <w:color w:val="000000" w:themeColor="text1"/>
          <w:szCs w:val="24"/>
          <w:vertAlign w:val="superscript"/>
        </w:rPr>
        <w:t>32</w:t>
      </w:r>
      <w:r w:rsidRPr="00B12FE0">
        <w:rPr>
          <w:rFonts w:hint="eastAsia"/>
          <w:snapToGrid w:val="0"/>
          <w:color w:val="000000" w:themeColor="text1"/>
          <w:szCs w:val="24"/>
        </w:rPr>
        <w:t>P</w:t>
      </w:r>
      <w:r w:rsidRPr="00B12FE0">
        <w:rPr>
          <w:snapToGrid w:val="0"/>
          <w:color w:val="000000" w:themeColor="text1"/>
          <w:szCs w:val="24"/>
        </w:rPr>
        <w:t>核素的固体废物集中在衰变箱中贮存衰变超过十个半衰期</w:t>
      </w:r>
      <w:r w:rsidRPr="00B12FE0">
        <w:rPr>
          <w:rFonts w:hint="eastAsia"/>
          <w:snapToGrid w:val="0"/>
          <w:color w:val="000000" w:themeColor="text1"/>
          <w:szCs w:val="24"/>
        </w:rPr>
        <w:t>，</w:t>
      </w:r>
      <w:r w:rsidRPr="00B12FE0">
        <w:rPr>
          <w:snapToGrid w:val="0"/>
          <w:color w:val="000000" w:themeColor="text1"/>
          <w:szCs w:val="24"/>
        </w:rPr>
        <w:t>经监测辐射剂量</w:t>
      </w:r>
      <w:proofErr w:type="gramStart"/>
      <w:r w:rsidRPr="00B12FE0">
        <w:rPr>
          <w:snapToGrid w:val="0"/>
          <w:color w:val="000000" w:themeColor="text1"/>
          <w:szCs w:val="24"/>
        </w:rPr>
        <w:t>率满足</w:t>
      </w:r>
      <w:proofErr w:type="gramEnd"/>
      <w:r w:rsidRPr="00B12FE0">
        <w:rPr>
          <w:snapToGrid w:val="0"/>
          <w:color w:val="000000" w:themeColor="text1"/>
          <w:szCs w:val="24"/>
        </w:rPr>
        <w:t>所处环境本底水平，</w:t>
      </w:r>
      <w:r w:rsidRPr="00B12FE0">
        <w:rPr>
          <w:snapToGrid w:val="0"/>
          <w:color w:val="000000" w:themeColor="text1"/>
          <w:szCs w:val="24"/>
        </w:rPr>
        <w:t>β</w:t>
      </w:r>
      <w:r w:rsidRPr="00B12FE0">
        <w:rPr>
          <w:snapToGrid w:val="0"/>
          <w:color w:val="000000" w:themeColor="text1"/>
          <w:szCs w:val="24"/>
        </w:rPr>
        <w:t>表面污染小于</w:t>
      </w:r>
      <w:r w:rsidRPr="00B12FE0">
        <w:rPr>
          <w:snapToGrid w:val="0"/>
          <w:color w:val="000000" w:themeColor="text1"/>
          <w:szCs w:val="24"/>
        </w:rPr>
        <w:t>0.8Bq/cm</w:t>
      </w:r>
      <w:r w:rsidRPr="00B12FE0">
        <w:rPr>
          <w:snapToGrid w:val="0"/>
          <w:color w:val="000000" w:themeColor="text1"/>
          <w:szCs w:val="24"/>
          <w:vertAlign w:val="superscript"/>
        </w:rPr>
        <w:t>2</w:t>
      </w:r>
      <w:r w:rsidRPr="00B12FE0">
        <w:rPr>
          <w:snapToGrid w:val="0"/>
          <w:color w:val="000000" w:themeColor="text1"/>
          <w:szCs w:val="24"/>
        </w:rPr>
        <w:t>后，按医疗废物委托当地有资质单位处置。本项目各场所均设有废物间，可以做到不同核素的分类收集分类贮存，其容积也满足贮存要求。</w:t>
      </w:r>
    </w:p>
    <w:p w14:paraId="5AB7B682" w14:textId="77777777" w:rsidR="00A67F21" w:rsidRPr="00B12FE0" w:rsidRDefault="00000000">
      <w:pPr>
        <w:overflowPunct w:val="0"/>
        <w:autoSpaceDE w:val="0"/>
        <w:autoSpaceDN w:val="0"/>
        <w:adjustRightInd w:val="0"/>
        <w:snapToGrid w:val="0"/>
        <w:spacing w:line="360" w:lineRule="auto"/>
        <w:ind w:firstLine="480"/>
        <w:rPr>
          <w:snapToGrid w:val="0"/>
          <w:color w:val="000000" w:themeColor="text1"/>
          <w:szCs w:val="24"/>
        </w:rPr>
      </w:pPr>
      <w:r w:rsidRPr="00B12FE0">
        <w:rPr>
          <w:snapToGrid w:val="0"/>
          <w:color w:val="000000" w:themeColor="text1"/>
          <w:szCs w:val="24"/>
        </w:rPr>
        <w:t>排风管道更换下的废活性炭含有放射性核素也属于放射性废物，医院将更换下的活性炭先统一存放于废物间，标注活性炭名称、存放日期、存放量等，衰变后经监测符合</w:t>
      </w:r>
      <w:proofErr w:type="gramStart"/>
      <w:r w:rsidRPr="00B12FE0">
        <w:rPr>
          <w:snapToGrid w:val="0"/>
          <w:color w:val="000000" w:themeColor="text1"/>
          <w:szCs w:val="24"/>
        </w:rPr>
        <w:t>清洁解</w:t>
      </w:r>
      <w:proofErr w:type="gramEnd"/>
      <w:r w:rsidRPr="00B12FE0">
        <w:rPr>
          <w:snapToGrid w:val="0"/>
          <w:color w:val="000000" w:themeColor="text1"/>
          <w:szCs w:val="24"/>
        </w:rPr>
        <w:t>控水平作为医疗废物处置。</w:t>
      </w:r>
    </w:p>
    <w:p w14:paraId="54E17EC1" w14:textId="77777777" w:rsidR="00A67F21" w:rsidRPr="00B12FE0" w:rsidRDefault="00000000">
      <w:pPr>
        <w:spacing w:line="360" w:lineRule="auto"/>
        <w:ind w:firstLine="480"/>
        <w:rPr>
          <w:snapToGrid w:val="0"/>
          <w:color w:val="000000" w:themeColor="text1"/>
          <w:szCs w:val="24"/>
        </w:rPr>
      </w:pPr>
      <w:r w:rsidRPr="00B12FE0">
        <w:rPr>
          <w:snapToGrid w:val="0"/>
          <w:color w:val="000000" w:themeColor="text1"/>
          <w:szCs w:val="24"/>
        </w:rPr>
        <w:t>项目使用过的</w:t>
      </w:r>
      <w:proofErr w:type="gramStart"/>
      <w:r w:rsidRPr="00B12FE0">
        <w:rPr>
          <w:snapToGrid w:val="0"/>
          <w:color w:val="000000" w:themeColor="text1"/>
          <w:szCs w:val="24"/>
        </w:rPr>
        <w:t>钼</w:t>
      </w:r>
      <w:proofErr w:type="gramEnd"/>
      <w:r w:rsidRPr="00B12FE0">
        <w:rPr>
          <w:snapToGrid w:val="0"/>
          <w:color w:val="000000" w:themeColor="text1"/>
          <w:szCs w:val="24"/>
        </w:rPr>
        <w:t>锝发生器置于</w:t>
      </w:r>
      <w:r w:rsidRPr="00B12FE0">
        <w:rPr>
          <w:snapToGrid w:val="0"/>
          <w:color w:val="000000" w:themeColor="text1"/>
          <w:szCs w:val="24"/>
        </w:rPr>
        <w:t>4mmPb</w:t>
      </w:r>
      <w:proofErr w:type="gramStart"/>
      <w:r w:rsidRPr="00B12FE0">
        <w:rPr>
          <w:snapToGrid w:val="0"/>
          <w:color w:val="000000" w:themeColor="text1"/>
          <w:szCs w:val="24"/>
        </w:rPr>
        <w:t>贮源箱中</w:t>
      </w:r>
      <w:proofErr w:type="gramEnd"/>
      <w:r w:rsidRPr="00B12FE0">
        <w:rPr>
          <w:snapToGrid w:val="0"/>
          <w:color w:val="000000" w:themeColor="text1"/>
          <w:szCs w:val="24"/>
        </w:rPr>
        <w:t>，暂存于废物间，</w:t>
      </w:r>
      <w:proofErr w:type="gramStart"/>
      <w:r w:rsidRPr="00B12FE0">
        <w:rPr>
          <w:snapToGrid w:val="0"/>
          <w:color w:val="000000" w:themeColor="text1"/>
          <w:szCs w:val="24"/>
        </w:rPr>
        <w:t>定期由</w:t>
      </w:r>
      <w:proofErr w:type="gramEnd"/>
      <w:r w:rsidRPr="00B12FE0">
        <w:rPr>
          <w:snapToGrid w:val="0"/>
          <w:color w:val="000000" w:themeColor="text1"/>
          <w:szCs w:val="24"/>
        </w:rPr>
        <w:t>供货单位直接回收，建设单位在购入</w:t>
      </w:r>
      <w:proofErr w:type="gramStart"/>
      <w:r w:rsidRPr="00B12FE0">
        <w:rPr>
          <w:snapToGrid w:val="0"/>
          <w:color w:val="000000" w:themeColor="text1"/>
          <w:szCs w:val="24"/>
        </w:rPr>
        <w:t>钼</w:t>
      </w:r>
      <w:proofErr w:type="gramEnd"/>
      <w:r w:rsidRPr="00B12FE0">
        <w:rPr>
          <w:snapToGrid w:val="0"/>
          <w:color w:val="000000" w:themeColor="text1"/>
          <w:szCs w:val="24"/>
        </w:rPr>
        <w:t>锝发生器，应</w:t>
      </w:r>
      <w:proofErr w:type="gramStart"/>
      <w:r w:rsidRPr="00B12FE0">
        <w:rPr>
          <w:snapToGrid w:val="0"/>
          <w:color w:val="000000" w:themeColor="text1"/>
          <w:szCs w:val="24"/>
        </w:rPr>
        <w:t>与售源单位</w:t>
      </w:r>
      <w:proofErr w:type="gramEnd"/>
      <w:r w:rsidRPr="00B12FE0">
        <w:rPr>
          <w:snapToGrid w:val="0"/>
          <w:color w:val="000000" w:themeColor="text1"/>
          <w:szCs w:val="24"/>
        </w:rPr>
        <w:t>签订回收协议。</w:t>
      </w:r>
    </w:p>
    <w:p w14:paraId="69C890AC" w14:textId="77777777" w:rsidR="00A67F21" w:rsidRPr="00B12FE0" w:rsidRDefault="00000000">
      <w:pPr>
        <w:overflowPunct w:val="0"/>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回旋加速器</w:t>
      </w:r>
      <w:proofErr w:type="gramStart"/>
      <w:r w:rsidRPr="00B12FE0">
        <w:rPr>
          <w:snapToGrid w:val="0"/>
          <w:color w:val="000000" w:themeColor="text1"/>
          <w:szCs w:val="24"/>
        </w:rPr>
        <w:t>固体靶片可</w:t>
      </w:r>
      <w:proofErr w:type="gramEnd"/>
      <w:r w:rsidRPr="00B12FE0">
        <w:rPr>
          <w:snapToGrid w:val="0"/>
          <w:color w:val="000000" w:themeColor="text1"/>
          <w:szCs w:val="24"/>
        </w:rPr>
        <w:t>重复使用，在意外损坏需要更换时，换下</w:t>
      </w:r>
      <w:proofErr w:type="gramStart"/>
      <w:r w:rsidRPr="00B12FE0">
        <w:rPr>
          <w:snapToGrid w:val="0"/>
          <w:color w:val="000000" w:themeColor="text1"/>
          <w:szCs w:val="24"/>
        </w:rPr>
        <w:t>的废靶暂存于</w:t>
      </w:r>
      <w:proofErr w:type="gramEnd"/>
      <w:r w:rsidRPr="00B12FE0">
        <w:rPr>
          <w:snapToGrid w:val="0"/>
          <w:color w:val="000000" w:themeColor="text1"/>
          <w:szCs w:val="24"/>
        </w:rPr>
        <w:t>机房内放射性废物铅桶中，后由厂家回收，最终交由具有放射性废物收贮资质的单位收贮。</w:t>
      </w:r>
    </w:p>
    <w:p w14:paraId="4E62F92A" w14:textId="77777777" w:rsidR="00A67F21" w:rsidRPr="00B12FE0" w:rsidRDefault="00000000">
      <w:pPr>
        <w:adjustRightInd w:val="0"/>
        <w:snapToGrid w:val="0"/>
        <w:spacing w:line="360" w:lineRule="auto"/>
        <w:ind w:firstLineChars="200" w:firstLine="482"/>
        <w:rPr>
          <w:b/>
          <w:color w:val="000000" w:themeColor="text1"/>
        </w:rPr>
      </w:pPr>
      <w:r w:rsidRPr="00B12FE0">
        <w:rPr>
          <w:b/>
          <w:color w:val="000000" w:themeColor="text1"/>
        </w:rPr>
        <w:t>医院承诺：</w:t>
      </w:r>
    </w:p>
    <w:p w14:paraId="45FDA290" w14:textId="77777777" w:rsidR="00A67F21" w:rsidRPr="00B12FE0" w:rsidRDefault="00000000">
      <w:pPr>
        <w:topLinePunct/>
        <w:autoSpaceDE w:val="0"/>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w:t>
      </w:r>
      <w:r w:rsidRPr="00B12FE0">
        <w:rPr>
          <w:snapToGrid w:val="0"/>
          <w:color w:val="000000" w:themeColor="text1"/>
          <w:szCs w:val="24"/>
        </w:rPr>
        <w:t>1</w:t>
      </w:r>
      <w:r w:rsidRPr="00B12FE0">
        <w:rPr>
          <w:snapToGrid w:val="0"/>
          <w:color w:val="000000" w:themeColor="text1"/>
          <w:szCs w:val="24"/>
        </w:rPr>
        <w:t>）严格区分放射性废物与非放射性废物，不可混同处理，应力</w:t>
      </w:r>
      <w:proofErr w:type="gramStart"/>
      <w:r w:rsidRPr="00B12FE0">
        <w:rPr>
          <w:snapToGrid w:val="0"/>
          <w:color w:val="000000" w:themeColor="text1"/>
          <w:szCs w:val="24"/>
        </w:rPr>
        <w:t>求控制</w:t>
      </w:r>
      <w:proofErr w:type="gramEnd"/>
      <w:r w:rsidRPr="00B12FE0">
        <w:rPr>
          <w:snapToGrid w:val="0"/>
          <w:color w:val="000000" w:themeColor="text1"/>
          <w:szCs w:val="24"/>
        </w:rPr>
        <w:t>和减少放射性废物产生量。</w:t>
      </w:r>
    </w:p>
    <w:p w14:paraId="2E525424"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w:t>
      </w:r>
      <w:r w:rsidRPr="00B12FE0">
        <w:rPr>
          <w:snapToGrid w:val="0"/>
          <w:color w:val="000000" w:themeColor="text1"/>
          <w:szCs w:val="24"/>
        </w:rPr>
        <w:t>2</w:t>
      </w:r>
      <w:r w:rsidRPr="00B12FE0">
        <w:rPr>
          <w:snapToGrid w:val="0"/>
          <w:color w:val="000000" w:themeColor="text1"/>
          <w:szCs w:val="24"/>
        </w:rPr>
        <w:t>）对所有放射性固体废物采用先收集在各自相关工作场所的</w:t>
      </w:r>
      <w:r w:rsidRPr="00B12FE0">
        <w:rPr>
          <w:snapToGrid w:val="0"/>
          <w:color w:val="000000" w:themeColor="text1"/>
          <w:kern w:val="0"/>
          <w:szCs w:val="24"/>
        </w:rPr>
        <w:t>放射性废物铅桶</w:t>
      </w:r>
      <w:r w:rsidRPr="00B12FE0">
        <w:rPr>
          <w:snapToGrid w:val="0"/>
          <w:color w:val="000000" w:themeColor="text1"/>
          <w:szCs w:val="24"/>
        </w:rPr>
        <w:t>内，再将</w:t>
      </w:r>
      <w:r w:rsidRPr="00B12FE0">
        <w:rPr>
          <w:snapToGrid w:val="0"/>
          <w:color w:val="000000" w:themeColor="text1"/>
          <w:kern w:val="0"/>
          <w:szCs w:val="24"/>
        </w:rPr>
        <w:t>放射性废物铅桶</w:t>
      </w:r>
      <w:r w:rsidRPr="00B12FE0">
        <w:rPr>
          <w:snapToGrid w:val="0"/>
          <w:color w:val="000000" w:themeColor="text1"/>
          <w:szCs w:val="24"/>
        </w:rPr>
        <w:t>内的固体废弃物连同</w:t>
      </w:r>
      <w:r w:rsidRPr="00B12FE0">
        <w:rPr>
          <w:snapToGrid w:val="0"/>
          <w:color w:val="000000" w:themeColor="text1"/>
          <w:kern w:val="0"/>
          <w:szCs w:val="24"/>
        </w:rPr>
        <w:t>专用塑料包装袋，</w:t>
      </w:r>
      <w:r w:rsidRPr="00B12FE0">
        <w:rPr>
          <w:snapToGrid w:val="0"/>
          <w:color w:val="000000" w:themeColor="text1"/>
          <w:szCs w:val="24"/>
        </w:rPr>
        <w:t>存放到废物间的</w:t>
      </w:r>
      <w:r w:rsidRPr="00B12FE0">
        <w:rPr>
          <w:snapToGrid w:val="0"/>
          <w:color w:val="000000" w:themeColor="text1"/>
          <w:kern w:val="0"/>
          <w:szCs w:val="24"/>
        </w:rPr>
        <w:t>衰变暂存容器内</w:t>
      </w:r>
      <w:r w:rsidRPr="00B12FE0">
        <w:rPr>
          <w:snapToGrid w:val="0"/>
          <w:color w:val="000000" w:themeColor="text1"/>
          <w:szCs w:val="24"/>
        </w:rPr>
        <w:t>，集中收储一段时间后（视不同的核素，控制不同的收贮时间，以减少放射性废物的收贮量）再分类处理。</w:t>
      </w:r>
      <w:r w:rsidRPr="00B12FE0">
        <w:rPr>
          <w:bCs/>
          <w:snapToGrid w:val="0"/>
          <w:color w:val="000000" w:themeColor="text1"/>
          <w:szCs w:val="24"/>
        </w:rPr>
        <w:t>受不同核素污染的固体废物分开收储，每次收集时</w:t>
      </w:r>
      <w:r w:rsidRPr="00B12FE0">
        <w:rPr>
          <w:snapToGrid w:val="0"/>
          <w:color w:val="000000" w:themeColor="text1"/>
          <w:kern w:val="0"/>
          <w:szCs w:val="24"/>
        </w:rPr>
        <w:t>专用塑料包装袋</w:t>
      </w:r>
      <w:r w:rsidRPr="00B12FE0">
        <w:rPr>
          <w:bCs/>
          <w:snapToGrid w:val="0"/>
          <w:color w:val="000000" w:themeColor="text1"/>
          <w:szCs w:val="24"/>
        </w:rPr>
        <w:t>表面应贴上标签，标明物品及最后一天的收集时间，内装注射器及碎玻璃等物品的</w:t>
      </w:r>
      <w:proofErr w:type="gramStart"/>
      <w:r w:rsidRPr="00B12FE0">
        <w:rPr>
          <w:bCs/>
          <w:snapToGrid w:val="0"/>
          <w:color w:val="000000" w:themeColor="text1"/>
          <w:szCs w:val="24"/>
        </w:rPr>
        <w:t>废物袋应附加</w:t>
      </w:r>
      <w:proofErr w:type="gramEnd"/>
      <w:r w:rsidRPr="00B12FE0">
        <w:rPr>
          <w:bCs/>
          <w:snapToGrid w:val="0"/>
          <w:color w:val="000000" w:themeColor="text1"/>
          <w:szCs w:val="24"/>
        </w:rPr>
        <w:t>不易刺破的外套（如硬牛皮纸外套）。</w:t>
      </w:r>
    </w:p>
    <w:p w14:paraId="2772BD26"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w:t>
      </w:r>
      <w:r w:rsidRPr="00B12FE0">
        <w:rPr>
          <w:snapToGrid w:val="0"/>
          <w:color w:val="000000" w:themeColor="text1"/>
          <w:szCs w:val="24"/>
        </w:rPr>
        <w:t>3</w:t>
      </w:r>
      <w:r w:rsidRPr="00B12FE0">
        <w:rPr>
          <w:snapToGrid w:val="0"/>
          <w:color w:val="000000" w:themeColor="text1"/>
          <w:szCs w:val="24"/>
        </w:rPr>
        <w:t>）放射性废物的收集、暂存和处置应满足《放射性废物安全管理条例》（国务院令第</w:t>
      </w:r>
      <w:r w:rsidRPr="00B12FE0">
        <w:rPr>
          <w:snapToGrid w:val="0"/>
          <w:color w:val="000000" w:themeColor="text1"/>
          <w:szCs w:val="24"/>
        </w:rPr>
        <w:t>612</w:t>
      </w:r>
      <w:r w:rsidRPr="00B12FE0">
        <w:rPr>
          <w:snapToGrid w:val="0"/>
          <w:color w:val="000000" w:themeColor="text1"/>
          <w:szCs w:val="24"/>
        </w:rPr>
        <w:t>号）的相关规定。</w:t>
      </w:r>
    </w:p>
    <w:p w14:paraId="77CF2CFF" w14:textId="77777777" w:rsidR="00A67F21" w:rsidRPr="00B12FE0" w:rsidRDefault="00000000">
      <w:pPr>
        <w:snapToGrid w:val="0"/>
        <w:spacing w:line="360" w:lineRule="auto"/>
        <w:outlineLvl w:val="2"/>
        <w:rPr>
          <w:b/>
          <w:bCs/>
          <w:snapToGrid w:val="0"/>
          <w:color w:val="000000" w:themeColor="text1"/>
          <w:kern w:val="0"/>
          <w:szCs w:val="24"/>
        </w:rPr>
      </w:pPr>
      <w:r w:rsidRPr="00B12FE0">
        <w:rPr>
          <w:b/>
          <w:bCs/>
          <w:snapToGrid w:val="0"/>
          <w:color w:val="000000" w:themeColor="text1"/>
          <w:kern w:val="0"/>
          <w:szCs w:val="24"/>
        </w:rPr>
        <w:t>11.2.2</w:t>
      </w:r>
      <w:r w:rsidRPr="00B12FE0">
        <w:rPr>
          <w:b/>
          <w:bCs/>
          <w:snapToGrid w:val="0"/>
          <w:color w:val="000000" w:themeColor="text1"/>
          <w:kern w:val="0"/>
          <w:szCs w:val="24"/>
        </w:rPr>
        <w:t>放疗科</w:t>
      </w:r>
    </w:p>
    <w:p w14:paraId="61FE3CCE" w14:textId="77777777" w:rsidR="00A67F21" w:rsidRPr="00B12FE0" w:rsidRDefault="00000000">
      <w:pPr>
        <w:snapToGrid w:val="0"/>
        <w:spacing w:line="360" w:lineRule="auto"/>
        <w:rPr>
          <w:b/>
          <w:bCs/>
          <w:snapToGrid w:val="0"/>
          <w:color w:val="000000" w:themeColor="text1"/>
          <w:kern w:val="0"/>
          <w:szCs w:val="24"/>
        </w:rPr>
      </w:pPr>
      <w:r w:rsidRPr="00B12FE0">
        <w:rPr>
          <w:b/>
          <w:bCs/>
          <w:snapToGrid w:val="0"/>
          <w:color w:val="000000" w:themeColor="text1"/>
          <w:kern w:val="0"/>
          <w:szCs w:val="24"/>
        </w:rPr>
        <w:t>11.2.2.1</w:t>
      </w:r>
      <w:r w:rsidRPr="00B12FE0">
        <w:rPr>
          <w:b/>
          <w:bCs/>
          <w:snapToGrid w:val="0"/>
          <w:color w:val="000000" w:themeColor="text1"/>
          <w:kern w:val="0"/>
          <w:szCs w:val="24"/>
        </w:rPr>
        <w:t>直线加速器运行时环境影响分析</w:t>
      </w:r>
    </w:p>
    <w:p w14:paraId="716F8293" w14:textId="77777777" w:rsidR="00A67F21" w:rsidRPr="00B12FE0" w:rsidRDefault="00000000">
      <w:pPr>
        <w:adjustRightInd w:val="0"/>
        <w:spacing w:line="360" w:lineRule="auto"/>
        <w:ind w:firstLineChars="200" w:firstLine="480"/>
        <w:rPr>
          <w:snapToGrid w:val="0"/>
          <w:color w:val="000000" w:themeColor="text1"/>
          <w:szCs w:val="24"/>
        </w:rPr>
      </w:pPr>
      <w:r w:rsidRPr="00B12FE0">
        <w:rPr>
          <w:snapToGrid w:val="0"/>
          <w:color w:val="000000" w:themeColor="text1"/>
          <w:szCs w:val="24"/>
        </w:rPr>
        <w:t>本项目直线加速器设备集成</w:t>
      </w:r>
      <w:r w:rsidRPr="00B12FE0">
        <w:rPr>
          <w:snapToGrid w:val="0"/>
          <w:color w:val="000000" w:themeColor="text1"/>
          <w:szCs w:val="24"/>
        </w:rPr>
        <w:t>1</w:t>
      </w:r>
      <w:r w:rsidRPr="00B12FE0">
        <w:rPr>
          <w:snapToGrid w:val="0"/>
          <w:color w:val="000000" w:themeColor="text1"/>
          <w:szCs w:val="24"/>
        </w:rPr>
        <w:t>套锥形束计算机断层扫描系统（</w:t>
      </w:r>
      <w:r w:rsidRPr="00B12FE0">
        <w:rPr>
          <w:snapToGrid w:val="0"/>
          <w:color w:val="000000" w:themeColor="text1"/>
          <w:szCs w:val="24"/>
        </w:rPr>
        <w:t>CBCT</w:t>
      </w:r>
      <w:r w:rsidRPr="00B12FE0">
        <w:rPr>
          <w:snapToGrid w:val="0"/>
          <w:color w:val="000000" w:themeColor="text1"/>
          <w:szCs w:val="24"/>
        </w:rPr>
        <w:t>），最大管电压不超过</w:t>
      </w:r>
      <w:r w:rsidRPr="00B12FE0">
        <w:rPr>
          <w:snapToGrid w:val="0"/>
          <w:color w:val="000000" w:themeColor="text1"/>
          <w:szCs w:val="24"/>
        </w:rPr>
        <w:t>150kV</w:t>
      </w:r>
      <w:r w:rsidRPr="00B12FE0">
        <w:rPr>
          <w:snapToGrid w:val="0"/>
          <w:color w:val="000000" w:themeColor="text1"/>
          <w:szCs w:val="24"/>
        </w:rPr>
        <w:t>，用于图像引导定位。</w:t>
      </w:r>
      <w:r w:rsidRPr="00B12FE0">
        <w:rPr>
          <w:snapToGrid w:val="0"/>
          <w:color w:val="000000" w:themeColor="text1"/>
          <w:szCs w:val="24"/>
        </w:rPr>
        <w:t>CBCT</w:t>
      </w:r>
      <w:r w:rsidRPr="00B12FE0">
        <w:rPr>
          <w:snapToGrid w:val="0"/>
          <w:color w:val="000000" w:themeColor="text1"/>
          <w:szCs w:val="24"/>
        </w:rPr>
        <w:t>是近年发展起来的基于大面积非晶硅数字化</w:t>
      </w:r>
      <w:r w:rsidRPr="00B12FE0">
        <w:rPr>
          <w:snapToGrid w:val="0"/>
          <w:color w:val="000000" w:themeColor="text1"/>
          <w:szCs w:val="24"/>
        </w:rPr>
        <w:t>X</w:t>
      </w:r>
      <w:r w:rsidRPr="00B12FE0">
        <w:rPr>
          <w:snapToGrid w:val="0"/>
          <w:color w:val="000000" w:themeColor="text1"/>
          <w:szCs w:val="24"/>
        </w:rPr>
        <w:t>射线探测板的锥形束</w:t>
      </w:r>
      <w:r w:rsidRPr="00B12FE0">
        <w:rPr>
          <w:snapToGrid w:val="0"/>
          <w:color w:val="000000" w:themeColor="text1"/>
          <w:szCs w:val="24"/>
        </w:rPr>
        <w:t>CT</w:t>
      </w:r>
      <w:r w:rsidRPr="00B12FE0">
        <w:rPr>
          <w:snapToGrid w:val="0"/>
          <w:color w:val="000000" w:themeColor="text1"/>
          <w:szCs w:val="24"/>
        </w:rPr>
        <w:t>，具有体积小，重量轻，开放式架构的特点，可以直接整合到直线加速器上，其设备主要由影像拍摄系统、计算机系统、固定支架和配套软件</w:t>
      </w:r>
      <w:r w:rsidRPr="00B12FE0">
        <w:rPr>
          <w:snapToGrid w:val="0"/>
          <w:color w:val="000000" w:themeColor="text1"/>
          <w:szCs w:val="24"/>
        </w:rPr>
        <w:lastRenderedPageBreak/>
        <w:t>系统组成。设备机架旋转一周就能获取和重建一个体积范围内的</w:t>
      </w:r>
      <w:r w:rsidRPr="00B12FE0">
        <w:rPr>
          <w:snapToGrid w:val="0"/>
          <w:color w:val="000000" w:themeColor="text1"/>
          <w:szCs w:val="24"/>
        </w:rPr>
        <w:t>CT</w:t>
      </w:r>
      <w:r w:rsidRPr="00B12FE0">
        <w:rPr>
          <w:snapToGrid w:val="0"/>
          <w:color w:val="000000" w:themeColor="text1"/>
          <w:szCs w:val="24"/>
        </w:rPr>
        <w:t>图像。这个体积内的</w:t>
      </w:r>
      <w:r w:rsidRPr="00B12FE0">
        <w:rPr>
          <w:snapToGrid w:val="0"/>
          <w:color w:val="000000" w:themeColor="text1"/>
          <w:szCs w:val="24"/>
        </w:rPr>
        <w:t>CT</w:t>
      </w:r>
      <w:r w:rsidRPr="00B12FE0">
        <w:rPr>
          <w:snapToGrid w:val="0"/>
          <w:color w:val="000000" w:themeColor="text1"/>
          <w:szCs w:val="24"/>
        </w:rPr>
        <w:t>影像重建后的三维患者模型可以与治疗计划的患者模型匹配比较并得到治疗床需要调节的参数。平板探测器的读数装置和探测器结合在一起，本身就具有提高空间分辨率的优势，达到比传统的</w:t>
      </w:r>
      <w:r w:rsidRPr="00B12FE0">
        <w:rPr>
          <w:snapToGrid w:val="0"/>
          <w:color w:val="000000" w:themeColor="text1"/>
          <w:szCs w:val="24"/>
        </w:rPr>
        <w:t>CT</w:t>
      </w:r>
      <w:r w:rsidRPr="00B12FE0">
        <w:rPr>
          <w:snapToGrid w:val="0"/>
          <w:color w:val="000000" w:themeColor="text1"/>
          <w:szCs w:val="24"/>
        </w:rPr>
        <w:t>更高的空间分辨率，密度分辨率也足以分辨软组织结构，可以通过肿瘤本身成像引导放疗。</w:t>
      </w:r>
    </w:p>
    <w:p w14:paraId="5DF13624" w14:textId="77777777" w:rsidR="00A67F21" w:rsidRPr="00B12FE0" w:rsidRDefault="00000000">
      <w:pPr>
        <w:adjustRightInd w:val="0"/>
        <w:spacing w:line="360" w:lineRule="auto"/>
        <w:ind w:firstLineChars="200" w:firstLine="480"/>
        <w:rPr>
          <w:snapToGrid w:val="0"/>
          <w:color w:val="000000" w:themeColor="text1"/>
        </w:rPr>
      </w:pPr>
      <w:r w:rsidRPr="00B12FE0">
        <w:rPr>
          <w:rFonts w:hint="eastAsia"/>
          <w:snapToGrid w:val="0"/>
          <w:color w:val="000000" w:themeColor="text1"/>
          <w:szCs w:val="24"/>
        </w:rPr>
        <w:t>本项目</w:t>
      </w:r>
      <w:r w:rsidRPr="00B12FE0">
        <w:rPr>
          <w:snapToGrid w:val="0"/>
          <w:color w:val="000000" w:themeColor="text1"/>
          <w:szCs w:val="24"/>
        </w:rPr>
        <w:t>CBCT</w:t>
      </w:r>
      <w:r w:rsidRPr="00B12FE0">
        <w:rPr>
          <w:snapToGrid w:val="0"/>
          <w:color w:val="000000" w:themeColor="text1"/>
          <w:szCs w:val="24"/>
        </w:rPr>
        <w:t>不会和加速器的治疗</w:t>
      </w:r>
      <w:proofErr w:type="gramStart"/>
      <w:r w:rsidRPr="00B12FE0">
        <w:rPr>
          <w:snapToGrid w:val="0"/>
          <w:color w:val="000000" w:themeColor="text1"/>
          <w:szCs w:val="24"/>
        </w:rPr>
        <w:t>束同时</w:t>
      </w:r>
      <w:proofErr w:type="gramEnd"/>
      <w:r w:rsidRPr="00B12FE0">
        <w:rPr>
          <w:snapToGrid w:val="0"/>
          <w:color w:val="000000" w:themeColor="text1"/>
          <w:szCs w:val="24"/>
        </w:rPr>
        <w:t>出束</w:t>
      </w:r>
      <w:r w:rsidRPr="00B12FE0">
        <w:rPr>
          <w:rFonts w:hint="eastAsia"/>
          <w:snapToGrid w:val="0"/>
          <w:color w:val="000000" w:themeColor="text1"/>
          <w:szCs w:val="24"/>
        </w:rPr>
        <w:t>，</w:t>
      </w:r>
      <w:r w:rsidRPr="00B12FE0">
        <w:rPr>
          <w:snapToGrid w:val="0"/>
          <w:color w:val="000000" w:themeColor="text1"/>
          <w:szCs w:val="24"/>
        </w:rPr>
        <w:t>本项目机房屏蔽体在满足加速器（</w:t>
      </w:r>
      <w:r w:rsidRPr="00B12FE0">
        <w:rPr>
          <w:snapToGrid w:val="0"/>
          <w:color w:val="000000" w:themeColor="text1"/>
          <w:szCs w:val="24"/>
        </w:rPr>
        <w:t>X</w:t>
      </w:r>
      <w:r w:rsidRPr="00B12FE0">
        <w:rPr>
          <w:snapToGrid w:val="0"/>
          <w:color w:val="000000" w:themeColor="text1"/>
          <w:szCs w:val="24"/>
        </w:rPr>
        <w:t>射线）屏蔽要求的情况下，完全可以满足对</w:t>
      </w:r>
      <w:r w:rsidRPr="00B12FE0">
        <w:rPr>
          <w:snapToGrid w:val="0"/>
          <w:color w:val="000000" w:themeColor="text1"/>
          <w:szCs w:val="24"/>
        </w:rPr>
        <w:t>CBCT</w:t>
      </w:r>
      <w:r w:rsidRPr="00B12FE0">
        <w:rPr>
          <w:snapToGrid w:val="0"/>
          <w:color w:val="000000" w:themeColor="text1"/>
          <w:szCs w:val="24"/>
        </w:rPr>
        <w:t>开机产生</w:t>
      </w:r>
      <w:r w:rsidRPr="00B12FE0">
        <w:rPr>
          <w:snapToGrid w:val="0"/>
          <w:color w:val="000000" w:themeColor="text1"/>
          <w:szCs w:val="24"/>
        </w:rPr>
        <w:t>X</w:t>
      </w:r>
      <w:r w:rsidRPr="00B12FE0">
        <w:rPr>
          <w:snapToGrid w:val="0"/>
          <w:color w:val="000000" w:themeColor="text1"/>
          <w:szCs w:val="24"/>
        </w:rPr>
        <w:t>射线的防护，因此本项目进行评价时，主要进行加速器治疗过程中使用</w:t>
      </w:r>
      <w:r w:rsidRPr="00B12FE0">
        <w:rPr>
          <w:snapToGrid w:val="0"/>
          <w:color w:val="000000" w:themeColor="text1"/>
          <w:szCs w:val="24"/>
        </w:rPr>
        <w:t>X</w:t>
      </w:r>
      <w:r w:rsidRPr="00B12FE0">
        <w:rPr>
          <w:snapToGrid w:val="0"/>
          <w:color w:val="000000" w:themeColor="text1"/>
          <w:szCs w:val="24"/>
        </w:rPr>
        <w:t>射线过程中的环境影响。</w:t>
      </w:r>
    </w:p>
    <w:p w14:paraId="09B6DCEC" w14:textId="77777777" w:rsidR="00A67F21" w:rsidRPr="00B12FE0" w:rsidRDefault="00000000">
      <w:pPr>
        <w:snapToGrid w:val="0"/>
        <w:spacing w:line="360" w:lineRule="auto"/>
        <w:ind w:firstLineChars="200" w:firstLine="482"/>
        <w:rPr>
          <w:b/>
          <w:bCs/>
          <w:snapToGrid w:val="0"/>
          <w:color w:val="000000" w:themeColor="text1"/>
          <w:szCs w:val="24"/>
        </w:rPr>
      </w:pPr>
      <w:r w:rsidRPr="00B12FE0">
        <w:rPr>
          <w:b/>
          <w:snapToGrid w:val="0"/>
          <w:color w:val="000000" w:themeColor="text1"/>
          <w:szCs w:val="24"/>
        </w:rPr>
        <w:t>（</w:t>
      </w:r>
      <w:r w:rsidRPr="00B12FE0">
        <w:rPr>
          <w:b/>
          <w:snapToGrid w:val="0"/>
          <w:color w:val="000000" w:themeColor="text1"/>
          <w:szCs w:val="24"/>
        </w:rPr>
        <w:t>1</w:t>
      </w:r>
      <w:r w:rsidRPr="00B12FE0">
        <w:rPr>
          <w:b/>
          <w:snapToGrid w:val="0"/>
          <w:color w:val="000000" w:themeColor="text1"/>
          <w:szCs w:val="24"/>
        </w:rPr>
        <w:t>）</w:t>
      </w:r>
      <w:r w:rsidRPr="00B12FE0">
        <w:rPr>
          <w:b/>
          <w:bCs/>
          <w:snapToGrid w:val="0"/>
          <w:color w:val="000000" w:themeColor="text1"/>
          <w:szCs w:val="24"/>
        </w:rPr>
        <w:t>电子直线加速器技术参数及机房设计情况</w:t>
      </w:r>
    </w:p>
    <w:p w14:paraId="4745F50B" w14:textId="77777777" w:rsidR="00A67F21" w:rsidRPr="00B12FE0" w:rsidRDefault="00000000">
      <w:pPr>
        <w:topLinePunct/>
        <w:autoSpaceDE w:val="0"/>
        <w:adjustRightInd w:val="0"/>
        <w:spacing w:line="360" w:lineRule="auto"/>
        <w:ind w:firstLineChars="200" w:firstLine="480"/>
        <w:rPr>
          <w:snapToGrid w:val="0"/>
          <w:color w:val="000000" w:themeColor="text1"/>
          <w:szCs w:val="24"/>
        </w:rPr>
      </w:pPr>
      <w:r w:rsidRPr="00B12FE0">
        <w:rPr>
          <w:snapToGrid w:val="0"/>
          <w:color w:val="000000" w:themeColor="text1"/>
          <w:szCs w:val="24"/>
        </w:rPr>
        <w:t>本项目新增</w:t>
      </w:r>
      <w:r w:rsidRPr="00B12FE0">
        <w:rPr>
          <w:snapToGrid w:val="0"/>
          <w:color w:val="000000" w:themeColor="text1"/>
          <w:szCs w:val="24"/>
        </w:rPr>
        <w:t>1</w:t>
      </w:r>
      <w:r w:rsidRPr="00B12FE0">
        <w:rPr>
          <w:snapToGrid w:val="0"/>
          <w:color w:val="000000" w:themeColor="text1"/>
          <w:szCs w:val="24"/>
        </w:rPr>
        <w:t>台直线加速器，位于肿瘤治疗中心一层放疗中心。根据院方提供的资料，加速器机房四侧墙体、顶棚拟采用标准混凝土（</w:t>
      </w:r>
      <w:r w:rsidRPr="00B12FE0">
        <w:rPr>
          <w:snapToGrid w:val="0"/>
          <w:color w:val="000000" w:themeColor="text1"/>
          <w:szCs w:val="24"/>
        </w:rPr>
        <w:t>ρ=2.35g/cm</w:t>
      </w:r>
      <w:r w:rsidRPr="00B12FE0">
        <w:rPr>
          <w:snapToGrid w:val="0"/>
          <w:color w:val="000000" w:themeColor="text1"/>
          <w:szCs w:val="24"/>
          <w:vertAlign w:val="superscript"/>
        </w:rPr>
        <w:t>3</w:t>
      </w:r>
      <w:r w:rsidRPr="00B12FE0">
        <w:rPr>
          <w:snapToGrid w:val="0"/>
          <w:color w:val="000000" w:themeColor="text1"/>
          <w:szCs w:val="24"/>
        </w:rPr>
        <w:t>）浇筑而成，防护门拟采用铅板</w:t>
      </w:r>
      <w:r w:rsidRPr="00B12FE0">
        <w:rPr>
          <w:snapToGrid w:val="0"/>
          <w:color w:val="000000" w:themeColor="text1"/>
          <w:szCs w:val="24"/>
        </w:rPr>
        <w:t>+</w:t>
      </w:r>
      <w:r w:rsidRPr="00B12FE0">
        <w:rPr>
          <w:snapToGrid w:val="0"/>
          <w:color w:val="000000" w:themeColor="text1"/>
          <w:szCs w:val="24"/>
        </w:rPr>
        <w:t>含硼聚乙烯制作。加速器机房上方为</w:t>
      </w:r>
      <w:r w:rsidRPr="00B12FE0">
        <w:rPr>
          <w:rFonts w:hint="eastAsia"/>
          <w:snapToGrid w:val="0"/>
          <w:color w:val="000000" w:themeColor="text1"/>
          <w:szCs w:val="24"/>
        </w:rPr>
        <w:t>不可上人屋顶</w:t>
      </w:r>
      <w:r w:rsidRPr="00B12FE0">
        <w:rPr>
          <w:snapToGrid w:val="0"/>
          <w:color w:val="000000" w:themeColor="text1"/>
          <w:szCs w:val="24"/>
        </w:rPr>
        <w:t>，无地下层。</w:t>
      </w:r>
    </w:p>
    <w:p w14:paraId="61D68062" w14:textId="77777777" w:rsidR="00A67F21" w:rsidRPr="00B12FE0" w:rsidRDefault="00000000">
      <w:pPr>
        <w:spacing w:line="360" w:lineRule="auto"/>
        <w:ind w:firstLineChars="200" w:firstLine="480"/>
        <w:rPr>
          <w:snapToGrid w:val="0"/>
          <w:color w:val="000000" w:themeColor="text1"/>
          <w:sz w:val="21"/>
          <w:szCs w:val="24"/>
        </w:rPr>
      </w:pPr>
      <w:r w:rsidRPr="00B12FE0">
        <w:rPr>
          <w:snapToGrid w:val="0"/>
          <w:color w:val="000000" w:themeColor="text1"/>
          <w:szCs w:val="24"/>
        </w:rPr>
        <w:t>具体参数见表</w:t>
      </w:r>
      <w:r w:rsidRPr="00B12FE0">
        <w:rPr>
          <w:snapToGrid w:val="0"/>
          <w:color w:val="000000" w:themeColor="text1"/>
          <w:szCs w:val="24"/>
        </w:rPr>
        <w:t>11.2.2.1-1</w:t>
      </w:r>
      <w:r w:rsidRPr="00B12FE0">
        <w:rPr>
          <w:snapToGrid w:val="0"/>
          <w:color w:val="000000" w:themeColor="text1"/>
          <w:szCs w:val="24"/>
        </w:rPr>
        <w:t>。</w:t>
      </w:r>
    </w:p>
    <w:p w14:paraId="7D082430" w14:textId="77777777" w:rsidR="00A67F21" w:rsidRPr="00B12FE0" w:rsidRDefault="00000000">
      <w:pPr>
        <w:autoSpaceDE w:val="0"/>
        <w:snapToGrid w:val="0"/>
        <w:spacing w:line="360" w:lineRule="auto"/>
        <w:contextualSpacing/>
        <w:jc w:val="center"/>
        <w:rPr>
          <w:b/>
          <w:bCs/>
          <w:snapToGrid w:val="0"/>
          <w:color w:val="000000" w:themeColor="text1"/>
          <w:sz w:val="21"/>
          <w:szCs w:val="21"/>
        </w:rPr>
      </w:pPr>
      <w:r w:rsidRPr="00B12FE0">
        <w:rPr>
          <w:b/>
          <w:bCs/>
          <w:snapToGrid w:val="0"/>
          <w:color w:val="000000" w:themeColor="text1"/>
          <w:sz w:val="21"/>
          <w:szCs w:val="21"/>
        </w:rPr>
        <w:t>表</w:t>
      </w:r>
      <w:r w:rsidRPr="00B12FE0">
        <w:rPr>
          <w:b/>
          <w:bCs/>
          <w:snapToGrid w:val="0"/>
          <w:color w:val="000000" w:themeColor="text1"/>
          <w:sz w:val="21"/>
          <w:szCs w:val="21"/>
        </w:rPr>
        <w:t>11.2.2.1-</w:t>
      </w:r>
      <w:r w:rsidRPr="00B12FE0">
        <w:rPr>
          <w:rFonts w:hint="eastAsia"/>
          <w:b/>
          <w:bCs/>
          <w:snapToGrid w:val="0"/>
          <w:color w:val="000000" w:themeColor="text1"/>
          <w:sz w:val="21"/>
          <w:szCs w:val="21"/>
        </w:rPr>
        <w:t>1</w:t>
      </w:r>
      <w:r w:rsidRPr="00B12FE0">
        <w:rPr>
          <w:b/>
          <w:bCs/>
          <w:snapToGrid w:val="0"/>
          <w:color w:val="000000" w:themeColor="text1"/>
          <w:sz w:val="21"/>
          <w:szCs w:val="21"/>
        </w:rPr>
        <w:t xml:space="preserve">  </w:t>
      </w:r>
      <w:r w:rsidRPr="00B12FE0">
        <w:rPr>
          <w:b/>
          <w:bCs/>
          <w:snapToGrid w:val="0"/>
          <w:color w:val="000000" w:themeColor="text1"/>
          <w:sz w:val="21"/>
          <w:szCs w:val="21"/>
        </w:rPr>
        <w:t>加速器设备参数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4"/>
        <w:gridCol w:w="5823"/>
      </w:tblGrid>
      <w:tr w:rsidR="00A67F21" w:rsidRPr="00B12FE0" w14:paraId="3C476B11"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3C61378E"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设备名称</w:t>
            </w:r>
          </w:p>
        </w:tc>
        <w:tc>
          <w:tcPr>
            <w:tcW w:w="3228" w:type="pct"/>
            <w:tcBorders>
              <w:top w:val="single" w:sz="4" w:space="0" w:color="auto"/>
              <w:left w:val="single" w:sz="4" w:space="0" w:color="auto"/>
              <w:bottom w:val="single" w:sz="4" w:space="0" w:color="auto"/>
              <w:right w:val="single" w:sz="4" w:space="0" w:color="auto"/>
            </w:tcBorders>
            <w:vAlign w:val="center"/>
          </w:tcPr>
          <w:p w14:paraId="789D0EA3"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sz w:val="21"/>
                <w:szCs w:val="21"/>
              </w:rPr>
              <w:t>直线加速器</w:t>
            </w:r>
          </w:p>
        </w:tc>
      </w:tr>
      <w:tr w:rsidR="00A67F21" w:rsidRPr="00B12FE0" w14:paraId="641A6692"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1AE33BBA"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kern w:val="0"/>
                <w:sz w:val="21"/>
                <w:szCs w:val="21"/>
              </w:rPr>
              <w:t>型号</w:t>
            </w:r>
          </w:p>
        </w:tc>
        <w:tc>
          <w:tcPr>
            <w:tcW w:w="3228" w:type="pct"/>
            <w:tcBorders>
              <w:top w:val="single" w:sz="4" w:space="0" w:color="auto"/>
              <w:left w:val="single" w:sz="4" w:space="0" w:color="auto"/>
              <w:bottom w:val="single" w:sz="4" w:space="0" w:color="auto"/>
              <w:right w:val="single" w:sz="4" w:space="0" w:color="auto"/>
            </w:tcBorders>
            <w:vAlign w:val="center"/>
          </w:tcPr>
          <w:p w14:paraId="1A770C2A"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kern w:val="0"/>
                <w:sz w:val="21"/>
                <w:szCs w:val="21"/>
              </w:rPr>
              <w:t>待定</w:t>
            </w:r>
          </w:p>
        </w:tc>
      </w:tr>
      <w:tr w:rsidR="00A67F21" w:rsidRPr="00B12FE0" w14:paraId="03A16150"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63DDDB89"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能量</w:t>
            </w:r>
          </w:p>
        </w:tc>
        <w:tc>
          <w:tcPr>
            <w:tcW w:w="3228" w:type="pct"/>
            <w:tcBorders>
              <w:top w:val="single" w:sz="4" w:space="0" w:color="auto"/>
              <w:left w:val="single" w:sz="4" w:space="0" w:color="auto"/>
              <w:bottom w:val="single" w:sz="4" w:space="0" w:color="auto"/>
              <w:right w:val="single" w:sz="4" w:space="0" w:color="auto"/>
            </w:tcBorders>
            <w:vAlign w:val="center"/>
          </w:tcPr>
          <w:p w14:paraId="513BF135"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X</w:t>
            </w:r>
            <w:r w:rsidRPr="00B12FE0">
              <w:rPr>
                <w:snapToGrid w:val="0"/>
                <w:color w:val="000000" w:themeColor="text1"/>
                <w:sz w:val="21"/>
                <w:szCs w:val="21"/>
              </w:rPr>
              <w:t>射线能量：</w:t>
            </w:r>
            <w:r w:rsidRPr="00B12FE0">
              <w:rPr>
                <w:snapToGrid w:val="0"/>
                <w:color w:val="000000" w:themeColor="text1"/>
                <w:sz w:val="21"/>
                <w:szCs w:val="21"/>
              </w:rPr>
              <w:t>15MV</w:t>
            </w:r>
            <w:r w:rsidRPr="00B12FE0">
              <w:rPr>
                <w:snapToGrid w:val="0"/>
                <w:color w:val="000000" w:themeColor="text1"/>
                <w:sz w:val="21"/>
                <w:szCs w:val="21"/>
              </w:rPr>
              <w:t>、</w:t>
            </w:r>
            <w:r w:rsidRPr="00B12FE0">
              <w:rPr>
                <w:snapToGrid w:val="0"/>
                <w:color w:val="000000" w:themeColor="text1"/>
                <w:sz w:val="21"/>
                <w:szCs w:val="21"/>
              </w:rPr>
              <w:t>10MV</w:t>
            </w:r>
            <w:r w:rsidRPr="00B12FE0">
              <w:rPr>
                <w:snapToGrid w:val="0"/>
                <w:color w:val="000000" w:themeColor="text1"/>
                <w:sz w:val="21"/>
                <w:szCs w:val="21"/>
              </w:rPr>
              <w:t>；电子线最大能量：</w:t>
            </w:r>
            <w:r w:rsidRPr="00B12FE0">
              <w:rPr>
                <w:snapToGrid w:val="0"/>
                <w:color w:val="000000" w:themeColor="text1"/>
                <w:sz w:val="21"/>
                <w:szCs w:val="21"/>
              </w:rPr>
              <w:t>22MeV</w:t>
            </w:r>
          </w:p>
        </w:tc>
      </w:tr>
      <w:tr w:rsidR="00A67F21" w:rsidRPr="00B12FE0" w14:paraId="46993D02"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611EF27B"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X</w:t>
            </w:r>
            <w:r w:rsidRPr="00B12FE0">
              <w:rPr>
                <w:snapToGrid w:val="0"/>
                <w:color w:val="000000" w:themeColor="text1"/>
                <w:sz w:val="21"/>
                <w:szCs w:val="21"/>
              </w:rPr>
              <w:t>射线泄漏率</w:t>
            </w:r>
          </w:p>
        </w:tc>
        <w:tc>
          <w:tcPr>
            <w:tcW w:w="3228" w:type="pct"/>
            <w:tcBorders>
              <w:top w:val="single" w:sz="4" w:space="0" w:color="auto"/>
              <w:left w:val="single" w:sz="4" w:space="0" w:color="auto"/>
              <w:bottom w:val="single" w:sz="4" w:space="0" w:color="auto"/>
              <w:right w:val="single" w:sz="4" w:space="0" w:color="auto"/>
            </w:tcBorders>
            <w:vAlign w:val="center"/>
          </w:tcPr>
          <w:p w14:paraId="7B495044"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sz w:val="21"/>
                <w:szCs w:val="21"/>
              </w:rPr>
              <w:t>≤0.1%</w:t>
            </w:r>
          </w:p>
        </w:tc>
      </w:tr>
      <w:tr w:rsidR="00A67F21" w:rsidRPr="00B12FE0" w14:paraId="13DEDFA2"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7FC65CC0"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kern w:val="0"/>
                <w:sz w:val="21"/>
                <w:szCs w:val="21"/>
              </w:rPr>
              <w:t>源轴距（</w:t>
            </w:r>
            <w:r w:rsidRPr="00B12FE0">
              <w:rPr>
                <w:snapToGrid w:val="0"/>
                <w:color w:val="000000" w:themeColor="text1"/>
                <w:kern w:val="0"/>
                <w:sz w:val="21"/>
                <w:szCs w:val="21"/>
              </w:rPr>
              <w:t>SAD</w:t>
            </w:r>
            <w:r w:rsidRPr="00B12FE0">
              <w:rPr>
                <w:snapToGrid w:val="0"/>
                <w:color w:val="000000" w:themeColor="text1"/>
                <w:kern w:val="0"/>
                <w:sz w:val="21"/>
                <w:szCs w:val="21"/>
              </w:rPr>
              <w:t>）</w:t>
            </w:r>
          </w:p>
        </w:tc>
        <w:tc>
          <w:tcPr>
            <w:tcW w:w="3228" w:type="pct"/>
            <w:tcBorders>
              <w:top w:val="single" w:sz="4" w:space="0" w:color="auto"/>
              <w:left w:val="single" w:sz="4" w:space="0" w:color="auto"/>
              <w:bottom w:val="single" w:sz="4" w:space="0" w:color="auto"/>
              <w:right w:val="single" w:sz="4" w:space="0" w:color="auto"/>
            </w:tcBorders>
            <w:vAlign w:val="center"/>
          </w:tcPr>
          <w:p w14:paraId="77E12895"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sz w:val="21"/>
                <w:szCs w:val="21"/>
              </w:rPr>
              <w:t>1m</w:t>
            </w:r>
          </w:p>
        </w:tc>
      </w:tr>
      <w:tr w:rsidR="00A67F21" w:rsidRPr="00B12FE0" w14:paraId="6B1D2412"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6835F4EF"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等中心高度</w:t>
            </w:r>
          </w:p>
        </w:tc>
        <w:tc>
          <w:tcPr>
            <w:tcW w:w="3228" w:type="pct"/>
            <w:tcBorders>
              <w:top w:val="single" w:sz="4" w:space="0" w:color="auto"/>
              <w:left w:val="single" w:sz="4" w:space="0" w:color="auto"/>
              <w:bottom w:val="single" w:sz="4" w:space="0" w:color="auto"/>
              <w:right w:val="single" w:sz="4" w:space="0" w:color="auto"/>
            </w:tcBorders>
            <w:vAlign w:val="center"/>
          </w:tcPr>
          <w:p w14:paraId="79025FAB"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sz w:val="21"/>
                <w:szCs w:val="21"/>
              </w:rPr>
              <w:t>1.3m</w:t>
            </w:r>
          </w:p>
        </w:tc>
      </w:tr>
      <w:tr w:rsidR="00A67F21" w:rsidRPr="00B12FE0" w14:paraId="42053003"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57FDB79B" w14:textId="77777777" w:rsidR="00A67F21" w:rsidRPr="00B12FE0" w:rsidRDefault="00000000">
            <w:pPr>
              <w:adjustRightInd w:val="0"/>
              <w:snapToGrid w:val="0"/>
              <w:jc w:val="center"/>
              <w:rPr>
                <w:snapToGrid w:val="0"/>
                <w:color w:val="000000" w:themeColor="text1"/>
                <w:sz w:val="21"/>
                <w:szCs w:val="21"/>
              </w:rPr>
            </w:pPr>
            <w:r w:rsidRPr="00B12FE0">
              <w:rPr>
                <w:bCs/>
                <w:snapToGrid w:val="0"/>
                <w:color w:val="000000" w:themeColor="text1"/>
                <w:sz w:val="21"/>
                <w:szCs w:val="21"/>
                <w:lang w:val="en-GB"/>
              </w:rPr>
              <w:t>X</w:t>
            </w:r>
            <w:r w:rsidRPr="00B12FE0">
              <w:rPr>
                <w:bCs/>
                <w:snapToGrid w:val="0"/>
                <w:color w:val="000000" w:themeColor="text1"/>
                <w:sz w:val="21"/>
                <w:szCs w:val="21"/>
                <w:lang w:val="en-GB"/>
              </w:rPr>
              <w:t>射线有用线束张角</w:t>
            </w:r>
          </w:p>
        </w:tc>
        <w:tc>
          <w:tcPr>
            <w:tcW w:w="3228" w:type="pct"/>
            <w:tcBorders>
              <w:top w:val="single" w:sz="4" w:space="0" w:color="auto"/>
              <w:left w:val="single" w:sz="4" w:space="0" w:color="auto"/>
              <w:bottom w:val="single" w:sz="4" w:space="0" w:color="auto"/>
              <w:right w:val="single" w:sz="4" w:space="0" w:color="auto"/>
            </w:tcBorders>
            <w:vAlign w:val="center"/>
          </w:tcPr>
          <w:p w14:paraId="3B7992E5"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sz w:val="21"/>
                <w:szCs w:val="21"/>
                <w:lang w:val="en-GB"/>
              </w:rPr>
              <w:t>≤28</w:t>
            </w:r>
            <w:r w:rsidRPr="00B12FE0">
              <w:rPr>
                <w:bCs/>
                <w:snapToGrid w:val="0"/>
                <w:color w:val="000000" w:themeColor="text1"/>
                <w:sz w:val="21"/>
                <w:szCs w:val="21"/>
                <w:lang w:val="en-GB"/>
              </w:rPr>
              <w:t>°</w:t>
            </w:r>
          </w:p>
        </w:tc>
      </w:tr>
      <w:tr w:rsidR="00A67F21" w:rsidRPr="00B12FE0" w14:paraId="06A0BD5E"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5C0FAE3E"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等中心剂量率</w:t>
            </w:r>
          </w:p>
        </w:tc>
        <w:tc>
          <w:tcPr>
            <w:tcW w:w="3228" w:type="pct"/>
            <w:tcBorders>
              <w:top w:val="single" w:sz="4" w:space="0" w:color="auto"/>
              <w:left w:val="single" w:sz="4" w:space="0" w:color="auto"/>
              <w:bottom w:val="single" w:sz="4" w:space="0" w:color="auto"/>
              <w:right w:val="single" w:sz="4" w:space="0" w:color="auto"/>
            </w:tcBorders>
            <w:vAlign w:val="center"/>
          </w:tcPr>
          <w:p w14:paraId="609C617B" w14:textId="77777777" w:rsidR="00A67F21" w:rsidRPr="00B12FE0" w:rsidRDefault="00000000">
            <w:pPr>
              <w:jc w:val="center"/>
              <w:rPr>
                <w:snapToGrid w:val="0"/>
                <w:color w:val="000000" w:themeColor="text1"/>
                <w:sz w:val="21"/>
                <w:szCs w:val="21"/>
              </w:rPr>
            </w:pPr>
            <w:r w:rsidRPr="00B12FE0">
              <w:rPr>
                <w:snapToGrid w:val="0"/>
                <w:color w:val="000000" w:themeColor="text1"/>
                <w:sz w:val="21"/>
                <w:szCs w:val="21"/>
              </w:rPr>
              <w:t>X</w:t>
            </w:r>
            <w:r w:rsidRPr="00B12FE0">
              <w:rPr>
                <w:snapToGrid w:val="0"/>
                <w:color w:val="000000" w:themeColor="text1"/>
                <w:sz w:val="21"/>
                <w:szCs w:val="21"/>
              </w:rPr>
              <w:t>射线</w:t>
            </w:r>
            <w:r w:rsidRPr="00B12FE0">
              <w:rPr>
                <w:snapToGrid w:val="0"/>
                <w:color w:val="000000" w:themeColor="text1"/>
                <w:sz w:val="21"/>
                <w:szCs w:val="21"/>
              </w:rPr>
              <w:t>15MV</w:t>
            </w:r>
            <w:r w:rsidRPr="00B12FE0">
              <w:rPr>
                <w:snapToGrid w:val="0"/>
                <w:color w:val="000000" w:themeColor="text1"/>
                <w:sz w:val="21"/>
                <w:szCs w:val="21"/>
              </w:rPr>
              <w:t>等中心最大剂量率</w:t>
            </w:r>
            <w:r w:rsidRPr="00B12FE0">
              <w:rPr>
                <w:snapToGrid w:val="0"/>
                <w:color w:val="000000" w:themeColor="text1"/>
                <w:sz w:val="21"/>
                <w:szCs w:val="21"/>
              </w:rPr>
              <w:t>360Gy/h</w:t>
            </w:r>
            <w:r w:rsidRPr="00B12FE0">
              <w:rPr>
                <w:snapToGrid w:val="0"/>
                <w:color w:val="000000" w:themeColor="text1"/>
                <w:sz w:val="21"/>
                <w:szCs w:val="21"/>
              </w:rPr>
              <w:t>；</w:t>
            </w:r>
          </w:p>
          <w:p w14:paraId="6A54872B"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X</w:t>
            </w:r>
            <w:r w:rsidRPr="00B12FE0">
              <w:rPr>
                <w:snapToGrid w:val="0"/>
                <w:color w:val="000000" w:themeColor="text1"/>
                <w:sz w:val="21"/>
                <w:szCs w:val="21"/>
              </w:rPr>
              <w:t>射线</w:t>
            </w:r>
            <w:r w:rsidRPr="00B12FE0">
              <w:rPr>
                <w:snapToGrid w:val="0"/>
                <w:color w:val="000000" w:themeColor="text1"/>
                <w:sz w:val="21"/>
                <w:szCs w:val="21"/>
              </w:rPr>
              <w:t>10MV</w:t>
            </w:r>
            <w:r w:rsidRPr="00B12FE0">
              <w:rPr>
                <w:snapToGrid w:val="0"/>
                <w:color w:val="000000" w:themeColor="text1"/>
                <w:kern w:val="0"/>
                <w:sz w:val="21"/>
                <w:szCs w:val="21"/>
              </w:rPr>
              <w:t>等中心</w:t>
            </w:r>
            <w:r w:rsidRPr="00B12FE0">
              <w:rPr>
                <w:snapToGrid w:val="0"/>
                <w:color w:val="000000" w:themeColor="text1"/>
                <w:sz w:val="21"/>
                <w:szCs w:val="21"/>
              </w:rPr>
              <w:t>最大剂量率</w:t>
            </w:r>
            <w:r w:rsidRPr="00B12FE0">
              <w:rPr>
                <w:snapToGrid w:val="0"/>
                <w:color w:val="000000" w:themeColor="text1"/>
                <w:sz w:val="21"/>
                <w:szCs w:val="21"/>
              </w:rPr>
              <w:t>360Gy/h</w:t>
            </w:r>
            <w:r w:rsidRPr="00B12FE0">
              <w:rPr>
                <w:snapToGrid w:val="0"/>
                <w:color w:val="000000" w:themeColor="text1"/>
                <w:sz w:val="21"/>
                <w:szCs w:val="21"/>
              </w:rPr>
              <w:t>，</w:t>
            </w:r>
          </w:p>
          <w:p w14:paraId="47D27482"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FFF</w:t>
            </w:r>
            <w:r w:rsidRPr="00B12FE0">
              <w:rPr>
                <w:snapToGrid w:val="0"/>
                <w:color w:val="000000" w:themeColor="text1"/>
                <w:sz w:val="21"/>
                <w:szCs w:val="21"/>
              </w:rPr>
              <w:t>模式</w:t>
            </w:r>
            <w:r w:rsidRPr="00B12FE0">
              <w:rPr>
                <w:snapToGrid w:val="0"/>
                <w:color w:val="000000" w:themeColor="text1"/>
                <w:kern w:val="0"/>
                <w:sz w:val="21"/>
                <w:szCs w:val="21"/>
              </w:rPr>
              <w:t>等中心</w:t>
            </w:r>
            <w:r w:rsidRPr="00B12FE0">
              <w:rPr>
                <w:snapToGrid w:val="0"/>
                <w:color w:val="000000" w:themeColor="text1"/>
                <w:sz w:val="21"/>
                <w:szCs w:val="21"/>
              </w:rPr>
              <w:t>最大剂量率</w:t>
            </w:r>
            <w:r w:rsidRPr="00B12FE0">
              <w:rPr>
                <w:snapToGrid w:val="0"/>
                <w:color w:val="000000" w:themeColor="text1"/>
                <w:sz w:val="21"/>
                <w:szCs w:val="21"/>
              </w:rPr>
              <w:t>1440Gy/h</w:t>
            </w:r>
            <w:r w:rsidRPr="00B12FE0">
              <w:rPr>
                <w:snapToGrid w:val="0"/>
                <w:color w:val="000000" w:themeColor="text1"/>
                <w:sz w:val="21"/>
                <w:szCs w:val="21"/>
              </w:rPr>
              <w:t>；</w:t>
            </w:r>
          </w:p>
          <w:p w14:paraId="6FCC6AAD" w14:textId="77777777" w:rsidR="00A67F21" w:rsidRPr="00B12FE0" w:rsidRDefault="00000000">
            <w:pPr>
              <w:autoSpaceDE w:val="0"/>
              <w:autoSpaceDN w:val="0"/>
              <w:adjustRightInd w:val="0"/>
              <w:jc w:val="center"/>
              <w:textAlignment w:val="baseline"/>
              <w:rPr>
                <w:snapToGrid w:val="0"/>
                <w:color w:val="000000" w:themeColor="text1"/>
                <w:sz w:val="21"/>
                <w:szCs w:val="21"/>
              </w:rPr>
            </w:pPr>
            <w:r w:rsidRPr="00B12FE0">
              <w:rPr>
                <w:snapToGrid w:val="0"/>
                <w:color w:val="000000" w:themeColor="text1"/>
                <w:sz w:val="21"/>
                <w:szCs w:val="21"/>
              </w:rPr>
              <w:t>X</w:t>
            </w:r>
            <w:r w:rsidRPr="00B12FE0">
              <w:rPr>
                <w:snapToGrid w:val="0"/>
                <w:color w:val="000000" w:themeColor="text1"/>
                <w:sz w:val="21"/>
                <w:szCs w:val="21"/>
              </w:rPr>
              <w:t>射线</w:t>
            </w:r>
            <w:r w:rsidRPr="00B12FE0">
              <w:rPr>
                <w:snapToGrid w:val="0"/>
                <w:color w:val="000000" w:themeColor="text1"/>
                <w:sz w:val="21"/>
                <w:szCs w:val="21"/>
              </w:rPr>
              <w:t>6MV*</w:t>
            </w:r>
            <w:r w:rsidRPr="00B12FE0">
              <w:rPr>
                <w:snapToGrid w:val="0"/>
                <w:color w:val="000000" w:themeColor="text1"/>
                <w:kern w:val="0"/>
                <w:sz w:val="21"/>
                <w:szCs w:val="21"/>
              </w:rPr>
              <w:t>等中心</w:t>
            </w:r>
            <w:r w:rsidRPr="00B12FE0">
              <w:rPr>
                <w:snapToGrid w:val="0"/>
                <w:color w:val="000000" w:themeColor="text1"/>
                <w:sz w:val="21"/>
                <w:szCs w:val="21"/>
              </w:rPr>
              <w:t>最大剂量率</w:t>
            </w:r>
            <w:r w:rsidRPr="00B12FE0">
              <w:rPr>
                <w:snapToGrid w:val="0"/>
                <w:color w:val="000000" w:themeColor="text1"/>
                <w:sz w:val="21"/>
                <w:szCs w:val="21"/>
              </w:rPr>
              <w:t>360Gy/h</w:t>
            </w:r>
            <w:r w:rsidRPr="00B12FE0">
              <w:rPr>
                <w:snapToGrid w:val="0"/>
                <w:color w:val="000000" w:themeColor="text1"/>
                <w:sz w:val="21"/>
                <w:szCs w:val="21"/>
              </w:rPr>
              <w:t>，</w:t>
            </w:r>
          </w:p>
          <w:p w14:paraId="10256BAE" w14:textId="77777777" w:rsidR="00A67F21" w:rsidRPr="00B12FE0" w:rsidRDefault="00000000">
            <w:pPr>
              <w:autoSpaceDE w:val="0"/>
              <w:autoSpaceDN w:val="0"/>
              <w:adjustRightInd w:val="0"/>
              <w:jc w:val="center"/>
              <w:textAlignment w:val="baseline"/>
              <w:rPr>
                <w:snapToGrid w:val="0"/>
                <w:color w:val="000000" w:themeColor="text1"/>
                <w:sz w:val="21"/>
                <w:szCs w:val="21"/>
              </w:rPr>
            </w:pPr>
            <w:r w:rsidRPr="00B12FE0">
              <w:rPr>
                <w:snapToGrid w:val="0"/>
                <w:color w:val="000000" w:themeColor="text1"/>
                <w:sz w:val="21"/>
                <w:szCs w:val="21"/>
              </w:rPr>
              <w:t>FFF</w:t>
            </w:r>
            <w:r w:rsidRPr="00B12FE0">
              <w:rPr>
                <w:snapToGrid w:val="0"/>
                <w:color w:val="000000" w:themeColor="text1"/>
                <w:sz w:val="21"/>
                <w:szCs w:val="21"/>
              </w:rPr>
              <w:t>模式</w:t>
            </w:r>
            <w:r w:rsidRPr="00B12FE0">
              <w:rPr>
                <w:snapToGrid w:val="0"/>
                <w:color w:val="000000" w:themeColor="text1"/>
                <w:kern w:val="0"/>
                <w:sz w:val="21"/>
                <w:szCs w:val="21"/>
              </w:rPr>
              <w:t>等中心</w:t>
            </w:r>
            <w:r w:rsidRPr="00B12FE0">
              <w:rPr>
                <w:snapToGrid w:val="0"/>
                <w:color w:val="000000" w:themeColor="text1"/>
                <w:sz w:val="21"/>
                <w:szCs w:val="21"/>
              </w:rPr>
              <w:t>最大剂量率</w:t>
            </w:r>
            <w:r w:rsidRPr="00B12FE0">
              <w:rPr>
                <w:snapToGrid w:val="0"/>
                <w:color w:val="000000" w:themeColor="text1"/>
                <w:sz w:val="21"/>
                <w:szCs w:val="21"/>
              </w:rPr>
              <w:t>840Gy/h</w:t>
            </w:r>
            <w:r w:rsidRPr="00B12FE0">
              <w:rPr>
                <w:snapToGrid w:val="0"/>
                <w:color w:val="000000" w:themeColor="text1"/>
                <w:sz w:val="21"/>
                <w:szCs w:val="21"/>
              </w:rPr>
              <w:t>；</w:t>
            </w:r>
          </w:p>
        </w:tc>
      </w:tr>
      <w:tr w:rsidR="00A67F21" w:rsidRPr="00B12FE0" w14:paraId="5B04F81C"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5F8D79BE"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最大照射野尺寸</w:t>
            </w:r>
          </w:p>
        </w:tc>
        <w:tc>
          <w:tcPr>
            <w:tcW w:w="3228" w:type="pct"/>
            <w:tcBorders>
              <w:top w:val="single" w:sz="4" w:space="0" w:color="auto"/>
              <w:left w:val="single" w:sz="4" w:space="0" w:color="auto"/>
              <w:bottom w:val="single" w:sz="4" w:space="0" w:color="auto"/>
              <w:right w:val="single" w:sz="4" w:space="0" w:color="auto"/>
            </w:tcBorders>
            <w:vAlign w:val="center"/>
          </w:tcPr>
          <w:p w14:paraId="51844983"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sz w:val="21"/>
                <w:szCs w:val="21"/>
              </w:rPr>
              <w:t>40cm×40cm</w:t>
            </w:r>
          </w:p>
        </w:tc>
      </w:tr>
      <w:tr w:rsidR="00A67F21" w:rsidRPr="00B12FE0" w14:paraId="1A2F673E" w14:textId="77777777">
        <w:trPr>
          <w:cantSplit/>
          <w:trHeight w:val="340"/>
          <w:jc w:val="center"/>
        </w:trPr>
        <w:tc>
          <w:tcPr>
            <w:tcW w:w="1771" w:type="pct"/>
            <w:tcBorders>
              <w:top w:val="single" w:sz="4" w:space="0" w:color="auto"/>
              <w:left w:val="single" w:sz="4" w:space="0" w:color="auto"/>
              <w:bottom w:val="single" w:sz="4" w:space="0" w:color="auto"/>
              <w:right w:val="single" w:sz="4" w:space="0" w:color="auto"/>
            </w:tcBorders>
            <w:vAlign w:val="center"/>
          </w:tcPr>
          <w:p w14:paraId="68AF3BFC" w14:textId="77777777" w:rsidR="00A67F21" w:rsidRPr="00B12FE0" w:rsidRDefault="00000000">
            <w:pPr>
              <w:adjustRightInd w:val="0"/>
              <w:snapToGrid w:val="0"/>
              <w:jc w:val="center"/>
              <w:rPr>
                <w:snapToGrid w:val="0"/>
                <w:color w:val="000000" w:themeColor="text1"/>
                <w:sz w:val="21"/>
                <w:szCs w:val="21"/>
              </w:rPr>
            </w:pPr>
            <w:r w:rsidRPr="00B12FE0">
              <w:rPr>
                <w:snapToGrid w:val="0"/>
                <w:color w:val="000000" w:themeColor="text1"/>
                <w:sz w:val="21"/>
                <w:szCs w:val="21"/>
              </w:rPr>
              <w:t>机架旋转角度</w:t>
            </w:r>
          </w:p>
        </w:tc>
        <w:tc>
          <w:tcPr>
            <w:tcW w:w="3228" w:type="pct"/>
            <w:tcBorders>
              <w:top w:val="single" w:sz="4" w:space="0" w:color="auto"/>
              <w:left w:val="single" w:sz="4" w:space="0" w:color="auto"/>
              <w:bottom w:val="single" w:sz="4" w:space="0" w:color="auto"/>
              <w:right w:val="single" w:sz="4" w:space="0" w:color="auto"/>
            </w:tcBorders>
            <w:vAlign w:val="center"/>
          </w:tcPr>
          <w:p w14:paraId="259D2F61" w14:textId="77777777" w:rsidR="00A67F21" w:rsidRPr="00B12FE0" w:rsidRDefault="00000000">
            <w:pPr>
              <w:adjustRightInd w:val="0"/>
              <w:snapToGrid w:val="0"/>
              <w:ind w:firstLineChars="200" w:firstLine="420"/>
              <w:jc w:val="center"/>
              <w:rPr>
                <w:snapToGrid w:val="0"/>
                <w:color w:val="000000" w:themeColor="text1"/>
                <w:sz w:val="21"/>
                <w:szCs w:val="21"/>
              </w:rPr>
            </w:pPr>
            <w:r w:rsidRPr="00B12FE0">
              <w:rPr>
                <w:snapToGrid w:val="0"/>
                <w:color w:val="000000" w:themeColor="text1"/>
                <w:sz w:val="21"/>
                <w:szCs w:val="21"/>
              </w:rPr>
              <w:t>±180°</w:t>
            </w:r>
          </w:p>
        </w:tc>
      </w:tr>
      <w:tr w:rsidR="00A67F21" w:rsidRPr="00B12FE0" w14:paraId="21BB203A" w14:textId="77777777">
        <w:trPr>
          <w:cantSplit/>
          <w:trHeight w:val="340"/>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798888C" w14:textId="77777777" w:rsidR="00A67F21" w:rsidRPr="00B12FE0" w:rsidRDefault="00000000">
            <w:pPr>
              <w:jc w:val="left"/>
              <w:rPr>
                <w:snapToGrid w:val="0"/>
                <w:color w:val="000000" w:themeColor="text1"/>
                <w:sz w:val="21"/>
                <w:szCs w:val="21"/>
              </w:rPr>
            </w:pPr>
            <w:r w:rsidRPr="00B12FE0">
              <w:rPr>
                <w:snapToGrid w:val="0"/>
                <w:color w:val="000000" w:themeColor="text1"/>
                <w:sz w:val="18"/>
                <w:szCs w:val="18"/>
              </w:rPr>
              <w:t>注</w:t>
            </w:r>
            <w:r w:rsidRPr="00B12FE0">
              <w:rPr>
                <w:snapToGrid w:val="0"/>
                <w:color w:val="000000" w:themeColor="text1"/>
                <w:sz w:val="18"/>
                <w:szCs w:val="18"/>
              </w:rPr>
              <w:t>*</w:t>
            </w:r>
            <w:r w:rsidRPr="00B12FE0">
              <w:rPr>
                <w:snapToGrid w:val="0"/>
                <w:color w:val="000000" w:themeColor="text1"/>
                <w:sz w:val="18"/>
                <w:szCs w:val="18"/>
              </w:rPr>
              <w:t>因</w:t>
            </w:r>
            <w:r w:rsidRPr="00B12FE0">
              <w:rPr>
                <w:snapToGrid w:val="0"/>
                <w:color w:val="000000" w:themeColor="text1"/>
                <w:sz w:val="18"/>
                <w:szCs w:val="18"/>
              </w:rPr>
              <w:t>6MV X</w:t>
            </w:r>
            <w:r w:rsidRPr="00B12FE0">
              <w:rPr>
                <w:snapToGrid w:val="0"/>
                <w:color w:val="000000" w:themeColor="text1"/>
                <w:sz w:val="18"/>
                <w:szCs w:val="18"/>
              </w:rPr>
              <w:t>射线能量和</w:t>
            </w:r>
            <w:r w:rsidRPr="00B12FE0">
              <w:rPr>
                <w:snapToGrid w:val="0"/>
                <w:color w:val="000000" w:themeColor="text1"/>
                <w:kern w:val="0"/>
                <w:sz w:val="18"/>
                <w:szCs w:val="18"/>
              </w:rPr>
              <w:t>等中心</w:t>
            </w:r>
            <w:r w:rsidRPr="00B12FE0">
              <w:rPr>
                <w:snapToGrid w:val="0"/>
                <w:color w:val="000000" w:themeColor="text1"/>
                <w:sz w:val="18"/>
                <w:szCs w:val="18"/>
              </w:rPr>
              <w:t>最大剂量率均小于</w:t>
            </w:r>
            <w:r w:rsidRPr="00B12FE0">
              <w:rPr>
                <w:snapToGrid w:val="0"/>
                <w:color w:val="000000" w:themeColor="text1"/>
                <w:sz w:val="18"/>
                <w:szCs w:val="18"/>
              </w:rPr>
              <w:t>10MV X</w:t>
            </w:r>
            <w:r w:rsidRPr="00B12FE0">
              <w:rPr>
                <w:snapToGrid w:val="0"/>
                <w:color w:val="000000" w:themeColor="text1"/>
                <w:sz w:val="18"/>
                <w:szCs w:val="18"/>
              </w:rPr>
              <w:t>射线和</w:t>
            </w:r>
            <w:r w:rsidRPr="00B12FE0">
              <w:rPr>
                <w:snapToGrid w:val="0"/>
                <w:color w:val="000000" w:themeColor="text1"/>
                <w:sz w:val="18"/>
                <w:szCs w:val="18"/>
              </w:rPr>
              <w:t>15MV X</w:t>
            </w:r>
            <w:r w:rsidRPr="00B12FE0">
              <w:rPr>
                <w:snapToGrid w:val="0"/>
                <w:color w:val="000000" w:themeColor="text1"/>
                <w:sz w:val="18"/>
                <w:szCs w:val="18"/>
              </w:rPr>
              <w:t>射线，因此计算时仅考虑</w:t>
            </w:r>
            <w:r w:rsidRPr="00B12FE0">
              <w:rPr>
                <w:snapToGrid w:val="0"/>
                <w:color w:val="000000" w:themeColor="text1"/>
                <w:sz w:val="18"/>
                <w:szCs w:val="18"/>
              </w:rPr>
              <w:t>10MV X</w:t>
            </w:r>
            <w:r w:rsidRPr="00B12FE0">
              <w:rPr>
                <w:snapToGrid w:val="0"/>
                <w:color w:val="000000" w:themeColor="text1"/>
                <w:sz w:val="18"/>
                <w:szCs w:val="18"/>
              </w:rPr>
              <w:t>射线和</w:t>
            </w:r>
            <w:r w:rsidRPr="00B12FE0">
              <w:rPr>
                <w:snapToGrid w:val="0"/>
                <w:color w:val="000000" w:themeColor="text1"/>
                <w:sz w:val="18"/>
                <w:szCs w:val="18"/>
              </w:rPr>
              <w:t>15MV X</w:t>
            </w:r>
            <w:r w:rsidRPr="00B12FE0">
              <w:rPr>
                <w:snapToGrid w:val="0"/>
                <w:color w:val="000000" w:themeColor="text1"/>
                <w:sz w:val="18"/>
                <w:szCs w:val="18"/>
              </w:rPr>
              <w:t>射线。</w:t>
            </w:r>
          </w:p>
        </w:tc>
      </w:tr>
    </w:tbl>
    <w:p w14:paraId="22D021D8" w14:textId="77777777" w:rsidR="00A67F21" w:rsidRPr="00B12FE0" w:rsidRDefault="00000000">
      <w:pPr>
        <w:autoSpaceDE w:val="0"/>
        <w:snapToGrid w:val="0"/>
        <w:spacing w:line="360" w:lineRule="auto"/>
        <w:ind w:firstLineChars="200" w:firstLine="482"/>
        <w:contextualSpacing/>
        <w:rPr>
          <w:b/>
          <w:bCs/>
          <w:snapToGrid w:val="0"/>
          <w:color w:val="000000" w:themeColor="text1"/>
          <w:szCs w:val="24"/>
        </w:rPr>
      </w:pPr>
      <w:r w:rsidRPr="00B12FE0">
        <w:rPr>
          <w:b/>
          <w:bCs/>
          <w:snapToGrid w:val="0"/>
          <w:color w:val="000000" w:themeColor="text1"/>
          <w:szCs w:val="24"/>
        </w:rPr>
        <w:t>（</w:t>
      </w:r>
      <w:r w:rsidRPr="00B12FE0">
        <w:rPr>
          <w:b/>
          <w:bCs/>
          <w:snapToGrid w:val="0"/>
          <w:color w:val="000000" w:themeColor="text1"/>
          <w:szCs w:val="24"/>
        </w:rPr>
        <w:t>2</w:t>
      </w:r>
      <w:r w:rsidRPr="00B12FE0">
        <w:rPr>
          <w:b/>
          <w:bCs/>
          <w:snapToGrid w:val="0"/>
          <w:color w:val="000000" w:themeColor="text1"/>
          <w:szCs w:val="24"/>
        </w:rPr>
        <w:t>）关注点选取</w:t>
      </w:r>
    </w:p>
    <w:p w14:paraId="25AF2DF7" w14:textId="77777777" w:rsidR="00A67F21" w:rsidRPr="00B12FE0" w:rsidRDefault="00000000">
      <w:pPr>
        <w:autoSpaceDE w:val="0"/>
        <w:snapToGrid w:val="0"/>
        <w:spacing w:line="360" w:lineRule="auto"/>
        <w:ind w:firstLineChars="200" w:firstLine="480"/>
        <w:contextualSpacing/>
        <w:rPr>
          <w:snapToGrid w:val="0"/>
          <w:color w:val="000000" w:themeColor="text1"/>
          <w:szCs w:val="24"/>
        </w:rPr>
      </w:pPr>
      <w:r w:rsidRPr="00B12FE0">
        <w:rPr>
          <w:snapToGrid w:val="0"/>
          <w:color w:val="000000" w:themeColor="text1"/>
          <w:szCs w:val="24"/>
        </w:rPr>
        <w:t>关注点选取详见图</w:t>
      </w:r>
      <w:r w:rsidRPr="00B12FE0">
        <w:rPr>
          <w:snapToGrid w:val="0"/>
          <w:color w:val="000000" w:themeColor="text1"/>
          <w:szCs w:val="24"/>
        </w:rPr>
        <w:t>11.2.2.1-1</w:t>
      </w:r>
      <w:r w:rsidRPr="00B12FE0">
        <w:rPr>
          <w:snapToGrid w:val="0"/>
          <w:color w:val="000000" w:themeColor="text1"/>
          <w:szCs w:val="24"/>
        </w:rPr>
        <w:t>与图</w:t>
      </w:r>
      <w:r w:rsidRPr="00B12FE0">
        <w:rPr>
          <w:snapToGrid w:val="0"/>
          <w:color w:val="000000" w:themeColor="text1"/>
          <w:szCs w:val="24"/>
        </w:rPr>
        <w:t>11.2.2.1-2</w:t>
      </w:r>
      <w:r w:rsidRPr="00B12FE0">
        <w:rPr>
          <w:snapToGrid w:val="0"/>
          <w:color w:val="000000" w:themeColor="text1"/>
          <w:szCs w:val="24"/>
        </w:rPr>
        <w:t>。</w:t>
      </w:r>
    </w:p>
    <w:p w14:paraId="4C83360B" w14:textId="77777777" w:rsidR="00A67F21" w:rsidRPr="00B12FE0" w:rsidRDefault="00000000">
      <w:pPr>
        <w:adjustRightInd w:val="0"/>
        <w:jc w:val="center"/>
        <w:rPr>
          <w:color w:val="000000" w:themeColor="text1"/>
        </w:rPr>
      </w:pPr>
      <w:r w:rsidRPr="00B12FE0">
        <w:rPr>
          <w:noProof/>
          <w:color w:val="000000" w:themeColor="text1"/>
        </w:rPr>
        <w:lastRenderedPageBreak/>
        <w:drawing>
          <wp:inline distT="0" distB="0" distL="0" distR="0" wp14:anchorId="1F6632F0" wp14:editId="2EBCDD95">
            <wp:extent cx="5732145" cy="3120390"/>
            <wp:effectExtent l="0" t="0" r="1905" b="3810"/>
            <wp:docPr id="2074319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19107" name="图片 1"/>
                    <pic:cNvPicPr>
                      <a:picLocks noChangeAspect="1"/>
                    </pic:cNvPicPr>
                  </pic:nvPicPr>
                  <pic:blipFill>
                    <a:blip r:embed="rId64"/>
                    <a:stretch>
                      <a:fillRect/>
                    </a:stretch>
                  </pic:blipFill>
                  <pic:spPr>
                    <a:xfrm>
                      <a:off x="0" y="0"/>
                      <a:ext cx="5732145" cy="3120390"/>
                    </a:xfrm>
                    <a:prstGeom prst="rect">
                      <a:avLst/>
                    </a:prstGeom>
                  </pic:spPr>
                </pic:pic>
              </a:graphicData>
            </a:graphic>
          </wp:inline>
        </w:drawing>
      </w:r>
    </w:p>
    <w:p w14:paraId="60BD319D" w14:textId="77777777" w:rsidR="00A67F21" w:rsidRPr="00B12FE0" w:rsidRDefault="00000000">
      <w:pPr>
        <w:adjustRightInd w:val="0"/>
        <w:snapToGrid w:val="0"/>
        <w:jc w:val="center"/>
        <w:rPr>
          <w:b/>
          <w:bCs/>
          <w:snapToGrid w:val="0"/>
          <w:color w:val="000000" w:themeColor="text1"/>
          <w:sz w:val="21"/>
          <w:szCs w:val="21"/>
        </w:rPr>
      </w:pPr>
      <w:r w:rsidRPr="00B12FE0">
        <w:rPr>
          <w:b/>
          <w:bCs/>
          <w:snapToGrid w:val="0"/>
          <w:color w:val="000000" w:themeColor="text1"/>
          <w:sz w:val="21"/>
          <w:szCs w:val="21"/>
        </w:rPr>
        <w:t>图</w:t>
      </w:r>
      <w:r w:rsidRPr="00B12FE0">
        <w:rPr>
          <w:b/>
          <w:bCs/>
          <w:snapToGrid w:val="0"/>
          <w:color w:val="000000" w:themeColor="text1"/>
          <w:sz w:val="21"/>
          <w:szCs w:val="21"/>
        </w:rPr>
        <w:t xml:space="preserve">11.2.2.1-1  </w:t>
      </w:r>
      <w:r w:rsidRPr="00B12FE0">
        <w:rPr>
          <w:b/>
          <w:bCs/>
          <w:snapToGrid w:val="0"/>
          <w:color w:val="000000" w:themeColor="text1"/>
          <w:sz w:val="21"/>
          <w:szCs w:val="21"/>
        </w:rPr>
        <w:t>加速器机房平面布置图</w:t>
      </w:r>
    </w:p>
    <w:p w14:paraId="55254A45" w14:textId="77777777" w:rsidR="00A67F21" w:rsidRPr="00B12FE0" w:rsidRDefault="00000000">
      <w:pPr>
        <w:adjustRightInd w:val="0"/>
        <w:jc w:val="center"/>
        <w:rPr>
          <w:b/>
          <w:bCs/>
          <w:snapToGrid w:val="0"/>
          <w:color w:val="000000" w:themeColor="text1"/>
          <w:sz w:val="21"/>
          <w:szCs w:val="21"/>
        </w:rPr>
      </w:pPr>
      <w:r w:rsidRPr="00B12FE0">
        <w:rPr>
          <w:noProof/>
          <w:color w:val="000000" w:themeColor="text1"/>
        </w:rPr>
        <w:drawing>
          <wp:inline distT="0" distB="0" distL="0" distR="0" wp14:anchorId="1E8D600B" wp14:editId="30AA4157">
            <wp:extent cx="4625975" cy="3162300"/>
            <wp:effectExtent l="0" t="0" r="3175" b="0"/>
            <wp:docPr id="336164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64915" name="图片 1"/>
                    <pic:cNvPicPr>
                      <a:picLocks noChangeAspect="1"/>
                    </pic:cNvPicPr>
                  </pic:nvPicPr>
                  <pic:blipFill>
                    <a:blip r:embed="rId65"/>
                    <a:stretch>
                      <a:fillRect/>
                    </a:stretch>
                  </pic:blipFill>
                  <pic:spPr>
                    <a:xfrm>
                      <a:off x="0" y="0"/>
                      <a:ext cx="4633800" cy="3167739"/>
                    </a:xfrm>
                    <a:prstGeom prst="rect">
                      <a:avLst/>
                    </a:prstGeom>
                  </pic:spPr>
                </pic:pic>
              </a:graphicData>
            </a:graphic>
          </wp:inline>
        </w:drawing>
      </w:r>
    </w:p>
    <w:p w14:paraId="129F2B09" w14:textId="77777777" w:rsidR="00A67F21" w:rsidRPr="00B12FE0" w:rsidRDefault="00000000">
      <w:pPr>
        <w:adjustRightInd w:val="0"/>
        <w:jc w:val="center"/>
        <w:rPr>
          <w:b/>
          <w:bCs/>
          <w:snapToGrid w:val="0"/>
          <w:color w:val="000000" w:themeColor="text1"/>
          <w:sz w:val="21"/>
          <w:szCs w:val="21"/>
        </w:rPr>
      </w:pPr>
      <w:r w:rsidRPr="00B12FE0">
        <w:rPr>
          <w:b/>
          <w:bCs/>
          <w:snapToGrid w:val="0"/>
          <w:color w:val="000000" w:themeColor="text1"/>
          <w:sz w:val="21"/>
          <w:szCs w:val="21"/>
        </w:rPr>
        <w:t>图</w:t>
      </w:r>
      <w:r w:rsidRPr="00B12FE0">
        <w:rPr>
          <w:b/>
          <w:bCs/>
          <w:snapToGrid w:val="0"/>
          <w:color w:val="000000" w:themeColor="text1"/>
          <w:sz w:val="21"/>
          <w:szCs w:val="21"/>
        </w:rPr>
        <w:t xml:space="preserve">11.2.2.1-2  </w:t>
      </w:r>
      <w:r w:rsidRPr="00B12FE0">
        <w:rPr>
          <w:b/>
          <w:bCs/>
          <w:snapToGrid w:val="0"/>
          <w:color w:val="000000" w:themeColor="text1"/>
          <w:sz w:val="21"/>
          <w:szCs w:val="21"/>
        </w:rPr>
        <w:t>加速器机房剖面图</w:t>
      </w:r>
    </w:p>
    <w:p w14:paraId="7F42B64E" w14:textId="77777777" w:rsidR="00A67F21" w:rsidRPr="00B12FE0" w:rsidRDefault="00000000">
      <w:pPr>
        <w:adjustRightInd w:val="0"/>
        <w:snapToGrid w:val="0"/>
        <w:spacing w:beforeLines="50" w:before="120"/>
        <w:jc w:val="center"/>
        <w:rPr>
          <w:b/>
          <w:color w:val="000000" w:themeColor="text1"/>
          <w:szCs w:val="21"/>
        </w:rPr>
      </w:pPr>
      <w:r w:rsidRPr="00B12FE0">
        <w:rPr>
          <w:b/>
          <w:color w:val="000000" w:themeColor="text1"/>
          <w:szCs w:val="21"/>
        </w:rPr>
        <w:t>表</w:t>
      </w:r>
      <w:r w:rsidRPr="00B12FE0">
        <w:rPr>
          <w:b/>
          <w:color w:val="000000" w:themeColor="text1"/>
          <w:szCs w:val="21"/>
        </w:rPr>
        <w:t xml:space="preserve">11.2.2.1-3  </w:t>
      </w:r>
      <w:r w:rsidRPr="00B12FE0">
        <w:rPr>
          <w:b/>
          <w:color w:val="000000" w:themeColor="text1"/>
          <w:szCs w:val="21"/>
        </w:rPr>
        <w:t>本项目加速器机房预测关注点位基本情况汇总</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2"/>
        <w:gridCol w:w="909"/>
        <w:gridCol w:w="2941"/>
        <w:gridCol w:w="1199"/>
        <w:gridCol w:w="1282"/>
        <w:gridCol w:w="2012"/>
      </w:tblGrid>
      <w:tr w:rsidR="00A67F21" w:rsidRPr="00B12FE0" w14:paraId="73F0B623" w14:textId="77777777">
        <w:trPr>
          <w:trHeight w:val="340"/>
          <w:jc w:val="center"/>
        </w:trPr>
        <w:tc>
          <w:tcPr>
            <w:tcW w:w="373" w:type="pct"/>
            <w:vMerge w:val="restart"/>
            <w:tcBorders>
              <w:top w:val="single" w:sz="4" w:space="0" w:color="auto"/>
              <w:left w:val="single" w:sz="4" w:space="0" w:color="auto"/>
              <w:bottom w:val="single" w:sz="4" w:space="0" w:color="auto"/>
              <w:right w:val="single" w:sz="4" w:space="0" w:color="auto"/>
            </w:tcBorders>
            <w:vAlign w:val="center"/>
          </w:tcPr>
          <w:p w14:paraId="3D58DDD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机房名称</w:t>
            </w:r>
          </w:p>
        </w:tc>
        <w:tc>
          <w:tcPr>
            <w:tcW w:w="504" w:type="pct"/>
            <w:vMerge w:val="restart"/>
            <w:tcBorders>
              <w:top w:val="single" w:sz="4" w:space="0" w:color="auto"/>
              <w:left w:val="single" w:sz="4" w:space="0" w:color="auto"/>
              <w:bottom w:val="single" w:sz="4" w:space="0" w:color="auto"/>
              <w:right w:val="single" w:sz="4" w:space="0" w:color="auto"/>
            </w:tcBorders>
            <w:vAlign w:val="center"/>
          </w:tcPr>
          <w:p w14:paraId="1542BB8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关注点</w:t>
            </w:r>
          </w:p>
        </w:tc>
        <w:tc>
          <w:tcPr>
            <w:tcW w:w="1631" w:type="pct"/>
            <w:vMerge w:val="restart"/>
            <w:tcBorders>
              <w:top w:val="single" w:sz="4" w:space="0" w:color="auto"/>
              <w:left w:val="single" w:sz="4" w:space="0" w:color="auto"/>
              <w:bottom w:val="single" w:sz="4" w:space="0" w:color="auto"/>
              <w:right w:val="single" w:sz="4" w:space="0" w:color="auto"/>
            </w:tcBorders>
            <w:vAlign w:val="center"/>
          </w:tcPr>
          <w:p w14:paraId="3C1FDAC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点位描述</w:t>
            </w:r>
          </w:p>
        </w:tc>
        <w:tc>
          <w:tcPr>
            <w:tcW w:w="665" w:type="pct"/>
            <w:vMerge w:val="restart"/>
            <w:tcBorders>
              <w:top w:val="single" w:sz="4" w:space="0" w:color="auto"/>
              <w:left w:val="single" w:sz="4" w:space="0" w:color="auto"/>
              <w:bottom w:val="single" w:sz="4" w:space="0" w:color="auto"/>
              <w:right w:val="single" w:sz="4" w:space="0" w:color="auto"/>
            </w:tcBorders>
            <w:vAlign w:val="center"/>
          </w:tcPr>
          <w:p w14:paraId="2D19678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辐射类型</w:t>
            </w:r>
          </w:p>
        </w:tc>
        <w:tc>
          <w:tcPr>
            <w:tcW w:w="711" w:type="pct"/>
            <w:vMerge w:val="restart"/>
            <w:tcBorders>
              <w:top w:val="single" w:sz="4" w:space="0" w:color="auto"/>
              <w:left w:val="single" w:sz="4" w:space="0" w:color="auto"/>
              <w:bottom w:val="single" w:sz="4" w:space="0" w:color="auto"/>
              <w:right w:val="single" w:sz="4" w:space="0" w:color="auto"/>
            </w:tcBorders>
            <w:vAlign w:val="center"/>
          </w:tcPr>
          <w:p w14:paraId="42A662D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居留因子（</w:t>
            </w:r>
            <w:r w:rsidRPr="00B12FE0">
              <w:rPr>
                <w:color w:val="000000" w:themeColor="text1"/>
                <w:sz w:val="21"/>
                <w:szCs w:val="21"/>
              </w:rPr>
              <w:t>T</w:t>
            </w:r>
            <w:r w:rsidRPr="00B12FE0">
              <w:rPr>
                <w:color w:val="000000" w:themeColor="text1"/>
                <w:sz w:val="21"/>
                <w:szCs w:val="21"/>
              </w:rPr>
              <w:t>）</w:t>
            </w:r>
          </w:p>
        </w:tc>
        <w:tc>
          <w:tcPr>
            <w:tcW w:w="1116" w:type="pct"/>
            <w:vMerge w:val="restart"/>
            <w:tcBorders>
              <w:top w:val="single" w:sz="4" w:space="0" w:color="auto"/>
              <w:left w:val="single" w:sz="4" w:space="0" w:color="auto"/>
              <w:bottom w:val="single" w:sz="4" w:space="0" w:color="auto"/>
              <w:right w:val="single" w:sz="4" w:space="0" w:color="auto"/>
            </w:tcBorders>
            <w:vAlign w:val="center"/>
          </w:tcPr>
          <w:p w14:paraId="042AAB0D" w14:textId="77777777" w:rsidR="00A67F21" w:rsidRPr="00B12FE0" w:rsidRDefault="00000000">
            <w:pPr>
              <w:adjustRightInd w:val="0"/>
              <w:snapToGrid w:val="0"/>
              <w:jc w:val="center"/>
              <w:rPr>
                <w:color w:val="000000" w:themeColor="text1"/>
                <w:sz w:val="21"/>
                <w:szCs w:val="21"/>
              </w:rPr>
            </w:pPr>
            <w:r w:rsidRPr="00B12FE0">
              <w:rPr>
                <w:color w:val="000000" w:themeColor="text1"/>
                <w:position w:val="-6"/>
                <w:sz w:val="21"/>
                <w:szCs w:val="21"/>
              </w:rPr>
              <w:t>路径</w:t>
            </w:r>
            <w:r w:rsidRPr="00B12FE0">
              <w:rPr>
                <w:color w:val="000000" w:themeColor="text1"/>
                <w:position w:val="-6"/>
                <w:sz w:val="21"/>
                <w:szCs w:val="21"/>
              </w:rPr>
              <w:t>/</w:t>
            </w:r>
            <w:r w:rsidRPr="00B12FE0">
              <w:rPr>
                <w:color w:val="000000" w:themeColor="text1"/>
                <w:position w:val="-6"/>
                <w:sz w:val="21"/>
                <w:szCs w:val="21"/>
              </w:rPr>
              <w:t>距离</w:t>
            </w:r>
            <w:r w:rsidRPr="00B12FE0">
              <w:rPr>
                <w:color w:val="000000" w:themeColor="text1"/>
                <w:position w:val="-6"/>
                <w:sz w:val="21"/>
                <w:szCs w:val="21"/>
              </w:rPr>
              <w:t>R</w:t>
            </w:r>
            <w:r w:rsidRPr="00B12FE0">
              <w:rPr>
                <w:color w:val="000000" w:themeColor="text1"/>
                <w:position w:val="-6"/>
                <w:sz w:val="21"/>
                <w:szCs w:val="21"/>
              </w:rPr>
              <w:t>（</w:t>
            </w:r>
            <w:r w:rsidRPr="00B12FE0">
              <w:rPr>
                <w:color w:val="000000" w:themeColor="text1"/>
                <w:position w:val="-6"/>
                <w:sz w:val="21"/>
                <w:szCs w:val="21"/>
              </w:rPr>
              <w:t>m</w:t>
            </w:r>
            <w:r w:rsidRPr="00B12FE0">
              <w:rPr>
                <w:color w:val="000000" w:themeColor="text1"/>
                <w:position w:val="-6"/>
                <w:sz w:val="21"/>
                <w:szCs w:val="21"/>
              </w:rPr>
              <w:t>）</w:t>
            </w:r>
          </w:p>
        </w:tc>
      </w:tr>
      <w:tr w:rsidR="00A67F21" w:rsidRPr="00B12FE0" w14:paraId="4DC36C52" w14:textId="77777777">
        <w:trPr>
          <w:trHeight w:val="340"/>
          <w:jc w:val="center"/>
        </w:trPr>
        <w:tc>
          <w:tcPr>
            <w:tcW w:w="373" w:type="pct"/>
            <w:vMerge/>
            <w:tcBorders>
              <w:top w:val="single" w:sz="4" w:space="0" w:color="auto"/>
              <w:left w:val="single" w:sz="4" w:space="0" w:color="auto"/>
              <w:bottom w:val="single" w:sz="4" w:space="0" w:color="auto"/>
              <w:right w:val="single" w:sz="4" w:space="0" w:color="auto"/>
            </w:tcBorders>
            <w:vAlign w:val="center"/>
          </w:tcPr>
          <w:p w14:paraId="74884131" w14:textId="77777777" w:rsidR="00A67F21" w:rsidRPr="00B12FE0" w:rsidRDefault="00A67F21">
            <w:pPr>
              <w:widowControl/>
              <w:adjustRightInd w:val="0"/>
              <w:snapToGrid w:val="0"/>
              <w:jc w:val="center"/>
              <w:rPr>
                <w:color w:val="000000" w:themeColor="text1"/>
                <w:sz w:val="21"/>
                <w:szCs w:val="21"/>
              </w:rPr>
            </w:pPr>
          </w:p>
        </w:tc>
        <w:tc>
          <w:tcPr>
            <w:tcW w:w="504" w:type="pct"/>
            <w:vMerge/>
            <w:tcBorders>
              <w:top w:val="single" w:sz="4" w:space="0" w:color="auto"/>
              <w:left w:val="single" w:sz="4" w:space="0" w:color="auto"/>
              <w:bottom w:val="single" w:sz="4" w:space="0" w:color="auto"/>
              <w:right w:val="single" w:sz="4" w:space="0" w:color="auto"/>
            </w:tcBorders>
            <w:vAlign w:val="center"/>
          </w:tcPr>
          <w:p w14:paraId="2A39E4F8" w14:textId="77777777" w:rsidR="00A67F21" w:rsidRPr="00B12FE0" w:rsidRDefault="00A67F21">
            <w:pPr>
              <w:widowControl/>
              <w:adjustRightInd w:val="0"/>
              <w:snapToGrid w:val="0"/>
              <w:jc w:val="center"/>
              <w:rPr>
                <w:color w:val="000000" w:themeColor="text1"/>
                <w:sz w:val="21"/>
                <w:szCs w:val="21"/>
              </w:rPr>
            </w:pPr>
          </w:p>
        </w:tc>
        <w:tc>
          <w:tcPr>
            <w:tcW w:w="1631" w:type="pct"/>
            <w:vMerge/>
            <w:tcBorders>
              <w:top w:val="single" w:sz="4" w:space="0" w:color="auto"/>
              <w:left w:val="single" w:sz="4" w:space="0" w:color="auto"/>
              <w:bottom w:val="single" w:sz="4" w:space="0" w:color="auto"/>
              <w:right w:val="single" w:sz="4" w:space="0" w:color="auto"/>
            </w:tcBorders>
            <w:vAlign w:val="center"/>
          </w:tcPr>
          <w:p w14:paraId="0A11D4CA" w14:textId="77777777" w:rsidR="00A67F21" w:rsidRPr="00B12FE0" w:rsidRDefault="00A67F21">
            <w:pPr>
              <w:widowControl/>
              <w:adjustRightInd w:val="0"/>
              <w:snapToGrid w:val="0"/>
              <w:jc w:val="center"/>
              <w:rPr>
                <w:color w:val="000000" w:themeColor="text1"/>
                <w:sz w:val="21"/>
                <w:szCs w:val="21"/>
              </w:rPr>
            </w:pPr>
          </w:p>
        </w:tc>
        <w:tc>
          <w:tcPr>
            <w:tcW w:w="665" w:type="pct"/>
            <w:vMerge/>
            <w:tcBorders>
              <w:top w:val="single" w:sz="4" w:space="0" w:color="auto"/>
              <w:left w:val="single" w:sz="4" w:space="0" w:color="auto"/>
              <w:bottom w:val="single" w:sz="4" w:space="0" w:color="auto"/>
              <w:right w:val="single" w:sz="4" w:space="0" w:color="auto"/>
            </w:tcBorders>
            <w:vAlign w:val="center"/>
          </w:tcPr>
          <w:p w14:paraId="691D02ED" w14:textId="77777777" w:rsidR="00A67F21" w:rsidRPr="00B12FE0" w:rsidRDefault="00A67F21">
            <w:pPr>
              <w:widowControl/>
              <w:adjustRightInd w:val="0"/>
              <w:snapToGrid w:val="0"/>
              <w:jc w:val="center"/>
              <w:rPr>
                <w:color w:val="000000" w:themeColor="text1"/>
                <w:sz w:val="21"/>
                <w:szCs w:val="21"/>
              </w:rPr>
            </w:pPr>
          </w:p>
        </w:tc>
        <w:tc>
          <w:tcPr>
            <w:tcW w:w="711" w:type="pct"/>
            <w:vMerge/>
            <w:tcBorders>
              <w:top w:val="single" w:sz="4" w:space="0" w:color="auto"/>
              <w:left w:val="single" w:sz="4" w:space="0" w:color="auto"/>
              <w:bottom w:val="single" w:sz="4" w:space="0" w:color="auto"/>
              <w:right w:val="single" w:sz="4" w:space="0" w:color="auto"/>
            </w:tcBorders>
            <w:vAlign w:val="center"/>
          </w:tcPr>
          <w:p w14:paraId="19062B1F" w14:textId="77777777" w:rsidR="00A67F21" w:rsidRPr="00B12FE0" w:rsidRDefault="00A67F21">
            <w:pPr>
              <w:widowControl/>
              <w:adjustRightInd w:val="0"/>
              <w:snapToGrid w:val="0"/>
              <w:jc w:val="center"/>
              <w:rPr>
                <w:color w:val="000000" w:themeColor="text1"/>
                <w:sz w:val="21"/>
                <w:szCs w:val="21"/>
              </w:rPr>
            </w:pPr>
          </w:p>
        </w:tc>
        <w:tc>
          <w:tcPr>
            <w:tcW w:w="1116" w:type="pct"/>
            <w:vMerge/>
            <w:tcBorders>
              <w:top w:val="single" w:sz="4" w:space="0" w:color="auto"/>
              <w:left w:val="single" w:sz="4" w:space="0" w:color="auto"/>
              <w:bottom w:val="single" w:sz="4" w:space="0" w:color="auto"/>
              <w:right w:val="single" w:sz="4" w:space="0" w:color="auto"/>
            </w:tcBorders>
            <w:vAlign w:val="center"/>
          </w:tcPr>
          <w:p w14:paraId="1CB102C1" w14:textId="77777777" w:rsidR="00A67F21" w:rsidRPr="00B12FE0" w:rsidRDefault="00A67F21">
            <w:pPr>
              <w:widowControl/>
              <w:adjustRightInd w:val="0"/>
              <w:snapToGrid w:val="0"/>
              <w:jc w:val="center"/>
              <w:rPr>
                <w:color w:val="000000" w:themeColor="text1"/>
                <w:sz w:val="21"/>
                <w:szCs w:val="21"/>
              </w:rPr>
            </w:pPr>
          </w:p>
        </w:tc>
      </w:tr>
      <w:tr w:rsidR="00A67F21" w:rsidRPr="00B12FE0" w14:paraId="52156A42" w14:textId="77777777">
        <w:trPr>
          <w:trHeight w:val="340"/>
          <w:jc w:val="center"/>
        </w:trPr>
        <w:tc>
          <w:tcPr>
            <w:tcW w:w="373" w:type="pct"/>
            <w:vMerge w:val="restart"/>
            <w:tcBorders>
              <w:top w:val="single" w:sz="4" w:space="0" w:color="auto"/>
              <w:left w:val="single" w:sz="4" w:space="0" w:color="auto"/>
              <w:right w:val="single" w:sz="4" w:space="0" w:color="auto"/>
            </w:tcBorders>
            <w:vAlign w:val="center"/>
          </w:tcPr>
          <w:p w14:paraId="5D1F673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本项目加速器机房</w:t>
            </w:r>
          </w:p>
        </w:tc>
        <w:tc>
          <w:tcPr>
            <w:tcW w:w="504" w:type="pct"/>
            <w:tcBorders>
              <w:top w:val="single" w:sz="4" w:space="0" w:color="auto"/>
              <w:left w:val="single" w:sz="4" w:space="0" w:color="auto"/>
              <w:bottom w:val="single" w:sz="4" w:space="0" w:color="auto"/>
              <w:right w:val="single" w:sz="4" w:space="0" w:color="auto"/>
            </w:tcBorders>
            <w:vAlign w:val="center"/>
          </w:tcPr>
          <w:p w14:paraId="18C6C81A" w14:textId="77777777" w:rsidR="00A67F21" w:rsidRPr="00B12FE0" w:rsidRDefault="00000000">
            <w:pPr>
              <w:widowControl/>
              <w:adjustRightInd w:val="0"/>
              <w:snapToGrid w:val="0"/>
              <w:jc w:val="center"/>
              <w:rPr>
                <w:color w:val="000000" w:themeColor="text1"/>
                <w:sz w:val="21"/>
                <w:szCs w:val="21"/>
              </w:rPr>
            </w:pPr>
            <w:r w:rsidRPr="00B12FE0">
              <w:rPr>
                <w:rFonts w:hint="eastAsia"/>
                <w:color w:val="000000" w:themeColor="text1"/>
                <w:sz w:val="21"/>
                <w:szCs w:val="21"/>
              </w:rPr>
              <w:t>a</w:t>
            </w:r>
            <w:r w:rsidRPr="00B12FE0">
              <w:rPr>
                <w:rFonts w:hint="eastAsia"/>
                <w:color w:val="000000" w:themeColor="text1"/>
                <w:sz w:val="21"/>
                <w:szCs w:val="21"/>
                <w:vertAlign w:val="subscript"/>
              </w:rPr>
              <w:t>1</w:t>
            </w:r>
          </w:p>
        </w:tc>
        <w:tc>
          <w:tcPr>
            <w:tcW w:w="1631" w:type="pct"/>
            <w:tcBorders>
              <w:top w:val="single" w:sz="4" w:space="0" w:color="auto"/>
              <w:left w:val="single" w:sz="4" w:space="0" w:color="auto"/>
              <w:bottom w:val="single" w:sz="4" w:space="0" w:color="auto"/>
              <w:right w:val="single" w:sz="4" w:space="0" w:color="auto"/>
            </w:tcBorders>
            <w:vAlign w:val="center"/>
          </w:tcPr>
          <w:p w14:paraId="1CF7463E" w14:textId="77777777" w:rsidR="00A67F21" w:rsidRPr="00B12FE0" w:rsidRDefault="00000000">
            <w:pPr>
              <w:adjustRightInd w:val="0"/>
              <w:snapToGrid w:val="0"/>
              <w:ind w:firstLineChars="200" w:firstLine="420"/>
              <w:rPr>
                <w:color w:val="000000" w:themeColor="text1"/>
                <w:sz w:val="21"/>
                <w:szCs w:val="21"/>
              </w:rPr>
            </w:pPr>
            <w:r w:rsidRPr="00B12FE0">
              <w:rPr>
                <w:rFonts w:hint="eastAsia"/>
                <w:color w:val="000000" w:themeColor="text1"/>
                <w:sz w:val="21"/>
                <w:szCs w:val="21"/>
              </w:rPr>
              <w:t>西</w:t>
            </w:r>
            <w:r w:rsidRPr="00B12FE0">
              <w:rPr>
                <w:color w:val="000000" w:themeColor="text1"/>
                <w:sz w:val="21"/>
                <w:szCs w:val="21"/>
              </w:rPr>
              <w:t>墙主屏蔽区外</w:t>
            </w:r>
            <w:r w:rsidRPr="00B12FE0">
              <w:rPr>
                <w:color w:val="000000" w:themeColor="text1"/>
                <w:sz w:val="21"/>
                <w:szCs w:val="21"/>
              </w:rPr>
              <w:t>30cm</w:t>
            </w:r>
          </w:p>
          <w:p w14:paraId="554E8639" w14:textId="77777777" w:rsidR="00A67F21" w:rsidRPr="00B12FE0" w:rsidRDefault="00000000">
            <w:pPr>
              <w:widowControl/>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院内道路及绿化</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40802068" w14:textId="77777777" w:rsidR="00A67F21" w:rsidRPr="00B12FE0" w:rsidRDefault="00000000">
            <w:pPr>
              <w:widowControl/>
              <w:adjustRightInd w:val="0"/>
              <w:snapToGrid w:val="0"/>
              <w:jc w:val="center"/>
              <w:rPr>
                <w:color w:val="000000" w:themeColor="text1"/>
                <w:sz w:val="21"/>
                <w:szCs w:val="21"/>
              </w:rPr>
            </w:pPr>
            <w:r w:rsidRPr="00B12FE0">
              <w:rPr>
                <w:color w:val="000000" w:themeColor="text1"/>
                <w:sz w:val="21"/>
                <w:szCs w:val="21"/>
              </w:rPr>
              <w:t>有用线束</w:t>
            </w:r>
          </w:p>
        </w:tc>
        <w:tc>
          <w:tcPr>
            <w:tcW w:w="711" w:type="pct"/>
            <w:tcBorders>
              <w:top w:val="single" w:sz="4" w:space="0" w:color="auto"/>
              <w:left w:val="single" w:sz="4" w:space="0" w:color="auto"/>
              <w:bottom w:val="single" w:sz="4" w:space="0" w:color="auto"/>
              <w:right w:val="single" w:sz="4" w:space="0" w:color="auto"/>
            </w:tcBorders>
            <w:vAlign w:val="center"/>
          </w:tcPr>
          <w:p w14:paraId="0E681E9C" w14:textId="77777777" w:rsidR="00A67F21" w:rsidRPr="00B12FE0" w:rsidRDefault="00000000">
            <w:pPr>
              <w:widowControl/>
              <w:adjustRightInd w:val="0"/>
              <w:snapToGrid w:val="0"/>
              <w:jc w:val="center"/>
              <w:rPr>
                <w:color w:val="000000" w:themeColor="text1"/>
                <w:sz w:val="21"/>
                <w:szCs w:val="21"/>
              </w:rPr>
            </w:pPr>
            <w:r w:rsidRPr="00B12FE0">
              <w:rPr>
                <w:color w:val="000000" w:themeColor="text1"/>
                <w:kern w:val="0"/>
                <w:sz w:val="21"/>
                <w:szCs w:val="21"/>
                <w:lang w:bidi="ar"/>
              </w:rPr>
              <w:t>1/</w:t>
            </w:r>
            <w:r w:rsidRPr="00B12FE0">
              <w:rPr>
                <w:rFonts w:hint="eastAsia"/>
                <w:color w:val="000000" w:themeColor="text1"/>
                <w:kern w:val="0"/>
                <w:sz w:val="21"/>
                <w:szCs w:val="21"/>
                <w:lang w:bidi="ar"/>
              </w:rPr>
              <w:t>16</w:t>
            </w:r>
          </w:p>
        </w:tc>
        <w:tc>
          <w:tcPr>
            <w:tcW w:w="1116" w:type="pct"/>
            <w:tcBorders>
              <w:top w:val="single" w:sz="4" w:space="0" w:color="auto"/>
              <w:left w:val="single" w:sz="4" w:space="0" w:color="auto"/>
              <w:bottom w:val="single" w:sz="4" w:space="0" w:color="auto"/>
              <w:right w:val="single" w:sz="4" w:space="0" w:color="auto"/>
            </w:tcBorders>
            <w:vAlign w:val="center"/>
          </w:tcPr>
          <w:p w14:paraId="4B6AFE9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2</w:t>
            </w:r>
            <w:r w:rsidRPr="00B12FE0">
              <w:rPr>
                <w:color w:val="000000" w:themeColor="text1"/>
                <w:sz w:val="21"/>
                <w:szCs w:val="21"/>
              </w:rPr>
              <w:t>-o-</w:t>
            </w:r>
            <w:r w:rsidRPr="00B12FE0">
              <w:rPr>
                <w:rFonts w:hint="eastAsia"/>
                <w:color w:val="000000" w:themeColor="text1"/>
                <w:sz w:val="21"/>
                <w:szCs w:val="21"/>
              </w:rPr>
              <w:t>a</w:t>
            </w:r>
          </w:p>
          <w:p w14:paraId="62B4EDD8" w14:textId="77777777" w:rsidR="00A67F21" w:rsidRPr="00B12FE0" w:rsidRDefault="00000000">
            <w:pPr>
              <w:widowControl/>
              <w:adjustRightInd w:val="0"/>
              <w:snapToGrid w:val="0"/>
              <w:jc w:val="center"/>
              <w:rPr>
                <w:color w:val="000000" w:themeColor="text1"/>
                <w:sz w:val="21"/>
                <w:szCs w:val="21"/>
              </w:rPr>
            </w:pPr>
            <w:r w:rsidRPr="00B12FE0">
              <w:rPr>
                <w:rFonts w:hint="eastAsia"/>
                <w:color w:val="000000" w:themeColor="text1"/>
                <w:sz w:val="21"/>
                <w:szCs w:val="21"/>
              </w:rPr>
              <w:t>9.6</w:t>
            </w:r>
          </w:p>
        </w:tc>
      </w:tr>
      <w:tr w:rsidR="00A67F21" w:rsidRPr="00B12FE0" w14:paraId="23CE62DC" w14:textId="77777777">
        <w:trPr>
          <w:trHeight w:val="340"/>
          <w:jc w:val="center"/>
        </w:trPr>
        <w:tc>
          <w:tcPr>
            <w:tcW w:w="373" w:type="pct"/>
            <w:vMerge/>
            <w:tcBorders>
              <w:top w:val="single" w:sz="4" w:space="0" w:color="auto"/>
              <w:left w:val="single" w:sz="4" w:space="0" w:color="auto"/>
              <w:right w:val="single" w:sz="4" w:space="0" w:color="auto"/>
            </w:tcBorders>
            <w:vAlign w:val="center"/>
          </w:tcPr>
          <w:p w14:paraId="1A9A4A4F" w14:textId="77777777" w:rsidR="00A67F21" w:rsidRPr="00B12FE0" w:rsidRDefault="00A67F21">
            <w:pPr>
              <w:adjustRightInd w:val="0"/>
              <w:snapToGrid w:val="0"/>
              <w:jc w:val="center"/>
              <w:rPr>
                <w:color w:val="000000" w:themeColor="text1"/>
                <w:sz w:val="21"/>
                <w:szCs w:val="21"/>
              </w:rPr>
            </w:pPr>
          </w:p>
        </w:tc>
        <w:tc>
          <w:tcPr>
            <w:tcW w:w="504" w:type="pct"/>
            <w:tcBorders>
              <w:top w:val="single" w:sz="4" w:space="0" w:color="auto"/>
              <w:left w:val="single" w:sz="4" w:space="0" w:color="auto"/>
              <w:bottom w:val="single" w:sz="4" w:space="0" w:color="auto"/>
              <w:right w:val="single" w:sz="4" w:space="0" w:color="auto"/>
            </w:tcBorders>
            <w:vAlign w:val="center"/>
          </w:tcPr>
          <w:p w14:paraId="2C21747E" w14:textId="77777777" w:rsidR="00A67F21" w:rsidRPr="00B12FE0" w:rsidRDefault="00000000">
            <w:pPr>
              <w:widowControl/>
              <w:adjustRightInd w:val="0"/>
              <w:snapToGrid w:val="0"/>
              <w:jc w:val="center"/>
              <w:rPr>
                <w:color w:val="000000" w:themeColor="text1"/>
                <w:sz w:val="21"/>
                <w:szCs w:val="21"/>
              </w:rPr>
            </w:pPr>
            <w:r w:rsidRPr="00B12FE0">
              <w:rPr>
                <w:rFonts w:hint="eastAsia"/>
                <w:color w:val="000000" w:themeColor="text1"/>
                <w:sz w:val="21"/>
                <w:szCs w:val="21"/>
              </w:rPr>
              <w:t>a</w:t>
            </w:r>
            <w:r w:rsidRPr="00B12FE0">
              <w:rPr>
                <w:rFonts w:hint="eastAsia"/>
                <w:color w:val="000000" w:themeColor="text1"/>
                <w:sz w:val="21"/>
                <w:szCs w:val="21"/>
                <w:vertAlign w:val="subscript"/>
              </w:rPr>
              <w:t>2</w:t>
            </w:r>
          </w:p>
        </w:tc>
        <w:tc>
          <w:tcPr>
            <w:tcW w:w="1631" w:type="pct"/>
            <w:tcBorders>
              <w:top w:val="single" w:sz="4" w:space="0" w:color="auto"/>
              <w:left w:val="single" w:sz="4" w:space="0" w:color="auto"/>
              <w:bottom w:val="single" w:sz="4" w:space="0" w:color="auto"/>
              <w:right w:val="single" w:sz="4" w:space="0" w:color="auto"/>
            </w:tcBorders>
            <w:vAlign w:val="center"/>
          </w:tcPr>
          <w:p w14:paraId="1A7EDDAB" w14:textId="77777777" w:rsidR="00A67F21" w:rsidRPr="00B12FE0" w:rsidRDefault="00000000">
            <w:pPr>
              <w:adjustRightInd w:val="0"/>
              <w:snapToGrid w:val="0"/>
              <w:ind w:firstLineChars="200" w:firstLine="420"/>
              <w:rPr>
                <w:color w:val="000000" w:themeColor="text1"/>
                <w:sz w:val="21"/>
                <w:szCs w:val="21"/>
              </w:rPr>
            </w:pPr>
            <w:r w:rsidRPr="00B12FE0">
              <w:rPr>
                <w:rFonts w:hint="eastAsia"/>
                <w:color w:val="000000" w:themeColor="text1"/>
                <w:sz w:val="21"/>
                <w:szCs w:val="21"/>
              </w:rPr>
              <w:t>东</w:t>
            </w:r>
            <w:r w:rsidRPr="00B12FE0">
              <w:rPr>
                <w:color w:val="000000" w:themeColor="text1"/>
                <w:sz w:val="21"/>
                <w:szCs w:val="21"/>
              </w:rPr>
              <w:t>墙主屏蔽区外</w:t>
            </w:r>
            <w:r w:rsidRPr="00B12FE0">
              <w:rPr>
                <w:color w:val="000000" w:themeColor="text1"/>
                <w:sz w:val="21"/>
                <w:szCs w:val="21"/>
              </w:rPr>
              <w:t>30cm</w:t>
            </w:r>
          </w:p>
          <w:p w14:paraId="100A9F13" w14:textId="77777777" w:rsidR="00A67F21" w:rsidRPr="00B12FE0" w:rsidRDefault="00000000">
            <w:pPr>
              <w:adjustRightInd w:val="0"/>
              <w:snapToGrid w:val="0"/>
              <w:ind w:firstLineChars="200" w:firstLine="420"/>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后装机机房</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028546FD" w14:textId="77777777" w:rsidR="00A67F21" w:rsidRPr="00B12FE0" w:rsidRDefault="00000000">
            <w:pPr>
              <w:widowControl/>
              <w:adjustRightInd w:val="0"/>
              <w:snapToGrid w:val="0"/>
              <w:jc w:val="center"/>
              <w:rPr>
                <w:color w:val="000000" w:themeColor="text1"/>
                <w:sz w:val="21"/>
                <w:szCs w:val="21"/>
              </w:rPr>
            </w:pPr>
            <w:r w:rsidRPr="00B12FE0">
              <w:rPr>
                <w:color w:val="000000" w:themeColor="text1"/>
                <w:sz w:val="21"/>
                <w:szCs w:val="21"/>
              </w:rPr>
              <w:t>有用线束</w:t>
            </w:r>
          </w:p>
        </w:tc>
        <w:tc>
          <w:tcPr>
            <w:tcW w:w="711" w:type="pct"/>
            <w:tcBorders>
              <w:top w:val="single" w:sz="4" w:space="0" w:color="auto"/>
              <w:left w:val="single" w:sz="4" w:space="0" w:color="auto"/>
              <w:bottom w:val="single" w:sz="4" w:space="0" w:color="auto"/>
              <w:right w:val="single" w:sz="4" w:space="0" w:color="auto"/>
            </w:tcBorders>
            <w:vAlign w:val="center"/>
          </w:tcPr>
          <w:p w14:paraId="4E011C65" w14:textId="77777777" w:rsidR="00A67F21" w:rsidRPr="00B12FE0" w:rsidRDefault="00000000">
            <w:pPr>
              <w:widowControl/>
              <w:adjustRightInd w:val="0"/>
              <w:snapToGrid w:val="0"/>
              <w:jc w:val="center"/>
              <w:rPr>
                <w:color w:val="000000" w:themeColor="text1"/>
                <w:kern w:val="0"/>
                <w:sz w:val="21"/>
                <w:szCs w:val="21"/>
                <w:lang w:bidi="ar"/>
              </w:rPr>
            </w:pPr>
            <w:r w:rsidRPr="00B12FE0">
              <w:rPr>
                <w:rFonts w:hint="eastAsia"/>
                <w:color w:val="000000" w:themeColor="text1"/>
                <w:kern w:val="0"/>
                <w:sz w:val="21"/>
                <w:szCs w:val="21"/>
                <w:lang w:bidi="ar"/>
              </w:rPr>
              <w:t>1/2</w:t>
            </w:r>
          </w:p>
        </w:tc>
        <w:tc>
          <w:tcPr>
            <w:tcW w:w="1116" w:type="pct"/>
            <w:tcBorders>
              <w:top w:val="single" w:sz="4" w:space="0" w:color="auto"/>
              <w:left w:val="single" w:sz="4" w:space="0" w:color="auto"/>
              <w:bottom w:val="single" w:sz="4" w:space="0" w:color="auto"/>
              <w:right w:val="single" w:sz="4" w:space="0" w:color="auto"/>
            </w:tcBorders>
            <w:vAlign w:val="center"/>
          </w:tcPr>
          <w:p w14:paraId="1BAB294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1</w:t>
            </w:r>
            <w:r w:rsidRPr="00B12FE0">
              <w:rPr>
                <w:color w:val="000000" w:themeColor="text1"/>
                <w:sz w:val="21"/>
                <w:szCs w:val="21"/>
              </w:rPr>
              <w:t>-o-</w:t>
            </w:r>
            <w:r w:rsidRPr="00B12FE0">
              <w:rPr>
                <w:rFonts w:hint="eastAsia"/>
                <w:color w:val="000000" w:themeColor="text1"/>
                <w:sz w:val="21"/>
                <w:szCs w:val="21"/>
              </w:rPr>
              <w:t>a</w:t>
            </w:r>
          </w:p>
          <w:p w14:paraId="105B90C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9.6</w:t>
            </w:r>
          </w:p>
        </w:tc>
      </w:tr>
      <w:tr w:rsidR="00A67F21" w:rsidRPr="00B12FE0" w14:paraId="1AD1AEA0" w14:textId="77777777">
        <w:trPr>
          <w:trHeight w:val="340"/>
          <w:jc w:val="center"/>
        </w:trPr>
        <w:tc>
          <w:tcPr>
            <w:tcW w:w="373" w:type="pct"/>
            <w:vMerge/>
            <w:tcBorders>
              <w:left w:val="single" w:sz="4" w:space="0" w:color="auto"/>
              <w:right w:val="single" w:sz="4" w:space="0" w:color="auto"/>
            </w:tcBorders>
            <w:vAlign w:val="center"/>
          </w:tcPr>
          <w:p w14:paraId="3FB364B8" w14:textId="77777777" w:rsidR="00A67F21" w:rsidRPr="00B12FE0" w:rsidRDefault="00A67F21">
            <w:pPr>
              <w:adjustRightInd w:val="0"/>
              <w:snapToGrid w:val="0"/>
              <w:jc w:val="center"/>
              <w:rPr>
                <w:color w:val="000000" w:themeColor="text1"/>
                <w:sz w:val="21"/>
                <w:szCs w:val="21"/>
              </w:rPr>
            </w:pPr>
          </w:p>
        </w:tc>
        <w:tc>
          <w:tcPr>
            <w:tcW w:w="504" w:type="pct"/>
            <w:tcBorders>
              <w:top w:val="single" w:sz="4" w:space="0" w:color="auto"/>
              <w:left w:val="single" w:sz="4" w:space="0" w:color="auto"/>
              <w:bottom w:val="single" w:sz="4" w:space="0" w:color="auto"/>
              <w:right w:val="single" w:sz="4" w:space="0" w:color="auto"/>
            </w:tcBorders>
            <w:vAlign w:val="center"/>
          </w:tcPr>
          <w:p w14:paraId="602BB5A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b</w:t>
            </w:r>
          </w:p>
        </w:tc>
        <w:tc>
          <w:tcPr>
            <w:tcW w:w="1631" w:type="pct"/>
            <w:tcBorders>
              <w:top w:val="single" w:sz="4" w:space="0" w:color="auto"/>
              <w:left w:val="single" w:sz="4" w:space="0" w:color="auto"/>
              <w:bottom w:val="single" w:sz="4" w:space="0" w:color="auto"/>
              <w:right w:val="single" w:sz="4" w:space="0" w:color="auto"/>
            </w:tcBorders>
            <w:vAlign w:val="center"/>
          </w:tcPr>
          <w:p w14:paraId="07E53E43" w14:textId="77777777" w:rsidR="00A67F21" w:rsidRPr="00B12FE0" w:rsidRDefault="00000000">
            <w:pPr>
              <w:adjustRightInd w:val="0"/>
              <w:snapToGrid w:val="0"/>
              <w:ind w:firstLineChars="200" w:firstLine="420"/>
              <w:rPr>
                <w:color w:val="000000" w:themeColor="text1"/>
                <w:sz w:val="21"/>
                <w:szCs w:val="21"/>
              </w:rPr>
            </w:pPr>
            <w:r w:rsidRPr="00B12FE0">
              <w:rPr>
                <w:color w:val="000000" w:themeColor="text1"/>
                <w:sz w:val="21"/>
                <w:szCs w:val="21"/>
              </w:rPr>
              <w:t>东墙主屏蔽区外</w:t>
            </w:r>
            <w:r w:rsidRPr="00B12FE0">
              <w:rPr>
                <w:color w:val="000000" w:themeColor="text1"/>
                <w:sz w:val="21"/>
                <w:szCs w:val="21"/>
              </w:rPr>
              <w:t>30cm</w:t>
            </w:r>
          </w:p>
          <w:p w14:paraId="00923B5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加速器机房</w:t>
            </w:r>
            <w:r w:rsidRPr="00B12FE0">
              <w:rPr>
                <w:rFonts w:hint="eastAsia"/>
                <w:color w:val="000000" w:themeColor="text1"/>
                <w:sz w:val="21"/>
                <w:szCs w:val="21"/>
              </w:rPr>
              <w:t>2</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04FBA93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有用线束</w:t>
            </w:r>
          </w:p>
        </w:tc>
        <w:tc>
          <w:tcPr>
            <w:tcW w:w="711" w:type="pct"/>
            <w:tcBorders>
              <w:top w:val="single" w:sz="4" w:space="0" w:color="auto"/>
              <w:left w:val="single" w:sz="4" w:space="0" w:color="auto"/>
              <w:bottom w:val="single" w:sz="4" w:space="0" w:color="auto"/>
              <w:right w:val="single" w:sz="4" w:space="0" w:color="auto"/>
            </w:tcBorders>
            <w:vAlign w:val="center"/>
          </w:tcPr>
          <w:p w14:paraId="45975B5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kern w:val="0"/>
                <w:sz w:val="21"/>
                <w:szCs w:val="21"/>
                <w:lang w:bidi="ar"/>
              </w:rPr>
              <w:t>1/2</w:t>
            </w:r>
          </w:p>
        </w:tc>
        <w:tc>
          <w:tcPr>
            <w:tcW w:w="1116" w:type="pct"/>
            <w:tcBorders>
              <w:top w:val="single" w:sz="4" w:space="0" w:color="auto"/>
              <w:left w:val="single" w:sz="4" w:space="0" w:color="auto"/>
              <w:bottom w:val="single" w:sz="4" w:space="0" w:color="auto"/>
              <w:right w:val="single" w:sz="4" w:space="0" w:color="auto"/>
            </w:tcBorders>
            <w:vAlign w:val="center"/>
          </w:tcPr>
          <w:p w14:paraId="5A977B4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o</w:t>
            </w:r>
            <w:r w:rsidRPr="00B12FE0">
              <w:rPr>
                <w:color w:val="000000" w:themeColor="text1"/>
                <w:sz w:val="21"/>
                <w:szCs w:val="21"/>
                <w:vertAlign w:val="subscript"/>
              </w:rPr>
              <w:t>1</w:t>
            </w:r>
            <w:r w:rsidRPr="00B12FE0">
              <w:rPr>
                <w:color w:val="000000" w:themeColor="text1"/>
                <w:sz w:val="21"/>
                <w:szCs w:val="21"/>
              </w:rPr>
              <w:t>-o-b</w:t>
            </w:r>
          </w:p>
          <w:p w14:paraId="0060C0D0"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9.6</w:t>
            </w:r>
          </w:p>
        </w:tc>
      </w:tr>
      <w:tr w:rsidR="00A67F21" w:rsidRPr="00B12FE0" w14:paraId="59CE549D" w14:textId="77777777">
        <w:trPr>
          <w:trHeight w:val="369"/>
          <w:jc w:val="center"/>
        </w:trPr>
        <w:tc>
          <w:tcPr>
            <w:tcW w:w="373" w:type="pct"/>
            <w:vMerge/>
            <w:tcBorders>
              <w:left w:val="single" w:sz="4" w:space="0" w:color="auto"/>
              <w:right w:val="single" w:sz="4" w:space="0" w:color="auto"/>
            </w:tcBorders>
            <w:vAlign w:val="center"/>
          </w:tcPr>
          <w:p w14:paraId="7924F967" w14:textId="77777777" w:rsidR="00A67F21" w:rsidRPr="00B12FE0" w:rsidRDefault="00A67F21">
            <w:pPr>
              <w:adjustRightInd w:val="0"/>
              <w:snapToGrid w:val="0"/>
              <w:jc w:val="center"/>
              <w:rPr>
                <w:color w:val="000000" w:themeColor="text1"/>
                <w:sz w:val="21"/>
                <w:szCs w:val="21"/>
              </w:rPr>
            </w:pPr>
          </w:p>
        </w:tc>
        <w:tc>
          <w:tcPr>
            <w:tcW w:w="504" w:type="pct"/>
            <w:vMerge w:val="restart"/>
            <w:tcBorders>
              <w:top w:val="single" w:sz="4" w:space="0" w:color="auto"/>
              <w:left w:val="single" w:sz="4" w:space="0" w:color="auto"/>
              <w:right w:val="single" w:sz="4" w:space="0" w:color="auto"/>
            </w:tcBorders>
            <w:vAlign w:val="center"/>
          </w:tcPr>
          <w:p w14:paraId="1A80E55F"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c</w:t>
            </w:r>
            <w:r w:rsidRPr="00B12FE0">
              <w:rPr>
                <w:rFonts w:hint="eastAsia"/>
                <w:color w:val="000000" w:themeColor="text1"/>
                <w:sz w:val="21"/>
                <w:szCs w:val="21"/>
                <w:vertAlign w:val="subscript"/>
              </w:rPr>
              <w:t>1</w:t>
            </w:r>
          </w:p>
        </w:tc>
        <w:tc>
          <w:tcPr>
            <w:tcW w:w="1631" w:type="pct"/>
            <w:vMerge w:val="restart"/>
            <w:tcBorders>
              <w:top w:val="single" w:sz="4" w:space="0" w:color="auto"/>
              <w:left w:val="single" w:sz="4" w:space="0" w:color="auto"/>
              <w:right w:val="single" w:sz="4" w:space="0" w:color="auto"/>
            </w:tcBorders>
            <w:vAlign w:val="center"/>
          </w:tcPr>
          <w:p w14:paraId="5DEC3837" w14:textId="77777777" w:rsidR="00A67F21" w:rsidRPr="00B12FE0" w:rsidRDefault="00000000">
            <w:pPr>
              <w:adjustRightInd w:val="0"/>
              <w:snapToGrid w:val="0"/>
              <w:ind w:firstLineChars="200" w:firstLine="420"/>
              <w:rPr>
                <w:color w:val="000000" w:themeColor="text1"/>
                <w:sz w:val="21"/>
                <w:szCs w:val="21"/>
              </w:rPr>
            </w:pPr>
            <w:r w:rsidRPr="00B12FE0">
              <w:rPr>
                <w:rFonts w:hint="eastAsia"/>
                <w:color w:val="000000" w:themeColor="text1"/>
                <w:sz w:val="21"/>
                <w:szCs w:val="21"/>
              </w:rPr>
              <w:t>西</w:t>
            </w:r>
            <w:r w:rsidRPr="00B12FE0">
              <w:rPr>
                <w:color w:val="000000" w:themeColor="text1"/>
                <w:sz w:val="21"/>
                <w:szCs w:val="21"/>
              </w:rPr>
              <w:t>墙次屏蔽区外</w:t>
            </w:r>
            <w:r w:rsidRPr="00B12FE0">
              <w:rPr>
                <w:color w:val="000000" w:themeColor="text1"/>
                <w:sz w:val="21"/>
                <w:szCs w:val="21"/>
              </w:rPr>
              <w:t>30cm</w:t>
            </w:r>
          </w:p>
          <w:p w14:paraId="4A35737E" w14:textId="77777777" w:rsidR="00A67F21" w:rsidRPr="00B12FE0" w:rsidRDefault="00000000">
            <w:pPr>
              <w:pStyle w:val="21"/>
              <w:ind w:leftChars="0" w:left="0" w:firstLineChars="0" w:firstLine="0"/>
              <w:jc w:val="center"/>
              <w:rPr>
                <w:color w:val="000000" w:themeColor="text1"/>
                <w:sz w:val="21"/>
                <w:szCs w:val="21"/>
              </w:rPr>
            </w:pPr>
            <w:r w:rsidRPr="00B12FE0">
              <w:rPr>
                <w:color w:val="000000" w:themeColor="text1"/>
                <w:sz w:val="21"/>
                <w:szCs w:val="21"/>
              </w:rPr>
              <w:lastRenderedPageBreak/>
              <w:t>（</w:t>
            </w:r>
            <w:r w:rsidRPr="00B12FE0">
              <w:rPr>
                <w:rFonts w:hint="eastAsia"/>
                <w:color w:val="000000" w:themeColor="text1"/>
                <w:sz w:val="21"/>
                <w:szCs w:val="21"/>
              </w:rPr>
              <w:t>院内道路及绿化</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7F9C769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lastRenderedPageBreak/>
              <w:t>泄漏</w:t>
            </w:r>
          </w:p>
        </w:tc>
        <w:tc>
          <w:tcPr>
            <w:tcW w:w="711" w:type="pct"/>
            <w:vMerge w:val="restart"/>
            <w:tcBorders>
              <w:top w:val="single" w:sz="4" w:space="0" w:color="auto"/>
              <w:left w:val="single" w:sz="4" w:space="0" w:color="auto"/>
              <w:right w:val="single" w:sz="4" w:space="0" w:color="auto"/>
            </w:tcBorders>
            <w:vAlign w:val="center"/>
          </w:tcPr>
          <w:p w14:paraId="307FA767" w14:textId="77777777" w:rsidR="00A67F21" w:rsidRPr="00B12FE0" w:rsidRDefault="00000000">
            <w:pPr>
              <w:adjustRightInd w:val="0"/>
              <w:snapToGrid w:val="0"/>
              <w:jc w:val="center"/>
              <w:rPr>
                <w:color w:val="000000" w:themeColor="text1"/>
                <w:kern w:val="0"/>
                <w:sz w:val="21"/>
                <w:szCs w:val="21"/>
                <w:lang w:bidi="ar"/>
              </w:rPr>
            </w:pPr>
            <w:r w:rsidRPr="00B12FE0">
              <w:rPr>
                <w:color w:val="000000" w:themeColor="text1"/>
                <w:kern w:val="0"/>
                <w:sz w:val="21"/>
                <w:szCs w:val="21"/>
                <w:lang w:bidi="ar"/>
              </w:rPr>
              <w:t>1/</w:t>
            </w:r>
            <w:r w:rsidRPr="00B12FE0">
              <w:rPr>
                <w:rFonts w:hint="eastAsia"/>
                <w:color w:val="000000" w:themeColor="text1"/>
                <w:kern w:val="0"/>
                <w:sz w:val="21"/>
                <w:szCs w:val="21"/>
                <w:lang w:bidi="ar"/>
              </w:rPr>
              <w:t>16</w:t>
            </w:r>
          </w:p>
        </w:tc>
        <w:tc>
          <w:tcPr>
            <w:tcW w:w="1116" w:type="pct"/>
            <w:tcBorders>
              <w:top w:val="single" w:sz="4" w:space="0" w:color="auto"/>
              <w:left w:val="single" w:sz="4" w:space="0" w:color="auto"/>
              <w:right w:val="single" w:sz="4" w:space="0" w:color="auto"/>
            </w:tcBorders>
            <w:vAlign w:val="center"/>
          </w:tcPr>
          <w:p w14:paraId="2C45D4CA"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rFonts w:hint="eastAsia"/>
                <w:color w:val="000000" w:themeColor="text1"/>
                <w:sz w:val="21"/>
                <w:szCs w:val="21"/>
              </w:rPr>
              <w:t>c</w:t>
            </w:r>
            <w:r w:rsidRPr="00B12FE0">
              <w:rPr>
                <w:color w:val="000000" w:themeColor="text1"/>
                <w:sz w:val="21"/>
                <w:szCs w:val="21"/>
                <w:vertAlign w:val="subscript"/>
              </w:rPr>
              <w:t>1</w:t>
            </w:r>
          </w:p>
          <w:p w14:paraId="0E010FF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51211954" w14:textId="77777777">
        <w:trPr>
          <w:trHeight w:val="368"/>
          <w:jc w:val="center"/>
        </w:trPr>
        <w:tc>
          <w:tcPr>
            <w:tcW w:w="373" w:type="pct"/>
            <w:vMerge/>
            <w:tcBorders>
              <w:left w:val="single" w:sz="4" w:space="0" w:color="auto"/>
              <w:right w:val="single" w:sz="4" w:space="0" w:color="auto"/>
            </w:tcBorders>
            <w:vAlign w:val="center"/>
          </w:tcPr>
          <w:p w14:paraId="5B90FBBA" w14:textId="77777777" w:rsidR="00A67F21" w:rsidRPr="00B12FE0" w:rsidRDefault="00A67F21">
            <w:pPr>
              <w:adjustRightInd w:val="0"/>
              <w:snapToGrid w:val="0"/>
              <w:jc w:val="center"/>
              <w:rPr>
                <w:color w:val="000000" w:themeColor="text1"/>
                <w:sz w:val="21"/>
                <w:szCs w:val="21"/>
              </w:rPr>
            </w:pPr>
          </w:p>
        </w:tc>
        <w:tc>
          <w:tcPr>
            <w:tcW w:w="504" w:type="pct"/>
            <w:vMerge/>
            <w:tcBorders>
              <w:left w:val="single" w:sz="4" w:space="0" w:color="auto"/>
              <w:bottom w:val="single" w:sz="4" w:space="0" w:color="auto"/>
              <w:right w:val="single" w:sz="4" w:space="0" w:color="auto"/>
            </w:tcBorders>
            <w:vAlign w:val="center"/>
          </w:tcPr>
          <w:p w14:paraId="6415EF9A"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bottom w:val="single" w:sz="4" w:space="0" w:color="auto"/>
              <w:right w:val="single" w:sz="4" w:space="0" w:color="auto"/>
            </w:tcBorders>
            <w:vAlign w:val="center"/>
          </w:tcPr>
          <w:p w14:paraId="3895C967" w14:textId="77777777" w:rsidR="00A67F21" w:rsidRPr="00B12FE0" w:rsidRDefault="00A67F21">
            <w:pPr>
              <w:adjustRightInd w:val="0"/>
              <w:snapToGrid w:val="0"/>
              <w:ind w:firstLineChars="200" w:firstLine="420"/>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655C41D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1F55E11E" w14:textId="77777777" w:rsidR="00A67F21" w:rsidRPr="00B12FE0" w:rsidRDefault="00A67F21">
            <w:pPr>
              <w:adjustRightInd w:val="0"/>
              <w:snapToGrid w:val="0"/>
              <w:jc w:val="center"/>
              <w:rPr>
                <w:color w:val="000000" w:themeColor="text1"/>
                <w:kern w:val="0"/>
                <w:sz w:val="21"/>
                <w:szCs w:val="21"/>
                <w:lang w:bidi="ar"/>
              </w:rPr>
            </w:pPr>
          </w:p>
        </w:tc>
        <w:tc>
          <w:tcPr>
            <w:tcW w:w="1116" w:type="pct"/>
            <w:tcBorders>
              <w:left w:val="single" w:sz="4" w:space="0" w:color="auto"/>
              <w:bottom w:val="single" w:sz="4" w:space="0" w:color="auto"/>
              <w:right w:val="single" w:sz="4" w:space="0" w:color="auto"/>
            </w:tcBorders>
            <w:vAlign w:val="center"/>
          </w:tcPr>
          <w:p w14:paraId="3CAA0ED8" w14:textId="77777777" w:rsidR="00A67F21" w:rsidRPr="00B12FE0" w:rsidRDefault="00000000">
            <w:pPr>
              <w:adjustRightInd w:val="0"/>
              <w:snapToGrid w:val="0"/>
              <w:jc w:val="center"/>
              <w:rPr>
                <w:color w:val="000000" w:themeColor="text1"/>
                <w:sz w:val="21"/>
                <w:szCs w:val="21"/>
                <w:vertAlign w:val="subscript"/>
              </w:rPr>
            </w:pPr>
            <w:r w:rsidRPr="00B12FE0">
              <w:rPr>
                <w:rFonts w:hint="eastAsia"/>
                <w:color w:val="000000" w:themeColor="text1"/>
                <w:sz w:val="21"/>
                <w:szCs w:val="21"/>
              </w:rPr>
              <w:t>o</w:t>
            </w:r>
            <w:r w:rsidRPr="00B12FE0">
              <w:rPr>
                <w:rFonts w:hint="eastAsia"/>
                <w:color w:val="000000" w:themeColor="text1"/>
                <w:sz w:val="21"/>
                <w:szCs w:val="21"/>
                <w:vertAlign w:val="subscript"/>
              </w:rPr>
              <w:t>2</w:t>
            </w:r>
            <w:r w:rsidRPr="00B12FE0">
              <w:rPr>
                <w:color w:val="000000" w:themeColor="text1"/>
                <w:sz w:val="21"/>
                <w:szCs w:val="21"/>
              </w:rPr>
              <w:t>-o-</w:t>
            </w:r>
            <w:r w:rsidRPr="00B12FE0">
              <w:rPr>
                <w:rFonts w:hint="eastAsia"/>
                <w:color w:val="000000" w:themeColor="text1"/>
                <w:sz w:val="21"/>
                <w:szCs w:val="21"/>
              </w:rPr>
              <w:t>c</w:t>
            </w:r>
            <w:r w:rsidRPr="00B12FE0">
              <w:rPr>
                <w:color w:val="000000" w:themeColor="text1"/>
                <w:sz w:val="21"/>
                <w:szCs w:val="21"/>
                <w:vertAlign w:val="subscript"/>
              </w:rPr>
              <w:t>1</w:t>
            </w:r>
          </w:p>
          <w:p w14:paraId="6308513A"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3C11FBFD" w14:textId="77777777">
        <w:trPr>
          <w:trHeight w:val="302"/>
          <w:jc w:val="center"/>
        </w:trPr>
        <w:tc>
          <w:tcPr>
            <w:tcW w:w="373" w:type="pct"/>
            <w:vMerge/>
            <w:tcBorders>
              <w:left w:val="single" w:sz="4" w:space="0" w:color="auto"/>
              <w:right w:val="single" w:sz="4" w:space="0" w:color="auto"/>
            </w:tcBorders>
            <w:vAlign w:val="center"/>
          </w:tcPr>
          <w:p w14:paraId="7DD57DA2" w14:textId="77777777" w:rsidR="00A67F21" w:rsidRPr="00B12FE0" w:rsidRDefault="00A67F21">
            <w:pPr>
              <w:adjustRightInd w:val="0"/>
              <w:snapToGrid w:val="0"/>
              <w:jc w:val="center"/>
              <w:rPr>
                <w:color w:val="000000" w:themeColor="text1"/>
                <w:sz w:val="21"/>
                <w:szCs w:val="21"/>
              </w:rPr>
            </w:pPr>
          </w:p>
        </w:tc>
        <w:tc>
          <w:tcPr>
            <w:tcW w:w="504" w:type="pct"/>
            <w:vMerge w:val="restart"/>
            <w:tcBorders>
              <w:top w:val="single" w:sz="4" w:space="0" w:color="auto"/>
              <w:left w:val="single" w:sz="4" w:space="0" w:color="auto"/>
              <w:right w:val="single" w:sz="4" w:space="0" w:color="auto"/>
            </w:tcBorders>
            <w:vAlign w:val="center"/>
          </w:tcPr>
          <w:p w14:paraId="0241B30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c</w:t>
            </w:r>
            <w:r w:rsidRPr="00B12FE0">
              <w:rPr>
                <w:rFonts w:hint="eastAsia"/>
                <w:color w:val="000000" w:themeColor="text1"/>
                <w:sz w:val="21"/>
                <w:szCs w:val="21"/>
                <w:vertAlign w:val="subscript"/>
              </w:rPr>
              <w:t>2</w:t>
            </w:r>
          </w:p>
        </w:tc>
        <w:tc>
          <w:tcPr>
            <w:tcW w:w="1631" w:type="pct"/>
            <w:vMerge w:val="restart"/>
            <w:tcBorders>
              <w:top w:val="single" w:sz="4" w:space="0" w:color="auto"/>
              <w:left w:val="single" w:sz="4" w:space="0" w:color="auto"/>
              <w:right w:val="single" w:sz="4" w:space="0" w:color="auto"/>
            </w:tcBorders>
            <w:vAlign w:val="center"/>
          </w:tcPr>
          <w:p w14:paraId="2D7ED5A9" w14:textId="77777777" w:rsidR="00A67F21" w:rsidRPr="00B12FE0" w:rsidRDefault="00000000">
            <w:pPr>
              <w:adjustRightInd w:val="0"/>
              <w:snapToGrid w:val="0"/>
              <w:ind w:firstLineChars="200" w:firstLine="420"/>
              <w:rPr>
                <w:color w:val="000000" w:themeColor="text1"/>
                <w:sz w:val="21"/>
                <w:szCs w:val="21"/>
              </w:rPr>
            </w:pPr>
            <w:r w:rsidRPr="00B12FE0">
              <w:rPr>
                <w:rFonts w:hint="eastAsia"/>
                <w:color w:val="000000" w:themeColor="text1"/>
                <w:sz w:val="21"/>
                <w:szCs w:val="21"/>
              </w:rPr>
              <w:t>西</w:t>
            </w:r>
            <w:r w:rsidRPr="00B12FE0">
              <w:rPr>
                <w:color w:val="000000" w:themeColor="text1"/>
                <w:sz w:val="21"/>
                <w:szCs w:val="21"/>
              </w:rPr>
              <w:t>墙次屏蔽区外</w:t>
            </w:r>
            <w:r w:rsidRPr="00B12FE0">
              <w:rPr>
                <w:color w:val="000000" w:themeColor="text1"/>
                <w:sz w:val="21"/>
                <w:szCs w:val="21"/>
              </w:rPr>
              <w:t>30cm</w:t>
            </w:r>
          </w:p>
          <w:p w14:paraId="75D7895D" w14:textId="77777777" w:rsidR="00A67F21" w:rsidRPr="00B12FE0" w:rsidRDefault="00000000">
            <w:pPr>
              <w:adjustRightInd w:val="0"/>
              <w:snapToGrid w:val="0"/>
              <w:ind w:firstLineChars="200" w:firstLine="420"/>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院内道路及绿化</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68BDA4E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top w:val="single" w:sz="4" w:space="0" w:color="auto"/>
              <w:left w:val="single" w:sz="4" w:space="0" w:color="auto"/>
              <w:right w:val="single" w:sz="4" w:space="0" w:color="auto"/>
            </w:tcBorders>
            <w:vAlign w:val="center"/>
          </w:tcPr>
          <w:p w14:paraId="4E6B1B63" w14:textId="77777777" w:rsidR="00A67F21" w:rsidRPr="00B12FE0" w:rsidRDefault="00000000">
            <w:pPr>
              <w:adjustRightInd w:val="0"/>
              <w:snapToGrid w:val="0"/>
              <w:jc w:val="center"/>
              <w:rPr>
                <w:color w:val="000000" w:themeColor="text1"/>
                <w:kern w:val="0"/>
                <w:sz w:val="21"/>
                <w:szCs w:val="21"/>
                <w:lang w:bidi="ar"/>
              </w:rPr>
            </w:pPr>
            <w:r w:rsidRPr="00B12FE0">
              <w:rPr>
                <w:color w:val="000000" w:themeColor="text1"/>
                <w:kern w:val="0"/>
                <w:sz w:val="21"/>
                <w:szCs w:val="21"/>
                <w:lang w:bidi="ar"/>
              </w:rPr>
              <w:t>1/</w:t>
            </w:r>
            <w:r w:rsidRPr="00B12FE0">
              <w:rPr>
                <w:rFonts w:hint="eastAsia"/>
                <w:color w:val="000000" w:themeColor="text1"/>
                <w:kern w:val="0"/>
                <w:sz w:val="21"/>
                <w:szCs w:val="21"/>
                <w:lang w:bidi="ar"/>
              </w:rPr>
              <w:t>16</w:t>
            </w:r>
          </w:p>
        </w:tc>
        <w:tc>
          <w:tcPr>
            <w:tcW w:w="1116" w:type="pct"/>
            <w:tcBorders>
              <w:top w:val="single" w:sz="4" w:space="0" w:color="auto"/>
              <w:left w:val="single" w:sz="4" w:space="0" w:color="auto"/>
              <w:right w:val="single" w:sz="4" w:space="0" w:color="auto"/>
            </w:tcBorders>
            <w:vAlign w:val="center"/>
          </w:tcPr>
          <w:p w14:paraId="7E068206"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rFonts w:hint="eastAsia"/>
                <w:color w:val="000000" w:themeColor="text1"/>
                <w:sz w:val="21"/>
                <w:szCs w:val="21"/>
              </w:rPr>
              <w:t>c</w:t>
            </w:r>
            <w:r w:rsidRPr="00B12FE0">
              <w:rPr>
                <w:rFonts w:hint="eastAsia"/>
                <w:color w:val="000000" w:themeColor="text1"/>
                <w:sz w:val="21"/>
                <w:szCs w:val="21"/>
                <w:vertAlign w:val="subscript"/>
              </w:rPr>
              <w:t>2</w:t>
            </w:r>
          </w:p>
          <w:p w14:paraId="5AB710F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638D4A5A" w14:textId="77777777">
        <w:trPr>
          <w:trHeight w:val="301"/>
          <w:jc w:val="center"/>
        </w:trPr>
        <w:tc>
          <w:tcPr>
            <w:tcW w:w="373" w:type="pct"/>
            <w:vMerge/>
            <w:tcBorders>
              <w:left w:val="single" w:sz="4" w:space="0" w:color="auto"/>
              <w:right w:val="single" w:sz="4" w:space="0" w:color="auto"/>
            </w:tcBorders>
            <w:vAlign w:val="center"/>
          </w:tcPr>
          <w:p w14:paraId="18FCFE37" w14:textId="77777777" w:rsidR="00A67F21" w:rsidRPr="00B12FE0" w:rsidRDefault="00A67F21">
            <w:pPr>
              <w:adjustRightInd w:val="0"/>
              <w:snapToGrid w:val="0"/>
              <w:jc w:val="center"/>
              <w:rPr>
                <w:color w:val="000000" w:themeColor="text1"/>
                <w:sz w:val="21"/>
                <w:szCs w:val="21"/>
              </w:rPr>
            </w:pPr>
          </w:p>
        </w:tc>
        <w:tc>
          <w:tcPr>
            <w:tcW w:w="504" w:type="pct"/>
            <w:vMerge/>
            <w:tcBorders>
              <w:left w:val="single" w:sz="4" w:space="0" w:color="auto"/>
              <w:bottom w:val="single" w:sz="4" w:space="0" w:color="auto"/>
              <w:right w:val="single" w:sz="4" w:space="0" w:color="auto"/>
            </w:tcBorders>
            <w:vAlign w:val="center"/>
          </w:tcPr>
          <w:p w14:paraId="3CB14DA3"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bottom w:val="single" w:sz="4" w:space="0" w:color="auto"/>
              <w:right w:val="single" w:sz="4" w:space="0" w:color="auto"/>
            </w:tcBorders>
          </w:tcPr>
          <w:p w14:paraId="78FC2EE4" w14:textId="77777777" w:rsidR="00A67F21" w:rsidRPr="00B12FE0" w:rsidRDefault="00A67F21">
            <w:pPr>
              <w:adjustRightInd w:val="0"/>
              <w:snapToGrid w:val="0"/>
              <w:ind w:firstLineChars="200" w:firstLine="420"/>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7D9FE85F"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7AA274FA" w14:textId="77777777" w:rsidR="00A67F21" w:rsidRPr="00B12FE0" w:rsidRDefault="00A67F21">
            <w:pPr>
              <w:adjustRightInd w:val="0"/>
              <w:snapToGrid w:val="0"/>
              <w:jc w:val="center"/>
              <w:rPr>
                <w:color w:val="000000" w:themeColor="text1"/>
                <w:kern w:val="0"/>
                <w:sz w:val="21"/>
                <w:szCs w:val="21"/>
                <w:lang w:bidi="ar"/>
              </w:rPr>
            </w:pPr>
          </w:p>
        </w:tc>
        <w:tc>
          <w:tcPr>
            <w:tcW w:w="1116" w:type="pct"/>
            <w:tcBorders>
              <w:left w:val="single" w:sz="4" w:space="0" w:color="auto"/>
              <w:bottom w:val="single" w:sz="4" w:space="0" w:color="auto"/>
              <w:right w:val="single" w:sz="4" w:space="0" w:color="auto"/>
            </w:tcBorders>
            <w:vAlign w:val="center"/>
          </w:tcPr>
          <w:p w14:paraId="456E8D63" w14:textId="77777777" w:rsidR="00A67F21" w:rsidRPr="00B12FE0" w:rsidRDefault="00000000">
            <w:pPr>
              <w:adjustRightInd w:val="0"/>
              <w:snapToGrid w:val="0"/>
              <w:jc w:val="center"/>
              <w:rPr>
                <w:color w:val="000000" w:themeColor="text1"/>
                <w:sz w:val="21"/>
                <w:szCs w:val="21"/>
                <w:vertAlign w:val="subscript"/>
              </w:rPr>
            </w:pPr>
            <w:r w:rsidRPr="00B12FE0">
              <w:rPr>
                <w:rFonts w:hint="eastAsia"/>
                <w:color w:val="000000" w:themeColor="text1"/>
                <w:sz w:val="21"/>
                <w:szCs w:val="21"/>
              </w:rPr>
              <w:t>o</w:t>
            </w:r>
            <w:r w:rsidRPr="00B12FE0">
              <w:rPr>
                <w:rFonts w:hint="eastAsia"/>
                <w:color w:val="000000" w:themeColor="text1"/>
                <w:sz w:val="21"/>
                <w:szCs w:val="21"/>
                <w:vertAlign w:val="subscript"/>
              </w:rPr>
              <w:t>2</w:t>
            </w:r>
            <w:r w:rsidRPr="00B12FE0">
              <w:rPr>
                <w:color w:val="000000" w:themeColor="text1"/>
                <w:sz w:val="21"/>
                <w:szCs w:val="21"/>
              </w:rPr>
              <w:t>-o-</w:t>
            </w:r>
            <w:r w:rsidRPr="00B12FE0">
              <w:rPr>
                <w:rFonts w:hint="eastAsia"/>
                <w:color w:val="000000" w:themeColor="text1"/>
                <w:sz w:val="21"/>
                <w:szCs w:val="21"/>
              </w:rPr>
              <w:t>c</w:t>
            </w:r>
            <w:r w:rsidRPr="00B12FE0">
              <w:rPr>
                <w:rFonts w:hint="eastAsia"/>
                <w:color w:val="000000" w:themeColor="text1"/>
                <w:sz w:val="21"/>
                <w:szCs w:val="21"/>
                <w:vertAlign w:val="subscript"/>
              </w:rPr>
              <w:t>2</w:t>
            </w:r>
          </w:p>
          <w:p w14:paraId="3D32DE7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276EA6B0" w14:textId="77777777">
        <w:trPr>
          <w:trHeight w:val="301"/>
          <w:jc w:val="center"/>
        </w:trPr>
        <w:tc>
          <w:tcPr>
            <w:tcW w:w="373" w:type="pct"/>
            <w:vMerge/>
            <w:tcBorders>
              <w:left w:val="single" w:sz="4" w:space="0" w:color="auto"/>
              <w:right w:val="single" w:sz="4" w:space="0" w:color="auto"/>
            </w:tcBorders>
            <w:vAlign w:val="center"/>
          </w:tcPr>
          <w:p w14:paraId="3E6A57B4" w14:textId="77777777" w:rsidR="00A67F21" w:rsidRPr="00B12FE0" w:rsidRDefault="00A67F21">
            <w:pPr>
              <w:adjustRightInd w:val="0"/>
              <w:snapToGrid w:val="0"/>
              <w:jc w:val="center"/>
              <w:rPr>
                <w:color w:val="000000" w:themeColor="text1"/>
                <w:sz w:val="21"/>
                <w:szCs w:val="21"/>
              </w:rPr>
            </w:pPr>
          </w:p>
        </w:tc>
        <w:tc>
          <w:tcPr>
            <w:tcW w:w="504" w:type="pct"/>
            <w:vMerge w:val="restart"/>
            <w:tcBorders>
              <w:left w:val="single" w:sz="4" w:space="0" w:color="auto"/>
              <w:right w:val="single" w:sz="4" w:space="0" w:color="auto"/>
            </w:tcBorders>
            <w:vAlign w:val="center"/>
          </w:tcPr>
          <w:p w14:paraId="10B37BA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c</w:t>
            </w:r>
            <w:r w:rsidRPr="00B12FE0">
              <w:rPr>
                <w:rFonts w:hint="eastAsia"/>
                <w:color w:val="000000" w:themeColor="text1"/>
                <w:sz w:val="21"/>
                <w:szCs w:val="21"/>
                <w:vertAlign w:val="subscript"/>
              </w:rPr>
              <w:t>3</w:t>
            </w:r>
          </w:p>
        </w:tc>
        <w:tc>
          <w:tcPr>
            <w:tcW w:w="1631" w:type="pct"/>
            <w:vMerge w:val="restart"/>
            <w:tcBorders>
              <w:left w:val="single" w:sz="4" w:space="0" w:color="auto"/>
              <w:right w:val="single" w:sz="4" w:space="0" w:color="auto"/>
            </w:tcBorders>
            <w:vAlign w:val="center"/>
          </w:tcPr>
          <w:p w14:paraId="509B27F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西</w:t>
            </w:r>
            <w:r w:rsidRPr="00B12FE0">
              <w:rPr>
                <w:color w:val="000000" w:themeColor="text1"/>
                <w:sz w:val="21"/>
                <w:szCs w:val="21"/>
              </w:rPr>
              <w:t>墙次屏蔽区外</w:t>
            </w:r>
            <w:r w:rsidRPr="00B12FE0">
              <w:rPr>
                <w:color w:val="000000" w:themeColor="text1"/>
                <w:sz w:val="21"/>
                <w:szCs w:val="21"/>
              </w:rPr>
              <w:t>30cm</w:t>
            </w:r>
          </w:p>
          <w:p w14:paraId="6B58B2A0" w14:textId="77777777" w:rsidR="00A67F21" w:rsidRPr="00B12FE0" w:rsidRDefault="00000000">
            <w:pPr>
              <w:adjustRightInd w:val="0"/>
              <w:snapToGrid w:val="0"/>
              <w:jc w:val="center"/>
              <w:rPr>
                <w:color w:val="000000" w:themeColor="text1"/>
              </w:rPr>
            </w:pPr>
            <w:r w:rsidRPr="00B12FE0">
              <w:rPr>
                <w:color w:val="000000" w:themeColor="text1"/>
                <w:sz w:val="21"/>
                <w:szCs w:val="21"/>
              </w:rPr>
              <w:t>（</w:t>
            </w:r>
            <w:r w:rsidRPr="00B12FE0">
              <w:rPr>
                <w:rFonts w:hint="eastAsia"/>
                <w:color w:val="000000" w:themeColor="text1"/>
                <w:sz w:val="21"/>
                <w:szCs w:val="21"/>
              </w:rPr>
              <w:t>后装机机房</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44C98F0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left w:val="single" w:sz="4" w:space="0" w:color="auto"/>
              <w:right w:val="single" w:sz="4" w:space="0" w:color="auto"/>
            </w:tcBorders>
            <w:vAlign w:val="center"/>
          </w:tcPr>
          <w:p w14:paraId="0381A0FF" w14:textId="77777777" w:rsidR="00A67F21" w:rsidRPr="00B12FE0" w:rsidRDefault="00000000">
            <w:pPr>
              <w:adjustRightInd w:val="0"/>
              <w:snapToGrid w:val="0"/>
              <w:jc w:val="center"/>
              <w:rPr>
                <w:color w:val="000000" w:themeColor="text1"/>
                <w:kern w:val="0"/>
                <w:sz w:val="21"/>
                <w:szCs w:val="21"/>
                <w:lang w:bidi="ar"/>
              </w:rPr>
            </w:pPr>
            <w:r w:rsidRPr="00B12FE0">
              <w:rPr>
                <w:rFonts w:hint="eastAsia"/>
                <w:color w:val="000000" w:themeColor="text1"/>
                <w:kern w:val="0"/>
                <w:sz w:val="21"/>
                <w:szCs w:val="21"/>
                <w:lang w:bidi="ar"/>
              </w:rPr>
              <w:t>1/2</w:t>
            </w:r>
          </w:p>
        </w:tc>
        <w:tc>
          <w:tcPr>
            <w:tcW w:w="1116" w:type="pct"/>
            <w:tcBorders>
              <w:left w:val="single" w:sz="4" w:space="0" w:color="auto"/>
              <w:bottom w:val="single" w:sz="4" w:space="0" w:color="auto"/>
              <w:right w:val="single" w:sz="4" w:space="0" w:color="auto"/>
            </w:tcBorders>
            <w:vAlign w:val="center"/>
          </w:tcPr>
          <w:p w14:paraId="1F09FDC0"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rFonts w:hint="eastAsia"/>
                <w:color w:val="000000" w:themeColor="text1"/>
                <w:sz w:val="21"/>
                <w:szCs w:val="21"/>
              </w:rPr>
              <w:t xml:space="preserve"> c</w:t>
            </w:r>
            <w:r w:rsidRPr="00B12FE0">
              <w:rPr>
                <w:rFonts w:hint="eastAsia"/>
                <w:color w:val="000000" w:themeColor="text1"/>
                <w:sz w:val="21"/>
                <w:szCs w:val="21"/>
                <w:vertAlign w:val="subscript"/>
              </w:rPr>
              <w:t>3</w:t>
            </w:r>
          </w:p>
          <w:p w14:paraId="5D58818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177A99B8" w14:textId="77777777">
        <w:trPr>
          <w:trHeight w:val="301"/>
          <w:jc w:val="center"/>
        </w:trPr>
        <w:tc>
          <w:tcPr>
            <w:tcW w:w="373" w:type="pct"/>
            <w:vMerge/>
            <w:tcBorders>
              <w:left w:val="single" w:sz="4" w:space="0" w:color="auto"/>
              <w:right w:val="single" w:sz="4" w:space="0" w:color="auto"/>
            </w:tcBorders>
            <w:vAlign w:val="center"/>
          </w:tcPr>
          <w:p w14:paraId="5AFD64B5" w14:textId="77777777" w:rsidR="00A67F21" w:rsidRPr="00B12FE0" w:rsidRDefault="00A67F21">
            <w:pPr>
              <w:adjustRightInd w:val="0"/>
              <w:snapToGrid w:val="0"/>
              <w:jc w:val="center"/>
              <w:rPr>
                <w:color w:val="000000" w:themeColor="text1"/>
                <w:sz w:val="21"/>
                <w:szCs w:val="21"/>
              </w:rPr>
            </w:pPr>
          </w:p>
        </w:tc>
        <w:tc>
          <w:tcPr>
            <w:tcW w:w="504" w:type="pct"/>
            <w:vMerge/>
            <w:tcBorders>
              <w:left w:val="single" w:sz="4" w:space="0" w:color="auto"/>
              <w:bottom w:val="single" w:sz="4" w:space="0" w:color="auto"/>
              <w:right w:val="single" w:sz="4" w:space="0" w:color="auto"/>
            </w:tcBorders>
            <w:vAlign w:val="center"/>
          </w:tcPr>
          <w:p w14:paraId="460D6B7D"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bottom w:val="single" w:sz="4" w:space="0" w:color="auto"/>
              <w:right w:val="single" w:sz="4" w:space="0" w:color="auto"/>
            </w:tcBorders>
            <w:vAlign w:val="center"/>
          </w:tcPr>
          <w:p w14:paraId="0BE17E4B" w14:textId="77777777" w:rsidR="00A67F21" w:rsidRPr="00B12FE0" w:rsidRDefault="00A67F21">
            <w:pPr>
              <w:adjustRightInd w:val="0"/>
              <w:snapToGrid w:val="0"/>
              <w:ind w:firstLineChars="200" w:firstLine="420"/>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64B6BB9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51478079" w14:textId="77777777" w:rsidR="00A67F21" w:rsidRPr="00B12FE0" w:rsidRDefault="00A67F21">
            <w:pPr>
              <w:adjustRightInd w:val="0"/>
              <w:snapToGrid w:val="0"/>
              <w:jc w:val="center"/>
              <w:rPr>
                <w:color w:val="000000" w:themeColor="text1"/>
                <w:kern w:val="0"/>
                <w:sz w:val="21"/>
                <w:szCs w:val="21"/>
                <w:lang w:bidi="ar"/>
              </w:rPr>
            </w:pPr>
          </w:p>
        </w:tc>
        <w:tc>
          <w:tcPr>
            <w:tcW w:w="1116" w:type="pct"/>
            <w:tcBorders>
              <w:left w:val="single" w:sz="4" w:space="0" w:color="auto"/>
              <w:bottom w:val="single" w:sz="4" w:space="0" w:color="auto"/>
              <w:right w:val="single" w:sz="4" w:space="0" w:color="auto"/>
            </w:tcBorders>
            <w:vAlign w:val="center"/>
          </w:tcPr>
          <w:p w14:paraId="3F187C05" w14:textId="77777777" w:rsidR="00A67F21" w:rsidRPr="00B12FE0" w:rsidRDefault="00000000">
            <w:pPr>
              <w:adjustRightInd w:val="0"/>
              <w:snapToGrid w:val="0"/>
              <w:jc w:val="center"/>
              <w:rPr>
                <w:color w:val="000000" w:themeColor="text1"/>
                <w:sz w:val="21"/>
                <w:szCs w:val="21"/>
                <w:vertAlign w:val="subscript"/>
              </w:rPr>
            </w:pPr>
            <w:r w:rsidRPr="00B12FE0">
              <w:rPr>
                <w:rFonts w:hint="eastAsia"/>
                <w:color w:val="000000" w:themeColor="text1"/>
                <w:sz w:val="21"/>
                <w:szCs w:val="21"/>
              </w:rPr>
              <w:t>o</w:t>
            </w:r>
            <w:r w:rsidRPr="00B12FE0">
              <w:rPr>
                <w:rFonts w:hint="eastAsia"/>
                <w:color w:val="000000" w:themeColor="text1"/>
                <w:sz w:val="21"/>
                <w:szCs w:val="21"/>
                <w:vertAlign w:val="subscript"/>
              </w:rPr>
              <w:t>1</w:t>
            </w:r>
            <w:r w:rsidRPr="00B12FE0">
              <w:rPr>
                <w:color w:val="000000" w:themeColor="text1"/>
                <w:sz w:val="21"/>
                <w:szCs w:val="21"/>
              </w:rPr>
              <w:t>-o-</w:t>
            </w:r>
            <w:r w:rsidRPr="00B12FE0">
              <w:rPr>
                <w:rFonts w:hint="eastAsia"/>
                <w:color w:val="000000" w:themeColor="text1"/>
                <w:sz w:val="21"/>
                <w:szCs w:val="21"/>
              </w:rPr>
              <w:t xml:space="preserve"> c</w:t>
            </w:r>
            <w:r w:rsidRPr="00B12FE0">
              <w:rPr>
                <w:rFonts w:hint="eastAsia"/>
                <w:color w:val="000000" w:themeColor="text1"/>
                <w:sz w:val="21"/>
                <w:szCs w:val="21"/>
                <w:vertAlign w:val="subscript"/>
              </w:rPr>
              <w:t>3</w:t>
            </w:r>
          </w:p>
          <w:p w14:paraId="295AB26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59E8CFC9" w14:textId="77777777">
        <w:trPr>
          <w:trHeight w:val="301"/>
          <w:jc w:val="center"/>
        </w:trPr>
        <w:tc>
          <w:tcPr>
            <w:tcW w:w="373" w:type="pct"/>
            <w:vMerge/>
            <w:tcBorders>
              <w:left w:val="single" w:sz="4" w:space="0" w:color="auto"/>
              <w:right w:val="single" w:sz="4" w:space="0" w:color="auto"/>
            </w:tcBorders>
            <w:vAlign w:val="center"/>
          </w:tcPr>
          <w:p w14:paraId="5567F731" w14:textId="77777777" w:rsidR="00A67F21" w:rsidRPr="00B12FE0" w:rsidRDefault="00A67F21">
            <w:pPr>
              <w:adjustRightInd w:val="0"/>
              <w:snapToGrid w:val="0"/>
              <w:jc w:val="center"/>
              <w:rPr>
                <w:color w:val="000000" w:themeColor="text1"/>
                <w:sz w:val="21"/>
                <w:szCs w:val="21"/>
              </w:rPr>
            </w:pPr>
          </w:p>
        </w:tc>
        <w:tc>
          <w:tcPr>
            <w:tcW w:w="504" w:type="pct"/>
            <w:vMerge w:val="restart"/>
            <w:tcBorders>
              <w:left w:val="single" w:sz="4" w:space="0" w:color="auto"/>
              <w:right w:val="single" w:sz="4" w:space="0" w:color="auto"/>
            </w:tcBorders>
            <w:vAlign w:val="center"/>
          </w:tcPr>
          <w:p w14:paraId="1082FA5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c</w:t>
            </w:r>
            <w:r w:rsidRPr="00B12FE0">
              <w:rPr>
                <w:rFonts w:hint="eastAsia"/>
                <w:color w:val="000000" w:themeColor="text1"/>
                <w:sz w:val="21"/>
                <w:szCs w:val="21"/>
                <w:vertAlign w:val="subscript"/>
              </w:rPr>
              <w:t>4</w:t>
            </w:r>
          </w:p>
        </w:tc>
        <w:tc>
          <w:tcPr>
            <w:tcW w:w="1631" w:type="pct"/>
            <w:vMerge w:val="restart"/>
            <w:tcBorders>
              <w:left w:val="single" w:sz="4" w:space="0" w:color="auto"/>
              <w:right w:val="single" w:sz="4" w:space="0" w:color="auto"/>
            </w:tcBorders>
            <w:vAlign w:val="center"/>
          </w:tcPr>
          <w:p w14:paraId="0BCB299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西</w:t>
            </w:r>
            <w:r w:rsidRPr="00B12FE0">
              <w:rPr>
                <w:color w:val="000000" w:themeColor="text1"/>
                <w:sz w:val="21"/>
                <w:szCs w:val="21"/>
              </w:rPr>
              <w:t>墙次屏蔽区外</w:t>
            </w:r>
            <w:r w:rsidRPr="00B12FE0">
              <w:rPr>
                <w:color w:val="000000" w:themeColor="text1"/>
                <w:sz w:val="21"/>
                <w:szCs w:val="21"/>
              </w:rPr>
              <w:t>30cm</w:t>
            </w:r>
          </w:p>
          <w:p w14:paraId="0C071FA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后装机机房</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08554FE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left w:val="single" w:sz="4" w:space="0" w:color="auto"/>
              <w:right w:val="single" w:sz="4" w:space="0" w:color="auto"/>
            </w:tcBorders>
            <w:vAlign w:val="center"/>
          </w:tcPr>
          <w:p w14:paraId="4BE7711D" w14:textId="77777777" w:rsidR="00A67F21" w:rsidRPr="00B12FE0" w:rsidRDefault="00000000">
            <w:pPr>
              <w:adjustRightInd w:val="0"/>
              <w:snapToGrid w:val="0"/>
              <w:jc w:val="center"/>
              <w:rPr>
                <w:color w:val="000000" w:themeColor="text1"/>
                <w:kern w:val="0"/>
                <w:sz w:val="21"/>
                <w:szCs w:val="21"/>
                <w:lang w:bidi="ar"/>
              </w:rPr>
            </w:pPr>
            <w:r w:rsidRPr="00B12FE0">
              <w:rPr>
                <w:rFonts w:hint="eastAsia"/>
                <w:color w:val="000000" w:themeColor="text1"/>
                <w:kern w:val="0"/>
                <w:sz w:val="21"/>
                <w:szCs w:val="21"/>
                <w:lang w:bidi="ar"/>
              </w:rPr>
              <w:t>1/2</w:t>
            </w:r>
          </w:p>
        </w:tc>
        <w:tc>
          <w:tcPr>
            <w:tcW w:w="1116" w:type="pct"/>
            <w:tcBorders>
              <w:left w:val="single" w:sz="4" w:space="0" w:color="auto"/>
              <w:bottom w:val="single" w:sz="4" w:space="0" w:color="auto"/>
              <w:right w:val="single" w:sz="4" w:space="0" w:color="auto"/>
            </w:tcBorders>
            <w:vAlign w:val="center"/>
          </w:tcPr>
          <w:p w14:paraId="08EB4CB7"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rFonts w:hint="eastAsia"/>
                <w:color w:val="000000" w:themeColor="text1"/>
                <w:sz w:val="21"/>
                <w:szCs w:val="21"/>
              </w:rPr>
              <w:t xml:space="preserve"> c</w:t>
            </w:r>
            <w:r w:rsidRPr="00B12FE0">
              <w:rPr>
                <w:rFonts w:hint="eastAsia"/>
                <w:color w:val="000000" w:themeColor="text1"/>
                <w:sz w:val="21"/>
                <w:szCs w:val="21"/>
                <w:vertAlign w:val="subscript"/>
              </w:rPr>
              <w:t>4</w:t>
            </w:r>
          </w:p>
          <w:p w14:paraId="45EAC08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54FF2C2D" w14:textId="77777777">
        <w:trPr>
          <w:trHeight w:val="301"/>
          <w:jc w:val="center"/>
        </w:trPr>
        <w:tc>
          <w:tcPr>
            <w:tcW w:w="373" w:type="pct"/>
            <w:vMerge/>
            <w:tcBorders>
              <w:left w:val="single" w:sz="4" w:space="0" w:color="auto"/>
              <w:right w:val="single" w:sz="4" w:space="0" w:color="auto"/>
            </w:tcBorders>
            <w:vAlign w:val="center"/>
          </w:tcPr>
          <w:p w14:paraId="53783C91" w14:textId="77777777" w:rsidR="00A67F21" w:rsidRPr="00B12FE0" w:rsidRDefault="00A67F21">
            <w:pPr>
              <w:adjustRightInd w:val="0"/>
              <w:snapToGrid w:val="0"/>
              <w:jc w:val="center"/>
              <w:rPr>
                <w:color w:val="000000" w:themeColor="text1"/>
                <w:sz w:val="21"/>
                <w:szCs w:val="21"/>
              </w:rPr>
            </w:pPr>
          </w:p>
        </w:tc>
        <w:tc>
          <w:tcPr>
            <w:tcW w:w="504" w:type="pct"/>
            <w:vMerge/>
            <w:tcBorders>
              <w:left w:val="single" w:sz="4" w:space="0" w:color="auto"/>
              <w:bottom w:val="single" w:sz="4" w:space="0" w:color="auto"/>
              <w:right w:val="single" w:sz="4" w:space="0" w:color="auto"/>
            </w:tcBorders>
            <w:vAlign w:val="center"/>
          </w:tcPr>
          <w:p w14:paraId="46B86BC1"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bottom w:val="single" w:sz="4" w:space="0" w:color="auto"/>
              <w:right w:val="single" w:sz="4" w:space="0" w:color="auto"/>
            </w:tcBorders>
          </w:tcPr>
          <w:p w14:paraId="2C0AA63A" w14:textId="77777777" w:rsidR="00A67F21" w:rsidRPr="00B12FE0" w:rsidRDefault="00A67F21">
            <w:pPr>
              <w:adjustRightInd w:val="0"/>
              <w:snapToGrid w:val="0"/>
              <w:ind w:firstLineChars="200" w:firstLine="420"/>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2F97D41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6EB13C97" w14:textId="77777777" w:rsidR="00A67F21" w:rsidRPr="00B12FE0" w:rsidRDefault="00A67F21">
            <w:pPr>
              <w:adjustRightInd w:val="0"/>
              <w:snapToGrid w:val="0"/>
              <w:jc w:val="center"/>
              <w:rPr>
                <w:color w:val="000000" w:themeColor="text1"/>
                <w:kern w:val="0"/>
                <w:sz w:val="21"/>
                <w:szCs w:val="21"/>
                <w:lang w:bidi="ar"/>
              </w:rPr>
            </w:pPr>
          </w:p>
        </w:tc>
        <w:tc>
          <w:tcPr>
            <w:tcW w:w="1116" w:type="pct"/>
            <w:tcBorders>
              <w:left w:val="single" w:sz="4" w:space="0" w:color="auto"/>
              <w:bottom w:val="single" w:sz="4" w:space="0" w:color="auto"/>
              <w:right w:val="single" w:sz="4" w:space="0" w:color="auto"/>
            </w:tcBorders>
            <w:vAlign w:val="center"/>
          </w:tcPr>
          <w:p w14:paraId="206E67D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1</w:t>
            </w:r>
            <w:r w:rsidRPr="00B12FE0">
              <w:rPr>
                <w:color w:val="000000" w:themeColor="text1"/>
                <w:sz w:val="21"/>
                <w:szCs w:val="21"/>
              </w:rPr>
              <w:t>-o-</w:t>
            </w:r>
            <w:r w:rsidRPr="00B12FE0">
              <w:rPr>
                <w:rFonts w:hint="eastAsia"/>
                <w:color w:val="000000" w:themeColor="text1"/>
                <w:sz w:val="21"/>
                <w:szCs w:val="21"/>
              </w:rPr>
              <w:t xml:space="preserve"> c</w:t>
            </w:r>
            <w:r w:rsidRPr="00B12FE0">
              <w:rPr>
                <w:rFonts w:hint="eastAsia"/>
                <w:color w:val="000000" w:themeColor="text1"/>
                <w:sz w:val="21"/>
                <w:szCs w:val="21"/>
                <w:vertAlign w:val="subscript"/>
              </w:rPr>
              <w:t>4</w:t>
            </w:r>
          </w:p>
          <w:p w14:paraId="46917340"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68503418" w14:textId="77777777">
        <w:trPr>
          <w:trHeight w:val="340"/>
          <w:jc w:val="center"/>
        </w:trPr>
        <w:tc>
          <w:tcPr>
            <w:tcW w:w="373" w:type="pct"/>
            <w:vMerge/>
            <w:tcBorders>
              <w:left w:val="single" w:sz="4" w:space="0" w:color="auto"/>
              <w:right w:val="single" w:sz="4" w:space="0" w:color="auto"/>
            </w:tcBorders>
            <w:vAlign w:val="center"/>
          </w:tcPr>
          <w:p w14:paraId="5C4E9097" w14:textId="77777777" w:rsidR="00A67F21" w:rsidRPr="00B12FE0" w:rsidRDefault="00A67F21">
            <w:pPr>
              <w:widowControl/>
              <w:adjustRightInd w:val="0"/>
              <w:snapToGrid w:val="0"/>
              <w:jc w:val="center"/>
              <w:rPr>
                <w:color w:val="000000" w:themeColor="text1"/>
                <w:sz w:val="21"/>
                <w:szCs w:val="21"/>
              </w:rPr>
            </w:pPr>
          </w:p>
        </w:tc>
        <w:tc>
          <w:tcPr>
            <w:tcW w:w="504" w:type="pct"/>
            <w:vMerge w:val="restart"/>
            <w:tcBorders>
              <w:top w:val="single" w:sz="4" w:space="0" w:color="auto"/>
              <w:left w:val="single" w:sz="4" w:space="0" w:color="auto"/>
              <w:right w:val="single" w:sz="4" w:space="0" w:color="auto"/>
            </w:tcBorders>
            <w:vAlign w:val="center"/>
          </w:tcPr>
          <w:p w14:paraId="4D0DCD5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d</w:t>
            </w:r>
            <w:r w:rsidRPr="00B12FE0">
              <w:rPr>
                <w:color w:val="000000" w:themeColor="text1"/>
                <w:sz w:val="21"/>
                <w:szCs w:val="21"/>
                <w:vertAlign w:val="subscript"/>
              </w:rPr>
              <w:t>1</w:t>
            </w:r>
          </w:p>
        </w:tc>
        <w:tc>
          <w:tcPr>
            <w:tcW w:w="1631" w:type="pct"/>
            <w:vMerge w:val="restart"/>
            <w:tcBorders>
              <w:top w:val="single" w:sz="4" w:space="0" w:color="auto"/>
              <w:left w:val="single" w:sz="4" w:space="0" w:color="auto"/>
              <w:right w:val="single" w:sz="4" w:space="0" w:color="auto"/>
            </w:tcBorders>
            <w:vAlign w:val="center"/>
          </w:tcPr>
          <w:p w14:paraId="258A7BD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东墙次屏蔽区外</w:t>
            </w:r>
            <w:r w:rsidRPr="00B12FE0">
              <w:rPr>
                <w:color w:val="000000" w:themeColor="text1"/>
                <w:sz w:val="21"/>
                <w:szCs w:val="21"/>
              </w:rPr>
              <w:t>30cm</w:t>
            </w:r>
          </w:p>
          <w:p w14:paraId="4CBC96C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加速器机房</w:t>
            </w:r>
            <w:r w:rsidRPr="00B12FE0">
              <w:rPr>
                <w:rFonts w:hint="eastAsia"/>
                <w:color w:val="000000" w:themeColor="text1"/>
                <w:sz w:val="21"/>
                <w:szCs w:val="21"/>
              </w:rPr>
              <w:t>2</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79F2382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top w:val="single" w:sz="4" w:space="0" w:color="auto"/>
              <w:left w:val="single" w:sz="4" w:space="0" w:color="auto"/>
              <w:right w:val="single" w:sz="4" w:space="0" w:color="auto"/>
            </w:tcBorders>
            <w:vAlign w:val="center"/>
          </w:tcPr>
          <w:p w14:paraId="5C61D9E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kern w:val="0"/>
                <w:sz w:val="21"/>
                <w:szCs w:val="21"/>
                <w:lang w:bidi="ar"/>
              </w:rPr>
              <w:t>1/2</w:t>
            </w:r>
          </w:p>
        </w:tc>
        <w:tc>
          <w:tcPr>
            <w:tcW w:w="1116" w:type="pct"/>
            <w:tcBorders>
              <w:top w:val="single" w:sz="4" w:space="0" w:color="auto"/>
              <w:left w:val="single" w:sz="4" w:space="0" w:color="auto"/>
              <w:bottom w:val="single" w:sz="4" w:space="0" w:color="auto"/>
              <w:right w:val="single" w:sz="4" w:space="0" w:color="auto"/>
            </w:tcBorders>
            <w:vAlign w:val="center"/>
          </w:tcPr>
          <w:p w14:paraId="30F279AC"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o-d</w:t>
            </w:r>
            <w:r w:rsidRPr="00B12FE0">
              <w:rPr>
                <w:color w:val="000000" w:themeColor="text1"/>
                <w:sz w:val="21"/>
                <w:szCs w:val="21"/>
                <w:vertAlign w:val="subscript"/>
              </w:rPr>
              <w:t>1</w:t>
            </w:r>
          </w:p>
          <w:p w14:paraId="613278C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322C3513" w14:textId="77777777">
        <w:trPr>
          <w:trHeight w:val="340"/>
          <w:jc w:val="center"/>
        </w:trPr>
        <w:tc>
          <w:tcPr>
            <w:tcW w:w="373" w:type="pct"/>
            <w:vMerge/>
            <w:tcBorders>
              <w:left w:val="single" w:sz="4" w:space="0" w:color="auto"/>
              <w:right w:val="single" w:sz="4" w:space="0" w:color="auto"/>
            </w:tcBorders>
            <w:vAlign w:val="center"/>
          </w:tcPr>
          <w:p w14:paraId="67EB79B2" w14:textId="77777777" w:rsidR="00A67F21" w:rsidRPr="00B12FE0" w:rsidRDefault="00A67F21">
            <w:pPr>
              <w:widowControl/>
              <w:adjustRightInd w:val="0"/>
              <w:snapToGrid w:val="0"/>
              <w:jc w:val="center"/>
              <w:rPr>
                <w:color w:val="000000" w:themeColor="text1"/>
                <w:sz w:val="21"/>
                <w:szCs w:val="21"/>
              </w:rPr>
            </w:pPr>
          </w:p>
        </w:tc>
        <w:tc>
          <w:tcPr>
            <w:tcW w:w="504" w:type="pct"/>
            <w:vMerge/>
            <w:tcBorders>
              <w:left w:val="single" w:sz="4" w:space="0" w:color="auto"/>
              <w:bottom w:val="single" w:sz="4" w:space="0" w:color="auto"/>
              <w:right w:val="single" w:sz="4" w:space="0" w:color="auto"/>
            </w:tcBorders>
            <w:vAlign w:val="center"/>
          </w:tcPr>
          <w:p w14:paraId="4FA8A0F7"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bottom w:val="single" w:sz="4" w:space="0" w:color="auto"/>
              <w:right w:val="single" w:sz="4" w:space="0" w:color="auto"/>
            </w:tcBorders>
            <w:vAlign w:val="center"/>
          </w:tcPr>
          <w:p w14:paraId="133414E0" w14:textId="77777777" w:rsidR="00A67F21" w:rsidRPr="00B12FE0" w:rsidRDefault="00A67F21">
            <w:pPr>
              <w:adjustRightInd w:val="0"/>
              <w:snapToGrid w:val="0"/>
              <w:jc w:val="center"/>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5011937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4D541281" w14:textId="77777777" w:rsidR="00A67F21" w:rsidRPr="00B12FE0" w:rsidRDefault="00A67F21">
            <w:pPr>
              <w:adjustRightInd w:val="0"/>
              <w:snapToGrid w:val="0"/>
              <w:jc w:val="center"/>
              <w:rPr>
                <w:color w:val="000000" w:themeColor="text1"/>
                <w:sz w:val="21"/>
                <w:szCs w:val="21"/>
              </w:rPr>
            </w:pPr>
          </w:p>
        </w:tc>
        <w:tc>
          <w:tcPr>
            <w:tcW w:w="1116" w:type="pct"/>
            <w:tcBorders>
              <w:top w:val="single" w:sz="4" w:space="0" w:color="auto"/>
              <w:left w:val="single" w:sz="4" w:space="0" w:color="auto"/>
              <w:bottom w:val="single" w:sz="4" w:space="0" w:color="auto"/>
              <w:right w:val="single" w:sz="4" w:space="0" w:color="auto"/>
            </w:tcBorders>
            <w:vAlign w:val="center"/>
          </w:tcPr>
          <w:p w14:paraId="2D56AE83"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color w:val="000000" w:themeColor="text1"/>
                <w:sz w:val="21"/>
                <w:szCs w:val="21"/>
                <w:vertAlign w:val="subscript"/>
              </w:rPr>
              <w:t>1</w:t>
            </w:r>
            <w:r w:rsidRPr="00B12FE0">
              <w:rPr>
                <w:color w:val="000000" w:themeColor="text1"/>
                <w:sz w:val="21"/>
                <w:szCs w:val="21"/>
              </w:rPr>
              <w:t>-o-d</w:t>
            </w:r>
            <w:r w:rsidRPr="00B12FE0">
              <w:rPr>
                <w:color w:val="000000" w:themeColor="text1"/>
                <w:sz w:val="21"/>
                <w:szCs w:val="21"/>
                <w:vertAlign w:val="subscript"/>
              </w:rPr>
              <w:t>1</w:t>
            </w:r>
          </w:p>
          <w:p w14:paraId="7171B4A6"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8.98</w:t>
            </w:r>
          </w:p>
        </w:tc>
      </w:tr>
      <w:tr w:rsidR="00A67F21" w:rsidRPr="00B12FE0" w14:paraId="790033E2" w14:textId="77777777">
        <w:trPr>
          <w:trHeight w:val="340"/>
          <w:jc w:val="center"/>
        </w:trPr>
        <w:tc>
          <w:tcPr>
            <w:tcW w:w="373" w:type="pct"/>
            <w:vMerge/>
            <w:tcBorders>
              <w:left w:val="single" w:sz="4" w:space="0" w:color="auto"/>
              <w:right w:val="single" w:sz="4" w:space="0" w:color="auto"/>
            </w:tcBorders>
            <w:vAlign w:val="center"/>
          </w:tcPr>
          <w:p w14:paraId="64FCDB9D" w14:textId="77777777" w:rsidR="00A67F21" w:rsidRPr="00B12FE0" w:rsidRDefault="00A67F21">
            <w:pPr>
              <w:widowControl/>
              <w:adjustRightInd w:val="0"/>
              <w:snapToGrid w:val="0"/>
              <w:jc w:val="center"/>
              <w:rPr>
                <w:color w:val="000000" w:themeColor="text1"/>
                <w:sz w:val="21"/>
                <w:szCs w:val="21"/>
              </w:rPr>
            </w:pPr>
          </w:p>
        </w:tc>
        <w:tc>
          <w:tcPr>
            <w:tcW w:w="504" w:type="pct"/>
            <w:vMerge w:val="restart"/>
            <w:tcBorders>
              <w:left w:val="single" w:sz="4" w:space="0" w:color="auto"/>
              <w:right w:val="single" w:sz="4" w:space="0" w:color="auto"/>
            </w:tcBorders>
            <w:vAlign w:val="center"/>
          </w:tcPr>
          <w:p w14:paraId="5381FB5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d</w:t>
            </w:r>
            <w:r w:rsidRPr="00B12FE0">
              <w:rPr>
                <w:color w:val="000000" w:themeColor="text1"/>
                <w:sz w:val="21"/>
                <w:szCs w:val="21"/>
                <w:vertAlign w:val="subscript"/>
              </w:rPr>
              <w:t>2</w:t>
            </w:r>
          </w:p>
        </w:tc>
        <w:tc>
          <w:tcPr>
            <w:tcW w:w="1631" w:type="pct"/>
            <w:vMerge w:val="restart"/>
            <w:tcBorders>
              <w:left w:val="single" w:sz="4" w:space="0" w:color="auto"/>
              <w:right w:val="single" w:sz="4" w:space="0" w:color="auto"/>
            </w:tcBorders>
            <w:vAlign w:val="center"/>
          </w:tcPr>
          <w:p w14:paraId="3C94024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东墙次屏蔽区外</w:t>
            </w:r>
            <w:r w:rsidRPr="00B12FE0">
              <w:rPr>
                <w:color w:val="000000" w:themeColor="text1"/>
                <w:sz w:val="21"/>
                <w:szCs w:val="21"/>
              </w:rPr>
              <w:t>30cm</w:t>
            </w:r>
          </w:p>
          <w:p w14:paraId="15278D0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加速器机房</w:t>
            </w:r>
            <w:r w:rsidRPr="00B12FE0">
              <w:rPr>
                <w:rFonts w:hint="eastAsia"/>
                <w:color w:val="000000" w:themeColor="text1"/>
                <w:sz w:val="21"/>
                <w:szCs w:val="21"/>
              </w:rPr>
              <w:t>2</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2959DA0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top w:val="single" w:sz="4" w:space="0" w:color="auto"/>
              <w:left w:val="single" w:sz="4" w:space="0" w:color="auto"/>
              <w:right w:val="single" w:sz="4" w:space="0" w:color="auto"/>
            </w:tcBorders>
            <w:vAlign w:val="center"/>
          </w:tcPr>
          <w:p w14:paraId="770CFC0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kern w:val="0"/>
                <w:sz w:val="21"/>
                <w:szCs w:val="21"/>
                <w:lang w:bidi="ar"/>
              </w:rPr>
              <w:t>1/2</w:t>
            </w:r>
          </w:p>
        </w:tc>
        <w:tc>
          <w:tcPr>
            <w:tcW w:w="1116" w:type="pct"/>
            <w:tcBorders>
              <w:top w:val="single" w:sz="4" w:space="0" w:color="auto"/>
              <w:left w:val="single" w:sz="4" w:space="0" w:color="auto"/>
              <w:bottom w:val="single" w:sz="4" w:space="0" w:color="auto"/>
              <w:right w:val="single" w:sz="4" w:space="0" w:color="auto"/>
            </w:tcBorders>
            <w:vAlign w:val="center"/>
          </w:tcPr>
          <w:p w14:paraId="482D8411"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o-d</w:t>
            </w:r>
            <w:r w:rsidRPr="00B12FE0">
              <w:rPr>
                <w:color w:val="000000" w:themeColor="text1"/>
                <w:sz w:val="21"/>
                <w:szCs w:val="21"/>
                <w:vertAlign w:val="subscript"/>
              </w:rPr>
              <w:t>2</w:t>
            </w:r>
          </w:p>
          <w:p w14:paraId="15304CD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8</w:t>
            </w:r>
            <w:r w:rsidRPr="00B12FE0">
              <w:rPr>
                <w:rFonts w:hint="eastAsia"/>
                <w:color w:val="000000" w:themeColor="text1"/>
                <w:sz w:val="21"/>
                <w:szCs w:val="21"/>
              </w:rPr>
              <w:t>.98</w:t>
            </w:r>
          </w:p>
        </w:tc>
      </w:tr>
      <w:tr w:rsidR="00A67F21" w:rsidRPr="00B12FE0" w14:paraId="589D2550" w14:textId="77777777">
        <w:trPr>
          <w:trHeight w:val="340"/>
          <w:jc w:val="center"/>
        </w:trPr>
        <w:tc>
          <w:tcPr>
            <w:tcW w:w="373" w:type="pct"/>
            <w:vMerge/>
            <w:tcBorders>
              <w:left w:val="single" w:sz="4" w:space="0" w:color="auto"/>
              <w:right w:val="single" w:sz="4" w:space="0" w:color="auto"/>
            </w:tcBorders>
            <w:vAlign w:val="center"/>
          </w:tcPr>
          <w:p w14:paraId="17D36143" w14:textId="77777777" w:rsidR="00A67F21" w:rsidRPr="00B12FE0" w:rsidRDefault="00A67F21">
            <w:pPr>
              <w:widowControl/>
              <w:adjustRightInd w:val="0"/>
              <w:snapToGrid w:val="0"/>
              <w:jc w:val="center"/>
              <w:rPr>
                <w:color w:val="000000" w:themeColor="text1"/>
                <w:sz w:val="21"/>
                <w:szCs w:val="21"/>
              </w:rPr>
            </w:pPr>
          </w:p>
        </w:tc>
        <w:tc>
          <w:tcPr>
            <w:tcW w:w="504" w:type="pct"/>
            <w:vMerge/>
            <w:tcBorders>
              <w:left w:val="single" w:sz="4" w:space="0" w:color="auto"/>
              <w:bottom w:val="single" w:sz="4" w:space="0" w:color="auto"/>
              <w:right w:val="single" w:sz="4" w:space="0" w:color="auto"/>
            </w:tcBorders>
            <w:vAlign w:val="center"/>
          </w:tcPr>
          <w:p w14:paraId="2346FA12"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bottom w:val="single" w:sz="4" w:space="0" w:color="auto"/>
              <w:right w:val="single" w:sz="4" w:space="0" w:color="auto"/>
            </w:tcBorders>
            <w:vAlign w:val="center"/>
          </w:tcPr>
          <w:p w14:paraId="74F436E3" w14:textId="77777777" w:rsidR="00A67F21" w:rsidRPr="00B12FE0" w:rsidRDefault="00A67F21">
            <w:pPr>
              <w:adjustRightInd w:val="0"/>
              <w:snapToGrid w:val="0"/>
              <w:jc w:val="center"/>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57EAA51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5FCB47BA" w14:textId="77777777" w:rsidR="00A67F21" w:rsidRPr="00B12FE0" w:rsidRDefault="00A67F21">
            <w:pPr>
              <w:adjustRightInd w:val="0"/>
              <w:snapToGrid w:val="0"/>
              <w:jc w:val="center"/>
              <w:rPr>
                <w:color w:val="000000" w:themeColor="text1"/>
                <w:sz w:val="21"/>
                <w:szCs w:val="21"/>
              </w:rPr>
            </w:pPr>
          </w:p>
        </w:tc>
        <w:tc>
          <w:tcPr>
            <w:tcW w:w="1116" w:type="pct"/>
            <w:tcBorders>
              <w:top w:val="single" w:sz="4" w:space="0" w:color="auto"/>
              <w:left w:val="single" w:sz="4" w:space="0" w:color="auto"/>
              <w:bottom w:val="single" w:sz="4" w:space="0" w:color="auto"/>
              <w:right w:val="single" w:sz="4" w:space="0" w:color="auto"/>
            </w:tcBorders>
            <w:vAlign w:val="center"/>
          </w:tcPr>
          <w:p w14:paraId="148BA083"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color w:val="000000" w:themeColor="text1"/>
                <w:sz w:val="21"/>
                <w:szCs w:val="21"/>
                <w:vertAlign w:val="subscript"/>
              </w:rPr>
              <w:t>1</w:t>
            </w:r>
            <w:r w:rsidRPr="00B12FE0">
              <w:rPr>
                <w:color w:val="000000" w:themeColor="text1"/>
                <w:sz w:val="21"/>
                <w:szCs w:val="21"/>
              </w:rPr>
              <w:t>-o-d</w:t>
            </w:r>
            <w:r w:rsidRPr="00B12FE0">
              <w:rPr>
                <w:color w:val="000000" w:themeColor="text1"/>
                <w:sz w:val="21"/>
                <w:szCs w:val="21"/>
                <w:vertAlign w:val="subscript"/>
              </w:rPr>
              <w:t>2</w:t>
            </w:r>
          </w:p>
          <w:p w14:paraId="4B99715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8</w:t>
            </w:r>
            <w:r w:rsidRPr="00B12FE0">
              <w:rPr>
                <w:rFonts w:hint="eastAsia"/>
                <w:color w:val="000000" w:themeColor="text1"/>
                <w:sz w:val="21"/>
                <w:szCs w:val="21"/>
              </w:rPr>
              <w:t>.98</w:t>
            </w:r>
          </w:p>
        </w:tc>
      </w:tr>
      <w:tr w:rsidR="00A67F21" w:rsidRPr="00B12FE0" w14:paraId="09C41B0B" w14:textId="77777777">
        <w:trPr>
          <w:trHeight w:val="340"/>
          <w:jc w:val="center"/>
        </w:trPr>
        <w:tc>
          <w:tcPr>
            <w:tcW w:w="373" w:type="pct"/>
            <w:vMerge/>
            <w:tcBorders>
              <w:left w:val="single" w:sz="4" w:space="0" w:color="auto"/>
              <w:right w:val="single" w:sz="4" w:space="0" w:color="auto"/>
            </w:tcBorders>
            <w:vAlign w:val="center"/>
          </w:tcPr>
          <w:p w14:paraId="1FAD55B1" w14:textId="77777777" w:rsidR="00A67F21" w:rsidRPr="00B12FE0" w:rsidRDefault="00A67F21">
            <w:pPr>
              <w:widowControl/>
              <w:adjustRightInd w:val="0"/>
              <w:snapToGrid w:val="0"/>
              <w:jc w:val="center"/>
              <w:rPr>
                <w:color w:val="000000" w:themeColor="text1"/>
                <w:sz w:val="21"/>
                <w:szCs w:val="21"/>
              </w:rPr>
            </w:pPr>
          </w:p>
        </w:tc>
        <w:tc>
          <w:tcPr>
            <w:tcW w:w="504" w:type="pct"/>
            <w:tcBorders>
              <w:left w:val="single" w:sz="4" w:space="0" w:color="auto"/>
              <w:right w:val="single" w:sz="4" w:space="0" w:color="auto"/>
            </w:tcBorders>
            <w:vAlign w:val="center"/>
          </w:tcPr>
          <w:p w14:paraId="57BD22C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e</w:t>
            </w:r>
            <w:r w:rsidRPr="00B12FE0">
              <w:rPr>
                <w:rFonts w:hint="eastAsia"/>
                <w:color w:val="000000" w:themeColor="text1"/>
                <w:sz w:val="21"/>
                <w:szCs w:val="21"/>
                <w:vertAlign w:val="subscript"/>
              </w:rPr>
              <w:t>1</w:t>
            </w:r>
            <w:r w:rsidRPr="00B12FE0">
              <w:rPr>
                <w:rFonts w:hint="eastAsia"/>
                <w:color w:val="000000" w:themeColor="text1"/>
                <w:sz w:val="21"/>
                <w:szCs w:val="21"/>
              </w:rPr>
              <w:t>/e</w:t>
            </w:r>
            <w:r w:rsidRPr="00B12FE0">
              <w:rPr>
                <w:rFonts w:hint="eastAsia"/>
                <w:color w:val="000000" w:themeColor="text1"/>
                <w:sz w:val="21"/>
                <w:szCs w:val="21"/>
                <w:vertAlign w:val="subscript"/>
              </w:rPr>
              <w:t>2</w:t>
            </w:r>
          </w:p>
        </w:tc>
        <w:tc>
          <w:tcPr>
            <w:tcW w:w="1631" w:type="pct"/>
            <w:tcBorders>
              <w:left w:val="single" w:sz="4" w:space="0" w:color="auto"/>
              <w:right w:val="single" w:sz="4" w:space="0" w:color="auto"/>
            </w:tcBorders>
            <w:vAlign w:val="center"/>
          </w:tcPr>
          <w:p w14:paraId="0DECA821"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北</w:t>
            </w:r>
            <w:r w:rsidRPr="00B12FE0">
              <w:rPr>
                <w:color w:val="000000" w:themeColor="text1"/>
                <w:sz w:val="21"/>
                <w:szCs w:val="21"/>
              </w:rPr>
              <w:t>墙次屏蔽区外</w:t>
            </w:r>
            <w:r w:rsidRPr="00B12FE0">
              <w:rPr>
                <w:color w:val="000000" w:themeColor="text1"/>
                <w:sz w:val="21"/>
                <w:szCs w:val="21"/>
              </w:rPr>
              <w:t>30cm</w:t>
            </w:r>
          </w:p>
          <w:p w14:paraId="4AFAC06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（院内道路及绿化）</w:t>
            </w:r>
          </w:p>
        </w:tc>
        <w:tc>
          <w:tcPr>
            <w:tcW w:w="665" w:type="pct"/>
            <w:tcBorders>
              <w:top w:val="single" w:sz="4" w:space="0" w:color="auto"/>
              <w:left w:val="single" w:sz="4" w:space="0" w:color="auto"/>
              <w:bottom w:val="single" w:sz="4" w:space="0" w:color="auto"/>
              <w:right w:val="single" w:sz="4" w:space="0" w:color="auto"/>
            </w:tcBorders>
            <w:vAlign w:val="center"/>
          </w:tcPr>
          <w:p w14:paraId="10B4BF3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tcBorders>
              <w:left w:val="single" w:sz="4" w:space="0" w:color="auto"/>
              <w:right w:val="single" w:sz="4" w:space="0" w:color="auto"/>
            </w:tcBorders>
            <w:vAlign w:val="center"/>
          </w:tcPr>
          <w:p w14:paraId="011740A6" w14:textId="77777777" w:rsidR="00A67F21" w:rsidRPr="00B12FE0" w:rsidRDefault="00000000">
            <w:pPr>
              <w:adjustRightInd w:val="0"/>
              <w:snapToGrid w:val="0"/>
              <w:jc w:val="center"/>
              <w:rPr>
                <w:color w:val="000000" w:themeColor="text1"/>
                <w:sz w:val="21"/>
                <w:szCs w:val="21"/>
              </w:rPr>
            </w:pPr>
            <w:r w:rsidRPr="00B12FE0">
              <w:rPr>
                <w:color w:val="000000" w:themeColor="text1"/>
                <w:kern w:val="0"/>
                <w:sz w:val="21"/>
                <w:szCs w:val="21"/>
                <w:lang w:bidi="ar"/>
              </w:rPr>
              <w:t>1/</w:t>
            </w:r>
            <w:r w:rsidRPr="00B12FE0">
              <w:rPr>
                <w:rFonts w:hint="eastAsia"/>
                <w:color w:val="000000" w:themeColor="text1"/>
                <w:kern w:val="0"/>
                <w:sz w:val="21"/>
                <w:szCs w:val="21"/>
                <w:lang w:bidi="ar"/>
              </w:rPr>
              <w:t>16</w:t>
            </w:r>
          </w:p>
        </w:tc>
        <w:tc>
          <w:tcPr>
            <w:tcW w:w="1116" w:type="pct"/>
            <w:tcBorders>
              <w:top w:val="single" w:sz="4" w:space="0" w:color="auto"/>
              <w:left w:val="single" w:sz="4" w:space="0" w:color="auto"/>
              <w:bottom w:val="single" w:sz="4" w:space="0" w:color="auto"/>
              <w:right w:val="single" w:sz="4" w:space="0" w:color="auto"/>
            </w:tcBorders>
            <w:vAlign w:val="center"/>
          </w:tcPr>
          <w:p w14:paraId="7417DA3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o-</w:t>
            </w:r>
            <w:r w:rsidRPr="00B12FE0">
              <w:rPr>
                <w:rFonts w:hint="eastAsia"/>
                <w:color w:val="000000" w:themeColor="text1"/>
                <w:sz w:val="21"/>
                <w:szCs w:val="21"/>
              </w:rPr>
              <w:t xml:space="preserve"> e</w:t>
            </w:r>
            <w:r w:rsidRPr="00B12FE0">
              <w:rPr>
                <w:rFonts w:hint="eastAsia"/>
                <w:color w:val="000000" w:themeColor="text1"/>
                <w:sz w:val="21"/>
                <w:szCs w:val="21"/>
                <w:vertAlign w:val="subscript"/>
              </w:rPr>
              <w:t>1</w:t>
            </w:r>
            <w:r w:rsidRPr="00B12FE0">
              <w:rPr>
                <w:rFonts w:hint="eastAsia"/>
                <w:color w:val="000000" w:themeColor="text1"/>
                <w:sz w:val="21"/>
                <w:szCs w:val="21"/>
              </w:rPr>
              <w:t>/e</w:t>
            </w:r>
            <w:r w:rsidRPr="00B12FE0">
              <w:rPr>
                <w:rFonts w:hint="eastAsia"/>
                <w:color w:val="000000" w:themeColor="text1"/>
                <w:sz w:val="21"/>
                <w:szCs w:val="21"/>
                <w:vertAlign w:val="subscript"/>
              </w:rPr>
              <w:t>2</w:t>
            </w:r>
          </w:p>
          <w:p w14:paraId="521BA63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6.05</w:t>
            </w:r>
          </w:p>
        </w:tc>
      </w:tr>
      <w:tr w:rsidR="00A67F21" w:rsidRPr="00B12FE0" w14:paraId="326603A6" w14:textId="77777777">
        <w:trPr>
          <w:trHeight w:val="340"/>
          <w:jc w:val="center"/>
        </w:trPr>
        <w:tc>
          <w:tcPr>
            <w:tcW w:w="373" w:type="pct"/>
            <w:vMerge/>
            <w:tcBorders>
              <w:left w:val="single" w:sz="4" w:space="0" w:color="auto"/>
              <w:right w:val="single" w:sz="4" w:space="0" w:color="auto"/>
            </w:tcBorders>
            <w:vAlign w:val="center"/>
          </w:tcPr>
          <w:p w14:paraId="434E3C07" w14:textId="77777777" w:rsidR="00A67F21" w:rsidRPr="00B12FE0" w:rsidRDefault="00A67F21">
            <w:pPr>
              <w:widowControl/>
              <w:adjustRightInd w:val="0"/>
              <w:snapToGrid w:val="0"/>
              <w:jc w:val="center"/>
              <w:rPr>
                <w:color w:val="000000" w:themeColor="text1"/>
                <w:sz w:val="21"/>
                <w:szCs w:val="21"/>
              </w:rPr>
            </w:pPr>
          </w:p>
        </w:tc>
        <w:tc>
          <w:tcPr>
            <w:tcW w:w="504" w:type="pct"/>
            <w:tcBorders>
              <w:top w:val="single" w:sz="4" w:space="0" w:color="auto"/>
              <w:left w:val="single" w:sz="4" w:space="0" w:color="auto"/>
              <w:bottom w:val="single" w:sz="4" w:space="0" w:color="auto"/>
              <w:right w:val="single" w:sz="4" w:space="0" w:color="auto"/>
            </w:tcBorders>
            <w:vAlign w:val="center"/>
          </w:tcPr>
          <w:p w14:paraId="2B61B9E0"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f</w:t>
            </w:r>
            <w:r w:rsidRPr="00B12FE0">
              <w:rPr>
                <w:rFonts w:hint="eastAsia"/>
                <w:color w:val="000000" w:themeColor="text1"/>
                <w:sz w:val="21"/>
                <w:szCs w:val="21"/>
                <w:vertAlign w:val="subscript"/>
              </w:rPr>
              <w:t>1</w:t>
            </w:r>
            <w:r w:rsidRPr="00B12FE0">
              <w:rPr>
                <w:rFonts w:hint="eastAsia"/>
                <w:color w:val="000000" w:themeColor="text1"/>
                <w:sz w:val="21"/>
                <w:szCs w:val="21"/>
              </w:rPr>
              <w:t>/f</w:t>
            </w:r>
            <w:r w:rsidRPr="00B12FE0">
              <w:rPr>
                <w:rFonts w:hint="eastAsia"/>
                <w:color w:val="000000" w:themeColor="text1"/>
                <w:sz w:val="21"/>
                <w:szCs w:val="21"/>
                <w:vertAlign w:val="subscript"/>
              </w:rPr>
              <w:t>2</w:t>
            </w:r>
          </w:p>
        </w:tc>
        <w:tc>
          <w:tcPr>
            <w:tcW w:w="1631" w:type="pct"/>
            <w:tcBorders>
              <w:top w:val="single" w:sz="4" w:space="0" w:color="auto"/>
              <w:left w:val="single" w:sz="4" w:space="0" w:color="auto"/>
              <w:bottom w:val="single" w:sz="4" w:space="0" w:color="auto"/>
              <w:right w:val="single" w:sz="4" w:space="0" w:color="auto"/>
            </w:tcBorders>
            <w:vAlign w:val="center"/>
          </w:tcPr>
          <w:p w14:paraId="5F249E5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迷路外墙外</w:t>
            </w:r>
            <w:r w:rsidRPr="00B12FE0">
              <w:rPr>
                <w:color w:val="000000" w:themeColor="text1"/>
                <w:sz w:val="21"/>
                <w:szCs w:val="21"/>
              </w:rPr>
              <w:t>30cm</w:t>
            </w:r>
          </w:p>
          <w:p w14:paraId="1ADB52E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（控制室）</w:t>
            </w:r>
          </w:p>
        </w:tc>
        <w:tc>
          <w:tcPr>
            <w:tcW w:w="665" w:type="pct"/>
            <w:tcBorders>
              <w:top w:val="single" w:sz="4" w:space="0" w:color="auto"/>
              <w:left w:val="single" w:sz="4" w:space="0" w:color="auto"/>
              <w:bottom w:val="single" w:sz="4" w:space="0" w:color="auto"/>
              <w:right w:val="single" w:sz="4" w:space="0" w:color="auto"/>
            </w:tcBorders>
            <w:vAlign w:val="center"/>
          </w:tcPr>
          <w:p w14:paraId="6B079BC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tcBorders>
              <w:top w:val="single" w:sz="4" w:space="0" w:color="auto"/>
              <w:left w:val="single" w:sz="4" w:space="0" w:color="auto"/>
              <w:bottom w:val="single" w:sz="4" w:space="0" w:color="auto"/>
              <w:right w:val="single" w:sz="4" w:space="0" w:color="auto"/>
            </w:tcBorders>
            <w:vAlign w:val="center"/>
          </w:tcPr>
          <w:p w14:paraId="1DF07F9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w:t>
            </w:r>
          </w:p>
        </w:tc>
        <w:tc>
          <w:tcPr>
            <w:tcW w:w="1116" w:type="pct"/>
            <w:tcBorders>
              <w:top w:val="single" w:sz="4" w:space="0" w:color="auto"/>
              <w:left w:val="single" w:sz="4" w:space="0" w:color="auto"/>
              <w:bottom w:val="single" w:sz="4" w:space="0" w:color="auto"/>
              <w:right w:val="single" w:sz="4" w:space="0" w:color="auto"/>
            </w:tcBorders>
            <w:vAlign w:val="center"/>
          </w:tcPr>
          <w:p w14:paraId="2E5C347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o-</w:t>
            </w:r>
            <w:r w:rsidRPr="00B12FE0">
              <w:rPr>
                <w:rFonts w:hint="eastAsia"/>
                <w:color w:val="000000" w:themeColor="text1"/>
                <w:sz w:val="21"/>
                <w:szCs w:val="21"/>
              </w:rPr>
              <w:t xml:space="preserve"> f</w:t>
            </w:r>
            <w:r w:rsidRPr="00B12FE0">
              <w:rPr>
                <w:rFonts w:hint="eastAsia"/>
                <w:color w:val="000000" w:themeColor="text1"/>
                <w:sz w:val="21"/>
                <w:szCs w:val="21"/>
                <w:vertAlign w:val="subscript"/>
              </w:rPr>
              <w:t>1</w:t>
            </w:r>
            <w:r w:rsidRPr="00B12FE0">
              <w:rPr>
                <w:rFonts w:hint="eastAsia"/>
                <w:color w:val="000000" w:themeColor="text1"/>
                <w:sz w:val="21"/>
                <w:szCs w:val="21"/>
              </w:rPr>
              <w:t>/f</w:t>
            </w:r>
            <w:r w:rsidRPr="00B12FE0">
              <w:rPr>
                <w:rFonts w:hint="eastAsia"/>
                <w:color w:val="000000" w:themeColor="text1"/>
                <w:sz w:val="21"/>
                <w:szCs w:val="21"/>
                <w:vertAlign w:val="subscript"/>
              </w:rPr>
              <w:t>2</w:t>
            </w:r>
          </w:p>
          <w:p w14:paraId="2255032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9</w:t>
            </w:r>
            <w:r w:rsidRPr="00B12FE0">
              <w:rPr>
                <w:rFonts w:hint="eastAsia"/>
                <w:color w:val="000000" w:themeColor="text1"/>
                <w:sz w:val="21"/>
                <w:szCs w:val="21"/>
              </w:rPr>
              <w:t>.95</w:t>
            </w:r>
          </w:p>
        </w:tc>
      </w:tr>
      <w:tr w:rsidR="00A67F21" w:rsidRPr="00B12FE0" w14:paraId="3B58A5CA" w14:textId="77777777">
        <w:trPr>
          <w:trHeight w:val="340"/>
          <w:jc w:val="center"/>
        </w:trPr>
        <w:tc>
          <w:tcPr>
            <w:tcW w:w="373" w:type="pct"/>
            <w:vMerge/>
            <w:tcBorders>
              <w:left w:val="single" w:sz="4" w:space="0" w:color="auto"/>
              <w:right w:val="single" w:sz="4" w:space="0" w:color="auto"/>
            </w:tcBorders>
            <w:vAlign w:val="center"/>
          </w:tcPr>
          <w:p w14:paraId="0EA6B80C" w14:textId="77777777" w:rsidR="00A67F21" w:rsidRPr="00B12FE0" w:rsidRDefault="00A67F21">
            <w:pPr>
              <w:widowControl/>
              <w:adjustRightInd w:val="0"/>
              <w:snapToGrid w:val="0"/>
              <w:jc w:val="center"/>
              <w:rPr>
                <w:color w:val="000000" w:themeColor="text1"/>
                <w:sz w:val="21"/>
                <w:szCs w:val="21"/>
              </w:rPr>
            </w:pPr>
          </w:p>
        </w:tc>
        <w:tc>
          <w:tcPr>
            <w:tcW w:w="504" w:type="pct"/>
            <w:tcBorders>
              <w:top w:val="single" w:sz="4" w:space="0" w:color="auto"/>
              <w:left w:val="single" w:sz="4" w:space="0" w:color="auto"/>
              <w:right w:val="single" w:sz="4" w:space="0" w:color="auto"/>
            </w:tcBorders>
            <w:vAlign w:val="center"/>
          </w:tcPr>
          <w:p w14:paraId="2CEF5570"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k</w:t>
            </w:r>
            <w:r w:rsidRPr="00B12FE0">
              <w:rPr>
                <w:rFonts w:hint="eastAsia"/>
                <w:color w:val="000000" w:themeColor="text1"/>
                <w:sz w:val="21"/>
                <w:szCs w:val="21"/>
                <w:vertAlign w:val="subscript"/>
              </w:rPr>
              <w:t>1</w:t>
            </w:r>
          </w:p>
        </w:tc>
        <w:tc>
          <w:tcPr>
            <w:tcW w:w="1631" w:type="pct"/>
            <w:tcBorders>
              <w:top w:val="single" w:sz="4" w:space="0" w:color="auto"/>
              <w:left w:val="single" w:sz="4" w:space="0" w:color="auto"/>
              <w:right w:val="single" w:sz="4" w:space="0" w:color="auto"/>
            </w:tcBorders>
            <w:vAlign w:val="center"/>
          </w:tcPr>
          <w:p w14:paraId="74AD828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迷路外墙外</w:t>
            </w:r>
            <w:r w:rsidRPr="00B12FE0">
              <w:rPr>
                <w:color w:val="000000" w:themeColor="text1"/>
                <w:sz w:val="21"/>
                <w:szCs w:val="21"/>
              </w:rPr>
              <w:t>30cm</w:t>
            </w:r>
          </w:p>
          <w:p w14:paraId="3F76456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辅助机房</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37511C5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tcBorders>
              <w:top w:val="single" w:sz="4" w:space="0" w:color="auto"/>
              <w:left w:val="single" w:sz="4" w:space="0" w:color="auto"/>
              <w:right w:val="single" w:sz="4" w:space="0" w:color="auto"/>
            </w:tcBorders>
            <w:vAlign w:val="center"/>
          </w:tcPr>
          <w:p w14:paraId="3DBA1279" w14:textId="77777777" w:rsidR="00A67F21" w:rsidRPr="00B12FE0" w:rsidRDefault="00000000">
            <w:pPr>
              <w:adjustRightInd w:val="0"/>
              <w:snapToGrid w:val="0"/>
              <w:jc w:val="center"/>
              <w:rPr>
                <w:color w:val="000000" w:themeColor="text1"/>
                <w:sz w:val="21"/>
                <w:szCs w:val="21"/>
              </w:rPr>
            </w:pPr>
            <w:r w:rsidRPr="00B12FE0">
              <w:rPr>
                <w:color w:val="000000" w:themeColor="text1"/>
                <w:kern w:val="0"/>
                <w:sz w:val="21"/>
                <w:szCs w:val="21"/>
                <w:lang w:bidi="ar"/>
              </w:rPr>
              <w:t>1/</w:t>
            </w:r>
            <w:r w:rsidRPr="00B12FE0">
              <w:rPr>
                <w:rFonts w:hint="eastAsia"/>
                <w:color w:val="000000" w:themeColor="text1"/>
                <w:kern w:val="0"/>
                <w:sz w:val="21"/>
                <w:szCs w:val="21"/>
                <w:lang w:bidi="ar"/>
              </w:rPr>
              <w:t>4</w:t>
            </w:r>
          </w:p>
        </w:tc>
        <w:tc>
          <w:tcPr>
            <w:tcW w:w="1116" w:type="pct"/>
            <w:tcBorders>
              <w:top w:val="single" w:sz="4" w:space="0" w:color="auto"/>
              <w:left w:val="single" w:sz="4" w:space="0" w:color="auto"/>
              <w:bottom w:val="single" w:sz="4" w:space="0" w:color="auto"/>
              <w:right w:val="single" w:sz="4" w:space="0" w:color="auto"/>
            </w:tcBorders>
            <w:vAlign w:val="center"/>
          </w:tcPr>
          <w:p w14:paraId="26637B02"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2</w:t>
            </w:r>
            <w:r w:rsidRPr="00B12FE0">
              <w:rPr>
                <w:color w:val="000000" w:themeColor="text1"/>
                <w:sz w:val="21"/>
                <w:szCs w:val="21"/>
              </w:rPr>
              <w:t>-</w:t>
            </w:r>
            <w:r w:rsidRPr="00B12FE0">
              <w:rPr>
                <w:rFonts w:hint="eastAsia"/>
                <w:color w:val="000000" w:themeColor="text1"/>
                <w:sz w:val="21"/>
                <w:szCs w:val="21"/>
              </w:rPr>
              <w:t xml:space="preserve"> k</w:t>
            </w:r>
            <w:r w:rsidRPr="00B12FE0">
              <w:rPr>
                <w:rFonts w:hint="eastAsia"/>
                <w:color w:val="000000" w:themeColor="text1"/>
                <w:sz w:val="21"/>
                <w:szCs w:val="21"/>
                <w:vertAlign w:val="subscript"/>
              </w:rPr>
              <w:t>1</w:t>
            </w:r>
          </w:p>
          <w:p w14:paraId="5172C76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9.49</w:t>
            </w:r>
          </w:p>
        </w:tc>
      </w:tr>
      <w:tr w:rsidR="00A67F21" w:rsidRPr="00B12FE0" w14:paraId="03E6E751" w14:textId="77777777">
        <w:trPr>
          <w:trHeight w:val="340"/>
          <w:jc w:val="center"/>
        </w:trPr>
        <w:tc>
          <w:tcPr>
            <w:tcW w:w="373" w:type="pct"/>
            <w:vMerge/>
            <w:tcBorders>
              <w:left w:val="single" w:sz="4" w:space="0" w:color="auto"/>
              <w:right w:val="single" w:sz="4" w:space="0" w:color="auto"/>
            </w:tcBorders>
            <w:vAlign w:val="center"/>
          </w:tcPr>
          <w:p w14:paraId="52DD1B63" w14:textId="77777777" w:rsidR="00A67F21" w:rsidRPr="00B12FE0" w:rsidRDefault="00A67F21">
            <w:pPr>
              <w:widowControl/>
              <w:adjustRightInd w:val="0"/>
              <w:snapToGrid w:val="0"/>
              <w:jc w:val="center"/>
              <w:rPr>
                <w:color w:val="000000" w:themeColor="text1"/>
                <w:sz w:val="21"/>
                <w:szCs w:val="21"/>
              </w:rPr>
            </w:pPr>
          </w:p>
        </w:tc>
        <w:tc>
          <w:tcPr>
            <w:tcW w:w="504" w:type="pct"/>
            <w:tcBorders>
              <w:top w:val="single" w:sz="4" w:space="0" w:color="auto"/>
              <w:left w:val="single" w:sz="4" w:space="0" w:color="auto"/>
              <w:right w:val="single" w:sz="4" w:space="0" w:color="auto"/>
            </w:tcBorders>
            <w:vAlign w:val="center"/>
          </w:tcPr>
          <w:p w14:paraId="0770791D" w14:textId="77777777" w:rsidR="00A67F21" w:rsidRPr="00B12FE0" w:rsidRDefault="00000000">
            <w:pPr>
              <w:adjustRightInd w:val="0"/>
              <w:snapToGrid w:val="0"/>
              <w:jc w:val="center"/>
              <w:rPr>
                <w:b/>
                <w:bCs/>
                <w:color w:val="000000" w:themeColor="text1"/>
                <w:sz w:val="21"/>
                <w:szCs w:val="21"/>
              </w:rPr>
            </w:pPr>
            <w:r w:rsidRPr="00B12FE0">
              <w:rPr>
                <w:rFonts w:hint="eastAsia"/>
                <w:color w:val="000000" w:themeColor="text1"/>
                <w:sz w:val="21"/>
                <w:szCs w:val="21"/>
              </w:rPr>
              <w:t>k</w:t>
            </w:r>
            <w:r w:rsidRPr="00B12FE0">
              <w:rPr>
                <w:rFonts w:hint="eastAsia"/>
                <w:color w:val="000000" w:themeColor="text1"/>
                <w:sz w:val="21"/>
                <w:szCs w:val="21"/>
                <w:vertAlign w:val="subscript"/>
              </w:rPr>
              <w:t>2</w:t>
            </w:r>
          </w:p>
        </w:tc>
        <w:tc>
          <w:tcPr>
            <w:tcW w:w="1631" w:type="pct"/>
            <w:tcBorders>
              <w:top w:val="single" w:sz="4" w:space="0" w:color="auto"/>
              <w:left w:val="single" w:sz="4" w:space="0" w:color="auto"/>
              <w:right w:val="single" w:sz="4" w:space="0" w:color="auto"/>
            </w:tcBorders>
            <w:vAlign w:val="center"/>
          </w:tcPr>
          <w:p w14:paraId="00E3005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迷路外墙外</w:t>
            </w:r>
            <w:r w:rsidRPr="00B12FE0">
              <w:rPr>
                <w:color w:val="000000" w:themeColor="text1"/>
                <w:sz w:val="21"/>
                <w:szCs w:val="21"/>
              </w:rPr>
              <w:t>30cm</w:t>
            </w:r>
          </w:p>
          <w:p w14:paraId="1F90C2E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辅助机房</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0F92D63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tcBorders>
              <w:top w:val="single" w:sz="4" w:space="0" w:color="auto"/>
              <w:left w:val="single" w:sz="4" w:space="0" w:color="auto"/>
              <w:right w:val="single" w:sz="4" w:space="0" w:color="auto"/>
            </w:tcBorders>
            <w:vAlign w:val="center"/>
          </w:tcPr>
          <w:p w14:paraId="0F30D257" w14:textId="77777777" w:rsidR="00A67F21" w:rsidRPr="00B12FE0" w:rsidRDefault="00000000">
            <w:pPr>
              <w:adjustRightInd w:val="0"/>
              <w:snapToGrid w:val="0"/>
              <w:jc w:val="center"/>
              <w:rPr>
                <w:color w:val="000000" w:themeColor="text1"/>
                <w:kern w:val="0"/>
                <w:sz w:val="21"/>
                <w:szCs w:val="21"/>
                <w:lang w:bidi="ar"/>
              </w:rPr>
            </w:pPr>
            <w:r w:rsidRPr="00B12FE0">
              <w:rPr>
                <w:color w:val="000000" w:themeColor="text1"/>
                <w:kern w:val="0"/>
                <w:sz w:val="21"/>
                <w:szCs w:val="21"/>
                <w:lang w:bidi="ar"/>
              </w:rPr>
              <w:t>1/</w:t>
            </w:r>
            <w:r w:rsidRPr="00B12FE0">
              <w:rPr>
                <w:rFonts w:hint="eastAsia"/>
                <w:color w:val="000000" w:themeColor="text1"/>
                <w:kern w:val="0"/>
                <w:sz w:val="21"/>
                <w:szCs w:val="21"/>
                <w:lang w:bidi="ar"/>
              </w:rPr>
              <w:t>4</w:t>
            </w:r>
          </w:p>
        </w:tc>
        <w:tc>
          <w:tcPr>
            <w:tcW w:w="1116" w:type="pct"/>
            <w:tcBorders>
              <w:top w:val="single" w:sz="4" w:space="0" w:color="auto"/>
              <w:left w:val="single" w:sz="4" w:space="0" w:color="auto"/>
              <w:bottom w:val="single" w:sz="4" w:space="0" w:color="auto"/>
              <w:right w:val="single" w:sz="4" w:space="0" w:color="auto"/>
            </w:tcBorders>
            <w:vAlign w:val="center"/>
          </w:tcPr>
          <w:p w14:paraId="5F0200F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1</w:t>
            </w:r>
            <w:r w:rsidRPr="00B12FE0">
              <w:rPr>
                <w:color w:val="000000" w:themeColor="text1"/>
                <w:sz w:val="21"/>
                <w:szCs w:val="21"/>
              </w:rPr>
              <w:t>-</w:t>
            </w:r>
            <w:r w:rsidRPr="00B12FE0">
              <w:rPr>
                <w:rFonts w:hint="eastAsia"/>
                <w:color w:val="000000" w:themeColor="text1"/>
                <w:sz w:val="21"/>
                <w:szCs w:val="21"/>
              </w:rPr>
              <w:t xml:space="preserve"> k</w:t>
            </w:r>
            <w:r w:rsidRPr="00B12FE0">
              <w:rPr>
                <w:rFonts w:hint="eastAsia"/>
                <w:color w:val="000000" w:themeColor="text1"/>
                <w:sz w:val="21"/>
                <w:szCs w:val="21"/>
                <w:vertAlign w:val="subscript"/>
              </w:rPr>
              <w:t>2</w:t>
            </w:r>
          </w:p>
          <w:p w14:paraId="6AEC3CD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9.69</w:t>
            </w:r>
          </w:p>
        </w:tc>
      </w:tr>
      <w:tr w:rsidR="00A67F21" w:rsidRPr="00B12FE0" w14:paraId="7FBB818B" w14:textId="77777777">
        <w:trPr>
          <w:trHeight w:val="340"/>
          <w:jc w:val="center"/>
        </w:trPr>
        <w:tc>
          <w:tcPr>
            <w:tcW w:w="373" w:type="pct"/>
            <w:vMerge/>
            <w:tcBorders>
              <w:left w:val="single" w:sz="4" w:space="0" w:color="auto"/>
              <w:right w:val="single" w:sz="4" w:space="0" w:color="auto"/>
            </w:tcBorders>
            <w:vAlign w:val="center"/>
          </w:tcPr>
          <w:p w14:paraId="4C44AE6B" w14:textId="77777777" w:rsidR="00A67F21" w:rsidRPr="00B12FE0" w:rsidRDefault="00A67F21">
            <w:pPr>
              <w:widowControl/>
              <w:adjustRightInd w:val="0"/>
              <w:snapToGrid w:val="0"/>
              <w:jc w:val="center"/>
              <w:rPr>
                <w:color w:val="000000" w:themeColor="text1"/>
                <w:sz w:val="21"/>
                <w:szCs w:val="21"/>
              </w:rPr>
            </w:pPr>
          </w:p>
        </w:tc>
        <w:tc>
          <w:tcPr>
            <w:tcW w:w="504" w:type="pct"/>
            <w:vMerge w:val="restart"/>
            <w:tcBorders>
              <w:top w:val="single" w:sz="4" w:space="0" w:color="auto"/>
              <w:left w:val="single" w:sz="4" w:space="0" w:color="auto"/>
              <w:right w:val="single" w:sz="4" w:space="0" w:color="auto"/>
            </w:tcBorders>
            <w:vAlign w:val="center"/>
          </w:tcPr>
          <w:p w14:paraId="01E42E3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g</w:t>
            </w:r>
            <w:r w:rsidRPr="00B12FE0">
              <w:rPr>
                <w:rFonts w:hint="eastAsia"/>
                <w:color w:val="000000" w:themeColor="text1"/>
                <w:sz w:val="21"/>
                <w:szCs w:val="21"/>
                <w:vertAlign w:val="subscript"/>
              </w:rPr>
              <w:t>1</w:t>
            </w:r>
          </w:p>
        </w:tc>
        <w:tc>
          <w:tcPr>
            <w:tcW w:w="1631" w:type="pct"/>
            <w:vMerge w:val="restart"/>
            <w:tcBorders>
              <w:top w:val="single" w:sz="4" w:space="0" w:color="auto"/>
              <w:left w:val="single" w:sz="4" w:space="0" w:color="auto"/>
              <w:right w:val="single" w:sz="4" w:space="0" w:color="auto"/>
            </w:tcBorders>
            <w:vAlign w:val="center"/>
          </w:tcPr>
          <w:p w14:paraId="29CDCAA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防护门外</w:t>
            </w:r>
            <w:r w:rsidRPr="00B12FE0">
              <w:rPr>
                <w:color w:val="000000" w:themeColor="text1"/>
                <w:sz w:val="21"/>
                <w:szCs w:val="21"/>
              </w:rPr>
              <w:t>30cm</w:t>
            </w:r>
          </w:p>
          <w:p w14:paraId="56E5086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（准备区）</w:t>
            </w:r>
          </w:p>
        </w:tc>
        <w:tc>
          <w:tcPr>
            <w:tcW w:w="665" w:type="pct"/>
            <w:tcBorders>
              <w:top w:val="single" w:sz="4" w:space="0" w:color="auto"/>
              <w:left w:val="single" w:sz="4" w:space="0" w:color="auto"/>
              <w:bottom w:val="single" w:sz="4" w:space="0" w:color="auto"/>
              <w:right w:val="single" w:sz="4" w:space="0" w:color="auto"/>
            </w:tcBorders>
            <w:vAlign w:val="center"/>
          </w:tcPr>
          <w:p w14:paraId="2B7FE85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top w:val="single" w:sz="4" w:space="0" w:color="auto"/>
              <w:left w:val="single" w:sz="4" w:space="0" w:color="auto"/>
              <w:right w:val="single" w:sz="4" w:space="0" w:color="auto"/>
            </w:tcBorders>
            <w:vAlign w:val="center"/>
          </w:tcPr>
          <w:p w14:paraId="6501A07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1/8</w:t>
            </w:r>
          </w:p>
        </w:tc>
        <w:tc>
          <w:tcPr>
            <w:tcW w:w="1116" w:type="pct"/>
            <w:tcBorders>
              <w:top w:val="single" w:sz="4" w:space="0" w:color="auto"/>
              <w:left w:val="single" w:sz="4" w:space="0" w:color="auto"/>
              <w:bottom w:val="single" w:sz="4" w:space="0" w:color="auto"/>
              <w:right w:val="single" w:sz="4" w:space="0" w:color="auto"/>
            </w:tcBorders>
            <w:vAlign w:val="center"/>
          </w:tcPr>
          <w:p w14:paraId="0A767C15"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1</w:t>
            </w:r>
            <w:r w:rsidRPr="00B12FE0">
              <w:rPr>
                <w:color w:val="000000" w:themeColor="text1"/>
                <w:sz w:val="21"/>
                <w:szCs w:val="21"/>
              </w:rPr>
              <w:t>-g</w:t>
            </w:r>
            <w:r w:rsidRPr="00B12FE0">
              <w:rPr>
                <w:rFonts w:hint="eastAsia"/>
                <w:color w:val="000000" w:themeColor="text1"/>
                <w:sz w:val="21"/>
                <w:szCs w:val="21"/>
                <w:vertAlign w:val="subscript"/>
              </w:rPr>
              <w:t>1</w:t>
            </w:r>
          </w:p>
          <w:p w14:paraId="7E82EC9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10</w:t>
            </w:r>
          </w:p>
        </w:tc>
      </w:tr>
      <w:tr w:rsidR="00A67F21" w:rsidRPr="00B12FE0" w14:paraId="5857B6EB" w14:textId="77777777">
        <w:trPr>
          <w:trHeight w:val="340"/>
          <w:jc w:val="center"/>
        </w:trPr>
        <w:tc>
          <w:tcPr>
            <w:tcW w:w="373" w:type="pct"/>
            <w:vMerge/>
            <w:tcBorders>
              <w:left w:val="single" w:sz="4" w:space="0" w:color="auto"/>
              <w:right w:val="single" w:sz="4" w:space="0" w:color="auto"/>
            </w:tcBorders>
            <w:vAlign w:val="center"/>
          </w:tcPr>
          <w:p w14:paraId="5765BB4A" w14:textId="77777777" w:rsidR="00A67F21" w:rsidRPr="00B12FE0" w:rsidRDefault="00A67F21">
            <w:pPr>
              <w:widowControl/>
              <w:adjustRightInd w:val="0"/>
              <w:snapToGrid w:val="0"/>
              <w:jc w:val="center"/>
              <w:rPr>
                <w:color w:val="000000" w:themeColor="text1"/>
                <w:sz w:val="21"/>
                <w:szCs w:val="21"/>
              </w:rPr>
            </w:pPr>
          </w:p>
        </w:tc>
        <w:tc>
          <w:tcPr>
            <w:tcW w:w="504" w:type="pct"/>
            <w:vMerge/>
            <w:tcBorders>
              <w:left w:val="single" w:sz="4" w:space="0" w:color="auto"/>
              <w:right w:val="single" w:sz="4" w:space="0" w:color="auto"/>
            </w:tcBorders>
            <w:vAlign w:val="center"/>
          </w:tcPr>
          <w:p w14:paraId="74CEE138"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right w:val="single" w:sz="4" w:space="0" w:color="auto"/>
            </w:tcBorders>
            <w:vAlign w:val="center"/>
          </w:tcPr>
          <w:p w14:paraId="3FA30B4B" w14:textId="77777777" w:rsidR="00A67F21" w:rsidRPr="00B12FE0" w:rsidRDefault="00A67F21">
            <w:pPr>
              <w:adjustRightInd w:val="0"/>
              <w:snapToGrid w:val="0"/>
              <w:jc w:val="center"/>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6CF5101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10772603" w14:textId="77777777" w:rsidR="00A67F21" w:rsidRPr="00B12FE0" w:rsidRDefault="00A67F21">
            <w:pPr>
              <w:adjustRightInd w:val="0"/>
              <w:snapToGrid w:val="0"/>
              <w:jc w:val="center"/>
              <w:rPr>
                <w:color w:val="000000" w:themeColor="text1"/>
                <w:sz w:val="21"/>
                <w:szCs w:val="21"/>
              </w:rPr>
            </w:pPr>
          </w:p>
        </w:tc>
        <w:tc>
          <w:tcPr>
            <w:tcW w:w="1116" w:type="pct"/>
            <w:tcBorders>
              <w:top w:val="single" w:sz="4" w:space="0" w:color="auto"/>
              <w:left w:val="single" w:sz="4" w:space="0" w:color="auto"/>
              <w:bottom w:val="single" w:sz="4" w:space="0" w:color="auto"/>
              <w:right w:val="single" w:sz="4" w:space="0" w:color="auto"/>
            </w:tcBorders>
            <w:vAlign w:val="center"/>
          </w:tcPr>
          <w:p w14:paraId="45FA0B0B"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1</w:t>
            </w:r>
            <w:r w:rsidRPr="00B12FE0">
              <w:rPr>
                <w:color w:val="000000" w:themeColor="text1"/>
                <w:sz w:val="21"/>
                <w:szCs w:val="21"/>
              </w:rPr>
              <w:t>-o-B</w:t>
            </w:r>
            <w:r w:rsidRPr="00B12FE0">
              <w:rPr>
                <w:rFonts w:hint="eastAsia"/>
                <w:color w:val="000000" w:themeColor="text1"/>
                <w:sz w:val="21"/>
                <w:szCs w:val="21"/>
                <w:vertAlign w:val="subscript"/>
              </w:rPr>
              <w:t>1</w:t>
            </w:r>
            <w:r w:rsidRPr="00B12FE0">
              <w:rPr>
                <w:color w:val="000000" w:themeColor="text1"/>
                <w:sz w:val="21"/>
                <w:szCs w:val="21"/>
              </w:rPr>
              <w:t>-P</w:t>
            </w:r>
            <w:r w:rsidRPr="00B12FE0">
              <w:rPr>
                <w:rFonts w:hint="eastAsia"/>
                <w:color w:val="000000" w:themeColor="text1"/>
                <w:sz w:val="21"/>
                <w:szCs w:val="21"/>
                <w:vertAlign w:val="subscript"/>
              </w:rPr>
              <w:t>1</w:t>
            </w:r>
            <w:r w:rsidRPr="00B12FE0">
              <w:rPr>
                <w:color w:val="000000" w:themeColor="text1"/>
                <w:sz w:val="21"/>
                <w:szCs w:val="21"/>
              </w:rPr>
              <w:t>-g</w:t>
            </w:r>
            <w:r w:rsidRPr="00B12FE0">
              <w:rPr>
                <w:rFonts w:hint="eastAsia"/>
                <w:color w:val="000000" w:themeColor="text1"/>
                <w:sz w:val="21"/>
                <w:szCs w:val="21"/>
                <w:vertAlign w:val="subscript"/>
              </w:rPr>
              <w:t>1</w:t>
            </w:r>
          </w:p>
          <w:p w14:paraId="2486898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7.13</w:t>
            </w:r>
            <w:r w:rsidRPr="00B12FE0">
              <w:rPr>
                <w:color w:val="000000" w:themeColor="text1"/>
                <w:sz w:val="21"/>
                <w:szCs w:val="21"/>
              </w:rPr>
              <w:t>/</w:t>
            </w:r>
            <w:r w:rsidRPr="00B12FE0">
              <w:rPr>
                <w:rFonts w:hint="eastAsia"/>
                <w:color w:val="000000" w:themeColor="text1"/>
                <w:sz w:val="21"/>
                <w:szCs w:val="21"/>
              </w:rPr>
              <w:t>7.63/2.8</w:t>
            </w:r>
          </w:p>
        </w:tc>
      </w:tr>
      <w:tr w:rsidR="00A67F21" w:rsidRPr="00B12FE0" w14:paraId="30F6EA4E" w14:textId="77777777">
        <w:trPr>
          <w:trHeight w:val="340"/>
          <w:jc w:val="center"/>
        </w:trPr>
        <w:tc>
          <w:tcPr>
            <w:tcW w:w="373" w:type="pct"/>
            <w:vMerge/>
            <w:tcBorders>
              <w:left w:val="single" w:sz="4" w:space="0" w:color="auto"/>
              <w:right w:val="single" w:sz="4" w:space="0" w:color="auto"/>
            </w:tcBorders>
            <w:vAlign w:val="center"/>
          </w:tcPr>
          <w:p w14:paraId="38114743" w14:textId="77777777" w:rsidR="00A67F21" w:rsidRPr="00B12FE0" w:rsidRDefault="00A67F21">
            <w:pPr>
              <w:widowControl/>
              <w:adjustRightInd w:val="0"/>
              <w:snapToGrid w:val="0"/>
              <w:jc w:val="center"/>
              <w:rPr>
                <w:color w:val="000000" w:themeColor="text1"/>
                <w:sz w:val="21"/>
                <w:szCs w:val="21"/>
              </w:rPr>
            </w:pPr>
          </w:p>
        </w:tc>
        <w:tc>
          <w:tcPr>
            <w:tcW w:w="504" w:type="pct"/>
            <w:vMerge w:val="restart"/>
            <w:tcBorders>
              <w:left w:val="single" w:sz="4" w:space="0" w:color="auto"/>
              <w:right w:val="single" w:sz="4" w:space="0" w:color="auto"/>
            </w:tcBorders>
            <w:vAlign w:val="center"/>
          </w:tcPr>
          <w:p w14:paraId="09E7B2C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g</w:t>
            </w:r>
            <w:r w:rsidRPr="00B12FE0">
              <w:rPr>
                <w:rFonts w:hint="eastAsia"/>
                <w:color w:val="000000" w:themeColor="text1"/>
                <w:sz w:val="21"/>
                <w:szCs w:val="21"/>
                <w:vertAlign w:val="subscript"/>
              </w:rPr>
              <w:t>2</w:t>
            </w:r>
          </w:p>
        </w:tc>
        <w:tc>
          <w:tcPr>
            <w:tcW w:w="1631" w:type="pct"/>
            <w:vMerge w:val="restart"/>
            <w:tcBorders>
              <w:left w:val="single" w:sz="4" w:space="0" w:color="auto"/>
              <w:right w:val="single" w:sz="4" w:space="0" w:color="auto"/>
            </w:tcBorders>
            <w:vAlign w:val="center"/>
          </w:tcPr>
          <w:p w14:paraId="18C2432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防护门外</w:t>
            </w:r>
            <w:r w:rsidRPr="00B12FE0">
              <w:rPr>
                <w:color w:val="000000" w:themeColor="text1"/>
                <w:sz w:val="21"/>
                <w:szCs w:val="21"/>
              </w:rPr>
              <w:t>30cm</w:t>
            </w:r>
          </w:p>
          <w:p w14:paraId="6F97E8B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（准备区）</w:t>
            </w:r>
          </w:p>
        </w:tc>
        <w:tc>
          <w:tcPr>
            <w:tcW w:w="665" w:type="pct"/>
            <w:tcBorders>
              <w:top w:val="single" w:sz="4" w:space="0" w:color="auto"/>
              <w:left w:val="single" w:sz="4" w:space="0" w:color="auto"/>
              <w:bottom w:val="single" w:sz="4" w:space="0" w:color="auto"/>
              <w:right w:val="single" w:sz="4" w:space="0" w:color="auto"/>
            </w:tcBorders>
            <w:vAlign w:val="center"/>
          </w:tcPr>
          <w:p w14:paraId="31C8A13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left w:val="single" w:sz="4" w:space="0" w:color="auto"/>
              <w:right w:val="single" w:sz="4" w:space="0" w:color="auto"/>
            </w:tcBorders>
            <w:vAlign w:val="center"/>
          </w:tcPr>
          <w:p w14:paraId="78DE36F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1/8</w:t>
            </w:r>
          </w:p>
        </w:tc>
        <w:tc>
          <w:tcPr>
            <w:tcW w:w="1116" w:type="pct"/>
            <w:tcBorders>
              <w:top w:val="single" w:sz="4" w:space="0" w:color="auto"/>
              <w:left w:val="single" w:sz="4" w:space="0" w:color="auto"/>
              <w:bottom w:val="single" w:sz="4" w:space="0" w:color="auto"/>
              <w:right w:val="single" w:sz="4" w:space="0" w:color="auto"/>
            </w:tcBorders>
            <w:vAlign w:val="center"/>
          </w:tcPr>
          <w:p w14:paraId="7FEF7619"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o</w:t>
            </w:r>
            <w:r w:rsidRPr="00B12FE0">
              <w:rPr>
                <w:rFonts w:hint="eastAsia"/>
                <w:color w:val="000000" w:themeColor="text1"/>
                <w:sz w:val="21"/>
                <w:szCs w:val="21"/>
                <w:vertAlign w:val="subscript"/>
              </w:rPr>
              <w:t>2</w:t>
            </w:r>
            <w:r w:rsidRPr="00B12FE0">
              <w:rPr>
                <w:color w:val="000000" w:themeColor="text1"/>
                <w:sz w:val="21"/>
                <w:szCs w:val="21"/>
              </w:rPr>
              <w:t>-g</w:t>
            </w:r>
            <w:r w:rsidRPr="00B12FE0">
              <w:rPr>
                <w:rFonts w:hint="eastAsia"/>
                <w:color w:val="000000" w:themeColor="text1"/>
                <w:sz w:val="21"/>
                <w:szCs w:val="21"/>
                <w:vertAlign w:val="subscript"/>
              </w:rPr>
              <w:t>2</w:t>
            </w:r>
          </w:p>
          <w:p w14:paraId="20928B4E"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10</w:t>
            </w:r>
          </w:p>
        </w:tc>
      </w:tr>
      <w:tr w:rsidR="00A67F21" w:rsidRPr="00B12FE0" w14:paraId="1748AD06" w14:textId="77777777">
        <w:trPr>
          <w:trHeight w:val="340"/>
          <w:jc w:val="center"/>
        </w:trPr>
        <w:tc>
          <w:tcPr>
            <w:tcW w:w="373" w:type="pct"/>
            <w:vMerge/>
            <w:tcBorders>
              <w:left w:val="single" w:sz="4" w:space="0" w:color="auto"/>
              <w:right w:val="single" w:sz="4" w:space="0" w:color="auto"/>
            </w:tcBorders>
            <w:vAlign w:val="center"/>
          </w:tcPr>
          <w:p w14:paraId="0B878A4E" w14:textId="77777777" w:rsidR="00A67F21" w:rsidRPr="00B12FE0" w:rsidRDefault="00A67F21">
            <w:pPr>
              <w:widowControl/>
              <w:adjustRightInd w:val="0"/>
              <w:snapToGrid w:val="0"/>
              <w:jc w:val="center"/>
              <w:rPr>
                <w:color w:val="000000" w:themeColor="text1"/>
                <w:sz w:val="21"/>
                <w:szCs w:val="21"/>
              </w:rPr>
            </w:pPr>
          </w:p>
        </w:tc>
        <w:tc>
          <w:tcPr>
            <w:tcW w:w="504" w:type="pct"/>
            <w:vMerge/>
            <w:tcBorders>
              <w:left w:val="single" w:sz="4" w:space="0" w:color="auto"/>
              <w:right w:val="single" w:sz="4" w:space="0" w:color="auto"/>
            </w:tcBorders>
            <w:vAlign w:val="center"/>
          </w:tcPr>
          <w:p w14:paraId="69D18F40"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right w:val="single" w:sz="4" w:space="0" w:color="auto"/>
            </w:tcBorders>
            <w:vAlign w:val="center"/>
          </w:tcPr>
          <w:p w14:paraId="27717DF1" w14:textId="77777777" w:rsidR="00A67F21" w:rsidRPr="00B12FE0" w:rsidRDefault="00A67F21">
            <w:pPr>
              <w:adjustRightInd w:val="0"/>
              <w:snapToGrid w:val="0"/>
              <w:jc w:val="center"/>
              <w:rPr>
                <w:color w:val="000000" w:themeColor="text1"/>
                <w:sz w:val="21"/>
                <w:szCs w:val="21"/>
              </w:rPr>
            </w:pPr>
          </w:p>
        </w:tc>
        <w:tc>
          <w:tcPr>
            <w:tcW w:w="665" w:type="pct"/>
            <w:tcBorders>
              <w:top w:val="single" w:sz="4" w:space="0" w:color="auto"/>
              <w:left w:val="single" w:sz="4" w:space="0" w:color="auto"/>
              <w:bottom w:val="single" w:sz="4" w:space="0" w:color="auto"/>
              <w:right w:val="single" w:sz="4" w:space="0" w:color="auto"/>
            </w:tcBorders>
            <w:vAlign w:val="center"/>
          </w:tcPr>
          <w:p w14:paraId="47F94B6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bottom w:val="single" w:sz="4" w:space="0" w:color="auto"/>
              <w:right w:val="single" w:sz="4" w:space="0" w:color="auto"/>
            </w:tcBorders>
            <w:vAlign w:val="center"/>
          </w:tcPr>
          <w:p w14:paraId="41CED236" w14:textId="77777777" w:rsidR="00A67F21" w:rsidRPr="00B12FE0" w:rsidRDefault="00A67F21">
            <w:pPr>
              <w:adjustRightInd w:val="0"/>
              <w:snapToGrid w:val="0"/>
              <w:jc w:val="center"/>
              <w:rPr>
                <w:color w:val="000000" w:themeColor="text1"/>
                <w:sz w:val="21"/>
                <w:szCs w:val="21"/>
              </w:rPr>
            </w:pPr>
          </w:p>
        </w:tc>
        <w:tc>
          <w:tcPr>
            <w:tcW w:w="1116" w:type="pct"/>
            <w:tcBorders>
              <w:top w:val="single" w:sz="4" w:space="0" w:color="auto"/>
              <w:left w:val="single" w:sz="4" w:space="0" w:color="auto"/>
              <w:bottom w:val="single" w:sz="4" w:space="0" w:color="auto"/>
              <w:right w:val="single" w:sz="4" w:space="0" w:color="auto"/>
            </w:tcBorders>
            <w:vAlign w:val="center"/>
          </w:tcPr>
          <w:p w14:paraId="36633E01" w14:textId="77777777" w:rsidR="00A67F21" w:rsidRPr="00B12FE0" w:rsidRDefault="00000000">
            <w:pPr>
              <w:adjustRightInd w:val="0"/>
              <w:snapToGrid w:val="0"/>
              <w:jc w:val="center"/>
              <w:rPr>
                <w:color w:val="000000" w:themeColor="text1"/>
                <w:sz w:val="21"/>
                <w:szCs w:val="21"/>
                <w:vertAlign w:val="subscript"/>
              </w:rPr>
            </w:pPr>
            <w:r w:rsidRPr="00B12FE0">
              <w:rPr>
                <w:rFonts w:hint="eastAsia"/>
                <w:color w:val="000000" w:themeColor="text1"/>
                <w:sz w:val="21"/>
                <w:szCs w:val="21"/>
              </w:rPr>
              <w:t>o</w:t>
            </w:r>
            <w:r w:rsidRPr="00B12FE0">
              <w:rPr>
                <w:rFonts w:hint="eastAsia"/>
                <w:color w:val="000000" w:themeColor="text1"/>
                <w:sz w:val="21"/>
                <w:szCs w:val="21"/>
                <w:vertAlign w:val="subscript"/>
              </w:rPr>
              <w:t>2</w:t>
            </w:r>
            <w:r w:rsidRPr="00B12FE0">
              <w:rPr>
                <w:color w:val="000000" w:themeColor="text1"/>
                <w:sz w:val="21"/>
                <w:szCs w:val="21"/>
              </w:rPr>
              <w:t>-o-B</w:t>
            </w:r>
            <w:r w:rsidRPr="00B12FE0">
              <w:rPr>
                <w:rFonts w:hint="eastAsia"/>
                <w:color w:val="000000" w:themeColor="text1"/>
                <w:sz w:val="21"/>
                <w:szCs w:val="21"/>
                <w:vertAlign w:val="subscript"/>
              </w:rPr>
              <w:t>2</w:t>
            </w:r>
            <w:r w:rsidRPr="00B12FE0">
              <w:rPr>
                <w:color w:val="000000" w:themeColor="text1"/>
                <w:sz w:val="21"/>
                <w:szCs w:val="21"/>
              </w:rPr>
              <w:t>-P</w:t>
            </w:r>
            <w:r w:rsidRPr="00B12FE0">
              <w:rPr>
                <w:rFonts w:hint="eastAsia"/>
                <w:color w:val="000000" w:themeColor="text1"/>
                <w:sz w:val="21"/>
                <w:szCs w:val="21"/>
                <w:vertAlign w:val="subscript"/>
              </w:rPr>
              <w:t>2</w:t>
            </w:r>
            <w:r w:rsidRPr="00B12FE0">
              <w:rPr>
                <w:color w:val="000000" w:themeColor="text1"/>
                <w:sz w:val="21"/>
                <w:szCs w:val="21"/>
              </w:rPr>
              <w:t>-g</w:t>
            </w:r>
            <w:r w:rsidRPr="00B12FE0">
              <w:rPr>
                <w:rFonts w:hint="eastAsia"/>
                <w:color w:val="000000" w:themeColor="text1"/>
                <w:sz w:val="21"/>
                <w:szCs w:val="21"/>
                <w:vertAlign w:val="subscript"/>
              </w:rPr>
              <w:t>2</w:t>
            </w:r>
          </w:p>
          <w:p w14:paraId="184E84C8"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7.42</w:t>
            </w:r>
            <w:r w:rsidRPr="00B12FE0">
              <w:rPr>
                <w:color w:val="000000" w:themeColor="text1"/>
                <w:sz w:val="21"/>
                <w:szCs w:val="21"/>
              </w:rPr>
              <w:t>/</w:t>
            </w:r>
            <w:r w:rsidRPr="00B12FE0">
              <w:rPr>
                <w:rFonts w:hint="eastAsia"/>
                <w:color w:val="000000" w:themeColor="text1"/>
                <w:sz w:val="21"/>
                <w:szCs w:val="21"/>
              </w:rPr>
              <w:t>7.27/2.8</w:t>
            </w:r>
          </w:p>
        </w:tc>
      </w:tr>
      <w:tr w:rsidR="00A67F21" w:rsidRPr="00B12FE0" w14:paraId="504C170C" w14:textId="77777777">
        <w:trPr>
          <w:trHeight w:val="340"/>
          <w:jc w:val="center"/>
        </w:trPr>
        <w:tc>
          <w:tcPr>
            <w:tcW w:w="373" w:type="pct"/>
            <w:vMerge/>
            <w:tcBorders>
              <w:left w:val="single" w:sz="4" w:space="0" w:color="auto"/>
              <w:right w:val="single" w:sz="4" w:space="0" w:color="auto"/>
            </w:tcBorders>
            <w:vAlign w:val="center"/>
          </w:tcPr>
          <w:p w14:paraId="5A2273C7" w14:textId="77777777" w:rsidR="00A67F21" w:rsidRPr="00B12FE0" w:rsidRDefault="00A67F21">
            <w:pPr>
              <w:widowControl/>
              <w:adjustRightInd w:val="0"/>
              <w:snapToGrid w:val="0"/>
              <w:jc w:val="center"/>
              <w:rPr>
                <w:color w:val="000000" w:themeColor="text1"/>
                <w:sz w:val="21"/>
                <w:szCs w:val="21"/>
              </w:rPr>
            </w:pPr>
          </w:p>
        </w:tc>
        <w:tc>
          <w:tcPr>
            <w:tcW w:w="504" w:type="pct"/>
            <w:tcBorders>
              <w:top w:val="single" w:sz="4" w:space="0" w:color="auto"/>
              <w:left w:val="single" w:sz="4" w:space="0" w:color="auto"/>
              <w:bottom w:val="single" w:sz="4" w:space="0" w:color="auto"/>
              <w:right w:val="single" w:sz="4" w:space="0" w:color="auto"/>
            </w:tcBorders>
            <w:vAlign w:val="center"/>
          </w:tcPr>
          <w:p w14:paraId="76C086C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l</w:t>
            </w:r>
          </w:p>
        </w:tc>
        <w:tc>
          <w:tcPr>
            <w:tcW w:w="1631" w:type="pct"/>
            <w:tcBorders>
              <w:top w:val="single" w:sz="4" w:space="0" w:color="auto"/>
              <w:left w:val="single" w:sz="4" w:space="0" w:color="auto"/>
              <w:bottom w:val="single" w:sz="4" w:space="0" w:color="auto"/>
              <w:right w:val="single" w:sz="4" w:space="0" w:color="auto"/>
            </w:tcBorders>
            <w:vAlign w:val="center"/>
          </w:tcPr>
          <w:p w14:paraId="52FECF24"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顶棚主</w:t>
            </w:r>
            <w:proofErr w:type="gramStart"/>
            <w:r w:rsidRPr="00B12FE0">
              <w:rPr>
                <w:color w:val="000000" w:themeColor="text1"/>
                <w:sz w:val="21"/>
                <w:szCs w:val="21"/>
              </w:rPr>
              <w:t>屏蔽区</w:t>
            </w:r>
            <w:proofErr w:type="gramEnd"/>
            <w:r w:rsidRPr="00B12FE0">
              <w:rPr>
                <w:color w:val="000000" w:themeColor="text1"/>
                <w:sz w:val="21"/>
                <w:szCs w:val="21"/>
              </w:rPr>
              <w:t>上</w:t>
            </w:r>
            <w:r w:rsidRPr="00B12FE0">
              <w:rPr>
                <w:color w:val="000000" w:themeColor="text1"/>
                <w:sz w:val="21"/>
                <w:szCs w:val="21"/>
              </w:rPr>
              <w:t>30cm</w:t>
            </w:r>
            <w:r w:rsidRPr="00B12FE0">
              <w:rPr>
                <w:color w:val="000000" w:themeColor="text1"/>
                <w:sz w:val="21"/>
                <w:szCs w:val="21"/>
              </w:rPr>
              <w:t>处</w:t>
            </w:r>
          </w:p>
          <w:p w14:paraId="145D6BE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不可上人屋顶</w:t>
            </w:r>
            <w:r w:rsidRPr="00B12FE0">
              <w:rPr>
                <w:color w:val="000000" w:themeColor="text1"/>
                <w:sz w:val="21"/>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5F02206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有用线束</w:t>
            </w:r>
          </w:p>
        </w:tc>
        <w:tc>
          <w:tcPr>
            <w:tcW w:w="711" w:type="pct"/>
            <w:tcBorders>
              <w:top w:val="single" w:sz="4" w:space="0" w:color="auto"/>
              <w:left w:val="single" w:sz="4" w:space="0" w:color="auto"/>
              <w:bottom w:val="single" w:sz="4" w:space="0" w:color="auto"/>
              <w:right w:val="single" w:sz="4" w:space="0" w:color="auto"/>
            </w:tcBorders>
            <w:vAlign w:val="center"/>
          </w:tcPr>
          <w:p w14:paraId="6FA1662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1/20</w:t>
            </w:r>
          </w:p>
        </w:tc>
        <w:tc>
          <w:tcPr>
            <w:tcW w:w="1116" w:type="pct"/>
            <w:tcBorders>
              <w:top w:val="single" w:sz="4" w:space="0" w:color="auto"/>
              <w:left w:val="single" w:sz="4" w:space="0" w:color="auto"/>
              <w:bottom w:val="single" w:sz="4" w:space="0" w:color="auto"/>
              <w:right w:val="single" w:sz="4" w:space="0" w:color="auto"/>
            </w:tcBorders>
            <w:vAlign w:val="center"/>
          </w:tcPr>
          <w:p w14:paraId="1DD7FCF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o</w:t>
            </w:r>
            <w:r w:rsidRPr="00B12FE0">
              <w:rPr>
                <w:color w:val="000000" w:themeColor="text1"/>
                <w:sz w:val="21"/>
                <w:szCs w:val="21"/>
                <w:vertAlign w:val="subscript"/>
              </w:rPr>
              <w:t>3</w:t>
            </w:r>
            <w:r w:rsidRPr="00B12FE0">
              <w:rPr>
                <w:color w:val="000000" w:themeColor="text1"/>
                <w:sz w:val="21"/>
                <w:szCs w:val="21"/>
              </w:rPr>
              <w:t>-l</w:t>
            </w:r>
          </w:p>
          <w:p w14:paraId="02108F0A"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7.9</w:t>
            </w:r>
          </w:p>
        </w:tc>
      </w:tr>
      <w:tr w:rsidR="00A67F21" w:rsidRPr="00B12FE0" w14:paraId="7B26E9FE" w14:textId="77777777">
        <w:trPr>
          <w:trHeight w:val="298"/>
          <w:jc w:val="center"/>
        </w:trPr>
        <w:tc>
          <w:tcPr>
            <w:tcW w:w="373" w:type="pct"/>
            <w:vMerge/>
            <w:tcBorders>
              <w:left w:val="single" w:sz="4" w:space="0" w:color="auto"/>
              <w:right w:val="single" w:sz="4" w:space="0" w:color="auto"/>
            </w:tcBorders>
            <w:vAlign w:val="center"/>
          </w:tcPr>
          <w:p w14:paraId="121D0BD8" w14:textId="77777777" w:rsidR="00A67F21" w:rsidRPr="00B12FE0" w:rsidRDefault="00A67F21">
            <w:pPr>
              <w:widowControl/>
              <w:adjustRightInd w:val="0"/>
              <w:snapToGrid w:val="0"/>
              <w:jc w:val="center"/>
              <w:rPr>
                <w:color w:val="000000" w:themeColor="text1"/>
                <w:sz w:val="21"/>
                <w:szCs w:val="21"/>
              </w:rPr>
            </w:pPr>
          </w:p>
        </w:tc>
        <w:tc>
          <w:tcPr>
            <w:tcW w:w="504" w:type="pct"/>
            <w:vMerge w:val="restart"/>
            <w:tcBorders>
              <w:top w:val="single" w:sz="4" w:space="0" w:color="auto"/>
              <w:left w:val="single" w:sz="4" w:space="0" w:color="auto"/>
              <w:right w:val="single" w:sz="4" w:space="0" w:color="auto"/>
            </w:tcBorders>
            <w:vAlign w:val="center"/>
          </w:tcPr>
          <w:p w14:paraId="7F5C17D6"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m</w:t>
            </w:r>
            <w:r w:rsidRPr="00B12FE0">
              <w:rPr>
                <w:color w:val="000000" w:themeColor="text1"/>
                <w:sz w:val="21"/>
                <w:szCs w:val="21"/>
                <w:vertAlign w:val="subscript"/>
              </w:rPr>
              <w:t>1</w:t>
            </w:r>
          </w:p>
        </w:tc>
        <w:tc>
          <w:tcPr>
            <w:tcW w:w="1631" w:type="pct"/>
            <w:vMerge w:val="restart"/>
            <w:tcBorders>
              <w:top w:val="single" w:sz="4" w:space="0" w:color="auto"/>
              <w:left w:val="single" w:sz="4" w:space="0" w:color="auto"/>
              <w:right w:val="single" w:sz="4" w:space="0" w:color="auto"/>
            </w:tcBorders>
            <w:vAlign w:val="center"/>
          </w:tcPr>
          <w:p w14:paraId="0B0B59B1"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顶棚次</w:t>
            </w:r>
            <w:proofErr w:type="gramStart"/>
            <w:r w:rsidRPr="00B12FE0">
              <w:rPr>
                <w:color w:val="000000" w:themeColor="text1"/>
                <w:sz w:val="21"/>
                <w:szCs w:val="21"/>
              </w:rPr>
              <w:t>屏蔽区</w:t>
            </w:r>
            <w:proofErr w:type="gramEnd"/>
            <w:r w:rsidRPr="00B12FE0">
              <w:rPr>
                <w:color w:val="000000" w:themeColor="text1"/>
                <w:sz w:val="21"/>
                <w:szCs w:val="21"/>
              </w:rPr>
              <w:t>上</w:t>
            </w:r>
            <w:r w:rsidRPr="00B12FE0">
              <w:rPr>
                <w:color w:val="000000" w:themeColor="text1"/>
                <w:sz w:val="21"/>
                <w:szCs w:val="21"/>
              </w:rPr>
              <w:t>30cm</w:t>
            </w:r>
            <w:r w:rsidRPr="00B12FE0">
              <w:rPr>
                <w:color w:val="000000" w:themeColor="text1"/>
                <w:sz w:val="21"/>
                <w:szCs w:val="21"/>
              </w:rPr>
              <w:t>处</w:t>
            </w:r>
          </w:p>
          <w:p w14:paraId="4D7C92F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不可上人屋顶</w:t>
            </w:r>
            <w:r w:rsidRPr="00B12FE0">
              <w:rPr>
                <w:color w:val="000000" w:themeColor="text1"/>
                <w:sz w:val="21"/>
                <w:szCs w:val="21"/>
              </w:rPr>
              <w:t>）</w:t>
            </w:r>
          </w:p>
        </w:tc>
        <w:tc>
          <w:tcPr>
            <w:tcW w:w="665" w:type="pct"/>
            <w:tcBorders>
              <w:top w:val="single" w:sz="4" w:space="0" w:color="auto"/>
              <w:left w:val="single" w:sz="4" w:space="0" w:color="auto"/>
              <w:right w:val="single" w:sz="4" w:space="0" w:color="auto"/>
            </w:tcBorders>
            <w:vAlign w:val="center"/>
          </w:tcPr>
          <w:p w14:paraId="3F1F32B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top w:val="single" w:sz="4" w:space="0" w:color="auto"/>
              <w:left w:val="single" w:sz="4" w:space="0" w:color="auto"/>
              <w:right w:val="single" w:sz="4" w:space="0" w:color="auto"/>
            </w:tcBorders>
            <w:vAlign w:val="center"/>
          </w:tcPr>
          <w:p w14:paraId="2AE9BC0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1/20</w:t>
            </w:r>
          </w:p>
        </w:tc>
        <w:tc>
          <w:tcPr>
            <w:tcW w:w="1116" w:type="pct"/>
            <w:tcBorders>
              <w:top w:val="single" w:sz="4" w:space="0" w:color="auto"/>
              <w:left w:val="single" w:sz="4" w:space="0" w:color="auto"/>
              <w:bottom w:val="single" w:sz="4" w:space="0" w:color="auto"/>
              <w:right w:val="single" w:sz="4" w:space="0" w:color="auto"/>
            </w:tcBorders>
            <w:vAlign w:val="center"/>
          </w:tcPr>
          <w:p w14:paraId="63DE08D7"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o-m</w:t>
            </w:r>
            <w:r w:rsidRPr="00B12FE0">
              <w:rPr>
                <w:color w:val="000000" w:themeColor="text1"/>
                <w:sz w:val="21"/>
                <w:szCs w:val="21"/>
                <w:vertAlign w:val="subscript"/>
              </w:rPr>
              <w:t>1</w:t>
            </w:r>
          </w:p>
          <w:p w14:paraId="58060CD3"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8.53</w:t>
            </w:r>
          </w:p>
        </w:tc>
      </w:tr>
      <w:tr w:rsidR="00A67F21" w:rsidRPr="00B12FE0" w14:paraId="11CBF7AC" w14:textId="77777777">
        <w:trPr>
          <w:trHeight w:val="194"/>
          <w:jc w:val="center"/>
        </w:trPr>
        <w:tc>
          <w:tcPr>
            <w:tcW w:w="373" w:type="pct"/>
            <w:vMerge/>
            <w:tcBorders>
              <w:left w:val="single" w:sz="4" w:space="0" w:color="auto"/>
              <w:right w:val="single" w:sz="4" w:space="0" w:color="auto"/>
            </w:tcBorders>
            <w:vAlign w:val="center"/>
          </w:tcPr>
          <w:p w14:paraId="1EEBB255" w14:textId="77777777" w:rsidR="00A67F21" w:rsidRPr="00B12FE0" w:rsidRDefault="00A67F21">
            <w:pPr>
              <w:widowControl/>
              <w:adjustRightInd w:val="0"/>
              <w:snapToGrid w:val="0"/>
              <w:jc w:val="center"/>
              <w:rPr>
                <w:color w:val="000000" w:themeColor="text1"/>
                <w:sz w:val="21"/>
                <w:szCs w:val="21"/>
              </w:rPr>
            </w:pPr>
          </w:p>
        </w:tc>
        <w:tc>
          <w:tcPr>
            <w:tcW w:w="504" w:type="pct"/>
            <w:vMerge/>
            <w:tcBorders>
              <w:left w:val="single" w:sz="4" w:space="0" w:color="auto"/>
              <w:right w:val="single" w:sz="4" w:space="0" w:color="auto"/>
            </w:tcBorders>
            <w:vAlign w:val="center"/>
          </w:tcPr>
          <w:p w14:paraId="5325207F"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right w:val="single" w:sz="4" w:space="0" w:color="auto"/>
            </w:tcBorders>
            <w:vAlign w:val="center"/>
          </w:tcPr>
          <w:p w14:paraId="525C9C20" w14:textId="77777777" w:rsidR="00A67F21" w:rsidRPr="00B12FE0" w:rsidRDefault="00A67F21">
            <w:pPr>
              <w:adjustRightInd w:val="0"/>
              <w:snapToGrid w:val="0"/>
              <w:jc w:val="center"/>
              <w:rPr>
                <w:color w:val="000000" w:themeColor="text1"/>
                <w:sz w:val="21"/>
                <w:szCs w:val="21"/>
              </w:rPr>
            </w:pPr>
          </w:p>
        </w:tc>
        <w:tc>
          <w:tcPr>
            <w:tcW w:w="665" w:type="pct"/>
            <w:tcBorders>
              <w:left w:val="single" w:sz="4" w:space="0" w:color="auto"/>
              <w:bottom w:val="single" w:sz="4" w:space="0" w:color="auto"/>
              <w:right w:val="single" w:sz="4" w:space="0" w:color="auto"/>
            </w:tcBorders>
            <w:vAlign w:val="center"/>
          </w:tcPr>
          <w:p w14:paraId="45DE585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right w:val="single" w:sz="4" w:space="0" w:color="auto"/>
            </w:tcBorders>
            <w:vAlign w:val="center"/>
          </w:tcPr>
          <w:p w14:paraId="7DF08800" w14:textId="77777777" w:rsidR="00A67F21" w:rsidRPr="00B12FE0" w:rsidRDefault="00A67F21">
            <w:pPr>
              <w:adjustRightInd w:val="0"/>
              <w:snapToGrid w:val="0"/>
              <w:jc w:val="center"/>
              <w:rPr>
                <w:color w:val="000000" w:themeColor="text1"/>
                <w:sz w:val="21"/>
                <w:szCs w:val="21"/>
              </w:rPr>
            </w:pPr>
          </w:p>
        </w:tc>
        <w:tc>
          <w:tcPr>
            <w:tcW w:w="1116" w:type="pct"/>
            <w:tcBorders>
              <w:top w:val="single" w:sz="4" w:space="0" w:color="auto"/>
              <w:left w:val="single" w:sz="4" w:space="0" w:color="auto"/>
              <w:bottom w:val="single" w:sz="4" w:space="0" w:color="auto"/>
              <w:right w:val="single" w:sz="4" w:space="0" w:color="auto"/>
            </w:tcBorders>
            <w:vAlign w:val="center"/>
          </w:tcPr>
          <w:p w14:paraId="0F9E6C40"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color w:val="000000" w:themeColor="text1"/>
                <w:sz w:val="21"/>
                <w:szCs w:val="21"/>
                <w:vertAlign w:val="subscript"/>
              </w:rPr>
              <w:t>3</w:t>
            </w:r>
            <w:r w:rsidRPr="00B12FE0">
              <w:rPr>
                <w:color w:val="000000" w:themeColor="text1"/>
                <w:sz w:val="21"/>
                <w:szCs w:val="21"/>
              </w:rPr>
              <w:t>-o-m</w:t>
            </w:r>
            <w:r w:rsidRPr="00B12FE0">
              <w:rPr>
                <w:color w:val="000000" w:themeColor="text1"/>
                <w:sz w:val="21"/>
                <w:szCs w:val="21"/>
                <w:vertAlign w:val="subscript"/>
              </w:rPr>
              <w:t>1</w:t>
            </w:r>
          </w:p>
          <w:p w14:paraId="4BAB9DA7"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8.53</w:t>
            </w:r>
          </w:p>
        </w:tc>
      </w:tr>
      <w:tr w:rsidR="00A67F21" w:rsidRPr="00B12FE0" w14:paraId="06B07F02" w14:textId="77777777">
        <w:trPr>
          <w:trHeight w:val="254"/>
          <w:jc w:val="center"/>
        </w:trPr>
        <w:tc>
          <w:tcPr>
            <w:tcW w:w="373" w:type="pct"/>
            <w:vMerge/>
            <w:tcBorders>
              <w:left w:val="single" w:sz="4" w:space="0" w:color="auto"/>
              <w:right w:val="single" w:sz="4" w:space="0" w:color="auto"/>
            </w:tcBorders>
            <w:vAlign w:val="center"/>
          </w:tcPr>
          <w:p w14:paraId="58E93974" w14:textId="77777777" w:rsidR="00A67F21" w:rsidRPr="00B12FE0" w:rsidRDefault="00A67F21">
            <w:pPr>
              <w:widowControl/>
              <w:adjustRightInd w:val="0"/>
              <w:snapToGrid w:val="0"/>
              <w:jc w:val="center"/>
              <w:rPr>
                <w:color w:val="000000" w:themeColor="text1"/>
                <w:sz w:val="21"/>
                <w:szCs w:val="21"/>
              </w:rPr>
            </w:pPr>
          </w:p>
        </w:tc>
        <w:tc>
          <w:tcPr>
            <w:tcW w:w="504" w:type="pct"/>
            <w:vMerge w:val="restart"/>
            <w:tcBorders>
              <w:left w:val="single" w:sz="4" w:space="0" w:color="auto"/>
              <w:right w:val="single" w:sz="4" w:space="0" w:color="auto"/>
            </w:tcBorders>
            <w:vAlign w:val="center"/>
          </w:tcPr>
          <w:p w14:paraId="064E0B4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m</w:t>
            </w:r>
            <w:r w:rsidRPr="00B12FE0">
              <w:rPr>
                <w:color w:val="000000" w:themeColor="text1"/>
                <w:sz w:val="21"/>
                <w:szCs w:val="21"/>
                <w:vertAlign w:val="subscript"/>
              </w:rPr>
              <w:t>2</w:t>
            </w:r>
          </w:p>
        </w:tc>
        <w:tc>
          <w:tcPr>
            <w:tcW w:w="1631" w:type="pct"/>
            <w:vMerge w:val="restart"/>
            <w:tcBorders>
              <w:left w:val="single" w:sz="4" w:space="0" w:color="auto"/>
              <w:right w:val="single" w:sz="4" w:space="0" w:color="auto"/>
            </w:tcBorders>
            <w:vAlign w:val="center"/>
          </w:tcPr>
          <w:p w14:paraId="7B139175"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顶棚次</w:t>
            </w:r>
            <w:proofErr w:type="gramStart"/>
            <w:r w:rsidRPr="00B12FE0">
              <w:rPr>
                <w:color w:val="000000" w:themeColor="text1"/>
                <w:sz w:val="21"/>
                <w:szCs w:val="21"/>
              </w:rPr>
              <w:t>屏蔽区</w:t>
            </w:r>
            <w:proofErr w:type="gramEnd"/>
            <w:r w:rsidRPr="00B12FE0">
              <w:rPr>
                <w:color w:val="000000" w:themeColor="text1"/>
                <w:sz w:val="21"/>
                <w:szCs w:val="21"/>
              </w:rPr>
              <w:t>上</w:t>
            </w:r>
            <w:r w:rsidRPr="00B12FE0">
              <w:rPr>
                <w:color w:val="000000" w:themeColor="text1"/>
                <w:sz w:val="21"/>
                <w:szCs w:val="21"/>
              </w:rPr>
              <w:t>30cm</w:t>
            </w:r>
            <w:r w:rsidRPr="00B12FE0">
              <w:rPr>
                <w:color w:val="000000" w:themeColor="text1"/>
                <w:sz w:val="21"/>
                <w:szCs w:val="21"/>
              </w:rPr>
              <w:t>处</w:t>
            </w:r>
          </w:p>
          <w:p w14:paraId="38C0409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不可上人屋顶</w:t>
            </w:r>
            <w:r w:rsidRPr="00B12FE0">
              <w:rPr>
                <w:color w:val="000000" w:themeColor="text1"/>
                <w:sz w:val="21"/>
                <w:szCs w:val="21"/>
              </w:rPr>
              <w:t>）</w:t>
            </w:r>
          </w:p>
        </w:tc>
        <w:tc>
          <w:tcPr>
            <w:tcW w:w="665" w:type="pct"/>
            <w:tcBorders>
              <w:top w:val="single" w:sz="4" w:space="0" w:color="auto"/>
              <w:left w:val="single" w:sz="4" w:space="0" w:color="auto"/>
              <w:right w:val="single" w:sz="4" w:space="0" w:color="auto"/>
            </w:tcBorders>
            <w:vAlign w:val="center"/>
          </w:tcPr>
          <w:p w14:paraId="4279FFAC"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泄漏</w:t>
            </w:r>
          </w:p>
        </w:tc>
        <w:tc>
          <w:tcPr>
            <w:tcW w:w="711" w:type="pct"/>
            <w:vMerge w:val="restart"/>
            <w:tcBorders>
              <w:left w:val="single" w:sz="4" w:space="0" w:color="auto"/>
              <w:right w:val="single" w:sz="4" w:space="0" w:color="auto"/>
            </w:tcBorders>
            <w:vAlign w:val="center"/>
          </w:tcPr>
          <w:p w14:paraId="5D52532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1/20</w:t>
            </w:r>
          </w:p>
        </w:tc>
        <w:tc>
          <w:tcPr>
            <w:tcW w:w="1116" w:type="pct"/>
            <w:tcBorders>
              <w:top w:val="single" w:sz="4" w:space="0" w:color="auto"/>
              <w:left w:val="single" w:sz="4" w:space="0" w:color="auto"/>
              <w:bottom w:val="single" w:sz="4" w:space="0" w:color="auto"/>
              <w:right w:val="single" w:sz="4" w:space="0" w:color="auto"/>
            </w:tcBorders>
            <w:vAlign w:val="center"/>
          </w:tcPr>
          <w:p w14:paraId="3A4C1D89"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o-m</w:t>
            </w:r>
            <w:r w:rsidRPr="00B12FE0">
              <w:rPr>
                <w:color w:val="000000" w:themeColor="text1"/>
                <w:sz w:val="21"/>
                <w:szCs w:val="21"/>
                <w:vertAlign w:val="subscript"/>
              </w:rPr>
              <w:t>2</w:t>
            </w:r>
          </w:p>
          <w:p w14:paraId="1515F6FA"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8.7</w:t>
            </w:r>
          </w:p>
        </w:tc>
      </w:tr>
      <w:tr w:rsidR="00A67F21" w:rsidRPr="00B12FE0" w14:paraId="5F7D4D4B" w14:textId="77777777">
        <w:trPr>
          <w:trHeight w:val="238"/>
          <w:jc w:val="center"/>
        </w:trPr>
        <w:tc>
          <w:tcPr>
            <w:tcW w:w="373" w:type="pct"/>
            <w:vMerge/>
            <w:tcBorders>
              <w:left w:val="single" w:sz="4" w:space="0" w:color="auto"/>
              <w:bottom w:val="single" w:sz="4" w:space="0" w:color="auto"/>
              <w:right w:val="single" w:sz="4" w:space="0" w:color="auto"/>
            </w:tcBorders>
            <w:vAlign w:val="center"/>
          </w:tcPr>
          <w:p w14:paraId="3C052D51" w14:textId="77777777" w:rsidR="00A67F21" w:rsidRPr="00B12FE0" w:rsidRDefault="00A67F21">
            <w:pPr>
              <w:widowControl/>
              <w:adjustRightInd w:val="0"/>
              <w:snapToGrid w:val="0"/>
              <w:jc w:val="center"/>
              <w:rPr>
                <w:color w:val="000000" w:themeColor="text1"/>
                <w:sz w:val="21"/>
                <w:szCs w:val="21"/>
              </w:rPr>
            </w:pPr>
          </w:p>
        </w:tc>
        <w:tc>
          <w:tcPr>
            <w:tcW w:w="504" w:type="pct"/>
            <w:vMerge/>
            <w:tcBorders>
              <w:left w:val="single" w:sz="4" w:space="0" w:color="auto"/>
              <w:right w:val="single" w:sz="4" w:space="0" w:color="auto"/>
            </w:tcBorders>
            <w:vAlign w:val="center"/>
          </w:tcPr>
          <w:p w14:paraId="2DA8621B" w14:textId="77777777" w:rsidR="00A67F21" w:rsidRPr="00B12FE0" w:rsidRDefault="00A67F21">
            <w:pPr>
              <w:adjustRightInd w:val="0"/>
              <w:snapToGrid w:val="0"/>
              <w:jc w:val="center"/>
              <w:rPr>
                <w:color w:val="000000" w:themeColor="text1"/>
                <w:sz w:val="21"/>
                <w:szCs w:val="21"/>
              </w:rPr>
            </w:pPr>
          </w:p>
        </w:tc>
        <w:tc>
          <w:tcPr>
            <w:tcW w:w="1631" w:type="pct"/>
            <w:vMerge/>
            <w:tcBorders>
              <w:left w:val="single" w:sz="4" w:space="0" w:color="auto"/>
              <w:right w:val="single" w:sz="4" w:space="0" w:color="auto"/>
            </w:tcBorders>
            <w:vAlign w:val="center"/>
          </w:tcPr>
          <w:p w14:paraId="2FC86BF1" w14:textId="77777777" w:rsidR="00A67F21" w:rsidRPr="00B12FE0" w:rsidRDefault="00A67F21">
            <w:pPr>
              <w:adjustRightInd w:val="0"/>
              <w:snapToGrid w:val="0"/>
              <w:jc w:val="center"/>
              <w:rPr>
                <w:color w:val="000000" w:themeColor="text1"/>
                <w:sz w:val="21"/>
                <w:szCs w:val="21"/>
              </w:rPr>
            </w:pPr>
          </w:p>
        </w:tc>
        <w:tc>
          <w:tcPr>
            <w:tcW w:w="665" w:type="pct"/>
            <w:tcBorders>
              <w:left w:val="single" w:sz="4" w:space="0" w:color="auto"/>
              <w:bottom w:val="single" w:sz="4" w:space="0" w:color="auto"/>
              <w:right w:val="single" w:sz="4" w:space="0" w:color="auto"/>
            </w:tcBorders>
            <w:vAlign w:val="center"/>
          </w:tcPr>
          <w:p w14:paraId="36E1D6F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散射</w:t>
            </w:r>
          </w:p>
        </w:tc>
        <w:tc>
          <w:tcPr>
            <w:tcW w:w="711" w:type="pct"/>
            <w:vMerge/>
            <w:tcBorders>
              <w:left w:val="single" w:sz="4" w:space="0" w:color="auto"/>
              <w:right w:val="single" w:sz="4" w:space="0" w:color="auto"/>
            </w:tcBorders>
            <w:vAlign w:val="center"/>
          </w:tcPr>
          <w:p w14:paraId="11018AF8" w14:textId="77777777" w:rsidR="00A67F21" w:rsidRPr="00B12FE0" w:rsidRDefault="00A67F21">
            <w:pPr>
              <w:adjustRightInd w:val="0"/>
              <w:snapToGrid w:val="0"/>
              <w:jc w:val="center"/>
              <w:rPr>
                <w:color w:val="000000" w:themeColor="text1"/>
                <w:sz w:val="21"/>
                <w:szCs w:val="21"/>
              </w:rPr>
            </w:pPr>
          </w:p>
        </w:tc>
        <w:tc>
          <w:tcPr>
            <w:tcW w:w="1116" w:type="pct"/>
            <w:tcBorders>
              <w:top w:val="single" w:sz="4" w:space="0" w:color="auto"/>
              <w:left w:val="single" w:sz="4" w:space="0" w:color="auto"/>
              <w:bottom w:val="single" w:sz="4" w:space="0" w:color="auto"/>
              <w:right w:val="single" w:sz="4" w:space="0" w:color="auto"/>
            </w:tcBorders>
            <w:vAlign w:val="center"/>
          </w:tcPr>
          <w:p w14:paraId="033D0485" w14:textId="77777777" w:rsidR="00A67F21" w:rsidRPr="00B12FE0" w:rsidRDefault="00000000">
            <w:pPr>
              <w:adjustRightInd w:val="0"/>
              <w:snapToGrid w:val="0"/>
              <w:jc w:val="center"/>
              <w:rPr>
                <w:color w:val="000000" w:themeColor="text1"/>
                <w:sz w:val="21"/>
                <w:szCs w:val="21"/>
                <w:vertAlign w:val="subscript"/>
              </w:rPr>
            </w:pPr>
            <w:r w:rsidRPr="00B12FE0">
              <w:rPr>
                <w:color w:val="000000" w:themeColor="text1"/>
                <w:sz w:val="21"/>
                <w:szCs w:val="21"/>
              </w:rPr>
              <w:t>o</w:t>
            </w:r>
            <w:r w:rsidRPr="00B12FE0">
              <w:rPr>
                <w:color w:val="000000" w:themeColor="text1"/>
                <w:sz w:val="21"/>
                <w:szCs w:val="21"/>
                <w:vertAlign w:val="subscript"/>
              </w:rPr>
              <w:t>3</w:t>
            </w:r>
            <w:r w:rsidRPr="00B12FE0">
              <w:rPr>
                <w:color w:val="000000" w:themeColor="text1"/>
                <w:sz w:val="21"/>
                <w:szCs w:val="21"/>
              </w:rPr>
              <w:t>-o-m</w:t>
            </w:r>
            <w:r w:rsidRPr="00B12FE0">
              <w:rPr>
                <w:color w:val="000000" w:themeColor="text1"/>
                <w:sz w:val="21"/>
                <w:szCs w:val="21"/>
                <w:vertAlign w:val="subscript"/>
              </w:rPr>
              <w:t>1</w:t>
            </w:r>
          </w:p>
          <w:p w14:paraId="56E30D2D"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8.7</w:t>
            </w:r>
          </w:p>
        </w:tc>
      </w:tr>
    </w:tbl>
    <w:p w14:paraId="650B0DD6" w14:textId="77777777" w:rsidR="00A67F21" w:rsidRPr="00B12FE0" w:rsidRDefault="00000000">
      <w:pPr>
        <w:keepLines/>
        <w:adjustRightInd w:val="0"/>
        <w:snapToGrid w:val="0"/>
        <w:spacing w:line="360" w:lineRule="auto"/>
        <w:ind w:firstLine="480"/>
        <w:jc w:val="left"/>
        <w:rPr>
          <w:b/>
          <w:bCs/>
          <w:color w:val="000000" w:themeColor="text1"/>
        </w:rPr>
      </w:pPr>
      <w:r w:rsidRPr="00B12FE0">
        <w:rPr>
          <w:b/>
          <w:bCs/>
          <w:color w:val="000000" w:themeColor="text1"/>
        </w:rPr>
        <w:t>（</w:t>
      </w:r>
      <w:r w:rsidRPr="00B12FE0">
        <w:rPr>
          <w:b/>
          <w:bCs/>
          <w:color w:val="000000" w:themeColor="text1"/>
        </w:rPr>
        <w:t>3</w:t>
      </w:r>
      <w:r w:rsidRPr="00B12FE0">
        <w:rPr>
          <w:b/>
          <w:bCs/>
          <w:color w:val="000000" w:themeColor="text1"/>
        </w:rPr>
        <w:t>）导出剂量率参考控制水平确定</w:t>
      </w:r>
    </w:p>
    <w:p w14:paraId="741EB18A" w14:textId="77777777" w:rsidR="00A67F21" w:rsidRPr="00B12FE0" w:rsidRDefault="00000000">
      <w:pPr>
        <w:overflowPunct w:val="0"/>
        <w:autoSpaceDE w:val="0"/>
        <w:autoSpaceDN w:val="0"/>
        <w:adjustRightInd w:val="0"/>
        <w:snapToGrid w:val="0"/>
        <w:spacing w:line="360" w:lineRule="auto"/>
        <w:ind w:firstLineChars="200" w:firstLine="480"/>
        <w:rPr>
          <w:color w:val="000000" w:themeColor="text1"/>
        </w:rPr>
      </w:pPr>
      <w:r w:rsidRPr="00B12FE0">
        <w:rPr>
          <w:color w:val="000000" w:themeColor="text1"/>
        </w:rPr>
        <w:t>根据《放射治疗辐射安全与防护要求》（</w:t>
      </w:r>
      <w:r w:rsidRPr="00B12FE0">
        <w:rPr>
          <w:color w:val="000000" w:themeColor="text1"/>
        </w:rPr>
        <w:t>HJ1198-2021</w:t>
      </w:r>
      <w:r w:rsidRPr="00B12FE0">
        <w:rPr>
          <w:color w:val="000000" w:themeColor="text1"/>
        </w:rPr>
        <w:t>）</w:t>
      </w:r>
      <w:r w:rsidRPr="00B12FE0">
        <w:rPr>
          <w:color w:val="000000" w:themeColor="text1"/>
        </w:rPr>
        <w:t>6.1.4</w:t>
      </w:r>
      <w:r w:rsidRPr="00B12FE0">
        <w:rPr>
          <w:color w:val="000000" w:themeColor="text1"/>
        </w:rPr>
        <w:t>剂量控制应符合以下要求：</w:t>
      </w:r>
    </w:p>
    <w:p w14:paraId="588E036D" w14:textId="77777777" w:rsidR="00A67F21" w:rsidRPr="00B12FE0" w:rsidRDefault="00000000">
      <w:pPr>
        <w:overflowPunct w:val="0"/>
        <w:autoSpaceDE w:val="0"/>
        <w:autoSpaceDN w:val="0"/>
        <w:adjustRightInd w:val="0"/>
        <w:snapToGrid w:val="0"/>
        <w:spacing w:line="360" w:lineRule="auto"/>
        <w:ind w:firstLineChars="200" w:firstLine="480"/>
        <w:rPr>
          <w:color w:val="000000" w:themeColor="text1"/>
        </w:rPr>
      </w:pPr>
      <w:r w:rsidRPr="00B12FE0">
        <w:rPr>
          <w:color w:val="000000" w:themeColor="text1"/>
        </w:rPr>
        <w:t>a</w:t>
      </w:r>
      <w:r w:rsidRPr="00B12FE0">
        <w:rPr>
          <w:color w:val="000000" w:themeColor="text1"/>
        </w:rPr>
        <w:t>）治疗室墙和入口门外表面</w:t>
      </w:r>
      <w:r w:rsidRPr="00B12FE0">
        <w:rPr>
          <w:color w:val="000000" w:themeColor="text1"/>
        </w:rPr>
        <w:t xml:space="preserve"> 30 cm </w:t>
      </w:r>
      <w:r w:rsidRPr="00B12FE0">
        <w:rPr>
          <w:color w:val="000000" w:themeColor="text1"/>
        </w:rPr>
        <w:t>处、邻近治疗室的关注点、治疗室房顶外的地</w:t>
      </w:r>
      <w:r w:rsidRPr="00B12FE0">
        <w:rPr>
          <w:color w:val="000000" w:themeColor="text1"/>
        </w:rPr>
        <w:lastRenderedPageBreak/>
        <w:t>面附近和楼层及在治疗室上方已建、拟建二层建筑物或在治疗室旁邻近建筑物的高度超过自辐射源点治疗室房顶内表面边缘所张立体角区域时，距治疗室顶外表面</w:t>
      </w:r>
      <w:r w:rsidRPr="00B12FE0">
        <w:rPr>
          <w:color w:val="000000" w:themeColor="text1"/>
        </w:rPr>
        <w:t xml:space="preserve"> 30 cm </w:t>
      </w:r>
      <w:r w:rsidRPr="00B12FE0">
        <w:rPr>
          <w:color w:val="000000" w:themeColor="text1"/>
        </w:rPr>
        <w:t>处和在该立体角区域内的高层建筑人员驻留处的周围剂量当量率应同时满足下列</w:t>
      </w:r>
      <w:r w:rsidRPr="00B12FE0">
        <w:rPr>
          <w:color w:val="000000" w:themeColor="text1"/>
        </w:rPr>
        <w:t xml:space="preserve"> 1</w:t>
      </w:r>
      <w:r w:rsidRPr="00B12FE0">
        <w:rPr>
          <w:color w:val="000000" w:themeColor="text1"/>
        </w:rPr>
        <w:t>）和</w:t>
      </w:r>
      <w:r w:rsidRPr="00B12FE0">
        <w:rPr>
          <w:color w:val="000000" w:themeColor="text1"/>
        </w:rPr>
        <w:t xml:space="preserve"> 2</w:t>
      </w:r>
      <w:r w:rsidRPr="00B12FE0">
        <w:rPr>
          <w:color w:val="000000" w:themeColor="text1"/>
        </w:rPr>
        <w:t>）所确定的剂量率参考控制水平</w:t>
      </w:r>
      <w:r w:rsidRPr="00B12FE0">
        <w:rPr>
          <w:i/>
          <w:iCs/>
          <w:color w:val="000000" w:themeColor="text1"/>
        </w:rPr>
        <w:t xml:space="preserve"> </w:t>
      </w:r>
      <w:proofErr w:type="spellStart"/>
      <w:r w:rsidRPr="00B12FE0">
        <w:rPr>
          <w:i/>
          <w:iCs/>
          <w:color w:val="000000" w:themeColor="text1"/>
        </w:rPr>
        <w:t>Ḣ</w:t>
      </w:r>
      <w:r w:rsidRPr="00B12FE0">
        <w:rPr>
          <w:color w:val="000000" w:themeColor="text1"/>
        </w:rPr>
        <w:t>c</w:t>
      </w:r>
      <w:proofErr w:type="spellEnd"/>
      <w:r w:rsidRPr="00B12FE0">
        <w:rPr>
          <w:color w:val="000000" w:themeColor="text1"/>
        </w:rPr>
        <w:t>：</w:t>
      </w:r>
    </w:p>
    <w:p w14:paraId="5B265605" w14:textId="77777777" w:rsidR="00A67F21" w:rsidRPr="00B12FE0" w:rsidRDefault="00000000">
      <w:pPr>
        <w:keepLines/>
        <w:adjustRightInd w:val="0"/>
        <w:snapToGrid w:val="0"/>
        <w:spacing w:line="360" w:lineRule="auto"/>
        <w:ind w:firstLineChars="200" w:firstLine="480"/>
        <w:rPr>
          <w:color w:val="000000" w:themeColor="text1"/>
        </w:rPr>
      </w:pPr>
      <w:r w:rsidRPr="00B12FE0">
        <w:rPr>
          <w:color w:val="000000" w:themeColor="text1"/>
        </w:rPr>
        <w:t>1</w:t>
      </w:r>
      <w:r w:rsidRPr="00B12FE0">
        <w:rPr>
          <w:color w:val="000000" w:themeColor="text1"/>
        </w:rPr>
        <w:t>）使用放射治疗周工作负荷、关注点位置的使用因子和居留因子（可依照附录</w:t>
      </w:r>
      <w:r w:rsidRPr="00B12FE0">
        <w:rPr>
          <w:color w:val="000000" w:themeColor="text1"/>
        </w:rPr>
        <w:t xml:space="preserve"> A </w:t>
      </w:r>
      <w:r w:rsidRPr="00B12FE0">
        <w:rPr>
          <w:color w:val="000000" w:themeColor="text1"/>
        </w:rPr>
        <w:t>选取），由以下周剂量参考控制水平（</w:t>
      </w:r>
      <w:proofErr w:type="spellStart"/>
      <w:r w:rsidRPr="00B12FE0">
        <w:rPr>
          <w:i/>
          <w:iCs/>
          <w:color w:val="000000" w:themeColor="text1"/>
        </w:rPr>
        <w:t>Ḣ</w:t>
      </w:r>
      <w:r w:rsidRPr="00B12FE0">
        <w:rPr>
          <w:color w:val="000000" w:themeColor="text1"/>
        </w:rPr>
        <w:t>c</w:t>
      </w:r>
      <w:proofErr w:type="spellEnd"/>
      <w:r w:rsidRPr="00B12FE0">
        <w:rPr>
          <w:color w:val="000000" w:themeColor="text1"/>
        </w:rPr>
        <w:t>）求得关注点的导出剂量率参考控制水平</w:t>
      </w:r>
      <w:r w:rsidRPr="00B12FE0">
        <w:rPr>
          <w:color w:val="000000" w:themeColor="text1"/>
        </w:rPr>
        <w:t xml:space="preserve"> </w:t>
      </w:r>
      <w:proofErr w:type="spellStart"/>
      <w:r w:rsidRPr="00B12FE0">
        <w:rPr>
          <w:i/>
          <w:iCs/>
          <w:color w:val="000000" w:themeColor="text1"/>
        </w:rPr>
        <w:t>Ḣ</w:t>
      </w:r>
      <w:r w:rsidRPr="00B12FE0">
        <w:rPr>
          <w:color w:val="000000" w:themeColor="text1"/>
        </w:rPr>
        <w:t>c,d</w:t>
      </w:r>
      <w:proofErr w:type="spellEnd"/>
      <w:r w:rsidRPr="00B12FE0">
        <w:rPr>
          <w:color w:val="000000" w:themeColor="text1"/>
        </w:rPr>
        <w:t xml:space="preserve"> (</w:t>
      </w:r>
      <w:proofErr w:type="spellStart"/>
      <w:r w:rsidRPr="00B12FE0">
        <w:rPr>
          <w:color w:val="000000" w:themeColor="text1"/>
        </w:rPr>
        <w:t>μSv</w:t>
      </w:r>
      <w:proofErr w:type="spellEnd"/>
      <w:r w:rsidRPr="00B12FE0">
        <w:rPr>
          <w:color w:val="000000" w:themeColor="text1"/>
        </w:rPr>
        <w:t>/h)</w:t>
      </w:r>
      <w:r w:rsidRPr="00B12FE0">
        <w:rPr>
          <w:color w:val="000000" w:themeColor="text1"/>
        </w:rPr>
        <w:t>：</w:t>
      </w:r>
    </w:p>
    <w:p w14:paraId="68BEED75" w14:textId="77777777" w:rsidR="00A67F21" w:rsidRPr="00B12FE0" w:rsidRDefault="00000000">
      <w:pPr>
        <w:keepLines/>
        <w:adjustRightInd w:val="0"/>
        <w:snapToGrid w:val="0"/>
        <w:spacing w:line="360" w:lineRule="auto"/>
        <w:ind w:firstLineChars="200" w:firstLine="480"/>
        <w:rPr>
          <w:color w:val="000000" w:themeColor="text1"/>
        </w:rPr>
      </w:pPr>
      <w:r w:rsidRPr="00B12FE0">
        <w:rPr>
          <w:color w:val="000000" w:themeColor="text1"/>
        </w:rPr>
        <w:t>机房外辐射工作人员：</w:t>
      </w:r>
      <w:r w:rsidRPr="00B12FE0">
        <w:rPr>
          <w:color w:val="000000" w:themeColor="text1"/>
        </w:rPr>
        <w:t xml:space="preserve">Ḣc≤100 </w:t>
      </w:r>
      <w:proofErr w:type="spellStart"/>
      <w:r w:rsidRPr="00B12FE0">
        <w:rPr>
          <w:color w:val="000000" w:themeColor="text1"/>
        </w:rPr>
        <w:t>μSv</w:t>
      </w:r>
      <w:proofErr w:type="spellEnd"/>
      <w:r w:rsidRPr="00B12FE0">
        <w:rPr>
          <w:color w:val="000000" w:themeColor="text1"/>
        </w:rPr>
        <w:t>/</w:t>
      </w:r>
      <w:r w:rsidRPr="00B12FE0">
        <w:rPr>
          <w:color w:val="000000" w:themeColor="text1"/>
        </w:rPr>
        <w:t>周；</w:t>
      </w:r>
    </w:p>
    <w:p w14:paraId="7FA89411" w14:textId="77777777" w:rsidR="00A67F21" w:rsidRPr="00B12FE0" w:rsidRDefault="00000000">
      <w:pPr>
        <w:keepLines/>
        <w:adjustRightInd w:val="0"/>
        <w:snapToGrid w:val="0"/>
        <w:spacing w:line="360" w:lineRule="auto"/>
        <w:ind w:firstLineChars="200" w:firstLine="480"/>
        <w:rPr>
          <w:color w:val="000000" w:themeColor="text1"/>
        </w:rPr>
      </w:pPr>
      <w:r w:rsidRPr="00B12FE0">
        <w:rPr>
          <w:color w:val="000000" w:themeColor="text1"/>
        </w:rPr>
        <w:t>机房外非辐射工作人员：</w:t>
      </w:r>
      <w:r w:rsidRPr="00B12FE0">
        <w:rPr>
          <w:i/>
          <w:iCs/>
          <w:color w:val="000000" w:themeColor="text1"/>
        </w:rPr>
        <w:t>Ḣ</w:t>
      </w:r>
      <w:r w:rsidRPr="00B12FE0">
        <w:rPr>
          <w:color w:val="000000" w:themeColor="text1"/>
        </w:rPr>
        <w:t xml:space="preserve">c≤5 </w:t>
      </w:r>
      <w:proofErr w:type="spellStart"/>
      <w:r w:rsidRPr="00B12FE0">
        <w:rPr>
          <w:color w:val="000000" w:themeColor="text1"/>
        </w:rPr>
        <w:t>μSv</w:t>
      </w:r>
      <w:proofErr w:type="spellEnd"/>
      <w:r w:rsidRPr="00B12FE0">
        <w:rPr>
          <w:color w:val="000000" w:themeColor="text1"/>
        </w:rPr>
        <w:t>/</w:t>
      </w:r>
      <w:r w:rsidRPr="00B12FE0">
        <w:rPr>
          <w:color w:val="000000" w:themeColor="text1"/>
        </w:rPr>
        <w:t>周。</w:t>
      </w:r>
    </w:p>
    <w:p w14:paraId="014545F8" w14:textId="77777777" w:rsidR="00A67F21" w:rsidRPr="00B12FE0" w:rsidRDefault="00000000">
      <w:pPr>
        <w:keepLines/>
        <w:adjustRightInd w:val="0"/>
        <w:snapToGrid w:val="0"/>
        <w:spacing w:line="360" w:lineRule="auto"/>
        <w:ind w:firstLineChars="200" w:firstLine="480"/>
        <w:rPr>
          <w:color w:val="000000" w:themeColor="text1"/>
        </w:rPr>
      </w:pPr>
      <w:r w:rsidRPr="00B12FE0">
        <w:rPr>
          <w:color w:val="000000" w:themeColor="text1"/>
        </w:rPr>
        <w:t>2</w:t>
      </w:r>
      <w:r w:rsidRPr="00B12FE0">
        <w:rPr>
          <w:color w:val="000000" w:themeColor="text1"/>
        </w:rPr>
        <w:t>）按照关注点人员居留因子的不同，分别确定关注点的最高剂量率参考控制水平</w:t>
      </w:r>
      <w:r w:rsidRPr="00B12FE0">
        <w:rPr>
          <w:color w:val="000000" w:themeColor="text1"/>
        </w:rPr>
        <w:t xml:space="preserve"> </w:t>
      </w:r>
      <w:proofErr w:type="spellStart"/>
      <w:r w:rsidRPr="00B12FE0">
        <w:rPr>
          <w:i/>
          <w:iCs/>
          <w:color w:val="000000" w:themeColor="text1"/>
        </w:rPr>
        <w:t>Ḣ</w:t>
      </w:r>
      <w:r w:rsidRPr="00B12FE0">
        <w:rPr>
          <w:color w:val="000000" w:themeColor="text1"/>
        </w:rPr>
        <w:t>c,max</w:t>
      </w:r>
      <w:proofErr w:type="spellEnd"/>
      <w:r w:rsidRPr="00B12FE0">
        <w:rPr>
          <w:color w:val="000000" w:themeColor="text1"/>
        </w:rPr>
        <w:t xml:space="preserve"> (</w:t>
      </w:r>
      <w:proofErr w:type="spellStart"/>
      <w:r w:rsidRPr="00B12FE0">
        <w:rPr>
          <w:color w:val="000000" w:themeColor="text1"/>
        </w:rPr>
        <w:t>μSv</w:t>
      </w:r>
      <w:proofErr w:type="spellEnd"/>
      <w:r w:rsidRPr="00B12FE0">
        <w:rPr>
          <w:color w:val="000000" w:themeColor="text1"/>
        </w:rPr>
        <w:t>/h)</w:t>
      </w:r>
      <w:r w:rsidRPr="00B12FE0">
        <w:rPr>
          <w:color w:val="000000" w:themeColor="text1"/>
        </w:rPr>
        <w:t>：</w:t>
      </w:r>
    </w:p>
    <w:p w14:paraId="5999DCE3" w14:textId="77777777" w:rsidR="00A67F21" w:rsidRPr="00B12FE0" w:rsidRDefault="00000000">
      <w:pPr>
        <w:keepLines/>
        <w:adjustRightInd w:val="0"/>
        <w:snapToGrid w:val="0"/>
        <w:spacing w:line="360" w:lineRule="auto"/>
        <w:ind w:firstLineChars="200" w:firstLine="480"/>
        <w:rPr>
          <w:color w:val="000000" w:themeColor="text1"/>
        </w:rPr>
      </w:pPr>
      <w:r w:rsidRPr="00B12FE0">
        <w:rPr>
          <w:color w:val="000000" w:themeColor="text1"/>
        </w:rPr>
        <w:t>人员居留因子</w:t>
      </w:r>
      <w:r w:rsidRPr="00B12FE0">
        <w:rPr>
          <w:color w:val="000000" w:themeColor="text1"/>
        </w:rPr>
        <w:t xml:space="preserve"> T</w:t>
      </w:r>
      <w:r w:rsidRPr="00B12FE0">
        <w:rPr>
          <w:color w:val="000000" w:themeColor="text1"/>
        </w:rPr>
        <w:t>＞</w:t>
      </w:r>
      <w:r w:rsidRPr="00B12FE0">
        <w:rPr>
          <w:color w:val="000000" w:themeColor="text1"/>
        </w:rPr>
        <w:t xml:space="preserve">1/2 </w:t>
      </w:r>
      <w:r w:rsidRPr="00B12FE0">
        <w:rPr>
          <w:color w:val="000000" w:themeColor="text1"/>
        </w:rPr>
        <w:t>的场所：</w:t>
      </w:r>
      <w:r w:rsidRPr="00B12FE0">
        <w:rPr>
          <w:i/>
          <w:iCs/>
          <w:color w:val="000000" w:themeColor="text1"/>
        </w:rPr>
        <w:t>Ḣ</w:t>
      </w:r>
      <w:r w:rsidRPr="00B12FE0">
        <w:rPr>
          <w:color w:val="000000" w:themeColor="text1"/>
        </w:rPr>
        <w:t xml:space="preserve">c,max≤2.5 </w:t>
      </w:r>
      <w:proofErr w:type="spellStart"/>
      <w:r w:rsidRPr="00B12FE0">
        <w:rPr>
          <w:color w:val="000000" w:themeColor="text1"/>
        </w:rPr>
        <w:t>μSv</w:t>
      </w:r>
      <w:proofErr w:type="spellEnd"/>
      <w:r w:rsidRPr="00B12FE0">
        <w:rPr>
          <w:color w:val="000000" w:themeColor="text1"/>
        </w:rPr>
        <w:t>/h</w:t>
      </w:r>
      <w:r w:rsidRPr="00B12FE0">
        <w:rPr>
          <w:color w:val="000000" w:themeColor="text1"/>
        </w:rPr>
        <w:t>；</w:t>
      </w:r>
    </w:p>
    <w:p w14:paraId="7EBBC73B" w14:textId="77777777" w:rsidR="00A67F21" w:rsidRPr="00B12FE0" w:rsidRDefault="00000000">
      <w:pPr>
        <w:keepLines/>
        <w:adjustRightInd w:val="0"/>
        <w:snapToGrid w:val="0"/>
        <w:spacing w:line="360" w:lineRule="auto"/>
        <w:ind w:firstLineChars="200" w:firstLine="480"/>
        <w:rPr>
          <w:color w:val="000000" w:themeColor="text1"/>
        </w:rPr>
      </w:pPr>
      <w:r w:rsidRPr="00B12FE0">
        <w:rPr>
          <w:color w:val="000000" w:themeColor="text1"/>
        </w:rPr>
        <w:t>人员居留因子</w:t>
      </w:r>
      <w:r w:rsidRPr="00B12FE0">
        <w:rPr>
          <w:color w:val="000000" w:themeColor="text1"/>
        </w:rPr>
        <w:t xml:space="preserve"> T≤1/2 </w:t>
      </w:r>
      <w:r w:rsidRPr="00B12FE0">
        <w:rPr>
          <w:color w:val="000000" w:themeColor="text1"/>
        </w:rPr>
        <w:t>的场所：</w:t>
      </w:r>
      <w:r w:rsidRPr="00B12FE0">
        <w:rPr>
          <w:i/>
          <w:iCs/>
          <w:color w:val="000000" w:themeColor="text1"/>
        </w:rPr>
        <w:t>Ḣ</w:t>
      </w:r>
      <w:r w:rsidRPr="00B12FE0">
        <w:rPr>
          <w:color w:val="000000" w:themeColor="text1"/>
        </w:rPr>
        <w:t xml:space="preserve">c,max≤10 </w:t>
      </w:r>
      <w:proofErr w:type="spellStart"/>
      <w:r w:rsidRPr="00B12FE0">
        <w:rPr>
          <w:color w:val="000000" w:themeColor="text1"/>
        </w:rPr>
        <w:t>μSv</w:t>
      </w:r>
      <w:proofErr w:type="spellEnd"/>
      <w:r w:rsidRPr="00B12FE0">
        <w:rPr>
          <w:color w:val="000000" w:themeColor="text1"/>
        </w:rPr>
        <w:t>/h</w:t>
      </w:r>
      <w:r w:rsidRPr="00B12FE0">
        <w:rPr>
          <w:color w:val="000000" w:themeColor="text1"/>
        </w:rPr>
        <w:t>。</w:t>
      </w:r>
    </w:p>
    <w:p w14:paraId="04D714C7" w14:textId="77777777" w:rsidR="00A67F21" w:rsidRPr="00B12FE0" w:rsidRDefault="00000000">
      <w:pPr>
        <w:keepLines/>
        <w:adjustRightInd w:val="0"/>
        <w:snapToGrid w:val="0"/>
        <w:spacing w:line="360" w:lineRule="auto"/>
        <w:ind w:firstLineChars="200" w:firstLine="480"/>
        <w:rPr>
          <w:color w:val="000000" w:themeColor="text1"/>
        </w:rPr>
      </w:pPr>
      <w:r w:rsidRPr="00B12FE0">
        <w:rPr>
          <w:color w:val="000000" w:themeColor="text1"/>
        </w:rPr>
        <w:t>参考《放射治疗机房的辐射屏蔽规范</w:t>
      </w:r>
      <w:r w:rsidRPr="00B12FE0">
        <w:rPr>
          <w:color w:val="000000" w:themeColor="text1"/>
        </w:rPr>
        <w:t xml:space="preserve"> </w:t>
      </w:r>
      <w:r w:rsidRPr="00B12FE0">
        <w:rPr>
          <w:color w:val="000000" w:themeColor="text1"/>
        </w:rPr>
        <w:t>第</w:t>
      </w:r>
      <w:r w:rsidRPr="00B12FE0">
        <w:rPr>
          <w:color w:val="000000" w:themeColor="text1"/>
        </w:rPr>
        <w:t>2</w:t>
      </w:r>
      <w:r w:rsidRPr="00B12FE0">
        <w:rPr>
          <w:color w:val="000000" w:themeColor="text1"/>
        </w:rPr>
        <w:t>部分：电子直线加速器放射治疗机》（</w:t>
      </w:r>
      <w:r w:rsidRPr="00B12FE0">
        <w:rPr>
          <w:color w:val="000000" w:themeColor="text1"/>
        </w:rPr>
        <w:t>GBZ/T201.2-2011</w:t>
      </w:r>
      <w:r w:rsidRPr="00B12FE0">
        <w:rPr>
          <w:color w:val="000000" w:themeColor="text1"/>
        </w:rPr>
        <w:t>）附录</w:t>
      </w:r>
      <w:r w:rsidRPr="00B12FE0">
        <w:rPr>
          <w:color w:val="000000" w:themeColor="text1"/>
        </w:rPr>
        <w:t xml:space="preserve"> A</w:t>
      </w:r>
      <w:r w:rsidRPr="00B12FE0">
        <w:rPr>
          <w:color w:val="000000" w:themeColor="text1"/>
        </w:rPr>
        <w:t>中式</w:t>
      </w:r>
      <w:r w:rsidRPr="00B12FE0">
        <w:rPr>
          <w:color w:val="000000" w:themeColor="text1"/>
        </w:rPr>
        <w:t>A.2</w:t>
      </w:r>
      <w:r w:rsidRPr="00B12FE0">
        <w:rPr>
          <w:color w:val="000000" w:themeColor="text1"/>
        </w:rPr>
        <w:t>，关注点的导出剂量率控制水平为：</w:t>
      </w:r>
    </w:p>
    <w:p w14:paraId="4A44D0F6" w14:textId="77777777" w:rsidR="00A67F21" w:rsidRPr="00B12FE0" w:rsidRDefault="00000000">
      <w:pPr>
        <w:keepLines/>
        <w:adjustRightInd w:val="0"/>
        <w:snapToGrid w:val="0"/>
        <w:spacing w:line="360" w:lineRule="auto"/>
        <w:ind w:firstLine="480"/>
        <w:jc w:val="center"/>
        <w:rPr>
          <w:color w:val="000000" w:themeColor="text1"/>
          <w:position w:val="2"/>
        </w:rPr>
      </w:pPr>
      <w:r w:rsidRPr="00B12FE0">
        <w:rPr>
          <w:color w:val="000000" w:themeColor="text1"/>
          <w:position w:val="-12"/>
        </w:rPr>
        <w:object w:dxaOrig="2194" w:dyaOrig="469" w14:anchorId="0E997B0E">
          <v:shape id="_x0000_i1031" type="#_x0000_t75" style="width:109.4pt;height:23.4pt" o:ole="">
            <v:imagedata r:id="rId66" o:title=""/>
          </v:shape>
          <o:OLEObject Type="Embed" ProgID="Equation.3" ShapeID="_x0000_i1031" DrawAspect="Content" ObjectID="_1843190429" r:id="rId67"/>
        </w:object>
      </w:r>
      <w:r w:rsidRPr="00B12FE0">
        <w:rPr>
          <w:color w:val="000000" w:themeColor="text1"/>
          <w:position w:val="2"/>
        </w:rPr>
        <w:t xml:space="preserve">    </w:t>
      </w:r>
      <w:r w:rsidRPr="00B12FE0">
        <w:rPr>
          <w:color w:val="000000" w:themeColor="text1"/>
          <w:position w:val="2"/>
        </w:rPr>
        <w:t>（式</w:t>
      </w:r>
      <w:r w:rsidRPr="00B12FE0">
        <w:rPr>
          <w:color w:val="000000" w:themeColor="text1"/>
          <w:position w:val="2"/>
        </w:rPr>
        <w:t>11.3-1</w:t>
      </w:r>
      <w:r w:rsidRPr="00B12FE0">
        <w:rPr>
          <w:color w:val="000000" w:themeColor="text1"/>
          <w:position w:val="2"/>
        </w:rPr>
        <w:t>）</w:t>
      </w:r>
    </w:p>
    <w:p w14:paraId="4D114FD3" w14:textId="77777777" w:rsidR="00A67F21" w:rsidRPr="00B12FE0" w:rsidRDefault="00000000">
      <w:pPr>
        <w:keepLines/>
        <w:adjustRightInd w:val="0"/>
        <w:snapToGrid w:val="0"/>
        <w:spacing w:line="360" w:lineRule="auto"/>
        <w:ind w:firstLine="480"/>
        <w:rPr>
          <w:color w:val="000000" w:themeColor="text1"/>
        </w:rPr>
      </w:pPr>
      <w:r w:rsidRPr="00B12FE0">
        <w:rPr>
          <w:color w:val="000000" w:themeColor="text1"/>
        </w:rPr>
        <w:t>式中：</w:t>
      </w:r>
    </w:p>
    <w:p w14:paraId="2C301F0E" w14:textId="77777777" w:rsidR="00A67F21" w:rsidRPr="00B12FE0" w:rsidRDefault="00000000">
      <w:pPr>
        <w:keepLines/>
        <w:adjustRightInd w:val="0"/>
        <w:snapToGrid w:val="0"/>
        <w:spacing w:line="360" w:lineRule="auto"/>
        <w:ind w:firstLine="480"/>
        <w:rPr>
          <w:color w:val="000000" w:themeColor="text1"/>
        </w:rPr>
      </w:pPr>
      <w:r w:rsidRPr="00B12FE0">
        <w:rPr>
          <w:color w:val="000000" w:themeColor="text1"/>
          <w:position w:val="-12"/>
        </w:rPr>
        <w:object w:dxaOrig="368" w:dyaOrig="368" w14:anchorId="31127066">
          <v:shape id="_x0000_i1032" type="#_x0000_t75" style="width:18.7pt;height:18.7pt" o:ole="">
            <v:imagedata r:id="rId68" o:title=""/>
          </v:shape>
          <o:OLEObject Type="Embed" ProgID="Equation.DSMT4" ShapeID="_x0000_i1032" DrawAspect="Content" ObjectID="_1843190430" r:id="rId69"/>
        </w:object>
      </w:r>
      <w:r w:rsidRPr="00B12FE0">
        <w:rPr>
          <w:color w:val="000000" w:themeColor="text1"/>
        </w:rPr>
        <w:t>：周参考剂量控制水平（</w:t>
      </w:r>
      <w:r w:rsidRPr="00B12FE0">
        <w:rPr>
          <w:color w:val="000000" w:themeColor="text1"/>
        </w:rPr>
        <w:t>µSv/</w:t>
      </w:r>
      <w:r w:rsidRPr="00B12FE0">
        <w:rPr>
          <w:color w:val="000000" w:themeColor="text1"/>
        </w:rPr>
        <w:t>周），即上述</w:t>
      </w:r>
      <w:r w:rsidRPr="00B12FE0">
        <w:rPr>
          <w:color w:val="000000" w:themeColor="text1"/>
        </w:rPr>
        <w:t>1</w:t>
      </w:r>
      <w:r w:rsidRPr="00B12FE0">
        <w:rPr>
          <w:color w:val="000000" w:themeColor="text1"/>
        </w:rPr>
        <w:t>）中的周剂量参考控制水平（</w:t>
      </w:r>
      <w:proofErr w:type="spellStart"/>
      <w:r w:rsidRPr="00B12FE0">
        <w:rPr>
          <w:color w:val="000000" w:themeColor="text1"/>
        </w:rPr>
        <w:t>Ḣc</w:t>
      </w:r>
      <w:proofErr w:type="spellEnd"/>
      <w:r w:rsidRPr="00B12FE0">
        <w:rPr>
          <w:color w:val="000000" w:themeColor="text1"/>
        </w:rPr>
        <w:t>）；</w:t>
      </w:r>
    </w:p>
    <w:p w14:paraId="4D2427EA" w14:textId="77777777" w:rsidR="00A67F21" w:rsidRPr="00B12FE0" w:rsidRDefault="00000000">
      <w:pPr>
        <w:keepLines/>
        <w:adjustRightInd w:val="0"/>
        <w:snapToGrid w:val="0"/>
        <w:spacing w:line="360" w:lineRule="auto"/>
        <w:ind w:firstLine="480"/>
        <w:rPr>
          <w:color w:val="000000" w:themeColor="text1"/>
        </w:rPr>
      </w:pPr>
      <w:r w:rsidRPr="00B12FE0">
        <w:rPr>
          <w:color w:val="000000" w:themeColor="text1"/>
        </w:rPr>
        <w:t>t</w:t>
      </w:r>
      <w:r w:rsidRPr="00B12FE0">
        <w:rPr>
          <w:color w:val="000000" w:themeColor="text1"/>
        </w:rPr>
        <w:t>：治疗</w:t>
      </w:r>
      <w:proofErr w:type="gramStart"/>
      <w:r w:rsidRPr="00B12FE0">
        <w:rPr>
          <w:color w:val="000000" w:themeColor="text1"/>
        </w:rPr>
        <w:t>装置周</w:t>
      </w:r>
      <w:proofErr w:type="gramEnd"/>
      <w:r w:rsidRPr="00B12FE0">
        <w:rPr>
          <w:color w:val="000000" w:themeColor="text1"/>
        </w:rPr>
        <w:t>治疗照射时间，</w:t>
      </w:r>
      <w:r w:rsidRPr="00B12FE0">
        <w:rPr>
          <w:color w:val="000000" w:themeColor="text1"/>
        </w:rPr>
        <w:t>h</w:t>
      </w:r>
      <w:r w:rsidRPr="00B12FE0">
        <w:rPr>
          <w:color w:val="000000" w:themeColor="text1"/>
        </w:rPr>
        <w:t>；</w:t>
      </w:r>
    </w:p>
    <w:p w14:paraId="7F1C0EF3" w14:textId="77777777" w:rsidR="00A67F21" w:rsidRPr="00B12FE0" w:rsidRDefault="00000000">
      <w:pPr>
        <w:keepLines/>
        <w:adjustRightInd w:val="0"/>
        <w:snapToGrid w:val="0"/>
        <w:spacing w:line="360" w:lineRule="auto"/>
        <w:ind w:firstLine="480"/>
        <w:rPr>
          <w:color w:val="000000" w:themeColor="text1"/>
        </w:rPr>
      </w:pPr>
      <w:r w:rsidRPr="00B12FE0">
        <w:rPr>
          <w:color w:val="000000" w:themeColor="text1"/>
        </w:rPr>
        <w:t>U</w:t>
      </w:r>
      <w:r w:rsidRPr="00B12FE0">
        <w:rPr>
          <w:color w:val="000000" w:themeColor="text1"/>
        </w:rPr>
        <w:t>：有用线束向关注位置的方向照射的使用因子，本项目取</w:t>
      </w:r>
      <w:r w:rsidRPr="00B12FE0">
        <w:rPr>
          <w:color w:val="000000" w:themeColor="text1"/>
        </w:rPr>
        <w:t>1</w:t>
      </w:r>
      <w:r w:rsidRPr="00B12FE0">
        <w:rPr>
          <w:color w:val="000000" w:themeColor="text1"/>
        </w:rPr>
        <w:t>；</w:t>
      </w:r>
    </w:p>
    <w:p w14:paraId="72768366" w14:textId="77777777" w:rsidR="00A67F21" w:rsidRPr="00B12FE0" w:rsidRDefault="00000000">
      <w:pPr>
        <w:keepLines/>
        <w:adjustRightInd w:val="0"/>
        <w:snapToGrid w:val="0"/>
        <w:spacing w:line="360" w:lineRule="auto"/>
        <w:ind w:firstLine="480"/>
        <w:rPr>
          <w:color w:val="000000" w:themeColor="text1"/>
          <w:szCs w:val="24"/>
        </w:rPr>
      </w:pPr>
      <w:r w:rsidRPr="00B12FE0">
        <w:rPr>
          <w:color w:val="000000" w:themeColor="text1"/>
        </w:rPr>
        <w:t>T</w:t>
      </w:r>
      <w:r w:rsidRPr="00B12FE0">
        <w:rPr>
          <w:color w:val="000000" w:themeColor="text1"/>
        </w:rPr>
        <w:t>：人员在相应关注点驻留的居留因子。</w:t>
      </w:r>
    </w:p>
    <w:p w14:paraId="479BDB76" w14:textId="77777777" w:rsidR="00A67F21" w:rsidRPr="00B12FE0" w:rsidRDefault="00000000">
      <w:pPr>
        <w:keepLines/>
        <w:adjustRightInd w:val="0"/>
        <w:snapToGrid w:val="0"/>
        <w:spacing w:line="360" w:lineRule="auto"/>
        <w:ind w:firstLine="480"/>
        <w:rPr>
          <w:color w:val="000000" w:themeColor="text1"/>
          <w:szCs w:val="24"/>
        </w:rPr>
      </w:pPr>
      <w:proofErr w:type="gramStart"/>
      <w:r w:rsidRPr="00B12FE0">
        <w:rPr>
          <w:color w:val="000000" w:themeColor="text1"/>
          <w:szCs w:val="24"/>
        </w:rPr>
        <w:t>各关注</w:t>
      </w:r>
      <w:proofErr w:type="gramEnd"/>
      <w:r w:rsidRPr="00B12FE0">
        <w:rPr>
          <w:color w:val="000000" w:themeColor="text1"/>
          <w:szCs w:val="24"/>
        </w:rPr>
        <w:t>点的剂量率参考控制水平</w:t>
      </w:r>
      <w:r w:rsidRPr="00B12FE0">
        <w:rPr>
          <w:color w:val="000000" w:themeColor="text1"/>
          <w:szCs w:val="24"/>
        </w:rPr>
        <w:t xml:space="preserve"> </w:t>
      </w:r>
      <w:proofErr w:type="spellStart"/>
      <w:r w:rsidRPr="00B12FE0">
        <w:rPr>
          <w:color w:val="000000" w:themeColor="text1"/>
          <w:szCs w:val="24"/>
        </w:rPr>
        <w:t>Ḣc</w:t>
      </w:r>
      <w:proofErr w:type="spellEnd"/>
      <w:r w:rsidRPr="00B12FE0">
        <w:rPr>
          <w:color w:val="000000" w:themeColor="text1"/>
          <w:szCs w:val="24"/>
        </w:rPr>
        <w:t>见表</w:t>
      </w:r>
      <w:r w:rsidRPr="00B12FE0">
        <w:rPr>
          <w:b/>
          <w:snapToGrid w:val="0"/>
          <w:color w:val="000000" w:themeColor="text1"/>
          <w:szCs w:val="24"/>
        </w:rPr>
        <w:t>11.2.2.1-4</w:t>
      </w:r>
      <w:r w:rsidRPr="00B12FE0">
        <w:rPr>
          <w:color w:val="000000" w:themeColor="text1"/>
          <w:szCs w:val="24"/>
        </w:rPr>
        <w:t>。</w:t>
      </w:r>
    </w:p>
    <w:p w14:paraId="413F1E00" w14:textId="77777777" w:rsidR="00A67F21" w:rsidRPr="00B12FE0" w:rsidRDefault="00000000">
      <w:pPr>
        <w:keepLines/>
        <w:adjustRightInd w:val="0"/>
        <w:snapToGrid w:val="0"/>
        <w:spacing w:line="360" w:lineRule="auto"/>
        <w:ind w:firstLine="422"/>
        <w:jc w:val="center"/>
        <w:rPr>
          <w:b/>
          <w:color w:val="000000" w:themeColor="text1"/>
          <w:sz w:val="21"/>
          <w:szCs w:val="21"/>
        </w:rPr>
      </w:pPr>
      <w:r w:rsidRPr="00B12FE0">
        <w:rPr>
          <w:b/>
          <w:snapToGrid w:val="0"/>
          <w:color w:val="000000" w:themeColor="text1"/>
          <w:sz w:val="21"/>
          <w:szCs w:val="21"/>
        </w:rPr>
        <w:t>表</w:t>
      </w:r>
      <w:r w:rsidRPr="00B12FE0">
        <w:rPr>
          <w:b/>
          <w:snapToGrid w:val="0"/>
          <w:color w:val="000000" w:themeColor="text1"/>
          <w:sz w:val="21"/>
          <w:szCs w:val="21"/>
        </w:rPr>
        <w:t>11.2.2.1-4</w:t>
      </w:r>
      <w:r w:rsidRPr="00B12FE0">
        <w:rPr>
          <w:b/>
          <w:color w:val="000000" w:themeColor="text1"/>
          <w:sz w:val="21"/>
          <w:szCs w:val="21"/>
        </w:rPr>
        <w:t xml:space="preserve">  </w:t>
      </w:r>
      <w:proofErr w:type="gramStart"/>
      <w:r w:rsidRPr="00B12FE0">
        <w:rPr>
          <w:b/>
          <w:color w:val="000000" w:themeColor="text1"/>
          <w:sz w:val="21"/>
          <w:szCs w:val="21"/>
        </w:rPr>
        <w:t>各关注</w:t>
      </w:r>
      <w:proofErr w:type="gramEnd"/>
      <w:r w:rsidRPr="00B12FE0">
        <w:rPr>
          <w:b/>
          <w:color w:val="000000" w:themeColor="text1"/>
          <w:sz w:val="21"/>
          <w:szCs w:val="21"/>
        </w:rPr>
        <w:t>点剂量率控制水平</w:t>
      </w:r>
    </w:p>
    <w:tbl>
      <w:tblPr>
        <w:tblW w:w="8894" w:type="dxa"/>
        <w:jc w:val="center"/>
        <w:tblLayout w:type="fixed"/>
        <w:tblLook w:val="04A0" w:firstRow="1" w:lastRow="0" w:firstColumn="1" w:lastColumn="0" w:noHBand="0" w:noVBand="1"/>
      </w:tblPr>
      <w:tblGrid>
        <w:gridCol w:w="882"/>
        <w:gridCol w:w="1294"/>
        <w:gridCol w:w="1214"/>
        <w:gridCol w:w="1513"/>
        <w:gridCol w:w="1606"/>
        <w:gridCol w:w="1158"/>
        <w:gridCol w:w="1227"/>
      </w:tblGrid>
      <w:tr w:rsidR="00A67F21" w:rsidRPr="00B12FE0" w14:paraId="1892C8B6"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2D6EC19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lang w:bidi="ar"/>
              </w:rPr>
              <w:t>关注点</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0D0489C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居留因子（</w:t>
            </w:r>
            <w:r w:rsidRPr="00B12FE0">
              <w:rPr>
                <w:snapToGrid w:val="0"/>
                <w:color w:val="000000" w:themeColor="text1"/>
                <w:kern w:val="0"/>
                <w:sz w:val="21"/>
                <w:szCs w:val="21"/>
                <w:lang w:bidi="ar"/>
              </w:rPr>
              <w:t>T</w:t>
            </w:r>
            <w:r w:rsidRPr="00B12FE0">
              <w:rPr>
                <w:snapToGrid w:val="0"/>
                <w:color w:val="000000" w:themeColor="text1"/>
                <w:kern w:val="0"/>
                <w:sz w:val="21"/>
                <w:szCs w:val="21"/>
                <w:lang w:bidi="ar"/>
              </w:rPr>
              <w:t>）</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02276B2C" w14:textId="77777777" w:rsidR="00A67F21" w:rsidRPr="00B12FE0" w:rsidRDefault="00000000">
            <w:pPr>
              <w:keepLines/>
              <w:widowControl/>
              <w:adjustRightInd w:val="0"/>
              <w:snapToGrid w:val="0"/>
              <w:jc w:val="center"/>
              <w:rPr>
                <w:snapToGrid w:val="0"/>
                <w:color w:val="000000" w:themeColor="text1"/>
                <w:sz w:val="21"/>
                <w:szCs w:val="21"/>
              </w:rPr>
            </w:pPr>
            <w:r w:rsidRPr="00B12FE0">
              <w:rPr>
                <w:color w:val="000000" w:themeColor="text1"/>
                <w:kern w:val="0"/>
                <w:sz w:val="21"/>
                <w:szCs w:val="21"/>
              </w:rPr>
              <w:t>周治疗照射时间（</w:t>
            </w:r>
            <w:r w:rsidRPr="00B12FE0">
              <w:rPr>
                <w:color w:val="000000" w:themeColor="text1"/>
                <w:kern w:val="0"/>
                <w:sz w:val="21"/>
                <w:szCs w:val="21"/>
              </w:rPr>
              <w:t>t)</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3D472777" w14:textId="77777777" w:rsidR="00A67F21" w:rsidRPr="00B12FE0" w:rsidRDefault="00000000">
            <w:pPr>
              <w:keepLines/>
              <w:widowControl/>
              <w:adjustRightInd w:val="0"/>
              <w:snapToGrid w:val="0"/>
              <w:jc w:val="center"/>
              <w:rPr>
                <w:snapToGrid w:val="0"/>
                <w:color w:val="000000" w:themeColor="text1"/>
                <w:sz w:val="21"/>
                <w:szCs w:val="21"/>
              </w:rPr>
            </w:pPr>
            <w:proofErr w:type="spellStart"/>
            <w:r w:rsidRPr="00B12FE0">
              <w:rPr>
                <w:color w:val="000000" w:themeColor="text1"/>
                <w:sz w:val="21"/>
                <w:szCs w:val="21"/>
              </w:rPr>
              <w:t>Ḣc</w:t>
            </w:r>
            <w:proofErr w:type="spellEnd"/>
            <w:r w:rsidRPr="00B12FE0">
              <w:rPr>
                <w:color w:val="000000" w:themeColor="text1"/>
                <w:kern w:val="0"/>
                <w:sz w:val="21"/>
                <w:szCs w:val="21"/>
              </w:rPr>
              <w:t xml:space="preserve"> (µSv/</w:t>
            </w:r>
            <w:r w:rsidRPr="00B12FE0">
              <w:rPr>
                <w:color w:val="000000" w:themeColor="text1"/>
                <w:kern w:val="0"/>
                <w:sz w:val="21"/>
                <w:szCs w:val="21"/>
              </w:rPr>
              <w:t>周）</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6DC1C7B6" w14:textId="77777777" w:rsidR="00A67F21" w:rsidRPr="00B12FE0" w:rsidRDefault="00000000">
            <w:pPr>
              <w:keepLines/>
              <w:adjustRightInd w:val="0"/>
              <w:snapToGrid w:val="0"/>
              <w:jc w:val="center"/>
              <w:rPr>
                <w:snapToGrid w:val="0"/>
                <w:color w:val="000000" w:themeColor="text1"/>
                <w:sz w:val="21"/>
                <w:szCs w:val="21"/>
              </w:rPr>
            </w:pPr>
            <w:r w:rsidRPr="00B12FE0">
              <w:rPr>
                <w:color w:val="000000" w:themeColor="text1"/>
                <w:kern w:val="0"/>
                <w:sz w:val="21"/>
                <w:szCs w:val="21"/>
              </w:rPr>
              <w:fldChar w:fldCharType="begin"/>
            </w:r>
            <w:r w:rsidRPr="00B12FE0">
              <w:rPr>
                <w:color w:val="000000" w:themeColor="text1"/>
                <w:kern w:val="0"/>
                <w:sz w:val="21"/>
                <w:szCs w:val="21"/>
              </w:rPr>
              <w:instrText xml:space="preserve"> QUOTE </w:instrText>
            </w:r>
            <w:r w:rsidRPr="00B12FE0">
              <w:rPr>
                <w:noProof/>
                <w:color w:val="000000" w:themeColor="text1"/>
                <w:position w:val="-8"/>
                <w:sz w:val="21"/>
                <w:szCs w:val="21"/>
              </w:rPr>
              <w:drawing>
                <wp:inline distT="0" distB="0" distL="114300" distR="114300" wp14:anchorId="2B6EC841" wp14:editId="54053F3A">
                  <wp:extent cx="257810" cy="200025"/>
                  <wp:effectExtent l="0" t="0" r="8890" b="8890"/>
                  <wp:docPr id="38359807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98072" name="图片 87"/>
                          <pic:cNvPicPr>
                            <a:picLocks noChangeAspect="1"/>
                          </pic:cNvPicPr>
                        </pic:nvPicPr>
                        <pic:blipFill>
                          <a:blip r:embed="rId70">
                            <a:clrChange>
                              <a:clrFrom>
                                <a:srgbClr val="FFFFFF"/>
                              </a:clrFrom>
                              <a:clrTo>
                                <a:srgbClr val="FFFFFF">
                                  <a:alpha val="0"/>
                                </a:srgbClr>
                              </a:clrTo>
                            </a:clrChange>
                          </a:blip>
                          <a:stretch>
                            <a:fillRect/>
                          </a:stretch>
                        </pic:blipFill>
                        <pic:spPr>
                          <a:xfrm>
                            <a:off x="0" y="0"/>
                            <a:ext cx="257810" cy="200025"/>
                          </a:xfrm>
                          <a:prstGeom prst="rect">
                            <a:avLst/>
                          </a:prstGeom>
                          <a:noFill/>
                          <a:ln w="9525">
                            <a:noFill/>
                          </a:ln>
                        </pic:spPr>
                      </pic:pic>
                    </a:graphicData>
                  </a:graphic>
                </wp:inline>
              </w:drawing>
            </w:r>
            <w:r w:rsidRPr="00B12FE0">
              <w:rPr>
                <w:color w:val="000000" w:themeColor="text1"/>
                <w:kern w:val="0"/>
                <w:sz w:val="21"/>
                <w:szCs w:val="21"/>
              </w:rPr>
              <w:instrText xml:space="preserve"> </w:instrText>
            </w:r>
            <w:r w:rsidRPr="00B12FE0">
              <w:rPr>
                <w:color w:val="000000" w:themeColor="text1"/>
                <w:kern w:val="0"/>
                <w:sz w:val="21"/>
                <w:szCs w:val="21"/>
              </w:rPr>
              <w:fldChar w:fldCharType="separate"/>
            </w:r>
            <w:r w:rsidRPr="00B12FE0">
              <w:rPr>
                <w:noProof/>
                <w:color w:val="000000" w:themeColor="text1"/>
                <w:position w:val="-8"/>
                <w:sz w:val="21"/>
                <w:szCs w:val="21"/>
              </w:rPr>
              <w:drawing>
                <wp:inline distT="0" distB="0" distL="114300" distR="114300" wp14:anchorId="68577733" wp14:editId="7E84C547">
                  <wp:extent cx="257810" cy="200025"/>
                  <wp:effectExtent l="0" t="0" r="8890" b="8890"/>
                  <wp:docPr id="153992587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25871" name="图片 88"/>
                          <pic:cNvPicPr>
                            <a:picLocks noChangeAspect="1"/>
                          </pic:cNvPicPr>
                        </pic:nvPicPr>
                        <pic:blipFill>
                          <a:blip r:embed="rId70">
                            <a:clrChange>
                              <a:clrFrom>
                                <a:srgbClr val="FFFFFF"/>
                              </a:clrFrom>
                              <a:clrTo>
                                <a:srgbClr val="FFFFFF">
                                  <a:alpha val="0"/>
                                </a:srgbClr>
                              </a:clrTo>
                            </a:clrChange>
                          </a:blip>
                          <a:stretch>
                            <a:fillRect/>
                          </a:stretch>
                        </pic:blipFill>
                        <pic:spPr>
                          <a:xfrm>
                            <a:off x="0" y="0"/>
                            <a:ext cx="257810" cy="200025"/>
                          </a:xfrm>
                          <a:prstGeom prst="rect">
                            <a:avLst/>
                          </a:prstGeom>
                          <a:noFill/>
                          <a:ln w="9525">
                            <a:noFill/>
                          </a:ln>
                        </pic:spPr>
                      </pic:pic>
                    </a:graphicData>
                  </a:graphic>
                </wp:inline>
              </w:drawing>
            </w:r>
            <w:r w:rsidRPr="00B12FE0">
              <w:rPr>
                <w:color w:val="000000" w:themeColor="text1"/>
                <w:kern w:val="0"/>
                <w:sz w:val="21"/>
                <w:szCs w:val="21"/>
              </w:rPr>
              <w:fldChar w:fldCharType="end"/>
            </w:r>
            <w:r w:rsidRPr="00B12FE0">
              <w:rPr>
                <w:color w:val="000000" w:themeColor="text1"/>
                <w:kern w:val="0"/>
                <w:sz w:val="21"/>
                <w:szCs w:val="21"/>
              </w:rPr>
              <w:t>计算值（</w:t>
            </w:r>
            <w:r w:rsidRPr="00B12FE0">
              <w:rPr>
                <w:color w:val="000000" w:themeColor="text1"/>
                <w:kern w:val="0"/>
                <w:sz w:val="21"/>
                <w:szCs w:val="21"/>
              </w:rPr>
              <w:t>µSv/h</w:t>
            </w:r>
            <w:r w:rsidRPr="00B12FE0">
              <w:rPr>
                <w:color w:val="000000" w:themeColor="text1"/>
                <w:kern w:val="0"/>
                <w:sz w:val="21"/>
                <w:szCs w:val="21"/>
              </w:rPr>
              <w:t>）</w:t>
            </w:r>
          </w:p>
        </w:tc>
        <w:tc>
          <w:tcPr>
            <w:tcW w:w="1158" w:type="dxa"/>
            <w:tcBorders>
              <w:top w:val="single" w:sz="4" w:space="0" w:color="000000"/>
              <w:left w:val="single" w:sz="4" w:space="0" w:color="000000"/>
              <w:bottom w:val="single" w:sz="4" w:space="0" w:color="000000"/>
              <w:right w:val="single" w:sz="4" w:space="0" w:color="000000"/>
            </w:tcBorders>
            <w:vAlign w:val="center"/>
          </w:tcPr>
          <w:p w14:paraId="3E178CE6" w14:textId="77777777" w:rsidR="00A67F21" w:rsidRPr="00B12FE0" w:rsidRDefault="00000000">
            <w:pPr>
              <w:keepLines/>
              <w:adjustRightInd w:val="0"/>
              <w:snapToGrid w:val="0"/>
              <w:jc w:val="center"/>
              <w:rPr>
                <w:snapToGrid w:val="0"/>
                <w:color w:val="000000" w:themeColor="text1"/>
                <w:sz w:val="21"/>
                <w:szCs w:val="21"/>
              </w:rPr>
            </w:pPr>
            <w:r w:rsidRPr="00B12FE0">
              <w:rPr>
                <w:noProof/>
                <w:color w:val="000000" w:themeColor="text1"/>
                <w:sz w:val="21"/>
                <w:szCs w:val="21"/>
              </w:rPr>
              <w:drawing>
                <wp:inline distT="0" distB="0" distL="114300" distR="114300" wp14:anchorId="46912842" wp14:editId="49C2425E">
                  <wp:extent cx="427990" cy="200025"/>
                  <wp:effectExtent l="0" t="0" r="10160" b="8890"/>
                  <wp:docPr id="189699114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91147" name="图片 89"/>
                          <pic:cNvPicPr>
                            <a:picLocks noChangeAspect="1"/>
                          </pic:cNvPicPr>
                        </pic:nvPicPr>
                        <pic:blipFill>
                          <a:blip r:embed="rId71">
                            <a:clrChange>
                              <a:clrFrom>
                                <a:srgbClr val="FFFFFF"/>
                              </a:clrFrom>
                              <a:clrTo>
                                <a:srgbClr val="FFFFFF">
                                  <a:alpha val="0"/>
                                </a:srgbClr>
                              </a:clrTo>
                            </a:clrChange>
                          </a:blip>
                          <a:stretch>
                            <a:fillRect/>
                          </a:stretch>
                        </pic:blipFill>
                        <pic:spPr>
                          <a:xfrm>
                            <a:off x="0" y="0"/>
                            <a:ext cx="427990" cy="200025"/>
                          </a:xfrm>
                          <a:prstGeom prst="rect">
                            <a:avLst/>
                          </a:prstGeom>
                          <a:noFill/>
                          <a:ln w="9525">
                            <a:noFill/>
                          </a:ln>
                        </pic:spPr>
                      </pic:pic>
                    </a:graphicData>
                  </a:graphic>
                </wp:inline>
              </w:drawing>
            </w:r>
            <w:r w:rsidRPr="00B12FE0">
              <w:rPr>
                <w:color w:val="000000" w:themeColor="text1"/>
                <w:kern w:val="0"/>
                <w:sz w:val="21"/>
                <w:szCs w:val="21"/>
              </w:rPr>
              <w:br/>
            </w:r>
            <w:r w:rsidRPr="00B12FE0">
              <w:rPr>
                <w:color w:val="000000" w:themeColor="text1"/>
                <w:kern w:val="0"/>
                <w:sz w:val="21"/>
                <w:szCs w:val="21"/>
              </w:rPr>
              <w:t>（</w:t>
            </w:r>
            <w:r w:rsidRPr="00B12FE0">
              <w:rPr>
                <w:color w:val="000000" w:themeColor="text1"/>
                <w:kern w:val="0"/>
                <w:sz w:val="21"/>
                <w:szCs w:val="21"/>
              </w:rPr>
              <w:t>µSv/h</w:t>
            </w:r>
            <w:r w:rsidRPr="00B12FE0">
              <w:rPr>
                <w:color w:val="000000" w:themeColor="text1"/>
                <w:kern w:val="0"/>
                <w:sz w:val="21"/>
                <w:szCs w:val="21"/>
              </w:rPr>
              <w:t>）</w:t>
            </w:r>
          </w:p>
        </w:tc>
        <w:tc>
          <w:tcPr>
            <w:tcW w:w="1227" w:type="dxa"/>
            <w:tcBorders>
              <w:top w:val="single" w:sz="4" w:space="0" w:color="000000"/>
              <w:left w:val="nil"/>
              <w:bottom w:val="single" w:sz="4" w:space="0" w:color="000000"/>
              <w:right w:val="single" w:sz="4" w:space="0" w:color="000000"/>
            </w:tcBorders>
            <w:noWrap/>
            <w:vAlign w:val="center"/>
          </w:tcPr>
          <w:p w14:paraId="28853018" w14:textId="77777777" w:rsidR="00A67F21" w:rsidRPr="00B12FE0" w:rsidRDefault="00000000">
            <w:pPr>
              <w:keepLines/>
              <w:adjustRightInd w:val="0"/>
              <w:snapToGrid w:val="0"/>
              <w:jc w:val="center"/>
              <w:rPr>
                <w:snapToGrid w:val="0"/>
                <w:color w:val="000000" w:themeColor="text1"/>
                <w:sz w:val="21"/>
                <w:szCs w:val="21"/>
              </w:rPr>
            </w:pPr>
            <w:r w:rsidRPr="00B12FE0">
              <w:rPr>
                <w:color w:val="000000" w:themeColor="text1"/>
                <w:position w:val="-12"/>
                <w:sz w:val="21"/>
                <w:szCs w:val="21"/>
              </w:rPr>
              <w:object w:dxaOrig="251" w:dyaOrig="452" w14:anchorId="3C78FA8C">
                <v:shape id="_x0000_i1033" type="#_x0000_t75" style="width:12.15pt;height:22.45pt" o:ole="">
                  <v:imagedata r:id="rId72" o:title=""/>
                </v:shape>
                <o:OLEObject Type="Embed" ProgID="Equation.KSEE3" ShapeID="_x0000_i1033" DrawAspect="Content" ObjectID="_1843190431" r:id="rId73"/>
              </w:object>
            </w:r>
            <w:r w:rsidRPr="00B12FE0">
              <w:rPr>
                <w:color w:val="000000" w:themeColor="text1"/>
                <w:kern w:val="0"/>
                <w:sz w:val="21"/>
                <w:szCs w:val="21"/>
              </w:rPr>
              <w:t>（</w:t>
            </w:r>
            <w:r w:rsidRPr="00B12FE0">
              <w:rPr>
                <w:color w:val="000000" w:themeColor="text1"/>
                <w:kern w:val="0"/>
                <w:sz w:val="21"/>
                <w:szCs w:val="21"/>
              </w:rPr>
              <w:t>µSv/h</w:t>
            </w:r>
            <w:r w:rsidRPr="00B12FE0">
              <w:rPr>
                <w:color w:val="000000" w:themeColor="text1"/>
                <w:kern w:val="0"/>
                <w:sz w:val="21"/>
                <w:szCs w:val="21"/>
              </w:rPr>
              <w:t>）最终取值</w:t>
            </w:r>
          </w:p>
        </w:tc>
      </w:tr>
      <w:tr w:rsidR="00A67F21" w:rsidRPr="00B12FE0" w14:paraId="1119381C" w14:textId="77777777">
        <w:trPr>
          <w:trHeight w:val="272"/>
          <w:jc w:val="center"/>
        </w:trPr>
        <w:tc>
          <w:tcPr>
            <w:tcW w:w="882" w:type="dxa"/>
            <w:tcBorders>
              <w:top w:val="single" w:sz="4" w:space="0" w:color="auto"/>
              <w:left w:val="single" w:sz="4" w:space="0" w:color="auto"/>
              <w:bottom w:val="single" w:sz="4" w:space="0" w:color="auto"/>
              <w:right w:val="single" w:sz="4" w:space="0" w:color="auto"/>
            </w:tcBorders>
            <w:noWrap/>
            <w:vAlign w:val="center"/>
          </w:tcPr>
          <w:p w14:paraId="522AA63D"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color w:val="000000" w:themeColor="text1"/>
                <w:sz w:val="21"/>
                <w:szCs w:val="21"/>
              </w:rPr>
              <w:t>a</w:t>
            </w:r>
            <w:r w:rsidRPr="00B12FE0">
              <w:rPr>
                <w:rFonts w:hint="eastAsia"/>
                <w:color w:val="000000" w:themeColor="text1"/>
                <w:sz w:val="21"/>
                <w:szCs w:val="21"/>
                <w:vertAlign w:val="subscript"/>
              </w:rPr>
              <w:t>1</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49384DD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1/16</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10104A71" w14:textId="77777777" w:rsidR="00A67F21" w:rsidRPr="00B12FE0" w:rsidRDefault="00000000">
            <w:pPr>
              <w:keepLines/>
              <w:widowControl/>
              <w:adjustRightInd w:val="0"/>
              <w:snapToGrid w:val="0"/>
              <w:jc w:val="center"/>
              <w:rPr>
                <w:color w:val="000000" w:themeColor="text1"/>
                <w:kern w:val="0"/>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5C049024" w14:textId="77777777" w:rsidR="00A67F21" w:rsidRPr="00B12FE0" w:rsidRDefault="00000000">
            <w:pPr>
              <w:keepLines/>
              <w:widowControl/>
              <w:adjustRightInd w:val="0"/>
              <w:snapToGrid w:val="0"/>
              <w:jc w:val="center"/>
              <w:rPr>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361A8CAC" w14:textId="77777777" w:rsidR="00A67F21" w:rsidRPr="00B12FE0" w:rsidRDefault="00000000">
            <w:pPr>
              <w:keepLines/>
              <w:adjustRightInd w:val="0"/>
              <w:snapToGrid w:val="0"/>
              <w:jc w:val="center"/>
              <w:rPr>
                <w:color w:val="000000" w:themeColor="text1"/>
                <w:kern w:val="0"/>
                <w:sz w:val="21"/>
                <w:szCs w:val="21"/>
              </w:rPr>
            </w:pPr>
            <w:r w:rsidRPr="00B12FE0">
              <w:rPr>
                <w:rFonts w:eastAsia="等线"/>
                <w:color w:val="000000" w:themeColor="text1"/>
                <w:sz w:val="21"/>
                <w:szCs w:val="21"/>
              </w:rPr>
              <w:t xml:space="preserve">10.67 </w:t>
            </w:r>
          </w:p>
        </w:tc>
        <w:tc>
          <w:tcPr>
            <w:tcW w:w="1158" w:type="dxa"/>
            <w:tcBorders>
              <w:top w:val="single" w:sz="4" w:space="0" w:color="000000"/>
              <w:left w:val="single" w:sz="4" w:space="0" w:color="000000"/>
              <w:bottom w:val="single" w:sz="4" w:space="0" w:color="000000"/>
              <w:right w:val="single" w:sz="4" w:space="0" w:color="000000"/>
            </w:tcBorders>
            <w:vAlign w:val="center"/>
          </w:tcPr>
          <w:p w14:paraId="339362EC" w14:textId="77777777" w:rsidR="00A67F21" w:rsidRPr="00B12FE0" w:rsidRDefault="00000000">
            <w:pPr>
              <w:keepLines/>
              <w:adjustRightInd w:val="0"/>
              <w:snapToGrid w:val="0"/>
              <w:jc w:val="center"/>
              <w:rPr>
                <w:color w:val="000000" w:themeColor="text1"/>
                <w:sz w:val="21"/>
                <w:szCs w:val="21"/>
              </w:rPr>
            </w:pPr>
            <w:r w:rsidRPr="00B12FE0">
              <w:rPr>
                <w:rFonts w:hint="eastAsia"/>
                <w:color w:val="000000" w:themeColor="text1"/>
                <w:sz w:val="21"/>
                <w:szCs w:val="21"/>
              </w:rPr>
              <w:t>10</w:t>
            </w:r>
          </w:p>
        </w:tc>
        <w:tc>
          <w:tcPr>
            <w:tcW w:w="1227" w:type="dxa"/>
            <w:tcBorders>
              <w:top w:val="single" w:sz="4" w:space="0" w:color="000000"/>
              <w:left w:val="nil"/>
              <w:bottom w:val="single" w:sz="4" w:space="0" w:color="000000"/>
              <w:right w:val="single" w:sz="4" w:space="0" w:color="000000"/>
            </w:tcBorders>
            <w:noWrap/>
            <w:vAlign w:val="center"/>
          </w:tcPr>
          <w:p w14:paraId="3846D9AB" w14:textId="77777777" w:rsidR="00A67F21" w:rsidRPr="00B12FE0" w:rsidRDefault="00000000">
            <w:pPr>
              <w:keepLines/>
              <w:adjustRightInd w:val="0"/>
              <w:snapToGrid w:val="0"/>
              <w:jc w:val="center"/>
              <w:rPr>
                <w:color w:val="000000" w:themeColor="text1"/>
                <w:sz w:val="21"/>
                <w:szCs w:val="21"/>
              </w:rPr>
            </w:pPr>
            <w:r w:rsidRPr="00B12FE0">
              <w:rPr>
                <w:rFonts w:eastAsia="等线"/>
                <w:color w:val="000000" w:themeColor="text1"/>
                <w:sz w:val="21"/>
                <w:szCs w:val="21"/>
              </w:rPr>
              <w:t xml:space="preserve">10 </w:t>
            </w:r>
          </w:p>
        </w:tc>
      </w:tr>
      <w:tr w:rsidR="00A67F21" w:rsidRPr="00B12FE0" w14:paraId="406D34CC" w14:textId="77777777">
        <w:trPr>
          <w:trHeight w:val="272"/>
          <w:jc w:val="center"/>
        </w:trPr>
        <w:tc>
          <w:tcPr>
            <w:tcW w:w="882" w:type="dxa"/>
            <w:tcBorders>
              <w:top w:val="single" w:sz="4" w:space="0" w:color="auto"/>
              <w:left w:val="single" w:sz="4" w:space="0" w:color="auto"/>
              <w:bottom w:val="single" w:sz="4" w:space="0" w:color="auto"/>
              <w:right w:val="single" w:sz="4" w:space="0" w:color="auto"/>
            </w:tcBorders>
            <w:noWrap/>
            <w:vAlign w:val="center"/>
          </w:tcPr>
          <w:p w14:paraId="0F8A4C7D"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color w:val="000000" w:themeColor="text1"/>
                <w:sz w:val="21"/>
                <w:szCs w:val="21"/>
              </w:rPr>
              <w:t>a</w:t>
            </w:r>
            <w:r w:rsidRPr="00B12FE0">
              <w:rPr>
                <w:rFonts w:hint="eastAsia"/>
                <w:color w:val="000000" w:themeColor="text1"/>
                <w:sz w:val="21"/>
                <w:szCs w:val="21"/>
                <w:vertAlign w:val="subscript"/>
              </w:rPr>
              <w:t>2</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47A5015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1/2</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20326890" w14:textId="77777777" w:rsidR="00A67F21" w:rsidRPr="00B12FE0" w:rsidRDefault="00000000">
            <w:pPr>
              <w:keepLines/>
              <w:widowControl/>
              <w:adjustRightInd w:val="0"/>
              <w:snapToGrid w:val="0"/>
              <w:jc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48E227FD" w14:textId="77777777" w:rsidR="00A67F21" w:rsidRPr="00B12FE0" w:rsidRDefault="00000000">
            <w:pPr>
              <w:keepLines/>
              <w:widowControl/>
              <w:adjustRightInd w:val="0"/>
              <w:snapToGrid w:val="0"/>
              <w:jc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27250049" w14:textId="77777777" w:rsidR="00A67F21" w:rsidRPr="00B12FE0" w:rsidRDefault="00000000">
            <w:pPr>
              <w:keepLines/>
              <w:adjustRightInd w:val="0"/>
              <w:snapToGrid w:val="0"/>
              <w:jc w:val="center"/>
              <w:rPr>
                <w:rFonts w:eastAsia="等线"/>
                <w:color w:val="000000" w:themeColor="text1"/>
                <w:sz w:val="21"/>
                <w:szCs w:val="21"/>
              </w:rPr>
            </w:pPr>
            <w:r w:rsidRPr="00B12FE0">
              <w:rPr>
                <w:rFonts w:eastAsia="等线"/>
                <w:color w:val="000000" w:themeColor="text1"/>
                <w:sz w:val="21"/>
                <w:szCs w:val="21"/>
              </w:rPr>
              <w:t xml:space="preserve">1.33 </w:t>
            </w:r>
          </w:p>
        </w:tc>
        <w:tc>
          <w:tcPr>
            <w:tcW w:w="1158" w:type="dxa"/>
            <w:tcBorders>
              <w:top w:val="single" w:sz="4" w:space="0" w:color="000000"/>
              <w:left w:val="single" w:sz="4" w:space="0" w:color="000000"/>
              <w:bottom w:val="single" w:sz="4" w:space="0" w:color="000000"/>
              <w:right w:val="single" w:sz="4" w:space="0" w:color="000000"/>
            </w:tcBorders>
            <w:vAlign w:val="center"/>
          </w:tcPr>
          <w:p w14:paraId="5188AF29" w14:textId="77777777" w:rsidR="00A67F21" w:rsidRPr="00B12FE0" w:rsidRDefault="00000000">
            <w:pPr>
              <w:keepLines/>
              <w:adjustRightInd w:val="0"/>
              <w:snapToGrid w:val="0"/>
              <w:jc w:val="center"/>
              <w:rPr>
                <w:color w:val="000000" w:themeColor="text1"/>
                <w:sz w:val="21"/>
                <w:szCs w:val="21"/>
              </w:rPr>
            </w:pPr>
            <w:r w:rsidRPr="00B12FE0">
              <w:rPr>
                <w:rFonts w:hint="eastAsia"/>
                <w:color w:val="000000" w:themeColor="text1"/>
                <w:sz w:val="21"/>
                <w:szCs w:val="21"/>
              </w:rPr>
              <w:t>10</w:t>
            </w:r>
          </w:p>
        </w:tc>
        <w:tc>
          <w:tcPr>
            <w:tcW w:w="1227" w:type="dxa"/>
            <w:tcBorders>
              <w:top w:val="single" w:sz="4" w:space="0" w:color="000000"/>
              <w:left w:val="nil"/>
              <w:bottom w:val="single" w:sz="4" w:space="0" w:color="000000"/>
              <w:right w:val="single" w:sz="4" w:space="0" w:color="000000"/>
            </w:tcBorders>
            <w:noWrap/>
            <w:vAlign w:val="center"/>
          </w:tcPr>
          <w:p w14:paraId="03B48C0B" w14:textId="77777777" w:rsidR="00A67F21" w:rsidRPr="00B12FE0" w:rsidRDefault="00000000">
            <w:pPr>
              <w:keepLines/>
              <w:adjustRightInd w:val="0"/>
              <w:snapToGrid w:val="0"/>
              <w:jc w:val="center"/>
              <w:rPr>
                <w:rFonts w:eastAsia="等线"/>
                <w:color w:val="000000" w:themeColor="text1"/>
                <w:sz w:val="21"/>
                <w:szCs w:val="21"/>
              </w:rPr>
            </w:pPr>
            <w:r w:rsidRPr="00B12FE0">
              <w:rPr>
                <w:rFonts w:eastAsia="等线"/>
                <w:color w:val="000000" w:themeColor="text1"/>
                <w:sz w:val="21"/>
                <w:szCs w:val="21"/>
              </w:rPr>
              <w:t xml:space="preserve">1.33 </w:t>
            </w:r>
          </w:p>
        </w:tc>
      </w:tr>
      <w:tr w:rsidR="00A67F21" w:rsidRPr="00B12FE0" w14:paraId="014540B7"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388F55C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lang w:bidi="ar"/>
              </w:rPr>
              <w:t>b</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6DDB24DC"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1/2</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0B21FD2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31F9133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3B63D7BD"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00583991"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10</w:t>
            </w:r>
          </w:p>
        </w:tc>
        <w:tc>
          <w:tcPr>
            <w:tcW w:w="1227" w:type="dxa"/>
            <w:tcBorders>
              <w:top w:val="single" w:sz="4" w:space="0" w:color="000000"/>
              <w:left w:val="nil"/>
              <w:bottom w:val="single" w:sz="4" w:space="0" w:color="000000"/>
              <w:right w:val="single" w:sz="4" w:space="0" w:color="000000"/>
            </w:tcBorders>
            <w:noWrap/>
            <w:vAlign w:val="center"/>
          </w:tcPr>
          <w:p w14:paraId="53A5233A"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 </w:t>
            </w:r>
          </w:p>
        </w:tc>
      </w:tr>
      <w:tr w:rsidR="00A67F21" w:rsidRPr="00B12FE0" w14:paraId="5648211D"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58D069C5"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c</w:t>
            </w:r>
            <w:r w:rsidRPr="00B12FE0">
              <w:rPr>
                <w:rFonts w:hint="eastAsia"/>
                <w:snapToGrid w:val="0"/>
                <w:color w:val="000000" w:themeColor="text1"/>
                <w:sz w:val="21"/>
                <w:szCs w:val="21"/>
                <w:vertAlign w:val="subscript"/>
                <w:lang w:bidi="ar"/>
              </w:rPr>
              <w:t>1</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4E769AB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1/16</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371B0061"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21EA5A2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3691B754"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10.67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0F32E297"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2E2B82D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10 </w:t>
            </w:r>
          </w:p>
        </w:tc>
      </w:tr>
      <w:tr w:rsidR="00A67F21" w:rsidRPr="00B12FE0" w14:paraId="4E7D8671"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282B44A8"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c</w:t>
            </w:r>
            <w:r w:rsidRPr="00B12FE0">
              <w:rPr>
                <w:rFonts w:hint="eastAsia"/>
                <w:snapToGrid w:val="0"/>
                <w:color w:val="000000" w:themeColor="text1"/>
                <w:sz w:val="21"/>
                <w:szCs w:val="21"/>
                <w:vertAlign w:val="subscript"/>
                <w:lang w:bidi="ar"/>
              </w:rPr>
              <w:t>2</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1EF5A2D2"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1/16</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5074183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10D12210"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421488D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10.67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28D38A4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566DD47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1</w:t>
            </w:r>
            <w:r w:rsidRPr="00B12FE0">
              <w:rPr>
                <w:rFonts w:eastAsia="等线" w:hint="eastAsia"/>
                <w:color w:val="000000" w:themeColor="text1"/>
                <w:sz w:val="21"/>
                <w:szCs w:val="21"/>
              </w:rPr>
              <w:t>0</w:t>
            </w:r>
            <w:r w:rsidRPr="00B12FE0">
              <w:rPr>
                <w:rFonts w:eastAsia="等线"/>
                <w:color w:val="000000" w:themeColor="text1"/>
                <w:sz w:val="21"/>
                <w:szCs w:val="21"/>
              </w:rPr>
              <w:t xml:space="preserve"> </w:t>
            </w:r>
          </w:p>
        </w:tc>
      </w:tr>
      <w:tr w:rsidR="00A67F21" w:rsidRPr="00B12FE0" w14:paraId="6880D66B"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409B7E62"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lastRenderedPageBreak/>
              <w:t>c</w:t>
            </w:r>
            <w:r w:rsidRPr="00B12FE0">
              <w:rPr>
                <w:rFonts w:hint="eastAsia"/>
                <w:snapToGrid w:val="0"/>
                <w:color w:val="000000" w:themeColor="text1"/>
                <w:sz w:val="21"/>
                <w:szCs w:val="21"/>
                <w:vertAlign w:val="subscript"/>
                <w:lang w:bidi="ar"/>
              </w:rPr>
              <w:t>3</w:t>
            </w:r>
          </w:p>
        </w:tc>
        <w:tc>
          <w:tcPr>
            <w:tcW w:w="1294" w:type="dxa"/>
            <w:tcBorders>
              <w:top w:val="single" w:sz="4" w:space="0" w:color="000000"/>
              <w:left w:val="single" w:sz="4" w:space="0" w:color="000000"/>
              <w:bottom w:val="single" w:sz="4" w:space="0" w:color="000000"/>
              <w:right w:val="single" w:sz="4" w:space="0" w:color="000000"/>
            </w:tcBorders>
            <w:noWrap/>
          </w:tcPr>
          <w:p w14:paraId="284C4D92"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1/2</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124896F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05D4025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316A3BBD"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 xml:space="preserve">1.33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538298BA"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5429F3F5"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 xml:space="preserve">1.33 </w:t>
            </w:r>
          </w:p>
        </w:tc>
      </w:tr>
      <w:tr w:rsidR="00A67F21" w:rsidRPr="00B12FE0" w14:paraId="2EAA1F00"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31AEAD99"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c</w:t>
            </w:r>
            <w:r w:rsidRPr="00B12FE0">
              <w:rPr>
                <w:rFonts w:hint="eastAsia"/>
                <w:snapToGrid w:val="0"/>
                <w:color w:val="000000" w:themeColor="text1"/>
                <w:sz w:val="21"/>
                <w:szCs w:val="21"/>
                <w:vertAlign w:val="subscript"/>
                <w:lang w:bidi="ar"/>
              </w:rPr>
              <w:t>4</w:t>
            </w:r>
          </w:p>
        </w:tc>
        <w:tc>
          <w:tcPr>
            <w:tcW w:w="1294" w:type="dxa"/>
            <w:tcBorders>
              <w:top w:val="single" w:sz="4" w:space="0" w:color="000000"/>
              <w:left w:val="single" w:sz="4" w:space="0" w:color="000000"/>
              <w:bottom w:val="single" w:sz="4" w:space="0" w:color="000000"/>
              <w:right w:val="single" w:sz="4" w:space="0" w:color="000000"/>
            </w:tcBorders>
            <w:noWrap/>
          </w:tcPr>
          <w:p w14:paraId="1546A18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1/2</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51B03EF7"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716C7207"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685F70C0"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 xml:space="preserve">1.33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3075597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20F69475"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 xml:space="preserve">1.33 </w:t>
            </w:r>
          </w:p>
        </w:tc>
      </w:tr>
      <w:tr w:rsidR="00A67F21" w:rsidRPr="00B12FE0" w14:paraId="006F2996"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4F741C5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d</w:t>
            </w:r>
            <w:r w:rsidRPr="00B12FE0">
              <w:rPr>
                <w:snapToGrid w:val="0"/>
                <w:color w:val="000000" w:themeColor="text1"/>
                <w:kern w:val="0"/>
                <w:sz w:val="21"/>
                <w:szCs w:val="21"/>
                <w:vertAlign w:val="subscript"/>
                <w:lang w:bidi="ar"/>
              </w:rPr>
              <w:t>1</w:t>
            </w:r>
          </w:p>
        </w:tc>
        <w:tc>
          <w:tcPr>
            <w:tcW w:w="1294" w:type="dxa"/>
            <w:tcBorders>
              <w:top w:val="single" w:sz="4" w:space="0" w:color="000000"/>
              <w:left w:val="single" w:sz="4" w:space="0" w:color="000000"/>
              <w:bottom w:val="single" w:sz="4" w:space="0" w:color="000000"/>
              <w:right w:val="single" w:sz="4" w:space="0" w:color="000000"/>
            </w:tcBorders>
            <w:noWrap/>
          </w:tcPr>
          <w:p w14:paraId="346F16AF"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1/2</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24C6077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5C18926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35B477A5"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675EB7B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10</w:t>
            </w:r>
          </w:p>
        </w:tc>
        <w:tc>
          <w:tcPr>
            <w:tcW w:w="1227" w:type="dxa"/>
            <w:tcBorders>
              <w:top w:val="single" w:sz="4" w:space="0" w:color="000000"/>
              <w:left w:val="nil"/>
              <w:bottom w:val="single" w:sz="4" w:space="0" w:color="000000"/>
              <w:right w:val="single" w:sz="4" w:space="0" w:color="000000"/>
            </w:tcBorders>
            <w:noWrap/>
            <w:vAlign w:val="center"/>
          </w:tcPr>
          <w:p w14:paraId="37BA4829"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 </w:t>
            </w:r>
          </w:p>
        </w:tc>
      </w:tr>
      <w:tr w:rsidR="00A67F21" w:rsidRPr="00B12FE0" w14:paraId="1AE4D9AA" w14:textId="77777777">
        <w:trPr>
          <w:trHeight w:val="397"/>
          <w:jc w:val="center"/>
        </w:trPr>
        <w:tc>
          <w:tcPr>
            <w:tcW w:w="882" w:type="dxa"/>
            <w:tcBorders>
              <w:top w:val="single" w:sz="4" w:space="0" w:color="000000"/>
              <w:left w:val="single" w:sz="4" w:space="0" w:color="000000"/>
              <w:bottom w:val="single" w:sz="4" w:space="0" w:color="auto"/>
              <w:right w:val="single" w:sz="4" w:space="0" w:color="000000"/>
            </w:tcBorders>
            <w:noWrap/>
            <w:vAlign w:val="center"/>
          </w:tcPr>
          <w:p w14:paraId="439B070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d</w:t>
            </w:r>
            <w:r w:rsidRPr="00B12FE0">
              <w:rPr>
                <w:snapToGrid w:val="0"/>
                <w:color w:val="000000" w:themeColor="text1"/>
                <w:kern w:val="0"/>
                <w:sz w:val="21"/>
                <w:szCs w:val="21"/>
                <w:vertAlign w:val="subscript"/>
                <w:lang w:bidi="ar"/>
              </w:rPr>
              <w:t>2</w:t>
            </w:r>
          </w:p>
        </w:tc>
        <w:tc>
          <w:tcPr>
            <w:tcW w:w="1294" w:type="dxa"/>
            <w:tcBorders>
              <w:top w:val="single" w:sz="4" w:space="0" w:color="000000"/>
              <w:left w:val="single" w:sz="4" w:space="0" w:color="000000"/>
              <w:bottom w:val="single" w:sz="4" w:space="0" w:color="000000"/>
              <w:right w:val="single" w:sz="4" w:space="0" w:color="000000"/>
            </w:tcBorders>
            <w:noWrap/>
          </w:tcPr>
          <w:p w14:paraId="2D6A7A55"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1/2</w:t>
            </w:r>
          </w:p>
        </w:tc>
        <w:tc>
          <w:tcPr>
            <w:tcW w:w="1214" w:type="dxa"/>
            <w:tcBorders>
              <w:top w:val="single" w:sz="4" w:space="0" w:color="000000"/>
              <w:left w:val="single" w:sz="4" w:space="0" w:color="000000"/>
              <w:bottom w:val="single" w:sz="4" w:space="0" w:color="auto"/>
              <w:right w:val="single" w:sz="4" w:space="0" w:color="000000"/>
            </w:tcBorders>
            <w:noWrap/>
            <w:vAlign w:val="center"/>
          </w:tcPr>
          <w:p w14:paraId="68E3D07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auto"/>
              <w:right w:val="single" w:sz="4" w:space="0" w:color="000000"/>
            </w:tcBorders>
            <w:noWrap/>
            <w:vAlign w:val="center"/>
          </w:tcPr>
          <w:p w14:paraId="06C0566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auto"/>
              <w:right w:val="single" w:sz="4" w:space="0" w:color="000000"/>
            </w:tcBorders>
            <w:noWrap/>
            <w:vAlign w:val="center"/>
          </w:tcPr>
          <w:p w14:paraId="1BC018C5"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 </w:t>
            </w:r>
          </w:p>
        </w:tc>
        <w:tc>
          <w:tcPr>
            <w:tcW w:w="1158" w:type="dxa"/>
            <w:tcBorders>
              <w:top w:val="single" w:sz="4" w:space="0" w:color="000000"/>
              <w:left w:val="single" w:sz="4" w:space="0" w:color="000000"/>
              <w:bottom w:val="single" w:sz="4" w:space="0" w:color="auto"/>
              <w:right w:val="single" w:sz="4" w:space="0" w:color="000000"/>
            </w:tcBorders>
            <w:noWrap/>
            <w:vAlign w:val="center"/>
          </w:tcPr>
          <w:p w14:paraId="33830580"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10</w:t>
            </w:r>
          </w:p>
        </w:tc>
        <w:tc>
          <w:tcPr>
            <w:tcW w:w="1227" w:type="dxa"/>
            <w:tcBorders>
              <w:top w:val="single" w:sz="4" w:space="0" w:color="000000"/>
              <w:left w:val="nil"/>
              <w:bottom w:val="single" w:sz="4" w:space="0" w:color="000000"/>
              <w:right w:val="single" w:sz="4" w:space="0" w:color="000000"/>
            </w:tcBorders>
            <w:noWrap/>
            <w:vAlign w:val="center"/>
          </w:tcPr>
          <w:p w14:paraId="4476C15D"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 </w:t>
            </w:r>
          </w:p>
        </w:tc>
      </w:tr>
      <w:tr w:rsidR="00A67F21" w:rsidRPr="00B12FE0" w14:paraId="116F841A" w14:textId="77777777">
        <w:trPr>
          <w:trHeight w:val="397"/>
          <w:jc w:val="center"/>
        </w:trPr>
        <w:tc>
          <w:tcPr>
            <w:tcW w:w="882" w:type="dxa"/>
            <w:tcBorders>
              <w:top w:val="single" w:sz="4" w:space="0" w:color="000000"/>
              <w:left w:val="single" w:sz="4" w:space="0" w:color="000000"/>
              <w:bottom w:val="single" w:sz="4" w:space="0" w:color="auto"/>
              <w:right w:val="single" w:sz="4" w:space="0" w:color="000000"/>
            </w:tcBorders>
            <w:noWrap/>
            <w:vAlign w:val="center"/>
          </w:tcPr>
          <w:p w14:paraId="587F102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color w:val="000000" w:themeColor="text1"/>
                <w:sz w:val="21"/>
                <w:szCs w:val="21"/>
              </w:rPr>
              <w:t>e</w:t>
            </w:r>
            <w:r w:rsidRPr="00B12FE0">
              <w:rPr>
                <w:rFonts w:hint="eastAsia"/>
                <w:color w:val="000000" w:themeColor="text1"/>
                <w:sz w:val="21"/>
                <w:szCs w:val="21"/>
                <w:vertAlign w:val="subscript"/>
              </w:rPr>
              <w:t>1</w:t>
            </w:r>
            <w:r w:rsidRPr="00B12FE0">
              <w:rPr>
                <w:rFonts w:hint="eastAsia"/>
                <w:color w:val="000000" w:themeColor="text1"/>
                <w:sz w:val="21"/>
                <w:szCs w:val="21"/>
              </w:rPr>
              <w:t>/e</w:t>
            </w:r>
            <w:r w:rsidRPr="00B12FE0">
              <w:rPr>
                <w:rFonts w:hint="eastAsia"/>
                <w:color w:val="000000" w:themeColor="text1"/>
                <w:sz w:val="21"/>
                <w:szCs w:val="21"/>
                <w:vertAlign w:val="subscript"/>
              </w:rPr>
              <w:t>2</w:t>
            </w:r>
          </w:p>
        </w:tc>
        <w:tc>
          <w:tcPr>
            <w:tcW w:w="1294" w:type="dxa"/>
            <w:tcBorders>
              <w:top w:val="single" w:sz="4" w:space="0" w:color="000000"/>
              <w:left w:val="single" w:sz="4" w:space="0" w:color="000000"/>
              <w:bottom w:val="single" w:sz="4" w:space="0" w:color="000000"/>
              <w:right w:val="single" w:sz="4" w:space="0" w:color="auto"/>
            </w:tcBorders>
            <w:noWrap/>
            <w:vAlign w:val="center"/>
          </w:tcPr>
          <w:p w14:paraId="1D9C316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1/16</w:t>
            </w:r>
          </w:p>
        </w:tc>
        <w:tc>
          <w:tcPr>
            <w:tcW w:w="1214" w:type="dxa"/>
            <w:tcBorders>
              <w:top w:val="single" w:sz="4" w:space="0" w:color="auto"/>
              <w:left w:val="single" w:sz="4" w:space="0" w:color="auto"/>
              <w:bottom w:val="single" w:sz="4" w:space="0" w:color="auto"/>
              <w:right w:val="single" w:sz="4" w:space="0" w:color="auto"/>
            </w:tcBorders>
            <w:noWrap/>
            <w:vAlign w:val="center"/>
          </w:tcPr>
          <w:p w14:paraId="0C2089A6"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7.5</w:t>
            </w:r>
          </w:p>
        </w:tc>
        <w:tc>
          <w:tcPr>
            <w:tcW w:w="1513" w:type="dxa"/>
            <w:tcBorders>
              <w:top w:val="single" w:sz="4" w:space="0" w:color="auto"/>
              <w:left w:val="single" w:sz="4" w:space="0" w:color="auto"/>
              <w:bottom w:val="single" w:sz="4" w:space="0" w:color="auto"/>
              <w:right w:val="single" w:sz="4" w:space="0" w:color="auto"/>
            </w:tcBorders>
            <w:noWrap/>
            <w:vAlign w:val="center"/>
          </w:tcPr>
          <w:p w14:paraId="574D6C7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5</w:t>
            </w:r>
          </w:p>
        </w:tc>
        <w:tc>
          <w:tcPr>
            <w:tcW w:w="1606" w:type="dxa"/>
            <w:tcBorders>
              <w:top w:val="single" w:sz="4" w:space="0" w:color="auto"/>
              <w:left w:val="single" w:sz="4" w:space="0" w:color="auto"/>
              <w:bottom w:val="single" w:sz="4" w:space="0" w:color="auto"/>
              <w:right w:val="single" w:sz="4" w:space="0" w:color="auto"/>
            </w:tcBorders>
            <w:noWrap/>
            <w:vAlign w:val="center"/>
          </w:tcPr>
          <w:p w14:paraId="5047C051"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 xml:space="preserve">10.67 </w:t>
            </w:r>
          </w:p>
        </w:tc>
        <w:tc>
          <w:tcPr>
            <w:tcW w:w="1158" w:type="dxa"/>
            <w:tcBorders>
              <w:top w:val="single" w:sz="4" w:space="0" w:color="auto"/>
              <w:left w:val="single" w:sz="4" w:space="0" w:color="auto"/>
              <w:bottom w:val="single" w:sz="4" w:space="0" w:color="auto"/>
              <w:right w:val="single" w:sz="4" w:space="0" w:color="auto"/>
            </w:tcBorders>
            <w:noWrap/>
            <w:vAlign w:val="center"/>
          </w:tcPr>
          <w:p w14:paraId="6BA9B326"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10</w:t>
            </w:r>
          </w:p>
        </w:tc>
        <w:tc>
          <w:tcPr>
            <w:tcW w:w="1227" w:type="dxa"/>
            <w:tcBorders>
              <w:top w:val="single" w:sz="4" w:space="0" w:color="000000"/>
              <w:left w:val="single" w:sz="4" w:space="0" w:color="auto"/>
              <w:bottom w:val="single" w:sz="4" w:space="0" w:color="000000"/>
              <w:right w:val="single" w:sz="4" w:space="0" w:color="000000"/>
            </w:tcBorders>
            <w:noWrap/>
            <w:vAlign w:val="center"/>
          </w:tcPr>
          <w:p w14:paraId="684A9CD5"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color w:val="000000" w:themeColor="text1"/>
                <w:sz w:val="21"/>
                <w:szCs w:val="21"/>
              </w:rPr>
              <w:t xml:space="preserve">10 </w:t>
            </w:r>
          </w:p>
        </w:tc>
      </w:tr>
      <w:tr w:rsidR="00A67F21" w:rsidRPr="00B12FE0" w14:paraId="5EE5D83F" w14:textId="77777777">
        <w:trPr>
          <w:trHeight w:val="272"/>
          <w:jc w:val="center"/>
        </w:trPr>
        <w:tc>
          <w:tcPr>
            <w:tcW w:w="882" w:type="dxa"/>
            <w:tcBorders>
              <w:top w:val="single" w:sz="4" w:space="0" w:color="auto"/>
              <w:left w:val="single" w:sz="4" w:space="0" w:color="auto"/>
              <w:bottom w:val="single" w:sz="4" w:space="0" w:color="auto"/>
              <w:right w:val="single" w:sz="4" w:space="0" w:color="auto"/>
            </w:tcBorders>
            <w:noWrap/>
            <w:vAlign w:val="center"/>
          </w:tcPr>
          <w:p w14:paraId="7E2BA26C" w14:textId="77777777" w:rsidR="00A67F21" w:rsidRPr="00B12FE0" w:rsidRDefault="00000000">
            <w:pPr>
              <w:overflowPunct w:val="0"/>
              <w:autoSpaceDE w:val="0"/>
              <w:autoSpaceDN w:val="0"/>
              <w:adjustRightInd w:val="0"/>
              <w:snapToGrid w:val="0"/>
              <w:spacing w:line="240" w:lineRule="atLeast"/>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f</w:t>
            </w:r>
            <w:r w:rsidRPr="00B12FE0">
              <w:rPr>
                <w:rFonts w:hint="eastAsia"/>
                <w:snapToGrid w:val="0"/>
                <w:color w:val="000000" w:themeColor="text1"/>
                <w:kern w:val="0"/>
                <w:sz w:val="21"/>
                <w:szCs w:val="21"/>
                <w:vertAlign w:val="subscript"/>
                <w:lang w:bidi="ar"/>
              </w:rPr>
              <w:t>1</w:t>
            </w:r>
            <w:r w:rsidRPr="00B12FE0">
              <w:rPr>
                <w:rFonts w:hint="eastAsia"/>
                <w:snapToGrid w:val="0"/>
                <w:color w:val="000000" w:themeColor="text1"/>
                <w:kern w:val="0"/>
                <w:sz w:val="21"/>
                <w:szCs w:val="21"/>
                <w:lang w:bidi="ar"/>
              </w:rPr>
              <w:t>/f</w:t>
            </w:r>
            <w:r w:rsidRPr="00B12FE0">
              <w:rPr>
                <w:rFonts w:hint="eastAsia"/>
                <w:snapToGrid w:val="0"/>
                <w:color w:val="000000" w:themeColor="text1"/>
                <w:kern w:val="0"/>
                <w:sz w:val="21"/>
                <w:szCs w:val="21"/>
                <w:vertAlign w:val="subscript"/>
                <w:lang w:bidi="ar"/>
              </w:rPr>
              <w:t>2</w:t>
            </w:r>
          </w:p>
        </w:tc>
        <w:tc>
          <w:tcPr>
            <w:tcW w:w="1294" w:type="dxa"/>
            <w:tcBorders>
              <w:top w:val="single" w:sz="4" w:space="0" w:color="000000"/>
              <w:left w:val="single" w:sz="4" w:space="0" w:color="auto"/>
              <w:bottom w:val="single" w:sz="4" w:space="0" w:color="000000"/>
              <w:right w:val="single" w:sz="4" w:space="0" w:color="000000"/>
            </w:tcBorders>
            <w:noWrap/>
            <w:vAlign w:val="center"/>
          </w:tcPr>
          <w:p w14:paraId="6B03064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1214" w:type="dxa"/>
            <w:tcBorders>
              <w:top w:val="single" w:sz="4" w:space="0" w:color="auto"/>
              <w:left w:val="single" w:sz="4" w:space="0" w:color="000000"/>
              <w:bottom w:val="single" w:sz="4" w:space="0" w:color="000000"/>
              <w:right w:val="single" w:sz="4" w:space="0" w:color="000000"/>
            </w:tcBorders>
            <w:noWrap/>
            <w:vAlign w:val="center"/>
          </w:tcPr>
          <w:p w14:paraId="6E1524D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auto"/>
              <w:left w:val="single" w:sz="4" w:space="0" w:color="000000"/>
              <w:bottom w:val="single" w:sz="4" w:space="0" w:color="000000"/>
              <w:right w:val="single" w:sz="4" w:space="0" w:color="000000"/>
            </w:tcBorders>
            <w:noWrap/>
            <w:vAlign w:val="center"/>
          </w:tcPr>
          <w:p w14:paraId="3C34265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100</w:t>
            </w:r>
          </w:p>
        </w:tc>
        <w:tc>
          <w:tcPr>
            <w:tcW w:w="1606" w:type="dxa"/>
            <w:tcBorders>
              <w:top w:val="single" w:sz="4" w:space="0" w:color="auto"/>
              <w:left w:val="single" w:sz="4" w:space="0" w:color="000000"/>
              <w:bottom w:val="single" w:sz="4" w:space="0" w:color="000000"/>
              <w:right w:val="single" w:sz="4" w:space="0" w:color="000000"/>
            </w:tcBorders>
            <w:noWrap/>
            <w:vAlign w:val="center"/>
          </w:tcPr>
          <w:p w14:paraId="37B00C1C"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13.33 </w:t>
            </w:r>
          </w:p>
        </w:tc>
        <w:tc>
          <w:tcPr>
            <w:tcW w:w="1158" w:type="dxa"/>
            <w:tcBorders>
              <w:top w:val="single" w:sz="4" w:space="0" w:color="auto"/>
              <w:left w:val="single" w:sz="4" w:space="0" w:color="000000"/>
              <w:bottom w:val="single" w:sz="4" w:space="0" w:color="000000"/>
              <w:right w:val="single" w:sz="4" w:space="0" w:color="000000"/>
            </w:tcBorders>
            <w:noWrap/>
            <w:vAlign w:val="center"/>
          </w:tcPr>
          <w:p w14:paraId="77CD5799"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2.5</w:t>
            </w:r>
          </w:p>
        </w:tc>
        <w:tc>
          <w:tcPr>
            <w:tcW w:w="1227" w:type="dxa"/>
            <w:tcBorders>
              <w:top w:val="single" w:sz="4" w:space="0" w:color="000000"/>
              <w:left w:val="nil"/>
              <w:bottom w:val="single" w:sz="4" w:space="0" w:color="000000"/>
              <w:right w:val="single" w:sz="4" w:space="0" w:color="000000"/>
            </w:tcBorders>
            <w:noWrap/>
            <w:vAlign w:val="center"/>
          </w:tcPr>
          <w:p w14:paraId="1BA68916"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2.5</w:t>
            </w:r>
          </w:p>
        </w:tc>
      </w:tr>
      <w:tr w:rsidR="00A67F21" w:rsidRPr="00B12FE0" w14:paraId="4C62624D" w14:textId="77777777">
        <w:trPr>
          <w:trHeight w:val="272"/>
          <w:jc w:val="center"/>
        </w:trPr>
        <w:tc>
          <w:tcPr>
            <w:tcW w:w="882" w:type="dxa"/>
            <w:tcBorders>
              <w:top w:val="single" w:sz="4" w:space="0" w:color="auto"/>
              <w:left w:val="single" w:sz="4" w:space="0" w:color="000000"/>
              <w:bottom w:val="single" w:sz="4" w:space="0" w:color="000000"/>
              <w:right w:val="single" w:sz="4" w:space="0" w:color="000000"/>
            </w:tcBorders>
            <w:noWrap/>
            <w:vAlign w:val="center"/>
          </w:tcPr>
          <w:p w14:paraId="32A5DF20" w14:textId="77777777" w:rsidR="00A67F21" w:rsidRPr="00B12FE0" w:rsidRDefault="00000000">
            <w:pPr>
              <w:widowControl/>
              <w:jc w:val="center"/>
              <w:textAlignment w:val="center"/>
              <w:rPr>
                <w:snapToGrid w:val="0"/>
                <w:color w:val="000000" w:themeColor="text1"/>
                <w:sz w:val="21"/>
                <w:szCs w:val="21"/>
                <w:vertAlign w:val="subscript"/>
              </w:rPr>
            </w:pPr>
            <w:r w:rsidRPr="00B12FE0">
              <w:rPr>
                <w:rFonts w:hint="eastAsia"/>
                <w:snapToGrid w:val="0"/>
                <w:color w:val="000000" w:themeColor="text1"/>
                <w:kern w:val="0"/>
                <w:sz w:val="21"/>
                <w:szCs w:val="21"/>
                <w:lang w:bidi="ar"/>
              </w:rPr>
              <w:t>k</w:t>
            </w:r>
            <w:r w:rsidRPr="00B12FE0">
              <w:rPr>
                <w:rFonts w:hint="eastAsia"/>
                <w:snapToGrid w:val="0"/>
                <w:color w:val="000000" w:themeColor="text1"/>
                <w:kern w:val="0"/>
                <w:sz w:val="21"/>
                <w:szCs w:val="21"/>
                <w:vertAlign w:val="subscript"/>
                <w:lang w:bidi="ar"/>
              </w:rPr>
              <w:t>1</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206D9A3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4</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27C2877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6CD4161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1F5FF767"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2.67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3FA2E0E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669A66B0"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2.67 </w:t>
            </w:r>
          </w:p>
        </w:tc>
      </w:tr>
      <w:tr w:rsidR="00A67F21" w:rsidRPr="00B12FE0" w14:paraId="6A74D7EA" w14:textId="77777777">
        <w:trPr>
          <w:trHeight w:val="272"/>
          <w:jc w:val="center"/>
        </w:trPr>
        <w:tc>
          <w:tcPr>
            <w:tcW w:w="882" w:type="dxa"/>
            <w:tcBorders>
              <w:top w:val="single" w:sz="4" w:space="0" w:color="auto"/>
              <w:left w:val="single" w:sz="4" w:space="0" w:color="000000"/>
              <w:bottom w:val="single" w:sz="4" w:space="0" w:color="000000"/>
              <w:right w:val="single" w:sz="4" w:space="0" w:color="000000"/>
            </w:tcBorders>
            <w:noWrap/>
            <w:vAlign w:val="center"/>
          </w:tcPr>
          <w:p w14:paraId="7562012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color w:val="000000" w:themeColor="text1"/>
                <w:sz w:val="21"/>
                <w:szCs w:val="21"/>
              </w:rPr>
              <w:t>k</w:t>
            </w:r>
            <w:r w:rsidRPr="00B12FE0">
              <w:rPr>
                <w:rFonts w:hint="eastAsia"/>
                <w:color w:val="000000" w:themeColor="text1"/>
                <w:sz w:val="21"/>
                <w:szCs w:val="21"/>
                <w:vertAlign w:val="subscript"/>
              </w:rPr>
              <w:t>2</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4BD4406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4</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28B8025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363EA9A9"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1CFF7B02"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2.67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101EC19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06F46FE2"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2.67 </w:t>
            </w:r>
          </w:p>
        </w:tc>
      </w:tr>
      <w:tr w:rsidR="00A67F21" w:rsidRPr="00B12FE0" w14:paraId="3ED21B8F"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1F8C094C"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g</w:t>
            </w:r>
            <w:r w:rsidRPr="00B12FE0">
              <w:rPr>
                <w:rFonts w:hint="eastAsia"/>
                <w:color w:val="000000" w:themeColor="text1"/>
                <w:sz w:val="21"/>
                <w:szCs w:val="21"/>
                <w:vertAlign w:val="subscript"/>
              </w:rPr>
              <w:t>1</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5A4D618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1/8</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65A4603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6E0C4A2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688616D4"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5.33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7B26C0A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18BA516A"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5.33 </w:t>
            </w:r>
          </w:p>
        </w:tc>
      </w:tr>
      <w:tr w:rsidR="00A67F21" w:rsidRPr="00B12FE0" w14:paraId="6745B299"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1D7824CD"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g</w:t>
            </w:r>
            <w:r w:rsidRPr="00B12FE0">
              <w:rPr>
                <w:rFonts w:hint="eastAsia"/>
                <w:color w:val="000000" w:themeColor="text1"/>
                <w:sz w:val="21"/>
                <w:szCs w:val="21"/>
                <w:vertAlign w:val="subscript"/>
              </w:rPr>
              <w:t>2</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25289CDF"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1/8</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2216ED0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6490137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0647819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5.33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0044458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562BBED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5.33 </w:t>
            </w:r>
          </w:p>
        </w:tc>
      </w:tr>
      <w:tr w:rsidR="00A67F21" w:rsidRPr="00B12FE0" w14:paraId="4EF9B67B" w14:textId="77777777">
        <w:trPr>
          <w:trHeight w:val="272"/>
          <w:jc w:val="center"/>
        </w:trPr>
        <w:tc>
          <w:tcPr>
            <w:tcW w:w="882" w:type="dxa"/>
            <w:tcBorders>
              <w:top w:val="single" w:sz="4" w:space="0" w:color="000000"/>
              <w:left w:val="single" w:sz="4" w:space="0" w:color="000000"/>
              <w:bottom w:val="single" w:sz="4" w:space="0" w:color="000000"/>
              <w:right w:val="single" w:sz="4" w:space="0" w:color="000000"/>
            </w:tcBorders>
            <w:noWrap/>
            <w:vAlign w:val="center"/>
          </w:tcPr>
          <w:p w14:paraId="77E1740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l</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1F2DA96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1/20</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35C7D0E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4DA6A9A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0DC837AE"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550CBBE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6491F891"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10 </w:t>
            </w:r>
          </w:p>
        </w:tc>
      </w:tr>
      <w:tr w:rsidR="00A67F21" w:rsidRPr="00B12FE0" w14:paraId="60C7068D" w14:textId="77777777">
        <w:trPr>
          <w:trHeight w:val="272"/>
          <w:jc w:val="center"/>
        </w:trPr>
        <w:tc>
          <w:tcPr>
            <w:tcW w:w="882" w:type="dxa"/>
            <w:tcBorders>
              <w:top w:val="single" w:sz="4" w:space="0" w:color="000000"/>
              <w:left w:val="single" w:sz="4" w:space="0" w:color="000000"/>
              <w:bottom w:val="single" w:sz="4" w:space="0" w:color="auto"/>
              <w:right w:val="single" w:sz="4" w:space="0" w:color="000000"/>
            </w:tcBorders>
            <w:noWrap/>
            <w:vAlign w:val="center"/>
          </w:tcPr>
          <w:p w14:paraId="5CDA646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1</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414B77F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1/20</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0746652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32A3268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380A5DC4"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00BBF5AF"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45CCE702"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10 </w:t>
            </w:r>
          </w:p>
        </w:tc>
      </w:tr>
      <w:tr w:rsidR="00A67F21" w:rsidRPr="00B12FE0" w14:paraId="4B7E8D92" w14:textId="77777777">
        <w:trPr>
          <w:trHeight w:val="272"/>
          <w:jc w:val="center"/>
        </w:trPr>
        <w:tc>
          <w:tcPr>
            <w:tcW w:w="882" w:type="dxa"/>
            <w:tcBorders>
              <w:top w:val="single" w:sz="4" w:space="0" w:color="auto"/>
              <w:left w:val="single" w:sz="4" w:space="0" w:color="000000"/>
              <w:bottom w:val="single" w:sz="4" w:space="0" w:color="auto"/>
              <w:right w:val="single" w:sz="4" w:space="0" w:color="000000"/>
            </w:tcBorders>
            <w:noWrap/>
            <w:vAlign w:val="center"/>
          </w:tcPr>
          <w:p w14:paraId="4E5337D2" w14:textId="77777777" w:rsidR="00A67F21" w:rsidRPr="00B12FE0" w:rsidRDefault="00000000">
            <w:pPr>
              <w:jc w:val="center"/>
              <w:rPr>
                <w:snapToGrid w:val="0"/>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2</w:t>
            </w:r>
          </w:p>
        </w:tc>
        <w:tc>
          <w:tcPr>
            <w:tcW w:w="1294" w:type="dxa"/>
            <w:tcBorders>
              <w:top w:val="single" w:sz="4" w:space="0" w:color="000000"/>
              <w:left w:val="single" w:sz="4" w:space="0" w:color="000000"/>
              <w:bottom w:val="single" w:sz="4" w:space="0" w:color="000000"/>
              <w:right w:val="single" w:sz="4" w:space="0" w:color="000000"/>
            </w:tcBorders>
            <w:noWrap/>
            <w:vAlign w:val="center"/>
          </w:tcPr>
          <w:p w14:paraId="6991630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1/20</w:t>
            </w:r>
          </w:p>
        </w:tc>
        <w:tc>
          <w:tcPr>
            <w:tcW w:w="1214" w:type="dxa"/>
            <w:tcBorders>
              <w:top w:val="single" w:sz="4" w:space="0" w:color="000000"/>
              <w:left w:val="single" w:sz="4" w:space="0" w:color="000000"/>
              <w:bottom w:val="single" w:sz="4" w:space="0" w:color="000000"/>
              <w:right w:val="single" w:sz="4" w:space="0" w:color="000000"/>
            </w:tcBorders>
            <w:noWrap/>
            <w:vAlign w:val="center"/>
          </w:tcPr>
          <w:p w14:paraId="099016E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7.5</w:t>
            </w:r>
          </w:p>
        </w:tc>
        <w:tc>
          <w:tcPr>
            <w:tcW w:w="1513" w:type="dxa"/>
            <w:tcBorders>
              <w:top w:val="single" w:sz="4" w:space="0" w:color="000000"/>
              <w:left w:val="single" w:sz="4" w:space="0" w:color="000000"/>
              <w:bottom w:val="single" w:sz="4" w:space="0" w:color="000000"/>
              <w:right w:val="single" w:sz="4" w:space="0" w:color="000000"/>
            </w:tcBorders>
            <w:noWrap/>
            <w:vAlign w:val="center"/>
          </w:tcPr>
          <w:p w14:paraId="77CB40D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5</w:t>
            </w:r>
          </w:p>
        </w:tc>
        <w:tc>
          <w:tcPr>
            <w:tcW w:w="1606" w:type="dxa"/>
            <w:tcBorders>
              <w:top w:val="single" w:sz="4" w:space="0" w:color="000000"/>
              <w:left w:val="single" w:sz="4" w:space="0" w:color="000000"/>
              <w:bottom w:val="single" w:sz="4" w:space="0" w:color="000000"/>
              <w:right w:val="single" w:sz="4" w:space="0" w:color="000000"/>
            </w:tcBorders>
            <w:noWrap/>
            <w:vAlign w:val="center"/>
          </w:tcPr>
          <w:p w14:paraId="4B840074"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13.33 </w:t>
            </w:r>
          </w:p>
        </w:tc>
        <w:tc>
          <w:tcPr>
            <w:tcW w:w="1158" w:type="dxa"/>
            <w:tcBorders>
              <w:top w:val="single" w:sz="4" w:space="0" w:color="000000"/>
              <w:left w:val="single" w:sz="4" w:space="0" w:color="000000"/>
              <w:bottom w:val="single" w:sz="4" w:space="0" w:color="000000"/>
              <w:right w:val="single" w:sz="4" w:space="0" w:color="000000"/>
            </w:tcBorders>
            <w:noWrap/>
            <w:vAlign w:val="center"/>
          </w:tcPr>
          <w:p w14:paraId="2212356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w:t>
            </w:r>
          </w:p>
        </w:tc>
        <w:tc>
          <w:tcPr>
            <w:tcW w:w="1227" w:type="dxa"/>
            <w:tcBorders>
              <w:top w:val="single" w:sz="4" w:space="0" w:color="000000"/>
              <w:left w:val="nil"/>
              <w:bottom w:val="single" w:sz="4" w:space="0" w:color="000000"/>
              <w:right w:val="single" w:sz="4" w:space="0" w:color="000000"/>
            </w:tcBorders>
            <w:noWrap/>
            <w:vAlign w:val="center"/>
          </w:tcPr>
          <w:p w14:paraId="2F96E93D"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10 </w:t>
            </w:r>
          </w:p>
        </w:tc>
      </w:tr>
    </w:tbl>
    <w:p w14:paraId="5109EDA9" w14:textId="77777777" w:rsidR="00A67F21" w:rsidRPr="00B12FE0" w:rsidRDefault="00000000">
      <w:pPr>
        <w:snapToGrid w:val="0"/>
        <w:spacing w:line="360" w:lineRule="auto"/>
        <w:ind w:firstLineChars="200" w:firstLine="482"/>
        <w:rPr>
          <w:b/>
          <w:bCs/>
          <w:color w:val="000000" w:themeColor="text1"/>
        </w:rPr>
      </w:pPr>
      <w:r w:rsidRPr="00B12FE0">
        <w:rPr>
          <w:b/>
          <w:bCs/>
          <w:color w:val="000000" w:themeColor="text1"/>
        </w:rPr>
        <w:t>（</w:t>
      </w:r>
      <w:r w:rsidRPr="00B12FE0">
        <w:rPr>
          <w:b/>
          <w:bCs/>
          <w:color w:val="000000" w:themeColor="text1"/>
        </w:rPr>
        <w:t>4</w:t>
      </w:r>
      <w:r w:rsidRPr="00B12FE0">
        <w:rPr>
          <w:b/>
          <w:bCs/>
          <w:color w:val="000000" w:themeColor="text1"/>
        </w:rPr>
        <w:t>）屏蔽体外剂量的计算</w:t>
      </w:r>
    </w:p>
    <w:p w14:paraId="04EF3B26" w14:textId="77777777" w:rsidR="00A67F21" w:rsidRPr="00B12FE0" w:rsidRDefault="00000000">
      <w:pPr>
        <w:spacing w:line="360" w:lineRule="auto"/>
        <w:ind w:firstLineChars="200" w:firstLine="480"/>
        <w:rPr>
          <w:color w:val="000000" w:themeColor="text1"/>
        </w:rPr>
      </w:pPr>
      <w:r w:rsidRPr="00B12FE0">
        <w:rPr>
          <w:color w:val="000000" w:themeColor="text1"/>
        </w:rPr>
        <w:t>本项目评价采用《放射治疗机房的辐射屏蔽规范第</w:t>
      </w:r>
      <w:r w:rsidRPr="00B12FE0">
        <w:rPr>
          <w:color w:val="000000" w:themeColor="text1"/>
        </w:rPr>
        <w:t>1</w:t>
      </w:r>
      <w:r w:rsidRPr="00B12FE0">
        <w:rPr>
          <w:color w:val="000000" w:themeColor="text1"/>
        </w:rPr>
        <w:t>部分：一般原则》</w:t>
      </w:r>
      <w:r w:rsidRPr="00B12FE0">
        <w:rPr>
          <w:color w:val="000000" w:themeColor="text1"/>
        </w:rPr>
        <w:t>(GBZ/T201.1-2007)</w:t>
      </w:r>
      <w:r w:rsidRPr="00B12FE0">
        <w:rPr>
          <w:color w:val="000000" w:themeColor="text1"/>
        </w:rPr>
        <w:t>及《放射治疗机房的辐射屏蔽规范第</w:t>
      </w:r>
      <w:r w:rsidRPr="00B12FE0">
        <w:rPr>
          <w:color w:val="000000" w:themeColor="text1"/>
        </w:rPr>
        <w:t>2</w:t>
      </w:r>
      <w:r w:rsidRPr="00B12FE0">
        <w:rPr>
          <w:color w:val="000000" w:themeColor="text1"/>
        </w:rPr>
        <w:t>部分：电子直线加速器放射治疗机房》</w:t>
      </w:r>
      <w:r w:rsidRPr="00B12FE0">
        <w:rPr>
          <w:color w:val="000000" w:themeColor="text1"/>
        </w:rPr>
        <w:t>(GBZ/T201.2-2011)</w:t>
      </w:r>
      <w:r w:rsidRPr="00B12FE0">
        <w:rPr>
          <w:color w:val="000000" w:themeColor="text1"/>
        </w:rPr>
        <w:t>中给出的方法计算。</w:t>
      </w:r>
    </w:p>
    <w:p w14:paraId="68BCD09B" w14:textId="77777777" w:rsidR="00A67F21" w:rsidRPr="00B12FE0" w:rsidRDefault="00000000">
      <w:pPr>
        <w:spacing w:line="360" w:lineRule="auto"/>
        <w:ind w:firstLine="482"/>
        <w:rPr>
          <w:b/>
          <w:bCs/>
          <w:color w:val="000000" w:themeColor="text1"/>
        </w:rPr>
      </w:pPr>
      <w:r w:rsidRPr="00B12FE0">
        <w:rPr>
          <w:rFonts w:ascii="Cambria Math" w:hAnsi="Cambria Math" w:cs="Cambria Math"/>
          <w:b/>
          <w:bCs/>
          <w:color w:val="000000" w:themeColor="text1"/>
        </w:rPr>
        <w:t>①</w:t>
      </w:r>
      <w:r w:rsidRPr="00B12FE0">
        <w:rPr>
          <w:b/>
          <w:bCs/>
          <w:color w:val="000000" w:themeColor="text1"/>
        </w:rPr>
        <w:t>有用线束主</w:t>
      </w:r>
      <w:proofErr w:type="gramStart"/>
      <w:r w:rsidRPr="00B12FE0">
        <w:rPr>
          <w:b/>
          <w:bCs/>
          <w:color w:val="000000" w:themeColor="text1"/>
        </w:rPr>
        <w:t>屏蔽区</w:t>
      </w:r>
      <w:proofErr w:type="gramEnd"/>
      <w:r w:rsidRPr="00B12FE0">
        <w:rPr>
          <w:b/>
          <w:bCs/>
          <w:color w:val="000000" w:themeColor="text1"/>
        </w:rPr>
        <w:t>宽度计算</w:t>
      </w:r>
    </w:p>
    <w:p w14:paraId="2E9BC62B" w14:textId="77777777" w:rsidR="00A67F21" w:rsidRPr="00B12FE0" w:rsidRDefault="00000000">
      <w:pPr>
        <w:spacing w:line="360" w:lineRule="auto"/>
        <w:ind w:firstLineChars="200" w:firstLine="480"/>
        <w:rPr>
          <w:color w:val="000000" w:themeColor="text1"/>
        </w:rPr>
      </w:pPr>
      <w:r w:rsidRPr="00B12FE0">
        <w:rPr>
          <w:color w:val="000000" w:themeColor="text1"/>
        </w:rPr>
        <w:t>依据《放射治疗机房的辐射屏蔽规范第</w:t>
      </w:r>
      <w:r w:rsidRPr="00B12FE0">
        <w:rPr>
          <w:color w:val="000000" w:themeColor="text1"/>
        </w:rPr>
        <w:t>2</w:t>
      </w:r>
      <w:r w:rsidRPr="00B12FE0">
        <w:rPr>
          <w:color w:val="000000" w:themeColor="text1"/>
        </w:rPr>
        <w:t>部分：电子直线加速器放射治疗机房》</w:t>
      </w:r>
      <w:r w:rsidRPr="00B12FE0">
        <w:rPr>
          <w:color w:val="000000" w:themeColor="text1"/>
        </w:rPr>
        <w:t>(GBZ/T201.2-2011)</w:t>
      </w:r>
      <w:r w:rsidRPr="00B12FE0">
        <w:rPr>
          <w:color w:val="000000" w:themeColor="text1"/>
        </w:rPr>
        <w:t>中相应的计算模式及相关参数。</w:t>
      </w:r>
    </w:p>
    <w:p w14:paraId="290E1CC4" w14:textId="77777777" w:rsidR="00A67F21" w:rsidRPr="00B12FE0" w:rsidRDefault="00000000">
      <w:pPr>
        <w:widowControl/>
        <w:adjustRightInd w:val="0"/>
        <w:spacing w:line="360" w:lineRule="auto"/>
        <w:ind w:firstLineChars="200" w:firstLine="480"/>
        <w:jc w:val="left"/>
        <w:textAlignment w:val="baseline"/>
        <w:rPr>
          <w:color w:val="000000" w:themeColor="text1"/>
        </w:rPr>
      </w:pPr>
      <w:r w:rsidRPr="00B12FE0">
        <w:rPr>
          <w:color w:val="000000" w:themeColor="text1"/>
        </w:rPr>
        <w:t>主屏蔽墙体的宽度计算公式：</w:t>
      </w:r>
    </w:p>
    <w:p w14:paraId="1D724713" w14:textId="77777777" w:rsidR="00A67F21" w:rsidRPr="00B12FE0" w:rsidRDefault="00000000">
      <w:pPr>
        <w:widowControl/>
        <w:adjustRightInd w:val="0"/>
        <w:spacing w:line="360" w:lineRule="auto"/>
        <w:jc w:val="center"/>
        <w:textAlignment w:val="baseline"/>
        <w:rPr>
          <w:color w:val="000000" w:themeColor="text1"/>
        </w:rPr>
      </w:pPr>
      <w:proofErr w:type="spellStart"/>
      <w:r w:rsidRPr="00B12FE0">
        <w:rPr>
          <w:color w:val="000000" w:themeColor="text1"/>
        </w:rPr>
        <w:t>Y</w:t>
      </w:r>
      <w:r w:rsidRPr="00B12FE0">
        <w:rPr>
          <w:color w:val="000000" w:themeColor="text1"/>
          <w:vertAlign w:val="subscript"/>
        </w:rPr>
        <w:t>p</w:t>
      </w:r>
      <w:proofErr w:type="spellEnd"/>
      <w:r w:rsidRPr="00B12FE0">
        <w:rPr>
          <w:color w:val="000000" w:themeColor="text1"/>
        </w:rPr>
        <w:t>=2[(</w:t>
      </w:r>
      <w:proofErr w:type="spellStart"/>
      <w:r w:rsidRPr="00B12FE0">
        <w:rPr>
          <w:color w:val="000000" w:themeColor="text1"/>
        </w:rPr>
        <w:t>a+</w:t>
      </w:r>
      <w:proofErr w:type="gramStart"/>
      <w:r w:rsidRPr="00B12FE0">
        <w:rPr>
          <w:color w:val="000000" w:themeColor="text1"/>
        </w:rPr>
        <w:t>SAD</w:t>
      </w:r>
      <w:proofErr w:type="spellEnd"/>
      <w:r w:rsidRPr="00B12FE0">
        <w:rPr>
          <w:color w:val="000000" w:themeColor="text1"/>
        </w:rPr>
        <w:t>)×</w:t>
      </w:r>
      <w:proofErr w:type="gramEnd"/>
      <w:r w:rsidRPr="00B12FE0">
        <w:rPr>
          <w:color w:val="000000" w:themeColor="text1"/>
        </w:rPr>
        <w:t>tan</w:t>
      </w:r>
      <w:r w:rsidRPr="00B12FE0">
        <w:rPr>
          <w:color w:val="000000" w:themeColor="text1"/>
          <w:kern w:val="0"/>
          <w:shd w:val="clear" w:color="auto" w:fill="FFFFFF"/>
        </w:rPr>
        <w:t>θ+0.</w:t>
      </w:r>
      <w:proofErr w:type="gramStart"/>
      <w:r w:rsidRPr="00B12FE0">
        <w:rPr>
          <w:color w:val="000000" w:themeColor="text1"/>
          <w:kern w:val="0"/>
          <w:shd w:val="clear" w:color="auto" w:fill="FFFFFF"/>
        </w:rPr>
        <w:t>3</w:t>
      </w:r>
      <w:r w:rsidRPr="00B12FE0">
        <w:rPr>
          <w:color w:val="000000" w:themeColor="text1"/>
        </w:rPr>
        <w:t>]…</w:t>
      </w:r>
      <w:proofErr w:type="gramEnd"/>
      <w:r w:rsidRPr="00B12FE0">
        <w:rPr>
          <w:color w:val="000000" w:themeColor="text1"/>
        </w:rPr>
        <w:t>…………………………</w:t>
      </w:r>
      <w:proofErr w:type="gramStart"/>
      <w:r w:rsidRPr="00B12FE0">
        <w:rPr>
          <w:color w:val="000000" w:themeColor="text1"/>
        </w:rPr>
        <w:t>…(</w:t>
      </w:r>
      <w:proofErr w:type="gramEnd"/>
      <w:r w:rsidRPr="00B12FE0">
        <w:rPr>
          <w:color w:val="000000" w:themeColor="text1"/>
        </w:rPr>
        <w:t>式</w:t>
      </w:r>
      <w:r w:rsidRPr="00B12FE0">
        <w:rPr>
          <w:color w:val="000000" w:themeColor="text1"/>
        </w:rPr>
        <w:t>11.2.2.1-1)</w:t>
      </w:r>
    </w:p>
    <w:p w14:paraId="441D5C66" w14:textId="77777777" w:rsidR="00A67F21" w:rsidRPr="00B12FE0" w:rsidRDefault="00000000">
      <w:pPr>
        <w:widowControl/>
        <w:adjustRightInd w:val="0"/>
        <w:spacing w:line="360" w:lineRule="auto"/>
        <w:ind w:firstLineChars="200" w:firstLine="480"/>
        <w:jc w:val="left"/>
        <w:textAlignment w:val="baseline"/>
        <w:rPr>
          <w:color w:val="000000" w:themeColor="text1"/>
        </w:rPr>
      </w:pPr>
      <w:r w:rsidRPr="00B12FE0">
        <w:rPr>
          <w:color w:val="000000" w:themeColor="text1"/>
        </w:rPr>
        <w:t>式中：</w:t>
      </w:r>
    </w:p>
    <w:p w14:paraId="356E8D3F" w14:textId="77777777" w:rsidR="00A67F21" w:rsidRPr="00B12FE0" w:rsidRDefault="00000000">
      <w:pPr>
        <w:widowControl/>
        <w:adjustRightInd w:val="0"/>
        <w:spacing w:line="360" w:lineRule="auto"/>
        <w:ind w:firstLineChars="400" w:firstLine="960"/>
        <w:jc w:val="left"/>
        <w:textAlignment w:val="baseline"/>
        <w:rPr>
          <w:color w:val="000000" w:themeColor="text1"/>
        </w:rPr>
      </w:pPr>
      <w:proofErr w:type="spellStart"/>
      <w:r w:rsidRPr="00B12FE0">
        <w:rPr>
          <w:color w:val="000000" w:themeColor="text1"/>
        </w:rPr>
        <w:t>Y</w:t>
      </w:r>
      <w:r w:rsidRPr="00B12FE0">
        <w:rPr>
          <w:color w:val="000000" w:themeColor="text1"/>
          <w:vertAlign w:val="subscript"/>
        </w:rPr>
        <w:t>p</w:t>
      </w:r>
      <w:proofErr w:type="spellEnd"/>
      <w:r w:rsidRPr="00B12FE0">
        <w:rPr>
          <w:color w:val="000000" w:themeColor="text1"/>
          <w:kern w:val="0"/>
        </w:rPr>
        <w:t>——</w:t>
      </w:r>
      <w:r w:rsidRPr="00B12FE0">
        <w:rPr>
          <w:color w:val="000000" w:themeColor="text1"/>
        </w:rPr>
        <w:t>机房有用射线束主</w:t>
      </w:r>
      <w:proofErr w:type="gramStart"/>
      <w:r w:rsidRPr="00B12FE0">
        <w:rPr>
          <w:color w:val="000000" w:themeColor="text1"/>
        </w:rPr>
        <w:t>屏蔽区</w:t>
      </w:r>
      <w:proofErr w:type="gramEnd"/>
      <w:r w:rsidRPr="00B12FE0">
        <w:rPr>
          <w:color w:val="000000" w:themeColor="text1"/>
        </w:rPr>
        <w:t>的宽度，</w:t>
      </w:r>
      <w:r w:rsidRPr="00B12FE0">
        <w:rPr>
          <w:color w:val="000000" w:themeColor="text1"/>
        </w:rPr>
        <w:t>m</w:t>
      </w:r>
      <w:r w:rsidRPr="00B12FE0">
        <w:rPr>
          <w:color w:val="000000" w:themeColor="text1"/>
        </w:rPr>
        <w:t>；</w:t>
      </w:r>
    </w:p>
    <w:p w14:paraId="6D2D7BB5" w14:textId="77777777" w:rsidR="00A67F21" w:rsidRPr="00B12FE0" w:rsidRDefault="00000000">
      <w:pPr>
        <w:widowControl/>
        <w:adjustRightInd w:val="0"/>
        <w:spacing w:line="360" w:lineRule="auto"/>
        <w:ind w:firstLineChars="400" w:firstLine="960"/>
        <w:jc w:val="left"/>
        <w:textAlignment w:val="baseline"/>
        <w:rPr>
          <w:color w:val="000000" w:themeColor="text1"/>
        </w:rPr>
      </w:pPr>
      <w:r w:rsidRPr="00B12FE0">
        <w:rPr>
          <w:color w:val="000000" w:themeColor="text1"/>
          <w:kern w:val="0"/>
          <w:shd w:val="clear" w:color="auto" w:fill="FFFFFF"/>
        </w:rPr>
        <w:t>θ——</w:t>
      </w:r>
      <w:r w:rsidRPr="00B12FE0">
        <w:rPr>
          <w:color w:val="000000" w:themeColor="text1"/>
        </w:rPr>
        <w:t>治疗束的最大张角（</w:t>
      </w:r>
      <w:proofErr w:type="gramStart"/>
      <w:r w:rsidRPr="00B12FE0">
        <w:rPr>
          <w:color w:val="000000" w:themeColor="text1"/>
        </w:rPr>
        <w:t>相对束中的</w:t>
      </w:r>
      <w:proofErr w:type="gramEnd"/>
      <w:r w:rsidRPr="00B12FE0">
        <w:rPr>
          <w:color w:val="000000" w:themeColor="text1"/>
        </w:rPr>
        <w:t>轴线），即射线最大出射角的一半；射线最大出射角</w:t>
      </w:r>
      <w:r w:rsidRPr="00B12FE0">
        <w:rPr>
          <w:color w:val="000000" w:themeColor="text1"/>
        </w:rPr>
        <w:t>28°</w:t>
      </w:r>
      <w:r w:rsidRPr="00B12FE0">
        <w:rPr>
          <w:color w:val="000000" w:themeColor="text1"/>
        </w:rPr>
        <w:t>，</w:t>
      </w:r>
      <w:r w:rsidRPr="00B12FE0">
        <w:rPr>
          <w:color w:val="000000" w:themeColor="text1"/>
        </w:rPr>
        <w:t>θ</w:t>
      </w:r>
      <w:r w:rsidRPr="00B12FE0">
        <w:rPr>
          <w:color w:val="000000" w:themeColor="text1"/>
        </w:rPr>
        <w:t>取</w:t>
      </w:r>
      <w:r w:rsidRPr="00B12FE0">
        <w:rPr>
          <w:color w:val="000000" w:themeColor="text1"/>
        </w:rPr>
        <w:t>14°</w:t>
      </w:r>
      <w:r w:rsidRPr="00B12FE0">
        <w:rPr>
          <w:color w:val="000000" w:themeColor="text1"/>
        </w:rPr>
        <w:t>；</w:t>
      </w:r>
    </w:p>
    <w:p w14:paraId="04EFB615" w14:textId="77777777" w:rsidR="00A67F21" w:rsidRPr="00B12FE0" w:rsidRDefault="00000000">
      <w:pPr>
        <w:widowControl/>
        <w:adjustRightInd w:val="0"/>
        <w:spacing w:line="360" w:lineRule="auto"/>
        <w:ind w:firstLineChars="400" w:firstLine="960"/>
        <w:jc w:val="left"/>
        <w:textAlignment w:val="baseline"/>
        <w:rPr>
          <w:color w:val="000000" w:themeColor="text1"/>
        </w:rPr>
      </w:pPr>
      <w:r w:rsidRPr="00B12FE0">
        <w:rPr>
          <w:color w:val="000000" w:themeColor="text1"/>
        </w:rPr>
        <w:t>SAD——</w:t>
      </w:r>
      <w:r w:rsidRPr="00B12FE0">
        <w:rPr>
          <w:color w:val="000000" w:themeColor="text1"/>
        </w:rPr>
        <w:t>源轴距，</w:t>
      </w:r>
      <w:r w:rsidRPr="00B12FE0">
        <w:rPr>
          <w:color w:val="000000" w:themeColor="text1"/>
        </w:rPr>
        <w:t>m</w:t>
      </w:r>
      <w:r w:rsidRPr="00B12FE0">
        <w:rPr>
          <w:color w:val="000000" w:themeColor="text1"/>
        </w:rPr>
        <w:t>；（对于医用加速器</w:t>
      </w:r>
      <w:r w:rsidRPr="00B12FE0">
        <w:rPr>
          <w:color w:val="000000" w:themeColor="text1"/>
        </w:rPr>
        <w:t>SAD=1m</w:t>
      </w:r>
      <w:r w:rsidRPr="00B12FE0">
        <w:rPr>
          <w:color w:val="000000" w:themeColor="text1"/>
        </w:rPr>
        <w:t>）</w:t>
      </w:r>
    </w:p>
    <w:p w14:paraId="7B2909AF" w14:textId="77777777" w:rsidR="00A67F21" w:rsidRPr="00B12FE0" w:rsidRDefault="00000000">
      <w:pPr>
        <w:widowControl/>
        <w:adjustRightInd w:val="0"/>
        <w:spacing w:line="360" w:lineRule="auto"/>
        <w:ind w:firstLineChars="400" w:firstLine="960"/>
        <w:jc w:val="left"/>
        <w:textAlignment w:val="baseline"/>
        <w:rPr>
          <w:color w:val="000000" w:themeColor="text1"/>
        </w:rPr>
      </w:pPr>
      <w:r w:rsidRPr="00B12FE0">
        <w:rPr>
          <w:color w:val="000000" w:themeColor="text1"/>
        </w:rPr>
        <w:t>a——</w:t>
      </w:r>
      <w:r w:rsidRPr="00B12FE0">
        <w:rPr>
          <w:color w:val="000000" w:themeColor="text1"/>
        </w:rPr>
        <w:t>等中心至</w:t>
      </w:r>
      <w:r w:rsidRPr="00B12FE0">
        <w:rPr>
          <w:color w:val="000000" w:themeColor="text1"/>
        </w:rPr>
        <w:t>“</w:t>
      </w:r>
      <w:r w:rsidRPr="00B12FE0">
        <w:rPr>
          <w:color w:val="000000" w:themeColor="text1"/>
        </w:rPr>
        <w:t>墙</w:t>
      </w:r>
      <w:r w:rsidRPr="00B12FE0">
        <w:rPr>
          <w:color w:val="000000" w:themeColor="text1"/>
        </w:rPr>
        <w:t>”</w:t>
      </w:r>
      <w:r w:rsidRPr="00B12FE0">
        <w:rPr>
          <w:color w:val="000000" w:themeColor="text1"/>
        </w:rPr>
        <w:t>的距离；</w:t>
      </w:r>
    </w:p>
    <w:p w14:paraId="70657868" w14:textId="77777777" w:rsidR="00A67F21" w:rsidRPr="00B12FE0" w:rsidRDefault="00000000">
      <w:pPr>
        <w:widowControl/>
        <w:adjustRightInd w:val="0"/>
        <w:spacing w:line="360" w:lineRule="auto"/>
        <w:ind w:firstLineChars="200" w:firstLine="480"/>
        <w:jc w:val="left"/>
        <w:textAlignment w:val="baseline"/>
        <w:rPr>
          <w:color w:val="000000" w:themeColor="text1"/>
        </w:rPr>
      </w:pPr>
      <w:r w:rsidRPr="00B12FE0">
        <w:rPr>
          <w:color w:val="000000" w:themeColor="text1"/>
        </w:rPr>
        <w:t>当主</w:t>
      </w:r>
      <w:proofErr w:type="gramStart"/>
      <w:r w:rsidRPr="00B12FE0">
        <w:rPr>
          <w:color w:val="000000" w:themeColor="text1"/>
        </w:rPr>
        <w:t>屏蔽区</w:t>
      </w:r>
      <w:proofErr w:type="gramEnd"/>
      <w:r w:rsidRPr="00B12FE0">
        <w:rPr>
          <w:color w:val="000000" w:themeColor="text1"/>
        </w:rPr>
        <w:t>向机房内</w:t>
      </w:r>
      <w:proofErr w:type="gramStart"/>
      <w:r w:rsidRPr="00B12FE0">
        <w:rPr>
          <w:color w:val="000000" w:themeColor="text1"/>
        </w:rPr>
        <w:t>凸</w:t>
      </w:r>
      <w:proofErr w:type="gramEnd"/>
      <w:r w:rsidRPr="00B12FE0">
        <w:rPr>
          <w:color w:val="000000" w:themeColor="text1"/>
        </w:rPr>
        <w:t>时，</w:t>
      </w:r>
      <w:r w:rsidRPr="00B12FE0">
        <w:rPr>
          <w:color w:val="000000" w:themeColor="text1"/>
        </w:rPr>
        <w:t>“</w:t>
      </w:r>
      <w:r w:rsidRPr="00B12FE0">
        <w:rPr>
          <w:color w:val="000000" w:themeColor="text1"/>
        </w:rPr>
        <w:t>墙</w:t>
      </w:r>
      <w:r w:rsidRPr="00B12FE0">
        <w:rPr>
          <w:color w:val="000000" w:themeColor="text1"/>
        </w:rPr>
        <w:t>”</w:t>
      </w:r>
      <w:r w:rsidRPr="00B12FE0">
        <w:rPr>
          <w:color w:val="000000" w:themeColor="text1"/>
        </w:rPr>
        <w:t>指与主屏蔽相连接的次屏蔽墙（或顶）的内表面；当主</w:t>
      </w:r>
      <w:proofErr w:type="gramStart"/>
      <w:r w:rsidRPr="00B12FE0">
        <w:rPr>
          <w:color w:val="000000" w:themeColor="text1"/>
        </w:rPr>
        <w:t>屏蔽墙区向</w:t>
      </w:r>
      <w:proofErr w:type="gramEnd"/>
      <w:r w:rsidRPr="00B12FE0">
        <w:rPr>
          <w:color w:val="000000" w:themeColor="text1"/>
        </w:rPr>
        <w:t>机房外凸时，</w:t>
      </w:r>
      <w:r w:rsidRPr="00B12FE0">
        <w:rPr>
          <w:color w:val="000000" w:themeColor="text1"/>
        </w:rPr>
        <w:t>“</w:t>
      </w:r>
      <w:r w:rsidRPr="00B12FE0">
        <w:rPr>
          <w:color w:val="000000" w:themeColor="text1"/>
        </w:rPr>
        <w:t>墙</w:t>
      </w:r>
      <w:r w:rsidRPr="00B12FE0">
        <w:rPr>
          <w:color w:val="000000" w:themeColor="text1"/>
        </w:rPr>
        <w:t>”</w:t>
      </w:r>
      <w:r w:rsidRPr="00B12FE0">
        <w:rPr>
          <w:color w:val="000000" w:themeColor="text1"/>
        </w:rPr>
        <w:t>指与主</w:t>
      </w:r>
      <w:proofErr w:type="gramStart"/>
      <w:r w:rsidRPr="00B12FE0">
        <w:rPr>
          <w:color w:val="000000" w:themeColor="text1"/>
        </w:rPr>
        <w:t>屏蔽区墙</w:t>
      </w:r>
      <w:proofErr w:type="gramEnd"/>
      <w:r w:rsidRPr="00B12FE0">
        <w:rPr>
          <w:color w:val="000000" w:themeColor="text1"/>
        </w:rPr>
        <w:t>（或顶）的外表面。</w:t>
      </w:r>
    </w:p>
    <w:p w14:paraId="7FC9151B" w14:textId="77777777" w:rsidR="00A67F21" w:rsidRPr="00B12FE0" w:rsidRDefault="00000000">
      <w:pPr>
        <w:widowControl/>
        <w:adjustRightInd w:val="0"/>
        <w:spacing w:line="360" w:lineRule="auto"/>
        <w:ind w:firstLineChars="200" w:firstLine="480"/>
        <w:jc w:val="left"/>
        <w:textAlignment w:val="baseline"/>
        <w:rPr>
          <w:color w:val="000000" w:themeColor="text1"/>
        </w:rPr>
      </w:pPr>
      <w:r w:rsidRPr="00B12FE0">
        <w:rPr>
          <w:color w:val="000000" w:themeColor="text1"/>
        </w:rPr>
        <w:t>本项目直线加速器机房需考虑西墙、东墙、顶棚主防护区，计算结果如表</w:t>
      </w:r>
      <w:r w:rsidRPr="00B12FE0">
        <w:rPr>
          <w:color w:val="000000" w:themeColor="text1"/>
        </w:rPr>
        <w:t>11.2.2.1-5</w:t>
      </w:r>
      <w:r w:rsidRPr="00B12FE0">
        <w:rPr>
          <w:color w:val="000000" w:themeColor="text1"/>
        </w:rPr>
        <w:t>所示。</w:t>
      </w:r>
    </w:p>
    <w:p w14:paraId="603B993A" w14:textId="77777777" w:rsidR="00A67F21" w:rsidRPr="00B12FE0" w:rsidRDefault="00000000">
      <w:pPr>
        <w:autoSpaceDE w:val="0"/>
        <w:spacing w:line="360" w:lineRule="auto"/>
        <w:jc w:val="center"/>
        <w:rPr>
          <w:b/>
          <w:bCs/>
          <w:color w:val="000000" w:themeColor="text1"/>
          <w:szCs w:val="21"/>
        </w:rPr>
      </w:pPr>
      <w:r w:rsidRPr="00B12FE0">
        <w:rPr>
          <w:b/>
          <w:bCs/>
          <w:color w:val="000000" w:themeColor="text1"/>
          <w:szCs w:val="21"/>
        </w:rPr>
        <w:t>表</w:t>
      </w:r>
      <w:r w:rsidRPr="00B12FE0">
        <w:rPr>
          <w:b/>
          <w:bCs/>
          <w:color w:val="000000" w:themeColor="text1"/>
          <w:szCs w:val="21"/>
        </w:rPr>
        <w:t xml:space="preserve">11.2.2.1-5  </w:t>
      </w:r>
      <w:r w:rsidRPr="00B12FE0">
        <w:rPr>
          <w:b/>
          <w:bCs/>
          <w:color w:val="000000" w:themeColor="text1"/>
          <w:szCs w:val="21"/>
        </w:rPr>
        <w:t>主屏蔽墙体的宽度计算一览表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6"/>
        <w:gridCol w:w="2495"/>
        <w:gridCol w:w="1283"/>
        <w:gridCol w:w="1541"/>
        <w:gridCol w:w="1368"/>
        <w:gridCol w:w="1288"/>
      </w:tblGrid>
      <w:tr w:rsidR="00A67F21" w:rsidRPr="00B12FE0" w14:paraId="7BE08D58" w14:textId="77777777">
        <w:trPr>
          <w:cantSplit/>
          <w:trHeight w:val="340"/>
          <w:jc w:val="center"/>
        </w:trPr>
        <w:tc>
          <w:tcPr>
            <w:tcW w:w="580" w:type="pct"/>
            <w:tcBorders>
              <w:top w:val="single" w:sz="2" w:space="0" w:color="auto"/>
              <w:left w:val="single" w:sz="2" w:space="0" w:color="auto"/>
              <w:bottom w:val="single" w:sz="2" w:space="0" w:color="auto"/>
              <w:right w:val="single" w:sz="2" w:space="0" w:color="auto"/>
            </w:tcBorders>
            <w:vAlign w:val="center"/>
          </w:tcPr>
          <w:p w14:paraId="69723FFA" w14:textId="77777777" w:rsidR="00A67F21" w:rsidRPr="00B12FE0" w:rsidRDefault="00000000">
            <w:pPr>
              <w:jc w:val="center"/>
              <w:rPr>
                <w:color w:val="000000" w:themeColor="text1"/>
                <w:sz w:val="21"/>
                <w:szCs w:val="21"/>
              </w:rPr>
            </w:pPr>
            <w:r w:rsidRPr="00B12FE0">
              <w:rPr>
                <w:color w:val="000000" w:themeColor="text1"/>
                <w:sz w:val="21"/>
                <w:szCs w:val="21"/>
              </w:rPr>
              <w:t>机房</w:t>
            </w:r>
          </w:p>
          <w:p w14:paraId="5F0D47F7" w14:textId="77777777" w:rsidR="00A67F21" w:rsidRPr="00B12FE0" w:rsidRDefault="00000000">
            <w:pPr>
              <w:jc w:val="center"/>
              <w:rPr>
                <w:color w:val="000000" w:themeColor="text1"/>
                <w:sz w:val="21"/>
                <w:szCs w:val="21"/>
              </w:rPr>
            </w:pPr>
            <w:r w:rsidRPr="00B12FE0">
              <w:rPr>
                <w:color w:val="000000" w:themeColor="text1"/>
                <w:sz w:val="21"/>
                <w:szCs w:val="21"/>
              </w:rPr>
              <w:t>名称</w:t>
            </w:r>
          </w:p>
        </w:tc>
        <w:tc>
          <w:tcPr>
            <w:tcW w:w="1383" w:type="pct"/>
            <w:tcBorders>
              <w:top w:val="single" w:sz="2" w:space="0" w:color="auto"/>
              <w:left w:val="single" w:sz="2" w:space="0" w:color="auto"/>
              <w:bottom w:val="single" w:sz="2" w:space="0" w:color="auto"/>
              <w:right w:val="single" w:sz="2" w:space="0" w:color="auto"/>
            </w:tcBorders>
            <w:vAlign w:val="center"/>
          </w:tcPr>
          <w:p w14:paraId="1B8EA906" w14:textId="77777777" w:rsidR="00A67F21" w:rsidRPr="00B12FE0" w:rsidRDefault="00000000">
            <w:pPr>
              <w:jc w:val="center"/>
              <w:rPr>
                <w:color w:val="000000" w:themeColor="text1"/>
                <w:sz w:val="21"/>
                <w:szCs w:val="21"/>
              </w:rPr>
            </w:pPr>
            <w:r w:rsidRPr="00B12FE0">
              <w:rPr>
                <w:color w:val="000000" w:themeColor="text1"/>
                <w:sz w:val="21"/>
                <w:szCs w:val="21"/>
              </w:rPr>
              <w:t>主屏蔽</w:t>
            </w:r>
            <w:proofErr w:type="gramStart"/>
            <w:r w:rsidRPr="00B12FE0">
              <w:rPr>
                <w:color w:val="000000" w:themeColor="text1"/>
                <w:sz w:val="21"/>
                <w:szCs w:val="21"/>
              </w:rPr>
              <w:t>墙位置</w:t>
            </w:r>
            <w:proofErr w:type="gramEnd"/>
          </w:p>
        </w:tc>
        <w:tc>
          <w:tcPr>
            <w:tcW w:w="711" w:type="pct"/>
            <w:tcBorders>
              <w:top w:val="single" w:sz="2" w:space="0" w:color="auto"/>
              <w:left w:val="single" w:sz="2" w:space="0" w:color="auto"/>
              <w:bottom w:val="single" w:sz="2" w:space="0" w:color="auto"/>
              <w:right w:val="single" w:sz="2" w:space="0" w:color="auto"/>
            </w:tcBorders>
            <w:vAlign w:val="center"/>
          </w:tcPr>
          <w:p w14:paraId="4AF6F9EF" w14:textId="77777777" w:rsidR="00A67F21" w:rsidRPr="00B12FE0" w:rsidRDefault="00000000">
            <w:pPr>
              <w:jc w:val="center"/>
              <w:rPr>
                <w:color w:val="000000" w:themeColor="text1"/>
                <w:sz w:val="21"/>
                <w:szCs w:val="21"/>
              </w:rPr>
            </w:pPr>
            <w:r w:rsidRPr="00B12FE0">
              <w:rPr>
                <w:color w:val="000000" w:themeColor="text1"/>
                <w:kern w:val="0"/>
                <w:sz w:val="21"/>
                <w:szCs w:val="21"/>
              </w:rPr>
              <w:t>a</w:t>
            </w:r>
            <w:r w:rsidRPr="00B12FE0">
              <w:rPr>
                <w:color w:val="000000" w:themeColor="text1"/>
                <w:kern w:val="0"/>
                <w:sz w:val="21"/>
                <w:szCs w:val="21"/>
              </w:rPr>
              <w:t>（</w:t>
            </w:r>
            <w:r w:rsidRPr="00B12FE0">
              <w:rPr>
                <w:color w:val="000000" w:themeColor="text1"/>
                <w:kern w:val="0"/>
                <w:sz w:val="21"/>
                <w:szCs w:val="21"/>
              </w:rPr>
              <w:t>m</w:t>
            </w:r>
            <w:r w:rsidRPr="00B12FE0">
              <w:rPr>
                <w:color w:val="000000" w:themeColor="text1"/>
                <w:kern w:val="0"/>
                <w:sz w:val="21"/>
                <w:szCs w:val="21"/>
              </w:rPr>
              <w:t>）</w:t>
            </w:r>
          </w:p>
        </w:tc>
        <w:tc>
          <w:tcPr>
            <w:tcW w:w="854" w:type="pct"/>
            <w:tcBorders>
              <w:top w:val="single" w:sz="2" w:space="0" w:color="auto"/>
              <w:left w:val="single" w:sz="2" w:space="0" w:color="auto"/>
              <w:bottom w:val="single" w:sz="2" w:space="0" w:color="auto"/>
              <w:right w:val="single" w:sz="2" w:space="0" w:color="auto"/>
            </w:tcBorders>
            <w:vAlign w:val="center"/>
          </w:tcPr>
          <w:p w14:paraId="7FDF2CD9" w14:textId="77777777" w:rsidR="00A67F21" w:rsidRPr="00B12FE0" w:rsidRDefault="00000000">
            <w:pPr>
              <w:jc w:val="center"/>
              <w:rPr>
                <w:color w:val="000000" w:themeColor="text1"/>
                <w:sz w:val="21"/>
                <w:szCs w:val="21"/>
              </w:rPr>
            </w:pPr>
            <w:r w:rsidRPr="00B12FE0">
              <w:rPr>
                <w:color w:val="000000" w:themeColor="text1"/>
                <w:sz w:val="21"/>
                <w:szCs w:val="21"/>
              </w:rPr>
              <w:t>计算值（</w:t>
            </w:r>
            <w:r w:rsidRPr="00B12FE0">
              <w:rPr>
                <w:color w:val="000000" w:themeColor="text1"/>
                <w:sz w:val="21"/>
                <w:szCs w:val="21"/>
              </w:rPr>
              <w:t>m</w:t>
            </w:r>
            <w:r w:rsidRPr="00B12FE0">
              <w:rPr>
                <w:color w:val="000000" w:themeColor="text1"/>
                <w:sz w:val="21"/>
                <w:szCs w:val="21"/>
              </w:rPr>
              <w:t>）</w:t>
            </w:r>
          </w:p>
        </w:tc>
        <w:tc>
          <w:tcPr>
            <w:tcW w:w="758" w:type="pct"/>
            <w:tcBorders>
              <w:top w:val="single" w:sz="2" w:space="0" w:color="auto"/>
              <w:left w:val="single" w:sz="2" w:space="0" w:color="auto"/>
              <w:bottom w:val="single" w:sz="2" w:space="0" w:color="auto"/>
              <w:right w:val="single" w:sz="2" w:space="0" w:color="auto"/>
            </w:tcBorders>
            <w:vAlign w:val="center"/>
          </w:tcPr>
          <w:p w14:paraId="2FC877AB" w14:textId="77777777" w:rsidR="00A67F21" w:rsidRPr="00B12FE0" w:rsidRDefault="00000000">
            <w:pPr>
              <w:jc w:val="center"/>
              <w:rPr>
                <w:color w:val="000000" w:themeColor="text1"/>
                <w:sz w:val="21"/>
                <w:szCs w:val="21"/>
              </w:rPr>
            </w:pPr>
            <w:r w:rsidRPr="00B12FE0">
              <w:rPr>
                <w:color w:val="000000" w:themeColor="text1"/>
                <w:sz w:val="21"/>
                <w:szCs w:val="21"/>
              </w:rPr>
              <w:t>设计值（</w:t>
            </w:r>
            <w:r w:rsidRPr="00B12FE0">
              <w:rPr>
                <w:color w:val="000000" w:themeColor="text1"/>
                <w:sz w:val="21"/>
                <w:szCs w:val="21"/>
              </w:rPr>
              <w:t>m</w:t>
            </w:r>
            <w:r w:rsidRPr="00B12FE0">
              <w:rPr>
                <w:color w:val="000000" w:themeColor="text1"/>
                <w:sz w:val="21"/>
                <w:szCs w:val="21"/>
              </w:rPr>
              <w:t>）</w:t>
            </w:r>
          </w:p>
        </w:tc>
        <w:tc>
          <w:tcPr>
            <w:tcW w:w="714" w:type="pct"/>
            <w:tcBorders>
              <w:top w:val="single" w:sz="2" w:space="0" w:color="auto"/>
              <w:left w:val="single" w:sz="2" w:space="0" w:color="auto"/>
              <w:bottom w:val="single" w:sz="2" w:space="0" w:color="auto"/>
              <w:right w:val="single" w:sz="2" w:space="0" w:color="auto"/>
            </w:tcBorders>
            <w:vAlign w:val="center"/>
          </w:tcPr>
          <w:p w14:paraId="38A3B842" w14:textId="77777777" w:rsidR="00A67F21" w:rsidRPr="00B12FE0" w:rsidRDefault="00000000">
            <w:pPr>
              <w:jc w:val="center"/>
              <w:rPr>
                <w:color w:val="000000" w:themeColor="text1"/>
                <w:sz w:val="21"/>
                <w:szCs w:val="21"/>
              </w:rPr>
            </w:pPr>
            <w:r w:rsidRPr="00B12FE0">
              <w:rPr>
                <w:color w:val="000000" w:themeColor="text1"/>
                <w:sz w:val="21"/>
                <w:szCs w:val="21"/>
              </w:rPr>
              <w:t>评价结果</w:t>
            </w:r>
          </w:p>
        </w:tc>
      </w:tr>
      <w:tr w:rsidR="00A67F21" w:rsidRPr="00B12FE0" w14:paraId="3BD3E8C6" w14:textId="77777777">
        <w:trPr>
          <w:cantSplit/>
          <w:trHeight w:val="340"/>
          <w:jc w:val="center"/>
        </w:trPr>
        <w:tc>
          <w:tcPr>
            <w:tcW w:w="580" w:type="pct"/>
            <w:vMerge w:val="restart"/>
            <w:tcBorders>
              <w:top w:val="single" w:sz="2" w:space="0" w:color="auto"/>
              <w:left w:val="single" w:sz="2" w:space="0" w:color="auto"/>
              <w:right w:val="single" w:sz="2" w:space="0" w:color="auto"/>
            </w:tcBorders>
            <w:vAlign w:val="center"/>
          </w:tcPr>
          <w:p w14:paraId="709B7335" w14:textId="77777777" w:rsidR="00A67F21" w:rsidRPr="00B12FE0" w:rsidRDefault="00000000">
            <w:pPr>
              <w:jc w:val="center"/>
              <w:rPr>
                <w:color w:val="000000" w:themeColor="text1"/>
                <w:sz w:val="21"/>
                <w:szCs w:val="21"/>
              </w:rPr>
            </w:pPr>
            <w:r w:rsidRPr="00B12FE0">
              <w:rPr>
                <w:color w:val="000000" w:themeColor="text1"/>
                <w:sz w:val="21"/>
                <w:szCs w:val="21"/>
              </w:rPr>
              <w:lastRenderedPageBreak/>
              <w:t>直线加速器机房</w:t>
            </w:r>
            <w:r w:rsidRPr="00B12FE0">
              <w:rPr>
                <w:color w:val="000000" w:themeColor="text1"/>
                <w:sz w:val="21"/>
                <w:szCs w:val="21"/>
              </w:rPr>
              <w:t>1</w:t>
            </w:r>
          </w:p>
        </w:tc>
        <w:tc>
          <w:tcPr>
            <w:tcW w:w="1383" w:type="pct"/>
            <w:tcBorders>
              <w:top w:val="single" w:sz="2" w:space="0" w:color="auto"/>
              <w:left w:val="single" w:sz="2" w:space="0" w:color="auto"/>
              <w:bottom w:val="single" w:sz="2" w:space="0" w:color="auto"/>
              <w:right w:val="single" w:sz="2" w:space="0" w:color="auto"/>
            </w:tcBorders>
            <w:vAlign w:val="center"/>
          </w:tcPr>
          <w:p w14:paraId="169FBD68" w14:textId="77777777" w:rsidR="00A67F21" w:rsidRPr="00B12FE0" w:rsidRDefault="00000000">
            <w:pPr>
              <w:jc w:val="center"/>
              <w:rPr>
                <w:color w:val="000000" w:themeColor="text1"/>
                <w:sz w:val="21"/>
                <w:szCs w:val="21"/>
              </w:rPr>
            </w:pPr>
            <w:r w:rsidRPr="00B12FE0">
              <w:rPr>
                <w:color w:val="000000" w:themeColor="text1"/>
                <w:sz w:val="21"/>
                <w:szCs w:val="21"/>
              </w:rPr>
              <w:t>西墙主屏蔽墙宽度</w:t>
            </w:r>
          </w:p>
          <w:p w14:paraId="0931E9B8" w14:textId="77777777" w:rsidR="00A67F21" w:rsidRPr="00B12FE0" w:rsidRDefault="00000000">
            <w:pPr>
              <w:jc w:val="center"/>
              <w:rPr>
                <w:color w:val="000000" w:themeColor="text1"/>
                <w:sz w:val="21"/>
                <w:szCs w:val="21"/>
              </w:rPr>
            </w:pPr>
            <w:r w:rsidRPr="00B12FE0">
              <w:rPr>
                <w:color w:val="000000" w:themeColor="text1"/>
                <w:sz w:val="21"/>
                <w:szCs w:val="21"/>
              </w:rPr>
              <w:t>（内</w:t>
            </w:r>
            <w:proofErr w:type="gramStart"/>
            <w:r w:rsidRPr="00B12FE0">
              <w:rPr>
                <w:color w:val="000000" w:themeColor="text1"/>
                <w:sz w:val="21"/>
                <w:szCs w:val="21"/>
              </w:rPr>
              <w:t>凸</w:t>
            </w:r>
            <w:proofErr w:type="gramEnd"/>
            <w:r w:rsidRPr="00B12FE0">
              <w:rPr>
                <w:color w:val="000000" w:themeColor="text1"/>
                <w:sz w:val="21"/>
                <w:szCs w:val="21"/>
              </w:rPr>
              <w:t>）</w:t>
            </w:r>
          </w:p>
        </w:tc>
        <w:tc>
          <w:tcPr>
            <w:tcW w:w="711" w:type="pct"/>
            <w:tcBorders>
              <w:top w:val="single" w:sz="2" w:space="0" w:color="auto"/>
              <w:left w:val="single" w:sz="2" w:space="0" w:color="auto"/>
              <w:bottom w:val="single" w:sz="2" w:space="0" w:color="auto"/>
              <w:right w:val="single" w:sz="2" w:space="0" w:color="auto"/>
            </w:tcBorders>
            <w:vAlign w:val="center"/>
          </w:tcPr>
          <w:p w14:paraId="5ADFEE64" w14:textId="77777777" w:rsidR="00A67F21" w:rsidRPr="00B12FE0" w:rsidRDefault="00000000">
            <w:pPr>
              <w:jc w:val="center"/>
              <w:rPr>
                <w:color w:val="000000" w:themeColor="text1"/>
                <w:kern w:val="0"/>
                <w:sz w:val="21"/>
                <w:szCs w:val="21"/>
              </w:rPr>
            </w:pPr>
            <w:r w:rsidRPr="00B12FE0">
              <w:rPr>
                <w:snapToGrid w:val="0"/>
                <w:color w:val="000000" w:themeColor="text1"/>
                <w:kern w:val="0"/>
                <w:sz w:val="21"/>
                <w:szCs w:val="21"/>
                <w:lang w:bidi="ar"/>
              </w:rPr>
              <w:t>5.7</w:t>
            </w:r>
          </w:p>
        </w:tc>
        <w:tc>
          <w:tcPr>
            <w:tcW w:w="854" w:type="pct"/>
            <w:tcBorders>
              <w:top w:val="single" w:sz="2" w:space="0" w:color="auto"/>
              <w:left w:val="single" w:sz="2" w:space="0" w:color="auto"/>
              <w:bottom w:val="single" w:sz="2" w:space="0" w:color="auto"/>
              <w:right w:val="single" w:sz="2" w:space="0" w:color="auto"/>
            </w:tcBorders>
            <w:vAlign w:val="center"/>
          </w:tcPr>
          <w:p w14:paraId="5BC95528" w14:textId="77777777" w:rsidR="00A67F21" w:rsidRPr="00B12FE0" w:rsidRDefault="00000000">
            <w:pPr>
              <w:jc w:val="center"/>
              <w:rPr>
                <w:color w:val="000000" w:themeColor="text1"/>
                <w:sz w:val="21"/>
                <w:szCs w:val="21"/>
              </w:rPr>
            </w:pPr>
            <w:r w:rsidRPr="00B12FE0">
              <w:rPr>
                <w:color w:val="000000" w:themeColor="text1"/>
                <w:sz w:val="21"/>
                <w:szCs w:val="21"/>
              </w:rPr>
              <w:t>3.94</w:t>
            </w:r>
          </w:p>
        </w:tc>
        <w:tc>
          <w:tcPr>
            <w:tcW w:w="758" w:type="pct"/>
            <w:tcBorders>
              <w:top w:val="single" w:sz="2" w:space="0" w:color="auto"/>
              <w:left w:val="single" w:sz="2" w:space="0" w:color="auto"/>
              <w:bottom w:val="single" w:sz="2" w:space="0" w:color="auto"/>
              <w:right w:val="single" w:sz="2" w:space="0" w:color="auto"/>
            </w:tcBorders>
            <w:vAlign w:val="center"/>
          </w:tcPr>
          <w:p w14:paraId="55D4CFC6" w14:textId="77777777" w:rsidR="00A67F21" w:rsidRPr="00B12FE0" w:rsidRDefault="00000000">
            <w:pPr>
              <w:jc w:val="center"/>
              <w:rPr>
                <w:color w:val="000000" w:themeColor="text1"/>
                <w:sz w:val="21"/>
                <w:szCs w:val="21"/>
              </w:rPr>
            </w:pPr>
            <w:r w:rsidRPr="00B12FE0">
              <w:rPr>
                <w:color w:val="000000" w:themeColor="text1"/>
                <w:sz w:val="21"/>
                <w:szCs w:val="21"/>
              </w:rPr>
              <w:t>5.4</w:t>
            </w:r>
          </w:p>
        </w:tc>
        <w:tc>
          <w:tcPr>
            <w:tcW w:w="714" w:type="pct"/>
            <w:tcBorders>
              <w:top w:val="single" w:sz="2" w:space="0" w:color="auto"/>
              <w:left w:val="single" w:sz="2" w:space="0" w:color="auto"/>
              <w:bottom w:val="single" w:sz="2" w:space="0" w:color="auto"/>
              <w:right w:val="single" w:sz="2" w:space="0" w:color="auto"/>
            </w:tcBorders>
            <w:vAlign w:val="center"/>
          </w:tcPr>
          <w:p w14:paraId="6033BC83" w14:textId="77777777" w:rsidR="00A67F21" w:rsidRPr="00B12FE0" w:rsidRDefault="00000000">
            <w:pPr>
              <w:jc w:val="center"/>
              <w:rPr>
                <w:color w:val="000000" w:themeColor="text1"/>
                <w:sz w:val="21"/>
                <w:szCs w:val="21"/>
              </w:rPr>
            </w:pPr>
            <w:r w:rsidRPr="00B12FE0">
              <w:rPr>
                <w:color w:val="000000" w:themeColor="text1"/>
                <w:sz w:val="21"/>
                <w:szCs w:val="21"/>
              </w:rPr>
              <w:t>满足</w:t>
            </w:r>
          </w:p>
        </w:tc>
      </w:tr>
      <w:tr w:rsidR="00A67F21" w:rsidRPr="00B12FE0" w14:paraId="3F3974A3" w14:textId="77777777">
        <w:trPr>
          <w:cantSplit/>
          <w:trHeight w:val="340"/>
          <w:jc w:val="center"/>
        </w:trPr>
        <w:tc>
          <w:tcPr>
            <w:tcW w:w="580" w:type="pct"/>
            <w:vMerge/>
            <w:tcBorders>
              <w:left w:val="single" w:sz="2" w:space="0" w:color="auto"/>
              <w:right w:val="single" w:sz="2" w:space="0" w:color="auto"/>
            </w:tcBorders>
            <w:vAlign w:val="center"/>
          </w:tcPr>
          <w:p w14:paraId="4B95BF15" w14:textId="77777777" w:rsidR="00A67F21" w:rsidRPr="00B12FE0" w:rsidRDefault="00A67F21">
            <w:pPr>
              <w:jc w:val="center"/>
              <w:rPr>
                <w:color w:val="000000" w:themeColor="text1"/>
                <w:sz w:val="21"/>
                <w:szCs w:val="21"/>
              </w:rPr>
            </w:pPr>
          </w:p>
        </w:tc>
        <w:tc>
          <w:tcPr>
            <w:tcW w:w="1383" w:type="pct"/>
            <w:tcBorders>
              <w:top w:val="single" w:sz="2" w:space="0" w:color="auto"/>
              <w:left w:val="single" w:sz="2" w:space="0" w:color="auto"/>
              <w:bottom w:val="single" w:sz="2" w:space="0" w:color="auto"/>
              <w:right w:val="single" w:sz="2" w:space="0" w:color="auto"/>
            </w:tcBorders>
            <w:vAlign w:val="center"/>
          </w:tcPr>
          <w:p w14:paraId="4AD06996" w14:textId="77777777" w:rsidR="00A67F21" w:rsidRPr="00B12FE0" w:rsidRDefault="00000000">
            <w:pPr>
              <w:jc w:val="center"/>
              <w:rPr>
                <w:color w:val="000000" w:themeColor="text1"/>
                <w:sz w:val="21"/>
                <w:szCs w:val="21"/>
              </w:rPr>
            </w:pPr>
            <w:r w:rsidRPr="00B12FE0">
              <w:rPr>
                <w:color w:val="000000" w:themeColor="text1"/>
                <w:sz w:val="21"/>
                <w:szCs w:val="21"/>
              </w:rPr>
              <w:t>东墙主屏蔽墙宽度</w:t>
            </w:r>
          </w:p>
          <w:p w14:paraId="386F7AFB" w14:textId="77777777" w:rsidR="00A67F21" w:rsidRPr="00B12FE0" w:rsidRDefault="00000000">
            <w:pPr>
              <w:jc w:val="center"/>
              <w:rPr>
                <w:color w:val="000000" w:themeColor="text1"/>
                <w:sz w:val="21"/>
                <w:szCs w:val="21"/>
              </w:rPr>
            </w:pPr>
            <w:r w:rsidRPr="00B12FE0">
              <w:rPr>
                <w:color w:val="000000" w:themeColor="text1"/>
                <w:sz w:val="21"/>
                <w:szCs w:val="21"/>
              </w:rPr>
              <w:t>（外凸）</w:t>
            </w:r>
          </w:p>
        </w:tc>
        <w:tc>
          <w:tcPr>
            <w:tcW w:w="711" w:type="pct"/>
            <w:tcBorders>
              <w:top w:val="single" w:sz="2" w:space="0" w:color="auto"/>
              <w:left w:val="single" w:sz="2" w:space="0" w:color="auto"/>
              <w:bottom w:val="single" w:sz="2" w:space="0" w:color="auto"/>
              <w:right w:val="single" w:sz="2" w:space="0" w:color="auto"/>
            </w:tcBorders>
            <w:vAlign w:val="center"/>
          </w:tcPr>
          <w:p w14:paraId="27CDC0B5" w14:textId="77777777" w:rsidR="00A67F21" w:rsidRPr="00B12FE0" w:rsidRDefault="00000000">
            <w:pPr>
              <w:jc w:val="center"/>
              <w:rPr>
                <w:color w:val="000000" w:themeColor="text1"/>
                <w:kern w:val="0"/>
                <w:sz w:val="21"/>
                <w:szCs w:val="21"/>
              </w:rPr>
            </w:pPr>
            <w:r w:rsidRPr="00B12FE0">
              <w:rPr>
                <w:snapToGrid w:val="0"/>
                <w:color w:val="000000" w:themeColor="text1"/>
                <w:kern w:val="0"/>
                <w:sz w:val="21"/>
                <w:szCs w:val="21"/>
                <w:lang w:bidi="ar"/>
              </w:rPr>
              <w:t>6.7</w:t>
            </w:r>
          </w:p>
        </w:tc>
        <w:tc>
          <w:tcPr>
            <w:tcW w:w="854" w:type="pct"/>
            <w:tcBorders>
              <w:top w:val="single" w:sz="2" w:space="0" w:color="auto"/>
              <w:left w:val="single" w:sz="2" w:space="0" w:color="auto"/>
              <w:bottom w:val="single" w:sz="2" w:space="0" w:color="auto"/>
              <w:right w:val="single" w:sz="2" w:space="0" w:color="auto"/>
            </w:tcBorders>
            <w:vAlign w:val="center"/>
          </w:tcPr>
          <w:p w14:paraId="1B66AB36" w14:textId="77777777" w:rsidR="00A67F21" w:rsidRPr="00B12FE0" w:rsidRDefault="00000000">
            <w:pPr>
              <w:jc w:val="center"/>
              <w:rPr>
                <w:color w:val="000000" w:themeColor="text1"/>
                <w:sz w:val="21"/>
                <w:szCs w:val="21"/>
              </w:rPr>
            </w:pPr>
            <w:r w:rsidRPr="00B12FE0">
              <w:rPr>
                <w:color w:val="000000" w:themeColor="text1"/>
                <w:sz w:val="21"/>
                <w:szCs w:val="21"/>
              </w:rPr>
              <w:t>4.44</w:t>
            </w:r>
          </w:p>
        </w:tc>
        <w:tc>
          <w:tcPr>
            <w:tcW w:w="758" w:type="pct"/>
            <w:tcBorders>
              <w:top w:val="single" w:sz="2" w:space="0" w:color="auto"/>
              <w:left w:val="single" w:sz="2" w:space="0" w:color="auto"/>
              <w:bottom w:val="single" w:sz="2" w:space="0" w:color="auto"/>
              <w:right w:val="single" w:sz="2" w:space="0" w:color="auto"/>
            </w:tcBorders>
            <w:vAlign w:val="center"/>
          </w:tcPr>
          <w:p w14:paraId="4CC2E6B8" w14:textId="77777777" w:rsidR="00A67F21" w:rsidRPr="00B12FE0" w:rsidRDefault="00000000">
            <w:pPr>
              <w:jc w:val="center"/>
              <w:rPr>
                <w:color w:val="000000" w:themeColor="text1"/>
                <w:sz w:val="21"/>
                <w:szCs w:val="21"/>
              </w:rPr>
            </w:pPr>
            <w:r w:rsidRPr="00B12FE0">
              <w:rPr>
                <w:color w:val="000000" w:themeColor="text1"/>
                <w:sz w:val="21"/>
                <w:szCs w:val="21"/>
              </w:rPr>
              <w:t>5.4</w:t>
            </w:r>
          </w:p>
        </w:tc>
        <w:tc>
          <w:tcPr>
            <w:tcW w:w="714" w:type="pct"/>
            <w:tcBorders>
              <w:top w:val="single" w:sz="2" w:space="0" w:color="auto"/>
              <w:left w:val="single" w:sz="2" w:space="0" w:color="auto"/>
              <w:bottom w:val="single" w:sz="2" w:space="0" w:color="auto"/>
              <w:right w:val="single" w:sz="2" w:space="0" w:color="auto"/>
            </w:tcBorders>
            <w:vAlign w:val="center"/>
          </w:tcPr>
          <w:p w14:paraId="6C1A1235" w14:textId="77777777" w:rsidR="00A67F21" w:rsidRPr="00B12FE0" w:rsidRDefault="00000000">
            <w:pPr>
              <w:jc w:val="center"/>
              <w:rPr>
                <w:color w:val="000000" w:themeColor="text1"/>
                <w:sz w:val="21"/>
                <w:szCs w:val="21"/>
              </w:rPr>
            </w:pPr>
            <w:r w:rsidRPr="00B12FE0">
              <w:rPr>
                <w:color w:val="000000" w:themeColor="text1"/>
                <w:sz w:val="21"/>
                <w:szCs w:val="21"/>
              </w:rPr>
              <w:t>满足</w:t>
            </w:r>
          </w:p>
        </w:tc>
      </w:tr>
      <w:tr w:rsidR="00A67F21" w:rsidRPr="00B12FE0" w14:paraId="0FADF127" w14:textId="77777777">
        <w:trPr>
          <w:cantSplit/>
          <w:trHeight w:val="340"/>
          <w:jc w:val="center"/>
        </w:trPr>
        <w:tc>
          <w:tcPr>
            <w:tcW w:w="580" w:type="pct"/>
            <w:vMerge/>
            <w:tcBorders>
              <w:left w:val="single" w:sz="2" w:space="0" w:color="auto"/>
              <w:bottom w:val="single" w:sz="2" w:space="0" w:color="auto"/>
              <w:right w:val="single" w:sz="2" w:space="0" w:color="auto"/>
            </w:tcBorders>
            <w:vAlign w:val="center"/>
          </w:tcPr>
          <w:p w14:paraId="1A3C74F2" w14:textId="77777777" w:rsidR="00A67F21" w:rsidRPr="00B12FE0" w:rsidRDefault="00A67F21">
            <w:pPr>
              <w:jc w:val="center"/>
              <w:rPr>
                <w:color w:val="000000" w:themeColor="text1"/>
                <w:sz w:val="21"/>
                <w:szCs w:val="21"/>
              </w:rPr>
            </w:pPr>
          </w:p>
        </w:tc>
        <w:tc>
          <w:tcPr>
            <w:tcW w:w="1383" w:type="pct"/>
            <w:tcBorders>
              <w:top w:val="single" w:sz="2" w:space="0" w:color="auto"/>
              <w:left w:val="single" w:sz="2" w:space="0" w:color="auto"/>
              <w:bottom w:val="single" w:sz="2" w:space="0" w:color="auto"/>
              <w:right w:val="single" w:sz="2" w:space="0" w:color="auto"/>
            </w:tcBorders>
            <w:vAlign w:val="center"/>
          </w:tcPr>
          <w:p w14:paraId="1C5F38B0" w14:textId="77777777" w:rsidR="00A67F21" w:rsidRPr="00B12FE0" w:rsidRDefault="00000000">
            <w:pPr>
              <w:jc w:val="center"/>
              <w:rPr>
                <w:color w:val="000000" w:themeColor="text1"/>
                <w:sz w:val="21"/>
                <w:szCs w:val="21"/>
              </w:rPr>
            </w:pPr>
            <w:r w:rsidRPr="00B12FE0">
              <w:rPr>
                <w:color w:val="000000" w:themeColor="text1"/>
                <w:sz w:val="21"/>
                <w:szCs w:val="21"/>
              </w:rPr>
              <w:t>顶棚主屏蔽墙宽度（内</w:t>
            </w:r>
            <w:proofErr w:type="gramStart"/>
            <w:r w:rsidRPr="00B12FE0">
              <w:rPr>
                <w:color w:val="000000" w:themeColor="text1"/>
                <w:sz w:val="21"/>
                <w:szCs w:val="21"/>
              </w:rPr>
              <w:t>凸</w:t>
            </w:r>
            <w:proofErr w:type="gramEnd"/>
            <w:r w:rsidRPr="00B12FE0">
              <w:rPr>
                <w:color w:val="000000" w:themeColor="text1"/>
                <w:sz w:val="21"/>
                <w:szCs w:val="21"/>
              </w:rPr>
              <w:t>）</w:t>
            </w:r>
          </w:p>
        </w:tc>
        <w:tc>
          <w:tcPr>
            <w:tcW w:w="711" w:type="pct"/>
            <w:tcBorders>
              <w:top w:val="single" w:sz="2" w:space="0" w:color="auto"/>
              <w:left w:val="single" w:sz="2" w:space="0" w:color="auto"/>
              <w:bottom w:val="single" w:sz="2" w:space="0" w:color="auto"/>
              <w:right w:val="single" w:sz="2" w:space="0" w:color="auto"/>
            </w:tcBorders>
            <w:vAlign w:val="center"/>
          </w:tcPr>
          <w:p w14:paraId="0C0E8A70" w14:textId="77777777" w:rsidR="00A67F21" w:rsidRPr="00B12FE0" w:rsidRDefault="00000000">
            <w:pPr>
              <w:jc w:val="center"/>
              <w:rPr>
                <w:color w:val="000000" w:themeColor="text1"/>
                <w:kern w:val="0"/>
                <w:sz w:val="21"/>
                <w:szCs w:val="21"/>
              </w:rPr>
            </w:pPr>
            <w:r w:rsidRPr="00B12FE0">
              <w:rPr>
                <w:snapToGrid w:val="0"/>
                <w:color w:val="000000" w:themeColor="text1"/>
                <w:kern w:val="0"/>
                <w:sz w:val="21"/>
                <w:szCs w:val="21"/>
                <w:lang w:bidi="ar"/>
              </w:rPr>
              <w:t>4.2</w:t>
            </w:r>
          </w:p>
        </w:tc>
        <w:tc>
          <w:tcPr>
            <w:tcW w:w="854" w:type="pct"/>
            <w:tcBorders>
              <w:top w:val="single" w:sz="2" w:space="0" w:color="auto"/>
              <w:left w:val="single" w:sz="2" w:space="0" w:color="auto"/>
              <w:bottom w:val="single" w:sz="2" w:space="0" w:color="auto"/>
              <w:right w:val="single" w:sz="2" w:space="0" w:color="auto"/>
            </w:tcBorders>
            <w:vAlign w:val="center"/>
          </w:tcPr>
          <w:p w14:paraId="24E19DA4" w14:textId="77777777" w:rsidR="00A67F21" w:rsidRPr="00B12FE0" w:rsidRDefault="00000000">
            <w:pPr>
              <w:jc w:val="center"/>
              <w:rPr>
                <w:color w:val="000000" w:themeColor="text1"/>
                <w:sz w:val="21"/>
                <w:szCs w:val="21"/>
              </w:rPr>
            </w:pPr>
            <w:r w:rsidRPr="00B12FE0">
              <w:rPr>
                <w:color w:val="000000" w:themeColor="text1"/>
                <w:sz w:val="21"/>
                <w:szCs w:val="21"/>
              </w:rPr>
              <w:t>3.19</w:t>
            </w:r>
          </w:p>
        </w:tc>
        <w:tc>
          <w:tcPr>
            <w:tcW w:w="758" w:type="pct"/>
            <w:tcBorders>
              <w:top w:val="single" w:sz="2" w:space="0" w:color="auto"/>
              <w:left w:val="single" w:sz="2" w:space="0" w:color="auto"/>
              <w:bottom w:val="single" w:sz="2" w:space="0" w:color="auto"/>
              <w:right w:val="single" w:sz="2" w:space="0" w:color="auto"/>
            </w:tcBorders>
            <w:vAlign w:val="center"/>
          </w:tcPr>
          <w:p w14:paraId="7E6963D5" w14:textId="77777777" w:rsidR="00A67F21" w:rsidRPr="00B12FE0" w:rsidRDefault="00000000">
            <w:pPr>
              <w:jc w:val="center"/>
              <w:rPr>
                <w:color w:val="000000" w:themeColor="text1"/>
                <w:sz w:val="21"/>
                <w:szCs w:val="21"/>
              </w:rPr>
            </w:pPr>
            <w:r w:rsidRPr="00B12FE0">
              <w:rPr>
                <w:color w:val="000000" w:themeColor="text1"/>
                <w:sz w:val="21"/>
                <w:szCs w:val="21"/>
              </w:rPr>
              <w:t>5.4</w:t>
            </w:r>
          </w:p>
        </w:tc>
        <w:tc>
          <w:tcPr>
            <w:tcW w:w="714" w:type="pct"/>
            <w:tcBorders>
              <w:top w:val="single" w:sz="2" w:space="0" w:color="auto"/>
              <w:left w:val="single" w:sz="2" w:space="0" w:color="auto"/>
              <w:bottom w:val="single" w:sz="2" w:space="0" w:color="auto"/>
              <w:right w:val="single" w:sz="2" w:space="0" w:color="auto"/>
            </w:tcBorders>
            <w:vAlign w:val="center"/>
          </w:tcPr>
          <w:p w14:paraId="2C27D89E" w14:textId="77777777" w:rsidR="00A67F21" w:rsidRPr="00B12FE0" w:rsidRDefault="00000000">
            <w:pPr>
              <w:jc w:val="center"/>
              <w:rPr>
                <w:color w:val="000000" w:themeColor="text1"/>
                <w:sz w:val="21"/>
                <w:szCs w:val="21"/>
              </w:rPr>
            </w:pPr>
            <w:r w:rsidRPr="00B12FE0">
              <w:rPr>
                <w:color w:val="000000" w:themeColor="text1"/>
                <w:sz w:val="21"/>
                <w:szCs w:val="21"/>
              </w:rPr>
              <w:t>满足</w:t>
            </w:r>
          </w:p>
        </w:tc>
      </w:tr>
      <w:tr w:rsidR="00A67F21" w:rsidRPr="00B12FE0" w14:paraId="54D2DFAA" w14:textId="77777777">
        <w:trPr>
          <w:cantSplit/>
          <w:trHeight w:val="340"/>
          <w:jc w:val="center"/>
        </w:trPr>
        <w:tc>
          <w:tcPr>
            <w:tcW w:w="580" w:type="pct"/>
            <w:vMerge w:val="restart"/>
            <w:tcBorders>
              <w:top w:val="single" w:sz="2" w:space="0" w:color="auto"/>
              <w:left w:val="single" w:sz="2" w:space="0" w:color="auto"/>
              <w:bottom w:val="single" w:sz="2" w:space="0" w:color="auto"/>
              <w:right w:val="single" w:sz="2" w:space="0" w:color="auto"/>
            </w:tcBorders>
            <w:vAlign w:val="center"/>
          </w:tcPr>
          <w:p w14:paraId="1F093126" w14:textId="77777777" w:rsidR="00A67F21" w:rsidRPr="00B12FE0" w:rsidRDefault="00000000">
            <w:pPr>
              <w:jc w:val="center"/>
              <w:rPr>
                <w:color w:val="000000" w:themeColor="text1"/>
                <w:sz w:val="21"/>
                <w:szCs w:val="21"/>
              </w:rPr>
            </w:pPr>
            <w:r w:rsidRPr="00B12FE0">
              <w:rPr>
                <w:color w:val="000000" w:themeColor="text1"/>
                <w:sz w:val="21"/>
                <w:szCs w:val="21"/>
              </w:rPr>
              <w:t>直线加速器机房</w:t>
            </w:r>
            <w:r w:rsidRPr="00B12FE0">
              <w:rPr>
                <w:color w:val="000000" w:themeColor="text1"/>
                <w:sz w:val="21"/>
                <w:szCs w:val="21"/>
              </w:rPr>
              <w:t>2</w:t>
            </w:r>
          </w:p>
        </w:tc>
        <w:tc>
          <w:tcPr>
            <w:tcW w:w="1383" w:type="pct"/>
            <w:tcBorders>
              <w:top w:val="single" w:sz="2" w:space="0" w:color="auto"/>
              <w:left w:val="single" w:sz="2" w:space="0" w:color="auto"/>
              <w:bottom w:val="single" w:sz="2" w:space="0" w:color="auto"/>
              <w:right w:val="single" w:sz="2" w:space="0" w:color="auto"/>
            </w:tcBorders>
            <w:vAlign w:val="center"/>
          </w:tcPr>
          <w:p w14:paraId="3EAF3953" w14:textId="77777777" w:rsidR="00A67F21" w:rsidRPr="00B12FE0" w:rsidRDefault="00000000">
            <w:pPr>
              <w:jc w:val="center"/>
              <w:rPr>
                <w:color w:val="000000" w:themeColor="text1"/>
                <w:sz w:val="21"/>
                <w:szCs w:val="21"/>
              </w:rPr>
            </w:pPr>
            <w:r w:rsidRPr="00B12FE0">
              <w:rPr>
                <w:color w:val="000000" w:themeColor="text1"/>
                <w:sz w:val="21"/>
                <w:szCs w:val="21"/>
              </w:rPr>
              <w:t>西墙主屏蔽墙宽度</w:t>
            </w:r>
          </w:p>
          <w:p w14:paraId="6336F9AB" w14:textId="77777777" w:rsidR="00A67F21" w:rsidRPr="00B12FE0" w:rsidRDefault="00000000">
            <w:pPr>
              <w:jc w:val="center"/>
              <w:rPr>
                <w:color w:val="000000" w:themeColor="text1"/>
                <w:sz w:val="21"/>
                <w:szCs w:val="21"/>
              </w:rPr>
            </w:pPr>
            <w:r w:rsidRPr="00B12FE0">
              <w:rPr>
                <w:color w:val="000000" w:themeColor="text1"/>
                <w:sz w:val="21"/>
                <w:szCs w:val="21"/>
              </w:rPr>
              <w:t>（外凸）</w:t>
            </w:r>
          </w:p>
        </w:tc>
        <w:tc>
          <w:tcPr>
            <w:tcW w:w="711" w:type="pct"/>
            <w:tcBorders>
              <w:top w:val="single" w:sz="2" w:space="0" w:color="auto"/>
              <w:left w:val="single" w:sz="2" w:space="0" w:color="auto"/>
              <w:bottom w:val="single" w:sz="2" w:space="0" w:color="auto"/>
              <w:right w:val="single" w:sz="2" w:space="0" w:color="auto"/>
            </w:tcBorders>
            <w:vAlign w:val="center"/>
          </w:tcPr>
          <w:p w14:paraId="4F15112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6.7</w:t>
            </w:r>
          </w:p>
        </w:tc>
        <w:tc>
          <w:tcPr>
            <w:tcW w:w="854" w:type="pct"/>
            <w:tcBorders>
              <w:top w:val="single" w:sz="4" w:space="0" w:color="000000"/>
              <w:left w:val="single" w:sz="4" w:space="0" w:color="000000"/>
              <w:bottom w:val="single" w:sz="4" w:space="0" w:color="000000"/>
              <w:right w:val="single" w:sz="4" w:space="0" w:color="000000"/>
            </w:tcBorders>
            <w:vAlign w:val="center"/>
          </w:tcPr>
          <w:p w14:paraId="763EEA10"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4.44</w:t>
            </w:r>
          </w:p>
        </w:tc>
        <w:tc>
          <w:tcPr>
            <w:tcW w:w="758" w:type="pct"/>
            <w:tcBorders>
              <w:top w:val="single" w:sz="2" w:space="0" w:color="auto"/>
              <w:left w:val="single" w:sz="2" w:space="0" w:color="auto"/>
              <w:bottom w:val="single" w:sz="2" w:space="0" w:color="auto"/>
              <w:right w:val="single" w:sz="2" w:space="0" w:color="auto"/>
            </w:tcBorders>
            <w:vAlign w:val="center"/>
          </w:tcPr>
          <w:p w14:paraId="66A6682A" w14:textId="77777777" w:rsidR="00A67F21" w:rsidRPr="00B12FE0" w:rsidRDefault="00000000">
            <w:pPr>
              <w:jc w:val="center"/>
              <w:rPr>
                <w:color w:val="000000" w:themeColor="text1"/>
                <w:sz w:val="21"/>
                <w:szCs w:val="21"/>
              </w:rPr>
            </w:pPr>
            <w:r w:rsidRPr="00B12FE0">
              <w:rPr>
                <w:color w:val="000000" w:themeColor="text1"/>
                <w:sz w:val="21"/>
                <w:szCs w:val="21"/>
              </w:rPr>
              <w:t>5.4</w:t>
            </w:r>
          </w:p>
        </w:tc>
        <w:tc>
          <w:tcPr>
            <w:tcW w:w="714" w:type="pct"/>
            <w:tcBorders>
              <w:top w:val="single" w:sz="2" w:space="0" w:color="auto"/>
              <w:left w:val="single" w:sz="2" w:space="0" w:color="auto"/>
              <w:bottom w:val="single" w:sz="2" w:space="0" w:color="auto"/>
              <w:right w:val="single" w:sz="2" w:space="0" w:color="auto"/>
            </w:tcBorders>
            <w:vAlign w:val="center"/>
          </w:tcPr>
          <w:p w14:paraId="18F6F2F2" w14:textId="77777777" w:rsidR="00A67F21" w:rsidRPr="00B12FE0" w:rsidRDefault="00000000">
            <w:pPr>
              <w:jc w:val="center"/>
              <w:rPr>
                <w:color w:val="000000" w:themeColor="text1"/>
                <w:sz w:val="21"/>
                <w:szCs w:val="21"/>
              </w:rPr>
            </w:pPr>
            <w:r w:rsidRPr="00B12FE0">
              <w:rPr>
                <w:color w:val="000000" w:themeColor="text1"/>
                <w:sz w:val="21"/>
                <w:szCs w:val="21"/>
              </w:rPr>
              <w:t>满足</w:t>
            </w:r>
          </w:p>
        </w:tc>
      </w:tr>
      <w:tr w:rsidR="00A67F21" w:rsidRPr="00B12FE0" w14:paraId="7C423EF6" w14:textId="77777777">
        <w:trPr>
          <w:cantSplit/>
          <w:trHeight w:val="340"/>
          <w:jc w:val="center"/>
        </w:trPr>
        <w:tc>
          <w:tcPr>
            <w:tcW w:w="580" w:type="pct"/>
            <w:vMerge/>
            <w:tcBorders>
              <w:top w:val="single" w:sz="2" w:space="0" w:color="auto"/>
              <w:left w:val="single" w:sz="2" w:space="0" w:color="auto"/>
              <w:bottom w:val="single" w:sz="2" w:space="0" w:color="auto"/>
              <w:right w:val="single" w:sz="2" w:space="0" w:color="auto"/>
            </w:tcBorders>
            <w:vAlign w:val="center"/>
          </w:tcPr>
          <w:p w14:paraId="38DB6DFA" w14:textId="77777777" w:rsidR="00A67F21" w:rsidRPr="00B12FE0" w:rsidRDefault="00A67F21">
            <w:pPr>
              <w:jc w:val="center"/>
              <w:rPr>
                <w:color w:val="000000" w:themeColor="text1"/>
                <w:sz w:val="21"/>
                <w:szCs w:val="21"/>
              </w:rPr>
            </w:pPr>
          </w:p>
        </w:tc>
        <w:tc>
          <w:tcPr>
            <w:tcW w:w="1383" w:type="pct"/>
            <w:tcBorders>
              <w:top w:val="single" w:sz="2" w:space="0" w:color="auto"/>
              <w:left w:val="single" w:sz="2" w:space="0" w:color="auto"/>
              <w:bottom w:val="single" w:sz="2" w:space="0" w:color="auto"/>
              <w:right w:val="single" w:sz="2" w:space="0" w:color="auto"/>
            </w:tcBorders>
            <w:vAlign w:val="center"/>
          </w:tcPr>
          <w:p w14:paraId="5516D4E7" w14:textId="77777777" w:rsidR="00A67F21" w:rsidRPr="00B12FE0" w:rsidRDefault="00000000">
            <w:pPr>
              <w:jc w:val="center"/>
              <w:rPr>
                <w:color w:val="000000" w:themeColor="text1"/>
                <w:sz w:val="21"/>
                <w:szCs w:val="21"/>
              </w:rPr>
            </w:pPr>
            <w:r w:rsidRPr="00B12FE0">
              <w:rPr>
                <w:color w:val="000000" w:themeColor="text1"/>
                <w:sz w:val="21"/>
                <w:szCs w:val="21"/>
              </w:rPr>
              <w:t>东墙主屏蔽墙宽度</w:t>
            </w:r>
          </w:p>
          <w:p w14:paraId="67F28DE3" w14:textId="77777777" w:rsidR="00A67F21" w:rsidRPr="00B12FE0" w:rsidRDefault="00000000">
            <w:pPr>
              <w:jc w:val="center"/>
              <w:rPr>
                <w:color w:val="000000" w:themeColor="text1"/>
                <w:sz w:val="21"/>
                <w:szCs w:val="21"/>
              </w:rPr>
            </w:pPr>
            <w:r w:rsidRPr="00B12FE0">
              <w:rPr>
                <w:color w:val="000000" w:themeColor="text1"/>
                <w:sz w:val="21"/>
                <w:szCs w:val="21"/>
              </w:rPr>
              <w:t>（内</w:t>
            </w:r>
            <w:proofErr w:type="gramStart"/>
            <w:r w:rsidRPr="00B12FE0">
              <w:rPr>
                <w:color w:val="000000" w:themeColor="text1"/>
                <w:sz w:val="21"/>
                <w:szCs w:val="21"/>
              </w:rPr>
              <w:t>凸</w:t>
            </w:r>
            <w:proofErr w:type="gramEnd"/>
            <w:r w:rsidRPr="00B12FE0">
              <w:rPr>
                <w:color w:val="000000" w:themeColor="text1"/>
                <w:sz w:val="21"/>
                <w:szCs w:val="21"/>
              </w:rPr>
              <w:t>）</w:t>
            </w:r>
          </w:p>
        </w:tc>
        <w:tc>
          <w:tcPr>
            <w:tcW w:w="711" w:type="pct"/>
            <w:tcBorders>
              <w:top w:val="single" w:sz="2" w:space="0" w:color="auto"/>
              <w:left w:val="single" w:sz="2" w:space="0" w:color="auto"/>
              <w:bottom w:val="single" w:sz="2" w:space="0" w:color="auto"/>
              <w:right w:val="single" w:sz="2" w:space="0" w:color="auto"/>
            </w:tcBorders>
            <w:vAlign w:val="center"/>
          </w:tcPr>
          <w:p w14:paraId="5F3A33DA"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5.7</w:t>
            </w:r>
          </w:p>
        </w:tc>
        <w:tc>
          <w:tcPr>
            <w:tcW w:w="854" w:type="pct"/>
            <w:tcBorders>
              <w:top w:val="single" w:sz="4" w:space="0" w:color="000000"/>
              <w:left w:val="single" w:sz="4" w:space="0" w:color="000000"/>
              <w:bottom w:val="single" w:sz="4" w:space="0" w:color="000000"/>
              <w:right w:val="single" w:sz="4" w:space="0" w:color="000000"/>
            </w:tcBorders>
            <w:vAlign w:val="center"/>
          </w:tcPr>
          <w:p w14:paraId="56E40BBC"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 xml:space="preserve">3.94 </w:t>
            </w:r>
          </w:p>
        </w:tc>
        <w:tc>
          <w:tcPr>
            <w:tcW w:w="758" w:type="pct"/>
            <w:tcBorders>
              <w:top w:val="single" w:sz="2" w:space="0" w:color="auto"/>
              <w:left w:val="single" w:sz="2" w:space="0" w:color="auto"/>
              <w:bottom w:val="single" w:sz="2" w:space="0" w:color="auto"/>
              <w:right w:val="single" w:sz="2" w:space="0" w:color="auto"/>
            </w:tcBorders>
            <w:vAlign w:val="center"/>
          </w:tcPr>
          <w:p w14:paraId="05A30776" w14:textId="77777777" w:rsidR="00A67F21" w:rsidRPr="00B12FE0" w:rsidRDefault="00000000">
            <w:pPr>
              <w:jc w:val="center"/>
              <w:rPr>
                <w:color w:val="000000" w:themeColor="text1"/>
                <w:sz w:val="21"/>
                <w:szCs w:val="21"/>
              </w:rPr>
            </w:pPr>
            <w:r w:rsidRPr="00B12FE0">
              <w:rPr>
                <w:color w:val="000000" w:themeColor="text1"/>
                <w:sz w:val="21"/>
                <w:szCs w:val="21"/>
              </w:rPr>
              <w:t>5.4</w:t>
            </w:r>
          </w:p>
        </w:tc>
        <w:tc>
          <w:tcPr>
            <w:tcW w:w="714" w:type="pct"/>
            <w:tcBorders>
              <w:top w:val="single" w:sz="2" w:space="0" w:color="auto"/>
              <w:left w:val="single" w:sz="2" w:space="0" w:color="auto"/>
              <w:bottom w:val="single" w:sz="2" w:space="0" w:color="auto"/>
              <w:right w:val="single" w:sz="2" w:space="0" w:color="auto"/>
            </w:tcBorders>
            <w:vAlign w:val="center"/>
          </w:tcPr>
          <w:p w14:paraId="5A61FD60" w14:textId="77777777" w:rsidR="00A67F21" w:rsidRPr="00B12FE0" w:rsidRDefault="00000000">
            <w:pPr>
              <w:jc w:val="center"/>
              <w:rPr>
                <w:color w:val="000000" w:themeColor="text1"/>
                <w:sz w:val="21"/>
                <w:szCs w:val="21"/>
              </w:rPr>
            </w:pPr>
            <w:r w:rsidRPr="00B12FE0">
              <w:rPr>
                <w:color w:val="000000" w:themeColor="text1"/>
                <w:sz w:val="21"/>
                <w:szCs w:val="21"/>
              </w:rPr>
              <w:t>满足</w:t>
            </w:r>
          </w:p>
        </w:tc>
      </w:tr>
      <w:tr w:rsidR="00A67F21" w:rsidRPr="00B12FE0" w14:paraId="25D00E4D" w14:textId="77777777">
        <w:trPr>
          <w:cantSplit/>
          <w:trHeight w:val="340"/>
          <w:jc w:val="center"/>
        </w:trPr>
        <w:tc>
          <w:tcPr>
            <w:tcW w:w="580" w:type="pct"/>
            <w:vMerge/>
            <w:tcBorders>
              <w:top w:val="single" w:sz="2" w:space="0" w:color="auto"/>
              <w:left w:val="single" w:sz="2" w:space="0" w:color="auto"/>
              <w:bottom w:val="single" w:sz="2" w:space="0" w:color="auto"/>
              <w:right w:val="single" w:sz="2" w:space="0" w:color="auto"/>
            </w:tcBorders>
            <w:vAlign w:val="center"/>
          </w:tcPr>
          <w:p w14:paraId="14766393" w14:textId="77777777" w:rsidR="00A67F21" w:rsidRPr="00B12FE0" w:rsidRDefault="00A67F21">
            <w:pPr>
              <w:widowControl/>
              <w:jc w:val="left"/>
              <w:rPr>
                <w:color w:val="000000" w:themeColor="text1"/>
                <w:sz w:val="21"/>
                <w:szCs w:val="21"/>
              </w:rPr>
            </w:pPr>
          </w:p>
        </w:tc>
        <w:tc>
          <w:tcPr>
            <w:tcW w:w="1383" w:type="pct"/>
            <w:tcBorders>
              <w:top w:val="single" w:sz="2" w:space="0" w:color="auto"/>
              <w:left w:val="single" w:sz="2" w:space="0" w:color="auto"/>
              <w:bottom w:val="single" w:sz="2" w:space="0" w:color="auto"/>
              <w:right w:val="single" w:sz="2" w:space="0" w:color="auto"/>
            </w:tcBorders>
            <w:vAlign w:val="center"/>
          </w:tcPr>
          <w:p w14:paraId="1CD6A9CA" w14:textId="77777777" w:rsidR="00A67F21" w:rsidRPr="00B12FE0" w:rsidRDefault="00000000">
            <w:pPr>
              <w:jc w:val="center"/>
              <w:rPr>
                <w:color w:val="000000" w:themeColor="text1"/>
                <w:sz w:val="21"/>
                <w:szCs w:val="21"/>
              </w:rPr>
            </w:pPr>
            <w:r w:rsidRPr="00B12FE0">
              <w:rPr>
                <w:color w:val="000000" w:themeColor="text1"/>
                <w:sz w:val="21"/>
                <w:szCs w:val="21"/>
              </w:rPr>
              <w:t>顶棚主屏蔽墙宽度（内</w:t>
            </w:r>
            <w:proofErr w:type="gramStart"/>
            <w:r w:rsidRPr="00B12FE0">
              <w:rPr>
                <w:color w:val="000000" w:themeColor="text1"/>
                <w:sz w:val="21"/>
                <w:szCs w:val="21"/>
              </w:rPr>
              <w:t>凸</w:t>
            </w:r>
            <w:proofErr w:type="gramEnd"/>
            <w:r w:rsidRPr="00B12FE0">
              <w:rPr>
                <w:color w:val="000000" w:themeColor="text1"/>
                <w:sz w:val="21"/>
                <w:szCs w:val="21"/>
              </w:rPr>
              <w:t>）</w:t>
            </w:r>
          </w:p>
        </w:tc>
        <w:tc>
          <w:tcPr>
            <w:tcW w:w="711" w:type="pct"/>
            <w:tcBorders>
              <w:top w:val="single" w:sz="2" w:space="0" w:color="auto"/>
              <w:left w:val="single" w:sz="2" w:space="0" w:color="auto"/>
              <w:bottom w:val="single" w:sz="2" w:space="0" w:color="auto"/>
              <w:right w:val="single" w:sz="2" w:space="0" w:color="auto"/>
            </w:tcBorders>
            <w:vAlign w:val="center"/>
          </w:tcPr>
          <w:p w14:paraId="723C646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4.2</w:t>
            </w:r>
          </w:p>
        </w:tc>
        <w:tc>
          <w:tcPr>
            <w:tcW w:w="854" w:type="pct"/>
            <w:tcBorders>
              <w:top w:val="single" w:sz="4" w:space="0" w:color="000000"/>
              <w:left w:val="single" w:sz="4" w:space="0" w:color="000000"/>
              <w:bottom w:val="single" w:sz="4" w:space="0" w:color="000000"/>
              <w:right w:val="single" w:sz="4" w:space="0" w:color="000000"/>
            </w:tcBorders>
            <w:vAlign w:val="center"/>
          </w:tcPr>
          <w:p w14:paraId="11E3A758"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 xml:space="preserve">3.19 </w:t>
            </w:r>
          </w:p>
        </w:tc>
        <w:tc>
          <w:tcPr>
            <w:tcW w:w="758" w:type="pct"/>
            <w:tcBorders>
              <w:top w:val="single" w:sz="2" w:space="0" w:color="auto"/>
              <w:left w:val="single" w:sz="2" w:space="0" w:color="auto"/>
              <w:bottom w:val="single" w:sz="2" w:space="0" w:color="auto"/>
              <w:right w:val="single" w:sz="2" w:space="0" w:color="auto"/>
            </w:tcBorders>
            <w:vAlign w:val="center"/>
          </w:tcPr>
          <w:p w14:paraId="6597A72B" w14:textId="77777777" w:rsidR="00A67F21" w:rsidRPr="00B12FE0" w:rsidRDefault="00000000">
            <w:pPr>
              <w:jc w:val="center"/>
              <w:rPr>
                <w:color w:val="000000" w:themeColor="text1"/>
                <w:sz w:val="21"/>
                <w:szCs w:val="21"/>
              </w:rPr>
            </w:pPr>
            <w:r w:rsidRPr="00B12FE0">
              <w:rPr>
                <w:color w:val="000000" w:themeColor="text1"/>
                <w:sz w:val="21"/>
                <w:szCs w:val="21"/>
              </w:rPr>
              <w:t>5.4</w:t>
            </w:r>
          </w:p>
        </w:tc>
        <w:tc>
          <w:tcPr>
            <w:tcW w:w="714" w:type="pct"/>
            <w:tcBorders>
              <w:top w:val="single" w:sz="2" w:space="0" w:color="auto"/>
              <w:left w:val="single" w:sz="2" w:space="0" w:color="auto"/>
              <w:bottom w:val="single" w:sz="2" w:space="0" w:color="auto"/>
              <w:right w:val="single" w:sz="2" w:space="0" w:color="auto"/>
            </w:tcBorders>
            <w:vAlign w:val="center"/>
          </w:tcPr>
          <w:p w14:paraId="05F5126A" w14:textId="77777777" w:rsidR="00A67F21" w:rsidRPr="00B12FE0" w:rsidRDefault="00000000">
            <w:pPr>
              <w:jc w:val="center"/>
              <w:rPr>
                <w:color w:val="000000" w:themeColor="text1"/>
                <w:sz w:val="21"/>
                <w:szCs w:val="21"/>
              </w:rPr>
            </w:pPr>
            <w:r w:rsidRPr="00B12FE0">
              <w:rPr>
                <w:color w:val="000000" w:themeColor="text1"/>
                <w:sz w:val="21"/>
                <w:szCs w:val="21"/>
              </w:rPr>
              <w:t>满足</w:t>
            </w:r>
          </w:p>
        </w:tc>
      </w:tr>
    </w:tbl>
    <w:p w14:paraId="39C176BE" w14:textId="77777777" w:rsidR="00A67F21" w:rsidRPr="00B12FE0" w:rsidRDefault="00000000">
      <w:pPr>
        <w:autoSpaceDE w:val="0"/>
        <w:spacing w:beforeLines="50" w:before="120" w:line="360" w:lineRule="auto"/>
        <w:ind w:firstLineChars="200" w:firstLine="480"/>
        <w:jc w:val="left"/>
        <w:rPr>
          <w:color w:val="000000" w:themeColor="text1"/>
        </w:rPr>
      </w:pPr>
      <w:r w:rsidRPr="00B12FE0">
        <w:rPr>
          <w:color w:val="000000" w:themeColor="text1"/>
        </w:rPr>
        <w:t>由上表可知：本项目直线加速器机房东侧、西侧和顶部主</w:t>
      </w:r>
      <w:proofErr w:type="gramStart"/>
      <w:r w:rsidRPr="00B12FE0">
        <w:rPr>
          <w:color w:val="000000" w:themeColor="text1"/>
        </w:rPr>
        <w:t>屏蔽区</w:t>
      </w:r>
      <w:proofErr w:type="gramEnd"/>
      <w:r w:rsidRPr="00B12FE0">
        <w:rPr>
          <w:color w:val="000000" w:themeColor="text1"/>
        </w:rPr>
        <w:t>宽度符合计算要求。建设单位应严格要求按本次设计方案的设备安全方向和等中心点位置安装</w:t>
      </w:r>
      <w:r w:rsidRPr="00B12FE0">
        <w:rPr>
          <w:rFonts w:hint="eastAsia"/>
          <w:color w:val="000000" w:themeColor="text1"/>
        </w:rPr>
        <w:t>。</w:t>
      </w:r>
    </w:p>
    <w:p w14:paraId="4DF51789" w14:textId="77777777" w:rsidR="00A67F21" w:rsidRPr="00B12FE0" w:rsidRDefault="00000000">
      <w:pPr>
        <w:spacing w:line="360" w:lineRule="auto"/>
        <w:ind w:firstLineChars="200" w:firstLine="482"/>
        <w:rPr>
          <w:b/>
          <w:bCs/>
          <w:snapToGrid w:val="0"/>
          <w:color w:val="000000" w:themeColor="text1"/>
          <w:szCs w:val="24"/>
        </w:rPr>
      </w:pPr>
      <w:r w:rsidRPr="00B12FE0">
        <w:rPr>
          <w:rFonts w:ascii="Cambria Math" w:hAnsi="Cambria Math" w:cs="Cambria Math"/>
          <w:b/>
          <w:bCs/>
          <w:snapToGrid w:val="0"/>
          <w:color w:val="000000" w:themeColor="text1"/>
          <w:szCs w:val="24"/>
        </w:rPr>
        <w:t>②</w:t>
      </w:r>
      <w:r w:rsidRPr="00B12FE0">
        <w:rPr>
          <w:b/>
          <w:bCs/>
          <w:snapToGrid w:val="0"/>
          <w:color w:val="000000" w:themeColor="text1"/>
          <w:szCs w:val="24"/>
        </w:rPr>
        <w:t>有用线束主</w:t>
      </w:r>
      <w:proofErr w:type="gramStart"/>
      <w:r w:rsidRPr="00B12FE0">
        <w:rPr>
          <w:b/>
          <w:bCs/>
          <w:snapToGrid w:val="0"/>
          <w:color w:val="000000" w:themeColor="text1"/>
          <w:szCs w:val="24"/>
        </w:rPr>
        <w:t>屏蔽区关注</w:t>
      </w:r>
      <w:proofErr w:type="gramEnd"/>
      <w:r w:rsidRPr="00B12FE0">
        <w:rPr>
          <w:b/>
          <w:bCs/>
          <w:snapToGrid w:val="0"/>
          <w:color w:val="000000" w:themeColor="text1"/>
          <w:szCs w:val="24"/>
        </w:rPr>
        <w:t>点的剂量率估算（关注点：</w:t>
      </w:r>
      <w:r w:rsidRPr="00B12FE0">
        <w:rPr>
          <w:rFonts w:hint="eastAsia"/>
          <w:b/>
          <w:bCs/>
          <w:color w:val="000000" w:themeColor="text1"/>
        </w:rPr>
        <w:t>a</w:t>
      </w:r>
      <w:r w:rsidRPr="00B12FE0">
        <w:rPr>
          <w:rFonts w:hint="eastAsia"/>
          <w:b/>
          <w:bCs/>
          <w:color w:val="000000" w:themeColor="text1"/>
        </w:rPr>
        <w:t>点、</w:t>
      </w:r>
      <w:r w:rsidRPr="00B12FE0">
        <w:rPr>
          <w:b/>
          <w:bCs/>
          <w:snapToGrid w:val="0"/>
          <w:color w:val="000000" w:themeColor="text1"/>
          <w:szCs w:val="24"/>
        </w:rPr>
        <w:t>b</w:t>
      </w:r>
      <w:r w:rsidRPr="00B12FE0">
        <w:rPr>
          <w:b/>
          <w:bCs/>
          <w:snapToGrid w:val="0"/>
          <w:color w:val="000000" w:themeColor="text1"/>
          <w:szCs w:val="24"/>
        </w:rPr>
        <w:t>点、</w:t>
      </w:r>
      <w:r w:rsidRPr="00B12FE0">
        <w:rPr>
          <w:b/>
          <w:bCs/>
          <w:snapToGrid w:val="0"/>
          <w:color w:val="000000" w:themeColor="text1"/>
          <w:szCs w:val="24"/>
        </w:rPr>
        <w:t>I</w:t>
      </w:r>
      <w:r w:rsidRPr="00B12FE0">
        <w:rPr>
          <w:b/>
          <w:bCs/>
          <w:snapToGrid w:val="0"/>
          <w:color w:val="000000" w:themeColor="text1"/>
          <w:szCs w:val="24"/>
        </w:rPr>
        <w:t>点）</w:t>
      </w:r>
    </w:p>
    <w:p w14:paraId="4E94CBAB" w14:textId="77777777" w:rsidR="00A67F21" w:rsidRPr="00B12FE0" w:rsidRDefault="00000000">
      <w:pPr>
        <w:spacing w:line="360" w:lineRule="auto"/>
        <w:ind w:firstLineChars="200" w:firstLine="482"/>
        <w:rPr>
          <w:b/>
          <w:bCs/>
          <w:snapToGrid w:val="0"/>
          <w:color w:val="000000" w:themeColor="text1"/>
          <w:szCs w:val="24"/>
        </w:rPr>
      </w:pPr>
      <w:r w:rsidRPr="00B12FE0">
        <w:rPr>
          <w:b/>
          <w:bCs/>
          <w:snapToGrid w:val="0"/>
          <w:color w:val="000000" w:themeColor="text1"/>
          <w:szCs w:val="24"/>
        </w:rPr>
        <w:t>A</w:t>
      </w:r>
      <w:r w:rsidRPr="00B12FE0">
        <w:rPr>
          <w:b/>
          <w:bCs/>
          <w:snapToGrid w:val="0"/>
          <w:color w:val="000000" w:themeColor="text1"/>
          <w:szCs w:val="24"/>
        </w:rPr>
        <w:t>、有效屏蔽厚度</w:t>
      </w:r>
    </w:p>
    <w:p w14:paraId="3D56445A" w14:textId="77777777" w:rsidR="00A67F21" w:rsidRPr="00B12FE0" w:rsidRDefault="00000000">
      <w:pPr>
        <w:spacing w:line="360" w:lineRule="auto"/>
        <w:jc w:val="center"/>
        <w:rPr>
          <w:snapToGrid w:val="0"/>
          <w:color w:val="000000" w:themeColor="text1"/>
          <w:szCs w:val="24"/>
        </w:rPr>
      </w:pPr>
      <m:oMath>
        <m:sSub>
          <m:sSubPr>
            <m:ctrlPr>
              <w:rPr>
                <w:rFonts w:ascii="Cambria Math" w:hAnsi="Cambria Math"/>
                <w:i/>
                <w:snapToGrid w:val="0"/>
                <w:color w:val="000000" w:themeColor="text1"/>
                <w:szCs w:val="28"/>
              </w:rPr>
            </m:ctrlPr>
          </m:sSubPr>
          <m:e>
            <m:r>
              <w:rPr>
                <w:rFonts w:ascii="Cambria Math" w:hAnsi="Cambria Math"/>
                <w:snapToGrid w:val="0"/>
                <w:color w:val="000000" w:themeColor="text1"/>
                <w:szCs w:val="28"/>
              </w:rPr>
              <m:t>X</m:t>
            </m:r>
          </m:e>
          <m:sub>
            <m:r>
              <w:rPr>
                <w:rFonts w:ascii="Cambria Math" w:hAnsi="Cambria Math"/>
                <w:snapToGrid w:val="0"/>
                <w:color w:val="000000" w:themeColor="text1"/>
                <w:szCs w:val="28"/>
              </w:rPr>
              <m:t>e</m:t>
            </m:r>
          </m:sub>
        </m:sSub>
        <m:r>
          <w:rPr>
            <w:rFonts w:ascii="Cambria Math" w:hAnsi="Cambria Math"/>
            <w:snapToGrid w:val="0"/>
            <w:color w:val="000000" w:themeColor="text1"/>
            <w:szCs w:val="28"/>
          </w:rPr>
          <m:t>=X</m:t>
        </m:r>
        <m:func>
          <m:funcPr>
            <m:ctrlPr>
              <w:rPr>
                <w:rFonts w:ascii="Cambria Math" w:hAnsi="Cambria Math"/>
                <w:i/>
                <w:snapToGrid w:val="0"/>
                <w:color w:val="000000" w:themeColor="text1"/>
                <w:szCs w:val="28"/>
              </w:rPr>
            </m:ctrlPr>
          </m:funcPr>
          <m:fName>
            <m:r>
              <w:rPr>
                <w:rFonts w:ascii="Cambria Math" w:hAnsi="Cambria Math"/>
                <w:snapToGrid w:val="0"/>
                <w:color w:val="000000" w:themeColor="text1"/>
                <w:szCs w:val="28"/>
              </w:rPr>
              <m:t>sec</m:t>
            </m:r>
          </m:fName>
          <m:e>
            <m:r>
              <w:rPr>
                <w:rFonts w:ascii="Cambria Math" w:hAnsi="Cambria Math"/>
                <w:snapToGrid w:val="0"/>
                <w:color w:val="000000" w:themeColor="text1"/>
                <w:szCs w:val="28"/>
              </w:rPr>
              <m:t>θ</m:t>
            </m:r>
          </m:e>
        </m:func>
      </m:oMath>
      <w:r w:rsidRPr="00B12FE0">
        <w:rPr>
          <w:snapToGrid w:val="0"/>
          <w:color w:val="000000" w:themeColor="text1"/>
          <w:szCs w:val="24"/>
        </w:rPr>
        <w:t>…………………………………</w:t>
      </w:r>
      <w:proofErr w:type="gramStart"/>
      <w:r w:rsidRPr="00B12FE0">
        <w:rPr>
          <w:snapToGrid w:val="0"/>
          <w:color w:val="000000" w:themeColor="text1"/>
          <w:szCs w:val="24"/>
        </w:rPr>
        <w:t>…(</w:t>
      </w:r>
      <w:proofErr w:type="gramEnd"/>
      <w:r w:rsidRPr="00B12FE0">
        <w:rPr>
          <w:snapToGrid w:val="0"/>
          <w:color w:val="000000" w:themeColor="text1"/>
          <w:szCs w:val="24"/>
        </w:rPr>
        <w:t>式</w:t>
      </w:r>
      <w:r w:rsidRPr="00B12FE0">
        <w:rPr>
          <w:snapToGrid w:val="0"/>
          <w:color w:val="000000" w:themeColor="text1"/>
          <w:szCs w:val="24"/>
        </w:rPr>
        <w:t>11.2.2.1-2)</w:t>
      </w:r>
    </w:p>
    <w:p w14:paraId="3188F362" w14:textId="77777777" w:rsidR="00A67F21" w:rsidRPr="00B12FE0" w:rsidRDefault="00000000">
      <w:pPr>
        <w:spacing w:line="360" w:lineRule="auto"/>
        <w:ind w:firstLineChars="200" w:firstLine="480"/>
        <w:rPr>
          <w:snapToGrid w:val="0"/>
          <w:color w:val="000000" w:themeColor="text1"/>
          <w:szCs w:val="24"/>
        </w:rPr>
      </w:pPr>
      <w:r w:rsidRPr="00B12FE0">
        <w:rPr>
          <w:snapToGrid w:val="0"/>
          <w:color w:val="000000" w:themeColor="text1"/>
          <w:szCs w:val="24"/>
        </w:rPr>
        <w:t>式中：</w:t>
      </w:r>
    </w:p>
    <w:p w14:paraId="6DEDC367" w14:textId="77777777" w:rsidR="00A67F21" w:rsidRPr="00B12FE0" w:rsidRDefault="00000000">
      <w:pPr>
        <w:spacing w:line="360" w:lineRule="auto"/>
        <w:ind w:firstLineChars="400" w:firstLine="960"/>
        <w:rPr>
          <w:snapToGrid w:val="0"/>
          <w:color w:val="000000" w:themeColor="text1"/>
          <w:szCs w:val="24"/>
        </w:rPr>
      </w:pPr>
      <w:r w:rsidRPr="00B12FE0">
        <w:rPr>
          <w:snapToGrid w:val="0"/>
          <w:color w:val="000000" w:themeColor="text1"/>
          <w:szCs w:val="24"/>
        </w:rPr>
        <w:t>θ——</w:t>
      </w:r>
      <w:r w:rsidRPr="00B12FE0">
        <w:rPr>
          <w:snapToGrid w:val="0"/>
          <w:color w:val="000000" w:themeColor="text1"/>
          <w:szCs w:val="24"/>
        </w:rPr>
        <w:t>斜射角，即入射线与屏蔽物质平面的垂直线之间的夹角。</w:t>
      </w:r>
    </w:p>
    <w:p w14:paraId="556E2739" w14:textId="77777777" w:rsidR="00A67F21" w:rsidRPr="00B12FE0" w:rsidRDefault="00000000">
      <w:pPr>
        <w:spacing w:line="360" w:lineRule="auto"/>
        <w:ind w:firstLineChars="200" w:firstLine="480"/>
        <w:rPr>
          <w:snapToGrid w:val="0"/>
          <w:color w:val="000000" w:themeColor="text1"/>
          <w:szCs w:val="24"/>
        </w:rPr>
      </w:pPr>
      <w:r w:rsidRPr="00B12FE0">
        <w:rPr>
          <w:snapToGrid w:val="0"/>
          <w:color w:val="000000" w:themeColor="text1"/>
          <w:szCs w:val="24"/>
        </w:rPr>
        <w:t>对于给定的屏蔽物质的厚度</w:t>
      </w:r>
      <w:r w:rsidRPr="00B12FE0">
        <w:rPr>
          <w:snapToGrid w:val="0"/>
          <w:color w:val="000000" w:themeColor="text1"/>
          <w:szCs w:val="24"/>
        </w:rPr>
        <w:t>X(cm)</w:t>
      </w:r>
      <w:r w:rsidRPr="00B12FE0">
        <w:rPr>
          <w:snapToGrid w:val="0"/>
          <w:color w:val="000000" w:themeColor="text1"/>
          <w:szCs w:val="24"/>
        </w:rPr>
        <w:t>，可按式</w:t>
      </w:r>
      <w:r w:rsidRPr="00B12FE0">
        <w:rPr>
          <w:snapToGrid w:val="0"/>
          <w:color w:val="000000" w:themeColor="text1"/>
          <w:szCs w:val="24"/>
        </w:rPr>
        <w:t>(11.2.2.1-2)</w:t>
      </w:r>
      <w:r w:rsidRPr="00B12FE0">
        <w:rPr>
          <w:snapToGrid w:val="0"/>
          <w:color w:val="000000" w:themeColor="text1"/>
          <w:szCs w:val="24"/>
        </w:rPr>
        <w:t>计算有效屏蔽厚度</w:t>
      </w:r>
      <w:r w:rsidRPr="00B12FE0">
        <w:rPr>
          <w:snapToGrid w:val="0"/>
          <w:color w:val="000000" w:themeColor="text1"/>
          <w:szCs w:val="24"/>
        </w:rPr>
        <w:t>Xe(cm)</w:t>
      </w:r>
      <w:r w:rsidRPr="00B12FE0">
        <w:rPr>
          <w:snapToGrid w:val="0"/>
          <w:color w:val="000000" w:themeColor="text1"/>
          <w:szCs w:val="24"/>
        </w:rPr>
        <w:t>。</w:t>
      </w:r>
    </w:p>
    <w:p w14:paraId="7DE3A99E" w14:textId="77777777" w:rsidR="00A67F21" w:rsidRPr="00B12FE0" w:rsidRDefault="00000000">
      <w:pPr>
        <w:spacing w:line="360" w:lineRule="auto"/>
        <w:ind w:firstLineChars="200" w:firstLine="480"/>
        <w:rPr>
          <w:b/>
          <w:bCs/>
          <w:snapToGrid w:val="0"/>
          <w:color w:val="000000" w:themeColor="text1"/>
          <w:szCs w:val="24"/>
        </w:rPr>
      </w:pPr>
      <w:r w:rsidRPr="00B12FE0">
        <w:rPr>
          <w:rFonts w:eastAsia="微软雅黑"/>
          <w:b/>
          <w:bCs/>
          <w:snapToGrid w:val="0"/>
          <w:color w:val="000000" w:themeColor="text1"/>
          <w:szCs w:val="24"/>
        </w:rPr>
        <w:t>B</w:t>
      </w:r>
      <w:r w:rsidRPr="00B12FE0">
        <w:rPr>
          <w:rFonts w:eastAsia="微软雅黑"/>
          <w:b/>
          <w:bCs/>
          <w:snapToGrid w:val="0"/>
          <w:color w:val="000000" w:themeColor="text1"/>
          <w:szCs w:val="24"/>
        </w:rPr>
        <w:t>、</w:t>
      </w:r>
      <w:r w:rsidRPr="00B12FE0">
        <w:rPr>
          <w:b/>
          <w:bCs/>
          <w:snapToGrid w:val="0"/>
          <w:color w:val="000000" w:themeColor="text1"/>
          <w:szCs w:val="24"/>
        </w:rPr>
        <w:t>有效屏蔽厚度的辐射屏蔽透射因子：</w:t>
      </w:r>
    </w:p>
    <w:p w14:paraId="21EF1287" w14:textId="77777777" w:rsidR="00A67F21" w:rsidRPr="00B12FE0" w:rsidRDefault="00000000">
      <w:pPr>
        <w:tabs>
          <w:tab w:val="left" w:pos="1017"/>
        </w:tabs>
        <w:adjustRightInd w:val="0"/>
        <w:snapToGrid w:val="0"/>
        <w:spacing w:beforeLines="50" w:before="120" w:line="360" w:lineRule="auto"/>
        <w:jc w:val="center"/>
        <w:rPr>
          <w:snapToGrid w:val="0"/>
          <w:color w:val="000000" w:themeColor="text1"/>
          <w:szCs w:val="24"/>
        </w:rPr>
      </w:pPr>
      <w:r w:rsidRPr="00B12FE0">
        <w:rPr>
          <w:snapToGrid w:val="0"/>
          <w:color w:val="000000" w:themeColor="text1"/>
          <w:position w:val="-6"/>
          <w:szCs w:val="24"/>
        </w:rPr>
        <w:object w:dxaOrig="2429" w:dyaOrig="368" w14:anchorId="0830A401">
          <v:shape id="_x0000_i1034" type="#_x0000_t75" style="width:121.55pt;height:18.7pt" o:ole="">
            <v:imagedata r:id="rId74" o:title=""/>
          </v:shape>
          <o:OLEObject Type="Embed" ProgID="Equation.3" ShapeID="_x0000_i1034" DrawAspect="Content" ObjectID="_1843190432" r:id="rId75"/>
        </w:object>
      </w:r>
      <w:r w:rsidRPr="00B12FE0">
        <w:rPr>
          <w:snapToGrid w:val="0"/>
          <w:color w:val="000000" w:themeColor="text1"/>
          <w:szCs w:val="24"/>
        </w:rPr>
        <w:t>…………………</w:t>
      </w:r>
      <w:proofErr w:type="gramStart"/>
      <w:r w:rsidRPr="00B12FE0">
        <w:rPr>
          <w:snapToGrid w:val="0"/>
          <w:color w:val="000000" w:themeColor="text1"/>
          <w:szCs w:val="24"/>
        </w:rPr>
        <w:t>…..</w:t>
      </w:r>
      <w:proofErr w:type="gramEnd"/>
      <w:r w:rsidRPr="00B12FE0">
        <w:rPr>
          <w:snapToGrid w:val="0"/>
          <w:color w:val="000000" w:themeColor="text1"/>
          <w:szCs w:val="24"/>
        </w:rPr>
        <w:t>（式</w:t>
      </w:r>
      <w:r w:rsidRPr="00B12FE0">
        <w:rPr>
          <w:snapToGrid w:val="0"/>
          <w:color w:val="000000" w:themeColor="text1"/>
          <w:szCs w:val="24"/>
        </w:rPr>
        <w:t>11.2.2.1-3</w:t>
      </w:r>
      <w:r w:rsidRPr="00B12FE0">
        <w:rPr>
          <w:snapToGrid w:val="0"/>
          <w:color w:val="000000" w:themeColor="text1"/>
          <w:szCs w:val="24"/>
        </w:rPr>
        <w:t>）</w:t>
      </w:r>
    </w:p>
    <w:p w14:paraId="6BA68FE5" w14:textId="77777777" w:rsidR="00A67F21" w:rsidRPr="00B12FE0" w:rsidRDefault="00000000">
      <w:pPr>
        <w:spacing w:line="360" w:lineRule="auto"/>
        <w:ind w:firstLineChars="200" w:firstLine="480"/>
        <w:rPr>
          <w:snapToGrid w:val="0"/>
          <w:color w:val="000000" w:themeColor="text1"/>
          <w:szCs w:val="24"/>
        </w:rPr>
      </w:pPr>
      <w:r w:rsidRPr="00B12FE0">
        <w:rPr>
          <w:snapToGrid w:val="0"/>
          <w:color w:val="000000" w:themeColor="text1"/>
          <w:szCs w:val="24"/>
        </w:rPr>
        <w:t>式中：</w:t>
      </w:r>
    </w:p>
    <w:p w14:paraId="6FEB2FA3" w14:textId="77777777" w:rsidR="00A67F21" w:rsidRPr="00B12FE0" w:rsidRDefault="00000000">
      <w:pPr>
        <w:spacing w:line="360" w:lineRule="auto"/>
        <w:ind w:firstLineChars="400" w:firstLine="960"/>
        <w:rPr>
          <w:snapToGrid w:val="0"/>
          <w:color w:val="000000" w:themeColor="text1"/>
          <w:szCs w:val="24"/>
        </w:rPr>
      </w:pPr>
      <w:r w:rsidRPr="00B12FE0">
        <w:rPr>
          <w:snapToGrid w:val="0"/>
          <w:color w:val="000000" w:themeColor="text1"/>
          <w:szCs w:val="24"/>
        </w:rPr>
        <w:t>B——</w:t>
      </w:r>
      <w:r w:rsidRPr="00B12FE0">
        <w:rPr>
          <w:snapToGrid w:val="0"/>
          <w:color w:val="000000" w:themeColor="text1"/>
          <w:szCs w:val="24"/>
        </w:rPr>
        <w:t>辐射屏蔽透射因子；</w:t>
      </w:r>
    </w:p>
    <w:p w14:paraId="2C8F6C56" w14:textId="77777777" w:rsidR="00A67F21" w:rsidRPr="00B12FE0" w:rsidRDefault="00000000">
      <w:pPr>
        <w:spacing w:line="360" w:lineRule="auto"/>
        <w:ind w:firstLineChars="400" w:firstLine="960"/>
        <w:rPr>
          <w:snapToGrid w:val="0"/>
          <w:color w:val="000000" w:themeColor="text1"/>
          <w:szCs w:val="24"/>
        </w:rPr>
      </w:pPr>
      <w:r w:rsidRPr="00B12FE0">
        <w:rPr>
          <w:i/>
          <w:snapToGrid w:val="0"/>
          <w:color w:val="000000" w:themeColor="text1"/>
          <w:szCs w:val="24"/>
        </w:rPr>
        <w:t>X</w:t>
      </w:r>
      <w:r w:rsidRPr="00B12FE0">
        <w:rPr>
          <w:i/>
          <w:snapToGrid w:val="0"/>
          <w:color w:val="000000" w:themeColor="text1"/>
          <w:szCs w:val="24"/>
          <w:vertAlign w:val="subscript"/>
        </w:rPr>
        <w:t>e</w:t>
      </w:r>
      <w:r w:rsidRPr="00B12FE0">
        <w:rPr>
          <w:i/>
          <w:snapToGrid w:val="0"/>
          <w:color w:val="000000" w:themeColor="text1"/>
          <w:szCs w:val="24"/>
        </w:rPr>
        <w:t>——</w:t>
      </w:r>
      <w:r w:rsidRPr="00B12FE0">
        <w:rPr>
          <w:snapToGrid w:val="0"/>
          <w:color w:val="000000" w:themeColor="text1"/>
          <w:szCs w:val="24"/>
        </w:rPr>
        <w:t>有效屏蔽厚度，</w:t>
      </w:r>
      <w:r w:rsidRPr="00B12FE0">
        <w:rPr>
          <w:snapToGrid w:val="0"/>
          <w:color w:val="000000" w:themeColor="text1"/>
          <w:szCs w:val="24"/>
        </w:rPr>
        <w:t>cm</w:t>
      </w:r>
      <w:r w:rsidRPr="00B12FE0">
        <w:rPr>
          <w:snapToGrid w:val="0"/>
          <w:color w:val="000000" w:themeColor="text1"/>
          <w:szCs w:val="24"/>
        </w:rPr>
        <w:t>；</w:t>
      </w:r>
    </w:p>
    <w:p w14:paraId="153BFD48" w14:textId="77777777" w:rsidR="00A67F21" w:rsidRPr="00B12FE0" w:rsidRDefault="00000000">
      <w:pPr>
        <w:spacing w:line="360" w:lineRule="auto"/>
        <w:ind w:firstLineChars="400" w:firstLine="960"/>
        <w:rPr>
          <w:snapToGrid w:val="0"/>
          <w:color w:val="000000" w:themeColor="text1"/>
          <w:szCs w:val="24"/>
        </w:rPr>
      </w:pPr>
      <w:r w:rsidRPr="00B12FE0">
        <w:rPr>
          <w:i/>
          <w:snapToGrid w:val="0"/>
          <w:color w:val="000000" w:themeColor="text1"/>
          <w:szCs w:val="24"/>
        </w:rPr>
        <w:t>TVL</w:t>
      </w:r>
      <w:r w:rsidRPr="00B12FE0">
        <w:rPr>
          <w:snapToGrid w:val="0"/>
          <w:color w:val="000000" w:themeColor="text1"/>
          <w:szCs w:val="24"/>
          <w:vertAlign w:val="subscript"/>
        </w:rPr>
        <w:t>1</w:t>
      </w:r>
      <w:r w:rsidRPr="00B12FE0">
        <w:rPr>
          <w:snapToGrid w:val="0"/>
          <w:color w:val="000000" w:themeColor="text1"/>
          <w:szCs w:val="24"/>
        </w:rPr>
        <w:t>、</w:t>
      </w:r>
      <w:r w:rsidRPr="00B12FE0">
        <w:rPr>
          <w:i/>
          <w:snapToGrid w:val="0"/>
          <w:color w:val="000000" w:themeColor="text1"/>
          <w:szCs w:val="24"/>
        </w:rPr>
        <w:t>TVL——</w:t>
      </w:r>
      <w:r w:rsidRPr="00B12FE0">
        <w:rPr>
          <w:snapToGrid w:val="0"/>
          <w:color w:val="000000" w:themeColor="text1"/>
          <w:szCs w:val="24"/>
        </w:rPr>
        <w:t>X</w:t>
      </w:r>
      <w:r w:rsidRPr="00B12FE0">
        <w:rPr>
          <w:snapToGrid w:val="0"/>
          <w:color w:val="000000" w:themeColor="text1"/>
          <w:szCs w:val="24"/>
        </w:rPr>
        <w:t>射线在屏蔽物质中的第一个</w:t>
      </w:r>
      <w:proofErr w:type="gramStart"/>
      <w:r w:rsidRPr="00B12FE0">
        <w:rPr>
          <w:snapToGrid w:val="0"/>
          <w:color w:val="000000" w:themeColor="text1"/>
          <w:szCs w:val="24"/>
        </w:rPr>
        <w:t>什值层</w:t>
      </w:r>
      <w:proofErr w:type="gramEnd"/>
      <w:r w:rsidRPr="00B12FE0">
        <w:rPr>
          <w:snapToGrid w:val="0"/>
          <w:color w:val="000000" w:themeColor="text1"/>
          <w:szCs w:val="24"/>
        </w:rPr>
        <w:t>厚度、平衡</w:t>
      </w:r>
      <w:proofErr w:type="gramStart"/>
      <w:r w:rsidRPr="00B12FE0">
        <w:rPr>
          <w:snapToGrid w:val="0"/>
          <w:color w:val="000000" w:themeColor="text1"/>
          <w:szCs w:val="24"/>
        </w:rPr>
        <w:t>什值层</w:t>
      </w:r>
      <w:proofErr w:type="gramEnd"/>
      <w:r w:rsidRPr="00B12FE0">
        <w:rPr>
          <w:snapToGrid w:val="0"/>
          <w:color w:val="000000" w:themeColor="text1"/>
          <w:szCs w:val="24"/>
        </w:rPr>
        <w:t>厚度。</w:t>
      </w:r>
    </w:p>
    <w:p w14:paraId="3970650F" w14:textId="77777777" w:rsidR="00A67F21" w:rsidRPr="00B12FE0" w:rsidRDefault="00000000">
      <w:pPr>
        <w:spacing w:line="360" w:lineRule="auto"/>
        <w:ind w:firstLineChars="200" w:firstLine="482"/>
        <w:rPr>
          <w:b/>
          <w:bCs/>
          <w:snapToGrid w:val="0"/>
          <w:color w:val="000000" w:themeColor="text1"/>
          <w:szCs w:val="24"/>
        </w:rPr>
      </w:pPr>
      <w:r w:rsidRPr="00B12FE0">
        <w:rPr>
          <w:b/>
          <w:bCs/>
          <w:snapToGrid w:val="0"/>
          <w:color w:val="000000" w:themeColor="text1"/>
          <w:szCs w:val="24"/>
        </w:rPr>
        <w:t>C</w:t>
      </w:r>
      <w:r w:rsidRPr="00B12FE0">
        <w:rPr>
          <w:b/>
          <w:bCs/>
          <w:snapToGrid w:val="0"/>
          <w:color w:val="000000" w:themeColor="text1"/>
          <w:szCs w:val="24"/>
        </w:rPr>
        <w:t>、屏蔽体外关注点的剂量率：</w:t>
      </w:r>
    </w:p>
    <w:p w14:paraId="27E1C93E" w14:textId="77777777" w:rsidR="00A67F21" w:rsidRPr="00B12FE0" w:rsidRDefault="00000000">
      <w:pPr>
        <w:tabs>
          <w:tab w:val="left" w:pos="1017"/>
        </w:tabs>
        <w:adjustRightInd w:val="0"/>
        <w:snapToGrid w:val="0"/>
        <w:spacing w:line="360" w:lineRule="auto"/>
        <w:jc w:val="center"/>
        <w:rPr>
          <w:snapToGrid w:val="0"/>
          <w:color w:val="000000" w:themeColor="text1"/>
          <w:szCs w:val="24"/>
        </w:rPr>
      </w:pPr>
      <m:oMath>
        <m:acc>
          <m:accPr>
            <m:chr m:val="̇"/>
            <m:ctrlPr>
              <w:rPr>
                <w:rFonts w:ascii="Cambria Math" w:hAnsi="Cambria Math"/>
                <w:i/>
                <w:snapToGrid w:val="0"/>
                <w:color w:val="000000" w:themeColor="text1"/>
                <w:szCs w:val="28"/>
              </w:rPr>
            </m:ctrlPr>
          </m:accPr>
          <m:e>
            <m:r>
              <w:rPr>
                <w:rFonts w:ascii="Cambria Math" w:hAnsi="Cambria Math"/>
                <w:snapToGrid w:val="0"/>
                <w:color w:val="000000" w:themeColor="text1"/>
                <w:szCs w:val="28"/>
              </w:rPr>
              <m:t>H</m:t>
            </m:r>
          </m:e>
        </m:acc>
        <m:r>
          <w:rPr>
            <w:rFonts w:ascii="Cambria Math" w:hAnsi="Cambria Math"/>
            <w:snapToGrid w:val="0"/>
            <w:color w:val="000000" w:themeColor="text1"/>
            <w:szCs w:val="28"/>
          </w:rPr>
          <m:t>=</m:t>
        </m:r>
        <m:f>
          <m:fPr>
            <m:ctrlPr>
              <w:rPr>
                <w:rFonts w:ascii="Cambria Math" w:hAnsi="Cambria Math"/>
                <w:i/>
                <w:snapToGrid w:val="0"/>
                <w:color w:val="000000" w:themeColor="text1"/>
                <w:szCs w:val="28"/>
              </w:rPr>
            </m:ctrlPr>
          </m:fPr>
          <m:num>
            <m:sSub>
              <m:sSubPr>
                <m:ctrlPr>
                  <w:rPr>
                    <w:rFonts w:ascii="Cambria Math" w:hAnsi="Cambria Math"/>
                    <w:i/>
                    <w:snapToGrid w:val="0"/>
                    <w:color w:val="000000" w:themeColor="text1"/>
                    <w:szCs w:val="28"/>
                  </w:rPr>
                </m:ctrlPr>
              </m:sSubPr>
              <m:e>
                <m:acc>
                  <m:accPr>
                    <m:chr m:val="̇"/>
                    <m:ctrlPr>
                      <w:rPr>
                        <w:rFonts w:ascii="Cambria Math" w:hAnsi="Cambria Math"/>
                        <w:i/>
                        <w:snapToGrid w:val="0"/>
                        <w:color w:val="000000" w:themeColor="text1"/>
                        <w:szCs w:val="28"/>
                      </w:rPr>
                    </m:ctrlPr>
                  </m:accPr>
                  <m:e>
                    <m:r>
                      <w:rPr>
                        <w:rFonts w:ascii="Cambria Math" w:hAnsi="Cambria Math"/>
                        <w:snapToGrid w:val="0"/>
                        <w:color w:val="000000" w:themeColor="text1"/>
                        <w:szCs w:val="28"/>
                      </w:rPr>
                      <m:t>H</m:t>
                    </m:r>
                  </m:e>
                </m:acc>
              </m:e>
              <m:sub>
                <m:r>
                  <w:rPr>
                    <w:rFonts w:ascii="Cambria Math" w:hAnsi="Cambria Math"/>
                    <w:snapToGrid w:val="0"/>
                    <w:color w:val="000000" w:themeColor="text1"/>
                    <w:szCs w:val="28"/>
                  </w:rPr>
                  <m:t>0</m:t>
                </m:r>
              </m:sub>
            </m:sSub>
            <m:r>
              <w:rPr>
                <w:rFonts w:ascii="Cambria Math" w:hAnsi="Cambria Math"/>
                <w:snapToGrid w:val="0"/>
                <w:color w:val="000000" w:themeColor="text1"/>
                <w:szCs w:val="28"/>
              </w:rPr>
              <m:t>∙f</m:t>
            </m:r>
          </m:num>
          <m:den>
            <m:sSup>
              <m:sSupPr>
                <m:ctrlPr>
                  <w:rPr>
                    <w:rFonts w:ascii="Cambria Math" w:hAnsi="Cambria Math"/>
                    <w:i/>
                    <w:snapToGrid w:val="0"/>
                    <w:color w:val="000000" w:themeColor="text1"/>
                    <w:szCs w:val="28"/>
                  </w:rPr>
                </m:ctrlPr>
              </m:sSupPr>
              <m:e>
                <m:r>
                  <w:rPr>
                    <w:rFonts w:ascii="Cambria Math" w:hAnsi="Cambria Math"/>
                    <w:snapToGrid w:val="0"/>
                    <w:color w:val="000000" w:themeColor="text1"/>
                    <w:szCs w:val="28"/>
                  </w:rPr>
                  <m:t>R</m:t>
                </m:r>
              </m:e>
              <m:sup>
                <m:r>
                  <w:rPr>
                    <w:rFonts w:ascii="Cambria Math" w:hAnsi="Cambria Math"/>
                    <w:snapToGrid w:val="0"/>
                    <w:color w:val="000000" w:themeColor="text1"/>
                    <w:szCs w:val="28"/>
                  </w:rPr>
                  <m:t>2</m:t>
                </m:r>
              </m:sup>
            </m:sSup>
          </m:den>
        </m:f>
        <m:r>
          <w:rPr>
            <w:rFonts w:ascii="Cambria Math" w:hAnsi="Cambria Math"/>
            <w:snapToGrid w:val="0"/>
            <w:color w:val="000000" w:themeColor="text1"/>
            <w:szCs w:val="28"/>
          </w:rPr>
          <m:t>∙B</m:t>
        </m:r>
      </m:oMath>
      <w:r w:rsidRPr="00B12FE0">
        <w:rPr>
          <w:snapToGrid w:val="0"/>
          <w:color w:val="000000" w:themeColor="text1"/>
          <w:szCs w:val="24"/>
        </w:rPr>
        <w:t xml:space="preserve"> …………………………………</w:t>
      </w:r>
      <w:proofErr w:type="gramStart"/>
      <w:r w:rsidRPr="00B12FE0">
        <w:rPr>
          <w:snapToGrid w:val="0"/>
          <w:color w:val="000000" w:themeColor="text1"/>
          <w:szCs w:val="24"/>
        </w:rPr>
        <w:t>…..</w:t>
      </w:r>
      <w:proofErr w:type="gramEnd"/>
      <w:r w:rsidRPr="00B12FE0">
        <w:rPr>
          <w:snapToGrid w:val="0"/>
          <w:color w:val="000000" w:themeColor="text1"/>
          <w:szCs w:val="24"/>
        </w:rPr>
        <w:t>（式</w:t>
      </w:r>
      <w:r w:rsidRPr="00B12FE0">
        <w:rPr>
          <w:snapToGrid w:val="0"/>
          <w:color w:val="000000" w:themeColor="text1"/>
          <w:szCs w:val="24"/>
        </w:rPr>
        <w:t>11.2.2.1-4</w:t>
      </w:r>
      <w:r w:rsidRPr="00B12FE0">
        <w:rPr>
          <w:snapToGrid w:val="0"/>
          <w:color w:val="000000" w:themeColor="text1"/>
          <w:szCs w:val="24"/>
        </w:rPr>
        <w:t>）</w:t>
      </w:r>
    </w:p>
    <w:p w14:paraId="1BF20C5E" w14:textId="77777777" w:rsidR="00A67F21" w:rsidRPr="00B12FE0" w:rsidRDefault="00000000">
      <w:pPr>
        <w:widowControl/>
        <w:tabs>
          <w:tab w:val="center" w:pos="4201"/>
          <w:tab w:val="right" w:leader="dot" w:pos="9298"/>
        </w:tabs>
        <w:autoSpaceDE w:val="0"/>
        <w:autoSpaceDN w:val="0"/>
        <w:adjustRightInd w:val="0"/>
        <w:snapToGrid w:val="0"/>
        <w:spacing w:line="360" w:lineRule="auto"/>
        <w:ind w:firstLineChars="200" w:firstLine="480"/>
        <w:jc w:val="left"/>
        <w:textAlignment w:val="baseline"/>
        <w:rPr>
          <w:snapToGrid w:val="0"/>
          <w:color w:val="000000" w:themeColor="text1"/>
          <w:kern w:val="0"/>
          <w:szCs w:val="24"/>
        </w:rPr>
      </w:pPr>
      <w:r w:rsidRPr="00B12FE0">
        <w:rPr>
          <w:snapToGrid w:val="0"/>
          <w:color w:val="000000" w:themeColor="text1"/>
          <w:kern w:val="0"/>
          <w:szCs w:val="24"/>
        </w:rPr>
        <w:t>式中：</w:t>
      </w:r>
    </w:p>
    <w:p w14:paraId="2FD13882" w14:textId="77777777" w:rsidR="00A67F21" w:rsidRPr="00B12FE0" w:rsidRDefault="00000000">
      <w:pPr>
        <w:widowControl/>
        <w:tabs>
          <w:tab w:val="center" w:pos="4201"/>
          <w:tab w:val="right" w:leader="dot" w:pos="9298"/>
        </w:tabs>
        <w:autoSpaceDE w:val="0"/>
        <w:autoSpaceDN w:val="0"/>
        <w:adjustRightInd w:val="0"/>
        <w:snapToGrid w:val="0"/>
        <w:spacing w:line="360" w:lineRule="auto"/>
        <w:ind w:firstLineChars="400" w:firstLine="960"/>
        <w:jc w:val="left"/>
        <w:textAlignment w:val="baseline"/>
        <w:rPr>
          <w:snapToGrid w:val="0"/>
          <w:color w:val="000000" w:themeColor="text1"/>
          <w:szCs w:val="24"/>
        </w:rPr>
      </w:pPr>
      <m:oMath>
        <m:acc>
          <m:accPr>
            <m:chr m:val="̇"/>
            <m:ctrlPr>
              <w:rPr>
                <w:rFonts w:ascii="Cambria Math" w:hAnsi="Cambria Math"/>
                <w:i/>
                <w:snapToGrid w:val="0"/>
                <w:color w:val="000000" w:themeColor="text1"/>
                <w:kern w:val="0"/>
                <w:szCs w:val="24"/>
              </w:rPr>
            </m:ctrlPr>
          </m:accPr>
          <m:e>
            <m:r>
              <w:rPr>
                <w:rFonts w:ascii="Cambria Math" w:hAnsi="Cambria Math"/>
                <w:snapToGrid w:val="0"/>
                <w:color w:val="000000" w:themeColor="text1"/>
                <w:kern w:val="0"/>
                <w:szCs w:val="24"/>
              </w:rPr>
              <m:t>H</m:t>
            </m:r>
          </m:e>
        </m:acc>
      </m:oMath>
      <w:r w:rsidRPr="00B12FE0">
        <w:rPr>
          <w:snapToGrid w:val="0"/>
          <w:color w:val="000000" w:themeColor="text1"/>
          <w:position w:val="-4"/>
          <w:szCs w:val="24"/>
        </w:rPr>
        <w:t>——</w:t>
      </w:r>
      <w:r w:rsidRPr="00B12FE0">
        <w:rPr>
          <w:snapToGrid w:val="0"/>
          <w:color w:val="000000" w:themeColor="text1"/>
          <w:spacing w:val="4"/>
          <w:kern w:val="0"/>
          <w:szCs w:val="24"/>
        </w:rPr>
        <w:t>相应辐射在屏蔽体外关注点的剂量率</w:t>
      </w:r>
      <w:r w:rsidRPr="00B12FE0">
        <w:rPr>
          <w:snapToGrid w:val="0"/>
          <w:color w:val="000000" w:themeColor="text1"/>
          <w:szCs w:val="24"/>
        </w:rPr>
        <w:t>，</w:t>
      </w:r>
      <w:proofErr w:type="spellStart"/>
      <w:r w:rsidRPr="00B12FE0">
        <w:rPr>
          <w:snapToGrid w:val="0"/>
          <w:color w:val="000000" w:themeColor="text1"/>
          <w:szCs w:val="24"/>
        </w:rPr>
        <w:t>μSv</w:t>
      </w:r>
      <w:proofErr w:type="spellEnd"/>
      <w:r w:rsidRPr="00B12FE0">
        <w:rPr>
          <w:snapToGrid w:val="0"/>
          <w:color w:val="000000" w:themeColor="text1"/>
          <w:szCs w:val="24"/>
        </w:rPr>
        <w:t>/h</w:t>
      </w:r>
      <w:r w:rsidRPr="00B12FE0">
        <w:rPr>
          <w:snapToGrid w:val="0"/>
          <w:color w:val="000000" w:themeColor="text1"/>
          <w:szCs w:val="24"/>
        </w:rPr>
        <w:t>；</w:t>
      </w:r>
    </w:p>
    <w:p w14:paraId="08719C36" w14:textId="77777777" w:rsidR="00A67F21" w:rsidRPr="00B12FE0" w:rsidRDefault="00000000">
      <w:pPr>
        <w:adjustRightInd w:val="0"/>
        <w:snapToGrid w:val="0"/>
        <w:spacing w:line="360" w:lineRule="auto"/>
        <w:ind w:firstLineChars="400" w:firstLine="960"/>
        <w:jc w:val="left"/>
        <w:rPr>
          <w:snapToGrid w:val="0"/>
          <w:color w:val="000000" w:themeColor="text1"/>
          <w:szCs w:val="24"/>
        </w:rPr>
      </w:pPr>
      <m:oMath>
        <m:sSub>
          <m:sSubPr>
            <m:ctrlPr>
              <w:rPr>
                <w:rFonts w:ascii="Cambria Math" w:hAnsi="Cambria Math"/>
                <w:i/>
                <w:snapToGrid w:val="0"/>
                <w:color w:val="000000" w:themeColor="text1"/>
                <w:szCs w:val="24"/>
              </w:rPr>
            </m:ctrlPr>
          </m:sSubPr>
          <m:e>
            <m:acc>
              <m:accPr>
                <m:chr m:val="̇"/>
                <m:ctrlPr>
                  <w:rPr>
                    <w:rFonts w:ascii="Cambria Math" w:hAnsi="Cambria Math"/>
                    <w:i/>
                    <w:snapToGrid w:val="0"/>
                    <w:color w:val="000000" w:themeColor="text1"/>
                    <w:szCs w:val="24"/>
                  </w:rPr>
                </m:ctrlPr>
              </m:accPr>
              <m:e>
                <m:r>
                  <w:rPr>
                    <w:rFonts w:ascii="Cambria Math" w:hAnsi="Cambria Math"/>
                    <w:snapToGrid w:val="0"/>
                    <w:color w:val="000000" w:themeColor="text1"/>
                    <w:szCs w:val="24"/>
                  </w:rPr>
                  <m:t>H</m:t>
                </m:r>
              </m:e>
            </m:acc>
          </m:e>
          <m:sub>
            <m:r>
              <w:rPr>
                <w:rFonts w:ascii="Cambria Math" w:hAnsi="Cambria Math"/>
                <w:snapToGrid w:val="0"/>
                <w:color w:val="000000" w:themeColor="text1"/>
                <w:szCs w:val="24"/>
              </w:rPr>
              <m:t>o</m:t>
            </m:r>
          </m:sub>
        </m:sSub>
      </m:oMath>
      <w:r w:rsidRPr="00B12FE0">
        <w:rPr>
          <w:snapToGrid w:val="0"/>
          <w:color w:val="000000" w:themeColor="text1"/>
          <w:szCs w:val="24"/>
        </w:rPr>
        <w:t>——</w:t>
      </w:r>
      <w:r w:rsidRPr="00B12FE0">
        <w:rPr>
          <w:snapToGrid w:val="0"/>
          <w:color w:val="000000" w:themeColor="text1"/>
          <w:szCs w:val="24"/>
        </w:rPr>
        <w:t>加速器有用线束中心轴上距靶</w:t>
      </w:r>
      <w:r w:rsidRPr="00B12FE0">
        <w:rPr>
          <w:snapToGrid w:val="0"/>
          <w:color w:val="000000" w:themeColor="text1"/>
          <w:szCs w:val="24"/>
        </w:rPr>
        <w:t>1m</w:t>
      </w:r>
      <w:r w:rsidRPr="00B12FE0">
        <w:rPr>
          <w:snapToGrid w:val="0"/>
          <w:color w:val="000000" w:themeColor="text1"/>
          <w:szCs w:val="24"/>
        </w:rPr>
        <w:t>处的常用最高剂量率，</w:t>
      </w:r>
      <w:r w:rsidRPr="00B12FE0">
        <w:rPr>
          <w:snapToGrid w:val="0"/>
          <w:color w:val="000000" w:themeColor="text1"/>
          <w:szCs w:val="24"/>
        </w:rPr>
        <w:t>μSv•m</w:t>
      </w:r>
      <w:r w:rsidRPr="00B12FE0">
        <w:rPr>
          <w:snapToGrid w:val="0"/>
          <w:color w:val="000000" w:themeColor="text1"/>
          <w:szCs w:val="24"/>
          <w:vertAlign w:val="superscript"/>
        </w:rPr>
        <w:t>2</w:t>
      </w:r>
      <w:r w:rsidRPr="00B12FE0">
        <w:rPr>
          <w:snapToGrid w:val="0"/>
          <w:color w:val="000000" w:themeColor="text1"/>
          <w:szCs w:val="24"/>
        </w:rPr>
        <w:t>/h</w:t>
      </w:r>
      <w:r w:rsidRPr="00B12FE0">
        <w:rPr>
          <w:snapToGrid w:val="0"/>
          <w:color w:val="000000" w:themeColor="text1"/>
          <w:szCs w:val="24"/>
        </w:rPr>
        <w:t>；</w:t>
      </w:r>
    </w:p>
    <w:p w14:paraId="098273F3" w14:textId="77777777" w:rsidR="00A67F21" w:rsidRPr="00B12FE0" w:rsidRDefault="00000000">
      <w:pPr>
        <w:widowControl/>
        <w:tabs>
          <w:tab w:val="center" w:pos="4201"/>
          <w:tab w:val="right" w:leader="dot" w:pos="9298"/>
        </w:tabs>
        <w:autoSpaceDE w:val="0"/>
        <w:autoSpaceDN w:val="0"/>
        <w:adjustRightInd w:val="0"/>
        <w:spacing w:line="360" w:lineRule="auto"/>
        <w:ind w:firstLineChars="400" w:firstLine="960"/>
        <w:jc w:val="left"/>
        <w:textAlignment w:val="baseline"/>
        <w:rPr>
          <w:snapToGrid w:val="0"/>
          <w:color w:val="000000" w:themeColor="text1"/>
          <w:kern w:val="0"/>
          <w:szCs w:val="24"/>
        </w:rPr>
      </w:pPr>
      <w:r w:rsidRPr="00B12FE0">
        <w:rPr>
          <w:i/>
          <w:snapToGrid w:val="0"/>
          <w:color w:val="000000" w:themeColor="text1"/>
          <w:kern w:val="0"/>
          <w:szCs w:val="24"/>
        </w:rPr>
        <w:t>f——</w:t>
      </w:r>
      <w:r w:rsidRPr="00B12FE0">
        <w:rPr>
          <w:snapToGrid w:val="0"/>
          <w:color w:val="000000" w:themeColor="text1"/>
          <w:kern w:val="0"/>
          <w:szCs w:val="24"/>
        </w:rPr>
        <w:t>比例因子，对有用线束为</w:t>
      </w:r>
      <w:r w:rsidRPr="00B12FE0">
        <w:rPr>
          <w:snapToGrid w:val="0"/>
          <w:color w:val="000000" w:themeColor="text1"/>
          <w:kern w:val="0"/>
          <w:szCs w:val="24"/>
        </w:rPr>
        <w:t>1</w:t>
      </w:r>
      <w:r w:rsidRPr="00B12FE0">
        <w:rPr>
          <w:snapToGrid w:val="0"/>
          <w:color w:val="000000" w:themeColor="text1"/>
          <w:kern w:val="0"/>
          <w:szCs w:val="24"/>
        </w:rPr>
        <w:t>，对泄漏辐射为泄漏辐射比率；</w:t>
      </w:r>
    </w:p>
    <w:p w14:paraId="6CA6EAD2" w14:textId="77777777" w:rsidR="00A67F21" w:rsidRPr="00B12FE0" w:rsidRDefault="00000000">
      <w:pPr>
        <w:widowControl/>
        <w:tabs>
          <w:tab w:val="center" w:pos="4201"/>
          <w:tab w:val="right" w:leader="dot" w:pos="9298"/>
        </w:tabs>
        <w:autoSpaceDE w:val="0"/>
        <w:autoSpaceDN w:val="0"/>
        <w:adjustRightInd w:val="0"/>
        <w:spacing w:line="360" w:lineRule="auto"/>
        <w:ind w:firstLineChars="400" w:firstLine="960"/>
        <w:jc w:val="left"/>
        <w:textAlignment w:val="baseline"/>
        <w:rPr>
          <w:snapToGrid w:val="0"/>
          <w:color w:val="000000" w:themeColor="text1"/>
          <w:kern w:val="0"/>
          <w:szCs w:val="24"/>
        </w:rPr>
      </w:pPr>
      <w:r w:rsidRPr="00B12FE0">
        <w:rPr>
          <w:i/>
          <w:snapToGrid w:val="0"/>
          <w:color w:val="000000" w:themeColor="text1"/>
          <w:kern w:val="0"/>
          <w:szCs w:val="24"/>
        </w:rPr>
        <w:t>R</w:t>
      </w:r>
      <w:r w:rsidRPr="00B12FE0">
        <w:rPr>
          <w:snapToGrid w:val="0"/>
          <w:color w:val="000000" w:themeColor="text1"/>
          <w:kern w:val="0"/>
          <w:szCs w:val="24"/>
        </w:rPr>
        <w:t>——</w:t>
      </w:r>
      <w:r w:rsidRPr="00B12FE0">
        <w:rPr>
          <w:snapToGrid w:val="0"/>
          <w:color w:val="000000" w:themeColor="text1"/>
          <w:kern w:val="0"/>
          <w:szCs w:val="24"/>
        </w:rPr>
        <w:t>辐射源点（靶点）</w:t>
      </w:r>
      <w:proofErr w:type="gramStart"/>
      <w:r w:rsidRPr="00B12FE0">
        <w:rPr>
          <w:snapToGrid w:val="0"/>
          <w:color w:val="000000" w:themeColor="text1"/>
          <w:kern w:val="0"/>
          <w:szCs w:val="24"/>
        </w:rPr>
        <w:t>至关注</w:t>
      </w:r>
      <w:proofErr w:type="gramEnd"/>
      <w:r w:rsidRPr="00B12FE0">
        <w:rPr>
          <w:snapToGrid w:val="0"/>
          <w:color w:val="000000" w:themeColor="text1"/>
          <w:kern w:val="0"/>
          <w:szCs w:val="24"/>
        </w:rPr>
        <w:t>点的距离，</w:t>
      </w:r>
      <w:r w:rsidRPr="00B12FE0">
        <w:rPr>
          <w:snapToGrid w:val="0"/>
          <w:color w:val="000000" w:themeColor="text1"/>
          <w:kern w:val="0"/>
          <w:szCs w:val="24"/>
        </w:rPr>
        <w:t>m</w:t>
      </w:r>
      <w:r w:rsidRPr="00B12FE0">
        <w:rPr>
          <w:snapToGrid w:val="0"/>
          <w:color w:val="000000" w:themeColor="text1"/>
          <w:kern w:val="0"/>
          <w:szCs w:val="24"/>
        </w:rPr>
        <w:t>。</w:t>
      </w:r>
    </w:p>
    <w:p w14:paraId="5A8B674F" w14:textId="77777777" w:rsidR="00A67F21" w:rsidRPr="00B12FE0" w:rsidRDefault="00000000">
      <w:pPr>
        <w:widowControl/>
        <w:tabs>
          <w:tab w:val="center" w:pos="4201"/>
          <w:tab w:val="right" w:leader="dot" w:pos="9298"/>
        </w:tabs>
        <w:autoSpaceDE w:val="0"/>
        <w:autoSpaceDN w:val="0"/>
        <w:adjustRightInd w:val="0"/>
        <w:spacing w:line="360" w:lineRule="auto"/>
        <w:ind w:firstLine="480"/>
        <w:jc w:val="left"/>
        <w:textAlignment w:val="baseline"/>
        <w:rPr>
          <w:snapToGrid w:val="0"/>
          <w:color w:val="000000" w:themeColor="text1"/>
          <w:kern w:val="0"/>
        </w:rPr>
      </w:pPr>
      <w:r w:rsidRPr="00B12FE0">
        <w:rPr>
          <w:snapToGrid w:val="0"/>
          <w:color w:val="000000" w:themeColor="text1"/>
          <w:kern w:val="0"/>
          <w:szCs w:val="24"/>
        </w:rPr>
        <w:lastRenderedPageBreak/>
        <w:t>主屏蔽墙及顶部外辐射剂量率计算参数及结果见下表</w:t>
      </w:r>
      <w:r w:rsidRPr="00B12FE0">
        <w:rPr>
          <w:snapToGrid w:val="0"/>
          <w:color w:val="000000" w:themeColor="text1"/>
          <w:kern w:val="0"/>
          <w:szCs w:val="24"/>
        </w:rPr>
        <w:t>11.2.2.1-6</w:t>
      </w:r>
      <w:r w:rsidRPr="00B12FE0">
        <w:rPr>
          <w:snapToGrid w:val="0"/>
          <w:color w:val="000000" w:themeColor="text1"/>
          <w:kern w:val="0"/>
          <w:szCs w:val="24"/>
        </w:rPr>
        <w:t>。</w:t>
      </w:r>
    </w:p>
    <w:p w14:paraId="310726A1" w14:textId="77777777" w:rsidR="00A67F21" w:rsidRPr="00B12FE0" w:rsidRDefault="00000000">
      <w:pPr>
        <w:autoSpaceDE w:val="0"/>
        <w:spacing w:line="360" w:lineRule="auto"/>
        <w:jc w:val="center"/>
        <w:rPr>
          <w:b/>
          <w:bCs/>
          <w:snapToGrid w:val="0"/>
          <w:color w:val="000000" w:themeColor="text1"/>
          <w:sz w:val="21"/>
          <w:szCs w:val="21"/>
        </w:rPr>
      </w:pPr>
      <w:r w:rsidRPr="00B12FE0">
        <w:rPr>
          <w:b/>
          <w:bCs/>
          <w:snapToGrid w:val="0"/>
          <w:color w:val="000000" w:themeColor="text1"/>
          <w:sz w:val="21"/>
          <w:szCs w:val="21"/>
        </w:rPr>
        <w:t>表</w:t>
      </w:r>
      <w:r w:rsidRPr="00B12FE0">
        <w:rPr>
          <w:b/>
          <w:bCs/>
          <w:snapToGrid w:val="0"/>
          <w:color w:val="000000" w:themeColor="text1"/>
          <w:sz w:val="21"/>
          <w:szCs w:val="21"/>
        </w:rPr>
        <w:t xml:space="preserve">11.2.2.1-6  </w:t>
      </w:r>
      <w:r w:rsidRPr="00B12FE0">
        <w:rPr>
          <w:b/>
          <w:bCs/>
          <w:snapToGrid w:val="0"/>
          <w:color w:val="000000" w:themeColor="text1"/>
          <w:sz w:val="21"/>
          <w:szCs w:val="21"/>
        </w:rPr>
        <w:t>有用线束主屏蔽</w:t>
      </w:r>
      <w:proofErr w:type="gramStart"/>
      <w:r w:rsidRPr="00B12FE0">
        <w:rPr>
          <w:b/>
          <w:bCs/>
          <w:snapToGrid w:val="0"/>
          <w:color w:val="000000" w:themeColor="text1"/>
          <w:sz w:val="21"/>
          <w:szCs w:val="21"/>
        </w:rPr>
        <w:t>外关注</w:t>
      </w:r>
      <w:proofErr w:type="gramEnd"/>
      <w:r w:rsidRPr="00B12FE0">
        <w:rPr>
          <w:b/>
          <w:bCs/>
          <w:snapToGrid w:val="0"/>
          <w:color w:val="000000" w:themeColor="text1"/>
          <w:sz w:val="21"/>
          <w:szCs w:val="21"/>
        </w:rPr>
        <w:t>点辐射剂量率计算参数及结果</w:t>
      </w:r>
    </w:p>
    <w:tbl>
      <w:tblPr>
        <w:tblW w:w="8800" w:type="dxa"/>
        <w:jc w:val="center"/>
        <w:tblLayout w:type="fixed"/>
        <w:tblLook w:val="04A0" w:firstRow="1" w:lastRow="0" w:firstColumn="1" w:lastColumn="0" w:noHBand="0" w:noVBand="1"/>
      </w:tblPr>
      <w:tblGrid>
        <w:gridCol w:w="1010"/>
        <w:gridCol w:w="1475"/>
        <w:gridCol w:w="1027"/>
        <w:gridCol w:w="1149"/>
        <w:gridCol w:w="1016"/>
        <w:gridCol w:w="723"/>
        <w:gridCol w:w="1210"/>
        <w:gridCol w:w="1190"/>
      </w:tblGrid>
      <w:tr w:rsidR="00A67F21" w:rsidRPr="00B12FE0" w14:paraId="20D1FDC7" w14:textId="77777777">
        <w:trPr>
          <w:trHeight w:val="665"/>
          <w:jc w:val="center"/>
        </w:trPr>
        <w:tc>
          <w:tcPr>
            <w:tcW w:w="1010" w:type="dxa"/>
            <w:tcBorders>
              <w:top w:val="single" w:sz="4" w:space="0" w:color="000000"/>
              <w:left w:val="single" w:sz="4" w:space="0" w:color="000000"/>
              <w:bottom w:val="single" w:sz="4" w:space="0" w:color="000000"/>
              <w:right w:val="single" w:sz="4" w:space="0" w:color="000000"/>
            </w:tcBorders>
            <w:vAlign w:val="center"/>
          </w:tcPr>
          <w:p w14:paraId="7A61BBA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关注点</w:t>
            </w:r>
          </w:p>
        </w:tc>
        <w:tc>
          <w:tcPr>
            <w:tcW w:w="1475" w:type="dxa"/>
            <w:tcBorders>
              <w:top w:val="single" w:sz="4" w:space="0" w:color="000000"/>
              <w:left w:val="single" w:sz="4" w:space="0" w:color="000000"/>
              <w:bottom w:val="single" w:sz="4" w:space="0" w:color="000000"/>
              <w:right w:val="single" w:sz="4" w:space="0" w:color="000000"/>
            </w:tcBorders>
            <w:vAlign w:val="center"/>
          </w:tcPr>
          <w:p w14:paraId="1269460C" w14:textId="77777777" w:rsidR="00A67F21" w:rsidRPr="00B12FE0" w:rsidRDefault="00000000">
            <w:pPr>
              <w:widowControl/>
              <w:jc w:val="center"/>
              <w:textAlignment w:val="center"/>
              <w:rPr>
                <w:snapToGrid w:val="0"/>
                <w:color w:val="000000" w:themeColor="text1"/>
                <w:sz w:val="21"/>
                <w:szCs w:val="21"/>
              </w:rPr>
            </w:pPr>
            <m:oMath>
              <m:sSub>
                <m:sSubPr>
                  <m:ctrlPr>
                    <w:rPr>
                      <w:rFonts w:ascii="Cambria Math" w:hAnsi="Cambria Math"/>
                      <w:i/>
                      <w:snapToGrid w:val="0"/>
                      <w:color w:val="000000" w:themeColor="text1"/>
                      <w:sz w:val="21"/>
                      <w:szCs w:val="21"/>
                    </w:rPr>
                  </m:ctrlPr>
                </m:sSubPr>
                <m:e>
                  <m:acc>
                    <m:accPr>
                      <m:chr m:val="̇"/>
                      <m:ctrlPr>
                        <w:rPr>
                          <w:rFonts w:ascii="Cambria Math" w:hAnsi="Cambria Math"/>
                          <w:i/>
                          <w:snapToGrid w:val="0"/>
                          <w:color w:val="000000" w:themeColor="text1"/>
                          <w:sz w:val="21"/>
                          <w:szCs w:val="21"/>
                        </w:rPr>
                      </m:ctrlPr>
                    </m:accPr>
                    <m:e>
                      <m:r>
                        <w:rPr>
                          <w:rFonts w:ascii="Cambria Math" w:hAnsi="Cambria Math"/>
                          <w:snapToGrid w:val="0"/>
                          <w:color w:val="000000" w:themeColor="text1"/>
                          <w:sz w:val="21"/>
                          <w:szCs w:val="21"/>
                        </w:rPr>
                        <m:t>H</m:t>
                      </m:r>
                    </m:e>
                  </m:acc>
                </m:e>
                <m:sub>
                  <m:r>
                    <w:rPr>
                      <w:rFonts w:ascii="Cambria Math" w:hAnsi="Cambria Math"/>
                      <w:snapToGrid w:val="0"/>
                      <w:color w:val="000000" w:themeColor="text1"/>
                      <w:sz w:val="21"/>
                      <w:szCs w:val="21"/>
                    </w:rPr>
                    <m:t>o</m:t>
                  </m:r>
                </m:sub>
              </m:sSub>
            </m:oMath>
            <w:r w:rsidRPr="00B12FE0">
              <w:rPr>
                <w:snapToGrid w:val="0"/>
                <w:color w:val="000000" w:themeColor="text1"/>
                <w:kern w:val="0"/>
                <w:sz w:val="21"/>
                <w:szCs w:val="21"/>
                <w:lang w:bidi="ar"/>
              </w:rPr>
              <w:t>(μSv•m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/h)</w:t>
            </w:r>
          </w:p>
        </w:tc>
        <w:tc>
          <w:tcPr>
            <w:tcW w:w="1027" w:type="dxa"/>
            <w:tcBorders>
              <w:top w:val="single" w:sz="4" w:space="0" w:color="000000"/>
              <w:left w:val="single" w:sz="4" w:space="0" w:color="000000"/>
              <w:bottom w:val="single" w:sz="4" w:space="0" w:color="000000"/>
              <w:right w:val="single" w:sz="4" w:space="0" w:color="000000"/>
            </w:tcBorders>
            <w:vAlign w:val="center"/>
          </w:tcPr>
          <w:p w14:paraId="6BB0F36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149" w:type="dxa"/>
            <w:tcBorders>
              <w:top w:val="single" w:sz="4" w:space="0" w:color="000000"/>
              <w:left w:val="single" w:sz="4" w:space="0" w:color="000000"/>
              <w:right w:val="single" w:sz="4" w:space="0" w:color="000000"/>
            </w:tcBorders>
            <w:vAlign w:val="center"/>
          </w:tcPr>
          <w:p w14:paraId="7E75B2D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016" w:type="dxa"/>
            <w:tcBorders>
              <w:top w:val="single" w:sz="4" w:space="0" w:color="000000"/>
              <w:left w:val="single" w:sz="4" w:space="0" w:color="000000"/>
              <w:bottom w:val="single" w:sz="4" w:space="0" w:color="000000"/>
              <w:right w:val="single" w:sz="4" w:space="0" w:color="000000"/>
            </w:tcBorders>
            <w:vAlign w:val="center"/>
          </w:tcPr>
          <w:p w14:paraId="045AE3C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723" w:type="dxa"/>
            <w:tcBorders>
              <w:top w:val="single" w:sz="4" w:space="0" w:color="000000"/>
              <w:left w:val="single" w:sz="4" w:space="0" w:color="000000"/>
              <w:bottom w:val="single" w:sz="4" w:space="0" w:color="000000"/>
              <w:right w:val="single" w:sz="4" w:space="0" w:color="000000"/>
            </w:tcBorders>
            <w:vAlign w:val="center"/>
          </w:tcPr>
          <w:p w14:paraId="2DE23FD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f</w:t>
            </w:r>
          </w:p>
        </w:tc>
        <w:tc>
          <w:tcPr>
            <w:tcW w:w="1210" w:type="dxa"/>
            <w:tcBorders>
              <w:top w:val="single" w:sz="4" w:space="0" w:color="000000"/>
              <w:left w:val="single" w:sz="4" w:space="0" w:color="000000"/>
              <w:bottom w:val="single" w:sz="4" w:space="0" w:color="000000"/>
              <w:right w:val="single" w:sz="4" w:space="0" w:color="000000"/>
            </w:tcBorders>
            <w:vAlign w:val="center"/>
          </w:tcPr>
          <w:p w14:paraId="5BB8B59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581B0D17" w14:textId="77777777" w:rsidR="00A67F21" w:rsidRPr="00B12FE0" w:rsidRDefault="00000000">
            <w:pPr>
              <w:widowControl/>
              <w:jc w:val="center"/>
              <w:textAlignment w:val="center"/>
              <w:rPr>
                <w:snapToGrid w:val="0"/>
                <w:color w:val="000000" w:themeColor="text1"/>
                <w:sz w:val="21"/>
                <w:szCs w:val="21"/>
              </w:rPr>
            </w:pPr>
            <m:oMath>
              <m:acc>
                <m:accPr>
                  <m:chr m:val="̇"/>
                  <m:ctrlPr>
                    <w:rPr>
                      <w:rFonts w:ascii="Cambria Math" w:hAnsi="Cambria Math"/>
                      <w:i/>
                      <w:snapToGrid w:val="0"/>
                      <w:color w:val="000000" w:themeColor="text1"/>
                      <w:kern w:val="0"/>
                      <w:sz w:val="21"/>
                      <w:szCs w:val="21"/>
                    </w:rPr>
                  </m:ctrlPr>
                </m:accPr>
                <m:e>
                  <m:r>
                    <w:rPr>
                      <w:rFonts w:ascii="Cambria Math" w:hAnsi="Cambria Math"/>
                      <w:snapToGrid w:val="0"/>
                      <w:color w:val="000000" w:themeColor="text1"/>
                      <w:kern w:val="0"/>
                      <w:sz w:val="21"/>
                      <w:szCs w:val="21"/>
                    </w:rPr>
                    <m:t>H</m:t>
                  </m:r>
                </m:e>
              </m:acc>
            </m:oMath>
            <w:r w:rsidRPr="00B12FE0">
              <w:rPr>
                <w:snapToGrid w:val="0"/>
                <w:color w:val="000000" w:themeColor="text1"/>
                <w:kern w:val="0"/>
                <w:sz w:val="21"/>
                <w:szCs w:val="21"/>
                <w:lang w:bidi="ar"/>
              </w:rPr>
              <w:t>(μSv/h)</w:t>
            </w:r>
          </w:p>
        </w:tc>
      </w:tr>
      <w:tr w:rsidR="00A67F21" w:rsidRPr="00B12FE0" w14:paraId="46D3C07F" w14:textId="77777777">
        <w:trPr>
          <w:trHeight w:val="665"/>
          <w:jc w:val="center"/>
        </w:trPr>
        <w:tc>
          <w:tcPr>
            <w:tcW w:w="1010" w:type="dxa"/>
            <w:vMerge w:val="restart"/>
            <w:tcBorders>
              <w:top w:val="single" w:sz="4" w:space="0" w:color="000000"/>
              <w:left w:val="single" w:sz="4" w:space="0" w:color="000000"/>
              <w:right w:val="single" w:sz="4" w:space="0" w:color="000000"/>
            </w:tcBorders>
            <w:vAlign w:val="center"/>
          </w:tcPr>
          <w:p w14:paraId="33018DA4" w14:textId="77777777" w:rsidR="00A67F21" w:rsidRPr="00B12FE0" w:rsidRDefault="00000000">
            <w:pPr>
              <w:widowControl/>
              <w:adjustRightInd w:val="0"/>
              <w:snapToGrid w:val="0"/>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a</w:t>
            </w:r>
            <w:r w:rsidRPr="00B12FE0">
              <w:rPr>
                <w:rFonts w:hint="eastAsia"/>
                <w:snapToGrid w:val="0"/>
                <w:color w:val="000000" w:themeColor="text1"/>
                <w:kern w:val="0"/>
                <w:sz w:val="21"/>
                <w:szCs w:val="21"/>
                <w:vertAlign w:val="subscript"/>
                <w:lang w:bidi="ar"/>
              </w:rPr>
              <w:t>1</w:t>
            </w:r>
            <w:r w:rsidRPr="00B12FE0">
              <w:rPr>
                <w:rFonts w:hint="eastAsia"/>
                <w:snapToGrid w:val="0"/>
                <w:color w:val="000000" w:themeColor="text1"/>
                <w:kern w:val="0"/>
                <w:sz w:val="21"/>
                <w:szCs w:val="21"/>
                <w:lang w:bidi="ar"/>
              </w:rPr>
              <w:t>/a</w:t>
            </w:r>
            <w:r w:rsidRPr="00B12FE0">
              <w:rPr>
                <w:rFonts w:hint="eastAsia"/>
                <w:snapToGrid w:val="0"/>
                <w:color w:val="000000" w:themeColor="text1"/>
                <w:kern w:val="0"/>
                <w:sz w:val="21"/>
                <w:szCs w:val="21"/>
                <w:vertAlign w:val="subscript"/>
                <w:lang w:bidi="ar"/>
              </w:rPr>
              <w:t>2</w:t>
            </w:r>
            <w:r w:rsidRPr="00B12FE0">
              <w:rPr>
                <w:rFonts w:hint="eastAsia"/>
                <w:color w:val="000000" w:themeColor="text1"/>
                <w:lang w:bidi="ar"/>
              </w:rPr>
              <w:t>点</w:t>
            </w:r>
          </w:p>
        </w:tc>
        <w:tc>
          <w:tcPr>
            <w:tcW w:w="1475" w:type="dxa"/>
            <w:tcBorders>
              <w:top w:val="single" w:sz="4" w:space="0" w:color="000000"/>
              <w:left w:val="single" w:sz="4" w:space="0" w:color="000000"/>
              <w:bottom w:val="single" w:sz="4" w:space="0" w:color="000000"/>
              <w:right w:val="single" w:sz="4" w:space="0" w:color="000000"/>
            </w:tcBorders>
            <w:vAlign w:val="center"/>
          </w:tcPr>
          <w:p w14:paraId="5DA397F4" w14:textId="77777777" w:rsidR="00A67F21" w:rsidRPr="00B12FE0" w:rsidRDefault="00000000">
            <w:pPr>
              <w:widowControl/>
              <w:jc w:val="center"/>
              <w:textAlignment w:val="center"/>
              <w:rPr>
                <w:snapToGrid w:val="0"/>
                <w:color w:val="000000" w:themeColor="text1"/>
                <w:sz w:val="21"/>
                <w:szCs w:val="21"/>
                <w:vertAlign w:val="superscript"/>
              </w:rPr>
            </w:pPr>
            <w:r w:rsidRPr="00B12FE0">
              <w:rPr>
                <w:snapToGrid w:val="0"/>
                <w:color w:val="000000" w:themeColor="text1"/>
                <w:kern w:val="0"/>
                <w:sz w:val="21"/>
                <w:szCs w:val="21"/>
                <w:lang w:bidi="ar"/>
              </w:rPr>
              <w:t>3.60</w:t>
            </w:r>
            <w:r w:rsidRPr="00B12FE0">
              <w:rPr>
                <w:snapToGrid w:val="0"/>
                <w:color w:val="000000" w:themeColor="text1"/>
                <w:sz w:val="21"/>
                <w:szCs w:val="21"/>
              </w:rPr>
              <w:t>×10</w:t>
            </w:r>
            <w:r w:rsidRPr="00B12FE0">
              <w:rPr>
                <w:snapToGrid w:val="0"/>
                <w:color w:val="000000" w:themeColor="text1"/>
                <w:sz w:val="21"/>
                <w:szCs w:val="21"/>
                <w:vertAlign w:val="superscript"/>
              </w:rPr>
              <w:t>8</w:t>
            </w:r>
          </w:p>
          <w:p w14:paraId="6809618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(15MV)</w:t>
            </w:r>
          </w:p>
        </w:tc>
        <w:tc>
          <w:tcPr>
            <w:tcW w:w="1027" w:type="dxa"/>
            <w:tcBorders>
              <w:top w:val="single" w:sz="4" w:space="0" w:color="000000"/>
              <w:left w:val="single" w:sz="4" w:space="0" w:color="000000"/>
              <w:bottom w:val="single" w:sz="4" w:space="0" w:color="000000"/>
              <w:right w:val="single" w:sz="4" w:space="0" w:color="000000"/>
            </w:tcBorders>
            <w:vAlign w:val="center"/>
          </w:tcPr>
          <w:p w14:paraId="4AEE60F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300</w:t>
            </w:r>
          </w:p>
        </w:tc>
        <w:tc>
          <w:tcPr>
            <w:tcW w:w="1149" w:type="dxa"/>
            <w:tcBorders>
              <w:top w:val="single" w:sz="4" w:space="0" w:color="000000"/>
              <w:left w:val="single" w:sz="4" w:space="0" w:color="000000"/>
              <w:bottom w:val="single" w:sz="4" w:space="0" w:color="000000"/>
              <w:right w:val="single" w:sz="4" w:space="0" w:color="000000"/>
            </w:tcBorders>
            <w:vAlign w:val="center"/>
          </w:tcPr>
          <w:p w14:paraId="360B9C8F"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44</w:t>
            </w:r>
          </w:p>
        </w:tc>
        <w:tc>
          <w:tcPr>
            <w:tcW w:w="1016" w:type="dxa"/>
            <w:tcBorders>
              <w:top w:val="single" w:sz="4" w:space="0" w:color="000000"/>
              <w:left w:val="single" w:sz="4" w:space="0" w:color="000000"/>
              <w:bottom w:val="single" w:sz="4" w:space="0" w:color="000000"/>
              <w:right w:val="single" w:sz="4" w:space="0" w:color="000000"/>
            </w:tcBorders>
            <w:vAlign w:val="center"/>
          </w:tcPr>
          <w:p w14:paraId="7681DAD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41</w:t>
            </w:r>
          </w:p>
        </w:tc>
        <w:tc>
          <w:tcPr>
            <w:tcW w:w="723" w:type="dxa"/>
            <w:tcBorders>
              <w:top w:val="single" w:sz="4" w:space="0" w:color="000000"/>
              <w:left w:val="single" w:sz="4" w:space="0" w:color="000000"/>
              <w:bottom w:val="single" w:sz="4" w:space="0" w:color="000000"/>
              <w:right w:val="single" w:sz="4" w:space="0" w:color="000000"/>
            </w:tcBorders>
            <w:vAlign w:val="center"/>
          </w:tcPr>
          <w:p w14:paraId="6EB5291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w:t>
            </w:r>
          </w:p>
        </w:tc>
        <w:tc>
          <w:tcPr>
            <w:tcW w:w="1210" w:type="dxa"/>
            <w:tcBorders>
              <w:top w:val="single" w:sz="4" w:space="0" w:color="000000"/>
              <w:left w:val="single" w:sz="4" w:space="0" w:color="000000"/>
              <w:bottom w:val="single" w:sz="4" w:space="0" w:color="000000"/>
              <w:right w:val="single" w:sz="4" w:space="0" w:color="000000"/>
            </w:tcBorders>
            <w:vAlign w:val="center"/>
          </w:tcPr>
          <w:p w14:paraId="36F75AF6"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9.6</w:t>
            </w:r>
          </w:p>
        </w:tc>
        <w:tc>
          <w:tcPr>
            <w:tcW w:w="1190" w:type="dxa"/>
            <w:tcBorders>
              <w:top w:val="single" w:sz="4" w:space="0" w:color="000000"/>
              <w:left w:val="single" w:sz="4" w:space="0" w:color="000000"/>
              <w:bottom w:val="single" w:sz="4" w:space="0" w:color="000000"/>
              <w:right w:val="single" w:sz="4" w:space="0" w:color="000000"/>
            </w:tcBorders>
            <w:vAlign w:val="center"/>
          </w:tcPr>
          <w:p w14:paraId="4A695AF8" w14:textId="77777777" w:rsidR="00A67F21" w:rsidRPr="00B12FE0" w:rsidRDefault="00000000">
            <w:pPr>
              <w:widowControl/>
              <w:jc w:val="center"/>
              <w:textAlignment w:val="center"/>
              <w:rPr>
                <w:snapToGrid w:val="0"/>
                <w:color w:val="000000" w:themeColor="text1"/>
                <w:kern w:val="0"/>
                <w:sz w:val="21"/>
                <w:szCs w:val="21"/>
              </w:rPr>
            </w:pPr>
            <w:r w:rsidRPr="00B12FE0">
              <w:rPr>
                <w:snapToGrid w:val="0"/>
                <w:color w:val="000000" w:themeColor="text1"/>
                <w:kern w:val="0"/>
                <w:sz w:val="21"/>
                <w:szCs w:val="21"/>
              </w:rPr>
              <w:t>2.23E-01</w:t>
            </w:r>
          </w:p>
        </w:tc>
      </w:tr>
      <w:tr w:rsidR="00A67F21" w:rsidRPr="00B12FE0" w14:paraId="555ACCBB" w14:textId="77777777">
        <w:trPr>
          <w:trHeight w:val="665"/>
          <w:jc w:val="center"/>
        </w:trPr>
        <w:tc>
          <w:tcPr>
            <w:tcW w:w="1010" w:type="dxa"/>
            <w:vMerge/>
            <w:tcBorders>
              <w:left w:val="single" w:sz="4" w:space="0" w:color="000000"/>
              <w:bottom w:val="single" w:sz="4" w:space="0" w:color="000000"/>
              <w:right w:val="single" w:sz="4" w:space="0" w:color="000000"/>
            </w:tcBorders>
            <w:vAlign w:val="center"/>
          </w:tcPr>
          <w:p w14:paraId="448CB143" w14:textId="77777777" w:rsidR="00A67F21" w:rsidRPr="00B12FE0" w:rsidRDefault="00A67F21">
            <w:pPr>
              <w:widowControl/>
              <w:jc w:val="center"/>
              <w:textAlignment w:val="center"/>
              <w:rPr>
                <w:snapToGrid w:val="0"/>
                <w:color w:val="000000" w:themeColor="text1"/>
                <w:kern w:val="0"/>
                <w:sz w:val="21"/>
                <w:szCs w:val="21"/>
                <w:lang w:bidi="ar"/>
              </w:rPr>
            </w:pPr>
          </w:p>
        </w:tc>
        <w:tc>
          <w:tcPr>
            <w:tcW w:w="1475" w:type="dxa"/>
            <w:tcBorders>
              <w:top w:val="single" w:sz="4" w:space="0" w:color="000000"/>
              <w:left w:val="single" w:sz="4" w:space="0" w:color="000000"/>
              <w:bottom w:val="single" w:sz="4" w:space="0" w:color="000000"/>
              <w:right w:val="single" w:sz="4" w:space="0" w:color="000000"/>
            </w:tcBorders>
            <w:vAlign w:val="center"/>
          </w:tcPr>
          <w:p w14:paraId="64792B1C" w14:textId="77777777" w:rsidR="00A67F21" w:rsidRPr="00B12FE0" w:rsidRDefault="00000000">
            <w:pPr>
              <w:widowControl/>
              <w:jc w:val="center"/>
              <w:textAlignment w:val="center"/>
              <w:rPr>
                <w:snapToGrid w:val="0"/>
                <w:color w:val="000000" w:themeColor="text1"/>
                <w:sz w:val="21"/>
                <w:szCs w:val="21"/>
                <w:vertAlign w:val="superscript"/>
              </w:rPr>
            </w:pPr>
            <w:r w:rsidRPr="00B12FE0">
              <w:rPr>
                <w:snapToGrid w:val="0"/>
                <w:color w:val="000000" w:themeColor="text1"/>
                <w:kern w:val="0"/>
                <w:sz w:val="21"/>
                <w:szCs w:val="21"/>
                <w:lang w:bidi="ar"/>
              </w:rPr>
              <w:t>1.44</w:t>
            </w:r>
            <w:r w:rsidRPr="00B12FE0">
              <w:rPr>
                <w:snapToGrid w:val="0"/>
                <w:color w:val="000000" w:themeColor="text1"/>
                <w:sz w:val="21"/>
                <w:szCs w:val="21"/>
              </w:rPr>
              <w:t>×10</w:t>
            </w:r>
            <w:r w:rsidRPr="00B12FE0">
              <w:rPr>
                <w:snapToGrid w:val="0"/>
                <w:color w:val="000000" w:themeColor="text1"/>
                <w:sz w:val="21"/>
                <w:szCs w:val="21"/>
                <w:vertAlign w:val="superscript"/>
              </w:rPr>
              <w:t>9</w:t>
            </w:r>
          </w:p>
          <w:p w14:paraId="1777ADD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(10MV)</w:t>
            </w:r>
          </w:p>
        </w:tc>
        <w:tc>
          <w:tcPr>
            <w:tcW w:w="1027" w:type="dxa"/>
            <w:tcBorders>
              <w:top w:val="single" w:sz="4" w:space="0" w:color="000000"/>
              <w:left w:val="single" w:sz="4" w:space="0" w:color="000000"/>
              <w:bottom w:val="single" w:sz="4" w:space="0" w:color="000000"/>
              <w:right w:val="single" w:sz="4" w:space="0" w:color="000000"/>
            </w:tcBorders>
            <w:vAlign w:val="center"/>
          </w:tcPr>
          <w:p w14:paraId="65559ED8"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300</w:t>
            </w:r>
          </w:p>
        </w:tc>
        <w:tc>
          <w:tcPr>
            <w:tcW w:w="1149" w:type="dxa"/>
            <w:tcBorders>
              <w:top w:val="single" w:sz="4" w:space="0" w:color="000000"/>
              <w:left w:val="single" w:sz="4" w:space="0" w:color="000000"/>
              <w:right w:val="single" w:sz="4" w:space="0" w:color="000000"/>
            </w:tcBorders>
            <w:vAlign w:val="center"/>
          </w:tcPr>
          <w:p w14:paraId="20BBC114"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41</w:t>
            </w:r>
          </w:p>
        </w:tc>
        <w:tc>
          <w:tcPr>
            <w:tcW w:w="1016" w:type="dxa"/>
            <w:tcBorders>
              <w:top w:val="single" w:sz="4" w:space="0" w:color="000000"/>
              <w:left w:val="single" w:sz="4" w:space="0" w:color="000000"/>
              <w:bottom w:val="single" w:sz="4" w:space="0" w:color="000000"/>
              <w:right w:val="single" w:sz="4" w:space="0" w:color="000000"/>
            </w:tcBorders>
            <w:vAlign w:val="center"/>
          </w:tcPr>
          <w:p w14:paraId="5DEAD25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37</w:t>
            </w:r>
          </w:p>
        </w:tc>
        <w:tc>
          <w:tcPr>
            <w:tcW w:w="723" w:type="dxa"/>
            <w:tcBorders>
              <w:top w:val="single" w:sz="4" w:space="0" w:color="000000"/>
              <w:left w:val="single" w:sz="4" w:space="0" w:color="000000"/>
              <w:bottom w:val="single" w:sz="4" w:space="0" w:color="000000"/>
              <w:right w:val="single" w:sz="4" w:space="0" w:color="000000"/>
            </w:tcBorders>
            <w:vAlign w:val="center"/>
          </w:tcPr>
          <w:p w14:paraId="1495192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w:t>
            </w:r>
          </w:p>
        </w:tc>
        <w:tc>
          <w:tcPr>
            <w:tcW w:w="1210" w:type="dxa"/>
            <w:tcBorders>
              <w:top w:val="single" w:sz="4" w:space="0" w:color="000000"/>
              <w:left w:val="single" w:sz="4" w:space="0" w:color="000000"/>
              <w:bottom w:val="single" w:sz="4" w:space="0" w:color="000000"/>
              <w:right w:val="single" w:sz="4" w:space="0" w:color="000000"/>
            </w:tcBorders>
            <w:vAlign w:val="center"/>
          </w:tcPr>
          <w:p w14:paraId="36F3693A"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9.6</w:t>
            </w:r>
          </w:p>
        </w:tc>
        <w:tc>
          <w:tcPr>
            <w:tcW w:w="1190" w:type="dxa"/>
            <w:tcBorders>
              <w:top w:val="nil"/>
              <w:left w:val="nil"/>
              <w:bottom w:val="single" w:sz="8" w:space="0" w:color="000000"/>
              <w:right w:val="single" w:sz="8" w:space="0" w:color="000000"/>
            </w:tcBorders>
            <w:vAlign w:val="center"/>
          </w:tcPr>
          <w:p w14:paraId="3318B169" w14:textId="77777777" w:rsidR="00A67F21" w:rsidRPr="00B12FE0" w:rsidRDefault="00000000">
            <w:pPr>
              <w:widowControl/>
              <w:jc w:val="center"/>
              <w:textAlignment w:val="center"/>
              <w:rPr>
                <w:snapToGrid w:val="0"/>
                <w:color w:val="000000" w:themeColor="text1"/>
                <w:kern w:val="0"/>
                <w:sz w:val="21"/>
                <w:szCs w:val="21"/>
              </w:rPr>
            </w:pPr>
            <w:r w:rsidRPr="00B12FE0">
              <w:rPr>
                <w:snapToGrid w:val="0"/>
                <w:color w:val="000000" w:themeColor="text1"/>
                <w:kern w:val="0"/>
                <w:sz w:val="21"/>
                <w:szCs w:val="21"/>
              </w:rPr>
              <w:t>1.56E-01</w:t>
            </w:r>
          </w:p>
        </w:tc>
      </w:tr>
      <w:tr w:rsidR="00A67F21" w:rsidRPr="00B12FE0" w14:paraId="136D5573" w14:textId="77777777">
        <w:trPr>
          <w:trHeight w:val="340"/>
          <w:jc w:val="center"/>
        </w:trPr>
        <w:tc>
          <w:tcPr>
            <w:tcW w:w="1010" w:type="dxa"/>
            <w:vMerge w:val="restart"/>
            <w:tcBorders>
              <w:top w:val="single" w:sz="4" w:space="0" w:color="000000"/>
              <w:left w:val="single" w:sz="4" w:space="0" w:color="000000"/>
              <w:bottom w:val="single" w:sz="4" w:space="0" w:color="000000"/>
              <w:right w:val="single" w:sz="4" w:space="0" w:color="000000"/>
            </w:tcBorders>
            <w:vAlign w:val="center"/>
          </w:tcPr>
          <w:p w14:paraId="176CF5A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b</w:t>
            </w:r>
            <w:r w:rsidRPr="00B12FE0">
              <w:rPr>
                <w:snapToGrid w:val="0"/>
                <w:color w:val="000000" w:themeColor="text1"/>
                <w:kern w:val="0"/>
                <w:sz w:val="21"/>
                <w:szCs w:val="21"/>
                <w:lang w:bidi="ar"/>
              </w:rPr>
              <w:t>点</w:t>
            </w:r>
          </w:p>
        </w:tc>
        <w:tc>
          <w:tcPr>
            <w:tcW w:w="1475" w:type="dxa"/>
            <w:tcBorders>
              <w:top w:val="single" w:sz="4" w:space="0" w:color="000000"/>
              <w:left w:val="single" w:sz="4" w:space="0" w:color="000000"/>
              <w:bottom w:val="single" w:sz="4" w:space="0" w:color="000000"/>
              <w:right w:val="single" w:sz="4" w:space="0" w:color="000000"/>
            </w:tcBorders>
            <w:vAlign w:val="center"/>
          </w:tcPr>
          <w:p w14:paraId="4A17F735" w14:textId="77777777" w:rsidR="00A67F21" w:rsidRPr="00B12FE0" w:rsidRDefault="00000000">
            <w:pPr>
              <w:widowControl/>
              <w:jc w:val="center"/>
              <w:textAlignment w:val="center"/>
              <w:rPr>
                <w:snapToGrid w:val="0"/>
                <w:color w:val="000000" w:themeColor="text1"/>
                <w:sz w:val="21"/>
                <w:szCs w:val="21"/>
                <w:vertAlign w:val="superscript"/>
              </w:rPr>
            </w:pPr>
            <w:r w:rsidRPr="00B12FE0">
              <w:rPr>
                <w:snapToGrid w:val="0"/>
                <w:color w:val="000000" w:themeColor="text1"/>
                <w:kern w:val="0"/>
                <w:sz w:val="21"/>
                <w:szCs w:val="21"/>
                <w:lang w:bidi="ar"/>
              </w:rPr>
              <w:t>3.60</w:t>
            </w:r>
            <w:r w:rsidRPr="00B12FE0">
              <w:rPr>
                <w:snapToGrid w:val="0"/>
                <w:color w:val="000000" w:themeColor="text1"/>
                <w:sz w:val="21"/>
                <w:szCs w:val="21"/>
              </w:rPr>
              <w:t>×10</w:t>
            </w:r>
            <w:r w:rsidRPr="00B12FE0">
              <w:rPr>
                <w:snapToGrid w:val="0"/>
                <w:color w:val="000000" w:themeColor="text1"/>
                <w:sz w:val="21"/>
                <w:szCs w:val="21"/>
                <w:vertAlign w:val="superscript"/>
              </w:rPr>
              <w:t>8</w:t>
            </w:r>
          </w:p>
          <w:p w14:paraId="14737E4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(15MV)</w:t>
            </w:r>
          </w:p>
        </w:tc>
        <w:tc>
          <w:tcPr>
            <w:tcW w:w="1027" w:type="dxa"/>
            <w:tcBorders>
              <w:top w:val="single" w:sz="4" w:space="0" w:color="000000"/>
              <w:left w:val="single" w:sz="4" w:space="0" w:color="000000"/>
              <w:bottom w:val="single" w:sz="4" w:space="0" w:color="000000"/>
              <w:right w:val="single" w:sz="4" w:space="0" w:color="000000"/>
            </w:tcBorders>
            <w:vAlign w:val="center"/>
          </w:tcPr>
          <w:p w14:paraId="2DC125D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300</w:t>
            </w:r>
          </w:p>
        </w:tc>
        <w:tc>
          <w:tcPr>
            <w:tcW w:w="1149" w:type="dxa"/>
            <w:tcBorders>
              <w:top w:val="single" w:sz="4" w:space="0" w:color="000000"/>
              <w:left w:val="single" w:sz="4" w:space="0" w:color="000000"/>
              <w:bottom w:val="single" w:sz="4" w:space="0" w:color="000000"/>
              <w:right w:val="single" w:sz="4" w:space="0" w:color="000000"/>
            </w:tcBorders>
            <w:vAlign w:val="center"/>
          </w:tcPr>
          <w:p w14:paraId="65D5891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44</w:t>
            </w:r>
          </w:p>
        </w:tc>
        <w:tc>
          <w:tcPr>
            <w:tcW w:w="1016" w:type="dxa"/>
            <w:tcBorders>
              <w:top w:val="single" w:sz="4" w:space="0" w:color="000000"/>
              <w:left w:val="single" w:sz="4" w:space="0" w:color="000000"/>
              <w:bottom w:val="single" w:sz="4" w:space="0" w:color="000000"/>
              <w:right w:val="single" w:sz="4" w:space="0" w:color="000000"/>
            </w:tcBorders>
            <w:vAlign w:val="center"/>
          </w:tcPr>
          <w:p w14:paraId="4BF904F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41</w:t>
            </w:r>
          </w:p>
        </w:tc>
        <w:tc>
          <w:tcPr>
            <w:tcW w:w="723" w:type="dxa"/>
            <w:tcBorders>
              <w:top w:val="single" w:sz="4" w:space="0" w:color="000000"/>
              <w:left w:val="single" w:sz="4" w:space="0" w:color="000000"/>
              <w:bottom w:val="single" w:sz="4" w:space="0" w:color="000000"/>
              <w:right w:val="single" w:sz="4" w:space="0" w:color="000000"/>
            </w:tcBorders>
            <w:vAlign w:val="center"/>
          </w:tcPr>
          <w:p w14:paraId="2B40F1E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1210" w:type="dxa"/>
            <w:tcBorders>
              <w:top w:val="single" w:sz="4" w:space="0" w:color="000000"/>
              <w:left w:val="single" w:sz="4" w:space="0" w:color="000000"/>
              <w:bottom w:val="single" w:sz="4" w:space="0" w:color="000000"/>
              <w:right w:val="single" w:sz="4" w:space="0" w:color="000000"/>
            </w:tcBorders>
            <w:vAlign w:val="center"/>
          </w:tcPr>
          <w:p w14:paraId="758D8AF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8.6</w:t>
            </w:r>
          </w:p>
        </w:tc>
        <w:tc>
          <w:tcPr>
            <w:tcW w:w="1190" w:type="dxa"/>
            <w:tcBorders>
              <w:top w:val="single" w:sz="4" w:space="0" w:color="000000"/>
              <w:left w:val="single" w:sz="4" w:space="0" w:color="000000"/>
              <w:bottom w:val="single" w:sz="4" w:space="0" w:color="000000"/>
              <w:right w:val="single" w:sz="4" w:space="0" w:color="000000"/>
            </w:tcBorders>
            <w:vAlign w:val="center"/>
          </w:tcPr>
          <w:p w14:paraId="5218908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2.</w:t>
            </w:r>
            <w:r w:rsidRPr="00B12FE0">
              <w:rPr>
                <w:rFonts w:hint="eastAsia"/>
                <w:snapToGrid w:val="0"/>
                <w:color w:val="000000" w:themeColor="text1"/>
                <w:sz w:val="21"/>
                <w:szCs w:val="21"/>
              </w:rPr>
              <w:t>78</w:t>
            </w:r>
            <w:r w:rsidRPr="00B12FE0">
              <w:rPr>
                <w:snapToGrid w:val="0"/>
                <w:color w:val="000000" w:themeColor="text1"/>
                <w:sz w:val="21"/>
                <w:szCs w:val="21"/>
              </w:rPr>
              <w:t>E-01</w:t>
            </w:r>
          </w:p>
        </w:tc>
      </w:tr>
      <w:tr w:rsidR="00A67F21" w:rsidRPr="00B12FE0" w14:paraId="14257224" w14:textId="77777777">
        <w:trPr>
          <w:trHeight w:val="340"/>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14:paraId="6473DE6A" w14:textId="77777777" w:rsidR="00A67F21" w:rsidRPr="00B12FE0" w:rsidRDefault="00A67F21">
            <w:pPr>
              <w:jc w:val="center"/>
              <w:rPr>
                <w:snapToGrid w:val="0"/>
                <w:color w:val="000000" w:themeColor="text1"/>
                <w:sz w:val="21"/>
                <w:szCs w:val="21"/>
              </w:rPr>
            </w:pPr>
          </w:p>
        </w:tc>
        <w:tc>
          <w:tcPr>
            <w:tcW w:w="1475" w:type="dxa"/>
            <w:tcBorders>
              <w:top w:val="single" w:sz="4" w:space="0" w:color="000000"/>
              <w:left w:val="single" w:sz="4" w:space="0" w:color="000000"/>
              <w:bottom w:val="single" w:sz="4" w:space="0" w:color="000000"/>
              <w:right w:val="single" w:sz="4" w:space="0" w:color="000000"/>
            </w:tcBorders>
            <w:vAlign w:val="center"/>
          </w:tcPr>
          <w:p w14:paraId="4C2866D8" w14:textId="77777777" w:rsidR="00A67F21" w:rsidRPr="00B12FE0" w:rsidRDefault="00000000">
            <w:pPr>
              <w:widowControl/>
              <w:jc w:val="center"/>
              <w:textAlignment w:val="center"/>
              <w:rPr>
                <w:snapToGrid w:val="0"/>
                <w:color w:val="000000" w:themeColor="text1"/>
                <w:sz w:val="21"/>
                <w:szCs w:val="21"/>
                <w:vertAlign w:val="superscript"/>
              </w:rPr>
            </w:pPr>
            <w:r w:rsidRPr="00B12FE0">
              <w:rPr>
                <w:snapToGrid w:val="0"/>
                <w:color w:val="000000" w:themeColor="text1"/>
                <w:kern w:val="0"/>
                <w:sz w:val="21"/>
                <w:szCs w:val="21"/>
                <w:lang w:bidi="ar"/>
              </w:rPr>
              <w:t>1.44</w:t>
            </w:r>
            <w:r w:rsidRPr="00B12FE0">
              <w:rPr>
                <w:snapToGrid w:val="0"/>
                <w:color w:val="000000" w:themeColor="text1"/>
                <w:sz w:val="21"/>
                <w:szCs w:val="21"/>
              </w:rPr>
              <w:t>×10</w:t>
            </w:r>
            <w:r w:rsidRPr="00B12FE0">
              <w:rPr>
                <w:snapToGrid w:val="0"/>
                <w:color w:val="000000" w:themeColor="text1"/>
                <w:sz w:val="21"/>
                <w:szCs w:val="21"/>
                <w:vertAlign w:val="superscript"/>
              </w:rPr>
              <w:t>9</w:t>
            </w:r>
          </w:p>
          <w:p w14:paraId="44FE3A3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(10MV)</w:t>
            </w:r>
          </w:p>
        </w:tc>
        <w:tc>
          <w:tcPr>
            <w:tcW w:w="1027" w:type="dxa"/>
            <w:tcBorders>
              <w:top w:val="single" w:sz="4" w:space="0" w:color="000000"/>
              <w:left w:val="single" w:sz="4" w:space="0" w:color="000000"/>
              <w:bottom w:val="single" w:sz="4" w:space="0" w:color="000000"/>
              <w:right w:val="single" w:sz="4" w:space="0" w:color="000000"/>
            </w:tcBorders>
            <w:vAlign w:val="center"/>
          </w:tcPr>
          <w:p w14:paraId="680D4B3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300</w:t>
            </w:r>
          </w:p>
        </w:tc>
        <w:tc>
          <w:tcPr>
            <w:tcW w:w="1149" w:type="dxa"/>
            <w:tcBorders>
              <w:top w:val="single" w:sz="4" w:space="0" w:color="000000"/>
              <w:left w:val="single" w:sz="4" w:space="0" w:color="000000"/>
              <w:bottom w:val="single" w:sz="4" w:space="0" w:color="000000"/>
              <w:right w:val="single" w:sz="4" w:space="0" w:color="000000"/>
            </w:tcBorders>
            <w:vAlign w:val="center"/>
          </w:tcPr>
          <w:p w14:paraId="610A7B8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41</w:t>
            </w:r>
          </w:p>
        </w:tc>
        <w:tc>
          <w:tcPr>
            <w:tcW w:w="1016" w:type="dxa"/>
            <w:tcBorders>
              <w:top w:val="single" w:sz="4" w:space="0" w:color="000000"/>
              <w:left w:val="single" w:sz="4" w:space="0" w:color="000000"/>
              <w:bottom w:val="single" w:sz="4" w:space="0" w:color="000000"/>
              <w:right w:val="single" w:sz="4" w:space="0" w:color="000000"/>
            </w:tcBorders>
            <w:vAlign w:val="center"/>
          </w:tcPr>
          <w:p w14:paraId="6A30E27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w:t>
            </w:r>
          </w:p>
        </w:tc>
        <w:tc>
          <w:tcPr>
            <w:tcW w:w="723" w:type="dxa"/>
            <w:tcBorders>
              <w:top w:val="single" w:sz="4" w:space="0" w:color="000000"/>
              <w:left w:val="single" w:sz="4" w:space="0" w:color="000000"/>
              <w:bottom w:val="single" w:sz="4" w:space="0" w:color="000000"/>
              <w:right w:val="single" w:sz="4" w:space="0" w:color="000000"/>
            </w:tcBorders>
            <w:vAlign w:val="center"/>
          </w:tcPr>
          <w:p w14:paraId="706E0BC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1210" w:type="dxa"/>
            <w:tcBorders>
              <w:top w:val="single" w:sz="4" w:space="0" w:color="000000"/>
              <w:left w:val="single" w:sz="4" w:space="0" w:color="000000"/>
              <w:bottom w:val="single" w:sz="4" w:space="0" w:color="000000"/>
              <w:right w:val="single" w:sz="4" w:space="0" w:color="000000"/>
            </w:tcBorders>
            <w:vAlign w:val="center"/>
          </w:tcPr>
          <w:p w14:paraId="48C6FC34"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8.6</w:t>
            </w:r>
          </w:p>
        </w:tc>
        <w:tc>
          <w:tcPr>
            <w:tcW w:w="1190" w:type="dxa"/>
            <w:tcBorders>
              <w:top w:val="nil"/>
              <w:left w:val="nil"/>
              <w:bottom w:val="single" w:sz="8" w:space="0" w:color="000000"/>
              <w:right w:val="single" w:sz="8" w:space="0" w:color="000000"/>
            </w:tcBorders>
            <w:vAlign w:val="center"/>
          </w:tcPr>
          <w:p w14:paraId="14C63D2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1.</w:t>
            </w:r>
            <w:r w:rsidRPr="00B12FE0">
              <w:rPr>
                <w:rFonts w:hint="eastAsia"/>
                <w:snapToGrid w:val="0"/>
                <w:color w:val="000000" w:themeColor="text1"/>
                <w:sz w:val="21"/>
                <w:szCs w:val="21"/>
              </w:rPr>
              <w:t>95</w:t>
            </w:r>
            <w:r w:rsidRPr="00B12FE0">
              <w:rPr>
                <w:snapToGrid w:val="0"/>
                <w:color w:val="000000" w:themeColor="text1"/>
                <w:sz w:val="21"/>
                <w:szCs w:val="21"/>
              </w:rPr>
              <w:t>E-01</w:t>
            </w:r>
          </w:p>
        </w:tc>
      </w:tr>
      <w:tr w:rsidR="00A67F21" w:rsidRPr="00B12FE0" w14:paraId="0483A3E5" w14:textId="77777777">
        <w:trPr>
          <w:trHeight w:val="340"/>
          <w:jc w:val="center"/>
        </w:trPr>
        <w:tc>
          <w:tcPr>
            <w:tcW w:w="1010" w:type="dxa"/>
            <w:vMerge w:val="restart"/>
            <w:tcBorders>
              <w:top w:val="single" w:sz="4" w:space="0" w:color="000000"/>
              <w:left w:val="single" w:sz="4" w:space="0" w:color="000000"/>
              <w:bottom w:val="single" w:sz="4" w:space="0" w:color="000000"/>
              <w:right w:val="single" w:sz="4" w:space="0" w:color="000000"/>
            </w:tcBorders>
            <w:vAlign w:val="center"/>
          </w:tcPr>
          <w:p w14:paraId="7B98888B"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l</w:t>
            </w:r>
            <w:r w:rsidRPr="00B12FE0">
              <w:rPr>
                <w:snapToGrid w:val="0"/>
                <w:color w:val="000000" w:themeColor="text1"/>
                <w:kern w:val="0"/>
                <w:sz w:val="21"/>
                <w:szCs w:val="21"/>
                <w:lang w:bidi="ar"/>
              </w:rPr>
              <w:t>点</w:t>
            </w:r>
          </w:p>
        </w:tc>
        <w:tc>
          <w:tcPr>
            <w:tcW w:w="1475" w:type="dxa"/>
            <w:tcBorders>
              <w:top w:val="single" w:sz="4" w:space="0" w:color="000000"/>
              <w:left w:val="single" w:sz="4" w:space="0" w:color="000000"/>
              <w:bottom w:val="single" w:sz="4" w:space="0" w:color="000000"/>
              <w:right w:val="single" w:sz="4" w:space="0" w:color="000000"/>
            </w:tcBorders>
            <w:vAlign w:val="center"/>
          </w:tcPr>
          <w:p w14:paraId="25BB48EA" w14:textId="77777777" w:rsidR="00A67F21" w:rsidRPr="00B12FE0" w:rsidRDefault="00000000">
            <w:pPr>
              <w:widowControl/>
              <w:jc w:val="center"/>
              <w:textAlignment w:val="center"/>
              <w:rPr>
                <w:snapToGrid w:val="0"/>
                <w:color w:val="000000" w:themeColor="text1"/>
                <w:sz w:val="21"/>
                <w:szCs w:val="21"/>
                <w:vertAlign w:val="superscript"/>
              </w:rPr>
            </w:pPr>
            <w:r w:rsidRPr="00B12FE0">
              <w:rPr>
                <w:snapToGrid w:val="0"/>
                <w:color w:val="000000" w:themeColor="text1"/>
                <w:kern w:val="0"/>
                <w:sz w:val="21"/>
                <w:szCs w:val="21"/>
                <w:lang w:bidi="ar"/>
              </w:rPr>
              <w:t>3.60</w:t>
            </w:r>
            <w:r w:rsidRPr="00B12FE0">
              <w:rPr>
                <w:snapToGrid w:val="0"/>
                <w:color w:val="000000" w:themeColor="text1"/>
                <w:sz w:val="21"/>
                <w:szCs w:val="21"/>
              </w:rPr>
              <w:t>×10</w:t>
            </w:r>
            <w:r w:rsidRPr="00B12FE0">
              <w:rPr>
                <w:snapToGrid w:val="0"/>
                <w:color w:val="000000" w:themeColor="text1"/>
                <w:sz w:val="21"/>
                <w:szCs w:val="21"/>
                <w:vertAlign w:val="superscript"/>
              </w:rPr>
              <w:t>8</w:t>
            </w:r>
          </w:p>
          <w:p w14:paraId="1CE8FBC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(15MV)</w:t>
            </w:r>
          </w:p>
        </w:tc>
        <w:tc>
          <w:tcPr>
            <w:tcW w:w="1027" w:type="dxa"/>
            <w:tcBorders>
              <w:top w:val="single" w:sz="4" w:space="0" w:color="000000"/>
              <w:left w:val="single" w:sz="4" w:space="0" w:color="000000"/>
              <w:bottom w:val="single" w:sz="4" w:space="0" w:color="000000"/>
              <w:right w:val="single" w:sz="4" w:space="0" w:color="000000"/>
            </w:tcBorders>
            <w:vAlign w:val="center"/>
          </w:tcPr>
          <w:p w14:paraId="310F885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300</w:t>
            </w:r>
          </w:p>
        </w:tc>
        <w:tc>
          <w:tcPr>
            <w:tcW w:w="1149" w:type="dxa"/>
            <w:tcBorders>
              <w:top w:val="single" w:sz="4" w:space="0" w:color="000000"/>
              <w:left w:val="single" w:sz="4" w:space="0" w:color="000000"/>
              <w:bottom w:val="single" w:sz="4" w:space="0" w:color="000000"/>
              <w:right w:val="single" w:sz="4" w:space="0" w:color="000000"/>
            </w:tcBorders>
            <w:vAlign w:val="center"/>
          </w:tcPr>
          <w:p w14:paraId="3BEE27E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44</w:t>
            </w:r>
          </w:p>
        </w:tc>
        <w:tc>
          <w:tcPr>
            <w:tcW w:w="1016" w:type="dxa"/>
            <w:tcBorders>
              <w:top w:val="single" w:sz="4" w:space="0" w:color="000000"/>
              <w:left w:val="single" w:sz="4" w:space="0" w:color="000000"/>
              <w:bottom w:val="single" w:sz="4" w:space="0" w:color="000000"/>
              <w:right w:val="single" w:sz="4" w:space="0" w:color="000000"/>
            </w:tcBorders>
            <w:vAlign w:val="center"/>
          </w:tcPr>
          <w:p w14:paraId="3A7EA36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41</w:t>
            </w:r>
          </w:p>
        </w:tc>
        <w:tc>
          <w:tcPr>
            <w:tcW w:w="723" w:type="dxa"/>
            <w:tcBorders>
              <w:top w:val="single" w:sz="4" w:space="0" w:color="000000"/>
              <w:left w:val="single" w:sz="4" w:space="0" w:color="000000"/>
              <w:bottom w:val="single" w:sz="4" w:space="0" w:color="000000"/>
              <w:right w:val="single" w:sz="4" w:space="0" w:color="000000"/>
            </w:tcBorders>
            <w:vAlign w:val="center"/>
          </w:tcPr>
          <w:p w14:paraId="274EE33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1210" w:type="dxa"/>
            <w:tcBorders>
              <w:top w:val="single" w:sz="4" w:space="0" w:color="000000"/>
              <w:left w:val="single" w:sz="4" w:space="0" w:color="000000"/>
              <w:bottom w:val="single" w:sz="4" w:space="0" w:color="000000"/>
              <w:right w:val="single" w:sz="4" w:space="0" w:color="000000"/>
            </w:tcBorders>
            <w:vAlign w:val="center"/>
          </w:tcPr>
          <w:p w14:paraId="186F44B8"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7</w:t>
            </w:r>
            <w:r w:rsidRPr="00B12FE0">
              <w:rPr>
                <w:snapToGrid w:val="0"/>
                <w:color w:val="000000" w:themeColor="text1"/>
                <w:kern w:val="0"/>
                <w:sz w:val="21"/>
                <w:szCs w:val="21"/>
                <w:lang w:bidi="ar"/>
              </w:rPr>
              <w:t>.9</w:t>
            </w:r>
          </w:p>
        </w:tc>
        <w:tc>
          <w:tcPr>
            <w:tcW w:w="1190" w:type="dxa"/>
            <w:tcBorders>
              <w:top w:val="single" w:sz="4" w:space="0" w:color="000000"/>
              <w:left w:val="single" w:sz="4" w:space="0" w:color="000000"/>
              <w:bottom w:val="single" w:sz="4" w:space="0" w:color="000000"/>
              <w:right w:val="single" w:sz="4" w:space="0" w:color="000000"/>
            </w:tcBorders>
            <w:vAlign w:val="center"/>
          </w:tcPr>
          <w:p w14:paraId="7FABFFD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3.29E-01</w:t>
            </w:r>
          </w:p>
        </w:tc>
      </w:tr>
      <w:tr w:rsidR="00A67F21" w:rsidRPr="00B12FE0" w14:paraId="0854F8AF" w14:textId="77777777">
        <w:trPr>
          <w:trHeight w:val="340"/>
          <w:jc w:val="center"/>
        </w:trPr>
        <w:tc>
          <w:tcPr>
            <w:tcW w:w="1010" w:type="dxa"/>
            <w:vMerge/>
            <w:tcBorders>
              <w:top w:val="single" w:sz="4" w:space="0" w:color="000000"/>
              <w:left w:val="single" w:sz="4" w:space="0" w:color="000000"/>
              <w:bottom w:val="single" w:sz="4" w:space="0" w:color="000000"/>
              <w:right w:val="single" w:sz="4" w:space="0" w:color="000000"/>
            </w:tcBorders>
            <w:vAlign w:val="center"/>
          </w:tcPr>
          <w:p w14:paraId="49333D2A" w14:textId="77777777" w:rsidR="00A67F21" w:rsidRPr="00B12FE0" w:rsidRDefault="00A67F21">
            <w:pPr>
              <w:jc w:val="center"/>
              <w:rPr>
                <w:snapToGrid w:val="0"/>
                <w:color w:val="000000" w:themeColor="text1"/>
                <w:sz w:val="21"/>
                <w:szCs w:val="21"/>
              </w:rPr>
            </w:pPr>
          </w:p>
        </w:tc>
        <w:tc>
          <w:tcPr>
            <w:tcW w:w="1475" w:type="dxa"/>
            <w:tcBorders>
              <w:top w:val="single" w:sz="4" w:space="0" w:color="000000"/>
              <w:left w:val="single" w:sz="4" w:space="0" w:color="000000"/>
              <w:bottom w:val="single" w:sz="4" w:space="0" w:color="000000"/>
              <w:right w:val="single" w:sz="4" w:space="0" w:color="000000"/>
            </w:tcBorders>
            <w:vAlign w:val="center"/>
          </w:tcPr>
          <w:p w14:paraId="4DBE5E35" w14:textId="77777777" w:rsidR="00A67F21" w:rsidRPr="00B12FE0" w:rsidRDefault="00000000">
            <w:pPr>
              <w:widowControl/>
              <w:jc w:val="center"/>
              <w:textAlignment w:val="center"/>
              <w:rPr>
                <w:snapToGrid w:val="0"/>
                <w:color w:val="000000" w:themeColor="text1"/>
                <w:sz w:val="21"/>
                <w:szCs w:val="21"/>
                <w:vertAlign w:val="superscript"/>
              </w:rPr>
            </w:pPr>
            <w:r w:rsidRPr="00B12FE0">
              <w:rPr>
                <w:snapToGrid w:val="0"/>
                <w:color w:val="000000" w:themeColor="text1"/>
                <w:kern w:val="0"/>
                <w:sz w:val="21"/>
                <w:szCs w:val="21"/>
                <w:lang w:bidi="ar"/>
              </w:rPr>
              <w:t>1.44</w:t>
            </w:r>
            <w:r w:rsidRPr="00B12FE0">
              <w:rPr>
                <w:snapToGrid w:val="0"/>
                <w:color w:val="000000" w:themeColor="text1"/>
                <w:sz w:val="21"/>
                <w:szCs w:val="21"/>
              </w:rPr>
              <w:t>×10</w:t>
            </w:r>
            <w:r w:rsidRPr="00B12FE0">
              <w:rPr>
                <w:snapToGrid w:val="0"/>
                <w:color w:val="000000" w:themeColor="text1"/>
                <w:sz w:val="21"/>
                <w:szCs w:val="21"/>
                <w:vertAlign w:val="superscript"/>
              </w:rPr>
              <w:t>9</w:t>
            </w:r>
          </w:p>
          <w:p w14:paraId="1B30EAF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(10MV)</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3EB241F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300</w:t>
            </w:r>
          </w:p>
        </w:tc>
        <w:tc>
          <w:tcPr>
            <w:tcW w:w="1149" w:type="dxa"/>
            <w:tcBorders>
              <w:top w:val="single" w:sz="4" w:space="0" w:color="000000"/>
              <w:left w:val="single" w:sz="4" w:space="0" w:color="000000"/>
              <w:bottom w:val="single" w:sz="4" w:space="0" w:color="000000"/>
              <w:right w:val="single" w:sz="4" w:space="0" w:color="000000"/>
            </w:tcBorders>
            <w:vAlign w:val="center"/>
          </w:tcPr>
          <w:p w14:paraId="579AA5A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41</w:t>
            </w:r>
          </w:p>
        </w:tc>
        <w:tc>
          <w:tcPr>
            <w:tcW w:w="1016" w:type="dxa"/>
            <w:tcBorders>
              <w:top w:val="single" w:sz="4" w:space="0" w:color="000000"/>
              <w:left w:val="single" w:sz="4" w:space="0" w:color="000000"/>
              <w:bottom w:val="single" w:sz="4" w:space="0" w:color="000000"/>
              <w:right w:val="single" w:sz="4" w:space="0" w:color="000000"/>
            </w:tcBorders>
            <w:vAlign w:val="center"/>
          </w:tcPr>
          <w:p w14:paraId="62D3007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37</w:t>
            </w:r>
          </w:p>
        </w:tc>
        <w:tc>
          <w:tcPr>
            <w:tcW w:w="723" w:type="dxa"/>
            <w:tcBorders>
              <w:top w:val="single" w:sz="4" w:space="0" w:color="000000"/>
              <w:left w:val="single" w:sz="4" w:space="0" w:color="000000"/>
              <w:bottom w:val="single" w:sz="4" w:space="0" w:color="000000"/>
              <w:right w:val="single" w:sz="4" w:space="0" w:color="000000"/>
            </w:tcBorders>
            <w:noWrap/>
            <w:vAlign w:val="center"/>
          </w:tcPr>
          <w:p w14:paraId="53C4CF0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404759E5"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7</w:t>
            </w:r>
            <w:r w:rsidRPr="00B12FE0">
              <w:rPr>
                <w:snapToGrid w:val="0"/>
                <w:color w:val="000000" w:themeColor="text1"/>
                <w:kern w:val="0"/>
                <w:sz w:val="21"/>
                <w:szCs w:val="21"/>
                <w:lang w:bidi="ar"/>
              </w:rPr>
              <w:t>.9</w:t>
            </w:r>
          </w:p>
        </w:tc>
        <w:tc>
          <w:tcPr>
            <w:tcW w:w="1190" w:type="dxa"/>
            <w:tcBorders>
              <w:top w:val="nil"/>
              <w:left w:val="nil"/>
              <w:bottom w:val="single" w:sz="8" w:space="0" w:color="000000"/>
              <w:right w:val="single" w:sz="8" w:space="0" w:color="000000"/>
            </w:tcBorders>
            <w:vAlign w:val="center"/>
          </w:tcPr>
          <w:p w14:paraId="0C5086E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2.31E-01</w:t>
            </w:r>
          </w:p>
        </w:tc>
      </w:tr>
      <w:tr w:rsidR="00A67F21" w:rsidRPr="00B12FE0" w14:paraId="0DCACE6A" w14:textId="77777777">
        <w:trPr>
          <w:trHeight w:val="340"/>
          <w:jc w:val="center"/>
        </w:trPr>
        <w:tc>
          <w:tcPr>
            <w:tcW w:w="8800" w:type="dxa"/>
            <w:gridSpan w:val="8"/>
            <w:tcBorders>
              <w:top w:val="single" w:sz="4" w:space="0" w:color="000000"/>
              <w:left w:val="single" w:sz="4" w:space="0" w:color="000000"/>
              <w:bottom w:val="single" w:sz="4" w:space="0" w:color="000000"/>
              <w:right w:val="single" w:sz="4" w:space="0" w:color="000000"/>
            </w:tcBorders>
            <w:vAlign w:val="center"/>
          </w:tcPr>
          <w:p w14:paraId="3ED50919" w14:textId="77777777" w:rsidR="00A67F21" w:rsidRPr="00B12FE0" w:rsidRDefault="00000000">
            <w:pPr>
              <w:widowControl/>
              <w:textAlignment w:val="center"/>
              <w:rPr>
                <w:snapToGrid w:val="0"/>
                <w:color w:val="000000" w:themeColor="text1"/>
                <w:kern w:val="0"/>
                <w:sz w:val="21"/>
                <w:szCs w:val="21"/>
                <w:lang w:bidi="ar"/>
              </w:rPr>
            </w:pPr>
            <w:r w:rsidRPr="00B12FE0">
              <w:rPr>
                <w:snapToGrid w:val="0"/>
                <w:color w:val="000000" w:themeColor="text1"/>
                <w:kern w:val="0"/>
                <w:sz w:val="21"/>
                <w:szCs w:val="18"/>
              </w:rPr>
              <w:t>注：本表中</w:t>
            </w:r>
            <w:r w:rsidRPr="00B12FE0">
              <w:rPr>
                <w:snapToGrid w:val="0"/>
                <w:color w:val="000000" w:themeColor="text1"/>
                <w:kern w:val="0"/>
                <w:sz w:val="21"/>
                <w:szCs w:val="18"/>
              </w:rPr>
              <w:t>Xe</w:t>
            </w:r>
            <w:r w:rsidRPr="00B12FE0">
              <w:rPr>
                <w:snapToGrid w:val="0"/>
                <w:color w:val="000000" w:themeColor="text1"/>
                <w:kern w:val="0"/>
                <w:sz w:val="21"/>
                <w:szCs w:val="18"/>
              </w:rPr>
              <w:t>有效屏蔽厚度根据</w:t>
            </w:r>
            <w:r w:rsidRPr="00B12FE0">
              <w:rPr>
                <w:snapToGrid w:val="0"/>
                <w:color w:val="000000" w:themeColor="text1"/>
                <w:kern w:val="0"/>
                <w:sz w:val="21"/>
                <w:szCs w:val="18"/>
              </w:rPr>
              <w:t>CAD</w:t>
            </w:r>
            <w:r w:rsidRPr="00B12FE0">
              <w:rPr>
                <w:snapToGrid w:val="0"/>
                <w:color w:val="000000" w:themeColor="text1"/>
                <w:kern w:val="0"/>
                <w:sz w:val="21"/>
                <w:szCs w:val="18"/>
              </w:rPr>
              <w:t>图纸测量得知。下同</w:t>
            </w:r>
          </w:p>
        </w:tc>
      </w:tr>
    </w:tbl>
    <w:p w14:paraId="385D732D" w14:textId="77777777" w:rsidR="00A67F21" w:rsidRPr="00B12FE0" w:rsidRDefault="00000000">
      <w:pPr>
        <w:spacing w:line="360" w:lineRule="auto"/>
        <w:ind w:firstLineChars="200" w:firstLine="482"/>
        <w:rPr>
          <w:b/>
          <w:bCs/>
          <w:color w:val="000000" w:themeColor="text1"/>
        </w:rPr>
      </w:pPr>
      <w:r w:rsidRPr="00B12FE0">
        <w:rPr>
          <w:rFonts w:ascii="Cambria Math" w:hAnsi="Cambria Math" w:cs="Cambria Math"/>
          <w:b/>
          <w:bCs/>
          <w:color w:val="000000" w:themeColor="text1"/>
        </w:rPr>
        <w:t>③</w:t>
      </w:r>
      <w:r w:rsidRPr="00B12FE0">
        <w:rPr>
          <w:b/>
          <w:bCs/>
          <w:color w:val="000000" w:themeColor="text1"/>
        </w:rPr>
        <w:t>侧屏蔽墙</w:t>
      </w:r>
      <w:proofErr w:type="gramStart"/>
      <w:r w:rsidRPr="00B12FE0">
        <w:rPr>
          <w:b/>
          <w:bCs/>
          <w:color w:val="000000" w:themeColor="text1"/>
        </w:rPr>
        <w:t>及迷道外墙</w:t>
      </w:r>
      <w:proofErr w:type="gramEnd"/>
      <w:r w:rsidRPr="00B12FE0">
        <w:rPr>
          <w:b/>
          <w:bCs/>
          <w:color w:val="000000" w:themeColor="text1"/>
        </w:rPr>
        <w:t>关注点的剂量率估算（关注点：</w:t>
      </w:r>
      <w:r w:rsidRPr="00B12FE0">
        <w:rPr>
          <w:b/>
          <w:bCs/>
          <w:color w:val="000000" w:themeColor="text1"/>
        </w:rPr>
        <w:t>e</w:t>
      </w:r>
      <w:r w:rsidRPr="00B12FE0">
        <w:rPr>
          <w:rFonts w:hint="eastAsia"/>
          <w:b/>
          <w:bCs/>
          <w:color w:val="000000" w:themeColor="text1"/>
          <w:vertAlign w:val="subscript"/>
        </w:rPr>
        <w:t>1</w:t>
      </w:r>
      <w:r w:rsidRPr="00B12FE0">
        <w:rPr>
          <w:rFonts w:hint="eastAsia"/>
          <w:b/>
          <w:bCs/>
          <w:color w:val="000000" w:themeColor="text1"/>
        </w:rPr>
        <w:t>/e</w:t>
      </w:r>
      <w:r w:rsidRPr="00B12FE0">
        <w:rPr>
          <w:rFonts w:hint="eastAsia"/>
          <w:b/>
          <w:bCs/>
          <w:color w:val="000000" w:themeColor="text1"/>
          <w:vertAlign w:val="subscript"/>
        </w:rPr>
        <w:t>2</w:t>
      </w:r>
      <w:r w:rsidRPr="00B12FE0">
        <w:rPr>
          <w:b/>
          <w:bCs/>
          <w:color w:val="000000" w:themeColor="text1"/>
        </w:rPr>
        <w:t>点、</w:t>
      </w:r>
      <w:r w:rsidRPr="00B12FE0">
        <w:rPr>
          <w:b/>
          <w:bCs/>
          <w:color w:val="000000" w:themeColor="text1"/>
        </w:rPr>
        <w:t>f</w:t>
      </w:r>
      <w:r w:rsidRPr="00B12FE0">
        <w:rPr>
          <w:rFonts w:hint="eastAsia"/>
          <w:b/>
          <w:bCs/>
          <w:color w:val="000000" w:themeColor="text1"/>
          <w:vertAlign w:val="subscript"/>
        </w:rPr>
        <w:t>1</w:t>
      </w:r>
      <w:r w:rsidRPr="00B12FE0">
        <w:rPr>
          <w:rFonts w:hint="eastAsia"/>
          <w:b/>
          <w:bCs/>
          <w:color w:val="000000" w:themeColor="text1"/>
        </w:rPr>
        <w:t>/</w:t>
      </w:r>
      <w:r w:rsidRPr="00B12FE0">
        <w:rPr>
          <w:b/>
          <w:bCs/>
          <w:color w:val="000000" w:themeColor="text1"/>
        </w:rPr>
        <w:t>f</w:t>
      </w:r>
      <w:r w:rsidRPr="00B12FE0">
        <w:rPr>
          <w:rFonts w:hint="eastAsia"/>
          <w:b/>
          <w:bCs/>
          <w:color w:val="000000" w:themeColor="text1"/>
          <w:vertAlign w:val="subscript"/>
        </w:rPr>
        <w:t>2</w:t>
      </w:r>
      <w:r w:rsidRPr="00B12FE0">
        <w:rPr>
          <w:b/>
          <w:bCs/>
          <w:color w:val="000000" w:themeColor="text1"/>
        </w:rPr>
        <w:t>点、</w:t>
      </w:r>
      <w:r w:rsidRPr="00B12FE0">
        <w:rPr>
          <w:b/>
          <w:bCs/>
          <w:color w:val="000000" w:themeColor="text1"/>
        </w:rPr>
        <w:t>k</w:t>
      </w:r>
      <w:r w:rsidRPr="00B12FE0">
        <w:rPr>
          <w:rFonts w:hint="eastAsia"/>
          <w:b/>
          <w:bCs/>
          <w:color w:val="000000" w:themeColor="text1"/>
          <w:vertAlign w:val="subscript"/>
        </w:rPr>
        <w:t>1</w:t>
      </w:r>
      <w:r w:rsidRPr="00B12FE0">
        <w:rPr>
          <w:b/>
          <w:bCs/>
          <w:color w:val="000000" w:themeColor="text1"/>
        </w:rPr>
        <w:t>点</w:t>
      </w:r>
      <w:r w:rsidRPr="00B12FE0">
        <w:rPr>
          <w:rFonts w:hint="eastAsia"/>
          <w:b/>
          <w:bCs/>
          <w:color w:val="000000" w:themeColor="text1"/>
        </w:rPr>
        <w:t>、</w:t>
      </w:r>
      <w:r w:rsidRPr="00B12FE0">
        <w:rPr>
          <w:b/>
          <w:bCs/>
          <w:color w:val="000000" w:themeColor="text1"/>
        </w:rPr>
        <w:t>k</w:t>
      </w:r>
      <w:r w:rsidRPr="00B12FE0">
        <w:rPr>
          <w:rFonts w:hint="eastAsia"/>
          <w:b/>
          <w:bCs/>
          <w:color w:val="000000" w:themeColor="text1"/>
          <w:vertAlign w:val="subscript"/>
        </w:rPr>
        <w:t>2</w:t>
      </w:r>
      <w:r w:rsidRPr="00B12FE0">
        <w:rPr>
          <w:b/>
          <w:bCs/>
          <w:color w:val="000000" w:themeColor="text1"/>
        </w:rPr>
        <w:t>点）</w:t>
      </w:r>
    </w:p>
    <w:p w14:paraId="741867CD" w14:textId="77777777" w:rsidR="00A67F21" w:rsidRPr="00B12FE0" w:rsidRDefault="00000000">
      <w:pPr>
        <w:spacing w:line="360" w:lineRule="auto"/>
        <w:ind w:firstLineChars="200" w:firstLine="480"/>
        <w:rPr>
          <w:color w:val="000000" w:themeColor="text1"/>
        </w:rPr>
      </w:pPr>
      <w:r w:rsidRPr="00B12FE0">
        <w:rPr>
          <w:color w:val="000000" w:themeColor="text1"/>
        </w:rPr>
        <w:t>e</w:t>
      </w:r>
      <w:r w:rsidRPr="00B12FE0">
        <w:rPr>
          <w:rFonts w:hint="eastAsia"/>
          <w:color w:val="000000" w:themeColor="text1"/>
          <w:vertAlign w:val="subscript"/>
        </w:rPr>
        <w:t>1</w:t>
      </w:r>
      <w:r w:rsidRPr="00B12FE0">
        <w:rPr>
          <w:rFonts w:hint="eastAsia"/>
          <w:color w:val="000000" w:themeColor="text1"/>
        </w:rPr>
        <w:t>/e</w:t>
      </w:r>
      <w:r w:rsidRPr="00B12FE0">
        <w:rPr>
          <w:rFonts w:hint="eastAsia"/>
          <w:color w:val="000000" w:themeColor="text1"/>
          <w:vertAlign w:val="subscript"/>
        </w:rPr>
        <w:t>2</w:t>
      </w:r>
      <w:r w:rsidRPr="00B12FE0">
        <w:rPr>
          <w:color w:val="000000" w:themeColor="text1"/>
        </w:rPr>
        <w:t>点、</w:t>
      </w:r>
      <w:r w:rsidRPr="00B12FE0">
        <w:rPr>
          <w:color w:val="000000" w:themeColor="text1"/>
        </w:rPr>
        <w:t>f</w:t>
      </w:r>
      <w:r w:rsidRPr="00B12FE0">
        <w:rPr>
          <w:rFonts w:hint="eastAsia"/>
          <w:color w:val="000000" w:themeColor="text1"/>
          <w:vertAlign w:val="subscript"/>
        </w:rPr>
        <w:t>1</w:t>
      </w:r>
      <w:r w:rsidRPr="00B12FE0">
        <w:rPr>
          <w:rFonts w:hint="eastAsia"/>
          <w:color w:val="000000" w:themeColor="text1"/>
        </w:rPr>
        <w:t>/</w:t>
      </w:r>
      <w:r w:rsidRPr="00B12FE0">
        <w:rPr>
          <w:color w:val="000000" w:themeColor="text1"/>
        </w:rPr>
        <w:t>f</w:t>
      </w:r>
      <w:r w:rsidRPr="00B12FE0">
        <w:rPr>
          <w:rFonts w:hint="eastAsia"/>
          <w:color w:val="000000" w:themeColor="text1"/>
          <w:vertAlign w:val="subscript"/>
        </w:rPr>
        <w:t>2</w:t>
      </w:r>
      <w:r w:rsidRPr="00B12FE0">
        <w:rPr>
          <w:color w:val="000000" w:themeColor="text1"/>
        </w:rPr>
        <w:t>点、</w:t>
      </w:r>
      <w:r w:rsidRPr="00B12FE0">
        <w:rPr>
          <w:color w:val="000000" w:themeColor="text1"/>
        </w:rPr>
        <w:t>k</w:t>
      </w:r>
      <w:r w:rsidRPr="00B12FE0">
        <w:rPr>
          <w:rFonts w:hint="eastAsia"/>
          <w:color w:val="000000" w:themeColor="text1"/>
          <w:vertAlign w:val="subscript"/>
        </w:rPr>
        <w:t>1</w:t>
      </w:r>
      <w:r w:rsidRPr="00B12FE0">
        <w:rPr>
          <w:color w:val="000000" w:themeColor="text1"/>
        </w:rPr>
        <w:t>点</w:t>
      </w:r>
      <w:r w:rsidRPr="00B12FE0">
        <w:rPr>
          <w:rFonts w:hint="eastAsia"/>
          <w:color w:val="000000" w:themeColor="text1"/>
        </w:rPr>
        <w:t>、</w:t>
      </w:r>
      <w:r w:rsidRPr="00B12FE0">
        <w:rPr>
          <w:color w:val="000000" w:themeColor="text1"/>
        </w:rPr>
        <w:t>k</w:t>
      </w:r>
      <w:r w:rsidRPr="00B12FE0">
        <w:rPr>
          <w:rFonts w:hint="eastAsia"/>
          <w:color w:val="000000" w:themeColor="text1"/>
          <w:vertAlign w:val="subscript"/>
        </w:rPr>
        <w:t>2</w:t>
      </w:r>
      <w:r w:rsidRPr="00B12FE0">
        <w:rPr>
          <w:color w:val="000000" w:themeColor="text1"/>
        </w:rPr>
        <w:t>点</w:t>
      </w:r>
      <w:r w:rsidRPr="00B12FE0">
        <w:rPr>
          <w:color w:val="000000" w:themeColor="text1"/>
          <w:kern w:val="0"/>
        </w:rPr>
        <w:t>主要考虑加速器泄漏辐射，估算方法同主屏蔽，偏保守考虑入射角为</w:t>
      </w:r>
      <w:r w:rsidRPr="00B12FE0">
        <w:rPr>
          <w:color w:val="000000" w:themeColor="text1"/>
          <w:kern w:val="0"/>
        </w:rPr>
        <w:t>0º</w:t>
      </w:r>
      <w:r w:rsidRPr="00B12FE0">
        <w:rPr>
          <w:color w:val="000000" w:themeColor="text1"/>
          <w:kern w:val="0"/>
        </w:rPr>
        <w:t>，</w:t>
      </w:r>
      <w:r w:rsidRPr="00B12FE0">
        <w:rPr>
          <w:color w:val="000000" w:themeColor="text1"/>
        </w:rPr>
        <w:t>其中泄漏辐射比率</w:t>
      </w:r>
      <w:r w:rsidRPr="00B12FE0">
        <w:rPr>
          <w:i/>
          <w:iCs/>
          <w:color w:val="000000" w:themeColor="text1"/>
        </w:rPr>
        <w:t>f</w:t>
      </w:r>
      <w:r w:rsidRPr="00B12FE0">
        <w:rPr>
          <w:color w:val="000000" w:themeColor="text1"/>
        </w:rPr>
        <w:t>为</w:t>
      </w:r>
      <w:r w:rsidRPr="00B12FE0">
        <w:rPr>
          <w:color w:val="000000" w:themeColor="text1"/>
        </w:rPr>
        <w:t>0.001</w:t>
      </w:r>
      <w:r w:rsidRPr="00B12FE0">
        <w:rPr>
          <w:color w:val="000000" w:themeColor="text1"/>
        </w:rPr>
        <w:t>，利用公式（</w:t>
      </w:r>
      <w:r w:rsidRPr="00B12FE0">
        <w:rPr>
          <w:color w:val="000000" w:themeColor="text1"/>
        </w:rPr>
        <w:t>11.2.2.1-2~4</w:t>
      </w:r>
      <w:r w:rsidRPr="00B12FE0">
        <w:rPr>
          <w:color w:val="000000" w:themeColor="text1"/>
        </w:rPr>
        <w:t>）对</w:t>
      </w:r>
      <w:r w:rsidRPr="00B12FE0">
        <w:rPr>
          <w:bCs/>
          <w:color w:val="000000" w:themeColor="text1"/>
        </w:rPr>
        <w:t>侧屏蔽墙</w:t>
      </w:r>
      <w:proofErr w:type="gramStart"/>
      <w:r w:rsidRPr="00B12FE0">
        <w:rPr>
          <w:bCs/>
          <w:color w:val="000000" w:themeColor="text1"/>
        </w:rPr>
        <w:t>及</w:t>
      </w:r>
      <w:r w:rsidRPr="00B12FE0">
        <w:rPr>
          <w:color w:val="000000" w:themeColor="text1"/>
        </w:rPr>
        <w:t>迷道外墙</w:t>
      </w:r>
      <w:proofErr w:type="gramEnd"/>
      <w:r w:rsidRPr="00B12FE0">
        <w:rPr>
          <w:color w:val="000000" w:themeColor="text1"/>
        </w:rPr>
        <w:t>关注点的泄漏辐射进行屏蔽计算，计算参数及结果见表</w:t>
      </w:r>
      <w:r w:rsidRPr="00B12FE0">
        <w:rPr>
          <w:color w:val="000000" w:themeColor="text1"/>
        </w:rPr>
        <w:t>11.2.2.1-7</w:t>
      </w:r>
      <w:r w:rsidRPr="00B12FE0">
        <w:rPr>
          <w:color w:val="000000" w:themeColor="text1"/>
        </w:rPr>
        <w:t>。</w:t>
      </w:r>
    </w:p>
    <w:p w14:paraId="6753173C" w14:textId="77777777" w:rsidR="00A67F21" w:rsidRPr="00B12FE0" w:rsidRDefault="00000000">
      <w:pPr>
        <w:autoSpaceDE w:val="0"/>
        <w:spacing w:line="360" w:lineRule="auto"/>
        <w:jc w:val="center"/>
        <w:rPr>
          <w:b/>
          <w:bCs/>
          <w:color w:val="000000" w:themeColor="text1"/>
          <w:szCs w:val="21"/>
        </w:rPr>
      </w:pPr>
      <w:r w:rsidRPr="00B12FE0">
        <w:rPr>
          <w:b/>
          <w:bCs/>
          <w:color w:val="000000" w:themeColor="text1"/>
          <w:szCs w:val="21"/>
        </w:rPr>
        <w:t>表</w:t>
      </w:r>
      <w:r w:rsidRPr="00B12FE0">
        <w:rPr>
          <w:b/>
          <w:bCs/>
          <w:color w:val="000000" w:themeColor="text1"/>
          <w:szCs w:val="21"/>
        </w:rPr>
        <w:t xml:space="preserve">11.2.2.1-7  </w:t>
      </w:r>
      <w:r w:rsidRPr="00B12FE0">
        <w:rPr>
          <w:b/>
          <w:bCs/>
          <w:color w:val="000000" w:themeColor="text1"/>
          <w:szCs w:val="21"/>
        </w:rPr>
        <w:t>侧屏蔽</w:t>
      </w:r>
      <w:proofErr w:type="gramStart"/>
      <w:r w:rsidRPr="00B12FE0">
        <w:rPr>
          <w:b/>
          <w:bCs/>
          <w:color w:val="000000" w:themeColor="text1"/>
          <w:szCs w:val="21"/>
        </w:rPr>
        <w:t>墙关注</w:t>
      </w:r>
      <w:proofErr w:type="gramEnd"/>
      <w:r w:rsidRPr="00B12FE0">
        <w:rPr>
          <w:b/>
          <w:bCs/>
          <w:color w:val="000000" w:themeColor="text1"/>
          <w:szCs w:val="21"/>
        </w:rPr>
        <w:t>点辐射剂量率计算参数及结果</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102"/>
        <w:gridCol w:w="1190"/>
        <w:gridCol w:w="1052"/>
        <w:gridCol w:w="963"/>
        <w:gridCol w:w="1137"/>
        <w:gridCol w:w="1088"/>
        <w:gridCol w:w="1537"/>
      </w:tblGrid>
      <w:tr w:rsidR="00A67F21" w:rsidRPr="00B12FE0" w14:paraId="25EAC708" w14:textId="77777777">
        <w:trPr>
          <w:trHeight w:val="853"/>
          <w:jc w:val="center"/>
        </w:trPr>
        <w:tc>
          <w:tcPr>
            <w:tcW w:w="731" w:type="dxa"/>
            <w:vAlign w:val="center"/>
          </w:tcPr>
          <w:p w14:paraId="79AF4B0F"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关注点</w:t>
            </w:r>
          </w:p>
        </w:tc>
        <w:tc>
          <w:tcPr>
            <w:tcW w:w="1102" w:type="dxa"/>
            <w:vAlign w:val="center"/>
          </w:tcPr>
          <w:p w14:paraId="54DF7EBA" w14:textId="77777777" w:rsidR="00A67F21" w:rsidRPr="00B12FE0" w:rsidRDefault="00000000">
            <w:pPr>
              <w:widowControl/>
              <w:jc w:val="center"/>
              <w:textAlignment w:val="center"/>
              <w:rPr>
                <w:color w:val="000000" w:themeColor="text1"/>
                <w:szCs w:val="21"/>
              </w:rPr>
            </w:pPr>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o</m:t>
                  </m:r>
                </m:sub>
              </m:sSub>
            </m:oMath>
            <w:r w:rsidRPr="00B12FE0">
              <w:rPr>
                <w:snapToGrid w:val="0"/>
                <w:color w:val="000000" w:themeColor="text1"/>
                <w:kern w:val="0"/>
                <w:sz w:val="21"/>
                <w:szCs w:val="21"/>
                <w:lang w:bidi="ar"/>
              </w:rPr>
              <w:t>(μSv•m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/h)</w:t>
            </w:r>
          </w:p>
        </w:tc>
        <w:tc>
          <w:tcPr>
            <w:tcW w:w="1190" w:type="dxa"/>
            <w:vAlign w:val="center"/>
          </w:tcPr>
          <w:p w14:paraId="1D0D7E37"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052" w:type="dxa"/>
            <w:vAlign w:val="center"/>
          </w:tcPr>
          <w:p w14:paraId="29AFB2E3"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963" w:type="dxa"/>
            <w:vAlign w:val="center"/>
          </w:tcPr>
          <w:p w14:paraId="546E7D10"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137" w:type="dxa"/>
            <w:vAlign w:val="center"/>
          </w:tcPr>
          <w:p w14:paraId="2DC0BD68"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f</w:t>
            </w:r>
          </w:p>
        </w:tc>
        <w:tc>
          <w:tcPr>
            <w:tcW w:w="1088" w:type="dxa"/>
            <w:vAlign w:val="center"/>
          </w:tcPr>
          <w:p w14:paraId="562F1C84"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537" w:type="dxa"/>
            <w:vAlign w:val="center"/>
          </w:tcPr>
          <w:p w14:paraId="6865D6B5" w14:textId="77777777" w:rsidR="00A67F21" w:rsidRPr="00B12FE0" w:rsidRDefault="00000000">
            <w:pPr>
              <w:widowControl/>
              <w:jc w:val="center"/>
              <w:textAlignment w:val="center"/>
              <w:rPr>
                <w:color w:val="000000" w:themeColor="text1"/>
                <w:szCs w:val="21"/>
              </w:rPr>
            </w:pPr>
            <m:oMath>
              <m:acc>
                <m:accPr>
                  <m:chr m:val="̇"/>
                  <m:ctrlPr>
                    <w:rPr>
                      <w:rFonts w:ascii="Cambria Math" w:hAnsi="Cambria Math"/>
                      <w:i/>
                      <w:color w:val="000000" w:themeColor="text1"/>
                      <w:kern w:val="0"/>
                      <w:sz w:val="21"/>
                      <w:szCs w:val="21"/>
                    </w:rPr>
                  </m:ctrlPr>
                </m:accPr>
                <m:e>
                  <m:r>
                    <w:rPr>
                      <w:rFonts w:ascii="Cambria Math" w:hAnsi="Cambria Math"/>
                      <w:color w:val="000000" w:themeColor="text1"/>
                      <w:kern w:val="0"/>
                      <w:sz w:val="21"/>
                      <w:szCs w:val="21"/>
                    </w:rPr>
                    <m:t>H</m:t>
                  </m:r>
                </m:e>
              </m:acc>
            </m:oMath>
            <w:r w:rsidRPr="00B12FE0">
              <w:rPr>
                <w:snapToGrid w:val="0"/>
                <w:color w:val="000000" w:themeColor="text1"/>
                <w:kern w:val="0"/>
                <w:sz w:val="21"/>
                <w:szCs w:val="21"/>
                <w:lang w:bidi="ar"/>
              </w:rPr>
              <w:t>(μSv/h)</w:t>
            </w:r>
          </w:p>
        </w:tc>
      </w:tr>
      <w:tr w:rsidR="00A67F21" w:rsidRPr="00B12FE0" w14:paraId="6F118F63" w14:textId="77777777">
        <w:trPr>
          <w:trHeight w:val="853"/>
          <w:jc w:val="center"/>
        </w:trPr>
        <w:tc>
          <w:tcPr>
            <w:tcW w:w="731" w:type="dxa"/>
            <w:vMerge w:val="restart"/>
            <w:vAlign w:val="center"/>
          </w:tcPr>
          <w:p w14:paraId="3AE2394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color w:val="000000" w:themeColor="text1"/>
                <w:sz w:val="21"/>
                <w:szCs w:val="21"/>
              </w:rPr>
              <w:t>e</w:t>
            </w:r>
            <w:r w:rsidRPr="00B12FE0">
              <w:rPr>
                <w:rFonts w:hint="eastAsia"/>
                <w:color w:val="000000" w:themeColor="text1"/>
                <w:sz w:val="21"/>
                <w:szCs w:val="21"/>
                <w:vertAlign w:val="subscript"/>
              </w:rPr>
              <w:t>1</w:t>
            </w:r>
            <w:r w:rsidRPr="00B12FE0">
              <w:rPr>
                <w:rFonts w:hint="eastAsia"/>
                <w:color w:val="000000" w:themeColor="text1"/>
                <w:sz w:val="21"/>
                <w:szCs w:val="21"/>
              </w:rPr>
              <w:t>/e</w:t>
            </w:r>
            <w:r w:rsidRPr="00B12FE0">
              <w:rPr>
                <w:rFonts w:hint="eastAsia"/>
                <w:color w:val="000000" w:themeColor="text1"/>
                <w:sz w:val="21"/>
                <w:szCs w:val="21"/>
                <w:vertAlign w:val="subscript"/>
              </w:rPr>
              <w:t>2</w:t>
            </w:r>
            <w:r w:rsidRPr="00B12FE0">
              <w:rPr>
                <w:rFonts w:hint="eastAsia"/>
                <w:color w:val="000000" w:themeColor="text1"/>
                <w:sz w:val="21"/>
                <w:szCs w:val="21"/>
              </w:rPr>
              <w:t>点</w:t>
            </w:r>
          </w:p>
        </w:tc>
        <w:tc>
          <w:tcPr>
            <w:tcW w:w="1102" w:type="dxa"/>
            <w:vAlign w:val="center"/>
          </w:tcPr>
          <w:p w14:paraId="13BB20B2"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0CE21B58"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(15MV)</w:t>
            </w:r>
          </w:p>
        </w:tc>
        <w:tc>
          <w:tcPr>
            <w:tcW w:w="1190" w:type="dxa"/>
            <w:vAlign w:val="center"/>
          </w:tcPr>
          <w:p w14:paraId="593FA7C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150</w:t>
            </w:r>
          </w:p>
        </w:tc>
        <w:tc>
          <w:tcPr>
            <w:tcW w:w="1052" w:type="dxa"/>
            <w:vAlign w:val="center"/>
          </w:tcPr>
          <w:p w14:paraId="7A15637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36</w:t>
            </w:r>
          </w:p>
        </w:tc>
        <w:tc>
          <w:tcPr>
            <w:tcW w:w="963" w:type="dxa"/>
            <w:vAlign w:val="center"/>
          </w:tcPr>
          <w:p w14:paraId="219515E9"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33</w:t>
            </w:r>
          </w:p>
        </w:tc>
        <w:tc>
          <w:tcPr>
            <w:tcW w:w="1137" w:type="dxa"/>
            <w:vAlign w:val="center"/>
          </w:tcPr>
          <w:p w14:paraId="6F764B1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0.001</w:t>
            </w:r>
          </w:p>
        </w:tc>
        <w:tc>
          <w:tcPr>
            <w:tcW w:w="1088" w:type="dxa"/>
            <w:vAlign w:val="center"/>
          </w:tcPr>
          <w:p w14:paraId="282C453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6.05</w:t>
            </w:r>
          </w:p>
        </w:tc>
        <w:tc>
          <w:tcPr>
            <w:tcW w:w="1537" w:type="dxa"/>
            <w:vAlign w:val="center"/>
          </w:tcPr>
          <w:p w14:paraId="45692DDF"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3.45E-01</w:t>
            </w:r>
          </w:p>
        </w:tc>
      </w:tr>
      <w:tr w:rsidR="00A67F21" w:rsidRPr="00B12FE0" w14:paraId="4B0E5179" w14:textId="77777777">
        <w:trPr>
          <w:trHeight w:val="853"/>
          <w:jc w:val="center"/>
        </w:trPr>
        <w:tc>
          <w:tcPr>
            <w:tcW w:w="731" w:type="dxa"/>
            <w:vMerge/>
            <w:vAlign w:val="center"/>
          </w:tcPr>
          <w:p w14:paraId="0FB6BED5" w14:textId="77777777" w:rsidR="00A67F21" w:rsidRPr="00B12FE0" w:rsidRDefault="00A67F21">
            <w:pPr>
              <w:widowControl/>
              <w:jc w:val="center"/>
              <w:textAlignment w:val="center"/>
              <w:rPr>
                <w:color w:val="000000" w:themeColor="text1"/>
                <w:sz w:val="21"/>
                <w:szCs w:val="21"/>
              </w:rPr>
            </w:pPr>
          </w:p>
        </w:tc>
        <w:tc>
          <w:tcPr>
            <w:tcW w:w="1102" w:type="dxa"/>
            <w:vAlign w:val="center"/>
          </w:tcPr>
          <w:p w14:paraId="70C39A36"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1B00099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(10MV)</w:t>
            </w:r>
          </w:p>
        </w:tc>
        <w:tc>
          <w:tcPr>
            <w:tcW w:w="1190" w:type="dxa"/>
            <w:vAlign w:val="center"/>
          </w:tcPr>
          <w:p w14:paraId="6B7CEF5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150</w:t>
            </w:r>
          </w:p>
        </w:tc>
        <w:tc>
          <w:tcPr>
            <w:tcW w:w="1052" w:type="dxa"/>
            <w:vAlign w:val="center"/>
          </w:tcPr>
          <w:p w14:paraId="32F70F1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35</w:t>
            </w:r>
          </w:p>
        </w:tc>
        <w:tc>
          <w:tcPr>
            <w:tcW w:w="963" w:type="dxa"/>
            <w:vAlign w:val="center"/>
          </w:tcPr>
          <w:p w14:paraId="4B0A8C3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31</w:t>
            </w:r>
          </w:p>
        </w:tc>
        <w:tc>
          <w:tcPr>
            <w:tcW w:w="1137" w:type="dxa"/>
            <w:vAlign w:val="center"/>
          </w:tcPr>
          <w:p w14:paraId="6EB30AC6"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0.001</w:t>
            </w:r>
          </w:p>
        </w:tc>
        <w:tc>
          <w:tcPr>
            <w:tcW w:w="1088" w:type="dxa"/>
            <w:vAlign w:val="center"/>
          </w:tcPr>
          <w:p w14:paraId="65B14F7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6.05</w:t>
            </w:r>
          </w:p>
        </w:tc>
        <w:tc>
          <w:tcPr>
            <w:tcW w:w="1537" w:type="dxa"/>
            <w:vAlign w:val="center"/>
          </w:tcPr>
          <w:p w14:paraId="5E42FDC5" w14:textId="77777777" w:rsidR="00A67F21" w:rsidRPr="00B12FE0" w:rsidRDefault="00000000">
            <w:pPr>
              <w:widowControl/>
              <w:jc w:val="center"/>
              <w:textAlignment w:val="center"/>
              <w:rPr>
                <w:color w:val="000000" w:themeColor="text1"/>
                <w:kern w:val="0"/>
                <w:sz w:val="21"/>
                <w:szCs w:val="21"/>
              </w:rPr>
            </w:pPr>
            <w:r w:rsidRPr="00B12FE0">
              <w:rPr>
                <w:color w:val="000000" w:themeColor="text1"/>
                <w:kern w:val="0"/>
                <w:sz w:val="21"/>
                <w:szCs w:val="21"/>
              </w:rPr>
              <w:t>7.68E-01</w:t>
            </w:r>
          </w:p>
        </w:tc>
      </w:tr>
      <w:tr w:rsidR="00A67F21" w:rsidRPr="00B12FE0" w14:paraId="2272E13D" w14:textId="77777777">
        <w:trPr>
          <w:trHeight w:val="340"/>
          <w:jc w:val="center"/>
        </w:trPr>
        <w:tc>
          <w:tcPr>
            <w:tcW w:w="731" w:type="dxa"/>
            <w:vMerge w:val="restart"/>
            <w:vAlign w:val="center"/>
          </w:tcPr>
          <w:p w14:paraId="7F585FCD" w14:textId="77777777" w:rsidR="00A67F21" w:rsidRPr="00B12FE0" w:rsidRDefault="00000000">
            <w:pPr>
              <w:widowControl/>
              <w:jc w:val="center"/>
              <w:textAlignment w:val="center"/>
              <w:rPr>
                <w:color w:val="000000" w:themeColor="text1"/>
                <w:szCs w:val="21"/>
              </w:rPr>
            </w:pPr>
            <w:r w:rsidRPr="00B12FE0">
              <w:rPr>
                <w:rFonts w:hint="eastAsia"/>
                <w:color w:val="000000" w:themeColor="text1"/>
                <w:sz w:val="21"/>
                <w:szCs w:val="21"/>
              </w:rPr>
              <w:t>f</w:t>
            </w:r>
            <w:r w:rsidRPr="00B12FE0">
              <w:rPr>
                <w:rFonts w:hint="eastAsia"/>
                <w:color w:val="000000" w:themeColor="text1"/>
                <w:sz w:val="21"/>
                <w:szCs w:val="21"/>
                <w:vertAlign w:val="subscript"/>
              </w:rPr>
              <w:t>1</w:t>
            </w:r>
            <w:r w:rsidRPr="00B12FE0">
              <w:rPr>
                <w:rFonts w:hint="eastAsia"/>
                <w:color w:val="000000" w:themeColor="text1"/>
                <w:sz w:val="21"/>
                <w:szCs w:val="21"/>
              </w:rPr>
              <w:t>/f</w:t>
            </w:r>
            <w:r w:rsidRPr="00B12FE0">
              <w:rPr>
                <w:rFonts w:hint="eastAsia"/>
                <w:color w:val="000000" w:themeColor="text1"/>
                <w:sz w:val="21"/>
                <w:szCs w:val="21"/>
                <w:vertAlign w:val="subscript"/>
              </w:rPr>
              <w:t>2</w:t>
            </w:r>
            <w:r w:rsidRPr="00B12FE0">
              <w:rPr>
                <w:rFonts w:hint="eastAsia"/>
                <w:color w:val="000000" w:themeColor="text1"/>
                <w:sz w:val="21"/>
                <w:szCs w:val="21"/>
              </w:rPr>
              <w:t>点</w:t>
            </w:r>
          </w:p>
        </w:tc>
        <w:tc>
          <w:tcPr>
            <w:tcW w:w="1102" w:type="dxa"/>
            <w:vAlign w:val="center"/>
          </w:tcPr>
          <w:p w14:paraId="7C603B4C"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12CFCE52"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(15MV)</w:t>
            </w:r>
          </w:p>
        </w:tc>
        <w:tc>
          <w:tcPr>
            <w:tcW w:w="1190" w:type="dxa"/>
            <w:vAlign w:val="center"/>
          </w:tcPr>
          <w:p w14:paraId="492ACF12" w14:textId="77777777" w:rsidR="00A67F21" w:rsidRPr="00B12FE0" w:rsidRDefault="00000000">
            <w:pPr>
              <w:widowControl/>
              <w:jc w:val="center"/>
              <w:textAlignment w:val="center"/>
              <w:rPr>
                <w:color w:val="000000" w:themeColor="text1"/>
                <w:szCs w:val="21"/>
              </w:rPr>
            </w:pPr>
            <w:r w:rsidRPr="00B12FE0">
              <w:rPr>
                <w:color w:val="000000" w:themeColor="text1"/>
                <w:sz w:val="21"/>
                <w:szCs w:val="21"/>
              </w:rPr>
              <w:t>150</w:t>
            </w: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5</w:t>
            </w:r>
            <w:r w:rsidRPr="00B12FE0">
              <w:rPr>
                <w:snapToGrid w:val="0"/>
                <w:color w:val="000000" w:themeColor="text1"/>
                <w:kern w:val="0"/>
                <w:sz w:val="21"/>
                <w:szCs w:val="21"/>
                <w:lang w:bidi="ar"/>
              </w:rPr>
              <w:t>0</w:t>
            </w:r>
          </w:p>
        </w:tc>
        <w:tc>
          <w:tcPr>
            <w:tcW w:w="1052" w:type="dxa"/>
            <w:vAlign w:val="center"/>
          </w:tcPr>
          <w:p w14:paraId="0A56B09F"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36</w:t>
            </w:r>
          </w:p>
        </w:tc>
        <w:tc>
          <w:tcPr>
            <w:tcW w:w="963" w:type="dxa"/>
            <w:vAlign w:val="center"/>
          </w:tcPr>
          <w:p w14:paraId="3AC27763"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33</w:t>
            </w:r>
          </w:p>
        </w:tc>
        <w:tc>
          <w:tcPr>
            <w:tcW w:w="1137" w:type="dxa"/>
            <w:vAlign w:val="center"/>
          </w:tcPr>
          <w:p w14:paraId="516AF093"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0.001</w:t>
            </w:r>
          </w:p>
        </w:tc>
        <w:tc>
          <w:tcPr>
            <w:tcW w:w="1088" w:type="dxa"/>
            <w:vAlign w:val="center"/>
          </w:tcPr>
          <w:p w14:paraId="0E9C088E" w14:textId="77777777" w:rsidR="00A67F21" w:rsidRPr="00B12FE0" w:rsidRDefault="00000000">
            <w:pPr>
              <w:widowControl/>
              <w:jc w:val="center"/>
              <w:textAlignment w:val="center"/>
              <w:rPr>
                <w:color w:val="000000" w:themeColor="text1"/>
                <w:szCs w:val="21"/>
              </w:rPr>
            </w:pPr>
            <w:r w:rsidRPr="00B12FE0">
              <w:rPr>
                <w:rFonts w:hint="eastAsia"/>
                <w:color w:val="000000" w:themeColor="text1"/>
                <w:szCs w:val="21"/>
              </w:rPr>
              <w:t>9.95</w:t>
            </w:r>
          </w:p>
        </w:tc>
        <w:tc>
          <w:tcPr>
            <w:tcW w:w="1537" w:type="dxa"/>
            <w:vAlign w:val="center"/>
          </w:tcPr>
          <w:p w14:paraId="1300D833"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3.64E-06</w:t>
            </w:r>
          </w:p>
        </w:tc>
      </w:tr>
      <w:tr w:rsidR="00A67F21" w:rsidRPr="00B12FE0" w14:paraId="6C50B4B4" w14:textId="77777777">
        <w:trPr>
          <w:trHeight w:val="340"/>
          <w:jc w:val="center"/>
        </w:trPr>
        <w:tc>
          <w:tcPr>
            <w:tcW w:w="731" w:type="dxa"/>
            <w:vMerge/>
            <w:vAlign w:val="center"/>
          </w:tcPr>
          <w:p w14:paraId="2C37AA4B" w14:textId="77777777" w:rsidR="00A67F21" w:rsidRPr="00B12FE0" w:rsidRDefault="00A67F21">
            <w:pPr>
              <w:jc w:val="center"/>
              <w:rPr>
                <w:color w:val="000000" w:themeColor="text1"/>
                <w:szCs w:val="21"/>
              </w:rPr>
            </w:pPr>
          </w:p>
        </w:tc>
        <w:tc>
          <w:tcPr>
            <w:tcW w:w="1102" w:type="dxa"/>
            <w:vAlign w:val="center"/>
          </w:tcPr>
          <w:p w14:paraId="6E8CBD82"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284F2242"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(10MV)</w:t>
            </w:r>
          </w:p>
        </w:tc>
        <w:tc>
          <w:tcPr>
            <w:tcW w:w="1190" w:type="dxa"/>
            <w:vAlign w:val="center"/>
          </w:tcPr>
          <w:p w14:paraId="7EE20588" w14:textId="77777777" w:rsidR="00A67F21" w:rsidRPr="00B12FE0" w:rsidRDefault="00000000">
            <w:pPr>
              <w:widowControl/>
              <w:jc w:val="center"/>
              <w:textAlignment w:val="center"/>
              <w:rPr>
                <w:color w:val="000000" w:themeColor="text1"/>
                <w:szCs w:val="21"/>
              </w:rPr>
            </w:pPr>
            <w:r w:rsidRPr="00B12FE0">
              <w:rPr>
                <w:color w:val="000000" w:themeColor="text1"/>
                <w:sz w:val="21"/>
                <w:szCs w:val="21"/>
              </w:rPr>
              <w:t>150</w:t>
            </w: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5</w:t>
            </w:r>
            <w:r w:rsidRPr="00B12FE0">
              <w:rPr>
                <w:snapToGrid w:val="0"/>
                <w:color w:val="000000" w:themeColor="text1"/>
                <w:kern w:val="0"/>
                <w:sz w:val="21"/>
                <w:szCs w:val="21"/>
                <w:lang w:bidi="ar"/>
              </w:rPr>
              <w:t>0</w:t>
            </w:r>
          </w:p>
        </w:tc>
        <w:tc>
          <w:tcPr>
            <w:tcW w:w="1052" w:type="dxa"/>
            <w:vAlign w:val="center"/>
          </w:tcPr>
          <w:p w14:paraId="3FFB1E27"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35</w:t>
            </w:r>
          </w:p>
        </w:tc>
        <w:tc>
          <w:tcPr>
            <w:tcW w:w="963" w:type="dxa"/>
            <w:vAlign w:val="center"/>
          </w:tcPr>
          <w:p w14:paraId="1FC09FCD"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31</w:t>
            </w:r>
          </w:p>
        </w:tc>
        <w:tc>
          <w:tcPr>
            <w:tcW w:w="1137" w:type="dxa"/>
            <w:vAlign w:val="center"/>
          </w:tcPr>
          <w:p w14:paraId="3BBF48F3"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0.001</w:t>
            </w:r>
          </w:p>
        </w:tc>
        <w:tc>
          <w:tcPr>
            <w:tcW w:w="1088" w:type="dxa"/>
            <w:vAlign w:val="center"/>
          </w:tcPr>
          <w:p w14:paraId="345E6513" w14:textId="77777777" w:rsidR="00A67F21" w:rsidRPr="00B12FE0" w:rsidRDefault="00000000">
            <w:pPr>
              <w:widowControl/>
              <w:jc w:val="center"/>
              <w:textAlignment w:val="center"/>
              <w:rPr>
                <w:color w:val="000000" w:themeColor="text1"/>
                <w:szCs w:val="21"/>
              </w:rPr>
            </w:pPr>
            <w:r w:rsidRPr="00B12FE0">
              <w:rPr>
                <w:rFonts w:hint="eastAsia"/>
                <w:color w:val="000000" w:themeColor="text1"/>
                <w:szCs w:val="21"/>
              </w:rPr>
              <w:t>9.95</w:t>
            </w:r>
          </w:p>
        </w:tc>
        <w:tc>
          <w:tcPr>
            <w:tcW w:w="1537" w:type="dxa"/>
            <w:vAlign w:val="center"/>
          </w:tcPr>
          <w:p w14:paraId="245858BB"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4.11E-06</w:t>
            </w:r>
          </w:p>
        </w:tc>
      </w:tr>
      <w:tr w:rsidR="00A67F21" w:rsidRPr="00B12FE0" w14:paraId="00177EC5" w14:textId="77777777">
        <w:trPr>
          <w:trHeight w:val="340"/>
          <w:jc w:val="center"/>
        </w:trPr>
        <w:tc>
          <w:tcPr>
            <w:tcW w:w="731" w:type="dxa"/>
            <w:vMerge w:val="restart"/>
            <w:vAlign w:val="center"/>
          </w:tcPr>
          <w:p w14:paraId="6F315520"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k</w:t>
            </w:r>
            <w:r w:rsidRPr="00B12FE0">
              <w:rPr>
                <w:rFonts w:hint="eastAsia"/>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p>
        </w:tc>
        <w:tc>
          <w:tcPr>
            <w:tcW w:w="1102" w:type="dxa"/>
            <w:vAlign w:val="center"/>
          </w:tcPr>
          <w:p w14:paraId="529B90A7"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35094364"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(15MV)</w:t>
            </w:r>
          </w:p>
        </w:tc>
        <w:tc>
          <w:tcPr>
            <w:tcW w:w="1190" w:type="dxa"/>
            <w:vAlign w:val="center"/>
          </w:tcPr>
          <w:p w14:paraId="3F6B1C4F"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150</w:t>
            </w:r>
          </w:p>
        </w:tc>
        <w:tc>
          <w:tcPr>
            <w:tcW w:w="1052" w:type="dxa"/>
            <w:vAlign w:val="center"/>
          </w:tcPr>
          <w:p w14:paraId="0B29D965"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36</w:t>
            </w:r>
          </w:p>
        </w:tc>
        <w:tc>
          <w:tcPr>
            <w:tcW w:w="963" w:type="dxa"/>
            <w:vAlign w:val="center"/>
          </w:tcPr>
          <w:p w14:paraId="5F85B13C"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33</w:t>
            </w:r>
          </w:p>
        </w:tc>
        <w:tc>
          <w:tcPr>
            <w:tcW w:w="1137" w:type="dxa"/>
            <w:vAlign w:val="center"/>
          </w:tcPr>
          <w:p w14:paraId="26ED37D2"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0.001</w:t>
            </w:r>
          </w:p>
        </w:tc>
        <w:tc>
          <w:tcPr>
            <w:tcW w:w="1088" w:type="dxa"/>
            <w:vAlign w:val="center"/>
          </w:tcPr>
          <w:p w14:paraId="758331C7" w14:textId="77777777" w:rsidR="00A67F21" w:rsidRPr="00B12FE0" w:rsidRDefault="00000000">
            <w:pPr>
              <w:widowControl/>
              <w:jc w:val="center"/>
              <w:textAlignment w:val="center"/>
              <w:rPr>
                <w:color w:val="000000" w:themeColor="text1"/>
                <w:szCs w:val="21"/>
              </w:rPr>
            </w:pPr>
            <w:r w:rsidRPr="00B12FE0">
              <w:rPr>
                <w:rFonts w:hint="eastAsia"/>
                <w:color w:val="000000" w:themeColor="text1"/>
                <w:szCs w:val="21"/>
              </w:rPr>
              <w:t>9.49</w:t>
            </w:r>
          </w:p>
        </w:tc>
        <w:tc>
          <w:tcPr>
            <w:tcW w:w="1537" w:type="dxa"/>
            <w:vAlign w:val="center"/>
          </w:tcPr>
          <w:p w14:paraId="45198BDD"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1.40E-01</w:t>
            </w:r>
          </w:p>
        </w:tc>
      </w:tr>
      <w:tr w:rsidR="00A67F21" w:rsidRPr="00B12FE0" w14:paraId="42F0ED98" w14:textId="77777777">
        <w:trPr>
          <w:trHeight w:val="340"/>
          <w:jc w:val="center"/>
        </w:trPr>
        <w:tc>
          <w:tcPr>
            <w:tcW w:w="731" w:type="dxa"/>
            <w:vMerge/>
            <w:vAlign w:val="center"/>
          </w:tcPr>
          <w:p w14:paraId="20670B1C" w14:textId="77777777" w:rsidR="00A67F21" w:rsidRPr="00B12FE0" w:rsidRDefault="00A67F21">
            <w:pPr>
              <w:jc w:val="center"/>
              <w:rPr>
                <w:color w:val="000000" w:themeColor="text1"/>
                <w:szCs w:val="21"/>
              </w:rPr>
            </w:pPr>
          </w:p>
        </w:tc>
        <w:tc>
          <w:tcPr>
            <w:tcW w:w="1102" w:type="dxa"/>
            <w:vAlign w:val="center"/>
          </w:tcPr>
          <w:p w14:paraId="2C21E5D9"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2B7B918C"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(10MV)</w:t>
            </w:r>
          </w:p>
        </w:tc>
        <w:tc>
          <w:tcPr>
            <w:tcW w:w="1190" w:type="dxa"/>
            <w:noWrap/>
            <w:vAlign w:val="center"/>
          </w:tcPr>
          <w:p w14:paraId="3E8B67EC"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150</w:t>
            </w:r>
          </w:p>
        </w:tc>
        <w:tc>
          <w:tcPr>
            <w:tcW w:w="1052" w:type="dxa"/>
            <w:vAlign w:val="center"/>
          </w:tcPr>
          <w:p w14:paraId="051EAE31"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35</w:t>
            </w:r>
          </w:p>
        </w:tc>
        <w:tc>
          <w:tcPr>
            <w:tcW w:w="963" w:type="dxa"/>
            <w:vAlign w:val="center"/>
          </w:tcPr>
          <w:p w14:paraId="050D3F08"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31</w:t>
            </w:r>
          </w:p>
        </w:tc>
        <w:tc>
          <w:tcPr>
            <w:tcW w:w="1137" w:type="dxa"/>
            <w:noWrap/>
            <w:vAlign w:val="center"/>
          </w:tcPr>
          <w:p w14:paraId="6837D658"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0.001</w:t>
            </w:r>
          </w:p>
        </w:tc>
        <w:tc>
          <w:tcPr>
            <w:tcW w:w="1088" w:type="dxa"/>
            <w:noWrap/>
            <w:vAlign w:val="center"/>
          </w:tcPr>
          <w:p w14:paraId="4126CFE6" w14:textId="77777777" w:rsidR="00A67F21" w:rsidRPr="00B12FE0" w:rsidRDefault="00000000">
            <w:pPr>
              <w:widowControl/>
              <w:jc w:val="center"/>
              <w:textAlignment w:val="center"/>
              <w:rPr>
                <w:color w:val="000000" w:themeColor="text1"/>
                <w:szCs w:val="21"/>
              </w:rPr>
            </w:pPr>
            <w:r w:rsidRPr="00B12FE0">
              <w:rPr>
                <w:rFonts w:hint="eastAsia"/>
                <w:color w:val="000000" w:themeColor="text1"/>
                <w:szCs w:val="21"/>
              </w:rPr>
              <w:t>9.49</w:t>
            </w:r>
          </w:p>
        </w:tc>
        <w:tc>
          <w:tcPr>
            <w:tcW w:w="1537" w:type="dxa"/>
            <w:vAlign w:val="center"/>
          </w:tcPr>
          <w:p w14:paraId="090293E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3.12E-01</w:t>
            </w:r>
          </w:p>
        </w:tc>
      </w:tr>
      <w:tr w:rsidR="00A67F21" w:rsidRPr="00B12FE0" w14:paraId="0C0EC1F9" w14:textId="77777777">
        <w:trPr>
          <w:trHeight w:val="340"/>
          <w:jc w:val="center"/>
        </w:trPr>
        <w:tc>
          <w:tcPr>
            <w:tcW w:w="731" w:type="dxa"/>
            <w:vMerge w:val="restart"/>
            <w:vAlign w:val="center"/>
          </w:tcPr>
          <w:p w14:paraId="2FD7B08B" w14:textId="77777777" w:rsidR="00A67F21" w:rsidRPr="00B12FE0" w:rsidRDefault="00000000">
            <w:pPr>
              <w:jc w:val="center"/>
              <w:rPr>
                <w:color w:val="000000" w:themeColor="text1"/>
                <w:szCs w:val="21"/>
              </w:rPr>
            </w:pPr>
            <w:r w:rsidRPr="00B12FE0">
              <w:rPr>
                <w:rFonts w:hint="eastAsia"/>
                <w:snapToGrid w:val="0"/>
                <w:color w:val="000000" w:themeColor="text1"/>
                <w:kern w:val="0"/>
                <w:sz w:val="21"/>
                <w:szCs w:val="21"/>
                <w:lang w:bidi="ar"/>
              </w:rPr>
              <w:t>k</w:t>
            </w:r>
            <w:r w:rsidRPr="00B12FE0">
              <w:rPr>
                <w:rFonts w:hint="eastAsia"/>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102" w:type="dxa"/>
            <w:vAlign w:val="center"/>
          </w:tcPr>
          <w:p w14:paraId="009C938D"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11D52D8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(15MV)</w:t>
            </w:r>
          </w:p>
        </w:tc>
        <w:tc>
          <w:tcPr>
            <w:tcW w:w="1190" w:type="dxa"/>
            <w:noWrap/>
            <w:vAlign w:val="center"/>
          </w:tcPr>
          <w:p w14:paraId="3A40CC2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150</w:t>
            </w:r>
          </w:p>
        </w:tc>
        <w:tc>
          <w:tcPr>
            <w:tcW w:w="1052" w:type="dxa"/>
            <w:vAlign w:val="center"/>
          </w:tcPr>
          <w:p w14:paraId="62E4719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36</w:t>
            </w:r>
          </w:p>
        </w:tc>
        <w:tc>
          <w:tcPr>
            <w:tcW w:w="963" w:type="dxa"/>
            <w:vAlign w:val="center"/>
          </w:tcPr>
          <w:p w14:paraId="70E643E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33</w:t>
            </w:r>
          </w:p>
        </w:tc>
        <w:tc>
          <w:tcPr>
            <w:tcW w:w="1137" w:type="dxa"/>
            <w:noWrap/>
            <w:vAlign w:val="center"/>
          </w:tcPr>
          <w:p w14:paraId="4CC71E6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0.001</w:t>
            </w:r>
          </w:p>
        </w:tc>
        <w:tc>
          <w:tcPr>
            <w:tcW w:w="1088" w:type="dxa"/>
            <w:noWrap/>
            <w:vAlign w:val="center"/>
          </w:tcPr>
          <w:p w14:paraId="0DE52AA9"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9.69</w:t>
            </w:r>
          </w:p>
        </w:tc>
        <w:tc>
          <w:tcPr>
            <w:tcW w:w="1537" w:type="dxa"/>
            <w:vAlign w:val="center"/>
          </w:tcPr>
          <w:p w14:paraId="2BA24A7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1.35E-01</w:t>
            </w:r>
          </w:p>
        </w:tc>
      </w:tr>
      <w:tr w:rsidR="00A67F21" w:rsidRPr="00B12FE0" w14:paraId="5B513472" w14:textId="77777777">
        <w:trPr>
          <w:trHeight w:val="340"/>
          <w:jc w:val="center"/>
        </w:trPr>
        <w:tc>
          <w:tcPr>
            <w:tcW w:w="731" w:type="dxa"/>
            <w:vMerge/>
            <w:vAlign w:val="center"/>
          </w:tcPr>
          <w:p w14:paraId="2D3416AB" w14:textId="77777777" w:rsidR="00A67F21" w:rsidRPr="00B12FE0" w:rsidRDefault="00A67F21">
            <w:pPr>
              <w:jc w:val="center"/>
              <w:rPr>
                <w:color w:val="000000" w:themeColor="text1"/>
                <w:szCs w:val="21"/>
              </w:rPr>
            </w:pPr>
          </w:p>
        </w:tc>
        <w:tc>
          <w:tcPr>
            <w:tcW w:w="1102" w:type="dxa"/>
            <w:vAlign w:val="center"/>
          </w:tcPr>
          <w:p w14:paraId="42567437" w14:textId="77777777" w:rsidR="00A67F21" w:rsidRPr="00B12FE0" w:rsidRDefault="00000000">
            <w:pPr>
              <w:widowControl/>
              <w:jc w:val="center"/>
              <w:textAlignment w:val="center"/>
              <w:rPr>
                <w:color w:val="000000" w:themeColor="text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09B5308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(10MV)</w:t>
            </w:r>
          </w:p>
        </w:tc>
        <w:tc>
          <w:tcPr>
            <w:tcW w:w="1190" w:type="dxa"/>
            <w:noWrap/>
            <w:vAlign w:val="center"/>
          </w:tcPr>
          <w:p w14:paraId="0712AC7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150</w:t>
            </w:r>
          </w:p>
        </w:tc>
        <w:tc>
          <w:tcPr>
            <w:tcW w:w="1052" w:type="dxa"/>
            <w:vAlign w:val="center"/>
          </w:tcPr>
          <w:p w14:paraId="72701944"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35</w:t>
            </w:r>
          </w:p>
        </w:tc>
        <w:tc>
          <w:tcPr>
            <w:tcW w:w="963" w:type="dxa"/>
            <w:vAlign w:val="center"/>
          </w:tcPr>
          <w:p w14:paraId="5186281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31</w:t>
            </w:r>
          </w:p>
        </w:tc>
        <w:tc>
          <w:tcPr>
            <w:tcW w:w="1137" w:type="dxa"/>
            <w:noWrap/>
            <w:vAlign w:val="center"/>
          </w:tcPr>
          <w:p w14:paraId="22BC9A8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0.001</w:t>
            </w:r>
          </w:p>
        </w:tc>
        <w:tc>
          <w:tcPr>
            <w:tcW w:w="1088" w:type="dxa"/>
            <w:noWrap/>
            <w:vAlign w:val="center"/>
          </w:tcPr>
          <w:p w14:paraId="387FF76B"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9.69</w:t>
            </w:r>
          </w:p>
        </w:tc>
        <w:tc>
          <w:tcPr>
            <w:tcW w:w="1537" w:type="dxa"/>
            <w:vAlign w:val="center"/>
          </w:tcPr>
          <w:p w14:paraId="20439253"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2.99E-01</w:t>
            </w:r>
          </w:p>
        </w:tc>
      </w:tr>
    </w:tbl>
    <w:p w14:paraId="5555DF64" w14:textId="77777777" w:rsidR="00A67F21" w:rsidRPr="00B12FE0" w:rsidRDefault="00000000">
      <w:pPr>
        <w:spacing w:line="360" w:lineRule="auto"/>
        <w:ind w:firstLineChars="200" w:firstLine="482"/>
        <w:rPr>
          <w:b/>
          <w:bCs/>
          <w:color w:val="000000" w:themeColor="text1"/>
        </w:rPr>
      </w:pPr>
      <w:r w:rsidRPr="00B12FE0">
        <w:rPr>
          <w:b/>
          <w:bCs/>
          <w:color w:val="000000" w:themeColor="text1"/>
        </w:rPr>
        <w:lastRenderedPageBreak/>
        <w:t>④</w:t>
      </w:r>
      <w:r w:rsidRPr="00B12FE0">
        <w:rPr>
          <w:b/>
          <w:bCs/>
          <w:color w:val="000000" w:themeColor="text1"/>
        </w:rPr>
        <w:t>与主屏蔽相连的次屏蔽墙外</w:t>
      </w:r>
      <w:proofErr w:type="gramStart"/>
      <w:r w:rsidRPr="00B12FE0">
        <w:rPr>
          <w:b/>
          <w:bCs/>
          <w:color w:val="000000" w:themeColor="text1"/>
        </w:rPr>
        <w:t>及迷道外墙</w:t>
      </w:r>
      <w:proofErr w:type="gramEnd"/>
      <w:r w:rsidRPr="00B12FE0">
        <w:rPr>
          <w:b/>
          <w:bCs/>
          <w:color w:val="000000" w:themeColor="text1"/>
        </w:rPr>
        <w:t>关注点的剂量率估算（关注点：</w:t>
      </w:r>
      <w:r w:rsidRPr="00B12FE0">
        <w:rPr>
          <w:rFonts w:cs="宋体" w:hint="eastAsia"/>
          <w:b/>
          <w:bCs/>
          <w:color w:val="000000" w:themeColor="text1"/>
        </w:rPr>
        <w:t>c</w:t>
      </w:r>
      <w:r w:rsidRPr="00B12FE0">
        <w:rPr>
          <w:rFonts w:cs="宋体" w:hint="eastAsia"/>
          <w:b/>
          <w:bCs/>
          <w:color w:val="000000" w:themeColor="text1"/>
          <w:vertAlign w:val="subscript"/>
        </w:rPr>
        <w:t>1</w:t>
      </w:r>
      <w:r w:rsidRPr="00B12FE0">
        <w:rPr>
          <w:rFonts w:cs="宋体" w:hint="eastAsia"/>
          <w:b/>
          <w:bCs/>
          <w:color w:val="000000" w:themeColor="text1"/>
        </w:rPr>
        <w:t>点、</w:t>
      </w:r>
      <w:r w:rsidRPr="00B12FE0">
        <w:rPr>
          <w:rFonts w:cs="宋体" w:hint="eastAsia"/>
          <w:b/>
          <w:bCs/>
          <w:color w:val="000000" w:themeColor="text1"/>
        </w:rPr>
        <w:t>c</w:t>
      </w:r>
      <w:r w:rsidRPr="00B12FE0">
        <w:rPr>
          <w:rFonts w:cs="宋体"/>
          <w:b/>
          <w:bCs/>
          <w:color w:val="000000" w:themeColor="text1"/>
          <w:vertAlign w:val="subscript"/>
        </w:rPr>
        <w:t>2</w:t>
      </w:r>
      <w:r w:rsidRPr="00B12FE0">
        <w:rPr>
          <w:rFonts w:cs="宋体" w:hint="eastAsia"/>
          <w:b/>
          <w:bCs/>
          <w:color w:val="000000" w:themeColor="text1"/>
        </w:rPr>
        <w:t>点、</w:t>
      </w:r>
      <w:r w:rsidRPr="00B12FE0">
        <w:rPr>
          <w:b/>
          <w:bCs/>
          <w:color w:val="000000" w:themeColor="text1"/>
        </w:rPr>
        <w:t>m</w:t>
      </w:r>
      <w:r w:rsidRPr="00B12FE0">
        <w:rPr>
          <w:b/>
          <w:bCs/>
          <w:color w:val="000000" w:themeColor="text1"/>
          <w:vertAlign w:val="subscript"/>
        </w:rPr>
        <w:t>1</w:t>
      </w:r>
      <w:r w:rsidRPr="00B12FE0">
        <w:rPr>
          <w:b/>
          <w:bCs/>
          <w:color w:val="000000" w:themeColor="text1"/>
        </w:rPr>
        <w:t>及</w:t>
      </w:r>
      <w:r w:rsidRPr="00B12FE0">
        <w:rPr>
          <w:b/>
          <w:bCs/>
          <w:color w:val="000000" w:themeColor="text1"/>
        </w:rPr>
        <w:t>m</w:t>
      </w:r>
      <w:r w:rsidRPr="00B12FE0">
        <w:rPr>
          <w:b/>
          <w:bCs/>
          <w:color w:val="000000" w:themeColor="text1"/>
          <w:vertAlign w:val="subscript"/>
        </w:rPr>
        <w:t>2</w:t>
      </w:r>
      <w:r w:rsidRPr="00B12FE0">
        <w:rPr>
          <w:b/>
          <w:bCs/>
          <w:color w:val="000000" w:themeColor="text1"/>
        </w:rPr>
        <w:t>点）</w:t>
      </w:r>
    </w:p>
    <w:p w14:paraId="5A67E155" w14:textId="77777777" w:rsidR="00A67F21" w:rsidRPr="00B12FE0" w:rsidRDefault="00000000">
      <w:pPr>
        <w:spacing w:line="360" w:lineRule="auto"/>
        <w:ind w:firstLineChars="196" w:firstLine="470"/>
        <w:rPr>
          <w:b/>
          <w:color w:val="000000" w:themeColor="text1"/>
        </w:rPr>
      </w:pPr>
      <w:r w:rsidRPr="00B12FE0">
        <w:rPr>
          <w:color w:val="000000" w:themeColor="text1"/>
        </w:rPr>
        <w:t>初级</w:t>
      </w:r>
      <w:proofErr w:type="gramStart"/>
      <w:r w:rsidRPr="00B12FE0">
        <w:rPr>
          <w:color w:val="000000" w:themeColor="text1"/>
        </w:rPr>
        <w:t>辐射束不直接</w:t>
      </w:r>
      <w:proofErr w:type="gramEnd"/>
      <w:r w:rsidRPr="00B12FE0">
        <w:rPr>
          <w:color w:val="000000" w:themeColor="text1"/>
        </w:rPr>
        <w:t>到达该屏蔽墙，剂量计算时只需考虑泄漏辐射和患者散射辐射的复合作用：</w:t>
      </w:r>
    </w:p>
    <w:p w14:paraId="5E3C6A32" w14:textId="77777777" w:rsidR="00A67F21" w:rsidRPr="00B12FE0" w:rsidRDefault="00000000">
      <w:pPr>
        <w:tabs>
          <w:tab w:val="left" w:pos="1017"/>
        </w:tabs>
        <w:adjustRightInd w:val="0"/>
        <w:snapToGrid w:val="0"/>
        <w:spacing w:line="360" w:lineRule="auto"/>
        <w:jc w:val="center"/>
        <w:rPr>
          <w:color w:val="000000" w:themeColor="text1"/>
        </w:rPr>
      </w:pPr>
      <m:oMath>
        <m:acc>
          <m:accPr>
            <m:chr m:val="̇"/>
            <m:ctrlPr>
              <w:rPr>
                <w:rFonts w:ascii="Cambria Math" w:hAnsi="Cambria Math"/>
                <w:i/>
                <w:color w:val="000000" w:themeColor="text1"/>
                <w:kern w:val="0"/>
                <w:szCs w:val="24"/>
              </w:rPr>
            </m:ctrlPr>
          </m:accPr>
          <m:e>
            <m:r>
              <w:rPr>
                <w:rFonts w:ascii="Cambria Math" w:hAnsi="Cambria Math"/>
                <w:color w:val="000000" w:themeColor="text1"/>
                <w:kern w:val="0"/>
                <w:szCs w:val="24"/>
              </w:rPr>
              <m:t>H</m:t>
            </m:r>
          </m:e>
        </m:acc>
        <m:r>
          <w:rPr>
            <w:rFonts w:ascii="Cambria Math" w:hAnsi="Cambria Math"/>
            <w:color w:val="000000" w:themeColor="text1"/>
            <w:kern w:val="0"/>
            <w:szCs w:val="24"/>
          </w:rPr>
          <m:t>=</m:t>
        </m:r>
        <m:sSub>
          <m:sSubPr>
            <m:ctrlPr>
              <w:rPr>
                <w:rFonts w:ascii="Cambria Math" w:hAnsi="Cambria Math"/>
                <w:i/>
                <w:color w:val="000000" w:themeColor="text1"/>
                <w:szCs w:val="24"/>
              </w:rPr>
            </m:ctrlPr>
          </m:sSubPr>
          <m:e>
            <m:acc>
              <m:accPr>
                <m:chr m:val="̇"/>
                <m:ctrlPr>
                  <w:rPr>
                    <w:rFonts w:ascii="Cambria Math" w:hAnsi="Cambria Math"/>
                    <w:i/>
                    <w:color w:val="000000" w:themeColor="text1"/>
                    <w:szCs w:val="24"/>
                  </w:rPr>
                </m:ctrlPr>
              </m:accPr>
              <m:e>
                <m:r>
                  <w:rPr>
                    <w:rFonts w:ascii="Cambria Math" w:hAnsi="Cambria Math"/>
                    <w:color w:val="000000" w:themeColor="text1"/>
                    <w:szCs w:val="24"/>
                  </w:rPr>
                  <m:t>H</m:t>
                </m:r>
              </m:e>
            </m:acc>
          </m:e>
          <m:sub>
            <m:r>
              <w:rPr>
                <w:rFonts w:ascii="Cambria Math" w:hAnsi="Cambria Math"/>
                <w:color w:val="000000" w:themeColor="text1"/>
                <w:szCs w:val="24"/>
              </w:rPr>
              <m:t>漏</m:t>
            </m:r>
          </m:sub>
        </m:sSub>
      </m:oMath>
      <w:r w:rsidRPr="00B12FE0">
        <w:rPr>
          <w:rFonts w:hAnsi="Cambria Math" w:hint="eastAsia"/>
          <w:color w:val="000000" w:themeColor="text1"/>
          <w:szCs w:val="24"/>
        </w:rPr>
        <w:t>+</w:t>
      </w:r>
      <m:oMath>
        <m:sSub>
          <m:sSubPr>
            <m:ctrlPr>
              <w:rPr>
                <w:rFonts w:ascii="Cambria Math" w:hAnsi="Cambria Math"/>
                <w:i/>
                <w:color w:val="000000" w:themeColor="text1"/>
                <w:szCs w:val="24"/>
              </w:rPr>
            </m:ctrlPr>
          </m:sSubPr>
          <m:e>
            <m:acc>
              <m:accPr>
                <m:chr m:val="̇"/>
                <m:ctrlPr>
                  <w:rPr>
                    <w:rFonts w:ascii="Cambria Math" w:hAnsi="Cambria Math"/>
                    <w:i/>
                    <w:color w:val="000000" w:themeColor="text1"/>
                    <w:szCs w:val="24"/>
                  </w:rPr>
                </m:ctrlPr>
              </m:accPr>
              <m:e>
                <m:r>
                  <w:rPr>
                    <w:rFonts w:ascii="Cambria Math" w:hAnsi="Cambria Math"/>
                    <w:color w:val="000000" w:themeColor="text1"/>
                    <w:szCs w:val="24"/>
                  </w:rPr>
                  <m:t>H</m:t>
                </m:r>
              </m:e>
            </m:acc>
          </m:e>
          <m:sub>
            <m:r>
              <w:rPr>
                <w:rFonts w:ascii="Cambria Math" w:hAnsi="Cambria Math"/>
                <w:color w:val="000000" w:themeColor="text1"/>
                <w:szCs w:val="24"/>
              </w:rPr>
              <m:t>散</m:t>
            </m:r>
          </m:sub>
        </m:sSub>
      </m:oMath>
      <w:r w:rsidRPr="00B12FE0">
        <w:rPr>
          <w:color w:val="000000" w:themeColor="text1"/>
        </w:rPr>
        <w:t>……</w:t>
      </w:r>
      <w:proofErr w:type="gramStart"/>
      <w:r w:rsidRPr="00B12FE0">
        <w:rPr>
          <w:color w:val="000000" w:themeColor="text1"/>
        </w:rPr>
        <w:t>……………………………</w:t>
      </w:r>
      <w:proofErr w:type="gramEnd"/>
      <w:r w:rsidRPr="00B12FE0">
        <w:rPr>
          <w:color w:val="000000" w:themeColor="text1"/>
        </w:rPr>
        <w:t>.</w:t>
      </w:r>
      <w:proofErr w:type="gramStart"/>
      <w:r w:rsidRPr="00B12FE0">
        <w:rPr>
          <w:color w:val="000000" w:themeColor="text1"/>
        </w:rPr>
        <w:t>.</w:t>
      </w:r>
      <w:r w:rsidRPr="00B12FE0">
        <w:rPr>
          <w:color w:val="000000" w:themeColor="text1"/>
        </w:rPr>
        <w:t>（</w:t>
      </w:r>
      <w:proofErr w:type="gramEnd"/>
      <w:r w:rsidRPr="00B12FE0">
        <w:rPr>
          <w:color w:val="000000" w:themeColor="text1"/>
        </w:rPr>
        <w:t>式</w:t>
      </w:r>
      <w:r w:rsidRPr="00B12FE0">
        <w:rPr>
          <w:color w:val="000000" w:themeColor="text1"/>
        </w:rPr>
        <w:t>11.2.2.1-5</w:t>
      </w:r>
      <w:r w:rsidRPr="00B12FE0">
        <w:rPr>
          <w:color w:val="000000" w:themeColor="text1"/>
        </w:rPr>
        <w:t>）</w:t>
      </w:r>
    </w:p>
    <w:p w14:paraId="4EC2E4B8" w14:textId="77777777" w:rsidR="00A67F21" w:rsidRPr="00B12FE0" w:rsidRDefault="00000000">
      <w:pPr>
        <w:widowControl/>
        <w:tabs>
          <w:tab w:val="left" w:pos="839"/>
        </w:tabs>
        <w:adjustRightInd w:val="0"/>
        <w:snapToGrid w:val="0"/>
        <w:spacing w:line="360" w:lineRule="auto"/>
        <w:ind w:firstLineChars="200" w:firstLine="482"/>
        <w:jc w:val="left"/>
        <w:textAlignment w:val="baseline"/>
        <w:rPr>
          <w:b/>
          <w:bCs/>
          <w:color w:val="000000" w:themeColor="text1"/>
          <w:kern w:val="0"/>
        </w:rPr>
      </w:pPr>
      <w:r w:rsidRPr="00B12FE0">
        <w:rPr>
          <w:b/>
          <w:bCs/>
          <w:color w:val="000000" w:themeColor="text1"/>
          <w:kern w:val="0"/>
        </w:rPr>
        <w:t>A</w:t>
      </w:r>
      <w:r w:rsidRPr="00B12FE0">
        <w:rPr>
          <w:b/>
          <w:bCs/>
          <w:color w:val="000000" w:themeColor="text1"/>
          <w:kern w:val="0"/>
        </w:rPr>
        <w:t>、患者体表的散射辐射</w:t>
      </w:r>
    </w:p>
    <w:p w14:paraId="25CD378B" w14:textId="77777777" w:rsidR="00A67F21" w:rsidRPr="00B12FE0" w:rsidRDefault="00000000">
      <w:pPr>
        <w:widowControl/>
        <w:tabs>
          <w:tab w:val="left" w:pos="839"/>
        </w:tabs>
        <w:adjustRightInd w:val="0"/>
        <w:snapToGrid w:val="0"/>
        <w:spacing w:line="360" w:lineRule="auto"/>
        <w:ind w:firstLineChars="200" w:firstLine="480"/>
        <w:jc w:val="left"/>
        <w:textAlignment w:val="baseline"/>
        <w:rPr>
          <w:color w:val="000000" w:themeColor="text1"/>
          <w:kern w:val="0"/>
        </w:rPr>
      </w:pPr>
      <w:r w:rsidRPr="00B12FE0">
        <w:rPr>
          <w:color w:val="000000" w:themeColor="text1"/>
          <w:kern w:val="0"/>
        </w:rPr>
        <w:t>有用线束经人体后的散射辐射，以等中心位置</w:t>
      </w:r>
      <w:r w:rsidRPr="00B12FE0">
        <w:rPr>
          <w:color w:val="000000" w:themeColor="text1"/>
          <w:kern w:val="0"/>
        </w:rPr>
        <w:t>O</w:t>
      </w:r>
      <w:r w:rsidRPr="00B12FE0">
        <w:rPr>
          <w:color w:val="000000" w:themeColor="text1"/>
          <w:kern w:val="0"/>
        </w:rPr>
        <w:t>为散射体中心，散射角接近</w:t>
      </w:r>
      <w:r w:rsidRPr="00B12FE0">
        <w:rPr>
          <w:color w:val="000000" w:themeColor="text1"/>
          <w:kern w:val="0"/>
        </w:rPr>
        <w:t>30</w:t>
      </w:r>
      <w:r w:rsidRPr="00B12FE0">
        <w:rPr>
          <w:color w:val="000000" w:themeColor="text1"/>
          <w:kern w:val="0"/>
        </w:rPr>
        <w:sym w:font="Symbol" w:char="00B0"/>
      </w:r>
      <w:r w:rsidRPr="00B12FE0">
        <w:rPr>
          <w:color w:val="000000" w:themeColor="text1"/>
          <w:kern w:val="0"/>
        </w:rPr>
        <w:t>，屏蔽墙的斜射角与散射角相同。</w:t>
      </w:r>
    </w:p>
    <w:p w14:paraId="4CD89B06" w14:textId="77777777" w:rsidR="00A67F21" w:rsidRPr="00B12FE0" w:rsidRDefault="00000000">
      <w:pPr>
        <w:tabs>
          <w:tab w:val="left" w:pos="1017"/>
        </w:tabs>
        <w:adjustRightInd w:val="0"/>
        <w:snapToGrid w:val="0"/>
        <w:spacing w:line="360" w:lineRule="auto"/>
        <w:jc w:val="center"/>
        <w:rPr>
          <w:color w:val="000000" w:themeColor="text1"/>
        </w:rPr>
      </w:pPr>
      <w:r w:rsidRPr="00B12FE0">
        <w:rPr>
          <w:color w:val="000000" w:themeColor="text1"/>
          <w:position w:val="-6"/>
        </w:rPr>
        <w:object w:dxaOrig="1289" w:dyaOrig="368" w14:anchorId="4D10775B">
          <v:shape id="_x0000_i1035" type="#_x0000_t75" style="width:64.5pt;height:18.7pt" o:ole="">
            <v:imagedata r:id="rId76" o:title=""/>
          </v:shape>
          <o:OLEObject Type="Embed" ProgID="Equation.3" ShapeID="_x0000_i1035" DrawAspect="Content" ObjectID="_1843190433" r:id="rId77"/>
        </w:object>
      </w:r>
      <w:r w:rsidRPr="00B12FE0">
        <w:rPr>
          <w:color w:val="000000" w:themeColor="text1"/>
        </w:rPr>
        <w:t>……………………………………</w:t>
      </w:r>
      <w:proofErr w:type="gramStart"/>
      <w:r w:rsidRPr="00B12FE0">
        <w:rPr>
          <w:color w:val="000000" w:themeColor="text1"/>
        </w:rPr>
        <w:t>…..</w:t>
      </w:r>
      <w:proofErr w:type="gramEnd"/>
      <w:r w:rsidRPr="00B12FE0">
        <w:rPr>
          <w:color w:val="000000" w:themeColor="text1"/>
        </w:rPr>
        <w:t>（式</w:t>
      </w:r>
      <w:r w:rsidRPr="00B12FE0">
        <w:rPr>
          <w:color w:val="000000" w:themeColor="text1"/>
        </w:rPr>
        <w:t>11.2.2.1-6</w:t>
      </w:r>
      <w:r w:rsidRPr="00B12FE0">
        <w:rPr>
          <w:color w:val="000000" w:themeColor="text1"/>
        </w:rPr>
        <w:t>）</w:t>
      </w:r>
    </w:p>
    <w:p w14:paraId="2CC0129E"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式中：</w:t>
      </w:r>
      <w:r w:rsidRPr="00B12FE0">
        <w:rPr>
          <w:color w:val="000000" w:themeColor="text1"/>
        </w:rPr>
        <w:t>B</w:t>
      </w:r>
      <w:r w:rsidRPr="00B12FE0">
        <w:rPr>
          <w:color w:val="000000" w:themeColor="text1"/>
        </w:rPr>
        <w:t>为辐射屏蔽透射因子；</w:t>
      </w:r>
      <w:r w:rsidRPr="00B12FE0">
        <w:rPr>
          <w:i/>
          <w:color w:val="000000" w:themeColor="text1"/>
        </w:rPr>
        <w:t>X</w:t>
      </w:r>
      <w:r w:rsidRPr="00B12FE0">
        <w:rPr>
          <w:i/>
          <w:color w:val="000000" w:themeColor="text1"/>
          <w:vertAlign w:val="subscript"/>
        </w:rPr>
        <w:t>e</w:t>
      </w:r>
      <w:r w:rsidRPr="00B12FE0">
        <w:rPr>
          <w:color w:val="000000" w:themeColor="text1"/>
        </w:rPr>
        <w:t>为有效屏蔽厚度，</w:t>
      </w:r>
      <w:r w:rsidRPr="00B12FE0">
        <w:rPr>
          <w:color w:val="000000" w:themeColor="text1"/>
        </w:rPr>
        <w:t>cm</w:t>
      </w:r>
      <w:r w:rsidRPr="00B12FE0">
        <w:rPr>
          <w:color w:val="000000" w:themeColor="text1"/>
        </w:rPr>
        <w:t>；</w:t>
      </w:r>
    </w:p>
    <w:p w14:paraId="5F96FE47" w14:textId="77777777" w:rsidR="00A67F21" w:rsidRPr="00B12FE0" w:rsidRDefault="00000000">
      <w:pPr>
        <w:adjustRightInd w:val="0"/>
        <w:snapToGrid w:val="0"/>
        <w:spacing w:line="360" w:lineRule="auto"/>
        <w:ind w:firstLineChars="500" w:firstLine="1200"/>
        <w:rPr>
          <w:color w:val="000000" w:themeColor="text1"/>
        </w:rPr>
      </w:pPr>
      <w:r w:rsidRPr="00B12FE0">
        <w:rPr>
          <w:i/>
          <w:color w:val="000000" w:themeColor="text1"/>
        </w:rPr>
        <w:t>TVL</w:t>
      </w:r>
      <w:r w:rsidRPr="00B12FE0">
        <w:rPr>
          <w:i/>
          <w:color w:val="000000" w:themeColor="text1"/>
          <w:vertAlign w:val="subscript"/>
        </w:rPr>
        <w:t>s</w:t>
      </w:r>
      <w:r w:rsidRPr="00B12FE0">
        <w:rPr>
          <w:color w:val="000000" w:themeColor="text1"/>
        </w:rPr>
        <w:t>为患者散射辐射在混凝土中的</w:t>
      </w:r>
      <w:proofErr w:type="gramStart"/>
      <w:r w:rsidRPr="00B12FE0">
        <w:rPr>
          <w:color w:val="000000" w:themeColor="text1"/>
        </w:rPr>
        <w:t>什值层</w:t>
      </w:r>
      <w:proofErr w:type="gramEnd"/>
      <w:r w:rsidRPr="00B12FE0">
        <w:rPr>
          <w:color w:val="000000" w:themeColor="text1"/>
        </w:rPr>
        <w:t>。</w:t>
      </w:r>
    </w:p>
    <w:p w14:paraId="3EA5E38D" w14:textId="77777777" w:rsidR="00A67F21" w:rsidRPr="00B12FE0" w:rsidRDefault="00000000">
      <w:pPr>
        <w:tabs>
          <w:tab w:val="left" w:pos="1017"/>
        </w:tabs>
        <w:adjustRightInd w:val="0"/>
        <w:snapToGrid w:val="0"/>
        <w:spacing w:line="360" w:lineRule="auto"/>
        <w:ind w:firstLineChars="200" w:firstLine="480"/>
        <w:rPr>
          <w:color w:val="000000" w:themeColor="text1"/>
        </w:rPr>
      </w:pPr>
      <w:r w:rsidRPr="00B12FE0">
        <w:rPr>
          <w:color w:val="000000" w:themeColor="text1"/>
        </w:rPr>
        <w:t>散射辐射剂量：</w:t>
      </w:r>
    </w:p>
    <w:p w14:paraId="7D17786D" w14:textId="77777777" w:rsidR="00A67F21" w:rsidRPr="00B12FE0" w:rsidRDefault="00000000">
      <w:pPr>
        <w:tabs>
          <w:tab w:val="left" w:pos="1017"/>
        </w:tabs>
        <w:adjustRightInd w:val="0"/>
        <w:snapToGrid w:val="0"/>
        <w:spacing w:line="360" w:lineRule="auto"/>
        <w:jc w:val="center"/>
        <w:rPr>
          <w:color w:val="000000" w:themeColor="text1"/>
        </w:rPr>
      </w:pPr>
      <m:oMath>
        <m:sSub>
          <m:sSubPr>
            <m:ctrlPr>
              <w:rPr>
                <w:rFonts w:ascii="Cambria Math" w:hAnsi="Cambria Math"/>
                <w:i/>
                <w:color w:val="000000" w:themeColor="text1"/>
                <w:szCs w:val="24"/>
              </w:rPr>
            </m:ctrlPr>
          </m:sSubPr>
          <m:e>
            <m:acc>
              <m:accPr>
                <m:chr m:val="̇"/>
                <m:ctrlPr>
                  <w:rPr>
                    <w:rFonts w:ascii="Cambria Math" w:hAnsi="Cambria Math"/>
                    <w:i/>
                    <w:color w:val="000000" w:themeColor="text1"/>
                    <w:szCs w:val="24"/>
                  </w:rPr>
                </m:ctrlPr>
              </m:accPr>
              <m:e>
                <m:r>
                  <w:rPr>
                    <w:rFonts w:ascii="Cambria Math" w:hAnsi="Cambria Math"/>
                    <w:color w:val="000000" w:themeColor="text1"/>
                    <w:szCs w:val="24"/>
                  </w:rPr>
                  <m:t>H</m:t>
                </m:r>
              </m:e>
            </m:acc>
          </m:e>
          <m:sub>
            <m:r>
              <w:rPr>
                <w:rFonts w:ascii="Cambria Math" w:hAnsi="Cambria Math"/>
                <w:color w:val="000000" w:themeColor="text1"/>
                <w:szCs w:val="24"/>
              </w:rPr>
              <m:t>散</m:t>
            </m:r>
          </m:sub>
        </m:sSub>
        <m:r>
          <w:rPr>
            <w:rFonts w:ascii="Cambria Math" w:hAnsi="Cambria Math"/>
            <w:color w:val="000000" w:themeColor="text1"/>
            <w:szCs w:val="28"/>
          </w:rPr>
          <m:t>=</m:t>
        </m:r>
        <m:f>
          <m:fPr>
            <m:ctrlPr>
              <w:rPr>
                <w:rFonts w:ascii="Cambria Math" w:hAnsi="Cambria Math"/>
                <w:i/>
                <w:color w:val="000000" w:themeColor="text1"/>
                <w:szCs w:val="28"/>
              </w:rPr>
            </m:ctrlPr>
          </m:fPr>
          <m:num>
            <m:sSub>
              <m:sSubPr>
                <m:ctrlPr>
                  <w:rPr>
                    <w:rFonts w:ascii="Cambria Math" w:hAnsi="Cambria Math"/>
                    <w:i/>
                    <w:color w:val="000000" w:themeColor="text1"/>
                    <w:szCs w:val="28"/>
                  </w:rPr>
                </m:ctrlPr>
              </m:sSubPr>
              <m:e>
                <m:acc>
                  <m:accPr>
                    <m:chr m:val="̇"/>
                    <m:ctrlPr>
                      <w:rPr>
                        <w:rFonts w:ascii="Cambria Math" w:hAnsi="Cambria Math"/>
                        <w:i/>
                        <w:color w:val="000000" w:themeColor="text1"/>
                        <w:szCs w:val="28"/>
                      </w:rPr>
                    </m:ctrlPr>
                  </m:accPr>
                  <m:e>
                    <m:r>
                      <w:rPr>
                        <w:rFonts w:ascii="Cambria Math" w:hAnsi="Cambria Math"/>
                        <w:color w:val="000000" w:themeColor="text1"/>
                        <w:szCs w:val="28"/>
                      </w:rPr>
                      <m:t>H</m:t>
                    </m:r>
                  </m:e>
                </m:acc>
              </m:e>
              <m:sub>
                <m:r>
                  <w:rPr>
                    <w:rFonts w:ascii="Cambria Math" w:hAnsi="Cambria Math"/>
                    <w:color w:val="000000" w:themeColor="text1"/>
                    <w:szCs w:val="28"/>
                  </w:rPr>
                  <m:t>0</m:t>
                </m:r>
              </m:sub>
            </m:sSub>
            <m:r>
              <w:rPr>
                <w:rFonts w:ascii="Cambria Math" w:hAnsi="Cambria Math"/>
                <w:color w:val="000000" w:themeColor="text1"/>
                <w:szCs w:val="28"/>
              </w:rPr>
              <m:t>∙</m:t>
            </m:r>
            <m:sSub>
              <m:sSubPr>
                <m:ctrlPr>
                  <w:rPr>
                    <w:rFonts w:ascii="Cambria Math" w:hAnsi="Cambria Math"/>
                    <w:i/>
                    <w:color w:val="000000" w:themeColor="text1"/>
                    <w:szCs w:val="28"/>
                  </w:rPr>
                </m:ctrlPr>
              </m:sSubPr>
              <m:e>
                <m:r>
                  <w:rPr>
                    <w:rFonts w:ascii="Cambria Math" w:hAnsi="Cambria Math"/>
                    <w:color w:val="000000" w:themeColor="text1"/>
                    <w:szCs w:val="28"/>
                  </w:rPr>
                  <m:t>a</m:t>
                </m:r>
              </m:e>
              <m:sub>
                <m:r>
                  <w:rPr>
                    <w:rFonts w:ascii="Cambria Math" w:hAnsi="Cambria Math"/>
                    <w:color w:val="000000" w:themeColor="text1"/>
                    <w:szCs w:val="28"/>
                  </w:rPr>
                  <m:t>ph</m:t>
                </m:r>
              </m:sub>
            </m:sSub>
            <m:r>
              <w:rPr>
                <w:rFonts w:ascii="Cambria Math" w:hAnsi="Cambria Math"/>
                <w:color w:val="000000" w:themeColor="text1"/>
                <w:szCs w:val="28"/>
              </w:rPr>
              <m:t>∙(F/400)</m:t>
            </m:r>
          </m:num>
          <m:den>
            <m:sSup>
              <m:sSupPr>
                <m:ctrlPr>
                  <w:rPr>
                    <w:rFonts w:ascii="Cambria Math" w:hAnsi="Cambria Math"/>
                    <w:i/>
                    <w:color w:val="000000" w:themeColor="text1"/>
                    <w:szCs w:val="28"/>
                  </w:rPr>
                </m:ctrlPr>
              </m:sSupPr>
              <m:e>
                <m:sSub>
                  <m:sSubPr>
                    <m:ctrlPr>
                      <w:rPr>
                        <w:rFonts w:ascii="Cambria Math" w:hAnsi="Cambria Math"/>
                        <w:i/>
                        <w:color w:val="000000" w:themeColor="text1"/>
                        <w:szCs w:val="28"/>
                      </w:rPr>
                    </m:ctrlPr>
                  </m:sSubPr>
                  <m:e>
                    <m:r>
                      <w:rPr>
                        <w:rFonts w:ascii="Cambria Math" w:hAnsi="Cambria Math"/>
                        <w:color w:val="000000" w:themeColor="text1"/>
                        <w:szCs w:val="28"/>
                      </w:rPr>
                      <m:t>R</m:t>
                    </m:r>
                  </m:e>
                  <m:sub>
                    <m:r>
                      <w:rPr>
                        <w:rFonts w:ascii="Cambria Math" w:hAnsi="Cambria Math"/>
                        <w:color w:val="000000" w:themeColor="text1"/>
                        <w:szCs w:val="28"/>
                      </w:rPr>
                      <m:t>S</m:t>
                    </m:r>
                  </m:sub>
                </m:sSub>
              </m:e>
              <m:sup>
                <m:r>
                  <w:rPr>
                    <w:rFonts w:ascii="Cambria Math" w:hAnsi="Cambria Math"/>
                    <w:color w:val="000000" w:themeColor="text1"/>
                    <w:szCs w:val="28"/>
                  </w:rPr>
                  <m:t>2</m:t>
                </m:r>
              </m:sup>
            </m:sSup>
          </m:den>
        </m:f>
        <m:r>
          <w:rPr>
            <w:rFonts w:ascii="Cambria Math" w:hAnsi="Cambria Math"/>
            <w:color w:val="000000" w:themeColor="text1"/>
            <w:szCs w:val="28"/>
          </w:rPr>
          <m:t>∙B</m:t>
        </m:r>
      </m:oMath>
      <w:r w:rsidRPr="00B12FE0">
        <w:rPr>
          <w:color w:val="000000" w:themeColor="text1"/>
        </w:rPr>
        <w:t>…………………………</w:t>
      </w:r>
      <w:proofErr w:type="gramStart"/>
      <w:r w:rsidRPr="00B12FE0">
        <w:rPr>
          <w:color w:val="000000" w:themeColor="text1"/>
        </w:rPr>
        <w:t>…..</w:t>
      </w:r>
      <w:proofErr w:type="gramEnd"/>
      <w:r w:rsidRPr="00B12FE0">
        <w:rPr>
          <w:color w:val="000000" w:themeColor="text1"/>
        </w:rPr>
        <w:t>（式</w:t>
      </w:r>
      <w:r w:rsidRPr="00B12FE0">
        <w:rPr>
          <w:color w:val="000000" w:themeColor="text1"/>
        </w:rPr>
        <w:t>11.2.2.1-7</w:t>
      </w:r>
      <w:r w:rsidRPr="00B12FE0">
        <w:rPr>
          <w:color w:val="000000" w:themeColor="text1"/>
        </w:rPr>
        <w:t>）</w:t>
      </w:r>
    </w:p>
    <w:p w14:paraId="0873F67F" w14:textId="77777777" w:rsidR="00A67F21" w:rsidRPr="00B12FE0" w:rsidRDefault="00000000">
      <w:pPr>
        <w:widowControl/>
        <w:autoSpaceDE w:val="0"/>
        <w:autoSpaceDN w:val="0"/>
        <w:adjustRightInd w:val="0"/>
        <w:spacing w:line="360" w:lineRule="auto"/>
        <w:ind w:firstLineChars="200" w:firstLine="480"/>
        <w:jc w:val="left"/>
        <w:textAlignment w:val="baseline"/>
        <w:rPr>
          <w:color w:val="000000" w:themeColor="text1"/>
          <w:kern w:val="0"/>
        </w:rPr>
      </w:pPr>
      <w:r w:rsidRPr="00B12FE0">
        <w:rPr>
          <w:color w:val="000000" w:themeColor="text1"/>
          <w:kern w:val="0"/>
        </w:rPr>
        <w:t>式中：</w:t>
      </w:r>
    </w:p>
    <w:p w14:paraId="63C41437" w14:textId="77777777" w:rsidR="00A67F21" w:rsidRPr="00B12FE0" w:rsidRDefault="00000000">
      <w:pPr>
        <w:widowControl/>
        <w:autoSpaceDE w:val="0"/>
        <w:autoSpaceDN w:val="0"/>
        <w:adjustRightInd w:val="0"/>
        <w:spacing w:line="360" w:lineRule="auto"/>
        <w:ind w:firstLineChars="400" w:firstLine="960"/>
        <w:jc w:val="left"/>
        <w:textAlignment w:val="baseline"/>
        <w:rPr>
          <w:color w:val="000000" w:themeColor="text1"/>
          <w:kern w:val="0"/>
        </w:rPr>
      </w:pPr>
      <m:oMath>
        <m:sSub>
          <m:sSubPr>
            <m:ctrlPr>
              <w:rPr>
                <w:rFonts w:ascii="Cambria Math" w:hAnsi="Cambria Math"/>
                <w:i/>
                <w:color w:val="000000" w:themeColor="text1"/>
                <w:szCs w:val="24"/>
              </w:rPr>
            </m:ctrlPr>
          </m:sSubPr>
          <m:e>
            <m:acc>
              <m:accPr>
                <m:chr m:val="̇"/>
                <m:ctrlPr>
                  <w:rPr>
                    <w:rFonts w:ascii="Cambria Math" w:hAnsi="Cambria Math"/>
                    <w:i/>
                    <w:color w:val="000000" w:themeColor="text1"/>
                    <w:szCs w:val="24"/>
                  </w:rPr>
                </m:ctrlPr>
              </m:accPr>
              <m:e>
                <m:r>
                  <w:rPr>
                    <w:rFonts w:ascii="Cambria Math" w:hAnsi="Cambria Math"/>
                    <w:color w:val="000000" w:themeColor="text1"/>
                    <w:szCs w:val="24"/>
                  </w:rPr>
                  <m:t>H</m:t>
                </m:r>
              </m:e>
            </m:acc>
          </m:e>
          <m:sub>
            <m:r>
              <w:rPr>
                <w:rFonts w:ascii="Cambria Math" w:hAnsi="Cambria Math"/>
                <w:color w:val="000000" w:themeColor="text1"/>
                <w:szCs w:val="24"/>
              </w:rPr>
              <m:t>散</m:t>
            </m:r>
          </m:sub>
        </m:sSub>
      </m:oMath>
      <w:r w:rsidRPr="00B12FE0">
        <w:rPr>
          <w:color w:val="000000" w:themeColor="text1"/>
          <w:position w:val="-6"/>
        </w:rPr>
        <w:t>——</w:t>
      </w:r>
      <w:r w:rsidRPr="00B12FE0">
        <w:rPr>
          <w:color w:val="000000" w:themeColor="text1"/>
          <w:kern w:val="0"/>
        </w:rPr>
        <w:t>为关注点散射辐射剂量率，</w:t>
      </w:r>
      <w:proofErr w:type="spellStart"/>
      <w:r w:rsidRPr="00B12FE0">
        <w:rPr>
          <w:color w:val="000000" w:themeColor="text1"/>
          <w:kern w:val="0"/>
        </w:rPr>
        <w:t>μSv</w:t>
      </w:r>
      <w:proofErr w:type="spellEnd"/>
      <w:r w:rsidRPr="00B12FE0">
        <w:rPr>
          <w:color w:val="000000" w:themeColor="text1"/>
          <w:kern w:val="0"/>
        </w:rPr>
        <w:t>/h</w:t>
      </w:r>
      <w:r w:rsidRPr="00B12FE0">
        <w:rPr>
          <w:color w:val="000000" w:themeColor="text1"/>
          <w:kern w:val="0"/>
        </w:rPr>
        <w:t>；</w:t>
      </w:r>
    </w:p>
    <w:p w14:paraId="74487704" w14:textId="77777777" w:rsidR="00A67F21" w:rsidRPr="00B12FE0" w:rsidRDefault="00000000">
      <w:pPr>
        <w:widowControl/>
        <w:adjustRightInd w:val="0"/>
        <w:spacing w:line="360" w:lineRule="auto"/>
        <w:ind w:firstLineChars="400" w:firstLine="960"/>
        <w:jc w:val="left"/>
        <w:textAlignment w:val="baseline"/>
        <w:rPr>
          <w:color w:val="000000" w:themeColor="text1"/>
          <w:kern w:val="0"/>
        </w:rPr>
      </w:p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o</m:t>
            </m:r>
          </m:sub>
        </m:sSub>
      </m:oMath>
      <w:r w:rsidRPr="00B12FE0">
        <w:rPr>
          <w:color w:val="000000" w:themeColor="text1"/>
          <w:position w:val="-6"/>
        </w:rPr>
        <w:t>——</w:t>
      </w:r>
      <w:r w:rsidRPr="00B12FE0">
        <w:rPr>
          <w:color w:val="000000" w:themeColor="text1"/>
          <w:kern w:val="0"/>
        </w:rPr>
        <w:t>为加速器有用线束中心轴上距产生治疗</w:t>
      </w:r>
      <w:r w:rsidRPr="00B12FE0">
        <w:rPr>
          <w:color w:val="000000" w:themeColor="text1"/>
          <w:kern w:val="0"/>
        </w:rPr>
        <w:t>X</w:t>
      </w:r>
      <w:r w:rsidRPr="00B12FE0">
        <w:rPr>
          <w:color w:val="000000" w:themeColor="text1"/>
          <w:kern w:val="0"/>
        </w:rPr>
        <w:t>射线束的靶</w:t>
      </w:r>
      <w:r w:rsidRPr="00B12FE0">
        <w:rPr>
          <w:color w:val="000000" w:themeColor="text1"/>
          <w:kern w:val="0"/>
        </w:rPr>
        <w:t>1m</w:t>
      </w:r>
      <w:r w:rsidRPr="00B12FE0">
        <w:rPr>
          <w:color w:val="000000" w:themeColor="text1"/>
          <w:kern w:val="0"/>
        </w:rPr>
        <w:t>处的常用最高剂量率，</w:t>
      </w:r>
      <w:r w:rsidRPr="00B12FE0">
        <w:rPr>
          <w:color w:val="000000" w:themeColor="text1"/>
          <w:kern w:val="0"/>
        </w:rPr>
        <w:t>μSv•m</w:t>
      </w:r>
      <w:r w:rsidRPr="00B12FE0">
        <w:rPr>
          <w:color w:val="000000" w:themeColor="text1"/>
          <w:kern w:val="0"/>
          <w:vertAlign w:val="superscript"/>
        </w:rPr>
        <w:t>2</w:t>
      </w:r>
      <w:r w:rsidRPr="00B12FE0">
        <w:rPr>
          <w:color w:val="000000" w:themeColor="text1"/>
          <w:kern w:val="0"/>
        </w:rPr>
        <w:t>/h</w:t>
      </w:r>
      <w:r w:rsidRPr="00B12FE0">
        <w:rPr>
          <w:color w:val="000000" w:themeColor="text1"/>
          <w:kern w:val="0"/>
        </w:rPr>
        <w:t>；</w:t>
      </w:r>
    </w:p>
    <w:p w14:paraId="1B0ACA05" w14:textId="77777777" w:rsidR="00A67F21" w:rsidRPr="00B12FE0" w:rsidRDefault="00000000">
      <w:pPr>
        <w:widowControl/>
        <w:adjustRightInd w:val="0"/>
        <w:spacing w:line="360" w:lineRule="auto"/>
        <w:ind w:firstLineChars="400" w:firstLine="960"/>
        <w:jc w:val="left"/>
        <w:textAlignment w:val="baseline"/>
        <w:rPr>
          <w:color w:val="000000" w:themeColor="text1"/>
          <w:kern w:val="0"/>
        </w:rPr>
      </w:pPr>
      <w:r w:rsidRPr="00B12FE0">
        <w:rPr>
          <w:i/>
          <w:iCs/>
          <w:color w:val="000000" w:themeColor="text1"/>
          <w:kern w:val="0"/>
        </w:rPr>
        <w:t>R</w:t>
      </w:r>
      <w:r w:rsidRPr="00B12FE0">
        <w:rPr>
          <w:i/>
          <w:iCs/>
          <w:color w:val="000000" w:themeColor="text1"/>
          <w:kern w:val="0"/>
          <w:vertAlign w:val="subscript"/>
        </w:rPr>
        <w:t>s</w:t>
      </w:r>
      <w:r w:rsidRPr="00B12FE0">
        <w:rPr>
          <w:i/>
          <w:iCs/>
          <w:color w:val="000000" w:themeColor="text1"/>
          <w:kern w:val="0"/>
        </w:rPr>
        <w:t>——</w:t>
      </w:r>
      <w:r w:rsidRPr="00B12FE0">
        <w:rPr>
          <w:color w:val="000000" w:themeColor="text1"/>
          <w:kern w:val="0"/>
        </w:rPr>
        <w:t>为患者（位于等中心点）</w:t>
      </w:r>
      <w:proofErr w:type="gramStart"/>
      <w:r w:rsidRPr="00B12FE0">
        <w:rPr>
          <w:color w:val="000000" w:themeColor="text1"/>
          <w:kern w:val="0"/>
        </w:rPr>
        <w:t>至关注</w:t>
      </w:r>
      <w:proofErr w:type="gramEnd"/>
      <w:r w:rsidRPr="00B12FE0">
        <w:rPr>
          <w:color w:val="000000" w:themeColor="text1"/>
          <w:kern w:val="0"/>
        </w:rPr>
        <w:t>点的距离，</w:t>
      </w:r>
      <w:r w:rsidRPr="00B12FE0">
        <w:rPr>
          <w:color w:val="000000" w:themeColor="text1"/>
          <w:kern w:val="0"/>
        </w:rPr>
        <w:t>m</w:t>
      </w:r>
      <w:r w:rsidRPr="00B12FE0">
        <w:rPr>
          <w:color w:val="000000" w:themeColor="text1"/>
          <w:kern w:val="0"/>
        </w:rPr>
        <w:t>；</w:t>
      </w:r>
    </w:p>
    <w:p w14:paraId="07F4D525" w14:textId="77777777" w:rsidR="00A67F21" w:rsidRPr="00B12FE0" w:rsidRDefault="00000000">
      <w:pPr>
        <w:widowControl/>
        <w:adjustRightInd w:val="0"/>
        <w:spacing w:line="360" w:lineRule="auto"/>
        <w:ind w:firstLineChars="400" w:firstLine="960"/>
        <w:jc w:val="left"/>
        <w:textAlignment w:val="baseline"/>
        <w:rPr>
          <w:color w:val="000000" w:themeColor="text1"/>
          <w:kern w:val="0"/>
        </w:rPr>
      </w:pPr>
      <w:r w:rsidRPr="00B12FE0">
        <w:rPr>
          <w:i/>
          <w:iCs/>
          <w:color w:val="000000" w:themeColor="text1"/>
          <w:kern w:val="0"/>
        </w:rPr>
        <w:t>F——</w:t>
      </w:r>
      <w:r w:rsidRPr="00B12FE0">
        <w:rPr>
          <w:color w:val="000000" w:themeColor="text1"/>
          <w:kern w:val="0"/>
        </w:rPr>
        <w:t>为治疗装置有用束在等中心处的最大治疗野面积，</w:t>
      </w:r>
      <w:r w:rsidRPr="00B12FE0">
        <w:rPr>
          <w:color w:val="000000" w:themeColor="text1"/>
          <w:kern w:val="0"/>
        </w:rPr>
        <w:t>cm</w:t>
      </w:r>
      <w:r w:rsidRPr="00B12FE0">
        <w:rPr>
          <w:color w:val="000000" w:themeColor="text1"/>
          <w:kern w:val="0"/>
          <w:vertAlign w:val="superscript"/>
        </w:rPr>
        <w:t>2</w:t>
      </w:r>
      <w:r w:rsidRPr="00B12FE0">
        <w:rPr>
          <w:color w:val="000000" w:themeColor="text1"/>
          <w:kern w:val="0"/>
        </w:rPr>
        <w:t>；</w:t>
      </w:r>
    </w:p>
    <w:p w14:paraId="56A1B02D" w14:textId="77777777" w:rsidR="00A67F21" w:rsidRPr="00B12FE0" w:rsidRDefault="00000000">
      <w:pPr>
        <w:widowControl/>
        <w:adjustRightInd w:val="0"/>
        <w:spacing w:line="360" w:lineRule="auto"/>
        <w:ind w:firstLineChars="400" w:firstLine="960"/>
        <w:textAlignment w:val="baseline"/>
        <w:rPr>
          <w:color w:val="000000" w:themeColor="text1"/>
          <w:kern w:val="0"/>
        </w:rPr>
      </w:pPr>
      <w:proofErr w:type="spellStart"/>
      <w:r w:rsidRPr="00B12FE0">
        <w:rPr>
          <w:i/>
          <w:iCs/>
          <w:color w:val="000000" w:themeColor="text1"/>
          <w:kern w:val="0"/>
        </w:rPr>
        <w:t>a</w:t>
      </w:r>
      <w:r w:rsidRPr="00B12FE0">
        <w:rPr>
          <w:i/>
          <w:iCs/>
          <w:color w:val="000000" w:themeColor="text1"/>
          <w:kern w:val="0"/>
          <w:vertAlign w:val="subscript"/>
        </w:rPr>
        <w:t>ph</w:t>
      </w:r>
      <w:proofErr w:type="spellEnd"/>
      <w:r w:rsidRPr="00B12FE0">
        <w:rPr>
          <w:i/>
          <w:iCs/>
          <w:color w:val="000000" w:themeColor="text1"/>
          <w:kern w:val="0"/>
        </w:rPr>
        <w:t>——</w:t>
      </w:r>
      <w:r w:rsidRPr="00B12FE0">
        <w:rPr>
          <w:color w:val="000000" w:themeColor="text1"/>
          <w:kern w:val="0"/>
        </w:rPr>
        <w:t>为患者</w:t>
      </w:r>
      <w:r w:rsidRPr="00B12FE0">
        <w:rPr>
          <w:color w:val="000000" w:themeColor="text1"/>
          <w:kern w:val="0"/>
        </w:rPr>
        <w:t>400cm</w:t>
      </w:r>
      <w:r w:rsidRPr="00B12FE0">
        <w:rPr>
          <w:color w:val="000000" w:themeColor="text1"/>
          <w:kern w:val="0"/>
          <w:vertAlign w:val="superscript"/>
        </w:rPr>
        <w:t>2</w:t>
      </w:r>
      <w:r w:rsidRPr="00B12FE0">
        <w:rPr>
          <w:color w:val="000000" w:themeColor="text1"/>
          <w:kern w:val="0"/>
        </w:rPr>
        <w:t>面积上垂直入射</w:t>
      </w:r>
      <w:r w:rsidRPr="00B12FE0">
        <w:rPr>
          <w:color w:val="000000" w:themeColor="text1"/>
          <w:kern w:val="0"/>
        </w:rPr>
        <w:t>X</w:t>
      </w:r>
      <w:r w:rsidRPr="00B12FE0">
        <w:rPr>
          <w:color w:val="000000" w:themeColor="text1"/>
          <w:kern w:val="0"/>
        </w:rPr>
        <w:t>射线散射至距其</w:t>
      </w:r>
      <w:r w:rsidRPr="00B12FE0">
        <w:rPr>
          <w:color w:val="000000" w:themeColor="text1"/>
          <w:kern w:val="0"/>
        </w:rPr>
        <w:t>1m</w:t>
      </w:r>
      <w:r w:rsidRPr="00B12FE0">
        <w:rPr>
          <w:color w:val="000000" w:themeColor="text1"/>
          <w:kern w:val="0"/>
        </w:rPr>
        <w:t>（关注点方向）处的剂量比例，又称</w:t>
      </w:r>
      <w:r w:rsidRPr="00B12FE0">
        <w:rPr>
          <w:color w:val="000000" w:themeColor="text1"/>
          <w:kern w:val="0"/>
        </w:rPr>
        <w:t>400cm</w:t>
      </w:r>
      <w:r w:rsidRPr="00B12FE0">
        <w:rPr>
          <w:color w:val="000000" w:themeColor="text1"/>
          <w:kern w:val="0"/>
          <w:vertAlign w:val="superscript"/>
        </w:rPr>
        <w:t>2</w:t>
      </w:r>
      <w:r w:rsidRPr="00B12FE0">
        <w:rPr>
          <w:color w:val="000000" w:themeColor="text1"/>
          <w:kern w:val="0"/>
        </w:rPr>
        <w:t>面积上的散射因子。</w:t>
      </w:r>
    </w:p>
    <w:p w14:paraId="13F08FFB" w14:textId="77777777" w:rsidR="00A67F21" w:rsidRPr="00B12FE0" w:rsidRDefault="00000000">
      <w:pPr>
        <w:widowControl/>
        <w:adjustRightInd w:val="0"/>
        <w:spacing w:line="360" w:lineRule="auto"/>
        <w:ind w:firstLineChars="200" w:firstLine="480"/>
        <w:textAlignment w:val="baseline"/>
        <w:rPr>
          <w:color w:val="000000" w:themeColor="text1"/>
          <w:kern w:val="0"/>
        </w:rPr>
      </w:pPr>
      <w:r w:rsidRPr="00B12FE0">
        <w:rPr>
          <w:color w:val="000000" w:themeColor="text1"/>
          <w:kern w:val="0"/>
        </w:rPr>
        <w:t>与主屏蔽相连的次屏蔽墙外关注点的剂量率参数及结果见表</w:t>
      </w:r>
      <w:r w:rsidRPr="00B12FE0">
        <w:rPr>
          <w:color w:val="000000" w:themeColor="text1"/>
          <w:kern w:val="0"/>
        </w:rPr>
        <w:t>11.2.2.1-8</w:t>
      </w:r>
      <w:r w:rsidRPr="00B12FE0">
        <w:rPr>
          <w:color w:val="000000" w:themeColor="text1"/>
          <w:kern w:val="0"/>
        </w:rPr>
        <w:t>。</w:t>
      </w:r>
    </w:p>
    <w:p w14:paraId="0ED05DAA" w14:textId="77777777" w:rsidR="00A67F21" w:rsidRPr="00B12FE0" w:rsidRDefault="00000000">
      <w:pPr>
        <w:autoSpaceDE w:val="0"/>
        <w:spacing w:line="360" w:lineRule="auto"/>
        <w:jc w:val="center"/>
        <w:rPr>
          <w:b/>
          <w:bCs/>
          <w:color w:val="000000" w:themeColor="text1"/>
          <w:szCs w:val="21"/>
        </w:rPr>
      </w:pPr>
      <w:r w:rsidRPr="00B12FE0">
        <w:rPr>
          <w:b/>
          <w:bCs/>
          <w:color w:val="000000" w:themeColor="text1"/>
          <w:szCs w:val="21"/>
        </w:rPr>
        <w:t>表</w:t>
      </w:r>
      <w:r w:rsidRPr="00B12FE0">
        <w:rPr>
          <w:b/>
          <w:bCs/>
          <w:color w:val="000000" w:themeColor="text1"/>
          <w:szCs w:val="21"/>
        </w:rPr>
        <w:t xml:space="preserve">11.2.2.1-8  </w:t>
      </w:r>
      <w:r w:rsidRPr="00B12FE0">
        <w:rPr>
          <w:b/>
          <w:bCs/>
          <w:color w:val="000000" w:themeColor="text1"/>
          <w:szCs w:val="21"/>
        </w:rPr>
        <w:t>次屏蔽墙外</w:t>
      </w:r>
      <w:proofErr w:type="gramStart"/>
      <w:r w:rsidRPr="00B12FE0">
        <w:rPr>
          <w:b/>
          <w:bCs/>
          <w:color w:val="000000" w:themeColor="text1"/>
          <w:szCs w:val="21"/>
        </w:rPr>
        <w:t>及迷道外墙</w:t>
      </w:r>
      <w:proofErr w:type="gramEnd"/>
      <w:r w:rsidRPr="00B12FE0">
        <w:rPr>
          <w:b/>
          <w:bCs/>
          <w:color w:val="000000" w:themeColor="text1"/>
          <w:szCs w:val="21"/>
        </w:rPr>
        <w:t>关注点散射辐射剂量率计算参数及结果</w:t>
      </w:r>
    </w:p>
    <w:tbl>
      <w:tblPr>
        <w:tblW w:w="8800" w:type="dxa"/>
        <w:jc w:val="center"/>
        <w:tblLayout w:type="fixed"/>
        <w:tblLook w:val="04A0" w:firstRow="1" w:lastRow="0" w:firstColumn="1" w:lastColumn="0" w:noHBand="0" w:noVBand="1"/>
      </w:tblPr>
      <w:tblGrid>
        <w:gridCol w:w="1150"/>
        <w:gridCol w:w="1735"/>
        <w:gridCol w:w="943"/>
        <w:gridCol w:w="1104"/>
        <w:gridCol w:w="1125"/>
        <w:gridCol w:w="664"/>
        <w:gridCol w:w="868"/>
        <w:gridCol w:w="1211"/>
      </w:tblGrid>
      <w:tr w:rsidR="00A67F21" w:rsidRPr="00B12FE0" w14:paraId="43F6D962" w14:textId="77777777">
        <w:trPr>
          <w:trHeight w:val="612"/>
          <w:jc w:val="center"/>
        </w:trPr>
        <w:tc>
          <w:tcPr>
            <w:tcW w:w="1150" w:type="dxa"/>
            <w:tcBorders>
              <w:top w:val="single" w:sz="4" w:space="0" w:color="000000"/>
              <w:left w:val="single" w:sz="4" w:space="0" w:color="000000"/>
              <w:bottom w:val="single" w:sz="4" w:space="0" w:color="000000"/>
              <w:right w:val="single" w:sz="4" w:space="0" w:color="000000"/>
            </w:tcBorders>
            <w:vAlign w:val="center"/>
          </w:tcPr>
          <w:p w14:paraId="6AA5EF3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关注点</w:t>
            </w:r>
          </w:p>
        </w:tc>
        <w:tc>
          <w:tcPr>
            <w:tcW w:w="1735" w:type="dxa"/>
            <w:tcBorders>
              <w:top w:val="single" w:sz="4" w:space="0" w:color="000000"/>
              <w:left w:val="single" w:sz="4" w:space="0" w:color="000000"/>
              <w:bottom w:val="single" w:sz="4" w:space="0" w:color="000000"/>
              <w:right w:val="single" w:sz="4" w:space="0" w:color="000000"/>
            </w:tcBorders>
            <w:noWrap/>
            <w:vAlign w:val="center"/>
          </w:tcPr>
          <w:p w14:paraId="7AD5F99F" w14:textId="77777777" w:rsidR="00A67F21" w:rsidRPr="00B12FE0" w:rsidRDefault="00000000">
            <w:pPr>
              <w:widowControl/>
              <w:jc w:val="center"/>
              <w:textAlignment w:val="center"/>
              <w:rPr>
                <w:color w:val="000000" w:themeColor="text1"/>
                <w:sz w:val="21"/>
                <w:szCs w:val="21"/>
              </w:rPr>
            </w:pPr>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o</m:t>
                  </m:r>
                </m:sub>
              </m:sSub>
            </m:oMath>
            <w:r w:rsidRPr="00B12FE0">
              <w:rPr>
                <w:snapToGrid w:val="0"/>
                <w:color w:val="000000" w:themeColor="text1"/>
                <w:kern w:val="0"/>
                <w:sz w:val="21"/>
                <w:szCs w:val="21"/>
                <w:lang w:bidi="ar"/>
              </w:rPr>
              <w:t>(μSv•m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/h)</w:t>
            </w:r>
          </w:p>
        </w:tc>
        <w:tc>
          <w:tcPr>
            <w:tcW w:w="943" w:type="dxa"/>
            <w:tcBorders>
              <w:top w:val="single" w:sz="4" w:space="0" w:color="000000"/>
              <w:left w:val="single" w:sz="4" w:space="0" w:color="000000"/>
              <w:right w:val="single" w:sz="4" w:space="0" w:color="000000"/>
            </w:tcBorders>
            <w:noWrap/>
            <w:vAlign w:val="center"/>
          </w:tcPr>
          <w:p w14:paraId="7DD64C42" w14:textId="77777777" w:rsidR="00A67F21" w:rsidRPr="00B12FE0" w:rsidRDefault="00000000">
            <w:pPr>
              <w:widowControl/>
              <w:tabs>
                <w:tab w:val="center" w:pos="4201"/>
                <w:tab w:val="right" w:leader="dot" w:pos="9298"/>
              </w:tabs>
              <w:autoSpaceDE w:val="0"/>
              <w:autoSpaceDN w:val="0"/>
              <w:adjustRightInd w:val="0"/>
              <w:jc w:val="center"/>
              <w:textAlignment w:val="baseline"/>
              <w:rPr>
                <w:color w:val="000000" w:themeColor="text1"/>
                <w:kern w:val="0"/>
                <w:sz w:val="21"/>
                <w:szCs w:val="21"/>
                <w:lang w:bidi="ar"/>
              </w:rPr>
            </w:pPr>
            <w:r w:rsidRPr="00B12FE0">
              <w:rPr>
                <w:color w:val="000000" w:themeColor="text1"/>
                <w:sz w:val="21"/>
                <w:szCs w:val="21"/>
              </w:rPr>
              <w:t>Xe(cm)</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213877CA" w14:textId="77777777" w:rsidR="00A67F21" w:rsidRPr="00B12FE0" w:rsidRDefault="00000000">
            <w:pPr>
              <w:widowControl/>
              <w:tabs>
                <w:tab w:val="center" w:pos="4201"/>
                <w:tab w:val="right" w:leader="dot" w:pos="9298"/>
              </w:tabs>
              <w:autoSpaceDE w:val="0"/>
              <w:autoSpaceDN w:val="0"/>
              <w:adjustRightInd w:val="0"/>
              <w:jc w:val="center"/>
              <w:textAlignment w:val="baseline"/>
              <w:rPr>
                <w:color w:val="000000" w:themeColor="text1"/>
                <w:kern w:val="0"/>
                <w:sz w:val="21"/>
                <w:szCs w:val="21"/>
                <w:lang w:bidi="ar"/>
              </w:rPr>
            </w:pPr>
            <w:r w:rsidRPr="00B12FE0">
              <w:rPr>
                <w:color w:val="000000" w:themeColor="text1"/>
                <w:sz w:val="21"/>
                <w:szCs w:val="21"/>
              </w:rPr>
              <w:t>TVLs(cm)</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0E5844F2"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α</w:t>
            </w:r>
            <w:proofErr w:type="spellStart"/>
            <w:r w:rsidRPr="00B12FE0">
              <w:rPr>
                <w:snapToGrid w:val="0"/>
                <w:color w:val="000000" w:themeColor="text1"/>
                <w:kern w:val="0"/>
                <w:sz w:val="21"/>
                <w:szCs w:val="21"/>
                <w:vertAlign w:val="subscript"/>
                <w:lang w:bidi="ar"/>
              </w:rPr>
              <w:t>ph</w:t>
            </w:r>
            <w:proofErr w:type="spellEnd"/>
          </w:p>
        </w:tc>
        <w:tc>
          <w:tcPr>
            <w:tcW w:w="664" w:type="dxa"/>
            <w:tcBorders>
              <w:top w:val="single" w:sz="4" w:space="0" w:color="000000"/>
              <w:left w:val="single" w:sz="4" w:space="0" w:color="000000"/>
              <w:bottom w:val="single" w:sz="4" w:space="0" w:color="000000"/>
              <w:right w:val="single" w:sz="4" w:space="0" w:color="000000"/>
            </w:tcBorders>
            <w:noWrap/>
            <w:vAlign w:val="center"/>
          </w:tcPr>
          <w:p w14:paraId="6B59B31B"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F(</w:t>
            </w:r>
            <w:r w:rsidRPr="00B12FE0">
              <w:rPr>
                <w:b/>
                <w:color w:val="000000" w:themeColor="text1"/>
                <w:sz w:val="21"/>
                <w:szCs w:val="21"/>
              </w:rPr>
              <w:t>cm</w:t>
            </w:r>
            <w:r w:rsidRPr="00B12FE0">
              <w:rPr>
                <w:b/>
                <w:color w:val="000000" w:themeColor="text1"/>
                <w:sz w:val="21"/>
                <w:szCs w:val="21"/>
                <w:vertAlign w:val="superscript"/>
              </w:rPr>
              <w:t>2</w:t>
            </w:r>
            <w:r w:rsidRPr="00B12FE0">
              <w:rPr>
                <w:snapToGrid w:val="0"/>
                <w:color w:val="000000" w:themeColor="text1"/>
                <w:kern w:val="0"/>
                <w:sz w:val="21"/>
                <w:szCs w:val="21"/>
                <w:lang w:bidi="ar"/>
              </w:rPr>
              <w:t>)</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6B38FFAD"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Rs(m)</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04B58D35" w14:textId="77777777" w:rsidR="00A67F21" w:rsidRPr="00B12FE0" w:rsidRDefault="00000000">
            <w:pPr>
              <w:widowControl/>
              <w:jc w:val="center"/>
              <w:textAlignment w:val="center"/>
              <w:rPr>
                <w:color w:val="000000" w:themeColor="text1"/>
                <w:sz w:val="21"/>
                <w:szCs w:val="21"/>
              </w:rPr>
            </w:pPr>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散</m:t>
                  </m:r>
                </m:sub>
              </m:sSub>
            </m:oMath>
            <w:r w:rsidRPr="00B12FE0">
              <w:rPr>
                <w:snapToGrid w:val="0"/>
                <w:color w:val="000000" w:themeColor="text1"/>
                <w:kern w:val="0"/>
                <w:sz w:val="21"/>
                <w:szCs w:val="21"/>
                <w:lang w:bidi="ar"/>
              </w:rPr>
              <w:t>(μSv/h)</w:t>
            </w:r>
          </w:p>
        </w:tc>
      </w:tr>
      <w:tr w:rsidR="00A67F21" w:rsidRPr="00B12FE0" w14:paraId="4ED7FFEB" w14:textId="77777777">
        <w:trPr>
          <w:trHeight w:val="469"/>
          <w:jc w:val="center"/>
        </w:trPr>
        <w:tc>
          <w:tcPr>
            <w:tcW w:w="1150" w:type="dxa"/>
            <w:vMerge w:val="restart"/>
            <w:tcBorders>
              <w:top w:val="single" w:sz="4" w:space="0" w:color="000000"/>
              <w:left w:val="single" w:sz="4" w:space="0" w:color="000000"/>
              <w:bottom w:val="single" w:sz="4" w:space="0" w:color="000000"/>
              <w:right w:val="single" w:sz="4" w:space="0" w:color="000000"/>
            </w:tcBorders>
            <w:vAlign w:val="center"/>
          </w:tcPr>
          <w:p w14:paraId="6FFE681B"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c</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rFonts w:hint="eastAsia"/>
                <w:snapToGrid w:val="0"/>
                <w:color w:val="000000" w:themeColor="text1"/>
                <w:kern w:val="0"/>
                <w:sz w:val="21"/>
                <w:szCs w:val="21"/>
                <w:lang w:bidi="ar"/>
              </w:rPr>
              <w:t>c</w:t>
            </w:r>
            <w:r w:rsidRPr="00B12FE0">
              <w:rPr>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735" w:type="dxa"/>
            <w:tcBorders>
              <w:top w:val="single" w:sz="4" w:space="0" w:color="000000"/>
              <w:left w:val="single" w:sz="4" w:space="0" w:color="000000"/>
              <w:bottom w:val="single" w:sz="4" w:space="0" w:color="000000"/>
              <w:right w:val="single" w:sz="4" w:space="0" w:color="000000"/>
            </w:tcBorders>
            <w:vAlign w:val="center"/>
          </w:tcPr>
          <w:p w14:paraId="0DECB60B"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4D107C9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(15MV)</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0C87A5D7"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4AF1D071"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31</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39D666C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000000"/>
              <w:right w:val="single" w:sz="4" w:space="0" w:color="000000"/>
            </w:tcBorders>
            <w:noWrap/>
            <w:vAlign w:val="center"/>
          </w:tcPr>
          <w:p w14:paraId="7130BC92"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75BF31A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98</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42E10DB7"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4.54E-02</w:t>
            </w:r>
          </w:p>
        </w:tc>
      </w:tr>
      <w:tr w:rsidR="00A67F21" w:rsidRPr="00B12FE0" w14:paraId="1DC2E7E1" w14:textId="77777777">
        <w:trPr>
          <w:trHeight w:val="469"/>
          <w:jc w:val="center"/>
        </w:trPr>
        <w:tc>
          <w:tcPr>
            <w:tcW w:w="1150" w:type="dxa"/>
            <w:vMerge/>
            <w:tcBorders>
              <w:top w:val="single" w:sz="4" w:space="0" w:color="000000"/>
              <w:left w:val="single" w:sz="4" w:space="0" w:color="000000"/>
              <w:bottom w:val="single" w:sz="4" w:space="0" w:color="auto"/>
              <w:right w:val="single" w:sz="4" w:space="0" w:color="000000"/>
            </w:tcBorders>
            <w:vAlign w:val="center"/>
          </w:tcPr>
          <w:p w14:paraId="4F81BD6D" w14:textId="77777777" w:rsidR="00A67F21" w:rsidRPr="00B12FE0" w:rsidRDefault="00A67F21">
            <w:pPr>
              <w:jc w:val="center"/>
              <w:rPr>
                <w:color w:val="000000" w:themeColor="text1"/>
                <w:sz w:val="21"/>
                <w:szCs w:val="21"/>
              </w:rPr>
            </w:pPr>
          </w:p>
        </w:tc>
        <w:tc>
          <w:tcPr>
            <w:tcW w:w="1735" w:type="dxa"/>
            <w:tcBorders>
              <w:top w:val="single" w:sz="4" w:space="0" w:color="000000"/>
              <w:left w:val="single" w:sz="4" w:space="0" w:color="000000"/>
              <w:bottom w:val="single" w:sz="4" w:space="0" w:color="000000"/>
              <w:right w:val="single" w:sz="4" w:space="0" w:color="000000"/>
            </w:tcBorders>
            <w:vAlign w:val="center"/>
          </w:tcPr>
          <w:p w14:paraId="3F4CDD62"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02D5C9D4"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(10MV)</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5EAC7998"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19C1A32D"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28</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349DAF7E"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000000"/>
              <w:right w:val="single" w:sz="4" w:space="0" w:color="000000"/>
            </w:tcBorders>
            <w:noWrap/>
            <w:vAlign w:val="center"/>
          </w:tcPr>
          <w:p w14:paraId="20624CD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7629B1CF"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98</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389741C5"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4.04E-02</w:t>
            </w:r>
          </w:p>
        </w:tc>
      </w:tr>
      <w:tr w:rsidR="00A67F21" w:rsidRPr="00B12FE0" w14:paraId="3A5DAF8A" w14:textId="77777777">
        <w:trPr>
          <w:trHeight w:val="469"/>
          <w:jc w:val="center"/>
        </w:trPr>
        <w:tc>
          <w:tcPr>
            <w:tcW w:w="1150" w:type="dxa"/>
            <w:vMerge w:val="restart"/>
            <w:tcBorders>
              <w:top w:val="single" w:sz="4" w:space="0" w:color="auto"/>
              <w:left w:val="single" w:sz="4" w:space="0" w:color="auto"/>
              <w:bottom w:val="single" w:sz="4" w:space="0" w:color="auto"/>
              <w:right w:val="single" w:sz="4" w:space="0" w:color="auto"/>
            </w:tcBorders>
            <w:vAlign w:val="center"/>
          </w:tcPr>
          <w:p w14:paraId="594656E3" w14:textId="77777777" w:rsidR="00A67F21" w:rsidRPr="00B12FE0" w:rsidRDefault="00000000">
            <w:pPr>
              <w:jc w:val="center"/>
              <w:rPr>
                <w:color w:val="000000" w:themeColor="text1"/>
                <w:sz w:val="21"/>
                <w:szCs w:val="21"/>
              </w:rPr>
            </w:pPr>
            <w:r w:rsidRPr="00B12FE0">
              <w:rPr>
                <w:rFonts w:hint="eastAsia"/>
                <w:snapToGrid w:val="0"/>
                <w:color w:val="000000" w:themeColor="text1"/>
                <w:sz w:val="21"/>
                <w:szCs w:val="21"/>
                <w:lang w:bidi="ar"/>
              </w:rPr>
              <w:t>d</w:t>
            </w:r>
            <w:r w:rsidRPr="00B12FE0">
              <w:rPr>
                <w:rFonts w:hint="eastAsia"/>
                <w:snapToGrid w:val="0"/>
                <w:color w:val="000000" w:themeColor="text1"/>
                <w:sz w:val="21"/>
                <w:szCs w:val="21"/>
                <w:vertAlign w:val="subscript"/>
                <w:lang w:bidi="ar"/>
              </w:rPr>
              <w:t>1</w:t>
            </w:r>
            <w:r w:rsidRPr="00B12FE0">
              <w:rPr>
                <w:rFonts w:hint="eastAsia"/>
                <w:snapToGrid w:val="0"/>
                <w:color w:val="000000" w:themeColor="text1"/>
                <w:sz w:val="21"/>
                <w:szCs w:val="21"/>
                <w:lang w:bidi="ar"/>
              </w:rPr>
              <w:t xml:space="preserve"> /d</w:t>
            </w:r>
            <w:r w:rsidRPr="00B12FE0">
              <w:rPr>
                <w:rFonts w:hint="eastAsia"/>
                <w:snapToGrid w:val="0"/>
                <w:color w:val="000000" w:themeColor="text1"/>
                <w:sz w:val="21"/>
                <w:szCs w:val="21"/>
                <w:vertAlign w:val="subscript"/>
                <w:lang w:bidi="ar"/>
              </w:rPr>
              <w:t>2</w:t>
            </w:r>
            <w:r w:rsidRPr="00B12FE0">
              <w:rPr>
                <w:rFonts w:hint="eastAsia"/>
                <w:snapToGrid w:val="0"/>
                <w:color w:val="000000" w:themeColor="text1"/>
                <w:sz w:val="21"/>
                <w:szCs w:val="21"/>
                <w:lang w:bidi="ar"/>
              </w:rPr>
              <w:t>点</w:t>
            </w:r>
          </w:p>
        </w:tc>
        <w:tc>
          <w:tcPr>
            <w:tcW w:w="1735" w:type="dxa"/>
            <w:tcBorders>
              <w:top w:val="single" w:sz="4" w:space="0" w:color="000000"/>
              <w:left w:val="single" w:sz="4" w:space="0" w:color="auto"/>
              <w:bottom w:val="single" w:sz="4" w:space="0" w:color="000000"/>
              <w:right w:val="single" w:sz="4" w:space="0" w:color="000000"/>
            </w:tcBorders>
            <w:vAlign w:val="center"/>
          </w:tcPr>
          <w:p w14:paraId="7A802C7C"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22379213"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(15MV)</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48EBB4A6"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157E24A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31</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235157DD"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000000"/>
              <w:right w:val="single" w:sz="4" w:space="0" w:color="000000"/>
            </w:tcBorders>
            <w:noWrap/>
            <w:vAlign w:val="center"/>
          </w:tcPr>
          <w:p w14:paraId="02A4856B"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7C9EFBF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26</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7A34FF02"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5.37</w:t>
            </w:r>
            <w:r w:rsidRPr="00B12FE0">
              <w:rPr>
                <w:color w:val="000000" w:themeColor="text1"/>
                <w:sz w:val="21"/>
                <w:szCs w:val="21"/>
              </w:rPr>
              <w:t>E-02</w:t>
            </w:r>
          </w:p>
          <w:p w14:paraId="5E27DD32" w14:textId="77777777" w:rsidR="00A67F21" w:rsidRPr="00B12FE0" w:rsidRDefault="00A67F21">
            <w:pPr>
              <w:pStyle w:val="21"/>
              <w:ind w:left="480" w:firstLine="480"/>
              <w:rPr>
                <w:color w:val="000000" w:themeColor="text1"/>
              </w:rPr>
            </w:pPr>
          </w:p>
        </w:tc>
      </w:tr>
      <w:tr w:rsidR="00A67F21" w:rsidRPr="00B12FE0" w14:paraId="27893AC0" w14:textId="77777777">
        <w:trPr>
          <w:trHeight w:val="469"/>
          <w:jc w:val="center"/>
        </w:trPr>
        <w:tc>
          <w:tcPr>
            <w:tcW w:w="1150" w:type="dxa"/>
            <w:vMerge/>
            <w:tcBorders>
              <w:top w:val="single" w:sz="4" w:space="0" w:color="auto"/>
              <w:left w:val="single" w:sz="4" w:space="0" w:color="auto"/>
              <w:bottom w:val="single" w:sz="4" w:space="0" w:color="auto"/>
              <w:right w:val="single" w:sz="4" w:space="0" w:color="auto"/>
            </w:tcBorders>
            <w:vAlign w:val="center"/>
          </w:tcPr>
          <w:p w14:paraId="37241BF2" w14:textId="77777777" w:rsidR="00A67F21" w:rsidRPr="00B12FE0" w:rsidRDefault="00A67F21">
            <w:pPr>
              <w:jc w:val="center"/>
              <w:rPr>
                <w:color w:val="000000" w:themeColor="text1"/>
                <w:sz w:val="21"/>
                <w:szCs w:val="21"/>
              </w:rPr>
            </w:pPr>
          </w:p>
        </w:tc>
        <w:tc>
          <w:tcPr>
            <w:tcW w:w="1735" w:type="dxa"/>
            <w:tcBorders>
              <w:top w:val="single" w:sz="4" w:space="0" w:color="000000"/>
              <w:left w:val="single" w:sz="4" w:space="0" w:color="auto"/>
              <w:bottom w:val="single" w:sz="4" w:space="0" w:color="000000"/>
              <w:right w:val="single" w:sz="4" w:space="0" w:color="000000"/>
            </w:tcBorders>
            <w:vAlign w:val="center"/>
          </w:tcPr>
          <w:p w14:paraId="7F50F272"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5F71EFF4"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(10MV)</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310F5D4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3579328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28</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0594031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000000"/>
              <w:right w:val="single" w:sz="4" w:space="0" w:color="000000"/>
            </w:tcBorders>
            <w:noWrap/>
            <w:vAlign w:val="center"/>
          </w:tcPr>
          <w:p w14:paraId="1A475CF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3EC6B19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26</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6797043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4.77</w:t>
            </w:r>
            <w:r w:rsidRPr="00B12FE0">
              <w:rPr>
                <w:color w:val="000000" w:themeColor="text1"/>
                <w:sz w:val="21"/>
                <w:szCs w:val="21"/>
              </w:rPr>
              <w:t>E-02</w:t>
            </w:r>
          </w:p>
        </w:tc>
      </w:tr>
      <w:tr w:rsidR="00A67F21" w:rsidRPr="00B12FE0" w14:paraId="176FC954" w14:textId="77777777">
        <w:trPr>
          <w:trHeight w:val="469"/>
          <w:jc w:val="center"/>
        </w:trPr>
        <w:tc>
          <w:tcPr>
            <w:tcW w:w="1150" w:type="dxa"/>
            <w:vMerge w:val="restart"/>
            <w:tcBorders>
              <w:top w:val="single" w:sz="4" w:space="0" w:color="auto"/>
              <w:left w:val="single" w:sz="4" w:space="0" w:color="000000"/>
              <w:bottom w:val="single" w:sz="4" w:space="0" w:color="000000"/>
              <w:right w:val="single" w:sz="4" w:space="0" w:color="000000"/>
            </w:tcBorders>
            <w:vAlign w:val="center"/>
          </w:tcPr>
          <w:p w14:paraId="569F94E4"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p>
        </w:tc>
        <w:tc>
          <w:tcPr>
            <w:tcW w:w="1735" w:type="dxa"/>
            <w:tcBorders>
              <w:top w:val="single" w:sz="4" w:space="0" w:color="000000"/>
              <w:left w:val="single" w:sz="4" w:space="0" w:color="000000"/>
              <w:bottom w:val="single" w:sz="4" w:space="0" w:color="000000"/>
              <w:right w:val="single" w:sz="4" w:space="0" w:color="000000"/>
            </w:tcBorders>
            <w:vAlign w:val="center"/>
          </w:tcPr>
          <w:p w14:paraId="431FD10F"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36A40B4F"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(15MV)</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4E52ADE4"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185</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54E5D5A6"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31</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104228A2"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000000"/>
              <w:right w:val="single" w:sz="4" w:space="0" w:color="000000"/>
            </w:tcBorders>
            <w:noWrap/>
            <w:vAlign w:val="center"/>
          </w:tcPr>
          <w:p w14:paraId="551D94D5"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6AE3A23E"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8.53</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39D40FD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6.78E-02</w:t>
            </w:r>
          </w:p>
        </w:tc>
      </w:tr>
      <w:tr w:rsidR="00A67F21" w:rsidRPr="00B12FE0" w14:paraId="54AE9F74" w14:textId="77777777">
        <w:trPr>
          <w:trHeight w:val="479"/>
          <w:jc w:val="center"/>
        </w:trPr>
        <w:tc>
          <w:tcPr>
            <w:tcW w:w="1150" w:type="dxa"/>
            <w:vMerge/>
            <w:tcBorders>
              <w:top w:val="single" w:sz="4" w:space="0" w:color="000000"/>
              <w:left w:val="single" w:sz="4" w:space="0" w:color="000000"/>
              <w:bottom w:val="single" w:sz="4" w:space="0" w:color="000000"/>
              <w:right w:val="single" w:sz="4" w:space="0" w:color="000000"/>
            </w:tcBorders>
            <w:vAlign w:val="center"/>
          </w:tcPr>
          <w:p w14:paraId="368B4D6B" w14:textId="77777777" w:rsidR="00A67F21" w:rsidRPr="00B12FE0" w:rsidRDefault="00A67F21">
            <w:pPr>
              <w:jc w:val="center"/>
              <w:rPr>
                <w:color w:val="000000" w:themeColor="text1"/>
                <w:sz w:val="21"/>
                <w:szCs w:val="21"/>
              </w:rPr>
            </w:pPr>
          </w:p>
        </w:tc>
        <w:tc>
          <w:tcPr>
            <w:tcW w:w="1735" w:type="dxa"/>
            <w:tcBorders>
              <w:top w:val="single" w:sz="4" w:space="0" w:color="000000"/>
              <w:left w:val="single" w:sz="4" w:space="0" w:color="000000"/>
              <w:bottom w:val="single" w:sz="4" w:space="0" w:color="000000"/>
              <w:right w:val="single" w:sz="4" w:space="0" w:color="000000"/>
            </w:tcBorders>
            <w:vAlign w:val="center"/>
          </w:tcPr>
          <w:p w14:paraId="1925DAAA"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5C42689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(10MV)</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7AB3A24D"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185</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58665351"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28</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68972144"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000000"/>
              <w:right w:val="single" w:sz="4" w:space="0" w:color="000000"/>
            </w:tcBorders>
            <w:noWrap/>
            <w:vAlign w:val="center"/>
          </w:tcPr>
          <w:p w14:paraId="08E41B8D"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3201AEA4"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8.53</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059588D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6.22E-02</w:t>
            </w:r>
          </w:p>
        </w:tc>
      </w:tr>
      <w:tr w:rsidR="00A67F21" w:rsidRPr="00B12FE0" w14:paraId="0A2B2F57" w14:textId="77777777">
        <w:trPr>
          <w:trHeight w:val="479"/>
          <w:jc w:val="center"/>
        </w:trPr>
        <w:tc>
          <w:tcPr>
            <w:tcW w:w="1150" w:type="dxa"/>
            <w:vMerge w:val="restart"/>
            <w:tcBorders>
              <w:top w:val="single" w:sz="4" w:space="0" w:color="000000"/>
              <w:left w:val="single" w:sz="4" w:space="0" w:color="000000"/>
              <w:right w:val="single" w:sz="4" w:space="0" w:color="000000"/>
            </w:tcBorders>
            <w:vAlign w:val="center"/>
          </w:tcPr>
          <w:p w14:paraId="4A2803B3" w14:textId="77777777" w:rsidR="00A67F21" w:rsidRPr="00B12FE0" w:rsidRDefault="00000000">
            <w:pPr>
              <w:jc w:val="center"/>
              <w:rPr>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735" w:type="dxa"/>
            <w:tcBorders>
              <w:top w:val="single" w:sz="4" w:space="0" w:color="000000"/>
              <w:left w:val="single" w:sz="4" w:space="0" w:color="000000"/>
              <w:bottom w:val="single" w:sz="4" w:space="0" w:color="000000"/>
              <w:right w:val="single" w:sz="4" w:space="0" w:color="000000"/>
            </w:tcBorders>
            <w:vAlign w:val="center"/>
          </w:tcPr>
          <w:p w14:paraId="7C22CCB4"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5E141E0F"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(15MV)</w:t>
            </w:r>
          </w:p>
        </w:tc>
        <w:tc>
          <w:tcPr>
            <w:tcW w:w="943" w:type="dxa"/>
            <w:tcBorders>
              <w:top w:val="single" w:sz="4" w:space="0" w:color="000000"/>
              <w:left w:val="single" w:sz="4" w:space="0" w:color="000000"/>
              <w:bottom w:val="single" w:sz="4" w:space="0" w:color="000000"/>
              <w:right w:val="single" w:sz="4" w:space="0" w:color="000000"/>
            </w:tcBorders>
            <w:noWrap/>
            <w:vAlign w:val="center"/>
          </w:tcPr>
          <w:p w14:paraId="44D20B47"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104" w:type="dxa"/>
            <w:tcBorders>
              <w:top w:val="single" w:sz="4" w:space="0" w:color="000000"/>
              <w:left w:val="single" w:sz="4" w:space="0" w:color="000000"/>
              <w:bottom w:val="single" w:sz="4" w:space="0" w:color="000000"/>
              <w:right w:val="single" w:sz="4" w:space="0" w:color="000000"/>
            </w:tcBorders>
            <w:noWrap/>
            <w:vAlign w:val="center"/>
          </w:tcPr>
          <w:p w14:paraId="490776DD"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31</w:t>
            </w:r>
          </w:p>
        </w:tc>
        <w:tc>
          <w:tcPr>
            <w:tcW w:w="1125" w:type="dxa"/>
            <w:tcBorders>
              <w:top w:val="single" w:sz="4" w:space="0" w:color="000000"/>
              <w:left w:val="single" w:sz="4" w:space="0" w:color="000000"/>
              <w:bottom w:val="single" w:sz="4" w:space="0" w:color="000000"/>
              <w:right w:val="single" w:sz="4" w:space="0" w:color="000000"/>
            </w:tcBorders>
            <w:noWrap/>
            <w:vAlign w:val="center"/>
          </w:tcPr>
          <w:p w14:paraId="3E67CE7B"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000000"/>
              <w:right w:val="single" w:sz="4" w:space="0" w:color="000000"/>
            </w:tcBorders>
            <w:noWrap/>
            <w:vAlign w:val="center"/>
          </w:tcPr>
          <w:p w14:paraId="2F69287D"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000000"/>
              <w:right w:val="single" w:sz="4" w:space="0" w:color="000000"/>
            </w:tcBorders>
            <w:noWrap/>
            <w:vAlign w:val="center"/>
          </w:tcPr>
          <w:p w14:paraId="70431B26"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8.7</w:t>
            </w:r>
          </w:p>
        </w:tc>
        <w:tc>
          <w:tcPr>
            <w:tcW w:w="1211" w:type="dxa"/>
            <w:tcBorders>
              <w:top w:val="single" w:sz="4" w:space="0" w:color="000000"/>
              <w:left w:val="single" w:sz="4" w:space="0" w:color="000000"/>
              <w:bottom w:val="single" w:sz="4" w:space="0" w:color="000000"/>
              <w:right w:val="single" w:sz="4" w:space="0" w:color="000000"/>
            </w:tcBorders>
            <w:noWrap/>
            <w:vAlign w:val="center"/>
          </w:tcPr>
          <w:p w14:paraId="5975758B" w14:textId="77777777" w:rsidR="00A67F21" w:rsidRPr="00B12FE0" w:rsidRDefault="00000000">
            <w:pPr>
              <w:widowControl/>
              <w:jc w:val="center"/>
              <w:textAlignment w:val="center"/>
              <w:rPr>
                <w:color w:val="000000" w:themeColor="text1"/>
                <w:kern w:val="0"/>
                <w:sz w:val="21"/>
                <w:szCs w:val="21"/>
                <w:lang w:bidi="ar"/>
              </w:rPr>
            </w:pPr>
            <w:r w:rsidRPr="00B12FE0">
              <w:rPr>
                <w:color w:val="000000" w:themeColor="text1"/>
                <w:kern w:val="0"/>
                <w:sz w:val="21"/>
                <w:szCs w:val="21"/>
                <w:lang w:bidi="ar"/>
              </w:rPr>
              <w:t>4.84E-02</w:t>
            </w:r>
          </w:p>
        </w:tc>
      </w:tr>
      <w:tr w:rsidR="00A67F21" w:rsidRPr="00B12FE0" w14:paraId="10B50EF0" w14:textId="77777777">
        <w:trPr>
          <w:trHeight w:val="479"/>
          <w:jc w:val="center"/>
        </w:trPr>
        <w:tc>
          <w:tcPr>
            <w:tcW w:w="1150" w:type="dxa"/>
            <w:vMerge/>
            <w:tcBorders>
              <w:left w:val="single" w:sz="4" w:space="0" w:color="000000"/>
              <w:bottom w:val="single" w:sz="4" w:space="0" w:color="auto"/>
              <w:right w:val="single" w:sz="4" w:space="0" w:color="000000"/>
            </w:tcBorders>
            <w:vAlign w:val="center"/>
          </w:tcPr>
          <w:p w14:paraId="35C3C7EA" w14:textId="77777777" w:rsidR="00A67F21" w:rsidRPr="00B12FE0" w:rsidRDefault="00A67F21">
            <w:pPr>
              <w:jc w:val="center"/>
              <w:rPr>
                <w:color w:val="000000" w:themeColor="text1"/>
                <w:sz w:val="21"/>
                <w:szCs w:val="21"/>
              </w:rPr>
            </w:pPr>
          </w:p>
        </w:tc>
        <w:tc>
          <w:tcPr>
            <w:tcW w:w="1735" w:type="dxa"/>
            <w:tcBorders>
              <w:top w:val="single" w:sz="4" w:space="0" w:color="000000"/>
              <w:left w:val="single" w:sz="4" w:space="0" w:color="000000"/>
              <w:bottom w:val="single" w:sz="4" w:space="0" w:color="auto"/>
              <w:right w:val="single" w:sz="4" w:space="0" w:color="000000"/>
            </w:tcBorders>
            <w:vAlign w:val="center"/>
          </w:tcPr>
          <w:p w14:paraId="32D93566"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51E25847"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(10MV)</w:t>
            </w:r>
          </w:p>
        </w:tc>
        <w:tc>
          <w:tcPr>
            <w:tcW w:w="943" w:type="dxa"/>
            <w:tcBorders>
              <w:top w:val="single" w:sz="4" w:space="0" w:color="000000"/>
              <w:left w:val="single" w:sz="4" w:space="0" w:color="000000"/>
              <w:bottom w:val="single" w:sz="4" w:space="0" w:color="auto"/>
              <w:right w:val="single" w:sz="4" w:space="0" w:color="000000"/>
            </w:tcBorders>
            <w:noWrap/>
            <w:vAlign w:val="center"/>
          </w:tcPr>
          <w:p w14:paraId="73618DE8"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104" w:type="dxa"/>
            <w:tcBorders>
              <w:top w:val="single" w:sz="4" w:space="0" w:color="000000"/>
              <w:left w:val="single" w:sz="4" w:space="0" w:color="000000"/>
              <w:bottom w:val="single" w:sz="4" w:space="0" w:color="auto"/>
              <w:right w:val="single" w:sz="4" w:space="0" w:color="000000"/>
            </w:tcBorders>
            <w:noWrap/>
            <w:vAlign w:val="center"/>
          </w:tcPr>
          <w:p w14:paraId="008DEFA0"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28</w:t>
            </w:r>
          </w:p>
        </w:tc>
        <w:tc>
          <w:tcPr>
            <w:tcW w:w="1125" w:type="dxa"/>
            <w:tcBorders>
              <w:top w:val="single" w:sz="4" w:space="0" w:color="000000"/>
              <w:left w:val="single" w:sz="4" w:space="0" w:color="000000"/>
              <w:bottom w:val="single" w:sz="4" w:space="0" w:color="auto"/>
              <w:right w:val="single" w:sz="4" w:space="0" w:color="000000"/>
            </w:tcBorders>
            <w:noWrap/>
            <w:vAlign w:val="center"/>
          </w:tcPr>
          <w:p w14:paraId="602E87CB"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3.18</w:t>
            </w:r>
            <w:r w:rsidRPr="00B12FE0">
              <w:rPr>
                <w:color w:val="000000" w:themeColor="text1"/>
                <w:sz w:val="21"/>
                <w:szCs w:val="21"/>
              </w:rPr>
              <w:t>×10</w:t>
            </w:r>
            <w:r w:rsidRPr="00B12FE0">
              <w:rPr>
                <w:color w:val="000000" w:themeColor="text1"/>
                <w:sz w:val="21"/>
                <w:szCs w:val="21"/>
                <w:vertAlign w:val="superscript"/>
              </w:rPr>
              <w:t>-3</w:t>
            </w:r>
          </w:p>
        </w:tc>
        <w:tc>
          <w:tcPr>
            <w:tcW w:w="664" w:type="dxa"/>
            <w:tcBorders>
              <w:top w:val="single" w:sz="4" w:space="0" w:color="000000"/>
              <w:left w:val="single" w:sz="4" w:space="0" w:color="000000"/>
              <w:bottom w:val="single" w:sz="4" w:space="0" w:color="auto"/>
              <w:right w:val="single" w:sz="4" w:space="0" w:color="000000"/>
            </w:tcBorders>
            <w:noWrap/>
            <w:vAlign w:val="center"/>
          </w:tcPr>
          <w:p w14:paraId="741C5933" w14:textId="77777777" w:rsidR="00A67F21" w:rsidRPr="00B12FE0" w:rsidRDefault="00000000">
            <w:pPr>
              <w:widowControl/>
              <w:jc w:val="center"/>
              <w:textAlignment w:val="center"/>
              <w:rPr>
                <w:color w:val="000000" w:themeColor="text1"/>
                <w:kern w:val="0"/>
                <w:sz w:val="21"/>
                <w:szCs w:val="21"/>
                <w:lang w:bidi="ar"/>
              </w:rPr>
            </w:pPr>
            <w:r w:rsidRPr="00B12FE0">
              <w:rPr>
                <w:snapToGrid w:val="0"/>
                <w:color w:val="000000" w:themeColor="text1"/>
                <w:kern w:val="0"/>
                <w:sz w:val="21"/>
                <w:szCs w:val="21"/>
                <w:lang w:bidi="ar"/>
              </w:rPr>
              <w:t>1600</w:t>
            </w:r>
          </w:p>
        </w:tc>
        <w:tc>
          <w:tcPr>
            <w:tcW w:w="868" w:type="dxa"/>
            <w:tcBorders>
              <w:top w:val="single" w:sz="4" w:space="0" w:color="000000"/>
              <w:left w:val="single" w:sz="4" w:space="0" w:color="000000"/>
              <w:bottom w:val="single" w:sz="4" w:space="0" w:color="auto"/>
              <w:right w:val="single" w:sz="4" w:space="0" w:color="000000"/>
            </w:tcBorders>
            <w:noWrap/>
            <w:vAlign w:val="center"/>
          </w:tcPr>
          <w:p w14:paraId="7E96F8C1"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snapToGrid w:val="0"/>
                <w:color w:val="000000" w:themeColor="text1"/>
                <w:kern w:val="0"/>
                <w:sz w:val="21"/>
                <w:szCs w:val="21"/>
                <w:lang w:bidi="ar"/>
              </w:rPr>
              <w:t>8.7</w:t>
            </w:r>
          </w:p>
        </w:tc>
        <w:tc>
          <w:tcPr>
            <w:tcW w:w="1211" w:type="dxa"/>
            <w:tcBorders>
              <w:top w:val="single" w:sz="4" w:space="0" w:color="000000"/>
              <w:left w:val="single" w:sz="4" w:space="0" w:color="000000"/>
              <w:bottom w:val="single" w:sz="4" w:space="0" w:color="auto"/>
              <w:right w:val="single" w:sz="4" w:space="0" w:color="000000"/>
            </w:tcBorders>
            <w:noWrap/>
            <w:vAlign w:val="center"/>
          </w:tcPr>
          <w:p w14:paraId="00D1EE71" w14:textId="77777777" w:rsidR="00A67F21" w:rsidRPr="00B12FE0" w:rsidRDefault="00000000">
            <w:pPr>
              <w:widowControl/>
              <w:jc w:val="center"/>
              <w:textAlignment w:val="center"/>
              <w:rPr>
                <w:color w:val="000000" w:themeColor="text1"/>
                <w:kern w:val="0"/>
                <w:sz w:val="21"/>
                <w:szCs w:val="21"/>
                <w:lang w:bidi="ar"/>
              </w:rPr>
            </w:pPr>
            <w:r w:rsidRPr="00B12FE0">
              <w:rPr>
                <w:color w:val="000000" w:themeColor="text1"/>
                <w:kern w:val="0"/>
                <w:sz w:val="21"/>
                <w:szCs w:val="21"/>
                <w:lang w:bidi="ar"/>
              </w:rPr>
              <w:t>4.30E-02</w:t>
            </w:r>
          </w:p>
        </w:tc>
      </w:tr>
      <w:tr w:rsidR="00A67F21" w:rsidRPr="00B12FE0" w14:paraId="73A4935D" w14:textId="77777777">
        <w:trPr>
          <w:trHeight w:val="479"/>
          <w:jc w:val="center"/>
        </w:trPr>
        <w:tc>
          <w:tcPr>
            <w:tcW w:w="8800" w:type="dxa"/>
            <w:gridSpan w:val="8"/>
            <w:tcBorders>
              <w:top w:val="single" w:sz="4" w:space="0" w:color="auto"/>
              <w:left w:val="single" w:sz="4" w:space="0" w:color="auto"/>
              <w:bottom w:val="single" w:sz="4" w:space="0" w:color="auto"/>
              <w:right w:val="single" w:sz="4" w:space="0" w:color="auto"/>
            </w:tcBorders>
            <w:vAlign w:val="center"/>
          </w:tcPr>
          <w:p w14:paraId="0D0AD546" w14:textId="77777777" w:rsidR="00A67F21" w:rsidRPr="00B12FE0" w:rsidRDefault="00000000">
            <w:pPr>
              <w:widowControl/>
              <w:jc w:val="left"/>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注：本表中</w:t>
            </w: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有效屏蔽厚度根据</w:t>
            </w:r>
            <w:r w:rsidRPr="00B12FE0">
              <w:rPr>
                <w:snapToGrid w:val="0"/>
                <w:color w:val="000000" w:themeColor="text1"/>
                <w:kern w:val="0"/>
                <w:sz w:val="21"/>
                <w:szCs w:val="21"/>
                <w:lang w:bidi="ar"/>
              </w:rPr>
              <w:t>CAD</w:t>
            </w:r>
            <w:r w:rsidRPr="00B12FE0">
              <w:rPr>
                <w:snapToGrid w:val="0"/>
                <w:color w:val="000000" w:themeColor="text1"/>
                <w:kern w:val="0"/>
                <w:sz w:val="21"/>
                <w:szCs w:val="21"/>
                <w:lang w:bidi="ar"/>
              </w:rPr>
              <w:t>图纸测量得知。</w:t>
            </w:r>
          </w:p>
        </w:tc>
      </w:tr>
    </w:tbl>
    <w:p w14:paraId="0BB6506F" w14:textId="77777777" w:rsidR="00A67F21" w:rsidRPr="00B12FE0" w:rsidRDefault="00000000">
      <w:pPr>
        <w:widowControl/>
        <w:autoSpaceDE w:val="0"/>
        <w:adjustRightInd w:val="0"/>
        <w:spacing w:beforeLines="50" w:before="120" w:line="360" w:lineRule="auto"/>
        <w:ind w:firstLineChars="200" w:firstLine="482"/>
        <w:jc w:val="left"/>
        <w:textAlignment w:val="baseline"/>
        <w:rPr>
          <w:b/>
          <w:bCs/>
          <w:color w:val="000000" w:themeColor="text1"/>
          <w:kern w:val="0"/>
        </w:rPr>
      </w:pPr>
      <w:r w:rsidRPr="00B12FE0">
        <w:rPr>
          <w:b/>
          <w:bCs/>
          <w:color w:val="000000" w:themeColor="text1"/>
          <w:kern w:val="0"/>
        </w:rPr>
        <w:t>B</w:t>
      </w:r>
      <w:r w:rsidRPr="00B12FE0">
        <w:rPr>
          <w:b/>
          <w:bCs/>
          <w:color w:val="000000" w:themeColor="text1"/>
          <w:kern w:val="0"/>
        </w:rPr>
        <w:t>、泄漏辐射</w:t>
      </w:r>
    </w:p>
    <w:p w14:paraId="6C3874EF" w14:textId="77777777" w:rsidR="00A67F21" w:rsidRPr="00B12FE0" w:rsidRDefault="00000000">
      <w:pPr>
        <w:widowControl/>
        <w:adjustRightInd w:val="0"/>
        <w:spacing w:line="360" w:lineRule="auto"/>
        <w:ind w:firstLine="480"/>
        <w:textAlignment w:val="baseline"/>
        <w:rPr>
          <w:b/>
          <w:bCs/>
          <w:color w:val="000000" w:themeColor="text1"/>
          <w:kern w:val="0"/>
        </w:rPr>
      </w:pPr>
      <w:r w:rsidRPr="00B12FE0">
        <w:rPr>
          <w:color w:val="000000" w:themeColor="text1"/>
          <w:kern w:val="0"/>
          <w:szCs w:val="24"/>
        </w:rPr>
        <w:t>泄漏辐射的辐射剂量估算公式同</w:t>
      </w:r>
      <w:r w:rsidRPr="00B12FE0">
        <w:rPr>
          <w:color w:val="000000" w:themeColor="text1"/>
          <w:szCs w:val="24"/>
        </w:rPr>
        <w:t>式</w:t>
      </w:r>
      <w:r w:rsidRPr="00B12FE0">
        <w:rPr>
          <w:color w:val="000000" w:themeColor="text1"/>
          <w:szCs w:val="24"/>
        </w:rPr>
        <w:t>11.2.2.1-2~4</w:t>
      </w:r>
      <w:r w:rsidRPr="00B12FE0">
        <w:rPr>
          <w:color w:val="000000" w:themeColor="text1"/>
          <w:kern w:val="0"/>
          <w:szCs w:val="24"/>
        </w:rPr>
        <w:t>，其中泄漏辐射比率</w:t>
      </w:r>
      <w:r w:rsidRPr="00B12FE0">
        <w:rPr>
          <w:color w:val="000000" w:themeColor="text1"/>
          <w:kern w:val="0"/>
          <w:szCs w:val="24"/>
        </w:rPr>
        <w:t>f</w:t>
      </w:r>
      <w:r w:rsidRPr="00B12FE0">
        <w:rPr>
          <w:color w:val="000000" w:themeColor="text1"/>
          <w:kern w:val="0"/>
          <w:szCs w:val="24"/>
        </w:rPr>
        <w:t>为</w:t>
      </w:r>
      <w:r w:rsidRPr="00B12FE0">
        <w:rPr>
          <w:color w:val="000000" w:themeColor="text1"/>
          <w:kern w:val="0"/>
          <w:szCs w:val="24"/>
        </w:rPr>
        <w:t>0.001</w:t>
      </w:r>
      <w:r w:rsidRPr="00B12FE0">
        <w:rPr>
          <w:color w:val="000000" w:themeColor="text1"/>
          <w:kern w:val="0"/>
          <w:szCs w:val="24"/>
        </w:rPr>
        <w:t>。次屏蔽墙外泄漏辐射剂量率计算参数及结果见表</w:t>
      </w:r>
      <w:r w:rsidRPr="00B12FE0">
        <w:rPr>
          <w:color w:val="000000" w:themeColor="text1"/>
          <w:kern w:val="0"/>
          <w:szCs w:val="24"/>
        </w:rPr>
        <w:t>11.2.2.1-9</w:t>
      </w:r>
      <w:r w:rsidRPr="00B12FE0">
        <w:rPr>
          <w:color w:val="000000" w:themeColor="text1"/>
          <w:kern w:val="0"/>
          <w:szCs w:val="24"/>
        </w:rPr>
        <w:t>。</w:t>
      </w:r>
    </w:p>
    <w:p w14:paraId="4CEAE105" w14:textId="77777777" w:rsidR="00A67F21" w:rsidRPr="00B12FE0" w:rsidRDefault="00000000">
      <w:pPr>
        <w:autoSpaceDE w:val="0"/>
        <w:spacing w:line="360" w:lineRule="auto"/>
        <w:jc w:val="center"/>
        <w:rPr>
          <w:b/>
          <w:bCs/>
          <w:color w:val="000000" w:themeColor="text1"/>
          <w:szCs w:val="21"/>
        </w:rPr>
      </w:pPr>
      <w:r w:rsidRPr="00B12FE0">
        <w:rPr>
          <w:b/>
          <w:bCs/>
          <w:color w:val="000000" w:themeColor="text1"/>
          <w:szCs w:val="21"/>
        </w:rPr>
        <w:t>表</w:t>
      </w:r>
      <w:r w:rsidRPr="00B12FE0">
        <w:rPr>
          <w:b/>
          <w:bCs/>
          <w:color w:val="000000" w:themeColor="text1"/>
          <w:szCs w:val="21"/>
        </w:rPr>
        <w:t xml:space="preserve">11.2.2.1-9  </w:t>
      </w:r>
      <w:r w:rsidRPr="00B12FE0">
        <w:rPr>
          <w:b/>
          <w:bCs/>
          <w:color w:val="000000" w:themeColor="text1"/>
          <w:szCs w:val="21"/>
        </w:rPr>
        <w:t>次屏蔽墙外</w:t>
      </w:r>
      <w:proofErr w:type="gramStart"/>
      <w:r w:rsidRPr="00B12FE0">
        <w:rPr>
          <w:b/>
          <w:bCs/>
          <w:color w:val="000000" w:themeColor="text1"/>
          <w:szCs w:val="21"/>
        </w:rPr>
        <w:t>及迷道外墙</w:t>
      </w:r>
      <w:proofErr w:type="gramEnd"/>
      <w:r w:rsidRPr="00B12FE0">
        <w:rPr>
          <w:b/>
          <w:bCs/>
          <w:color w:val="000000" w:themeColor="text1"/>
          <w:szCs w:val="21"/>
        </w:rPr>
        <w:t>关注点泄漏辐射剂量率计算参数及结果</w:t>
      </w:r>
    </w:p>
    <w:tbl>
      <w:tblPr>
        <w:tblW w:w="8800" w:type="dxa"/>
        <w:jc w:val="center"/>
        <w:tblLayout w:type="fixed"/>
        <w:tblLook w:val="04A0" w:firstRow="1" w:lastRow="0" w:firstColumn="1" w:lastColumn="0" w:noHBand="0" w:noVBand="1"/>
      </w:tblPr>
      <w:tblGrid>
        <w:gridCol w:w="1009"/>
        <w:gridCol w:w="1178"/>
        <w:gridCol w:w="825"/>
        <w:gridCol w:w="1404"/>
        <w:gridCol w:w="943"/>
        <w:gridCol w:w="803"/>
        <w:gridCol w:w="1040"/>
        <w:gridCol w:w="1598"/>
      </w:tblGrid>
      <w:tr w:rsidR="00A67F21" w:rsidRPr="00B12FE0" w14:paraId="102FB1F2" w14:textId="77777777">
        <w:trPr>
          <w:trHeight w:val="785"/>
          <w:jc w:val="center"/>
        </w:trPr>
        <w:tc>
          <w:tcPr>
            <w:tcW w:w="1009" w:type="dxa"/>
            <w:tcBorders>
              <w:top w:val="single" w:sz="4" w:space="0" w:color="000000"/>
              <w:left w:val="single" w:sz="4" w:space="0" w:color="000000"/>
              <w:bottom w:val="single" w:sz="4" w:space="0" w:color="000000"/>
              <w:right w:val="single" w:sz="4" w:space="0" w:color="000000"/>
            </w:tcBorders>
            <w:vAlign w:val="center"/>
          </w:tcPr>
          <w:p w14:paraId="69C761BE"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关注点</w:t>
            </w:r>
          </w:p>
        </w:tc>
        <w:tc>
          <w:tcPr>
            <w:tcW w:w="1178" w:type="dxa"/>
            <w:tcBorders>
              <w:top w:val="single" w:sz="4" w:space="0" w:color="000000"/>
              <w:left w:val="single" w:sz="4" w:space="0" w:color="000000"/>
              <w:bottom w:val="single" w:sz="4" w:space="0" w:color="000000"/>
              <w:right w:val="single" w:sz="4" w:space="0" w:color="000000"/>
            </w:tcBorders>
            <w:vAlign w:val="center"/>
          </w:tcPr>
          <w:p w14:paraId="20FDA991" w14:textId="77777777" w:rsidR="00A67F21" w:rsidRPr="00B12FE0" w:rsidRDefault="00000000">
            <w:pPr>
              <w:widowControl/>
              <w:jc w:val="center"/>
              <w:textAlignment w:val="center"/>
              <w:rPr>
                <w:color w:val="000000" w:themeColor="text1"/>
                <w:sz w:val="21"/>
                <w:szCs w:val="21"/>
              </w:rPr>
            </w:pPr>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o</m:t>
                  </m:r>
                </m:sub>
              </m:sSub>
            </m:oMath>
            <w:r w:rsidRPr="00B12FE0">
              <w:rPr>
                <w:snapToGrid w:val="0"/>
                <w:color w:val="000000" w:themeColor="text1"/>
                <w:kern w:val="0"/>
                <w:sz w:val="21"/>
                <w:szCs w:val="21"/>
                <w:lang w:bidi="ar"/>
              </w:rPr>
              <w:t>(μSv•m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/h)</w:t>
            </w:r>
          </w:p>
        </w:tc>
        <w:tc>
          <w:tcPr>
            <w:tcW w:w="825" w:type="dxa"/>
            <w:tcBorders>
              <w:top w:val="single" w:sz="4" w:space="0" w:color="000000"/>
              <w:left w:val="single" w:sz="4" w:space="0" w:color="000000"/>
              <w:bottom w:val="single" w:sz="4" w:space="0" w:color="000000"/>
              <w:right w:val="single" w:sz="4" w:space="0" w:color="000000"/>
            </w:tcBorders>
            <w:vAlign w:val="center"/>
          </w:tcPr>
          <w:p w14:paraId="3E5ED699"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404" w:type="dxa"/>
            <w:tcBorders>
              <w:top w:val="single" w:sz="4" w:space="0" w:color="000000"/>
              <w:left w:val="single" w:sz="4" w:space="0" w:color="000000"/>
              <w:right w:val="single" w:sz="4" w:space="0" w:color="000000"/>
            </w:tcBorders>
            <w:vAlign w:val="center"/>
          </w:tcPr>
          <w:p w14:paraId="575B8AE4"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943" w:type="dxa"/>
            <w:tcBorders>
              <w:top w:val="single" w:sz="4" w:space="0" w:color="000000"/>
              <w:left w:val="single" w:sz="4" w:space="0" w:color="000000"/>
              <w:bottom w:val="single" w:sz="4" w:space="0" w:color="000000"/>
              <w:right w:val="single" w:sz="4" w:space="0" w:color="000000"/>
            </w:tcBorders>
            <w:vAlign w:val="center"/>
          </w:tcPr>
          <w:p w14:paraId="6DEC2877"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803" w:type="dxa"/>
            <w:tcBorders>
              <w:top w:val="single" w:sz="4" w:space="0" w:color="000000"/>
              <w:left w:val="single" w:sz="4" w:space="0" w:color="000000"/>
              <w:bottom w:val="single" w:sz="4" w:space="0" w:color="000000"/>
              <w:right w:val="single" w:sz="4" w:space="0" w:color="000000"/>
            </w:tcBorders>
            <w:vAlign w:val="center"/>
          </w:tcPr>
          <w:p w14:paraId="17D93CB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f</w:t>
            </w:r>
          </w:p>
        </w:tc>
        <w:tc>
          <w:tcPr>
            <w:tcW w:w="1040" w:type="dxa"/>
            <w:tcBorders>
              <w:top w:val="single" w:sz="4" w:space="0" w:color="000000"/>
              <w:left w:val="single" w:sz="4" w:space="0" w:color="000000"/>
              <w:bottom w:val="single" w:sz="4" w:space="0" w:color="000000"/>
              <w:right w:val="single" w:sz="4" w:space="0" w:color="000000"/>
            </w:tcBorders>
            <w:vAlign w:val="center"/>
          </w:tcPr>
          <w:p w14:paraId="03FA15AA"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598" w:type="dxa"/>
            <w:tcBorders>
              <w:top w:val="single" w:sz="4" w:space="0" w:color="000000"/>
              <w:left w:val="single" w:sz="4" w:space="0" w:color="000000"/>
              <w:bottom w:val="single" w:sz="4" w:space="0" w:color="000000"/>
              <w:right w:val="single" w:sz="4" w:space="0" w:color="000000"/>
            </w:tcBorders>
            <w:vAlign w:val="center"/>
          </w:tcPr>
          <w:p w14:paraId="2C1DD98D" w14:textId="77777777" w:rsidR="00A67F21" w:rsidRPr="00B12FE0" w:rsidRDefault="00000000">
            <w:pPr>
              <w:widowControl/>
              <w:jc w:val="center"/>
              <w:textAlignment w:val="center"/>
              <w:rPr>
                <w:color w:val="000000" w:themeColor="text1"/>
                <w:sz w:val="21"/>
                <w:szCs w:val="21"/>
              </w:rPr>
            </w:pPr>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漏</m:t>
                  </m:r>
                </m:sub>
              </m:sSub>
            </m:oMath>
            <w:r w:rsidRPr="00B12FE0">
              <w:rPr>
                <w:snapToGrid w:val="0"/>
                <w:color w:val="000000" w:themeColor="text1"/>
                <w:kern w:val="0"/>
                <w:sz w:val="21"/>
                <w:szCs w:val="21"/>
                <w:lang w:bidi="ar"/>
              </w:rPr>
              <w:t>(μSv/h)</w:t>
            </w:r>
          </w:p>
        </w:tc>
      </w:tr>
      <w:tr w:rsidR="00A67F21" w:rsidRPr="00B12FE0" w14:paraId="4D9D0CEE" w14:textId="77777777">
        <w:trPr>
          <w:trHeight w:val="270"/>
          <w:jc w:val="center"/>
        </w:trPr>
        <w:tc>
          <w:tcPr>
            <w:tcW w:w="1009" w:type="dxa"/>
            <w:vMerge w:val="restart"/>
            <w:tcBorders>
              <w:top w:val="single" w:sz="4" w:space="0" w:color="000000"/>
              <w:left w:val="single" w:sz="4" w:space="0" w:color="000000"/>
              <w:bottom w:val="single" w:sz="4" w:space="0" w:color="000000"/>
              <w:right w:val="single" w:sz="4" w:space="0" w:color="000000"/>
            </w:tcBorders>
            <w:vAlign w:val="center"/>
          </w:tcPr>
          <w:p w14:paraId="10CA3B7A"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c</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rFonts w:hint="eastAsia"/>
                <w:snapToGrid w:val="0"/>
                <w:color w:val="000000" w:themeColor="text1"/>
                <w:kern w:val="0"/>
                <w:sz w:val="21"/>
                <w:szCs w:val="21"/>
                <w:lang w:bidi="ar"/>
              </w:rPr>
              <w:t>c</w:t>
            </w:r>
            <w:r w:rsidRPr="00B12FE0">
              <w:rPr>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178" w:type="dxa"/>
            <w:tcBorders>
              <w:top w:val="single" w:sz="4" w:space="0" w:color="000000"/>
              <w:left w:val="single" w:sz="4" w:space="0" w:color="000000"/>
              <w:bottom w:val="single" w:sz="4" w:space="0" w:color="000000"/>
              <w:right w:val="single" w:sz="4" w:space="0" w:color="000000"/>
            </w:tcBorders>
            <w:vAlign w:val="center"/>
          </w:tcPr>
          <w:p w14:paraId="39587164"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1102DA67"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(15MV)</w:t>
            </w:r>
          </w:p>
        </w:tc>
        <w:tc>
          <w:tcPr>
            <w:tcW w:w="825" w:type="dxa"/>
            <w:tcBorders>
              <w:top w:val="single" w:sz="4" w:space="0" w:color="000000"/>
              <w:left w:val="single" w:sz="4" w:space="0" w:color="000000"/>
              <w:bottom w:val="single" w:sz="4" w:space="0" w:color="000000"/>
              <w:right w:val="single" w:sz="4" w:space="0" w:color="000000"/>
            </w:tcBorders>
            <w:vAlign w:val="center"/>
          </w:tcPr>
          <w:p w14:paraId="3581696D"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189</w:t>
            </w:r>
          </w:p>
        </w:tc>
        <w:tc>
          <w:tcPr>
            <w:tcW w:w="1404" w:type="dxa"/>
            <w:tcBorders>
              <w:top w:val="single" w:sz="4" w:space="0" w:color="000000"/>
              <w:left w:val="single" w:sz="4" w:space="0" w:color="000000"/>
              <w:bottom w:val="single" w:sz="4" w:space="0" w:color="000000"/>
              <w:right w:val="single" w:sz="4" w:space="0" w:color="000000"/>
            </w:tcBorders>
            <w:vAlign w:val="center"/>
          </w:tcPr>
          <w:p w14:paraId="40B6436E"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36</w:t>
            </w:r>
          </w:p>
        </w:tc>
        <w:tc>
          <w:tcPr>
            <w:tcW w:w="943" w:type="dxa"/>
            <w:tcBorders>
              <w:top w:val="single" w:sz="4" w:space="0" w:color="000000"/>
              <w:left w:val="single" w:sz="4" w:space="0" w:color="000000"/>
              <w:bottom w:val="single" w:sz="4" w:space="0" w:color="000000"/>
              <w:right w:val="single" w:sz="4" w:space="0" w:color="000000"/>
            </w:tcBorders>
            <w:vAlign w:val="center"/>
          </w:tcPr>
          <w:p w14:paraId="2B459BB8"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33</w:t>
            </w:r>
          </w:p>
        </w:tc>
        <w:tc>
          <w:tcPr>
            <w:tcW w:w="803" w:type="dxa"/>
            <w:tcBorders>
              <w:top w:val="single" w:sz="4" w:space="0" w:color="000000"/>
              <w:left w:val="single" w:sz="4" w:space="0" w:color="000000"/>
              <w:bottom w:val="single" w:sz="4" w:space="0" w:color="000000"/>
              <w:right w:val="single" w:sz="4" w:space="0" w:color="000000"/>
            </w:tcBorders>
            <w:vAlign w:val="center"/>
          </w:tcPr>
          <w:p w14:paraId="2873A3A2"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000000"/>
              <w:right w:val="single" w:sz="4" w:space="0" w:color="000000"/>
            </w:tcBorders>
            <w:vAlign w:val="center"/>
          </w:tcPr>
          <w:p w14:paraId="775943C2"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98</w:t>
            </w:r>
          </w:p>
        </w:tc>
        <w:tc>
          <w:tcPr>
            <w:tcW w:w="1598" w:type="dxa"/>
            <w:tcBorders>
              <w:top w:val="single" w:sz="4" w:space="0" w:color="000000"/>
              <w:left w:val="single" w:sz="4" w:space="0" w:color="000000"/>
              <w:bottom w:val="single" w:sz="4" w:space="0" w:color="000000"/>
              <w:right w:val="single" w:sz="4" w:space="0" w:color="000000"/>
            </w:tcBorders>
            <w:vAlign w:val="center"/>
          </w:tcPr>
          <w:p w14:paraId="36895560"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1.03E-02</w:t>
            </w:r>
          </w:p>
        </w:tc>
      </w:tr>
      <w:tr w:rsidR="00A67F21" w:rsidRPr="00B12FE0" w14:paraId="7E034EAA" w14:textId="77777777">
        <w:trPr>
          <w:trHeight w:val="270"/>
          <w:jc w:val="center"/>
        </w:trPr>
        <w:tc>
          <w:tcPr>
            <w:tcW w:w="1009" w:type="dxa"/>
            <w:vMerge/>
            <w:tcBorders>
              <w:top w:val="single" w:sz="4" w:space="0" w:color="000000"/>
              <w:left w:val="single" w:sz="4" w:space="0" w:color="000000"/>
              <w:bottom w:val="single" w:sz="4" w:space="0" w:color="000000"/>
              <w:right w:val="single" w:sz="4" w:space="0" w:color="000000"/>
            </w:tcBorders>
            <w:vAlign w:val="center"/>
          </w:tcPr>
          <w:p w14:paraId="1D05E420" w14:textId="77777777" w:rsidR="00A67F21" w:rsidRPr="00B12FE0" w:rsidRDefault="00A67F21">
            <w:pPr>
              <w:jc w:val="center"/>
              <w:rPr>
                <w:color w:val="000000" w:themeColor="text1"/>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tcPr>
          <w:p w14:paraId="060D550E"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48849AC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(10MV)</w:t>
            </w:r>
          </w:p>
        </w:tc>
        <w:tc>
          <w:tcPr>
            <w:tcW w:w="825" w:type="dxa"/>
            <w:tcBorders>
              <w:top w:val="single" w:sz="4" w:space="0" w:color="000000"/>
              <w:left w:val="single" w:sz="4" w:space="0" w:color="000000"/>
              <w:bottom w:val="single" w:sz="4" w:space="0" w:color="000000"/>
              <w:right w:val="single" w:sz="4" w:space="0" w:color="000000"/>
            </w:tcBorders>
            <w:vAlign w:val="center"/>
          </w:tcPr>
          <w:p w14:paraId="2231BF73"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189</w:t>
            </w:r>
          </w:p>
        </w:tc>
        <w:tc>
          <w:tcPr>
            <w:tcW w:w="1404" w:type="dxa"/>
            <w:tcBorders>
              <w:top w:val="single" w:sz="4" w:space="0" w:color="000000"/>
              <w:left w:val="single" w:sz="4" w:space="0" w:color="000000"/>
              <w:bottom w:val="single" w:sz="4" w:space="0" w:color="000000"/>
              <w:right w:val="single" w:sz="4" w:space="0" w:color="000000"/>
            </w:tcBorders>
            <w:vAlign w:val="center"/>
          </w:tcPr>
          <w:p w14:paraId="698A506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35</w:t>
            </w:r>
          </w:p>
        </w:tc>
        <w:tc>
          <w:tcPr>
            <w:tcW w:w="943" w:type="dxa"/>
            <w:tcBorders>
              <w:top w:val="single" w:sz="4" w:space="0" w:color="000000"/>
              <w:left w:val="single" w:sz="4" w:space="0" w:color="000000"/>
              <w:bottom w:val="single" w:sz="4" w:space="0" w:color="000000"/>
              <w:right w:val="single" w:sz="4" w:space="0" w:color="000000"/>
            </w:tcBorders>
            <w:vAlign w:val="center"/>
          </w:tcPr>
          <w:p w14:paraId="7A3A7C84"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31</w:t>
            </w:r>
          </w:p>
        </w:tc>
        <w:tc>
          <w:tcPr>
            <w:tcW w:w="803" w:type="dxa"/>
            <w:tcBorders>
              <w:top w:val="single" w:sz="4" w:space="0" w:color="000000"/>
              <w:left w:val="single" w:sz="4" w:space="0" w:color="000000"/>
              <w:bottom w:val="single" w:sz="4" w:space="0" w:color="000000"/>
              <w:right w:val="single" w:sz="4" w:space="0" w:color="000000"/>
            </w:tcBorders>
            <w:vAlign w:val="center"/>
          </w:tcPr>
          <w:p w14:paraId="30C7C7A5"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000000"/>
              <w:right w:val="single" w:sz="4" w:space="0" w:color="000000"/>
            </w:tcBorders>
            <w:vAlign w:val="center"/>
          </w:tcPr>
          <w:p w14:paraId="7B42C9CC"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98</w:t>
            </w:r>
          </w:p>
        </w:tc>
        <w:tc>
          <w:tcPr>
            <w:tcW w:w="1598" w:type="dxa"/>
            <w:tcBorders>
              <w:top w:val="single" w:sz="4" w:space="0" w:color="000000"/>
              <w:left w:val="single" w:sz="4" w:space="0" w:color="000000"/>
              <w:bottom w:val="single" w:sz="4" w:space="0" w:color="000000"/>
              <w:right w:val="single" w:sz="4" w:space="0" w:color="000000"/>
            </w:tcBorders>
            <w:vAlign w:val="center"/>
          </w:tcPr>
          <w:p w14:paraId="4C44948A"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1.92E-02</w:t>
            </w:r>
          </w:p>
        </w:tc>
      </w:tr>
      <w:tr w:rsidR="00A67F21" w:rsidRPr="00B12FE0" w14:paraId="7BE51EC7" w14:textId="77777777">
        <w:trPr>
          <w:trHeight w:val="270"/>
          <w:jc w:val="center"/>
        </w:trPr>
        <w:tc>
          <w:tcPr>
            <w:tcW w:w="1009" w:type="dxa"/>
            <w:vMerge w:val="restart"/>
            <w:tcBorders>
              <w:top w:val="single" w:sz="4" w:space="0" w:color="000000"/>
              <w:left w:val="single" w:sz="4" w:space="0" w:color="000000"/>
              <w:right w:val="single" w:sz="4" w:space="0" w:color="000000"/>
            </w:tcBorders>
            <w:vAlign w:val="center"/>
          </w:tcPr>
          <w:p w14:paraId="5FEDDC79" w14:textId="77777777" w:rsidR="00A67F21" w:rsidRPr="00B12FE0" w:rsidRDefault="00000000">
            <w:pPr>
              <w:jc w:val="center"/>
              <w:rPr>
                <w:color w:val="000000" w:themeColor="text1"/>
                <w:sz w:val="21"/>
                <w:szCs w:val="21"/>
              </w:rPr>
            </w:pPr>
            <w:r w:rsidRPr="00B12FE0">
              <w:rPr>
                <w:rFonts w:hint="eastAsia"/>
                <w:snapToGrid w:val="0"/>
                <w:color w:val="000000" w:themeColor="text1"/>
                <w:sz w:val="21"/>
                <w:szCs w:val="21"/>
                <w:lang w:bidi="ar"/>
              </w:rPr>
              <w:t>d</w:t>
            </w:r>
            <w:r w:rsidRPr="00B12FE0">
              <w:rPr>
                <w:rFonts w:hint="eastAsia"/>
                <w:snapToGrid w:val="0"/>
                <w:color w:val="000000" w:themeColor="text1"/>
                <w:sz w:val="21"/>
                <w:szCs w:val="21"/>
                <w:vertAlign w:val="subscript"/>
                <w:lang w:bidi="ar"/>
              </w:rPr>
              <w:t>1</w:t>
            </w:r>
            <w:r w:rsidRPr="00B12FE0">
              <w:rPr>
                <w:rFonts w:hint="eastAsia"/>
                <w:snapToGrid w:val="0"/>
                <w:color w:val="000000" w:themeColor="text1"/>
                <w:sz w:val="21"/>
                <w:szCs w:val="21"/>
                <w:lang w:bidi="ar"/>
              </w:rPr>
              <w:t xml:space="preserve"> /d</w:t>
            </w:r>
            <w:r w:rsidRPr="00B12FE0">
              <w:rPr>
                <w:rFonts w:hint="eastAsia"/>
                <w:snapToGrid w:val="0"/>
                <w:color w:val="000000" w:themeColor="text1"/>
                <w:sz w:val="21"/>
                <w:szCs w:val="21"/>
                <w:vertAlign w:val="subscript"/>
                <w:lang w:bidi="ar"/>
              </w:rPr>
              <w:t>2</w:t>
            </w:r>
            <w:r w:rsidRPr="00B12FE0">
              <w:rPr>
                <w:rFonts w:hint="eastAsia"/>
                <w:snapToGrid w:val="0"/>
                <w:color w:val="000000" w:themeColor="text1"/>
                <w:sz w:val="21"/>
                <w:szCs w:val="21"/>
                <w:lang w:bidi="ar"/>
              </w:rPr>
              <w:t>点</w:t>
            </w:r>
          </w:p>
        </w:tc>
        <w:tc>
          <w:tcPr>
            <w:tcW w:w="1178" w:type="dxa"/>
            <w:tcBorders>
              <w:top w:val="single" w:sz="4" w:space="0" w:color="000000"/>
              <w:left w:val="single" w:sz="4" w:space="0" w:color="000000"/>
              <w:bottom w:val="single" w:sz="4" w:space="0" w:color="000000"/>
              <w:right w:val="single" w:sz="4" w:space="0" w:color="000000"/>
            </w:tcBorders>
            <w:vAlign w:val="center"/>
          </w:tcPr>
          <w:p w14:paraId="432FEC97"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2094468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(15MV)</w:t>
            </w:r>
          </w:p>
        </w:tc>
        <w:tc>
          <w:tcPr>
            <w:tcW w:w="825" w:type="dxa"/>
            <w:tcBorders>
              <w:top w:val="single" w:sz="4" w:space="0" w:color="000000"/>
              <w:left w:val="single" w:sz="4" w:space="0" w:color="000000"/>
              <w:bottom w:val="single" w:sz="4" w:space="0" w:color="000000"/>
              <w:right w:val="single" w:sz="4" w:space="0" w:color="000000"/>
            </w:tcBorders>
            <w:vAlign w:val="center"/>
          </w:tcPr>
          <w:p w14:paraId="7361A10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404" w:type="dxa"/>
            <w:tcBorders>
              <w:top w:val="single" w:sz="4" w:space="0" w:color="000000"/>
              <w:left w:val="single" w:sz="4" w:space="0" w:color="000000"/>
              <w:bottom w:val="single" w:sz="4" w:space="0" w:color="000000"/>
              <w:right w:val="single" w:sz="4" w:space="0" w:color="000000"/>
            </w:tcBorders>
            <w:vAlign w:val="center"/>
          </w:tcPr>
          <w:p w14:paraId="036C2F91"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36</w:t>
            </w:r>
          </w:p>
        </w:tc>
        <w:tc>
          <w:tcPr>
            <w:tcW w:w="943" w:type="dxa"/>
            <w:tcBorders>
              <w:top w:val="single" w:sz="4" w:space="0" w:color="000000"/>
              <w:left w:val="single" w:sz="4" w:space="0" w:color="000000"/>
              <w:bottom w:val="single" w:sz="4" w:space="0" w:color="000000"/>
              <w:right w:val="single" w:sz="4" w:space="0" w:color="000000"/>
            </w:tcBorders>
            <w:vAlign w:val="center"/>
          </w:tcPr>
          <w:p w14:paraId="686977DC"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33</w:t>
            </w:r>
          </w:p>
        </w:tc>
        <w:tc>
          <w:tcPr>
            <w:tcW w:w="803" w:type="dxa"/>
            <w:tcBorders>
              <w:top w:val="single" w:sz="4" w:space="0" w:color="000000"/>
              <w:left w:val="single" w:sz="4" w:space="0" w:color="000000"/>
              <w:bottom w:val="single" w:sz="4" w:space="0" w:color="000000"/>
              <w:right w:val="single" w:sz="4" w:space="0" w:color="000000"/>
            </w:tcBorders>
            <w:vAlign w:val="center"/>
          </w:tcPr>
          <w:p w14:paraId="312816E1"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000000"/>
              <w:right w:val="single" w:sz="4" w:space="0" w:color="000000"/>
            </w:tcBorders>
            <w:vAlign w:val="center"/>
          </w:tcPr>
          <w:p w14:paraId="6A02750D"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26</w:t>
            </w:r>
          </w:p>
        </w:tc>
        <w:tc>
          <w:tcPr>
            <w:tcW w:w="1598" w:type="dxa"/>
            <w:tcBorders>
              <w:top w:val="nil"/>
              <w:left w:val="nil"/>
              <w:bottom w:val="single" w:sz="8" w:space="0" w:color="000000"/>
              <w:right w:val="single" w:sz="8" w:space="0" w:color="000000"/>
            </w:tcBorders>
            <w:vAlign w:val="center"/>
          </w:tcPr>
          <w:p w14:paraId="7B516037"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1.22E-02</w:t>
            </w:r>
          </w:p>
        </w:tc>
      </w:tr>
      <w:tr w:rsidR="00A67F21" w:rsidRPr="00B12FE0" w14:paraId="2401A34F" w14:textId="77777777">
        <w:trPr>
          <w:trHeight w:val="270"/>
          <w:jc w:val="center"/>
        </w:trPr>
        <w:tc>
          <w:tcPr>
            <w:tcW w:w="1009" w:type="dxa"/>
            <w:vMerge/>
            <w:tcBorders>
              <w:left w:val="single" w:sz="4" w:space="0" w:color="000000"/>
              <w:bottom w:val="single" w:sz="4" w:space="0" w:color="000000"/>
              <w:right w:val="single" w:sz="4" w:space="0" w:color="000000"/>
            </w:tcBorders>
            <w:vAlign w:val="center"/>
          </w:tcPr>
          <w:p w14:paraId="1FDAC1CA" w14:textId="77777777" w:rsidR="00A67F21" w:rsidRPr="00B12FE0" w:rsidRDefault="00A67F21">
            <w:pPr>
              <w:jc w:val="center"/>
              <w:rPr>
                <w:color w:val="000000" w:themeColor="text1"/>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tcPr>
          <w:p w14:paraId="264921D9"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5EA455E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(10MV)</w:t>
            </w:r>
          </w:p>
        </w:tc>
        <w:tc>
          <w:tcPr>
            <w:tcW w:w="825" w:type="dxa"/>
            <w:tcBorders>
              <w:top w:val="single" w:sz="4" w:space="0" w:color="000000"/>
              <w:left w:val="single" w:sz="4" w:space="0" w:color="000000"/>
              <w:bottom w:val="single" w:sz="4" w:space="0" w:color="000000"/>
              <w:right w:val="single" w:sz="4" w:space="0" w:color="000000"/>
            </w:tcBorders>
            <w:vAlign w:val="center"/>
          </w:tcPr>
          <w:p w14:paraId="6180511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189</w:t>
            </w:r>
          </w:p>
        </w:tc>
        <w:tc>
          <w:tcPr>
            <w:tcW w:w="1404" w:type="dxa"/>
            <w:tcBorders>
              <w:top w:val="single" w:sz="4" w:space="0" w:color="000000"/>
              <w:left w:val="single" w:sz="4" w:space="0" w:color="000000"/>
              <w:bottom w:val="single" w:sz="4" w:space="0" w:color="000000"/>
              <w:right w:val="single" w:sz="4" w:space="0" w:color="000000"/>
            </w:tcBorders>
            <w:vAlign w:val="center"/>
          </w:tcPr>
          <w:p w14:paraId="12B4A958"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35</w:t>
            </w:r>
          </w:p>
        </w:tc>
        <w:tc>
          <w:tcPr>
            <w:tcW w:w="943" w:type="dxa"/>
            <w:tcBorders>
              <w:top w:val="single" w:sz="4" w:space="0" w:color="000000"/>
              <w:left w:val="single" w:sz="4" w:space="0" w:color="000000"/>
              <w:bottom w:val="single" w:sz="4" w:space="0" w:color="000000"/>
              <w:right w:val="single" w:sz="4" w:space="0" w:color="000000"/>
            </w:tcBorders>
            <w:vAlign w:val="center"/>
          </w:tcPr>
          <w:p w14:paraId="37D14659"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31</w:t>
            </w:r>
          </w:p>
        </w:tc>
        <w:tc>
          <w:tcPr>
            <w:tcW w:w="803" w:type="dxa"/>
            <w:tcBorders>
              <w:top w:val="single" w:sz="4" w:space="0" w:color="000000"/>
              <w:left w:val="single" w:sz="4" w:space="0" w:color="000000"/>
              <w:bottom w:val="single" w:sz="4" w:space="0" w:color="000000"/>
              <w:right w:val="single" w:sz="4" w:space="0" w:color="000000"/>
            </w:tcBorders>
            <w:vAlign w:val="center"/>
          </w:tcPr>
          <w:p w14:paraId="728492B4"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000000"/>
              <w:right w:val="single" w:sz="4" w:space="0" w:color="000000"/>
            </w:tcBorders>
            <w:vAlign w:val="center"/>
          </w:tcPr>
          <w:p w14:paraId="62FD0371"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8.</w:t>
            </w:r>
            <w:r w:rsidRPr="00B12FE0">
              <w:rPr>
                <w:rFonts w:hint="eastAsia"/>
                <w:snapToGrid w:val="0"/>
                <w:color w:val="000000" w:themeColor="text1"/>
                <w:kern w:val="0"/>
                <w:sz w:val="21"/>
                <w:szCs w:val="21"/>
                <w:lang w:bidi="ar"/>
              </w:rPr>
              <w:t>26</w:t>
            </w:r>
          </w:p>
        </w:tc>
        <w:tc>
          <w:tcPr>
            <w:tcW w:w="1598" w:type="dxa"/>
            <w:tcBorders>
              <w:top w:val="nil"/>
              <w:left w:val="nil"/>
              <w:bottom w:val="single" w:sz="8" w:space="0" w:color="000000"/>
              <w:right w:val="single" w:sz="8" w:space="0" w:color="000000"/>
            </w:tcBorders>
            <w:vAlign w:val="center"/>
          </w:tcPr>
          <w:p w14:paraId="1F79F03A"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2.27E-02</w:t>
            </w:r>
          </w:p>
        </w:tc>
      </w:tr>
      <w:tr w:rsidR="00A67F21" w:rsidRPr="00B12FE0" w14:paraId="17535E35" w14:textId="77777777">
        <w:trPr>
          <w:trHeight w:val="270"/>
          <w:jc w:val="center"/>
        </w:trPr>
        <w:tc>
          <w:tcPr>
            <w:tcW w:w="1009" w:type="dxa"/>
            <w:vMerge w:val="restart"/>
            <w:tcBorders>
              <w:top w:val="single" w:sz="4" w:space="0" w:color="000000"/>
              <w:left w:val="single" w:sz="4" w:space="0" w:color="000000"/>
              <w:bottom w:val="single" w:sz="4" w:space="0" w:color="000000"/>
              <w:right w:val="single" w:sz="4" w:space="0" w:color="000000"/>
            </w:tcBorders>
            <w:vAlign w:val="center"/>
          </w:tcPr>
          <w:p w14:paraId="6DE2D70D"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p>
        </w:tc>
        <w:tc>
          <w:tcPr>
            <w:tcW w:w="1178" w:type="dxa"/>
            <w:tcBorders>
              <w:top w:val="single" w:sz="4" w:space="0" w:color="000000"/>
              <w:left w:val="single" w:sz="4" w:space="0" w:color="000000"/>
              <w:bottom w:val="single" w:sz="4" w:space="0" w:color="000000"/>
              <w:right w:val="single" w:sz="4" w:space="0" w:color="000000"/>
            </w:tcBorders>
            <w:vAlign w:val="center"/>
          </w:tcPr>
          <w:p w14:paraId="32610742"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4F603A6E"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(15MV)</w:t>
            </w:r>
          </w:p>
        </w:tc>
        <w:tc>
          <w:tcPr>
            <w:tcW w:w="825" w:type="dxa"/>
            <w:tcBorders>
              <w:top w:val="single" w:sz="4" w:space="0" w:color="000000"/>
              <w:left w:val="single" w:sz="4" w:space="0" w:color="000000"/>
              <w:bottom w:val="single" w:sz="4" w:space="0" w:color="000000"/>
              <w:right w:val="single" w:sz="4" w:space="0" w:color="000000"/>
            </w:tcBorders>
            <w:vAlign w:val="center"/>
          </w:tcPr>
          <w:p w14:paraId="39AE646E"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185</w:t>
            </w:r>
          </w:p>
        </w:tc>
        <w:tc>
          <w:tcPr>
            <w:tcW w:w="1404" w:type="dxa"/>
            <w:tcBorders>
              <w:top w:val="single" w:sz="4" w:space="0" w:color="000000"/>
              <w:left w:val="single" w:sz="4" w:space="0" w:color="000000"/>
              <w:bottom w:val="single" w:sz="4" w:space="0" w:color="000000"/>
              <w:right w:val="single" w:sz="4" w:space="0" w:color="000000"/>
            </w:tcBorders>
            <w:vAlign w:val="center"/>
          </w:tcPr>
          <w:p w14:paraId="724F9AF6"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36</w:t>
            </w:r>
          </w:p>
        </w:tc>
        <w:tc>
          <w:tcPr>
            <w:tcW w:w="943" w:type="dxa"/>
            <w:tcBorders>
              <w:top w:val="single" w:sz="4" w:space="0" w:color="000000"/>
              <w:left w:val="single" w:sz="4" w:space="0" w:color="000000"/>
              <w:bottom w:val="single" w:sz="4" w:space="0" w:color="000000"/>
              <w:right w:val="single" w:sz="4" w:space="0" w:color="000000"/>
            </w:tcBorders>
            <w:vAlign w:val="center"/>
          </w:tcPr>
          <w:p w14:paraId="72F8C8C0"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33</w:t>
            </w:r>
          </w:p>
        </w:tc>
        <w:tc>
          <w:tcPr>
            <w:tcW w:w="803" w:type="dxa"/>
            <w:tcBorders>
              <w:top w:val="single" w:sz="4" w:space="0" w:color="000000"/>
              <w:left w:val="single" w:sz="4" w:space="0" w:color="000000"/>
              <w:bottom w:val="single" w:sz="4" w:space="0" w:color="000000"/>
              <w:right w:val="single" w:sz="4" w:space="0" w:color="000000"/>
            </w:tcBorders>
            <w:vAlign w:val="center"/>
          </w:tcPr>
          <w:p w14:paraId="4D3A517B"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000000"/>
              <w:right w:val="single" w:sz="4" w:space="0" w:color="000000"/>
            </w:tcBorders>
            <w:vAlign w:val="center"/>
          </w:tcPr>
          <w:p w14:paraId="5154AC88"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8.53</w:t>
            </w:r>
          </w:p>
        </w:tc>
        <w:tc>
          <w:tcPr>
            <w:tcW w:w="1598" w:type="dxa"/>
            <w:tcBorders>
              <w:top w:val="single" w:sz="4" w:space="0" w:color="000000"/>
              <w:left w:val="single" w:sz="4" w:space="0" w:color="000000"/>
              <w:bottom w:val="single" w:sz="4" w:space="0" w:color="000000"/>
              <w:right w:val="single" w:sz="4" w:space="0" w:color="000000"/>
            </w:tcBorders>
            <w:vAlign w:val="center"/>
          </w:tcPr>
          <w:p w14:paraId="386BB6DF"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1.51E-02</w:t>
            </w:r>
          </w:p>
        </w:tc>
      </w:tr>
      <w:tr w:rsidR="00A67F21" w:rsidRPr="00B12FE0" w14:paraId="57024CAF" w14:textId="77777777">
        <w:trPr>
          <w:trHeight w:val="270"/>
          <w:jc w:val="center"/>
        </w:trPr>
        <w:tc>
          <w:tcPr>
            <w:tcW w:w="1009" w:type="dxa"/>
            <w:vMerge/>
            <w:tcBorders>
              <w:top w:val="single" w:sz="4" w:space="0" w:color="000000"/>
              <w:left w:val="single" w:sz="4" w:space="0" w:color="000000"/>
              <w:bottom w:val="single" w:sz="4" w:space="0" w:color="000000"/>
              <w:right w:val="single" w:sz="4" w:space="0" w:color="000000"/>
            </w:tcBorders>
            <w:vAlign w:val="center"/>
          </w:tcPr>
          <w:p w14:paraId="7451DEE2" w14:textId="77777777" w:rsidR="00A67F21" w:rsidRPr="00B12FE0" w:rsidRDefault="00A67F21">
            <w:pPr>
              <w:jc w:val="center"/>
              <w:rPr>
                <w:color w:val="000000" w:themeColor="text1"/>
                <w:sz w:val="21"/>
                <w:szCs w:val="21"/>
              </w:rPr>
            </w:pPr>
          </w:p>
        </w:tc>
        <w:tc>
          <w:tcPr>
            <w:tcW w:w="1178" w:type="dxa"/>
            <w:tcBorders>
              <w:top w:val="single" w:sz="4" w:space="0" w:color="000000"/>
              <w:left w:val="single" w:sz="4" w:space="0" w:color="000000"/>
              <w:bottom w:val="single" w:sz="4" w:space="0" w:color="000000"/>
              <w:right w:val="single" w:sz="4" w:space="0" w:color="000000"/>
            </w:tcBorders>
            <w:vAlign w:val="center"/>
          </w:tcPr>
          <w:p w14:paraId="03E076D2"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553B0D5C"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(10MV)</w:t>
            </w:r>
          </w:p>
        </w:tc>
        <w:tc>
          <w:tcPr>
            <w:tcW w:w="825" w:type="dxa"/>
            <w:tcBorders>
              <w:top w:val="single" w:sz="4" w:space="0" w:color="000000"/>
              <w:left w:val="single" w:sz="4" w:space="0" w:color="000000"/>
              <w:bottom w:val="single" w:sz="4" w:space="0" w:color="000000"/>
              <w:right w:val="single" w:sz="4" w:space="0" w:color="000000"/>
            </w:tcBorders>
            <w:vAlign w:val="center"/>
          </w:tcPr>
          <w:p w14:paraId="557C6FAB"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185</w:t>
            </w:r>
          </w:p>
        </w:tc>
        <w:tc>
          <w:tcPr>
            <w:tcW w:w="1404" w:type="dxa"/>
            <w:tcBorders>
              <w:top w:val="single" w:sz="4" w:space="0" w:color="000000"/>
              <w:left w:val="single" w:sz="4" w:space="0" w:color="000000"/>
              <w:bottom w:val="single" w:sz="4" w:space="0" w:color="000000"/>
              <w:right w:val="single" w:sz="4" w:space="0" w:color="000000"/>
            </w:tcBorders>
            <w:vAlign w:val="center"/>
          </w:tcPr>
          <w:p w14:paraId="21D4C685"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35</w:t>
            </w:r>
          </w:p>
        </w:tc>
        <w:tc>
          <w:tcPr>
            <w:tcW w:w="943" w:type="dxa"/>
            <w:tcBorders>
              <w:top w:val="single" w:sz="4" w:space="0" w:color="000000"/>
              <w:left w:val="single" w:sz="4" w:space="0" w:color="000000"/>
              <w:bottom w:val="single" w:sz="4" w:space="0" w:color="000000"/>
              <w:right w:val="single" w:sz="4" w:space="0" w:color="000000"/>
            </w:tcBorders>
            <w:vAlign w:val="center"/>
          </w:tcPr>
          <w:p w14:paraId="7AD09628"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31</w:t>
            </w:r>
          </w:p>
        </w:tc>
        <w:tc>
          <w:tcPr>
            <w:tcW w:w="803" w:type="dxa"/>
            <w:tcBorders>
              <w:top w:val="single" w:sz="4" w:space="0" w:color="000000"/>
              <w:left w:val="single" w:sz="4" w:space="0" w:color="000000"/>
              <w:bottom w:val="single" w:sz="4" w:space="0" w:color="000000"/>
              <w:right w:val="single" w:sz="4" w:space="0" w:color="000000"/>
            </w:tcBorders>
            <w:noWrap/>
            <w:vAlign w:val="center"/>
          </w:tcPr>
          <w:p w14:paraId="2F1D856D"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000000"/>
              <w:right w:val="single" w:sz="4" w:space="0" w:color="000000"/>
            </w:tcBorders>
            <w:noWrap/>
            <w:vAlign w:val="center"/>
          </w:tcPr>
          <w:p w14:paraId="1A947B0B"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8.53</w:t>
            </w:r>
          </w:p>
        </w:tc>
        <w:tc>
          <w:tcPr>
            <w:tcW w:w="1598" w:type="dxa"/>
            <w:tcBorders>
              <w:top w:val="single" w:sz="4" w:space="0" w:color="000000"/>
              <w:left w:val="single" w:sz="4" w:space="0" w:color="000000"/>
              <w:bottom w:val="single" w:sz="4" w:space="0" w:color="000000"/>
              <w:right w:val="single" w:sz="4" w:space="0" w:color="000000"/>
            </w:tcBorders>
            <w:vAlign w:val="center"/>
          </w:tcPr>
          <w:p w14:paraId="4D4123AC"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2.87E-02</w:t>
            </w:r>
          </w:p>
        </w:tc>
      </w:tr>
      <w:tr w:rsidR="00A67F21" w:rsidRPr="00B12FE0" w14:paraId="2B730651" w14:textId="77777777">
        <w:trPr>
          <w:trHeight w:val="270"/>
          <w:jc w:val="center"/>
        </w:trPr>
        <w:tc>
          <w:tcPr>
            <w:tcW w:w="1009" w:type="dxa"/>
            <w:vMerge w:val="restart"/>
            <w:tcBorders>
              <w:top w:val="single" w:sz="4" w:space="0" w:color="000000"/>
              <w:left w:val="single" w:sz="4" w:space="0" w:color="000000"/>
              <w:right w:val="single" w:sz="4" w:space="0" w:color="000000"/>
            </w:tcBorders>
            <w:vAlign w:val="center"/>
          </w:tcPr>
          <w:p w14:paraId="0E44AF31"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178" w:type="dxa"/>
            <w:tcBorders>
              <w:top w:val="single" w:sz="4" w:space="0" w:color="000000"/>
              <w:left w:val="single" w:sz="4" w:space="0" w:color="000000"/>
              <w:bottom w:val="single" w:sz="4" w:space="0" w:color="000000"/>
              <w:right w:val="single" w:sz="4" w:space="0" w:color="000000"/>
            </w:tcBorders>
            <w:vAlign w:val="center"/>
          </w:tcPr>
          <w:p w14:paraId="7C01A790"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3.60</w:t>
            </w:r>
            <w:r w:rsidRPr="00B12FE0">
              <w:rPr>
                <w:color w:val="000000" w:themeColor="text1"/>
                <w:sz w:val="21"/>
                <w:szCs w:val="21"/>
              </w:rPr>
              <w:t>×10</w:t>
            </w:r>
            <w:r w:rsidRPr="00B12FE0">
              <w:rPr>
                <w:color w:val="000000" w:themeColor="text1"/>
                <w:sz w:val="21"/>
                <w:szCs w:val="21"/>
                <w:vertAlign w:val="superscript"/>
              </w:rPr>
              <w:t>8</w:t>
            </w:r>
          </w:p>
          <w:p w14:paraId="66864B6D"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(15MV)</w:t>
            </w:r>
          </w:p>
        </w:tc>
        <w:tc>
          <w:tcPr>
            <w:tcW w:w="825" w:type="dxa"/>
            <w:tcBorders>
              <w:top w:val="single" w:sz="4" w:space="0" w:color="000000"/>
              <w:left w:val="single" w:sz="4" w:space="0" w:color="000000"/>
              <w:bottom w:val="single" w:sz="4" w:space="0" w:color="000000"/>
              <w:right w:val="single" w:sz="4" w:space="0" w:color="000000"/>
            </w:tcBorders>
            <w:vAlign w:val="center"/>
          </w:tcPr>
          <w:p w14:paraId="49088836"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189</w:t>
            </w:r>
          </w:p>
        </w:tc>
        <w:tc>
          <w:tcPr>
            <w:tcW w:w="1404" w:type="dxa"/>
            <w:tcBorders>
              <w:top w:val="single" w:sz="4" w:space="0" w:color="000000"/>
              <w:left w:val="single" w:sz="4" w:space="0" w:color="000000"/>
              <w:bottom w:val="single" w:sz="4" w:space="0" w:color="000000"/>
              <w:right w:val="single" w:sz="4" w:space="0" w:color="000000"/>
            </w:tcBorders>
            <w:vAlign w:val="center"/>
          </w:tcPr>
          <w:p w14:paraId="675E63DF"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36</w:t>
            </w:r>
          </w:p>
        </w:tc>
        <w:tc>
          <w:tcPr>
            <w:tcW w:w="943" w:type="dxa"/>
            <w:tcBorders>
              <w:top w:val="single" w:sz="4" w:space="0" w:color="000000"/>
              <w:left w:val="single" w:sz="4" w:space="0" w:color="000000"/>
              <w:bottom w:val="single" w:sz="4" w:space="0" w:color="000000"/>
              <w:right w:val="single" w:sz="4" w:space="0" w:color="000000"/>
            </w:tcBorders>
            <w:vAlign w:val="center"/>
          </w:tcPr>
          <w:p w14:paraId="2B2A3D33"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33</w:t>
            </w:r>
          </w:p>
        </w:tc>
        <w:tc>
          <w:tcPr>
            <w:tcW w:w="803" w:type="dxa"/>
            <w:tcBorders>
              <w:top w:val="single" w:sz="4" w:space="0" w:color="000000"/>
              <w:left w:val="single" w:sz="4" w:space="0" w:color="000000"/>
              <w:bottom w:val="single" w:sz="4" w:space="0" w:color="000000"/>
              <w:right w:val="single" w:sz="4" w:space="0" w:color="000000"/>
            </w:tcBorders>
            <w:noWrap/>
            <w:vAlign w:val="center"/>
          </w:tcPr>
          <w:p w14:paraId="0E7AA98B"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000000"/>
              <w:right w:val="single" w:sz="4" w:space="0" w:color="000000"/>
            </w:tcBorders>
            <w:noWrap/>
            <w:vAlign w:val="center"/>
          </w:tcPr>
          <w:p w14:paraId="12C6EF13"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8.7</w:t>
            </w:r>
          </w:p>
        </w:tc>
        <w:tc>
          <w:tcPr>
            <w:tcW w:w="1598" w:type="dxa"/>
            <w:tcBorders>
              <w:top w:val="single" w:sz="4" w:space="0" w:color="000000"/>
              <w:left w:val="single" w:sz="4" w:space="0" w:color="000000"/>
              <w:bottom w:val="single" w:sz="4" w:space="0" w:color="000000"/>
              <w:right w:val="single" w:sz="4" w:space="0" w:color="000000"/>
            </w:tcBorders>
            <w:vAlign w:val="center"/>
          </w:tcPr>
          <w:p w14:paraId="74CE5A8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1.10E-02</w:t>
            </w:r>
          </w:p>
        </w:tc>
      </w:tr>
      <w:tr w:rsidR="00A67F21" w:rsidRPr="00B12FE0" w14:paraId="64452C09" w14:textId="77777777">
        <w:trPr>
          <w:trHeight w:val="270"/>
          <w:jc w:val="center"/>
        </w:trPr>
        <w:tc>
          <w:tcPr>
            <w:tcW w:w="1009" w:type="dxa"/>
            <w:vMerge/>
            <w:tcBorders>
              <w:left w:val="single" w:sz="4" w:space="0" w:color="000000"/>
              <w:bottom w:val="single" w:sz="4" w:space="0" w:color="auto"/>
              <w:right w:val="single" w:sz="4" w:space="0" w:color="000000"/>
            </w:tcBorders>
            <w:vAlign w:val="center"/>
          </w:tcPr>
          <w:p w14:paraId="76C62A36" w14:textId="77777777" w:rsidR="00A67F21" w:rsidRPr="00B12FE0" w:rsidRDefault="00A67F21">
            <w:pPr>
              <w:jc w:val="center"/>
              <w:rPr>
                <w:color w:val="000000" w:themeColor="text1"/>
                <w:sz w:val="21"/>
                <w:szCs w:val="21"/>
              </w:rPr>
            </w:pPr>
          </w:p>
        </w:tc>
        <w:tc>
          <w:tcPr>
            <w:tcW w:w="1178" w:type="dxa"/>
            <w:tcBorders>
              <w:top w:val="single" w:sz="4" w:space="0" w:color="000000"/>
              <w:left w:val="single" w:sz="4" w:space="0" w:color="000000"/>
              <w:bottom w:val="single" w:sz="4" w:space="0" w:color="auto"/>
              <w:right w:val="single" w:sz="4" w:space="0" w:color="000000"/>
            </w:tcBorders>
            <w:vAlign w:val="center"/>
          </w:tcPr>
          <w:p w14:paraId="2B4E6330" w14:textId="77777777" w:rsidR="00A67F21" w:rsidRPr="00B12FE0" w:rsidRDefault="00000000">
            <w:pPr>
              <w:widowControl/>
              <w:jc w:val="center"/>
              <w:textAlignment w:val="center"/>
              <w:rPr>
                <w:color w:val="000000" w:themeColor="text1"/>
                <w:sz w:val="21"/>
                <w:szCs w:val="21"/>
                <w:vertAlign w:val="superscript"/>
              </w:rPr>
            </w:pPr>
            <w:r w:rsidRPr="00B12FE0">
              <w:rPr>
                <w:snapToGrid w:val="0"/>
                <w:color w:val="000000" w:themeColor="text1"/>
                <w:kern w:val="0"/>
                <w:sz w:val="21"/>
                <w:szCs w:val="21"/>
                <w:lang w:bidi="ar"/>
              </w:rPr>
              <w:t>1.44</w:t>
            </w:r>
            <w:r w:rsidRPr="00B12FE0">
              <w:rPr>
                <w:color w:val="000000" w:themeColor="text1"/>
                <w:sz w:val="21"/>
                <w:szCs w:val="21"/>
              </w:rPr>
              <w:t>×10</w:t>
            </w:r>
            <w:r w:rsidRPr="00B12FE0">
              <w:rPr>
                <w:color w:val="000000" w:themeColor="text1"/>
                <w:sz w:val="21"/>
                <w:szCs w:val="21"/>
                <w:vertAlign w:val="superscript"/>
              </w:rPr>
              <w:t>9</w:t>
            </w:r>
          </w:p>
          <w:p w14:paraId="793FEECB"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(10MV)</w:t>
            </w:r>
          </w:p>
        </w:tc>
        <w:tc>
          <w:tcPr>
            <w:tcW w:w="825" w:type="dxa"/>
            <w:tcBorders>
              <w:top w:val="single" w:sz="4" w:space="0" w:color="000000"/>
              <w:left w:val="single" w:sz="4" w:space="0" w:color="000000"/>
              <w:bottom w:val="single" w:sz="4" w:space="0" w:color="auto"/>
              <w:right w:val="single" w:sz="4" w:space="0" w:color="000000"/>
            </w:tcBorders>
            <w:vAlign w:val="center"/>
          </w:tcPr>
          <w:p w14:paraId="24B8D117"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189</w:t>
            </w:r>
          </w:p>
        </w:tc>
        <w:tc>
          <w:tcPr>
            <w:tcW w:w="1404" w:type="dxa"/>
            <w:tcBorders>
              <w:top w:val="single" w:sz="4" w:space="0" w:color="000000"/>
              <w:left w:val="single" w:sz="4" w:space="0" w:color="000000"/>
              <w:bottom w:val="single" w:sz="4" w:space="0" w:color="auto"/>
              <w:right w:val="single" w:sz="4" w:space="0" w:color="000000"/>
            </w:tcBorders>
            <w:vAlign w:val="center"/>
          </w:tcPr>
          <w:p w14:paraId="613A3632"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35</w:t>
            </w:r>
          </w:p>
        </w:tc>
        <w:tc>
          <w:tcPr>
            <w:tcW w:w="943" w:type="dxa"/>
            <w:tcBorders>
              <w:top w:val="single" w:sz="4" w:space="0" w:color="000000"/>
              <w:left w:val="single" w:sz="4" w:space="0" w:color="000000"/>
              <w:bottom w:val="single" w:sz="4" w:space="0" w:color="auto"/>
              <w:right w:val="single" w:sz="4" w:space="0" w:color="000000"/>
            </w:tcBorders>
            <w:vAlign w:val="center"/>
          </w:tcPr>
          <w:p w14:paraId="113E0A03"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31</w:t>
            </w:r>
          </w:p>
        </w:tc>
        <w:tc>
          <w:tcPr>
            <w:tcW w:w="803" w:type="dxa"/>
            <w:tcBorders>
              <w:top w:val="single" w:sz="4" w:space="0" w:color="000000"/>
              <w:left w:val="single" w:sz="4" w:space="0" w:color="000000"/>
              <w:bottom w:val="single" w:sz="4" w:space="0" w:color="auto"/>
              <w:right w:val="single" w:sz="4" w:space="0" w:color="000000"/>
            </w:tcBorders>
            <w:noWrap/>
            <w:vAlign w:val="center"/>
          </w:tcPr>
          <w:p w14:paraId="1412D382" w14:textId="77777777" w:rsidR="00A67F21" w:rsidRPr="00B12FE0" w:rsidRDefault="00000000">
            <w:pPr>
              <w:widowControl/>
              <w:jc w:val="center"/>
              <w:textAlignment w:val="center"/>
              <w:rPr>
                <w:color w:val="000000" w:themeColor="text1"/>
                <w:sz w:val="21"/>
                <w:szCs w:val="21"/>
              </w:rPr>
            </w:pPr>
            <w:r w:rsidRPr="00B12FE0">
              <w:rPr>
                <w:snapToGrid w:val="0"/>
                <w:color w:val="000000" w:themeColor="text1"/>
                <w:kern w:val="0"/>
                <w:sz w:val="21"/>
                <w:szCs w:val="21"/>
                <w:lang w:bidi="ar"/>
              </w:rPr>
              <w:t>0.001</w:t>
            </w:r>
          </w:p>
        </w:tc>
        <w:tc>
          <w:tcPr>
            <w:tcW w:w="1040" w:type="dxa"/>
            <w:tcBorders>
              <w:top w:val="single" w:sz="4" w:space="0" w:color="000000"/>
              <w:left w:val="single" w:sz="4" w:space="0" w:color="000000"/>
              <w:bottom w:val="single" w:sz="4" w:space="0" w:color="auto"/>
              <w:right w:val="single" w:sz="4" w:space="0" w:color="000000"/>
            </w:tcBorders>
            <w:noWrap/>
            <w:vAlign w:val="center"/>
          </w:tcPr>
          <w:p w14:paraId="3148E178" w14:textId="77777777" w:rsidR="00A67F21" w:rsidRPr="00B12FE0" w:rsidRDefault="00000000">
            <w:pPr>
              <w:widowControl/>
              <w:jc w:val="center"/>
              <w:textAlignment w:val="center"/>
              <w:rPr>
                <w:color w:val="000000" w:themeColor="text1"/>
                <w:sz w:val="21"/>
                <w:szCs w:val="21"/>
              </w:rPr>
            </w:pPr>
            <w:r w:rsidRPr="00B12FE0">
              <w:rPr>
                <w:rFonts w:hint="eastAsia"/>
                <w:snapToGrid w:val="0"/>
                <w:color w:val="000000" w:themeColor="text1"/>
                <w:kern w:val="0"/>
                <w:sz w:val="21"/>
                <w:szCs w:val="21"/>
                <w:lang w:bidi="ar"/>
              </w:rPr>
              <w:t>8.7</w:t>
            </w:r>
          </w:p>
        </w:tc>
        <w:tc>
          <w:tcPr>
            <w:tcW w:w="1598" w:type="dxa"/>
            <w:tcBorders>
              <w:top w:val="single" w:sz="4" w:space="0" w:color="000000"/>
              <w:left w:val="single" w:sz="4" w:space="0" w:color="000000"/>
              <w:bottom w:val="single" w:sz="4" w:space="0" w:color="auto"/>
              <w:right w:val="single" w:sz="4" w:space="0" w:color="000000"/>
            </w:tcBorders>
            <w:vAlign w:val="center"/>
          </w:tcPr>
          <w:p w14:paraId="53FE77C2"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2.05E-02</w:t>
            </w:r>
          </w:p>
        </w:tc>
      </w:tr>
      <w:tr w:rsidR="00A67F21" w:rsidRPr="00B12FE0" w14:paraId="2BEA4796" w14:textId="77777777">
        <w:trPr>
          <w:trHeight w:val="270"/>
          <w:jc w:val="center"/>
        </w:trPr>
        <w:tc>
          <w:tcPr>
            <w:tcW w:w="8800" w:type="dxa"/>
            <w:gridSpan w:val="8"/>
            <w:tcBorders>
              <w:top w:val="single" w:sz="4" w:space="0" w:color="auto"/>
              <w:left w:val="single" w:sz="4" w:space="0" w:color="auto"/>
              <w:bottom w:val="single" w:sz="4" w:space="0" w:color="auto"/>
              <w:right w:val="single" w:sz="4" w:space="0" w:color="auto"/>
            </w:tcBorders>
            <w:vAlign w:val="center"/>
          </w:tcPr>
          <w:p w14:paraId="4CB737F3" w14:textId="77777777" w:rsidR="00A67F21" w:rsidRPr="00B12FE0" w:rsidRDefault="00000000">
            <w:pPr>
              <w:widowControl/>
              <w:jc w:val="left"/>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注：本表中</w:t>
            </w: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有效屏蔽厚度根据</w:t>
            </w:r>
            <w:r w:rsidRPr="00B12FE0">
              <w:rPr>
                <w:snapToGrid w:val="0"/>
                <w:color w:val="000000" w:themeColor="text1"/>
                <w:kern w:val="0"/>
                <w:sz w:val="21"/>
                <w:szCs w:val="21"/>
                <w:lang w:bidi="ar"/>
              </w:rPr>
              <w:t>CAD</w:t>
            </w:r>
            <w:r w:rsidRPr="00B12FE0">
              <w:rPr>
                <w:snapToGrid w:val="0"/>
                <w:color w:val="000000" w:themeColor="text1"/>
                <w:kern w:val="0"/>
                <w:sz w:val="21"/>
                <w:szCs w:val="21"/>
                <w:lang w:bidi="ar"/>
              </w:rPr>
              <w:t>图纸测量得知。</w:t>
            </w:r>
          </w:p>
        </w:tc>
      </w:tr>
    </w:tbl>
    <w:p w14:paraId="55C904F5" w14:textId="77777777" w:rsidR="00A67F21" w:rsidRPr="00B12FE0" w:rsidRDefault="00000000">
      <w:pPr>
        <w:autoSpaceDE w:val="0"/>
        <w:spacing w:beforeLines="50" w:before="120" w:line="360" w:lineRule="auto"/>
        <w:ind w:firstLineChars="200" w:firstLine="480"/>
        <w:rPr>
          <w:snapToGrid w:val="0"/>
          <w:color w:val="000000" w:themeColor="text1"/>
          <w:szCs w:val="24"/>
        </w:rPr>
      </w:pPr>
      <w:r w:rsidRPr="00B12FE0">
        <w:rPr>
          <w:snapToGrid w:val="0"/>
          <w:color w:val="000000" w:themeColor="text1"/>
          <w:szCs w:val="24"/>
        </w:rPr>
        <w:t>与主屏蔽相连的次屏蔽墙外</w:t>
      </w:r>
      <w:proofErr w:type="gramStart"/>
      <w:r w:rsidRPr="00B12FE0">
        <w:rPr>
          <w:snapToGrid w:val="0"/>
          <w:color w:val="000000" w:themeColor="text1"/>
          <w:szCs w:val="24"/>
        </w:rPr>
        <w:t>及迷道外墙</w:t>
      </w:r>
      <w:proofErr w:type="gramEnd"/>
      <w:r w:rsidRPr="00B12FE0">
        <w:rPr>
          <w:snapToGrid w:val="0"/>
          <w:color w:val="000000" w:themeColor="text1"/>
          <w:szCs w:val="24"/>
        </w:rPr>
        <w:t>关注点的剂量率见表</w:t>
      </w:r>
      <w:r w:rsidRPr="00B12FE0">
        <w:rPr>
          <w:snapToGrid w:val="0"/>
          <w:color w:val="000000" w:themeColor="text1"/>
          <w:szCs w:val="24"/>
        </w:rPr>
        <w:t>11.2.2.1-10</w:t>
      </w:r>
      <w:r w:rsidRPr="00B12FE0">
        <w:rPr>
          <w:snapToGrid w:val="0"/>
          <w:color w:val="000000" w:themeColor="text1"/>
          <w:szCs w:val="24"/>
        </w:rPr>
        <w:t>。</w:t>
      </w:r>
    </w:p>
    <w:p w14:paraId="1BCFFF13" w14:textId="77777777" w:rsidR="00A67F21" w:rsidRPr="00B12FE0" w:rsidRDefault="00000000">
      <w:pPr>
        <w:autoSpaceDE w:val="0"/>
        <w:spacing w:line="360" w:lineRule="auto"/>
        <w:jc w:val="center"/>
        <w:rPr>
          <w:b/>
          <w:bCs/>
          <w:snapToGrid w:val="0"/>
          <w:color w:val="000000" w:themeColor="text1"/>
          <w:sz w:val="21"/>
          <w:szCs w:val="21"/>
        </w:rPr>
      </w:pPr>
      <w:r w:rsidRPr="00B12FE0">
        <w:rPr>
          <w:b/>
          <w:bCs/>
          <w:snapToGrid w:val="0"/>
          <w:color w:val="000000" w:themeColor="text1"/>
          <w:sz w:val="21"/>
          <w:szCs w:val="21"/>
        </w:rPr>
        <w:t>表</w:t>
      </w:r>
      <w:r w:rsidRPr="00B12FE0">
        <w:rPr>
          <w:b/>
          <w:bCs/>
          <w:snapToGrid w:val="0"/>
          <w:color w:val="000000" w:themeColor="text1"/>
          <w:sz w:val="21"/>
          <w:szCs w:val="21"/>
        </w:rPr>
        <w:t xml:space="preserve">11.2.2.1-10 </w:t>
      </w:r>
      <w:r w:rsidRPr="00B12FE0">
        <w:rPr>
          <w:b/>
          <w:bCs/>
          <w:snapToGrid w:val="0"/>
          <w:color w:val="000000" w:themeColor="text1"/>
          <w:sz w:val="21"/>
          <w:szCs w:val="21"/>
        </w:rPr>
        <w:t>与主屏蔽相连的次屏蔽墙外关注点的剂量率</w:t>
      </w:r>
    </w:p>
    <w:tbl>
      <w:tblPr>
        <w:tblW w:w="8800" w:type="dxa"/>
        <w:jc w:val="center"/>
        <w:tblLayout w:type="fixed"/>
        <w:tblLook w:val="04A0" w:firstRow="1" w:lastRow="0" w:firstColumn="1" w:lastColumn="0" w:noHBand="0" w:noVBand="1"/>
      </w:tblPr>
      <w:tblGrid>
        <w:gridCol w:w="1449"/>
        <w:gridCol w:w="1210"/>
        <w:gridCol w:w="2053"/>
        <w:gridCol w:w="1997"/>
        <w:gridCol w:w="2091"/>
      </w:tblGrid>
      <w:tr w:rsidR="00A67F21" w:rsidRPr="00B12FE0" w14:paraId="3C8CF12E" w14:textId="77777777">
        <w:trPr>
          <w:trHeight w:val="272"/>
          <w:jc w:val="center"/>
        </w:trPr>
        <w:tc>
          <w:tcPr>
            <w:tcW w:w="2659" w:type="dxa"/>
            <w:gridSpan w:val="2"/>
            <w:tcBorders>
              <w:top w:val="single" w:sz="4" w:space="0" w:color="000000"/>
              <w:left w:val="single" w:sz="4" w:space="0" w:color="000000"/>
              <w:bottom w:val="single" w:sz="4" w:space="0" w:color="000000"/>
              <w:right w:val="single" w:sz="4" w:space="0" w:color="000000"/>
            </w:tcBorders>
            <w:vAlign w:val="center"/>
          </w:tcPr>
          <w:p w14:paraId="15794E1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关注点</w:t>
            </w:r>
          </w:p>
        </w:tc>
        <w:tc>
          <w:tcPr>
            <w:tcW w:w="2053" w:type="dxa"/>
            <w:tcBorders>
              <w:top w:val="single" w:sz="4" w:space="0" w:color="000000"/>
              <w:left w:val="single" w:sz="4" w:space="0" w:color="000000"/>
              <w:bottom w:val="single" w:sz="4" w:space="0" w:color="000000"/>
              <w:right w:val="single" w:sz="4" w:space="0" w:color="000000"/>
            </w:tcBorders>
            <w:vAlign w:val="center"/>
          </w:tcPr>
          <w:p w14:paraId="69B5F8E2" w14:textId="77777777" w:rsidR="00A67F21" w:rsidRPr="00B12FE0" w:rsidRDefault="00000000">
            <w:pPr>
              <w:widowControl/>
              <w:jc w:val="center"/>
              <w:textAlignment w:val="center"/>
              <w:rPr>
                <w:snapToGrid w:val="0"/>
                <w:color w:val="000000" w:themeColor="text1"/>
                <w:sz w:val="21"/>
                <w:szCs w:val="21"/>
              </w:rPr>
            </w:pPr>
            <m:oMath>
              <m:sSub>
                <m:sSubPr>
                  <m:ctrlPr>
                    <w:rPr>
                      <w:rFonts w:ascii="Cambria Math" w:hAnsi="Cambria Math"/>
                      <w:i/>
                      <w:snapToGrid w:val="0"/>
                      <w:color w:val="000000" w:themeColor="text1"/>
                      <w:sz w:val="21"/>
                      <w:szCs w:val="21"/>
                    </w:rPr>
                  </m:ctrlPr>
                </m:sSubPr>
                <m:e>
                  <m:acc>
                    <m:accPr>
                      <m:chr m:val="̇"/>
                      <m:ctrlPr>
                        <w:rPr>
                          <w:rFonts w:ascii="Cambria Math" w:hAnsi="Cambria Math"/>
                          <w:i/>
                          <w:snapToGrid w:val="0"/>
                          <w:color w:val="000000" w:themeColor="text1"/>
                          <w:sz w:val="21"/>
                          <w:szCs w:val="21"/>
                        </w:rPr>
                      </m:ctrlPr>
                    </m:accPr>
                    <m:e>
                      <m:r>
                        <w:rPr>
                          <w:rFonts w:ascii="Cambria Math" w:hAnsi="Cambria Math"/>
                          <w:snapToGrid w:val="0"/>
                          <w:color w:val="000000" w:themeColor="text1"/>
                          <w:sz w:val="21"/>
                          <w:szCs w:val="21"/>
                        </w:rPr>
                        <m:t>H</m:t>
                      </m:r>
                    </m:e>
                  </m:acc>
                </m:e>
                <m:sub>
                  <m:r>
                    <w:rPr>
                      <w:rFonts w:ascii="Cambria Math" w:hAnsi="Cambria Math"/>
                      <w:snapToGrid w:val="0"/>
                      <w:color w:val="000000" w:themeColor="text1"/>
                      <w:sz w:val="21"/>
                      <w:szCs w:val="21"/>
                    </w:rPr>
                    <m:t>散</m:t>
                  </m:r>
                </m:sub>
              </m:sSub>
            </m:oMath>
            <w:r w:rsidRPr="00B12FE0">
              <w:rPr>
                <w:snapToGrid w:val="0"/>
                <w:color w:val="000000" w:themeColor="text1"/>
                <w:kern w:val="0"/>
                <w:sz w:val="21"/>
                <w:szCs w:val="21"/>
                <w:lang w:bidi="ar"/>
              </w:rPr>
              <w:t>(μSv/h)</w:t>
            </w:r>
          </w:p>
        </w:tc>
        <w:tc>
          <w:tcPr>
            <w:tcW w:w="1997" w:type="dxa"/>
            <w:tcBorders>
              <w:top w:val="single" w:sz="4" w:space="0" w:color="000000"/>
              <w:left w:val="single" w:sz="4" w:space="0" w:color="000000"/>
              <w:bottom w:val="single" w:sz="4" w:space="0" w:color="000000"/>
              <w:right w:val="single" w:sz="4" w:space="0" w:color="000000"/>
            </w:tcBorders>
            <w:vAlign w:val="center"/>
          </w:tcPr>
          <w:p w14:paraId="0519F436" w14:textId="77777777" w:rsidR="00A67F21" w:rsidRPr="00B12FE0" w:rsidRDefault="00000000">
            <w:pPr>
              <w:widowControl/>
              <w:jc w:val="center"/>
              <w:textAlignment w:val="center"/>
              <w:rPr>
                <w:snapToGrid w:val="0"/>
                <w:color w:val="000000" w:themeColor="text1"/>
                <w:sz w:val="21"/>
                <w:szCs w:val="21"/>
              </w:rPr>
            </w:pPr>
            <m:oMath>
              <m:sSub>
                <m:sSubPr>
                  <m:ctrlPr>
                    <w:rPr>
                      <w:rFonts w:ascii="Cambria Math" w:hAnsi="Cambria Math"/>
                      <w:i/>
                      <w:snapToGrid w:val="0"/>
                      <w:color w:val="000000" w:themeColor="text1"/>
                      <w:sz w:val="21"/>
                      <w:szCs w:val="21"/>
                    </w:rPr>
                  </m:ctrlPr>
                </m:sSubPr>
                <m:e>
                  <m:acc>
                    <m:accPr>
                      <m:chr m:val="̇"/>
                      <m:ctrlPr>
                        <w:rPr>
                          <w:rFonts w:ascii="Cambria Math" w:hAnsi="Cambria Math"/>
                          <w:i/>
                          <w:snapToGrid w:val="0"/>
                          <w:color w:val="000000" w:themeColor="text1"/>
                          <w:sz w:val="21"/>
                          <w:szCs w:val="21"/>
                        </w:rPr>
                      </m:ctrlPr>
                    </m:accPr>
                    <m:e>
                      <m:r>
                        <w:rPr>
                          <w:rFonts w:ascii="Cambria Math" w:hAnsi="Cambria Math"/>
                          <w:snapToGrid w:val="0"/>
                          <w:color w:val="000000" w:themeColor="text1"/>
                          <w:sz w:val="21"/>
                          <w:szCs w:val="21"/>
                        </w:rPr>
                        <m:t>H</m:t>
                      </m:r>
                    </m:e>
                  </m:acc>
                </m:e>
                <m:sub>
                  <m:r>
                    <w:rPr>
                      <w:rFonts w:ascii="Cambria Math" w:hAnsi="Cambria Math"/>
                      <w:snapToGrid w:val="0"/>
                      <w:color w:val="000000" w:themeColor="text1"/>
                      <w:sz w:val="21"/>
                      <w:szCs w:val="21"/>
                    </w:rPr>
                    <m:t>漏</m:t>
                  </m:r>
                </m:sub>
              </m:sSub>
            </m:oMath>
            <w:r w:rsidRPr="00B12FE0">
              <w:rPr>
                <w:snapToGrid w:val="0"/>
                <w:color w:val="000000" w:themeColor="text1"/>
                <w:kern w:val="0"/>
                <w:sz w:val="21"/>
                <w:szCs w:val="21"/>
                <w:lang w:bidi="ar"/>
              </w:rPr>
              <w:t>(μSv/h)</w:t>
            </w:r>
          </w:p>
        </w:tc>
        <w:tc>
          <w:tcPr>
            <w:tcW w:w="2091" w:type="dxa"/>
            <w:tcBorders>
              <w:top w:val="single" w:sz="4" w:space="0" w:color="000000"/>
              <w:left w:val="single" w:sz="4" w:space="0" w:color="000000"/>
              <w:bottom w:val="single" w:sz="4" w:space="0" w:color="000000"/>
              <w:right w:val="single" w:sz="4" w:space="0" w:color="000000"/>
            </w:tcBorders>
            <w:vAlign w:val="center"/>
          </w:tcPr>
          <w:p w14:paraId="4FBA63A1" w14:textId="77777777" w:rsidR="00A67F21" w:rsidRPr="00B12FE0" w:rsidRDefault="00000000">
            <w:pPr>
              <w:widowControl/>
              <w:jc w:val="center"/>
              <w:textAlignment w:val="center"/>
              <w:rPr>
                <w:snapToGrid w:val="0"/>
                <w:color w:val="000000" w:themeColor="text1"/>
                <w:sz w:val="21"/>
                <w:szCs w:val="21"/>
              </w:rPr>
            </w:pPr>
            <m:oMath>
              <m:acc>
                <m:accPr>
                  <m:chr m:val="̇"/>
                  <m:ctrlPr>
                    <w:rPr>
                      <w:rFonts w:ascii="Cambria Math" w:hAnsi="Cambria Math"/>
                      <w:i/>
                      <w:snapToGrid w:val="0"/>
                      <w:color w:val="000000" w:themeColor="text1"/>
                      <w:kern w:val="0"/>
                      <w:sz w:val="21"/>
                      <w:szCs w:val="21"/>
                    </w:rPr>
                  </m:ctrlPr>
                </m:accPr>
                <m:e>
                  <m:r>
                    <w:rPr>
                      <w:rFonts w:ascii="Cambria Math" w:hAnsi="Cambria Math"/>
                      <w:snapToGrid w:val="0"/>
                      <w:color w:val="000000" w:themeColor="text1"/>
                      <w:kern w:val="0"/>
                      <w:sz w:val="21"/>
                      <w:szCs w:val="21"/>
                    </w:rPr>
                    <m:t>H</m:t>
                  </m:r>
                </m:e>
              </m:acc>
            </m:oMath>
            <w:r w:rsidRPr="00B12FE0">
              <w:rPr>
                <w:snapToGrid w:val="0"/>
                <w:color w:val="000000" w:themeColor="text1"/>
                <w:kern w:val="0"/>
                <w:sz w:val="21"/>
                <w:szCs w:val="21"/>
                <w:lang w:bidi="ar"/>
              </w:rPr>
              <w:t>(μSv/h)</w:t>
            </w:r>
          </w:p>
        </w:tc>
      </w:tr>
      <w:tr w:rsidR="00A67F21" w:rsidRPr="00B12FE0" w14:paraId="74283915" w14:textId="77777777">
        <w:trPr>
          <w:trHeight w:val="272"/>
          <w:jc w:val="center"/>
        </w:trPr>
        <w:tc>
          <w:tcPr>
            <w:tcW w:w="1449" w:type="dxa"/>
            <w:vMerge w:val="restart"/>
            <w:tcBorders>
              <w:top w:val="single" w:sz="4" w:space="0" w:color="000000"/>
              <w:left w:val="single" w:sz="4" w:space="0" w:color="000000"/>
              <w:bottom w:val="single" w:sz="4" w:space="0" w:color="000000"/>
              <w:right w:val="single" w:sz="4" w:space="0" w:color="000000"/>
            </w:tcBorders>
            <w:vAlign w:val="center"/>
          </w:tcPr>
          <w:p w14:paraId="060D3573"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c</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rFonts w:hint="eastAsia"/>
                <w:snapToGrid w:val="0"/>
                <w:color w:val="000000" w:themeColor="text1"/>
                <w:kern w:val="0"/>
                <w:sz w:val="21"/>
                <w:szCs w:val="21"/>
                <w:lang w:bidi="ar"/>
              </w:rPr>
              <w:t>c</w:t>
            </w:r>
            <w:r w:rsidRPr="00B12FE0">
              <w:rPr>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43C8380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15MV</w:t>
            </w:r>
          </w:p>
        </w:tc>
        <w:tc>
          <w:tcPr>
            <w:tcW w:w="2053" w:type="dxa"/>
            <w:tcBorders>
              <w:top w:val="single" w:sz="4" w:space="0" w:color="000000"/>
              <w:left w:val="single" w:sz="4" w:space="0" w:color="000000"/>
              <w:bottom w:val="single" w:sz="4" w:space="0" w:color="000000"/>
              <w:right w:val="single" w:sz="4" w:space="0" w:color="000000"/>
            </w:tcBorders>
            <w:noWrap/>
            <w:vAlign w:val="center"/>
          </w:tcPr>
          <w:p w14:paraId="731AF1D5"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4.54E-02</w:t>
            </w:r>
          </w:p>
        </w:tc>
        <w:tc>
          <w:tcPr>
            <w:tcW w:w="1997" w:type="dxa"/>
            <w:tcBorders>
              <w:top w:val="single" w:sz="4" w:space="0" w:color="000000"/>
              <w:left w:val="single" w:sz="4" w:space="0" w:color="000000"/>
              <w:bottom w:val="single" w:sz="4" w:space="0" w:color="000000"/>
              <w:right w:val="single" w:sz="4" w:space="0" w:color="000000"/>
            </w:tcBorders>
            <w:noWrap/>
            <w:vAlign w:val="center"/>
          </w:tcPr>
          <w:p w14:paraId="6BBC7189"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1.03E-02</w:t>
            </w:r>
          </w:p>
        </w:tc>
        <w:tc>
          <w:tcPr>
            <w:tcW w:w="2091" w:type="dxa"/>
            <w:tcBorders>
              <w:top w:val="single" w:sz="4" w:space="0" w:color="000000"/>
              <w:left w:val="single" w:sz="4" w:space="0" w:color="000000"/>
              <w:bottom w:val="single" w:sz="4" w:space="0" w:color="000000"/>
              <w:right w:val="single" w:sz="4" w:space="0" w:color="000000"/>
            </w:tcBorders>
            <w:noWrap/>
            <w:vAlign w:val="center"/>
          </w:tcPr>
          <w:p w14:paraId="375C8A08"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5.58E-02</w:t>
            </w:r>
          </w:p>
        </w:tc>
      </w:tr>
      <w:tr w:rsidR="00A67F21" w:rsidRPr="00B12FE0" w14:paraId="00255E38" w14:textId="77777777">
        <w:trPr>
          <w:trHeight w:val="272"/>
          <w:jc w:val="center"/>
        </w:trPr>
        <w:tc>
          <w:tcPr>
            <w:tcW w:w="1449" w:type="dxa"/>
            <w:vMerge/>
            <w:tcBorders>
              <w:top w:val="single" w:sz="4" w:space="0" w:color="000000"/>
              <w:left w:val="single" w:sz="4" w:space="0" w:color="000000"/>
              <w:bottom w:val="single" w:sz="4" w:space="0" w:color="000000"/>
              <w:right w:val="single" w:sz="4" w:space="0" w:color="000000"/>
            </w:tcBorders>
            <w:vAlign w:val="center"/>
          </w:tcPr>
          <w:p w14:paraId="4622D536" w14:textId="77777777" w:rsidR="00A67F21" w:rsidRPr="00B12FE0" w:rsidRDefault="00A67F21">
            <w:pPr>
              <w:jc w:val="center"/>
              <w:rPr>
                <w:snapToGrid w:val="0"/>
                <w:color w:val="000000" w:themeColor="text1"/>
                <w:sz w:val="21"/>
                <w:szCs w:val="21"/>
              </w:rPr>
            </w:pP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415A58C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10MV</w:t>
            </w:r>
          </w:p>
        </w:tc>
        <w:tc>
          <w:tcPr>
            <w:tcW w:w="2053" w:type="dxa"/>
            <w:tcBorders>
              <w:top w:val="single" w:sz="4" w:space="0" w:color="000000"/>
              <w:left w:val="single" w:sz="4" w:space="0" w:color="000000"/>
              <w:bottom w:val="single" w:sz="4" w:space="0" w:color="000000"/>
              <w:right w:val="single" w:sz="4" w:space="0" w:color="000000"/>
            </w:tcBorders>
            <w:noWrap/>
            <w:vAlign w:val="center"/>
          </w:tcPr>
          <w:p w14:paraId="420B9950"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4.04E-02</w:t>
            </w:r>
          </w:p>
        </w:tc>
        <w:tc>
          <w:tcPr>
            <w:tcW w:w="1997" w:type="dxa"/>
            <w:tcBorders>
              <w:top w:val="single" w:sz="4" w:space="0" w:color="000000"/>
              <w:left w:val="single" w:sz="4" w:space="0" w:color="000000"/>
              <w:bottom w:val="single" w:sz="4" w:space="0" w:color="000000"/>
              <w:right w:val="single" w:sz="4" w:space="0" w:color="000000"/>
            </w:tcBorders>
            <w:noWrap/>
            <w:vAlign w:val="center"/>
          </w:tcPr>
          <w:p w14:paraId="52056A8D"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1.92E-02</w:t>
            </w:r>
          </w:p>
        </w:tc>
        <w:tc>
          <w:tcPr>
            <w:tcW w:w="2091" w:type="dxa"/>
            <w:tcBorders>
              <w:top w:val="single" w:sz="4" w:space="0" w:color="000000"/>
              <w:left w:val="single" w:sz="4" w:space="0" w:color="000000"/>
              <w:bottom w:val="single" w:sz="4" w:space="0" w:color="auto"/>
              <w:right w:val="single" w:sz="4" w:space="0" w:color="000000"/>
            </w:tcBorders>
            <w:noWrap/>
            <w:vAlign w:val="center"/>
          </w:tcPr>
          <w:p w14:paraId="34D590E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5.96E-02</w:t>
            </w:r>
          </w:p>
        </w:tc>
      </w:tr>
      <w:tr w:rsidR="00A67F21" w:rsidRPr="00B12FE0" w14:paraId="55818745" w14:textId="77777777">
        <w:trPr>
          <w:trHeight w:val="272"/>
          <w:jc w:val="center"/>
        </w:trPr>
        <w:tc>
          <w:tcPr>
            <w:tcW w:w="1449" w:type="dxa"/>
            <w:vMerge w:val="restart"/>
            <w:tcBorders>
              <w:top w:val="single" w:sz="4" w:space="0" w:color="000000"/>
              <w:left w:val="single" w:sz="4" w:space="0" w:color="000000"/>
              <w:right w:val="single" w:sz="4" w:space="0" w:color="000000"/>
            </w:tcBorders>
            <w:vAlign w:val="center"/>
          </w:tcPr>
          <w:p w14:paraId="349C2B77" w14:textId="77777777" w:rsidR="00A67F21" w:rsidRPr="00B12FE0" w:rsidRDefault="00000000">
            <w:pPr>
              <w:jc w:val="center"/>
              <w:rPr>
                <w:snapToGrid w:val="0"/>
                <w:color w:val="000000" w:themeColor="text1"/>
                <w:sz w:val="21"/>
                <w:szCs w:val="21"/>
              </w:rPr>
            </w:pPr>
            <w:r w:rsidRPr="00B12FE0">
              <w:rPr>
                <w:rFonts w:hint="eastAsia"/>
                <w:snapToGrid w:val="0"/>
                <w:color w:val="000000" w:themeColor="text1"/>
                <w:sz w:val="21"/>
                <w:szCs w:val="21"/>
                <w:lang w:bidi="ar"/>
              </w:rPr>
              <w:t>d</w:t>
            </w:r>
            <w:r w:rsidRPr="00B12FE0">
              <w:rPr>
                <w:rFonts w:hint="eastAsia"/>
                <w:snapToGrid w:val="0"/>
                <w:color w:val="000000" w:themeColor="text1"/>
                <w:sz w:val="21"/>
                <w:szCs w:val="21"/>
                <w:vertAlign w:val="subscript"/>
                <w:lang w:bidi="ar"/>
              </w:rPr>
              <w:t>1</w:t>
            </w:r>
            <w:r w:rsidRPr="00B12FE0">
              <w:rPr>
                <w:rFonts w:hint="eastAsia"/>
                <w:snapToGrid w:val="0"/>
                <w:color w:val="000000" w:themeColor="text1"/>
                <w:sz w:val="21"/>
                <w:szCs w:val="21"/>
                <w:lang w:bidi="ar"/>
              </w:rPr>
              <w:t xml:space="preserve"> /d</w:t>
            </w:r>
            <w:r w:rsidRPr="00B12FE0">
              <w:rPr>
                <w:rFonts w:hint="eastAsia"/>
                <w:snapToGrid w:val="0"/>
                <w:color w:val="000000" w:themeColor="text1"/>
                <w:sz w:val="21"/>
                <w:szCs w:val="21"/>
                <w:vertAlign w:val="subscript"/>
                <w:lang w:bidi="ar"/>
              </w:rPr>
              <w:t>2</w:t>
            </w:r>
            <w:r w:rsidRPr="00B12FE0">
              <w:rPr>
                <w:rFonts w:hint="eastAsia"/>
                <w:snapToGrid w:val="0"/>
                <w:color w:val="000000" w:themeColor="text1"/>
                <w:sz w:val="21"/>
                <w:szCs w:val="21"/>
                <w:lang w:bidi="ar"/>
              </w:rPr>
              <w:t>点</w:t>
            </w: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663C32A5"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15MV</w:t>
            </w:r>
          </w:p>
        </w:tc>
        <w:tc>
          <w:tcPr>
            <w:tcW w:w="2053" w:type="dxa"/>
            <w:tcBorders>
              <w:top w:val="single" w:sz="4" w:space="0" w:color="000000"/>
              <w:left w:val="single" w:sz="4" w:space="0" w:color="000000"/>
              <w:bottom w:val="single" w:sz="4" w:space="0" w:color="000000"/>
              <w:right w:val="single" w:sz="4" w:space="0" w:color="000000"/>
            </w:tcBorders>
            <w:noWrap/>
            <w:vAlign w:val="center"/>
          </w:tcPr>
          <w:p w14:paraId="2E6FD7E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5.37</w:t>
            </w:r>
            <w:r w:rsidRPr="00B12FE0">
              <w:rPr>
                <w:color w:val="000000" w:themeColor="text1"/>
                <w:sz w:val="21"/>
                <w:szCs w:val="21"/>
              </w:rPr>
              <w:t>E-02</w:t>
            </w:r>
          </w:p>
        </w:tc>
        <w:tc>
          <w:tcPr>
            <w:tcW w:w="1997" w:type="dxa"/>
            <w:tcBorders>
              <w:top w:val="nil"/>
              <w:left w:val="nil"/>
              <w:bottom w:val="single" w:sz="8" w:space="0" w:color="000000"/>
              <w:right w:val="single" w:sz="4" w:space="0" w:color="auto"/>
            </w:tcBorders>
            <w:noWrap/>
            <w:vAlign w:val="center"/>
          </w:tcPr>
          <w:p w14:paraId="13BBA632"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1.22E-02</w:t>
            </w:r>
          </w:p>
        </w:tc>
        <w:tc>
          <w:tcPr>
            <w:tcW w:w="2091" w:type="dxa"/>
            <w:tcBorders>
              <w:top w:val="single" w:sz="4" w:space="0" w:color="auto"/>
              <w:left w:val="single" w:sz="4" w:space="0" w:color="auto"/>
              <w:bottom w:val="single" w:sz="4" w:space="0" w:color="auto"/>
              <w:right w:val="single" w:sz="4" w:space="0" w:color="auto"/>
            </w:tcBorders>
            <w:noWrap/>
            <w:vAlign w:val="center"/>
          </w:tcPr>
          <w:p w14:paraId="20E392C0"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6.59E-02</w:t>
            </w:r>
          </w:p>
        </w:tc>
      </w:tr>
      <w:tr w:rsidR="00A67F21" w:rsidRPr="00B12FE0" w14:paraId="1B9A8141" w14:textId="77777777">
        <w:trPr>
          <w:trHeight w:val="272"/>
          <w:jc w:val="center"/>
        </w:trPr>
        <w:tc>
          <w:tcPr>
            <w:tcW w:w="1449" w:type="dxa"/>
            <w:vMerge/>
            <w:tcBorders>
              <w:left w:val="single" w:sz="4" w:space="0" w:color="000000"/>
              <w:bottom w:val="single" w:sz="4" w:space="0" w:color="000000"/>
              <w:right w:val="single" w:sz="4" w:space="0" w:color="000000"/>
            </w:tcBorders>
            <w:vAlign w:val="center"/>
          </w:tcPr>
          <w:p w14:paraId="652F52C2" w14:textId="77777777" w:rsidR="00A67F21" w:rsidRPr="00B12FE0" w:rsidRDefault="00A67F21">
            <w:pPr>
              <w:jc w:val="center"/>
              <w:rPr>
                <w:snapToGrid w:val="0"/>
                <w:color w:val="000000" w:themeColor="text1"/>
                <w:sz w:val="21"/>
                <w:szCs w:val="21"/>
              </w:rPr>
            </w:pP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6386BD8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10MV</w:t>
            </w:r>
          </w:p>
        </w:tc>
        <w:tc>
          <w:tcPr>
            <w:tcW w:w="2053" w:type="dxa"/>
            <w:tcBorders>
              <w:top w:val="single" w:sz="4" w:space="0" w:color="000000"/>
              <w:left w:val="single" w:sz="4" w:space="0" w:color="000000"/>
              <w:bottom w:val="single" w:sz="4" w:space="0" w:color="000000"/>
              <w:right w:val="single" w:sz="4" w:space="0" w:color="000000"/>
            </w:tcBorders>
            <w:noWrap/>
            <w:vAlign w:val="center"/>
          </w:tcPr>
          <w:p w14:paraId="432106A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sz w:val="21"/>
                <w:szCs w:val="21"/>
              </w:rPr>
              <w:t>4.77</w:t>
            </w:r>
            <w:r w:rsidRPr="00B12FE0">
              <w:rPr>
                <w:color w:val="000000" w:themeColor="text1"/>
                <w:sz w:val="21"/>
                <w:szCs w:val="21"/>
              </w:rPr>
              <w:t>E-02</w:t>
            </w:r>
          </w:p>
        </w:tc>
        <w:tc>
          <w:tcPr>
            <w:tcW w:w="1997" w:type="dxa"/>
            <w:tcBorders>
              <w:top w:val="nil"/>
              <w:left w:val="nil"/>
              <w:bottom w:val="single" w:sz="8" w:space="0" w:color="000000"/>
              <w:right w:val="single" w:sz="4" w:space="0" w:color="auto"/>
            </w:tcBorders>
            <w:noWrap/>
            <w:vAlign w:val="center"/>
          </w:tcPr>
          <w:p w14:paraId="650A34F9"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2.27E-02</w:t>
            </w:r>
          </w:p>
        </w:tc>
        <w:tc>
          <w:tcPr>
            <w:tcW w:w="2091" w:type="dxa"/>
            <w:tcBorders>
              <w:top w:val="single" w:sz="4" w:space="0" w:color="auto"/>
              <w:left w:val="single" w:sz="4" w:space="0" w:color="auto"/>
              <w:bottom w:val="single" w:sz="4" w:space="0" w:color="auto"/>
              <w:right w:val="single" w:sz="4" w:space="0" w:color="auto"/>
            </w:tcBorders>
            <w:noWrap/>
            <w:vAlign w:val="center"/>
          </w:tcPr>
          <w:p w14:paraId="539F26A6"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7.05E-02</w:t>
            </w:r>
          </w:p>
        </w:tc>
      </w:tr>
      <w:tr w:rsidR="00A67F21" w:rsidRPr="00B12FE0" w14:paraId="684C55A6" w14:textId="77777777">
        <w:trPr>
          <w:trHeight w:val="272"/>
          <w:jc w:val="center"/>
        </w:trPr>
        <w:tc>
          <w:tcPr>
            <w:tcW w:w="1449" w:type="dxa"/>
            <w:vMerge w:val="restart"/>
            <w:tcBorders>
              <w:top w:val="single" w:sz="4" w:space="0" w:color="000000"/>
              <w:left w:val="single" w:sz="4" w:space="0" w:color="000000"/>
              <w:bottom w:val="single" w:sz="4" w:space="0" w:color="000000"/>
              <w:right w:val="single" w:sz="4" w:space="0" w:color="000000"/>
            </w:tcBorders>
            <w:vAlign w:val="center"/>
          </w:tcPr>
          <w:p w14:paraId="115D510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43F9B4F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15MV</w:t>
            </w:r>
          </w:p>
        </w:tc>
        <w:tc>
          <w:tcPr>
            <w:tcW w:w="2053" w:type="dxa"/>
            <w:tcBorders>
              <w:top w:val="single" w:sz="4" w:space="0" w:color="000000"/>
              <w:left w:val="single" w:sz="4" w:space="0" w:color="000000"/>
              <w:bottom w:val="single" w:sz="4" w:space="0" w:color="000000"/>
              <w:right w:val="single" w:sz="4" w:space="0" w:color="000000"/>
            </w:tcBorders>
            <w:noWrap/>
            <w:vAlign w:val="center"/>
          </w:tcPr>
          <w:p w14:paraId="5DA0F9AB"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6.78E-02</w:t>
            </w:r>
          </w:p>
        </w:tc>
        <w:tc>
          <w:tcPr>
            <w:tcW w:w="1997" w:type="dxa"/>
            <w:tcBorders>
              <w:top w:val="single" w:sz="4" w:space="0" w:color="000000"/>
              <w:left w:val="single" w:sz="4" w:space="0" w:color="000000"/>
              <w:bottom w:val="single" w:sz="4" w:space="0" w:color="000000"/>
              <w:right w:val="single" w:sz="4" w:space="0" w:color="000000"/>
            </w:tcBorders>
            <w:noWrap/>
            <w:vAlign w:val="center"/>
          </w:tcPr>
          <w:p w14:paraId="0396F1F6"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1.51E-02</w:t>
            </w:r>
          </w:p>
        </w:tc>
        <w:tc>
          <w:tcPr>
            <w:tcW w:w="2091" w:type="dxa"/>
            <w:tcBorders>
              <w:top w:val="single" w:sz="4" w:space="0" w:color="auto"/>
              <w:left w:val="single" w:sz="4" w:space="0" w:color="000000"/>
              <w:bottom w:val="single" w:sz="4" w:space="0" w:color="000000"/>
              <w:right w:val="single" w:sz="4" w:space="0" w:color="000000"/>
            </w:tcBorders>
            <w:noWrap/>
            <w:vAlign w:val="center"/>
          </w:tcPr>
          <w:p w14:paraId="50CD1FD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8.29E-02</w:t>
            </w:r>
          </w:p>
        </w:tc>
      </w:tr>
      <w:tr w:rsidR="00A67F21" w:rsidRPr="00B12FE0" w14:paraId="35A0850D" w14:textId="77777777">
        <w:trPr>
          <w:trHeight w:val="272"/>
          <w:jc w:val="center"/>
        </w:trPr>
        <w:tc>
          <w:tcPr>
            <w:tcW w:w="1449" w:type="dxa"/>
            <w:vMerge/>
            <w:tcBorders>
              <w:top w:val="single" w:sz="4" w:space="0" w:color="000000"/>
              <w:left w:val="single" w:sz="4" w:space="0" w:color="000000"/>
              <w:bottom w:val="single" w:sz="4" w:space="0" w:color="000000"/>
              <w:right w:val="single" w:sz="4" w:space="0" w:color="000000"/>
            </w:tcBorders>
            <w:vAlign w:val="center"/>
          </w:tcPr>
          <w:p w14:paraId="537E9E84" w14:textId="77777777" w:rsidR="00A67F21" w:rsidRPr="00B12FE0" w:rsidRDefault="00A67F21">
            <w:pPr>
              <w:jc w:val="center"/>
              <w:rPr>
                <w:snapToGrid w:val="0"/>
                <w:color w:val="000000" w:themeColor="text1"/>
                <w:sz w:val="21"/>
                <w:szCs w:val="21"/>
              </w:rPr>
            </w:pP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3B94064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10MV</w:t>
            </w:r>
          </w:p>
        </w:tc>
        <w:tc>
          <w:tcPr>
            <w:tcW w:w="2053" w:type="dxa"/>
            <w:tcBorders>
              <w:top w:val="single" w:sz="4" w:space="0" w:color="000000"/>
              <w:left w:val="single" w:sz="4" w:space="0" w:color="000000"/>
              <w:bottom w:val="single" w:sz="4" w:space="0" w:color="000000"/>
              <w:right w:val="single" w:sz="4" w:space="0" w:color="000000"/>
            </w:tcBorders>
            <w:noWrap/>
            <w:vAlign w:val="center"/>
          </w:tcPr>
          <w:p w14:paraId="38C24B01"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6.22E-02</w:t>
            </w:r>
          </w:p>
        </w:tc>
        <w:tc>
          <w:tcPr>
            <w:tcW w:w="1997" w:type="dxa"/>
            <w:tcBorders>
              <w:top w:val="single" w:sz="4" w:space="0" w:color="000000"/>
              <w:left w:val="single" w:sz="4" w:space="0" w:color="000000"/>
              <w:bottom w:val="single" w:sz="4" w:space="0" w:color="000000"/>
              <w:right w:val="single" w:sz="4" w:space="0" w:color="000000"/>
            </w:tcBorders>
            <w:noWrap/>
            <w:vAlign w:val="center"/>
          </w:tcPr>
          <w:p w14:paraId="10C44473"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2.87E-02</w:t>
            </w:r>
          </w:p>
        </w:tc>
        <w:tc>
          <w:tcPr>
            <w:tcW w:w="2091" w:type="dxa"/>
            <w:tcBorders>
              <w:top w:val="single" w:sz="4" w:space="0" w:color="000000"/>
              <w:left w:val="single" w:sz="4" w:space="0" w:color="000000"/>
              <w:bottom w:val="single" w:sz="4" w:space="0" w:color="000000"/>
              <w:right w:val="single" w:sz="4" w:space="0" w:color="000000"/>
            </w:tcBorders>
            <w:noWrap/>
            <w:vAlign w:val="center"/>
          </w:tcPr>
          <w:p w14:paraId="5482B68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9.09E-02</w:t>
            </w:r>
          </w:p>
        </w:tc>
      </w:tr>
      <w:tr w:rsidR="00A67F21" w:rsidRPr="00B12FE0" w14:paraId="7D4819D8" w14:textId="77777777">
        <w:trPr>
          <w:trHeight w:val="272"/>
          <w:jc w:val="center"/>
        </w:trPr>
        <w:tc>
          <w:tcPr>
            <w:tcW w:w="1449" w:type="dxa"/>
            <w:vMerge w:val="restart"/>
            <w:tcBorders>
              <w:top w:val="single" w:sz="4" w:space="0" w:color="000000"/>
              <w:left w:val="single" w:sz="4" w:space="0" w:color="000000"/>
              <w:right w:val="single" w:sz="4" w:space="0" w:color="000000"/>
            </w:tcBorders>
            <w:vAlign w:val="center"/>
          </w:tcPr>
          <w:p w14:paraId="6A1D05CF" w14:textId="77777777" w:rsidR="00A67F21" w:rsidRPr="00B12FE0" w:rsidRDefault="00000000">
            <w:pPr>
              <w:jc w:val="center"/>
              <w:rPr>
                <w:snapToGrid w:val="0"/>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7674B7F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15MV</w:t>
            </w:r>
          </w:p>
        </w:tc>
        <w:tc>
          <w:tcPr>
            <w:tcW w:w="2053" w:type="dxa"/>
            <w:tcBorders>
              <w:top w:val="single" w:sz="4" w:space="0" w:color="000000"/>
              <w:left w:val="single" w:sz="4" w:space="0" w:color="000000"/>
              <w:bottom w:val="single" w:sz="4" w:space="0" w:color="000000"/>
              <w:right w:val="single" w:sz="4" w:space="0" w:color="000000"/>
            </w:tcBorders>
            <w:noWrap/>
            <w:vAlign w:val="center"/>
          </w:tcPr>
          <w:p w14:paraId="76C2F398"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kern w:val="0"/>
                <w:sz w:val="21"/>
                <w:szCs w:val="21"/>
                <w:lang w:bidi="ar"/>
              </w:rPr>
              <w:t>4.84E-02</w:t>
            </w:r>
          </w:p>
        </w:tc>
        <w:tc>
          <w:tcPr>
            <w:tcW w:w="1997" w:type="dxa"/>
            <w:tcBorders>
              <w:top w:val="single" w:sz="4" w:space="0" w:color="000000"/>
              <w:left w:val="single" w:sz="4" w:space="0" w:color="000000"/>
              <w:bottom w:val="single" w:sz="4" w:space="0" w:color="000000"/>
              <w:right w:val="single" w:sz="4" w:space="0" w:color="000000"/>
            </w:tcBorders>
            <w:noWrap/>
            <w:vAlign w:val="center"/>
          </w:tcPr>
          <w:p w14:paraId="3007FF23"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sz w:val="21"/>
                <w:szCs w:val="21"/>
              </w:rPr>
              <w:t>1.10E-02</w:t>
            </w:r>
          </w:p>
        </w:tc>
        <w:tc>
          <w:tcPr>
            <w:tcW w:w="2091" w:type="dxa"/>
            <w:tcBorders>
              <w:top w:val="single" w:sz="4" w:space="0" w:color="000000"/>
              <w:left w:val="single" w:sz="4" w:space="0" w:color="000000"/>
              <w:bottom w:val="single" w:sz="4" w:space="0" w:color="000000"/>
              <w:right w:val="single" w:sz="4" w:space="0" w:color="000000"/>
            </w:tcBorders>
            <w:noWrap/>
            <w:vAlign w:val="center"/>
          </w:tcPr>
          <w:p w14:paraId="3DD3B15D"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5.94E-02</w:t>
            </w:r>
          </w:p>
        </w:tc>
      </w:tr>
      <w:tr w:rsidR="00A67F21" w:rsidRPr="00B12FE0" w14:paraId="6E7C5BE1" w14:textId="77777777">
        <w:trPr>
          <w:trHeight w:val="272"/>
          <w:jc w:val="center"/>
        </w:trPr>
        <w:tc>
          <w:tcPr>
            <w:tcW w:w="1449" w:type="dxa"/>
            <w:vMerge/>
            <w:tcBorders>
              <w:left w:val="single" w:sz="4" w:space="0" w:color="000000"/>
              <w:bottom w:val="single" w:sz="4" w:space="0" w:color="000000"/>
              <w:right w:val="single" w:sz="4" w:space="0" w:color="000000"/>
            </w:tcBorders>
            <w:vAlign w:val="center"/>
          </w:tcPr>
          <w:p w14:paraId="5214643C" w14:textId="77777777" w:rsidR="00A67F21" w:rsidRPr="00B12FE0" w:rsidRDefault="00A67F21">
            <w:pPr>
              <w:jc w:val="center"/>
              <w:rPr>
                <w:snapToGrid w:val="0"/>
                <w:color w:val="000000" w:themeColor="text1"/>
                <w:sz w:val="21"/>
                <w:szCs w:val="21"/>
              </w:rPr>
            </w:pPr>
          </w:p>
        </w:tc>
        <w:tc>
          <w:tcPr>
            <w:tcW w:w="1210" w:type="dxa"/>
            <w:tcBorders>
              <w:top w:val="single" w:sz="4" w:space="0" w:color="000000"/>
              <w:left w:val="single" w:sz="4" w:space="0" w:color="000000"/>
              <w:bottom w:val="single" w:sz="4" w:space="0" w:color="000000"/>
              <w:right w:val="single" w:sz="4" w:space="0" w:color="000000"/>
            </w:tcBorders>
            <w:noWrap/>
            <w:vAlign w:val="center"/>
          </w:tcPr>
          <w:p w14:paraId="735639DF"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10MV</w:t>
            </w:r>
          </w:p>
        </w:tc>
        <w:tc>
          <w:tcPr>
            <w:tcW w:w="2053" w:type="dxa"/>
            <w:tcBorders>
              <w:top w:val="single" w:sz="4" w:space="0" w:color="000000"/>
              <w:left w:val="single" w:sz="4" w:space="0" w:color="000000"/>
              <w:bottom w:val="single" w:sz="4" w:space="0" w:color="auto"/>
              <w:right w:val="single" w:sz="4" w:space="0" w:color="000000"/>
            </w:tcBorders>
            <w:noWrap/>
            <w:vAlign w:val="center"/>
          </w:tcPr>
          <w:p w14:paraId="4DF70550"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kern w:val="0"/>
                <w:sz w:val="21"/>
                <w:szCs w:val="21"/>
                <w:lang w:bidi="ar"/>
              </w:rPr>
              <w:t>4.30E-02</w:t>
            </w:r>
          </w:p>
        </w:tc>
        <w:tc>
          <w:tcPr>
            <w:tcW w:w="1997" w:type="dxa"/>
            <w:tcBorders>
              <w:top w:val="single" w:sz="4" w:space="0" w:color="000000"/>
              <w:left w:val="single" w:sz="4" w:space="0" w:color="000000"/>
              <w:bottom w:val="single" w:sz="4" w:space="0" w:color="auto"/>
              <w:right w:val="single" w:sz="4" w:space="0" w:color="000000"/>
            </w:tcBorders>
            <w:noWrap/>
            <w:vAlign w:val="center"/>
          </w:tcPr>
          <w:p w14:paraId="1893BE15"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sz w:val="21"/>
                <w:szCs w:val="21"/>
              </w:rPr>
              <w:t>2.05E-02</w:t>
            </w:r>
          </w:p>
        </w:tc>
        <w:tc>
          <w:tcPr>
            <w:tcW w:w="2091" w:type="dxa"/>
            <w:tcBorders>
              <w:top w:val="single" w:sz="4" w:space="0" w:color="000000"/>
              <w:left w:val="single" w:sz="4" w:space="0" w:color="000000"/>
              <w:bottom w:val="single" w:sz="4" w:space="0" w:color="000000"/>
              <w:right w:val="single" w:sz="4" w:space="0" w:color="000000"/>
            </w:tcBorders>
            <w:noWrap/>
            <w:vAlign w:val="center"/>
          </w:tcPr>
          <w:p w14:paraId="76EFF44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6.35E-02</w:t>
            </w:r>
          </w:p>
        </w:tc>
      </w:tr>
    </w:tbl>
    <w:p w14:paraId="33DDB735" w14:textId="77777777" w:rsidR="00A67F21" w:rsidRPr="00B12FE0" w:rsidRDefault="00000000">
      <w:pPr>
        <w:spacing w:line="360" w:lineRule="auto"/>
        <w:ind w:firstLineChars="200" w:firstLine="482"/>
        <w:rPr>
          <w:b/>
          <w:color w:val="000000" w:themeColor="text1"/>
        </w:rPr>
      </w:pPr>
      <w:r w:rsidRPr="00B12FE0">
        <w:rPr>
          <w:b/>
          <w:color w:val="000000" w:themeColor="text1"/>
        </w:rPr>
        <w:lastRenderedPageBreak/>
        <w:t>⑤</w:t>
      </w:r>
      <w:r w:rsidRPr="00B12FE0">
        <w:rPr>
          <w:b/>
          <w:color w:val="000000" w:themeColor="text1"/>
        </w:rPr>
        <w:t>防护门外辐射剂量（关注点：</w:t>
      </w:r>
      <w:r w:rsidRPr="00B12FE0">
        <w:rPr>
          <w:b/>
          <w:color w:val="000000" w:themeColor="text1"/>
        </w:rPr>
        <w:t>g</w:t>
      </w:r>
      <w:r w:rsidRPr="00B12FE0">
        <w:rPr>
          <w:b/>
          <w:color w:val="000000" w:themeColor="text1"/>
        </w:rPr>
        <w:t>点）</w:t>
      </w:r>
    </w:p>
    <w:p w14:paraId="5BCA3874" w14:textId="77777777" w:rsidR="00A67F21" w:rsidRPr="00B12FE0" w:rsidRDefault="00000000">
      <w:pPr>
        <w:pStyle w:val="affffd"/>
        <w:adjustRightInd w:val="0"/>
        <w:spacing w:line="360" w:lineRule="auto"/>
        <w:ind w:firstLineChars="200" w:firstLine="482"/>
        <w:textAlignment w:val="baseline"/>
        <w:rPr>
          <w:rFonts w:ascii="Times New Roman"/>
          <w:b/>
          <w:bCs/>
          <w:color w:val="000000" w:themeColor="text1"/>
          <w:sz w:val="24"/>
        </w:rPr>
      </w:pPr>
      <w:r w:rsidRPr="00B12FE0">
        <w:rPr>
          <w:rFonts w:ascii="Times New Roman"/>
          <w:b/>
          <w:bCs/>
          <w:color w:val="000000" w:themeColor="text1"/>
          <w:sz w:val="24"/>
        </w:rPr>
        <w:t>一、</w:t>
      </w:r>
      <w:r w:rsidRPr="00B12FE0">
        <w:rPr>
          <w:rFonts w:ascii="Times New Roman"/>
          <w:b/>
          <w:bCs/>
          <w:color w:val="000000" w:themeColor="text1"/>
          <w:sz w:val="24"/>
        </w:rPr>
        <w:t>10MV</w:t>
      </w:r>
    </w:p>
    <w:p w14:paraId="77E4AFED" w14:textId="77777777" w:rsidR="00A67F21" w:rsidRPr="00B12FE0" w:rsidRDefault="00000000">
      <w:pPr>
        <w:pStyle w:val="affffd"/>
        <w:adjustRightInd w:val="0"/>
        <w:spacing w:line="360" w:lineRule="auto"/>
        <w:ind w:firstLineChars="200" w:firstLine="474"/>
        <w:textAlignment w:val="baseline"/>
        <w:rPr>
          <w:rFonts w:ascii="Times New Roman"/>
          <w:color w:val="000000" w:themeColor="text1"/>
          <w:sz w:val="24"/>
        </w:rPr>
      </w:pPr>
      <w:r w:rsidRPr="00B12FE0">
        <w:rPr>
          <w:rFonts w:ascii="Times New Roman"/>
          <w:color w:val="000000" w:themeColor="text1"/>
          <w:spacing w:val="-3"/>
          <w:sz w:val="24"/>
          <w:szCs w:val="24"/>
        </w:rPr>
        <w:t>本项目加速器有用线束不向迷路照射，治疗机房迷路入口处</w:t>
      </w:r>
      <w:r w:rsidRPr="00B12FE0">
        <w:rPr>
          <w:rFonts w:ascii="Times New Roman"/>
          <w:color w:val="000000" w:themeColor="text1"/>
          <w:sz w:val="24"/>
          <w:szCs w:val="24"/>
        </w:rPr>
        <w:t>g</w:t>
      </w:r>
      <w:r w:rsidRPr="00B12FE0">
        <w:rPr>
          <w:rFonts w:ascii="Times New Roman"/>
          <w:color w:val="000000" w:themeColor="text1"/>
          <w:sz w:val="24"/>
          <w:szCs w:val="24"/>
        </w:rPr>
        <w:t>点位置的</w:t>
      </w:r>
      <w:r w:rsidRPr="00B12FE0">
        <w:rPr>
          <w:rFonts w:ascii="Times New Roman"/>
          <w:color w:val="000000" w:themeColor="text1"/>
          <w:spacing w:val="-3"/>
          <w:sz w:val="24"/>
          <w:szCs w:val="24"/>
        </w:rPr>
        <w:t>辐射剂量率，主要考虑</w:t>
      </w:r>
      <w:r w:rsidRPr="00B12FE0">
        <w:rPr>
          <w:rFonts w:ascii="Times New Roman"/>
          <w:color w:val="000000" w:themeColor="text1"/>
          <w:spacing w:val="-2"/>
          <w:sz w:val="24"/>
          <w:szCs w:val="24"/>
        </w:rPr>
        <w:t>人体受有用线束照射时，散射至</w:t>
      </w:r>
      <w:proofErr w:type="spellStart"/>
      <w:r w:rsidRPr="00B12FE0">
        <w:rPr>
          <w:rFonts w:ascii="Times New Roman"/>
          <w:color w:val="000000" w:themeColor="text1"/>
          <w:spacing w:val="-2"/>
          <w:sz w:val="24"/>
          <w:szCs w:val="24"/>
        </w:rPr>
        <w:t>i</w:t>
      </w:r>
      <w:proofErr w:type="spellEnd"/>
      <w:r w:rsidRPr="00B12FE0">
        <w:rPr>
          <w:rFonts w:ascii="Times New Roman"/>
          <w:color w:val="000000" w:themeColor="text1"/>
          <w:spacing w:val="-2"/>
          <w:sz w:val="24"/>
          <w:szCs w:val="24"/>
        </w:rPr>
        <w:t>处的辐射并再次受墙的二次散射到</w:t>
      </w:r>
      <w:r w:rsidRPr="00B12FE0">
        <w:rPr>
          <w:rFonts w:ascii="Times New Roman"/>
          <w:color w:val="000000" w:themeColor="text1"/>
          <w:spacing w:val="-2"/>
          <w:sz w:val="24"/>
          <w:szCs w:val="24"/>
        </w:rPr>
        <w:t>g</w:t>
      </w:r>
      <w:r w:rsidRPr="00B12FE0">
        <w:rPr>
          <w:rFonts w:ascii="Times New Roman"/>
          <w:color w:val="000000" w:themeColor="text1"/>
          <w:spacing w:val="-2"/>
          <w:sz w:val="24"/>
          <w:szCs w:val="24"/>
        </w:rPr>
        <w:t>处的辐射，</w:t>
      </w:r>
      <w:r w:rsidRPr="00B12FE0">
        <w:rPr>
          <w:rFonts w:ascii="Times New Roman"/>
          <w:color w:val="000000" w:themeColor="text1"/>
          <w:spacing w:val="-3"/>
          <w:sz w:val="24"/>
          <w:szCs w:val="24"/>
        </w:rPr>
        <w:t>以及</w:t>
      </w:r>
      <w:r w:rsidRPr="00B12FE0">
        <w:rPr>
          <w:rFonts w:ascii="Times New Roman"/>
          <w:color w:val="000000" w:themeColor="text1"/>
          <w:sz w:val="24"/>
          <w:szCs w:val="24"/>
        </w:rPr>
        <w:t>加速器的泄漏辐射经过迷路内墙屏蔽后在</w:t>
      </w:r>
      <w:r w:rsidRPr="00B12FE0">
        <w:rPr>
          <w:rFonts w:ascii="Times New Roman"/>
          <w:color w:val="000000" w:themeColor="text1"/>
          <w:sz w:val="24"/>
          <w:szCs w:val="24"/>
        </w:rPr>
        <w:t>g</w:t>
      </w:r>
      <w:r w:rsidRPr="00B12FE0">
        <w:rPr>
          <w:rFonts w:ascii="Times New Roman"/>
          <w:color w:val="000000" w:themeColor="text1"/>
          <w:sz w:val="24"/>
          <w:szCs w:val="24"/>
        </w:rPr>
        <w:t>处的辐射剂量。</w:t>
      </w:r>
    </w:p>
    <w:p w14:paraId="1B3E059F" w14:textId="77777777" w:rsidR="00A67F21" w:rsidRPr="00B12FE0" w:rsidRDefault="00000000">
      <w:pPr>
        <w:autoSpaceDE w:val="0"/>
        <w:spacing w:line="360" w:lineRule="auto"/>
        <w:ind w:firstLine="482"/>
        <w:rPr>
          <w:b/>
          <w:bCs/>
          <w:color w:val="000000" w:themeColor="text1"/>
        </w:rPr>
      </w:pPr>
      <w:r w:rsidRPr="00B12FE0">
        <w:rPr>
          <w:b/>
          <w:bCs/>
          <w:color w:val="000000" w:themeColor="text1"/>
          <w:szCs w:val="24"/>
        </w:rPr>
        <w:t>A</w:t>
      </w:r>
      <w:r w:rsidRPr="00B12FE0">
        <w:rPr>
          <w:b/>
          <w:bCs/>
          <w:color w:val="000000" w:themeColor="text1"/>
          <w:szCs w:val="24"/>
        </w:rPr>
        <w:t>、泄漏辐射</w:t>
      </w:r>
    </w:p>
    <w:p w14:paraId="356A553E" w14:textId="77777777" w:rsidR="00A67F21" w:rsidRPr="00B12FE0" w:rsidRDefault="00000000">
      <w:pPr>
        <w:spacing w:line="360" w:lineRule="auto"/>
        <w:ind w:firstLine="480"/>
        <w:rPr>
          <w:color w:val="000000" w:themeColor="text1"/>
        </w:rPr>
      </w:pPr>
      <w:r w:rsidRPr="00B12FE0">
        <w:rPr>
          <w:color w:val="000000" w:themeColor="text1"/>
          <w:kern w:val="0"/>
          <w:szCs w:val="24"/>
        </w:rPr>
        <w:t>泄漏辐射的辐射剂量估算公式同</w:t>
      </w:r>
      <w:r w:rsidRPr="00B12FE0">
        <w:rPr>
          <w:color w:val="000000" w:themeColor="text1"/>
          <w:szCs w:val="24"/>
        </w:rPr>
        <w:t>式</w:t>
      </w:r>
      <w:r w:rsidRPr="00B12FE0">
        <w:rPr>
          <w:color w:val="000000" w:themeColor="text1"/>
          <w:szCs w:val="24"/>
        </w:rPr>
        <w:t>11.2.2.1-2~4</w:t>
      </w:r>
      <w:r w:rsidRPr="00B12FE0">
        <w:rPr>
          <w:color w:val="000000" w:themeColor="text1"/>
          <w:kern w:val="0"/>
          <w:szCs w:val="24"/>
        </w:rPr>
        <w:t>，其中泄漏辐射比率</w:t>
      </w:r>
      <w:r w:rsidRPr="00B12FE0">
        <w:rPr>
          <w:color w:val="000000" w:themeColor="text1"/>
          <w:kern w:val="0"/>
          <w:szCs w:val="24"/>
        </w:rPr>
        <w:t>f</w:t>
      </w:r>
      <w:r w:rsidRPr="00B12FE0">
        <w:rPr>
          <w:color w:val="000000" w:themeColor="text1"/>
          <w:kern w:val="0"/>
          <w:szCs w:val="24"/>
        </w:rPr>
        <w:t>为</w:t>
      </w:r>
      <w:r w:rsidRPr="00B12FE0">
        <w:rPr>
          <w:color w:val="000000" w:themeColor="text1"/>
          <w:kern w:val="0"/>
          <w:szCs w:val="24"/>
        </w:rPr>
        <w:t>0.001</w:t>
      </w:r>
      <w:r w:rsidRPr="00B12FE0">
        <w:rPr>
          <w:color w:val="000000" w:themeColor="text1"/>
          <w:kern w:val="0"/>
          <w:szCs w:val="24"/>
        </w:rPr>
        <w:t>。防护门外泄漏辐射剂量率计算参数及结果见表</w:t>
      </w:r>
      <w:r w:rsidRPr="00B12FE0">
        <w:rPr>
          <w:color w:val="000000" w:themeColor="text1"/>
          <w:kern w:val="0"/>
          <w:szCs w:val="24"/>
        </w:rPr>
        <w:t>11.2.2.1-11</w:t>
      </w:r>
      <w:r w:rsidRPr="00B12FE0">
        <w:rPr>
          <w:color w:val="000000" w:themeColor="text1"/>
          <w:kern w:val="0"/>
          <w:szCs w:val="24"/>
        </w:rPr>
        <w:t>。</w:t>
      </w:r>
    </w:p>
    <w:p w14:paraId="4B54F301" w14:textId="77777777" w:rsidR="00A67F21" w:rsidRPr="00B12FE0" w:rsidRDefault="00000000">
      <w:pPr>
        <w:pStyle w:val="affffd"/>
        <w:adjustRightInd w:val="0"/>
        <w:spacing w:line="360" w:lineRule="auto"/>
        <w:ind w:firstLineChars="200" w:firstLine="422"/>
        <w:jc w:val="left"/>
        <w:textAlignment w:val="baseline"/>
        <w:rPr>
          <w:rFonts w:ascii="Times New Roman"/>
          <w:color w:val="000000" w:themeColor="text1"/>
          <w:sz w:val="24"/>
        </w:rPr>
      </w:pPr>
      <w:r w:rsidRPr="00B12FE0">
        <w:rPr>
          <w:rFonts w:ascii="Times New Roman"/>
          <w:b/>
          <w:bCs/>
          <w:color w:val="000000" w:themeColor="text1"/>
          <w:szCs w:val="18"/>
        </w:rPr>
        <w:t>表</w:t>
      </w:r>
      <w:r w:rsidRPr="00B12FE0">
        <w:rPr>
          <w:rFonts w:ascii="Times New Roman"/>
          <w:b/>
          <w:bCs/>
          <w:color w:val="000000" w:themeColor="text1"/>
          <w:szCs w:val="18"/>
        </w:rPr>
        <w:t xml:space="preserve">11.2.2.1-11  </w:t>
      </w:r>
      <w:r w:rsidRPr="00B12FE0">
        <w:rPr>
          <w:rFonts w:ascii="Times New Roman"/>
          <w:b/>
          <w:bCs/>
          <w:color w:val="000000" w:themeColor="text1"/>
          <w:szCs w:val="18"/>
        </w:rPr>
        <w:t>泄漏辐射</w:t>
      </w:r>
      <w:proofErr w:type="gramStart"/>
      <w:r w:rsidRPr="00B12FE0">
        <w:rPr>
          <w:rFonts w:ascii="Times New Roman"/>
          <w:b/>
          <w:bCs/>
          <w:color w:val="000000" w:themeColor="text1"/>
          <w:szCs w:val="18"/>
        </w:rPr>
        <w:t>经迷道</w:t>
      </w:r>
      <w:proofErr w:type="gramEnd"/>
      <w:r w:rsidRPr="00B12FE0">
        <w:rPr>
          <w:rFonts w:ascii="Times New Roman"/>
          <w:b/>
          <w:bCs/>
          <w:color w:val="000000" w:themeColor="text1"/>
          <w:szCs w:val="18"/>
        </w:rPr>
        <w:t>内墙屏蔽后在迷道外口处的辐射剂量率计算参数及结果</w:t>
      </w:r>
    </w:p>
    <w:tbl>
      <w:tblPr>
        <w:tblW w:w="8800" w:type="dxa"/>
        <w:jc w:val="center"/>
        <w:tblLayout w:type="fixed"/>
        <w:tblLook w:val="04A0" w:firstRow="1" w:lastRow="0" w:firstColumn="1" w:lastColumn="0" w:noHBand="0" w:noVBand="1"/>
      </w:tblPr>
      <w:tblGrid>
        <w:gridCol w:w="1144"/>
        <w:gridCol w:w="1639"/>
        <w:gridCol w:w="932"/>
        <w:gridCol w:w="836"/>
        <w:gridCol w:w="1007"/>
        <w:gridCol w:w="825"/>
        <w:gridCol w:w="815"/>
        <w:gridCol w:w="1602"/>
      </w:tblGrid>
      <w:tr w:rsidR="00A67F21" w:rsidRPr="00B12FE0" w14:paraId="1CADAD7B" w14:textId="77777777">
        <w:trPr>
          <w:trHeight w:val="775"/>
          <w:jc w:val="center"/>
        </w:trPr>
        <w:tc>
          <w:tcPr>
            <w:tcW w:w="1144" w:type="dxa"/>
            <w:tcBorders>
              <w:top w:val="single" w:sz="4" w:space="0" w:color="000000"/>
              <w:left w:val="single" w:sz="4" w:space="0" w:color="000000"/>
              <w:bottom w:val="single" w:sz="4" w:space="0" w:color="000000"/>
              <w:right w:val="single" w:sz="4" w:space="0" w:color="000000"/>
            </w:tcBorders>
            <w:vAlign w:val="center"/>
          </w:tcPr>
          <w:p w14:paraId="14FB5225"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关注点</w:t>
            </w:r>
          </w:p>
        </w:tc>
        <w:tc>
          <w:tcPr>
            <w:tcW w:w="1639" w:type="dxa"/>
            <w:tcBorders>
              <w:top w:val="single" w:sz="4" w:space="0" w:color="000000"/>
              <w:left w:val="single" w:sz="4" w:space="0" w:color="000000"/>
              <w:bottom w:val="single" w:sz="4" w:space="0" w:color="000000"/>
              <w:right w:val="single" w:sz="4" w:space="0" w:color="000000"/>
            </w:tcBorders>
            <w:vAlign w:val="center"/>
          </w:tcPr>
          <w:p w14:paraId="088B14AF" w14:textId="77777777" w:rsidR="00A67F21" w:rsidRPr="00B12FE0" w:rsidRDefault="00000000">
            <w:pPr>
              <w:widowControl/>
              <w:tabs>
                <w:tab w:val="right" w:pos="1884"/>
                <w:tab w:val="right" w:leader="dot" w:pos="9298"/>
              </w:tabs>
              <w:autoSpaceDE w:val="0"/>
              <w:autoSpaceDN w:val="0"/>
              <w:adjustRightInd w:val="0"/>
              <w:jc w:val="center"/>
              <w:textAlignment w:val="baseline"/>
              <w:rPr>
                <w:color w:val="000000" w:themeColor="text1"/>
                <w:szCs w:val="21"/>
              </w:rPr>
            </w:p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o</m:t>
                  </m:r>
                </m:sub>
              </m:sSub>
            </m:oMath>
            <w:r w:rsidRPr="00B12FE0">
              <w:rPr>
                <w:color w:val="000000" w:themeColor="text1"/>
                <w:kern w:val="0"/>
                <w:szCs w:val="21"/>
              </w:rPr>
              <w:t>(μSv•m</w:t>
            </w:r>
            <w:r w:rsidRPr="00B12FE0">
              <w:rPr>
                <w:color w:val="000000" w:themeColor="text1"/>
                <w:kern w:val="0"/>
                <w:szCs w:val="21"/>
                <w:vertAlign w:val="superscript"/>
              </w:rPr>
              <w:t>2</w:t>
            </w:r>
            <w:r w:rsidRPr="00B12FE0">
              <w:rPr>
                <w:color w:val="000000" w:themeColor="text1"/>
                <w:kern w:val="0"/>
                <w:szCs w:val="21"/>
              </w:rPr>
              <w:t>/h)</w:t>
            </w:r>
          </w:p>
        </w:tc>
        <w:tc>
          <w:tcPr>
            <w:tcW w:w="932" w:type="dxa"/>
            <w:tcBorders>
              <w:top w:val="single" w:sz="4" w:space="0" w:color="000000"/>
              <w:left w:val="single" w:sz="4" w:space="0" w:color="000000"/>
              <w:bottom w:val="single" w:sz="4" w:space="0" w:color="000000"/>
              <w:right w:val="single" w:sz="4" w:space="0" w:color="000000"/>
            </w:tcBorders>
            <w:vAlign w:val="center"/>
          </w:tcPr>
          <w:p w14:paraId="5AA53CBD"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836" w:type="dxa"/>
            <w:tcBorders>
              <w:top w:val="single" w:sz="4" w:space="0" w:color="000000"/>
              <w:left w:val="single" w:sz="4" w:space="0" w:color="000000"/>
              <w:right w:val="single" w:sz="4" w:space="0" w:color="000000"/>
            </w:tcBorders>
            <w:vAlign w:val="center"/>
          </w:tcPr>
          <w:p w14:paraId="1017FD39"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007" w:type="dxa"/>
            <w:tcBorders>
              <w:top w:val="single" w:sz="4" w:space="0" w:color="000000"/>
              <w:left w:val="single" w:sz="4" w:space="0" w:color="000000"/>
              <w:bottom w:val="single" w:sz="4" w:space="0" w:color="000000"/>
              <w:right w:val="single" w:sz="4" w:space="0" w:color="000000"/>
            </w:tcBorders>
            <w:vAlign w:val="center"/>
          </w:tcPr>
          <w:p w14:paraId="035A3007" w14:textId="77777777" w:rsidR="00A67F21" w:rsidRPr="00B12FE0" w:rsidRDefault="00000000">
            <w:pPr>
              <w:widowControl/>
              <w:jc w:val="center"/>
              <w:textAlignment w:val="center"/>
              <w:rPr>
                <w:color w:val="000000" w:themeColor="text1"/>
                <w:kern w:val="0"/>
                <w:szCs w:val="21"/>
                <w:lang w:bidi="ar"/>
              </w:rPr>
            </w:pPr>
            <w:r w:rsidRPr="00B12FE0">
              <w:rPr>
                <w:snapToGrid w:val="0"/>
                <w:color w:val="000000" w:themeColor="text1"/>
                <w:kern w:val="0"/>
                <w:sz w:val="21"/>
                <w:szCs w:val="21"/>
                <w:lang w:bidi="ar"/>
              </w:rPr>
              <w:t>TVL</w:t>
            </w:r>
          </w:p>
          <w:p w14:paraId="35F1387D"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825" w:type="dxa"/>
            <w:tcBorders>
              <w:top w:val="single" w:sz="4" w:space="0" w:color="000000"/>
              <w:left w:val="single" w:sz="4" w:space="0" w:color="000000"/>
              <w:bottom w:val="single" w:sz="4" w:space="0" w:color="000000"/>
              <w:right w:val="single" w:sz="4" w:space="0" w:color="000000"/>
            </w:tcBorders>
            <w:vAlign w:val="center"/>
          </w:tcPr>
          <w:p w14:paraId="0210D2E1"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f</w:t>
            </w:r>
          </w:p>
        </w:tc>
        <w:tc>
          <w:tcPr>
            <w:tcW w:w="815" w:type="dxa"/>
            <w:tcBorders>
              <w:top w:val="single" w:sz="4" w:space="0" w:color="000000"/>
              <w:left w:val="single" w:sz="4" w:space="0" w:color="000000"/>
              <w:bottom w:val="single" w:sz="4" w:space="0" w:color="000000"/>
              <w:right w:val="single" w:sz="4" w:space="0" w:color="000000"/>
            </w:tcBorders>
            <w:vAlign w:val="center"/>
          </w:tcPr>
          <w:p w14:paraId="5A76AF71"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602" w:type="dxa"/>
            <w:tcBorders>
              <w:top w:val="single" w:sz="4" w:space="0" w:color="000000"/>
              <w:left w:val="single" w:sz="4" w:space="0" w:color="000000"/>
              <w:bottom w:val="single" w:sz="4" w:space="0" w:color="000000"/>
              <w:right w:val="single" w:sz="4" w:space="0" w:color="000000"/>
            </w:tcBorders>
            <w:vAlign w:val="center"/>
          </w:tcPr>
          <w:p w14:paraId="16357A9E" w14:textId="77777777" w:rsidR="00A67F21" w:rsidRPr="00B12FE0" w:rsidRDefault="00000000">
            <w:pPr>
              <w:widowControl/>
              <w:jc w:val="center"/>
              <w:textAlignment w:val="center"/>
              <w:rPr>
                <w:color w:val="000000" w:themeColor="text1"/>
                <w:szCs w:val="21"/>
              </w:rPr>
            </w:pPr>
            <m:oMath>
              <m:sSub>
                <m:sSubPr>
                  <m:ctrlPr>
                    <w:rPr>
                      <w:rFonts w:ascii="Cambria Math" w:hAnsi="Cambria Math"/>
                      <w:i/>
                      <w:color w:val="000000" w:themeColor="text1"/>
                      <w:sz w:val="21"/>
                      <w:szCs w:val="16"/>
                    </w:rPr>
                  </m:ctrlPr>
                </m:sSubPr>
                <m:e>
                  <m:acc>
                    <m:accPr>
                      <m:chr m:val="̇"/>
                      <m:ctrlPr>
                        <w:rPr>
                          <w:rFonts w:ascii="Cambria Math" w:hAnsi="Cambria Math"/>
                          <w:i/>
                          <w:color w:val="000000" w:themeColor="text1"/>
                          <w:sz w:val="21"/>
                          <w:szCs w:val="16"/>
                        </w:rPr>
                      </m:ctrlPr>
                    </m:accPr>
                    <m:e>
                      <m:r>
                        <w:rPr>
                          <w:rFonts w:ascii="Cambria Math" w:hAnsi="Cambria Math"/>
                          <w:color w:val="000000" w:themeColor="text1"/>
                          <w:sz w:val="21"/>
                          <w:szCs w:val="16"/>
                        </w:rPr>
                        <m:t>H</m:t>
                      </m:r>
                    </m:e>
                  </m:acc>
                </m:e>
                <m:sub>
                  <m:r>
                    <w:rPr>
                      <w:rFonts w:ascii="Cambria Math" w:hAnsi="Cambria Math"/>
                      <w:color w:val="000000" w:themeColor="text1"/>
                      <w:sz w:val="21"/>
                      <w:szCs w:val="16"/>
                    </w:rPr>
                    <m:t>og</m:t>
                  </m:r>
                </m:sub>
              </m:sSub>
            </m:oMath>
            <w:r w:rsidRPr="00B12FE0">
              <w:rPr>
                <w:color w:val="000000" w:themeColor="text1"/>
                <w:kern w:val="0"/>
                <w:sz w:val="21"/>
                <w:szCs w:val="18"/>
              </w:rPr>
              <w:t xml:space="preserve"> (μSv/h)</w:t>
            </w:r>
          </w:p>
        </w:tc>
      </w:tr>
      <w:tr w:rsidR="00A67F21" w:rsidRPr="00B12FE0" w14:paraId="72F229D2" w14:textId="77777777">
        <w:trPr>
          <w:trHeight w:val="270"/>
          <w:jc w:val="center"/>
        </w:trPr>
        <w:tc>
          <w:tcPr>
            <w:tcW w:w="1144" w:type="dxa"/>
            <w:tcBorders>
              <w:top w:val="single" w:sz="4" w:space="0" w:color="000000"/>
              <w:left w:val="single" w:sz="4" w:space="0" w:color="000000"/>
              <w:bottom w:val="single" w:sz="4" w:space="0" w:color="000000"/>
              <w:right w:val="single" w:sz="4" w:space="0" w:color="000000"/>
            </w:tcBorders>
            <w:vAlign w:val="center"/>
          </w:tcPr>
          <w:p w14:paraId="4DE5165C"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g</w:t>
            </w:r>
            <w:r w:rsidRPr="00B12FE0">
              <w:rPr>
                <w:rFonts w:hint="eastAsia"/>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r w:rsidRPr="00B12FE0">
              <w:rPr>
                <w:rFonts w:hint="eastAsia"/>
                <w:snapToGrid w:val="0"/>
                <w:color w:val="000000" w:themeColor="text1"/>
                <w:kern w:val="0"/>
                <w:sz w:val="21"/>
                <w:szCs w:val="21"/>
                <w:lang w:bidi="ar"/>
              </w:rPr>
              <w:t>/ g</w:t>
            </w:r>
            <w:r w:rsidRPr="00B12FE0">
              <w:rPr>
                <w:rFonts w:hint="eastAsia"/>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639" w:type="dxa"/>
            <w:tcBorders>
              <w:top w:val="single" w:sz="4" w:space="0" w:color="000000"/>
              <w:left w:val="single" w:sz="4" w:space="0" w:color="000000"/>
              <w:bottom w:val="single" w:sz="4" w:space="0" w:color="000000"/>
              <w:right w:val="single" w:sz="4" w:space="0" w:color="000000"/>
            </w:tcBorders>
            <w:vAlign w:val="center"/>
          </w:tcPr>
          <w:p w14:paraId="6897969E" w14:textId="77777777" w:rsidR="00A67F21" w:rsidRPr="00B12FE0" w:rsidRDefault="00000000">
            <w:pPr>
              <w:widowControl/>
              <w:autoSpaceDE w:val="0"/>
              <w:autoSpaceDN w:val="0"/>
              <w:adjustRightInd w:val="0"/>
              <w:jc w:val="center"/>
              <w:textAlignment w:val="baseline"/>
              <w:rPr>
                <w:color w:val="000000" w:themeColor="text1"/>
                <w:szCs w:val="21"/>
              </w:rPr>
            </w:pPr>
            <w:r w:rsidRPr="00B12FE0">
              <w:rPr>
                <w:color w:val="000000" w:themeColor="text1"/>
                <w:szCs w:val="21"/>
              </w:rPr>
              <w:t>1.44×10</w:t>
            </w:r>
            <w:r w:rsidRPr="00B12FE0">
              <w:rPr>
                <w:color w:val="000000" w:themeColor="text1"/>
                <w:szCs w:val="21"/>
                <w:vertAlign w:val="superscript"/>
              </w:rPr>
              <w:t>9</w:t>
            </w:r>
            <w:r w:rsidRPr="00B12FE0">
              <w:rPr>
                <w:color w:val="000000" w:themeColor="text1"/>
                <w:sz w:val="21"/>
                <w:szCs w:val="21"/>
              </w:rPr>
              <w:t>（</w:t>
            </w:r>
            <w:r w:rsidRPr="00B12FE0">
              <w:rPr>
                <w:color w:val="000000" w:themeColor="text1"/>
                <w:sz w:val="21"/>
                <w:szCs w:val="21"/>
              </w:rPr>
              <w:t>10MV</w:t>
            </w:r>
            <w:r w:rsidRPr="00B12FE0">
              <w:rPr>
                <w:color w:val="000000" w:themeColor="text1"/>
                <w:sz w:val="21"/>
                <w:szCs w:val="21"/>
              </w:rPr>
              <w:t>）</w:t>
            </w:r>
          </w:p>
        </w:tc>
        <w:tc>
          <w:tcPr>
            <w:tcW w:w="932" w:type="dxa"/>
            <w:tcBorders>
              <w:top w:val="single" w:sz="4" w:space="0" w:color="000000"/>
              <w:left w:val="single" w:sz="4" w:space="0" w:color="000000"/>
              <w:bottom w:val="single" w:sz="4" w:space="0" w:color="000000"/>
              <w:right w:val="single" w:sz="4" w:space="0" w:color="000000"/>
            </w:tcBorders>
            <w:vAlign w:val="center"/>
          </w:tcPr>
          <w:p w14:paraId="1A7A2B61"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161.4</w:t>
            </w:r>
          </w:p>
        </w:tc>
        <w:tc>
          <w:tcPr>
            <w:tcW w:w="836" w:type="dxa"/>
            <w:tcBorders>
              <w:top w:val="single" w:sz="4" w:space="0" w:color="000000"/>
              <w:left w:val="single" w:sz="4" w:space="0" w:color="000000"/>
              <w:bottom w:val="single" w:sz="4" w:space="0" w:color="000000"/>
              <w:right w:val="single" w:sz="4" w:space="0" w:color="000000"/>
            </w:tcBorders>
            <w:vAlign w:val="center"/>
          </w:tcPr>
          <w:p w14:paraId="5BDEE501"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35</w:t>
            </w:r>
          </w:p>
        </w:tc>
        <w:tc>
          <w:tcPr>
            <w:tcW w:w="1007" w:type="dxa"/>
            <w:tcBorders>
              <w:top w:val="single" w:sz="4" w:space="0" w:color="000000"/>
              <w:left w:val="single" w:sz="4" w:space="0" w:color="000000"/>
              <w:bottom w:val="single" w:sz="4" w:space="0" w:color="000000"/>
              <w:right w:val="single" w:sz="4" w:space="0" w:color="000000"/>
            </w:tcBorders>
            <w:vAlign w:val="center"/>
          </w:tcPr>
          <w:p w14:paraId="11043D1E"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31</w:t>
            </w:r>
          </w:p>
        </w:tc>
        <w:tc>
          <w:tcPr>
            <w:tcW w:w="825" w:type="dxa"/>
            <w:tcBorders>
              <w:top w:val="single" w:sz="4" w:space="0" w:color="000000"/>
              <w:left w:val="single" w:sz="4" w:space="0" w:color="000000"/>
              <w:bottom w:val="single" w:sz="4" w:space="0" w:color="000000"/>
              <w:right w:val="single" w:sz="4" w:space="0" w:color="000000"/>
            </w:tcBorders>
            <w:vAlign w:val="center"/>
          </w:tcPr>
          <w:p w14:paraId="6AA974FF"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0.001</w:t>
            </w:r>
          </w:p>
        </w:tc>
        <w:tc>
          <w:tcPr>
            <w:tcW w:w="815" w:type="dxa"/>
            <w:tcBorders>
              <w:top w:val="single" w:sz="4" w:space="0" w:color="000000"/>
              <w:left w:val="single" w:sz="4" w:space="0" w:color="000000"/>
              <w:bottom w:val="single" w:sz="4" w:space="0" w:color="000000"/>
              <w:right w:val="single" w:sz="4" w:space="0" w:color="000000"/>
            </w:tcBorders>
            <w:vAlign w:val="center"/>
          </w:tcPr>
          <w:p w14:paraId="01FA5752"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10</w:t>
            </w:r>
          </w:p>
        </w:tc>
        <w:tc>
          <w:tcPr>
            <w:tcW w:w="1602" w:type="dxa"/>
            <w:tcBorders>
              <w:top w:val="single" w:sz="4" w:space="0" w:color="000000"/>
              <w:left w:val="single" w:sz="4" w:space="0" w:color="000000"/>
              <w:bottom w:val="single" w:sz="4" w:space="0" w:color="000000"/>
              <w:right w:val="single" w:sz="4" w:space="0" w:color="000000"/>
            </w:tcBorders>
            <w:vAlign w:val="center"/>
          </w:tcPr>
          <w:p w14:paraId="7BF4A1DA"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0.</w:t>
            </w:r>
            <w:r w:rsidRPr="00B12FE0">
              <w:rPr>
                <w:rFonts w:hint="eastAsia"/>
                <w:snapToGrid w:val="0"/>
                <w:color w:val="000000" w:themeColor="text1"/>
                <w:kern w:val="0"/>
                <w:sz w:val="21"/>
                <w:szCs w:val="21"/>
                <w:lang w:bidi="ar"/>
              </w:rPr>
              <w:t>12</w:t>
            </w:r>
          </w:p>
        </w:tc>
      </w:tr>
      <w:tr w:rsidR="00A67F21" w:rsidRPr="00B12FE0" w14:paraId="3292C720" w14:textId="77777777">
        <w:trPr>
          <w:trHeight w:val="270"/>
          <w:jc w:val="center"/>
        </w:trPr>
        <w:tc>
          <w:tcPr>
            <w:tcW w:w="8800" w:type="dxa"/>
            <w:gridSpan w:val="8"/>
            <w:tcBorders>
              <w:top w:val="single" w:sz="4" w:space="0" w:color="000000"/>
              <w:left w:val="single" w:sz="4" w:space="0" w:color="000000"/>
              <w:bottom w:val="single" w:sz="4" w:space="0" w:color="000000"/>
              <w:right w:val="single" w:sz="4" w:space="0" w:color="000000"/>
            </w:tcBorders>
            <w:vAlign w:val="center"/>
          </w:tcPr>
          <w:p w14:paraId="4F3B5759" w14:textId="77777777" w:rsidR="00A67F21" w:rsidRPr="00B12FE0" w:rsidRDefault="00000000">
            <w:pPr>
              <w:widowControl/>
              <w:jc w:val="left"/>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注：本表中</w:t>
            </w: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有效屏蔽厚度根据</w:t>
            </w:r>
            <w:r w:rsidRPr="00B12FE0">
              <w:rPr>
                <w:snapToGrid w:val="0"/>
                <w:color w:val="000000" w:themeColor="text1"/>
                <w:kern w:val="0"/>
                <w:sz w:val="21"/>
                <w:szCs w:val="21"/>
                <w:lang w:bidi="ar"/>
              </w:rPr>
              <w:t>CAD</w:t>
            </w:r>
            <w:r w:rsidRPr="00B12FE0">
              <w:rPr>
                <w:snapToGrid w:val="0"/>
                <w:color w:val="000000" w:themeColor="text1"/>
                <w:kern w:val="0"/>
                <w:sz w:val="21"/>
                <w:szCs w:val="21"/>
                <w:lang w:bidi="ar"/>
              </w:rPr>
              <w:t>图纸测量得知。</w:t>
            </w:r>
          </w:p>
        </w:tc>
      </w:tr>
    </w:tbl>
    <w:p w14:paraId="43EDEFA4" w14:textId="77777777" w:rsidR="00A67F21" w:rsidRPr="00B12FE0" w:rsidRDefault="00000000">
      <w:pPr>
        <w:pStyle w:val="affffd"/>
        <w:adjustRightInd w:val="0"/>
        <w:snapToGrid w:val="0"/>
        <w:spacing w:line="360" w:lineRule="auto"/>
        <w:ind w:firstLineChars="200" w:firstLine="482"/>
        <w:textAlignment w:val="baseline"/>
        <w:rPr>
          <w:rFonts w:ascii="Times New Roman"/>
          <w:b/>
          <w:color w:val="000000" w:themeColor="text1"/>
          <w:sz w:val="24"/>
        </w:rPr>
      </w:pPr>
      <w:r w:rsidRPr="00B12FE0">
        <w:rPr>
          <w:rFonts w:ascii="Times New Roman"/>
          <w:b/>
          <w:color w:val="000000" w:themeColor="text1"/>
          <w:sz w:val="24"/>
          <w:szCs w:val="24"/>
        </w:rPr>
        <w:t>B</w:t>
      </w:r>
      <w:r w:rsidRPr="00B12FE0">
        <w:rPr>
          <w:rFonts w:ascii="Times New Roman"/>
          <w:b/>
          <w:color w:val="000000" w:themeColor="text1"/>
          <w:sz w:val="24"/>
          <w:szCs w:val="24"/>
        </w:rPr>
        <w:t>、入口处的散射辐射剂量率</w:t>
      </w:r>
      <m:oMath>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H</m:t>
                </m:r>
              </m:e>
            </m:acc>
          </m:e>
          <m:sub>
            <m:r>
              <w:rPr>
                <w:rFonts w:ascii="Cambria Math" w:hAnsi="Cambria Math"/>
                <w:color w:val="000000" w:themeColor="text1"/>
                <w:sz w:val="24"/>
                <w:szCs w:val="24"/>
              </w:rPr>
              <m:t>g</m:t>
            </m:r>
          </m:sub>
        </m:sSub>
      </m:oMath>
    </w:p>
    <w:p w14:paraId="1A0F3854" w14:textId="77777777" w:rsidR="00A67F21" w:rsidRPr="00B12FE0" w:rsidRDefault="00000000">
      <w:pPr>
        <w:pStyle w:val="affffd"/>
        <w:adjustRightInd w:val="0"/>
        <w:snapToGrid w:val="0"/>
        <w:spacing w:line="360" w:lineRule="auto"/>
        <w:ind w:firstLineChars="200" w:firstLine="480"/>
        <w:textAlignment w:val="baseline"/>
        <w:rPr>
          <w:rFonts w:ascii="Times New Roman"/>
          <w:b/>
          <w:color w:val="000000" w:themeColor="text1"/>
          <w:sz w:val="24"/>
        </w:rPr>
      </w:pPr>
      <w:r w:rsidRPr="00B12FE0">
        <w:rPr>
          <w:rFonts w:ascii="Times New Roman"/>
          <w:color w:val="000000" w:themeColor="text1"/>
          <w:sz w:val="24"/>
          <w:szCs w:val="24"/>
        </w:rPr>
        <w:t>入口处的散射辐射剂量率</w:t>
      </w:r>
      <m:oMath>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H</m:t>
                </m:r>
              </m:e>
            </m:acc>
          </m:e>
          <m:sub>
            <m:r>
              <w:rPr>
                <w:rFonts w:ascii="Cambria Math" w:hAnsi="Cambria Math"/>
                <w:color w:val="000000" w:themeColor="text1"/>
                <w:sz w:val="24"/>
                <w:szCs w:val="24"/>
              </w:rPr>
              <m:t>g</m:t>
            </m:r>
          </m:sub>
        </m:sSub>
      </m:oMath>
    </w:p>
    <w:p w14:paraId="54F0A882" w14:textId="77777777" w:rsidR="00A67F21" w:rsidRPr="00B12FE0" w:rsidRDefault="00000000">
      <w:pPr>
        <w:pStyle w:val="affffd"/>
        <w:adjustRightInd w:val="0"/>
        <w:snapToGrid w:val="0"/>
        <w:spacing w:line="360" w:lineRule="auto"/>
        <w:ind w:firstLineChars="200" w:firstLine="480"/>
        <w:textAlignment w:val="baseline"/>
        <w:rPr>
          <w:rFonts w:ascii="Times New Roman"/>
          <w:color w:val="000000" w:themeColor="text1"/>
          <w:sz w:val="24"/>
        </w:rPr>
      </w:pPr>
      <w:r w:rsidRPr="00B12FE0">
        <w:rPr>
          <w:rFonts w:ascii="Times New Roman"/>
          <w:color w:val="000000" w:themeColor="text1"/>
          <w:sz w:val="24"/>
          <w:szCs w:val="24"/>
        </w:rPr>
        <w:t>按下式计算：</w:t>
      </w:r>
    </w:p>
    <w:p w14:paraId="2F7D73B2" w14:textId="77777777" w:rsidR="00A67F21" w:rsidRPr="00B12FE0" w:rsidRDefault="00000000">
      <w:pPr>
        <w:spacing w:line="360" w:lineRule="auto"/>
        <w:jc w:val="center"/>
        <w:rPr>
          <w:color w:val="000000" w:themeColor="text1"/>
        </w:rPr>
      </w:p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g</m:t>
            </m:r>
          </m:sub>
        </m:sSub>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p</m:t>
                </m:r>
                <m:r>
                  <m:rPr>
                    <m:sty m:val="p"/>
                  </m:rPr>
                  <w:rPr>
                    <w:rFonts w:ascii="Cambria Math" w:hAnsi="Cambria Math"/>
                    <w:color w:val="000000" w:themeColor="text1"/>
                  </w:rPr>
                  <m:t>h</m:t>
                </m:r>
              </m:sub>
            </m:sSub>
            <m:r>
              <w:rPr>
                <w:rFonts w:ascii="Cambria Math" w:hAnsi="Cambria Math"/>
                <w:color w:val="000000" w:themeColor="text1"/>
              </w:rPr>
              <m:t>∙</m:t>
            </m:r>
            <m:d>
              <m:dPr>
                <m:ctrlPr>
                  <w:rPr>
                    <w:rFonts w:ascii="Cambria Math" w:hAnsi="Cambria Math"/>
                    <w:i/>
                    <w:color w:val="000000" w:themeColor="text1"/>
                  </w:rPr>
                </m:ctrlPr>
              </m:dPr>
              <m:e>
                <m:f>
                  <m:fPr>
                    <m:type m:val="lin"/>
                    <m:ctrlPr>
                      <w:rPr>
                        <w:rFonts w:ascii="Cambria Math" w:hAnsi="Cambria Math"/>
                        <w:i/>
                        <w:color w:val="000000" w:themeColor="text1"/>
                      </w:rPr>
                    </m:ctrlPr>
                  </m:fPr>
                  <m:num>
                    <m:r>
                      <w:rPr>
                        <w:rFonts w:ascii="Cambria Math" w:hAnsi="Cambria Math"/>
                        <w:color w:val="000000" w:themeColor="text1"/>
                      </w:rPr>
                      <m:t>F</m:t>
                    </m:r>
                  </m:num>
                  <m:den>
                    <m:r>
                      <w:rPr>
                        <w:rFonts w:ascii="Cambria Math" w:hAnsi="Cambria Math"/>
                        <w:color w:val="000000" w:themeColor="text1"/>
                      </w:rPr>
                      <m:t>400</m:t>
                    </m:r>
                  </m:den>
                </m:f>
              </m:e>
            </m:d>
          </m:num>
          <m:den>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1</m:t>
                </m:r>
              </m:sub>
              <m:sup>
                <m:r>
                  <w:rPr>
                    <w:rFonts w:ascii="Cambria Math" w:hAnsi="Cambria Math"/>
                    <w:color w:val="000000" w:themeColor="text1"/>
                  </w:rPr>
                  <m:t>2</m:t>
                </m:r>
              </m:sup>
            </m:sSubSup>
          </m:den>
        </m:f>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α</m:t>
                </m:r>
              </m:e>
              <m:sub>
                <m:r>
                  <w:rPr>
                    <w:rFonts w:ascii="Cambria Math" w:hAnsi="Cambria Math"/>
                    <w:color w:val="000000" w:themeColor="text1"/>
                  </w:rPr>
                  <m:t>2</m:t>
                </m:r>
              </m:sub>
            </m:sSub>
            <m:r>
              <w:rPr>
                <w:rFonts w:ascii="Cambria Math" w:hAnsi="Cambria Math"/>
                <w:color w:val="000000" w:themeColor="text1"/>
              </w:rPr>
              <m:t>∙A</m:t>
            </m:r>
          </m:num>
          <m:den>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2</m:t>
                </m:r>
              </m:sub>
              <m:sup>
                <m:r>
                  <w:rPr>
                    <w:rFonts w:ascii="Cambria Math" w:hAnsi="Cambria Math"/>
                    <w:color w:val="000000" w:themeColor="text1"/>
                  </w:rPr>
                  <m:t>2</m:t>
                </m:r>
              </m:sup>
            </m:sSubSup>
          </m:den>
        </m:f>
        <m:r>
          <m:rPr>
            <m:sty m:val="p"/>
          </m:rP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0</m:t>
            </m:r>
          </m:sub>
        </m:sSub>
      </m:oMath>
      <w:r w:rsidRPr="00B12FE0">
        <w:rPr>
          <w:color w:val="000000" w:themeColor="text1"/>
        </w:rPr>
        <w:t xml:space="preserve"> </w:t>
      </w:r>
      <w:r w:rsidRPr="00B12FE0">
        <w:rPr>
          <w:color w:val="000000" w:themeColor="text1"/>
          <w:szCs w:val="24"/>
        </w:rPr>
        <w:t xml:space="preserve">     </w:t>
      </w:r>
      <w:r w:rsidRPr="00B12FE0">
        <w:rPr>
          <w:color w:val="000000" w:themeColor="text1"/>
          <w:szCs w:val="24"/>
        </w:rPr>
        <w:t>（式</w:t>
      </w:r>
      <w:r w:rsidRPr="00B12FE0">
        <w:rPr>
          <w:color w:val="000000" w:themeColor="text1"/>
          <w:szCs w:val="24"/>
        </w:rPr>
        <w:t>11.2.2.1-8</w:t>
      </w:r>
      <w:r w:rsidRPr="00B12FE0">
        <w:rPr>
          <w:color w:val="000000" w:themeColor="text1"/>
          <w:szCs w:val="24"/>
        </w:rPr>
        <w:t>）</w:t>
      </w:r>
    </w:p>
    <w:p w14:paraId="7ACC3FCA"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szCs w:val="24"/>
        </w:rPr>
        <w:t>式中：</w:t>
      </w:r>
    </w:p>
    <w:p w14:paraId="08B81735" w14:textId="77777777" w:rsidR="00A67F21" w:rsidRPr="00B12FE0" w:rsidRDefault="00000000">
      <w:pPr>
        <w:pStyle w:val="affffd"/>
        <w:adjustRightInd w:val="0"/>
        <w:snapToGrid w:val="0"/>
        <w:spacing w:line="360" w:lineRule="auto"/>
        <w:ind w:firstLineChars="200" w:firstLine="480"/>
        <w:textAlignment w:val="baseline"/>
        <w:rPr>
          <w:rFonts w:ascii="Times New Roman"/>
          <w:color w:val="000000" w:themeColor="text1"/>
          <w:sz w:val="24"/>
        </w:rPr>
      </w:pPr>
      <m:oMath>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H</m:t>
                </m:r>
              </m:e>
            </m:acc>
          </m:e>
          <m:sub>
            <m:r>
              <w:rPr>
                <w:rFonts w:ascii="Cambria Math" w:hAnsi="Cambria Math"/>
                <w:color w:val="000000" w:themeColor="text1"/>
                <w:sz w:val="24"/>
                <w:szCs w:val="24"/>
              </w:rPr>
              <m:t>g</m:t>
            </m:r>
          </m:sub>
        </m:sSub>
      </m:oMath>
      <w:r w:rsidRPr="00B12FE0">
        <w:rPr>
          <w:rFonts w:ascii="Times New Roman"/>
          <w:color w:val="000000" w:themeColor="text1"/>
          <w:sz w:val="24"/>
          <w:szCs w:val="24"/>
        </w:rPr>
        <w:t>—g</w:t>
      </w:r>
      <w:r w:rsidRPr="00B12FE0">
        <w:rPr>
          <w:rFonts w:ascii="Times New Roman"/>
          <w:color w:val="000000" w:themeColor="text1"/>
          <w:sz w:val="24"/>
          <w:szCs w:val="24"/>
        </w:rPr>
        <w:t>处的散射辐射剂量率，</w:t>
      </w:r>
      <w:proofErr w:type="spellStart"/>
      <w:r w:rsidRPr="00B12FE0">
        <w:rPr>
          <w:rFonts w:ascii="Times New Roman"/>
          <w:color w:val="000000" w:themeColor="text1"/>
          <w:sz w:val="24"/>
          <w:szCs w:val="24"/>
        </w:rPr>
        <w:t>μSv</w:t>
      </w:r>
      <w:proofErr w:type="spellEnd"/>
      <w:r w:rsidRPr="00B12FE0">
        <w:rPr>
          <w:rFonts w:ascii="Times New Roman"/>
          <w:color w:val="000000" w:themeColor="text1"/>
          <w:sz w:val="24"/>
          <w:szCs w:val="24"/>
        </w:rPr>
        <w:t>/h</w:t>
      </w:r>
      <w:r w:rsidRPr="00B12FE0">
        <w:rPr>
          <w:rFonts w:ascii="Times New Roman"/>
          <w:color w:val="000000" w:themeColor="text1"/>
          <w:sz w:val="24"/>
          <w:szCs w:val="24"/>
        </w:rPr>
        <w:t>；</w:t>
      </w:r>
    </w:p>
    <w:p w14:paraId="195EF23F" w14:textId="77777777" w:rsidR="00A67F21" w:rsidRPr="00B12FE0" w:rsidRDefault="00000000">
      <w:pPr>
        <w:adjustRightInd w:val="0"/>
        <w:snapToGrid w:val="0"/>
        <w:spacing w:line="360" w:lineRule="auto"/>
        <w:ind w:firstLineChars="200" w:firstLine="480"/>
        <w:rPr>
          <w:color w:val="000000" w:themeColor="text1"/>
          <w:kern w:val="0"/>
        </w:rPr>
      </w:pPr>
      <w:r w:rsidRPr="00B12FE0">
        <w:rPr>
          <w:color w:val="000000" w:themeColor="text1"/>
          <w:kern w:val="0"/>
          <w:szCs w:val="24"/>
        </w:rPr>
        <w:t>α</w:t>
      </w:r>
      <w:proofErr w:type="spellStart"/>
      <w:r w:rsidRPr="00B12FE0">
        <w:rPr>
          <w:color w:val="000000" w:themeColor="text1"/>
          <w:kern w:val="0"/>
          <w:szCs w:val="24"/>
          <w:vertAlign w:val="subscript"/>
        </w:rPr>
        <w:t>ph</w:t>
      </w:r>
      <w:proofErr w:type="spellEnd"/>
      <w:proofErr w:type="gramStart"/>
      <w:r w:rsidRPr="00B12FE0">
        <w:rPr>
          <w:color w:val="000000" w:themeColor="text1"/>
          <w:kern w:val="0"/>
          <w:szCs w:val="24"/>
        </w:rPr>
        <w:t>—</w:t>
      </w:r>
      <w:r w:rsidRPr="00B12FE0">
        <w:rPr>
          <w:color w:val="000000" w:themeColor="text1"/>
          <w:kern w:val="0"/>
          <w:szCs w:val="24"/>
        </w:rPr>
        <w:t>患者</w:t>
      </w:r>
      <w:proofErr w:type="gramEnd"/>
      <w:r w:rsidRPr="00B12FE0">
        <w:rPr>
          <w:color w:val="000000" w:themeColor="text1"/>
          <w:kern w:val="0"/>
          <w:szCs w:val="24"/>
        </w:rPr>
        <w:t>400cm</w:t>
      </w:r>
      <w:r w:rsidRPr="00B12FE0">
        <w:rPr>
          <w:color w:val="000000" w:themeColor="text1"/>
          <w:kern w:val="0"/>
          <w:szCs w:val="24"/>
          <w:vertAlign w:val="superscript"/>
        </w:rPr>
        <w:t>2</w:t>
      </w:r>
      <w:r w:rsidRPr="00B12FE0">
        <w:rPr>
          <w:color w:val="000000" w:themeColor="text1"/>
          <w:kern w:val="0"/>
          <w:szCs w:val="24"/>
        </w:rPr>
        <w:t>面积上的散射因子，通常取</w:t>
      </w:r>
      <w:r w:rsidRPr="00B12FE0">
        <w:rPr>
          <w:color w:val="000000" w:themeColor="text1"/>
          <w:kern w:val="0"/>
          <w:szCs w:val="24"/>
        </w:rPr>
        <w:t>45º</w:t>
      </w:r>
      <w:r w:rsidRPr="00B12FE0">
        <w:rPr>
          <w:color w:val="000000" w:themeColor="text1"/>
          <w:kern w:val="0"/>
          <w:szCs w:val="24"/>
        </w:rPr>
        <w:t>散射角的值，取值见（</w:t>
      </w:r>
      <w:r w:rsidRPr="00B12FE0">
        <w:rPr>
          <w:color w:val="000000" w:themeColor="text1"/>
          <w:kern w:val="0"/>
          <w:szCs w:val="24"/>
        </w:rPr>
        <w:t>GBZ/T201.2-2011</w:t>
      </w:r>
      <w:r w:rsidRPr="00B12FE0">
        <w:rPr>
          <w:color w:val="000000" w:themeColor="text1"/>
          <w:kern w:val="0"/>
          <w:szCs w:val="24"/>
        </w:rPr>
        <w:t>）附录</w:t>
      </w:r>
      <w:r w:rsidRPr="00B12FE0">
        <w:rPr>
          <w:color w:val="000000" w:themeColor="text1"/>
          <w:kern w:val="0"/>
          <w:szCs w:val="24"/>
        </w:rPr>
        <w:t>B</w:t>
      </w:r>
      <w:r w:rsidRPr="00B12FE0">
        <w:rPr>
          <w:color w:val="000000" w:themeColor="text1"/>
          <w:kern w:val="0"/>
          <w:szCs w:val="24"/>
        </w:rPr>
        <w:t>表</w:t>
      </w:r>
      <w:r w:rsidRPr="00B12FE0">
        <w:rPr>
          <w:color w:val="000000" w:themeColor="text1"/>
          <w:kern w:val="0"/>
          <w:szCs w:val="24"/>
        </w:rPr>
        <w:t>B.2</w:t>
      </w:r>
      <w:r w:rsidRPr="00B12FE0">
        <w:rPr>
          <w:color w:val="000000" w:themeColor="text1"/>
          <w:kern w:val="0"/>
          <w:szCs w:val="24"/>
        </w:rPr>
        <w:t>；</w:t>
      </w:r>
    </w:p>
    <w:p w14:paraId="6A8011E2" w14:textId="77777777" w:rsidR="00A67F21" w:rsidRPr="00B12FE0" w:rsidRDefault="00000000">
      <w:pPr>
        <w:adjustRightInd w:val="0"/>
        <w:snapToGrid w:val="0"/>
        <w:spacing w:line="360" w:lineRule="auto"/>
        <w:ind w:firstLineChars="200" w:firstLine="480"/>
        <w:rPr>
          <w:color w:val="000000" w:themeColor="text1"/>
          <w:kern w:val="0"/>
        </w:rPr>
      </w:pPr>
      <w:r w:rsidRPr="00B12FE0">
        <w:rPr>
          <w:iCs/>
          <w:color w:val="000000" w:themeColor="text1"/>
          <w:kern w:val="0"/>
          <w:szCs w:val="24"/>
        </w:rPr>
        <w:t>F</w:t>
      </w:r>
      <w:proofErr w:type="gramStart"/>
      <w:r w:rsidRPr="00B12FE0">
        <w:rPr>
          <w:iCs/>
          <w:color w:val="000000" w:themeColor="text1"/>
          <w:kern w:val="0"/>
          <w:szCs w:val="24"/>
        </w:rPr>
        <w:t>—</w:t>
      </w:r>
      <w:r w:rsidRPr="00B12FE0">
        <w:rPr>
          <w:color w:val="000000" w:themeColor="text1"/>
          <w:kern w:val="0"/>
          <w:szCs w:val="24"/>
        </w:rPr>
        <w:t>治疗</w:t>
      </w:r>
      <w:proofErr w:type="gramEnd"/>
      <w:r w:rsidRPr="00B12FE0">
        <w:rPr>
          <w:color w:val="000000" w:themeColor="text1"/>
          <w:kern w:val="0"/>
          <w:szCs w:val="24"/>
        </w:rPr>
        <w:t>装置有用束在等中心处的最大治疗野面积，</w:t>
      </w:r>
      <w:r w:rsidRPr="00B12FE0">
        <w:rPr>
          <w:color w:val="000000" w:themeColor="text1"/>
          <w:kern w:val="0"/>
          <w:szCs w:val="24"/>
        </w:rPr>
        <w:t>cm</w:t>
      </w:r>
      <w:r w:rsidRPr="00B12FE0">
        <w:rPr>
          <w:color w:val="000000" w:themeColor="text1"/>
          <w:kern w:val="0"/>
          <w:szCs w:val="24"/>
          <w:vertAlign w:val="superscript"/>
        </w:rPr>
        <w:t>2</w:t>
      </w:r>
      <w:r w:rsidRPr="00B12FE0">
        <w:rPr>
          <w:color w:val="000000" w:themeColor="text1"/>
          <w:kern w:val="0"/>
          <w:szCs w:val="24"/>
        </w:rPr>
        <w:t>；</w:t>
      </w:r>
    </w:p>
    <w:p w14:paraId="4E3AF161" w14:textId="77777777" w:rsidR="00A67F21" w:rsidRPr="00B12FE0" w:rsidRDefault="00000000">
      <w:pPr>
        <w:adjustRightInd w:val="0"/>
        <w:snapToGrid w:val="0"/>
        <w:spacing w:line="360" w:lineRule="auto"/>
        <w:ind w:firstLineChars="200" w:firstLine="480"/>
        <w:rPr>
          <w:color w:val="000000" w:themeColor="text1"/>
          <w:kern w:val="0"/>
        </w:rPr>
      </w:pPr>
      <w:r w:rsidRPr="00B12FE0">
        <w:rPr>
          <w:color w:val="000000" w:themeColor="text1"/>
          <w:kern w:val="0"/>
          <w:szCs w:val="24"/>
        </w:rPr>
        <w:t>α</w:t>
      </w:r>
      <w:r w:rsidRPr="00B12FE0">
        <w:rPr>
          <w:iCs/>
          <w:color w:val="000000" w:themeColor="text1"/>
          <w:kern w:val="0"/>
          <w:szCs w:val="24"/>
          <w:vertAlign w:val="subscript"/>
        </w:rPr>
        <w:t>2</w:t>
      </w:r>
      <w:r w:rsidRPr="00B12FE0">
        <w:rPr>
          <w:color w:val="000000" w:themeColor="text1"/>
          <w:kern w:val="0"/>
          <w:szCs w:val="24"/>
        </w:rPr>
        <w:t>—</w:t>
      </w:r>
      <w:proofErr w:type="gramStart"/>
      <w:r w:rsidRPr="00B12FE0">
        <w:rPr>
          <w:color w:val="000000" w:themeColor="text1"/>
          <w:kern w:val="0"/>
          <w:szCs w:val="24"/>
        </w:rPr>
        <w:t>砼</w:t>
      </w:r>
      <w:proofErr w:type="gramEnd"/>
      <w:r w:rsidRPr="00B12FE0">
        <w:rPr>
          <w:color w:val="000000" w:themeColor="text1"/>
          <w:kern w:val="0"/>
          <w:szCs w:val="24"/>
        </w:rPr>
        <w:t>墙入射的患者散射辐射的散射因子，通常取</w:t>
      </w:r>
      <w:proofErr w:type="spellStart"/>
      <w:r w:rsidRPr="00B12FE0">
        <w:rPr>
          <w:color w:val="000000" w:themeColor="text1"/>
          <w:kern w:val="0"/>
          <w:szCs w:val="24"/>
        </w:rPr>
        <w:t>i</w:t>
      </w:r>
      <w:proofErr w:type="spellEnd"/>
      <w:r w:rsidRPr="00B12FE0">
        <w:rPr>
          <w:color w:val="000000" w:themeColor="text1"/>
          <w:kern w:val="0"/>
          <w:szCs w:val="24"/>
        </w:rPr>
        <w:t>（本项目为</w:t>
      </w:r>
      <w:r w:rsidRPr="00B12FE0">
        <w:rPr>
          <w:color w:val="000000" w:themeColor="text1"/>
          <w:kern w:val="0"/>
          <w:szCs w:val="24"/>
        </w:rPr>
        <w:t>B</w:t>
      </w:r>
      <w:r w:rsidRPr="00B12FE0">
        <w:rPr>
          <w:color w:val="000000" w:themeColor="text1"/>
          <w:kern w:val="0"/>
          <w:szCs w:val="24"/>
        </w:rPr>
        <w:t>）处的入射角为</w:t>
      </w:r>
      <w:r w:rsidRPr="00B12FE0">
        <w:rPr>
          <w:color w:val="000000" w:themeColor="text1"/>
          <w:kern w:val="0"/>
          <w:szCs w:val="24"/>
        </w:rPr>
        <w:t>45°</w:t>
      </w:r>
      <w:r w:rsidRPr="00B12FE0">
        <w:rPr>
          <w:color w:val="000000" w:themeColor="text1"/>
          <w:kern w:val="0"/>
          <w:szCs w:val="24"/>
        </w:rPr>
        <w:t>，散射角为</w:t>
      </w:r>
      <w:r w:rsidRPr="00B12FE0">
        <w:rPr>
          <w:color w:val="000000" w:themeColor="text1"/>
          <w:kern w:val="0"/>
          <w:szCs w:val="24"/>
        </w:rPr>
        <w:t>0°</w:t>
      </w:r>
      <w:r w:rsidRPr="00B12FE0">
        <w:rPr>
          <w:color w:val="000000" w:themeColor="text1"/>
          <w:kern w:val="0"/>
          <w:szCs w:val="24"/>
        </w:rPr>
        <w:t>，</w:t>
      </w:r>
      <w:r w:rsidRPr="00B12FE0">
        <w:rPr>
          <w:color w:val="000000" w:themeColor="text1"/>
          <w:kern w:val="0"/>
          <w:szCs w:val="24"/>
        </w:rPr>
        <w:t>α</w:t>
      </w:r>
      <w:r w:rsidRPr="00B12FE0">
        <w:rPr>
          <w:color w:val="000000" w:themeColor="text1"/>
          <w:kern w:val="0"/>
          <w:szCs w:val="24"/>
        </w:rPr>
        <w:t>值见（</w:t>
      </w:r>
      <w:r w:rsidRPr="00B12FE0">
        <w:rPr>
          <w:color w:val="000000" w:themeColor="text1"/>
          <w:kern w:val="0"/>
          <w:szCs w:val="24"/>
        </w:rPr>
        <w:t>GBZ/T201.2-2011</w:t>
      </w:r>
      <w:r w:rsidRPr="00B12FE0">
        <w:rPr>
          <w:color w:val="000000" w:themeColor="text1"/>
          <w:kern w:val="0"/>
          <w:szCs w:val="24"/>
        </w:rPr>
        <w:t>）附录</w:t>
      </w:r>
      <w:r w:rsidRPr="00B12FE0">
        <w:rPr>
          <w:color w:val="000000" w:themeColor="text1"/>
          <w:kern w:val="0"/>
          <w:szCs w:val="24"/>
        </w:rPr>
        <w:t>B</w:t>
      </w:r>
      <w:r w:rsidRPr="00B12FE0">
        <w:rPr>
          <w:color w:val="000000" w:themeColor="text1"/>
          <w:kern w:val="0"/>
          <w:szCs w:val="24"/>
        </w:rPr>
        <w:t>表</w:t>
      </w:r>
      <w:r w:rsidRPr="00B12FE0">
        <w:rPr>
          <w:color w:val="000000" w:themeColor="text1"/>
          <w:kern w:val="0"/>
          <w:szCs w:val="24"/>
        </w:rPr>
        <w:t>B.6</w:t>
      </w:r>
      <w:r w:rsidRPr="00B12FE0">
        <w:rPr>
          <w:color w:val="000000" w:themeColor="text1"/>
          <w:kern w:val="0"/>
          <w:szCs w:val="24"/>
        </w:rPr>
        <w:t>，通常使用其</w:t>
      </w:r>
      <w:r w:rsidRPr="00B12FE0">
        <w:rPr>
          <w:color w:val="000000" w:themeColor="text1"/>
          <w:kern w:val="0"/>
          <w:szCs w:val="24"/>
        </w:rPr>
        <w:t>0.5MeV</w:t>
      </w:r>
      <w:r w:rsidRPr="00B12FE0">
        <w:rPr>
          <w:color w:val="000000" w:themeColor="text1"/>
          <w:kern w:val="0"/>
          <w:szCs w:val="24"/>
        </w:rPr>
        <w:t>栏内的值；</w:t>
      </w:r>
    </w:p>
    <w:p w14:paraId="464AEDC1" w14:textId="77777777" w:rsidR="00A67F21" w:rsidRPr="00B12FE0" w:rsidRDefault="00000000">
      <w:pPr>
        <w:adjustRightInd w:val="0"/>
        <w:snapToGrid w:val="0"/>
        <w:spacing w:line="360" w:lineRule="auto"/>
        <w:ind w:firstLineChars="200" w:firstLine="480"/>
        <w:rPr>
          <w:color w:val="000000" w:themeColor="text1"/>
          <w:kern w:val="0"/>
        </w:rPr>
      </w:pPr>
      <w:r w:rsidRPr="00B12FE0">
        <w:rPr>
          <w:iCs/>
          <w:color w:val="000000" w:themeColor="text1"/>
          <w:kern w:val="0"/>
          <w:szCs w:val="24"/>
        </w:rPr>
        <w:t>A</w:t>
      </w:r>
      <w:r w:rsidRPr="00B12FE0">
        <w:rPr>
          <w:color w:val="000000" w:themeColor="text1"/>
          <w:kern w:val="0"/>
          <w:szCs w:val="24"/>
        </w:rPr>
        <w:t>—</w:t>
      </w:r>
      <w:proofErr w:type="spellStart"/>
      <w:r w:rsidRPr="00B12FE0">
        <w:rPr>
          <w:color w:val="000000" w:themeColor="text1"/>
          <w:kern w:val="0"/>
          <w:szCs w:val="24"/>
        </w:rPr>
        <w:t>i</w:t>
      </w:r>
      <w:proofErr w:type="spellEnd"/>
      <w:r w:rsidRPr="00B12FE0">
        <w:rPr>
          <w:color w:val="000000" w:themeColor="text1"/>
          <w:kern w:val="0"/>
          <w:szCs w:val="24"/>
        </w:rPr>
        <w:t>处（本项目为</w:t>
      </w:r>
      <w:r w:rsidRPr="00B12FE0">
        <w:rPr>
          <w:color w:val="000000" w:themeColor="text1"/>
          <w:kern w:val="0"/>
          <w:szCs w:val="24"/>
        </w:rPr>
        <w:t>B</w:t>
      </w:r>
      <w:r w:rsidRPr="00B12FE0">
        <w:rPr>
          <w:color w:val="000000" w:themeColor="text1"/>
          <w:kern w:val="0"/>
          <w:szCs w:val="24"/>
        </w:rPr>
        <w:t>）的散射面积，</w:t>
      </w:r>
      <w:r w:rsidRPr="00B12FE0">
        <w:rPr>
          <w:color w:val="000000" w:themeColor="text1"/>
          <w:kern w:val="0"/>
          <w:szCs w:val="24"/>
        </w:rPr>
        <w:t>m</w:t>
      </w:r>
      <w:r w:rsidRPr="00B12FE0">
        <w:rPr>
          <w:color w:val="000000" w:themeColor="text1"/>
          <w:kern w:val="0"/>
          <w:szCs w:val="24"/>
          <w:vertAlign w:val="superscript"/>
        </w:rPr>
        <w:t>2</w:t>
      </w:r>
      <w:r w:rsidRPr="00B12FE0">
        <w:rPr>
          <w:color w:val="000000" w:themeColor="text1"/>
          <w:kern w:val="0"/>
          <w:szCs w:val="24"/>
        </w:rPr>
        <w:t>；</w:t>
      </w:r>
    </w:p>
    <w:p w14:paraId="438FE4F2" w14:textId="77777777" w:rsidR="00A67F21" w:rsidRPr="00B12FE0" w:rsidRDefault="00000000">
      <w:pPr>
        <w:adjustRightInd w:val="0"/>
        <w:snapToGrid w:val="0"/>
        <w:spacing w:line="360" w:lineRule="auto"/>
        <w:ind w:firstLineChars="200" w:firstLine="480"/>
        <w:rPr>
          <w:color w:val="000000" w:themeColor="text1"/>
          <w:kern w:val="0"/>
        </w:rPr>
      </w:pPr>
      <w:r w:rsidRPr="00B12FE0">
        <w:rPr>
          <w:iCs/>
          <w:color w:val="000000" w:themeColor="text1"/>
          <w:kern w:val="0"/>
          <w:szCs w:val="24"/>
        </w:rPr>
        <w:t>R</w:t>
      </w:r>
      <w:r w:rsidRPr="00B12FE0">
        <w:rPr>
          <w:iCs/>
          <w:color w:val="000000" w:themeColor="text1"/>
          <w:kern w:val="0"/>
          <w:szCs w:val="24"/>
          <w:vertAlign w:val="subscript"/>
        </w:rPr>
        <w:t>1</w:t>
      </w:r>
      <w:r w:rsidRPr="00B12FE0">
        <w:rPr>
          <w:color w:val="000000" w:themeColor="text1"/>
          <w:kern w:val="0"/>
          <w:szCs w:val="24"/>
        </w:rPr>
        <w:t>—“o-</w:t>
      </w:r>
      <w:proofErr w:type="spellStart"/>
      <w:r w:rsidRPr="00B12FE0">
        <w:rPr>
          <w:color w:val="000000" w:themeColor="text1"/>
          <w:kern w:val="0"/>
          <w:szCs w:val="24"/>
        </w:rPr>
        <w:t>i</w:t>
      </w:r>
      <w:proofErr w:type="spellEnd"/>
      <w:r w:rsidRPr="00B12FE0">
        <w:rPr>
          <w:color w:val="000000" w:themeColor="text1"/>
          <w:kern w:val="0"/>
          <w:szCs w:val="24"/>
        </w:rPr>
        <w:t>”</w:t>
      </w:r>
      <w:r w:rsidRPr="00B12FE0">
        <w:rPr>
          <w:color w:val="000000" w:themeColor="text1"/>
          <w:kern w:val="0"/>
          <w:szCs w:val="24"/>
        </w:rPr>
        <w:t>（本项目为</w:t>
      </w:r>
      <w:r w:rsidRPr="00B12FE0">
        <w:rPr>
          <w:color w:val="000000" w:themeColor="text1"/>
          <w:kern w:val="0"/>
          <w:szCs w:val="24"/>
        </w:rPr>
        <w:t>o-B</w:t>
      </w:r>
      <w:r w:rsidRPr="00B12FE0">
        <w:rPr>
          <w:color w:val="000000" w:themeColor="text1"/>
          <w:kern w:val="0"/>
          <w:szCs w:val="24"/>
        </w:rPr>
        <w:t>）之间的距离，</w:t>
      </w:r>
      <w:r w:rsidRPr="00B12FE0">
        <w:rPr>
          <w:color w:val="000000" w:themeColor="text1"/>
          <w:kern w:val="0"/>
          <w:szCs w:val="24"/>
        </w:rPr>
        <w:t>m</w:t>
      </w:r>
      <w:r w:rsidRPr="00B12FE0">
        <w:rPr>
          <w:color w:val="000000" w:themeColor="text1"/>
          <w:kern w:val="0"/>
          <w:szCs w:val="24"/>
        </w:rPr>
        <w:t>；</w:t>
      </w:r>
    </w:p>
    <w:p w14:paraId="024EFDF8" w14:textId="77777777" w:rsidR="00A67F21" w:rsidRPr="00B12FE0" w:rsidRDefault="00000000">
      <w:pPr>
        <w:adjustRightInd w:val="0"/>
        <w:snapToGrid w:val="0"/>
        <w:spacing w:line="360" w:lineRule="auto"/>
        <w:ind w:firstLineChars="200" w:firstLine="480"/>
        <w:rPr>
          <w:color w:val="000000" w:themeColor="text1"/>
          <w:kern w:val="0"/>
        </w:rPr>
      </w:pPr>
      <w:r w:rsidRPr="00B12FE0">
        <w:rPr>
          <w:iCs/>
          <w:color w:val="000000" w:themeColor="text1"/>
          <w:kern w:val="0"/>
          <w:szCs w:val="24"/>
        </w:rPr>
        <w:t>R</w:t>
      </w:r>
      <w:r w:rsidRPr="00B12FE0">
        <w:rPr>
          <w:iCs/>
          <w:color w:val="000000" w:themeColor="text1"/>
          <w:kern w:val="0"/>
          <w:szCs w:val="24"/>
          <w:vertAlign w:val="subscript"/>
        </w:rPr>
        <w:t>2</w:t>
      </w:r>
      <w:r w:rsidRPr="00B12FE0">
        <w:rPr>
          <w:color w:val="000000" w:themeColor="text1"/>
          <w:kern w:val="0"/>
          <w:szCs w:val="24"/>
        </w:rPr>
        <w:t>—“</w:t>
      </w:r>
      <w:proofErr w:type="spellStart"/>
      <w:r w:rsidRPr="00B12FE0">
        <w:rPr>
          <w:color w:val="000000" w:themeColor="text1"/>
          <w:kern w:val="0"/>
          <w:szCs w:val="24"/>
        </w:rPr>
        <w:t>i</w:t>
      </w:r>
      <w:proofErr w:type="spellEnd"/>
      <w:r w:rsidRPr="00B12FE0">
        <w:rPr>
          <w:color w:val="000000" w:themeColor="text1"/>
          <w:kern w:val="0"/>
          <w:szCs w:val="24"/>
        </w:rPr>
        <w:t>-g”</w:t>
      </w:r>
      <w:r w:rsidRPr="00B12FE0">
        <w:rPr>
          <w:color w:val="000000" w:themeColor="text1"/>
          <w:kern w:val="0"/>
          <w:szCs w:val="24"/>
        </w:rPr>
        <w:t>（本项目为</w:t>
      </w:r>
      <w:r w:rsidRPr="00B12FE0">
        <w:rPr>
          <w:color w:val="000000" w:themeColor="text1"/>
          <w:kern w:val="0"/>
          <w:szCs w:val="24"/>
        </w:rPr>
        <w:t>B-P+P-g</w:t>
      </w:r>
      <w:r w:rsidRPr="00B12FE0">
        <w:rPr>
          <w:color w:val="000000" w:themeColor="text1"/>
          <w:kern w:val="0"/>
          <w:szCs w:val="24"/>
        </w:rPr>
        <w:t>）之间的距离，</w:t>
      </w:r>
      <w:r w:rsidRPr="00B12FE0">
        <w:rPr>
          <w:color w:val="000000" w:themeColor="text1"/>
          <w:kern w:val="0"/>
          <w:szCs w:val="24"/>
        </w:rPr>
        <w:t>m</w:t>
      </w:r>
      <w:r w:rsidRPr="00B12FE0">
        <w:rPr>
          <w:color w:val="000000" w:themeColor="text1"/>
          <w:kern w:val="0"/>
          <w:szCs w:val="24"/>
        </w:rPr>
        <w:t>；</w:t>
      </w:r>
    </w:p>
    <w:p w14:paraId="2B71D5B5" w14:textId="77777777" w:rsidR="00A67F21" w:rsidRPr="00B12FE0" w:rsidRDefault="00000000">
      <w:pPr>
        <w:pStyle w:val="affffd"/>
        <w:adjustRightInd w:val="0"/>
        <w:snapToGrid w:val="0"/>
        <w:spacing w:line="360" w:lineRule="auto"/>
        <w:ind w:firstLineChars="200" w:firstLine="480"/>
        <w:textAlignment w:val="baseline"/>
        <w:rPr>
          <w:rFonts w:ascii="Times New Roman"/>
          <w:color w:val="000000" w:themeColor="text1"/>
          <w:sz w:val="24"/>
        </w:rPr>
      </w:pPr>
      <m:oMath>
        <m:sSub>
          <m:sSubPr>
            <m:ctrlPr>
              <w:rPr>
                <w:rFonts w:ascii="Cambria Math" w:hAnsi="Cambria Math"/>
                <w:i/>
                <w:color w:val="000000" w:themeColor="text1"/>
                <w:sz w:val="24"/>
                <w:szCs w:val="24"/>
              </w:rPr>
            </m:ctrlPr>
          </m:sSubPr>
          <m:e>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H</m:t>
                </m:r>
              </m:e>
            </m:acc>
          </m:e>
          <m:sub>
            <m:r>
              <w:rPr>
                <w:rFonts w:ascii="Cambria Math" w:hAnsi="Cambria Math"/>
                <w:color w:val="000000" w:themeColor="text1"/>
                <w:sz w:val="24"/>
                <w:szCs w:val="24"/>
              </w:rPr>
              <m:t>0</m:t>
            </m:r>
          </m:sub>
        </m:sSub>
      </m:oMath>
      <w:r w:rsidRPr="00B12FE0">
        <w:rPr>
          <w:rFonts w:ascii="Times New Roman"/>
          <w:color w:val="000000" w:themeColor="text1"/>
          <w:sz w:val="24"/>
          <w:szCs w:val="24"/>
        </w:rPr>
        <w:t>—</w:t>
      </w:r>
      <w:r w:rsidRPr="00B12FE0">
        <w:rPr>
          <w:rFonts w:ascii="Times New Roman"/>
          <w:color w:val="000000" w:themeColor="text1"/>
          <w:sz w:val="24"/>
          <w:szCs w:val="24"/>
        </w:rPr>
        <w:t>加速器有用线束中心轴上距靶</w:t>
      </w:r>
      <w:r w:rsidRPr="00B12FE0">
        <w:rPr>
          <w:rFonts w:ascii="Times New Roman"/>
          <w:color w:val="000000" w:themeColor="text1"/>
          <w:sz w:val="24"/>
          <w:szCs w:val="24"/>
        </w:rPr>
        <w:t>1m</w:t>
      </w:r>
      <w:r w:rsidRPr="00B12FE0">
        <w:rPr>
          <w:rFonts w:ascii="Times New Roman"/>
          <w:color w:val="000000" w:themeColor="text1"/>
          <w:sz w:val="24"/>
          <w:szCs w:val="24"/>
        </w:rPr>
        <w:t>处的常用最高剂量率，</w:t>
      </w:r>
      <w:r w:rsidRPr="00B12FE0">
        <w:rPr>
          <w:rFonts w:ascii="Times New Roman"/>
          <w:color w:val="000000" w:themeColor="text1"/>
          <w:sz w:val="24"/>
          <w:szCs w:val="24"/>
        </w:rPr>
        <w:t>μSv•m</w:t>
      </w:r>
      <w:r w:rsidRPr="00B12FE0">
        <w:rPr>
          <w:rFonts w:ascii="Times New Roman"/>
          <w:color w:val="000000" w:themeColor="text1"/>
          <w:sz w:val="24"/>
          <w:szCs w:val="24"/>
          <w:vertAlign w:val="superscript"/>
        </w:rPr>
        <w:t>2</w:t>
      </w:r>
      <w:r w:rsidRPr="00B12FE0">
        <w:rPr>
          <w:rFonts w:ascii="Times New Roman"/>
          <w:color w:val="000000" w:themeColor="text1"/>
          <w:sz w:val="24"/>
          <w:szCs w:val="24"/>
        </w:rPr>
        <w:t>/h</w:t>
      </w:r>
      <w:r w:rsidRPr="00B12FE0">
        <w:rPr>
          <w:rFonts w:ascii="Times New Roman"/>
          <w:color w:val="000000" w:themeColor="text1"/>
          <w:sz w:val="24"/>
          <w:szCs w:val="24"/>
        </w:rPr>
        <w:t>。</w:t>
      </w:r>
    </w:p>
    <w:p w14:paraId="49204697" w14:textId="77777777" w:rsidR="00A67F21" w:rsidRPr="00B12FE0" w:rsidRDefault="00000000">
      <w:pPr>
        <w:autoSpaceDE w:val="0"/>
        <w:spacing w:line="360" w:lineRule="auto"/>
        <w:jc w:val="center"/>
        <w:rPr>
          <w:b/>
          <w:bCs/>
          <w:color w:val="000000" w:themeColor="text1"/>
          <w:szCs w:val="21"/>
        </w:rPr>
      </w:pPr>
      <w:r w:rsidRPr="00B12FE0">
        <w:rPr>
          <w:b/>
          <w:bCs/>
          <w:color w:val="000000" w:themeColor="text1"/>
          <w:sz w:val="21"/>
          <w:szCs w:val="21"/>
        </w:rPr>
        <w:t>表</w:t>
      </w:r>
      <w:r w:rsidRPr="00B12FE0">
        <w:rPr>
          <w:b/>
          <w:bCs/>
          <w:color w:val="000000" w:themeColor="text1"/>
          <w:sz w:val="21"/>
          <w:szCs w:val="21"/>
        </w:rPr>
        <w:t xml:space="preserve">11.2.2.1-12  </w:t>
      </w:r>
      <w:r w:rsidRPr="00B12FE0">
        <w:rPr>
          <w:b/>
          <w:bCs/>
          <w:color w:val="000000" w:themeColor="text1"/>
          <w:sz w:val="21"/>
          <w:szCs w:val="21"/>
        </w:rPr>
        <w:t>关注点</w:t>
      </w:r>
      <w:r w:rsidRPr="00B12FE0">
        <w:rPr>
          <w:b/>
          <w:bCs/>
          <w:color w:val="000000" w:themeColor="text1"/>
          <w:sz w:val="21"/>
          <w:szCs w:val="21"/>
        </w:rPr>
        <w:t>g</w:t>
      </w:r>
      <w:r w:rsidRPr="00B12FE0">
        <w:rPr>
          <w:b/>
          <w:bCs/>
          <w:color w:val="000000" w:themeColor="text1"/>
          <w:sz w:val="21"/>
          <w:szCs w:val="21"/>
        </w:rPr>
        <w:t>点处的散射辐射剂量率计算参数及结果（</w:t>
      </w:r>
      <w:r w:rsidRPr="00B12FE0">
        <w:rPr>
          <w:b/>
          <w:bCs/>
          <w:color w:val="000000" w:themeColor="text1"/>
          <w:sz w:val="21"/>
          <w:szCs w:val="21"/>
        </w:rPr>
        <w:t>10MV</w:t>
      </w:r>
      <w:r w:rsidRPr="00B12FE0">
        <w:rPr>
          <w:b/>
          <w:bCs/>
          <w:color w:val="000000" w:themeColor="text1"/>
          <w:sz w:val="21"/>
          <w:szCs w:val="21"/>
        </w:rPr>
        <w:t>）</w:t>
      </w:r>
    </w:p>
    <w:tbl>
      <w:tblPr>
        <w:tblW w:w="8800" w:type="dxa"/>
        <w:jc w:val="center"/>
        <w:tblLayout w:type="fixed"/>
        <w:tblLook w:val="04A0" w:firstRow="1" w:lastRow="0" w:firstColumn="1" w:lastColumn="0" w:noHBand="0" w:noVBand="1"/>
      </w:tblPr>
      <w:tblGrid>
        <w:gridCol w:w="704"/>
        <w:gridCol w:w="1276"/>
        <w:gridCol w:w="1134"/>
        <w:gridCol w:w="992"/>
        <w:gridCol w:w="613"/>
        <w:gridCol w:w="903"/>
        <w:gridCol w:w="1027"/>
        <w:gridCol w:w="981"/>
        <w:gridCol w:w="1170"/>
      </w:tblGrid>
      <w:tr w:rsidR="00A67F21" w:rsidRPr="00B12FE0" w14:paraId="1BB359F9" w14:textId="77777777">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640E46C"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lastRenderedPageBreak/>
              <w:t>关注点</w:t>
            </w:r>
          </w:p>
        </w:tc>
        <w:tc>
          <w:tcPr>
            <w:tcW w:w="1276" w:type="dxa"/>
            <w:tcBorders>
              <w:top w:val="single" w:sz="4" w:space="0" w:color="000000"/>
              <w:left w:val="single" w:sz="4" w:space="0" w:color="000000"/>
              <w:bottom w:val="single" w:sz="4" w:space="0" w:color="000000"/>
              <w:right w:val="single" w:sz="4" w:space="0" w:color="000000"/>
            </w:tcBorders>
            <w:vAlign w:val="center"/>
          </w:tcPr>
          <w:p w14:paraId="3287EDB5" w14:textId="77777777" w:rsidR="00A67F21" w:rsidRPr="00B12FE0" w:rsidRDefault="00000000">
            <w:pPr>
              <w:widowControl/>
              <w:tabs>
                <w:tab w:val="right" w:pos="1884"/>
                <w:tab w:val="right" w:leader="dot" w:pos="9298"/>
              </w:tabs>
              <w:autoSpaceDE w:val="0"/>
              <w:autoSpaceDN w:val="0"/>
              <w:adjustRightInd w:val="0"/>
              <w:jc w:val="center"/>
              <w:textAlignment w:val="baseline"/>
              <w:rPr>
                <w:color w:val="000000" w:themeColor="text1"/>
                <w:szCs w:val="21"/>
              </w:rPr>
            </w:pPr>
            <m:oMathPara>
              <m:oMath>
                <m:sSub>
                  <m:sSubPr>
                    <m:ctrlPr>
                      <w:rPr>
                        <w:rFonts w:ascii="Cambria Math" w:hAnsi="Cambria Math"/>
                        <w:color w:val="000000" w:themeColor="text1"/>
                        <w:sz w:val="21"/>
                        <w:szCs w:val="21"/>
                      </w:rPr>
                    </m:ctrlPr>
                  </m:sSubPr>
                  <m:e>
                    <m:acc>
                      <m:accPr>
                        <m:chr m:val="̇"/>
                        <m:ctrlPr>
                          <w:rPr>
                            <w:rFonts w:ascii="Cambria Math" w:hAnsi="Cambria Math"/>
                            <w:color w:val="000000" w:themeColor="text1"/>
                            <w:sz w:val="21"/>
                            <w:szCs w:val="21"/>
                          </w:rPr>
                        </m:ctrlPr>
                      </m:accPr>
                      <m:e>
                        <m:r>
                          <m:rPr>
                            <m:sty m:val="p"/>
                          </m:rPr>
                          <w:rPr>
                            <w:rFonts w:ascii="Cambria Math" w:hAnsi="Cambria Math"/>
                            <w:color w:val="000000" w:themeColor="text1"/>
                            <w:sz w:val="21"/>
                            <w:szCs w:val="21"/>
                          </w:rPr>
                          <m:t>H</m:t>
                        </m:r>
                      </m:e>
                    </m:acc>
                  </m:e>
                  <m:sub>
                    <m:r>
                      <m:rPr>
                        <m:sty m:val="p"/>
                      </m:rPr>
                      <w:rPr>
                        <w:rFonts w:ascii="Cambria Math" w:hAnsi="Cambria Math"/>
                        <w:color w:val="000000" w:themeColor="text1"/>
                        <w:sz w:val="21"/>
                        <w:szCs w:val="21"/>
                      </w:rPr>
                      <m:t>o</m:t>
                    </m:r>
                  </m:sub>
                </m:sSub>
              </m:oMath>
            </m:oMathPara>
          </w:p>
          <w:p w14:paraId="23B716F1" w14:textId="77777777" w:rsidR="00A67F21" w:rsidRPr="00B12FE0" w:rsidRDefault="00000000">
            <w:pPr>
              <w:widowControl/>
              <w:tabs>
                <w:tab w:val="right" w:pos="1884"/>
                <w:tab w:val="right" w:leader="dot" w:pos="9298"/>
              </w:tabs>
              <w:autoSpaceDE w:val="0"/>
              <w:autoSpaceDN w:val="0"/>
              <w:adjustRightInd w:val="0"/>
              <w:jc w:val="center"/>
              <w:textAlignment w:val="baseline"/>
              <w:rPr>
                <w:color w:val="000000" w:themeColor="text1"/>
                <w:szCs w:val="21"/>
              </w:rPr>
            </w:pPr>
            <w:r w:rsidRPr="00B12FE0">
              <w:rPr>
                <w:color w:val="000000" w:themeColor="text1"/>
                <w:kern w:val="0"/>
                <w:sz w:val="21"/>
                <w:szCs w:val="21"/>
              </w:rPr>
              <w:t>(μSv•m</w:t>
            </w:r>
            <w:r w:rsidRPr="00B12FE0">
              <w:rPr>
                <w:color w:val="000000" w:themeColor="text1"/>
                <w:kern w:val="0"/>
                <w:sz w:val="21"/>
                <w:szCs w:val="21"/>
                <w:vertAlign w:val="superscript"/>
              </w:rPr>
              <w:t>2</w:t>
            </w:r>
            <w:r w:rsidRPr="00B12FE0">
              <w:rPr>
                <w:color w:val="000000" w:themeColor="text1"/>
                <w:kern w:val="0"/>
                <w:sz w:val="21"/>
                <w:szCs w:val="21"/>
              </w:rPr>
              <w:t>/h)</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F7DB64" w14:textId="77777777" w:rsidR="00A67F21" w:rsidRPr="00B12FE0" w:rsidRDefault="00000000">
            <w:pPr>
              <w:widowControl/>
              <w:jc w:val="center"/>
              <w:textAlignment w:val="center"/>
              <w:rPr>
                <w:color w:val="000000" w:themeColor="text1"/>
                <w:szCs w:val="21"/>
              </w:rPr>
            </w:pPr>
            <w:r w:rsidRPr="00B12FE0">
              <w:rPr>
                <w:color w:val="000000" w:themeColor="text1"/>
                <w:kern w:val="0"/>
                <w:position w:val="-14"/>
                <w:sz w:val="21"/>
                <w:szCs w:val="21"/>
              </w:rPr>
              <w:object w:dxaOrig="452" w:dyaOrig="368" w14:anchorId="0BBFB25B">
                <v:shape id="_x0000_i1036" type="#_x0000_t75" style="width:22.45pt;height:18.7pt" o:ole="">
                  <v:imagedata r:id="rId78" o:title=""/>
                </v:shape>
                <o:OLEObject Type="Embed" ProgID="Equation.3" ShapeID="_x0000_i1036" DrawAspect="Content" ObjectID="_1843190434" r:id="rId79"/>
              </w:object>
            </w:r>
          </w:p>
        </w:tc>
        <w:tc>
          <w:tcPr>
            <w:tcW w:w="992" w:type="dxa"/>
            <w:tcBorders>
              <w:top w:val="single" w:sz="4" w:space="0" w:color="000000"/>
              <w:left w:val="single" w:sz="4" w:space="0" w:color="000000"/>
              <w:bottom w:val="single" w:sz="4" w:space="0" w:color="000000"/>
              <w:right w:val="single" w:sz="4" w:space="0" w:color="000000"/>
            </w:tcBorders>
            <w:vAlign w:val="center"/>
          </w:tcPr>
          <w:p w14:paraId="5CA85BE0"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a</w:t>
            </w:r>
            <w:r w:rsidRPr="00B12FE0">
              <w:rPr>
                <w:snapToGrid w:val="0"/>
                <w:color w:val="000000" w:themeColor="text1"/>
                <w:kern w:val="0"/>
                <w:sz w:val="21"/>
                <w:szCs w:val="21"/>
                <w:vertAlign w:val="subscript"/>
                <w:lang w:bidi="ar"/>
              </w:rPr>
              <w:t>2</w:t>
            </w:r>
          </w:p>
        </w:tc>
        <w:tc>
          <w:tcPr>
            <w:tcW w:w="613" w:type="dxa"/>
            <w:tcBorders>
              <w:top w:val="single" w:sz="4" w:space="0" w:color="000000"/>
              <w:left w:val="single" w:sz="4" w:space="0" w:color="000000"/>
              <w:bottom w:val="single" w:sz="4" w:space="0" w:color="000000"/>
              <w:right w:val="single" w:sz="4" w:space="0" w:color="000000"/>
            </w:tcBorders>
            <w:vAlign w:val="center"/>
          </w:tcPr>
          <w:p w14:paraId="41D98454" w14:textId="77777777" w:rsidR="00A67F21" w:rsidRPr="00B12FE0" w:rsidRDefault="00000000">
            <w:pPr>
              <w:widowControl/>
              <w:jc w:val="center"/>
              <w:textAlignment w:val="center"/>
              <w:rPr>
                <w:color w:val="000000" w:themeColor="text1"/>
                <w:kern w:val="0"/>
                <w:szCs w:val="21"/>
                <w:lang w:bidi="ar"/>
              </w:rPr>
            </w:pPr>
            <w:r w:rsidRPr="00B12FE0">
              <w:rPr>
                <w:snapToGrid w:val="0"/>
                <w:color w:val="000000" w:themeColor="text1"/>
                <w:kern w:val="0"/>
                <w:sz w:val="21"/>
                <w:szCs w:val="21"/>
                <w:lang w:bidi="ar"/>
              </w:rPr>
              <w:t>A</w:t>
            </w:r>
          </w:p>
          <w:p w14:paraId="50B67031"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w:t>
            </w:r>
          </w:p>
        </w:tc>
        <w:tc>
          <w:tcPr>
            <w:tcW w:w="903" w:type="dxa"/>
            <w:tcBorders>
              <w:top w:val="single" w:sz="4" w:space="0" w:color="000000"/>
              <w:left w:val="single" w:sz="4" w:space="0" w:color="000000"/>
              <w:right w:val="single" w:sz="4" w:space="0" w:color="000000"/>
            </w:tcBorders>
            <w:vAlign w:val="center"/>
          </w:tcPr>
          <w:p w14:paraId="01FAF44D" w14:textId="77777777" w:rsidR="00A67F21" w:rsidRPr="00B12FE0" w:rsidRDefault="00000000">
            <w:pPr>
              <w:widowControl/>
              <w:jc w:val="center"/>
              <w:textAlignment w:val="center"/>
              <w:rPr>
                <w:color w:val="000000" w:themeColor="text1"/>
                <w:kern w:val="0"/>
                <w:szCs w:val="21"/>
                <w:lang w:bidi="ar"/>
              </w:rPr>
            </w:pPr>
            <w:r w:rsidRPr="00B12FE0">
              <w:rPr>
                <w:snapToGrid w:val="0"/>
                <w:color w:val="000000" w:themeColor="text1"/>
                <w:kern w:val="0"/>
                <w:sz w:val="21"/>
                <w:szCs w:val="21"/>
                <w:lang w:bidi="ar"/>
              </w:rPr>
              <w:t>F</w:t>
            </w:r>
          </w:p>
          <w:p w14:paraId="137AE20D"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(cm</w:t>
            </w:r>
            <w:r w:rsidRPr="00B12FE0">
              <w:rPr>
                <w:snapToGrid w:val="0"/>
                <w:color w:val="000000" w:themeColor="text1"/>
                <w:kern w:val="0"/>
                <w:sz w:val="21"/>
                <w:szCs w:val="21"/>
                <w:vertAlign w:val="superscript"/>
                <w:lang w:bidi="ar"/>
              </w:rPr>
              <w:t>2</w:t>
            </w:r>
            <w:r w:rsidRPr="00B12FE0">
              <w:rPr>
                <w:snapToGrid w:val="0"/>
                <w:color w:val="000000" w:themeColor="text1"/>
                <w:kern w:val="0"/>
                <w:sz w:val="21"/>
                <w:szCs w:val="21"/>
                <w:lang w:bidi="ar"/>
              </w:rPr>
              <w:t>)</w:t>
            </w:r>
          </w:p>
        </w:tc>
        <w:tc>
          <w:tcPr>
            <w:tcW w:w="1027" w:type="dxa"/>
            <w:tcBorders>
              <w:top w:val="single" w:sz="4" w:space="0" w:color="000000"/>
              <w:left w:val="single" w:sz="4" w:space="0" w:color="000000"/>
              <w:right w:val="single" w:sz="4" w:space="0" w:color="000000"/>
            </w:tcBorders>
            <w:vAlign w:val="center"/>
          </w:tcPr>
          <w:p w14:paraId="6C3EC96A"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981" w:type="dxa"/>
            <w:tcBorders>
              <w:top w:val="single" w:sz="4" w:space="0" w:color="000000"/>
              <w:left w:val="single" w:sz="4" w:space="0" w:color="000000"/>
              <w:bottom w:val="single" w:sz="4" w:space="0" w:color="000000"/>
              <w:right w:val="single" w:sz="4" w:space="0" w:color="000000"/>
            </w:tcBorders>
            <w:vAlign w:val="center"/>
          </w:tcPr>
          <w:p w14:paraId="3FC1DD4C"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vertAlign w:val="subscript"/>
                <w:lang w:bidi="ar"/>
              </w:rPr>
              <w:t>2</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B5374C5" w14:textId="77777777" w:rsidR="00A67F21" w:rsidRPr="00B12FE0" w:rsidRDefault="00000000">
            <w:pPr>
              <w:widowControl/>
              <w:jc w:val="center"/>
              <w:textAlignment w:val="center"/>
              <w:rPr>
                <w:color w:val="000000" w:themeColor="text1"/>
                <w:szCs w:val="21"/>
              </w:rPr>
            </w:pPr>
            <m:oMath>
              <m:sSub>
                <m:sSubPr>
                  <m:ctrlPr>
                    <w:rPr>
                      <w:rFonts w:ascii="Cambria Math" w:hAnsi="Cambria Math"/>
                      <w:bCs/>
                      <w:color w:val="000000" w:themeColor="text1"/>
                      <w:sz w:val="21"/>
                      <w:szCs w:val="21"/>
                    </w:rPr>
                  </m:ctrlPr>
                </m:sSubPr>
                <m:e>
                  <m:acc>
                    <m:accPr>
                      <m:chr m:val="̇"/>
                      <m:ctrlPr>
                        <w:rPr>
                          <w:rFonts w:ascii="Cambria Math" w:hAnsi="Cambria Math"/>
                          <w:bCs/>
                          <w:color w:val="000000" w:themeColor="text1"/>
                          <w:sz w:val="21"/>
                          <w:szCs w:val="21"/>
                        </w:rPr>
                      </m:ctrlPr>
                    </m:accPr>
                    <m:e>
                      <m:r>
                        <m:rPr>
                          <m:sty m:val="p"/>
                        </m:rPr>
                        <w:rPr>
                          <w:rFonts w:ascii="Cambria Math" w:hAnsi="Cambria Math"/>
                          <w:color w:val="000000" w:themeColor="text1"/>
                          <w:sz w:val="21"/>
                          <w:szCs w:val="21"/>
                        </w:rPr>
                        <m:t>H</m:t>
                      </m:r>
                    </m:e>
                  </m:acc>
                </m:e>
                <m:sub>
                  <m:r>
                    <m:rPr>
                      <m:sty m:val="p"/>
                    </m:rPr>
                    <w:rPr>
                      <w:rFonts w:ascii="Cambria Math" w:hAnsi="Cambria Math"/>
                      <w:color w:val="000000" w:themeColor="text1"/>
                      <w:sz w:val="21"/>
                      <w:szCs w:val="21"/>
                    </w:rPr>
                    <m:t>g</m:t>
                  </m:r>
                </m:sub>
              </m:sSub>
            </m:oMath>
            <w:r w:rsidRPr="00B12FE0">
              <w:rPr>
                <w:bCs/>
                <w:color w:val="000000" w:themeColor="text1"/>
                <w:sz w:val="21"/>
                <w:szCs w:val="21"/>
              </w:rPr>
              <w:t>（</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r w:rsidRPr="00B12FE0">
              <w:rPr>
                <w:snapToGrid w:val="0"/>
                <w:color w:val="000000" w:themeColor="text1"/>
                <w:kern w:val="0"/>
                <w:sz w:val="21"/>
                <w:szCs w:val="21"/>
                <w:lang w:bidi="ar"/>
              </w:rPr>
              <w:t>）</w:t>
            </w:r>
          </w:p>
        </w:tc>
      </w:tr>
      <w:tr w:rsidR="00A67F21" w:rsidRPr="00B12FE0" w14:paraId="49E96467" w14:textId="77777777">
        <w:trPr>
          <w:trHeight w:val="340"/>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4A8F65F8"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g</w:t>
            </w:r>
            <w:r w:rsidRPr="00B12FE0">
              <w:rPr>
                <w:rFonts w:hint="eastAsia"/>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7A47C3FD" w14:textId="77777777" w:rsidR="00A67F21" w:rsidRPr="00B12FE0" w:rsidRDefault="00000000">
            <w:pPr>
              <w:widowControl/>
              <w:autoSpaceDE w:val="0"/>
              <w:autoSpaceDN w:val="0"/>
              <w:adjustRightInd w:val="0"/>
              <w:jc w:val="center"/>
              <w:textAlignment w:val="baseline"/>
              <w:rPr>
                <w:color w:val="000000" w:themeColor="text1"/>
                <w:szCs w:val="21"/>
              </w:rPr>
            </w:pPr>
            <w:r w:rsidRPr="00B12FE0">
              <w:rPr>
                <w:color w:val="000000" w:themeColor="text1"/>
                <w:sz w:val="21"/>
                <w:szCs w:val="21"/>
              </w:rPr>
              <w:t>1.44×10</w:t>
            </w:r>
            <w:r w:rsidRPr="00B12FE0">
              <w:rPr>
                <w:color w:val="000000" w:themeColor="text1"/>
                <w:sz w:val="21"/>
                <w:szCs w:val="21"/>
                <w:vertAlign w:val="superscript"/>
              </w:rPr>
              <w:t>9</w:t>
            </w:r>
            <w:r w:rsidRPr="00B12FE0">
              <w:rPr>
                <w:color w:val="000000" w:themeColor="text1"/>
                <w:sz w:val="21"/>
                <w:szCs w:val="21"/>
              </w:rPr>
              <w:t>（</w:t>
            </w:r>
            <w:r w:rsidRPr="00B12FE0">
              <w:rPr>
                <w:color w:val="000000" w:themeColor="text1"/>
                <w:sz w:val="21"/>
                <w:szCs w:val="21"/>
              </w:rPr>
              <w:t>10MV</w:t>
            </w:r>
            <w:r w:rsidRPr="00B12FE0">
              <w:rPr>
                <w:color w:val="000000" w:themeColor="text1"/>
                <w:sz w:val="21"/>
                <w:szCs w:val="21"/>
              </w:rPr>
              <w: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36CC81" w14:textId="77777777" w:rsidR="00A67F21" w:rsidRPr="00B12FE0" w:rsidRDefault="00000000">
            <w:pPr>
              <w:widowControl/>
              <w:jc w:val="center"/>
              <w:textAlignment w:val="center"/>
              <w:rPr>
                <w:color w:val="000000" w:themeColor="text1"/>
                <w:szCs w:val="21"/>
              </w:rPr>
            </w:pPr>
            <w:r w:rsidRPr="00B12FE0">
              <w:rPr>
                <w:color w:val="000000" w:themeColor="text1"/>
                <w:sz w:val="21"/>
                <w:szCs w:val="21"/>
              </w:rPr>
              <w:t>1.35</w:t>
            </w:r>
            <w:r w:rsidRPr="00B12FE0">
              <w:rPr>
                <w:color w:val="000000" w:themeColor="text1"/>
                <w:kern w:val="0"/>
                <w:sz w:val="21"/>
                <w:szCs w:val="21"/>
              </w:rPr>
              <w:t>×10</w:t>
            </w:r>
            <w:r w:rsidRPr="00B12FE0">
              <w:rPr>
                <w:color w:val="000000" w:themeColor="text1"/>
                <w:kern w:val="0"/>
                <w:sz w:val="21"/>
                <w:szCs w:val="21"/>
                <w:vertAlign w:val="superscript"/>
              </w:rPr>
              <w:t>-3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75033A1" w14:textId="77777777" w:rsidR="00A67F21" w:rsidRPr="00B12FE0" w:rsidRDefault="00000000">
            <w:pPr>
              <w:widowControl/>
              <w:jc w:val="center"/>
              <w:textAlignment w:val="center"/>
              <w:rPr>
                <w:color w:val="000000" w:themeColor="text1"/>
                <w:szCs w:val="21"/>
              </w:rPr>
            </w:pPr>
            <w:r w:rsidRPr="00B12FE0">
              <w:rPr>
                <w:color w:val="000000" w:themeColor="text1"/>
                <w:sz w:val="21"/>
                <w:szCs w:val="21"/>
              </w:rPr>
              <w:t>2.2</w:t>
            </w:r>
            <w:r w:rsidRPr="00B12FE0">
              <w:rPr>
                <w:color w:val="000000" w:themeColor="text1"/>
                <w:kern w:val="0"/>
                <w:sz w:val="21"/>
                <w:szCs w:val="21"/>
              </w:rPr>
              <w:t>×10</w:t>
            </w:r>
            <w:r w:rsidRPr="00B12FE0">
              <w:rPr>
                <w:color w:val="000000" w:themeColor="text1"/>
                <w:kern w:val="0"/>
                <w:sz w:val="21"/>
                <w:szCs w:val="21"/>
                <w:vertAlign w:val="superscript"/>
              </w:rPr>
              <w:t>-2</w:t>
            </w:r>
          </w:p>
        </w:tc>
        <w:tc>
          <w:tcPr>
            <w:tcW w:w="613" w:type="dxa"/>
            <w:tcBorders>
              <w:top w:val="single" w:sz="4" w:space="0" w:color="000000"/>
              <w:left w:val="single" w:sz="4" w:space="0" w:color="000000"/>
              <w:bottom w:val="single" w:sz="4" w:space="0" w:color="000000"/>
              <w:right w:val="single" w:sz="4" w:space="0" w:color="000000"/>
            </w:tcBorders>
            <w:noWrap/>
            <w:vAlign w:val="center"/>
          </w:tcPr>
          <w:p w14:paraId="2AD954E5"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22.4</w:t>
            </w:r>
            <w:r w:rsidRPr="00B12FE0">
              <w:rPr>
                <w:snapToGrid w:val="0"/>
                <w:color w:val="000000" w:themeColor="text1"/>
                <w:kern w:val="0"/>
                <w:sz w:val="21"/>
                <w:szCs w:val="21"/>
                <w:lang w:bidi="ar"/>
              </w:rPr>
              <w:t xml:space="preserve"> </w:t>
            </w:r>
          </w:p>
        </w:tc>
        <w:tc>
          <w:tcPr>
            <w:tcW w:w="903" w:type="dxa"/>
            <w:tcBorders>
              <w:top w:val="single" w:sz="4" w:space="0" w:color="000000"/>
              <w:left w:val="single" w:sz="4" w:space="0" w:color="000000"/>
              <w:bottom w:val="single" w:sz="4" w:space="0" w:color="000000"/>
              <w:right w:val="single" w:sz="4" w:space="0" w:color="000000"/>
            </w:tcBorders>
            <w:noWrap/>
            <w:vAlign w:val="center"/>
          </w:tcPr>
          <w:p w14:paraId="6E9AB1E0"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1600</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3FA6D2AA"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7.13</w:t>
            </w:r>
          </w:p>
        </w:tc>
        <w:tc>
          <w:tcPr>
            <w:tcW w:w="981" w:type="dxa"/>
            <w:tcBorders>
              <w:top w:val="single" w:sz="4" w:space="0" w:color="000000"/>
              <w:left w:val="single" w:sz="4" w:space="0" w:color="000000"/>
              <w:bottom w:val="single" w:sz="4" w:space="0" w:color="000000"/>
              <w:right w:val="single" w:sz="4" w:space="0" w:color="000000"/>
            </w:tcBorders>
            <w:noWrap/>
            <w:vAlign w:val="center"/>
          </w:tcPr>
          <w:p w14:paraId="7DEC99FF"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10.43</w:t>
            </w: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78DCCE75"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695</w:t>
            </w:r>
          </w:p>
        </w:tc>
      </w:tr>
      <w:tr w:rsidR="00A67F21" w:rsidRPr="00B12FE0" w14:paraId="0C567E39" w14:textId="77777777">
        <w:trPr>
          <w:trHeight w:val="340"/>
          <w:jc w:val="center"/>
        </w:trPr>
        <w:tc>
          <w:tcPr>
            <w:tcW w:w="704" w:type="dxa"/>
            <w:tcBorders>
              <w:top w:val="single" w:sz="4" w:space="0" w:color="000000"/>
              <w:left w:val="single" w:sz="4" w:space="0" w:color="000000"/>
              <w:bottom w:val="single" w:sz="4" w:space="0" w:color="000000"/>
              <w:right w:val="single" w:sz="4" w:space="0" w:color="000000"/>
            </w:tcBorders>
            <w:noWrap/>
            <w:vAlign w:val="center"/>
          </w:tcPr>
          <w:p w14:paraId="19BD8DAD"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g</w:t>
            </w:r>
            <w:r w:rsidRPr="00B12FE0">
              <w:rPr>
                <w:rFonts w:hint="eastAsia"/>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17F0D98D" w14:textId="77777777" w:rsidR="00A67F21" w:rsidRPr="00B12FE0" w:rsidRDefault="00000000">
            <w:pPr>
              <w:widowControl/>
              <w:autoSpaceDE w:val="0"/>
              <w:autoSpaceDN w:val="0"/>
              <w:adjustRightInd w:val="0"/>
              <w:jc w:val="center"/>
              <w:textAlignment w:val="baseline"/>
              <w:rPr>
                <w:color w:val="000000" w:themeColor="text1"/>
                <w:sz w:val="21"/>
                <w:szCs w:val="21"/>
              </w:rPr>
            </w:pPr>
            <w:r w:rsidRPr="00B12FE0">
              <w:rPr>
                <w:color w:val="000000" w:themeColor="text1"/>
                <w:sz w:val="21"/>
                <w:szCs w:val="21"/>
              </w:rPr>
              <w:t>1.44×10</w:t>
            </w:r>
            <w:r w:rsidRPr="00B12FE0">
              <w:rPr>
                <w:color w:val="000000" w:themeColor="text1"/>
                <w:sz w:val="21"/>
                <w:szCs w:val="21"/>
                <w:vertAlign w:val="superscript"/>
              </w:rPr>
              <w:t>9</w:t>
            </w:r>
            <w:r w:rsidRPr="00B12FE0">
              <w:rPr>
                <w:color w:val="000000" w:themeColor="text1"/>
                <w:sz w:val="21"/>
                <w:szCs w:val="21"/>
              </w:rPr>
              <w:t>（</w:t>
            </w:r>
            <w:r w:rsidRPr="00B12FE0">
              <w:rPr>
                <w:color w:val="000000" w:themeColor="text1"/>
                <w:sz w:val="21"/>
                <w:szCs w:val="21"/>
              </w:rPr>
              <w:t>10MV</w:t>
            </w:r>
            <w:r w:rsidRPr="00B12FE0">
              <w:rPr>
                <w:color w:val="000000" w:themeColor="text1"/>
                <w:sz w:val="21"/>
                <w:szCs w:val="21"/>
              </w:rPr>
              <w: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D6B671"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1.35</w:t>
            </w:r>
            <w:r w:rsidRPr="00B12FE0">
              <w:rPr>
                <w:color w:val="000000" w:themeColor="text1"/>
                <w:kern w:val="0"/>
                <w:sz w:val="21"/>
                <w:szCs w:val="21"/>
              </w:rPr>
              <w:t>×10</w:t>
            </w:r>
            <w:r w:rsidRPr="00B12FE0">
              <w:rPr>
                <w:color w:val="000000" w:themeColor="text1"/>
                <w:kern w:val="0"/>
                <w:sz w:val="21"/>
                <w:szCs w:val="21"/>
                <w:vertAlign w:val="superscript"/>
              </w:rPr>
              <w:t>-3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121B3B8" w14:textId="77777777" w:rsidR="00A67F21" w:rsidRPr="00B12FE0" w:rsidRDefault="00000000">
            <w:pPr>
              <w:widowControl/>
              <w:jc w:val="center"/>
              <w:textAlignment w:val="center"/>
              <w:rPr>
                <w:color w:val="000000" w:themeColor="text1"/>
                <w:sz w:val="21"/>
                <w:szCs w:val="21"/>
              </w:rPr>
            </w:pPr>
            <w:r w:rsidRPr="00B12FE0">
              <w:rPr>
                <w:color w:val="000000" w:themeColor="text1"/>
                <w:sz w:val="21"/>
                <w:szCs w:val="21"/>
              </w:rPr>
              <w:t>2.2</w:t>
            </w:r>
            <w:r w:rsidRPr="00B12FE0">
              <w:rPr>
                <w:color w:val="000000" w:themeColor="text1"/>
                <w:kern w:val="0"/>
                <w:sz w:val="21"/>
                <w:szCs w:val="21"/>
              </w:rPr>
              <w:t>×10</w:t>
            </w:r>
            <w:r w:rsidRPr="00B12FE0">
              <w:rPr>
                <w:color w:val="000000" w:themeColor="text1"/>
                <w:kern w:val="0"/>
                <w:sz w:val="21"/>
                <w:szCs w:val="21"/>
                <w:vertAlign w:val="superscript"/>
              </w:rPr>
              <w:t>-2</w:t>
            </w:r>
          </w:p>
        </w:tc>
        <w:tc>
          <w:tcPr>
            <w:tcW w:w="613" w:type="dxa"/>
            <w:tcBorders>
              <w:top w:val="single" w:sz="4" w:space="0" w:color="000000"/>
              <w:left w:val="single" w:sz="4" w:space="0" w:color="000000"/>
              <w:bottom w:val="single" w:sz="4" w:space="0" w:color="000000"/>
              <w:right w:val="single" w:sz="4" w:space="0" w:color="000000"/>
            </w:tcBorders>
            <w:noWrap/>
            <w:vAlign w:val="center"/>
          </w:tcPr>
          <w:p w14:paraId="04F842D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22.4</w:t>
            </w:r>
          </w:p>
        </w:tc>
        <w:tc>
          <w:tcPr>
            <w:tcW w:w="903" w:type="dxa"/>
            <w:tcBorders>
              <w:top w:val="single" w:sz="4" w:space="0" w:color="000000"/>
              <w:left w:val="single" w:sz="4" w:space="0" w:color="000000"/>
              <w:bottom w:val="single" w:sz="4" w:space="0" w:color="000000"/>
              <w:right w:val="single" w:sz="4" w:space="0" w:color="000000"/>
            </w:tcBorders>
            <w:noWrap/>
            <w:vAlign w:val="center"/>
          </w:tcPr>
          <w:p w14:paraId="4328A691"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1600</w:t>
            </w:r>
          </w:p>
        </w:tc>
        <w:tc>
          <w:tcPr>
            <w:tcW w:w="1027" w:type="dxa"/>
            <w:tcBorders>
              <w:top w:val="single" w:sz="4" w:space="0" w:color="000000"/>
              <w:left w:val="single" w:sz="4" w:space="0" w:color="000000"/>
              <w:bottom w:val="single" w:sz="4" w:space="0" w:color="000000"/>
              <w:right w:val="single" w:sz="4" w:space="0" w:color="000000"/>
            </w:tcBorders>
            <w:noWrap/>
            <w:vAlign w:val="center"/>
          </w:tcPr>
          <w:p w14:paraId="098AEF1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7.42</w:t>
            </w:r>
          </w:p>
        </w:tc>
        <w:tc>
          <w:tcPr>
            <w:tcW w:w="981" w:type="dxa"/>
            <w:tcBorders>
              <w:top w:val="single" w:sz="4" w:space="0" w:color="000000"/>
              <w:left w:val="single" w:sz="4" w:space="0" w:color="000000"/>
              <w:bottom w:val="single" w:sz="4" w:space="0" w:color="000000"/>
              <w:right w:val="single" w:sz="4" w:space="0" w:color="000000"/>
            </w:tcBorders>
            <w:noWrap/>
            <w:vAlign w:val="center"/>
          </w:tcPr>
          <w:p w14:paraId="3201FFF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11.07</w:t>
            </w: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11C6A28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568</w:t>
            </w:r>
          </w:p>
        </w:tc>
      </w:tr>
    </w:tbl>
    <w:p w14:paraId="6D350E5F" w14:textId="77777777" w:rsidR="00A67F21" w:rsidRPr="00B12FE0" w:rsidRDefault="00000000">
      <w:pPr>
        <w:pStyle w:val="affffd"/>
        <w:adjustRightInd w:val="0"/>
        <w:snapToGrid w:val="0"/>
        <w:spacing w:line="360" w:lineRule="auto"/>
        <w:ind w:firstLineChars="200" w:firstLine="482"/>
        <w:textAlignment w:val="baseline"/>
        <w:rPr>
          <w:rFonts w:ascii="Times New Roman"/>
          <w:b/>
          <w:color w:val="000000" w:themeColor="text1"/>
          <w:sz w:val="24"/>
        </w:rPr>
      </w:pPr>
      <w:r w:rsidRPr="00B12FE0">
        <w:rPr>
          <w:rFonts w:ascii="Times New Roman"/>
          <w:b/>
          <w:color w:val="000000" w:themeColor="text1"/>
          <w:sz w:val="24"/>
          <w:szCs w:val="24"/>
        </w:rPr>
        <w:t>C</w:t>
      </w:r>
      <w:r w:rsidRPr="00B12FE0">
        <w:rPr>
          <w:rFonts w:ascii="Times New Roman"/>
          <w:b/>
          <w:color w:val="000000" w:themeColor="text1"/>
          <w:sz w:val="24"/>
          <w:szCs w:val="24"/>
        </w:rPr>
        <w:t>、防护门外辐射剂量率计算</w:t>
      </w:r>
    </w:p>
    <w:p w14:paraId="27753F29" w14:textId="77777777" w:rsidR="00A67F21" w:rsidRPr="00B12FE0" w:rsidRDefault="00000000">
      <w:pPr>
        <w:pStyle w:val="affffd"/>
        <w:adjustRightInd w:val="0"/>
        <w:snapToGrid w:val="0"/>
        <w:spacing w:line="360" w:lineRule="auto"/>
        <w:ind w:firstLineChars="200" w:firstLine="480"/>
        <w:textAlignment w:val="baseline"/>
        <w:rPr>
          <w:rFonts w:ascii="Times New Roman"/>
          <w:color w:val="000000" w:themeColor="text1"/>
          <w:sz w:val="24"/>
        </w:rPr>
      </w:pPr>
      <w:r w:rsidRPr="00B12FE0">
        <w:rPr>
          <w:rFonts w:ascii="Times New Roman"/>
          <w:color w:val="000000" w:themeColor="text1"/>
          <w:sz w:val="24"/>
          <w:szCs w:val="24"/>
        </w:rPr>
        <w:t>在给定防护门的铅屏蔽厚度</w:t>
      </w:r>
      <w:r w:rsidRPr="00B12FE0">
        <w:rPr>
          <w:rFonts w:ascii="Times New Roman"/>
          <w:color w:val="000000" w:themeColor="text1"/>
          <w:sz w:val="24"/>
          <w:szCs w:val="24"/>
        </w:rPr>
        <w:t>X</w:t>
      </w:r>
      <w:r w:rsidRPr="00B12FE0">
        <w:rPr>
          <w:rFonts w:ascii="Times New Roman"/>
          <w:color w:val="000000" w:themeColor="text1"/>
          <w:sz w:val="24"/>
          <w:szCs w:val="24"/>
        </w:rPr>
        <w:t>（</w:t>
      </w:r>
      <w:r w:rsidRPr="00B12FE0">
        <w:rPr>
          <w:rFonts w:ascii="Times New Roman"/>
          <w:color w:val="000000" w:themeColor="text1"/>
          <w:sz w:val="24"/>
          <w:szCs w:val="24"/>
        </w:rPr>
        <w:t>cm</w:t>
      </w:r>
      <w:r w:rsidRPr="00B12FE0">
        <w:rPr>
          <w:rFonts w:ascii="Times New Roman"/>
          <w:color w:val="000000" w:themeColor="text1"/>
          <w:sz w:val="24"/>
          <w:szCs w:val="24"/>
        </w:rPr>
        <w:t>）时，防护门外的辐射剂量率</w:t>
      </w:r>
      <m:oMath>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H</m:t>
            </m:r>
          </m:e>
        </m:acc>
      </m:oMath>
      <w:r w:rsidRPr="00B12FE0">
        <w:rPr>
          <w:rFonts w:ascii="Times New Roman"/>
          <w:color w:val="000000" w:themeColor="text1"/>
          <w:sz w:val="24"/>
          <w:szCs w:val="24"/>
        </w:rPr>
        <w:t>（</w:t>
      </w:r>
      <w:proofErr w:type="spellStart"/>
      <w:r w:rsidRPr="00B12FE0">
        <w:rPr>
          <w:rFonts w:ascii="Times New Roman"/>
          <w:color w:val="000000" w:themeColor="text1"/>
          <w:sz w:val="24"/>
          <w:szCs w:val="24"/>
        </w:rPr>
        <w:t>μSv</w:t>
      </w:r>
      <w:proofErr w:type="spellEnd"/>
      <w:r w:rsidRPr="00B12FE0">
        <w:rPr>
          <w:rFonts w:ascii="Times New Roman"/>
          <w:color w:val="000000" w:themeColor="text1"/>
          <w:sz w:val="24"/>
          <w:szCs w:val="24"/>
        </w:rPr>
        <w:t>/h</w:t>
      </w:r>
      <w:r w:rsidRPr="00B12FE0">
        <w:rPr>
          <w:rFonts w:ascii="Times New Roman"/>
          <w:color w:val="000000" w:themeColor="text1"/>
          <w:sz w:val="24"/>
          <w:szCs w:val="24"/>
        </w:rPr>
        <w:t>）按下式计算：</w:t>
      </w:r>
    </w:p>
    <w:p w14:paraId="5804CA0E" w14:textId="77777777" w:rsidR="00A67F21" w:rsidRPr="00B12FE0" w:rsidRDefault="00000000">
      <w:pPr>
        <w:spacing w:line="360" w:lineRule="auto"/>
        <w:jc w:val="center"/>
        <w:rPr>
          <w:color w:val="000000" w:themeColor="text1"/>
        </w:rPr>
      </w:pPr>
      <m:oMath>
        <m:acc>
          <m:accPr>
            <m:chr m:val="̇"/>
            <m:ctrlPr>
              <w:rPr>
                <w:rFonts w:ascii="Cambria Math" w:hAnsi="Cambria Math"/>
                <w:i/>
                <w:color w:val="000000" w:themeColor="text1"/>
              </w:rPr>
            </m:ctrlPr>
          </m:accPr>
          <m:e>
            <m:r>
              <w:rPr>
                <w:rFonts w:ascii="Cambria Math" w:hAnsi="Cambria Math"/>
                <w:color w:val="000000" w:themeColor="text1"/>
                <w:kern w:val="0"/>
              </w:rPr>
              <m:t>H</m:t>
            </m:r>
          </m:e>
        </m:acc>
        <m:r>
          <w:rPr>
            <w:rFonts w:ascii="Cambria Math" w:hAnsi="Cambria Math"/>
            <w:color w:val="000000" w:themeColor="text1"/>
            <w:kern w:val="0"/>
          </w:rPr>
          <m:t>=</m:t>
        </m:r>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kern w:val="0"/>
                  </w:rPr>
                  <m:t>H</m:t>
                </m:r>
              </m:e>
              <m:sub>
                <m:r>
                  <w:rPr>
                    <w:rFonts w:ascii="Cambria Math" w:hAnsi="Cambria Math"/>
                    <w:color w:val="000000" w:themeColor="text1"/>
                    <w:kern w:val="0"/>
                  </w:rPr>
                  <m:t>g</m:t>
                </m:r>
              </m:sub>
            </m:sSub>
          </m:e>
        </m:acc>
        <m:r>
          <w:rPr>
            <w:rFonts w:ascii="Cambria Math" w:hAnsi="Cambria Math"/>
            <w:color w:val="000000" w:themeColor="text1"/>
            <w:kern w:val="0"/>
          </w:rPr>
          <m:t>∙</m:t>
        </m:r>
        <m:sSup>
          <m:sSupPr>
            <m:ctrlPr>
              <w:rPr>
                <w:rFonts w:ascii="Cambria Math" w:hAnsi="Cambria Math"/>
                <w:i/>
                <w:color w:val="000000" w:themeColor="text1"/>
                <w:kern w:val="0"/>
              </w:rPr>
            </m:ctrlPr>
          </m:sSupPr>
          <m:e>
            <m:r>
              <w:rPr>
                <w:rFonts w:ascii="Cambria Math" w:hAnsi="Cambria Math"/>
                <w:color w:val="000000" w:themeColor="text1"/>
                <w:kern w:val="0"/>
              </w:rPr>
              <m:t>10</m:t>
            </m:r>
          </m:e>
          <m:sup>
            <m:r>
              <w:rPr>
                <w:rFonts w:ascii="Cambria Math" w:hAnsi="Cambria Math"/>
                <w:color w:val="000000" w:themeColor="text1"/>
                <w:kern w:val="0"/>
              </w:rPr>
              <m:t>-(</m:t>
            </m:r>
            <m:f>
              <m:fPr>
                <m:ctrlPr>
                  <w:rPr>
                    <w:rFonts w:ascii="Cambria Math" w:hAnsi="Cambria Math"/>
                    <w:i/>
                    <w:color w:val="000000" w:themeColor="text1"/>
                    <w:kern w:val="0"/>
                  </w:rPr>
                </m:ctrlPr>
              </m:fPr>
              <m:num>
                <m:r>
                  <w:rPr>
                    <w:rFonts w:ascii="Cambria Math" w:hAnsi="Cambria Math"/>
                    <w:color w:val="000000" w:themeColor="text1"/>
                    <w:kern w:val="0"/>
                  </w:rPr>
                  <m:t>X</m:t>
                </m:r>
              </m:num>
              <m:den>
                <m:r>
                  <w:rPr>
                    <w:rFonts w:ascii="Cambria Math" w:hAnsi="Cambria Math"/>
                    <w:color w:val="000000" w:themeColor="text1"/>
                    <w:kern w:val="0"/>
                  </w:rPr>
                  <m:t>TVL</m:t>
                </m:r>
              </m:den>
            </m:f>
            <m:r>
              <w:rPr>
                <w:rFonts w:ascii="Cambria Math" w:hAnsi="Cambria Math"/>
                <w:color w:val="000000" w:themeColor="text1"/>
                <w:kern w:val="0"/>
              </w:rPr>
              <m:t>)</m:t>
            </m:r>
          </m:sup>
        </m:sSup>
        <m:r>
          <w:rPr>
            <w:rFonts w:ascii="Cambria Math" w:hAnsi="Cambria Math"/>
            <w:color w:val="000000" w:themeColor="text1"/>
            <w:kern w:val="0"/>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kern w:val="0"/>
                  </w:rPr>
                  <m:t>H</m:t>
                </m:r>
              </m:e>
            </m:acc>
          </m:e>
          <m:sub>
            <m:r>
              <w:rPr>
                <w:rFonts w:ascii="Cambria Math" w:hAnsi="Cambria Math"/>
                <w:color w:val="000000" w:themeColor="text1"/>
                <w:kern w:val="0"/>
              </w:rPr>
              <m:t>og</m:t>
            </m:r>
          </m:sub>
        </m:sSub>
      </m:oMath>
      <w:r w:rsidRPr="00B12FE0">
        <w:rPr>
          <w:color w:val="000000" w:themeColor="text1"/>
          <w:szCs w:val="24"/>
        </w:rPr>
        <w:t xml:space="preserve">        </w:t>
      </w:r>
      <w:r w:rsidRPr="00B12FE0">
        <w:rPr>
          <w:color w:val="000000" w:themeColor="text1"/>
          <w:szCs w:val="24"/>
        </w:rPr>
        <w:t>（式</w:t>
      </w:r>
      <w:r w:rsidRPr="00B12FE0">
        <w:rPr>
          <w:color w:val="000000" w:themeColor="text1"/>
          <w:szCs w:val="24"/>
        </w:rPr>
        <w:t>11.2.2.1-9</w:t>
      </w:r>
      <w:r w:rsidRPr="00B12FE0">
        <w:rPr>
          <w:color w:val="000000" w:themeColor="text1"/>
          <w:szCs w:val="24"/>
        </w:rPr>
        <w:t>）</w:t>
      </w:r>
    </w:p>
    <w:p w14:paraId="4AC863D6" w14:textId="77777777" w:rsidR="00A67F21" w:rsidRPr="00B12FE0" w:rsidRDefault="00000000">
      <w:pPr>
        <w:spacing w:line="360" w:lineRule="auto"/>
        <w:ind w:firstLine="480"/>
        <w:rPr>
          <w:color w:val="000000" w:themeColor="text1"/>
        </w:rPr>
      </w:pPr>
      <w:r w:rsidRPr="00B12FE0">
        <w:rPr>
          <w:color w:val="000000" w:themeColor="text1"/>
          <w:szCs w:val="24"/>
        </w:rPr>
        <w:t>式中：</w:t>
      </w:r>
    </w:p>
    <w:p w14:paraId="04AAE00A" w14:textId="77777777" w:rsidR="00A67F21" w:rsidRPr="00B12FE0" w:rsidRDefault="00000000">
      <w:pPr>
        <w:spacing w:line="360" w:lineRule="auto"/>
        <w:ind w:firstLine="480"/>
        <w:rPr>
          <w:color w:val="000000" w:themeColor="text1"/>
          <w:kern w:val="0"/>
        </w:rPr>
      </w:pPr>
      <m:oMath>
        <m:acc>
          <m:accPr>
            <m:chr m:val="̇"/>
            <m:ctrlPr>
              <w:rPr>
                <w:rFonts w:ascii="Cambria Math" w:hAnsi="Cambria Math"/>
                <w:i/>
                <w:color w:val="000000" w:themeColor="text1"/>
                <w:kern w:val="0"/>
                <w:szCs w:val="24"/>
              </w:rPr>
            </m:ctrlPr>
          </m:accPr>
          <m:e>
            <m:r>
              <w:rPr>
                <w:rFonts w:ascii="Cambria Math" w:hAnsi="Cambria Math"/>
                <w:color w:val="000000" w:themeColor="text1"/>
                <w:kern w:val="0"/>
                <w:szCs w:val="24"/>
              </w:rPr>
              <m:t>H</m:t>
            </m:r>
          </m:e>
        </m:acc>
      </m:oMath>
      <w:r w:rsidRPr="00B12FE0">
        <w:rPr>
          <w:color w:val="000000" w:themeColor="text1"/>
          <w:szCs w:val="24"/>
        </w:rPr>
        <w:t>—</w:t>
      </w:r>
      <w:r w:rsidRPr="00B12FE0">
        <w:rPr>
          <w:color w:val="000000" w:themeColor="text1"/>
          <w:szCs w:val="24"/>
        </w:rPr>
        <w:t>防护门外的辐射剂量率，</w:t>
      </w:r>
      <w:proofErr w:type="spellStart"/>
      <w:r w:rsidRPr="00B12FE0">
        <w:rPr>
          <w:color w:val="000000" w:themeColor="text1"/>
          <w:kern w:val="0"/>
          <w:szCs w:val="24"/>
        </w:rPr>
        <w:t>μSv</w:t>
      </w:r>
      <w:proofErr w:type="spellEnd"/>
      <w:r w:rsidRPr="00B12FE0">
        <w:rPr>
          <w:color w:val="000000" w:themeColor="text1"/>
          <w:kern w:val="0"/>
          <w:szCs w:val="24"/>
        </w:rPr>
        <w:t>/h</w:t>
      </w:r>
      <w:r w:rsidRPr="00B12FE0">
        <w:rPr>
          <w:color w:val="000000" w:themeColor="text1"/>
          <w:kern w:val="0"/>
          <w:szCs w:val="24"/>
        </w:rPr>
        <w:t>；</w:t>
      </w:r>
    </w:p>
    <w:p w14:paraId="2A618433" w14:textId="77777777" w:rsidR="00A67F21" w:rsidRPr="00B12FE0" w:rsidRDefault="00000000">
      <w:pPr>
        <w:spacing w:line="360" w:lineRule="auto"/>
        <w:ind w:firstLine="480"/>
        <w:rPr>
          <w:color w:val="000000" w:themeColor="text1"/>
          <w:kern w:val="0"/>
        </w:rPr>
      </w:pPr>
      <m:oMath>
        <m:sSub>
          <m:sSubPr>
            <m:ctrlPr>
              <w:rPr>
                <w:rFonts w:ascii="Cambria Math" w:hAnsi="Cambria Math"/>
                <w:i/>
                <w:color w:val="000000" w:themeColor="text1"/>
                <w:szCs w:val="24"/>
              </w:rPr>
            </m:ctrlPr>
          </m:sSubPr>
          <m:e>
            <m:acc>
              <m:accPr>
                <m:chr m:val="̇"/>
                <m:ctrlPr>
                  <w:rPr>
                    <w:rFonts w:ascii="Cambria Math" w:hAnsi="Cambria Math"/>
                    <w:i/>
                    <w:color w:val="000000" w:themeColor="text1"/>
                    <w:szCs w:val="24"/>
                  </w:rPr>
                </m:ctrlPr>
              </m:accPr>
              <m:e>
                <m:r>
                  <w:rPr>
                    <w:rFonts w:ascii="Cambria Math" w:hAnsi="Cambria Math"/>
                    <w:color w:val="000000" w:themeColor="text1"/>
                    <w:szCs w:val="24"/>
                  </w:rPr>
                  <m:t>H</m:t>
                </m:r>
              </m:e>
            </m:acc>
          </m:e>
          <m:sub>
            <m:r>
              <w:rPr>
                <w:rFonts w:ascii="Cambria Math" w:hAnsi="Cambria Math"/>
                <w:color w:val="000000" w:themeColor="text1"/>
                <w:szCs w:val="24"/>
              </w:rPr>
              <m:t>g</m:t>
            </m:r>
          </m:sub>
        </m:sSub>
      </m:oMath>
      <w:r w:rsidRPr="00B12FE0">
        <w:rPr>
          <w:color w:val="000000" w:themeColor="text1"/>
          <w:kern w:val="0"/>
          <w:szCs w:val="24"/>
        </w:rPr>
        <w:t>—</w:t>
      </w:r>
      <w:r w:rsidRPr="00B12FE0">
        <w:rPr>
          <w:color w:val="000000" w:themeColor="text1"/>
          <w:szCs w:val="24"/>
        </w:rPr>
        <w:t>g</w:t>
      </w:r>
      <w:r w:rsidRPr="00B12FE0">
        <w:rPr>
          <w:color w:val="000000" w:themeColor="text1"/>
          <w:szCs w:val="24"/>
        </w:rPr>
        <w:t>处的散射辐射剂量率，</w:t>
      </w:r>
      <w:proofErr w:type="spellStart"/>
      <w:r w:rsidRPr="00B12FE0">
        <w:rPr>
          <w:color w:val="000000" w:themeColor="text1"/>
          <w:kern w:val="0"/>
          <w:szCs w:val="24"/>
        </w:rPr>
        <w:t>μSv</w:t>
      </w:r>
      <w:proofErr w:type="spellEnd"/>
      <w:r w:rsidRPr="00B12FE0">
        <w:rPr>
          <w:color w:val="000000" w:themeColor="text1"/>
          <w:kern w:val="0"/>
          <w:szCs w:val="24"/>
        </w:rPr>
        <w:t>/h</w:t>
      </w:r>
      <w:r w:rsidRPr="00B12FE0">
        <w:rPr>
          <w:color w:val="000000" w:themeColor="text1"/>
          <w:kern w:val="0"/>
          <w:szCs w:val="24"/>
        </w:rPr>
        <w:t>；</w:t>
      </w:r>
    </w:p>
    <w:p w14:paraId="7A196494" w14:textId="77777777" w:rsidR="00A67F21" w:rsidRPr="00B12FE0" w:rsidRDefault="00000000">
      <w:pPr>
        <w:spacing w:line="360" w:lineRule="auto"/>
        <w:ind w:firstLine="480"/>
        <w:rPr>
          <w:color w:val="000000" w:themeColor="text1"/>
          <w:kern w:val="0"/>
        </w:rPr>
      </w:pPr>
      <m:oMath>
        <m:sSub>
          <m:sSubPr>
            <m:ctrlPr>
              <w:rPr>
                <w:rFonts w:ascii="Cambria Math" w:hAnsi="Cambria Math"/>
                <w:i/>
                <w:color w:val="000000" w:themeColor="text1"/>
                <w:szCs w:val="24"/>
              </w:rPr>
            </m:ctrlPr>
          </m:sSubPr>
          <m:e>
            <m:acc>
              <m:accPr>
                <m:chr m:val="̇"/>
                <m:ctrlPr>
                  <w:rPr>
                    <w:rFonts w:ascii="Cambria Math" w:hAnsi="Cambria Math"/>
                    <w:i/>
                    <w:color w:val="000000" w:themeColor="text1"/>
                    <w:szCs w:val="24"/>
                  </w:rPr>
                </m:ctrlPr>
              </m:accPr>
              <m:e>
                <m:r>
                  <w:rPr>
                    <w:rFonts w:ascii="Cambria Math" w:hAnsi="Cambria Math"/>
                    <w:color w:val="000000" w:themeColor="text1"/>
                    <w:szCs w:val="24"/>
                  </w:rPr>
                  <m:t>H</m:t>
                </m:r>
              </m:e>
            </m:acc>
          </m:e>
          <m:sub>
            <m:r>
              <w:rPr>
                <w:rFonts w:ascii="Cambria Math" w:hAnsi="Cambria Math"/>
                <w:color w:val="000000" w:themeColor="text1"/>
                <w:szCs w:val="24"/>
              </w:rPr>
              <m:t>og</m:t>
            </m:r>
          </m:sub>
        </m:sSub>
      </m:oMath>
      <w:r w:rsidRPr="00B12FE0">
        <w:rPr>
          <w:color w:val="000000" w:themeColor="text1"/>
          <w:kern w:val="0"/>
          <w:szCs w:val="24"/>
        </w:rPr>
        <w:t>—</w:t>
      </w:r>
      <w:r w:rsidRPr="00B12FE0">
        <w:rPr>
          <w:color w:val="000000" w:themeColor="text1"/>
          <w:szCs w:val="24"/>
        </w:rPr>
        <w:t>g</w:t>
      </w:r>
      <w:r w:rsidRPr="00B12FE0">
        <w:rPr>
          <w:color w:val="000000" w:themeColor="text1"/>
          <w:szCs w:val="24"/>
        </w:rPr>
        <w:t>处的泄漏辐射剂量率，</w:t>
      </w:r>
      <w:proofErr w:type="spellStart"/>
      <w:r w:rsidRPr="00B12FE0">
        <w:rPr>
          <w:color w:val="000000" w:themeColor="text1"/>
          <w:kern w:val="0"/>
          <w:szCs w:val="24"/>
        </w:rPr>
        <w:t>μSv</w:t>
      </w:r>
      <w:proofErr w:type="spellEnd"/>
      <w:r w:rsidRPr="00B12FE0">
        <w:rPr>
          <w:color w:val="000000" w:themeColor="text1"/>
          <w:kern w:val="0"/>
          <w:szCs w:val="24"/>
        </w:rPr>
        <w:t>/h</w:t>
      </w:r>
      <w:r w:rsidRPr="00B12FE0">
        <w:rPr>
          <w:color w:val="000000" w:themeColor="text1"/>
          <w:kern w:val="0"/>
          <w:szCs w:val="24"/>
        </w:rPr>
        <w:t>；</w:t>
      </w:r>
    </w:p>
    <w:p w14:paraId="3B34699E" w14:textId="77777777" w:rsidR="00A67F21" w:rsidRPr="00B12FE0" w:rsidRDefault="00000000">
      <w:pPr>
        <w:spacing w:line="360" w:lineRule="auto"/>
        <w:ind w:firstLine="480"/>
        <w:rPr>
          <w:color w:val="000000" w:themeColor="text1"/>
          <w:kern w:val="0"/>
        </w:rPr>
      </w:pPr>
      <w:r w:rsidRPr="00B12FE0">
        <w:rPr>
          <w:iCs/>
          <w:color w:val="000000" w:themeColor="text1"/>
          <w:kern w:val="0"/>
          <w:szCs w:val="24"/>
        </w:rPr>
        <w:t>X</w:t>
      </w:r>
      <w:r w:rsidRPr="00B12FE0">
        <w:rPr>
          <w:color w:val="000000" w:themeColor="text1"/>
          <w:kern w:val="0"/>
          <w:szCs w:val="24"/>
        </w:rPr>
        <w:t>—</w:t>
      </w:r>
      <w:r w:rsidRPr="00B12FE0">
        <w:rPr>
          <w:color w:val="000000" w:themeColor="text1"/>
          <w:kern w:val="0"/>
          <w:szCs w:val="24"/>
        </w:rPr>
        <w:t>防护门厚度，</w:t>
      </w:r>
      <w:r w:rsidRPr="00B12FE0">
        <w:rPr>
          <w:color w:val="000000" w:themeColor="text1"/>
          <w:kern w:val="0"/>
          <w:szCs w:val="24"/>
        </w:rPr>
        <w:t>mm</w:t>
      </w:r>
      <w:r w:rsidRPr="00B12FE0">
        <w:rPr>
          <w:color w:val="000000" w:themeColor="text1"/>
          <w:kern w:val="0"/>
          <w:szCs w:val="24"/>
        </w:rPr>
        <w:t>；</w:t>
      </w:r>
    </w:p>
    <w:p w14:paraId="64C4A2F2" w14:textId="77777777" w:rsidR="00A67F21" w:rsidRPr="00B12FE0" w:rsidRDefault="00000000">
      <w:pPr>
        <w:pStyle w:val="affffd"/>
        <w:adjustRightInd w:val="0"/>
        <w:snapToGrid w:val="0"/>
        <w:spacing w:line="360" w:lineRule="auto"/>
        <w:ind w:firstLineChars="200" w:firstLine="480"/>
        <w:textAlignment w:val="baseline"/>
        <w:rPr>
          <w:rFonts w:ascii="Times New Roman"/>
          <w:color w:val="000000" w:themeColor="text1"/>
          <w:sz w:val="24"/>
        </w:rPr>
      </w:pPr>
      <w:r w:rsidRPr="00B12FE0">
        <w:rPr>
          <w:rFonts w:ascii="Times New Roman"/>
          <w:iCs/>
          <w:color w:val="000000" w:themeColor="text1"/>
          <w:sz w:val="24"/>
          <w:szCs w:val="24"/>
        </w:rPr>
        <w:t>TVL</w:t>
      </w:r>
      <w:r w:rsidRPr="00B12FE0">
        <w:rPr>
          <w:rFonts w:ascii="Times New Roman"/>
          <w:color w:val="000000" w:themeColor="text1"/>
          <w:sz w:val="24"/>
          <w:szCs w:val="24"/>
        </w:rPr>
        <w:t>—</w:t>
      </w:r>
      <w:proofErr w:type="gramStart"/>
      <w:r w:rsidRPr="00B12FE0">
        <w:rPr>
          <w:rFonts w:ascii="Times New Roman"/>
          <w:color w:val="000000" w:themeColor="text1"/>
          <w:sz w:val="24"/>
          <w:szCs w:val="24"/>
        </w:rPr>
        <w:t>十分之一值层厚度</w:t>
      </w:r>
      <w:proofErr w:type="gramEnd"/>
      <w:r w:rsidRPr="00B12FE0">
        <w:rPr>
          <w:rFonts w:ascii="Times New Roman"/>
          <w:color w:val="000000" w:themeColor="text1"/>
          <w:sz w:val="24"/>
          <w:szCs w:val="24"/>
        </w:rPr>
        <w:t>，</w:t>
      </w:r>
      <w:r w:rsidRPr="00B12FE0">
        <w:rPr>
          <w:rFonts w:ascii="Times New Roman"/>
          <w:color w:val="000000" w:themeColor="text1"/>
          <w:sz w:val="24"/>
          <w:szCs w:val="24"/>
        </w:rPr>
        <w:t>cm</w:t>
      </w:r>
      <w:r w:rsidRPr="00B12FE0">
        <w:rPr>
          <w:rFonts w:ascii="Times New Roman"/>
          <w:color w:val="000000" w:themeColor="text1"/>
          <w:sz w:val="24"/>
          <w:szCs w:val="24"/>
        </w:rPr>
        <w:t>；在</w:t>
      </w:r>
      <w:r w:rsidRPr="00B12FE0">
        <w:rPr>
          <w:rFonts w:ascii="Times New Roman"/>
          <w:color w:val="000000" w:themeColor="text1"/>
          <w:sz w:val="24"/>
          <w:szCs w:val="24"/>
        </w:rPr>
        <w:t>g</w:t>
      </w:r>
      <w:r w:rsidRPr="00B12FE0">
        <w:rPr>
          <w:rFonts w:ascii="Times New Roman"/>
          <w:color w:val="000000" w:themeColor="text1"/>
          <w:sz w:val="24"/>
          <w:szCs w:val="24"/>
        </w:rPr>
        <w:t>处散射的辐射能量约</w:t>
      </w:r>
      <w:r w:rsidRPr="00B12FE0">
        <w:rPr>
          <w:rFonts w:ascii="Times New Roman"/>
          <w:color w:val="000000" w:themeColor="text1"/>
          <w:sz w:val="24"/>
          <w:szCs w:val="24"/>
        </w:rPr>
        <w:t>0.2MeV</w:t>
      </w:r>
      <w:r w:rsidRPr="00B12FE0">
        <w:rPr>
          <w:rFonts w:ascii="Times New Roman"/>
          <w:color w:val="000000" w:themeColor="text1"/>
          <w:sz w:val="24"/>
          <w:szCs w:val="24"/>
        </w:rPr>
        <w:t>，铅中的</w:t>
      </w:r>
      <w:r w:rsidRPr="00B12FE0">
        <w:rPr>
          <w:rFonts w:ascii="Times New Roman"/>
          <w:color w:val="000000" w:themeColor="text1"/>
          <w:sz w:val="24"/>
          <w:szCs w:val="24"/>
        </w:rPr>
        <w:t>TVL</w:t>
      </w:r>
      <w:r w:rsidRPr="00B12FE0">
        <w:rPr>
          <w:rFonts w:ascii="Times New Roman"/>
          <w:color w:val="000000" w:themeColor="text1"/>
          <w:sz w:val="24"/>
          <w:szCs w:val="24"/>
        </w:rPr>
        <w:t>为</w:t>
      </w:r>
      <w:r w:rsidRPr="00B12FE0">
        <w:rPr>
          <w:rFonts w:ascii="Times New Roman"/>
          <w:color w:val="000000" w:themeColor="text1"/>
          <w:sz w:val="24"/>
          <w:szCs w:val="24"/>
        </w:rPr>
        <w:t>0.5cm</w:t>
      </w:r>
      <w:r w:rsidRPr="00B12FE0">
        <w:rPr>
          <w:rFonts w:ascii="Times New Roman"/>
          <w:color w:val="000000" w:themeColor="text1"/>
          <w:sz w:val="24"/>
          <w:szCs w:val="24"/>
        </w:rPr>
        <w:t>。</w:t>
      </w:r>
    </w:p>
    <w:p w14:paraId="66AC01DE" w14:textId="77777777" w:rsidR="00A67F21" w:rsidRPr="00B12FE0" w:rsidRDefault="00000000">
      <w:pPr>
        <w:autoSpaceDE w:val="0"/>
        <w:adjustRightInd w:val="0"/>
        <w:snapToGrid w:val="0"/>
        <w:spacing w:line="360" w:lineRule="auto"/>
        <w:jc w:val="center"/>
        <w:rPr>
          <w:b/>
          <w:bCs/>
          <w:color w:val="000000" w:themeColor="text1"/>
          <w:kern w:val="0"/>
        </w:rPr>
      </w:pPr>
      <w:r w:rsidRPr="00B12FE0">
        <w:rPr>
          <w:b/>
          <w:bCs/>
          <w:color w:val="000000" w:themeColor="text1"/>
          <w:kern w:val="0"/>
          <w:sz w:val="21"/>
          <w:szCs w:val="21"/>
        </w:rPr>
        <w:t>表</w:t>
      </w:r>
      <w:r w:rsidRPr="00B12FE0">
        <w:rPr>
          <w:b/>
          <w:bCs/>
          <w:color w:val="000000" w:themeColor="text1"/>
          <w:sz w:val="21"/>
          <w:szCs w:val="21"/>
        </w:rPr>
        <w:t xml:space="preserve">11.2.2.1-13  </w:t>
      </w:r>
      <w:r w:rsidRPr="00B12FE0">
        <w:rPr>
          <w:b/>
          <w:bCs/>
          <w:color w:val="000000" w:themeColor="text1"/>
          <w:kern w:val="0"/>
          <w:sz w:val="21"/>
          <w:szCs w:val="21"/>
        </w:rPr>
        <w:t>防护门外的辐射剂量率计算参数及结果</w:t>
      </w:r>
    </w:p>
    <w:tbl>
      <w:tblPr>
        <w:tblW w:w="8800" w:type="dxa"/>
        <w:jc w:val="center"/>
        <w:tblLayout w:type="fixed"/>
        <w:tblLook w:val="04A0" w:firstRow="1" w:lastRow="0" w:firstColumn="1" w:lastColumn="0" w:noHBand="0" w:noVBand="1"/>
      </w:tblPr>
      <w:tblGrid>
        <w:gridCol w:w="1548"/>
        <w:gridCol w:w="1436"/>
        <w:gridCol w:w="1507"/>
        <w:gridCol w:w="1436"/>
        <w:gridCol w:w="1436"/>
        <w:gridCol w:w="1437"/>
      </w:tblGrid>
      <w:tr w:rsidR="00A67F21" w:rsidRPr="00B12FE0" w14:paraId="73529B82" w14:textId="77777777">
        <w:trPr>
          <w:trHeight w:val="340"/>
          <w:jc w:val="center"/>
        </w:trPr>
        <w:tc>
          <w:tcPr>
            <w:tcW w:w="1548" w:type="dxa"/>
            <w:tcBorders>
              <w:top w:val="single" w:sz="4" w:space="0" w:color="000000"/>
              <w:left w:val="single" w:sz="4" w:space="0" w:color="000000"/>
              <w:bottom w:val="single" w:sz="4" w:space="0" w:color="000000"/>
              <w:right w:val="single" w:sz="4" w:space="0" w:color="000000"/>
            </w:tcBorders>
            <w:vAlign w:val="center"/>
          </w:tcPr>
          <w:p w14:paraId="6FD08753"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关注点</w:t>
            </w:r>
          </w:p>
        </w:tc>
        <w:tc>
          <w:tcPr>
            <w:tcW w:w="1436" w:type="dxa"/>
            <w:tcBorders>
              <w:top w:val="single" w:sz="4" w:space="0" w:color="000000"/>
              <w:left w:val="single" w:sz="4" w:space="0" w:color="000000"/>
              <w:bottom w:val="single" w:sz="4" w:space="0" w:color="000000"/>
              <w:right w:val="single" w:sz="4" w:space="0" w:color="000000"/>
            </w:tcBorders>
            <w:vAlign w:val="center"/>
          </w:tcPr>
          <w:p w14:paraId="2DE467A6" w14:textId="77777777" w:rsidR="00A67F21" w:rsidRPr="00B12FE0" w:rsidRDefault="00000000">
            <w:pPr>
              <w:widowControl/>
              <w:jc w:val="center"/>
              <w:textAlignment w:val="center"/>
              <w:rPr>
                <w:bCs/>
                <w:color w:val="000000" w:themeColor="text1"/>
                <w:szCs w:val="21"/>
              </w:rPr>
            </w:pPr>
            <m:oMathPara>
              <m:oMath>
                <m:sSub>
                  <m:sSubPr>
                    <m:ctrlPr>
                      <w:rPr>
                        <w:rFonts w:ascii="Cambria Math" w:hAnsi="Cambria Math"/>
                        <w:bCs/>
                        <w:color w:val="000000" w:themeColor="text1"/>
                        <w:sz w:val="21"/>
                        <w:szCs w:val="21"/>
                      </w:rPr>
                    </m:ctrlPr>
                  </m:sSubPr>
                  <m:e>
                    <m:acc>
                      <m:accPr>
                        <m:chr m:val="̇"/>
                        <m:ctrlPr>
                          <w:rPr>
                            <w:rFonts w:ascii="Cambria Math" w:hAnsi="Cambria Math"/>
                            <w:bCs/>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g</m:t>
                    </m:r>
                  </m:sub>
                </m:sSub>
              </m:oMath>
            </m:oMathPara>
          </w:p>
          <w:p w14:paraId="2E6925BF"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w:t>
            </w:r>
            <w:proofErr w:type="spellStart"/>
            <w:r w:rsidRPr="00B12FE0">
              <w:rPr>
                <w:snapToGrid w:val="0"/>
                <w:color w:val="000000" w:themeColor="text1"/>
                <w:kern w:val="0"/>
                <w:sz w:val="21"/>
                <w:szCs w:val="21"/>
                <w:lang w:bidi="ar"/>
              </w:rPr>
              <w:t>μSv</w:t>
            </w:r>
            <w:proofErr w:type="spellEnd"/>
            <w:r w:rsidRPr="00B12FE0">
              <w:rPr>
                <w:snapToGrid w:val="0"/>
                <w:color w:val="000000" w:themeColor="text1"/>
                <w:kern w:val="0"/>
                <w:sz w:val="21"/>
                <w:szCs w:val="21"/>
                <w:lang w:bidi="ar"/>
              </w:rPr>
              <w:t>/h)</w:t>
            </w:r>
          </w:p>
        </w:tc>
        <w:tc>
          <w:tcPr>
            <w:tcW w:w="1507" w:type="dxa"/>
            <w:tcBorders>
              <w:top w:val="single" w:sz="4" w:space="0" w:color="000000"/>
              <w:left w:val="single" w:sz="4" w:space="0" w:color="000000"/>
              <w:right w:val="single" w:sz="4" w:space="0" w:color="000000"/>
            </w:tcBorders>
            <w:vAlign w:val="center"/>
          </w:tcPr>
          <w:p w14:paraId="12D9CD15"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X(mm)</w:t>
            </w:r>
          </w:p>
        </w:tc>
        <w:tc>
          <w:tcPr>
            <w:tcW w:w="1436" w:type="dxa"/>
            <w:tcBorders>
              <w:top w:val="single" w:sz="4" w:space="0" w:color="000000"/>
              <w:left w:val="single" w:sz="4" w:space="0" w:color="000000"/>
              <w:right w:val="single" w:sz="4" w:space="0" w:color="000000"/>
            </w:tcBorders>
            <w:vAlign w:val="center"/>
          </w:tcPr>
          <w:p w14:paraId="489D570D" w14:textId="77777777" w:rsidR="00A67F21" w:rsidRPr="00B12FE0" w:rsidRDefault="00000000">
            <w:pPr>
              <w:widowControl/>
              <w:jc w:val="center"/>
              <w:textAlignment w:val="center"/>
              <w:rPr>
                <w:color w:val="000000" w:themeColor="text1"/>
                <w:szCs w:val="21"/>
              </w:rPr>
            </w:pPr>
            <w:proofErr w:type="gramStart"/>
            <w:r w:rsidRPr="00B12FE0">
              <w:rPr>
                <w:snapToGrid w:val="0"/>
                <w:color w:val="000000" w:themeColor="text1"/>
                <w:kern w:val="0"/>
                <w:sz w:val="21"/>
                <w:szCs w:val="21"/>
                <w:lang w:bidi="ar"/>
              </w:rPr>
              <w:t>TVL(</w:t>
            </w:r>
            <w:proofErr w:type="gramEnd"/>
            <w:r w:rsidRPr="00B12FE0">
              <w:rPr>
                <w:snapToGrid w:val="0"/>
                <w:color w:val="000000" w:themeColor="text1"/>
                <w:kern w:val="0"/>
                <w:sz w:val="21"/>
                <w:szCs w:val="21"/>
                <w:lang w:bidi="ar"/>
              </w:rPr>
              <w:t>mm)</w:t>
            </w:r>
          </w:p>
        </w:tc>
        <w:tc>
          <w:tcPr>
            <w:tcW w:w="1436" w:type="dxa"/>
            <w:tcBorders>
              <w:top w:val="single" w:sz="4" w:space="0" w:color="000000"/>
              <w:left w:val="single" w:sz="4" w:space="0" w:color="000000"/>
              <w:right w:val="single" w:sz="4" w:space="0" w:color="000000"/>
            </w:tcBorders>
            <w:vAlign w:val="center"/>
          </w:tcPr>
          <w:p w14:paraId="57215EF2" w14:textId="77777777" w:rsidR="00A67F21" w:rsidRPr="00B12FE0" w:rsidRDefault="00000000">
            <w:pPr>
              <w:widowControl/>
              <w:jc w:val="center"/>
              <w:textAlignment w:val="center"/>
              <w:rPr>
                <w:color w:val="000000" w:themeColor="text1"/>
                <w:szCs w:val="21"/>
              </w:rPr>
            </w:pPr>
            <m:oMath>
              <m:sSub>
                <m:sSubPr>
                  <m:ctrlPr>
                    <w:rPr>
                      <w:rFonts w:ascii="Cambria Math" w:hAnsi="Cambria Math"/>
                      <w:bCs/>
                      <w:color w:val="000000" w:themeColor="text1"/>
                      <w:sz w:val="21"/>
                      <w:szCs w:val="21"/>
                    </w:rPr>
                  </m:ctrlPr>
                </m:sSubPr>
                <m:e>
                  <m:acc>
                    <m:accPr>
                      <m:chr m:val="̇"/>
                      <m:ctrlPr>
                        <w:rPr>
                          <w:rFonts w:ascii="Cambria Math" w:hAnsi="Cambria Math"/>
                          <w:bCs/>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og</m:t>
                  </m:r>
                </m:sub>
              </m:sSub>
            </m:oMath>
            <w:r w:rsidRPr="00B12FE0">
              <w:rPr>
                <w:snapToGrid w:val="0"/>
                <w:color w:val="000000" w:themeColor="text1"/>
                <w:kern w:val="0"/>
                <w:sz w:val="21"/>
                <w:szCs w:val="21"/>
                <w:lang w:bidi="ar"/>
              </w:rPr>
              <w:t>(μSv/h)</w:t>
            </w:r>
          </w:p>
        </w:tc>
        <w:tc>
          <w:tcPr>
            <w:tcW w:w="1437" w:type="dxa"/>
            <w:tcBorders>
              <w:top w:val="single" w:sz="4" w:space="0" w:color="000000"/>
              <w:left w:val="single" w:sz="4" w:space="0" w:color="000000"/>
              <w:bottom w:val="single" w:sz="4" w:space="0" w:color="000000"/>
              <w:right w:val="single" w:sz="4" w:space="0" w:color="000000"/>
            </w:tcBorders>
            <w:vAlign w:val="center"/>
          </w:tcPr>
          <w:p w14:paraId="36443FDC" w14:textId="77777777" w:rsidR="00A67F21" w:rsidRPr="00B12FE0" w:rsidRDefault="00000000">
            <w:pPr>
              <w:widowControl/>
              <w:jc w:val="center"/>
              <w:textAlignment w:val="center"/>
              <w:rPr>
                <w:color w:val="000000" w:themeColor="text1"/>
                <w:szCs w:val="21"/>
              </w:rPr>
            </w:pPr>
            <m:oMath>
              <m:acc>
                <m:accPr>
                  <m:chr m:val="̇"/>
                  <m:ctrlPr>
                    <w:rPr>
                      <w:rFonts w:ascii="Cambria Math" w:hAnsi="Cambria Math"/>
                      <w:bCs/>
                      <w:color w:val="000000" w:themeColor="text1"/>
                      <w:kern w:val="0"/>
                      <w:sz w:val="21"/>
                      <w:szCs w:val="21"/>
                    </w:rPr>
                  </m:ctrlPr>
                </m:accPr>
                <m:e>
                  <m:r>
                    <w:rPr>
                      <w:rFonts w:ascii="Cambria Math" w:hAnsi="Cambria Math"/>
                      <w:color w:val="000000" w:themeColor="text1"/>
                      <w:kern w:val="0"/>
                      <w:sz w:val="21"/>
                      <w:szCs w:val="21"/>
                    </w:rPr>
                    <m:t>H</m:t>
                  </m:r>
                </m:e>
              </m:acc>
            </m:oMath>
            <w:r w:rsidRPr="00B12FE0">
              <w:rPr>
                <w:snapToGrid w:val="0"/>
                <w:color w:val="000000" w:themeColor="text1"/>
                <w:kern w:val="0"/>
                <w:sz w:val="21"/>
                <w:szCs w:val="21"/>
                <w:lang w:bidi="ar"/>
              </w:rPr>
              <w:t>(μSv/h)</w:t>
            </w:r>
          </w:p>
        </w:tc>
      </w:tr>
      <w:tr w:rsidR="00A67F21" w:rsidRPr="00B12FE0" w14:paraId="590B3843" w14:textId="77777777">
        <w:trPr>
          <w:trHeight w:val="340"/>
          <w:jc w:val="center"/>
        </w:trPr>
        <w:tc>
          <w:tcPr>
            <w:tcW w:w="1548" w:type="dxa"/>
            <w:tcBorders>
              <w:top w:val="single" w:sz="4" w:space="0" w:color="000000"/>
              <w:left w:val="single" w:sz="4" w:space="0" w:color="000000"/>
              <w:bottom w:val="single" w:sz="4" w:space="0" w:color="000000"/>
              <w:right w:val="single" w:sz="4" w:space="0" w:color="000000"/>
            </w:tcBorders>
            <w:noWrap/>
            <w:vAlign w:val="center"/>
          </w:tcPr>
          <w:p w14:paraId="4324BA18"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g</w:t>
            </w:r>
            <w:r w:rsidRPr="00B12FE0">
              <w:rPr>
                <w:rFonts w:hint="eastAsia"/>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p>
        </w:tc>
        <w:tc>
          <w:tcPr>
            <w:tcW w:w="1436" w:type="dxa"/>
            <w:tcBorders>
              <w:top w:val="single" w:sz="4" w:space="0" w:color="000000"/>
              <w:left w:val="single" w:sz="4" w:space="0" w:color="000000"/>
              <w:bottom w:val="single" w:sz="4" w:space="0" w:color="000000"/>
              <w:right w:val="single" w:sz="4" w:space="0" w:color="000000"/>
            </w:tcBorders>
            <w:noWrap/>
            <w:vAlign w:val="center"/>
          </w:tcPr>
          <w:p w14:paraId="73040BE6"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695</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7D4966F2"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20</w:t>
            </w:r>
          </w:p>
        </w:tc>
        <w:tc>
          <w:tcPr>
            <w:tcW w:w="1436" w:type="dxa"/>
            <w:tcBorders>
              <w:top w:val="single" w:sz="4" w:space="0" w:color="000000"/>
              <w:left w:val="single" w:sz="4" w:space="0" w:color="000000"/>
              <w:bottom w:val="single" w:sz="4" w:space="0" w:color="000000"/>
              <w:right w:val="single" w:sz="4" w:space="0" w:color="000000"/>
            </w:tcBorders>
            <w:noWrap/>
            <w:vAlign w:val="center"/>
          </w:tcPr>
          <w:p w14:paraId="03FF3D71"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5</w:t>
            </w:r>
          </w:p>
        </w:tc>
        <w:tc>
          <w:tcPr>
            <w:tcW w:w="1436" w:type="dxa"/>
            <w:tcBorders>
              <w:top w:val="single" w:sz="4" w:space="0" w:color="000000"/>
              <w:left w:val="single" w:sz="4" w:space="0" w:color="000000"/>
              <w:bottom w:val="single" w:sz="4" w:space="0" w:color="000000"/>
              <w:right w:val="single" w:sz="4" w:space="0" w:color="000000"/>
            </w:tcBorders>
            <w:noWrap/>
            <w:vAlign w:val="center"/>
          </w:tcPr>
          <w:p w14:paraId="71E4BE56"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0.12</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6F66E279"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0.19</w:t>
            </w:r>
            <w:r w:rsidRPr="00B12FE0">
              <w:rPr>
                <w:snapToGrid w:val="0"/>
                <w:color w:val="000000" w:themeColor="text1"/>
                <w:kern w:val="0"/>
                <w:sz w:val="21"/>
                <w:szCs w:val="21"/>
                <w:lang w:bidi="ar"/>
              </w:rPr>
              <w:t xml:space="preserve"> </w:t>
            </w:r>
          </w:p>
        </w:tc>
      </w:tr>
      <w:tr w:rsidR="00A67F21" w:rsidRPr="00B12FE0" w14:paraId="00D543CC" w14:textId="77777777">
        <w:trPr>
          <w:trHeight w:val="340"/>
          <w:jc w:val="center"/>
        </w:trPr>
        <w:tc>
          <w:tcPr>
            <w:tcW w:w="1548" w:type="dxa"/>
            <w:tcBorders>
              <w:top w:val="single" w:sz="4" w:space="0" w:color="000000"/>
              <w:left w:val="single" w:sz="4" w:space="0" w:color="000000"/>
              <w:bottom w:val="single" w:sz="4" w:space="0" w:color="000000"/>
              <w:right w:val="single" w:sz="4" w:space="0" w:color="000000"/>
            </w:tcBorders>
            <w:noWrap/>
            <w:vAlign w:val="center"/>
          </w:tcPr>
          <w:p w14:paraId="1E7A495E"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g</w:t>
            </w:r>
            <w:r w:rsidRPr="00B12FE0">
              <w:rPr>
                <w:rFonts w:hint="eastAsia"/>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436" w:type="dxa"/>
            <w:tcBorders>
              <w:top w:val="single" w:sz="4" w:space="0" w:color="000000"/>
              <w:left w:val="single" w:sz="4" w:space="0" w:color="000000"/>
              <w:bottom w:val="single" w:sz="4" w:space="0" w:color="000000"/>
              <w:right w:val="single" w:sz="4" w:space="0" w:color="000000"/>
            </w:tcBorders>
            <w:noWrap/>
            <w:vAlign w:val="center"/>
          </w:tcPr>
          <w:p w14:paraId="545D6B9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568</w:t>
            </w:r>
          </w:p>
        </w:tc>
        <w:tc>
          <w:tcPr>
            <w:tcW w:w="1507" w:type="dxa"/>
            <w:tcBorders>
              <w:top w:val="single" w:sz="4" w:space="0" w:color="000000"/>
              <w:left w:val="single" w:sz="4" w:space="0" w:color="000000"/>
              <w:bottom w:val="single" w:sz="4" w:space="0" w:color="000000"/>
              <w:right w:val="single" w:sz="4" w:space="0" w:color="000000"/>
            </w:tcBorders>
            <w:noWrap/>
            <w:vAlign w:val="center"/>
          </w:tcPr>
          <w:p w14:paraId="1EF68FC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20</w:t>
            </w:r>
          </w:p>
        </w:tc>
        <w:tc>
          <w:tcPr>
            <w:tcW w:w="1436" w:type="dxa"/>
            <w:tcBorders>
              <w:top w:val="single" w:sz="4" w:space="0" w:color="000000"/>
              <w:left w:val="single" w:sz="4" w:space="0" w:color="000000"/>
              <w:bottom w:val="single" w:sz="4" w:space="0" w:color="000000"/>
              <w:right w:val="single" w:sz="4" w:space="0" w:color="000000"/>
            </w:tcBorders>
            <w:noWrap/>
            <w:vAlign w:val="center"/>
          </w:tcPr>
          <w:p w14:paraId="73F57C2F"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5</w:t>
            </w:r>
          </w:p>
        </w:tc>
        <w:tc>
          <w:tcPr>
            <w:tcW w:w="1436" w:type="dxa"/>
            <w:tcBorders>
              <w:top w:val="single" w:sz="4" w:space="0" w:color="000000"/>
              <w:left w:val="single" w:sz="4" w:space="0" w:color="000000"/>
              <w:bottom w:val="single" w:sz="4" w:space="0" w:color="000000"/>
              <w:right w:val="single" w:sz="4" w:space="0" w:color="000000"/>
            </w:tcBorders>
            <w:noWrap/>
            <w:vAlign w:val="center"/>
          </w:tcPr>
          <w:p w14:paraId="2BAA033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0.12</w:t>
            </w:r>
          </w:p>
        </w:tc>
        <w:tc>
          <w:tcPr>
            <w:tcW w:w="1437" w:type="dxa"/>
            <w:tcBorders>
              <w:top w:val="single" w:sz="4" w:space="0" w:color="000000"/>
              <w:left w:val="single" w:sz="4" w:space="0" w:color="000000"/>
              <w:bottom w:val="single" w:sz="4" w:space="0" w:color="000000"/>
              <w:right w:val="single" w:sz="4" w:space="0" w:color="000000"/>
            </w:tcBorders>
            <w:noWrap/>
            <w:vAlign w:val="center"/>
          </w:tcPr>
          <w:p w14:paraId="3449733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0.177</w:t>
            </w:r>
          </w:p>
        </w:tc>
      </w:tr>
    </w:tbl>
    <w:p w14:paraId="10969B8A" w14:textId="77777777" w:rsidR="00A67F21" w:rsidRPr="00B12FE0" w:rsidRDefault="00000000">
      <w:pPr>
        <w:pStyle w:val="affffd"/>
        <w:adjustRightInd w:val="0"/>
        <w:spacing w:line="360" w:lineRule="auto"/>
        <w:ind w:firstLineChars="200" w:firstLine="482"/>
        <w:textAlignment w:val="baseline"/>
        <w:rPr>
          <w:rFonts w:ascii="Times New Roman"/>
          <w:b/>
          <w:bCs/>
          <w:color w:val="000000" w:themeColor="text1"/>
          <w:sz w:val="24"/>
        </w:rPr>
      </w:pPr>
      <w:r w:rsidRPr="00B12FE0">
        <w:rPr>
          <w:rFonts w:ascii="Times New Roman"/>
          <w:b/>
          <w:bCs/>
          <w:color w:val="000000" w:themeColor="text1"/>
          <w:sz w:val="24"/>
          <w:szCs w:val="24"/>
        </w:rPr>
        <w:t>二、</w:t>
      </w:r>
      <w:r w:rsidRPr="00B12FE0">
        <w:rPr>
          <w:rFonts w:ascii="Times New Roman"/>
          <w:b/>
          <w:bCs/>
          <w:color w:val="000000" w:themeColor="text1"/>
          <w:sz w:val="24"/>
          <w:szCs w:val="24"/>
        </w:rPr>
        <w:t>15MV</w:t>
      </w:r>
    </w:p>
    <w:p w14:paraId="7CD9B9F9" w14:textId="77777777" w:rsidR="00A67F21" w:rsidRPr="00B12FE0" w:rsidRDefault="00000000">
      <w:pPr>
        <w:pStyle w:val="affffd"/>
        <w:adjustRightInd w:val="0"/>
        <w:spacing w:line="360" w:lineRule="auto"/>
        <w:ind w:firstLineChars="200" w:firstLine="480"/>
        <w:textAlignment w:val="baseline"/>
        <w:rPr>
          <w:rFonts w:ascii="Times New Roman"/>
          <w:color w:val="000000" w:themeColor="text1"/>
          <w:sz w:val="24"/>
        </w:rPr>
      </w:pPr>
      <w:r w:rsidRPr="00B12FE0">
        <w:rPr>
          <w:rFonts w:ascii="Times New Roman"/>
          <w:color w:val="000000" w:themeColor="text1"/>
          <w:sz w:val="24"/>
          <w:szCs w:val="24"/>
        </w:rPr>
        <w:t>根据</w:t>
      </w:r>
      <w:r w:rsidRPr="00B12FE0">
        <w:rPr>
          <w:rFonts w:ascii="Times New Roman"/>
          <w:color w:val="000000" w:themeColor="text1"/>
          <w:sz w:val="24"/>
          <w:szCs w:val="24"/>
        </w:rPr>
        <w:t>GBZ/T201.2-2011</w:t>
      </w:r>
      <w:r w:rsidRPr="00B12FE0">
        <w:rPr>
          <w:rFonts w:ascii="Times New Roman"/>
          <w:color w:val="000000" w:themeColor="text1"/>
          <w:sz w:val="24"/>
          <w:szCs w:val="24"/>
        </w:rPr>
        <w:t>第</w:t>
      </w:r>
      <w:r w:rsidRPr="00B12FE0">
        <w:rPr>
          <w:rFonts w:ascii="Times New Roman"/>
          <w:color w:val="000000" w:themeColor="text1"/>
          <w:sz w:val="24"/>
          <w:szCs w:val="24"/>
        </w:rPr>
        <w:t>4.3.2.6</w:t>
      </w:r>
      <w:r w:rsidRPr="00B12FE0">
        <w:rPr>
          <w:rFonts w:ascii="Times New Roman"/>
          <w:color w:val="000000" w:themeColor="text1"/>
          <w:sz w:val="24"/>
          <w:szCs w:val="24"/>
        </w:rPr>
        <w:t>要求，对于＞</w:t>
      </w:r>
      <w:r w:rsidRPr="00B12FE0">
        <w:rPr>
          <w:rFonts w:ascii="Times New Roman"/>
          <w:color w:val="000000" w:themeColor="text1"/>
          <w:sz w:val="24"/>
          <w:szCs w:val="24"/>
        </w:rPr>
        <w:t>10MV</w:t>
      </w:r>
      <w:r w:rsidRPr="00B12FE0">
        <w:rPr>
          <w:rFonts w:ascii="Times New Roman"/>
          <w:color w:val="000000" w:themeColor="text1"/>
          <w:sz w:val="24"/>
          <w:szCs w:val="24"/>
        </w:rPr>
        <w:t>的加速器机房，迷路入口处应估算中子辐射在迷路内产生的散射中子及中子俘获</w:t>
      </w:r>
      <w:r w:rsidRPr="00B12FE0">
        <w:rPr>
          <w:rFonts w:ascii="Times New Roman"/>
          <w:color w:val="000000" w:themeColor="text1"/>
          <w:sz w:val="24"/>
          <w:szCs w:val="24"/>
        </w:rPr>
        <w:t>γ</w:t>
      </w:r>
      <w:r w:rsidRPr="00B12FE0">
        <w:rPr>
          <w:rFonts w:ascii="Times New Roman"/>
          <w:color w:val="000000" w:themeColor="text1"/>
          <w:sz w:val="24"/>
          <w:szCs w:val="24"/>
        </w:rPr>
        <w:t>射线在迷路入口</w:t>
      </w:r>
      <w:r w:rsidRPr="00B12FE0">
        <w:rPr>
          <w:rFonts w:ascii="Times New Roman"/>
          <w:color w:val="000000" w:themeColor="text1"/>
          <w:sz w:val="24"/>
          <w:szCs w:val="24"/>
        </w:rPr>
        <w:t>g</w:t>
      </w:r>
      <w:r w:rsidRPr="00B12FE0">
        <w:rPr>
          <w:rFonts w:ascii="Times New Roman"/>
          <w:color w:val="000000" w:themeColor="text1"/>
          <w:sz w:val="24"/>
          <w:szCs w:val="24"/>
        </w:rPr>
        <w:t>点位置的辐射剂量。此外，还需要估算加速器的泄漏辐射经过迷路内墙屏蔽后在</w:t>
      </w:r>
      <w:r w:rsidRPr="00B12FE0">
        <w:rPr>
          <w:rFonts w:ascii="Times New Roman"/>
          <w:color w:val="000000" w:themeColor="text1"/>
          <w:sz w:val="24"/>
          <w:szCs w:val="24"/>
        </w:rPr>
        <w:t>g</w:t>
      </w:r>
      <w:r w:rsidRPr="00B12FE0">
        <w:rPr>
          <w:rFonts w:ascii="Times New Roman"/>
          <w:color w:val="000000" w:themeColor="text1"/>
          <w:sz w:val="24"/>
          <w:szCs w:val="24"/>
        </w:rPr>
        <w:t>处的辐射剂量。</w:t>
      </w:r>
    </w:p>
    <w:p w14:paraId="47C07DAE" w14:textId="77777777" w:rsidR="00A67F21" w:rsidRPr="00B12FE0" w:rsidRDefault="00000000">
      <w:pPr>
        <w:autoSpaceDE w:val="0"/>
        <w:spacing w:line="360" w:lineRule="auto"/>
        <w:ind w:firstLine="482"/>
        <w:rPr>
          <w:b/>
          <w:bCs/>
          <w:color w:val="000000" w:themeColor="text1"/>
        </w:rPr>
      </w:pPr>
      <w:r w:rsidRPr="00B12FE0">
        <w:rPr>
          <w:b/>
          <w:bCs/>
          <w:color w:val="000000" w:themeColor="text1"/>
          <w:szCs w:val="24"/>
        </w:rPr>
        <w:t>A</w:t>
      </w:r>
      <w:r w:rsidRPr="00B12FE0">
        <w:rPr>
          <w:b/>
          <w:bCs/>
          <w:color w:val="000000" w:themeColor="text1"/>
          <w:szCs w:val="24"/>
        </w:rPr>
        <w:t>、泄漏辐射</w:t>
      </w:r>
    </w:p>
    <w:p w14:paraId="3EA253F4" w14:textId="77777777" w:rsidR="00A67F21" w:rsidRPr="00B12FE0" w:rsidRDefault="00000000">
      <w:pPr>
        <w:spacing w:line="360" w:lineRule="auto"/>
        <w:ind w:firstLine="480"/>
        <w:rPr>
          <w:color w:val="000000" w:themeColor="text1"/>
          <w:kern w:val="0"/>
        </w:rPr>
      </w:pPr>
      <w:r w:rsidRPr="00B12FE0">
        <w:rPr>
          <w:color w:val="000000" w:themeColor="text1"/>
          <w:kern w:val="0"/>
          <w:szCs w:val="24"/>
        </w:rPr>
        <w:t>泄漏辐射的辐射剂量估算公式同</w:t>
      </w:r>
      <w:r w:rsidRPr="00B12FE0">
        <w:rPr>
          <w:color w:val="000000" w:themeColor="text1"/>
          <w:szCs w:val="24"/>
        </w:rPr>
        <w:t>式</w:t>
      </w:r>
      <w:r w:rsidRPr="00B12FE0">
        <w:rPr>
          <w:color w:val="000000" w:themeColor="text1"/>
          <w:szCs w:val="24"/>
        </w:rPr>
        <w:t>11.2.2.1-2~4</w:t>
      </w:r>
      <w:r w:rsidRPr="00B12FE0">
        <w:rPr>
          <w:color w:val="000000" w:themeColor="text1"/>
          <w:kern w:val="0"/>
          <w:szCs w:val="24"/>
        </w:rPr>
        <w:t>，其中泄漏辐射比率</w:t>
      </w:r>
      <w:r w:rsidRPr="00B12FE0">
        <w:rPr>
          <w:color w:val="000000" w:themeColor="text1"/>
          <w:kern w:val="0"/>
          <w:szCs w:val="24"/>
        </w:rPr>
        <w:t>f</w:t>
      </w:r>
      <w:r w:rsidRPr="00B12FE0">
        <w:rPr>
          <w:color w:val="000000" w:themeColor="text1"/>
          <w:kern w:val="0"/>
          <w:szCs w:val="24"/>
        </w:rPr>
        <w:t>为</w:t>
      </w:r>
      <w:r w:rsidRPr="00B12FE0">
        <w:rPr>
          <w:color w:val="000000" w:themeColor="text1"/>
          <w:kern w:val="0"/>
          <w:szCs w:val="24"/>
        </w:rPr>
        <w:t>0.001</w:t>
      </w:r>
      <w:r w:rsidRPr="00B12FE0">
        <w:rPr>
          <w:color w:val="000000" w:themeColor="text1"/>
          <w:kern w:val="0"/>
          <w:szCs w:val="24"/>
        </w:rPr>
        <w:t>。防护门外泄漏辐射剂量率计算参数及结果见表</w:t>
      </w:r>
      <w:r w:rsidRPr="00B12FE0">
        <w:rPr>
          <w:color w:val="000000" w:themeColor="text1"/>
          <w:kern w:val="0"/>
          <w:szCs w:val="24"/>
        </w:rPr>
        <w:t>11.2.2.1-14</w:t>
      </w:r>
      <w:r w:rsidRPr="00B12FE0">
        <w:rPr>
          <w:color w:val="000000" w:themeColor="text1"/>
          <w:kern w:val="0"/>
          <w:szCs w:val="24"/>
        </w:rPr>
        <w:t>。</w:t>
      </w:r>
    </w:p>
    <w:p w14:paraId="747B8603" w14:textId="77777777" w:rsidR="00A67F21" w:rsidRPr="00B12FE0" w:rsidRDefault="00000000">
      <w:pPr>
        <w:autoSpaceDE w:val="0"/>
        <w:spacing w:line="360" w:lineRule="auto"/>
        <w:jc w:val="center"/>
        <w:rPr>
          <w:b/>
          <w:bCs/>
          <w:color w:val="000000" w:themeColor="text1"/>
          <w:szCs w:val="18"/>
        </w:rPr>
      </w:pPr>
      <w:r w:rsidRPr="00B12FE0">
        <w:rPr>
          <w:b/>
          <w:bCs/>
          <w:color w:val="000000" w:themeColor="text1"/>
          <w:sz w:val="21"/>
          <w:szCs w:val="18"/>
        </w:rPr>
        <w:t>表</w:t>
      </w:r>
      <w:r w:rsidRPr="00B12FE0">
        <w:rPr>
          <w:b/>
          <w:bCs/>
          <w:color w:val="000000" w:themeColor="text1"/>
          <w:sz w:val="21"/>
          <w:szCs w:val="18"/>
        </w:rPr>
        <w:t xml:space="preserve">11.2.2.1-14  </w:t>
      </w:r>
      <w:r w:rsidRPr="00B12FE0">
        <w:rPr>
          <w:b/>
          <w:bCs/>
          <w:color w:val="000000" w:themeColor="text1"/>
          <w:sz w:val="21"/>
          <w:szCs w:val="18"/>
        </w:rPr>
        <w:t>泄漏辐射</w:t>
      </w:r>
      <w:proofErr w:type="gramStart"/>
      <w:r w:rsidRPr="00B12FE0">
        <w:rPr>
          <w:b/>
          <w:bCs/>
          <w:color w:val="000000" w:themeColor="text1"/>
          <w:sz w:val="21"/>
          <w:szCs w:val="18"/>
        </w:rPr>
        <w:t>经迷道</w:t>
      </w:r>
      <w:proofErr w:type="gramEnd"/>
      <w:r w:rsidRPr="00B12FE0">
        <w:rPr>
          <w:b/>
          <w:bCs/>
          <w:color w:val="000000" w:themeColor="text1"/>
          <w:sz w:val="21"/>
          <w:szCs w:val="18"/>
        </w:rPr>
        <w:t>内墙屏蔽后在迷道外口处的辐射剂量率计算参数及结果</w:t>
      </w:r>
    </w:p>
    <w:tbl>
      <w:tblPr>
        <w:tblW w:w="8800" w:type="dxa"/>
        <w:jc w:val="center"/>
        <w:tblLayout w:type="fixed"/>
        <w:tblLook w:val="04A0" w:firstRow="1" w:lastRow="0" w:firstColumn="1" w:lastColumn="0" w:noHBand="0" w:noVBand="1"/>
      </w:tblPr>
      <w:tblGrid>
        <w:gridCol w:w="854"/>
        <w:gridCol w:w="1402"/>
        <w:gridCol w:w="1069"/>
        <w:gridCol w:w="1069"/>
        <w:gridCol w:w="1069"/>
        <w:gridCol w:w="768"/>
        <w:gridCol w:w="1143"/>
        <w:gridCol w:w="1426"/>
      </w:tblGrid>
      <w:tr w:rsidR="00A67F21" w:rsidRPr="00B12FE0" w14:paraId="0910F4ED" w14:textId="77777777">
        <w:trPr>
          <w:trHeight w:val="565"/>
          <w:jc w:val="center"/>
        </w:trPr>
        <w:tc>
          <w:tcPr>
            <w:tcW w:w="854" w:type="dxa"/>
            <w:tcBorders>
              <w:top w:val="single" w:sz="4" w:space="0" w:color="000000"/>
              <w:left w:val="single" w:sz="4" w:space="0" w:color="000000"/>
              <w:bottom w:val="single" w:sz="4" w:space="0" w:color="000000"/>
              <w:right w:val="single" w:sz="4" w:space="0" w:color="000000"/>
            </w:tcBorders>
            <w:vAlign w:val="center"/>
          </w:tcPr>
          <w:p w14:paraId="41D12124"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关注点</w:t>
            </w:r>
          </w:p>
        </w:tc>
        <w:tc>
          <w:tcPr>
            <w:tcW w:w="1402" w:type="dxa"/>
            <w:tcBorders>
              <w:top w:val="single" w:sz="4" w:space="0" w:color="000000"/>
              <w:left w:val="single" w:sz="4" w:space="0" w:color="000000"/>
              <w:bottom w:val="single" w:sz="4" w:space="0" w:color="000000"/>
              <w:right w:val="single" w:sz="4" w:space="0" w:color="000000"/>
            </w:tcBorders>
            <w:vAlign w:val="center"/>
          </w:tcPr>
          <w:p w14:paraId="0EF14C41" w14:textId="77777777" w:rsidR="00A67F21" w:rsidRPr="00B12FE0" w:rsidRDefault="00000000">
            <w:pPr>
              <w:widowControl/>
              <w:tabs>
                <w:tab w:val="right" w:pos="1884"/>
                <w:tab w:val="right" w:leader="dot" w:pos="9298"/>
              </w:tabs>
              <w:autoSpaceDE w:val="0"/>
              <w:autoSpaceDN w:val="0"/>
              <w:adjustRightInd w:val="0"/>
              <w:jc w:val="center"/>
              <w:textAlignment w:val="baseline"/>
              <w:rPr>
                <w:color w:val="000000" w:themeColor="text1"/>
                <w:szCs w:val="21"/>
              </w:rPr>
            </w:pPr>
            <m:oMath>
              <m:sSub>
                <m:sSubPr>
                  <m:ctrlPr>
                    <w:rPr>
                      <w:rFonts w:ascii="Cambria Math" w:hAnsi="Cambria Math"/>
                      <w:i/>
                      <w:color w:val="000000" w:themeColor="text1"/>
                      <w:sz w:val="21"/>
                      <w:szCs w:val="16"/>
                    </w:rPr>
                  </m:ctrlPr>
                </m:sSubPr>
                <m:e>
                  <m:acc>
                    <m:accPr>
                      <m:chr m:val="̇"/>
                      <m:ctrlPr>
                        <w:rPr>
                          <w:rFonts w:ascii="Cambria Math" w:hAnsi="Cambria Math"/>
                          <w:i/>
                          <w:color w:val="000000" w:themeColor="text1"/>
                          <w:sz w:val="21"/>
                          <w:szCs w:val="16"/>
                        </w:rPr>
                      </m:ctrlPr>
                    </m:accPr>
                    <m:e>
                      <m:r>
                        <w:rPr>
                          <w:rFonts w:ascii="Cambria Math" w:hAnsi="Cambria Math"/>
                          <w:color w:val="000000" w:themeColor="text1"/>
                          <w:sz w:val="21"/>
                          <w:szCs w:val="16"/>
                        </w:rPr>
                        <m:t>H</m:t>
                      </m:r>
                    </m:e>
                  </m:acc>
                </m:e>
                <m:sub>
                  <m:r>
                    <w:rPr>
                      <w:rFonts w:ascii="Cambria Math" w:hAnsi="Cambria Math"/>
                      <w:color w:val="000000" w:themeColor="text1"/>
                      <w:sz w:val="21"/>
                      <w:szCs w:val="16"/>
                    </w:rPr>
                    <m:t>o</m:t>
                  </m:r>
                </m:sub>
              </m:sSub>
            </m:oMath>
            <w:r w:rsidRPr="00B12FE0">
              <w:rPr>
                <w:color w:val="000000" w:themeColor="text1"/>
                <w:kern w:val="0"/>
                <w:sz w:val="21"/>
                <w:szCs w:val="18"/>
              </w:rPr>
              <w:t>(μSv•m</w:t>
            </w:r>
            <w:r w:rsidRPr="00B12FE0">
              <w:rPr>
                <w:color w:val="000000" w:themeColor="text1"/>
                <w:kern w:val="0"/>
                <w:sz w:val="21"/>
                <w:szCs w:val="18"/>
                <w:vertAlign w:val="superscript"/>
              </w:rPr>
              <w:t>2</w:t>
            </w:r>
            <w:r w:rsidRPr="00B12FE0">
              <w:rPr>
                <w:color w:val="000000" w:themeColor="text1"/>
                <w:kern w:val="0"/>
                <w:sz w:val="21"/>
                <w:szCs w:val="18"/>
              </w:rPr>
              <w:t>/h)</w:t>
            </w:r>
          </w:p>
        </w:tc>
        <w:tc>
          <w:tcPr>
            <w:tcW w:w="1069" w:type="dxa"/>
            <w:tcBorders>
              <w:top w:val="single" w:sz="4" w:space="0" w:color="000000"/>
              <w:left w:val="single" w:sz="4" w:space="0" w:color="000000"/>
              <w:bottom w:val="single" w:sz="4" w:space="0" w:color="000000"/>
              <w:right w:val="single" w:sz="4" w:space="0" w:color="000000"/>
            </w:tcBorders>
            <w:vAlign w:val="center"/>
          </w:tcPr>
          <w:p w14:paraId="5A071BD9"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Xe</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069" w:type="dxa"/>
            <w:tcBorders>
              <w:top w:val="single" w:sz="4" w:space="0" w:color="000000"/>
              <w:left w:val="single" w:sz="4" w:space="0" w:color="000000"/>
              <w:right w:val="single" w:sz="4" w:space="0" w:color="000000"/>
            </w:tcBorders>
            <w:vAlign w:val="center"/>
          </w:tcPr>
          <w:p w14:paraId="5DC4438C"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vertAlign w:val="subscript"/>
                <w:lang w:bidi="ar"/>
              </w:rPr>
              <w:t>1</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4D604B64"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TVL</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cm</w:t>
            </w:r>
            <w:r w:rsidRPr="00B12FE0">
              <w:rPr>
                <w:snapToGrid w:val="0"/>
                <w:color w:val="000000" w:themeColor="text1"/>
                <w:kern w:val="0"/>
                <w:sz w:val="21"/>
                <w:szCs w:val="21"/>
                <w:lang w:bidi="ar"/>
              </w:rPr>
              <w:t>）</w:t>
            </w:r>
          </w:p>
        </w:tc>
        <w:tc>
          <w:tcPr>
            <w:tcW w:w="768" w:type="dxa"/>
            <w:tcBorders>
              <w:top w:val="single" w:sz="4" w:space="0" w:color="000000"/>
              <w:left w:val="single" w:sz="4" w:space="0" w:color="000000"/>
              <w:bottom w:val="single" w:sz="4" w:space="0" w:color="000000"/>
              <w:right w:val="single" w:sz="4" w:space="0" w:color="000000"/>
            </w:tcBorders>
            <w:vAlign w:val="center"/>
          </w:tcPr>
          <w:p w14:paraId="02392D00"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f</w:t>
            </w:r>
          </w:p>
        </w:tc>
        <w:tc>
          <w:tcPr>
            <w:tcW w:w="1143" w:type="dxa"/>
            <w:tcBorders>
              <w:top w:val="single" w:sz="4" w:space="0" w:color="000000"/>
              <w:left w:val="single" w:sz="4" w:space="0" w:color="000000"/>
              <w:bottom w:val="single" w:sz="4" w:space="0" w:color="000000"/>
              <w:right w:val="single" w:sz="4" w:space="0" w:color="000000"/>
            </w:tcBorders>
            <w:vAlign w:val="center"/>
          </w:tcPr>
          <w:p w14:paraId="667FFB2A"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R</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m</w:t>
            </w:r>
            <w:r w:rsidRPr="00B12FE0">
              <w:rPr>
                <w:snapToGrid w:val="0"/>
                <w:color w:val="000000" w:themeColor="text1"/>
                <w:kern w:val="0"/>
                <w:sz w:val="21"/>
                <w:szCs w:val="21"/>
                <w:lang w:bidi="ar"/>
              </w:rPr>
              <w:t>）</w:t>
            </w:r>
          </w:p>
        </w:tc>
        <w:tc>
          <w:tcPr>
            <w:tcW w:w="1426" w:type="dxa"/>
            <w:tcBorders>
              <w:top w:val="single" w:sz="4" w:space="0" w:color="000000"/>
              <w:left w:val="single" w:sz="4" w:space="0" w:color="000000"/>
              <w:bottom w:val="single" w:sz="4" w:space="0" w:color="000000"/>
              <w:right w:val="single" w:sz="4" w:space="0" w:color="000000"/>
            </w:tcBorders>
            <w:vAlign w:val="center"/>
          </w:tcPr>
          <w:p w14:paraId="56D373DE" w14:textId="77777777" w:rsidR="00A67F21" w:rsidRPr="00B12FE0" w:rsidRDefault="00000000">
            <w:pPr>
              <w:widowControl/>
              <w:jc w:val="center"/>
              <w:textAlignment w:val="center"/>
              <w:rPr>
                <w:color w:val="000000" w:themeColor="text1"/>
                <w:szCs w:val="21"/>
              </w:rPr>
            </w:pPr>
            <m:oMath>
              <m:sSub>
                <m:sSubPr>
                  <m:ctrlPr>
                    <w:rPr>
                      <w:rFonts w:ascii="Cambria Math" w:hAnsi="Cambria Math"/>
                      <w:i/>
                      <w:color w:val="000000" w:themeColor="text1"/>
                      <w:sz w:val="21"/>
                      <w:szCs w:val="16"/>
                    </w:rPr>
                  </m:ctrlPr>
                </m:sSubPr>
                <m:e>
                  <m:acc>
                    <m:accPr>
                      <m:chr m:val="̇"/>
                      <m:ctrlPr>
                        <w:rPr>
                          <w:rFonts w:ascii="Cambria Math" w:hAnsi="Cambria Math"/>
                          <w:i/>
                          <w:color w:val="000000" w:themeColor="text1"/>
                          <w:sz w:val="21"/>
                          <w:szCs w:val="16"/>
                        </w:rPr>
                      </m:ctrlPr>
                    </m:accPr>
                    <m:e>
                      <m:r>
                        <w:rPr>
                          <w:rFonts w:ascii="Cambria Math" w:hAnsi="Cambria Math"/>
                          <w:color w:val="000000" w:themeColor="text1"/>
                          <w:sz w:val="21"/>
                          <w:szCs w:val="16"/>
                        </w:rPr>
                        <m:t>H</m:t>
                      </m:r>
                    </m:e>
                  </m:acc>
                </m:e>
                <m:sub>
                  <m:r>
                    <w:rPr>
                      <w:rFonts w:ascii="Cambria Math" w:hAnsi="Cambria Math"/>
                      <w:color w:val="000000" w:themeColor="text1"/>
                      <w:sz w:val="21"/>
                      <w:szCs w:val="16"/>
                    </w:rPr>
                    <m:t>og</m:t>
                  </m:r>
                </m:sub>
              </m:sSub>
            </m:oMath>
            <w:r w:rsidRPr="00B12FE0">
              <w:rPr>
                <w:color w:val="000000" w:themeColor="text1"/>
                <w:kern w:val="0"/>
                <w:sz w:val="21"/>
                <w:szCs w:val="18"/>
              </w:rPr>
              <w:t xml:space="preserve"> (μSv/h)</w:t>
            </w:r>
          </w:p>
        </w:tc>
      </w:tr>
      <w:tr w:rsidR="00A67F21" w:rsidRPr="00B12FE0" w14:paraId="4D9E24B8" w14:textId="77777777">
        <w:trPr>
          <w:trHeight w:val="340"/>
          <w:jc w:val="center"/>
        </w:trPr>
        <w:tc>
          <w:tcPr>
            <w:tcW w:w="854" w:type="dxa"/>
            <w:tcBorders>
              <w:top w:val="single" w:sz="4" w:space="0" w:color="000000"/>
              <w:left w:val="single" w:sz="4" w:space="0" w:color="000000"/>
              <w:bottom w:val="single" w:sz="4" w:space="0" w:color="000000"/>
              <w:right w:val="single" w:sz="4" w:space="0" w:color="000000"/>
            </w:tcBorders>
            <w:vAlign w:val="center"/>
          </w:tcPr>
          <w:p w14:paraId="6A90E370"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g</w:t>
            </w:r>
            <w:r w:rsidRPr="00B12FE0">
              <w:rPr>
                <w:rFonts w:hint="eastAsia"/>
                <w:snapToGrid w:val="0"/>
                <w:color w:val="000000" w:themeColor="text1"/>
                <w:kern w:val="0"/>
                <w:sz w:val="21"/>
                <w:szCs w:val="21"/>
                <w:vertAlign w:val="subscript"/>
                <w:lang w:bidi="ar"/>
              </w:rPr>
              <w:t>1</w:t>
            </w:r>
            <w:r w:rsidRPr="00B12FE0">
              <w:rPr>
                <w:snapToGrid w:val="0"/>
                <w:color w:val="000000" w:themeColor="text1"/>
                <w:kern w:val="0"/>
                <w:sz w:val="21"/>
                <w:szCs w:val="21"/>
                <w:lang w:bidi="ar"/>
              </w:rPr>
              <w:t>点</w:t>
            </w:r>
            <w:r w:rsidRPr="00B12FE0">
              <w:rPr>
                <w:rFonts w:hint="eastAsia"/>
                <w:snapToGrid w:val="0"/>
                <w:color w:val="000000" w:themeColor="text1"/>
                <w:kern w:val="0"/>
                <w:sz w:val="21"/>
                <w:szCs w:val="21"/>
                <w:lang w:bidi="ar"/>
              </w:rPr>
              <w:t>/ g</w:t>
            </w:r>
            <w:r w:rsidRPr="00B12FE0">
              <w:rPr>
                <w:rFonts w:hint="eastAsia"/>
                <w:snapToGrid w:val="0"/>
                <w:color w:val="000000" w:themeColor="text1"/>
                <w:kern w:val="0"/>
                <w:sz w:val="21"/>
                <w:szCs w:val="21"/>
                <w:vertAlign w:val="subscript"/>
                <w:lang w:bidi="ar"/>
              </w:rPr>
              <w:t>2</w:t>
            </w:r>
            <w:r w:rsidRPr="00B12FE0">
              <w:rPr>
                <w:snapToGrid w:val="0"/>
                <w:color w:val="000000" w:themeColor="text1"/>
                <w:kern w:val="0"/>
                <w:sz w:val="21"/>
                <w:szCs w:val="21"/>
                <w:lang w:bidi="ar"/>
              </w:rPr>
              <w:t>点</w:t>
            </w:r>
          </w:p>
        </w:tc>
        <w:tc>
          <w:tcPr>
            <w:tcW w:w="1402" w:type="dxa"/>
            <w:tcBorders>
              <w:top w:val="single" w:sz="4" w:space="0" w:color="000000"/>
              <w:left w:val="single" w:sz="4" w:space="0" w:color="000000"/>
              <w:bottom w:val="single" w:sz="4" w:space="0" w:color="000000"/>
              <w:right w:val="single" w:sz="4" w:space="0" w:color="000000"/>
            </w:tcBorders>
            <w:vAlign w:val="center"/>
          </w:tcPr>
          <w:p w14:paraId="53723A7E" w14:textId="77777777" w:rsidR="00A67F21" w:rsidRPr="00B12FE0" w:rsidRDefault="00000000">
            <w:pPr>
              <w:widowControl/>
              <w:autoSpaceDE w:val="0"/>
              <w:autoSpaceDN w:val="0"/>
              <w:adjustRightInd w:val="0"/>
              <w:jc w:val="center"/>
              <w:textAlignment w:val="baseline"/>
              <w:rPr>
                <w:color w:val="000000" w:themeColor="text1"/>
                <w:szCs w:val="21"/>
              </w:rPr>
            </w:pPr>
            <w:r w:rsidRPr="00B12FE0">
              <w:rPr>
                <w:color w:val="000000" w:themeColor="text1"/>
                <w:sz w:val="21"/>
                <w:szCs w:val="21"/>
              </w:rPr>
              <w:t>3.6×10</w:t>
            </w:r>
            <w:r w:rsidRPr="00B12FE0">
              <w:rPr>
                <w:color w:val="000000" w:themeColor="text1"/>
                <w:sz w:val="21"/>
                <w:szCs w:val="21"/>
                <w:vertAlign w:val="superscript"/>
              </w:rPr>
              <w:t>8</w:t>
            </w:r>
            <w:r w:rsidRPr="00B12FE0">
              <w:rPr>
                <w:color w:val="000000" w:themeColor="text1"/>
                <w:sz w:val="21"/>
                <w:szCs w:val="21"/>
              </w:rPr>
              <w:t>（</w:t>
            </w:r>
            <w:r w:rsidRPr="00B12FE0">
              <w:rPr>
                <w:color w:val="000000" w:themeColor="text1"/>
                <w:sz w:val="21"/>
                <w:szCs w:val="21"/>
              </w:rPr>
              <w:t>15MV</w:t>
            </w:r>
            <w:r w:rsidRPr="00B12FE0">
              <w:rPr>
                <w:color w:val="000000" w:themeColor="text1"/>
                <w:sz w:val="21"/>
                <w:szCs w:val="21"/>
              </w:rPr>
              <w:t>）</w:t>
            </w:r>
          </w:p>
        </w:tc>
        <w:tc>
          <w:tcPr>
            <w:tcW w:w="1069" w:type="dxa"/>
            <w:tcBorders>
              <w:top w:val="single" w:sz="4" w:space="0" w:color="000000"/>
              <w:left w:val="single" w:sz="4" w:space="0" w:color="000000"/>
              <w:bottom w:val="single" w:sz="4" w:space="0" w:color="000000"/>
              <w:right w:val="single" w:sz="4" w:space="0" w:color="000000"/>
            </w:tcBorders>
            <w:vAlign w:val="center"/>
          </w:tcPr>
          <w:p w14:paraId="603AE8CF"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161.4</w:t>
            </w:r>
          </w:p>
        </w:tc>
        <w:tc>
          <w:tcPr>
            <w:tcW w:w="1069" w:type="dxa"/>
            <w:tcBorders>
              <w:top w:val="single" w:sz="4" w:space="0" w:color="000000"/>
              <w:left w:val="single" w:sz="4" w:space="0" w:color="000000"/>
              <w:bottom w:val="single" w:sz="4" w:space="0" w:color="000000"/>
              <w:right w:val="single" w:sz="4" w:space="0" w:color="000000"/>
            </w:tcBorders>
            <w:vAlign w:val="center"/>
          </w:tcPr>
          <w:p w14:paraId="4F0242C3"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36</w:t>
            </w:r>
          </w:p>
        </w:tc>
        <w:tc>
          <w:tcPr>
            <w:tcW w:w="1069" w:type="dxa"/>
            <w:tcBorders>
              <w:top w:val="single" w:sz="4" w:space="0" w:color="000000"/>
              <w:left w:val="single" w:sz="4" w:space="0" w:color="000000"/>
              <w:bottom w:val="single" w:sz="4" w:space="0" w:color="000000"/>
              <w:right w:val="single" w:sz="4" w:space="0" w:color="000000"/>
            </w:tcBorders>
            <w:vAlign w:val="center"/>
          </w:tcPr>
          <w:p w14:paraId="24C80C75"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33</w:t>
            </w:r>
          </w:p>
        </w:tc>
        <w:tc>
          <w:tcPr>
            <w:tcW w:w="768" w:type="dxa"/>
            <w:tcBorders>
              <w:top w:val="single" w:sz="4" w:space="0" w:color="000000"/>
              <w:left w:val="single" w:sz="4" w:space="0" w:color="000000"/>
              <w:bottom w:val="single" w:sz="4" w:space="0" w:color="000000"/>
              <w:right w:val="single" w:sz="4" w:space="0" w:color="000000"/>
            </w:tcBorders>
            <w:vAlign w:val="center"/>
          </w:tcPr>
          <w:p w14:paraId="2992A146"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0.001</w:t>
            </w:r>
          </w:p>
        </w:tc>
        <w:tc>
          <w:tcPr>
            <w:tcW w:w="1143" w:type="dxa"/>
            <w:tcBorders>
              <w:top w:val="single" w:sz="4" w:space="0" w:color="000000"/>
              <w:left w:val="single" w:sz="4" w:space="0" w:color="000000"/>
              <w:bottom w:val="single" w:sz="4" w:space="0" w:color="000000"/>
              <w:right w:val="single" w:sz="4" w:space="0" w:color="000000"/>
            </w:tcBorders>
            <w:vAlign w:val="center"/>
          </w:tcPr>
          <w:p w14:paraId="7941B9D1" w14:textId="77777777" w:rsidR="00A67F21" w:rsidRPr="00B12FE0" w:rsidRDefault="00000000">
            <w:pPr>
              <w:widowControl/>
              <w:jc w:val="center"/>
              <w:textAlignment w:val="center"/>
              <w:rPr>
                <w:color w:val="000000" w:themeColor="text1"/>
                <w:szCs w:val="21"/>
              </w:rPr>
            </w:pPr>
            <w:r w:rsidRPr="00B12FE0">
              <w:rPr>
                <w:rFonts w:hint="eastAsia"/>
                <w:snapToGrid w:val="0"/>
                <w:color w:val="000000" w:themeColor="text1"/>
                <w:kern w:val="0"/>
                <w:sz w:val="21"/>
                <w:szCs w:val="21"/>
                <w:lang w:bidi="ar"/>
              </w:rPr>
              <w:t>10</w:t>
            </w:r>
          </w:p>
        </w:tc>
        <w:tc>
          <w:tcPr>
            <w:tcW w:w="1426" w:type="dxa"/>
            <w:tcBorders>
              <w:top w:val="single" w:sz="4" w:space="0" w:color="000000"/>
              <w:left w:val="single" w:sz="4" w:space="0" w:color="000000"/>
              <w:bottom w:val="single" w:sz="4" w:space="0" w:color="000000"/>
              <w:right w:val="single" w:sz="4" w:space="0" w:color="000000"/>
            </w:tcBorders>
            <w:vAlign w:val="center"/>
          </w:tcPr>
          <w:p w14:paraId="69827A63" w14:textId="77777777" w:rsidR="00A67F21" w:rsidRPr="00B12FE0" w:rsidRDefault="00000000">
            <w:pPr>
              <w:widowControl/>
              <w:jc w:val="center"/>
              <w:textAlignment w:val="center"/>
              <w:rPr>
                <w:color w:val="000000" w:themeColor="text1"/>
                <w:szCs w:val="21"/>
              </w:rPr>
            </w:pPr>
            <w:r w:rsidRPr="00B12FE0">
              <w:rPr>
                <w:snapToGrid w:val="0"/>
                <w:color w:val="000000" w:themeColor="text1"/>
                <w:kern w:val="0"/>
                <w:sz w:val="21"/>
                <w:szCs w:val="21"/>
                <w:lang w:bidi="ar"/>
              </w:rPr>
              <w:t>5.71E-02</w:t>
            </w:r>
          </w:p>
        </w:tc>
      </w:tr>
      <w:tr w:rsidR="00A67F21" w:rsidRPr="00B12FE0" w14:paraId="0917CEAB" w14:textId="77777777">
        <w:trPr>
          <w:trHeight w:val="340"/>
          <w:jc w:val="center"/>
        </w:trPr>
        <w:tc>
          <w:tcPr>
            <w:tcW w:w="8800" w:type="dxa"/>
            <w:gridSpan w:val="8"/>
            <w:tcBorders>
              <w:top w:val="single" w:sz="4" w:space="0" w:color="000000"/>
              <w:left w:val="single" w:sz="4" w:space="0" w:color="000000"/>
              <w:bottom w:val="single" w:sz="4" w:space="0" w:color="000000"/>
              <w:right w:val="single" w:sz="4" w:space="0" w:color="000000"/>
            </w:tcBorders>
            <w:vAlign w:val="center"/>
          </w:tcPr>
          <w:p w14:paraId="46F3913E" w14:textId="77777777" w:rsidR="00A67F21" w:rsidRPr="00B12FE0" w:rsidRDefault="00000000">
            <w:pPr>
              <w:widowControl/>
              <w:textAlignment w:val="center"/>
              <w:rPr>
                <w:color w:val="000000" w:themeColor="text1"/>
                <w:kern w:val="0"/>
                <w:szCs w:val="21"/>
                <w:lang w:bidi="ar"/>
              </w:rPr>
            </w:pPr>
            <w:r w:rsidRPr="00B12FE0">
              <w:rPr>
                <w:color w:val="000000" w:themeColor="text1"/>
                <w:kern w:val="0"/>
                <w:sz w:val="21"/>
                <w:szCs w:val="18"/>
              </w:rPr>
              <w:t>注：本表中</w:t>
            </w:r>
            <w:r w:rsidRPr="00B12FE0">
              <w:rPr>
                <w:color w:val="000000" w:themeColor="text1"/>
                <w:kern w:val="0"/>
                <w:sz w:val="21"/>
                <w:szCs w:val="18"/>
              </w:rPr>
              <w:t>Xe</w:t>
            </w:r>
            <w:r w:rsidRPr="00B12FE0">
              <w:rPr>
                <w:color w:val="000000" w:themeColor="text1"/>
                <w:kern w:val="0"/>
                <w:sz w:val="21"/>
                <w:szCs w:val="18"/>
              </w:rPr>
              <w:t>有效屏蔽厚度根据</w:t>
            </w:r>
            <w:r w:rsidRPr="00B12FE0">
              <w:rPr>
                <w:color w:val="000000" w:themeColor="text1"/>
                <w:kern w:val="0"/>
                <w:sz w:val="21"/>
                <w:szCs w:val="18"/>
              </w:rPr>
              <w:t>CAD</w:t>
            </w:r>
            <w:r w:rsidRPr="00B12FE0">
              <w:rPr>
                <w:color w:val="000000" w:themeColor="text1"/>
                <w:kern w:val="0"/>
                <w:sz w:val="21"/>
                <w:szCs w:val="18"/>
              </w:rPr>
              <w:t>图纸测量得知。</w:t>
            </w:r>
          </w:p>
        </w:tc>
      </w:tr>
    </w:tbl>
    <w:p w14:paraId="7160331C" w14:textId="77777777" w:rsidR="00A67F21" w:rsidRPr="00B12FE0" w:rsidRDefault="00000000">
      <w:pPr>
        <w:pStyle w:val="affffd"/>
        <w:adjustRightInd w:val="0"/>
        <w:snapToGrid w:val="0"/>
        <w:spacing w:line="360" w:lineRule="auto"/>
        <w:ind w:firstLineChars="200" w:firstLine="482"/>
        <w:jc w:val="left"/>
        <w:textAlignment w:val="baseline"/>
        <w:rPr>
          <w:rFonts w:ascii="Times New Roman"/>
          <w:b/>
          <w:color w:val="000000" w:themeColor="text1"/>
          <w:sz w:val="24"/>
        </w:rPr>
      </w:pPr>
      <w:r w:rsidRPr="00B12FE0">
        <w:rPr>
          <w:rFonts w:ascii="Times New Roman"/>
          <w:b/>
          <w:color w:val="000000" w:themeColor="text1"/>
          <w:sz w:val="24"/>
        </w:rPr>
        <w:lastRenderedPageBreak/>
        <w:t>B</w:t>
      </w:r>
      <w:r w:rsidRPr="00B12FE0">
        <w:rPr>
          <w:rFonts w:ascii="Times New Roman"/>
          <w:b/>
          <w:color w:val="000000" w:themeColor="text1"/>
          <w:sz w:val="24"/>
        </w:rPr>
        <w:t>、散射辐射</w:t>
      </w:r>
    </w:p>
    <w:p w14:paraId="1295B3D5" w14:textId="77777777" w:rsidR="00A67F21" w:rsidRPr="00B12FE0" w:rsidRDefault="00000000">
      <w:pPr>
        <w:pStyle w:val="affffd"/>
        <w:adjustRightInd w:val="0"/>
        <w:snapToGrid w:val="0"/>
        <w:spacing w:line="360" w:lineRule="auto"/>
        <w:ind w:firstLineChars="200" w:firstLine="482"/>
        <w:jc w:val="left"/>
        <w:textAlignment w:val="baseline"/>
        <w:rPr>
          <w:rFonts w:ascii="Times New Roman"/>
          <w:b/>
          <w:color w:val="000000" w:themeColor="text1"/>
          <w:sz w:val="24"/>
        </w:rPr>
      </w:pPr>
      <w:r w:rsidRPr="00B12FE0">
        <w:rPr>
          <w:rFonts w:ascii="Times New Roman"/>
          <w:b/>
          <w:color w:val="000000" w:themeColor="text1"/>
          <w:sz w:val="24"/>
        </w:rPr>
        <w:t>（</w:t>
      </w:r>
      <w:r w:rsidRPr="00B12FE0">
        <w:rPr>
          <w:rFonts w:ascii="Times New Roman"/>
          <w:b/>
          <w:color w:val="000000" w:themeColor="text1"/>
          <w:sz w:val="24"/>
        </w:rPr>
        <w:t>a</w:t>
      </w:r>
      <w:r w:rsidRPr="00B12FE0">
        <w:rPr>
          <w:rFonts w:ascii="Times New Roman"/>
          <w:b/>
          <w:color w:val="000000" w:themeColor="text1"/>
          <w:sz w:val="24"/>
        </w:rPr>
        <w:t>）总中子注量（</w:t>
      </w:r>
      <w:r w:rsidRPr="00B12FE0">
        <w:rPr>
          <w:rFonts w:ascii="Times New Roman"/>
          <w:b/>
          <w:color w:val="000000" w:themeColor="text1"/>
          <w:sz w:val="24"/>
        </w:rPr>
        <w:t>Φ</w:t>
      </w:r>
      <w:r w:rsidRPr="00B12FE0">
        <w:rPr>
          <w:rFonts w:ascii="Times New Roman"/>
          <w:b/>
          <w:color w:val="000000" w:themeColor="text1"/>
          <w:sz w:val="24"/>
          <w:vertAlign w:val="subscript"/>
        </w:rPr>
        <w:t>B</w:t>
      </w:r>
      <w:r w:rsidRPr="00B12FE0">
        <w:rPr>
          <w:rFonts w:ascii="Times New Roman"/>
          <w:b/>
          <w:color w:val="000000" w:themeColor="text1"/>
          <w:sz w:val="24"/>
        </w:rPr>
        <w:t>）</w:t>
      </w:r>
    </w:p>
    <w:p w14:paraId="1420B332"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图</w:t>
      </w:r>
      <w:r w:rsidRPr="00B12FE0">
        <w:rPr>
          <w:color w:val="000000" w:themeColor="text1"/>
        </w:rPr>
        <w:t>11.2.2.1-1</w:t>
      </w:r>
      <w:r w:rsidRPr="00B12FE0">
        <w:rPr>
          <w:color w:val="000000" w:themeColor="text1"/>
        </w:rPr>
        <w:t>迷路的中子散射路径为</w:t>
      </w:r>
      <w:r w:rsidRPr="00B12FE0">
        <w:rPr>
          <w:color w:val="000000" w:themeColor="text1"/>
        </w:rPr>
        <w:t>“o-B-P-g”</w:t>
      </w:r>
      <w:r w:rsidRPr="00B12FE0">
        <w:rPr>
          <w:color w:val="000000" w:themeColor="text1"/>
        </w:rPr>
        <w:t>。</w:t>
      </w:r>
      <w:r w:rsidRPr="00B12FE0">
        <w:rPr>
          <w:color w:val="000000" w:themeColor="text1"/>
        </w:rPr>
        <w:t>B</w:t>
      </w:r>
      <w:r w:rsidRPr="00B12FE0">
        <w:rPr>
          <w:color w:val="000000" w:themeColor="text1"/>
        </w:rPr>
        <w:t>点是从等中心点与迷路内墙端的连线和迷路长轴中心线之间的交点。在</w:t>
      </w:r>
      <w:r w:rsidRPr="00B12FE0">
        <w:rPr>
          <w:color w:val="000000" w:themeColor="text1"/>
        </w:rPr>
        <w:t>B</w:t>
      </w:r>
      <w:r w:rsidRPr="00B12FE0">
        <w:rPr>
          <w:color w:val="000000" w:themeColor="text1"/>
        </w:rPr>
        <w:t>点的总中子注量</w:t>
      </w:r>
      <w:r w:rsidRPr="00B12FE0">
        <w:rPr>
          <w:color w:val="000000" w:themeColor="text1"/>
        </w:rPr>
        <w:t>Φ</w:t>
      </w:r>
      <w:r w:rsidRPr="00B12FE0">
        <w:rPr>
          <w:color w:val="000000" w:themeColor="text1"/>
          <w:vertAlign w:val="subscript"/>
        </w:rPr>
        <w:t>B</w:t>
      </w:r>
      <w:r w:rsidRPr="00B12FE0">
        <w:rPr>
          <w:color w:val="000000" w:themeColor="text1"/>
        </w:rPr>
        <w:t>按式（</w:t>
      </w:r>
      <w:r w:rsidRPr="00B12FE0">
        <w:rPr>
          <w:color w:val="000000" w:themeColor="text1"/>
        </w:rPr>
        <w:t>11.2.2.1-10</w:t>
      </w:r>
      <w:r w:rsidRPr="00B12FE0">
        <w:rPr>
          <w:color w:val="000000" w:themeColor="text1"/>
        </w:rPr>
        <w:t>）计算：</w:t>
      </w:r>
    </w:p>
    <w:p w14:paraId="45873D36" w14:textId="77777777" w:rsidR="00A67F21" w:rsidRPr="00B12FE0" w:rsidRDefault="00000000">
      <w:pPr>
        <w:tabs>
          <w:tab w:val="left" w:pos="1017"/>
        </w:tabs>
        <w:adjustRightInd w:val="0"/>
        <w:snapToGrid w:val="0"/>
        <w:spacing w:line="360" w:lineRule="auto"/>
        <w:ind w:firstLineChars="200" w:firstLine="480"/>
        <w:jc w:val="center"/>
        <w:rPr>
          <w:color w:val="000000" w:themeColor="text1"/>
        </w:rPr>
      </w:pPr>
      <w:r w:rsidRPr="00B12FE0">
        <w:rPr>
          <w:color w:val="000000" w:themeColor="text1"/>
          <w:position w:val="-30"/>
        </w:rPr>
        <w:object w:dxaOrig="2762" w:dyaOrig="687" w14:anchorId="542A0DCC">
          <v:shape id="_x0000_i1037" type="#_x0000_t75" style="width:138.4pt;height:34.6pt" o:ole="">
            <v:imagedata r:id="rId80" o:title=""/>
          </v:shape>
          <o:OLEObject Type="Embed" ProgID="Equation.3" ShapeID="_x0000_i1037" DrawAspect="Content" ObjectID="_1843190435" r:id="rId81"/>
        </w:object>
      </w:r>
      <w:r w:rsidRPr="00B12FE0">
        <w:rPr>
          <w:color w:val="000000" w:themeColor="text1"/>
        </w:rPr>
        <w:t xml:space="preserve"> …………</w:t>
      </w:r>
      <w:proofErr w:type="gramStart"/>
      <w:r w:rsidRPr="00B12FE0">
        <w:rPr>
          <w:color w:val="000000" w:themeColor="text1"/>
        </w:rPr>
        <w:t>…..</w:t>
      </w:r>
      <w:proofErr w:type="gramEnd"/>
      <w:r w:rsidRPr="00B12FE0">
        <w:rPr>
          <w:color w:val="000000" w:themeColor="text1"/>
        </w:rPr>
        <w:t>（式</w:t>
      </w:r>
      <w:r w:rsidRPr="00B12FE0">
        <w:rPr>
          <w:color w:val="000000" w:themeColor="text1"/>
        </w:rPr>
        <w:t>11.2.2.1-10</w:t>
      </w:r>
      <w:r w:rsidRPr="00B12FE0">
        <w:rPr>
          <w:color w:val="000000" w:themeColor="text1"/>
        </w:rPr>
        <w:t>）</w:t>
      </w:r>
    </w:p>
    <w:p w14:paraId="7044155C"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式中：</w:t>
      </w:r>
    </w:p>
    <w:p w14:paraId="7EF454F7" w14:textId="77777777" w:rsidR="00A67F21" w:rsidRPr="00B12FE0" w:rsidRDefault="00000000">
      <w:pPr>
        <w:adjustRightInd w:val="0"/>
        <w:snapToGrid w:val="0"/>
        <w:spacing w:line="360" w:lineRule="auto"/>
        <w:ind w:firstLineChars="400" w:firstLine="960"/>
        <w:rPr>
          <w:color w:val="000000" w:themeColor="text1"/>
        </w:rPr>
      </w:pPr>
      <w:r w:rsidRPr="00B12FE0">
        <w:rPr>
          <w:color w:val="000000" w:themeColor="text1"/>
        </w:rPr>
        <w:t>Φ</w:t>
      </w:r>
      <w:r w:rsidRPr="00B12FE0">
        <w:rPr>
          <w:color w:val="000000" w:themeColor="text1"/>
          <w:vertAlign w:val="subscript"/>
        </w:rPr>
        <w:t>B</w:t>
      </w:r>
      <w:r w:rsidRPr="00B12FE0">
        <w:rPr>
          <w:color w:val="000000" w:themeColor="text1"/>
        </w:rPr>
        <w:t>—</w:t>
      </w:r>
      <w:r w:rsidRPr="00B12FE0">
        <w:rPr>
          <w:color w:val="000000" w:themeColor="text1"/>
        </w:rPr>
        <w:t>等中心处</w:t>
      </w:r>
      <w:r w:rsidRPr="00B12FE0">
        <w:rPr>
          <w:color w:val="000000" w:themeColor="text1"/>
        </w:rPr>
        <w:t>1Gy</w:t>
      </w:r>
      <w:r w:rsidRPr="00B12FE0">
        <w:rPr>
          <w:color w:val="000000" w:themeColor="text1"/>
        </w:rPr>
        <w:t>治疗照射时</w:t>
      </w:r>
      <w:r w:rsidRPr="00B12FE0">
        <w:rPr>
          <w:color w:val="000000" w:themeColor="text1"/>
        </w:rPr>
        <w:t>B</w:t>
      </w:r>
      <w:r w:rsidRPr="00B12FE0">
        <w:rPr>
          <w:color w:val="000000" w:themeColor="text1"/>
        </w:rPr>
        <w:t>处的总中子注量，（中子数</w:t>
      </w:r>
      <w:r w:rsidRPr="00B12FE0">
        <w:rPr>
          <w:color w:val="000000" w:themeColor="text1"/>
        </w:rPr>
        <w:t>/m</w:t>
      </w:r>
      <w:r w:rsidRPr="00B12FE0">
        <w:rPr>
          <w:color w:val="000000" w:themeColor="text1"/>
          <w:vertAlign w:val="superscript"/>
        </w:rPr>
        <w:t>2</w:t>
      </w:r>
      <w:r w:rsidRPr="00B12FE0">
        <w:rPr>
          <w:color w:val="000000" w:themeColor="text1"/>
        </w:rPr>
        <w:t>）</w:t>
      </w:r>
      <w:r w:rsidRPr="00B12FE0">
        <w:rPr>
          <w:color w:val="000000" w:themeColor="text1"/>
        </w:rPr>
        <w:t>/Gy</w:t>
      </w:r>
      <w:r w:rsidRPr="00B12FE0">
        <w:rPr>
          <w:color w:val="000000" w:themeColor="text1"/>
        </w:rPr>
        <w:t>；</w:t>
      </w:r>
    </w:p>
    <w:p w14:paraId="7E6C9352" w14:textId="77777777" w:rsidR="00A67F21" w:rsidRPr="00B12FE0" w:rsidRDefault="00000000">
      <w:pPr>
        <w:adjustRightInd w:val="0"/>
        <w:snapToGrid w:val="0"/>
        <w:spacing w:line="360" w:lineRule="auto"/>
        <w:ind w:firstLineChars="400" w:firstLine="960"/>
        <w:rPr>
          <w:color w:val="000000" w:themeColor="text1"/>
        </w:rPr>
      </w:pPr>
      <w:r w:rsidRPr="00B12FE0">
        <w:rPr>
          <w:i/>
          <w:color w:val="000000" w:themeColor="text1"/>
        </w:rPr>
        <w:t>Q</w:t>
      </w:r>
      <w:r w:rsidRPr="00B12FE0">
        <w:rPr>
          <w:i/>
          <w:color w:val="000000" w:themeColor="text1"/>
          <w:vertAlign w:val="subscript"/>
        </w:rPr>
        <w:t>n</w:t>
      </w:r>
      <w:r w:rsidRPr="00B12FE0">
        <w:rPr>
          <w:color w:val="000000" w:themeColor="text1"/>
          <w:vertAlign w:val="subscript"/>
        </w:rPr>
        <w:t>——</w:t>
      </w:r>
      <w:r w:rsidRPr="00B12FE0">
        <w:rPr>
          <w:color w:val="000000" w:themeColor="text1"/>
        </w:rPr>
        <w:t>等中心处每</w:t>
      </w:r>
      <w:r w:rsidRPr="00B12FE0">
        <w:rPr>
          <w:color w:val="000000" w:themeColor="text1"/>
        </w:rPr>
        <w:t>1Gy</w:t>
      </w:r>
      <w:r w:rsidRPr="00B12FE0">
        <w:rPr>
          <w:color w:val="000000" w:themeColor="text1"/>
        </w:rPr>
        <w:t>治疗照射时加速器机头发射出的总中子数，根据</w:t>
      </w:r>
      <w:r w:rsidRPr="00B12FE0">
        <w:rPr>
          <w:color w:val="000000" w:themeColor="text1"/>
        </w:rPr>
        <w:t>NCRPNO.151</w:t>
      </w:r>
      <w:r w:rsidRPr="00B12FE0">
        <w:rPr>
          <w:color w:val="000000" w:themeColor="text1"/>
        </w:rPr>
        <w:t>表</w:t>
      </w:r>
      <w:r w:rsidRPr="00B12FE0">
        <w:rPr>
          <w:color w:val="000000" w:themeColor="text1"/>
        </w:rPr>
        <w:t>B.9</w:t>
      </w:r>
      <w:r w:rsidRPr="00B12FE0">
        <w:rPr>
          <w:color w:val="000000" w:themeColor="text1"/>
        </w:rPr>
        <w:t>（</w:t>
      </w:r>
      <w:r w:rsidRPr="00B12FE0">
        <w:rPr>
          <w:color w:val="000000" w:themeColor="text1"/>
        </w:rPr>
        <w:t>P172~173</w:t>
      </w:r>
      <w:r w:rsidRPr="00B12FE0">
        <w:rPr>
          <w:color w:val="000000" w:themeColor="text1"/>
        </w:rPr>
        <w:t>），本项目型号未定，因此保守取</w:t>
      </w:r>
      <w:r w:rsidRPr="00B12FE0">
        <w:rPr>
          <w:color w:val="000000" w:themeColor="text1"/>
        </w:rPr>
        <w:t>7.6×10</w:t>
      </w:r>
      <w:r w:rsidRPr="00B12FE0">
        <w:rPr>
          <w:color w:val="000000" w:themeColor="text1"/>
          <w:vertAlign w:val="superscript"/>
        </w:rPr>
        <w:t>11</w:t>
      </w:r>
      <w:r w:rsidRPr="00B12FE0">
        <w:rPr>
          <w:color w:val="000000" w:themeColor="text1"/>
        </w:rPr>
        <w:t>；</w:t>
      </w:r>
    </w:p>
    <w:p w14:paraId="265C99EA" w14:textId="77777777" w:rsidR="00A67F21" w:rsidRPr="00B12FE0" w:rsidRDefault="00000000">
      <w:pPr>
        <w:adjustRightInd w:val="0"/>
        <w:snapToGrid w:val="0"/>
        <w:spacing w:line="360" w:lineRule="auto"/>
        <w:ind w:firstLineChars="400" w:firstLine="960"/>
        <w:rPr>
          <w:color w:val="000000" w:themeColor="text1"/>
        </w:rPr>
      </w:pPr>
      <w:r w:rsidRPr="00B12FE0">
        <w:rPr>
          <w:i/>
          <w:color w:val="000000" w:themeColor="text1"/>
        </w:rPr>
        <w:t>d</w:t>
      </w:r>
      <w:r w:rsidRPr="00B12FE0">
        <w:rPr>
          <w:i/>
          <w:color w:val="000000" w:themeColor="text1"/>
          <w:vertAlign w:val="subscript"/>
        </w:rPr>
        <w:t>1</w:t>
      </w:r>
      <w:r w:rsidRPr="00B12FE0">
        <w:rPr>
          <w:color w:val="000000" w:themeColor="text1"/>
        </w:rPr>
        <w:t>—</w:t>
      </w:r>
      <w:r w:rsidRPr="00B12FE0">
        <w:rPr>
          <w:color w:val="000000" w:themeColor="text1"/>
        </w:rPr>
        <w:t>等中心</w:t>
      </w:r>
      <w:r w:rsidRPr="00B12FE0">
        <w:rPr>
          <w:color w:val="000000" w:themeColor="text1"/>
        </w:rPr>
        <w:t>O</w:t>
      </w:r>
      <w:r w:rsidRPr="00B12FE0">
        <w:rPr>
          <w:color w:val="000000" w:themeColor="text1"/>
        </w:rPr>
        <w:t>至</w:t>
      </w:r>
      <w:r w:rsidRPr="00B12FE0">
        <w:rPr>
          <w:color w:val="000000" w:themeColor="text1"/>
        </w:rPr>
        <w:t>B</w:t>
      </w:r>
      <w:r w:rsidRPr="00B12FE0">
        <w:rPr>
          <w:color w:val="000000" w:themeColor="text1"/>
        </w:rPr>
        <w:t>的距离，</w:t>
      </w:r>
      <w:r w:rsidRPr="00B12FE0">
        <w:rPr>
          <w:color w:val="000000" w:themeColor="text1"/>
        </w:rPr>
        <w:t>m</w:t>
      </w:r>
      <w:r w:rsidRPr="00B12FE0">
        <w:rPr>
          <w:color w:val="000000" w:themeColor="text1"/>
        </w:rPr>
        <w:t>；</w:t>
      </w:r>
    </w:p>
    <w:p w14:paraId="498979DA" w14:textId="77777777" w:rsidR="00A67F21" w:rsidRPr="00B12FE0" w:rsidRDefault="00000000">
      <w:pPr>
        <w:adjustRightInd w:val="0"/>
        <w:snapToGrid w:val="0"/>
        <w:spacing w:line="360" w:lineRule="auto"/>
        <w:ind w:firstLineChars="400" w:firstLine="960"/>
        <w:rPr>
          <w:color w:val="000000" w:themeColor="text1"/>
        </w:rPr>
      </w:pPr>
      <w:r w:rsidRPr="00B12FE0">
        <w:rPr>
          <w:i/>
          <w:color w:val="000000" w:themeColor="text1"/>
        </w:rPr>
        <w:t>S</w:t>
      </w:r>
      <w:proofErr w:type="gramStart"/>
      <w:r w:rsidRPr="00B12FE0">
        <w:rPr>
          <w:color w:val="000000" w:themeColor="text1"/>
        </w:rPr>
        <w:t>—</w:t>
      </w:r>
      <w:r w:rsidRPr="00B12FE0">
        <w:rPr>
          <w:color w:val="000000" w:themeColor="text1"/>
        </w:rPr>
        <w:t>治疗</w:t>
      </w:r>
      <w:proofErr w:type="gramEnd"/>
      <w:r w:rsidRPr="00B12FE0">
        <w:rPr>
          <w:color w:val="000000" w:themeColor="text1"/>
        </w:rPr>
        <w:t>机房的总内表面积（</w:t>
      </w:r>
      <w:r w:rsidRPr="00B12FE0">
        <w:rPr>
          <w:color w:val="000000" w:themeColor="text1"/>
        </w:rPr>
        <w:t>m</w:t>
      </w:r>
      <w:r w:rsidRPr="00B12FE0">
        <w:rPr>
          <w:color w:val="000000" w:themeColor="text1"/>
          <w:vertAlign w:val="superscript"/>
        </w:rPr>
        <w:t>2</w:t>
      </w:r>
      <w:r w:rsidRPr="00B12FE0">
        <w:rPr>
          <w:color w:val="000000" w:themeColor="text1"/>
        </w:rPr>
        <w:t>），包括四壁墙、顶面和底面，不包括迷路内各面积。</w:t>
      </w:r>
    </w:p>
    <w:p w14:paraId="3A1483DA"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各参数选取及估算结果见下表。</w:t>
      </w:r>
    </w:p>
    <w:p w14:paraId="40130C00" w14:textId="77777777" w:rsidR="00A67F21" w:rsidRPr="00B12FE0" w:rsidRDefault="00000000">
      <w:pPr>
        <w:tabs>
          <w:tab w:val="left" w:pos="1017"/>
        </w:tabs>
        <w:adjustRightInd w:val="0"/>
        <w:snapToGrid w:val="0"/>
        <w:jc w:val="center"/>
        <w:rPr>
          <w:b/>
          <w:color w:val="000000" w:themeColor="text1"/>
          <w:sz w:val="21"/>
          <w:szCs w:val="21"/>
        </w:rPr>
      </w:pPr>
      <w:r w:rsidRPr="00B12FE0">
        <w:rPr>
          <w:b/>
          <w:color w:val="000000" w:themeColor="text1"/>
          <w:sz w:val="21"/>
          <w:szCs w:val="21"/>
        </w:rPr>
        <w:t>表</w:t>
      </w:r>
      <w:r w:rsidRPr="00B12FE0">
        <w:rPr>
          <w:b/>
          <w:bCs/>
          <w:color w:val="000000" w:themeColor="text1"/>
          <w:sz w:val="21"/>
          <w:szCs w:val="21"/>
        </w:rPr>
        <w:t xml:space="preserve">11.2.2.1-15  </w:t>
      </w:r>
      <w:r w:rsidRPr="00B12FE0">
        <w:rPr>
          <w:b/>
          <w:color w:val="000000" w:themeColor="text1"/>
          <w:sz w:val="21"/>
          <w:szCs w:val="21"/>
        </w:rPr>
        <w:t>总中子注量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87"/>
        <w:gridCol w:w="2128"/>
        <w:gridCol w:w="1701"/>
        <w:gridCol w:w="1353"/>
        <w:gridCol w:w="2139"/>
      </w:tblGrid>
      <w:tr w:rsidR="00A67F21" w:rsidRPr="00B12FE0" w14:paraId="522FE559" w14:textId="77777777">
        <w:trPr>
          <w:jc w:val="center"/>
        </w:trPr>
        <w:tc>
          <w:tcPr>
            <w:tcW w:w="449" w:type="pct"/>
            <w:vAlign w:val="center"/>
          </w:tcPr>
          <w:p w14:paraId="35C0329E" w14:textId="77777777" w:rsidR="00A67F21" w:rsidRPr="00B12FE0" w:rsidRDefault="00000000">
            <w:pPr>
              <w:tabs>
                <w:tab w:val="left" w:pos="1017"/>
              </w:tabs>
              <w:adjustRightInd w:val="0"/>
              <w:snapToGrid w:val="0"/>
              <w:jc w:val="center"/>
              <w:rPr>
                <w:color w:val="000000" w:themeColor="text1"/>
                <w:sz w:val="21"/>
                <w:szCs w:val="21"/>
              </w:rPr>
            </w:pPr>
            <w:r w:rsidRPr="00B12FE0">
              <w:rPr>
                <w:rFonts w:hint="eastAsia"/>
                <w:color w:val="000000" w:themeColor="text1"/>
                <w:sz w:val="21"/>
                <w:szCs w:val="21"/>
              </w:rPr>
              <w:t>关注点</w:t>
            </w:r>
          </w:p>
        </w:tc>
        <w:tc>
          <w:tcPr>
            <w:tcW w:w="492" w:type="pct"/>
            <w:vAlign w:val="center"/>
          </w:tcPr>
          <w:p w14:paraId="2962B057"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参数</w:t>
            </w:r>
          </w:p>
        </w:tc>
        <w:tc>
          <w:tcPr>
            <w:tcW w:w="1180" w:type="pct"/>
            <w:vAlign w:val="center"/>
          </w:tcPr>
          <w:p w14:paraId="4A13C462" w14:textId="77777777" w:rsidR="00A67F21" w:rsidRPr="00B12FE0" w:rsidRDefault="00000000">
            <w:pPr>
              <w:tabs>
                <w:tab w:val="left" w:pos="1017"/>
              </w:tabs>
              <w:adjustRightInd w:val="0"/>
              <w:snapToGrid w:val="0"/>
              <w:jc w:val="center"/>
              <w:rPr>
                <w:color w:val="000000" w:themeColor="text1"/>
                <w:sz w:val="21"/>
                <w:szCs w:val="21"/>
              </w:rPr>
            </w:pPr>
            <w:r w:rsidRPr="00B12FE0">
              <w:rPr>
                <w:i/>
                <w:color w:val="000000" w:themeColor="text1"/>
                <w:sz w:val="21"/>
                <w:szCs w:val="21"/>
              </w:rPr>
              <w:t>Q</w:t>
            </w:r>
            <w:r w:rsidRPr="00B12FE0">
              <w:rPr>
                <w:i/>
                <w:color w:val="000000" w:themeColor="text1"/>
                <w:sz w:val="21"/>
                <w:szCs w:val="21"/>
                <w:vertAlign w:val="subscript"/>
              </w:rPr>
              <w:t>n</w:t>
            </w:r>
            <w:r w:rsidRPr="00B12FE0">
              <w:rPr>
                <w:color w:val="000000" w:themeColor="text1"/>
                <w:sz w:val="21"/>
                <w:szCs w:val="21"/>
              </w:rPr>
              <w:t>（中子数</w:t>
            </w:r>
            <w:r w:rsidRPr="00B12FE0">
              <w:rPr>
                <w:color w:val="000000" w:themeColor="text1"/>
                <w:sz w:val="21"/>
                <w:szCs w:val="21"/>
              </w:rPr>
              <w:t>/Gy</w:t>
            </w:r>
            <w:r w:rsidRPr="00B12FE0">
              <w:rPr>
                <w:color w:val="000000" w:themeColor="text1"/>
                <w:sz w:val="21"/>
                <w:szCs w:val="21"/>
              </w:rPr>
              <w:t>）</w:t>
            </w:r>
          </w:p>
        </w:tc>
        <w:tc>
          <w:tcPr>
            <w:tcW w:w="943" w:type="pct"/>
            <w:vAlign w:val="center"/>
          </w:tcPr>
          <w:p w14:paraId="7361C814" w14:textId="77777777" w:rsidR="00A67F21" w:rsidRPr="00B12FE0" w:rsidRDefault="00000000">
            <w:pPr>
              <w:tabs>
                <w:tab w:val="left" w:pos="1017"/>
              </w:tabs>
              <w:adjustRightInd w:val="0"/>
              <w:snapToGrid w:val="0"/>
              <w:jc w:val="center"/>
              <w:rPr>
                <w:color w:val="000000" w:themeColor="text1"/>
                <w:sz w:val="21"/>
                <w:szCs w:val="21"/>
              </w:rPr>
            </w:pPr>
            <w:r w:rsidRPr="00B12FE0">
              <w:rPr>
                <w:i/>
                <w:color w:val="000000" w:themeColor="text1"/>
                <w:sz w:val="21"/>
                <w:szCs w:val="21"/>
              </w:rPr>
              <w:t>d</w:t>
            </w:r>
            <w:r w:rsidRPr="00B12FE0">
              <w:rPr>
                <w:i/>
                <w:color w:val="000000" w:themeColor="text1"/>
                <w:sz w:val="21"/>
                <w:szCs w:val="21"/>
                <w:vertAlign w:val="subscript"/>
              </w:rPr>
              <w:t>1</w:t>
            </w:r>
            <w:r w:rsidRPr="00B12FE0">
              <w:rPr>
                <w:color w:val="000000" w:themeColor="text1"/>
                <w:sz w:val="21"/>
                <w:szCs w:val="21"/>
              </w:rPr>
              <w:t>（</w:t>
            </w:r>
            <w:r w:rsidRPr="00B12FE0">
              <w:rPr>
                <w:color w:val="000000" w:themeColor="text1"/>
                <w:sz w:val="21"/>
                <w:szCs w:val="21"/>
              </w:rPr>
              <w:t>m</w:t>
            </w:r>
            <w:r w:rsidRPr="00B12FE0">
              <w:rPr>
                <w:color w:val="000000" w:themeColor="text1"/>
                <w:sz w:val="21"/>
                <w:szCs w:val="21"/>
              </w:rPr>
              <w:t>）</w:t>
            </w:r>
          </w:p>
        </w:tc>
        <w:tc>
          <w:tcPr>
            <w:tcW w:w="750" w:type="pct"/>
            <w:vAlign w:val="center"/>
          </w:tcPr>
          <w:p w14:paraId="0945975D" w14:textId="77777777" w:rsidR="00A67F21" w:rsidRPr="00B12FE0" w:rsidRDefault="00000000">
            <w:pPr>
              <w:tabs>
                <w:tab w:val="left" w:pos="1017"/>
              </w:tabs>
              <w:adjustRightInd w:val="0"/>
              <w:snapToGrid w:val="0"/>
              <w:jc w:val="center"/>
              <w:rPr>
                <w:color w:val="000000" w:themeColor="text1"/>
                <w:sz w:val="21"/>
                <w:szCs w:val="21"/>
              </w:rPr>
            </w:pPr>
            <w:r w:rsidRPr="00B12FE0">
              <w:rPr>
                <w:i/>
                <w:color w:val="000000" w:themeColor="text1"/>
                <w:sz w:val="21"/>
                <w:szCs w:val="21"/>
              </w:rPr>
              <w:t>S</w:t>
            </w:r>
            <w:r w:rsidRPr="00B12FE0">
              <w:rPr>
                <w:color w:val="000000" w:themeColor="text1"/>
                <w:sz w:val="21"/>
                <w:szCs w:val="21"/>
              </w:rPr>
              <w:t>（</w:t>
            </w:r>
            <w:r w:rsidRPr="00B12FE0">
              <w:rPr>
                <w:color w:val="000000" w:themeColor="text1"/>
                <w:sz w:val="21"/>
                <w:szCs w:val="21"/>
              </w:rPr>
              <w:t>m</w:t>
            </w:r>
            <w:r w:rsidRPr="00B12FE0">
              <w:rPr>
                <w:color w:val="000000" w:themeColor="text1"/>
                <w:sz w:val="21"/>
                <w:szCs w:val="21"/>
                <w:vertAlign w:val="superscript"/>
              </w:rPr>
              <w:t>2</w:t>
            </w:r>
            <w:r w:rsidRPr="00B12FE0">
              <w:rPr>
                <w:color w:val="000000" w:themeColor="text1"/>
                <w:sz w:val="21"/>
                <w:szCs w:val="21"/>
              </w:rPr>
              <w:t>）</w:t>
            </w:r>
          </w:p>
        </w:tc>
        <w:tc>
          <w:tcPr>
            <w:tcW w:w="1186" w:type="pct"/>
            <w:tcBorders>
              <w:bottom w:val="single" w:sz="4" w:space="0" w:color="auto"/>
            </w:tcBorders>
          </w:tcPr>
          <w:p w14:paraId="4DCC7412" w14:textId="77777777" w:rsidR="00A67F21" w:rsidRPr="00B12FE0" w:rsidRDefault="00000000">
            <w:pPr>
              <w:tabs>
                <w:tab w:val="left" w:pos="1017"/>
              </w:tabs>
              <w:adjustRightInd w:val="0"/>
              <w:snapToGrid w:val="0"/>
              <w:jc w:val="center"/>
              <w:rPr>
                <w:color w:val="000000" w:themeColor="text1"/>
                <w:sz w:val="21"/>
                <w:szCs w:val="21"/>
                <w:vertAlign w:val="subscript"/>
              </w:rPr>
            </w:pPr>
            <w:r w:rsidRPr="00B12FE0">
              <w:rPr>
                <w:color w:val="000000" w:themeColor="text1"/>
                <w:sz w:val="21"/>
                <w:szCs w:val="21"/>
              </w:rPr>
              <w:t>Φ</w:t>
            </w:r>
            <w:r w:rsidRPr="00B12FE0">
              <w:rPr>
                <w:color w:val="000000" w:themeColor="text1"/>
                <w:sz w:val="21"/>
                <w:szCs w:val="21"/>
                <w:vertAlign w:val="subscript"/>
              </w:rPr>
              <w:t>B</w:t>
            </w:r>
          </w:p>
          <w:p w14:paraId="378DB39A" w14:textId="77777777" w:rsidR="00A67F21" w:rsidRPr="00B12FE0" w:rsidRDefault="00000000">
            <w:pPr>
              <w:tabs>
                <w:tab w:val="left" w:pos="1017"/>
              </w:tabs>
              <w:adjustRightInd w:val="0"/>
              <w:snapToGrid w:val="0"/>
              <w:jc w:val="center"/>
              <w:rPr>
                <w:i/>
                <w:color w:val="000000" w:themeColor="text1"/>
                <w:sz w:val="21"/>
                <w:szCs w:val="21"/>
              </w:rPr>
            </w:pPr>
            <w:r w:rsidRPr="00B12FE0">
              <w:rPr>
                <w:color w:val="000000" w:themeColor="text1"/>
                <w:sz w:val="21"/>
                <w:szCs w:val="21"/>
              </w:rPr>
              <w:t>(</w:t>
            </w:r>
            <w:r w:rsidRPr="00B12FE0">
              <w:rPr>
                <w:color w:val="000000" w:themeColor="text1"/>
                <w:sz w:val="21"/>
                <w:szCs w:val="21"/>
              </w:rPr>
              <w:t>（中子数</w:t>
            </w:r>
            <w:r w:rsidRPr="00B12FE0">
              <w:rPr>
                <w:color w:val="000000" w:themeColor="text1"/>
                <w:sz w:val="21"/>
                <w:szCs w:val="21"/>
              </w:rPr>
              <w:t>/m</w:t>
            </w:r>
            <w:r w:rsidRPr="00B12FE0">
              <w:rPr>
                <w:color w:val="000000" w:themeColor="text1"/>
                <w:sz w:val="21"/>
                <w:szCs w:val="21"/>
                <w:vertAlign w:val="superscript"/>
              </w:rPr>
              <w:t>2</w:t>
            </w:r>
            <w:r w:rsidRPr="00B12FE0">
              <w:rPr>
                <w:color w:val="000000" w:themeColor="text1"/>
                <w:sz w:val="21"/>
                <w:szCs w:val="21"/>
              </w:rPr>
              <w:t>）</w:t>
            </w:r>
            <w:r w:rsidRPr="00B12FE0">
              <w:rPr>
                <w:color w:val="000000" w:themeColor="text1"/>
                <w:sz w:val="21"/>
                <w:szCs w:val="21"/>
              </w:rPr>
              <w:t>/Gy)</w:t>
            </w:r>
          </w:p>
        </w:tc>
      </w:tr>
      <w:tr w:rsidR="00A67F21" w:rsidRPr="00B12FE0" w14:paraId="01928CA1" w14:textId="77777777">
        <w:trPr>
          <w:jc w:val="center"/>
        </w:trPr>
        <w:tc>
          <w:tcPr>
            <w:tcW w:w="449" w:type="pct"/>
            <w:vAlign w:val="center"/>
          </w:tcPr>
          <w:p w14:paraId="127E6F56"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g</w:t>
            </w:r>
            <w:r w:rsidRPr="00B12FE0">
              <w:rPr>
                <w:rFonts w:hint="eastAsia"/>
                <w:color w:val="000000" w:themeColor="text1"/>
                <w:sz w:val="21"/>
                <w:szCs w:val="21"/>
                <w:vertAlign w:val="subscript"/>
              </w:rPr>
              <w:t>1</w:t>
            </w:r>
          </w:p>
        </w:tc>
        <w:tc>
          <w:tcPr>
            <w:tcW w:w="492" w:type="pct"/>
            <w:vMerge w:val="restart"/>
            <w:vAlign w:val="center"/>
          </w:tcPr>
          <w:p w14:paraId="1781EE37"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总中子注量</w:t>
            </w:r>
          </w:p>
        </w:tc>
        <w:tc>
          <w:tcPr>
            <w:tcW w:w="1180" w:type="pct"/>
            <w:vAlign w:val="center"/>
          </w:tcPr>
          <w:p w14:paraId="6E9C81C1"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7.6×10</w:t>
            </w:r>
            <w:r w:rsidRPr="00B12FE0">
              <w:rPr>
                <w:color w:val="000000" w:themeColor="text1"/>
                <w:sz w:val="21"/>
                <w:szCs w:val="21"/>
                <w:vertAlign w:val="superscript"/>
              </w:rPr>
              <w:t>11</w:t>
            </w:r>
          </w:p>
        </w:tc>
        <w:tc>
          <w:tcPr>
            <w:tcW w:w="943" w:type="pct"/>
            <w:vAlign w:val="center"/>
          </w:tcPr>
          <w:p w14:paraId="052AB7C9" w14:textId="77777777" w:rsidR="00A67F21" w:rsidRPr="00B12FE0" w:rsidRDefault="00000000">
            <w:pPr>
              <w:jc w:val="center"/>
              <w:rPr>
                <w:color w:val="000000" w:themeColor="text1"/>
                <w:sz w:val="21"/>
                <w:szCs w:val="21"/>
              </w:rPr>
            </w:pPr>
            <w:r w:rsidRPr="00B12FE0">
              <w:rPr>
                <w:color w:val="000000" w:themeColor="text1"/>
                <w:sz w:val="21"/>
                <w:szCs w:val="21"/>
              </w:rPr>
              <w:t>7.</w:t>
            </w:r>
            <w:r w:rsidRPr="00B12FE0">
              <w:rPr>
                <w:rFonts w:hint="eastAsia"/>
                <w:color w:val="000000" w:themeColor="text1"/>
                <w:sz w:val="21"/>
                <w:szCs w:val="21"/>
              </w:rPr>
              <w:t>13</w:t>
            </w:r>
          </w:p>
        </w:tc>
        <w:tc>
          <w:tcPr>
            <w:tcW w:w="750" w:type="pct"/>
            <w:vAlign w:val="center"/>
          </w:tcPr>
          <w:p w14:paraId="52D9586F" w14:textId="77777777" w:rsidR="00A67F21" w:rsidRPr="00B12FE0" w:rsidRDefault="00000000">
            <w:pPr>
              <w:tabs>
                <w:tab w:val="left" w:pos="1017"/>
              </w:tabs>
              <w:adjustRightInd w:val="0"/>
              <w:snapToGrid w:val="0"/>
              <w:jc w:val="center"/>
              <w:rPr>
                <w:color w:val="000000" w:themeColor="text1"/>
                <w:sz w:val="21"/>
                <w:szCs w:val="21"/>
              </w:rPr>
            </w:pPr>
            <w:r w:rsidRPr="00B12FE0">
              <w:rPr>
                <w:rFonts w:hint="eastAsia"/>
                <w:color w:val="000000" w:themeColor="text1"/>
                <w:sz w:val="21"/>
                <w:szCs w:val="21"/>
              </w:rPr>
              <w:t>392.94</w:t>
            </w:r>
          </w:p>
        </w:tc>
        <w:tc>
          <w:tcPr>
            <w:tcW w:w="1186" w:type="pct"/>
            <w:tcBorders>
              <w:top w:val="single" w:sz="4" w:space="0" w:color="auto"/>
              <w:left w:val="nil"/>
              <w:bottom w:val="single" w:sz="4" w:space="0" w:color="auto"/>
              <w:right w:val="single" w:sz="4" w:space="0" w:color="auto"/>
            </w:tcBorders>
            <w:vAlign w:val="center"/>
          </w:tcPr>
          <w:p w14:paraId="77227FED" w14:textId="77777777" w:rsidR="00A67F21" w:rsidRPr="00B12FE0" w:rsidRDefault="00000000">
            <w:pPr>
              <w:tabs>
                <w:tab w:val="left" w:pos="1017"/>
              </w:tabs>
              <w:adjustRightInd w:val="0"/>
              <w:snapToGrid w:val="0"/>
              <w:jc w:val="center"/>
              <w:rPr>
                <w:color w:val="000000" w:themeColor="text1"/>
                <w:sz w:val="21"/>
                <w:szCs w:val="21"/>
              </w:rPr>
            </w:pPr>
            <w:r w:rsidRPr="00B12FE0">
              <w:rPr>
                <w:rFonts w:eastAsia="等线"/>
                <w:color w:val="000000" w:themeColor="text1"/>
                <w:sz w:val="21"/>
                <w:szCs w:val="21"/>
              </w:rPr>
              <w:t>3.24E+09</w:t>
            </w:r>
          </w:p>
        </w:tc>
      </w:tr>
      <w:tr w:rsidR="00A67F21" w:rsidRPr="00B12FE0" w14:paraId="4E256006" w14:textId="77777777">
        <w:trPr>
          <w:jc w:val="center"/>
        </w:trPr>
        <w:tc>
          <w:tcPr>
            <w:tcW w:w="449" w:type="pct"/>
            <w:vAlign w:val="center"/>
          </w:tcPr>
          <w:p w14:paraId="6E29B4C2" w14:textId="77777777" w:rsidR="00A67F21" w:rsidRPr="00B12FE0" w:rsidRDefault="00000000">
            <w:pPr>
              <w:tabs>
                <w:tab w:val="left" w:pos="1017"/>
              </w:tabs>
              <w:adjustRightInd w:val="0"/>
              <w:snapToGrid w:val="0"/>
              <w:jc w:val="center"/>
              <w:rPr>
                <w:color w:val="000000" w:themeColor="text1"/>
                <w:sz w:val="21"/>
                <w:szCs w:val="21"/>
              </w:rPr>
            </w:pPr>
            <w:r w:rsidRPr="00B12FE0">
              <w:rPr>
                <w:rFonts w:hint="eastAsia"/>
                <w:color w:val="000000" w:themeColor="text1"/>
                <w:sz w:val="21"/>
                <w:szCs w:val="21"/>
              </w:rPr>
              <w:t>g</w:t>
            </w:r>
            <w:r w:rsidRPr="00B12FE0">
              <w:rPr>
                <w:rFonts w:hint="eastAsia"/>
                <w:color w:val="000000" w:themeColor="text1"/>
                <w:sz w:val="21"/>
                <w:szCs w:val="21"/>
                <w:vertAlign w:val="subscript"/>
              </w:rPr>
              <w:t>2</w:t>
            </w:r>
          </w:p>
        </w:tc>
        <w:tc>
          <w:tcPr>
            <w:tcW w:w="492" w:type="pct"/>
            <w:vMerge/>
            <w:vAlign w:val="center"/>
          </w:tcPr>
          <w:p w14:paraId="51086020" w14:textId="77777777" w:rsidR="00A67F21" w:rsidRPr="00B12FE0" w:rsidRDefault="00A67F21">
            <w:pPr>
              <w:tabs>
                <w:tab w:val="left" w:pos="1017"/>
              </w:tabs>
              <w:adjustRightInd w:val="0"/>
              <w:snapToGrid w:val="0"/>
              <w:jc w:val="center"/>
              <w:rPr>
                <w:color w:val="000000" w:themeColor="text1"/>
                <w:sz w:val="21"/>
                <w:szCs w:val="21"/>
              </w:rPr>
            </w:pPr>
          </w:p>
        </w:tc>
        <w:tc>
          <w:tcPr>
            <w:tcW w:w="1180" w:type="pct"/>
            <w:vAlign w:val="center"/>
          </w:tcPr>
          <w:p w14:paraId="495C9559"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7.6×10</w:t>
            </w:r>
            <w:r w:rsidRPr="00B12FE0">
              <w:rPr>
                <w:color w:val="000000" w:themeColor="text1"/>
                <w:sz w:val="21"/>
                <w:szCs w:val="21"/>
                <w:vertAlign w:val="superscript"/>
              </w:rPr>
              <w:t>11</w:t>
            </w:r>
          </w:p>
        </w:tc>
        <w:tc>
          <w:tcPr>
            <w:tcW w:w="943" w:type="pct"/>
            <w:vAlign w:val="center"/>
          </w:tcPr>
          <w:p w14:paraId="7FDA5C7B"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7.42</w:t>
            </w:r>
          </w:p>
        </w:tc>
        <w:tc>
          <w:tcPr>
            <w:tcW w:w="750" w:type="pct"/>
            <w:vAlign w:val="center"/>
          </w:tcPr>
          <w:p w14:paraId="771AE320" w14:textId="77777777" w:rsidR="00A67F21" w:rsidRPr="00B12FE0" w:rsidRDefault="00000000">
            <w:pPr>
              <w:tabs>
                <w:tab w:val="left" w:pos="1017"/>
              </w:tabs>
              <w:adjustRightInd w:val="0"/>
              <w:snapToGrid w:val="0"/>
              <w:jc w:val="center"/>
              <w:rPr>
                <w:color w:val="000000" w:themeColor="text1"/>
                <w:sz w:val="21"/>
                <w:szCs w:val="21"/>
              </w:rPr>
            </w:pPr>
            <w:r w:rsidRPr="00B12FE0">
              <w:rPr>
                <w:rFonts w:hint="eastAsia"/>
                <w:color w:val="000000" w:themeColor="text1"/>
                <w:sz w:val="21"/>
                <w:szCs w:val="21"/>
              </w:rPr>
              <w:t>395.5</w:t>
            </w:r>
          </w:p>
        </w:tc>
        <w:tc>
          <w:tcPr>
            <w:tcW w:w="1186" w:type="pct"/>
            <w:tcBorders>
              <w:top w:val="single" w:sz="4" w:space="0" w:color="auto"/>
              <w:left w:val="nil"/>
              <w:bottom w:val="single" w:sz="4" w:space="0" w:color="auto"/>
              <w:right w:val="single" w:sz="4" w:space="0" w:color="auto"/>
            </w:tcBorders>
            <w:vAlign w:val="center"/>
          </w:tcPr>
          <w:p w14:paraId="5D8839FC" w14:textId="77777777" w:rsidR="00A67F21" w:rsidRPr="00B12FE0" w:rsidRDefault="00000000">
            <w:pPr>
              <w:tabs>
                <w:tab w:val="left" w:pos="1017"/>
              </w:tabs>
              <w:adjustRightInd w:val="0"/>
              <w:snapToGrid w:val="0"/>
              <w:jc w:val="center"/>
              <w:rPr>
                <w:color w:val="000000" w:themeColor="text1"/>
                <w:sz w:val="21"/>
                <w:szCs w:val="21"/>
              </w:rPr>
            </w:pPr>
            <w:r w:rsidRPr="00B12FE0">
              <w:rPr>
                <w:rFonts w:eastAsia="等线"/>
                <w:color w:val="000000" w:themeColor="text1"/>
                <w:sz w:val="21"/>
                <w:szCs w:val="21"/>
              </w:rPr>
              <w:t>3.14E+09</w:t>
            </w:r>
          </w:p>
        </w:tc>
      </w:tr>
    </w:tbl>
    <w:p w14:paraId="0AE19A1A" w14:textId="77777777" w:rsidR="00A67F21" w:rsidRPr="00B12FE0" w:rsidRDefault="00000000">
      <w:pPr>
        <w:pStyle w:val="affffd"/>
        <w:adjustRightInd w:val="0"/>
        <w:snapToGrid w:val="0"/>
        <w:spacing w:line="360" w:lineRule="auto"/>
        <w:ind w:firstLineChars="200" w:firstLine="482"/>
        <w:jc w:val="left"/>
        <w:textAlignment w:val="baseline"/>
        <w:rPr>
          <w:rFonts w:ascii="Times New Roman"/>
          <w:b/>
          <w:color w:val="000000" w:themeColor="text1"/>
          <w:sz w:val="24"/>
        </w:rPr>
      </w:pPr>
      <w:r w:rsidRPr="00B12FE0">
        <w:rPr>
          <w:rFonts w:ascii="Times New Roman"/>
          <w:b/>
          <w:color w:val="000000" w:themeColor="text1"/>
          <w:sz w:val="24"/>
        </w:rPr>
        <w:t>（</w:t>
      </w:r>
      <w:r w:rsidRPr="00B12FE0">
        <w:rPr>
          <w:rFonts w:ascii="Times New Roman"/>
          <w:b/>
          <w:color w:val="000000" w:themeColor="text1"/>
          <w:sz w:val="24"/>
        </w:rPr>
        <w:t>b</w:t>
      </w:r>
      <w:r w:rsidRPr="00B12FE0">
        <w:rPr>
          <w:rFonts w:ascii="Times New Roman"/>
          <w:b/>
          <w:color w:val="000000" w:themeColor="text1"/>
          <w:sz w:val="24"/>
        </w:rPr>
        <w:t>）机房入口处中子俘获</w:t>
      </w:r>
      <w:r w:rsidRPr="00B12FE0">
        <w:rPr>
          <w:rFonts w:ascii="Times New Roman"/>
          <w:color w:val="000000" w:themeColor="text1"/>
          <w:sz w:val="24"/>
        </w:rPr>
        <w:t>γ</w:t>
      </w:r>
      <w:r w:rsidRPr="00B12FE0">
        <w:rPr>
          <w:rFonts w:ascii="Times New Roman"/>
          <w:b/>
          <w:color w:val="000000" w:themeColor="text1"/>
          <w:sz w:val="24"/>
        </w:rPr>
        <w:t>射线剂量率（</w:t>
      </w:r>
      <w:r w:rsidRPr="00B12FE0">
        <w:rPr>
          <w:rFonts w:ascii="Times New Roman"/>
          <w:color w:val="000000" w:themeColor="text1"/>
          <w:position w:val="-4"/>
          <w:szCs w:val="21"/>
        </w:rPr>
        <w:object w:dxaOrig="268" w:dyaOrig="469" w14:anchorId="6C60228C">
          <v:shape id="_x0000_i1038" type="#_x0000_t75" style="width:13.1pt;height:23.4pt" o:ole="">
            <v:imagedata r:id="rId82" o:title=""/>
          </v:shape>
          <o:OLEObject Type="Embed" ProgID="Equation.3" ShapeID="_x0000_i1038" DrawAspect="Content" ObjectID="_1843190436" r:id="rId83"/>
        </w:object>
      </w:r>
      <w:r w:rsidRPr="00B12FE0">
        <w:rPr>
          <w:rFonts w:ascii="Times New Roman"/>
          <w:color w:val="000000" w:themeColor="text1"/>
          <w:sz w:val="24"/>
          <w:vertAlign w:val="subscript"/>
        </w:rPr>
        <w:t>γ</w:t>
      </w:r>
      <w:r w:rsidRPr="00B12FE0">
        <w:rPr>
          <w:rFonts w:ascii="Times New Roman"/>
          <w:b/>
          <w:color w:val="000000" w:themeColor="text1"/>
          <w:sz w:val="24"/>
        </w:rPr>
        <w:t>）</w:t>
      </w:r>
    </w:p>
    <w:p w14:paraId="0BE19BB5"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机房内及迷路内的中子与屏蔽物质作用时产生中子俘获</w:t>
      </w:r>
      <w:r w:rsidRPr="00B12FE0">
        <w:rPr>
          <w:color w:val="000000" w:themeColor="text1"/>
        </w:rPr>
        <w:t>γ</w:t>
      </w:r>
      <w:r w:rsidRPr="00B12FE0">
        <w:rPr>
          <w:color w:val="000000" w:themeColor="text1"/>
        </w:rPr>
        <w:t>射线，机房入口门外</w:t>
      </w:r>
      <w:r w:rsidRPr="00B12FE0">
        <w:rPr>
          <w:color w:val="000000" w:themeColor="text1"/>
        </w:rPr>
        <w:t>30cm</w:t>
      </w:r>
      <w:r w:rsidRPr="00B12FE0">
        <w:rPr>
          <w:color w:val="000000" w:themeColor="text1"/>
        </w:rPr>
        <w:t>（</w:t>
      </w:r>
      <w:r w:rsidRPr="00B12FE0">
        <w:rPr>
          <w:color w:val="000000" w:themeColor="text1"/>
        </w:rPr>
        <w:t>g</w:t>
      </w:r>
      <w:r w:rsidRPr="00B12FE0">
        <w:rPr>
          <w:color w:val="000000" w:themeColor="text1"/>
        </w:rPr>
        <w:t>点）处无防护门时的中子俘获</w:t>
      </w:r>
      <w:r w:rsidRPr="00B12FE0">
        <w:rPr>
          <w:color w:val="000000" w:themeColor="text1"/>
        </w:rPr>
        <w:t>γ</w:t>
      </w:r>
      <w:r w:rsidRPr="00B12FE0">
        <w:rPr>
          <w:color w:val="000000" w:themeColor="text1"/>
        </w:rPr>
        <w:t>射线的剂量率</w:t>
      </w:r>
      <w:r w:rsidRPr="00B12FE0">
        <w:rPr>
          <w:color w:val="000000" w:themeColor="text1"/>
          <w:position w:val="-4"/>
          <w:szCs w:val="21"/>
        </w:rPr>
        <w:object w:dxaOrig="268" w:dyaOrig="469" w14:anchorId="3F1A5417">
          <v:shape id="_x0000_i1039" type="#_x0000_t75" style="width:13.1pt;height:23.4pt" o:ole="">
            <v:imagedata r:id="rId82" o:title=""/>
          </v:shape>
          <o:OLEObject Type="Embed" ProgID="Equation.3" ShapeID="_x0000_i1039" DrawAspect="Content" ObjectID="_1843190437" r:id="rId84"/>
        </w:object>
      </w:r>
      <w:r w:rsidRPr="00B12FE0">
        <w:rPr>
          <w:color w:val="000000" w:themeColor="text1"/>
          <w:vertAlign w:val="subscript"/>
        </w:rPr>
        <w:t>γ</w:t>
      </w:r>
      <w:r w:rsidRPr="00B12FE0">
        <w:rPr>
          <w:color w:val="000000" w:themeColor="text1"/>
        </w:rPr>
        <w:t>按式（</w:t>
      </w:r>
      <w:r w:rsidRPr="00B12FE0">
        <w:rPr>
          <w:color w:val="000000" w:themeColor="text1"/>
        </w:rPr>
        <w:t>11.2.2.1-9</w:t>
      </w:r>
      <w:r w:rsidRPr="00B12FE0">
        <w:rPr>
          <w:color w:val="000000" w:themeColor="text1"/>
        </w:rPr>
        <w:t>）计算：</w:t>
      </w:r>
    </w:p>
    <w:p w14:paraId="691F346F" w14:textId="77777777" w:rsidR="00A67F21" w:rsidRPr="00B12FE0" w:rsidRDefault="00000000">
      <w:pPr>
        <w:adjustRightInd w:val="0"/>
        <w:snapToGrid w:val="0"/>
        <w:spacing w:line="360" w:lineRule="auto"/>
        <w:ind w:firstLineChars="200" w:firstLine="480"/>
        <w:jc w:val="center"/>
        <w:rPr>
          <w:color w:val="000000" w:themeColor="text1"/>
          <w:vertAlign w:val="subscript"/>
        </w:rPr>
      </w:pPr>
      <w:r w:rsidRPr="00B12FE0">
        <w:rPr>
          <w:color w:val="000000" w:themeColor="text1"/>
          <w:position w:val="-10"/>
          <w:vertAlign w:val="subscript"/>
        </w:rPr>
        <w:object w:dxaOrig="4857" w:dyaOrig="452" w14:anchorId="7018BA50">
          <v:shape id="_x0000_i1040" type="#_x0000_t75" style="width:243.1pt;height:22.45pt" o:ole="">
            <v:imagedata r:id="rId85" o:title=""/>
          </v:shape>
          <o:OLEObject Type="Embed" ProgID="Equation.3" ShapeID="_x0000_i1040" DrawAspect="Content" ObjectID="_1843190438" r:id="rId86"/>
        </w:object>
      </w:r>
      <w:r w:rsidRPr="00B12FE0">
        <w:rPr>
          <w:color w:val="000000" w:themeColor="text1"/>
        </w:rPr>
        <w:t xml:space="preserve"> …………</w:t>
      </w:r>
      <w:proofErr w:type="gramStart"/>
      <w:r w:rsidRPr="00B12FE0">
        <w:rPr>
          <w:color w:val="000000" w:themeColor="text1"/>
        </w:rPr>
        <w:t>…..</w:t>
      </w:r>
      <w:proofErr w:type="gramEnd"/>
      <w:r w:rsidRPr="00B12FE0">
        <w:rPr>
          <w:color w:val="000000" w:themeColor="text1"/>
        </w:rPr>
        <w:t>（式</w:t>
      </w:r>
      <w:r w:rsidRPr="00B12FE0">
        <w:rPr>
          <w:color w:val="000000" w:themeColor="text1"/>
        </w:rPr>
        <w:t>11.2.2.1-11</w:t>
      </w:r>
      <w:r w:rsidRPr="00B12FE0">
        <w:rPr>
          <w:color w:val="000000" w:themeColor="text1"/>
        </w:rPr>
        <w:t>）</w:t>
      </w:r>
    </w:p>
    <w:p w14:paraId="6D2B83AD"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式中：</w:t>
      </w:r>
    </w:p>
    <w:p w14:paraId="39677FA1" w14:textId="77777777" w:rsidR="00A67F21" w:rsidRPr="00B12FE0" w:rsidRDefault="00000000">
      <w:pPr>
        <w:adjustRightInd w:val="0"/>
        <w:snapToGrid w:val="0"/>
        <w:spacing w:line="360" w:lineRule="auto"/>
        <w:ind w:firstLineChars="400" w:firstLine="960"/>
        <w:rPr>
          <w:color w:val="000000" w:themeColor="text1"/>
        </w:rPr>
      </w:pPr>
      <w:r w:rsidRPr="00B12FE0">
        <w:rPr>
          <w:color w:val="000000" w:themeColor="text1"/>
        </w:rPr>
        <w:t>6.9×10</w:t>
      </w:r>
      <w:r w:rsidRPr="00B12FE0">
        <w:rPr>
          <w:color w:val="000000" w:themeColor="text1"/>
          <w:vertAlign w:val="superscript"/>
        </w:rPr>
        <w:t>-16</w:t>
      </w:r>
      <w:proofErr w:type="gramStart"/>
      <w:r w:rsidRPr="00B12FE0">
        <w:rPr>
          <w:color w:val="000000" w:themeColor="text1"/>
        </w:rPr>
        <w:t>—</w:t>
      </w:r>
      <w:r w:rsidRPr="00B12FE0">
        <w:rPr>
          <w:color w:val="000000" w:themeColor="text1"/>
        </w:rPr>
        <w:t>该方法</w:t>
      </w:r>
      <w:proofErr w:type="gramEnd"/>
      <w:r w:rsidRPr="00B12FE0">
        <w:rPr>
          <w:color w:val="000000" w:themeColor="text1"/>
        </w:rPr>
        <w:t>中的经验因子，</w:t>
      </w:r>
      <w:r w:rsidRPr="00B12FE0">
        <w:rPr>
          <w:color w:val="000000" w:themeColor="text1"/>
        </w:rPr>
        <w:t>Sv/</w:t>
      </w:r>
      <w:r w:rsidRPr="00B12FE0">
        <w:rPr>
          <w:color w:val="000000" w:themeColor="text1"/>
        </w:rPr>
        <w:t>（中子数</w:t>
      </w:r>
      <w:r w:rsidRPr="00B12FE0">
        <w:rPr>
          <w:color w:val="000000" w:themeColor="text1"/>
        </w:rPr>
        <w:t>/m</w:t>
      </w:r>
      <w:r w:rsidRPr="00B12FE0">
        <w:rPr>
          <w:color w:val="000000" w:themeColor="text1"/>
          <w:vertAlign w:val="superscript"/>
        </w:rPr>
        <w:t>2</w:t>
      </w:r>
      <w:r w:rsidRPr="00B12FE0">
        <w:rPr>
          <w:color w:val="000000" w:themeColor="text1"/>
        </w:rPr>
        <w:t>）；</w:t>
      </w:r>
    </w:p>
    <w:p w14:paraId="52982006" w14:textId="77777777" w:rsidR="00A67F21" w:rsidRPr="00B12FE0" w:rsidRDefault="00000000">
      <w:pPr>
        <w:adjustRightInd w:val="0"/>
        <w:snapToGrid w:val="0"/>
        <w:spacing w:line="360" w:lineRule="auto"/>
        <w:ind w:firstLineChars="400" w:firstLine="960"/>
        <w:rPr>
          <w:color w:val="000000" w:themeColor="text1"/>
        </w:rPr>
      </w:pPr>
      <w:r w:rsidRPr="00B12FE0">
        <w:rPr>
          <w:i/>
          <w:color w:val="000000" w:themeColor="text1"/>
        </w:rPr>
        <w:t>d</w:t>
      </w:r>
      <w:r w:rsidRPr="00B12FE0">
        <w:rPr>
          <w:i/>
          <w:color w:val="000000" w:themeColor="text1"/>
          <w:vertAlign w:val="subscript"/>
        </w:rPr>
        <w:t>2</w:t>
      </w:r>
      <w:r w:rsidRPr="00B12FE0">
        <w:rPr>
          <w:color w:val="000000" w:themeColor="text1"/>
        </w:rPr>
        <w:t>—B</w:t>
      </w:r>
      <w:r w:rsidRPr="00B12FE0">
        <w:rPr>
          <w:color w:val="000000" w:themeColor="text1"/>
        </w:rPr>
        <w:t>点至机房入口</w:t>
      </w:r>
      <w:r w:rsidRPr="00B12FE0">
        <w:rPr>
          <w:color w:val="000000" w:themeColor="text1"/>
        </w:rPr>
        <w:t>g</w:t>
      </w:r>
      <w:r w:rsidRPr="00B12FE0">
        <w:rPr>
          <w:color w:val="000000" w:themeColor="text1"/>
        </w:rPr>
        <w:t>点的距离，</w:t>
      </w:r>
      <w:r w:rsidRPr="00B12FE0">
        <w:rPr>
          <w:color w:val="000000" w:themeColor="text1"/>
        </w:rPr>
        <w:t>m</w:t>
      </w:r>
      <w:r w:rsidRPr="00B12FE0">
        <w:rPr>
          <w:color w:val="000000" w:themeColor="text1"/>
        </w:rPr>
        <w:t>；本项目为</w:t>
      </w:r>
      <w:r w:rsidRPr="00B12FE0">
        <w:rPr>
          <w:color w:val="000000" w:themeColor="text1"/>
        </w:rPr>
        <w:t>B-P-g</w:t>
      </w:r>
      <w:r w:rsidRPr="00B12FE0">
        <w:rPr>
          <w:color w:val="000000" w:themeColor="text1"/>
        </w:rPr>
        <w:t>距离；</w:t>
      </w:r>
    </w:p>
    <w:p w14:paraId="31116C88" w14:textId="77777777" w:rsidR="00A67F21" w:rsidRPr="00B12FE0" w:rsidRDefault="00000000">
      <w:pPr>
        <w:adjustRightInd w:val="0"/>
        <w:snapToGrid w:val="0"/>
        <w:spacing w:line="360" w:lineRule="auto"/>
        <w:ind w:firstLineChars="400" w:firstLine="960"/>
        <w:rPr>
          <w:color w:val="000000" w:themeColor="text1"/>
        </w:rPr>
      </w:pPr>
      <w:r w:rsidRPr="00B12FE0">
        <w:rPr>
          <w:i/>
          <w:color w:val="000000" w:themeColor="text1"/>
        </w:rPr>
        <w:t>TVD</w:t>
      </w:r>
      <w:r w:rsidRPr="00B12FE0">
        <w:rPr>
          <w:color w:val="000000" w:themeColor="text1"/>
        </w:rPr>
        <w:t>—</w:t>
      </w:r>
      <w:r w:rsidRPr="00B12FE0">
        <w:rPr>
          <w:color w:val="000000" w:themeColor="text1"/>
        </w:rPr>
        <w:t>将</w:t>
      </w:r>
      <w:r w:rsidRPr="00B12FE0">
        <w:rPr>
          <w:color w:val="000000" w:themeColor="text1"/>
        </w:rPr>
        <w:t>γ</w:t>
      </w:r>
      <w:r w:rsidRPr="00B12FE0">
        <w:rPr>
          <w:color w:val="000000" w:themeColor="text1"/>
        </w:rPr>
        <w:t>辐射剂量减至其十分之一的距离（</w:t>
      </w:r>
      <w:proofErr w:type="gramStart"/>
      <w:r w:rsidRPr="00B12FE0">
        <w:rPr>
          <w:color w:val="000000" w:themeColor="text1"/>
        </w:rPr>
        <w:t>称为什值距离</w:t>
      </w:r>
      <w:proofErr w:type="gramEnd"/>
      <w:r w:rsidRPr="00B12FE0">
        <w:rPr>
          <w:color w:val="000000" w:themeColor="text1"/>
        </w:rPr>
        <w:t>），对于</w:t>
      </w:r>
      <w:r w:rsidRPr="00B12FE0">
        <w:rPr>
          <w:color w:val="000000" w:themeColor="text1"/>
        </w:rPr>
        <w:t>15MV</w:t>
      </w:r>
      <w:r w:rsidRPr="00B12FE0">
        <w:rPr>
          <w:iCs/>
          <w:color w:val="000000" w:themeColor="text1"/>
          <w:szCs w:val="28"/>
        </w:rPr>
        <w:t>电子直线加速器</w:t>
      </w:r>
      <w:r w:rsidRPr="00B12FE0">
        <w:rPr>
          <w:color w:val="000000" w:themeColor="text1"/>
        </w:rPr>
        <w:t>为</w:t>
      </w:r>
      <w:r w:rsidRPr="00B12FE0">
        <w:rPr>
          <w:color w:val="000000" w:themeColor="text1"/>
        </w:rPr>
        <w:t>3.9m</w:t>
      </w:r>
      <w:r w:rsidRPr="00B12FE0">
        <w:rPr>
          <w:color w:val="000000" w:themeColor="text1"/>
        </w:rPr>
        <w:t>；</w:t>
      </w:r>
    </w:p>
    <w:p w14:paraId="047D7BE5" w14:textId="77777777" w:rsidR="00A67F21" w:rsidRPr="00B12FE0" w:rsidRDefault="00000000">
      <w:pPr>
        <w:adjustRightInd w:val="0"/>
        <w:snapToGrid w:val="0"/>
        <w:spacing w:line="360" w:lineRule="auto"/>
        <w:ind w:firstLineChars="400" w:firstLine="960"/>
        <w:rPr>
          <w:color w:val="000000" w:themeColor="text1"/>
        </w:rPr>
      </w:p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o</m:t>
            </m:r>
          </m:sub>
        </m:sSub>
      </m:oMath>
      <w:r w:rsidRPr="00B12FE0">
        <w:rPr>
          <w:color w:val="000000" w:themeColor="text1"/>
        </w:rPr>
        <w:t>—</w:t>
      </w:r>
      <w:r w:rsidRPr="00B12FE0">
        <w:rPr>
          <w:color w:val="000000" w:themeColor="text1"/>
        </w:rPr>
        <w:t>等中心点</w:t>
      </w:r>
      <w:proofErr w:type="gramStart"/>
      <w:r w:rsidRPr="00B12FE0">
        <w:rPr>
          <w:color w:val="000000" w:themeColor="text1"/>
        </w:rPr>
        <w:t>处治疗</w:t>
      </w:r>
      <w:proofErr w:type="gramEnd"/>
      <w:r w:rsidRPr="00B12FE0">
        <w:rPr>
          <w:color w:val="000000" w:themeColor="text1"/>
        </w:rPr>
        <w:t>X</w:t>
      </w:r>
      <w:r w:rsidRPr="00B12FE0">
        <w:rPr>
          <w:color w:val="000000" w:themeColor="text1"/>
        </w:rPr>
        <w:t>射线剂量率（</w:t>
      </w:r>
      <w:proofErr w:type="spellStart"/>
      <w:r w:rsidRPr="00B12FE0">
        <w:rPr>
          <w:bCs/>
          <w:color w:val="000000" w:themeColor="text1"/>
        </w:rPr>
        <w:t>μGy</w:t>
      </w:r>
      <w:proofErr w:type="spellEnd"/>
      <w:r w:rsidRPr="00B12FE0">
        <w:rPr>
          <w:bCs/>
          <w:color w:val="000000" w:themeColor="text1"/>
        </w:rPr>
        <w:t>/h</w:t>
      </w:r>
      <w:r w:rsidRPr="00B12FE0">
        <w:rPr>
          <w:color w:val="000000" w:themeColor="text1"/>
        </w:rPr>
        <w:t>），依据</w:t>
      </w:r>
      <w:r w:rsidRPr="00B12FE0">
        <w:rPr>
          <w:color w:val="000000" w:themeColor="text1"/>
        </w:rPr>
        <w:t>GBZ/T201.1</w:t>
      </w:r>
      <w:r w:rsidRPr="00B12FE0">
        <w:rPr>
          <w:color w:val="000000" w:themeColor="text1"/>
        </w:rPr>
        <w:t>的</w:t>
      </w:r>
      <w:r w:rsidRPr="00B12FE0">
        <w:rPr>
          <w:color w:val="000000" w:themeColor="text1"/>
        </w:rPr>
        <w:t>4.8.3</w:t>
      </w:r>
      <w:r w:rsidRPr="00B12FE0">
        <w:rPr>
          <w:color w:val="000000" w:themeColor="text1"/>
        </w:rPr>
        <w:t>，屏蔽计算中可视为</w:t>
      </w:r>
      <w:proofErr w:type="spellStart"/>
      <w:r w:rsidRPr="00B12FE0">
        <w:rPr>
          <w:bCs/>
          <w:color w:val="000000" w:themeColor="text1"/>
        </w:rPr>
        <w:t>μSv</w:t>
      </w:r>
      <w:proofErr w:type="spellEnd"/>
      <w:r w:rsidRPr="00B12FE0">
        <w:rPr>
          <w:bCs/>
          <w:color w:val="000000" w:themeColor="text1"/>
        </w:rPr>
        <w:t>/h</w:t>
      </w:r>
      <w:r w:rsidRPr="00B12FE0">
        <w:rPr>
          <w:color w:val="000000" w:themeColor="text1"/>
        </w:rPr>
        <w:t>。</w:t>
      </w:r>
    </w:p>
    <w:p w14:paraId="5D06B58A"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各参数选取及估算结果见表</w:t>
      </w:r>
      <w:r w:rsidRPr="00B12FE0">
        <w:rPr>
          <w:color w:val="000000" w:themeColor="text1"/>
        </w:rPr>
        <w:t>11.2.2.1-16</w:t>
      </w:r>
      <w:r w:rsidRPr="00B12FE0">
        <w:rPr>
          <w:color w:val="000000" w:themeColor="text1"/>
        </w:rPr>
        <w:t>。</w:t>
      </w:r>
    </w:p>
    <w:p w14:paraId="656F558F" w14:textId="77777777" w:rsidR="00A67F21" w:rsidRPr="00B12FE0" w:rsidRDefault="00000000">
      <w:pPr>
        <w:tabs>
          <w:tab w:val="left" w:pos="1017"/>
        </w:tabs>
        <w:adjustRightInd w:val="0"/>
        <w:snapToGrid w:val="0"/>
        <w:jc w:val="center"/>
        <w:rPr>
          <w:b/>
          <w:color w:val="000000" w:themeColor="text1"/>
          <w:sz w:val="21"/>
          <w:szCs w:val="21"/>
        </w:rPr>
      </w:pPr>
      <w:r w:rsidRPr="00B12FE0">
        <w:rPr>
          <w:b/>
          <w:color w:val="000000" w:themeColor="text1"/>
          <w:sz w:val="21"/>
          <w:szCs w:val="21"/>
        </w:rPr>
        <w:lastRenderedPageBreak/>
        <w:t>表</w:t>
      </w:r>
      <w:r w:rsidRPr="00B12FE0">
        <w:rPr>
          <w:b/>
          <w:bCs/>
          <w:color w:val="000000" w:themeColor="text1"/>
          <w:sz w:val="21"/>
          <w:szCs w:val="21"/>
        </w:rPr>
        <w:t xml:space="preserve">11.2.2.1-16  </w:t>
      </w:r>
      <w:r w:rsidRPr="00B12FE0">
        <w:rPr>
          <w:b/>
          <w:color w:val="000000" w:themeColor="text1"/>
          <w:sz w:val="21"/>
          <w:szCs w:val="21"/>
        </w:rPr>
        <w:t>机房入口门外</w:t>
      </w:r>
      <w:r w:rsidRPr="00B12FE0">
        <w:rPr>
          <w:b/>
          <w:color w:val="000000" w:themeColor="text1"/>
          <w:sz w:val="21"/>
          <w:szCs w:val="21"/>
        </w:rPr>
        <w:t>30cm</w:t>
      </w:r>
      <w:r w:rsidRPr="00B12FE0">
        <w:rPr>
          <w:b/>
          <w:color w:val="000000" w:themeColor="text1"/>
          <w:sz w:val="21"/>
          <w:szCs w:val="21"/>
        </w:rPr>
        <w:t>处无防护门时的中子俘获</w:t>
      </w:r>
      <w:r w:rsidRPr="00B12FE0">
        <w:rPr>
          <w:b/>
          <w:color w:val="000000" w:themeColor="text1"/>
          <w:sz w:val="21"/>
          <w:szCs w:val="21"/>
        </w:rPr>
        <w:t>γ</w:t>
      </w:r>
      <w:r w:rsidRPr="00B12FE0">
        <w:rPr>
          <w:b/>
          <w:color w:val="000000" w:themeColor="text1"/>
          <w:sz w:val="21"/>
          <w:szCs w:val="21"/>
        </w:rPr>
        <w:t>射线的剂量率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877"/>
        <w:gridCol w:w="1670"/>
        <w:gridCol w:w="1565"/>
        <w:gridCol w:w="1419"/>
        <w:gridCol w:w="1497"/>
      </w:tblGrid>
      <w:tr w:rsidR="00A67F21" w:rsidRPr="00B12FE0" w14:paraId="1A8EBE49" w14:textId="77777777">
        <w:trPr>
          <w:jc w:val="center"/>
        </w:trPr>
        <w:tc>
          <w:tcPr>
            <w:tcW w:w="548" w:type="pct"/>
            <w:vAlign w:val="center"/>
          </w:tcPr>
          <w:p w14:paraId="7B323466"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关注点</w:t>
            </w:r>
          </w:p>
        </w:tc>
        <w:tc>
          <w:tcPr>
            <w:tcW w:w="1041" w:type="pct"/>
            <w:vAlign w:val="center"/>
          </w:tcPr>
          <w:p w14:paraId="50112B02" w14:textId="77777777" w:rsidR="00A67F21" w:rsidRPr="00B12FE0" w:rsidRDefault="00000000">
            <w:pPr>
              <w:tabs>
                <w:tab w:val="left" w:pos="1017"/>
              </w:tabs>
              <w:adjustRightInd w:val="0"/>
              <w:snapToGrid w:val="0"/>
              <w:jc w:val="center"/>
              <w:rPr>
                <w:color w:val="000000" w:themeColor="text1"/>
                <w:sz w:val="21"/>
                <w:szCs w:val="21"/>
                <w:vertAlign w:val="subscript"/>
              </w:rPr>
            </w:pPr>
            <w:r w:rsidRPr="00B12FE0">
              <w:rPr>
                <w:color w:val="000000" w:themeColor="text1"/>
                <w:sz w:val="21"/>
                <w:szCs w:val="21"/>
              </w:rPr>
              <w:t>Φ</w:t>
            </w:r>
            <w:r w:rsidRPr="00B12FE0">
              <w:rPr>
                <w:color w:val="000000" w:themeColor="text1"/>
                <w:sz w:val="21"/>
                <w:szCs w:val="21"/>
                <w:vertAlign w:val="subscript"/>
              </w:rPr>
              <w:t>B</w:t>
            </w:r>
          </w:p>
          <w:p w14:paraId="3DABD29B"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w:t>
            </w:r>
            <w:r w:rsidRPr="00B12FE0">
              <w:rPr>
                <w:color w:val="000000" w:themeColor="text1"/>
                <w:sz w:val="21"/>
                <w:szCs w:val="21"/>
              </w:rPr>
              <w:t>（中子数</w:t>
            </w:r>
            <w:r w:rsidRPr="00B12FE0">
              <w:rPr>
                <w:color w:val="000000" w:themeColor="text1"/>
                <w:sz w:val="21"/>
                <w:szCs w:val="21"/>
              </w:rPr>
              <w:t>/m</w:t>
            </w:r>
            <w:r w:rsidRPr="00B12FE0">
              <w:rPr>
                <w:color w:val="000000" w:themeColor="text1"/>
                <w:sz w:val="21"/>
                <w:szCs w:val="21"/>
                <w:vertAlign w:val="superscript"/>
              </w:rPr>
              <w:t>2</w:t>
            </w:r>
            <w:r w:rsidRPr="00B12FE0">
              <w:rPr>
                <w:color w:val="000000" w:themeColor="text1"/>
                <w:sz w:val="21"/>
                <w:szCs w:val="21"/>
              </w:rPr>
              <w:t>）</w:t>
            </w:r>
            <w:r w:rsidRPr="00B12FE0">
              <w:rPr>
                <w:color w:val="000000" w:themeColor="text1"/>
                <w:sz w:val="21"/>
                <w:szCs w:val="21"/>
              </w:rPr>
              <w:t>/Gy)</w:t>
            </w:r>
          </w:p>
        </w:tc>
        <w:tc>
          <w:tcPr>
            <w:tcW w:w="926" w:type="pct"/>
            <w:vAlign w:val="center"/>
          </w:tcPr>
          <w:p w14:paraId="03BB46D9"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position w:val="-4"/>
                <w:sz w:val="21"/>
                <w:szCs w:val="21"/>
              </w:rPr>
              <w:object w:dxaOrig="268" w:dyaOrig="469" w14:anchorId="7FB08598">
                <v:shape id="_x0000_i1041" type="#_x0000_t75" style="width:13.1pt;height:23.4pt" o:ole="">
                  <v:imagedata r:id="rId82" o:title=""/>
                </v:shape>
                <o:OLEObject Type="Embed" ProgID="Equation.3" ShapeID="_x0000_i1041" DrawAspect="Content" ObjectID="_1843190439" r:id="rId87"/>
              </w:object>
            </w:r>
            <w:r w:rsidRPr="00B12FE0">
              <w:rPr>
                <w:color w:val="000000" w:themeColor="text1"/>
                <w:sz w:val="21"/>
                <w:szCs w:val="21"/>
                <w:vertAlign w:val="subscript"/>
              </w:rPr>
              <w:t>o</w:t>
            </w:r>
            <w:r w:rsidRPr="00B12FE0">
              <w:rPr>
                <w:color w:val="000000" w:themeColor="text1"/>
                <w:sz w:val="21"/>
                <w:szCs w:val="21"/>
              </w:rPr>
              <w:t>(</w:t>
            </w:r>
            <w:proofErr w:type="spellStart"/>
            <w:r w:rsidRPr="00B12FE0">
              <w:rPr>
                <w:bCs/>
                <w:color w:val="000000" w:themeColor="text1"/>
                <w:sz w:val="21"/>
                <w:szCs w:val="21"/>
              </w:rPr>
              <w:t>μSv</w:t>
            </w:r>
            <w:proofErr w:type="spellEnd"/>
            <w:r w:rsidRPr="00B12FE0">
              <w:rPr>
                <w:bCs/>
                <w:color w:val="000000" w:themeColor="text1"/>
                <w:sz w:val="21"/>
                <w:szCs w:val="21"/>
              </w:rPr>
              <w:t>/h</w:t>
            </w:r>
            <w:r w:rsidRPr="00B12FE0">
              <w:rPr>
                <w:color w:val="000000" w:themeColor="text1"/>
                <w:sz w:val="21"/>
                <w:szCs w:val="21"/>
              </w:rPr>
              <w:t>)</w:t>
            </w:r>
          </w:p>
        </w:tc>
        <w:tc>
          <w:tcPr>
            <w:tcW w:w="868" w:type="pct"/>
            <w:vAlign w:val="center"/>
          </w:tcPr>
          <w:p w14:paraId="4299B1B2"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d</w:t>
            </w:r>
            <w:r w:rsidRPr="00B12FE0">
              <w:rPr>
                <w:color w:val="000000" w:themeColor="text1"/>
                <w:sz w:val="21"/>
                <w:szCs w:val="21"/>
                <w:vertAlign w:val="subscript"/>
              </w:rPr>
              <w:t>2</w:t>
            </w:r>
            <w:r w:rsidRPr="00B12FE0">
              <w:rPr>
                <w:color w:val="000000" w:themeColor="text1"/>
                <w:sz w:val="21"/>
                <w:szCs w:val="21"/>
              </w:rPr>
              <w:t>（</w:t>
            </w:r>
            <w:r w:rsidRPr="00B12FE0">
              <w:rPr>
                <w:color w:val="000000" w:themeColor="text1"/>
                <w:sz w:val="21"/>
                <w:szCs w:val="21"/>
              </w:rPr>
              <w:t>m</w:t>
            </w:r>
            <w:r w:rsidRPr="00B12FE0">
              <w:rPr>
                <w:color w:val="000000" w:themeColor="text1"/>
                <w:sz w:val="21"/>
                <w:szCs w:val="21"/>
              </w:rPr>
              <w:t>）</w:t>
            </w:r>
          </w:p>
        </w:tc>
        <w:tc>
          <w:tcPr>
            <w:tcW w:w="787" w:type="pct"/>
            <w:vAlign w:val="center"/>
          </w:tcPr>
          <w:p w14:paraId="1D42E2B7" w14:textId="77777777" w:rsidR="00A67F21" w:rsidRPr="00B12FE0" w:rsidRDefault="00000000">
            <w:pPr>
              <w:tabs>
                <w:tab w:val="left" w:pos="1017"/>
              </w:tabs>
              <w:adjustRightInd w:val="0"/>
              <w:snapToGrid w:val="0"/>
              <w:jc w:val="center"/>
              <w:rPr>
                <w:color w:val="000000" w:themeColor="text1"/>
                <w:sz w:val="21"/>
                <w:szCs w:val="21"/>
              </w:rPr>
            </w:pPr>
            <w:r w:rsidRPr="00B12FE0">
              <w:rPr>
                <w:i/>
                <w:iCs/>
                <w:color w:val="000000" w:themeColor="text1"/>
                <w:sz w:val="21"/>
                <w:szCs w:val="21"/>
              </w:rPr>
              <w:t>TVD</w:t>
            </w:r>
            <w:r w:rsidRPr="00B12FE0">
              <w:rPr>
                <w:color w:val="000000" w:themeColor="text1"/>
                <w:sz w:val="21"/>
                <w:szCs w:val="21"/>
              </w:rPr>
              <w:t>（</w:t>
            </w:r>
            <w:r w:rsidRPr="00B12FE0">
              <w:rPr>
                <w:color w:val="000000" w:themeColor="text1"/>
                <w:sz w:val="21"/>
                <w:szCs w:val="21"/>
              </w:rPr>
              <w:t>m</w:t>
            </w:r>
            <w:r w:rsidRPr="00B12FE0">
              <w:rPr>
                <w:color w:val="000000" w:themeColor="text1"/>
                <w:sz w:val="21"/>
                <w:szCs w:val="21"/>
              </w:rPr>
              <w:t>）</w:t>
            </w:r>
          </w:p>
        </w:tc>
        <w:tc>
          <w:tcPr>
            <w:tcW w:w="830" w:type="pct"/>
            <w:vAlign w:val="center"/>
          </w:tcPr>
          <w:p w14:paraId="2A005349" w14:textId="77777777" w:rsidR="00A67F21" w:rsidRPr="00B12FE0" w:rsidRDefault="00000000">
            <w:pPr>
              <w:tabs>
                <w:tab w:val="left" w:pos="1017"/>
              </w:tabs>
              <w:adjustRightInd w:val="0"/>
              <w:snapToGrid w:val="0"/>
              <w:jc w:val="center"/>
              <w:rPr>
                <w:color w:val="000000" w:themeColor="text1"/>
                <w:sz w:val="21"/>
                <w:szCs w:val="21"/>
              </w:rPr>
            </w:pPr>
            <m:oMathPara>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γ</m:t>
                    </m:r>
                  </m:sub>
                </m:sSub>
              </m:oMath>
            </m:oMathPara>
          </w:p>
          <w:p w14:paraId="6987D1F6" w14:textId="77777777" w:rsidR="00A67F21" w:rsidRPr="00B12FE0" w:rsidRDefault="00000000">
            <w:pPr>
              <w:tabs>
                <w:tab w:val="left" w:pos="1017"/>
              </w:tabs>
              <w:adjustRightInd w:val="0"/>
              <w:snapToGrid w:val="0"/>
              <w:jc w:val="center"/>
              <w:rPr>
                <w:color w:val="000000" w:themeColor="text1"/>
                <w:sz w:val="21"/>
                <w:szCs w:val="21"/>
              </w:rPr>
            </w:pPr>
            <w:proofErr w:type="spellStart"/>
            <w:r w:rsidRPr="00B12FE0">
              <w:rPr>
                <w:bCs/>
                <w:color w:val="000000" w:themeColor="text1"/>
                <w:sz w:val="21"/>
                <w:szCs w:val="21"/>
              </w:rPr>
              <w:t>μSv</w:t>
            </w:r>
            <w:proofErr w:type="spellEnd"/>
            <w:r w:rsidRPr="00B12FE0">
              <w:rPr>
                <w:bCs/>
                <w:color w:val="000000" w:themeColor="text1"/>
                <w:sz w:val="21"/>
                <w:szCs w:val="21"/>
              </w:rPr>
              <w:t>/h</w:t>
            </w:r>
          </w:p>
        </w:tc>
      </w:tr>
      <w:tr w:rsidR="00A67F21" w:rsidRPr="00B12FE0" w14:paraId="6B093DD3" w14:textId="77777777">
        <w:trPr>
          <w:jc w:val="center"/>
        </w:trPr>
        <w:tc>
          <w:tcPr>
            <w:tcW w:w="548" w:type="pct"/>
            <w:vAlign w:val="center"/>
          </w:tcPr>
          <w:p w14:paraId="7126A9EB"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g</w:t>
            </w:r>
            <w:r w:rsidRPr="00B12FE0">
              <w:rPr>
                <w:rFonts w:hint="eastAsia"/>
                <w:color w:val="000000" w:themeColor="text1"/>
                <w:sz w:val="21"/>
                <w:szCs w:val="21"/>
                <w:vertAlign w:val="subscript"/>
              </w:rPr>
              <w:t>1</w:t>
            </w:r>
          </w:p>
        </w:tc>
        <w:tc>
          <w:tcPr>
            <w:tcW w:w="1041" w:type="pct"/>
            <w:tcBorders>
              <w:top w:val="single" w:sz="4" w:space="0" w:color="auto"/>
              <w:left w:val="nil"/>
              <w:bottom w:val="single" w:sz="4" w:space="0" w:color="auto"/>
              <w:right w:val="single" w:sz="4" w:space="0" w:color="auto"/>
            </w:tcBorders>
            <w:vAlign w:val="center"/>
          </w:tcPr>
          <w:p w14:paraId="73518D6F" w14:textId="77777777" w:rsidR="00A67F21" w:rsidRPr="00B12FE0" w:rsidRDefault="00000000">
            <w:pPr>
              <w:tabs>
                <w:tab w:val="left" w:pos="1017"/>
              </w:tabs>
              <w:adjustRightInd w:val="0"/>
              <w:snapToGrid w:val="0"/>
              <w:jc w:val="center"/>
              <w:rPr>
                <w:color w:val="000000" w:themeColor="text1"/>
                <w:sz w:val="21"/>
                <w:szCs w:val="21"/>
                <w:vertAlign w:val="superscript"/>
              </w:rPr>
            </w:pPr>
            <w:r w:rsidRPr="00B12FE0">
              <w:rPr>
                <w:color w:val="000000" w:themeColor="text1"/>
                <w:sz w:val="21"/>
                <w:szCs w:val="21"/>
              </w:rPr>
              <w:t>3.24E+09</w:t>
            </w:r>
          </w:p>
        </w:tc>
        <w:tc>
          <w:tcPr>
            <w:tcW w:w="926" w:type="pct"/>
            <w:vAlign w:val="center"/>
          </w:tcPr>
          <w:p w14:paraId="1AABDF47" w14:textId="77777777" w:rsidR="00A67F21" w:rsidRPr="00B12FE0" w:rsidRDefault="00000000">
            <w:pPr>
              <w:tabs>
                <w:tab w:val="left" w:pos="1017"/>
              </w:tabs>
              <w:adjustRightInd w:val="0"/>
              <w:snapToGrid w:val="0"/>
              <w:jc w:val="center"/>
              <w:rPr>
                <w:color w:val="000000" w:themeColor="text1"/>
                <w:sz w:val="21"/>
                <w:szCs w:val="21"/>
              </w:rPr>
            </w:pPr>
            <w:r w:rsidRPr="00B12FE0">
              <w:rPr>
                <w:bCs/>
                <w:color w:val="000000" w:themeColor="text1"/>
                <w:sz w:val="21"/>
                <w:szCs w:val="21"/>
              </w:rPr>
              <w:t>3.60×10</w:t>
            </w:r>
            <w:r w:rsidRPr="00B12FE0">
              <w:rPr>
                <w:bCs/>
                <w:color w:val="000000" w:themeColor="text1"/>
                <w:sz w:val="21"/>
                <w:szCs w:val="21"/>
                <w:vertAlign w:val="superscript"/>
              </w:rPr>
              <w:t>8</w:t>
            </w:r>
            <w:r w:rsidRPr="00B12FE0">
              <w:rPr>
                <w:color w:val="000000" w:themeColor="text1"/>
                <w:sz w:val="21"/>
                <w:szCs w:val="21"/>
              </w:rPr>
              <w:t>（</w:t>
            </w:r>
            <w:r w:rsidRPr="00B12FE0">
              <w:rPr>
                <w:color w:val="000000" w:themeColor="text1"/>
                <w:sz w:val="21"/>
                <w:szCs w:val="21"/>
              </w:rPr>
              <w:t>15MV</w:t>
            </w:r>
            <w:r w:rsidRPr="00B12FE0">
              <w:rPr>
                <w:color w:val="000000" w:themeColor="text1"/>
                <w:sz w:val="21"/>
                <w:szCs w:val="21"/>
              </w:rPr>
              <w:t>）</w:t>
            </w:r>
          </w:p>
        </w:tc>
        <w:tc>
          <w:tcPr>
            <w:tcW w:w="868" w:type="pct"/>
            <w:vAlign w:val="center"/>
          </w:tcPr>
          <w:p w14:paraId="4EA15553"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10.43</w:t>
            </w:r>
          </w:p>
          <w:p w14:paraId="1E532347" w14:textId="77777777" w:rsidR="00A67F21" w:rsidRPr="00B12FE0" w:rsidRDefault="00000000">
            <w:pPr>
              <w:jc w:val="center"/>
              <w:rPr>
                <w:color w:val="000000" w:themeColor="text1"/>
                <w:sz w:val="21"/>
                <w:szCs w:val="21"/>
              </w:rPr>
            </w:pPr>
            <w:r w:rsidRPr="00B12FE0">
              <w:rPr>
                <w:color w:val="000000" w:themeColor="text1"/>
                <w:sz w:val="21"/>
                <w:szCs w:val="21"/>
              </w:rPr>
              <w:t>(7.</w:t>
            </w:r>
            <w:r w:rsidRPr="00B12FE0">
              <w:rPr>
                <w:rFonts w:hint="eastAsia"/>
                <w:color w:val="000000" w:themeColor="text1"/>
                <w:sz w:val="21"/>
                <w:szCs w:val="21"/>
              </w:rPr>
              <w:t>63</w:t>
            </w:r>
            <w:r w:rsidRPr="00B12FE0">
              <w:rPr>
                <w:color w:val="000000" w:themeColor="text1"/>
                <w:sz w:val="21"/>
                <w:szCs w:val="21"/>
              </w:rPr>
              <w:t>+</w:t>
            </w:r>
            <w:r w:rsidRPr="00B12FE0">
              <w:rPr>
                <w:rFonts w:hint="eastAsia"/>
                <w:color w:val="000000" w:themeColor="text1"/>
                <w:sz w:val="21"/>
                <w:szCs w:val="21"/>
              </w:rPr>
              <w:t>2.8</w:t>
            </w:r>
            <w:r w:rsidRPr="00B12FE0">
              <w:rPr>
                <w:color w:val="000000" w:themeColor="text1"/>
                <w:sz w:val="21"/>
                <w:szCs w:val="21"/>
              </w:rPr>
              <w:t>)</w:t>
            </w:r>
          </w:p>
        </w:tc>
        <w:tc>
          <w:tcPr>
            <w:tcW w:w="787" w:type="pct"/>
            <w:vAlign w:val="center"/>
          </w:tcPr>
          <w:p w14:paraId="767D1143" w14:textId="77777777" w:rsidR="00A67F21" w:rsidRPr="00B12FE0" w:rsidRDefault="00000000">
            <w:pPr>
              <w:tabs>
                <w:tab w:val="left" w:pos="1017"/>
              </w:tabs>
              <w:adjustRightInd w:val="0"/>
              <w:snapToGrid w:val="0"/>
              <w:jc w:val="center"/>
              <w:rPr>
                <w:color w:val="000000" w:themeColor="text1"/>
                <w:sz w:val="21"/>
                <w:szCs w:val="21"/>
              </w:rPr>
            </w:pPr>
            <w:r w:rsidRPr="00B12FE0">
              <w:rPr>
                <w:color w:val="000000" w:themeColor="text1"/>
                <w:sz w:val="21"/>
                <w:szCs w:val="21"/>
              </w:rPr>
              <w:t>3.9</w:t>
            </w:r>
          </w:p>
        </w:tc>
        <w:tc>
          <w:tcPr>
            <w:tcW w:w="830" w:type="pct"/>
            <w:vAlign w:val="center"/>
          </w:tcPr>
          <w:p w14:paraId="370C3991" w14:textId="77777777" w:rsidR="00A67F21" w:rsidRPr="00B12FE0" w:rsidRDefault="00000000">
            <w:pPr>
              <w:tabs>
                <w:tab w:val="left" w:pos="1017"/>
              </w:tabs>
              <w:adjustRightInd w:val="0"/>
              <w:snapToGrid w:val="0"/>
              <w:jc w:val="center"/>
              <w:rPr>
                <w:bCs/>
                <w:color w:val="000000" w:themeColor="text1"/>
                <w:sz w:val="21"/>
                <w:szCs w:val="21"/>
              </w:rPr>
            </w:pPr>
            <w:r w:rsidRPr="00B12FE0">
              <w:rPr>
                <w:rFonts w:hint="eastAsia"/>
                <w:bCs/>
                <w:color w:val="000000" w:themeColor="text1"/>
                <w:sz w:val="21"/>
                <w:szCs w:val="21"/>
              </w:rPr>
              <w:t>1.7</w:t>
            </w:r>
          </w:p>
        </w:tc>
      </w:tr>
      <w:tr w:rsidR="00A67F21" w:rsidRPr="00B12FE0" w14:paraId="4DE8D74D" w14:textId="77777777">
        <w:trPr>
          <w:jc w:val="center"/>
        </w:trPr>
        <w:tc>
          <w:tcPr>
            <w:tcW w:w="548" w:type="pct"/>
            <w:vAlign w:val="center"/>
          </w:tcPr>
          <w:p w14:paraId="5C95B2CC" w14:textId="77777777" w:rsidR="00A67F21" w:rsidRPr="00B12FE0" w:rsidRDefault="00000000">
            <w:pPr>
              <w:tabs>
                <w:tab w:val="left" w:pos="1017"/>
              </w:tabs>
              <w:adjustRightInd w:val="0"/>
              <w:snapToGrid w:val="0"/>
              <w:jc w:val="center"/>
              <w:rPr>
                <w:color w:val="000000" w:themeColor="text1"/>
                <w:sz w:val="21"/>
                <w:szCs w:val="21"/>
              </w:rPr>
            </w:pPr>
            <w:r w:rsidRPr="00B12FE0">
              <w:rPr>
                <w:rFonts w:hint="eastAsia"/>
                <w:color w:val="000000" w:themeColor="text1"/>
                <w:sz w:val="21"/>
                <w:szCs w:val="21"/>
              </w:rPr>
              <w:t>g</w:t>
            </w:r>
            <w:r w:rsidRPr="00B12FE0">
              <w:rPr>
                <w:rFonts w:hint="eastAsia"/>
                <w:color w:val="000000" w:themeColor="text1"/>
                <w:sz w:val="21"/>
                <w:szCs w:val="21"/>
                <w:vertAlign w:val="subscript"/>
              </w:rPr>
              <w:t>2</w:t>
            </w:r>
          </w:p>
        </w:tc>
        <w:tc>
          <w:tcPr>
            <w:tcW w:w="1041" w:type="pct"/>
            <w:tcBorders>
              <w:top w:val="single" w:sz="4" w:space="0" w:color="auto"/>
              <w:left w:val="nil"/>
              <w:bottom w:val="single" w:sz="4" w:space="0" w:color="auto"/>
              <w:right w:val="single" w:sz="4" w:space="0" w:color="auto"/>
            </w:tcBorders>
            <w:vAlign w:val="center"/>
          </w:tcPr>
          <w:p w14:paraId="75F932B8" w14:textId="77777777" w:rsidR="00A67F21" w:rsidRPr="00B12FE0" w:rsidRDefault="00000000">
            <w:pPr>
              <w:tabs>
                <w:tab w:val="left" w:pos="1017"/>
              </w:tabs>
              <w:adjustRightInd w:val="0"/>
              <w:snapToGrid w:val="0"/>
              <w:jc w:val="center"/>
              <w:rPr>
                <w:bCs/>
                <w:color w:val="000000" w:themeColor="text1"/>
                <w:sz w:val="21"/>
                <w:szCs w:val="21"/>
              </w:rPr>
            </w:pPr>
            <w:r w:rsidRPr="00B12FE0">
              <w:rPr>
                <w:color w:val="000000" w:themeColor="text1"/>
                <w:sz w:val="21"/>
                <w:szCs w:val="21"/>
              </w:rPr>
              <w:t>3.14E+09</w:t>
            </w:r>
          </w:p>
        </w:tc>
        <w:tc>
          <w:tcPr>
            <w:tcW w:w="926" w:type="pct"/>
            <w:vAlign w:val="center"/>
          </w:tcPr>
          <w:p w14:paraId="741BAB49" w14:textId="77777777" w:rsidR="00A67F21" w:rsidRPr="00B12FE0" w:rsidRDefault="00000000">
            <w:pPr>
              <w:tabs>
                <w:tab w:val="left" w:pos="1017"/>
              </w:tabs>
              <w:adjustRightInd w:val="0"/>
              <w:snapToGrid w:val="0"/>
              <w:jc w:val="center"/>
              <w:rPr>
                <w:bCs/>
                <w:color w:val="000000" w:themeColor="text1"/>
                <w:sz w:val="21"/>
                <w:szCs w:val="21"/>
              </w:rPr>
            </w:pPr>
            <w:r w:rsidRPr="00B12FE0">
              <w:rPr>
                <w:bCs/>
                <w:color w:val="000000" w:themeColor="text1"/>
                <w:sz w:val="21"/>
                <w:szCs w:val="21"/>
              </w:rPr>
              <w:t>3.60×10</w:t>
            </w:r>
            <w:r w:rsidRPr="00B12FE0">
              <w:rPr>
                <w:bCs/>
                <w:color w:val="000000" w:themeColor="text1"/>
                <w:sz w:val="21"/>
                <w:szCs w:val="21"/>
                <w:vertAlign w:val="superscript"/>
              </w:rPr>
              <w:t>8</w:t>
            </w:r>
            <w:r w:rsidRPr="00B12FE0">
              <w:rPr>
                <w:color w:val="000000" w:themeColor="text1"/>
                <w:sz w:val="21"/>
                <w:szCs w:val="21"/>
              </w:rPr>
              <w:t>（</w:t>
            </w:r>
            <w:r w:rsidRPr="00B12FE0">
              <w:rPr>
                <w:color w:val="000000" w:themeColor="text1"/>
                <w:sz w:val="21"/>
                <w:szCs w:val="21"/>
              </w:rPr>
              <w:t>15MV</w:t>
            </w:r>
            <w:r w:rsidRPr="00B12FE0">
              <w:rPr>
                <w:color w:val="000000" w:themeColor="text1"/>
                <w:sz w:val="21"/>
                <w:szCs w:val="21"/>
              </w:rPr>
              <w:t>）</w:t>
            </w:r>
          </w:p>
        </w:tc>
        <w:tc>
          <w:tcPr>
            <w:tcW w:w="868" w:type="pct"/>
            <w:vAlign w:val="center"/>
          </w:tcPr>
          <w:p w14:paraId="648705D4"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11.07</w:t>
            </w:r>
          </w:p>
          <w:p w14:paraId="2AF78F07" w14:textId="77777777" w:rsidR="00A67F21" w:rsidRPr="00B12FE0" w:rsidRDefault="00000000">
            <w:pPr>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8.27</w:t>
            </w:r>
            <w:r w:rsidRPr="00B12FE0">
              <w:rPr>
                <w:color w:val="000000" w:themeColor="text1"/>
                <w:sz w:val="21"/>
                <w:szCs w:val="21"/>
              </w:rPr>
              <w:t>+</w:t>
            </w:r>
            <w:r w:rsidRPr="00B12FE0">
              <w:rPr>
                <w:rFonts w:hint="eastAsia"/>
                <w:color w:val="000000" w:themeColor="text1"/>
                <w:sz w:val="21"/>
                <w:szCs w:val="21"/>
              </w:rPr>
              <w:t>2.8</w:t>
            </w:r>
            <w:r w:rsidRPr="00B12FE0">
              <w:rPr>
                <w:color w:val="000000" w:themeColor="text1"/>
                <w:sz w:val="21"/>
                <w:szCs w:val="21"/>
              </w:rPr>
              <w:t>)</w:t>
            </w:r>
          </w:p>
        </w:tc>
        <w:tc>
          <w:tcPr>
            <w:tcW w:w="787" w:type="pct"/>
            <w:vAlign w:val="center"/>
          </w:tcPr>
          <w:p w14:paraId="7636C06E" w14:textId="77777777" w:rsidR="00A67F21" w:rsidRPr="00B12FE0" w:rsidRDefault="00000000">
            <w:pPr>
              <w:tabs>
                <w:tab w:val="left" w:pos="1017"/>
              </w:tabs>
              <w:adjustRightInd w:val="0"/>
              <w:snapToGrid w:val="0"/>
              <w:jc w:val="center"/>
              <w:rPr>
                <w:color w:val="000000" w:themeColor="text1"/>
                <w:sz w:val="21"/>
                <w:szCs w:val="21"/>
              </w:rPr>
            </w:pPr>
            <w:r w:rsidRPr="00B12FE0">
              <w:rPr>
                <w:rFonts w:hint="eastAsia"/>
                <w:color w:val="000000" w:themeColor="text1"/>
                <w:sz w:val="21"/>
                <w:szCs w:val="21"/>
              </w:rPr>
              <w:t>3.9</w:t>
            </w:r>
          </w:p>
        </w:tc>
        <w:tc>
          <w:tcPr>
            <w:tcW w:w="830" w:type="pct"/>
            <w:vAlign w:val="center"/>
          </w:tcPr>
          <w:p w14:paraId="2D812157" w14:textId="77777777" w:rsidR="00A67F21" w:rsidRPr="00B12FE0" w:rsidRDefault="00000000">
            <w:pPr>
              <w:tabs>
                <w:tab w:val="left" w:pos="1017"/>
              </w:tabs>
              <w:adjustRightInd w:val="0"/>
              <w:snapToGrid w:val="0"/>
              <w:jc w:val="center"/>
              <w:rPr>
                <w:bCs/>
                <w:color w:val="000000" w:themeColor="text1"/>
                <w:sz w:val="21"/>
                <w:szCs w:val="21"/>
              </w:rPr>
            </w:pPr>
            <w:r w:rsidRPr="00B12FE0">
              <w:rPr>
                <w:rFonts w:hint="eastAsia"/>
                <w:bCs/>
                <w:color w:val="000000" w:themeColor="text1"/>
                <w:sz w:val="21"/>
                <w:szCs w:val="21"/>
              </w:rPr>
              <w:t>1.13</w:t>
            </w:r>
          </w:p>
        </w:tc>
      </w:tr>
    </w:tbl>
    <w:p w14:paraId="789896DC" w14:textId="77777777" w:rsidR="00A67F21" w:rsidRPr="00B12FE0" w:rsidRDefault="00000000">
      <w:pPr>
        <w:widowControl/>
        <w:tabs>
          <w:tab w:val="left" w:pos="839"/>
        </w:tabs>
        <w:adjustRightInd w:val="0"/>
        <w:spacing w:beforeLines="50" w:before="120" w:line="360" w:lineRule="auto"/>
        <w:ind w:firstLineChars="200" w:firstLine="482"/>
        <w:jc w:val="left"/>
        <w:textAlignment w:val="baseline"/>
        <w:rPr>
          <w:b/>
          <w:color w:val="000000" w:themeColor="text1"/>
          <w:kern w:val="0"/>
        </w:rPr>
      </w:pPr>
      <w:r w:rsidRPr="00B12FE0">
        <w:rPr>
          <w:rFonts w:hint="eastAsia"/>
          <w:b/>
          <w:color w:val="000000" w:themeColor="text1"/>
          <w:kern w:val="0"/>
        </w:rPr>
        <w:t>（</w:t>
      </w:r>
      <w:r w:rsidRPr="00B12FE0">
        <w:rPr>
          <w:b/>
          <w:color w:val="000000" w:themeColor="text1"/>
          <w:kern w:val="0"/>
        </w:rPr>
        <w:t>c</w:t>
      </w:r>
      <w:r w:rsidRPr="00B12FE0">
        <w:rPr>
          <w:b/>
          <w:color w:val="000000" w:themeColor="text1"/>
          <w:kern w:val="0"/>
        </w:rPr>
        <w:t>）机房入口的中子剂量率（</w:t>
      </w:r>
      <m:oMath>
        <m:sSub>
          <m:sSubPr>
            <m:ctrlPr>
              <w:rPr>
                <w:rFonts w:ascii="Cambria Math" w:hAnsi="Cambria Math"/>
                <w:i/>
                <w:color w:val="000000" w:themeColor="text1"/>
                <w:kern w:val="0"/>
              </w:rPr>
            </m:ctrlPr>
          </m:sSubPr>
          <m:e>
            <m:acc>
              <m:accPr>
                <m:chr m:val="̇"/>
                <m:ctrlPr>
                  <w:rPr>
                    <w:rFonts w:ascii="Cambria Math" w:hAnsi="Cambria Math"/>
                    <w:i/>
                    <w:color w:val="000000" w:themeColor="text1"/>
                    <w:kern w:val="0"/>
                  </w:rPr>
                </m:ctrlPr>
              </m:accPr>
              <m:e>
                <m:r>
                  <w:rPr>
                    <w:rFonts w:ascii="Cambria Math" w:hAnsi="Cambria Math"/>
                    <w:color w:val="000000" w:themeColor="text1"/>
                    <w:kern w:val="0"/>
                  </w:rPr>
                  <m:t>H</m:t>
                </m:r>
              </m:e>
            </m:acc>
          </m:e>
          <m:sub>
            <m:r>
              <w:rPr>
                <w:rFonts w:ascii="Cambria Math" w:hAnsi="Cambria Math" w:hint="eastAsia"/>
                <w:color w:val="000000" w:themeColor="text1"/>
                <w:kern w:val="0"/>
              </w:rPr>
              <m:t>n</m:t>
            </m:r>
          </m:sub>
        </m:sSub>
      </m:oMath>
      <w:r w:rsidRPr="00B12FE0">
        <w:rPr>
          <w:b/>
          <w:color w:val="000000" w:themeColor="text1"/>
          <w:kern w:val="0"/>
        </w:rPr>
        <w:t>）</w:t>
      </w:r>
    </w:p>
    <w:p w14:paraId="10E079B9" w14:textId="77777777" w:rsidR="00A67F21" w:rsidRPr="00B12FE0" w:rsidRDefault="00000000">
      <w:pPr>
        <w:spacing w:line="360" w:lineRule="auto"/>
        <w:ind w:firstLineChars="200" w:firstLine="480"/>
        <w:rPr>
          <w:rFonts w:cs="宋体"/>
          <w:color w:val="000000" w:themeColor="text1"/>
        </w:rPr>
      </w:pPr>
      <w:r w:rsidRPr="00B12FE0">
        <w:rPr>
          <w:rFonts w:cs="宋体"/>
          <w:color w:val="000000" w:themeColor="text1"/>
        </w:rPr>
        <w:t>机房内的中子经迷路散射后在机房入口门外</w:t>
      </w:r>
      <w:r w:rsidRPr="00B12FE0">
        <w:rPr>
          <w:rFonts w:cs="宋体"/>
          <w:color w:val="000000" w:themeColor="text1"/>
        </w:rPr>
        <w:t>30cm</w:t>
      </w:r>
      <w:r w:rsidRPr="00B12FE0">
        <w:rPr>
          <w:rFonts w:cs="宋体"/>
          <w:color w:val="000000" w:themeColor="text1"/>
        </w:rPr>
        <w:t>（</w:t>
      </w:r>
      <w:r w:rsidRPr="00B12FE0">
        <w:rPr>
          <w:rFonts w:cs="宋体"/>
          <w:color w:val="000000" w:themeColor="text1"/>
        </w:rPr>
        <w:t>g</w:t>
      </w:r>
      <w:r w:rsidRPr="00B12FE0">
        <w:rPr>
          <w:rFonts w:cs="宋体"/>
          <w:color w:val="000000" w:themeColor="text1"/>
        </w:rPr>
        <w:t>点）处无防护门时的剂量率</w:t>
      </w:r>
      <m:oMath>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hint="eastAsia"/>
                <w:color w:val="000000" w:themeColor="text1"/>
              </w:rPr>
              <m:t>n</m:t>
            </m:r>
          </m:sub>
        </m:sSub>
      </m:oMath>
      <w:r w:rsidRPr="00B12FE0">
        <w:rPr>
          <w:rFonts w:cs="宋体"/>
          <w:color w:val="000000" w:themeColor="text1"/>
        </w:rPr>
        <w:t>按式（</w:t>
      </w:r>
      <w:r w:rsidRPr="00B12FE0">
        <w:rPr>
          <w:rFonts w:cs="宋体"/>
          <w:color w:val="000000" w:themeColor="text1"/>
        </w:rPr>
        <w:t>11.2.2.1-10</w:t>
      </w:r>
      <w:r w:rsidRPr="00B12FE0">
        <w:rPr>
          <w:rFonts w:cs="宋体"/>
          <w:color w:val="000000" w:themeColor="text1"/>
        </w:rPr>
        <w:t>）计算：</w:t>
      </w:r>
    </w:p>
    <w:p w14:paraId="0EAA752B" w14:textId="77777777" w:rsidR="00A67F21" w:rsidRPr="00B12FE0" w:rsidRDefault="00000000">
      <w:pPr>
        <w:spacing w:afterLines="50" w:after="120"/>
        <w:ind w:firstLineChars="150" w:firstLine="360"/>
        <w:jc w:val="left"/>
        <w:rPr>
          <w:rFonts w:cs="宋体"/>
          <w:color w:val="000000" w:themeColor="text1"/>
        </w:rPr>
      </w:pPr>
      <w:r w:rsidRPr="00B12FE0">
        <w:rPr>
          <w:rFonts w:cs="宋体"/>
          <w:color w:val="000000" w:themeColor="text1"/>
          <w:position w:val="-32"/>
          <w:vertAlign w:val="subscript"/>
        </w:rPr>
        <w:object w:dxaOrig="6364" w:dyaOrig="720" w14:anchorId="32022636">
          <v:shape id="_x0000_i1042" type="#_x0000_t75" style="width:317.9pt;height:36.45pt" o:ole="">
            <v:imagedata r:id="rId88" o:title=""/>
          </v:shape>
          <o:OLEObject Type="Embed" ProgID="Equation.3" ShapeID="_x0000_i1042" DrawAspect="Content" ObjectID="_1843190440" r:id="rId89"/>
        </w:object>
      </w:r>
      <w:proofErr w:type="gramStart"/>
      <w:r w:rsidRPr="00B12FE0">
        <w:rPr>
          <w:rFonts w:cs="宋体"/>
          <w:color w:val="000000" w:themeColor="text1"/>
        </w:rPr>
        <w:t>….</w:t>
      </w:r>
      <w:r w:rsidRPr="00B12FE0">
        <w:rPr>
          <w:rFonts w:cs="宋体"/>
          <w:color w:val="000000" w:themeColor="text1"/>
        </w:rPr>
        <w:t>（</w:t>
      </w:r>
      <w:proofErr w:type="gramEnd"/>
      <w:r w:rsidRPr="00B12FE0">
        <w:rPr>
          <w:rFonts w:cs="宋体"/>
          <w:color w:val="000000" w:themeColor="text1"/>
        </w:rPr>
        <w:t>式</w:t>
      </w:r>
      <w:r w:rsidRPr="00B12FE0">
        <w:rPr>
          <w:rFonts w:cs="宋体"/>
          <w:color w:val="000000" w:themeColor="text1"/>
        </w:rPr>
        <w:t>11.2.2.1-10</w:t>
      </w:r>
      <w:r w:rsidRPr="00B12FE0">
        <w:rPr>
          <w:rFonts w:cs="宋体"/>
          <w:color w:val="000000" w:themeColor="text1"/>
        </w:rPr>
        <w:t>）</w:t>
      </w:r>
    </w:p>
    <w:p w14:paraId="3C5DA69F" w14:textId="77777777" w:rsidR="00A67F21" w:rsidRPr="00B12FE0" w:rsidRDefault="00000000">
      <w:pPr>
        <w:spacing w:line="360" w:lineRule="auto"/>
        <w:ind w:firstLineChars="200" w:firstLine="480"/>
        <w:rPr>
          <w:rFonts w:cs="宋体"/>
          <w:color w:val="000000" w:themeColor="text1"/>
        </w:rPr>
      </w:pPr>
      <w:r w:rsidRPr="00B12FE0">
        <w:rPr>
          <w:rFonts w:cs="宋体"/>
          <w:color w:val="000000" w:themeColor="text1"/>
        </w:rPr>
        <w:t>式中：</w:t>
      </w:r>
    </w:p>
    <w:p w14:paraId="6FCDFDD9" w14:textId="77777777" w:rsidR="00A67F21" w:rsidRPr="00B12FE0" w:rsidRDefault="00000000">
      <w:pPr>
        <w:spacing w:line="360" w:lineRule="auto"/>
        <w:ind w:firstLineChars="400" w:firstLine="960"/>
        <w:rPr>
          <w:rFonts w:cs="宋体"/>
          <w:color w:val="000000" w:themeColor="text1"/>
        </w:rPr>
      </w:pPr>
      <w:r w:rsidRPr="00B12FE0">
        <w:rPr>
          <w:rFonts w:cs="宋体"/>
          <w:color w:val="000000" w:themeColor="text1"/>
        </w:rPr>
        <w:t>2.4×10</w:t>
      </w:r>
      <w:r w:rsidRPr="00B12FE0">
        <w:rPr>
          <w:rFonts w:cs="宋体"/>
          <w:color w:val="000000" w:themeColor="text1"/>
          <w:vertAlign w:val="superscript"/>
        </w:rPr>
        <w:t>-15</w:t>
      </w:r>
      <w:proofErr w:type="gramStart"/>
      <w:r w:rsidRPr="00B12FE0">
        <w:rPr>
          <w:rFonts w:cs="宋体"/>
          <w:color w:val="000000" w:themeColor="text1"/>
        </w:rPr>
        <w:t>—</w:t>
      </w:r>
      <w:r w:rsidRPr="00B12FE0">
        <w:rPr>
          <w:rFonts w:cs="宋体"/>
          <w:color w:val="000000" w:themeColor="text1"/>
        </w:rPr>
        <w:t>该计算方法</w:t>
      </w:r>
      <w:proofErr w:type="gramEnd"/>
      <w:r w:rsidRPr="00B12FE0">
        <w:rPr>
          <w:rFonts w:cs="宋体"/>
          <w:color w:val="000000" w:themeColor="text1"/>
        </w:rPr>
        <w:t>中的经验因子，</w:t>
      </w:r>
      <w:r w:rsidRPr="00B12FE0">
        <w:rPr>
          <w:rFonts w:cs="宋体"/>
          <w:color w:val="000000" w:themeColor="text1"/>
        </w:rPr>
        <w:t>Sv/</w:t>
      </w:r>
      <w:r w:rsidRPr="00B12FE0">
        <w:rPr>
          <w:rFonts w:cs="宋体"/>
          <w:color w:val="000000" w:themeColor="text1"/>
        </w:rPr>
        <w:t>（中子数</w:t>
      </w:r>
      <w:r w:rsidRPr="00B12FE0">
        <w:rPr>
          <w:rFonts w:cs="宋体"/>
          <w:color w:val="000000" w:themeColor="text1"/>
        </w:rPr>
        <w:t>/m</w:t>
      </w:r>
      <w:r w:rsidRPr="00B12FE0">
        <w:rPr>
          <w:rFonts w:cs="宋体"/>
          <w:color w:val="000000" w:themeColor="text1"/>
          <w:vertAlign w:val="superscript"/>
        </w:rPr>
        <w:t>2</w:t>
      </w:r>
      <w:r w:rsidRPr="00B12FE0">
        <w:rPr>
          <w:rFonts w:cs="宋体"/>
          <w:color w:val="000000" w:themeColor="text1"/>
        </w:rPr>
        <w:t>）；</w:t>
      </w:r>
    </w:p>
    <w:p w14:paraId="4C9050BD" w14:textId="77777777" w:rsidR="00A67F21" w:rsidRPr="00B12FE0" w:rsidRDefault="00000000">
      <w:pPr>
        <w:spacing w:line="360" w:lineRule="auto"/>
        <w:ind w:firstLineChars="400" w:firstLine="960"/>
        <w:rPr>
          <w:rFonts w:cs="宋体"/>
          <w:color w:val="000000" w:themeColor="text1"/>
        </w:rPr>
      </w:pPr>
      <w:r w:rsidRPr="00B12FE0">
        <w:rPr>
          <w:rFonts w:cs="宋体"/>
          <w:i/>
          <w:color w:val="000000" w:themeColor="text1"/>
        </w:rPr>
        <w:t>S</w:t>
      </w:r>
      <w:r w:rsidRPr="00B12FE0">
        <w:rPr>
          <w:rFonts w:cs="宋体"/>
          <w:i/>
          <w:color w:val="000000" w:themeColor="text1"/>
          <w:vertAlign w:val="subscript"/>
        </w:rPr>
        <w:t>0</w:t>
      </w:r>
      <w:r w:rsidRPr="00B12FE0">
        <w:rPr>
          <w:rFonts w:cs="宋体"/>
          <w:color w:val="000000" w:themeColor="text1"/>
        </w:rPr>
        <w:t>—</w:t>
      </w:r>
      <w:r w:rsidRPr="00B12FE0">
        <w:rPr>
          <w:rFonts w:cs="宋体"/>
          <w:color w:val="000000" w:themeColor="text1"/>
        </w:rPr>
        <w:t>迷路内口的面积，</w:t>
      </w:r>
      <w:r w:rsidRPr="00B12FE0">
        <w:rPr>
          <w:rFonts w:cs="宋体" w:hint="eastAsia"/>
          <w:color w:val="000000" w:themeColor="text1"/>
        </w:rPr>
        <w:t>直线加速器机房</w:t>
      </w:r>
      <w:r w:rsidRPr="00B12FE0">
        <w:rPr>
          <w:rFonts w:cs="宋体" w:hint="eastAsia"/>
          <w:color w:val="000000" w:themeColor="text1"/>
        </w:rPr>
        <w:t>1</w:t>
      </w:r>
      <w:r w:rsidRPr="00B12FE0">
        <w:rPr>
          <w:rFonts w:cs="宋体" w:hint="eastAsia"/>
          <w:color w:val="000000" w:themeColor="text1"/>
        </w:rPr>
        <w:t>：</w:t>
      </w:r>
      <w:r w:rsidRPr="00B12FE0">
        <w:rPr>
          <w:rFonts w:cs="宋体"/>
          <w:i/>
          <w:color w:val="000000" w:themeColor="text1"/>
        </w:rPr>
        <w:t>S</w:t>
      </w:r>
      <w:r w:rsidRPr="00B12FE0">
        <w:rPr>
          <w:rFonts w:cs="宋体"/>
          <w:i/>
          <w:color w:val="000000" w:themeColor="text1"/>
          <w:vertAlign w:val="subscript"/>
        </w:rPr>
        <w:t>0</w:t>
      </w:r>
      <w:r w:rsidRPr="00B12FE0">
        <w:rPr>
          <w:rFonts w:cs="宋体"/>
          <w:color w:val="000000" w:themeColor="text1"/>
        </w:rPr>
        <w:t>=</w:t>
      </w:r>
      <w:r w:rsidRPr="00B12FE0">
        <w:rPr>
          <w:rFonts w:cs="宋体" w:hint="eastAsia"/>
          <w:color w:val="000000" w:themeColor="text1"/>
        </w:rPr>
        <w:t>3.1</w:t>
      </w:r>
      <w:r w:rsidRPr="00B12FE0">
        <w:rPr>
          <w:rFonts w:cs="宋体"/>
          <w:color w:val="000000" w:themeColor="text1"/>
        </w:rPr>
        <w:t>×</w:t>
      </w:r>
      <w:r w:rsidRPr="00B12FE0">
        <w:rPr>
          <w:rFonts w:cs="宋体" w:hint="eastAsia"/>
          <w:color w:val="000000" w:themeColor="text1"/>
        </w:rPr>
        <w:t>6.4</w:t>
      </w:r>
      <w:r w:rsidRPr="00B12FE0">
        <w:rPr>
          <w:rFonts w:cs="宋体"/>
          <w:color w:val="000000" w:themeColor="text1"/>
        </w:rPr>
        <w:t>=1</w:t>
      </w:r>
      <w:r w:rsidRPr="00B12FE0">
        <w:rPr>
          <w:rFonts w:cs="宋体" w:hint="eastAsia"/>
          <w:color w:val="000000" w:themeColor="text1"/>
        </w:rPr>
        <w:t>9.84</w:t>
      </w:r>
      <w:r w:rsidRPr="00B12FE0">
        <w:rPr>
          <w:rFonts w:cs="宋体"/>
          <w:color w:val="000000" w:themeColor="text1"/>
        </w:rPr>
        <w:t>m</w:t>
      </w:r>
      <w:r w:rsidRPr="00B12FE0">
        <w:rPr>
          <w:rFonts w:cs="宋体"/>
          <w:color w:val="000000" w:themeColor="text1"/>
          <w:vertAlign w:val="superscript"/>
        </w:rPr>
        <w:t>2</w:t>
      </w:r>
      <w:r w:rsidRPr="00B12FE0">
        <w:rPr>
          <w:rFonts w:cs="宋体" w:hint="eastAsia"/>
          <w:color w:val="000000" w:themeColor="text1"/>
        </w:rPr>
        <w:t>、直线加速器机房</w:t>
      </w:r>
      <w:r w:rsidRPr="00B12FE0">
        <w:rPr>
          <w:rFonts w:cs="宋体" w:hint="eastAsia"/>
          <w:color w:val="000000" w:themeColor="text1"/>
        </w:rPr>
        <w:t>2</w:t>
      </w:r>
      <w:r w:rsidRPr="00B12FE0">
        <w:rPr>
          <w:rFonts w:cs="宋体" w:hint="eastAsia"/>
          <w:color w:val="000000" w:themeColor="text1"/>
        </w:rPr>
        <w:t>：</w:t>
      </w:r>
      <w:r w:rsidRPr="00B12FE0">
        <w:rPr>
          <w:rFonts w:cs="宋体"/>
          <w:i/>
          <w:color w:val="000000" w:themeColor="text1"/>
        </w:rPr>
        <w:t>S</w:t>
      </w:r>
      <w:r w:rsidRPr="00B12FE0">
        <w:rPr>
          <w:rFonts w:cs="宋体"/>
          <w:i/>
          <w:color w:val="000000" w:themeColor="text1"/>
          <w:vertAlign w:val="subscript"/>
        </w:rPr>
        <w:t>0</w:t>
      </w:r>
      <w:r w:rsidRPr="00B12FE0">
        <w:rPr>
          <w:rFonts w:cs="宋体"/>
          <w:color w:val="000000" w:themeColor="text1"/>
        </w:rPr>
        <w:t>=</w:t>
      </w:r>
      <w:r w:rsidRPr="00B12FE0">
        <w:rPr>
          <w:rFonts w:cs="宋体" w:hint="eastAsia"/>
          <w:color w:val="000000" w:themeColor="text1"/>
        </w:rPr>
        <w:t>2.7</w:t>
      </w:r>
      <w:r w:rsidRPr="00B12FE0">
        <w:rPr>
          <w:rFonts w:cs="宋体"/>
          <w:color w:val="000000" w:themeColor="text1"/>
        </w:rPr>
        <w:t>×</w:t>
      </w:r>
      <w:r w:rsidRPr="00B12FE0">
        <w:rPr>
          <w:rFonts w:cs="宋体" w:hint="eastAsia"/>
          <w:color w:val="000000" w:themeColor="text1"/>
        </w:rPr>
        <w:t>6.4</w:t>
      </w:r>
      <w:r w:rsidRPr="00B12FE0">
        <w:rPr>
          <w:rFonts w:cs="宋体"/>
          <w:color w:val="000000" w:themeColor="text1"/>
        </w:rPr>
        <w:t>=1</w:t>
      </w:r>
      <w:r w:rsidRPr="00B12FE0">
        <w:rPr>
          <w:rFonts w:cs="宋体" w:hint="eastAsia"/>
          <w:color w:val="000000" w:themeColor="text1"/>
        </w:rPr>
        <w:t>7.28</w:t>
      </w:r>
      <w:r w:rsidRPr="00B12FE0">
        <w:rPr>
          <w:rFonts w:cs="宋体"/>
          <w:color w:val="000000" w:themeColor="text1"/>
        </w:rPr>
        <w:t>m</w:t>
      </w:r>
      <w:r w:rsidRPr="00B12FE0">
        <w:rPr>
          <w:rFonts w:cs="宋体"/>
          <w:color w:val="000000" w:themeColor="text1"/>
          <w:vertAlign w:val="superscript"/>
        </w:rPr>
        <w:t>2</w:t>
      </w:r>
      <w:r w:rsidRPr="00B12FE0">
        <w:rPr>
          <w:rFonts w:cs="宋体"/>
          <w:color w:val="000000" w:themeColor="text1"/>
        </w:rPr>
        <w:t>；</w:t>
      </w:r>
    </w:p>
    <w:p w14:paraId="57763382" w14:textId="77777777" w:rsidR="00A67F21" w:rsidRPr="00B12FE0" w:rsidRDefault="00000000">
      <w:pPr>
        <w:spacing w:line="360" w:lineRule="auto"/>
        <w:ind w:firstLineChars="400" w:firstLine="960"/>
        <w:rPr>
          <w:rFonts w:cs="宋体"/>
          <w:color w:val="000000" w:themeColor="text1"/>
        </w:rPr>
      </w:pPr>
      <w:r w:rsidRPr="00B12FE0">
        <w:rPr>
          <w:rFonts w:cs="宋体"/>
          <w:i/>
          <w:color w:val="000000" w:themeColor="text1"/>
        </w:rPr>
        <w:t>S</w:t>
      </w:r>
      <w:r w:rsidRPr="00B12FE0">
        <w:rPr>
          <w:rFonts w:cs="宋体"/>
          <w:i/>
          <w:color w:val="000000" w:themeColor="text1"/>
          <w:vertAlign w:val="subscript"/>
        </w:rPr>
        <w:t>1</w:t>
      </w:r>
      <w:r w:rsidRPr="00B12FE0">
        <w:rPr>
          <w:rFonts w:cs="宋体"/>
          <w:color w:val="000000" w:themeColor="text1"/>
        </w:rPr>
        <w:t>—</w:t>
      </w:r>
      <w:r w:rsidRPr="00B12FE0">
        <w:rPr>
          <w:rFonts w:cs="宋体"/>
          <w:color w:val="000000" w:themeColor="text1"/>
        </w:rPr>
        <w:t>迷路横截面积，</w:t>
      </w:r>
      <w:r w:rsidRPr="00B12FE0">
        <w:rPr>
          <w:rFonts w:eastAsia="仿宋_GB2312" w:cs="宋体"/>
          <w:i/>
          <w:color w:val="000000" w:themeColor="text1"/>
        </w:rPr>
        <w:t>S</w:t>
      </w:r>
      <w:r w:rsidRPr="00B12FE0">
        <w:rPr>
          <w:rFonts w:eastAsia="仿宋_GB2312" w:cs="宋体"/>
          <w:i/>
          <w:color w:val="000000" w:themeColor="text1"/>
          <w:vertAlign w:val="subscript"/>
        </w:rPr>
        <w:t>1</w:t>
      </w:r>
      <w:r w:rsidRPr="00B12FE0">
        <w:rPr>
          <w:rFonts w:eastAsia="仿宋_GB2312" w:cs="宋体"/>
          <w:color w:val="000000" w:themeColor="text1"/>
        </w:rPr>
        <w:t>=</w:t>
      </w:r>
      <w:r w:rsidRPr="00B12FE0">
        <w:rPr>
          <w:rFonts w:cs="宋体"/>
          <w:color w:val="000000" w:themeColor="text1"/>
        </w:rPr>
        <w:t>2×</w:t>
      </w:r>
      <w:r w:rsidRPr="00B12FE0">
        <w:rPr>
          <w:rFonts w:cs="宋体" w:hint="eastAsia"/>
          <w:color w:val="000000" w:themeColor="text1"/>
        </w:rPr>
        <w:t>6.4</w:t>
      </w:r>
      <w:r w:rsidRPr="00B12FE0">
        <w:rPr>
          <w:rFonts w:cs="宋体"/>
          <w:color w:val="000000" w:themeColor="text1"/>
        </w:rPr>
        <w:t>=1</w:t>
      </w:r>
      <w:r w:rsidRPr="00B12FE0">
        <w:rPr>
          <w:rFonts w:cs="宋体" w:hint="eastAsia"/>
          <w:color w:val="000000" w:themeColor="text1"/>
        </w:rPr>
        <w:t>2.8</w:t>
      </w:r>
      <w:r w:rsidRPr="00B12FE0">
        <w:rPr>
          <w:rFonts w:cs="宋体"/>
          <w:color w:val="000000" w:themeColor="text1"/>
        </w:rPr>
        <w:t>m</w:t>
      </w:r>
      <w:r w:rsidRPr="00B12FE0">
        <w:rPr>
          <w:rFonts w:cs="宋体"/>
          <w:color w:val="000000" w:themeColor="text1"/>
          <w:vertAlign w:val="superscript"/>
        </w:rPr>
        <w:t>2</w:t>
      </w:r>
      <w:r w:rsidRPr="00B12FE0">
        <w:rPr>
          <w:rFonts w:cs="宋体"/>
          <w:color w:val="000000" w:themeColor="text1"/>
        </w:rPr>
        <w:t>；</w:t>
      </w:r>
    </w:p>
    <w:p w14:paraId="6CA2DBB0" w14:textId="77777777" w:rsidR="00A67F21" w:rsidRPr="00B12FE0" w:rsidRDefault="00000000">
      <w:pPr>
        <w:spacing w:line="360" w:lineRule="auto"/>
        <w:ind w:firstLineChars="400" w:firstLine="960"/>
        <w:rPr>
          <w:rFonts w:cs="宋体"/>
          <w:color w:val="000000" w:themeColor="text1"/>
        </w:rPr>
      </w:pPr>
      <w:r w:rsidRPr="00B12FE0">
        <w:rPr>
          <w:rFonts w:cs="宋体"/>
          <w:i/>
          <w:color w:val="000000" w:themeColor="text1"/>
        </w:rPr>
        <w:t>d</w:t>
      </w:r>
      <w:r w:rsidRPr="00B12FE0">
        <w:rPr>
          <w:rFonts w:cs="宋体"/>
          <w:i/>
          <w:color w:val="000000" w:themeColor="text1"/>
          <w:vertAlign w:val="subscript"/>
        </w:rPr>
        <w:t>2</w:t>
      </w:r>
      <w:r w:rsidRPr="00B12FE0">
        <w:rPr>
          <w:rFonts w:cs="宋体"/>
          <w:color w:val="000000" w:themeColor="text1"/>
        </w:rPr>
        <w:t>—B</w:t>
      </w:r>
      <w:r w:rsidRPr="00B12FE0">
        <w:rPr>
          <w:rFonts w:cs="宋体"/>
          <w:color w:val="000000" w:themeColor="text1"/>
        </w:rPr>
        <w:t>点到迷路入口（</w:t>
      </w:r>
      <w:r w:rsidRPr="00B12FE0">
        <w:rPr>
          <w:rFonts w:cs="宋体"/>
          <w:color w:val="000000" w:themeColor="text1"/>
        </w:rPr>
        <w:t>g</w:t>
      </w:r>
      <w:r w:rsidRPr="00B12FE0">
        <w:rPr>
          <w:rFonts w:cs="宋体"/>
          <w:color w:val="000000" w:themeColor="text1"/>
        </w:rPr>
        <w:t>）的距离，</w:t>
      </w:r>
      <w:r w:rsidRPr="00B12FE0">
        <w:rPr>
          <w:rFonts w:cs="宋体"/>
          <w:color w:val="000000" w:themeColor="text1"/>
        </w:rPr>
        <w:t>m</w:t>
      </w:r>
      <w:r w:rsidRPr="00B12FE0">
        <w:rPr>
          <w:rFonts w:cs="宋体"/>
          <w:color w:val="000000" w:themeColor="text1"/>
        </w:rPr>
        <w:t>；</w:t>
      </w:r>
    </w:p>
    <w:p w14:paraId="3ED2EA7F" w14:textId="77777777" w:rsidR="00A67F21" w:rsidRPr="00B12FE0" w:rsidRDefault="00000000">
      <w:pPr>
        <w:spacing w:line="360" w:lineRule="auto"/>
        <w:ind w:firstLineChars="400" w:firstLine="960"/>
        <w:rPr>
          <w:rFonts w:cs="宋体"/>
          <w:i/>
          <w:color w:val="000000" w:themeColor="text1"/>
        </w:rPr>
      </w:pPr>
      <w:r w:rsidRPr="00B12FE0">
        <w:rPr>
          <w:rFonts w:cs="宋体"/>
          <w:i/>
          <w:color w:val="000000" w:themeColor="text1"/>
        </w:rPr>
        <w:t>T</w:t>
      </w:r>
      <w:r w:rsidRPr="00B12FE0">
        <w:rPr>
          <w:rFonts w:cs="宋体"/>
          <w:i/>
          <w:color w:val="000000" w:themeColor="text1"/>
          <w:vertAlign w:val="subscript"/>
        </w:rPr>
        <w:t>n</w:t>
      </w:r>
      <w:r w:rsidRPr="00B12FE0">
        <w:rPr>
          <w:rFonts w:cs="宋体"/>
          <w:color w:val="000000" w:themeColor="text1"/>
        </w:rPr>
        <w:t>—</w:t>
      </w:r>
      <w:r w:rsidRPr="00B12FE0">
        <w:rPr>
          <w:rFonts w:cs="宋体"/>
          <w:color w:val="000000" w:themeColor="text1"/>
        </w:rPr>
        <w:t>迷路中能量相对高的中子剂量组分式（式</w:t>
      </w:r>
      <w:r w:rsidRPr="00B12FE0">
        <w:rPr>
          <w:rFonts w:cs="宋体"/>
          <w:color w:val="000000" w:themeColor="text1"/>
        </w:rPr>
        <w:t>11.2.2.1-10</w:t>
      </w:r>
      <w:r w:rsidRPr="00B12FE0">
        <w:rPr>
          <w:rFonts w:cs="宋体"/>
          <w:color w:val="000000" w:themeColor="text1"/>
        </w:rPr>
        <w:t>）方括号中的第二项衰减至十分之一行径的距离（</w:t>
      </w:r>
      <w:r w:rsidRPr="00B12FE0">
        <w:rPr>
          <w:rFonts w:cs="宋体"/>
          <w:color w:val="000000" w:themeColor="text1"/>
        </w:rPr>
        <w:t>m</w:t>
      </w:r>
      <w:r w:rsidRPr="00B12FE0">
        <w:rPr>
          <w:rFonts w:cs="宋体"/>
          <w:color w:val="000000" w:themeColor="text1"/>
        </w:rPr>
        <w:t>），</w:t>
      </w:r>
      <w:proofErr w:type="gramStart"/>
      <w:r w:rsidRPr="00B12FE0">
        <w:rPr>
          <w:rFonts w:cs="宋体"/>
          <w:color w:val="000000" w:themeColor="text1"/>
        </w:rPr>
        <w:t>称为什值距离</w:t>
      </w:r>
      <w:proofErr w:type="gramEnd"/>
      <w:r w:rsidRPr="00B12FE0">
        <w:rPr>
          <w:rFonts w:cs="宋体"/>
          <w:color w:val="000000" w:themeColor="text1"/>
        </w:rPr>
        <w:t>。</w:t>
      </w:r>
      <w:r w:rsidRPr="00B12FE0">
        <w:rPr>
          <w:rFonts w:cs="宋体"/>
          <w:color w:val="000000" w:themeColor="text1"/>
        </w:rPr>
        <w:t>T</w:t>
      </w:r>
      <w:r w:rsidRPr="00B12FE0">
        <w:rPr>
          <w:rFonts w:cs="宋体"/>
          <w:color w:val="000000" w:themeColor="text1"/>
          <w:vertAlign w:val="subscript"/>
        </w:rPr>
        <w:t>n</w:t>
      </w:r>
      <w:r w:rsidRPr="00B12FE0">
        <w:rPr>
          <w:rFonts w:cs="宋体"/>
          <w:color w:val="000000" w:themeColor="text1"/>
        </w:rPr>
        <w:t>是一个经验值，与迷路横截面积有关，</w:t>
      </w:r>
      <w:r w:rsidRPr="00B12FE0">
        <w:rPr>
          <w:rFonts w:cs="宋体"/>
          <w:color w:val="000000" w:themeColor="text1"/>
        </w:rPr>
        <w:t>T</w:t>
      </w:r>
      <w:r w:rsidRPr="00B12FE0">
        <w:rPr>
          <w:rFonts w:cs="宋体"/>
          <w:color w:val="000000" w:themeColor="text1"/>
          <w:vertAlign w:val="subscript"/>
        </w:rPr>
        <w:t>n</w:t>
      </w:r>
      <w:r w:rsidRPr="00B12FE0">
        <w:rPr>
          <w:rFonts w:cs="宋体"/>
          <w:color w:val="000000" w:themeColor="text1"/>
        </w:rPr>
        <w:t>按下式计算：</w:t>
      </w:r>
    </w:p>
    <w:p w14:paraId="3C7AD1D8" w14:textId="77777777" w:rsidR="00A67F21" w:rsidRPr="00B12FE0" w:rsidRDefault="00000000">
      <w:pPr>
        <w:spacing w:line="500" w:lineRule="exact"/>
        <w:ind w:firstLineChars="200" w:firstLine="480"/>
        <w:jc w:val="center"/>
        <w:rPr>
          <w:rFonts w:cs="宋体"/>
          <w:color w:val="000000" w:themeColor="text1"/>
        </w:rPr>
      </w:pPr>
      <w:r w:rsidRPr="00B12FE0">
        <w:rPr>
          <w:rFonts w:cs="宋体"/>
          <w:i/>
          <w:color w:val="000000" w:themeColor="text1"/>
        </w:rPr>
        <w:t>T</w:t>
      </w:r>
      <w:r w:rsidRPr="00B12FE0">
        <w:rPr>
          <w:rFonts w:cs="宋体"/>
          <w:i/>
          <w:color w:val="000000" w:themeColor="text1"/>
          <w:vertAlign w:val="subscript"/>
        </w:rPr>
        <w:t>n</w:t>
      </w:r>
      <w:r w:rsidRPr="00B12FE0">
        <w:rPr>
          <w:rFonts w:cs="宋体"/>
          <w:color w:val="000000" w:themeColor="text1"/>
        </w:rPr>
        <w:t>=2.06</w:t>
      </w:r>
      <w:r w:rsidRPr="00B12FE0">
        <w:rPr>
          <w:rFonts w:cs="宋体"/>
          <w:color w:val="000000" w:themeColor="text1"/>
          <w:position w:val="-12"/>
        </w:rPr>
        <w:object w:dxaOrig="452" w:dyaOrig="452" w14:anchorId="1780A130">
          <v:shape id="_x0000_i1043" type="#_x0000_t75" style="width:22.45pt;height:22.45pt" o:ole="">
            <v:imagedata r:id="rId90" o:title=""/>
          </v:shape>
          <o:OLEObject Type="Embed" ProgID="Equation.3" ShapeID="_x0000_i1043" DrawAspect="Content" ObjectID="_1843190441" r:id="rId91"/>
        </w:object>
      </w:r>
      <w:r w:rsidRPr="00B12FE0">
        <w:rPr>
          <w:rFonts w:cs="宋体"/>
          <w:color w:val="000000" w:themeColor="text1"/>
        </w:rPr>
        <w:t>……………………………………</w:t>
      </w:r>
      <w:proofErr w:type="gramStart"/>
      <w:r w:rsidRPr="00B12FE0">
        <w:rPr>
          <w:rFonts w:cs="宋体"/>
          <w:color w:val="000000" w:themeColor="text1"/>
        </w:rPr>
        <w:t>…..</w:t>
      </w:r>
      <w:proofErr w:type="gramEnd"/>
      <w:r w:rsidRPr="00B12FE0">
        <w:rPr>
          <w:rFonts w:cs="宋体"/>
          <w:color w:val="000000" w:themeColor="text1"/>
        </w:rPr>
        <w:t>（式</w:t>
      </w:r>
      <w:r w:rsidRPr="00B12FE0">
        <w:rPr>
          <w:rFonts w:cs="宋体"/>
          <w:color w:val="000000" w:themeColor="text1"/>
        </w:rPr>
        <w:t>11.2.2.1-11</w:t>
      </w:r>
      <w:r w:rsidRPr="00B12FE0">
        <w:rPr>
          <w:rFonts w:cs="宋体"/>
          <w:color w:val="000000" w:themeColor="text1"/>
        </w:rPr>
        <w:t>）</w:t>
      </w:r>
    </w:p>
    <w:p w14:paraId="4ED11ECA" w14:textId="77777777" w:rsidR="00A67F21" w:rsidRPr="00B12FE0" w:rsidRDefault="00000000">
      <w:pPr>
        <w:spacing w:line="500" w:lineRule="exact"/>
        <w:ind w:firstLineChars="200" w:firstLine="480"/>
        <w:rPr>
          <w:rFonts w:cs="宋体"/>
          <w:color w:val="000000" w:themeColor="text1"/>
        </w:rPr>
      </w:pPr>
      <w:r w:rsidRPr="00B12FE0">
        <w:rPr>
          <w:rFonts w:cs="宋体"/>
          <w:color w:val="000000" w:themeColor="text1"/>
        </w:rPr>
        <w:t>各参数选取及估算结果见表</w:t>
      </w:r>
      <w:r w:rsidRPr="00B12FE0">
        <w:rPr>
          <w:rFonts w:cs="宋体"/>
          <w:color w:val="000000" w:themeColor="text1"/>
        </w:rPr>
        <w:t>11.2.2.1-1</w:t>
      </w:r>
      <w:r w:rsidRPr="00B12FE0">
        <w:rPr>
          <w:rFonts w:cs="宋体" w:hint="eastAsia"/>
          <w:color w:val="000000" w:themeColor="text1"/>
        </w:rPr>
        <w:t>7</w:t>
      </w:r>
      <w:r w:rsidRPr="00B12FE0">
        <w:rPr>
          <w:rFonts w:cs="宋体"/>
          <w:color w:val="000000" w:themeColor="text1"/>
        </w:rPr>
        <w:t>。</w:t>
      </w:r>
    </w:p>
    <w:p w14:paraId="4797049F" w14:textId="77777777" w:rsidR="00A67F21" w:rsidRPr="00B12FE0" w:rsidRDefault="00000000">
      <w:pPr>
        <w:tabs>
          <w:tab w:val="left" w:pos="1017"/>
        </w:tabs>
        <w:adjustRightInd w:val="0"/>
        <w:snapToGrid w:val="0"/>
        <w:jc w:val="center"/>
        <w:rPr>
          <w:rFonts w:cs="宋体"/>
          <w:b/>
          <w:color w:val="000000" w:themeColor="text1"/>
          <w:sz w:val="21"/>
          <w:szCs w:val="18"/>
        </w:rPr>
      </w:pPr>
      <w:r w:rsidRPr="00B12FE0">
        <w:rPr>
          <w:rFonts w:cs="宋体"/>
          <w:b/>
          <w:color w:val="000000" w:themeColor="text1"/>
          <w:sz w:val="21"/>
          <w:szCs w:val="18"/>
        </w:rPr>
        <w:t>表</w:t>
      </w:r>
      <w:r w:rsidRPr="00B12FE0">
        <w:rPr>
          <w:rFonts w:cs="宋体"/>
          <w:b/>
          <w:color w:val="000000" w:themeColor="text1"/>
          <w:sz w:val="21"/>
          <w:szCs w:val="18"/>
        </w:rPr>
        <w:t>11.2.2.1-1</w:t>
      </w:r>
      <w:r w:rsidRPr="00B12FE0">
        <w:rPr>
          <w:rFonts w:cs="宋体" w:hint="eastAsia"/>
          <w:b/>
          <w:color w:val="000000" w:themeColor="text1"/>
          <w:sz w:val="21"/>
          <w:szCs w:val="18"/>
        </w:rPr>
        <w:t>7</w:t>
      </w:r>
      <w:r w:rsidRPr="00B12FE0">
        <w:rPr>
          <w:rFonts w:cs="宋体"/>
          <w:b/>
          <w:color w:val="000000" w:themeColor="text1"/>
          <w:sz w:val="21"/>
          <w:szCs w:val="18"/>
        </w:rPr>
        <w:t xml:space="preserve">  </w:t>
      </w:r>
      <w:r w:rsidRPr="00B12FE0">
        <w:rPr>
          <w:rFonts w:cs="宋体"/>
          <w:b/>
          <w:color w:val="000000" w:themeColor="text1"/>
          <w:sz w:val="21"/>
          <w:szCs w:val="18"/>
        </w:rPr>
        <w:t>中子经迷路散射后在机房入口门外</w:t>
      </w:r>
      <w:r w:rsidRPr="00B12FE0">
        <w:rPr>
          <w:rFonts w:cs="宋体"/>
          <w:b/>
          <w:color w:val="000000" w:themeColor="text1"/>
          <w:sz w:val="21"/>
          <w:szCs w:val="18"/>
        </w:rPr>
        <w:t>30cm</w:t>
      </w:r>
      <w:r w:rsidRPr="00B12FE0">
        <w:rPr>
          <w:rFonts w:cs="宋体"/>
          <w:b/>
          <w:color w:val="000000" w:themeColor="text1"/>
          <w:sz w:val="21"/>
          <w:szCs w:val="18"/>
        </w:rPr>
        <w:t>（</w:t>
      </w:r>
      <w:r w:rsidRPr="00B12FE0">
        <w:rPr>
          <w:rFonts w:cs="宋体"/>
          <w:b/>
          <w:color w:val="000000" w:themeColor="text1"/>
          <w:sz w:val="21"/>
          <w:szCs w:val="18"/>
        </w:rPr>
        <w:t>g</w:t>
      </w:r>
      <w:r w:rsidRPr="00B12FE0">
        <w:rPr>
          <w:rFonts w:cs="宋体"/>
          <w:b/>
          <w:color w:val="000000" w:themeColor="text1"/>
          <w:sz w:val="21"/>
          <w:szCs w:val="18"/>
        </w:rPr>
        <w:t>点）处无防护门时的剂量率</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869"/>
        <w:gridCol w:w="1185"/>
        <w:gridCol w:w="870"/>
        <w:gridCol w:w="870"/>
        <w:gridCol w:w="1232"/>
        <w:gridCol w:w="733"/>
        <w:gridCol w:w="1103"/>
      </w:tblGrid>
      <w:tr w:rsidR="00A67F21" w:rsidRPr="00B12FE0" w14:paraId="32C6C22B" w14:textId="77777777">
        <w:trPr>
          <w:jc w:val="center"/>
        </w:trPr>
        <w:tc>
          <w:tcPr>
            <w:tcW w:w="528" w:type="pct"/>
            <w:vAlign w:val="center"/>
          </w:tcPr>
          <w:p w14:paraId="07992E6B"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cs="宋体" w:hint="eastAsia"/>
                <w:color w:val="000000" w:themeColor="text1"/>
                <w:sz w:val="21"/>
                <w:szCs w:val="18"/>
              </w:rPr>
              <w:t>关注点</w:t>
            </w:r>
          </w:p>
        </w:tc>
        <w:tc>
          <w:tcPr>
            <w:tcW w:w="1063" w:type="pct"/>
            <w:vAlign w:val="center"/>
          </w:tcPr>
          <w:p w14:paraId="1A966C81" w14:textId="77777777" w:rsidR="00A67F21" w:rsidRPr="00B12FE0" w:rsidRDefault="00000000">
            <w:pPr>
              <w:tabs>
                <w:tab w:val="left" w:pos="1017"/>
              </w:tabs>
              <w:adjustRightInd w:val="0"/>
              <w:snapToGrid w:val="0"/>
              <w:jc w:val="center"/>
              <w:rPr>
                <w:rFonts w:cs="宋体"/>
                <w:color w:val="000000" w:themeColor="text1"/>
                <w:sz w:val="21"/>
                <w:szCs w:val="18"/>
                <w:vertAlign w:val="subscript"/>
              </w:rPr>
            </w:pPr>
            <w:r w:rsidRPr="00B12FE0">
              <w:rPr>
                <w:rFonts w:cs="宋体"/>
                <w:color w:val="000000" w:themeColor="text1"/>
                <w:sz w:val="21"/>
                <w:szCs w:val="18"/>
              </w:rPr>
              <w:t>Φ</w:t>
            </w:r>
            <w:r w:rsidRPr="00B12FE0">
              <w:rPr>
                <w:rFonts w:cs="宋体"/>
                <w:color w:val="000000" w:themeColor="text1"/>
                <w:sz w:val="21"/>
                <w:szCs w:val="18"/>
                <w:vertAlign w:val="subscript"/>
              </w:rPr>
              <w:t>B</w:t>
            </w:r>
          </w:p>
          <w:p w14:paraId="17CD5C18"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cs="宋体"/>
                <w:color w:val="000000" w:themeColor="text1"/>
                <w:sz w:val="21"/>
                <w:szCs w:val="18"/>
              </w:rPr>
              <w:t>（中子数</w:t>
            </w:r>
            <w:r w:rsidRPr="00B12FE0">
              <w:rPr>
                <w:rFonts w:cs="宋体"/>
                <w:color w:val="000000" w:themeColor="text1"/>
                <w:sz w:val="21"/>
                <w:szCs w:val="18"/>
              </w:rPr>
              <w:t>/m</w:t>
            </w:r>
            <w:r w:rsidRPr="00B12FE0">
              <w:rPr>
                <w:rFonts w:cs="宋体"/>
                <w:color w:val="000000" w:themeColor="text1"/>
                <w:sz w:val="21"/>
                <w:szCs w:val="18"/>
                <w:vertAlign w:val="superscript"/>
              </w:rPr>
              <w:t>2</w:t>
            </w:r>
            <w:r w:rsidRPr="00B12FE0">
              <w:rPr>
                <w:rFonts w:cs="宋体"/>
                <w:color w:val="000000" w:themeColor="text1"/>
                <w:sz w:val="21"/>
                <w:szCs w:val="18"/>
              </w:rPr>
              <w:t>）</w:t>
            </w:r>
            <w:r w:rsidRPr="00B12FE0">
              <w:rPr>
                <w:rFonts w:cs="宋体"/>
                <w:color w:val="000000" w:themeColor="text1"/>
                <w:sz w:val="21"/>
                <w:szCs w:val="18"/>
              </w:rPr>
              <w:t>/Gy</w:t>
            </w:r>
          </w:p>
        </w:tc>
        <w:tc>
          <w:tcPr>
            <w:tcW w:w="674" w:type="pct"/>
            <w:vAlign w:val="center"/>
          </w:tcPr>
          <w:p w14:paraId="3C52C648" w14:textId="77777777" w:rsidR="00A67F21" w:rsidRPr="00B12FE0" w:rsidRDefault="00000000">
            <w:pPr>
              <w:tabs>
                <w:tab w:val="left" w:pos="1017"/>
              </w:tabs>
              <w:adjustRightInd w:val="0"/>
              <w:snapToGrid w:val="0"/>
              <w:jc w:val="center"/>
              <w:rPr>
                <w:rFonts w:cs="宋体"/>
                <w:color w:val="000000" w:themeColor="text1"/>
                <w:sz w:val="21"/>
                <w:szCs w:val="18"/>
              </w:rPr>
            </w:pPr>
            <m:oMath>
              <m:sSub>
                <m:sSubPr>
                  <m:ctrlPr>
                    <w:rPr>
                      <w:rFonts w:ascii="Cambria Math" w:hAnsi="Cambria Math" w:cs="宋体"/>
                      <w:i/>
                      <w:color w:val="000000" w:themeColor="text1"/>
                      <w:sz w:val="21"/>
                      <w:szCs w:val="16"/>
                    </w:rPr>
                  </m:ctrlPr>
                </m:sSubPr>
                <m:e>
                  <m:acc>
                    <m:accPr>
                      <m:chr m:val="̇"/>
                      <m:ctrlPr>
                        <w:rPr>
                          <w:rFonts w:ascii="Cambria Math" w:hAnsi="Cambria Math" w:cs="宋体"/>
                          <w:i/>
                          <w:color w:val="000000" w:themeColor="text1"/>
                          <w:sz w:val="21"/>
                          <w:szCs w:val="16"/>
                        </w:rPr>
                      </m:ctrlPr>
                    </m:accPr>
                    <m:e>
                      <m:r>
                        <w:rPr>
                          <w:rFonts w:ascii="Cambria Math" w:hAnsi="Cambria Math" w:cs="宋体"/>
                          <w:color w:val="000000" w:themeColor="text1"/>
                          <w:sz w:val="21"/>
                          <w:szCs w:val="16"/>
                        </w:rPr>
                        <m:t>H</m:t>
                      </m:r>
                    </m:e>
                  </m:acc>
                </m:e>
                <m:sub>
                  <m:r>
                    <w:rPr>
                      <w:rFonts w:ascii="Cambria Math" w:hAnsi="Cambria Math" w:cs="宋体"/>
                      <w:color w:val="000000" w:themeColor="text1"/>
                      <w:sz w:val="21"/>
                      <w:szCs w:val="16"/>
                    </w:rPr>
                    <m:t>o</m:t>
                  </m:r>
                </m:sub>
              </m:sSub>
            </m:oMath>
            <w:r w:rsidRPr="00B12FE0">
              <w:rPr>
                <w:rFonts w:cs="宋体"/>
                <w:color w:val="000000" w:themeColor="text1"/>
                <w:sz w:val="21"/>
                <w:szCs w:val="16"/>
              </w:rPr>
              <w:t>(</w:t>
            </w:r>
            <w:proofErr w:type="spellStart"/>
            <w:r w:rsidRPr="00B12FE0">
              <w:rPr>
                <w:rFonts w:cs="宋体"/>
                <w:bCs/>
                <w:color w:val="000000" w:themeColor="text1"/>
                <w:sz w:val="21"/>
                <w:szCs w:val="18"/>
              </w:rPr>
              <w:t>μSv</w:t>
            </w:r>
            <w:proofErr w:type="spellEnd"/>
            <w:r w:rsidRPr="00B12FE0">
              <w:rPr>
                <w:rFonts w:cs="宋体"/>
                <w:bCs/>
                <w:color w:val="000000" w:themeColor="text1"/>
                <w:sz w:val="21"/>
                <w:szCs w:val="18"/>
              </w:rPr>
              <w:t>/h</w:t>
            </w:r>
            <w:r w:rsidRPr="00B12FE0">
              <w:rPr>
                <w:rFonts w:cs="宋体"/>
                <w:color w:val="000000" w:themeColor="text1"/>
                <w:sz w:val="21"/>
                <w:szCs w:val="16"/>
              </w:rPr>
              <w:t>)</w:t>
            </w:r>
          </w:p>
        </w:tc>
        <w:tc>
          <w:tcPr>
            <w:tcW w:w="495" w:type="pct"/>
            <w:tcBorders>
              <w:bottom w:val="single" w:sz="4" w:space="0" w:color="auto"/>
            </w:tcBorders>
            <w:vAlign w:val="center"/>
          </w:tcPr>
          <w:p w14:paraId="4E8D8F86"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cs="宋体"/>
                <w:i/>
                <w:color w:val="000000" w:themeColor="text1"/>
                <w:sz w:val="21"/>
                <w:szCs w:val="16"/>
              </w:rPr>
              <w:t>S</w:t>
            </w:r>
            <w:r w:rsidRPr="00B12FE0">
              <w:rPr>
                <w:rFonts w:cs="宋体"/>
                <w:i/>
                <w:color w:val="000000" w:themeColor="text1"/>
                <w:sz w:val="21"/>
                <w:szCs w:val="16"/>
                <w:vertAlign w:val="subscript"/>
              </w:rPr>
              <w:t>0</w:t>
            </w:r>
            <w:r w:rsidRPr="00B12FE0">
              <w:rPr>
                <w:rFonts w:cs="宋体"/>
                <w:color w:val="000000" w:themeColor="text1"/>
                <w:sz w:val="21"/>
                <w:szCs w:val="18"/>
              </w:rPr>
              <w:t>（</w:t>
            </w:r>
            <w:r w:rsidRPr="00B12FE0">
              <w:rPr>
                <w:rFonts w:cs="宋体"/>
                <w:color w:val="000000" w:themeColor="text1"/>
                <w:sz w:val="21"/>
                <w:szCs w:val="18"/>
              </w:rPr>
              <w:t>m</w:t>
            </w:r>
            <w:r w:rsidRPr="00B12FE0">
              <w:rPr>
                <w:rFonts w:cs="宋体"/>
                <w:color w:val="000000" w:themeColor="text1"/>
                <w:sz w:val="21"/>
                <w:szCs w:val="18"/>
                <w:vertAlign w:val="superscript"/>
              </w:rPr>
              <w:t>2</w:t>
            </w:r>
            <w:r w:rsidRPr="00B12FE0">
              <w:rPr>
                <w:rFonts w:cs="宋体"/>
                <w:color w:val="000000" w:themeColor="text1"/>
                <w:sz w:val="21"/>
                <w:szCs w:val="18"/>
              </w:rPr>
              <w:t>）</w:t>
            </w:r>
          </w:p>
        </w:tc>
        <w:tc>
          <w:tcPr>
            <w:tcW w:w="495" w:type="pct"/>
            <w:tcBorders>
              <w:bottom w:val="single" w:sz="4" w:space="0" w:color="auto"/>
            </w:tcBorders>
            <w:vAlign w:val="center"/>
          </w:tcPr>
          <w:p w14:paraId="27C7D994"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cs="宋体"/>
                <w:i/>
                <w:color w:val="000000" w:themeColor="text1"/>
                <w:sz w:val="21"/>
                <w:szCs w:val="16"/>
              </w:rPr>
              <w:t>S</w:t>
            </w:r>
            <w:r w:rsidRPr="00B12FE0">
              <w:rPr>
                <w:rFonts w:cs="宋体"/>
                <w:i/>
                <w:color w:val="000000" w:themeColor="text1"/>
                <w:sz w:val="21"/>
                <w:szCs w:val="16"/>
                <w:vertAlign w:val="subscript"/>
              </w:rPr>
              <w:t>1</w:t>
            </w:r>
            <w:r w:rsidRPr="00B12FE0">
              <w:rPr>
                <w:rFonts w:cs="宋体"/>
                <w:color w:val="000000" w:themeColor="text1"/>
                <w:sz w:val="21"/>
                <w:szCs w:val="18"/>
              </w:rPr>
              <w:t>（</w:t>
            </w:r>
            <w:r w:rsidRPr="00B12FE0">
              <w:rPr>
                <w:rFonts w:cs="宋体"/>
                <w:color w:val="000000" w:themeColor="text1"/>
                <w:sz w:val="21"/>
                <w:szCs w:val="18"/>
              </w:rPr>
              <w:t>m</w:t>
            </w:r>
            <w:r w:rsidRPr="00B12FE0">
              <w:rPr>
                <w:rFonts w:cs="宋体"/>
                <w:color w:val="000000" w:themeColor="text1"/>
                <w:sz w:val="21"/>
                <w:szCs w:val="18"/>
                <w:vertAlign w:val="superscript"/>
              </w:rPr>
              <w:t>2</w:t>
            </w:r>
            <w:r w:rsidRPr="00B12FE0">
              <w:rPr>
                <w:rFonts w:cs="宋体"/>
                <w:color w:val="000000" w:themeColor="text1"/>
                <w:sz w:val="21"/>
                <w:szCs w:val="18"/>
              </w:rPr>
              <w:t>）</w:t>
            </w:r>
          </w:p>
        </w:tc>
        <w:tc>
          <w:tcPr>
            <w:tcW w:w="701" w:type="pct"/>
            <w:vAlign w:val="center"/>
          </w:tcPr>
          <w:p w14:paraId="38F2CAB3"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cs="宋体"/>
                <w:color w:val="000000" w:themeColor="text1"/>
                <w:sz w:val="21"/>
                <w:szCs w:val="18"/>
              </w:rPr>
              <w:t>d</w:t>
            </w:r>
            <w:r w:rsidRPr="00B12FE0">
              <w:rPr>
                <w:rFonts w:cs="宋体"/>
                <w:color w:val="000000" w:themeColor="text1"/>
                <w:sz w:val="21"/>
                <w:szCs w:val="18"/>
                <w:vertAlign w:val="subscript"/>
              </w:rPr>
              <w:t>2</w:t>
            </w:r>
            <w:r w:rsidRPr="00B12FE0">
              <w:rPr>
                <w:rFonts w:cs="宋体"/>
                <w:color w:val="000000" w:themeColor="text1"/>
                <w:sz w:val="21"/>
                <w:szCs w:val="18"/>
              </w:rPr>
              <w:t>（</w:t>
            </w:r>
            <w:r w:rsidRPr="00B12FE0">
              <w:rPr>
                <w:rFonts w:cs="宋体"/>
                <w:color w:val="000000" w:themeColor="text1"/>
                <w:sz w:val="21"/>
                <w:szCs w:val="18"/>
              </w:rPr>
              <w:t>m</w:t>
            </w:r>
            <w:r w:rsidRPr="00B12FE0">
              <w:rPr>
                <w:rFonts w:cs="宋体"/>
                <w:color w:val="000000" w:themeColor="text1"/>
                <w:sz w:val="21"/>
                <w:szCs w:val="18"/>
              </w:rPr>
              <w:t>）</w:t>
            </w:r>
          </w:p>
        </w:tc>
        <w:tc>
          <w:tcPr>
            <w:tcW w:w="417" w:type="pct"/>
            <w:vAlign w:val="center"/>
          </w:tcPr>
          <w:p w14:paraId="5556F6E3"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cs="宋体"/>
                <w:color w:val="000000" w:themeColor="text1"/>
                <w:sz w:val="21"/>
                <w:szCs w:val="16"/>
              </w:rPr>
              <w:t>T</w:t>
            </w:r>
            <w:r w:rsidRPr="00B12FE0">
              <w:rPr>
                <w:rFonts w:cs="宋体"/>
                <w:color w:val="000000" w:themeColor="text1"/>
                <w:sz w:val="21"/>
                <w:szCs w:val="16"/>
                <w:vertAlign w:val="subscript"/>
              </w:rPr>
              <w:t>n</w:t>
            </w:r>
            <w:r w:rsidRPr="00B12FE0">
              <w:rPr>
                <w:rFonts w:cs="宋体"/>
                <w:color w:val="000000" w:themeColor="text1"/>
                <w:sz w:val="21"/>
                <w:szCs w:val="16"/>
              </w:rPr>
              <w:t>(m)</w:t>
            </w:r>
          </w:p>
        </w:tc>
        <w:tc>
          <w:tcPr>
            <w:tcW w:w="627" w:type="pct"/>
            <w:vAlign w:val="center"/>
          </w:tcPr>
          <w:p w14:paraId="044A55B5" w14:textId="77777777" w:rsidR="00A67F21" w:rsidRPr="00B12FE0" w:rsidRDefault="00000000">
            <w:pPr>
              <w:tabs>
                <w:tab w:val="left" w:pos="1017"/>
              </w:tabs>
              <w:adjustRightInd w:val="0"/>
              <w:snapToGrid w:val="0"/>
              <w:jc w:val="center"/>
              <w:rPr>
                <w:rFonts w:cs="宋体"/>
                <w:color w:val="000000" w:themeColor="text1"/>
                <w:sz w:val="21"/>
                <w:szCs w:val="18"/>
              </w:rPr>
            </w:pPr>
            <m:oMath>
              <m:sSub>
                <m:sSubPr>
                  <m:ctrlPr>
                    <w:rPr>
                      <w:rFonts w:ascii="Cambria Math" w:hAnsi="Cambria Math" w:cs="宋体"/>
                      <w:i/>
                      <w:color w:val="000000" w:themeColor="text1"/>
                      <w:sz w:val="21"/>
                      <w:szCs w:val="16"/>
                    </w:rPr>
                  </m:ctrlPr>
                </m:sSubPr>
                <m:e>
                  <m:acc>
                    <m:accPr>
                      <m:chr m:val="̇"/>
                      <m:ctrlPr>
                        <w:rPr>
                          <w:rFonts w:ascii="Cambria Math" w:hAnsi="Cambria Math" w:cs="宋体"/>
                          <w:i/>
                          <w:color w:val="000000" w:themeColor="text1"/>
                          <w:sz w:val="21"/>
                          <w:szCs w:val="16"/>
                        </w:rPr>
                      </m:ctrlPr>
                    </m:accPr>
                    <m:e>
                      <m:r>
                        <w:rPr>
                          <w:rFonts w:ascii="Cambria Math" w:hAnsi="Cambria Math" w:cs="宋体"/>
                          <w:color w:val="000000" w:themeColor="text1"/>
                          <w:sz w:val="21"/>
                          <w:szCs w:val="16"/>
                        </w:rPr>
                        <m:t>H</m:t>
                      </m:r>
                    </m:e>
                  </m:acc>
                </m:e>
                <m:sub>
                  <m:r>
                    <w:rPr>
                      <w:rFonts w:ascii="Cambria Math" w:hAnsi="Cambria Math" w:cs="宋体"/>
                      <w:color w:val="000000" w:themeColor="text1"/>
                      <w:sz w:val="21"/>
                      <w:szCs w:val="16"/>
                    </w:rPr>
                    <m:t>n</m:t>
                  </m:r>
                </m:sub>
              </m:sSub>
            </m:oMath>
            <w:r w:rsidRPr="00B12FE0">
              <w:rPr>
                <w:rFonts w:cs="宋体"/>
                <w:color w:val="000000" w:themeColor="text1"/>
                <w:sz w:val="21"/>
                <w:szCs w:val="16"/>
              </w:rPr>
              <w:t>(</w:t>
            </w:r>
            <w:proofErr w:type="spellStart"/>
            <w:r w:rsidRPr="00B12FE0">
              <w:rPr>
                <w:rFonts w:cs="宋体"/>
                <w:bCs/>
                <w:color w:val="000000" w:themeColor="text1"/>
                <w:sz w:val="21"/>
                <w:szCs w:val="18"/>
              </w:rPr>
              <w:t>μSv</w:t>
            </w:r>
            <w:proofErr w:type="spellEnd"/>
            <w:r w:rsidRPr="00B12FE0">
              <w:rPr>
                <w:rFonts w:cs="宋体"/>
                <w:bCs/>
                <w:color w:val="000000" w:themeColor="text1"/>
                <w:sz w:val="21"/>
                <w:szCs w:val="18"/>
              </w:rPr>
              <w:t>/h</w:t>
            </w:r>
            <w:r w:rsidRPr="00B12FE0">
              <w:rPr>
                <w:rFonts w:cs="宋体"/>
                <w:color w:val="000000" w:themeColor="text1"/>
                <w:sz w:val="21"/>
                <w:szCs w:val="16"/>
              </w:rPr>
              <w:t>)</w:t>
            </w:r>
          </w:p>
        </w:tc>
      </w:tr>
      <w:tr w:rsidR="00A67F21" w:rsidRPr="00B12FE0" w14:paraId="7890C30C" w14:textId="77777777">
        <w:trPr>
          <w:trHeight w:val="194"/>
          <w:jc w:val="center"/>
        </w:trPr>
        <w:tc>
          <w:tcPr>
            <w:tcW w:w="528" w:type="pct"/>
            <w:vAlign w:val="center"/>
          </w:tcPr>
          <w:p w14:paraId="0E13B50E"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color w:val="000000" w:themeColor="text1"/>
                <w:sz w:val="21"/>
                <w:szCs w:val="21"/>
              </w:rPr>
              <w:t>g</w:t>
            </w:r>
            <w:r w:rsidRPr="00B12FE0">
              <w:rPr>
                <w:rFonts w:hint="eastAsia"/>
                <w:color w:val="000000" w:themeColor="text1"/>
                <w:sz w:val="21"/>
                <w:szCs w:val="21"/>
                <w:vertAlign w:val="subscript"/>
              </w:rPr>
              <w:t>1</w:t>
            </w:r>
          </w:p>
        </w:tc>
        <w:tc>
          <w:tcPr>
            <w:tcW w:w="1063" w:type="pct"/>
            <w:tcBorders>
              <w:top w:val="single" w:sz="4" w:space="0" w:color="auto"/>
              <w:left w:val="nil"/>
              <w:bottom w:val="single" w:sz="4" w:space="0" w:color="auto"/>
              <w:right w:val="single" w:sz="4" w:space="0" w:color="auto"/>
            </w:tcBorders>
            <w:vAlign w:val="center"/>
          </w:tcPr>
          <w:p w14:paraId="25158DDD" w14:textId="77777777" w:rsidR="00A67F21" w:rsidRPr="00B12FE0" w:rsidRDefault="00000000">
            <w:pPr>
              <w:tabs>
                <w:tab w:val="left" w:pos="1017"/>
              </w:tabs>
              <w:adjustRightInd w:val="0"/>
              <w:snapToGrid w:val="0"/>
              <w:jc w:val="center"/>
              <w:rPr>
                <w:rFonts w:cs="宋体"/>
                <w:color w:val="000000" w:themeColor="text1"/>
                <w:sz w:val="21"/>
                <w:szCs w:val="18"/>
                <w:vertAlign w:val="superscript"/>
              </w:rPr>
            </w:pPr>
            <w:r w:rsidRPr="00B12FE0">
              <w:rPr>
                <w:rFonts w:eastAsia="等线"/>
                <w:color w:val="000000" w:themeColor="text1"/>
                <w:sz w:val="21"/>
                <w:szCs w:val="21"/>
              </w:rPr>
              <w:t>3.16E+09</w:t>
            </w:r>
          </w:p>
        </w:tc>
        <w:tc>
          <w:tcPr>
            <w:tcW w:w="674" w:type="pct"/>
            <w:vAlign w:val="center"/>
          </w:tcPr>
          <w:p w14:paraId="46F01E78"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cs="宋体"/>
                <w:color w:val="000000" w:themeColor="text1"/>
                <w:sz w:val="21"/>
                <w:szCs w:val="21"/>
              </w:rPr>
              <w:t>3.6×10</w:t>
            </w:r>
            <w:r w:rsidRPr="00B12FE0">
              <w:rPr>
                <w:rFonts w:cs="宋体"/>
                <w:color w:val="000000" w:themeColor="text1"/>
                <w:sz w:val="21"/>
                <w:szCs w:val="21"/>
                <w:vertAlign w:val="superscript"/>
              </w:rPr>
              <w:t>8</w:t>
            </w:r>
            <w:r w:rsidRPr="00B12FE0">
              <w:rPr>
                <w:rFonts w:cs="宋体" w:hint="eastAsia"/>
                <w:color w:val="000000" w:themeColor="text1"/>
                <w:sz w:val="21"/>
                <w:szCs w:val="21"/>
              </w:rPr>
              <w:t>（</w:t>
            </w:r>
            <w:r w:rsidRPr="00B12FE0">
              <w:rPr>
                <w:rFonts w:cs="宋体" w:hint="eastAsia"/>
                <w:color w:val="000000" w:themeColor="text1"/>
                <w:sz w:val="21"/>
                <w:szCs w:val="21"/>
              </w:rPr>
              <w:t>1</w:t>
            </w:r>
            <w:r w:rsidRPr="00B12FE0">
              <w:rPr>
                <w:rFonts w:cs="宋体"/>
                <w:color w:val="000000" w:themeColor="text1"/>
                <w:sz w:val="21"/>
                <w:szCs w:val="21"/>
              </w:rPr>
              <w:t>5MV</w:t>
            </w:r>
            <w:r w:rsidRPr="00B12FE0">
              <w:rPr>
                <w:rFonts w:cs="宋体" w:hint="eastAsia"/>
                <w:color w:val="000000" w:themeColor="text1"/>
                <w:sz w:val="21"/>
                <w:szCs w:val="21"/>
              </w:rPr>
              <w:t>）</w:t>
            </w:r>
          </w:p>
        </w:tc>
        <w:tc>
          <w:tcPr>
            <w:tcW w:w="495" w:type="pct"/>
            <w:tcBorders>
              <w:top w:val="single" w:sz="4" w:space="0" w:color="auto"/>
              <w:left w:val="nil"/>
              <w:bottom w:val="single" w:sz="4" w:space="0" w:color="auto"/>
              <w:right w:val="single" w:sz="4" w:space="0" w:color="auto"/>
            </w:tcBorders>
            <w:vAlign w:val="center"/>
          </w:tcPr>
          <w:p w14:paraId="04CDAA81" w14:textId="77777777" w:rsidR="00A67F21" w:rsidRPr="00B12FE0" w:rsidRDefault="00000000">
            <w:pPr>
              <w:jc w:val="center"/>
              <w:rPr>
                <w:color w:val="000000" w:themeColor="text1"/>
                <w:szCs w:val="24"/>
              </w:rPr>
            </w:pPr>
            <w:r w:rsidRPr="00B12FE0">
              <w:rPr>
                <w:rFonts w:eastAsia="等线"/>
                <w:color w:val="000000" w:themeColor="text1"/>
                <w:szCs w:val="24"/>
              </w:rPr>
              <w:t>19.84</w:t>
            </w:r>
          </w:p>
        </w:tc>
        <w:tc>
          <w:tcPr>
            <w:tcW w:w="495" w:type="pct"/>
            <w:tcBorders>
              <w:top w:val="single" w:sz="4" w:space="0" w:color="auto"/>
              <w:left w:val="single" w:sz="4" w:space="0" w:color="auto"/>
              <w:bottom w:val="single" w:sz="4" w:space="0" w:color="auto"/>
              <w:right w:val="nil"/>
            </w:tcBorders>
            <w:vAlign w:val="center"/>
          </w:tcPr>
          <w:p w14:paraId="6112C039" w14:textId="77777777" w:rsidR="00A67F21" w:rsidRPr="00B12FE0" w:rsidRDefault="00000000">
            <w:pPr>
              <w:tabs>
                <w:tab w:val="left" w:pos="1017"/>
              </w:tabs>
              <w:adjustRightInd w:val="0"/>
              <w:snapToGrid w:val="0"/>
              <w:jc w:val="center"/>
              <w:rPr>
                <w:color w:val="000000" w:themeColor="text1"/>
                <w:szCs w:val="24"/>
              </w:rPr>
            </w:pPr>
            <w:r w:rsidRPr="00B12FE0">
              <w:rPr>
                <w:rFonts w:eastAsia="等线"/>
                <w:color w:val="000000" w:themeColor="text1"/>
                <w:szCs w:val="24"/>
              </w:rPr>
              <w:t>12.8</w:t>
            </w:r>
          </w:p>
        </w:tc>
        <w:tc>
          <w:tcPr>
            <w:tcW w:w="701" w:type="pct"/>
            <w:vAlign w:val="center"/>
          </w:tcPr>
          <w:p w14:paraId="27652EBD" w14:textId="77777777" w:rsidR="00A67F21" w:rsidRPr="00B12FE0" w:rsidRDefault="00000000">
            <w:pPr>
              <w:jc w:val="center"/>
              <w:rPr>
                <w:color w:val="000000" w:themeColor="text1"/>
                <w:szCs w:val="21"/>
              </w:rPr>
            </w:pPr>
            <w:r w:rsidRPr="00B12FE0">
              <w:rPr>
                <w:rFonts w:hint="eastAsia"/>
                <w:color w:val="000000" w:themeColor="text1"/>
                <w:szCs w:val="21"/>
              </w:rPr>
              <w:t>10.43</w:t>
            </w:r>
          </w:p>
          <w:p w14:paraId="6FBECEF1" w14:textId="77777777" w:rsidR="00A67F21" w:rsidRPr="00B12FE0" w:rsidRDefault="00000000">
            <w:pPr>
              <w:tabs>
                <w:tab w:val="left" w:pos="1017"/>
              </w:tabs>
              <w:adjustRightInd w:val="0"/>
              <w:snapToGrid w:val="0"/>
              <w:jc w:val="center"/>
              <w:rPr>
                <w:rFonts w:cs="宋体"/>
                <w:bCs/>
                <w:color w:val="000000" w:themeColor="text1"/>
                <w:sz w:val="21"/>
                <w:szCs w:val="18"/>
              </w:rPr>
            </w:pPr>
            <w:r w:rsidRPr="00B12FE0">
              <w:rPr>
                <w:color w:val="000000" w:themeColor="text1"/>
                <w:szCs w:val="21"/>
              </w:rPr>
              <w:t>(7.</w:t>
            </w:r>
            <w:r w:rsidRPr="00B12FE0">
              <w:rPr>
                <w:rFonts w:hint="eastAsia"/>
                <w:color w:val="000000" w:themeColor="text1"/>
                <w:szCs w:val="21"/>
              </w:rPr>
              <w:t>63</w:t>
            </w:r>
            <w:r w:rsidRPr="00B12FE0">
              <w:rPr>
                <w:color w:val="000000" w:themeColor="text1"/>
                <w:szCs w:val="21"/>
              </w:rPr>
              <w:t>+</w:t>
            </w:r>
            <w:r w:rsidRPr="00B12FE0">
              <w:rPr>
                <w:rFonts w:hint="eastAsia"/>
                <w:color w:val="000000" w:themeColor="text1"/>
                <w:szCs w:val="21"/>
              </w:rPr>
              <w:t>2.8</w:t>
            </w:r>
            <w:r w:rsidRPr="00B12FE0">
              <w:rPr>
                <w:color w:val="000000" w:themeColor="text1"/>
                <w:szCs w:val="21"/>
              </w:rPr>
              <w:t>)</w:t>
            </w:r>
          </w:p>
        </w:tc>
        <w:tc>
          <w:tcPr>
            <w:tcW w:w="417" w:type="pct"/>
            <w:vAlign w:val="center"/>
          </w:tcPr>
          <w:p w14:paraId="0615DBEE" w14:textId="77777777" w:rsidR="00A67F21" w:rsidRPr="00B12FE0" w:rsidRDefault="00000000">
            <w:pPr>
              <w:tabs>
                <w:tab w:val="left" w:pos="1017"/>
              </w:tabs>
              <w:adjustRightInd w:val="0"/>
              <w:snapToGrid w:val="0"/>
              <w:jc w:val="center"/>
              <w:rPr>
                <w:rFonts w:cs="宋体"/>
                <w:bCs/>
                <w:color w:val="000000" w:themeColor="text1"/>
                <w:sz w:val="21"/>
                <w:szCs w:val="18"/>
              </w:rPr>
            </w:pPr>
            <w:r w:rsidRPr="00B12FE0">
              <w:rPr>
                <w:rFonts w:cs="宋体" w:hint="eastAsia"/>
                <w:bCs/>
                <w:color w:val="000000" w:themeColor="text1"/>
                <w:sz w:val="21"/>
                <w:szCs w:val="18"/>
              </w:rPr>
              <w:t>7.37</w:t>
            </w:r>
          </w:p>
        </w:tc>
        <w:tc>
          <w:tcPr>
            <w:tcW w:w="627" w:type="pct"/>
            <w:vAlign w:val="center"/>
          </w:tcPr>
          <w:p w14:paraId="0FA2EDFD" w14:textId="77777777" w:rsidR="00A67F21" w:rsidRPr="00B12FE0" w:rsidRDefault="00000000">
            <w:pPr>
              <w:tabs>
                <w:tab w:val="left" w:pos="1017"/>
              </w:tabs>
              <w:adjustRightInd w:val="0"/>
              <w:snapToGrid w:val="0"/>
              <w:jc w:val="center"/>
              <w:rPr>
                <w:rFonts w:cs="宋体"/>
                <w:bCs/>
                <w:color w:val="000000" w:themeColor="text1"/>
                <w:sz w:val="21"/>
                <w:szCs w:val="18"/>
              </w:rPr>
            </w:pPr>
            <w:r w:rsidRPr="00B12FE0">
              <w:rPr>
                <w:rFonts w:cs="宋体"/>
                <w:bCs/>
                <w:color w:val="000000" w:themeColor="text1"/>
                <w:sz w:val="21"/>
                <w:szCs w:val="18"/>
              </w:rPr>
              <w:t>134.</w:t>
            </w:r>
            <w:r w:rsidRPr="00B12FE0">
              <w:rPr>
                <w:rFonts w:cs="宋体" w:hint="eastAsia"/>
                <w:bCs/>
                <w:color w:val="000000" w:themeColor="text1"/>
                <w:sz w:val="21"/>
                <w:szCs w:val="18"/>
              </w:rPr>
              <w:t>06</w:t>
            </w:r>
          </w:p>
        </w:tc>
      </w:tr>
      <w:tr w:rsidR="00A67F21" w:rsidRPr="00B12FE0" w14:paraId="12B58E10" w14:textId="77777777">
        <w:trPr>
          <w:trHeight w:val="194"/>
          <w:jc w:val="center"/>
        </w:trPr>
        <w:tc>
          <w:tcPr>
            <w:tcW w:w="528" w:type="pct"/>
            <w:vAlign w:val="center"/>
          </w:tcPr>
          <w:p w14:paraId="64978FC7"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hint="eastAsia"/>
                <w:color w:val="000000" w:themeColor="text1"/>
                <w:sz w:val="21"/>
                <w:szCs w:val="21"/>
              </w:rPr>
              <w:t>g</w:t>
            </w:r>
            <w:r w:rsidRPr="00B12FE0">
              <w:rPr>
                <w:rFonts w:hint="eastAsia"/>
                <w:color w:val="000000" w:themeColor="text1"/>
                <w:sz w:val="21"/>
                <w:szCs w:val="21"/>
                <w:vertAlign w:val="subscript"/>
              </w:rPr>
              <w:t>2</w:t>
            </w:r>
          </w:p>
        </w:tc>
        <w:tc>
          <w:tcPr>
            <w:tcW w:w="1063" w:type="pct"/>
            <w:tcBorders>
              <w:top w:val="single" w:sz="4" w:space="0" w:color="auto"/>
              <w:left w:val="nil"/>
              <w:bottom w:val="single" w:sz="4" w:space="0" w:color="auto"/>
              <w:right w:val="single" w:sz="4" w:space="0" w:color="auto"/>
            </w:tcBorders>
            <w:vAlign w:val="center"/>
          </w:tcPr>
          <w:p w14:paraId="2573BF34" w14:textId="77777777" w:rsidR="00A67F21" w:rsidRPr="00B12FE0" w:rsidRDefault="00000000">
            <w:pPr>
              <w:tabs>
                <w:tab w:val="left" w:pos="1017"/>
              </w:tabs>
              <w:adjustRightInd w:val="0"/>
              <w:snapToGrid w:val="0"/>
              <w:jc w:val="center"/>
              <w:rPr>
                <w:rFonts w:cs="宋体"/>
                <w:color w:val="000000" w:themeColor="text1"/>
                <w:sz w:val="21"/>
                <w:szCs w:val="18"/>
              </w:rPr>
            </w:pPr>
            <w:r w:rsidRPr="00B12FE0">
              <w:rPr>
                <w:rFonts w:eastAsia="等线"/>
                <w:color w:val="000000" w:themeColor="text1"/>
                <w:sz w:val="21"/>
                <w:szCs w:val="21"/>
              </w:rPr>
              <w:t>3.05E+09</w:t>
            </w:r>
          </w:p>
        </w:tc>
        <w:tc>
          <w:tcPr>
            <w:tcW w:w="674" w:type="pct"/>
            <w:vAlign w:val="center"/>
          </w:tcPr>
          <w:p w14:paraId="647AF5AC" w14:textId="77777777" w:rsidR="00A67F21" w:rsidRPr="00B12FE0" w:rsidRDefault="00000000">
            <w:pPr>
              <w:tabs>
                <w:tab w:val="left" w:pos="1017"/>
              </w:tabs>
              <w:adjustRightInd w:val="0"/>
              <w:snapToGrid w:val="0"/>
              <w:jc w:val="center"/>
              <w:rPr>
                <w:rFonts w:cs="宋体"/>
                <w:color w:val="000000" w:themeColor="text1"/>
                <w:sz w:val="21"/>
                <w:szCs w:val="21"/>
              </w:rPr>
            </w:pPr>
            <w:r w:rsidRPr="00B12FE0">
              <w:rPr>
                <w:rFonts w:cs="宋体"/>
                <w:color w:val="000000" w:themeColor="text1"/>
                <w:sz w:val="21"/>
                <w:szCs w:val="21"/>
              </w:rPr>
              <w:t>3.6×10</w:t>
            </w:r>
            <w:r w:rsidRPr="00B12FE0">
              <w:rPr>
                <w:rFonts w:cs="宋体"/>
                <w:color w:val="000000" w:themeColor="text1"/>
                <w:sz w:val="21"/>
                <w:szCs w:val="21"/>
                <w:vertAlign w:val="superscript"/>
              </w:rPr>
              <w:t>8</w:t>
            </w:r>
            <w:r w:rsidRPr="00B12FE0">
              <w:rPr>
                <w:rFonts w:cs="宋体" w:hint="eastAsia"/>
                <w:color w:val="000000" w:themeColor="text1"/>
                <w:sz w:val="21"/>
                <w:szCs w:val="21"/>
              </w:rPr>
              <w:t>（</w:t>
            </w:r>
            <w:r w:rsidRPr="00B12FE0">
              <w:rPr>
                <w:rFonts w:cs="宋体" w:hint="eastAsia"/>
                <w:color w:val="000000" w:themeColor="text1"/>
                <w:sz w:val="21"/>
                <w:szCs w:val="21"/>
              </w:rPr>
              <w:t>1</w:t>
            </w:r>
            <w:r w:rsidRPr="00B12FE0">
              <w:rPr>
                <w:rFonts w:cs="宋体"/>
                <w:color w:val="000000" w:themeColor="text1"/>
                <w:sz w:val="21"/>
                <w:szCs w:val="21"/>
              </w:rPr>
              <w:t>5MV</w:t>
            </w:r>
            <w:r w:rsidRPr="00B12FE0">
              <w:rPr>
                <w:rFonts w:cs="宋体" w:hint="eastAsia"/>
                <w:color w:val="000000" w:themeColor="text1"/>
                <w:sz w:val="21"/>
                <w:szCs w:val="21"/>
              </w:rPr>
              <w:t>）</w:t>
            </w:r>
          </w:p>
        </w:tc>
        <w:tc>
          <w:tcPr>
            <w:tcW w:w="495" w:type="pct"/>
            <w:tcBorders>
              <w:top w:val="single" w:sz="4" w:space="0" w:color="auto"/>
              <w:left w:val="nil"/>
              <w:bottom w:val="single" w:sz="4" w:space="0" w:color="auto"/>
              <w:right w:val="single" w:sz="4" w:space="0" w:color="auto"/>
            </w:tcBorders>
            <w:vAlign w:val="center"/>
          </w:tcPr>
          <w:p w14:paraId="5C2FA1C6" w14:textId="77777777" w:rsidR="00A67F21" w:rsidRPr="00B12FE0" w:rsidRDefault="00000000">
            <w:pPr>
              <w:jc w:val="center"/>
              <w:rPr>
                <w:color w:val="000000" w:themeColor="text1"/>
                <w:szCs w:val="24"/>
              </w:rPr>
            </w:pPr>
            <w:r w:rsidRPr="00B12FE0">
              <w:rPr>
                <w:rFonts w:eastAsia="等线"/>
                <w:color w:val="000000" w:themeColor="text1"/>
                <w:szCs w:val="24"/>
              </w:rPr>
              <w:t>17.28</w:t>
            </w:r>
          </w:p>
        </w:tc>
        <w:tc>
          <w:tcPr>
            <w:tcW w:w="495" w:type="pct"/>
            <w:tcBorders>
              <w:top w:val="single" w:sz="4" w:space="0" w:color="auto"/>
              <w:left w:val="single" w:sz="4" w:space="0" w:color="auto"/>
              <w:bottom w:val="single" w:sz="4" w:space="0" w:color="auto"/>
              <w:right w:val="nil"/>
            </w:tcBorders>
            <w:vAlign w:val="center"/>
          </w:tcPr>
          <w:p w14:paraId="2A5DFE0D" w14:textId="77777777" w:rsidR="00A67F21" w:rsidRPr="00B12FE0" w:rsidRDefault="00000000">
            <w:pPr>
              <w:tabs>
                <w:tab w:val="left" w:pos="1017"/>
              </w:tabs>
              <w:adjustRightInd w:val="0"/>
              <w:snapToGrid w:val="0"/>
              <w:jc w:val="center"/>
              <w:rPr>
                <w:color w:val="000000" w:themeColor="text1"/>
                <w:szCs w:val="24"/>
              </w:rPr>
            </w:pPr>
            <w:r w:rsidRPr="00B12FE0">
              <w:rPr>
                <w:rFonts w:eastAsia="等线"/>
                <w:color w:val="000000" w:themeColor="text1"/>
                <w:szCs w:val="24"/>
              </w:rPr>
              <w:t>12.8</w:t>
            </w:r>
          </w:p>
        </w:tc>
        <w:tc>
          <w:tcPr>
            <w:tcW w:w="701" w:type="pct"/>
            <w:vAlign w:val="center"/>
          </w:tcPr>
          <w:p w14:paraId="72E7F962" w14:textId="77777777" w:rsidR="00A67F21" w:rsidRPr="00B12FE0" w:rsidRDefault="00000000">
            <w:pPr>
              <w:jc w:val="center"/>
              <w:rPr>
                <w:color w:val="000000" w:themeColor="text1"/>
                <w:szCs w:val="21"/>
              </w:rPr>
            </w:pPr>
            <w:r w:rsidRPr="00B12FE0">
              <w:rPr>
                <w:rFonts w:hint="eastAsia"/>
                <w:color w:val="000000" w:themeColor="text1"/>
                <w:szCs w:val="21"/>
              </w:rPr>
              <w:t>11.07</w:t>
            </w:r>
          </w:p>
          <w:p w14:paraId="48571B70" w14:textId="77777777" w:rsidR="00A67F21" w:rsidRPr="00B12FE0" w:rsidRDefault="00000000">
            <w:pPr>
              <w:tabs>
                <w:tab w:val="left" w:pos="1017"/>
              </w:tabs>
              <w:adjustRightInd w:val="0"/>
              <w:snapToGrid w:val="0"/>
              <w:jc w:val="center"/>
              <w:rPr>
                <w:rFonts w:cs="宋体"/>
                <w:color w:val="000000" w:themeColor="text1"/>
                <w:sz w:val="21"/>
                <w:szCs w:val="21"/>
              </w:rPr>
            </w:pPr>
            <w:r w:rsidRPr="00B12FE0">
              <w:rPr>
                <w:color w:val="000000" w:themeColor="text1"/>
                <w:szCs w:val="21"/>
              </w:rPr>
              <w:t>(</w:t>
            </w:r>
            <w:r w:rsidRPr="00B12FE0">
              <w:rPr>
                <w:rFonts w:hint="eastAsia"/>
                <w:color w:val="000000" w:themeColor="text1"/>
                <w:szCs w:val="21"/>
              </w:rPr>
              <w:t>8.27</w:t>
            </w:r>
            <w:r w:rsidRPr="00B12FE0">
              <w:rPr>
                <w:color w:val="000000" w:themeColor="text1"/>
                <w:szCs w:val="21"/>
              </w:rPr>
              <w:t>+</w:t>
            </w:r>
            <w:r w:rsidRPr="00B12FE0">
              <w:rPr>
                <w:rFonts w:hint="eastAsia"/>
                <w:color w:val="000000" w:themeColor="text1"/>
                <w:szCs w:val="21"/>
              </w:rPr>
              <w:t>2.8</w:t>
            </w:r>
            <w:r w:rsidRPr="00B12FE0">
              <w:rPr>
                <w:color w:val="000000" w:themeColor="text1"/>
                <w:szCs w:val="21"/>
              </w:rPr>
              <w:t>)</w:t>
            </w:r>
          </w:p>
        </w:tc>
        <w:tc>
          <w:tcPr>
            <w:tcW w:w="417" w:type="pct"/>
            <w:vAlign w:val="center"/>
          </w:tcPr>
          <w:p w14:paraId="50C474D3" w14:textId="77777777" w:rsidR="00A67F21" w:rsidRPr="00B12FE0" w:rsidRDefault="00000000">
            <w:pPr>
              <w:tabs>
                <w:tab w:val="left" w:pos="1017"/>
              </w:tabs>
              <w:adjustRightInd w:val="0"/>
              <w:snapToGrid w:val="0"/>
              <w:jc w:val="center"/>
              <w:rPr>
                <w:rFonts w:cs="宋体"/>
                <w:bCs/>
                <w:color w:val="000000" w:themeColor="text1"/>
                <w:sz w:val="21"/>
                <w:szCs w:val="18"/>
              </w:rPr>
            </w:pPr>
            <w:r w:rsidRPr="00B12FE0">
              <w:rPr>
                <w:rFonts w:cs="宋体" w:hint="eastAsia"/>
                <w:bCs/>
                <w:color w:val="000000" w:themeColor="text1"/>
                <w:sz w:val="21"/>
                <w:szCs w:val="18"/>
              </w:rPr>
              <w:t>7.37</w:t>
            </w:r>
          </w:p>
        </w:tc>
        <w:tc>
          <w:tcPr>
            <w:tcW w:w="627" w:type="pct"/>
            <w:vAlign w:val="center"/>
          </w:tcPr>
          <w:p w14:paraId="1BC29407" w14:textId="77777777" w:rsidR="00A67F21" w:rsidRPr="00B12FE0" w:rsidRDefault="00000000">
            <w:pPr>
              <w:tabs>
                <w:tab w:val="left" w:pos="1017"/>
              </w:tabs>
              <w:adjustRightInd w:val="0"/>
              <w:snapToGrid w:val="0"/>
              <w:jc w:val="center"/>
              <w:rPr>
                <w:rFonts w:cs="宋体"/>
                <w:bCs/>
                <w:color w:val="000000" w:themeColor="text1"/>
                <w:sz w:val="21"/>
                <w:szCs w:val="18"/>
              </w:rPr>
            </w:pPr>
            <w:r w:rsidRPr="00B12FE0">
              <w:rPr>
                <w:rFonts w:cs="宋体" w:hint="eastAsia"/>
                <w:bCs/>
                <w:color w:val="000000" w:themeColor="text1"/>
                <w:sz w:val="21"/>
                <w:szCs w:val="18"/>
              </w:rPr>
              <w:t>99.13</w:t>
            </w:r>
          </w:p>
        </w:tc>
      </w:tr>
    </w:tbl>
    <w:p w14:paraId="5A17B428" w14:textId="77777777" w:rsidR="00A67F21" w:rsidRPr="00B12FE0" w:rsidRDefault="00000000">
      <w:pPr>
        <w:spacing w:beforeLines="50" w:before="120" w:line="360" w:lineRule="auto"/>
        <w:ind w:firstLineChars="196" w:firstLine="472"/>
        <w:rPr>
          <w:b/>
          <w:color w:val="000000" w:themeColor="text1"/>
        </w:rPr>
      </w:pPr>
      <w:r w:rsidRPr="00B12FE0">
        <w:rPr>
          <w:b/>
          <w:color w:val="000000" w:themeColor="text1"/>
        </w:rPr>
        <w:t>（</w:t>
      </w:r>
      <w:r w:rsidRPr="00B12FE0">
        <w:rPr>
          <w:b/>
          <w:color w:val="000000" w:themeColor="text1"/>
        </w:rPr>
        <w:t>d</w:t>
      </w:r>
      <w:r w:rsidRPr="00B12FE0">
        <w:rPr>
          <w:b/>
          <w:color w:val="000000" w:themeColor="text1"/>
        </w:rPr>
        <w:t>）防护门外散射辐射剂量率计算</w:t>
      </w:r>
    </w:p>
    <w:p w14:paraId="5A675326" w14:textId="77777777" w:rsidR="00A67F21" w:rsidRPr="00B12FE0" w:rsidRDefault="00000000">
      <w:pPr>
        <w:spacing w:line="360" w:lineRule="auto"/>
        <w:ind w:firstLineChars="200" w:firstLine="480"/>
        <w:rPr>
          <w:color w:val="000000" w:themeColor="text1"/>
        </w:rPr>
      </w:pPr>
      <w:r w:rsidRPr="00B12FE0">
        <w:rPr>
          <w:color w:val="000000" w:themeColor="text1"/>
        </w:rPr>
        <w:t>迷路入口防护门屏蔽设计时，通常使用中子和中子俘获</w:t>
      </w:r>
      <w:r w:rsidRPr="00B12FE0">
        <w:rPr>
          <w:color w:val="000000" w:themeColor="text1"/>
        </w:rPr>
        <w:t>γ</w:t>
      </w:r>
      <w:r w:rsidRPr="00B12FE0">
        <w:rPr>
          <w:color w:val="000000" w:themeColor="text1"/>
        </w:rPr>
        <w:t>射线屏蔽后有相同的辐射剂量率，对于中子俘获</w:t>
      </w:r>
      <w:r w:rsidRPr="00B12FE0">
        <w:rPr>
          <w:color w:val="000000" w:themeColor="text1"/>
        </w:rPr>
        <w:t>γ</w:t>
      </w:r>
      <w:r w:rsidRPr="00B12FE0">
        <w:rPr>
          <w:color w:val="000000" w:themeColor="text1"/>
        </w:rPr>
        <w:t>射线，以铅屏蔽；对于中子，以含硼（</w:t>
      </w:r>
      <w:r w:rsidRPr="00B12FE0">
        <w:rPr>
          <w:color w:val="000000" w:themeColor="text1"/>
        </w:rPr>
        <w:t>5%</w:t>
      </w:r>
      <w:r w:rsidRPr="00B12FE0">
        <w:rPr>
          <w:color w:val="000000" w:themeColor="text1"/>
        </w:rPr>
        <w:t>）聚乙烯屏蔽，对于已经定防护门屏蔽厚度</w:t>
      </w:r>
      <w:proofErr w:type="spellStart"/>
      <w:r w:rsidRPr="00B12FE0">
        <w:rPr>
          <w:color w:val="000000" w:themeColor="text1"/>
        </w:rPr>
        <w:t>X</w:t>
      </w:r>
      <w:r w:rsidRPr="00B12FE0">
        <w:rPr>
          <w:color w:val="000000" w:themeColor="text1"/>
          <w:vertAlign w:val="subscript"/>
        </w:rPr>
        <w:t>γ</w:t>
      </w:r>
      <w:proofErr w:type="spellEnd"/>
      <w:r w:rsidRPr="00B12FE0">
        <w:rPr>
          <w:color w:val="000000" w:themeColor="text1"/>
        </w:rPr>
        <w:t>和</w:t>
      </w:r>
      <w:proofErr w:type="spellStart"/>
      <w:r w:rsidRPr="00B12FE0">
        <w:rPr>
          <w:color w:val="000000" w:themeColor="text1"/>
        </w:rPr>
        <w:t>X</w:t>
      </w:r>
      <w:r w:rsidRPr="00B12FE0">
        <w:rPr>
          <w:color w:val="000000" w:themeColor="text1"/>
          <w:vertAlign w:val="subscript"/>
        </w:rPr>
        <w:t>n</w:t>
      </w:r>
      <w:proofErr w:type="spellEnd"/>
      <w:r w:rsidRPr="00B12FE0">
        <w:rPr>
          <w:color w:val="000000" w:themeColor="text1"/>
        </w:rPr>
        <w:t>时，防护门外的辐射剂量率按式</w:t>
      </w:r>
      <w:r w:rsidRPr="00B12FE0">
        <w:rPr>
          <w:color w:val="000000" w:themeColor="text1"/>
        </w:rPr>
        <w:t>11.2.2.1-12</w:t>
      </w:r>
      <w:r w:rsidRPr="00B12FE0">
        <w:rPr>
          <w:color w:val="000000" w:themeColor="text1"/>
        </w:rPr>
        <w:t>计算：</w:t>
      </w:r>
    </w:p>
    <w:p w14:paraId="48EDB2DE" w14:textId="77777777" w:rsidR="00A67F21" w:rsidRPr="00B12FE0" w:rsidRDefault="00000000">
      <w:pPr>
        <w:spacing w:line="360" w:lineRule="auto"/>
        <w:jc w:val="center"/>
        <w:rPr>
          <w:color w:val="000000" w:themeColor="text1"/>
        </w:rPr>
      </w:pPr>
      <w:r w:rsidRPr="00B12FE0">
        <w:rPr>
          <w:color w:val="000000" w:themeColor="text1"/>
          <w:position w:val="-16"/>
          <w:vertAlign w:val="subscript"/>
        </w:rPr>
        <w:object w:dxaOrig="5544" w:dyaOrig="569" w14:anchorId="3CB4716D">
          <v:shape id="_x0000_i1044" type="#_x0000_t75" style="width:276.8pt;height:28.05pt" o:ole="">
            <v:imagedata r:id="rId92" o:title=""/>
          </v:shape>
          <o:OLEObject Type="Embed" ProgID="Equation.3" ShapeID="_x0000_i1044" DrawAspect="Content" ObjectID="_1843190442" r:id="rId93"/>
        </w:object>
      </w:r>
      <w:r w:rsidRPr="00B12FE0">
        <w:rPr>
          <w:color w:val="000000" w:themeColor="text1"/>
        </w:rPr>
        <w:t>………</w:t>
      </w:r>
      <w:proofErr w:type="gramStart"/>
      <w:r w:rsidRPr="00B12FE0">
        <w:rPr>
          <w:color w:val="000000" w:themeColor="text1"/>
        </w:rPr>
        <w:t>…..</w:t>
      </w:r>
      <w:proofErr w:type="gramEnd"/>
      <w:r w:rsidRPr="00B12FE0">
        <w:rPr>
          <w:color w:val="000000" w:themeColor="text1"/>
        </w:rPr>
        <w:t>（式</w:t>
      </w:r>
      <w:r w:rsidRPr="00B12FE0">
        <w:rPr>
          <w:color w:val="000000" w:themeColor="text1"/>
        </w:rPr>
        <w:t>11.2.2.1-14</w:t>
      </w:r>
      <w:r w:rsidRPr="00B12FE0">
        <w:rPr>
          <w:color w:val="000000" w:themeColor="text1"/>
        </w:rPr>
        <w:t>）</w:t>
      </w:r>
    </w:p>
    <w:p w14:paraId="61F3D539" w14:textId="77777777" w:rsidR="00A67F21" w:rsidRPr="00B12FE0" w:rsidRDefault="00000000">
      <w:pPr>
        <w:spacing w:line="360" w:lineRule="auto"/>
        <w:ind w:firstLineChars="200" w:firstLine="480"/>
        <w:rPr>
          <w:color w:val="000000" w:themeColor="text1"/>
        </w:rPr>
      </w:pPr>
      <w:r w:rsidRPr="00B12FE0">
        <w:rPr>
          <w:color w:val="000000" w:themeColor="text1"/>
        </w:rPr>
        <w:t>式中：</w:t>
      </w:r>
    </w:p>
    <w:p w14:paraId="6247DF18" w14:textId="77777777" w:rsidR="00A67F21" w:rsidRPr="00B12FE0" w:rsidRDefault="00000000">
      <w:pPr>
        <w:spacing w:line="360" w:lineRule="auto"/>
        <w:ind w:firstLineChars="400" w:firstLine="960"/>
        <w:rPr>
          <w:color w:val="000000" w:themeColor="text1"/>
        </w:rPr>
      </w:pPr>
      <m:oMath>
        <m:acc>
          <m:accPr>
            <m:chr m:val="̇"/>
            <m:ctrlPr>
              <w:rPr>
                <w:rFonts w:ascii="Cambria Math" w:hAnsi="Cambria Math"/>
                <w:i/>
                <w:color w:val="000000" w:themeColor="text1"/>
                <w:kern w:val="0"/>
              </w:rPr>
            </m:ctrlPr>
          </m:accPr>
          <m:e>
            <m:r>
              <w:rPr>
                <w:rFonts w:ascii="Cambria Math" w:hAnsi="Cambria Math"/>
                <w:color w:val="000000" w:themeColor="text1"/>
                <w:kern w:val="0"/>
              </w:rPr>
              <m:t>H</m:t>
            </m:r>
          </m:e>
        </m:acc>
      </m:oMath>
      <w:r w:rsidRPr="00B12FE0">
        <w:rPr>
          <w:color w:val="000000" w:themeColor="text1"/>
          <w:szCs w:val="21"/>
        </w:rPr>
        <w:t>、</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γ</m:t>
            </m:r>
          </m:sub>
        </m:sSub>
      </m:oMath>
      <w:r w:rsidRPr="00B12FE0">
        <w:rPr>
          <w:color w:val="000000" w:themeColor="text1"/>
          <w:szCs w:val="21"/>
        </w:rPr>
        <w:t>、</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n</m:t>
            </m:r>
          </m:sub>
        </m:sSub>
      </m:oMath>
      <w:r w:rsidRPr="00B12FE0">
        <w:rPr>
          <w:color w:val="000000" w:themeColor="text1"/>
          <w:szCs w:val="21"/>
        </w:rPr>
        <w:t>、</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og</m:t>
            </m:r>
          </m:sub>
        </m:sSub>
      </m:oMath>
      <w:r w:rsidRPr="00B12FE0">
        <w:rPr>
          <w:color w:val="000000" w:themeColor="text1"/>
        </w:rPr>
        <w:t>意义同前文；</w:t>
      </w:r>
    </w:p>
    <w:p w14:paraId="7A46916E" w14:textId="77777777" w:rsidR="00A67F21" w:rsidRPr="00B12FE0" w:rsidRDefault="00000000">
      <w:pPr>
        <w:spacing w:line="360" w:lineRule="auto"/>
        <w:ind w:firstLineChars="400" w:firstLine="960"/>
        <w:rPr>
          <w:color w:val="000000" w:themeColor="text1"/>
        </w:rPr>
      </w:pPr>
      <w:proofErr w:type="spellStart"/>
      <w:r w:rsidRPr="00B12FE0">
        <w:rPr>
          <w:color w:val="000000" w:themeColor="text1"/>
        </w:rPr>
        <w:t>X</w:t>
      </w:r>
      <w:r w:rsidRPr="00B12FE0">
        <w:rPr>
          <w:color w:val="000000" w:themeColor="text1"/>
          <w:vertAlign w:val="subscript"/>
        </w:rPr>
        <w:t>γ</w:t>
      </w:r>
      <w:proofErr w:type="spellEnd"/>
      <w:r w:rsidRPr="00B12FE0">
        <w:rPr>
          <w:color w:val="000000" w:themeColor="text1"/>
        </w:rPr>
        <w:t>—</w:t>
      </w:r>
      <w:r w:rsidRPr="00B12FE0">
        <w:rPr>
          <w:color w:val="000000" w:themeColor="text1"/>
        </w:rPr>
        <w:t>防护门铅屏蔽厚度，</w:t>
      </w:r>
      <w:r w:rsidRPr="00B12FE0">
        <w:rPr>
          <w:color w:val="000000" w:themeColor="text1"/>
        </w:rPr>
        <w:t>mm</w:t>
      </w:r>
      <w:r w:rsidRPr="00B12FE0">
        <w:rPr>
          <w:color w:val="000000" w:themeColor="text1"/>
        </w:rPr>
        <w:t>；</w:t>
      </w:r>
    </w:p>
    <w:p w14:paraId="00461084" w14:textId="77777777" w:rsidR="00A67F21" w:rsidRPr="00B12FE0" w:rsidRDefault="00000000">
      <w:pPr>
        <w:spacing w:line="360" w:lineRule="auto"/>
        <w:ind w:firstLineChars="400" w:firstLine="960"/>
        <w:rPr>
          <w:color w:val="000000" w:themeColor="text1"/>
        </w:rPr>
      </w:pPr>
      <w:proofErr w:type="spellStart"/>
      <w:r w:rsidRPr="00B12FE0">
        <w:rPr>
          <w:color w:val="000000" w:themeColor="text1"/>
        </w:rPr>
        <w:t>X</w:t>
      </w:r>
      <w:r w:rsidRPr="00B12FE0">
        <w:rPr>
          <w:color w:val="000000" w:themeColor="text1"/>
          <w:vertAlign w:val="subscript"/>
        </w:rPr>
        <w:t>n</w:t>
      </w:r>
      <w:proofErr w:type="spellEnd"/>
      <w:r w:rsidRPr="00B12FE0">
        <w:rPr>
          <w:color w:val="000000" w:themeColor="text1"/>
        </w:rPr>
        <w:t>—</w:t>
      </w:r>
      <w:r w:rsidRPr="00B12FE0">
        <w:rPr>
          <w:color w:val="000000" w:themeColor="text1"/>
        </w:rPr>
        <w:t>防护门含硼（</w:t>
      </w:r>
      <w:r w:rsidRPr="00B12FE0">
        <w:rPr>
          <w:color w:val="000000" w:themeColor="text1"/>
        </w:rPr>
        <w:t>5%</w:t>
      </w:r>
      <w:r w:rsidRPr="00B12FE0">
        <w:rPr>
          <w:color w:val="000000" w:themeColor="text1"/>
        </w:rPr>
        <w:t>）聚乙烯屏蔽厚度，</w:t>
      </w:r>
      <w:r w:rsidRPr="00B12FE0">
        <w:rPr>
          <w:color w:val="000000" w:themeColor="text1"/>
        </w:rPr>
        <w:t>mm</w:t>
      </w:r>
      <w:r w:rsidRPr="00B12FE0">
        <w:rPr>
          <w:color w:val="000000" w:themeColor="text1"/>
        </w:rPr>
        <w:t>；</w:t>
      </w:r>
    </w:p>
    <w:p w14:paraId="1AF44CA1" w14:textId="77777777" w:rsidR="00A67F21" w:rsidRPr="00B12FE0" w:rsidRDefault="00000000">
      <w:pPr>
        <w:spacing w:line="360" w:lineRule="auto"/>
        <w:ind w:firstLineChars="400" w:firstLine="960"/>
        <w:rPr>
          <w:color w:val="000000" w:themeColor="text1"/>
        </w:rPr>
      </w:pPr>
      <w:r w:rsidRPr="00B12FE0">
        <w:rPr>
          <w:color w:val="000000" w:themeColor="text1"/>
        </w:rPr>
        <w:t>B</w:t>
      </w:r>
      <w:r w:rsidRPr="00B12FE0">
        <w:rPr>
          <w:color w:val="000000" w:themeColor="text1"/>
          <w:vertAlign w:val="subscript"/>
        </w:rPr>
        <w:t>og</w:t>
      </w:r>
      <w:r w:rsidRPr="00B12FE0">
        <w:rPr>
          <w:color w:val="000000" w:themeColor="text1"/>
        </w:rPr>
        <w:t>—</w:t>
      </w:r>
      <w:r w:rsidRPr="00B12FE0">
        <w:rPr>
          <w:color w:val="000000" w:themeColor="text1"/>
        </w:rPr>
        <w:t>防护门对</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og</m:t>
            </m:r>
          </m:sub>
        </m:sSub>
      </m:oMath>
      <w:r w:rsidRPr="00B12FE0">
        <w:rPr>
          <w:color w:val="000000" w:themeColor="text1"/>
        </w:rPr>
        <w:t>的屏蔽透射因子，</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og</m:t>
            </m:r>
          </m:sub>
        </m:sSub>
      </m:oMath>
      <w:r w:rsidRPr="00B12FE0">
        <w:rPr>
          <w:color w:val="000000" w:themeColor="text1"/>
        </w:rPr>
        <w:t>相对防护门入口处的总剂量率较小，可以忽略</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og</m:t>
            </m:r>
          </m:sub>
        </m:sSub>
      </m:oMath>
      <w:r w:rsidRPr="00B12FE0">
        <w:rPr>
          <w:color w:val="000000" w:themeColor="text1"/>
        </w:rPr>
        <w:t>·B</w:t>
      </w:r>
      <w:r w:rsidRPr="00B12FE0">
        <w:rPr>
          <w:color w:val="000000" w:themeColor="text1"/>
          <w:vertAlign w:val="subscript"/>
        </w:rPr>
        <w:t>og</w:t>
      </w:r>
      <w:r w:rsidRPr="00B12FE0">
        <w:rPr>
          <w:color w:val="000000" w:themeColor="text1"/>
        </w:rPr>
        <w:t>项；</w:t>
      </w:r>
    </w:p>
    <w:p w14:paraId="292C8A91" w14:textId="77777777" w:rsidR="00A67F21" w:rsidRPr="00B12FE0" w:rsidRDefault="00000000">
      <w:pPr>
        <w:spacing w:line="360" w:lineRule="auto"/>
        <w:ind w:firstLineChars="400" w:firstLine="960"/>
        <w:rPr>
          <w:color w:val="000000" w:themeColor="text1"/>
        </w:rPr>
      </w:pPr>
      <w:proofErr w:type="spellStart"/>
      <w:r w:rsidRPr="00B12FE0">
        <w:rPr>
          <w:color w:val="000000" w:themeColor="text1"/>
        </w:rPr>
        <w:t>TVL</w:t>
      </w:r>
      <w:r w:rsidRPr="00B12FE0">
        <w:rPr>
          <w:color w:val="000000" w:themeColor="text1"/>
          <w:vertAlign w:val="subscript"/>
        </w:rPr>
        <w:t>γ</w:t>
      </w:r>
      <w:proofErr w:type="spellEnd"/>
      <w:r w:rsidRPr="00B12FE0">
        <w:rPr>
          <w:color w:val="000000" w:themeColor="text1"/>
        </w:rPr>
        <w:t>—</w:t>
      </w:r>
      <w:r w:rsidRPr="00B12FE0">
        <w:rPr>
          <w:color w:val="000000" w:themeColor="text1"/>
        </w:rPr>
        <w:t>中子俘获</w:t>
      </w:r>
      <w:r w:rsidRPr="00B12FE0">
        <w:rPr>
          <w:color w:val="000000" w:themeColor="text1"/>
        </w:rPr>
        <w:t>γ</w:t>
      </w:r>
      <w:r w:rsidRPr="00B12FE0">
        <w:rPr>
          <w:color w:val="000000" w:themeColor="text1"/>
        </w:rPr>
        <w:t>射线铅屏蔽中的</w:t>
      </w:r>
      <w:proofErr w:type="gramStart"/>
      <w:r w:rsidRPr="00B12FE0">
        <w:rPr>
          <w:color w:val="000000" w:themeColor="text1"/>
        </w:rPr>
        <w:t>什值层</w:t>
      </w:r>
      <w:proofErr w:type="gramEnd"/>
      <w:r w:rsidRPr="00B12FE0">
        <w:rPr>
          <w:color w:val="000000" w:themeColor="text1"/>
        </w:rPr>
        <w:t>，</w:t>
      </w:r>
      <w:r w:rsidRPr="00B12FE0">
        <w:rPr>
          <w:color w:val="000000" w:themeColor="text1"/>
        </w:rPr>
        <w:t>cm</w:t>
      </w:r>
      <w:r w:rsidRPr="00B12FE0">
        <w:rPr>
          <w:color w:val="000000" w:themeColor="text1"/>
        </w:rPr>
        <w:t>，根据</w:t>
      </w:r>
      <w:r w:rsidRPr="00B12FE0">
        <w:rPr>
          <w:color w:val="000000" w:themeColor="text1"/>
        </w:rPr>
        <w:t>GBZ/T201.2-2011</w:t>
      </w:r>
      <w:r w:rsidRPr="00B12FE0">
        <w:rPr>
          <w:color w:val="000000" w:themeColor="text1"/>
        </w:rPr>
        <w:t>附录</w:t>
      </w:r>
      <w:r w:rsidRPr="00B12FE0">
        <w:rPr>
          <w:color w:val="000000" w:themeColor="text1"/>
        </w:rPr>
        <w:t>C</w:t>
      </w:r>
      <w:r w:rsidRPr="00B12FE0">
        <w:rPr>
          <w:color w:val="000000" w:themeColor="text1"/>
        </w:rPr>
        <w:t>，查得</w:t>
      </w:r>
      <w:proofErr w:type="spellStart"/>
      <w:r w:rsidRPr="00B12FE0">
        <w:rPr>
          <w:color w:val="000000" w:themeColor="text1"/>
        </w:rPr>
        <w:t>TVL</w:t>
      </w:r>
      <w:r w:rsidRPr="00B12FE0">
        <w:rPr>
          <w:color w:val="000000" w:themeColor="text1"/>
          <w:vertAlign w:val="subscript"/>
        </w:rPr>
        <w:t>γ</w:t>
      </w:r>
      <w:proofErr w:type="spellEnd"/>
      <w:r w:rsidRPr="00B12FE0">
        <w:rPr>
          <w:color w:val="000000" w:themeColor="text1"/>
        </w:rPr>
        <w:t>=31mm</w:t>
      </w:r>
      <w:r w:rsidRPr="00B12FE0">
        <w:rPr>
          <w:color w:val="000000" w:themeColor="text1"/>
        </w:rPr>
        <w:t>；</w:t>
      </w:r>
    </w:p>
    <w:p w14:paraId="2CCCA8E1" w14:textId="77777777" w:rsidR="00A67F21" w:rsidRPr="00B12FE0" w:rsidRDefault="00000000">
      <w:pPr>
        <w:spacing w:line="360" w:lineRule="auto"/>
        <w:ind w:firstLineChars="400" w:firstLine="960"/>
        <w:rPr>
          <w:color w:val="000000" w:themeColor="text1"/>
        </w:rPr>
      </w:pPr>
      <w:proofErr w:type="spellStart"/>
      <w:r w:rsidRPr="00B12FE0">
        <w:rPr>
          <w:color w:val="000000" w:themeColor="text1"/>
        </w:rPr>
        <w:t>TVL</w:t>
      </w:r>
      <w:r w:rsidRPr="00B12FE0">
        <w:rPr>
          <w:color w:val="000000" w:themeColor="text1"/>
          <w:vertAlign w:val="subscript"/>
        </w:rPr>
        <w:t>n</w:t>
      </w:r>
      <w:proofErr w:type="spellEnd"/>
      <w:r w:rsidRPr="00B12FE0">
        <w:rPr>
          <w:color w:val="000000" w:themeColor="text1"/>
        </w:rPr>
        <w:t>—</w:t>
      </w:r>
      <w:r w:rsidRPr="00B12FE0">
        <w:rPr>
          <w:color w:val="000000" w:themeColor="text1"/>
        </w:rPr>
        <w:t>中子在含硼（</w:t>
      </w:r>
      <w:r w:rsidRPr="00B12FE0">
        <w:rPr>
          <w:color w:val="000000" w:themeColor="text1"/>
        </w:rPr>
        <w:t>5%</w:t>
      </w:r>
      <w:r w:rsidRPr="00B12FE0">
        <w:rPr>
          <w:color w:val="000000" w:themeColor="text1"/>
        </w:rPr>
        <w:t>）聚乙烯屏蔽中的</w:t>
      </w:r>
      <w:proofErr w:type="gramStart"/>
      <w:r w:rsidRPr="00B12FE0">
        <w:rPr>
          <w:color w:val="000000" w:themeColor="text1"/>
        </w:rPr>
        <w:t>什值层</w:t>
      </w:r>
      <w:proofErr w:type="gramEnd"/>
      <w:r w:rsidRPr="00B12FE0">
        <w:rPr>
          <w:color w:val="000000" w:themeColor="text1"/>
        </w:rPr>
        <w:t>，</w:t>
      </w:r>
      <w:r w:rsidRPr="00B12FE0">
        <w:rPr>
          <w:color w:val="000000" w:themeColor="text1"/>
        </w:rPr>
        <w:t>cm</w:t>
      </w:r>
      <w:r w:rsidRPr="00B12FE0">
        <w:rPr>
          <w:color w:val="000000" w:themeColor="text1"/>
        </w:rPr>
        <w:t>，根据</w:t>
      </w:r>
      <w:r w:rsidRPr="00B12FE0">
        <w:rPr>
          <w:color w:val="000000" w:themeColor="text1"/>
        </w:rPr>
        <w:t>GBZ/T201.2-2011</w:t>
      </w:r>
      <w:r w:rsidRPr="00B12FE0">
        <w:rPr>
          <w:color w:val="000000" w:themeColor="text1"/>
        </w:rPr>
        <w:t>附录</w:t>
      </w:r>
      <w:r w:rsidRPr="00B12FE0">
        <w:rPr>
          <w:color w:val="000000" w:themeColor="text1"/>
        </w:rPr>
        <w:t>C</w:t>
      </w:r>
      <w:r w:rsidRPr="00B12FE0">
        <w:rPr>
          <w:color w:val="000000" w:themeColor="text1"/>
        </w:rPr>
        <w:t>，查得</w:t>
      </w:r>
      <w:proofErr w:type="spellStart"/>
      <w:r w:rsidRPr="00B12FE0">
        <w:rPr>
          <w:color w:val="000000" w:themeColor="text1"/>
        </w:rPr>
        <w:t>TVL</w:t>
      </w:r>
      <w:r w:rsidRPr="00B12FE0">
        <w:rPr>
          <w:color w:val="000000" w:themeColor="text1"/>
          <w:vertAlign w:val="subscript"/>
        </w:rPr>
        <w:t>n</w:t>
      </w:r>
      <w:proofErr w:type="spellEnd"/>
      <w:r w:rsidRPr="00B12FE0">
        <w:rPr>
          <w:color w:val="000000" w:themeColor="text1"/>
        </w:rPr>
        <w:t>=45mm</w:t>
      </w:r>
      <w:r w:rsidRPr="00B12FE0">
        <w:rPr>
          <w:color w:val="000000" w:themeColor="text1"/>
        </w:rPr>
        <w:t>；</w:t>
      </w:r>
    </w:p>
    <w:p w14:paraId="42778F2A" w14:textId="77777777" w:rsidR="00A67F21" w:rsidRPr="00B12FE0" w:rsidRDefault="00000000">
      <w:pPr>
        <w:spacing w:line="360" w:lineRule="auto"/>
        <w:ind w:firstLineChars="200" w:firstLine="480"/>
        <w:rPr>
          <w:color w:val="000000" w:themeColor="text1"/>
        </w:rPr>
      </w:pPr>
      <w:r w:rsidRPr="00B12FE0">
        <w:rPr>
          <w:color w:val="000000" w:themeColor="text1"/>
        </w:rPr>
        <w:t>各参数选取及估算结果见表</w:t>
      </w:r>
      <w:r w:rsidRPr="00B12FE0">
        <w:rPr>
          <w:color w:val="000000" w:themeColor="text1"/>
        </w:rPr>
        <w:t>11.2.2.1-1</w:t>
      </w:r>
      <w:r w:rsidRPr="00B12FE0">
        <w:rPr>
          <w:rFonts w:hint="eastAsia"/>
          <w:color w:val="000000" w:themeColor="text1"/>
        </w:rPr>
        <w:t>8</w:t>
      </w:r>
      <w:r w:rsidRPr="00B12FE0">
        <w:rPr>
          <w:color w:val="000000" w:themeColor="text1"/>
        </w:rPr>
        <w:t>。</w:t>
      </w:r>
    </w:p>
    <w:p w14:paraId="7FBC0669" w14:textId="77777777" w:rsidR="00A67F21" w:rsidRPr="00B12FE0" w:rsidRDefault="00000000">
      <w:pPr>
        <w:tabs>
          <w:tab w:val="left" w:pos="1017"/>
        </w:tabs>
        <w:adjustRightInd w:val="0"/>
        <w:snapToGrid w:val="0"/>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11.2.2.1-1</w:t>
      </w:r>
      <w:r w:rsidRPr="00B12FE0">
        <w:rPr>
          <w:rFonts w:hint="eastAsia"/>
          <w:b/>
          <w:color w:val="000000" w:themeColor="text1"/>
          <w:sz w:val="21"/>
          <w:szCs w:val="21"/>
        </w:rPr>
        <w:t>8</w:t>
      </w:r>
      <w:r w:rsidRPr="00B12FE0">
        <w:rPr>
          <w:b/>
          <w:color w:val="000000" w:themeColor="text1"/>
          <w:sz w:val="21"/>
          <w:szCs w:val="21"/>
        </w:rPr>
        <w:t xml:space="preserve">  </w:t>
      </w:r>
      <w:r w:rsidRPr="00B12FE0">
        <w:rPr>
          <w:b/>
          <w:color w:val="000000" w:themeColor="text1"/>
          <w:sz w:val="21"/>
          <w:szCs w:val="21"/>
        </w:rPr>
        <w:t>机房入口门外</w:t>
      </w:r>
      <w:r w:rsidRPr="00B12FE0">
        <w:rPr>
          <w:b/>
          <w:color w:val="000000" w:themeColor="text1"/>
          <w:sz w:val="21"/>
          <w:szCs w:val="21"/>
        </w:rPr>
        <w:t>30cm</w:t>
      </w:r>
      <w:r w:rsidRPr="00B12FE0">
        <w:rPr>
          <w:b/>
          <w:color w:val="000000" w:themeColor="text1"/>
          <w:sz w:val="21"/>
          <w:szCs w:val="21"/>
        </w:rPr>
        <w:t>（</w:t>
      </w:r>
      <w:r w:rsidRPr="00B12FE0">
        <w:rPr>
          <w:b/>
          <w:color w:val="000000" w:themeColor="text1"/>
          <w:sz w:val="21"/>
          <w:szCs w:val="21"/>
        </w:rPr>
        <w:t>g</w:t>
      </w:r>
      <w:r w:rsidRPr="00B12FE0">
        <w:rPr>
          <w:b/>
          <w:color w:val="000000" w:themeColor="text1"/>
          <w:sz w:val="21"/>
          <w:szCs w:val="21"/>
        </w:rPr>
        <w:t>点）的总辐射剂量率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221"/>
        <w:gridCol w:w="994"/>
        <w:gridCol w:w="1288"/>
        <w:gridCol w:w="1228"/>
        <w:gridCol w:w="1003"/>
        <w:gridCol w:w="1297"/>
        <w:gridCol w:w="1127"/>
      </w:tblGrid>
      <w:tr w:rsidR="00A67F21" w:rsidRPr="00B12FE0" w14:paraId="6AABA1B0" w14:textId="77777777">
        <w:trPr>
          <w:trHeight w:val="340"/>
          <w:jc w:val="center"/>
        </w:trPr>
        <w:tc>
          <w:tcPr>
            <w:tcW w:w="476" w:type="pct"/>
            <w:tcBorders>
              <w:top w:val="single" w:sz="4" w:space="0" w:color="auto"/>
              <w:left w:val="single" w:sz="4" w:space="0" w:color="auto"/>
              <w:bottom w:val="single" w:sz="4" w:space="0" w:color="auto"/>
              <w:right w:val="single" w:sz="4" w:space="0" w:color="auto"/>
            </w:tcBorders>
            <w:vAlign w:val="center"/>
          </w:tcPr>
          <w:p w14:paraId="6B4EE746"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kern w:val="0"/>
                <w:sz w:val="21"/>
                <w:szCs w:val="21"/>
              </w:rPr>
              <w:t>关注点</w:t>
            </w:r>
          </w:p>
        </w:tc>
        <w:tc>
          <w:tcPr>
            <w:tcW w:w="677" w:type="pct"/>
            <w:tcBorders>
              <w:top w:val="single" w:sz="4" w:space="0" w:color="auto"/>
              <w:left w:val="nil"/>
              <w:bottom w:val="single" w:sz="4" w:space="0" w:color="auto"/>
              <w:right w:val="single" w:sz="4" w:space="0" w:color="auto"/>
            </w:tcBorders>
            <w:vAlign w:val="center"/>
          </w:tcPr>
          <w:p w14:paraId="4D0B4F75" w14:textId="77777777" w:rsidR="00A67F21" w:rsidRPr="00B12FE0" w:rsidRDefault="00000000">
            <w:pPr>
              <w:widowControl/>
              <w:tabs>
                <w:tab w:val="right" w:pos="1884"/>
                <w:tab w:val="right" w:leader="dot" w:pos="9298"/>
              </w:tabs>
              <w:autoSpaceDE w:val="0"/>
              <w:autoSpaceDN w:val="0"/>
              <w:adjustRightInd w:val="0"/>
              <w:jc w:val="center"/>
              <w:textAlignment w:val="baseline"/>
              <w:rPr>
                <w:color w:val="000000" w:themeColor="text1"/>
                <w:kern w:val="0"/>
                <w:sz w:val="21"/>
                <w:szCs w:val="21"/>
              </w:rPr>
            </w:pPr>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γ</m:t>
                  </m:r>
                </m:sub>
              </m:sSub>
            </m:oMath>
            <w:r w:rsidRPr="00B12FE0">
              <w:rPr>
                <w:color w:val="000000" w:themeColor="text1"/>
                <w:sz w:val="21"/>
                <w:szCs w:val="21"/>
              </w:rPr>
              <w:t>(</w:t>
            </w:r>
            <w:proofErr w:type="spellStart"/>
            <w:r w:rsidRPr="00B12FE0">
              <w:rPr>
                <w:bCs/>
                <w:color w:val="000000" w:themeColor="text1"/>
                <w:sz w:val="21"/>
                <w:szCs w:val="21"/>
              </w:rPr>
              <w:t>μSv</w:t>
            </w:r>
            <w:proofErr w:type="spellEnd"/>
            <w:r w:rsidRPr="00B12FE0">
              <w:rPr>
                <w:bCs/>
                <w:color w:val="000000" w:themeColor="text1"/>
                <w:sz w:val="21"/>
                <w:szCs w:val="21"/>
              </w:rPr>
              <w:t>/h</w:t>
            </w:r>
            <w:r w:rsidRPr="00B12FE0">
              <w:rPr>
                <w:color w:val="000000" w:themeColor="text1"/>
                <w:sz w:val="21"/>
                <w:szCs w:val="21"/>
              </w:rPr>
              <w:t>)</w:t>
            </w:r>
          </w:p>
        </w:tc>
        <w:tc>
          <w:tcPr>
            <w:tcW w:w="551" w:type="pct"/>
            <w:tcBorders>
              <w:top w:val="single" w:sz="4" w:space="0" w:color="auto"/>
              <w:left w:val="nil"/>
              <w:bottom w:val="single" w:sz="4" w:space="0" w:color="auto"/>
              <w:right w:val="single" w:sz="4" w:space="0" w:color="auto"/>
            </w:tcBorders>
            <w:vAlign w:val="center"/>
          </w:tcPr>
          <w:p w14:paraId="45F40C0D" w14:textId="77777777" w:rsidR="00A67F21" w:rsidRPr="00B12FE0" w:rsidRDefault="00000000">
            <w:pPr>
              <w:jc w:val="center"/>
              <w:rPr>
                <w:color w:val="000000" w:themeColor="text1"/>
                <w:sz w:val="21"/>
                <w:szCs w:val="21"/>
              </w:rPr>
            </w:pPr>
            <w:proofErr w:type="spellStart"/>
            <w:r w:rsidRPr="00B12FE0">
              <w:rPr>
                <w:color w:val="000000" w:themeColor="text1"/>
                <w:sz w:val="21"/>
                <w:szCs w:val="21"/>
              </w:rPr>
              <w:t>X</w:t>
            </w:r>
            <w:r w:rsidRPr="00B12FE0">
              <w:rPr>
                <w:color w:val="000000" w:themeColor="text1"/>
                <w:sz w:val="21"/>
                <w:szCs w:val="21"/>
                <w:vertAlign w:val="subscript"/>
              </w:rPr>
              <w:t>γ</w:t>
            </w:r>
            <w:proofErr w:type="spellEnd"/>
            <w:r w:rsidRPr="00B12FE0">
              <w:rPr>
                <w:bCs/>
                <w:color w:val="000000" w:themeColor="text1"/>
                <w:sz w:val="21"/>
                <w:szCs w:val="21"/>
              </w:rPr>
              <w:t>(mm)</w:t>
            </w:r>
          </w:p>
        </w:tc>
        <w:tc>
          <w:tcPr>
            <w:tcW w:w="714" w:type="pct"/>
            <w:tcBorders>
              <w:top w:val="single" w:sz="4" w:space="0" w:color="auto"/>
              <w:left w:val="nil"/>
              <w:bottom w:val="single" w:sz="4" w:space="0" w:color="auto"/>
              <w:right w:val="single" w:sz="4" w:space="0" w:color="auto"/>
            </w:tcBorders>
            <w:vAlign w:val="center"/>
          </w:tcPr>
          <w:p w14:paraId="3E7F32AD" w14:textId="77777777" w:rsidR="00A67F21" w:rsidRPr="00B12FE0" w:rsidRDefault="00000000">
            <w:pPr>
              <w:jc w:val="center"/>
              <w:rPr>
                <w:color w:val="000000" w:themeColor="text1"/>
                <w:sz w:val="21"/>
                <w:szCs w:val="21"/>
              </w:rPr>
            </w:pPr>
            <w:proofErr w:type="spellStart"/>
            <w:r w:rsidRPr="00B12FE0">
              <w:rPr>
                <w:color w:val="000000" w:themeColor="text1"/>
                <w:sz w:val="21"/>
                <w:szCs w:val="21"/>
              </w:rPr>
              <w:t>TVL</w:t>
            </w:r>
            <w:r w:rsidRPr="00B12FE0">
              <w:rPr>
                <w:color w:val="000000" w:themeColor="text1"/>
                <w:sz w:val="21"/>
                <w:szCs w:val="21"/>
                <w:vertAlign w:val="subscript"/>
              </w:rPr>
              <w:t>γ</w:t>
            </w:r>
            <w:proofErr w:type="spellEnd"/>
            <w:r w:rsidRPr="00B12FE0">
              <w:rPr>
                <w:bCs/>
                <w:color w:val="000000" w:themeColor="text1"/>
                <w:sz w:val="21"/>
                <w:szCs w:val="21"/>
              </w:rPr>
              <w:t>(mm)</w:t>
            </w:r>
          </w:p>
        </w:tc>
        <w:tc>
          <w:tcPr>
            <w:tcW w:w="681" w:type="pct"/>
            <w:tcBorders>
              <w:top w:val="single" w:sz="4" w:space="0" w:color="auto"/>
              <w:left w:val="nil"/>
              <w:bottom w:val="single" w:sz="4" w:space="0" w:color="auto"/>
              <w:right w:val="single" w:sz="4" w:space="0" w:color="auto"/>
            </w:tcBorders>
            <w:vAlign w:val="center"/>
          </w:tcPr>
          <w:p w14:paraId="30C7FC87" w14:textId="77777777" w:rsidR="00A67F21" w:rsidRPr="00B12FE0" w:rsidRDefault="00000000">
            <w:pPr>
              <w:jc w:val="center"/>
              <w:rPr>
                <w:color w:val="000000" w:themeColor="text1"/>
                <w:sz w:val="21"/>
                <w:szCs w:val="21"/>
              </w:rPr>
            </w:pPr>
            <m:oMath>
              <m:sSub>
                <m:sSubPr>
                  <m:ctrlPr>
                    <w:rPr>
                      <w:rFonts w:ascii="Cambria Math" w:hAnsi="Cambria Math"/>
                      <w:i/>
                      <w:color w:val="000000" w:themeColor="text1"/>
                      <w:sz w:val="21"/>
                      <w:szCs w:val="21"/>
                    </w:rPr>
                  </m:ctrlPr>
                </m:sSubPr>
                <m:e>
                  <m:acc>
                    <m:accPr>
                      <m:chr m:val="̇"/>
                      <m:ctrlPr>
                        <w:rPr>
                          <w:rFonts w:ascii="Cambria Math" w:hAnsi="Cambria Math"/>
                          <w:i/>
                          <w:color w:val="000000" w:themeColor="text1"/>
                          <w:sz w:val="21"/>
                          <w:szCs w:val="21"/>
                        </w:rPr>
                      </m:ctrlPr>
                    </m:accPr>
                    <m:e>
                      <m:r>
                        <w:rPr>
                          <w:rFonts w:ascii="Cambria Math" w:hAnsi="Cambria Math"/>
                          <w:color w:val="000000" w:themeColor="text1"/>
                          <w:sz w:val="21"/>
                          <w:szCs w:val="21"/>
                        </w:rPr>
                        <m:t>H</m:t>
                      </m:r>
                    </m:e>
                  </m:acc>
                </m:e>
                <m:sub>
                  <m:r>
                    <w:rPr>
                      <w:rFonts w:ascii="Cambria Math" w:hAnsi="Cambria Math"/>
                      <w:color w:val="000000" w:themeColor="text1"/>
                      <w:sz w:val="21"/>
                      <w:szCs w:val="21"/>
                    </w:rPr>
                    <m:t>n</m:t>
                  </m:r>
                </m:sub>
              </m:sSub>
            </m:oMath>
            <w:r w:rsidRPr="00B12FE0">
              <w:rPr>
                <w:color w:val="000000" w:themeColor="text1"/>
                <w:sz w:val="21"/>
                <w:szCs w:val="21"/>
              </w:rPr>
              <w:t>(</w:t>
            </w:r>
            <w:proofErr w:type="spellStart"/>
            <w:r w:rsidRPr="00B12FE0">
              <w:rPr>
                <w:bCs/>
                <w:color w:val="000000" w:themeColor="text1"/>
                <w:sz w:val="21"/>
                <w:szCs w:val="21"/>
              </w:rPr>
              <w:t>μSv</w:t>
            </w:r>
            <w:proofErr w:type="spellEnd"/>
            <w:r w:rsidRPr="00B12FE0">
              <w:rPr>
                <w:bCs/>
                <w:color w:val="000000" w:themeColor="text1"/>
                <w:sz w:val="21"/>
                <w:szCs w:val="21"/>
              </w:rPr>
              <w:t>/h</w:t>
            </w:r>
            <w:r w:rsidRPr="00B12FE0">
              <w:rPr>
                <w:color w:val="000000" w:themeColor="text1"/>
                <w:sz w:val="21"/>
                <w:szCs w:val="21"/>
              </w:rPr>
              <w:t>)</w:t>
            </w:r>
          </w:p>
        </w:tc>
        <w:tc>
          <w:tcPr>
            <w:tcW w:w="556" w:type="pct"/>
            <w:tcBorders>
              <w:top w:val="single" w:sz="4" w:space="0" w:color="auto"/>
              <w:left w:val="nil"/>
              <w:bottom w:val="single" w:sz="4" w:space="0" w:color="auto"/>
              <w:right w:val="single" w:sz="4" w:space="0" w:color="auto"/>
            </w:tcBorders>
            <w:vAlign w:val="center"/>
          </w:tcPr>
          <w:p w14:paraId="032F8D2E" w14:textId="77777777" w:rsidR="00A67F21" w:rsidRPr="00B12FE0" w:rsidRDefault="00000000">
            <w:pPr>
              <w:widowControl/>
              <w:tabs>
                <w:tab w:val="center" w:pos="4201"/>
                <w:tab w:val="right" w:leader="dot" w:pos="9298"/>
              </w:tabs>
              <w:autoSpaceDE w:val="0"/>
              <w:autoSpaceDN w:val="0"/>
              <w:adjustRightInd w:val="0"/>
              <w:jc w:val="center"/>
              <w:textAlignment w:val="baseline"/>
              <w:rPr>
                <w:color w:val="000000" w:themeColor="text1"/>
                <w:kern w:val="0"/>
                <w:sz w:val="21"/>
                <w:szCs w:val="21"/>
              </w:rPr>
            </w:pPr>
            <w:proofErr w:type="spellStart"/>
            <w:r w:rsidRPr="00B12FE0">
              <w:rPr>
                <w:color w:val="000000" w:themeColor="text1"/>
                <w:sz w:val="21"/>
                <w:szCs w:val="21"/>
              </w:rPr>
              <w:t>X</w:t>
            </w:r>
            <w:r w:rsidRPr="00B12FE0">
              <w:rPr>
                <w:color w:val="000000" w:themeColor="text1"/>
                <w:sz w:val="21"/>
                <w:szCs w:val="21"/>
                <w:vertAlign w:val="subscript"/>
              </w:rPr>
              <w:t>n</w:t>
            </w:r>
            <w:proofErr w:type="spellEnd"/>
            <w:r w:rsidRPr="00B12FE0">
              <w:rPr>
                <w:bCs/>
                <w:color w:val="000000" w:themeColor="text1"/>
                <w:sz w:val="21"/>
                <w:szCs w:val="21"/>
              </w:rPr>
              <w:t>(mm)</w:t>
            </w:r>
          </w:p>
        </w:tc>
        <w:tc>
          <w:tcPr>
            <w:tcW w:w="719" w:type="pct"/>
            <w:tcBorders>
              <w:top w:val="single" w:sz="4" w:space="0" w:color="auto"/>
              <w:left w:val="nil"/>
              <w:bottom w:val="single" w:sz="4" w:space="0" w:color="auto"/>
              <w:right w:val="single" w:sz="4" w:space="0" w:color="auto"/>
            </w:tcBorders>
            <w:vAlign w:val="center"/>
          </w:tcPr>
          <w:p w14:paraId="5247D1C9" w14:textId="77777777" w:rsidR="00A67F21" w:rsidRPr="00B12FE0" w:rsidRDefault="00000000">
            <w:pPr>
              <w:widowControl/>
              <w:tabs>
                <w:tab w:val="center" w:pos="4201"/>
                <w:tab w:val="right" w:leader="dot" w:pos="9298"/>
              </w:tabs>
              <w:autoSpaceDE w:val="0"/>
              <w:autoSpaceDN w:val="0"/>
              <w:adjustRightInd w:val="0"/>
              <w:jc w:val="center"/>
              <w:textAlignment w:val="baseline"/>
              <w:rPr>
                <w:color w:val="000000" w:themeColor="text1"/>
                <w:kern w:val="0"/>
                <w:sz w:val="21"/>
                <w:szCs w:val="21"/>
              </w:rPr>
            </w:pPr>
            <w:proofErr w:type="spellStart"/>
            <w:r w:rsidRPr="00B12FE0">
              <w:rPr>
                <w:color w:val="000000" w:themeColor="text1"/>
                <w:sz w:val="21"/>
                <w:szCs w:val="21"/>
              </w:rPr>
              <w:t>TVL</w:t>
            </w:r>
            <w:r w:rsidRPr="00B12FE0">
              <w:rPr>
                <w:color w:val="000000" w:themeColor="text1"/>
                <w:sz w:val="21"/>
                <w:szCs w:val="21"/>
                <w:vertAlign w:val="subscript"/>
              </w:rPr>
              <w:t>n</w:t>
            </w:r>
            <w:proofErr w:type="spellEnd"/>
            <w:r w:rsidRPr="00B12FE0">
              <w:rPr>
                <w:bCs/>
                <w:color w:val="000000" w:themeColor="text1"/>
                <w:sz w:val="21"/>
                <w:szCs w:val="21"/>
              </w:rPr>
              <w:t>(mm)</w:t>
            </w:r>
          </w:p>
        </w:tc>
        <w:tc>
          <w:tcPr>
            <w:tcW w:w="625" w:type="pct"/>
            <w:tcBorders>
              <w:top w:val="single" w:sz="4" w:space="0" w:color="auto"/>
              <w:left w:val="nil"/>
              <w:bottom w:val="single" w:sz="4" w:space="0" w:color="auto"/>
              <w:right w:val="single" w:sz="4" w:space="0" w:color="auto"/>
            </w:tcBorders>
            <w:vAlign w:val="center"/>
          </w:tcPr>
          <w:p w14:paraId="2847EF14" w14:textId="77777777" w:rsidR="00A67F21" w:rsidRPr="00B12FE0" w:rsidRDefault="00000000">
            <w:pPr>
              <w:widowControl/>
              <w:tabs>
                <w:tab w:val="center" w:pos="4201"/>
                <w:tab w:val="right" w:leader="dot" w:pos="9298"/>
              </w:tabs>
              <w:autoSpaceDE w:val="0"/>
              <w:autoSpaceDN w:val="0"/>
              <w:adjustRightInd w:val="0"/>
              <w:jc w:val="center"/>
              <w:textAlignment w:val="baseline"/>
              <w:rPr>
                <w:color w:val="000000" w:themeColor="text1"/>
                <w:kern w:val="0"/>
                <w:sz w:val="21"/>
                <w:szCs w:val="21"/>
              </w:rPr>
            </w:pPr>
            <m:oMath>
              <m:acc>
                <m:accPr>
                  <m:chr m:val="̇"/>
                  <m:ctrlPr>
                    <w:rPr>
                      <w:rFonts w:ascii="Cambria Math" w:hAnsi="Cambria Math"/>
                      <w:i/>
                      <w:color w:val="000000" w:themeColor="text1"/>
                      <w:kern w:val="0"/>
                      <w:sz w:val="21"/>
                      <w:szCs w:val="21"/>
                    </w:rPr>
                  </m:ctrlPr>
                </m:accPr>
                <m:e>
                  <m:r>
                    <w:rPr>
                      <w:rFonts w:ascii="Cambria Math" w:hAnsi="Cambria Math"/>
                      <w:color w:val="000000" w:themeColor="text1"/>
                      <w:kern w:val="0"/>
                      <w:sz w:val="21"/>
                      <w:szCs w:val="21"/>
                    </w:rPr>
                    <m:t>H</m:t>
                  </m:r>
                </m:e>
              </m:acc>
            </m:oMath>
            <w:r w:rsidRPr="00B12FE0">
              <w:rPr>
                <w:color w:val="000000" w:themeColor="text1"/>
                <w:kern w:val="0"/>
                <w:sz w:val="21"/>
                <w:szCs w:val="21"/>
              </w:rPr>
              <w:t>(μSv/h)</w:t>
            </w:r>
          </w:p>
        </w:tc>
      </w:tr>
      <w:tr w:rsidR="00A67F21" w:rsidRPr="00B12FE0" w14:paraId="36325FC7" w14:textId="77777777">
        <w:trPr>
          <w:trHeight w:val="340"/>
          <w:jc w:val="center"/>
        </w:trPr>
        <w:tc>
          <w:tcPr>
            <w:tcW w:w="476" w:type="pct"/>
            <w:vAlign w:val="center"/>
          </w:tcPr>
          <w:p w14:paraId="5566CB75"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sz w:val="21"/>
                <w:szCs w:val="21"/>
              </w:rPr>
              <w:t>g</w:t>
            </w:r>
            <w:r w:rsidRPr="00B12FE0">
              <w:rPr>
                <w:rFonts w:hint="eastAsia"/>
                <w:color w:val="000000" w:themeColor="text1"/>
                <w:sz w:val="21"/>
                <w:szCs w:val="21"/>
                <w:vertAlign w:val="subscript"/>
              </w:rPr>
              <w:t>1</w:t>
            </w:r>
          </w:p>
        </w:tc>
        <w:tc>
          <w:tcPr>
            <w:tcW w:w="677" w:type="pct"/>
            <w:tcBorders>
              <w:top w:val="single" w:sz="4" w:space="0" w:color="auto"/>
              <w:left w:val="nil"/>
              <w:bottom w:val="single" w:sz="4" w:space="0" w:color="auto"/>
              <w:right w:val="single" w:sz="4" w:space="0" w:color="auto"/>
            </w:tcBorders>
            <w:vAlign w:val="center"/>
          </w:tcPr>
          <w:p w14:paraId="63981E45" w14:textId="77777777" w:rsidR="00A67F21" w:rsidRPr="00B12FE0" w:rsidRDefault="00000000">
            <w:pPr>
              <w:jc w:val="center"/>
              <w:rPr>
                <w:color w:val="000000" w:themeColor="text1"/>
                <w:sz w:val="21"/>
                <w:szCs w:val="21"/>
              </w:rPr>
            </w:pPr>
            <w:r w:rsidRPr="00B12FE0">
              <w:rPr>
                <w:bCs/>
                <w:color w:val="000000" w:themeColor="text1"/>
                <w:sz w:val="21"/>
                <w:szCs w:val="21"/>
              </w:rPr>
              <w:t>1.</w:t>
            </w:r>
            <w:r w:rsidRPr="00B12FE0">
              <w:rPr>
                <w:rFonts w:hint="eastAsia"/>
                <w:bCs/>
                <w:color w:val="000000" w:themeColor="text1"/>
                <w:sz w:val="21"/>
                <w:szCs w:val="21"/>
              </w:rPr>
              <w:t>70</w:t>
            </w:r>
          </w:p>
        </w:tc>
        <w:tc>
          <w:tcPr>
            <w:tcW w:w="551" w:type="pct"/>
            <w:tcBorders>
              <w:top w:val="single" w:sz="4" w:space="0" w:color="auto"/>
              <w:left w:val="nil"/>
              <w:bottom w:val="single" w:sz="4" w:space="0" w:color="auto"/>
              <w:right w:val="single" w:sz="4" w:space="0" w:color="auto"/>
            </w:tcBorders>
            <w:vAlign w:val="center"/>
          </w:tcPr>
          <w:p w14:paraId="5DCE23F1"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kern w:val="0"/>
                <w:sz w:val="21"/>
                <w:szCs w:val="21"/>
              </w:rPr>
              <w:t>20</w:t>
            </w:r>
          </w:p>
        </w:tc>
        <w:tc>
          <w:tcPr>
            <w:tcW w:w="714" w:type="pct"/>
            <w:tcBorders>
              <w:top w:val="single" w:sz="4" w:space="0" w:color="auto"/>
              <w:left w:val="nil"/>
              <w:bottom w:val="single" w:sz="4" w:space="0" w:color="auto"/>
              <w:right w:val="single" w:sz="4" w:space="0" w:color="auto"/>
            </w:tcBorders>
            <w:vAlign w:val="center"/>
          </w:tcPr>
          <w:p w14:paraId="4845BD73"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kern w:val="0"/>
                <w:sz w:val="21"/>
                <w:szCs w:val="21"/>
              </w:rPr>
              <w:t>31</w:t>
            </w:r>
          </w:p>
        </w:tc>
        <w:tc>
          <w:tcPr>
            <w:tcW w:w="681" w:type="pct"/>
            <w:tcBorders>
              <w:top w:val="single" w:sz="4" w:space="0" w:color="auto"/>
              <w:left w:val="nil"/>
              <w:bottom w:val="single" w:sz="4" w:space="0" w:color="auto"/>
              <w:right w:val="single" w:sz="4" w:space="0" w:color="auto"/>
            </w:tcBorders>
            <w:vAlign w:val="center"/>
          </w:tcPr>
          <w:p w14:paraId="3681CA02"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rFonts w:cs="宋体"/>
                <w:bCs/>
                <w:color w:val="000000" w:themeColor="text1"/>
                <w:sz w:val="21"/>
                <w:szCs w:val="21"/>
              </w:rPr>
              <w:t>134.</w:t>
            </w:r>
            <w:r w:rsidRPr="00B12FE0">
              <w:rPr>
                <w:rFonts w:cs="宋体" w:hint="eastAsia"/>
                <w:bCs/>
                <w:color w:val="000000" w:themeColor="text1"/>
                <w:sz w:val="21"/>
                <w:szCs w:val="21"/>
              </w:rPr>
              <w:t>06</w:t>
            </w:r>
          </w:p>
        </w:tc>
        <w:tc>
          <w:tcPr>
            <w:tcW w:w="556" w:type="pct"/>
            <w:tcBorders>
              <w:top w:val="single" w:sz="4" w:space="0" w:color="auto"/>
              <w:left w:val="nil"/>
              <w:bottom w:val="single" w:sz="4" w:space="0" w:color="auto"/>
              <w:right w:val="single" w:sz="4" w:space="0" w:color="auto"/>
            </w:tcBorders>
            <w:vAlign w:val="center"/>
          </w:tcPr>
          <w:p w14:paraId="2C2F716A"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rFonts w:hint="eastAsia"/>
                <w:color w:val="000000" w:themeColor="text1"/>
                <w:kern w:val="0"/>
                <w:sz w:val="21"/>
                <w:szCs w:val="21"/>
              </w:rPr>
              <w:t>140</w:t>
            </w:r>
          </w:p>
        </w:tc>
        <w:tc>
          <w:tcPr>
            <w:tcW w:w="719" w:type="pct"/>
            <w:tcBorders>
              <w:top w:val="single" w:sz="4" w:space="0" w:color="auto"/>
              <w:left w:val="nil"/>
              <w:bottom w:val="single" w:sz="4" w:space="0" w:color="auto"/>
              <w:right w:val="single" w:sz="4" w:space="0" w:color="auto"/>
            </w:tcBorders>
            <w:vAlign w:val="center"/>
          </w:tcPr>
          <w:p w14:paraId="331EBC4F"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kern w:val="0"/>
                <w:sz w:val="21"/>
                <w:szCs w:val="21"/>
              </w:rPr>
              <w:t>45</w:t>
            </w:r>
          </w:p>
        </w:tc>
        <w:tc>
          <w:tcPr>
            <w:tcW w:w="625" w:type="pct"/>
            <w:tcBorders>
              <w:top w:val="single" w:sz="4" w:space="0" w:color="auto"/>
              <w:left w:val="nil"/>
              <w:bottom w:val="single" w:sz="4" w:space="0" w:color="auto"/>
              <w:right w:val="single" w:sz="4" w:space="0" w:color="auto"/>
            </w:tcBorders>
            <w:vAlign w:val="center"/>
          </w:tcPr>
          <w:p w14:paraId="3D2B0382"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kern w:val="0"/>
                <w:sz w:val="21"/>
                <w:szCs w:val="21"/>
              </w:rPr>
              <w:t>0.</w:t>
            </w:r>
            <w:r w:rsidRPr="00B12FE0">
              <w:rPr>
                <w:rFonts w:hint="eastAsia"/>
                <w:color w:val="000000" w:themeColor="text1"/>
                <w:kern w:val="0"/>
                <w:sz w:val="21"/>
                <w:szCs w:val="21"/>
              </w:rPr>
              <w:t>45</w:t>
            </w:r>
          </w:p>
        </w:tc>
      </w:tr>
      <w:tr w:rsidR="00A67F21" w:rsidRPr="00B12FE0" w14:paraId="04D99CE7" w14:textId="77777777">
        <w:trPr>
          <w:trHeight w:val="340"/>
          <w:jc w:val="center"/>
        </w:trPr>
        <w:tc>
          <w:tcPr>
            <w:tcW w:w="476" w:type="pct"/>
            <w:vAlign w:val="center"/>
          </w:tcPr>
          <w:p w14:paraId="45912F0F"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rFonts w:hint="eastAsia"/>
                <w:color w:val="000000" w:themeColor="text1"/>
                <w:sz w:val="21"/>
                <w:szCs w:val="21"/>
              </w:rPr>
              <w:t>g</w:t>
            </w:r>
            <w:r w:rsidRPr="00B12FE0">
              <w:rPr>
                <w:rFonts w:hint="eastAsia"/>
                <w:color w:val="000000" w:themeColor="text1"/>
                <w:sz w:val="21"/>
                <w:szCs w:val="21"/>
                <w:vertAlign w:val="subscript"/>
              </w:rPr>
              <w:t>2</w:t>
            </w:r>
          </w:p>
        </w:tc>
        <w:tc>
          <w:tcPr>
            <w:tcW w:w="677" w:type="pct"/>
            <w:tcBorders>
              <w:top w:val="single" w:sz="4" w:space="0" w:color="auto"/>
              <w:left w:val="nil"/>
              <w:bottom w:val="single" w:sz="4" w:space="0" w:color="auto"/>
              <w:right w:val="single" w:sz="4" w:space="0" w:color="auto"/>
            </w:tcBorders>
            <w:vAlign w:val="center"/>
          </w:tcPr>
          <w:p w14:paraId="6DC71D26" w14:textId="77777777" w:rsidR="00A67F21" w:rsidRPr="00B12FE0" w:rsidRDefault="00000000">
            <w:pPr>
              <w:jc w:val="center"/>
              <w:rPr>
                <w:bCs/>
                <w:color w:val="000000" w:themeColor="text1"/>
                <w:sz w:val="21"/>
                <w:szCs w:val="21"/>
              </w:rPr>
            </w:pPr>
            <w:r w:rsidRPr="00B12FE0">
              <w:rPr>
                <w:rFonts w:hint="eastAsia"/>
                <w:bCs/>
                <w:color w:val="000000" w:themeColor="text1"/>
                <w:sz w:val="21"/>
                <w:szCs w:val="21"/>
              </w:rPr>
              <w:t>1.13</w:t>
            </w:r>
          </w:p>
        </w:tc>
        <w:tc>
          <w:tcPr>
            <w:tcW w:w="551" w:type="pct"/>
            <w:tcBorders>
              <w:top w:val="single" w:sz="4" w:space="0" w:color="auto"/>
              <w:left w:val="nil"/>
              <w:bottom w:val="single" w:sz="4" w:space="0" w:color="auto"/>
              <w:right w:val="single" w:sz="4" w:space="0" w:color="auto"/>
            </w:tcBorders>
            <w:vAlign w:val="center"/>
          </w:tcPr>
          <w:p w14:paraId="0AB63EAF"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kern w:val="0"/>
                <w:sz w:val="21"/>
                <w:szCs w:val="21"/>
              </w:rPr>
              <w:t>20</w:t>
            </w:r>
          </w:p>
        </w:tc>
        <w:tc>
          <w:tcPr>
            <w:tcW w:w="714" w:type="pct"/>
            <w:tcBorders>
              <w:top w:val="single" w:sz="4" w:space="0" w:color="auto"/>
              <w:left w:val="nil"/>
              <w:bottom w:val="single" w:sz="4" w:space="0" w:color="auto"/>
              <w:right w:val="single" w:sz="4" w:space="0" w:color="auto"/>
            </w:tcBorders>
            <w:vAlign w:val="center"/>
          </w:tcPr>
          <w:p w14:paraId="0C8F6711"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color w:val="000000" w:themeColor="text1"/>
                <w:kern w:val="0"/>
                <w:sz w:val="21"/>
                <w:szCs w:val="21"/>
              </w:rPr>
              <w:t>31</w:t>
            </w:r>
          </w:p>
        </w:tc>
        <w:tc>
          <w:tcPr>
            <w:tcW w:w="681" w:type="pct"/>
            <w:tcBorders>
              <w:top w:val="single" w:sz="4" w:space="0" w:color="auto"/>
              <w:left w:val="nil"/>
              <w:bottom w:val="single" w:sz="4" w:space="0" w:color="auto"/>
              <w:right w:val="single" w:sz="4" w:space="0" w:color="auto"/>
            </w:tcBorders>
            <w:vAlign w:val="center"/>
          </w:tcPr>
          <w:p w14:paraId="7471A015" w14:textId="77777777" w:rsidR="00A67F21" w:rsidRPr="00B12FE0" w:rsidRDefault="00000000">
            <w:pPr>
              <w:widowControl/>
              <w:autoSpaceDE w:val="0"/>
              <w:autoSpaceDN w:val="0"/>
              <w:adjustRightInd w:val="0"/>
              <w:jc w:val="center"/>
              <w:textAlignment w:val="baseline"/>
              <w:rPr>
                <w:bCs/>
                <w:color w:val="000000" w:themeColor="text1"/>
                <w:sz w:val="21"/>
                <w:szCs w:val="21"/>
              </w:rPr>
            </w:pPr>
            <w:r w:rsidRPr="00B12FE0">
              <w:rPr>
                <w:rFonts w:cs="宋体" w:hint="eastAsia"/>
                <w:bCs/>
                <w:color w:val="000000" w:themeColor="text1"/>
                <w:sz w:val="21"/>
                <w:szCs w:val="21"/>
              </w:rPr>
              <w:t>99.13</w:t>
            </w:r>
          </w:p>
        </w:tc>
        <w:tc>
          <w:tcPr>
            <w:tcW w:w="556" w:type="pct"/>
            <w:tcBorders>
              <w:top w:val="single" w:sz="4" w:space="0" w:color="auto"/>
              <w:left w:val="nil"/>
              <w:bottom w:val="single" w:sz="4" w:space="0" w:color="auto"/>
              <w:right w:val="single" w:sz="4" w:space="0" w:color="auto"/>
            </w:tcBorders>
            <w:vAlign w:val="center"/>
          </w:tcPr>
          <w:p w14:paraId="46174C93"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rFonts w:hint="eastAsia"/>
                <w:color w:val="000000" w:themeColor="text1"/>
                <w:kern w:val="0"/>
                <w:sz w:val="21"/>
                <w:szCs w:val="21"/>
              </w:rPr>
              <w:t>140</w:t>
            </w:r>
          </w:p>
        </w:tc>
        <w:tc>
          <w:tcPr>
            <w:tcW w:w="719" w:type="pct"/>
            <w:tcBorders>
              <w:top w:val="single" w:sz="4" w:space="0" w:color="auto"/>
              <w:left w:val="nil"/>
              <w:bottom w:val="single" w:sz="4" w:space="0" w:color="auto"/>
              <w:right w:val="single" w:sz="4" w:space="0" w:color="auto"/>
            </w:tcBorders>
            <w:vAlign w:val="center"/>
          </w:tcPr>
          <w:p w14:paraId="06E1827D"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rFonts w:hint="eastAsia"/>
                <w:color w:val="000000" w:themeColor="text1"/>
                <w:kern w:val="0"/>
                <w:sz w:val="21"/>
                <w:szCs w:val="21"/>
              </w:rPr>
              <w:t>45</w:t>
            </w:r>
          </w:p>
        </w:tc>
        <w:tc>
          <w:tcPr>
            <w:tcW w:w="625" w:type="pct"/>
            <w:tcBorders>
              <w:top w:val="single" w:sz="4" w:space="0" w:color="auto"/>
              <w:left w:val="nil"/>
              <w:bottom w:val="single" w:sz="4" w:space="0" w:color="auto"/>
              <w:right w:val="single" w:sz="4" w:space="0" w:color="auto"/>
            </w:tcBorders>
            <w:vAlign w:val="center"/>
          </w:tcPr>
          <w:p w14:paraId="1457BC25" w14:textId="77777777" w:rsidR="00A67F21" w:rsidRPr="00B12FE0" w:rsidRDefault="00000000">
            <w:pPr>
              <w:widowControl/>
              <w:autoSpaceDE w:val="0"/>
              <w:autoSpaceDN w:val="0"/>
              <w:adjustRightInd w:val="0"/>
              <w:jc w:val="center"/>
              <w:textAlignment w:val="baseline"/>
              <w:rPr>
                <w:color w:val="000000" w:themeColor="text1"/>
                <w:kern w:val="0"/>
                <w:sz w:val="21"/>
                <w:szCs w:val="21"/>
              </w:rPr>
            </w:pPr>
            <w:r w:rsidRPr="00B12FE0">
              <w:rPr>
                <w:rFonts w:hint="eastAsia"/>
                <w:color w:val="000000" w:themeColor="text1"/>
                <w:kern w:val="0"/>
                <w:sz w:val="21"/>
                <w:szCs w:val="21"/>
              </w:rPr>
              <w:t>0.30</w:t>
            </w:r>
          </w:p>
        </w:tc>
      </w:tr>
    </w:tbl>
    <w:p w14:paraId="2B650C02" w14:textId="77777777" w:rsidR="00A67F21" w:rsidRPr="00B12FE0" w:rsidRDefault="00000000">
      <w:pPr>
        <w:adjustRightInd w:val="0"/>
        <w:spacing w:line="360" w:lineRule="auto"/>
        <w:ind w:firstLineChars="196" w:firstLine="472"/>
        <w:rPr>
          <w:b/>
          <w:snapToGrid w:val="0"/>
          <w:color w:val="000000" w:themeColor="text1"/>
          <w:szCs w:val="24"/>
        </w:rPr>
      </w:pPr>
      <w:r w:rsidRPr="00B12FE0">
        <w:rPr>
          <w:rFonts w:ascii="Cambria Math" w:hAnsi="Cambria Math" w:cs="Cambria Math"/>
          <w:b/>
          <w:snapToGrid w:val="0"/>
          <w:color w:val="000000" w:themeColor="text1"/>
          <w:szCs w:val="24"/>
        </w:rPr>
        <w:t>⑥</w:t>
      </w:r>
      <w:r w:rsidRPr="00B12FE0">
        <w:rPr>
          <w:b/>
          <w:snapToGrid w:val="0"/>
          <w:color w:val="000000" w:themeColor="text1"/>
          <w:szCs w:val="24"/>
        </w:rPr>
        <w:t>加速器治疗室辐射防护评价小结</w:t>
      </w:r>
    </w:p>
    <w:p w14:paraId="5E8A6425" w14:textId="77777777" w:rsidR="00A67F21" w:rsidRPr="00B12FE0" w:rsidRDefault="00000000">
      <w:pPr>
        <w:adjustRightInd w:val="0"/>
        <w:snapToGrid w:val="0"/>
        <w:spacing w:line="360" w:lineRule="auto"/>
        <w:ind w:firstLine="480"/>
        <w:rPr>
          <w:b/>
          <w:bCs/>
          <w:snapToGrid w:val="0"/>
          <w:color w:val="000000" w:themeColor="text1"/>
          <w:sz w:val="21"/>
          <w:szCs w:val="21"/>
        </w:rPr>
      </w:pPr>
      <w:r w:rsidRPr="00B12FE0">
        <w:rPr>
          <w:bCs/>
          <w:snapToGrid w:val="0"/>
          <w:color w:val="000000" w:themeColor="text1"/>
          <w:szCs w:val="24"/>
        </w:rPr>
        <w:t>直线加速器机房墙、顶、门外关注点处辐射剂量率估算结果汇总见表</w:t>
      </w:r>
      <w:r w:rsidRPr="00B12FE0">
        <w:rPr>
          <w:bCs/>
          <w:snapToGrid w:val="0"/>
          <w:color w:val="000000" w:themeColor="text1"/>
          <w:szCs w:val="24"/>
        </w:rPr>
        <w:t>11.2.2.1-19</w:t>
      </w:r>
      <w:r w:rsidRPr="00B12FE0">
        <w:rPr>
          <w:bCs/>
          <w:snapToGrid w:val="0"/>
          <w:color w:val="000000" w:themeColor="text1"/>
          <w:szCs w:val="24"/>
        </w:rPr>
        <w:t>。</w:t>
      </w:r>
    </w:p>
    <w:p w14:paraId="7E30BADA" w14:textId="77777777" w:rsidR="00A67F21" w:rsidRPr="00B12FE0" w:rsidRDefault="00000000">
      <w:pPr>
        <w:adjustRightInd w:val="0"/>
        <w:snapToGrid w:val="0"/>
        <w:spacing w:line="360" w:lineRule="auto"/>
        <w:ind w:firstLine="422"/>
        <w:jc w:val="center"/>
        <w:rPr>
          <w:b/>
          <w:bCs/>
          <w:snapToGrid w:val="0"/>
          <w:color w:val="000000" w:themeColor="text1"/>
          <w:sz w:val="21"/>
          <w:szCs w:val="21"/>
        </w:rPr>
      </w:pPr>
      <w:r w:rsidRPr="00B12FE0">
        <w:rPr>
          <w:b/>
          <w:bCs/>
          <w:snapToGrid w:val="0"/>
          <w:color w:val="000000" w:themeColor="text1"/>
          <w:sz w:val="21"/>
          <w:szCs w:val="21"/>
        </w:rPr>
        <w:t>表</w:t>
      </w:r>
      <w:r w:rsidRPr="00B12FE0">
        <w:rPr>
          <w:b/>
          <w:snapToGrid w:val="0"/>
          <w:color w:val="000000" w:themeColor="text1"/>
          <w:sz w:val="21"/>
          <w:szCs w:val="21"/>
        </w:rPr>
        <w:t xml:space="preserve">11.2.2.1-19  </w:t>
      </w:r>
      <w:proofErr w:type="gramStart"/>
      <w:r w:rsidRPr="00B12FE0">
        <w:rPr>
          <w:b/>
          <w:bCs/>
          <w:snapToGrid w:val="0"/>
          <w:color w:val="000000" w:themeColor="text1"/>
          <w:sz w:val="21"/>
          <w:szCs w:val="21"/>
        </w:rPr>
        <w:t>各关注</w:t>
      </w:r>
      <w:proofErr w:type="gramEnd"/>
      <w:r w:rsidRPr="00B12FE0">
        <w:rPr>
          <w:b/>
          <w:bCs/>
          <w:snapToGrid w:val="0"/>
          <w:color w:val="000000" w:themeColor="text1"/>
          <w:sz w:val="21"/>
          <w:szCs w:val="21"/>
        </w:rPr>
        <w:t>点剂量率预测结果与剂量率参考控制水平比较</w:t>
      </w:r>
    </w:p>
    <w:tbl>
      <w:tblPr>
        <w:tblW w:w="8800" w:type="dxa"/>
        <w:jc w:val="center"/>
        <w:tblLayout w:type="fixed"/>
        <w:tblLook w:val="04A0" w:firstRow="1" w:lastRow="0" w:firstColumn="1" w:lastColumn="0" w:noHBand="0" w:noVBand="1"/>
      </w:tblPr>
      <w:tblGrid>
        <w:gridCol w:w="1405"/>
        <w:gridCol w:w="1886"/>
        <w:gridCol w:w="1339"/>
        <w:gridCol w:w="2111"/>
        <w:gridCol w:w="2059"/>
      </w:tblGrid>
      <w:tr w:rsidR="00A67F21" w:rsidRPr="00B12FE0" w14:paraId="56DC3AE3" w14:textId="77777777">
        <w:trPr>
          <w:trHeight w:val="46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2E7D2E1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关注点</w:t>
            </w:r>
          </w:p>
        </w:tc>
        <w:tc>
          <w:tcPr>
            <w:tcW w:w="1886" w:type="dxa"/>
            <w:tcBorders>
              <w:top w:val="single" w:sz="4" w:space="0" w:color="000000"/>
              <w:left w:val="single" w:sz="4" w:space="0" w:color="000000"/>
              <w:bottom w:val="single" w:sz="4" w:space="0" w:color="000000"/>
              <w:right w:val="single" w:sz="4" w:space="0" w:color="000000"/>
            </w:tcBorders>
            <w:vAlign w:val="center"/>
          </w:tcPr>
          <w:p w14:paraId="135EDE30"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剂量率预测结果</w:t>
            </w:r>
            <w:r w:rsidRPr="00B12FE0">
              <w:rPr>
                <w:snapToGrid w:val="0"/>
                <w:color w:val="000000" w:themeColor="text1"/>
                <w:kern w:val="0"/>
                <w:sz w:val="21"/>
                <w:szCs w:val="21"/>
                <w:lang w:bidi="ar"/>
              </w:rPr>
              <w:t>（</w:t>
            </w:r>
            <w:r w:rsidRPr="00B12FE0">
              <w:rPr>
                <w:snapToGrid w:val="0"/>
                <w:color w:val="000000" w:themeColor="text1"/>
                <w:kern w:val="0"/>
                <w:sz w:val="21"/>
                <w:szCs w:val="21"/>
                <w:lang w:bidi="ar"/>
              </w:rPr>
              <w:t>µSv/h</w:t>
            </w:r>
            <w:r w:rsidRPr="00B12FE0">
              <w:rPr>
                <w:snapToGrid w:val="0"/>
                <w:color w:val="000000" w:themeColor="text1"/>
                <w:kern w:val="0"/>
                <w:sz w:val="21"/>
                <w:szCs w:val="21"/>
                <w:lang w:bidi="ar"/>
              </w:rPr>
              <w:t>）</w:t>
            </w:r>
          </w:p>
        </w:tc>
        <w:tc>
          <w:tcPr>
            <w:tcW w:w="1339" w:type="dxa"/>
            <w:tcBorders>
              <w:top w:val="single" w:sz="4" w:space="0" w:color="000000"/>
              <w:left w:val="single" w:sz="4" w:space="0" w:color="000000"/>
              <w:bottom w:val="single" w:sz="4" w:space="0" w:color="000000"/>
              <w:right w:val="single" w:sz="4" w:space="0" w:color="000000"/>
            </w:tcBorders>
            <w:vAlign w:val="center"/>
          </w:tcPr>
          <w:p w14:paraId="397E8E2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居留因子</w:t>
            </w:r>
          </w:p>
        </w:tc>
        <w:tc>
          <w:tcPr>
            <w:tcW w:w="2111" w:type="dxa"/>
            <w:tcBorders>
              <w:top w:val="single" w:sz="4" w:space="0" w:color="000000"/>
              <w:left w:val="single" w:sz="4" w:space="0" w:color="000000"/>
              <w:bottom w:val="single" w:sz="4" w:space="0" w:color="000000"/>
              <w:right w:val="single" w:sz="4" w:space="0" w:color="000000"/>
            </w:tcBorders>
            <w:vAlign w:val="center"/>
          </w:tcPr>
          <w:p w14:paraId="471F9F1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剂量率参考控制水平值（</w:t>
            </w:r>
            <w:r w:rsidRPr="00B12FE0">
              <w:rPr>
                <w:snapToGrid w:val="0"/>
                <w:color w:val="000000" w:themeColor="text1"/>
                <w:kern w:val="0"/>
                <w:sz w:val="21"/>
                <w:szCs w:val="21"/>
                <w:lang w:bidi="ar"/>
              </w:rPr>
              <w:t>µSv/h</w:t>
            </w:r>
            <w:r w:rsidRPr="00B12FE0">
              <w:rPr>
                <w:snapToGrid w:val="0"/>
                <w:color w:val="000000" w:themeColor="text1"/>
                <w:kern w:val="0"/>
                <w:sz w:val="21"/>
                <w:szCs w:val="21"/>
                <w:lang w:bidi="ar"/>
              </w:rPr>
              <w:t>）</w:t>
            </w:r>
          </w:p>
        </w:tc>
        <w:tc>
          <w:tcPr>
            <w:tcW w:w="2059" w:type="dxa"/>
            <w:tcBorders>
              <w:top w:val="single" w:sz="4" w:space="0" w:color="000000"/>
              <w:left w:val="single" w:sz="4" w:space="0" w:color="000000"/>
              <w:bottom w:val="single" w:sz="4" w:space="0" w:color="000000"/>
              <w:right w:val="single" w:sz="4" w:space="0" w:color="000000"/>
            </w:tcBorders>
            <w:vAlign w:val="center"/>
          </w:tcPr>
          <w:p w14:paraId="232829E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是否满足控制要求</w:t>
            </w:r>
          </w:p>
        </w:tc>
      </w:tr>
      <w:tr w:rsidR="00A67F21" w:rsidRPr="00B12FE0" w14:paraId="2ADC7161"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59CC0A9A"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lang w:bidi="ar"/>
              </w:rPr>
              <w:t>a</w:t>
            </w:r>
            <w:r w:rsidRPr="00B12FE0">
              <w:rPr>
                <w:rFonts w:hint="eastAsia"/>
                <w:snapToGrid w:val="0"/>
                <w:color w:val="000000" w:themeColor="text1"/>
                <w:sz w:val="21"/>
                <w:szCs w:val="21"/>
                <w:vertAlign w:val="subscript"/>
                <w:lang w:bidi="ar"/>
              </w:rPr>
              <w:t>1/</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03BFA49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2.23E-01</w:t>
            </w:r>
          </w:p>
        </w:tc>
        <w:tc>
          <w:tcPr>
            <w:tcW w:w="1339" w:type="dxa"/>
            <w:tcBorders>
              <w:top w:val="single" w:sz="4" w:space="0" w:color="000000"/>
              <w:left w:val="single" w:sz="4" w:space="0" w:color="000000"/>
              <w:bottom w:val="single" w:sz="4" w:space="0" w:color="000000"/>
              <w:right w:val="single" w:sz="4" w:space="0" w:color="000000"/>
            </w:tcBorders>
            <w:vAlign w:val="center"/>
          </w:tcPr>
          <w:p w14:paraId="6A1AFFBD"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1/16</w:t>
            </w:r>
          </w:p>
        </w:tc>
        <w:tc>
          <w:tcPr>
            <w:tcW w:w="2111" w:type="dxa"/>
            <w:tcBorders>
              <w:top w:val="single" w:sz="4" w:space="0" w:color="000000"/>
              <w:left w:val="nil"/>
              <w:bottom w:val="single" w:sz="4" w:space="0" w:color="000000"/>
              <w:right w:val="single" w:sz="4" w:space="0" w:color="000000"/>
            </w:tcBorders>
            <w:noWrap/>
            <w:vAlign w:val="center"/>
          </w:tcPr>
          <w:p w14:paraId="28D1D44C"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10</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14CA2AE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满足</w:t>
            </w:r>
          </w:p>
        </w:tc>
      </w:tr>
      <w:tr w:rsidR="00A67F21" w:rsidRPr="00B12FE0" w14:paraId="5BCBB6FC"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65F65613"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a</w:t>
            </w:r>
            <w:r w:rsidRPr="00B12FE0">
              <w:rPr>
                <w:rFonts w:hint="eastAsia"/>
                <w:snapToGrid w:val="0"/>
                <w:color w:val="000000" w:themeColor="text1"/>
                <w:sz w:val="21"/>
                <w:szCs w:val="21"/>
                <w:vertAlign w:val="subscript"/>
                <w:lang w:bidi="ar"/>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36510DD1"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2.23E-01</w:t>
            </w:r>
          </w:p>
        </w:tc>
        <w:tc>
          <w:tcPr>
            <w:tcW w:w="1339" w:type="dxa"/>
            <w:tcBorders>
              <w:top w:val="single" w:sz="4" w:space="0" w:color="000000"/>
              <w:left w:val="single" w:sz="4" w:space="0" w:color="000000"/>
              <w:bottom w:val="single" w:sz="4" w:space="0" w:color="000000"/>
              <w:right w:val="single" w:sz="4" w:space="0" w:color="000000"/>
            </w:tcBorders>
            <w:vAlign w:val="center"/>
          </w:tcPr>
          <w:p w14:paraId="5E8BC884"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1/2</w:t>
            </w:r>
          </w:p>
        </w:tc>
        <w:tc>
          <w:tcPr>
            <w:tcW w:w="2111" w:type="dxa"/>
            <w:tcBorders>
              <w:top w:val="single" w:sz="4" w:space="0" w:color="000000"/>
              <w:left w:val="nil"/>
              <w:bottom w:val="single" w:sz="4" w:space="0" w:color="000000"/>
              <w:right w:val="single" w:sz="4" w:space="0" w:color="000000"/>
            </w:tcBorders>
            <w:noWrap/>
            <w:vAlign w:val="center"/>
          </w:tcPr>
          <w:p w14:paraId="339855A2"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1.33</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7619EDFB"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6D638C0E"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3137C4AE"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lang w:bidi="ar"/>
              </w:rPr>
              <w:t>b</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4381069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2.</w:t>
            </w:r>
            <w:r w:rsidRPr="00B12FE0">
              <w:rPr>
                <w:rFonts w:hint="eastAsia"/>
                <w:snapToGrid w:val="0"/>
                <w:color w:val="000000" w:themeColor="text1"/>
                <w:sz w:val="21"/>
                <w:szCs w:val="21"/>
              </w:rPr>
              <w:t>78</w:t>
            </w:r>
            <w:r w:rsidRPr="00B12FE0">
              <w:rPr>
                <w:snapToGrid w:val="0"/>
                <w:color w:val="000000" w:themeColor="text1"/>
                <w:sz w:val="21"/>
                <w:szCs w:val="21"/>
              </w:rPr>
              <w:t>E-01</w:t>
            </w:r>
          </w:p>
        </w:tc>
        <w:tc>
          <w:tcPr>
            <w:tcW w:w="1339" w:type="dxa"/>
            <w:tcBorders>
              <w:top w:val="single" w:sz="4" w:space="0" w:color="000000"/>
              <w:left w:val="single" w:sz="4" w:space="0" w:color="000000"/>
              <w:bottom w:val="single" w:sz="4" w:space="0" w:color="000000"/>
              <w:right w:val="single" w:sz="4" w:space="0" w:color="000000"/>
            </w:tcBorders>
            <w:vAlign w:val="center"/>
          </w:tcPr>
          <w:p w14:paraId="47E70F0C"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1/2</w:t>
            </w:r>
          </w:p>
        </w:tc>
        <w:tc>
          <w:tcPr>
            <w:tcW w:w="2111" w:type="dxa"/>
            <w:tcBorders>
              <w:top w:val="single" w:sz="4" w:space="0" w:color="000000"/>
              <w:left w:val="nil"/>
              <w:bottom w:val="single" w:sz="4" w:space="0" w:color="000000"/>
              <w:right w:val="single" w:sz="4" w:space="0" w:color="000000"/>
            </w:tcBorders>
            <w:noWrap/>
            <w:vAlign w:val="center"/>
          </w:tcPr>
          <w:p w14:paraId="063915AE"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1.33</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5701714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满足</w:t>
            </w:r>
          </w:p>
        </w:tc>
      </w:tr>
      <w:tr w:rsidR="00A67F21" w:rsidRPr="00B12FE0" w14:paraId="02844C60"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1F00D812"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sz w:val="21"/>
                <w:szCs w:val="21"/>
                <w:lang w:bidi="ar"/>
              </w:rPr>
              <w:t>c</w:t>
            </w:r>
            <w:r w:rsidRPr="00B12FE0">
              <w:rPr>
                <w:rFonts w:hint="eastAsia"/>
                <w:snapToGrid w:val="0"/>
                <w:color w:val="000000" w:themeColor="text1"/>
                <w:sz w:val="21"/>
                <w:szCs w:val="21"/>
                <w:vertAlign w:val="subscript"/>
                <w:lang w:bidi="ar"/>
              </w:rPr>
              <w:t>1/</w:t>
            </w:r>
            <w:r w:rsidRPr="00B12FE0">
              <w:rPr>
                <w:rFonts w:hint="eastAsia"/>
                <w:snapToGrid w:val="0"/>
                <w:color w:val="000000" w:themeColor="text1"/>
                <w:sz w:val="21"/>
                <w:szCs w:val="21"/>
                <w:lang w:bidi="ar"/>
              </w:rPr>
              <w:t xml:space="preserve"> c</w:t>
            </w:r>
            <w:r w:rsidRPr="00B12FE0">
              <w:rPr>
                <w:rFonts w:hint="eastAsia"/>
                <w:snapToGrid w:val="0"/>
                <w:color w:val="000000" w:themeColor="text1"/>
                <w:sz w:val="21"/>
                <w:szCs w:val="21"/>
                <w:vertAlign w:val="subscript"/>
                <w:lang w:bidi="ar"/>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7E6DDC10"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5.96E-02</w:t>
            </w:r>
          </w:p>
        </w:tc>
        <w:tc>
          <w:tcPr>
            <w:tcW w:w="1339" w:type="dxa"/>
            <w:tcBorders>
              <w:top w:val="single" w:sz="4" w:space="0" w:color="000000"/>
              <w:left w:val="single" w:sz="4" w:space="0" w:color="000000"/>
              <w:bottom w:val="single" w:sz="4" w:space="0" w:color="000000"/>
              <w:right w:val="single" w:sz="4" w:space="0" w:color="000000"/>
            </w:tcBorders>
            <w:vAlign w:val="center"/>
          </w:tcPr>
          <w:p w14:paraId="57A0547C"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1/16</w:t>
            </w:r>
          </w:p>
        </w:tc>
        <w:tc>
          <w:tcPr>
            <w:tcW w:w="2111" w:type="dxa"/>
            <w:tcBorders>
              <w:top w:val="single" w:sz="4" w:space="0" w:color="000000"/>
              <w:left w:val="nil"/>
              <w:bottom w:val="single" w:sz="4" w:space="0" w:color="000000"/>
              <w:right w:val="single" w:sz="4" w:space="0" w:color="000000"/>
            </w:tcBorders>
            <w:noWrap/>
            <w:vAlign w:val="center"/>
          </w:tcPr>
          <w:p w14:paraId="3CD610DC"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10</w:t>
            </w:r>
          </w:p>
        </w:tc>
        <w:tc>
          <w:tcPr>
            <w:tcW w:w="2059" w:type="dxa"/>
            <w:tcBorders>
              <w:top w:val="single" w:sz="4" w:space="0" w:color="000000"/>
              <w:left w:val="single" w:sz="4" w:space="0" w:color="000000"/>
              <w:bottom w:val="single" w:sz="4" w:space="0" w:color="000000"/>
              <w:right w:val="single" w:sz="4" w:space="0" w:color="000000"/>
            </w:tcBorders>
            <w:noWrap/>
          </w:tcPr>
          <w:p w14:paraId="7B518C67"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71848D78"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2872A338"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c</w:t>
            </w:r>
            <w:r w:rsidRPr="00B12FE0">
              <w:rPr>
                <w:rFonts w:hint="eastAsia"/>
                <w:snapToGrid w:val="0"/>
                <w:color w:val="000000" w:themeColor="text1"/>
                <w:sz w:val="21"/>
                <w:szCs w:val="21"/>
                <w:vertAlign w:val="subscript"/>
                <w:lang w:bidi="ar"/>
              </w:rPr>
              <w:t>3/</w:t>
            </w:r>
            <w:r w:rsidRPr="00B12FE0">
              <w:rPr>
                <w:rFonts w:hint="eastAsia"/>
                <w:snapToGrid w:val="0"/>
                <w:color w:val="000000" w:themeColor="text1"/>
                <w:sz w:val="21"/>
                <w:szCs w:val="21"/>
                <w:lang w:bidi="ar"/>
              </w:rPr>
              <w:t xml:space="preserve"> c</w:t>
            </w:r>
            <w:r w:rsidRPr="00B12FE0">
              <w:rPr>
                <w:rFonts w:hint="eastAsia"/>
                <w:snapToGrid w:val="0"/>
                <w:color w:val="000000" w:themeColor="text1"/>
                <w:sz w:val="21"/>
                <w:szCs w:val="21"/>
                <w:vertAlign w:val="subscript"/>
                <w:lang w:bidi="ar"/>
              </w:rPr>
              <w:t>4</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50EC527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5.96E-02</w:t>
            </w:r>
          </w:p>
        </w:tc>
        <w:tc>
          <w:tcPr>
            <w:tcW w:w="1339" w:type="dxa"/>
            <w:tcBorders>
              <w:top w:val="single" w:sz="4" w:space="0" w:color="000000"/>
              <w:left w:val="single" w:sz="4" w:space="0" w:color="000000"/>
              <w:bottom w:val="single" w:sz="4" w:space="0" w:color="000000"/>
              <w:right w:val="single" w:sz="4" w:space="0" w:color="000000"/>
            </w:tcBorders>
            <w:vAlign w:val="center"/>
          </w:tcPr>
          <w:p w14:paraId="152590A1"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1/2</w:t>
            </w:r>
          </w:p>
        </w:tc>
        <w:tc>
          <w:tcPr>
            <w:tcW w:w="2111" w:type="dxa"/>
            <w:tcBorders>
              <w:top w:val="single" w:sz="4" w:space="0" w:color="000000"/>
              <w:left w:val="nil"/>
              <w:bottom w:val="single" w:sz="4" w:space="0" w:color="000000"/>
              <w:right w:val="single" w:sz="4" w:space="0" w:color="000000"/>
            </w:tcBorders>
            <w:noWrap/>
            <w:vAlign w:val="center"/>
          </w:tcPr>
          <w:p w14:paraId="5D2A36B2"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1.33</w:t>
            </w:r>
          </w:p>
        </w:tc>
        <w:tc>
          <w:tcPr>
            <w:tcW w:w="2059" w:type="dxa"/>
            <w:tcBorders>
              <w:top w:val="single" w:sz="4" w:space="0" w:color="000000"/>
              <w:left w:val="single" w:sz="4" w:space="0" w:color="000000"/>
              <w:bottom w:val="single" w:sz="4" w:space="0" w:color="000000"/>
              <w:right w:val="single" w:sz="4" w:space="0" w:color="000000"/>
            </w:tcBorders>
            <w:noWrap/>
          </w:tcPr>
          <w:p w14:paraId="37812C1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55BFC2D4"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05343A1F"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snapToGrid w:val="0"/>
                <w:color w:val="000000" w:themeColor="text1"/>
                <w:sz w:val="21"/>
                <w:szCs w:val="21"/>
                <w:lang w:bidi="ar"/>
              </w:rPr>
              <w:t>d</w:t>
            </w:r>
            <w:r w:rsidRPr="00B12FE0">
              <w:rPr>
                <w:rFonts w:hint="eastAsia"/>
                <w:snapToGrid w:val="0"/>
                <w:color w:val="000000" w:themeColor="text1"/>
                <w:sz w:val="21"/>
                <w:szCs w:val="21"/>
                <w:vertAlign w:val="subscript"/>
                <w:lang w:bidi="ar"/>
              </w:rPr>
              <w:t>1</w:t>
            </w:r>
            <w:r w:rsidRPr="00B12FE0">
              <w:rPr>
                <w:rFonts w:hint="eastAsia"/>
                <w:snapToGrid w:val="0"/>
                <w:color w:val="000000" w:themeColor="text1"/>
                <w:sz w:val="21"/>
                <w:szCs w:val="21"/>
                <w:lang w:bidi="ar"/>
              </w:rPr>
              <w:t xml:space="preserve"> /d</w:t>
            </w:r>
            <w:r w:rsidRPr="00B12FE0">
              <w:rPr>
                <w:rFonts w:hint="eastAsia"/>
                <w:snapToGrid w:val="0"/>
                <w:color w:val="000000" w:themeColor="text1"/>
                <w:sz w:val="21"/>
                <w:szCs w:val="21"/>
                <w:vertAlign w:val="subscript"/>
                <w:lang w:bidi="ar"/>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3FA65EC0"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7.05E-02</w:t>
            </w:r>
          </w:p>
        </w:tc>
        <w:tc>
          <w:tcPr>
            <w:tcW w:w="1339" w:type="dxa"/>
            <w:tcBorders>
              <w:top w:val="single" w:sz="4" w:space="0" w:color="000000"/>
              <w:left w:val="single" w:sz="4" w:space="0" w:color="000000"/>
              <w:bottom w:val="single" w:sz="4" w:space="0" w:color="000000"/>
              <w:right w:val="single" w:sz="4" w:space="0" w:color="000000"/>
            </w:tcBorders>
            <w:vAlign w:val="center"/>
          </w:tcPr>
          <w:p w14:paraId="6C8DBB06"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1/2</w:t>
            </w:r>
          </w:p>
        </w:tc>
        <w:tc>
          <w:tcPr>
            <w:tcW w:w="2111" w:type="dxa"/>
            <w:tcBorders>
              <w:top w:val="single" w:sz="4" w:space="0" w:color="000000"/>
              <w:left w:val="nil"/>
              <w:bottom w:val="single" w:sz="4" w:space="0" w:color="000000"/>
              <w:right w:val="single" w:sz="4" w:space="0" w:color="000000"/>
            </w:tcBorders>
            <w:noWrap/>
            <w:vAlign w:val="center"/>
          </w:tcPr>
          <w:p w14:paraId="144CB5C4"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1.33</w:t>
            </w:r>
          </w:p>
        </w:tc>
        <w:tc>
          <w:tcPr>
            <w:tcW w:w="2059" w:type="dxa"/>
            <w:tcBorders>
              <w:top w:val="single" w:sz="4" w:space="0" w:color="000000"/>
              <w:left w:val="single" w:sz="4" w:space="0" w:color="000000"/>
              <w:bottom w:val="single" w:sz="4" w:space="0" w:color="000000"/>
              <w:right w:val="single" w:sz="4" w:space="0" w:color="000000"/>
            </w:tcBorders>
            <w:noWrap/>
          </w:tcPr>
          <w:p w14:paraId="5DE5D8EC"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3566855F"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38A22AD7" w14:textId="77777777" w:rsidR="00A67F21" w:rsidRPr="00B12FE0" w:rsidRDefault="00000000">
            <w:pPr>
              <w:widowControl/>
              <w:jc w:val="center"/>
              <w:textAlignment w:val="center"/>
              <w:rPr>
                <w:snapToGrid w:val="0"/>
                <w:color w:val="000000" w:themeColor="text1"/>
                <w:sz w:val="21"/>
                <w:szCs w:val="21"/>
                <w:lang w:bidi="ar"/>
              </w:rPr>
            </w:pPr>
            <w:r w:rsidRPr="00B12FE0">
              <w:rPr>
                <w:rFonts w:hint="eastAsia"/>
                <w:color w:val="000000" w:themeColor="text1"/>
                <w:sz w:val="21"/>
                <w:szCs w:val="21"/>
              </w:rPr>
              <w:t>e</w:t>
            </w:r>
            <w:r w:rsidRPr="00B12FE0">
              <w:rPr>
                <w:rFonts w:hint="eastAsia"/>
                <w:color w:val="000000" w:themeColor="text1"/>
                <w:sz w:val="21"/>
                <w:szCs w:val="21"/>
                <w:vertAlign w:val="subscript"/>
              </w:rPr>
              <w:t>1</w:t>
            </w:r>
            <w:r w:rsidRPr="00B12FE0">
              <w:rPr>
                <w:rFonts w:hint="eastAsia"/>
                <w:color w:val="000000" w:themeColor="text1"/>
                <w:sz w:val="21"/>
                <w:szCs w:val="21"/>
              </w:rPr>
              <w:t>/e</w:t>
            </w:r>
            <w:r w:rsidRPr="00B12FE0">
              <w:rPr>
                <w:rFonts w:hint="eastAsia"/>
                <w:color w:val="000000" w:themeColor="text1"/>
                <w:sz w:val="21"/>
                <w:szCs w:val="21"/>
                <w:vertAlign w:val="subscript"/>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40523C31" w14:textId="77777777" w:rsidR="00A67F21" w:rsidRPr="00B12FE0" w:rsidRDefault="00000000">
            <w:pPr>
              <w:widowControl/>
              <w:jc w:val="center"/>
              <w:textAlignment w:val="center"/>
              <w:rPr>
                <w:snapToGrid w:val="0"/>
                <w:color w:val="000000" w:themeColor="text1"/>
                <w:kern w:val="0"/>
                <w:sz w:val="21"/>
                <w:szCs w:val="21"/>
                <w:lang w:bidi="ar"/>
              </w:rPr>
            </w:pPr>
            <w:r w:rsidRPr="00B12FE0">
              <w:rPr>
                <w:color w:val="000000" w:themeColor="text1"/>
                <w:kern w:val="0"/>
                <w:sz w:val="21"/>
                <w:szCs w:val="21"/>
              </w:rPr>
              <w:t>7.68E-01</w:t>
            </w:r>
          </w:p>
        </w:tc>
        <w:tc>
          <w:tcPr>
            <w:tcW w:w="1339" w:type="dxa"/>
            <w:tcBorders>
              <w:top w:val="single" w:sz="4" w:space="0" w:color="000000"/>
              <w:left w:val="single" w:sz="4" w:space="0" w:color="000000"/>
              <w:bottom w:val="single" w:sz="4" w:space="0" w:color="000000"/>
              <w:right w:val="single" w:sz="4" w:space="0" w:color="000000"/>
            </w:tcBorders>
            <w:vAlign w:val="center"/>
          </w:tcPr>
          <w:p w14:paraId="2DDC059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1/16</w:t>
            </w:r>
          </w:p>
        </w:tc>
        <w:tc>
          <w:tcPr>
            <w:tcW w:w="2111" w:type="dxa"/>
            <w:tcBorders>
              <w:top w:val="single" w:sz="4" w:space="0" w:color="000000"/>
              <w:left w:val="nil"/>
              <w:bottom w:val="single" w:sz="4" w:space="0" w:color="000000"/>
              <w:right w:val="single" w:sz="4" w:space="0" w:color="000000"/>
            </w:tcBorders>
            <w:noWrap/>
            <w:vAlign w:val="center"/>
          </w:tcPr>
          <w:p w14:paraId="6CCF008A" w14:textId="77777777" w:rsidR="00A67F21" w:rsidRPr="00B12FE0" w:rsidRDefault="00000000">
            <w:pPr>
              <w:widowControl/>
              <w:jc w:val="center"/>
              <w:textAlignment w:val="center"/>
              <w:rPr>
                <w:rFonts w:eastAsia="等线"/>
                <w:color w:val="000000" w:themeColor="text1"/>
                <w:sz w:val="21"/>
                <w:szCs w:val="21"/>
              </w:rPr>
            </w:pPr>
            <w:r w:rsidRPr="00B12FE0">
              <w:rPr>
                <w:rFonts w:eastAsia="等线" w:hint="eastAsia"/>
                <w:color w:val="000000" w:themeColor="text1"/>
                <w:sz w:val="21"/>
                <w:szCs w:val="21"/>
              </w:rPr>
              <w:t>10</w:t>
            </w:r>
          </w:p>
        </w:tc>
        <w:tc>
          <w:tcPr>
            <w:tcW w:w="2059" w:type="dxa"/>
            <w:tcBorders>
              <w:top w:val="single" w:sz="4" w:space="0" w:color="000000"/>
              <w:left w:val="single" w:sz="4" w:space="0" w:color="000000"/>
              <w:bottom w:val="single" w:sz="4" w:space="0" w:color="000000"/>
              <w:right w:val="single" w:sz="4" w:space="0" w:color="000000"/>
            </w:tcBorders>
            <w:noWrap/>
          </w:tcPr>
          <w:p w14:paraId="5C549F0C"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2A45F84E"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39176A93"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hint="eastAsia"/>
                <w:snapToGrid w:val="0"/>
                <w:color w:val="000000" w:themeColor="text1"/>
                <w:kern w:val="0"/>
                <w:sz w:val="21"/>
                <w:szCs w:val="21"/>
                <w:lang w:bidi="ar"/>
              </w:rPr>
              <w:t>f</w:t>
            </w:r>
            <w:r w:rsidRPr="00B12FE0">
              <w:rPr>
                <w:rFonts w:hint="eastAsia"/>
                <w:snapToGrid w:val="0"/>
                <w:color w:val="000000" w:themeColor="text1"/>
                <w:kern w:val="0"/>
                <w:sz w:val="21"/>
                <w:szCs w:val="21"/>
                <w:vertAlign w:val="subscript"/>
                <w:lang w:bidi="ar"/>
              </w:rPr>
              <w:t>1</w:t>
            </w:r>
            <w:r w:rsidRPr="00B12FE0">
              <w:rPr>
                <w:rFonts w:hint="eastAsia"/>
                <w:snapToGrid w:val="0"/>
                <w:color w:val="000000" w:themeColor="text1"/>
                <w:kern w:val="0"/>
                <w:sz w:val="21"/>
                <w:szCs w:val="21"/>
                <w:lang w:bidi="ar"/>
              </w:rPr>
              <w:t>/f</w:t>
            </w:r>
            <w:r w:rsidRPr="00B12FE0">
              <w:rPr>
                <w:rFonts w:hint="eastAsia"/>
                <w:snapToGrid w:val="0"/>
                <w:color w:val="000000" w:themeColor="text1"/>
                <w:kern w:val="0"/>
                <w:sz w:val="21"/>
                <w:szCs w:val="21"/>
                <w:vertAlign w:val="subscript"/>
                <w:lang w:bidi="ar"/>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526053C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4.11E-06</w:t>
            </w:r>
          </w:p>
        </w:tc>
        <w:tc>
          <w:tcPr>
            <w:tcW w:w="1339" w:type="dxa"/>
            <w:tcBorders>
              <w:top w:val="single" w:sz="4" w:space="0" w:color="000000"/>
              <w:left w:val="single" w:sz="4" w:space="0" w:color="auto"/>
              <w:bottom w:val="single" w:sz="4" w:space="0" w:color="000000"/>
              <w:right w:val="single" w:sz="4" w:space="0" w:color="000000"/>
            </w:tcBorders>
            <w:vAlign w:val="center"/>
          </w:tcPr>
          <w:p w14:paraId="547BEDD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w:t>
            </w:r>
          </w:p>
        </w:tc>
        <w:tc>
          <w:tcPr>
            <w:tcW w:w="2111" w:type="dxa"/>
            <w:tcBorders>
              <w:top w:val="single" w:sz="4" w:space="0" w:color="000000"/>
              <w:left w:val="nil"/>
              <w:bottom w:val="single" w:sz="4" w:space="0" w:color="000000"/>
              <w:right w:val="single" w:sz="4" w:space="0" w:color="000000"/>
            </w:tcBorders>
            <w:noWrap/>
            <w:vAlign w:val="center"/>
          </w:tcPr>
          <w:p w14:paraId="31600914"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2.5 </w:t>
            </w:r>
          </w:p>
        </w:tc>
        <w:tc>
          <w:tcPr>
            <w:tcW w:w="2059" w:type="dxa"/>
            <w:tcBorders>
              <w:top w:val="single" w:sz="4" w:space="0" w:color="000000"/>
              <w:left w:val="single" w:sz="4" w:space="0" w:color="000000"/>
              <w:bottom w:val="single" w:sz="4" w:space="0" w:color="000000"/>
              <w:right w:val="single" w:sz="4" w:space="0" w:color="000000"/>
            </w:tcBorders>
            <w:noWrap/>
          </w:tcPr>
          <w:p w14:paraId="4C49120A"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346B1953"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595386AD"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kern w:val="0"/>
                <w:sz w:val="21"/>
                <w:szCs w:val="21"/>
                <w:lang w:bidi="ar"/>
              </w:rPr>
              <w:t>k</w:t>
            </w:r>
            <w:r w:rsidRPr="00B12FE0">
              <w:rPr>
                <w:rFonts w:hint="eastAsia"/>
                <w:snapToGrid w:val="0"/>
                <w:color w:val="000000" w:themeColor="text1"/>
                <w:kern w:val="0"/>
                <w:sz w:val="21"/>
                <w:szCs w:val="21"/>
                <w:vertAlign w:val="subscript"/>
                <w:lang w:bidi="ar"/>
              </w:rPr>
              <w:t>1</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7462797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3.12E-01</w:t>
            </w:r>
          </w:p>
        </w:tc>
        <w:tc>
          <w:tcPr>
            <w:tcW w:w="1339" w:type="dxa"/>
            <w:tcBorders>
              <w:top w:val="single" w:sz="4" w:space="0" w:color="000000"/>
              <w:left w:val="single" w:sz="4" w:space="0" w:color="000000"/>
              <w:bottom w:val="single" w:sz="4" w:space="0" w:color="000000"/>
              <w:right w:val="single" w:sz="4" w:space="0" w:color="000000"/>
            </w:tcBorders>
            <w:vAlign w:val="center"/>
          </w:tcPr>
          <w:p w14:paraId="00DB4D56"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4</w:t>
            </w:r>
          </w:p>
        </w:tc>
        <w:tc>
          <w:tcPr>
            <w:tcW w:w="2111" w:type="dxa"/>
            <w:tcBorders>
              <w:top w:val="single" w:sz="4" w:space="0" w:color="000000"/>
              <w:left w:val="nil"/>
              <w:bottom w:val="single" w:sz="4" w:space="0" w:color="000000"/>
              <w:right w:val="single" w:sz="4" w:space="0" w:color="000000"/>
            </w:tcBorders>
            <w:noWrap/>
            <w:vAlign w:val="center"/>
          </w:tcPr>
          <w:p w14:paraId="78329436"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2.67 </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476CCFC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满足</w:t>
            </w:r>
          </w:p>
        </w:tc>
      </w:tr>
      <w:tr w:rsidR="00A67F21" w:rsidRPr="00B12FE0" w14:paraId="2E53DACD"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0BB74272" w14:textId="77777777" w:rsidR="00A67F21" w:rsidRPr="00B12FE0" w:rsidRDefault="00000000">
            <w:pPr>
              <w:widowControl/>
              <w:jc w:val="center"/>
              <w:textAlignment w:val="center"/>
              <w:rPr>
                <w:snapToGrid w:val="0"/>
                <w:color w:val="000000" w:themeColor="text1"/>
                <w:sz w:val="21"/>
                <w:szCs w:val="21"/>
              </w:rPr>
            </w:pPr>
            <w:r w:rsidRPr="00B12FE0">
              <w:rPr>
                <w:rFonts w:hint="eastAsia"/>
                <w:color w:val="000000" w:themeColor="text1"/>
                <w:sz w:val="21"/>
                <w:szCs w:val="21"/>
              </w:rPr>
              <w:t>k</w:t>
            </w:r>
            <w:r w:rsidRPr="00B12FE0">
              <w:rPr>
                <w:rFonts w:hint="eastAsia"/>
                <w:color w:val="000000" w:themeColor="text1"/>
                <w:sz w:val="21"/>
                <w:szCs w:val="21"/>
                <w:vertAlign w:val="subscript"/>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107CD939"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2.99E-01</w:t>
            </w:r>
          </w:p>
        </w:tc>
        <w:tc>
          <w:tcPr>
            <w:tcW w:w="1339" w:type="dxa"/>
            <w:tcBorders>
              <w:top w:val="single" w:sz="4" w:space="0" w:color="000000"/>
              <w:left w:val="single" w:sz="4" w:space="0" w:color="000000"/>
              <w:bottom w:val="single" w:sz="4" w:space="0" w:color="000000"/>
              <w:right w:val="single" w:sz="4" w:space="0" w:color="000000"/>
            </w:tcBorders>
            <w:vAlign w:val="center"/>
          </w:tcPr>
          <w:p w14:paraId="20A60FF7"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w:t>
            </w:r>
            <w:r w:rsidRPr="00B12FE0">
              <w:rPr>
                <w:rFonts w:hint="eastAsia"/>
                <w:snapToGrid w:val="0"/>
                <w:color w:val="000000" w:themeColor="text1"/>
                <w:kern w:val="0"/>
                <w:sz w:val="21"/>
                <w:szCs w:val="21"/>
                <w:lang w:bidi="ar"/>
              </w:rPr>
              <w:t>4</w:t>
            </w:r>
          </w:p>
        </w:tc>
        <w:tc>
          <w:tcPr>
            <w:tcW w:w="2111" w:type="dxa"/>
            <w:tcBorders>
              <w:top w:val="single" w:sz="4" w:space="0" w:color="000000"/>
              <w:left w:val="nil"/>
              <w:bottom w:val="single" w:sz="4" w:space="0" w:color="000000"/>
              <w:right w:val="single" w:sz="4" w:space="0" w:color="000000"/>
            </w:tcBorders>
            <w:noWrap/>
            <w:vAlign w:val="center"/>
          </w:tcPr>
          <w:p w14:paraId="1DBF294F"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2.67 </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49A0867A"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满足</w:t>
            </w:r>
          </w:p>
        </w:tc>
      </w:tr>
      <w:tr w:rsidR="00A67F21" w:rsidRPr="00B12FE0" w14:paraId="61F3422E"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61FDB433" w14:textId="77777777" w:rsidR="00A67F21" w:rsidRPr="00B12FE0" w:rsidRDefault="00000000">
            <w:pPr>
              <w:widowControl/>
              <w:jc w:val="center"/>
              <w:textAlignment w:val="center"/>
              <w:rPr>
                <w:snapToGrid w:val="0"/>
                <w:color w:val="000000" w:themeColor="text1"/>
                <w:sz w:val="21"/>
                <w:szCs w:val="21"/>
              </w:rPr>
            </w:pPr>
            <w:r w:rsidRPr="00B12FE0">
              <w:rPr>
                <w:color w:val="000000" w:themeColor="text1"/>
                <w:sz w:val="21"/>
                <w:szCs w:val="21"/>
              </w:rPr>
              <w:t>g</w:t>
            </w:r>
            <w:r w:rsidRPr="00B12FE0">
              <w:rPr>
                <w:rFonts w:hint="eastAsia"/>
                <w:color w:val="000000" w:themeColor="text1"/>
                <w:sz w:val="21"/>
                <w:szCs w:val="21"/>
                <w:vertAlign w:val="subscript"/>
              </w:rPr>
              <w:t>1</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5CF6FE8A"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0.45</w:t>
            </w:r>
          </w:p>
        </w:tc>
        <w:tc>
          <w:tcPr>
            <w:tcW w:w="1339" w:type="dxa"/>
            <w:tcBorders>
              <w:top w:val="single" w:sz="4" w:space="0" w:color="000000"/>
              <w:left w:val="single" w:sz="4" w:space="0" w:color="000000"/>
              <w:bottom w:val="single" w:sz="4" w:space="0" w:color="000000"/>
              <w:right w:val="single" w:sz="4" w:space="0" w:color="000000"/>
            </w:tcBorders>
            <w:noWrap/>
            <w:vAlign w:val="center"/>
          </w:tcPr>
          <w:p w14:paraId="0A8FD133"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1/8</w:t>
            </w:r>
          </w:p>
        </w:tc>
        <w:tc>
          <w:tcPr>
            <w:tcW w:w="2111" w:type="dxa"/>
            <w:tcBorders>
              <w:top w:val="single" w:sz="4" w:space="0" w:color="000000"/>
              <w:left w:val="nil"/>
              <w:bottom w:val="single" w:sz="4" w:space="0" w:color="000000"/>
              <w:right w:val="single" w:sz="4" w:space="0" w:color="000000"/>
            </w:tcBorders>
            <w:noWrap/>
            <w:vAlign w:val="center"/>
          </w:tcPr>
          <w:p w14:paraId="4A593591"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5.33 </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5B68E3A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满足</w:t>
            </w:r>
          </w:p>
        </w:tc>
      </w:tr>
      <w:tr w:rsidR="00A67F21" w:rsidRPr="00B12FE0" w14:paraId="040017B4"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4C3ED2D9" w14:textId="77777777" w:rsidR="00A67F21" w:rsidRPr="00B12FE0" w:rsidRDefault="00000000">
            <w:pPr>
              <w:widowControl/>
              <w:jc w:val="center"/>
              <w:textAlignment w:val="center"/>
              <w:rPr>
                <w:snapToGrid w:val="0"/>
                <w:color w:val="000000" w:themeColor="text1"/>
                <w:sz w:val="21"/>
                <w:szCs w:val="21"/>
              </w:rPr>
            </w:pPr>
            <w:r w:rsidRPr="00B12FE0">
              <w:rPr>
                <w:rFonts w:hint="eastAsia"/>
                <w:color w:val="000000" w:themeColor="text1"/>
                <w:sz w:val="21"/>
                <w:szCs w:val="21"/>
              </w:rPr>
              <w:t>g</w:t>
            </w:r>
            <w:r w:rsidRPr="00B12FE0">
              <w:rPr>
                <w:rFonts w:hint="eastAsia"/>
                <w:color w:val="000000" w:themeColor="text1"/>
                <w:sz w:val="21"/>
                <w:szCs w:val="21"/>
                <w:vertAlign w:val="subscript"/>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212BBD81" w14:textId="77777777" w:rsidR="00A67F21" w:rsidRPr="00B12FE0" w:rsidRDefault="00000000">
            <w:pPr>
              <w:widowControl/>
              <w:jc w:val="center"/>
              <w:textAlignment w:val="center"/>
              <w:rPr>
                <w:snapToGrid w:val="0"/>
                <w:color w:val="000000" w:themeColor="text1"/>
                <w:sz w:val="21"/>
                <w:szCs w:val="21"/>
              </w:rPr>
            </w:pPr>
            <w:r w:rsidRPr="00B12FE0">
              <w:rPr>
                <w:rFonts w:hint="eastAsia"/>
                <w:snapToGrid w:val="0"/>
                <w:color w:val="000000" w:themeColor="text1"/>
                <w:sz w:val="21"/>
                <w:szCs w:val="21"/>
              </w:rPr>
              <w:t>0.3</w:t>
            </w:r>
          </w:p>
        </w:tc>
        <w:tc>
          <w:tcPr>
            <w:tcW w:w="1339" w:type="dxa"/>
            <w:tcBorders>
              <w:top w:val="single" w:sz="4" w:space="0" w:color="000000"/>
              <w:left w:val="single" w:sz="4" w:space="0" w:color="000000"/>
              <w:bottom w:val="single" w:sz="4" w:space="0" w:color="000000"/>
              <w:right w:val="single" w:sz="4" w:space="0" w:color="000000"/>
            </w:tcBorders>
            <w:vAlign w:val="center"/>
          </w:tcPr>
          <w:p w14:paraId="2611BC35"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1/8</w:t>
            </w:r>
          </w:p>
        </w:tc>
        <w:tc>
          <w:tcPr>
            <w:tcW w:w="2111" w:type="dxa"/>
            <w:tcBorders>
              <w:top w:val="single" w:sz="4" w:space="0" w:color="000000"/>
              <w:left w:val="nil"/>
              <w:bottom w:val="single" w:sz="4" w:space="0" w:color="000000"/>
              <w:right w:val="single" w:sz="4" w:space="0" w:color="000000"/>
            </w:tcBorders>
            <w:noWrap/>
            <w:vAlign w:val="center"/>
          </w:tcPr>
          <w:p w14:paraId="116DF587"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5.33 </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4270FF54"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满足</w:t>
            </w:r>
          </w:p>
        </w:tc>
      </w:tr>
      <w:tr w:rsidR="00A67F21" w:rsidRPr="00B12FE0" w14:paraId="148C44F7"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129A143C"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l</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3C06EBFB"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3.29E-01</w:t>
            </w:r>
          </w:p>
        </w:tc>
        <w:tc>
          <w:tcPr>
            <w:tcW w:w="1339" w:type="dxa"/>
            <w:tcBorders>
              <w:top w:val="single" w:sz="4" w:space="0" w:color="000000"/>
              <w:left w:val="single" w:sz="4" w:space="0" w:color="000000"/>
              <w:bottom w:val="single" w:sz="4" w:space="0" w:color="000000"/>
              <w:right w:val="single" w:sz="4" w:space="0" w:color="000000"/>
            </w:tcBorders>
            <w:vAlign w:val="center"/>
          </w:tcPr>
          <w:p w14:paraId="7097E023"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1/20</w:t>
            </w:r>
          </w:p>
        </w:tc>
        <w:tc>
          <w:tcPr>
            <w:tcW w:w="2111" w:type="dxa"/>
            <w:tcBorders>
              <w:top w:val="single" w:sz="4" w:space="0" w:color="000000"/>
              <w:left w:val="nil"/>
              <w:bottom w:val="single" w:sz="4" w:space="0" w:color="000000"/>
              <w:right w:val="single" w:sz="4" w:space="0" w:color="000000"/>
            </w:tcBorders>
            <w:noWrap/>
            <w:vAlign w:val="center"/>
          </w:tcPr>
          <w:p w14:paraId="0D7E8465" w14:textId="77777777" w:rsidR="00A67F21" w:rsidRPr="00B12FE0" w:rsidRDefault="00000000">
            <w:pPr>
              <w:widowControl/>
              <w:jc w:val="center"/>
              <w:textAlignment w:val="center"/>
              <w:rPr>
                <w:snapToGrid w:val="0"/>
                <w:color w:val="000000" w:themeColor="text1"/>
                <w:kern w:val="0"/>
                <w:sz w:val="21"/>
                <w:szCs w:val="21"/>
                <w:lang w:bidi="ar"/>
              </w:rPr>
            </w:pPr>
            <w:r w:rsidRPr="00B12FE0">
              <w:rPr>
                <w:rFonts w:eastAsia="等线"/>
                <w:color w:val="000000" w:themeColor="text1"/>
                <w:sz w:val="21"/>
                <w:szCs w:val="21"/>
              </w:rPr>
              <w:t xml:space="preserve">10 </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49A9DCE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100FE6B6"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643E704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1</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4A671922"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sz w:val="21"/>
                <w:szCs w:val="21"/>
              </w:rPr>
              <w:t>9.09E-02</w:t>
            </w:r>
          </w:p>
        </w:tc>
        <w:tc>
          <w:tcPr>
            <w:tcW w:w="1339" w:type="dxa"/>
            <w:tcBorders>
              <w:top w:val="single" w:sz="4" w:space="0" w:color="000000"/>
              <w:left w:val="single" w:sz="4" w:space="0" w:color="000000"/>
              <w:bottom w:val="single" w:sz="4" w:space="0" w:color="000000"/>
              <w:right w:val="single" w:sz="4" w:space="0" w:color="000000"/>
            </w:tcBorders>
            <w:vAlign w:val="center"/>
          </w:tcPr>
          <w:p w14:paraId="703BFB0D"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1/20</w:t>
            </w:r>
          </w:p>
        </w:tc>
        <w:tc>
          <w:tcPr>
            <w:tcW w:w="2111" w:type="dxa"/>
            <w:tcBorders>
              <w:top w:val="single" w:sz="4" w:space="0" w:color="000000"/>
              <w:left w:val="nil"/>
              <w:bottom w:val="single" w:sz="4" w:space="0" w:color="000000"/>
              <w:right w:val="single" w:sz="4" w:space="0" w:color="000000"/>
            </w:tcBorders>
            <w:noWrap/>
            <w:vAlign w:val="center"/>
          </w:tcPr>
          <w:p w14:paraId="481B096C"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10 </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50455D0F" w14:textId="77777777" w:rsidR="00A67F21" w:rsidRPr="00B12FE0" w:rsidRDefault="00000000">
            <w:pPr>
              <w:widowControl/>
              <w:jc w:val="center"/>
              <w:textAlignment w:val="center"/>
              <w:rPr>
                <w:snapToGrid w:val="0"/>
                <w:color w:val="000000" w:themeColor="text1"/>
                <w:sz w:val="21"/>
                <w:szCs w:val="21"/>
              </w:rPr>
            </w:pPr>
            <w:r w:rsidRPr="00B12FE0">
              <w:rPr>
                <w:snapToGrid w:val="0"/>
                <w:color w:val="000000" w:themeColor="text1"/>
                <w:kern w:val="0"/>
                <w:sz w:val="21"/>
                <w:szCs w:val="21"/>
                <w:lang w:bidi="ar"/>
              </w:rPr>
              <w:t>满足</w:t>
            </w:r>
          </w:p>
        </w:tc>
      </w:tr>
      <w:tr w:rsidR="00A67F21" w:rsidRPr="00B12FE0" w14:paraId="0B768A97" w14:textId="77777777">
        <w:trPr>
          <w:trHeight w:val="270"/>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4D129AED"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m</w:t>
            </w:r>
            <w:r w:rsidRPr="00B12FE0">
              <w:rPr>
                <w:snapToGrid w:val="0"/>
                <w:color w:val="000000" w:themeColor="text1"/>
                <w:kern w:val="0"/>
                <w:sz w:val="21"/>
                <w:szCs w:val="21"/>
                <w:vertAlign w:val="subscript"/>
                <w:lang w:bidi="ar"/>
              </w:rPr>
              <w:t>2</w:t>
            </w:r>
          </w:p>
        </w:tc>
        <w:tc>
          <w:tcPr>
            <w:tcW w:w="1886" w:type="dxa"/>
            <w:tcBorders>
              <w:top w:val="single" w:sz="4" w:space="0" w:color="000000"/>
              <w:left w:val="single" w:sz="4" w:space="0" w:color="000000"/>
              <w:bottom w:val="single" w:sz="4" w:space="0" w:color="000000"/>
              <w:right w:val="single" w:sz="4" w:space="0" w:color="000000"/>
            </w:tcBorders>
            <w:noWrap/>
            <w:vAlign w:val="center"/>
          </w:tcPr>
          <w:p w14:paraId="5DCE4286"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6.35E-02</w:t>
            </w:r>
          </w:p>
        </w:tc>
        <w:tc>
          <w:tcPr>
            <w:tcW w:w="1339" w:type="dxa"/>
            <w:tcBorders>
              <w:top w:val="single" w:sz="4" w:space="0" w:color="000000"/>
              <w:left w:val="single" w:sz="4" w:space="0" w:color="000000"/>
              <w:bottom w:val="single" w:sz="4" w:space="0" w:color="000000"/>
              <w:right w:val="single" w:sz="4" w:space="0" w:color="000000"/>
            </w:tcBorders>
            <w:vAlign w:val="center"/>
          </w:tcPr>
          <w:p w14:paraId="4CDAF302"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1/20</w:t>
            </w:r>
          </w:p>
        </w:tc>
        <w:tc>
          <w:tcPr>
            <w:tcW w:w="2111" w:type="dxa"/>
            <w:tcBorders>
              <w:top w:val="single" w:sz="4" w:space="0" w:color="000000"/>
              <w:left w:val="nil"/>
              <w:bottom w:val="single" w:sz="4" w:space="0" w:color="000000"/>
              <w:right w:val="single" w:sz="4" w:space="0" w:color="000000"/>
            </w:tcBorders>
            <w:noWrap/>
            <w:vAlign w:val="center"/>
          </w:tcPr>
          <w:p w14:paraId="06A975E3" w14:textId="77777777" w:rsidR="00A67F21" w:rsidRPr="00B12FE0" w:rsidRDefault="00000000">
            <w:pPr>
              <w:widowControl/>
              <w:jc w:val="center"/>
              <w:textAlignment w:val="center"/>
              <w:rPr>
                <w:snapToGrid w:val="0"/>
                <w:color w:val="000000" w:themeColor="text1"/>
                <w:sz w:val="21"/>
                <w:szCs w:val="21"/>
              </w:rPr>
            </w:pPr>
            <w:r w:rsidRPr="00B12FE0">
              <w:rPr>
                <w:rFonts w:eastAsia="等线"/>
                <w:color w:val="000000" w:themeColor="text1"/>
                <w:sz w:val="21"/>
                <w:szCs w:val="21"/>
              </w:rPr>
              <w:t xml:space="preserve">10 </w:t>
            </w:r>
          </w:p>
        </w:tc>
        <w:tc>
          <w:tcPr>
            <w:tcW w:w="2059" w:type="dxa"/>
            <w:tcBorders>
              <w:top w:val="single" w:sz="4" w:space="0" w:color="000000"/>
              <w:left w:val="single" w:sz="4" w:space="0" w:color="000000"/>
              <w:bottom w:val="single" w:sz="4" w:space="0" w:color="000000"/>
              <w:right w:val="single" w:sz="4" w:space="0" w:color="000000"/>
            </w:tcBorders>
            <w:noWrap/>
            <w:vAlign w:val="center"/>
          </w:tcPr>
          <w:p w14:paraId="2E1C36FE" w14:textId="77777777" w:rsidR="00A67F21" w:rsidRPr="00B12FE0" w:rsidRDefault="00000000">
            <w:pPr>
              <w:widowControl/>
              <w:jc w:val="center"/>
              <w:textAlignment w:val="center"/>
              <w:rPr>
                <w:snapToGrid w:val="0"/>
                <w:color w:val="000000" w:themeColor="text1"/>
                <w:kern w:val="0"/>
                <w:sz w:val="21"/>
                <w:szCs w:val="21"/>
                <w:lang w:bidi="ar"/>
              </w:rPr>
            </w:pPr>
            <w:r w:rsidRPr="00B12FE0">
              <w:rPr>
                <w:snapToGrid w:val="0"/>
                <w:color w:val="000000" w:themeColor="text1"/>
                <w:kern w:val="0"/>
                <w:sz w:val="21"/>
                <w:szCs w:val="21"/>
                <w:lang w:bidi="ar"/>
              </w:rPr>
              <w:t>满足</w:t>
            </w:r>
          </w:p>
        </w:tc>
      </w:tr>
      <w:tr w:rsidR="00A67F21" w:rsidRPr="00B12FE0" w14:paraId="2E197B09" w14:textId="77777777">
        <w:trPr>
          <w:trHeight w:val="270"/>
          <w:jc w:val="center"/>
        </w:trPr>
        <w:tc>
          <w:tcPr>
            <w:tcW w:w="8800" w:type="dxa"/>
            <w:gridSpan w:val="5"/>
            <w:tcBorders>
              <w:top w:val="single" w:sz="4" w:space="0" w:color="000000"/>
              <w:left w:val="single" w:sz="4" w:space="0" w:color="000000"/>
              <w:bottom w:val="single" w:sz="4" w:space="0" w:color="000000"/>
              <w:right w:val="single" w:sz="4" w:space="0" w:color="000000"/>
            </w:tcBorders>
            <w:vAlign w:val="center"/>
          </w:tcPr>
          <w:p w14:paraId="5DAF6DF0" w14:textId="77777777" w:rsidR="00A67F21" w:rsidRPr="00B12FE0" w:rsidRDefault="00000000">
            <w:pPr>
              <w:widowControl/>
              <w:textAlignment w:val="center"/>
              <w:rPr>
                <w:snapToGrid w:val="0"/>
                <w:color w:val="000000" w:themeColor="text1"/>
                <w:kern w:val="0"/>
                <w:sz w:val="21"/>
                <w:szCs w:val="21"/>
                <w:lang w:bidi="ar"/>
              </w:rPr>
            </w:pPr>
            <w:r w:rsidRPr="00B12FE0">
              <w:rPr>
                <w:snapToGrid w:val="0"/>
                <w:color w:val="000000" w:themeColor="text1"/>
                <w:sz w:val="21"/>
                <w:szCs w:val="18"/>
              </w:rPr>
              <w:t>注：预测剂量率取</w:t>
            </w:r>
            <w:r w:rsidRPr="00B12FE0">
              <w:rPr>
                <w:snapToGrid w:val="0"/>
                <w:color w:val="000000" w:themeColor="text1"/>
                <w:sz w:val="21"/>
                <w:szCs w:val="18"/>
              </w:rPr>
              <w:t>15MV</w:t>
            </w:r>
            <w:r w:rsidRPr="00B12FE0">
              <w:rPr>
                <w:snapToGrid w:val="0"/>
                <w:color w:val="000000" w:themeColor="text1"/>
                <w:sz w:val="21"/>
                <w:szCs w:val="18"/>
              </w:rPr>
              <w:t>和</w:t>
            </w:r>
            <w:r w:rsidRPr="00B12FE0">
              <w:rPr>
                <w:snapToGrid w:val="0"/>
                <w:color w:val="000000" w:themeColor="text1"/>
                <w:sz w:val="21"/>
                <w:szCs w:val="18"/>
              </w:rPr>
              <w:t>10MV</w:t>
            </w:r>
            <w:r w:rsidRPr="00B12FE0">
              <w:rPr>
                <w:snapToGrid w:val="0"/>
                <w:color w:val="000000" w:themeColor="text1"/>
                <w:sz w:val="21"/>
                <w:szCs w:val="18"/>
              </w:rPr>
              <w:t>条件下，最大值。</w:t>
            </w:r>
          </w:p>
        </w:tc>
      </w:tr>
    </w:tbl>
    <w:p w14:paraId="2291E2DC"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snapToGrid w:val="0"/>
          <w:color w:val="000000" w:themeColor="text1"/>
          <w:szCs w:val="24"/>
        </w:rPr>
        <w:lastRenderedPageBreak/>
        <w:t>综上，经理论预测，本项目直线加速器运行时，加速器机房各屏蔽体外表面</w:t>
      </w:r>
      <w:r w:rsidRPr="00B12FE0">
        <w:rPr>
          <w:snapToGrid w:val="0"/>
          <w:color w:val="000000" w:themeColor="text1"/>
          <w:szCs w:val="24"/>
        </w:rPr>
        <w:t>30cm</w:t>
      </w:r>
      <w:r w:rsidRPr="00B12FE0">
        <w:rPr>
          <w:snapToGrid w:val="0"/>
          <w:color w:val="000000" w:themeColor="text1"/>
          <w:szCs w:val="24"/>
        </w:rPr>
        <w:t>处辐射剂量率均满足《放射治疗辐射安全与防护要求》（</w:t>
      </w:r>
      <w:r w:rsidRPr="00B12FE0">
        <w:rPr>
          <w:snapToGrid w:val="0"/>
          <w:color w:val="000000" w:themeColor="text1"/>
          <w:szCs w:val="24"/>
        </w:rPr>
        <w:t>HJ1198-2021</w:t>
      </w:r>
      <w:r w:rsidRPr="00B12FE0">
        <w:rPr>
          <w:snapToGrid w:val="0"/>
          <w:color w:val="000000" w:themeColor="text1"/>
          <w:szCs w:val="24"/>
        </w:rPr>
        <w:t>）</w:t>
      </w:r>
      <w:r w:rsidRPr="00B12FE0">
        <w:rPr>
          <w:bCs/>
          <w:snapToGrid w:val="0"/>
          <w:color w:val="000000" w:themeColor="text1"/>
          <w:szCs w:val="24"/>
        </w:rPr>
        <w:t>相应的剂量率参考控制水平。</w:t>
      </w:r>
    </w:p>
    <w:p w14:paraId="51B8DC8D" w14:textId="77777777" w:rsidR="00A67F21" w:rsidRPr="00B12FE0" w:rsidRDefault="00000000">
      <w:pPr>
        <w:autoSpaceDE w:val="0"/>
        <w:snapToGrid w:val="0"/>
        <w:spacing w:beforeLines="50" w:before="120" w:line="360" w:lineRule="auto"/>
        <w:ind w:firstLineChars="200" w:firstLine="482"/>
        <w:contextualSpacing/>
        <w:rPr>
          <w:b/>
          <w:bCs/>
          <w:color w:val="000000" w:themeColor="text1"/>
        </w:rPr>
      </w:pPr>
      <w:r w:rsidRPr="00B12FE0">
        <w:rPr>
          <w:b/>
          <w:bCs/>
          <w:color w:val="000000" w:themeColor="text1"/>
        </w:rPr>
        <w:t>（</w:t>
      </w:r>
      <w:r w:rsidRPr="00B12FE0">
        <w:rPr>
          <w:b/>
          <w:bCs/>
          <w:color w:val="000000" w:themeColor="text1"/>
        </w:rPr>
        <w:t>5</w:t>
      </w:r>
      <w:r w:rsidRPr="00B12FE0">
        <w:rPr>
          <w:b/>
          <w:bCs/>
          <w:color w:val="000000" w:themeColor="text1"/>
        </w:rPr>
        <w:t>）年有效剂量预测分析</w:t>
      </w:r>
    </w:p>
    <w:p w14:paraId="3BF1E3C4" w14:textId="77777777" w:rsidR="00A67F21" w:rsidRPr="00B12FE0" w:rsidRDefault="00000000">
      <w:pPr>
        <w:snapToGrid w:val="0"/>
        <w:spacing w:line="360" w:lineRule="auto"/>
        <w:ind w:firstLineChars="196" w:firstLine="470"/>
        <w:rPr>
          <w:color w:val="000000" w:themeColor="text1"/>
        </w:rPr>
      </w:pPr>
      <w:r w:rsidRPr="00B12FE0">
        <w:rPr>
          <w:color w:val="000000" w:themeColor="text1"/>
        </w:rPr>
        <w:t>根据</w:t>
      </w:r>
      <w:proofErr w:type="gramStart"/>
      <w:r w:rsidRPr="00B12FE0">
        <w:rPr>
          <w:color w:val="000000" w:themeColor="text1"/>
        </w:rPr>
        <w:t>各关注</w:t>
      </w:r>
      <w:proofErr w:type="gramEnd"/>
      <w:r w:rsidRPr="00B12FE0">
        <w:rPr>
          <w:color w:val="000000" w:themeColor="text1"/>
        </w:rPr>
        <w:t>点的剂量率，对直线加速器机房工作人员及周围的公众人员进行年有效剂量估算。</w:t>
      </w:r>
      <w:r w:rsidRPr="00B12FE0">
        <w:rPr>
          <w:color w:val="000000" w:themeColor="text1"/>
          <w:kern w:val="0"/>
        </w:rPr>
        <w:t>关注点人员的有效剂量选取加速器</w:t>
      </w:r>
      <w:r w:rsidRPr="00B12FE0">
        <w:rPr>
          <w:color w:val="000000" w:themeColor="text1"/>
          <w:kern w:val="0"/>
        </w:rPr>
        <w:t>10MV</w:t>
      </w:r>
      <w:r w:rsidRPr="00B12FE0">
        <w:rPr>
          <w:color w:val="000000" w:themeColor="text1"/>
          <w:kern w:val="0"/>
        </w:rPr>
        <w:t>和</w:t>
      </w:r>
      <w:r w:rsidRPr="00B12FE0">
        <w:rPr>
          <w:color w:val="000000" w:themeColor="text1"/>
          <w:kern w:val="0"/>
        </w:rPr>
        <w:t>15MV</w:t>
      </w:r>
      <w:r w:rsidRPr="00B12FE0">
        <w:rPr>
          <w:color w:val="000000" w:themeColor="text1"/>
          <w:kern w:val="0"/>
        </w:rPr>
        <w:t>下最大剂量率，并根据</w:t>
      </w:r>
      <w:r w:rsidRPr="00B12FE0">
        <w:rPr>
          <w:bCs/>
          <w:color w:val="000000" w:themeColor="text1"/>
          <w:lang w:val="pt-BR"/>
        </w:rPr>
        <w:t>式</w:t>
      </w:r>
      <w:r w:rsidRPr="00B12FE0">
        <w:rPr>
          <w:bCs/>
          <w:color w:val="000000" w:themeColor="text1"/>
          <w:lang w:val="pt-BR"/>
        </w:rPr>
        <w:t>11.2.1.1-</w:t>
      </w:r>
      <w:r w:rsidRPr="00B12FE0">
        <w:rPr>
          <w:bCs/>
          <w:color w:val="000000" w:themeColor="text1"/>
        </w:rPr>
        <w:t>3</w:t>
      </w:r>
      <w:r w:rsidRPr="00B12FE0">
        <w:rPr>
          <w:color w:val="000000" w:themeColor="text1"/>
          <w:kern w:val="0"/>
        </w:rPr>
        <w:t>进行计算，居留因子参考表</w:t>
      </w:r>
      <w:r w:rsidRPr="00B12FE0">
        <w:rPr>
          <w:color w:val="000000" w:themeColor="text1"/>
          <w:kern w:val="0"/>
        </w:rPr>
        <w:t>11.2.2.1-19</w:t>
      </w:r>
      <w:r w:rsidRPr="00B12FE0">
        <w:rPr>
          <w:color w:val="000000" w:themeColor="text1"/>
          <w:kern w:val="0"/>
        </w:rPr>
        <w:t>。</w:t>
      </w:r>
      <w:r w:rsidRPr="00B12FE0">
        <w:rPr>
          <w:color w:val="000000" w:themeColor="text1"/>
        </w:rPr>
        <w:t>机房</w:t>
      </w:r>
      <w:proofErr w:type="gramStart"/>
      <w:r w:rsidRPr="00B12FE0">
        <w:rPr>
          <w:color w:val="000000" w:themeColor="text1"/>
        </w:rPr>
        <w:t>外职业</w:t>
      </w:r>
      <w:proofErr w:type="gramEnd"/>
      <w:r w:rsidRPr="00B12FE0">
        <w:rPr>
          <w:color w:val="000000" w:themeColor="text1"/>
        </w:rPr>
        <w:t>人员和周围公众人员可能接受的最大辐射年有效剂量见下表。</w:t>
      </w:r>
    </w:p>
    <w:p w14:paraId="49BBA82D" w14:textId="77777777" w:rsidR="00A67F21" w:rsidRPr="00B12FE0" w:rsidRDefault="00000000">
      <w:pPr>
        <w:autoSpaceDE w:val="0"/>
        <w:snapToGrid w:val="0"/>
        <w:spacing w:beforeLines="50" w:before="120" w:line="360" w:lineRule="auto"/>
        <w:contextualSpacing/>
        <w:jc w:val="center"/>
        <w:rPr>
          <w:b/>
          <w:bCs/>
          <w:color w:val="000000" w:themeColor="text1"/>
          <w:sz w:val="21"/>
          <w:szCs w:val="21"/>
        </w:rPr>
      </w:pPr>
      <w:r w:rsidRPr="00B12FE0">
        <w:rPr>
          <w:b/>
          <w:bCs/>
          <w:color w:val="000000" w:themeColor="text1"/>
          <w:sz w:val="21"/>
          <w:szCs w:val="21"/>
        </w:rPr>
        <w:t>表</w:t>
      </w:r>
      <w:r w:rsidRPr="00B12FE0">
        <w:rPr>
          <w:b/>
          <w:bCs/>
          <w:color w:val="000000" w:themeColor="text1"/>
          <w:sz w:val="21"/>
          <w:szCs w:val="21"/>
        </w:rPr>
        <w:t>1</w:t>
      </w:r>
      <w:r w:rsidRPr="00B12FE0">
        <w:rPr>
          <w:b/>
          <w:color w:val="000000" w:themeColor="text1"/>
          <w:sz w:val="21"/>
          <w:szCs w:val="21"/>
        </w:rPr>
        <w:t xml:space="preserve">1.2.2.1-20  </w:t>
      </w:r>
      <w:r w:rsidRPr="00B12FE0">
        <w:rPr>
          <w:b/>
          <w:color w:val="000000" w:themeColor="text1"/>
          <w:sz w:val="21"/>
          <w:szCs w:val="21"/>
        </w:rPr>
        <w:t>电子直线加速器</w:t>
      </w:r>
      <w:r w:rsidRPr="00B12FE0">
        <w:rPr>
          <w:b/>
          <w:bCs/>
          <w:color w:val="000000" w:themeColor="text1"/>
          <w:sz w:val="21"/>
          <w:szCs w:val="21"/>
        </w:rPr>
        <w:t>辐射工作人员及</w:t>
      </w:r>
      <w:proofErr w:type="gramStart"/>
      <w:r w:rsidRPr="00B12FE0">
        <w:rPr>
          <w:b/>
          <w:bCs/>
          <w:color w:val="000000" w:themeColor="text1"/>
          <w:sz w:val="21"/>
          <w:szCs w:val="21"/>
        </w:rPr>
        <w:t>公众年受照</w:t>
      </w:r>
      <w:proofErr w:type="gramEnd"/>
      <w:r w:rsidRPr="00B12FE0">
        <w:rPr>
          <w:b/>
          <w:bCs/>
          <w:color w:val="000000" w:themeColor="text1"/>
          <w:sz w:val="21"/>
          <w:szCs w:val="21"/>
        </w:rPr>
        <w:t>剂量估算结果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567"/>
        <w:gridCol w:w="1253"/>
        <w:gridCol w:w="1010"/>
        <w:gridCol w:w="994"/>
        <w:gridCol w:w="815"/>
        <w:gridCol w:w="1252"/>
        <w:gridCol w:w="1003"/>
      </w:tblGrid>
      <w:tr w:rsidR="00A67F21" w:rsidRPr="00B12FE0" w14:paraId="12316EB5" w14:textId="77777777">
        <w:trPr>
          <w:cantSplit/>
          <w:trHeight w:val="340"/>
          <w:jc w:val="center"/>
        </w:trPr>
        <w:tc>
          <w:tcPr>
            <w:tcW w:w="623" w:type="pct"/>
            <w:vAlign w:val="center"/>
          </w:tcPr>
          <w:p w14:paraId="3F2F953F" w14:textId="77777777" w:rsidR="00A67F21" w:rsidRPr="00B12FE0" w:rsidRDefault="00000000">
            <w:pPr>
              <w:snapToGrid w:val="0"/>
              <w:jc w:val="center"/>
              <w:rPr>
                <w:color w:val="000000" w:themeColor="text1"/>
                <w:sz w:val="21"/>
                <w:szCs w:val="21"/>
              </w:rPr>
            </w:pPr>
            <w:r w:rsidRPr="00B12FE0">
              <w:rPr>
                <w:color w:val="000000" w:themeColor="text1"/>
                <w:sz w:val="21"/>
                <w:szCs w:val="21"/>
              </w:rPr>
              <w:t>机房</w:t>
            </w:r>
          </w:p>
        </w:tc>
        <w:tc>
          <w:tcPr>
            <w:tcW w:w="869" w:type="pct"/>
            <w:vAlign w:val="center"/>
          </w:tcPr>
          <w:p w14:paraId="1F7D75FE" w14:textId="77777777" w:rsidR="00A67F21" w:rsidRPr="00B12FE0" w:rsidRDefault="00000000">
            <w:pPr>
              <w:snapToGrid w:val="0"/>
              <w:jc w:val="center"/>
              <w:rPr>
                <w:color w:val="000000" w:themeColor="text1"/>
                <w:sz w:val="21"/>
                <w:szCs w:val="21"/>
              </w:rPr>
            </w:pPr>
            <w:r w:rsidRPr="00B12FE0">
              <w:rPr>
                <w:color w:val="000000" w:themeColor="text1"/>
                <w:sz w:val="21"/>
                <w:szCs w:val="21"/>
              </w:rPr>
              <w:t>关注区域</w:t>
            </w:r>
          </w:p>
        </w:tc>
        <w:tc>
          <w:tcPr>
            <w:tcW w:w="695" w:type="pct"/>
            <w:vAlign w:val="center"/>
          </w:tcPr>
          <w:p w14:paraId="2B245E87" w14:textId="77777777" w:rsidR="00A67F21" w:rsidRPr="00B12FE0" w:rsidRDefault="00000000">
            <w:pPr>
              <w:snapToGrid w:val="0"/>
              <w:jc w:val="center"/>
              <w:rPr>
                <w:color w:val="000000" w:themeColor="text1"/>
                <w:sz w:val="21"/>
                <w:szCs w:val="21"/>
              </w:rPr>
            </w:pPr>
            <w:r w:rsidRPr="00B12FE0">
              <w:rPr>
                <w:color w:val="000000" w:themeColor="text1"/>
                <w:sz w:val="21"/>
                <w:szCs w:val="21"/>
              </w:rPr>
              <w:t>辐射剂量率（</w:t>
            </w:r>
            <w:proofErr w:type="spellStart"/>
            <w:r w:rsidRPr="00B12FE0">
              <w:rPr>
                <w:color w:val="000000" w:themeColor="text1"/>
                <w:kern w:val="0"/>
                <w:sz w:val="21"/>
                <w:szCs w:val="21"/>
              </w:rPr>
              <w:t>μSv</w:t>
            </w:r>
            <w:proofErr w:type="spellEnd"/>
            <w:r w:rsidRPr="00B12FE0">
              <w:rPr>
                <w:color w:val="000000" w:themeColor="text1"/>
                <w:kern w:val="0"/>
                <w:sz w:val="21"/>
                <w:szCs w:val="21"/>
              </w:rPr>
              <w:t>/h</w:t>
            </w:r>
            <w:r w:rsidRPr="00B12FE0">
              <w:rPr>
                <w:color w:val="000000" w:themeColor="text1"/>
                <w:sz w:val="21"/>
                <w:szCs w:val="21"/>
              </w:rPr>
              <w:t>）</w:t>
            </w:r>
          </w:p>
        </w:tc>
        <w:tc>
          <w:tcPr>
            <w:tcW w:w="560" w:type="pct"/>
            <w:vAlign w:val="center"/>
          </w:tcPr>
          <w:p w14:paraId="2D4B1EEF" w14:textId="77777777" w:rsidR="00A67F21" w:rsidRPr="00B12FE0" w:rsidRDefault="00000000">
            <w:pPr>
              <w:snapToGrid w:val="0"/>
              <w:jc w:val="center"/>
              <w:rPr>
                <w:color w:val="000000" w:themeColor="text1"/>
                <w:sz w:val="21"/>
                <w:szCs w:val="21"/>
              </w:rPr>
            </w:pPr>
            <w:r w:rsidRPr="00B12FE0">
              <w:rPr>
                <w:color w:val="000000" w:themeColor="text1"/>
                <w:sz w:val="21"/>
                <w:szCs w:val="21"/>
              </w:rPr>
              <w:t>t</w:t>
            </w:r>
          </w:p>
          <w:p w14:paraId="35EE9203" w14:textId="77777777" w:rsidR="00A67F21" w:rsidRPr="00B12FE0" w:rsidRDefault="00000000">
            <w:pPr>
              <w:snapToGrid w:val="0"/>
              <w:jc w:val="center"/>
              <w:rPr>
                <w:color w:val="000000" w:themeColor="text1"/>
                <w:sz w:val="21"/>
                <w:szCs w:val="21"/>
              </w:rPr>
            </w:pPr>
            <w:r w:rsidRPr="00B12FE0">
              <w:rPr>
                <w:color w:val="000000" w:themeColor="text1"/>
                <w:sz w:val="21"/>
                <w:szCs w:val="21"/>
              </w:rPr>
              <w:t>（</w:t>
            </w:r>
            <w:r w:rsidRPr="00B12FE0">
              <w:rPr>
                <w:color w:val="000000" w:themeColor="text1"/>
                <w:kern w:val="0"/>
                <w:sz w:val="21"/>
                <w:szCs w:val="21"/>
              </w:rPr>
              <w:t>h/a</w:t>
            </w:r>
            <w:r w:rsidRPr="00B12FE0">
              <w:rPr>
                <w:color w:val="000000" w:themeColor="text1"/>
                <w:sz w:val="21"/>
                <w:szCs w:val="21"/>
              </w:rPr>
              <w:t>）</w:t>
            </w:r>
          </w:p>
        </w:tc>
        <w:tc>
          <w:tcPr>
            <w:tcW w:w="551" w:type="pct"/>
            <w:vAlign w:val="center"/>
          </w:tcPr>
          <w:p w14:paraId="1C64591B" w14:textId="77777777" w:rsidR="00A67F21" w:rsidRPr="00B12FE0" w:rsidRDefault="00000000">
            <w:pPr>
              <w:snapToGrid w:val="0"/>
              <w:jc w:val="center"/>
              <w:rPr>
                <w:color w:val="000000" w:themeColor="text1"/>
                <w:sz w:val="21"/>
                <w:szCs w:val="21"/>
              </w:rPr>
            </w:pPr>
            <w:r w:rsidRPr="00B12FE0">
              <w:rPr>
                <w:color w:val="000000" w:themeColor="text1"/>
                <w:sz w:val="21"/>
                <w:szCs w:val="21"/>
              </w:rPr>
              <w:t>U</w:t>
            </w:r>
          </w:p>
        </w:tc>
        <w:tc>
          <w:tcPr>
            <w:tcW w:w="452" w:type="pct"/>
            <w:vAlign w:val="center"/>
          </w:tcPr>
          <w:p w14:paraId="50BB1662" w14:textId="77777777" w:rsidR="00A67F21" w:rsidRPr="00B12FE0" w:rsidRDefault="00000000">
            <w:pPr>
              <w:snapToGrid w:val="0"/>
              <w:jc w:val="center"/>
              <w:rPr>
                <w:color w:val="000000" w:themeColor="text1"/>
                <w:sz w:val="21"/>
                <w:szCs w:val="21"/>
              </w:rPr>
            </w:pPr>
            <w:r w:rsidRPr="00B12FE0">
              <w:rPr>
                <w:color w:val="000000" w:themeColor="text1"/>
                <w:sz w:val="21"/>
                <w:szCs w:val="21"/>
              </w:rPr>
              <w:t>T</w:t>
            </w:r>
          </w:p>
        </w:tc>
        <w:tc>
          <w:tcPr>
            <w:tcW w:w="694" w:type="pct"/>
            <w:vAlign w:val="center"/>
          </w:tcPr>
          <w:p w14:paraId="34568292" w14:textId="77777777" w:rsidR="00A67F21" w:rsidRPr="00B12FE0" w:rsidRDefault="00000000">
            <w:pPr>
              <w:snapToGrid w:val="0"/>
              <w:jc w:val="center"/>
              <w:rPr>
                <w:color w:val="000000" w:themeColor="text1"/>
                <w:sz w:val="21"/>
                <w:szCs w:val="21"/>
              </w:rPr>
            </w:pPr>
            <w:r w:rsidRPr="00B12FE0">
              <w:rPr>
                <w:color w:val="000000" w:themeColor="text1"/>
                <w:sz w:val="21"/>
                <w:szCs w:val="21"/>
              </w:rPr>
              <w:t>年有效剂量</w:t>
            </w:r>
            <w:r w:rsidRPr="00B12FE0">
              <w:rPr>
                <w:color w:val="000000" w:themeColor="text1"/>
                <w:sz w:val="21"/>
                <w:szCs w:val="21"/>
              </w:rPr>
              <w:t>(mSv/a)</w:t>
            </w:r>
          </w:p>
        </w:tc>
        <w:tc>
          <w:tcPr>
            <w:tcW w:w="556" w:type="pct"/>
            <w:vAlign w:val="center"/>
          </w:tcPr>
          <w:p w14:paraId="75DBF420" w14:textId="77777777" w:rsidR="00A67F21" w:rsidRPr="00B12FE0" w:rsidRDefault="00000000">
            <w:pPr>
              <w:snapToGrid w:val="0"/>
              <w:jc w:val="center"/>
              <w:rPr>
                <w:color w:val="000000" w:themeColor="text1"/>
                <w:sz w:val="21"/>
                <w:szCs w:val="21"/>
              </w:rPr>
            </w:pPr>
            <w:r w:rsidRPr="00B12FE0">
              <w:rPr>
                <w:color w:val="000000" w:themeColor="text1"/>
                <w:sz w:val="21"/>
                <w:szCs w:val="21"/>
              </w:rPr>
              <w:t>备注</w:t>
            </w:r>
          </w:p>
        </w:tc>
      </w:tr>
      <w:tr w:rsidR="00A67F21" w:rsidRPr="00B12FE0" w14:paraId="54349796" w14:textId="77777777">
        <w:trPr>
          <w:cantSplit/>
          <w:trHeight w:val="340"/>
          <w:jc w:val="center"/>
        </w:trPr>
        <w:tc>
          <w:tcPr>
            <w:tcW w:w="623" w:type="pct"/>
            <w:vMerge w:val="restart"/>
            <w:vAlign w:val="center"/>
          </w:tcPr>
          <w:p w14:paraId="0D70CBA1"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r w:rsidRPr="00B12FE0">
              <w:rPr>
                <w:color w:val="000000" w:themeColor="text1"/>
                <w:sz w:val="21"/>
                <w:szCs w:val="21"/>
              </w:rPr>
              <w:t>号加速器机房</w:t>
            </w:r>
          </w:p>
        </w:tc>
        <w:tc>
          <w:tcPr>
            <w:tcW w:w="869" w:type="pct"/>
            <w:vAlign w:val="center"/>
          </w:tcPr>
          <w:p w14:paraId="3B40A9F8" w14:textId="77777777" w:rsidR="00A67F21" w:rsidRPr="00B12FE0" w:rsidRDefault="00000000">
            <w:pPr>
              <w:snapToGrid w:val="0"/>
              <w:jc w:val="center"/>
              <w:rPr>
                <w:color w:val="000000" w:themeColor="text1"/>
                <w:sz w:val="21"/>
                <w:szCs w:val="21"/>
              </w:rPr>
            </w:pPr>
            <w:r w:rsidRPr="00B12FE0">
              <w:rPr>
                <w:color w:val="000000" w:themeColor="text1"/>
                <w:sz w:val="21"/>
                <w:szCs w:val="21"/>
              </w:rPr>
              <w:t>东侧</w:t>
            </w:r>
            <w:r w:rsidRPr="00B12FE0">
              <w:rPr>
                <w:color w:val="000000" w:themeColor="text1"/>
                <w:sz w:val="21"/>
                <w:szCs w:val="21"/>
              </w:rPr>
              <w:t>2</w:t>
            </w:r>
            <w:r w:rsidRPr="00B12FE0">
              <w:rPr>
                <w:color w:val="000000" w:themeColor="text1"/>
                <w:sz w:val="21"/>
                <w:szCs w:val="21"/>
              </w:rPr>
              <w:t>号加速器机房</w:t>
            </w:r>
          </w:p>
          <w:p w14:paraId="3AC557B3" w14:textId="77777777" w:rsidR="00A67F21" w:rsidRPr="00B12FE0" w:rsidRDefault="00000000">
            <w:pPr>
              <w:snapToGrid w:val="0"/>
              <w:jc w:val="center"/>
              <w:rPr>
                <w:color w:val="000000" w:themeColor="text1"/>
                <w:sz w:val="21"/>
                <w:szCs w:val="21"/>
              </w:rPr>
            </w:pPr>
            <w:r w:rsidRPr="00B12FE0">
              <w:rPr>
                <w:color w:val="000000" w:themeColor="text1"/>
                <w:sz w:val="21"/>
                <w:szCs w:val="21"/>
              </w:rPr>
              <w:t>(b)</w:t>
            </w:r>
          </w:p>
        </w:tc>
        <w:tc>
          <w:tcPr>
            <w:tcW w:w="695" w:type="pct"/>
            <w:vAlign w:val="center"/>
          </w:tcPr>
          <w:p w14:paraId="3FC2483E" w14:textId="77777777" w:rsidR="00A67F21" w:rsidRPr="00B12FE0" w:rsidRDefault="00000000">
            <w:pPr>
              <w:snapToGrid w:val="0"/>
              <w:jc w:val="center"/>
              <w:rPr>
                <w:color w:val="000000" w:themeColor="text1"/>
                <w:sz w:val="21"/>
                <w:szCs w:val="21"/>
              </w:rPr>
            </w:pPr>
            <w:r w:rsidRPr="00B12FE0">
              <w:rPr>
                <w:snapToGrid w:val="0"/>
                <w:color w:val="000000" w:themeColor="text1"/>
                <w:sz w:val="21"/>
                <w:szCs w:val="21"/>
              </w:rPr>
              <w:t>2.</w:t>
            </w:r>
            <w:r w:rsidRPr="00B12FE0">
              <w:rPr>
                <w:rFonts w:hint="eastAsia"/>
                <w:snapToGrid w:val="0"/>
                <w:color w:val="000000" w:themeColor="text1"/>
                <w:sz w:val="21"/>
                <w:szCs w:val="21"/>
              </w:rPr>
              <w:t>78</w:t>
            </w:r>
            <w:r w:rsidRPr="00B12FE0">
              <w:rPr>
                <w:snapToGrid w:val="0"/>
                <w:color w:val="000000" w:themeColor="text1"/>
                <w:sz w:val="21"/>
                <w:szCs w:val="21"/>
              </w:rPr>
              <w:t>E-01</w:t>
            </w:r>
          </w:p>
        </w:tc>
        <w:tc>
          <w:tcPr>
            <w:tcW w:w="560" w:type="pct"/>
            <w:vAlign w:val="center"/>
          </w:tcPr>
          <w:p w14:paraId="1B5A40AD"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706FF1A1"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1195A3F4"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r w:rsidRPr="00B12FE0">
              <w:rPr>
                <w:rFonts w:hint="eastAsia"/>
                <w:color w:val="000000" w:themeColor="text1"/>
                <w:sz w:val="21"/>
                <w:szCs w:val="21"/>
              </w:rPr>
              <w:t>/2</w:t>
            </w:r>
          </w:p>
        </w:tc>
        <w:tc>
          <w:tcPr>
            <w:tcW w:w="694" w:type="pct"/>
            <w:vAlign w:val="center"/>
          </w:tcPr>
          <w:p w14:paraId="34BF81DC"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5.20</w:t>
            </w:r>
            <w:r w:rsidRPr="00B12FE0">
              <w:rPr>
                <w:color w:val="000000" w:themeColor="text1"/>
                <w:sz w:val="21"/>
                <w:szCs w:val="21"/>
              </w:rPr>
              <w:t>E-02</w:t>
            </w:r>
          </w:p>
        </w:tc>
        <w:tc>
          <w:tcPr>
            <w:tcW w:w="556" w:type="pct"/>
            <w:vAlign w:val="center"/>
          </w:tcPr>
          <w:p w14:paraId="31E5B3EF" w14:textId="77777777" w:rsidR="00A67F21" w:rsidRPr="00B12FE0" w:rsidRDefault="00000000">
            <w:pPr>
              <w:snapToGrid w:val="0"/>
              <w:jc w:val="center"/>
              <w:rPr>
                <w:color w:val="000000" w:themeColor="text1"/>
                <w:sz w:val="21"/>
                <w:szCs w:val="21"/>
              </w:rPr>
            </w:pPr>
            <w:r w:rsidRPr="00B12FE0">
              <w:rPr>
                <w:color w:val="000000" w:themeColor="text1"/>
                <w:sz w:val="21"/>
                <w:szCs w:val="21"/>
              </w:rPr>
              <w:t>职业</w:t>
            </w:r>
          </w:p>
        </w:tc>
      </w:tr>
      <w:tr w:rsidR="00A67F21" w:rsidRPr="00B12FE0" w14:paraId="57780BED" w14:textId="77777777">
        <w:trPr>
          <w:cantSplit/>
          <w:trHeight w:val="340"/>
          <w:jc w:val="center"/>
        </w:trPr>
        <w:tc>
          <w:tcPr>
            <w:tcW w:w="623" w:type="pct"/>
            <w:vMerge/>
            <w:vAlign w:val="center"/>
          </w:tcPr>
          <w:p w14:paraId="00A84570" w14:textId="77777777" w:rsidR="00A67F21" w:rsidRPr="00B12FE0" w:rsidRDefault="00A67F21">
            <w:pPr>
              <w:snapToGrid w:val="0"/>
              <w:jc w:val="center"/>
              <w:rPr>
                <w:color w:val="000000" w:themeColor="text1"/>
                <w:sz w:val="21"/>
                <w:szCs w:val="21"/>
              </w:rPr>
            </w:pPr>
          </w:p>
        </w:tc>
        <w:tc>
          <w:tcPr>
            <w:tcW w:w="869" w:type="pct"/>
            <w:vAlign w:val="center"/>
          </w:tcPr>
          <w:p w14:paraId="527C9B66" w14:textId="77777777" w:rsidR="00A67F21" w:rsidRPr="00B12FE0" w:rsidRDefault="00000000">
            <w:pPr>
              <w:snapToGrid w:val="0"/>
              <w:jc w:val="center"/>
              <w:rPr>
                <w:color w:val="000000" w:themeColor="text1"/>
                <w:sz w:val="21"/>
                <w:szCs w:val="21"/>
              </w:rPr>
            </w:pPr>
            <w:r w:rsidRPr="00B12FE0">
              <w:rPr>
                <w:color w:val="000000" w:themeColor="text1"/>
                <w:sz w:val="21"/>
                <w:szCs w:val="21"/>
              </w:rPr>
              <w:t>南侧辅助机房（</w:t>
            </w:r>
            <w:r w:rsidRPr="00B12FE0">
              <w:rPr>
                <w:color w:val="000000" w:themeColor="text1"/>
                <w:sz w:val="21"/>
                <w:szCs w:val="21"/>
              </w:rPr>
              <w:t>k</w:t>
            </w:r>
            <w:r w:rsidRPr="00B12FE0">
              <w:rPr>
                <w:color w:val="000000" w:themeColor="text1"/>
                <w:sz w:val="21"/>
                <w:szCs w:val="21"/>
                <w:vertAlign w:val="subscript"/>
              </w:rPr>
              <w:t>1</w:t>
            </w:r>
            <w:r w:rsidRPr="00B12FE0">
              <w:rPr>
                <w:color w:val="000000" w:themeColor="text1"/>
                <w:sz w:val="21"/>
                <w:szCs w:val="21"/>
              </w:rPr>
              <w:t>）</w:t>
            </w:r>
          </w:p>
        </w:tc>
        <w:tc>
          <w:tcPr>
            <w:tcW w:w="695" w:type="pct"/>
            <w:vAlign w:val="center"/>
          </w:tcPr>
          <w:p w14:paraId="11627D5D"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3.12E-01</w:t>
            </w:r>
          </w:p>
        </w:tc>
        <w:tc>
          <w:tcPr>
            <w:tcW w:w="560" w:type="pct"/>
            <w:vAlign w:val="center"/>
          </w:tcPr>
          <w:p w14:paraId="0A70078B"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06DE202A"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1284955F" w14:textId="77777777" w:rsidR="00A67F21" w:rsidRPr="00B12FE0" w:rsidRDefault="00000000">
            <w:pPr>
              <w:snapToGrid w:val="0"/>
              <w:jc w:val="center"/>
              <w:rPr>
                <w:color w:val="000000" w:themeColor="text1"/>
                <w:sz w:val="21"/>
                <w:szCs w:val="21"/>
              </w:rPr>
            </w:pPr>
            <w:r w:rsidRPr="00B12FE0">
              <w:rPr>
                <w:color w:val="000000" w:themeColor="text1"/>
                <w:sz w:val="21"/>
                <w:szCs w:val="21"/>
              </w:rPr>
              <w:t>1/4</w:t>
            </w:r>
          </w:p>
        </w:tc>
        <w:tc>
          <w:tcPr>
            <w:tcW w:w="694" w:type="pct"/>
            <w:vAlign w:val="center"/>
          </w:tcPr>
          <w:p w14:paraId="03631423" w14:textId="77777777" w:rsidR="00A67F21" w:rsidRPr="00B12FE0" w:rsidRDefault="00000000">
            <w:pPr>
              <w:snapToGrid w:val="0"/>
              <w:jc w:val="center"/>
              <w:rPr>
                <w:color w:val="000000" w:themeColor="text1"/>
                <w:sz w:val="21"/>
                <w:szCs w:val="21"/>
              </w:rPr>
            </w:pPr>
            <w:r w:rsidRPr="00B12FE0">
              <w:rPr>
                <w:color w:val="000000" w:themeColor="text1"/>
                <w:sz w:val="21"/>
                <w:szCs w:val="21"/>
              </w:rPr>
              <w:t>2.92E-02</w:t>
            </w:r>
          </w:p>
        </w:tc>
        <w:tc>
          <w:tcPr>
            <w:tcW w:w="556" w:type="pct"/>
            <w:vAlign w:val="center"/>
          </w:tcPr>
          <w:p w14:paraId="0B084627"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28B92403" w14:textId="77777777">
        <w:trPr>
          <w:cantSplit/>
          <w:trHeight w:val="340"/>
          <w:jc w:val="center"/>
        </w:trPr>
        <w:tc>
          <w:tcPr>
            <w:tcW w:w="623" w:type="pct"/>
            <w:vMerge/>
            <w:vAlign w:val="center"/>
          </w:tcPr>
          <w:p w14:paraId="336E610F" w14:textId="77777777" w:rsidR="00A67F21" w:rsidRPr="00B12FE0" w:rsidRDefault="00A67F21">
            <w:pPr>
              <w:snapToGrid w:val="0"/>
              <w:jc w:val="center"/>
              <w:rPr>
                <w:color w:val="000000" w:themeColor="text1"/>
                <w:sz w:val="21"/>
                <w:szCs w:val="21"/>
              </w:rPr>
            </w:pPr>
          </w:p>
        </w:tc>
        <w:tc>
          <w:tcPr>
            <w:tcW w:w="869" w:type="pct"/>
            <w:vAlign w:val="center"/>
          </w:tcPr>
          <w:p w14:paraId="2C8E4DBF" w14:textId="77777777" w:rsidR="00A67F21" w:rsidRPr="00B12FE0" w:rsidRDefault="00000000">
            <w:pPr>
              <w:snapToGrid w:val="0"/>
              <w:jc w:val="center"/>
              <w:rPr>
                <w:color w:val="000000" w:themeColor="text1"/>
                <w:sz w:val="21"/>
                <w:szCs w:val="21"/>
              </w:rPr>
            </w:pPr>
            <w:r w:rsidRPr="00B12FE0">
              <w:rPr>
                <w:color w:val="000000" w:themeColor="text1"/>
                <w:sz w:val="21"/>
                <w:szCs w:val="21"/>
              </w:rPr>
              <w:t>南侧控制室</w:t>
            </w:r>
          </w:p>
          <w:p w14:paraId="6A49754C" w14:textId="77777777" w:rsidR="00A67F21" w:rsidRPr="00B12FE0" w:rsidRDefault="00000000">
            <w:pPr>
              <w:snapToGrid w:val="0"/>
              <w:jc w:val="center"/>
              <w:rPr>
                <w:color w:val="000000" w:themeColor="text1"/>
                <w:sz w:val="21"/>
                <w:szCs w:val="21"/>
              </w:rPr>
            </w:pPr>
            <w:r w:rsidRPr="00B12FE0">
              <w:rPr>
                <w:color w:val="000000" w:themeColor="text1"/>
                <w:sz w:val="21"/>
                <w:szCs w:val="21"/>
              </w:rPr>
              <w:t>(f</w:t>
            </w:r>
            <w:r w:rsidRPr="00B12FE0">
              <w:rPr>
                <w:color w:val="000000" w:themeColor="text1"/>
                <w:sz w:val="21"/>
                <w:szCs w:val="21"/>
                <w:vertAlign w:val="subscript"/>
              </w:rPr>
              <w:t>1</w:t>
            </w:r>
            <w:r w:rsidRPr="00B12FE0">
              <w:rPr>
                <w:color w:val="000000" w:themeColor="text1"/>
                <w:sz w:val="21"/>
                <w:szCs w:val="21"/>
              </w:rPr>
              <w:t>)</w:t>
            </w:r>
          </w:p>
        </w:tc>
        <w:tc>
          <w:tcPr>
            <w:tcW w:w="695" w:type="pct"/>
            <w:vAlign w:val="center"/>
          </w:tcPr>
          <w:p w14:paraId="1F25C771"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4.11E-06</w:t>
            </w:r>
          </w:p>
        </w:tc>
        <w:tc>
          <w:tcPr>
            <w:tcW w:w="560" w:type="pct"/>
            <w:vAlign w:val="center"/>
          </w:tcPr>
          <w:p w14:paraId="076103EF"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2FE09F0C"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5742642D"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694" w:type="pct"/>
            <w:vAlign w:val="center"/>
          </w:tcPr>
          <w:p w14:paraId="290A03DE" w14:textId="77777777" w:rsidR="00A67F21" w:rsidRPr="00B12FE0" w:rsidRDefault="00000000">
            <w:pPr>
              <w:snapToGrid w:val="0"/>
              <w:jc w:val="center"/>
              <w:rPr>
                <w:color w:val="000000" w:themeColor="text1"/>
                <w:sz w:val="21"/>
                <w:szCs w:val="21"/>
              </w:rPr>
            </w:pPr>
            <w:r w:rsidRPr="00B12FE0">
              <w:rPr>
                <w:color w:val="000000" w:themeColor="text1"/>
                <w:sz w:val="21"/>
                <w:szCs w:val="21"/>
              </w:rPr>
              <w:t>1.54E-06</w:t>
            </w:r>
          </w:p>
        </w:tc>
        <w:tc>
          <w:tcPr>
            <w:tcW w:w="556" w:type="pct"/>
            <w:vAlign w:val="center"/>
          </w:tcPr>
          <w:p w14:paraId="0043163F" w14:textId="77777777" w:rsidR="00A67F21" w:rsidRPr="00B12FE0" w:rsidRDefault="00000000">
            <w:pPr>
              <w:snapToGrid w:val="0"/>
              <w:jc w:val="center"/>
              <w:rPr>
                <w:color w:val="000000" w:themeColor="text1"/>
                <w:sz w:val="21"/>
                <w:szCs w:val="21"/>
              </w:rPr>
            </w:pPr>
            <w:r w:rsidRPr="00B12FE0">
              <w:rPr>
                <w:color w:val="000000" w:themeColor="text1"/>
                <w:sz w:val="21"/>
                <w:szCs w:val="21"/>
              </w:rPr>
              <w:t>职业</w:t>
            </w:r>
          </w:p>
        </w:tc>
      </w:tr>
      <w:tr w:rsidR="00A67F21" w:rsidRPr="00B12FE0" w14:paraId="631C1D98" w14:textId="77777777">
        <w:trPr>
          <w:cantSplit/>
          <w:trHeight w:val="340"/>
          <w:jc w:val="center"/>
        </w:trPr>
        <w:tc>
          <w:tcPr>
            <w:tcW w:w="623" w:type="pct"/>
            <w:vMerge/>
            <w:vAlign w:val="center"/>
          </w:tcPr>
          <w:p w14:paraId="61A7589D" w14:textId="77777777" w:rsidR="00A67F21" w:rsidRPr="00B12FE0" w:rsidRDefault="00A67F21">
            <w:pPr>
              <w:snapToGrid w:val="0"/>
              <w:jc w:val="center"/>
              <w:rPr>
                <w:color w:val="000000" w:themeColor="text1"/>
                <w:sz w:val="21"/>
                <w:szCs w:val="21"/>
              </w:rPr>
            </w:pPr>
          </w:p>
        </w:tc>
        <w:tc>
          <w:tcPr>
            <w:tcW w:w="869" w:type="pct"/>
            <w:vAlign w:val="center"/>
          </w:tcPr>
          <w:p w14:paraId="6BFF58DF" w14:textId="77777777" w:rsidR="00A67F21" w:rsidRPr="00B12FE0" w:rsidRDefault="00000000">
            <w:pPr>
              <w:snapToGrid w:val="0"/>
              <w:jc w:val="center"/>
              <w:rPr>
                <w:color w:val="000000" w:themeColor="text1"/>
                <w:sz w:val="21"/>
                <w:szCs w:val="21"/>
              </w:rPr>
            </w:pPr>
            <w:r w:rsidRPr="00B12FE0">
              <w:rPr>
                <w:color w:val="000000" w:themeColor="text1"/>
                <w:sz w:val="21"/>
                <w:szCs w:val="21"/>
              </w:rPr>
              <w:t>南侧防护门</w:t>
            </w:r>
            <w:proofErr w:type="gramStart"/>
            <w:r w:rsidRPr="00B12FE0">
              <w:rPr>
                <w:color w:val="000000" w:themeColor="text1"/>
                <w:sz w:val="21"/>
                <w:szCs w:val="21"/>
              </w:rPr>
              <w:t>外准备</w:t>
            </w:r>
            <w:proofErr w:type="gramEnd"/>
            <w:r w:rsidRPr="00B12FE0">
              <w:rPr>
                <w:color w:val="000000" w:themeColor="text1"/>
                <w:sz w:val="21"/>
                <w:szCs w:val="21"/>
              </w:rPr>
              <w:t>区（</w:t>
            </w:r>
            <w:r w:rsidRPr="00B12FE0">
              <w:rPr>
                <w:color w:val="000000" w:themeColor="text1"/>
                <w:sz w:val="21"/>
                <w:szCs w:val="21"/>
              </w:rPr>
              <w:t>g</w:t>
            </w:r>
            <w:r w:rsidRPr="00B12FE0">
              <w:rPr>
                <w:color w:val="000000" w:themeColor="text1"/>
                <w:sz w:val="21"/>
                <w:szCs w:val="21"/>
                <w:vertAlign w:val="subscript"/>
              </w:rPr>
              <w:t>1</w:t>
            </w:r>
            <w:r w:rsidRPr="00B12FE0">
              <w:rPr>
                <w:color w:val="000000" w:themeColor="text1"/>
                <w:sz w:val="21"/>
                <w:szCs w:val="21"/>
              </w:rPr>
              <w:t>）</w:t>
            </w:r>
          </w:p>
        </w:tc>
        <w:tc>
          <w:tcPr>
            <w:tcW w:w="695" w:type="pct"/>
            <w:vAlign w:val="center"/>
          </w:tcPr>
          <w:p w14:paraId="3E015B0C"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 xml:space="preserve">0.45 </w:t>
            </w:r>
          </w:p>
        </w:tc>
        <w:tc>
          <w:tcPr>
            <w:tcW w:w="560" w:type="pct"/>
            <w:vAlign w:val="center"/>
          </w:tcPr>
          <w:p w14:paraId="550EB4E6"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303EB7B8"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711AD15A" w14:textId="77777777" w:rsidR="00A67F21" w:rsidRPr="00B12FE0" w:rsidRDefault="00000000">
            <w:pPr>
              <w:snapToGrid w:val="0"/>
              <w:jc w:val="center"/>
              <w:rPr>
                <w:color w:val="000000" w:themeColor="text1"/>
                <w:sz w:val="21"/>
                <w:szCs w:val="21"/>
              </w:rPr>
            </w:pPr>
            <w:r w:rsidRPr="00B12FE0">
              <w:rPr>
                <w:color w:val="000000" w:themeColor="text1"/>
                <w:sz w:val="21"/>
                <w:szCs w:val="21"/>
              </w:rPr>
              <w:t>1/8</w:t>
            </w:r>
          </w:p>
        </w:tc>
        <w:tc>
          <w:tcPr>
            <w:tcW w:w="694" w:type="pct"/>
            <w:tcBorders>
              <w:bottom w:val="single" w:sz="4" w:space="0" w:color="auto"/>
            </w:tcBorders>
            <w:vAlign w:val="center"/>
          </w:tcPr>
          <w:p w14:paraId="2CDE5CC9" w14:textId="77777777" w:rsidR="00A67F21" w:rsidRPr="00B12FE0" w:rsidRDefault="00000000">
            <w:pPr>
              <w:snapToGrid w:val="0"/>
              <w:jc w:val="center"/>
              <w:rPr>
                <w:color w:val="000000" w:themeColor="text1"/>
                <w:sz w:val="21"/>
                <w:szCs w:val="21"/>
              </w:rPr>
            </w:pPr>
            <w:r w:rsidRPr="00B12FE0">
              <w:rPr>
                <w:color w:val="000000" w:themeColor="text1"/>
                <w:sz w:val="21"/>
                <w:szCs w:val="21"/>
              </w:rPr>
              <w:t>2.10E-02</w:t>
            </w:r>
          </w:p>
        </w:tc>
        <w:tc>
          <w:tcPr>
            <w:tcW w:w="556" w:type="pct"/>
            <w:vAlign w:val="center"/>
          </w:tcPr>
          <w:p w14:paraId="699A64DB"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63486A0A" w14:textId="77777777">
        <w:trPr>
          <w:cantSplit/>
          <w:trHeight w:val="340"/>
          <w:jc w:val="center"/>
        </w:trPr>
        <w:tc>
          <w:tcPr>
            <w:tcW w:w="623" w:type="pct"/>
            <w:vMerge/>
            <w:vAlign w:val="center"/>
          </w:tcPr>
          <w:p w14:paraId="48A8299C" w14:textId="77777777" w:rsidR="00A67F21" w:rsidRPr="00B12FE0" w:rsidRDefault="00A67F21">
            <w:pPr>
              <w:snapToGrid w:val="0"/>
              <w:jc w:val="center"/>
              <w:rPr>
                <w:color w:val="000000" w:themeColor="text1"/>
                <w:sz w:val="21"/>
                <w:szCs w:val="21"/>
              </w:rPr>
            </w:pPr>
          </w:p>
        </w:tc>
        <w:tc>
          <w:tcPr>
            <w:tcW w:w="869" w:type="pct"/>
            <w:vAlign w:val="center"/>
          </w:tcPr>
          <w:p w14:paraId="765113E5" w14:textId="77777777" w:rsidR="00A67F21" w:rsidRPr="00B12FE0" w:rsidRDefault="00000000">
            <w:pPr>
              <w:snapToGrid w:val="0"/>
              <w:jc w:val="center"/>
              <w:rPr>
                <w:color w:val="000000" w:themeColor="text1"/>
                <w:sz w:val="21"/>
                <w:szCs w:val="21"/>
              </w:rPr>
            </w:pPr>
            <w:r w:rsidRPr="00B12FE0">
              <w:rPr>
                <w:color w:val="000000" w:themeColor="text1"/>
                <w:sz w:val="21"/>
                <w:szCs w:val="21"/>
              </w:rPr>
              <w:t>西侧院内道路及绿化</w:t>
            </w:r>
          </w:p>
          <w:p w14:paraId="1F752A4F" w14:textId="77777777" w:rsidR="00A67F21" w:rsidRPr="00B12FE0" w:rsidRDefault="00000000">
            <w:pPr>
              <w:snapToGrid w:val="0"/>
              <w:jc w:val="center"/>
              <w:rPr>
                <w:color w:val="000000" w:themeColor="text1"/>
                <w:sz w:val="21"/>
                <w:szCs w:val="21"/>
              </w:rPr>
            </w:pPr>
            <w:r w:rsidRPr="00B12FE0">
              <w:rPr>
                <w:color w:val="000000" w:themeColor="text1"/>
                <w:sz w:val="21"/>
                <w:szCs w:val="21"/>
              </w:rPr>
              <w:t>（</w:t>
            </w:r>
            <w:r w:rsidRPr="00B12FE0">
              <w:rPr>
                <w:color w:val="000000" w:themeColor="text1"/>
                <w:sz w:val="21"/>
                <w:szCs w:val="21"/>
              </w:rPr>
              <w:t>a</w:t>
            </w:r>
            <w:r w:rsidRPr="00B12FE0">
              <w:rPr>
                <w:rFonts w:hint="eastAsia"/>
                <w:color w:val="000000" w:themeColor="text1"/>
                <w:sz w:val="21"/>
                <w:szCs w:val="21"/>
                <w:vertAlign w:val="subscript"/>
              </w:rPr>
              <w:t>1</w:t>
            </w:r>
            <w:r w:rsidRPr="00B12FE0">
              <w:rPr>
                <w:color w:val="000000" w:themeColor="text1"/>
                <w:sz w:val="21"/>
                <w:szCs w:val="21"/>
              </w:rPr>
              <w:t>）</w:t>
            </w:r>
          </w:p>
        </w:tc>
        <w:tc>
          <w:tcPr>
            <w:tcW w:w="695" w:type="pct"/>
            <w:vAlign w:val="center"/>
          </w:tcPr>
          <w:p w14:paraId="6CE4E4C0"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2.23E-01</w:t>
            </w:r>
          </w:p>
        </w:tc>
        <w:tc>
          <w:tcPr>
            <w:tcW w:w="560" w:type="pct"/>
            <w:vAlign w:val="center"/>
          </w:tcPr>
          <w:p w14:paraId="2428819A"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4100C17E"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550BE2BA"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r w:rsidRPr="00B12FE0">
              <w:rPr>
                <w:rFonts w:hint="eastAsia"/>
                <w:color w:val="000000" w:themeColor="text1"/>
                <w:sz w:val="21"/>
                <w:szCs w:val="21"/>
              </w:rPr>
              <w:t>16</w:t>
            </w:r>
          </w:p>
        </w:tc>
        <w:tc>
          <w:tcPr>
            <w:tcW w:w="694" w:type="pct"/>
            <w:tcBorders>
              <w:top w:val="single" w:sz="4" w:space="0" w:color="auto"/>
              <w:left w:val="nil"/>
              <w:bottom w:val="single" w:sz="4" w:space="0" w:color="auto"/>
              <w:right w:val="nil"/>
            </w:tcBorders>
            <w:vAlign w:val="center"/>
          </w:tcPr>
          <w:p w14:paraId="4405DF40"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5.22E-03</w:t>
            </w:r>
          </w:p>
        </w:tc>
        <w:tc>
          <w:tcPr>
            <w:tcW w:w="556" w:type="pct"/>
            <w:vAlign w:val="center"/>
          </w:tcPr>
          <w:p w14:paraId="30526062"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76A03E96" w14:textId="77777777">
        <w:trPr>
          <w:cantSplit/>
          <w:trHeight w:val="340"/>
          <w:jc w:val="center"/>
        </w:trPr>
        <w:tc>
          <w:tcPr>
            <w:tcW w:w="623" w:type="pct"/>
            <w:vMerge/>
            <w:vAlign w:val="center"/>
          </w:tcPr>
          <w:p w14:paraId="6C18E4B0" w14:textId="77777777" w:rsidR="00A67F21" w:rsidRPr="00B12FE0" w:rsidRDefault="00A67F21">
            <w:pPr>
              <w:snapToGrid w:val="0"/>
              <w:jc w:val="center"/>
              <w:rPr>
                <w:color w:val="000000" w:themeColor="text1"/>
                <w:sz w:val="21"/>
                <w:szCs w:val="21"/>
              </w:rPr>
            </w:pPr>
          </w:p>
        </w:tc>
        <w:tc>
          <w:tcPr>
            <w:tcW w:w="869" w:type="pct"/>
            <w:vAlign w:val="center"/>
          </w:tcPr>
          <w:p w14:paraId="120A12BA" w14:textId="77777777" w:rsidR="00A67F21" w:rsidRPr="00B12FE0" w:rsidRDefault="00000000">
            <w:pPr>
              <w:snapToGrid w:val="0"/>
              <w:jc w:val="center"/>
              <w:rPr>
                <w:color w:val="000000" w:themeColor="text1"/>
                <w:sz w:val="21"/>
                <w:szCs w:val="21"/>
              </w:rPr>
            </w:pPr>
            <w:r w:rsidRPr="00B12FE0">
              <w:rPr>
                <w:color w:val="000000" w:themeColor="text1"/>
                <w:sz w:val="21"/>
                <w:szCs w:val="21"/>
              </w:rPr>
              <w:t>北侧院内道路及绿化</w:t>
            </w:r>
          </w:p>
          <w:p w14:paraId="277D1482" w14:textId="77777777" w:rsidR="00A67F21" w:rsidRPr="00B12FE0" w:rsidRDefault="00000000">
            <w:pPr>
              <w:snapToGrid w:val="0"/>
              <w:jc w:val="center"/>
              <w:rPr>
                <w:color w:val="000000" w:themeColor="text1"/>
                <w:sz w:val="21"/>
                <w:szCs w:val="21"/>
              </w:rPr>
            </w:pPr>
            <w:r w:rsidRPr="00B12FE0">
              <w:rPr>
                <w:color w:val="000000" w:themeColor="text1"/>
                <w:sz w:val="21"/>
                <w:szCs w:val="21"/>
              </w:rPr>
              <w:t>（</w:t>
            </w:r>
            <w:r w:rsidRPr="00B12FE0">
              <w:rPr>
                <w:color w:val="000000" w:themeColor="text1"/>
                <w:sz w:val="21"/>
                <w:szCs w:val="21"/>
              </w:rPr>
              <w:t>e</w:t>
            </w:r>
            <w:r w:rsidRPr="00B12FE0">
              <w:rPr>
                <w:color w:val="000000" w:themeColor="text1"/>
                <w:sz w:val="21"/>
                <w:szCs w:val="21"/>
                <w:vertAlign w:val="subscript"/>
              </w:rPr>
              <w:t>1</w:t>
            </w:r>
            <w:r w:rsidRPr="00B12FE0">
              <w:rPr>
                <w:color w:val="000000" w:themeColor="text1"/>
                <w:sz w:val="21"/>
                <w:szCs w:val="21"/>
              </w:rPr>
              <w:t>）</w:t>
            </w:r>
          </w:p>
        </w:tc>
        <w:tc>
          <w:tcPr>
            <w:tcW w:w="695" w:type="pct"/>
            <w:vAlign w:val="center"/>
          </w:tcPr>
          <w:p w14:paraId="048875C7"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7.68E-01</w:t>
            </w:r>
          </w:p>
        </w:tc>
        <w:tc>
          <w:tcPr>
            <w:tcW w:w="560" w:type="pct"/>
            <w:vAlign w:val="center"/>
          </w:tcPr>
          <w:p w14:paraId="021B0FC4"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633875B8"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0808F16F"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r w:rsidRPr="00B12FE0">
              <w:rPr>
                <w:rFonts w:hint="eastAsia"/>
                <w:color w:val="000000" w:themeColor="text1"/>
                <w:sz w:val="21"/>
                <w:szCs w:val="21"/>
              </w:rPr>
              <w:t>16</w:t>
            </w:r>
          </w:p>
        </w:tc>
        <w:tc>
          <w:tcPr>
            <w:tcW w:w="694" w:type="pct"/>
            <w:tcBorders>
              <w:top w:val="single" w:sz="4" w:space="0" w:color="auto"/>
              <w:left w:val="nil"/>
              <w:bottom w:val="single" w:sz="4" w:space="0" w:color="auto"/>
              <w:right w:val="nil"/>
            </w:tcBorders>
            <w:vAlign w:val="center"/>
          </w:tcPr>
          <w:p w14:paraId="5A22F4C8"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1.80E-02</w:t>
            </w:r>
          </w:p>
        </w:tc>
        <w:tc>
          <w:tcPr>
            <w:tcW w:w="556" w:type="pct"/>
            <w:vAlign w:val="center"/>
          </w:tcPr>
          <w:p w14:paraId="0A15851C"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176F8671" w14:textId="77777777">
        <w:trPr>
          <w:cantSplit/>
          <w:trHeight w:val="340"/>
          <w:jc w:val="center"/>
        </w:trPr>
        <w:tc>
          <w:tcPr>
            <w:tcW w:w="623" w:type="pct"/>
            <w:vMerge/>
            <w:vAlign w:val="center"/>
          </w:tcPr>
          <w:p w14:paraId="7C8E0244" w14:textId="77777777" w:rsidR="00A67F21" w:rsidRPr="00B12FE0" w:rsidRDefault="00A67F21">
            <w:pPr>
              <w:snapToGrid w:val="0"/>
              <w:jc w:val="center"/>
              <w:rPr>
                <w:color w:val="000000" w:themeColor="text1"/>
                <w:sz w:val="21"/>
                <w:szCs w:val="21"/>
              </w:rPr>
            </w:pPr>
          </w:p>
        </w:tc>
        <w:tc>
          <w:tcPr>
            <w:tcW w:w="869" w:type="pct"/>
            <w:vAlign w:val="center"/>
          </w:tcPr>
          <w:p w14:paraId="6EF9DB9E" w14:textId="77777777" w:rsidR="00A67F21" w:rsidRPr="00B12FE0" w:rsidRDefault="00000000">
            <w:pPr>
              <w:snapToGrid w:val="0"/>
              <w:jc w:val="center"/>
              <w:rPr>
                <w:color w:val="000000" w:themeColor="text1"/>
                <w:sz w:val="21"/>
                <w:szCs w:val="21"/>
              </w:rPr>
            </w:pPr>
            <w:r w:rsidRPr="00B12FE0">
              <w:rPr>
                <w:color w:val="000000" w:themeColor="text1"/>
                <w:sz w:val="21"/>
                <w:szCs w:val="21"/>
              </w:rPr>
              <w:t>上方不可上人屋顶</w:t>
            </w:r>
            <w:r w:rsidRPr="00B12FE0">
              <w:rPr>
                <w:color w:val="000000" w:themeColor="text1"/>
                <w:sz w:val="21"/>
                <w:szCs w:val="21"/>
              </w:rPr>
              <w:t xml:space="preserve"> (l)</w:t>
            </w:r>
          </w:p>
        </w:tc>
        <w:tc>
          <w:tcPr>
            <w:tcW w:w="695" w:type="pct"/>
            <w:tcBorders>
              <w:bottom w:val="single" w:sz="4" w:space="0" w:color="auto"/>
            </w:tcBorders>
            <w:vAlign w:val="center"/>
          </w:tcPr>
          <w:p w14:paraId="026B326A"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3.29E-01</w:t>
            </w:r>
          </w:p>
        </w:tc>
        <w:tc>
          <w:tcPr>
            <w:tcW w:w="560" w:type="pct"/>
            <w:vAlign w:val="center"/>
          </w:tcPr>
          <w:p w14:paraId="6579C347"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0B457289"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02479FEE" w14:textId="77777777" w:rsidR="00A67F21" w:rsidRPr="00B12FE0" w:rsidRDefault="00000000">
            <w:pPr>
              <w:snapToGrid w:val="0"/>
              <w:jc w:val="center"/>
              <w:rPr>
                <w:color w:val="000000" w:themeColor="text1"/>
                <w:sz w:val="21"/>
                <w:szCs w:val="21"/>
              </w:rPr>
            </w:pPr>
            <w:r w:rsidRPr="00B12FE0">
              <w:rPr>
                <w:color w:val="000000" w:themeColor="text1"/>
                <w:sz w:val="21"/>
                <w:szCs w:val="21"/>
              </w:rPr>
              <w:t>1/20</w:t>
            </w:r>
          </w:p>
        </w:tc>
        <w:tc>
          <w:tcPr>
            <w:tcW w:w="694" w:type="pct"/>
            <w:tcBorders>
              <w:top w:val="single" w:sz="4" w:space="0" w:color="auto"/>
              <w:bottom w:val="single" w:sz="4" w:space="0" w:color="auto"/>
            </w:tcBorders>
            <w:vAlign w:val="center"/>
          </w:tcPr>
          <w:p w14:paraId="10CF1CBE" w14:textId="77777777" w:rsidR="00A67F21" w:rsidRPr="00B12FE0" w:rsidRDefault="00000000">
            <w:pPr>
              <w:snapToGrid w:val="0"/>
              <w:jc w:val="center"/>
              <w:rPr>
                <w:color w:val="000000" w:themeColor="text1"/>
                <w:sz w:val="21"/>
                <w:szCs w:val="21"/>
              </w:rPr>
            </w:pPr>
            <w:r w:rsidRPr="00B12FE0">
              <w:rPr>
                <w:color w:val="000000" w:themeColor="text1"/>
                <w:sz w:val="21"/>
                <w:szCs w:val="21"/>
              </w:rPr>
              <w:t>6.17E-03</w:t>
            </w:r>
          </w:p>
        </w:tc>
        <w:tc>
          <w:tcPr>
            <w:tcW w:w="556" w:type="pct"/>
            <w:vAlign w:val="center"/>
          </w:tcPr>
          <w:p w14:paraId="748E701A"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035E8C52" w14:textId="77777777">
        <w:trPr>
          <w:cantSplit/>
          <w:trHeight w:val="340"/>
          <w:jc w:val="center"/>
        </w:trPr>
        <w:tc>
          <w:tcPr>
            <w:tcW w:w="623" w:type="pct"/>
            <w:vMerge w:val="restart"/>
            <w:vAlign w:val="center"/>
          </w:tcPr>
          <w:p w14:paraId="2C854D3B" w14:textId="77777777" w:rsidR="00A67F21" w:rsidRPr="00B12FE0" w:rsidRDefault="00000000">
            <w:pPr>
              <w:snapToGrid w:val="0"/>
              <w:jc w:val="center"/>
              <w:rPr>
                <w:color w:val="000000" w:themeColor="text1"/>
                <w:sz w:val="21"/>
                <w:szCs w:val="21"/>
              </w:rPr>
            </w:pPr>
            <w:r w:rsidRPr="00B12FE0">
              <w:rPr>
                <w:color w:val="000000" w:themeColor="text1"/>
                <w:sz w:val="21"/>
                <w:szCs w:val="21"/>
              </w:rPr>
              <w:t>2</w:t>
            </w:r>
            <w:r w:rsidRPr="00B12FE0">
              <w:rPr>
                <w:color w:val="000000" w:themeColor="text1"/>
                <w:sz w:val="21"/>
                <w:szCs w:val="21"/>
              </w:rPr>
              <w:t>号加速器机房</w:t>
            </w:r>
          </w:p>
        </w:tc>
        <w:tc>
          <w:tcPr>
            <w:tcW w:w="869" w:type="pct"/>
            <w:vAlign w:val="center"/>
          </w:tcPr>
          <w:p w14:paraId="10F0A269" w14:textId="77777777" w:rsidR="00A67F21" w:rsidRPr="00B12FE0" w:rsidRDefault="00000000">
            <w:pPr>
              <w:snapToGrid w:val="0"/>
              <w:jc w:val="center"/>
              <w:rPr>
                <w:color w:val="000000" w:themeColor="text1"/>
                <w:sz w:val="21"/>
                <w:szCs w:val="21"/>
              </w:rPr>
            </w:pPr>
            <w:r w:rsidRPr="00B12FE0">
              <w:rPr>
                <w:color w:val="000000" w:themeColor="text1"/>
                <w:sz w:val="21"/>
                <w:szCs w:val="21"/>
              </w:rPr>
              <w:t>东侧后装机机房（</w:t>
            </w:r>
            <w:r w:rsidRPr="00B12FE0">
              <w:rPr>
                <w:rFonts w:hint="eastAsia"/>
                <w:color w:val="000000" w:themeColor="text1"/>
                <w:sz w:val="21"/>
                <w:szCs w:val="21"/>
              </w:rPr>
              <w:t>a</w:t>
            </w:r>
            <w:r w:rsidRPr="00B12FE0">
              <w:rPr>
                <w:rFonts w:hint="eastAsia"/>
                <w:color w:val="000000" w:themeColor="text1"/>
                <w:sz w:val="21"/>
                <w:szCs w:val="21"/>
                <w:vertAlign w:val="subscript"/>
              </w:rPr>
              <w:t>2</w:t>
            </w:r>
            <w:r w:rsidRPr="00B12FE0">
              <w:rPr>
                <w:color w:val="000000" w:themeColor="text1"/>
                <w:sz w:val="21"/>
                <w:szCs w:val="21"/>
              </w:rPr>
              <w:t>）</w:t>
            </w:r>
          </w:p>
        </w:tc>
        <w:tc>
          <w:tcPr>
            <w:tcW w:w="695" w:type="pct"/>
            <w:tcBorders>
              <w:top w:val="single" w:sz="4" w:space="0" w:color="auto"/>
              <w:left w:val="nil"/>
              <w:bottom w:val="single" w:sz="4" w:space="0" w:color="auto"/>
              <w:right w:val="nil"/>
            </w:tcBorders>
            <w:vAlign w:val="center"/>
          </w:tcPr>
          <w:p w14:paraId="7A933EAD"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2.23E-01</w:t>
            </w:r>
          </w:p>
        </w:tc>
        <w:tc>
          <w:tcPr>
            <w:tcW w:w="560" w:type="pct"/>
            <w:vAlign w:val="center"/>
          </w:tcPr>
          <w:p w14:paraId="7DD87D50"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754C59AD"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0D19262E"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r w:rsidRPr="00B12FE0">
              <w:rPr>
                <w:rFonts w:hint="eastAsia"/>
                <w:color w:val="000000" w:themeColor="text1"/>
                <w:sz w:val="21"/>
                <w:szCs w:val="21"/>
              </w:rPr>
              <w:t>/2</w:t>
            </w:r>
          </w:p>
        </w:tc>
        <w:tc>
          <w:tcPr>
            <w:tcW w:w="694" w:type="pct"/>
            <w:tcBorders>
              <w:top w:val="nil"/>
              <w:left w:val="nil"/>
              <w:bottom w:val="single" w:sz="4" w:space="0" w:color="auto"/>
              <w:right w:val="nil"/>
            </w:tcBorders>
            <w:vAlign w:val="center"/>
          </w:tcPr>
          <w:p w14:paraId="18DA6E95"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4.18E-02</w:t>
            </w:r>
          </w:p>
        </w:tc>
        <w:tc>
          <w:tcPr>
            <w:tcW w:w="556" w:type="pct"/>
            <w:vAlign w:val="center"/>
          </w:tcPr>
          <w:p w14:paraId="0ED102A1" w14:textId="77777777" w:rsidR="00A67F21" w:rsidRPr="00B12FE0" w:rsidRDefault="00000000">
            <w:pPr>
              <w:snapToGrid w:val="0"/>
              <w:jc w:val="center"/>
              <w:rPr>
                <w:color w:val="000000" w:themeColor="text1"/>
                <w:sz w:val="21"/>
                <w:szCs w:val="21"/>
              </w:rPr>
            </w:pPr>
            <w:r w:rsidRPr="00B12FE0">
              <w:rPr>
                <w:color w:val="000000" w:themeColor="text1"/>
                <w:sz w:val="21"/>
                <w:szCs w:val="21"/>
              </w:rPr>
              <w:t>职业</w:t>
            </w:r>
          </w:p>
        </w:tc>
      </w:tr>
      <w:tr w:rsidR="00A67F21" w:rsidRPr="00B12FE0" w14:paraId="748DBBD2" w14:textId="77777777">
        <w:trPr>
          <w:cantSplit/>
          <w:trHeight w:val="340"/>
          <w:jc w:val="center"/>
        </w:trPr>
        <w:tc>
          <w:tcPr>
            <w:tcW w:w="623" w:type="pct"/>
            <w:vMerge/>
            <w:vAlign w:val="center"/>
          </w:tcPr>
          <w:p w14:paraId="5D39D13F" w14:textId="77777777" w:rsidR="00A67F21" w:rsidRPr="00B12FE0" w:rsidRDefault="00A67F21">
            <w:pPr>
              <w:snapToGrid w:val="0"/>
              <w:jc w:val="center"/>
              <w:rPr>
                <w:color w:val="000000" w:themeColor="text1"/>
                <w:sz w:val="21"/>
                <w:szCs w:val="21"/>
              </w:rPr>
            </w:pPr>
          </w:p>
        </w:tc>
        <w:tc>
          <w:tcPr>
            <w:tcW w:w="869" w:type="pct"/>
            <w:vAlign w:val="center"/>
          </w:tcPr>
          <w:p w14:paraId="0E1D4537" w14:textId="77777777" w:rsidR="00A67F21" w:rsidRPr="00B12FE0" w:rsidRDefault="00000000">
            <w:pPr>
              <w:snapToGrid w:val="0"/>
              <w:jc w:val="center"/>
              <w:rPr>
                <w:color w:val="000000" w:themeColor="text1"/>
                <w:sz w:val="21"/>
                <w:szCs w:val="21"/>
              </w:rPr>
            </w:pPr>
            <w:r w:rsidRPr="00B12FE0">
              <w:rPr>
                <w:color w:val="000000" w:themeColor="text1"/>
                <w:sz w:val="21"/>
                <w:szCs w:val="21"/>
              </w:rPr>
              <w:t>南侧辅助机房（</w:t>
            </w:r>
            <w:r w:rsidRPr="00B12FE0">
              <w:rPr>
                <w:color w:val="000000" w:themeColor="text1"/>
                <w:sz w:val="21"/>
                <w:szCs w:val="21"/>
              </w:rPr>
              <w:t>k</w:t>
            </w:r>
            <w:r w:rsidRPr="00B12FE0">
              <w:rPr>
                <w:color w:val="000000" w:themeColor="text1"/>
                <w:sz w:val="21"/>
                <w:szCs w:val="21"/>
                <w:vertAlign w:val="subscript"/>
              </w:rPr>
              <w:t>2</w:t>
            </w:r>
            <w:r w:rsidRPr="00B12FE0">
              <w:rPr>
                <w:color w:val="000000" w:themeColor="text1"/>
                <w:sz w:val="21"/>
                <w:szCs w:val="21"/>
              </w:rPr>
              <w:t>）</w:t>
            </w:r>
          </w:p>
        </w:tc>
        <w:tc>
          <w:tcPr>
            <w:tcW w:w="695" w:type="pct"/>
            <w:tcBorders>
              <w:top w:val="single" w:sz="4" w:space="0" w:color="auto"/>
              <w:left w:val="nil"/>
              <w:bottom w:val="single" w:sz="4" w:space="0" w:color="auto"/>
              <w:right w:val="nil"/>
            </w:tcBorders>
            <w:vAlign w:val="center"/>
          </w:tcPr>
          <w:p w14:paraId="13F514F7" w14:textId="77777777" w:rsidR="00A67F21" w:rsidRPr="00B12FE0" w:rsidRDefault="00000000">
            <w:pPr>
              <w:snapToGrid w:val="0"/>
              <w:jc w:val="center"/>
              <w:rPr>
                <w:color w:val="000000" w:themeColor="text1"/>
                <w:sz w:val="21"/>
                <w:szCs w:val="21"/>
              </w:rPr>
            </w:pPr>
            <w:r w:rsidRPr="00B12FE0">
              <w:rPr>
                <w:snapToGrid w:val="0"/>
                <w:color w:val="000000" w:themeColor="text1"/>
                <w:sz w:val="21"/>
                <w:szCs w:val="21"/>
              </w:rPr>
              <w:t>2.99E-01</w:t>
            </w:r>
          </w:p>
        </w:tc>
        <w:tc>
          <w:tcPr>
            <w:tcW w:w="560" w:type="pct"/>
            <w:vAlign w:val="center"/>
          </w:tcPr>
          <w:p w14:paraId="3C32143C"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683F06BB"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54F211F8" w14:textId="77777777" w:rsidR="00A67F21" w:rsidRPr="00B12FE0" w:rsidRDefault="00000000">
            <w:pPr>
              <w:snapToGrid w:val="0"/>
              <w:jc w:val="center"/>
              <w:rPr>
                <w:color w:val="000000" w:themeColor="text1"/>
                <w:sz w:val="21"/>
                <w:szCs w:val="21"/>
              </w:rPr>
            </w:pPr>
            <w:r w:rsidRPr="00B12FE0">
              <w:rPr>
                <w:color w:val="000000" w:themeColor="text1"/>
                <w:sz w:val="21"/>
                <w:szCs w:val="21"/>
              </w:rPr>
              <w:t>1/4</w:t>
            </w:r>
          </w:p>
        </w:tc>
        <w:tc>
          <w:tcPr>
            <w:tcW w:w="694" w:type="pct"/>
            <w:tcBorders>
              <w:top w:val="single" w:sz="4" w:space="0" w:color="auto"/>
              <w:left w:val="nil"/>
              <w:bottom w:val="single" w:sz="4" w:space="0" w:color="auto"/>
              <w:right w:val="nil"/>
            </w:tcBorders>
            <w:vAlign w:val="center"/>
          </w:tcPr>
          <w:p w14:paraId="65A82F5B"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2.81E-02</w:t>
            </w:r>
          </w:p>
        </w:tc>
        <w:tc>
          <w:tcPr>
            <w:tcW w:w="556" w:type="pct"/>
            <w:vAlign w:val="center"/>
          </w:tcPr>
          <w:p w14:paraId="002DB537"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415E4595" w14:textId="77777777">
        <w:trPr>
          <w:cantSplit/>
          <w:trHeight w:val="340"/>
          <w:jc w:val="center"/>
        </w:trPr>
        <w:tc>
          <w:tcPr>
            <w:tcW w:w="623" w:type="pct"/>
            <w:vMerge/>
            <w:vAlign w:val="center"/>
          </w:tcPr>
          <w:p w14:paraId="7C6B5402" w14:textId="77777777" w:rsidR="00A67F21" w:rsidRPr="00B12FE0" w:rsidRDefault="00A67F21">
            <w:pPr>
              <w:snapToGrid w:val="0"/>
              <w:jc w:val="center"/>
              <w:rPr>
                <w:color w:val="000000" w:themeColor="text1"/>
                <w:sz w:val="21"/>
                <w:szCs w:val="21"/>
              </w:rPr>
            </w:pPr>
          </w:p>
        </w:tc>
        <w:tc>
          <w:tcPr>
            <w:tcW w:w="869" w:type="pct"/>
            <w:vAlign w:val="center"/>
          </w:tcPr>
          <w:p w14:paraId="3C82CE88" w14:textId="77777777" w:rsidR="00A67F21" w:rsidRPr="00B12FE0" w:rsidRDefault="00000000">
            <w:pPr>
              <w:snapToGrid w:val="0"/>
              <w:jc w:val="center"/>
              <w:rPr>
                <w:color w:val="000000" w:themeColor="text1"/>
                <w:sz w:val="21"/>
                <w:szCs w:val="21"/>
              </w:rPr>
            </w:pPr>
            <w:r w:rsidRPr="00B12FE0">
              <w:rPr>
                <w:color w:val="000000" w:themeColor="text1"/>
                <w:sz w:val="21"/>
                <w:szCs w:val="21"/>
              </w:rPr>
              <w:t>南侧控制室</w:t>
            </w:r>
          </w:p>
          <w:p w14:paraId="013A105A" w14:textId="77777777" w:rsidR="00A67F21" w:rsidRPr="00B12FE0" w:rsidRDefault="00000000">
            <w:pPr>
              <w:snapToGrid w:val="0"/>
              <w:jc w:val="center"/>
              <w:rPr>
                <w:color w:val="000000" w:themeColor="text1"/>
                <w:sz w:val="21"/>
                <w:szCs w:val="21"/>
              </w:rPr>
            </w:pPr>
            <w:r w:rsidRPr="00B12FE0">
              <w:rPr>
                <w:color w:val="000000" w:themeColor="text1"/>
                <w:sz w:val="21"/>
                <w:szCs w:val="21"/>
              </w:rPr>
              <w:t>(f</w:t>
            </w:r>
            <w:r w:rsidRPr="00B12FE0">
              <w:rPr>
                <w:color w:val="000000" w:themeColor="text1"/>
                <w:sz w:val="21"/>
                <w:szCs w:val="21"/>
                <w:vertAlign w:val="subscript"/>
              </w:rPr>
              <w:t>2</w:t>
            </w:r>
            <w:r w:rsidRPr="00B12FE0">
              <w:rPr>
                <w:color w:val="000000" w:themeColor="text1"/>
                <w:sz w:val="21"/>
                <w:szCs w:val="21"/>
              </w:rPr>
              <w:t>)</w:t>
            </w:r>
          </w:p>
        </w:tc>
        <w:tc>
          <w:tcPr>
            <w:tcW w:w="695" w:type="pct"/>
            <w:tcBorders>
              <w:top w:val="single" w:sz="4" w:space="0" w:color="auto"/>
              <w:left w:val="nil"/>
              <w:bottom w:val="single" w:sz="4" w:space="0" w:color="auto"/>
              <w:right w:val="nil"/>
            </w:tcBorders>
            <w:vAlign w:val="center"/>
          </w:tcPr>
          <w:p w14:paraId="2B91F11D" w14:textId="77777777" w:rsidR="00A67F21" w:rsidRPr="00B12FE0" w:rsidRDefault="00000000">
            <w:pPr>
              <w:snapToGrid w:val="0"/>
              <w:jc w:val="center"/>
              <w:rPr>
                <w:color w:val="000000" w:themeColor="text1"/>
                <w:kern w:val="0"/>
                <w:sz w:val="21"/>
                <w:szCs w:val="21"/>
              </w:rPr>
            </w:pPr>
            <w:r w:rsidRPr="00B12FE0">
              <w:rPr>
                <w:rFonts w:eastAsia="等线"/>
                <w:color w:val="000000" w:themeColor="text1"/>
                <w:sz w:val="21"/>
                <w:szCs w:val="21"/>
              </w:rPr>
              <w:t>4.11E-06</w:t>
            </w:r>
          </w:p>
        </w:tc>
        <w:tc>
          <w:tcPr>
            <w:tcW w:w="560" w:type="pct"/>
            <w:vAlign w:val="center"/>
          </w:tcPr>
          <w:p w14:paraId="18DBA3A8"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3D2212E6"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5F3BDFDA"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694" w:type="pct"/>
            <w:tcBorders>
              <w:top w:val="single" w:sz="4" w:space="0" w:color="auto"/>
              <w:left w:val="nil"/>
              <w:bottom w:val="single" w:sz="4" w:space="0" w:color="auto"/>
              <w:right w:val="nil"/>
            </w:tcBorders>
            <w:vAlign w:val="center"/>
          </w:tcPr>
          <w:p w14:paraId="17078BB5" w14:textId="77777777" w:rsidR="00A67F21" w:rsidRPr="00B12FE0" w:rsidRDefault="00000000">
            <w:pPr>
              <w:snapToGrid w:val="0"/>
              <w:jc w:val="center"/>
              <w:rPr>
                <w:color w:val="000000" w:themeColor="text1"/>
                <w:sz w:val="21"/>
                <w:szCs w:val="21"/>
              </w:rPr>
            </w:pPr>
            <w:r w:rsidRPr="00B12FE0">
              <w:rPr>
                <w:color w:val="000000" w:themeColor="text1"/>
                <w:sz w:val="21"/>
                <w:szCs w:val="21"/>
              </w:rPr>
              <w:t>1.54E-06</w:t>
            </w:r>
          </w:p>
        </w:tc>
        <w:tc>
          <w:tcPr>
            <w:tcW w:w="556" w:type="pct"/>
            <w:vAlign w:val="center"/>
          </w:tcPr>
          <w:p w14:paraId="17876C9B" w14:textId="77777777" w:rsidR="00A67F21" w:rsidRPr="00B12FE0" w:rsidRDefault="00000000">
            <w:pPr>
              <w:snapToGrid w:val="0"/>
              <w:jc w:val="center"/>
              <w:rPr>
                <w:color w:val="000000" w:themeColor="text1"/>
                <w:sz w:val="21"/>
                <w:szCs w:val="21"/>
              </w:rPr>
            </w:pPr>
            <w:r w:rsidRPr="00B12FE0">
              <w:rPr>
                <w:color w:val="000000" w:themeColor="text1"/>
                <w:sz w:val="21"/>
                <w:szCs w:val="21"/>
              </w:rPr>
              <w:t>职业</w:t>
            </w:r>
          </w:p>
        </w:tc>
      </w:tr>
      <w:tr w:rsidR="00A67F21" w:rsidRPr="00B12FE0" w14:paraId="6020B866" w14:textId="77777777">
        <w:trPr>
          <w:cantSplit/>
          <w:trHeight w:val="340"/>
          <w:jc w:val="center"/>
        </w:trPr>
        <w:tc>
          <w:tcPr>
            <w:tcW w:w="623" w:type="pct"/>
            <w:vMerge/>
            <w:vAlign w:val="center"/>
          </w:tcPr>
          <w:p w14:paraId="58A045B6" w14:textId="77777777" w:rsidR="00A67F21" w:rsidRPr="00B12FE0" w:rsidRDefault="00A67F21">
            <w:pPr>
              <w:snapToGrid w:val="0"/>
              <w:jc w:val="center"/>
              <w:rPr>
                <w:color w:val="000000" w:themeColor="text1"/>
                <w:sz w:val="21"/>
                <w:szCs w:val="21"/>
              </w:rPr>
            </w:pPr>
          </w:p>
        </w:tc>
        <w:tc>
          <w:tcPr>
            <w:tcW w:w="869" w:type="pct"/>
            <w:vAlign w:val="center"/>
          </w:tcPr>
          <w:p w14:paraId="179F3621" w14:textId="77777777" w:rsidR="00A67F21" w:rsidRPr="00B12FE0" w:rsidRDefault="00000000">
            <w:pPr>
              <w:snapToGrid w:val="0"/>
              <w:jc w:val="center"/>
              <w:rPr>
                <w:color w:val="000000" w:themeColor="text1"/>
                <w:sz w:val="21"/>
                <w:szCs w:val="21"/>
              </w:rPr>
            </w:pPr>
            <w:r w:rsidRPr="00B12FE0">
              <w:rPr>
                <w:color w:val="000000" w:themeColor="text1"/>
                <w:sz w:val="21"/>
                <w:szCs w:val="21"/>
              </w:rPr>
              <w:t>南侧防护门</w:t>
            </w:r>
            <w:proofErr w:type="gramStart"/>
            <w:r w:rsidRPr="00B12FE0">
              <w:rPr>
                <w:color w:val="000000" w:themeColor="text1"/>
                <w:sz w:val="21"/>
                <w:szCs w:val="21"/>
              </w:rPr>
              <w:t>外准备</w:t>
            </w:r>
            <w:proofErr w:type="gramEnd"/>
            <w:r w:rsidRPr="00B12FE0">
              <w:rPr>
                <w:color w:val="000000" w:themeColor="text1"/>
                <w:sz w:val="21"/>
                <w:szCs w:val="21"/>
              </w:rPr>
              <w:t>区（</w:t>
            </w:r>
            <w:r w:rsidRPr="00B12FE0">
              <w:rPr>
                <w:color w:val="000000" w:themeColor="text1"/>
                <w:sz w:val="21"/>
                <w:szCs w:val="21"/>
              </w:rPr>
              <w:t>g</w:t>
            </w:r>
            <w:r w:rsidRPr="00B12FE0">
              <w:rPr>
                <w:color w:val="000000" w:themeColor="text1"/>
                <w:sz w:val="21"/>
                <w:szCs w:val="21"/>
                <w:vertAlign w:val="subscript"/>
              </w:rPr>
              <w:t>2</w:t>
            </w:r>
            <w:r w:rsidRPr="00B12FE0">
              <w:rPr>
                <w:color w:val="000000" w:themeColor="text1"/>
                <w:sz w:val="21"/>
                <w:szCs w:val="21"/>
              </w:rPr>
              <w:t>）</w:t>
            </w:r>
          </w:p>
        </w:tc>
        <w:tc>
          <w:tcPr>
            <w:tcW w:w="695" w:type="pct"/>
            <w:tcBorders>
              <w:top w:val="single" w:sz="4" w:space="0" w:color="auto"/>
              <w:left w:val="nil"/>
              <w:bottom w:val="single" w:sz="4" w:space="0" w:color="auto"/>
              <w:right w:val="nil"/>
            </w:tcBorders>
            <w:vAlign w:val="center"/>
          </w:tcPr>
          <w:p w14:paraId="51EC4FC0" w14:textId="77777777" w:rsidR="00A67F21" w:rsidRPr="00B12FE0" w:rsidRDefault="00000000">
            <w:pPr>
              <w:snapToGrid w:val="0"/>
              <w:jc w:val="center"/>
              <w:rPr>
                <w:color w:val="000000" w:themeColor="text1"/>
                <w:kern w:val="0"/>
                <w:sz w:val="21"/>
                <w:szCs w:val="21"/>
              </w:rPr>
            </w:pPr>
            <w:r w:rsidRPr="00B12FE0">
              <w:rPr>
                <w:rFonts w:eastAsia="等线"/>
                <w:color w:val="000000" w:themeColor="text1"/>
                <w:sz w:val="21"/>
                <w:szCs w:val="21"/>
              </w:rPr>
              <w:t xml:space="preserve">0.30 </w:t>
            </w:r>
          </w:p>
        </w:tc>
        <w:tc>
          <w:tcPr>
            <w:tcW w:w="560" w:type="pct"/>
            <w:vAlign w:val="center"/>
          </w:tcPr>
          <w:p w14:paraId="71BC68B1"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64093660"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5077E641" w14:textId="77777777" w:rsidR="00A67F21" w:rsidRPr="00B12FE0" w:rsidRDefault="00000000">
            <w:pPr>
              <w:snapToGrid w:val="0"/>
              <w:jc w:val="center"/>
              <w:rPr>
                <w:color w:val="000000" w:themeColor="text1"/>
                <w:sz w:val="21"/>
                <w:szCs w:val="21"/>
              </w:rPr>
            </w:pPr>
            <w:r w:rsidRPr="00B12FE0">
              <w:rPr>
                <w:color w:val="000000" w:themeColor="text1"/>
                <w:sz w:val="21"/>
                <w:szCs w:val="21"/>
              </w:rPr>
              <w:t>1/8</w:t>
            </w:r>
          </w:p>
        </w:tc>
        <w:tc>
          <w:tcPr>
            <w:tcW w:w="694" w:type="pct"/>
            <w:tcBorders>
              <w:top w:val="single" w:sz="4" w:space="0" w:color="auto"/>
              <w:left w:val="nil"/>
              <w:bottom w:val="single" w:sz="4" w:space="0" w:color="auto"/>
              <w:right w:val="nil"/>
            </w:tcBorders>
            <w:vAlign w:val="center"/>
          </w:tcPr>
          <w:p w14:paraId="22C91C3D"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1.42E-02</w:t>
            </w:r>
          </w:p>
        </w:tc>
        <w:tc>
          <w:tcPr>
            <w:tcW w:w="556" w:type="pct"/>
            <w:vAlign w:val="center"/>
          </w:tcPr>
          <w:p w14:paraId="184D14B9"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1852AF40" w14:textId="77777777">
        <w:trPr>
          <w:cantSplit/>
          <w:trHeight w:val="340"/>
          <w:jc w:val="center"/>
        </w:trPr>
        <w:tc>
          <w:tcPr>
            <w:tcW w:w="623" w:type="pct"/>
            <w:vMerge/>
            <w:vAlign w:val="center"/>
          </w:tcPr>
          <w:p w14:paraId="624F0DEC" w14:textId="77777777" w:rsidR="00A67F21" w:rsidRPr="00B12FE0" w:rsidRDefault="00A67F21">
            <w:pPr>
              <w:snapToGrid w:val="0"/>
              <w:jc w:val="center"/>
              <w:rPr>
                <w:color w:val="000000" w:themeColor="text1"/>
                <w:sz w:val="21"/>
                <w:szCs w:val="21"/>
              </w:rPr>
            </w:pPr>
          </w:p>
        </w:tc>
        <w:tc>
          <w:tcPr>
            <w:tcW w:w="869" w:type="pct"/>
            <w:vAlign w:val="center"/>
          </w:tcPr>
          <w:p w14:paraId="0DD61405" w14:textId="77777777" w:rsidR="00A67F21" w:rsidRPr="00B12FE0" w:rsidRDefault="00000000">
            <w:pPr>
              <w:snapToGrid w:val="0"/>
              <w:jc w:val="center"/>
              <w:rPr>
                <w:color w:val="000000" w:themeColor="text1"/>
                <w:sz w:val="21"/>
                <w:szCs w:val="21"/>
              </w:rPr>
            </w:pPr>
            <w:r w:rsidRPr="00B12FE0">
              <w:rPr>
                <w:color w:val="000000" w:themeColor="text1"/>
                <w:sz w:val="21"/>
                <w:szCs w:val="21"/>
              </w:rPr>
              <w:t>西侧</w:t>
            </w:r>
            <w:r w:rsidRPr="00B12FE0">
              <w:rPr>
                <w:color w:val="000000" w:themeColor="text1"/>
                <w:sz w:val="21"/>
                <w:szCs w:val="21"/>
              </w:rPr>
              <w:t>1</w:t>
            </w:r>
            <w:r w:rsidRPr="00B12FE0">
              <w:rPr>
                <w:color w:val="000000" w:themeColor="text1"/>
                <w:sz w:val="21"/>
                <w:szCs w:val="21"/>
              </w:rPr>
              <w:t>号加速器机房</w:t>
            </w:r>
          </w:p>
          <w:p w14:paraId="68CAABE7" w14:textId="77777777" w:rsidR="00A67F21" w:rsidRPr="00B12FE0" w:rsidRDefault="00000000">
            <w:pPr>
              <w:snapToGrid w:val="0"/>
              <w:jc w:val="center"/>
              <w:rPr>
                <w:color w:val="000000" w:themeColor="text1"/>
                <w:sz w:val="21"/>
                <w:szCs w:val="21"/>
              </w:rPr>
            </w:pPr>
            <w:r w:rsidRPr="00B12FE0">
              <w:rPr>
                <w:color w:val="000000" w:themeColor="text1"/>
                <w:sz w:val="21"/>
                <w:szCs w:val="21"/>
              </w:rPr>
              <w:t>（</w:t>
            </w:r>
            <w:r w:rsidRPr="00B12FE0">
              <w:rPr>
                <w:rFonts w:hint="eastAsia"/>
                <w:color w:val="000000" w:themeColor="text1"/>
                <w:sz w:val="21"/>
                <w:szCs w:val="21"/>
              </w:rPr>
              <w:t>b</w:t>
            </w:r>
            <w:r w:rsidRPr="00B12FE0">
              <w:rPr>
                <w:color w:val="000000" w:themeColor="text1"/>
                <w:sz w:val="21"/>
                <w:szCs w:val="21"/>
              </w:rPr>
              <w:t>）</w:t>
            </w:r>
          </w:p>
        </w:tc>
        <w:tc>
          <w:tcPr>
            <w:tcW w:w="695" w:type="pct"/>
            <w:tcBorders>
              <w:top w:val="single" w:sz="4" w:space="0" w:color="auto"/>
              <w:left w:val="nil"/>
              <w:bottom w:val="single" w:sz="4" w:space="0" w:color="auto"/>
              <w:right w:val="nil"/>
            </w:tcBorders>
            <w:vAlign w:val="center"/>
          </w:tcPr>
          <w:p w14:paraId="42319D93" w14:textId="77777777" w:rsidR="00A67F21" w:rsidRPr="00B12FE0" w:rsidRDefault="00000000">
            <w:pPr>
              <w:snapToGrid w:val="0"/>
              <w:jc w:val="center"/>
              <w:rPr>
                <w:color w:val="000000" w:themeColor="text1"/>
                <w:kern w:val="0"/>
                <w:sz w:val="21"/>
                <w:szCs w:val="21"/>
              </w:rPr>
            </w:pPr>
            <w:r w:rsidRPr="00B12FE0">
              <w:rPr>
                <w:snapToGrid w:val="0"/>
                <w:color w:val="000000" w:themeColor="text1"/>
                <w:sz w:val="21"/>
                <w:szCs w:val="21"/>
              </w:rPr>
              <w:t>2.</w:t>
            </w:r>
            <w:r w:rsidRPr="00B12FE0">
              <w:rPr>
                <w:rFonts w:hint="eastAsia"/>
                <w:snapToGrid w:val="0"/>
                <w:color w:val="000000" w:themeColor="text1"/>
                <w:sz w:val="21"/>
                <w:szCs w:val="21"/>
              </w:rPr>
              <w:t>78</w:t>
            </w:r>
            <w:r w:rsidRPr="00B12FE0">
              <w:rPr>
                <w:snapToGrid w:val="0"/>
                <w:color w:val="000000" w:themeColor="text1"/>
                <w:sz w:val="21"/>
                <w:szCs w:val="21"/>
              </w:rPr>
              <w:t>E-01</w:t>
            </w:r>
          </w:p>
        </w:tc>
        <w:tc>
          <w:tcPr>
            <w:tcW w:w="560" w:type="pct"/>
            <w:vAlign w:val="center"/>
          </w:tcPr>
          <w:p w14:paraId="0476F662"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62D6C93E"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64F33FD7"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r w:rsidRPr="00B12FE0">
              <w:rPr>
                <w:rFonts w:hint="eastAsia"/>
                <w:color w:val="000000" w:themeColor="text1"/>
                <w:sz w:val="21"/>
                <w:szCs w:val="21"/>
              </w:rPr>
              <w:t>/2</w:t>
            </w:r>
          </w:p>
        </w:tc>
        <w:tc>
          <w:tcPr>
            <w:tcW w:w="694" w:type="pct"/>
            <w:tcBorders>
              <w:top w:val="single" w:sz="4" w:space="0" w:color="auto"/>
              <w:left w:val="nil"/>
              <w:bottom w:val="single" w:sz="4" w:space="0" w:color="auto"/>
              <w:right w:val="nil"/>
            </w:tcBorders>
            <w:vAlign w:val="center"/>
          </w:tcPr>
          <w:p w14:paraId="62E4FFA8"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5.20E-02</w:t>
            </w:r>
          </w:p>
        </w:tc>
        <w:tc>
          <w:tcPr>
            <w:tcW w:w="556" w:type="pct"/>
            <w:vAlign w:val="center"/>
          </w:tcPr>
          <w:p w14:paraId="0630C719" w14:textId="77777777" w:rsidR="00A67F21" w:rsidRPr="00B12FE0" w:rsidRDefault="00000000">
            <w:pPr>
              <w:snapToGrid w:val="0"/>
              <w:jc w:val="center"/>
              <w:rPr>
                <w:color w:val="000000" w:themeColor="text1"/>
                <w:sz w:val="21"/>
                <w:szCs w:val="21"/>
              </w:rPr>
            </w:pPr>
            <w:r w:rsidRPr="00B12FE0">
              <w:rPr>
                <w:color w:val="000000" w:themeColor="text1"/>
                <w:sz w:val="21"/>
                <w:szCs w:val="21"/>
              </w:rPr>
              <w:t>职业</w:t>
            </w:r>
          </w:p>
        </w:tc>
      </w:tr>
      <w:tr w:rsidR="00A67F21" w:rsidRPr="00B12FE0" w14:paraId="2A956DE1" w14:textId="77777777">
        <w:trPr>
          <w:cantSplit/>
          <w:trHeight w:val="340"/>
          <w:jc w:val="center"/>
        </w:trPr>
        <w:tc>
          <w:tcPr>
            <w:tcW w:w="623" w:type="pct"/>
            <w:vMerge/>
            <w:vAlign w:val="center"/>
          </w:tcPr>
          <w:p w14:paraId="3719E153" w14:textId="77777777" w:rsidR="00A67F21" w:rsidRPr="00B12FE0" w:rsidRDefault="00A67F21">
            <w:pPr>
              <w:snapToGrid w:val="0"/>
              <w:jc w:val="center"/>
              <w:rPr>
                <w:color w:val="000000" w:themeColor="text1"/>
                <w:sz w:val="21"/>
                <w:szCs w:val="21"/>
              </w:rPr>
            </w:pPr>
          </w:p>
        </w:tc>
        <w:tc>
          <w:tcPr>
            <w:tcW w:w="869" w:type="pct"/>
            <w:vAlign w:val="center"/>
          </w:tcPr>
          <w:p w14:paraId="76E5F408" w14:textId="77777777" w:rsidR="00A67F21" w:rsidRPr="00B12FE0" w:rsidRDefault="00000000">
            <w:pPr>
              <w:snapToGrid w:val="0"/>
              <w:jc w:val="center"/>
              <w:rPr>
                <w:color w:val="000000" w:themeColor="text1"/>
                <w:sz w:val="21"/>
                <w:szCs w:val="21"/>
              </w:rPr>
            </w:pPr>
            <w:r w:rsidRPr="00B12FE0">
              <w:rPr>
                <w:color w:val="000000" w:themeColor="text1"/>
                <w:sz w:val="21"/>
                <w:szCs w:val="21"/>
              </w:rPr>
              <w:t>北侧院内道路及绿化</w:t>
            </w:r>
          </w:p>
          <w:p w14:paraId="6ECFD0AA" w14:textId="77777777" w:rsidR="00A67F21" w:rsidRPr="00B12FE0" w:rsidRDefault="00000000">
            <w:pPr>
              <w:snapToGrid w:val="0"/>
              <w:jc w:val="center"/>
              <w:rPr>
                <w:color w:val="000000" w:themeColor="text1"/>
                <w:sz w:val="21"/>
                <w:szCs w:val="21"/>
              </w:rPr>
            </w:pPr>
            <w:r w:rsidRPr="00B12FE0">
              <w:rPr>
                <w:color w:val="000000" w:themeColor="text1"/>
                <w:sz w:val="21"/>
                <w:szCs w:val="21"/>
              </w:rPr>
              <w:t>（</w:t>
            </w:r>
            <w:r w:rsidRPr="00B12FE0">
              <w:rPr>
                <w:color w:val="000000" w:themeColor="text1"/>
                <w:sz w:val="21"/>
                <w:szCs w:val="21"/>
              </w:rPr>
              <w:t>e</w:t>
            </w:r>
            <w:r w:rsidRPr="00B12FE0">
              <w:rPr>
                <w:color w:val="000000" w:themeColor="text1"/>
                <w:sz w:val="21"/>
                <w:szCs w:val="21"/>
                <w:vertAlign w:val="subscript"/>
              </w:rPr>
              <w:t>2</w:t>
            </w:r>
            <w:r w:rsidRPr="00B12FE0">
              <w:rPr>
                <w:color w:val="000000" w:themeColor="text1"/>
                <w:sz w:val="21"/>
                <w:szCs w:val="21"/>
              </w:rPr>
              <w:t>）</w:t>
            </w:r>
          </w:p>
        </w:tc>
        <w:tc>
          <w:tcPr>
            <w:tcW w:w="695" w:type="pct"/>
            <w:tcBorders>
              <w:top w:val="single" w:sz="4" w:space="0" w:color="auto"/>
              <w:left w:val="nil"/>
              <w:bottom w:val="single" w:sz="4" w:space="0" w:color="auto"/>
              <w:right w:val="nil"/>
            </w:tcBorders>
            <w:vAlign w:val="center"/>
          </w:tcPr>
          <w:p w14:paraId="3584EA0B" w14:textId="77777777" w:rsidR="00A67F21" w:rsidRPr="00B12FE0" w:rsidRDefault="00000000">
            <w:pPr>
              <w:snapToGrid w:val="0"/>
              <w:jc w:val="center"/>
              <w:rPr>
                <w:color w:val="000000" w:themeColor="text1"/>
                <w:sz w:val="21"/>
                <w:szCs w:val="21"/>
              </w:rPr>
            </w:pPr>
            <w:r w:rsidRPr="00B12FE0">
              <w:rPr>
                <w:rFonts w:eastAsia="等线"/>
                <w:color w:val="000000" w:themeColor="text1"/>
                <w:sz w:val="21"/>
                <w:szCs w:val="21"/>
              </w:rPr>
              <w:t>7.68E-01</w:t>
            </w:r>
          </w:p>
        </w:tc>
        <w:tc>
          <w:tcPr>
            <w:tcW w:w="560" w:type="pct"/>
            <w:vAlign w:val="center"/>
          </w:tcPr>
          <w:p w14:paraId="47136B35"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4F04A778"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009990EC"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r w:rsidRPr="00B12FE0">
              <w:rPr>
                <w:rFonts w:hint="eastAsia"/>
                <w:color w:val="000000" w:themeColor="text1"/>
                <w:sz w:val="21"/>
                <w:szCs w:val="21"/>
              </w:rPr>
              <w:t>16</w:t>
            </w:r>
          </w:p>
        </w:tc>
        <w:tc>
          <w:tcPr>
            <w:tcW w:w="694" w:type="pct"/>
            <w:tcBorders>
              <w:top w:val="single" w:sz="4" w:space="0" w:color="auto"/>
              <w:left w:val="nil"/>
              <w:bottom w:val="single" w:sz="4" w:space="0" w:color="auto"/>
              <w:right w:val="nil"/>
            </w:tcBorders>
            <w:vAlign w:val="center"/>
          </w:tcPr>
          <w:p w14:paraId="1E59578C"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1.80E-02</w:t>
            </w:r>
          </w:p>
        </w:tc>
        <w:tc>
          <w:tcPr>
            <w:tcW w:w="556" w:type="pct"/>
            <w:vAlign w:val="center"/>
          </w:tcPr>
          <w:p w14:paraId="648056F9"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r w:rsidR="00A67F21" w:rsidRPr="00B12FE0" w14:paraId="792490B5" w14:textId="77777777">
        <w:trPr>
          <w:cantSplit/>
          <w:trHeight w:val="340"/>
          <w:jc w:val="center"/>
        </w:trPr>
        <w:tc>
          <w:tcPr>
            <w:tcW w:w="623" w:type="pct"/>
            <w:vMerge/>
            <w:vAlign w:val="center"/>
          </w:tcPr>
          <w:p w14:paraId="41A5239C" w14:textId="77777777" w:rsidR="00A67F21" w:rsidRPr="00B12FE0" w:rsidRDefault="00A67F21">
            <w:pPr>
              <w:snapToGrid w:val="0"/>
              <w:jc w:val="center"/>
              <w:rPr>
                <w:color w:val="000000" w:themeColor="text1"/>
                <w:sz w:val="21"/>
                <w:szCs w:val="21"/>
              </w:rPr>
            </w:pPr>
          </w:p>
        </w:tc>
        <w:tc>
          <w:tcPr>
            <w:tcW w:w="869" w:type="pct"/>
            <w:vAlign w:val="center"/>
          </w:tcPr>
          <w:p w14:paraId="7753ED76" w14:textId="77777777" w:rsidR="00A67F21" w:rsidRPr="00B12FE0" w:rsidRDefault="00000000">
            <w:pPr>
              <w:snapToGrid w:val="0"/>
              <w:jc w:val="center"/>
              <w:rPr>
                <w:color w:val="000000" w:themeColor="text1"/>
                <w:sz w:val="21"/>
                <w:szCs w:val="21"/>
              </w:rPr>
            </w:pPr>
            <w:r w:rsidRPr="00B12FE0">
              <w:rPr>
                <w:color w:val="000000" w:themeColor="text1"/>
                <w:sz w:val="21"/>
                <w:szCs w:val="21"/>
              </w:rPr>
              <w:t>上方不可上人屋顶</w:t>
            </w:r>
            <w:r w:rsidRPr="00B12FE0">
              <w:rPr>
                <w:color w:val="000000" w:themeColor="text1"/>
                <w:sz w:val="21"/>
                <w:szCs w:val="21"/>
              </w:rPr>
              <w:t xml:space="preserve"> (l)</w:t>
            </w:r>
          </w:p>
        </w:tc>
        <w:tc>
          <w:tcPr>
            <w:tcW w:w="695" w:type="pct"/>
            <w:tcBorders>
              <w:top w:val="single" w:sz="4" w:space="0" w:color="auto"/>
              <w:left w:val="nil"/>
              <w:bottom w:val="single" w:sz="4" w:space="0" w:color="auto"/>
              <w:right w:val="nil"/>
            </w:tcBorders>
            <w:vAlign w:val="center"/>
          </w:tcPr>
          <w:p w14:paraId="69C9C73E" w14:textId="77777777" w:rsidR="00A67F21" w:rsidRPr="00B12FE0" w:rsidRDefault="00000000">
            <w:pPr>
              <w:snapToGrid w:val="0"/>
              <w:jc w:val="center"/>
              <w:rPr>
                <w:color w:val="000000" w:themeColor="text1"/>
                <w:sz w:val="21"/>
                <w:szCs w:val="21"/>
              </w:rPr>
            </w:pPr>
            <w:r w:rsidRPr="00B12FE0">
              <w:rPr>
                <w:color w:val="000000" w:themeColor="text1"/>
                <w:sz w:val="21"/>
                <w:szCs w:val="21"/>
              </w:rPr>
              <w:t>3.29E-01</w:t>
            </w:r>
          </w:p>
        </w:tc>
        <w:tc>
          <w:tcPr>
            <w:tcW w:w="560" w:type="pct"/>
            <w:vAlign w:val="center"/>
          </w:tcPr>
          <w:p w14:paraId="7CED8DA1" w14:textId="77777777" w:rsidR="00A67F21" w:rsidRPr="00B12FE0" w:rsidRDefault="00000000">
            <w:pPr>
              <w:snapToGrid w:val="0"/>
              <w:jc w:val="center"/>
              <w:rPr>
                <w:color w:val="000000" w:themeColor="text1"/>
                <w:sz w:val="21"/>
                <w:szCs w:val="21"/>
              </w:rPr>
            </w:pPr>
            <w:r w:rsidRPr="00B12FE0">
              <w:rPr>
                <w:color w:val="000000" w:themeColor="text1"/>
                <w:sz w:val="21"/>
                <w:szCs w:val="21"/>
              </w:rPr>
              <w:t>375</w:t>
            </w:r>
          </w:p>
        </w:tc>
        <w:tc>
          <w:tcPr>
            <w:tcW w:w="551" w:type="pct"/>
            <w:vAlign w:val="center"/>
          </w:tcPr>
          <w:p w14:paraId="405F6036" w14:textId="77777777" w:rsidR="00A67F21" w:rsidRPr="00B12FE0" w:rsidRDefault="00000000">
            <w:pPr>
              <w:snapToGrid w:val="0"/>
              <w:jc w:val="center"/>
              <w:rPr>
                <w:color w:val="000000" w:themeColor="text1"/>
                <w:sz w:val="21"/>
                <w:szCs w:val="21"/>
              </w:rPr>
            </w:pPr>
            <w:r w:rsidRPr="00B12FE0">
              <w:rPr>
                <w:color w:val="000000" w:themeColor="text1"/>
                <w:sz w:val="21"/>
                <w:szCs w:val="21"/>
              </w:rPr>
              <w:t>1</w:t>
            </w:r>
          </w:p>
        </w:tc>
        <w:tc>
          <w:tcPr>
            <w:tcW w:w="452" w:type="pct"/>
            <w:vAlign w:val="center"/>
          </w:tcPr>
          <w:p w14:paraId="25FAC1DF" w14:textId="77777777" w:rsidR="00A67F21" w:rsidRPr="00B12FE0" w:rsidRDefault="00000000">
            <w:pPr>
              <w:snapToGrid w:val="0"/>
              <w:jc w:val="center"/>
              <w:rPr>
                <w:color w:val="000000" w:themeColor="text1"/>
                <w:sz w:val="21"/>
                <w:szCs w:val="21"/>
              </w:rPr>
            </w:pPr>
            <w:r w:rsidRPr="00B12FE0">
              <w:rPr>
                <w:color w:val="000000" w:themeColor="text1"/>
                <w:sz w:val="21"/>
                <w:szCs w:val="21"/>
              </w:rPr>
              <w:t>1/20</w:t>
            </w:r>
          </w:p>
        </w:tc>
        <w:tc>
          <w:tcPr>
            <w:tcW w:w="694" w:type="pct"/>
            <w:tcBorders>
              <w:top w:val="single" w:sz="4" w:space="0" w:color="auto"/>
              <w:left w:val="nil"/>
              <w:bottom w:val="single" w:sz="4" w:space="0" w:color="auto"/>
              <w:right w:val="nil"/>
            </w:tcBorders>
            <w:vAlign w:val="center"/>
          </w:tcPr>
          <w:p w14:paraId="1FEC6214" w14:textId="77777777" w:rsidR="00A67F21" w:rsidRPr="00B12FE0" w:rsidRDefault="00000000">
            <w:pPr>
              <w:snapToGrid w:val="0"/>
              <w:jc w:val="center"/>
              <w:rPr>
                <w:color w:val="000000" w:themeColor="text1"/>
                <w:sz w:val="21"/>
                <w:szCs w:val="21"/>
              </w:rPr>
            </w:pPr>
            <w:r w:rsidRPr="00B12FE0">
              <w:rPr>
                <w:rFonts w:hint="eastAsia"/>
                <w:color w:val="000000" w:themeColor="text1"/>
                <w:sz w:val="21"/>
                <w:szCs w:val="21"/>
              </w:rPr>
              <w:t>6.17E-03</w:t>
            </w:r>
          </w:p>
        </w:tc>
        <w:tc>
          <w:tcPr>
            <w:tcW w:w="556" w:type="pct"/>
            <w:vAlign w:val="center"/>
          </w:tcPr>
          <w:p w14:paraId="4A7B597B" w14:textId="77777777" w:rsidR="00A67F21" w:rsidRPr="00B12FE0" w:rsidRDefault="00000000">
            <w:pPr>
              <w:snapToGrid w:val="0"/>
              <w:jc w:val="center"/>
              <w:rPr>
                <w:color w:val="000000" w:themeColor="text1"/>
                <w:sz w:val="21"/>
                <w:szCs w:val="21"/>
              </w:rPr>
            </w:pPr>
            <w:r w:rsidRPr="00B12FE0">
              <w:rPr>
                <w:rStyle w:val="font11"/>
                <w:rFonts w:ascii="Times New Roman" w:hAnsi="Times New Roman" w:cs="Times New Roman" w:hint="default"/>
                <w:color w:val="000000" w:themeColor="text1"/>
              </w:rPr>
              <w:t>公众</w:t>
            </w:r>
          </w:p>
        </w:tc>
      </w:tr>
    </w:tbl>
    <w:p w14:paraId="0AD06578" w14:textId="77777777" w:rsidR="00A67F21" w:rsidRPr="00B12FE0" w:rsidRDefault="00000000">
      <w:pPr>
        <w:numPr>
          <w:ilvl w:val="0"/>
          <w:numId w:val="12"/>
        </w:numPr>
        <w:overflowPunct w:val="0"/>
        <w:autoSpaceDE w:val="0"/>
        <w:autoSpaceDN w:val="0"/>
        <w:adjustRightInd w:val="0"/>
        <w:snapToGrid w:val="0"/>
        <w:spacing w:line="360" w:lineRule="auto"/>
        <w:rPr>
          <w:rFonts w:cs="宋体"/>
          <w:color w:val="000000" w:themeColor="text1"/>
          <w:szCs w:val="24"/>
        </w:rPr>
      </w:pPr>
      <w:r w:rsidRPr="00B12FE0">
        <w:rPr>
          <w:rFonts w:cs="宋体"/>
          <w:color w:val="000000" w:themeColor="text1"/>
          <w:szCs w:val="24"/>
        </w:rPr>
        <w:t>辐射工作人员年有效剂量</w:t>
      </w:r>
    </w:p>
    <w:p w14:paraId="77D16DDA" w14:textId="77777777" w:rsidR="00A67F21" w:rsidRPr="00B12FE0" w:rsidRDefault="00000000">
      <w:pPr>
        <w:adjustRightInd w:val="0"/>
        <w:spacing w:line="360" w:lineRule="auto"/>
        <w:ind w:firstLineChars="200" w:firstLine="480"/>
        <w:rPr>
          <w:snapToGrid w:val="0"/>
          <w:color w:val="000000" w:themeColor="text1"/>
          <w:kern w:val="0"/>
          <w:szCs w:val="24"/>
        </w:rPr>
      </w:pPr>
      <w:r w:rsidRPr="00B12FE0">
        <w:rPr>
          <w:color w:val="000000" w:themeColor="text1"/>
          <w:szCs w:val="24"/>
        </w:rPr>
        <w:t>由上表可知，加速器机房工作人员在控制室进行设备操作时的年有效剂量最大值为</w:t>
      </w:r>
      <w:r w:rsidRPr="00B12FE0">
        <w:rPr>
          <w:color w:val="000000" w:themeColor="text1"/>
          <w:szCs w:val="24"/>
        </w:rPr>
        <w:t>1.54E-06mSv</w:t>
      </w:r>
      <w:r w:rsidRPr="00B12FE0">
        <w:rPr>
          <w:color w:val="000000" w:themeColor="text1"/>
          <w:szCs w:val="24"/>
        </w:rPr>
        <w:t>，在加速器机房内摆位时的年有效剂量最大值为</w:t>
      </w:r>
      <w:r w:rsidRPr="00B12FE0">
        <w:rPr>
          <w:rFonts w:cs="宋体" w:hint="eastAsia"/>
          <w:color w:val="000000" w:themeColor="text1"/>
          <w:szCs w:val="24"/>
        </w:rPr>
        <w:t>5.20</w:t>
      </w:r>
      <w:r w:rsidRPr="00B12FE0">
        <w:rPr>
          <w:rFonts w:cs="宋体"/>
          <w:color w:val="000000" w:themeColor="text1"/>
          <w:szCs w:val="24"/>
        </w:rPr>
        <w:t>E-02</w:t>
      </w:r>
      <w:r w:rsidRPr="00B12FE0">
        <w:rPr>
          <w:color w:val="000000" w:themeColor="text1"/>
          <w:szCs w:val="24"/>
        </w:rPr>
        <w:t>mSv</w:t>
      </w:r>
      <w:r w:rsidRPr="00B12FE0">
        <w:rPr>
          <w:color w:val="000000" w:themeColor="text1"/>
          <w:szCs w:val="24"/>
        </w:rPr>
        <w:t>（</w:t>
      </w:r>
      <w:r w:rsidRPr="00B12FE0">
        <w:rPr>
          <w:color w:val="000000" w:themeColor="text1"/>
          <w:szCs w:val="24"/>
        </w:rPr>
        <w:t>2</w:t>
      </w:r>
      <w:r w:rsidRPr="00B12FE0">
        <w:rPr>
          <w:color w:val="000000" w:themeColor="text1"/>
          <w:szCs w:val="24"/>
        </w:rPr>
        <w:t>号加速器机房工作人员摆位时可能同时受到</w:t>
      </w:r>
      <w:r w:rsidRPr="00B12FE0">
        <w:rPr>
          <w:rFonts w:hint="eastAsia"/>
          <w:color w:val="000000" w:themeColor="text1"/>
          <w:szCs w:val="24"/>
        </w:rPr>
        <w:t>1</w:t>
      </w:r>
      <w:r w:rsidRPr="00B12FE0">
        <w:rPr>
          <w:rFonts w:hint="eastAsia"/>
          <w:color w:val="000000" w:themeColor="text1"/>
          <w:szCs w:val="24"/>
        </w:rPr>
        <w:t>号</w:t>
      </w:r>
      <w:r w:rsidRPr="00B12FE0">
        <w:rPr>
          <w:color w:val="000000" w:themeColor="text1"/>
          <w:szCs w:val="24"/>
        </w:rPr>
        <w:t>加速器</w:t>
      </w:r>
      <w:r w:rsidRPr="00B12FE0">
        <w:rPr>
          <w:rFonts w:hint="eastAsia"/>
          <w:color w:val="000000" w:themeColor="text1"/>
          <w:szCs w:val="24"/>
        </w:rPr>
        <w:t>和后装机</w:t>
      </w:r>
      <w:r w:rsidRPr="00B12FE0">
        <w:rPr>
          <w:color w:val="000000" w:themeColor="text1"/>
          <w:szCs w:val="24"/>
        </w:rPr>
        <w:t>影响；根据下文计算，后装机机房对直线加速器机房内人员影响可忽略）。</w:t>
      </w:r>
      <w:r w:rsidRPr="00B12FE0">
        <w:rPr>
          <w:rFonts w:cs="宋体"/>
          <w:snapToGrid w:val="0"/>
          <w:color w:val="000000" w:themeColor="text1"/>
          <w:kern w:val="0"/>
          <w:szCs w:val="24"/>
        </w:rPr>
        <w:t>且由于患者较多，辐射工作人员一般在医用电子直线加速器停</w:t>
      </w:r>
      <w:r w:rsidRPr="00B12FE0">
        <w:rPr>
          <w:snapToGrid w:val="0"/>
          <w:color w:val="000000" w:themeColor="text1"/>
          <w:kern w:val="0"/>
          <w:szCs w:val="24"/>
        </w:rPr>
        <w:t>机后</w:t>
      </w:r>
      <w:r w:rsidRPr="00B12FE0">
        <w:rPr>
          <w:snapToGrid w:val="0"/>
          <w:color w:val="000000" w:themeColor="text1"/>
          <w:kern w:val="0"/>
          <w:szCs w:val="24"/>
        </w:rPr>
        <w:t>2min</w:t>
      </w:r>
      <w:r w:rsidRPr="00B12FE0">
        <w:rPr>
          <w:snapToGrid w:val="0"/>
          <w:color w:val="000000" w:themeColor="text1"/>
          <w:kern w:val="0"/>
          <w:szCs w:val="24"/>
        </w:rPr>
        <w:t>左右就进入治疗室内，此时大部分感生放射性核素未能充分衰变，故</w:t>
      </w:r>
      <w:r w:rsidRPr="00B12FE0">
        <w:rPr>
          <w:color w:val="000000" w:themeColor="text1"/>
          <w:szCs w:val="24"/>
        </w:rPr>
        <w:t>还需考虑感生放射性对工作人员的影响，</w:t>
      </w:r>
      <w:r w:rsidRPr="00B12FE0">
        <w:rPr>
          <w:snapToGrid w:val="0"/>
          <w:color w:val="000000" w:themeColor="text1"/>
          <w:kern w:val="0"/>
          <w:szCs w:val="24"/>
        </w:rPr>
        <w:t>本项目按照平均每位患者摆位时间为</w:t>
      </w:r>
      <w:r w:rsidRPr="00B12FE0">
        <w:rPr>
          <w:snapToGrid w:val="0"/>
          <w:color w:val="000000" w:themeColor="text1"/>
          <w:kern w:val="0"/>
          <w:szCs w:val="24"/>
        </w:rPr>
        <w:t>30s</w:t>
      </w:r>
      <w:r w:rsidRPr="00B12FE0">
        <w:rPr>
          <w:snapToGrid w:val="0"/>
          <w:color w:val="000000" w:themeColor="text1"/>
          <w:kern w:val="0"/>
          <w:szCs w:val="24"/>
        </w:rPr>
        <w:t>考虑，则年总摆位时间为</w:t>
      </w:r>
      <w:r w:rsidRPr="00B12FE0">
        <w:rPr>
          <w:snapToGrid w:val="0"/>
          <w:color w:val="000000" w:themeColor="text1"/>
          <w:kern w:val="0"/>
          <w:szCs w:val="24"/>
        </w:rPr>
        <w:t>125h</w:t>
      </w:r>
      <w:r w:rsidRPr="00B12FE0">
        <w:rPr>
          <w:snapToGrid w:val="0"/>
          <w:color w:val="000000" w:themeColor="text1"/>
          <w:kern w:val="0"/>
          <w:szCs w:val="24"/>
        </w:rPr>
        <w:t>，本项目每间直线加速器机房配置</w:t>
      </w:r>
      <w:r w:rsidRPr="00B12FE0">
        <w:rPr>
          <w:snapToGrid w:val="0"/>
          <w:color w:val="000000" w:themeColor="text1"/>
          <w:kern w:val="0"/>
          <w:szCs w:val="24"/>
        </w:rPr>
        <w:t>2</w:t>
      </w:r>
      <w:r w:rsidRPr="00B12FE0">
        <w:rPr>
          <w:snapToGrid w:val="0"/>
          <w:color w:val="000000" w:themeColor="text1"/>
          <w:kern w:val="0"/>
          <w:szCs w:val="24"/>
        </w:rPr>
        <w:t>名技师，则单名技师</w:t>
      </w:r>
      <w:proofErr w:type="gramStart"/>
      <w:r w:rsidRPr="00B12FE0">
        <w:rPr>
          <w:snapToGrid w:val="0"/>
          <w:color w:val="000000" w:themeColor="text1"/>
          <w:kern w:val="0"/>
          <w:szCs w:val="24"/>
        </w:rPr>
        <w:t>的年摆位</w:t>
      </w:r>
      <w:proofErr w:type="gramEnd"/>
      <w:r w:rsidRPr="00B12FE0">
        <w:rPr>
          <w:snapToGrid w:val="0"/>
          <w:color w:val="000000" w:themeColor="text1"/>
          <w:kern w:val="0"/>
          <w:szCs w:val="24"/>
        </w:rPr>
        <w:t>时间保守按</w:t>
      </w:r>
      <w:r w:rsidRPr="00B12FE0">
        <w:rPr>
          <w:snapToGrid w:val="0"/>
          <w:color w:val="000000" w:themeColor="text1"/>
          <w:kern w:val="0"/>
          <w:szCs w:val="24"/>
        </w:rPr>
        <w:t>62.5h</w:t>
      </w:r>
      <w:r w:rsidRPr="00B12FE0">
        <w:rPr>
          <w:snapToGrid w:val="0"/>
          <w:color w:val="000000" w:themeColor="text1"/>
          <w:kern w:val="0"/>
          <w:szCs w:val="24"/>
        </w:rPr>
        <w:t>考虑，保守采用《医用电子直线加速器质量控制检测规范》（</w:t>
      </w:r>
      <w:r w:rsidRPr="00B12FE0">
        <w:rPr>
          <w:snapToGrid w:val="0"/>
          <w:color w:val="000000" w:themeColor="text1"/>
          <w:kern w:val="0"/>
          <w:szCs w:val="24"/>
        </w:rPr>
        <w:t>WS674-2020</w:t>
      </w:r>
      <w:r w:rsidRPr="00B12FE0">
        <w:rPr>
          <w:snapToGrid w:val="0"/>
          <w:color w:val="000000" w:themeColor="text1"/>
          <w:kern w:val="0"/>
          <w:szCs w:val="24"/>
        </w:rPr>
        <w:t>）标准规定限值最大值（距离外壳表面</w:t>
      </w:r>
      <w:r w:rsidRPr="00B12FE0">
        <w:rPr>
          <w:snapToGrid w:val="0"/>
          <w:color w:val="000000" w:themeColor="text1"/>
          <w:kern w:val="0"/>
          <w:szCs w:val="24"/>
        </w:rPr>
        <w:t>1m</w:t>
      </w:r>
      <w:r w:rsidRPr="00B12FE0">
        <w:rPr>
          <w:snapToGrid w:val="0"/>
          <w:color w:val="000000" w:themeColor="text1"/>
          <w:kern w:val="0"/>
          <w:szCs w:val="24"/>
        </w:rPr>
        <w:t>处</w:t>
      </w:r>
      <w:r w:rsidRPr="00B12FE0">
        <w:rPr>
          <w:snapToGrid w:val="0"/>
          <w:color w:val="000000" w:themeColor="text1"/>
          <w:kern w:val="0"/>
          <w:szCs w:val="24"/>
        </w:rPr>
        <w:t>≤20μSv/h</w:t>
      </w:r>
      <w:r w:rsidRPr="00B12FE0">
        <w:rPr>
          <w:snapToGrid w:val="0"/>
          <w:color w:val="000000" w:themeColor="text1"/>
          <w:kern w:val="0"/>
          <w:szCs w:val="24"/>
        </w:rPr>
        <w:t>）进行估算，则本项目辐射工作人员在摆位时受到的</w:t>
      </w:r>
      <w:r w:rsidRPr="00B12FE0">
        <w:rPr>
          <w:color w:val="000000" w:themeColor="text1"/>
          <w:szCs w:val="24"/>
        </w:rPr>
        <w:t>感生放射性</w:t>
      </w:r>
      <w:r w:rsidRPr="00B12FE0">
        <w:rPr>
          <w:snapToGrid w:val="0"/>
          <w:color w:val="000000" w:themeColor="text1"/>
          <w:kern w:val="0"/>
          <w:szCs w:val="24"/>
        </w:rPr>
        <w:t>年有效剂量最大为</w:t>
      </w:r>
      <w:r w:rsidRPr="00B12FE0">
        <w:rPr>
          <w:snapToGrid w:val="0"/>
          <w:color w:val="000000" w:themeColor="text1"/>
          <w:kern w:val="0"/>
          <w:szCs w:val="24"/>
        </w:rPr>
        <w:t>1.25mSv</w:t>
      </w:r>
      <w:r w:rsidRPr="00B12FE0">
        <w:rPr>
          <w:snapToGrid w:val="0"/>
          <w:color w:val="000000" w:themeColor="text1"/>
          <w:kern w:val="0"/>
          <w:szCs w:val="24"/>
        </w:rPr>
        <w:t>。</w:t>
      </w:r>
      <w:r w:rsidRPr="00B12FE0">
        <w:rPr>
          <w:color w:val="000000" w:themeColor="text1"/>
          <w:szCs w:val="24"/>
        </w:rPr>
        <w:t>则加速器机房工作人员年有效剂量最大值为</w:t>
      </w:r>
      <w:r w:rsidRPr="00B12FE0">
        <w:rPr>
          <w:rFonts w:cs="宋体"/>
          <w:color w:val="000000" w:themeColor="text1"/>
          <w:szCs w:val="24"/>
        </w:rPr>
        <w:t>1.</w:t>
      </w:r>
      <w:r w:rsidRPr="00B12FE0">
        <w:rPr>
          <w:rFonts w:cs="宋体" w:hint="eastAsia"/>
          <w:color w:val="000000" w:themeColor="text1"/>
          <w:szCs w:val="24"/>
        </w:rPr>
        <w:t>30</w:t>
      </w:r>
      <w:r w:rsidRPr="00B12FE0">
        <w:rPr>
          <w:color w:val="000000" w:themeColor="text1"/>
          <w:szCs w:val="24"/>
        </w:rPr>
        <w:t>mSv</w:t>
      </w:r>
      <w:r w:rsidRPr="00B12FE0">
        <w:rPr>
          <w:color w:val="000000" w:themeColor="text1"/>
          <w:szCs w:val="24"/>
        </w:rPr>
        <w:t>。</w:t>
      </w:r>
      <w:r w:rsidRPr="00B12FE0">
        <w:rPr>
          <w:rFonts w:cs="宋体"/>
          <w:color w:val="000000" w:themeColor="text1"/>
        </w:rPr>
        <w:t>满足辐射工作人员</w:t>
      </w:r>
      <w:r w:rsidRPr="00B12FE0">
        <w:rPr>
          <w:rFonts w:cs="宋体"/>
          <w:bCs/>
          <w:color w:val="000000" w:themeColor="text1"/>
          <w:szCs w:val="28"/>
        </w:rPr>
        <w:t>年有效年剂量约束值不超过</w:t>
      </w:r>
      <w:r w:rsidRPr="00B12FE0">
        <w:rPr>
          <w:rFonts w:cs="宋体"/>
          <w:bCs/>
          <w:color w:val="000000" w:themeColor="text1"/>
          <w:szCs w:val="28"/>
        </w:rPr>
        <w:t>5mSv</w:t>
      </w:r>
      <w:r w:rsidRPr="00B12FE0">
        <w:rPr>
          <w:rFonts w:cs="宋体"/>
          <w:bCs/>
          <w:color w:val="000000" w:themeColor="text1"/>
          <w:szCs w:val="28"/>
        </w:rPr>
        <w:t>的要求</w:t>
      </w:r>
      <w:r w:rsidRPr="00B12FE0">
        <w:rPr>
          <w:rFonts w:cs="宋体"/>
          <w:color w:val="000000" w:themeColor="text1"/>
        </w:rPr>
        <w:t>。</w:t>
      </w:r>
    </w:p>
    <w:p w14:paraId="38704C6A" w14:textId="77777777" w:rsidR="00A67F21" w:rsidRPr="00B12FE0" w:rsidRDefault="00000000">
      <w:pPr>
        <w:numPr>
          <w:ilvl w:val="0"/>
          <w:numId w:val="12"/>
        </w:numPr>
        <w:overflowPunct w:val="0"/>
        <w:autoSpaceDE w:val="0"/>
        <w:autoSpaceDN w:val="0"/>
        <w:adjustRightInd w:val="0"/>
        <w:snapToGrid w:val="0"/>
        <w:spacing w:line="360" w:lineRule="auto"/>
        <w:rPr>
          <w:rFonts w:cs="宋体"/>
          <w:color w:val="000000" w:themeColor="text1"/>
          <w:szCs w:val="24"/>
        </w:rPr>
      </w:pPr>
      <w:r w:rsidRPr="00B12FE0">
        <w:rPr>
          <w:rFonts w:cs="宋体"/>
          <w:color w:val="000000" w:themeColor="text1"/>
          <w:szCs w:val="24"/>
        </w:rPr>
        <w:t>公众年有效剂量</w:t>
      </w:r>
    </w:p>
    <w:p w14:paraId="4730610A" w14:textId="77777777" w:rsidR="00A67F21" w:rsidRPr="00B12FE0" w:rsidRDefault="00000000">
      <w:pPr>
        <w:tabs>
          <w:tab w:val="left" w:pos="0"/>
        </w:tabs>
        <w:overflowPunct w:val="0"/>
        <w:topLinePunct/>
        <w:adjustRightInd w:val="0"/>
        <w:snapToGrid w:val="0"/>
        <w:spacing w:line="360" w:lineRule="auto"/>
        <w:ind w:firstLineChars="200" w:firstLine="480"/>
        <w:rPr>
          <w:rFonts w:cs="宋体"/>
          <w:color w:val="000000" w:themeColor="text1"/>
          <w:kern w:val="0"/>
        </w:rPr>
      </w:pPr>
      <w:r w:rsidRPr="00B12FE0">
        <w:rPr>
          <w:rFonts w:hint="eastAsia"/>
          <w:color w:val="000000" w:themeColor="text1"/>
        </w:rPr>
        <w:t>根据平面布局可知，辅助机房和北侧的室外道路考虑同时受到</w:t>
      </w:r>
      <w:r w:rsidRPr="00B12FE0">
        <w:rPr>
          <w:rFonts w:hint="eastAsia"/>
          <w:color w:val="000000" w:themeColor="text1"/>
        </w:rPr>
        <w:t>2</w:t>
      </w:r>
      <w:r w:rsidRPr="00B12FE0">
        <w:rPr>
          <w:rFonts w:hint="eastAsia"/>
          <w:color w:val="000000" w:themeColor="text1"/>
        </w:rPr>
        <w:t>个机房的影响，按</w:t>
      </w:r>
      <w:r w:rsidRPr="00B12FE0">
        <w:rPr>
          <w:rFonts w:hint="eastAsia"/>
          <w:color w:val="000000" w:themeColor="text1"/>
        </w:rPr>
        <w:t>2</w:t>
      </w:r>
      <w:r w:rsidRPr="00B12FE0">
        <w:rPr>
          <w:rFonts w:hint="eastAsia"/>
          <w:color w:val="000000" w:themeColor="text1"/>
        </w:rPr>
        <w:t>倍进行计算，</w:t>
      </w:r>
      <w:r w:rsidRPr="00B12FE0">
        <w:rPr>
          <w:rFonts w:cs="宋体"/>
          <w:color w:val="000000" w:themeColor="text1"/>
          <w:lang w:val="en-GB"/>
        </w:rPr>
        <w:t>由上表可知，</w:t>
      </w:r>
      <w:r w:rsidRPr="00B12FE0">
        <w:rPr>
          <w:rFonts w:cs="宋体"/>
          <w:color w:val="000000" w:themeColor="text1"/>
        </w:rPr>
        <w:t>加速器机房外公众的年有效剂量最大值为</w:t>
      </w:r>
      <w:r w:rsidRPr="00B12FE0">
        <w:rPr>
          <w:rFonts w:hint="eastAsia"/>
          <w:color w:val="000000" w:themeColor="text1"/>
        </w:rPr>
        <w:t>2.92</w:t>
      </w:r>
      <w:r w:rsidRPr="00B12FE0">
        <w:rPr>
          <w:color w:val="000000" w:themeColor="text1"/>
        </w:rPr>
        <w:t>E-02</w:t>
      </w:r>
      <w:r w:rsidRPr="00B12FE0">
        <w:rPr>
          <w:rFonts w:cs="宋体"/>
          <w:color w:val="000000" w:themeColor="text1"/>
        </w:rPr>
        <w:t>mSv</w:t>
      </w:r>
      <w:r w:rsidRPr="00B12FE0">
        <w:rPr>
          <w:rFonts w:cs="宋体"/>
          <w:color w:val="000000" w:themeColor="text1"/>
        </w:rPr>
        <w:t>，为</w:t>
      </w:r>
      <w:r w:rsidRPr="00B12FE0">
        <w:rPr>
          <w:rFonts w:cs="宋体" w:hint="eastAsia"/>
          <w:color w:val="000000" w:themeColor="text1"/>
        </w:rPr>
        <w:t>辅助机房内</w:t>
      </w:r>
      <w:r w:rsidRPr="00B12FE0">
        <w:rPr>
          <w:rFonts w:cs="宋体"/>
          <w:color w:val="000000" w:themeColor="text1"/>
        </w:rPr>
        <w:t>公众</w:t>
      </w:r>
      <w:r w:rsidRPr="00B12FE0">
        <w:rPr>
          <w:rFonts w:cs="宋体"/>
          <w:color w:val="000000" w:themeColor="text1"/>
          <w:kern w:val="0"/>
        </w:rPr>
        <w:t>。</w:t>
      </w:r>
      <w:r w:rsidRPr="00B12FE0">
        <w:rPr>
          <w:rFonts w:cs="宋体"/>
          <w:color w:val="000000" w:themeColor="text1"/>
          <w:spacing w:val="-2"/>
        </w:rPr>
        <w:t>满足本项目公众成员年有效剂量约束值不超过</w:t>
      </w:r>
      <w:r w:rsidRPr="00B12FE0">
        <w:rPr>
          <w:rFonts w:cs="宋体"/>
          <w:color w:val="000000" w:themeColor="text1"/>
          <w:spacing w:val="-2"/>
        </w:rPr>
        <w:t>0.1mSv</w:t>
      </w:r>
      <w:r w:rsidRPr="00B12FE0">
        <w:rPr>
          <w:rFonts w:cs="宋体"/>
          <w:color w:val="000000" w:themeColor="text1"/>
          <w:spacing w:val="-2"/>
        </w:rPr>
        <w:t>的要求。</w:t>
      </w:r>
    </w:p>
    <w:p w14:paraId="26079101" w14:textId="77777777" w:rsidR="00A67F21" w:rsidRPr="00B12FE0" w:rsidRDefault="00000000">
      <w:pPr>
        <w:overflowPunct w:val="0"/>
        <w:autoSpaceDE w:val="0"/>
        <w:autoSpaceDN w:val="0"/>
        <w:adjustRightInd w:val="0"/>
        <w:snapToGrid w:val="0"/>
        <w:spacing w:line="360" w:lineRule="auto"/>
        <w:ind w:firstLineChars="200" w:firstLine="482"/>
        <w:rPr>
          <w:b/>
          <w:bCs/>
          <w:color w:val="000000" w:themeColor="text1"/>
        </w:rPr>
      </w:pPr>
      <w:r w:rsidRPr="00B12FE0">
        <w:rPr>
          <w:b/>
          <w:bCs/>
          <w:color w:val="000000" w:themeColor="text1"/>
        </w:rPr>
        <w:t>综上所述，放疗科直线加速器机房辐射工作人员和周围的公众所受外照射年有效剂量符合《电离辐射防护与辐射源安全基本标准》（</w:t>
      </w:r>
      <w:r w:rsidRPr="00B12FE0">
        <w:rPr>
          <w:b/>
          <w:bCs/>
          <w:color w:val="000000" w:themeColor="text1"/>
        </w:rPr>
        <w:t>GB18871-2002</w:t>
      </w:r>
      <w:r w:rsidRPr="00B12FE0">
        <w:rPr>
          <w:b/>
          <w:bCs/>
          <w:color w:val="000000" w:themeColor="text1"/>
        </w:rPr>
        <w:t>）中关于</w:t>
      </w:r>
      <w:r w:rsidRPr="00B12FE0">
        <w:rPr>
          <w:b/>
          <w:bCs/>
          <w:color w:val="000000" w:themeColor="text1"/>
        </w:rPr>
        <w:t>“</w:t>
      </w:r>
      <w:r w:rsidRPr="00B12FE0">
        <w:rPr>
          <w:b/>
          <w:bCs/>
          <w:color w:val="000000" w:themeColor="text1"/>
        </w:rPr>
        <w:t>限值</w:t>
      </w:r>
      <w:r w:rsidRPr="00B12FE0">
        <w:rPr>
          <w:b/>
          <w:bCs/>
          <w:color w:val="000000" w:themeColor="text1"/>
        </w:rPr>
        <w:t>”</w:t>
      </w:r>
      <w:r w:rsidRPr="00B12FE0">
        <w:rPr>
          <w:b/>
          <w:bCs/>
          <w:color w:val="000000" w:themeColor="text1"/>
        </w:rPr>
        <w:t>的要求和《放射治疗辐射安全与防护要求》（</w:t>
      </w:r>
      <w:r w:rsidRPr="00B12FE0">
        <w:rPr>
          <w:b/>
          <w:bCs/>
          <w:color w:val="000000" w:themeColor="text1"/>
        </w:rPr>
        <w:t>HJ1198-2021</w:t>
      </w:r>
      <w:r w:rsidRPr="00B12FE0">
        <w:rPr>
          <w:b/>
          <w:bCs/>
          <w:color w:val="000000" w:themeColor="text1"/>
        </w:rPr>
        <w:t>）中关于剂量约束值的要求，也低于</w:t>
      </w:r>
      <w:proofErr w:type="gramStart"/>
      <w:r w:rsidRPr="00B12FE0">
        <w:rPr>
          <w:b/>
          <w:bCs/>
          <w:color w:val="000000" w:themeColor="text1"/>
        </w:rPr>
        <w:t>本环评提出</w:t>
      </w:r>
      <w:proofErr w:type="gramEnd"/>
      <w:r w:rsidRPr="00B12FE0">
        <w:rPr>
          <w:b/>
          <w:bCs/>
          <w:color w:val="000000" w:themeColor="text1"/>
        </w:rPr>
        <w:t>的年剂量约束值即工作人员</w:t>
      </w:r>
      <w:r w:rsidRPr="00B12FE0">
        <w:rPr>
          <w:b/>
          <w:bCs/>
          <w:color w:val="000000" w:themeColor="text1"/>
        </w:rPr>
        <w:t>5mSv</w:t>
      </w:r>
      <w:r w:rsidRPr="00B12FE0">
        <w:rPr>
          <w:b/>
          <w:bCs/>
          <w:color w:val="000000" w:themeColor="text1"/>
        </w:rPr>
        <w:t>和公众</w:t>
      </w:r>
      <w:r w:rsidRPr="00B12FE0">
        <w:rPr>
          <w:b/>
          <w:bCs/>
          <w:color w:val="000000" w:themeColor="text1"/>
        </w:rPr>
        <w:t>0.1mSv</w:t>
      </w:r>
      <w:r w:rsidRPr="00B12FE0">
        <w:rPr>
          <w:b/>
          <w:bCs/>
          <w:color w:val="000000" w:themeColor="text1"/>
        </w:rPr>
        <w:t>。</w:t>
      </w:r>
    </w:p>
    <w:p w14:paraId="0B529B13" w14:textId="77777777" w:rsidR="00A67F21" w:rsidRPr="00B12FE0" w:rsidRDefault="00000000">
      <w:pPr>
        <w:autoSpaceDE w:val="0"/>
        <w:snapToGrid w:val="0"/>
        <w:spacing w:beforeLines="50" w:before="120" w:line="360" w:lineRule="auto"/>
        <w:ind w:firstLineChars="200" w:firstLine="482"/>
        <w:contextualSpacing/>
        <w:rPr>
          <w:rFonts w:cs="宋体"/>
          <w:b/>
          <w:color w:val="000000" w:themeColor="text1"/>
        </w:rPr>
      </w:pPr>
      <w:r w:rsidRPr="00B12FE0">
        <w:rPr>
          <w:rFonts w:cs="宋体"/>
          <w:b/>
          <w:bCs/>
          <w:color w:val="000000" w:themeColor="text1"/>
        </w:rPr>
        <w:t>（</w:t>
      </w:r>
      <w:r w:rsidRPr="00B12FE0">
        <w:rPr>
          <w:rFonts w:cs="宋体"/>
          <w:b/>
          <w:bCs/>
          <w:color w:val="000000" w:themeColor="text1"/>
        </w:rPr>
        <w:t>6</w:t>
      </w:r>
      <w:r w:rsidRPr="00B12FE0">
        <w:rPr>
          <w:rFonts w:cs="宋体"/>
          <w:b/>
          <w:bCs/>
          <w:color w:val="000000" w:themeColor="text1"/>
        </w:rPr>
        <w:t>）</w:t>
      </w:r>
      <w:r w:rsidRPr="00B12FE0">
        <w:rPr>
          <w:rFonts w:cs="宋体"/>
          <w:b/>
          <w:color w:val="000000" w:themeColor="text1"/>
        </w:rPr>
        <w:t>电子线和感生放射性的影响分析</w:t>
      </w:r>
    </w:p>
    <w:p w14:paraId="7B13D4DB" w14:textId="77777777" w:rsidR="00A67F21" w:rsidRPr="00B12FE0" w:rsidRDefault="00000000">
      <w:pPr>
        <w:snapToGrid w:val="0"/>
        <w:spacing w:line="360" w:lineRule="auto"/>
        <w:ind w:firstLine="480"/>
        <w:rPr>
          <w:rFonts w:cs="宋体"/>
          <w:bCs/>
          <w:color w:val="000000" w:themeColor="text1"/>
        </w:rPr>
      </w:pPr>
      <w:r w:rsidRPr="00B12FE0">
        <w:rPr>
          <w:rFonts w:cs="宋体"/>
          <w:color w:val="000000" w:themeColor="text1"/>
        </w:rPr>
        <w:t>此外本项目加速器处于电子束模式下使用初始电子线进行浅层治疗时，会产生电子线。本项目加速器最大</w:t>
      </w:r>
      <w:r w:rsidRPr="00B12FE0">
        <w:rPr>
          <w:rFonts w:cs="宋体"/>
          <w:color w:val="000000" w:themeColor="text1"/>
        </w:rPr>
        <w:t>X</w:t>
      </w:r>
      <w:r w:rsidRPr="00B12FE0">
        <w:rPr>
          <w:rFonts w:cs="宋体"/>
          <w:color w:val="000000" w:themeColor="text1"/>
        </w:rPr>
        <w:t>射线能量为</w:t>
      </w:r>
      <w:r w:rsidRPr="00B12FE0">
        <w:rPr>
          <w:rFonts w:cs="宋体"/>
          <w:color w:val="000000" w:themeColor="text1"/>
        </w:rPr>
        <w:t>15MV</w:t>
      </w:r>
      <w:r w:rsidRPr="00B12FE0">
        <w:rPr>
          <w:rFonts w:cs="宋体"/>
          <w:color w:val="000000" w:themeColor="text1"/>
        </w:rPr>
        <w:t>，电子线最大能量为</w:t>
      </w:r>
      <w:r w:rsidRPr="00B12FE0">
        <w:rPr>
          <w:rFonts w:cs="宋体"/>
          <w:color w:val="000000" w:themeColor="text1"/>
        </w:rPr>
        <w:t>22MeV</w:t>
      </w:r>
      <w:r w:rsidRPr="00B12FE0">
        <w:rPr>
          <w:rFonts w:cs="宋体"/>
          <w:color w:val="000000" w:themeColor="text1"/>
        </w:rPr>
        <w:t>，由于电子束的穿透能力远小于</w:t>
      </w:r>
      <w:r w:rsidRPr="00B12FE0">
        <w:rPr>
          <w:rFonts w:cs="宋体"/>
          <w:color w:val="000000" w:themeColor="text1"/>
        </w:rPr>
        <w:t>X</w:t>
      </w:r>
      <w:r w:rsidRPr="00B12FE0">
        <w:rPr>
          <w:rFonts w:cs="宋体"/>
          <w:color w:val="000000" w:themeColor="text1"/>
        </w:rPr>
        <w:t>射线，对治疗</w:t>
      </w:r>
      <w:r w:rsidRPr="00B12FE0">
        <w:rPr>
          <w:rFonts w:cs="宋体"/>
          <w:color w:val="000000" w:themeColor="text1"/>
        </w:rPr>
        <w:t>X</w:t>
      </w:r>
      <w:r w:rsidRPr="00B12FE0">
        <w:rPr>
          <w:rFonts w:cs="宋体"/>
          <w:color w:val="000000" w:themeColor="text1"/>
        </w:rPr>
        <w:t>射线的屏蔽机房完全满足屏蔽电子束的要求。电子束治疗时，平均束流为</w:t>
      </w:r>
      <w:proofErr w:type="spellStart"/>
      <w:r w:rsidRPr="00B12FE0">
        <w:rPr>
          <w:rFonts w:cs="宋体"/>
          <w:color w:val="000000" w:themeColor="text1"/>
        </w:rPr>
        <w:t>nA</w:t>
      </w:r>
      <w:proofErr w:type="spellEnd"/>
      <w:r w:rsidRPr="00B12FE0">
        <w:rPr>
          <w:rFonts w:cs="宋体"/>
          <w:color w:val="000000" w:themeColor="text1"/>
        </w:rPr>
        <w:t>量级，</w:t>
      </w:r>
      <w:r w:rsidRPr="00B12FE0">
        <w:rPr>
          <w:rFonts w:cs="宋体"/>
          <w:color w:val="000000" w:themeColor="text1"/>
        </w:rPr>
        <w:t>X</w:t>
      </w:r>
      <w:r w:rsidRPr="00B12FE0">
        <w:rPr>
          <w:rFonts w:cs="宋体"/>
          <w:color w:val="000000" w:themeColor="text1"/>
        </w:rPr>
        <w:t>射线治疗时平均束流为</w:t>
      </w:r>
      <w:proofErr w:type="spellStart"/>
      <w:r w:rsidRPr="00B12FE0">
        <w:rPr>
          <w:rFonts w:cs="宋体"/>
          <w:bCs/>
          <w:color w:val="000000" w:themeColor="text1"/>
        </w:rPr>
        <w:t>μA</w:t>
      </w:r>
      <w:proofErr w:type="spellEnd"/>
      <w:r w:rsidRPr="00B12FE0">
        <w:rPr>
          <w:rFonts w:cs="宋体"/>
          <w:bCs/>
          <w:color w:val="000000" w:themeColor="text1"/>
        </w:rPr>
        <w:t>量级，治疗电子束所产生的轫致辐射远小于</w:t>
      </w:r>
      <w:r w:rsidRPr="00B12FE0">
        <w:rPr>
          <w:rFonts w:cs="宋体"/>
          <w:bCs/>
          <w:color w:val="000000" w:themeColor="text1"/>
        </w:rPr>
        <w:t>X</w:t>
      </w:r>
      <w:r w:rsidRPr="00B12FE0">
        <w:rPr>
          <w:rFonts w:cs="宋体"/>
          <w:bCs/>
          <w:color w:val="000000" w:themeColor="text1"/>
        </w:rPr>
        <w:t>射线治疗时的辐射，即使电子能量大于治疗</w:t>
      </w:r>
      <w:r w:rsidRPr="00B12FE0">
        <w:rPr>
          <w:rFonts w:cs="宋体"/>
          <w:bCs/>
          <w:color w:val="000000" w:themeColor="text1"/>
        </w:rPr>
        <w:t>X</w:t>
      </w:r>
      <w:r w:rsidRPr="00B12FE0">
        <w:rPr>
          <w:rFonts w:cs="宋体"/>
          <w:bCs/>
          <w:color w:val="000000" w:themeColor="text1"/>
        </w:rPr>
        <w:t>射线的最大</w:t>
      </w:r>
      <w:r w:rsidRPr="00B12FE0">
        <w:rPr>
          <w:rFonts w:cs="宋体"/>
          <w:bCs/>
          <w:color w:val="000000" w:themeColor="text1"/>
        </w:rPr>
        <w:lastRenderedPageBreak/>
        <w:t>能量，对屏蔽电子束的轫致辐射所需要的厚度也低于对于</w:t>
      </w:r>
      <w:r w:rsidRPr="00B12FE0">
        <w:rPr>
          <w:rFonts w:cs="宋体"/>
          <w:bCs/>
          <w:color w:val="000000" w:themeColor="text1"/>
        </w:rPr>
        <w:t>15MVX</w:t>
      </w:r>
      <w:r w:rsidRPr="00B12FE0">
        <w:rPr>
          <w:rFonts w:cs="宋体"/>
          <w:bCs/>
          <w:color w:val="000000" w:themeColor="text1"/>
        </w:rPr>
        <w:t>射线的屏蔽要求。</w:t>
      </w:r>
    </w:p>
    <w:p w14:paraId="42D9D529" w14:textId="77777777" w:rsidR="00A67F21" w:rsidRPr="00B12FE0" w:rsidRDefault="00000000">
      <w:pPr>
        <w:snapToGrid w:val="0"/>
        <w:spacing w:line="360" w:lineRule="auto"/>
        <w:ind w:firstLineChars="200" w:firstLine="480"/>
        <w:contextualSpacing/>
        <w:rPr>
          <w:rFonts w:cs="宋体"/>
          <w:color w:val="000000" w:themeColor="text1"/>
        </w:rPr>
      </w:pPr>
      <w:r w:rsidRPr="00B12FE0">
        <w:rPr>
          <w:rFonts w:cs="宋体"/>
          <w:color w:val="000000" w:themeColor="text1"/>
        </w:rPr>
        <w:t>当治疗电子线能量大于</w:t>
      </w:r>
      <w:r w:rsidRPr="00B12FE0">
        <w:rPr>
          <w:rFonts w:cs="宋体"/>
          <w:color w:val="000000" w:themeColor="text1"/>
        </w:rPr>
        <w:t>10MeV</w:t>
      </w:r>
      <w:r w:rsidRPr="00B12FE0">
        <w:rPr>
          <w:rFonts w:cs="宋体"/>
          <w:color w:val="000000" w:themeColor="text1"/>
        </w:rPr>
        <w:t>时，会产生光核反应，从而产生感生放射性。它主要包括两个方面：</w:t>
      </w:r>
      <w:r w:rsidRPr="00B12FE0">
        <w:rPr>
          <w:rFonts w:cs="宋体"/>
          <w:color w:val="000000" w:themeColor="text1"/>
        </w:rPr>
        <w:t>1</w:t>
      </w:r>
      <w:r w:rsidRPr="00B12FE0">
        <w:rPr>
          <w:rFonts w:cs="宋体"/>
          <w:color w:val="000000" w:themeColor="text1"/>
        </w:rPr>
        <w:t>）加速器结构材料等</w:t>
      </w:r>
      <w:r w:rsidRPr="00B12FE0">
        <w:rPr>
          <w:rFonts w:hAnsi="宋体"/>
          <w:bCs/>
          <w:color w:val="000000" w:themeColor="text1"/>
        </w:rPr>
        <w:t>（主要为加速器靶）</w:t>
      </w:r>
      <w:r w:rsidRPr="00B12FE0">
        <w:rPr>
          <w:rFonts w:cs="宋体"/>
          <w:color w:val="000000" w:themeColor="text1"/>
        </w:rPr>
        <w:t>的感生放射性；</w:t>
      </w:r>
      <w:r w:rsidRPr="00B12FE0">
        <w:rPr>
          <w:rFonts w:cs="宋体"/>
          <w:color w:val="000000" w:themeColor="text1"/>
        </w:rPr>
        <w:t>2</w:t>
      </w:r>
      <w:r w:rsidRPr="00B12FE0">
        <w:rPr>
          <w:rFonts w:cs="宋体"/>
          <w:color w:val="000000" w:themeColor="text1"/>
        </w:rPr>
        <w:t>）气态感生放射性核素。</w:t>
      </w:r>
      <w:proofErr w:type="gramStart"/>
      <w:r w:rsidRPr="00B12FE0">
        <w:rPr>
          <w:rFonts w:cs="宋体"/>
          <w:color w:val="000000" w:themeColor="text1"/>
        </w:rPr>
        <w:t>感</w:t>
      </w:r>
      <w:proofErr w:type="gramEnd"/>
      <w:r w:rsidRPr="00B12FE0">
        <w:rPr>
          <w:rFonts w:cs="宋体"/>
          <w:color w:val="000000" w:themeColor="text1"/>
        </w:rPr>
        <w:t>生放射性气体产生量较少，且产生的气态感生放射性核素主要为</w:t>
      </w:r>
      <w:r w:rsidRPr="00B12FE0">
        <w:rPr>
          <w:rFonts w:cs="宋体"/>
          <w:color w:val="000000" w:themeColor="text1"/>
          <w:vertAlign w:val="superscript"/>
        </w:rPr>
        <w:t>15</w:t>
      </w:r>
      <w:r w:rsidRPr="00B12FE0">
        <w:rPr>
          <w:rFonts w:cs="宋体"/>
          <w:color w:val="000000" w:themeColor="text1"/>
        </w:rPr>
        <w:t>O</w:t>
      </w:r>
      <w:r w:rsidRPr="00B12FE0">
        <w:rPr>
          <w:rFonts w:cs="宋体"/>
          <w:color w:val="000000" w:themeColor="text1"/>
        </w:rPr>
        <w:t>，</w:t>
      </w:r>
      <w:r w:rsidRPr="00B12FE0">
        <w:rPr>
          <w:rFonts w:cs="宋体"/>
          <w:color w:val="000000" w:themeColor="text1"/>
          <w:vertAlign w:val="superscript"/>
        </w:rPr>
        <w:t>13</w:t>
      </w:r>
      <w:r w:rsidRPr="00B12FE0">
        <w:rPr>
          <w:rFonts w:cs="宋体"/>
          <w:color w:val="000000" w:themeColor="text1"/>
        </w:rPr>
        <w:t>N</w:t>
      </w:r>
      <w:r w:rsidRPr="00B12FE0">
        <w:rPr>
          <w:rFonts w:cs="宋体"/>
          <w:color w:val="000000" w:themeColor="text1"/>
        </w:rPr>
        <w:t>和</w:t>
      </w:r>
      <w:r w:rsidRPr="00B12FE0">
        <w:rPr>
          <w:rFonts w:cs="宋体"/>
          <w:color w:val="000000" w:themeColor="text1"/>
          <w:vertAlign w:val="superscript"/>
        </w:rPr>
        <w:t>41</w:t>
      </w:r>
      <w:r w:rsidRPr="00B12FE0">
        <w:rPr>
          <w:rFonts w:cs="宋体"/>
          <w:color w:val="000000" w:themeColor="text1"/>
        </w:rPr>
        <w:t>Ar</w:t>
      </w:r>
      <w:r w:rsidRPr="00B12FE0">
        <w:rPr>
          <w:rFonts w:cs="宋体"/>
          <w:color w:val="000000" w:themeColor="text1"/>
        </w:rPr>
        <w:t>，其半衰期分别为</w:t>
      </w:r>
      <w:r w:rsidRPr="00B12FE0">
        <w:rPr>
          <w:rFonts w:cs="宋体"/>
          <w:color w:val="000000" w:themeColor="text1"/>
        </w:rPr>
        <w:t>2.0min</w:t>
      </w:r>
      <w:r w:rsidRPr="00B12FE0">
        <w:rPr>
          <w:rFonts w:cs="宋体"/>
          <w:color w:val="000000" w:themeColor="text1"/>
        </w:rPr>
        <w:t>，</w:t>
      </w:r>
      <w:r w:rsidRPr="00B12FE0">
        <w:rPr>
          <w:rFonts w:cs="宋体"/>
          <w:color w:val="000000" w:themeColor="text1"/>
        </w:rPr>
        <w:t>10.0min</w:t>
      </w:r>
      <w:r w:rsidRPr="00B12FE0">
        <w:rPr>
          <w:rFonts w:cs="宋体"/>
          <w:color w:val="000000" w:themeColor="text1"/>
        </w:rPr>
        <w:t>和</w:t>
      </w:r>
      <w:r w:rsidRPr="00B12FE0">
        <w:rPr>
          <w:rFonts w:cs="宋体"/>
          <w:bCs/>
          <w:color w:val="000000" w:themeColor="text1"/>
        </w:rPr>
        <w:t>1.82h</w:t>
      </w:r>
      <w:r w:rsidRPr="00B12FE0">
        <w:rPr>
          <w:rFonts w:cs="宋体"/>
          <w:color w:val="000000" w:themeColor="text1"/>
        </w:rPr>
        <w:t>，一般在正常通风情况下，感生放射性气体不会对辐射工作人员和病人造成危害。</w:t>
      </w:r>
    </w:p>
    <w:p w14:paraId="39D36C9F" w14:textId="77777777" w:rsidR="00A67F21" w:rsidRPr="00B12FE0" w:rsidRDefault="00000000">
      <w:pPr>
        <w:snapToGrid w:val="0"/>
        <w:spacing w:line="360" w:lineRule="auto"/>
        <w:ind w:firstLineChars="196" w:firstLine="472"/>
        <w:rPr>
          <w:rFonts w:cs="宋体"/>
          <w:b/>
          <w:color w:val="000000" w:themeColor="text1"/>
        </w:rPr>
      </w:pPr>
      <w:r w:rsidRPr="00B12FE0">
        <w:rPr>
          <w:rFonts w:cs="宋体"/>
          <w:b/>
          <w:bCs/>
          <w:color w:val="000000" w:themeColor="text1"/>
        </w:rPr>
        <w:t>（</w:t>
      </w:r>
      <w:r w:rsidRPr="00B12FE0">
        <w:rPr>
          <w:rFonts w:cs="宋体"/>
          <w:b/>
          <w:bCs/>
          <w:color w:val="000000" w:themeColor="text1"/>
        </w:rPr>
        <w:t>7</w:t>
      </w:r>
      <w:r w:rsidRPr="00B12FE0">
        <w:rPr>
          <w:rFonts w:cs="宋体"/>
          <w:b/>
          <w:bCs/>
          <w:color w:val="000000" w:themeColor="text1"/>
        </w:rPr>
        <w:t>）</w:t>
      </w:r>
      <w:proofErr w:type="gramStart"/>
      <w:r w:rsidRPr="00B12FE0">
        <w:rPr>
          <w:rFonts w:cs="宋体"/>
          <w:b/>
          <w:color w:val="000000" w:themeColor="text1"/>
        </w:rPr>
        <w:t>废靶对</w:t>
      </w:r>
      <w:proofErr w:type="gramEnd"/>
      <w:r w:rsidRPr="00B12FE0">
        <w:rPr>
          <w:rFonts w:cs="宋体"/>
          <w:b/>
          <w:color w:val="000000" w:themeColor="text1"/>
        </w:rPr>
        <w:t>环境的影响分析</w:t>
      </w:r>
    </w:p>
    <w:p w14:paraId="7EFAEAB9" w14:textId="77777777" w:rsidR="00A67F21" w:rsidRPr="00B12FE0" w:rsidRDefault="00000000">
      <w:pPr>
        <w:snapToGrid w:val="0"/>
        <w:spacing w:line="360" w:lineRule="auto"/>
        <w:ind w:firstLineChars="196" w:firstLine="470"/>
        <w:rPr>
          <w:rFonts w:hAnsi="宋体" w:cs="宋体" w:hint="eastAsia"/>
          <w:bCs/>
          <w:color w:val="000000" w:themeColor="text1"/>
          <w:kern w:val="10"/>
        </w:rPr>
      </w:pPr>
      <w:r w:rsidRPr="00B12FE0">
        <w:rPr>
          <w:rFonts w:hAnsi="宋体" w:cs="宋体"/>
          <w:bCs/>
          <w:color w:val="000000" w:themeColor="text1"/>
          <w:kern w:val="10"/>
        </w:rPr>
        <w:t>加速器靶物质（件）以及机头等金属部件由于受电子的轰击会产生感生放射性，机器退役（约使用</w:t>
      </w:r>
      <w:r w:rsidRPr="00B12FE0">
        <w:rPr>
          <w:rFonts w:hAnsi="宋体" w:cs="宋体"/>
          <w:bCs/>
          <w:color w:val="000000" w:themeColor="text1"/>
          <w:kern w:val="10"/>
        </w:rPr>
        <w:t>10</w:t>
      </w:r>
      <w:r w:rsidRPr="00B12FE0">
        <w:rPr>
          <w:rFonts w:hAnsi="宋体" w:cs="宋体"/>
          <w:bCs/>
          <w:color w:val="000000" w:themeColor="text1"/>
          <w:kern w:val="10"/>
        </w:rPr>
        <w:t>年）后更换下来的</w:t>
      </w:r>
      <w:proofErr w:type="gramStart"/>
      <w:r w:rsidRPr="00B12FE0">
        <w:rPr>
          <w:rFonts w:hAnsi="宋体" w:cs="宋体"/>
          <w:bCs/>
          <w:color w:val="000000" w:themeColor="text1"/>
          <w:kern w:val="10"/>
        </w:rPr>
        <w:t>废靶件</w:t>
      </w:r>
      <w:proofErr w:type="gramEnd"/>
      <w:r w:rsidRPr="00B12FE0">
        <w:rPr>
          <w:rFonts w:hAnsi="宋体" w:cs="宋体"/>
          <w:bCs/>
          <w:color w:val="000000" w:themeColor="text1"/>
          <w:kern w:val="10"/>
        </w:rPr>
        <w:t>应作为放射性固体废物处理，拆卸后先放入屏蔽容器，由设备生产厂家回收最终送交有资质的单位回收处置，医院不暂存。因此满足《放射治疗辐射安全与防护要求》（</w:t>
      </w:r>
      <w:r w:rsidRPr="00B12FE0">
        <w:rPr>
          <w:rFonts w:hAnsi="宋体" w:cs="宋体"/>
          <w:bCs/>
          <w:color w:val="000000" w:themeColor="text1"/>
          <w:kern w:val="10"/>
        </w:rPr>
        <w:t>HJ1198-2021</w:t>
      </w:r>
      <w:r w:rsidRPr="00B12FE0">
        <w:rPr>
          <w:rFonts w:hAnsi="宋体" w:cs="宋体"/>
          <w:bCs/>
          <w:color w:val="000000" w:themeColor="text1"/>
          <w:kern w:val="10"/>
        </w:rPr>
        <w:t>）中废物管理要求。</w:t>
      </w:r>
    </w:p>
    <w:p w14:paraId="7B0BA8AD" w14:textId="77777777" w:rsidR="00A67F21" w:rsidRPr="00B12FE0" w:rsidRDefault="00000000">
      <w:pPr>
        <w:snapToGrid w:val="0"/>
        <w:spacing w:line="360" w:lineRule="auto"/>
        <w:ind w:firstLineChars="196" w:firstLine="472"/>
        <w:rPr>
          <w:rFonts w:cs="宋体"/>
          <w:b/>
          <w:color w:val="000000" w:themeColor="text1"/>
        </w:rPr>
      </w:pPr>
      <w:r w:rsidRPr="00B12FE0">
        <w:rPr>
          <w:rFonts w:cs="宋体"/>
          <w:b/>
          <w:bCs/>
          <w:color w:val="000000" w:themeColor="text1"/>
        </w:rPr>
        <w:t>（</w:t>
      </w:r>
      <w:r w:rsidRPr="00B12FE0">
        <w:rPr>
          <w:rFonts w:cs="宋体"/>
          <w:b/>
          <w:bCs/>
          <w:color w:val="000000" w:themeColor="text1"/>
        </w:rPr>
        <w:t>8</w:t>
      </w:r>
      <w:r w:rsidRPr="00B12FE0">
        <w:rPr>
          <w:rFonts w:cs="宋体"/>
          <w:b/>
          <w:bCs/>
          <w:color w:val="000000" w:themeColor="text1"/>
        </w:rPr>
        <w:t>）</w:t>
      </w:r>
      <w:r w:rsidRPr="00B12FE0">
        <w:rPr>
          <w:rFonts w:cs="宋体"/>
          <w:b/>
          <w:color w:val="000000" w:themeColor="text1"/>
        </w:rPr>
        <w:t>臭氧和氮氧化物对环境的影响分析</w:t>
      </w:r>
    </w:p>
    <w:p w14:paraId="0952DD3A" w14:textId="77777777" w:rsidR="00A67F21" w:rsidRPr="00B12FE0" w:rsidRDefault="00000000">
      <w:pPr>
        <w:tabs>
          <w:tab w:val="left" w:pos="2535"/>
        </w:tabs>
        <w:adjustRightInd w:val="0"/>
        <w:snapToGrid w:val="0"/>
        <w:spacing w:line="360" w:lineRule="auto"/>
        <w:ind w:firstLineChars="200" w:firstLine="480"/>
        <w:rPr>
          <w:rFonts w:cs="宋体"/>
          <w:color w:val="000000" w:themeColor="text1"/>
        </w:rPr>
      </w:pPr>
      <w:r w:rsidRPr="00B12FE0">
        <w:rPr>
          <w:rFonts w:cs="宋体"/>
          <w:color w:val="000000" w:themeColor="text1"/>
        </w:rPr>
        <w:t>加速器运行过</w:t>
      </w:r>
      <w:r w:rsidRPr="00B12FE0">
        <w:rPr>
          <w:rFonts w:cs="宋体" w:hint="eastAsia"/>
          <w:color w:val="000000" w:themeColor="text1"/>
        </w:rPr>
        <w:t>程中</w:t>
      </w:r>
      <w:r w:rsidRPr="00B12FE0">
        <w:rPr>
          <w:rFonts w:cs="宋体"/>
          <w:color w:val="000000" w:themeColor="text1"/>
        </w:rPr>
        <w:t>，</w:t>
      </w:r>
      <w:r w:rsidRPr="00B12FE0">
        <w:rPr>
          <w:rFonts w:cs="宋体"/>
          <w:color w:val="000000" w:themeColor="text1"/>
        </w:rPr>
        <w:t>X</w:t>
      </w:r>
      <w:r w:rsidRPr="00B12FE0">
        <w:rPr>
          <w:rFonts w:cs="宋体"/>
          <w:color w:val="000000" w:themeColor="text1"/>
        </w:rPr>
        <w:t>射线或电子线会与空气发生电离作用，产生臭氧和氮氧化物。</w:t>
      </w:r>
      <w:r w:rsidRPr="00B12FE0">
        <w:rPr>
          <w:rFonts w:cs="宋体"/>
          <w:color w:val="000000" w:themeColor="text1"/>
          <w:kern w:val="0"/>
        </w:rPr>
        <w:t>本项目每间加速器治疗室</w:t>
      </w:r>
      <w:r w:rsidRPr="00B12FE0">
        <w:rPr>
          <w:rFonts w:cs="宋体"/>
          <w:color w:val="000000" w:themeColor="text1"/>
        </w:rPr>
        <w:t>拟安装有效通风量不小于</w:t>
      </w:r>
      <w:r w:rsidRPr="00B12FE0">
        <w:rPr>
          <w:rFonts w:cs="宋体" w:hint="eastAsia"/>
          <w:color w:val="000000" w:themeColor="text1"/>
        </w:rPr>
        <w:t>40</w:t>
      </w:r>
      <w:r w:rsidRPr="00B12FE0">
        <w:rPr>
          <w:rFonts w:cs="宋体"/>
          <w:color w:val="000000" w:themeColor="text1"/>
        </w:rPr>
        <w:t>00m</w:t>
      </w:r>
      <w:r w:rsidRPr="00B12FE0">
        <w:rPr>
          <w:rFonts w:cs="宋体"/>
          <w:color w:val="000000" w:themeColor="text1"/>
          <w:vertAlign w:val="superscript"/>
        </w:rPr>
        <w:t>3</w:t>
      </w:r>
      <w:r w:rsidRPr="00B12FE0">
        <w:rPr>
          <w:rFonts w:cs="宋体"/>
          <w:color w:val="000000" w:themeColor="text1"/>
        </w:rPr>
        <w:t>/h</w:t>
      </w:r>
      <w:r w:rsidRPr="00B12FE0">
        <w:rPr>
          <w:rFonts w:cs="宋体"/>
          <w:color w:val="000000" w:themeColor="text1"/>
        </w:rPr>
        <w:t>的风机进行通风，加速器机房有效容积约</w:t>
      </w:r>
      <w:r w:rsidRPr="00B12FE0">
        <w:rPr>
          <w:rFonts w:cs="宋体" w:hint="eastAsia"/>
          <w:color w:val="000000" w:themeColor="text1"/>
        </w:rPr>
        <w:t>579</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，通风换气次数不小于</w:t>
      </w:r>
      <w:r w:rsidRPr="00B12FE0">
        <w:rPr>
          <w:rFonts w:cs="宋体" w:hint="eastAsia"/>
          <w:color w:val="000000" w:themeColor="text1"/>
        </w:rPr>
        <w:t>6</w:t>
      </w:r>
      <w:r w:rsidRPr="00B12FE0">
        <w:rPr>
          <w:rFonts w:cs="宋体"/>
          <w:color w:val="000000" w:themeColor="text1"/>
        </w:rPr>
        <w:t>次</w:t>
      </w:r>
      <w:r w:rsidRPr="00B12FE0">
        <w:rPr>
          <w:rFonts w:cs="宋体"/>
          <w:color w:val="000000" w:themeColor="text1"/>
        </w:rPr>
        <w:t>/h</w:t>
      </w:r>
      <w:r w:rsidRPr="00B12FE0">
        <w:rPr>
          <w:rFonts w:cs="宋体"/>
          <w:color w:val="000000" w:themeColor="text1"/>
        </w:rPr>
        <w:t>，满足《放射治疗辐射安全与防护要求》（</w:t>
      </w:r>
      <w:r w:rsidRPr="00B12FE0">
        <w:rPr>
          <w:rFonts w:cs="宋体"/>
          <w:color w:val="000000" w:themeColor="text1"/>
        </w:rPr>
        <w:t>HJ1198-2021</w:t>
      </w:r>
      <w:r w:rsidRPr="00B12FE0">
        <w:rPr>
          <w:rFonts w:cs="宋体"/>
          <w:color w:val="000000" w:themeColor="text1"/>
        </w:rPr>
        <w:t>）</w:t>
      </w:r>
      <w:r w:rsidRPr="00B12FE0">
        <w:rPr>
          <w:rFonts w:cs="宋体"/>
          <w:color w:val="000000" w:themeColor="text1"/>
          <w:kern w:val="0"/>
        </w:rPr>
        <w:t>治疗室的通风换气次数应不小于</w:t>
      </w:r>
      <w:r w:rsidRPr="00B12FE0">
        <w:rPr>
          <w:rFonts w:cs="宋体"/>
          <w:color w:val="000000" w:themeColor="text1"/>
          <w:kern w:val="0"/>
        </w:rPr>
        <w:t>4</w:t>
      </w:r>
      <w:r w:rsidRPr="00B12FE0">
        <w:rPr>
          <w:rFonts w:cs="宋体"/>
          <w:color w:val="000000" w:themeColor="text1"/>
          <w:kern w:val="0"/>
        </w:rPr>
        <w:t>次</w:t>
      </w:r>
      <w:r w:rsidRPr="00B12FE0">
        <w:rPr>
          <w:rFonts w:cs="宋体"/>
          <w:color w:val="000000" w:themeColor="text1"/>
          <w:kern w:val="0"/>
        </w:rPr>
        <w:t>/</w:t>
      </w:r>
      <w:r w:rsidRPr="00B12FE0">
        <w:rPr>
          <w:rFonts w:cs="宋体"/>
          <w:color w:val="000000" w:themeColor="text1"/>
          <w:kern w:val="0"/>
        </w:rPr>
        <w:t>小时的要求。</w:t>
      </w:r>
      <w:r w:rsidRPr="00B12FE0">
        <w:rPr>
          <w:rFonts w:cs="宋体"/>
          <w:color w:val="000000" w:themeColor="text1"/>
          <w:kern w:val="0"/>
          <w:lang w:eastAsia="zh-Hans"/>
        </w:rPr>
        <w:t>排气口设置于所在建筑物屋顶，不在有门、窗或人员流量较大的过道等位置，</w:t>
      </w:r>
      <w:r w:rsidRPr="00B12FE0">
        <w:rPr>
          <w:rFonts w:cs="宋体"/>
          <w:color w:val="000000" w:themeColor="text1"/>
        </w:rPr>
        <w:t>臭氧和氮氧化物排入大气环境后，经自然分解，对周围环境影响较小。</w:t>
      </w:r>
    </w:p>
    <w:p w14:paraId="4AFDAE98" w14:textId="77777777" w:rsidR="00A67F21" w:rsidRPr="00B12FE0" w:rsidRDefault="00000000">
      <w:pPr>
        <w:snapToGrid w:val="0"/>
        <w:spacing w:line="360" w:lineRule="auto"/>
        <w:rPr>
          <w:rFonts w:hAnsi="宋体" w:cs="宋体" w:hint="eastAsia"/>
          <w:b/>
          <w:bCs/>
          <w:color w:val="000000" w:themeColor="text1"/>
          <w:kern w:val="0"/>
        </w:rPr>
      </w:pPr>
      <w:r w:rsidRPr="00B12FE0">
        <w:rPr>
          <w:rFonts w:hAnsi="宋体" w:cs="宋体" w:hint="eastAsia"/>
          <w:b/>
          <w:bCs/>
          <w:color w:val="000000" w:themeColor="text1"/>
          <w:kern w:val="0"/>
        </w:rPr>
        <w:t>11.2.2.</w:t>
      </w:r>
      <w:r w:rsidRPr="00B12FE0">
        <w:rPr>
          <w:rFonts w:hAnsi="宋体" w:cs="宋体"/>
          <w:b/>
          <w:bCs/>
          <w:color w:val="000000" w:themeColor="text1"/>
          <w:kern w:val="0"/>
        </w:rPr>
        <w:t>2</w:t>
      </w:r>
      <w:r w:rsidRPr="00B12FE0">
        <w:rPr>
          <w:rFonts w:hAnsi="宋体" w:cs="宋体" w:hint="eastAsia"/>
          <w:b/>
          <w:bCs/>
          <w:color w:val="000000" w:themeColor="text1"/>
          <w:kern w:val="0"/>
        </w:rPr>
        <w:t>后装机运行时环境影响分析</w:t>
      </w:r>
    </w:p>
    <w:p w14:paraId="011FE3BA" w14:textId="77777777" w:rsidR="00A67F21" w:rsidRPr="00B12FE0" w:rsidRDefault="00000000">
      <w:pPr>
        <w:snapToGrid w:val="0"/>
        <w:spacing w:line="360" w:lineRule="auto"/>
        <w:ind w:firstLineChars="200" w:firstLine="482"/>
        <w:rPr>
          <w:rFonts w:cs="宋体"/>
          <w:b/>
          <w:bCs/>
          <w:color w:val="000000" w:themeColor="text1"/>
        </w:rPr>
      </w:pPr>
      <w:r w:rsidRPr="00B12FE0">
        <w:rPr>
          <w:rFonts w:cs="宋体" w:hint="eastAsia"/>
          <w:b/>
          <w:bCs/>
          <w:color w:val="000000" w:themeColor="text1"/>
        </w:rPr>
        <w:t>（</w:t>
      </w:r>
      <w:r w:rsidRPr="00B12FE0">
        <w:rPr>
          <w:rFonts w:cs="宋体"/>
          <w:b/>
          <w:bCs/>
          <w:color w:val="000000" w:themeColor="text1"/>
        </w:rPr>
        <w:t>1</w:t>
      </w:r>
      <w:r w:rsidRPr="00B12FE0">
        <w:rPr>
          <w:rFonts w:cs="宋体" w:hint="eastAsia"/>
          <w:b/>
          <w:bCs/>
          <w:color w:val="000000" w:themeColor="text1"/>
        </w:rPr>
        <w:t>）后装机技术参数及机房设计情况</w:t>
      </w:r>
    </w:p>
    <w:p w14:paraId="3F6FF644" w14:textId="77777777" w:rsidR="00A67F21" w:rsidRPr="00B12FE0" w:rsidRDefault="00000000">
      <w:pPr>
        <w:snapToGrid w:val="0"/>
        <w:spacing w:line="360" w:lineRule="auto"/>
        <w:ind w:firstLineChars="200" w:firstLine="480"/>
        <w:rPr>
          <w:rFonts w:cs="宋体"/>
          <w:color w:val="000000" w:themeColor="text1"/>
        </w:rPr>
      </w:pPr>
      <w:r w:rsidRPr="00B12FE0">
        <w:rPr>
          <w:rFonts w:cs="宋体" w:hint="eastAsia"/>
          <w:color w:val="000000" w:themeColor="text1"/>
        </w:rPr>
        <w:t>本项目后装机机房位于肿瘤中心一层放疗科。根据院方提供的资料，后装机机房四侧墙体、顶棚拟采用标准混凝土（</w:t>
      </w:r>
      <w:r w:rsidRPr="00B12FE0">
        <w:rPr>
          <w:rFonts w:cs="宋体"/>
          <w:color w:val="000000" w:themeColor="text1"/>
        </w:rPr>
        <w:t>ρ=2.35g/cm</w:t>
      </w:r>
      <w:r w:rsidRPr="00B12FE0">
        <w:rPr>
          <w:rFonts w:cs="宋体"/>
          <w:color w:val="000000" w:themeColor="text1"/>
          <w:vertAlign w:val="superscript"/>
        </w:rPr>
        <w:t>3</w:t>
      </w:r>
      <w:r w:rsidRPr="00B12FE0">
        <w:rPr>
          <w:rFonts w:cs="宋体" w:hint="eastAsia"/>
          <w:color w:val="000000" w:themeColor="text1"/>
        </w:rPr>
        <w:t>）浇筑而成，防护门拟采用铅板制作。后装机房上方为肿瘤门诊候诊区，核素制备场所值班室和消防器材室。</w:t>
      </w:r>
    </w:p>
    <w:p w14:paraId="4547622D" w14:textId="77777777" w:rsidR="00A67F21" w:rsidRPr="00B12FE0" w:rsidRDefault="00000000">
      <w:pPr>
        <w:autoSpaceDE w:val="0"/>
        <w:snapToGrid w:val="0"/>
        <w:spacing w:beforeLines="50" w:before="120" w:line="360" w:lineRule="auto"/>
        <w:contextualSpacing/>
        <w:jc w:val="center"/>
        <w:rPr>
          <w:rFonts w:cs="宋体"/>
          <w:b/>
          <w:bCs/>
          <w:color w:val="000000" w:themeColor="text1"/>
          <w:sz w:val="21"/>
          <w:szCs w:val="18"/>
        </w:rPr>
      </w:pPr>
      <w:r w:rsidRPr="00B12FE0">
        <w:rPr>
          <w:rFonts w:cs="宋体" w:hint="eastAsia"/>
          <w:b/>
          <w:bCs/>
          <w:color w:val="000000" w:themeColor="text1"/>
          <w:sz w:val="21"/>
          <w:szCs w:val="18"/>
        </w:rPr>
        <w:t>表</w:t>
      </w:r>
      <w:r w:rsidRPr="00B12FE0">
        <w:rPr>
          <w:rFonts w:cs="宋体"/>
          <w:b/>
          <w:bCs/>
          <w:color w:val="000000" w:themeColor="text1"/>
          <w:sz w:val="21"/>
          <w:szCs w:val="18"/>
        </w:rPr>
        <w:t>11.2.2.2</w:t>
      </w:r>
      <w:r w:rsidRPr="00B12FE0">
        <w:rPr>
          <w:rFonts w:cs="宋体" w:hint="eastAsia"/>
          <w:b/>
          <w:bCs/>
          <w:color w:val="000000" w:themeColor="text1"/>
          <w:sz w:val="21"/>
          <w:szCs w:val="18"/>
        </w:rPr>
        <w:t>-</w:t>
      </w:r>
      <w:r w:rsidRPr="00B12FE0">
        <w:rPr>
          <w:rFonts w:cs="宋体"/>
          <w:b/>
          <w:bCs/>
          <w:color w:val="000000" w:themeColor="text1"/>
          <w:sz w:val="21"/>
          <w:szCs w:val="18"/>
        </w:rPr>
        <w:t xml:space="preserve">1  </w:t>
      </w:r>
      <w:r w:rsidRPr="00B12FE0">
        <w:rPr>
          <w:rFonts w:cs="宋体" w:hint="eastAsia"/>
          <w:b/>
          <w:bCs/>
          <w:color w:val="000000" w:themeColor="text1"/>
          <w:sz w:val="21"/>
          <w:szCs w:val="18"/>
        </w:rPr>
        <w:t>后装机机房设计空间几何尺寸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4231"/>
        <w:gridCol w:w="2766"/>
      </w:tblGrid>
      <w:tr w:rsidR="00A67F21" w:rsidRPr="00B12FE0" w14:paraId="0EC501D7" w14:textId="77777777">
        <w:trPr>
          <w:trHeight w:val="284"/>
          <w:jc w:val="center"/>
        </w:trPr>
        <w:tc>
          <w:tcPr>
            <w:tcW w:w="1793" w:type="dxa"/>
            <w:tcBorders>
              <w:top w:val="single" w:sz="4" w:space="0" w:color="auto"/>
              <w:left w:val="single" w:sz="4" w:space="0" w:color="auto"/>
              <w:bottom w:val="single" w:sz="4" w:space="0" w:color="auto"/>
              <w:right w:val="single" w:sz="4" w:space="0" w:color="auto"/>
            </w:tcBorders>
          </w:tcPr>
          <w:p w14:paraId="5E8E24A0"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机房</w:t>
            </w:r>
          </w:p>
        </w:tc>
        <w:tc>
          <w:tcPr>
            <w:tcW w:w="4231" w:type="dxa"/>
            <w:tcBorders>
              <w:top w:val="single" w:sz="4" w:space="0" w:color="auto"/>
              <w:left w:val="single" w:sz="4" w:space="0" w:color="auto"/>
              <w:bottom w:val="single" w:sz="4" w:space="0" w:color="auto"/>
              <w:right w:val="single" w:sz="4" w:space="0" w:color="auto"/>
            </w:tcBorders>
            <w:vAlign w:val="center"/>
          </w:tcPr>
          <w:p w14:paraId="0E1FE485"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所在部位</w:t>
            </w:r>
          </w:p>
        </w:tc>
        <w:tc>
          <w:tcPr>
            <w:tcW w:w="2766" w:type="dxa"/>
            <w:tcBorders>
              <w:top w:val="single" w:sz="4" w:space="0" w:color="auto"/>
              <w:left w:val="nil"/>
              <w:bottom w:val="single" w:sz="4" w:space="0" w:color="auto"/>
              <w:right w:val="single" w:sz="4" w:space="0" w:color="auto"/>
            </w:tcBorders>
            <w:vAlign w:val="center"/>
          </w:tcPr>
          <w:p w14:paraId="788E8659"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净尺寸（</w:t>
            </w:r>
            <w:r w:rsidRPr="00B12FE0">
              <w:rPr>
                <w:rFonts w:cs="宋体"/>
                <w:color w:val="000000" w:themeColor="text1"/>
                <w:sz w:val="21"/>
                <w:szCs w:val="18"/>
              </w:rPr>
              <w:t>mm</w:t>
            </w:r>
            <w:r w:rsidRPr="00B12FE0">
              <w:rPr>
                <w:rFonts w:cs="宋体" w:hint="eastAsia"/>
                <w:color w:val="000000" w:themeColor="text1"/>
                <w:sz w:val="21"/>
                <w:szCs w:val="18"/>
              </w:rPr>
              <w:t>）</w:t>
            </w:r>
          </w:p>
        </w:tc>
      </w:tr>
      <w:tr w:rsidR="00A67F21" w:rsidRPr="00B12FE0" w14:paraId="364E288A" w14:textId="77777777">
        <w:trPr>
          <w:trHeight w:val="284"/>
          <w:jc w:val="center"/>
        </w:trPr>
        <w:tc>
          <w:tcPr>
            <w:tcW w:w="1793" w:type="dxa"/>
            <w:vMerge w:val="restart"/>
            <w:tcBorders>
              <w:top w:val="single" w:sz="4" w:space="0" w:color="auto"/>
              <w:left w:val="single" w:sz="4" w:space="0" w:color="auto"/>
              <w:right w:val="single" w:sz="4" w:space="0" w:color="auto"/>
            </w:tcBorders>
            <w:vAlign w:val="center"/>
          </w:tcPr>
          <w:p w14:paraId="36E4522C"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后装机房</w:t>
            </w:r>
          </w:p>
        </w:tc>
        <w:tc>
          <w:tcPr>
            <w:tcW w:w="4231" w:type="dxa"/>
            <w:tcBorders>
              <w:top w:val="single" w:sz="4" w:space="0" w:color="auto"/>
              <w:left w:val="single" w:sz="4" w:space="0" w:color="auto"/>
              <w:bottom w:val="single" w:sz="4" w:space="0" w:color="auto"/>
              <w:right w:val="single" w:sz="4" w:space="0" w:color="auto"/>
            </w:tcBorders>
            <w:vAlign w:val="center"/>
          </w:tcPr>
          <w:p w14:paraId="70313D3F"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机房东西长度</w:t>
            </w:r>
          </w:p>
        </w:tc>
        <w:tc>
          <w:tcPr>
            <w:tcW w:w="2766" w:type="dxa"/>
            <w:tcBorders>
              <w:top w:val="single" w:sz="4" w:space="0" w:color="auto"/>
              <w:left w:val="nil"/>
              <w:bottom w:val="single" w:sz="4" w:space="0" w:color="auto"/>
              <w:right w:val="single" w:sz="4" w:space="0" w:color="auto"/>
            </w:tcBorders>
            <w:vAlign w:val="center"/>
          </w:tcPr>
          <w:p w14:paraId="2C077CDE"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6350</w:t>
            </w:r>
          </w:p>
        </w:tc>
      </w:tr>
      <w:tr w:rsidR="00A67F21" w:rsidRPr="00B12FE0" w14:paraId="030A4A08" w14:textId="77777777">
        <w:trPr>
          <w:trHeight w:val="284"/>
          <w:jc w:val="center"/>
        </w:trPr>
        <w:tc>
          <w:tcPr>
            <w:tcW w:w="1793" w:type="dxa"/>
            <w:vMerge/>
            <w:tcBorders>
              <w:left w:val="single" w:sz="4" w:space="0" w:color="auto"/>
              <w:right w:val="single" w:sz="4" w:space="0" w:color="auto"/>
            </w:tcBorders>
            <w:vAlign w:val="center"/>
          </w:tcPr>
          <w:p w14:paraId="6F761271" w14:textId="77777777" w:rsidR="00A67F21" w:rsidRPr="00B12FE0" w:rsidRDefault="00A67F21">
            <w:pPr>
              <w:jc w:val="center"/>
              <w:rPr>
                <w:rFonts w:cs="宋体"/>
                <w:color w:val="000000" w:themeColor="text1"/>
                <w:sz w:val="21"/>
                <w:szCs w:val="18"/>
              </w:rPr>
            </w:pPr>
          </w:p>
        </w:tc>
        <w:tc>
          <w:tcPr>
            <w:tcW w:w="4231" w:type="dxa"/>
            <w:tcBorders>
              <w:top w:val="single" w:sz="4" w:space="0" w:color="auto"/>
              <w:left w:val="single" w:sz="4" w:space="0" w:color="auto"/>
              <w:bottom w:val="single" w:sz="4" w:space="0" w:color="auto"/>
              <w:right w:val="single" w:sz="4" w:space="0" w:color="auto"/>
            </w:tcBorders>
            <w:vAlign w:val="center"/>
          </w:tcPr>
          <w:p w14:paraId="1FAE70DD"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机房南北宽度（不含迷道）</w:t>
            </w:r>
          </w:p>
        </w:tc>
        <w:tc>
          <w:tcPr>
            <w:tcW w:w="2766" w:type="dxa"/>
            <w:tcBorders>
              <w:top w:val="single" w:sz="4" w:space="0" w:color="auto"/>
              <w:left w:val="nil"/>
              <w:bottom w:val="single" w:sz="4" w:space="0" w:color="auto"/>
              <w:right w:val="single" w:sz="4" w:space="0" w:color="auto"/>
            </w:tcBorders>
            <w:vAlign w:val="center"/>
          </w:tcPr>
          <w:p w14:paraId="022C92D9"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8000</w:t>
            </w:r>
          </w:p>
        </w:tc>
      </w:tr>
      <w:tr w:rsidR="00A67F21" w:rsidRPr="00B12FE0" w14:paraId="7804ED09" w14:textId="77777777">
        <w:trPr>
          <w:trHeight w:val="284"/>
          <w:jc w:val="center"/>
        </w:trPr>
        <w:tc>
          <w:tcPr>
            <w:tcW w:w="1793" w:type="dxa"/>
            <w:vMerge/>
            <w:tcBorders>
              <w:left w:val="single" w:sz="4" w:space="0" w:color="auto"/>
              <w:right w:val="single" w:sz="4" w:space="0" w:color="auto"/>
            </w:tcBorders>
            <w:vAlign w:val="center"/>
          </w:tcPr>
          <w:p w14:paraId="3CC6B50E" w14:textId="77777777" w:rsidR="00A67F21" w:rsidRPr="00B12FE0" w:rsidRDefault="00A67F21">
            <w:pPr>
              <w:jc w:val="center"/>
              <w:rPr>
                <w:rFonts w:cs="宋体"/>
                <w:color w:val="000000" w:themeColor="text1"/>
                <w:sz w:val="21"/>
                <w:szCs w:val="18"/>
              </w:rPr>
            </w:pPr>
          </w:p>
        </w:tc>
        <w:tc>
          <w:tcPr>
            <w:tcW w:w="4231" w:type="dxa"/>
            <w:tcBorders>
              <w:top w:val="single" w:sz="4" w:space="0" w:color="auto"/>
              <w:left w:val="single" w:sz="4" w:space="0" w:color="auto"/>
              <w:bottom w:val="single" w:sz="4" w:space="0" w:color="auto"/>
              <w:right w:val="single" w:sz="4" w:space="0" w:color="auto"/>
            </w:tcBorders>
            <w:vAlign w:val="center"/>
          </w:tcPr>
          <w:p w14:paraId="2E1CA1A4"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迷道内入口宽度</w:t>
            </w:r>
          </w:p>
        </w:tc>
        <w:tc>
          <w:tcPr>
            <w:tcW w:w="2766" w:type="dxa"/>
            <w:tcBorders>
              <w:top w:val="single" w:sz="4" w:space="0" w:color="auto"/>
              <w:left w:val="nil"/>
              <w:bottom w:val="single" w:sz="4" w:space="0" w:color="auto"/>
              <w:right w:val="single" w:sz="4" w:space="0" w:color="auto"/>
            </w:tcBorders>
            <w:vAlign w:val="center"/>
          </w:tcPr>
          <w:p w14:paraId="1B71CE52" w14:textId="77777777" w:rsidR="00A67F21" w:rsidRPr="00B12FE0" w:rsidRDefault="00000000">
            <w:pPr>
              <w:jc w:val="center"/>
              <w:rPr>
                <w:rFonts w:cs="宋体"/>
                <w:color w:val="000000" w:themeColor="text1"/>
                <w:sz w:val="21"/>
                <w:szCs w:val="18"/>
              </w:rPr>
            </w:pPr>
            <w:r w:rsidRPr="00B12FE0">
              <w:rPr>
                <w:rFonts w:cs="宋体"/>
                <w:color w:val="000000" w:themeColor="text1"/>
                <w:sz w:val="21"/>
                <w:szCs w:val="18"/>
              </w:rPr>
              <w:t>1</w:t>
            </w:r>
            <w:r w:rsidRPr="00B12FE0">
              <w:rPr>
                <w:rFonts w:cs="宋体" w:hint="eastAsia"/>
                <w:color w:val="000000" w:themeColor="text1"/>
                <w:sz w:val="21"/>
                <w:szCs w:val="18"/>
              </w:rPr>
              <w:t>7</w:t>
            </w:r>
            <w:r w:rsidRPr="00B12FE0">
              <w:rPr>
                <w:rFonts w:cs="宋体"/>
                <w:color w:val="000000" w:themeColor="text1"/>
                <w:sz w:val="21"/>
                <w:szCs w:val="18"/>
              </w:rPr>
              <w:t>00</w:t>
            </w:r>
          </w:p>
        </w:tc>
      </w:tr>
      <w:tr w:rsidR="00A67F21" w:rsidRPr="00B12FE0" w14:paraId="3C763FCD" w14:textId="77777777">
        <w:trPr>
          <w:trHeight w:val="284"/>
          <w:jc w:val="center"/>
        </w:trPr>
        <w:tc>
          <w:tcPr>
            <w:tcW w:w="1793" w:type="dxa"/>
            <w:vMerge/>
            <w:tcBorders>
              <w:left w:val="single" w:sz="4" w:space="0" w:color="auto"/>
              <w:right w:val="single" w:sz="4" w:space="0" w:color="auto"/>
            </w:tcBorders>
            <w:vAlign w:val="center"/>
          </w:tcPr>
          <w:p w14:paraId="70067CE2" w14:textId="77777777" w:rsidR="00A67F21" w:rsidRPr="00B12FE0" w:rsidRDefault="00A67F21">
            <w:pPr>
              <w:jc w:val="center"/>
              <w:rPr>
                <w:rFonts w:cs="宋体"/>
                <w:color w:val="000000" w:themeColor="text1"/>
                <w:sz w:val="21"/>
                <w:szCs w:val="18"/>
              </w:rPr>
            </w:pPr>
          </w:p>
        </w:tc>
        <w:tc>
          <w:tcPr>
            <w:tcW w:w="4231" w:type="dxa"/>
            <w:tcBorders>
              <w:top w:val="single" w:sz="4" w:space="0" w:color="auto"/>
              <w:left w:val="single" w:sz="4" w:space="0" w:color="auto"/>
              <w:bottom w:val="single" w:sz="4" w:space="0" w:color="auto"/>
              <w:right w:val="single" w:sz="4" w:space="0" w:color="auto"/>
            </w:tcBorders>
            <w:vAlign w:val="center"/>
          </w:tcPr>
          <w:p w14:paraId="43F1EBCD"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迷道外入口宽度（门洞）</w:t>
            </w:r>
          </w:p>
        </w:tc>
        <w:tc>
          <w:tcPr>
            <w:tcW w:w="2766" w:type="dxa"/>
            <w:tcBorders>
              <w:top w:val="single" w:sz="4" w:space="0" w:color="auto"/>
              <w:left w:val="nil"/>
              <w:bottom w:val="single" w:sz="4" w:space="0" w:color="auto"/>
              <w:right w:val="single" w:sz="4" w:space="0" w:color="auto"/>
            </w:tcBorders>
            <w:vAlign w:val="center"/>
          </w:tcPr>
          <w:p w14:paraId="32F0017F"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1600</w:t>
            </w:r>
          </w:p>
        </w:tc>
      </w:tr>
      <w:tr w:rsidR="00A67F21" w:rsidRPr="00B12FE0" w14:paraId="255D8FDC" w14:textId="77777777">
        <w:trPr>
          <w:trHeight w:val="284"/>
          <w:jc w:val="center"/>
        </w:trPr>
        <w:tc>
          <w:tcPr>
            <w:tcW w:w="1793" w:type="dxa"/>
            <w:vMerge/>
            <w:tcBorders>
              <w:left w:val="single" w:sz="4" w:space="0" w:color="auto"/>
              <w:right w:val="single" w:sz="4" w:space="0" w:color="auto"/>
            </w:tcBorders>
            <w:vAlign w:val="center"/>
          </w:tcPr>
          <w:p w14:paraId="1F7A6D12" w14:textId="77777777" w:rsidR="00A67F21" w:rsidRPr="00B12FE0" w:rsidRDefault="00A67F21">
            <w:pPr>
              <w:jc w:val="center"/>
              <w:rPr>
                <w:rFonts w:cs="宋体"/>
                <w:color w:val="000000" w:themeColor="text1"/>
                <w:sz w:val="21"/>
                <w:szCs w:val="18"/>
              </w:rPr>
            </w:pPr>
          </w:p>
        </w:tc>
        <w:tc>
          <w:tcPr>
            <w:tcW w:w="4231" w:type="dxa"/>
            <w:tcBorders>
              <w:top w:val="single" w:sz="4" w:space="0" w:color="auto"/>
              <w:left w:val="single" w:sz="4" w:space="0" w:color="auto"/>
              <w:bottom w:val="single" w:sz="4" w:space="0" w:color="auto"/>
              <w:right w:val="single" w:sz="4" w:space="0" w:color="auto"/>
            </w:tcBorders>
            <w:vAlign w:val="center"/>
          </w:tcPr>
          <w:p w14:paraId="36B71DF6" w14:textId="77777777" w:rsidR="00A67F21" w:rsidRPr="00B12FE0" w:rsidRDefault="00000000">
            <w:pPr>
              <w:jc w:val="center"/>
              <w:rPr>
                <w:rFonts w:cs="宋体"/>
                <w:color w:val="000000" w:themeColor="text1"/>
                <w:sz w:val="21"/>
                <w:szCs w:val="18"/>
              </w:rPr>
            </w:pPr>
            <w:proofErr w:type="gramStart"/>
            <w:r w:rsidRPr="00B12FE0">
              <w:rPr>
                <w:rFonts w:cs="宋体" w:hint="eastAsia"/>
                <w:color w:val="000000" w:themeColor="text1"/>
                <w:sz w:val="21"/>
                <w:szCs w:val="18"/>
              </w:rPr>
              <w:t>迷道长度</w:t>
            </w:r>
            <w:proofErr w:type="gramEnd"/>
          </w:p>
        </w:tc>
        <w:tc>
          <w:tcPr>
            <w:tcW w:w="2766" w:type="dxa"/>
            <w:tcBorders>
              <w:top w:val="single" w:sz="4" w:space="0" w:color="auto"/>
              <w:left w:val="nil"/>
              <w:bottom w:val="single" w:sz="4" w:space="0" w:color="auto"/>
              <w:right w:val="single" w:sz="4" w:space="0" w:color="auto"/>
            </w:tcBorders>
            <w:vAlign w:val="center"/>
          </w:tcPr>
          <w:p w14:paraId="2A0538B7"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6350</w:t>
            </w:r>
          </w:p>
        </w:tc>
      </w:tr>
      <w:tr w:rsidR="00A67F21" w:rsidRPr="00B12FE0" w14:paraId="70732F6D" w14:textId="77777777">
        <w:trPr>
          <w:trHeight w:val="284"/>
          <w:jc w:val="center"/>
        </w:trPr>
        <w:tc>
          <w:tcPr>
            <w:tcW w:w="1793" w:type="dxa"/>
            <w:vMerge/>
            <w:tcBorders>
              <w:left w:val="single" w:sz="4" w:space="0" w:color="auto"/>
              <w:right w:val="single" w:sz="4" w:space="0" w:color="auto"/>
            </w:tcBorders>
            <w:vAlign w:val="center"/>
          </w:tcPr>
          <w:p w14:paraId="1164BA6D" w14:textId="77777777" w:rsidR="00A67F21" w:rsidRPr="00B12FE0" w:rsidRDefault="00A67F21">
            <w:pPr>
              <w:jc w:val="center"/>
              <w:rPr>
                <w:rFonts w:cs="宋体"/>
                <w:color w:val="000000" w:themeColor="text1"/>
                <w:sz w:val="21"/>
                <w:szCs w:val="18"/>
              </w:rPr>
            </w:pPr>
          </w:p>
        </w:tc>
        <w:tc>
          <w:tcPr>
            <w:tcW w:w="4231" w:type="dxa"/>
            <w:tcBorders>
              <w:top w:val="single" w:sz="4" w:space="0" w:color="auto"/>
              <w:left w:val="single" w:sz="4" w:space="0" w:color="auto"/>
              <w:bottom w:val="single" w:sz="4" w:space="0" w:color="auto"/>
              <w:right w:val="single" w:sz="4" w:space="0" w:color="auto"/>
            </w:tcBorders>
            <w:vAlign w:val="center"/>
          </w:tcPr>
          <w:p w14:paraId="6050905B" w14:textId="77777777" w:rsidR="00A67F21" w:rsidRPr="00B12FE0" w:rsidRDefault="00000000">
            <w:pPr>
              <w:jc w:val="center"/>
              <w:rPr>
                <w:rFonts w:cs="宋体"/>
                <w:color w:val="000000" w:themeColor="text1"/>
                <w:sz w:val="21"/>
                <w:szCs w:val="18"/>
              </w:rPr>
            </w:pPr>
            <w:proofErr w:type="gramStart"/>
            <w:r w:rsidRPr="00B12FE0">
              <w:rPr>
                <w:rFonts w:cs="宋体" w:hint="eastAsia"/>
                <w:color w:val="000000" w:themeColor="text1"/>
                <w:sz w:val="21"/>
                <w:szCs w:val="18"/>
              </w:rPr>
              <w:t>迷道宽度</w:t>
            </w:r>
            <w:proofErr w:type="gramEnd"/>
          </w:p>
        </w:tc>
        <w:tc>
          <w:tcPr>
            <w:tcW w:w="2766" w:type="dxa"/>
            <w:tcBorders>
              <w:top w:val="single" w:sz="4" w:space="0" w:color="auto"/>
              <w:left w:val="nil"/>
              <w:bottom w:val="single" w:sz="4" w:space="0" w:color="auto"/>
              <w:right w:val="single" w:sz="4" w:space="0" w:color="auto"/>
            </w:tcBorders>
            <w:vAlign w:val="center"/>
          </w:tcPr>
          <w:p w14:paraId="0DBEEC12"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1800</w:t>
            </w:r>
          </w:p>
        </w:tc>
      </w:tr>
      <w:tr w:rsidR="00A67F21" w:rsidRPr="00B12FE0" w14:paraId="743FB0E7" w14:textId="77777777">
        <w:trPr>
          <w:trHeight w:val="284"/>
          <w:jc w:val="center"/>
        </w:trPr>
        <w:tc>
          <w:tcPr>
            <w:tcW w:w="1793" w:type="dxa"/>
            <w:vMerge/>
            <w:tcBorders>
              <w:left w:val="single" w:sz="4" w:space="0" w:color="auto"/>
              <w:right w:val="single" w:sz="4" w:space="0" w:color="auto"/>
            </w:tcBorders>
            <w:vAlign w:val="center"/>
          </w:tcPr>
          <w:p w14:paraId="0DEF4DFB" w14:textId="77777777" w:rsidR="00A67F21" w:rsidRPr="00B12FE0" w:rsidRDefault="00A67F21">
            <w:pPr>
              <w:jc w:val="center"/>
              <w:rPr>
                <w:rFonts w:cs="宋体"/>
                <w:color w:val="000000" w:themeColor="text1"/>
                <w:sz w:val="21"/>
                <w:szCs w:val="18"/>
              </w:rPr>
            </w:pPr>
          </w:p>
        </w:tc>
        <w:tc>
          <w:tcPr>
            <w:tcW w:w="4231" w:type="dxa"/>
            <w:tcBorders>
              <w:top w:val="single" w:sz="4" w:space="0" w:color="auto"/>
              <w:left w:val="single" w:sz="4" w:space="0" w:color="auto"/>
              <w:bottom w:val="single" w:sz="4" w:space="0" w:color="auto"/>
              <w:right w:val="single" w:sz="4" w:space="0" w:color="auto"/>
            </w:tcBorders>
            <w:vAlign w:val="center"/>
          </w:tcPr>
          <w:p w14:paraId="308F4085"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机房净高</w:t>
            </w:r>
          </w:p>
        </w:tc>
        <w:tc>
          <w:tcPr>
            <w:tcW w:w="2766" w:type="dxa"/>
            <w:tcBorders>
              <w:top w:val="single" w:sz="4" w:space="0" w:color="auto"/>
              <w:left w:val="nil"/>
              <w:bottom w:val="single" w:sz="4" w:space="0" w:color="auto"/>
              <w:right w:val="single" w:sz="4" w:space="0" w:color="auto"/>
            </w:tcBorders>
            <w:vAlign w:val="center"/>
          </w:tcPr>
          <w:p w14:paraId="02AAF9D9" w14:textId="77777777" w:rsidR="00A67F21" w:rsidRPr="00B12FE0" w:rsidRDefault="00000000">
            <w:pPr>
              <w:jc w:val="center"/>
              <w:rPr>
                <w:rFonts w:cs="宋体"/>
                <w:color w:val="000000" w:themeColor="text1"/>
                <w:sz w:val="21"/>
                <w:szCs w:val="18"/>
              </w:rPr>
            </w:pPr>
            <w:r w:rsidRPr="00B12FE0">
              <w:rPr>
                <w:rFonts w:cs="宋体" w:hint="eastAsia"/>
                <w:color w:val="000000" w:themeColor="text1"/>
                <w:sz w:val="21"/>
                <w:szCs w:val="18"/>
              </w:rPr>
              <w:t>70</w:t>
            </w:r>
            <w:r w:rsidRPr="00B12FE0">
              <w:rPr>
                <w:rFonts w:cs="宋体"/>
                <w:color w:val="000000" w:themeColor="text1"/>
                <w:sz w:val="21"/>
                <w:szCs w:val="18"/>
              </w:rPr>
              <w:t>00</w:t>
            </w:r>
          </w:p>
        </w:tc>
      </w:tr>
    </w:tbl>
    <w:p w14:paraId="4A727B2A" w14:textId="77777777" w:rsidR="00A67F21" w:rsidRPr="00B12FE0" w:rsidRDefault="00000000">
      <w:pPr>
        <w:autoSpaceDE w:val="0"/>
        <w:snapToGrid w:val="0"/>
        <w:spacing w:beforeLines="50" w:before="120" w:line="360" w:lineRule="auto"/>
        <w:ind w:firstLineChars="200" w:firstLine="482"/>
        <w:contextualSpacing/>
        <w:rPr>
          <w:rFonts w:cs="宋体"/>
          <w:b/>
          <w:bCs/>
          <w:color w:val="000000" w:themeColor="text1"/>
        </w:rPr>
      </w:pPr>
      <w:r w:rsidRPr="00B12FE0">
        <w:rPr>
          <w:rFonts w:cs="宋体" w:hint="eastAsia"/>
          <w:b/>
          <w:bCs/>
          <w:color w:val="000000" w:themeColor="text1"/>
        </w:rPr>
        <w:t>（</w:t>
      </w:r>
      <w:r w:rsidRPr="00B12FE0">
        <w:rPr>
          <w:rFonts w:cs="宋体"/>
          <w:b/>
          <w:bCs/>
          <w:color w:val="000000" w:themeColor="text1"/>
        </w:rPr>
        <w:t>2</w:t>
      </w:r>
      <w:r w:rsidRPr="00B12FE0">
        <w:rPr>
          <w:rFonts w:cs="宋体" w:hint="eastAsia"/>
          <w:b/>
          <w:bCs/>
          <w:color w:val="000000" w:themeColor="text1"/>
        </w:rPr>
        <w:t>）工作负荷</w:t>
      </w:r>
    </w:p>
    <w:p w14:paraId="24EBE4BC" w14:textId="77777777" w:rsidR="00A67F21" w:rsidRPr="00B12FE0" w:rsidRDefault="00000000">
      <w:pPr>
        <w:adjustRightInd w:val="0"/>
        <w:snapToGrid w:val="0"/>
        <w:spacing w:line="360" w:lineRule="auto"/>
        <w:ind w:firstLine="480"/>
        <w:rPr>
          <w:rFonts w:hAnsi="宋体" w:hint="eastAsia"/>
          <w:color w:val="000000" w:themeColor="text1"/>
        </w:rPr>
      </w:pPr>
      <w:r w:rsidRPr="00B12FE0">
        <w:rPr>
          <w:rFonts w:hAnsi="宋体"/>
          <w:color w:val="000000" w:themeColor="text1"/>
        </w:rPr>
        <w:lastRenderedPageBreak/>
        <w:t>后装治疗机预计最大工作量情况：</w:t>
      </w:r>
      <w:r w:rsidRPr="00B12FE0">
        <w:rPr>
          <w:color w:val="000000" w:themeColor="text1"/>
        </w:rPr>
        <w:t>20</w:t>
      </w:r>
      <w:r w:rsidRPr="00B12FE0">
        <w:rPr>
          <w:rFonts w:hAnsi="宋体"/>
          <w:color w:val="000000" w:themeColor="text1"/>
        </w:rPr>
        <w:t>人（次）</w:t>
      </w:r>
      <w:r w:rsidRPr="00B12FE0">
        <w:rPr>
          <w:color w:val="000000" w:themeColor="text1"/>
        </w:rPr>
        <w:t>/</w:t>
      </w:r>
      <w:r w:rsidRPr="00B12FE0">
        <w:rPr>
          <w:rFonts w:hAnsi="宋体"/>
          <w:color w:val="000000" w:themeColor="text1"/>
        </w:rPr>
        <w:t>天，</w:t>
      </w:r>
      <w:r w:rsidRPr="00B12FE0">
        <w:rPr>
          <w:color w:val="000000" w:themeColor="text1"/>
        </w:rPr>
        <w:t>100</w:t>
      </w:r>
      <w:r w:rsidRPr="00B12FE0">
        <w:rPr>
          <w:rFonts w:hAnsi="宋体"/>
          <w:color w:val="000000" w:themeColor="text1"/>
        </w:rPr>
        <w:t>人（次）</w:t>
      </w:r>
      <w:r w:rsidRPr="00B12FE0">
        <w:rPr>
          <w:color w:val="000000" w:themeColor="text1"/>
        </w:rPr>
        <w:t>/</w:t>
      </w:r>
      <w:r w:rsidRPr="00B12FE0">
        <w:rPr>
          <w:rFonts w:hAnsi="宋体"/>
          <w:color w:val="000000" w:themeColor="text1"/>
        </w:rPr>
        <w:t>每周，</w:t>
      </w:r>
      <w:r w:rsidRPr="00B12FE0">
        <w:rPr>
          <w:color w:val="000000" w:themeColor="text1"/>
        </w:rPr>
        <w:t>5000</w:t>
      </w:r>
      <w:r w:rsidRPr="00B12FE0">
        <w:rPr>
          <w:rFonts w:hAnsi="宋体"/>
          <w:color w:val="000000" w:themeColor="text1"/>
        </w:rPr>
        <w:t>人（次）</w:t>
      </w:r>
      <w:r w:rsidRPr="00B12FE0">
        <w:rPr>
          <w:color w:val="000000" w:themeColor="text1"/>
        </w:rPr>
        <w:t>/</w:t>
      </w:r>
      <w:r w:rsidRPr="00B12FE0">
        <w:rPr>
          <w:rFonts w:hAnsi="宋体"/>
          <w:color w:val="000000" w:themeColor="text1"/>
        </w:rPr>
        <w:t>年</w:t>
      </w:r>
      <w:r w:rsidRPr="00B12FE0">
        <w:rPr>
          <w:rFonts w:hAnsi="宋体" w:hint="eastAsia"/>
          <w:color w:val="000000" w:themeColor="text1"/>
        </w:rPr>
        <w:t>。新装源（活度</w:t>
      </w:r>
      <w:r w:rsidRPr="00B12FE0">
        <w:rPr>
          <w:rFonts w:hAnsi="宋体" w:hint="eastAsia"/>
          <w:color w:val="000000" w:themeColor="text1"/>
        </w:rPr>
        <w:t>3.7</w:t>
      </w:r>
      <w:r w:rsidRPr="00B12FE0">
        <w:rPr>
          <w:rFonts w:hAnsi="宋体" w:hint="eastAsia"/>
          <w:color w:val="000000" w:themeColor="text1"/>
        </w:rPr>
        <w:t>×</w:t>
      </w:r>
      <w:r w:rsidRPr="00B12FE0">
        <w:rPr>
          <w:rFonts w:hAnsi="宋体" w:hint="eastAsia"/>
          <w:color w:val="000000" w:themeColor="text1"/>
        </w:rPr>
        <w:t>10</w:t>
      </w:r>
      <w:r w:rsidRPr="00B12FE0">
        <w:rPr>
          <w:rFonts w:hAnsi="宋体" w:hint="eastAsia"/>
          <w:color w:val="000000" w:themeColor="text1"/>
          <w:vertAlign w:val="superscript"/>
        </w:rPr>
        <w:t>11</w:t>
      </w:r>
      <w:r w:rsidRPr="00B12FE0">
        <w:rPr>
          <w:rFonts w:hAnsi="宋体" w:hint="eastAsia"/>
          <w:color w:val="000000" w:themeColor="text1"/>
        </w:rPr>
        <w:t>Bq)</w:t>
      </w:r>
      <w:r w:rsidRPr="00B12FE0">
        <w:rPr>
          <w:rFonts w:hAnsi="宋体" w:hint="eastAsia"/>
          <w:color w:val="000000" w:themeColor="text1"/>
        </w:rPr>
        <w:t>时，每人次照射治疗</w:t>
      </w:r>
      <w:r w:rsidRPr="00B12FE0">
        <w:rPr>
          <w:rFonts w:hAnsi="宋体" w:hint="eastAsia"/>
          <w:color w:val="000000" w:themeColor="text1"/>
        </w:rPr>
        <w:t>5-10min</w:t>
      </w:r>
      <w:r w:rsidRPr="00B12FE0">
        <w:rPr>
          <w:rFonts w:hAnsi="宋体" w:hint="eastAsia"/>
          <w:color w:val="000000" w:themeColor="text1"/>
        </w:rPr>
        <w:t>（平均约</w:t>
      </w:r>
      <w:r w:rsidRPr="00B12FE0">
        <w:rPr>
          <w:rFonts w:hAnsi="宋体" w:hint="eastAsia"/>
          <w:color w:val="000000" w:themeColor="text1"/>
        </w:rPr>
        <w:t>6min</w:t>
      </w:r>
      <w:r w:rsidRPr="00B12FE0">
        <w:rPr>
          <w:rFonts w:hAnsi="宋体" w:hint="eastAsia"/>
          <w:color w:val="000000" w:themeColor="text1"/>
        </w:rPr>
        <w:t>）。</w:t>
      </w:r>
      <w:r w:rsidRPr="00B12FE0">
        <w:rPr>
          <w:color w:val="000000" w:themeColor="text1"/>
          <w:vertAlign w:val="superscript"/>
        </w:rPr>
        <w:t>192</w:t>
      </w:r>
      <w:r w:rsidRPr="00B12FE0">
        <w:rPr>
          <w:color w:val="000000" w:themeColor="text1"/>
        </w:rPr>
        <w:t>Ir</w:t>
      </w:r>
      <w:r w:rsidRPr="00B12FE0">
        <w:rPr>
          <w:rFonts w:hAnsi="宋体" w:hint="eastAsia"/>
          <w:color w:val="000000" w:themeColor="text1"/>
        </w:rPr>
        <w:t>放射源半衰期较短（</w:t>
      </w:r>
      <w:r w:rsidRPr="00B12FE0">
        <w:rPr>
          <w:rFonts w:hAnsi="宋体" w:hint="eastAsia"/>
          <w:color w:val="000000" w:themeColor="text1"/>
        </w:rPr>
        <w:t>74.0d</w:t>
      </w:r>
      <w:r w:rsidRPr="00B12FE0">
        <w:rPr>
          <w:rFonts w:hAnsi="宋体" w:hint="eastAsia"/>
          <w:color w:val="000000" w:themeColor="text1"/>
        </w:rPr>
        <w:t>），通常</w:t>
      </w:r>
      <w:r w:rsidRPr="00B12FE0">
        <w:rPr>
          <w:rFonts w:hAnsi="宋体" w:hint="eastAsia"/>
          <w:color w:val="000000" w:themeColor="text1"/>
        </w:rPr>
        <w:t>4</w:t>
      </w:r>
      <w:r w:rsidRPr="00B12FE0">
        <w:rPr>
          <w:rFonts w:hAnsi="宋体" w:hint="eastAsia"/>
          <w:color w:val="000000" w:themeColor="text1"/>
        </w:rPr>
        <w:t>个月左右更换一次放射源，</w:t>
      </w:r>
      <w:proofErr w:type="gramStart"/>
      <w:r w:rsidRPr="00B12FE0">
        <w:rPr>
          <w:rFonts w:hAnsi="宋体" w:hint="eastAsia"/>
          <w:color w:val="000000" w:themeColor="text1"/>
        </w:rPr>
        <w:t>换源前</w:t>
      </w:r>
      <w:proofErr w:type="gramEnd"/>
      <w:r w:rsidRPr="00B12FE0">
        <w:rPr>
          <w:rFonts w:hAnsi="宋体" w:hint="eastAsia"/>
          <w:color w:val="000000" w:themeColor="text1"/>
        </w:rPr>
        <w:t>经过约</w:t>
      </w:r>
      <w:r w:rsidRPr="00B12FE0">
        <w:rPr>
          <w:rFonts w:hAnsi="宋体" w:hint="eastAsia"/>
          <w:color w:val="000000" w:themeColor="text1"/>
        </w:rPr>
        <w:t>2</w:t>
      </w:r>
      <w:r w:rsidRPr="00B12FE0">
        <w:rPr>
          <w:rFonts w:hAnsi="宋体" w:hint="eastAsia"/>
          <w:color w:val="000000" w:themeColor="text1"/>
        </w:rPr>
        <w:t>个半衰期，</w:t>
      </w:r>
      <w:r w:rsidRPr="00B12FE0">
        <w:rPr>
          <w:rFonts w:hAnsi="宋体"/>
          <w:color w:val="000000" w:themeColor="text1"/>
        </w:rPr>
        <w:t>活度衰减为初始活度的</w:t>
      </w:r>
      <w:r w:rsidRPr="00B12FE0">
        <w:rPr>
          <w:rFonts w:hAnsi="宋体"/>
          <w:color w:val="000000" w:themeColor="text1"/>
        </w:rPr>
        <w:t>1/4</w:t>
      </w:r>
      <w:r w:rsidRPr="00B12FE0">
        <w:rPr>
          <w:rFonts w:hAnsi="宋体" w:hint="eastAsia"/>
          <w:color w:val="000000" w:themeColor="text1"/>
        </w:rPr>
        <w:t>，故每人次治疗时间相应延长，大概需要</w:t>
      </w:r>
      <w:r w:rsidRPr="00B12FE0">
        <w:rPr>
          <w:rFonts w:hAnsi="宋体" w:hint="eastAsia"/>
          <w:color w:val="000000" w:themeColor="text1"/>
        </w:rPr>
        <w:t>30-40min</w:t>
      </w:r>
      <w:r w:rsidRPr="00B12FE0">
        <w:rPr>
          <w:rFonts w:hAnsi="宋体" w:hint="eastAsia"/>
          <w:color w:val="000000" w:themeColor="text1"/>
        </w:rPr>
        <w:t>。</w:t>
      </w:r>
    </w:p>
    <w:p w14:paraId="08B2B80C" w14:textId="77777777" w:rsidR="00A67F21" w:rsidRPr="00B12FE0" w:rsidRDefault="00000000">
      <w:pPr>
        <w:adjustRightInd w:val="0"/>
        <w:spacing w:line="360" w:lineRule="auto"/>
        <w:ind w:firstLine="480"/>
        <w:rPr>
          <w:color w:val="000000" w:themeColor="text1"/>
        </w:rPr>
      </w:pPr>
      <w:r w:rsidRPr="00B12FE0">
        <w:rPr>
          <w:rFonts w:hAnsi="宋体" w:hint="eastAsia"/>
          <w:color w:val="000000" w:themeColor="text1"/>
        </w:rPr>
        <w:t>为了便于估算，</w:t>
      </w:r>
      <w:proofErr w:type="gramStart"/>
      <w:r w:rsidRPr="00B12FE0">
        <w:rPr>
          <w:rFonts w:hAnsi="宋体" w:hint="eastAsia"/>
          <w:color w:val="000000" w:themeColor="text1"/>
        </w:rPr>
        <w:t>本评价</w:t>
      </w:r>
      <w:proofErr w:type="gramEnd"/>
      <w:r w:rsidRPr="00B12FE0">
        <w:rPr>
          <w:rFonts w:hAnsi="宋体" w:hint="eastAsia"/>
          <w:color w:val="000000" w:themeColor="text1"/>
        </w:rPr>
        <w:t>以新装源活度计算屏蔽体周围的附加剂量率，</w:t>
      </w:r>
      <w:proofErr w:type="gramStart"/>
      <w:r w:rsidRPr="00B12FE0">
        <w:rPr>
          <w:rFonts w:hAnsi="宋体" w:hint="eastAsia"/>
          <w:color w:val="000000" w:themeColor="text1"/>
        </w:rPr>
        <w:t>出束治疗</w:t>
      </w:r>
      <w:proofErr w:type="gramEnd"/>
      <w:r w:rsidRPr="00B12FE0">
        <w:rPr>
          <w:rFonts w:hAnsi="宋体" w:hint="eastAsia"/>
          <w:color w:val="000000" w:themeColor="text1"/>
        </w:rPr>
        <w:t>时间折合为新装源的治疗时间，即周治疗照射时间约为</w:t>
      </w:r>
      <w:r w:rsidRPr="00B12FE0">
        <w:rPr>
          <w:rFonts w:hAnsi="宋体"/>
          <w:color w:val="000000" w:themeColor="text1"/>
        </w:rPr>
        <w:t>10</w:t>
      </w:r>
      <w:r w:rsidRPr="00B12FE0">
        <w:rPr>
          <w:rFonts w:hAnsi="宋体" w:hint="eastAsia"/>
          <w:color w:val="000000" w:themeColor="text1"/>
        </w:rPr>
        <w:t>h</w:t>
      </w:r>
      <w:r w:rsidRPr="00B12FE0">
        <w:rPr>
          <w:rFonts w:hAnsi="宋体" w:hint="eastAsia"/>
          <w:color w:val="000000" w:themeColor="text1"/>
        </w:rPr>
        <w:t>，年累积治疗照射时间约</w:t>
      </w:r>
      <w:r w:rsidRPr="00B12FE0">
        <w:rPr>
          <w:rFonts w:hAnsi="宋体"/>
          <w:color w:val="000000" w:themeColor="text1"/>
        </w:rPr>
        <w:t>50</w:t>
      </w:r>
      <w:r w:rsidRPr="00B12FE0">
        <w:rPr>
          <w:rFonts w:hAnsi="宋体" w:hint="eastAsia"/>
          <w:color w:val="000000" w:themeColor="text1"/>
        </w:rPr>
        <w:t>0h</w:t>
      </w:r>
      <w:r w:rsidRPr="00B12FE0">
        <w:rPr>
          <w:rFonts w:hAnsi="宋体" w:hint="eastAsia"/>
          <w:color w:val="000000" w:themeColor="text1"/>
        </w:rPr>
        <w:t>。</w:t>
      </w:r>
      <w:r w:rsidRPr="00B12FE0">
        <w:rPr>
          <w:rFonts w:hint="eastAsia"/>
          <w:color w:val="000000" w:themeColor="text1"/>
        </w:rPr>
        <w:t>核素</w:t>
      </w:r>
      <w:r w:rsidRPr="00B12FE0">
        <w:rPr>
          <w:color w:val="000000" w:themeColor="text1"/>
          <w:vertAlign w:val="superscript"/>
        </w:rPr>
        <w:t>192</w:t>
      </w:r>
      <w:r w:rsidRPr="00B12FE0">
        <w:rPr>
          <w:color w:val="000000" w:themeColor="text1"/>
        </w:rPr>
        <w:t>Ir</w:t>
      </w:r>
      <w:r w:rsidRPr="00B12FE0">
        <w:rPr>
          <w:color w:val="000000" w:themeColor="text1"/>
        </w:rPr>
        <w:t>的技术参数如表</w:t>
      </w:r>
      <w:r w:rsidRPr="00B12FE0">
        <w:rPr>
          <w:color w:val="000000" w:themeColor="text1"/>
        </w:rPr>
        <w:t>11.2.2.2-2</w:t>
      </w:r>
      <w:r w:rsidRPr="00B12FE0">
        <w:rPr>
          <w:color w:val="000000" w:themeColor="text1"/>
        </w:rPr>
        <w:t>所示。</w:t>
      </w:r>
    </w:p>
    <w:p w14:paraId="4B4B5D3B" w14:textId="77777777" w:rsidR="00A67F21" w:rsidRPr="00B12FE0" w:rsidRDefault="00000000">
      <w:pPr>
        <w:adjustRightInd w:val="0"/>
        <w:spacing w:line="360" w:lineRule="auto"/>
        <w:jc w:val="center"/>
        <w:rPr>
          <w:b/>
          <w:color w:val="000000" w:themeColor="text1"/>
          <w:sz w:val="15"/>
          <w:szCs w:val="16"/>
        </w:rPr>
      </w:pPr>
      <w:r w:rsidRPr="00B12FE0">
        <w:rPr>
          <w:b/>
          <w:color w:val="000000" w:themeColor="text1"/>
          <w:sz w:val="21"/>
          <w:szCs w:val="16"/>
        </w:rPr>
        <w:t>表</w:t>
      </w:r>
      <w:r w:rsidRPr="00B12FE0">
        <w:rPr>
          <w:rFonts w:cs="宋体"/>
          <w:b/>
          <w:bCs/>
          <w:color w:val="000000" w:themeColor="text1"/>
          <w:sz w:val="21"/>
          <w:szCs w:val="18"/>
        </w:rPr>
        <w:t>11.2.2.2</w:t>
      </w:r>
      <w:r w:rsidRPr="00B12FE0">
        <w:rPr>
          <w:rFonts w:cs="宋体" w:hint="eastAsia"/>
          <w:b/>
          <w:bCs/>
          <w:color w:val="000000" w:themeColor="text1"/>
          <w:sz w:val="21"/>
          <w:szCs w:val="18"/>
        </w:rPr>
        <w:t>-</w:t>
      </w:r>
      <w:r w:rsidRPr="00B12FE0">
        <w:rPr>
          <w:rFonts w:cs="宋体"/>
          <w:b/>
          <w:bCs/>
          <w:color w:val="000000" w:themeColor="text1"/>
          <w:sz w:val="21"/>
          <w:szCs w:val="18"/>
        </w:rPr>
        <w:t xml:space="preserve">2  </w:t>
      </w:r>
      <w:r w:rsidRPr="00B12FE0">
        <w:rPr>
          <w:rFonts w:hint="eastAsia"/>
          <w:b/>
          <w:color w:val="000000" w:themeColor="text1"/>
          <w:sz w:val="21"/>
          <w:szCs w:val="16"/>
        </w:rPr>
        <w:t>核素</w:t>
      </w:r>
      <w:r w:rsidRPr="00B12FE0">
        <w:rPr>
          <w:b/>
          <w:color w:val="000000" w:themeColor="text1"/>
          <w:sz w:val="21"/>
          <w:szCs w:val="16"/>
          <w:vertAlign w:val="superscript"/>
        </w:rPr>
        <w:t>192</w:t>
      </w:r>
      <w:r w:rsidRPr="00B12FE0">
        <w:rPr>
          <w:b/>
          <w:color w:val="000000" w:themeColor="text1"/>
          <w:sz w:val="21"/>
          <w:szCs w:val="16"/>
        </w:rPr>
        <w:t>Ir</w:t>
      </w:r>
      <w:r w:rsidRPr="00B12FE0">
        <w:rPr>
          <w:b/>
          <w:color w:val="000000" w:themeColor="text1"/>
          <w:sz w:val="21"/>
          <w:szCs w:val="16"/>
        </w:rPr>
        <w:t>的技术参数</w:t>
      </w:r>
    </w:p>
    <w:tbl>
      <w:tblPr>
        <w:tblStyle w:val="affff"/>
        <w:tblW w:w="5000" w:type="pct"/>
        <w:jc w:val="center"/>
        <w:tblCellMar>
          <w:left w:w="57" w:type="dxa"/>
          <w:right w:w="57" w:type="dxa"/>
        </w:tblCellMar>
        <w:tblLook w:val="04A0" w:firstRow="1" w:lastRow="0" w:firstColumn="1" w:lastColumn="0" w:noHBand="0" w:noVBand="1"/>
      </w:tblPr>
      <w:tblGrid>
        <w:gridCol w:w="1321"/>
        <w:gridCol w:w="1708"/>
        <w:gridCol w:w="2352"/>
        <w:gridCol w:w="3636"/>
      </w:tblGrid>
      <w:tr w:rsidR="00A67F21" w:rsidRPr="00B12FE0" w14:paraId="05908745" w14:textId="77777777">
        <w:trPr>
          <w:trHeight w:val="340"/>
          <w:jc w:val="center"/>
        </w:trPr>
        <w:tc>
          <w:tcPr>
            <w:tcW w:w="733" w:type="pct"/>
            <w:tcBorders>
              <w:top w:val="single" w:sz="4" w:space="0" w:color="auto"/>
              <w:left w:val="single" w:sz="4" w:space="0" w:color="auto"/>
              <w:bottom w:val="single" w:sz="4" w:space="0" w:color="auto"/>
              <w:right w:val="single" w:sz="4" w:space="0" w:color="auto"/>
            </w:tcBorders>
            <w:vAlign w:val="center"/>
          </w:tcPr>
          <w:p w14:paraId="2544751B"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核素</w:t>
            </w:r>
          </w:p>
        </w:tc>
        <w:tc>
          <w:tcPr>
            <w:tcW w:w="947" w:type="pct"/>
            <w:tcBorders>
              <w:top w:val="single" w:sz="4" w:space="0" w:color="auto"/>
              <w:left w:val="single" w:sz="4" w:space="0" w:color="auto"/>
              <w:bottom w:val="single" w:sz="4" w:space="0" w:color="auto"/>
              <w:right w:val="single" w:sz="4" w:space="0" w:color="auto"/>
            </w:tcBorders>
            <w:vAlign w:val="center"/>
          </w:tcPr>
          <w:p w14:paraId="4E4D4A06"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活度（</w:t>
            </w:r>
            <w:r w:rsidRPr="00B12FE0">
              <w:rPr>
                <w:color w:val="000000" w:themeColor="text1"/>
                <w:sz w:val="21"/>
                <w:szCs w:val="18"/>
              </w:rPr>
              <w:t>Bq</w:t>
            </w:r>
            <w:r w:rsidRPr="00B12FE0">
              <w:rPr>
                <w:color w:val="000000" w:themeColor="text1"/>
                <w:sz w:val="21"/>
                <w:szCs w:val="18"/>
              </w:rPr>
              <w:t>）</w:t>
            </w:r>
          </w:p>
        </w:tc>
        <w:tc>
          <w:tcPr>
            <w:tcW w:w="1304" w:type="pct"/>
            <w:tcBorders>
              <w:top w:val="single" w:sz="4" w:space="0" w:color="auto"/>
              <w:left w:val="single" w:sz="4" w:space="0" w:color="auto"/>
              <w:bottom w:val="single" w:sz="4" w:space="0" w:color="auto"/>
              <w:right w:val="single" w:sz="4" w:space="0" w:color="auto"/>
            </w:tcBorders>
            <w:vAlign w:val="center"/>
          </w:tcPr>
          <w:p w14:paraId="061DB162"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γ</w:t>
            </w:r>
            <w:r w:rsidRPr="00B12FE0">
              <w:rPr>
                <w:color w:val="000000" w:themeColor="text1"/>
                <w:sz w:val="21"/>
                <w:szCs w:val="18"/>
              </w:rPr>
              <w:t>射线能量均值</w:t>
            </w:r>
          </w:p>
        </w:tc>
        <w:tc>
          <w:tcPr>
            <w:tcW w:w="2016" w:type="pct"/>
            <w:tcBorders>
              <w:top w:val="single" w:sz="4" w:space="0" w:color="auto"/>
              <w:left w:val="single" w:sz="4" w:space="0" w:color="auto"/>
              <w:bottom w:val="single" w:sz="4" w:space="0" w:color="auto"/>
              <w:right w:val="single" w:sz="4" w:space="0" w:color="auto"/>
            </w:tcBorders>
            <w:vAlign w:val="center"/>
          </w:tcPr>
          <w:p w14:paraId="3C2AB0FA" w14:textId="77777777" w:rsidR="00A67F21" w:rsidRPr="00B12FE0" w:rsidRDefault="00000000">
            <w:pPr>
              <w:adjustRightInd w:val="0"/>
              <w:snapToGrid w:val="0"/>
              <w:jc w:val="center"/>
              <w:rPr>
                <w:i/>
                <w:color w:val="000000" w:themeColor="text1"/>
                <w:sz w:val="21"/>
                <w:szCs w:val="18"/>
                <w:vertAlign w:val="subscript"/>
              </w:rPr>
            </w:pPr>
            <w:proofErr w:type="gramStart"/>
            <w:r w:rsidRPr="00B12FE0">
              <w:rPr>
                <w:color w:val="000000" w:themeColor="text1"/>
                <w:sz w:val="21"/>
                <w:szCs w:val="18"/>
              </w:rPr>
              <w:t>空气比释动能</w:t>
            </w:r>
            <w:proofErr w:type="gramEnd"/>
            <w:r w:rsidRPr="00B12FE0">
              <w:rPr>
                <w:color w:val="000000" w:themeColor="text1"/>
                <w:sz w:val="21"/>
                <w:szCs w:val="18"/>
              </w:rPr>
              <w:t>率常数</w:t>
            </w:r>
            <w:r w:rsidRPr="00B12FE0">
              <w:rPr>
                <w:i/>
                <w:color w:val="000000" w:themeColor="text1"/>
                <w:sz w:val="21"/>
                <w:szCs w:val="18"/>
              </w:rPr>
              <w:t>K</w:t>
            </w:r>
            <w:r w:rsidRPr="00B12FE0">
              <w:rPr>
                <w:i/>
                <w:color w:val="000000" w:themeColor="text1"/>
                <w:sz w:val="21"/>
                <w:szCs w:val="18"/>
                <w:vertAlign w:val="subscript"/>
              </w:rPr>
              <w:t>r</w:t>
            </w:r>
          </w:p>
          <w:p w14:paraId="4CD43F63"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µS</w:t>
            </w:r>
            <w:r w:rsidRPr="00B12FE0">
              <w:rPr>
                <w:rFonts w:hint="eastAsia"/>
                <w:color w:val="000000" w:themeColor="text1"/>
                <w:sz w:val="21"/>
                <w:szCs w:val="18"/>
              </w:rPr>
              <w:t>v</w:t>
            </w:r>
            <w:r w:rsidRPr="00B12FE0">
              <w:rPr>
                <w:color w:val="000000" w:themeColor="text1"/>
                <w:sz w:val="21"/>
                <w:szCs w:val="18"/>
              </w:rPr>
              <w:t>/(</w:t>
            </w:r>
            <w:proofErr w:type="spellStart"/>
            <w:proofErr w:type="gramStart"/>
            <w:r w:rsidRPr="00B12FE0">
              <w:rPr>
                <w:color w:val="000000" w:themeColor="text1"/>
                <w:sz w:val="21"/>
                <w:szCs w:val="18"/>
              </w:rPr>
              <w:t>h.MBq</w:t>
            </w:r>
            <w:proofErr w:type="spellEnd"/>
            <w:proofErr w:type="gramEnd"/>
            <w:r w:rsidRPr="00B12FE0">
              <w:rPr>
                <w:color w:val="000000" w:themeColor="text1"/>
                <w:sz w:val="21"/>
                <w:szCs w:val="18"/>
              </w:rPr>
              <w:t>)</w:t>
            </w:r>
          </w:p>
        </w:tc>
      </w:tr>
      <w:tr w:rsidR="00A67F21" w:rsidRPr="00B12FE0" w14:paraId="3882E620" w14:textId="77777777">
        <w:trPr>
          <w:trHeight w:val="340"/>
          <w:jc w:val="center"/>
        </w:trPr>
        <w:tc>
          <w:tcPr>
            <w:tcW w:w="733" w:type="pct"/>
            <w:tcBorders>
              <w:top w:val="single" w:sz="4" w:space="0" w:color="auto"/>
              <w:left w:val="single" w:sz="4" w:space="0" w:color="auto"/>
              <w:bottom w:val="single" w:sz="4" w:space="0" w:color="auto"/>
              <w:right w:val="single" w:sz="4" w:space="0" w:color="auto"/>
            </w:tcBorders>
            <w:vAlign w:val="center"/>
          </w:tcPr>
          <w:p w14:paraId="14A20E6D"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vertAlign w:val="superscript"/>
              </w:rPr>
              <w:t>192</w:t>
            </w:r>
            <w:r w:rsidRPr="00B12FE0">
              <w:rPr>
                <w:color w:val="000000" w:themeColor="text1"/>
                <w:sz w:val="21"/>
                <w:szCs w:val="18"/>
              </w:rPr>
              <w:t>Ir</w:t>
            </w:r>
          </w:p>
        </w:tc>
        <w:tc>
          <w:tcPr>
            <w:tcW w:w="947" w:type="pct"/>
            <w:tcBorders>
              <w:top w:val="single" w:sz="4" w:space="0" w:color="auto"/>
              <w:left w:val="single" w:sz="4" w:space="0" w:color="auto"/>
              <w:bottom w:val="single" w:sz="4" w:space="0" w:color="auto"/>
              <w:right w:val="single" w:sz="4" w:space="0" w:color="auto"/>
            </w:tcBorders>
            <w:vAlign w:val="center"/>
          </w:tcPr>
          <w:p w14:paraId="28103375"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3.7×10</w:t>
            </w:r>
            <w:r w:rsidRPr="00B12FE0">
              <w:rPr>
                <w:color w:val="000000" w:themeColor="text1"/>
                <w:sz w:val="21"/>
                <w:szCs w:val="18"/>
                <w:vertAlign w:val="superscript"/>
              </w:rPr>
              <w:t>11</w:t>
            </w:r>
          </w:p>
        </w:tc>
        <w:tc>
          <w:tcPr>
            <w:tcW w:w="1304" w:type="pct"/>
            <w:tcBorders>
              <w:top w:val="single" w:sz="4" w:space="0" w:color="auto"/>
              <w:left w:val="single" w:sz="4" w:space="0" w:color="auto"/>
              <w:bottom w:val="single" w:sz="4" w:space="0" w:color="auto"/>
              <w:right w:val="single" w:sz="4" w:space="0" w:color="auto"/>
            </w:tcBorders>
            <w:vAlign w:val="center"/>
          </w:tcPr>
          <w:p w14:paraId="1092CA67"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0.37MeV</w:t>
            </w:r>
          </w:p>
        </w:tc>
        <w:tc>
          <w:tcPr>
            <w:tcW w:w="2016" w:type="pct"/>
            <w:tcBorders>
              <w:top w:val="single" w:sz="4" w:space="0" w:color="auto"/>
              <w:left w:val="single" w:sz="4" w:space="0" w:color="auto"/>
              <w:bottom w:val="single" w:sz="4" w:space="0" w:color="auto"/>
              <w:right w:val="single" w:sz="4" w:space="0" w:color="auto"/>
            </w:tcBorders>
            <w:vAlign w:val="center"/>
          </w:tcPr>
          <w:p w14:paraId="6A6B7C0D" w14:textId="77777777" w:rsidR="00A67F21" w:rsidRPr="00B12FE0" w:rsidRDefault="00000000">
            <w:pPr>
              <w:adjustRightInd w:val="0"/>
              <w:jc w:val="center"/>
              <w:rPr>
                <w:color w:val="000000" w:themeColor="text1"/>
                <w:sz w:val="21"/>
                <w:szCs w:val="18"/>
              </w:rPr>
            </w:pPr>
            <w:r w:rsidRPr="00B12FE0">
              <w:rPr>
                <w:color w:val="000000" w:themeColor="text1"/>
                <w:sz w:val="21"/>
                <w:szCs w:val="18"/>
              </w:rPr>
              <w:t>0.111</w:t>
            </w:r>
          </w:p>
        </w:tc>
      </w:tr>
    </w:tbl>
    <w:p w14:paraId="10C32694" w14:textId="77777777" w:rsidR="00A67F21" w:rsidRPr="00B12FE0" w:rsidRDefault="00000000">
      <w:pPr>
        <w:autoSpaceDE w:val="0"/>
        <w:snapToGrid w:val="0"/>
        <w:spacing w:line="360" w:lineRule="auto"/>
        <w:ind w:firstLineChars="200" w:firstLine="482"/>
        <w:contextualSpacing/>
        <w:rPr>
          <w:rFonts w:cs="宋体"/>
          <w:b/>
          <w:bCs/>
          <w:color w:val="000000" w:themeColor="text1"/>
        </w:rPr>
      </w:pPr>
      <w:r w:rsidRPr="00B12FE0">
        <w:rPr>
          <w:rFonts w:cs="宋体" w:hint="eastAsia"/>
          <w:b/>
          <w:bCs/>
          <w:color w:val="000000" w:themeColor="text1"/>
        </w:rPr>
        <w:t>（</w:t>
      </w:r>
      <w:r w:rsidRPr="00B12FE0">
        <w:rPr>
          <w:rFonts w:cs="宋体"/>
          <w:b/>
          <w:bCs/>
          <w:color w:val="000000" w:themeColor="text1"/>
        </w:rPr>
        <w:t>3</w:t>
      </w:r>
      <w:r w:rsidRPr="00B12FE0">
        <w:rPr>
          <w:rFonts w:cs="宋体" w:hint="eastAsia"/>
          <w:b/>
          <w:bCs/>
          <w:color w:val="000000" w:themeColor="text1"/>
        </w:rPr>
        <w:t>）关注点选取</w:t>
      </w:r>
    </w:p>
    <w:p w14:paraId="29ABC426" w14:textId="77777777" w:rsidR="00A67F21" w:rsidRPr="00B12FE0" w:rsidRDefault="00000000">
      <w:pPr>
        <w:adjustRightInd w:val="0"/>
        <w:spacing w:line="360" w:lineRule="auto"/>
        <w:ind w:firstLine="480"/>
        <w:rPr>
          <w:iCs/>
          <w:color w:val="000000" w:themeColor="text1"/>
          <w:szCs w:val="28"/>
        </w:rPr>
      </w:pPr>
      <w:r w:rsidRPr="00B12FE0">
        <w:rPr>
          <w:iCs/>
          <w:color w:val="000000" w:themeColor="text1"/>
          <w:szCs w:val="28"/>
        </w:rPr>
        <w:t>后装机</w:t>
      </w:r>
      <w:r w:rsidRPr="00B12FE0">
        <w:rPr>
          <w:iCs/>
          <w:color w:val="000000" w:themeColor="text1"/>
          <w:szCs w:val="28"/>
        </w:rPr>
        <w:t>γ</w:t>
      </w:r>
      <w:r w:rsidRPr="00B12FE0">
        <w:rPr>
          <w:iCs/>
          <w:color w:val="000000" w:themeColor="text1"/>
          <w:szCs w:val="28"/>
        </w:rPr>
        <w:t>辐射强度可认为是各向同性</w:t>
      </w:r>
      <w:r w:rsidRPr="00B12FE0">
        <w:rPr>
          <w:rFonts w:hint="eastAsia"/>
          <w:iCs/>
          <w:color w:val="000000" w:themeColor="text1"/>
          <w:szCs w:val="28"/>
        </w:rPr>
        <w:t>照射</w:t>
      </w:r>
      <w:r w:rsidRPr="00B12FE0">
        <w:rPr>
          <w:iCs/>
          <w:color w:val="000000" w:themeColor="text1"/>
          <w:szCs w:val="28"/>
        </w:rPr>
        <w:t>，后装机</w:t>
      </w:r>
      <w:r w:rsidRPr="00B12FE0">
        <w:rPr>
          <w:rFonts w:hint="eastAsia"/>
          <w:iCs/>
          <w:color w:val="000000" w:themeColor="text1"/>
          <w:szCs w:val="28"/>
        </w:rPr>
        <w:t>机房</w:t>
      </w:r>
      <w:r w:rsidRPr="00B12FE0">
        <w:rPr>
          <w:iCs/>
          <w:color w:val="000000" w:themeColor="text1"/>
          <w:szCs w:val="28"/>
        </w:rPr>
        <w:t>应考虑放射源发射的</w:t>
      </w:r>
      <w:r w:rsidRPr="00B12FE0">
        <w:rPr>
          <w:iCs/>
          <w:color w:val="000000" w:themeColor="text1"/>
          <w:szCs w:val="28"/>
        </w:rPr>
        <w:t>γ</w:t>
      </w:r>
      <w:r w:rsidRPr="00B12FE0">
        <w:rPr>
          <w:iCs/>
          <w:color w:val="000000" w:themeColor="text1"/>
          <w:szCs w:val="28"/>
        </w:rPr>
        <w:t>射线初级辐射对墙和顶棚的直接照射及其散射辐射在机房入口处的照射。</w:t>
      </w:r>
    </w:p>
    <w:p w14:paraId="3D90AB1D" w14:textId="77777777" w:rsidR="00A67F21" w:rsidRPr="00B12FE0" w:rsidRDefault="00000000">
      <w:pPr>
        <w:adjustRightInd w:val="0"/>
        <w:spacing w:line="360" w:lineRule="auto"/>
        <w:ind w:firstLine="480"/>
        <w:rPr>
          <w:rFonts w:cs="宋体"/>
          <w:color w:val="000000" w:themeColor="text1"/>
        </w:rPr>
      </w:pPr>
      <w:r w:rsidRPr="00B12FE0">
        <w:rPr>
          <w:color w:val="000000" w:themeColor="text1"/>
        </w:rPr>
        <w:t>以机房外</w:t>
      </w:r>
      <w:r w:rsidRPr="00B12FE0">
        <w:rPr>
          <w:color w:val="000000" w:themeColor="text1"/>
        </w:rPr>
        <w:t>30cm</w:t>
      </w:r>
      <w:r w:rsidRPr="00B12FE0">
        <w:rPr>
          <w:color w:val="000000" w:themeColor="text1"/>
        </w:rPr>
        <w:t>处作为评价关注点，由于后装机可能的使用位置是不固定的，在治疗机房内一定范围内使用。因此，为保守计算，假定使用区域为距离各墙体内壁</w:t>
      </w:r>
      <w:r w:rsidRPr="00B12FE0">
        <w:rPr>
          <w:color w:val="000000" w:themeColor="text1"/>
        </w:rPr>
        <w:t>1m</w:t>
      </w:r>
      <w:r w:rsidRPr="00B12FE0">
        <w:rPr>
          <w:color w:val="000000" w:themeColor="text1"/>
        </w:rPr>
        <w:t>的矩形区域内（详见图</w:t>
      </w:r>
      <w:r w:rsidRPr="00B12FE0">
        <w:rPr>
          <w:rFonts w:cs="宋体"/>
          <w:color w:val="000000" w:themeColor="text1"/>
        </w:rPr>
        <w:t>11.2.2.2-1</w:t>
      </w:r>
      <w:r w:rsidRPr="00B12FE0">
        <w:rPr>
          <w:color w:val="000000" w:themeColor="text1"/>
        </w:rPr>
        <w:t>中的</w:t>
      </w:r>
      <w:r w:rsidRPr="00B12FE0">
        <w:rPr>
          <w:rFonts w:hint="eastAsia"/>
          <w:color w:val="000000" w:themeColor="text1"/>
        </w:rPr>
        <w:t>矩形</w:t>
      </w:r>
      <w:r w:rsidRPr="00B12FE0">
        <w:rPr>
          <w:color w:val="000000" w:themeColor="text1"/>
        </w:rPr>
        <w:t>区域）。根据后装机机房的平面布置图，得出放射源到</w:t>
      </w:r>
      <w:proofErr w:type="gramStart"/>
      <w:r w:rsidRPr="00B12FE0">
        <w:rPr>
          <w:color w:val="000000" w:themeColor="text1"/>
        </w:rPr>
        <w:t>各关注</w:t>
      </w:r>
      <w:proofErr w:type="gramEnd"/>
      <w:r w:rsidRPr="00B12FE0">
        <w:rPr>
          <w:color w:val="000000" w:themeColor="text1"/>
        </w:rPr>
        <w:t>点的距离</w:t>
      </w:r>
      <w:r w:rsidRPr="00B12FE0">
        <w:rPr>
          <w:i/>
          <w:color w:val="000000" w:themeColor="text1"/>
        </w:rPr>
        <w:t>R</w:t>
      </w:r>
      <w:r w:rsidRPr="00B12FE0">
        <w:rPr>
          <w:color w:val="000000" w:themeColor="text1"/>
        </w:rPr>
        <w:t>。</w:t>
      </w:r>
      <w:r w:rsidRPr="00B12FE0">
        <w:rPr>
          <w:rFonts w:cs="宋体" w:hint="eastAsia"/>
          <w:color w:val="000000" w:themeColor="text1"/>
        </w:rPr>
        <w:t>关注点选取详见图</w:t>
      </w:r>
      <w:r w:rsidRPr="00B12FE0">
        <w:rPr>
          <w:rFonts w:cs="宋体"/>
          <w:color w:val="000000" w:themeColor="text1"/>
        </w:rPr>
        <w:t>11.2.2.2-1</w:t>
      </w:r>
      <w:r w:rsidRPr="00B12FE0">
        <w:rPr>
          <w:rFonts w:cs="宋体" w:hint="eastAsia"/>
          <w:color w:val="000000" w:themeColor="text1"/>
        </w:rPr>
        <w:t>与图</w:t>
      </w:r>
      <w:r w:rsidRPr="00B12FE0">
        <w:rPr>
          <w:rFonts w:cs="宋体"/>
          <w:color w:val="000000" w:themeColor="text1"/>
        </w:rPr>
        <w:t>11.2.2.2-2</w:t>
      </w:r>
      <w:r w:rsidRPr="00B12FE0">
        <w:rPr>
          <w:rFonts w:cs="宋体" w:hint="eastAsia"/>
          <w:color w:val="000000" w:themeColor="text1"/>
        </w:rPr>
        <w:t>。</w:t>
      </w:r>
    </w:p>
    <w:p w14:paraId="7201520C" w14:textId="77777777" w:rsidR="00A67F21" w:rsidRPr="00B12FE0" w:rsidRDefault="00000000">
      <w:pPr>
        <w:snapToGrid w:val="0"/>
        <w:spacing w:line="360" w:lineRule="auto"/>
        <w:jc w:val="center"/>
        <w:rPr>
          <w:color w:val="000000" w:themeColor="text1"/>
        </w:rPr>
      </w:pPr>
      <w:r w:rsidRPr="00B12FE0">
        <w:rPr>
          <w:noProof/>
          <w:color w:val="000000" w:themeColor="text1"/>
        </w:rPr>
        <w:lastRenderedPageBreak/>
        <w:drawing>
          <wp:inline distT="0" distB="0" distL="0" distR="0" wp14:anchorId="717024E8" wp14:editId="7644CEF7">
            <wp:extent cx="3435985" cy="4573905"/>
            <wp:effectExtent l="0" t="0" r="0" b="0"/>
            <wp:docPr id="319383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83102" name="图片 1"/>
                    <pic:cNvPicPr>
                      <a:picLocks noChangeAspect="1"/>
                    </pic:cNvPicPr>
                  </pic:nvPicPr>
                  <pic:blipFill>
                    <a:blip r:embed="rId94"/>
                    <a:stretch>
                      <a:fillRect/>
                    </a:stretch>
                  </pic:blipFill>
                  <pic:spPr>
                    <a:xfrm>
                      <a:off x="0" y="0"/>
                      <a:ext cx="3441569" cy="4581261"/>
                    </a:xfrm>
                    <a:prstGeom prst="rect">
                      <a:avLst/>
                    </a:prstGeom>
                  </pic:spPr>
                </pic:pic>
              </a:graphicData>
            </a:graphic>
          </wp:inline>
        </w:drawing>
      </w:r>
    </w:p>
    <w:p w14:paraId="37B58062" w14:textId="77777777" w:rsidR="00A67F21" w:rsidRPr="00B12FE0" w:rsidRDefault="00000000">
      <w:pPr>
        <w:snapToGrid w:val="0"/>
        <w:spacing w:line="360" w:lineRule="auto"/>
        <w:jc w:val="center"/>
        <w:rPr>
          <w:rFonts w:cs="宋体"/>
          <w:b/>
          <w:bCs/>
          <w:color w:val="000000" w:themeColor="text1"/>
          <w:sz w:val="21"/>
          <w:szCs w:val="18"/>
        </w:rPr>
      </w:pPr>
      <w:r w:rsidRPr="00B12FE0">
        <w:rPr>
          <w:rFonts w:cs="宋体"/>
          <w:b/>
          <w:bCs/>
          <w:color w:val="000000" w:themeColor="text1"/>
          <w:sz w:val="21"/>
          <w:szCs w:val="18"/>
        </w:rPr>
        <w:t>图</w:t>
      </w:r>
      <w:r w:rsidRPr="00B12FE0">
        <w:rPr>
          <w:rFonts w:cs="宋体"/>
          <w:b/>
          <w:bCs/>
          <w:color w:val="000000" w:themeColor="text1"/>
          <w:sz w:val="21"/>
          <w:szCs w:val="18"/>
        </w:rPr>
        <w:t>11.2.2.2</w:t>
      </w:r>
      <w:r w:rsidRPr="00B12FE0">
        <w:rPr>
          <w:rFonts w:cs="宋体" w:hint="eastAsia"/>
          <w:b/>
          <w:bCs/>
          <w:color w:val="000000" w:themeColor="text1"/>
          <w:sz w:val="21"/>
          <w:szCs w:val="18"/>
        </w:rPr>
        <w:t>-</w:t>
      </w:r>
      <w:r w:rsidRPr="00B12FE0">
        <w:rPr>
          <w:rFonts w:cs="宋体"/>
          <w:b/>
          <w:bCs/>
          <w:color w:val="000000" w:themeColor="text1"/>
          <w:sz w:val="21"/>
          <w:szCs w:val="18"/>
        </w:rPr>
        <w:t xml:space="preserve">1  </w:t>
      </w:r>
      <w:r w:rsidRPr="00B12FE0">
        <w:rPr>
          <w:rFonts w:cs="宋体" w:hint="eastAsia"/>
          <w:b/>
          <w:bCs/>
          <w:color w:val="000000" w:themeColor="text1"/>
          <w:sz w:val="21"/>
          <w:szCs w:val="18"/>
        </w:rPr>
        <w:t>后装机</w:t>
      </w:r>
      <w:r w:rsidRPr="00B12FE0">
        <w:rPr>
          <w:rFonts w:cs="宋体"/>
          <w:b/>
          <w:bCs/>
          <w:color w:val="000000" w:themeColor="text1"/>
          <w:sz w:val="21"/>
          <w:szCs w:val="18"/>
        </w:rPr>
        <w:t>机房平面布置图</w:t>
      </w:r>
      <w:r w:rsidRPr="00B12FE0">
        <w:rPr>
          <w:rFonts w:cs="宋体" w:hint="eastAsia"/>
          <w:b/>
          <w:bCs/>
          <w:color w:val="000000" w:themeColor="text1"/>
          <w:sz w:val="21"/>
          <w:szCs w:val="18"/>
        </w:rPr>
        <w:t>（单位</w:t>
      </w:r>
      <w:r w:rsidRPr="00B12FE0">
        <w:rPr>
          <w:rFonts w:cs="宋体" w:hint="eastAsia"/>
          <w:b/>
          <w:bCs/>
          <w:color w:val="000000" w:themeColor="text1"/>
          <w:sz w:val="21"/>
          <w:szCs w:val="18"/>
        </w:rPr>
        <w:t>m</w:t>
      </w:r>
      <w:r w:rsidRPr="00B12FE0">
        <w:rPr>
          <w:rFonts w:cs="宋体" w:hint="eastAsia"/>
          <w:b/>
          <w:bCs/>
          <w:color w:val="000000" w:themeColor="text1"/>
          <w:sz w:val="21"/>
          <w:szCs w:val="18"/>
        </w:rPr>
        <w:t>）</w:t>
      </w:r>
    </w:p>
    <w:p w14:paraId="490B0A57" w14:textId="77777777" w:rsidR="00A67F21" w:rsidRPr="00B12FE0" w:rsidRDefault="00000000">
      <w:pPr>
        <w:snapToGrid w:val="0"/>
        <w:spacing w:line="360" w:lineRule="auto"/>
        <w:contextualSpacing/>
        <w:jc w:val="center"/>
        <w:rPr>
          <w:color w:val="000000" w:themeColor="text1"/>
        </w:rPr>
      </w:pPr>
      <w:r w:rsidRPr="00B12FE0">
        <w:rPr>
          <w:noProof/>
          <w:color w:val="000000" w:themeColor="text1"/>
        </w:rPr>
        <w:drawing>
          <wp:inline distT="0" distB="0" distL="0" distR="0" wp14:anchorId="48C4CF25" wp14:editId="414B8A32">
            <wp:extent cx="3233420" cy="2494280"/>
            <wp:effectExtent l="0" t="0" r="5080" b="1270"/>
            <wp:docPr id="1074657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57202" name="图片 1"/>
                    <pic:cNvPicPr>
                      <a:picLocks noChangeAspect="1"/>
                    </pic:cNvPicPr>
                  </pic:nvPicPr>
                  <pic:blipFill>
                    <a:blip r:embed="rId95"/>
                    <a:stretch>
                      <a:fillRect/>
                    </a:stretch>
                  </pic:blipFill>
                  <pic:spPr>
                    <a:xfrm>
                      <a:off x="0" y="0"/>
                      <a:ext cx="3238812" cy="2498983"/>
                    </a:xfrm>
                    <a:prstGeom prst="rect">
                      <a:avLst/>
                    </a:prstGeom>
                  </pic:spPr>
                </pic:pic>
              </a:graphicData>
            </a:graphic>
          </wp:inline>
        </w:drawing>
      </w:r>
    </w:p>
    <w:p w14:paraId="4798842C" w14:textId="77777777" w:rsidR="00A67F21" w:rsidRPr="00B12FE0" w:rsidRDefault="00000000">
      <w:pPr>
        <w:snapToGrid w:val="0"/>
        <w:spacing w:line="360" w:lineRule="auto"/>
        <w:contextualSpacing/>
        <w:jc w:val="center"/>
        <w:rPr>
          <w:rFonts w:cs="宋体"/>
          <w:b/>
          <w:bCs/>
          <w:color w:val="000000" w:themeColor="text1"/>
          <w:sz w:val="21"/>
          <w:szCs w:val="16"/>
        </w:rPr>
      </w:pPr>
      <w:r w:rsidRPr="00B12FE0">
        <w:rPr>
          <w:rFonts w:cs="宋体"/>
          <w:b/>
          <w:bCs/>
          <w:color w:val="000000" w:themeColor="text1"/>
          <w:sz w:val="21"/>
          <w:szCs w:val="18"/>
        </w:rPr>
        <w:t>图</w:t>
      </w:r>
      <w:r w:rsidRPr="00B12FE0">
        <w:rPr>
          <w:rFonts w:cs="宋体"/>
          <w:b/>
          <w:bCs/>
          <w:color w:val="000000" w:themeColor="text1"/>
          <w:sz w:val="21"/>
          <w:szCs w:val="18"/>
        </w:rPr>
        <w:t>11.2.2.2</w:t>
      </w:r>
      <w:r w:rsidRPr="00B12FE0">
        <w:rPr>
          <w:rFonts w:cs="宋体" w:hint="eastAsia"/>
          <w:b/>
          <w:bCs/>
          <w:color w:val="000000" w:themeColor="text1"/>
          <w:sz w:val="21"/>
          <w:szCs w:val="18"/>
        </w:rPr>
        <w:t>-</w:t>
      </w:r>
      <w:r w:rsidRPr="00B12FE0">
        <w:rPr>
          <w:rFonts w:cs="宋体"/>
          <w:b/>
          <w:bCs/>
          <w:color w:val="000000" w:themeColor="text1"/>
          <w:sz w:val="21"/>
          <w:szCs w:val="18"/>
        </w:rPr>
        <w:t xml:space="preserve">2  </w:t>
      </w:r>
      <w:r w:rsidRPr="00B12FE0">
        <w:rPr>
          <w:rFonts w:cs="宋体" w:hint="eastAsia"/>
          <w:b/>
          <w:bCs/>
          <w:color w:val="000000" w:themeColor="text1"/>
          <w:sz w:val="21"/>
          <w:szCs w:val="18"/>
        </w:rPr>
        <w:t>后装机</w:t>
      </w:r>
      <w:r w:rsidRPr="00B12FE0">
        <w:rPr>
          <w:rFonts w:cs="宋体"/>
          <w:b/>
          <w:bCs/>
          <w:color w:val="000000" w:themeColor="text1"/>
          <w:sz w:val="21"/>
          <w:szCs w:val="18"/>
        </w:rPr>
        <w:t>机房剖面图</w:t>
      </w:r>
      <w:r w:rsidRPr="00B12FE0">
        <w:rPr>
          <w:rFonts w:cs="宋体" w:hint="eastAsia"/>
          <w:b/>
          <w:bCs/>
          <w:color w:val="000000" w:themeColor="text1"/>
          <w:sz w:val="21"/>
          <w:szCs w:val="18"/>
        </w:rPr>
        <w:t>（单位</w:t>
      </w:r>
      <w:r w:rsidRPr="00B12FE0">
        <w:rPr>
          <w:rFonts w:cs="宋体" w:hint="eastAsia"/>
          <w:b/>
          <w:bCs/>
          <w:color w:val="000000" w:themeColor="text1"/>
          <w:sz w:val="21"/>
          <w:szCs w:val="18"/>
        </w:rPr>
        <w:t>m</w:t>
      </w:r>
      <w:r w:rsidRPr="00B12FE0">
        <w:rPr>
          <w:rFonts w:cs="宋体" w:hint="eastAsia"/>
          <w:b/>
          <w:bCs/>
          <w:color w:val="000000" w:themeColor="text1"/>
          <w:sz w:val="21"/>
          <w:szCs w:val="18"/>
        </w:rPr>
        <w:t>）</w:t>
      </w:r>
    </w:p>
    <w:p w14:paraId="41135A49" w14:textId="77777777" w:rsidR="00A67F21" w:rsidRPr="00B12FE0" w:rsidRDefault="00000000">
      <w:pPr>
        <w:adjustRightInd w:val="0"/>
        <w:spacing w:beforeLines="50" w:before="120" w:line="360" w:lineRule="auto"/>
        <w:ind w:firstLine="480"/>
        <w:jc w:val="left"/>
        <w:rPr>
          <w:b/>
          <w:bCs/>
          <w:color w:val="000000" w:themeColor="text1"/>
        </w:rPr>
      </w:pPr>
      <w:r w:rsidRPr="00B12FE0">
        <w:rPr>
          <w:rFonts w:hint="eastAsia"/>
          <w:b/>
          <w:bCs/>
          <w:color w:val="000000" w:themeColor="text1"/>
        </w:rPr>
        <w:t>（</w:t>
      </w:r>
      <w:r w:rsidRPr="00B12FE0">
        <w:rPr>
          <w:b/>
          <w:bCs/>
          <w:color w:val="000000" w:themeColor="text1"/>
        </w:rPr>
        <w:t>4</w:t>
      </w:r>
      <w:r w:rsidRPr="00B12FE0">
        <w:rPr>
          <w:rFonts w:hint="eastAsia"/>
          <w:b/>
          <w:bCs/>
          <w:color w:val="000000" w:themeColor="text1"/>
        </w:rPr>
        <w:t>）</w:t>
      </w:r>
      <w:r w:rsidRPr="00B12FE0">
        <w:rPr>
          <w:b/>
          <w:bCs/>
          <w:color w:val="000000" w:themeColor="text1"/>
        </w:rPr>
        <w:t>初级辐射的影响预测</w:t>
      </w:r>
    </w:p>
    <w:p w14:paraId="1E7B753E" w14:textId="77777777" w:rsidR="00A67F21" w:rsidRPr="00B12FE0" w:rsidRDefault="00000000">
      <w:pPr>
        <w:adjustRightInd w:val="0"/>
        <w:spacing w:line="360" w:lineRule="auto"/>
        <w:ind w:firstLine="480"/>
        <w:jc w:val="left"/>
        <w:rPr>
          <w:color w:val="000000" w:themeColor="text1"/>
        </w:rPr>
      </w:pPr>
      <w:r w:rsidRPr="00B12FE0">
        <w:rPr>
          <w:color w:val="000000" w:themeColor="text1"/>
        </w:rPr>
        <w:t>根据拟建后装机的技术参数和治疗机房的设计方案，参考《放射治疗机房的辐射屏蔽规范第</w:t>
      </w:r>
      <w:r w:rsidRPr="00B12FE0">
        <w:rPr>
          <w:color w:val="000000" w:themeColor="text1"/>
        </w:rPr>
        <w:t>3</w:t>
      </w:r>
      <w:r w:rsidRPr="00B12FE0">
        <w:rPr>
          <w:color w:val="000000" w:themeColor="text1"/>
        </w:rPr>
        <w:t>部分：</w:t>
      </w:r>
      <w:r w:rsidRPr="00B12FE0">
        <w:rPr>
          <w:color w:val="000000" w:themeColor="text1"/>
        </w:rPr>
        <w:t>γ</w:t>
      </w:r>
      <w:r w:rsidRPr="00B12FE0">
        <w:rPr>
          <w:color w:val="000000" w:themeColor="text1"/>
        </w:rPr>
        <w:t>射线源放射治疗机房》（</w:t>
      </w:r>
      <w:r w:rsidRPr="00B12FE0">
        <w:rPr>
          <w:color w:val="000000" w:themeColor="text1"/>
        </w:rPr>
        <w:t>GBZ/T201.3-2014</w:t>
      </w:r>
      <w:r w:rsidRPr="00B12FE0">
        <w:rPr>
          <w:color w:val="000000" w:themeColor="text1"/>
        </w:rPr>
        <w:t>）中使用的</w:t>
      </w:r>
      <w:proofErr w:type="gramStart"/>
      <w:r w:rsidRPr="00B12FE0">
        <w:rPr>
          <w:color w:val="000000" w:themeColor="text1"/>
        </w:rPr>
        <w:t>什值层</w:t>
      </w:r>
      <w:proofErr w:type="gramEnd"/>
      <w:r w:rsidRPr="00B12FE0">
        <w:rPr>
          <w:color w:val="000000" w:themeColor="text1"/>
        </w:rPr>
        <w:lastRenderedPageBreak/>
        <w:t>（</w:t>
      </w:r>
      <w:r w:rsidRPr="00B12FE0">
        <w:rPr>
          <w:i/>
          <w:color w:val="000000" w:themeColor="text1"/>
        </w:rPr>
        <w:t>TVL</w:t>
      </w:r>
      <w:r w:rsidRPr="00B12FE0">
        <w:rPr>
          <w:color w:val="000000" w:themeColor="text1"/>
        </w:rPr>
        <w:t>）计算方法，预测后装机最大装载放射源活度时，治疗机房外</w:t>
      </w:r>
      <w:proofErr w:type="gramStart"/>
      <w:r w:rsidRPr="00B12FE0">
        <w:rPr>
          <w:color w:val="000000" w:themeColor="text1"/>
        </w:rPr>
        <w:t>各关注</w:t>
      </w:r>
      <w:proofErr w:type="gramEnd"/>
      <w:r w:rsidRPr="00B12FE0">
        <w:rPr>
          <w:color w:val="000000" w:themeColor="text1"/>
        </w:rPr>
        <w:t>点的辐射剂量率水平。</w:t>
      </w:r>
    </w:p>
    <w:p w14:paraId="014D9362" w14:textId="77777777" w:rsidR="00A67F21" w:rsidRPr="00B12FE0" w:rsidRDefault="00000000">
      <w:pPr>
        <w:adjustRightInd w:val="0"/>
        <w:spacing w:line="360" w:lineRule="auto"/>
        <w:ind w:firstLine="480"/>
        <w:jc w:val="left"/>
        <w:rPr>
          <w:color w:val="000000" w:themeColor="text1"/>
        </w:rPr>
      </w:pPr>
      <w:r w:rsidRPr="00B12FE0">
        <w:rPr>
          <w:color w:val="000000" w:themeColor="text1"/>
        </w:rPr>
        <w:t>首先根据公式</w:t>
      </w:r>
      <w:r w:rsidRPr="00B12FE0">
        <w:rPr>
          <w:rFonts w:cs="宋体"/>
          <w:color w:val="000000" w:themeColor="text1"/>
        </w:rPr>
        <w:t>11.2.2.2</w:t>
      </w:r>
      <w:r w:rsidRPr="00B12FE0">
        <w:rPr>
          <w:color w:val="000000" w:themeColor="text1"/>
        </w:rPr>
        <w:t>-</w:t>
      </w:r>
      <w:r w:rsidRPr="00B12FE0">
        <w:rPr>
          <w:rFonts w:hint="eastAsia"/>
          <w:color w:val="000000" w:themeColor="text1"/>
        </w:rPr>
        <w:t>1</w:t>
      </w:r>
      <w:r w:rsidRPr="00B12FE0">
        <w:rPr>
          <w:color w:val="000000" w:themeColor="text1"/>
        </w:rPr>
        <w:t>计算当</w:t>
      </w:r>
      <w:r w:rsidRPr="00B12FE0">
        <w:rPr>
          <w:color w:val="000000" w:themeColor="text1"/>
        </w:rPr>
        <w:t>X</w:t>
      </w:r>
      <w:r w:rsidRPr="00B12FE0">
        <w:rPr>
          <w:color w:val="000000" w:themeColor="text1"/>
        </w:rPr>
        <w:t>射线束以</w:t>
      </w:r>
      <w:r w:rsidRPr="00B12FE0">
        <w:rPr>
          <w:rFonts w:cs="宋体"/>
          <w:i/>
          <w:iCs/>
          <w:color w:val="000000" w:themeColor="text1"/>
          <w:szCs w:val="28"/>
        </w:rPr>
        <w:t>Ɵ</w:t>
      </w:r>
      <w:r w:rsidRPr="00B12FE0">
        <w:rPr>
          <w:color w:val="000000" w:themeColor="text1"/>
        </w:rPr>
        <w:t>角斜射入厚度为</w:t>
      </w:r>
      <w:r w:rsidRPr="00B12FE0">
        <w:rPr>
          <w:i/>
          <w:color w:val="000000" w:themeColor="text1"/>
        </w:rPr>
        <w:t>X</w:t>
      </w:r>
      <w:r w:rsidRPr="00B12FE0">
        <w:rPr>
          <w:color w:val="000000" w:themeColor="text1"/>
        </w:rPr>
        <w:t>（</w:t>
      </w:r>
      <w:r w:rsidRPr="00B12FE0">
        <w:rPr>
          <w:color w:val="000000" w:themeColor="text1"/>
        </w:rPr>
        <w:t>cm</w:t>
      </w:r>
      <w:r w:rsidRPr="00B12FE0">
        <w:rPr>
          <w:color w:val="000000" w:themeColor="text1"/>
        </w:rPr>
        <w:t>）的屏蔽物质时，射线束在斜射路径上的有效屏蔽厚度</w:t>
      </w:r>
      <w:r w:rsidRPr="00B12FE0">
        <w:rPr>
          <w:i/>
          <w:color w:val="000000" w:themeColor="text1"/>
        </w:rPr>
        <w:t>X</w:t>
      </w:r>
      <w:r w:rsidRPr="00B12FE0">
        <w:rPr>
          <w:i/>
          <w:color w:val="000000" w:themeColor="text1"/>
          <w:vertAlign w:val="subscript"/>
        </w:rPr>
        <w:t>e</w:t>
      </w:r>
      <w:r w:rsidRPr="00B12FE0">
        <w:rPr>
          <w:color w:val="000000" w:themeColor="text1"/>
        </w:rPr>
        <w:t>（</w:t>
      </w:r>
      <w:r w:rsidRPr="00B12FE0">
        <w:rPr>
          <w:color w:val="000000" w:themeColor="text1"/>
        </w:rPr>
        <w:t>cm</w:t>
      </w:r>
      <w:r w:rsidRPr="00B12FE0">
        <w:rPr>
          <w:color w:val="000000" w:themeColor="text1"/>
        </w:rPr>
        <w:t>）。</w:t>
      </w:r>
    </w:p>
    <w:p w14:paraId="181BD17F" w14:textId="77777777" w:rsidR="00A67F21" w:rsidRPr="00B12FE0" w:rsidRDefault="00000000">
      <w:pPr>
        <w:adjustRightInd w:val="0"/>
        <w:snapToGrid w:val="0"/>
        <w:spacing w:line="360" w:lineRule="auto"/>
        <w:ind w:firstLineChars="197" w:firstLine="473"/>
        <w:jc w:val="center"/>
        <w:rPr>
          <w:rFonts w:cs="宋体"/>
          <w:bCs/>
          <w:color w:val="000000" w:themeColor="text1"/>
        </w:rPr>
      </w:pPr>
      <m:oMath>
        <m:sSub>
          <m:sSubPr>
            <m:ctrlPr>
              <w:rPr>
                <w:rFonts w:ascii="Cambria Math" w:hAnsi="Cambria Math" w:cs="宋体"/>
                <w:i/>
                <w:color w:val="000000" w:themeColor="text1"/>
                <w:szCs w:val="28"/>
              </w:rPr>
            </m:ctrlPr>
          </m:sSubPr>
          <m:e>
            <m:r>
              <w:rPr>
                <w:rFonts w:ascii="Cambria Math" w:cs="宋体"/>
                <w:color w:val="000000" w:themeColor="text1"/>
                <w:szCs w:val="28"/>
              </w:rPr>
              <m:t>X</m:t>
            </m:r>
          </m:e>
          <m:sub>
            <m:r>
              <w:rPr>
                <w:rFonts w:ascii="Cambria Math" w:cs="宋体"/>
                <w:color w:val="000000" w:themeColor="text1"/>
                <w:szCs w:val="28"/>
              </w:rPr>
              <m:t>e</m:t>
            </m:r>
          </m:sub>
        </m:sSub>
        <m:r>
          <w:rPr>
            <w:rFonts w:ascii="Cambria Math" w:cs="宋体"/>
            <w:color w:val="000000" w:themeColor="text1"/>
            <w:szCs w:val="28"/>
          </w:rPr>
          <m:t>=X</m:t>
        </m:r>
        <m:func>
          <m:funcPr>
            <m:ctrlPr>
              <w:rPr>
                <w:rFonts w:ascii="Cambria Math" w:hAnsi="Cambria Math" w:cs="宋体"/>
                <w:i/>
                <w:color w:val="000000" w:themeColor="text1"/>
                <w:szCs w:val="28"/>
              </w:rPr>
            </m:ctrlPr>
          </m:funcPr>
          <m:fName>
            <m:r>
              <w:rPr>
                <w:rFonts w:ascii="Cambria Math" w:cs="宋体"/>
                <w:color w:val="000000" w:themeColor="text1"/>
                <w:szCs w:val="28"/>
              </w:rPr>
              <m:t>sec</m:t>
            </m:r>
          </m:fName>
          <m:e>
            <m:r>
              <w:rPr>
                <w:rFonts w:ascii="Cambria Math" w:cs="宋体"/>
                <w:color w:val="000000" w:themeColor="text1"/>
                <w:szCs w:val="28"/>
              </w:rPr>
              <m:t>θ</m:t>
            </m:r>
          </m:e>
        </m:func>
      </m:oMath>
      <w:r w:rsidRPr="00B12FE0">
        <w:rPr>
          <w:rFonts w:cs="宋体"/>
          <w:color w:val="000000" w:themeColor="text1"/>
        </w:rPr>
        <w:t>…………………………………</w:t>
      </w:r>
      <w:proofErr w:type="gramStart"/>
      <w:r w:rsidRPr="00B12FE0">
        <w:rPr>
          <w:rFonts w:cs="宋体"/>
          <w:color w:val="000000" w:themeColor="text1"/>
        </w:rPr>
        <w:t>…(</w:t>
      </w:r>
      <w:proofErr w:type="gramEnd"/>
      <w:r w:rsidRPr="00B12FE0">
        <w:rPr>
          <w:rFonts w:cs="宋体" w:hint="eastAsia"/>
          <w:color w:val="000000" w:themeColor="text1"/>
        </w:rPr>
        <w:t>式</w:t>
      </w:r>
      <w:r w:rsidRPr="00B12FE0">
        <w:rPr>
          <w:rFonts w:cs="宋体"/>
          <w:color w:val="000000" w:themeColor="text1"/>
        </w:rPr>
        <w:t>11.2.2.2-1)</w:t>
      </w:r>
    </w:p>
    <w:p w14:paraId="7E40C622"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color w:val="000000" w:themeColor="text1"/>
        </w:rPr>
        <w:t>式中：</w:t>
      </w:r>
    </w:p>
    <w:p w14:paraId="15FDF942"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i/>
          <w:color w:val="000000" w:themeColor="text1"/>
        </w:rPr>
        <w:t>X</w:t>
      </w:r>
      <w:r w:rsidRPr="00B12FE0">
        <w:rPr>
          <w:color w:val="000000" w:themeColor="text1"/>
          <w:szCs w:val="28"/>
        </w:rPr>
        <w:t>——</w:t>
      </w:r>
      <w:r w:rsidRPr="00B12FE0">
        <w:rPr>
          <w:rFonts w:cs="宋体" w:hint="eastAsia"/>
          <w:bCs/>
          <w:color w:val="000000" w:themeColor="text1"/>
        </w:rPr>
        <w:t>屏蔽物质厚度；</w:t>
      </w:r>
    </w:p>
    <w:p w14:paraId="4B500E40"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i/>
          <w:color w:val="000000" w:themeColor="text1"/>
        </w:rPr>
        <w:t>X</w:t>
      </w:r>
      <w:r w:rsidRPr="00B12FE0">
        <w:rPr>
          <w:rFonts w:cs="宋体" w:hint="eastAsia"/>
          <w:bCs/>
          <w:i/>
          <w:color w:val="000000" w:themeColor="text1"/>
          <w:vertAlign w:val="subscript"/>
        </w:rPr>
        <w:t>e</w:t>
      </w:r>
      <w:r w:rsidRPr="00B12FE0">
        <w:rPr>
          <w:color w:val="000000" w:themeColor="text1"/>
          <w:szCs w:val="28"/>
        </w:rPr>
        <w:t>——</w:t>
      </w:r>
      <w:r w:rsidRPr="00B12FE0">
        <w:rPr>
          <w:rFonts w:cs="宋体" w:hint="eastAsia"/>
          <w:bCs/>
          <w:color w:val="000000" w:themeColor="text1"/>
        </w:rPr>
        <w:t>有效屏蔽厚度；</w:t>
      </w:r>
    </w:p>
    <w:p w14:paraId="593F8CB5" w14:textId="77777777" w:rsidR="00A67F21" w:rsidRPr="00B12FE0" w:rsidRDefault="00000000">
      <w:pPr>
        <w:adjustRightInd w:val="0"/>
        <w:snapToGrid w:val="0"/>
        <w:spacing w:line="360" w:lineRule="auto"/>
        <w:ind w:firstLineChars="200" w:firstLine="480"/>
        <w:rPr>
          <w:rFonts w:cs="宋体"/>
          <w:iCs/>
          <w:color w:val="000000" w:themeColor="text1"/>
          <w:szCs w:val="28"/>
        </w:rPr>
      </w:pPr>
      <w:r w:rsidRPr="00B12FE0">
        <w:rPr>
          <w:rFonts w:cs="宋体"/>
          <w:i/>
          <w:iCs/>
          <w:color w:val="000000" w:themeColor="text1"/>
          <w:szCs w:val="28"/>
        </w:rPr>
        <w:t>Ɵ</w:t>
      </w:r>
      <w:r w:rsidRPr="00B12FE0">
        <w:rPr>
          <w:color w:val="000000" w:themeColor="text1"/>
          <w:szCs w:val="28"/>
        </w:rPr>
        <w:t>——</w:t>
      </w:r>
      <w:r w:rsidRPr="00B12FE0">
        <w:rPr>
          <w:rFonts w:cs="宋体"/>
          <w:iCs/>
          <w:color w:val="000000" w:themeColor="text1"/>
          <w:szCs w:val="28"/>
        </w:rPr>
        <w:t>斜射角，</w:t>
      </w:r>
      <w:r w:rsidRPr="00B12FE0">
        <w:rPr>
          <w:rFonts w:cs="宋体" w:hint="eastAsia"/>
          <w:iCs/>
          <w:color w:val="000000" w:themeColor="text1"/>
          <w:szCs w:val="28"/>
        </w:rPr>
        <w:t>即入射线与物质平面的法线的夹角。</w:t>
      </w:r>
    </w:p>
    <w:p w14:paraId="7605E553" w14:textId="77777777" w:rsidR="00A67F21" w:rsidRPr="00B12FE0" w:rsidRDefault="00000000">
      <w:pPr>
        <w:adjustRightInd w:val="0"/>
        <w:spacing w:line="360" w:lineRule="auto"/>
        <w:ind w:firstLineChars="180" w:firstLine="432"/>
        <w:rPr>
          <w:color w:val="000000" w:themeColor="text1"/>
          <w:szCs w:val="28"/>
        </w:rPr>
      </w:pPr>
      <w:r w:rsidRPr="00B12FE0">
        <w:rPr>
          <w:color w:val="000000" w:themeColor="text1"/>
          <w:szCs w:val="28"/>
        </w:rPr>
        <w:t>按式</w:t>
      </w:r>
      <w:r w:rsidRPr="00B12FE0">
        <w:rPr>
          <w:rFonts w:cs="宋体"/>
          <w:color w:val="000000" w:themeColor="text1"/>
        </w:rPr>
        <w:t>11.2.2.2-2</w:t>
      </w:r>
      <w:r w:rsidRPr="00B12FE0">
        <w:rPr>
          <w:color w:val="000000" w:themeColor="text1"/>
          <w:szCs w:val="28"/>
        </w:rPr>
        <w:t>估算屏蔽物质的屏蔽透射因子</w:t>
      </w:r>
      <w:r w:rsidRPr="00B12FE0">
        <w:rPr>
          <w:color w:val="000000" w:themeColor="text1"/>
          <w:szCs w:val="28"/>
        </w:rPr>
        <w:t>B</w:t>
      </w:r>
      <w:r w:rsidRPr="00B12FE0">
        <w:rPr>
          <w:color w:val="000000" w:themeColor="text1"/>
          <w:szCs w:val="28"/>
        </w:rPr>
        <w:t>，再按式</w:t>
      </w:r>
      <w:r w:rsidRPr="00B12FE0">
        <w:rPr>
          <w:rFonts w:cs="宋体"/>
          <w:color w:val="000000" w:themeColor="text1"/>
        </w:rPr>
        <w:t>11.2.2.2-3</w:t>
      </w:r>
      <w:r w:rsidRPr="00B12FE0">
        <w:rPr>
          <w:color w:val="000000" w:themeColor="text1"/>
          <w:szCs w:val="28"/>
        </w:rPr>
        <w:t>计算相应辐射在屏蔽体外关注点的剂量率</w:t>
      </w:r>
      <w:r w:rsidRPr="00B12FE0">
        <w:rPr>
          <w:color w:val="000000" w:themeColor="text1"/>
          <w:position w:val="-4"/>
          <w:szCs w:val="28"/>
        </w:rPr>
        <w:object w:dxaOrig="301" w:dyaOrig="301" w14:anchorId="0A016C25">
          <v:shape id="_x0000_i1045" type="#_x0000_t75" style="width:14.95pt;height:14.95pt" o:ole="">
            <v:imagedata r:id="rId96" o:title=""/>
          </v:shape>
          <o:OLEObject Type="Embed" ProgID="Equation.DSMT4" ShapeID="_x0000_i1045" DrawAspect="Content" ObjectID="_1843190443" r:id="rId97"/>
        </w:object>
      </w:r>
      <w:r w:rsidRPr="00B12FE0">
        <w:rPr>
          <w:color w:val="000000" w:themeColor="text1"/>
          <w:szCs w:val="28"/>
        </w:rPr>
        <w:t>(</w:t>
      </w:r>
      <w:proofErr w:type="spellStart"/>
      <w:r w:rsidRPr="00B12FE0">
        <w:rPr>
          <w:color w:val="000000" w:themeColor="text1"/>
          <w:szCs w:val="28"/>
        </w:rPr>
        <w:t>μSv</w:t>
      </w:r>
      <w:proofErr w:type="spellEnd"/>
      <w:r w:rsidRPr="00B12FE0">
        <w:rPr>
          <w:color w:val="000000" w:themeColor="text1"/>
          <w:szCs w:val="28"/>
        </w:rPr>
        <w:t>/h)</w:t>
      </w:r>
      <w:r w:rsidRPr="00B12FE0">
        <w:rPr>
          <w:color w:val="000000" w:themeColor="text1"/>
          <w:szCs w:val="28"/>
        </w:rPr>
        <w:t>。</w:t>
      </w:r>
    </w:p>
    <w:p w14:paraId="5B3B9EBB" w14:textId="77777777" w:rsidR="00A67F21" w:rsidRPr="00B12FE0" w:rsidRDefault="00000000">
      <w:pPr>
        <w:adjustRightInd w:val="0"/>
        <w:snapToGrid w:val="0"/>
        <w:spacing w:line="360" w:lineRule="auto"/>
        <w:ind w:firstLineChars="197" w:firstLine="473"/>
        <w:jc w:val="center"/>
        <w:rPr>
          <w:rFonts w:cs="宋体"/>
          <w:iCs/>
          <w:color w:val="000000" w:themeColor="text1"/>
          <w:position w:val="-12"/>
          <w:szCs w:val="28"/>
        </w:rPr>
      </w:pPr>
      <m:oMath>
        <m:r>
          <w:rPr>
            <w:rFonts w:ascii="Cambria Math" w:cs="宋体"/>
            <w:color w:val="000000" w:themeColor="text1"/>
            <w:szCs w:val="28"/>
          </w:rPr>
          <m:t>B=1</m:t>
        </m:r>
        <m:sSup>
          <m:sSupPr>
            <m:ctrlPr>
              <w:rPr>
                <w:rFonts w:ascii="Cambria Math" w:hAnsi="Cambria Math" w:cs="宋体"/>
                <w:i/>
                <w:color w:val="000000" w:themeColor="text1"/>
                <w:szCs w:val="28"/>
              </w:rPr>
            </m:ctrlPr>
          </m:sSupPr>
          <m:e>
            <m:r>
              <w:rPr>
                <w:rFonts w:ascii="Cambria Math" w:cs="宋体"/>
                <w:color w:val="000000" w:themeColor="text1"/>
                <w:szCs w:val="28"/>
              </w:rPr>
              <m:t>0</m:t>
            </m:r>
          </m:e>
          <m:sup>
            <m:r>
              <w:rPr>
                <w:rFonts w:ascii="Cambria Math" w:cs="宋体"/>
                <w:color w:val="000000" w:themeColor="text1"/>
                <w:szCs w:val="28"/>
              </w:rPr>
              <m:t>-</m:t>
            </m:r>
            <m:r>
              <w:rPr>
                <w:rFonts w:ascii="Cambria Math" w:cs="宋体"/>
                <w:color w:val="000000" w:themeColor="text1"/>
                <w:szCs w:val="28"/>
              </w:rPr>
              <m:t>(</m:t>
            </m:r>
            <m:sSub>
              <m:sSubPr>
                <m:ctrlPr>
                  <w:rPr>
                    <w:rFonts w:ascii="Cambria Math" w:hAnsi="Cambria Math" w:cs="宋体"/>
                    <w:i/>
                    <w:color w:val="000000" w:themeColor="text1"/>
                    <w:szCs w:val="28"/>
                  </w:rPr>
                </m:ctrlPr>
              </m:sSubPr>
              <m:e>
                <m:r>
                  <w:rPr>
                    <w:rFonts w:ascii="Cambria Math" w:cs="宋体"/>
                    <w:color w:val="000000" w:themeColor="text1"/>
                    <w:szCs w:val="28"/>
                  </w:rPr>
                  <m:t>X</m:t>
                </m:r>
              </m:e>
              <m:sub>
                <m:r>
                  <w:rPr>
                    <w:rFonts w:ascii="Cambria Math" w:cs="宋体"/>
                    <w:color w:val="000000" w:themeColor="text1"/>
                    <w:szCs w:val="28"/>
                  </w:rPr>
                  <m:t>e</m:t>
                </m:r>
              </m:sub>
            </m:sSub>
            <m:r>
              <w:rPr>
                <w:rFonts w:ascii="Cambria Math" w:cs="宋体"/>
                <w:color w:val="000000" w:themeColor="text1"/>
                <w:szCs w:val="28"/>
              </w:rPr>
              <m:t>+TVL</m:t>
            </m:r>
            <m:r>
              <w:rPr>
                <w:rFonts w:ascii="Cambria Math" w:cs="宋体"/>
                <w:color w:val="000000" w:themeColor="text1"/>
                <w:szCs w:val="28"/>
              </w:rPr>
              <m:t>-</m:t>
            </m:r>
            <m:r>
              <w:rPr>
                <w:rFonts w:ascii="Cambria Math" w:cs="宋体"/>
                <w:color w:val="000000" w:themeColor="text1"/>
                <w:szCs w:val="28"/>
              </w:rPr>
              <m:t>TV</m:t>
            </m:r>
            <m:sSub>
              <m:sSubPr>
                <m:ctrlPr>
                  <w:rPr>
                    <w:rFonts w:ascii="Cambria Math" w:hAnsi="Cambria Math" w:cs="宋体"/>
                    <w:i/>
                    <w:color w:val="000000" w:themeColor="text1"/>
                    <w:szCs w:val="28"/>
                  </w:rPr>
                </m:ctrlPr>
              </m:sSubPr>
              <m:e>
                <m:r>
                  <w:rPr>
                    <w:rFonts w:ascii="Cambria Math" w:cs="宋体"/>
                    <w:color w:val="000000" w:themeColor="text1"/>
                    <w:szCs w:val="28"/>
                  </w:rPr>
                  <m:t>L</m:t>
                </m:r>
              </m:e>
              <m:sub>
                <m:r>
                  <w:rPr>
                    <w:rFonts w:ascii="Cambria Math" w:cs="宋体"/>
                    <w:color w:val="000000" w:themeColor="text1"/>
                    <w:szCs w:val="28"/>
                  </w:rPr>
                  <m:t>1</m:t>
                </m:r>
              </m:sub>
            </m:sSub>
            <m:r>
              <w:rPr>
                <w:rFonts w:ascii="Cambria Math" w:cs="宋体"/>
                <w:color w:val="000000" w:themeColor="text1"/>
                <w:szCs w:val="28"/>
              </w:rPr>
              <m:t>)/TVL</m:t>
            </m:r>
          </m:sup>
        </m:sSup>
      </m:oMath>
      <w:r w:rsidRPr="00B12FE0">
        <w:rPr>
          <w:rFonts w:cs="宋体"/>
          <w:color w:val="000000" w:themeColor="text1"/>
        </w:rPr>
        <w:t>……………………………</w:t>
      </w:r>
      <w:proofErr w:type="gramStart"/>
      <w:r w:rsidRPr="00B12FE0">
        <w:rPr>
          <w:rFonts w:cs="宋体"/>
          <w:color w:val="000000" w:themeColor="text1"/>
        </w:rPr>
        <w:t>…(</w:t>
      </w:r>
      <w:proofErr w:type="gramEnd"/>
      <w:r w:rsidRPr="00B12FE0">
        <w:rPr>
          <w:rFonts w:cs="宋体" w:hint="eastAsia"/>
          <w:color w:val="000000" w:themeColor="text1"/>
        </w:rPr>
        <w:t>式</w:t>
      </w:r>
      <w:r w:rsidRPr="00B12FE0">
        <w:rPr>
          <w:rFonts w:cs="宋体"/>
          <w:color w:val="000000" w:themeColor="text1"/>
        </w:rPr>
        <w:t>11.2.2.2-2)</w:t>
      </w:r>
    </w:p>
    <w:p w14:paraId="19455642"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color w:val="000000" w:themeColor="text1"/>
        </w:rPr>
        <w:t>式中：</w:t>
      </w:r>
    </w:p>
    <w:p w14:paraId="140AF227"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color w:val="000000" w:themeColor="text1"/>
        </w:rPr>
        <w:t>B</w:t>
      </w:r>
      <w:r w:rsidRPr="00B12FE0">
        <w:rPr>
          <w:color w:val="000000" w:themeColor="text1"/>
          <w:szCs w:val="28"/>
        </w:rPr>
        <w:t>——</w:t>
      </w:r>
      <w:r w:rsidRPr="00B12FE0">
        <w:rPr>
          <w:rFonts w:cs="宋体" w:hint="eastAsia"/>
          <w:bCs/>
          <w:color w:val="000000" w:themeColor="text1"/>
        </w:rPr>
        <w:t>辐射屏蔽透射因子；</w:t>
      </w:r>
    </w:p>
    <w:p w14:paraId="02F88349"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color w:val="000000" w:themeColor="text1"/>
        </w:rPr>
        <w:t>TVL</w:t>
      </w:r>
      <w:r w:rsidRPr="00B12FE0">
        <w:rPr>
          <w:rFonts w:cs="宋体" w:hint="eastAsia"/>
          <w:bCs/>
          <w:color w:val="000000" w:themeColor="text1"/>
          <w:vertAlign w:val="subscript"/>
        </w:rPr>
        <w:t>1</w:t>
      </w:r>
      <w:r w:rsidRPr="00B12FE0">
        <w:rPr>
          <w:color w:val="000000" w:themeColor="text1"/>
          <w:szCs w:val="28"/>
        </w:rPr>
        <w:t>——</w:t>
      </w:r>
      <w:r w:rsidRPr="00B12FE0">
        <w:rPr>
          <w:rFonts w:cs="宋体" w:hint="eastAsia"/>
          <w:bCs/>
          <w:color w:val="000000" w:themeColor="text1"/>
        </w:rPr>
        <w:t>辐射在屏蔽物质中的第一个</w:t>
      </w:r>
      <w:proofErr w:type="gramStart"/>
      <w:r w:rsidRPr="00B12FE0">
        <w:rPr>
          <w:rFonts w:cs="宋体" w:hint="eastAsia"/>
          <w:bCs/>
          <w:color w:val="000000" w:themeColor="text1"/>
        </w:rPr>
        <w:t>什值层</w:t>
      </w:r>
      <w:proofErr w:type="gramEnd"/>
      <w:r w:rsidRPr="00B12FE0">
        <w:rPr>
          <w:rFonts w:cs="宋体" w:hint="eastAsia"/>
          <w:bCs/>
          <w:color w:val="000000" w:themeColor="text1"/>
        </w:rPr>
        <w:t>厚度；</w:t>
      </w:r>
    </w:p>
    <w:p w14:paraId="12D13514" w14:textId="77777777" w:rsidR="00A67F21" w:rsidRPr="00B12FE0" w:rsidRDefault="00000000">
      <w:pPr>
        <w:adjustRightInd w:val="0"/>
        <w:snapToGrid w:val="0"/>
        <w:spacing w:line="360" w:lineRule="auto"/>
        <w:ind w:firstLineChars="200" w:firstLine="480"/>
        <w:rPr>
          <w:rFonts w:cs="宋体"/>
          <w:bCs/>
          <w:color w:val="000000" w:themeColor="text1"/>
        </w:rPr>
      </w:pPr>
      <w:r w:rsidRPr="00B12FE0">
        <w:rPr>
          <w:rFonts w:cs="宋体" w:hint="eastAsia"/>
          <w:bCs/>
          <w:color w:val="000000" w:themeColor="text1"/>
        </w:rPr>
        <w:t>TVL</w:t>
      </w:r>
      <w:r w:rsidRPr="00B12FE0">
        <w:rPr>
          <w:color w:val="000000" w:themeColor="text1"/>
          <w:szCs w:val="28"/>
        </w:rPr>
        <w:t>——</w:t>
      </w:r>
      <w:r w:rsidRPr="00B12FE0">
        <w:rPr>
          <w:rFonts w:cs="宋体" w:hint="eastAsia"/>
          <w:bCs/>
          <w:color w:val="000000" w:themeColor="text1"/>
        </w:rPr>
        <w:t>辐射在屏蔽物质中的平衡</w:t>
      </w:r>
      <w:proofErr w:type="gramStart"/>
      <w:r w:rsidRPr="00B12FE0">
        <w:rPr>
          <w:rFonts w:cs="宋体" w:hint="eastAsia"/>
          <w:bCs/>
          <w:color w:val="000000" w:themeColor="text1"/>
        </w:rPr>
        <w:t>什值层</w:t>
      </w:r>
      <w:proofErr w:type="gramEnd"/>
      <w:r w:rsidRPr="00B12FE0">
        <w:rPr>
          <w:rFonts w:cs="宋体" w:hint="eastAsia"/>
          <w:bCs/>
          <w:color w:val="000000" w:themeColor="text1"/>
        </w:rPr>
        <w:t>厚度；</w:t>
      </w:r>
    </w:p>
    <w:p w14:paraId="7EEE0486" w14:textId="77777777" w:rsidR="00A67F21" w:rsidRPr="00B12FE0" w:rsidRDefault="00000000">
      <w:pPr>
        <w:adjustRightInd w:val="0"/>
        <w:snapToGrid w:val="0"/>
        <w:spacing w:line="360" w:lineRule="auto"/>
        <w:ind w:firstLineChars="197" w:firstLine="473"/>
        <w:rPr>
          <w:rFonts w:cs="宋体"/>
          <w:bCs/>
          <w:color w:val="000000" w:themeColor="text1"/>
        </w:rPr>
      </w:pPr>
      <w:r w:rsidRPr="00B12FE0">
        <w:rPr>
          <w:rFonts w:cs="宋体"/>
          <w:bCs/>
          <w:color w:val="000000" w:themeColor="text1"/>
        </w:rPr>
        <w:t>参照</w:t>
      </w:r>
      <w:r w:rsidRPr="00B12FE0">
        <w:rPr>
          <w:rFonts w:cs="宋体"/>
          <w:bCs/>
          <w:color w:val="000000" w:themeColor="text1"/>
        </w:rPr>
        <w:t>GBZ/T201.3-2014</w:t>
      </w:r>
      <w:r w:rsidRPr="00B12FE0">
        <w:rPr>
          <w:rFonts w:cs="宋体"/>
          <w:bCs/>
          <w:color w:val="000000" w:themeColor="text1"/>
        </w:rPr>
        <w:t>附录</w:t>
      </w:r>
      <w:r w:rsidRPr="00B12FE0">
        <w:rPr>
          <w:rFonts w:cs="宋体"/>
          <w:bCs/>
          <w:color w:val="000000" w:themeColor="text1"/>
        </w:rPr>
        <w:t>C</w:t>
      </w:r>
      <w:r w:rsidRPr="00B12FE0">
        <w:rPr>
          <w:rFonts w:cs="宋体"/>
          <w:bCs/>
          <w:color w:val="000000" w:themeColor="text1"/>
        </w:rPr>
        <w:t>表</w:t>
      </w:r>
      <w:r w:rsidRPr="00B12FE0">
        <w:rPr>
          <w:rFonts w:cs="宋体"/>
          <w:bCs/>
          <w:color w:val="000000" w:themeColor="text1"/>
        </w:rPr>
        <w:t>C.1</w:t>
      </w:r>
      <w:r w:rsidRPr="00B12FE0">
        <w:rPr>
          <w:rFonts w:cs="宋体" w:hint="eastAsia"/>
          <w:bCs/>
          <w:color w:val="000000" w:themeColor="text1"/>
        </w:rPr>
        <w:t>，</w:t>
      </w:r>
      <w:r w:rsidRPr="00B12FE0">
        <w:rPr>
          <w:rFonts w:cs="宋体"/>
          <w:bCs/>
          <w:color w:val="000000" w:themeColor="text1"/>
          <w:vertAlign w:val="superscript"/>
        </w:rPr>
        <w:t>192</w:t>
      </w:r>
      <w:r w:rsidRPr="00B12FE0">
        <w:rPr>
          <w:rFonts w:cs="宋体"/>
          <w:bCs/>
          <w:color w:val="000000" w:themeColor="text1"/>
        </w:rPr>
        <w:t>Ir</w:t>
      </w:r>
      <w:r w:rsidRPr="00B12FE0">
        <w:rPr>
          <w:rFonts w:cs="宋体"/>
          <w:bCs/>
          <w:color w:val="000000" w:themeColor="text1"/>
        </w:rPr>
        <w:t>产生的</w:t>
      </w:r>
      <w:r w:rsidRPr="00B12FE0">
        <w:rPr>
          <w:rFonts w:cs="宋体"/>
          <w:bCs/>
          <w:color w:val="000000" w:themeColor="text1"/>
        </w:rPr>
        <w:t>γ</w:t>
      </w:r>
      <w:r w:rsidRPr="00B12FE0">
        <w:rPr>
          <w:rFonts w:cs="宋体"/>
          <w:bCs/>
          <w:color w:val="000000" w:themeColor="text1"/>
        </w:rPr>
        <w:t>射线在密度为</w:t>
      </w:r>
      <w:r w:rsidRPr="00B12FE0">
        <w:rPr>
          <w:rFonts w:cs="宋体"/>
          <w:bCs/>
          <w:color w:val="000000" w:themeColor="text1"/>
        </w:rPr>
        <w:t>2.35g/cm</w:t>
      </w:r>
      <w:r w:rsidRPr="00B12FE0">
        <w:rPr>
          <w:rFonts w:cs="宋体"/>
          <w:bCs/>
          <w:color w:val="000000" w:themeColor="text1"/>
          <w:vertAlign w:val="superscript"/>
        </w:rPr>
        <w:t>3</w:t>
      </w:r>
      <w:r w:rsidRPr="00B12FE0">
        <w:rPr>
          <w:rFonts w:cs="宋体"/>
          <w:bCs/>
          <w:color w:val="000000" w:themeColor="text1"/>
        </w:rPr>
        <w:t>的</w:t>
      </w:r>
      <w:r w:rsidRPr="00B12FE0">
        <w:rPr>
          <w:rFonts w:cs="宋体" w:hint="eastAsia"/>
          <w:bCs/>
          <w:color w:val="000000" w:themeColor="text1"/>
        </w:rPr>
        <w:t>标准</w:t>
      </w:r>
      <w:r w:rsidRPr="00B12FE0">
        <w:rPr>
          <w:rFonts w:cs="宋体"/>
          <w:bCs/>
          <w:color w:val="000000" w:themeColor="text1"/>
        </w:rPr>
        <w:t>混凝土中的</w:t>
      </w:r>
      <w:proofErr w:type="gramStart"/>
      <w:r w:rsidRPr="00B12FE0">
        <w:rPr>
          <w:rFonts w:cs="宋体"/>
          <w:bCs/>
          <w:color w:val="000000" w:themeColor="text1"/>
        </w:rPr>
        <w:t>什值层</w:t>
      </w:r>
      <w:proofErr w:type="gramEnd"/>
      <w:r w:rsidRPr="00B12FE0">
        <w:rPr>
          <w:rFonts w:cs="宋体"/>
          <w:bCs/>
          <w:color w:val="000000" w:themeColor="text1"/>
        </w:rPr>
        <w:t>厚度，</w:t>
      </w:r>
      <w:r w:rsidRPr="00B12FE0">
        <w:rPr>
          <w:rFonts w:cs="宋体"/>
          <w:bCs/>
          <w:i/>
          <w:color w:val="000000" w:themeColor="text1"/>
        </w:rPr>
        <w:t>TVL</w:t>
      </w:r>
      <w:r w:rsidRPr="00B12FE0">
        <w:rPr>
          <w:rFonts w:cs="宋体"/>
          <w:bCs/>
          <w:color w:val="000000" w:themeColor="text1"/>
        </w:rPr>
        <w:t>=</w:t>
      </w:r>
      <w:r w:rsidRPr="00B12FE0">
        <w:rPr>
          <w:rFonts w:cs="宋体"/>
          <w:bCs/>
          <w:i/>
          <w:color w:val="000000" w:themeColor="text1"/>
        </w:rPr>
        <w:t>TVL</w:t>
      </w:r>
      <w:r w:rsidRPr="00B12FE0">
        <w:rPr>
          <w:rFonts w:cs="宋体" w:hint="eastAsia"/>
          <w:bCs/>
          <w:i/>
          <w:color w:val="000000" w:themeColor="text1"/>
          <w:vertAlign w:val="subscript"/>
        </w:rPr>
        <w:t>1</w:t>
      </w:r>
      <w:r w:rsidRPr="00B12FE0">
        <w:rPr>
          <w:rFonts w:cs="宋体"/>
          <w:bCs/>
          <w:color w:val="000000" w:themeColor="text1"/>
        </w:rPr>
        <w:t>=152mm</w:t>
      </w:r>
      <w:r w:rsidRPr="00B12FE0">
        <w:rPr>
          <w:rFonts w:cs="宋体" w:hint="eastAsia"/>
          <w:bCs/>
          <w:color w:val="000000" w:themeColor="text1"/>
        </w:rPr>
        <w:t>；</w:t>
      </w:r>
      <w:r w:rsidRPr="00B12FE0">
        <w:rPr>
          <w:rFonts w:cs="宋体"/>
          <w:bCs/>
          <w:color w:val="000000" w:themeColor="text1"/>
        </w:rPr>
        <w:t>在密度为</w:t>
      </w:r>
      <w:r w:rsidRPr="00B12FE0">
        <w:rPr>
          <w:rFonts w:cs="宋体" w:hint="eastAsia"/>
          <w:bCs/>
          <w:color w:val="000000" w:themeColor="text1"/>
        </w:rPr>
        <w:t>11.34</w:t>
      </w:r>
      <w:r w:rsidRPr="00B12FE0">
        <w:rPr>
          <w:rFonts w:cs="宋体"/>
          <w:bCs/>
          <w:color w:val="000000" w:themeColor="text1"/>
        </w:rPr>
        <w:t>g/cm</w:t>
      </w:r>
      <w:r w:rsidRPr="00B12FE0">
        <w:rPr>
          <w:rFonts w:cs="宋体"/>
          <w:bCs/>
          <w:color w:val="000000" w:themeColor="text1"/>
          <w:vertAlign w:val="superscript"/>
        </w:rPr>
        <w:t>3</w:t>
      </w:r>
      <w:r w:rsidRPr="00B12FE0">
        <w:rPr>
          <w:rFonts w:cs="宋体"/>
          <w:bCs/>
          <w:color w:val="000000" w:themeColor="text1"/>
        </w:rPr>
        <w:t>的</w:t>
      </w:r>
      <w:r w:rsidRPr="00B12FE0">
        <w:rPr>
          <w:rFonts w:cs="宋体" w:hint="eastAsia"/>
          <w:bCs/>
          <w:color w:val="000000" w:themeColor="text1"/>
        </w:rPr>
        <w:t>铅</w:t>
      </w:r>
      <w:r w:rsidRPr="00B12FE0">
        <w:rPr>
          <w:rFonts w:cs="宋体"/>
          <w:bCs/>
          <w:color w:val="000000" w:themeColor="text1"/>
        </w:rPr>
        <w:t>中的</w:t>
      </w:r>
      <w:proofErr w:type="gramStart"/>
      <w:r w:rsidRPr="00B12FE0">
        <w:rPr>
          <w:rFonts w:cs="宋体"/>
          <w:bCs/>
          <w:color w:val="000000" w:themeColor="text1"/>
        </w:rPr>
        <w:t>什值层</w:t>
      </w:r>
      <w:proofErr w:type="gramEnd"/>
      <w:r w:rsidRPr="00B12FE0">
        <w:rPr>
          <w:rFonts w:cs="宋体"/>
          <w:bCs/>
          <w:color w:val="000000" w:themeColor="text1"/>
        </w:rPr>
        <w:t>厚度，</w:t>
      </w:r>
      <w:r w:rsidRPr="00B12FE0">
        <w:rPr>
          <w:color w:val="000000" w:themeColor="text1"/>
        </w:rPr>
        <w:t>TVL</w:t>
      </w:r>
      <w:r w:rsidRPr="00B12FE0">
        <w:rPr>
          <w:color w:val="000000" w:themeColor="text1"/>
          <w:vertAlign w:val="subscript"/>
        </w:rPr>
        <w:t>1</w:t>
      </w:r>
      <w:r w:rsidRPr="00B12FE0">
        <w:rPr>
          <w:color w:val="000000" w:themeColor="text1"/>
        </w:rPr>
        <w:t>=TVL=1.6cm</w:t>
      </w:r>
      <w:r w:rsidRPr="00B12FE0">
        <w:rPr>
          <w:rFonts w:hint="eastAsia"/>
          <w:color w:val="000000" w:themeColor="text1"/>
        </w:rPr>
        <w:t>。</w:t>
      </w:r>
    </w:p>
    <w:p w14:paraId="0C308BBC" w14:textId="77777777" w:rsidR="00A67F21" w:rsidRPr="00B12FE0" w:rsidRDefault="00000000">
      <w:pPr>
        <w:adjustRightInd w:val="0"/>
        <w:spacing w:line="360" w:lineRule="auto"/>
        <w:ind w:firstLineChars="380" w:firstLine="912"/>
        <w:jc w:val="center"/>
        <w:rPr>
          <w:color w:val="000000" w:themeColor="text1"/>
          <w:szCs w:val="28"/>
        </w:rPr>
      </w:pPr>
      <m:oMath>
        <m:acc>
          <m:accPr>
            <m:chr m:val="̇"/>
            <m:ctrlPr>
              <w:rPr>
                <w:rFonts w:ascii="Cambria Math" w:hAnsi="Cambria Math" w:cs="宋体"/>
                <w:i/>
                <w:color w:val="000000" w:themeColor="text1"/>
                <w:szCs w:val="28"/>
              </w:rPr>
            </m:ctrlPr>
          </m:accPr>
          <m:e>
            <m:r>
              <w:rPr>
                <w:rFonts w:ascii="Cambria Math" w:cs="宋体"/>
                <w:color w:val="000000" w:themeColor="text1"/>
                <w:szCs w:val="28"/>
              </w:rPr>
              <m:t>H</m:t>
            </m:r>
          </m:e>
        </m:acc>
        <m:r>
          <w:rPr>
            <w:rFonts w:ascii="Cambria Math" w:cs="宋体"/>
            <w:color w:val="000000" w:themeColor="text1"/>
            <w:szCs w:val="28"/>
          </w:rPr>
          <m:t>=</m:t>
        </m:r>
        <m:f>
          <m:fPr>
            <m:ctrlPr>
              <w:rPr>
                <w:rFonts w:ascii="Cambria Math" w:hAnsi="Cambria Math" w:cs="宋体"/>
                <w:i/>
                <w:color w:val="000000" w:themeColor="text1"/>
                <w:szCs w:val="28"/>
              </w:rPr>
            </m:ctrlPr>
          </m:fPr>
          <m:num>
            <m:sSub>
              <m:sSubPr>
                <m:ctrlPr>
                  <w:rPr>
                    <w:rFonts w:ascii="Cambria Math" w:hAnsi="Cambria Math" w:cs="宋体"/>
                    <w:i/>
                    <w:color w:val="000000" w:themeColor="text1"/>
                    <w:szCs w:val="28"/>
                  </w:rPr>
                </m:ctrlPr>
              </m:sSubPr>
              <m:e>
                <m:acc>
                  <m:accPr>
                    <m:chr m:val="̇"/>
                    <m:ctrlPr>
                      <w:rPr>
                        <w:rFonts w:ascii="Cambria Math" w:hAnsi="Cambria Math" w:cs="宋体"/>
                        <w:i/>
                        <w:color w:val="000000" w:themeColor="text1"/>
                        <w:szCs w:val="28"/>
                      </w:rPr>
                    </m:ctrlPr>
                  </m:accPr>
                  <m:e>
                    <m:r>
                      <w:rPr>
                        <w:rFonts w:ascii="Cambria Math" w:cs="宋体"/>
                        <w:color w:val="000000" w:themeColor="text1"/>
                        <w:szCs w:val="28"/>
                      </w:rPr>
                      <m:t>H</m:t>
                    </m:r>
                  </m:e>
                </m:acc>
              </m:e>
              <m:sub>
                <m:r>
                  <w:rPr>
                    <w:rFonts w:ascii="Cambria Math" w:cs="宋体"/>
                    <w:color w:val="000000" w:themeColor="text1"/>
                    <w:szCs w:val="28"/>
                  </w:rPr>
                  <m:t>0</m:t>
                </m:r>
              </m:sub>
            </m:sSub>
            <m:r>
              <w:rPr>
                <w:rFonts w:ascii="Cambria Math" w:hAnsi="Cambria Math" w:cs="宋体"/>
                <w:color w:val="000000" w:themeColor="text1"/>
                <w:szCs w:val="28"/>
              </w:rPr>
              <m:t>∙</m:t>
            </m:r>
            <m:r>
              <w:rPr>
                <w:rFonts w:ascii="Cambria Math" w:cs="宋体"/>
                <w:color w:val="000000" w:themeColor="text1"/>
                <w:szCs w:val="28"/>
              </w:rPr>
              <m:t>f</m:t>
            </m:r>
          </m:num>
          <m:den>
            <m:sSup>
              <m:sSupPr>
                <m:ctrlPr>
                  <w:rPr>
                    <w:rFonts w:ascii="Cambria Math" w:hAnsi="Cambria Math" w:cs="宋体"/>
                    <w:i/>
                    <w:color w:val="000000" w:themeColor="text1"/>
                    <w:szCs w:val="28"/>
                  </w:rPr>
                </m:ctrlPr>
              </m:sSupPr>
              <m:e>
                <m:r>
                  <w:rPr>
                    <w:rFonts w:ascii="Cambria Math" w:cs="宋体"/>
                    <w:color w:val="000000" w:themeColor="text1"/>
                    <w:szCs w:val="28"/>
                  </w:rPr>
                  <m:t>R</m:t>
                </m:r>
              </m:e>
              <m:sup>
                <m:r>
                  <w:rPr>
                    <w:rFonts w:ascii="Cambria Math" w:cs="宋体"/>
                    <w:color w:val="000000" w:themeColor="text1"/>
                    <w:szCs w:val="28"/>
                  </w:rPr>
                  <m:t>2</m:t>
                </m:r>
              </m:sup>
            </m:sSup>
          </m:den>
        </m:f>
        <m:r>
          <w:rPr>
            <w:rFonts w:ascii="Cambria Math" w:hAnsi="Cambria Math" w:cs="宋体"/>
            <w:color w:val="000000" w:themeColor="text1"/>
            <w:szCs w:val="28"/>
          </w:rPr>
          <m:t>∙</m:t>
        </m:r>
        <m:r>
          <w:rPr>
            <w:rFonts w:ascii="Cambria Math" w:cs="宋体"/>
            <w:color w:val="000000" w:themeColor="text1"/>
            <w:szCs w:val="28"/>
          </w:rPr>
          <m:t>B</m:t>
        </m:r>
      </m:oMath>
      <w:r w:rsidRPr="00B12FE0">
        <w:rPr>
          <w:rFonts w:cs="宋体"/>
          <w:color w:val="000000" w:themeColor="text1"/>
        </w:rPr>
        <w:t>…………………………………</w:t>
      </w:r>
      <w:proofErr w:type="gramStart"/>
      <w:r w:rsidRPr="00B12FE0">
        <w:rPr>
          <w:rFonts w:cs="宋体"/>
          <w:color w:val="000000" w:themeColor="text1"/>
        </w:rPr>
        <w:t>…(</w:t>
      </w:r>
      <w:proofErr w:type="gramEnd"/>
      <w:r w:rsidRPr="00B12FE0">
        <w:rPr>
          <w:rFonts w:cs="宋体" w:hint="eastAsia"/>
          <w:color w:val="000000" w:themeColor="text1"/>
        </w:rPr>
        <w:t>式</w:t>
      </w:r>
      <w:r w:rsidRPr="00B12FE0">
        <w:rPr>
          <w:rFonts w:cs="宋体"/>
          <w:color w:val="000000" w:themeColor="text1"/>
        </w:rPr>
        <w:t>11.2.2.2-3)</w:t>
      </w:r>
    </w:p>
    <w:p w14:paraId="3D6D52EF" w14:textId="77777777" w:rsidR="00A67F21" w:rsidRPr="00B12FE0" w:rsidRDefault="00000000">
      <w:pPr>
        <w:adjustRightInd w:val="0"/>
        <w:spacing w:line="360" w:lineRule="auto"/>
        <w:ind w:firstLineChars="200" w:firstLine="480"/>
        <w:rPr>
          <w:color w:val="000000" w:themeColor="text1"/>
          <w:szCs w:val="28"/>
        </w:rPr>
      </w:pPr>
      <w:r w:rsidRPr="00B12FE0">
        <w:rPr>
          <w:color w:val="000000" w:themeColor="text1"/>
          <w:szCs w:val="28"/>
        </w:rPr>
        <w:t>式中：</w:t>
      </w:r>
    </w:p>
    <w:p w14:paraId="26137809" w14:textId="77777777" w:rsidR="00A67F21" w:rsidRPr="00B12FE0" w:rsidRDefault="00000000">
      <w:pPr>
        <w:adjustRightInd w:val="0"/>
        <w:spacing w:line="360" w:lineRule="auto"/>
        <w:ind w:firstLineChars="200" w:firstLine="480"/>
        <w:rPr>
          <w:color w:val="000000" w:themeColor="text1"/>
          <w:szCs w:val="28"/>
        </w:rPr>
      </w:pPr>
      <m:oMath>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hint="eastAsia"/>
                <w:color w:val="000000" w:themeColor="text1"/>
              </w:rPr>
              <m:t>o</m:t>
            </m:r>
          </m:sub>
        </m:sSub>
      </m:oMath>
      <w:r w:rsidRPr="00B12FE0">
        <w:rPr>
          <w:color w:val="000000" w:themeColor="text1"/>
          <w:szCs w:val="28"/>
        </w:rPr>
        <w:t>——</w:t>
      </w:r>
      <w:r w:rsidRPr="00B12FE0">
        <w:rPr>
          <w:color w:val="000000" w:themeColor="text1"/>
          <w:szCs w:val="28"/>
        </w:rPr>
        <w:t>活度为</w:t>
      </w:r>
      <w:r w:rsidRPr="00B12FE0">
        <w:rPr>
          <w:color w:val="000000" w:themeColor="text1"/>
          <w:szCs w:val="28"/>
        </w:rPr>
        <w:t>A</w:t>
      </w:r>
      <w:r w:rsidRPr="00B12FE0">
        <w:rPr>
          <w:color w:val="000000" w:themeColor="text1"/>
          <w:szCs w:val="28"/>
        </w:rPr>
        <w:t>的放射源在距其</w:t>
      </w:r>
      <w:r w:rsidRPr="00B12FE0">
        <w:rPr>
          <w:color w:val="000000" w:themeColor="text1"/>
          <w:szCs w:val="28"/>
        </w:rPr>
        <w:t>1m</w:t>
      </w:r>
      <w:r w:rsidRPr="00B12FE0">
        <w:rPr>
          <w:color w:val="000000" w:themeColor="text1"/>
          <w:szCs w:val="28"/>
        </w:rPr>
        <w:t>处的剂量率，</w:t>
      </w:r>
      <w:proofErr w:type="spellStart"/>
      <w:r w:rsidRPr="00B12FE0">
        <w:rPr>
          <w:color w:val="000000" w:themeColor="text1"/>
          <w:szCs w:val="28"/>
        </w:rPr>
        <w:t>μSv</w:t>
      </w:r>
      <w:proofErr w:type="spellEnd"/>
      <w:r w:rsidRPr="00B12FE0">
        <w:rPr>
          <w:color w:val="000000" w:themeColor="text1"/>
          <w:szCs w:val="28"/>
        </w:rPr>
        <w:t>/h</w:t>
      </w:r>
      <w:r w:rsidRPr="00B12FE0">
        <w:rPr>
          <w:color w:val="000000" w:themeColor="text1"/>
          <w:szCs w:val="28"/>
        </w:rPr>
        <w:t>；</w:t>
      </w:r>
    </w:p>
    <w:p w14:paraId="53F0C99C" w14:textId="77777777" w:rsidR="00A67F21" w:rsidRPr="00B12FE0" w:rsidRDefault="00000000">
      <w:pPr>
        <w:adjustRightInd w:val="0"/>
        <w:spacing w:line="360" w:lineRule="auto"/>
        <w:ind w:firstLineChars="200" w:firstLine="480"/>
        <w:rPr>
          <w:color w:val="000000" w:themeColor="text1"/>
          <w:szCs w:val="28"/>
        </w:rPr>
      </w:pPr>
      <w:r w:rsidRPr="00B12FE0">
        <w:rPr>
          <w:color w:val="000000" w:themeColor="text1"/>
          <w:szCs w:val="28"/>
        </w:rPr>
        <w:t>f——</w:t>
      </w:r>
      <w:r w:rsidRPr="00B12FE0">
        <w:rPr>
          <w:color w:val="000000" w:themeColor="text1"/>
          <w:szCs w:val="28"/>
        </w:rPr>
        <w:t>对有用线束为</w:t>
      </w:r>
      <w:r w:rsidRPr="00B12FE0">
        <w:rPr>
          <w:color w:val="000000" w:themeColor="text1"/>
          <w:szCs w:val="28"/>
        </w:rPr>
        <w:t>1</w:t>
      </w:r>
      <w:r w:rsidRPr="00B12FE0">
        <w:rPr>
          <w:color w:val="000000" w:themeColor="text1"/>
          <w:szCs w:val="28"/>
        </w:rPr>
        <w:t>；</w:t>
      </w:r>
    </w:p>
    <w:p w14:paraId="5773456E" w14:textId="77777777" w:rsidR="00A67F21" w:rsidRPr="00B12FE0" w:rsidRDefault="00000000">
      <w:pPr>
        <w:adjustRightInd w:val="0"/>
        <w:spacing w:line="360" w:lineRule="auto"/>
        <w:ind w:firstLineChars="200" w:firstLine="480"/>
        <w:rPr>
          <w:color w:val="000000" w:themeColor="text1"/>
          <w:szCs w:val="28"/>
        </w:rPr>
      </w:pPr>
      <w:r w:rsidRPr="00B12FE0">
        <w:rPr>
          <w:color w:val="000000" w:themeColor="text1"/>
          <w:szCs w:val="28"/>
        </w:rPr>
        <w:t>R——</w:t>
      </w:r>
      <w:r w:rsidRPr="00B12FE0">
        <w:rPr>
          <w:color w:val="000000" w:themeColor="text1"/>
          <w:szCs w:val="28"/>
        </w:rPr>
        <w:t>辐射源点</w:t>
      </w:r>
      <w:r w:rsidRPr="00B12FE0">
        <w:rPr>
          <w:color w:val="000000" w:themeColor="text1"/>
          <w:szCs w:val="28"/>
        </w:rPr>
        <w:t>(</w:t>
      </w:r>
      <w:r w:rsidRPr="00B12FE0">
        <w:rPr>
          <w:color w:val="000000" w:themeColor="text1"/>
          <w:szCs w:val="28"/>
        </w:rPr>
        <w:t>靶点</w:t>
      </w:r>
      <w:r w:rsidRPr="00B12FE0">
        <w:rPr>
          <w:color w:val="000000" w:themeColor="text1"/>
          <w:szCs w:val="28"/>
        </w:rPr>
        <w:t>)</w:t>
      </w:r>
      <w:proofErr w:type="gramStart"/>
      <w:r w:rsidRPr="00B12FE0">
        <w:rPr>
          <w:color w:val="000000" w:themeColor="text1"/>
          <w:szCs w:val="28"/>
        </w:rPr>
        <w:t>至关注</w:t>
      </w:r>
      <w:proofErr w:type="gramEnd"/>
      <w:r w:rsidRPr="00B12FE0">
        <w:rPr>
          <w:color w:val="000000" w:themeColor="text1"/>
          <w:szCs w:val="28"/>
        </w:rPr>
        <w:t>点的距离，</w:t>
      </w:r>
      <w:r w:rsidRPr="00B12FE0">
        <w:rPr>
          <w:color w:val="000000" w:themeColor="text1"/>
          <w:szCs w:val="28"/>
        </w:rPr>
        <w:t>m</w:t>
      </w:r>
      <w:r w:rsidRPr="00B12FE0">
        <w:rPr>
          <w:color w:val="000000" w:themeColor="text1"/>
          <w:szCs w:val="28"/>
        </w:rPr>
        <w:t>；</w:t>
      </w:r>
    </w:p>
    <w:p w14:paraId="7C3B6C0B" w14:textId="77777777" w:rsidR="00A67F21" w:rsidRPr="00B12FE0" w:rsidRDefault="00000000">
      <w:pPr>
        <w:adjustRightInd w:val="0"/>
        <w:spacing w:line="360" w:lineRule="auto"/>
        <w:ind w:firstLineChars="200" w:firstLine="480"/>
        <w:rPr>
          <w:color w:val="000000" w:themeColor="text1"/>
          <w:szCs w:val="28"/>
        </w:rPr>
      </w:pPr>
      <w:r w:rsidRPr="00B12FE0">
        <w:rPr>
          <w:color w:val="000000" w:themeColor="text1"/>
          <w:szCs w:val="28"/>
        </w:rPr>
        <w:t>B——</w:t>
      </w:r>
      <w:r w:rsidRPr="00B12FE0">
        <w:rPr>
          <w:color w:val="000000" w:themeColor="text1"/>
          <w:szCs w:val="28"/>
        </w:rPr>
        <w:t>屏蔽物质的屏蔽透射因子。</w:t>
      </w:r>
    </w:p>
    <w:p w14:paraId="0EACCF18" w14:textId="77777777" w:rsidR="00A67F21" w:rsidRPr="00B12FE0" w:rsidRDefault="00000000">
      <w:pPr>
        <w:adjustRightInd w:val="0"/>
        <w:spacing w:line="360" w:lineRule="auto"/>
        <w:ind w:firstLine="480"/>
        <w:jc w:val="left"/>
        <w:rPr>
          <w:color w:val="000000" w:themeColor="text1"/>
        </w:rPr>
      </w:pPr>
      <w:r w:rsidRPr="00B12FE0">
        <w:rPr>
          <w:color w:val="000000" w:themeColor="text1"/>
        </w:rPr>
        <w:t>其中</w:t>
      </w:r>
      <m:oMath>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hint="eastAsia"/>
                <w:color w:val="000000" w:themeColor="text1"/>
              </w:rPr>
              <m:t>o</m:t>
            </m:r>
          </m:sub>
        </m:sSub>
      </m:oMath>
      <w:r w:rsidRPr="00B12FE0">
        <w:rPr>
          <w:color w:val="000000" w:themeColor="text1"/>
        </w:rPr>
        <w:t>按公式</w:t>
      </w:r>
      <w:r w:rsidRPr="00B12FE0">
        <w:rPr>
          <w:rFonts w:cs="宋体"/>
          <w:color w:val="000000" w:themeColor="text1"/>
        </w:rPr>
        <w:t>11.2.2.2-4</w:t>
      </w:r>
      <w:r w:rsidRPr="00B12FE0">
        <w:rPr>
          <w:color w:val="000000" w:themeColor="text1"/>
        </w:rPr>
        <w:t>计算。</w:t>
      </w:r>
    </w:p>
    <w:p w14:paraId="1691912E" w14:textId="77777777" w:rsidR="00A67F21" w:rsidRPr="00B12FE0" w:rsidRDefault="00000000">
      <w:pPr>
        <w:adjustRightInd w:val="0"/>
        <w:spacing w:line="360" w:lineRule="auto"/>
        <w:ind w:firstLine="480"/>
        <w:jc w:val="center"/>
        <w:rPr>
          <w:color w:val="000000" w:themeColor="text1"/>
        </w:rPr>
      </w:pPr>
      <w:r w:rsidRPr="00B12FE0">
        <w:rPr>
          <w:color w:val="000000" w:themeColor="text1"/>
          <w:position w:val="-12"/>
        </w:rPr>
        <w:object w:dxaOrig="988" w:dyaOrig="301" w14:anchorId="739E81F5">
          <v:shape id="_x0000_i1046" type="#_x0000_t75" style="width:49.55pt;height:14.95pt" o:ole="">
            <v:imagedata r:id="rId98" o:title=""/>
          </v:shape>
          <o:OLEObject Type="Embed" ProgID="Equation.3" ShapeID="_x0000_i1046" DrawAspect="Content" ObjectID="_1843190444" r:id="rId99"/>
        </w:object>
      </w:r>
      <w:r w:rsidRPr="00B12FE0">
        <w:rPr>
          <w:rFonts w:cs="宋体"/>
          <w:color w:val="000000" w:themeColor="text1"/>
        </w:rPr>
        <w:t>……………………………………</w:t>
      </w:r>
      <w:proofErr w:type="gramStart"/>
      <w:r w:rsidRPr="00B12FE0">
        <w:rPr>
          <w:rFonts w:cs="宋体"/>
          <w:color w:val="000000" w:themeColor="text1"/>
        </w:rPr>
        <w:t>…(</w:t>
      </w:r>
      <w:proofErr w:type="gramEnd"/>
      <w:r w:rsidRPr="00B12FE0">
        <w:rPr>
          <w:rFonts w:cs="宋体" w:hint="eastAsia"/>
          <w:color w:val="000000" w:themeColor="text1"/>
        </w:rPr>
        <w:t>式</w:t>
      </w:r>
      <w:r w:rsidRPr="00B12FE0">
        <w:rPr>
          <w:rFonts w:cs="宋体"/>
          <w:color w:val="000000" w:themeColor="text1"/>
        </w:rPr>
        <w:t>11.2.2.2-4)</w:t>
      </w:r>
    </w:p>
    <w:p w14:paraId="697B53CC" w14:textId="77777777" w:rsidR="00A67F21" w:rsidRPr="00B12FE0" w:rsidRDefault="00000000">
      <w:pPr>
        <w:adjustRightInd w:val="0"/>
        <w:spacing w:line="360" w:lineRule="auto"/>
        <w:ind w:firstLineChars="200" w:firstLine="480"/>
        <w:jc w:val="left"/>
        <w:rPr>
          <w:color w:val="000000" w:themeColor="text1"/>
        </w:rPr>
      </w:pPr>
      <w:r w:rsidRPr="00B12FE0">
        <w:rPr>
          <w:color w:val="000000" w:themeColor="text1"/>
        </w:rPr>
        <w:t>式中：</w:t>
      </w:r>
    </w:p>
    <w:p w14:paraId="3B4A9AE4" w14:textId="77777777" w:rsidR="00A67F21" w:rsidRPr="00B12FE0" w:rsidRDefault="00000000">
      <w:pPr>
        <w:adjustRightInd w:val="0"/>
        <w:spacing w:line="360" w:lineRule="auto"/>
        <w:ind w:firstLineChars="200" w:firstLine="480"/>
        <w:rPr>
          <w:color w:val="000000" w:themeColor="text1"/>
        </w:rPr>
      </w:pPr>
      <w:r w:rsidRPr="00B12FE0">
        <w:rPr>
          <w:color w:val="000000" w:themeColor="text1"/>
        </w:rPr>
        <w:t>A</w:t>
      </w:r>
      <w:r w:rsidRPr="00B12FE0">
        <w:rPr>
          <w:color w:val="000000" w:themeColor="text1"/>
        </w:rPr>
        <w:t>：放射源的活度，单位为</w:t>
      </w:r>
      <w:r w:rsidRPr="00B12FE0">
        <w:rPr>
          <w:color w:val="000000" w:themeColor="text1"/>
        </w:rPr>
        <w:t>MBq</w:t>
      </w:r>
      <w:r w:rsidRPr="00B12FE0">
        <w:rPr>
          <w:color w:val="000000" w:themeColor="text1"/>
        </w:rPr>
        <w:t>；本项目为</w:t>
      </w:r>
      <w:r w:rsidRPr="00B12FE0">
        <w:rPr>
          <w:color w:val="000000" w:themeColor="text1"/>
        </w:rPr>
        <w:t>3.7×10</w:t>
      </w:r>
      <w:r w:rsidRPr="00B12FE0">
        <w:rPr>
          <w:color w:val="000000" w:themeColor="text1"/>
          <w:vertAlign w:val="superscript"/>
        </w:rPr>
        <w:t>5</w:t>
      </w:r>
      <w:r w:rsidRPr="00B12FE0">
        <w:rPr>
          <w:color w:val="000000" w:themeColor="text1"/>
        </w:rPr>
        <w:t>MBq</w:t>
      </w:r>
      <w:r w:rsidRPr="00B12FE0">
        <w:rPr>
          <w:color w:val="000000" w:themeColor="text1"/>
        </w:rPr>
        <w:t>。</w:t>
      </w:r>
    </w:p>
    <w:p w14:paraId="3824F83E" w14:textId="77777777" w:rsidR="00A67F21" w:rsidRPr="00B12FE0" w:rsidRDefault="00000000">
      <w:pPr>
        <w:adjustRightInd w:val="0"/>
        <w:spacing w:line="360" w:lineRule="auto"/>
        <w:ind w:firstLineChars="200" w:firstLine="480"/>
        <w:rPr>
          <w:color w:val="000000" w:themeColor="text1"/>
        </w:rPr>
      </w:pPr>
      <w:r w:rsidRPr="00B12FE0">
        <w:rPr>
          <w:color w:val="000000" w:themeColor="text1"/>
          <w:position w:val="-12"/>
        </w:rPr>
        <w:object w:dxaOrig="452" w:dyaOrig="452" w14:anchorId="22EC8EE3">
          <v:shape id="_x0000_i1047" type="#_x0000_t75" style="width:22.45pt;height:22.45pt" o:ole="">
            <v:imagedata r:id="rId100" o:title=""/>
          </v:shape>
          <o:OLEObject Type="Embed" ProgID="Equation.DSMT4" ShapeID="_x0000_i1047" DrawAspect="Content" ObjectID="_1843190445" r:id="rId101"/>
        </w:object>
      </w:r>
      <w:r w:rsidRPr="00B12FE0">
        <w:rPr>
          <w:color w:val="000000" w:themeColor="text1"/>
        </w:rPr>
        <w:t>：放射源的</w:t>
      </w:r>
      <w:proofErr w:type="gramStart"/>
      <w:r w:rsidRPr="00B12FE0">
        <w:rPr>
          <w:color w:val="000000" w:themeColor="text1"/>
        </w:rPr>
        <w:t>空气比释动能</w:t>
      </w:r>
      <w:proofErr w:type="gramEnd"/>
      <w:r w:rsidRPr="00B12FE0">
        <w:rPr>
          <w:color w:val="000000" w:themeColor="text1"/>
        </w:rPr>
        <w:t>率常数，单位为</w:t>
      </w:r>
      <w:r w:rsidRPr="00B12FE0">
        <w:rPr>
          <w:color w:val="000000" w:themeColor="text1"/>
        </w:rPr>
        <w:t>µSv/</w:t>
      </w:r>
      <w:r w:rsidRPr="00B12FE0">
        <w:rPr>
          <w:color w:val="000000" w:themeColor="text1"/>
        </w:rPr>
        <w:t>（</w:t>
      </w:r>
      <w:proofErr w:type="spellStart"/>
      <w:r w:rsidRPr="00B12FE0">
        <w:rPr>
          <w:color w:val="000000" w:themeColor="text1"/>
        </w:rPr>
        <w:t>h·MBq</w:t>
      </w:r>
      <w:proofErr w:type="spellEnd"/>
      <w:r w:rsidRPr="00B12FE0">
        <w:rPr>
          <w:color w:val="000000" w:themeColor="text1"/>
        </w:rPr>
        <w:t>），根据</w:t>
      </w:r>
      <w:r w:rsidRPr="00B12FE0">
        <w:rPr>
          <w:color w:val="000000" w:themeColor="text1"/>
        </w:rPr>
        <w:t>GBZ/T201.3-2014</w:t>
      </w:r>
      <w:r w:rsidRPr="00B12FE0">
        <w:rPr>
          <w:color w:val="000000" w:themeColor="text1"/>
        </w:rPr>
        <w:t>附录</w:t>
      </w:r>
      <w:r w:rsidRPr="00B12FE0">
        <w:rPr>
          <w:color w:val="000000" w:themeColor="text1"/>
        </w:rPr>
        <w:t>C</w:t>
      </w:r>
      <w:r w:rsidRPr="00B12FE0">
        <w:rPr>
          <w:color w:val="000000" w:themeColor="text1"/>
        </w:rPr>
        <w:t>表</w:t>
      </w:r>
      <w:r w:rsidRPr="00B12FE0">
        <w:rPr>
          <w:color w:val="000000" w:themeColor="text1"/>
        </w:rPr>
        <w:t>C.1</w:t>
      </w:r>
      <w:r w:rsidRPr="00B12FE0">
        <w:rPr>
          <w:color w:val="000000" w:themeColor="text1"/>
        </w:rPr>
        <w:t>取</w:t>
      </w:r>
      <w:r w:rsidRPr="00B12FE0">
        <w:rPr>
          <w:color w:val="000000" w:themeColor="text1"/>
        </w:rPr>
        <w:t>0.111</w:t>
      </w:r>
      <w:r w:rsidRPr="00B12FE0">
        <w:rPr>
          <w:color w:val="000000" w:themeColor="text1"/>
        </w:rPr>
        <w:t>。</w:t>
      </w:r>
    </w:p>
    <w:p w14:paraId="7D542D13" w14:textId="77777777" w:rsidR="00A67F21" w:rsidRPr="00B12FE0" w:rsidRDefault="00000000">
      <w:pPr>
        <w:adjustRightInd w:val="0"/>
        <w:spacing w:line="360" w:lineRule="auto"/>
        <w:ind w:firstLineChars="200" w:firstLine="480"/>
        <w:jc w:val="left"/>
        <w:rPr>
          <w:color w:val="000000" w:themeColor="text1"/>
        </w:rPr>
      </w:pPr>
      <w:r w:rsidRPr="00B12FE0">
        <w:rPr>
          <w:color w:val="000000" w:themeColor="text1"/>
        </w:rPr>
        <w:t>根据公式</w:t>
      </w:r>
      <w:r w:rsidRPr="00B12FE0">
        <w:rPr>
          <w:rFonts w:cs="宋体"/>
          <w:color w:val="000000" w:themeColor="text1"/>
        </w:rPr>
        <w:t>11.2.2.2-4</w:t>
      </w:r>
      <w:r w:rsidRPr="00B12FE0">
        <w:rPr>
          <w:color w:val="000000" w:themeColor="text1"/>
        </w:rPr>
        <w:t>可计算</w:t>
      </w:r>
      <m:oMath>
        <m:sSub>
          <m:sSubPr>
            <m:ctrlPr>
              <w:rPr>
                <w:rFonts w:ascii="Cambria Math" w:hAnsi="Cambria Math"/>
                <w:color w:val="000000" w:themeColor="text1"/>
              </w:rPr>
            </m:ctrlPr>
          </m:sSubPr>
          <m:e>
            <m:acc>
              <m:accPr>
                <m:chr m:val="̇"/>
                <m:ctrlPr>
                  <w:rPr>
                    <w:rFonts w:ascii="Cambria Math" w:hAnsi="Cambria Math"/>
                    <w:color w:val="000000" w:themeColor="text1"/>
                  </w:rPr>
                </m:ctrlPr>
              </m:accPr>
              <m:e>
                <m:r>
                  <w:rPr>
                    <w:rFonts w:ascii="Cambria Math" w:hAnsi="Cambria Math"/>
                    <w:color w:val="000000" w:themeColor="text1"/>
                  </w:rPr>
                  <m:t>H</m:t>
                </m:r>
              </m:e>
            </m:acc>
          </m:e>
          <m:sub>
            <m:r>
              <w:rPr>
                <w:rFonts w:ascii="Cambria Math" w:hAnsi="Cambria Math" w:hint="eastAsia"/>
                <w:color w:val="000000" w:themeColor="text1"/>
              </w:rPr>
              <m:t>o</m:t>
            </m:r>
          </m:sub>
        </m:sSub>
      </m:oMath>
      <w:r w:rsidRPr="00B12FE0">
        <w:rPr>
          <w:color w:val="000000" w:themeColor="text1"/>
        </w:rPr>
        <w:t>=3.7×10</w:t>
      </w:r>
      <w:r w:rsidRPr="00B12FE0">
        <w:rPr>
          <w:color w:val="000000" w:themeColor="text1"/>
          <w:vertAlign w:val="superscript"/>
        </w:rPr>
        <w:t>5</w:t>
      </w:r>
      <w:r w:rsidRPr="00B12FE0">
        <w:rPr>
          <w:color w:val="000000" w:themeColor="text1"/>
        </w:rPr>
        <w:t>×0.111=4.11×10</w:t>
      </w:r>
      <w:r w:rsidRPr="00B12FE0">
        <w:rPr>
          <w:color w:val="000000" w:themeColor="text1"/>
          <w:vertAlign w:val="superscript"/>
        </w:rPr>
        <w:t>4</w:t>
      </w:r>
      <w:r w:rsidRPr="00B12FE0">
        <w:rPr>
          <w:color w:val="000000" w:themeColor="text1"/>
        </w:rPr>
        <w:t>µSv/h</w:t>
      </w:r>
      <w:r w:rsidRPr="00B12FE0">
        <w:rPr>
          <w:color w:val="000000" w:themeColor="text1"/>
        </w:rPr>
        <w:t>。</w:t>
      </w:r>
    </w:p>
    <w:p w14:paraId="215227D7" w14:textId="77777777" w:rsidR="00A67F21" w:rsidRPr="00B12FE0" w:rsidRDefault="00000000">
      <w:pPr>
        <w:adjustRightInd w:val="0"/>
        <w:spacing w:line="360" w:lineRule="auto"/>
        <w:ind w:firstLine="480"/>
        <w:jc w:val="left"/>
        <w:rPr>
          <w:color w:val="000000" w:themeColor="text1"/>
        </w:rPr>
      </w:pPr>
      <w:r w:rsidRPr="00B12FE0">
        <w:rPr>
          <w:color w:val="000000" w:themeColor="text1"/>
        </w:rPr>
        <w:t>再使用公式</w:t>
      </w:r>
      <w:r w:rsidRPr="00B12FE0">
        <w:rPr>
          <w:rFonts w:cs="宋体"/>
          <w:color w:val="000000" w:themeColor="text1"/>
        </w:rPr>
        <w:t>11.2.2.2-1</w:t>
      </w:r>
      <w:r w:rsidRPr="00B12FE0">
        <w:rPr>
          <w:rFonts w:cs="宋体" w:hint="eastAsia"/>
          <w:color w:val="000000" w:themeColor="text1"/>
        </w:rPr>
        <w:t>~</w:t>
      </w:r>
      <w:r w:rsidRPr="00B12FE0">
        <w:rPr>
          <w:rFonts w:cs="宋体"/>
          <w:color w:val="000000" w:themeColor="text1"/>
        </w:rPr>
        <w:t>3</w:t>
      </w:r>
      <w:r w:rsidRPr="00B12FE0">
        <w:rPr>
          <w:color w:val="000000" w:themeColor="text1"/>
        </w:rPr>
        <w:t>计算出治疗机房</w:t>
      </w:r>
      <w:proofErr w:type="gramStart"/>
      <w:r w:rsidRPr="00B12FE0">
        <w:rPr>
          <w:color w:val="000000" w:themeColor="text1"/>
        </w:rPr>
        <w:t>各关注</w:t>
      </w:r>
      <w:proofErr w:type="gramEnd"/>
      <w:r w:rsidRPr="00B12FE0">
        <w:rPr>
          <w:color w:val="000000" w:themeColor="text1"/>
        </w:rPr>
        <w:t>点的辐射剂量率水平，计算因子和结果见表</w:t>
      </w:r>
      <w:r w:rsidRPr="00B12FE0">
        <w:rPr>
          <w:rFonts w:cs="宋体"/>
          <w:color w:val="000000" w:themeColor="text1"/>
        </w:rPr>
        <w:t>11.2.2.2-3</w:t>
      </w:r>
      <w:r w:rsidRPr="00B12FE0">
        <w:rPr>
          <w:color w:val="000000" w:themeColor="text1"/>
        </w:rPr>
        <w:t>。</w:t>
      </w:r>
    </w:p>
    <w:p w14:paraId="67CF3959" w14:textId="77777777" w:rsidR="00A67F21" w:rsidRPr="00B12FE0" w:rsidRDefault="00000000">
      <w:pPr>
        <w:adjustRightInd w:val="0"/>
        <w:spacing w:line="360" w:lineRule="auto"/>
        <w:jc w:val="center"/>
        <w:rPr>
          <w:b/>
          <w:color w:val="000000" w:themeColor="text1"/>
          <w:sz w:val="21"/>
          <w:szCs w:val="22"/>
        </w:rPr>
      </w:pPr>
      <w:r w:rsidRPr="00B12FE0">
        <w:rPr>
          <w:rFonts w:hint="eastAsia"/>
          <w:b/>
          <w:color w:val="000000" w:themeColor="text1"/>
          <w:sz w:val="21"/>
          <w:szCs w:val="22"/>
        </w:rPr>
        <w:t>表</w:t>
      </w:r>
      <w:r w:rsidRPr="00B12FE0">
        <w:rPr>
          <w:b/>
          <w:color w:val="000000" w:themeColor="text1"/>
          <w:sz w:val="21"/>
          <w:szCs w:val="22"/>
        </w:rPr>
        <w:t xml:space="preserve">11.2.2.2-3  </w:t>
      </w:r>
      <w:r w:rsidRPr="00B12FE0">
        <w:rPr>
          <w:b/>
          <w:color w:val="000000" w:themeColor="text1"/>
          <w:sz w:val="21"/>
          <w:szCs w:val="22"/>
        </w:rPr>
        <w:t>后装机关注点初级辐射剂量率的预测结果</w:t>
      </w:r>
    </w:p>
    <w:tbl>
      <w:tblPr>
        <w:tblStyle w:val="affff"/>
        <w:tblW w:w="5000" w:type="pct"/>
        <w:jc w:val="center"/>
        <w:tblCellMar>
          <w:left w:w="57" w:type="dxa"/>
          <w:right w:w="57" w:type="dxa"/>
        </w:tblCellMar>
        <w:tblLook w:val="04A0" w:firstRow="1" w:lastRow="0" w:firstColumn="1" w:lastColumn="0" w:noHBand="0" w:noVBand="1"/>
      </w:tblPr>
      <w:tblGrid>
        <w:gridCol w:w="866"/>
        <w:gridCol w:w="2234"/>
        <w:gridCol w:w="620"/>
        <w:gridCol w:w="1540"/>
        <w:gridCol w:w="1026"/>
        <w:gridCol w:w="1369"/>
        <w:gridCol w:w="1362"/>
      </w:tblGrid>
      <w:tr w:rsidR="00A67F21" w:rsidRPr="00B12FE0" w14:paraId="5574D9E9" w14:textId="77777777">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13D7E7CC"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关注点</w:t>
            </w:r>
          </w:p>
        </w:tc>
        <w:tc>
          <w:tcPr>
            <w:tcW w:w="1239" w:type="pct"/>
            <w:tcBorders>
              <w:top w:val="single" w:sz="4" w:space="0" w:color="auto"/>
              <w:left w:val="single" w:sz="4" w:space="0" w:color="auto"/>
              <w:bottom w:val="single" w:sz="4" w:space="0" w:color="auto"/>
              <w:right w:val="single" w:sz="4" w:space="0" w:color="auto"/>
            </w:tcBorders>
            <w:vAlign w:val="center"/>
          </w:tcPr>
          <w:p w14:paraId="5CE43621"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点位描述</w:t>
            </w:r>
          </w:p>
        </w:tc>
        <w:tc>
          <w:tcPr>
            <w:tcW w:w="344" w:type="pct"/>
            <w:tcBorders>
              <w:top w:val="single" w:sz="4" w:space="0" w:color="auto"/>
              <w:left w:val="single" w:sz="4" w:space="0" w:color="auto"/>
              <w:bottom w:val="single" w:sz="4" w:space="0" w:color="auto"/>
              <w:right w:val="single" w:sz="4" w:space="0" w:color="auto"/>
            </w:tcBorders>
            <w:vAlign w:val="center"/>
          </w:tcPr>
          <w:p w14:paraId="39FD7298"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辐射类型</w:t>
            </w:r>
          </w:p>
        </w:tc>
        <w:tc>
          <w:tcPr>
            <w:tcW w:w="854" w:type="pct"/>
            <w:tcBorders>
              <w:top w:val="single" w:sz="4" w:space="0" w:color="auto"/>
              <w:left w:val="single" w:sz="4" w:space="0" w:color="auto"/>
              <w:bottom w:val="single" w:sz="4" w:space="0" w:color="auto"/>
              <w:right w:val="single" w:sz="4" w:space="0" w:color="auto"/>
            </w:tcBorders>
            <w:vAlign w:val="center"/>
          </w:tcPr>
          <w:p w14:paraId="4B220C8E"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屏蔽墙混凝土</w:t>
            </w:r>
            <w:r w:rsidRPr="00B12FE0">
              <w:rPr>
                <w:rFonts w:hint="eastAsia"/>
                <w:color w:val="000000" w:themeColor="text1"/>
                <w:sz w:val="21"/>
                <w:szCs w:val="18"/>
              </w:rPr>
              <w:t>有效</w:t>
            </w:r>
            <w:r w:rsidRPr="00B12FE0">
              <w:rPr>
                <w:color w:val="000000" w:themeColor="text1"/>
                <w:sz w:val="21"/>
                <w:szCs w:val="18"/>
              </w:rPr>
              <w:t>厚度</w:t>
            </w:r>
            <w:r w:rsidRPr="00B12FE0">
              <w:rPr>
                <w:rFonts w:hint="eastAsia"/>
                <w:color w:val="000000" w:themeColor="text1"/>
                <w:sz w:val="21"/>
                <w:szCs w:val="18"/>
              </w:rPr>
              <w:t>Xe</w:t>
            </w:r>
            <w:r w:rsidRPr="00B12FE0">
              <w:rPr>
                <w:rFonts w:hint="eastAsia"/>
                <w:color w:val="000000" w:themeColor="text1"/>
                <w:sz w:val="21"/>
                <w:szCs w:val="18"/>
              </w:rPr>
              <w:t>（</w:t>
            </w:r>
            <w:r w:rsidRPr="00B12FE0">
              <w:rPr>
                <w:rFonts w:hint="eastAsia"/>
                <w:color w:val="000000" w:themeColor="text1"/>
                <w:sz w:val="21"/>
                <w:szCs w:val="18"/>
              </w:rPr>
              <w:t>mm</w:t>
            </w:r>
            <w:r w:rsidRPr="00B12FE0">
              <w:rPr>
                <w:rFonts w:hint="eastAsia"/>
                <w:color w:val="000000" w:themeColor="text1"/>
                <w:sz w:val="21"/>
                <w:szCs w:val="18"/>
              </w:rPr>
              <w:t>）</w:t>
            </w:r>
          </w:p>
        </w:tc>
        <w:tc>
          <w:tcPr>
            <w:tcW w:w="569" w:type="pct"/>
            <w:tcBorders>
              <w:top w:val="single" w:sz="4" w:space="0" w:color="auto"/>
              <w:left w:val="single" w:sz="4" w:space="0" w:color="auto"/>
              <w:bottom w:val="single" w:sz="4" w:space="0" w:color="auto"/>
              <w:right w:val="single" w:sz="4" w:space="0" w:color="auto"/>
            </w:tcBorders>
            <w:vAlign w:val="center"/>
          </w:tcPr>
          <w:p w14:paraId="74488D88"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距离</w:t>
            </w:r>
            <w:r w:rsidRPr="00B12FE0">
              <w:rPr>
                <w:i/>
                <w:color w:val="000000" w:themeColor="text1"/>
                <w:sz w:val="21"/>
                <w:szCs w:val="18"/>
              </w:rPr>
              <w:t>R</w:t>
            </w:r>
            <w:r w:rsidRPr="00B12FE0">
              <w:rPr>
                <w:color w:val="000000" w:themeColor="text1"/>
                <w:sz w:val="21"/>
                <w:szCs w:val="18"/>
              </w:rPr>
              <w:t>（</w:t>
            </w:r>
            <w:r w:rsidRPr="00B12FE0">
              <w:rPr>
                <w:color w:val="000000" w:themeColor="text1"/>
                <w:sz w:val="21"/>
                <w:szCs w:val="18"/>
              </w:rPr>
              <w:t>m</w:t>
            </w:r>
            <w:r w:rsidRPr="00B12FE0">
              <w:rPr>
                <w:color w:val="000000" w:themeColor="text1"/>
                <w:sz w:val="21"/>
                <w:szCs w:val="18"/>
              </w:rPr>
              <w:t>）</w:t>
            </w:r>
          </w:p>
        </w:tc>
        <w:tc>
          <w:tcPr>
            <w:tcW w:w="759" w:type="pct"/>
            <w:tcBorders>
              <w:top w:val="single" w:sz="4" w:space="0" w:color="auto"/>
              <w:left w:val="single" w:sz="4" w:space="0" w:color="auto"/>
              <w:bottom w:val="single" w:sz="4" w:space="0" w:color="auto"/>
              <w:right w:val="single" w:sz="4" w:space="0" w:color="auto"/>
            </w:tcBorders>
            <w:vAlign w:val="center"/>
          </w:tcPr>
          <w:p w14:paraId="1E6A9478" w14:textId="77777777" w:rsidR="00A67F21" w:rsidRPr="00B12FE0" w:rsidRDefault="00000000">
            <w:pPr>
              <w:adjustRightInd w:val="0"/>
              <w:snapToGrid w:val="0"/>
              <w:jc w:val="center"/>
              <w:rPr>
                <w:color w:val="000000" w:themeColor="text1"/>
                <w:sz w:val="21"/>
                <w:szCs w:val="18"/>
                <w:vertAlign w:val="subscript"/>
              </w:rPr>
            </w:pPr>
            <w:r w:rsidRPr="00B12FE0">
              <w:rPr>
                <w:color w:val="000000" w:themeColor="text1"/>
                <w:sz w:val="21"/>
                <w:szCs w:val="18"/>
              </w:rPr>
              <w:t>TVL</w:t>
            </w:r>
            <w:r w:rsidRPr="00B12FE0">
              <w:rPr>
                <w:color w:val="000000" w:themeColor="text1"/>
                <w:sz w:val="21"/>
                <w:szCs w:val="18"/>
                <w:vertAlign w:val="subscript"/>
              </w:rPr>
              <w:t>1</w:t>
            </w:r>
            <w:r w:rsidRPr="00B12FE0">
              <w:rPr>
                <w:rFonts w:hint="eastAsia"/>
                <w:color w:val="000000" w:themeColor="text1"/>
                <w:sz w:val="21"/>
                <w:szCs w:val="18"/>
              </w:rPr>
              <w:t>/</w:t>
            </w:r>
            <w:r w:rsidRPr="00B12FE0">
              <w:rPr>
                <w:color w:val="000000" w:themeColor="text1"/>
                <w:sz w:val="21"/>
                <w:szCs w:val="18"/>
              </w:rPr>
              <w:t>TVL</w:t>
            </w:r>
          </w:p>
          <w:p w14:paraId="79CE6F05"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w:t>
            </w:r>
            <w:r w:rsidRPr="00B12FE0">
              <w:rPr>
                <w:rFonts w:hint="eastAsia"/>
                <w:color w:val="000000" w:themeColor="text1"/>
                <w:sz w:val="21"/>
                <w:szCs w:val="18"/>
              </w:rPr>
              <w:t>m</w:t>
            </w:r>
            <w:r w:rsidRPr="00B12FE0">
              <w:rPr>
                <w:color w:val="000000" w:themeColor="text1"/>
                <w:sz w:val="21"/>
                <w:szCs w:val="18"/>
              </w:rPr>
              <w:t>m</w:t>
            </w:r>
            <w:r w:rsidRPr="00B12FE0">
              <w:rPr>
                <w:color w:val="000000" w:themeColor="text1"/>
                <w:sz w:val="21"/>
                <w:szCs w:val="18"/>
              </w:rPr>
              <w:t>）</w:t>
            </w:r>
          </w:p>
        </w:tc>
        <w:tc>
          <w:tcPr>
            <w:tcW w:w="755" w:type="pct"/>
            <w:tcBorders>
              <w:top w:val="single" w:sz="4" w:space="0" w:color="auto"/>
              <w:left w:val="single" w:sz="4" w:space="0" w:color="auto"/>
              <w:bottom w:val="single" w:sz="4" w:space="0" w:color="auto"/>
              <w:right w:val="single" w:sz="4" w:space="0" w:color="auto"/>
            </w:tcBorders>
            <w:vAlign w:val="center"/>
          </w:tcPr>
          <w:p w14:paraId="7F861231"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预测值</w:t>
            </w:r>
            <m:oMath>
              <m:acc>
                <m:accPr>
                  <m:chr m:val="̇"/>
                  <m:ctrlPr>
                    <w:rPr>
                      <w:rFonts w:ascii="Cambria Math" w:hAnsi="Cambria Math"/>
                      <w:i/>
                      <w:color w:val="000000" w:themeColor="text1"/>
                      <w:sz w:val="21"/>
                      <w:szCs w:val="18"/>
                    </w:rPr>
                  </m:ctrlPr>
                </m:accPr>
                <m:e>
                  <m:r>
                    <w:rPr>
                      <w:rFonts w:ascii="Cambria Math" w:hAnsi="Cambria Math"/>
                      <w:color w:val="000000" w:themeColor="text1"/>
                      <w:sz w:val="21"/>
                      <w:szCs w:val="18"/>
                    </w:rPr>
                    <m:t>H</m:t>
                  </m:r>
                </m:e>
              </m:acc>
            </m:oMath>
            <w:r w:rsidRPr="00B12FE0">
              <w:rPr>
                <w:color w:val="000000" w:themeColor="text1"/>
                <w:sz w:val="21"/>
                <w:szCs w:val="18"/>
              </w:rPr>
              <w:t>（</w:t>
            </w:r>
            <w:r w:rsidRPr="00B12FE0">
              <w:rPr>
                <w:color w:val="000000" w:themeColor="text1"/>
                <w:sz w:val="21"/>
                <w:szCs w:val="18"/>
              </w:rPr>
              <w:t>µSv/h</w:t>
            </w:r>
            <w:r w:rsidRPr="00B12FE0">
              <w:rPr>
                <w:color w:val="000000" w:themeColor="text1"/>
                <w:sz w:val="21"/>
                <w:szCs w:val="18"/>
              </w:rPr>
              <w:t>）</w:t>
            </w:r>
          </w:p>
        </w:tc>
      </w:tr>
      <w:tr w:rsidR="00A67F21" w:rsidRPr="00B12FE0" w14:paraId="7F886983" w14:textId="77777777">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7ED8A013"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a</w:t>
            </w:r>
          </w:p>
        </w:tc>
        <w:tc>
          <w:tcPr>
            <w:tcW w:w="1239" w:type="pct"/>
            <w:tcBorders>
              <w:top w:val="single" w:sz="4" w:space="0" w:color="auto"/>
              <w:left w:val="single" w:sz="4" w:space="0" w:color="auto"/>
              <w:bottom w:val="single" w:sz="4" w:space="0" w:color="auto"/>
              <w:right w:val="single" w:sz="4" w:space="0" w:color="auto"/>
            </w:tcBorders>
            <w:vAlign w:val="center"/>
          </w:tcPr>
          <w:p w14:paraId="5781F056" w14:textId="77777777" w:rsidR="00A67F21" w:rsidRPr="00B12FE0" w:rsidRDefault="00000000">
            <w:pPr>
              <w:adjustRightInd w:val="0"/>
              <w:snapToGrid w:val="0"/>
              <w:rPr>
                <w:color w:val="000000" w:themeColor="text1"/>
                <w:sz w:val="21"/>
                <w:szCs w:val="18"/>
              </w:rPr>
            </w:pPr>
            <w:r w:rsidRPr="00B12FE0">
              <w:rPr>
                <w:rFonts w:hAnsi="宋体" w:hint="eastAsia"/>
                <w:color w:val="000000" w:themeColor="text1"/>
                <w:sz w:val="21"/>
                <w:szCs w:val="18"/>
              </w:rPr>
              <w:t>南</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（控制室）</w:t>
            </w:r>
          </w:p>
        </w:tc>
        <w:tc>
          <w:tcPr>
            <w:tcW w:w="344" w:type="pct"/>
            <w:tcBorders>
              <w:top w:val="single" w:sz="4" w:space="0" w:color="auto"/>
              <w:left w:val="single" w:sz="4" w:space="0" w:color="auto"/>
              <w:bottom w:val="single" w:sz="4" w:space="0" w:color="auto"/>
              <w:right w:val="single" w:sz="4" w:space="0" w:color="auto"/>
            </w:tcBorders>
            <w:vAlign w:val="center"/>
          </w:tcPr>
          <w:p w14:paraId="2EEE01C3"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初级</w:t>
            </w:r>
          </w:p>
        </w:tc>
        <w:tc>
          <w:tcPr>
            <w:tcW w:w="854" w:type="pct"/>
            <w:tcBorders>
              <w:top w:val="single" w:sz="4" w:space="0" w:color="auto"/>
              <w:left w:val="single" w:sz="4" w:space="0" w:color="auto"/>
              <w:bottom w:val="single" w:sz="4" w:space="0" w:color="auto"/>
              <w:right w:val="single" w:sz="4" w:space="0" w:color="auto"/>
            </w:tcBorders>
            <w:vAlign w:val="center"/>
          </w:tcPr>
          <w:p w14:paraId="7BC66C9A"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600+600</w:t>
            </w:r>
          </w:p>
        </w:tc>
        <w:tc>
          <w:tcPr>
            <w:tcW w:w="569" w:type="pct"/>
            <w:tcBorders>
              <w:top w:val="single" w:sz="4" w:space="0" w:color="auto"/>
              <w:left w:val="single" w:sz="4" w:space="0" w:color="auto"/>
              <w:bottom w:val="single" w:sz="4" w:space="0" w:color="auto"/>
              <w:right w:val="single" w:sz="4" w:space="0" w:color="auto"/>
            </w:tcBorders>
            <w:vAlign w:val="center"/>
          </w:tcPr>
          <w:p w14:paraId="06415D30" w14:textId="77777777" w:rsidR="00A67F21" w:rsidRPr="00B12FE0" w:rsidRDefault="00000000">
            <w:pPr>
              <w:jc w:val="center"/>
              <w:rPr>
                <w:color w:val="000000" w:themeColor="text1"/>
                <w:sz w:val="21"/>
                <w:szCs w:val="18"/>
              </w:rPr>
            </w:pPr>
            <w:r w:rsidRPr="00B12FE0">
              <w:rPr>
                <w:color w:val="000000" w:themeColor="text1"/>
                <w:sz w:val="21"/>
                <w:szCs w:val="18"/>
              </w:rPr>
              <w:t>4.8</w:t>
            </w:r>
          </w:p>
        </w:tc>
        <w:tc>
          <w:tcPr>
            <w:tcW w:w="759" w:type="pct"/>
            <w:tcBorders>
              <w:top w:val="single" w:sz="4" w:space="0" w:color="auto"/>
              <w:left w:val="single" w:sz="4" w:space="0" w:color="auto"/>
              <w:bottom w:val="single" w:sz="4" w:space="0" w:color="auto"/>
              <w:right w:val="single" w:sz="4" w:space="0" w:color="auto"/>
            </w:tcBorders>
            <w:vAlign w:val="center"/>
          </w:tcPr>
          <w:p w14:paraId="14A0BD0D"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152</w:t>
            </w:r>
          </w:p>
        </w:tc>
        <w:tc>
          <w:tcPr>
            <w:tcW w:w="755" w:type="pct"/>
            <w:tcBorders>
              <w:top w:val="single" w:sz="4" w:space="0" w:color="auto"/>
              <w:left w:val="nil"/>
              <w:bottom w:val="single" w:sz="4" w:space="0" w:color="auto"/>
              <w:right w:val="single" w:sz="4" w:space="0" w:color="auto"/>
            </w:tcBorders>
            <w:vAlign w:val="center"/>
          </w:tcPr>
          <w:p w14:paraId="7581618E"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2.27E-05</w:t>
            </w:r>
          </w:p>
        </w:tc>
      </w:tr>
      <w:tr w:rsidR="00A67F21" w:rsidRPr="00B12FE0" w14:paraId="227A14DF" w14:textId="77777777">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2F44BA35"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b</w:t>
            </w:r>
          </w:p>
        </w:tc>
        <w:tc>
          <w:tcPr>
            <w:tcW w:w="1239" w:type="pct"/>
            <w:tcBorders>
              <w:top w:val="single" w:sz="4" w:space="0" w:color="auto"/>
              <w:left w:val="single" w:sz="4" w:space="0" w:color="auto"/>
              <w:bottom w:val="single" w:sz="4" w:space="0" w:color="auto"/>
              <w:right w:val="single" w:sz="4" w:space="0" w:color="auto"/>
            </w:tcBorders>
            <w:vAlign w:val="center"/>
          </w:tcPr>
          <w:p w14:paraId="7AA84137" w14:textId="77777777" w:rsidR="00A67F21" w:rsidRPr="00B12FE0" w:rsidRDefault="00000000">
            <w:pPr>
              <w:adjustRightInd w:val="0"/>
              <w:snapToGrid w:val="0"/>
              <w:rPr>
                <w:color w:val="000000" w:themeColor="text1"/>
                <w:sz w:val="21"/>
                <w:szCs w:val="18"/>
              </w:rPr>
            </w:pPr>
            <w:r w:rsidRPr="00B12FE0">
              <w:rPr>
                <w:rFonts w:hAnsi="宋体" w:hint="eastAsia"/>
                <w:color w:val="000000" w:themeColor="text1"/>
                <w:sz w:val="21"/>
                <w:szCs w:val="18"/>
              </w:rPr>
              <w:t>北墙</w:t>
            </w:r>
            <w:r w:rsidRPr="00B12FE0">
              <w:rPr>
                <w:rFonts w:hAnsi="宋体"/>
                <w:color w:val="000000" w:themeColor="text1"/>
                <w:sz w:val="21"/>
                <w:szCs w:val="18"/>
              </w:rPr>
              <w:t>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w:t>
            </w:r>
            <w:r w:rsidRPr="00B12FE0">
              <w:rPr>
                <w:rFonts w:hAnsi="宋体"/>
                <w:color w:val="000000" w:themeColor="text1"/>
                <w:sz w:val="21"/>
                <w:szCs w:val="18"/>
              </w:rPr>
              <w:t>院内道路及绿化</w:t>
            </w:r>
            <w:r w:rsidRPr="00B12FE0">
              <w:rPr>
                <w:rFonts w:hAnsi="宋体" w:hint="eastAsia"/>
                <w:color w:val="000000" w:themeColor="text1"/>
                <w:sz w:val="21"/>
                <w:szCs w:val="18"/>
              </w:rPr>
              <w:t>）</w:t>
            </w:r>
          </w:p>
        </w:tc>
        <w:tc>
          <w:tcPr>
            <w:tcW w:w="344" w:type="pct"/>
            <w:tcBorders>
              <w:top w:val="single" w:sz="4" w:space="0" w:color="auto"/>
              <w:left w:val="single" w:sz="4" w:space="0" w:color="auto"/>
              <w:bottom w:val="single" w:sz="4" w:space="0" w:color="auto"/>
              <w:right w:val="single" w:sz="4" w:space="0" w:color="auto"/>
            </w:tcBorders>
            <w:vAlign w:val="center"/>
          </w:tcPr>
          <w:p w14:paraId="23DAE380"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初级</w:t>
            </w:r>
          </w:p>
        </w:tc>
        <w:tc>
          <w:tcPr>
            <w:tcW w:w="854" w:type="pct"/>
            <w:tcBorders>
              <w:top w:val="single" w:sz="4" w:space="0" w:color="auto"/>
              <w:left w:val="single" w:sz="4" w:space="0" w:color="auto"/>
              <w:bottom w:val="single" w:sz="4" w:space="0" w:color="auto"/>
              <w:right w:val="single" w:sz="4" w:space="0" w:color="auto"/>
            </w:tcBorders>
            <w:vAlign w:val="center"/>
          </w:tcPr>
          <w:p w14:paraId="1F567D8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600</w:t>
            </w:r>
          </w:p>
        </w:tc>
        <w:tc>
          <w:tcPr>
            <w:tcW w:w="569" w:type="pct"/>
            <w:tcBorders>
              <w:top w:val="single" w:sz="4" w:space="0" w:color="auto"/>
              <w:left w:val="single" w:sz="4" w:space="0" w:color="auto"/>
              <w:bottom w:val="single" w:sz="4" w:space="0" w:color="auto"/>
              <w:right w:val="single" w:sz="4" w:space="0" w:color="auto"/>
            </w:tcBorders>
            <w:vAlign w:val="center"/>
          </w:tcPr>
          <w:p w14:paraId="541B0161" w14:textId="77777777" w:rsidR="00A67F21" w:rsidRPr="00B12FE0" w:rsidRDefault="00000000">
            <w:pPr>
              <w:jc w:val="center"/>
              <w:rPr>
                <w:color w:val="000000" w:themeColor="text1"/>
                <w:sz w:val="21"/>
                <w:szCs w:val="18"/>
              </w:rPr>
            </w:pPr>
            <w:r w:rsidRPr="00B12FE0">
              <w:rPr>
                <w:color w:val="000000" w:themeColor="text1"/>
                <w:sz w:val="21"/>
                <w:szCs w:val="18"/>
              </w:rPr>
              <w:t>2.5</w:t>
            </w:r>
          </w:p>
        </w:tc>
        <w:tc>
          <w:tcPr>
            <w:tcW w:w="759" w:type="pct"/>
            <w:tcBorders>
              <w:top w:val="single" w:sz="4" w:space="0" w:color="auto"/>
              <w:left w:val="single" w:sz="4" w:space="0" w:color="auto"/>
              <w:bottom w:val="single" w:sz="4" w:space="0" w:color="auto"/>
              <w:right w:val="single" w:sz="4" w:space="0" w:color="auto"/>
            </w:tcBorders>
            <w:vAlign w:val="center"/>
          </w:tcPr>
          <w:p w14:paraId="2B10D5CF"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152</w:t>
            </w:r>
          </w:p>
        </w:tc>
        <w:tc>
          <w:tcPr>
            <w:tcW w:w="755" w:type="pct"/>
            <w:tcBorders>
              <w:top w:val="single" w:sz="4" w:space="0" w:color="auto"/>
              <w:left w:val="nil"/>
              <w:bottom w:val="single" w:sz="4" w:space="0" w:color="auto"/>
              <w:right w:val="single" w:sz="4" w:space="0" w:color="auto"/>
            </w:tcBorders>
            <w:vAlign w:val="center"/>
          </w:tcPr>
          <w:p w14:paraId="3FE72B6F"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7.42E-01</w:t>
            </w:r>
          </w:p>
        </w:tc>
      </w:tr>
      <w:tr w:rsidR="00A67F21" w:rsidRPr="00B12FE0" w14:paraId="2CDFE2D2" w14:textId="77777777">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407F76C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c</w:t>
            </w:r>
          </w:p>
        </w:tc>
        <w:tc>
          <w:tcPr>
            <w:tcW w:w="1239" w:type="pct"/>
            <w:tcBorders>
              <w:top w:val="single" w:sz="4" w:space="0" w:color="auto"/>
              <w:left w:val="single" w:sz="4" w:space="0" w:color="auto"/>
              <w:bottom w:val="single" w:sz="4" w:space="0" w:color="auto"/>
              <w:right w:val="single" w:sz="4" w:space="0" w:color="auto"/>
            </w:tcBorders>
            <w:vAlign w:val="center"/>
          </w:tcPr>
          <w:p w14:paraId="74FD2408" w14:textId="77777777" w:rsidR="00A67F21" w:rsidRPr="00B12FE0" w:rsidRDefault="00000000">
            <w:pPr>
              <w:adjustRightInd w:val="0"/>
              <w:snapToGrid w:val="0"/>
              <w:rPr>
                <w:color w:val="000000" w:themeColor="text1"/>
                <w:sz w:val="21"/>
                <w:szCs w:val="18"/>
              </w:rPr>
            </w:pPr>
            <w:r w:rsidRPr="00B12FE0">
              <w:rPr>
                <w:rFonts w:hAnsi="宋体" w:hint="eastAsia"/>
                <w:color w:val="000000" w:themeColor="text1"/>
                <w:sz w:val="21"/>
                <w:szCs w:val="18"/>
              </w:rPr>
              <w:t>西</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（直线加速器机房</w:t>
            </w:r>
            <w:r w:rsidRPr="00B12FE0">
              <w:rPr>
                <w:rFonts w:hAnsi="宋体" w:hint="eastAsia"/>
                <w:color w:val="000000" w:themeColor="text1"/>
                <w:sz w:val="21"/>
                <w:szCs w:val="18"/>
              </w:rPr>
              <w:t>2</w:t>
            </w:r>
            <w:r w:rsidRPr="00B12FE0">
              <w:rPr>
                <w:rFonts w:hAnsi="宋体" w:hint="eastAsia"/>
                <w:color w:val="000000" w:themeColor="text1"/>
                <w:sz w:val="21"/>
                <w:szCs w:val="18"/>
              </w:rPr>
              <w:t>）</w:t>
            </w:r>
          </w:p>
        </w:tc>
        <w:tc>
          <w:tcPr>
            <w:tcW w:w="344" w:type="pct"/>
            <w:tcBorders>
              <w:top w:val="single" w:sz="4" w:space="0" w:color="auto"/>
              <w:left w:val="single" w:sz="4" w:space="0" w:color="auto"/>
              <w:bottom w:val="single" w:sz="4" w:space="0" w:color="auto"/>
              <w:right w:val="single" w:sz="4" w:space="0" w:color="auto"/>
            </w:tcBorders>
            <w:vAlign w:val="center"/>
          </w:tcPr>
          <w:p w14:paraId="2E5C4264"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初级</w:t>
            </w:r>
          </w:p>
        </w:tc>
        <w:tc>
          <w:tcPr>
            <w:tcW w:w="854" w:type="pct"/>
            <w:tcBorders>
              <w:top w:val="single" w:sz="4" w:space="0" w:color="auto"/>
              <w:left w:val="single" w:sz="4" w:space="0" w:color="auto"/>
              <w:bottom w:val="single" w:sz="4" w:space="0" w:color="auto"/>
              <w:right w:val="single" w:sz="4" w:space="0" w:color="auto"/>
            </w:tcBorders>
            <w:vAlign w:val="center"/>
          </w:tcPr>
          <w:p w14:paraId="246BB6FE"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30</w:t>
            </w:r>
            <w:r w:rsidRPr="00B12FE0">
              <w:rPr>
                <w:color w:val="000000" w:themeColor="text1"/>
                <w:sz w:val="21"/>
                <w:szCs w:val="18"/>
              </w:rPr>
              <w:t>00</w:t>
            </w:r>
          </w:p>
        </w:tc>
        <w:tc>
          <w:tcPr>
            <w:tcW w:w="569" w:type="pct"/>
            <w:tcBorders>
              <w:top w:val="single" w:sz="4" w:space="0" w:color="auto"/>
              <w:left w:val="single" w:sz="4" w:space="0" w:color="auto"/>
              <w:bottom w:val="single" w:sz="4" w:space="0" w:color="auto"/>
              <w:right w:val="single" w:sz="4" w:space="0" w:color="auto"/>
            </w:tcBorders>
            <w:vAlign w:val="center"/>
          </w:tcPr>
          <w:p w14:paraId="5357FEBF" w14:textId="77777777" w:rsidR="00A67F21" w:rsidRPr="00B12FE0" w:rsidRDefault="00000000">
            <w:pPr>
              <w:jc w:val="center"/>
              <w:rPr>
                <w:color w:val="000000" w:themeColor="text1"/>
                <w:sz w:val="21"/>
                <w:szCs w:val="18"/>
              </w:rPr>
            </w:pPr>
            <w:r w:rsidRPr="00B12FE0">
              <w:rPr>
                <w:color w:val="000000" w:themeColor="text1"/>
                <w:sz w:val="21"/>
                <w:szCs w:val="18"/>
              </w:rPr>
              <w:t>3.9</w:t>
            </w:r>
          </w:p>
        </w:tc>
        <w:tc>
          <w:tcPr>
            <w:tcW w:w="759" w:type="pct"/>
            <w:tcBorders>
              <w:top w:val="single" w:sz="4" w:space="0" w:color="auto"/>
              <w:left w:val="single" w:sz="4" w:space="0" w:color="auto"/>
              <w:bottom w:val="single" w:sz="4" w:space="0" w:color="auto"/>
              <w:right w:val="single" w:sz="4" w:space="0" w:color="auto"/>
            </w:tcBorders>
            <w:vAlign w:val="center"/>
          </w:tcPr>
          <w:p w14:paraId="71D4C25F"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152</w:t>
            </w:r>
          </w:p>
        </w:tc>
        <w:tc>
          <w:tcPr>
            <w:tcW w:w="755" w:type="pct"/>
            <w:tcBorders>
              <w:top w:val="single" w:sz="4" w:space="0" w:color="auto"/>
              <w:left w:val="nil"/>
              <w:bottom w:val="single" w:sz="4" w:space="0" w:color="auto"/>
              <w:right w:val="single" w:sz="4" w:space="0" w:color="auto"/>
            </w:tcBorders>
            <w:vAlign w:val="center"/>
          </w:tcPr>
          <w:p w14:paraId="0A31A050"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4.95E-17</w:t>
            </w:r>
          </w:p>
        </w:tc>
      </w:tr>
      <w:tr w:rsidR="00A67F21" w:rsidRPr="00B12FE0" w14:paraId="6D4661E2" w14:textId="77777777">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240D7040"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c</w:t>
            </w:r>
            <w:r w:rsidRPr="00B12FE0">
              <w:rPr>
                <w:rFonts w:hint="eastAsia"/>
                <w:color w:val="000000" w:themeColor="text1"/>
                <w:sz w:val="21"/>
                <w:szCs w:val="18"/>
                <w:vertAlign w:val="subscript"/>
              </w:rPr>
              <w:t>1</w:t>
            </w:r>
          </w:p>
        </w:tc>
        <w:tc>
          <w:tcPr>
            <w:tcW w:w="1239" w:type="pct"/>
            <w:tcBorders>
              <w:top w:val="single" w:sz="4" w:space="0" w:color="auto"/>
              <w:left w:val="single" w:sz="4" w:space="0" w:color="auto"/>
              <w:bottom w:val="single" w:sz="4" w:space="0" w:color="auto"/>
              <w:right w:val="single" w:sz="4" w:space="0" w:color="auto"/>
            </w:tcBorders>
            <w:vAlign w:val="center"/>
          </w:tcPr>
          <w:p w14:paraId="3298188C" w14:textId="77777777" w:rsidR="00A67F21" w:rsidRPr="00B12FE0" w:rsidRDefault="00000000">
            <w:pPr>
              <w:adjustRightInd w:val="0"/>
              <w:snapToGrid w:val="0"/>
              <w:rPr>
                <w:rFonts w:hAnsi="宋体" w:hint="eastAsia"/>
                <w:color w:val="000000" w:themeColor="text1"/>
                <w:sz w:val="21"/>
                <w:szCs w:val="18"/>
              </w:rPr>
            </w:pPr>
            <w:r w:rsidRPr="00B12FE0">
              <w:rPr>
                <w:rFonts w:hAnsi="宋体" w:hint="eastAsia"/>
                <w:color w:val="000000" w:themeColor="text1"/>
                <w:sz w:val="21"/>
                <w:szCs w:val="18"/>
              </w:rPr>
              <w:t>西</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（直线加速器机房</w:t>
            </w:r>
            <w:r w:rsidRPr="00B12FE0">
              <w:rPr>
                <w:rFonts w:hAnsi="宋体" w:hint="eastAsia"/>
                <w:color w:val="000000" w:themeColor="text1"/>
                <w:sz w:val="21"/>
                <w:szCs w:val="18"/>
              </w:rPr>
              <w:t>2</w:t>
            </w:r>
            <w:r w:rsidRPr="00B12FE0">
              <w:rPr>
                <w:rFonts w:hAnsi="宋体" w:hint="eastAsia"/>
                <w:color w:val="000000" w:themeColor="text1"/>
                <w:sz w:val="21"/>
                <w:szCs w:val="18"/>
              </w:rPr>
              <w:t>）</w:t>
            </w:r>
          </w:p>
        </w:tc>
        <w:tc>
          <w:tcPr>
            <w:tcW w:w="344" w:type="pct"/>
            <w:tcBorders>
              <w:top w:val="single" w:sz="4" w:space="0" w:color="auto"/>
              <w:left w:val="single" w:sz="4" w:space="0" w:color="auto"/>
              <w:bottom w:val="single" w:sz="4" w:space="0" w:color="auto"/>
              <w:right w:val="single" w:sz="4" w:space="0" w:color="auto"/>
            </w:tcBorders>
            <w:vAlign w:val="center"/>
          </w:tcPr>
          <w:p w14:paraId="0FF28FC6"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初级</w:t>
            </w:r>
          </w:p>
        </w:tc>
        <w:tc>
          <w:tcPr>
            <w:tcW w:w="854" w:type="pct"/>
            <w:tcBorders>
              <w:top w:val="single" w:sz="4" w:space="0" w:color="auto"/>
              <w:left w:val="single" w:sz="4" w:space="0" w:color="auto"/>
              <w:bottom w:val="single" w:sz="4" w:space="0" w:color="auto"/>
              <w:right w:val="single" w:sz="4" w:space="0" w:color="auto"/>
            </w:tcBorders>
            <w:vAlign w:val="center"/>
          </w:tcPr>
          <w:p w14:paraId="67825B65"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16</w:t>
            </w:r>
            <w:r w:rsidRPr="00B12FE0">
              <w:rPr>
                <w:color w:val="000000" w:themeColor="text1"/>
                <w:sz w:val="21"/>
                <w:szCs w:val="18"/>
              </w:rPr>
              <w:t>00</w:t>
            </w:r>
          </w:p>
        </w:tc>
        <w:tc>
          <w:tcPr>
            <w:tcW w:w="569" w:type="pct"/>
            <w:tcBorders>
              <w:top w:val="single" w:sz="4" w:space="0" w:color="auto"/>
              <w:left w:val="single" w:sz="4" w:space="0" w:color="auto"/>
              <w:bottom w:val="single" w:sz="4" w:space="0" w:color="auto"/>
              <w:right w:val="single" w:sz="4" w:space="0" w:color="auto"/>
            </w:tcBorders>
            <w:vAlign w:val="center"/>
          </w:tcPr>
          <w:p w14:paraId="0EF921F0" w14:textId="77777777" w:rsidR="00A67F21" w:rsidRPr="00B12FE0" w:rsidRDefault="00000000">
            <w:pPr>
              <w:jc w:val="center"/>
              <w:rPr>
                <w:color w:val="000000" w:themeColor="text1"/>
                <w:sz w:val="21"/>
                <w:szCs w:val="18"/>
              </w:rPr>
            </w:pPr>
            <w:r w:rsidRPr="00B12FE0">
              <w:rPr>
                <w:color w:val="000000" w:themeColor="text1"/>
                <w:sz w:val="21"/>
                <w:szCs w:val="18"/>
              </w:rPr>
              <w:t>5.3</w:t>
            </w:r>
          </w:p>
        </w:tc>
        <w:tc>
          <w:tcPr>
            <w:tcW w:w="759" w:type="pct"/>
            <w:tcBorders>
              <w:top w:val="single" w:sz="4" w:space="0" w:color="auto"/>
              <w:left w:val="single" w:sz="4" w:space="0" w:color="auto"/>
              <w:bottom w:val="single" w:sz="4" w:space="0" w:color="auto"/>
              <w:right w:val="single" w:sz="4" w:space="0" w:color="auto"/>
            </w:tcBorders>
            <w:vAlign w:val="center"/>
          </w:tcPr>
          <w:p w14:paraId="0697AB6A"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152</w:t>
            </w:r>
          </w:p>
        </w:tc>
        <w:tc>
          <w:tcPr>
            <w:tcW w:w="755" w:type="pct"/>
            <w:tcBorders>
              <w:top w:val="single" w:sz="4" w:space="0" w:color="auto"/>
              <w:left w:val="nil"/>
              <w:bottom w:val="single" w:sz="4" w:space="0" w:color="auto"/>
              <w:right w:val="single" w:sz="4" w:space="0" w:color="auto"/>
            </w:tcBorders>
            <w:vAlign w:val="center"/>
          </w:tcPr>
          <w:p w14:paraId="0397AFF8"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4.35E-08</w:t>
            </w:r>
          </w:p>
        </w:tc>
      </w:tr>
      <w:tr w:rsidR="00A67F21" w:rsidRPr="00B12FE0" w14:paraId="3990C87A" w14:textId="77777777">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4025FC0F"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d</w:t>
            </w:r>
          </w:p>
        </w:tc>
        <w:tc>
          <w:tcPr>
            <w:tcW w:w="1239" w:type="pct"/>
            <w:tcBorders>
              <w:top w:val="single" w:sz="4" w:space="0" w:color="auto"/>
              <w:left w:val="single" w:sz="4" w:space="0" w:color="auto"/>
              <w:bottom w:val="single" w:sz="4" w:space="0" w:color="auto"/>
              <w:right w:val="single" w:sz="4" w:space="0" w:color="auto"/>
            </w:tcBorders>
            <w:vAlign w:val="center"/>
          </w:tcPr>
          <w:p w14:paraId="0C43A717" w14:textId="77777777" w:rsidR="00A67F21" w:rsidRPr="00B12FE0" w:rsidRDefault="00000000">
            <w:pPr>
              <w:adjustRightInd w:val="0"/>
              <w:snapToGrid w:val="0"/>
              <w:jc w:val="left"/>
              <w:rPr>
                <w:color w:val="000000" w:themeColor="text1"/>
                <w:sz w:val="21"/>
                <w:szCs w:val="18"/>
              </w:rPr>
            </w:pPr>
            <w:r w:rsidRPr="00B12FE0">
              <w:rPr>
                <w:rFonts w:hAnsi="宋体" w:hint="eastAsia"/>
                <w:color w:val="000000" w:themeColor="text1"/>
                <w:sz w:val="21"/>
                <w:szCs w:val="18"/>
              </w:rPr>
              <w:t>东</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（变配电室）</w:t>
            </w:r>
          </w:p>
        </w:tc>
        <w:tc>
          <w:tcPr>
            <w:tcW w:w="344" w:type="pct"/>
            <w:tcBorders>
              <w:top w:val="single" w:sz="4" w:space="0" w:color="auto"/>
              <w:left w:val="single" w:sz="4" w:space="0" w:color="auto"/>
              <w:bottom w:val="single" w:sz="4" w:space="0" w:color="auto"/>
              <w:right w:val="single" w:sz="4" w:space="0" w:color="auto"/>
            </w:tcBorders>
            <w:vAlign w:val="center"/>
          </w:tcPr>
          <w:p w14:paraId="1A6DD674"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初级</w:t>
            </w:r>
          </w:p>
        </w:tc>
        <w:tc>
          <w:tcPr>
            <w:tcW w:w="854" w:type="pct"/>
            <w:tcBorders>
              <w:top w:val="single" w:sz="4" w:space="0" w:color="auto"/>
              <w:left w:val="single" w:sz="4" w:space="0" w:color="auto"/>
              <w:bottom w:val="single" w:sz="4" w:space="0" w:color="auto"/>
              <w:right w:val="single" w:sz="4" w:space="0" w:color="auto"/>
            </w:tcBorders>
            <w:vAlign w:val="center"/>
          </w:tcPr>
          <w:p w14:paraId="02C8E35B"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900</w:t>
            </w:r>
          </w:p>
        </w:tc>
        <w:tc>
          <w:tcPr>
            <w:tcW w:w="569" w:type="pct"/>
            <w:tcBorders>
              <w:top w:val="single" w:sz="4" w:space="0" w:color="auto"/>
              <w:left w:val="single" w:sz="4" w:space="0" w:color="auto"/>
              <w:bottom w:val="single" w:sz="4" w:space="0" w:color="auto"/>
              <w:right w:val="single" w:sz="4" w:space="0" w:color="auto"/>
            </w:tcBorders>
            <w:vAlign w:val="center"/>
          </w:tcPr>
          <w:p w14:paraId="6FC6CAE9" w14:textId="77777777" w:rsidR="00A67F21" w:rsidRPr="00B12FE0" w:rsidRDefault="00000000">
            <w:pPr>
              <w:jc w:val="center"/>
              <w:rPr>
                <w:color w:val="000000" w:themeColor="text1"/>
                <w:sz w:val="21"/>
                <w:szCs w:val="18"/>
              </w:rPr>
            </w:pPr>
            <w:r w:rsidRPr="00B12FE0">
              <w:rPr>
                <w:color w:val="000000" w:themeColor="text1"/>
                <w:sz w:val="21"/>
                <w:szCs w:val="18"/>
              </w:rPr>
              <w:t>2.5</w:t>
            </w:r>
          </w:p>
        </w:tc>
        <w:tc>
          <w:tcPr>
            <w:tcW w:w="759" w:type="pct"/>
            <w:tcBorders>
              <w:top w:val="single" w:sz="4" w:space="0" w:color="auto"/>
              <w:left w:val="single" w:sz="4" w:space="0" w:color="auto"/>
              <w:bottom w:val="single" w:sz="4" w:space="0" w:color="auto"/>
              <w:right w:val="single" w:sz="4" w:space="0" w:color="auto"/>
            </w:tcBorders>
            <w:vAlign w:val="center"/>
          </w:tcPr>
          <w:p w14:paraId="386336F9"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152</w:t>
            </w:r>
          </w:p>
        </w:tc>
        <w:tc>
          <w:tcPr>
            <w:tcW w:w="755" w:type="pct"/>
            <w:tcBorders>
              <w:top w:val="single" w:sz="4" w:space="0" w:color="auto"/>
              <w:left w:val="nil"/>
              <w:bottom w:val="single" w:sz="4" w:space="0" w:color="auto"/>
              <w:right w:val="single" w:sz="4" w:space="0" w:color="auto"/>
            </w:tcBorders>
            <w:vAlign w:val="center"/>
          </w:tcPr>
          <w:p w14:paraId="5140AF45"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7.89E-03</w:t>
            </w:r>
          </w:p>
        </w:tc>
      </w:tr>
      <w:tr w:rsidR="00A67F21" w:rsidRPr="00B12FE0" w14:paraId="3C0EC148" w14:textId="77777777">
        <w:trPr>
          <w:trHeight w:val="592"/>
          <w:jc w:val="center"/>
        </w:trPr>
        <w:tc>
          <w:tcPr>
            <w:tcW w:w="480" w:type="pct"/>
            <w:tcBorders>
              <w:top w:val="single" w:sz="4" w:space="0" w:color="auto"/>
              <w:left w:val="single" w:sz="4" w:space="0" w:color="auto"/>
              <w:bottom w:val="single" w:sz="4" w:space="0" w:color="auto"/>
              <w:right w:val="single" w:sz="4" w:space="0" w:color="auto"/>
            </w:tcBorders>
            <w:vAlign w:val="center"/>
          </w:tcPr>
          <w:p w14:paraId="0267C511"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g</w:t>
            </w:r>
          </w:p>
        </w:tc>
        <w:tc>
          <w:tcPr>
            <w:tcW w:w="1239" w:type="pct"/>
            <w:tcBorders>
              <w:top w:val="single" w:sz="4" w:space="0" w:color="auto"/>
              <w:left w:val="single" w:sz="4" w:space="0" w:color="auto"/>
              <w:bottom w:val="single" w:sz="4" w:space="0" w:color="auto"/>
              <w:right w:val="single" w:sz="4" w:space="0" w:color="auto"/>
            </w:tcBorders>
            <w:vAlign w:val="center"/>
          </w:tcPr>
          <w:p w14:paraId="61FFE15C" w14:textId="77777777" w:rsidR="00A67F21" w:rsidRPr="00B12FE0" w:rsidRDefault="00000000">
            <w:pPr>
              <w:adjustRightInd w:val="0"/>
              <w:snapToGrid w:val="0"/>
              <w:jc w:val="left"/>
              <w:rPr>
                <w:color w:val="000000" w:themeColor="text1"/>
                <w:sz w:val="21"/>
                <w:szCs w:val="18"/>
              </w:rPr>
            </w:pPr>
            <w:r w:rsidRPr="00B12FE0">
              <w:rPr>
                <w:rFonts w:hAnsi="宋体"/>
                <w:color w:val="000000" w:themeColor="text1"/>
                <w:sz w:val="21"/>
                <w:szCs w:val="18"/>
              </w:rPr>
              <w:t>防护门外</w:t>
            </w:r>
            <w:r w:rsidRPr="00B12FE0">
              <w:rPr>
                <w:color w:val="000000" w:themeColor="text1"/>
                <w:sz w:val="21"/>
                <w:szCs w:val="18"/>
              </w:rPr>
              <w:t>30cm</w:t>
            </w:r>
            <w:r w:rsidRPr="00B12FE0">
              <w:rPr>
                <w:rFonts w:hAnsi="宋体"/>
                <w:color w:val="000000" w:themeColor="text1"/>
                <w:sz w:val="21"/>
                <w:szCs w:val="18"/>
              </w:rPr>
              <w:t>处</w:t>
            </w:r>
          </w:p>
        </w:tc>
        <w:tc>
          <w:tcPr>
            <w:tcW w:w="344" w:type="pct"/>
            <w:tcBorders>
              <w:top w:val="single" w:sz="4" w:space="0" w:color="auto"/>
              <w:left w:val="single" w:sz="4" w:space="0" w:color="auto"/>
              <w:bottom w:val="single" w:sz="4" w:space="0" w:color="auto"/>
              <w:right w:val="single" w:sz="4" w:space="0" w:color="auto"/>
            </w:tcBorders>
            <w:vAlign w:val="center"/>
          </w:tcPr>
          <w:p w14:paraId="30756B81"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初级</w:t>
            </w:r>
          </w:p>
        </w:tc>
        <w:tc>
          <w:tcPr>
            <w:tcW w:w="854" w:type="pct"/>
            <w:tcBorders>
              <w:top w:val="single" w:sz="4" w:space="0" w:color="auto"/>
              <w:left w:val="single" w:sz="4" w:space="0" w:color="auto"/>
              <w:bottom w:val="single" w:sz="4" w:space="0" w:color="auto"/>
              <w:right w:val="single" w:sz="4" w:space="0" w:color="auto"/>
            </w:tcBorders>
            <w:vAlign w:val="center"/>
          </w:tcPr>
          <w:p w14:paraId="23A9FF9E"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600</w:t>
            </w:r>
          </w:p>
        </w:tc>
        <w:tc>
          <w:tcPr>
            <w:tcW w:w="569" w:type="pct"/>
            <w:tcBorders>
              <w:top w:val="single" w:sz="4" w:space="0" w:color="auto"/>
              <w:left w:val="single" w:sz="4" w:space="0" w:color="auto"/>
              <w:bottom w:val="single" w:sz="4" w:space="0" w:color="auto"/>
              <w:right w:val="single" w:sz="4" w:space="0" w:color="auto"/>
            </w:tcBorders>
            <w:vAlign w:val="center"/>
          </w:tcPr>
          <w:p w14:paraId="4BC01C60" w14:textId="77777777" w:rsidR="00A67F21" w:rsidRPr="00B12FE0" w:rsidRDefault="00000000">
            <w:pPr>
              <w:jc w:val="center"/>
              <w:rPr>
                <w:color w:val="000000" w:themeColor="text1"/>
                <w:sz w:val="21"/>
                <w:szCs w:val="18"/>
              </w:rPr>
            </w:pPr>
            <w:r w:rsidRPr="00B12FE0">
              <w:rPr>
                <w:color w:val="000000" w:themeColor="text1"/>
                <w:sz w:val="21"/>
                <w:szCs w:val="18"/>
              </w:rPr>
              <w:t>4.43</w:t>
            </w:r>
          </w:p>
        </w:tc>
        <w:tc>
          <w:tcPr>
            <w:tcW w:w="759" w:type="pct"/>
            <w:tcBorders>
              <w:top w:val="single" w:sz="4" w:space="0" w:color="auto"/>
              <w:left w:val="single" w:sz="4" w:space="0" w:color="auto"/>
              <w:bottom w:val="single" w:sz="4" w:space="0" w:color="auto"/>
              <w:right w:val="single" w:sz="4" w:space="0" w:color="auto"/>
            </w:tcBorders>
            <w:vAlign w:val="center"/>
          </w:tcPr>
          <w:p w14:paraId="240D6FC2"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152</w:t>
            </w:r>
          </w:p>
        </w:tc>
        <w:tc>
          <w:tcPr>
            <w:tcW w:w="755" w:type="pct"/>
            <w:tcBorders>
              <w:top w:val="single" w:sz="4" w:space="0" w:color="auto"/>
              <w:left w:val="nil"/>
              <w:bottom w:val="single" w:sz="4" w:space="0" w:color="auto"/>
              <w:right w:val="single" w:sz="4" w:space="0" w:color="auto"/>
            </w:tcBorders>
            <w:vAlign w:val="center"/>
          </w:tcPr>
          <w:p w14:paraId="328539FF"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2.36E-01</w:t>
            </w:r>
          </w:p>
        </w:tc>
      </w:tr>
      <w:tr w:rsidR="00A67F21" w:rsidRPr="00B12FE0" w14:paraId="467E19D8" w14:textId="77777777">
        <w:trPr>
          <w:jc w:val="center"/>
        </w:trPr>
        <w:tc>
          <w:tcPr>
            <w:tcW w:w="480" w:type="pct"/>
            <w:tcBorders>
              <w:top w:val="single" w:sz="4" w:space="0" w:color="auto"/>
              <w:left w:val="single" w:sz="4" w:space="0" w:color="auto"/>
              <w:bottom w:val="single" w:sz="4" w:space="0" w:color="auto"/>
              <w:right w:val="single" w:sz="4" w:space="0" w:color="auto"/>
            </w:tcBorders>
            <w:vAlign w:val="center"/>
          </w:tcPr>
          <w:p w14:paraId="1D19B23D"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I</w:t>
            </w:r>
          </w:p>
        </w:tc>
        <w:tc>
          <w:tcPr>
            <w:tcW w:w="1239" w:type="pct"/>
            <w:tcBorders>
              <w:top w:val="single" w:sz="4" w:space="0" w:color="auto"/>
              <w:left w:val="single" w:sz="4" w:space="0" w:color="auto"/>
              <w:bottom w:val="single" w:sz="4" w:space="0" w:color="auto"/>
              <w:right w:val="single" w:sz="4" w:space="0" w:color="auto"/>
            </w:tcBorders>
            <w:vAlign w:val="center"/>
          </w:tcPr>
          <w:p w14:paraId="7DD781C8" w14:textId="77777777" w:rsidR="00A67F21" w:rsidRPr="00B12FE0" w:rsidRDefault="00000000">
            <w:pPr>
              <w:adjustRightInd w:val="0"/>
              <w:snapToGrid w:val="0"/>
              <w:jc w:val="left"/>
              <w:rPr>
                <w:rFonts w:hAnsi="宋体" w:hint="eastAsia"/>
                <w:color w:val="000000" w:themeColor="text1"/>
                <w:sz w:val="21"/>
                <w:szCs w:val="18"/>
              </w:rPr>
            </w:pPr>
            <w:r w:rsidRPr="00B12FE0">
              <w:rPr>
                <w:rFonts w:hAnsi="宋体"/>
                <w:color w:val="000000" w:themeColor="text1"/>
                <w:sz w:val="21"/>
                <w:szCs w:val="18"/>
              </w:rPr>
              <w:t>顶棚外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（不可上人屋顶）</w:t>
            </w:r>
          </w:p>
        </w:tc>
        <w:tc>
          <w:tcPr>
            <w:tcW w:w="344" w:type="pct"/>
            <w:tcBorders>
              <w:top w:val="single" w:sz="4" w:space="0" w:color="auto"/>
              <w:left w:val="single" w:sz="4" w:space="0" w:color="auto"/>
              <w:bottom w:val="single" w:sz="4" w:space="0" w:color="auto"/>
              <w:right w:val="single" w:sz="4" w:space="0" w:color="auto"/>
            </w:tcBorders>
            <w:vAlign w:val="center"/>
          </w:tcPr>
          <w:p w14:paraId="4F9ADBA1"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初级</w:t>
            </w:r>
          </w:p>
        </w:tc>
        <w:tc>
          <w:tcPr>
            <w:tcW w:w="854" w:type="pct"/>
            <w:tcBorders>
              <w:top w:val="single" w:sz="4" w:space="0" w:color="auto"/>
              <w:left w:val="single" w:sz="4" w:space="0" w:color="auto"/>
              <w:bottom w:val="single" w:sz="4" w:space="0" w:color="auto"/>
              <w:right w:val="single" w:sz="4" w:space="0" w:color="auto"/>
            </w:tcBorders>
            <w:vAlign w:val="center"/>
          </w:tcPr>
          <w:p w14:paraId="02E880A4"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900</w:t>
            </w:r>
          </w:p>
        </w:tc>
        <w:tc>
          <w:tcPr>
            <w:tcW w:w="569" w:type="pct"/>
            <w:tcBorders>
              <w:top w:val="single" w:sz="4" w:space="0" w:color="auto"/>
              <w:left w:val="single" w:sz="4" w:space="0" w:color="auto"/>
              <w:bottom w:val="single" w:sz="4" w:space="0" w:color="auto"/>
              <w:right w:val="single" w:sz="4" w:space="0" w:color="auto"/>
            </w:tcBorders>
            <w:vAlign w:val="center"/>
          </w:tcPr>
          <w:p w14:paraId="2C9BBC31" w14:textId="77777777" w:rsidR="00A67F21" w:rsidRPr="00B12FE0" w:rsidRDefault="00000000">
            <w:pPr>
              <w:jc w:val="center"/>
              <w:rPr>
                <w:color w:val="000000" w:themeColor="text1"/>
                <w:sz w:val="21"/>
                <w:szCs w:val="18"/>
              </w:rPr>
            </w:pPr>
            <w:r w:rsidRPr="00B12FE0">
              <w:rPr>
                <w:color w:val="000000" w:themeColor="text1"/>
                <w:sz w:val="21"/>
                <w:szCs w:val="18"/>
              </w:rPr>
              <w:t>6.9</w:t>
            </w:r>
          </w:p>
        </w:tc>
        <w:tc>
          <w:tcPr>
            <w:tcW w:w="759" w:type="pct"/>
            <w:tcBorders>
              <w:top w:val="single" w:sz="4" w:space="0" w:color="auto"/>
              <w:left w:val="single" w:sz="4" w:space="0" w:color="auto"/>
              <w:bottom w:val="single" w:sz="4" w:space="0" w:color="auto"/>
              <w:right w:val="single" w:sz="4" w:space="0" w:color="auto"/>
            </w:tcBorders>
            <w:vAlign w:val="center"/>
          </w:tcPr>
          <w:p w14:paraId="6D8F6883"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152</w:t>
            </w:r>
          </w:p>
        </w:tc>
        <w:tc>
          <w:tcPr>
            <w:tcW w:w="755" w:type="pct"/>
            <w:tcBorders>
              <w:top w:val="single" w:sz="4" w:space="0" w:color="auto"/>
              <w:left w:val="nil"/>
              <w:bottom w:val="single" w:sz="4" w:space="0" w:color="auto"/>
              <w:right w:val="single" w:sz="4" w:space="0" w:color="auto"/>
            </w:tcBorders>
            <w:vAlign w:val="center"/>
          </w:tcPr>
          <w:p w14:paraId="31A949B9"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1.04E-03</w:t>
            </w:r>
          </w:p>
        </w:tc>
      </w:tr>
      <w:tr w:rsidR="00A67F21" w:rsidRPr="00B12FE0" w14:paraId="4A2437AC" w14:textId="7777777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EB252ED" w14:textId="77777777" w:rsidR="00A67F21" w:rsidRPr="00B12FE0" w:rsidRDefault="00000000">
            <w:pPr>
              <w:jc w:val="left"/>
              <w:rPr>
                <w:color w:val="000000" w:themeColor="text1"/>
                <w:sz w:val="21"/>
                <w:szCs w:val="18"/>
              </w:rPr>
            </w:pPr>
            <w:r w:rsidRPr="00B12FE0">
              <w:rPr>
                <w:rFonts w:hint="eastAsia"/>
                <w:color w:val="000000" w:themeColor="text1"/>
                <w:kern w:val="0"/>
                <w:sz w:val="21"/>
                <w:szCs w:val="18"/>
              </w:rPr>
              <w:t>注：本表中</w:t>
            </w:r>
            <w:r w:rsidRPr="00B12FE0">
              <w:rPr>
                <w:rFonts w:hint="eastAsia"/>
                <w:color w:val="000000" w:themeColor="text1"/>
                <w:kern w:val="0"/>
                <w:sz w:val="21"/>
                <w:szCs w:val="18"/>
              </w:rPr>
              <w:t>Xe</w:t>
            </w:r>
            <w:r w:rsidRPr="00B12FE0">
              <w:rPr>
                <w:rFonts w:hint="eastAsia"/>
                <w:color w:val="000000" w:themeColor="text1"/>
                <w:kern w:val="0"/>
                <w:sz w:val="21"/>
                <w:szCs w:val="18"/>
              </w:rPr>
              <w:t>有效屏蔽厚度根据</w:t>
            </w:r>
            <w:r w:rsidRPr="00B12FE0">
              <w:rPr>
                <w:rFonts w:hint="eastAsia"/>
                <w:color w:val="000000" w:themeColor="text1"/>
                <w:kern w:val="0"/>
                <w:sz w:val="21"/>
                <w:szCs w:val="18"/>
              </w:rPr>
              <w:t>C</w:t>
            </w:r>
            <w:r w:rsidRPr="00B12FE0">
              <w:rPr>
                <w:color w:val="000000" w:themeColor="text1"/>
                <w:kern w:val="0"/>
                <w:sz w:val="21"/>
                <w:szCs w:val="18"/>
              </w:rPr>
              <w:t>AD</w:t>
            </w:r>
            <w:r w:rsidRPr="00B12FE0">
              <w:rPr>
                <w:rFonts w:hint="eastAsia"/>
                <w:color w:val="000000" w:themeColor="text1"/>
                <w:kern w:val="0"/>
                <w:sz w:val="21"/>
                <w:szCs w:val="18"/>
              </w:rPr>
              <w:t>图纸测量得知。</w:t>
            </w:r>
          </w:p>
        </w:tc>
      </w:tr>
    </w:tbl>
    <w:p w14:paraId="6A7898C6" w14:textId="77777777" w:rsidR="00A67F21" w:rsidRPr="00B12FE0" w:rsidRDefault="00000000">
      <w:pPr>
        <w:adjustRightInd w:val="0"/>
        <w:spacing w:beforeLines="50" w:before="120" w:line="360" w:lineRule="auto"/>
        <w:ind w:firstLine="480"/>
        <w:jc w:val="left"/>
        <w:rPr>
          <w:b/>
          <w:bCs/>
          <w:color w:val="000000" w:themeColor="text1"/>
        </w:rPr>
      </w:pPr>
      <w:r w:rsidRPr="00B12FE0">
        <w:rPr>
          <w:rFonts w:hint="eastAsia"/>
          <w:b/>
          <w:bCs/>
          <w:color w:val="000000" w:themeColor="text1"/>
        </w:rPr>
        <w:t>（</w:t>
      </w:r>
      <w:r w:rsidRPr="00B12FE0">
        <w:rPr>
          <w:b/>
          <w:bCs/>
          <w:color w:val="000000" w:themeColor="text1"/>
        </w:rPr>
        <w:t>5</w:t>
      </w:r>
      <w:r w:rsidRPr="00B12FE0">
        <w:rPr>
          <w:rFonts w:hint="eastAsia"/>
          <w:b/>
          <w:bCs/>
          <w:color w:val="000000" w:themeColor="text1"/>
        </w:rPr>
        <w:t>）</w:t>
      </w:r>
      <w:r w:rsidRPr="00B12FE0">
        <w:rPr>
          <w:b/>
          <w:bCs/>
          <w:color w:val="000000" w:themeColor="text1"/>
        </w:rPr>
        <w:t>散射辐射的影响预测</w:t>
      </w:r>
    </w:p>
    <w:p w14:paraId="2F89D539" w14:textId="77777777" w:rsidR="00A67F21" w:rsidRPr="00B12FE0" w:rsidRDefault="00000000">
      <w:pPr>
        <w:adjustRightInd w:val="0"/>
        <w:spacing w:line="360" w:lineRule="auto"/>
        <w:ind w:firstLine="482"/>
        <w:rPr>
          <w:color w:val="000000" w:themeColor="text1"/>
        </w:rPr>
      </w:pPr>
      <w:r w:rsidRPr="00B12FE0">
        <w:rPr>
          <w:color w:val="000000" w:themeColor="text1"/>
        </w:rPr>
        <w:t>治疗机房入口</w:t>
      </w:r>
      <w:r w:rsidRPr="00B12FE0">
        <w:rPr>
          <w:rFonts w:hint="eastAsia"/>
          <w:color w:val="000000" w:themeColor="text1"/>
        </w:rPr>
        <w:t>处</w:t>
      </w:r>
      <w:r w:rsidRPr="00B12FE0">
        <w:rPr>
          <w:color w:val="000000" w:themeColor="text1"/>
        </w:rPr>
        <w:t>的辐射主要来</w:t>
      </w:r>
      <w:proofErr w:type="gramStart"/>
      <w:r w:rsidRPr="00B12FE0">
        <w:rPr>
          <w:color w:val="000000" w:themeColor="text1"/>
        </w:rPr>
        <w:t>自经迷道多次反射</w:t>
      </w:r>
      <w:proofErr w:type="gramEnd"/>
      <w:r w:rsidRPr="00B12FE0">
        <w:rPr>
          <w:color w:val="000000" w:themeColor="text1"/>
        </w:rPr>
        <w:t>的散射辐射。根据《放射治疗机房的辐射屏蔽规范第</w:t>
      </w:r>
      <w:r w:rsidRPr="00B12FE0">
        <w:rPr>
          <w:color w:val="000000" w:themeColor="text1"/>
        </w:rPr>
        <w:t>3</w:t>
      </w:r>
      <w:r w:rsidRPr="00B12FE0">
        <w:rPr>
          <w:color w:val="000000" w:themeColor="text1"/>
        </w:rPr>
        <w:t>部分：</w:t>
      </w:r>
      <w:r w:rsidRPr="00B12FE0">
        <w:rPr>
          <w:color w:val="000000" w:themeColor="text1"/>
        </w:rPr>
        <w:t>γ</w:t>
      </w:r>
      <w:r w:rsidRPr="00B12FE0">
        <w:rPr>
          <w:color w:val="000000" w:themeColor="text1"/>
        </w:rPr>
        <w:t>射线源放射治疗机房》（</w:t>
      </w:r>
      <w:r w:rsidRPr="00B12FE0">
        <w:rPr>
          <w:color w:val="000000" w:themeColor="text1"/>
        </w:rPr>
        <w:t>GBZ/T201.3-2014</w:t>
      </w:r>
      <w:r w:rsidRPr="00B12FE0">
        <w:rPr>
          <w:color w:val="000000" w:themeColor="text1"/>
        </w:rPr>
        <w:t>）中对后装治疗机房入口</w:t>
      </w:r>
      <w:r w:rsidRPr="00B12FE0">
        <w:rPr>
          <w:rFonts w:hint="eastAsia"/>
          <w:color w:val="000000" w:themeColor="text1"/>
        </w:rPr>
        <w:t>处</w:t>
      </w:r>
      <w:r w:rsidRPr="00B12FE0">
        <w:rPr>
          <w:color w:val="000000" w:themeColor="text1"/>
        </w:rPr>
        <w:t>散射辐射屏蔽计算方法，入口处的散射辐射剂量率</w:t>
      </w:r>
      <m:oMath>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hint="eastAsia"/>
                <w:color w:val="000000" w:themeColor="text1"/>
              </w:rPr>
              <m:t>g</m:t>
            </m:r>
          </m:sub>
        </m:sSub>
      </m:oMath>
      <w:r w:rsidRPr="00B12FE0">
        <w:rPr>
          <w:color w:val="000000" w:themeColor="text1"/>
        </w:rPr>
        <w:t>采用公</w:t>
      </w:r>
      <w:r w:rsidRPr="00B12FE0">
        <w:rPr>
          <w:rFonts w:hint="eastAsia"/>
          <w:color w:val="000000" w:themeColor="text1"/>
        </w:rPr>
        <w:t>式</w:t>
      </w:r>
      <w:r w:rsidRPr="00B12FE0">
        <w:rPr>
          <w:rFonts w:cs="宋体"/>
          <w:color w:val="000000" w:themeColor="text1"/>
        </w:rPr>
        <w:t>11.2.2.2-5</w:t>
      </w:r>
      <w:r w:rsidRPr="00B12FE0">
        <w:rPr>
          <w:color w:val="000000" w:themeColor="text1"/>
        </w:rPr>
        <w:t>计算，计算参数和结果见表</w:t>
      </w:r>
      <w:r w:rsidRPr="00B12FE0">
        <w:rPr>
          <w:color w:val="000000" w:themeColor="text1"/>
        </w:rPr>
        <w:t>11.2.2.2-4</w:t>
      </w:r>
      <w:r w:rsidRPr="00B12FE0">
        <w:rPr>
          <w:color w:val="000000" w:themeColor="text1"/>
        </w:rPr>
        <w:t>。</w:t>
      </w:r>
    </w:p>
    <w:p w14:paraId="55C5B7C2" w14:textId="77777777" w:rsidR="00A67F21" w:rsidRPr="00B12FE0" w:rsidRDefault="00000000">
      <w:pPr>
        <w:adjustRightInd w:val="0"/>
        <w:spacing w:line="360" w:lineRule="auto"/>
        <w:jc w:val="center"/>
        <w:rPr>
          <w:color w:val="000000" w:themeColor="text1"/>
        </w:rPr>
      </w:pPr>
      <w:r w:rsidRPr="00B12FE0">
        <w:rPr>
          <w:color w:val="000000" w:themeColor="text1"/>
          <w:position w:val="-30"/>
        </w:rPr>
        <w:object w:dxaOrig="1892" w:dyaOrig="720" w14:anchorId="6832701B">
          <v:shape id="_x0000_i1048" type="#_x0000_t75" style="width:94.45pt;height:36.45pt" o:ole="">
            <v:imagedata r:id="rId102" o:title=""/>
          </v:shape>
          <o:OLEObject Type="Embed" ProgID="Equation.3" ShapeID="_x0000_i1048" DrawAspect="Content" ObjectID="_1843190446" r:id="rId103"/>
        </w:object>
      </w:r>
      <w:r w:rsidRPr="00B12FE0">
        <w:rPr>
          <w:rFonts w:cs="宋体"/>
          <w:color w:val="000000" w:themeColor="text1"/>
        </w:rPr>
        <w:t>…………………………</w:t>
      </w:r>
      <w:proofErr w:type="gramStart"/>
      <w:r w:rsidRPr="00B12FE0">
        <w:rPr>
          <w:rFonts w:cs="宋体"/>
          <w:color w:val="000000" w:themeColor="text1"/>
        </w:rPr>
        <w:t>…(</w:t>
      </w:r>
      <w:proofErr w:type="gramEnd"/>
      <w:r w:rsidRPr="00B12FE0">
        <w:rPr>
          <w:rFonts w:cs="宋体" w:hint="eastAsia"/>
          <w:color w:val="000000" w:themeColor="text1"/>
        </w:rPr>
        <w:t>式</w:t>
      </w:r>
      <w:r w:rsidRPr="00B12FE0">
        <w:rPr>
          <w:rFonts w:cs="宋体"/>
          <w:color w:val="000000" w:themeColor="text1"/>
        </w:rPr>
        <w:t>11.2.2.2-5)</w:t>
      </w:r>
    </w:p>
    <w:p w14:paraId="1D277554" w14:textId="77777777" w:rsidR="00A67F21" w:rsidRPr="00B12FE0" w:rsidRDefault="00000000">
      <w:pPr>
        <w:adjustRightInd w:val="0"/>
        <w:spacing w:line="360" w:lineRule="auto"/>
        <w:ind w:firstLine="480"/>
        <w:jc w:val="left"/>
        <w:rPr>
          <w:color w:val="000000" w:themeColor="text1"/>
        </w:rPr>
      </w:pPr>
      <w:r w:rsidRPr="00B12FE0">
        <w:rPr>
          <w:color w:val="000000" w:themeColor="text1"/>
        </w:rPr>
        <w:t>式中：</w:t>
      </w:r>
    </w:p>
    <w:p w14:paraId="0DCCE7EB" w14:textId="77777777" w:rsidR="00A67F21" w:rsidRPr="00B12FE0" w:rsidRDefault="00000000">
      <w:pPr>
        <w:adjustRightInd w:val="0"/>
        <w:spacing w:line="360" w:lineRule="auto"/>
        <w:ind w:firstLine="480"/>
        <w:jc w:val="left"/>
        <w:rPr>
          <w:color w:val="000000" w:themeColor="text1"/>
        </w:rPr>
      </w:pPr>
      <w:r w:rsidRPr="00B12FE0">
        <w:rPr>
          <w:i/>
          <w:color w:val="000000" w:themeColor="text1"/>
        </w:rPr>
        <w:t>A</w:t>
      </w:r>
      <w:r w:rsidRPr="00B12FE0">
        <w:rPr>
          <w:color w:val="000000" w:themeColor="text1"/>
        </w:rPr>
        <w:t>——</w:t>
      </w:r>
      <w:r w:rsidRPr="00B12FE0">
        <w:rPr>
          <w:color w:val="000000" w:themeColor="text1"/>
        </w:rPr>
        <w:t>放射源的活度，单位：</w:t>
      </w:r>
      <w:r w:rsidRPr="00B12FE0">
        <w:rPr>
          <w:color w:val="000000" w:themeColor="text1"/>
        </w:rPr>
        <w:t>MBq</w:t>
      </w:r>
      <w:r w:rsidRPr="00B12FE0">
        <w:rPr>
          <w:color w:val="000000" w:themeColor="text1"/>
        </w:rPr>
        <w:t>；</w:t>
      </w:r>
    </w:p>
    <w:p w14:paraId="08E9D207" w14:textId="77777777" w:rsidR="00A67F21" w:rsidRPr="00B12FE0" w:rsidRDefault="00000000">
      <w:pPr>
        <w:adjustRightInd w:val="0"/>
        <w:spacing w:line="360" w:lineRule="auto"/>
        <w:ind w:firstLine="480"/>
        <w:rPr>
          <w:color w:val="000000" w:themeColor="text1"/>
        </w:rPr>
      </w:pPr>
      <w:r w:rsidRPr="00B12FE0">
        <w:rPr>
          <w:i/>
          <w:color w:val="000000" w:themeColor="text1"/>
        </w:rPr>
        <w:t>K</w:t>
      </w:r>
      <w:r w:rsidRPr="00B12FE0">
        <w:rPr>
          <w:i/>
          <w:color w:val="000000" w:themeColor="text1"/>
          <w:vertAlign w:val="subscript"/>
        </w:rPr>
        <w:t>r</w:t>
      </w:r>
      <w:r w:rsidRPr="00B12FE0">
        <w:rPr>
          <w:color w:val="000000" w:themeColor="text1"/>
        </w:rPr>
        <w:t>——</w:t>
      </w:r>
      <w:r w:rsidRPr="00B12FE0">
        <w:rPr>
          <w:color w:val="000000" w:themeColor="text1"/>
        </w:rPr>
        <w:t>放射源的</w:t>
      </w:r>
      <w:proofErr w:type="gramStart"/>
      <w:r w:rsidRPr="00B12FE0">
        <w:rPr>
          <w:color w:val="000000" w:themeColor="text1"/>
        </w:rPr>
        <w:t>空气比释动能</w:t>
      </w:r>
      <w:proofErr w:type="gramEnd"/>
      <w:r w:rsidRPr="00B12FE0">
        <w:rPr>
          <w:color w:val="000000" w:themeColor="text1"/>
        </w:rPr>
        <w:t>率常数，单位为</w:t>
      </w:r>
      <w:r w:rsidRPr="00B12FE0">
        <w:rPr>
          <w:color w:val="000000" w:themeColor="text1"/>
        </w:rPr>
        <w:t>µSv/</w:t>
      </w:r>
      <w:r w:rsidRPr="00B12FE0">
        <w:rPr>
          <w:color w:val="000000" w:themeColor="text1"/>
        </w:rPr>
        <w:t>（</w:t>
      </w:r>
      <w:proofErr w:type="spellStart"/>
      <w:r w:rsidRPr="00B12FE0">
        <w:rPr>
          <w:color w:val="000000" w:themeColor="text1"/>
        </w:rPr>
        <w:t>h.MBq</w:t>
      </w:r>
      <w:proofErr w:type="spellEnd"/>
      <w:r w:rsidRPr="00B12FE0">
        <w:rPr>
          <w:color w:val="000000" w:themeColor="text1"/>
        </w:rPr>
        <w:t>），根据</w:t>
      </w:r>
      <w:r w:rsidRPr="00B12FE0">
        <w:rPr>
          <w:color w:val="000000" w:themeColor="text1"/>
        </w:rPr>
        <w:t>GBZ/T201.3-2014</w:t>
      </w:r>
      <w:r w:rsidRPr="00B12FE0">
        <w:rPr>
          <w:color w:val="000000" w:themeColor="text1"/>
        </w:rPr>
        <w:t>附录</w:t>
      </w:r>
      <w:r w:rsidRPr="00B12FE0">
        <w:rPr>
          <w:color w:val="000000" w:themeColor="text1"/>
        </w:rPr>
        <w:t>C</w:t>
      </w:r>
      <w:r w:rsidRPr="00B12FE0">
        <w:rPr>
          <w:color w:val="000000" w:themeColor="text1"/>
        </w:rPr>
        <w:t>表</w:t>
      </w:r>
      <w:r w:rsidRPr="00B12FE0">
        <w:rPr>
          <w:color w:val="000000" w:themeColor="text1"/>
        </w:rPr>
        <w:t>C.1</w:t>
      </w:r>
      <w:r w:rsidRPr="00B12FE0">
        <w:rPr>
          <w:color w:val="000000" w:themeColor="text1"/>
        </w:rPr>
        <w:t>本次取</w:t>
      </w:r>
      <w:r w:rsidRPr="00B12FE0">
        <w:rPr>
          <w:color w:val="000000" w:themeColor="text1"/>
        </w:rPr>
        <w:t>0.111</w:t>
      </w:r>
      <w:r w:rsidRPr="00B12FE0">
        <w:rPr>
          <w:color w:val="000000" w:themeColor="text1"/>
        </w:rPr>
        <w:t>。</w:t>
      </w:r>
    </w:p>
    <w:p w14:paraId="0D2B1E1A" w14:textId="77777777" w:rsidR="00A67F21" w:rsidRPr="00B12FE0" w:rsidRDefault="00000000">
      <w:pPr>
        <w:adjustRightInd w:val="0"/>
        <w:spacing w:line="360" w:lineRule="auto"/>
        <w:ind w:firstLine="480"/>
        <w:rPr>
          <w:color w:val="000000" w:themeColor="text1"/>
        </w:rPr>
      </w:pPr>
      <w:proofErr w:type="spellStart"/>
      <w:r w:rsidRPr="00B12FE0">
        <w:rPr>
          <w:i/>
          <w:color w:val="000000" w:themeColor="text1"/>
        </w:rPr>
        <w:t>S</w:t>
      </w:r>
      <w:r w:rsidRPr="00B12FE0">
        <w:rPr>
          <w:i/>
          <w:color w:val="000000" w:themeColor="text1"/>
          <w:vertAlign w:val="subscript"/>
        </w:rPr>
        <w:t>w</w:t>
      </w:r>
      <w:proofErr w:type="spellEnd"/>
      <w:r w:rsidRPr="00B12FE0">
        <w:rPr>
          <w:color w:val="000000" w:themeColor="text1"/>
        </w:rPr>
        <w:t>——</w:t>
      </w:r>
      <w:r w:rsidRPr="00B12FE0">
        <w:rPr>
          <w:color w:val="000000" w:themeColor="text1"/>
        </w:rPr>
        <w:t>迷</w:t>
      </w:r>
      <w:proofErr w:type="gramStart"/>
      <w:r w:rsidRPr="00B12FE0">
        <w:rPr>
          <w:color w:val="000000" w:themeColor="text1"/>
        </w:rPr>
        <w:t>道内口墙的</w:t>
      </w:r>
      <w:proofErr w:type="gramEnd"/>
      <w:r w:rsidRPr="00B12FE0">
        <w:rPr>
          <w:color w:val="000000" w:themeColor="text1"/>
        </w:rPr>
        <w:t>散射面积，其为辐射源和机房入口共同</w:t>
      </w:r>
      <w:proofErr w:type="gramStart"/>
      <w:r w:rsidRPr="00B12FE0">
        <w:rPr>
          <w:color w:val="000000" w:themeColor="text1"/>
        </w:rPr>
        <w:t>可视见的墙区</w:t>
      </w:r>
      <w:proofErr w:type="gramEnd"/>
      <w:r w:rsidRPr="00B12FE0">
        <w:rPr>
          <w:color w:val="000000" w:themeColor="text1"/>
        </w:rPr>
        <w:t>面积，</w:t>
      </w:r>
      <w:r w:rsidRPr="00B12FE0">
        <w:rPr>
          <w:color w:val="000000" w:themeColor="text1"/>
        </w:rPr>
        <w:lastRenderedPageBreak/>
        <w:t>单位：</w:t>
      </w:r>
      <w:r w:rsidRPr="00B12FE0">
        <w:rPr>
          <w:color w:val="000000" w:themeColor="text1"/>
        </w:rPr>
        <w:t>m</w:t>
      </w:r>
      <w:r w:rsidRPr="00B12FE0">
        <w:rPr>
          <w:color w:val="000000" w:themeColor="text1"/>
          <w:vertAlign w:val="superscript"/>
        </w:rPr>
        <w:t>2</w:t>
      </w:r>
      <w:r w:rsidRPr="00B12FE0">
        <w:rPr>
          <w:color w:val="000000" w:themeColor="text1"/>
        </w:rPr>
        <w:t>；</w:t>
      </w:r>
    </w:p>
    <w:p w14:paraId="4A2E90D4" w14:textId="77777777" w:rsidR="00A67F21" w:rsidRPr="00B12FE0" w:rsidRDefault="00000000">
      <w:pPr>
        <w:adjustRightInd w:val="0"/>
        <w:spacing w:line="360" w:lineRule="auto"/>
        <w:ind w:firstLine="480"/>
        <w:jc w:val="left"/>
        <w:rPr>
          <w:color w:val="000000" w:themeColor="text1"/>
        </w:rPr>
      </w:pPr>
      <w:r w:rsidRPr="00B12FE0">
        <w:rPr>
          <w:i/>
          <w:color w:val="000000" w:themeColor="text1"/>
        </w:rPr>
        <w:t>α</w:t>
      </w:r>
      <w:r w:rsidRPr="00B12FE0">
        <w:rPr>
          <w:i/>
          <w:color w:val="000000" w:themeColor="text1"/>
          <w:vertAlign w:val="subscript"/>
        </w:rPr>
        <w:t>w</w:t>
      </w:r>
      <w:r w:rsidRPr="00B12FE0">
        <w:rPr>
          <w:color w:val="000000" w:themeColor="text1"/>
        </w:rPr>
        <w:t>——</w:t>
      </w:r>
      <w:r w:rsidRPr="00B12FE0">
        <w:rPr>
          <w:color w:val="000000" w:themeColor="text1"/>
        </w:rPr>
        <w:t>散射体的散射因子；</w:t>
      </w:r>
    </w:p>
    <w:p w14:paraId="7776F67F" w14:textId="77777777" w:rsidR="00A67F21" w:rsidRPr="00B12FE0" w:rsidRDefault="00000000">
      <w:pPr>
        <w:adjustRightInd w:val="0"/>
        <w:spacing w:line="360" w:lineRule="auto"/>
        <w:ind w:firstLine="480"/>
        <w:jc w:val="left"/>
        <w:rPr>
          <w:color w:val="000000" w:themeColor="text1"/>
        </w:rPr>
      </w:pPr>
      <w:r w:rsidRPr="00B12FE0">
        <w:rPr>
          <w:i/>
          <w:color w:val="000000" w:themeColor="text1"/>
        </w:rPr>
        <w:t>R</w:t>
      </w:r>
      <w:r w:rsidRPr="00B12FE0">
        <w:rPr>
          <w:i/>
          <w:color w:val="000000" w:themeColor="text1"/>
          <w:vertAlign w:val="subscript"/>
        </w:rPr>
        <w:t>1</w:t>
      </w:r>
      <w:r w:rsidRPr="00B12FE0">
        <w:rPr>
          <w:color w:val="000000" w:themeColor="text1"/>
        </w:rPr>
        <w:t>——</w:t>
      </w:r>
      <w:r w:rsidRPr="00B12FE0">
        <w:rPr>
          <w:color w:val="000000" w:themeColor="text1"/>
        </w:rPr>
        <w:t>辐射源至散射体中心点的距离，单位：</w:t>
      </w:r>
      <w:r w:rsidRPr="00B12FE0">
        <w:rPr>
          <w:color w:val="000000" w:themeColor="text1"/>
        </w:rPr>
        <w:t>m</w:t>
      </w:r>
      <w:r w:rsidRPr="00B12FE0">
        <w:rPr>
          <w:color w:val="000000" w:themeColor="text1"/>
        </w:rPr>
        <w:t>；</w:t>
      </w:r>
    </w:p>
    <w:p w14:paraId="29DB4C0A" w14:textId="77777777" w:rsidR="00A67F21" w:rsidRPr="00B12FE0" w:rsidRDefault="00000000">
      <w:pPr>
        <w:adjustRightInd w:val="0"/>
        <w:spacing w:line="360" w:lineRule="auto"/>
        <w:ind w:firstLine="480"/>
        <w:jc w:val="left"/>
        <w:rPr>
          <w:color w:val="000000" w:themeColor="text1"/>
        </w:rPr>
      </w:pPr>
      <w:r w:rsidRPr="00B12FE0">
        <w:rPr>
          <w:i/>
          <w:color w:val="000000" w:themeColor="text1"/>
        </w:rPr>
        <w:t>R</w:t>
      </w:r>
      <w:r w:rsidRPr="00B12FE0">
        <w:rPr>
          <w:i/>
          <w:color w:val="000000" w:themeColor="text1"/>
          <w:vertAlign w:val="subscript"/>
        </w:rPr>
        <w:t>2</w:t>
      </w:r>
      <w:r w:rsidRPr="00B12FE0">
        <w:rPr>
          <w:color w:val="000000" w:themeColor="text1"/>
        </w:rPr>
        <w:t>——</w:t>
      </w:r>
      <w:r w:rsidRPr="00B12FE0">
        <w:rPr>
          <w:color w:val="000000" w:themeColor="text1"/>
        </w:rPr>
        <w:t>散射体中心点</w:t>
      </w:r>
      <w:proofErr w:type="gramStart"/>
      <w:r w:rsidRPr="00B12FE0">
        <w:rPr>
          <w:color w:val="000000" w:themeColor="text1"/>
        </w:rPr>
        <w:t>至计算点</w:t>
      </w:r>
      <w:proofErr w:type="gramEnd"/>
      <w:r w:rsidRPr="00B12FE0">
        <w:rPr>
          <w:color w:val="000000" w:themeColor="text1"/>
        </w:rPr>
        <w:t>的距离，单位：</w:t>
      </w:r>
      <w:r w:rsidRPr="00B12FE0">
        <w:rPr>
          <w:color w:val="000000" w:themeColor="text1"/>
        </w:rPr>
        <w:t>m</w:t>
      </w:r>
      <w:r w:rsidRPr="00B12FE0">
        <w:rPr>
          <w:color w:val="000000" w:themeColor="text1"/>
        </w:rPr>
        <w:t>；</w:t>
      </w:r>
    </w:p>
    <w:p w14:paraId="5D00F6AB" w14:textId="77777777" w:rsidR="00A67F21" w:rsidRPr="00B12FE0" w:rsidRDefault="00000000">
      <w:pPr>
        <w:adjustRightInd w:val="0"/>
        <w:spacing w:line="360" w:lineRule="auto"/>
        <w:jc w:val="center"/>
        <w:rPr>
          <w:b/>
          <w:color w:val="000000" w:themeColor="text1"/>
          <w:sz w:val="21"/>
          <w:szCs w:val="22"/>
        </w:rPr>
      </w:pPr>
      <w:r w:rsidRPr="00B12FE0">
        <w:rPr>
          <w:b/>
          <w:color w:val="000000" w:themeColor="text1"/>
          <w:sz w:val="21"/>
          <w:szCs w:val="22"/>
        </w:rPr>
        <w:t>表</w:t>
      </w:r>
      <w:r w:rsidRPr="00B12FE0">
        <w:rPr>
          <w:b/>
          <w:color w:val="000000" w:themeColor="text1"/>
          <w:sz w:val="21"/>
          <w:szCs w:val="22"/>
        </w:rPr>
        <w:t xml:space="preserve">11.2.2.2-4  </w:t>
      </w:r>
      <w:r w:rsidRPr="00B12FE0">
        <w:rPr>
          <w:rFonts w:hint="eastAsia"/>
          <w:b/>
          <w:color w:val="000000" w:themeColor="text1"/>
          <w:sz w:val="21"/>
          <w:szCs w:val="22"/>
        </w:rPr>
        <w:t>关注点</w:t>
      </w:r>
      <w:r w:rsidRPr="00B12FE0">
        <w:rPr>
          <w:rFonts w:hint="eastAsia"/>
          <w:b/>
          <w:color w:val="000000" w:themeColor="text1"/>
          <w:sz w:val="21"/>
          <w:szCs w:val="22"/>
        </w:rPr>
        <w:t>g</w:t>
      </w:r>
      <w:r w:rsidRPr="00B12FE0">
        <w:rPr>
          <w:rFonts w:hint="eastAsia"/>
          <w:b/>
          <w:color w:val="000000" w:themeColor="text1"/>
          <w:sz w:val="21"/>
          <w:szCs w:val="22"/>
        </w:rPr>
        <w:t>点处未经防护门屏蔽的散射辐射剂量率预测结果</w:t>
      </w:r>
    </w:p>
    <w:tbl>
      <w:tblPr>
        <w:tblStyle w:val="affff"/>
        <w:tblW w:w="5000" w:type="pct"/>
        <w:tblLook w:val="04A0" w:firstRow="1" w:lastRow="0" w:firstColumn="1" w:lastColumn="0" w:noHBand="0" w:noVBand="1"/>
      </w:tblPr>
      <w:tblGrid>
        <w:gridCol w:w="706"/>
        <w:gridCol w:w="1447"/>
        <w:gridCol w:w="1684"/>
        <w:gridCol w:w="1145"/>
        <w:gridCol w:w="1152"/>
        <w:gridCol w:w="1044"/>
        <w:gridCol w:w="1024"/>
        <w:gridCol w:w="815"/>
      </w:tblGrid>
      <w:tr w:rsidR="00A67F21" w:rsidRPr="00B12FE0" w14:paraId="4D7E6DD7" w14:textId="77777777">
        <w:trPr>
          <w:trHeight w:val="340"/>
        </w:trPr>
        <w:tc>
          <w:tcPr>
            <w:tcW w:w="39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03F290"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参数</w:t>
            </w:r>
          </w:p>
        </w:tc>
        <w:tc>
          <w:tcPr>
            <w:tcW w:w="8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7D3C20" w14:textId="77777777" w:rsidR="00A67F21" w:rsidRPr="00B12FE0" w:rsidRDefault="00000000">
            <w:pPr>
              <w:adjustRightInd w:val="0"/>
              <w:snapToGrid w:val="0"/>
              <w:jc w:val="center"/>
              <w:rPr>
                <w:i/>
                <w:color w:val="000000" w:themeColor="text1"/>
                <w:sz w:val="21"/>
                <w:szCs w:val="18"/>
              </w:rPr>
            </w:pPr>
            <w:r w:rsidRPr="00B12FE0">
              <w:rPr>
                <w:i/>
                <w:color w:val="000000" w:themeColor="text1"/>
                <w:sz w:val="21"/>
                <w:szCs w:val="18"/>
              </w:rPr>
              <w:t>A</w:t>
            </w:r>
          </w:p>
          <w:p w14:paraId="1A789236"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w:t>
            </w:r>
            <w:r w:rsidRPr="00B12FE0">
              <w:rPr>
                <w:color w:val="000000" w:themeColor="text1"/>
                <w:sz w:val="21"/>
                <w:szCs w:val="18"/>
              </w:rPr>
              <w:t>MBq</w:t>
            </w:r>
            <w:r w:rsidRPr="00B12FE0">
              <w:rPr>
                <w:color w:val="000000" w:themeColor="text1"/>
                <w:sz w:val="21"/>
                <w:szCs w:val="18"/>
              </w:rPr>
              <w:t>）</w:t>
            </w:r>
          </w:p>
        </w:tc>
        <w:tc>
          <w:tcPr>
            <w:tcW w:w="9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8DDB64" w14:textId="77777777" w:rsidR="00A67F21" w:rsidRPr="00B12FE0" w:rsidRDefault="00000000">
            <w:pPr>
              <w:adjustRightInd w:val="0"/>
              <w:snapToGrid w:val="0"/>
              <w:jc w:val="center"/>
              <w:rPr>
                <w:color w:val="000000" w:themeColor="text1"/>
                <w:sz w:val="21"/>
                <w:szCs w:val="18"/>
              </w:rPr>
            </w:pPr>
            <w:r w:rsidRPr="00B12FE0">
              <w:rPr>
                <w:i/>
                <w:color w:val="000000" w:themeColor="text1"/>
                <w:sz w:val="21"/>
                <w:szCs w:val="18"/>
              </w:rPr>
              <w:t>K</w:t>
            </w:r>
            <w:r w:rsidRPr="00B12FE0">
              <w:rPr>
                <w:i/>
                <w:color w:val="000000" w:themeColor="text1"/>
                <w:sz w:val="21"/>
                <w:szCs w:val="18"/>
                <w:vertAlign w:val="subscript"/>
              </w:rPr>
              <w:t>r</w:t>
            </w:r>
          </w:p>
          <w:p w14:paraId="43264087"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µSv/</w:t>
            </w:r>
            <w:r w:rsidRPr="00B12FE0">
              <w:rPr>
                <w:color w:val="000000" w:themeColor="text1"/>
                <w:sz w:val="21"/>
                <w:szCs w:val="18"/>
              </w:rPr>
              <w:t>（</w:t>
            </w:r>
            <w:proofErr w:type="spellStart"/>
            <w:r w:rsidRPr="00B12FE0">
              <w:rPr>
                <w:color w:val="000000" w:themeColor="text1"/>
                <w:sz w:val="21"/>
                <w:szCs w:val="18"/>
              </w:rPr>
              <w:t>h.MBq</w:t>
            </w:r>
            <w:proofErr w:type="spellEnd"/>
            <w:r w:rsidRPr="00B12FE0">
              <w:rPr>
                <w:color w:val="000000" w:themeColor="text1"/>
                <w:sz w:val="21"/>
                <w:szCs w:val="18"/>
              </w:rPr>
              <w:t>）</w:t>
            </w:r>
          </w:p>
        </w:tc>
        <w:tc>
          <w:tcPr>
            <w:tcW w:w="63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865389" w14:textId="77777777" w:rsidR="00A67F21" w:rsidRPr="00B12FE0" w:rsidRDefault="00000000">
            <w:pPr>
              <w:adjustRightInd w:val="0"/>
              <w:snapToGrid w:val="0"/>
              <w:jc w:val="center"/>
              <w:rPr>
                <w:i/>
                <w:color w:val="000000" w:themeColor="text1"/>
                <w:sz w:val="21"/>
                <w:szCs w:val="18"/>
                <w:vertAlign w:val="subscript"/>
              </w:rPr>
            </w:pPr>
            <w:proofErr w:type="spellStart"/>
            <w:r w:rsidRPr="00B12FE0">
              <w:rPr>
                <w:i/>
                <w:color w:val="000000" w:themeColor="text1"/>
                <w:sz w:val="21"/>
                <w:szCs w:val="18"/>
              </w:rPr>
              <w:t>S</w:t>
            </w:r>
            <w:r w:rsidRPr="00B12FE0">
              <w:rPr>
                <w:i/>
                <w:color w:val="000000" w:themeColor="text1"/>
                <w:sz w:val="21"/>
                <w:szCs w:val="18"/>
                <w:vertAlign w:val="subscript"/>
              </w:rPr>
              <w:t>w</w:t>
            </w:r>
            <w:proofErr w:type="spellEnd"/>
          </w:p>
          <w:p w14:paraId="153F761B"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w:t>
            </w:r>
            <w:r w:rsidRPr="00B12FE0">
              <w:rPr>
                <w:color w:val="000000" w:themeColor="text1"/>
                <w:sz w:val="21"/>
                <w:szCs w:val="18"/>
              </w:rPr>
              <w:t>m</w:t>
            </w:r>
            <w:r w:rsidRPr="00B12FE0">
              <w:rPr>
                <w:color w:val="000000" w:themeColor="text1"/>
                <w:sz w:val="21"/>
                <w:szCs w:val="18"/>
                <w:vertAlign w:val="superscript"/>
              </w:rPr>
              <w:t>2</w:t>
            </w:r>
            <w:r w:rsidRPr="00B12FE0">
              <w:rPr>
                <w:color w:val="000000" w:themeColor="text1"/>
                <w:sz w:val="21"/>
                <w:szCs w:val="18"/>
              </w:rPr>
              <w:t>）</w:t>
            </w:r>
          </w:p>
        </w:tc>
        <w:tc>
          <w:tcPr>
            <w:tcW w:w="6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A29A4A" w14:textId="77777777" w:rsidR="00A67F21" w:rsidRPr="00B12FE0" w:rsidRDefault="00000000">
            <w:pPr>
              <w:adjustRightInd w:val="0"/>
              <w:snapToGrid w:val="0"/>
              <w:jc w:val="center"/>
              <w:rPr>
                <w:color w:val="000000" w:themeColor="text1"/>
                <w:sz w:val="21"/>
                <w:szCs w:val="18"/>
              </w:rPr>
            </w:pPr>
            <w:r w:rsidRPr="00B12FE0">
              <w:rPr>
                <w:i/>
                <w:color w:val="000000" w:themeColor="text1"/>
                <w:sz w:val="21"/>
                <w:szCs w:val="18"/>
              </w:rPr>
              <w:t>α</w:t>
            </w:r>
            <w:r w:rsidRPr="00B12FE0">
              <w:rPr>
                <w:i/>
                <w:color w:val="000000" w:themeColor="text1"/>
                <w:sz w:val="21"/>
                <w:szCs w:val="18"/>
                <w:vertAlign w:val="subscript"/>
              </w:rPr>
              <w:t>w</w:t>
            </w:r>
          </w:p>
        </w:tc>
        <w:tc>
          <w:tcPr>
            <w:tcW w:w="5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05D05C" w14:textId="77777777" w:rsidR="00A67F21" w:rsidRPr="00B12FE0" w:rsidRDefault="00000000">
            <w:pPr>
              <w:adjustRightInd w:val="0"/>
              <w:snapToGrid w:val="0"/>
              <w:jc w:val="center"/>
              <w:rPr>
                <w:i/>
                <w:color w:val="000000" w:themeColor="text1"/>
                <w:sz w:val="21"/>
                <w:szCs w:val="18"/>
                <w:vertAlign w:val="subscript"/>
              </w:rPr>
            </w:pPr>
            <w:r w:rsidRPr="00B12FE0">
              <w:rPr>
                <w:i/>
                <w:color w:val="000000" w:themeColor="text1"/>
                <w:sz w:val="21"/>
                <w:szCs w:val="18"/>
              </w:rPr>
              <w:t>R</w:t>
            </w:r>
            <w:r w:rsidRPr="00B12FE0">
              <w:rPr>
                <w:i/>
                <w:color w:val="000000" w:themeColor="text1"/>
                <w:sz w:val="21"/>
                <w:szCs w:val="18"/>
                <w:vertAlign w:val="subscript"/>
              </w:rPr>
              <w:t>1</w:t>
            </w:r>
          </w:p>
          <w:p w14:paraId="1D176491" w14:textId="77777777" w:rsidR="00A67F21" w:rsidRPr="00B12FE0" w:rsidRDefault="00000000">
            <w:pPr>
              <w:adjustRightInd w:val="0"/>
              <w:snapToGrid w:val="0"/>
              <w:jc w:val="center"/>
              <w:rPr>
                <w:i/>
                <w:color w:val="000000" w:themeColor="text1"/>
                <w:sz w:val="21"/>
                <w:szCs w:val="18"/>
              </w:rPr>
            </w:pPr>
            <w:r w:rsidRPr="00B12FE0">
              <w:rPr>
                <w:color w:val="000000" w:themeColor="text1"/>
                <w:sz w:val="21"/>
                <w:szCs w:val="18"/>
              </w:rPr>
              <w:t>(m)</w:t>
            </w:r>
          </w:p>
        </w:tc>
        <w:tc>
          <w:tcPr>
            <w:tcW w:w="5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79CDFE" w14:textId="77777777" w:rsidR="00A67F21" w:rsidRPr="00B12FE0" w:rsidRDefault="00000000">
            <w:pPr>
              <w:adjustRightInd w:val="0"/>
              <w:snapToGrid w:val="0"/>
              <w:jc w:val="center"/>
              <w:rPr>
                <w:i/>
                <w:color w:val="000000" w:themeColor="text1"/>
                <w:sz w:val="21"/>
                <w:szCs w:val="18"/>
                <w:vertAlign w:val="subscript"/>
              </w:rPr>
            </w:pPr>
            <w:r w:rsidRPr="00B12FE0">
              <w:rPr>
                <w:i/>
                <w:color w:val="000000" w:themeColor="text1"/>
                <w:sz w:val="21"/>
                <w:szCs w:val="18"/>
              </w:rPr>
              <w:t>R</w:t>
            </w:r>
            <w:r w:rsidRPr="00B12FE0">
              <w:rPr>
                <w:i/>
                <w:color w:val="000000" w:themeColor="text1"/>
                <w:sz w:val="21"/>
                <w:szCs w:val="18"/>
                <w:vertAlign w:val="subscript"/>
              </w:rPr>
              <w:t>2</w:t>
            </w:r>
          </w:p>
          <w:p w14:paraId="4CE04F68" w14:textId="77777777" w:rsidR="00A67F21" w:rsidRPr="00B12FE0" w:rsidRDefault="00000000">
            <w:pPr>
              <w:adjustRightInd w:val="0"/>
              <w:snapToGrid w:val="0"/>
              <w:jc w:val="center"/>
              <w:rPr>
                <w:i/>
                <w:color w:val="000000" w:themeColor="text1"/>
                <w:sz w:val="21"/>
                <w:szCs w:val="18"/>
              </w:rPr>
            </w:pPr>
            <w:r w:rsidRPr="00B12FE0">
              <w:rPr>
                <w:color w:val="000000" w:themeColor="text1"/>
                <w:sz w:val="21"/>
                <w:szCs w:val="18"/>
              </w:rPr>
              <w:t>(m)</w:t>
            </w:r>
          </w:p>
        </w:tc>
        <w:tc>
          <w:tcPr>
            <w:tcW w:w="45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532338" w14:textId="77777777" w:rsidR="00A67F21" w:rsidRPr="00B12FE0" w:rsidRDefault="00000000">
            <w:pPr>
              <w:adjustRightInd w:val="0"/>
              <w:snapToGrid w:val="0"/>
              <w:jc w:val="center"/>
              <w:rPr>
                <w:color w:val="000000" w:themeColor="text1"/>
                <w:sz w:val="21"/>
                <w:szCs w:val="18"/>
              </w:rPr>
            </w:pPr>
            <m:oMathPara>
              <m:oMath>
                <m:sSub>
                  <m:sSubPr>
                    <m:ctrlPr>
                      <w:rPr>
                        <w:rFonts w:ascii="Cambria Math" w:hAnsi="Cambria Math" w:cs="宋体"/>
                        <w:i/>
                        <w:color w:val="000000" w:themeColor="text1"/>
                        <w:sz w:val="21"/>
                        <w:szCs w:val="18"/>
                      </w:rPr>
                    </m:ctrlPr>
                  </m:sSubPr>
                  <m:e>
                    <m:acc>
                      <m:accPr>
                        <m:chr m:val="̇"/>
                        <m:ctrlPr>
                          <w:rPr>
                            <w:rFonts w:ascii="Cambria Math" w:hAnsi="Cambria Math" w:cs="宋体"/>
                            <w:i/>
                            <w:color w:val="000000" w:themeColor="text1"/>
                            <w:sz w:val="21"/>
                            <w:szCs w:val="18"/>
                          </w:rPr>
                        </m:ctrlPr>
                      </m:accPr>
                      <m:e>
                        <m:r>
                          <w:rPr>
                            <w:rFonts w:ascii="Cambria Math" w:hAnsi="Cambria Math" w:cs="宋体"/>
                            <w:color w:val="000000" w:themeColor="text1"/>
                            <w:sz w:val="21"/>
                            <w:szCs w:val="18"/>
                          </w:rPr>
                          <m:t>H</m:t>
                        </m:r>
                      </m:e>
                    </m:acc>
                  </m:e>
                  <m:sub>
                    <m:r>
                      <w:rPr>
                        <w:rFonts w:ascii="Cambria Math" w:hAnsi="Cambria Math" w:cs="宋体" w:hint="eastAsia"/>
                        <w:color w:val="000000" w:themeColor="text1"/>
                        <w:sz w:val="21"/>
                        <w:szCs w:val="18"/>
                      </w:rPr>
                      <m:t>g</m:t>
                    </m:r>
                  </m:sub>
                </m:sSub>
              </m:oMath>
            </m:oMathPara>
          </w:p>
          <w:p w14:paraId="147AFE67" w14:textId="77777777" w:rsidR="00A67F21" w:rsidRPr="00B12FE0" w:rsidRDefault="00000000">
            <w:pPr>
              <w:adjustRightInd w:val="0"/>
              <w:snapToGrid w:val="0"/>
              <w:jc w:val="center"/>
              <w:rPr>
                <w:color w:val="000000" w:themeColor="text1"/>
                <w:sz w:val="21"/>
                <w:szCs w:val="18"/>
              </w:rPr>
            </w:pPr>
            <w:proofErr w:type="spellStart"/>
            <w:r w:rsidRPr="00B12FE0">
              <w:rPr>
                <w:color w:val="000000" w:themeColor="text1"/>
                <w:sz w:val="21"/>
                <w:szCs w:val="18"/>
              </w:rPr>
              <w:t>μSv</w:t>
            </w:r>
            <w:proofErr w:type="spellEnd"/>
            <w:r w:rsidRPr="00B12FE0">
              <w:rPr>
                <w:color w:val="000000" w:themeColor="text1"/>
                <w:sz w:val="21"/>
                <w:szCs w:val="18"/>
              </w:rPr>
              <w:t>/h</w:t>
            </w:r>
          </w:p>
        </w:tc>
      </w:tr>
      <w:tr w:rsidR="00A67F21" w:rsidRPr="00B12FE0" w14:paraId="7C613BDE" w14:textId="77777777">
        <w:trPr>
          <w:trHeight w:val="340"/>
        </w:trPr>
        <w:tc>
          <w:tcPr>
            <w:tcW w:w="39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48A255"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数值</w:t>
            </w:r>
          </w:p>
        </w:tc>
        <w:tc>
          <w:tcPr>
            <w:tcW w:w="80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884676"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3.7×10</w:t>
            </w:r>
            <w:r w:rsidRPr="00B12FE0">
              <w:rPr>
                <w:color w:val="000000" w:themeColor="text1"/>
                <w:sz w:val="21"/>
                <w:szCs w:val="18"/>
                <w:vertAlign w:val="superscript"/>
              </w:rPr>
              <w:t>5</w:t>
            </w:r>
          </w:p>
        </w:tc>
        <w:tc>
          <w:tcPr>
            <w:tcW w:w="9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03DD75"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0.111</w:t>
            </w:r>
          </w:p>
        </w:tc>
        <w:tc>
          <w:tcPr>
            <w:tcW w:w="63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539B01"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16.8</w:t>
            </w:r>
          </w:p>
        </w:tc>
        <w:tc>
          <w:tcPr>
            <w:tcW w:w="6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6E7CD6"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3.39×10</w:t>
            </w:r>
            <w:r w:rsidRPr="00B12FE0">
              <w:rPr>
                <w:color w:val="000000" w:themeColor="text1"/>
                <w:sz w:val="21"/>
                <w:szCs w:val="18"/>
                <w:vertAlign w:val="superscript"/>
              </w:rPr>
              <w:t>-2</w:t>
            </w:r>
          </w:p>
        </w:tc>
        <w:tc>
          <w:tcPr>
            <w:tcW w:w="5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B7E0CE"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2.69</w:t>
            </w:r>
          </w:p>
        </w:tc>
        <w:tc>
          <w:tcPr>
            <w:tcW w:w="5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38081E" w14:textId="77777777" w:rsidR="00A67F21" w:rsidRPr="00B12FE0" w:rsidRDefault="00000000">
            <w:pPr>
              <w:adjustRightInd w:val="0"/>
              <w:snapToGrid w:val="0"/>
              <w:jc w:val="center"/>
              <w:rPr>
                <w:color w:val="000000" w:themeColor="text1"/>
                <w:sz w:val="21"/>
                <w:szCs w:val="18"/>
              </w:rPr>
            </w:pPr>
            <w:r w:rsidRPr="00B12FE0">
              <w:rPr>
                <w:color w:val="000000" w:themeColor="text1"/>
                <w:sz w:val="21"/>
                <w:szCs w:val="18"/>
              </w:rPr>
              <w:t>6.05</w:t>
            </w:r>
          </w:p>
        </w:tc>
        <w:tc>
          <w:tcPr>
            <w:tcW w:w="45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9C331A" w14:textId="77777777" w:rsidR="00A67F21" w:rsidRPr="00B12FE0" w:rsidRDefault="00000000">
            <w:pPr>
              <w:adjustRightInd w:val="0"/>
              <w:snapToGrid w:val="0"/>
              <w:jc w:val="center"/>
              <w:rPr>
                <w:color w:val="000000" w:themeColor="text1"/>
                <w:sz w:val="21"/>
                <w:szCs w:val="18"/>
              </w:rPr>
            </w:pPr>
            <w:r w:rsidRPr="00B12FE0">
              <w:rPr>
                <w:rFonts w:hint="eastAsia"/>
                <w:color w:val="000000" w:themeColor="text1"/>
                <w:sz w:val="21"/>
                <w:szCs w:val="18"/>
              </w:rPr>
              <w:t>88.3</w:t>
            </w:r>
          </w:p>
        </w:tc>
      </w:tr>
    </w:tbl>
    <w:p w14:paraId="3942A22B" w14:textId="77777777" w:rsidR="00A67F21" w:rsidRPr="00B12FE0" w:rsidRDefault="00000000">
      <w:pPr>
        <w:adjustRightInd w:val="0"/>
        <w:spacing w:beforeLines="50" w:before="120" w:line="360" w:lineRule="auto"/>
        <w:ind w:firstLine="480"/>
        <w:jc w:val="left"/>
        <w:rPr>
          <w:color w:val="000000" w:themeColor="text1"/>
        </w:rPr>
      </w:pPr>
      <w:proofErr w:type="gramStart"/>
      <w:r w:rsidRPr="00B12FE0">
        <w:rPr>
          <w:color w:val="000000" w:themeColor="text1"/>
        </w:rPr>
        <w:t>经迷道壁</w:t>
      </w:r>
      <w:proofErr w:type="gramEnd"/>
      <w:r w:rsidRPr="00B12FE0">
        <w:rPr>
          <w:color w:val="000000" w:themeColor="text1"/>
        </w:rPr>
        <w:t>散射后迷道口的散射辐射能量约</w:t>
      </w:r>
      <w:r w:rsidRPr="00B12FE0">
        <w:rPr>
          <w:color w:val="000000" w:themeColor="text1"/>
        </w:rPr>
        <w:t>0.2MeV</w:t>
      </w:r>
      <w:r w:rsidRPr="00B12FE0">
        <w:rPr>
          <w:color w:val="000000" w:themeColor="text1"/>
        </w:rPr>
        <w:t>，铅中的</w:t>
      </w:r>
      <w:r w:rsidRPr="00B12FE0">
        <w:rPr>
          <w:color w:val="000000" w:themeColor="text1"/>
        </w:rPr>
        <w:t>TVL</w:t>
      </w:r>
      <w:r w:rsidRPr="00B12FE0">
        <w:rPr>
          <w:color w:val="000000" w:themeColor="text1"/>
        </w:rPr>
        <w:t>为</w:t>
      </w:r>
      <w:r w:rsidRPr="00B12FE0">
        <w:rPr>
          <w:color w:val="000000" w:themeColor="text1"/>
        </w:rPr>
        <w:t>5mm</w:t>
      </w:r>
      <w:r w:rsidRPr="00B12FE0">
        <w:rPr>
          <w:rFonts w:hint="eastAsia"/>
          <w:color w:val="000000" w:themeColor="text1"/>
        </w:rPr>
        <w:t>。</w:t>
      </w:r>
      <w:proofErr w:type="gramStart"/>
      <w:r w:rsidRPr="00B12FE0">
        <w:rPr>
          <w:color w:val="000000" w:themeColor="text1"/>
        </w:rPr>
        <w:t>该后装机</w:t>
      </w:r>
      <w:proofErr w:type="gramEnd"/>
      <w:r w:rsidRPr="00B12FE0">
        <w:rPr>
          <w:rFonts w:hint="eastAsia"/>
          <w:color w:val="000000" w:themeColor="text1"/>
        </w:rPr>
        <w:t>机</w:t>
      </w:r>
      <w:r w:rsidRPr="00B12FE0">
        <w:rPr>
          <w:color w:val="000000" w:themeColor="text1"/>
        </w:rPr>
        <w:t>房的防护门</w:t>
      </w:r>
      <w:r w:rsidRPr="00B12FE0">
        <w:rPr>
          <w:rFonts w:hint="eastAsia"/>
          <w:color w:val="000000" w:themeColor="text1"/>
        </w:rPr>
        <w:t>为</w:t>
      </w:r>
      <w:r w:rsidRPr="00B12FE0">
        <w:rPr>
          <w:color w:val="000000" w:themeColor="text1"/>
        </w:rPr>
        <w:t>10mm</w:t>
      </w:r>
      <w:r w:rsidRPr="00B12FE0">
        <w:rPr>
          <w:color w:val="000000" w:themeColor="text1"/>
        </w:rPr>
        <w:t>铅当量，经防护门屏蔽后迷道口的辐射剂量</w:t>
      </w:r>
      <w:proofErr w:type="gramStart"/>
      <w:r w:rsidRPr="00B12FE0">
        <w:rPr>
          <w:color w:val="000000" w:themeColor="text1"/>
        </w:rPr>
        <w:t>率利用</w:t>
      </w:r>
      <w:proofErr w:type="gramEnd"/>
      <w:r w:rsidRPr="00B12FE0">
        <w:rPr>
          <w:color w:val="000000" w:themeColor="text1"/>
        </w:rPr>
        <w:t>公式</w:t>
      </w:r>
      <w:r w:rsidRPr="00B12FE0">
        <w:rPr>
          <w:rFonts w:cs="宋体"/>
          <w:color w:val="000000" w:themeColor="text1"/>
        </w:rPr>
        <w:t>11.2.2.2-6</w:t>
      </w:r>
      <w:r w:rsidRPr="00B12FE0">
        <w:rPr>
          <w:color w:val="000000" w:themeColor="text1"/>
        </w:rPr>
        <w:t>计算。</w:t>
      </w:r>
    </w:p>
    <w:p w14:paraId="4C542276" w14:textId="77777777" w:rsidR="00A67F21" w:rsidRPr="00B12FE0" w:rsidRDefault="00000000">
      <w:pPr>
        <w:adjustRightInd w:val="0"/>
        <w:spacing w:line="360" w:lineRule="auto"/>
        <w:ind w:firstLineChars="377" w:firstLine="905"/>
        <w:jc w:val="center"/>
        <w:rPr>
          <w:rFonts w:cs="宋体"/>
          <w:color w:val="000000" w:themeColor="text1"/>
        </w:rPr>
      </w:pPr>
      <m:oMath>
        <m:acc>
          <m:accPr>
            <m:chr m:val="̇"/>
            <m:ctrlPr>
              <w:rPr>
                <w:rFonts w:ascii="Cambria Math" w:hAnsi="Cambria Math" w:cs="宋体"/>
                <w:i/>
                <w:color w:val="000000" w:themeColor="text1"/>
              </w:rPr>
            </m:ctrlPr>
          </m:accPr>
          <m:e>
            <m:r>
              <w:rPr>
                <w:rFonts w:ascii="Cambria Math" w:hAnsi="Cambria Math" w:cs="宋体"/>
                <w:color w:val="000000" w:themeColor="text1"/>
              </w:rPr>
              <m:t>H</m:t>
            </m:r>
          </m:e>
        </m:acc>
        <m:r>
          <w:rPr>
            <w:rFonts w:ascii="Cambria Math" w:hAnsi="Cambria Math" w:cs="宋体" w:hint="eastAsia"/>
            <w:color w:val="000000" w:themeColor="text1"/>
          </w:rPr>
          <m:t>=</m:t>
        </m:r>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hint="eastAsia"/>
                <w:color w:val="000000" w:themeColor="text1"/>
              </w:rPr>
              <m:t>g</m:t>
            </m:r>
          </m:sub>
        </m:sSub>
        <m:r>
          <w:rPr>
            <w:rFonts w:ascii="Cambria Math" w:hAnsi="Cambria Math" w:cs="宋体"/>
            <w:color w:val="000000" w:themeColor="text1"/>
          </w:rPr>
          <m:t>∙</m:t>
        </m:r>
        <m:sSup>
          <m:sSupPr>
            <m:ctrlPr>
              <w:rPr>
                <w:rFonts w:ascii="Cambria Math" w:hAnsi="Cambria Math" w:cs="宋体"/>
                <w:i/>
                <w:color w:val="000000" w:themeColor="text1"/>
              </w:rPr>
            </m:ctrlPr>
          </m:sSupPr>
          <m:e>
            <m:r>
              <w:rPr>
                <w:rFonts w:ascii="Cambria Math" w:hAnsi="Cambria Math" w:cs="宋体"/>
                <w:color w:val="000000" w:themeColor="text1"/>
              </w:rPr>
              <m:t>10</m:t>
            </m:r>
          </m:e>
          <m:sup>
            <m:r>
              <w:rPr>
                <w:rFonts w:ascii="Cambria Math" w:eastAsia="微软雅黑" w:hAnsi="Cambria Math" w:cs="微软雅黑" w:hint="eastAsia"/>
                <w:color w:val="000000" w:themeColor="text1"/>
              </w:rPr>
              <m:t>-</m:t>
            </m:r>
            <m:d>
              <m:dPr>
                <m:begChr m:val="（"/>
                <m:endChr m:val="）"/>
                <m:ctrlPr>
                  <w:rPr>
                    <w:rFonts w:ascii="Cambria Math" w:hAnsi="Cambria Math" w:cs="宋体"/>
                    <w:i/>
                    <w:color w:val="000000" w:themeColor="text1"/>
                  </w:rPr>
                </m:ctrlPr>
              </m:dPr>
              <m:e>
                <m:f>
                  <m:fPr>
                    <m:ctrlPr>
                      <w:rPr>
                        <w:rFonts w:ascii="Cambria Math" w:hAnsi="Cambria Math" w:cs="宋体"/>
                        <w:i/>
                        <w:color w:val="000000" w:themeColor="text1"/>
                      </w:rPr>
                    </m:ctrlPr>
                  </m:fPr>
                  <m:num>
                    <m:r>
                      <w:rPr>
                        <w:rFonts w:ascii="Cambria Math" w:hAnsi="Cambria Math" w:cs="宋体"/>
                        <w:color w:val="000000" w:themeColor="text1"/>
                      </w:rPr>
                      <m:t>X</m:t>
                    </m:r>
                  </m:num>
                  <m:den>
                    <m:r>
                      <w:rPr>
                        <w:rFonts w:ascii="Cambria Math" w:hAnsi="Cambria Math" w:cs="宋体"/>
                        <w:color w:val="000000" w:themeColor="text1"/>
                      </w:rPr>
                      <m:t>TVL</m:t>
                    </m:r>
                  </m:den>
                </m:f>
              </m:e>
            </m:d>
          </m:sup>
        </m:sSup>
        <m:r>
          <w:rPr>
            <w:rFonts w:ascii="Cambria Math" w:hAnsi="Cambria Math" w:cs="宋体"/>
            <w:color w:val="000000" w:themeColor="text1"/>
          </w:rPr>
          <m:t>+</m:t>
        </m:r>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color w:val="000000" w:themeColor="text1"/>
              </w:rPr>
              <m:t>o</m:t>
            </m:r>
            <m:r>
              <w:rPr>
                <w:rFonts w:ascii="Cambria Math" w:hAnsi="Cambria Math" w:cs="宋体" w:hint="eastAsia"/>
                <w:color w:val="000000" w:themeColor="text1"/>
              </w:rPr>
              <m:t>g</m:t>
            </m:r>
          </m:sub>
        </m:sSub>
      </m:oMath>
      <w:r w:rsidRPr="00B12FE0">
        <w:rPr>
          <w:rFonts w:cs="宋体"/>
          <w:color w:val="000000" w:themeColor="text1"/>
        </w:rPr>
        <w:t>………………………</w:t>
      </w:r>
      <w:proofErr w:type="gramStart"/>
      <w:r w:rsidRPr="00B12FE0">
        <w:rPr>
          <w:rFonts w:cs="宋体"/>
          <w:color w:val="000000" w:themeColor="text1"/>
        </w:rPr>
        <w:t>…(</w:t>
      </w:r>
      <w:proofErr w:type="gramEnd"/>
      <w:r w:rsidRPr="00B12FE0">
        <w:rPr>
          <w:rFonts w:cs="宋体" w:hint="eastAsia"/>
          <w:color w:val="000000" w:themeColor="text1"/>
        </w:rPr>
        <w:t>式</w:t>
      </w:r>
      <w:r w:rsidRPr="00B12FE0">
        <w:rPr>
          <w:rFonts w:cs="宋体"/>
          <w:color w:val="000000" w:themeColor="text1"/>
        </w:rPr>
        <w:t>11.2.2.2-6)</w:t>
      </w:r>
    </w:p>
    <w:p w14:paraId="52BAF6B6" w14:textId="77777777" w:rsidR="00A67F21" w:rsidRPr="00B12FE0" w:rsidRDefault="00000000">
      <w:pPr>
        <w:adjustRightInd w:val="0"/>
        <w:spacing w:line="360" w:lineRule="auto"/>
        <w:ind w:firstLineChars="200" w:firstLine="480"/>
        <w:rPr>
          <w:color w:val="000000" w:themeColor="text1"/>
          <w:szCs w:val="28"/>
        </w:rPr>
      </w:pPr>
      <w:r w:rsidRPr="00B12FE0">
        <w:rPr>
          <w:rFonts w:cs="宋体" w:hint="eastAsia"/>
          <w:color w:val="000000" w:themeColor="text1"/>
        </w:rPr>
        <w:t>式中：</w:t>
      </w:r>
    </w:p>
    <w:p w14:paraId="699788E5" w14:textId="77777777" w:rsidR="00A67F21" w:rsidRPr="00B12FE0" w:rsidRDefault="00000000">
      <w:pPr>
        <w:adjustRightInd w:val="0"/>
        <w:spacing w:line="360" w:lineRule="auto"/>
        <w:ind w:firstLineChars="400" w:firstLine="960"/>
        <w:rPr>
          <w:color w:val="000000" w:themeColor="text1"/>
        </w:rPr>
      </w:pPr>
      <m:oMath>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hint="eastAsia"/>
                <w:color w:val="000000" w:themeColor="text1"/>
              </w:rPr>
              <m:t>g</m:t>
            </m:r>
          </m:sub>
        </m:sSub>
      </m:oMath>
      <w:r w:rsidRPr="00B12FE0">
        <w:rPr>
          <w:color w:val="000000" w:themeColor="text1"/>
          <w:szCs w:val="28"/>
        </w:rPr>
        <w:t>——</w:t>
      </w:r>
      <w:r w:rsidRPr="00B12FE0">
        <w:rPr>
          <w:rFonts w:hint="eastAsia"/>
          <w:color w:val="000000" w:themeColor="text1"/>
          <w:szCs w:val="28"/>
        </w:rPr>
        <w:t>防护门入口处的</w:t>
      </w:r>
      <w:r w:rsidRPr="00B12FE0">
        <w:rPr>
          <w:rFonts w:hint="eastAsia"/>
          <w:color w:val="000000" w:themeColor="text1"/>
          <w:szCs w:val="28"/>
        </w:rPr>
        <w:t>g</w:t>
      </w:r>
      <w:r w:rsidRPr="00B12FE0">
        <w:rPr>
          <w:rFonts w:hint="eastAsia"/>
          <w:color w:val="000000" w:themeColor="text1"/>
          <w:szCs w:val="28"/>
        </w:rPr>
        <w:t>处的散射辐射剂量率，由表</w:t>
      </w:r>
      <w:r w:rsidRPr="00B12FE0">
        <w:rPr>
          <w:color w:val="000000" w:themeColor="text1"/>
          <w:szCs w:val="28"/>
        </w:rPr>
        <w:t>11.2.2.2-4</w:t>
      </w:r>
      <w:r w:rsidRPr="00B12FE0">
        <w:rPr>
          <w:rFonts w:hint="eastAsia"/>
          <w:color w:val="000000" w:themeColor="text1"/>
          <w:szCs w:val="28"/>
        </w:rPr>
        <w:t>可知，</w:t>
      </w:r>
      <w:r w:rsidRPr="00B12FE0">
        <w:rPr>
          <w:rFonts w:hint="eastAsia"/>
          <w:color w:val="000000" w:themeColor="text1"/>
          <w:szCs w:val="28"/>
        </w:rPr>
        <w:t>88.3</w:t>
      </w:r>
      <w:r w:rsidRPr="00B12FE0">
        <w:rPr>
          <w:color w:val="000000" w:themeColor="text1"/>
        </w:rPr>
        <w:t>μSv/h</w:t>
      </w:r>
      <w:r w:rsidRPr="00B12FE0">
        <w:rPr>
          <w:color w:val="000000" w:themeColor="text1"/>
        </w:rPr>
        <w:t>；</w:t>
      </w:r>
    </w:p>
    <w:p w14:paraId="756B9ECB" w14:textId="77777777" w:rsidR="00A67F21" w:rsidRPr="00B12FE0" w:rsidRDefault="00000000">
      <w:pPr>
        <w:adjustRightInd w:val="0"/>
        <w:spacing w:line="360" w:lineRule="auto"/>
        <w:ind w:firstLineChars="400" w:firstLine="960"/>
        <w:rPr>
          <w:color w:val="000000" w:themeColor="text1"/>
          <w:szCs w:val="28"/>
        </w:rPr>
      </w:pPr>
      <w:r w:rsidRPr="00B12FE0">
        <w:rPr>
          <w:i/>
          <w:color w:val="000000" w:themeColor="text1"/>
          <w:szCs w:val="28"/>
        </w:rPr>
        <w:t>X</w:t>
      </w:r>
      <w:r w:rsidRPr="00B12FE0">
        <w:rPr>
          <w:color w:val="000000" w:themeColor="text1"/>
          <w:szCs w:val="28"/>
        </w:rPr>
        <w:t>——</w:t>
      </w:r>
      <w:r w:rsidRPr="00B12FE0">
        <w:rPr>
          <w:color w:val="000000" w:themeColor="text1"/>
          <w:szCs w:val="28"/>
        </w:rPr>
        <w:t>防护门铅板厚度，</w:t>
      </w:r>
      <w:r w:rsidRPr="00B12FE0">
        <w:rPr>
          <w:color w:val="000000" w:themeColor="text1"/>
          <w:szCs w:val="28"/>
        </w:rPr>
        <w:t>mm</w:t>
      </w:r>
      <w:r w:rsidRPr="00B12FE0">
        <w:rPr>
          <w:color w:val="000000" w:themeColor="text1"/>
          <w:szCs w:val="28"/>
        </w:rPr>
        <w:t>；本项目为</w:t>
      </w:r>
      <w:r w:rsidRPr="00B12FE0">
        <w:rPr>
          <w:color w:val="000000" w:themeColor="text1"/>
          <w:szCs w:val="28"/>
        </w:rPr>
        <w:t>10mm</w:t>
      </w:r>
      <w:r w:rsidRPr="00B12FE0">
        <w:rPr>
          <w:color w:val="000000" w:themeColor="text1"/>
          <w:szCs w:val="28"/>
        </w:rPr>
        <w:t>；</w:t>
      </w:r>
    </w:p>
    <w:p w14:paraId="3CB7B746" w14:textId="77777777" w:rsidR="00A67F21" w:rsidRPr="00B12FE0" w:rsidRDefault="00000000">
      <w:pPr>
        <w:adjustRightInd w:val="0"/>
        <w:spacing w:line="360" w:lineRule="auto"/>
        <w:ind w:firstLineChars="400" w:firstLine="960"/>
        <w:rPr>
          <w:color w:val="000000" w:themeColor="text1"/>
          <w:szCs w:val="28"/>
        </w:rPr>
      </w:pPr>
      <w:r w:rsidRPr="00B12FE0">
        <w:rPr>
          <w:i/>
          <w:color w:val="000000" w:themeColor="text1"/>
          <w:szCs w:val="28"/>
        </w:rPr>
        <w:t>TVL</w:t>
      </w:r>
      <w:r w:rsidRPr="00B12FE0">
        <w:rPr>
          <w:color w:val="000000" w:themeColor="text1"/>
          <w:szCs w:val="28"/>
        </w:rPr>
        <w:t>——</w:t>
      </w:r>
      <w:r w:rsidRPr="00B12FE0">
        <w:rPr>
          <w:color w:val="000000" w:themeColor="text1"/>
          <w:szCs w:val="28"/>
        </w:rPr>
        <w:t>铅板的</w:t>
      </w:r>
      <w:proofErr w:type="gramStart"/>
      <w:r w:rsidRPr="00B12FE0">
        <w:rPr>
          <w:color w:val="000000" w:themeColor="text1"/>
          <w:szCs w:val="28"/>
        </w:rPr>
        <w:t>什值层</w:t>
      </w:r>
      <w:proofErr w:type="gramEnd"/>
      <w:r w:rsidRPr="00B12FE0">
        <w:rPr>
          <w:color w:val="000000" w:themeColor="text1"/>
          <w:szCs w:val="28"/>
        </w:rPr>
        <w:t>，</w:t>
      </w:r>
      <w:r w:rsidRPr="00B12FE0">
        <w:rPr>
          <w:color w:val="000000" w:themeColor="text1"/>
          <w:szCs w:val="28"/>
        </w:rPr>
        <w:t>mm</w:t>
      </w:r>
      <w:r w:rsidRPr="00B12FE0">
        <w:rPr>
          <w:color w:val="000000" w:themeColor="text1"/>
          <w:szCs w:val="28"/>
        </w:rPr>
        <w:t>；取</w:t>
      </w:r>
      <w:r w:rsidRPr="00B12FE0">
        <w:rPr>
          <w:color w:val="000000" w:themeColor="text1"/>
          <w:szCs w:val="28"/>
        </w:rPr>
        <w:t>5mm</w:t>
      </w:r>
      <w:r w:rsidRPr="00B12FE0">
        <w:rPr>
          <w:color w:val="000000" w:themeColor="text1"/>
          <w:szCs w:val="28"/>
        </w:rPr>
        <w:t>；</w:t>
      </w:r>
    </w:p>
    <w:p w14:paraId="6EFED710" w14:textId="77777777" w:rsidR="00A67F21" w:rsidRPr="00B12FE0" w:rsidRDefault="00000000">
      <w:pPr>
        <w:adjustRightInd w:val="0"/>
        <w:spacing w:line="360" w:lineRule="auto"/>
        <w:ind w:firstLineChars="400" w:firstLine="960"/>
        <w:rPr>
          <w:color w:val="000000" w:themeColor="text1"/>
        </w:rPr>
      </w:pPr>
      <m:oMath>
        <m:sSub>
          <m:sSubPr>
            <m:ctrlPr>
              <w:rPr>
                <w:rFonts w:ascii="Cambria Math" w:hAnsi="Cambria Math" w:cs="宋体"/>
                <w:i/>
                <w:color w:val="000000" w:themeColor="text1"/>
              </w:rPr>
            </m:ctrlPr>
          </m:sSubPr>
          <m:e>
            <m:acc>
              <m:accPr>
                <m:chr m:val="̇"/>
                <m:ctrlPr>
                  <w:rPr>
                    <w:rFonts w:ascii="Cambria Math" w:hAnsi="Cambria Math" w:cs="宋体"/>
                    <w:i/>
                    <w:color w:val="000000" w:themeColor="text1"/>
                  </w:rPr>
                </m:ctrlPr>
              </m:accPr>
              <m:e>
                <m:r>
                  <w:rPr>
                    <w:rFonts w:ascii="Cambria Math" w:hAnsi="Cambria Math" w:cs="宋体"/>
                    <w:color w:val="000000" w:themeColor="text1"/>
                  </w:rPr>
                  <m:t>H</m:t>
                </m:r>
              </m:e>
            </m:acc>
          </m:e>
          <m:sub>
            <m:r>
              <w:rPr>
                <w:rFonts w:ascii="Cambria Math" w:hAnsi="Cambria Math" w:cs="宋体" w:hint="eastAsia"/>
                <w:color w:val="000000" w:themeColor="text1"/>
              </w:rPr>
              <m:t>og</m:t>
            </m:r>
          </m:sub>
        </m:sSub>
      </m:oMath>
      <w:r w:rsidRPr="00B12FE0">
        <w:rPr>
          <w:color w:val="000000" w:themeColor="text1"/>
        </w:rPr>
        <w:t>——</w:t>
      </w:r>
      <w:r w:rsidRPr="00B12FE0">
        <w:rPr>
          <w:rFonts w:hint="eastAsia"/>
          <w:color w:val="000000" w:themeColor="text1"/>
        </w:rPr>
        <w:t>图</w:t>
      </w:r>
      <w:r w:rsidRPr="00B12FE0">
        <w:rPr>
          <w:rFonts w:cs="宋体"/>
          <w:color w:val="000000" w:themeColor="text1"/>
        </w:rPr>
        <w:t>11.2.2.2-1</w:t>
      </w:r>
      <w:r w:rsidRPr="00B12FE0">
        <w:rPr>
          <w:rFonts w:hint="eastAsia"/>
          <w:color w:val="000000" w:themeColor="text1"/>
        </w:rPr>
        <w:t>中</w:t>
      </w:r>
      <w:r w:rsidRPr="00B12FE0">
        <w:rPr>
          <w:rFonts w:hint="eastAsia"/>
          <w:color w:val="000000" w:themeColor="text1"/>
        </w:rPr>
        <w:t>0</w:t>
      </w:r>
      <w:r w:rsidRPr="00B12FE0">
        <w:rPr>
          <w:color w:val="000000" w:themeColor="text1"/>
          <w:vertAlign w:val="subscript"/>
        </w:rPr>
        <w:t>2</w:t>
      </w:r>
      <w:r w:rsidRPr="00B12FE0">
        <w:rPr>
          <w:rFonts w:hint="eastAsia"/>
          <w:color w:val="000000" w:themeColor="text1"/>
        </w:rPr>
        <w:t>位置穿越迷路内墙的泄漏辐射在</w:t>
      </w:r>
      <w:r w:rsidRPr="00B12FE0">
        <w:rPr>
          <w:rFonts w:hint="eastAsia"/>
          <w:color w:val="000000" w:themeColor="text1"/>
        </w:rPr>
        <w:t>g</w:t>
      </w:r>
      <w:r w:rsidRPr="00B12FE0">
        <w:rPr>
          <w:rFonts w:hint="eastAsia"/>
          <w:color w:val="000000" w:themeColor="text1"/>
        </w:rPr>
        <w:t>处</w:t>
      </w:r>
      <w:r w:rsidRPr="00B12FE0">
        <w:rPr>
          <w:color w:val="000000" w:themeColor="text1"/>
        </w:rPr>
        <w:t>的辐射剂量率，</w:t>
      </w:r>
      <w:r w:rsidRPr="00B12FE0">
        <w:rPr>
          <w:rFonts w:hint="eastAsia"/>
          <w:color w:val="000000" w:themeColor="text1"/>
        </w:rPr>
        <w:t>由表</w:t>
      </w:r>
      <w:r w:rsidRPr="00B12FE0">
        <w:rPr>
          <w:color w:val="000000" w:themeColor="text1"/>
        </w:rPr>
        <w:t>11.2.2.2-3</w:t>
      </w:r>
      <w:r w:rsidRPr="00B12FE0">
        <w:rPr>
          <w:rFonts w:hint="eastAsia"/>
          <w:color w:val="000000" w:themeColor="text1"/>
        </w:rPr>
        <w:t>可知，</w:t>
      </w:r>
      <m:oMath>
        <m:sSub>
          <m:sSubPr>
            <m:ctrlPr>
              <w:rPr>
                <w:rFonts w:ascii="Cambria Math" w:hAnsi="Cambria Math" w:cs="宋体"/>
                <w:i/>
                <w:color w:val="000000" w:themeColor="text1"/>
                <w:szCs w:val="24"/>
              </w:rPr>
            </m:ctrlPr>
          </m:sSubPr>
          <m:e>
            <m:acc>
              <m:accPr>
                <m:chr m:val="̇"/>
                <m:ctrlPr>
                  <w:rPr>
                    <w:rFonts w:ascii="Cambria Math" w:hAnsi="Cambria Math" w:cs="宋体"/>
                    <w:i/>
                    <w:color w:val="000000" w:themeColor="text1"/>
                    <w:szCs w:val="24"/>
                  </w:rPr>
                </m:ctrlPr>
              </m:accPr>
              <m:e>
                <m:r>
                  <w:rPr>
                    <w:rFonts w:ascii="Cambria Math" w:hAnsi="Cambria Math" w:cs="宋体"/>
                    <w:color w:val="000000" w:themeColor="text1"/>
                    <w:szCs w:val="24"/>
                  </w:rPr>
                  <m:t>H</m:t>
                </m:r>
              </m:e>
            </m:acc>
          </m:e>
          <m:sub>
            <m:r>
              <w:rPr>
                <w:rFonts w:ascii="Cambria Math" w:hAnsi="Cambria Math" w:cs="宋体" w:hint="eastAsia"/>
                <w:color w:val="000000" w:themeColor="text1"/>
                <w:szCs w:val="24"/>
              </w:rPr>
              <m:t>og</m:t>
            </m:r>
          </m:sub>
        </m:sSub>
      </m:oMath>
      <w:r w:rsidRPr="00B12FE0">
        <w:rPr>
          <w:rFonts w:hint="eastAsia"/>
          <w:color w:val="000000" w:themeColor="text1"/>
          <w:szCs w:val="24"/>
        </w:rPr>
        <w:t>为</w:t>
      </w:r>
      <w:r w:rsidRPr="00B12FE0">
        <w:rPr>
          <w:color w:val="000000" w:themeColor="text1"/>
          <w:szCs w:val="24"/>
        </w:rPr>
        <w:t>2.36E-01μSv/h</w:t>
      </w:r>
      <w:r w:rsidRPr="00B12FE0">
        <w:rPr>
          <w:rFonts w:hint="eastAsia"/>
          <w:color w:val="000000" w:themeColor="text1"/>
          <w:szCs w:val="24"/>
        </w:rPr>
        <w:t>。</w:t>
      </w:r>
    </w:p>
    <w:p w14:paraId="418D6A76" w14:textId="77777777" w:rsidR="00A67F21" w:rsidRPr="00B12FE0" w:rsidRDefault="00000000">
      <w:pPr>
        <w:adjustRightInd w:val="0"/>
        <w:spacing w:line="360" w:lineRule="auto"/>
        <w:ind w:firstLine="480"/>
        <w:jc w:val="left"/>
        <w:rPr>
          <w:color w:val="000000" w:themeColor="text1"/>
        </w:rPr>
      </w:pPr>
      <w:r w:rsidRPr="00B12FE0">
        <w:rPr>
          <w:color w:val="000000" w:themeColor="text1"/>
        </w:rPr>
        <w:t>经计算，经防护门屏蔽后，防护门外的辐射剂量率可降至</w:t>
      </w:r>
      <w:r w:rsidRPr="00B12FE0">
        <w:rPr>
          <w:rFonts w:hint="eastAsia"/>
          <w:color w:val="000000" w:themeColor="text1"/>
        </w:rPr>
        <w:t>1.12</w:t>
      </w:r>
      <w:r w:rsidRPr="00B12FE0">
        <w:rPr>
          <w:color w:val="000000" w:themeColor="text1"/>
        </w:rPr>
        <w:t>µSv/h</w:t>
      </w:r>
      <w:r w:rsidRPr="00B12FE0">
        <w:rPr>
          <w:color w:val="000000" w:themeColor="text1"/>
        </w:rPr>
        <w:t>。</w:t>
      </w:r>
    </w:p>
    <w:p w14:paraId="693A0F33" w14:textId="77777777" w:rsidR="00A67F21" w:rsidRPr="00B12FE0" w:rsidRDefault="00000000">
      <w:pPr>
        <w:adjustRightInd w:val="0"/>
        <w:spacing w:line="360" w:lineRule="auto"/>
        <w:ind w:firstLineChars="177" w:firstLine="426"/>
        <w:rPr>
          <w:b/>
          <w:bCs/>
          <w:color w:val="000000" w:themeColor="text1"/>
          <w:szCs w:val="28"/>
        </w:rPr>
      </w:pPr>
      <w:r w:rsidRPr="00B12FE0">
        <w:rPr>
          <w:rFonts w:hint="eastAsia"/>
          <w:b/>
          <w:bCs/>
          <w:color w:val="000000" w:themeColor="text1"/>
          <w:szCs w:val="28"/>
        </w:rPr>
        <w:t>（</w:t>
      </w:r>
      <w:r w:rsidRPr="00B12FE0">
        <w:rPr>
          <w:b/>
          <w:bCs/>
          <w:color w:val="000000" w:themeColor="text1"/>
          <w:szCs w:val="28"/>
        </w:rPr>
        <w:t>6</w:t>
      </w:r>
      <w:r w:rsidRPr="00B12FE0">
        <w:rPr>
          <w:rFonts w:hint="eastAsia"/>
          <w:b/>
          <w:bCs/>
          <w:color w:val="000000" w:themeColor="text1"/>
          <w:szCs w:val="28"/>
        </w:rPr>
        <w:t>）</w:t>
      </w:r>
      <w:r w:rsidRPr="00B12FE0">
        <w:rPr>
          <w:b/>
          <w:bCs/>
          <w:color w:val="000000" w:themeColor="text1"/>
          <w:szCs w:val="28"/>
        </w:rPr>
        <w:t>预测结果及评价</w:t>
      </w:r>
    </w:p>
    <w:p w14:paraId="73660BAA" w14:textId="77777777" w:rsidR="00A67F21" w:rsidRPr="00B12FE0" w:rsidRDefault="00000000">
      <w:pPr>
        <w:adjustRightInd w:val="0"/>
        <w:spacing w:line="360" w:lineRule="auto"/>
        <w:ind w:firstLine="480"/>
        <w:rPr>
          <w:bCs/>
          <w:color w:val="000000" w:themeColor="text1"/>
          <w:szCs w:val="28"/>
        </w:rPr>
      </w:pPr>
      <w:r w:rsidRPr="00B12FE0">
        <w:rPr>
          <w:bCs/>
          <w:color w:val="000000" w:themeColor="text1"/>
          <w:szCs w:val="28"/>
        </w:rPr>
        <w:t>后装机</w:t>
      </w:r>
      <w:r w:rsidRPr="00B12FE0">
        <w:rPr>
          <w:rFonts w:hint="eastAsia"/>
          <w:bCs/>
          <w:color w:val="000000" w:themeColor="text1"/>
          <w:szCs w:val="28"/>
        </w:rPr>
        <w:t>机房</w:t>
      </w:r>
      <w:r w:rsidRPr="00B12FE0">
        <w:rPr>
          <w:bCs/>
          <w:color w:val="000000" w:themeColor="text1"/>
          <w:szCs w:val="28"/>
        </w:rPr>
        <w:t>外的剂量率预测结果与</w:t>
      </w:r>
      <w:r w:rsidRPr="00B12FE0">
        <w:rPr>
          <w:rFonts w:hint="eastAsia"/>
          <w:bCs/>
          <w:color w:val="000000" w:themeColor="text1"/>
          <w:szCs w:val="28"/>
        </w:rPr>
        <w:t>周围</w:t>
      </w:r>
      <w:r w:rsidRPr="00B12FE0">
        <w:rPr>
          <w:bCs/>
          <w:color w:val="000000" w:themeColor="text1"/>
          <w:szCs w:val="28"/>
        </w:rPr>
        <w:t>剂量</w:t>
      </w:r>
      <w:r w:rsidRPr="00B12FE0">
        <w:rPr>
          <w:rFonts w:hint="eastAsia"/>
          <w:bCs/>
          <w:color w:val="000000" w:themeColor="text1"/>
          <w:szCs w:val="28"/>
        </w:rPr>
        <w:t>当量</w:t>
      </w:r>
      <w:r w:rsidRPr="00B12FE0">
        <w:rPr>
          <w:bCs/>
          <w:color w:val="000000" w:themeColor="text1"/>
          <w:szCs w:val="28"/>
        </w:rPr>
        <w:t>率参考控制水平比较如表</w:t>
      </w:r>
      <w:r w:rsidRPr="00B12FE0">
        <w:rPr>
          <w:bCs/>
          <w:color w:val="000000" w:themeColor="text1"/>
          <w:szCs w:val="28"/>
        </w:rPr>
        <w:t>11.2.2.2-5</w:t>
      </w:r>
      <w:r w:rsidRPr="00B12FE0">
        <w:rPr>
          <w:bCs/>
          <w:color w:val="000000" w:themeColor="text1"/>
          <w:szCs w:val="28"/>
        </w:rPr>
        <w:t>所示。</w:t>
      </w:r>
    </w:p>
    <w:p w14:paraId="2CDA676E" w14:textId="77777777" w:rsidR="00A67F21" w:rsidRPr="00B12FE0" w:rsidRDefault="00000000">
      <w:pPr>
        <w:adjustRightInd w:val="0"/>
        <w:spacing w:line="360" w:lineRule="auto"/>
        <w:ind w:firstLine="480"/>
        <w:jc w:val="center"/>
        <w:rPr>
          <w:b/>
          <w:color w:val="000000" w:themeColor="text1"/>
          <w:sz w:val="21"/>
          <w:szCs w:val="22"/>
        </w:rPr>
      </w:pPr>
      <w:r w:rsidRPr="00B12FE0">
        <w:rPr>
          <w:b/>
          <w:color w:val="000000" w:themeColor="text1"/>
          <w:sz w:val="21"/>
          <w:szCs w:val="22"/>
        </w:rPr>
        <w:t>表</w:t>
      </w:r>
      <w:r w:rsidRPr="00B12FE0">
        <w:rPr>
          <w:b/>
          <w:color w:val="000000" w:themeColor="text1"/>
          <w:sz w:val="21"/>
          <w:szCs w:val="22"/>
        </w:rPr>
        <w:t xml:space="preserve">11.2.2.2-5  </w:t>
      </w:r>
      <w:r w:rsidRPr="00B12FE0">
        <w:rPr>
          <w:b/>
          <w:color w:val="000000" w:themeColor="text1"/>
          <w:sz w:val="21"/>
          <w:szCs w:val="22"/>
        </w:rPr>
        <w:t>剂量率预测结果与周围剂量当量率控制要求比较</w:t>
      </w:r>
    </w:p>
    <w:tbl>
      <w:tblPr>
        <w:tblStyle w:val="affff"/>
        <w:tblW w:w="5000" w:type="pct"/>
        <w:jc w:val="center"/>
        <w:tblCellMar>
          <w:left w:w="57" w:type="dxa"/>
          <w:right w:w="57" w:type="dxa"/>
        </w:tblCellMar>
        <w:tblLook w:val="04A0" w:firstRow="1" w:lastRow="0" w:firstColumn="1" w:lastColumn="0" w:noHBand="0" w:noVBand="1"/>
      </w:tblPr>
      <w:tblGrid>
        <w:gridCol w:w="611"/>
        <w:gridCol w:w="2909"/>
        <w:gridCol w:w="1892"/>
        <w:gridCol w:w="714"/>
        <w:gridCol w:w="1897"/>
        <w:gridCol w:w="994"/>
      </w:tblGrid>
      <w:tr w:rsidR="00A67F21" w:rsidRPr="00B12FE0" w14:paraId="32F0B3BC"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51BEA560"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关注点</w:t>
            </w:r>
          </w:p>
        </w:tc>
        <w:tc>
          <w:tcPr>
            <w:tcW w:w="1613" w:type="pct"/>
            <w:tcBorders>
              <w:top w:val="single" w:sz="4" w:space="0" w:color="auto"/>
              <w:left w:val="single" w:sz="4" w:space="0" w:color="auto"/>
              <w:bottom w:val="single" w:sz="4" w:space="0" w:color="auto"/>
              <w:right w:val="single" w:sz="4" w:space="0" w:color="auto"/>
            </w:tcBorders>
            <w:vAlign w:val="center"/>
          </w:tcPr>
          <w:p w14:paraId="19DB397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点位描述</w:t>
            </w:r>
          </w:p>
        </w:tc>
        <w:tc>
          <w:tcPr>
            <w:tcW w:w="1049" w:type="pct"/>
            <w:tcBorders>
              <w:top w:val="single" w:sz="4" w:space="0" w:color="auto"/>
              <w:left w:val="single" w:sz="4" w:space="0" w:color="auto"/>
              <w:bottom w:val="single" w:sz="4" w:space="0" w:color="auto"/>
              <w:right w:val="single" w:sz="4" w:space="0" w:color="auto"/>
            </w:tcBorders>
            <w:vAlign w:val="center"/>
          </w:tcPr>
          <w:p w14:paraId="0A38E2D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辐射剂量</w:t>
            </w:r>
            <w:proofErr w:type="gramStart"/>
            <w:r w:rsidRPr="00B12FE0">
              <w:rPr>
                <w:color w:val="000000" w:themeColor="text1"/>
                <w:sz w:val="21"/>
                <w:szCs w:val="21"/>
              </w:rPr>
              <w:t>率预测</w:t>
            </w:r>
            <w:proofErr w:type="gramEnd"/>
            <w:r w:rsidRPr="00B12FE0">
              <w:rPr>
                <w:color w:val="000000" w:themeColor="text1"/>
                <w:sz w:val="21"/>
                <w:szCs w:val="21"/>
              </w:rPr>
              <w:t>结果</w:t>
            </w:r>
            <m:oMath>
              <m:acc>
                <m:accPr>
                  <m:chr m:val="̇"/>
                  <m:ctrlPr>
                    <w:rPr>
                      <w:rFonts w:ascii="Cambria Math" w:hAnsi="Cambria Math" w:cs="宋体"/>
                      <w:i/>
                      <w:color w:val="000000" w:themeColor="text1"/>
                      <w:sz w:val="21"/>
                      <w:szCs w:val="21"/>
                    </w:rPr>
                  </m:ctrlPr>
                </m:accPr>
                <m:e>
                  <m:r>
                    <w:rPr>
                      <w:rFonts w:ascii="Cambria Math" w:hAnsi="Cambria Math" w:cs="宋体"/>
                      <w:color w:val="000000" w:themeColor="text1"/>
                      <w:sz w:val="21"/>
                      <w:szCs w:val="21"/>
                    </w:rPr>
                    <m:t>H</m:t>
                  </m:r>
                </m:e>
              </m:acc>
            </m:oMath>
            <w:r w:rsidRPr="00B12FE0">
              <w:rPr>
                <w:color w:val="000000" w:themeColor="text1"/>
                <w:sz w:val="21"/>
                <w:szCs w:val="21"/>
              </w:rPr>
              <w:t>（</w:t>
            </w:r>
            <w:r w:rsidRPr="00B12FE0">
              <w:rPr>
                <w:color w:val="000000" w:themeColor="text1"/>
                <w:sz w:val="21"/>
                <w:szCs w:val="21"/>
              </w:rPr>
              <w:t>µSv/h</w:t>
            </w:r>
            <w:r w:rsidRPr="00B12FE0">
              <w:rPr>
                <w:color w:val="000000" w:themeColor="text1"/>
                <w:sz w:val="21"/>
                <w:szCs w:val="21"/>
              </w:rPr>
              <w:t>）</w:t>
            </w:r>
          </w:p>
        </w:tc>
        <w:tc>
          <w:tcPr>
            <w:tcW w:w="396" w:type="pct"/>
            <w:tcBorders>
              <w:top w:val="single" w:sz="4" w:space="0" w:color="auto"/>
              <w:left w:val="single" w:sz="4" w:space="0" w:color="auto"/>
              <w:bottom w:val="single" w:sz="4" w:space="0" w:color="auto"/>
              <w:right w:val="single" w:sz="4" w:space="0" w:color="auto"/>
            </w:tcBorders>
            <w:vAlign w:val="center"/>
          </w:tcPr>
          <w:p w14:paraId="43637D64"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居留因子</w:t>
            </w:r>
          </w:p>
        </w:tc>
        <w:tc>
          <w:tcPr>
            <w:tcW w:w="1052" w:type="pct"/>
            <w:tcBorders>
              <w:top w:val="single" w:sz="4" w:space="0" w:color="auto"/>
              <w:left w:val="single" w:sz="4" w:space="0" w:color="auto"/>
              <w:bottom w:val="single" w:sz="4" w:space="0" w:color="auto"/>
              <w:right w:val="single" w:sz="4" w:space="0" w:color="auto"/>
            </w:tcBorders>
            <w:vAlign w:val="center"/>
          </w:tcPr>
          <w:p w14:paraId="5ACE480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周围剂量当量率控制要求（</w:t>
            </w:r>
            <w:r w:rsidRPr="00B12FE0">
              <w:rPr>
                <w:color w:val="000000" w:themeColor="text1"/>
                <w:sz w:val="21"/>
                <w:szCs w:val="21"/>
              </w:rPr>
              <w:t>µSv/h</w:t>
            </w:r>
            <w:r w:rsidRPr="00B12FE0">
              <w:rPr>
                <w:color w:val="000000" w:themeColor="text1"/>
                <w:sz w:val="21"/>
                <w:szCs w:val="21"/>
              </w:rPr>
              <w:t>）</w:t>
            </w:r>
          </w:p>
        </w:tc>
        <w:tc>
          <w:tcPr>
            <w:tcW w:w="551" w:type="pct"/>
            <w:tcBorders>
              <w:top w:val="single" w:sz="4" w:space="0" w:color="auto"/>
              <w:left w:val="single" w:sz="4" w:space="0" w:color="auto"/>
              <w:bottom w:val="single" w:sz="4" w:space="0" w:color="auto"/>
              <w:right w:val="single" w:sz="4" w:space="0" w:color="auto"/>
            </w:tcBorders>
            <w:vAlign w:val="center"/>
          </w:tcPr>
          <w:p w14:paraId="36AD5709"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是否满足控制要求</w:t>
            </w:r>
          </w:p>
        </w:tc>
      </w:tr>
      <w:tr w:rsidR="00A67F21" w:rsidRPr="00B12FE0" w14:paraId="2BC3B483"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572C075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18"/>
              </w:rPr>
              <w:t>a</w:t>
            </w:r>
          </w:p>
        </w:tc>
        <w:tc>
          <w:tcPr>
            <w:tcW w:w="1613" w:type="pct"/>
            <w:tcBorders>
              <w:top w:val="single" w:sz="4" w:space="0" w:color="auto"/>
              <w:left w:val="single" w:sz="4" w:space="0" w:color="auto"/>
              <w:bottom w:val="single" w:sz="4" w:space="0" w:color="auto"/>
              <w:right w:val="single" w:sz="4" w:space="0" w:color="auto"/>
            </w:tcBorders>
            <w:vAlign w:val="center"/>
          </w:tcPr>
          <w:p w14:paraId="4F237358" w14:textId="77777777" w:rsidR="00A67F21" w:rsidRPr="00B12FE0" w:rsidRDefault="00000000">
            <w:pPr>
              <w:adjustRightInd w:val="0"/>
              <w:snapToGrid w:val="0"/>
              <w:rPr>
                <w:color w:val="000000" w:themeColor="text1"/>
                <w:sz w:val="21"/>
                <w:szCs w:val="21"/>
              </w:rPr>
            </w:pPr>
            <w:r w:rsidRPr="00B12FE0">
              <w:rPr>
                <w:rFonts w:hAnsi="宋体" w:hint="eastAsia"/>
                <w:color w:val="000000" w:themeColor="text1"/>
                <w:sz w:val="21"/>
                <w:szCs w:val="18"/>
              </w:rPr>
              <w:t>南</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（控制室）</w:t>
            </w:r>
          </w:p>
        </w:tc>
        <w:tc>
          <w:tcPr>
            <w:tcW w:w="1049" w:type="pct"/>
            <w:tcBorders>
              <w:top w:val="single" w:sz="4" w:space="0" w:color="auto"/>
              <w:left w:val="nil"/>
              <w:bottom w:val="single" w:sz="4" w:space="0" w:color="auto"/>
              <w:right w:val="single" w:sz="4" w:space="0" w:color="auto"/>
            </w:tcBorders>
            <w:vAlign w:val="center"/>
          </w:tcPr>
          <w:p w14:paraId="1E0CDAC7"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2.27E-05</w:t>
            </w:r>
          </w:p>
        </w:tc>
        <w:tc>
          <w:tcPr>
            <w:tcW w:w="396" w:type="pct"/>
            <w:tcBorders>
              <w:top w:val="single" w:sz="4" w:space="0" w:color="auto"/>
              <w:left w:val="single" w:sz="4" w:space="0" w:color="auto"/>
              <w:bottom w:val="single" w:sz="4" w:space="0" w:color="auto"/>
              <w:right w:val="single" w:sz="4" w:space="0" w:color="auto"/>
            </w:tcBorders>
            <w:vAlign w:val="center"/>
          </w:tcPr>
          <w:p w14:paraId="6E31B5AB"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p>
        </w:tc>
        <w:tc>
          <w:tcPr>
            <w:tcW w:w="1052" w:type="pct"/>
            <w:tcBorders>
              <w:top w:val="single" w:sz="4" w:space="0" w:color="000000"/>
              <w:left w:val="single" w:sz="4" w:space="0" w:color="000000"/>
              <w:bottom w:val="single" w:sz="4" w:space="0" w:color="000000"/>
              <w:right w:val="single" w:sz="4" w:space="0" w:color="000000"/>
            </w:tcBorders>
            <w:vAlign w:val="center"/>
          </w:tcPr>
          <w:p w14:paraId="041355DD" w14:textId="77777777" w:rsidR="00A67F21" w:rsidRPr="00B12FE0" w:rsidRDefault="00000000">
            <w:pPr>
              <w:adjustRightInd w:val="0"/>
              <w:jc w:val="center"/>
              <w:rPr>
                <w:color w:val="000000" w:themeColor="text1"/>
                <w:sz w:val="21"/>
                <w:szCs w:val="21"/>
              </w:rPr>
            </w:pPr>
            <w:r w:rsidRPr="00B12FE0">
              <w:rPr>
                <w:rFonts w:eastAsia="等线"/>
                <w:color w:val="000000" w:themeColor="text1"/>
                <w:sz w:val="21"/>
                <w:szCs w:val="21"/>
              </w:rPr>
              <w:t xml:space="preserve">2.50 </w:t>
            </w:r>
          </w:p>
        </w:tc>
        <w:tc>
          <w:tcPr>
            <w:tcW w:w="551" w:type="pct"/>
            <w:tcBorders>
              <w:top w:val="single" w:sz="4" w:space="0" w:color="auto"/>
              <w:left w:val="single" w:sz="4" w:space="0" w:color="auto"/>
              <w:bottom w:val="single" w:sz="4" w:space="0" w:color="auto"/>
              <w:right w:val="single" w:sz="4" w:space="0" w:color="auto"/>
            </w:tcBorders>
            <w:vAlign w:val="center"/>
          </w:tcPr>
          <w:p w14:paraId="74D1B2C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满足</w:t>
            </w:r>
          </w:p>
        </w:tc>
      </w:tr>
      <w:tr w:rsidR="00A67F21" w:rsidRPr="00B12FE0" w14:paraId="11018993"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0DF0DF22"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18"/>
              </w:rPr>
              <w:t>b</w:t>
            </w:r>
          </w:p>
        </w:tc>
        <w:tc>
          <w:tcPr>
            <w:tcW w:w="1613" w:type="pct"/>
            <w:tcBorders>
              <w:top w:val="single" w:sz="4" w:space="0" w:color="auto"/>
              <w:left w:val="single" w:sz="4" w:space="0" w:color="auto"/>
              <w:bottom w:val="single" w:sz="4" w:space="0" w:color="auto"/>
              <w:right w:val="single" w:sz="4" w:space="0" w:color="auto"/>
            </w:tcBorders>
            <w:vAlign w:val="center"/>
          </w:tcPr>
          <w:p w14:paraId="6CACD126" w14:textId="77777777" w:rsidR="00A67F21" w:rsidRPr="00B12FE0" w:rsidRDefault="00000000">
            <w:pPr>
              <w:adjustRightInd w:val="0"/>
              <w:snapToGrid w:val="0"/>
              <w:rPr>
                <w:color w:val="000000" w:themeColor="text1"/>
                <w:sz w:val="21"/>
                <w:szCs w:val="21"/>
              </w:rPr>
            </w:pPr>
            <w:r w:rsidRPr="00B12FE0">
              <w:rPr>
                <w:rFonts w:hAnsi="宋体" w:hint="eastAsia"/>
                <w:color w:val="000000" w:themeColor="text1"/>
                <w:sz w:val="21"/>
                <w:szCs w:val="18"/>
              </w:rPr>
              <w:t>北墙</w:t>
            </w:r>
            <w:r w:rsidRPr="00B12FE0">
              <w:rPr>
                <w:rFonts w:hAnsi="宋体"/>
                <w:color w:val="000000" w:themeColor="text1"/>
                <w:sz w:val="21"/>
                <w:szCs w:val="18"/>
              </w:rPr>
              <w:t>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w:t>
            </w:r>
            <w:r w:rsidRPr="00B12FE0">
              <w:rPr>
                <w:rFonts w:hAnsi="宋体"/>
                <w:color w:val="000000" w:themeColor="text1"/>
                <w:sz w:val="21"/>
                <w:szCs w:val="18"/>
              </w:rPr>
              <w:t>院内道路及绿化</w:t>
            </w:r>
            <w:r w:rsidRPr="00B12FE0">
              <w:rPr>
                <w:rFonts w:hAnsi="宋体" w:hint="eastAsia"/>
                <w:color w:val="000000" w:themeColor="text1"/>
                <w:sz w:val="21"/>
                <w:szCs w:val="18"/>
              </w:rPr>
              <w:t>）</w:t>
            </w:r>
          </w:p>
        </w:tc>
        <w:tc>
          <w:tcPr>
            <w:tcW w:w="1049" w:type="pct"/>
            <w:tcBorders>
              <w:top w:val="single" w:sz="4" w:space="0" w:color="auto"/>
              <w:left w:val="nil"/>
              <w:bottom w:val="single" w:sz="4" w:space="0" w:color="auto"/>
              <w:right w:val="single" w:sz="4" w:space="0" w:color="auto"/>
            </w:tcBorders>
            <w:vAlign w:val="center"/>
          </w:tcPr>
          <w:p w14:paraId="3CE088AE"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7.42E-01</w:t>
            </w:r>
          </w:p>
        </w:tc>
        <w:tc>
          <w:tcPr>
            <w:tcW w:w="396" w:type="pct"/>
            <w:tcBorders>
              <w:top w:val="single" w:sz="4" w:space="0" w:color="auto"/>
              <w:left w:val="single" w:sz="4" w:space="0" w:color="auto"/>
              <w:bottom w:val="single" w:sz="4" w:space="0" w:color="auto"/>
              <w:right w:val="single" w:sz="4" w:space="0" w:color="auto"/>
            </w:tcBorders>
            <w:vAlign w:val="center"/>
          </w:tcPr>
          <w:p w14:paraId="0CE84804"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w:t>
            </w:r>
            <w:r w:rsidRPr="00B12FE0">
              <w:rPr>
                <w:rFonts w:hint="eastAsia"/>
                <w:color w:val="000000" w:themeColor="text1"/>
                <w:sz w:val="21"/>
                <w:szCs w:val="21"/>
              </w:rPr>
              <w:t>8</w:t>
            </w:r>
          </w:p>
        </w:tc>
        <w:tc>
          <w:tcPr>
            <w:tcW w:w="1052" w:type="pct"/>
            <w:tcBorders>
              <w:top w:val="single" w:sz="4" w:space="0" w:color="000000"/>
              <w:left w:val="single" w:sz="4" w:space="0" w:color="000000"/>
              <w:bottom w:val="single" w:sz="4" w:space="0" w:color="000000"/>
              <w:right w:val="single" w:sz="4" w:space="0" w:color="000000"/>
            </w:tcBorders>
            <w:vAlign w:val="center"/>
          </w:tcPr>
          <w:p w14:paraId="461F7BE6" w14:textId="77777777" w:rsidR="00A67F21" w:rsidRPr="00B12FE0" w:rsidRDefault="00000000">
            <w:pPr>
              <w:adjustRightInd w:val="0"/>
              <w:jc w:val="center"/>
              <w:rPr>
                <w:color w:val="000000" w:themeColor="text1"/>
                <w:sz w:val="21"/>
                <w:szCs w:val="21"/>
              </w:rPr>
            </w:pPr>
            <w:r w:rsidRPr="00B12FE0">
              <w:rPr>
                <w:rFonts w:eastAsia="等线"/>
                <w:color w:val="000000" w:themeColor="text1"/>
                <w:sz w:val="21"/>
                <w:szCs w:val="21"/>
              </w:rPr>
              <w:t xml:space="preserve">4.00 </w:t>
            </w:r>
          </w:p>
        </w:tc>
        <w:tc>
          <w:tcPr>
            <w:tcW w:w="551" w:type="pct"/>
            <w:tcBorders>
              <w:top w:val="single" w:sz="4" w:space="0" w:color="auto"/>
              <w:left w:val="single" w:sz="4" w:space="0" w:color="auto"/>
              <w:bottom w:val="single" w:sz="4" w:space="0" w:color="auto"/>
              <w:right w:val="single" w:sz="4" w:space="0" w:color="auto"/>
            </w:tcBorders>
            <w:vAlign w:val="center"/>
          </w:tcPr>
          <w:p w14:paraId="40E0F41B"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满足</w:t>
            </w:r>
          </w:p>
        </w:tc>
      </w:tr>
      <w:tr w:rsidR="00A67F21" w:rsidRPr="00B12FE0" w14:paraId="4AFF3359"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0307971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18"/>
              </w:rPr>
              <w:t>c</w:t>
            </w:r>
          </w:p>
        </w:tc>
        <w:tc>
          <w:tcPr>
            <w:tcW w:w="1613" w:type="pct"/>
            <w:tcBorders>
              <w:top w:val="single" w:sz="4" w:space="0" w:color="auto"/>
              <w:left w:val="single" w:sz="4" w:space="0" w:color="auto"/>
              <w:bottom w:val="single" w:sz="4" w:space="0" w:color="auto"/>
              <w:right w:val="single" w:sz="4" w:space="0" w:color="auto"/>
            </w:tcBorders>
            <w:vAlign w:val="center"/>
          </w:tcPr>
          <w:p w14:paraId="553CC451" w14:textId="77777777" w:rsidR="00A67F21" w:rsidRPr="00B12FE0" w:rsidRDefault="00000000">
            <w:pPr>
              <w:adjustRightInd w:val="0"/>
              <w:snapToGrid w:val="0"/>
              <w:rPr>
                <w:color w:val="000000" w:themeColor="text1"/>
                <w:sz w:val="21"/>
                <w:szCs w:val="21"/>
              </w:rPr>
            </w:pPr>
            <w:r w:rsidRPr="00B12FE0">
              <w:rPr>
                <w:rFonts w:hAnsi="宋体" w:hint="eastAsia"/>
                <w:color w:val="000000" w:themeColor="text1"/>
                <w:sz w:val="21"/>
                <w:szCs w:val="18"/>
              </w:rPr>
              <w:t>西</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（直线加速器机房</w:t>
            </w:r>
            <w:r w:rsidRPr="00B12FE0">
              <w:rPr>
                <w:rFonts w:hAnsi="宋体" w:hint="eastAsia"/>
                <w:color w:val="000000" w:themeColor="text1"/>
                <w:sz w:val="21"/>
                <w:szCs w:val="18"/>
              </w:rPr>
              <w:t>2</w:t>
            </w:r>
            <w:r w:rsidRPr="00B12FE0">
              <w:rPr>
                <w:rFonts w:hAnsi="宋体" w:hint="eastAsia"/>
                <w:color w:val="000000" w:themeColor="text1"/>
                <w:sz w:val="21"/>
                <w:szCs w:val="18"/>
              </w:rPr>
              <w:t>）</w:t>
            </w:r>
          </w:p>
        </w:tc>
        <w:tc>
          <w:tcPr>
            <w:tcW w:w="1049" w:type="pct"/>
            <w:tcBorders>
              <w:top w:val="single" w:sz="4" w:space="0" w:color="auto"/>
              <w:left w:val="nil"/>
              <w:bottom w:val="single" w:sz="4" w:space="0" w:color="auto"/>
              <w:right w:val="single" w:sz="4" w:space="0" w:color="auto"/>
            </w:tcBorders>
            <w:vAlign w:val="center"/>
          </w:tcPr>
          <w:p w14:paraId="17444BA5"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4.95E-17</w:t>
            </w:r>
          </w:p>
        </w:tc>
        <w:tc>
          <w:tcPr>
            <w:tcW w:w="396" w:type="pct"/>
            <w:tcBorders>
              <w:top w:val="single" w:sz="4" w:space="0" w:color="auto"/>
              <w:left w:val="single" w:sz="4" w:space="0" w:color="auto"/>
              <w:bottom w:val="single" w:sz="4" w:space="0" w:color="auto"/>
              <w:right w:val="single" w:sz="4" w:space="0" w:color="auto"/>
            </w:tcBorders>
            <w:vAlign w:val="center"/>
          </w:tcPr>
          <w:p w14:paraId="3216B8DB"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p>
        </w:tc>
        <w:tc>
          <w:tcPr>
            <w:tcW w:w="1052" w:type="pct"/>
            <w:tcBorders>
              <w:top w:val="single" w:sz="4" w:space="0" w:color="000000"/>
              <w:left w:val="single" w:sz="4" w:space="0" w:color="000000"/>
              <w:bottom w:val="single" w:sz="4" w:space="0" w:color="000000"/>
              <w:right w:val="single" w:sz="4" w:space="0" w:color="000000"/>
            </w:tcBorders>
            <w:vAlign w:val="center"/>
          </w:tcPr>
          <w:p w14:paraId="2CBE8114" w14:textId="77777777" w:rsidR="00A67F21" w:rsidRPr="00B12FE0" w:rsidRDefault="00000000">
            <w:pPr>
              <w:adjustRightInd w:val="0"/>
              <w:jc w:val="center"/>
              <w:rPr>
                <w:color w:val="000000" w:themeColor="text1"/>
                <w:sz w:val="21"/>
                <w:szCs w:val="21"/>
              </w:rPr>
            </w:pPr>
            <w:r w:rsidRPr="00B12FE0">
              <w:rPr>
                <w:rFonts w:eastAsia="等线"/>
                <w:color w:val="000000" w:themeColor="text1"/>
                <w:sz w:val="21"/>
                <w:szCs w:val="21"/>
              </w:rPr>
              <w:t xml:space="preserve">0.50 </w:t>
            </w:r>
          </w:p>
        </w:tc>
        <w:tc>
          <w:tcPr>
            <w:tcW w:w="551" w:type="pct"/>
            <w:tcBorders>
              <w:top w:val="single" w:sz="4" w:space="0" w:color="auto"/>
              <w:left w:val="single" w:sz="4" w:space="0" w:color="auto"/>
              <w:bottom w:val="single" w:sz="4" w:space="0" w:color="auto"/>
              <w:right w:val="single" w:sz="4" w:space="0" w:color="auto"/>
            </w:tcBorders>
            <w:vAlign w:val="center"/>
          </w:tcPr>
          <w:p w14:paraId="236A95B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满足</w:t>
            </w:r>
          </w:p>
        </w:tc>
      </w:tr>
      <w:tr w:rsidR="00A67F21" w:rsidRPr="00B12FE0" w14:paraId="35702A9D"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3B61C64F"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18"/>
              </w:rPr>
              <w:t>c</w:t>
            </w:r>
            <w:r w:rsidRPr="00B12FE0">
              <w:rPr>
                <w:rFonts w:hint="eastAsia"/>
                <w:color w:val="000000" w:themeColor="text1"/>
                <w:sz w:val="21"/>
                <w:szCs w:val="18"/>
                <w:vertAlign w:val="subscript"/>
              </w:rPr>
              <w:t>1</w:t>
            </w:r>
          </w:p>
        </w:tc>
        <w:tc>
          <w:tcPr>
            <w:tcW w:w="1613" w:type="pct"/>
            <w:tcBorders>
              <w:top w:val="single" w:sz="4" w:space="0" w:color="auto"/>
              <w:left w:val="single" w:sz="4" w:space="0" w:color="auto"/>
              <w:bottom w:val="single" w:sz="4" w:space="0" w:color="auto"/>
              <w:right w:val="single" w:sz="4" w:space="0" w:color="auto"/>
            </w:tcBorders>
            <w:vAlign w:val="center"/>
          </w:tcPr>
          <w:p w14:paraId="31018A89" w14:textId="77777777" w:rsidR="00A67F21" w:rsidRPr="00B12FE0" w:rsidRDefault="00000000">
            <w:pPr>
              <w:adjustRightInd w:val="0"/>
              <w:snapToGrid w:val="0"/>
              <w:rPr>
                <w:color w:val="000000" w:themeColor="text1"/>
                <w:sz w:val="21"/>
                <w:szCs w:val="21"/>
              </w:rPr>
            </w:pPr>
            <w:r w:rsidRPr="00B12FE0">
              <w:rPr>
                <w:rFonts w:hAnsi="宋体" w:hint="eastAsia"/>
                <w:color w:val="000000" w:themeColor="text1"/>
                <w:sz w:val="21"/>
                <w:szCs w:val="18"/>
              </w:rPr>
              <w:t>西</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（直线加速器机房</w:t>
            </w:r>
            <w:r w:rsidRPr="00B12FE0">
              <w:rPr>
                <w:rFonts w:hAnsi="宋体" w:hint="eastAsia"/>
                <w:color w:val="000000" w:themeColor="text1"/>
                <w:sz w:val="21"/>
                <w:szCs w:val="18"/>
              </w:rPr>
              <w:t>2</w:t>
            </w:r>
            <w:r w:rsidRPr="00B12FE0">
              <w:rPr>
                <w:rFonts w:hAnsi="宋体" w:hint="eastAsia"/>
                <w:color w:val="000000" w:themeColor="text1"/>
                <w:sz w:val="21"/>
                <w:szCs w:val="18"/>
              </w:rPr>
              <w:t>）</w:t>
            </w:r>
          </w:p>
        </w:tc>
        <w:tc>
          <w:tcPr>
            <w:tcW w:w="1049" w:type="pct"/>
            <w:tcBorders>
              <w:top w:val="single" w:sz="4" w:space="0" w:color="auto"/>
              <w:left w:val="nil"/>
              <w:bottom w:val="single" w:sz="4" w:space="0" w:color="auto"/>
              <w:right w:val="single" w:sz="4" w:space="0" w:color="auto"/>
            </w:tcBorders>
            <w:vAlign w:val="center"/>
          </w:tcPr>
          <w:p w14:paraId="232C6856" w14:textId="77777777" w:rsidR="00A67F21" w:rsidRPr="00B12FE0" w:rsidRDefault="00000000">
            <w:pPr>
              <w:jc w:val="center"/>
              <w:rPr>
                <w:color w:val="000000" w:themeColor="text1"/>
                <w:sz w:val="21"/>
                <w:szCs w:val="18"/>
              </w:rPr>
            </w:pPr>
            <w:r w:rsidRPr="00B12FE0">
              <w:rPr>
                <w:rFonts w:eastAsia="等线"/>
                <w:color w:val="000000" w:themeColor="text1"/>
                <w:sz w:val="21"/>
                <w:szCs w:val="21"/>
              </w:rPr>
              <w:t>4.35E-08</w:t>
            </w:r>
          </w:p>
        </w:tc>
        <w:tc>
          <w:tcPr>
            <w:tcW w:w="396" w:type="pct"/>
            <w:tcBorders>
              <w:top w:val="single" w:sz="4" w:space="0" w:color="auto"/>
              <w:left w:val="single" w:sz="4" w:space="0" w:color="auto"/>
              <w:bottom w:val="single" w:sz="4" w:space="0" w:color="auto"/>
              <w:right w:val="single" w:sz="4" w:space="0" w:color="auto"/>
            </w:tcBorders>
            <w:vAlign w:val="center"/>
          </w:tcPr>
          <w:p w14:paraId="79AB786A"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p>
        </w:tc>
        <w:tc>
          <w:tcPr>
            <w:tcW w:w="1052" w:type="pct"/>
            <w:tcBorders>
              <w:top w:val="single" w:sz="4" w:space="0" w:color="000000"/>
              <w:left w:val="single" w:sz="4" w:space="0" w:color="000000"/>
              <w:bottom w:val="single" w:sz="4" w:space="0" w:color="000000"/>
              <w:right w:val="single" w:sz="4" w:space="0" w:color="000000"/>
            </w:tcBorders>
            <w:vAlign w:val="center"/>
          </w:tcPr>
          <w:p w14:paraId="42377E28" w14:textId="77777777" w:rsidR="00A67F21" w:rsidRPr="00B12FE0" w:rsidRDefault="00000000">
            <w:pPr>
              <w:adjustRightInd w:val="0"/>
              <w:jc w:val="center"/>
              <w:rPr>
                <w:color w:val="000000" w:themeColor="text1"/>
                <w:sz w:val="21"/>
                <w:szCs w:val="21"/>
              </w:rPr>
            </w:pPr>
            <w:r w:rsidRPr="00B12FE0">
              <w:rPr>
                <w:rFonts w:eastAsia="等线"/>
                <w:color w:val="000000" w:themeColor="text1"/>
                <w:sz w:val="21"/>
                <w:szCs w:val="21"/>
              </w:rPr>
              <w:t xml:space="preserve">0.50 </w:t>
            </w:r>
          </w:p>
        </w:tc>
        <w:tc>
          <w:tcPr>
            <w:tcW w:w="551" w:type="pct"/>
            <w:tcBorders>
              <w:top w:val="single" w:sz="4" w:space="0" w:color="auto"/>
              <w:left w:val="single" w:sz="4" w:space="0" w:color="auto"/>
              <w:bottom w:val="single" w:sz="4" w:space="0" w:color="auto"/>
              <w:right w:val="single" w:sz="4" w:space="0" w:color="auto"/>
            </w:tcBorders>
            <w:vAlign w:val="center"/>
          </w:tcPr>
          <w:p w14:paraId="65EFA3EA"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满足</w:t>
            </w:r>
          </w:p>
        </w:tc>
      </w:tr>
      <w:tr w:rsidR="00A67F21" w:rsidRPr="00B12FE0" w14:paraId="558B4369"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2B1FA460"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18"/>
              </w:rPr>
              <w:t>d</w:t>
            </w:r>
          </w:p>
        </w:tc>
        <w:tc>
          <w:tcPr>
            <w:tcW w:w="1613" w:type="pct"/>
            <w:tcBorders>
              <w:top w:val="single" w:sz="4" w:space="0" w:color="auto"/>
              <w:left w:val="single" w:sz="4" w:space="0" w:color="auto"/>
              <w:bottom w:val="single" w:sz="4" w:space="0" w:color="auto"/>
              <w:right w:val="single" w:sz="4" w:space="0" w:color="auto"/>
            </w:tcBorders>
            <w:vAlign w:val="center"/>
          </w:tcPr>
          <w:p w14:paraId="77F1BA75" w14:textId="77777777" w:rsidR="00A67F21" w:rsidRPr="00B12FE0" w:rsidRDefault="00000000">
            <w:pPr>
              <w:adjustRightInd w:val="0"/>
              <w:snapToGrid w:val="0"/>
              <w:jc w:val="left"/>
              <w:rPr>
                <w:color w:val="000000" w:themeColor="text1"/>
                <w:sz w:val="21"/>
                <w:szCs w:val="21"/>
              </w:rPr>
            </w:pPr>
            <w:r w:rsidRPr="00B12FE0">
              <w:rPr>
                <w:rFonts w:hAnsi="宋体" w:hint="eastAsia"/>
                <w:color w:val="000000" w:themeColor="text1"/>
                <w:sz w:val="21"/>
                <w:szCs w:val="18"/>
              </w:rPr>
              <w:t>东</w:t>
            </w:r>
            <w:r w:rsidRPr="00B12FE0">
              <w:rPr>
                <w:rFonts w:hAnsi="宋体"/>
                <w:color w:val="000000" w:themeColor="text1"/>
                <w:sz w:val="21"/>
                <w:szCs w:val="18"/>
              </w:rPr>
              <w:t>墙外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（变配电室）</w:t>
            </w:r>
          </w:p>
        </w:tc>
        <w:tc>
          <w:tcPr>
            <w:tcW w:w="1049" w:type="pct"/>
            <w:tcBorders>
              <w:top w:val="single" w:sz="4" w:space="0" w:color="auto"/>
              <w:left w:val="nil"/>
              <w:bottom w:val="single" w:sz="4" w:space="0" w:color="auto"/>
              <w:right w:val="single" w:sz="4" w:space="0" w:color="auto"/>
            </w:tcBorders>
            <w:vAlign w:val="center"/>
          </w:tcPr>
          <w:p w14:paraId="0F8B1491"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7.89E-03</w:t>
            </w:r>
          </w:p>
        </w:tc>
        <w:tc>
          <w:tcPr>
            <w:tcW w:w="396" w:type="pct"/>
            <w:tcBorders>
              <w:top w:val="single" w:sz="4" w:space="0" w:color="auto"/>
              <w:left w:val="single" w:sz="4" w:space="0" w:color="auto"/>
              <w:bottom w:val="single" w:sz="4" w:space="0" w:color="auto"/>
              <w:right w:val="single" w:sz="4" w:space="0" w:color="auto"/>
            </w:tcBorders>
            <w:vAlign w:val="center"/>
          </w:tcPr>
          <w:p w14:paraId="65A0AE1A"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w:t>
            </w:r>
            <w:r w:rsidRPr="00B12FE0">
              <w:rPr>
                <w:rFonts w:hint="eastAsia"/>
                <w:color w:val="000000" w:themeColor="text1"/>
                <w:sz w:val="21"/>
                <w:szCs w:val="21"/>
              </w:rPr>
              <w:t>4</w:t>
            </w:r>
          </w:p>
        </w:tc>
        <w:tc>
          <w:tcPr>
            <w:tcW w:w="1052" w:type="pct"/>
            <w:tcBorders>
              <w:top w:val="single" w:sz="4" w:space="0" w:color="000000"/>
              <w:left w:val="single" w:sz="4" w:space="0" w:color="000000"/>
              <w:bottom w:val="single" w:sz="4" w:space="0" w:color="000000"/>
              <w:right w:val="single" w:sz="4" w:space="0" w:color="000000"/>
            </w:tcBorders>
            <w:vAlign w:val="center"/>
          </w:tcPr>
          <w:p w14:paraId="60441AD2" w14:textId="77777777" w:rsidR="00A67F21" w:rsidRPr="00B12FE0" w:rsidRDefault="00000000">
            <w:pPr>
              <w:adjustRightInd w:val="0"/>
              <w:jc w:val="center"/>
              <w:rPr>
                <w:color w:val="000000" w:themeColor="text1"/>
                <w:sz w:val="21"/>
                <w:szCs w:val="21"/>
              </w:rPr>
            </w:pPr>
            <w:r w:rsidRPr="00B12FE0">
              <w:rPr>
                <w:rFonts w:eastAsia="等线"/>
                <w:color w:val="000000" w:themeColor="text1"/>
                <w:sz w:val="21"/>
                <w:szCs w:val="21"/>
              </w:rPr>
              <w:t xml:space="preserve">2.00 </w:t>
            </w:r>
          </w:p>
        </w:tc>
        <w:tc>
          <w:tcPr>
            <w:tcW w:w="551" w:type="pct"/>
            <w:tcBorders>
              <w:top w:val="single" w:sz="4" w:space="0" w:color="auto"/>
              <w:left w:val="single" w:sz="4" w:space="0" w:color="auto"/>
              <w:bottom w:val="single" w:sz="4" w:space="0" w:color="auto"/>
              <w:right w:val="single" w:sz="4" w:space="0" w:color="auto"/>
            </w:tcBorders>
            <w:vAlign w:val="center"/>
          </w:tcPr>
          <w:p w14:paraId="2FC5E267"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满足</w:t>
            </w:r>
          </w:p>
        </w:tc>
      </w:tr>
      <w:tr w:rsidR="00A67F21" w:rsidRPr="00B12FE0" w14:paraId="77FA9B7F"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5AA6039C"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18"/>
              </w:rPr>
              <w:lastRenderedPageBreak/>
              <w:t>g</w:t>
            </w:r>
          </w:p>
        </w:tc>
        <w:tc>
          <w:tcPr>
            <w:tcW w:w="1613" w:type="pct"/>
            <w:tcBorders>
              <w:top w:val="single" w:sz="4" w:space="0" w:color="auto"/>
              <w:left w:val="single" w:sz="4" w:space="0" w:color="auto"/>
              <w:bottom w:val="single" w:sz="4" w:space="0" w:color="auto"/>
              <w:right w:val="single" w:sz="4" w:space="0" w:color="auto"/>
            </w:tcBorders>
            <w:vAlign w:val="center"/>
          </w:tcPr>
          <w:p w14:paraId="2DE56A2A" w14:textId="77777777" w:rsidR="00A67F21" w:rsidRPr="00B12FE0" w:rsidRDefault="00000000">
            <w:pPr>
              <w:adjustRightInd w:val="0"/>
              <w:snapToGrid w:val="0"/>
              <w:jc w:val="left"/>
              <w:rPr>
                <w:color w:val="000000" w:themeColor="text1"/>
                <w:sz w:val="21"/>
                <w:szCs w:val="21"/>
              </w:rPr>
            </w:pPr>
            <w:r w:rsidRPr="00B12FE0">
              <w:rPr>
                <w:rFonts w:hAnsi="宋体"/>
                <w:color w:val="000000" w:themeColor="text1"/>
                <w:sz w:val="21"/>
                <w:szCs w:val="18"/>
              </w:rPr>
              <w:t>防护门外</w:t>
            </w:r>
            <w:r w:rsidRPr="00B12FE0">
              <w:rPr>
                <w:color w:val="000000" w:themeColor="text1"/>
                <w:sz w:val="21"/>
                <w:szCs w:val="18"/>
              </w:rPr>
              <w:t>30cm</w:t>
            </w:r>
            <w:r w:rsidRPr="00B12FE0">
              <w:rPr>
                <w:rFonts w:hAnsi="宋体"/>
                <w:color w:val="000000" w:themeColor="text1"/>
                <w:sz w:val="21"/>
                <w:szCs w:val="18"/>
              </w:rPr>
              <w:t>处</w:t>
            </w:r>
          </w:p>
        </w:tc>
        <w:tc>
          <w:tcPr>
            <w:tcW w:w="1049" w:type="pct"/>
            <w:tcBorders>
              <w:top w:val="single" w:sz="4" w:space="0" w:color="auto"/>
              <w:left w:val="nil"/>
              <w:bottom w:val="single" w:sz="4" w:space="0" w:color="auto"/>
              <w:right w:val="single" w:sz="4" w:space="0" w:color="auto"/>
            </w:tcBorders>
            <w:vAlign w:val="center"/>
          </w:tcPr>
          <w:p w14:paraId="552695B6" w14:textId="77777777" w:rsidR="00A67F21" w:rsidRPr="00B12FE0" w:rsidRDefault="00000000">
            <w:pPr>
              <w:jc w:val="center"/>
              <w:rPr>
                <w:color w:val="000000" w:themeColor="text1"/>
                <w:sz w:val="21"/>
                <w:szCs w:val="21"/>
              </w:rPr>
            </w:pPr>
            <w:r w:rsidRPr="00B12FE0">
              <w:rPr>
                <w:rFonts w:eastAsia="等线" w:hint="eastAsia"/>
                <w:color w:val="000000" w:themeColor="text1"/>
                <w:sz w:val="21"/>
                <w:szCs w:val="21"/>
              </w:rPr>
              <w:t>1.12</w:t>
            </w:r>
          </w:p>
        </w:tc>
        <w:tc>
          <w:tcPr>
            <w:tcW w:w="396" w:type="pct"/>
            <w:tcBorders>
              <w:top w:val="single" w:sz="4" w:space="0" w:color="auto"/>
              <w:left w:val="single" w:sz="4" w:space="0" w:color="auto"/>
              <w:bottom w:val="single" w:sz="4" w:space="0" w:color="auto"/>
              <w:right w:val="single" w:sz="4" w:space="0" w:color="auto"/>
            </w:tcBorders>
            <w:vAlign w:val="center"/>
          </w:tcPr>
          <w:p w14:paraId="444A59C2"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/8</w:t>
            </w:r>
          </w:p>
        </w:tc>
        <w:tc>
          <w:tcPr>
            <w:tcW w:w="1052" w:type="pct"/>
            <w:tcBorders>
              <w:top w:val="single" w:sz="4" w:space="0" w:color="000000"/>
              <w:left w:val="single" w:sz="4" w:space="0" w:color="000000"/>
              <w:bottom w:val="single" w:sz="4" w:space="0" w:color="000000"/>
              <w:right w:val="single" w:sz="4" w:space="0" w:color="000000"/>
            </w:tcBorders>
            <w:vAlign w:val="center"/>
          </w:tcPr>
          <w:p w14:paraId="73623DDE" w14:textId="77777777" w:rsidR="00A67F21" w:rsidRPr="00B12FE0" w:rsidRDefault="00000000">
            <w:pPr>
              <w:adjustRightInd w:val="0"/>
              <w:jc w:val="center"/>
              <w:rPr>
                <w:color w:val="000000" w:themeColor="text1"/>
                <w:sz w:val="21"/>
                <w:szCs w:val="21"/>
              </w:rPr>
            </w:pPr>
            <w:r w:rsidRPr="00B12FE0">
              <w:rPr>
                <w:rFonts w:eastAsia="等线"/>
                <w:color w:val="000000" w:themeColor="text1"/>
                <w:sz w:val="21"/>
                <w:szCs w:val="21"/>
              </w:rPr>
              <w:t xml:space="preserve">4.00 </w:t>
            </w:r>
          </w:p>
        </w:tc>
        <w:tc>
          <w:tcPr>
            <w:tcW w:w="551" w:type="pct"/>
            <w:tcBorders>
              <w:top w:val="single" w:sz="4" w:space="0" w:color="auto"/>
              <w:left w:val="single" w:sz="4" w:space="0" w:color="auto"/>
              <w:bottom w:val="single" w:sz="4" w:space="0" w:color="auto"/>
              <w:right w:val="single" w:sz="4" w:space="0" w:color="auto"/>
            </w:tcBorders>
            <w:vAlign w:val="center"/>
          </w:tcPr>
          <w:p w14:paraId="1AEC580D"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满足</w:t>
            </w:r>
          </w:p>
        </w:tc>
      </w:tr>
      <w:tr w:rsidR="00A67F21" w:rsidRPr="00B12FE0" w14:paraId="4F69192C" w14:textId="77777777">
        <w:trPr>
          <w:trHeight w:val="340"/>
          <w:jc w:val="center"/>
        </w:trPr>
        <w:tc>
          <w:tcPr>
            <w:tcW w:w="339" w:type="pct"/>
            <w:tcBorders>
              <w:top w:val="single" w:sz="4" w:space="0" w:color="auto"/>
              <w:left w:val="single" w:sz="4" w:space="0" w:color="auto"/>
              <w:bottom w:val="single" w:sz="4" w:space="0" w:color="auto"/>
              <w:right w:val="single" w:sz="4" w:space="0" w:color="auto"/>
            </w:tcBorders>
            <w:vAlign w:val="center"/>
          </w:tcPr>
          <w:p w14:paraId="642C60DA"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18"/>
              </w:rPr>
              <w:t>I</w:t>
            </w:r>
          </w:p>
        </w:tc>
        <w:tc>
          <w:tcPr>
            <w:tcW w:w="1613" w:type="pct"/>
            <w:tcBorders>
              <w:top w:val="single" w:sz="4" w:space="0" w:color="auto"/>
              <w:left w:val="single" w:sz="4" w:space="0" w:color="auto"/>
              <w:bottom w:val="single" w:sz="4" w:space="0" w:color="auto"/>
              <w:right w:val="single" w:sz="4" w:space="0" w:color="auto"/>
            </w:tcBorders>
            <w:vAlign w:val="center"/>
          </w:tcPr>
          <w:p w14:paraId="158C8601" w14:textId="77777777" w:rsidR="00A67F21" w:rsidRPr="00B12FE0" w:rsidRDefault="00000000">
            <w:pPr>
              <w:adjustRightInd w:val="0"/>
              <w:snapToGrid w:val="0"/>
              <w:jc w:val="left"/>
              <w:rPr>
                <w:rFonts w:hAnsi="宋体" w:hint="eastAsia"/>
                <w:color w:val="000000" w:themeColor="text1"/>
                <w:sz w:val="21"/>
                <w:szCs w:val="21"/>
              </w:rPr>
            </w:pPr>
            <w:r w:rsidRPr="00B12FE0">
              <w:rPr>
                <w:rFonts w:hAnsi="宋体"/>
                <w:color w:val="000000" w:themeColor="text1"/>
                <w:sz w:val="21"/>
                <w:szCs w:val="18"/>
              </w:rPr>
              <w:t>顶棚外</w:t>
            </w:r>
            <w:r w:rsidRPr="00B12FE0">
              <w:rPr>
                <w:color w:val="000000" w:themeColor="text1"/>
                <w:sz w:val="21"/>
                <w:szCs w:val="18"/>
              </w:rPr>
              <w:t>30cm</w:t>
            </w:r>
            <w:r w:rsidRPr="00B12FE0">
              <w:rPr>
                <w:rFonts w:hAnsi="宋体"/>
                <w:color w:val="000000" w:themeColor="text1"/>
                <w:sz w:val="21"/>
                <w:szCs w:val="18"/>
              </w:rPr>
              <w:t>处</w:t>
            </w:r>
            <w:r w:rsidRPr="00B12FE0">
              <w:rPr>
                <w:rFonts w:hAnsi="宋体" w:hint="eastAsia"/>
                <w:color w:val="000000" w:themeColor="text1"/>
                <w:sz w:val="21"/>
                <w:szCs w:val="18"/>
              </w:rPr>
              <w:t>（不可上人屋顶）</w:t>
            </w:r>
          </w:p>
        </w:tc>
        <w:tc>
          <w:tcPr>
            <w:tcW w:w="1049" w:type="pct"/>
            <w:tcBorders>
              <w:top w:val="single" w:sz="4" w:space="0" w:color="auto"/>
              <w:left w:val="nil"/>
              <w:bottom w:val="single" w:sz="4" w:space="0" w:color="auto"/>
              <w:right w:val="single" w:sz="4" w:space="0" w:color="auto"/>
            </w:tcBorders>
            <w:vAlign w:val="center"/>
          </w:tcPr>
          <w:p w14:paraId="4AFDA30A"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1.04E-03</w:t>
            </w:r>
          </w:p>
        </w:tc>
        <w:tc>
          <w:tcPr>
            <w:tcW w:w="396" w:type="pct"/>
            <w:tcBorders>
              <w:top w:val="single" w:sz="4" w:space="0" w:color="auto"/>
              <w:left w:val="single" w:sz="4" w:space="0" w:color="auto"/>
              <w:bottom w:val="single" w:sz="4" w:space="0" w:color="auto"/>
              <w:right w:val="single" w:sz="4" w:space="0" w:color="auto"/>
            </w:tcBorders>
            <w:vAlign w:val="center"/>
          </w:tcPr>
          <w:p w14:paraId="7F6485D4"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w:t>
            </w:r>
            <w:r w:rsidRPr="00B12FE0">
              <w:rPr>
                <w:rFonts w:hint="eastAsia"/>
                <w:color w:val="000000" w:themeColor="text1"/>
                <w:sz w:val="21"/>
                <w:szCs w:val="21"/>
              </w:rPr>
              <w:t>20</w:t>
            </w:r>
          </w:p>
        </w:tc>
        <w:tc>
          <w:tcPr>
            <w:tcW w:w="1052" w:type="pct"/>
            <w:tcBorders>
              <w:top w:val="single" w:sz="4" w:space="0" w:color="000000"/>
              <w:left w:val="single" w:sz="4" w:space="0" w:color="000000"/>
              <w:bottom w:val="single" w:sz="4" w:space="0" w:color="000000"/>
              <w:right w:val="single" w:sz="4" w:space="0" w:color="000000"/>
            </w:tcBorders>
            <w:vAlign w:val="center"/>
          </w:tcPr>
          <w:p w14:paraId="4E6F15FE" w14:textId="77777777" w:rsidR="00A67F21" w:rsidRPr="00B12FE0" w:rsidRDefault="00000000">
            <w:pPr>
              <w:adjustRightInd w:val="0"/>
              <w:jc w:val="center"/>
              <w:rPr>
                <w:color w:val="000000" w:themeColor="text1"/>
                <w:sz w:val="21"/>
                <w:szCs w:val="21"/>
              </w:rPr>
            </w:pPr>
            <w:r w:rsidRPr="00B12FE0">
              <w:rPr>
                <w:rFonts w:eastAsia="等线"/>
                <w:color w:val="000000" w:themeColor="text1"/>
                <w:sz w:val="21"/>
                <w:szCs w:val="21"/>
              </w:rPr>
              <w:t xml:space="preserve">10.00 </w:t>
            </w:r>
          </w:p>
        </w:tc>
        <w:tc>
          <w:tcPr>
            <w:tcW w:w="551" w:type="pct"/>
            <w:tcBorders>
              <w:top w:val="single" w:sz="4" w:space="0" w:color="auto"/>
              <w:left w:val="single" w:sz="4" w:space="0" w:color="auto"/>
              <w:bottom w:val="single" w:sz="4" w:space="0" w:color="auto"/>
              <w:right w:val="single" w:sz="4" w:space="0" w:color="auto"/>
            </w:tcBorders>
            <w:vAlign w:val="center"/>
          </w:tcPr>
          <w:p w14:paraId="16AB9468"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满足</w:t>
            </w:r>
          </w:p>
        </w:tc>
      </w:tr>
    </w:tbl>
    <w:p w14:paraId="0DF77A17" w14:textId="77777777" w:rsidR="00A67F21" w:rsidRPr="00B12FE0" w:rsidRDefault="00000000">
      <w:pPr>
        <w:adjustRightInd w:val="0"/>
        <w:spacing w:beforeLines="50" w:before="120" w:line="360" w:lineRule="auto"/>
        <w:ind w:firstLine="480"/>
        <w:rPr>
          <w:color w:val="000000" w:themeColor="text1"/>
        </w:rPr>
      </w:pPr>
      <w:r w:rsidRPr="00B12FE0">
        <w:rPr>
          <w:bCs/>
          <w:color w:val="000000" w:themeColor="text1"/>
          <w:szCs w:val="28"/>
        </w:rPr>
        <w:t>从表中可以看出，本项目后装机治疗室</w:t>
      </w:r>
      <w:r w:rsidRPr="00B12FE0">
        <w:rPr>
          <w:rFonts w:hint="eastAsia"/>
          <w:color w:val="000000" w:themeColor="text1"/>
        </w:rPr>
        <w:t>各屏蔽体外表面</w:t>
      </w:r>
      <w:r w:rsidRPr="00B12FE0">
        <w:rPr>
          <w:color w:val="000000" w:themeColor="text1"/>
        </w:rPr>
        <w:t>30cm</w:t>
      </w:r>
      <w:r w:rsidRPr="00B12FE0">
        <w:rPr>
          <w:rFonts w:hint="eastAsia"/>
          <w:color w:val="000000" w:themeColor="text1"/>
        </w:rPr>
        <w:t>处辐射剂量率均满足《放射治疗辐射安全与防护要求》（</w:t>
      </w:r>
      <w:r w:rsidRPr="00B12FE0">
        <w:rPr>
          <w:color w:val="000000" w:themeColor="text1"/>
        </w:rPr>
        <w:t>HJ1198-2021</w:t>
      </w:r>
      <w:r w:rsidRPr="00B12FE0">
        <w:rPr>
          <w:rFonts w:hint="eastAsia"/>
          <w:color w:val="000000" w:themeColor="text1"/>
        </w:rPr>
        <w:t>）相应的剂量率参考控制水平。</w:t>
      </w:r>
    </w:p>
    <w:p w14:paraId="6A13744F" w14:textId="77777777" w:rsidR="00A67F21" w:rsidRPr="00B12FE0" w:rsidRDefault="00000000">
      <w:pPr>
        <w:adjustRightInd w:val="0"/>
        <w:snapToGrid w:val="0"/>
        <w:spacing w:line="360" w:lineRule="auto"/>
        <w:ind w:firstLine="480"/>
        <w:textAlignment w:val="baseline"/>
        <w:rPr>
          <w:rFonts w:cs="宋体"/>
          <w:b/>
          <w:color w:val="000000" w:themeColor="text1"/>
        </w:rPr>
      </w:pPr>
      <w:r w:rsidRPr="00B12FE0">
        <w:rPr>
          <w:rFonts w:hint="eastAsia"/>
          <w:b/>
          <w:color w:val="000000" w:themeColor="text1"/>
          <w:szCs w:val="28"/>
        </w:rPr>
        <w:t>（</w:t>
      </w:r>
      <w:r w:rsidRPr="00B12FE0">
        <w:rPr>
          <w:rFonts w:hint="eastAsia"/>
          <w:b/>
          <w:color w:val="000000" w:themeColor="text1"/>
          <w:szCs w:val="28"/>
        </w:rPr>
        <w:t>7</w:t>
      </w:r>
      <w:r w:rsidRPr="00B12FE0">
        <w:rPr>
          <w:rFonts w:hint="eastAsia"/>
          <w:b/>
          <w:color w:val="000000" w:themeColor="text1"/>
          <w:szCs w:val="28"/>
        </w:rPr>
        <w:t>）</w:t>
      </w:r>
      <w:r w:rsidRPr="00B12FE0">
        <w:rPr>
          <w:rFonts w:cs="宋体" w:hint="eastAsia"/>
          <w:b/>
          <w:color w:val="000000" w:themeColor="text1"/>
        </w:rPr>
        <w:t>年有效剂量预测分析</w:t>
      </w:r>
    </w:p>
    <w:p w14:paraId="0761DE22" w14:textId="77777777" w:rsidR="00A67F21" w:rsidRPr="00B12FE0" w:rsidRDefault="00000000">
      <w:pPr>
        <w:adjustRightInd w:val="0"/>
        <w:snapToGrid w:val="0"/>
        <w:spacing w:line="360" w:lineRule="auto"/>
        <w:ind w:firstLine="480"/>
        <w:textAlignment w:val="baseline"/>
        <w:rPr>
          <w:rFonts w:cs="宋体"/>
          <w:bCs/>
          <w:color w:val="000000" w:themeColor="text1"/>
        </w:rPr>
      </w:pPr>
      <w:r w:rsidRPr="00B12FE0">
        <w:rPr>
          <w:rFonts w:cs="宋体" w:hint="eastAsia"/>
          <w:bCs/>
          <w:color w:val="000000" w:themeColor="text1"/>
        </w:rPr>
        <w:t>①项目运行对周边辐射工作人员和公众年有效剂量的影响</w:t>
      </w:r>
    </w:p>
    <w:p w14:paraId="50937340" w14:textId="77777777" w:rsidR="00A67F21" w:rsidRPr="00B12FE0" w:rsidRDefault="00000000">
      <w:pPr>
        <w:snapToGrid w:val="0"/>
        <w:spacing w:line="360" w:lineRule="auto"/>
        <w:ind w:firstLineChars="196" w:firstLine="470"/>
        <w:rPr>
          <w:rFonts w:cs="宋体"/>
          <w:color w:val="000000" w:themeColor="text1"/>
        </w:rPr>
      </w:pPr>
      <w:r w:rsidRPr="00B12FE0">
        <w:rPr>
          <w:rFonts w:cs="宋体" w:hint="eastAsia"/>
          <w:color w:val="000000" w:themeColor="text1"/>
        </w:rPr>
        <w:t>根据</w:t>
      </w:r>
      <w:proofErr w:type="gramStart"/>
      <w:r w:rsidRPr="00B12FE0">
        <w:rPr>
          <w:rFonts w:cs="宋体" w:hint="eastAsia"/>
          <w:color w:val="000000" w:themeColor="text1"/>
        </w:rPr>
        <w:t>各关注</w:t>
      </w:r>
      <w:proofErr w:type="gramEnd"/>
      <w:r w:rsidRPr="00B12FE0">
        <w:rPr>
          <w:rFonts w:cs="宋体" w:hint="eastAsia"/>
          <w:color w:val="000000" w:themeColor="text1"/>
        </w:rPr>
        <w:t>点的剂量率，对后装机机房工作人员及周围的公众人员进行年有效剂量估算。</w:t>
      </w:r>
      <w:r w:rsidRPr="00B12FE0">
        <w:rPr>
          <w:rFonts w:cs="宋体" w:hint="eastAsia"/>
          <w:color w:val="000000" w:themeColor="text1"/>
          <w:kern w:val="0"/>
        </w:rPr>
        <w:t>关注点人员的有效剂量根据</w:t>
      </w:r>
      <w:r w:rsidRPr="00B12FE0">
        <w:rPr>
          <w:rFonts w:cs="宋体"/>
          <w:color w:val="000000" w:themeColor="text1"/>
          <w:lang w:val="pt-BR"/>
        </w:rPr>
        <w:t>式</w:t>
      </w:r>
      <w:r w:rsidRPr="00B12FE0">
        <w:rPr>
          <w:rFonts w:cs="宋体"/>
          <w:color w:val="000000" w:themeColor="text1"/>
        </w:rPr>
        <w:t>11.2.1.1-4</w:t>
      </w:r>
      <w:r w:rsidRPr="00B12FE0">
        <w:rPr>
          <w:rFonts w:cs="宋体" w:hint="eastAsia"/>
          <w:color w:val="000000" w:themeColor="text1"/>
          <w:kern w:val="0"/>
        </w:rPr>
        <w:t>进行计算。</w:t>
      </w:r>
      <w:r w:rsidRPr="00B12FE0">
        <w:rPr>
          <w:rFonts w:cs="宋体" w:hint="eastAsia"/>
          <w:color w:val="000000" w:themeColor="text1"/>
        </w:rPr>
        <w:t>机房</w:t>
      </w:r>
      <w:proofErr w:type="gramStart"/>
      <w:r w:rsidRPr="00B12FE0">
        <w:rPr>
          <w:rFonts w:cs="宋体" w:hint="eastAsia"/>
          <w:color w:val="000000" w:themeColor="text1"/>
        </w:rPr>
        <w:t>外职业</w:t>
      </w:r>
      <w:proofErr w:type="gramEnd"/>
      <w:r w:rsidRPr="00B12FE0">
        <w:rPr>
          <w:rFonts w:cs="宋体" w:hint="eastAsia"/>
          <w:color w:val="000000" w:themeColor="text1"/>
        </w:rPr>
        <w:t>人员和周围公众人员可能接受的最大辐射年有效剂量见下表。</w:t>
      </w:r>
    </w:p>
    <w:p w14:paraId="43B9413B" w14:textId="77777777" w:rsidR="00A67F21" w:rsidRPr="00B12FE0" w:rsidRDefault="00000000">
      <w:pPr>
        <w:adjustRightInd w:val="0"/>
        <w:snapToGrid w:val="0"/>
        <w:spacing w:line="360" w:lineRule="auto"/>
        <w:jc w:val="center"/>
        <w:rPr>
          <w:rFonts w:cs="宋体"/>
          <w:b/>
          <w:color w:val="000000" w:themeColor="text1"/>
          <w:sz w:val="21"/>
          <w:szCs w:val="21"/>
        </w:rPr>
      </w:pPr>
      <w:r w:rsidRPr="00B12FE0">
        <w:rPr>
          <w:rFonts w:cs="宋体" w:hint="eastAsia"/>
          <w:b/>
          <w:color w:val="000000" w:themeColor="text1"/>
          <w:sz w:val="21"/>
          <w:szCs w:val="21"/>
        </w:rPr>
        <w:t>表</w:t>
      </w:r>
      <w:r w:rsidRPr="00B12FE0">
        <w:rPr>
          <w:b/>
          <w:color w:val="000000" w:themeColor="text1"/>
          <w:sz w:val="21"/>
          <w:szCs w:val="21"/>
        </w:rPr>
        <w:t xml:space="preserve">11.2.2.2-6  </w:t>
      </w:r>
      <w:r w:rsidRPr="00B12FE0">
        <w:rPr>
          <w:rFonts w:cs="宋体" w:hint="eastAsia"/>
          <w:b/>
          <w:color w:val="000000" w:themeColor="text1"/>
          <w:sz w:val="21"/>
          <w:szCs w:val="21"/>
        </w:rPr>
        <w:t>辐射工作人员和周围公众年有效剂量估算结果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55"/>
        <w:gridCol w:w="1163"/>
        <w:gridCol w:w="1077"/>
        <w:gridCol w:w="635"/>
        <w:gridCol w:w="813"/>
        <w:gridCol w:w="1340"/>
        <w:gridCol w:w="1634"/>
      </w:tblGrid>
      <w:tr w:rsidR="00A67F21" w:rsidRPr="00B12FE0" w14:paraId="321EF63A" w14:textId="77777777">
        <w:trPr>
          <w:trHeight w:val="340"/>
          <w:jc w:val="center"/>
        </w:trPr>
        <w:tc>
          <w:tcPr>
            <w:tcW w:w="1306" w:type="pct"/>
            <w:tcBorders>
              <w:top w:val="single" w:sz="4" w:space="0" w:color="auto"/>
              <w:left w:val="single" w:sz="4" w:space="0" w:color="auto"/>
              <w:bottom w:val="single" w:sz="4" w:space="0" w:color="auto"/>
              <w:right w:val="single" w:sz="4" w:space="0" w:color="auto"/>
            </w:tcBorders>
            <w:vAlign w:val="center"/>
          </w:tcPr>
          <w:p w14:paraId="35084C40" w14:textId="77777777" w:rsidR="00A67F21" w:rsidRPr="00B12FE0" w:rsidRDefault="00000000">
            <w:pPr>
              <w:jc w:val="center"/>
              <w:rPr>
                <w:color w:val="000000" w:themeColor="text1"/>
                <w:sz w:val="21"/>
                <w:szCs w:val="21"/>
              </w:rPr>
            </w:pPr>
            <w:r w:rsidRPr="00B12FE0">
              <w:rPr>
                <w:rFonts w:cs="宋体"/>
                <w:color w:val="000000" w:themeColor="text1"/>
                <w:sz w:val="21"/>
                <w:szCs w:val="21"/>
              </w:rPr>
              <w:t>关注区域或人员</w:t>
            </w:r>
          </w:p>
        </w:tc>
        <w:tc>
          <w:tcPr>
            <w:tcW w:w="645" w:type="pct"/>
            <w:tcBorders>
              <w:top w:val="single" w:sz="4" w:space="0" w:color="auto"/>
              <w:left w:val="single" w:sz="4" w:space="0" w:color="auto"/>
              <w:bottom w:val="single" w:sz="4" w:space="0" w:color="auto"/>
              <w:right w:val="single" w:sz="4" w:space="0" w:color="auto"/>
            </w:tcBorders>
            <w:vAlign w:val="center"/>
          </w:tcPr>
          <w:p w14:paraId="1A620899"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所取参考</w:t>
            </w:r>
            <w:r w:rsidRPr="00B12FE0">
              <w:rPr>
                <w:color w:val="000000" w:themeColor="text1"/>
                <w:sz w:val="21"/>
                <w:szCs w:val="21"/>
              </w:rPr>
              <w:t>关注点</w:t>
            </w:r>
          </w:p>
        </w:tc>
        <w:tc>
          <w:tcPr>
            <w:tcW w:w="597" w:type="pct"/>
            <w:tcBorders>
              <w:top w:val="single" w:sz="4" w:space="0" w:color="auto"/>
              <w:left w:val="single" w:sz="4" w:space="0" w:color="auto"/>
              <w:bottom w:val="single" w:sz="4" w:space="0" w:color="auto"/>
              <w:right w:val="single" w:sz="4" w:space="0" w:color="auto"/>
            </w:tcBorders>
            <w:vAlign w:val="center"/>
          </w:tcPr>
          <w:p w14:paraId="3DF084CA"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位置</w:t>
            </w:r>
            <w:r w:rsidRPr="00B12FE0">
              <w:rPr>
                <w:color w:val="000000" w:themeColor="text1"/>
                <w:sz w:val="21"/>
                <w:szCs w:val="21"/>
              </w:rPr>
              <w:t>描述</w:t>
            </w:r>
          </w:p>
        </w:tc>
        <w:tc>
          <w:tcPr>
            <w:tcW w:w="352" w:type="pct"/>
            <w:tcBorders>
              <w:top w:val="single" w:sz="4" w:space="0" w:color="auto"/>
              <w:left w:val="single" w:sz="4" w:space="0" w:color="auto"/>
              <w:bottom w:val="single" w:sz="4" w:space="0" w:color="auto"/>
              <w:right w:val="single" w:sz="4" w:space="0" w:color="auto"/>
            </w:tcBorders>
            <w:vAlign w:val="center"/>
          </w:tcPr>
          <w:p w14:paraId="4F22FD7E"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T</w:t>
            </w:r>
          </w:p>
        </w:tc>
        <w:tc>
          <w:tcPr>
            <w:tcW w:w="451" w:type="pct"/>
            <w:tcBorders>
              <w:top w:val="single" w:sz="4" w:space="0" w:color="auto"/>
              <w:left w:val="single" w:sz="4" w:space="0" w:color="auto"/>
              <w:bottom w:val="single" w:sz="4" w:space="0" w:color="auto"/>
              <w:right w:val="single" w:sz="4" w:space="0" w:color="auto"/>
            </w:tcBorders>
            <w:vAlign w:val="center"/>
          </w:tcPr>
          <w:p w14:paraId="0C63A8E3" w14:textId="77777777" w:rsidR="00A67F21" w:rsidRPr="00B12FE0" w:rsidRDefault="00000000">
            <w:pPr>
              <w:adjustRightInd w:val="0"/>
              <w:snapToGrid w:val="0"/>
              <w:jc w:val="center"/>
              <w:rPr>
                <w:color w:val="000000" w:themeColor="text1"/>
                <w:sz w:val="21"/>
                <w:szCs w:val="21"/>
              </w:rPr>
            </w:pPr>
            <w:r w:rsidRPr="00B12FE0">
              <w:rPr>
                <w:color w:val="000000" w:themeColor="text1"/>
                <w:sz w:val="21"/>
                <w:szCs w:val="21"/>
              </w:rPr>
              <w:t>t</w:t>
            </w:r>
          </w:p>
        </w:tc>
        <w:tc>
          <w:tcPr>
            <w:tcW w:w="743" w:type="pct"/>
            <w:tcBorders>
              <w:top w:val="single" w:sz="4" w:space="0" w:color="auto"/>
              <w:left w:val="single" w:sz="4" w:space="0" w:color="auto"/>
              <w:bottom w:val="single" w:sz="4" w:space="0" w:color="auto"/>
              <w:right w:val="single" w:sz="4" w:space="0" w:color="auto"/>
            </w:tcBorders>
            <w:vAlign w:val="center"/>
          </w:tcPr>
          <w:p w14:paraId="6652C555" w14:textId="77777777" w:rsidR="00A67F21" w:rsidRPr="00B12FE0" w:rsidRDefault="00000000">
            <w:pPr>
              <w:adjustRightInd w:val="0"/>
              <w:snapToGrid w:val="0"/>
              <w:jc w:val="center"/>
              <w:rPr>
                <w:color w:val="000000" w:themeColor="text1"/>
                <w:sz w:val="21"/>
                <w:szCs w:val="21"/>
              </w:rPr>
            </w:pPr>
            <m:oMath>
              <m:acc>
                <m:accPr>
                  <m:chr m:val="̇"/>
                  <m:ctrlPr>
                    <w:rPr>
                      <w:rFonts w:ascii="Cambria Math" w:hAnsi="Cambria Math" w:cs="宋体"/>
                      <w:i/>
                      <w:color w:val="000000" w:themeColor="text1"/>
                      <w:sz w:val="21"/>
                      <w:szCs w:val="21"/>
                    </w:rPr>
                  </m:ctrlPr>
                </m:accPr>
                <m:e>
                  <m:r>
                    <w:rPr>
                      <w:rFonts w:ascii="Cambria Math" w:hAnsi="Cambria Math" w:cs="宋体"/>
                      <w:color w:val="000000" w:themeColor="text1"/>
                      <w:sz w:val="21"/>
                      <w:szCs w:val="21"/>
                    </w:rPr>
                    <m:t>H</m:t>
                  </m:r>
                </m:e>
              </m:acc>
            </m:oMath>
            <w:r w:rsidRPr="00B12FE0">
              <w:rPr>
                <w:color w:val="000000" w:themeColor="text1"/>
                <w:sz w:val="21"/>
                <w:szCs w:val="21"/>
              </w:rPr>
              <w:t>（</w:t>
            </w:r>
            <w:r w:rsidRPr="00B12FE0">
              <w:rPr>
                <w:color w:val="000000" w:themeColor="text1"/>
                <w:sz w:val="21"/>
                <w:szCs w:val="21"/>
              </w:rPr>
              <w:t>µSv/h</w:t>
            </w:r>
            <w:r w:rsidRPr="00B12FE0">
              <w:rPr>
                <w:color w:val="000000" w:themeColor="text1"/>
                <w:sz w:val="21"/>
                <w:szCs w:val="21"/>
              </w:rPr>
              <w:t>）</w:t>
            </w:r>
          </w:p>
        </w:tc>
        <w:tc>
          <w:tcPr>
            <w:tcW w:w="906" w:type="pct"/>
            <w:tcBorders>
              <w:top w:val="single" w:sz="4" w:space="0" w:color="auto"/>
              <w:left w:val="single" w:sz="4" w:space="0" w:color="auto"/>
              <w:bottom w:val="single" w:sz="4" w:space="0" w:color="auto"/>
              <w:right w:val="single" w:sz="4" w:space="0" w:color="auto"/>
            </w:tcBorders>
            <w:vAlign w:val="center"/>
          </w:tcPr>
          <w:p w14:paraId="106948EA" w14:textId="77777777" w:rsidR="00A67F21" w:rsidRPr="00B12FE0" w:rsidRDefault="00000000">
            <w:pPr>
              <w:adjustRightInd w:val="0"/>
              <w:snapToGrid w:val="0"/>
              <w:jc w:val="center"/>
              <w:rPr>
                <w:color w:val="000000" w:themeColor="text1"/>
                <w:sz w:val="21"/>
                <w:szCs w:val="21"/>
              </w:rPr>
            </w:pPr>
            <w:r w:rsidRPr="00B12FE0">
              <w:rPr>
                <w:rFonts w:hint="eastAsia"/>
                <w:color w:val="000000" w:themeColor="text1"/>
                <w:sz w:val="21"/>
                <w:szCs w:val="21"/>
              </w:rPr>
              <w:t>年有效剂量</w:t>
            </w:r>
            <w:r w:rsidRPr="00B12FE0">
              <w:rPr>
                <w:color w:val="000000" w:themeColor="text1"/>
                <w:sz w:val="21"/>
                <w:szCs w:val="21"/>
              </w:rPr>
              <w:t>（</w:t>
            </w:r>
            <w:r w:rsidRPr="00B12FE0">
              <w:rPr>
                <w:color w:val="000000" w:themeColor="text1"/>
                <w:sz w:val="21"/>
                <w:szCs w:val="21"/>
              </w:rPr>
              <w:t>mSv/a</w:t>
            </w:r>
            <w:r w:rsidRPr="00B12FE0">
              <w:rPr>
                <w:color w:val="000000" w:themeColor="text1"/>
                <w:sz w:val="21"/>
                <w:szCs w:val="21"/>
              </w:rPr>
              <w:t>）</w:t>
            </w:r>
          </w:p>
        </w:tc>
      </w:tr>
      <w:tr w:rsidR="00A67F21" w:rsidRPr="00B12FE0" w14:paraId="2551B000" w14:textId="77777777">
        <w:trPr>
          <w:trHeight w:val="340"/>
          <w:jc w:val="center"/>
        </w:trPr>
        <w:tc>
          <w:tcPr>
            <w:tcW w:w="1306" w:type="pct"/>
            <w:tcBorders>
              <w:top w:val="single" w:sz="4" w:space="0" w:color="auto"/>
              <w:left w:val="single" w:sz="4" w:space="0" w:color="auto"/>
              <w:bottom w:val="single" w:sz="4" w:space="0" w:color="auto"/>
              <w:right w:val="single" w:sz="4" w:space="0" w:color="auto"/>
            </w:tcBorders>
          </w:tcPr>
          <w:p w14:paraId="68D8D1E7" w14:textId="77777777" w:rsidR="00A67F21" w:rsidRPr="00B12FE0" w:rsidRDefault="00000000">
            <w:pPr>
              <w:jc w:val="center"/>
              <w:rPr>
                <w:rFonts w:cs="宋体"/>
                <w:color w:val="000000" w:themeColor="text1"/>
                <w:sz w:val="21"/>
                <w:szCs w:val="21"/>
              </w:rPr>
            </w:pPr>
            <w:r w:rsidRPr="00B12FE0">
              <w:rPr>
                <w:rFonts w:hint="eastAsia"/>
                <w:color w:val="000000" w:themeColor="text1"/>
                <w:sz w:val="21"/>
                <w:szCs w:val="21"/>
              </w:rPr>
              <w:t>控制室</w:t>
            </w:r>
          </w:p>
        </w:tc>
        <w:tc>
          <w:tcPr>
            <w:tcW w:w="645" w:type="pct"/>
            <w:tcBorders>
              <w:top w:val="single" w:sz="4" w:space="0" w:color="auto"/>
              <w:left w:val="single" w:sz="4" w:space="0" w:color="auto"/>
              <w:bottom w:val="single" w:sz="4" w:space="0" w:color="auto"/>
              <w:right w:val="single" w:sz="4" w:space="0" w:color="auto"/>
            </w:tcBorders>
            <w:vAlign w:val="center"/>
          </w:tcPr>
          <w:p w14:paraId="60F98C05" w14:textId="77777777" w:rsidR="00A67F21" w:rsidRPr="00B12FE0" w:rsidRDefault="00000000">
            <w:pPr>
              <w:jc w:val="center"/>
              <w:rPr>
                <w:color w:val="000000" w:themeColor="text1"/>
                <w:sz w:val="21"/>
                <w:szCs w:val="21"/>
              </w:rPr>
            </w:pPr>
            <w:r w:rsidRPr="00B12FE0">
              <w:rPr>
                <w:color w:val="000000" w:themeColor="text1"/>
                <w:sz w:val="21"/>
                <w:szCs w:val="21"/>
              </w:rPr>
              <w:t>a</w:t>
            </w:r>
          </w:p>
        </w:tc>
        <w:tc>
          <w:tcPr>
            <w:tcW w:w="597" w:type="pct"/>
            <w:tcBorders>
              <w:top w:val="single" w:sz="4" w:space="0" w:color="auto"/>
              <w:left w:val="single" w:sz="4" w:space="0" w:color="auto"/>
              <w:bottom w:val="single" w:sz="4" w:space="0" w:color="auto"/>
              <w:right w:val="single" w:sz="4" w:space="0" w:color="auto"/>
            </w:tcBorders>
            <w:vAlign w:val="center"/>
          </w:tcPr>
          <w:p w14:paraId="607D7461" w14:textId="77777777" w:rsidR="00A67F21" w:rsidRPr="00B12FE0" w:rsidRDefault="00000000">
            <w:pPr>
              <w:jc w:val="center"/>
              <w:rPr>
                <w:color w:val="000000" w:themeColor="text1"/>
                <w:sz w:val="21"/>
                <w:szCs w:val="21"/>
              </w:rPr>
            </w:pPr>
            <w:r w:rsidRPr="00B12FE0">
              <w:rPr>
                <w:rFonts w:hAnsi="宋体" w:hint="eastAsia"/>
                <w:color w:val="000000" w:themeColor="text1"/>
                <w:sz w:val="21"/>
                <w:szCs w:val="21"/>
              </w:rPr>
              <w:t>南侧</w:t>
            </w:r>
          </w:p>
        </w:tc>
        <w:tc>
          <w:tcPr>
            <w:tcW w:w="352" w:type="pct"/>
            <w:tcBorders>
              <w:top w:val="single" w:sz="4" w:space="0" w:color="auto"/>
              <w:left w:val="single" w:sz="4" w:space="0" w:color="auto"/>
              <w:bottom w:val="single" w:sz="4" w:space="0" w:color="auto"/>
              <w:right w:val="single" w:sz="4" w:space="0" w:color="auto"/>
            </w:tcBorders>
            <w:vAlign w:val="center"/>
          </w:tcPr>
          <w:p w14:paraId="47E6A1E7"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p>
        </w:tc>
        <w:tc>
          <w:tcPr>
            <w:tcW w:w="451" w:type="pct"/>
            <w:tcBorders>
              <w:top w:val="single" w:sz="4" w:space="0" w:color="auto"/>
              <w:left w:val="single" w:sz="4" w:space="0" w:color="auto"/>
              <w:bottom w:val="single" w:sz="4" w:space="0" w:color="auto"/>
              <w:right w:val="single" w:sz="4" w:space="0" w:color="auto"/>
            </w:tcBorders>
            <w:vAlign w:val="center"/>
          </w:tcPr>
          <w:p w14:paraId="75DDEDA3" w14:textId="77777777" w:rsidR="00A67F21" w:rsidRPr="00B12FE0" w:rsidRDefault="00000000">
            <w:pPr>
              <w:jc w:val="center"/>
              <w:rPr>
                <w:rFonts w:cs="宋体"/>
                <w:color w:val="000000" w:themeColor="text1"/>
                <w:sz w:val="21"/>
                <w:szCs w:val="21"/>
              </w:rPr>
            </w:pPr>
            <w:r w:rsidRPr="00B12FE0">
              <w:rPr>
                <w:color w:val="000000" w:themeColor="text1"/>
                <w:sz w:val="21"/>
                <w:szCs w:val="21"/>
              </w:rPr>
              <w:t>500</w:t>
            </w:r>
          </w:p>
        </w:tc>
        <w:tc>
          <w:tcPr>
            <w:tcW w:w="743" w:type="pct"/>
            <w:tcBorders>
              <w:top w:val="single" w:sz="4" w:space="0" w:color="auto"/>
              <w:left w:val="nil"/>
              <w:bottom w:val="single" w:sz="4" w:space="0" w:color="auto"/>
              <w:right w:val="single" w:sz="4" w:space="0" w:color="auto"/>
            </w:tcBorders>
            <w:vAlign w:val="center"/>
          </w:tcPr>
          <w:p w14:paraId="5DF2746F"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2.27E-05</w:t>
            </w:r>
          </w:p>
        </w:tc>
        <w:tc>
          <w:tcPr>
            <w:tcW w:w="906" w:type="pct"/>
            <w:tcBorders>
              <w:top w:val="single" w:sz="4" w:space="0" w:color="auto"/>
              <w:left w:val="single" w:sz="4" w:space="0" w:color="auto"/>
              <w:bottom w:val="single" w:sz="4" w:space="0" w:color="auto"/>
              <w:right w:val="single" w:sz="4" w:space="0" w:color="auto"/>
            </w:tcBorders>
            <w:vAlign w:val="center"/>
          </w:tcPr>
          <w:p w14:paraId="3969A7A8" w14:textId="77777777" w:rsidR="00A67F21" w:rsidRPr="00B12FE0" w:rsidRDefault="00000000">
            <w:pPr>
              <w:adjustRightInd w:val="0"/>
              <w:snapToGrid w:val="0"/>
              <w:jc w:val="center"/>
              <w:rPr>
                <w:color w:val="000000" w:themeColor="text1"/>
                <w:sz w:val="21"/>
                <w:szCs w:val="21"/>
              </w:rPr>
            </w:pPr>
            <w:r w:rsidRPr="00B12FE0">
              <w:rPr>
                <w:rFonts w:eastAsia="等线"/>
                <w:color w:val="000000" w:themeColor="text1"/>
                <w:sz w:val="21"/>
                <w:szCs w:val="21"/>
              </w:rPr>
              <w:t>1.14E-05</w:t>
            </w:r>
          </w:p>
        </w:tc>
      </w:tr>
      <w:tr w:rsidR="00A67F21" w:rsidRPr="00B12FE0" w14:paraId="4AF458B9" w14:textId="77777777">
        <w:trPr>
          <w:trHeight w:val="340"/>
          <w:jc w:val="center"/>
        </w:trPr>
        <w:tc>
          <w:tcPr>
            <w:tcW w:w="1306" w:type="pct"/>
            <w:tcBorders>
              <w:top w:val="single" w:sz="4" w:space="0" w:color="auto"/>
              <w:left w:val="single" w:sz="4" w:space="0" w:color="auto"/>
              <w:bottom w:val="single" w:sz="4" w:space="0" w:color="auto"/>
              <w:right w:val="single" w:sz="4" w:space="0" w:color="auto"/>
            </w:tcBorders>
          </w:tcPr>
          <w:p w14:paraId="49D9ACEB" w14:textId="77777777" w:rsidR="00A67F21" w:rsidRPr="00B12FE0" w:rsidRDefault="00000000">
            <w:pPr>
              <w:jc w:val="center"/>
              <w:rPr>
                <w:rFonts w:hAnsi="宋体" w:hint="eastAsia"/>
                <w:color w:val="000000" w:themeColor="text1"/>
                <w:sz w:val="21"/>
                <w:szCs w:val="21"/>
              </w:rPr>
            </w:pPr>
            <w:r w:rsidRPr="00B12FE0">
              <w:rPr>
                <w:color w:val="000000" w:themeColor="text1"/>
                <w:sz w:val="21"/>
                <w:szCs w:val="21"/>
              </w:rPr>
              <w:t>院内道路及绿化</w:t>
            </w:r>
          </w:p>
        </w:tc>
        <w:tc>
          <w:tcPr>
            <w:tcW w:w="645" w:type="pct"/>
            <w:tcBorders>
              <w:top w:val="single" w:sz="4" w:space="0" w:color="auto"/>
              <w:left w:val="single" w:sz="4" w:space="0" w:color="auto"/>
              <w:bottom w:val="single" w:sz="4" w:space="0" w:color="auto"/>
              <w:right w:val="single" w:sz="4" w:space="0" w:color="auto"/>
            </w:tcBorders>
            <w:vAlign w:val="center"/>
          </w:tcPr>
          <w:p w14:paraId="3ECB80B3"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b</w:t>
            </w:r>
          </w:p>
        </w:tc>
        <w:tc>
          <w:tcPr>
            <w:tcW w:w="597" w:type="pct"/>
            <w:tcBorders>
              <w:top w:val="single" w:sz="4" w:space="0" w:color="auto"/>
              <w:left w:val="single" w:sz="4" w:space="0" w:color="auto"/>
              <w:bottom w:val="single" w:sz="4" w:space="0" w:color="auto"/>
              <w:right w:val="single" w:sz="4" w:space="0" w:color="auto"/>
            </w:tcBorders>
            <w:vAlign w:val="center"/>
          </w:tcPr>
          <w:p w14:paraId="201517E4" w14:textId="77777777" w:rsidR="00A67F21" w:rsidRPr="00B12FE0" w:rsidRDefault="00000000">
            <w:pPr>
              <w:jc w:val="center"/>
              <w:rPr>
                <w:rFonts w:hAnsi="宋体" w:hint="eastAsia"/>
                <w:color w:val="000000" w:themeColor="text1"/>
                <w:sz w:val="21"/>
                <w:szCs w:val="21"/>
              </w:rPr>
            </w:pPr>
            <w:r w:rsidRPr="00B12FE0">
              <w:rPr>
                <w:rFonts w:hAnsi="宋体" w:hint="eastAsia"/>
                <w:color w:val="000000" w:themeColor="text1"/>
                <w:sz w:val="21"/>
                <w:szCs w:val="21"/>
              </w:rPr>
              <w:t>北侧</w:t>
            </w:r>
          </w:p>
        </w:tc>
        <w:tc>
          <w:tcPr>
            <w:tcW w:w="352" w:type="pct"/>
            <w:tcBorders>
              <w:top w:val="single" w:sz="4" w:space="0" w:color="auto"/>
              <w:left w:val="single" w:sz="4" w:space="0" w:color="auto"/>
              <w:bottom w:val="single" w:sz="4" w:space="0" w:color="auto"/>
              <w:right w:val="single" w:sz="4" w:space="0" w:color="auto"/>
            </w:tcBorders>
            <w:vAlign w:val="center"/>
          </w:tcPr>
          <w:p w14:paraId="64423688"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w:t>
            </w:r>
            <w:r w:rsidRPr="00B12FE0">
              <w:rPr>
                <w:rFonts w:hint="eastAsia"/>
                <w:color w:val="000000" w:themeColor="text1"/>
                <w:sz w:val="21"/>
                <w:szCs w:val="21"/>
              </w:rPr>
              <w:t>16</w:t>
            </w:r>
          </w:p>
        </w:tc>
        <w:tc>
          <w:tcPr>
            <w:tcW w:w="451" w:type="pct"/>
            <w:tcBorders>
              <w:top w:val="single" w:sz="4" w:space="0" w:color="auto"/>
              <w:left w:val="single" w:sz="4" w:space="0" w:color="auto"/>
              <w:bottom w:val="single" w:sz="4" w:space="0" w:color="auto"/>
              <w:right w:val="single" w:sz="4" w:space="0" w:color="auto"/>
            </w:tcBorders>
            <w:vAlign w:val="center"/>
          </w:tcPr>
          <w:p w14:paraId="5B32DBCB" w14:textId="77777777" w:rsidR="00A67F21" w:rsidRPr="00B12FE0" w:rsidRDefault="00000000">
            <w:pPr>
              <w:jc w:val="center"/>
              <w:rPr>
                <w:color w:val="000000" w:themeColor="text1"/>
                <w:sz w:val="21"/>
                <w:szCs w:val="21"/>
              </w:rPr>
            </w:pPr>
            <w:r w:rsidRPr="00B12FE0">
              <w:rPr>
                <w:color w:val="000000" w:themeColor="text1"/>
                <w:sz w:val="21"/>
                <w:szCs w:val="21"/>
              </w:rPr>
              <w:t>500</w:t>
            </w:r>
          </w:p>
        </w:tc>
        <w:tc>
          <w:tcPr>
            <w:tcW w:w="743" w:type="pct"/>
            <w:tcBorders>
              <w:top w:val="single" w:sz="4" w:space="0" w:color="auto"/>
              <w:left w:val="nil"/>
              <w:bottom w:val="single" w:sz="4" w:space="0" w:color="auto"/>
              <w:right w:val="single" w:sz="4" w:space="0" w:color="auto"/>
            </w:tcBorders>
            <w:vAlign w:val="center"/>
          </w:tcPr>
          <w:p w14:paraId="4926D329"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7.42E-01</w:t>
            </w:r>
          </w:p>
        </w:tc>
        <w:tc>
          <w:tcPr>
            <w:tcW w:w="906" w:type="pct"/>
            <w:tcBorders>
              <w:top w:val="single" w:sz="4" w:space="0" w:color="auto"/>
              <w:left w:val="nil"/>
              <w:bottom w:val="single" w:sz="4" w:space="0" w:color="auto"/>
              <w:right w:val="single" w:sz="4" w:space="0" w:color="auto"/>
            </w:tcBorders>
            <w:vAlign w:val="center"/>
          </w:tcPr>
          <w:p w14:paraId="717FB29E" w14:textId="77777777" w:rsidR="00A67F21" w:rsidRPr="00B12FE0" w:rsidRDefault="00000000">
            <w:pPr>
              <w:adjustRightInd w:val="0"/>
              <w:snapToGrid w:val="0"/>
              <w:jc w:val="center"/>
              <w:rPr>
                <w:color w:val="000000" w:themeColor="text1"/>
                <w:sz w:val="21"/>
                <w:szCs w:val="21"/>
              </w:rPr>
            </w:pPr>
            <w:r w:rsidRPr="00B12FE0">
              <w:rPr>
                <w:rFonts w:eastAsia="等线"/>
                <w:color w:val="000000" w:themeColor="text1"/>
                <w:sz w:val="21"/>
                <w:szCs w:val="21"/>
              </w:rPr>
              <w:t>2.32E-02</w:t>
            </w:r>
          </w:p>
        </w:tc>
      </w:tr>
      <w:tr w:rsidR="00A67F21" w:rsidRPr="00B12FE0" w14:paraId="59BA9D17" w14:textId="77777777">
        <w:trPr>
          <w:trHeight w:val="340"/>
          <w:jc w:val="center"/>
        </w:trPr>
        <w:tc>
          <w:tcPr>
            <w:tcW w:w="1306" w:type="pct"/>
            <w:tcBorders>
              <w:top w:val="single" w:sz="4" w:space="0" w:color="auto"/>
              <w:left w:val="single" w:sz="4" w:space="0" w:color="auto"/>
              <w:bottom w:val="single" w:sz="4" w:space="0" w:color="auto"/>
              <w:right w:val="single" w:sz="4" w:space="0" w:color="auto"/>
            </w:tcBorders>
          </w:tcPr>
          <w:p w14:paraId="1AFC9ED4"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2</w:t>
            </w:r>
            <w:r w:rsidRPr="00B12FE0">
              <w:rPr>
                <w:rFonts w:hint="eastAsia"/>
                <w:color w:val="000000" w:themeColor="text1"/>
                <w:sz w:val="21"/>
                <w:szCs w:val="21"/>
              </w:rPr>
              <w:t>号直线加速器机房</w:t>
            </w:r>
          </w:p>
        </w:tc>
        <w:tc>
          <w:tcPr>
            <w:tcW w:w="645" w:type="pct"/>
            <w:tcBorders>
              <w:top w:val="single" w:sz="4" w:space="0" w:color="auto"/>
              <w:left w:val="single" w:sz="4" w:space="0" w:color="auto"/>
              <w:bottom w:val="single" w:sz="4" w:space="0" w:color="auto"/>
              <w:right w:val="single" w:sz="4" w:space="0" w:color="auto"/>
            </w:tcBorders>
            <w:vAlign w:val="center"/>
          </w:tcPr>
          <w:p w14:paraId="6865FAE3"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c</w:t>
            </w:r>
            <w:r w:rsidRPr="00B12FE0">
              <w:rPr>
                <w:rFonts w:hint="eastAsia"/>
                <w:color w:val="000000" w:themeColor="text1"/>
                <w:sz w:val="21"/>
                <w:szCs w:val="21"/>
                <w:vertAlign w:val="subscript"/>
              </w:rPr>
              <w:t>1</w:t>
            </w:r>
          </w:p>
        </w:tc>
        <w:tc>
          <w:tcPr>
            <w:tcW w:w="597" w:type="pct"/>
            <w:tcBorders>
              <w:top w:val="single" w:sz="4" w:space="0" w:color="auto"/>
              <w:left w:val="single" w:sz="4" w:space="0" w:color="auto"/>
              <w:bottom w:val="single" w:sz="4" w:space="0" w:color="auto"/>
              <w:right w:val="single" w:sz="4" w:space="0" w:color="auto"/>
            </w:tcBorders>
            <w:vAlign w:val="center"/>
          </w:tcPr>
          <w:p w14:paraId="2B56C86F" w14:textId="77777777" w:rsidR="00A67F21" w:rsidRPr="00B12FE0" w:rsidRDefault="00000000">
            <w:pPr>
              <w:jc w:val="center"/>
              <w:rPr>
                <w:rFonts w:hAnsi="宋体" w:hint="eastAsia"/>
                <w:color w:val="000000" w:themeColor="text1"/>
                <w:sz w:val="21"/>
                <w:szCs w:val="21"/>
              </w:rPr>
            </w:pPr>
            <w:r w:rsidRPr="00B12FE0">
              <w:rPr>
                <w:rFonts w:hAnsi="宋体" w:hint="eastAsia"/>
                <w:color w:val="000000" w:themeColor="text1"/>
                <w:sz w:val="21"/>
                <w:szCs w:val="21"/>
              </w:rPr>
              <w:t>西侧</w:t>
            </w:r>
          </w:p>
        </w:tc>
        <w:tc>
          <w:tcPr>
            <w:tcW w:w="352" w:type="pct"/>
            <w:tcBorders>
              <w:top w:val="single" w:sz="4" w:space="0" w:color="auto"/>
              <w:left w:val="single" w:sz="4" w:space="0" w:color="auto"/>
              <w:bottom w:val="single" w:sz="4" w:space="0" w:color="auto"/>
              <w:right w:val="single" w:sz="4" w:space="0" w:color="auto"/>
            </w:tcBorders>
            <w:vAlign w:val="center"/>
          </w:tcPr>
          <w:p w14:paraId="3B54085E"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1/2</w:t>
            </w:r>
          </w:p>
        </w:tc>
        <w:tc>
          <w:tcPr>
            <w:tcW w:w="451" w:type="pct"/>
            <w:tcBorders>
              <w:top w:val="single" w:sz="4" w:space="0" w:color="auto"/>
              <w:left w:val="single" w:sz="4" w:space="0" w:color="auto"/>
              <w:bottom w:val="single" w:sz="4" w:space="0" w:color="auto"/>
              <w:right w:val="single" w:sz="4" w:space="0" w:color="auto"/>
            </w:tcBorders>
            <w:vAlign w:val="center"/>
          </w:tcPr>
          <w:p w14:paraId="21D1C0E9" w14:textId="77777777" w:rsidR="00A67F21" w:rsidRPr="00B12FE0" w:rsidRDefault="00000000">
            <w:pPr>
              <w:jc w:val="center"/>
              <w:rPr>
                <w:color w:val="000000" w:themeColor="text1"/>
                <w:sz w:val="21"/>
                <w:szCs w:val="21"/>
              </w:rPr>
            </w:pPr>
            <w:r w:rsidRPr="00B12FE0">
              <w:rPr>
                <w:color w:val="000000" w:themeColor="text1"/>
                <w:sz w:val="21"/>
                <w:szCs w:val="21"/>
              </w:rPr>
              <w:t>500</w:t>
            </w:r>
          </w:p>
        </w:tc>
        <w:tc>
          <w:tcPr>
            <w:tcW w:w="743" w:type="pct"/>
            <w:tcBorders>
              <w:top w:val="single" w:sz="4" w:space="0" w:color="auto"/>
              <w:left w:val="nil"/>
              <w:bottom w:val="single" w:sz="4" w:space="0" w:color="auto"/>
              <w:right w:val="single" w:sz="4" w:space="0" w:color="auto"/>
            </w:tcBorders>
            <w:vAlign w:val="center"/>
          </w:tcPr>
          <w:p w14:paraId="06E27E6B"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4.35E-08</w:t>
            </w:r>
          </w:p>
        </w:tc>
        <w:tc>
          <w:tcPr>
            <w:tcW w:w="906" w:type="pct"/>
            <w:tcBorders>
              <w:top w:val="single" w:sz="4" w:space="0" w:color="auto"/>
              <w:left w:val="nil"/>
              <w:bottom w:val="single" w:sz="4" w:space="0" w:color="auto"/>
              <w:right w:val="single" w:sz="4" w:space="0" w:color="auto"/>
            </w:tcBorders>
            <w:vAlign w:val="center"/>
          </w:tcPr>
          <w:p w14:paraId="3A188532" w14:textId="77777777" w:rsidR="00A67F21" w:rsidRPr="00B12FE0" w:rsidRDefault="00000000">
            <w:pPr>
              <w:adjustRightInd w:val="0"/>
              <w:snapToGrid w:val="0"/>
              <w:jc w:val="center"/>
              <w:rPr>
                <w:color w:val="000000" w:themeColor="text1"/>
                <w:sz w:val="21"/>
                <w:szCs w:val="21"/>
              </w:rPr>
            </w:pPr>
            <w:r w:rsidRPr="00B12FE0">
              <w:rPr>
                <w:rFonts w:eastAsia="等线"/>
                <w:color w:val="000000" w:themeColor="text1"/>
                <w:sz w:val="21"/>
                <w:szCs w:val="21"/>
              </w:rPr>
              <w:t>1.09E-08</w:t>
            </w:r>
          </w:p>
        </w:tc>
      </w:tr>
      <w:tr w:rsidR="00A67F21" w:rsidRPr="00B12FE0" w14:paraId="19AE2C33" w14:textId="77777777">
        <w:trPr>
          <w:trHeight w:val="340"/>
          <w:jc w:val="center"/>
        </w:trPr>
        <w:tc>
          <w:tcPr>
            <w:tcW w:w="1306" w:type="pct"/>
            <w:tcBorders>
              <w:top w:val="single" w:sz="4" w:space="0" w:color="auto"/>
              <w:left w:val="single" w:sz="4" w:space="0" w:color="auto"/>
              <w:bottom w:val="single" w:sz="4" w:space="0" w:color="auto"/>
              <w:right w:val="single" w:sz="4" w:space="0" w:color="auto"/>
            </w:tcBorders>
          </w:tcPr>
          <w:p w14:paraId="67295199" w14:textId="77777777" w:rsidR="00A67F21" w:rsidRPr="00B12FE0" w:rsidRDefault="00000000">
            <w:pPr>
              <w:jc w:val="center"/>
              <w:rPr>
                <w:rFonts w:hAnsi="宋体" w:hint="eastAsia"/>
                <w:color w:val="000000" w:themeColor="text1"/>
                <w:sz w:val="21"/>
                <w:szCs w:val="21"/>
              </w:rPr>
            </w:pPr>
            <w:r w:rsidRPr="00B12FE0">
              <w:rPr>
                <w:rFonts w:hAnsi="宋体" w:hint="eastAsia"/>
                <w:color w:val="000000" w:themeColor="text1"/>
                <w:sz w:val="21"/>
                <w:szCs w:val="18"/>
              </w:rPr>
              <w:t>变配电室</w:t>
            </w:r>
          </w:p>
        </w:tc>
        <w:tc>
          <w:tcPr>
            <w:tcW w:w="645" w:type="pct"/>
            <w:tcBorders>
              <w:top w:val="single" w:sz="4" w:space="0" w:color="auto"/>
              <w:left w:val="single" w:sz="4" w:space="0" w:color="auto"/>
              <w:bottom w:val="single" w:sz="4" w:space="0" w:color="auto"/>
              <w:right w:val="single" w:sz="4" w:space="0" w:color="auto"/>
            </w:tcBorders>
            <w:vAlign w:val="center"/>
          </w:tcPr>
          <w:p w14:paraId="372C370B"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d</w:t>
            </w:r>
          </w:p>
        </w:tc>
        <w:tc>
          <w:tcPr>
            <w:tcW w:w="597" w:type="pct"/>
            <w:tcBorders>
              <w:top w:val="single" w:sz="4" w:space="0" w:color="auto"/>
              <w:left w:val="single" w:sz="4" w:space="0" w:color="auto"/>
              <w:bottom w:val="single" w:sz="4" w:space="0" w:color="auto"/>
              <w:right w:val="single" w:sz="4" w:space="0" w:color="auto"/>
            </w:tcBorders>
            <w:vAlign w:val="center"/>
          </w:tcPr>
          <w:p w14:paraId="36488061" w14:textId="77777777" w:rsidR="00A67F21" w:rsidRPr="00B12FE0" w:rsidRDefault="00000000">
            <w:pPr>
              <w:jc w:val="center"/>
              <w:rPr>
                <w:rFonts w:hAnsi="宋体" w:hint="eastAsia"/>
                <w:color w:val="000000" w:themeColor="text1"/>
                <w:sz w:val="21"/>
                <w:szCs w:val="21"/>
              </w:rPr>
            </w:pPr>
            <w:r w:rsidRPr="00B12FE0">
              <w:rPr>
                <w:rFonts w:hAnsi="宋体" w:hint="eastAsia"/>
                <w:color w:val="000000" w:themeColor="text1"/>
                <w:sz w:val="21"/>
                <w:szCs w:val="21"/>
              </w:rPr>
              <w:t>东侧</w:t>
            </w:r>
          </w:p>
        </w:tc>
        <w:tc>
          <w:tcPr>
            <w:tcW w:w="352" w:type="pct"/>
            <w:tcBorders>
              <w:top w:val="single" w:sz="4" w:space="0" w:color="auto"/>
              <w:left w:val="single" w:sz="4" w:space="0" w:color="auto"/>
              <w:bottom w:val="single" w:sz="4" w:space="0" w:color="auto"/>
              <w:right w:val="single" w:sz="4" w:space="0" w:color="auto"/>
            </w:tcBorders>
            <w:vAlign w:val="center"/>
          </w:tcPr>
          <w:p w14:paraId="1671EBD9"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w:t>
            </w:r>
            <w:r w:rsidRPr="00B12FE0">
              <w:rPr>
                <w:rFonts w:hint="eastAsia"/>
                <w:color w:val="000000" w:themeColor="text1"/>
                <w:sz w:val="21"/>
                <w:szCs w:val="21"/>
              </w:rPr>
              <w:t>4</w:t>
            </w:r>
          </w:p>
        </w:tc>
        <w:tc>
          <w:tcPr>
            <w:tcW w:w="451" w:type="pct"/>
            <w:tcBorders>
              <w:top w:val="single" w:sz="4" w:space="0" w:color="auto"/>
              <w:left w:val="single" w:sz="4" w:space="0" w:color="auto"/>
              <w:bottom w:val="single" w:sz="4" w:space="0" w:color="auto"/>
              <w:right w:val="single" w:sz="4" w:space="0" w:color="auto"/>
            </w:tcBorders>
            <w:vAlign w:val="center"/>
          </w:tcPr>
          <w:p w14:paraId="2B7198CF" w14:textId="77777777" w:rsidR="00A67F21" w:rsidRPr="00B12FE0" w:rsidRDefault="00000000">
            <w:pPr>
              <w:jc w:val="center"/>
              <w:rPr>
                <w:color w:val="000000" w:themeColor="text1"/>
                <w:sz w:val="21"/>
                <w:szCs w:val="21"/>
              </w:rPr>
            </w:pPr>
            <w:r w:rsidRPr="00B12FE0">
              <w:rPr>
                <w:color w:val="000000" w:themeColor="text1"/>
                <w:sz w:val="21"/>
                <w:szCs w:val="21"/>
              </w:rPr>
              <w:t>500</w:t>
            </w:r>
          </w:p>
        </w:tc>
        <w:tc>
          <w:tcPr>
            <w:tcW w:w="743" w:type="pct"/>
            <w:tcBorders>
              <w:top w:val="single" w:sz="4" w:space="0" w:color="auto"/>
              <w:left w:val="nil"/>
              <w:bottom w:val="single" w:sz="4" w:space="0" w:color="auto"/>
              <w:right w:val="single" w:sz="4" w:space="0" w:color="auto"/>
            </w:tcBorders>
            <w:vAlign w:val="center"/>
          </w:tcPr>
          <w:p w14:paraId="400000C9"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7.89E-03</w:t>
            </w:r>
          </w:p>
        </w:tc>
        <w:tc>
          <w:tcPr>
            <w:tcW w:w="906" w:type="pct"/>
            <w:tcBorders>
              <w:top w:val="single" w:sz="4" w:space="0" w:color="auto"/>
              <w:left w:val="single" w:sz="4" w:space="0" w:color="auto"/>
              <w:bottom w:val="single" w:sz="4" w:space="0" w:color="auto"/>
              <w:right w:val="single" w:sz="4" w:space="0" w:color="auto"/>
            </w:tcBorders>
            <w:vAlign w:val="center"/>
          </w:tcPr>
          <w:p w14:paraId="5B2AF2B7" w14:textId="77777777" w:rsidR="00A67F21" w:rsidRPr="00B12FE0" w:rsidRDefault="00000000">
            <w:pPr>
              <w:adjustRightInd w:val="0"/>
              <w:snapToGrid w:val="0"/>
              <w:jc w:val="center"/>
              <w:rPr>
                <w:color w:val="000000" w:themeColor="text1"/>
                <w:sz w:val="21"/>
                <w:szCs w:val="21"/>
              </w:rPr>
            </w:pPr>
            <w:r w:rsidRPr="00B12FE0">
              <w:rPr>
                <w:rFonts w:eastAsia="等线"/>
                <w:color w:val="000000" w:themeColor="text1"/>
                <w:sz w:val="21"/>
                <w:szCs w:val="21"/>
              </w:rPr>
              <w:t>9.86E-04</w:t>
            </w:r>
          </w:p>
        </w:tc>
      </w:tr>
      <w:tr w:rsidR="00A67F21" w:rsidRPr="00B12FE0" w14:paraId="0BE8F91E" w14:textId="77777777">
        <w:trPr>
          <w:trHeight w:val="340"/>
          <w:jc w:val="center"/>
        </w:trPr>
        <w:tc>
          <w:tcPr>
            <w:tcW w:w="1306" w:type="pct"/>
            <w:tcBorders>
              <w:top w:val="single" w:sz="4" w:space="0" w:color="auto"/>
              <w:left w:val="single" w:sz="4" w:space="0" w:color="auto"/>
              <w:bottom w:val="single" w:sz="4" w:space="0" w:color="auto"/>
              <w:right w:val="single" w:sz="4" w:space="0" w:color="auto"/>
            </w:tcBorders>
          </w:tcPr>
          <w:p w14:paraId="49E27293" w14:textId="77777777" w:rsidR="00A67F21" w:rsidRPr="00B12FE0" w:rsidRDefault="00000000">
            <w:pPr>
              <w:jc w:val="center"/>
              <w:rPr>
                <w:rFonts w:hAnsi="宋体" w:hint="eastAsia"/>
                <w:color w:val="000000" w:themeColor="text1"/>
                <w:sz w:val="21"/>
                <w:szCs w:val="21"/>
              </w:rPr>
            </w:pPr>
            <w:r w:rsidRPr="00B12FE0">
              <w:rPr>
                <w:rFonts w:hint="eastAsia"/>
                <w:color w:val="000000" w:themeColor="text1"/>
                <w:sz w:val="21"/>
                <w:szCs w:val="21"/>
              </w:rPr>
              <w:t>防护门外</w:t>
            </w:r>
          </w:p>
        </w:tc>
        <w:tc>
          <w:tcPr>
            <w:tcW w:w="645" w:type="pct"/>
            <w:tcBorders>
              <w:top w:val="single" w:sz="4" w:space="0" w:color="auto"/>
              <w:left w:val="single" w:sz="4" w:space="0" w:color="auto"/>
              <w:bottom w:val="single" w:sz="4" w:space="0" w:color="auto"/>
              <w:right w:val="single" w:sz="4" w:space="0" w:color="auto"/>
            </w:tcBorders>
            <w:vAlign w:val="center"/>
          </w:tcPr>
          <w:p w14:paraId="0F524746"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g</w:t>
            </w:r>
          </w:p>
        </w:tc>
        <w:tc>
          <w:tcPr>
            <w:tcW w:w="597" w:type="pct"/>
            <w:tcBorders>
              <w:top w:val="single" w:sz="4" w:space="0" w:color="auto"/>
              <w:left w:val="single" w:sz="4" w:space="0" w:color="auto"/>
              <w:bottom w:val="single" w:sz="4" w:space="0" w:color="auto"/>
              <w:right w:val="single" w:sz="4" w:space="0" w:color="auto"/>
            </w:tcBorders>
            <w:vAlign w:val="center"/>
          </w:tcPr>
          <w:p w14:paraId="6285020C" w14:textId="77777777" w:rsidR="00A67F21" w:rsidRPr="00B12FE0" w:rsidRDefault="00000000">
            <w:pPr>
              <w:jc w:val="center"/>
              <w:rPr>
                <w:rFonts w:hAnsi="宋体" w:hint="eastAsia"/>
                <w:color w:val="000000" w:themeColor="text1"/>
                <w:sz w:val="21"/>
                <w:szCs w:val="21"/>
              </w:rPr>
            </w:pPr>
            <w:r w:rsidRPr="00B12FE0">
              <w:rPr>
                <w:rFonts w:hAnsi="宋体" w:hint="eastAsia"/>
                <w:color w:val="000000" w:themeColor="text1"/>
                <w:sz w:val="21"/>
                <w:szCs w:val="21"/>
              </w:rPr>
              <w:t>南侧</w:t>
            </w:r>
          </w:p>
        </w:tc>
        <w:tc>
          <w:tcPr>
            <w:tcW w:w="352" w:type="pct"/>
            <w:tcBorders>
              <w:top w:val="single" w:sz="4" w:space="0" w:color="auto"/>
              <w:left w:val="single" w:sz="4" w:space="0" w:color="auto"/>
              <w:bottom w:val="single" w:sz="4" w:space="0" w:color="auto"/>
              <w:right w:val="single" w:sz="4" w:space="0" w:color="auto"/>
            </w:tcBorders>
            <w:vAlign w:val="center"/>
          </w:tcPr>
          <w:p w14:paraId="23AC7A5A"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w:t>
            </w:r>
            <w:r w:rsidRPr="00B12FE0">
              <w:rPr>
                <w:rFonts w:hint="eastAsia"/>
                <w:color w:val="000000" w:themeColor="text1"/>
                <w:sz w:val="21"/>
                <w:szCs w:val="21"/>
              </w:rPr>
              <w:t>8</w:t>
            </w:r>
          </w:p>
        </w:tc>
        <w:tc>
          <w:tcPr>
            <w:tcW w:w="451" w:type="pct"/>
            <w:tcBorders>
              <w:top w:val="single" w:sz="4" w:space="0" w:color="auto"/>
              <w:left w:val="single" w:sz="4" w:space="0" w:color="auto"/>
              <w:bottom w:val="single" w:sz="4" w:space="0" w:color="auto"/>
              <w:right w:val="single" w:sz="4" w:space="0" w:color="auto"/>
            </w:tcBorders>
            <w:vAlign w:val="center"/>
          </w:tcPr>
          <w:p w14:paraId="2ADE8911" w14:textId="77777777" w:rsidR="00A67F21" w:rsidRPr="00B12FE0" w:rsidRDefault="00000000">
            <w:pPr>
              <w:jc w:val="center"/>
              <w:rPr>
                <w:color w:val="000000" w:themeColor="text1"/>
                <w:sz w:val="21"/>
                <w:szCs w:val="21"/>
              </w:rPr>
            </w:pPr>
            <w:r w:rsidRPr="00B12FE0">
              <w:rPr>
                <w:color w:val="000000" w:themeColor="text1"/>
                <w:sz w:val="21"/>
                <w:szCs w:val="21"/>
              </w:rPr>
              <w:t>500</w:t>
            </w:r>
          </w:p>
        </w:tc>
        <w:tc>
          <w:tcPr>
            <w:tcW w:w="743" w:type="pct"/>
            <w:tcBorders>
              <w:top w:val="single" w:sz="4" w:space="0" w:color="auto"/>
              <w:left w:val="nil"/>
              <w:bottom w:val="single" w:sz="4" w:space="0" w:color="auto"/>
              <w:right w:val="single" w:sz="4" w:space="0" w:color="auto"/>
            </w:tcBorders>
            <w:vAlign w:val="center"/>
          </w:tcPr>
          <w:p w14:paraId="363D17C2"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1.12</w:t>
            </w:r>
          </w:p>
        </w:tc>
        <w:tc>
          <w:tcPr>
            <w:tcW w:w="906" w:type="pct"/>
            <w:tcBorders>
              <w:top w:val="single" w:sz="4" w:space="0" w:color="auto"/>
              <w:left w:val="single" w:sz="4" w:space="0" w:color="auto"/>
              <w:bottom w:val="single" w:sz="4" w:space="0" w:color="auto"/>
              <w:right w:val="single" w:sz="4" w:space="0" w:color="auto"/>
            </w:tcBorders>
            <w:vAlign w:val="center"/>
          </w:tcPr>
          <w:p w14:paraId="60C54B5C" w14:textId="77777777" w:rsidR="00A67F21" w:rsidRPr="00B12FE0" w:rsidRDefault="00000000">
            <w:pPr>
              <w:adjustRightInd w:val="0"/>
              <w:snapToGrid w:val="0"/>
              <w:jc w:val="center"/>
              <w:rPr>
                <w:color w:val="000000" w:themeColor="text1"/>
                <w:sz w:val="21"/>
                <w:szCs w:val="21"/>
              </w:rPr>
            </w:pPr>
            <w:r w:rsidRPr="00B12FE0">
              <w:rPr>
                <w:rFonts w:eastAsia="等线"/>
                <w:color w:val="000000" w:themeColor="text1"/>
                <w:sz w:val="21"/>
                <w:szCs w:val="21"/>
              </w:rPr>
              <w:t>7.00E-02</w:t>
            </w:r>
          </w:p>
        </w:tc>
      </w:tr>
      <w:tr w:rsidR="00A67F21" w:rsidRPr="00B12FE0" w14:paraId="376820A4" w14:textId="77777777">
        <w:trPr>
          <w:trHeight w:val="340"/>
          <w:jc w:val="center"/>
        </w:trPr>
        <w:tc>
          <w:tcPr>
            <w:tcW w:w="1306" w:type="pct"/>
            <w:tcBorders>
              <w:top w:val="single" w:sz="4" w:space="0" w:color="auto"/>
              <w:left w:val="single" w:sz="4" w:space="0" w:color="auto"/>
              <w:bottom w:val="single" w:sz="4" w:space="0" w:color="auto"/>
              <w:right w:val="single" w:sz="4" w:space="0" w:color="auto"/>
            </w:tcBorders>
          </w:tcPr>
          <w:p w14:paraId="03A9AE92"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不可上人屋顶</w:t>
            </w:r>
          </w:p>
        </w:tc>
        <w:tc>
          <w:tcPr>
            <w:tcW w:w="645" w:type="pct"/>
            <w:tcBorders>
              <w:top w:val="single" w:sz="4" w:space="0" w:color="auto"/>
              <w:left w:val="single" w:sz="4" w:space="0" w:color="auto"/>
              <w:bottom w:val="single" w:sz="4" w:space="0" w:color="auto"/>
              <w:right w:val="single" w:sz="4" w:space="0" w:color="auto"/>
            </w:tcBorders>
            <w:vAlign w:val="center"/>
          </w:tcPr>
          <w:p w14:paraId="1F9AD322" w14:textId="77777777" w:rsidR="00A67F21" w:rsidRPr="00B12FE0" w:rsidRDefault="00000000">
            <w:pPr>
              <w:jc w:val="center"/>
              <w:rPr>
                <w:color w:val="000000" w:themeColor="text1"/>
                <w:sz w:val="21"/>
                <w:szCs w:val="21"/>
              </w:rPr>
            </w:pPr>
            <w:r w:rsidRPr="00B12FE0">
              <w:rPr>
                <w:rFonts w:hint="eastAsia"/>
                <w:color w:val="000000" w:themeColor="text1"/>
                <w:sz w:val="21"/>
                <w:szCs w:val="21"/>
              </w:rPr>
              <w:t>I</w:t>
            </w:r>
          </w:p>
        </w:tc>
        <w:tc>
          <w:tcPr>
            <w:tcW w:w="597" w:type="pct"/>
            <w:tcBorders>
              <w:top w:val="single" w:sz="4" w:space="0" w:color="auto"/>
              <w:left w:val="single" w:sz="4" w:space="0" w:color="auto"/>
              <w:bottom w:val="single" w:sz="4" w:space="0" w:color="auto"/>
              <w:right w:val="single" w:sz="4" w:space="0" w:color="auto"/>
            </w:tcBorders>
            <w:vAlign w:val="center"/>
          </w:tcPr>
          <w:p w14:paraId="11A28CC1" w14:textId="77777777" w:rsidR="00A67F21" w:rsidRPr="00B12FE0" w:rsidRDefault="00000000">
            <w:pPr>
              <w:jc w:val="center"/>
              <w:rPr>
                <w:rFonts w:hAnsi="宋体" w:hint="eastAsia"/>
                <w:color w:val="000000" w:themeColor="text1"/>
                <w:sz w:val="21"/>
                <w:szCs w:val="21"/>
              </w:rPr>
            </w:pPr>
            <w:r w:rsidRPr="00B12FE0">
              <w:rPr>
                <w:rFonts w:hAnsi="宋体" w:hint="eastAsia"/>
                <w:color w:val="000000" w:themeColor="text1"/>
                <w:sz w:val="21"/>
                <w:szCs w:val="21"/>
              </w:rPr>
              <w:t>上方</w:t>
            </w:r>
          </w:p>
        </w:tc>
        <w:tc>
          <w:tcPr>
            <w:tcW w:w="352" w:type="pct"/>
            <w:tcBorders>
              <w:top w:val="single" w:sz="4" w:space="0" w:color="auto"/>
              <w:left w:val="single" w:sz="4" w:space="0" w:color="auto"/>
              <w:bottom w:val="single" w:sz="4" w:space="0" w:color="auto"/>
              <w:right w:val="single" w:sz="4" w:space="0" w:color="auto"/>
            </w:tcBorders>
            <w:vAlign w:val="center"/>
          </w:tcPr>
          <w:p w14:paraId="23FE93F1" w14:textId="77777777" w:rsidR="00A67F21" w:rsidRPr="00B12FE0" w:rsidRDefault="00000000">
            <w:pPr>
              <w:adjustRightInd w:val="0"/>
              <w:jc w:val="center"/>
              <w:rPr>
                <w:color w:val="000000" w:themeColor="text1"/>
                <w:sz w:val="21"/>
                <w:szCs w:val="21"/>
              </w:rPr>
            </w:pPr>
            <w:r w:rsidRPr="00B12FE0">
              <w:rPr>
                <w:rFonts w:hint="eastAsia"/>
                <w:color w:val="000000" w:themeColor="text1"/>
                <w:sz w:val="21"/>
                <w:szCs w:val="21"/>
              </w:rPr>
              <w:t>1</w:t>
            </w:r>
            <w:r w:rsidRPr="00B12FE0">
              <w:rPr>
                <w:color w:val="000000" w:themeColor="text1"/>
                <w:sz w:val="21"/>
                <w:szCs w:val="21"/>
              </w:rPr>
              <w:t>/</w:t>
            </w:r>
            <w:r w:rsidRPr="00B12FE0">
              <w:rPr>
                <w:rFonts w:hint="eastAsia"/>
                <w:color w:val="000000" w:themeColor="text1"/>
                <w:sz w:val="21"/>
                <w:szCs w:val="21"/>
              </w:rPr>
              <w:t>20</w:t>
            </w:r>
          </w:p>
        </w:tc>
        <w:tc>
          <w:tcPr>
            <w:tcW w:w="451" w:type="pct"/>
            <w:tcBorders>
              <w:top w:val="single" w:sz="4" w:space="0" w:color="auto"/>
              <w:left w:val="single" w:sz="4" w:space="0" w:color="auto"/>
              <w:bottom w:val="single" w:sz="4" w:space="0" w:color="auto"/>
              <w:right w:val="single" w:sz="4" w:space="0" w:color="auto"/>
            </w:tcBorders>
            <w:vAlign w:val="center"/>
          </w:tcPr>
          <w:p w14:paraId="787E577E" w14:textId="77777777" w:rsidR="00A67F21" w:rsidRPr="00B12FE0" w:rsidRDefault="00000000">
            <w:pPr>
              <w:jc w:val="center"/>
              <w:rPr>
                <w:color w:val="000000" w:themeColor="text1"/>
                <w:sz w:val="21"/>
                <w:szCs w:val="21"/>
              </w:rPr>
            </w:pPr>
            <w:r w:rsidRPr="00B12FE0">
              <w:rPr>
                <w:color w:val="000000" w:themeColor="text1"/>
                <w:sz w:val="21"/>
                <w:szCs w:val="21"/>
              </w:rPr>
              <w:t>500</w:t>
            </w:r>
          </w:p>
        </w:tc>
        <w:tc>
          <w:tcPr>
            <w:tcW w:w="743" w:type="pct"/>
            <w:tcBorders>
              <w:top w:val="single" w:sz="4" w:space="0" w:color="auto"/>
              <w:left w:val="nil"/>
              <w:bottom w:val="single" w:sz="4" w:space="0" w:color="auto"/>
              <w:right w:val="single" w:sz="4" w:space="0" w:color="auto"/>
            </w:tcBorders>
            <w:vAlign w:val="center"/>
          </w:tcPr>
          <w:p w14:paraId="21EF7FE6" w14:textId="77777777" w:rsidR="00A67F21" w:rsidRPr="00B12FE0" w:rsidRDefault="00000000">
            <w:pPr>
              <w:jc w:val="center"/>
              <w:rPr>
                <w:color w:val="000000" w:themeColor="text1"/>
                <w:sz w:val="21"/>
                <w:szCs w:val="21"/>
              </w:rPr>
            </w:pPr>
            <w:r w:rsidRPr="00B12FE0">
              <w:rPr>
                <w:rFonts w:eastAsia="等线"/>
                <w:color w:val="000000" w:themeColor="text1"/>
                <w:sz w:val="21"/>
                <w:szCs w:val="21"/>
              </w:rPr>
              <w:t>1.04E-03</w:t>
            </w:r>
          </w:p>
        </w:tc>
        <w:tc>
          <w:tcPr>
            <w:tcW w:w="906" w:type="pct"/>
            <w:tcBorders>
              <w:top w:val="single" w:sz="4" w:space="0" w:color="auto"/>
              <w:left w:val="single" w:sz="4" w:space="0" w:color="auto"/>
              <w:bottom w:val="single" w:sz="4" w:space="0" w:color="auto"/>
              <w:right w:val="single" w:sz="4" w:space="0" w:color="auto"/>
            </w:tcBorders>
            <w:vAlign w:val="center"/>
          </w:tcPr>
          <w:p w14:paraId="7C0A6F98" w14:textId="77777777" w:rsidR="00A67F21" w:rsidRPr="00B12FE0" w:rsidRDefault="00000000">
            <w:pPr>
              <w:adjustRightInd w:val="0"/>
              <w:snapToGrid w:val="0"/>
              <w:jc w:val="center"/>
              <w:rPr>
                <w:color w:val="000000" w:themeColor="text1"/>
                <w:sz w:val="21"/>
                <w:szCs w:val="21"/>
              </w:rPr>
            </w:pPr>
            <w:r w:rsidRPr="00B12FE0">
              <w:rPr>
                <w:rFonts w:eastAsia="等线"/>
                <w:color w:val="000000" w:themeColor="text1"/>
                <w:sz w:val="21"/>
                <w:szCs w:val="21"/>
              </w:rPr>
              <w:t>2.59E-05</w:t>
            </w:r>
          </w:p>
        </w:tc>
      </w:tr>
    </w:tbl>
    <w:p w14:paraId="30B90853" w14:textId="77777777" w:rsidR="00A67F21" w:rsidRPr="00B12FE0" w:rsidRDefault="00000000">
      <w:pPr>
        <w:overflowPunct w:val="0"/>
        <w:autoSpaceDE w:val="0"/>
        <w:autoSpaceDN w:val="0"/>
        <w:adjustRightInd w:val="0"/>
        <w:snapToGrid w:val="0"/>
        <w:spacing w:line="360" w:lineRule="auto"/>
        <w:ind w:left="480"/>
        <w:rPr>
          <w:color w:val="000000" w:themeColor="text1"/>
          <w:szCs w:val="24"/>
        </w:rPr>
      </w:pPr>
      <w:r w:rsidRPr="00B12FE0">
        <w:rPr>
          <w:rFonts w:ascii="Cambria Math" w:hAnsi="Cambria Math" w:cs="Cambria Math"/>
          <w:color w:val="000000" w:themeColor="text1"/>
          <w:szCs w:val="24"/>
        </w:rPr>
        <w:t>②</w:t>
      </w:r>
      <w:r w:rsidRPr="00B12FE0">
        <w:rPr>
          <w:rFonts w:cs="宋体"/>
          <w:color w:val="000000" w:themeColor="text1"/>
          <w:szCs w:val="24"/>
        </w:rPr>
        <w:t>辐射工作人员年有效剂量</w:t>
      </w:r>
    </w:p>
    <w:p w14:paraId="45811C56" w14:textId="77777777" w:rsidR="00A67F21" w:rsidRPr="00B12FE0" w:rsidRDefault="00000000">
      <w:pPr>
        <w:adjustRightInd w:val="0"/>
        <w:spacing w:line="360" w:lineRule="auto"/>
        <w:ind w:firstLine="480"/>
        <w:rPr>
          <w:color w:val="000000" w:themeColor="text1"/>
        </w:rPr>
      </w:pPr>
      <w:r w:rsidRPr="00B12FE0">
        <w:rPr>
          <w:color w:val="000000" w:themeColor="text1"/>
        </w:rPr>
        <w:t>由表</w:t>
      </w:r>
      <w:r w:rsidRPr="00B12FE0">
        <w:rPr>
          <w:color w:val="000000" w:themeColor="text1"/>
        </w:rPr>
        <w:t>11.2.2.2-6</w:t>
      </w:r>
      <w:r w:rsidRPr="00B12FE0">
        <w:rPr>
          <w:color w:val="000000" w:themeColor="text1"/>
        </w:rPr>
        <w:t>可知，本项目控制室内辐射工作人员年有效剂量最大估算值为</w:t>
      </w:r>
      <w:r w:rsidRPr="00B12FE0">
        <w:rPr>
          <w:color w:val="000000" w:themeColor="text1"/>
        </w:rPr>
        <w:t>1.14E-05mSv</w:t>
      </w:r>
      <w:r w:rsidRPr="00B12FE0">
        <w:rPr>
          <w:color w:val="000000" w:themeColor="text1"/>
        </w:rPr>
        <w:t>。</w:t>
      </w:r>
    </w:p>
    <w:p w14:paraId="0528F453" w14:textId="77777777" w:rsidR="00A67F21" w:rsidRPr="00B12FE0" w:rsidRDefault="00000000">
      <w:pPr>
        <w:adjustRightInd w:val="0"/>
        <w:spacing w:line="360" w:lineRule="auto"/>
        <w:ind w:firstLine="480"/>
        <w:rPr>
          <w:bCs/>
          <w:color w:val="000000" w:themeColor="text1"/>
          <w:szCs w:val="28"/>
        </w:rPr>
      </w:pPr>
      <w:r w:rsidRPr="00B12FE0">
        <w:rPr>
          <w:bCs/>
          <w:color w:val="000000" w:themeColor="text1"/>
          <w:szCs w:val="28"/>
        </w:rPr>
        <w:t>由于辐射工作人员需要进入后装机治疗室内协助患者进行摆位，在摆</w:t>
      </w:r>
      <w:proofErr w:type="gramStart"/>
      <w:r w:rsidRPr="00B12FE0">
        <w:rPr>
          <w:bCs/>
          <w:color w:val="000000" w:themeColor="text1"/>
          <w:szCs w:val="28"/>
        </w:rPr>
        <w:t>位过程</w:t>
      </w:r>
      <w:proofErr w:type="gramEnd"/>
      <w:r w:rsidRPr="00B12FE0">
        <w:rPr>
          <w:bCs/>
          <w:color w:val="000000" w:themeColor="text1"/>
          <w:szCs w:val="28"/>
        </w:rPr>
        <w:t>中会受到放射源的照射。辐射工作人员进入治疗室之前，必须确保放射源处于后装机的工作储源器中，并佩戴个人剂量报警</w:t>
      </w:r>
      <w:proofErr w:type="gramStart"/>
      <w:r w:rsidRPr="00B12FE0">
        <w:rPr>
          <w:bCs/>
          <w:color w:val="000000" w:themeColor="text1"/>
          <w:szCs w:val="28"/>
        </w:rPr>
        <w:t>仪进入</w:t>
      </w:r>
      <w:proofErr w:type="gramEnd"/>
      <w:r w:rsidRPr="00B12FE0">
        <w:rPr>
          <w:bCs/>
          <w:color w:val="000000" w:themeColor="text1"/>
          <w:szCs w:val="28"/>
        </w:rPr>
        <w:t>机房。辐射工作人员协助患者摆位时在治疗室内的停留时间按</w:t>
      </w:r>
      <w:r w:rsidRPr="00B12FE0">
        <w:rPr>
          <w:bCs/>
          <w:color w:val="000000" w:themeColor="text1"/>
          <w:szCs w:val="28"/>
        </w:rPr>
        <w:t>2min</w:t>
      </w:r>
      <w:r w:rsidRPr="00B12FE0">
        <w:rPr>
          <w:bCs/>
          <w:color w:val="000000" w:themeColor="text1"/>
          <w:szCs w:val="28"/>
        </w:rPr>
        <w:t>计，与工作储源器的平均距离按</w:t>
      </w:r>
      <w:r w:rsidRPr="00B12FE0">
        <w:rPr>
          <w:bCs/>
          <w:color w:val="000000" w:themeColor="text1"/>
          <w:szCs w:val="28"/>
        </w:rPr>
        <w:t>1m</w:t>
      </w:r>
      <w:r w:rsidRPr="00B12FE0">
        <w:rPr>
          <w:bCs/>
          <w:color w:val="000000" w:themeColor="text1"/>
          <w:szCs w:val="28"/>
        </w:rPr>
        <w:t>考虑。参考《后装</w:t>
      </w:r>
      <w:r w:rsidRPr="00B12FE0">
        <w:rPr>
          <w:bCs/>
          <w:color w:val="000000" w:themeColor="text1"/>
          <w:szCs w:val="28"/>
        </w:rPr>
        <w:t>γ</w:t>
      </w:r>
      <w:r w:rsidRPr="00B12FE0">
        <w:rPr>
          <w:bCs/>
          <w:color w:val="000000" w:themeColor="text1"/>
          <w:szCs w:val="28"/>
        </w:rPr>
        <w:t>源近距离治疗质量控制检测规范》（</w:t>
      </w:r>
      <w:r w:rsidRPr="00B12FE0">
        <w:rPr>
          <w:bCs/>
          <w:color w:val="000000" w:themeColor="text1"/>
          <w:szCs w:val="28"/>
        </w:rPr>
        <w:t>WS262-2017</w:t>
      </w:r>
      <w:r w:rsidRPr="00B12FE0">
        <w:rPr>
          <w:bCs/>
          <w:color w:val="000000" w:themeColor="text1"/>
          <w:szCs w:val="28"/>
        </w:rPr>
        <w:t>）中</w:t>
      </w:r>
      <w:r w:rsidRPr="00B12FE0">
        <w:rPr>
          <w:bCs/>
          <w:color w:val="000000" w:themeColor="text1"/>
          <w:szCs w:val="28"/>
        </w:rPr>
        <w:t>“</w:t>
      </w:r>
      <w:r w:rsidRPr="00B12FE0">
        <w:rPr>
          <w:bCs/>
          <w:color w:val="000000" w:themeColor="text1"/>
          <w:szCs w:val="28"/>
        </w:rPr>
        <w:t>表</w:t>
      </w:r>
      <w:r w:rsidRPr="00B12FE0">
        <w:rPr>
          <w:bCs/>
          <w:color w:val="000000" w:themeColor="text1"/>
          <w:szCs w:val="28"/>
        </w:rPr>
        <w:t>1</w:t>
      </w:r>
      <w:r w:rsidRPr="00B12FE0">
        <w:rPr>
          <w:bCs/>
          <w:color w:val="000000" w:themeColor="text1"/>
          <w:szCs w:val="28"/>
        </w:rPr>
        <w:t>中贮源器表面（</w:t>
      </w:r>
      <w:r w:rsidRPr="00B12FE0">
        <w:rPr>
          <w:bCs/>
          <w:color w:val="000000" w:themeColor="text1"/>
          <w:szCs w:val="28"/>
        </w:rPr>
        <w:t>100cm</w:t>
      </w:r>
      <w:r w:rsidRPr="00B12FE0">
        <w:rPr>
          <w:bCs/>
          <w:color w:val="000000" w:themeColor="text1"/>
          <w:szCs w:val="28"/>
        </w:rPr>
        <w:t>）泄漏辐射所致周围剂量当量率不大于</w:t>
      </w:r>
      <w:r w:rsidRPr="00B12FE0">
        <w:rPr>
          <w:bCs/>
          <w:color w:val="000000" w:themeColor="text1"/>
          <w:szCs w:val="28"/>
        </w:rPr>
        <w:t>5µSv/h”</w:t>
      </w:r>
      <w:r w:rsidRPr="00B12FE0">
        <w:rPr>
          <w:bCs/>
          <w:color w:val="000000" w:themeColor="text1"/>
          <w:szCs w:val="28"/>
        </w:rPr>
        <w:t>的要求。以该剂量率值作为辐射工作人员摆位工作的最大辐射剂量率，则辐射工作人员全年摆</w:t>
      </w:r>
      <w:proofErr w:type="gramStart"/>
      <w:r w:rsidRPr="00B12FE0">
        <w:rPr>
          <w:bCs/>
          <w:color w:val="000000" w:themeColor="text1"/>
          <w:szCs w:val="28"/>
        </w:rPr>
        <w:t>位过程</w:t>
      </w:r>
      <w:proofErr w:type="gramEnd"/>
      <w:r w:rsidRPr="00B12FE0">
        <w:rPr>
          <w:bCs/>
          <w:color w:val="000000" w:themeColor="text1"/>
          <w:szCs w:val="28"/>
        </w:rPr>
        <w:t>所受的个人剂量</w:t>
      </w:r>
      <w:r w:rsidRPr="00B12FE0">
        <w:rPr>
          <w:bCs/>
          <w:iCs/>
          <w:color w:val="000000" w:themeColor="text1"/>
          <w:szCs w:val="28"/>
        </w:rPr>
        <w:t>为</w:t>
      </w:r>
      <w:r w:rsidRPr="00B12FE0">
        <w:rPr>
          <w:bCs/>
          <w:color w:val="000000" w:themeColor="text1"/>
          <w:szCs w:val="28"/>
        </w:rPr>
        <w:t>5µGy/h×2min×1/60÷1000×20</w:t>
      </w:r>
      <w:r w:rsidRPr="00B12FE0">
        <w:rPr>
          <w:bCs/>
          <w:color w:val="000000" w:themeColor="text1"/>
          <w:szCs w:val="28"/>
        </w:rPr>
        <w:t>人</w:t>
      </w:r>
      <w:r w:rsidRPr="00B12FE0">
        <w:rPr>
          <w:bCs/>
          <w:color w:val="000000" w:themeColor="text1"/>
          <w:szCs w:val="28"/>
        </w:rPr>
        <w:t>/</w:t>
      </w:r>
      <w:r w:rsidRPr="00B12FE0">
        <w:rPr>
          <w:bCs/>
          <w:color w:val="000000" w:themeColor="text1"/>
          <w:szCs w:val="28"/>
        </w:rPr>
        <w:t>天</w:t>
      </w:r>
      <w:r w:rsidRPr="00B12FE0">
        <w:rPr>
          <w:bCs/>
          <w:color w:val="000000" w:themeColor="text1"/>
          <w:szCs w:val="28"/>
        </w:rPr>
        <w:t>×250</w:t>
      </w:r>
      <w:r w:rsidRPr="00B12FE0">
        <w:rPr>
          <w:bCs/>
          <w:color w:val="000000" w:themeColor="text1"/>
          <w:szCs w:val="28"/>
        </w:rPr>
        <w:t>天</w:t>
      </w:r>
      <w:r w:rsidRPr="00B12FE0">
        <w:rPr>
          <w:bCs/>
          <w:color w:val="000000" w:themeColor="text1"/>
          <w:szCs w:val="28"/>
        </w:rPr>
        <w:t>/a=0.84mSv/a</w:t>
      </w:r>
      <w:r w:rsidRPr="00B12FE0">
        <w:rPr>
          <w:bCs/>
          <w:color w:val="000000" w:themeColor="text1"/>
          <w:szCs w:val="28"/>
        </w:rPr>
        <w:t>，因此，摆</w:t>
      </w:r>
      <w:proofErr w:type="gramStart"/>
      <w:r w:rsidRPr="00B12FE0">
        <w:rPr>
          <w:bCs/>
          <w:color w:val="000000" w:themeColor="text1"/>
          <w:szCs w:val="28"/>
        </w:rPr>
        <w:t>位过程</w:t>
      </w:r>
      <w:proofErr w:type="gramEnd"/>
      <w:r w:rsidRPr="00B12FE0">
        <w:rPr>
          <w:bCs/>
          <w:color w:val="000000" w:themeColor="text1"/>
          <w:szCs w:val="28"/>
        </w:rPr>
        <w:t>对辐射工作人员的影响较大，辐射工作人员应</w:t>
      </w:r>
      <w:proofErr w:type="gramStart"/>
      <w:r w:rsidRPr="00B12FE0">
        <w:rPr>
          <w:bCs/>
          <w:color w:val="000000" w:themeColor="text1"/>
          <w:szCs w:val="28"/>
        </w:rPr>
        <w:t>熟悉摆</w:t>
      </w:r>
      <w:proofErr w:type="gramEnd"/>
      <w:r w:rsidRPr="00B12FE0">
        <w:rPr>
          <w:bCs/>
          <w:color w:val="000000" w:themeColor="text1"/>
          <w:szCs w:val="28"/>
        </w:rPr>
        <w:t>位流程，在满足治疗质量要求的前提下，尽量减少治疗室内停留时间。</w:t>
      </w:r>
    </w:p>
    <w:p w14:paraId="0F31C8E8" w14:textId="77777777" w:rsidR="00A67F21" w:rsidRPr="00B12FE0" w:rsidRDefault="00000000">
      <w:pPr>
        <w:adjustRightInd w:val="0"/>
        <w:spacing w:line="360" w:lineRule="auto"/>
        <w:ind w:firstLine="480"/>
        <w:rPr>
          <w:bCs/>
          <w:color w:val="000000" w:themeColor="text1"/>
          <w:szCs w:val="28"/>
        </w:rPr>
      </w:pPr>
      <w:r w:rsidRPr="00B12FE0">
        <w:rPr>
          <w:bCs/>
          <w:color w:val="000000" w:themeColor="text1"/>
          <w:szCs w:val="28"/>
        </w:rPr>
        <w:t>综合上述，</w:t>
      </w:r>
      <w:r w:rsidRPr="00B12FE0">
        <w:rPr>
          <w:rFonts w:cs="宋体"/>
          <w:bCs/>
          <w:color w:val="000000" w:themeColor="text1"/>
        </w:rPr>
        <w:t>考虑到摆位和控制室工作人员可能的重复性，</w:t>
      </w:r>
      <w:r w:rsidRPr="00B12FE0">
        <w:rPr>
          <w:color w:val="000000" w:themeColor="text1"/>
        </w:rPr>
        <w:t>本项目辐射工作人员叠</w:t>
      </w:r>
      <w:r w:rsidRPr="00B12FE0">
        <w:rPr>
          <w:color w:val="000000" w:themeColor="text1"/>
        </w:rPr>
        <w:lastRenderedPageBreak/>
        <w:t>加控制室内受照剂量和摆位时受照剂量（表</w:t>
      </w:r>
      <w:r w:rsidRPr="00B12FE0">
        <w:rPr>
          <w:color w:val="000000" w:themeColor="text1"/>
        </w:rPr>
        <w:t>11.2.2.1-18</w:t>
      </w:r>
      <w:r w:rsidRPr="00B12FE0">
        <w:rPr>
          <w:color w:val="000000" w:themeColor="text1"/>
        </w:rPr>
        <w:t>）后，辐射工作人员年有效剂量最大估算值为</w:t>
      </w:r>
      <w:r w:rsidRPr="00B12FE0">
        <w:rPr>
          <w:color w:val="000000" w:themeColor="text1"/>
        </w:rPr>
        <w:t>1.14E-05</w:t>
      </w:r>
      <w:r w:rsidRPr="00B12FE0">
        <w:rPr>
          <w:rFonts w:cs="宋体"/>
          <w:color w:val="000000" w:themeColor="text1"/>
        </w:rPr>
        <w:t>+</w:t>
      </w:r>
      <w:r w:rsidRPr="00B12FE0">
        <w:rPr>
          <w:rFonts w:hint="eastAsia"/>
          <w:color w:val="000000" w:themeColor="text1"/>
        </w:rPr>
        <w:t>2.23</w:t>
      </w:r>
      <w:r w:rsidRPr="00B12FE0">
        <w:rPr>
          <w:color w:val="000000" w:themeColor="text1"/>
        </w:rPr>
        <w:t>E-0</w:t>
      </w:r>
      <w:r w:rsidRPr="00B12FE0">
        <w:rPr>
          <w:rFonts w:hint="eastAsia"/>
          <w:color w:val="000000" w:themeColor="text1"/>
        </w:rPr>
        <w:t>1</w:t>
      </w:r>
      <w:r w:rsidRPr="00B12FE0">
        <w:rPr>
          <w:rFonts w:cs="宋体"/>
          <w:color w:val="000000" w:themeColor="text1"/>
        </w:rPr>
        <w:t>+</w:t>
      </w:r>
      <w:r w:rsidRPr="00B12FE0">
        <w:rPr>
          <w:bCs/>
          <w:color w:val="000000" w:themeColor="text1"/>
          <w:szCs w:val="28"/>
        </w:rPr>
        <w:t>0.84</w:t>
      </w:r>
      <w:r w:rsidRPr="00B12FE0">
        <w:rPr>
          <w:rFonts w:cs="宋体"/>
          <w:color w:val="000000" w:themeColor="text1"/>
        </w:rPr>
        <w:t>=</w:t>
      </w:r>
      <w:r w:rsidRPr="00B12FE0">
        <w:rPr>
          <w:rFonts w:cs="宋体" w:hint="eastAsia"/>
          <w:color w:val="000000" w:themeColor="text1"/>
        </w:rPr>
        <w:t>1.06</w:t>
      </w:r>
      <w:r w:rsidRPr="00B12FE0">
        <w:rPr>
          <w:rFonts w:cs="宋体"/>
          <w:bCs/>
          <w:color w:val="000000" w:themeColor="text1"/>
        </w:rPr>
        <w:t>mSv</w:t>
      </w:r>
      <w:r w:rsidRPr="00B12FE0">
        <w:rPr>
          <w:color w:val="000000" w:themeColor="text1"/>
        </w:rPr>
        <w:t>，</w:t>
      </w:r>
      <w:r w:rsidRPr="00B12FE0">
        <w:rPr>
          <w:rFonts w:cs="宋体"/>
          <w:color w:val="000000" w:themeColor="text1"/>
        </w:rPr>
        <w:t>满足辐射工作人员</w:t>
      </w:r>
      <w:r w:rsidRPr="00B12FE0">
        <w:rPr>
          <w:rFonts w:cs="宋体"/>
          <w:bCs/>
          <w:color w:val="000000" w:themeColor="text1"/>
          <w:szCs w:val="28"/>
        </w:rPr>
        <w:t>年有效年剂量约束值不超过</w:t>
      </w:r>
      <w:r w:rsidRPr="00B12FE0">
        <w:rPr>
          <w:rFonts w:cs="宋体"/>
          <w:bCs/>
          <w:color w:val="000000" w:themeColor="text1"/>
          <w:szCs w:val="28"/>
        </w:rPr>
        <w:t>5mSv</w:t>
      </w:r>
      <w:r w:rsidRPr="00B12FE0">
        <w:rPr>
          <w:rFonts w:cs="宋体"/>
          <w:bCs/>
          <w:color w:val="000000" w:themeColor="text1"/>
          <w:szCs w:val="28"/>
        </w:rPr>
        <w:t>的要求</w:t>
      </w:r>
      <w:r w:rsidRPr="00B12FE0">
        <w:rPr>
          <w:rFonts w:cs="宋体"/>
          <w:color w:val="000000" w:themeColor="text1"/>
        </w:rPr>
        <w:t>。</w:t>
      </w:r>
    </w:p>
    <w:p w14:paraId="03F51AF7" w14:textId="77777777" w:rsidR="00A67F21" w:rsidRPr="00B12FE0" w:rsidRDefault="00000000">
      <w:pPr>
        <w:numPr>
          <w:ilvl w:val="0"/>
          <w:numId w:val="12"/>
        </w:numPr>
        <w:overflowPunct w:val="0"/>
        <w:autoSpaceDE w:val="0"/>
        <w:autoSpaceDN w:val="0"/>
        <w:adjustRightInd w:val="0"/>
        <w:snapToGrid w:val="0"/>
        <w:spacing w:line="360" w:lineRule="auto"/>
        <w:rPr>
          <w:rFonts w:cs="宋体"/>
          <w:color w:val="000000" w:themeColor="text1"/>
          <w:szCs w:val="24"/>
        </w:rPr>
      </w:pPr>
      <w:r w:rsidRPr="00B12FE0">
        <w:rPr>
          <w:rFonts w:cs="宋体"/>
          <w:color w:val="000000" w:themeColor="text1"/>
          <w:szCs w:val="24"/>
        </w:rPr>
        <w:t>公众年有效剂量</w:t>
      </w:r>
    </w:p>
    <w:p w14:paraId="6D182F6C" w14:textId="77777777" w:rsidR="00A67F21" w:rsidRPr="00B12FE0" w:rsidRDefault="00000000">
      <w:pPr>
        <w:overflowPunct w:val="0"/>
        <w:autoSpaceDE w:val="0"/>
        <w:autoSpaceDN w:val="0"/>
        <w:adjustRightInd w:val="0"/>
        <w:snapToGrid w:val="0"/>
        <w:spacing w:line="360" w:lineRule="auto"/>
        <w:ind w:firstLineChars="200" w:firstLine="480"/>
        <w:rPr>
          <w:color w:val="000000" w:themeColor="text1"/>
        </w:rPr>
      </w:pPr>
      <w:r w:rsidRPr="00B12FE0">
        <w:rPr>
          <w:color w:val="000000" w:themeColor="text1"/>
        </w:rPr>
        <w:t>由前文计算可知，本项目后装机运行过程中公众</w:t>
      </w:r>
      <w:r w:rsidRPr="00B12FE0">
        <w:rPr>
          <w:rFonts w:cs="宋体"/>
          <w:color w:val="000000" w:themeColor="text1"/>
        </w:rPr>
        <w:t>年有效剂量最大估算值</w:t>
      </w:r>
      <w:r w:rsidRPr="00B12FE0">
        <w:rPr>
          <w:color w:val="000000" w:themeColor="text1"/>
        </w:rPr>
        <w:t>为</w:t>
      </w:r>
      <w:r w:rsidRPr="00B12FE0">
        <w:rPr>
          <w:color w:val="000000" w:themeColor="text1"/>
        </w:rPr>
        <w:t>7.00E-02mSv</w:t>
      </w:r>
      <w:r w:rsidRPr="00B12FE0">
        <w:rPr>
          <w:color w:val="000000" w:themeColor="text1"/>
        </w:rPr>
        <w:t>，为防护门外公众</w:t>
      </w:r>
      <w:r w:rsidRPr="00B12FE0">
        <w:rPr>
          <w:rFonts w:hint="eastAsia"/>
          <w:color w:val="000000" w:themeColor="text1"/>
        </w:rPr>
        <w:t>，</w:t>
      </w:r>
      <w:r w:rsidRPr="00B12FE0">
        <w:rPr>
          <w:rFonts w:cs="宋体"/>
          <w:color w:val="000000" w:themeColor="text1"/>
          <w:spacing w:val="-2"/>
        </w:rPr>
        <w:t>满足本项目公众成员年有效剂量约束值不超过</w:t>
      </w:r>
      <w:r w:rsidRPr="00B12FE0">
        <w:rPr>
          <w:rFonts w:cs="宋体"/>
          <w:color w:val="000000" w:themeColor="text1"/>
          <w:spacing w:val="-2"/>
        </w:rPr>
        <w:t>0.1mSv</w:t>
      </w:r>
      <w:r w:rsidRPr="00B12FE0">
        <w:rPr>
          <w:rFonts w:cs="宋体"/>
          <w:color w:val="000000" w:themeColor="text1"/>
          <w:spacing w:val="-2"/>
        </w:rPr>
        <w:t>的要求。</w:t>
      </w:r>
    </w:p>
    <w:p w14:paraId="53E03D31" w14:textId="77777777" w:rsidR="00A67F21" w:rsidRPr="00B12FE0" w:rsidRDefault="00000000">
      <w:pPr>
        <w:kinsoku w:val="0"/>
        <w:overflowPunct w:val="0"/>
        <w:autoSpaceDE w:val="0"/>
        <w:autoSpaceDN w:val="0"/>
        <w:adjustRightInd w:val="0"/>
        <w:snapToGrid w:val="0"/>
        <w:spacing w:line="360" w:lineRule="auto"/>
        <w:ind w:firstLineChars="200" w:firstLine="482"/>
        <w:rPr>
          <w:b/>
          <w:bCs/>
          <w:color w:val="000000" w:themeColor="text1"/>
        </w:rPr>
      </w:pPr>
      <w:r w:rsidRPr="00B12FE0">
        <w:rPr>
          <w:b/>
          <w:bCs/>
          <w:color w:val="000000" w:themeColor="text1"/>
        </w:rPr>
        <w:t>综上所述，放疗科后装机机房辐射工作人员和周围的公众所受外照射年有效剂量符合《电离辐射防护与辐射源安全基本标准》（</w:t>
      </w:r>
      <w:r w:rsidRPr="00B12FE0">
        <w:rPr>
          <w:b/>
          <w:bCs/>
          <w:color w:val="000000" w:themeColor="text1"/>
        </w:rPr>
        <w:t>GB18871-2002</w:t>
      </w:r>
      <w:r w:rsidRPr="00B12FE0">
        <w:rPr>
          <w:b/>
          <w:bCs/>
          <w:color w:val="000000" w:themeColor="text1"/>
        </w:rPr>
        <w:t>）中关于</w:t>
      </w:r>
      <w:r w:rsidRPr="00B12FE0">
        <w:rPr>
          <w:b/>
          <w:bCs/>
          <w:color w:val="000000" w:themeColor="text1"/>
        </w:rPr>
        <w:t>“</w:t>
      </w:r>
      <w:r w:rsidRPr="00B12FE0">
        <w:rPr>
          <w:b/>
          <w:bCs/>
          <w:color w:val="000000" w:themeColor="text1"/>
        </w:rPr>
        <w:t>限值</w:t>
      </w:r>
      <w:r w:rsidRPr="00B12FE0">
        <w:rPr>
          <w:b/>
          <w:bCs/>
          <w:color w:val="000000" w:themeColor="text1"/>
        </w:rPr>
        <w:t>”</w:t>
      </w:r>
      <w:r w:rsidRPr="00B12FE0">
        <w:rPr>
          <w:b/>
          <w:bCs/>
          <w:color w:val="000000" w:themeColor="text1"/>
        </w:rPr>
        <w:t>的要求和《放射治疗辐射安全与防护要求》（</w:t>
      </w:r>
      <w:r w:rsidRPr="00B12FE0">
        <w:rPr>
          <w:b/>
          <w:bCs/>
          <w:color w:val="000000" w:themeColor="text1"/>
        </w:rPr>
        <w:t>HJ1198-2021</w:t>
      </w:r>
      <w:r w:rsidRPr="00B12FE0">
        <w:rPr>
          <w:b/>
          <w:bCs/>
          <w:color w:val="000000" w:themeColor="text1"/>
        </w:rPr>
        <w:t>）中关于剂量约束值的要求。</w:t>
      </w:r>
    </w:p>
    <w:p w14:paraId="5C985D7C" w14:textId="77777777" w:rsidR="00A67F21" w:rsidRPr="00B12FE0" w:rsidRDefault="00000000">
      <w:pPr>
        <w:adjustRightInd w:val="0"/>
        <w:spacing w:line="360" w:lineRule="auto"/>
        <w:ind w:firstLine="480"/>
        <w:jc w:val="left"/>
        <w:rPr>
          <w:b/>
          <w:bCs/>
          <w:color w:val="000000" w:themeColor="text1"/>
        </w:rPr>
      </w:pPr>
      <w:r w:rsidRPr="00B12FE0">
        <w:rPr>
          <w:b/>
          <w:bCs/>
          <w:color w:val="000000" w:themeColor="text1"/>
        </w:rPr>
        <w:t>（</w:t>
      </w:r>
      <w:r w:rsidRPr="00B12FE0">
        <w:rPr>
          <w:b/>
          <w:bCs/>
          <w:color w:val="000000" w:themeColor="text1"/>
        </w:rPr>
        <w:t>8</w:t>
      </w:r>
      <w:r w:rsidRPr="00B12FE0">
        <w:rPr>
          <w:b/>
          <w:bCs/>
          <w:color w:val="000000" w:themeColor="text1"/>
        </w:rPr>
        <w:t>）其他环境影响分析</w:t>
      </w:r>
    </w:p>
    <w:p w14:paraId="5C475256" w14:textId="77777777" w:rsidR="00A67F21" w:rsidRPr="00B12FE0" w:rsidRDefault="00000000">
      <w:pPr>
        <w:adjustRightInd w:val="0"/>
        <w:spacing w:line="360" w:lineRule="auto"/>
        <w:ind w:firstLine="480"/>
        <w:jc w:val="left"/>
        <w:rPr>
          <w:color w:val="000000" w:themeColor="text1"/>
        </w:rPr>
      </w:pPr>
      <w:r w:rsidRPr="00B12FE0">
        <w:rPr>
          <w:rFonts w:ascii="Cambria Math" w:hAnsi="Cambria Math" w:cs="Cambria Math"/>
          <w:color w:val="000000" w:themeColor="text1"/>
        </w:rPr>
        <w:t>①</w:t>
      </w:r>
      <w:r w:rsidRPr="00B12FE0">
        <w:rPr>
          <w:color w:val="000000" w:themeColor="text1"/>
        </w:rPr>
        <w:t>放射性固体废物</w:t>
      </w:r>
    </w:p>
    <w:p w14:paraId="372E837C" w14:textId="77777777" w:rsidR="00A67F21" w:rsidRPr="00B12FE0" w:rsidRDefault="00000000">
      <w:pPr>
        <w:adjustRightInd w:val="0"/>
        <w:spacing w:line="360" w:lineRule="auto"/>
        <w:ind w:firstLine="480"/>
        <w:jc w:val="left"/>
        <w:rPr>
          <w:color w:val="000000" w:themeColor="text1"/>
        </w:rPr>
      </w:pPr>
      <w:r w:rsidRPr="00B12FE0">
        <w:rPr>
          <w:color w:val="000000" w:themeColor="text1"/>
        </w:rPr>
        <w:t>本项目废</w:t>
      </w:r>
      <w:r w:rsidRPr="00B12FE0">
        <w:rPr>
          <w:color w:val="000000" w:themeColor="text1"/>
          <w:vertAlign w:val="superscript"/>
        </w:rPr>
        <w:t>192</w:t>
      </w:r>
      <w:r w:rsidRPr="00B12FE0">
        <w:rPr>
          <w:color w:val="000000" w:themeColor="text1"/>
        </w:rPr>
        <w:t>Ir</w:t>
      </w:r>
      <w:r w:rsidRPr="00B12FE0">
        <w:rPr>
          <w:color w:val="000000" w:themeColor="text1"/>
        </w:rPr>
        <w:t>放射源按照废旧放射源返回合同规定，交回生产单位或者返回原出口方，对周边环境无影响。</w:t>
      </w:r>
    </w:p>
    <w:p w14:paraId="0E770883" w14:textId="77777777" w:rsidR="00A67F21" w:rsidRPr="00B12FE0" w:rsidRDefault="00000000">
      <w:pPr>
        <w:adjustRightInd w:val="0"/>
        <w:spacing w:line="360" w:lineRule="auto"/>
        <w:ind w:firstLine="480"/>
        <w:jc w:val="left"/>
        <w:rPr>
          <w:color w:val="000000" w:themeColor="text1"/>
        </w:rPr>
      </w:pPr>
      <w:r w:rsidRPr="00B12FE0">
        <w:rPr>
          <w:rFonts w:ascii="Cambria Math" w:hAnsi="Cambria Math" w:cs="Cambria Math"/>
          <w:color w:val="000000" w:themeColor="text1"/>
        </w:rPr>
        <w:t>②</w:t>
      </w:r>
      <w:r w:rsidRPr="00B12FE0">
        <w:rPr>
          <w:color w:val="000000" w:themeColor="text1"/>
        </w:rPr>
        <w:t>β</w:t>
      </w:r>
      <w:r w:rsidRPr="00B12FE0">
        <w:rPr>
          <w:color w:val="000000" w:themeColor="text1"/>
        </w:rPr>
        <w:t>射线</w:t>
      </w:r>
    </w:p>
    <w:p w14:paraId="078E429D" w14:textId="77777777" w:rsidR="00A67F21" w:rsidRPr="00B12FE0" w:rsidRDefault="00000000">
      <w:pPr>
        <w:adjustRightInd w:val="0"/>
        <w:spacing w:line="360" w:lineRule="auto"/>
        <w:ind w:firstLine="480"/>
        <w:jc w:val="left"/>
        <w:rPr>
          <w:color w:val="000000" w:themeColor="text1"/>
          <w:spacing w:val="-1"/>
        </w:rPr>
      </w:pPr>
      <w:r w:rsidRPr="00B12FE0">
        <w:rPr>
          <w:color w:val="000000" w:themeColor="text1"/>
          <w:spacing w:val="-1"/>
          <w:vertAlign w:val="superscript"/>
        </w:rPr>
        <w:t>192</w:t>
      </w:r>
      <w:r w:rsidRPr="00B12FE0">
        <w:rPr>
          <w:color w:val="000000" w:themeColor="text1"/>
          <w:spacing w:val="-1"/>
        </w:rPr>
        <w:t>Ir</w:t>
      </w:r>
      <w:r w:rsidRPr="00B12FE0">
        <w:rPr>
          <w:color w:val="000000" w:themeColor="text1"/>
          <w:spacing w:val="-1"/>
        </w:rPr>
        <w:t>放射源衰变产生的</w:t>
      </w:r>
      <w:r w:rsidRPr="00B12FE0">
        <w:rPr>
          <w:color w:val="000000" w:themeColor="text1"/>
          <w:spacing w:val="-1"/>
        </w:rPr>
        <w:t>β</w:t>
      </w:r>
      <w:r w:rsidRPr="00B12FE0">
        <w:rPr>
          <w:color w:val="000000" w:themeColor="text1"/>
          <w:spacing w:val="-1"/>
        </w:rPr>
        <w:t>射线比</w:t>
      </w:r>
      <w:r w:rsidRPr="00B12FE0">
        <w:rPr>
          <w:color w:val="000000" w:themeColor="text1"/>
          <w:spacing w:val="-1"/>
        </w:rPr>
        <w:t>γ</w:t>
      </w:r>
      <w:r w:rsidRPr="00B12FE0">
        <w:rPr>
          <w:color w:val="000000" w:themeColor="text1"/>
          <w:spacing w:val="-1"/>
        </w:rPr>
        <w:t>射线穿透力弱很多，在空气中传播距离很短，经治疗室墙体屏蔽后，对周边环境影响较</w:t>
      </w:r>
      <w:r w:rsidRPr="00B12FE0">
        <w:rPr>
          <w:color w:val="000000" w:themeColor="text1"/>
          <w:spacing w:val="-1"/>
        </w:rPr>
        <w:t>γ</w:t>
      </w:r>
      <w:r w:rsidRPr="00B12FE0">
        <w:rPr>
          <w:color w:val="000000" w:themeColor="text1"/>
          <w:spacing w:val="-1"/>
        </w:rPr>
        <w:t>射线可以忽略。</w:t>
      </w:r>
    </w:p>
    <w:p w14:paraId="779E3D46" w14:textId="77777777" w:rsidR="00A67F21" w:rsidRPr="00B12FE0" w:rsidRDefault="00000000">
      <w:pPr>
        <w:adjustRightInd w:val="0"/>
        <w:spacing w:line="360" w:lineRule="auto"/>
        <w:ind w:firstLine="420"/>
        <w:jc w:val="left"/>
        <w:rPr>
          <w:color w:val="000000" w:themeColor="text1"/>
          <w:spacing w:val="-1"/>
          <w:szCs w:val="24"/>
        </w:rPr>
      </w:pPr>
      <w:r w:rsidRPr="00B12FE0">
        <w:rPr>
          <w:rFonts w:ascii="Cambria Math" w:hAnsi="Cambria Math" w:cs="Cambria Math"/>
          <w:color w:val="000000" w:themeColor="text1"/>
          <w:szCs w:val="24"/>
        </w:rPr>
        <w:t>③</w:t>
      </w:r>
      <w:r w:rsidRPr="00B12FE0">
        <w:rPr>
          <w:color w:val="000000" w:themeColor="text1"/>
          <w:szCs w:val="24"/>
        </w:rPr>
        <w:t>废气</w:t>
      </w:r>
    </w:p>
    <w:p w14:paraId="0CA1A822" w14:textId="77777777" w:rsidR="00A67F21" w:rsidRPr="00B12FE0" w:rsidRDefault="00000000">
      <w:pPr>
        <w:snapToGrid w:val="0"/>
        <w:spacing w:line="360" w:lineRule="auto"/>
        <w:ind w:firstLineChars="200" w:firstLine="480"/>
        <w:contextualSpacing/>
        <w:rPr>
          <w:rFonts w:cs="宋体"/>
          <w:color w:val="000000" w:themeColor="text1"/>
        </w:rPr>
      </w:pPr>
      <w:r w:rsidRPr="00B12FE0">
        <w:rPr>
          <w:rFonts w:cs="宋体"/>
          <w:color w:val="000000" w:themeColor="text1"/>
          <w:kern w:val="0"/>
        </w:rPr>
        <w:t>后装机运行过程中，治疗室空气中会产生一定的臭氧和氮氧化物。据</w:t>
      </w:r>
      <w:r w:rsidRPr="00B12FE0">
        <w:rPr>
          <w:rFonts w:cs="宋体"/>
          <w:color w:val="000000" w:themeColor="text1"/>
        </w:rPr>
        <w:t>《放射治疗辐射安全与防护要求》（</w:t>
      </w:r>
      <w:r w:rsidRPr="00B12FE0">
        <w:rPr>
          <w:rFonts w:cs="宋体"/>
          <w:color w:val="000000" w:themeColor="text1"/>
        </w:rPr>
        <w:t>HJ1198-2021</w:t>
      </w:r>
      <w:r w:rsidRPr="00B12FE0">
        <w:rPr>
          <w:rFonts w:cs="宋体"/>
          <w:color w:val="000000" w:themeColor="text1"/>
        </w:rPr>
        <w:t>）</w:t>
      </w:r>
      <w:r w:rsidRPr="00B12FE0">
        <w:rPr>
          <w:rFonts w:cs="宋体"/>
          <w:color w:val="000000" w:themeColor="text1"/>
          <w:kern w:val="0"/>
        </w:rPr>
        <w:t>要求，治疗室的通风换气次数应不小于</w:t>
      </w:r>
      <w:r w:rsidRPr="00B12FE0">
        <w:rPr>
          <w:rFonts w:cs="宋体"/>
          <w:color w:val="000000" w:themeColor="text1"/>
          <w:kern w:val="0"/>
        </w:rPr>
        <w:t>4</w:t>
      </w:r>
      <w:r w:rsidRPr="00B12FE0">
        <w:rPr>
          <w:rFonts w:cs="宋体"/>
          <w:color w:val="000000" w:themeColor="text1"/>
          <w:kern w:val="0"/>
        </w:rPr>
        <w:t>次</w:t>
      </w:r>
      <w:r w:rsidRPr="00B12FE0">
        <w:rPr>
          <w:rFonts w:cs="宋体"/>
          <w:color w:val="000000" w:themeColor="text1"/>
          <w:kern w:val="0"/>
        </w:rPr>
        <w:t>/</w:t>
      </w:r>
      <w:r w:rsidRPr="00B12FE0">
        <w:rPr>
          <w:rFonts w:cs="宋体"/>
          <w:color w:val="000000" w:themeColor="text1"/>
          <w:kern w:val="0"/>
        </w:rPr>
        <w:t>小时。本项目后装机房治疗室</w:t>
      </w:r>
      <w:r w:rsidRPr="00B12FE0">
        <w:rPr>
          <w:rFonts w:cs="宋体"/>
          <w:color w:val="000000" w:themeColor="text1"/>
        </w:rPr>
        <w:t>拟安装有效通风量不小于</w:t>
      </w:r>
      <w:r w:rsidRPr="00B12FE0">
        <w:rPr>
          <w:rFonts w:cs="宋体" w:hint="eastAsia"/>
          <w:color w:val="000000" w:themeColor="text1"/>
        </w:rPr>
        <w:t>20</w:t>
      </w:r>
      <w:r w:rsidRPr="00B12FE0">
        <w:rPr>
          <w:rFonts w:cs="宋体"/>
          <w:color w:val="000000" w:themeColor="text1"/>
        </w:rPr>
        <w:t>00m</w:t>
      </w:r>
      <w:r w:rsidRPr="00B12FE0">
        <w:rPr>
          <w:rFonts w:cs="宋体"/>
          <w:color w:val="000000" w:themeColor="text1"/>
          <w:vertAlign w:val="superscript"/>
        </w:rPr>
        <w:t>3</w:t>
      </w:r>
      <w:r w:rsidRPr="00B12FE0">
        <w:rPr>
          <w:rFonts w:cs="宋体"/>
          <w:color w:val="000000" w:themeColor="text1"/>
        </w:rPr>
        <w:t>/h</w:t>
      </w:r>
      <w:r w:rsidRPr="00B12FE0">
        <w:rPr>
          <w:rFonts w:cs="宋体"/>
          <w:color w:val="000000" w:themeColor="text1"/>
        </w:rPr>
        <w:t>的风机进行通风，后装机房有效容积约</w:t>
      </w:r>
      <w:r w:rsidRPr="00B12FE0">
        <w:rPr>
          <w:rFonts w:cs="宋体" w:hint="eastAsia"/>
          <w:color w:val="000000" w:themeColor="text1"/>
        </w:rPr>
        <w:t>443</w:t>
      </w:r>
      <w:r w:rsidRPr="00B12FE0">
        <w:rPr>
          <w:rFonts w:cs="宋体"/>
          <w:color w:val="000000" w:themeColor="text1"/>
        </w:rPr>
        <w:t>m</w:t>
      </w:r>
      <w:r w:rsidRPr="00B12FE0">
        <w:rPr>
          <w:rFonts w:cs="宋体"/>
          <w:color w:val="000000" w:themeColor="text1"/>
          <w:vertAlign w:val="superscript"/>
        </w:rPr>
        <w:t>3</w:t>
      </w:r>
      <w:r w:rsidRPr="00B12FE0">
        <w:rPr>
          <w:rFonts w:cs="宋体"/>
          <w:color w:val="000000" w:themeColor="text1"/>
        </w:rPr>
        <w:t>，通风换气次数不小于</w:t>
      </w:r>
      <w:r w:rsidRPr="00B12FE0">
        <w:rPr>
          <w:rFonts w:cs="宋体" w:hint="eastAsia"/>
          <w:color w:val="000000" w:themeColor="text1"/>
        </w:rPr>
        <w:t>9</w:t>
      </w:r>
      <w:r w:rsidRPr="00B12FE0">
        <w:rPr>
          <w:rFonts w:cs="宋体"/>
          <w:color w:val="000000" w:themeColor="text1"/>
        </w:rPr>
        <w:t>次</w:t>
      </w:r>
      <w:r w:rsidRPr="00B12FE0">
        <w:rPr>
          <w:rFonts w:cs="宋体"/>
          <w:color w:val="000000" w:themeColor="text1"/>
        </w:rPr>
        <w:t>/h</w:t>
      </w:r>
      <w:r w:rsidRPr="00B12FE0">
        <w:rPr>
          <w:rFonts w:cs="宋体"/>
          <w:color w:val="000000" w:themeColor="text1"/>
          <w:kern w:val="0"/>
        </w:rPr>
        <w:t>。</w:t>
      </w:r>
      <w:r w:rsidRPr="00B12FE0">
        <w:rPr>
          <w:rFonts w:cs="宋体"/>
          <w:color w:val="000000" w:themeColor="text1"/>
        </w:rPr>
        <w:t>满足</w:t>
      </w:r>
      <w:r w:rsidRPr="00B12FE0">
        <w:rPr>
          <w:rFonts w:cs="宋体"/>
          <w:color w:val="000000" w:themeColor="text1"/>
          <w:kern w:val="0"/>
        </w:rPr>
        <w:t>《放射治疗辐射安全与防护要求》（</w:t>
      </w:r>
      <w:r w:rsidRPr="00B12FE0">
        <w:rPr>
          <w:rFonts w:cs="宋体"/>
          <w:color w:val="000000" w:themeColor="text1"/>
          <w:kern w:val="0"/>
        </w:rPr>
        <w:t>HJ1198-2021</w:t>
      </w:r>
      <w:r w:rsidRPr="00B12FE0">
        <w:rPr>
          <w:rFonts w:cs="宋体"/>
          <w:color w:val="000000" w:themeColor="text1"/>
          <w:kern w:val="0"/>
        </w:rPr>
        <w:t>）</w:t>
      </w:r>
      <w:r w:rsidRPr="00B12FE0">
        <w:rPr>
          <w:rFonts w:cs="宋体"/>
          <w:color w:val="000000" w:themeColor="text1"/>
        </w:rPr>
        <w:t>中</w:t>
      </w:r>
      <w:r w:rsidRPr="00B12FE0">
        <w:rPr>
          <w:rFonts w:ascii="宋体" w:hAnsi="宋体" w:cs="宋体"/>
          <w:color w:val="000000" w:themeColor="text1"/>
        </w:rPr>
        <w:t>“</w:t>
      </w:r>
      <w:r w:rsidRPr="00B12FE0">
        <w:rPr>
          <w:rFonts w:cs="宋体"/>
          <w:color w:val="000000" w:themeColor="text1"/>
        </w:rPr>
        <w:t>治疗室通风换气次数应不小于</w:t>
      </w:r>
      <w:r w:rsidRPr="00B12FE0">
        <w:rPr>
          <w:rFonts w:cs="宋体"/>
          <w:color w:val="000000" w:themeColor="text1"/>
        </w:rPr>
        <w:t>4</w:t>
      </w:r>
      <w:r w:rsidRPr="00B12FE0">
        <w:rPr>
          <w:rFonts w:cs="宋体"/>
          <w:color w:val="000000" w:themeColor="text1"/>
        </w:rPr>
        <w:t>次</w:t>
      </w:r>
      <w:r w:rsidRPr="00B12FE0">
        <w:rPr>
          <w:rFonts w:cs="宋体"/>
          <w:color w:val="000000" w:themeColor="text1"/>
        </w:rPr>
        <w:t>/h</w:t>
      </w:r>
      <w:r w:rsidRPr="00B12FE0">
        <w:rPr>
          <w:rFonts w:ascii="宋体" w:hAnsi="宋体" w:cs="宋体"/>
          <w:color w:val="000000" w:themeColor="text1"/>
        </w:rPr>
        <w:t>”</w:t>
      </w:r>
      <w:r w:rsidRPr="00B12FE0">
        <w:rPr>
          <w:rFonts w:cs="宋体"/>
          <w:color w:val="000000" w:themeColor="text1"/>
        </w:rPr>
        <w:t>的要求。臭氧和氮氧化物排入大气环境后，经自然分解，可达标排放，对周围环境影响较小。</w:t>
      </w:r>
    </w:p>
    <w:p w14:paraId="30BBE403" w14:textId="77777777" w:rsidR="00A67F21" w:rsidRPr="00B12FE0" w:rsidRDefault="00000000">
      <w:pPr>
        <w:snapToGrid w:val="0"/>
        <w:spacing w:line="360" w:lineRule="auto"/>
        <w:rPr>
          <w:b/>
          <w:color w:val="000000" w:themeColor="text1"/>
          <w:szCs w:val="24"/>
        </w:rPr>
      </w:pPr>
      <w:r w:rsidRPr="00B12FE0">
        <w:rPr>
          <w:b/>
          <w:color w:val="000000" w:themeColor="text1"/>
          <w:szCs w:val="24"/>
        </w:rPr>
        <w:t>11.2.2.3</w:t>
      </w:r>
      <w:r w:rsidRPr="00B12FE0">
        <w:rPr>
          <w:rFonts w:hint="eastAsia"/>
          <w:b/>
          <w:color w:val="000000" w:themeColor="text1"/>
          <w:szCs w:val="24"/>
        </w:rPr>
        <w:t>放疗科模拟定位</w:t>
      </w:r>
      <w:r w:rsidRPr="00B12FE0">
        <w:rPr>
          <w:b/>
          <w:color w:val="000000" w:themeColor="text1"/>
          <w:szCs w:val="24"/>
        </w:rPr>
        <w:t>CT</w:t>
      </w:r>
      <w:r w:rsidRPr="00B12FE0">
        <w:rPr>
          <w:rFonts w:hint="eastAsia"/>
          <w:b/>
          <w:color w:val="000000" w:themeColor="text1"/>
          <w:szCs w:val="24"/>
        </w:rPr>
        <w:t>运行阶段环境影响分析</w:t>
      </w:r>
    </w:p>
    <w:p w14:paraId="332721C1" w14:textId="77777777" w:rsidR="00A67F21" w:rsidRPr="00B12FE0" w:rsidRDefault="00000000">
      <w:pPr>
        <w:spacing w:line="360" w:lineRule="auto"/>
        <w:ind w:firstLineChars="200" w:firstLine="482"/>
        <w:rPr>
          <w:color w:val="000000" w:themeColor="text1"/>
        </w:rPr>
      </w:pPr>
      <w:r w:rsidRPr="00B12FE0">
        <w:rPr>
          <w:rFonts w:hint="eastAsia"/>
          <w:b/>
          <w:bCs/>
          <w:color w:val="000000" w:themeColor="text1"/>
        </w:rPr>
        <w:t>（</w:t>
      </w:r>
      <w:r w:rsidRPr="00B12FE0">
        <w:rPr>
          <w:b/>
          <w:bCs/>
          <w:color w:val="000000" w:themeColor="text1"/>
        </w:rPr>
        <w:t>1</w:t>
      </w:r>
      <w:r w:rsidRPr="00B12FE0">
        <w:rPr>
          <w:rFonts w:hint="eastAsia"/>
          <w:b/>
          <w:bCs/>
          <w:color w:val="000000" w:themeColor="text1"/>
        </w:rPr>
        <w:t>）机房周围辐射剂量率估算</w:t>
      </w:r>
    </w:p>
    <w:p w14:paraId="7F46BAB5" w14:textId="77777777" w:rsidR="00A67F21" w:rsidRPr="00B12FE0" w:rsidRDefault="00000000">
      <w:pPr>
        <w:spacing w:line="360" w:lineRule="auto"/>
        <w:ind w:firstLine="480"/>
        <w:rPr>
          <w:color w:val="000000" w:themeColor="text1"/>
          <w:szCs w:val="24"/>
        </w:rPr>
      </w:pPr>
      <w:r w:rsidRPr="00B12FE0">
        <w:rPr>
          <w:rFonts w:hint="eastAsia"/>
          <w:color w:val="000000" w:themeColor="text1"/>
          <w:szCs w:val="24"/>
        </w:rPr>
        <w:t>本项目所使用的</w:t>
      </w:r>
      <w:r w:rsidRPr="00B12FE0">
        <w:rPr>
          <w:rFonts w:hint="eastAsia"/>
          <w:color w:val="000000" w:themeColor="text1"/>
        </w:rPr>
        <w:t>模拟定位</w:t>
      </w:r>
      <w:r w:rsidRPr="00B12FE0">
        <w:rPr>
          <w:rFonts w:hint="eastAsia"/>
          <w:color w:val="000000" w:themeColor="text1"/>
        </w:rPr>
        <w:t>CT</w:t>
      </w:r>
      <w:r w:rsidRPr="00B12FE0">
        <w:rPr>
          <w:rFonts w:hint="eastAsia"/>
          <w:color w:val="000000" w:themeColor="text1"/>
          <w:szCs w:val="24"/>
        </w:rPr>
        <w:t>型号未定，所使用的</w:t>
      </w:r>
      <w:r w:rsidRPr="00B12FE0">
        <w:rPr>
          <w:color w:val="000000" w:themeColor="text1"/>
          <w:szCs w:val="24"/>
        </w:rPr>
        <w:t>CT</w:t>
      </w:r>
      <w:r w:rsidRPr="00B12FE0">
        <w:rPr>
          <w:rFonts w:hint="eastAsia"/>
          <w:color w:val="000000" w:themeColor="text1"/>
          <w:szCs w:val="24"/>
        </w:rPr>
        <w:t>额定管电压均为</w:t>
      </w:r>
      <w:r w:rsidRPr="00B12FE0">
        <w:rPr>
          <w:color w:val="000000" w:themeColor="text1"/>
          <w:szCs w:val="24"/>
        </w:rPr>
        <w:t>140kV</w:t>
      </w:r>
      <w:r w:rsidRPr="00B12FE0">
        <w:rPr>
          <w:rFonts w:hint="eastAsia"/>
          <w:color w:val="000000" w:themeColor="text1"/>
          <w:szCs w:val="24"/>
        </w:rPr>
        <w:t>，由于</w:t>
      </w:r>
      <w:r w:rsidRPr="00B12FE0">
        <w:rPr>
          <w:color w:val="000000" w:themeColor="text1"/>
          <w:szCs w:val="24"/>
        </w:rPr>
        <w:t>CT</w:t>
      </w:r>
      <w:r w:rsidRPr="00B12FE0">
        <w:rPr>
          <w:rFonts w:hint="eastAsia"/>
          <w:color w:val="000000" w:themeColor="text1"/>
          <w:szCs w:val="24"/>
        </w:rPr>
        <w:t>自身带有屏蔽系统，机房周围主要受泄漏辐射影响，根据《医用电气设备</w:t>
      </w:r>
      <w:r w:rsidRPr="00B12FE0">
        <w:rPr>
          <w:color w:val="000000" w:themeColor="text1"/>
          <w:szCs w:val="24"/>
        </w:rPr>
        <w:t xml:space="preserve"> </w:t>
      </w:r>
      <w:r w:rsidRPr="00B12FE0">
        <w:rPr>
          <w:rFonts w:hint="eastAsia"/>
          <w:color w:val="000000" w:themeColor="text1"/>
          <w:szCs w:val="24"/>
        </w:rPr>
        <w:t>第</w:t>
      </w:r>
      <w:r w:rsidRPr="00B12FE0">
        <w:rPr>
          <w:color w:val="000000" w:themeColor="text1"/>
          <w:szCs w:val="24"/>
        </w:rPr>
        <w:t>1-3</w:t>
      </w:r>
      <w:r w:rsidRPr="00B12FE0">
        <w:rPr>
          <w:rFonts w:hint="eastAsia"/>
          <w:color w:val="000000" w:themeColor="text1"/>
          <w:szCs w:val="24"/>
        </w:rPr>
        <w:t>部分：基本安全和基本性能的通用要求</w:t>
      </w:r>
      <w:r w:rsidRPr="00B12FE0">
        <w:rPr>
          <w:color w:val="000000" w:themeColor="text1"/>
          <w:szCs w:val="24"/>
        </w:rPr>
        <w:t xml:space="preserve"> </w:t>
      </w:r>
      <w:r w:rsidRPr="00B12FE0">
        <w:rPr>
          <w:rFonts w:hint="eastAsia"/>
          <w:color w:val="000000" w:themeColor="text1"/>
          <w:szCs w:val="24"/>
        </w:rPr>
        <w:t>并列标准：诊断</w:t>
      </w:r>
      <w:r w:rsidRPr="00B12FE0">
        <w:rPr>
          <w:color w:val="000000" w:themeColor="text1"/>
          <w:szCs w:val="24"/>
        </w:rPr>
        <w:t>X</w:t>
      </w:r>
      <w:r w:rsidRPr="00B12FE0">
        <w:rPr>
          <w:rFonts w:hint="eastAsia"/>
          <w:color w:val="000000" w:themeColor="text1"/>
          <w:szCs w:val="24"/>
        </w:rPr>
        <w:t>射线设备的辐射防护》（</w:t>
      </w:r>
      <w:r w:rsidRPr="00B12FE0">
        <w:rPr>
          <w:color w:val="000000" w:themeColor="text1"/>
          <w:szCs w:val="24"/>
        </w:rPr>
        <w:t>GB9706.103-2020</w:t>
      </w:r>
      <w:r w:rsidRPr="00B12FE0">
        <w:rPr>
          <w:rFonts w:hint="eastAsia"/>
          <w:color w:val="000000" w:themeColor="text1"/>
          <w:szCs w:val="24"/>
        </w:rPr>
        <w:t>）中“</w:t>
      </w:r>
      <w:r w:rsidRPr="00B12FE0">
        <w:rPr>
          <w:color w:val="000000" w:themeColor="text1"/>
          <w:szCs w:val="24"/>
        </w:rPr>
        <w:t xml:space="preserve">12.4 </w:t>
      </w:r>
      <w:r w:rsidRPr="00B12FE0">
        <w:rPr>
          <w:rFonts w:hint="eastAsia"/>
          <w:color w:val="000000" w:themeColor="text1"/>
          <w:szCs w:val="24"/>
        </w:rPr>
        <w:t>加载状态下的泄漏辐射</w:t>
      </w:r>
      <w:r w:rsidRPr="00B12FE0">
        <w:rPr>
          <w:color w:val="000000" w:themeColor="text1"/>
          <w:szCs w:val="24"/>
        </w:rPr>
        <w:t xml:space="preserve"> X</w:t>
      </w:r>
      <w:r w:rsidRPr="00B12FE0">
        <w:rPr>
          <w:rFonts w:hint="eastAsia"/>
          <w:color w:val="000000" w:themeColor="text1"/>
          <w:szCs w:val="24"/>
        </w:rPr>
        <w:t>射线管组件和</w:t>
      </w:r>
      <w:r w:rsidRPr="00B12FE0">
        <w:rPr>
          <w:color w:val="000000" w:themeColor="text1"/>
          <w:szCs w:val="24"/>
        </w:rPr>
        <w:t>X</w:t>
      </w:r>
      <w:r w:rsidRPr="00B12FE0">
        <w:rPr>
          <w:rFonts w:hint="eastAsia"/>
          <w:color w:val="000000" w:themeColor="text1"/>
          <w:szCs w:val="24"/>
        </w:rPr>
        <w:t>射线源组件在</w:t>
      </w:r>
      <w:r w:rsidRPr="00B12FE0">
        <w:rPr>
          <w:rFonts w:hint="eastAsia"/>
          <w:color w:val="000000" w:themeColor="text1"/>
          <w:szCs w:val="24"/>
        </w:rPr>
        <w:lastRenderedPageBreak/>
        <w:t>加载状态下的泄漏辐射，当其在相当于基准加载条件下以标称</w:t>
      </w:r>
      <w:r w:rsidRPr="00B12FE0">
        <w:rPr>
          <w:color w:val="000000" w:themeColor="text1"/>
          <w:szCs w:val="24"/>
        </w:rPr>
        <w:t>X</w:t>
      </w:r>
      <w:r w:rsidRPr="00B12FE0">
        <w:rPr>
          <w:rFonts w:hint="eastAsia"/>
          <w:color w:val="000000" w:themeColor="text1"/>
          <w:szCs w:val="24"/>
        </w:rPr>
        <w:t>射线管电压运行时，距焦点</w:t>
      </w:r>
      <w:r w:rsidRPr="00B12FE0">
        <w:rPr>
          <w:color w:val="000000" w:themeColor="text1"/>
          <w:szCs w:val="24"/>
        </w:rPr>
        <w:t>1m</w:t>
      </w:r>
      <w:r w:rsidRPr="00B12FE0">
        <w:rPr>
          <w:rFonts w:hint="eastAsia"/>
          <w:color w:val="000000" w:themeColor="text1"/>
          <w:szCs w:val="24"/>
        </w:rPr>
        <w:t>处，</w:t>
      </w:r>
      <w:r w:rsidRPr="00B12FE0">
        <w:rPr>
          <w:color w:val="000000" w:themeColor="text1"/>
          <w:szCs w:val="24"/>
        </w:rPr>
        <w:t>1h</w:t>
      </w:r>
      <w:r w:rsidRPr="00B12FE0">
        <w:rPr>
          <w:rFonts w:hint="eastAsia"/>
          <w:color w:val="000000" w:themeColor="text1"/>
          <w:szCs w:val="24"/>
        </w:rPr>
        <w:t>内在任一</w:t>
      </w:r>
      <w:proofErr w:type="gramStart"/>
      <w:r w:rsidRPr="00B12FE0">
        <w:rPr>
          <w:color w:val="000000" w:themeColor="text1"/>
          <w:szCs w:val="24"/>
        </w:rPr>
        <w:t>100</w:t>
      </w:r>
      <w:proofErr w:type="gramEnd"/>
      <w:r w:rsidRPr="00B12FE0">
        <w:rPr>
          <w:color w:val="000000" w:themeColor="text1"/>
          <w:szCs w:val="24"/>
        </w:rPr>
        <w:t>cm</w:t>
      </w:r>
      <w:r w:rsidRPr="00B12FE0">
        <w:rPr>
          <w:color w:val="000000" w:themeColor="text1"/>
          <w:szCs w:val="24"/>
          <w:vertAlign w:val="superscript"/>
        </w:rPr>
        <w:t>2</w:t>
      </w:r>
      <w:r w:rsidRPr="00B12FE0">
        <w:rPr>
          <w:rFonts w:hint="eastAsia"/>
          <w:color w:val="000000" w:themeColor="text1"/>
          <w:szCs w:val="24"/>
        </w:rPr>
        <w:t>区域（主要线性尺寸不大于</w:t>
      </w:r>
      <w:r w:rsidRPr="00B12FE0">
        <w:rPr>
          <w:color w:val="000000" w:themeColor="text1"/>
          <w:szCs w:val="24"/>
        </w:rPr>
        <w:t>20cm</w:t>
      </w:r>
      <w:r w:rsidRPr="00B12FE0">
        <w:rPr>
          <w:rFonts w:hint="eastAsia"/>
          <w:color w:val="000000" w:themeColor="text1"/>
          <w:szCs w:val="24"/>
        </w:rPr>
        <w:t>）的空气比释动能不应超过</w:t>
      </w:r>
      <w:r w:rsidRPr="00B12FE0">
        <w:rPr>
          <w:color w:val="000000" w:themeColor="text1"/>
          <w:szCs w:val="24"/>
        </w:rPr>
        <w:t>1.0mGy</w:t>
      </w:r>
      <w:r w:rsidRPr="00B12FE0">
        <w:rPr>
          <w:rFonts w:hint="eastAsia"/>
          <w:color w:val="000000" w:themeColor="text1"/>
          <w:szCs w:val="24"/>
        </w:rPr>
        <w:t>。”屏蔽计算时，参考</w:t>
      </w:r>
      <w:r w:rsidRPr="00B12FE0">
        <w:rPr>
          <w:color w:val="000000" w:themeColor="text1"/>
          <w:szCs w:val="24"/>
        </w:rPr>
        <w:t>GBZ/T201.1-2007</w:t>
      </w:r>
      <w:r w:rsidRPr="00B12FE0">
        <w:rPr>
          <w:rFonts w:hint="eastAsia"/>
          <w:color w:val="000000" w:themeColor="text1"/>
          <w:szCs w:val="24"/>
        </w:rPr>
        <w:t>，</w:t>
      </w:r>
      <w:proofErr w:type="spellStart"/>
      <w:r w:rsidRPr="00B12FE0">
        <w:rPr>
          <w:color w:val="000000" w:themeColor="text1"/>
          <w:szCs w:val="24"/>
        </w:rPr>
        <w:t>μGy</w:t>
      </w:r>
      <w:proofErr w:type="spellEnd"/>
      <w:r w:rsidRPr="00B12FE0">
        <w:rPr>
          <w:color w:val="000000" w:themeColor="text1"/>
          <w:szCs w:val="24"/>
        </w:rPr>
        <w:t>/h</w:t>
      </w:r>
      <w:r w:rsidRPr="00B12FE0">
        <w:rPr>
          <w:rFonts w:hint="eastAsia"/>
          <w:color w:val="000000" w:themeColor="text1"/>
          <w:szCs w:val="24"/>
        </w:rPr>
        <w:t>与</w:t>
      </w:r>
      <w:proofErr w:type="spellStart"/>
      <w:r w:rsidRPr="00B12FE0">
        <w:rPr>
          <w:color w:val="000000" w:themeColor="text1"/>
          <w:szCs w:val="24"/>
        </w:rPr>
        <w:t>μSv</w:t>
      </w:r>
      <w:proofErr w:type="spellEnd"/>
      <w:r w:rsidRPr="00B12FE0">
        <w:rPr>
          <w:color w:val="000000" w:themeColor="text1"/>
          <w:szCs w:val="24"/>
        </w:rPr>
        <w:t>/h</w:t>
      </w:r>
      <w:r w:rsidRPr="00B12FE0">
        <w:rPr>
          <w:rFonts w:hint="eastAsia"/>
          <w:color w:val="000000" w:themeColor="text1"/>
          <w:szCs w:val="24"/>
        </w:rPr>
        <w:t>的转化因子取</w:t>
      </w:r>
      <w:r w:rsidRPr="00B12FE0">
        <w:rPr>
          <w:color w:val="000000" w:themeColor="text1"/>
          <w:szCs w:val="24"/>
        </w:rPr>
        <w:t>1</w:t>
      </w:r>
      <w:r w:rsidRPr="00B12FE0">
        <w:rPr>
          <w:rFonts w:hint="eastAsia"/>
          <w:color w:val="000000" w:themeColor="text1"/>
          <w:szCs w:val="24"/>
        </w:rPr>
        <w:t>。</w:t>
      </w:r>
    </w:p>
    <w:p w14:paraId="5775AA8A" w14:textId="77777777" w:rsidR="00A67F21" w:rsidRPr="00B12FE0" w:rsidRDefault="00000000">
      <w:pPr>
        <w:spacing w:line="360" w:lineRule="auto"/>
        <w:ind w:firstLineChars="200" w:firstLine="480"/>
        <w:rPr>
          <w:color w:val="000000" w:themeColor="text1"/>
          <w:szCs w:val="24"/>
        </w:rPr>
      </w:pPr>
      <w:r w:rsidRPr="00B12FE0">
        <w:rPr>
          <w:color w:val="000000" w:themeColor="text1"/>
          <w:szCs w:val="24"/>
        </w:rPr>
        <w:t>本项目</w:t>
      </w:r>
      <w:r w:rsidRPr="00B12FE0">
        <w:rPr>
          <w:rFonts w:hint="eastAsia"/>
          <w:color w:val="000000" w:themeColor="text1"/>
          <w:szCs w:val="24"/>
        </w:rPr>
        <w:t>模拟定位</w:t>
      </w:r>
      <w:r w:rsidRPr="00B12FE0">
        <w:rPr>
          <w:rFonts w:hint="eastAsia"/>
          <w:color w:val="000000" w:themeColor="text1"/>
          <w:szCs w:val="24"/>
        </w:rPr>
        <w:t>CT</w:t>
      </w:r>
      <w:r w:rsidRPr="00B12FE0">
        <w:rPr>
          <w:rFonts w:hint="eastAsia"/>
          <w:color w:val="000000" w:themeColor="text1"/>
          <w:szCs w:val="24"/>
        </w:rPr>
        <w:t>机房的各屏蔽体</w:t>
      </w:r>
      <w:r w:rsidRPr="00B12FE0">
        <w:rPr>
          <w:color w:val="000000" w:themeColor="text1"/>
          <w:szCs w:val="24"/>
        </w:rPr>
        <w:t>的有效屏蔽厚度</w:t>
      </w:r>
      <w:r w:rsidRPr="00B12FE0">
        <w:rPr>
          <w:rFonts w:hint="eastAsia"/>
          <w:color w:val="000000" w:themeColor="text1"/>
          <w:szCs w:val="24"/>
        </w:rPr>
        <w:t>均</w:t>
      </w:r>
      <w:r w:rsidRPr="00B12FE0">
        <w:rPr>
          <w:color w:val="000000" w:themeColor="text1"/>
          <w:szCs w:val="24"/>
        </w:rPr>
        <w:t>不低于</w:t>
      </w:r>
      <w:r w:rsidRPr="00B12FE0">
        <w:rPr>
          <w:color w:val="000000" w:themeColor="text1"/>
          <w:szCs w:val="24"/>
        </w:rPr>
        <w:t>3mmPb</w:t>
      </w:r>
      <w:r w:rsidRPr="00B12FE0">
        <w:rPr>
          <w:color w:val="000000" w:themeColor="text1"/>
          <w:szCs w:val="24"/>
        </w:rPr>
        <w:t>，</w:t>
      </w:r>
      <w:r w:rsidRPr="00B12FE0">
        <w:rPr>
          <w:rFonts w:hint="eastAsia"/>
          <w:bCs/>
          <w:snapToGrid w:val="0"/>
          <w:color w:val="000000" w:themeColor="text1"/>
          <w:szCs w:val="28"/>
        </w:rPr>
        <w:t>根据《放射诊断放射防护要求》附录</w:t>
      </w:r>
      <w:r w:rsidRPr="00B12FE0">
        <w:rPr>
          <w:bCs/>
          <w:snapToGrid w:val="0"/>
          <w:color w:val="000000" w:themeColor="text1"/>
          <w:szCs w:val="28"/>
        </w:rPr>
        <w:t>C</w:t>
      </w:r>
      <w:r w:rsidRPr="00B12FE0">
        <w:rPr>
          <w:rFonts w:hint="eastAsia"/>
          <w:bCs/>
          <w:snapToGrid w:val="0"/>
          <w:color w:val="000000" w:themeColor="text1"/>
          <w:szCs w:val="28"/>
        </w:rPr>
        <w:t>的</w:t>
      </w:r>
      <w:r w:rsidRPr="00B12FE0">
        <w:rPr>
          <w:bCs/>
          <w:snapToGrid w:val="0"/>
          <w:color w:val="000000" w:themeColor="text1"/>
          <w:szCs w:val="28"/>
        </w:rPr>
        <w:t>C.1.2</w:t>
      </w:r>
      <w:r w:rsidRPr="00B12FE0">
        <w:rPr>
          <w:rFonts w:hint="eastAsia"/>
          <w:bCs/>
          <w:snapToGrid w:val="0"/>
          <w:color w:val="000000" w:themeColor="text1"/>
          <w:szCs w:val="28"/>
        </w:rPr>
        <w:t>中式</w:t>
      </w:r>
      <w:r w:rsidRPr="00B12FE0">
        <w:rPr>
          <w:bCs/>
          <w:snapToGrid w:val="0"/>
          <w:color w:val="000000" w:themeColor="text1"/>
          <w:szCs w:val="28"/>
        </w:rPr>
        <w:t>C.1</w:t>
      </w:r>
      <w:r w:rsidRPr="00B12FE0">
        <w:rPr>
          <w:rFonts w:hint="eastAsia"/>
          <w:bCs/>
          <w:snapToGrid w:val="0"/>
          <w:color w:val="000000" w:themeColor="text1"/>
          <w:szCs w:val="28"/>
        </w:rPr>
        <w:t>计算得</w:t>
      </w:r>
      <w:r w:rsidRPr="00B12FE0">
        <w:rPr>
          <w:rFonts w:hint="eastAsia"/>
          <w:color w:val="000000" w:themeColor="text1"/>
          <w:szCs w:val="24"/>
        </w:rPr>
        <w:t>屏蔽</w:t>
      </w:r>
      <w:r w:rsidRPr="00B12FE0">
        <w:rPr>
          <w:color w:val="000000" w:themeColor="text1"/>
          <w:szCs w:val="24"/>
        </w:rPr>
        <w:t>透射</w:t>
      </w:r>
      <w:r w:rsidRPr="00B12FE0">
        <w:rPr>
          <w:rFonts w:hint="eastAsia"/>
          <w:color w:val="000000" w:themeColor="text1"/>
          <w:szCs w:val="24"/>
        </w:rPr>
        <w:t>因子最大</w:t>
      </w:r>
      <w:r w:rsidRPr="00B12FE0">
        <w:rPr>
          <w:color w:val="000000" w:themeColor="text1"/>
          <w:szCs w:val="24"/>
        </w:rPr>
        <w:t>为</w:t>
      </w:r>
      <w:r w:rsidRPr="00B12FE0">
        <w:rPr>
          <w:rFonts w:hint="eastAsia"/>
          <w:color w:val="000000" w:themeColor="text1"/>
          <w:szCs w:val="24"/>
        </w:rPr>
        <w:t>1.28E-05</w:t>
      </w:r>
      <w:r w:rsidRPr="00B12FE0">
        <w:rPr>
          <w:color w:val="000000" w:themeColor="text1"/>
          <w:szCs w:val="24"/>
        </w:rPr>
        <w:t>，</w:t>
      </w:r>
      <w:r w:rsidRPr="00B12FE0">
        <w:rPr>
          <w:rFonts w:hint="eastAsia"/>
          <w:color w:val="000000" w:themeColor="text1"/>
          <w:szCs w:val="24"/>
        </w:rPr>
        <w:t>距离屏蔽体外最近关注点的距离取</w:t>
      </w:r>
      <w:r w:rsidRPr="00B12FE0">
        <w:rPr>
          <w:rFonts w:hint="eastAsia"/>
          <w:color w:val="000000" w:themeColor="text1"/>
          <w:szCs w:val="24"/>
        </w:rPr>
        <w:t>3.9</w:t>
      </w:r>
      <w:r w:rsidRPr="00B12FE0">
        <w:rPr>
          <w:color w:val="000000" w:themeColor="text1"/>
          <w:szCs w:val="24"/>
        </w:rPr>
        <w:t>m</w:t>
      </w:r>
      <w:r w:rsidRPr="00B12FE0">
        <w:rPr>
          <w:color w:val="000000" w:themeColor="text1"/>
          <w:szCs w:val="24"/>
        </w:rPr>
        <w:t>，</w:t>
      </w:r>
      <w:r w:rsidRPr="00B12FE0">
        <w:rPr>
          <w:rFonts w:hint="eastAsia"/>
          <w:snapToGrid w:val="0"/>
          <w:color w:val="000000" w:themeColor="text1"/>
          <w:lang w:val="en-GB"/>
        </w:rPr>
        <w:t>剂量换算系数</w:t>
      </w:r>
      <w:r w:rsidRPr="00B12FE0">
        <w:rPr>
          <w:snapToGrid w:val="0"/>
          <w:color w:val="000000" w:themeColor="text1"/>
          <w:lang w:val="en-GB"/>
        </w:rPr>
        <w:t>Sv/Gy</w:t>
      </w:r>
      <w:r w:rsidRPr="00B12FE0">
        <w:rPr>
          <w:rFonts w:hint="eastAsia"/>
          <w:snapToGrid w:val="0"/>
          <w:color w:val="000000" w:themeColor="text1"/>
          <w:lang w:val="en-GB"/>
        </w:rPr>
        <w:t>取</w:t>
      </w:r>
      <w:r w:rsidRPr="00B12FE0">
        <w:rPr>
          <w:snapToGrid w:val="0"/>
          <w:color w:val="000000" w:themeColor="text1"/>
          <w:lang w:val="en-GB"/>
        </w:rPr>
        <w:t>1</w:t>
      </w:r>
      <w:r w:rsidRPr="00B12FE0">
        <w:rPr>
          <w:rFonts w:hint="eastAsia"/>
          <w:snapToGrid w:val="0"/>
          <w:color w:val="000000" w:themeColor="text1"/>
        </w:rPr>
        <w:t>，</w:t>
      </w:r>
      <w:r w:rsidRPr="00B12FE0">
        <w:rPr>
          <w:rFonts w:hint="eastAsia"/>
          <w:color w:val="000000" w:themeColor="text1"/>
          <w:szCs w:val="24"/>
        </w:rPr>
        <w:t>则</w:t>
      </w:r>
      <w:r w:rsidRPr="00B12FE0">
        <w:rPr>
          <w:color w:val="000000" w:themeColor="text1"/>
          <w:szCs w:val="24"/>
        </w:rPr>
        <w:t>CT</w:t>
      </w:r>
      <w:r w:rsidRPr="00B12FE0">
        <w:rPr>
          <w:rFonts w:hint="eastAsia"/>
          <w:color w:val="000000" w:themeColor="text1"/>
          <w:szCs w:val="24"/>
        </w:rPr>
        <w:t>设备</w:t>
      </w:r>
      <w:r w:rsidRPr="00B12FE0">
        <w:rPr>
          <w:color w:val="000000" w:themeColor="text1"/>
          <w:szCs w:val="24"/>
        </w:rPr>
        <w:t>运行所致的</w:t>
      </w:r>
      <w:r w:rsidRPr="00B12FE0">
        <w:rPr>
          <w:rFonts w:hint="eastAsia"/>
          <w:color w:val="000000" w:themeColor="text1"/>
          <w:szCs w:val="24"/>
        </w:rPr>
        <w:t>辐射</w:t>
      </w:r>
      <w:r w:rsidRPr="00B12FE0">
        <w:rPr>
          <w:color w:val="000000" w:themeColor="text1"/>
          <w:szCs w:val="24"/>
        </w:rPr>
        <w:t>剂量率为</w:t>
      </w:r>
      <w:r w:rsidRPr="00B12FE0">
        <w:rPr>
          <w:rFonts w:hint="eastAsia"/>
          <w:color w:val="000000" w:themeColor="text1"/>
          <w:kern w:val="0"/>
          <w:szCs w:val="24"/>
        </w:rPr>
        <w:t>8.22</w:t>
      </w:r>
      <w:r w:rsidRPr="00B12FE0">
        <w:rPr>
          <w:color w:val="000000" w:themeColor="text1"/>
          <w:kern w:val="0"/>
          <w:szCs w:val="24"/>
        </w:rPr>
        <w:t>E-0</w:t>
      </w:r>
      <w:r w:rsidRPr="00B12FE0">
        <w:rPr>
          <w:rFonts w:hint="eastAsia"/>
          <w:color w:val="000000" w:themeColor="text1"/>
          <w:kern w:val="0"/>
          <w:szCs w:val="24"/>
        </w:rPr>
        <w:t>4</w:t>
      </w:r>
      <w:r w:rsidRPr="00B12FE0">
        <w:rPr>
          <w:color w:val="000000" w:themeColor="text1"/>
          <w:szCs w:val="24"/>
        </w:rPr>
        <w:t>μ</w:t>
      </w:r>
      <w:r w:rsidRPr="00B12FE0">
        <w:rPr>
          <w:rFonts w:hint="eastAsia"/>
          <w:color w:val="000000" w:themeColor="text1"/>
          <w:szCs w:val="24"/>
        </w:rPr>
        <w:t>Sv</w:t>
      </w:r>
      <w:r w:rsidRPr="00B12FE0">
        <w:rPr>
          <w:color w:val="000000" w:themeColor="text1"/>
          <w:szCs w:val="24"/>
        </w:rPr>
        <w:t>/h</w:t>
      </w:r>
      <w:r w:rsidRPr="00B12FE0">
        <w:rPr>
          <w:rFonts w:hint="eastAsia"/>
          <w:color w:val="000000" w:themeColor="text1"/>
          <w:szCs w:val="24"/>
        </w:rPr>
        <w:t>。满足《放射诊断放射防护要求》（</w:t>
      </w:r>
      <w:r w:rsidRPr="00B12FE0">
        <w:rPr>
          <w:color w:val="000000" w:themeColor="text1"/>
          <w:szCs w:val="24"/>
        </w:rPr>
        <w:t>GBZ 130-2020</w:t>
      </w:r>
      <w:r w:rsidRPr="00B12FE0">
        <w:rPr>
          <w:rFonts w:hint="eastAsia"/>
          <w:color w:val="000000" w:themeColor="text1"/>
          <w:szCs w:val="24"/>
        </w:rPr>
        <w:t>）规定的</w:t>
      </w:r>
      <w:r w:rsidRPr="00B12FE0">
        <w:rPr>
          <w:color w:val="000000" w:themeColor="text1"/>
          <w:szCs w:val="24"/>
        </w:rPr>
        <w:t>2.5μSv/h</w:t>
      </w:r>
      <w:r w:rsidRPr="00B12FE0">
        <w:rPr>
          <w:rFonts w:hint="eastAsia"/>
          <w:color w:val="000000" w:themeColor="text1"/>
          <w:szCs w:val="24"/>
        </w:rPr>
        <w:t>控制剂量率要求。</w:t>
      </w:r>
    </w:p>
    <w:p w14:paraId="581C427A" w14:textId="77777777" w:rsidR="00A67F21" w:rsidRPr="00B12FE0" w:rsidRDefault="00000000">
      <w:pPr>
        <w:adjustRightInd w:val="0"/>
        <w:snapToGrid w:val="0"/>
        <w:spacing w:line="360" w:lineRule="auto"/>
        <w:ind w:firstLineChars="200" w:firstLine="482"/>
        <w:rPr>
          <w:rFonts w:ascii="宋体" w:hAnsi="宋体" w:hint="eastAsia"/>
          <w:b/>
          <w:snapToGrid w:val="0"/>
          <w:color w:val="000000" w:themeColor="text1"/>
          <w:szCs w:val="24"/>
        </w:rPr>
      </w:pPr>
      <w:r w:rsidRPr="00B12FE0">
        <w:rPr>
          <w:rFonts w:ascii="宋体" w:hAnsi="宋体" w:hint="eastAsia"/>
          <w:b/>
          <w:snapToGrid w:val="0"/>
          <w:color w:val="000000" w:themeColor="text1"/>
          <w:szCs w:val="24"/>
        </w:rPr>
        <w:t>（</w:t>
      </w:r>
      <w:r w:rsidRPr="00B12FE0">
        <w:rPr>
          <w:b/>
          <w:snapToGrid w:val="0"/>
          <w:color w:val="000000" w:themeColor="text1"/>
          <w:szCs w:val="24"/>
        </w:rPr>
        <w:t>2</w:t>
      </w:r>
      <w:r w:rsidRPr="00B12FE0">
        <w:rPr>
          <w:rFonts w:ascii="宋体" w:hAnsi="宋体" w:hint="eastAsia"/>
          <w:b/>
          <w:snapToGrid w:val="0"/>
          <w:color w:val="000000" w:themeColor="text1"/>
          <w:szCs w:val="24"/>
        </w:rPr>
        <w:t>）</w:t>
      </w:r>
      <w:r w:rsidRPr="00B12FE0">
        <w:rPr>
          <w:rFonts w:ascii="宋体" w:cs="宋体" w:hint="eastAsia"/>
          <w:b/>
          <w:color w:val="000000" w:themeColor="text1"/>
          <w:kern w:val="0"/>
          <w:szCs w:val="24"/>
        </w:rPr>
        <w:t>人员受照剂量估算</w:t>
      </w:r>
    </w:p>
    <w:p w14:paraId="4F2F3410" w14:textId="77777777" w:rsidR="00A67F21" w:rsidRPr="00B12FE0" w:rsidRDefault="00000000">
      <w:pPr>
        <w:adjustRightInd w:val="0"/>
        <w:snapToGrid w:val="0"/>
        <w:spacing w:line="360" w:lineRule="auto"/>
        <w:ind w:firstLineChars="200" w:firstLine="480"/>
        <w:rPr>
          <w:bCs/>
          <w:color w:val="000000" w:themeColor="text1"/>
          <w:kern w:val="0"/>
          <w:szCs w:val="24"/>
        </w:rPr>
      </w:pPr>
      <w:r w:rsidRPr="00B12FE0">
        <w:rPr>
          <w:rFonts w:ascii="宋体" w:hAnsi="宋体" w:hint="eastAsia"/>
          <w:color w:val="000000" w:themeColor="text1"/>
        </w:rPr>
        <w:t>本项目</w:t>
      </w:r>
      <w:r w:rsidRPr="00B12FE0">
        <w:rPr>
          <w:rFonts w:hint="eastAsia"/>
          <w:color w:val="000000" w:themeColor="text1"/>
        </w:rPr>
        <w:t>模拟定位</w:t>
      </w:r>
      <w:r w:rsidRPr="00B12FE0">
        <w:rPr>
          <w:color w:val="000000" w:themeColor="text1"/>
        </w:rPr>
        <w:t>CT</w:t>
      </w:r>
      <w:r w:rsidRPr="00B12FE0">
        <w:rPr>
          <w:rFonts w:hint="eastAsia"/>
          <w:color w:val="000000" w:themeColor="text1"/>
        </w:rPr>
        <w:t>机投入使用后，预计每天诊断患者最多为</w:t>
      </w:r>
      <w:r w:rsidRPr="00B12FE0">
        <w:rPr>
          <w:rFonts w:hint="eastAsia"/>
          <w:color w:val="000000" w:themeColor="text1"/>
        </w:rPr>
        <w:t>120</w:t>
      </w:r>
      <w:r w:rsidRPr="00B12FE0">
        <w:rPr>
          <w:rFonts w:hint="eastAsia"/>
          <w:color w:val="000000" w:themeColor="text1"/>
        </w:rPr>
        <w:t>人次，设备每人次曝光时间不超过</w:t>
      </w:r>
      <w:r w:rsidRPr="00B12FE0">
        <w:rPr>
          <w:color w:val="000000" w:themeColor="text1"/>
        </w:rPr>
        <w:t>20</w:t>
      </w:r>
      <w:r w:rsidRPr="00B12FE0">
        <w:rPr>
          <w:rFonts w:hint="eastAsia"/>
          <w:color w:val="000000" w:themeColor="text1"/>
        </w:rPr>
        <w:t>秒，每周工作</w:t>
      </w:r>
      <w:r w:rsidRPr="00B12FE0">
        <w:rPr>
          <w:color w:val="000000" w:themeColor="text1"/>
        </w:rPr>
        <w:t>5</w:t>
      </w:r>
      <w:r w:rsidRPr="00B12FE0">
        <w:rPr>
          <w:rFonts w:hint="eastAsia"/>
          <w:color w:val="000000" w:themeColor="text1"/>
        </w:rPr>
        <w:t>天，每年工作</w:t>
      </w:r>
      <w:r w:rsidRPr="00B12FE0">
        <w:rPr>
          <w:color w:val="000000" w:themeColor="text1"/>
        </w:rPr>
        <w:t>250</w:t>
      </w:r>
      <w:r w:rsidRPr="00B12FE0">
        <w:rPr>
          <w:rFonts w:hint="eastAsia"/>
          <w:color w:val="000000" w:themeColor="text1"/>
        </w:rPr>
        <w:t>天，则设备</w:t>
      </w:r>
      <w:proofErr w:type="gramStart"/>
      <w:r w:rsidRPr="00B12FE0">
        <w:rPr>
          <w:rFonts w:hint="eastAsia"/>
          <w:color w:val="000000" w:themeColor="text1"/>
        </w:rPr>
        <w:t>年出束时间</w:t>
      </w:r>
      <w:proofErr w:type="gramEnd"/>
      <w:r w:rsidRPr="00B12FE0">
        <w:rPr>
          <w:rFonts w:hint="eastAsia"/>
          <w:color w:val="000000" w:themeColor="text1"/>
        </w:rPr>
        <w:t>为</w:t>
      </w:r>
      <w:r w:rsidRPr="00B12FE0">
        <w:rPr>
          <w:rFonts w:hint="eastAsia"/>
          <w:color w:val="000000" w:themeColor="text1"/>
        </w:rPr>
        <w:t>833.3</w:t>
      </w:r>
      <w:r w:rsidRPr="00B12FE0">
        <w:rPr>
          <w:color w:val="000000" w:themeColor="text1"/>
        </w:rPr>
        <w:t>h</w:t>
      </w:r>
      <w:r w:rsidRPr="00B12FE0">
        <w:rPr>
          <w:rFonts w:hint="eastAsia"/>
          <w:bCs/>
          <w:color w:val="000000" w:themeColor="text1"/>
          <w:kern w:val="0"/>
          <w:szCs w:val="24"/>
        </w:rPr>
        <w:t>。</w:t>
      </w:r>
      <w:r w:rsidRPr="00B12FE0">
        <w:rPr>
          <w:rFonts w:hint="eastAsia"/>
          <w:snapToGrid w:val="0"/>
          <w:color w:val="000000" w:themeColor="text1"/>
          <w:kern w:val="0"/>
          <w:szCs w:val="24"/>
        </w:rPr>
        <w:t>本项目</w:t>
      </w:r>
      <w:r w:rsidRPr="00B12FE0">
        <w:rPr>
          <w:rFonts w:hint="eastAsia"/>
          <w:color w:val="000000" w:themeColor="text1"/>
          <w:kern w:val="0"/>
          <w:szCs w:val="24"/>
        </w:rPr>
        <w:t>模拟定位</w:t>
      </w:r>
      <w:r w:rsidRPr="00B12FE0">
        <w:rPr>
          <w:color w:val="000000" w:themeColor="text1"/>
          <w:kern w:val="0"/>
          <w:szCs w:val="24"/>
        </w:rPr>
        <w:t>CT</w:t>
      </w:r>
      <w:r w:rsidRPr="00B12FE0">
        <w:rPr>
          <w:rFonts w:hint="eastAsia"/>
          <w:snapToGrid w:val="0"/>
          <w:color w:val="000000" w:themeColor="text1"/>
          <w:kern w:val="0"/>
          <w:szCs w:val="24"/>
        </w:rPr>
        <w:t>共有</w:t>
      </w:r>
      <w:r w:rsidRPr="00B12FE0">
        <w:rPr>
          <w:snapToGrid w:val="0"/>
          <w:color w:val="000000" w:themeColor="text1"/>
          <w:kern w:val="0"/>
          <w:szCs w:val="24"/>
        </w:rPr>
        <w:t>2</w:t>
      </w:r>
      <w:r w:rsidRPr="00B12FE0">
        <w:rPr>
          <w:rFonts w:hint="eastAsia"/>
          <w:snapToGrid w:val="0"/>
          <w:color w:val="000000" w:themeColor="text1"/>
          <w:kern w:val="0"/>
          <w:szCs w:val="24"/>
        </w:rPr>
        <w:t>名技师轮岗操作，则</w:t>
      </w:r>
      <w:r w:rsidRPr="00B12FE0">
        <w:rPr>
          <w:rFonts w:hint="eastAsia"/>
          <w:bCs/>
          <w:color w:val="000000" w:themeColor="text1"/>
          <w:kern w:val="0"/>
          <w:szCs w:val="24"/>
        </w:rPr>
        <w:t>单个技师在</w:t>
      </w:r>
      <w:proofErr w:type="gramStart"/>
      <w:r w:rsidRPr="00B12FE0">
        <w:rPr>
          <w:rFonts w:hint="eastAsia"/>
          <w:bCs/>
          <w:color w:val="000000" w:themeColor="text1"/>
          <w:kern w:val="0"/>
          <w:szCs w:val="24"/>
        </w:rPr>
        <w:t>控制室年受照</w:t>
      </w:r>
      <w:proofErr w:type="gramEnd"/>
      <w:r w:rsidRPr="00B12FE0">
        <w:rPr>
          <w:rFonts w:hint="eastAsia"/>
          <w:bCs/>
          <w:color w:val="000000" w:themeColor="text1"/>
          <w:kern w:val="0"/>
          <w:szCs w:val="24"/>
        </w:rPr>
        <w:t>时间约为</w:t>
      </w:r>
      <w:r w:rsidRPr="00B12FE0">
        <w:rPr>
          <w:rFonts w:hint="eastAsia"/>
          <w:bCs/>
          <w:color w:val="000000" w:themeColor="text1"/>
          <w:kern w:val="0"/>
          <w:szCs w:val="24"/>
        </w:rPr>
        <w:t>416.6h</w:t>
      </w:r>
      <w:r w:rsidRPr="00B12FE0">
        <w:rPr>
          <w:rFonts w:hint="eastAsia"/>
          <w:bCs/>
          <w:color w:val="000000" w:themeColor="text1"/>
          <w:kern w:val="0"/>
          <w:szCs w:val="24"/>
        </w:rPr>
        <w:t>。</w:t>
      </w:r>
    </w:p>
    <w:p w14:paraId="60ED194F" w14:textId="77777777" w:rsidR="00A67F21" w:rsidRPr="00B12FE0" w:rsidRDefault="00000000">
      <w:pPr>
        <w:adjustRightInd w:val="0"/>
        <w:spacing w:line="360" w:lineRule="auto"/>
        <w:ind w:firstLineChars="200" w:firstLine="480"/>
        <w:rPr>
          <w:color w:val="000000" w:themeColor="text1"/>
        </w:rPr>
      </w:pPr>
      <w:r w:rsidRPr="00B12FE0">
        <w:rPr>
          <w:rFonts w:hint="eastAsia"/>
          <w:color w:val="000000" w:themeColor="text1"/>
        </w:rPr>
        <w:t>根据式</w:t>
      </w:r>
      <w:r w:rsidRPr="00B12FE0">
        <w:rPr>
          <w:rFonts w:hint="eastAsia"/>
          <w:color w:val="000000" w:themeColor="text1"/>
        </w:rPr>
        <w:t>1</w:t>
      </w:r>
      <w:r w:rsidRPr="00B12FE0">
        <w:rPr>
          <w:color w:val="000000" w:themeColor="text1"/>
        </w:rPr>
        <w:t>1.2</w:t>
      </w:r>
      <w:r w:rsidRPr="00B12FE0">
        <w:rPr>
          <w:rFonts w:hint="eastAsia"/>
          <w:color w:val="000000" w:themeColor="text1"/>
        </w:rPr>
        <w:t>.2.3-1</w:t>
      </w:r>
      <w:r w:rsidRPr="00B12FE0">
        <w:rPr>
          <w:rFonts w:hint="eastAsia"/>
          <w:color w:val="000000" w:themeColor="text1"/>
        </w:rPr>
        <w:t>，本项目职业人员和周围公众年有效剂量</w:t>
      </w:r>
      <w:proofErr w:type="gramStart"/>
      <w:r w:rsidRPr="00B12FE0">
        <w:rPr>
          <w:rFonts w:hint="eastAsia"/>
          <w:color w:val="000000" w:themeColor="text1"/>
        </w:rPr>
        <w:t>估算见</w:t>
      </w:r>
      <w:proofErr w:type="gramEnd"/>
      <w:r w:rsidRPr="00B12FE0">
        <w:rPr>
          <w:rFonts w:hint="eastAsia"/>
          <w:color w:val="000000" w:themeColor="text1"/>
        </w:rPr>
        <w:t>下表。</w:t>
      </w:r>
    </w:p>
    <w:p w14:paraId="02F0E131" w14:textId="77777777" w:rsidR="00A67F21" w:rsidRPr="00B12FE0" w:rsidRDefault="00000000">
      <w:pPr>
        <w:adjustRightInd w:val="0"/>
        <w:snapToGrid w:val="0"/>
        <w:spacing w:line="360" w:lineRule="auto"/>
        <w:jc w:val="center"/>
        <w:rPr>
          <w:b/>
          <w:color w:val="000000" w:themeColor="text1"/>
          <w:sz w:val="21"/>
          <w:szCs w:val="18"/>
        </w:rPr>
      </w:pPr>
      <w:r w:rsidRPr="00B12FE0">
        <w:rPr>
          <w:rFonts w:cs="宋体" w:hint="eastAsia"/>
          <w:b/>
          <w:color w:val="000000" w:themeColor="text1"/>
          <w:sz w:val="21"/>
          <w:szCs w:val="18"/>
        </w:rPr>
        <w:t>表</w:t>
      </w:r>
      <w:r w:rsidRPr="00B12FE0">
        <w:rPr>
          <w:rFonts w:cs="宋体" w:hint="eastAsia"/>
          <w:b/>
          <w:color w:val="000000" w:themeColor="text1"/>
          <w:sz w:val="21"/>
          <w:szCs w:val="18"/>
        </w:rPr>
        <w:t xml:space="preserve">11.2.2.3-1  </w:t>
      </w:r>
      <w:r w:rsidRPr="00B12FE0">
        <w:rPr>
          <w:rFonts w:cs="宋体" w:hint="eastAsia"/>
          <w:b/>
          <w:color w:val="000000" w:themeColor="text1"/>
          <w:sz w:val="21"/>
          <w:szCs w:val="18"/>
        </w:rPr>
        <w:t>职业人员和周围公众年有效剂量估算</w:t>
      </w:r>
    </w:p>
    <w:tbl>
      <w:tblPr>
        <w:tblW w:w="489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73"/>
        <w:gridCol w:w="1242"/>
        <w:gridCol w:w="676"/>
        <w:gridCol w:w="1039"/>
        <w:gridCol w:w="1431"/>
        <w:gridCol w:w="1097"/>
        <w:gridCol w:w="1165"/>
      </w:tblGrid>
      <w:tr w:rsidR="00A67F21" w:rsidRPr="00B12FE0" w14:paraId="10AE0251" w14:textId="77777777">
        <w:trPr>
          <w:trHeight w:val="759"/>
          <w:jc w:val="center"/>
        </w:trPr>
        <w:tc>
          <w:tcPr>
            <w:tcW w:w="2173" w:type="dxa"/>
            <w:tcBorders>
              <w:tl2br w:val="nil"/>
              <w:tr2bl w:val="nil"/>
            </w:tcBorders>
            <w:vAlign w:val="center"/>
          </w:tcPr>
          <w:p w14:paraId="6DFBC11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保护目标</w:t>
            </w:r>
          </w:p>
        </w:tc>
        <w:tc>
          <w:tcPr>
            <w:tcW w:w="1242" w:type="dxa"/>
            <w:tcBorders>
              <w:tl2br w:val="nil"/>
              <w:tr2bl w:val="nil"/>
            </w:tcBorders>
            <w:vAlign w:val="center"/>
          </w:tcPr>
          <w:p w14:paraId="6E2B29E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辐射剂量率（</w:t>
            </w:r>
            <w:proofErr w:type="spellStart"/>
            <w:r w:rsidRPr="00B12FE0">
              <w:rPr>
                <w:color w:val="000000" w:themeColor="text1"/>
                <w:kern w:val="0"/>
                <w:sz w:val="21"/>
                <w:szCs w:val="21"/>
                <w:lang w:bidi="ar"/>
              </w:rPr>
              <w:t>μSv</w:t>
            </w:r>
            <w:proofErr w:type="spellEnd"/>
            <w:r w:rsidRPr="00B12FE0">
              <w:rPr>
                <w:color w:val="000000" w:themeColor="text1"/>
                <w:kern w:val="0"/>
                <w:sz w:val="21"/>
                <w:szCs w:val="21"/>
                <w:lang w:bidi="ar"/>
              </w:rPr>
              <w:t>/h</w:t>
            </w:r>
            <w:r w:rsidRPr="00B12FE0">
              <w:rPr>
                <w:color w:val="000000" w:themeColor="text1"/>
                <w:kern w:val="0"/>
                <w:sz w:val="21"/>
                <w:szCs w:val="21"/>
                <w:lang w:bidi="ar"/>
              </w:rPr>
              <w:t>）</w:t>
            </w:r>
          </w:p>
        </w:tc>
        <w:tc>
          <w:tcPr>
            <w:tcW w:w="676" w:type="dxa"/>
            <w:tcBorders>
              <w:tl2br w:val="nil"/>
              <w:tr2bl w:val="nil"/>
            </w:tcBorders>
            <w:vAlign w:val="center"/>
          </w:tcPr>
          <w:p w14:paraId="08F2993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居留因子</w:t>
            </w:r>
          </w:p>
        </w:tc>
        <w:tc>
          <w:tcPr>
            <w:tcW w:w="1039" w:type="dxa"/>
            <w:tcBorders>
              <w:tl2br w:val="nil"/>
              <w:tr2bl w:val="nil"/>
            </w:tcBorders>
            <w:noWrap/>
            <w:vAlign w:val="center"/>
          </w:tcPr>
          <w:p w14:paraId="5DEBE1C3"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年工作时间</w:t>
            </w:r>
            <w:r w:rsidRPr="00B12FE0">
              <w:rPr>
                <w:color w:val="000000" w:themeColor="text1"/>
                <w:kern w:val="0"/>
                <w:sz w:val="21"/>
                <w:szCs w:val="21"/>
                <w:lang w:bidi="ar"/>
              </w:rPr>
              <w:t>h</w:t>
            </w:r>
          </w:p>
        </w:tc>
        <w:tc>
          <w:tcPr>
            <w:tcW w:w="1431" w:type="dxa"/>
            <w:tcBorders>
              <w:tl2br w:val="nil"/>
              <w:tr2bl w:val="nil"/>
            </w:tcBorders>
            <w:vAlign w:val="center"/>
          </w:tcPr>
          <w:p w14:paraId="3D40E46F"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年有效剂量（</w:t>
            </w:r>
            <w:r w:rsidRPr="00B12FE0">
              <w:rPr>
                <w:color w:val="000000" w:themeColor="text1"/>
                <w:kern w:val="0"/>
                <w:sz w:val="21"/>
                <w:szCs w:val="21"/>
                <w:lang w:bidi="ar"/>
              </w:rPr>
              <w:t>mSv</w:t>
            </w:r>
            <w:r w:rsidRPr="00B12FE0">
              <w:rPr>
                <w:color w:val="000000" w:themeColor="text1"/>
                <w:kern w:val="0"/>
                <w:sz w:val="21"/>
                <w:szCs w:val="21"/>
                <w:lang w:bidi="ar"/>
              </w:rPr>
              <w:t>）</w:t>
            </w:r>
          </w:p>
        </w:tc>
        <w:tc>
          <w:tcPr>
            <w:tcW w:w="1097" w:type="dxa"/>
            <w:tcBorders>
              <w:tl2br w:val="nil"/>
              <w:tr2bl w:val="nil"/>
            </w:tcBorders>
            <w:vAlign w:val="center"/>
          </w:tcPr>
          <w:p w14:paraId="7D88540E"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rPr>
              <w:t>剂量约束值</w:t>
            </w:r>
            <w:r w:rsidRPr="00B12FE0">
              <w:rPr>
                <w:rFonts w:hint="eastAsia"/>
                <w:color w:val="000000" w:themeColor="text1"/>
                <w:kern w:val="0"/>
                <w:sz w:val="21"/>
                <w:szCs w:val="21"/>
              </w:rPr>
              <w:t>(</w:t>
            </w:r>
            <w:r w:rsidRPr="00B12FE0">
              <w:rPr>
                <w:color w:val="000000" w:themeColor="text1"/>
                <w:kern w:val="0"/>
                <w:sz w:val="21"/>
                <w:szCs w:val="21"/>
              </w:rPr>
              <w:t>mSv/a</w:t>
            </w:r>
            <w:r w:rsidRPr="00B12FE0">
              <w:rPr>
                <w:rFonts w:hint="eastAsia"/>
                <w:color w:val="000000" w:themeColor="text1"/>
                <w:kern w:val="0"/>
                <w:sz w:val="21"/>
                <w:szCs w:val="21"/>
              </w:rPr>
              <w:t>)</w:t>
            </w:r>
          </w:p>
        </w:tc>
        <w:tc>
          <w:tcPr>
            <w:tcW w:w="1165" w:type="dxa"/>
            <w:tcBorders>
              <w:tl2br w:val="nil"/>
              <w:tr2bl w:val="nil"/>
            </w:tcBorders>
            <w:vAlign w:val="center"/>
          </w:tcPr>
          <w:p w14:paraId="720DA634"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人员类别</w:t>
            </w:r>
          </w:p>
        </w:tc>
      </w:tr>
      <w:tr w:rsidR="00A67F21" w:rsidRPr="00B12FE0" w14:paraId="6630BD1E" w14:textId="77777777">
        <w:trPr>
          <w:trHeight w:val="285"/>
          <w:jc w:val="center"/>
        </w:trPr>
        <w:tc>
          <w:tcPr>
            <w:tcW w:w="2173" w:type="dxa"/>
            <w:tcBorders>
              <w:tl2br w:val="nil"/>
              <w:tr2bl w:val="nil"/>
            </w:tcBorders>
            <w:vAlign w:val="center"/>
          </w:tcPr>
          <w:p w14:paraId="7E9BA6C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东侧控制室</w:t>
            </w:r>
            <w:r w:rsidRPr="00B12FE0">
              <w:rPr>
                <w:rFonts w:hint="eastAsia"/>
                <w:color w:val="000000" w:themeColor="text1"/>
                <w:kern w:val="0"/>
                <w:sz w:val="21"/>
                <w:szCs w:val="21"/>
                <w:lang w:bidi="ar"/>
              </w:rPr>
              <w:t>、更衣室</w:t>
            </w:r>
          </w:p>
        </w:tc>
        <w:tc>
          <w:tcPr>
            <w:tcW w:w="1242" w:type="dxa"/>
            <w:tcBorders>
              <w:tl2br w:val="nil"/>
              <w:tr2bl w:val="nil"/>
            </w:tcBorders>
            <w:vAlign w:val="center"/>
          </w:tcPr>
          <w:p w14:paraId="345A19D4"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8.22</w:t>
            </w:r>
            <w:r w:rsidRPr="00B12FE0">
              <w:rPr>
                <w:color w:val="000000" w:themeColor="text1"/>
                <w:kern w:val="0"/>
                <w:sz w:val="21"/>
                <w:szCs w:val="21"/>
              </w:rPr>
              <w:t>E-0</w:t>
            </w:r>
            <w:r w:rsidRPr="00B12FE0">
              <w:rPr>
                <w:rFonts w:hint="eastAsia"/>
                <w:color w:val="000000" w:themeColor="text1"/>
                <w:kern w:val="0"/>
                <w:sz w:val="21"/>
                <w:szCs w:val="21"/>
              </w:rPr>
              <w:t>4</w:t>
            </w:r>
          </w:p>
        </w:tc>
        <w:tc>
          <w:tcPr>
            <w:tcW w:w="676" w:type="dxa"/>
            <w:tcBorders>
              <w:tl2br w:val="nil"/>
              <w:tr2bl w:val="nil"/>
            </w:tcBorders>
            <w:vAlign w:val="center"/>
          </w:tcPr>
          <w:p w14:paraId="7F9DA577"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1</w:t>
            </w:r>
          </w:p>
        </w:tc>
        <w:tc>
          <w:tcPr>
            <w:tcW w:w="1039" w:type="dxa"/>
            <w:tcBorders>
              <w:tl2br w:val="nil"/>
              <w:tr2bl w:val="nil"/>
            </w:tcBorders>
            <w:noWrap/>
            <w:vAlign w:val="center"/>
          </w:tcPr>
          <w:p w14:paraId="5DE1C30F"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lang w:bidi="ar"/>
              </w:rPr>
              <w:t>416.6</w:t>
            </w:r>
          </w:p>
        </w:tc>
        <w:tc>
          <w:tcPr>
            <w:tcW w:w="1431" w:type="dxa"/>
            <w:tcBorders>
              <w:top w:val="nil"/>
              <w:left w:val="nil"/>
              <w:bottom w:val="single" w:sz="8" w:space="0" w:color="000000"/>
              <w:right w:val="single" w:sz="8" w:space="0" w:color="000000"/>
            </w:tcBorders>
            <w:vAlign w:val="center"/>
          </w:tcPr>
          <w:p w14:paraId="390507F7"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3.42E-04</w:t>
            </w:r>
          </w:p>
        </w:tc>
        <w:tc>
          <w:tcPr>
            <w:tcW w:w="1097" w:type="dxa"/>
            <w:tcBorders>
              <w:tl2br w:val="nil"/>
              <w:tr2bl w:val="nil"/>
            </w:tcBorders>
            <w:vAlign w:val="center"/>
          </w:tcPr>
          <w:p w14:paraId="110F6FB1"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lang w:bidi="ar"/>
              </w:rPr>
              <w:t>5</w:t>
            </w:r>
          </w:p>
        </w:tc>
        <w:tc>
          <w:tcPr>
            <w:tcW w:w="1165" w:type="dxa"/>
            <w:tcBorders>
              <w:tl2br w:val="nil"/>
              <w:tr2bl w:val="nil"/>
            </w:tcBorders>
            <w:vAlign w:val="center"/>
          </w:tcPr>
          <w:p w14:paraId="183C8E6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职业人员</w:t>
            </w:r>
          </w:p>
        </w:tc>
      </w:tr>
      <w:tr w:rsidR="00A67F21" w:rsidRPr="00B12FE0" w14:paraId="145AF286" w14:textId="77777777">
        <w:trPr>
          <w:trHeight w:val="285"/>
          <w:jc w:val="center"/>
        </w:trPr>
        <w:tc>
          <w:tcPr>
            <w:tcW w:w="2173" w:type="dxa"/>
            <w:tcBorders>
              <w:tl2br w:val="nil"/>
              <w:tr2bl w:val="nil"/>
            </w:tcBorders>
            <w:vAlign w:val="center"/>
          </w:tcPr>
          <w:p w14:paraId="76D419B6"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lang w:bidi="ar"/>
              </w:rPr>
              <w:t>南侧辅助机房</w:t>
            </w:r>
          </w:p>
        </w:tc>
        <w:tc>
          <w:tcPr>
            <w:tcW w:w="1242" w:type="dxa"/>
            <w:tcBorders>
              <w:tl2br w:val="nil"/>
              <w:tr2bl w:val="nil"/>
            </w:tcBorders>
            <w:vAlign w:val="center"/>
          </w:tcPr>
          <w:p w14:paraId="41EB57F3"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rPr>
              <w:t>8.22</w:t>
            </w:r>
            <w:r w:rsidRPr="00B12FE0">
              <w:rPr>
                <w:color w:val="000000" w:themeColor="text1"/>
                <w:kern w:val="0"/>
                <w:sz w:val="21"/>
                <w:szCs w:val="21"/>
              </w:rPr>
              <w:t>E-0</w:t>
            </w:r>
            <w:r w:rsidRPr="00B12FE0">
              <w:rPr>
                <w:rFonts w:hint="eastAsia"/>
                <w:color w:val="000000" w:themeColor="text1"/>
                <w:kern w:val="0"/>
                <w:sz w:val="21"/>
                <w:szCs w:val="21"/>
              </w:rPr>
              <w:t>4</w:t>
            </w:r>
          </w:p>
        </w:tc>
        <w:tc>
          <w:tcPr>
            <w:tcW w:w="676" w:type="dxa"/>
            <w:tcBorders>
              <w:tl2br w:val="nil"/>
              <w:tr2bl w:val="nil"/>
            </w:tcBorders>
            <w:vAlign w:val="center"/>
          </w:tcPr>
          <w:p w14:paraId="7C99D06D"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lang w:bidi="ar"/>
              </w:rPr>
              <w:t>1/4</w:t>
            </w:r>
          </w:p>
        </w:tc>
        <w:tc>
          <w:tcPr>
            <w:tcW w:w="1039" w:type="dxa"/>
            <w:tcBorders>
              <w:tl2br w:val="nil"/>
              <w:tr2bl w:val="nil"/>
            </w:tcBorders>
            <w:noWrap/>
            <w:vAlign w:val="center"/>
          </w:tcPr>
          <w:p w14:paraId="33DDECEB"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lang w:bidi="ar"/>
              </w:rPr>
              <w:t>2000</w:t>
            </w:r>
          </w:p>
        </w:tc>
        <w:tc>
          <w:tcPr>
            <w:tcW w:w="1431" w:type="dxa"/>
            <w:tcBorders>
              <w:top w:val="nil"/>
              <w:left w:val="nil"/>
              <w:bottom w:val="single" w:sz="8" w:space="0" w:color="000000"/>
              <w:right w:val="single" w:sz="8" w:space="0" w:color="000000"/>
            </w:tcBorders>
            <w:vAlign w:val="center"/>
          </w:tcPr>
          <w:p w14:paraId="63D6CF02" w14:textId="77777777" w:rsidR="00A67F21" w:rsidRPr="00B12FE0" w:rsidRDefault="00000000">
            <w:pPr>
              <w:widowControl/>
              <w:jc w:val="center"/>
              <w:textAlignment w:val="center"/>
              <w:rPr>
                <w:color w:val="000000" w:themeColor="text1"/>
                <w:kern w:val="0"/>
                <w:sz w:val="21"/>
                <w:szCs w:val="21"/>
                <w:lang w:bidi="ar"/>
              </w:rPr>
            </w:pPr>
            <w:r w:rsidRPr="00B12FE0">
              <w:rPr>
                <w:rFonts w:eastAsia="等线"/>
                <w:color w:val="000000" w:themeColor="text1"/>
                <w:sz w:val="21"/>
                <w:szCs w:val="21"/>
              </w:rPr>
              <w:t>4.11E-04</w:t>
            </w:r>
          </w:p>
        </w:tc>
        <w:tc>
          <w:tcPr>
            <w:tcW w:w="1097" w:type="dxa"/>
            <w:tcBorders>
              <w:tl2br w:val="nil"/>
              <w:tr2bl w:val="nil"/>
            </w:tcBorders>
            <w:vAlign w:val="center"/>
          </w:tcPr>
          <w:p w14:paraId="42D05F2F" w14:textId="77777777" w:rsidR="00A67F21" w:rsidRPr="00B12FE0" w:rsidRDefault="00000000">
            <w:pPr>
              <w:widowControl/>
              <w:jc w:val="center"/>
              <w:textAlignment w:val="center"/>
              <w:rPr>
                <w:color w:val="000000" w:themeColor="text1"/>
                <w:kern w:val="0"/>
                <w:sz w:val="21"/>
                <w:szCs w:val="21"/>
                <w:lang w:bidi="ar"/>
              </w:rPr>
            </w:pPr>
            <w:r w:rsidRPr="00B12FE0">
              <w:rPr>
                <w:rFonts w:hint="eastAsia"/>
                <w:color w:val="000000" w:themeColor="text1"/>
                <w:kern w:val="0"/>
                <w:sz w:val="21"/>
                <w:szCs w:val="21"/>
                <w:lang w:bidi="ar"/>
              </w:rPr>
              <w:t>0.1</w:t>
            </w:r>
          </w:p>
        </w:tc>
        <w:tc>
          <w:tcPr>
            <w:tcW w:w="1165" w:type="dxa"/>
            <w:tcBorders>
              <w:tl2br w:val="nil"/>
              <w:tr2bl w:val="nil"/>
            </w:tcBorders>
            <w:vAlign w:val="center"/>
          </w:tcPr>
          <w:p w14:paraId="4EE077A6" w14:textId="77777777" w:rsidR="00A67F21" w:rsidRPr="00B12FE0" w:rsidRDefault="00000000">
            <w:pPr>
              <w:widowControl/>
              <w:jc w:val="center"/>
              <w:textAlignment w:val="center"/>
              <w:rPr>
                <w:color w:val="000000" w:themeColor="text1"/>
                <w:kern w:val="0"/>
                <w:sz w:val="21"/>
                <w:szCs w:val="21"/>
                <w:lang w:bidi="ar"/>
              </w:rPr>
            </w:pPr>
            <w:r w:rsidRPr="00B12FE0">
              <w:rPr>
                <w:color w:val="000000" w:themeColor="text1"/>
                <w:kern w:val="0"/>
                <w:sz w:val="21"/>
                <w:szCs w:val="21"/>
                <w:lang w:bidi="ar"/>
              </w:rPr>
              <w:t>公众</w:t>
            </w:r>
          </w:p>
        </w:tc>
      </w:tr>
      <w:tr w:rsidR="00A67F21" w:rsidRPr="00B12FE0" w14:paraId="316DFCB8" w14:textId="77777777">
        <w:trPr>
          <w:trHeight w:val="285"/>
          <w:jc w:val="center"/>
        </w:trPr>
        <w:tc>
          <w:tcPr>
            <w:tcW w:w="2173" w:type="dxa"/>
            <w:tcBorders>
              <w:tl2br w:val="nil"/>
              <w:tr2bl w:val="nil"/>
            </w:tcBorders>
            <w:vAlign w:val="center"/>
          </w:tcPr>
          <w:p w14:paraId="0016C2A5" w14:textId="77777777" w:rsidR="00A67F21" w:rsidRPr="00B12FE0" w:rsidRDefault="00000000">
            <w:pPr>
              <w:widowControl/>
              <w:jc w:val="center"/>
              <w:textAlignment w:val="center"/>
              <w:rPr>
                <w:color w:val="000000" w:themeColor="text1"/>
                <w:sz w:val="21"/>
                <w:szCs w:val="21"/>
              </w:rPr>
            </w:pPr>
            <w:r w:rsidRPr="00B12FE0">
              <w:rPr>
                <w:rFonts w:cs="宋体" w:hint="eastAsia"/>
                <w:color w:val="000000" w:themeColor="text1"/>
                <w:sz w:val="21"/>
                <w:szCs w:val="21"/>
              </w:rPr>
              <w:t>电梯及楼梯间、制模室</w:t>
            </w:r>
          </w:p>
        </w:tc>
        <w:tc>
          <w:tcPr>
            <w:tcW w:w="1242" w:type="dxa"/>
            <w:tcBorders>
              <w:tl2br w:val="nil"/>
              <w:tr2bl w:val="nil"/>
            </w:tcBorders>
            <w:vAlign w:val="center"/>
          </w:tcPr>
          <w:p w14:paraId="0435DDC1"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8.22</w:t>
            </w:r>
            <w:r w:rsidRPr="00B12FE0">
              <w:rPr>
                <w:color w:val="000000" w:themeColor="text1"/>
                <w:kern w:val="0"/>
                <w:sz w:val="21"/>
                <w:szCs w:val="21"/>
              </w:rPr>
              <w:t>E-0</w:t>
            </w:r>
            <w:r w:rsidRPr="00B12FE0">
              <w:rPr>
                <w:rFonts w:hint="eastAsia"/>
                <w:color w:val="000000" w:themeColor="text1"/>
                <w:kern w:val="0"/>
                <w:sz w:val="21"/>
                <w:szCs w:val="21"/>
              </w:rPr>
              <w:t>4</w:t>
            </w:r>
          </w:p>
        </w:tc>
        <w:tc>
          <w:tcPr>
            <w:tcW w:w="676" w:type="dxa"/>
            <w:tcBorders>
              <w:tl2br w:val="nil"/>
              <w:tr2bl w:val="nil"/>
            </w:tcBorders>
            <w:vAlign w:val="center"/>
          </w:tcPr>
          <w:p w14:paraId="2188F63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1</w:t>
            </w:r>
            <w:r w:rsidRPr="00B12FE0">
              <w:rPr>
                <w:rFonts w:hint="eastAsia"/>
                <w:color w:val="000000" w:themeColor="text1"/>
                <w:kern w:val="0"/>
                <w:sz w:val="21"/>
                <w:szCs w:val="21"/>
                <w:lang w:bidi="ar"/>
              </w:rPr>
              <w:t>/8</w:t>
            </w:r>
          </w:p>
        </w:tc>
        <w:tc>
          <w:tcPr>
            <w:tcW w:w="1039" w:type="dxa"/>
            <w:tcBorders>
              <w:tl2br w:val="nil"/>
              <w:tr2bl w:val="nil"/>
            </w:tcBorders>
            <w:noWrap/>
            <w:vAlign w:val="center"/>
          </w:tcPr>
          <w:p w14:paraId="1E5AF0A6"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2000</w:t>
            </w:r>
          </w:p>
        </w:tc>
        <w:tc>
          <w:tcPr>
            <w:tcW w:w="1431" w:type="dxa"/>
            <w:tcBorders>
              <w:top w:val="nil"/>
              <w:left w:val="nil"/>
              <w:bottom w:val="single" w:sz="8" w:space="0" w:color="000000"/>
              <w:right w:val="single" w:sz="8" w:space="0" w:color="000000"/>
            </w:tcBorders>
            <w:vAlign w:val="center"/>
          </w:tcPr>
          <w:p w14:paraId="21CECEF2"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2.06E-04</w:t>
            </w:r>
          </w:p>
        </w:tc>
        <w:tc>
          <w:tcPr>
            <w:tcW w:w="1097" w:type="dxa"/>
            <w:tcBorders>
              <w:tl2br w:val="nil"/>
              <w:tr2bl w:val="nil"/>
            </w:tcBorders>
            <w:vAlign w:val="center"/>
          </w:tcPr>
          <w:p w14:paraId="15E5EE10"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0.1</w:t>
            </w:r>
          </w:p>
        </w:tc>
        <w:tc>
          <w:tcPr>
            <w:tcW w:w="1165" w:type="dxa"/>
            <w:tcBorders>
              <w:tl2br w:val="nil"/>
              <w:tr2bl w:val="nil"/>
            </w:tcBorders>
            <w:vAlign w:val="center"/>
          </w:tcPr>
          <w:p w14:paraId="30EA8E9D"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公众</w:t>
            </w:r>
          </w:p>
        </w:tc>
      </w:tr>
      <w:tr w:rsidR="00A67F21" w:rsidRPr="00B12FE0" w14:paraId="39EFBA45" w14:textId="77777777">
        <w:trPr>
          <w:trHeight w:val="285"/>
          <w:jc w:val="center"/>
        </w:trPr>
        <w:tc>
          <w:tcPr>
            <w:tcW w:w="2173" w:type="dxa"/>
            <w:tcBorders>
              <w:tl2br w:val="nil"/>
              <w:tr2bl w:val="nil"/>
            </w:tcBorders>
            <w:vAlign w:val="center"/>
          </w:tcPr>
          <w:p w14:paraId="6384F6F5"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北侧控</w:t>
            </w:r>
            <w:r w:rsidRPr="00B12FE0">
              <w:rPr>
                <w:rFonts w:hint="eastAsia"/>
                <w:color w:val="000000" w:themeColor="text1"/>
                <w:kern w:val="0"/>
                <w:sz w:val="21"/>
                <w:szCs w:val="21"/>
                <w:lang w:bidi="ar"/>
              </w:rPr>
              <w:t>候诊区</w:t>
            </w:r>
          </w:p>
        </w:tc>
        <w:tc>
          <w:tcPr>
            <w:tcW w:w="1242" w:type="dxa"/>
            <w:tcBorders>
              <w:tl2br w:val="nil"/>
              <w:tr2bl w:val="nil"/>
            </w:tcBorders>
            <w:vAlign w:val="center"/>
          </w:tcPr>
          <w:p w14:paraId="7F030638"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rPr>
              <w:t>8.22</w:t>
            </w:r>
            <w:r w:rsidRPr="00B12FE0">
              <w:rPr>
                <w:color w:val="000000" w:themeColor="text1"/>
                <w:kern w:val="0"/>
                <w:sz w:val="21"/>
                <w:szCs w:val="21"/>
              </w:rPr>
              <w:t>E-0</w:t>
            </w:r>
            <w:r w:rsidRPr="00B12FE0">
              <w:rPr>
                <w:rFonts w:hint="eastAsia"/>
                <w:color w:val="000000" w:themeColor="text1"/>
                <w:kern w:val="0"/>
                <w:sz w:val="21"/>
                <w:szCs w:val="21"/>
              </w:rPr>
              <w:t>4</w:t>
            </w:r>
          </w:p>
        </w:tc>
        <w:tc>
          <w:tcPr>
            <w:tcW w:w="676" w:type="dxa"/>
            <w:tcBorders>
              <w:tl2br w:val="nil"/>
              <w:tr2bl w:val="nil"/>
            </w:tcBorders>
            <w:vAlign w:val="center"/>
          </w:tcPr>
          <w:p w14:paraId="32127DCB"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1</w:t>
            </w:r>
          </w:p>
        </w:tc>
        <w:tc>
          <w:tcPr>
            <w:tcW w:w="1039" w:type="dxa"/>
            <w:tcBorders>
              <w:tl2br w:val="nil"/>
              <w:tr2bl w:val="nil"/>
            </w:tcBorders>
            <w:noWrap/>
            <w:vAlign w:val="center"/>
          </w:tcPr>
          <w:p w14:paraId="0A709A82"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lang w:bidi="ar"/>
              </w:rPr>
              <w:t>2000</w:t>
            </w:r>
          </w:p>
        </w:tc>
        <w:tc>
          <w:tcPr>
            <w:tcW w:w="1431" w:type="dxa"/>
            <w:tcBorders>
              <w:top w:val="nil"/>
              <w:left w:val="nil"/>
              <w:bottom w:val="single" w:sz="8" w:space="0" w:color="000000"/>
              <w:right w:val="single" w:sz="8" w:space="0" w:color="000000"/>
            </w:tcBorders>
            <w:vAlign w:val="center"/>
          </w:tcPr>
          <w:p w14:paraId="1CE424D3" w14:textId="77777777" w:rsidR="00A67F21" w:rsidRPr="00B12FE0" w:rsidRDefault="00000000">
            <w:pPr>
              <w:widowControl/>
              <w:jc w:val="center"/>
              <w:textAlignment w:val="center"/>
              <w:rPr>
                <w:color w:val="000000" w:themeColor="text1"/>
                <w:sz w:val="21"/>
                <w:szCs w:val="21"/>
              </w:rPr>
            </w:pPr>
            <w:r w:rsidRPr="00B12FE0">
              <w:rPr>
                <w:rFonts w:eastAsia="等线"/>
                <w:color w:val="000000" w:themeColor="text1"/>
                <w:sz w:val="21"/>
                <w:szCs w:val="21"/>
              </w:rPr>
              <w:t>1.64E-03</w:t>
            </w:r>
          </w:p>
        </w:tc>
        <w:tc>
          <w:tcPr>
            <w:tcW w:w="1097" w:type="dxa"/>
            <w:tcBorders>
              <w:tl2br w:val="nil"/>
              <w:tr2bl w:val="nil"/>
            </w:tcBorders>
            <w:vAlign w:val="center"/>
          </w:tcPr>
          <w:p w14:paraId="776583F2" w14:textId="77777777" w:rsidR="00A67F21" w:rsidRPr="00B12FE0" w:rsidRDefault="00000000">
            <w:pPr>
              <w:widowControl/>
              <w:jc w:val="center"/>
              <w:textAlignment w:val="center"/>
              <w:rPr>
                <w:color w:val="000000" w:themeColor="text1"/>
                <w:sz w:val="21"/>
                <w:szCs w:val="21"/>
              </w:rPr>
            </w:pPr>
            <w:r w:rsidRPr="00B12FE0">
              <w:rPr>
                <w:rFonts w:hint="eastAsia"/>
                <w:color w:val="000000" w:themeColor="text1"/>
                <w:kern w:val="0"/>
                <w:sz w:val="21"/>
                <w:szCs w:val="21"/>
                <w:lang w:bidi="ar"/>
              </w:rPr>
              <w:t>0.1</w:t>
            </w:r>
          </w:p>
        </w:tc>
        <w:tc>
          <w:tcPr>
            <w:tcW w:w="1165" w:type="dxa"/>
            <w:tcBorders>
              <w:tl2br w:val="nil"/>
              <w:tr2bl w:val="nil"/>
            </w:tcBorders>
            <w:vAlign w:val="center"/>
          </w:tcPr>
          <w:p w14:paraId="0C83DE31" w14:textId="77777777" w:rsidR="00A67F21" w:rsidRPr="00B12FE0" w:rsidRDefault="00000000">
            <w:pPr>
              <w:widowControl/>
              <w:jc w:val="center"/>
              <w:textAlignment w:val="center"/>
              <w:rPr>
                <w:color w:val="000000" w:themeColor="text1"/>
                <w:sz w:val="21"/>
                <w:szCs w:val="21"/>
              </w:rPr>
            </w:pPr>
            <w:r w:rsidRPr="00B12FE0">
              <w:rPr>
                <w:color w:val="000000" w:themeColor="text1"/>
                <w:kern w:val="0"/>
                <w:sz w:val="21"/>
                <w:szCs w:val="21"/>
                <w:lang w:bidi="ar"/>
              </w:rPr>
              <w:t>公众</w:t>
            </w:r>
          </w:p>
        </w:tc>
      </w:tr>
      <w:tr w:rsidR="00A67F21" w:rsidRPr="00B12FE0" w14:paraId="20E2CB80" w14:textId="77777777">
        <w:trPr>
          <w:trHeight w:val="285"/>
          <w:jc w:val="center"/>
        </w:trPr>
        <w:tc>
          <w:tcPr>
            <w:tcW w:w="8823" w:type="dxa"/>
            <w:gridSpan w:val="7"/>
            <w:tcBorders>
              <w:tl2br w:val="nil"/>
              <w:tr2bl w:val="nil"/>
            </w:tcBorders>
            <w:vAlign w:val="center"/>
          </w:tcPr>
          <w:p w14:paraId="3CC9B2F2" w14:textId="77777777" w:rsidR="00A67F21" w:rsidRPr="00B12FE0" w:rsidRDefault="00000000">
            <w:pPr>
              <w:widowControl/>
              <w:textAlignment w:val="center"/>
              <w:rPr>
                <w:color w:val="000000" w:themeColor="text1"/>
                <w:kern w:val="0"/>
                <w:sz w:val="21"/>
                <w:szCs w:val="21"/>
                <w:lang w:bidi="ar"/>
              </w:rPr>
            </w:pPr>
            <w:r w:rsidRPr="00B12FE0">
              <w:rPr>
                <w:color w:val="000000" w:themeColor="text1"/>
                <w:kern w:val="0"/>
                <w:sz w:val="21"/>
                <w:szCs w:val="21"/>
                <w:lang w:bidi="ar"/>
              </w:rPr>
              <w:t>注：</w:t>
            </w:r>
            <w:r w:rsidRPr="00B12FE0">
              <w:rPr>
                <w:color w:val="000000" w:themeColor="text1"/>
                <w:sz w:val="21"/>
                <w:szCs w:val="21"/>
              </w:rPr>
              <w:t>下方</w:t>
            </w:r>
            <w:r w:rsidRPr="00B12FE0">
              <w:rPr>
                <w:rFonts w:hint="eastAsia"/>
                <w:color w:val="000000" w:themeColor="text1"/>
                <w:sz w:val="21"/>
                <w:szCs w:val="21"/>
              </w:rPr>
              <w:t>上方为不可上人屋顶、下方</w:t>
            </w:r>
            <w:r w:rsidRPr="00B12FE0">
              <w:rPr>
                <w:color w:val="000000" w:themeColor="text1"/>
                <w:sz w:val="21"/>
                <w:szCs w:val="21"/>
              </w:rPr>
              <w:t>为土层，不进行分析。周围公众的工作时间按照</w:t>
            </w:r>
            <w:r w:rsidRPr="00B12FE0">
              <w:rPr>
                <w:color w:val="000000" w:themeColor="text1"/>
                <w:sz w:val="21"/>
                <w:szCs w:val="21"/>
              </w:rPr>
              <w:t>8h/d*250d=2000h/a.</w:t>
            </w:r>
          </w:p>
        </w:tc>
      </w:tr>
    </w:tbl>
    <w:p w14:paraId="37A5C252" w14:textId="77777777" w:rsidR="00A67F21" w:rsidRPr="00B12FE0" w:rsidRDefault="00000000">
      <w:pPr>
        <w:adjustRightInd w:val="0"/>
        <w:spacing w:beforeLines="50" w:before="120" w:line="360" w:lineRule="auto"/>
        <w:ind w:firstLineChars="200" w:firstLine="480"/>
        <w:rPr>
          <w:color w:val="000000" w:themeColor="text1"/>
        </w:rPr>
      </w:pPr>
      <w:r w:rsidRPr="00B12FE0">
        <w:rPr>
          <w:rFonts w:hint="eastAsia"/>
          <w:color w:val="000000" w:themeColor="text1"/>
        </w:rPr>
        <w:t>由上表可知，本项目</w:t>
      </w:r>
      <w:r w:rsidRPr="00B12FE0">
        <w:rPr>
          <w:rFonts w:hint="eastAsia"/>
          <w:color w:val="000000" w:themeColor="text1"/>
          <w:szCs w:val="24"/>
        </w:rPr>
        <w:t>模拟定位</w:t>
      </w:r>
      <w:r w:rsidRPr="00B12FE0">
        <w:rPr>
          <w:rFonts w:hint="eastAsia"/>
          <w:color w:val="000000" w:themeColor="text1"/>
          <w:szCs w:val="24"/>
        </w:rPr>
        <w:t>CT</w:t>
      </w:r>
      <w:r w:rsidRPr="00B12FE0">
        <w:rPr>
          <w:rFonts w:hint="eastAsia"/>
          <w:color w:val="000000" w:themeColor="text1"/>
        </w:rPr>
        <w:t>运行时，辐射工作人员年有效剂量为</w:t>
      </w:r>
      <w:r w:rsidRPr="00B12FE0">
        <w:rPr>
          <w:color w:val="000000" w:themeColor="text1"/>
          <w:kern w:val="0"/>
          <w:szCs w:val="24"/>
        </w:rPr>
        <w:t>3.42E-04</w:t>
      </w:r>
      <w:r w:rsidRPr="00B12FE0">
        <w:rPr>
          <w:color w:val="000000" w:themeColor="text1"/>
        </w:rPr>
        <w:t>mSv</w:t>
      </w:r>
      <w:r w:rsidRPr="00B12FE0">
        <w:rPr>
          <w:rFonts w:hint="eastAsia"/>
          <w:color w:val="000000" w:themeColor="text1"/>
        </w:rPr>
        <w:t>，能够满足本项目职业人员年有效剂量不超过</w:t>
      </w:r>
      <w:r w:rsidRPr="00B12FE0">
        <w:rPr>
          <w:color w:val="000000" w:themeColor="text1"/>
        </w:rPr>
        <w:t>5mSv</w:t>
      </w:r>
      <w:r w:rsidRPr="00B12FE0">
        <w:rPr>
          <w:rFonts w:hint="eastAsia"/>
          <w:color w:val="000000" w:themeColor="text1"/>
        </w:rPr>
        <w:t>的剂量约束值要求。</w:t>
      </w:r>
    </w:p>
    <w:p w14:paraId="6D1C8EF1" w14:textId="77777777" w:rsidR="00A67F21" w:rsidRPr="00B12FE0" w:rsidRDefault="00000000">
      <w:pPr>
        <w:adjustRightInd w:val="0"/>
        <w:spacing w:line="360" w:lineRule="auto"/>
        <w:ind w:firstLineChars="200" w:firstLine="480"/>
        <w:rPr>
          <w:color w:val="000000" w:themeColor="text1"/>
        </w:rPr>
      </w:pPr>
      <w:r w:rsidRPr="00B12FE0">
        <w:rPr>
          <w:rFonts w:hint="eastAsia"/>
          <w:color w:val="000000" w:themeColor="text1"/>
          <w:szCs w:val="24"/>
        </w:rPr>
        <w:t>模拟定位</w:t>
      </w:r>
      <w:r w:rsidRPr="00B12FE0">
        <w:rPr>
          <w:rFonts w:hint="eastAsia"/>
          <w:color w:val="000000" w:themeColor="text1"/>
          <w:szCs w:val="24"/>
        </w:rPr>
        <w:t>CT</w:t>
      </w:r>
      <w:r w:rsidRPr="00B12FE0">
        <w:rPr>
          <w:rFonts w:hint="eastAsia"/>
          <w:color w:val="000000" w:themeColor="text1"/>
        </w:rPr>
        <w:t>机房周围公众年有效剂量最大值为</w:t>
      </w:r>
      <w:r w:rsidRPr="00B12FE0">
        <w:rPr>
          <w:color w:val="000000" w:themeColor="text1"/>
          <w:kern w:val="0"/>
          <w:szCs w:val="21"/>
        </w:rPr>
        <w:t>1.64E-03</w:t>
      </w:r>
      <w:r w:rsidRPr="00B12FE0">
        <w:rPr>
          <w:color w:val="000000" w:themeColor="text1"/>
        </w:rPr>
        <w:t>mSv</w:t>
      </w:r>
      <w:r w:rsidRPr="00B12FE0">
        <w:rPr>
          <w:rFonts w:hint="eastAsia"/>
          <w:color w:val="000000" w:themeColor="text1"/>
        </w:rPr>
        <w:t>。对于机房</w:t>
      </w:r>
      <w:r w:rsidRPr="00B12FE0">
        <w:rPr>
          <w:color w:val="000000" w:themeColor="text1"/>
        </w:rPr>
        <w:t>50</w:t>
      </w:r>
      <w:r w:rsidRPr="00B12FE0">
        <w:rPr>
          <w:rFonts w:hint="eastAsia"/>
          <w:color w:val="000000" w:themeColor="text1"/>
        </w:rPr>
        <w:t>米范围内其他公众，由于剂量率与距离平方成反比以及评价范围内建筑墙体屏蔽，随着距离的增加，</w:t>
      </w:r>
      <w:r w:rsidRPr="00B12FE0">
        <w:rPr>
          <w:rFonts w:hint="eastAsia"/>
          <w:color w:val="000000" w:themeColor="text1"/>
          <w:szCs w:val="24"/>
        </w:rPr>
        <w:t>模拟定位</w:t>
      </w:r>
      <w:r w:rsidRPr="00B12FE0">
        <w:rPr>
          <w:rFonts w:hint="eastAsia"/>
          <w:color w:val="000000" w:themeColor="text1"/>
          <w:szCs w:val="24"/>
        </w:rPr>
        <w:t>CT</w:t>
      </w:r>
      <w:r w:rsidRPr="00B12FE0">
        <w:rPr>
          <w:rFonts w:hint="eastAsia"/>
          <w:color w:val="000000" w:themeColor="text1"/>
        </w:rPr>
        <w:t>机房实体屏蔽物边界外</w:t>
      </w:r>
      <w:r w:rsidRPr="00B12FE0">
        <w:rPr>
          <w:color w:val="000000" w:themeColor="text1"/>
        </w:rPr>
        <w:t>50m</w:t>
      </w:r>
      <w:r w:rsidRPr="00B12FE0">
        <w:rPr>
          <w:rFonts w:hint="eastAsia"/>
          <w:color w:val="000000" w:themeColor="text1"/>
        </w:rPr>
        <w:t>范围内公众年有效剂量更小。</w:t>
      </w:r>
    </w:p>
    <w:p w14:paraId="7BA49481" w14:textId="77777777" w:rsidR="00A67F21" w:rsidRPr="00B12FE0" w:rsidRDefault="00000000">
      <w:pPr>
        <w:adjustRightInd w:val="0"/>
        <w:spacing w:line="360" w:lineRule="auto"/>
        <w:ind w:firstLineChars="200" w:firstLine="480"/>
        <w:rPr>
          <w:color w:val="000000" w:themeColor="text1"/>
        </w:rPr>
      </w:pPr>
      <w:r w:rsidRPr="00B12FE0">
        <w:rPr>
          <w:rFonts w:hint="eastAsia"/>
          <w:color w:val="000000" w:themeColor="text1"/>
        </w:rPr>
        <w:t>综上，本项目</w:t>
      </w:r>
      <w:r w:rsidRPr="00B12FE0">
        <w:rPr>
          <w:rFonts w:hint="eastAsia"/>
          <w:color w:val="000000" w:themeColor="text1"/>
          <w:szCs w:val="24"/>
        </w:rPr>
        <w:t>模拟定位</w:t>
      </w:r>
      <w:r w:rsidRPr="00B12FE0">
        <w:rPr>
          <w:rFonts w:hint="eastAsia"/>
          <w:color w:val="000000" w:themeColor="text1"/>
          <w:szCs w:val="24"/>
        </w:rPr>
        <w:t>CT</w:t>
      </w:r>
      <w:r w:rsidRPr="00B12FE0">
        <w:rPr>
          <w:rFonts w:hint="eastAsia"/>
          <w:color w:val="000000" w:themeColor="text1"/>
        </w:rPr>
        <w:t>机房周围及实体屏蔽物边界外</w:t>
      </w:r>
      <w:r w:rsidRPr="00B12FE0">
        <w:rPr>
          <w:color w:val="000000" w:themeColor="text1"/>
        </w:rPr>
        <w:t>50m</w:t>
      </w:r>
      <w:r w:rsidRPr="00B12FE0">
        <w:rPr>
          <w:rFonts w:hint="eastAsia"/>
          <w:color w:val="000000" w:themeColor="text1"/>
        </w:rPr>
        <w:t>范围内其他公众年有效剂量最大值为</w:t>
      </w:r>
      <w:r w:rsidRPr="00B12FE0">
        <w:rPr>
          <w:color w:val="000000" w:themeColor="text1"/>
        </w:rPr>
        <w:t>1.64E-03mSv</w:t>
      </w:r>
      <w:r w:rsidRPr="00B12FE0">
        <w:rPr>
          <w:rFonts w:hint="eastAsia"/>
          <w:color w:val="000000" w:themeColor="text1"/>
        </w:rPr>
        <w:t>，能够满足本项目公众年有效剂量不超过</w:t>
      </w:r>
      <w:r w:rsidRPr="00B12FE0">
        <w:rPr>
          <w:color w:val="000000" w:themeColor="text1"/>
        </w:rPr>
        <w:t>0.1mSv</w:t>
      </w:r>
      <w:r w:rsidRPr="00B12FE0">
        <w:rPr>
          <w:rFonts w:hint="eastAsia"/>
          <w:color w:val="000000" w:themeColor="text1"/>
        </w:rPr>
        <w:t>的剂</w:t>
      </w:r>
      <w:r w:rsidRPr="00B12FE0">
        <w:rPr>
          <w:rFonts w:hint="eastAsia"/>
          <w:color w:val="000000" w:themeColor="text1"/>
        </w:rPr>
        <w:lastRenderedPageBreak/>
        <w:t>量约束值要求。</w:t>
      </w:r>
    </w:p>
    <w:p w14:paraId="73E21ADC" w14:textId="77777777" w:rsidR="00A67F21" w:rsidRPr="00B12FE0" w:rsidRDefault="00000000">
      <w:pPr>
        <w:adjustRightInd w:val="0"/>
        <w:snapToGrid w:val="0"/>
        <w:spacing w:line="360" w:lineRule="auto"/>
        <w:ind w:firstLineChars="200" w:firstLine="482"/>
        <w:rPr>
          <w:b/>
          <w:bCs/>
          <w:color w:val="000000" w:themeColor="text1"/>
          <w:szCs w:val="28"/>
        </w:rPr>
      </w:pPr>
      <w:r w:rsidRPr="00B12FE0">
        <w:rPr>
          <w:rFonts w:hint="eastAsia"/>
          <w:b/>
          <w:bCs/>
          <w:color w:val="000000" w:themeColor="text1"/>
          <w:szCs w:val="28"/>
        </w:rPr>
        <w:t>（</w:t>
      </w:r>
      <w:r w:rsidRPr="00B12FE0">
        <w:rPr>
          <w:b/>
          <w:bCs/>
          <w:color w:val="000000" w:themeColor="text1"/>
          <w:szCs w:val="28"/>
        </w:rPr>
        <w:t>3</w:t>
      </w:r>
      <w:r w:rsidRPr="00B12FE0">
        <w:rPr>
          <w:rFonts w:hint="eastAsia"/>
          <w:b/>
          <w:bCs/>
          <w:color w:val="000000" w:themeColor="text1"/>
          <w:szCs w:val="28"/>
        </w:rPr>
        <w:t>）臭氧及氮氧化物影响分析</w:t>
      </w:r>
    </w:p>
    <w:p w14:paraId="442D6FD2" w14:textId="77777777" w:rsidR="00A67F21" w:rsidRPr="00B12FE0" w:rsidRDefault="00000000">
      <w:pPr>
        <w:adjustRightInd w:val="0"/>
        <w:snapToGrid w:val="0"/>
        <w:spacing w:line="360" w:lineRule="auto"/>
        <w:ind w:firstLineChars="200" w:firstLine="480"/>
        <w:rPr>
          <w:rFonts w:eastAsia="仿宋_GB2312"/>
          <w:color w:val="000000" w:themeColor="text1"/>
          <w:sz w:val="28"/>
        </w:rPr>
      </w:pPr>
      <w:r w:rsidRPr="00B12FE0">
        <w:rPr>
          <w:color w:val="000000" w:themeColor="text1"/>
        </w:rPr>
        <w:t>本项目模拟定位</w:t>
      </w:r>
      <w:r w:rsidRPr="00B12FE0">
        <w:rPr>
          <w:color w:val="000000" w:themeColor="text1"/>
        </w:rPr>
        <w:t>CT</w:t>
      </w:r>
      <w:r w:rsidRPr="00B12FE0">
        <w:rPr>
          <w:color w:val="000000" w:themeColor="text1"/>
        </w:rPr>
        <w:t>机房拟采用动力通风装置进行通风，新风口和排风口均设置于机房吊顶，保证机房内有良好的通风。模拟定位</w:t>
      </w:r>
      <w:r w:rsidRPr="00B12FE0">
        <w:rPr>
          <w:color w:val="000000" w:themeColor="text1"/>
        </w:rPr>
        <w:t>CT</w:t>
      </w:r>
      <w:r w:rsidRPr="00B12FE0">
        <w:rPr>
          <w:color w:val="000000" w:themeColor="text1"/>
        </w:rPr>
        <w:t>运行时产生的少量臭氧和氮氧化物经排风系统引至</w:t>
      </w:r>
      <w:r w:rsidRPr="00B12FE0">
        <w:rPr>
          <w:rFonts w:hint="eastAsia"/>
          <w:color w:val="000000" w:themeColor="text1"/>
        </w:rPr>
        <w:t>肿瘤治疗中心综合楼</w:t>
      </w:r>
      <w:r w:rsidRPr="00B12FE0">
        <w:rPr>
          <w:color w:val="000000" w:themeColor="text1"/>
        </w:rPr>
        <w:t>楼顶，最终高出楼顶排放。臭氧和氮氧化物排入大气环境后，经自然分解，可达标排放，对周围环境影响较小。</w:t>
      </w:r>
    </w:p>
    <w:p w14:paraId="1E27958C" w14:textId="77777777" w:rsidR="00A67F21" w:rsidRPr="00B12FE0" w:rsidRDefault="00000000">
      <w:pPr>
        <w:snapToGrid w:val="0"/>
        <w:spacing w:line="360" w:lineRule="auto"/>
        <w:contextualSpacing/>
        <w:outlineLvl w:val="1"/>
        <w:rPr>
          <w:b/>
          <w:color w:val="000000" w:themeColor="text1"/>
          <w:sz w:val="28"/>
          <w:szCs w:val="28"/>
        </w:rPr>
      </w:pPr>
      <w:r w:rsidRPr="00B12FE0">
        <w:rPr>
          <w:b/>
          <w:color w:val="000000" w:themeColor="text1"/>
          <w:sz w:val="28"/>
          <w:szCs w:val="28"/>
        </w:rPr>
        <w:t>11.3</w:t>
      </w:r>
      <w:r w:rsidRPr="00B12FE0">
        <w:rPr>
          <w:b/>
          <w:color w:val="000000" w:themeColor="text1"/>
          <w:sz w:val="28"/>
          <w:szCs w:val="28"/>
        </w:rPr>
        <w:t>事故影响分析</w:t>
      </w:r>
    </w:p>
    <w:p w14:paraId="6FA0CF8F" w14:textId="77777777" w:rsidR="00A67F21" w:rsidRPr="00B12FE0" w:rsidRDefault="00000000">
      <w:pPr>
        <w:snapToGrid w:val="0"/>
        <w:spacing w:line="360" w:lineRule="auto"/>
        <w:outlineLvl w:val="2"/>
        <w:rPr>
          <w:b/>
          <w:bCs/>
          <w:color w:val="000000" w:themeColor="text1"/>
        </w:rPr>
      </w:pPr>
      <w:r w:rsidRPr="00B12FE0">
        <w:rPr>
          <w:b/>
          <w:bCs/>
          <w:color w:val="000000" w:themeColor="text1"/>
        </w:rPr>
        <w:t>11.3.1</w:t>
      </w:r>
      <w:r w:rsidRPr="00B12FE0">
        <w:rPr>
          <w:rFonts w:hint="eastAsia"/>
          <w:b/>
          <w:bCs/>
          <w:color w:val="000000" w:themeColor="text1"/>
        </w:rPr>
        <w:t>核医学工作场所</w:t>
      </w:r>
      <w:r w:rsidRPr="00B12FE0">
        <w:rPr>
          <w:b/>
          <w:bCs/>
          <w:color w:val="000000" w:themeColor="text1"/>
        </w:rPr>
        <w:t>事故影响分析</w:t>
      </w:r>
    </w:p>
    <w:p w14:paraId="07478788" w14:textId="77777777" w:rsidR="00A67F21" w:rsidRPr="00B12FE0" w:rsidRDefault="00000000">
      <w:pPr>
        <w:snapToGrid w:val="0"/>
        <w:spacing w:line="360" w:lineRule="auto"/>
        <w:ind w:firstLineChars="200" w:firstLine="482"/>
        <w:rPr>
          <w:b/>
          <w:bCs/>
          <w:color w:val="000000" w:themeColor="text1"/>
        </w:rPr>
      </w:pPr>
      <w:r w:rsidRPr="00B12FE0">
        <w:rPr>
          <w:rFonts w:hint="eastAsia"/>
          <w:b/>
          <w:bCs/>
          <w:color w:val="000000" w:themeColor="text1"/>
        </w:rPr>
        <w:t>（</w:t>
      </w:r>
      <w:r w:rsidRPr="00B12FE0">
        <w:rPr>
          <w:rFonts w:hint="eastAsia"/>
          <w:b/>
          <w:bCs/>
          <w:color w:val="000000" w:themeColor="text1"/>
        </w:rPr>
        <w:t>1</w:t>
      </w:r>
      <w:r w:rsidRPr="00B12FE0">
        <w:rPr>
          <w:rFonts w:hint="eastAsia"/>
          <w:b/>
          <w:bCs/>
          <w:color w:val="000000" w:themeColor="text1"/>
        </w:rPr>
        <w:t>）</w:t>
      </w:r>
      <w:r w:rsidRPr="00B12FE0">
        <w:rPr>
          <w:b/>
          <w:bCs/>
          <w:color w:val="000000" w:themeColor="text1"/>
        </w:rPr>
        <w:t>可能发生的事故</w:t>
      </w:r>
    </w:p>
    <w:p w14:paraId="5E271325" w14:textId="77777777" w:rsidR="00A67F21" w:rsidRPr="00B12FE0" w:rsidRDefault="00000000">
      <w:pPr>
        <w:overflowPunct w:val="0"/>
        <w:autoSpaceDE w:val="0"/>
        <w:autoSpaceDN w:val="0"/>
        <w:adjustRightInd w:val="0"/>
        <w:spacing w:line="360" w:lineRule="auto"/>
        <w:ind w:firstLineChars="200" w:firstLine="480"/>
        <w:rPr>
          <w:bCs/>
          <w:snapToGrid w:val="0"/>
          <w:color w:val="000000" w:themeColor="text1"/>
          <w:kern w:val="0"/>
          <w:sz w:val="21"/>
          <w:szCs w:val="24"/>
        </w:rPr>
      </w:pPr>
      <w:r w:rsidRPr="00B12FE0">
        <w:rPr>
          <w:bCs/>
          <w:snapToGrid w:val="0"/>
          <w:color w:val="000000" w:themeColor="text1"/>
          <w:kern w:val="0"/>
          <w:szCs w:val="24"/>
        </w:rPr>
        <w:t>本次评价项目是在核医学工作场所使用回旋加速器制备</w:t>
      </w:r>
      <w:r w:rsidRPr="00B12FE0">
        <w:rPr>
          <w:bCs/>
          <w:snapToGrid w:val="0"/>
          <w:color w:val="000000" w:themeColor="text1"/>
          <w:kern w:val="0"/>
          <w:szCs w:val="24"/>
        </w:rPr>
        <w:t>PET</w:t>
      </w:r>
      <w:r w:rsidRPr="00B12FE0">
        <w:rPr>
          <w:bCs/>
          <w:snapToGrid w:val="0"/>
          <w:color w:val="000000" w:themeColor="text1"/>
          <w:kern w:val="0"/>
          <w:szCs w:val="24"/>
        </w:rPr>
        <w:t>用放射性药物、使用非密封放射性核素</w:t>
      </w:r>
      <w:r w:rsidRPr="00B12FE0">
        <w:rPr>
          <w:rFonts w:hint="eastAsia"/>
          <w:bCs/>
          <w:snapToGrid w:val="0"/>
          <w:color w:val="000000" w:themeColor="text1"/>
          <w:kern w:val="0"/>
          <w:szCs w:val="24"/>
        </w:rPr>
        <w:t>，使用射线装置进行显像诊断</w:t>
      </w:r>
      <w:r w:rsidRPr="00B12FE0">
        <w:rPr>
          <w:bCs/>
          <w:snapToGrid w:val="0"/>
          <w:color w:val="000000" w:themeColor="text1"/>
          <w:kern w:val="0"/>
          <w:szCs w:val="24"/>
        </w:rPr>
        <w:t>，可能发生的事故如下：</w:t>
      </w:r>
    </w:p>
    <w:p w14:paraId="1C1648C3" w14:textId="77777777" w:rsidR="00A67F21" w:rsidRPr="00B12FE0" w:rsidRDefault="00000000">
      <w:pPr>
        <w:adjustRightInd w:val="0"/>
        <w:snapToGrid w:val="0"/>
        <w:spacing w:line="360" w:lineRule="auto"/>
        <w:ind w:firstLineChars="200" w:firstLine="480"/>
        <w:rPr>
          <w:bCs/>
          <w:snapToGrid w:val="0"/>
          <w:color w:val="000000" w:themeColor="text1"/>
          <w:kern w:val="0"/>
          <w:sz w:val="21"/>
          <w:szCs w:val="24"/>
        </w:rPr>
      </w:pPr>
      <w:r w:rsidRPr="00B12FE0">
        <w:rPr>
          <w:bCs/>
          <w:snapToGrid w:val="0"/>
          <w:color w:val="000000" w:themeColor="text1"/>
          <w:kern w:val="0"/>
          <w:szCs w:val="24"/>
        </w:rPr>
        <w:fldChar w:fldCharType="begin"/>
      </w:r>
      <w:r w:rsidRPr="00B12FE0">
        <w:rPr>
          <w:bCs/>
          <w:snapToGrid w:val="0"/>
          <w:color w:val="000000" w:themeColor="text1"/>
          <w:kern w:val="0"/>
          <w:szCs w:val="24"/>
        </w:rPr>
        <w:instrText xml:space="preserve"> = 1 \* GB3 </w:instrText>
      </w:r>
      <w:r w:rsidRPr="00B12FE0">
        <w:rPr>
          <w:bCs/>
          <w:snapToGrid w:val="0"/>
          <w:color w:val="000000" w:themeColor="text1"/>
          <w:kern w:val="0"/>
          <w:szCs w:val="24"/>
        </w:rPr>
        <w:fldChar w:fldCharType="separate"/>
      </w:r>
      <w:r w:rsidRPr="00B12FE0">
        <w:rPr>
          <w:rFonts w:ascii="Cambria Math" w:hAnsi="Cambria Math" w:cs="Cambria Math"/>
          <w:bCs/>
          <w:snapToGrid w:val="0"/>
          <w:color w:val="000000" w:themeColor="text1"/>
          <w:kern w:val="0"/>
          <w:szCs w:val="24"/>
        </w:rPr>
        <w:t>①</w:t>
      </w:r>
      <w:r w:rsidRPr="00B12FE0">
        <w:rPr>
          <w:bCs/>
          <w:snapToGrid w:val="0"/>
          <w:color w:val="000000" w:themeColor="text1"/>
          <w:kern w:val="0"/>
          <w:szCs w:val="24"/>
        </w:rPr>
        <w:fldChar w:fldCharType="end"/>
      </w:r>
      <w:r w:rsidRPr="00B12FE0">
        <w:rPr>
          <w:bCs/>
          <w:snapToGrid w:val="0"/>
          <w:color w:val="000000" w:themeColor="text1"/>
          <w:szCs w:val="24"/>
        </w:rPr>
        <w:t>放射性药物试剂或校准源发生丢失或被盗</w:t>
      </w:r>
      <w:r w:rsidRPr="00B12FE0">
        <w:rPr>
          <w:bCs/>
          <w:snapToGrid w:val="0"/>
          <w:color w:val="000000" w:themeColor="text1"/>
          <w:kern w:val="0"/>
          <w:szCs w:val="24"/>
        </w:rPr>
        <w:t>。</w:t>
      </w:r>
    </w:p>
    <w:p w14:paraId="1DF21DE9" w14:textId="77777777" w:rsidR="00A67F21" w:rsidRPr="00B12FE0" w:rsidRDefault="00000000">
      <w:pPr>
        <w:adjustRightInd w:val="0"/>
        <w:snapToGrid w:val="0"/>
        <w:spacing w:line="360" w:lineRule="auto"/>
        <w:ind w:firstLineChars="200" w:firstLine="480"/>
        <w:rPr>
          <w:bCs/>
          <w:snapToGrid w:val="0"/>
          <w:color w:val="000000" w:themeColor="text1"/>
          <w:kern w:val="0"/>
          <w:szCs w:val="24"/>
        </w:rPr>
      </w:pPr>
      <w:r w:rsidRPr="00B12FE0">
        <w:rPr>
          <w:bCs/>
          <w:snapToGrid w:val="0"/>
          <w:color w:val="000000" w:themeColor="text1"/>
          <w:kern w:val="0"/>
          <w:szCs w:val="24"/>
        </w:rPr>
        <w:fldChar w:fldCharType="begin"/>
      </w:r>
      <w:r w:rsidRPr="00B12FE0">
        <w:rPr>
          <w:bCs/>
          <w:snapToGrid w:val="0"/>
          <w:color w:val="000000" w:themeColor="text1"/>
          <w:kern w:val="0"/>
          <w:szCs w:val="24"/>
        </w:rPr>
        <w:instrText xml:space="preserve"> = 2 \* GB3 </w:instrText>
      </w:r>
      <w:r w:rsidRPr="00B12FE0">
        <w:rPr>
          <w:bCs/>
          <w:snapToGrid w:val="0"/>
          <w:color w:val="000000" w:themeColor="text1"/>
          <w:kern w:val="0"/>
          <w:szCs w:val="24"/>
        </w:rPr>
        <w:fldChar w:fldCharType="separate"/>
      </w:r>
      <w:r w:rsidRPr="00B12FE0">
        <w:rPr>
          <w:rFonts w:ascii="Cambria Math" w:hAnsi="Cambria Math" w:cs="Cambria Math"/>
          <w:bCs/>
          <w:snapToGrid w:val="0"/>
          <w:color w:val="000000" w:themeColor="text1"/>
          <w:kern w:val="0"/>
          <w:szCs w:val="24"/>
        </w:rPr>
        <w:t>②</w:t>
      </w:r>
      <w:r w:rsidRPr="00B12FE0">
        <w:rPr>
          <w:bCs/>
          <w:snapToGrid w:val="0"/>
          <w:color w:val="000000" w:themeColor="text1"/>
          <w:kern w:val="0"/>
          <w:szCs w:val="24"/>
        </w:rPr>
        <w:fldChar w:fldCharType="end"/>
      </w:r>
      <w:r w:rsidRPr="00B12FE0">
        <w:rPr>
          <w:bCs/>
          <w:snapToGrid w:val="0"/>
          <w:color w:val="000000" w:themeColor="text1"/>
          <w:szCs w:val="24"/>
        </w:rPr>
        <w:t>回旋加速器内管道及传输管道堵塞或破裂，导致放射性药物意外泄漏，造成工作场所污染和人员的误照射</w:t>
      </w:r>
      <w:r w:rsidRPr="00B12FE0">
        <w:rPr>
          <w:bCs/>
          <w:snapToGrid w:val="0"/>
          <w:color w:val="000000" w:themeColor="text1"/>
          <w:kern w:val="0"/>
          <w:szCs w:val="24"/>
        </w:rPr>
        <w:t>。</w:t>
      </w:r>
    </w:p>
    <w:p w14:paraId="6C72288B"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kern w:val="0"/>
          <w:szCs w:val="24"/>
        </w:rPr>
        <w:t>③</w:t>
      </w:r>
      <w:r w:rsidRPr="00B12FE0">
        <w:rPr>
          <w:bCs/>
          <w:snapToGrid w:val="0"/>
          <w:color w:val="000000" w:themeColor="text1"/>
          <w:szCs w:val="24"/>
        </w:rPr>
        <w:t>试剂操作时打翻、洒漏造成操作台、地面、仪器设备表面污染。</w:t>
      </w:r>
    </w:p>
    <w:p w14:paraId="728A3F79" w14:textId="77777777" w:rsidR="00A67F21" w:rsidRPr="00B12FE0" w:rsidRDefault="00000000">
      <w:pPr>
        <w:adjustRightInd w:val="0"/>
        <w:snapToGrid w:val="0"/>
        <w:spacing w:line="360" w:lineRule="auto"/>
        <w:ind w:firstLineChars="200" w:firstLine="480"/>
        <w:rPr>
          <w:bCs/>
          <w:snapToGrid w:val="0"/>
          <w:color w:val="000000" w:themeColor="text1"/>
          <w:szCs w:val="24"/>
        </w:rPr>
      </w:pPr>
      <w:r w:rsidRPr="00B12FE0">
        <w:rPr>
          <w:rFonts w:ascii="Cambria Math" w:hAnsi="Cambria Math" w:cs="Cambria Math"/>
          <w:bCs/>
          <w:snapToGrid w:val="0"/>
          <w:color w:val="000000" w:themeColor="text1"/>
          <w:szCs w:val="24"/>
        </w:rPr>
        <w:t>④</w:t>
      </w:r>
      <w:r w:rsidRPr="00B12FE0">
        <w:rPr>
          <w:bCs/>
          <w:snapToGrid w:val="0"/>
          <w:color w:val="000000" w:themeColor="text1"/>
          <w:szCs w:val="24"/>
        </w:rPr>
        <w:t>发生火灾造成的放射试剂瓶洒漏。</w:t>
      </w:r>
    </w:p>
    <w:p w14:paraId="3CB20336" w14:textId="77777777" w:rsidR="00A67F21" w:rsidRPr="00B12FE0" w:rsidRDefault="00000000">
      <w:pPr>
        <w:snapToGrid w:val="0"/>
        <w:spacing w:line="360" w:lineRule="auto"/>
        <w:ind w:firstLineChars="200" w:firstLine="480"/>
        <w:contextualSpacing/>
        <w:rPr>
          <w:snapToGrid w:val="0"/>
          <w:color w:val="000000" w:themeColor="text1"/>
          <w:szCs w:val="24"/>
        </w:rPr>
      </w:pPr>
      <w:r w:rsidRPr="00B12FE0">
        <w:rPr>
          <w:rFonts w:ascii="Cambria Math" w:hAnsi="Cambria Math" w:cs="Cambria Math"/>
          <w:bCs/>
          <w:snapToGrid w:val="0"/>
          <w:color w:val="000000" w:themeColor="text1"/>
          <w:szCs w:val="24"/>
        </w:rPr>
        <w:t>⑤</w:t>
      </w:r>
      <w:r w:rsidRPr="00B12FE0">
        <w:rPr>
          <w:bCs/>
          <w:snapToGrid w:val="0"/>
          <w:color w:val="000000" w:themeColor="text1"/>
          <w:szCs w:val="24"/>
        </w:rPr>
        <w:t>回旋加速器机房门机</w:t>
      </w:r>
      <w:proofErr w:type="gramStart"/>
      <w:r w:rsidRPr="00B12FE0">
        <w:rPr>
          <w:bCs/>
          <w:snapToGrid w:val="0"/>
          <w:color w:val="000000" w:themeColor="text1"/>
          <w:szCs w:val="24"/>
        </w:rPr>
        <w:t>联锁</w:t>
      </w:r>
      <w:proofErr w:type="gramEnd"/>
      <w:r w:rsidRPr="00B12FE0">
        <w:rPr>
          <w:bCs/>
          <w:snapToGrid w:val="0"/>
          <w:color w:val="000000" w:themeColor="text1"/>
          <w:szCs w:val="24"/>
        </w:rPr>
        <w:t>失效或操作人员失误，人员误入机房，造成误照射</w:t>
      </w:r>
      <w:r w:rsidRPr="00B12FE0">
        <w:rPr>
          <w:snapToGrid w:val="0"/>
          <w:color w:val="000000" w:themeColor="text1"/>
          <w:szCs w:val="24"/>
        </w:rPr>
        <w:t>。</w:t>
      </w:r>
    </w:p>
    <w:p w14:paraId="14320B02" w14:textId="77777777" w:rsidR="00A67F21" w:rsidRPr="00B12FE0" w:rsidRDefault="00000000">
      <w:pPr>
        <w:snapToGrid w:val="0"/>
        <w:spacing w:line="360" w:lineRule="auto"/>
        <w:ind w:firstLineChars="200" w:firstLine="480"/>
        <w:contextualSpacing/>
        <w:rPr>
          <w:bCs/>
          <w:snapToGrid w:val="0"/>
          <w:color w:val="000000" w:themeColor="text1"/>
          <w:szCs w:val="24"/>
        </w:rPr>
      </w:pPr>
      <w:r w:rsidRPr="00B12FE0">
        <w:rPr>
          <w:rFonts w:hint="eastAsia"/>
          <w:bCs/>
          <w:snapToGrid w:val="0"/>
          <w:color w:val="000000" w:themeColor="text1"/>
          <w:szCs w:val="24"/>
        </w:rPr>
        <w:t>⑥</w:t>
      </w:r>
      <w:r w:rsidRPr="00B12FE0">
        <w:rPr>
          <w:bCs/>
          <w:snapToGrid w:val="0"/>
          <w:color w:val="000000" w:themeColor="text1"/>
          <w:szCs w:val="24"/>
        </w:rPr>
        <w:t>射线装置机房门灯联锁装置发生故障时，人员误入正在运行的射线装置机房，对人员造成误照射。</w:t>
      </w:r>
    </w:p>
    <w:p w14:paraId="5EDCFDC7" w14:textId="77777777" w:rsidR="00A67F21" w:rsidRPr="00B12FE0" w:rsidRDefault="00000000">
      <w:pPr>
        <w:kinsoku w:val="0"/>
        <w:overflowPunct w:val="0"/>
        <w:autoSpaceDE w:val="0"/>
        <w:autoSpaceDN w:val="0"/>
        <w:adjustRightInd w:val="0"/>
        <w:spacing w:line="360" w:lineRule="auto"/>
        <w:ind w:firstLineChars="200" w:firstLine="482"/>
        <w:jc w:val="left"/>
        <w:rPr>
          <w:b/>
          <w:bCs/>
          <w:snapToGrid w:val="0"/>
          <w:color w:val="000000" w:themeColor="text1"/>
          <w:kern w:val="0"/>
          <w:sz w:val="21"/>
          <w:szCs w:val="24"/>
        </w:rPr>
      </w:pPr>
      <w:r w:rsidRPr="00B12FE0">
        <w:rPr>
          <w:b/>
          <w:bCs/>
          <w:snapToGrid w:val="0"/>
          <w:color w:val="000000" w:themeColor="text1"/>
          <w:kern w:val="0"/>
          <w:szCs w:val="24"/>
        </w:rPr>
        <w:t>（</w:t>
      </w:r>
      <w:r w:rsidRPr="00B12FE0">
        <w:rPr>
          <w:b/>
          <w:bCs/>
          <w:snapToGrid w:val="0"/>
          <w:color w:val="000000" w:themeColor="text1"/>
          <w:kern w:val="0"/>
          <w:szCs w:val="24"/>
        </w:rPr>
        <w:t>2</w:t>
      </w:r>
      <w:r w:rsidRPr="00B12FE0">
        <w:rPr>
          <w:b/>
          <w:bCs/>
          <w:snapToGrid w:val="0"/>
          <w:color w:val="000000" w:themeColor="text1"/>
          <w:kern w:val="0"/>
          <w:szCs w:val="24"/>
        </w:rPr>
        <w:t>）</w:t>
      </w:r>
      <w:r w:rsidRPr="00B12FE0">
        <w:rPr>
          <w:rFonts w:hint="eastAsia"/>
          <w:b/>
          <w:bCs/>
          <w:snapToGrid w:val="0"/>
          <w:color w:val="000000" w:themeColor="text1"/>
          <w:kern w:val="0"/>
          <w:szCs w:val="24"/>
        </w:rPr>
        <w:t>辐射事故</w:t>
      </w:r>
      <w:r w:rsidRPr="00B12FE0">
        <w:rPr>
          <w:b/>
          <w:bCs/>
          <w:snapToGrid w:val="0"/>
          <w:color w:val="000000" w:themeColor="text1"/>
          <w:kern w:val="0"/>
          <w:szCs w:val="24"/>
        </w:rPr>
        <w:t>预防措施</w:t>
      </w:r>
    </w:p>
    <w:p w14:paraId="5F00A205" w14:textId="77777777" w:rsidR="00A67F21" w:rsidRPr="00B12FE0" w:rsidRDefault="00000000">
      <w:pPr>
        <w:overflowPunct w:val="0"/>
        <w:autoSpaceDE w:val="0"/>
        <w:autoSpaceDN w:val="0"/>
        <w:adjustRightInd w:val="0"/>
        <w:spacing w:line="360" w:lineRule="auto"/>
        <w:ind w:firstLineChars="200" w:firstLine="480"/>
        <w:jc w:val="left"/>
        <w:rPr>
          <w:bCs/>
          <w:snapToGrid w:val="0"/>
          <w:color w:val="000000" w:themeColor="text1"/>
          <w:kern w:val="0"/>
          <w:sz w:val="21"/>
          <w:szCs w:val="24"/>
        </w:rPr>
      </w:pPr>
      <w:r w:rsidRPr="00B12FE0">
        <w:rPr>
          <w:snapToGrid w:val="0"/>
          <w:color w:val="000000" w:themeColor="text1"/>
          <w:szCs w:val="24"/>
        </w:rPr>
        <w:fldChar w:fldCharType="begin"/>
      </w:r>
      <w:r w:rsidRPr="00B12FE0">
        <w:rPr>
          <w:snapToGrid w:val="0"/>
          <w:color w:val="000000" w:themeColor="text1"/>
          <w:szCs w:val="24"/>
        </w:rPr>
        <w:instrText xml:space="preserve"> = 1 \* GB3 </w:instrText>
      </w:r>
      <w:r w:rsidRPr="00B12FE0">
        <w:rPr>
          <w:snapToGrid w:val="0"/>
          <w:color w:val="000000" w:themeColor="text1"/>
          <w:szCs w:val="24"/>
        </w:rPr>
        <w:fldChar w:fldCharType="separate"/>
      </w:r>
      <w:r w:rsidRPr="00B12FE0">
        <w:rPr>
          <w:rFonts w:ascii="Cambria Math" w:hAnsi="Cambria Math" w:cs="Cambria Math"/>
          <w:snapToGrid w:val="0"/>
          <w:color w:val="000000" w:themeColor="text1"/>
          <w:szCs w:val="24"/>
        </w:rPr>
        <w:t>①</w:t>
      </w:r>
      <w:r w:rsidRPr="00B12FE0">
        <w:rPr>
          <w:snapToGrid w:val="0"/>
          <w:color w:val="000000" w:themeColor="text1"/>
          <w:szCs w:val="24"/>
        </w:rPr>
        <w:fldChar w:fldCharType="end"/>
      </w:r>
      <w:r w:rsidRPr="00B12FE0">
        <w:rPr>
          <w:snapToGrid w:val="0"/>
          <w:color w:val="000000" w:themeColor="text1"/>
          <w:szCs w:val="24"/>
        </w:rPr>
        <w:t>制定完善的操作规范，对操作人员定期培训，使之熟练操作，严格按照操作规范操作，减少药物洒漏事故的发生。</w:t>
      </w:r>
      <w:r w:rsidRPr="00B12FE0">
        <w:rPr>
          <w:bCs/>
          <w:snapToGrid w:val="0"/>
          <w:color w:val="000000" w:themeColor="text1"/>
          <w:kern w:val="0"/>
          <w:szCs w:val="24"/>
        </w:rPr>
        <w:t>若少量放射性物质洒漏</w:t>
      </w:r>
      <w:r w:rsidRPr="00B12FE0">
        <w:rPr>
          <w:snapToGrid w:val="0"/>
          <w:color w:val="000000" w:themeColor="text1"/>
          <w:szCs w:val="24"/>
        </w:rPr>
        <w:t>，应迅速用吸附衬垫吸干溅洒的液体，以防止污染扩散。</w:t>
      </w:r>
      <w:r w:rsidRPr="00B12FE0">
        <w:rPr>
          <w:bCs/>
          <w:snapToGrid w:val="0"/>
          <w:color w:val="000000" w:themeColor="text1"/>
          <w:kern w:val="0"/>
          <w:szCs w:val="24"/>
        </w:rPr>
        <w:t>若大量放射性物质洒漏，医院应立即封锁相关场所，并向上级有关部门报告，等待专业人员前来处理。事故处理结束后，使用表面污染检测仪对洒漏放射性液态的区域进行表面污染监测，符合国家相关标准后，结束应急状态。事后及时总结经验，形成纸质报告并存档。</w:t>
      </w:r>
    </w:p>
    <w:p w14:paraId="365474C8" w14:textId="77777777" w:rsidR="00A67F21" w:rsidRPr="00B12FE0" w:rsidRDefault="00000000">
      <w:pPr>
        <w:overflowPunct w:val="0"/>
        <w:autoSpaceDE w:val="0"/>
        <w:autoSpaceDN w:val="0"/>
        <w:adjustRightInd w:val="0"/>
        <w:spacing w:line="360" w:lineRule="auto"/>
        <w:ind w:firstLineChars="200" w:firstLine="480"/>
        <w:rPr>
          <w:snapToGrid w:val="0"/>
          <w:color w:val="000000" w:themeColor="text1"/>
          <w:sz w:val="21"/>
          <w:szCs w:val="24"/>
        </w:rPr>
      </w:pPr>
      <w:r w:rsidRPr="00B12FE0">
        <w:rPr>
          <w:snapToGrid w:val="0"/>
          <w:color w:val="000000" w:themeColor="text1"/>
          <w:szCs w:val="24"/>
        </w:rPr>
        <w:fldChar w:fldCharType="begin"/>
      </w:r>
      <w:r w:rsidRPr="00B12FE0">
        <w:rPr>
          <w:snapToGrid w:val="0"/>
          <w:color w:val="000000" w:themeColor="text1"/>
          <w:szCs w:val="24"/>
        </w:rPr>
        <w:instrText xml:space="preserve"> = 2 \* GB3 </w:instrText>
      </w:r>
      <w:r w:rsidRPr="00B12FE0">
        <w:rPr>
          <w:snapToGrid w:val="0"/>
          <w:color w:val="000000" w:themeColor="text1"/>
          <w:szCs w:val="24"/>
        </w:rPr>
        <w:fldChar w:fldCharType="separate"/>
      </w:r>
      <w:r w:rsidRPr="00B12FE0">
        <w:rPr>
          <w:rFonts w:ascii="Cambria Math" w:hAnsi="Cambria Math" w:cs="Cambria Math"/>
          <w:snapToGrid w:val="0"/>
          <w:color w:val="000000" w:themeColor="text1"/>
          <w:szCs w:val="24"/>
        </w:rPr>
        <w:t>②</w:t>
      </w:r>
      <w:r w:rsidRPr="00B12FE0">
        <w:rPr>
          <w:snapToGrid w:val="0"/>
          <w:color w:val="000000" w:themeColor="text1"/>
          <w:szCs w:val="24"/>
        </w:rPr>
        <w:fldChar w:fldCharType="end"/>
      </w:r>
      <w:r w:rsidRPr="00B12FE0">
        <w:rPr>
          <w:snapToGrid w:val="0"/>
          <w:color w:val="000000" w:themeColor="text1"/>
          <w:szCs w:val="24"/>
        </w:rPr>
        <w:t>制定和完善放射性核素安全管理制度，设专人负责，做好核素的领取、使用登记工作，确保放射性药物的安全。专用贮存间设置防盗门及报警装置等设施，做好防火防盗工作。</w:t>
      </w:r>
    </w:p>
    <w:p w14:paraId="6110E3C3" w14:textId="77777777" w:rsidR="00A67F21" w:rsidRPr="00B12FE0" w:rsidRDefault="00000000">
      <w:pPr>
        <w:overflowPunct w:val="0"/>
        <w:autoSpaceDE w:val="0"/>
        <w:autoSpaceDN w:val="0"/>
        <w:adjustRightInd w:val="0"/>
        <w:spacing w:line="360" w:lineRule="auto"/>
        <w:ind w:firstLineChars="200" w:firstLine="480"/>
        <w:rPr>
          <w:bCs/>
          <w:snapToGrid w:val="0"/>
          <w:color w:val="000000" w:themeColor="text1"/>
          <w:kern w:val="0"/>
          <w:sz w:val="21"/>
          <w:szCs w:val="24"/>
        </w:rPr>
      </w:pPr>
      <w:r w:rsidRPr="00B12FE0">
        <w:rPr>
          <w:bCs/>
          <w:snapToGrid w:val="0"/>
          <w:color w:val="000000" w:themeColor="text1"/>
          <w:kern w:val="0"/>
          <w:szCs w:val="24"/>
        </w:rPr>
        <w:lastRenderedPageBreak/>
        <w:t>当发生放射性药物或校准源丢失事故时，事故发现者应立即报告医院辐射事故应急指挥领导小组，保护现场。领导小组立即启动本单位辐射事故应急预案，疏散现场无关人员，设置警戒区及警示标志；向当地生态环境部门、公安部门、卫生健康部门报告，在</w:t>
      </w:r>
      <w:r w:rsidRPr="00B12FE0">
        <w:rPr>
          <w:bCs/>
          <w:snapToGrid w:val="0"/>
          <w:color w:val="000000" w:themeColor="text1"/>
          <w:kern w:val="0"/>
          <w:szCs w:val="24"/>
        </w:rPr>
        <w:t>2</w:t>
      </w:r>
      <w:r w:rsidRPr="00B12FE0">
        <w:rPr>
          <w:bCs/>
          <w:snapToGrid w:val="0"/>
          <w:color w:val="000000" w:themeColor="text1"/>
          <w:kern w:val="0"/>
          <w:szCs w:val="24"/>
        </w:rPr>
        <w:t>小时内填写《辐射事故初始报告表》；协助公安、生态环境和卫生健康部门对丢失放射性药物进行侦查和追缴，力争在最短时间内将放射性物品找回。</w:t>
      </w:r>
    </w:p>
    <w:p w14:paraId="5FFE9823" w14:textId="77777777" w:rsidR="00A67F21" w:rsidRPr="00B12FE0" w:rsidRDefault="00000000">
      <w:pPr>
        <w:overflowPunct w:val="0"/>
        <w:autoSpaceDE w:val="0"/>
        <w:autoSpaceDN w:val="0"/>
        <w:adjustRightInd w:val="0"/>
        <w:spacing w:line="360" w:lineRule="auto"/>
        <w:ind w:firstLineChars="200" w:firstLine="480"/>
        <w:rPr>
          <w:bCs/>
          <w:snapToGrid w:val="0"/>
          <w:color w:val="000000" w:themeColor="text1"/>
          <w:kern w:val="0"/>
          <w:sz w:val="21"/>
          <w:szCs w:val="24"/>
        </w:rPr>
      </w:pPr>
      <w:r w:rsidRPr="00B12FE0">
        <w:rPr>
          <w:bCs/>
          <w:snapToGrid w:val="0"/>
          <w:color w:val="000000" w:themeColor="text1"/>
          <w:kern w:val="0"/>
          <w:szCs w:val="24"/>
        </w:rPr>
        <w:fldChar w:fldCharType="begin"/>
      </w:r>
      <w:r w:rsidRPr="00B12FE0">
        <w:rPr>
          <w:bCs/>
          <w:snapToGrid w:val="0"/>
          <w:color w:val="000000" w:themeColor="text1"/>
          <w:kern w:val="0"/>
          <w:szCs w:val="24"/>
        </w:rPr>
        <w:instrText xml:space="preserve"> = 3 \* GB3 </w:instrText>
      </w:r>
      <w:r w:rsidRPr="00B12FE0">
        <w:rPr>
          <w:bCs/>
          <w:snapToGrid w:val="0"/>
          <w:color w:val="000000" w:themeColor="text1"/>
          <w:kern w:val="0"/>
          <w:szCs w:val="24"/>
        </w:rPr>
        <w:fldChar w:fldCharType="separate"/>
      </w:r>
      <w:r w:rsidRPr="00B12FE0">
        <w:rPr>
          <w:rFonts w:ascii="Cambria Math" w:hAnsi="Cambria Math" w:cs="Cambria Math"/>
          <w:bCs/>
          <w:snapToGrid w:val="0"/>
          <w:color w:val="000000" w:themeColor="text1"/>
          <w:kern w:val="0"/>
          <w:szCs w:val="24"/>
        </w:rPr>
        <w:t>③</w:t>
      </w:r>
      <w:r w:rsidRPr="00B12FE0">
        <w:rPr>
          <w:bCs/>
          <w:snapToGrid w:val="0"/>
          <w:color w:val="000000" w:themeColor="text1"/>
          <w:kern w:val="0"/>
          <w:szCs w:val="24"/>
        </w:rPr>
        <w:fldChar w:fldCharType="end"/>
      </w:r>
      <w:r w:rsidRPr="00B12FE0">
        <w:rPr>
          <w:bCs/>
          <w:snapToGrid w:val="0"/>
          <w:color w:val="000000" w:themeColor="text1"/>
          <w:kern w:val="0"/>
          <w:szCs w:val="24"/>
        </w:rPr>
        <w:t>加强对有药患者的管理，在不影响诊断和治疗的情况下，限制其服药量，限制患者出院时的放射性药物携带量，并对出院的有药患者提供与他人接触时的辐射防护措施的书面指导，使患者明白并自觉做到短期内不到公众场所活动，并避免与家人近距离密切接触。</w:t>
      </w:r>
      <w:r w:rsidRPr="00B12FE0">
        <w:rPr>
          <w:bCs/>
          <w:snapToGrid w:val="0"/>
          <w:color w:val="000000" w:themeColor="text1"/>
          <w:kern w:val="0"/>
          <w:szCs w:val="24"/>
        </w:rPr>
        <w:t xml:space="preserve"> </w:t>
      </w:r>
    </w:p>
    <w:p w14:paraId="451F70EC" w14:textId="77777777" w:rsidR="00A67F21" w:rsidRPr="00B12FE0" w:rsidRDefault="00000000">
      <w:pPr>
        <w:overflowPunct w:val="0"/>
        <w:autoSpaceDE w:val="0"/>
        <w:autoSpaceDN w:val="0"/>
        <w:adjustRightInd w:val="0"/>
        <w:spacing w:line="360" w:lineRule="auto"/>
        <w:ind w:firstLineChars="200" w:firstLine="480"/>
        <w:rPr>
          <w:bCs/>
          <w:snapToGrid w:val="0"/>
          <w:color w:val="000000" w:themeColor="text1"/>
          <w:kern w:val="0"/>
          <w:sz w:val="21"/>
          <w:szCs w:val="24"/>
        </w:rPr>
      </w:pPr>
      <w:r w:rsidRPr="00B12FE0">
        <w:rPr>
          <w:bCs/>
          <w:snapToGrid w:val="0"/>
          <w:color w:val="000000" w:themeColor="text1"/>
          <w:kern w:val="0"/>
          <w:szCs w:val="24"/>
        </w:rPr>
        <w:fldChar w:fldCharType="begin"/>
      </w:r>
      <w:r w:rsidRPr="00B12FE0">
        <w:rPr>
          <w:bCs/>
          <w:snapToGrid w:val="0"/>
          <w:color w:val="000000" w:themeColor="text1"/>
          <w:kern w:val="0"/>
          <w:szCs w:val="24"/>
        </w:rPr>
        <w:instrText xml:space="preserve"> = 4 \* GB3 </w:instrText>
      </w:r>
      <w:r w:rsidRPr="00B12FE0">
        <w:rPr>
          <w:bCs/>
          <w:snapToGrid w:val="0"/>
          <w:color w:val="000000" w:themeColor="text1"/>
          <w:kern w:val="0"/>
          <w:szCs w:val="24"/>
        </w:rPr>
        <w:fldChar w:fldCharType="separate"/>
      </w:r>
      <w:r w:rsidRPr="00B12FE0">
        <w:rPr>
          <w:rFonts w:ascii="Cambria Math" w:hAnsi="Cambria Math" w:cs="Cambria Math"/>
          <w:bCs/>
          <w:snapToGrid w:val="0"/>
          <w:color w:val="000000" w:themeColor="text1"/>
          <w:kern w:val="0"/>
          <w:szCs w:val="24"/>
        </w:rPr>
        <w:t>④</w:t>
      </w:r>
      <w:r w:rsidRPr="00B12FE0">
        <w:rPr>
          <w:bCs/>
          <w:snapToGrid w:val="0"/>
          <w:color w:val="000000" w:themeColor="text1"/>
          <w:kern w:val="0"/>
          <w:szCs w:val="24"/>
        </w:rPr>
        <w:fldChar w:fldCharType="end"/>
      </w:r>
      <w:r w:rsidRPr="00B12FE0">
        <w:rPr>
          <w:bCs/>
          <w:snapToGrid w:val="0"/>
          <w:color w:val="000000" w:themeColor="text1"/>
          <w:kern w:val="0"/>
          <w:szCs w:val="24"/>
        </w:rPr>
        <w:t>加强放射性废物的管理，对储存的放射性废物在放射性废物铅桶外标明放射性废物的类型、核素种类和存放日期的说明，并做好相应的记录。放射性固体废物经足够长的时间衰变后，方可排放或按照普通医疗垃圾处理，并做好监测记录。</w:t>
      </w:r>
      <w:r w:rsidRPr="00B12FE0">
        <w:rPr>
          <w:bCs/>
          <w:snapToGrid w:val="0"/>
          <w:color w:val="000000" w:themeColor="text1"/>
          <w:kern w:val="0"/>
          <w:szCs w:val="24"/>
        </w:rPr>
        <w:t xml:space="preserve"> </w:t>
      </w:r>
    </w:p>
    <w:p w14:paraId="623BF163" w14:textId="77777777" w:rsidR="00A67F21" w:rsidRPr="00B12FE0" w:rsidRDefault="00000000">
      <w:pPr>
        <w:overflowPunct w:val="0"/>
        <w:autoSpaceDE w:val="0"/>
        <w:autoSpaceDN w:val="0"/>
        <w:adjustRightInd w:val="0"/>
        <w:spacing w:line="360" w:lineRule="auto"/>
        <w:ind w:firstLineChars="200" w:firstLine="480"/>
        <w:rPr>
          <w:bCs/>
          <w:snapToGrid w:val="0"/>
          <w:color w:val="000000" w:themeColor="text1"/>
          <w:kern w:val="0"/>
          <w:szCs w:val="24"/>
        </w:rPr>
      </w:pPr>
      <w:r w:rsidRPr="00B12FE0">
        <w:rPr>
          <w:bCs/>
          <w:snapToGrid w:val="0"/>
          <w:color w:val="000000" w:themeColor="text1"/>
          <w:kern w:val="0"/>
          <w:szCs w:val="24"/>
        </w:rPr>
        <w:fldChar w:fldCharType="begin"/>
      </w:r>
      <w:r w:rsidRPr="00B12FE0">
        <w:rPr>
          <w:bCs/>
          <w:snapToGrid w:val="0"/>
          <w:color w:val="000000" w:themeColor="text1"/>
          <w:kern w:val="0"/>
          <w:szCs w:val="24"/>
        </w:rPr>
        <w:instrText xml:space="preserve"> = 5 \* GB3 </w:instrText>
      </w:r>
      <w:r w:rsidRPr="00B12FE0">
        <w:rPr>
          <w:bCs/>
          <w:snapToGrid w:val="0"/>
          <w:color w:val="000000" w:themeColor="text1"/>
          <w:kern w:val="0"/>
          <w:szCs w:val="24"/>
        </w:rPr>
        <w:fldChar w:fldCharType="separate"/>
      </w:r>
      <w:r w:rsidRPr="00B12FE0">
        <w:rPr>
          <w:rFonts w:ascii="Cambria Math" w:hAnsi="Cambria Math" w:cs="Cambria Math"/>
          <w:bCs/>
          <w:snapToGrid w:val="0"/>
          <w:color w:val="000000" w:themeColor="text1"/>
          <w:kern w:val="0"/>
          <w:szCs w:val="24"/>
        </w:rPr>
        <w:t>⑤</w:t>
      </w:r>
      <w:r w:rsidRPr="00B12FE0">
        <w:rPr>
          <w:bCs/>
          <w:snapToGrid w:val="0"/>
          <w:color w:val="000000" w:themeColor="text1"/>
          <w:kern w:val="0"/>
          <w:szCs w:val="24"/>
        </w:rPr>
        <w:fldChar w:fldCharType="end"/>
      </w:r>
      <w:r w:rsidRPr="00B12FE0">
        <w:rPr>
          <w:bCs/>
          <w:snapToGrid w:val="0"/>
          <w:color w:val="000000" w:themeColor="text1"/>
          <w:kern w:val="0"/>
          <w:szCs w:val="24"/>
        </w:rPr>
        <w:t>核医学</w:t>
      </w:r>
      <w:proofErr w:type="gramStart"/>
      <w:r w:rsidRPr="00B12FE0">
        <w:rPr>
          <w:bCs/>
          <w:snapToGrid w:val="0"/>
          <w:color w:val="000000" w:themeColor="text1"/>
          <w:kern w:val="0"/>
          <w:szCs w:val="24"/>
        </w:rPr>
        <w:t>科个人</w:t>
      </w:r>
      <w:proofErr w:type="gramEnd"/>
      <w:r w:rsidRPr="00B12FE0">
        <w:rPr>
          <w:bCs/>
          <w:snapToGrid w:val="0"/>
          <w:color w:val="000000" w:themeColor="text1"/>
          <w:kern w:val="0"/>
          <w:szCs w:val="24"/>
        </w:rPr>
        <w:t>防护用品主要包括工作服、工作鞋、帽子等基本防护用品，以及铅防护衣、防护镜等附加防护用品。工作人员进入监督区必须穿戴放射防护用品，个人计量仪佩戴于</w:t>
      </w:r>
      <w:proofErr w:type="gramStart"/>
      <w:r w:rsidRPr="00B12FE0">
        <w:rPr>
          <w:bCs/>
          <w:snapToGrid w:val="0"/>
          <w:color w:val="000000" w:themeColor="text1"/>
          <w:kern w:val="0"/>
          <w:szCs w:val="24"/>
        </w:rPr>
        <w:t>铅衣内部</w:t>
      </w:r>
      <w:proofErr w:type="gramEnd"/>
      <w:r w:rsidRPr="00B12FE0">
        <w:rPr>
          <w:bCs/>
          <w:snapToGrid w:val="0"/>
          <w:color w:val="000000" w:themeColor="text1"/>
          <w:kern w:val="0"/>
          <w:szCs w:val="24"/>
        </w:rPr>
        <w:t>左胸前。在进行分装及注射放射性药物时</w:t>
      </w:r>
      <w:proofErr w:type="gramStart"/>
      <w:r w:rsidRPr="00B12FE0">
        <w:rPr>
          <w:bCs/>
          <w:snapToGrid w:val="0"/>
          <w:color w:val="000000" w:themeColor="text1"/>
          <w:kern w:val="0"/>
          <w:szCs w:val="24"/>
        </w:rPr>
        <w:t>穿铅衣</w:t>
      </w:r>
      <w:proofErr w:type="gramEnd"/>
      <w:r w:rsidRPr="00B12FE0">
        <w:rPr>
          <w:bCs/>
          <w:snapToGrid w:val="0"/>
          <w:color w:val="000000" w:themeColor="text1"/>
          <w:kern w:val="0"/>
          <w:szCs w:val="24"/>
        </w:rPr>
        <w:t>、放射性污染防护服、戴口罩、手套，必要时戴防护眼镜。尽量利用长柄钳、镊子等工具操作，增加与放射性药物的距离。为病人注射放射性药物时，工作人员手部有一定受照量，操作者应使用注射器屏蔽装置。科主任负责个人防护用品使用方法培训及个人防护用品的存放、更新工作。</w:t>
      </w:r>
    </w:p>
    <w:p w14:paraId="30A85322" w14:textId="77777777" w:rsidR="00A67F21" w:rsidRPr="00B12FE0" w:rsidRDefault="00000000">
      <w:pPr>
        <w:overflowPunct w:val="0"/>
        <w:autoSpaceDE w:val="0"/>
        <w:autoSpaceDN w:val="0"/>
        <w:adjustRightInd w:val="0"/>
        <w:spacing w:line="360" w:lineRule="auto"/>
        <w:ind w:firstLineChars="200" w:firstLine="480"/>
        <w:rPr>
          <w:snapToGrid w:val="0"/>
          <w:color w:val="000000" w:themeColor="text1"/>
          <w:szCs w:val="24"/>
        </w:rPr>
      </w:pPr>
      <w:r w:rsidRPr="00B12FE0">
        <w:rPr>
          <w:rFonts w:ascii="Cambria Math" w:hAnsi="Cambria Math" w:cs="Cambria Math"/>
          <w:bCs/>
          <w:snapToGrid w:val="0"/>
          <w:color w:val="000000" w:themeColor="text1"/>
          <w:kern w:val="0"/>
          <w:szCs w:val="24"/>
        </w:rPr>
        <w:t>⑥</w:t>
      </w:r>
      <w:r w:rsidRPr="00B12FE0">
        <w:rPr>
          <w:bCs/>
          <w:snapToGrid w:val="0"/>
          <w:color w:val="000000" w:themeColor="text1"/>
          <w:kern w:val="0"/>
          <w:szCs w:val="24"/>
        </w:rPr>
        <w:t>定期开展安全装置与设施检查，保证门机联锁装置有效。制定并落实操作规范，工作人员定期培训。</w:t>
      </w:r>
    </w:p>
    <w:p w14:paraId="448A15F8" w14:textId="77777777" w:rsidR="00A67F21" w:rsidRPr="00B12FE0" w:rsidRDefault="00000000">
      <w:pPr>
        <w:snapToGrid w:val="0"/>
        <w:spacing w:line="360" w:lineRule="auto"/>
        <w:outlineLvl w:val="2"/>
        <w:rPr>
          <w:color w:val="000000" w:themeColor="text1"/>
        </w:rPr>
      </w:pPr>
      <w:r w:rsidRPr="00B12FE0">
        <w:rPr>
          <w:b/>
          <w:bCs/>
          <w:color w:val="000000" w:themeColor="text1"/>
        </w:rPr>
        <w:t>11.3.2</w:t>
      </w:r>
      <w:r w:rsidRPr="00B12FE0">
        <w:rPr>
          <w:rFonts w:hint="eastAsia"/>
          <w:b/>
          <w:bCs/>
          <w:color w:val="000000" w:themeColor="text1"/>
        </w:rPr>
        <w:t>放疗科</w:t>
      </w:r>
      <w:r w:rsidRPr="00B12FE0">
        <w:rPr>
          <w:b/>
          <w:bCs/>
          <w:color w:val="000000" w:themeColor="text1"/>
        </w:rPr>
        <w:t>直线加速器事故影响分析</w:t>
      </w:r>
    </w:p>
    <w:p w14:paraId="0079A40A" w14:textId="77777777" w:rsidR="00A67F21" w:rsidRPr="00B12FE0" w:rsidRDefault="00000000">
      <w:pPr>
        <w:adjustRightInd w:val="0"/>
        <w:spacing w:line="360" w:lineRule="auto"/>
        <w:ind w:firstLineChars="200" w:firstLine="482"/>
        <w:rPr>
          <w:b/>
          <w:color w:val="000000" w:themeColor="text1"/>
          <w:kern w:val="0"/>
        </w:rPr>
      </w:pPr>
      <w:r w:rsidRPr="00B12FE0">
        <w:rPr>
          <w:rFonts w:hint="eastAsia"/>
          <w:b/>
          <w:color w:val="000000" w:themeColor="text1"/>
          <w:kern w:val="0"/>
        </w:rPr>
        <w:t>（</w:t>
      </w:r>
      <w:r w:rsidRPr="00B12FE0">
        <w:rPr>
          <w:rFonts w:hint="eastAsia"/>
          <w:b/>
          <w:color w:val="000000" w:themeColor="text1"/>
          <w:kern w:val="0"/>
        </w:rPr>
        <w:t>1</w:t>
      </w:r>
      <w:r w:rsidRPr="00B12FE0">
        <w:rPr>
          <w:rFonts w:hint="eastAsia"/>
          <w:b/>
          <w:color w:val="000000" w:themeColor="text1"/>
          <w:kern w:val="0"/>
        </w:rPr>
        <w:t>）</w:t>
      </w:r>
      <w:r w:rsidRPr="00B12FE0">
        <w:rPr>
          <w:b/>
          <w:color w:val="000000" w:themeColor="text1"/>
          <w:kern w:val="0"/>
        </w:rPr>
        <w:t>可能发生的辐射事故</w:t>
      </w:r>
    </w:p>
    <w:p w14:paraId="5596B80C" w14:textId="77777777" w:rsidR="00A67F21" w:rsidRPr="00B12FE0" w:rsidRDefault="00000000">
      <w:pPr>
        <w:adjustRightInd w:val="0"/>
        <w:snapToGrid w:val="0"/>
        <w:spacing w:line="360" w:lineRule="auto"/>
        <w:ind w:firstLine="480"/>
        <w:jc w:val="left"/>
        <w:rPr>
          <w:color w:val="000000" w:themeColor="text1"/>
        </w:rPr>
      </w:pPr>
      <w:r w:rsidRPr="00B12FE0">
        <w:rPr>
          <w:color w:val="000000" w:themeColor="text1"/>
        </w:rPr>
        <w:t>本项目直线加速器的安装、检修由设备厂家负责，医院只负责日常安全使用及管理。由于</w:t>
      </w:r>
      <w:r w:rsidRPr="00B12FE0">
        <w:rPr>
          <w:rFonts w:hint="eastAsia"/>
          <w:color w:val="000000" w:themeColor="text1"/>
        </w:rPr>
        <w:t>机房</w:t>
      </w:r>
      <w:r w:rsidRPr="00B12FE0">
        <w:rPr>
          <w:color w:val="000000" w:themeColor="text1"/>
        </w:rPr>
        <w:t>的屏蔽措施以及设备固有的安全联锁装置，设备在正常使用的情况下发生事故的概率极小，可能发生的辐射事故主要包括：</w:t>
      </w:r>
    </w:p>
    <w:p w14:paraId="121F88D8" w14:textId="77777777" w:rsidR="00A67F21" w:rsidRPr="00B12FE0" w:rsidRDefault="00000000">
      <w:pPr>
        <w:adjustRightInd w:val="0"/>
        <w:snapToGrid w:val="0"/>
        <w:spacing w:line="360" w:lineRule="auto"/>
        <w:ind w:firstLineChars="200" w:firstLine="480"/>
        <w:jc w:val="left"/>
        <w:rPr>
          <w:color w:val="000000" w:themeColor="text1"/>
        </w:rPr>
      </w:pPr>
      <w:r w:rsidRPr="00B12FE0">
        <w:rPr>
          <w:color w:val="000000" w:themeColor="text1"/>
        </w:rPr>
        <w:fldChar w:fldCharType="begin"/>
      </w:r>
      <w:r w:rsidRPr="00B12FE0">
        <w:rPr>
          <w:color w:val="000000" w:themeColor="text1"/>
        </w:rPr>
        <w:instrText xml:space="preserve"> = 1 \* GB3 </w:instrText>
      </w:r>
      <w:r w:rsidRPr="00B12FE0">
        <w:rPr>
          <w:color w:val="000000" w:themeColor="text1"/>
        </w:rPr>
        <w:fldChar w:fldCharType="separate"/>
      </w:r>
      <w:r w:rsidRPr="00B12FE0">
        <w:rPr>
          <w:rFonts w:ascii="宋体" w:hAnsi="宋体" w:cs="宋体" w:hint="eastAsia"/>
          <w:color w:val="000000" w:themeColor="text1"/>
        </w:rPr>
        <w:t>①</w:t>
      </w:r>
      <w:r w:rsidRPr="00B12FE0">
        <w:rPr>
          <w:color w:val="000000" w:themeColor="text1"/>
        </w:rPr>
        <w:fldChar w:fldCharType="end"/>
      </w:r>
      <w:r w:rsidRPr="00B12FE0">
        <w:rPr>
          <w:color w:val="000000" w:themeColor="text1"/>
        </w:rPr>
        <w:t>安全</w:t>
      </w:r>
      <w:proofErr w:type="gramStart"/>
      <w:r w:rsidRPr="00B12FE0">
        <w:rPr>
          <w:color w:val="000000" w:themeColor="text1"/>
        </w:rPr>
        <w:t>联锁</w:t>
      </w:r>
      <w:proofErr w:type="gramEnd"/>
      <w:r w:rsidRPr="00B12FE0">
        <w:rPr>
          <w:color w:val="000000" w:themeColor="text1"/>
        </w:rPr>
        <w:t>失效，人员可能在防护门未关闭时误入机房，如果这时运行加速器，则可能造成误照射事故。</w:t>
      </w:r>
    </w:p>
    <w:p w14:paraId="5ED1754C" w14:textId="77777777" w:rsidR="00A67F21" w:rsidRPr="00B12FE0" w:rsidRDefault="00000000">
      <w:pPr>
        <w:adjustRightInd w:val="0"/>
        <w:spacing w:line="360" w:lineRule="auto"/>
        <w:ind w:firstLine="480"/>
        <w:rPr>
          <w:color w:val="000000" w:themeColor="text1"/>
        </w:rPr>
      </w:pPr>
      <w:r w:rsidRPr="00B12FE0">
        <w:rPr>
          <w:color w:val="000000" w:themeColor="text1"/>
        </w:rPr>
        <w:fldChar w:fldCharType="begin"/>
      </w:r>
      <w:r w:rsidRPr="00B12FE0">
        <w:rPr>
          <w:color w:val="000000" w:themeColor="text1"/>
        </w:rPr>
        <w:instrText xml:space="preserve"> = 2 \* GB3 </w:instrText>
      </w:r>
      <w:r w:rsidRPr="00B12FE0">
        <w:rPr>
          <w:color w:val="000000" w:themeColor="text1"/>
        </w:rPr>
        <w:fldChar w:fldCharType="separate"/>
      </w:r>
      <w:r w:rsidRPr="00B12FE0">
        <w:rPr>
          <w:rFonts w:ascii="宋体" w:hAnsi="宋体" w:cs="宋体" w:hint="eastAsia"/>
          <w:color w:val="000000" w:themeColor="text1"/>
        </w:rPr>
        <w:t>②</w:t>
      </w:r>
      <w:r w:rsidRPr="00B12FE0">
        <w:rPr>
          <w:color w:val="000000" w:themeColor="text1"/>
        </w:rPr>
        <w:fldChar w:fldCharType="end"/>
      </w:r>
      <w:r w:rsidRPr="00B12FE0">
        <w:rPr>
          <w:color w:val="000000" w:themeColor="text1"/>
        </w:rPr>
        <w:t>除受治疗患者以外，机房中仍有其他人员未撤离时，操作人员未严格按照操作规程确认机房中环境便运行加速器，则会造成机房中人员误照射。</w:t>
      </w:r>
    </w:p>
    <w:p w14:paraId="248DD29B" w14:textId="77777777" w:rsidR="00A67F21" w:rsidRPr="00B12FE0" w:rsidRDefault="00000000">
      <w:pPr>
        <w:adjustRightInd w:val="0"/>
        <w:spacing w:line="360" w:lineRule="auto"/>
        <w:ind w:firstLine="480"/>
        <w:rPr>
          <w:color w:val="000000" w:themeColor="text1"/>
        </w:rPr>
      </w:pPr>
      <w:r w:rsidRPr="00B12FE0">
        <w:rPr>
          <w:color w:val="000000" w:themeColor="text1"/>
        </w:rPr>
        <w:lastRenderedPageBreak/>
        <w:t>本项目直线加速器属于</w:t>
      </w:r>
      <w:r w:rsidRPr="00B12FE0">
        <w:rPr>
          <w:color w:val="000000" w:themeColor="text1"/>
        </w:rPr>
        <w:t>Ⅱ</w:t>
      </w:r>
      <w:r w:rsidRPr="00B12FE0">
        <w:rPr>
          <w:color w:val="000000" w:themeColor="text1"/>
        </w:rPr>
        <w:t>类射线装置，当设备关机时不会产生</w:t>
      </w:r>
      <w:r w:rsidRPr="00B12FE0">
        <w:rPr>
          <w:rFonts w:hint="eastAsia"/>
          <w:color w:val="000000" w:themeColor="text1"/>
        </w:rPr>
        <w:t>辐射影响</w:t>
      </w:r>
      <w:r w:rsidRPr="00B12FE0">
        <w:rPr>
          <w:color w:val="000000" w:themeColor="text1"/>
        </w:rPr>
        <w:t>，不存在影响辐射环境质量的事故，只有当设备开机时才会产生</w:t>
      </w:r>
      <w:r w:rsidRPr="00B12FE0">
        <w:rPr>
          <w:rFonts w:hint="eastAsia"/>
          <w:color w:val="000000" w:themeColor="text1"/>
        </w:rPr>
        <w:t>辐射影响</w:t>
      </w:r>
      <w:r w:rsidRPr="00B12FE0">
        <w:rPr>
          <w:color w:val="000000" w:themeColor="text1"/>
        </w:rPr>
        <w:t>。</w:t>
      </w:r>
    </w:p>
    <w:p w14:paraId="6FD550A8" w14:textId="77777777" w:rsidR="00A67F21" w:rsidRPr="00B12FE0" w:rsidRDefault="00000000">
      <w:pPr>
        <w:adjustRightInd w:val="0"/>
        <w:spacing w:line="360" w:lineRule="auto"/>
        <w:ind w:firstLineChars="200" w:firstLine="482"/>
        <w:rPr>
          <w:b/>
          <w:color w:val="000000" w:themeColor="text1"/>
          <w:kern w:val="0"/>
        </w:rPr>
      </w:pPr>
      <w:r w:rsidRPr="00B12FE0">
        <w:rPr>
          <w:rFonts w:hint="eastAsia"/>
          <w:b/>
          <w:color w:val="000000" w:themeColor="text1"/>
          <w:kern w:val="0"/>
        </w:rPr>
        <w:t>（</w:t>
      </w:r>
      <w:r w:rsidRPr="00B12FE0">
        <w:rPr>
          <w:rFonts w:hint="eastAsia"/>
          <w:b/>
          <w:color w:val="000000" w:themeColor="text1"/>
          <w:kern w:val="0"/>
        </w:rPr>
        <w:t>2</w:t>
      </w:r>
      <w:r w:rsidRPr="00B12FE0">
        <w:rPr>
          <w:rFonts w:hint="eastAsia"/>
          <w:b/>
          <w:color w:val="000000" w:themeColor="text1"/>
          <w:kern w:val="0"/>
        </w:rPr>
        <w:t>）辐射事故</w:t>
      </w:r>
      <w:r w:rsidRPr="00B12FE0">
        <w:rPr>
          <w:b/>
          <w:color w:val="000000" w:themeColor="text1"/>
          <w:kern w:val="0"/>
        </w:rPr>
        <w:t>预防措施</w:t>
      </w:r>
    </w:p>
    <w:p w14:paraId="658440C1" w14:textId="77777777" w:rsidR="00A67F21" w:rsidRPr="00B12FE0" w:rsidRDefault="00000000">
      <w:pPr>
        <w:adjustRightInd w:val="0"/>
        <w:spacing w:line="360" w:lineRule="auto"/>
        <w:ind w:firstLine="482"/>
        <w:rPr>
          <w:bCs/>
          <w:color w:val="000000" w:themeColor="text1"/>
          <w:szCs w:val="28"/>
        </w:rPr>
      </w:pPr>
      <w:r w:rsidRPr="00B12FE0">
        <w:rPr>
          <w:bCs/>
          <w:color w:val="000000" w:themeColor="text1"/>
          <w:szCs w:val="28"/>
        </w:rPr>
        <w:t>一旦发现有人误入直线加速器机房，工作人员应立即利用最近的急停开关切断设备电源，启动医院辐射事故应急预案。为防止直线加速器辐射事故发生，应采取多种防范措施：</w:t>
      </w:r>
    </w:p>
    <w:p w14:paraId="1DB5128B" w14:textId="77777777" w:rsidR="00A67F21" w:rsidRPr="00B12FE0" w:rsidRDefault="00000000">
      <w:pPr>
        <w:adjustRightInd w:val="0"/>
        <w:spacing w:line="360" w:lineRule="auto"/>
        <w:ind w:firstLine="482"/>
        <w:rPr>
          <w:bCs/>
          <w:color w:val="000000" w:themeColor="text1"/>
          <w:szCs w:val="28"/>
        </w:rPr>
      </w:pPr>
      <w:r w:rsidRPr="00B12FE0">
        <w:rPr>
          <w:rFonts w:hint="eastAsia"/>
          <w:bCs/>
          <w:color w:val="000000" w:themeColor="text1"/>
          <w:szCs w:val="28"/>
        </w:rPr>
        <w:t>①</w:t>
      </w:r>
      <w:r w:rsidRPr="00B12FE0">
        <w:rPr>
          <w:bCs/>
          <w:color w:val="000000" w:themeColor="text1"/>
          <w:szCs w:val="28"/>
        </w:rPr>
        <w:t>控制台上有辐射类型、标称能量、照射时间、吸收剂量、治疗方式等参数的显示装置，操作人员可随时了解设备运行情况。</w:t>
      </w:r>
    </w:p>
    <w:p w14:paraId="46951D96" w14:textId="77777777" w:rsidR="00A67F21" w:rsidRPr="00B12FE0" w:rsidRDefault="00000000">
      <w:pPr>
        <w:adjustRightInd w:val="0"/>
        <w:spacing w:line="360" w:lineRule="auto"/>
        <w:ind w:firstLine="480"/>
        <w:rPr>
          <w:bCs/>
          <w:color w:val="000000" w:themeColor="text1"/>
          <w:szCs w:val="28"/>
        </w:rPr>
      </w:pPr>
      <w:r w:rsidRPr="00B12FE0">
        <w:rPr>
          <w:rFonts w:hint="eastAsia"/>
          <w:bCs/>
          <w:color w:val="000000" w:themeColor="text1"/>
          <w:szCs w:val="28"/>
        </w:rPr>
        <w:t>②</w:t>
      </w:r>
      <w:r w:rsidRPr="00B12FE0">
        <w:rPr>
          <w:bCs/>
          <w:color w:val="000000" w:themeColor="text1"/>
          <w:szCs w:val="28"/>
        </w:rPr>
        <w:t>条件显示</w:t>
      </w:r>
      <w:proofErr w:type="gramStart"/>
      <w:r w:rsidRPr="00B12FE0">
        <w:rPr>
          <w:bCs/>
          <w:color w:val="000000" w:themeColor="text1"/>
          <w:szCs w:val="28"/>
        </w:rPr>
        <w:t>联锁</w:t>
      </w:r>
      <w:proofErr w:type="gramEnd"/>
      <w:r w:rsidRPr="00B12FE0">
        <w:rPr>
          <w:bCs/>
          <w:color w:val="000000" w:themeColor="text1"/>
          <w:szCs w:val="28"/>
        </w:rPr>
        <w:t>：加速器具有联锁装置，只有当射线能量、吸收剂量选值、照射方式和过滤器的规格等参数选定，并当治疗室与控制台等均满足预选条件后，照射才能进行。</w:t>
      </w:r>
    </w:p>
    <w:p w14:paraId="619CDB15" w14:textId="77777777" w:rsidR="00A67F21" w:rsidRPr="00B12FE0" w:rsidRDefault="00000000">
      <w:pPr>
        <w:adjustRightInd w:val="0"/>
        <w:spacing w:line="360" w:lineRule="auto"/>
        <w:ind w:firstLine="480"/>
        <w:rPr>
          <w:bCs/>
          <w:color w:val="000000" w:themeColor="text1"/>
          <w:szCs w:val="28"/>
        </w:rPr>
      </w:pPr>
      <w:r w:rsidRPr="00B12FE0">
        <w:rPr>
          <w:rFonts w:hint="eastAsia"/>
          <w:bCs/>
          <w:color w:val="000000" w:themeColor="text1"/>
          <w:szCs w:val="28"/>
        </w:rPr>
        <w:t>③</w:t>
      </w:r>
      <w:r w:rsidRPr="00B12FE0">
        <w:rPr>
          <w:bCs/>
          <w:color w:val="000000" w:themeColor="text1"/>
          <w:szCs w:val="28"/>
        </w:rPr>
        <w:t>剂量控制</w:t>
      </w:r>
      <w:proofErr w:type="gramStart"/>
      <w:r w:rsidRPr="00B12FE0">
        <w:rPr>
          <w:bCs/>
          <w:color w:val="000000" w:themeColor="text1"/>
          <w:szCs w:val="28"/>
        </w:rPr>
        <w:t>联锁</w:t>
      </w:r>
      <w:proofErr w:type="gramEnd"/>
      <w:r w:rsidRPr="00B12FE0">
        <w:rPr>
          <w:bCs/>
          <w:color w:val="000000" w:themeColor="text1"/>
          <w:szCs w:val="28"/>
        </w:rPr>
        <w:t>：安装有剂量监测系统，当吸收剂量未达到预选值时，照射终止。</w:t>
      </w:r>
    </w:p>
    <w:p w14:paraId="598D9B6E" w14:textId="77777777" w:rsidR="00A67F21" w:rsidRPr="00B12FE0" w:rsidRDefault="00000000">
      <w:pPr>
        <w:adjustRightInd w:val="0"/>
        <w:spacing w:line="360" w:lineRule="auto"/>
        <w:ind w:firstLine="480"/>
        <w:rPr>
          <w:bCs/>
          <w:color w:val="000000" w:themeColor="text1"/>
          <w:szCs w:val="28"/>
        </w:rPr>
      </w:pPr>
      <w:r w:rsidRPr="00B12FE0">
        <w:rPr>
          <w:rFonts w:hint="eastAsia"/>
          <w:bCs/>
          <w:color w:val="000000" w:themeColor="text1"/>
          <w:szCs w:val="28"/>
        </w:rPr>
        <w:t>④</w:t>
      </w:r>
      <w:r w:rsidRPr="00B12FE0">
        <w:rPr>
          <w:bCs/>
          <w:color w:val="000000" w:themeColor="text1"/>
          <w:szCs w:val="28"/>
        </w:rPr>
        <w:t>控制台上配置有独立于其他任何控制辐照终止系统的控制计时器，当辐照终止后能保留计时器读数，计时器复零，才能启动下次</w:t>
      </w:r>
      <w:r w:rsidRPr="00B12FE0">
        <w:rPr>
          <w:rFonts w:hint="eastAsia"/>
          <w:bCs/>
          <w:color w:val="000000" w:themeColor="text1"/>
          <w:szCs w:val="28"/>
        </w:rPr>
        <w:t>辐射</w:t>
      </w:r>
      <w:r w:rsidRPr="00B12FE0">
        <w:rPr>
          <w:bCs/>
          <w:color w:val="000000" w:themeColor="text1"/>
          <w:szCs w:val="28"/>
        </w:rPr>
        <w:t>。</w:t>
      </w:r>
    </w:p>
    <w:p w14:paraId="2890ACE5" w14:textId="77777777" w:rsidR="00A67F21" w:rsidRPr="00B12FE0" w:rsidRDefault="00000000">
      <w:pPr>
        <w:adjustRightInd w:val="0"/>
        <w:spacing w:line="360" w:lineRule="auto"/>
        <w:ind w:firstLine="480"/>
        <w:rPr>
          <w:bCs/>
          <w:color w:val="000000" w:themeColor="text1"/>
          <w:szCs w:val="28"/>
        </w:rPr>
      </w:pPr>
      <w:r w:rsidRPr="00B12FE0">
        <w:rPr>
          <w:rFonts w:hint="eastAsia"/>
          <w:bCs/>
          <w:color w:val="000000" w:themeColor="text1"/>
          <w:szCs w:val="28"/>
        </w:rPr>
        <w:t>⑤</w:t>
      </w:r>
      <w:r w:rsidRPr="00B12FE0">
        <w:rPr>
          <w:bCs/>
          <w:color w:val="000000" w:themeColor="text1"/>
          <w:szCs w:val="28"/>
        </w:rPr>
        <w:t>有控制超剂量的联锁装置，当剂量超过预选值时，可自动终止照射。</w:t>
      </w:r>
    </w:p>
    <w:p w14:paraId="5145902D" w14:textId="77777777" w:rsidR="00A67F21" w:rsidRPr="00B12FE0" w:rsidRDefault="00000000">
      <w:pPr>
        <w:adjustRightInd w:val="0"/>
        <w:spacing w:line="360" w:lineRule="auto"/>
        <w:ind w:firstLine="480"/>
        <w:rPr>
          <w:bCs/>
          <w:color w:val="000000" w:themeColor="text1"/>
          <w:szCs w:val="28"/>
        </w:rPr>
      </w:pPr>
      <w:r w:rsidRPr="00B12FE0">
        <w:rPr>
          <w:rFonts w:hint="eastAsia"/>
          <w:bCs/>
          <w:color w:val="000000" w:themeColor="text1"/>
          <w:szCs w:val="28"/>
        </w:rPr>
        <w:t>⑥</w:t>
      </w:r>
      <w:r w:rsidRPr="00B12FE0">
        <w:rPr>
          <w:bCs/>
          <w:color w:val="000000" w:themeColor="text1"/>
          <w:szCs w:val="28"/>
        </w:rPr>
        <w:t>有剂量分布监测装置与辐照终止系统</w:t>
      </w:r>
      <w:proofErr w:type="gramStart"/>
      <w:r w:rsidRPr="00B12FE0">
        <w:rPr>
          <w:bCs/>
          <w:color w:val="000000" w:themeColor="text1"/>
          <w:szCs w:val="28"/>
        </w:rPr>
        <w:t>联锁</w:t>
      </w:r>
      <w:proofErr w:type="gramEnd"/>
      <w:r w:rsidRPr="00B12FE0">
        <w:rPr>
          <w:bCs/>
          <w:color w:val="000000" w:themeColor="text1"/>
          <w:szCs w:val="28"/>
        </w:rPr>
        <w:t>，当剂量分布偏差超过预选值时，可自动终止辐照。</w:t>
      </w:r>
    </w:p>
    <w:p w14:paraId="74B8F705" w14:textId="77777777" w:rsidR="00A67F21" w:rsidRPr="00B12FE0" w:rsidRDefault="00000000">
      <w:pPr>
        <w:adjustRightInd w:val="0"/>
        <w:spacing w:line="360" w:lineRule="auto"/>
        <w:ind w:firstLine="480"/>
        <w:rPr>
          <w:bCs/>
          <w:color w:val="000000" w:themeColor="text1"/>
          <w:szCs w:val="28"/>
        </w:rPr>
      </w:pPr>
      <w:r w:rsidRPr="00B12FE0">
        <w:rPr>
          <w:rFonts w:hint="eastAsia"/>
          <w:bCs/>
          <w:color w:val="000000" w:themeColor="text1"/>
          <w:szCs w:val="28"/>
        </w:rPr>
        <w:t>⑦</w:t>
      </w:r>
      <w:r w:rsidRPr="00B12FE0">
        <w:rPr>
          <w:bCs/>
          <w:color w:val="000000" w:themeColor="text1"/>
          <w:szCs w:val="28"/>
        </w:rPr>
        <w:t>有全部安全</w:t>
      </w:r>
      <w:proofErr w:type="gramStart"/>
      <w:r w:rsidRPr="00B12FE0">
        <w:rPr>
          <w:bCs/>
          <w:color w:val="000000" w:themeColor="text1"/>
          <w:szCs w:val="28"/>
        </w:rPr>
        <w:t>联锁</w:t>
      </w:r>
      <w:proofErr w:type="gramEnd"/>
      <w:r w:rsidRPr="00B12FE0">
        <w:rPr>
          <w:bCs/>
          <w:color w:val="000000" w:themeColor="text1"/>
          <w:szCs w:val="28"/>
        </w:rPr>
        <w:t>设施检查装置，能保证所有安全联锁系统保持良好的运行状态。</w:t>
      </w:r>
    </w:p>
    <w:p w14:paraId="76E97180" w14:textId="77777777" w:rsidR="00A67F21" w:rsidRPr="00B12FE0" w:rsidRDefault="00000000">
      <w:pPr>
        <w:adjustRightInd w:val="0"/>
        <w:spacing w:line="360" w:lineRule="auto"/>
        <w:ind w:firstLine="482"/>
        <w:rPr>
          <w:bCs/>
          <w:color w:val="000000" w:themeColor="text1"/>
          <w:szCs w:val="28"/>
        </w:rPr>
      </w:pPr>
      <w:r w:rsidRPr="00B12FE0">
        <w:rPr>
          <w:rFonts w:hint="eastAsia"/>
          <w:bCs/>
          <w:color w:val="000000" w:themeColor="text1"/>
          <w:szCs w:val="28"/>
        </w:rPr>
        <w:t>⑧</w:t>
      </w:r>
      <w:r w:rsidRPr="00B12FE0">
        <w:rPr>
          <w:bCs/>
          <w:color w:val="000000" w:themeColor="text1"/>
          <w:szCs w:val="28"/>
        </w:rPr>
        <w:t>有门机安全</w:t>
      </w:r>
      <w:proofErr w:type="gramStart"/>
      <w:r w:rsidRPr="00B12FE0">
        <w:rPr>
          <w:bCs/>
          <w:color w:val="000000" w:themeColor="text1"/>
          <w:szCs w:val="28"/>
        </w:rPr>
        <w:t>联锁</w:t>
      </w:r>
      <w:proofErr w:type="gramEnd"/>
      <w:r w:rsidRPr="00B12FE0">
        <w:rPr>
          <w:bCs/>
          <w:color w:val="000000" w:themeColor="text1"/>
          <w:szCs w:val="28"/>
        </w:rPr>
        <w:t>，机房门关闭后设备才能开机，被打开时会自动关机。</w:t>
      </w:r>
    </w:p>
    <w:p w14:paraId="74B430E9" w14:textId="77777777" w:rsidR="00A67F21" w:rsidRPr="00B12FE0" w:rsidRDefault="00000000">
      <w:pPr>
        <w:adjustRightInd w:val="0"/>
        <w:spacing w:line="360" w:lineRule="auto"/>
        <w:ind w:firstLine="482"/>
        <w:rPr>
          <w:bCs/>
          <w:color w:val="000000" w:themeColor="text1"/>
          <w:szCs w:val="28"/>
        </w:rPr>
      </w:pPr>
      <w:r w:rsidRPr="00B12FE0">
        <w:rPr>
          <w:rFonts w:hint="eastAsia"/>
          <w:bCs/>
          <w:color w:val="000000" w:themeColor="text1"/>
          <w:szCs w:val="28"/>
        </w:rPr>
        <w:t>⑨</w:t>
      </w:r>
      <w:r w:rsidRPr="00B12FE0">
        <w:rPr>
          <w:bCs/>
          <w:color w:val="000000" w:themeColor="text1"/>
          <w:szCs w:val="28"/>
        </w:rPr>
        <w:t>有时间控制</w:t>
      </w:r>
      <w:proofErr w:type="gramStart"/>
      <w:r w:rsidRPr="00B12FE0">
        <w:rPr>
          <w:bCs/>
          <w:color w:val="000000" w:themeColor="text1"/>
          <w:szCs w:val="28"/>
        </w:rPr>
        <w:t>联锁</w:t>
      </w:r>
      <w:proofErr w:type="gramEnd"/>
      <w:r w:rsidRPr="00B12FE0">
        <w:rPr>
          <w:bCs/>
          <w:color w:val="000000" w:themeColor="text1"/>
          <w:szCs w:val="28"/>
        </w:rPr>
        <w:t>，当预选照射时间已定时，定时器能独立地使照射停止。</w:t>
      </w:r>
    </w:p>
    <w:p w14:paraId="3FC54CC3" w14:textId="77777777" w:rsidR="00A67F21" w:rsidRPr="00B12FE0" w:rsidRDefault="00000000">
      <w:pPr>
        <w:adjustRightInd w:val="0"/>
        <w:spacing w:line="360" w:lineRule="auto"/>
        <w:ind w:firstLine="482"/>
        <w:rPr>
          <w:bCs/>
          <w:color w:val="000000" w:themeColor="text1"/>
          <w:szCs w:val="28"/>
        </w:rPr>
      </w:pPr>
      <w:r w:rsidRPr="00B12FE0">
        <w:rPr>
          <w:rFonts w:hint="eastAsia"/>
          <w:bCs/>
          <w:color w:val="000000" w:themeColor="text1"/>
          <w:szCs w:val="28"/>
        </w:rPr>
        <w:t>⑩</w:t>
      </w:r>
      <w:r w:rsidRPr="00B12FE0">
        <w:rPr>
          <w:bCs/>
          <w:color w:val="000000" w:themeColor="text1"/>
          <w:szCs w:val="28"/>
        </w:rPr>
        <w:t>控制台和治疗室内均安有急停开关。</w:t>
      </w:r>
    </w:p>
    <w:p w14:paraId="0F1EA0E5" w14:textId="77777777" w:rsidR="00A67F21" w:rsidRPr="00B12FE0" w:rsidRDefault="00000000">
      <w:pPr>
        <w:adjustRightInd w:val="0"/>
        <w:spacing w:line="360" w:lineRule="auto"/>
        <w:ind w:firstLine="482"/>
        <w:rPr>
          <w:bCs/>
          <w:color w:val="000000" w:themeColor="text1"/>
          <w:szCs w:val="28"/>
        </w:rPr>
      </w:pPr>
      <w:r w:rsidRPr="00B12FE0">
        <w:rPr>
          <w:rFonts w:hint="eastAsia"/>
          <w:bCs/>
          <w:color w:val="000000" w:themeColor="text1"/>
          <w:szCs w:val="28"/>
        </w:rPr>
        <w:t>⑪</w:t>
      </w:r>
      <w:r w:rsidRPr="00B12FE0">
        <w:rPr>
          <w:bCs/>
          <w:color w:val="000000" w:themeColor="text1"/>
          <w:szCs w:val="28"/>
        </w:rPr>
        <w:t>机房门外设置有声音警示作用的工作状态指示灯和电离辐射</w:t>
      </w:r>
      <w:r w:rsidRPr="00B12FE0">
        <w:rPr>
          <w:rFonts w:hint="eastAsia"/>
          <w:bCs/>
          <w:color w:val="000000" w:themeColor="text1"/>
          <w:szCs w:val="28"/>
        </w:rPr>
        <w:t>警告</w:t>
      </w:r>
      <w:r w:rsidRPr="00B12FE0">
        <w:rPr>
          <w:bCs/>
          <w:color w:val="000000" w:themeColor="text1"/>
          <w:szCs w:val="28"/>
        </w:rPr>
        <w:t>标志。</w:t>
      </w:r>
    </w:p>
    <w:p w14:paraId="250F32AE" w14:textId="77777777" w:rsidR="00A67F21" w:rsidRPr="00B12FE0" w:rsidRDefault="00000000">
      <w:pPr>
        <w:adjustRightInd w:val="0"/>
        <w:spacing w:line="360" w:lineRule="auto"/>
        <w:ind w:firstLine="482"/>
        <w:rPr>
          <w:bCs/>
          <w:color w:val="000000" w:themeColor="text1"/>
          <w:szCs w:val="28"/>
        </w:rPr>
      </w:pPr>
      <w:r w:rsidRPr="00B12FE0">
        <w:rPr>
          <w:rFonts w:hint="eastAsia"/>
          <w:bCs/>
          <w:color w:val="000000" w:themeColor="text1"/>
          <w:szCs w:val="28"/>
        </w:rPr>
        <w:t>⑫视频</w:t>
      </w:r>
      <w:r w:rsidRPr="00B12FE0">
        <w:rPr>
          <w:bCs/>
          <w:color w:val="000000" w:themeColor="text1"/>
          <w:szCs w:val="28"/>
        </w:rPr>
        <w:t>监控、对讲装置：治疗室和控制室之间安装有</w:t>
      </w:r>
      <w:r w:rsidRPr="00B12FE0">
        <w:rPr>
          <w:rFonts w:hint="eastAsia"/>
          <w:bCs/>
          <w:color w:val="000000" w:themeColor="text1"/>
          <w:szCs w:val="28"/>
        </w:rPr>
        <w:t>视频</w:t>
      </w:r>
      <w:r w:rsidRPr="00B12FE0">
        <w:rPr>
          <w:bCs/>
          <w:color w:val="000000" w:themeColor="text1"/>
          <w:szCs w:val="28"/>
        </w:rPr>
        <w:t>监控、对讲装置，控制室能通过</w:t>
      </w:r>
      <w:r w:rsidRPr="00B12FE0">
        <w:rPr>
          <w:rFonts w:hint="eastAsia"/>
          <w:bCs/>
          <w:color w:val="000000" w:themeColor="text1"/>
          <w:szCs w:val="28"/>
        </w:rPr>
        <w:t>视频</w:t>
      </w:r>
      <w:r w:rsidRPr="00B12FE0">
        <w:rPr>
          <w:bCs/>
          <w:color w:val="000000" w:themeColor="text1"/>
          <w:szCs w:val="28"/>
        </w:rPr>
        <w:t>监视治疗室内患者治疗的情况，并通过对讲机与室内人员联系，以便医师在操作时观察患者在治疗室的状态，及时处理意外情况。</w:t>
      </w:r>
      <w:bookmarkStart w:id="24" w:name="_Toc30585"/>
    </w:p>
    <w:p w14:paraId="53180D9C" w14:textId="77777777" w:rsidR="00A67F21" w:rsidRPr="00B12FE0" w:rsidRDefault="00000000">
      <w:pPr>
        <w:tabs>
          <w:tab w:val="left" w:pos="1017"/>
        </w:tabs>
        <w:adjustRightInd w:val="0"/>
        <w:spacing w:line="360" w:lineRule="auto"/>
        <w:outlineLvl w:val="2"/>
        <w:rPr>
          <w:b/>
          <w:bCs/>
          <w:color w:val="000000" w:themeColor="text1"/>
          <w:szCs w:val="28"/>
        </w:rPr>
      </w:pPr>
      <w:r w:rsidRPr="00B12FE0">
        <w:rPr>
          <w:rFonts w:cs="宋体" w:hint="eastAsia"/>
          <w:b/>
          <w:bCs/>
          <w:color w:val="000000" w:themeColor="text1"/>
          <w:kern w:val="0"/>
        </w:rPr>
        <w:t>11.3.</w:t>
      </w:r>
      <w:r w:rsidRPr="00B12FE0">
        <w:rPr>
          <w:rFonts w:cs="宋体"/>
          <w:b/>
          <w:bCs/>
          <w:color w:val="000000" w:themeColor="text1"/>
          <w:kern w:val="0"/>
        </w:rPr>
        <w:t>3</w:t>
      </w:r>
      <w:r w:rsidRPr="00B12FE0">
        <w:rPr>
          <w:b/>
          <w:bCs/>
          <w:color w:val="000000" w:themeColor="text1"/>
          <w:szCs w:val="28"/>
        </w:rPr>
        <w:t>后装机</w:t>
      </w:r>
    </w:p>
    <w:p w14:paraId="5CCEEFB0" w14:textId="77777777" w:rsidR="00A67F21" w:rsidRPr="00B12FE0" w:rsidRDefault="00000000">
      <w:pPr>
        <w:adjustRightInd w:val="0"/>
        <w:spacing w:line="360" w:lineRule="auto"/>
        <w:ind w:firstLine="480"/>
        <w:rPr>
          <w:color w:val="000000" w:themeColor="text1"/>
        </w:rPr>
      </w:pPr>
      <w:r w:rsidRPr="00B12FE0">
        <w:rPr>
          <w:color w:val="000000" w:themeColor="text1"/>
        </w:rPr>
        <w:t>（</w:t>
      </w:r>
      <w:r w:rsidRPr="00B12FE0">
        <w:rPr>
          <w:color w:val="000000" w:themeColor="text1"/>
        </w:rPr>
        <w:t>1</w:t>
      </w:r>
      <w:r w:rsidRPr="00B12FE0">
        <w:rPr>
          <w:color w:val="000000" w:themeColor="text1"/>
        </w:rPr>
        <w:t>）</w:t>
      </w:r>
      <w:r w:rsidRPr="00B12FE0">
        <w:rPr>
          <w:b/>
          <w:bCs/>
          <w:color w:val="000000" w:themeColor="text1"/>
          <w:kern w:val="0"/>
        </w:rPr>
        <w:t>可能发生的辐射事故</w:t>
      </w:r>
    </w:p>
    <w:p w14:paraId="09CE20DC"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1 \* GB3 </w:instrText>
      </w:r>
      <w:r w:rsidRPr="00B12FE0">
        <w:rPr>
          <w:color w:val="000000" w:themeColor="text1"/>
          <w:szCs w:val="28"/>
        </w:rPr>
        <w:fldChar w:fldCharType="separate"/>
      </w:r>
      <w:r w:rsidRPr="00B12FE0">
        <w:rPr>
          <w:rFonts w:ascii="宋体" w:hAnsi="宋体" w:cs="宋体" w:hint="eastAsia"/>
          <w:color w:val="000000" w:themeColor="text1"/>
          <w:szCs w:val="28"/>
        </w:rPr>
        <w:t>①</w:t>
      </w:r>
      <w:r w:rsidRPr="00B12FE0">
        <w:rPr>
          <w:color w:val="000000" w:themeColor="text1"/>
          <w:szCs w:val="28"/>
        </w:rPr>
        <w:fldChar w:fldCharType="end"/>
      </w:r>
      <w:r w:rsidRPr="00B12FE0">
        <w:rPr>
          <w:color w:val="000000" w:themeColor="text1"/>
          <w:szCs w:val="28"/>
        </w:rPr>
        <w:t>放射源密封壳破损，源活性物质泄漏；</w:t>
      </w:r>
    </w:p>
    <w:p w14:paraId="43CF5D4E"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2 \* GB3 </w:instrText>
      </w:r>
      <w:r w:rsidRPr="00B12FE0">
        <w:rPr>
          <w:color w:val="000000" w:themeColor="text1"/>
          <w:szCs w:val="28"/>
        </w:rPr>
        <w:fldChar w:fldCharType="separate"/>
      </w:r>
      <w:r w:rsidRPr="00B12FE0">
        <w:rPr>
          <w:rFonts w:ascii="宋体" w:hAnsi="宋体" w:cs="宋体" w:hint="eastAsia"/>
          <w:color w:val="000000" w:themeColor="text1"/>
          <w:szCs w:val="28"/>
        </w:rPr>
        <w:t>②</w:t>
      </w:r>
      <w:r w:rsidRPr="00B12FE0">
        <w:rPr>
          <w:color w:val="000000" w:themeColor="text1"/>
          <w:szCs w:val="28"/>
        </w:rPr>
        <w:fldChar w:fldCharType="end"/>
      </w:r>
      <w:r w:rsidRPr="00B12FE0">
        <w:rPr>
          <w:color w:val="000000" w:themeColor="text1"/>
          <w:szCs w:val="28"/>
        </w:rPr>
        <w:t>治疗过程中，</w:t>
      </w:r>
      <w:proofErr w:type="gramStart"/>
      <w:r w:rsidRPr="00B12FE0">
        <w:rPr>
          <w:color w:val="000000" w:themeColor="text1"/>
          <w:szCs w:val="28"/>
        </w:rPr>
        <w:t>发生卡源事故</w:t>
      </w:r>
      <w:proofErr w:type="gramEnd"/>
      <w:r w:rsidRPr="00B12FE0">
        <w:rPr>
          <w:color w:val="000000" w:themeColor="text1"/>
          <w:szCs w:val="28"/>
        </w:rPr>
        <w:t>；</w:t>
      </w:r>
    </w:p>
    <w:p w14:paraId="053B5AD2"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3 \* GB3 </w:instrText>
      </w:r>
      <w:r w:rsidRPr="00B12FE0">
        <w:rPr>
          <w:color w:val="000000" w:themeColor="text1"/>
          <w:szCs w:val="28"/>
        </w:rPr>
        <w:fldChar w:fldCharType="separate"/>
      </w:r>
      <w:r w:rsidRPr="00B12FE0">
        <w:rPr>
          <w:rFonts w:ascii="宋体" w:hAnsi="宋体" w:cs="宋体" w:hint="eastAsia"/>
          <w:color w:val="000000" w:themeColor="text1"/>
          <w:szCs w:val="28"/>
        </w:rPr>
        <w:t>③</w:t>
      </w:r>
      <w:r w:rsidRPr="00B12FE0">
        <w:rPr>
          <w:color w:val="000000" w:themeColor="text1"/>
          <w:szCs w:val="28"/>
        </w:rPr>
        <w:fldChar w:fldCharType="end"/>
      </w:r>
      <w:r w:rsidRPr="00B12FE0">
        <w:rPr>
          <w:color w:val="000000" w:themeColor="text1"/>
          <w:szCs w:val="28"/>
        </w:rPr>
        <w:t>安全联锁装置失效，人员误入治疗室而受到额外照射，还可能发生放射源阻丝、</w:t>
      </w:r>
      <w:proofErr w:type="gramStart"/>
      <w:r w:rsidRPr="00B12FE0">
        <w:rPr>
          <w:color w:val="000000" w:themeColor="text1"/>
          <w:szCs w:val="28"/>
        </w:rPr>
        <w:lastRenderedPageBreak/>
        <w:t>源位异常</w:t>
      </w:r>
      <w:proofErr w:type="gramEnd"/>
      <w:r w:rsidRPr="00B12FE0">
        <w:rPr>
          <w:color w:val="000000" w:themeColor="text1"/>
          <w:szCs w:val="28"/>
        </w:rPr>
        <w:t>等故障；</w:t>
      </w:r>
    </w:p>
    <w:p w14:paraId="5117E9D4"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4 \* GB3 </w:instrText>
      </w:r>
      <w:r w:rsidRPr="00B12FE0">
        <w:rPr>
          <w:color w:val="000000" w:themeColor="text1"/>
          <w:szCs w:val="28"/>
        </w:rPr>
        <w:fldChar w:fldCharType="separate"/>
      </w:r>
      <w:r w:rsidRPr="00B12FE0">
        <w:rPr>
          <w:rFonts w:ascii="宋体" w:hAnsi="宋体" w:cs="宋体" w:hint="eastAsia"/>
          <w:color w:val="000000" w:themeColor="text1"/>
          <w:szCs w:val="28"/>
        </w:rPr>
        <w:t>④</w:t>
      </w:r>
      <w:r w:rsidRPr="00B12FE0">
        <w:rPr>
          <w:color w:val="000000" w:themeColor="text1"/>
          <w:szCs w:val="28"/>
        </w:rPr>
        <w:fldChar w:fldCharType="end"/>
      </w:r>
      <w:r w:rsidRPr="00B12FE0">
        <w:rPr>
          <w:color w:val="000000" w:themeColor="text1"/>
          <w:szCs w:val="28"/>
        </w:rPr>
        <w:t>设备检修时，工作人员误将治疗机的屏蔽装置打开或者卸下放射源，对维修人员产生额外照射。</w:t>
      </w:r>
    </w:p>
    <w:p w14:paraId="1D72450E" w14:textId="77777777" w:rsidR="00A67F21" w:rsidRPr="00B12FE0" w:rsidRDefault="00000000">
      <w:pPr>
        <w:adjustRightInd w:val="0"/>
        <w:snapToGrid w:val="0"/>
        <w:spacing w:line="360" w:lineRule="auto"/>
        <w:ind w:firstLine="480"/>
        <w:rPr>
          <w:color w:val="000000" w:themeColor="text1"/>
          <w:szCs w:val="28"/>
        </w:rPr>
      </w:pPr>
      <w:r w:rsidRPr="00B12FE0">
        <w:rPr>
          <w:color w:val="000000" w:themeColor="text1"/>
          <w:szCs w:val="28"/>
        </w:rPr>
        <w:fldChar w:fldCharType="begin"/>
      </w:r>
      <w:r w:rsidRPr="00B12FE0">
        <w:rPr>
          <w:color w:val="000000" w:themeColor="text1"/>
          <w:szCs w:val="28"/>
        </w:rPr>
        <w:instrText xml:space="preserve"> = 5 \* GB3 </w:instrText>
      </w:r>
      <w:r w:rsidRPr="00B12FE0">
        <w:rPr>
          <w:color w:val="000000" w:themeColor="text1"/>
          <w:szCs w:val="28"/>
        </w:rPr>
        <w:fldChar w:fldCharType="separate"/>
      </w:r>
      <w:r w:rsidRPr="00B12FE0">
        <w:rPr>
          <w:rFonts w:ascii="宋体" w:hAnsi="宋体" w:cs="宋体" w:hint="eastAsia"/>
          <w:color w:val="000000" w:themeColor="text1"/>
          <w:szCs w:val="28"/>
        </w:rPr>
        <w:t>⑤</w:t>
      </w:r>
      <w:r w:rsidRPr="00B12FE0">
        <w:rPr>
          <w:color w:val="000000" w:themeColor="text1"/>
          <w:szCs w:val="28"/>
        </w:rPr>
        <w:fldChar w:fldCharType="end"/>
      </w:r>
      <w:r w:rsidRPr="00B12FE0">
        <w:rPr>
          <w:color w:val="000000" w:themeColor="text1"/>
          <w:szCs w:val="28"/>
        </w:rPr>
        <w:t>工作人员操作不当或设备故障，在设备安装、更换放射源时，放射源由设备或容器中滑落出来，造成安装或操作人员受到额外照射。</w:t>
      </w:r>
    </w:p>
    <w:p w14:paraId="43CFF829" w14:textId="77777777" w:rsidR="00A67F21" w:rsidRPr="00B12FE0" w:rsidRDefault="00000000">
      <w:pPr>
        <w:adjustRightInd w:val="0"/>
        <w:spacing w:line="360" w:lineRule="auto"/>
        <w:ind w:firstLine="480"/>
        <w:rPr>
          <w:b/>
          <w:color w:val="000000" w:themeColor="text1"/>
        </w:rPr>
      </w:pPr>
      <w:r w:rsidRPr="00B12FE0">
        <w:rPr>
          <w:b/>
          <w:color w:val="000000" w:themeColor="text1"/>
        </w:rPr>
        <w:t>（</w:t>
      </w:r>
      <w:r w:rsidRPr="00B12FE0">
        <w:rPr>
          <w:b/>
          <w:color w:val="000000" w:themeColor="text1"/>
        </w:rPr>
        <w:t>2</w:t>
      </w:r>
      <w:r w:rsidRPr="00B12FE0">
        <w:rPr>
          <w:b/>
          <w:color w:val="000000" w:themeColor="text1"/>
        </w:rPr>
        <w:t>）预防措施</w:t>
      </w:r>
    </w:p>
    <w:p w14:paraId="1C702113" w14:textId="77777777" w:rsidR="00A67F21" w:rsidRPr="00B12FE0" w:rsidRDefault="00000000">
      <w:pPr>
        <w:adjustRightInd w:val="0"/>
        <w:spacing w:line="360" w:lineRule="auto"/>
        <w:ind w:firstLine="480"/>
        <w:jc w:val="left"/>
        <w:rPr>
          <w:snapToGrid w:val="0"/>
          <w:color w:val="000000" w:themeColor="text1"/>
          <w:sz w:val="21"/>
          <w:szCs w:val="24"/>
        </w:rPr>
      </w:pPr>
      <w:r w:rsidRPr="00B12FE0">
        <w:rPr>
          <w:color w:val="000000" w:themeColor="text1"/>
        </w:rPr>
        <w:fldChar w:fldCharType="begin"/>
      </w:r>
      <w:r w:rsidRPr="00B12FE0">
        <w:rPr>
          <w:color w:val="000000" w:themeColor="text1"/>
        </w:rPr>
        <w:instrText xml:space="preserve"> = 1 \* GB3 </w:instrText>
      </w:r>
      <w:r w:rsidRPr="00B12FE0">
        <w:rPr>
          <w:color w:val="000000" w:themeColor="text1"/>
        </w:rPr>
        <w:fldChar w:fldCharType="separate"/>
      </w:r>
      <w:r w:rsidRPr="00B12FE0">
        <w:rPr>
          <w:rFonts w:ascii="宋体" w:hAnsi="宋体" w:cs="宋体" w:hint="eastAsia"/>
          <w:color w:val="000000" w:themeColor="text1"/>
        </w:rPr>
        <w:t>①</w:t>
      </w:r>
      <w:r w:rsidRPr="00B12FE0">
        <w:rPr>
          <w:color w:val="000000" w:themeColor="text1"/>
        </w:rPr>
        <w:fldChar w:fldCharType="end"/>
      </w:r>
      <w:r w:rsidRPr="00B12FE0">
        <w:rPr>
          <w:rFonts w:hint="eastAsia"/>
          <w:snapToGrid w:val="0"/>
          <w:color w:val="000000" w:themeColor="text1"/>
          <w:szCs w:val="24"/>
        </w:rPr>
        <w:t>发生</w:t>
      </w:r>
      <w:proofErr w:type="gramStart"/>
      <w:r w:rsidRPr="00B12FE0">
        <w:rPr>
          <w:rFonts w:hint="eastAsia"/>
          <w:snapToGrid w:val="0"/>
          <w:color w:val="000000" w:themeColor="text1"/>
          <w:szCs w:val="24"/>
        </w:rPr>
        <w:t>卡源情况</w:t>
      </w:r>
      <w:proofErr w:type="gramEnd"/>
      <w:r w:rsidRPr="00B12FE0">
        <w:rPr>
          <w:rFonts w:hint="eastAsia"/>
          <w:snapToGrid w:val="0"/>
          <w:color w:val="000000" w:themeColor="text1"/>
          <w:szCs w:val="24"/>
        </w:rPr>
        <w:t>时，应立即采取紧急处理措施：</w:t>
      </w:r>
    </w:p>
    <w:p w14:paraId="14B1AA20" w14:textId="77777777" w:rsidR="00A67F21" w:rsidRPr="00B12FE0" w:rsidRDefault="00000000">
      <w:pPr>
        <w:adjustRightInd w:val="0"/>
        <w:spacing w:line="360" w:lineRule="auto"/>
        <w:ind w:firstLine="480"/>
        <w:jc w:val="left"/>
        <w:rPr>
          <w:snapToGrid w:val="0"/>
          <w:color w:val="000000" w:themeColor="text1"/>
          <w:sz w:val="21"/>
          <w:szCs w:val="24"/>
        </w:rPr>
      </w:pPr>
      <w:r w:rsidRPr="00B12FE0">
        <w:rPr>
          <w:rFonts w:hint="eastAsia"/>
          <w:snapToGrid w:val="0"/>
          <w:color w:val="000000" w:themeColor="text1"/>
          <w:szCs w:val="24"/>
        </w:rPr>
        <w:t>a</w:t>
      </w:r>
      <w:r w:rsidRPr="00B12FE0">
        <w:rPr>
          <w:rFonts w:hint="eastAsia"/>
          <w:snapToGrid w:val="0"/>
          <w:color w:val="000000" w:themeColor="text1"/>
          <w:szCs w:val="24"/>
        </w:rPr>
        <w:t>）使用“手动回源”按钮，观察放射源是否能回到容器，若该按钮生效，则能正常保存病人的数据。</w:t>
      </w:r>
    </w:p>
    <w:p w14:paraId="7ED84764" w14:textId="77777777" w:rsidR="00A67F21" w:rsidRPr="00B12FE0" w:rsidRDefault="00000000">
      <w:pPr>
        <w:adjustRightInd w:val="0"/>
        <w:spacing w:line="360" w:lineRule="auto"/>
        <w:ind w:firstLine="480"/>
        <w:jc w:val="left"/>
        <w:rPr>
          <w:snapToGrid w:val="0"/>
          <w:color w:val="000000" w:themeColor="text1"/>
          <w:sz w:val="21"/>
          <w:szCs w:val="24"/>
        </w:rPr>
      </w:pPr>
      <w:r w:rsidRPr="00B12FE0">
        <w:rPr>
          <w:rFonts w:hint="eastAsia"/>
          <w:snapToGrid w:val="0"/>
          <w:color w:val="000000" w:themeColor="text1"/>
          <w:szCs w:val="24"/>
        </w:rPr>
        <w:t>b</w:t>
      </w:r>
      <w:r w:rsidRPr="00B12FE0">
        <w:rPr>
          <w:rFonts w:hint="eastAsia"/>
          <w:snapToGrid w:val="0"/>
          <w:color w:val="000000" w:themeColor="text1"/>
          <w:szCs w:val="24"/>
        </w:rPr>
        <w:t>）若“手动回源”按钮失效，即按下“紧急”按钮，观察放射源是否能回到容器，此操作不能正常保存病人的数据。</w:t>
      </w:r>
    </w:p>
    <w:p w14:paraId="4A37C941" w14:textId="77777777" w:rsidR="00A67F21" w:rsidRPr="00B12FE0" w:rsidRDefault="00000000">
      <w:pPr>
        <w:adjustRightInd w:val="0"/>
        <w:spacing w:line="360" w:lineRule="auto"/>
        <w:ind w:firstLine="480"/>
        <w:jc w:val="left"/>
        <w:rPr>
          <w:snapToGrid w:val="0"/>
          <w:color w:val="000000" w:themeColor="text1"/>
          <w:sz w:val="21"/>
          <w:szCs w:val="24"/>
        </w:rPr>
      </w:pPr>
      <w:r w:rsidRPr="00B12FE0">
        <w:rPr>
          <w:rFonts w:hint="eastAsia"/>
          <w:snapToGrid w:val="0"/>
          <w:color w:val="000000" w:themeColor="text1"/>
          <w:szCs w:val="24"/>
        </w:rPr>
        <w:t>c</w:t>
      </w:r>
      <w:r w:rsidRPr="00B12FE0">
        <w:rPr>
          <w:rFonts w:hint="eastAsia"/>
          <w:snapToGrid w:val="0"/>
          <w:color w:val="000000" w:themeColor="text1"/>
          <w:szCs w:val="24"/>
        </w:rPr>
        <w:t>）发生时机房无病人的状态下，立即报告放疗机房技术组长和设备科，进行设备故障排除或联系厂家维修，并做好记录。</w:t>
      </w:r>
    </w:p>
    <w:p w14:paraId="59309B41" w14:textId="77777777" w:rsidR="00A67F21" w:rsidRPr="00B12FE0" w:rsidRDefault="00000000">
      <w:pPr>
        <w:adjustRightInd w:val="0"/>
        <w:spacing w:line="360" w:lineRule="auto"/>
        <w:ind w:firstLine="480"/>
        <w:rPr>
          <w:snapToGrid w:val="0"/>
          <w:color w:val="000000" w:themeColor="text1"/>
          <w:sz w:val="21"/>
          <w:szCs w:val="24"/>
        </w:rPr>
      </w:pPr>
      <w:r w:rsidRPr="00B12FE0">
        <w:rPr>
          <w:rFonts w:ascii="宋体" w:hAnsi="宋体" w:hint="eastAsia"/>
          <w:snapToGrid w:val="0"/>
          <w:color w:val="000000" w:themeColor="text1"/>
          <w:szCs w:val="24"/>
        </w:rPr>
        <w:t>②</w:t>
      </w:r>
      <w:r w:rsidRPr="00B12FE0">
        <w:rPr>
          <w:rFonts w:hint="eastAsia"/>
          <w:snapToGrid w:val="0"/>
          <w:color w:val="000000" w:themeColor="text1"/>
          <w:szCs w:val="24"/>
        </w:rPr>
        <w:t>若以上措施均失效，或同时发生机房内有病人的治疗中</w:t>
      </w:r>
      <w:proofErr w:type="gramStart"/>
      <w:r w:rsidRPr="00B12FE0">
        <w:rPr>
          <w:rFonts w:hint="eastAsia"/>
          <w:snapToGrid w:val="0"/>
          <w:color w:val="000000" w:themeColor="text1"/>
          <w:szCs w:val="24"/>
        </w:rPr>
        <w:t>机外卡源事件</w:t>
      </w:r>
      <w:proofErr w:type="gramEnd"/>
      <w:r w:rsidRPr="00B12FE0">
        <w:rPr>
          <w:rFonts w:hint="eastAsia"/>
          <w:snapToGrid w:val="0"/>
          <w:color w:val="000000" w:themeColor="text1"/>
          <w:szCs w:val="24"/>
        </w:rPr>
        <w:t>时，应立即采取以下措施：</w:t>
      </w:r>
    </w:p>
    <w:p w14:paraId="38C0E1E2"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a</w:t>
      </w:r>
      <w:r w:rsidRPr="00B12FE0">
        <w:rPr>
          <w:rFonts w:hint="eastAsia"/>
          <w:snapToGrid w:val="0"/>
          <w:color w:val="000000" w:themeColor="text1"/>
          <w:szCs w:val="24"/>
        </w:rPr>
        <w:t>）第一时间由在场工作人员佩戴好个人剂量计和铅衣、铅裙、铅目镜等个人防护措施，并携带个人剂量巡测仪，在确保源回收以后，以最短时间抢救出病人并以最快的速度关闭后装治疗室防护门。</w:t>
      </w:r>
    </w:p>
    <w:p w14:paraId="5AA669B3"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b</w:t>
      </w:r>
      <w:r w:rsidRPr="00B12FE0">
        <w:rPr>
          <w:rFonts w:hint="eastAsia"/>
          <w:snapToGrid w:val="0"/>
          <w:color w:val="000000" w:themeColor="text1"/>
          <w:szCs w:val="24"/>
        </w:rPr>
        <w:t>）记录卡</w:t>
      </w:r>
      <w:proofErr w:type="gramStart"/>
      <w:r w:rsidRPr="00B12FE0">
        <w:rPr>
          <w:rFonts w:hint="eastAsia"/>
          <w:snapToGrid w:val="0"/>
          <w:color w:val="000000" w:themeColor="text1"/>
          <w:szCs w:val="24"/>
        </w:rPr>
        <w:t>源时间</w:t>
      </w:r>
      <w:proofErr w:type="gramEnd"/>
      <w:r w:rsidRPr="00B12FE0">
        <w:rPr>
          <w:rFonts w:hint="eastAsia"/>
          <w:snapToGrid w:val="0"/>
          <w:color w:val="000000" w:themeColor="text1"/>
          <w:szCs w:val="24"/>
        </w:rPr>
        <w:t>和病人暴露时间。</w:t>
      </w:r>
    </w:p>
    <w:p w14:paraId="3D31E69F"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c</w:t>
      </w:r>
      <w:r w:rsidRPr="00B12FE0">
        <w:rPr>
          <w:rFonts w:hint="eastAsia"/>
          <w:snapToGrid w:val="0"/>
          <w:color w:val="000000" w:themeColor="text1"/>
          <w:szCs w:val="24"/>
        </w:rPr>
        <w:t>）立即报告放疗机房技术组长、科室负责人和设备科。</w:t>
      </w:r>
    </w:p>
    <w:p w14:paraId="3E693F7F"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d</w:t>
      </w:r>
      <w:r w:rsidRPr="00B12FE0">
        <w:rPr>
          <w:rFonts w:hint="eastAsia"/>
          <w:snapToGrid w:val="0"/>
          <w:color w:val="000000" w:themeColor="text1"/>
          <w:szCs w:val="24"/>
        </w:rPr>
        <w:t>）科室负责人立即组织处理，进行初步评价，迅速估算受</w:t>
      </w:r>
      <w:proofErr w:type="gramStart"/>
      <w:r w:rsidRPr="00B12FE0">
        <w:rPr>
          <w:rFonts w:hint="eastAsia"/>
          <w:snapToGrid w:val="0"/>
          <w:color w:val="000000" w:themeColor="text1"/>
          <w:szCs w:val="24"/>
        </w:rPr>
        <w:t>照人员</w:t>
      </w:r>
      <w:proofErr w:type="gramEnd"/>
      <w:r w:rsidRPr="00B12FE0">
        <w:rPr>
          <w:rFonts w:hint="eastAsia"/>
          <w:snapToGrid w:val="0"/>
          <w:color w:val="000000" w:themeColor="text1"/>
          <w:szCs w:val="24"/>
        </w:rPr>
        <w:t>和进入人员的照射剂量，及时按程序上报。</w:t>
      </w:r>
    </w:p>
    <w:p w14:paraId="66B5CDE4"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c</w:t>
      </w:r>
      <w:r w:rsidRPr="00B12FE0">
        <w:rPr>
          <w:rFonts w:hint="eastAsia"/>
          <w:snapToGrid w:val="0"/>
          <w:color w:val="000000" w:themeColor="text1"/>
          <w:szCs w:val="24"/>
        </w:rPr>
        <w:t>）设备科进行设备故障排除或联系厂家维修等。</w:t>
      </w:r>
    </w:p>
    <w:p w14:paraId="67A88D1A"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d</w:t>
      </w:r>
      <w:r w:rsidRPr="00B12FE0">
        <w:rPr>
          <w:rFonts w:hint="eastAsia"/>
          <w:snapToGrid w:val="0"/>
          <w:color w:val="000000" w:themeColor="text1"/>
          <w:szCs w:val="24"/>
        </w:rPr>
        <w:t>）通知物理师检测漏射线剂量。</w:t>
      </w:r>
    </w:p>
    <w:p w14:paraId="483A0027"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e</w:t>
      </w:r>
      <w:r w:rsidRPr="00B12FE0">
        <w:rPr>
          <w:rFonts w:hint="eastAsia"/>
          <w:snapToGrid w:val="0"/>
          <w:color w:val="000000" w:themeColor="text1"/>
          <w:szCs w:val="24"/>
        </w:rPr>
        <w:t>）值班物理师使用射线检测仪测量后装机机房周围的辐射剂量并做好相关的检测剂量登记。</w:t>
      </w:r>
    </w:p>
    <w:p w14:paraId="7424AC9C" w14:textId="77777777" w:rsidR="00A67F21" w:rsidRPr="00B12FE0" w:rsidRDefault="00000000">
      <w:pPr>
        <w:adjustRightInd w:val="0"/>
        <w:spacing w:line="360" w:lineRule="auto"/>
        <w:ind w:firstLine="480"/>
        <w:rPr>
          <w:snapToGrid w:val="0"/>
          <w:color w:val="000000" w:themeColor="text1"/>
          <w:sz w:val="21"/>
          <w:szCs w:val="24"/>
        </w:rPr>
      </w:pPr>
      <w:r w:rsidRPr="00B12FE0">
        <w:rPr>
          <w:rFonts w:hint="eastAsia"/>
          <w:snapToGrid w:val="0"/>
          <w:color w:val="000000" w:themeColor="text1"/>
          <w:szCs w:val="24"/>
        </w:rPr>
        <w:t>f</w:t>
      </w:r>
      <w:r w:rsidRPr="00B12FE0">
        <w:rPr>
          <w:rFonts w:hint="eastAsia"/>
          <w:snapToGrid w:val="0"/>
          <w:color w:val="000000" w:themeColor="text1"/>
          <w:szCs w:val="24"/>
        </w:rPr>
        <w:t>）根据实际情况及剂量的辐射情况划定“辐射危险区域”。</w:t>
      </w:r>
    </w:p>
    <w:p w14:paraId="3DFED1B6" w14:textId="77777777" w:rsidR="00A67F21" w:rsidRPr="00B12FE0" w:rsidRDefault="00000000">
      <w:pPr>
        <w:adjustRightInd w:val="0"/>
        <w:spacing w:line="360" w:lineRule="auto"/>
        <w:ind w:firstLine="480"/>
        <w:rPr>
          <w:snapToGrid w:val="0"/>
          <w:color w:val="000000" w:themeColor="text1"/>
          <w:szCs w:val="24"/>
        </w:rPr>
      </w:pPr>
      <w:r w:rsidRPr="00B12FE0">
        <w:rPr>
          <w:rFonts w:hint="eastAsia"/>
          <w:snapToGrid w:val="0"/>
          <w:color w:val="000000" w:themeColor="text1"/>
          <w:szCs w:val="24"/>
        </w:rPr>
        <w:t>g</w:t>
      </w:r>
      <w:r w:rsidRPr="00B12FE0">
        <w:rPr>
          <w:rFonts w:hint="eastAsia"/>
          <w:snapToGrid w:val="0"/>
          <w:color w:val="000000" w:themeColor="text1"/>
          <w:szCs w:val="24"/>
        </w:rPr>
        <w:t>）在“辐射危险区域”处张贴警告提示，提醒公众禁止进入该区域。</w:t>
      </w:r>
    </w:p>
    <w:p w14:paraId="73C00277" w14:textId="77777777" w:rsidR="00A67F21" w:rsidRPr="00B12FE0" w:rsidRDefault="00000000">
      <w:pPr>
        <w:adjustRightInd w:val="0"/>
        <w:spacing w:line="360" w:lineRule="auto"/>
        <w:ind w:firstLine="480"/>
        <w:rPr>
          <w:color w:val="000000" w:themeColor="text1"/>
        </w:rPr>
      </w:pPr>
      <w:r w:rsidRPr="00B12FE0">
        <w:rPr>
          <w:rFonts w:ascii="宋体" w:hAnsi="宋体" w:hint="eastAsia"/>
          <w:color w:val="000000" w:themeColor="text1"/>
        </w:rPr>
        <w:t>③</w:t>
      </w:r>
      <w:r w:rsidRPr="00B12FE0">
        <w:rPr>
          <w:color w:val="000000" w:themeColor="text1"/>
        </w:rPr>
        <w:t>一旦发生放射源丢失、被盗，发现人员应立即上报给医院辐射安全防护管理领导小组，管理小组及时报警（拨打</w:t>
      </w:r>
      <w:r w:rsidRPr="00B12FE0">
        <w:rPr>
          <w:color w:val="000000" w:themeColor="text1"/>
        </w:rPr>
        <w:t>110</w:t>
      </w:r>
      <w:r w:rsidRPr="00B12FE0">
        <w:rPr>
          <w:color w:val="000000" w:themeColor="text1"/>
        </w:rPr>
        <w:t>），并上报当地</w:t>
      </w:r>
      <w:r w:rsidRPr="00B12FE0">
        <w:rPr>
          <w:rFonts w:hint="eastAsia"/>
          <w:color w:val="000000" w:themeColor="text1"/>
        </w:rPr>
        <w:t>生态环境</w:t>
      </w:r>
      <w:r w:rsidRPr="00B12FE0">
        <w:rPr>
          <w:color w:val="000000" w:themeColor="text1"/>
        </w:rPr>
        <w:t>、卫生部门，同时全力</w:t>
      </w:r>
      <w:r w:rsidRPr="00B12FE0">
        <w:rPr>
          <w:color w:val="000000" w:themeColor="text1"/>
        </w:rPr>
        <w:lastRenderedPageBreak/>
        <w:t>配合调查。</w:t>
      </w:r>
    </w:p>
    <w:p w14:paraId="282B76C8" w14:textId="77777777" w:rsidR="00A67F21" w:rsidRPr="00B12FE0" w:rsidRDefault="00000000">
      <w:pPr>
        <w:adjustRightInd w:val="0"/>
        <w:spacing w:line="360" w:lineRule="auto"/>
        <w:ind w:firstLine="480"/>
        <w:rPr>
          <w:color w:val="000000" w:themeColor="text1"/>
        </w:rPr>
      </w:pPr>
      <w:r w:rsidRPr="00B12FE0">
        <w:rPr>
          <w:rFonts w:ascii="宋体" w:hAnsi="宋体" w:hint="eastAsia"/>
          <w:color w:val="000000" w:themeColor="text1"/>
        </w:rPr>
        <w:t>④</w:t>
      </w:r>
      <w:r w:rsidRPr="00B12FE0">
        <w:rPr>
          <w:color w:val="000000" w:themeColor="text1"/>
        </w:rPr>
        <w:t>本项目后装机治疗室配置了一系列防护措施，如有智能化控制台、有条件显示</w:t>
      </w:r>
      <w:proofErr w:type="gramStart"/>
      <w:r w:rsidRPr="00B12FE0">
        <w:rPr>
          <w:color w:val="000000" w:themeColor="text1"/>
        </w:rPr>
        <w:t>联锁</w:t>
      </w:r>
      <w:proofErr w:type="gramEnd"/>
      <w:r w:rsidRPr="00B12FE0">
        <w:rPr>
          <w:color w:val="000000" w:themeColor="text1"/>
        </w:rPr>
        <w:t>、剂量控制</w:t>
      </w:r>
      <w:proofErr w:type="gramStart"/>
      <w:r w:rsidRPr="00B12FE0">
        <w:rPr>
          <w:color w:val="000000" w:themeColor="text1"/>
        </w:rPr>
        <w:t>联锁</w:t>
      </w:r>
      <w:proofErr w:type="gramEnd"/>
      <w:r w:rsidRPr="00B12FE0">
        <w:rPr>
          <w:color w:val="000000" w:themeColor="text1"/>
        </w:rPr>
        <w:t>、</w:t>
      </w:r>
      <w:r w:rsidRPr="00B12FE0">
        <w:rPr>
          <w:bCs/>
          <w:color w:val="000000" w:themeColor="text1"/>
          <w:szCs w:val="28"/>
        </w:rPr>
        <w:t>门机安全</w:t>
      </w:r>
      <w:proofErr w:type="gramStart"/>
      <w:r w:rsidRPr="00B12FE0">
        <w:rPr>
          <w:bCs/>
          <w:color w:val="000000" w:themeColor="text1"/>
          <w:szCs w:val="28"/>
        </w:rPr>
        <w:t>联锁</w:t>
      </w:r>
      <w:proofErr w:type="gramEnd"/>
      <w:r w:rsidRPr="00B12FE0">
        <w:rPr>
          <w:bCs/>
          <w:color w:val="000000" w:themeColor="text1"/>
          <w:szCs w:val="28"/>
        </w:rPr>
        <w:t>、视频监控、对讲装置、紧急停机开关等。机房的设计也满足防火、防水、防盗、防丢失和防破坏以及防射线泄漏。</w:t>
      </w:r>
    </w:p>
    <w:p w14:paraId="2678B1B2" w14:textId="77777777" w:rsidR="00A67F21" w:rsidRPr="00B12FE0" w:rsidRDefault="00000000">
      <w:pPr>
        <w:kinsoku w:val="0"/>
        <w:overflowPunct w:val="0"/>
        <w:autoSpaceDE w:val="0"/>
        <w:autoSpaceDN w:val="0"/>
        <w:adjustRightInd w:val="0"/>
        <w:spacing w:line="360" w:lineRule="auto"/>
        <w:jc w:val="left"/>
        <w:outlineLvl w:val="2"/>
        <w:rPr>
          <w:rFonts w:cs="宋体"/>
          <w:b/>
          <w:bCs/>
          <w:color w:val="000000" w:themeColor="text1"/>
          <w:kern w:val="0"/>
        </w:rPr>
      </w:pPr>
      <w:r w:rsidRPr="00B12FE0">
        <w:rPr>
          <w:rFonts w:cs="宋体" w:hint="eastAsia"/>
          <w:b/>
          <w:bCs/>
          <w:color w:val="000000" w:themeColor="text1"/>
          <w:kern w:val="0"/>
        </w:rPr>
        <w:t>11.3.</w:t>
      </w:r>
      <w:r w:rsidRPr="00B12FE0">
        <w:rPr>
          <w:rFonts w:cs="宋体"/>
          <w:b/>
          <w:bCs/>
          <w:color w:val="000000" w:themeColor="text1"/>
          <w:kern w:val="0"/>
        </w:rPr>
        <w:t>4</w:t>
      </w:r>
      <w:r w:rsidRPr="00B12FE0">
        <w:rPr>
          <w:rFonts w:cs="宋体" w:hint="eastAsia"/>
          <w:b/>
          <w:bCs/>
          <w:color w:val="000000" w:themeColor="text1"/>
          <w:kern w:val="0"/>
        </w:rPr>
        <w:t>模拟定位</w:t>
      </w:r>
      <w:r w:rsidRPr="00B12FE0">
        <w:rPr>
          <w:rFonts w:cs="宋体" w:hint="eastAsia"/>
          <w:b/>
          <w:bCs/>
          <w:color w:val="000000" w:themeColor="text1"/>
          <w:kern w:val="0"/>
        </w:rPr>
        <w:t>CT</w:t>
      </w:r>
    </w:p>
    <w:p w14:paraId="7F45C7BC" w14:textId="77777777" w:rsidR="00A67F21" w:rsidRPr="00B12FE0" w:rsidRDefault="00000000">
      <w:pPr>
        <w:adjustRightInd w:val="0"/>
        <w:spacing w:line="360" w:lineRule="auto"/>
        <w:ind w:firstLine="480"/>
        <w:jc w:val="left"/>
        <w:rPr>
          <w:rFonts w:cs="宋体"/>
          <w:color w:val="000000" w:themeColor="text1"/>
        </w:rPr>
      </w:pPr>
      <w:r w:rsidRPr="00B12FE0">
        <w:rPr>
          <w:rFonts w:cs="宋体" w:hint="eastAsia"/>
          <w:color w:val="000000" w:themeColor="text1"/>
        </w:rPr>
        <w:t>（</w:t>
      </w:r>
      <w:r w:rsidRPr="00B12FE0">
        <w:rPr>
          <w:rFonts w:cs="宋体" w:hint="eastAsia"/>
          <w:color w:val="000000" w:themeColor="text1"/>
        </w:rPr>
        <w:t>1</w:t>
      </w:r>
      <w:r w:rsidRPr="00B12FE0">
        <w:rPr>
          <w:rFonts w:cs="宋体" w:hint="eastAsia"/>
          <w:color w:val="000000" w:themeColor="text1"/>
        </w:rPr>
        <w:t>）模拟定位</w:t>
      </w:r>
      <w:r w:rsidRPr="00B12FE0">
        <w:rPr>
          <w:rFonts w:cs="宋体" w:hint="eastAsia"/>
          <w:color w:val="000000" w:themeColor="text1"/>
        </w:rPr>
        <w:t>CT</w:t>
      </w:r>
      <w:r w:rsidRPr="00B12FE0">
        <w:rPr>
          <w:rFonts w:cs="宋体"/>
          <w:color w:val="000000" w:themeColor="text1"/>
        </w:rPr>
        <w:t>事故工况主要包括以下</w:t>
      </w:r>
      <w:r w:rsidRPr="00B12FE0">
        <w:rPr>
          <w:rFonts w:cs="宋体" w:hint="eastAsia"/>
          <w:color w:val="000000" w:themeColor="text1"/>
        </w:rPr>
        <w:t>三</w:t>
      </w:r>
      <w:r w:rsidRPr="00B12FE0">
        <w:rPr>
          <w:rFonts w:cs="宋体"/>
          <w:color w:val="000000" w:themeColor="text1"/>
        </w:rPr>
        <w:t>种情况：</w:t>
      </w:r>
    </w:p>
    <w:p w14:paraId="330C81D7"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rPr>
        <w:t>①装置在运行时，由于门</w:t>
      </w:r>
      <w:r w:rsidRPr="00B12FE0">
        <w:rPr>
          <w:rFonts w:cs="宋体" w:hint="eastAsia"/>
          <w:color w:val="000000" w:themeColor="text1"/>
        </w:rPr>
        <w:t>-</w:t>
      </w:r>
      <w:r w:rsidRPr="00B12FE0">
        <w:rPr>
          <w:rFonts w:cs="宋体" w:hint="eastAsia"/>
          <w:color w:val="000000" w:themeColor="text1"/>
        </w:rPr>
        <w:t>灯</w:t>
      </w:r>
      <w:proofErr w:type="gramStart"/>
      <w:r w:rsidRPr="00B12FE0">
        <w:rPr>
          <w:rFonts w:cs="宋体" w:hint="eastAsia"/>
          <w:color w:val="000000" w:themeColor="text1"/>
        </w:rPr>
        <w:t>联锁</w:t>
      </w:r>
      <w:proofErr w:type="gramEnd"/>
      <w:r w:rsidRPr="00B12FE0">
        <w:rPr>
          <w:rFonts w:cs="宋体" w:hint="eastAsia"/>
          <w:color w:val="000000" w:themeColor="text1"/>
        </w:rPr>
        <w:t>系统失效，人员误入或滞留在机房内而造成误照射；</w:t>
      </w:r>
    </w:p>
    <w:p w14:paraId="01DDE967"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rPr>
        <w:t>②工作人员或病人家属还未全部撤离治疗机房，</w:t>
      </w:r>
      <w:r w:rsidRPr="00B12FE0">
        <w:rPr>
          <w:rFonts w:cs="宋体" w:hint="eastAsia"/>
          <w:color w:val="000000" w:themeColor="text1"/>
          <w:kern w:val="0"/>
        </w:rPr>
        <w:t>控制室</w:t>
      </w:r>
      <w:r w:rsidRPr="00B12FE0">
        <w:rPr>
          <w:rFonts w:cs="宋体" w:hint="eastAsia"/>
          <w:color w:val="000000" w:themeColor="text1"/>
        </w:rPr>
        <w:t>人员启动设备，造成滞留人员的误照射；</w:t>
      </w:r>
    </w:p>
    <w:p w14:paraId="394FD528" w14:textId="77777777" w:rsidR="00A67F21" w:rsidRPr="00B12FE0" w:rsidRDefault="00000000">
      <w:pPr>
        <w:adjustRightInd w:val="0"/>
        <w:snapToGrid w:val="0"/>
        <w:spacing w:line="360" w:lineRule="auto"/>
        <w:ind w:firstLineChars="200" w:firstLine="480"/>
        <w:rPr>
          <w:rFonts w:cs="宋体"/>
          <w:color w:val="000000" w:themeColor="text1"/>
        </w:rPr>
      </w:pPr>
      <w:r w:rsidRPr="00B12FE0">
        <w:rPr>
          <w:rFonts w:cs="宋体" w:hint="eastAsia"/>
          <w:color w:val="000000" w:themeColor="text1"/>
        </w:rPr>
        <w:t>③</w:t>
      </w:r>
      <w:r w:rsidRPr="00B12FE0">
        <w:rPr>
          <w:rFonts w:cs="宋体"/>
          <w:color w:val="000000" w:themeColor="text1"/>
        </w:rPr>
        <w:t>X</w:t>
      </w:r>
      <w:r w:rsidRPr="00B12FE0">
        <w:rPr>
          <w:rFonts w:cs="宋体" w:hint="eastAsia"/>
          <w:color w:val="000000" w:themeColor="text1"/>
        </w:rPr>
        <w:t>射线装置工作状态下，没有关闭防护门对人员造成的误照射。</w:t>
      </w:r>
    </w:p>
    <w:p w14:paraId="46B136FA" w14:textId="77777777" w:rsidR="00A67F21" w:rsidRPr="00B12FE0" w:rsidRDefault="00000000">
      <w:pPr>
        <w:overflowPunct w:val="0"/>
        <w:autoSpaceDE w:val="0"/>
        <w:autoSpaceDN w:val="0"/>
        <w:adjustRightInd w:val="0"/>
        <w:spacing w:line="360" w:lineRule="auto"/>
        <w:ind w:firstLineChars="200" w:firstLine="480"/>
        <w:jc w:val="left"/>
        <w:rPr>
          <w:rFonts w:cs="宋体"/>
          <w:bCs/>
          <w:color w:val="000000" w:themeColor="text1"/>
          <w:kern w:val="0"/>
        </w:rPr>
      </w:pPr>
      <w:r w:rsidRPr="00B12FE0">
        <w:rPr>
          <w:rFonts w:cs="宋体" w:hint="eastAsia"/>
          <w:bCs/>
          <w:color w:val="000000" w:themeColor="text1"/>
          <w:kern w:val="0"/>
        </w:rPr>
        <w:t>（</w:t>
      </w:r>
      <w:r w:rsidRPr="00B12FE0">
        <w:rPr>
          <w:rFonts w:cs="宋体"/>
          <w:bCs/>
          <w:color w:val="000000" w:themeColor="text1"/>
          <w:kern w:val="0"/>
        </w:rPr>
        <w:t>2</w:t>
      </w:r>
      <w:r w:rsidRPr="00B12FE0">
        <w:rPr>
          <w:rFonts w:cs="宋体" w:hint="eastAsia"/>
          <w:bCs/>
          <w:color w:val="000000" w:themeColor="text1"/>
          <w:kern w:val="0"/>
        </w:rPr>
        <w:t>）</w:t>
      </w:r>
      <w:r w:rsidRPr="00B12FE0">
        <w:rPr>
          <w:rFonts w:cs="宋体"/>
          <w:bCs/>
          <w:color w:val="000000" w:themeColor="text1"/>
          <w:kern w:val="0"/>
        </w:rPr>
        <w:t>预防措施</w:t>
      </w:r>
    </w:p>
    <w:p w14:paraId="1796DE54" w14:textId="77777777" w:rsidR="00A67F21" w:rsidRPr="00B12FE0" w:rsidRDefault="00000000">
      <w:pPr>
        <w:tabs>
          <w:tab w:val="left" w:pos="1017"/>
        </w:tabs>
        <w:adjustRightInd w:val="0"/>
        <w:spacing w:line="360" w:lineRule="auto"/>
        <w:ind w:firstLineChars="200" w:firstLine="480"/>
        <w:rPr>
          <w:rFonts w:cs="宋体"/>
          <w:color w:val="000000" w:themeColor="text1"/>
        </w:rPr>
      </w:pPr>
      <w:r w:rsidRPr="00B12FE0">
        <w:rPr>
          <w:rFonts w:cs="宋体"/>
          <w:color w:val="000000" w:themeColor="text1"/>
        </w:rPr>
        <w:t>将</w:t>
      </w:r>
      <w:r w:rsidRPr="00B12FE0">
        <w:rPr>
          <w:rFonts w:cs="宋体" w:hint="eastAsia"/>
          <w:color w:val="000000" w:themeColor="text1"/>
        </w:rPr>
        <w:t>射线装置</w:t>
      </w:r>
      <w:r w:rsidRPr="00B12FE0">
        <w:rPr>
          <w:rFonts w:cs="宋体"/>
          <w:color w:val="000000" w:themeColor="text1"/>
        </w:rPr>
        <w:t>放置于专用机房内，机房墙体采用实心砖、硫酸钡防护涂料进行屏蔽，观察窗采用铅玻璃，并设置</w:t>
      </w:r>
      <w:r w:rsidRPr="00B12FE0">
        <w:rPr>
          <w:rFonts w:cs="宋体" w:hint="eastAsia"/>
          <w:color w:val="000000" w:themeColor="text1"/>
        </w:rPr>
        <w:t>工作人员</w:t>
      </w:r>
      <w:r w:rsidRPr="00B12FE0">
        <w:rPr>
          <w:rFonts w:cs="宋体"/>
          <w:color w:val="000000" w:themeColor="text1"/>
        </w:rPr>
        <w:t>防护铅门、受检者防护铅门。受检者防护门处安装工作状态指示灯、设置电离辐射警告标志，防护门关闭时，工作状态指示灯亮，警示人员勿入，同时装置操作台处设置</w:t>
      </w:r>
      <w:r w:rsidRPr="00B12FE0">
        <w:rPr>
          <w:rFonts w:cs="宋体" w:hint="eastAsia"/>
          <w:color w:val="000000" w:themeColor="text1"/>
        </w:rPr>
        <w:t>急停开关</w:t>
      </w:r>
      <w:r w:rsidRPr="00B12FE0">
        <w:rPr>
          <w:rFonts w:cs="宋体"/>
          <w:color w:val="000000" w:themeColor="text1"/>
        </w:rPr>
        <w:t>，操作人员可通过</w:t>
      </w:r>
      <w:r w:rsidRPr="00B12FE0">
        <w:rPr>
          <w:rFonts w:cs="宋体" w:hint="eastAsia"/>
          <w:color w:val="000000" w:themeColor="text1"/>
        </w:rPr>
        <w:t>急停开关</w:t>
      </w:r>
      <w:r w:rsidRPr="00B12FE0">
        <w:rPr>
          <w:rFonts w:cs="宋体"/>
          <w:color w:val="000000" w:themeColor="text1"/>
        </w:rPr>
        <w:t>等停机操作来确保人员安全。因此</w:t>
      </w:r>
      <w:r w:rsidRPr="00B12FE0">
        <w:rPr>
          <w:rFonts w:cs="宋体" w:hint="eastAsia"/>
          <w:color w:val="000000" w:themeColor="text1"/>
        </w:rPr>
        <w:t>射线装置</w:t>
      </w:r>
      <w:r w:rsidRPr="00B12FE0">
        <w:rPr>
          <w:rFonts w:cs="宋体"/>
          <w:color w:val="000000" w:themeColor="text1"/>
        </w:rPr>
        <w:t>发生的辐射事故及风险主要原因是管理上出的问题，工作人员平时必须严格执行各项管理制度，遵守操作规程，进行辐射工作前检查是否已按要求穿戴好各种辐射防护用品，并定期检查设备性能及有关安全警示标志和设施是否正常。对可能发生的辐射事故，应及时采取应急措施，妥善处理，以减少和控制事故的危害影响，同时上报</w:t>
      </w:r>
      <w:r w:rsidRPr="00B12FE0">
        <w:rPr>
          <w:rFonts w:cs="宋体" w:hint="eastAsia"/>
          <w:color w:val="000000" w:themeColor="text1"/>
        </w:rPr>
        <w:t>生态环境</w:t>
      </w:r>
      <w:r w:rsidRPr="00B12FE0">
        <w:rPr>
          <w:rFonts w:cs="宋体"/>
          <w:color w:val="000000" w:themeColor="text1"/>
        </w:rPr>
        <w:t>部门和卫生</w:t>
      </w:r>
      <w:r w:rsidRPr="00B12FE0">
        <w:rPr>
          <w:rFonts w:cs="宋体" w:hint="eastAsia"/>
          <w:color w:val="000000" w:themeColor="text1"/>
        </w:rPr>
        <w:t>行政</w:t>
      </w:r>
      <w:r w:rsidRPr="00B12FE0">
        <w:rPr>
          <w:rFonts w:cs="宋体"/>
          <w:color w:val="000000" w:themeColor="text1"/>
        </w:rPr>
        <w:t>部门，并接受监督部门的处理</w:t>
      </w:r>
      <w:r w:rsidRPr="00B12FE0">
        <w:rPr>
          <w:rFonts w:cs="宋体" w:hint="eastAsia"/>
          <w:color w:val="000000" w:themeColor="text1"/>
        </w:rPr>
        <w:t>。</w:t>
      </w:r>
    </w:p>
    <w:p w14:paraId="11DBF743" w14:textId="77777777" w:rsidR="00A67F21" w:rsidRPr="00B12FE0" w:rsidRDefault="00A67F21">
      <w:pPr>
        <w:pStyle w:val="21"/>
        <w:adjustRightInd w:val="0"/>
        <w:snapToGrid w:val="0"/>
        <w:spacing w:after="0"/>
        <w:ind w:leftChars="0" w:left="0" w:firstLine="480"/>
        <w:rPr>
          <w:color w:val="000000" w:themeColor="text1"/>
        </w:rPr>
        <w:sectPr w:rsidR="00A67F21" w:rsidRPr="00B12FE0">
          <w:pgSz w:w="11907" w:h="16840"/>
          <w:pgMar w:top="1440" w:right="1440" w:bottom="1440" w:left="1440" w:header="851" w:footer="850" w:gutter="0"/>
          <w:pgBorders>
            <w:top w:val="single" w:sz="4" w:space="1" w:color="auto"/>
            <w:left w:val="single" w:sz="4" w:space="4" w:color="auto"/>
            <w:bottom w:val="single" w:sz="4" w:space="1" w:color="auto"/>
            <w:right w:val="single" w:sz="4" w:space="4" w:color="auto"/>
          </w:pgBorders>
          <w:cols w:space="720"/>
          <w:docGrid w:linePitch="332"/>
        </w:sectPr>
      </w:pPr>
    </w:p>
    <w:p w14:paraId="3EA98867" w14:textId="77777777" w:rsidR="00A67F21" w:rsidRPr="00B12FE0" w:rsidRDefault="00000000">
      <w:pPr>
        <w:spacing w:line="360" w:lineRule="auto"/>
        <w:outlineLvl w:val="0"/>
        <w:rPr>
          <w:b/>
          <w:color w:val="000000" w:themeColor="text1"/>
          <w:sz w:val="32"/>
          <w:szCs w:val="32"/>
        </w:rPr>
      </w:pPr>
      <w:r w:rsidRPr="00B12FE0">
        <w:rPr>
          <w:noProof/>
          <w:color w:val="000000" w:themeColor="text1"/>
          <w:sz w:val="32"/>
        </w:rPr>
        <w:lastRenderedPageBreak/>
        <mc:AlternateContent>
          <mc:Choice Requires="wps">
            <w:drawing>
              <wp:anchor distT="0" distB="0" distL="114300" distR="114300" simplePos="0" relativeHeight="251668480" behindDoc="0" locked="0" layoutInCell="1" allowOverlap="1" wp14:anchorId="7203AD3F" wp14:editId="121A4A3E">
                <wp:simplePos x="0" y="0"/>
                <wp:positionH relativeFrom="column">
                  <wp:posOffset>-24130</wp:posOffset>
                </wp:positionH>
                <wp:positionV relativeFrom="paragraph">
                  <wp:posOffset>360045</wp:posOffset>
                </wp:positionV>
                <wp:extent cx="5831205" cy="8357870"/>
                <wp:effectExtent l="5080" t="4445" r="12065" b="19685"/>
                <wp:wrapNone/>
                <wp:docPr id="114" name="矩形 114"/>
                <wp:cNvGraphicFramePr/>
                <a:graphic xmlns:a="http://schemas.openxmlformats.org/drawingml/2006/main">
                  <a:graphicData uri="http://schemas.microsoft.com/office/word/2010/wordprocessingShape">
                    <wps:wsp>
                      <wps:cNvSpPr/>
                      <wps:spPr>
                        <a:xfrm>
                          <a:off x="890270" y="1274445"/>
                          <a:ext cx="5831205" cy="835787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pt;margin-top:28.35pt;height:658.1pt;width:459.15pt;z-index:251668480;v-text-anchor:middle;mso-width-relative:page;mso-height-relative:page;" filled="f" stroked="t" coordsize="21600,21600" o:gfxdata="UEsDBAoAAAAAAIdO4kAAAAAAAAAAAAAAAAAEAAAAZHJzL1BLAwQUAAAACACHTuJA1OYsldgAAAAK&#10;AQAADwAAAGRycy9kb3ducmV2LnhtbE2PzW7CMBCE75X6DtZW6g2chJ80IQ5SK7XihAT0AUy8JFHj&#10;dRQ7QPv0LKdyHM1o5ptifbWdOOPgW0cK4mkEAqlypqVawffhc/IGwgdNRneOUMEveliXz0+Fzo27&#10;0A7P+1ALLiGfawVNCH0upa8atNpPXY/E3skNVgeWQy3NoC9cbjuZRNFSWt0SLzS6x48Gq5/9aBXY&#10;7V9rDmOK27BxX6l5z+wuMUq9vsTRCkTAa/gPwx2f0aFkpqMbyXjRKZjMmDwoWCxTEOxn8XwB4sjB&#10;WZpkIMtCPl4ob1BLAwQUAAAACACHTuJAYdhJgWsCAADDBAAADgAAAGRycy9lMm9Eb2MueG1srVTN&#10;bhMxEL4j8Q6W73STdNOkUTdV1KgIqaKVCuLseL1ZS/7DdrIpL4PEjYfgcRCvwWfv9ofCoQdycMae&#10;8Tczn7/Zs/ODVmQvfJDWVHR8NKJEGG5rabYV/fjh8s2ckhCZqZmyRlT0TgR6vnz96qxzCzGxrVW1&#10;8AQgJiw6V9E2RrcoisBboVk4sk4YOBvrNYvY+m1Re9YBXatiMhqdFJ31tfOWixBwuu6ddED0LwG0&#10;TSO5WFu+08LEHtULxSJaCq10gS5ztU0jeLxumiAiURVFpzGvSAJ7k9ZiecYWW89cK/lQAntJCc96&#10;0kwaJH2AWrPIyM7Lv6C05N4G28QjbnXRN5IZQRfj0TNublvmRO4FVAf3QHr4f7D8/f7GE1lDCeOS&#10;EsM0nvzX1+8/f3wj6QT8dC4sEHbrbvywCzBTs4fG6/SPNsihovPT0WQGYu8ANpmVZTnt6RWHSDj8&#10;0/nxeDKaUsIRMT+ezuaIBmTxiOR8iG+F1SQZFfV4v0wr21+F2Ifeh6TExl5KpXDOFsqQrqInx1MU&#10;wBl02UAPMLVDb8FsKWFqC8Hz6DNisErW6Xa6HPx2c6E82bMkk/wbCvsjLKVes9D2cdk1hCmDNhJR&#10;PTXJ2tj6DtR622suOH4pcf+KhXjDPESGQjGG8RpLoyyKt4NFSWv9l3+dp3i8PbyUdBAtOvu8Y15Q&#10;ot4ZqOJ0XJaAjXlTTmcTbPxTz+apx+z0hUXDYwy849lM8VHdm423+hOmdZWywsUMR+6ew2FzEfth&#10;wrxzsVrlMCjbsXhlbh1P4P1DrXbRNjK/4SM7A2nQdlbBMIdpeJ7uc9Tjt2f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TmLJXYAAAACgEAAA8AAAAAAAAAAQAgAAAAIgAAAGRycy9kb3ducmV2Lnht&#10;bFBLAQIUABQAAAAIAIdO4kBh2EmBawIAAMMEAAAOAAAAAAAAAAEAIAAAACcBAABkcnMvZTJvRG9j&#10;LnhtbFBLBQYAAAAABgAGAFkBAAAEBgAAAAA=&#10;">
                <v:fill on="f" focussize="0,0"/>
                <v:stroke weight="0.5pt" color="#000000 [3213]" joinstyle="round"/>
                <v:imagedata o:title=""/>
                <o:lock v:ext="edit" aspectratio="f"/>
              </v:rect>
            </w:pict>
          </mc:Fallback>
        </mc:AlternateContent>
      </w:r>
      <w:r w:rsidRPr="00B12FE0">
        <w:rPr>
          <w:b/>
          <w:color w:val="000000" w:themeColor="text1"/>
          <w:sz w:val="32"/>
          <w:szCs w:val="32"/>
        </w:rPr>
        <w:t>表</w:t>
      </w:r>
      <w:r w:rsidRPr="00B12FE0">
        <w:rPr>
          <w:b/>
          <w:color w:val="000000" w:themeColor="text1"/>
          <w:sz w:val="32"/>
          <w:szCs w:val="32"/>
        </w:rPr>
        <w:t xml:space="preserve">12 </w:t>
      </w:r>
      <w:r w:rsidRPr="00B12FE0">
        <w:rPr>
          <w:b/>
          <w:color w:val="000000" w:themeColor="text1"/>
          <w:sz w:val="32"/>
          <w:szCs w:val="32"/>
        </w:rPr>
        <w:t>辐射安全管理</w:t>
      </w:r>
      <w:bookmarkEnd w:id="24"/>
    </w:p>
    <w:p w14:paraId="08E2A0B4" w14:textId="77777777" w:rsidR="00A67F21" w:rsidRPr="00B12FE0" w:rsidRDefault="00000000">
      <w:pPr>
        <w:spacing w:line="360" w:lineRule="auto"/>
        <w:contextualSpacing/>
        <w:outlineLvl w:val="1"/>
        <w:rPr>
          <w:b/>
          <w:color w:val="000000" w:themeColor="text1"/>
          <w:sz w:val="28"/>
          <w:szCs w:val="28"/>
        </w:rPr>
      </w:pPr>
      <w:r w:rsidRPr="00B12FE0">
        <w:rPr>
          <w:b/>
          <w:color w:val="000000" w:themeColor="text1"/>
          <w:sz w:val="28"/>
          <w:szCs w:val="28"/>
        </w:rPr>
        <w:t>12.1</w:t>
      </w:r>
      <w:r w:rsidRPr="00B12FE0">
        <w:rPr>
          <w:b/>
          <w:color w:val="000000" w:themeColor="text1"/>
          <w:sz w:val="28"/>
          <w:szCs w:val="28"/>
        </w:rPr>
        <w:t>辐射安全与环境</w:t>
      </w:r>
      <w:r w:rsidRPr="00B12FE0">
        <w:rPr>
          <w:rFonts w:hint="eastAsia"/>
          <w:b/>
          <w:color w:val="000000" w:themeColor="text1"/>
          <w:sz w:val="28"/>
          <w:szCs w:val="28"/>
        </w:rPr>
        <w:t>保护</w:t>
      </w:r>
      <w:r w:rsidRPr="00B12FE0">
        <w:rPr>
          <w:b/>
          <w:color w:val="000000" w:themeColor="text1"/>
          <w:sz w:val="28"/>
          <w:szCs w:val="28"/>
        </w:rPr>
        <w:t>管理机构的设置</w:t>
      </w:r>
    </w:p>
    <w:p w14:paraId="793BBF3A" w14:textId="77777777" w:rsidR="00A67F21" w:rsidRPr="00B12FE0" w:rsidRDefault="00000000">
      <w:pPr>
        <w:snapToGrid w:val="0"/>
        <w:spacing w:line="360" w:lineRule="auto"/>
        <w:contextualSpacing/>
        <w:outlineLvl w:val="1"/>
        <w:rPr>
          <w:b/>
          <w:color w:val="000000" w:themeColor="text1"/>
        </w:rPr>
      </w:pPr>
      <w:r w:rsidRPr="00B12FE0">
        <w:rPr>
          <w:b/>
          <w:color w:val="000000" w:themeColor="text1"/>
        </w:rPr>
        <w:t>12.1.1</w:t>
      </w:r>
      <w:r w:rsidRPr="00B12FE0">
        <w:rPr>
          <w:b/>
          <w:color w:val="000000" w:themeColor="text1"/>
        </w:rPr>
        <w:t>机构</w:t>
      </w:r>
      <w:r w:rsidRPr="00B12FE0">
        <w:rPr>
          <w:rFonts w:hint="eastAsia"/>
          <w:b/>
          <w:color w:val="000000" w:themeColor="text1"/>
        </w:rPr>
        <w:t>的</w:t>
      </w:r>
      <w:r w:rsidRPr="00B12FE0">
        <w:rPr>
          <w:b/>
          <w:color w:val="000000" w:themeColor="text1"/>
        </w:rPr>
        <w:t>设置</w:t>
      </w:r>
    </w:p>
    <w:p w14:paraId="042409DD" w14:textId="77777777" w:rsidR="00A67F21" w:rsidRPr="00B12FE0" w:rsidRDefault="00000000">
      <w:pPr>
        <w:adjustRightInd w:val="0"/>
        <w:spacing w:line="360" w:lineRule="auto"/>
        <w:ind w:firstLine="480"/>
        <w:rPr>
          <w:color w:val="000000" w:themeColor="text1"/>
          <w:kern w:val="0"/>
        </w:rPr>
      </w:pPr>
      <w:r w:rsidRPr="00B12FE0">
        <w:rPr>
          <w:rFonts w:hint="eastAsia"/>
          <w:color w:val="000000" w:themeColor="text1"/>
          <w:kern w:val="0"/>
        </w:rPr>
        <w:t>根据《放射性同位素与射线装置安全和防护条例》和《放射性同位素与射线装置安全许可管理办法》等相关要求，</w:t>
      </w:r>
      <w:r w:rsidRPr="00B12FE0">
        <w:rPr>
          <w:rFonts w:hint="eastAsia"/>
          <w:color w:val="000000" w:themeColor="text1"/>
        </w:rPr>
        <w:t>本项目为使用乙级非密封放射性物质工作场所（参照使用</w:t>
      </w:r>
      <w:r w:rsidRPr="00B12FE0">
        <w:rPr>
          <w:color w:val="000000" w:themeColor="text1"/>
        </w:rPr>
        <w:t>II</w:t>
      </w:r>
      <w:r w:rsidRPr="00B12FE0">
        <w:rPr>
          <w:rFonts w:hint="eastAsia"/>
          <w:color w:val="000000" w:themeColor="text1"/>
        </w:rPr>
        <w:t>类放射源管理），</w:t>
      </w:r>
      <w:r w:rsidRPr="00B12FE0">
        <w:rPr>
          <w:color w:val="000000" w:themeColor="text1"/>
        </w:rPr>
        <w:t>使用</w:t>
      </w:r>
      <w:r w:rsidRPr="00B12FE0">
        <w:rPr>
          <w:color w:val="000000" w:themeColor="text1"/>
        </w:rPr>
        <w:t>Ⅲ</w:t>
      </w:r>
      <w:r w:rsidRPr="00B12FE0">
        <w:rPr>
          <w:color w:val="000000" w:themeColor="text1"/>
        </w:rPr>
        <w:t>类、</w:t>
      </w:r>
      <w:r w:rsidRPr="00B12FE0">
        <w:rPr>
          <w:color w:val="000000" w:themeColor="text1"/>
        </w:rPr>
        <w:t>V</w:t>
      </w:r>
      <w:r w:rsidRPr="00B12FE0">
        <w:rPr>
          <w:color w:val="000000" w:themeColor="text1"/>
        </w:rPr>
        <w:t>类放射源的</w:t>
      </w:r>
      <w:r w:rsidRPr="00B12FE0">
        <w:rPr>
          <w:rFonts w:hint="eastAsia"/>
          <w:color w:val="000000" w:themeColor="text1"/>
        </w:rPr>
        <w:t>，使用</w:t>
      </w:r>
      <w:r w:rsidRPr="00B12FE0">
        <w:rPr>
          <w:color w:val="000000" w:themeColor="text1"/>
        </w:rPr>
        <w:t>II</w:t>
      </w:r>
      <w:r w:rsidRPr="00B12FE0">
        <w:rPr>
          <w:rFonts w:hint="eastAsia"/>
          <w:color w:val="000000" w:themeColor="text1"/>
        </w:rPr>
        <w:t>、</w:t>
      </w:r>
      <w:r w:rsidRPr="00B12FE0">
        <w:rPr>
          <w:color w:val="000000" w:themeColor="text1"/>
          <w:shd w:val="clear" w:color="auto" w:fill="FFFFFF"/>
        </w:rPr>
        <w:t>Ⅲ</w:t>
      </w:r>
      <w:r w:rsidRPr="00B12FE0">
        <w:rPr>
          <w:rFonts w:hint="eastAsia"/>
          <w:color w:val="000000" w:themeColor="text1"/>
        </w:rPr>
        <w:t>类射线装置情况，应当设有专门的辐射安全与环境保护管理机构，或者至少有</w:t>
      </w:r>
      <w:r w:rsidRPr="00B12FE0">
        <w:rPr>
          <w:color w:val="000000" w:themeColor="text1"/>
        </w:rPr>
        <w:t>1</w:t>
      </w:r>
      <w:r w:rsidRPr="00B12FE0">
        <w:rPr>
          <w:rFonts w:hint="eastAsia"/>
          <w:color w:val="000000" w:themeColor="text1"/>
        </w:rPr>
        <w:t>名具有本科以上学历的技术人员专职负责辐射安全与环境保护管理工作。</w:t>
      </w:r>
    </w:p>
    <w:p w14:paraId="759B0513" w14:textId="77777777" w:rsidR="00A67F21" w:rsidRPr="00B12FE0" w:rsidRDefault="00000000">
      <w:pPr>
        <w:adjustRightInd w:val="0"/>
        <w:snapToGrid w:val="0"/>
        <w:spacing w:line="360" w:lineRule="auto"/>
        <w:ind w:firstLine="480"/>
        <w:rPr>
          <w:snapToGrid w:val="0"/>
          <w:color w:val="000000" w:themeColor="text1"/>
          <w:szCs w:val="24"/>
        </w:rPr>
      </w:pPr>
      <w:r w:rsidRPr="00B12FE0">
        <w:rPr>
          <w:snapToGrid w:val="0"/>
          <w:color w:val="000000" w:themeColor="text1"/>
          <w:szCs w:val="24"/>
        </w:rPr>
        <w:t>建设单位已成立辐射防护与安全管理领导小组，落实安全责任制度，并明确了相关成员名单及职责，组成人员如下：</w:t>
      </w:r>
    </w:p>
    <w:p w14:paraId="571EA708"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组长：院长</w:t>
      </w:r>
    </w:p>
    <w:p w14:paraId="4DFAC4EF" w14:textId="77777777" w:rsidR="00A67F21" w:rsidRPr="00B12FE0" w:rsidRDefault="00000000">
      <w:pPr>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副组长：</w:t>
      </w:r>
      <w:r w:rsidRPr="00B12FE0">
        <w:rPr>
          <w:rFonts w:hint="eastAsia"/>
          <w:snapToGrid w:val="0"/>
          <w:color w:val="000000" w:themeColor="text1"/>
          <w:szCs w:val="24"/>
        </w:rPr>
        <w:t>分管</w:t>
      </w:r>
      <w:r w:rsidRPr="00B12FE0">
        <w:rPr>
          <w:snapToGrid w:val="0"/>
          <w:color w:val="000000" w:themeColor="text1"/>
          <w:szCs w:val="24"/>
        </w:rPr>
        <w:t>副院长</w:t>
      </w:r>
    </w:p>
    <w:p w14:paraId="2861D54D" w14:textId="77777777" w:rsidR="00A67F21" w:rsidRPr="00B12FE0" w:rsidRDefault="00000000">
      <w:pPr>
        <w:spacing w:line="360" w:lineRule="auto"/>
        <w:ind w:firstLineChars="200" w:firstLine="480"/>
        <w:rPr>
          <w:rFonts w:ascii="宋体" w:hAnsi="Courier New"/>
          <w:snapToGrid w:val="0"/>
          <w:color w:val="000000" w:themeColor="text1"/>
        </w:rPr>
      </w:pPr>
      <w:r w:rsidRPr="00B12FE0">
        <w:rPr>
          <w:rFonts w:ascii="宋体" w:hAnsi="Courier New" w:hint="eastAsia"/>
          <w:snapToGrid w:val="0"/>
          <w:color w:val="000000" w:themeColor="text1"/>
        </w:rPr>
        <w:t>科室</w:t>
      </w:r>
      <w:r w:rsidRPr="00B12FE0">
        <w:rPr>
          <w:rFonts w:ascii="宋体" w:hAnsi="Courier New"/>
          <w:snapToGrid w:val="0"/>
          <w:color w:val="000000" w:themeColor="text1"/>
        </w:rPr>
        <w:t>成员：</w:t>
      </w:r>
      <w:r w:rsidRPr="00B12FE0">
        <w:rPr>
          <w:rFonts w:ascii="宋体" w:hAnsi="Courier New" w:hint="eastAsia"/>
          <w:snapToGrid w:val="0"/>
          <w:color w:val="000000" w:themeColor="text1"/>
        </w:rPr>
        <w:t>医学工程科负责人、放射科负责人、介入中心负责人、口腔科负责人、手术室负责人、骨科中心负责人、泌尿外科负责人、综合治理办公室负责人、医务科负责人、</w:t>
      </w:r>
      <w:proofErr w:type="gramStart"/>
      <w:r w:rsidRPr="00B12FE0">
        <w:rPr>
          <w:rFonts w:ascii="宋体" w:hAnsi="Courier New" w:hint="eastAsia"/>
          <w:snapToGrid w:val="0"/>
          <w:color w:val="000000" w:themeColor="text1"/>
        </w:rPr>
        <w:t>公卫科</w:t>
      </w:r>
      <w:proofErr w:type="gramEnd"/>
      <w:r w:rsidRPr="00B12FE0">
        <w:rPr>
          <w:rFonts w:ascii="宋体" w:hAnsi="Courier New" w:hint="eastAsia"/>
          <w:snapToGrid w:val="0"/>
          <w:color w:val="000000" w:themeColor="text1"/>
        </w:rPr>
        <w:t>负责人、医学工程科干事、</w:t>
      </w:r>
      <w:proofErr w:type="gramStart"/>
      <w:r w:rsidRPr="00B12FE0">
        <w:rPr>
          <w:rFonts w:ascii="宋体" w:hAnsi="Courier New" w:hint="eastAsia"/>
          <w:snapToGrid w:val="0"/>
          <w:color w:val="000000" w:themeColor="text1"/>
        </w:rPr>
        <w:t>医</w:t>
      </w:r>
      <w:proofErr w:type="gramEnd"/>
      <w:r w:rsidRPr="00B12FE0">
        <w:rPr>
          <w:rFonts w:ascii="宋体" w:hAnsi="Courier New" w:hint="eastAsia"/>
          <w:snapToGrid w:val="0"/>
          <w:color w:val="000000" w:themeColor="text1"/>
        </w:rPr>
        <w:t>共体7-19团医院院领导。</w:t>
      </w:r>
    </w:p>
    <w:p w14:paraId="4C40A198" w14:textId="77777777" w:rsidR="00A67F21" w:rsidRPr="00B12FE0" w:rsidRDefault="00000000">
      <w:pPr>
        <w:spacing w:line="360" w:lineRule="auto"/>
        <w:ind w:firstLineChars="200" w:firstLine="480"/>
        <w:rPr>
          <w:snapToGrid w:val="0"/>
          <w:color w:val="000000" w:themeColor="text1"/>
          <w:kern w:val="0"/>
          <w:szCs w:val="24"/>
          <w:lang w:bidi="ar"/>
        </w:rPr>
      </w:pPr>
      <w:r w:rsidRPr="00B12FE0">
        <w:rPr>
          <w:snapToGrid w:val="0"/>
          <w:color w:val="000000" w:themeColor="text1"/>
          <w:szCs w:val="24"/>
        </w:rPr>
        <w:t>建设单位需根据本项目新增辐射工作人员情况，</w:t>
      </w:r>
      <w:r w:rsidRPr="00B12FE0">
        <w:rPr>
          <w:rFonts w:hint="eastAsia"/>
          <w:snapToGrid w:val="0"/>
          <w:color w:val="000000" w:themeColor="text1"/>
          <w:szCs w:val="24"/>
        </w:rPr>
        <w:t>适时</w:t>
      </w:r>
      <w:r w:rsidRPr="00B12FE0">
        <w:rPr>
          <w:snapToGrid w:val="0"/>
          <w:color w:val="000000" w:themeColor="text1"/>
          <w:szCs w:val="24"/>
        </w:rPr>
        <w:t>完善辐射防护与安全管理领导小组组成人员及相关职责，并根据后期人事变动实时更新辐射防护与安全管理领导小组成员。</w:t>
      </w:r>
    </w:p>
    <w:p w14:paraId="66842E04" w14:textId="77777777" w:rsidR="00A67F21" w:rsidRPr="00B12FE0" w:rsidRDefault="00000000">
      <w:pPr>
        <w:snapToGrid w:val="0"/>
        <w:spacing w:line="360" w:lineRule="auto"/>
        <w:contextualSpacing/>
        <w:outlineLvl w:val="1"/>
        <w:rPr>
          <w:b/>
          <w:color w:val="000000" w:themeColor="text1"/>
        </w:rPr>
      </w:pPr>
      <w:r w:rsidRPr="00B12FE0">
        <w:rPr>
          <w:b/>
          <w:color w:val="000000" w:themeColor="text1"/>
        </w:rPr>
        <w:t>12.1.2</w:t>
      </w:r>
      <w:r w:rsidRPr="00B12FE0">
        <w:rPr>
          <w:b/>
          <w:color w:val="000000" w:themeColor="text1"/>
        </w:rPr>
        <w:t>辐射</w:t>
      </w:r>
      <w:r w:rsidRPr="00B12FE0">
        <w:rPr>
          <w:rFonts w:hint="eastAsia"/>
          <w:b/>
          <w:color w:val="000000" w:themeColor="text1"/>
        </w:rPr>
        <w:t>工作</w:t>
      </w:r>
      <w:r w:rsidRPr="00B12FE0">
        <w:rPr>
          <w:b/>
          <w:color w:val="000000" w:themeColor="text1"/>
        </w:rPr>
        <w:t>人员管理</w:t>
      </w:r>
    </w:p>
    <w:p w14:paraId="77E63B92"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w:t>
      </w:r>
      <w:r w:rsidRPr="00B12FE0">
        <w:rPr>
          <w:color w:val="000000" w:themeColor="text1"/>
        </w:rPr>
        <w:t>1</w:t>
      </w:r>
      <w:r w:rsidRPr="00B12FE0">
        <w:rPr>
          <w:rFonts w:hint="eastAsia"/>
          <w:color w:val="000000" w:themeColor="text1"/>
        </w:rPr>
        <w:t>）职业健康检查</w:t>
      </w:r>
    </w:p>
    <w:p w14:paraId="5688545D"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医院已为现有辐射工作人员建有职业健康监护档案，辐射工作人员岗前、在岗期间和离岗前均进行职业健康检查，在岗期间检查周期不超过</w:t>
      </w:r>
      <w:r w:rsidRPr="00B12FE0">
        <w:rPr>
          <w:rFonts w:hint="eastAsia"/>
          <w:color w:val="000000" w:themeColor="text1"/>
        </w:rPr>
        <w:t>2</w:t>
      </w:r>
      <w:r w:rsidRPr="00B12FE0">
        <w:rPr>
          <w:rFonts w:hint="eastAsia"/>
          <w:color w:val="000000" w:themeColor="text1"/>
        </w:rPr>
        <w:t>年。医院已对现有辐射工作人员进行职业健康检查。根据医院提供的职业健康检查报告，在岗辐射工作人员均可继续从事放射岗位工作。</w:t>
      </w:r>
    </w:p>
    <w:p w14:paraId="4719453B"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对于本项目新增辐射工作人员，按要求至少每两年进行一次在岗期间职业健康检查，并建立职业健康监护档案。</w:t>
      </w:r>
    </w:p>
    <w:p w14:paraId="2F81D348"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kern w:val="0"/>
        </w:rPr>
        <w:t>（</w:t>
      </w:r>
      <w:r w:rsidRPr="00B12FE0">
        <w:rPr>
          <w:color w:val="000000" w:themeColor="text1"/>
          <w:kern w:val="0"/>
        </w:rPr>
        <w:t>2</w:t>
      </w:r>
      <w:r w:rsidRPr="00B12FE0">
        <w:rPr>
          <w:rFonts w:hint="eastAsia"/>
          <w:color w:val="000000" w:themeColor="text1"/>
          <w:kern w:val="0"/>
        </w:rPr>
        <w:t>）辐射工作人员培训</w:t>
      </w:r>
    </w:p>
    <w:p w14:paraId="22934BBF" w14:textId="77777777" w:rsidR="00A67F21" w:rsidRPr="00B12FE0" w:rsidRDefault="00000000">
      <w:pPr>
        <w:spacing w:line="360" w:lineRule="auto"/>
        <w:ind w:firstLineChars="200" w:firstLine="480"/>
        <w:rPr>
          <w:snapToGrid w:val="0"/>
          <w:color w:val="000000" w:themeColor="text1"/>
          <w:kern w:val="0"/>
          <w:szCs w:val="24"/>
          <w:lang w:bidi="ar"/>
        </w:rPr>
      </w:pPr>
      <w:r w:rsidRPr="00B12FE0">
        <w:rPr>
          <w:snapToGrid w:val="0"/>
          <w:color w:val="000000" w:themeColor="text1"/>
          <w:szCs w:val="24"/>
        </w:rPr>
        <w:t>医院严格执行辐射工作人员培训制度，根据</w:t>
      </w:r>
      <w:proofErr w:type="gramStart"/>
      <w:r w:rsidRPr="00B12FE0">
        <w:rPr>
          <w:snapToGrid w:val="0"/>
          <w:color w:val="000000" w:themeColor="text1"/>
          <w:szCs w:val="24"/>
        </w:rPr>
        <w:t>《</w:t>
      </w:r>
      <w:proofErr w:type="gramEnd"/>
      <w:r w:rsidRPr="00B12FE0">
        <w:rPr>
          <w:snapToGrid w:val="0"/>
          <w:color w:val="000000" w:themeColor="text1"/>
          <w:szCs w:val="24"/>
        </w:rPr>
        <w:t>关于核技术利用辐射安全与防护</w:t>
      </w:r>
      <w:proofErr w:type="gramStart"/>
      <w:r w:rsidRPr="00B12FE0">
        <w:rPr>
          <w:snapToGrid w:val="0"/>
          <w:color w:val="000000" w:themeColor="text1"/>
          <w:szCs w:val="24"/>
        </w:rPr>
        <w:t>培</w:t>
      </w:r>
      <w:proofErr w:type="gramEnd"/>
    </w:p>
    <w:p w14:paraId="07CDA905" w14:textId="77777777" w:rsidR="00A67F21" w:rsidRPr="00B12FE0" w:rsidRDefault="00A67F21">
      <w:pPr>
        <w:adjustRightInd w:val="0"/>
        <w:spacing w:line="360" w:lineRule="auto"/>
        <w:rPr>
          <w:color w:val="000000" w:themeColor="text1"/>
        </w:rPr>
        <w:sectPr w:rsidR="00A67F21" w:rsidRPr="00B12FE0">
          <w:pgSz w:w="11907" w:h="16840"/>
          <w:pgMar w:top="1440" w:right="1440" w:bottom="1440" w:left="1440" w:header="851" w:footer="850" w:gutter="0"/>
          <w:cols w:space="720"/>
          <w:docGrid w:linePitch="332"/>
        </w:sectPr>
      </w:pPr>
    </w:p>
    <w:p w14:paraId="77D9D4FE" w14:textId="77777777" w:rsidR="00A67F21" w:rsidRPr="00B12FE0" w:rsidRDefault="00000000">
      <w:pPr>
        <w:adjustRightInd w:val="0"/>
        <w:snapToGrid w:val="0"/>
        <w:spacing w:line="360" w:lineRule="auto"/>
        <w:rPr>
          <w:snapToGrid w:val="0"/>
          <w:color w:val="000000" w:themeColor="text1"/>
          <w:szCs w:val="24"/>
        </w:rPr>
      </w:pPr>
      <w:r w:rsidRPr="00B12FE0">
        <w:rPr>
          <w:snapToGrid w:val="0"/>
          <w:color w:val="000000" w:themeColor="text1"/>
          <w:szCs w:val="24"/>
        </w:rPr>
        <w:lastRenderedPageBreak/>
        <w:t>训和考核有关事项的公告</w:t>
      </w:r>
      <w:proofErr w:type="gramStart"/>
      <w:r w:rsidRPr="00B12FE0">
        <w:rPr>
          <w:snapToGrid w:val="0"/>
          <w:color w:val="000000" w:themeColor="text1"/>
          <w:szCs w:val="24"/>
        </w:rPr>
        <w:t>》</w:t>
      </w:r>
      <w:proofErr w:type="gramEnd"/>
      <w:r w:rsidRPr="00B12FE0">
        <w:rPr>
          <w:snapToGrid w:val="0"/>
          <w:color w:val="000000" w:themeColor="text1"/>
          <w:szCs w:val="24"/>
        </w:rPr>
        <w:t>（生态环境部公告</w:t>
      </w:r>
      <w:r w:rsidRPr="00B12FE0">
        <w:rPr>
          <w:snapToGrid w:val="0"/>
          <w:color w:val="000000" w:themeColor="text1"/>
          <w:szCs w:val="24"/>
        </w:rPr>
        <w:t>2019</w:t>
      </w:r>
      <w:r w:rsidRPr="00B12FE0">
        <w:rPr>
          <w:snapToGrid w:val="0"/>
          <w:color w:val="000000" w:themeColor="text1"/>
          <w:szCs w:val="24"/>
        </w:rPr>
        <w:t>年第</w:t>
      </w:r>
      <w:r w:rsidRPr="00B12FE0">
        <w:rPr>
          <w:snapToGrid w:val="0"/>
          <w:color w:val="000000" w:themeColor="text1"/>
          <w:szCs w:val="24"/>
        </w:rPr>
        <w:t>57</w:t>
      </w:r>
      <w:r w:rsidRPr="00B12FE0">
        <w:rPr>
          <w:snapToGrid w:val="0"/>
          <w:color w:val="000000" w:themeColor="text1"/>
          <w:szCs w:val="24"/>
        </w:rPr>
        <w:t>号）、《关于进一步优化辐射安全考核公告》（生态环境部公告第</w:t>
      </w:r>
      <w:r w:rsidRPr="00B12FE0">
        <w:rPr>
          <w:snapToGrid w:val="0"/>
          <w:color w:val="000000" w:themeColor="text1"/>
          <w:szCs w:val="24"/>
        </w:rPr>
        <w:t>2021</w:t>
      </w:r>
      <w:r w:rsidRPr="00B12FE0">
        <w:rPr>
          <w:snapToGrid w:val="0"/>
          <w:color w:val="000000" w:themeColor="text1"/>
          <w:szCs w:val="24"/>
        </w:rPr>
        <w:t>年第</w:t>
      </w:r>
      <w:r w:rsidRPr="00B12FE0">
        <w:rPr>
          <w:snapToGrid w:val="0"/>
          <w:color w:val="000000" w:themeColor="text1"/>
          <w:szCs w:val="24"/>
        </w:rPr>
        <w:t>9</w:t>
      </w:r>
      <w:r w:rsidRPr="00B12FE0">
        <w:rPr>
          <w:snapToGrid w:val="0"/>
          <w:color w:val="000000" w:themeColor="text1"/>
          <w:szCs w:val="24"/>
        </w:rPr>
        <w:t>号）</w:t>
      </w:r>
      <w:r w:rsidRPr="00B12FE0">
        <w:rPr>
          <w:rFonts w:hint="eastAsia"/>
          <w:snapToGrid w:val="0"/>
          <w:color w:val="000000" w:themeColor="text1"/>
          <w:szCs w:val="24"/>
        </w:rPr>
        <w:t>，</w:t>
      </w:r>
      <w:r w:rsidRPr="00B12FE0">
        <w:rPr>
          <w:snapToGrid w:val="0"/>
          <w:color w:val="000000" w:themeColor="text1"/>
          <w:szCs w:val="24"/>
        </w:rPr>
        <w:t>目前医院现有辐射工作人员均参加了国家核技术利用辐射安全与防护培训平台考核，并考核合格</w:t>
      </w:r>
      <w:r w:rsidRPr="00B12FE0">
        <w:rPr>
          <w:rFonts w:hint="eastAsia"/>
          <w:snapToGrid w:val="0"/>
          <w:color w:val="000000" w:themeColor="text1"/>
          <w:szCs w:val="24"/>
        </w:rPr>
        <w:t>。</w:t>
      </w:r>
      <w:r w:rsidRPr="00B12FE0">
        <w:rPr>
          <w:snapToGrid w:val="0"/>
          <w:color w:val="000000" w:themeColor="text1"/>
          <w:szCs w:val="24"/>
        </w:rPr>
        <w:t>仅从事</w:t>
      </w:r>
      <w:r w:rsidRPr="00B12FE0">
        <w:rPr>
          <w:snapToGrid w:val="0"/>
          <w:color w:val="000000" w:themeColor="text1"/>
          <w:szCs w:val="24"/>
        </w:rPr>
        <w:t>Ⅲ</w:t>
      </w:r>
      <w:r w:rsidRPr="00B12FE0">
        <w:rPr>
          <w:snapToGrid w:val="0"/>
          <w:color w:val="000000" w:themeColor="text1"/>
          <w:szCs w:val="24"/>
        </w:rPr>
        <w:t>类射线装置的辐射工作人员</w:t>
      </w:r>
      <w:r w:rsidRPr="00B12FE0">
        <w:rPr>
          <w:rFonts w:hint="eastAsia"/>
          <w:snapToGrid w:val="0"/>
          <w:color w:val="000000" w:themeColor="text1"/>
          <w:szCs w:val="24"/>
        </w:rPr>
        <w:t>已</w:t>
      </w:r>
      <w:r w:rsidRPr="00B12FE0">
        <w:rPr>
          <w:snapToGrid w:val="0"/>
          <w:color w:val="000000" w:themeColor="text1"/>
          <w:szCs w:val="24"/>
        </w:rPr>
        <w:t>参加医院自行组织的辐射安全与防护考核，并取得合格成绩。</w:t>
      </w:r>
    </w:p>
    <w:p w14:paraId="7ACD0C9B" w14:textId="77777777" w:rsidR="00A67F21" w:rsidRPr="00B12FE0" w:rsidRDefault="00000000">
      <w:pPr>
        <w:adjustRightInd w:val="0"/>
        <w:spacing w:line="360" w:lineRule="auto"/>
        <w:ind w:firstLine="480"/>
        <w:rPr>
          <w:snapToGrid w:val="0"/>
          <w:color w:val="000000" w:themeColor="text1"/>
          <w:szCs w:val="24"/>
        </w:rPr>
      </w:pPr>
      <w:r w:rsidRPr="00B12FE0">
        <w:rPr>
          <w:snapToGrid w:val="0"/>
          <w:color w:val="000000" w:themeColor="text1"/>
          <w:szCs w:val="24"/>
        </w:rPr>
        <w:t>对于本项目新增辐射工作人员需在国家核技术利用辐射安全与防护培训平台进行相应类别的辐射安全与防护培训，并报名参加相应类别的考核，考核合格后方可上岗，并按时接受再培训。</w:t>
      </w:r>
    </w:p>
    <w:p w14:paraId="27698BB9" w14:textId="77777777" w:rsidR="00A67F21" w:rsidRPr="00B12FE0" w:rsidRDefault="00000000">
      <w:pPr>
        <w:adjustRightInd w:val="0"/>
        <w:spacing w:line="360" w:lineRule="auto"/>
        <w:ind w:firstLine="480"/>
        <w:rPr>
          <w:color w:val="000000" w:themeColor="text1"/>
          <w:kern w:val="0"/>
        </w:rPr>
      </w:pPr>
      <w:r w:rsidRPr="00B12FE0">
        <w:rPr>
          <w:color w:val="000000" w:themeColor="text1"/>
          <w:kern w:val="0"/>
        </w:rPr>
        <w:t>（</w:t>
      </w:r>
      <w:r w:rsidRPr="00B12FE0">
        <w:rPr>
          <w:color w:val="000000" w:themeColor="text1"/>
          <w:kern w:val="0"/>
        </w:rPr>
        <w:t>3</w:t>
      </w:r>
      <w:r w:rsidRPr="00B12FE0">
        <w:rPr>
          <w:color w:val="000000" w:themeColor="text1"/>
          <w:kern w:val="0"/>
        </w:rPr>
        <w:t>）个人剂量检测</w:t>
      </w:r>
    </w:p>
    <w:p w14:paraId="172203F6"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医院现有辐射工作人员均配备了个人剂量计，并每三个月委托</w:t>
      </w:r>
      <w:r w:rsidRPr="00B12FE0">
        <w:rPr>
          <w:color w:val="000000" w:themeColor="text1"/>
        </w:rPr>
        <w:t>有资质单位</w:t>
      </w:r>
      <w:r w:rsidRPr="00B12FE0">
        <w:rPr>
          <w:rFonts w:hint="eastAsia"/>
          <w:color w:val="000000" w:themeColor="text1"/>
        </w:rPr>
        <w:t>进行个人剂量检测，并建立个人剂量检测档案。根据医院提供的最近连续四个季度现有辐射工作人员个人剂量检测报告，医院现有辐射工作人员年累计受照剂量检测结果符合《电离辐射防护与辐射源安全基本标准》（</w:t>
      </w:r>
      <w:r w:rsidRPr="00B12FE0">
        <w:rPr>
          <w:color w:val="000000" w:themeColor="text1"/>
        </w:rPr>
        <w:t>GB 18871-2002</w:t>
      </w:r>
      <w:r w:rsidRPr="00B12FE0">
        <w:rPr>
          <w:rFonts w:hint="eastAsia"/>
          <w:color w:val="000000" w:themeColor="text1"/>
        </w:rPr>
        <w:t>）中对职业人员的剂量限值要求</w:t>
      </w:r>
      <w:r w:rsidRPr="00B12FE0">
        <w:rPr>
          <w:color w:val="000000" w:themeColor="text1"/>
        </w:rPr>
        <w:t>，也低于辐射工作人员的年剂量约束值</w:t>
      </w:r>
      <w:r w:rsidRPr="00B12FE0">
        <w:rPr>
          <w:color w:val="000000" w:themeColor="text1"/>
        </w:rPr>
        <w:t>5mSv</w:t>
      </w:r>
      <w:r w:rsidRPr="00B12FE0">
        <w:rPr>
          <w:color w:val="000000" w:themeColor="text1"/>
        </w:rPr>
        <w:t>。</w:t>
      </w:r>
    </w:p>
    <w:p w14:paraId="0EFEC059" w14:textId="77777777" w:rsidR="00A67F21" w:rsidRPr="00B12FE0" w:rsidRDefault="00000000">
      <w:pPr>
        <w:adjustRightInd w:val="0"/>
        <w:spacing w:line="360" w:lineRule="auto"/>
        <w:ind w:firstLine="480"/>
        <w:rPr>
          <w:color w:val="000000" w:themeColor="text1"/>
          <w:kern w:val="0"/>
        </w:rPr>
      </w:pPr>
      <w:r w:rsidRPr="00B12FE0">
        <w:rPr>
          <w:rFonts w:hint="eastAsia"/>
          <w:color w:val="000000" w:themeColor="text1"/>
        </w:rPr>
        <w:t>对于本项目新增辐射工作人员，拟配备个人剂量计，按期（最长不超过三个月）委托有资质单位进行个人剂量检测，并建立个人剂量检测档案。</w:t>
      </w:r>
      <w:r w:rsidRPr="00B12FE0">
        <w:rPr>
          <w:rFonts w:hint="eastAsia"/>
          <w:color w:val="000000" w:themeColor="text1"/>
          <w:kern w:val="0"/>
        </w:rPr>
        <w:t>当</w:t>
      </w:r>
      <w:r w:rsidRPr="00B12FE0">
        <w:rPr>
          <w:rFonts w:hint="eastAsia"/>
          <w:color w:val="000000" w:themeColor="text1"/>
        </w:rPr>
        <w:t>辐射工作人员</w:t>
      </w:r>
      <w:r w:rsidRPr="00B12FE0">
        <w:rPr>
          <w:rFonts w:hint="eastAsia"/>
          <w:color w:val="000000" w:themeColor="text1"/>
          <w:kern w:val="0"/>
        </w:rPr>
        <w:t>单个监测周期（一般为</w:t>
      </w:r>
      <w:r w:rsidRPr="00B12FE0">
        <w:rPr>
          <w:color w:val="000000" w:themeColor="text1"/>
          <w:kern w:val="0"/>
        </w:rPr>
        <w:t>3</w:t>
      </w:r>
      <w:r w:rsidRPr="00B12FE0">
        <w:rPr>
          <w:rFonts w:hint="eastAsia"/>
          <w:color w:val="000000" w:themeColor="text1"/>
          <w:kern w:val="0"/>
        </w:rPr>
        <w:t>个月）个人剂量超过</w:t>
      </w:r>
      <w:r w:rsidRPr="00B12FE0">
        <w:rPr>
          <w:color w:val="000000" w:themeColor="text1"/>
          <w:kern w:val="0"/>
        </w:rPr>
        <w:t>1.25mSv</w:t>
      </w:r>
      <w:r w:rsidRPr="00B12FE0">
        <w:rPr>
          <w:rFonts w:hint="eastAsia"/>
          <w:color w:val="000000" w:themeColor="text1"/>
          <w:kern w:val="0"/>
        </w:rPr>
        <w:t>或年剂量超过</w:t>
      </w:r>
      <w:r w:rsidRPr="00B12FE0">
        <w:rPr>
          <w:color w:val="000000" w:themeColor="text1"/>
          <w:kern w:val="0"/>
        </w:rPr>
        <w:t>5mSv</w:t>
      </w:r>
      <w:r w:rsidRPr="00B12FE0">
        <w:rPr>
          <w:rFonts w:hint="eastAsia"/>
          <w:color w:val="000000" w:themeColor="text1"/>
          <w:kern w:val="0"/>
        </w:rPr>
        <w:t>，应进行调查，并出具调查报告，在查明原因之前应限制工作时间或暂停工作。</w:t>
      </w:r>
    </w:p>
    <w:p w14:paraId="5E25D0D9" w14:textId="77777777" w:rsidR="00A67F21" w:rsidRPr="00B12FE0" w:rsidRDefault="00000000">
      <w:pPr>
        <w:adjustRightInd w:val="0"/>
        <w:spacing w:line="360" w:lineRule="auto"/>
        <w:ind w:firstLine="480"/>
        <w:rPr>
          <w:color w:val="000000" w:themeColor="text1"/>
        </w:rPr>
      </w:pPr>
      <w:r w:rsidRPr="00B12FE0">
        <w:rPr>
          <w:rFonts w:hint="eastAsia"/>
          <w:color w:val="000000" w:themeColor="text1"/>
        </w:rPr>
        <w:t>本项目辐射工作人员的考核合格证书、职业健康监护档案、个人剂量检测档案三个文件上的人员信息应统一；</w:t>
      </w:r>
      <w:r w:rsidRPr="00B12FE0">
        <w:rPr>
          <w:rFonts w:hint="eastAsia"/>
          <w:snapToGrid w:val="0"/>
          <w:color w:val="000000" w:themeColor="text1"/>
        </w:rPr>
        <w:t>职业照射个人监测档案</w:t>
      </w:r>
      <w:r w:rsidRPr="00B12FE0">
        <w:rPr>
          <w:rFonts w:hint="eastAsia"/>
          <w:color w:val="000000" w:themeColor="text1"/>
        </w:rPr>
        <w:t>拟</w:t>
      </w:r>
      <w:r w:rsidRPr="00B12FE0">
        <w:rPr>
          <w:rFonts w:hint="eastAsia"/>
          <w:snapToGrid w:val="0"/>
          <w:color w:val="000000" w:themeColor="text1"/>
        </w:rPr>
        <w:t>终生保存</w:t>
      </w:r>
      <w:r w:rsidRPr="00B12FE0">
        <w:rPr>
          <w:rFonts w:hint="eastAsia"/>
          <w:color w:val="000000" w:themeColor="text1"/>
        </w:rPr>
        <w:t>。医院拟设专人进行环保档案的整理、存档，项目环保档案应包括：项目环境影响评价资料、相关环保会议纪要、辐射安全许可证申请资料、项目竣工环境保护验收资料、日常监测资料（或台账）、辐射工作人员培训资料、考核合格证书、体检报告、个人剂量检测报告及相关调查资料。以上资料按年度进行整理、规范化保存，发现问题及时上报、解决，以满足生态环境主管部门监督检查的要求。</w:t>
      </w:r>
    </w:p>
    <w:p w14:paraId="6BCA0FB6" w14:textId="77777777" w:rsidR="00A67F21" w:rsidRPr="00B12FE0" w:rsidRDefault="00000000">
      <w:pPr>
        <w:snapToGrid w:val="0"/>
        <w:spacing w:line="360" w:lineRule="auto"/>
        <w:contextualSpacing/>
        <w:outlineLvl w:val="2"/>
        <w:rPr>
          <w:b/>
          <w:color w:val="000000" w:themeColor="text1"/>
        </w:rPr>
      </w:pPr>
      <w:r w:rsidRPr="00B12FE0">
        <w:rPr>
          <w:b/>
          <w:color w:val="000000" w:themeColor="text1"/>
        </w:rPr>
        <w:t>12.1.</w:t>
      </w:r>
      <w:proofErr w:type="gramStart"/>
      <w:r w:rsidRPr="00B12FE0">
        <w:rPr>
          <w:b/>
          <w:color w:val="000000" w:themeColor="text1"/>
        </w:rPr>
        <w:t>3</w:t>
      </w:r>
      <w:proofErr w:type="gramEnd"/>
      <w:r w:rsidRPr="00B12FE0">
        <w:rPr>
          <w:rFonts w:hint="eastAsia"/>
          <w:b/>
          <w:color w:val="000000" w:themeColor="text1"/>
        </w:rPr>
        <w:t>年度评估报告</w:t>
      </w:r>
    </w:p>
    <w:p w14:paraId="41C9B520" w14:textId="77777777" w:rsidR="00A67F21" w:rsidRPr="00B12FE0" w:rsidRDefault="00000000">
      <w:pPr>
        <w:adjustRightInd w:val="0"/>
        <w:spacing w:line="360" w:lineRule="auto"/>
        <w:ind w:firstLine="480"/>
        <w:rPr>
          <w:color w:val="000000" w:themeColor="text1"/>
        </w:rPr>
      </w:pPr>
      <w:r w:rsidRPr="00B12FE0">
        <w:rPr>
          <w:rFonts w:hint="eastAsia"/>
          <w:color w:val="000000" w:themeColor="text1"/>
        </w:rPr>
        <w:t>根据《放射性同位素与射线装置安全许可管理办法》的要求，辐射工作单位应当对本单位放射性同位素和射线装置的安全和防护状况进行年度评估，并于每年</w:t>
      </w:r>
      <w:r w:rsidRPr="00B12FE0">
        <w:rPr>
          <w:color w:val="000000" w:themeColor="text1"/>
        </w:rPr>
        <w:t>1</w:t>
      </w:r>
      <w:r w:rsidRPr="00B12FE0">
        <w:rPr>
          <w:rFonts w:hint="eastAsia"/>
          <w:color w:val="000000" w:themeColor="text1"/>
        </w:rPr>
        <w:t>月</w:t>
      </w:r>
      <w:r w:rsidRPr="00B12FE0">
        <w:rPr>
          <w:color w:val="000000" w:themeColor="text1"/>
        </w:rPr>
        <w:t>31</w:t>
      </w:r>
      <w:r w:rsidRPr="00B12FE0">
        <w:rPr>
          <w:rFonts w:hint="eastAsia"/>
          <w:color w:val="000000" w:themeColor="text1"/>
        </w:rPr>
        <w:t>日前向发证机关提交上一年度的评估报告。医院年度评估报告包括：放射性同位素与射线装置台账、辐射安全和防护设施的运行与维护、辐射安全和防护制度及措施的建</w:t>
      </w:r>
      <w:r w:rsidRPr="00B12FE0">
        <w:rPr>
          <w:rFonts w:hint="eastAsia"/>
          <w:color w:val="000000" w:themeColor="text1"/>
        </w:rPr>
        <w:lastRenderedPageBreak/>
        <w:t>立和落实、事故和应急以及档案管理等方面的内容。</w:t>
      </w:r>
    </w:p>
    <w:p w14:paraId="723657C6" w14:textId="77777777" w:rsidR="00A67F21" w:rsidRPr="00B12FE0" w:rsidRDefault="00000000">
      <w:pPr>
        <w:spacing w:line="360" w:lineRule="auto"/>
        <w:ind w:firstLineChars="200" w:firstLine="480"/>
        <w:rPr>
          <w:snapToGrid w:val="0"/>
          <w:color w:val="000000" w:themeColor="text1"/>
        </w:rPr>
      </w:pPr>
      <w:r w:rsidRPr="00B12FE0">
        <w:rPr>
          <w:noProof/>
          <w:color w:val="000000" w:themeColor="text1"/>
        </w:rPr>
        <mc:AlternateContent>
          <mc:Choice Requires="wps">
            <w:drawing>
              <wp:anchor distT="0" distB="0" distL="114300" distR="114300" simplePos="0" relativeHeight="251669504" behindDoc="0" locked="0" layoutInCell="1" allowOverlap="1" wp14:anchorId="159EE5D9" wp14:editId="0BE46797">
                <wp:simplePos x="0" y="0"/>
                <wp:positionH relativeFrom="column">
                  <wp:posOffset>-46990</wp:posOffset>
                </wp:positionH>
                <wp:positionV relativeFrom="paragraph">
                  <wp:posOffset>831850</wp:posOffset>
                </wp:positionV>
                <wp:extent cx="5850890" cy="26035"/>
                <wp:effectExtent l="0" t="4445" r="16510" b="7620"/>
                <wp:wrapNone/>
                <wp:docPr id="115" name="直接连接符 115"/>
                <wp:cNvGraphicFramePr/>
                <a:graphic xmlns:a="http://schemas.openxmlformats.org/drawingml/2006/main">
                  <a:graphicData uri="http://schemas.microsoft.com/office/word/2010/wordprocessingShape">
                    <wps:wsp>
                      <wps:cNvCnPr/>
                      <wps:spPr>
                        <a:xfrm>
                          <a:off x="871220" y="9401175"/>
                          <a:ext cx="5850890" cy="26035"/>
                        </a:xfrm>
                        <a:prstGeom prst="line">
                          <a:avLst/>
                        </a:prstGeom>
                        <a:ln w="635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7pt;margin-top:65.5pt;height:2.05pt;width:460.7pt;z-index:251669504;mso-width-relative:page;mso-height-relative:page;" filled="f" stroked="t" coordsize="21600,21600" o:gfxdata="UEsDBAoAAAAAAIdO4kAAAAAAAAAAAAAAAAAEAAAAZHJzL1BLAwQUAAAACACHTuJA83fRcdYAAAAK&#10;AQAADwAAAGRycy9kb3ducmV2LnhtbE2PzU7DMBCE70i8g7VI3Frb0PAT4vSAFMSFAwVxdmOTRNjr&#10;yHbjwtOzPcFtd3Y0+02zPXrHFhvTFFCBXAtgFvtgJhwUvL91qztgKWs02gW0Cr5tgm17ftbo2oSC&#10;r3bZ5YFRCKZaKxhznmvOUz9ar9M6zBbp9hmi15nWOHATdaFw7/iVEDfc6wnpw6hn+zja/mt38ApQ&#10;5g9XSi5L/KmeKll1z+KlU+ryQooHYNke858ZTviEDi0x7cMBTWJOwep2Q07SryV1IsO93NCwPymV&#10;BN42/H+F9hdQSwMEFAAAAAgAh07iQHJp0EXrAQAArQMAAA4AAABkcnMvZTJvRG9jLnhtbK1TzW4T&#10;MRC+I/EOlu9kd1OSpqtsemhULggiAQ8w8Xp3LflPHjebvAQvgMQNThy58zYtj8HYCS2USw/swTv2&#10;fP7G3+fx8nJvNNvJgMrZhleTkjNphWuV7Rv+4f31iwVnGMG2oJ2VDT9I5Jer58+Wo6/l1A1OtzIw&#10;IrFYj77hQ4y+LgoUgzSAE+elpWTngoFI09AXbYCR2I0upmU5L0YXWh+ckIi0uj4m+YkxPIXQdZ0S&#10;cu3EjZE2HlmD1BBJEg7KI1/l03adFPFt16GMTDeclMY8UhGKt2ksVkuo+wB+UOJ0BHjKER5pMqAs&#10;Fb2nWkMEdhPUP1RGieDQdXEinCmOQrIjpKIqH3nzbgAvsxayGv296fj/aMWb3SYw1VInVDPOLBi6&#10;8rtP328/fvn54zONd9++spQio0aPNeGv7CacZug3Ianed8GkP+lh+4YvzqvplBw+NPziZVlV53k7&#10;1HIfmaD8bDErFxcEEISYzsuznC8eeHzA+Eo6w1LQcK1ssgFq2L3GSLUJ+huSlq27Vlrnq9SWjQ2f&#10;n80SO1B7dtQWFBpPEtH2nIHuqe9FDJkRnVZt2p14MPTbKx3YDlK35C/ppmp/wVLpNeBwxOXUCaYt&#10;oZNNR2NStHXtIfuV1+kWM9+p41Kb/DnPux9e2e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3fR&#10;cdYAAAAKAQAADwAAAAAAAAABACAAAAAiAAAAZHJzL2Rvd25yZXYueG1sUEsBAhQAFAAAAAgAh07i&#10;QHJp0EXrAQAArQMAAA4AAAAAAAAAAQAgAAAAJQEAAGRycy9lMm9Eb2MueG1sUEsFBgAAAAAGAAYA&#10;WQEAAIIFAAAAAA==&#10;">
                <v:fill on="f" focussize="0,0"/>
                <v:stroke weight="0.5pt" color="#000000 [3213]" joinstyle="round"/>
                <v:imagedata o:title=""/>
                <o:lock v:ext="edit" aspectratio="f"/>
              </v:line>
            </w:pict>
          </mc:Fallback>
        </mc:AlternateContent>
      </w:r>
      <w:r w:rsidRPr="00B12FE0">
        <w:rPr>
          <w:rFonts w:hint="eastAsia"/>
          <w:snapToGrid w:val="0"/>
          <w:color w:val="000000" w:themeColor="text1"/>
        </w:rPr>
        <w:t>医院已按要求对开展的核技术利用项目进行了辐射安全与防护状况评估，</w:t>
      </w:r>
      <w:r w:rsidRPr="00B12FE0">
        <w:rPr>
          <w:rFonts w:hint="eastAsia"/>
          <w:color w:val="000000" w:themeColor="text1"/>
        </w:rPr>
        <w:t>并于每年</w:t>
      </w:r>
      <w:r w:rsidRPr="00B12FE0">
        <w:rPr>
          <w:color w:val="000000" w:themeColor="text1"/>
        </w:rPr>
        <w:t>1</w:t>
      </w:r>
      <w:r w:rsidRPr="00B12FE0">
        <w:rPr>
          <w:rFonts w:hint="eastAsia"/>
          <w:color w:val="000000" w:themeColor="text1"/>
        </w:rPr>
        <w:t>月</w:t>
      </w:r>
      <w:r w:rsidRPr="00B12FE0">
        <w:rPr>
          <w:color w:val="000000" w:themeColor="text1"/>
        </w:rPr>
        <w:t>31</w:t>
      </w:r>
      <w:r w:rsidRPr="00B12FE0">
        <w:rPr>
          <w:rFonts w:hint="eastAsia"/>
          <w:color w:val="000000" w:themeColor="text1"/>
        </w:rPr>
        <w:t>日前向发证机关提交上一年度的评估报告。</w:t>
      </w:r>
      <w:r w:rsidRPr="00B12FE0">
        <w:rPr>
          <w:rFonts w:hint="eastAsia"/>
          <w:snapToGrid w:val="0"/>
          <w:color w:val="000000" w:themeColor="text1"/>
        </w:rPr>
        <w:t>本项目建成运行后，将本项目纳入</w:t>
      </w:r>
      <w:r w:rsidRPr="00B12FE0">
        <w:rPr>
          <w:rFonts w:hint="eastAsia"/>
          <w:color w:val="000000" w:themeColor="text1"/>
        </w:rPr>
        <w:t>现有辐射安全与防护状况</w:t>
      </w:r>
      <w:r w:rsidRPr="00B12FE0">
        <w:rPr>
          <w:rFonts w:hint="eastAsia"/>
          <w:snapToGrid w:val="0"/>
          <w:color w:val="000000" w:themeColor="text1"/>
        </w:rPr>
        <w:t>年度评估报告，定期上报至发证机关。</w:t>
      </w:r>
    </w:p>
    <w:p w14:paraId="29D24E40" w14:textId="77777777" w:rsidR="00A67F21" w:rsidRPr="00B12FE0" w:rsidRDefault="00000000">
      <w:pPr>
        <w:spacing w:line="360" w:lineRule="auto"/>
        <w:contextualSpacing/>
        <w:outlineLvl w:val="1"/>
        <w:rPr>
          <w:b/>
          <w:color w:val="000000" w:themeColor="text1"/>
          <w:sz w:val="28"/>
          <w:szCs w:val="28"/>
        </w:rPr>
      </w:pPr>
      <w:r w:rsidRPr="00B12FE0">
        <w:rPr>
          <w:b/>
          <w:color w:val="000000" w:themeColor="text1"/>
          <w:sz w:val="28"/>
          <w:szCs w:val="28"/>
        </w:rPr>
        <w:t>12.2</w:t>
      </w:r>
      <w:r w:rsidRPr="00B12FE0">
        <w:rPr>
          <w:b/>
          <w:color w:val="000000" w:themeColor="text1"/>
          <w:sz w:val="28"/>
          <w:szCs w:val="28"/>
        </w:rPr>
        <w:t>辐射安全管理规章制度</w:t>
      </w:r>
    </w:p>
    <w:p w14:paraId="0410C8E4" w14:textId="77777777" w:rsidR="00A67F21" w:rsidRPr="00B12FE0" w:rsidRDefault="00000000">
      <w:pPr>
        <w:spacing w:line="360" w:lineRule="auto"/>
        <w:ind w:firstLineChars="200" w:firstLine="480"/>
        <w:rPr>
          <w:rFonts w:cs="Arial"/>
          <w:color w:val="000000" w:themeColor="text1"/>
          <w:szCs w:val="24"/>
        </w:rPr>
      </w:pPr>
      <w:r w:rsidRPr="00B12FE0">
        <w:rPr>
          <w:rFonts w:hint="eastAsia"/>
          <w:color w:val="000000" w:themeColor="text1"/>
        </w:rPr>
        <w:t>为了保护辐射工作人员、公众及环境的安全，促进辐射实践的正当性，辐射防护的最优化，规范工作人员的操作规程，根据相关法律、法规、规范的要求，医院已制定了</w:t>
      </w:r>
      <w:r w:rsidRPr="00B12FE0">
        <w:rPr>
          <w:rFonts w:ascii="宋体" w:hAnsi="宋体" w:cs="Arial" w:hint="eastAsia"/>
          <w:color w:val="000000" w:themeColor="text1"/>
          <w:szCs w:val="24"/>
        </w:rPr>
        <w:t>放射辐射安全管理制度、放射工作场所防护监测制度、放射工作人员放射防护培训制度、设备检修维护和使用登记制度、自行检查和年度评估制度、岗位职责、放射安全事件应急预案等管理规章制度。</w:t>
      </w:r>
    </w:p>
    <w:p w14:paraId="12F78BED"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鉴于医院目前还未组建核医学、放疗团队，在本项目建成后运行前，医院拟根据本项目的特点，制定核医学、放疗相关管理制度，运行中根据情况持续完善制度，以保证医院辐射相关工作安全有序开展。具体如下：</w:t>
      </w:r>
    </w:p>
    <w:p w14:paraId="3DBFC64F"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w:t>
      </w:r>
      <w:r w:rsidRPr="00B12FE0">
        <w:rPr>
          <w:rFonts w:hint="eastAsia"/>
          <w:color w:val="000000" w:themeColor="text1"/>
        </w:rPr>
        <w:t>1</w:t>
      </w:r>
      <w:r w:rsidRPr="00B12FE0">
        <w:rPr>
          <w:rFonts w:hint="eastAsia"/>
          <w:color w:val="000000" w:themeColor="text1"/>
        </w:rPr>
        <w:t>）操作规程：根据本项目特点制定核医学科等设备的操作规程，明确操作人员的权限以及操作时必须采取的防护措施，明确工作中的控制措施以及操作程序等。</w:t>
      </w:r>
    </w:p>
    <w:p w14:paraId="01279BEB"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w:t>
      </w:r>
      <w:r w:rsidRPr="00B12FE0">
        <w:rPr>
          <w:rFonts w:hint="eastAsia"/>
          <w:color w:val="000000" w:themeColor="text1"/>
        </w:rPr>
        <w:t>2</w:t>
      </w:r>
      <w:r w:rsidRPr="00B12FE0">
        <w:rPr>
          <w:rFonts w:hint="eastAsia"/>
          <w:color w:val="000000" w:themeColor="text1"/>
        </w:rPr>
        <w:t>）岗位职责：明确核医学科辐射工作人员及辐射安全管理人员的岗位责任，并落实到个人，使每一个工作人员明确自己所在岗位具体责任，层层落实。</w:t>
      </w:r>
    </w:p>
    <w:p w14:paraId="67954A54"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w:t>
      </w:r>
      <w:r w:rsidRPr="00B12FE0">
        <w:rPr>
          <w:rFonts w:hint="eastAsia"/>
          <w:color w:val="000000" w:themeColor="text1"/>
        </w:rPr>
        <w:t>3</w:t>
      </w:r>
      <w:r w:rsidRPr="00B12FE0">
        <w:rPr>
          <w:rFonts w:hint="eastAsia"/>
          <w:color w:val="000000" w:themeColor="text1"/>
        </w:rPr>
        <w:t>）辐射防护和安全保卫制度：根据各科室的具体情况制定辐射防护和安全保卫制度，重点是：定期检查相关的辐射安全装置及检测仪器，发现问题及时修理或更换；工作人员定期开展个人剂量检测和职业健康监护。</w:t>
      </w:r>
      <w:r w:rsidRPr="00B12FE0">
        <w:rPr>
          <w:rFonts w:cs="宋体"/>
          <w:color w:val="000000" w:themeColor="text1"/>
          <w:szCs w:val="24"/>
        </w:rPr>
        <w:t>X-γ</w:t>
      </w:r>
      <w:r w:rsidRPr="00B12FE0">
        <w:rPr>
          <w:rFonts w:hint="eastAsia"/>
          <w:color w:val="000000" w:themeColor="text1"/>
          <w:szCs w:val="24"/>
        </w:rPr>
        <w:t>辐射剂量率巡测仪</w:t>
      </w:r>
      <w:r w:rsidRPr="00B12FE0">
        <w:rPr>
          <w:rFonts w:hint="eastAsia"/>
          <w:color w:val="000000" w:themeColor="text1"/>
        </w:rPr>
        <w:t>和表面污染监测</w:t>
      </w:r>
      <w:proofErr w:type="gramStart"/>
      <w:r w:rsidRPr="00B12FE0">
        <w:rPr>
          <w:rFonts w:hint="eastAsia"/>
          <w:color w:val="000000" w:themeColor="text1"/>
        </w:rPr>
        <w:t>仪必须</w:t>
      </w:r>
      <w:proofErr w:type="gramEnd"/>
      <w:r w:rsidRPr="00B12FE0">
        <w:rPr>
          <w:rFonts w:hint="eastAsia"/>
          <w:color w:val="000000" w:themeColor="text1"/>
        </w:rPr>
        <w:t>保持良好工作状态。</w:t>
      </w:r>
    </w:p>
    <w:p w14:paraId="65516F0D"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w:t>
      </w:r>
      <w:r w:rsidRPr="00B12FE0">
        <w:rPr>
          <w:rFonts w:hint="eastAsia"/>
          <w:color w:val="000000" w:themeColor="text1"/>
        </w:rPr>
        <w:t>4</w:t>
      </w:r>
      <w:r w:rsidRPr="00B12FE0">
        <w:rPr>
          <w:rFonts w:hint="eastAsia"/>
          <w:color w:val="000000" w:themeColor="text1"/>
        </w:rPr>
        <w:t>）设备检修维护制度：明确监控设备以及监测仪器在日常使用过程中维护保养以及发生故障时采取的措施，剂量报警仪和监测仪器必须保持良好工作状态。</w:t>
      </w:r>
    </w:p>
    <w:p w14:paraId="001E38AB"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w:t>
      </w:r>
      <w:r w:rsidRPr="00B12FE0">
        <w:rPr>
          <w:rFonts w:hint="eastAsia"/>
          <w:color w:val="000000" w:themeColor="text1"/>
        </w:rPr>
        <w:t>5</w:t>
      </w:r>
      <w:r w:rsidRPr="00B12FE0">
        <w:rPr>
          <w:rFonts w:hint="eastAsia"/>
          <w:color w:val="000000" w:themeColor="text1"/>
        </w:rPr>
        <w:t>）台</w:t>
      </w:r>
      <w:proofErr w:type="gramStart"/>
      <w:r w:rsidRPr="00B12FE0">
        <w:rPr>
          <w:rFonts w:hint="eastAsia"/>
          <w:color w:val="000000" w:themeColor="text1"/>
        </w:rPr>
        <w:t>账管理</w:t>
      </w:r>
      <w:proofErr w:type="gramEnd"/>
      <w:r w:rsidRPr="00B12FE0">
        <w:rPr>
          <w:rFonts w:hint="eastAsia"/>
          <w:color w:val="000000" w:themeColor="text1"/>
        </w:rPr>
        <w:t>制度：建立放射性核素与射线装置台账，记载放射性同位素的核素名称、来源和去向，及射线装置的名称、型号、射线种类、类别、用途、来源和去向等事项。</w:t>
      </w:r>
    </w:p>
    <w:p w14:paraId="22709DAA"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w:t>
      </w:r>
      <w:r w:rsidRPr="00B12FE0">
        <w:rPr>
          <w:rFonts w:hint="eastAsia"/>
          <w:color w:val="000000" w:themeColor="text1"/>
        </w:rPr>
        <w:t>6</w:t>
      </w:r>
      <w:r w:rsidRPr="00B12FE0">
        <w:rPr>
          <w:rFonts w:hint="eastAsia"/>
          <w:color w:val="000000" w:themeColor="text1"/>
        </w:rPr>
        <w:t>）放射性三废管理制度：明确运营过程中产生的放射性三废，明确放射性三废的收集、处理、处置等事项。</w:t>
      </w:r>
    </w:p>
    <w:p w14:paraId="555D364F"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w:t>
      </w:r>
      <w:r w:rsidRPr="00B12FE0">
        <w:rPr>
          <w:rFonts w:hint="eastAsia"/>
          <w:color w:val="000000" w:themeColor="text1"/>
        </w:rPr>
        <w:t>7</w:t>
      </w:r>
      <w:r w:rsidRPr="00B12FE0">
        <w:rPr>
          <w:rFonts w:hint="eastAsia"/>
          <w:color w:val="000000" w:themeColor="text1"/>
        </w:rPr>
        <w:t>）应急预案：对应急措施、事故后续处理等做出要求，明确建立应急机构和人</w:t>
      </w:r>
      <w:r w:rsidRPr="00B12FE0">
        <w:rPr>
          <w:rFonts w:hint="eastAsia"/>
          <w:color w:val="000000" w:themeColor="text1"/>
        </w:rPr>
        <w:lastRenderedPageBreak/>
        <w:t>员职责分工，应急人员的组织、培训以及应急，辐射事故分类与应急响应的措施。</w:t>
      </w:r>
    </w:p>
    <w:p w14:paraId="73F95BB9" w14:textId="77777777" w:rsidR="00A67F21" w:rsidRPr="00B12FE0" w:rsidRDefault="00000000">
      <w:pPr>
        <w:spacing w:line="360" w:lineRule="auto"/>
        <w:contextualSpacing/>
        <w:outlineLvl w:val="2"/>
        <w:rPr>
          <w:b/>
          <w:color w:val="000000" w:themeColor="text1"/>
          <w:sz w:val="28"/>
          <w:szCs w:val="28"/>
        </w:rPr>
      </w:pPr>
      <w:r w:rsidRPr="00B12FE0">
        <w:rPr>
          <w:b/>
          <w:color w:val="000000" w:themeColor="text1"/>
          <w:sz w:val="28"/>
          <w:szCs w:val="28"/>
        </w:rPr>
        <w:t>12.3</w:t>
      </w:r>
      <w:r w:rsidRPr="00B12FE0">
        <w:rPr>
          <w:b/>
          <w:color w:val="000000" w:themeColor="text1"/>
          <w:sz w:val="28"/>
          <w:szCs w:val="28"/>
        </w:rPr>
        <w:t>辐射监测</w:t>
      </w:r>
    </w:p>
    <w:p w14:paraId="4040BF0B" w14:textId="77777777" w:rsidR="00A67F21" w:rsidRPr="00B12FE0" w:rsidRDefault="00000000">
      <w:pPr>
        <w:tabs>
          <w:tab w:val="left" w:pos="1017"/>
        </w:tabs>
        <w:adjustRightInd w:val="0"/>
        <w:snapToGrid w:val="0"/>
        <w:spacing w:line="360" w:lineRule="auto"/>
        <w:ind w:firstLineChars="200" w:firstLine="480"/>
        <w:rPr>
          <w:b/>
          <w:bCs/>
          <w:color w:val="000000" w:themeColor="text1"/>
        </w:rPr>
      </w:pPr>
      <w:r w:rsidRPr="00B12FE0">
        <w:rPr>
          <w:color w:val="000000" w:themeColor="text1"/>
        </w:rPr>
        <w:t>辐射监测是安全防护的一项必要措施，通过辐射剂量监测得到的数据，可以分析判断和估计电离辐射水平，防止人员受到过量的照射。根据实际情况，项目单位需建立辐射剂量监测制度，包括工作场所监测和个人剂量监测。</w:t>
      </w:r>
    </w:p>
    <w:p w14:paraId="0EEDE623" w14:textId="77777777" w:rsidR="00A67F21" w:rsidRPr="00B12FE0" w:rsidRDefault="00000000">
      <w:pPr>
        <w:snapToGrid w:val="0"/>
        <w:spacing w:line="360" w:lineRule="auto"/>
        <w:contextualSpacing/>
        <w:outlineLvl w:val="2"/>
        <w:rPr>
          <w:rFonts w:cs="宋体"/>
          <w:b/>
          <w:bCs/>
          <w:color w:val="000000" w:themeColor="text1"/>
          <w:sz w:val="36"/>
          <w:szCs w:val="36"/>
        </w:rPr>
      </w:pPr>
      <w:r w:rsidRPr="00B12FE0">
        <w:rPr>
          <w:rFonts w:cs="宋体"/>
          <w:b/>
          <w:color w:val="000000" w:themeColor="text1"/>
          <w:szCs w:val="24"/>
        </w:rPr>
        <w:t>12.3.1</w:t>
      </w:r>
      <w:r w:rsidRPr="00B12FE0">
        <w:rPr>
          <w:rFonts w:ascii="宋体" w:hAnsi="宋体" w:cs="宋体"/>
          <w:b/>
          <w:bCs/>
          <w:color w:val="000000" w:themeColor="text1"/>
          <w:szCs w:val="24"/>
        </w:rPr>
        <w:t>监测仪器和防护设备</w:t>
      </w:r>
    </w:p>
    <w:p w14:paraId="57A277B9" w14:textId="77777777" w:rsidR="00A67F21" w:rsidRPr="00B12FE0" w:rsidRDefault="00000000">
      <w:pPr>
        <w:tabs>
          <w:tab w:val="left" w:pos="1017"/>
        </w:tabs>
        <w:adjustRightInd w:val="0"/>
        <w:snapToGrid w:val="0"/>
        <w:spacing w:line="360" w:lineRule="auto"/>
        <w:ind w:firstLineChars="200" w:firstLine="480"/>
        <w:rPr>
          <w:snapToGrid w:val="0"/>
          <w:color w:val="000000" w:themeColor="text1"/>
          <w:szCs w:val="24"/>
        </w:rPr>
      </w:pPr>
      <w:r w:rsidRPr="00B12FE0">
        <w:rPr>
          <w:snapToGrid w:val="0"/>
          <w:color w:val="000000" w:themeColor="text1"/>
          <w:szCs w:val="24"/>
        </w:rPr>
        <w:t>根据《放射性同位素与射线装置安全许可管理办法》，使用放射性同位素、射线装置的单位应该配置与辐射类型和辐射水平相适应的防护用品和监测仪器，包括个人剂量测量报警、辐射监测等仪器。使用非密封放射性物质的单位还应当有表面污染监测仪。根据以上要求，建议本项目辐射工作场所辐射仪器配置情况详见表</w:t>
      </w:r>
      <w:r w:rsidRPr="00B12FE0">
        <w:rPr>
          <w:snapToGrid w:val="0"/>
          <w:color w:val="000000" w:themeColor="text1"/>
          <w:szCs w:val="24"/>
        </w:rPr>
        <w:t>12-1</w:t>
      </w:r>
      <w:r w:rsidRPr="00B12FE0">
        <w:rPr>
          <w:snapToGrid w:val="0"/>
          <w:color w:val="000000" w:themeColor="text1"/>
          <w:szCs w:val="24"/>
        </w:rPr>
        <w:t>。</w:t>
      </w:r>
    </w:p>
    <w:p w14:paraId="0ED7D817" w14:textId="77777777" w:rsidR="00A67F21" w:rsidRPr="00B12FE0" w:rsidRDefault="00000000">
      <w:pPr>
        <w:adjustRightInd w:val="0"/>
        <w:snapToGrid w:val="0"/>
        <w:spacing w:line="360" w:lineRule="auto"/>
        <w:jc w:val="center"/>
        <w:rPr>
          <w:b/>
          <w:snapToGrid w:val="0"/>
          <w:color w:val="000000" w:themeColor="text1"/>
          <w:sz w:val="21"/>
          <w:szCs w:val="21"/>
        </w:rPr>
      </w:pPr>
      <w:r w:rsidRPr="00B12FE0">
        <w:rPr>
          <w:b/>
          <w:snapToGrid w:val="0"/>
          <w:color w:val="000000" w:themeColor="text1"/>
          <w:sz w:val="21"/>
          <w:szCs w:val="21"/>
        </w:rPr>
        <w:t>表</w:t>
      </w:r>
      <w:r w:rsidRPr="00B12FE0">
        <w:rPr>
          <w:b/>
          <w:snapToGrid w:val="0"/>
          <w:color w:val="000000" w:themeColor="text1"/>
          <w:sz w:val="21"/>
          <w:szCs w:val="21"/>
        </w:rPr>
        <w:t xml:space="preserve">12.3.1-1  </w:t>
      </w:r>
      <w:r w:rsidRPr="00B12FE0">
        <w:rPr>
          <w:b/>
          <w:snapToGrid w:val="0"/>
          <w:color w:val="000000" w:themeColor="text1"/>
          <w:sz w:val="21"/>
          <w:szCs w:val="21"/>
        </w:rPr>
        <w:t>本项目辐射工作场所</w:t>
      </w:r>
      <w:proofErr w:type="gramStart"/>
      <w:r w:rsidRPr="00B12FE0">
        <w:rPr>
          <w:b/>
          <w:snapToGrid w:val="0"/>
          <w:color w:val="000000" w:themeColor="text1"/>
          <w:sz w:val="21"/>
          <w:szCs w:val="21"/>
        </w:rPr>
        <w:t>辐射监测仪器拟配置</w:t>
      </w:r>
      <w:proofErr w:type="gramEnd"/>
      <w:r w:rsidRPr="00B12FE0">
        <w:rPr>
          <w:b/>
          <w:snapToGrid w:val="0"/>
          <w:color w:val="000000" w:themeColor="text1"/>
          <w:sz w:val="21"/>
          <w:szCs w:val="21"/>
        </w:rPr>
        <w:t>情况</w:t>
      </w:r>
    </w:p>
    <w:tbl>
      <w:tblPr>
        <w:tblW w:w="49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25"/>
        <w:gridCol w:w="1604"/>
        <w:gridCol w:w="2630"/>
        <w:gridCol w:w="3160"/>
      </w:tblGrid>
      <w:tr w:rsidR="00A67F21" w:rsidRPr="00B12FE0" w14:paraId="721B15F0" w14:textId="77777777">
        <w:trPr>
          <w:trHeight w:val="340"/>
          <w:jc w:val="center"/>
        </w:trPr>
        <w:tc>
          <w:tcPr>
            <w:tcW w:w="1790" w:type="pct"/>
            <w:gridSpan w:val="2"/>
            <w:vAlign w:val="center"/>
          </w:tcPr>
          <w:p w14:paraId="0989A2B5"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工作场所</w:t>
            </w:r>
          </w:p>
        </w:tc>
        <w:tc>
          <w:tcPr>
            <w:tcW w:w="1458" w:type="pct"/>
            <w:vAlign w:val="center"/>
          </w:tcPr>
          <w:p w14:paraId="00339DA6"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监测仪器</w:t>
            </w:r>
          </w:p>
        </w:tc>
        <w:tc>
          <w:tcPr>
            <w:tcW w:w="1752" w:type="pct"/>
            <w:vAlign w:val="center"/>
          </w:tcPr>
          <w:p w14:paraId="57339D01"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配置情况说明</w:t>
            </w:r>
          </w:p>
        </w:tc>
      </w:tr>
      <w:tr w:rsidR="00A67F21" w:rsidRPr="00B12FE0" w14:paraId="5D07AA96" w14:textId="77777777">
        <w:trPr>
          <w:trHeight w:val="340"/>
          <w:jc w:val="center"/>
        </w:trPr>
        <w:tc>
          <w:tcPr>
            <w:tcW w:w="901" w:type="pct"/>
            <w:vMerge w:val="restart"/>
            <w:tcBorders>
              <w:right w:val="single" w:sz="4" w:space="0" w:color="auto"/>
            </w:tcBorders>
            <w:vAlign w:val="center"/>
          </w:tcPr>
          <w:p w14:paraId="142599F7"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核医学科</w:t>
            </w:r>
          </w:p>
        </w:tc>
        <w:tc>
          <w:tcPr>
            <w:tcW w:w="889" w:type="pct"/>
            <w:vMerge w:val="restart"/>
            <w:tcBorders>
              <w:left w:val="single" w:sz="4" w:space="0" w:color="auto"/>
            </w:tcBorders>
            <w:vAlign w:val="center"/>
          </w:tcPr>
          <w:p w14:paraId="0190634A"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核素制备场所</w:t>
            </w:r>
          </w:p>
        </w:tc>
        <w:tc>
          <w:tcPr>
            <w:tcW w:w="1458" w:type="pct"/>
            <w:vAlign w:val="center"/>
          </w:tcPr>
          <w:p w14:paraId="1B3DB719"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α/β</w:t>
            </w:r>
            <w:r w:rsidRPr="00B12FE0">
              <w:rPr>
                <w:snapToGrid w:val="0"/>
                <w:color w:val="000000" w:themeColor="text1"/>
                <w:kern w:val="0"/>
                <w:sz w:val="21"/>
                <w:szCs w:val="21"/>
              </w:rPr>
              <w:t>表面污染监测仪</w:t>
            </w:r>
          </w:p>
        </w:tc>
        <w:tc>
          <w:tcPr>
            <w:tcW w:w="1752" w:type="pct"/>
            <w:vAlign w:val="center"/>
          </w:tcPr>
          <w:p w14:paraId="29A5E9D0"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增配</w:t>
            </w:r>
            <w:r w:rsidRPr="00B12FE0">
              <w:rPr>
                <w:snapToGrid w:val="0"/>
                <w:color w:val="000000" w:themeColor="text1"/>
                <w:kern w:val="0"/>
                <w:sz w:val="21"/>
                <w:szCs w:val="21"/>
              </w:rPr>
              <w:t>1</w:t>
            </w:r>
            <w:r w:rsidRPr="00B12FE0">
              <w:rPr>
                <w:snapToGrid w:val="0"/>
                <w:color w:val="000000" w:themeColor="text1"/>
                <w:kern w:val="0"/>
                <w:sz w:val="21"/>
                <w:szCs w:val="21"/>
              </w:rPr>
              <w:t>台</w:t>
            </w:r>
          </w:p>
        </w:tc>
      </w:tr>
      <w:tr w:rsidR="00A67F21" w:rsidRPr="00B12FE0" w14:paraId="0E4029BB" w14:textId="77777777">
        <w:trPr>
          <w:trHeight w:val="340"/>
          <w:jc w:val="center"/>
        </w:trPr>
        <w:tc>
          <w:tcPr>
            <w:tcW w:w="901" w:type="pct"/>
            <w:vMerge/>
            <w:tcBorders>
              <w:right w:val="single" w:sz="4" w:space="0" w:color="auto"/>
            </w:tcBorders>
            <w:vAlign w:val="center"/>
          </w:tcPr>
          <w:p w14:paraId="0A2832C5"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43306B82"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3399400E"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便携式</w:t>
            </w:r>
            <w:r w:rsidRPr="00B12FE0">
              <w:rPr>
                <w:snapToGrid w:val="0"/>
                <w:color w:val="000000" w:themeColor="text1"/>
                <w:sz w:val="21"/>
                <w:szCs w:val="21"/>
              </w:rPr>
              <w:t>X-γ</w:t>
            </w:r>
            <w:r w:rsidRPr="00B12FE0">
              <w:rPr>
                <w:snapToGrid w:val="0"/>
                <w:color w:val="000000" w:themeColor="text1"/>
                <w:sz w:val="21"/>
                <w:szCs w:val="21"/>
              </w:rPr>
              <w:t>射线巡测仪</w:t>
            </w:r>
          </w:p>
        </w:tc>
        <w:tc>
          <w:tcPr>
            <w:tcW w:w="1752" w:type="pct"/>
            <w:vAlign w:val="center"/>
          </w:tcPr>
          <w:p w14:paraId="193B2D28"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增配</w:t>
            </w:r>
            <w:r w:rsidRPr="00B12FE0">
              <w:rPr>
                <w:snapToGrid w:val="0"/>
                <w:color w:val="000000" w:themeColor="text1"/>
                <w:kern w:val="0"/>
                <w:sz w:val="21"/>
                <w:szCs w:val="21"/>
              </w:rPr>
              <w:t>1</w:t>
            </w:r>
            <w:r w:rsidRPr="00B12FE0">
              <w:rPr>
                <w:snapToGrid w:val="0"/>
                <w:color w:val="000000" w:themeColor="text1"/>
                <w:kern w:val="0"/>
                <w:sz w:val="21"/>
                <w:szCs w:val="21"/>
              </w:rPr>
              <w:t>台（核医学科共用）</w:t>
            </w:r>
          </w:p>
        </w:tc>
      </w:tr>
      <w:tr w:rsidR="00A67F21" w:rsidRPr="00B12FE0" w14:paraId="07DEC580" w14:textId="77777777">
        <w:trPr>
          <w:trHeight w:val="340"/>
          <w:jc w:val="center"/>
        </w:trPr>
        <w:tc>
          <w:tcPr>
            <w:tcW w:w="901" w:type="pct"/>
            <w:vMerge/>
            <w:tcBorders>
              <w:right w:val="single" w:sz="4" w:space="0" w:color="auto"/>
            </w:tcBorders>
            <w:vAlign w:val="center"/>
          </w:tcPr>
          <w:p w14:paraId="4E8DA860"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2B81429E"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18E575C7"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中子剂量仪</w:t>
            </w:r>
          </w:p>
        </w:tc>
        <w:tc>
          <w:tcPr>
            <w:tcW w:w="1752" w:type="pct"/>
            <w:vAlign w:val="center"/>
          </w:tcPr>
          <w:p w14:paraId="35E4069F"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增配</w:t>
            </w:r>
            <w:r w:rsidRPr="00B12FE0">
              <w:rPr>
                <w:snapToGrid w:val="0"/>
                <w:color w:val="000000" w:themeColor="text1"/>
                <w:kern w:val="0"/>
                <w:sz w:val="21"/>
                <w:szCs w:val="21"/>
              </w:rPr>
              <w:t>1</w:t>
            </w:r>
            <w:r w:rsidRPr="00B12FE0">
              <w:rPr>
                <w:snapToGrid w:val="0"/>
                <w:color w:val="000000" w:themeColor="text1"/>
                <w:kern w:val="0"/>
                <w:sz w:val="21"/>
                <w:szCs w:val="21"/>
              </w:rPr>
              <w:t>台（与放疗科共用）</w:t>
            </w:r>
          </w:p>
        </w:tc>
      </w:tr>
      <w:tr w:rsidR="00A67F21" w:rsidRPr="00B12FE0" w14:paraId="3EC7412D" w14:textId="77777777">
        <w:trPr>
          <w:trHeight w:val="340"/>
          <w:jc w:val="center"/>
        </w:trPr>
        <w:tc>
          <w:tcPr>
            <w:tcW w:w="901" w:type="pct"/>
            <w:vMerge/>
            <w:tcBorders>
              <w:right w:val="single" w:sz="4" w:space="0" w:color="auto"/>
            </w:tcBorders>
            <w:vAlign w:val="center"/>
          </w:tcPr>
          <w:p w14:paraId="084B7AC6"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52B1A50B"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041569CC"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固定式剂量率仪</w:t>
            </w:r>
          </w:p>
        </w:tc>
        <w:tc>
          <w:tcPr>
            <w:tcW w:w="1752" w:type="pct"/>
            <w:vAlign w:val="center"/>
          </w:tcPr>
          <w:p w14:paraId="44885F92"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sz w:val="21"/>
                <w:szCs w:val="21"/>
              </w:rPr>
              <w:t>回旋加速器</w:t>
            </w:r>
            <w:r w:rsidRPr="00B12FE0">
              <w:rPr>
                <w:snapToGrid w:val="0"/>
                <w:color w:val="000000" w:themeColor="text1"/>
                <w:kern w:val="0"/>
                <w:sz w:val="21"/>
                <w:szCs w:val="21"/>
              </w:rPr>
              <w:t>机房内安装</w:t>
            </w:r>
            <w:r w:rsidRPr="00B12FE0">
              <w:rPr>
                <w:snapToGrid w:val="0"/>
                <w:color w:val="000000" w:themeColor="text1"/>
                <w:kern w:val="0"/>
                <w:sz w:val="21"/>
                <w:szCs w:val="21"/>
              </w:rPr>
              <w:t>2</w:t>
            </w:r>
            <w:r w:rsidRPr="00B12FE0">
              <w:rPr>
                <w:snapToGrid w:val="0"/>
                <w:color w:val="000000" w:themeColor="text1"/>
                <w:kern w:val="0"/>
                <w:sz w:val="21"/>
                <w:szCs w:val="21"/>
              </w:rPr>
              <w:t>台（伽马和中子各</w:t>
            </w:r>
            <w:r w:rsidRPr="00B12FE0">
              <w:rPr>
                <w:snapToGrid w:val="0"/>
                <w:color w:val="000000" w:themeColor="text1"/>
                <w:kern w:val="0"/>
                <w:sz w:val="21"/>
                <w:szCs w:val="21"/>
              </w:rPr>
              <w:t>1</w:t>
            </w:r>
            <w:r w:rsidRPr="00B12FE0">
              <w:rPr>
                <w:snapToGrid w:val="0"/>
                <w:color w:val="000000" w:themeColor="text1"/>
                <w:kern w:val="0"/>
                <w:sz w:val="21"/>
                <w:szCs w:val="21"/>
              </w:rPr>
              <w:t>台），热室房间和加速器控制室各安装</w:t>
            </w:r>
            <w:r w:rsidRPr="00B12FE0">
              <w:rPr>
                <w:snapToGrid w:val="0"/>
                <w:color w:val="000000" w:themeColor="text1"/>
                <w:kern w:val="0"/>
                <w:sz w:val="21"/>
                <w:szCs w:val="21"/>
              </w:rPr>
              <w:t>1</w:t>
            </w:r>
            <w:r w:rsidRPr="00B12FE0">
              <w:rPr>
                <w:snapToGrid w:val="0"/>
                <w:color w:val="000000" w:themeColor="text1"/>
                <w:kern w:val="0"/>
                <w:sz w:val="21"/>
                <w:szCs w:val="21"/>
              </w:rPr>
              <w:t>台</w:t>
            </w:r>
          </w:p>
        </w:tc>
      </w:tr>
      <w:tr w:rsidR="00A67F21" w:rsidRPr="00B12FE0" w14:paraId="5D096414" w14:textId="77777777">
        <w:trPr>
          <w:trHeight w:val="340"/>
          <w:jc w:val="center"/>
        </w:trPr>
        <w:tc>
          <w:tcPr>
            <w:tcW w:w="901" w:type="pct"/>
            <w:vMerge/>
            <w:tcBorders>
              <w:right w:val="single" w:sz="4" w:space="0" w:color="auto"/>
            </w:tcBorders>
            <w:vAlign w:val="center"/>
          </w:tcPr>
          <w:p w14:paraId="7D1C2CB7"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val="restart"/>
            <w:tcBorders>
              <w:left w:val="single" w:sz="4" w:space="0" w:color="auto"/>
            </w:tcBorders>
            <w:vAlign w:val="center"/>
          </w:tcPr>
          <w:p w14:paraId="3CEC72B9"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核素诊断场所</w:t>
            </w:r>
          </w:p>
        </w:tc>
        <w:tc>
          <w:tcPr>
            <w:tcW w:w="1458" w:type="pct"/>
            <w:vAlign w:val="center"/>
          </w:tcPr>
          <w:p w14:paraId="55FA01FE"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α/β</w:t>
            </w:r>
            <w:r w:rsidRPr="00B12FE0">
              <w:rPr>
                <w:snapToGrid w:val="0"/>
                <w:color w:val="000000" w:themeColor="text1"/>
                <w:kern w:val="0"/>
                <w:sz w:val="21"/>
                <w:szCs w:val="21"/>
              </w:rPr>
              <w:t>表面污染监测仪</w:t>
            </w:r>
          </w:p>
        </w:tc>
        <w:tc>
          <w:tcPr>
            <w:tcW w:w="1752" w:type="pct"/>
            <w:vAlign w:val="center"/>
          </w:tcPr>
          <w:p w14:paraId="732B3E7E"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增配</w:t>
            </w:r>
            <w:r w:rsidRPr="00B12FE0">
              <w:rPr>
                <w:snapToGrid w:val="0"/>
                <w:color w:val="000000" w:themeColor="text1"/>
                <w:kern w:val="0"/>
                <w:sz w:val="21"/>
                <w:szCs w:val="21"/>
              </w:rPr>
              <w:t>1</w:t>
            </w:r>
            <w:r w:rsidRPr="00B12FE0">
              <w:rPr>
                <w:snapToGrid w:val="0"/>
                <w:color w:val="000000" w:themeColor="text1"/>
                <w:kern w:val="0"/>
                <w:sz w:val="21"/>
                <w:szCs w:val="21"/>
              </w:rPr>
              <w:t>台</w:t>
            </w:r>
          </w:p>
        </w:tc>
      </w:tr>
      <w:tr w:rsidR="00A67F21" w:rsidRPr="00B12FE0" w14:paraId="5F340FAF" w14:textId="77777777">
        <w:trPr>
          <w:trHeight w:val="340"/>
          <w:jc w:val="center"/>
        </w:trPr>
        <w:tc>
          <w:tcPr>
            <w:tcW w:w="901" w:type="pct"/>
            <w:vMerge/>
            <w:tcBorders>
              <w:right w:val="single" w:sz="4" w:space="0" w:color="auto"/>
            </w:tcBorders>
            <w:vAlign w:val="center"/>
          </w:tcPr>
          <w:p w14:paraId="4C513A4B"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63361FB8"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2E6BB2D5"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便携式</w:t>
            </w:r>
            <w:r w:rsidRPr="00B12FE0">
              <w:rPr>
                <w:snapToGrid w:val="0"/>
                <w:color w:val="000000" w:themeColor="text1"/>
                <w:sz w:val="21"/>
                <w:szCs w:val="21"/>
              </w:rPr>
              <w:t>X-γ</w:t>
            </w:r>
            <w:r w:rsidRPr="00B12FE0">
              <w:rPr>
                <w:snapToGrid w:val="0"/>
                <w:color w:val="000000" w:themeColor="text1"/>
                <w:sz w:val="21"/>
                <w:szCs w:val="21"/>
              </w:rPr>
              <w:t>射线巡测仪</w:t>
            </w:r>
          </w:p>
        </w:tc>
        <w:tc>
          <w:tcPr>
            <w:tcW w:w="1752" w:type="pct"/>
            <w:vAlign w:val="center"/>
          </w:tcPr>
          <w:p w14:paraId="74B858D0"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与核医学科共用</w:t>
            </w:r>
          </w:p>
        </w:tc>
      </w:tr>
      <w:tr w:rsidR="00A67F21" w:rsidRPr="00B12FE0" w14:paraId="763CA1AE" w14:textId="77777777">
        <w:trPr>
          <w:trHeight w:val="340"/>
          <w:jc w:val="center"/>
        </w:trPr>
        <w:tc>
          <w:tcPr>
            <w:tcW w:w="901" w:type="pct"/>
            <w:vMerge/>
            <w:tcBorders>
              <w:right w:val="single" w:sz="4" w:space="0" w:color="auto"/>
            </w:tcBorders>
            <w:vAlign w:val="center"/>
          </w:tcPr>
          <w:p w14:paraId="6B4A8A9B"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val="restart"/>
            <w:tcBorders>
              <w:left w:val="single" w:sz="4" w:space="0" w:color="auto"/>
            </w:tcBorders>
            <w:vAlign w:val="center"/>
          </w:tcPr>
          <w:p w14:paraId="25B45AF0"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核素治疗场所</w:t>
            </w:r>
          </w:p>
        </w:tc>
        <w:tc>
          <w:tcPr>
            <w:tcW w:w="1458" w:type="pct"/>
            <w:vAlign w:val="center"/>
          </w:tcPr>
          <w:p w14:paraId="13118221"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α/β</w:t>
            </w:r>
            <w:r w:rsidRPr="00B12FE0">
              <w:rPr>
                <w:snapToGrid w:val="0"/>
                <w:color w:val="000000" w:themeColor="text1"/>
                <w:kern w:val="0"/>
                <w:sz w:val="21"/>
                <w:szCs w:val="21"/>
              </w:rPr>
              <w:t>表面污染监测仪</w:t>
            </w:r>
          </w:p>
        </w:tc>
        <w:tc>
          <w:tcPr>
            <w:tcW w:w="1752" w:type="pct"/>
            <w:vAlign w:val="center"/>
          </w:tcPr>
          <w:p w14:paraId="21B9F6C5"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增配</w:t>
            </w:r>
            <w:r w:rsidRPr="00B12FE0">
              <w:rPr>
                <w:snapToGrid w:val="0"/>
                <w:color w:val="000000" w:themeColor="text1"/>
                <w:kern w:val="0"/>
                <w:sz w:val="21"/>
                <w:szCs w:val="21"/>
              </w:rPr>
              <w:t>1</w:t>
            </w:r>
            <w:r w:rsidRPr="00B12FE0">
              <w:rPr>
                <w:snapToGrid w:val="0"/>
                <w:color w:val="000000" w:themeColor="text1"/>
                <w:kern w:val="0"/>
                <w:sz w:val="21"/>
                <w:szCs w:val="21"/>
              </w:rPr>
              <w:t>台</w:t>
            </w:r>
          </w:p>
        </w:tc>
      </w:tr>
      <w:tr w:rsidR="00A67F21" w:rsidRPr="00B12FE0" w14:paraId="6F98BAA4" w14:textId="77777777">
        <w:trPr>
          <w:trHeight w:val="340"/>
          <w:jc w:val="center"/>
        </w:trPr>
        <w:tc>
          <w:tcPr>
            <w:tcW w:w="901" w:type="pct"/>
            <w:vMerge/>
            <w:tcBorders>
              <w:right w:val="single" w:sz="4" w:space="0" w:color="auto"/>
            </w:tcBorders>
            <w:vAlign w:val="center"/>
          </w:tcPr>
          <w:p w14:paraId="0F13804F"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7A2DFFFB"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51C2439B"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便携式</w:t>
            </w:r>
            <w:r w:rsidRPr="00B12FE0">
              <w:rPr>
                <w:snapToGrid w:val="0"/>
                <w:color w:val="000000" w:themeColor="text1"/>
                <w:sz w:val="21"/>
                <w:szCs w:val="21"/>
              </w:rPr>
              <w:t>X-γ</w:t>
            </w:r>
            <w:r w:rsidRPr="00B12FE0">
              <w:rPr>
                <w:snapToGrid w:val="0"/>
                <w:color w:val="000000" w:themeColor="text1"/>
                <w:sz w:val="21"/>
                <w:szCs w:val="21"/>
              </w:rPr>
              <w:t>射线巡测仪</w:t>
            </w:r>
          </w:p>
        </w:tc>
        <w:tc>
          <w:tcPr>
            <w:tcW w:w="1752" w:type="pct"/>
            <w:vAlign w:val="center"/>
          </w:tcPr>
          <w:p w14:paraId="24A8823A"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核医学科共用</w:t>
            </w:r>
          </w:p>
        </w:tc>
      </w:tr>
      <w:tr w:rsidR="00A67F21" w:rsidRPr="00B12FE0" w14:paraId="2255DEBC" w14:textId="77777777">
        <w:trPr>
          <w:trHeight w:val="340"/>
          <w:jc w:val="center"/>
        </w:trPr>
        <w:tc>
          <w:tcPr>
            <w:tcW w:w="901" w:type="pct"/>
            <w:vMerge/>
            <w:tcBorders>
              <w:right w:val="single" w:sz="4" w:space="0" w:color="auto"/>
            </w:tcBorders>
            <w:vAlign w:val="center"/>
          </w:tcPr>
          <w:p w14:paraId="513D2209"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314F81DF"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5236103E"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kern w:val="0"/>
                <w:sz w:val="21"/>
                <w:szCs w:val="21"/>
              </w:rPr>
              <w:t>固定式剂量监测仪</w:t>
            </w:r>
          </w:p>
        </w:tc>
        <w:tc>
          <w:tcPr>
            <w:tcW w:w="1752" w:type="pct"/>
            <w:vAlign w:val="center"/>
          </w:tcPr>
          <w:p w14:paraId="7F19F841"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患者出口处安装</w:t>
            </w:r>
            <w:r w:rsidRPr="00B12FE0">
              <w:rPr>
                <w:snapToGrid w:val="0"/>
                <w:color w:val="000000" w:themeColor="text1"/>
                <w:kern w:val="0"/>
                <w:sz w:val="21"/>
                <w:szCs w:val="21"/>
              </w:rPr>
              <w:t>1</w:t>
            </w:r>
            <w:r w:rsidRPr="00B12FE0">
              <w:rPr>
                <w:snapToGrid w:val="0"/>
                <w:color w:val="000000" w:themeColor="text1"/>
                <w:kern w:val="0"/>
                <w:sz w:val="21"/>
                <w:szCs w:val="21"/>
              </w:rPr>
              <w:t>台</w:t>
            </w:r>
          </w:p>
        </w:tc>
      </w:tr>
      <w:tr w:rsidR="00A67F21" w:rsidRPr="00B12FE0" w14:paraId="49B12C19" w14:textId="77777777">
        <w:trPr>
          <w:trHeight w:val="340"/>
          <w:jc w:val="center"/>
        </w:trPr>
        <w:tc>
          <w:tcPr>
            <w:tcW w:w="901" w:type="pct"/>
            <w:vMerge w:val="restart"/>
            <w:tcBorders>
              <w:right w:val="single" w:sz="4" w:space="0" w:color="auto"/>
            </w:tcBorders>
            <w:vAlign w:val="center"/>
          </w:tcPr>
          <w:p w14:paraId="534E955B"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放疗科</w:t>
            </w:r>
          </w:p>
        </w:tc>
        <w:tc>
          <w:tcPr>
            <w:tcW w:w="889" w:type="pct"/>
            <w:vMerge w:val="restart"/>
            <w:tcBorders>
              <w:left w:val="single" w:sz="4" w:space="0" w:color="auto"/>
            </w:tcBorders>
            <w:vAlign w:val="center"/>
          </w:tcPr>
          <w:p w14:paraId="08C4B3B5"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直线加速器机房</w:t>
            </w:r>
          </w:p>
        </w:tc>
        <w:tc>
          <w:tcPr>
            <w:tcW w:w="1458" w:type="pct"/>
            <w:vAlign w:val="center"/>
          </w:tcPr>
          <w:p w14:paraId="7D2ECC97"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便携式</w:t>
            </w:r>
            <w:r w:rsidRPr="00B12FE0">
              <w:rPr>
                <w:snapToGrid w:val="0"/>
                <w:color w:val="000000" w:themeColor="text1"/>
                <w:sz w:val="21"/>
                <w:szCs w:val="21"/>
              </w:rPr>
              <w:t>X-γ</w:t>
            </w:r>
            <w:r w:rsidRPr="00B12FE0">
              <w:rPr>
                <w:snapToGrid w:val="0"/>
                <w:color w:val="000000" w:themeColor="text1"/>
                <w:sz w:val="21"/>
                <w:szCs w:val="21"/>
              </w:rPr>
              <w:t>射线巡测仪</w:t>
            </w:r>
          </w:p>
        </w:tc>
        <w:tc>
          <w:tcPr>
            <w:tcW w:w="1752" w:type="pct"/>
            <w:vAlign w:val="center"/>
          </w:tcPr>
          <w:p w14:paraId="076BB2A6" w14:textId="77777777" w:rsidR="00A67F21" w:rsidRPr="00B12FE0" w:rsidRDefault="00000000">
            <w:pPr>
              <w:topLinePunct/>
              <w:adjustRightInd w:val="0"/>
              <w:snapToGrid w:val="0"/>
              <w:jc w:val="center"/>
              <w:rPr>
                <w:snapToGrid w:val="0"/>
                <w:color w:val="000000" w:themeColor="text1"/>
                <w:kern w:val="0"/>
                <w:sz w:val="21"/>
                <w:szCs w:val="21"/>
              </w:rPr>
            </w:pPr>
            <w:r w:rsidRPr="00B12FE0">
              <w:rPr>
                <w:rFonts w:hAnsi="宋体" w:cs="宋体" w:hint="eastAsia"/>
                <w:color w:val="000000" w:themeColor="text1"/>
                <w:kern w:val="0"/>
                <w:sz w:val="21"/>
                <w:szCs w:val="21"/>
              </w:rPr>
              <w:t>配置</w:t>
            </w:r>
            <w:r w:rsidRPr="00B12FE0">
              <w:rPr>
                <w:rFonts w:hAnsi="宋体" w:cs="宋体"/>
                <w:color w:val="000000" w:themeColor="text1"/>
                <w:kern w:val="0"/>
                <w:sz w:val="21"/>
                <w:szCs w:val="21"/>
              </w:rPr>
              <w:t>1</w:t>
            </w:r>
            <w:r w:rsidRPr="00B12FE0">
              <w:rPr>
                <w:rFonts w:hAnsi="宋体" w:cs="宋体" w:hint="eastAsia"/>
                <w:color w:val="000000" w:themeColor="text1"/>
                <w:kern w:val="0"/>
                <w:sz w:val="21"/>
                <w:szCs w:val="21"/>
              </w:rPr>
              <w:t>台</w:t>
            </w:r>
          </w:p>
        </w:tc>
      </w:tr>
      <w:tr w:rsidR="00A67F21" w:rsidRPr="00B12FE0" w14:paraId="477B593E" w14:textId="77777777">
        <w:trPr>
          <w:trHeight w:val="340"/>
          <w:jc w:val="center"/>
        </w:trPr>
        <w:tc>
          <w:tcPr>
            <w:tcW w:w="901" w:type="pct"/>
            <w:vMerge/>
            <w:tcBorders>
              <w:right w:val="single" w:sz="4" w:space="0" w:color="auto"/>
            </w:tcBorders>
            <w:vAlign w:val="center"/>
          </w:tcPr>
          <w:p w14:paraId="2CF591DA"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63E918B5"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0065C0A8"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sz w:val="21"/>
                <w:szCs w:val="21"/>
              </w:rPr>
              <w:t>中子剂量仪</w:t>
            </w:r>
          </w:p>
        </w:tc>
        <w:tc>
          <w:tcPr>
            <w:tcW w:w="1752" w:type="pct"/>
            <w:vAlign w:val="center"/>
          </w:tcPr>
          <w:p w14:paraId="5A9CABE5" w14:textId="77777777" w:rsidR="00A67F21" w:rsidRPr="00B12FE0" w:rsidRDefault="00000000">
            <w:pPr>
              <w:topLinePunct/>
              <w:adjustRightInd w:val="0"/>
              <w:snapToGrid w:val="0"/>
              <w:jc w:val="center"/>
              <w:rPr>
                <w:snapToGrid w:val="0"/>
                <w:color w:val="000000" w:themeColor="text1"/>
                <w:kern w:val="0"/>
                <w:sz w:val="21"/>
                <w:szCs w:val="21"/>
              </w:rPr>
            </w:pPr>
            <w:r w:rsidRPr="00B12FE0">
              <w:rPr>
                <w:rFonts w:hAnsi="宋体" w:cs="宋体" w:hint="eastAsia"/>
                <w:color w:val="000000" w:themeColor="text1"/>
                <w:kern w:val="0"/>
                <w:sz w:val="21"/>
                <w:szCs w:val="21"/>
              </w:rPr>
              <w:t>配置</w:t>
            </w:r>
            <w:r w:rsidRPr="00B12FE0">
              <w:rPr>
                <w:rFonts w:hAnsi="宋体" w:cs="宋体"/>
                <w:color w:val="000000" w:themeColor="text1"/>
                <w:kern w:val="0"/>
                <w:sz w:val="21"/>
                <w:szCs w:val="21"/>
              </w:rPr>
              <w:t>1</w:t>
            </w:r>
            <w:r w:rsidRPr="00B12FE0">
              <w:rPr>
                <w:rFonts w:hAnsi="宋体" w:cs="宋体" w:hint="eastAsia"/>
                <w:color w:val="000000" w:themeColor="text1"/>
                <w:kern w:val="0"/>
                <w:sz w:val="21"/>
                <w:szCs w:val="21"/>
              </w:rPr>
              <w:t>台</w:t>
            </w:r>
          </w:p>
        </w:tc>
      </w:tr>
      <w:tr w:rsidR="00A67F21" w:rsidRPr="00B12FE0" w14:paraId="5005F344" w14:textId="77777777">
        <w:trPr>
          <w:trHeight w:val="340"/>
          <w:jc w:val="center"/>
        </w:trPr>
        <w:tc>
          <w:tcPr>
            <w:tcW w:w="901" w:type="pct"/>
            <w:vMerge/>
            <w:tcBorders>
              <w:right w:val="single" w:sz="4" w:space="0" w:color="auto"/>
            </w:tcBorders>
            <w:vAlign w:val="center"/>
          </w:tcPr>
          <w:p w14:paraId="621B7AB6"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533F7421"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4456F1ED" w14:textId="77777777" w:rsidR="00A67F21" w:rsidRPr="00B12FE0" w:rsidRDefault="00000000">
            <w:pPr>
              <w:topLinePunct/>
              <w:adjustRightInd w:val="0"/>
              <w:snapToGrid w:val="0"/>
              <w:jc w:val="center"/>
              <w:rPr>
                <w:snapToGrid w:val="0"/>
                <w:color w:val="000000" w:themeColor="text1"/>
                <w:sz w:val="21"/>
                <w:szCs w:val="21"/>
              </w:rPr>
            </w:pPr>
            <w:r w:rsidRPr="00B12FE0">
              <w:rPr>
                <w:snapToGrid w:val="0"/>
                <w:color w:val="000000" w:themeColor="text1"/>
                <w:kern w:val="0"/>
                <w:sz w:val="21"/>
                <w:szCs w:val="21"/>
              </w:rPr>
              <w:t>固定式剂量报警装置</w:t>
            </w:r>
          </w:p>
        </w:tc>
        <w:tc>
          <w:tcPr>
            <w:tcW w:w="1752" w:type="pct"/>
            <w:vAlign w:val="center"/>
          </w:tcPr>
          <w:p w14:paraId="568BE611"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机房内各安装</w:t>
            </w:r>
            <w:r w:rsidRPr="00B12FE0">
              <w:rPr>
                <w:snapToGrid w:val="0"/>
                <w:color w:val="000000" w:themeColor="text1"/>
                <w:kern w:val="0"/>
                <w:sz w:val="21"/>
                <w:szCs w:val="21"/>
              </w:rPr>
              <w:t>1</w:t>
            </w:r>
            <w:r w:rsidRPr="00B12FE0">
              <w:rPr>
                <w:snapToGrid w:val="0"/>
                <w:color w:val="000000" w:themeColor="text1"/>
                <w:kern w:val="0"/>
                <w:sz w:val="21"/>
                <w:szCs w:val="21"/>
              </w:rPr>
              <w:t>台</w:t>
            </w:r>
          </w:p>
        </w:tc>
      </w:tr>
      <w:tr w:rsidR="00A67F21" w:rsidRPr="00B12FE0" w14:paraId="5CCB2FA4" w14:textId="77777777">
        <w:trPr>
          <w:trHeight w:val="340"/>
          <w:jc w:val="center"/>
        </w:trPr>
        <w:tc>
          <w:tcPr>
            <w:tcW w:w="901" w:type="pct"/>
            <w:vMerge/>
            <w:tcBorders>
              <w:right w:val="single" w:sz="4" w:space="0" w:color="auto"/>
            </w:tcBorders>
            <w:vAlign w:val="center"/>
          </w:tcPr>
          <w:p w14:paraId="0F52506C"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val="restart"/>
            <w:tcBorders>
              <w:left w:val="single" w:sz="4" w:space="0" w:color="auto"/>
            </w:tcBorders>
            <w:vAlign w:val="center"/>
          </w:tcPr>
          <w:p w14:paraId="63E3F51B" w14:textId="77777777" w:rsidR="00A67F21" w:rsidRPr="00B12FE0" w:rsidRDefault="00000000">
            <w:pPr>
              <w:topLinePunct/>
              <w:adjustRightInd w:val="0"/>
              <w:snapToGrid w:val="0"/>
              <w:jc w:val="center"/>
              <w:rPr>
                <w:snapToGrid w:val="0"/>
                <w:color w:val="000000" w:themeColor="text1"/>
                <w:kern w:val="0"/>
                <w:sz w:val="21"/>
                <w:szCs w:val="21"/>
              </w:rPr>
            </w:pPr>
            <w:r w:rsidRPr="00B12FE0">
              <w:rPr>
                <w:rFonts w:hint="eastAsia"/>
                <w:snapToGrid w:val="0"/>
                <w:color w:val="000000" w:themeColor="text1"/>
                <w:kern w:val="0"/>
                <w:sz w:val="21"/>
                <w:szCs w:val="21"/>
              </w:rPr>
              <w:t>后装机机房</w:t>
            </w:r>
          </w:p>
        </w:tc>
        <w:tc>
          <w:tcPr>
            <w:tcW w:w="1458" w:type="pct"/>
            <w:vAlign w:val="center"/>
          </w:tcPr>
          <w:p w14:paraId="3B3EFDA7"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sz w:val="21"/>
                <w:szCs w:val="21"/>
              </w:rPr>
              <w:t>便携式</w:t>
            </w:r>
            <w:r w:rsidRPr="00B12FE0">
              <w:rPr>
                <w:snapToGrid w:val="0"/>
                <w:color w:val="000000" w:themeColor="text1"/>
                <w:sz w:val="21"/>
                <w:szCs w:val="21"/>
              </w:rPr>
              <w:t>X-γ</w:t>
            </w:r>
            <w:r w:rsidRPr="00B12FE0">
              <w:rPr>
                <w:snapToGrid w:val="0"/>
                <w:color w:val="000000" w:themeColor="text1"/>
                <w:sz w:val="21"/>
                <w:szCs w:val="21"/>
              </w:rPr>
              <w:t>射线巡测仪</w:t>
            </w:r>
          </w:p>
        </w:tc>
        <w:tc>
          <w:tcPr>
            <w:tcW w:w="1752" w:type="pct"/>
            <w:vAlign w:val="center"/>
          </w:tcPr>
          <w:p w14:paraId="7A95B845"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放疗科共用</w:t>
            </w:r>
            <w:r w:rsidRPr="00B12FE0">
              <w:rPr>
                <w:snapToGrid w:val="0"/>
                <w:color w:val="000000" w:themeColor="text1"/>
                <w:kern w:val="0"/>
                <w:sz w:val="21"/>
                <w:szCs w:val="21"/>
              </w:rPr>
              <w:t>1</w:t>
            </w:r>
            <w:r w:rsidRPr="00B12FE0">
              <w:rPr>
                <w:snapToGrid w:val="0"/>
                <w:color w:val="000000" w:themeColor="text1"/>
                <w:kern w:val="0"/>
                <w:sz w:val="21"/>
                <w:szCs w:val="21"/>
              </w:rPr>
              <w:t>台</w:t>
            </w:r>
          </w:p>
        </w:tc>
      </w:tr>
      <w:tr w:rsidR="00A67F21" w:rsidRPr="00B12FE0" w14:paraId="68A26611" w14:textId="77777777">
        <w:trPr>
          <w:trHeight w:val="340"/>
          <w:jc w:val="center"/>
        </w:trPr>
        <w:tc>
          <w:tcPr>
            <w:tcW w:w="901" w:type="pct"/>
            <w:vMerge/>
            <w:tcBorders>
              <w:right w:val="single" w:sz="4" w:space="0" w:color="auto"/>
            </w:tcBorders>
            <w:vAlign w:val="center"/>
          </w:tcPr>
          <w:p w14:paraId="79EF9B17"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Merge/>
            <w:tcBorders>
              <w:left w:val="single" w:sz="4" w:space="0" w:color="auto"/>
            </w:tcBorders>
            <w:vAlign w:val="center"/>
          </w:tcPr>
          <w:p w14:paraId="781DAC80" w14:textId="77777777" w:rsidR="00A67F21" w:rsidRPr="00B12FE0" w:rsidRDefault="00A67F21">
            <w:pPr>
              <w:topLinePunct/>
              <w:adjustRightInd w:val="0"/>
              <w:snapToGrid w:val="0"/>
              <w:jc w:val="center"/>
              <w:rPr>
                <w:snapToGrid w:val="0"/>
                <w:color w:val="000000" w:themeColor="text1"/>
                <w:kern w:val="0"/>
                <w:sz w:val="21"/>
                <w:szCs w:val="21"/>
              </w:rPr>
            </w:pPr>
          </w:p>
        </w:tc>
        <w:tc>
          <w:tcPr>
            <w:tcW w:w="1458" w:type="pct"/>
            <w:vAlign w:val="center"/>
          </w:tcPr>
          <w:p w14:paraId="256FA11D"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固定式剂量报警装置</w:t>
            </w:r>
          </w:p>
        </w:tc>
        <w:tc>
          <w:tcPr>
            <w:tcW w:w="1752" w:type="pct"/>
            <w:vAlign w:val="center"/>
          </w:tcPr>
          <w:p w14:paraId="46849DB1" w14:textId="77777777" w:rsidR="00A67F21" w:rsidRPr="00B12FE0" w:rsidRDefault="00000000">
            <w:pPr>
              <w:topLinePunct/>
              <w:adjustRightInd w:val="0"/>
              <w:snapToGrid w:val="0"/>
              <w:jc w:val="center"/>
              <w:rPr>
                <w:snapToGrid w:val="0"/>
                <w:color w:val="000000" w:themeColor="text1"/>
                <w:kern w:val="0"/>
                <w:sz w:val="21"/>
                <w:szCs w:val="21"/>
              </w:rPr>
            </w:pPr>
            <w:r w:rsidRPr="00B12FE0">
              <w:rPr>
                <w:rFonts w:hAnsi="宋体" w:cs="宋体" w:hint="eastAsia"/>
                <w:color w:val="000000" w:themeColor="text1"/>
                <w:kern w:val="0"/>
                <w:sz w:val="21"/>
                <w:szCs w:val="21"/>
              </w:rPr>
              <w:t>配置</w:t>
            </w:r>
            <w:r w:rsidRPr="00B12FE0">
              <w:rPr>
                <w:rFonts w:hAnsi="宋体" w:cs="宋体"/>
                <w:color w:val="000000" w:themeColor="text1"/>
                <w:kern w:val="0"/>
                <w:sz w:val="21"/>
                <w:szCs w:val="21"/>
              </w:rPr>
              <w:t>1</w:t>
            </w:r>
            <w:r w:rsidRPr="00B12FE0">
              <w:rPr>
                <w:rFonts w:hAnsi="宋体" w:cs="宋体" w:hint="eastAsia"/>
                <w:color w:val="000000" w:themeColor="text1"/>
                <w:kern w:val="0"/>
                <w:sz w:val="21"/>
                <w:szCs w:val="21"/>
              </w:rPr>
              <w:t>台</w:t>
            </w:r>
          </w:p>
        </w:tc>
      </w:tr>
      <w:tr w:rsidR="00A67F21" w:rsidRPr="00B12FE0" w14:paraId="0305042C" w14:textId="77777777">
        <w:trPr>
          <w:trHeight w:val="340"/>
          <w:jc w:val="center"/>
        </w:trPr>
        <w:tc>
          <w:tcPr>
            <w:tcW w:w="901" w:type="pct"/>
            <w:vMerge/>
            <w:tcBorders>
              <w:right w:val="single" w:sz="4" w:space="0" w:color="auto"/>
            </w:tcBorders>
            <w:vAlign w:val="center"/>
          </w:tcPr>
          <w:p w14:paraId="3932810E" w14:textId="77777777" w:rsidR="00A67F21" w:rsidRPr="00B12FE0" w:rsidRDefault="00A67F21">
            <w:pPr>
              <w:topLinePunct/>
              <w:adjustRightInd w:val="0"/>
              <w:snapToGrid w:val="0"/>
              <w:jc w:val="center"/>
              <w:rPr>
                <w:snapToGrid w:val="0"/>
                <w:color w:val="000000" w:themeColor="text1"/>
                <w:kern w:val="0"/>
                <w:sz w:val="21"/>
                <w:szCs w:val="21"/>
              </w:rPr>
            </w:pPr>
          </w:p>
        </w:tc>
        <w:tc>
          <w:tcPr>
            <w:tcW w:w="889" w:type="pct"/>
            <w:vAlign w:val="center"/>
          </w:tcPr>
          <w:p w14:paraId="618DB89F" w14:textId="77777777" w:rsidR="00A67F21" w:rsidRPr="00B12FE0" w:rsidRDefault="00000000">
            <w:pPr>
              <w:topLinePunct/>
              <w:adjustRightInd w:val="0"/>
              <w:snapToGrid w:val="0"/>
              <w:jc w:val="center"/>
              <w:rPr>
                <w:snapToGrid w:val="0"/>
                <w:color w:val="000000" w:themeColor="text1"/>
                <w:kern w:val="0"/>
                <w:sz w:val="21"/>
                <w:szCs w:val="21"/>
              </w:rPr>
            </w:pPr>
            <w:r w:rsidRPr="00B12FE0">
              <w:rPr>
                <w:rFonts w:hAnsi="宋体" w:cs="宋体" w:hint="eastAsia"/>
                <w:color w:val="000000" w:themeColor="text1"/>
                <w:kern w:val="0"/>
                <w:sz w:val="21"/>
                <w:szCs w:val="21"/>
              </w:rPr>
              <w:t>模拟定位</w:t>
            </w:r>
            <w:r w:rsidRPr="00B12FE0">
              <w:rPr>
                <w:rFonts w:hAnsi="宋体" w:cs="宋体" w:hint="eastAsia"/>
                <w:color w:val="000000" w:themeColor="text1"/>
                <w:kern w:val="0"/>
                <w:sz w:val="21"/>
                <w:szCs w:val="21"/>
              </w:rPr>
              <w:t>CT</w:t>
            </w:r>
          </w:p>
        </w:tc>
        <w:tc>
          <w:tcPr>
            <w:tcW w:w="1458" w:type="pct"/>
            <w:vAlign w:val="center"/>
          </w:tcPr>
          <w:p w14:paraId="14F090FE" w14:textId="77777777" w:rsidR="00A67F21" w:rsidRPr="00B12FE0" w:rsidRDefault="00000000">
            <w:pPr>
              <w:topLinePunct/>
              <w:adjustRightInd w:val="0"/>
              <w:snapToGrid w:val="0"/>
              <w:jc w:val="center"/>
              <w:rPr>
                <w:snapToGrid w:val="0"/>
                <w:color w:val="000000" w:themeColor="text1"/>
                <w:kern w:val="0"/>
                <w:sz w:val="21"/>
                <w:szCs w:val="21"/>
              </w:rPr>
            </w:pPr>
            <w:r w:rsidRPr="00B12FE0">
              <w:rPr>
                <w:rFonts w:cs="宋体"/>
                <w:color w:val="000000" w:themeColor="text1"/>
                <w:sz w:val="21"/>
                <w:szCs w:val="21"/>
              </w:rPr>
              <w:t>便携式</w:t>
            </w:r>
            <w:r w:rsidRPr="00B12FE0">
              <w:rPr>
                <w:rFonts w:cs="宋体"/>
                <w:color w:val="000000" w:themeColor="text1"/>
                <w:sz w:val="21"/>
                <w:szCs w:val="21"/>
              </w:rPr>
              <w:t>X-γ</w:t>
            </w:r>
            <w:r w:rsidRPr="00B12FE0">
              <w:rPr>
                <w:rFonts w:cs="宋体"/>
                <w:color w:val="000000" w:themeColor="text1"/>
                <w:sz w:val="21"/>
                <w:szCs w:val="21"/>
              </w:rPr>
              <w:t>射线巡测仪</w:t>
            </w:r>
          </w:p>
        </w:tc>
        <w:tc>
          <w:tcPr>
            <w:tcW w:w="1752" w:type="pct"/>
            <w:vAlign w:val="center"/>
          </w:tcPr>
          <w:p w14:paraId="6BF722F5" w14:textId="77777777" w:rsidR="00A67F21" w:rsidRPr="00B12FE0" w:rsidRDefault="00000000">
            <w:pPr>
              <w:topLinePunct/>
              <w:adjustRightInd w:val="0"/>
              <w:snapToGrid w:val="0"/>
              <w:jc w:val="center"/>
              <w:rPr>
                <w:snapToGrid w:val="0"/>
                <w:color w:val="000000" w:themeColor="text1"/>
                <w:kern w:val="0"/>
                <w:sz w:val="21"/>
                <w:szCs w:val="21"/>
              </w:rPr>
            </w:pPr>
            <w:r w:rsidRPr="00B12FE0">
              <w:rPr>
                <w:snapToGrid w:val="0"/>
                <w:color w:val="000000" w:themeColor="text1"/>
                <w:kern w:val="0"/>
                <w:sz w:val="21"/>
                <w:szCs w:val="21"/>
              </w:rPr>
              <w:t>放疗科共用</w:t>
            </w:r>
            <w:r w:rsidRPr="00B12FE0">
              <w:rPr>
                <w:snapToGrid w:val="0"/>
                <w:color w:val="000000" w:themeColor="text1"/>
                <w:kern w:val="0"/>
                <w:sz w:val="21"/>
                <w:szCs w:val="21"/>
              </w:rPr>
              <w:t>1</w:t>
            </w:r>
            <w:r w:rsidRPr="00B12FE0">
              <w:rPr>
                <w:snapToGrid w:val="0"/>
                <w:color w:val="000000" w:themeColor="text1"/>
                <w:kern w:val="0"/>
                <w:sz w:val="21"/>
                <w:szCs w:val="21"/>
              </w:rPr>
              <w:t>台</w:t>
            </w:r>
          </w:p>
        </w:tc>
      </w:tr>
    </w:tbl>
    <w:p w14:paraId="727DC680" w14:textId="77777777" w:rsidR="00A67F21" w:rsidRPr="00B12FE0" w:rsidRDefault="00000000">
      <w:pPr>
        <w:spacing w:line="360" w:lineRule="auto"/>
        <w:ind w:firstLineChars="200" w:firstLine="480"/>
        <w:rPr>
          <w:color w:val="000000" w:themeColor="text1"/>
        </w:rPr>
      </w:pPr>
      <w:r w:rsidRPr="00B12FE0">
        <w:rPr>
          <w:color w:val="000000" w:themeColor="text1"/>
        </w:rPr>
        <w:t>本项目运行期间主要污染物为</w:t>
      </w:r>
      <w:r w:rsidRPr="00B12FE0">
        <w:rPr>
          <w:color w:val="000000" w:themeColor="text1"/>
        </w:rPr>
        <w:t>X</w:t>
      </w:r>
      <w:r w:rsidRPr="00B12FE0">
        <w:rPr>
          <w:color w:val="000000" w:themeColor="text1"/>
        </w:rPr>
        <w:t>射线</w:t>
      </w:r>
      <w:r w:rsidRPr="00B12FE0">
        <w:rPr>
          <w:rFonts w:hint="eastAsia"/>
          <w:color w:val="000000" w:themeColor="text1"/>
        </w:rPr>
        <w:t>、</w:t>
      </w:r>
      <w:r w:rsidRPr="00B12FE0">
        <w:rPr>
          <w:color w:val="000000" w:themeColor="text1"/>
        </w:rPr>
        <w:t>γ</w:t>
      </w:r>
      <w:r w:rsidRPr="00B12FE0">
        <w:rPr>
          <w:color w:val="000000" w:themeColor="text1"/>
        </w:rPr>
        <w:t>射线、</w:t>
      </w:r>
      <w:r w:rsidRPr="00B12FE0">
        <w:rPr>
          <w:color w:val="000000" w:themeColor="text1"/>
        </w:rPr>
        <w:t>β</w:t>
      </w:r>
      <w:r w:rsidRPr="00B12FE0">
        <w:rPr>
          <w:color w:val="000000" w:themeColor="text1"/>
        </w:rPr>
        <w:t>表面污染、中子剂量外照射等，根据项目特点，医院共拟</w:t>
      </w:r>
      <w:r w:rsidRPr="00B12FE0">
        <w:rPr>
          <w:rFonts w:hint="eastAsia"/>
          <w:color w:val="000000" w:themeColor="text1"/>
        </w:rPr>
        <w:t>增配便携式</w:t>
      </w:r>
      <w:r w:rsidRPr="00B12FE0">
        <w:rPr>
          <w:rFonts w:hint="eastAsia"/>
          <w:color w:val="000000" w:themeColor="text1"/>
        </w:rPr>
        <w:t>X-</w:t>
      </w:r>
      <w:r w:rsidRPr="00B12FE0">
        <w:rPr>
          <w:rFonts w:hint="eastAsia"/>
          <w:color w:val="000000" w:themeColor="text1"/>
        </w:rPr>
        <w:t>γ辐射剂量率巡测仪</w:t>
      </w:r>
      <w:r w:rsidRPr="00B12FE0">
        <w:rPr>
          <w:color w:val="000000" w:themeColor="text1"/>
        </w:rPr>
        <w:t>、</w:t>
      </w:r>
      <w:r w:rsidRPr="00B12FE0">
        <w:rPr>
          <w:color w:val="000000" w:themeColor="text1"/>
        </w:rPr>
        <w:t>α/β</w:t>
      </w:r>
      <w:r w:rsidRPr="00B12FE0">
        <w:rPr>
          <w:color w:val="000000" w:themeColor="text1"/>
        </w:rPr>
        <w:t>表面污染仪、</w:t>
      </w:r>
      <w:r w:rsidRPr="00B12FE0">
        <w:rPr>
          <w:rFonts w:hint="eastAsia"/>
          <w:color w:val="000000" w:themeColor="text1"/>
        </w:rPr>
        <w:t>中子剂量监测仪等</w:t>
      </w:r>
      <w:r w:rsidRPr="00B12FE0">
        <w:rPr>
          <w:color w:val="000000" w:themeColor="text1"/>
        </w:rPr>
        <w:t>，项目配备的监测仪器符合《放射性同位素与射线装置安全许可管理办法》对监测仪器的配备要求</w:t>
      </w:r>
      <w:r w:rsidRPr="00B12FE0">
        <w:rPr>
          <w:rFonts w:hint="eastAsia"/>
          <w:color w:val="000000" w:themeColor="text1"/>
        </w:rPr>
        <w:t>，</w:t>
      </w:r>
      <w:r w:rsidRPr="00B12FE0">
        <w:rPr>
          <w:color w:val="000000" w:themeColor="text1"/>
        </w:rPr>
        <w:t>检测仪器定期检定或校准。</w:t>
      </w:r>
    </w:p>
    <w:p w14:paraId="5E351762"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本项目核医学工作场所拟新增配备辐射工作人员共</w:t>
      </w:r>
      <w:r w:rsidRPr="00B12FE0">
        <w:rPr>
          <w:rFonts w:hint="eastAsia"/>
          <w:color w:val="000000" w:themeColor="text1"/>
        </w:rPr>
        <w:t>34</w:t>
      </w:r>
      <w:r w:rsidRPr="00B12FE0">
        <w:rPr>
          <w:rFonts w:hint="eastAsia"/>
          <w:color w:val="000000" w:themeColor="text1"/>
        </w:rPr>
        <w:t>名，放疗科拟新增配备辐射工作人员共</w:t>
      </w:r>
      <w:r w:rsidRPr="00B12FE0">
        <w:rPr>
          <w:rFonts w:hint="eastAsia"/>
          <w:color w:val="000000" w:themeColor="text1"/>
        </w:rPr>
        <w:t>14</w:t>
      </w:r>
      <w:r w:rsidRPr="00B12FE0">
        <w:rPr>
          <w:rFonts w:hint="eastAsia"/>
          <w:color w:val="000000" w:themeColor="text1"/>
        </w:rPr>
        <w:t>名。新增辐射工作人员拟配置</w:t>
      </w:r>
      <w:r w:rsidRPr="00B12FE0">
        <w:rPr>
          <w:color w:val="000000" w:themeColor="text1"/>
        </w:rPr>
        <w:t>个人剂量计，</w:t>
      </w:r>
      <w:r w:rsidRPr="00B12FE0">
        <w:rPr>
          <w:rFonts w:hint="eastAsia"/>
          <w:color w:val="000000" w:themeColor="text1"/>
        </w:rPr>
        <w:t>其中从事核医学分装注射医</w:t>
      </w:r>
      <w:r w:rsidRPr="00B12FE0">
        <w:rPr>
          <w:rFonts w:hint="eastAsia"/>
          <w:color w:val="000000" w:themeColor="text1"/>
        </w:rPr>
        <w:lastRenderedPageBreak/>
        <w:t>护人员拟配置</w:t>
      </w:r>
      <w:proofErr w:type="gramStart"/>
      <w:r w:rsidRPr="00B12FE0">
        <w:rPr>
          <w:color w:val="000000" w:themeColor="text1"/>
        </w:rPr>
        <w:t>双个人</w:t>
      </w:r>
      <w:proofErr w:type="gramEnd"/>
      <w:r w:rsidRPr="00B12FE0">
        <w:rPr>
          <w:color w:val="000000" w:themeColor="text1"/>
        </w:rPr>
        <w:t>剂量计</w:t>
      </w:r>
      <w:r w:rsidRPr="00B12FE0">
        <w:rPr>
          <w:rFonts w:hint="eastAsia"/>
          <w:color w:val="000000" w:themeColor="text1"/>
        </w:rPr>
        <w:t>，</w:t>
      </w:r>
      <w:r w:rsidRPr="00B12FE0">
        <w:rPr>
          <w:color w:val="000000" w:themeColor="text1"/>
        </w:rPr>
        <w:t>工作期间必须正确</w:t>
      </w:r>
      <w:r w:rsidRPr="00B12FE0">
        <w:rPr>
          <w:rFonts w:hint="eastAsia"/>
          <w:color w:val="000000" w:themeColor="text1"/>
        </w:rPr>
        <w:t>佩戴。</w:t>
      </w:r>
    </w:p>
    <w:p w14:paraId="35CEF753" w14:textId="77777777" w:rsidR="00A67F21" w:rsidRPr="00B12FE0" w:rsidRDefault="00000000">
      <w:pPr>
        <w:adjustRightInd w:val="0"/>
        <w:snapToGrid w:val="0"/>
        <w:spacing w:line="360" w:lineRule="auto"/>
        <w:outlineLvl w:val="2"/>
        <w:rPr>
          <w:b/>
          <w:color w:val="000000" w:themeColor="text1"/>
        </w:rPr>
      </w:pPr>
      <w:r w:rsidRPr="00B12FE0">
        <w:rPr>
          <w:b/>
          <w:color w:val="000000" w:themeColor="text1"/>
        </w:rPr>
        <w:t>12.3.2</w:t>
      </w:r>
      <w:r w:rsidRPr="00B12FE0">
        <w:rPr>
          <w:b/>
          <w:color w:val="000000" w:themeColor="text1"/>
        </w:rPr>
        <w:t>监测计划</w:t>
      </w:r>
    </w:p>
    <w:p w14:paraId="5FF2F422" w14:textId="77777777" w:rsidR="00A67F21" w:rsidRPr="00B12FE0" w:rsidRDefault="00000000">
      <w:pPr>
        <w:tabs>
          <w:tab w:val="left" w:pos="1017"/>
        </w:tabs>
        <w:adjustRightInd w:val="0"/>
        <w:snapToGrid w:val="0"/>
        <w:spacing w:line="360" w:lineRule="auto"/>
        <w:ind w:firstLineChars="200" w:firstLine="482"/>
        <w:rPr>
          <w:b/>
          <w:bCs/>
          <w:color w:val="000000" w:themeColor="text1"/>
        </w:rPr>
      </w:pPr>
      <w:r w:rsidRPr="00B12FE0">
        <w:rPr>
          <w:rFonts w:hint="eastAsia"/>
          <w:b/>
          <w:bCs/>
          <w:color w:val="000000" w:themeColor="text1"/>
        </w:rPr>
        <w:t>（</w:t>
      </w:r>
      <w:r w:rsidRPr="00B12FE0">
        <w:rPr>
          <w:rFonts w:hint="eastAsia"/>
          <w:b/>
          <w:bCs/>
          <w:color w:val="000000" w:themeColor="text1"/>
        </w:rPr>
        <w:t>1</w:t>
      </w:r>
      <w:r w:rsidRPr="00B12FE0">
        <w:rPr>
          <w:rFonts w:hint="eastAsia"/>
          <w:b/>
          <w:bCs/>
          <w:color w:val="000000" w:themeColor="text1"/>
        </w:rPr>
        <w:t>）</w:t>
      </w:r>
      <w:r w:rsidRPr="00B12FE0">
        <w:rPr>
          <w:b/>
          <w:bCs/>
          <w:color w:val="000000" w:themeColor="text1"/>
        </w:rPr>
        <w:t>年度监测</w:t>
      </w:r>
    </w:p>
    <w:p w14:paraId="068C930C" w14:textId="77777777" w:rsidR="00A67F21" w:rsidRPr="00B12FE0" w:rsidRDefault="00000000">
      <w:pPr>
        <w:tabs>
          <w:tab w:val="left" w:pos="1017"/>
        </w:tabs>
        <w:adjustRightInd w:val="0"/>
        <w:snapToGrid w:val="0"/>
        <w:spacing w:line="360" w:lineRule="auto"/>
        <w:ind w:firstLineChars="200" w:firstLine="480"/>
        <w:rPr>
          <w:color w:val="000000" w:themeColor="text1"/>
        </w:rPr>
      </w:pPr>
      <w:r w:rsidRPr="00B12FE0">
        <w:rPr>
          <w:rFonts w:hint="eastAsia"/>
          <w:color w:val="000000" w:themeColor="text1"/>
        </w:rPr>
        <w:t>医院已</w:t>
      </w:r>
      <w:r w:rsidRPr="00B12FE0">
        <w:rPr>
          <w:color w:val="000000" w:themeColor="text1"/>
        </w:rPr>
        <w:t>委托有资质的单位对辐射工作场所的剂量进行监测，监测周期为</w:t>
      </w:r>
      <w:r w:rsidRPr="00B12FE0">
        <w:rPr>
          <w:color w:val="000000" w:themeColor="text1"/>
        </w:rPr>
        <w:t>1</w:t>
      </w:r>
      <w:r w:rsidRPr="00B12FE0">
        <w:rPr>
          <w:color w:val="000000" w:themeColor="text1"/>
        </w:rPr>
        <w:t>次</w:t>
      </w:r>
      <w:r w:rsidRPr="00B12FE0">
        <w:rPr>
          <w:color w:val="000000" w:themeColor="text1"/>
        </w:rPr>
        <w:t>/</w:t>
      </w:r>
      <w:r w:rsidRPr="00B12FE0">
        <w:rPr>
          <w:color w:val="000000" w:themeColor="text1"/>
        </w:rPr>
        <w:t>年；年度监测报告应</w:t>
      </w:r>
      <w:r w:rsidRPr="00B12FE0">
        <w:rPr>
          <w:rFonts w:hint="eastAsia"/>
          <w:color w:val="000000" w:themeColor="text1"/>
        </w:rPr>
        <w:t>附于</w:t>
      </w:r>
      <w:r w:rsidRPr="00B12FE0">
        <w:rPr>
          <w:color w:val="000000" w:themeColor="text1"/>
        </w:rPr>
        <w:t>《辐射安全和防护状况年度评估报告》一并提交给发证机关。</w:t>
      </w:r>
    </w:p>
    <w:p w14:paraId="59F1ECE7" w14:textId="77777777" w:rsidR="00A67F21" w:rsidRPr="00B12FE0" w:rsidRDefault="00000000">
      <w:pPr>
        <w:tabs>
          <w:tab w:val="left" w:pos="1017"/>
        </w:tabs>
        <w:adjustRightInd w:val="0"/>
        <w:snapToGrid w:val="0"/>
        <w:spacing w:line="360" w:lineRule="auto"/>
        <w:ind w:firstLineChars="200" w:firstLine="482"/>
        <w:rPr>
          <w:b/>
          <w:bCs/>
          <w:color w:val="000000" w:themeColor="text1"/>
        </w:rPr>
      </w:pPr>
      <w:r w:rsidRPr="00B12FE0">
        <w:rPr>
          <w:rFonts w:hint="eastAsia"/>
          <w:b/>
          <w:bCs/>
          <w:color w:val="000000" w:themeColor="text1"/>
        </w:rPr>
        <w:t>（</w:t>
      </w:r>
      <w:r w:rsidRPr="00B12FE0">
        <w:rPr>
          <w:rFonts w:hint="eastAsia"/>
          <w:b/>
          <w:bCs/>
          <w:color w:val="000000" w:themeColor="text1"/>
        </w:rPr>
        <w:t>2</w:t>
      </w:r>
      <w:r w:rsidRPr="00B12FE0">
        <w:rPr>
          <w:rFonts w:hint="eastAsia"/>
          <w:b/>
          <w:bCs/>
          <w:color w:val="000000" w:themeColor="text1"/>
        </w:rPr>
        <w:t>）</w:t>
      </w:r>
      <w:r w:rsidRPr="00B12FE0">
        <w:rPr>
          <w:b/>
          <w:bCs/>
          <w:color w:val="000000" w:themeColor="text1"/>
        </w:rPr>
        <w:t>日常自行监测</w:t>
      </w:r>
    </w:p>
    <w:p w14:paraId="311A46F1" w14:textId="77777777" w:rsidR="00A67F21" w:rsidRPr="00B12FE0" w:rsidRDefault="00000000">
      <w:pPr>
        <w:tabs>
          <w:tab w:val="left" w:pos="1017"/>
        </w:tabs>
        <w:adjustRightInd w:val="0"/>
        <w:spacing w:line="360" w:lineRule="auto"/>
        <w:ind w:firstLineChars="200" w:firstLine="480"/>
        <w:rPr>
          <w:color w:val="000000" w:themeColor="text1"/>
        </w:rPr>
      </w:pPr>
      <w:r w:rsidRPr="00B12FE0">
        <w:rPr>
          <w:color w:val="000000" w:themeColor="text1"/>
        </w:rPr>
        <w:t>日常工作中，每次工作结束（出现放射性药物洒落应及时进行监测），需使用表面污染监测仪对本项目辐射</w:t>
      </w:r>
      <w:r w:rsidRPr="00B12FE0">
        <w:rPr>
          <w:bCs/>
          <w:color w:val="000000" w:themeColor="text1"/>
        </w:rPr>
        <w:t>工作场所</w:t>
      </w:r>
      <w:r w:rsidRPr="00B12FE0">
        <w:rPr>
          <w:color w:val="000000" w:themeColor="text1"/>
        </w:rPr>
        <w:t>放射性污染情况进行监测，工作人员离开辐射工作场所时，需监测手、皮肤暴露部分以及工作服、手套、鞋、帽等的污染水平，这部分日常监测工作由本项目辐射工作人员自行完成。此外，本项</w:t>
      </w:r>
      <w:r w:rsidRPr="00B12FE0">
        <w:rPr>
          <w:color w:val="000000" w:themeColor="text1"/>
          <w:szCs w:val="24"/>
        </w:rPr>
        <w:t>目辐射</w:t>
      </w:r>
      <w:r w:rsidRPr="00B12FE0">
        <w:rPr>
          <w:bCs/>
          <w:color w:val="000000" w:themeColor="text1"/>
          <w:szCs w:val="24"/>
        </w:rPr>
        <w:t>工作场所</w:t>
      </w:r>
      <w:r w:rsidRPr="00B12FE0">
        <w:rPr>
          <w:rFonts w:hint="eastAsia"/>
          <w:color w:val="000000" w:themeColor="text1"/>
          <w:szCs w:val="24"/>
        </w:rPr>
        <w:t>拟</w:t>
      </w:r>
      <w:r w:rsidRPr="00B12FE0">
        <w:rPr>
          <w:color w:val="000000" w:themeColor="text1"/>
          <w:szCs w:val="24"/>
        </w:rPr>
        <w:t>采用</w:t>
      </w:r>
      <w:r w:rsidRPr="00B12FE0">
        <w:rPr>
          <w:rFonts w:cs="宋体"/>
          <w:color w:val="000000" w:themeColor="text1"/>
          <w:szCs w:val="24"/>
        </w:rPr>
        <w:t>X-γ</w:t>
      </w:r>
      <w:r w:rsidRPr="00B12FE0">
        <w:rPr>
          <w:rFonts w:ascii="宋体" w:hAnsi="宋体" w:cs="宋体" w:hint="eastAsia"/>
          <w:color w:val="000000" w:themeColor="text1"/>
          <w:szCs w:val="24"/>
        </w:rPr>
        <w:t>辐射剂量率</w:t>
      </w:r>
      <w:r w:rsidRPr="00B12FE0">
        <w:rPr>
          <w:rFonts w:ascii="宋体" w:hAnsi="宋体" w:cs="宋体"/>
          <w:color w:val="000000" w:themeColor="text1"/>
          <w:szCs w:val="24"/>
        </w:rPr>
        <w:t>巡测仪</w:t>
      </w:r>
      <w:r w:rsidRPr="00B12FE0">
        <w:rPr>
          <w:color w:val="000000" w:themeColor="text1"/>
          <w:szCs w:val="24"/>
        </w:rPr>
        <w:t>进行定期监测，频次不少于</w:t>
      </w:r>
      <w:r w:rsidRPr="00B12FE0">
        <w:rPr>
          <w:color w:val="000000" w:themeColor="text1"/>
          <w:szCs w:val="24"/>
        </w:rPr>
        <w:t>1</w:t>
      </w:r>
      <w:r w:rsidRPr="00B12FE0">
        <w:rPr>
          <w:color w:val="000000" w:themeColor="text1"/>
          <w:szCs w:val="24"/>
        </w:rPr>
        <w:t>次</w:t>
      </w:r>
      <w:r w:rsidRPr="00B12FE0">
        <w:rPr>
          <w:color w:val="000000" w:themeColor="text1"/>
          <w:szCs w:val="24"/>
        </w:rPr>
        <w:t>/</w:t>
      </w:r>
      <w:r w:rsidRPr="00B12FE0">
        <w:rPr>
          <w:color w:val="000000" w:themeColor="text1"/>
          <w:szCs w:val="24"/>
        </w:rPr>
        <w:t>月，以确保屏蔽</w:t>
      </w:r>
      <w:r w:rsidRPr="00B12FE0">
        <w:rPr>
          <w:color w:val="000000" w:themeColor="text1"/>
        </w:rPr>
        <w:t>防护性能的良好。</w:t>
      </w:r>
    </w:p>
    <w:p w14:paraId="58204A0A" w14:textId="77777777" w:rsidR="00A67F21" w:rsidRPr="00B12FE0" w:rsidRDefault="00000000">
      <w:pPr>
        <w:tabs>
          <w:tab w:val="left" w:pos="1017"/>
        </w:tabs>
        <w:adjustRightInd w:val="0"/>
        <w:snapToGrid w:val="0"/>
        <w:spacing w:line="360" w:lineRule="auto"/>
        <w:ind w:firstLineChars="200" w:firstLine="482"/>
        <w:rPr>
          <w:b/>
          <w:bCs/>
          <w:color w:val="000000" w:themeColor="text1"/>
        </w:rPr>
      </w:pPr>
      <w:r w:rsidRPr="00B12FE0">
        <w:rPr>
          <w:rFonts w:hint="eastAsia"/>
          <w:b/>
          <w:bCs/>
          <w:color w:val="000000" w:themeColor="text1"/>
          <w:szCs w:val="28"/>
        </w:rPr>
        <w:t>（</w:t>
      </w:r>
      <w:r w:rsidRPr="00B12FE0">
        <w:rPr>
          <w:rFonts w:hint="eastAsia"/>
          <w:b/>
          <w:bCs/>
          <w:color w:val="000000" w:themeColor="text1"/>
          <w:szCs w:val="28"/>
        </w:rPr>
        <w:t>3</w:t>
      </w:r>
      <w:r w:rsidRPr="00B12FE0">
        <w:rPr>
          <w:rFonts w:hint="eastAsia"/>
          <w:b/>
          <w:bCs/>
          <w:color w:val="000000" w:themeColor="text1"/>
          <w:szCs w:val="28"/>
        </w:rPr>
        <w:t>）</w:t>
      </w:r>
      <w:r w:rsidRPr="00B12FE0">
        <w:rPr>
          <w:b/>
          <w:bCs/>
          <w:color w:val="000000" w:themeColor="text1"/>
        </w:rPr>
        <w:t>监测内容和要求</w:t>
      </w:r>
    </w:p>
    <w:p w14:paraId="69C54E34" w14:textId="77777777" w:rsidR="00A67F21" w:rsidRPr="00B12FE0" w:rsidRDefault="00000000">
      <w:pPr>
        <w:tabs>
          <w:tab w:val="left" w:pos="1017"/>
        </w:tabs>
        <w:adjustRightInd w:val="0"/>
        <w:snapToGrid w:val="0"/>
        <w:spacing w:line="360" w:lineRule="auto"/>
        <w:ind w:firstLineChars="200" w:firstLine="480"/>
        <w:rPr>
          <w:color w:val="000000" w:themeColor="text1"/>
        </w:rPr>
      </w:pPr>
      <w:r w:rsidRPr="00B12FE0">
        <w:rPr>
          <w:color w:val="000000" w:themeColor="text1"/>
        </w:rPr>
        <w:t>监测内容：表面放射性污染</w:t>
      </w:r>
      <w:r w:rsidRPr="00B12FE0">
        <w:rPr>
          <w:rFonts w:hint="eastAsia"/>
          <w:color w:val="000000" w:themeColor="text1"/>
        </w:rPr>
        <w:t>、</w:t>
      </w:r>
      <w:r w:rsidRPr="00B12FE0">
        <w:rPr>
          <w:color w:val="000000" w:themeColor="text1"/>
        </w:rPr>
        <w:t>周围剂量当量率</w:t>
      </w:r>
      <w:r w:rsidRPr="00B12FE0">
        <w:rPr>
          <w:rFonts w:hint="eastAsia"/>
          <w:color w:val="000000" w:themeColor="text1"/>
        </w:rPr>
        <w:t>、中子剂量率、</w:t>
      </w:r>
      <w:r w:rsidRPr="00B12FE0">
        <w:rPr>
          <w:color w:val="000000" w:themeColor="text1"/>
        </w:rPr>
        <w:t>放射性废</w:t>
      </w:r>
      <w:r w:rsidRPr="00B12FE0">
        <w:rPr>
          <w:rFonts w:hint="eastAsia"/>
          <w:color w:val="000000" w:themeColor="text1"/>
        </w:rPr>
        <w:t>水、</w:t>
      </w:r>
      <w:r w:rsidRPr="00B12FE0">
        <w:rPr>
          <w:color w:val="000000" w:themeColor="text1"/>
        </w:rPr>
        <w:t>放射性固废。</w:t>
      </w:r>
    </w:p>
    <w:p w14:paraId="5156024C"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监测依据：《核医学辐射防护与安全要求》（</w:t>
      </w:r>
      <w:r w:rsidRPr="00B12FE0">
        <w:rPr>
          <w:color w:val="000000" w:themeColor="text1"/>
        </w:rPr>
        <w:t>HJ1188-2021</w:t>
      </w:r>
      <w:r w:rsidRPr="00B12FE0">
        <w:rPr>
          <w:rFonts w:hint="eastAsia"/>
          <w:color w:val="000000" w:themeColor="text1"/>
        </w:rPr>
        <w:t>）</w:t>
      </w:r>
      <w:r w:rsidRPr="00B12FE0">
        <w:rPr>
          <w:rFonts w:hint="eastAsia"/>
          <w:color w:val="000000" w:themeColor="text1"/>
          <w:kern w:val="0"/>
          <w:szCs w:val="24"/>
        </w:rPr>
        <w:t>，</w:t>
      </w:r>
      <w:r w:rsidRPr="00B12FE0">
        <w:rPr>
          <w:rFonts w:hint="eastAsia"/>
          <w:color w:val="000000" w:themeColor="text1"/>
        </w:rPr>
        <w:t>《放射治疗放射防护要求》（</w:t>
      </w:r>
      <w:r w:rsidRPr="00B12FE0">
        <w:rPr>
          <w:color w:val="000000" w:themeColor="text1"/>
        </w:rPr>
        <w:t>GBZ121-2020</w:t>
      </w:r>
      <w:r w:rsidRPr="00B12FE0">
        <w:rPr>
          <w:rFonts w:hint="eastAsia"/>
          <w:color w:val="000000" w:themeColor="text1"/>
        </w:rPr>
        <w:t>），</w:t>
      </w:r>
      <w:r w:rsidRPr="00B12FE0">
        <w:rPr>
          <w:rFonts w:hAnsi="宋体"/>
          <w:color w:val="000000" w:themeColor="text1"/>
        </w:rPr>
        <w:t>《放射诊断放射防护要求》（</w:t>
      </w:r>
      <w:r w:rsidRPr="00B12FE0">
        <w:rPr>
          <w:color w:val="000000" w:themeColor="text1"/>
        </w:rPr>
        <w:t>GBZ130-2020</w:t>
      </w:r>
      <w:r w:rsidRPr="00B12FE0">
        <w:rPr>
          <w:rFonts w:hAnsi="宋体"/>
          <w:color w:val="000000" w:themeColor="text1"/>
        </w:rPr>
        <w:t>）</w:t>
      </w:r>
      <w:r w:rsidRPr="00B12FE0">
        <w:rPr>
          <w:rFonts w:hAnsi="宋体" w:hint="eastAsia"/>
          <w:color w:val="000000" w:themeColor="text1"/>
        </w:rPr>
        <w:t>，《环境</w:t>
      </w:r>
      <w:r w:rsidRPr="00B12FE0">
        <w:rPr>
          <w:color w:val="000000" w:themeColor="text1"/>
        </w:rPr>
        <w:t>γ</w:t>
      </w:r>
      <w:r w:rsidRPr="00B12FE0">
        <w:rPr>
          <w:rFonts w:hAnsi="宋体" w:hint="eastAsia"/>
          <w:color w:val="000000" w:themeColor="text1"/>
        </w:rPr>
        <w:t>辐射剂量率测量技术规范》（</w:t>
      </w:r>
      <w:r w:rsidRPr="00B12FE0">
        <w:rPr>
          <w:rFonts w:hAnsi="宋体" w:hint="eastAsia"/>
          <w:color w:val="000000" w:themeColor="text1"/>
        </w:rPr>
        <w:t>HJ 1157-2021</w:t>
      </w:r>
      <w:r w:rsidRPr="00B12FE0">
        <w:rPr>
          <w:rFonts w:hAnsi="宋体" w:hint="eastAsia"/>
          <w:color w:val="000000" w:themeColor="text1"/>
        </w:rPr>
        <w:t>），《辐射环境监测技术规范》（</w:t>
      </w:r>
      <w:r w:rsidRPr="00B12FE0">
        <w:rPr>
          <w:rFonts w:hAnsi="宋体" w:hint="eastAsia"/>
          <w:color w:val="000000" w:themeColor="text1"/>
        </w:rPr>
        <w:t>HJ 61-2021</w:t>
      </w:r>
      <w:r w:rsidRPr="00B12FE0">
        <w:rPr>
          <w:rFonts w:hAnsi="宋体" w:hint="eastAsia"/>
          <w:color w:val="000000" w:themeColor="text1"/>
        </w:rPr>
        <w:t>）。</w:t>
      </w:r>
    </w:p>
    <w:p w14:paraId="6BA2FC8B"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监测布点及数据管理：监测布点应参考环</w:t>
      </w:r>
      <w:proofErr w:type="gramStart"/>
      <w:r w:rsidRPr="00B12FE0">
        <w:rPr>
          <w:color w:val="000000" w:themeColor="text1"/>
        </w:rPr>
        <w:t>评提出</w:t>
      </w:r>
      <w:proofErr w:type="gramEnd"/>
      <w:r w:rsidRPr="00B12FE0">
        <w:rPr>
          <w:color w:val="000000" w:themeColor="text1"/>
        </w:rPr>
        <w:t>的监测计划或验收监测布点方案。监测数据应记录完善，并将数据实时汇总，建立好监测</w:t>
      </w:r>
      <w:proofErr w:type="gramStart"/>
      <w:r w:rsidRPr="00B12FE0">
        <w:rPr>
          <w:color w:val="000000" w:themeColor="text1"/>
        </w:rPr>
        <w:t>数据台</w:t>
      </w:r>
      <w:proofErr w:type="gramEnd"/>
      <w:r w:rsidRPr="00B12FE0">
        <w:rPr>
          <w:color w:val="000000" w:themeColor="text1"/>
        </w:rPr>
        <w:t>账以便核查。</w:t>
      </w:r>
    </w:p>
    <w:p w14:paraId="66BF3FA7" w14:textId="77777777" w:rsidR="00A67F21" w:rsidRPr="00B12FE0" w:rsidRDefault="00000000">
      <w:pPr>
        <w:adjustRightInd w:val="0"/>
        <w:snapToGrid w:val="0"/>
        <w:spacing w:line="360" w:lineRule="auto"/>
        <w:jc w:val="center"/>
        <w:rPr>
          <w:b/>
          <w:color w:val="000000" w:themeColor="text1"/>
          <w:sz w:val="21"/>
          <w:szCs w:val="21"/>
        </w:rPr>
      </w:pPr>
      <w:r w:rsidRPr="00B12FE0">
        <w:rPr>
          <w:b/>
          <w:color w:val="000000" w:themeColor="text1"/>
          <w:sz w:val="21"/>
          <w:szCs w:val="21"/>
        </w:rPr>
        <w:t>表</w:t>
      </w:r>
      <w:r w:rsidRPr="00B12FE0">
        <w:rPr>
          <w:b/>
          <w:color w:val="000000" w:themeColor="text1"/>
          <w:sz w:val="21"/>
          <w:szCs w:val="21"/>
        </w:rPr>
        <w:t>12.3-</w:t>
      </w:r>
      <w:r w:rsidRPr="00B12FE0">
        <w:rPr>
          <w:rFonts w:hint="eastAsia"/>
          <w:b/>
          <w:color w:val="000000" w:themeColor="text1"/>
          <w:sz w:val="21"/>
          <w:szCs w:val="21"/>
        </w:rPr>
        <w:t xml:space="preserve">2  </w:t>
      </w:r>
      <w:r w:rsidRPr="00B12FE0">
        <w:rPr>
          <w:b/>
          <w:color w:val="000000" w:themeColor="text1"/>
          <w:sz w:val="21"/>
          <w:szCs w:val="21"/>
        </w:rPr>
        <w:t>辐射工作场所监测计划建议</w:t>
      </w:r>
    </w:p>
    <w:tbl>
      <w:tblPr>
        <w:tblW w:w="49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5"/>
        <w:gridCol w:w="993"/>
        <w:gridCol w:w="3179"/>
        <w:gridCol w:w="1452"/>
        <w:gridCol w:w="1081"/>
        <w:gridCol w:w="1331"/>
      </w:tblGrid>
      <w:tr w:rsidR="00A67F21" w:rsidRPr="00B12FE0" w14:paraId="0C67D551" w14:textId="77777777">
        <w:trPr>
          <w:trHeight w:val="274"/>
          <w:jc w:val="center"/>
        </w:trPr>
        <w:tc>
          <w:tcPr>
            <w:tcW w:w="501" w:type="pct"/>
            <w:vMerge w:val="restart"/>
            <w:vAlign w:val="center"/>
          </w:tcPr>
          <w:p w14:paraId="51F9DDE2"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工作</w:t>
            </w:r>
          </w:p>
          <w:p w14:paraId="79C1F65F"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场所</w:t>
            </w:r>
          </w:p>
        </w:tc>
        <w:tc>
          <w:tcPr>
            <w:tcW w:w="556" w:type="pct"/>
            <w:vMerge w:val="restart"/>
            <w:vAlign w:val="center"/>
          </w:tcPr>
          <w:p w14:paraId="2115A176"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监测内容</w:t>
            </w:r>
          </w:p>
        </w:tc>
        <w:tc>
          <w:tcPr>
            <w:tcW w:w="1780" w:type="pct"/>
            <w:vMerge w:val="restart"/>
            <w:vAlign w:val="center"/>
          </w:tcPr>
          <w:p w14:paraId="55DFE496"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监测</w:t>
            </w:r>
            <w:r w:rsidRPr="00B12FE0">
              <w:rPr>
                <w:color w:val="000000" w:themeColor="text1"/>
                <w:sz w:val="21"/>
                <w:szCs w:val="21"/>
              </w:rPr>
              <w:t>点位</w:t>
            </w:r>
          </w:p>
        </w:tc>
        <w:tc>
          <w:tcPr>
            <w:tcW w:w="2163" w:type="pct"/>
            <w:gridSpan w:val="3"/>
            <w:vAlign w:val="center"/>
          </w:tcPr>
          <w:p w14:paraId="09513B97"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监测周期</w:t>
            </w:r>
          </w:p>
        </w:tc>
      </w:tr>
      <w:tr w:rsidR="00A67F21" w:rsidRPr="00B12FE0" w14:paraId="09EC8BED" w14:textId="77777777">
        <w:trPr>
          <w:trHeight w:val="490"/>
          <w:jc w:val="center"/>
        </w:trPr>
        <w:tc>
          <w:tcPr>
            <w:tcW w:w="501" w:type="pct"/>
            <w:vMerge/>
            <w:vAlign w:val="center"/>
          </w:tcPr>
          <w:p w14:paraId="066F4684" w14:textId="77777777" w:rsidR="00A67F21" w:rsidRPr="00B12FE0" w:rsidRDefault="00A67F21">
            <w:pPr>
              <w:adjustRightInd w:val="0"/>
              <w:snapToGrid w:val="0"/>
              <w:jc w:val="center"/>
              <w:rPr>
                <w:color w:val="000000" w:themeColor="text1"/>
                <w:kern w:val="0"/>
                <w:sz w:val="21"/>
                <w:szCs w:val="21"/>
              </w:rPr>
            </w:pPr>
          </w:p>
        </w:tc>
        <w:tc>
          <w:tcPr>
            <w:tcW w:w="556" w:type="pct"/>
            <w:vMerge/>
            <w:vAlign w:val="center"/>
          </w:tcPr>
          <w:p w14:paraId="75F0F15E" w14:textId="77777777" w:rsidR="00A67F21" w:rsidRPr="00B12FE0" w:rsidRDefault="00A67F21">
            <w:pPr>
              <w:adjustRightInd w:val="0"/>
              <w:snapToGrid w:val="0"/>
              <w:jc w:val="center"/>
              <w:rPr>
                <w:color w:val="000000" w:themeColor="text1"/>
                <w:kern w:val="0"/>
                <w:sz w:val="21"/>
                <w:szCs w:val="21"/>
              </w:rPr>
            </w:pPr>
          </w:p>
        </w:tc>
        <w:tc>
          <w:tcPr>
            <w:tcW w:w="1780" w:type="pct"/>
            <w:vMerge/>
            <w:vAlign w:val="center"/>
          </w:tcPr>
          <w:p w14:paraId="3768A4ED" w14:textId="77777777" w:rsidR="00A67F21" w:rsidRPr="00B12FE0" w:rsidRDefault="00A67F21">
            <w:pPr>
              <w:adjustRightInd w:val="0"/>
              <w:snapToGrid w:val="0"/>
              <w:jc w:val="center"/>
              <w:rPr>
                <w:color w:val="000000" w:themeColor="text1"/>
                <w:kern w:val="0"/>
                <w:sz w:val="21"/>
                <w:szCs w:val="21"/>
              </w:rPr>
            </w:pPr>
          </w:p>
        </w:tc>
        <w:tc>
          <w:tcPr>
            <w:tcW w:w="813" w:type="pct"/>
            <w:vAlign w:val="center"/>
          </w:tcPr>
          <w:p w14:paraId="448BE2A7"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自行监测</w:t>
            </w:r>
          </w:p>
        </w:tc>
        <w:tc>
          <w:tcPr>
            <w:tcW w:w="605" w:type="pct"/>
            <w:vAlign w:val="center"/>
          </w:tcPr>
          <w:p w14:paraId="4582F03E"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委托监测</w:t>
            </w:r>
          </w:p>
        </w:tc>
        <w:tc>
          <w:tcPr>
            <w:tcW w:w="745" w:type="pct"/>
            <w:vAlign w:val="center"/>
          </w:tcPr>
          <w:p w14:paraId="4B47509E"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验收监测</w:t>
            </w:r>
          </w:p>
        </w:tc>
      </w:tr>
      <w:tr w:rsidR="00A67F21" w:rsidRPr="00B12FE0" w14:paraId="4A456905" w14:textId="77777777">
        <w:trPr>
          <w:trHeight w:val="1218"/>
          <w:jc w:val="center"/>
        </w:trPr>
        <w:tc>
          <w:tcPr>
            <w:tcW w:w="501" w:type="pct"/>
            <w:vMerge w:val="restart"/>
            <w:vAlign w:val="center"/>
          </w:tcPr>
          <w:p w14:paraId="52C0C45C"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核医学工作场所</w:t>
            </w:r>
          </w:p>
        </w:tc>
        <w:tc>
          <w:tcPr>
            <w:tcW w:w="556" w:type="pct"/>
            <w:vAlign w:val="center"/>
          </w:tcPr>
          <w:p w14:paraId="4839DF47" w14:textId="77777777" w:rsidR="00A67F21" w:rsidRPr="00B12FE0" w:rsidRDefault="00000000">
            <w:pPr>
              <w:kinsoku w:val="0"/>
              <w:overflowPunct w:val="0"/>
              <w:autoSpaceDE w:val="0"/>
              <w:autoSpaceDN w:val="0"/>
              <w:adjustRightInd w:val="0"/>
              <w:snapToGrid w:val="0"/>
              <w:jc w:val="center"/>
              <w:rPr>
                <w:color w:val="000000" w:themeColor="text1"/>
                <w:kern w:val="0"/>
                <w:sz w:val="21"/>
                <w:szCs w:val="21"/>
              </w:rPr>
            </w:pPr>
            <w:r w:rsidRPr="00B12FE0">
              <w:rPr>
                <w:color w:val="000000" w:themeColor="text1"/>
                <w:kern w:val="0"/>
                <w:sz w:val="21"/>
                <w:szCs w:val="21"/>
              </w:rPr>
              <w:t>表面污染</w:t>
            </w:r>
          </w:p>
        </w:tc>
        <w:tc>
          <w:tcPr>
            <w:tcW w:w="1780" w:type="pct"/>
            <w:vAlign w:val="center"/>
          </w:tcPr>
          <w:p w14:paraId="6F37892C"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放射性核素操作台面、设备表面、墙壁和地面，给药后候诊室，核素治疗场所的设施、墙壁和地面等，放射性废物铅桶和包装袋表面，工作人员的手、皮肤暴露部分及工作服、手套、鞋、帽等。</w:t>
            </w:r>
          </w:p>
        </w:tc>
        <w:tc>
          <w:tcPr>
            <w:tcW w:w="813" w:type="pct"/>
            <w:vAlign w:val="center"/>
          </w:tcPr>
          <w:p w14:paraId="409649C8"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每次工作结束（出现放射性药物洒落应及时进行监测）</w:t>
            </w:r>
          </w:p>
        </w:tc>
        <w:tc>
          <w:tcPr>
            <w:tcW w:w="605" w:type="pct"/>
            <w:vAlign w:val="center"/>
          </w:tcPr>
          <w:p w14:paraId="60994D9A"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1</w:t>
            </w:r>
            <w:r w:rsidRPr="00B12FE0">
              <w:rPr>
                <w:color w:val="000000" w:themeColor="text1"/>
                <w:kern w:val="0"/>
                <w:sz w:val="21"/>
                <w:szCs w:val="21"/>
              </w:rPr>
              <w:t>次</w:t>
            </w:r>
            <w:r w:rsidRPr="00B12FE0">
              <w:rPr>
                <w:color w:val="000000" w:themeColor="text1"/>
                <w:kern w:val="0"/>
                <w:sz w:val="21"/>
                <w:szCs w:val="21"/>
              </w:rPr>
              <w:t>/</w:t>
            </w:r>
            <w:r w:rsidRPr="00B12FE0">
              <w:rPr>
                <w:color w:val="000000" w:themeColor="text1"/>
                <w:kern w:val="0"/>
                <w:sz w:val="21"/>
                <w:szCs w:val="21"/>
              </w:rPr>
              <w:t>年</w:t>
            </w:r>
          </w:p>
        </w:tc>
        <w:tc>
          <w:tcPr>
            <w:tcW w:w="745" w:type="pct"/>
            <w:vAlign w:val="center"/>
          </w:tcPr>
          <w:p w14:paraId="744305E0" w14:textId="77777777" w:rsidR="00A67F21" w:rsidRPr="00B12FE0" w:rsidRDefault="00000000">
            <w:pPr>
              <w:adjustRightInd w:val="0"/>
              <w:snapToGrid w:val="0"/>
              <w:jc w:val="center"/>
              <w:rPr>
                <w:color w:val="000000" w:themeColor="text1"/>
                <w:kern w:val="0"/>
                <w:sz w:val="21"/>
                <w:szCs w:val="21"/>
              </w:rPr>
            </w:pPr>
            <w:r w:rsidRPr="00B12FE0">
              <w:rPr>
                <w:rFonts w:eastAsiaTheme="minorEastAsia"/>
                <w:bCs/>
                <w:color w:val="000000" w:themeColor="text1"/>
                <w:sz w:val="21"/>
                <w:szCs w:val="21"/>
              </w:rPr>
              <w:t>竣工验收</w:t>
            </w:r>
          </w:p>
        </w:tc>
      </w:tr>
      <w:tr w:rsidR="00A67F21" w:rsidRPr="00B12FE0" w14:paraId="0B65C718" w14:textId="77777777">
        <w:trPr>
          <w:trHeight w:val="975"/>
          <w:jc w:val="center"/>
        </w:trPr>
        <w:tc>
          <w:tcPr>
            <w:tcW w:w="501" w:type="pct"/>
            <w:vMerge/>
            <w:vAlign w:val="center"/>
          </w:tcPr>
          <w:p w14:paraId="63DACE63" w14:textId="77777777" w:rsidR="00A67F21" w:rsidRPr="00B12FE0" w:rsidRDefault="00A67F21">
            <w:pPr>
              <w:adjustRightInd w:val="0"/>
              <w:snapToGrid w:val="0"/>
              <w:jc w:val="center"/>
              <w:rPr>
                <w:color w:val="000000" w:themeColor="text1"/>
                <w:kern w:val="0"/>
                <w:sz w:val="21"/>
                <w:szCs w:val="21"/>
              </w:rPr>
            </w:pPr>
          </w:p>
        </w:tc>
        <w:tc>
          <w:tcPr>
            <w:tcW w:w="556" w:type="pct"/>
            <w:vAlign w:val="center"/>
          </w:tcPr>
          <w:p w14:paraId="5C2CA98B"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周围剂量当量率</w:t>
            </w:r>
          </w:p>
        </w:tc>
        <w:tc>
          <w:tcPr>
            <w:tcW w:w="1780" w:type="pct"/>
            <w:vAlign w:val="center"/>
          </w:tcPr>
          <w:p w14:paraId="387123D2" w14:textId="77777777" w:rsidR="00A67F21" w:rsidRPr="00B12FE0" w:rsidRDefault="00000000">
            <w:pPr>
              <w:contextualSpacing/>
              <w:jc w:val="center"/>
              <w:rPr>
                <w:color w:val="000000" w:themeColor="text1"/>
                <w:sz w:val="21"/>
                <w:szCs w:val="21"/>
              </w:rPr>
            </w:pPr>
            <w:r w:rsidRPr="00B12FE0">
              <w:rPr>
                <w:color w:val="000000" w:themeColor="text1"/>
                <w:kern w:val="0"/>
                <w:sz w:val="21"/>
                <w:szCs w:val="21"/>
              </w:rPr>
              <w:t>控制区和监督区所有工作人员和公众可能居留的有代表性点位和存有放射性物质的装置</w:t>
            </w:r>
            <w:r w:rsidRPr="00B12FE0">
              <w:rPr>
                <w:color w:val="000000" w:themeColor="text1"/>
                <w:kern w:val="0"/>
                <w:sz w:val="21"/>
                <w:szCs w:val="21"/>
              </w:rPr>
              <w:t>/</w:t>
            </w:r>
            <w:r w:rsidRPr="00B12FE0">
              <w:rPr>
                <w:color w:val="000000" w:themeColor="text1"/>
                <w:kern w:val="0"/>
                <w:sz w:val="21"/>
                <w:szCs w:val="21"/>
              </w:rPr>
              <w:t>设备的</w:t>
            </w:r>
            <w:r w:rsidRPr="00B12FE0">
              <w:rPr>
                <w:color w:val="000000" w:themeColor="text1"/>
                <w:kern w:val="0"/>
                <w:sz w:val="21"/>
                <w:szCs w:val="21"/>
              </w:rPr>
              <w:lastRenderedPageBreak/>
              <w:t>表面</w:t>
            </w:r>
          </w:p>
        </w:tc>
        <w:tc>
          <w:tcPr>
            <w:tcW w:w="813" w:type="pct"/>
            <w:vAlign w:val="center"/>
          </w:tcPr>
          <w:p w14:paraId="6777FF76"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lastRenderedPageBreak/>
              <w:t>1</w:t>
            </w:r>
            <w:r w:rsidRPr="00B12FE0">
              <w:rPr>
                <w:color w:val="000000" w:themeColor="text1"/>
                <w:kern w:val="0"/>
                <w:sz w:val="21"/>
                <w:szCs w:val="21"/>
              </w:rPr>
              <w:t>次</w:t>
            </w:r>
            <w:r w:rsidRPr="00B12FE0">
              <w:rPr>
                <w:color w:val="000000" w:themeColor="text1"/>
                <w:kern w:val="0"/>
                <w:sz w:val="21"/>
                <w:szCs w:val="21"/>
              </w:rPr>
              <w:t>/</w:t>
            </w:r>
            <w:r w:rsidRPr="00B12FE0">
              <w:rPr>
                <w:color w:val="000000" w:themeColor="text1"/>
                <w:kern w:val="0"/>
                <w:sz w:val="21"/>
                <w:szCs w:val="21"/>
              </w:rPr>
              <w:t>月</w:t>
            </w:r>
          </w:p>
        </w:tc>
        <w:tc>
          <w:tcPr>
            <w:tcW w:w="605" w:type="pct"/>
            <w:vAlign w:val="center"/>
          </w:tcPr>
          <w:p w14:paraId="01903959"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1</w:t>
            </w:r>
            <w:r w:rsidRPr="00B12FE0">
              <w:rPr>
                <w:color w:val="000000" w:themeColor="text1"/>
                <w:kern w:val="0"/>
                <w:sz w:val="21"/>
                <w:szCs w:val="21"/>
              </w:rPr>
              <w:t>次</w:t>
            </w:r>
            <w:r w:rsidRPr="00B12FE0">
              <w:rPr>
                <w:color w:val="000000" w:themeColor="text1"/>
                <w:kern w:val="0"/>
                <w:sz w:val="21"/>
                <w:szCs w:val="21"/>
              </w:rPr>
              <w:t>/</w:t>
            </w:r>
            <w:r w:rsidRPr="00B12FE0">
              <w:rPr>
                <w:color w:val="000000" w:themeColor="text1"/>
                <w:kern w:val="0"/>
                <w:sz w:val="21"/>
                <w:szCs w:val="21"/>
              </w:rPr>
              <w:t>年</w:t>
            </w:r>
          </w:p>
        </w:tc>
        <w:tc>
          <w:tcPr>
            <w:tcW w:w="745" w:type="pct"/>
            <w:vAlign w:val="center"/>
          </w:tcPr>
          <w:p w14:paraId="14F4B8E4" w14:textId="77777777" w:rsidR="00A67F21" w:rsidRPr="00B12FE0" w:rsidRDefault="00000000">
            <w:pPr>
              <w:adjustRightInd w:val="0"/>
              <w:snapToGrid w:val="0"/>
              <w:jc w:val="center"/>
              <w:rPr>
                <w:color w:val="000000" w:themeColor="text1"/>
                <w:kern w:val="0"/>
                <w:sz w:val="21"/>
                <w:szCs w:val="21"/>
              </w:rPr>
            </w:pPr>
            <w:r w:rsidRPr="00B12FE0">
              <w:rPr>
                <w:rFonts w:eastAsiaTheme="minorEastAsia"/>
                <w:bCs/>
                <w:color w:val="000000" w:themeColor="text1"/>
                <w:sz w:val="21"/>
                <w:szCs w:val="21"/>
              </w:rPr>
              <w:t>竣工验收</w:t>
            </w:r>
          </w:p>
        </w:tc>
      </w:tr>
      <w:tr w:rsidR="00A67F21" w:rsidRPr="00B12FE0" w14:paraId="3DC98FDD" w14:textId="77777777">
        <w:trPr>
          <w:trHeight w:val="490"/>
          <w:jc w:val="center"/>
        </w:trPr>
        <w:tc>
          <w:tcPr>
            <w:tcW w:w="501" w:type="pct"/>
            <w:vMerge/>
            <w:vAlign w:val="center"/>
          </w:tcPr>
          <w:p w14:paraId="5A938E8A" w14:textId="77777777" w:rsidR="00A67F21" w:rsidRPr="00B12FE0" w:rsidRDefault="00A67F21">
            <w:pPr>
              <w:adjustRightInd w:val="0"/>
              <w:snapToGrid w:val="0"/>
              <w:jc w:val="center"/>
              <w:rPr>
                <w:color w:val="000000" w:themeColor="text1"/>
                <w:kern w:val="0"/>
                <w:sz w:val="21"/>
                <w:szCs w:val="21"/>
              </w:rPr>
            </w:pPr>
          </w:p>
        </w:tc>
        <w:tc>
          <w:tcPr>
            <w:tcW w:w="556" w:type="pct"/>
            <w:tcBorders>
              <w:top w:val="single" w:sz="2" w:space="0" w:color="auto"/>
              <w:left w:val="single" w:sz="2" w:space="0" w:color="auto"/>
              <w:bottom w:val="single" w:sz="2" w:space="0" w:color="auto"/>
              <w:right w:val="single" w:sz="2" w:space="0" w:color="auto"/>
            </w:tcBorders>
            <w:vAlign w:val="center"/>
          </w:tcPr>
          <w:p w14:paraId="69D029C5" w14:textId="77777777" w:rsidR="00A67F21" w:rsidRPr="00B12FE0" w:rsidRDefault="00000000">
            <w:pPr>
              <w:adjustRightInd w:val="0"/>
              <w:snapToGrid w:val="0"/>
              <w:jc w:val="center"/>
              <w:rPr>
                <w:color w:val="000000" w:themeColor="text1"/>
                <w:kern w:val="0"/>
                <w:sz w:val="21"/>
                <w:szCs w:val="21"/>
              </w:rPr>
            </w:pPr>
            <w:r w:rsidRPr="00B12FE0">
              <w:rPr>
                <w:rFonts w:ascii="宋体" w:hAnsi="宋体"/>
                <w:color w:val="000000" w:themeColor="text1"/>
                <w:kern w:val="0"/>
                <w:sz w:val="21"/>
                <w:szCs w:val="21"/>
              </w:rPr>
              <w:t>中子剂量当量率</w:t>
            </w:r>
          </w:p>
        </w:tc>
        <w:tc>
          <w:tcPr>
            <w:tcW w:w="1780" w:type="pct"/>
            <w:tcBorders>
              <w:top w:val="single" w:sz="2" w:space="0" w:color="auto"/>
              <w:left w:val="single" w:sz="2" w:space="0" w:color="auto"/>
              <w:bottom w:val="single" w:sz="2" w:space="0" w:color="auto"/>
              <w:right w:val="single" w:sz="2" w:space="0" w:color="auto"/>
            </w:tcBorders>
            <w:vAlign w:val="center"/>
          </w:tcPr>
          <w:p w14:paraId="71DF66CB" w14:textId="77777777" w:rsidR="00A67F21" w:rsidRPr="00B12FE0" w:rsidRDefault="00000000">
            <w:pPr>
              <w:contextualSpacing/>
              <w:jc w:val="center"/>
              <w:rPr>
                <w:color w:val="000000" w:themeColor="text1"/>
                <w:kern w:val="0"/>
                <w:sz w:val="21"/>
                <w:szCs w:val="21"/>
              </w:rPr>
            </w:pPr>
            <w:r w:rsidRPr="00B12FE0">
              <w:rPr>
                <w:rFonts w:ascii="宋体" w:hAnsi="宋体"/>
                <w:color w:val="000000" w:themeColor="text1"/>
                <w:kern w:val="0"/>
                <w:sz w:val="21"/>
                <w:szCs w:val="21"/>
              </w:rPr>
              <w:t>回旋加速器机房防护门</w:t>
            </w:r>
            <w:r w:rsidRPr="00B12FE0">
              <w:rPr>
                <w:rFonts w:ascii="宋体" w:hAnsi="宋体" w:hint="eastAsia"/>
                <w:color w:val="000000" w:themeColor="text1"/>
                <w:kern w:val="0"/>
                <w:sz w:val="21"/>
                <w:szCs w:val="21"/>
              </w:rPr>
              <w:t>外</w:t>
            </w:r>
            <w:r w:rsidRPr="00B12FE0">
              <w:rPr>
                <w:rFonts w:ascii="宋体" w:hAnsi="宋体"/>
                <w:color w:val="000000" w:themeColor="text1"/>
                <w:kern w:val="0"/>
                <w:sz w:val="21"/>
                <w:szCs w:val="21"/>
              </w:rPr>
              <w:t>、四面墙体外、控制室操作位及周围需要关注的监督区。</w:t>
            </w:r>
          </w:p>
        </w:tc>
        <w:tc>
          <w:tcPr>
            <w:tcW w:w="813" w:type="pct"/>
            <w:tcBorders>
              <w:top w:val="single" w:sz="2" w:space="0" w:color="auto"/>
              <w:left w:val="single" w:sz="2" w:space="0" w:color="auto"/>
              <w:bottom w:val="single" w:sz="2" w:space="0" w:color="auto"/>
              <w:right w:val="single" w:sz="2" w:space="0" w:color="auto"/>
            </w:tcBorders>
            <w:vAlign w:val="center"/>
          </w:tcPr>
          <w:p w14:paraId="22778018"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1</w:t>
            </w:r>
            <w:r w:rsidRPr="00B12FE0">
              <w:rPr>
                <w:rFonts w:ascii="宋体" w:hAnsi="宋体"/>
                <w:color w:val="000000" w:themeColor="text1"/>
                <w:kern w:val="0"/>
                <w:sz w:val="21"/>
                <w:szCs w:val="21"/>
              </w:rPr>
              <w:t>次</w:t>
            </w:r>
            <w:r w:rsidRPr="00B12FE0">
              <w:rPr>
                <w:color w:val="000000" w:themeColor="text1"/>
                <w:kern w:val="0"/>
                <w:sz w:val="21"/>
                <w:szCs w:val="21"/>
              </w:rPr>
              <w:t>/</w:t>
            </w:r>
            <w:r w:rsidRPr="00B12FE0">
              <w:rPr>
                <w:rFonts w:ascii="宋体" w:hAnsi="宋体"/>
                <w:color w:val="000000" w:themeColor="text1"/>
                <w:kern w:val="0"/>
                <w:sz w:val="21"/>
                <w:szCs w:val="21"/>
              </w:rPr>
              <w:t>月</w:t>
            </w:r>
          </w:p>
        </w:tc>
        <w:tc>
          <w:tcPr>
            <w:tcW w:w="605" w:type="pct"/>
            <w:tcBorders>
              <w:top w:val="single" w:sz="2" w:space="0" w:color="auto"/>
              <w:left w:val="single" w:sz="2" w:space="0" w:color="auto"/>
              <w:bottom w:val="single" w:sz="2" w:space="0" w:color="auto"/>
              <w:right w:val="single" w:sz="2" w:space="0" w:color="auto"/>
            </w:tcBorders>
            <w:vAlign w:val="center"/>
          </w:tcPr>
          <w:p w14:paraId="5D79E66B"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1</w:t>
            </w:r>
            <w:r w:rsidRPr="00B12FE0">
              <w:rPr>
                <w:rFonts w:ascii="宋体" w:hAnsi="宋体"/>
                <w:color w:val="000000" w:themeColor="text1"/>
                <w:kern w:val="0"/>
                <w:sz w:val="21"/>
                <w:szCs w:val="21"/>
              </w:rPr>
              <w:t>次</w:t>
            </w:r>
            <w:r w:rsidRPr="00B12FE0">
              <w:rPr>
                <w:color w:val="000000" w:themeColor="text1"/>
                <w:kern w:val="0"/>
                <w:sz w:val="21"/>
                <w:szCs w:val="21"/>
              </w:rPr>
              <w:t>/</w:t>
            </w:r>
            <w:r w:rsidRPr="00B12FE0">
              <w:rPr>
                <w:rFonts w:ascii="宋体" w:hAnsi="宋体"/>
                <w:color w:val="000000" w:themeColor="text1"/>
                <w:kern w:val="0"/>
                <w:sz w:val="21"/>
                <w:szCs w:val="21"/>
              </w:rPr>
              <w:t>年</w:t>
            </w:r>
          </w:p>
        </w:tc>
        <w:tc>
          <w:tcPr>
            <w:tcW w:w="745" w:type="pct"/>
            <w:vAlign w:val="center"/>
          </w:tcPr>
          <w:p w14:paraId="28897E93" w14:textId="77777777" w:rsidR="00A67F21" w:rsidRPr="00B12FE0" w:rsidRDefault="00000000">
            <w:pPr>
              <w:adjustRightInd w:val="0"/>
              <w:snapToGrid w:val="0"/>
              <w:jc w:val="center"/>
              <w:rPr>
                <w:color w:val="000000" w:themeColor="text1"/>
                <w:kern w:val="0"/>
                <w:sz w:val="21"/>
                <w:szCs w:val="21"/>
              </w:rPr>
            </w:pPr>
            <w:r w:rsidRPr="00B12FE0">
              <w:rPr>
                <w:rFonts w:eastAsiaTheme="minorEastAsia"/>
                <w:bCs/>
                <w:color w:val="000000" w:themeColor="text1"/>
                <w:sz w:val="21"/>
                <w:szCs w:val="21"/>
              </w:rPr>
              <w:t>竣工验收</w:t>
            </w:r>
          </w:p>
        </w:tc>
      </w:tr>
      <w:tr w:rsidR="00A67F21" w:rsidRPr="00B12FE0" w14:paraId="3E9FFEB9" w14:textId="77777777">
        <w:trPr>
          <w:trHeight w:val="737"/>
          <w:jc w:val="center"/>
        </w:trPr>
        <w:tc>
          <w:tcPr>
            <w:tcW w:w="501" w:type="pct"/>
            <w:vMerge/>
            <w:vAlign w:val="center"/>
          </w:tcPr>
          <w:p w14:paraId="78A0EF8B" w14:textId="77777777" w:rsidR="00A67F21" w:rsidRPr="00B12FE0" w:rsidRDefault="00A67F21">
            <w:pPr>
              <w:adjustRightInd w:val="0"/>
              <w:snapToGrid w:val="0"/>
              <w:jc w:val="center"/>
              <w:rPr>
                <w:color w:val="000000" w:themeColor="text1"/>
                <w:kern w:val="0"/>
                <w:sz w:val="21"/>
                <w:szCs w:val="21"/>
              </w:rPr>
            </w:pPr>
          </w:p>
        </w:tc>
        <w:tc>
          <w:tcPr>
            <w:tcW w:w="556" w:type="pct"/>
            <w:vAlign w:val="center"/>
          </w:tcPr>
          <w:p w14:paraId="511294AA"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放射性废</w:t>
            </w:r>
            <w:r w:rsidRPr="00B12FE0">
              <w:rPr>
                <w:rFonts w:hint="eastAsia"/>
                <w:color w:val="000000" w:themeColor="text1"/>
                <w:kern w:val="0"/>
                <w:sz w:val="21"/>
                <w:szCs w:val="21"/>
              </w:rPr>
              <w:t>水</w:t>
            </w:r>
          </w:p>
        </w:tc>
        <w:tc>
          <w:tcPr>
            <w:tcW w:w="1780" w:type="pct"/>
            <w:tcBorders>
              <w:top w:val="single" w:sz="4" w:space="0" w:color="auto"/>
              <w:bottom w:val="single" w:sz="4" w:space="0" w:color="auto"/>
            </w:tcBorders>
            <w:vAlign w:val="center"/>
          </w:tcPr>
          <w:p w14:paraId="50DE309F"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衰变池排放口总</w:t>
            </w:r>
            <w:r w:rsidRPr="00B12FE0">
              <w:rPr>
                <w:color w:val="000000" w:themeColor="text1"/>
                <w:kern w:val="0"/>
                <w:sz w:val="21"/>
                <w:szCs w:val="21"/>
              </w:rPr>
              <w:t>α</w:t>
            </w:r>
            <w:r w:rsidRPr="00B12FE0">
              <w:rPr>
                <w:color w:val="000000" w:themeColor="text1"/>
                <w:sz w:val="21"/>
                <w:szCs w:val="21"/>
              </w:rPr>
              <w:t>≤1Bq/L</w:t>
            </w:r>
            <w:r w:rsidRPr="00B12FE0">
              <w:rPr>
                <w:color w:val="000000" w:themeColor="text1"/>
                <w:sz w:val="21"/>
                <w:szCs w:val="21"/>
              </w:rPr>
              <w:t>、总</w:t>
            </w:r>
            <w:r w:rsidRPr="00B12FE0">
              <w:rPr>
                <w:color w:val="000000" w:themeColor="text1"/>
                <w:sz w:val="21"/>
                <w:szCs w:val="21"/>
              </w:rPr>
              <w:t>β≤10Bq/L</w:t>
            </w:r>
            <w:r w:rsidRPr="00B12FE0">
              <w:rPr>
                <w:rFonts w:hint="eastAsia"/>
                <w:color w:val="000000" w:themeColor="text1"/>
                <w:sz w:val="21"/>
                <w:szCs w:val="21"/>
              </w:rPr>
              <w:t>、碘</w:t>
            </w:r>
            <w:r w:rsidRPr="00B12FE0">
              <w:rPr>
                <w:rFonts w:hint="eastAsia"/>
                <w:color w:val="000000" w:themeColor="text1"/>
                <w:sz w:val="21"/>
                <w:szCs w:val="21"/>
              </w:rPr>
              <w:t>-131</w:t>
            </w:r>
            <w:r w:rsidRPr="00B12FE0">
              <w:rPr>
                <w:rFonts w:hint="eastAsia"/>
                <w:color w:val="000000" w:themeColor="text1"/>
                <w:sz w:val="21"/>
                <w:szCs w:val="21"/>
              </w:rPr>
              <w:t>的放射性活度浓度不大于</w:t>
            </w:r>
            <w:r w:rsidRPr="00B12FE0">
              <w:rPr>
                <w:rFonts w:hint="eastAsia"/>
                <w:color w:val="000000" w:themeColor="text1"/>
                <w:sz w:val="21"/>
                <w:szCs w:val="21"/>
              </w:rPr>
              <w:t>10</w:t>
            </w:r>
            <w:r w:rsidRPr="00B12FE0">
              <w:rPr>
                <w:color w:val="000000" w:themeColor="text1"/>
                <w:sz w:val="21"/>
                <w:szCs w:val="21"/>
              </w:rPr>
              <w:t>Bq/L</w:t>
            </w:r>
          </w:p>
        </w:tc>
        <w:tc>
          <w:tcPr>
            <w:tcW w:w="813" w:type="pct"/>
            <w:tcBorders>
              <w:top w:val="single" w:sz="4" w:space="0" w:color="auto"/>
              <w:bottom w:val="single" w:sz="4" w:space="0" w:color="auto"/>
            </w:tcBorders>
            <w:vAlign w:val="center"/>
          </w:tcPr>
          <w:p w14:paraId="76FC2F0E"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w:t>
            </w:r>
          </w:p>
        </w:tc>
        <w:tc>
          <w:tcPr>
            <w:tcW w:w="605" w:type="pct"/>
            <w:vAlign w:val="center"/>
          </w:tcPr>
          <w:p w14:paraId="43A6307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1</w:t>
            </w:r>
            <w:r w:rsidRPr="00B12FE0">
              <w:rPr>
                <w:color w:val="000000" w:themeColor="text1"/>
                <w:kern w:val="0"/>
                <w:sz w:val="21"/>
                <w:szCs w:val="21"/>
              </w:rPr>
              <w:t>次</w:t>
            </w:r>
            <w:r w:rsidRPr="00B12FE0">
              <w:rPr>
                <w:color w:val="000000" w:themeColor="text1"/>
                <w:kern w:val="0"/>
                <w:sz w:val="21"/>
                <w:szCs w:val="21"/>
              </w:rPr>
              <w:t>/</w:t>
            </w:r>
            <w:r w:rsidRPr="00B12FE0">
              <w:rPr>
                <w:color w:val="000000" w:themeColor="text1"/>
                <w:kern w:val="0"/>
                <w:sz w:val="21"/>
                <w:szCs w:val="21"/>
              </w:rPr>
              <w:t>年</w:t>
            </w:r>
          </w:p>
        </w:tc>
        <w:tc>
          <w:tcPr>
            <w:tcW w:w="745" w:type="pct"/>
            <w:vAlign w:val="center"/>
          </w:tcPr>
          <w:p w14:paraId="599EDD63"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w:t>
            </w:r>
          </w:p>
        </w:tc>
      </w:tr>
      <w:tr w:rsidR="00A67F21" w:rsidRPr="00B12FE0" w14:paraId="69B06519" w14:textId="77777777">
        <w:trPr>
          <w:trHeight w:val="654"/>
          <w:jc w:val="center"/>
        </w:trPr>
        <w:tc>
          <w:tcPr>
            <w:tcW w:w="501" w:type="pct"/>
            <w:vMerge/>
            <w:vAlign w:val="center"/>
          </w:tcPr>
          <w:p w14:paraId="1AFBDE4B" w14:textId="77777777" w:rsidR="00A67F21" w:rsidRPr="00B12FE0" w:rsidRDefault="00A67F21">
            <w:pPr>
              <w:adjustRightInd w:val="0"/>
              <w:snapToGrid w:val="0"/>
              <w:jc w:val="center"/>
              <w:rPr>
                <w:color w:val="000000" w:themeColor="text1"/>
                <w:kern w:val="0"/>
                <w:sz w:val="21"/>
                <w:szCs w:val="21"/>
              </w:rPr>
            </w:pPr>
          </w:p>
        </w:tc>
        <w:tc>
          <w:tcPr>
            <w:tcW w:w="556" w:type="pct"/>
            <w:vAlign w:val="center"/>
          </w:tcPr>
          <w:p w14:paraId="4B8BA9FA" w14:textId="77777777" w:rsidR="00A67F21" w:rsidRPr="00B12FE0" w:rsidRDefault="00000000">
            <w:pPr>
              <w:kinsoku w:val="0"/>
              <w:overflowPunct w:val="0"/>
              <w:autoSpaceDE w:val="0"/>
              <w:autoSpaceDN w:val="0"/>
              <w:adjustRightInd w:val="0"/>
              <w:snapToGrid w:val="0"/>
              <w:jc w:val="center"/>
              <w:rPr>
                <w:color w:val="000000" w:themeColor="text1"/>
                <w:kern w:val="0"/>
                <w:sz w:val="21"/>
                <w:szCs w:val="21"/>
              </w:rPr>
            </w:pPr>
            <w:r w:rsidRPr="00B12FE0">
              <w:rPr>
                <w:color w:val="000000" w:themeColor="text1"/>
                <w:kern w:val="0"/>
                <w:sz w:val="21"/>
                <w:szCs w:val="21"/>
              </w:rPr>
              <w:t>放射性固废</w:t>
            </w:r>
          </w:p>
        </w:tc>
        <w:tc>
          <w:tcPr>
            <w:tcW w:w="1780" w:type="pct"/>
            <w:tcBorders>
              <w:top w:val="single" w:sz="4" w:space="0" w:color="auto"/>
              <w:bottom w:val="single" w:sz="4" w:space="0" w:color="auto"/>
            </w:tcBorders>
            <w:vAlign w:val="center"/>
          </w:tcPr>
          <w:p w14:paraId="4804C7A4" w14:textId="77777777" w:rsidR="00A67F21" w:rsidRPr="00B12FE0" w:rsidRDefault="00000000">
            <w:pPr>
              <w:kinsoku w:val="0"/>
              <w:overflowPunct w:val="0"/>
              <w:autoSpaceDE w:val="0"/>
              <w:autoSpaceDN w:val="0"/>
              <w:adjustRightInd w:val="0"/>
              <w:snapToGrid w:val="0"/>
              <w:jc w:val="center"/>
              <w:rPr>
                <w:color w:val="000000" w:themeColor="text1"/>
                <w:kern w:val="0"/>
                <w:sz w:val="21"/>
                <w:szCs w:val="21"/>
              </w:rPr>
            </w:pPr>
            <w:r w:rsidRPr="00B12FE0">
              <w:rPr>
                <w:color w:val="000000" w:themeColor="text1"/>
                <w:kern w:val="0"/>
                <w:sz w:val="21"/>
                <w:szCs w:val="21"/>
              </w:rPr>
              <w:t>废物</w:t>
            </w:r>
            <w:r w:rsidRPr="00B12FE0">
              <w:rPr>
                <w:rFonts w:hint="eastAsia"/>
                <w:color w:val="000000" w:themeColor="text1"/>
                <w:kern w:val="0"/>
                <w:sz w:val="21"/>
                <w:szCs w:val="21"/>
              </w:rPr>
              <w:t>间、污物暂存间</w:t>
            </w:r>
            <w:r w:rsidRPr="00B12FE0">
              <w:rPr>
                <w:color w:val="000000" w:themeColor="text1"/>
                <w:kern w:val="0"/>
                <w:sz w:val="21"/>
                <w:szCs w:val="21"/>
              </w:rPr>
              <w:t>（</w:t>
            </w:r>
            <w:r w:rsidRPr="00B12FE0">
              <w:rPr>
                <w:color w:val="000000" w:themeColor="text1"/>
                <w:sz w:val="21"/>
                <w:szCs w:val="21"/>
              </w:rPr>
              <w:t>每袋废物表面剂量率处于本底水平，</w:t>
            </w:r>
            <w:r w:rsidRPr="00B12FE0">
              <w:rPr>
                <w:color w:val="000000" w:themeColor="text1"/>
                <w:sz w:val="21"/>
                <w:szCs w:val="21"/>
              </w:rPr>
              <w:t>β</w:t>
            </w:r>
            <w:r w:rsidRPr="00B12FE0">
              <w:rPr>
                <w:color w:val="000000" w:themeColor="text1"/>
                <w:sz w:val="21"/>
                <w:szCs w:val="21"/>
              </w:rPr>
              <w:t>表面污染小于</w:t>
            </w:r>
            <w:r w:rsidRPr="00B12FE0">
              <w:rPr>
                <w:color w:val="000000" w:themeColor="text1"/>
                <w:sz w:val="21"/>
                <w:szCs w:val="21"/>
              </w:rPr>
              <w:t>0.8Bq/cm</w:t>
            </w:r>
            <w:r w:rsidRPr="00B12FE0">
              <w:rPr>
                <w:color w:val="000000" w:themeColor="text1"/>
                <w:sz w:val="21"/>
                <w:szCs w:val="21"/>
                <w:vertAlign w:val="superscript"/>
              </w:rPr>
              <w:t>2</w:t>
            </w:r>
            <w:r w:rsidRPr="00B12FE0">
              <w:rPr>
                <w:color w:val="000000" w:themeColor="text1"/>
                <w:kern w:val="0"/>
                <w:sz w:val="21"/>
                <w:szCs w:val="21"/>
              </w:rPr>
              <w:t>）</w:t>
            </w:r>
          </w:p>
        </w:tc>
        <w:tc>
          <w:tcPr>
            <w:tcW w:w="813" w:type="pct"/>
            <w:tcBorders>
              <w:top w:val="single" w:sz="4" w:space="0" w:color="auto"/>
              <w:bottom w:val="single" w:sz="4" w:space="0" w:color="auto"/>
            </w:tcBorders>
            <w:vAlign w:val="center"/>
          </w:tcPr>
          <w:p w14:paraId="7A6BC706" w14:textId="77777777" w:rsidR="00A67F21" w:rsidRPr="00B12FE0" w:rsidRDefault="00000000">
            <w:pPr>
              <w:kinsoku w:val="0"/>
              <w:overflowPunct w:val="0"/>
              <w:autoSpaceDE w:val="0"/>
              <w:autoSpaceDN w:val="0"/>
              <w:adjustRightInd w:val="0"/>
              <w:snapToGrid w:val="0"/>
              <w:jc w:val="center"/>
              <w:rPr>
                <w:color w:val="000000" w:themeColor="text1"/>
                <w:kern w:val="0"/>
                <w:sz w:val="21"/>
                <w:szCs w:val="21"/>
              </w:rPr>
            </w:pPr>
            <w:r w:rsidRPr="00B12FE0">
              <w:rPr>
                <w:color w:val="000000" w:themeColor="text1"/>
                <w:kern w:val="0"/>
                <w:sz w:val="21"/>
                <w:szCs w:val="21"/>
              </w:rPr>
              <w:t>每次</w:t>
            </w:r>
            <w:proofErr w:type="gramStart"/>
            <w:r w:rsidRPr="00B12FE0">
              <w:rPr>
                <w:color w:val="000000" w:themeColor="text1"/>
                <w:sz w:val="21"/>
                <w:szCs w:val="21"/>
              </w:rPr>
              <w:t>清洁解控处理</w:t>
            </w:r>
            <w:proofErr w:type="gramEnd"/>
            <w:r w:rsidRPr="00B12FE0">
              <w:rPr>
                <w:color w:val="000000" w:themeColor="text1"/>
                <w:kern w:val="0"/>
                <w:sz w:val="21"/>
                <w:szCs w:val="21"/>
              </w:rPr>
              <w:t>前</w:t>
            </w:r>
          </w:p>
        </w:tc>
        <w:tc>
          <w:tcPr>
            <w:tcW w:w="605" w:type="pct"/>
            <w:vAlign w:val="center"/>
          </w:tcPr>
          <w:p w14:paraId="13BF3954" w14:textId="77777777" w:rsidR="00A67F21" w:rsidRPr="00B12FE0" w:rsidRDefault="00000000">
            <w:pPr>
              <w:kinsoku w:val="0"/>
              <w:overflowPunct w:val="0"/>
              <w:autoSpaceDE w:val="0"/>
              <w:autoSpaceDN w:val="0"/>
              <w:adjustRightInd w:val="0"/>
              <w:snapToGrid w:val="0"/>
              <w:jc w:val="center"/>
              <w:rPr>
                <w:color w:val="000000" w:themeColor="text1"/>
                <w:kern w:val="0"/>
                <w:sz w:val="21"/>
                <w:szCs w:val="21"/>
              </w:rPr>
            </w:pPr>
            <w:r w:rsidRPr="00B12FE0">
              <w:rPr>
                <w:color w:val="000000" w:themeColor="text1"/>
                <w:kern w:val="0"/>
                <w:sz w:val="21"/>
                <w:szCs w:val="21"/>
              </w:rPr>
              <w:t>1</w:t>
            </w:r>
            <w:r w:rsidRPr="00B12FE0">
              <w:rPr>
                <w:color w:val="000000" w:themeColor="text1"/>
                <w:kern w:val="0"/>
                <w:sz w:val="21"/>
                <w:szCs w:val="21"/>
              </w:rPr>
              <w:t>次</w:t>
            </w:r>
            <w:r w:rsidRPr="00B12FE0">
              <w:rPr>
                <w:color w:val="000000" w:themeColor="text1"/>
                <w:kern w:val="0"/>
                <w:sz w:val="21"/>
                <w:szCs w:val="21"/>
              </w:rPr>
              <w:t>/</w:t>
            </w:r>
            <w:r w:rsidRPr="00B12FE0">
              <w:rPr>
                <w:color w:val="000000" w:themeColor="text1"/>
                <w:kern w:val="0"/>
                <w:sz w:val="21"/>
                <w:szCs w:val="21"/>
              </w:rPr>
              <w:t>年</w:t>
            </w:r>
          </w:p>
        </w:tc>
        <w:tc>
          <w:tcPr>
            <w:tcW w:w="745" w:type="pct"/>
            <w:vAlign w:val="center"/>
          </w:tcPr>
          <w:p w14:paraId="2A0700A4"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w:t>
            </w:r>
          </w:p>
        </w:tc>
      </w:tr>
      <w:tr w:rsidR="00A67F21" w:rsidRPr="00B12FE0" w14:paraId="0E3CA390" w14:textId="77777777">
        <w:trPr>
          <w:trHeight w:val="737"/>
          <w:jc w:val="center"/>
        </w:trPr>
        <w:tc>
          <w:tcPr>
            <w:tcW w:w="501" w:type="pct"/>
            <w:vMerge w:val="restart"/>
            <w:vAlign w:val="center"/>
          </w:tcPr>
          <w:p w14:paraId="2F2361E6"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直线加速器</w:t>
            </w:r>
            <w:r w:rsidRPr="00B12FE0">
              <w:rPr>
                <w:rFonts w:hint="eastAsia"/>
                <w:color w:val="000000" w:themeColor="text1"/>
                <w:kern w:val="0"/>
                <w:sz w:val="21"/>
                <w:szCs w:val="21"/>
              </w:rPr>
              <w:t>机房</w:t>
            </w:r>
          </w:p>
          <w:p w14:paraId="7B6F8B05"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w:t>
            </w:r>
            <w:r w:rsidRPr="00B12FE0">
              <w:rPr>
                <w:rFonts w:hint="eastAsia"/>
                <w:color w:val="000000" w:themeColor="text1"/>
                <w:kern w:val="0"/>
                <w:sz w:val="21"/>
                <w:szCs w:val="21"/>
              </w:rPr>
              <w:t>2</w:t>
            </w:r>
            <w:r w:rsidRPr="00B12FE0">
              <w:rPr>
                <w:rFonts w:hint="eastAsia"/>
                <w:color w:val="000000" w:themeColor="text1"/>
                <w:kern w:val="0"/>
                <w:sz w:val="21"/>
                <w:szCs w:val="21"/>
              </w:rPr>
              <w:t>间）</w:t>
            </w:r>
          </w:p>
        </w:tc>
        <w:tc>
          <w:tcPr>
            <w:tcW w:w="556" w:type="pct"/>
            <w:vAlign w:val="center"/>
          </w:tcPr>
          <w:p w14:paraId="01353030"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周围剂量当量率</w:t>
            </w:r>
          </w:p>
        </w:tc>
        <w:tc>
          <w:tcPr>
            <w:tcW w:w="1780" w:type="pct"/>
            <w:vMerge w:val="restart"/>
            <w:tcBorders>
              <w:top w:val="single" w:sz="4" w:space="0" w:color="auto"/>
            </w:tcBorders>
            <w:vAlign w:val="center"/>
          </w:tcPr>
          <w:p w14:paraId="70864E2B"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直线</w:t>
            </w:r>
            <w:r w:rsidRPr="00B12FE0">
              <w:rPr>
                <w:color w:val="000000" w:themeColor="text1"/>
                <w:kern w:val="0"/>
                <w:sz w:val="21"/>
                <w:szCs w:val="21"/>
              </w:rPr>
              <w:t>加速器机房防护门外、门缝、电缆线沟、管线洞口、四侧墙体外</w:t>
            </w:r>
            <w:r w:rsidRPr="00B12FE0">
              <w:rPr>
                <w:color w:val="000000" w:themeColor="text1"/>
                <w:kern w:val="0"/>
                <w:sz w:val="21"/>
                <w:szCs w:val="21"/>
              </w:rPr>
              <w:t>30cm</w:t>
            </w:r>
            <w:r w:rsidRPr="00B12FE0">
              <w:rPr>
                <w:color w:val="000000" w:themeColor="text1"/>
                <w:kern w:val="0"/>
                <w:sz w:val="21"/>
                <w:szCs w:val="21"/>
              </w:rPr>
              <w:t>处、顶棚等处</w:t>
            </w:r>
          </w:p>
        </w:tc>
        <w:tc>
          <w:tcPr>
            <w:tcW w:w="813" w:type="pct"/>
            <w:vMerge w:val="restart"/>
            <w:tcBorders>
              <w:top w:val="single" w:sz="4" w:space="0" w:color="auto"/>
            </w:tcBorders>
            <w:vAlign w:val="center"/>
          </w:tcPr>
          <w:p w14:paraId="6B71B251"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1</w:t>
            </w:r>
            <w:r w:rsidRPr="00B12FE0">
              <w:rPr>
                <w:color w:val="000000" w:themeColor="text1"/>
                <w:kern w:val="0"/>
                <w:sz w:val="21"/>
                <w:szCs w:val="21"/>
              </w:rPr>
              <w:t>次</w:t>
            </w:r>
            <w:r w:rsidRPr="00B12FE0">
              <w:rPr>
                <w:color w:val="000000" w:themeColor="text1"/>
                <w:kern w:val="0"/>
                <w:sz w:val="21"/>
                <w:szCs w:val="21"/>
              </w:rPr>
              <w:t>/</w:t>
            </w:r>
            <w:r w:rsidRPr="00B12FE0">
              <w:rPr>
                <w:rFonts w:hint="eastAsia"/>
                <w:color w:val="000000" w:themeColor="text1"/>
                <w:kern w:val="0"/>
                <w:sz w:val="21"/>
                <w:szCs w:val="21"/>
                <w:lang w:eastAsia="zh-Hans"/>
              </w:rPr>
              <w:t>季度</w:t>
            </w:r>
          </w:p>
        </w:tc>
        <w:tc>
          <w:tcPr>
            <w:tcW w:w="605" w:type="pct"/>
            <w:vMerge w:val="restart"/>
            <w:vAlign w:val="center"/>
          </w:tcPr>
          <w:p w14:paraId="03D2CBFC" w14:textId="77777777" w:rsidR="00A67F21" w:rsidRPr="00B12FE0" w:rsidRDefault="00000000">
            <w:pPr>
              <w:adjustRightInd w:val="0"/>
              <w:snapToGrid w:val="0"/>
              <w:jc w:val="center"/>
              <w:rPr>
                <w:color w:val="000000" w:themeColor="text1"/>
                <w:kern w:val="0"/>
                <w:sz w:val="21"/>
                <w:szCs w:val="21"/>
              </w:rPr>
            </w:pPr>
            <w:r w:rsidRPr="00B12FE0">
              <w:rPr>
                <w:color w:val="000000" w:themeColor="text1"/>
                <w:kern w:val="0"/>
                <w:sz w:val="21"/>
                <w:szCs w:val="21"/>
              </w:rPr>
              <w:t>1</w:t>
            </w:r>
            <w:r w:rsidRPr="00B12FE0">
              <w:rPr>
                <w:color w:val="000000" w:themeColor="text1"/>
                <w:kern w:val="0"/>
                <w:sz w:val="21"/>
                <w:szCs w:val="21"/>
              </w:rPr>
              <w:t>次</w:t>
            </w:r>
            <w:r w:rsidRPr="00B12FE0">
              <w:rPr>
                <w:color w:val="000000" w:themeColor="text1"/>
                <w:kern w:val="0"/>
                <w:sz w:val="21"/>
                <w:szCs w:val="21"/>
              </w:rPr>
              <w:t>/</w:t>
            </w:r>
            <w:r w:rsidRPr="00B12FE0">
              <w:rPr>
                <w:color w:val="000000" w:themeColor="text1"/>
                <w:kern w:val="0"/>
                <w:sz w:val="21"/>
                <w:szCs w:val="21"/>
              </w:rPr>
              <w:t>年</w:t>
            </w:r>
          </w:p>
        </w:tc>
        <w:tc>
          <w:tcPr>
            <w:tcW w:w="745" w:type="pct"/>
            <w:vMerge w:val="restart"/>
            <w:vAlign w:val="center"/>
          </w:tcPr>
          <w:p w14:paraId="48E82E14" w14:textId="77777777" w:rsidR="00A67F21" w:rsidRPr="00B12FE0" w:rsidRDefault="00000000">
            <w:pPr>
              <w:adjustRightInd w:val="0"/>
              <w:snapToGrid w:val="0"/>
              <w:jc w:val="center"/>
              <w:rPr>
                <w:color w:val="000000" w:themeColor="text1"/>
                <w:kern w:val="0"/>
                <w:sz w:val="21"/>
                <w:szCs w:val="21"/>
              </w:rPr>
            </w:pPr>
            <w:r w:rsidRPr="00B12FE0">
              <w:rPr>
                <w:rFonts w:eastAsiaTheme="minorEastAsia"/>
                <w:bCs/>
                <w:color w:val="000000" w:themeColor="text1"/>
                <w:sz w:val="21"/>
                <w:szCs w:val="21"/>
              </w:rPr>
              <w:t>竣工验收</w:t>
            </w:r>
          </w:p>
        </w:tc>
      </w:tr>
      <w:tr w:rsidR="00A67F21" w:rsidRPr="00B12FE0" w14:paraId="2148A7A1" w14:textId="77777777">
        <w:trPr>
          <w:trHeight w:val="490"/>
          <w:jc w:val="center"/>
        </w:trPr>
        <w:tc>
          <w:tcPr>
            <w:tcW w:w="501" w:type="pct"/>
            <w:vMerge/>
            <w:vAlign w:val="center"/>
          </w:tcPr>
          <w:p w14:paraId="475B8D2D" w14:textId="77777777" w:rsidR="00A67F21" w:rsidRPr="00B12FE0" w:rsidRDefault="00A67F21">
            <w:pPr>
              <w:adjustRightInd w:val="0"/>
              <w:snapToGrid w:val="0"/>
              <w:jc w:val="center"/>
              <w:rPr>
                <w:color w:val="000000" w:themeColor="text1"/>
                <w:kern w:val="0"/>
                <w:sz w:val="21"/>
                <w:szCs w:val="21"/>
              </w:rPr>
            </w:pPr>
          </w:p>
        </w:tc>
        <w:tc>
          <w:tcPr>
            <w:tcW w:w="556" w:type="pct"/>
            <w:vAlign w:val="center"/>
          </w:tcPr>
          <w:p w14:paraId="1E43C43A" w14:textId="77777777" w:rsidR="00A67F21" w:rsidRPr="00B12FE0" w:rsidRDefault="00000000">
            <w:pPr>
              <w:adjustRightInd w:val="0"/>
              <w:snapToGrid w:val="0"/>
              <w:jc w:val="center"/>
              <w:rPr>
                <w:color w:val="000000" w:themeColor="text1"/>
                <w:kern w:val="0"/>
                <w:sz w:val="21"/>
                <w:szCs w:val="21"/>
              </w:rPr>
            </w:pPr>
            <w:r w:rsidRPr="00B12FE0">
              <w:rPr>
                <w:rFonts w:hint="eastAsia"/>
                <w:color w:val="000000" w:themeColor="text1"/>
                <w:kern w:val="0"/>
                <w:sz w:val="21"/>
                <w:szCs w:val="21"/>
              </w:rPr>
              <w:t>中子剂量率</w:t>
            </w:r>
          </w:p>
        </w:tc>
        <w:tc>
          <w:tcPr>
            <w:tcW w:w="1780" w:type="pct"/>
            <w:vMerge/>
            <w:tcBorders>
              <w:bottom w:val="single" w:sz="4" w:space="0" w:color="auto"/>
            </w:tcBorders>
            <w:vAlign w:val="center"/>
          </w:tcPr>
          <w:p w14:paraId="28CBA67C" w14:textId="77777777" w:rsidR="00A67F21" w:rsidRPr="00B12FE0" w:rsidRDefault="00A67F21">
            <w:pPr>
              <w:adjustRightInd w:val="0"/>
              <w:snapToGrid w:val="0"/>
              <w:jc w:val="center"/>
              <w:rPr>
                <w:color w:val="000000" w:themeColor="text1"/>
                <w:kern w:val="0"/>
                <w:sz w:val="21"/>
                <w:szCs w:val="21"/>
              </w:rPr>
            </w:pPr>
          </w:p>
        </w:tc>
        <w:tc>
          <w:tcPr>
            <w:tcW w:w="813" w:type="pct"/>
            <w:vMerge/>
            <w:tcBorders>
              <w:bottom w:val="single" w:sz="4" w:space="0" w:color="auto"/>
            </w:tcBorders>
            <w:vAlign w:val="center"/>
          </w:tcPr>
          <w:p w14:paraId="27BEAC7A" w14:textId="77777777" w:rsidR="00A67F21" w:rsidRPr="00B12FE0" w:rsidRDefault="00A67F21">
            <w:pPr>
              <w:adjustRightInd w:val="0"/>
              <w:snapToGrid w:val="0"/>
              <w:jc w:val="center"/>
              <w:rPr>
                <w:color w:val="000000" w:themeColor="text1"/>
                <w:kern w:val="0"/>
                <w:sz w:val="21"/>
                <w:szCs w:val="21"/>
              </w:rPr>
            </w:pPr>
          </w:p>
        </w:tc>
        <w:tc>
          <w:tcPr>
            <w:tcW w:w="605" w:type="pct"/>
            <w:vMerge/>
            <w:vAlign w:val="center"/>
          </w:tcPr>
          <w:p w14:paraId="58EB9E75" w14:textId="77777777" w:rsidR="00A67F21" w:rsidRPr="00B12FE0" w:rsidRDefault="00A67F21">
            <w:pPr>
              <w:adjustRightInd w:val="0"/>
              <w:snapToGrid w:val="0"/>
              <w:jc w:val="center"/>
              <w:rPr>
                <w:color w:val="000000" w:themeColor="text1"/>
                <w:kern w:val="0"/>
                <w:sz w:val="21"/>
                <w:szCs w:val="21"/>
              </w:rPr>
            </w:pPr>
          </w:p>
        </w:tc>
        <w:tc>
          <w:tcPr>
            <w:tcW w:w="745" w:type="pct"/>
            <w:vMerge/>
            <w:vAlign w:val="center"/>
          </w:tcPr>
          <w:p w14:paraId="622ADC0C" w14:textId="77777777" w:rsidR="00A67F21" w:rsidRPr="00B12FE0" w:rsidRDefault="00A67F21">
            <w:pPr>
              <w:adjustRightInd w:val="0"/>
              <w:snapToGrid w:val="0"/>
              <w:jc w:val="center"/>
              <w:rPr>
                <w:color w:val="000000" w:themeColor="text1"/>
                <w:kern w:val="0"/>
                <w:sz w:val="21"/>
                <w:szCs w:val="21"/>
              </w:rPr>
            </w:pPr>
          </w:p>
        </w:tc>
      </w:tr>
      <w:tr w:rsidR="00A67F21" w:rsidRPr="00B12FE0" w14:paraId="20A5EFF8" w14:textId="77777777">
        <w:trPr>
          <w:trHeight w:val="980"/>
          <w:jc w:val="center"/>
        </w:trPr>
        <w:tc>
          <w:tcPr>
            <w:tcW w:w="501" w:type="pct"/>
            <w:vAlign w:val="center"/>
          </w:tcPr>
          <w:p w14:paraId="7B539B35" w14:textId="77777777" w:rsidR="00A67F21" w:rsidRPr="00B12FE0" w:rsidRDefault="00000000">
            <w:pPr>
              <w:adjustRightInd w:val="0"/>
              <w:snapToGrid w:val="0"/>
              <w:jc w:val="center"/>
              <w:rPr>
                <w:color w:val="000000" w:themeColor="text1"/>
                <w:kern w:val="0"/>
                <w:sz w:val="21"/>
                <w:szCs w:val="21"/>
              </w:rPr>
            </w:pPr>
            <w:r w:rsidRPr="00B12FE0">
              <w:rPr>
                <w:rFonts w:cs="宋体" w:hint="eastAsia"/>
                <w:color w:val="000000" w:themeColor="text1"/>
                <w:kern w:val="0"/>
                <w:sz w:val="21"/>
                <w:szCs w:val="21"/>
              </w:rPr>
              <w:t>后装机机房</w:t>
            </w:r>
          </w:p>
        </w:tc>
        <w:tc>
          <w:tcPr>
            <w:tcW w:w="556" w:type="pct"/>
            <w:vAlign w:val="center"/>
          </w:tcPr>
          <w:p w14:paraId="51764AA5" w14:textId="77777777" w:rsidR="00A67F21" w:rsidRPr="00B12FE0" w:rsidRDefault="00000000">
            <w:pPr>
              <w:adjustRightInd w:val="0"/>
              <w:snapToGrid w:val="0"/>
              <w:jc w:val="center"/>
              <w:rPr>
                <w:rFonts w:ascii="宋体" w:hAnsi="宋体" w:hint="eastAsia"/>
                <w:color w:val="000000" w:themeColor="text1"/>
                <w:kern w:val="0"/>
                <w:sz w:val="21"/>
                <w:szCs w:val="21"/>
              </w:rPr>
            </w:pPr>
            <w:r w:rsidRPr="00B12FE0">
              <w:rPr>
                <w:rFonts w:cs="宋体" w:hint="eastAsia"/>
                <w:color w:val="000000" w:themeColor="text1"/>
                <w:kern w:val="0"/>
                <w:sz w:val="21"/>
                <w:szCs w:val="21"/>
              </w:rPr>
              <w:t>周围剂量当量率</w:t>
            </w:r>
          </w:p>
        </w:tc>
        <w:tc>
          <w:tcPr>
            <w:tcW w:w="1780" w:type="pct"/>
            <w:tcBorders>
              <w:top w:val="single" w:sz="4" w:space="0" w:color="auto"/>
              <w:bottom w:val="single" w:sz="4" w:space="0" w:color="auto"/>
            </w:tcBorders>
            <w:vAlign w:val="center"/>
          </w:tcPr>
          <w:p w14:paraId="421A88AA" w14:textId="77777777" w:rsidR="00A67F21" w:rsidRPr="00B12FE0" w:rsidRDefault="00000000">
            <w:pPr>
              <w:adjustRightInd w:val="0"/>
              <w:snapToGrid w:val="0"/>
              <w:jc w:val="center"/>
              <w:rPr>
                <w:color w:val="000000" w:themeColor="text1"/>
                <w:kern w:val="0"/>
                <w:sz w:val="21"/>
                <w:szCs w:val="21"/>
              </w:rPr>
            </w:pPr>
            <w:r w:rsidRPr="00B12FE0">
              <w:rPr>
                <w:rFonts w:cs="宋体" w:hint="eastAsia"/>
                <w:color w:val="000000" w:themeColor="text1"/>
                <w:kern w:val="0"/>
                <w:sz w:val="21"/>
                <w:szCs w:val="21"/>
              </w:rPr>
              <w:t>后装机房防护门外、门缝、电缆线沟、</w:t>
            </w:r>
            <w:proofErr w:type="gramStart"/>
            <w:r w:rsidRPr="00B12FE0">
              <w:rPr>
                <w:rFonts w:cs="宋体" w:hint="eastAsia"/>
                <w:color w:val="000000" w:themeColor="text1"/>
                <w:kern w:val="0"/>
                <w:sz w:val="21"/>
                <w:szCs w:val="21"/>
              </w:rPr>
              <w:t>进排风管</w:t>
            </w:r>
            <w:proofErr w:type="gramEnd"/>
            <w:r w:rsidRPr="00B12FE0">
              <w:rPr>
                <w:rFonts w:cs="宋体" w:hint="eastAsia"/>
                <w:color w:val="000000" w:themeColor="text1"/>
                <w:kern w:val="0"/>
                <w:sz w:val="21"/>
                <w:szCs w:val="21"/>
              </w:rPr>
              <w:t>口、控制室操作位、四侧墙体外</w:t>
            </w:r>
            <w:r w:rsidRPr="00B12FE0">
              <w:rPr>
                <w:rFonts w:cs="宋体" w:hint="eastAsia"/>
                <w:color w:val="000000" w:themeColor="text1"/>
                <w:kern w:val="0"/>
                <w:sz w:val="21"/>
                <w:szCs w:val="21"/>
              </w:rPr>
              <w:t>30cm</w:t>
            </w:r>
            <w:r w:rsidRPr="00B12FE0">
              <w:rPr>
                <w:rFonts w:cs="宋体" w:hint="eastAsia"/>
                <w:color w:val="000000" w:themeColor="text1"/>
                <w:kern w:val="0"/>
                <w:sz w:val="21"/>
                <w:szCs w:val="21"/>
              </w:rPr>
              <w:t>处</w:t>
            </w:r>
          </w:p>
        </w:tc>
        <w:tc>
          <w:tcPr>
            <w:tcW w:w="813" w:type="pct"/>
            <w:tcBorders>
              <w:top w:val="single" w:sz="4" w:space="0" w:color="auto"/>
              <w:bottom w:val="single" w:sz="4" w:space="0" w:color="auto"/>
            </w:tcBorders>
            <w:vAlign w:val="center"/>
          </w:tcPr>
          <w:p w14:paraId="0EF9AABE" w14:textId="77777777" w:rsidR="00A67F21" w:rsidRPr="00B12FE0" w:rsidRDefault="00000000">
            <w:pPr>
              <w:adjustRightInd w:val="0"/>
              <w:snapToGrid w:val="0"/>
              <w:jc w:val="center"/>
              <w:rPr>
                <w:color w:val="000000" w:themeColor="text1"/>
                <w:kern w:val="0"/>
                <w:sz w:val="21"/>
                <w:szCs w:val="21"/>
              </w:rPr>
            </w:pPr>
            <w:r w:rsidRPr="00B12FE0">
              <w:rPr>
                <w:rFonts w:cs="宋体"/>
                <w:color w:val="000000" w:themeColor="text1"/>
                <w:kern w:val="0"/>
                <w:sz w:val="21"/>
                <w:szCs w:val="21"/>
              </w:rPr>
              <w:t>1</w:t>
            </w:r>
            <w:r w:rsidRPr="00B12FE0">
              <w:rPr>
                <w:rFonts w:cs="宋体" w:hint="eastAsia"/>
                <w:color w:val="000000" w:themeColor="text1"/>
                <w:kern w:val="0"/>
                <w:sz w:val="21"/>
                <w:szCs w:val="21"/>
              </w:rPr>
              <w:t>次</w:t>
            </w:r>
            <w:r w:rsidRPr="00B12FE0">
              <w:rPr>
                <w:rFonts w:cs="宋体"/>
                <w:color w:val="000000" w:themeColor="text1"/>
                <w:kern w:val="0"/>
                <w:sz w:val="21"/>
                <w:szCs w:val="21"/>
              </w:rPr>
              <w:t>/</w:t>
            </w:r>
            <w:r w:rsidRPr="00B12FE0">
              <w:rPr>
                <w:rFonts w:cs="宋体" w:hint="eastAsia"/>
                <w:color w:val="000000" w:themeColor="text1"/>
                <w:kern w:val="0"/>
                <w:sz w:val="21"/>
                <w:szCs w:val="21"/>
                <w:lang w:eastAsia="zh-Hans"/>
              </w:rPr>
              <w:t>季度</w:t>
            </w:r>
          </w:p>
        </w:tc>
        <w:tc>
          <w:tcPr>
            <w:tcW w:w="605" w:type="pct"/>
            <w:vAlign w:val="center"/>
          </w:tcPr>
          <w:p w14:paraId="1B17EB5B" w14:textId="77777777" w:rsidR="00A67F21" w:rsidRPr="00B12FE0" w:rsidRDefault="00000000">
            <w:pPr>
              <w:adjustRightInd w:val="0"/>
              <w:snapToGrid w:val="0"/>
              <w:jc w:val="center"/>
              <w:rPr>
                <w:color w:val="000000" w:themeColor="text1"/>
                <w:kern w:val="0"/>
                <w:sz w:val="21"/>
                <w:szCs w:val="21"/>
              </w:rPr>
            </w:pPr>
            <w:r w:rsidRPr="00B12FE0">
              <w:rPr>
                <w:rFonts w:cs="宋体"/>
                <w:color w:val="000000" w:themeColor="text1"/>
                <w:kern w:val="0"/>
                <w:sz w:val="21"/>
                <w:szCs w:val="21"/>
              </w:rPr>
              <w:t>1</w:t>
            </w:r>
            <w:r w:rsidRPr="00B12FE0">
              <w:rPr>
                <w:rFonts w:cs="宋体"/>
                <w:color w:val="000000" w:themeColor="text1"/>
                <w:kern w:val="0"/>
                <w:sz w:val="21"/>
                <w:szCs w:val="21"/>
              </w:rPr>
              <w:t>次</w:t>
            </w:r>
            <w:r w:rsidRPr="00B12FE0">
              <w:rPr>
                <w:rFonts w:cs="宋体"/>
                <w:color w:val="000000" w:themeColor="text1"/>
                <w:kern w:val="0"/>
                <w:sz w:val="21"/>
                <w:szCs w:val="21"/>
              </w:rPr>
              <w:t>/</w:t>
            </w:r>
            <w:r w:rsidRPr="00B12FE0">
              <w:rPr>
                <w:rFonts w:cs="宋体"/>
                <w:color w:val="000000" w:themeColor="text1"/>
                <w:kern w:val="0"/>
                <w:sz w:val="21"/>
                <w:szCs w:val="21"/>
              </w:rPr>
              <w:t>年</w:t>
            </w:r>
          </w:p>
        </w:tc>
        <w:tc>
          <w:tcPr>
            <w:tcW w:w="745" w:type="pct"/>
            <w:vAlign w:val="center"/>
          </w:tcPr>
          <w:p w14:paraId="7FACBB9A" w14:textId="77777777" w:rsidR="00A67F21" w:rsidRPr="00B12FE0" w:rsidRDefault="00000000">
            <w:pPr>
              <w:adjustRightInd w:val="0"/>
              <w:snapToGrid w:val="0"/>
              <w:jc w:val="center"/>
              <w:rPr>
                <w:color w:val="000000" w:themeColor="text1"/>
                <w:kern w:val="0"/>
                <w:sz w:val="21"/>
                <w:szCs w:val="21"/>
              </w:rPr>
            </w:pPr>
            <w:r w:rsidRPr="00B12FE0">
              <w:rPr>
                <w:rFonts w:eastAsiaTheme="minorEastAsia"/>
                <w:bCs/>
                <w:color w:val="000000" w:themeColor="text1"/>
                <w:sz w:val="21"/>
                <w:szCs w:val="21"/>
              </w:rPr>
              <w:t>竣工验收</w:t>
            </w:r>
          </w:p>
        </w:tc>
      </w:tr>
      <w:tr w:rsidR="00A67F21" w:rsidRPr="00B12FE0" w14:paraId="56F1DD4F" w14:textId="77777777">
        <w:trPr>
          <w:trHeight w:val="980"/>
          <w:jc w:val="center"/>
        </w:trPr>
        <w:tc>
          <w:tcPr>
            <w:tcW w:w="501" w:type="pct"/>
            <w:vAlign w:val="center"/>
          </w:tcPr>
          <w:p w14:paraId="18F3BBA9" w14:textId="77777777" w:rsidR="00A67F21" w:rsidRPr="00B12FE0" w:rsidRDefault="00000000">
            <w:pPr>
              <w:adjustRightInd w:val="0"/>
              <w:snapToGrid w:val="0"/>
              <w:jc w:val="center"/>
              <w:rPr>
                <w:rFonts w:cs="宋体"/>
                <w:color w:val="000000" w:themeColor="text1"/>
                <w:kern w:val="0"/>
                <w:sz w:val="21"/>
                <w:szCs w:val="21"/>
              </w:rPr>
            </w:pPr>
            <w:r w:rsidRPr="00B12FE0">
              <w:rPr>
                <w:rFonts w:cs="宋体" w:hint="eastAsia"/>
                <w:color w:val="000000" w:themeColor="text1"/>
                <w:kern w:val="0"/>
                <w:sz w:val="21"/>
                <w:szCs w:val="21"/>
              </w:rPr>
              <w:t>模拟定位</w:t>
            </w:r>
            <w:r w:rsidRPr="00B12FE0">
              <w:rPr>
                <w:rFonts w:cs="宋体" w:hint="eastAsia"/>
                <w:color w:val="000000" w:themeColor="text1"/>
                <w:kern w:val="0"/>
                <w:sz w:val="21"/>
                <w:szCs w:val="21"/>
              </w:rPr>
              <w:t>CT</w:t>
            </w:r>
          </w:p>
        </w:tc>
        <w:tc>
          <w:tcPr>
            <w:tcW w:w="556" w:type="pct"/>
            <w:vAlign w:val="center"/>
          </w:tcPr>
          <w:p w14:paraId="59730F92" w14:textId="77777777" w:rsidR="00A67F21" w:rsidRPr="00B12FE0" w:rsidRDefault="00000000">
            <w:pPr>
              <w:adjustRightInd w:val="0"/>
              <w:snapToGrid w:val="0"/>
              <w:jc w:val="center"/>
              <w:rPr>
                <w:rFonts w:cs="宋体"/>
                <w:color w:val="000000" w:themeColor="text1"/>
                <w:kern w:val="0"/>
                <w:sz w:val="21"/>
                <w:szCs w:val="21"/>
              </w:rPr>
            </w:pPr>
            <w:r w:rsidRPr="00B12FE0">
              <w:rPr>
                <w:rFonts w:cs="宋体" w:hint="eastAsia"/>
                <w:color w:val="000000" w:themeColor="text1"/>
                <w:kern w:val="0"/>
                <w:sz w:val="21"/>
                <w:szCs w:val="21"/>
              </w:rPr>
              <w:t>周围剂量当量率</w:t>
            </w:r>
          </w:p>
        </w:tc>
        <w:tc>
          <w:tcPr>
            <w:tcW w:w="1780" w:type="pct"/>
            <w:tcBorders>
              <w:top w:val="single" w:sz="4" w:space="0" w:color="auto"/>
              <w:bottom w:val="single" w:sz="4" w:space="0" w:color="auto"/>
            </w:tcBorders>
            <w:vAlign w:val="center"/>
          </w:tcPr>
          <w:p w14:paraId="2E293154" w14:textId="77777777" w:rsidR="00A67F21" w:rsidRPr="00B12FE0" w:rsidRDefault="00000000">
            <w:pPr>
              <w:adjustRightInd w:val="0"/>
              <w:snapToGrid w:val="0"/>
              <w:jc w:val="center"/>
              <w:rPr>
                <w:rFonts w:cs="宋体"/>
                <w:color w:val="000000" w:themeColor="text1"/>
                <w:kern w:val="0"/>
                <w:sz w:val="21"/>
                <w:szCs w:val="21"/>
              </w:rPr>
            </w:pPr>
            <w:r w:rsidRPr="00B12FE0">
              <w:rPr>
                <w:rFonts w:cs="宋体"/>
                <w:color w:val="000000" w:themeColor="text1"/>
                <w:sz w:val="21"/>
                <w:szCs w:val="21"/>
              </w:rPr>
              <w:t>防护门外、门缝、</w:t>
            </w:r>
            <w:r w:rsidRPr="00B12FE0">
              <w:rPr>
                <w:rFonts w:cs="宋体" w:hint="eastAsia"/>
                <w:color w:val="000000" w:themeColor="text1"/>
                <w:sz w:val="21"/>
                <w:szCs w:val="21"/>
              </w:rPr>
              <w:t>观察窗、</w:t>
            </w:r>
            <w:r w:rsidRPr="00B12FE0">
              <w:rPr>
                <w:rFonts w:cs="宋体"/>
                <w:color w:val="000000" w:themeColor="text1"/>
                <w:sz w:val="21"/>
                <w:szCs w:val="21"/>
              </w:rPr>
              <w:t>控制室操作位、</w:t>
            </w:r>
            <w:proofErr w:type="gramStart"/>
            <w:r w:rsidRPr="00B12FE0">
              <w:rPr>
                <w:rFonts w:cs="宋体"/>
                <w:color w:val="000000" w:themeColor="text1"/>
                <w:sz w:val="21"/>
                <w:szCs w:val="21"/>
              </w:rPr>
              <w:t>各侧屏蔽</w:t>
            </w:r>
            <w:proofErr w:type="gramEnd"/>
            <w:r w:rsidRPr="00B12FE0">
              <w:rPr>
                <w:rFonts w:cs="宋体"/>
                <w:color w:val="000000" w:themeColor="text1"/>
                <w:sz w:val="21"/>
                <w:szCs w:val="21"/>
              </w:rPr>
              <w:t>墙外</w:t>
            </w:r>
            <w:r w:rsidRPr="00B12FE0">
              <w:rPr>
                <w:rFonts w:cs="宋体"/>
                <w:color w:val="000000" w:themeColor="text1"/>
                <w:sz w:val="21"/>
                <w:szCs w:val="21"/>
              </w:rPr>
              <w:t>30cm</w:t>
            </w:r>
            <w:r w:rsidRPr="00B12FE0">
              <w:rPr>
                <w:rFonts w:cs="宋体"/>
                <w:color w:val="000000" w:themeColor="text1"/>
                <w:sz w:val="21"/>
                <w:szCs w:val="21"/>
              </w:rPr>
              <w:t>处</w:t>
            </w:r>
            <w:r w:rsidRPr="00B12FE0">
              <w:rPr>
                <w:rFonts w:cs="宋体" w:hint="eastAsia"/>
                <w:color w:val="000000" w:themeColor="text1"/>
                <w:sz w:val="21"/>
                <w:szCs w:val="21"/>
              </w:rPr>
              <w:t>、顶棚</w:t>
            </w:r>
            <w:r w:rsidRPr="00B12FE0">
              <w:rPr>
                <w:rFonts w:cs="宋体" w:hint="eastAsia"/>
                <w:color w:val="000000" w:themeColor="text1"/>
                <w:sz w:val="21"/>
                <w:szCs w:val="21"/>
              </w:rPr>
              <w:t>100cm</w:t>
            </w:r>
            <w:r w:rsidRPr="00B12FE0">
              <w:rPr>
                <w:rFonts w:cs="宋体" w:hint="eastAsia"/>
                <w:color w:val="000000" w:themeColor="text1"/>
                <w:sz w:val="21"/>
                <w:szCs w:val="21"/>
              </w:rPr>
              <w:t>处</w:t>
            </w:r>
            <w:r w:rsidRPr="00B12FE0">
              <w:rPr>
                <w:rFonts w:cs="宋体"/>
                <w:color w:val="000000" w:themeColor="text1"/>
                <w:sz w:val="21"/>
                <w:szCs w:val="21"/>
              </w:rPr>
              <w:t>及周围需要关注的监督区</w:t>
            </w:r>
          </w:p>
        </w:tc>
        <w:tc>
          <w:tcPr>
            <w:tcW w:w="813" w:type="pct"/>
            <w:tcBorders>
              <w:top w:val="single" w:sz="4" w:space="0" w:color="auto"/>
              <w:bottom w:val="single" w:sz="4" w:space="0" w:color="auto"/>
            </w:tcBorders>
            <w:vAlign w:val="center"/>
          </w:tcPr>
          <w:p w14:paraId="7D561C75" w14:textId="77777777" w:rsidR="00A67F21" w:rsidRPr="00B12FE0" w:rsidRDefault="00000000">
            <w:pPr>
              <w:adjustRightInd w:val="0"/>
              <w:snapToGrid w:val="0"/>
              <w:jc w:val="center"/>
              <w:rPr>
                <w:rFonts w:cs="宋体"/>
                <w:color w:val="000000" w:themeColor="text1"/>
                <w:kern w:val="0"/>
                <w:sz w:val="21"/>
                <w:szCs w:val="21"/>
              </w:rPr>
            </w:pPr>
            <w:r w:rsidRPr="00B12FE0">
              <w:rPr>
                <w:rFonts w:cs="宋体"/>
                <w:color w:val="000000" w:themeColor="text1"/>
                <w:kern w:val="0"/>
                <w:sz w:val="21"/>
                <w:szCs w:val="21"/>
              </w:rPr>
              <w:t>1</w:t>
            </w:r>
            <w:r w:rsidRPr="00B12FE0">
              <w:rPr>
                <w:rFonts w:cs="宋体" w:hint="eastAsia"/>
                <w:color w:val="000000" w:themeColor="text1"/>
                <w:kern w:val="0"/>
                <w:sz w:val="21"/>
                <w:szCs w:val="21"/>
              </w:rPr>
              <w:t>次</w:t>
            </w:r>
            <w:r w:rsidRPr="00B12FE0">
              <w:rPr>
                <w:rFonts w:cs="宋体"/>
                <w:color w:val="000000" w:themeColor="text1"/>
                <w:kern w:val="0"/>
                <w:sz w:val="21"/>
                <w:szCs w:val="21"/>
              </w:rPr>
              <w:t>/</w:t>
            </w:r>
            <w:r w:rsidRPr="00B12FE0">
              <w:rPr>
                <w:rFonts w:cs="宋体" w:hint="eastAsia"/>
                <w:color w:val="000000" w:themeColor="text1"/>
                <w:kern w:val="0"/>
                <w:sz w:val="21"/>
                <w:szCs w:val="21"/>
                <w:lang w:eastAsia="zh-Hans"/>
              </w:rPr>
              <w:t>季度</w:t>
            </w:r>
          </w:p>
        </w:tc>
        <w:tc>
          <w:tcPr>
            <w:tcW w:w="605" w:type="pct"/>
            <w:vAlign w:val="center"/>
          </w:tcPr>
          <w:p w14:paraId="6B8EB681" w14:textId="77777777" w:rsidR="00A67F21" w:rsidRPr="00B12FE0" w:rsidRDefault="00000000">
            <w:pPr>
              <w:adjustRightInd w:val="0"/>
              <w:snapToGrid w:val="0"/>
              <w:jc w:val="center"/>
              <w:rPr>
                <w:rFonts w:cs="宋体"/>
                <w:color w:val="000000" w:themeColor="text1"/>
                <w:kern w:val="0"/>
                <w:sz w:val="21"/>
                <w:szCs w:val="21"/>
              </w:rPr>
            </w:pPr>
            <w:r w:rsidRPr="00B12FE0">
              <w:rPr>
                <w:rFonts w:cs="宋体"/>
                <w:color w:val="000000" w:themeColor="text1"/>
                <w:kern w:val="0"/>
                <w:sz w:val="21"/>
                <w:szCs w:val="21"/>
              </w:rPr>
              <w:t>1</w:t>
            </w:r>
            <w:r w:rsidRPr="00B12FE0">
              <w:rPr>
                <w:rFonts w:cs="宋体"/>
                <w:color w:val="000000" w:themeColor="text1"/>
                <w:kern w:val="0"/>
                <w:sz w:val="21"/>
                <w:szCs w:val="21"/>
              </w:rPr>
              <w:t>次</w:t>
            </w:r>
            <w:r w:rsidRPr="00B12FE0">
              <w:rPr>
                <w:rFonts w:cs="宋体"/>
                <w:color w:val="000000" w:themeColor="text1"/>
                <w:kern w:val="0"/>
                <w:sz w:val="21"/>
                <w:szCs w:val="21"/>
              </w:rPr>
              <w:t>/</w:t>
            </w:r>
            <w:r w:rsidRPr="00B12FE0">
              <w:rPr>
                <w:rFonts w:cs="宋体"/>
                <w:color w:val="000000" w:themeColor="text1"/>
                <w:kern w:val="0"/>
                <w:sz w:val="21"/>
                <w:szCs w:val="21"/>
              </w:rPr>
              <w:t>年</w:t>
            </w:r>
          </w:p>
        </w:tc>
        <w:tc>
          <w:tcPr>
            <w:tcW w:w="745" w:type="pct"/>
            <w:vAlign w:val="center"/>
          </w:tcPr>
          <w:p w14:paraId="5CFC5265" w14:textId="77777777" w:rsidR="00A67F21" w:rsidRPr="00B12FE0" w:rsidRDefault="00000000">
            <w:pPr>
              <w:adjustRightInd w:val="0"/>
              <w:snapToGrid w:val="0"/>
              <w:jc w:val="center"/>
              <w:rPr>
                <w:rFonts w:eastAsiaTheme="minorEastAsia"/>
                <w:bCs/>
                <w:color w:val="000000" w:themeColor="text1"/>
                <w:sz w:val="21"/>
                <w:szCs w:val="21"/>
              </w:rPr>
            </w:pPr>
            <w:r w:rsidRPr="00B12FE0">
              <w:rPr>
                <w:rFonts w:eastAsiaTheme="minorEastAsia"/>
                <w:bCs/>
                <w:color w:val="000000" w:themeColor="text1"/>
                <w:sz w:val="21"/>
                <w:szCs w:val="21"/>
              </w:rPr>
              <w:t>竣工验收</w:t>
            </w:r>
          </w:p>
        </w:tc>
      </w:tr>
    </w:tbl>
    <w:p w14:paraId="17C3F9C4" w14:textId="77777777" w:rsidR="00A67F21" w:rsidRPr="00B12FE0" w:rsidRDefault="00000000">
      <w:pPr>
        <w:adjustRightInd w:val="0"/>
        <w:snapToGrid w:val="0"/>
        <w:spacing w:beforeLines="50" w:before="120" w:line="360" w:lineRule="auto"/>
        <w:outlineLvl w:val="1"/>
        <w:rPr>
          <w:b/>
          <w:bCs/>
          <w:color w:val="000000" w:themeColor="text1"/>
          <w:sz w:val="28"/>
          <w:szCs w:val="28"/>
        </w:rPr>
      </w:pPr>
      <w:r w:rsidRPr="00B12FE0">
        <w:rPr>
          <w:b/>
          <w:bCs/>
          <w:color w:val="000000" w:themeColor="text1"/>
          <w:sz w:val="28"/>
          <w:szCs w:val="28"/>
        </w:rPr>
        <w:t>12.4</w:t>
      </w:r>
      <w:r w:rsidRPr="00B12FE0">
        <w:rPr>
          <w:b/>
          <w:bCs/>
          <w:color w:val="000000" w:themeColor="text1"/>
          <w:sz w:val="28"/>
          <w:szCs w:val="28"/>
        </w:rPr>
        <w:t>辐射事故应急</w:t>
      </w:r>
    </w:p>
    <w:p w14:paraId="5451946A" w14:textId="77777777" w:rsidR="00A67F21" w:rsidRPr="00B12FE0" w:rsidRDefault="00000000">
      <w:pPr>
        <w:adjustRightInd w:val="0"/>
        <w:snapToGrid w:val="0"/>
        <w:spacing w:line="360" w:lineRule="auto"/>
        <w:outlineLvl w:val="2"/>
        <w:rPr>
          <w:rFonts w:cs="宋体"/>
          <w:b/>
          <w:bCs/>
          <w:color w:val="000000" w:themeColor="text1"/>
          <w:szCs w:val="21"/>
        </w:rPr>
      </w:pPr>
      <w:r w:rsidRPr="00B12FE0">
        <w:rPr>
          <w:rFonts w:cs="宋体"/>
          <w:b/>
          <w:bCs/>
          <w:color w:val="000000" w:themeColor="text1"/>
        </w:rPr>
        <w:t>12.</w:t>
      </w:r>
      <w:r w:rsidRPr="00B12FE0">
        <w:rPr>
          <w:b/>
          <w:bCs/>
          <w:color w:val="000000" w:themeColor="text1"/>
        </w:rPr>
        <w:t>4</w:t>
      </w:r>
      <w:r w:rsidRPr="00B12FE0">
        <w:rPr>
          <w:rFonts w:cs="宋体"/>
          <w:b/>
          <w:bCs/>
          <w:color w:val="000000" w:themeColor="text1"/>
        </w:rPr>
        <w:t>.1</w:t>
      </w:r>
      <w:r w:rsidRPr="00B12FE0">
        <w:rPr>
          <w:rFonts w:ascii="宋体" w:hAnsi="宋体" w:hint="eastAsia"/>
          <w:b/>
          <w:bCs/>
          <w:color w:val="000000" w:themeColor="text1"/>
        </w:rPr>
        <w:t>应急预案的要求</w:t>
      </w:r>
    </w:p>
    <w:p w14:paraId="58B799E5" w14:textId="77777777" w:rsidR="00A67F21" w:rsidRPr="00B12FE0" w:rsidRDefault="00000000">
      <w:pPr>
        <w:spacing w:line="360" w:lineRule="auto"/>
        <w:ind w:firstLineChars="200" w:firstLine="480"/>
        <w:rPr>
          <w:rFonts w:cs="宋体"/>
          <w:color w:val="000000" w:themeColor="text1"/>
        </w:rPr>
      </w:pPr>
      <w:r w:rsidRPr="00B12FE0">
        <w:rPr>
          <w:rFonts w:ascii="宋体" w:hAnsi="宋体" w:hint="eastAsia"/>
          <w:iCs/>
          <w:color w:val="000000" w:themeColor="text1"/>
        </w:rPr>
        <w:t>根据《放射性同位素与射线装置安全和防护条例》第四十一条</w:t>
      </w:r>
      <w:r w:rsidRPr="00B12FE0">
        <w:rPr>
          <w:rFonts w:ascii="宋体" w:hAnsi="宋体" w:hint="eastAsia"/>
          <w:color w:val="000000" w:themeColor="text1"/>
        </w:rPr>
        <w:t>对辐射事故应急预案内容的要求，辐射事故应急预案应当包括下列内容：</w:t>
      </w:r>
    </w:p>
    <w:p w14:paraId="1697DBE8" w14:textId="77777777" w:rsidR="00A67F21" w:rsidRPr="00B12FE0" w:rsidRDefault="00000000">
      <w:pPr>
        <w:spacing w:line="360" w:lineRule="auto"/>
        <w:ind w:firstLineChars="200" w:firstLine="480"/>
        <w:rPr>
          <w:rFonts w:cs="宋体"/>
          <w:color w:val="000000" w:themeColor="text1"/>
        </w:rPr>
      </w:pPr>
      <w:r w:rsidRPr="00B12FE0">
        <w:rPr>
          <w:rFonts w:ascii="宋体" w:hAnsi="宋体" w:hint="eastAsia"/>
          <w:color w:val="000000" w:themeColor="text1"/>
        </w:rPr>
        <w:t>（</w:t>
      </w:r>
      <w:r w:rsidRPr="00B12FE0">
        <w:rPr>
          <w:rFonts w:cs="宋体"/>
          <w:color w:val="000000" w:themeColor="text1"/>
        </w:rPr>
        <w:t>1</w:t>
      </w:r>
      <w:r w:rsidRPr="00B12FE0">
        <w:rPr>
          <w:rFonts w:ascii="宋体" w:hAnsi="宋体" w:hint="eastAsia"/>
          <w:color w:val="000000" w:themeColor="text1"/>
        </w:rPr>
        <w:t>）应急机构和职责分工；</w:t>
      </w:r>
    </w:p>
    <w:p w14:paraId="5ADC1478" w14:textId="77777777" w:rsidR="00A67F21" w:rsidRPr="00B12FE0" w:rsidRDefault="00000000">
      <w:pPr>
        <w:spacing w:line="360" w:lineRule="auto"/>
        <w:ind w:firstLineChars="200" w:firstLine="480"/>
        <w:rPr>
          <w:rFonts w:cs="宋体"/>
          <w:color w:val="000000" w:themeColor="text1"/>
        </w:rPr>
      </w:pPr>
      <w:r w:rsidRPr="00B12FE0">
        <w:rPr>
          <w:rFonts w:ascii="宋体" w:hAnsi="宋体" w:hint="eastAsia"/>
          <w:color w:val="000000" w:themeColor="text1"/>
        </w:rPr>
        <w:t>（</w:t>
      </w:r>
      <w:r w:rsidRPr="00B12FE0">
        <w:rPr>
          <w:rFonts w:cs="宋体"/>
          <w:color w:val="000000" w:themeColor="text1"/>
        </w:rPr>
        <w:t>2</w:t>
      </w:r>
      <w:r w:rsidRPr="00B12FE0">
        <w:rPr>
          <w:rFonts w:ascii="宋体" w:hAnsi="宋体" w:hint="eastAsia"/>
          <w:color w:val="000000" w:themeColor="text1"/>
        </w:rPr>
        <w:t>）应急人员的组织、培训以及应急和救助的装备、资金、物资准备；</w:t>
      </w:r>
    </w:p>
    <w:p w14:paraId="480A1A7B" w14:textId="77777777" w:rsidR="00A67F21" w:rsidRPr="00B12FE0" w:rsidRDefault="00000000">
      <w:pPr>
        <w:spacing w:line="360" w:lineRule="auto"/>
        <w:ind w:firstLineChars="200" w:firstLine="480"/>
        <w:rPr>
          <w:rFonts w:cs="宋体"/>
          <w:color w:val="000000" w:themeColor="text1"/>
        </w:rPr>
      </w:pPr>
      <w:r w:rsidRPr="00B12FE0">
        <w:rPr>
          <w:rFonts w:ascii="宋体" w:hAnsi="宋体" w:hint="eastAsia"/>
          <w:color w:val="000000" w:themeColor="text1"/>
        </w:rPr>
        <w:t>（</w:t>
      </w:r>
      <w:r w:rsidRPr="00B12FE0">
        <w:rPr>
          <w:rFonts w:cs="宋体"/>
          <w:color w:val="000000" w:themeColor="text1"/>
        </w:rPr>
        <w:t>3</w:t>
      </w:r>
      <w:r w:rsidRPr="00B12FE0">
        <w:rPr>
          <w:rFonts w:ascii="宋体" w:hAnsi="宋体" w:hint="eastAsia"/>
          <w:color w:val="000000" w:themeColor="text1"/>
        </w:rPr>
        <w:t>）辐射事故分级与应急响应措施；</w:t>
      </w:r>
    </w:p>
    <w:p w14:paraId="46A6C72F" w14:textId="77777777" w:rsidR="00A67F21" w:rsidRPr="00B12FE0" w:rsidRDefault="00000000">
      <w:pPr>
        <w:spacing w:line="360" w:lineRule="auto"/>
        <w:ind w:firstLineChars="200" w:firstLine="480"/>
        <w:rPr>
          <w:rFonts w:ascii="宋体" w:hAnsi="宋体" w:hint="eastAsia"/>
          <w:color w:val="000000" w:themeColor="text1"/>
        </w:rPr>
      </w:pPr>
      <w:r w:rsidRPr="00B12FE0">
        <w:rPr>
          <w:rFonts w:ascii="宋体" w:hAnsi="宋体" w:hint="eastAsia"/>
          <w:color w:val="000000" w:themeColor="text1"/>
        </w:rPr>
        <w:t>（</w:t>
      </w:r>
      <w:r w:rsidRPr="00B12FE0">
        <w:rPr>
          <w:rFonts w:cs="宋体"/>
          <w:color w:val="000000" w:themeColor="text1"/>
        </w:rPr>
        <w:t>4</w:t>
      </w:r>
      <w:r w:rsidRPr="00B12FE0">
        <w:rPr>
          <w:rFonts w:ascii="宋体" w:hAnsi="宋体" w:hint="eastAsia"/>
          <w:color w:val="000000" w:themeColor="text1"/>
        </w:rPr>
        <w:t>）辐射事故的调查、报告和处理程序。</w:t>
      </w:r>
    </w:p>
    <w:p w14:paraId="07344280" w14:textId="77777777" w:rsidR="00A67F21" w:rsidRPr="00B12FE0" w:rsidRDefault="00000000">
      <w:pPr>
        <w:kinsoku w:val="0"/>
        <w:overflowPunct w:val="0"/>
        <w:autoSpaceDE w:val="0"/>
        <w:autoSpaceDN w:val="0"/>
        <w:adjustRightInd w:val="0"/>
        <w:spacing w:line="360" w:lineRule="auto"/>
        <w:outlineLvl w:val="2"/>
        <w:rPr>
          <w:b/>
          <w:bCs/>
          <w:color w:val="000000" w:themeColor="text1"/>
        </w:rPr>
      </w:pPr>
      <w:r w:rsidRPr="00B12FE0">
        <w:rPr>
          <w:b/>
          <w:bCs/>
          <w:color w:val="000000" w:themeColor="text1"/>
        </w:rPr>
        <w:t xml:space="preserve">12.4.2 </w:t>
      </w:r>
      <w:r w:rsidRPr="00B12FE0">
        <w:rPr>
          <w:rFonts w:ascii="宋体" w:hAnsi="宋体"/>
          <w:b/>
          <w:bCs/>
          <w:color w:val="000000" w:themeColor="text1"/>
        </w:rPr>
        <w:t>医院现有应急预案存在的问题与不足</w:t>
      </w:r>
    </w:p>
    <w:p w14:paraId="7AE7D59B" w14:textId="77777777" w:rsidR="00A67F21" w:rsidRPr="00B12FE0" w:rsidRDefault="00000000">
      <w:pPr>
        <w:adjustRightInd w:val="0"/>
        <w:snapToGrid w:val="0"/>
        <w:spacing w:line="360" w:lineRule="auto"/>
        <w:ind w:firstLine="480"/>
        <w:rPr>
          <w:color w:val="000000" w:themeColor="text1"/>
        </w:rPr>
      </w:pPr>
      <w:r w:rsidRPr="00B12FE0">
        <w:rPr>
          <w:color w:val="000000" w:themeColor="text1"/>
          <w:szCs w:val="24"/>
        </w:rPr>
        <w:t>医院已制定有《</w:t>
      </w:r>
      <w:r w:rsidRPr="00B12FE0">
        <w:rPr>
          <w:rFonts w:hint="eastAsia"/>
          <w:color w:val="000000" w:themeColor="text1"/>
          <w:szCs w:val="24"/>
        </w:rPr>
        <w:t>辐射事故应急预案</w:t>
      </w:r>
      <w:r w:rsidRPr="00B12FE0">
        <w:rPr>
          <w:color w:val="000000" w:themeColor="text1"/>
          <w:szCs w:val="24"/>
        </w:rPr>
        <w:t>》</w:t>
      </w:r>
      <w:r w:rsidRPr="00B12FE0">
        <w:rPr>
          <w:rFonts w:hint="eastAsia"/>
          <w:color w:val="000000" w:themeColor="text1"/>
          <w:szCs w:val="24"/>
        </w:rPr>
        <w:t>（具体见附件</w:t>
      </w:r>
      <w:r w:rsidRPr="00B12FE0">
        <w:rPr>
          <w:rFonts w:hint="eastAsia"/>
          <w:color w:val="000000" w:themeColor="text1"/>
          <w:szCs w:val="24"/>
        </w:rPr>
        <w:t>7</w:t>
      </w:r>
      <w:r w:rsidRPr="00B12FE0">
        <w:rPr>
          <w:rFonts w:hint="eastAsia"/>
          <w:color w:val="000000" w:themeColor="text1"/>
          <w:szCs w:val="24"/>
        </w:rPr>
        <w:t>）</w:t>
      </w:r>
      <w:r w:rsidRPr="00B12FE0">
        <w:rPr>
          <w:color w:val="000000" w:themeColor="text1"/>
        </w:rPr>
        <w:t>，</w:t>
      </w:r>
      <w:r w:rsidRPr="00B12FE0">
        <w:rPr>
          <w:rFonts w:ascii="宋体" w:hAnsi="宋体" w:hint="eastAsia"/>
          <w:color w:val="000000" w:themeColor="text1"/>
        </w:rPr>
        <w:t>但医院原有应急预案内容较为简单，</w:t>
      </w:r>
      <w:r w:rsidRPr="00B12FE0">
        <w:rPr>
          <w:rFonts w:ascii="宋体" w:hAnsi="宋体"/>
          <w:color w:val="000000" w:themeColor="text1"/>
        </w:rPr>
        <w:t>为增强应急预案的可操作性和针对性，医院应根据国家有关法规的要求，针对核技术利用项目</w:t>
      </w:r>
      <w:r w:rsidRPr="00B12FE0">
        <w:rPr>
          <w:rFonts w:ascii="宋体" w:hAnsi="宋体" w:hint="eastAsia"/>
          <w:color w:val="000000" w:themeColor="text1"/>
        </w:rPr>
        <w:t>（核医学科及放疗科）</w:t>
      </w:r>
      <w:r w:rsidRPr="00B12FE0">
        <w:rPr>
          <w:rFonts w:ascii="宋体" w:hAnsi="宋体"/>
          <w:color w:val="000000" w:themeColor="text1"/>
        </w:rPr>
        <w:t>的具体情况重新制定在事故情况下的应急响应计划，以便能够快速</w:t>
      </w:r>
      <w:r w:rsidRPr="00B12FE0">
        <w:rPr>
          <w:rFonts w:ascii="宋体" w:hAnsi="宋体" w:hint="eastAsia"/>
          <w:color w:val="000000" w:themeColor="text1"/>
        </w:rPr>
        <w:t>有效地处理</w:t>
      </w:r>
      <w:r w:rsidRPr="00B12FE0">
        <w:rPr>
          <w:rFonts w:ascii="宋体" w:hAnsi="宋体"/>
          <w:color w:val="000000" w:themeColor="text1"/>
        </w:rPr>
        <w:t>辐射事故，将放射危害的影响降低到最低水平。建议更新</w:t>
      </w:r>
      <w:r w:rsidRPr="00B12FE0">
        <w:rPr>
          <w:rFonts w:ascii="宋体" w:hAnsi="宋体" w:hint="eastAsia"/>
          <w:color w:val="000000" w:themeColor="text1"/>
        </w:rPr>
        <w:t>和完善</w:t>
      </w:r>
      <w:r w:rsidRPr="00B12FE0">
        <w:rPr>
          <w:rFonts w:ascii="宋体" w:hAnsi="宋体"/>
          <w:color w:val="000000" w:themeColor="text1"/>
        </w:rPr>
        <w:t>制定的辐</w:t>
      </w:r>
      <w:r w:rsidRPr="00B12FE0">
        <w:rPr>
          <w:color w:val="000000" w:themeColor="text1"/>
        </w:rPr>
        <w:t>射事故应急计划应包括：</w:t>
      </w:r>
    </w:p>
    <w:p w14:paraId="2AFA827D" w14:textId="77777777" w:rsidR="00A67F21" w:rsidRPr="00B12FE0" w:rsidRDefault="00000000">
      <w:pPr>
        <w:adjustRightInd w:val="0"/>
        <w:snapToGrid w:val="0"/>
        <w:spacing w:line="360" w:lineRule="auto"/>
        <w:ind w:firstLine="480"/>
        <w:rPr>
          <w:color w:val="000000" w:themeColor="text1"/>
        </w:rPr>
      </w:pPr>
      <w:r w:rsidRPr="00B12FE0">
        <w:rPr>
          <w:color w:val="000000" w:themeColor="text1"/>
        </w:rPr>
        <w:lastRenderedPageBreak/>
        <w:t>（</w:t>
      </w:r>
      <w:r w:rsidRPr="00B12FE0">
        <w:rPr>
          <w:color w:val="000000" w:themeColor="text1"/>
        </w:rPr>
        <w:t>1</w:t>
      </w:r>
      <w:r w:rsidRPr="00B12FE0">
        <w:rPr>
          <w:color w:val="000000" w:themeColor="text1"/>
        </w:rPr>
        <w:t>）应急人员的培训及应急响应练习：应急人员应进行辐射安全知识的培训；医院应定期组织一次辐射事故应急响应演习，确保各部门在事故发生后，有组织有条理的应对；</w:t>
      </w:r>
    </w:p>
    <w:p w14:paraId="676CAD88" w14:textId="77777777" w:rsidR="00A67F21" w:rsidRPr="00B12FE0" w:rsidRDefault="00000000">
      <w:pPr>
        <w:adjustRightInd w:val="0"/>
        <w:snapToGrid w:val="0"/>
        <w:spacing w:line="360" w:lineRule="auto"/>
        <w:ind w:firstLine="480"/>
        <w:rPr>
          <w:color w:val="000000" w:themeColor="text1"/>
        </w:rPr>
      </w:pPr>
      <w:r w:rsidRPr="00B12FE0">
        <w:rPr>
          <w:color w:val="000000" w:themeColor="text1"/>
        </w:rPr>
        <w:t>（</w:t>
      </w:r>
      <w:r w:rsidRPr="00B12FE0">
        <w:rPr>
          <w:color w:val="000000" w:themeColor="text1"/>
        </w:rPr>
        <w:t>2</w:t>
      </w:r>
      <w:r w:rsidRPr="00B12FE0">
        <w:rPr>
          <w:color w:val="000000" w:themeColor="text1"/>
        </w:rPr>
        <w:t>）应急物资：包括通讯设备、应急响应文件、救助的装备、资金、物资准备等；</w:t>
      </w:r>
    </w:p>
    <w:p w14:paraId="4F4A161E" w14:textId="77777777" w:rsidR="00A67F21" w:rsidRPr="00B12FE0" w:rsidRDefault="00000000">
      <w:pPr>
        <w:adjustRightInd w:val="0"/>
        <w:snapToGrid w:val="0"/>
        <w:spacing w:line="360" w:lineRule="auto"/>
        <w:ind w:firstLine="480"/>
        <w:rPr>
          <w:color w:val="000000" w:themeColor="text1"/>
        </w:rPr>
      </w:pPr>
      <w:r w:rsidRPr="00B12FE0">
        <w:rPr>
          <w:color w:val="000000" w:themeColor="text1"/>
        </w:rPr>
        <w:t>（</w:t>
      </w:r>
      <w:r w:rsidRPr="00B12FE0">
        <w:rPr>
          <w:color w:val="000000" w:themeColor="text1"/>
        </w:rPr>
        <w:t>3</w:t>
      </w:r>
      <w:r w:rsidRPr="00B12FE0">
        <w:rPr>
          <w:color w:val="000000" w:themeColor="text1"/>
        </w:rPr>
        <w:t>）辐射事故分级：根据辐射事故的性质、严重程度、可控性和影响范围等因素，从重</w:t>
      </w:r>
      <w:proofErr w:type="gramStart"/>
      <w:r w:rsidRPr="00B12FE0">
        <w:rPr>
          <w:color w:val="000000" w:themeColor="text1"/>
        </w:rPr>
        <w:t>到轻将辐射</w:t>
      </w:r>
      <w:proofErr w:type="gramEnd"/>
      <w:r w:rsidRPr="00B12FE0">
        <w:rPr>
          <w:color w:val="000000" w:themeColor="text1"/>
        </w:rPr>
        <w:t>事故分为特别重大辐射事故、重大辐射事故、较大辐射事故和一般辐射事故四个等级；</w:t>
      </w:r>
    </w:p>
    <w:p w14:paraId="683F6353" w14:textId="77777777" w:rsidR="00A67F21" w:rsidRPr="00B12FE0" w:rsidRDefault="00000000">
      <w:pPr>
        <w:adjustRightInd w:val="0"/>
        <w:spacing w:line="360" w:lineRule="auto"/>
        <w:ind w:firstLineChars="200" w:firstLine="480"/>
        <w:rPr>
          <w:color w:val="000000" w:themeColor="text1"/>
        </w:rPr>
      </w:pPr>
      <w:r w:rsidRPr="00B12FE0">
        <w:rPr>
          <w:color w:val="000000" w:themeColor="text1"/>
        </w:rPr>
        <w:t>（</w:t>
      </w:r>
      <w:r w:rsidRPr="00B12FE0">
        <w:rPr>
          <w:color w:val="000000" w:themeColor="text1"/>
        </w:rPr>
        <w:t>4</w:t>
      </w:r>
      <w:r w:rsidRPr="00B12FE0">
        <w:rPr>
          <w:color w:val="000000" w:themeColor="text1"/>
        </w:rPr>
        <w:t>）放射事件应急预案的解除。</w:t>
      </w:r>
    </w:p>
    <w:p w14:paraId="62D24C9A" w14:textId="77777777" w:rsidR="00A67F21" w:rsidRPr="00B12FE0" w:rsidRDefault="00000000">
      <w:pPr>
        <w:adjustRightInd w:val="0"/>
        <w:snapToGrid w:val="0"/>
        <w:spacing w:line="360" w:lineRule="auto"/>
        <w:ind w:firstLineChars="200" w:firstLine="480"/>
        <w:jc w:val="left"/>
        <w:rPr>
          <w:color w:val="000000" w:themeColor="text1"/>
        </w:rPr>
      </w:pPr>
      <w:r w:rsidRPr="00B12FE0">
        <w:rPr>
          <w:rFonts w:ascii="宋体" w:hAnsi="宋体" w:hint="eastAsia"/>
          <w:bCs/>
          <w:color w:val="000000" w:themeColor="text1"/>
          <w:kern w:val="0"/>
        </w:rPr>
        <w:t>经核实，医院未发生过辐射环境污染事件。</w:t>
      </w:r>
      <w:r w:rsidRPr="00B12FE0">
        <w:rPr>
          <w:rFonts w:ascii="宋体" w:hAnsi="宋体" w:hint="eastAsia"/>
          <w:color w:val="000000" w:themeColor="text1"/>
        </w:rPr>
        <w:t>医院应当根据以上要求，完善应急预案相关内容，在今后预案实施过程中，应根据国家新发布的相关法规内容，结合医院实际及时对预案进行补充修改，使之更能符合实际需要。</w:t>
      </w:r>
    </w:p>
    <w:p w14:paraId="38D1ADE7" w14:textId="77777777" w:rsidR="00A67F21" w:rsidRPr="00B12FE0" w:rsidRDefault="00000000">
      <w:pPr>
        <w:adjustRightInd w:val="0"/>
        <w:snapToGrid w:val="0"/>
        <w:spacing w:line="360" w:lineRule="auto"/>
        <w:outlineLvl w:val="2"/>
        <w:rPr>
          <w:rFonts w:cs="宋体"/>
          <w:b/>
          <w:bCs/>
          <w:color w:val="000000" w:themeColor="text1"/>
          <w:szCs w:val="21"/>
        </w:rPr>
      </w:pPr>
      <w:r w:rsidRPr="00B12FE0">
        <w:rPr>
          <w:rFonts w:cs="宋体"/>
          <w:b/>
          <w:bCs/>
          <w:color w:val="000000" w:themeColor="text1"/>
        </w:rPr>
        <w:t>12.</w:t>
      </w:r>
      <w:r w:rsidRPr="00B12FE0">
        <w:rPr>
          <w:b/>
          <w:bCs/>
          <w:color w:val="000000" w:themeColor="text1"/>
        </w:rPr>
        <w:t>4</w:t>
      </w:r>
      <w:r w:rsidRPr="00B12FE0">
        <w:rPr>
          <w:rFonts w:cs="宋体"/>
          <w:b/>
          <w:bCs/>
          <w:color w:val="000000" w:themeColor="text1"/>
        </w:rPr>
        <w:t>.</w:t>
      </w:r>
      <w:r w:rsidRPr="00B12FE0">
        <w:rPr>
          <w:rFonts w:hint="eastAsia"/>
          <w:b/>
          <w:bCs/>
          <w:color w:val="000000" w:themeColor="text1"/>
        </w:rPr>
        <w:t>3</w:t>
      </w:r>
      <w:r w:rsidRPr="00B12FE0">
        <w:rPr>
          <w:rFonts w:ascii="宋体" w:hAnsi="宋体" w:hint="eastAsia"/>
          <w:b/>
          <w:bCs/>
          <w:color w:val="000000" w:themeColor="text1"/>
        </w:rPr>
        <w:t>辐射事故上报的要求</w:t>
      </w:r>
    </w:p>
    <w:p w14:paraId="5F09375B" w14:textId="77777777" w:rsidR="00A67F21" w:rsidRPr="00B12FE0" w:rsidRDefault="00000000">
      <w:pPr>
        <w:adjustRightInd w:val="0"/>
        <w:spacing w:line="360" w:lineRule="auto"/>
        <w:ind w:firstLineChars="200" w:firstLine="480"/>
        <w:rPr>
          <w:rFonts w:ascii="宋体" w:hAnsi="宋体" w:hint="eastAsia"/>
          <w:color w:val="000000" w:themeColor="text1"/>
        </w:rPr>
      </w:pPr>
      <w:r w:rsidRPr="00B12FE0">
        <w:rPr>
          <w:rFonts w:ascii="宋体" w:hAnsi="宋体" w:hint="eastAsia"/>
          <w:color w:val="000000" w:themeColor="text1"/>
        </w:rPr>
        <w:t>对于在医院定期监测或委托监测时发现异常情况的，应根据《放射性同位素与射线装置安全许可管理办法》和《关于建立放射性同位素与射线装置事故分级处理报告制度的通知》等要求，</w:t>
      </w:r>
      <w:r w:rsidRPr="00B12FE0">
        <w:rPr>
          <w:rFonts w:ascii="宋体" w:hAnsi="宋体"/>
          <w:color w:val="000000" w:themeColor="text1"/>
        </w:rPr>
        <w:t>向生态环境主管部门报告。</w:t>
      </w:r>
    </w:p>
    <w:p w14:paraId="7F9D7FFC" w14:textId="77777777" w:rsidR="00A67F21" w:rsidRPr="00B12FE0" w:rsidRDefault="00000000">
      <w:pPr>
        <w:adjustRightInd w:val="0"/>
        <w:spacing w:line="360" w:lineRule="auto"/>
        <w:ind w:firstLineChars="200" w:firstLine="480"/>
        <w:rPr>
          <w:color w:val="000000" w:themeColor="text1"/>
        </w:rPr>
      </w:pPr>
      <w:r w:rsidRPr="00B12FE0">
        <w:rPr>
          <w:color w:val="000000" w:themeColor="text1"/>
        </w:rPr>
        <w:t>一旦发生辐射事故，医院</w:t>
      </w:r>
      <w:r w:rsidRPr="00B12FE0">
        <w:rPr>
          <w:rFonts w:hint="eastAsia"/>
          <w:color w:val="000000" w:themeColor="text1"/>
        </w:rPr>
        <w:t>拟</w:t>
      </w:r>
      <w:r w:rsidRPr="00B12FE0">
        <w:rPr>
          <w:color w:val="000000" w:themeColor="text1"/>
        </w:rPr>
        <w:t>根据国家规定立即启动应急预案，采取必要的防范措施，并在</w:t>
      </w:r>
      <w:r w:rsidRPr="00B12FE0">
        <w:rPr>
          <w:color w:val="000000" w:themeColor="text1"/>
        </w:rPr>
        <w:t>2</w:t>
      </w:r>
      <w:r w:rsidRPr="00B12FE0">
        <w:rPr>
          <w:color w:val="000000" w:themeColor="text1"/>
        </w:rPr>
        <w:t>小时内填写《辐射事故初始报告表》，由辐射事故应急处理领导小组上报当地生态环境主管部门及省级生态环境主管部门，同时上报公安部门；造成或可能造成人员超剂量照射的，还应</w:t>
      </w:r>
      <w:r w:rsidRPr="00B12FE0">
        <w:rPr>
          <w:rFonts w:ascii="宋体" w:hAnsi="宋体"/>
          <w:color w:val="000000" w:themeColor="text1"/>
        </w:rPr>
        <w:t>同时向当地</w:t>
      </w:r>
      <w:proofErr w:type="gramStart"/>
      <w:r w:rsidRPr="00B12FE0">
        <w:rPr>
          <w:rFonts w:ascii="宋体" w:hAnsi="宋体"/>
          <w:color w:val="000000" w:themeColor="text1"/>
        </w:rPr>
        <w:t>卫健委报告</w:t>
      </w:r>
      <w:proofErr w:type="gramEnd"/>
      <w:r w:rsidRPr="00B12FE0">
        <w:rPr>
          <w:rFonts w:ascii="宋体" w:hAnsi="宋体"/>
          <w:color w:val="000000" w:themeColor="text1"/>
        </w:rPr>
        <w:t>，并及时组织专业技术人员排除事故；配合各相关部门做好辐射事故调查工作。</w:t>
      </w:r>
    </w:p>
    <w:p w14:paraId="5843F642" w14:textId="77777777" w:rsidR="00A67F21" w:rsidRPr="00B12FE0" w:rsidRDefault="00000000">
      <w:pPr>
        <w:tabs>
          <w:tab w:val="left" w:pos="1017"/>
        </w:tabs>
        <w:adjustRightInd w:val="0"/>
        <w:snapToGrid w:val="0"/>
        <w:spacing w:line="360" w:lineRule="auto"/>
        <w:outlineLvl w:val="1"/>
        <w:rPr>
          <w:b/>
          <w:color w:val="000000" w:themeColor="text1"/>
          <w:sz w:val="28"/>
          <w:szCs w:val="32"/>
        </w:rPr>
      </w:pPr>
      <w:r w:rsidRPr="00B12FE0">
        <w:rPr>
          <w:b/>
          <w:color w:val="000000" w:themeColor="text1"/>
          <w:sz w:val="28"/>
          <w:szCs w:val="32"/>
        </w:rPr>
        <w:t>12.5</w:t>
      </w:r>
      <w:r w:rsidRPr="00B12FE0">
        <w:rPr>
          <w:b/>
          <w:color w:val="000000" w:themeColor="text1"/>
          <w:sz w:val="28"/>
          <w:szCs w:val="32"/>
        </w:rPr>
        <w:t>环保竣工验收</w:t>
      </w:r>
    </w:p>
    <w:p w14:paraId="424B2ACD" w14:textId="77777777" w:rsidR="00A67F21" w:rsidRPr="00B12FE0" w:rsidRDefault="00000000">
      <w:pPr>
        <w:snapToGrid w:val="0"/>
        <w:spacing w:line="360" w:lineRule="auto"/>
        <w:ind w:firstLineChars="200" w:firstLine="480"/>
        <w:contextualSpacing/>
        <w:rPr>
          <w:color w:val="000000" w:themeColor="text1"/>
        </w:rPr>
      </w:pPr>
      <w:r w:rsidRPr="00B12FE0">
        <w:rPr>
          <w:color w:val="000000" w:themeColor="text1"/>
        </w:rPr>
        <w:t>医院根据核技术利用项目的开展情况，按照《建设项目竣工环境保护验收暂行办法》（国环</w:t>
      </w:r>
      <w:proofErr w:type="gramStart"/>
      <w:r w:rsidRPr="00B12FE0">
        <w:rPr>
          <w:color w:val="000000" w:themeColor="text1"/>
        </w:rPr>
        <w:t>规</w:t>
      </w:r>
      <w:proofErr w:type="gramEnd"/>
      <w:r w:rsidRPr="00B12FE0">
        <w:rPr>
          <w:color w:val="000000" w:themeColor="text1"/>
        </w:rPr>
        <w:t>环评</w:t>
      </w:r>
      <w:r w:rsidRPr="00B12FE0">
        <w:rPr>
          <w:color w:val="000000" w:themeColor="text1"/>
        </w:rPr>
        <w:t>[2017]4</w:t>
      </w:r>
      <w:r w:rsidRPr="00B12FE0">
        <w:rPr>
          <w:color w:val="000000" w:themeColor="text1"/>
        </w:rPr>
        <w:t>号）、《</w:t>
      </w:r>
      <w:r w:rsidRPr="00B12FE0">
        <w:rPr>
          <w:rFonts w:hint="eastAsia"/>
          <w:color w:val="000000" w:themeColor="text1"/>
        </w:rPr>
        <w:t>建设项目竣工环境保护设施验收技术规范</w:t>
      </w:r>
      <w:r w:rsidRPr="00B12FE0">
        <w:rPr>
          <w:rFonts w:hint="eastAsia"/>
          <w:color w:val="000000" w:themeColor="text1"/>
        </w:rPr>
        <w:t xml:space="preserve"> </w:t>
      </w:r>
      <w:r w:rsidRPr="00B12FE0">
        <w:rPr>
          <w:rFonts w:hint="eastAsia"/>
          <w:color w:val="000000" w:themeColor="text1"/>
        </w:rPr>
        <w:t>核技术利用</w:t>
      </w:r>
      <w:r w:rsidRPr="00B12FE0">
        <w:rPr>
          <w:color w:val="000000" w:themeColor="text1"/>
        </w:rPr>
        <w:t>》（</w:t>
      </w:r>
      <w:r w:rsidRPr="00B12FE0">
        <w:rPr>
          <w:rFonts w:hint="eastAsia"/>
          <w:color w:val="000000" w:themeColor="text1"/>
        </w:rPr>
        <w:t>HJ</w:t>
      </w:r>
      <w:r w:rsidRPr="00B12FE0">
        <w:rPr>
          <w:color w:val="000000" w:themeColor="text1"/>
        </w:rPr>
        <w:t xml:space="preserve"> 1326-2023</w:t>
      </w:r>
      <w:r w:rsidRPr="00B12FE0">
        <w:rPr>
          <w:color w:val="000000" w:themeColor="text1"/>
        </w:rPr>
        <w:t>）</w:t>
      </w:r>
      <w:r w:rsidRPr="00B12FE0">
        <w:rPr>
          <w:rFonts w:hint="eastAsia"/>
          <w:color w:val="000000" w:themeColor="text1"/>
        </w:rPr>
        <w:t>中</w:t>
      </w:r>
      <w:r w:rsidRPr="00B12FE0">
        <w:rPr>
          <w:color w:val="000000" w:themeColor="text1"/>
        </w:rPr>
        <w:t>相关要求，对配套建设的环境保护设施进行验收，自行或委托有能力的技术机构编制验收报告，并组织由设计单位、施工单位、环境影响报告表编制机构、验收监测（调查）报告编制机构等单位代表以及专业技术专家等成立的验收工作组，采取现场检查、资料查阅、召开验收会议等方式开展验收工作。建设项目配套建设的环境保护设施经验收合格后，其主体工程方可投入生产或者使用；未经验收或者验收不合格的，不得投入生产或者使用。建设项目竣工环境保护验收应当在项</w:t>
      </w:r>
      <w:r w:rsidRPr="00B12FE0">
        <w:rPr>
          <w:color w:val="000000" w:themeColor="text1"/>
        </w:rPr>
        <w:lastRenderedPageBreak/>
        <w:t>目竣工后</w:t>
      </w:r>
      <w:r w:rsidRPr="00B12FE0">
        <w:rPr>
          <w:color w:val="000000" w:themeColor="text1"/>
        </w:rPr>
        <w:t>3</w:t>
      </w:r>
      <w:r w:rsidRPr="00B12FE0">
        <w:rPr>
          <w:color w:val="000000" w:themeColor="text1"/>
        </w:rPr>
        <w:t>个月内完成；若需对环境保护设施进行调试或整改的，可以适当延长，但最长不得超过</w:t>
      </w:r>
      <w:r w:rsidRPr="00B12FE0">
        <w:rPr>
          <w:color w:val="000000" w:themeColor="text1"/>
        </w:rPr>
        <w:t>12</w:t>
      </w:r>
      <w:r w:rsidRPr="00B12FE0">
        <w:rPr>
          <w:color w:val="000000" w:themeColor="text1"/>
        </w:rPr>
        <w:t>个月。</w:t>
      </w:r>
    </w:p>
    <w:p w14:paraId="58B5D8BB" w14:textId="77777777" w:rsidR="00A67F21" w:rsidRPr="00B12FE0" w:rsidRDefault="00A67F21">
      <w:pPr>
        <w:rPr>
          <w:color w:val="000000" w:themeColor="text1"/>
        </w:rPr>
        <w:sectPr w:rsidR="00A67F21" w:rsidRPr="00B12FE0">
          <w:pgSz w:w="11907" w:h="16840"/>
          <w:pgMar w:top="1440" w:right="1440" w:bottom="1440" w:left="1440" w:header="851" w:footer="850" w:gutter="0"/>
          <w:pgBorders>
            <w:top w:val="single" w:sz="4" w:space="1" w:color="auto"/>
            <w:left w:val="single" w:sz="4" w:space="4" w:color="auto"/>
            <w:bottom w:val="single" w:sz="4" w:space="1" w:color="auto"/>
            <w:right w:val="single" w:sz="4" w:space="4" w:color="auto"/>
          </w:pgBorders>
          <w:cols w:space="720"/>
          <w:docGrid w:linePitch="332"/>
        </w:sectPr>
      </w:pPr>
    </w:p>
    <w:p w14:paraId="53486B1A" w14:textId="77777777" w:rsidR="00A67F21" w:rsidRPr="00B12FE0" w:rsidRDefault="00000000">
      <w:pPr>
        <w:spacing w:line="360" w:lineRule="auto"/>
        <w:outlineLvl w:val="0"/>
        <w:rPr>
          <w:b/>
          <w:color w:val="000000" w:themeColor="text1"/>
          <w:sz w:val="32"/>
          <w:szCs w:val="32"/>
        </w:rPr>
      </w:pPr>
      <w:bookmarkStart w:id="25" w:name="_Toc11428"/>
      <w:r w:rsidRPr="00B12FE0">
        <w:rPr>
          <w:b/>
          <w:color w:val="000000" w:themeColor="text1"/>
          <w:sz w:val="32"/>
          <w:szCs w:val="32"/>
        </w:rPr>
        <w:lastRenderedPageBreak/>
        <w:t>表</w:t>
      </w:r>
      <w:r w:rsidRPr="00B12FE0">
        <w:rPr>
          <w:b/>
          <w:color w:val="000000" w:themeColor="text1"/>
          <w:sz w:val="32"/>
          <w:szCs w:val="32"/>
        </w:rPr>
        <w:t xml:space="preserve">13 </w:t>
      </w:r>
      <w:r w:rsidRPr="00B12FE0">
        <w:rPr>
          <w:b/>
          <w:color w:val="000000" w:themeColor="text1"/>
          <w:sz w:val="32"/>
          <w:szCs w:val="32"/>
        </w:rPr>
        <w:t>结论与建议</w:t>
      </w:r>
      <w:bookmarkEnd w:id="25"/>
    </w:p>
    <w:p w14:paraId="1C41B73D" w14:textId="77777777" w:rsidR="00A67F21" w:rsidRPr="00B12FE0" w:rsidRDefault="00000000">
      <w:pPr>
        <w:adjustRightInd w:val="0"/>
        <w:snapToGrid w:val="0"/>
        <w:spacing w:line="360" w:lineRule="auto"/>
        <w:outlineLvl w:val="1"/>
        <w:rPr>
          <w:b/>
          <w:bCs/>
          <w:color w:val="000000" w:themeColor="text1"/>
        </w:rPr>
      </w:pPr>
      <w:r w:rsidRPr="00B12FE0">
        <w:rPr>
          <w:noProof/>
          <w:color w:val="000000" w:themeColor="text1"/>
          <w:sz w:val="28"/>
        </w:rPr>
        <mc:AlternateContent>
          <mc:Choice Requires="wps">
            <w:drawing>
              <wp:anchor distT="0" distB="0" distL="114300" distR="114300" simplePos="0" relativeHeight="251670528" behindDoc="0" locked="0" layoutInCell="1" allowOverlap="1" wp14:anchorId="5466B058" wp14:editId="02880B6C">
                <wp:simplePos x="0" y="0"/>
                <wp:positionH relativeFrom="column">
                  <wp:posOffset>-60325</wp:posOffset>
                </wp:positionH>
                <wp:positionV relativeFrom="paragraph">
                  <wp:posOffset>1905</wp:posOffset>
                </wp:positionV>
                <wp:extent cx="5838825" cy="8388350"/>
                <wp:effectExtent l="4445" t="4445" r="5080" b="8255"/>
                <wp:wrapNone/>
                <wp:docPr id="116" name="矩形 116"/>
                <wp:cNvGraphicFramePr/>
                <a:graphic xmlns:a="http://schemas.openxmlformats.org/drawingml/2006/main">
                  <a:graphicData uri="http://schemas.microsoft.com/office/word/2010/wordprocessingShape">
                    <wps:wsp>
                      <wps:cNvSpPr/>
                      <wps:spPr>
                        <a:xfrm>
                          <a:off x="854075" y="1311275"/>
                          <a:ext cx="5838825" cy="8388350"/>
                        </a:xfrm>
                        <a:prstGeom prst="rect">
                          <a:avLst/>
                        </a:prstGeom>
                        <a:no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75pt;margin-top:0.15pt;height:660.5pt;width:459.75pt;z-index:251670528;v-text-anchor:middle;mso-width-relative:page;mso-height-relative:page;" filled="f" stroked="t" coordsize="21600,21600" o:gfxdata="UEsDBAoAAAAAAIdO4kAAAAAAAAAAAAAAAAAEAAAAZHJzL1BLAwQUAAAACACHTuJAtWISw9YAAAAI&#10;AQAADwAAAGRycy9kb3ducmV2LnhtbE2Py2rDMBBF94X+g5hAdolkmza1aznQQktXgST9AMWa2ibW&#10;yFhyHv36TlfJcriHO+eW64vrxQnH0HnSkCwVCKTa244aDd/7j8ULiBANWdN7Qg1XDLCuHh9KU1h/&#10;pi2edrERXEKhMBraGIdCylC36ExY+gGJsx8/OhP5HBtpR3PmctfLVKln6UxH/KE1A763WB93k9Pg&#10;Nr+d3U8r3MQv/7myb7nbplbr+SxRryAiXuINhn99VoeKnQ5+IhtEr2GRPzGpIQPBaZ4oXnZgLEuT&#10;DGRVyvsB1R9QSwMEFAAAAAgAh07iQOWM0MtoAgAAwwQAAA4AAABkcnMvZTJvRG9jLnhtbK1US27b&#10;MBDdF+gdCO4bWY6duEbkwIiRokDQBHCLrmmKtATwV5K2nF6mQHc9RI5T9Bp9pJRP0y6yqBf0jObp&#10;zczjjM7OD1qRvfChtaai5dGIEmG4rVuzreinj5dvZpSEyEzNlDWiorci0PPF61dnnZuLsW2sqoUn&#10;IDFh3rmKNjG6eVEE3gjNwpF1wiAordcswvXbovasA7tWxXg0Oik662vnLRch4OmqD9KB0b+E0ErZ&#10;crGyfKeFiT2rF4pFtBSa1gW6yNVKKXi8ljKISFRF0WnMJ5LA3qSzWJyx+dYz17R8KIG9pIRnPWnW&#10;GiR9oFqxyMjOt39R6ZZ7G6yMR9zqom8kK4IuytEzbdYNcyL3AqmDexA9/D9a/mF/40lbYxLKE0oM&#10;07jyX99+/Lz7TtIT6NO5MAds7W784AWYqdmD9Dr9ow1yqOhsOhmdTim5BdlxWY5hZ3nFIRKO+HR2&#10;PJuNAeBAJPt4mi+geGRyPsR3wmqSjIp63F+Wle2vQgQZoPeQlNjYy1apnEQZ0lX0JFESzjCXEvMA&#10;Uzv0FsyWEqa2GHgefWYMVrV1ejvxBL/dXChP9iyNSf6l0pHtD1hKvWKh6XE5NMCUAToJ1UuTrI2t&#10;byGtt/3MBccvW7x/xUK8YR5DhkKxhvEah1QWxdvBoqSx/uu/nic87h5RSjoMLTr7smNeUKLeG0zF&#10;23IySVOencn0dAzHP41snkbMTl9YNFxi4R3PZsJHdW9Kb/VnbOsyZUWIGY7cvYaDcxH7ZcK+c7Fc&#10;Zhgm27F4ZdaOJ/L+opa7aGWb7/BRnUE0zHYWe9jDtDxP/Yx6/PY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1YhLD1gAAAAgBAAAPAAAAAAAAAAEAIAAAACIAAABkcnMvZG93bnJldi54bWxQSwEC&#10;FAAUAAAACACHTuJA5YzQy2gCAADDBAAADgAAAAAAAAABACAAAAAlAQAAZHJzL2Uyb0RvYy54bWxQ&#10;SwUGAAAAAAYABgBZAQAA/wUAAAAA&#10;">
                <v:fill on="f" focussize="0,0"/>
                <v:stroke weight="0.5pt" color="#000000 [3213]" joinstyle="round"/>
                <v:imagedata o:title=""/>
                <o:lock v:ext="edit" aspectratio="f"/>
              </v:rect>
            </w:pict>
          </mc:Fallback>
        </mc:AlternateContent>
      </w:r>
      <w:r w:rsidRPr="00B12FE0">
        <w:rPr>
          <w:b/>
          <w:bCs/>
          <w:snapToGrid w:val="0"/>
          <w:color w:val="000000" w:themeColor="text1"/>
          <w:kern w:val="0"/>
          <w:sz w:val="28"/>
          <w:szCs w:val="28"/>
        </w:rPr>
        <w:t>13.1</w:t>
      </w:r>
      <w:r w:rsidRPr="00B12FE0">
        <w:rPr>
          <w:b/>
          <w:bCs/>
          <w:snapToGrid w:val="0"/>
          <w:color w:val="000000" w:themeColor="text1"/>
          <w:kern w:val="0"/>
          <w:sz w:val="28"/>
          <w:szCs w:val="28"/>
        </w:rPr>
        <w:t>结论</w:t>
      </w:r>
    </w:p>
    <w:p w14:paraId="201F5D21" w14:textId="77777777" w:rsidR="00A67F21" w:rsidRPr="00B12FE0" w:rsidRDefault="00000000">
      <w:pPr>
        <w:adjustRightInd w:val="0"/>
        <w:snapToGrid w:val="0"/>
        <w:spacing w:line="360" w:lineRule="auto"/>
        <w:outlineLvl w:val="2"/>
        <w:rPr>
          <w:b/>
          <w:bCs/>
          <w:color w:val="000000" w:themeColor="text1"/>
          <w:lang w:eastAsia="zh-Hans"/>
        </w:rPr>
      </w:pPr>
      <w:r w:rsidRPr="00B12FE0">
        <w:rPr>
          <w:b/>
          <w:bCs/>
          <w:color w:val="000000" w:themeColor="text1"/>
        </w:rPr>
        <w:t>13.1.1</w:t>
      </w:r>
      <w:r w:rsidRPr="00B12FE0">
        <w:rPr>
          <w:rFonts w:hint="eastAsia"/>
          <w:b/>
          <w:bCs/>
          <w:color w:val="000000" w:themeColor="text1"/>
          <w:lang w:eastAsia="zh-Hans"/>
        </w:rPr>
        <w:t>项目概况</w:t>
      </w:r>
    </w:p>
    <w:p w14:paraId="6E4476C7" w14:textId="77777777" w:rsidR="00A67F21" w:rsidRPr="00B12FE0" w:rsidRDefault="00000000">
      <w:pPr>
        <w:pStyle w:val="af9"/>
        <w:snapToGrid w:val="0"/>
        <w:spacing w:line="360" w:lineRule="auto"/>
        <w:ind w:leftChars="0" w:left="0" w:firstLineChars="200" w:firstLine="480"/>
        <w:rPr>
          <w:rFonts w:ascii="Times New Roman" w:eastAsia="宋体" w:hAnsi="Times New Roman"/>
          <w:b w:val="0"/>
          <w:bCs/>
          <w:snapToGrid w:val="0"/>
          <w:color w:val="000000" w:themeColor="text1"/>
        </w:rPr>
      </w:pPr>
      <w:r w:rsidRPr="00B12FE0">
        <w:rPr>
          <w:rFonts w:ascii="Times New Roman" w:eastAsia="宋体" w:hAnsi="宋体" w:hint="eastAsia"/>
          <w:b w:val="0"/>
          <w:bCs/>
          <w:color w:val="000000" w:themeColor="text1"/>
          <w:kern w:val="2"/>
        </w:rPr>
        <w:t>浙江大学医学院附属邵逸夫医院新疆兵团阿拉尔医院位于新疆阿拉尔市胜利大道西</w:t>
      </w:r>
      <w:r w:rsidRPr="00B12FE0">
        <w:rPr>
          <w:rFonts w:ascii="Times New Roman" w:eastAsia="宋体" w:hAnsi="宋体" w:hint="eastAsia"/>
          <w:b w:val="0"/>
          <w:bCs/>
          <w:color w:val="000000" w:themeColor="text1"/>
          <w:kern w:val="2"/>
        </w:rPr>
        <w:t>1155</w:t>
      </w:r>
      <w:r w:rsidRPr="00B12FE0">
        <w:rPr>
          <w:rFonts w:ascii="Times New Roman" w:eastAsia="宋体" w:hAnsi="宋体" w:hint="eastAsia"/>
          <w:b w:val="0"/>
          <w:bCs/>
          <w:color w:val="000000" w:themeColor="text1"/>
          <w:kern w:val="2"/>
        </w:rPr>
        <w:t>号，本项目拟在医院肿瘤治疗中心楼建设核医学科（核素制备场所、核素诊断场所和核素治疗场所）和放疗科。</w:t>
      </w:r>
      <w:r w:rsidRPr="00B12FE0">
        <w:rPr>
          <w:rFonts w:ascii="Times New Roman" w:eastAsia="宋体" w:hAnsi="Times New Roman"/>
          <w:b w:val="0"/>
          <w:bCs/>
          <w:snapToGrid w:val="0"/>
          <w:color w:val="000000" w:themeColor="text1"/>
        </w:rPr>
        <w:t>核医学科核素制备场所位于肿瘤治疗中心综合楼一层西侧</w:t>
      </w:r>
      <w:r w:rsidRPr="00B12FE0">
        <w:rPr>
          <w:rFonts w:ascii="Times New Roman" w:eastAsia="宋体" w:hAnsi="Times New Roman" w:hint="eastAsia"/>
          <w:b w:val="0"/>
          <w:bCs/>
          <w:snapToGrid w:val="0"/>
          <w:color w:val="000000" w:themeColor="text1"/>
        </w:rPr>
        <w:t>，</w:t>
      </w:r>
      <w:r w:rsidRPr="00B12FE0">
        <w:rPr>
          <w:rFonts w:ascii="Times New Roman" w:eastAsia="宋体" w:hAnsi="Times New Roman"/>
          <w:b w:val="0"/>
          <w:bCs/>
          <w:snapToGrid w:val="0"/>
          <w:color w:val="000000" w:themeColor="text1"/>
        </w:rPr>
        <w:t>核医学科核素诊断场所位于肿瘤治疗中心综合楼一层南侧，核医学科核素治疗场所位于肿瘤治疗中心综合楼二层南侧</w:t>
      </w:r>
      <w:r w:rsidRPr="00B12FE0">
        <w:rPr>
          <w:rFonts w:ascii="Times New Roman" w:eastAsia="宋体" w:hAnsi="Times New Roman" w:hint="eastAsia"/>
          <w:b w:val="0"/>
          <w:bCs/>
          <w:snapToGrid w:val="0"/>
          <w:color w:val="000000" w:themeColor="text1"/>
        </w:rPr>
        <w:t>，</w:t>
      </w:r>
      <w:r w:rsidRPr="00B12FE0">
        <w:rPr>
          <w:rFonts w:ascii="Times New Roman" w:eastAsiaTheme="minorEastAsia" w:hAnsi="Times New Roman"/>
          <w:b w:val="0"/>
          <w:bCs/>
          <w:snapToGrid w:val="0"/>
          <w:color w:val="000000" w:themeColor="text1"/>
        </w:rPr>
        <w:t>放疗科位于肿瘤治疗中心综合楼一层北侧。</w:t>
      </w:r>
    </w:p>
    <w:p w14:paraId="538DAE8C" w14:textId="77777777" w:rsidR="00A67F21" w:rsidRPr="00B12FE0" w:rsidRDefault="00000000">
      <w:pPr>
        <w:pStyle w:val="af9"/>
        <w:snapToGrid w:val="0"/>
        <w:spacing w:line="360" w:lineRule="auto"/>
        <w:ind w:leftChars="0" w:left="0" w:firstLineChars="200" w:firstLine="480"/>
        <w:rPr>
          <w:rFonts w:ascii="Times New Roman" w:eastAsiaTheme="minorEastAsia" w:hAnsi="Times New Roman"/>
          <w:b w:val="0"/>
          <w:bCs/>
          <w:snapToGrid w:val="0"/>
          <w:color w:val="000000" w:themeColor="text1"/>
        </w:rPr>
      </w:pPr>
      <w:r w:rsidRPr="00B12FE0">
        <w:rPr>
          <w:rFonts w:ascii="Times New Roman" w:eastAsiaTheme="minorEastAsia" w:hAnsi="Times New Roman"/>
          <w:b w:val="0"/>
          <w:bCs/>
          <w:color w:val="000000" w:themeColor="text1"/>
        </w:rPr>
        <w:t>本项目核医学科在核素制备场所新增</w:t>
      </w:r>
      <w:r w:rsidRPr="00B12FE0">
        <w:rPr>
          <w:rFonts w:ascii="Times New Roman" w:eastAsiaTheme="minorEastAsia" w:hAnsi="Times New Roman"/>
          <w:b w:val="0"/>
          <w:bCs/>
          <w:color w:val="000000" w:themeColor="text1"/>
        </w:rPr>
        <w:t>1</w:t>
      </w:r>
      <w:r w:rsidRPr="00B12FE0">
        <w:rPr>
          <w:rFonts w:ascii="Times New Roman" w:eastAsiaTheme="minorEastAsia" w:hAnsi="Times New Roman"/>
          <w:b w:val="0"/>
          <w:bCs/>
          <w:color w:val="000000" w:themeColor="text1"/>
        </w:rPr>
        <w:t>台自屏蔽回旋加速器（型号未定，最大质子能量为</w:t>
      </w:r>
      <w:r w:rsidRPr="00B12FE0">
        <w:rPr>
          <w:rFonts w:ascii="Times New Roman" w:eastAsiaTheme="minorEastAsia" w:hAnsi="Times New Roman"/>
          <w:b w:val="0"/>
          <w:bCs/>
          <w:color w:val="000000" w:themeColor="text1"/>
        </w:rPr>
        <w:t>10MeV</w:t>
      </w:r>
      <w:r w:rsidRPr="00B12FE0">
        <w:rPr>
          <w:rFonts w:ascii="Times New Roman" w:eastAsiaTheme="minorEastAsia" w:hAnsi="Times New Roman"/>
          <w:b w:val="0"/>
          <w:bCs/>
          <w:color w:val="000000" w:themeColor="text1"/>
        </w:rPr>
        <w:t>，最大束流强度为</w:t>
      </w:r>
      <w:r w:rsidRPr="00B12FE0">
        <w:rPr>
          <w:rFonts w:ascii="Times New Roman" w:eastAsiaTheme="minorEastAsia" w:hAnsi="Times New Roman"/>
          <w:b w:val="0"/>
          <w:bCs/>
          <w:color w:val="000000" w:themeColor="text1"/>
        </w:rPr>
        <w:t>100μA</w:t>
      </w:r>
      <w:r w:rsidRPr="00B12FE0">
        <w:rPr>
          <w:rFonts w:ascii="Times New Roman" w:eastAsiaTheme="minorEastAsia" w:hAnsi="Times New Roman"/>
          <w:b w:val="0"/>
          <w:bCs/>
          <w:color w:val="000000" w:themeColor="text1"/>
        </w:rPr>
        <w:t>）制备放射性核素</w:t>
      </w:r>
      <w:r w:rsidRPr="00B12FE0">
        <w:rPr>
          <w:rFonts w:ascii="Times New Roman" w:eastAsiaTheme="minorEastAsia" w:hAnsi="Times New Roman"/>
          <w:b w:val="0"/>
          <w:bCs/>
          <w:color w:val="000000" w:themeColor="text1"/>
          <w:vertAlign w:val="superscript"/>
        </w:rPr>
        <w:t>18</w:t>
      </w:r>
      <w:r w:rsidRPr="00B12FE0">
        <w:rPr>
          <w:rFonts w:ascii="Times New Roman" w:eastAsiaTheme="minorEastAsia" w:hAnsi="Times New Roman"/>
          <w:b w:val="0"/>
          <w:bCs/>
          <w:color w:val="000000" w:themeColor="text1"/>
        </w:rPr>
        <w:t>F</w:t>
      </w:r>
      <w:r w:rsidRPr="00B12FE0">
        <w:rPr>
          <w:rFonts w:ascii="Times New Roman" w:eastAsiaTheme="minorEastAsia" w:hAnsi="Times New Roman"/>
          <w:b w:val="0"/>
          <w:bCs/>
          <w:color w:val="000000" w:themeColor="text1"/>
        </w:rPr>
        <w:t>用于本单位</w:t>
      </w:r>
      <w:r w:rsidRPr="00B12FE0">
        <w:rPr>
          <w:rFonts w:ascii="Times New Roman" w:eastAsiaTheme="minorEastAsia" w:hAnsi="Times New Roman"/>
          <w:b w:val="0"/>
          <w:bCs/>
          <w:color w:val="000000" w:themeColor="text1"/>
        </w:rPr>
        <w:t>PET</w:t>
      </w:r>
      <w:r w:rsidRPr="00B12FE0">
        <w:rPr>
          <w:rFonts w:ascii="Times New Roman" w:eastAsiaTheme="minorEastAsia" w:hAnsi="Times New Roman"/>
          <w:b w:val="0"/>
          <w:bCs/>
          <w:color w:val="000000" w:themeColor="text1"/>
        </w:rPr>
        <w:t>显像</w:t>
      </w:r>
      <w:r w:rsidRPr="00B12FE0">
        <w:rPr>
          <w:rFonts w:ascii="Times New Roman" w:eastAsiaTheme="minorEastAsia" w:hAnsi="Times New Roman"/>
          <w:b w:val="0"/>
          <w:bCs/>
          <w:snapToGrid w:val="0"/>
          <w:color w:val="000000" w:themeColor="text1"/>
        </w:rPr>
        <w:t>，</w:t>
      </w:r>
      <w:r w:rsidRPr="00B12FE0">
        <w:rPr>
          <w:rFonts w:ascii="Times New Roman" w:eastAsiaTheme="minorEastAsia" w:hAnsi="Times New Roman"/>
          <w:b w:val="0"/>
          <w:color w:val="000000" w:themeColor="text1"/>
        </w:rPr>
        <w:t>核素制备场所放射性核素日等效最大操作量为</w:t>
      </w:r>
      <w:r w:rsidRPr="00B12FE0">
        <w:rPr>
          <w:rFonts w:ascii="Times New Roman" w:eastAsiaTheme="minorEastAsia" w:hAnsi="Times New Roman"/>
          <w:b w:val="0"/>
          <w:color w:val="000000" w:themeColor="text1"/>
        </w:rPr>
        <w:t>4.44×10</w:t>
      </w:r>
      <w:r w:rsidRPr="00B12FE0">
        <w:rPr>
          <w:rFonts w:ascii="Times New Roman" w:eastAsiaTheme="minorEastAsia" w:hAnsi="Times New Roman"/>
          <w:b w:val="0"/>
          <w:color w:val="000000" w:themeColor="text1"/>
          <w:vertAlign w:val="superscript"/>
        </w:rPr>
        <w:t>8</w:t>
      </w:r>
      <w:r w:rsidRPr="00B12FE0">
        <w:rPr>
          <w:rFonts w:ascii="Times New Roman" w:eastAsiaTheme="minorEastAsia" w:hAnsi="Times New Roman"/>
          <w:b w:val="0"/>
          <w:color w:val="000000" w:themeColor="text1"/>
        </w:rPr>
        <w:t>Bq</w:t>
      </w:r>
      <w:r w:rsidRPr="00B12FE0">
        <w:rPr>
          <w:rFonts w:ascii="Times New Roman" w:eastAsiaTheme="minorEastAsia" w:hAnsi="Times New Roman"/>
          <w:b w:val="0"/>
          <w:color w:val="000000" w:themeColor="text1"/>
        </w:rPr>
        <w:t>，为乙级非密封放射性物质工作场所</w:t>
      </w:r>
      <w:r w:rsidRPr="00B12FE0">
        <w:rPr>
          <w:rFonts w:ascii="Times New Roman" w:eastAsiaTheme="minorEastAsia" w:hAnsi="Times New Roman"/>
          <w:b w:val="0"/>
          <w:color w:val="000000" w:themeColor="text1"/>
          <w:spacing w:val="2"/>
        </w:rPr>
        <w:t>。</w:t>
      </w:r>
      <w:r w:rsidRPr="00B12FE0">
        <w:rPr>
          <w:rFonts w:ascii="Times New Roman" w:eastAsiaTheme="minorEastAsia" w:hAnsi="Times New Roman"/>
          <w:b w:val="0"/>
          <w:snapToGrid w:val="0"/>
          <w:color w:val="000000" w:themeColor="text1"/>
        </w:rPr>
        <w:t xml:space="preserve"> </w:t>
      </w:r>
    </w:p>
    <w:p w14:paraId="7D6E0D3E" w14:textId="77777777" w:rsidR="00A67F21" w:rsidRPr="00B12FE0" w:rsidRDefault="00000000">
      <w:pPr>
        <w:pStyle w:val="af9"/>
        <w:snapToGrid w:val="0"/>
        <w:spacing w:line="360" w:lineRule="auto"/>
        <w:ind w:leftChars="0" w:left="0" w:firstLineChars="200" w:firstLine="480"/>
        <w:rPr>
          <w:rFonts w:ascii="Times New Roman" w:eastAsiaTheme="minorEastAsia" w:hAnsi="Times New Roman"/>
          <w:b w:val="0"/>
          <w:bCs/>
          <w:snapToGrid w:val="0"/>
          <w:color w:val="000000" w:themeColor="text1"/>
        </w:rPr>
      </w:pPr>
      <w:r w:rsidRPr="00B12FE0">
        <w:rPr>
          <w:rFonts w:ascii="Times New Roman" w:eastAsiaTheme="minorEastAsia" w:hAnsi="Times New Roman"/>
          <w:b w:val="0"/>
          <w:bCs/>
          <w:snapToGrid w:val="0"/>
          <w:color w:val="000000" w:themeColor="text1"/>
        </w:rPr>
        <w:t>核素诊断场所新增</w:t>
      </w:r>
      <w:r w:rsidRPr="00B12FE0">
        <w:rPr>
          <w:rFonts w:ascii="Times New Roman" w:eastAsiaTheme="minorEastAsia" w:hAnsi="Times New Roman"/>
          <w:b w:val="0"/>
          <w:bCs/>
          <w:snapToGrid w:val="0"/>
          <w:color w:val="000000" w:themeColor="text1"/>
        </w:rPr>
        <w:t>1</w:t>
      </w:r>
      <w:r w:rsidRPr="00B12FE0">
        <w:rPr>
          <w:rFonts w:ascii="Times New Roman" w:eastAsiaTheme="minorEastAsia" w:hAnsi="Times New Roman"/>
          <w:b w:val="0"/>
          <w:bCs/>
          <w:snapToGrid w:val="0"/>
          <w:color w:val="000000" w:themeColor="text1"/>
        </w:rPr>
        <w:t>台</w:t>
      </w:r>
      <w:r w:rsidRPr="00B12FE0">
        <w:rPr>
          <w:rFonts w:ascii="Times New Roman" w:eastAsiaTheme="minorEastAsia" w:hAnsi="Times New Roman"/>
          <w:b w:val="0"/>
          <w:bCs/>
          <w:snapToGrid w:val="0"/>
          <w:color w:val="000000" w:themeColor="text1"/>
        </w:rPr>
        <w:t>PET/CT</w:t>
      </w:r>
      <w:r w:rsidRPr="00B12FE0">
        <w:rPr>
          <w:rFonts w:ascii="Times New Roman" w:eastAsiaTheme="minorEastAsia" w:hAnsi="Times New Roman"/>
          <w:b w:val="0"/>
          <w:bCs/>
          <w:snapToGrid w:val="0"/>
          <w:color w:val="000000" w:themeColor="text1"/>
        </w:rPr>
        <w:t>（型号待定，最大管电压</w:t>
      </w:r>
      <w:r w:rsidRPr="00B12FE0">
        <w:rPr>
          <w:rFonts w:ascii="Times New Roman" w:eastAsiaTheme="minorEastAsia" w:hAnsi="Times New Roman"/>
          <w:b w:val="0"/>
          <w:bCs/>
          <w:snapToGrid w:val="0"/>
          <w:color w:val="000000" w:themeColor="text1"/>
        </w:rPr>
        <w:t>140kV</w:t>
      </w:r>
      <w:r w:rsidRPr="00B12FE0">
        <w:rPr>
          <w:rFonts w:ascii="Times New Roman" w:eastAsiaTheme="minorEastAsia" w:hAnsi="Times New Roman"/>
          <w:b w:val="0"/>
          <w:bCs/>
          <w:snapToGrid w:val="0"/>
          <w:color w:val="000000" w:themeColor="text1"/>
        </w:rPr>
        <w:t>，最大管电流</w:t>
      </w:r>
      <w:r w:rsidRPr="00B12FE0">
        <w:rPr>
          <w:rFonts w:ascii="Times New Roman" w:eastAsiaTheme="minorEastAsia" w:hAnsi="Times New Roman"/>
          <w:b w:val="0"/>
          <w:bCs/>
          <w:snapToGrid w:val="0"/>
          <w:color w:val="000000" w:themeColor="text1"/>
        </w:rPr>
        <w:t>1000mA</w:t>
      </w:r>
      <w:r w:rsidRPr="00B12FE0">
        <w:rPr>
          <w:rFonts w:ascii="Times New Roman" w:eastAsiaTheme="minorEastAsia" w:hAnsi="Times New Roman"/>
          <w:b w:val="0"/>
          <w:bCs/>
          <w:snapToGrid w:val="0"/>
          <w:color w:val="000000" w:themeColor="text1"/>
        </w:rPr>
        <w:t>，属</w:t>
      </w:r>
      <w:r w:rsidRPr="00B12FE0">
        <w:rPr>
          <w:rFonts w:ascii="Times New Roman" w:eastAsiaTheme="minorEastAsia" w:hAnsi="Times New Roman"/>
          <w:b w:val="0"/>
          <w:bCs/>
          <w:snapToGrid w:val="0"/>
          <w:color w:val="000000" w:themeColor="text1"/>
        </w:rPr>
        <w:t>Ⅲ</w:t>
      </w:r>
      <w:r w:rsidRPr="00B12FE0">
        <w:rPr>
          <w:rFonts w:ascii="Times New Roman" w:eastAsiaTheme="minorEastAsia" w:hAnsi="Times New Roman"/>
          <w:b w:val="0"/>
          <w:bCs/>
          <w:snapToGrid w:val="0"/>
          <w:color w:val="000000" w:themeColor="text1"/>
        </w:rPr>
        <w:t>类射线装置）并使用</w:t>
      </w:r>
      <w:r w:rsidRPr="00B12FE0">
        <w:rPr>
          <w:rFonts w:ascii="Times New Roman" w:eastAsiaTheme="minorEastAsia" w:hAnsi="Times New Roman"/>
          <w:b w:val="0"/>
          <w:bCs/>
          <w:snapToGrid w:val="0"/>
          <w:color w:val="000000" w:themeColor="text1"/>
          <w:vertAlign w:val="superscript"/>
        </w:rPr>
        <w:t>18</w:t>
      </w:r>
      <w:r w:rsidRPr="00B12FE0">
        <w:rPr>
          <w:rFonts w:ascii="Times New Roman" w:eastAsiaTheme="minorEastAsia" w:hAnsi="Times New Roman"/>
          <w:b w:val="0"/>
          <w:bCs/>
          <w:snapToGrid w:val="0"/>
          <w:color w:val="000000" w:themeColor="text1"/>
        </w:rPr>
        <w:t>F</w:t>
      </w:r>
      <w:r w:rsidRPr="00B12FE0">
        <w:rPr>
          <w:rFonts w:ascii="Times New Roman" w:eastAsiaTheme="minorEastAsia" w:hAnsi="Times New Roman"/>
          <w:b w:val="0"/>
          <w:bCs/>
          <w:snapToGrid w:val="0"/>
          <w:color w:val="000000" w:themeColor="text1"/>
        </w:rPr>
        <w:t>进行放射性药物显像诊断；新增</w:t>
      </w:r>
      <w:r w:rsidRPr="00B12FE0">
        <w:rPr>
          <w:rFonts w:ascii="Times New Roman" w:eastAsiaTheme="minorEastAsia" w:hAnsi="Times New Roman" w:hint="eastAsia"/>
          <w:b w:val="0"/>
          <w:bCs/>
          <w:snapToGrid w:val="0"/>
          <w:color w:val="000000" w:themeColor="text1"/>
        </w:rPr>
        <w:t>2</w:t>
      </w:r>
      <w:r w:rsidRPr="00B12FE0">
        <w:rPr>
          <w:rFonts w:ascii="Times New Roman" w:eastAsiaTheme="minorEastAsia" w:hAnsi="Times New Roman"/>
          <w:b w:val="0"/>
          <w:bCs/>
          <w:snapToGrid w:val="0"/>
          <w:color w:val="000000" w:themeColor="text1"/>
        </w:rPr>
        <w:t>台</w:t>
      </w:r>
      <w:r w:rsidRPr="00B12FE0">
        <w:rPr>
          <w:rFonts w:ascii="Times New Roman" w:eastAsiaTheme="minorEastAsia" w:hAnsi="Times New Roman"/>
          <w:b w:val="0"/>
          <w:bCs/>
          <w:snapToGrid w:val="0"/>
          <w:color w:val="000000" w:themeColor="text1"/>
        </w:rPr>
        <w:t>SPECT/CT</w:t>
      </w:r>
      <w:r w:rsidRPr="00B12FE0">
        <w:rPr>
          <w:rFonts w:ascii="Times New Roman" w:eastAsiaTheme="minorEastAsia" w:hAnsi="Times New Roman"/>
          <w:b w:val="0"/>
          <w:bCs/>
          <w:snapToGrid w:val="0"/>
          <w:color w:val="000000" w:themeColor="text1"/>
        </w:rPr>
        <w:t>（型号待定，最大管电压</w:t>
      </w:r>
      <w:r w:rsidRPr="00B12FE0">
        <w:rPr>
          <w:rFonts w:ascii="Times New Roman" w:eastAsiaTheme="minorEastAsia" w:hAnsi="Times New Roman"/>
          <w:b w:val="0"/>
          <w:bCs/>
          <w:snapToGrid w:val="0"/>
          <w:color w:val="000000" w:themeColor="text1"/>
        </w:rPr>
        <w:t>140kV</w:t>
      </w:r>
      <w:r w:rsidRPr="00B12FE0">
        <w:rPr>
          <w:rFonts w:ascii="Times New Roman" w:eastAsiaTheme="minorEastAsia" w:hAnsi="Times New Roman"/>
          <w:b w:val="0"/>
          <w:bCs/>
          <w:snapToGrid w:val="0"/>
          <w:color w:val="000000" w:themeColor="text1"/>
        </w:rPr>
        <w:t>，最大管电流</w:t>
      </w:r>
      <w:r w:rsidRPr="00B12FE0">
        <w:rPr>
          <w:rFonts w:ascii="Times New Roman" w:eastAsiaTheme="minorEastAsia" w:hAnsi="Times New Roman"/>
          <w:b w:val="0"/>
          <w:bCs/>
          <w:snapToGrid w:val="0"/>
          <w:color w:val="000000" w:themeColor="text1"/>
        </w:rPr>
        <w:t>1000mA</w:t>
      </w:r>
      <w:r w:rsidRPr="00B12FE0">
        <w:rPr>
          <w:rFonts w:ascii="Times New Roman" w:eastAsiaTheme="minorEastAsia" w:hAnsi="Times New Roman"/>
          <w:b w:val="0"/>
          <w:bCs/>
          <w:snapToGrid w:val="0"/>
          <w:color w:val="000000" w:themeColor="text1"/>
        </w:rPr>
        <w:t>，属</w:t>
      </w:r>
      <w:r w:rsidRPr="00B12FE0">
        <w:rPr>
          <w:rFonts w:ascii="Times New Roman" w:eastAsiaTheme="minorEastAsia" w:hAnsi="Times New Roman"/>
          <w:b w:val="0"/>
          <w:bCs/>
          <w:snapToGrid w:val="0"/>
          <w:color w:val="000000" w:themeColor="text1"/>
        </w:rPr>
        <w:t>Ⅲ</w:t>
      </w:r>
      <w:r w:rsidRPr="00B12FE0">
        <w:rPr>
          <w:rFonts w:ascii="Times New Roman" w:eastAsiaTheme="minorEastAsia" w:hAnsi="Times New Roman"/>
          <w:b w:val="0"/>
          <w:bCs/>
          <w:snapToGrid w:val="0"/>
          <w:color w:val="000000" w:themeColor="text1"/>
        </w:rPr>
        <w:t>类射线装置）并使用</w:t>
      </w:r>
      <w:r w:rsidRPr="00B12FE0">
        <w:rPr>
          <w:rFonts w:ascii="Times New Roman" w:eastAsiaTheme="minorEastAsia" w:hAnsi="Times New Roman"/>
          <w:b w:val="0"/>
          <w:bCs/>
          <w:snapToGrid w:val="0"/>
          <w:color w:val="000000" w:themeColor="text1"/>
          <w:vertAlign w:val="superscript"/>
        </w:rPr>
        <w:t>99m</w:t>
      </w:r>
      <w:r w:rsidRPr="00B12FE0">
        <w:rPr>
          <w:rFonts w:ascii="Times New Roman" w:eastAsiaTheme="minorEastAsia" w:hAnsi="Times New Roman"/>
          <w:b w:val="0"/>
          <w:bCs/>
          <w:snapToGrid w:val="0"/>
          <w:color w:val="000000" w:themeColor="text1"/>
        </w:rPr>
        <w:t>Tc</w:t>
      </w:r>
      <w:r w:rsidRPr="00B12FE0">
        <w:rPr>
          <w:rFonts w:ascii="Times New Roman" w:eastAsiaTheme="minorEastAsia" w:hAnsi="Times New Roman"/>
          <w:b w:val="0"/>
          <w:bCs/>
          <w:snapToGrid w:val="0"/>
          <w:color w:val="000000" w:themeColor="text1"/>
        </w:rPr>
        <w:t>（其中显像剂</w:t>
      </w:r>
      <w:r w:rsidRPr="00B12FE0">
        <w:rPr>
          <w:rFonts w:ascii="Times New Roman" w:eastAsiaTheme="minorEastAsia" w:hAnsi="Times New Roman"/>
          <w:b w:val="0"/>
          <w:bCs/>
          <w:snapToGrid w:val="0"/>
          <w:color w:val="000000" w:themeColor="text1"/>
          <w:vertAlign w:val="superscript"/>
        </w:rPr>
        <w:t>99m</w:t>
      </w:r>
      <w:r w:rsidRPr="00B12FE0">
        <w:rPr>
          <w:rFonts w:ascii="Times New Roman" w:eastAsiaTheme="minorEastAsia" w:hAnsi="Times New Roman"/>
          <w:b w:val="0"/>
          <w:bCs/>
          <w:snapToGrid w:val="0"/>
          <w:color w:val="000000" w:themeColor="text1"/>
        </w:rPr>
        <w:t>Tc</w:t>
      </w:r>
      <w:r w:rsidRPr="00B12FE0">
        <w:rPr>
          <w:rFonts w:ascii="Times New Roman" w:eastAsiaTheme="minorEastAsia" w:hAnsi="Times New Roman"/>
          <w:b w:val="0"/>
          <w:bCs/>
          <w:snapToGrid w:val="0"/>
          <w:color w:val="000000" w:themeColor="text1"/>
        </w:rPr>
        <w:t>由外购</w:t>
      </w:r>
      <w:proofErr w:type="gramStart"/>
      <w:r w:rsidRPr="00B12FE0">
        <w:rPr>
          <w:rFonts w:ascii="Times New Roman" w:eastAsiaTheme="minorEastAsia" w:hAnsi="Times New Roman"/>
          <w:b w:val="0"/>
          <w:bCs/>
          <w:snapToGrid w:val="0"/>
          <w:color w:val="000000" w:themeColor="text1"/>
        </w:rPr>
        <w:t>钼</w:t>
      </w:r>
      <w:proofErr w:type="gramEnd"/>
      <w:r w:rsidRPr="00B12FE0">
        <w:rPr>
          <w:rFonts w:ascii="Times New Roman" w:eastAsiaTheme="minorEastAsia" w:hAnsi="Times New Roman"/>
          <w:b w:val="0"/>
          <w:bCs/>
          <w:snapToGrid w:val="0"/>
          <w:color w:val="000000" w:themeColor="text1"/>
        </w:rPr>
        <w:t>锝发生器淋洗标记）进行放射性药物显像诊断；</w:t>
      </w:r>
      <w:r w:rsidRPr="00B12FE0">
        <w:rPr>
          <w:rFonts w:asciiTheme="minorEastAsia" w:eastAsiaTheme="minorEastAsia" w:hAnsiTheme="minorEastAsia" w:hint="eastAsia"/>
          <w:b w:val="0"/>
          <w:color w:val="000000" w:themeColor="text1"/>
        </w:rPr>
        <w:t>使用核素</w:t>
      </w:r>
      <w:r w:rsidRPr="00B12FE0">
        <w:rPr>
          <w:rFonts w:asciiTheme="minorEastAsia" w:eastAsiaTheme="minorEastAsia" w:hAnsiTheme="minorEastAsia" w:hint="eastAsia"/>
          <w:b w:val="0"/>
          <w:color w:val="000000" w:themeColor="text1"/>
          <w:vertAlign w:val="superscript"/>
        </w:rPr>
        <w:t>131</w:t>
      </w:r>
      <w:r w:rsidRPr="00B12FE0">
        <w:rPr>
          <w:rFonts w:asciiTheme="minorEastAsia" w:eastAsiaTheme="minorEastAsia" w:hAnsiTheme="minorEastAsia" w:hint="eastAsia"/>
          <w:b w:val="0"/>
          <w:color w:val="000000" w:themeColor="text1"/>
        </w:rPr>
        <w:t>I进行甲亢治疗和甲测；</w:t>
      </w:r>
      <w:r w:rsidRPr="00B12FE0">
        <w:rPr>
          <w:rFonts w:ascii="Times New Roman" w:eastAsiaTheme="minorEastAsia" w:hAnsi="Times New Roman"/>
          <w:b w:val="0"/>
          <w:bCs/>
          <w:snapToGrid w:val="0"/>
          <w:color w:val="000000" w:themeColor="text1"/>
        </w:rPr>
        <w:t>使用核素</w:t>
      </w:r>
      <w:r w:rsidRPr="00B12FE0">
        <w:rPr>
          <w:rFonts w:ascii="Times New Roman" w:eastAsiaTheme="minorEastAsia" w:hAnsi="Times New Roman"/>
          <w:b w:val="0"/>
          <w:bCs/>
          <w:snapToGrid w:val="0"/>
          <w:color w:val="000000" w:themeColor="text1"/>
          <w:vertAlign w:val="superscript"/>
        </w:rPr>
        <w:t>32</w:t>
      </w:r>
      <w:r w:rsidRPr="00B12FE0">
        <w:rPr>
          <w:rFonts w:ascii="Times New Roman" w:eastAsiaTheme="minorEastAsia" w:hAnsi="Times New Roman"/>
          <w:b w:val="0"/>
          <w:bCs/>
          <w:snapToGrid w:val="0"/>
          <w:color w:val="000000" w:themeColor="text1"/>
        </w:rPr>
        <w:t>P</w:t>
      </w:r>
      <w:r w:rsidRPr="00B12FE0">
        <w:rPr>
          <w:rFonts w:ascii="Times New Roman" w:eastAsiaTheme="minorEastAsia" w:hAnsi="Times New Roman"/>
          <w:b w:val="0"/>
          <w:bCs/>
          <w:snapToGrid w:val="0"/>
          <w:color w:val="000000" w:themeColor="text1"/>
        </w:rPr>
        <w:t>进行血液病治疗和敷贴治疗</w:t>
      </w:r>
      <w:r w:rsidRPr="00B12FE0">
        <w:rPr>
          <w:rFonts w:ascii="Times New Roman" w:eastAsiaTheme="minorEastAsia" w:hAnsi="Times New Roman" w:hint="eastAsia"/>
          <w:b w:val="0"/>
          <w:bCs/>
          <w:snapToGrid w:val="0"/>
          <w:color w:val="000000" w:themeColor="text1"/>
        </w:rPr>
        <w:t>，</w:t>
      </w:r>
      <w:r w:rsidRPr="00B12FE0">
        <w:rPr>
          <w:rFonts w:ascii="Times New Roman" w:eastAsiaTheme="minorEastAsia" w:hAnsi="Times New Roman"/>
          <w:b w:val="0"/>
          <w:color w:val="000000" w:themeColor="text1"/>
        </w:rPr>
        <w:t>核素诊断场所放射性核素日等效最大操作量为</w:t>
      </w:r>
      <w:r w:rsidRPr="00B12FE0">
        <w:rPr>
          <w:rFonts w:ascii="Times New Roman" w:hAnsi="Times New Roman"/>
          <w:b w:val="0"/>
          <w:bCs/>
          <w:color w:val="000000" w:themeColor="text1"/>
        </w:rPr>
        <w:t>7.59×10</w:t>
      </w:r>
      <w:r w:rsidRPr="00B12FE0">
        <w:rPr>
          <w:rFonts w:ascii="Times New Roman" w:hAnsi="Times New Roman"/>
          <w:b w:val="0"/>
          <w:bCs/>
          <w:color w:val="000000" w:themeColor="text1"/>
          <w:vertAlign w:val="superscript"/>
        </w:rPr>
        <w:t>8</w:t>
      </w:r>
      <w:r w:rsidRPr="00B12FE0">
        <w:rPr>
          <w:rFonts w:ascii="Times New Roman" w:hAnsi="Times New Roman"/>
          <w:b w:val="0"/>
          <w:bCs/>
          <w:color w:val="000000" w:themeColor="text1"/>
        </w:rPr>
        <w:t>Bq</w:t>
      </w:r>
      <w:r w:rsidRPr="00B12FE0">
        <w:rPr>
          <w:rFonts w:ascii="Times New Roman" w:eastAsiaTheme="minorEastAsia" w:hAnsi="Times New Roman"/>
          <w:b w:val="0"/>
          <w:color w:val="000000" w:themeColor="text1"/>
        </w:rPr>
        <w:t>，为乙级非密封放射性物质工作场所</w:t>
      </w:r>
      <w:r w:rsidRPr="00B12FE0">
        <w:rPr>
          <w:rFonts w:ascii="Times New Roman" w:eastAsiaTheme="minorEastAsia" w:hAnsi="Times New Roman"/>
          <w:b w:val="0"/>
          <w:color w:val="000000" w:themeColor="text1"/>
          <w:spacing w:val="2"/>
        </w:rPr>
        <w:t>。</w:t>
      </w:r>
    </w:p>
    <w:p w14:paraId="01FF024E" w14:textId="77777777" w:rsidR="00A67F21" w:rsidRPr="00B12FE0" w:rsidRDefault="00000000">
      <w:pPr>
        <w:adjustRightInd w:val="0"/>
        <w:snapToGrid w:val="0"/>
        <w:spacing w:line="360" w:lineRule="auto"/>
        <w:ind w:firstLineChars="200" w:firstLine="484"/>
        <w:rPr>
          <w:bCs/>
          <w:color w:val="000000" w:themeColor="text1"/>
          <w:spacing w:val="2"/>
          <w:kern w:val="0"/>
        </w:rPr>
      </w:pPr>
      <w:r w:rsidRPr="00B12FE0">
        <w:rPr>
          <w:rFonts w:hint="eastAsia"/>
          <w:bCs/>
          <w:color w:val="000000" w:themeColor="text1"/>
          <w:spacing w:val="2"/>
          <w:kern w:val="0"/>
        </w:rPr>
        <w:t>P</w:t>
      </w:r>
      <w:r w:rsidRPr="00B12FE0">
        <w:rPr>
          <w:bCs/>
          <w:color w:val="000000" w:themeColor="text1"/>
          <w:spacing w:val="2"/>
          <w:kern w:val="0"/>
        </w:rPr>
        <w:t>ET/CT</w:t>
      </w:r>
      <w:r w:rsidRPr="00B12FE0">
        <w:rPr>
          <w:rFonts w:hint="eastAsia"/>
          <w:bCs/>
          <w:color w:val="000000" w:themeColor="text1"/>
          <w:spacing w:val="2"/>
          <w:kern w:val="0"/>
        </w:rPr>
        <w:t>共配备</w:t>
      </w:r>
      <w:r w:rsidRPr="00B12FE0">
        <w:rPr>
          <w:rFonts w:hint="eastAsia"/>
          <w:bCs/>
          <w:color w:val="000000" w:themeColor="text1"/>
        </w:rPr>
        <w:t>3</w:t>
      </w:r>
      <w:r w:rsidRPr="00B12FE0">
        <w:rPr>
          <w:rFonts w:hint="eastAsia"/>
          <w:bCs/>
          <w:color w:val="000000" w:themeColor="text1"/>
        </w:rPr>
        <w:t>枚</w:t>
      </w:r>
      <w:r w:rsidRPr="00B12FE0">
        <w:rPr>
          <w:rFonts w:hint="eastAsia"/>
          <w:bCs/>
          <w:color w:val="000000" w:themeColor="text1"/>
          <w:vertAlign w:val="superscript"/>
        </w:rPr>
        <w:t>68</w:t>
      </w:r>
      <w:r w:rsidRPr="00B12FE0">
        <w:rPr>
          <w:rFonts w:hint="eastAsia"/>
          <w:bCs/>
          <w:color w:val="000000" w:themeColor="text1"/>
        </w:rPr>
        <w:t>Ge</w:t>
      </w:r>
      <w:r w:rsidRPr="00B12FE0">
        <w:rPr>
          <w:rFonts w:hint="eastAsia"/>
          <w:bCs/>
          <w:color w:val="000000" w:themeColor="text1"/>
        </w:rPr>
        <w:t>校准源，</w:t>
      </w:r>
      <w:r w:rsidRPr="00B12FE0">
        <w:rPr>
          <w:color w:val="000000" w:themeColor="text1"/>
        </w:rPr>
        <w:t>1</w:t>
      </w:r>
      <w:r w:rsidRPr="00B12FE0">
        <w:rPr>
          <w:color w:val="000000" w:themeColor="text1"/>
        </w:rPr>
        <w:t>枚</w:t>
      </w:r>
      <w:r w:rsidRPr="00B12FE0">
        <w:rPr>
          <w:color w:val="000000" w:themeColor="text1"/>
        </w:rPr>
        <w:t>1.11×10</w:t>
      </w:r>
      <w:r w:rsidRPr="00B12FE0">
        <w:rPr>
          <w:color w:val="000000" w:themeColor="text1"/>
          <w:vertAlign w:val="superscript"/>
        </w:rPr>
        <w:t>8</w:t>
      </w:r>
      <w:r w:rsidRPr="00B12FE0">
        <w:rPr>
          <w:color w:val="000000" w:themeColor="text1"/>
        </w:rPr>
        <w:t>Bq</w:t>
      </w:r>
      <w:r w:rsidRPr="00B12FE0">
        <w:rPr>
          <w:color w:val="000000" w:themeColor="text1"/>
          <w:vertAlign w:val="superscript"/>
        </w:rPr>
        <w:t>68</w:t>
      </w:r>
      <w:r w:rsidRPr="00B12FE0">
        <w:rPr>
          <w:color w:val="000000" w:themeColor="text1"/>
        </w:rPr>
        <w:t>Ge</w:t>
      </w:r>
      <w:r w:rsidRPr="00B12FE0">
        <w:rPr>
          <w:color w:val="000000" w:themeColor="text1"/>
        </w:rPr>
        <w:t>校准源和</w:t>
      </w:r>
      <w:r w:rsidRPr="00B12FE0">
        <w:rPr>
          <w:rFonts w:hint="eastAsia"/>
          <w:color w:val="000000" w:themeColor="text1"/>
        </w:rPr>
        <w:t>2</w:t>
      </w:r>
      <w:r w:rsidRPr="00B12FE0">
        <w:rPr>
          <w:color w:val="000000" w:themeColor="text1"/>
        </w:rPr>
        <w:t>枚</w:t>
      </w:r>
      <w:r w:rsidRPr="00B12FE0">
        <w:rPr>
          <w:color w:val="000000" w:themeColor="text1"/>
        </w:rPr>
        <w:t>5.55×10</w:t>
      </w:r>
      <w:r w:rsidRPr="00B12FE0">
        <w:rPr>
          <w:color w:val="000000" w:themeColor="text1"/>
          <w:vertAlign w:val="superscript"/>
        </w:rPr>
        <w:t>7</w:t>
      </w:r>
      <w:r w:rsidRPr="00B12FE0">
        <w:rPr>
          <w:color w:val="000000" w:themeColor="text1"/>
        </w:rPr>
        <w:t>Bq</w:t>
      </w:r>
      <w:r w:rsidRPr="00B12FE0">
        <w:rPr>
          <w:color w:val="000000" w:themeColor="text1"/>
          <w:vertAlign w:val="superscript"/>
        </w:rPr>
        <w:t>68</w:t>
      </w:r>
      <w:r w:rsidRPr="00B12FE0">
        <w:rPr>
          <w:color w:val="000000" w:themeColor="text1"/>
        </w:rPr>
        <w:t>Ge</w:t>
      </w:r>
      <w:r w:rsidRPr="00B12FE0">
        <w:rPr>
          <w:color w:val="000000" w:themeColor="text1"/>
        </w:rPr>
        <w:t>校准源</w:t>
      </w:r>
      <w:r w:rsidRPr="00B12FE0">
        <w:rPr>
          <w:rFonts w:hint="eastAsia"/>
          <w:bCs/>
          <w:color w:val="000000" w:themeColor="text1"/>
        </w:rPr>
        <w:t>，用于设备校准。</w:t>
      </w:r>
    </w:p>
    <w:p w14:paraId="2F082AB3" w14:textId="77777777" w:rsidR="00A67F21" w:rsidRPr="00B12FE0" w:rsidRDefault="00000000">
      <w:pPr>
        <w:pStyle w:val="af9"/>
        <w:snapToGrid w:val="0"/>
        <w:spacing w:line="360" w:lineRule="auto"/>
        <w:ind w:leftChars="0" w:left="0" w:firstLineChars="200" w:firstLine="480"/>
        <w:rPr>
          <w:rFonts w:ascii="Times New Roman" w:eastAsiaTheme="minorEastAsia" w:hAnsi="Times New Roman"/>
          <w:b w:val="0"/>
          <w:bCs/>
          <w:color w:val="000000" w:themeColor="text1"/>
        </w:rPr>
      </w:pPr>
      <w:r w:rsidRPr="00B12FE0">
        <w:rPr>
          <w:rFonts w:ascii="Times New Roman" w:eastAsiaTheme="minorEastAsia" w:hAnsi="Times New Roman"/>
          <w:b w:val="0"/>
          <w:bCs/>
          <w:color w:val="000000" w:themeColor="text1"/>
        </w:rPr>
        <w:t>核医学科核素治疗场所使用核素</w:t>
      </w:r>
      <w:r w:rsidRPr="00B12FE0">
        <w:rPr>
          <w:rFonts w:ascii="Times New Roman" w:eastAsiaTheme="minorEastAsia" w:hAnsi="Times New Roman"/>
          <w:b w:val="0"/>
          <w:bCs/>
          <w:color w:val="000000" w:themeColor="text1"/>
          <w:vertAlign w:val="superscript"/>
        </w:rPr>
        <w:t>131</w:t>
      </w:r>
      <w:r w:rsidRPr="00B12FE0">
        <w:rPr>
          <w:rFonts w:ascii="Times New Roman" w:eastAsiaTheme="minorEastAsia" w:hAnsi="Times New Roman"/>
          <w:b w:val="0"/>
          <w:bCs/>
          <w:color w:val="000000" w:themeColor="text1"/>
        </w:rPr>
        <w:t>I</w:t>
      </w:r>
      <w:proofErr w:type="gramStart"/>
      <w:r w:rsidRPr="00B12FE0">
        <w:rPr>
          <w:rFonts w:ascii="Times New Roman" w:eastAsiaTheme="minorEastAsia" w:hAnsi="Times New Roman"/>
          <w:b w:val="0"/>
          <w:bCs/>
          <w:color w:val="000000" w:themeColor="text1"/>
        </w:rPr>
        <w:t>进行甲癌治疗</w:t>
      </w:r>
      <w:proofErr w:type="gramEnd"/>
      <w:r w:rsidRPr="00B12FE0">
        <w:rPr>
          <w:rFonts w:ascii="Times New Roman" w:eastAsiaTheme="minorEastAsia" w:hAnsi="Times New Roman"/>
          <w:b w:val="0"/>
          <w:bCs/>
          <w:color w:val="000000" w:themeColor="text1"/>
        </w:rPr>
        <w:t>，核医学科核素治疗场所非密封放射性核素日等效最大操作量为</w:t>
      </w:r>
      <w:r w:rsidRPr="00B12FE0">
        <w:rPr>
          <w:rFonts w:ascii="Times New Roman" w:eastAsiaTheme="minorEastAsia" w:hAnsi="Times New Roman" w:hint="eastAsia"/>
          <w:b w:val="0"/>
          <w:bCs/>
          <w:color w:val="000000" w:themeColor="text1"/>
        </w:rPr>
        <w:t>4.44</w:t>
      </w:r>
      <w:r w:rsidRPr="00B12FE0">
        <w:rPr>
          <w:rFonts w:ascii="Times New Roman" w:eastAsiaTheme="minorEastAsia" w:hAnsi="Times New Roman"/>
          <w:b w:val="0"/>
          <w:bCs/>
          <w:color w:val="000000" w:themeColor="text1"/>
        </w:rPr>
        <w:t>×10</w:t>
      </w:r>
      <w:r w:rsidRPr="00B12FE0">
        <w:rPr>
          <w:rFonts w:ascii="Times New Roman" w:eastAsiaTheme="minorEastAsia" w:hAnsi="Times New Roman" w:hint="eastAsia"/>
          <w:b w:val="0"/>
          <w:bCs/>
          <w:color w:val="000000" w:themeColor="text1"/>
          <w:vertAlign w:val="superscript"/>
        </w:rPr>
        <w:t>8</w:t>
      </w:r>
      <w:r w:rsidRPr="00B12FE0">
        <w:rPr>
          <w:rFonts w:ascii="Times New Roman" w:eastAsiaTheme="minorEastAsia" w:hAnsi="Times New Roman"/>
          <w:b w:val="0"/>
          <w:bCs/>
          <w:color w:val="000000" w:themeColor="text1"/>
        </w:rPr>
        <w:t>Bq</w:t>
      </w:r>
      <w:r w:rsidRPr="00B12FE0">
        <w:rPr>
          <w:rFonts w:ascii="Times New Roman" w:eastAsiaTheme="minorEastAsia" w:hAnsi="Times New Roman"/>
          <w:b w:val="0"/>
          <w:bCs/>
          <w:color w:val="000000" w:themeColor="text1"/>
        </w:rPr>
        <w:t>，为乙级非密封放射性物质工作场所</w:t>
      </w:r>
      <w:r w:rsidRPr="00B12FE0">
        <w:rPr>
          <w:rFonts w:ascii="Times New Roman" w:eastAsiaTheme="minorEastAsia" w:hAnsi="Times New Roman" w:hint="eastAsia"/>
          <w:b w:val="0"/>
          <w:bCs/>
          <w:color w:val="000000" w:themeColor="text1"/>
        </w:rPr>
        <w:t>。</w:t>
      </w:r>
    </w:p>
    <w:p w14:paraId="675AEFFE" w14:textId="77777777" w:rsidR="00A67F21" w:rsidRPr="00B12FE0" w:rsidRDefault="00000000">
      <w:pPr>
        <w:pStyle w:val="af9"/>
        <w:snapToGrid w:val="0"/>
        <w:spacing w:line="360" w:lineRule="auto"/>
        <w:ind w:leftChars="0" w:left="0" w:firstLineChars="200" w:firstLine="480"/>
        <w:rPr>
          <w:rFonts w:ascii="Times New Roman" w:hAnsi="Times New Roman"/>
          <w:b w:val="0"/>
          <w:bCs/>
          <w:color w:val="000000" w:themeColor="text1"/>
        </w:rPr>
      </w:pPr>
      <w:r w:rsidRPr="00B12FE0">
        <w:rPr>
          <w:rFonts w:ascii="Times New Roman" w:eastAsia="宋体" w:hAnsi="Times New Roman"/>
          <w:b w:val="0"/>
          <w:bCs/>
          <w:snapToGrid w:val="0"/>
          <w:color w:val="000000" w:themeColor="text1"/>
          <w:lang w:bidi="ar"/>
        </w:rPr>
        <w:t>放疗科配备</w:t>
      </w:r>
      <w:r w:rsidRPr="00B12FE0">
        <w:rPr>
          <w:rFonts w:ascii="Times New Roman" w:eastAsia="宋体" w:hAnsi="Times New Roman"/>
          <w:b w:val="0"/>
          <w:bCs/>
          <w:snapToGrid w:val="0"/>
          <w:color w:val="000000" w:themeColor="text1"/>
          <w:lang w:bidi="ar"/>
        </w:rPr>
        <w:t>2</w:t>
      </w:r>
      <w:r w:rsidRPr="00B12FE0">
        <w:rPr>
          <w:rFonts w:ascii="Times New Roman" w:eastAsia="宋体" w:hAnsi="Times New Roman"/>
          <w:b w:val="0"/>
          <w:bCs/>
          <w:snapToGrid w:val="0"/>
          <w:color w:val="000000" w:themeColor="text1"/>
          <w:lang w:bidi="ar"/>
        </w:rPr>
        <w:t>台直线加速器（集成</w:t>
      </w:r>
      <w:r w:rsidRPr="00B12FE0">
        <w:rPr>
          <w:rFonts w:ascii="Times New Roman" w:eastAsia="宋体" w:hAnsi="Times New Roman"/>
          <w:b w:val="0"/>
          <w:bCs/>
          <w:snapToGrid w:val="0"/>
          <w:color w:val="000000" w:themeColor="text1"/>
          <w:lang w:bidi="ar"/>
        </w:rPr>
        <w:t>1</w:t>
      </w:r>
      <w:r w:rsidRPr="00B12FE0">
        <w:rPr>
          <w:rFonts w:ascii="Times New Roman" w:eastAsia="宋体" w:hAnsi="Times New Roman"/>
          <w:b w:val="0"/>
          <w:bCs/>
          <w:snapToGrid w:val="0"/>
          <w:color w:val="000000" w:themeColor="text1"/>
          <w:lang w:bidi="ar"/>
        </w:rPr>
        <w:t>套</w:t>
      </w:r>
      <w:r w:rsidRPr="00B12FE0">
        <w:rPr>
          <w:rFonts w:ascii="Times New Roman" w:eastAsia="宋体" w:hAnsi="Times New Roman"/>
          <w:b w:val="0"/>
          <w:bCs/>
          <w:snapToGrid w:val="0"/>
          <w:color w:val="000000" w:themeColor="text1"/>
          <w:lang w:bidi="ar"/>
        </w:rPr>
        <w:t>CBCT</w:t>
      </w:r>
      <w:r w:rsidRPr="00B12FE0">
        <w:rPr>
          <w:rFonts w:ascii="Times New Roman" w:eastAsia="宋体" w:hAnsi="Times New Roman"/>
          <w:b w:val="0"/>
          <w:bCs/>
          <w:snapToGrid w:val="0"/>
          <w:color w:val="000000" w:themeColor="text1"/>
          <w:lang w:bidi="ar"/>
        </w:rPr>
        <w:t>影像引导设备）和</w:t>
      </w:r>
      <w:r w:rsidRPr="00B12FE0">
        <w:rPr>
          <w:rFonts w:ascii="Times New Roman" w:eastAsia="宋体" w:hAnsi="Times New Roman"/>
          <w:b w:val="0"/>
          <w:bCs/>
          <w:snapToGrid w:val="0"/>
          <w:color w:val="000000" w:themeColor="text1"/>
          <w:lang w:bidi="ar"/>
        </w:rPr>
        <w:t>1</w:t>
      </w:r>
      <w:r w:rsidRPr="00B12FE0">
        <w:rPr>
          <w:rFonts w:ascii="Times New Roman" w:eastAsia="宋体" w:hAnsi="Times New Roman"/>
          <w:b w:val="0"/>
          <w:bCs/>
          <w:snapToGrid w:val="0"/>
          <w:color w:val="000000" w:themeColor="text1"/>
          <w:lang w:bidi="ar"/>
        </w:rPr>
        <w:t>台后装机用于放射治疗</w:t>
      </w:r>
      <w:r w:rsidRPr="00B12FE0">
        <w:rPr>
          <w:rFonts w:ascii="Times New Roman" w:eastAsia="宋体" w:hAnsi="Times New Roman"/>
          <w:b w:val="0"/>
          <w:bCs/>
          <w:color w:val="000000" w:themeColor="text1"/>
        </w:rPr>
        <w:t>，为</w:t>
      </w:r>
      <w:r w:rsidRPr="00B12FE0">
        <w:rPr>
          <w:rFonts w:ascii="Times New Roman" w:eastAsia="宋体" w:hAnsi="Times New Roman"/>
          <w:b w:val="0"/>
          <w:bCs/>
          <w:color w:val="000000" w:themeColor="text1"/>
        </w:rPr>
        <w:t>Ⅱ</w:t>
      </w:r>
      <w:r w:rsidRPr="00B12FE0">
        <w:rPr>
          <w:rFonts w:ascii="Times New Roman" w:eastAsia="宋体" w:hAnsi="Times New Roman"/>
          <w:b w:val="0"/>
          <w:bCs/>
          <w:color w:val="000000" w:themeColor="text1"/>
        </w:rPr>
        <w:t>类射线装置</w:t>
      </w:r>
      <w:r w:rsidRPr="00B12FE0">
        <w:rPr>
          <w:rFonts w:ascii="Times New Roman" w:eastAsia="宋体" w:hAnsi="Times New Roman" w:hint="eastAsia"/>
          <w:b w:val="0"/>
          <w:bCs/>
          <w:color w:val="000000" w:themeColor="text1"/>
        </w:rPr>
        <w:t>；</w:t>
      </w:r>
      <w:r w:rsidRPr="00B12FE0">
        <w:rPr>
          <w:rFonts w:ascii="Times New Roman" w:eastAsia="宋体" w:hAnsi="Times New Roman"/>
          <w:b w:val="0"/>
          <w:bCs/>
          <w:color w:val="000000" w:themeColor="text1"/>
        </w:rPr>
        <w:t>配备</w:t>
      </w:r>
      <w:r w:rsidRPr="00B12FE0">
        <w:rPr>
          <w:rFonts w:ascii="Times New Roman" w:eastAsia="宋体" w:hAnsi="Times New Roman"/>
          <w:b w:val="0"/>
          <w:bCs/>
          <w:color w:val="000000" w:themeColor="text1"/>
        </w:rPr>
        <w:t>1</w:t>
      </w:r>
      <w:r w:rsidRPr="00B12FE0">
        <w:rPr>
          <w:rFonts w:ascii="Times New Roman" w:eastAsia="宋体" w:hAnsi="Times New Roman"/>
          <w:b w:val="0"/>
          <w:bCs/>
          <w:color w:val="000000" w:themeColor="text1"/>
        </w:rPr>
        <w:t>台模拟定位</w:t>
      </w:r>
      <w:r w:rsidRPr="00B12FE0">
        <w:rPr>
          <w:rFonts w:ascii="Times New Roman" w:eastAsia="宋体" w:hAnsi="Times New Roman"/>
          <w:b w:val="0"/>
          <w:bCs/>
          <w:color w:val="000000" w:themeColor="text1"/>
        </w:rPr>
        <w:t>CT</w:t>
      </w:r>
      <w:r w:rsidRPr="00B12FE0">
        <w:rPr>
          <w:rFonts w:ascii="Times New Roman" w:eastAsia="宋体" w:hAnsi="Times New Roman"/>
          <w:b w:val="0"/>
          <w:bCs/>
          <w:color w:val="000000" w:themeColor="text1"/>
        </w:rPr>
        <w:t>，用于扫描定位</w:t>
      </w:r>
      <w:r w:rsidRPr="00B12FE0">
        <w:rPr>
          <w:rFonts w:ascii="Times New Roman" w:eastAsia="宋体" w:hAnsi="Times New Roman" w:hint="eastAsia"/>
          <w:b w:val="0"/>
          <w:bCs/>
          <w:color w:val="000000" w:themeColor="text1"/>
        </w:rPr>
        <w:t>，</w:t>
      </w:r>
      <w:r w:rsidRPr="00B12FE0">
        <w:rPr>
          <w:rFonts w:ascii="Times New Roman" w:eastAsia="宋体" w:hAnsi="Times New Roman"/>
          <w:b w:val="0"/>
          <w:bCs/>
          <w:color w:val="000000" w:themeColor="text1"/>
        </w:rPr>
        <w:t>为</w:t>
      </w:r>
      <w:r w:rsidRPr="00B12FE0">
        <w:rPr>
          <w:rFonts w:ascii="Times New Roman" w:eastAsia="宋体" w:hAnsi="Times New Roman"/>
          <w:b w:val="0"/>
          <w:bCs/>
          <w:color w:val="000000" w:themeColor="text1"/>
        </w:rPr>
        <w:t>III</w:t>
      </w:r>
      <w:r w:rsidRPr="00B12FE0">
        <w:rPr>
          <w:rFonts w:ascii="Times New Roman" w:eastAsia="宋体" w:hAnsi="Times New Roman"/>
          <w:b w:val="0"/>
          <w:bCs/>
          <w:color w:val="000000" w:themeColor="text1"/>
        </w:rPr>
        <w:t>类射线装置</w:t>
      </w:r>
      <w:r w:rsidRPr="00B12FE0">
        <w:rPr>
          <w:rFonts w:ascii="Times New Roman" w:eastAsia="宋体" w:hAnsi="Times New Roman"/>
          <w:b w:val="0"/>
          <w:bCs/>
          <w:snapToGrid w:val="0"/>
          <w:color w:val="000000" w:themeColor="text1"/>
          <w:lang w:bidi="ar"/>
        </w:rPr>
        <w:t>。</w:t>
      </w:r>
    </w:p>
    <w:p w14:paraId="26B5C163" w14:textId="77777777" w:rsidR="00A67F21" w:rsidRPr="00B12FE0" w:rsidRDefault="00000000">
      <w:pPr>
        <w:adjustRightInd w:val="0"/>
        <w:snapToGrid w:val="0"/>
        <w:spacing w:line="360" w:lineRule="auto"/>
        <w:outlineLvl w:val="2"/>
        <w:rPr>
          <w:b/>
          <w:bCs/>
          <w:color w:val="000000" w:themeColor="text1"/>
        </w:rPr>
      </w:pPr>
      <w:r w:rsidRPr="00B12FE0">
        <w:rPr>
          <w:b/>
          <w:bCs/>
          <w:color w:val="000000" w:themeColor="text1"/>
          <w:lang w:eastAsia="zh-Hans"/>
        </w:rPr>
        <w:t>13</w:t>
      </w:r>
      <w:r w:rsidRPr="00B12FE0">
        <w:rPr>
          <w:rFonts w:hint="eastAsia"/>
          <w:b/>
          <w:bCs/>
          <w:color w:val="000000" w:themeColor="text1"/>
          <w:lang w:eastAsia="zh-Hans"/>
        </w:rPr>
        <w:t>.</w:t>
      </w:r>
      <w:r w:rsidRPr="00B12FE0">
        <w:rPr>
          <w:b/>
          <w:bCs/>
          <w:color w:val="000000" w:themeColor="text1"/>
          <w:lang w:eastAsia="zh-Hans"/>
        </w:rPr>
        <w:t>1</w:t>
      </w:r>
      <w:r w:rsidRPr="00B12FE0">
        <w:rPr>
          <w:rFonts w:hint="eastAsia"/>
          <w:b/>
          <w:bCs/>
          <w:color w:val="000000" w:themeColor="text1"/>
          <w:lang w:eastAsia="zh-Hans"/>
        </w:rPr>
        <w:t>.</w:t>
      </w:r>
      <w:r w:rsidRPr="00B12FE0">
        <w:rPr>
          <w:b/>
          <w:bCs/>
          <w:color w:val="000000" w:themeColor="text1"/>
          <w:lang w:eastAsia="zh-Hans"/>
        </w:rPr>
        <w:t>2</w:t>
      </w:r>
      <w:r w:rsidRPr="00B12FE0">
        <w:rPr>
          <w:b/>
          <w:bCs/>
          <w:color w:val="000000" w:themeColor="text1"/>
        </w:rPr>
        <w:t>辐射安全与防护分析结论</w:t>
      </w:r>
    </w:p>
    <w:p w14:paraId="25C8ABD6" w14:textId="77777777" w:rsidR="00A67F21" w:rsidRPr="00B12FE0" w:rsidRDefault="00000000">
      <w:pPr>
        <w:spacing w:line="360" w:lineRule="auto"/>
        <w:ind w:firstLineChars="200" w:firstLine="482"/>
        <w:rPr>
          <w:b/>
          <w:bCs/>
          <w:color w:val="000000" w:themeColor="text1"/>
          <w:kern w:val="0"/>
          <w:szCs w:val="24"/>
        </w:rPr>
      </w:pPr>
      <w:r w:rsidRPr="00B12FE0">
        <w:rPr>
          <w:b/>
          <w:bCs/>
          <w:color w:val="000000" w:themeColor="text1"/>
          <w:kern w:val="0"/>
          <w:szCs w:val="24"/>
        </w:rPr>
        <w:t>（</w:t>
      </w:r>
      <w:r w:rsidRPr="00B12FE0">
        <w:rPr>
          <w:b/>
          <w:bCs/>
          <w:color w:val="000000" w:themeColor="text1"/>
          <w:kern w:val="0"/>
          <w:szCs w:val="24"/>
        </w:rPr>
        <w:t>1</w:t>
      </w:r>
      <w:r w:rsidRPr="00B12FE0">
        <w:rPr>
          <w:b/>
          <w:bCs/>
          <w:color w:val="000000" w:themeColor="text1"/>
          <w:kern w:val="0"/>
          <w:szCs w:val="24"/>
        </w:rPr>
        <w:t>）辐射安全防护措施结论</w:t>
      </w:r>
    </w:p>
    <w:p w14:paraId="1E75056A" w14:textId="77777777" w:rsidR="00A67F21" w:rsidRPr="00B12FE0" w:rsidRDefault="00000000">
      <w:pPr>
        <w:adjustRightInd w:val="0"/>
        <w:snapToGrid w:val="0"/>
        <w:spacing w:line="360" w:lineRule="auto"/>
        <w:ind w:firstLineChars="200" w:firstLine="480"/>
        <w:rPr>
          <w:color w:val="000000" w:themeColor="text1"/>
        </w:rPr>
      </w:pPr>
      <w:r w:rsidRPr="00B12FE0">
        <w:rPr>
          <w:rFonts w:hint="eastAsia"/>
          <w:color w:val="000000" w:themeColor="text1"/>
        </w:rPr>
        <w:t>①核医学工作场所</w:t>
      </w:r>
    </w:p>
    <w:p w14:paraId="0A5D70BA" w14:textId="77777777" w:rsidR="00A67F21" w:rsidRPr="00B12FE0" w:rsidRDefault="00000000">
      <w:pPr>
        <w:adjustRightInd w:val="0"/>
        <w:spacing w:line="360" w:lineRule="auto"/>
        <w:ind w:firstLineChars="200" w:firstLine="480"/>
        <w:rPr>
          <w:color w:val="000000" w:themeColor="text1"/>
        </w:rPr>
      </w:pPr>
      <w:r w:rsidRPr="00B12FE0">
        <w:rPr>
          <w:color w:val="000000" w:themeColor="text1"/>
        </w:rPr>
        <w:t>辐射</w:t>
      </w:r>
      <w:r w:rsidRPr="00B12FE0">
        <w:rPr>
          <w:rFonts w:hint="eastAsia"/>
          <w:color w:val="000000" w:themeColor="text1"/>
        </w:rPr>
        <w:t>屏蔽</w:t>
      </w:r>
      <w:r w:rsidRPr="00B12FE0">
        <w:rPr>
          <w:color w:val="000000" w:themeColor="text1"/>
        </w:rPr>
        <w:t>防护设计：本项目核医学</w:t>
      </w:r>
      <w:r w:rsidRPr="00B12FE0">
        <w:rPr>
          <w:rFonts w:hint="eastAsia"/>
          <w:color w:val="000000" w:themeColor="text1"/>
        </w:rPr>
        <w:t>科核素制备场所</w:t>
      </w:r>
      <w:r w:rsidRPr="00B12FE0">
        <w:rPr>
          <w:color w:val="000000" w:themeColor="text1"/>
        </w:rPr>
        <w:t>四周墙体</w:t>
      </w:r>
      <w:r w:rsidRPr="00B12FE0">
        <w:rPr>
          <w:rFonts w:hint="eastAsia"/>
          <w:color w:val="000000" w:themeColor="text1"/>
        </w:rPr>
        <w:t>和顶棚主要</w:t>
      </w:r>
      <w:r w:rsidRPr="00B12FE0">
        <w:rPr>
          <w:color w:val="000000" w:themeColor="text1"/>
        </w:rPr>
        <w:t>采用</w:t>
      </w:r>
      <w:r w:rsidRPr="00B12FE0">
        <w:rPr>
          <w:rFonts w:hint="eastAsia"/>
          <w:color w:val="000000" w:themeColor="text1"/>
        </w:rPr>
        <w:t>混凝土</w:t>
      </w:r>
      <w:r w:rsidRPr="00B12FE0">
        <w:rPr>
          <w:color w:val="000000" w:themeColor="text1"/>
        </w:rPr>
        <w:t>作为屏蔽材料，防护门</w:t>
      </w:r>
      <w:proofErr w:type="gramStart"/>
      <w:r w:rsidRPr="00B12FE0">
        <w:rPr>
          <w:color w:val="000000" w:themeColor="text1"/>
        </w:rPr>
        <w:t>为铅门</w:t>
      </w:r>
      <w:proofErr w:type="gramEnd"/>
      <w:r w:rsidRPr="00B12FE0">
        <w:rPr>
          <w:color w:val="000000" w:themeColor="text1"/>
        </w:rPr>
        <w:t>+</w:t>
      </w:r>
      <w:r w:rsidRPr="00B12FE0">
        <w:rPr>
          <w:color w:val="000000" w:themeColor="text1"/>
        </w:rPr>
        <w:t>含硼聚乙烯材料</w:t>
      </w:r>
      <w:r w:rsidRPr="00B12FE0">
        <w:rPr>
          <w:rFonts w:hint="eastAsia"/>
          <w:color w:val="000000" w:themeColor="text1"/>
        </w:rPr>
        <w:t>/</w:t>
      </w:r>
      <w:r w:rsidRPr="00B12FE0">
        <w:rPr>
          <w:rFonts w:hint="eastAsia"/>
          <w:color w:val="000000" w:themeColor="text1"/>
        </w:rPr>
        <w:t>铅门</w:t>
      </w:r>
      <w:r w:rsidRPr="00B12FE0">
        <w:rPr>
          <w:color w:val="000000" w:themeColor="text1"/>
        </w:rPr>
        <w:t>，</w:t>
      </w:r>
      <w:r w:rsidRPr="00B12FE0">
        <w:rPr>
          <w:rFonts w:hint="eastAsia"/>
          <w:color w:val="000000" w:themeColor="text1"/>
        </w:rPr>
        <w:t>传递</w:t>
      </w:r>
      <w:r w:rsidRPr="00B12FE0">
        <w:rPr>
          <w:color w:val="000000" w:themeColor="text1"/>
        </w:rPr>
        <w:t>窗为铅玻璃，其防护铅</w:t>
      </w:r>
      <w:r w:rsidRPr="00B12FE0">
        <w:rPr>
          <w:color w:val="000000" w:themeColor="text1"/>
        </w:rPr>
        <w:lastRenderedPageBreak/>
        <w:t>当量满足防护屏蔽要求</w:t>
      </w:r>
      <w:r w:rsidRPr="00B12FE0">
        <w:rPr>
          <w:rFonts w:hint="eastAsia"/>
          <w:color w:val="000000" w:themeColor="text1"/>
        </w:rPr>
        <w:t>；核素诊断</w:t>
      </w:r>
      <w:r w:rsidRPr="00B12FE0">
        <w:rPr>
          <w:color w:val="000000" w:themeColor="text1"/>
        </w:rPr>
        <w:t>工作场所四周墙体</w:t>
      </w:r>
      <w:r w:rsidRPr="00B12FE0">
        <w:rPr>
          <w:rFonts w:hint="eastAsia"/>
          <w:color w:val="000000" w:themeColor="text1"/>
        </w:rPr>
        <w:t>主要</w:t>
      </w:r>
      <w:r w:rsidRPr="00B12FE0">
        <w:rPr>
          <w:color w:val="000000" w:themeColor="text1"/>
        </w:rPr>
        <w:t>采用</w:t>
      </w:r>
      <w:r w:rsidRPr="00B12FE0">
        <w:rPr>
          <w:rFonts w:hint="eastAsia"/>
          <w:color w:val="000000" w:themeColor="text1"/>
        </w:rPr>
        <w:t>实心砖墙</w:t>
      </w:r>
      <w:r w:rsidRPr="00B12FE0">
        <w:rPr>
          <w:rFonts w:hint="eastAsia"/>
          <w:color w:val="000000" w:themeColor="text1"/>
        </w:rPr>
        <w:t>/</w:t>
      </w:r>
      <w:r w:rsidRPr="00B12FE0">
        <w:rPr>
          <w:rFonts w:hint="eastAsia"/>
          <w:color w:val="000000" w:themeColor="text1"/>
        </w:rPr>
        <w:t>实心砖墙</w:t>
      </w:r>
      <w:r w:rsidRPr="00B12FE0">
        <w:rPr>
          <w:color w:val="000000" w:themeColor="text1"/>
        </w:rPr>
        <w:t>+</w:t>
      </w:r>
      <w:r w:rsidRPr="00B12FE0">
        <w:rPr>
          <w:rFonts w:hint="eastAsia"/>
          <w:color w:val="000000" w:themeColor="text1"/>
        </w:rPr>
        <w:t>硫酸钡涂料</w:t>
      </w:r>
      <w:r w:rsidRPr="00B12FE0">
        <w:rPr>
          <w:color w:val="000000" w:themeColor="text1"/>
        </w:rPr>
        <w:t>作为屏蔽材料，顶棚为混凝土作为屏蔽材料，防护门为内衬铅板，观察窗为铅玻璃，其防护铅当量满足防护屏蔽要求，对</w:t>
      </w:r>
      <w:r w:rsidRPr="00B12FE0">
        <w:rPr>
          <w:rFonts w:hint="eastAsia"/>
          <w:color w:val="000000" w:themeColor="text1"/>
        </w:rPr>
        <w:t>X</w:t>
      </w:r>
      <w:r w:rsidRPr="00B12FE0">
        <w:rPr>
          <w:rFonts w:hint="eastAsia"/>
          <w:color w:val="000000" w:themeColor="text1"/>
        </w:rPr>
        <w:t>射线</w:t>
      </w:r>
      <w:r w:rsidRPr="00B12FE0">
        <w:rPr>
          <w:color w:val="000000" w:themeColor="text1"/>
        </w:rPr>
        <w:t>和</w:t>
      </w:r>
      <w:r w:rsidRPr="00B12FE0">
        <w:rPr>
          <w:color w:val="000000" w:themeColor="text1"/>
        </w:rPr>
        <w:t>γ</w:t>
      </w:r>
      <w:r w:rsidRPr="00B12FE0">
        <w:rPr>
          <w:color w:val="000000" w:themeColor="text1"/>
        </w:rPr>
        <w:t>射线</w:t>
      </w:r>
      <w:r w:rsidRPr="00B12FE0">
        <w:rPr>
          <w:rFonts w:hint="eastAsia"/>
          <w:color w:val="000000" w:themeColor="text1"/>
        </w:rPr>
        <w:t>等</w:t>
      </w:r>
      <w:r w:rsidRPr="00B12FE0">
        <w:rPr>
          <w:color w:val="000000" w:themeColor="text1"/>
        </w:rPr>
        <w:t>起到了有效的屏蔽</w:t>
      </w:r>
      <w:r w:rsidRPr="00B12FE0">
        <w:rPr>
          <w:rFonts w:hint="eastAsia"/>
          <w:color w:val="000000" w:themeColor="text1"/>
        </w:rPr>
        <w:t>，能够满足标准要求；核素治疗</w:t>
      </w:r>
      <w:r w:rsidRPr="00B12FE0">
        <w:rPr>
          <w:color w:val="000000" w:themeColor="text1"/>
        </w:rPr>
        <w:t>工作场所四周墙体</w:t>
      </w:r>
      <w:r w:rsidRPr="00B12FE0">
        <w:rPr>
          <w:rFonts w:hint="eastAsia"/>
          <w:color w:val="000000" w:themeColor="text1"/>
        </w:rPr>
        <w:t>主要</w:t>
      </w:r>
      <w:r w:rsidRPr="00B12FE0">
        <w:rPr>
          <w:color w:val="000000" w:themeColor="text1"/>
        </w:rPr>
        <w:t>采用</w:t>
      </w:r>
      <w:r w:rsidRPr="00B12FE0">
        <w:rPr>
          <w:rFonts w:hint="eastAsia"/>
          <w:color w:val="000000" w:themeColor="text1"/>
        </w:rPr>
        <w:t>实心砖墙</w:t>
      </w:r>
      <w:r w:rsidRPr="00B12FE0">
        <w:rPr>
          <w:color w:val="000000" w:themeColor="text1"/>
        </w:rPr>
        <w:t>作为屏蔽材料，顶棚</w:t>
      </w:r>
      <w:r w:rsidRPr="00B12FE0">
        <w:rPr>
          <w:rFonts w:hint="eastAsia"/>
          <w:color w:val="000000" w:themeColor="text1"/>
        </w:rPr>
        <w:t>和地坪</w:t>
      </w:r>
      <w:r w:rsidRPr="00B12FE0">
        <w:rPr>
          <w:color w:val="000000" w:themeColor="text1"/>
        </w:rPr>
        <w:t>为混凝土作为屏蔽材料，防护门为内衬铅板，观察窗为铅玻璃，其防护铅当量满足防护屏蔽要求，对</w:t>
      </w:r>
      <w:r w:rsidRPr="00B12FE0">
        <w:rPr>
          <w:rFonts w:hint="eastAsia"/>
          <w:color w:val="000000" w:themeColor="text1"/>
        </w:rPr>
        <w:t>X</w:t>
      </w:r>
      <w:r w:rsidRPr="00B12FE0">
        <w:rPr>
          <w:rFonts w:hint="eastAsia"/>
          <w:color w:val="000000" w:themeColor="text1"/>
        </w:rPr>
        <w:t>射线</w:t>
      </w:r>
      <w:r w:rsidRPr="00B12FE0">
        <w:rPr>
          <w:color w:val="000000" w:themeColor="text1"/>
        </w:rPr>
        <w:t>和</w:t>
      </w:r>
      <w:r w:rsidRPr="00B12FE0">
        <w:rPr>
          <w:color w:val="000000" w:themeColor="text1"/>
        </w:rPr>
        <w:t>γ</w:t>
      </w:r>
      <w:r w:rsidRPr="00B12FE0">
        <w:rPr>
          <w:color w:val="000000" w:themeColor="text1"/>
        </w:rPr>
        <w:t>射线</w:t>
      </w:r>
      <w:r w:rsidRPr="00B12FE0">
        <w:rPr>
          <w:rFonts w:hint="eastAsia"/>
          <w:color w:val="000000" w:themeColor="text1"/>
        </w:rPr>
        <w:t>等</w:t>
      </w:r>
      <w:r w:rsidRPr="00B12FE0">
        <w:rPr>
          <w:color w:val="000000" w:themeColor="text1"/>
        </w:rPr>
        <w:t>起到了有效的屏蔽</w:t>
      </w:r>
      <w:r w:rsidRPr="00B12FE0">
        <w:rPr>
          <w:rFonts w:hint="eastAsia"/>
          <w:color w:val="000000" w:themeColor="text1"/>
        </w:rPr>
        <w:t>，能够满足标准要求</w:t>
      </w:r>
      <w:r w:rsidRPr="00B12FE0">
        <w:rPr>
          <w:color w:val="000000" w:themeColor="text1"/>
        </w:rPr>
        <w:t>。</w:t>
      </w:r>
    </w:p>
    <w:p w14:paraId="3DBA5268" w14:textId="77777777" w:rsidR="00A67F21" w:rsidRPr="00B12FE0" w:rsidRDefault="00000000">
      <w:pPr>
        <w:adjustRightInd w:val="0"/>
        <w:snapToGrid w:val="0"/>
        <w:spacing w:line="360" w:lineRule="auto"/>
        <w:ind w:firstLineChars="200" w:firstLine="480"/>
        <w:rPr>
          <w:color w:val="000000" w:themeColor="text1"/>
        </w:rPr>
      </w:pPr>
      <w:r w:rsidRPr="00B12FE0">
        <w:rPr>
          <w:color w:val="000000" w:themeColor="text1"/>
        </w:rPr>
        <w:t>辐射防护相关措施：对辐射工作场所进行分区管理，划分为监督区和控制区，控制区并设置相应的电离辐射警告标志，限制无关人员进入。医院制定拟制定针对性的</w:t>
      </w:r>
      <w:r w:rsidRPr="00B12FE0">
        <w:rPr>
          <w:rFonts w:hint="eastAsia"/>
          <w:color w:val="000000" w:themeColor="text1"/>
          <w:kern w:val="0"/>
          <w:szCs w:val="24"/>
        </w:rPr>
        <w:t>操作规程，职业人员工作时穿戴相应的个人防护用品。为辐射工作人员配备了个人剂</w:t>
      </w:r>
    </w:p>
    <w:p w14:paraId="2FF83A85" w14:textId="77777777" w:rsidR="00A67F21" w:rsidRPr="00B12FE0" w:rsidRDefault="00000000">
      <w:pPr>
        <w:adjustRightInd w:val="0"/>
        <w:spacing w:line="360" w:lineRule="auto"/>
        <w:rPr>
          <w:color w:val="000000" w:themeColor="text1"/>
          <w:kern w:val="0"/>
          <w:szCs w:val="24"/>
        </w:rPr>
      </w:pPr>
      <w:r w:rsidRPr="00B12FE0">
        <w:rPr>
          <w:color w:val="000000" w:themeColor="text1"/>
          <w:kern w:val="0"/>
          <w:szCs w:val="24"/>
        </w:rPr>
        <w:t>量计，并配备了个人剂量报警仪，场所配备</w:t>
      </w:r>
      <w:r w:rsidRPr="00B12FE0">
        <w:rPr>
          <w:color w:val="000000" w:themeColor="text1"/>
          <w:kern w:val="0"/>
          <w:szCs w:val="24"/>
        </w:rPr>
        <w:t>X-γ</w:t>
      </w:r>
      <w:r w:rsidRPr="00B12FE0">
        <w:rPr>
          <w:color w:val="000000" w:themeColor="text1"/>
          <w:kern w:val="0"/>
          <w:szCs w:val="24"/>
        </w:rPr>
        <w:t>辐射监测仪、表面污染监测仪等；定期对辐射工作人员开展个人剂量监测和职业健康检查监护。在落实以上辐射安全措施后，</w:t>
      </w:r>
      <w:r w:rsidRPr="00B12FE0">
        <w:rPr>
          <w:rFonts w:hint="eastAsia"/>
          <w:color w:val="000000" w:themeColor="text1"/>
          <w:kern w:val="0"/>
          <w:szCs w:val="24"/>
        </w:rPr>
        <w:t>核医学工作场所</w:t>
      </w:r>
      <w:r w:rsidRPr="00B12FE0">
        <w:rPr>
          <w:color w:val="000000" w:themeColor="text1"/>
          <w:kern w:val="0"/>
          <w:szCs w:val="24"/>
        </w:rPr>
        <w:t>辐射安全措施能够满足辐射安全防护的要求。</w:t>
      </w:r>
      <w:r w:rsidRPr="00B12FE0">
        <w:rPr>
          <w:rFonts w:hint="eastAsia"/>
          <w:color w:val="000000" w:themeColor="text1"/>
          <w:kern w:val="0"/>
          <w:szCs w:val="24"/>
        </w:rPr>
        <w:t>核医学工作场所</w:t>
      </w:r>
      <w:proofErr w:type="gramStart"/>
      <w:r w:rsidRPr="00B12FE0">
        <w:rPr>
          <w:rFonts w:hint="eastAsia"/>
          <w:color w:val="000000" w:themeColor="text1"/>
          <w:kern w:val="0"/>
          <w:szCs w:val="24"/>
        </w:rPr>
        <w:t>高活室</w:t>
      </w:r>
      <w:r w:rsidRPr="00B12FE0">
        <w:rPr>
          <w:color w:val="000000" w:themeColor="text1"/>
          <w:kern w:val="0"/>
          <w:szCs w:val="24"/>
        </w:rPr>
        <w:t>配备</w:t>
      </w:r>
      <w:proofErr w:type="gramEnd"/>
      <w:r w:rsidRPr="00B12FE0">
        <w:rPr>
          <w:color w:val="000000" w:themeColor="text1"/>
          <w:kern w:val="0"/>
          <w:szCs w:val="24"/>
        </w:rPr>
        <w:t>专用手套箱、放射</w:t>
      </w:r>
      <w:r w:rsidRPr="00B12FE0">
        <w:rPr>
          <w:rFonts w:hint="eastAsia"/>
          <w:color w:val="000000" w:themeColor="text1"/>
          <w:kern w:val="0"/>
          <w:szCs w:val="24"/>
        </w:rPr>
        <w:t>性</w:t>
      </w:r>
      <w:r w:rsidRPr="00B12FE0">
        <w:rPr>
          <w:color w:val="000000" w:themeColor="text1"/>
          <w:kern w:val="0"/>
          <w:szCs w:val="24"/>
        </w:rPr>
        <w:t>药物专用注射窗；核医学工作场所拟设置电离辐射警告</w:t>
      </w:r>
      <w:r w:rsidRPr="00B12FE0">
        <w:rPr>
          <w:rFonts w:hint="eastAsia"/>
          <w:color w:val="000000" w:themeColor="text1"/>
          <w:kern w:val="0"/>
          <w:szCs w:val="24"/>
        </w:rPr>
        <w:t>标志</w:t>
      </w:r>
      <w:r w:rsidRPr="00B12FE0">
        <w:rPr>
          <w:color w:val="000000" w:themeColor="text1"/>
          <w:kern w:val="0"/>
          <w:szCs w:val="24"/>
        </w:rPr>
        <w:t>、工作状态指示灯、对讲及监控设施；设置有满足要求的并联衰变池、放射性固废收集铅桶、放射性废气专用排风管线及活性炭吸附装置。</w:t>
      </w:r>
    </w:p>
    <w:p w14:paraId="60E9D8E1" w14:textId="77777777" w:rsidR="00A67F21" w:rsidRPr="00B12FE0" w:rsidRDefault="00000000">
      <w:pPr>
        <w:adjustRightInd w:val="0"/>
        <w:spacing w:line="360" w:lineRule="auto"/>
        <w:ind w:firstLineChars="200" w:firstLine="480"/>
        <w:rPr>
          <w:color w:val="000000" w:themeColor="text1"/>
          <w:kern w:val="0"/>
          <w:szCs w:val="24"/>
        </w:rPr>
      </w:pPr>
      <w:r w:rsidRPr="00B12FE0">
        <w:rPr>
          <w:rFonts w:ascii="宋体" w:hAnsi="宋体" w:cs="宋体" w:hint="eastAsia"/>
          <w:color w:val="000000" w:themeColor="text1"/>
          <w:kern w:val="0"/>
          <w:szCs w:val="24"/>
        </w:rPr>
        <w:t>②</w:t>
      </w:r>
      <w:r w:rsidRPr="00B12FE0">
        <w:rPr>
          <w:rFonts w:hint="eastAsia"/>
          <w:color w:val="000000" w:themeColor="text1"/>
          <w:kern w:val="0"/>
          <w:szCs w:val="24"/>
        </w:rPr>
        <w:t>放疗科直线加速器、后装机和模拟定位</w:t>
      </w:r>
      <w:r w:rsidRPr="00B12FE0">
        <w:rPr>
          <w:rFonts w:hint="eastAsia"/>
          <w:color w:val="000000" w:themeColor="text1"/>
          <w:kern w:val="0"/>
          <w:szCs w:val="24"/>
        </w:rPr>
        <w:t>CT</w:t>
      </w:r>
    </w:p>
    <w:p w14:paraId="06322468" w14:textId="77777777" w:rsidR="00A67F21" w:rsidRPr="00B12FE0" w:rsidRDefault="00000000">
      <w:pPr>
        <w:adjustRightInd w:val="0"/>
        <w:spacing w:line="360" w:lineRule="auto"/>
        <w:ind w:firstLineChars="200" w:firstLine="480"/>
        <w:rPr>
          <w:color w:val="000000" w:themeColor="text1"/>
          <w:kern w:val="0"/>
          <w:szCs w:val="24"/>
        </w:rPr>
      </w:pPr>
      <w:r w:rsidRPr="00B12FE0">
        <w:rPr>
          <w:color w:val="000000" w:themeColor="text1"/>
          <w:kern w:val="0"/>
          <w:szCs w:val="24"/>
        </w:rPr>
        <w:t>辐射</w:t>
      </w:r>
      <w:r w:rsidRPr="00B12FE0">
        <w:rPr>
          <w:rFonts w:hint="eastAsia"/>
          <w:color w:val="000000" w:themeColor="text1"/>
          <w:kern w:val="0"/>
          <w:szCs w:val="24"/>
        </w:rPr>
        <w:t>屏蔽</w:t>
      </w:r>
      <w:r w:rsidRPr="00B12FE0">
        <w:rPr>
          <w:color w:val="000000" w:themeColor="text1"/>
          <w:kern w:val="0"/>
          <w:szCs w:val="24"/>
        </w:rPr>
        <w:t>防护设计：直线加速器机房和后装机房四侧屏蔽墙体及顶棚为现浇混凝土防护，防护门</w:t>
      </w:r>
      <w:proofErr w:type="gramStart"/>
      <w:r w:rsidRPr="00B12FE0">
        <w:rPr>
          <w:color w:val="000000" w:themeColor="text1"/>
          <w:kern w:val="0"/>
          <w:szCs w:val="24"/>
        </w:rPr>
        <w:t>为铅门</w:t>
      </w:r>
      <w:proofErr w:type="gramEnd"/>
      <w:r w:rsidRPr="00B12FE0">
        <w:rPr>
          <w:color w:val="000000" w:themeColor="text1"/>
          <w:kern w:val="0"/>
          <w:szCs w:val="24"/>
        </w:rPr>
        <w:t>+</w:t>
      </w:r>
      <w:r w:rsidRPr="00B12FE0">
        <w:rPr>
          <w:color w:val="000000" w:themeColor="text1"/>
          <w:kern w:val="0"/>
          <w:szCs w:val="24"/>
        </w:rPr>
        <w:t>含硼聚乙烯材料</w:t>
      </w:r>
      <w:r w:rsidRPr="00B12FE0">
        <w:rPr>
          <w:color w:val="000000" w:themeColor="text1"/>
        </w:rPr>
        <w:t>，</w:t>
      </w:r>
      <w:r w:rsidRPr="00B12FE0">
        <w:rPr>
          <w:color w:val="000000" w:themeColor="text1"/>
          <w:kern w:val="0"/>
          <w:szCs w:val="24"/>
        </w:rPr>
        <w:t>其屏蔽厚度</w:t>
      </w:r>
      <w:r w:rsidRPr="00B12FE0">
        <w:rPr>
          <w:rFonts w:hint="eastAsia"/>
          <w:color w:val="000000" w:themeColor="text1"/>
          <w:kern w:val="0"/>
          <w:szCs w:val="24"/>
        </w:rPr>
        <w:t>、</w:t>
      </w:r>
      <w:r w:rsidRPr="00B12FE0">
        <w:rPr>
          <w:color w:val="000000" w:themeColor="text1"/>
          <w:kern w:val="0"/>
          <w:szCs w:val="24"/>
        </w:rPr>
        <w:t>防护效果满足</w:t>
      </w:r>
      <w:r w:rsidRPr="00B12FE0">
        <w:rPr>
          <w:rFonts w:hint="eastAsia"/>
          <w:color w:val="000000" w:themeColor="text1"/>
          <w:kern w:val="0"/>
          <w:szCs w:val="24"/>
        </w:rPr>
        <w:t>相关标准</w:t>
      </w:r>
      <w:r w:rsidRPr="00B12FE0">
        <w:rPr>
          <w:color w:val="000000" w:themeColor="text1"/>
          <w:kern w:val="0"/>
          <w:szCs w:val="24"/>
        </w:rPr>
        <w:t>要求。</w:t>
      </w:r>
    </w:p>
    <w:p w14:paraId="4CAB5623" w14:textId="77777777" w:rsidR="00A67F21" w:rsidRPr="00B12FE0" w:rsidRDefault="00000000">
      <w:pPr>
        <w:keepNext/>
        <w:keepLines/>
        <w:tabs>
          <w:tab w:val="left" w:pos="1017"/>
        </w:tabs>
        <w:adjustRightInd w:val="0"/>
        <w:spacing w:line="360" w:lineRule="auto"/>
        <w:ind w:firstLine="480"/>
        <w:rPr>
          <w:rFonts w:hAnsi="宋体" w:hint="eastAsia"/>
          <w:color w:val="000000" w:themeColor="text1"/>
        </w:rPr>
      </w:pPr>
      <w:r w:rsidRPr="00B12FE0">
        <w:rPr>
          <w:rFonts w:hint="eastAsia"/>
          <w:color w:val="000000" w:themeColor="text1"/>
        </w:rPr>
        <w:t>本项目</w:t>
      </w:r>
      <w:r w:rsidRPr="00B12FE0">
        <w:rPr>
          <w:color w:val="000000" w:themeColor="text1"/>
        </w:rPr>
        <w:t>1</w:t>
      </w:r>
      <w:r w:rsidRPr="00B12FE0">
        <w:rPr>
          <w:rFonts w:hint="eastAsia"/>
          <w:color w:val="000000" w:themeColor="text1"/>
        </w:rPr>
        <w:t>间模拟定位</w:t>
      </w:r>
      <w:r w:rsidRPr="00B12FE0">
        <w:rPr>
          <w:rFonts w:hint="eastAsia"/>
          <w:color w:val="000000" w:themeColor="text1"/>
        </w:rPr>
        <w:t>CT</w:t>
      </w:r>
      <w:r w:rsidRPr="00B12FE0">
        <w:rPr>
          <w:rFonts w:hint="eastAsia"/>
          <w:color w:val="000000" w:themeColor="text1"/>
        </w:rPr>
        <w:t>机房四侧墙体</w:t>
      </w:r>
      <w:r w:rsidRPr="00B12FE0">
        <w:rPr>
          <w:color w:val="000000" w:themeColor="text1"/>
        </w:rPr>
        <w:t>采用</w:t>
      </w:r>
      <w:r w:rsidRPr="00B12FE0">
        <w:rPr>
          <w:rFonts w:hint="eastAsia"/>
          <w:color w:val="000000" w:themeColor="text1"/>
        </w:rPr>
        <w:t>实心砖墙</w:t>
      </w:r>
      <w:r w:rsidRPr="00B12FE0">
        <w:rPr>
          <w:color w:val="000000" w:themeColor="text1"/>
        </w:rPr>
        <w:t>作为屏蔽材料，顶棚为混凝土作为屏蔽材料</w:t>
      </w:r>
      <w:r w:rsidRPr="00B12FE0">
        <w:rPr>
          <w:rFonts w:hint="eastAsia"/>
          <w:color w:val="000000" w:themeColor="text1"/>
        </w:rPr>
        <w:t>，机房设有铅玻璃观察窗和铅防护门，各屏蔽物的铅当量厚度满足《放射诊断放射防护要求》（</w:t>
      </w:r>
      <w:r w:rsidRPr="00B12FE0">
        <w:rPr>
          <w:color w:val="000000" w:themeColor="text1"/>
        </w:rPr>
        <w:t>GBZ 130-2020</w:t>
      </w:r>
      <w:r w:rsidRPr="00B12FE0">
        <w:rPr>
          <w:rFonts w:hint="eastAsia"/>
          <w:color w:val="000000" w:themeColor="text1"/>
        </w:rPr>
        <w:t>）的要求。</w:t>
      </w:r>
    </w:p>
    <w:p w14:paraId="64146AEF" w14:textId="77777777" w:rsidR="00A67F21" w:rsidRPr="00B12FE0" w:rsidRDefault="00000000">
      <w:pPr>
        <w:adjustRightInd w:val="0"/>
        <w:spacing w:line="360" w:lineRule="auto"/>
        <w:ind w:firstLineChars="200" w:firstLine="480"/>
        <w:rPr>
          <w:rFonts w:ascii="宋体" w:hAnsi="宋体" w:hint="eastAsia"/>
          <w:snapToGrid w:val="0"/>
          <w:color w:val="000000" w:themeColor="text1"/>
          <w:kern w:val="0"/>
        </w:rPr>
      </w:pPr>
      <w:r w:rsidRPr="00B12FE0">
        <w:rPr>
          <w:color w:val="000000" w:themeColor="text1"/>
          <w:kern w:val="0"/>
          <w:szCs w:val="24"/>
        </w:rPr>
        <w:t>辐射防护</w:t>
      </w:r>
      <w:r w:rsidRPr="00B12FE0">
        <w:rPr>
          <w:rFonts w:hint="eastAsia"/>
          <w:color w:val="000000" w:themeColor="text1"/>
          <w:kern w:val="0"/>
          <w:szCs w:val="24"/>
        </w:rPr>
        <w:t>相关措施</w:t>
      </w:r>
      <w:r w:rsidRPr="00B12FE0">
        <w:rPr>
          <w:color w:val="000000" w:themeColor="text1"/>
          <w:kern w:val="0"/>
          <w:szCs w:val="24"/>
        </w:rPr>
        <w:t>：</w:t>
      </w:r>
      <w:r w:rsidRPr="00B12FE0">
        <w:rPr>
          <w:rFonts w:hint="eastAsia"/>
          <w:color w:val="000000" w:themeColor="text1"/>
          <w:kern w:val="0"/>
          <w:szCs w:val="24"/>
        </w:rPr>
        <w:t>直线加速器</w:t>
      </w:r>
      <w:r w:rsidRPr="00B12FE0">
        <w:rPr>
          <w:rFonts w:hAnsi="宋体" w:hint="eastAsia"/>
          <w:snapToGrid w:val="0"/>
          <w:color w:val="000000" w:themeColor="text1"/>
        </w:rPr>
        <w:t>机房防护门上方</w:t>
      </w:r>
      <w:r w:rsidRPr="00B12FE0">
        <w:rPr>
          <w:rFonts w:ascii="宋体" w:hAnsi="宋体" w:hint="eastAsia"/>
          <w:snapToGrid w:val="0"/>
          <w:color w:val="000000" w:themeColor="text1"/>
        </w:rPr>
        <w:t>拟设置工作状态指示灯和电离辐射警告标志，且拟设置门机</w:t>
      </w:r>
      <w:proofErr w:type="gramStart"/>
      <w:r w:rsidRPr="00B12FE0">
        <w:rPr>
          <w:rFonts w:ascii="宋体" w:hAnsi="宋体" w:hint="eastAsia"/>
          <w:snapToGrid w:val="0"/>
          <w:color w:val="000000" w:themeColor="text1"/>
        </w:rPr>
        <w:t>联锁</w:t>
      </w:r>
      <w:proofErr w:type="gramEnd"/>
      <w:r w:rsidRPr="00B12FE0">
        <w:rPr>
          <w:rFonts w:ascii="宋体" w:hAnsi="宋体" w:hint="eastAsia"/>
          <w:snapToGrid w:val="0"/>
          <w:color w:val="000000" w:themeColor="text1"/>
        </w:rPr>
        <w:t>和带有异常情况下报警功能的固定式辐射剂量监测仪；</w:t>
      </w:r>
      <w:r w:rsidRPr="00B12FE0">
        <w:rPr>
          <w:rFonts w:ascii="宋体" w:hAnsi="宋体" w:hint="eastAsia"/>
          <w:snapToGrid w:val="0"/>
          <w:color w:val="000000" w:themeColor="text1"/>
          <w:kern w:val="0"/>
        </w:rPr>
        <w:t>设备、机房内防护墙及操作室控制台处均设计有急停按钮；机房内将安装视频装置和双向交流对讲系统。</w:t>
      </w:r>
    </w:p>
    <w:p w14:paraId="7E573414" w14:textId="77777777" w:rsidR="00A67F21" w:rsidRPr="00B12FE0" w:rsidRDefault="00000000">
      <w:pPr>
        <w:adjustRightInd w:val="0"/>
        <w:spacing w:line="360" w:lineRule="auto"/>
        <w:ind w:firstLineChars="200" w:firstLine="480"/>
        <w:rPr>
          <w:color w:val="000000" w:themeColor="text1"/>
          <w:kern w:val="0"/>
          <w:szCs w:val="24"/>
        </w:rPr>
      </w:pPr>
      <w:r w:rsidRPr="00B12FE0">
        <w:rPr>
          <w:rFonts w:ascii="宋体" w:hAnsi="宋体" w:hint="eastAsia"/>
          <w:snapToGrid w:val="0"/>
          <w:color w:val="000000" w:themeColor="text1"/>
          <w:kern w:val="0"/>
        </w:rPr>
        <w:t>模拟定位</w:t>
      </w:r>
      <w:r w:rsidRPr="00B12FE0">
        <w:rPr>
          <w:snapToGrid w:val="0"/>
          <w:color w:val="000000" w:themeColor="text1"/>
          <w:kern w:val="0"/>
        </w:rPr>
        <w:t>CT</w:t>
      </w:r>
      <w:r w:rsidRPr="00B12FE0">
        <w:rPr>
          <w:rFonts w:ascii="宋体" w:hAnsi="宋体" w:hint="eastAsia"/>
          <w:snapToGrid w:val="0"/>
          <w:color w:val="000000" w:themeColor="text1"/>
          <w:kern w:val="0"/>
        </w:rPr>
        <w:t>机房</w:t>
      </w:r>
      <w:r w:rsidRPr="00B12FE0">
        <w:rPr>
          <w:rFonts w:hAnsi="宋体" w:hint="eastAsia"/>
          <w:color w:val="000000" w:themeColor="text1"/>
        </w:rPr>
        <w:t>门外拟设电离辐射警告标志、醒目的工作状态指示灯，灯箱处拟设警示语句；设有门灯</w:t>
      </w:r>
      <w:proofErr w:type="gramStart"/>
      <w:r w:rsidRPr="00B12FE0">
        <w:rPr>
          <w:rFonts w:hAnsi="宋体" w:hint="eastAsia"/>
          <w:color w:val="000000" w:themeColor="text1"/>
        </w:rPr>
        <w:t>联锁</w:t>
      </w:r>
      <w:proofErr w:type="gramEnd"/>
      <w:r w:rsidRPr="00B12FE0">
        <w:rPr>
          <w:rFonts w:hAnsi="宋体" w:hint="eastAsia"/>
          <w:color w:val="000000" w:themeColor="text1"/>
        </w:rPr>
        <w:t>等安全设施。机房均配置相应的个人防护用品和辅助防护设施，其配置均按照《放射诊断放射防护要求》（</w:t>
      </w:r>
      <w:r w:rsidRPr="00B12FE0">
        <w:rPr>
          <w:color w:val="000000" w:themeColor="text1"/>
        </w:rPr>
        <w:t>GBZ 130-2020</w:t>
      </w:r>
      <w:r w:rsidRPr="00B12FE0">
        <w:rPr>
          <w:rFonts w:hAnsi="宋体" w:hint="eastAsia"/>
          <w:color w:val="000000" w:themeColor="text1"/>
        </w:rPr>
        <w:t>）的要求。</w:t>
      </w:r>
    </w:p>
    <w:p w14:paraId="7275DAA0" w14:textId="77777777" w:rsidR="00A67F21" w:rsidRPr="00B12FE0" w:rsidRDefault="00000000">
      <w:pPr>
        <w:numPr>
          <w:ilvl w:val="0"/>
          <w:numId w:val="13"/>
        </w:numPr>
        <w:spacing w:line="360" w:lineRule="auto"/>
        <w:ind w:firstLineChars="200" w:firstLine="482"/>
        <w:rPr>
          <w:b/>
          <w:bCs/>
          <w:color w:val="000000" w:themeColor="text1"/>
          <w:kern w:val="0"/>
          <w:szCs w:val="24"/>
        </w:rPr>
      </w:pPr>
      <w:r w:rsidRPr="00B12FE0">
        <w:rPr>
          <w:b/>
          <w:bCs/>
          <w:color w:val="000000" w:themeColor="text1"/>
          <w:kern w:val="0"/>
          <w:szCs w:val="24"/>
        </w:rPr>
        <w:t>辐射安全管理结论</w:t>
      </w:r>
    </w:p>
    <w:p w14:paraId="2E51139A"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医院已成立辐射防护管理小组，并制定了一系列辐射安全管理规章制度，</w:t>
      </w:r>
      <w:r w:rsidRPr="00B12FE0">
        <w:rPr>
          <w:color w:val="000000" w:themeColor="text1"/>
        </w:rPr>
        <w:t>医院现</w:t>
      </w:r>
      <w:r w:rsidRPr="00B12FE0">
        <w:rPr>
          <w:color w:val="000000" w:themeColor="text1"/>
        </w:rPr>
        <w:lastRenderedPageBreak/>
        <w:t>有管理制度内容较为全面，符合相关要求。</w:t>
      </w:r>
      <w:r w:rsidRPr="00B12FE0">
        <w:rPr>
          <w:rFonts w:hint="eastAsia"/>
          <w:color w:val="000000" w:themeColor="text1"/>
        </w:rPr>
        <w:t>医院已对现有辐射工作人员进行了职业健康监护和个人剂量监测，并建立了个人职业健康监护档案和个人剂量检测档案。</w:t>
      </w:r>
    </w:p>
    <w:p w14:paraId="7769CEF0"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鉴于医院目前还未组建核医学、放疗团队，在本项目建成后运行前，医院拟根据本项目的特点，制定核医学和放疗相关管理制度，运行中根据情况持续完善制度，以保证医院辐射相关工作安全有序开展。</w:t>
      </w:r>
    </w:p>
    <w:p w14:paraId="3134BEC8" w14:textId="77777777" w:rsidR="00A67F21" w:rsidRPr="00B12FE0" w:rsidRDefault="00000000">
      <w:pPr>
        <w:adjustRightInd w:val="0"/>
        <w:snapToGrid w:val="0"/>
        <w:spacing w:line="360" w:lineRule="auto"/>
        <w:outlineLvl w:val="2"/>
        <w:rPr>
          <w:b/>
          <w:bCs/>
          <w:color w:val="000000" w:themeColor="text1"/>
        </w:rPr>
      </w:pPr>
      <w:r w:rsidRPr="00B12FE0">
        <w:rPr>
          <w:b/>
          <w:bCs/>
          <w:color w:val="000000" w:themeColor="text1"/>
        </w:rPr>
        <w:t>13.1.3</w:t>
      </w:r>
      <w:r w:rsidRPr="00B12FE0">
        <w:rPr>
          <w:b/>
          <w:bCs/>
          <w:color w:val="000000" w:themeColor="text1"/>
        </w:rPr>
        <w:t>环境影响分析结论</w:t>
      </w:r>
    </w:p>
    <w:p w14:paraId="4F87C038" w14:textId="77777777" w:rsidR="00A67F21" w:rsidRPr="00B12FE0" w:rsidRDefault="00000000">
      <w:pPr>
        <w:spacing w:line="360" w:lineRule="auto"/>
        <w:ind w:firstLineChars="200" w:firstLine="482"/>
        <w:rPr>
          <w:b/>
          <w:bCs/>
          <w:color w:val="000000" w:themeColor="text1"/>
        </w:rPr>
      </w:pPr>
      <w:r w:rsidRPr="00B12FE0">
        <w:rPr>
          <w:b/>
          <w:bCs/>
          <w:color w:val="000000" w:themeColor="text1"/>
        </w:rPr>
        <w:t>（</w:t>
      </w:r>
      <w:r w:rsidRPr="00B12FE0">
        <w:rPr>
          <w:b/>
          <w:bCs/>
          <w:color w:val="000000" w:themeColor="text1"/>
        </w:rPr>
        <w:t>1</w:t>
      </w:r>
      <w:r w:rsidRPr="00B12FE0">
        <w:rPr>
          <w:b/>
          <w:bCs/>
          <w:color w:val="000000" w:themeColor="text1"/>
        </w:rPr>
        <w:t>）辐射影响分析结论</w:t>
      </w:r>
    </w:p>
    <w:p w14:paraId="25E5FBB6" w14:textId="77777777" w:rsidR="00A67F21" w:rsidRPr="00B12FE0" w:rsidRDefault="00000000">
      <w:pPr>
        <w:adjustRightInd w:val="0"/>
        <w:spacing w:line="360" w:lineRule="auto"/>
        <w:ind w:firstLineChars="200" w:firstLine="480"/>
        <w:rPr>
          <w:color w:val="000000" w:themeColor="text1"/>
        </w:rPr>
      </w:pPr>
      <w:r w:rsidRPr="00B12FE0">
        <w:rPr>
          <w:rFonts w:hint="eastAsia"/>
          <w:color w:val="000000" w:themeColor="text1"/>
        </w:rPr>
        <w:t>经理论预测分析，本项目核医学工作场所运行时控制区实体边界外</w:t>
      </w:r>
      <w:r w:rsidRPr="00B12FE0">
        <w:rPr>
          <w:color w:val="000000" w:themeColor="text1"/>
        </w:rPr>
        <w:t>30cm</w:t>
      </w:r>
      <w:r w:rsidRPr="00B12FE0">
        <w:rPr>
          <w:rFonts w:hint="eastAsia"/>
          <w:color w:val="000000" w:themeColor="text1"/>
        </w:rPr>
        <w:t>处周围剂量当量率均小于</w:t>
      </w:r>
      <w:r w:rsidRPr="00B12FE0">
        <w:rPr>
          <w:color w:val="000000" w:themeColor="text1"/>
        </w:rPr>
        <w:t>2.5μSv/h</w:t>
      </w:r>
      <w:r w:rsidRPr="00B12FE0">
        <w:rPr>
          <w:rFonts w:hint="eastAsia"/>
          <w:color w:val="000000" w:themeColor="text1"/>
        </w:rPr>
        <w:t>，手套箱和注射窗外表面</w:t>
      </w:r>
      <w:r w:rsidRPr="00B12FE0">
        <w:rPr>
          <w:color w:val="000000" w:themeColor="text1"/>
        </w:rPr>
        <w:t>30cm</w:t>
      </w:r>
      <w:r w:rsidRPr="00B12FE0">
        <w:rPr>
          <w:rFonts w:hint="eastAsia"/>
          <w:color w:val="000000" w:themeColor="text1"/>
        </w:rPr>
        <w:t>处人员操作</w:t>
      </w:r>
      <w:proofErr w:type="gramStart"/>
      <w:r w:rsidRPr="00B12FE0">
        <w:rPr>
          <w:rFonts w:hint="eastAsia"/>
          <w:color w:val="000000" w:themeColor="text1"/>
        </w:rPr>
        <w:t>位周围</w:t>
      </w:r>
      <w:proofErr w:type="gramEnd"/>
      <w:r w:rsidRPr="00B12FE0">
        <w:rPr>
          <w:rFonts w:hint="eastAsia"/>
          <w:color w:val="000000" w:themeColor="text1"/>
        </w:rPr>
        <w:t>剂量当量率小于</w:t>
      </w:r>
      <w:r w:rsidRPr="00B12FE0">
        <w:rPr>
          <w:color w:val="000000" w:themeColor="text1"/>
        </w:rPr>
        <w:t>2.5μSv/h</w:t>
      </w:r>
      <w:r w:rsidRPr="00B12FE0">
        <w:rPr>
          <w:rFonts w:hint="eastAsia"/>
          <w:color w:val="000000" w:themeColor="text1"/>
        </w:rPr>
        <w:t>，</w:t>
      </w:r>
      <w:proofErr w:type="gramStart"/>
      <w:r w:rsidRPr="00B12FE0">
        <w:rPr>
          <w:rFonts w:hint="eastAsia"/>
          <w:color w:val="000000" w:themeColor="text1"/>
        </w:rPr>
        <w:t>各关注</w:t>
      </w:r>
      <w:proofErr w:type="gramEnd"/>
      <w:r w:rsidRPr="00B12FE0">
        <w:rPr>
          <w:rFonts w:hint="eastAsia"/>
          <w:color w:val="000000" w:themeColor="text1"/>
        </w:rPr>
        <w:t>点位的周围剂量当量率均满足《核医学辐射防护与安全要求》（</w:t>
      </w:r>
      <w:r w:rsidRPr="00B12FE0">
        <w:rPr>
          <w:color w:val="000000" w:themeColor="text1"/>
        </w:rPr>
        <w:t>HJ 1188-2021</w:t>
      </w:r>
      <w:r w:rsidRPr="00B12FE0">
        <w:rPr>
          <w:rFonts w:hint="eastAsia"/>
          <w:color w:val="000000" w:themeColor="text1"/>
        </w:rPr>
        <w:t>）中相关要求。</w:t>
      </w:r>
    </w:p>
    <w:p w14:paraId="02F64705" w14:textId="77777777" w:rsidR="00A67F21" w:rsidRPr="00B12FE0" w:rsidRDefault="00000000">
      <w:pPr>
        <w:spacing w:line="360" w:lineRule="auto"/>
        <w:ind w:firstLineChars="200" w:firstLine="480"/>
        <w:rPr>
          <w:bCs/>
          <w:color w:val="000000" w:themeColor="text1"/>
          <w:kern w:val="0"/>
        </w:rPr>
      </w:pPr>
      <w:r w:rsidRPr="00B12FE0">
        <w:rPr>
          <w:rFonts w:hint="eastAsia"/>
          <w:bCs/>
          <w:color w:val="000000" w:themeColor="text1"/>
          <w:szCs w:val="28"/>
        </w:rPr>
        <w:t>本项目直线加速器机房和后装机机房各屏蔽体外</w:t>
      </w:r>
      <w:r w:rsidRPr="00B12FE0">
        <w:rPr>
          <w:bCs/>
          <w:color w:val="000000" w:themeColor="text1"/>
          <w:szCs w:val="28"/>
        </w:rPr>
        <w:t>30cm</w:t>
      </w:r>
      <w:r w:rsidRPr="00B12FE0">
        <w:rPr>
          <w:rFonts w:hint="eastAsia"/>
          <w:bCs/>
          <w:color w:val="000000" w:themeColor="text1"/>
          <w:szCs w:val="28"/>
        </w:rPr>
        <w:t>处的辐射剂量率</w:t>
      </w:r>
      <w:r w:rsidRPr="00B12FE0">
        <w:rPr>
          <w:rFonts w:hint="eastAsia"/>
          <w:bCs/>
          <w:color w:val="000000" w:themeColor="text1"/>
          <w:kern w:val="0"/>
        </w:rPr>
        <w:t>均小于机房外</w:t>
      </w:r>
      <w:proofErr w:type="gramStart"/>
      <w:r w:rsidRPr="00B12FE0">
        <w:rPr>
          <w:rFonts w:hint="eastAsia"/>
          <w:bCs/>
          <w:color w:val="000000" w:themeColor="text1"/>
          <w:kern w:val="0"/>
        </w:rPr>
        <w:t>各关注</w:t>
      </w:r>
      <w:proofErr w:type="gramEnd"/>
      <w:r w:rsidRPr="00B12FE0">
        <w:rPr>
          <w:rFonts w:hint="eastAsia"/>
          <w:bCs/>
          <w:color w:val="000000" w:themeColor="text1"/>
          <w:kern w:val="0"/>
        </w:rPr>
        <w:t>点的</w:t>
      </w:r>
      <w:r w:rsidRPr="00B12FE0">
        <w:rPr>
          <w:rFonts w:hint="eastAsia"/>
          <w:color w:val="000000" w:themeColor="text1"/>
          <w:szCs w:val="21"/>
        </w:rPr>
        <w:t>导出剂量率参考控制水平</w:t>
      </w:r>
      <w:r w:rsidRPr="00B12FE0">
        <w:rPr>
          <w:rFonts w:hint="eastAsia"/>
          <w:bCs/>
          <w:color w:val="000000" w:themeColor="text1"/>
          <w:kern w:val="0"/>
        </w:rPr>
        <w:t>，满足《放射治疗辐射安全与防护要求》（</w:t>
      </w:r>
      <w:r w:rsidRPr="00B12FE0">
        <w:rPr>
          <w:bCs/>
          <w:color w:val="000000" w:themeColor="text1"/>
          <w:kern w:val="0"/>
        </w:rPr>
        <w:t>HJ 1198-2021</w:t>
      </w:r>
      <w:r w:rsidRPr="00B12FE0">
        <w:rPr>
          <w:rFonts w:hint="eastAsia"/>
          <w:bCs/>
          <w:color w:val="000000" w:themeColor="text1"/>
          <w:kern w:val="0"/>
        </w:rPr>
        <w:t>）中辐射屏蔽相关要求。</w:t>
      </w:r>
    </w:p>
    <w:p w14:paraId="3D0F2C63" w14:textId="77777777" w:rsidR="00A67F21" w:rsidRPr="00B12FE0" w:rsidRDefault="00000000">
      <w:pPr>
        <w:spacing w:line="360" w:lineRule="auto"/>
        <w:ind w:firstLineChars="200" w:firstLine="480"/>
        <w:rPr>
          <w:color w:val="000000" w:themeColor="text1"/>
          <w:szCs w:val="24"/>
        </w:rPr>
      </w:pPr>
      <w:r w:rsidRPr="00B12FE0">
        <w:rPr>
          <w:rFonts w:hint="eastAsia"/>
          <w:bCs/>
          <w:color w:val="000000" w:themeColor="text1"/>
        </w:rPr>
        <w:t>本项目</w:t>
      </w:r>
      <w:r w:rsidRPr="00B12FE0">
        <w:rPr>
          <w:rFonts w:hint="eastAsia"/>
          <w:color w:val="000000" w:themeColor="text1"/>
        </w:rPr>
        <w:t>模拟定位</w:t>
      </w:r>
      <w:r w:rsidRPr="00B12FE0">
        <w:rPr>
          <w:rFonts w:hint="eastAsia"/>
          <w:color w:val="000000" w:themeColor="text1"/>
        </w:rPr>
        <w:t>CT</w:t>
      </w:r>
      <w:r w:rsidRPr="00B12FE0">
        <w:rPr>
          <w:rFonts w:hint="eastAsia"/>
          <w:bCs/>
          <w:color w:val="000000" w:themeColor="text1"/>
        </w:rPr>
        <w:t>机房各屏蔽体外辐射剂量率均能</w:t>
      </w:r>
      <w:r w:rsidRPr="00B12FE0">
        <w:rPr>
          <w:rFonts w:hint="eastAsia"/>
          <w:color w:val="000000" w:themeColor="text1"/>
          <w:szCs w:val="24"/>
        </w:rPr>
        <w:t>满足《放射诊断放射防护要求》（</w:t>
      </w:r>
      <w:r w:rsidRPr="00B12FE0">
        <w:rPr>
          <w:color w:val="000000" w:themeColor="text1"/>
          <w:szCs w:val="24"/>
        </w:rPr>
        <w:t>GBZ 130-2020</w:t>
      </w:r>
      <w:r w:rsidRPr="00B12FE0">
        <w:rPr>
          <w:rFonts w:hint="eastAsia"/>
          <w:color w:val="000000" w:themeColor="text1"/>
          <w:szCs w:val="24"/>
        </w:rPr>
        <w:t>）规定的</w:t>
      </w:r>
      <w:r w:rsidRPr="00B12FE0">
        <w:rPr>
          <w:color w:val="000000" w:themeColor="text1"/>
          <w:szCs w:val="24"/>
        </w:rPr>
        <w:t>2.5μSv/h</w:t>
      </w:r>
      <w:r w:rsidRPr="00B12FE0">
        <w:rPr>
          <w:rFonts w:hint="eastAsia"/>
          <w:color w:val="000000" w:themeColor="text1"/>
          <w:szCs w:val="24"/>
        </w:rPr>
        <w:t>控制剂量率要求。</w:t>
      </w:r>
    </w:p>
    <w:p w14:paraId="0A2693D5"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经计算，</w:t>
      </w:r>
      <w:r w:rsidRPr="00B12FE0">
        <w:rPr>
          <w:color w:val="000000" w:themeColor="text1"/>
        </w:rPr>
        <w:t>本项目</w:t>
      </w:r>
      <w:r w:rsidRPr="00B12FE0">
        <w:rPr>
          <w:rFonts w:hint="eastAsia"/>
          <w:color w:val="000000" w:themeColor="text1"/>
        </w:rPr>
        <w:t>核医学工作场所、放疗科直线加速器、后装机和模拟定位</w:t>
      </w:r>
      <w:r w:rsidRPr="00B12FE0">
        <w:rPr>
          <w:rFonts w:hint="eastAsia"/>
          <w:color w:val="000000" w:themeColor="text1"/>
        </w:rPr>
        <w:t>CT</w:t>
      </w:r>
      <w:r w:rsidRPr="00B12FE0">
        <w:rPr>
          <w:rFonts w:hint="eastAsia"/>
          <w:color w:val="000000" w:themeColor="text1"/>
        </w:rPr>
        <w:t>机房运行期间职业</w:t>
      </w:r>
      <w:r w:rsidRPr="00B12FE0">
        <w:rPr>
          <w:color w:val="000000" w:themeColor="text1"/>
        </w:rPr>
        <w:t>人员</w:t>
      </w:r>
      <w:r w:rsidRPr="00B12FE0">
        <w:rPr>
          <w:rFonts w:hint="eastAsia"/>
          <w:color w:val="000000" w:themeColor="text1"/>
        </w:rPr>
        <w:t>和周围</w:t>
      </w:r>
      <w:r w:rsidRPr="00B12FE0">
        <w:rPr>
          <w:color w:val="000000" w:themeColor="text1"/>
        </w:rPr>
        <w:t>公众年有效剂量</w:t>
      </w:r>
      <w:r w:rsidRPr="00B12FE0">
        <w:rPr>
          <w:rFonts w:hint="eastAsia"/>
          <w:color w:val="000000" w:themeColor="text1"/>
        </w:rPr>
        <w:t>分别满足职业人员不超过</w:t>
      </w:r>
      <w:r w:rsidRPr="00B12FE0">
        <w:rPr>
          <w:color w:val="000000" w:themeColor="text1"/>
        </w:rPr>
        <w:t>5mSv</w:t>
      </w:r>
      <w:r w:rsidRPr="00B12FE0">
        <w:rPr>
          <w:rFonts w:hint="eastAsia"/>
          <w:color w:val="000000" w:themeColor="text1"/>
        </w:rPr>
        <w:t>和公众不超过</w:t>
      </w:r>
      <w:r w:rsidRPr="00B12FE0">
        <w:rPr>
          <w:color w:val="000000" w:themeColor="text1"/>
        </w:rPr>
        <w:t>0.1mSv</w:t>
      </w:r>
      <w:r w:rsidRPr="00B12FE0">
        <w:rPr>
          <w:rFonts w:hint="eastAsia"/>
          <w:color w:val="000000" w:themeColor="text1"/>
        </w:rPr>
        <w:t>的年剂量约束值要求。</w:t>
      </w:r>
    </w:p>
    <w:p w14:paraId="05020FE6" w14:textId="77777777" w:rsidR="00A67F21" w:rsidRPr="00B12FE0" w:rsidRDefault="00000000">
      <w:pPr>
        <w:spacing w:line="360" w:lineRule="auto"/>
        <w:ind w:firstLineChars="200" w:firstLine="482"/>
        <w:rPr>
          <w:b/>
          <w:bCs/>
          <w:color w:val="000000" w:themeColor="text1"/>
          <w:kern w:val="0"/>
          <w:szCs w:val="24"/>
        </w:rPr>
      </w:pPr>
      <w:r w:rsidRPr="00B12FE0">
        <w:rPr>
          <w:b/>
          <w:bCs/>
          <w:color w:val="000000" w:themeColor="text1"/>
          <w:kern w:val="0"/>
          <w:szCs w:val="24"/>
        </w:rPr>
        <w:t>（</w:t>
      </w:r>
      <w:r w:rsidRPr="00B12FE0">
        <w:rPr>
          <w:b/>
          <w:bCs/>
          <w:color w:val="000000" w:themeColor="text1"/>
          <w:kern w:val="0"/>
          <w:szCs w:val="24"/>
        </w:rPr>
        <w:t>2</w:t>
      </w:r>
      <w:r w:rsidRPr="00B12FE0">
        <w:rPr>
          <w:b/>
          <w:bCs/>
          <w:color w:val="000000" w:themeColor="text1"/>
          <w:kern w:val="0"/>
          <w:szCs w:val="24"/>
        </w:rPr>
        <w:t>）三废影响分析</w:t>
      </w:r>
      <w:r w:rsidRPr="00B12FE0">
        <w:rPr>
          <w:rFonts w:hint="eastAsia"/>
          <w:b/>
          <w:bCs/>
          <w:color w:val="000000" w:themeColor="text1"/>
          <w:kern w:val="0"/>
          <w:szCs w:val="24"/>
        </w:rPr>
        <w:t>结论</w:t>
      </w:r>
    </w:p>
    <w:p w14:paraId="3B28A2E7" w14:textId="77777777" w:rsidR="00A67F21" w:rsidRPr="00B12FE0" w:rsidRDefault="00000000">
      <w:pPr>
        <w:spacing w:line="360" w:lineRule="auto"/>
        <w:ind w:firstLineChars="200" w:firstLine="480"/>
        <w:rPr>
          <w:color w:val="000000" w:themeColor="text1"/>
          <w:kern w:val="0"/>
          <w:szCs w:val="24"/>
        </w:rPr>
      </w:pPr>
      <w:r w:rsidRPr="00B12FE0">
        <w:rPr>
          <w:rFonts w:hint="eastAsia"/>
          <w:color w:val="000000" w:themeColor="text1"/>
          <w:kern w:val="0"/>
          <w:szCs w:val="24"/>
        </w:rPr>
        <w:t>①核医学工作场所</w:t>
      </w:r>
    </w:p>
    <w:p w14:paraId="20FE422D" w14:textId="77777777" w:rsidR="00A67F21" w:rsidRPr="00B12FE0" w:rsidRDefault="00000000">
      <w:pPr>
        <w:spacing w:line="360" w:lineRule="auto"/>
        <w:ind w:firstLineChars="200" w:firstLine="480"/>
        <w:rPr>
          <w:bCs/>
          <w:color w:val="000000" w:themeColor="text1"/>
        </w:rPr>
      </w:pPr>
      <w:r w:rsidRPr="00B12FE0">
        <w:rPr>
          <w:rFonts w:hint="eastAsia"/>
          <w:color w:val="000000" w:themeColor="text1"/>
          <w:kern w:val="0"/>
          <w:szCs w:val="24"/>
        </w:rPr>
        <w:t>1</w:t>
      </w:r>
      <w:r w:rsidRPr="00B12FE0">
        <w:rPr>
          <w:rFonts w:hint="eastAsia"/>
          <w:color w:val="000000" w:themeColor="text1"/>
          <w:kern w:val="0"/>
          <w:szCs w:val="24"/>
        </w:rPr>
        <w:t>）</w:t>
      </w:r>
      <w:r w:rsidRPr="00B12FE0">
        <w:rPr>
          <w:rFonts w:hint="eastAsia"/>
          <w:bCs/>
          <w:color w:val="000000" w:themeColor="text1"/>
        </w:rPr>
        <w:t>本项目的</w:t>
      </w:r>
      <w:r w:rsidRPr="00B12FE0">
        <w:rPr>
          <w:bCs/>
          <w:color w:val="000000" w:themeColor="text1"/>
        </w:rPr>
        <w:t>放射性废</w:t>
      </w:r>
      <w:r w:rsidRPr="00B12FE0">
        <w:rPr>
          <w:rFonts w:hint="eastAsia"/>
          <w:bCs/>
          <w:color w:val="000000" w:themeColor="text1"/>
        </w:rPr>
        <w:t>水可以在衰变池内暂存</w:t>
      </w:r>
      <w:r w:rsidRPr="00B12FE0">
        <w:rPr>
          <w:rFonts w:hint="eastAsia"/>
          <w:bCs/>
          <w:color w:val="000000" w:themeColor="text1"/>
        </w:rPr>
        <w:t>224</w:t>
      </w:r>
      <w:r w:rsidRPr="00B12FE0">
        <w:rPr>
          <w:rFonts w:hint="eastAsia"/>
          <w:bCs/>
          <w:color w:val="000000" w:themeColor="text1"/>
        </w:rPr>
        <w:t>天</w:t>
      </w:r>
      <w:r w:rsidRPr="00B12FE0">
        <w:rPr>
          <w:rFonts w:eastAsiaTheme="minorEastAsia" w:hint="eastAsia"/>
          <w:bCs/>
          <w:color w:val="000000" w:themeColor="text1"/>
        </w:rPr>
        <w:t>，满足</w:t>
      </w:r>
      <w:r w:rsidRPr="00B12FE0">
        <w:rPr>
          <w:rFonts w:hint="eastAsia"/>
          <w:color w:val="000000" w:themeColor="text1"/>
        </w:rPr>
        <w:t>《核医学辐射防护与安全要求》（</w:t>
      </w:r>
      <w:r w:rsidRPr="00B12FE0">
        <w:rPr>
          <w:color w:val="000000" w:themeColor="text1"/>
        </w:rPr>
        <w:t>HJ 1188-2021</w:t>
      </w:r>
      <w:r w:rsidRPr="00B12FE0">
        <w:rPr>
          <w:rFonts w:hint="eastAsia"/>
          <w:color w:val="000000" w:themeColor="text1"/>
        </w:rPr>
        <w:t>）及《关于核医学标准相关条款咨询的复函》（辐射函〔</w:t>
      </w:r>
      <w:r w:rsidRPr="00B12FE0">
        <w:rPr>
          <w:color w:val="000000" w:themeColor="text1"/>
        </w:rPr>
        <w:t>2023</w:t>
      </w:r>
      <w:r w:rsidRPr="00B12FE0">
        <w:rPr>
          <w:rFonts w:hint="eastAsia"/>
          <w:color w:val="000000" w:themeColor="text1"/>
        </w:rPr>
        <w:t>〕</w:t>
      </w:r>
      <w:r w:rsidRPr="00B12FE0">
        <w:rPr>
          <w:color w:val="000000" w:themeColor="text1"/>
        </w:rPr>
        <w:t>20</w:t>
      </w:r>
      <w:r w:rsidRPr="00B12FE0">
        <w:rPr>
          <w:rFonts w:hint="eastAsia"/>
          <w:color w:val="000000" w:themeColor="text1"/>
        </w:rPr>
        <w:t>号）</w:t>
      </w:r>
      <w:r w:rsidRPr="00B12FE0">
        <w:rPr>
          <w:rFonts w:eastAsiaTheme="minorEastAsia" w:hint="eastAsia"/>
          <w:color w:val="000000" w:themeColor="text1"/>
          <w:lang w:bidi="ar"/>
        </w:rPr>
        <w:t>中</w:t>
      </w:r>
      <w:r w:rsidRPr="00B12FE0">
        <w:rPr>
          <w:rFonts w:ascii="宋体" w:hAnsi="宋体" w:hint="eastAsia"/>
          <w:color w:val="000000" w:themeColor="text1"/>
          <w:lang w:bidi="ar"/>
        </w:rPr>
        <w:t>“</w:t>
      </w:r>
      <w:r w:rsidRPr="00B12FE0">
        <w:rPr>
          <w:color w:val="000000" w:themeColor="text1"/>
        </w:rPr>
        <w:t>含</w:t>
      </w:r>
      <w:r w:rsidRPr="00B12FE0">
        <w:rPr>
          <w:color w:val="000000" w:themeColor="text1"/>
          <w:vertAlign w:val="superscript"/>
        </w:rPr>
        <w:t>131</w:t>
      </w:r>
      <w:r w:rsidRPr="00B12FE0">
        <w:rPr>
          <w:color w:val="000000" w:themeColor="text1"/>
        </w:rPr>
        <w:t>I</w:t>
      </w:r>
      <w:r w:rsidRPr="00B12FE0">
        <w:rPr>
          <w:color w:val="000000" w:themeColor="text1"/>
        </w:rPr>
        <w:t>核素</w:t>
      </w:r>
      <w:r w:rsidRPr="00B12FE0">
        <w:rPr>
          <w:rFonts w:hint="eastAsia"/>
          <w:color w:val="000000" w:themeColor="text1"/>
        </w:rPr>
        <w:t>放射性废水</w:t>
      </w:r>
      <w:r w:rsidRPr="00B12FE0">
        <w:rPr>
          <w:color w:val="000000" w:themeColor="text1"/>
        </w:rPr>
        <w:t>暂存超过</w:t>
      </w:r>
      <w:r w:rsidRPr="00B12FE0">
        <w:rPr>
          <w:color w:val="000000" w:themeColor="text1"/>
        </w:rPr>
        <w:t>180</w:t>
      </w:r>
      <w:r w:rsidRPr="00B12FE0">
        <w:rPr>
          <w:color w:val="000000" w:themeColor="text1"/>
        </w:rPr>
        <w:t>天</w:t>
      </w:r>
      <w:r w:rsidRPr="00B12FE0">
        <w:rPr>
          <w:rFonts w:ascii="宋体" w:hAnsi="宋体" w:hint="eastAsia"/>
          <w:color w:val="000000" w:themeColor="text1"/>
          <w:lang w:bidi="ar"/>
        </w:rPr>
        <w:t>”</w:t>
      </w:r>
      <w:r w:rsidRPr="00B12FE0">
        <w:rPr>
          <w:rFonts w:eastAsiaTheme="minorEastAsia" w:hint="eastAsia"/>
          <w:color w:val="000000" w:themeColor="text1"/>
          <w:lang w:bidi="ar"/>
        </w:rPr>
        <w:t>的要求</w:t>
      </w:r>
      <w:r w:rsidRPr="00B12FE0">
        <w:rPr>
          <w:rFonts w:hint="eastAsia"/>
          <w:color w:val="000000" w:themeColor="text1"/>
        </w:rPr>
        <w:t>，可直接解控排入医院污水处理系统进一步处理，对周围环境的影响较小。</w:t>
      </w:r>
    </w:p>
    <w:p w14:paraId="553D6C0C" w14:textId="77777777" w:rsidR="00A67F21" w:rsidRPr="00B12FE0" w:rsidRDefault="00000000">
      <w:pPr>
        <w:adjustRightInd w:val="0"/>
        <w:spacing w:line="360" w:lineRule="auto"/>
        <w:ind w:firstLineChars="200" w:firstLine="480"/>
        <w:rPr>
          <w:color w:val="000000" w:themeColor="text1"/>
          <w:kern w:val="0"/>
          <w:szCs w:val="24"/>
        </w:rPr>
      </w:pPr>
      <w:r w:rsidRPr="00B12FE0">
        <w:rPr>
          <w:color w:val="000000" w:themeColor="text1"/>
          <w:kern w:val="0"/>
          <w:szCs w:val="24"/>
        </w:rPr>
        <w:t>2</w:t>
      </w:r>
      <w:r w:rsidRPr="00B12FE0">
        <w:rPr>
          <w:rFonts w:hint="eastAsia"/>
          <w:color w:val="000000" w:themeColor="text1"/>
          <w:kern w:val="0"/>
          <w:szCs w:val="24"/>
        </w:rPr>
        <w:t>）本项目核医学工作场所运行时产生的放射性废气经活性炭过滤后，</w:t>
      </w:r>
      <w:r w:rsidRPr="00B12FE0">
        <w:rPr>
          <w:rFonts w:hint="eastAsia"/>
          <w:color w:val="000000" w:themeColor="text1"/>
          <w:szCs w:val="24"/>
        </w:rPr>
        <w:t>引至肿瘤治疗中心综合楼楼顶，最终高出楼顶排放</w:t>
      </w:r>
      <w:r w:rsidRPr="00B12FE0">
        <w:rPr>
          <w:rFonts w:hint="eastAsia"/>
          <w:color w:val="000000" w:themeColor="text1"/>
          <w:kern w:val="0"/>
          <w:szCs w:val="24"/>
        </w:rPr>
        <w:t>，对周围环境的影响较小。</w:t>
      </w:r>
    </w:p>
    <w:p w14:paraId="3066EEF0" w14:textId="77777777" w:rsidR="00A67F21" w:rsidRPr="00B12FE0" w:rsidRDefault="00000000">
      <w:pPr>
        <w:overflowPunct w:val="0"/>
        <w:adjustRightInd w:val="0"/>
        <w:snapToGrid w:val="0"/>
        <w:spacing w:line="360" w:lineRule="auto"/>
        <w:ind w:firstLine="482"/>
        <w:rPr>
          <w:color w:val="000000" w:themeColor="text1"/>
          <w:szCs w:val="24"/>
        </w:rPr>
      </w:pPr>
      <w:r w:rsidRPr="00B12FE0">
        <w:rPr>
          <w:rFonts w:hint="eastAsia"/>
          <w:color w:val="000000" w:themeColor="text1"/>
          <w:kern w:val="0"/>
          <w:szCs w:val="24"/>
        </w:rPr>
        <w:t>3</w:t>
      </w:r>
      <w:r w:rsidRPr="00B12FE0">
        <w:rPr>
          <w:rFonts w:hint="eastAsia"/>
          <w:color w:val="000000" w:themeColor="text1"/>
          <w:kern w:val="0"/>
          <w:szCs w:val="24"/>
        </w:rPr>
        <w:t>）</w:t>
      </w:r>
      <w:r w:rsidRPr="00B12FE0">
        <w:rPr>
          <w:rFonts w:hint="eastAsia"/>
          <w:color w:val="000000" w:themeColor="text1"/>
        </w:rPr>
        <w:t>本项目核医学工作场所运行时产生的</w:t>
      </w:r>
      <w:r w:rsidRPr="00B12FE0">
        <w:rPr>
          <w:rFonts w:hint="eastAsia"/>
          <w:color w:val="000000" w:themeColor="text1"/>
          <w:kern w:val="0"/>
          <w:szCs w:val="21"/>
        </w:rPr>
        <w:t>放射性固废在使用</w:t>
      </w:r>
      <w:r w:rsidRPr="00B12FE0">
        <w:rPr>
          <w:rFonts w:hint="eastAsia"/>
          <w:color w:val="000000" w:themeColor="text1"/>
        </w:rPr>
        <w:t>专用塑料包装袋</w:t>
      </w:r>
      <w:r w:rsidRPr="00B12FE0">
        <w:rPr>
          <w:rFonts w:hint="eastAsia"/>
          <w:color w:val="000000" w:themeColor="text1"/>
          <w:kern w:val="0"/>
          <w:szCs w:val="21"/>
        </w:rPr>
        <w:t>收集后，分类暂存于</w:t>
      </w:r>
      <w:r w:rsidRPr="00B12FE0">
        <w:rPr>
          <w:rFonts w:hint="eastAsia"/>
          <w:color w:val="000000" w:themeColor="text1"/>
          <w:szCs w:val="24"/>
        </w:rPr>
        <w:t>废物间和污物暂存间</w:t>
      </w:r>
      <w:r w:rsidRPr="00B12FE0">
        <w:rPr>
          <w:rFonts w:hint="eastAsia"/>
          <w:color w:val="000000" w:themeColor="text1"/>
          <w:kern w:val="0"/>
          <w:szCs w:val="21"/>
        </w:rPr>
        <w:t>的衰</w:t>
      </w:r>
      <w:r w:rsidRPr="00B12FE0">
        <w:rPr>
          <w:rFonts w:hint="eastAsia"/>
          <w:color w:val="000000" w:themeColor="text1"/>
          <w:kern w:val="0"/>
          <w:szCs w:val="24"/>
        </w:rPr>
        <w:t>变箱内，</w:t>
      </w:r>
      <w:r w:rsidRPr="00B12FE0">
        <w:rPr>
          <w:color w:val="000000" w:themeColor="text1"/>
          <w:szCs w:val="24"/>
        </w:rPr>
        <w:t>含</w:t>
      </w:r>
      <w:r w:rsidRPr="00B12FE0">
        <w:rPr>
          <w:color w:val="000000" w:themeColor="text1"/>
          <w:szCs w:val="24"/>
          <w:vertAlign w:val="superscript"/>
        </w:rPr>
        <w:t>99m</w:t>
      </w:r>
      <w:r w:rsidRPr="00B12FE0">
        <w:rPr>
          <w:color w:val="000000" w:themeColor="text1"/>
          <w:szCs w:val="24"/>
        </w:rPr>
        <w:t>Tc</w:t>
      </w:r>
      <w:r w:rsidRPr="00B12FE0">
        <w:rPr>
          <w:color w:val="000000" w:themeColor="text1"/>
          <w:szCs w:val="24"/>
        </w:rPr>
        <w:t>、</w:t>
      </w:r>
      <w:r w:rsidRPr="00B12FE0">
        <w:rPr>
          <w:color w:val="000000" w:themeColor="text1"/>
          <w:szCs w:val="24"/>
          <w:vertAlign w:val="superscript"/>
        </w:rPr>
        <w:t>18</w:t>
      </w:r>
      <w:r w:rsidRPr="00B12FE0">
        <w:rPr>
          <w:color w:val="000000" w:themeColor="text1"/>
          <w:szCs w:val="24"/>
        </w:rPr>
        <w:t>F</w:t>
      </w:r>
      <w:r w:rsidRPr="00B12FE0">
        <w:rPr>
          <w:color w:val="000000" w:themeColor="text1"/>
          <w:szCs w:val="24"/>
        </w:rPr>
        <w:t>核素的</w:t>
      </w:r>
      <w:r w:rsidRPr="00B12FE0">
        <w:rPr>
          <w:rFonts w:hint="eastAsia"/>
          <w:color w:val="000000" w:themeColor="text1"/>
          <w:szCs w:val="24"/>
        </w:rPr>
        <w:t>放射性</w:t>
      </w:r>
      <w:r w:rsidRPr="00B12FE0">
        <w:rPr>
          <w:color w:val="000000" w:themeColor="text1"/>
          <w:szCs w:val="24"/>
        </w:rPr>
        <w:t>固废</w:t>
      </w:r>
      <w:r w:rsidRPr="00B12FE0">
        <w:rPr>
          <w:rFonts w:hint="eastAsia"/>
          <w:color w:val="000000" w:themeColor="text1"/>
          <w:szCs w:val="24"/>
        </w:rPr>
        <w:t>暂存时间超过</w:t>
      </w:r>
      <w:r w:rsidRPr="00B12FE0">
        <w:rPr>
          <w:color w:val="000000" w:themeColor="text1"/>
          <w:szCs w:val="24"/>
        </w:rPr>
        <w:t>30</w:t>
      </w:r>
      <w:r w:rsidRPr="00B12FE0">
        <w:rPr>
          <w:color w:val="000000" w:themeColor="text1"/>
          <w:szCs w:val="24"/>
        </w:rPr>
        <w:t>天，</w:t>
      </w:r>
      <w:r w:rsidRPr="00B12FE0">
        <w:rPr>
          <w:rFonts w:hint="eastAsia"/>
          <w:color w:val="000000" w:themeColor="text1"/>
          <w:szCs w:val="24"/>
        </w:rPr>
        <w:t>含</w:t>
      </w:r>
      <w:r w:rsidRPr="00B12FE0">
        <w:rPr>
          <w:color w:val="000000" w:themeColor="text1"/>
          <w:kern w:val="0"/>
          <w:szCs w:val="24"/>
          <w:vertAlign w:val="superscript"/>
        </w:rPr>
        <w:t>32</w:t>
      </w:r>
      <w:r w:rsidRPr="00B12FE0">
        <w:rPr>
          <w:color w:val="000000" w:themeColor="text1"/>
          <w:kern w:val="0"/>
          <w:szCs w:val="24"/>
        </w:rPr>
        <w:t>P</w:t>
      </w:r>
      <w:r w:rsidRPr="00B12FE0">
        <w:rPr>
          <w:rFonts w:hint="eastAsia"/>
          <w:color w:val="000000" w:themeColor="text1"/>
          <w:szCs w:val="24"/>
        </w:rPr>
        <w:t>核素的放射性固废暂存时间超过</w:t>
      </w:r>
      <w:r w:rsidRPr="00B12FE0">
        <w:rPr>
          <w:rFonts w:hint="eastAsia"/>
          <w:color w:val="000000" w:themeColor="text1"/>
          <w:szCs w:val="24"/>
        </w:rPr>
        <w:t>143</w:t>
      </w:r>
      <w:r w:rsidRPr="00B12FE0">
        <w:rPr>
          <w:rFonts w:hint="eastAsia"/>
          <w:color w:val="000000" w:themeColor="text1"/>
          <w:szCs w:val="24"/>
        </w:rPr>
        <w:t>天（核素最长半衰期的</w:t>
      </w:r>
      <w:r w:rsidRPr="00B12FE0">
        <w:rPr>
          <w:rFonts w:hint="eastAsia"/>
          <w:color w:val="000000" w:themeColor="text1"/>
          <w:szCs w:val="24"/>
        </w:rPr>
        <w:lastRenderedPageBreak/>
        <w:t>1</w:t>
      </w:r>
      <w:r w:rsidRPr="00B12FE0">
        <w:rPr>
          <w:color w:val="000000" w:themeColor="text1"/>
          <w:szCs w:val="24"/>
        </w:rPr>
        <w:t>0</w:t>
      </w:r>
      <w:r w:rsidRPr="00B12FE0">
        <w:rPr>
          <w:rFonts w:hint="eastAsia"/>
          <w:color w:val="000000" w:themeColor="text1"/>
          <w:szCs w:val="24"/>
        </w:rPr>
        <w:t>倍），含</w:t>
      </w:r>
      <w:r w:rsidRPr="00B12FE0">
        <w:rPr>
          <w:rFonts w:hint="eastAsia"/>
          <w:color w:val="000000" w:themeColor="text1"/>
          <w:szCs w:val="24"/>
          <w:vertAlign w:val="superscript"/>
        </w:rPr>
        <w:t>1</w:t>
      </w:r>
      <w:r w:rsidRPr="00B12FE0">
        <w:rPr>
          <w:color w:val="000000" w:themeColor="text1"/>
          <w:szCs w:val="24"/>
          <w:vertAlign w:val="superscript"/>
        </w:rPr>
        <w:t>31</w:t>
      </w:r>
      <w:r w:rsidRPr="00B12FE0">
        <w:rPr>
          <w:rFonts w:hint="eastAsia"/>
          <w:color w:val="000000" w:themeColor="text1"/>
          <w:szCs w:val="24"/>
        </w:rPr>
        <w:t>I</w:t>
      </w:r>
      <w:r w:rsidRPr="00B12FE0">
        <w:rPr>
          <w:rFonts w:hint="eastAsia"/>
          <w:color w:val="000000" w:themeColor="text1"/>
          <w:szCs w:val="24"/>
        </w:rPr>
        <w:t>核素的放射性固废暂存时间超过</w:t>
      </w:r>
      <w:r w:rsidRPr="00B12FE0">
        <w:rPr>
          <w:rFonts w:hint="eastAsia"/>
          <w:color w:val="000000" w:themeColor="text1"/>
          <w:szCs w:val="24"/>
        </w:rPr>
        <w:t>180</w:t>
      </w:r>
      <w:r w:rsidRPr="00B12FE0">
        <w:rPr>
          <w:rFonts w:hint="eastAsia"/>
          <w:color w:val="000000" w:themeColor="text1"/>
          <w:szCs w:val="24"/>
        </w:rPr>
        <w:t>天，</w:t>
      </w:r>
      <w:r w:rsidRPr="00B12FE0">
        <w:rPr>
          <w:color w:val="000000" w:themeColor="text1"/>
          <w:szCs w:val="24"/>
        </w:rPr>
        <w:t>经监测辐射剂量</w:t>
      </w:r>
      <w:proofErr w:type="gramStart"/>
      <w:r w:rsidRPr="00B12FE0">
        <w:rPr>
          <w:color w:val="000000" w:themeColor="text1"/>
          <w:szCs w:val="24"/>
        </w:rPr>
        <w:t>率满足</w:t>
      </w:r>
      <w:proofErr w:type="gramEnd"/>
      <w:r w:rsidRPr="00B12FE0">
        <w:rPr>
          <w:color w:val="000000" w:themeColor="text1"/>
          <w:szCs w:val="24"/>
        </w:rPr>
        <w:t>所处环境本底水平，</w:t>
      </w:r>
      <w:r w:rsidRPr="00B12FE0">
        <w:rPr>
          <w:color w:val="000000" w:themeColor="text1"/>
          <w:szCs w:val="24"/>
        </w:rPr>
        <w:t>α</w:t>
      </w:r>
      <w:r w:rsidRPr="00B12FE0">
        <w:rPr>
          <w:rFonts w:hint="eastAsia"/>
          <w:color w:val="000000" w:themeColor="text1"/>
          <w:szCs w:val="24"/>
        </w:rPr>
        <w:t>表面污染小于</w:t>
      </w:r>
      <w:r w:rsidRPr="00B12FE0">
        <w:rPr>
          <w:rFonts w:hint="eastAsia"/>
          <w:color w:val="000000" w:themeColor="text1"/>
          <w:szCs w:val="24"/>
        </w:rPr>
        <w:t>0</w:t>
      </w:r>
      <w:r w:rsidRPr="00B12FE0">
        <w:rPr>
          <w:color w:val="000000" w:themeColor="text1"/>
          <w:szCs w:val="24"/>
        </w:rPr>
        <w:t>.08Bq/cm</w:t>
      </w:r>
      <w:r w:rsidRPr="00B12FE0">
        <w:rPr>
          <w:color w:val="000000" w:themeColor="text1"/>
          <w:szCs w:val="24"/>
          <w:vertAlign w:val="superscript"/>
        </w:rPr>
        <w:t>2</w:t>
      </w:r>
      <w:r w:rsidRPr="00B12FE0">
        <w:rPr>
          <w:rFonts w:hint="eastAsia"/>
          <w:color w:val="000000" w:themeColor="text1"/>
          <w:szCs w:val="24"/>
        </w:rPr>
        <w:t>、</w:t>
      </w:r>
      <w:r w:rsidRPr="00B12FE0">
        <w:rPr>
          <w:color w:val="000000" w:themeColor="text1"/>
          <w:szCs w:val="24"/>
        </w:rPr>
        <w:t>β</w:t>
      </w:r>
      <w:r w:rsidRPr="00B12FE0">
        <w:rPr>
          <w:color w:val="000000" w:themeColor="text1"/>
          <w:szCs w:val="24"/>
        </w:rPr>
        <w:t>表面污染小于</w:t>
      </w:r>
      <w:r w:rsidRPr="00B12FE0">
        <w:rPr>
          <w:color w:val="000000" w:themeColor="text1"/>
          <w:szCs w:val="24"/>
        </w:rPr>
        <w:t>0.8Bq/cm</w:t>
      </w:r>
      <w:r w:rsidRPr="00B12FE0">
        <w:rPr>
          <w:color w:val="000000" w:themeColor="text1"/>
          <w:szCs w:val="24"/>
          <w:vertAlign w:val="superscript"/>
        </w:rPr>
        <w:t>2</w:t>
      </w:r>
      <w:r w:rsidRPr="00B12FE0">
        <w:rPr>
          <w:rFonts w:hint="eastAsia"/>
          <w:color w:val="000000" w:themeColor="text1"/>
          <w:szCs w:val="24"/>
        </w:rPr>
        <w:t>，</w:t>
      </w:r>
      <w:r w:rsidRPr="00B12FE0">
        <w:rPr>
          <w:color w:val="000000" w:themeColor="text1"/>
          <w:szCs w:val="24"/>
        </w:rPr>
        <w:t>可对其</w:t>
      </w:r>
      <w:proofErr w:type="gramStart"/>
      <w:r w:rsidRPr="00B12FE0">
        <w:rPr>
          <w:color w:val="000000" w:themeColor="text1"/>
          <w:szCs w:val="24"/>
        </w:rPr>
        <w:t>清洁解控</w:t>
      </w:r>
      <w:r w:rsidRPr="00B12FE0">
        <w:rPr>
          <w:rFonts w:hint="eastAsia"/>
          <w:color w:val="000000" w:themeColor="text1"/>
          <w:szCs w:val="24"/>
        </w:rPr>
        <w:t>并</w:t>
      </w:r>
      <w:proofErr w:type="gramEnd"/>
      <w:r w:rsidRPr="00B12FE0">
        <w:rPr>
          <w:color w:val="000000" w:themeColor="text1"/>
          <w:szCs w:val="24"/>
        </w:rPr>
        <w:t>作为医疗废物</w:t>
      </w:r>
      <w:r w:rsidRPr="00B12FE0">
        <w:rPr>
          <w:rFonts w:hint="eastAsia"/>
          <w:color w:val="000000" w:themeColor="text1"/>
          <w:szCs w:val="24"/>
        </w:rPr>
        <w:t>处理。</w:t>
      </w:r>
      <w:r w:rsidRPr="00B12FE0">
        <w:rPr>
          <w:color w:val="000000" w:themeColor="text1"/>
          <w:szCs w:val="24"/>
        </w:rPr>
        <w:t>更换的废</w:t>
      </w:r>
      <w:r w:rsidRPr="00B12FE0">
        <w:rPr>
          <w:color w:val="000000" w:themeColor="text1"/>
          <w:szCs w:val="24"/>
          <w:vertAlign w:val="superscript"/>
        </w:rPr>
        <w:t>68</w:t>
      </w:r>
      <w:r w:rsidRPr="00B12FE0">
        <w:rPr>
          <w:color w:val="000000" w:themeColor="text1"/>
          <w:szCs w:val="24"/>
        </w:rPr>
        <w:t>G</w:t>
      </w:r>
      <w:r w:rsidRPr="00B12FE0">
        <w:rPr>
          <w:rFonts w:hint="eastAsia"/>
          <w:color w:val="000000" w:themeColor="text1"/>
          <w:szCs w:val="24"/>
        </w:rPr>
        <w:t>e</w:t>
      </w:r>
      <w:r w:rsidRPr="00B12FE0">
        <w:rPr>
          <w:color w:val="000000" w:themeColor="text1"/>
          <w:szCs w:val="24"/>
        </w:rPr>
        <w:t>放射源</w:t>
      </w:r>
      <w:r w:rsidRPr="00B12FE0">
        <w:rPr>
          <w:rFonts w:hint="eastAsia"/>
          <w:color w:val="000000" w:themeColor="text1"/>
          <w:szCs w:val="24"/>
        </w:rPr>
        <w:t>应当按照废旧放射源返回合同规定，将废旧放射源交回生产单位或者返回原出口方；若确实不能返回的，则交城市放射性废物库。</w:t>
      </w:r>
    </w:p>
    <w:p w14:paraId="77E93A36" w14:textId="77777777" w:rsidR="00A67F21" w:rsidRPr="00B12FE0" w:rsidRDefault="00000000">
      <w:pPr>
        <w:overflowPunct w:val="0"/>
        <w:adjustRightInd w:val="0"/>
        <w:snapToGrid w:val="0"/>
        <w:spacing w:line="360" w:lineRule="auto"/>
        <w:ind w:firstLine="482"/>
        <w:rPr>
          <w:snapToGrid w:val="0"/>
          <w:color w:val="000000" w:themeColor="text1"/>
          <w:szCs w:val="24"/>
        </w:rPr>
      </w:pPr>
      <w:r w:rsidRPr="00B12FE0">
        <w:rPr>
          <w:bCs/>
          <w:snapToGrid w:val="0"/>
          <w:color w:val="000000" w:themeColor="text1"/>
          <w:szCs w:val="24"/>
        </w:rPr>
        <w:t>对于回旋加速器更换下来的</w:t>
      </w:r>
      <w:proofErr w:type="gramStart"/>
      <w:r w:rsidRPr="00B12FE0">
        <w:rPr>
          <w:bCs/>
          <w:snapToGrid w:val="0"/>
          <w:color w:val="000000" w:themeColor="text1"/>
          <w:szCs w:val="24"/>
        </w:rPr>
        <w:t>废靶由</w:t>
      </w:r>
      <w:proofErr w:type="gramEnd"/>
      <w:r w:rsidRPr="00B12FE0">
        <w:rPr>
          <w:bCs/>
          <w:snapToGrid w:val="0"/>
          <w:color w:val="000000" w:themeColor="text1"/>
          <w:szCs w:val="24"/>
        </w:rPr>
        <w:t>厂家回收，最终交由具有放射性废物收贮资质的单位收贮</w:t>
      </w:r>
      <w:r w:rsidRPr="00B12FE0">
        <w:rPr>
          <w:snapToGrid w:val="0"/>
          <w:color w:val="000000" w:themeColor="text1"/>
          <w:szCs w:val="24"/>
        </w:rPr>
        <w:t>。</w:t>
      </w:r>
    </w:p>
    <w:p w14:paraId="496B1F54" w14:textId="77777777" w:rsidR="00A67F21" w:rsidRPr="00B12FE0" w:rsidRDefault="00000000">
      <w:pPr>
        <w:adjustRightInd w:val="0"/>
        <w:spacing w:line="360" w:lineRule="auto"/>
        <w:ind w:firstLineChars="200" w:firstLine="480"/>
        <w:rPr>
          <w:color w:val="000000" w:themeColor="text1"/>
          <w:kern w:val="0"/>
          <w:szCs w:val="24"/>
        </w:rPr>
      </w:pPr>
      <w:r w:rsidRPr="00B12FE0">
        <w:rPr>
          <w:rFonts w:hint="eastAsia"/>
          <w:color w:val="000000" w:themeColor="text1"/>
          <w:kern w:val="0"/>
          <w:szCs w:val="24"/>
        </w:rPr>
        <w:t>②放疗科直线加速器、后装机和模拟定位</w:t>
      </w:r>
      <w:r w:rsidRPr="00B12FE0">
        <w:rPr>
          <w:rFonts w:hint="eastAsia"/>
          <w:color w:val="000000" w:themeColor="text1"/>
          <w:kern w:val="0"/>
          <w:szCs w:val="24"/>
        </w:rPr>
        <w:t>CT</w:t>
      </w:r>
    </w:p>
    <w:p w14:paraId="2D9DC125" w14:textId="77777777" w:rsidR="00A67F21" w:rsidRPr="00B12FE0" w:rsidRDefault="00000000">
      <w:pPr>
        <w:adjustRightInd w:val="0"/>
        <w:snapToGrid w:val="0"/>
        <w:spacing w:line="360" w:lineRule="auto"/>
        <w:ind w:firstLine="480"/>
        <w:rPr>
          <w:color w:val="000000" w:themeColor="text1"/>
          <w:kern w:val="0"/>
          <w:szCs w:val="24"/>
        </w:rPr>
      </w:pPr>
      <w:r w:rsidRPr="00B12FE0">
        <w:rPr>
          <w:rFonts w:hint="eastAsia"/>
          <w:color w:val="000000" w:themeColor="text1"/>
          <w:kern w:val="0"/>
          <w:szCs w:val="24"/>
        </w:rPr>
        <w:t>直线加速器机房和后装机机房内</w:t>
      </w:r>
      <w:r w:rsidRPr="00B12FE0">
        <w:rPr>
          <w:color w:val="000000" w:themeColor="text1"/>
          <w:kern w:val="0"/>
          <w:szCs w:val="24"/>
        </w:rPr>
        <w:t>设置</w:t>
      </w:r>
      <w:r w:rsidRPr="00B12FE0">
        <w:rPr>
          <w:rFonts w:hint="eastAsia"/>
          <w:color w:val="000000" w:themeColor="text1"/>
          <w:kern w:val="0"/>
          <w:szCs w:val="24"/>
        </w:rPr>
        <w:t>强制排风系统</w:t>
      </w:r>
      <w:r w:rsidRPr="00B12FE0">
        <w:rPr>
          <w:color w:val="000000" w:themeColor="text1"/>
          <w:kern w:val="0"/>
          <w:szCs w:val="24"/>
        </w:rPr>
        <w:t>，通风换气次数不低于</w:t>
      </w:r>
      <w:r w:rsidRPr="00B12FE0">
        <w:rPr>
          <w:color w:val="000000" w:themeColor="text1"/>
          <w:kern w:val="0"/>
          <w:szCs w:val="24"/>
        </w:rPr>
        <w:t>4</w:t>
      </w:r>
      <w:r w:rsidRPr="00B12FE0">
        <w:rPr>
          <w:color w:val="000000" w:themeColor="text1"/>
          <w:kern w:val="0"/>
          <w:szCs w:val="24"/>
        </w:rPr>
        <w:t>次</w:t>
      </w:r>
      <w:r w:rsidRPr="00B12FE0">
        <w:rPr>
          <w:color w:val="000000" w:themeColor="text1"/>
          <w:kern w:val="0"/>
          <w:szCs w:val="24"/>
        </w:rPr>
        <w:t>/h</w:t>
      </w:r>
      <w:r w:rsidRPr="00B12FE0">
        <w:rPr>
          <w:color w:val="000000" w:themeColor="text1"/>
          <w:kern w:val="0"/>
          <w:szCs w:val="24"/>
        </w:rPr>
        <w:t>，机房内产生的臭氧、氮氧化物对周围环境影响很小</w:t>
      </w:r>
      <w:r w:rsidRPr="00B12FE0">
        <w:rPr>
          <w:rFonts w:hint="eastAsia"/>
          <w:color w:val="000000" w:themeColor="text1"/>
          <w:kern w:val="0"/>
          <w:szCs w:val="24"/>
        </w:rPr>
        <w:t>。</w:t>
      </w:r>
    </w:p>
    <w:p w14:paraId="180763F0" w14:textId="77777777" w:rsidR="00A67F21" w:rsidRPr="00B12FE0" w:rsidRDefault="00000000">
      <w:pPr>
        <w:snapToGrid w:val="0"/>
        <w:spacing w:line="360" w:lineRule="auto"/>
        <w:ind w:firstLineChars="200" w:firstLine="480"/>
        <w:contextualSpacing/>
        <w:rPr>
          <w:color w:val="000000" w:themeColor="text1"/>
        </w:rPr>
      </w:pPr>
      <w:r w:rsidRPr="00B12FE0">
        <w:rPr>
          <w:rFonts w:hint="eastAsia"/>
          <w:color w:val="000000" w:themeColor="text1"/>
        </w:rPr>
        <w:t>在</w:t>
      </w:r>
      <w:proofErr w:type="gramStart"/>
      <w:r w:rsidRPr="00B12FE0">
        <w:rPr>
          <w:rFonts w:hint="eastAsia"/>
          <w:color w:val="000000" w:themeColor="text1"/>
        </w:rPr>
        <w:t>直线加速器靶件损坏</w:t>
      </w:r>
      <w:proofErr w:type="gramEnd"/>
      <w:r w:rsidRPr="00B12FE0">
        <w:rPr>
          <w:rFonts w:hint="eastAsia"/>
          <w:color w:val="000000" w:themeColor="text1"/>
        </w:rPr>
        <w:t>或报废退役时，会有</w:t>
      </w:r>
      <w:proofErr w:type="gramStart"/>
      <w:r w:rsidRPr="00B12FE0">
        <w:rPr>
          <w:rFonts w:hint="eastAsia"/>
          <w:color w:val="000000" w:themeColor="text1"/>
        </w:rPr>
        <w:t>活化废靶</w:t>
      </w:r>
      <w:r w:rsidRPr="00B12FE0">
        <w:rPr>
          <w:bCs/>
          <w:color w:val="000000" w:themeColor="text1"/>
          <w:kern w:val="10"/>
        </w:rPr>
        <w:t>产生</w:t>
      </w:r>
      <w:proofErr w:type="gramEnd"/>
      <w:r w:rsidRPr="00B12FE0">
        <w:rPr>
          <w:rFonts w:hint="eastAsia"/>
          <w:bCs/>
          <w:color w:val="000000" w:themeColor="text1"/>
          <w:kern w:val="10"/>
        </w:rPr>
        <w:t>。</w:t>
      </w:r>
      <w:proofErr w:type="gramStart"/>
      <w:r w:rsidRPr="00B12FE0">
        <w:rPr>
          <w:rFonts w:hint="eastAsia"/>
          <w:color w:val="000000" w:themeColor="text1"/>
        </w:rPr>
        <w:t>废靶由</w:t>
      </w:r>
      <w:proofErr w:type="gramEnd"/>
      <w:r w:rsidRPr="00B12FE0">
        <w:rPr>
          <w:rFonts w:hint="eastAsia"/>
          <w:color w:val="000000" w:themeColor="text1"/>
        </w:rPr>
        <w:t>设备厂家回收最终送交有资质的单位回收处置，医院不暂存，因而正常情况下不会对环境造成明显影响。</w:t>
      </w:r>
    </w:p>
    <w:p w14:paraId="6E91AA34" w14:textId="77777777" w:rsidR="00A67F21" w:rsidRPr="00B12FE0" w:rsidRDefault="00000000">
      <w:pPr>
        <w:adjustRightInd w:val="0"/>
        <w:snapToGrid w:val="0"/>
        <w:spacing w:line="360" w:lineRule="auto"/>
        <w:ind w:firstLine="480"/>
        <w:rPr>
          <w:snapToGrid w:val="0"/>
          <w:color w:val="000000" w:themeColor="text1"/>
          <w:szCs w:val="24"/>
        </w:rPr>
      </w:pPr>
      <w:r w:rsidRPr="00B12FE0">
        <w:rPr>
          <w:rFonts w:hint="eastAsia"/>
          <w:snapToGrid w:val="0"/>
          <w:color w:val="000000" w:themeColor="text1"/>
          <w:szCs w:val="24"/>
        </w:rPr>
        <w:t>后装机更换的废</w:t>
      </w:r>
      <w:r w:rsidRPr="00B12FE0">
        <w:rPr>
          <w:rFonts w:hint="eastAsia"/>
          <w:snapToGrid w:val="0"/>
          <w:color w:val="000000" w:themeColor="text1"/>
          <w:szCs w:val="24"/>
          <w:vertAlign w:val="superscript"/>
        </w:rPr>
        <w:t>192</w:t>
      </w:r>
      <w:r w:rsidRPr="00B12FE0">
        <w:rPr>
          <w:rFonts w:hint="eastAsia"/>
          <w:snapToGrid w:val="0"/>
          <w:color w:val="000000" w:themeColor="text1"/>
          <w:szCs w:val="24"/>
        </w:rPr>
        <w:t>Ir</w:t>
      </w:r>
      <w:r w:rsidRPr="00B12FE0">
        <w:rPr>
          <w:rFonts w:hint="eastAsia"/>
          <w:snapToGrid w:val="0"/>
          <w:color w:val="000000" w:themeColor="text1"/>
          <w:szCs w:val="24"/>
        </w:rPr>
        <w:t>放射源应当按照废旧放射源返回合同规定，将废旧放射源交回生产单位或者返回原出口方。</w:t>
      </w:r>
    </w:p>
    <w:p w14:paraId="653B79AF" w14:textId="77777777" w:rsidR="00A67F21" w:rsidRPr="00B12FE0" w:rsidRDefault="00000000">
      <w:pPr>
        <w:tabs>
          <w:tab w:val="left" w:pos="2535"/>
        </w:tabs>
        <w:adjustRightInd w:val="0"/>
        <w:spacing w:line="360" w:lineRule="auto"/>
        <w:ind w:firstLineChars="200" w:firstLine="480"/>
        <w:rPr>
          <w:color w:val="000000" w:themeColor="text1"/>
        </w:rPr>
      </w:pPr>
      <w:r w:rsidRPr="00B12FE0">
        <w:rPr>
          <w:rFonts w:hint="eastAsia"/>
          <w:bCs/>
          <w:color w:val="000000" w:themeColor="text1"/>
          <w:kern w:val="0"/>
        </w:rPr>
        <w:t>模拟定位</w:t>
      </w:r>
      <w:r w:rsidRPr="00B12FE0">
        <w:rPr>
          <w:rFonts w:hint="eastAsia"/>
          <w:bCs/>
          <w:color w:val="000000" w:themeColor="text1"/>
          <w:kern w:val="0"/>
        </w:rPr>
        <w:t>CT</w:t>
      </w:r>
      <w:r w:rsidRPr="00B12FE0">
        <w:rPr>
          <w:rFonts w:hint="eastAsia"/>
          <w:bCs/>
          <w:color w:val="000000" w:themeColor="text1"/>
          <w:kern w:val="0"/>
        </w:rPr>
        <w:t>机房</w:t>
      </w:r>
      <w:r w:rsidRPr="00B12FE0">
        <w:rPr>
          <w:rFonts w:hint="eastAsia"/>
          <w:color w:val="000000" w:themeColor="text1"/>
          <w:kern w:val="0"/>
        </w:rPr>
        <w:t>拟设置动力通风装置</w:t>
      </w:r>
      <w:r w:rsidRPr="00B12FE0">
        <w:rPr>
          <w:rFonts w:hint="eastAsia"/>
          <w:snapToGrid w:val="0"/>
          <w:color w:val="000000" w:themeColor="text1"/>
          <w:kern w:val="0"/>
        </w:rPr>
        <w:t>，保证机房内有良好的通风。</w:t>
      </w:r>
      <w:r w:rsidRPr="00B12FE0">
        <w:rPr>
          <w:rFonts w:hint="eastAsia"/>
          <w:color w:val="000000" w:themeColor="text1"/>
        </w:rPr>
        <w:t>产生的少量臭氧和氮氧化物</w:t>
      </w:r>
      <w:r w:rsidRPr="00B12FE0">
        <w:rPr>
          <w:rFonts w:hint="eastAsia"/>
          <w:snapToGrid w:val="0"/>
          <w:color w:val="000000" w:themeColor="text1"/>
        </w:rPr>
        <w:t>经动力通风装置收集后</w:t>
      </w:r>
      <w:r w:rsidRPr="00B12FE0">
        <w:rPr>
          <w:rFonts w:hint="eastAsia"/>
          <w:color w:val="000000" w:themeColor="text1"/>
        </w:rPr>
        <w:t>最终从</w:t>
      </w:r>
      <w:r w:rsidRPr="00B12FE0">
        <w:rPr>
          <w:rFonts w:hint="eastAsia"/>
          <w:snapToGrid w:val="0"/>
          <w:color w:val="000000" w:themeColor="text1"/>
          <w:kern w:val="0"/>
        </w:rPr>
        <w:t>楼顶</w:t>
      </w:r>
      <w:r w:rsidRPr="00B12FE0">
        <w:rPr>
          <w:rFonts w:hint="eastAsia"/>
          <w:color w:val="000000" w:themeColor="text1"/>
        </w:rPr>
        <w:t>排放。臭氧和氮氧化物排入大气环境后，经自然分解，对周围环境影响较小。</w:t>
      </w:r>
    </w:p>
    <w:p w14:paraId="35B824E3" w14:textId="77777777" w:rsidR="00A67F21" w:rsidRPr="00B12FE0" w:rsidRDefault="00000000">
      <w:pPr>
        <w:adjustRightInd w:val="0"/>
        <w:snapToGrid w:val="0"/>
        <w:spacing w:line="360" w:lineRule="auto"/>
        <w:outlineLvl w:val="2"/>
        <w:rPr>
          <w:b/>
          <w:bCs/>
          <w:color w:val="000000" w:themeColor="text1"/>
        </w:rPr>
      </w:pPr>
      <w:r w:rsidRPr="00B12FE0">
        <w:rPr>
          <w:b/>
          <w:bCs/>
          <w:color w:val="000000" w:themeColor="text1"/>
        </w:rPr>
        <w:t>13.1.4</w:t>
      </w:r>
      <w:r w:rsidRPr="00B12FE0">
        <w:rPr>
          <w:b/>
          <w:bCs/>
          <w:color w:val="000000" w:themeColor="text1"/>
        </w:rPr>
        <w:t>可行性分析结论</w:t>
      </w:r>
    </w:p>
    <w:p w14:paraId="746BEB08" w14:textId="77777777" w:rsidR="00A67F21" w:rsidRPr="00B12FE0" w:rsidRDefault="00000000">
      <w:pPr>
        <w:spacing w:line="360" w:lineRule="auto"/>
        <w:ind w:firstLineChars="200" w:firstLine="482"/>
        <w:contextualSpacing/>
        <w:rPr>
          <w:b/>
          <w:color w:val="000000" w:themeColor="text1"/>
        </w:rPr>
      </w:pPr>
      <w:r w:rsidRPr="00B12FE0">
        <w:rPr>
          <w:b/>
          <w:color w:val="000000" w:themeColor="text1"/>
        </w:rPr>
        <w:t>（</w:t>
      </w:r>
      <w:r w:rsidRPr="00B12FE0">
        <w:rPr>
          <w:b/>
          <w:color w:val="000000" w:themeColor="text1"/>
        </w:rPr>
        <w:t>1</w:t>
      </w:r>
      <w:r w:rsidRPr="00B12FE0">
        <w:rPr>
          <w:b/>
          <w:color w:val="000000" w:themeColor="text1"/>
        </w:rPr>
        <w:t>）</w:t>
      </w:r>
      <w:r w:rsidRPr="00B12FE0">
        <w:rPr>
          <w:b/>
          <w:bCs/>
          <w:color w:val="000000" w:themeColor="text1"/>
        </w:rPr>
        <w:t>相关规划</w:t>
      </w:r>
      <w:r w:rsidRPr="00B12FE0">
        <w:rPr>
          <w:rFonts w:hint="eastAsia"/>
          <w:b/>
          <w:bCs/>
          <w:color w:val="000000" w:themeColor="text1"/>
        </w:rPr>
        <w:t>符合性</w:t>
      </w:r>
      <w:r w:rsidRPr="00B12FE0">
        <w:rPr>
          <w:b/>
          <w:bCs/>
          <w:color w:val="000000" w:themeColor="text1"/>
        </w:rPr>
        <w:t>及</w:t>
      </w:r>
      <w:r w:rsidRPr="00B12FE0">
        <w:rPr>
          <w:b/>
          <w:color w:val="000000" w:themeColor="text1"/>
        </w:rPr>
        <w:t>选址合理性结论</w:t>
      </w:r>
    </w:p>
    <w:p w14:paraId="6B24988D" w14:textId="77777777" w:rsidR="00A67F21" w:rsidRPr="00B12FE0" w:rsidRDefault="00000000">
      <w:pPr>
        <w:spacing w:line="360" w:lineRule="auto"/>
        <w:ind w:firstLineChars="200" w:firstLine="480"/>
        <w:rPr>
          <w:color w:val="000000" w:themeColor="text1"/>
          <w:sz w:val="21"/>
        </w:rPr>
      </w:pPr>
      <w:r w:rsidRPr="00B12FE0">
        <w:rPr>
          <w:rFonts w:hint="eastAsia"/>
          <w:color w:val="000000" w:themeColor="text1"/>
        </w:rPr>
        <w:t>①土地利用规划以及城市总体规划符合性结论</w:t>
      </w:r>
    </w:p>
    <w:p w14:paraId="75FD42CB" w14:textId="77777777" w:rsidR="00A67F21" w:rsidRPr="00B12FE0" w:rsidRDefault="00000000">
      <w:pPr>
        <w:snapToGrid w:val="0"/>
        <w:spacing w:line="360" w:lineRule="auto"/>
        <w:ind w:firstLineChars="200" w:firstLine="480"/>
        <w:rPr>
          <w:bCs/>
          <w:color w:val="000000" w:themeColor="text1"/>
        </w:rPr>
      </w:pPr>
      <w:r w:rsidRPr="00B12FE0">
        <w:rPr>
          <w:color w:val="000000" w:themeColor="text1"/>
        </w:rPr>
        <w:t>本项目</w:t>
      </w:r>
      <w:r w:rsidRPr="00B12FE0">
        <w:rPr>
          <w:rFonts w:hint="eastAsia"/>
          <w:color w:val="000000" w:themeColor="text1"/>
        </w:rPr>
        <w:t>属于</w:t>
      </w:r>
      <w:r w:rsidRPr="00B12FE0">
        <w:rPr>
          <w:rFonts w:hint="eastAsia"/>
          <w:color w:val="000000" w:themeColor="text1"/>
          <w:szCs w:val="24"/>
        </w:rPr>
        <w:t>浙江大学医学院附属邵逸夫医院新疆兵团阿拉尔医院</w:t>
      </w:r>
      <w:r w:rsidRPr="00B12FE0">
        <w:rPr>
          <w:rFonts w:hint="eastAsia"/>
          <w:bCs/>
          <w:color w:val="000000" w:themeColor="text1"/>
        </w:rPr>
        <w:t>的</w:t>
      </w:r>
      <w:r w:rsidRPr="00B12FE0">
        <w:rPr>
          <w:rFonts w:hAnsi="宋体" w:hint="eastAsia"/>
          <w:bCs/>
          <w:color w:val="000000" w:themeColor="text1"/>
        </w:rPr>
        <w:t>核技术利用项目</w:t>
      </w:r>
      <w:r w:rsidRPr="00B12FE0">
        <w:rPr>
          <w:rFonts w:hint="eastAsia"/>
          <w:bCs/>
          <w:color w:val="000000" w:themeColor="text1"/>
        </w:rPr>
        <w:t>，</w:t>
      </w:r>
      <w:r w:rsidRPr="00B12FE0">
        <w:rPr>
          <w:rFonts w:hint="eastAsia"/>
          <w:color w:val="000000" w:themeColor="text1"/>
          <w:szCs w:val="24"/>
        </w:rPr>
        <w:t>浙江大学医学院附属邵逸夫医院新疆兵团阿拉尔医院</w:t>
      </w:r>
      <w:r w:rsidRPr="00B12FE0">
        <w:rPr>
          <w:rFonts w:hint="eastAsia"/>
          <w:color w:val="000000" w:themeColor="text1"/>
        </w:rPr>
        <w:t>的土地用途</w:t>
      </w:r>
      <w:r w:rsidRPr="00B12FE0">
        <w:rPr>
          <w:color w:val="000000" w:themeColor="text1"/>
        </w:rPr>
        <w:t>为医疗</w:t>
      </w:r>
      <w:r w:rsidRPr="00B12FE0">
        <w:rPr>
          <w:rFonts w:hint="eastAsia"/>
          <w:color w:val="000000" w:themeColor="text1"/>
        </w:rPr>
        <w:t>卫生</w:t>
      </w:r>
      <w:r w:rsidRPr="00B12FE0">
        <w:rPr>
          <w:color w:val="000000" w:themeColor="text1"/>
        </w:rPr>
        <w:t>用地，符合</w:t>
      </w:r>
      <w:r w:rsidRPr="00B12FE0">
        <w:rPr>
          <w:rFonts w:hint="eastAsia"/>
          <w:color w:val="000000" w:themeColor="text1"/>
        </w:rPr>
        <w:t>土地利用规划；本项目为医疗服务项目，与相关规划是相符的。</w:t>
      </w:r>
    </w:p>
    <w:p w14:paraId="0FF86367"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②污染物达标排放符合性结论</w:t>
      </w:r>
    </w:p>
    <w:p w14:paraId="470A316C" w14:textId="77777777" w:rsidR="00A67F21" w:rsidRPr="00B12FE0" w:rsidRDefault="00000000">
      <w:pPr>
        <w:spacing w:line="360" w:lineRule="auto"/>
        <w:ind w:firstLineChars="200" w:firstLine="480"/>
        <w:rPr>
          <w:color w:val="000000" w:themeColor="text1"/>
          <w:kern w:val="0"/>
        </w:rPr>
      </w:pPr>
      <w:r w:rsidRPr="00B12FE0">
        <w:rPr>
          <w:rFonts w:hint="eastAsia"/>
          <w:color w:val="000000" w:themeColor="text1"/>
          <w:kern w:val="0"/>
        </w:rPr>
        <w:t>本项目运营过程中产生的电离辐射、放射性三废经采取一定的辐射防护和治理措施后，对周围环境与公众人员健康的辐射影响是可接受的，可以做到达标排放。</w:t>
      </w:r>
    </w:p>
    <w:p w14:paraId="6D16CF41"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kern w:val="0"/>
        </w:rPr>
        <w:t>③选址合理性分析结论</w:t>
      </w:r>
    </w:p>
    <w:p w14:paraId="1F19D458"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本项目为核技术利用项目，周围</w:t>
      </w:r>
      <w:r w:rsidRPr="00B12FE0">
        <w:rPr>
          <w:rFonts w:hint="eastAsia"/>
          <w:color w:val="000000" w:themeColor="text1"/>
        </w:rPr>
        <w:t>50m</w:t>
      </w:r>
      <w:r w:rsidRPr="00B12FE0">
        <w:rPr>
          <w:rFonts w:hint="eastAsia"/>
          <w:color w:val="000000" w:themeColor="text1"/>
        </w:rPr>
        <w:t>无自然保护区、风景名胜区、饮用水水源保护区、学校和行政办公区域等环境敏感点</w:t>
      </w:r>
      <w:r w:rsidRPr="00B12FE0">
        <w:rPr>
          <w:color w:val="000000" w:themeColor="text1"/>
        </w:rPr>
        <w:t>。</w:t>
      </w:r>
      <w:r w:rsidRPr="00B12FE0">
        <w:rPr>
          <w:rFonts w:hint="eastAsia"/>
          <w:color w:val="000000" w:themeColor="text1"/>
        </w:rPr>
        <w:t>同时根据表</w:t>
      </w:r>
      <w:r w:rsidRPr="00B12FE0">
        <w:rPr>
          <w:rFonts w:hint="eastAsia"/>
          <w:color w:val="000000" w:themeColor="text1"/>
        </w:rPr>
        <w:t>1</w:t>
      </w:r>
      <w:r w:rsidRPr="00B12FE0">
        <w:rPr>
          <w:color w:val="000000" w:themeColor="text1"/>
        </w:rPr>
        <w:t>0</w:t>
      </w:r>
      <w:r w:rsidRPr="00B12FE0">
        <w:rPr>
          <w:rFonts w:hint="eastAsia"/>
          <w:color w:val="000000" w:themeColor="text1"/>
        </w:rPr>
        <w:t>辐射安全与防护章节分析，</w:t>
      </w:r>
      <w:r w:rsidRPr="00B12FE0">
        <w:rPr>
          <w:rFonts w:hint="eastAsia"/>
          <w:color w:val="000000" w:themeColor="text1"/>
        </w:rPr>
        <w:lastRenderedPageBreak/>
        <w:t>本项目核医学工作场所和放疗科直线加速器机房的选址能够满足</w:t>
      </w:r>
      <w:r w:rsidRPr="00B12FE0">
        <w:rPr>
          <w:color w:val="000000" w:themeColor="text1"/>
        </w:rPr>
        <w:t>《核医学辐射防护与安全要求》（</w:t>
      </w:r>
      <w:r w:rsidRPr="00B12FE0">
        <w:rPr>
          <w:color w:val="000000" w:themeColor="text1"/>
        </w:rPr>
        <w:t>HJ 1188-2021</w:t>
      </w:r>
      <w:r w:rsidRPr="00B12FE0">
        <w:rPr>
          <w:color w:val="000000" w:themeColor="text1"/>
        </w:rPr>
        <w:t>）</w:t>
      </w:r>
      <w:r w:rsidRPr="00B12FE0">
        <w:rPr>
          <w:rFonts w:hint="eastAsia"/>
          <w:color w:val="000000" w:themeColor="text1"/>
        </w:rPr>
        <w:t>、《放射治疗辐射安全与防护要求》（</w:t>
      </w:r>
      <w:r w:rsidRPr="00B12FE0">
        <w:rPr>
          <w:color w:val="000000" w:themeColor="text1"/>
        </w:rPr>
        <w:t>HJ 1198-2021</w:t>
      </w:r>
      <w:r w:rsidRPr="00B12FE0">
        <w:rPr>
          <w:rFonts w:hint="eastAsia"/>
          <w:color w:val="000000" w:themeColor="text1"/>
        </w:rPr>
        <w:t>）中关于选址的相关要求。</w:t>
      </w:r>
    </w:p>
    <w:p w14:paraId="3CF404D1"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综上所述，本项目的选址是合理的。</w:t>
      </w:r>
    </w:p>
    <w:p w14:paraId="78699F63"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④与第一师阿拉尔市生态环境分区管控动态更新方案符合性分析</w:t>
      </w:r>
    </w:p>
    <w:p w14:paraId="07149487" w14:textId="77777777" w:rsidR="00A67F21" w:rsidRPr="00B12FE0" w:rsidRDefault="00000000">
      <w:pPr>
        <w:spacing w:line="360" w:lineRule="auto"/>
        <w:ind w:firstLineChars="200" w:firstLine="480"/>
        <w:rPr>
          <w:color w:val="000000" w:themeColor="text1"/>
        </w:rPr>
      </w:pPr>
      <w:r w:rsidRPr="00B12FE0">
        <w:rPr>
          <w:rFonts w:hint="eastAsia"/>
          <w:color w:val="000000" w:themeColor="text1"/>
        </w:rPr>
        <w:t>本项目位于</w:t>
      </w:r>
      <w:r w:rsidRPr="00B12FE0">
        <w:rPr>
          <w:color w:val="000000" w:themeColor="text1"/>
        </w:rPr>
        <w:t>阿拉尔市</w:t>
      </w:r>
      <w:r w:rsidRPr="00B12FE0">
        <w:rPr>
          <w:color w:val="000000" w:themeColor="text1"/>
        </w:rPr>
        <w:t>10</w:t>
      </w:r>
      <w:r w:rsidRPr="00B12FE0">
        <w:rPr>
          <w:color w:val="000000" w:themeColor="text1"/>
        </w:rPr>
        <w:t>团重点管控单元</w:t>
      </w:r>
      <w:r w:rsidRPr="00B12FE0">
        <w:rPr>
          <w:rFonts w:ascii="宋体" w:hAnsi="宋体" w:cs="宋体" w:hint="eastAsia"/>
          <w:color w:val="000000" w:themeColor="text1"/>
          <w:kern w:val="0"/>
          <w:szCs w:val="24"/>
          <w:lang w:bidi="ar"/>
        </w:rPr>
        <w:t>（</w:t>
      </w:r>
      <w:r w:rsidRPr="00B12FE0">
        <w:rPr>
          <w:color w:val="000000" w:themeColor="text1"/>
          <w:kern w:val="0"/>
          <w:szCs w:val="24"/>
          <w:lang w:bidi="ar"/>
        </w:rPr>
        <w:t>ZH65900220020</w:t>
      </w:r>
      <w:r w:rsidRPr="00B12FE0">
        <w:rPr>
          <w:rFonts w:ascii="宋体" w:hAnsi="宋体" w:cs="宋体" w:hint="eastAsia"/>
          <w:color w:val="000000" w:themeColor="text1"/>
          <w:kern w:val="0"/>
          <w:szCs w:val="24"/>
          <w:lang w:bidi="ar"/>
        </w:rPr>
        <w:t>）</w:t>
      </w:r>
      <w:r w:rsidRPr="00B12FE0">
        <w:rPr>
          <w:color w:val="000000" w:themeColor="text1"/>
        </w:rPr>
        <w:t>，</w:t>
      </w:r>
      <w:r w:rsidRPr="00B12FE0">
        <w:rPr>
          <w:rFonts w:hint="eastAsia"/>
          <w:color w:val="000000" w:themeColor="text1"/>
        </w:rPr>
        <w:t>符合第一师阿拉尔市生态环境分区管控动态更新方案要求</w:t>
      </w:r>
      <w:r w:rsidRPr="00B12FE0">
        <w:rPr>
          <w:color w:val="000000" w:themeColor="text1"/>
        </w:rPr>
        <w:t>。</w:t>
      </w:r>
    </w:p>
    <w:p w14:paraId="3B92A063" w14:textId="77777777" w:rsidR="00A67F21" w:rsidRPr="00B12FE0" w:rsidRDefault="00000000">
      <w:pPr>
        <w:spacing w:line="360" w:lineRule="auto"/>
        <w:ind w:firstLineChars="200" w:firstLine="482"/>
        <w:contextualSpacing/>
        <w:rPr>
          <w:b/>
          <w:color w:val="000000" w:themeColor="text1"/>
        </w:rPr>
      </w:pPr>
      <w:r w:rsidRPr="00B12FE0">
        <w:rPr>
          <w:b/>
          <w:color w:val="000000" w:themeColor="text1"/>
        </w:rPr>
        <w:t>（</w:t>
      </w:r>
      <w:r w:rsidRPr="00B12FE0">
        <w:rPr>
          <w:b/>
          <w:color w:val="000000" w:themeColor="text1"/>
        </w:rPr>
        <w:t>2</w:t>
      </w:r>
      <w:r w:rsidRPr="00B12FE0">
        <w:rPr>
          <w:b/>
          <w:color w:val="000000" w:themeColor="text1"/>
        </w:rPr>
        <w:t>）产业政策</w:t>
      </w:r>
      <w:r w:rsidRPr="00B12FE0">
        <w:rPr>
          <w:rFonts w:hint="eastAsia"/>
          <w:b/>
          <w:color w:val="000000" w:themeColor="text1"/>
        </w:rPr>
        <w:t>符合性分析</w:t>
      </w:r>
      <w:r w:rsidRPr="00B12FE0">
        <w:rPr>
          <w:b/>
          <w:color w:val="000000" w:themeColor="text1"/>
        </w:rPr>
        <w:t>结论</w:t>
      </w:r>
    </w:p>
    <w:p w14:paraId="031FC94A" w14:textId="77777777" w:rsidR="00A67F21" w:rsidRPr="00B12FE0" w:rsidRDefault="00000000">
      <w:pPr>
        <w:pStyle w:val="TableParagraph"/>
        <w:autoSpaceDE/>
        <w:autoSpaceDN/>
        <w:snapToGrid w:val="0"/>
        <w:spacing w:line="360" w:lineRule="auto"/>
        <w:ind w:firstLineChars="200" w:firstLine="480"/>
        <w:jc w:val="both"/>
        <w:rPr>
          <w:bCs/>
          <w:color w:val="000000" w:themeColor="text1"/>
        </w:rPr>
      </w:pPr>
      <w:r w:rsidRPr="00B12FE0">
        <w:rPr>
          <w:color w:val="000000" w:themeColor="text1"/>
        </w:rPr>
        <w:t>根据</w:t>
      </w:r>
      <w:r w:rsidRPr="00B12FE0">
        <w:rPr>
          <w:rFonts w:hint="eastAsia"/>
          <w:color w:val="000000" w:themeColor="text1"/>
        </w:rPr>
        <w:t>国家发展和改革委员会制订的《产业结构调整指导目录（</w:t>
      </w:r>
      <w:r w:rsidRPr="00B12FE0">
        <w:rPr>
          <w:color w:val="000000" w:themeColor="text1"/>
        </w:rPr>
        <w:t>2024</w:t>
      </w:r>
      <w:r w:rsidRPr="00B12FE0">
        <w:rPr>
          <w:rFonts w:hint="eastAsia"/>
          <w:color w:val="000000" w:themeColor="text1"/>
        </w:rPr>
        <w:t>年本）》</w:t>
      </w:r>
      <w:r w:rsidRPr="00B12FE0">
        <w:rPr>
          <w:color w:val="000000" w:themeColor="text1"/>
        </w:rPr>
        <w:t>，本项目</w:t>
      </w:r>
      <w:r w:rsidRPr="00B12FE0">
        <w:rPr>
          <w:rFonts w:hint="eastAsia"/>
          <w:color w:val="000000" w:themeColor="text1"/>
        </w:rPr>
        <w:t>核医学工作场所</w:t>
      </w:r>
      <w:r w:rsidRPr="00B12FE0">
        <w:rPr>
          <w:rFonts w:hint="eastAsia"/>
          <w:bCs/>
          <w:color w:val="000000" w:themeColor="text1"/>
        </w:rPr>
        <w:t>、</w:t>
      </w:r>
      <w:r w:rsidRPr="00B12FE0">
        <w:rPr>
          <w:rFonts w:hint="eastAsia"/>
          <w:color w:val="000000" w:themeColor="text1"/>
        </w:rPr>
        <w:t>直线加速器</w:t>
      </w:r>
      <w:r w:rsidRPr="00B12FE0">
        <w:rPr>
          <w:rFonts w:hint="eastAsia"/>
          <w:bCs/>
          <w:color w:val="000000" w:themeColor="text1"/>
        </w:rPr>
        <w:t>和后装机</w:t>
      </w:r>
      <w:r w:rsidRPr="00B12FE0">
        <w:rPr>
          <w:color w:val="000000" w:themeColor="text1"/>
        </w:rPr>
        <w:t>属于</w:t>
      </w:r>
      <w:r w:rsidRPr="00B12FE0">
        <w:rPr>
          <w:bCs/>
          <w:color w:val="000000" w:themeColor="text1"/>
          <w:szCs w:val="20"/>
        </w:rPr>
        <w:t>国家鼓励类产业，符合国家产业政策</w:t>
      </w:r>
      <w:r w:rsidRPr="00B12FE0">
        <w:rPr>
          <w:color w:val="000000" w:themeColor="text1"/>
        </w:rPr>
        <w:t>。</w:t>
      </w:r>
    </w:p>
    <w:p w14:paraId="7579CEC2" w14:textId="77777777" w:rsidR="00A67F21" w:rsidRPr="00B12FE0" w:rsidRDefault="00000000">
      <w:pPr>
        <w:spacing w:line="360" w:lineRule="auto"/>
        <w:ind w:firstLineChars="200" w:firstLine="482"/>
        <w:contextualSpacing/>
        <w:rPr>
          <w:b/>
          <w:color w:val="000000" w:themeColor="text1"/>
        </w:rPr>
      </w:pPr>
      <w:r w:rsidRPr="00B12FE0">
        <w:rPr>
          <w:b/>
          <w:color w:val="000000" w:themeColor="text1"/>
        </w:rPr>
        <w:t>（</w:t>
      </w:r>
      <w:r w:rsidRPr="00B12FE0">
        <w:rPr>
          <w:b/>
          <w:color w:val="000000" w:themeColor="text1"/>
        </w:rPr>
        <w:t>3</w:t>
      </w:r>
      <w:r w:rsidRPr="00B12FE0">
        <w:rPr>
          <w:b/>
          <w:color w:val="000000" w:themeColor="text1"/>
        </w:rPr>
        <w:t>）实践正当性分析结论</w:t>
      </w:r>
    </w:p>
    <w:p w14:paraId="5CFDCF21" w14:textId="77777777" w:rsidR="00A67F21" w:rsidRPr="00B12FE0" w:rsidRDefault="00000000">
      <w:pPr>
        <w:adjustRightInd w:val="0"/>
        <w:spacing w:line="360" w:lineRule="auto"/>
        <w:ind w:firstLineChars="200" w:firstLine="480"/>
        <w:rPr>
          <w:color w:val="000000" w:themeColor="text1"/>
          <w:sz w:val="21"/>
          <w:szCs w:val="24"/>
        </w:rPr>
      </w:pPr>
      <w:r w:rsidRPr="00B12FE0">
        <w:rPr>
          <w:color w:val="000000" w:themeColor="text1"/>
        </w:rPr>
        <w:t>本项目的建设可以更好地满足患者就诊需求，提高对疾病的诊治能力。核技术应用项目的开展，对保障人民群众身体健康、拯救生命起了十分重要的作用，因此，该项目的实践是必要的。本项目产生的辐射给职业人员、公众及社会带来的利益足以弥补其可能引起的辐射危害，该核技术应用实践具有正当性，符合《电离辐射防护与辐射源安全基本标准》（</w:t>
      </w:r>
      <w:r w:rsidRPr="00B12FE0">
        <w:rPr>
          <w:color w:val="000000" w:themeColor="text1"/>
        </w:rPr>
        <w:t>GB 18871-2002</w:t>
      </w:r>
      <w:r w:rsidRPr="00B12FE0">
        <w:rPr>
          <w:color w:val="000000" w:themeColor="text1"/>
        </w:rPr>
        <w:t>）中</w:t>
      </w:r>
      <w:r w:rsidRPr="00B12FE0">
        <w:rPr>
          <w:rFonts w:ascii="宋体" w:hAnsi="宋体"/>
          <w:color w:val="000000" w:themeColor="text1"/>
        </w:rPr>
        <w:t>“实践的正当性”</w:t>
      </w:r>
      <w:r w:rsidRPr="00B12FE0">
        <w:rPr>
          <w:color w:val="000000" w:themeColor="text1"/>
        </w:rPr>
        <w:t>原则。</w:t>
      </w:r>
    </w:p>
    <w:p w14:paraId="10001010" w14:textId="77777777" w:rsidR="00A67F21" w:rsidRPr="00B12FE0" w:rsidRDefault="00000000">
      <w:pPr>
        <w:tabs>
          <w:tab w:val="left" w:pos="4851"/>
          <w:tab w:val="left" w:pos="5483"/>
          <w:tab w:val="left" w:pos="6115"/>
        </w:tabs>
        <w:spacing w:line="360" w:lineRule="auto"/>
        <w:ind w:firstLineChars="200" w:firstLine="482"/>
        <w:rPr>
          <w:b/>
          <w:color w:val="000000" w:themeColor="text1"/>
          <w:kern w:val="0"/>
        </w:rPr>
      </w:pPr>
      <w:r w:rsidRPr="00B12FE0">
        <w:rPr>
          <w:rFonts w:hint="eastAsia"/>
          <w:b/>
          <w:color w:val="000000" w:themeColor="text1"/>
          <w:kern w:val="0"/>
        </w:rPr>
        <w:t>（</w:t>
      </w:r>
      <w:r w:rsidRPr="00B12FE0">
        <w:rPr>
          <w:rFonts w:hint="eastAsia"/>
          <w:b/>
          <w:color w:val="000000" w:themeColor="text1"/>
          <w:kern w:val="0"/>
        </w:rPr>
        <w:t>4</w:t>
      </w:r>
      <w:r w:rsidRPr="00B12FE0">
        <w:rPr>
          <w:rFonts w:hint="eastAsia"/>
          <w:b/>
          <w:color w:val="000000" w:themeColor="text1"/>
          <w:kern w:val="0"/>
        </w:rPr>
        <w:t>）项目可行性分析结论</w:t>
      </w:r>
    </w:p>
    <w:p w14:paraId="6D74FEF1" w14:textId="77777777" w:rsidR="00A67F21" w:rsidRPr="00B12FE0" w:rsidRDefault="00000000">
      <w:pPr>
        <w:spacing w:line="360" w:lineRule="auto"/>
        <w:ind w:firstLineChars="200" w:firstLine="482"/>
        <w:rPr>
          <w:color w:val="000000" w:themeColor="text1"/>
          <w:szCs w:val="24"/>
        </w:rPr>
      </w:pPr>
      <w:r w:rsidRPr="00B12FE0">
        <w:rPr>
          <w:b/>
          <w:color w:val="000000" w:themeColor="text1"/>
          <w:kern w:val="0"/>
        </w:rPr>
        <w:t>综上所述，</w:t>
      </w:r>
      <w:r w:rsidRPr="00B12FE0">
        <w:rPr>
          <w:rFonts w:hint="eastAsia"/>
          <w:b/>
          <w:bCs/>
          <w:color w:val="000000" w:themeColor="text1"/>
          <w:szCs w:val="24"/>
        </w:rPr>
        <w:t>浙江大学医学院附属邵逸夫医院新疆兵团阿拉尔医院</w:t>
      </w:r>
      <w:r w:rsidRPr="00B12FE0">
        <w:rPr>
          <w:rFonts w:hint="eastAsia"/>
          <w:b/>
          <w:bCs/>
          <w:color w:val="000000" w:themeColor="text1"/>
          <w:kern w:val="0"/>
        </w:rPr>
        <w:t>核技术利用项目符合</w:t>
      </w:r>
      <w:r w:rsidRPr="00B12FE0">
        <w:rPr>
          <w:rFonts w:hint="eastAsia"/>
          <w:b/>
          <w:color w:val="000000" w:themeColor="text1"/>
          <w:kern w:val="0"/>
        </w:rPr>
        <w:t>相关规划和产业政策，</w:t>
      </w:r>
      <w:r w:rsidRPr="00B12FE0">
        <w:rPr>
          <w:b/>
          <w:bCs/>
          <w:snapToGrid w:val="0"/>
          <w:color w:val="000000" w:themeColor="text1"/>
          <w:kern w:val="0"/>
        </w:rPr>
        <w:t>选址符合国家相关法律法规，</w:t>
      </w:r>
      <w:r w:rsidRPr="00B12FE0">
        <w:rPr>
          <w:rFonts w:hint="eastAsia"/>
          <w:b/>
          <w:bCs/>
          <w:snapToGrid w:val="0"/>
          <w:color w:val="000000" w:themeColor="text1"/>
          <w:kern w:val="0"/>
        </w:rPr>
        <w:t>具有实践正当性</w:t>
      </w:r>
      <w:r w:rsidRPr="00B12FE0">
        <w:rPr>
          <w:b/>
          <w:bCs/>
          <w:snapToGrid w:val="0"/>
          <w:color w:val="000000" w:themeColor="text1"/>
          <w:kern w:val="0"/>
        </w:rPr>
        <w:t>。医院</w:t>
      </w:r>
      <w:r w:rsidRPr="00B12FE0">
        <w:rPr>
          <w:b/>
          <w:color w:val="000000" w:themeColor="text1"/>
          <w:kern w:val="0"/>
        </w:rPr>
        <w:t>在落实本报告提出的各项污染防治措施后，辐射安全措施及安全管理措施满足从事相应辐射活动的要求，</w:t>
      </w:r>
      <w:r w:rsidRPr="00B12FE0">
        <w:rPr>
          <w:rFonts w:hint="eastAsia"/>
          <w:b/>
          <w:color w:val="000000" w:themeColor="text1"/>
          <w:kern w:val="0"/>
        </w:rPr>
        <w:t>职业</w:t>
      </w:r>
      <w:r w:rsidRPr="00B12FE0">
        <w:rPr>
          <w:b/>
          <w:color w:val="000000" w:themeColor="text1"/>
          <w:kern w:val="0"/>
        </w:rPr>
        <w:t>人员和公众年有效剂量满足《电离辐射防护与辐射源安全基本标准》（</w:t>
      </w:r>
      <w:r w:rsidRPr="00B12FE0">
        <w:rPr>
          <w:b/>
          <w:color w:val="000000" w:themeColor="text1"/>
          <w:kern w:val="0"/>
        </w:rPr>
        <w:t>GB 18871-2002</w:t>
      </w:r>
      <w:r w:rsidRPr="00B12FE0">
        <w:rPr>
          <w:b/>
          <w:color w:val="000000" w:themeColor="text1"/>
          <w:kern w:val="0"/>
        </w:rPr>
        <w:t>）的要求，</w:t>
      </w:r>
      <w:r w:rsidRPr="00B12FE0">
        <w:rPr>
          <w:rFonts w:hint="eastAsia"/>
          <w:b/>
          <w:color w:val="000000" w:themeColor="text1"/>
          <w:kern w:val="0"/>
        </w:rPr>
        <w:t>运行阶段</w:t>
      </w:r>
      <w:r w:rsidRPr="00B12FE0">
        <w:rPr>
          <w:b/>
          <w:color w:val="000000" w:themeColor="text1"/>
          <w:kern w:val="0"/>
        </w:rPr>
        <w:t>对周围环境产生的辐射影响在可接受范围内，因此本项目运行时对周围环境的影响能符合辐射环境保护的要求，故从辐射环境保护角度论证，该项目的建设是可行的</w:t>
      </w:r>
      <w:r w:rsidRPr="00B12FE0">
        <w:rPr>
          <w:color w:val="000000" w:themeColor="text1"/>
          <w:szCs w:val="24"/>
        </w:rPr>
        <w:t>。</w:t>
      </w:r>
    </w:p>
    <w:p w14:paraId="3C65482E" w14:textId="77777777" w:rsidR="00A67F21" w:rsidRPr="00B12FE0" w:rsidRDefault="00000000">
      <w:pPr>
        <w:spacing w:line="360" w:lineRule="auto"/>
        <w:outlineLvl w:val="1"/>
        <w:rPr>
          <w:b/>
          <w:bCs/>
          <w:color w:val="000000" w:themeColor="text1"/>
          <w:sz w:val="28"/>
          <w:szCs w:val="28"/>
        </w:rPr>
      </w:pPr>
      <w:r w:rsidRPr="00B12FE0">
        <w:rPr>
          <w:b/>
          <w:bCs/>
          <w:color w:val="000000" w:themeColor="text1"/>
          <w:sz w:val="28"/>
          <w:szCs w:val="28"/>
        </w:rPr>
        <w:t>13.2</w:t>
      </w:r>
      <w:r w:rsidRPr="00B12FE0">
        <w:rPr>
          <w:b/>
          <w:bCs/>
          <w:color w:val="000000" w:themeColor="text1"/>
          <w:sz w:val="28"/>
          <w:szCs w:val="28"/>
        </w:rPr>
        <w:t>建议与承诺</w:t>
      </w:r>
    </w:p>
    <w:p w14:paraId="148EE474" w14:textId="77777777" w:rsidR="00A67F21" w:rsidRPr="00B12FE0" w:rsidRDefault="00000000">
      <w:pPr>
        <w:spacing w:line="360" w:lineRule="auto"/>
        <w:outlineLvl w:val="2"/>
        <w:rPr>
          <w:b/>
          <w:bCs/>
          <w:color w:val="000000" w:themeColor="text1"/>
          <w:szCs w:val="24"/>
        </w:rPr>
      </w:pPr>
      <w:r w:rsidRPr="00B12FE0">
        <w:rPr>
          <w:b/>
          <w:bCs/>
          <w:color w:val="000000" w:themeColor="text1"/>
          <w:szCs w:val="24"/>
        </w:rPr>
        <w:t>13.2.1</w:t>
      </w:r>
      <w:r w:rsidRPr="00B12FE0">
        <w:rPr>
          <w:b/>
          <w:bCs/>
          <w:color w:val="000000" w:themeColor="text1"/>
          <w:szCs w:val="24"/>
        </w:rPr>
        <w:t>建议</w:t>
      </w:r>
    </w:p>
    <w:p w14:paraId="48DF0484" w14:textId="77777777" w:rsidR="00A67F21" w:rsidRPr="00B12FE0" w:rsidRDefault="00000000">
      <w:pPr>
        <w:spacing w:line="360" w:lineRule="auto"/>
        <w:ind w:firstLineChars="200" w:firstLine="480"/>
        <w:rPr>
          <w:b/>
          <w:bCs/>
          <w:color w:val="000000" w:themeColor="text1"/>
          <w:szCs w:val="24"/>
        </w:rPr>
      </w:pPr>
      <w:r w:rsidRPr="00B12FE0">
        <w:rPr>
          <w:bCs/>
          <w:color w:val="000000" w:themeColor="text1"/>
          <w:szCs w:val="24"/>
        </w:rPr>
        <w:t>加强辐射安全教育培训，提高职业工作人员对辐射防护的理解和执行辐射防护措施的自觉性，杜绝</w:t>
      </w:r>
      <w:r w:rsidRPr="00B12FE0">
        <w:rPr>
          <w:rFonts w:hint="eastAsia"/>
          <w:bCs/>
          <w:color w:val="000000" w:themeColor="text1"/>
          <w:szCs w:val="24"/>
        </w:rPr>
        <w:t>辐射</w:t>
      </w:r>
      <w:r w:rsidRPr="00B12FE0">
        <w:rPr>
          <w:bCs/>
          <w:color w:val="000000" w:themeColor="text1"/>
          <w:szCs w:val="24"/>
        </w:rPr>
        <w:t>事故的发生。</w:t>
      </w:r>
    </w:p>
    <w:p w14:paraId="2EBD15A5" w14:textId="77777777" w:rsidR="00A67F21" w:rsidRPr="00B12FE0" w:rsidRDefault="00000000">
      <w:pPr>
        <w:spacing w:line="360" w:lineRule="auto"/>
        <w:outlineLvl w:val="2"/>
        <w:rPr>
          <w:b/>
          <w:bCs/>
          <w:color w:val="000000" w:themeColor="text1"/>
          <w:szCs w:val="24"/>
        </w:rPr>
      </w:pPr>
      <w:r w:rsidRPr="00B12FE0">
        <w:rPr>
          <w:b/>
          <w:bCs/>
          <w:color w:val="000000" w:themeColor="text1"/>
          <w:szCs w:val="24"/>
        </w:rPr>
        <w:t>13.2.2</w:t>
      </w:r>
      <w:r w:rsidRPr="00B12FE0">
        <w:rPr>
          <w:b/>
          <w:bCs/>
          <w:color w:val="000000" w:themeColor="text1"/>
          <w:szCs w:val="24"/>
        </w:rPr>
        <w:t>承诺</w:t>
      </w:r>
    </w:p>
    <w:p w14:paraId="26F41EAE" w14:textId="77777777" w:rsidR="00A67F21" w:rsidRPr="00B12FE0" w:rsidRDefault="00000000">
      <w:pPr>
        <w:spacing w:line="360" w:lineRule="auto"/>
        <w:ind w:firstLineChars="200" w:firstLine="480"/>
        <w:rPr>
          <w:bCs/>
          <w:color w:val="000000" w:themeColor="text1"/>
          <w:szCs w:val="24"/>
        </w:rPr>
      </w:pPr>
      <w:r w:rsidRPr="00B12FE0">
        <w:rPr>
          <w:bCs/>
          <w:color w:val="000000" w:themeColor="text1"/>
          <w:szCs w:val="24"/>
        </w:rPr>
        <w:lastRenderedPageBreak/>
        <w:t>（</w:t>
      </w:r>
      <w:r w:rsidRPr="00B12FE0">
        <w:rPr>
          <w:bCs/>
          <w:color w:val="000000" w:themeColor="text1"/>
          <w:szCs w:val="24"/>
        </w:rPr>
        <w:t>1</w:t>
      </w:r>
      <w:r w:rsidRPr="00B12FE0">
        <w:rPr>
          <w:bCs/>
          <w:color w:val="000000" w:themeColor="text1"/>
          <w:szCs w:val="24"/>
        </w:rPr>
        <w:t>）按照相关法律法规要求严格履行环评制度、环保验收制度、辐射安全许可制度，加强环保档案管理，由专人或兼职人员负责。</w:t>
      </w:r>
    </w:p>
    <w:p w14:paraId="7E49B47A" w14:textId="77777777" w:rsidR="00A67F21" w:rsidRPr="00B12FE0" w:rsidRDefault="00000000">
      <w:pPr>
        <w:spacing w:line="360" w:lineRule="auto"/>
        <w:ind w:firstLineChars="200" w:firstLine="480"/>
        <w:rPr>
          <w:bCs/>
          <w:color w:val="000000" w:themeColor="text1"/>
          <w:szCs w:val="24"/>
        </w:rPr>
      </w:pPr>
      <w:r w:rsidRPr="00B12FE0">
        <w:rPr>
          <w:bCs/>
          <w:color w:val="000000" w:themeColor="text1"/>
          <w:szCs w:val="24"/>
        </w:rPr>
        <w:t>（</w:t>
      </w:r>
      <w:r w:rsidRPr="00B12FE0">
        <w:rPr>
          <w:bCs/>
          <w:color w:val="000000" w:themeColor="text1"/>
          <w:szCs w:val="24"/>
        </w:rPr>
        <w:t>2</w:t>
      </w:r>
      <w:r w:rsidRPr="00B12FE0">
        <w:rPr>
          <w:bCs/>
          <w:color w:val="000000" w:themeColor="text1"/>
          <w:szCs w:val="24"/>
        </w:rPr>
        <w:t>）严格按照本报告的屏蔽防护设计方案、辐射安全措施、辐射安全设施及装置、三废治理装置及措施等辐射环保内容进行建设。</w:t>
      </w:r>
    </w:p>
    <w:p w14:paraId="6C9DA028" w14:textId="77777777" w:rsidR="00A67F21" w:rsidRPr="00B12FE0" w:rsidRDefault="00000000">
      <w:pPr>
        <w:spacing w:line="360" w:lineRule="auto"/>
        <w:ind w:firstLineChars="200" w:firstLine="480"/>
        <w:rPr>
          <w:bCs/>
          <w:color w:val="000000" w:themeColor="text1"/>
          <w:szCs w:val="24"/>
        </w:rPr>
      </w:pPr>
      <w:r w:rsidRPr="00B12FE0">
        <w:rPr>
          <w:bCs/>
          <w:color w:val="000000" w:themeColor="text1"/>
          <w:szCs w:val="24"/>
        </w:rPr>
        <w:t>（</w:t>
      </w:r>
      <w:r w:rsidRPr="00B12FE0">
        <w:rPr>
          <w:bCs/>
          <w:color w:val="000000" w:themeColor="text1"/>
          <w:szCs w:val="24"/>
        </w:rPr>
        <w:t>3</w:t>
      </w:r>
      <w:r w:rsidRPr="00B12FE0">
        <w:rPr>
          <w:bCs/>
          <w:color w:val="000000" w:themeColor="text1"/>
          <w:szCs w:val="24"/>
        </w:rPr>
        <w:t>）加强辐射工作人员的管理，监督人员防护用具的使用。严格按照本报告提出的要求进行辐射工作人员的培训、个人剂量监测、健康检查，并按要求建立保管辐射工作人员档案。</w:t>
      </w:r>
    </w:p>
    <w:p w14:paraId="761617D6" w14:textId="77777777" w:rsidR="00A67F21" w:rsidRPr="00B12FE0" w:rsidRDefault="00000000">
      <w:pPr>
        <w:spacing w:line="360" w:lineRule="auto"/>
        <w:ind w:firstLineChars="200" w:firstLine="480"/>
        <w:rPr>
          <w:bCs/>
          <w:color w:val="000000" w:themeColor="text1"/>
          <w:szCs w:val="24"/>
        </w:rPr>
      </w:pPr>
      <w:r w:rsidRPr="00B12FE0">
        <w:rPr>
          <w:bCs/>
          <w:color w:val="000000" w:themeColor="text1"/>
          <w:szCs w:val="24"/>
        </w:rPr>
        <w:t>（</w:t>
      </w:r>
      <w:r w:rsidRPr="00B12FE0">
        <w:rPr>
          <w:bCs/>
          <w:color w:val="000000" w:themeColor="text1"/>
          <w:szCs w:val="24"/>
        </w:rPr>
        <w:t>4</w:t>
      </w:r>
      <w:r w:rsidRPr="00B12FE0">
        <w:rPr>
          <w:bCs/>
          <w:color w:val="000000" w:themeColor="text1"/>
          <w:szCs w:val="24"/>
        </w:rPr>
        <w:t>）制定完善各项辐射安全管理制度和辐射事故应急预案，并监督执行各项制度。按照应急预案处理和上报辐射事故。</w:t>
      </w:r>
    </w:p>
    <w:p w14:paraId="489D6FF1" w14:textId="77777777" w:rsidR="00A67F21" w:rsidRPr="00B12FE0" w:rsidRDefault="00000000">
      <w:pPr>
        <w:spacing w:line="360" w:lineRule="auto"/>
        <w:ind w:firstLineChars="200" w:firstLine="480"/>
        <w:rPr>
          <w:bCs/>
          <w:color w:val="000000" w:themeColor="text1"/>
          <w:szCs w:val="24"/>
        </w:rPr>
      </w:pPr>
      <w:r w:rsidRPr="00B12FE0">
        <w:rPr>
          <w:bCs/>
          <w:color w:val="000000" w:themeColor="text1"/>
          <w:szCs w:val="24"/>
        </w:rPr>
        <w:t>（</w:t>
      </w:r>
      <w:r w:rsidRPr="00B12FE0">
        <w:rPr>
          <w:bCs/>
          <w:color w:val="000000" w:themeColor="text1"/>
          <w:szCs w:val="24"/>
        </w:rPr>
        <w:t>5</w:t>
      </w:r>
      <w:r w:rsidRPr="00B12FE0">
        <w:rPr>
          <w:bCs/>
          <w:color w:val="000000" w:themeColor="text1"/>
          <w:szCs w:val="24"/>
        </w:rPr>
        <w:t>）严格执行辐射监测计划，发现问题及时整改。</w:t>
      </w:r>
    </w:p>
    <w:p w14:paraId="5ADC4C7D" w14:textId="77777777" w:rsidR="00A67F21" w:rsidRPr="00B12FE0" w:rsidRDefault="00000000">
      <w:pPr>
        <w:adjustRightInd w:val="0"/>
        <w:snapToGrid w:val="0"/>
        <w:spacing w:line="360" w:lineRule="auto"/>
        <w:ind w:firstLine="480"/>
        <w:rPr>
          <w:color w:val="000000" w:themeColor="text1"/>
        </w:rPr>
      </w:pPr>
      <w:r w:rsidRPr="00B12FE0">
        <w:rPr>
          <w:bCs/>
          <w:color w:val="000000" w:themeColor="text1"/>
          <w:szCs w:val="24"/>
        </w:rPr>
        <w:t>（</w:t>
      </w:r>
      <w:r w:rsidRPr="00B12FE0">
        <w:rPr>
          <w:bCs/>
          <w:color w:val="000000" w:themeColor="text1"/>
          <w:szCs w:val="24"/>
        </w:rPr>
        <w:t>6</w:t>
      </w:r>
      <w:r w:rsidRPr="00B12FE0">
        <w:rPr>
          <w:bCs/>
          <w:color w:val="000000" w:themeColor="text1"/>
          <w:szCs w:val="24"/>
        </w:rPr>
        <w:t>）本</w:t>
      </w:r>
      <w:proofErr w:type="gramStart"/>
      <w:r w:rsidRPr="00B12FE0">
        <w:rPr>
          <w:bCs/>
          <w:color w:val="000000" w:themeColor="text1"/>
          <w:szCs w:val="24"/>
        </w:rPr>
        <w:t>项目环</w:t>
      </w:r>
      <w:proofErr w:type="gramEnd"/>
      <w:r w:rsidRPr="00B12FE0">
        <w:rPr>
          <w:bCs/>
          <w:color w:val="000000" w:themeColor="text1"/>
          <w:szCs w:val="24"/>
        </w:rPr>
        <w:t>评审批后，及时申领辐射安全许可证</w:t>
      </w:r>
      <w:r w:rsidRPr="00B12FE0">
        <w:rPr>
          <w:rFonts w:hint="eastAsia"/>
          <w:bCs/>
          <w:color w:val="000000" w:themeColor="text1"/>
          <w:szCs w:val="24"/>
        </w:rPr>
        <w:t>；</w:t>
      </w:r>
      <w:r w:rsidRPr="00B12FE0">
        <w:rPr>
          <w:color w:val="000000" w:themeColor="text1"/>
        </w:rPr>
        <w:t>项目竣工后，按照国家相关法律法规尽快</w:t>
      </w:r>
      <w:r w:rsidRPr="00B12FE0">
        <w:rPr>
          <w:rFonts w:hint="eastAsia"/>
          <w:color w:val="000000" w:themeColor="text1"/>
        </w:rPr>
        <w:t>自主组织</w:t>
      </w:r>
      <w:r w:rsidRPr="00B12FE0">
        <w:rPr>
          <w:color w:val="000000" w:themeColor="text1"/>
        </w:rPr>
        <w:t>竣工环保验收。</w:t>
      </w:r>
    </w:p>
    <w:p w14:paraId="506F2C61"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w:t>
      </w:r>
      <w:r w:rsidRPr="00B12FE0">
        <w:rPr>
          <w:color w:val="000000" w:themeColor="text1"/>
        </w:rPr>
        <w:t>7</w:t>
      </w:r>
      <w:r w:rsidRPr="00B12FE0">
        <w:rPr>
          <w:rFonts w:hint="eastAsia"/>
          <w:color w:val="000000" w:themeColor="text1"/>
        </w:rPr>
        <w:t>）在实施诊治之前，事先告知患者或被检查者辐射对健康的潜在影响。</w:t>
      </w:r>
    </w:p>
    <w:p w14:paraId="54065E54" w14:textId="77777777" w:rsidR="00A67F21" w:rsidRPr="00B12FE0" w:rsidRDefault="00000000">
      <w:pPr>
        <w:adjustRightInd w:val="0"/>
        <w:snapToGrid w:val="0"/>
        <w:spacing w:line="360" w:lineRule="auto"/>
        <w:ind w:firstLine="480"/>
        <w:rPr>
          <w:rFonts w:hAnsi="宋体" w:hint="eastAsia"/>
          <w:color w:val="000000" w:themeColor="text1"/>
        </w:rPr>
      </w:pPr>
      <w:r w:rsidRPr="00B12FE0">
        <w:rPr>
          <w:rFonts w:hint="eastAsia"/>
          <w:color w:val="000000" w:themeColor="text1"/>
        </w:rPr>
        <w:t>（</w:t>
      </w:r>
      <w:r w:rsidRPr="00B12FE0">
        <w:rPr>
          <w:color w:val="000000" w:themeColor="text1"/>
        </w:rPr>
        <w:t>8</w:t>
      </w:r>
      <w:r w:rsidRPr="00B12FE0">
        <w:rPr>
          <w:rFonts w:hint="eastAsia"/>
          <w:color w:val="000000" w:themeColor="text1"/>
        </w:rPr>
        <w:t>）</w:t>
      </w:r>
      <w:r w:rsidRPr="00B12FE0">
        <w:rPr>
          <w:rFonts w:hAnsi="宋体" w:hint="eastAsia"/>
          <w:color w:val="000000" w:themeColor="text1"/>
        </w:rPr>
        <w:t>按要求每年向发证机关提交本单位辐射安全和防护年度评估报告。</w:t>
      </w:r>
    </w:p>
    <w:p w14:paraId="135D953C" w14:textId="77777777" w:rsidR="00A67F21" w:rsidRPr="00B12FE0" w:rsidRDefault="00000000">
      <w:pPr>
        <w:adjustRightInd w:val="0"/>
        <w:snapToGrid w:val="0"/>
        <w:spacing w:line="360" w:lineRule="auto"/>
        <w:ind w:firstLine="480"/>
        <w:rPr>
          <w:color w:val="000000" w:themeColor="text1"/>
        </w:rPr>
      </w:pPr>
      <w:r w:rsidRPr="00B12FE0">
        <w:rPr>
          <w:rFonts w:hint="eastAsia"/>
          <w:color w:val="000000" w:themeColor="text1"/>
        </w:rPr>
        <w:t>（</w:t>
      </w:r>
      <w:r w:rsidRPr="00B12FE0">
        <w:rPr>
          <w:color w:val="000000" w:themeColor="text1"/>
        </w:rPr>
        <w:t>9</w:t>
      </w:r>
      <w:r w:rsidRPr="00B12FE0">
        <w:rPr>
          <w:rFonts w:hint="eastAsia"/>
          <w:color w:val="000000" w:themeColor="text1"/>
        </w:rPr>
        <w:t>）接受生态环境主管部门的监督检查。</w:t>
      </w:r>
    </w:p>
    <w:p w14:paraId="0832D4AD" w14:textId="77777777" w:rsidR="00A67F21" w:rsidRPr="00B12FE0" w:rsidRDefault="00A67F21">
      <w:pPr>
        <w:rPr>
          <w:color w:val="000000" w:themeColor="text1"/>
        </w:rPr>
      </w:pPr>
    </w:p>
    <w:p w14:paraId="211594F7" w14:textId="77777777" w:rsidR="00A67F21" w:rsidRPr="00B12FE0" w:rsidRDefault="00A67F21">
      <w:pPr>
        <w:outlineLvl w:val="0"/>
        <w:rPr>
          <w:b/>
          <w:color w:val="000000" w:themeColor="text1"/>
          <w:sz w:val="32"/>
          <w:szCs w:val="32"/>
        </w:rPr>
        <w:sectPr w:rsidR="00A67F21" w:rsidRPr="00B12FE0">
          <w:pgSz w:w="11907" w:h="16840"/>
          <w:pgMar w:top="1440" w:right="1440" w:bottom="1440" w:left="1440" w:header="851" w:footer="851" w:gutter="0"/>
          <w:pgBorders w:display="notFirstPage">
            <w:top w:val="single" w:sz="4" w:space="1" w:color="auto"/>
            <w:left w:val="single" w:sz="4" w:space="4" w:color="auto"/>
            <w:bottom w:val="single" w:sz="4" w:space="1" w:color="auto"/>
            <w:right w:val="single" w:sz="4" w:space="4" w:color="auto"/>
          </w:pgBorders>
          <w:cols w:space="720"/>
          <w:docGrid w:linePitch="332"/>
        </w:sectPr>
      </w:pPr>
    </w:p>
    <w:p w14:paraId="54009056" w14:textId="77777777" w:rsidR="00A67F21" w:rsidRPr="00B12FE0" w:rsidRDefault="00000000">
      <w:pPr>
        <w:spacing w:line="360" w:lineRule="auto"/>
        <w:outlineLvl w:val="0"/>
        <w:rPr>
          <w:b/>
          <w:color w:val="000000" w:themeColor="text1"/>
          <w:sz w:val="32"/>
          <w:szCs w:val="32"/>
        </w:rPr>
      </w:pPr>
      <w:bookmarkStart w:id="26" w:name="_Toc3418"/>
      <w:r w:rsidRPr="00B12FE0">
        <w:rPr>
          <w:b/>
          <w:color w:val="000000" w:themeColor="text1"/>
          <w:sz w:val="32"/>
          <w:szCs w:val="32"/>
        </w:rPr>
        <w:lastRenderedPageBreak/>
        <w:t>表</w:t>
      </w:r>
      <w:r w:rsidRPr="00B12FE0">
        <w:rPr>
          <w:b/>
          <w:color w:val="000000" w:themeColor="text1"/>
          <w:sz w:val="32"/>
          <w:szCs w:val="32"/>
        </w:rPr>
        <w:t xml:space="preserve">14 </w:t>
      </w:r>
      <w:r w:rsidRPr="00B12FE0">
        <w:rPr>
          <w:b/>
          <w:color w:val="000000" w:themeColor="text1"/>
          <w:sz w:val="32"/>
          <w:szCs w:val="32"/>
        </w:rPr>
        <w:t>审批</w:t>
      </w:r>
      <w:bookmarkEnd w:id="26"/>
    </w:p>
    <w:tbl>
      <w:tblPr>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5"/>
      </w:tblGrid>
      <w:tr w:rsidR="00A67F21" w:rsidRPr="00B12FE0" w14:paraId="5796ADAA" w14:textId="77777777">
        <w:trPr>
          <w:cantSplit/>
          <w:tblHeader/>
          <w:jc w:val="center"/>
        </w:trPr>
        <w:tc>
          <w:tcPr>
            <w:tcW w:w="9242" w:type="dxa"/>
          </w:tcPr>
          <w:p w14:paraId="34AE0D75" w14:textId="77777777" w:rsidR="00A67F21" w:rsidRPr="00B12FE0" w:rsidRDefault="00000000">
            <w:pPr>
              <w:pStyle w:val="afb"/>
              <w:spacing w:beforeLines="50" w:before="120" w:after="0" w:line="360" w:lineRule="auto"/>
              <w:rPr>
                <w:color w:val="000000" w:themeColor="text1"/>
                <w:kern w:val="2"/>
                <w:szCs w:val="24"/>
              </w:rPr>
            </w:pPr>
            <w:r w:rsidRPr="00B12FE0">
              <w:rPr>
                <w:color w:val="000000" w:themeColor="text1"/>
                <w:kern w:val="2"/>
                <w:szCs w:val="24"/>
              </w:rPr>
              <w:t>下一级生态环境部门预审意见：</w:t>
            </w:r>
          </w:p>
          <w:p w14:paraId="14470FA8" w14:textId="77777777" w:rsidR="00A67F21" w:rsidRPr="00B12FE0" w:rsidRDefault="00A67F21">
            <w:pPr>
              <w:pStyle w:val="afb"/>
              <w:spacing w:line="360" w:lineRule="auto"/>
              <w:rPr>
                <w:color w:val="000000" w:themeColor="text1"/>
                <w:kern w:val="2"/>
                <w:sz w:val="20"/>
              </w:rPr>
            </w:pPr>
          </w:p>
          <w:p w14:paraId="053064D2" w14:textId="77777777" w:rsidR="00A67F21" w:rsidRPr="00B12FE0" w:rsidRDefault="00A67F21">
            <w:pPr>
              <w:pStyle w:val="afb"/>
              <w:spacing w:line="360" w:lineRule="auto"/>
              <w:rPr>
                <w:color w:val="000000" w:themeColor="text1"/>
                <w:kern w:val="2"/>
                <w:sz w:val="20"/>
              </w:rPr>
            </w:pPr>
          </w:p>
          <w:p w14:paraId="2C987607" w14:textId="77777777" w:rsidR="00A67F21" w:rsidRPr="00B12FE0" w:rsidRDefault="00A67F21">
            <w:pPr>
              <w:pStyle w:val="afb"/>
              <w:spacing w:line="360" w:lineRule="auto"/>
              <w:rPr>
                <w:color w:val="000000" w:themeColor="text1"/>
                <w:kern w:val="2"/>
                <w:sz w:val="20"/>
              </w:rPr>
            </w:pPr>
          </w:p>
          <w:p w14:paraId="6FF4A4AF" w14:textId="77777777" w:rsidR="00A67F21" w:rsidRPr="00B12FE0" w:rsidRDefault="00A67F21">
            <w:pPr>
              <w:pStyle w:val="afb"/>
              <w:spacing w:line="360" w:lineRule="auto"/>
              <w:rPr>
                <w:color w:val="000000" w:themeColor="text1"/>
                <w:kern w:val="2"/>
                <w:sz w:val="20"/>
              </w:rPr>
            </w:pPr>
          </w:p>
          <w:p w14:paraId="175ECBFB" w14:textId="77777777" w:rsidR="00A67F21" w:rsidRPr="00B12FE0" w:rsidRDefault="00A67F21">
            <w:pPr>
              <w:pStyle w:val="afb"/>
              <w:spacing w:line="360" w:lineRule="auto"/>
              <w:rPr>
                <w:color w:val="000000" w:themeColor="text1"/>
                <w:kern w:val="2"/>
                <w:sz w:val="20"/>
              </w:rPr>
            </w:pPr>
          </w:p>
          <w:p w14:paraId="2AC42025" w14:textId="77777777" w:rsidR="00A67F21" w:rsidRPr="00B12FE0" w:rsidRDefault="00A67F21">
            <w:pPr>
              <w:pStyle w:val="afb"/>
              <w:spacing w:line="360" w:lineRule="auto"/>
              <w:rPr>
                <w:color w:val="000000" w:themeColor="text1"/>
                <w:kern w:val="2"/>
                <w:sz w:val="20"/>
              </w:rPr>
            </w:pPr>
          </w:p>
          <w:p w14:paraId="4111FB9D" w14:textId="77777777" w:rsidR="00A67F21" w:rsidRPr="00B12FE0" w:rsidRDefault="00A67F21">
            <w:pPr>
              <w:pStyle w:val="afb"/>
              <w:spacing w:line="360" w:lineRule="auto"/>
              <w:rPr>
                <w:color w:val="000000" w:themeColor="text1"/>
                <w:kern w:val="2"/>
                <w:sz w:val="20"/>
              </w:rPr>
            </w:pPr>
          </w:p>
          <w:p w14:paraId="69EE9D82" w14:textId="77777777" w:rsidR="00A67F21" w:rsidRPr="00B12FE0" w:rsidRDefault="00A67F21">
            <w:pPr>
              <w:pStyle w:val="afb"/>
              <w:spacing w:line="360" w:lineRule="auto"/>
              <w:rPr>
                <w:color w:val="000000" w:themeColor="text1"/>
                <w:kern w:val="2"/>
                <w:sz w:val="20"/>
              </w:rPr>
            </w:pPr>
          </w:p>
          <w:p w14:paraId="021D7E83" w14:textId="77777777" w:rsidR="00A67F21" w:rsidRPr="00B12FE0" w:rsidRDefault="00A67F21">
            <w:pPr>
              <w:pStyle w:val="afb"/>
              <w:spacing w:line="360" w:lineRule="auto"/>
              <w:rPr>
                <w:color w:val="000000" w:themeColor="text1"/>
                <w:kern w:val="2"/>
                <w:sz w:val="20"/>
              </w:rPr>
            </w:pPr>
          </w:p>
          <w:p w14:paraId="408B2BDA" w14:textId="77777777" w:rsidR="00A67F21" w:rsidRPr="00B12FE0" w:rsidRDefault="00A67F21">
            <w:pPr>
              <w:pStyle w:val="afb"/>
              <w:spacing w:before="6" w:line="360" w:lineRule="auto"/>
              <w:rPr>
                <w:color w:val="000000" w:themeColor="text1"/>
                <w:kern w:val="2"/>
                <w:sz w:val="17"/>
                <w:szCs w:val="17"/>
              </w:rPr>
            </w:pPr>
          </w:p>
          <w:p w14:paraId="361E0FE2" w14:textId="77777777" w:rsidR="00A67F21" w:rsidRPr="00B12FE0" w:rsidRDefault="00000000">
            <w:pPr>
              <w:spacing w:beforeLines="50" w:before="120" w:afterLines="50" w:after="120"/>
              <w:ind w:firstLineChars="2317" w:firstLine="5561"/>
              <w:rPr>
                <w:color w:val="000000" w:themeColor="text1"/>
              </w:rPr>
            </w:pPr>
            <w:r w:rsidRPr="00B12FE0">
              <w:rPr>
                <w:color w:val="000000" w:themeColor="text1"/>
              </w:rPr>
              <w:t>经办人：</w:t>
            </w:r>
            <w:r w:rsidRPr="00B12FE0">
              <w:rPr>
                <w:color w:val="000000" w:themeColor="text1"/>
              </w:rPr>
              <w:t xml:space="preserve">        </w:t>
            </w:r>
            <w:r w:rsidRPr="00B12FE0">
              <w:rPr>
                <w:color w:val="000000" w:themeColor="text1"/>
              </w:rPr>
              <w:t>公章</w:t>
            </w:r>
          </w:p>
          <w:p w14:paraId="3A5418BC" w14:textId="77777777" w:rsidR="00A67F21" w:rsidRPr="00B12FE0" w:rsidRDefault="00A67F21">
            <w:pPr>
              <w:spacing w:beforeLines="50" w:before="120" w:afterLines="50" w:after="120"/>
              <w:ind w:firstLineChars="2500" w:firstLine="6000"/>
              <w:rPr>
                <w:color w:val="000000" w:themeColor="text1"/>
              </w:rPr>
            </w:pPr>
          </w:p>
          <w:p w14:paraId="4745B0A6" w14:textId="77777777" w:rsidR="00A67F21" w:rsidRPr="00B12FE0" w:rsidRDefault="00000000">
            <w:pPr>
              <w:pStyle w:val="afb"/>
              <w:tabs>
                <w:tab w:val="left" w:pos="6115"/>
                <w:tab w:val="left" w:pos="6168"/>
                <w:tab w:val="left" w:pos="6198"/>
              </w:tabs>
              <w:spacing w:line="360" w:lineRule="auto"/>
              <w:ind w:left="319" w:firstLineChars="2400" w:firstLine="5760"/>
              <w:rPr>
                <w:color w:val="000000" w:themeColor="text1"/>
                <w:kern w:val="2"/>
                <w:sz w:val="32"/>
                <w:szCs w:val="32"/>
              </w:rPr>
            </w:pPr>
            <w:r w:rsidRPr="00B12FE0">
              <w:rPr>
                <w:color w:val="000000" w:themeColor="text1"/>
              </w:rPr>
              <w:t>年</w:t>
            </w:r>
            <w:r w:rsidRPr="00B12FE0">
              <w:rPr>
                <w:color w:val="000000" w:themeColor="text1"/>
              </w:rPr>
              <w:t xml:space="preserve">    </w:t>
            </w:r>
            <w:r w:rsidRPr="00B12FE0">
              <w:rPr>
                <w:color w:val="000000" w:themeColor="text1"/>
              </w:rPr>
              <w:t>月</w:t>
            </w:r>
            <w:r w:rsidRPr="00B12FE0">
              <w:rPr>
                <w:color w:val="000000" w:themeColor="text1"/>
              </w:rPr>
              <w:t xml:space="preserve">    </w:t>
            </w:r>
            <w:r w:rsidRPr="00B12FE0">
              <w:rPr>
                <w:color w:val="000000" w:themeColor="text1"/>
              </w:rPr>
              <w:t>日</w:t>
            </w:r>
          </w:p>
        </w:tc>
      </w:tr>
      <w:tr w:rsidR="00A67F21" w:rsidRPr="00B12FE0" w14:paraId="68DE72E7" w14:textId="77777777">
        <w:trPr>
          <w:cantSplit/>
          <w:tblHeader/>
          <w:jc w:val="center"/>
        </w:trPr>
        <w:tc>
          <w:tcPr>
            <w:tcW w:w="9242" w:type="dxa"/>
          </w:tcPr>
          <w:p w14:paraId="4A913909" w14:textId="77777777" w:rsidR="00A67F21" w:rsidRPr="00B12FE0" w:rsidRDefault="00000000">
            <w:pPr>
              <w:spacing w:beforeLines="50" w:before="120"/>
              <w:rPr>
                <w:bCs/>
                <w:color w:val="000000" w:themeColor="text1"/>
                <w:szCs w:val="24"/>
              </w:rPr>
            </w:pPr>
            <w:r w:rsidRPr="00B12FE0">
              <w:rPr>
                <w:bCs/>
                <w:color w:val="000000" w:themeColor="text1"/>
                <w:szCs w:val="24"/>
              </w:rPr>
              <w:t>审批意见：</w:t>
            </w:r>
          </w:p>
          <w:p w14:paraId="4045E5C9" w14:textId="77777777" w:rsidR="00A67F21" w:rsidRPr="00B12FE0" w:rsidRDefault="00A67F21">
            <w:pPr>
              <w:rPr>
                <w:color w:val="000000" w:themeColor="text1"/>
              </w:rPr>
            </w:pPr>
          </w:p>
          <w:p w14:paraId="548D2FDA" w14:textId="77777777" w:rsidR="00A67F21" w:rsidRPr="00B12FE0" w:rsidRDefault="00A67F21">
            <w:pPr>
              <w:rPr>
                <w:color w:val="000000" w:themeColor="text1"/>
              </w:rPr>
            </w:pPr>
          </w:p>
          <w:p w14:paraId="4771A43F" w14:textId="77777777" w:rsidR="00A67F21" w:rsidRPr="00B12FE0" w:rsidRDefault="00A67F21">
            <w:pPr>
              <w:rPr>
                <w:color w:val="000000" w:themeColor="text1"/>
              </w:rPr>
            </w:pPr>
          </w:p>
          <w:p w14:paraId="6DB6EDDC" w14:textId="77777777" w:rsidR="00A67F21" w:rsidRPr="00B12FE0" w:rsidRDefault="00A67F21">
            <w:pPr>
              <w:rPr>
                <w:color w:val="000000" w:themeColor="text1"/>
              </w:rPr>
            </w:pPr>
          </w:p>
          <w:p w14:paraId="1DCFFD1F" w14:textId="77777777" w:rsidR="00A67F21" w:rsidRPr="00B12FE0" w:rsidRDefault="00A67F21">
            <w:pPr>
              <w:rPr>
                <w:color w:val="000000" w:themeColor="text1"/>
              </w:rPr>
            </w:pPr>
          </w:p>
          <w:p w14:paraId="4F2E4CD4" w14:textId="77777777" w:rsidR="00A67F21" w:rsidRPr="00B12FE0" w:rsidRDefault="00A67F21">
            <w:pPr>
              <w:rPr>
                <w:color w:val="000000" w:themeColor="text1"/>
              </w:rPr>
            </w:pPr>
          </w:p>
          <w:p w14:paraId="3E462E31" w14:textId="77777777" w:rsidR="00A67F21" w:rsidRPr="00B12FE0" w:rsidRDefault="00A67F21">
            <w:pPr>
              <w:rPr>
                <w:color w:val="000000" w:themeColor="text1"/>
              </w:rPr>
            </w:pPr>
          </w:p>
          <w:p w14:paraId="2566EB17" w14:textId="77777777" w:rsidR="00A67F21" w:rsidRPr="00B12FE0" w:rsidRDefault="00A67F21">
            <w:pPr>
              <w:rPr>
                <w:color w:val="000000" w:themeColor="text1"/>
              </w:rPr>
            </w:pPr>
          </w:p>
          <w:p w14:paraId="78558A4C" w14:textId="77777777" w:rsidR="00A67F21" w:rsidRPr="00B12FE0" w:rsidRDefault="00A67F21">
            <w:pPr>
              <w:rPr>
                <w:color w:val="000000" w:themeColor="text1"/>
              </w:rPr>
            </w:pPr>
          </w:p>
          <w:p w14:paraId="04A7879D" w14:textId="77777777" w:rsidR="00A67F21" w:rsidRPr="00B12FE0" w:rsidRDefault="00A67F21">
            <w:pPr>
              <w:rPr>
                <w:color w:val="000000" w:themeColor="text1"/>
              </w:rPr>
            </w:pPr>
          </w:p>
          <w:p w14:paraId="2A0A4B35" w14:textId="77777777" w:rsidR="00A67F21" w:rsidRPr="00B12FE0" w:rsidRDefault="00A67F21">
            <w:pPr>
              <w:rPr>
                <w:color w:val="000000" w:themeColor="text1"/>
              </w:rPr>
            </w:pPr>
          </w:p>
          <w:p w14:paraId="67F3FA6E" w14:textId="77777777" w:rsidR="00A67F21" w:rsidRPr="00B12FE0" w:rsidRDefault="00A67F21">
            <w:pPr>
              <w:rPr>
                <w:color w:val="000000" w:themeColor="text1"/>
              </w:rPr>
            </w:pPr>
          </w:p>
          <w:p w14:paraId="15DB476C" w14:textId="77777777" w:rsidR="00A67F21" w:rsidRPr="00B12FE0" w:rsidRDefault="00A67F21">
            <w:pPr>
              <w:rPr>
                <w:color w:val="000000" w:themeColor="text1"/>
              </w:rPr>
            </w:pPr>
          </w:p>
          <w:p w14:paraId="184FBE92" w14:textId="77777777" w:rsidR="00A67F21" w:rsidRPr="00B12FE0" w:rsidRDefault="00A67F21">
            <w:pPr>
              <w:rPr>
                <w:color w:val="000000" w:themeColor="text1"/>
              </w:rPr>
            </w:pPr>
          </w:p>
          <w:p w14:paraId="464EB3B1" w14:textId="77777777" w:rsidR="00A67F21" w:rsidRPr="00B12FE0" w:rsidRDefault="00A67F21">
            <w:pPr>
              <w:rPr>
                <w:color w:val="000000" w:themeColor="text1"/>
              </w:rPr>
            </w:pPr>
          </w:p>
          <w:p w14:paraId="5450602C" w14:textId="77777777" w:rsidR="00A67F21" w:rsidRPr="00B12FE0" w:rsidRDefault="00A67F21">
            <w:pPr>
              <w:rPr>
                <w:color w:val="000000" w:themeColor="text1"/>
              </w:rPr>
            </w:pPr>
          </w:p>
          <w:p w14:paraId="2A864DC7" w14:textId="77777777" w:rsidR="00A67F21" w:rsidRPr="00B12FE0" w:rsidRDefault="00A67F21">
            <w:pPr>
              <w:rPr>
                <w:color w:val="000000" w:themeColor="text1"/>
              </w:rPr>
            </w:pPr>
          </w:p>
          <w:p w14:paraId="7D62A44E" w14:textId="77777777" w:rsidR="00A67F21" w:rsidRPr="00B12FE0" w:rsidRDefault="00000000">
            <w:pPr>
              <w:spacing w:beforeLines="50" w:before="120" w:afterLines="50" w:after="120"/>
              <w:ind w:firstLineChars="2317" w:firstLine="5561"/>
              <w:rPr>
                <w:color w:val="000000" w:themeColor="text1"/>
              </w:rPr>
            </w:pPr>
            <w:r w:rsidRPr="00B12FE0">
              <w:rPr>
                <w:color w:val="000000" w:themeColor="text1"/>
              </w:rPr>
              <w:t>经办人：</w:t>
            </w:r>
            <w:r w:rsidRPr="00B12FE0">
              <w:rPr>
                <w:color w:val="000000" w:themeColor="text1"/>
              </w:rPr>
              <w:t xml:space="preserve">        </w:t>
            </w:r>
            <w:r w:rsidRPr="00B12FE0">
              <w:rPr>
                <w:color w:val="000000" w:themeColor="text1"/>
              </w:rPr>
              <w:t>公章</w:t>
            </w:r>
          </w:p>
          <w:p w14:paraId="4C463C72" w14:textId="77777777" w:rsidR="00A67F21" w:rsidRPr="00B12FE0" w:rsidRDefault="00A67F21">
            <w:pPr>
              <w:spacing w:beforeLines="50" w:before="120" w:afterLines="50" w:after="120"/>
              <w:ind w:firstLineChars="2500" w:firstLine="6000"/>
              <w:rPr>
                <w:color w:val="000000" w:themeColor="text1"/>
              </w:rPr>
            </w:pPr>
          </w:p>
          <w:p w14:paraId="3D89C1D9" w14:textId="77777777" w:rsidR="00A67F21" w:rsidRPr="00B12FE0" w:rsidRDefault="00000000">
            <w:pPr>
              <w:pStyle w:val="afb"/>
              <w:tabs>
                <w:tab w:val="left" w:pos="4745"/>
                <w:tab w:val="left" w:pos="5378"/>
                <w:tab w:val="left" w:pos="6011"/>
              </w:tabs>
              <w:spacing w:line="360" w:lineRule="auto"/>
              <w:ind w:left="319" w:firstLineChars="2400" w:firstLine="5760"/>
              <w:rPr>
                <w:color w:val="000000" w:themeColor="text1"/>
                <w:kern w:val="2"/>
                <w:sz w:val="32"/>
                <w:szCs w:val="32"/>
              </w:rPr>
            </w:pPr>
            <w:r w:rsidRPr="00B12FE0">
              <w:rPr>
                <w:color w:val="000000" w:themeColor="text1"/>
              </w:rPr>
              <w:t>年</w:t>
            </w:r>
            <w:r w:rsidRPr="00B12FE0">
              <w:rPr>
                <w:color w:val="000000" w:themeColor="text1"/>
              </w:rPr>
              <w:t xml:space="preserve">    </w:t>
            </w:r>
            <w:r w:rsidRPr="00B12FE0">
              <w:rPr>
                <w:color w:val="000000" w:themeColor="text1"/>
              </w:rPr>
              <w:t>月</w:t>
            </w:r>
            <w:r w:rsidRPr="00B12FE0">
              <w:rPr>
                <w:color w:val="000000" w:themeColor="text1"/>
              </w:rPr>
              <w:t xml:space="preserve">    </w:t>
            </w:r>
            <w:r w:rsidRPr="00B12FE0">
              <w:rPr>
                <w:color w:val="000000" w:themeColor="text1"/>
              </w:rPr>
              <w:t>日</w:t>
            </w:r>
          </w:p>
        </w:tc>
      </w:tr>
    </w:tbl>
    <w:p w14:paraId="38EAF64A" w14:textId="77777777" w:rsidR="00A67F21" w:rsidRPr="00B12FE0" w:rsidRDefault="00A67F21">
      <w:pPr>
        <w:tabs>
          <w:tab w:val="left" w:pos="4695"/>
        </w:tabs>
        <w:spacing w:line="360" w:lineRule="auto"/>
        <w:rPr>
          <w:b/>
          <w:color w:val="000000" w:themeColor="text1"/>
          <w:szCs w:val="24"/>
        </w:rPr>
        <w:sectPr w:rsidR="00A67F21" w:rsidRPr="00B12FE0">
          <w:footerReference w:type="default" r:id="rId104"/>
          <w:pgSz w:w="11907" w:h="16840"/>
          <w:pgMar w:top="1440" w:right="1440" w:bottom="1440" w:left="1440" w:header="851" w:footer="850" w:gutter="0"/>
          <w:cols w:space="720"/>
          <w:docGrid w:linePitch="332"/>
        </w:sectPr>
      </w:pPr>
    </w:p>
    <w:p w14:paraId="676AEA8E" w14:textId="77777777" w:rsidR="00A67F21" w:rsidRDefault="00A67F21">
      <w:pPr>
        <w:pStyle w:val="21"/>
        <w:adjustRightInd w:val="0"/>
        <w:snapToGrid w:val="0"/>
        <w:spacing w:after="0"/>
        <w:ind w:leftChars="0" w:left="0" w:firstLineChars="0" w:firstLine="0"/>
        <w:rPr>
          <w:b/>
          <w:bCs/>
          <w:color w:val="000000" w:themeColor="text1"/>
        </w:rPr>
      </w:pPr>
    </w:p>
    <w:sectPr w:rsidR="00A67F21">
      <w:headerReference w:type="default" r:id="rId105"/>
      <w:pgSz w:w="11907" w:h="16840"/>
      <w:pgMar w:top="964" w:right="964" w:bottom="964" w:left="964" w:header="851" w:footer="850" w:gutter="0"/>
      <w:cols w:space="720"/>
      <w:docGrid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FA0D1" w14:textId="77777777" w:rsidR="0077115B" w:rsidRDefault="0077115B">
      <w:r>
        <w:separator/>
      </w:r>
    </w:p>
  </w:endnote>
  <w:endnote w:type="continuationSeparator" w:id="0">
    <w:p w14:paraId="617B2C66" w14:textId="77777777" w:rsidR="0077115B" w:rsidRDefault="00771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TimesNewRomanPSMT">
    <w:altName w:val="宋体"/>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1E381" w14:textId="77777777" w:rsidR="00A67F21" w:rsidRDefault="00A67F21">
    <w:pPr>
      <w:pStyle w:val="aff7"/>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78C2" w14:textId="77777777" w:rsidR="00A67F21" w:rsidRDefault="00000000">
    <w:pPr>
      <w:pStyle w:val="aff7"/>
      <w:spacing w:before="120" w:after="120"/>
      <w:ind w:firstLine="360"/>
    </w:pPr>
    <w:r>
      <w:rPr>
        <w:noProof/>
      </w:rPr>
      <mc:AlternateContent>
        <mc:Choice Requires="wps">
          <w:drawing>
            <wp:anchor distT="0" distB="0" distL="114300" distR="114300" simplePos="0" relativeHeight="251661312" behindDoc="0" locked="0" layoutInCell="1" allowOverlap="1" wp14:anchorId="0FC390C4" wp14:editId="5C956740">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B75C1" w14:textId="77777777" w:rsidR="00A67F21" w:rsidRDefault="00000000">
                          <w:pPr>
                            <w:pStyle w:val="aff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C390C4" id="_x0000_t202" coordsize="21600,21600" o:spt="202" path="m,l,21600r21600,l21600,xe">
              <v:stroke joinstyle="miter"/>
              <v:path gradientshapeok="t" o:connecttype="rect"/>
            </v:shapetype>
            <v:shape id="文本框 3" o:spid="_x0000_s109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E5B75C1" w14:textId="77777777" w:rsidR="00A67F21" w:rsidRDefault="00000000">
                    <w:pPr>
                      <w:pStyle w:val="aff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E61B" w14:textId="77777777" w:rsidR="00A67F21" w:rsidRDefault="00000000">
    <w:pPr>
      <w:pStyle w:val="aff7"/>
      <w:spacing w:before="120" w:after="120"/>
      <w:ind w:firstLine="420"/>
      <w:jc w:val="center"/>
    </w:pPr>
    <w:r>
      <w:rPr>
        <w:noProof/>
      </w:rPr>
      <mc:AlternateContent>
        <mc:Choice Requires="wps">
          <w:drawing>
            <wp:anchor distT="0" distB="0" distL="114300" distR="114300" simplePos="0" relativeHeight="251662336" behindDoc="0" locked="0" layoutInCell="1" allowOverlap="1" wp14:anchorId="6AA6D6FE" wp14:editId="1D92B8D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D0522" w14:textId="77777777" w:rsidR="00A67F21" w:rsidRDefault="00000000">
                          <w:pPr>
                            <w:pStyle w:val="aff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A6D6FE" id="_x0000_t202" coordsize="21600,21600" o:spt="202" path="m,l,21600r21600,l21600,xe">
              <v:stroke joinstyle="miter"/>
              <v:path gradientshapeok="t" o:connecttype="rect"/>
            </v:shapetype>
            <v:shape id="文本框 4" o:spid="_x0000_s1092"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0FD0522" w14:textId="77777777" w:rsidR="00A67F21" w:rsidRDefault="00000000">
                    <w:pPr>
                      <w:pStyle w:val="aff7"/>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053360FF" w14:textId="77777777" w:rsidR="00A67F21" w:rsidRDefault="00A67F21">
    <w:pPr>
      <w:pStyle w:val="aff7"/>
      <w:spacing w:before="120" w:after="12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099502"/>
      <w:docPartObj>
        <w:docPartGallery w:val="AutoText"/>
      </w:docPartObj>
    </w:sdtPr>
    <w:sdtContent>
      <w:p w14:paraId="2BF8E970" w14:textId="77777777" w:rsidR="00A67F21" w:rsidRDefault="00000000">
        <w:pPr>
          <w:pStyle w:val="aff7"/>
          <w:ind w:left="480"/>
          <w:jc w:val="center"/>
        </w:pPr>
        <w:r>
          <w:fldChar w:fldCharType="begin"/>
        </w:r>
        <w:r>
          <w:instrText>PAGE   \* MERGEFORMAT</w:instrText>
        </w:r>
        <w:r>
          <w:fldChar w:fldCharType="separate"/>
        </w:r>
        <w:r>
          <w:rPr>
            <w:lang w:val="zh-CN"/>
          </w:rPr>
          <w:t>2</w:t>
        </w:r>
        <w:r>
          <w:fldChar w:fldCharType="end"/>
        </w:r>
      </w:p>
    </w:sdtContent>
  </w:sdt>
  <w:p w14:paraId="07202B5B" w14:textId="77777777" w:rsidR="00A67F21" w:rsidRDefault="00A67F21">
    <w:pPr>
      <w:pStyle w:val="aff7"/>
      <w:spacing w:before="120" w:after="12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D9FB" w14:textId="77777777" w:rsidR="00A67F21" w:rsidRDefault="00000000">
    <w:pPr>
      <w:pStyle w:val="aff7"/>
    </w:pPr>
    <w:r>
      <w:rPr>
        <w:noProof/>
      </w:rPr>
      <mc:AlternateContent>
        <mc:Choice Requires="wps">
          <w:drawing>
            <wp:anchor distT="0" distB="0" distL="114300" distR="114300" simplePos="0" relativeHeight="251663360" behindDoc="0" locked="0" layoutInCell="1" allowOverlap="1" wp14:anchorId="20C9355F" wp14:editId="62113242">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FCDB8" w14:textId="77777777" w:rsidR="00A67F21" w:rsidRDefault="00000000">
                          <w:pPr>
                            <w:pStyle w:val="aff7"/>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C9355F" id="_x0000_t202" coordsize="21600,21600" o:spt="202" path="m,l,21600r21600,l21600,xe">
              <v:stroke joinstyle="miter"/>
              <v:path gradientshapeok="t" o:connecttype="rect"/>
            </v:shapetype>
            <v:shape id="文本框 120" o:spid="_x0000_s1093"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A7FCDB8" w14:textId="77777777" w:rsidR="00A67F21" w:rsidRDefault="00000000">
                    <w:pPr>
                      <w:pStyle w:val="aff7"/>
                    </w:pPr>
                    <w:r>
                      <w:fldChar w:fldCharType="begin"/>
                    </w:r>
                    <w:r>
                      <w:instrText xml:space="preserve"> PAGE  \* MERGEFORMAT </w:instrText>
                    </w:r>
                    <w:r>
                      <w:fldChar w:fldCharType="separate"/>
                    </w:r>
                    <w:r>
                      <w:t>188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0D30C" w14:textId="77777777" w:rsidR="0077115B" w:rsidRDefault="0077115B">
      <w:r>
        <w:separator/>
      </w:r>
    </w:p>
  </w:footnote>
  <w:footnote w:type="continuationSeparator" w:id="0">
    <w:p w14:paraId="2C6D15E3" w14:textId="77777777" w:rsidR="0077115B" w:rsidRDefault="00771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C3BE" w14:textId="77777777" w:rsidR="00A67F21" w:rsidRDefault="00A67F21">
    <w:pPr>
      <w:pStyle w:val="aff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A10F" w14:textId="77777777" w:rsidR="00A67F21" w:rsidRDefault="00A67F21">
    <w:pPr>
      <w:pStyle w:val="aff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DFC6" w14:textId="77777777" w:rsidR="00A67F21" w:rsidRDefault="00A67F21">
    <w:pPr>
      <w:pStyle w:val="affa"/>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9F79" w14:textId="77777777" w:rsidR="00A67F21" w:rsidRDefault="00A67F21">
    <w:pPr>
      <w:pStyle w:val="affa"/>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920B" w14:textId="77777777" w:rsidR="00A67F21" w:rsidRDefault="00A67F21">
    <w:pPr>
      <w:pStyle w:val="aff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9DB9B8"/>
    <w:multiLevelType w:val="singleLevel"/>
    <w:tmpl w:val="C29DB9B8"/>
    <w:lvl w:ilvl="0">
      <w:start w:val="2"/>
      <w:numFmt w:val="decimal"/>
      <w:suff w:val="nothing"/>
      <w:lvlText w:val="（%1）"/>
      <w:lvlJc w:val="left"/>
    </w:lvl>
  </w:abstractNum>
  <w:abstractNum w:abstractNumId="1" w15:restartNumberingAfterBreak="0">
    <w:nsid w:val="CE184737"/>
    <w:multiLevelType w:val="singleLevel"/>
    <w:tmpl w:val="CE184737"/>
    <w:lvl w:ilvl="0">
      <w:start w:val="1"/>
      <w:numFmt w:val="lowerLetter"/>
      <w:suff w:val="nothing"/>
      <w:lvlText w:val="%1）"/>
      <w:lvlJc w:val="left"/>
    </w:lvl>
  </w:abstractNum>
  <w:abstractNum w:abstractNumId="2"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3"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4"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5"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6"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1"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2" w15:restartNumberingAfterBreak="0">
    <w:nsid w:val="6AB8622E"/>
    <w:multiLevelType w:val="multilevel"/>
    <w:tmpl w:val="6AB8622E"/>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690381426">
    <w:abstractNumId w:val="5"/>
  </w:num>
  <w:num w:numId="2" w16cid:durableId="1215654873">
    <w:abstractNumId w:val="7"/>
  </w:num>
  <w:num w:numId="3" w16cid:durableId="137698462">
    <w:abstractNumId w:val="10"/>
  </w:num>
  <w:num w:numId="4" w16cid:durableId="89543329">
    <w:abstractNumId w:val="11"/>
  </w:num>
  <w:num w:numId="5" w16cid:durableId="2073573884">
    <w:abstractNumId w:val="8"/>
  </w:num>
  <w:num w:numId="6" w16cid:durableId="873225447">
    <w:abstractNumId w:val="4"/>
  </w:num>
  <w:num w:numId="7" w16cid:durableId="1053309692">
    <w:abstractNumId w:val="9"/>
  </w:num>
  <w:num w:numId="8" w16cid:durableId="1952206902">
    <w:abstractNumId w:val="6"/>
  </w:num>
  <w:num w:numId="9" w16cid:durableId="47120465">
    <w:abstractNumId w:val="3"/>
  </w:num>
  <w:num w:numId="10" w16cid:durableId="901252785">
    <w:abstractNumId w:val="2"/>
  </w:num>
  <w:num w:numId="11" w16cid:durableId="1726636731">
    <w:abstractNumId w:val="1"/>
  </w:num>
  <w:num w:numId="12" w16cid:durableId="1490906485">
    <w:abstractNumId w:val="12"/>
  </w:num>
  <w:num w:numId="13" w16cid:durableId="1580166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VkMTY5NDBkNWNjZWVmNTU3YmMwNGMyY2Q2YjY4N2IifQ=="/>
    <w:docVar w:name="KSO_WPS_MARK_KEY" w:val="d720b539-7940-4d86-857d-93f553f16fba"/>
  </w:docVars>
  <w:rsids>
    <w:rsidRoot w:val="00172A27"/>
    <w:rsid w:val="000003E7"/>
    <w:rsid w:val="00000BF0"/>
    <w:rsid w:val="00001211"/>
    <w:rsid w:val="0000135B"/>
    <w:rsid w:val="00001544"/>
    <w:rsid w:val="00001836"/>
    <w:rsid w:val="000018BC"/>
    <w:rsid w:val="000018F5"/>
    <w:rsid w:val="00001D4D"/>
    <w:rsid w:val="00001EEA"/>
    <w:rsid w:val="00001F1C"/>
    <w:rsid w:val="00002023"/>
    <w:rsid w:val="00002B7C"/>
    <w:rsid w:val="000034A0"/>
    <w:rsid w:val="00003950"/>
    <w:rsid w:val="00003A4C"/>
    <w:rsid w:val="00004436"/>
    <w:rsid w:val="000045CA"/>
    <w:rsid w:val="00004640"/>
    <w:rsid w:val="00004BFD"/>
    <w:rsid w:val="00004C57"/>
    <w:rsid w:val="00004F18"/>
    <w:rsid w:val="00004F6C"/>
    <w:rsid w:val="00005083"/>
    <w:rsid w:val="00005113"/>
    <w:rsid w:val="0000512A"/>
    <w:rsid w:val="000057F2"/>
    <w:rsid w:val="0000604D"/>
    <w:rsid w:val="000062C4"/>
    <w:rsid w:val="00006511"/>
    <w:rsid w:val="00006547"/>
    <w:rsid w:val="00006631"/>
    <w:rsid w:val="000066B7"/>
    <w:rsid w:val="00006731"/>
    <w:rsid w:val="0000673F"/>
    <w:rsid w:val="000067ED"/>
    <w:rsid w:val="00010204"/>
    <w:rsid w:val="000108D1"/>
    <w:rsid w:val="00011150"/>
    <w:rsid w:val="000113BA"/>
    <w:rsid w:val="0001144A"/>
    <w:rsid w:val="00011BE2"/>
    <w:rsid w:val="00013024"/>
    <w:rsid w:val="000132E5"/>
    <w:rsid w:val="000140A0"/>
    <w:rsid w:val="0001467A"/>
    <w:rsid w:val="000147D2"/>
    <w:rsid w:val="00014895"/>
    <w:rsid w:val="00014B17"/>
    <w:rsid w:val="00014BB6"/>
    <w:rsid w:val="00014ECE"/>
    <w:rsid w:val="00015278"/>
    <w:rsid w:val="000153FE"/>
    <w:rsid w:val="00015F0A"/>
    <w:rsid w:val="0001670A"/>
    <w:rsid w:val="000170C3"/>
    <w:rsid w:val="00017414"/>
    <w:rsid w:val="00017DD5"/>
    <w:rsid w:val="00017F24"/>
    <w:rsid w:val="0002072B"/>
    <w:rsid w:val="000209B1"/>
    <w:rsid w:val="00020AC0"/>
    <w:rsid w:val="000212B9"/>
    <w:rsid w:val="00021A44"/>
    <w:rsid w:val="00021FA6"/>
    <w:rsid w:val="000222F0"/>
    <w:rsid w:val="00022406"/>
    <w:rsid w:val="00022AB5"/>
    <w:rsid w:val="00022BBA"/>
    <w:rsid w:val="00023085"/>
    <w:rsid w:val="000231EE"/>
    <w:rsid w:val="00023359"/>
    <w:rsid w:val="000237C2"/>
    <w:rsid w:val="000243E1"/>
    <w:rsid w:val="000248C3"/>
    <w:rsid w:val="00024FE6"/>
    <w:rsid w:val="00025507"/>
    <w:rsid w:val="00025803"/>
    <w:rsid w:val="000260C2"/>
    <w:rsid w:val="000263C5"/>
    <w:rsid w:val="00026646"/>
    <w:rsid w:val="00026B96"/>
    <w:rsid w:val="00027158"/>
    <w:rsid w:val="00027184"/>
    <w:rsid w:val="000276C1"/>
    <w:rsid w:val="00027B9E"/>
    <w:rsid w:val="00027C77"/>
    <w:rsid w:val="00030032"/>
    <w:rsid w:val="0003051B"/>
    <w:rsid w:val="0003079C"/>
    <w:rsid w:val="00030C71"/>
    <w:rsid w:val="00030C85"/>
    <w:rsid w:val="00031131"/>
    <w:rsid w:val="0003182E"/>
    <w:rsid w:val="000318FD"/>
    <w:rsid w:val="00031AC0"/>
    <w:rsid w:val="00032398"/>
    <w:rsid w:val="000329C9"/>
    <w:rsid w:val="00032A73"/>
    <w:rsid w:val="00032A99"/>
    <w:rsid w:val="00032E63"/>
    <w:rsid w:val="00032EB2"/>
    <w:rsid w:val="0003313F"/>
    <w:rsid w:val="000331A1"/>
    <w:rsid w:val="00033648"/>
    <w:rsid w:val="00034425"/>
    <w:rsid w:val="00034682"/>
    <w:rsid w:val="00034AEB"/>
    <w:rsid w:val="00034B46"/>
    <w:rsid w:val="00035366"/>
    <w:rsid w:val="000353F6"/>
    <w:rsid w:val="0003569B"/>
    <w:rsid w:val="00035BA8"/>
    <w:rsid w:val="00035CD9"/>
    <w:rsid w:val="000365C5"/>
    <w:rsid w:val="0003680C"/>
    <w:rsid w:val="00036845"/>
    <w:rsid w:val="000372E7"/>
    <w:rsid w:val="00037CD2"/>
    <w:rsid w:val="00037E69"/>
    <w:rsid w:val="00037E8C"/>
    <w:rsid w:val="00040385"/>
    <w:rsid w:val="000405B8"/>
    <w:rsid w:val="00040625"/>
    <w:rsid w:val="00040A92"/>
    <w:rsid w:val="00040B4F"/>
    <w:rsid w:val="00040CB8"/>
    <w:rsid w:val="0004181F"/>
    <w:rsid w:val="000419DE"/>
    <w:rsid w:val="00041A6C"/>
    <w:rsid w:val="00041C15"/>
    <w:rsid w:val="00041C91"/>
    <w:rsid w:val="000423B9"/>
    <w:rsid w:val="000426DA"/>
    <w:rsid w:val="0004334A"/>
    <w:rsid w:val="000436BF"/>
    <w:rsid w:val="000439BA"/>
    <w:rsid w:val="00043C31"/>
    <w:rsid w:val="0004402C"/>
    <w:rsid w:val="0004451D"/>
    <w:rsid w:val="00045349"/>
    <w:rsid w:val="000458CF"/>
    <w:rsid w:val="00045AAF"/>
    <w:rsid w:val="00045D1F"/>
    <w:rsid w:val="000465AF"/>
    <w:rsid w:val="000466DB"/>
    <w:rsid w:val="00046B23"/>
    <w:rsid w:val="00046C7F"/>
    <w:rsid w:val="00046FAD"/>
    <w:rsid w:val="0004721B"/>
    <w:rsid w:val="000475AF"/>
    <w:rsid w:val="0005009F"/>
    <w:rsid w:val="00050261"/>
    <w:rsid w:val="00050A72"/>
    <w:rsid w:val="00050A98"/>
    <w:rsid w:val="00050CB2"/>
    <w:rsid w:val="00051139"/>
    <w:rsid w:val="00051334"/>
    <w:rsid w:val="00051697"/>
    <w:rsid w:val="00051911"/>
    <w:rsid w:val="00051CA3"/>
    <w:rsid w:val="00051DD5"/>
    <w:rsid w:val="00051F47"/>
    <w:rsid w:val="00052184"/>
    <w:rsid w:val="000526C1"/>
    <w:rsid w:val="0005271E"/>
    <w:rsid w:val="000529BD"/>
    <w:rsid w:val="00053628"/>
    <w:rsid w:val="000537FC"/>
    <w:rsid w:val="00053AC7"/>
    <w:rsid w:val="00054098"/>
    <w:rsid w:val="000541A9"/>
    <w:rsid w:val="00054730"/>
    <w:rsid w:val="000550FB"/>
    <w:rsid w:val="00055AE1"/>
    <w:rsid w:val="00055D6F"/>
    <w:rsid w:val="00055D9B"/>
    <w:rsid w:val="0005658E"/>
    <w:rsid w:val="00056E1F"/>
    <w:rsid w:val="00056ED3"/>
    <w:rsid w:val="00057770"/>
    <w:rsid w:val="000578FB"/>
    <w:rsid w:val="00057A54"/>
    <w:rsid w:val="00057B8B"/>
    <w:rsid w:val="00057C8E"/>
    <w:rsid w:val="00057D23"/>
    <w:rsid w:val="000608CC"/>
    <w:rsid w:val="00060C4A"/>
    <w:rsid w:val="00060F40"/>
    <w:rsid w:val="000613D6"/>
    <w:rsid w:val="000615FF"/>
    <w:rsid w:val="0006172E"/>
    <w:rsid w:val="0006176B"/>
    <w:rsid w:val="00061B69"/>
    <w:rsid w:val="00062386"/>
    <w:rsid w:val="00062B0F"/>
    <w:rsid w:val="00062C29"/>
    <w:rsid w:val="000631CE"/>
    <w:rsid w:val="00063639"/>
    <w:rsid w:val="0006421D"/>
    <w:rsid w:val="0006491A"/>
    <w:rsid w:val="00064C65"/>
    <w:rsid w:val="00065255"/>
    <w:rsid w:val="00065750"/>
    <w:rsid w:val="00065C6D"/>
    <w:rsid w:val="000660F0"/>
    <w:rsid w:val="000665C5"/>
    <w:rsid w:val="0006690E"/>
    <w:rsid w:val="00066B89"/>
    <w:rsid w:val="00067268"/>
    <w:rsid w:val="000676EE"/>
    <w:rsid w:val="0006785C"/>
    <w:rsid w:val="00067F64"/>
    <w:rsid w:val="000703AA"/>
    <w:rsid w:val="0007046D"/>
    <w:rsid w:val="000708CA"/>
    <w:rsid w:val="00070B6C"/>
    <w:rsid w:val="00071394"/>
    <w:rsid w:val="00071AF4"/>
    <w:rsid w:val="00072041"/>
    <w:rsid w:val="00072161"/>
    <w:rsid w:val="000726BB"/>
    <w:rsid w:val="00072BB0"/>
    <w:rsid w:val="00072E3B"/>
    <w:rsid w:val="0007337C"/>
    <w:rsid w:val="00073397"/>
    <w:rsid w:val="00073D42"/>
    <w:rsid w:val="00073FBF"/>
    <w:rsid w:val="00074307"/>
    <w:rsid w:val="0007447B"/>
    <w:rsid w:val="00074702"/>
    <w:rsid w:val="000747DF"/>
    <w:rsid w:val="000748EF"/>
    <w:rsid w:val="0007499B"/>
    <w:rsid w:val="00074A14"/>
    <w:rsid w:val="00074E63"/>
    <w:rsid w:val="000753D9"/>
    <w:rsid w:val="00075D3A"/>
    <w:rsid w:val="0007699E"/>
    <w:rsid w:val="000769E9"/>
    <w:rsid w:val="00077058"/>
    <w:rsid w:val="0007728B"/>
    <w:rsid w:val="00077463"/>
    <w:rsid w:val="00077780"/>
    <w:rsid w:val="00081309"/>
    <w:rsid w:val="00081F57"/>
    <w:rsid w:val="00082375"/>
    <w:rsid w:val="000824A1"/>
    <w:rsid w:val="000825CE"/>
    <w:rsid w:val="00082A37"/>
    <w:rsid w:val="00082DCB"/>
    <w:rsid w:val="00082FA0"/>
    <w:rsid w:val="000831DC"/>
    <w:rsid w:val="00083372"/>
    <w:rsid w:val="000833FB"/>
    <w:rsid w:val="0008383E"/>
    <w:rsid w:val="00083AE9"/>
    <w:rsid w:val="00084173"/>
    <w:rsid w:val="000842AA"/>
    <w:rsid w:val="000842AB"/>
    <w:rsid w:val="000858EE"/>
    <w:rsid w:val="00085AC6"/>
    <w:rsid w:val="00085D71"/>
    <w:rsid w:val="00085E23"/>
    <w:rsid w:val="00085E3D"/>
    <w:rsid w:val="000862A4"/>
    <w:rsid w:val="000865C3"/>
    <w:rsid w:val="00086704"/>
    <w:rsid w:val="00086AD6"/>
    <w:rsid w:val="00086E9D"/>
    <w:rsid w:val="0008703C"/>
    <w:rsid w:val="000870DC"/>
    <w:rsid w:val="0008723A"/>
    <w:rsid w:val="00087CC3"/>
    <w:rsid w:val="000905B9"/>
    <w:rsid w:val="000906CE"/>
    <w:rsid w:val="00090989"/>
    <w:rsid w:val="00090F4A"/>
    <w:rsid w:val="00091232"/>
    <w:rsid w:val="0009146E"/>
    <w:rsid w:val="00091510"/>
    <w:rsid w:val="00091BDD"/>
    <w:rsid w:val="000926D5"/>
    <w:rsid w:val="00092727"/>
    <w:rsid w:val="000928C4"/>
    <w:rsid w:val="00092CBF"/>
    <w:rsid w:val="00093838"/>
    <w:rsid w:val="0009396F"/>
    <w:rsid w:val="00093C6B"/>
    <w:rsid w:val="000943D8"/>
    <w:rsid w:val="000949AB"/>
    <w:rsid w:val="00094A60"/>
    <w:rsid w:val="00095943"/>
    <w:rsid w:val="00095EB3"/>
    <w:rsid w:val="00095F04"/>
    <w:rsid w:val="00096801"/>
    <w:rsid w:val="00096996"/>
    <w:rsid w:val="00096A4D"/>
    <w:rsid w:val="000977DD"/>
    <w:rsid w:val="00097885"/>
    <w:rsid w:val="000A0775"/>
    <w:rsid w:val="000A0EAB"/>
    <w:rsid w:val="000A0ED5"/>
    <w:rsid w:val="000A1772"/>
    <w:rsid w:val="000A1F1F"/>
    <w:rsid w:val="000A2071"/>
    <w:rsid w:val="000A261E"/>
    <w:rsid w:val="000A2952"/>
    <w:rsid w:val="000A29B6"/>
    <w:rsid w:val="000A2C28"/>
    <w:rsid w:val="000A2F53"/>
    <w:rsid w:val="000A3265"/>
    <w:rsid w:val="000A330A"/>
    <w:rsid w:val="000A3D53"/>
    <w:rsid w:val="000A42B0"/>
    <w:rsid w:val="000A42B3"/>
    <w:rsid w:val="000A4BD5"/>
    <w:rsid w:val="000A5C26"/>
    <w:rsid w:val="000A5C89"/>
    <w:rsid w:val="000A6556"/>
    <w:rsid w:val="000A68DA"/>
    <w:rsid w:val="000A7D4C"/>
    <w:rsid w:val="000B080B"/>
    <w:rsid w:val="000B0860"/>
    <w:rsid w:val="000B0CFD"/>
    <w:rsid w:val="000B1027"/>
    <w:rsid w:val="000B1159"/>
    <w:rsid w:val="000B13A0"/>
    <w:rsid w:val="000B148D"/>
    <w:rsid w:val="000B2116"/>
    <w:rsid w:val="000B23E3"/>
    <w:rsid w:val="000B2503"/>
    <w:rsid w:val="000B28AC"/>
    <w:rsid w:val="000B2A4E"/>
    <w:rsid w:val="000B2F13"/>
    <w:rsid w:val="000B39FC"/>
    <w:rsid w:val="000B3A5B"/>
    <w:rsid w:val="000B3CCC"/>
    <w:rsid w:val="000B3FEB"/>
    <w:rsid w:val="000B47C7"/>
    <w:rsid w:val="000B4D8F"/>
    <w:rsid w:val="000B52DF"/>
    <w:rsid w:val="000B5F6F"/>
    <w:rsid w:val="000B6185"/>
    <w:rsid w:val="000B730E"/>
    <w:rsid w:val="000B7384"/>
    <w:rsid w:val="000B7ED7"/>
    <w:rsid w:val="000B7FEB"/>
    <w:rsid w:val="000C0DEB"/>
    <w:rsid w:val="000C1447"/>
    <w:rsid w:val="000C1B38"/>
    <w:rsid w:val="000C1E5B"/>
    <w:rsid w:val="000C1EF8"/>
    <w:rsid w:val="000C2162"/>
    <w:rsid w:val="000C21C8"/>
    <w:rsid w:val="000C21F4"/>
    <w:rsid w:val="000C2599"/>
    <w:rsid w:val="000C26E0"/>
    <w:rsid w:val="000C292D"/>
    <w:rsid w:val="000C2B32"/>
    <w:rsid w:val="000C2C21"/>
    <w:rsid w:val="000C2E6A"/>
    <w:rsid w:val="000C2FA8"/>
    <w:rsid w:val="000C32F5"/>
    <w:rsid w:val="000C358F"/>
    <w:rsid w:val="000C39DB"/>
    <w:rsid w:val="000C407A"/>
    <w:rsid w:val="000C40B4"/>
    <w:rsid w:val="000C48AA"/>
    <w:rsid w:val="000C4DAF"/>
    <w:rsid w:val="000C4E7F"/>
    <w:rsid w:val="000C4EAC"/>
    <w:rsid w:val="000C4EFB"/>
    <w:rsid w:val="000C4FCC"/>
    <w:rsid w:val="000C561D"/>
    <w:rsid w:val="000C5943"/>
    <w:rsid w:val="000C5958"/>
    <w:rsid w:val="000C5D2D"/>
    <w:rsid w:val="000C6642"/>
    <w:rsid w:val="000C6FFA"/>
    <w:rsid w:val="000C7011"/>
    <w:rsid w:val="000C7A4A"/>
    <w:rsid w:val="000C7F51"/>
    <w:rsid w:val="000D0052"/>
    <w:rsid w:val="000D067E"/>
    <w:rsid w:val="000D0844"/>
    <w:rsid w:val="000D08FB"/>
    <w:rsid w:val="000D0B38"/>
    <w:rsid w:val="000D0E47"/>
    <w:rsid w:val="000D1327"/>
    <w:rsid w:val="000D1A32"/>
    <w:rsid w:val="000D1AD6"/>
    <w:rsid w:val="000D1F24"/>
    <w:rsid w:val="000D21D9"/>
    <w:rsid w:val="000D2643"/>
    <w:rsid w:val="000D2C32"/>
    <w:rsid w:val="000D3A61"/>
    <w:rsid w:val="000D3BA6"/>
    <w:rsid w:val="000D40A7"/>
    <w:rsid w:val="000D4145"/>
    <w:rsid w:val="000D491F"/>
    <w:rsid w:val="000D4C59"/>
    <w:rsid w:val="000D4C92"/>
    <w:rsid w:val="000D52D9"/>
    <w:rsid w:val="000D54AD"/>
    <w:rsid w:val="000D60B2"/>
    <w:rsid w:val="000D61F4"/>
    <w:rsid w:val="000D67DF"/>
    <w:rsid w:val="000D694E"/>
    <w:rsid w:val="000D6997"/>
    <w:rsid w:val="000D7605"/>
    <w:rsid w:val="000D77A0"/>
    <w:rsid w:val="000E0116"/>
    <w:rsid w:val="000E0556"/>
    <w:rsid w:val="000E0C50"/>
    <w:rsid w:val="000E0E59"/>
    <w:rsid w:val="000E206B"/>
    <w:rsid w:val="000E24C4"/>
    <w:rsid w:val="000E2500"/>
    <w:rsid w:val="000E2DBD"/>
    <w:rsid w:val="000E314C"/>
    <w:rsid w:val="000E3837"/>
    <w:rsid w:val="000E394B"/>
    <w:rsid w:val="000E3C80"/>
    <w:rsid w:val="000E40BF"/>
    <w:rsid w:val="000E40C0"/>
    <w:rsid w:val="000E4595"/>
    <w:rsid w:val="000E4C6A"/>
    <w:rsid w:val="000E512F"/>
    <w:rsid w:val="000E54D9"/>
    <w:rsid w:val="000E55AB"/>
    <w:rsid w:val="000E57D8"/>
    <w:rsid w:val="000E5EA8"/>
    <w:rsid w:val="000E6125"/>
    <w:rsid w:val="000E66E8"/>
    <w:rsid w:val="000E6A89"/>
    <w:rsid w:val="000E6C26"/>
    <w:rsid w:val="000E6D0C"/>
    <w:rsid w:val="000E73E4"/>
    <w:rsid w:val="000E7C11"/>
    <w:rsid w:val="000E7C23"/>
    <w:rsid w:val="000F273F"/>
    <w:rsid w:val="000F371A"/>
    <w:rsid w:val="000F3A7D"/>
    <w:rsid w:val="000F3A83"/>
    <w:rsid w:val="000F3BB0"/>
    <w:rsid w:val="000F3CA0"/>
    <w:rsid w:val="000F432F"/>
    <w:rsid w:val="000F4438"/>
    <w:rsid w:val="000F4A20"/>
    <w:rsid w:val="000F52D5"/>
    <w:rsid w:val="000F56AC"/>
    <w:rsid w:val="000F580C"/>
    <w:rsid w:val="000F5F9B"/>
    <w:rsid w:val="000F5FDA"/>
    <w:rsid w:val="000F6108"/>
    <w:rsid w:val="000F6E28"/>
    <w:rsid w:val="000F6E48"/>
    <w:rsid w:val="000F6FC7"/>
    <w:rsid w:val="000F726F"/>
    <w:rsid w:val="000F74A4"/>
    <w:rsid w:val="000F77AA"/>
    <w:rsid w:val="000F7AF7"/>
    <w:rsid w:val="000F7F0B"/>
    <w:rsid w:val="00100054"/>
    <w:rsid w:val="001001CF"/>
    <w:rsid w:val="001004B4"/>
    <w:rsid w:val="00100690"/>
    <w:rsid w:val="00100ABE"/>
    <w:rsid w:val="00100C9B"/>
    <w:rsid w:val="00101B0B"/>
    <w:rsid w:val="00101BAF"/>
    <w:rsid w:val="00101F5F"/>
    <w:rsid w:val="00102174"/>
    <w:rsid w:val="0010228A"/>
    <w:rsid w:val="0010249D"/>
    <w:rsid w:val="001025F6"/>
    <w:rsid w:val="0010287B"/>
    <w:rsid w:val="00102B7E"/>
    <w:rsid w:val="00102C95"/>
    <w:rsid w:val="001035A8"/>
    <w:rsid w:val="001037C4"/>
    <w:rsid w:val="00103AE7"/>
    <w:rsid w:val="00103FEC"/>
    <w:rsid w:val="0010407F"/>
    <w:rsid w:val="00104619"/>
    <w:rsid w:val="00104E6E"/>
    <w:rsid w:val="00105734"/>
    <w:rsid w:val="00105B75"/>
    <w:rsid w:val="00106424"/>
    <w:rsid w:val="001065C0"/>
    <w:rsid w:val="001066C8"/>
    <w:rsid w:val="001067C3"/>
    <w:rsid w:val="00106954"/>
    <w:rsid w:val="001070B1"/>
    <w:rsid w:val="00107259"/>
    <w:rsid w:val="001073F3"/>
    <w:rsid w:val="00107E33"/>
    <w:rsid w:val="00107E4A"/>
    <w:rsid w:val="00107EFE"/>
    <w:rsid w:val="00110B76"/>
    <w:rsid w:val="00110FFB"/>
    <w:rsid w:val="0011106D"/>
    <w:rsid w:val="0011111E"/>
    <w:rsid w:val="0011164C"/>
    <w:rsid w:val="0011179B"/>
    <w:rsid w:val="00111C1B"/>
    <w:rsid w:val="00111EC1"/>
    <w:rsid w:val="00112364"/>
    <w:rsid w:val="0011278C"/>
    <w:rsid w:val="0011315A"/>
    <w:rsid w:val="001135E3"/>
    <w:rsid w:val="00113681"/>
    <w:rsid w:val="001139D6"/>
    <w:rsid w:val="0011436B"/>
    <w:rsid w:val="001147E5"/>
    <w:rsid w:val="00114852"/>
    <w:rsid w:val="00114A4F"/>
    <w:rsid w:val="00115046"/>
    <w:rsid w:val="0011512C"/>
    <w:rsid w:val="001155CB"/>
    <w:rsid w:val="001157BF"/>
    <w:rsid w:val="00115D13"/>
    <w:rsid w:val="00116525"/>
    <w:rsid w:val="00116C8D"/>
    <w:rsid w:val="00116F6B"/>
    <w:rsid w:val="00117500"/>
    <w:rsid w:val="00117792"/>
    <w:rsid w:val="00117D19"/>
    <w:rsid w:val="001201A3"/>
    <w:rsid w:val="001206FD"/>
    <w:rsid w:val="001208FC"/>
    <w:rsid w:val="001209D5"/>
    <w:rsid w:val="00121051"/>
    <w:rsid w:val="001210B6"/>
    <w:rsid w:val="001213EE"/>
    <w:rsid w:val="001217D5"/>
    <w:rsid w:val="0012182C"/>
    <w:rsid w:val="00121847"/>
    <w:rsid w:val="00121B02"/>
    <w:rsid w:val="00121E89"/>
    <w:rsid w:val="00122F3D"/>
    <w:rsid w:val="0012310D"/>
    <w:rsid w:val="001232E7"/>
    <w:rsid w:val="001233F7"/>
    <w:rsid w:val="00123C72"/>
    <w:rsid w:val="00123E7F"/>
    <w:rsid w:val="00124770"/>
    <w:rsid w:val="00124D9F"/>
    <w:rsid w:val="00124DA5"/>
    <w:rsid w:val="001253B6"/>
    <w:rsid w:val="001253E9"/>
    <w:rsid w:val="00125590"/>
    <w:rsid w:val="00125718"/>
    <w:rsid w:val="00125B5A"/>
    <w:rsid w:val="00125F49"/>
    <w:rsid w:val="0012621F"/>
    <w:rsid w:val="00126614"/>
    <w:rsid w:val="00126CA2"/>
    <w:rsid w:val="001272AA"/>
    <w:rsid w:val="00127408"/>
    <w:rsid w:val="00127539"/>
    <w:rsid w:val="00127C62"/>
    <w:rsid w:val="0013078A"/>
    <w:rsid w:val="001311F1"/>
    <w:rsid w:val="0013128A"/>
    <w:rsid w:val="001316F0"/>
    <w:rsid w:val="00132F33"/>
    <w:rsid w:val="001337A0"/>
    <w:rsid w:val="00133D35"/>
    <w:rsid w:val="00134447"/>
    <w:rsid w:val="0013455B"/>
    <w:rsid w:val="001352C2"/>
    <w:rsid w:val="00135724"/>
    <w:rsid w:val="00135BE3"/>
    <w:rsid w:val="0013615B"/>
    <w:rsid w:val="00136536"/>
    <w:rsid w:val="0013666B"/>
    <w:rsid w:val="001369D9"/>
    <w:rsid w:val="00136F36"/>
    <w:rsid w:val="00137762"/>
    <w:rsid w:val="001377C0"/>
    <w:rsid w:val="00137AE0"/>
    <w:rsid w:val="00137C3D"/>
    <w:rsid w:val="001403BB"/>
    <w:rsid w:val="00140808"/>
    <w:rsid w:val="00140A1B"/>
    <w:rsid w:val="00140A44"/>
    <w:rsid w:val="00140BDA"/>
    <w:rsid w:val="00140C5F"/>
    <w:rsid w:val="00140F30"/>
    <w:rsid w:val="001411BD"/>
    <w:rsid w:val="00141325"/>
    <w:rsid w:val="001415BB"/>
    <w:rsid w:val="001417A4"/>
    <w:rsid w:val="00141904"/>
    <w:rsid w:val="00141E3D"/>
    <w:rsid w:val="00142CEA"/>
    <w:rsid w:val="00142E52"/>
    <w:rsid w:val="00143108"/>
    <w:rsid w:val="00143AB7"/>
    <w:rsid w:val="001440E2"/>
    <w:rsid w:val="00144CD9"/>
    <w:rsid w:val="0014532C"/>
    <w:rsid w:val="001454B8"/>
    <w:rsid w:val="001457CB"/>
    <w:rsid w:val="001457DC"/>
    <w:rsid w:val="00146156"/>
    <w:rsid w:val="001469D6"/>
    <w:rsid w:val="0014711D"/>
    <w:rsid w:val="0014742A"/>
    <w:rsid w:val="00147700"/>
    <w:rsid w:val="001505DD"/>
    <w:rsid w:val="001509E3"/>
    <w:rsid w:val="00150FE3"/>
    <w:rsid w:val="001513D9"/>
    <w:rsid w:val="001518F9"/>
    <w:rsid w:val="00152465"/>
    <w:rsid w:val="001525CA"/>
    <w:rsid w:val="00152654"/>
    <w:rsid w:val="001526DA"/>
    <w:rsid w:val="00152C40"/>
    <w:rsid w:val="00153071"/>
    <w:rsid w:val="001532B3"/>
    <w:rsid w:val="00153CD1"/>
    <w:rsid w:val="00153CDD"/>
    <w:rsid w:val="00153F2B"/>
    <w:rsid w:val="00154868"/>
    <w:rsid w:val="00154EB0"/>
    <w:rsid w:val="00154F06"/>
    <w:rsid w:val="00155587"/>
    <w:rsid w:val="00155628"/>
    <w:rsid w:val="001559D2"/>
    <w:rsid w:val="00155C27"/>
    <w:rsid w:val="00155C72"/>
    <w:rsid w:val="00155F35"/>
    <w:rsid w:val="00156B75"/>
    <w:rsid w:val="00156D3E"/>
    <w:rsid w:val="00156D6A"/>
    <w:rsid w:val="0015712A"/>
    <w:rsid w:val="001573FD"/>
    <w:rsid w:val="00157481"/>
    <w:rsid w:val="00157C85"/>
    <w:rsid w:val="00157F8E"/>
    <w:rsid w:val="00160065"/>
    <w:rsid w:val="001605C7"/>
    <w:rsid w:val="00161B8E"/>
    <w:rsid w:val="00161D64"/>
    <w:rsid w:val="00161F33"/>
    <w:rsid w:val="0016268B"/>
    <w:rsid w:val="00162953"/>
    <w:rsid w:val="00162E0D"/>
    <w:rsid w:val="00162F9E"/>
    <w:rsid w:val="00163494"/>
    <w:rsid w:val="001635CD"/>
    <w:rsid w:val="00163C5D"/>
    <w:rsid w:val="001645A0"/>
    <w:rsid w:val="00164EC5"/>
    <w:rsid w:val="001651CC"/>
    <w:rsid w:val="0016579C"/>
    <w:rsid w:val="00165EB7"/>
    <w:rsid w:val="0016606C"/>
    <w:rsid w:val="0016639D"/>
    <w:rsid w:val="001668C3"/>
    <w:rsid w:val="00166E98"/>
    <w:rsid w:val="0017044A"/>
    <w:rsid w:val="00171036"/>
    <w:rsid w:val="001711D0"/>
    <w:rsid w:val="001714A7"/>
    <w:rsid w:val="00171839"/>
    <w:rsid w:val="001720D7"/>
    <w:rsid w:val="001720DF"/>
    <w:rsid w:val="00172707"/>
    <w:rsid w:val="00172A27"/>
    <w:rsid w:val="00172BEB"/>
    <w:rsid w:val="00173301"/>
    <w:rsid w:val="0017392F"/>
    <w:rsid w:val="00173CB8"/>
    <w:rsid w:val="00173D91"/>
    <w:rsid w:val="00173DFD"/>
    <w:rsid w:val="00173FBA"/>
    <w:rsid w:val="00174143"/>
    <w:rsid w:val="001745D7"/>
    <w:rsid w:val="00174625"/>
    <w:rsid w:val="001751BF"/>
    <w:rsid w:val="001764FD"/>
    <w:rsid w:val="0017692D"/>
    <w:rsid w:val="0017736F"/>
    <w:rsid w:val="00177387"/>
    <w:rsid w:val="001773E0"/>
    <w:rsid w:val="0018015F"/>
    <w:rsid w:val="001803CC"/>
    <w:rsid w:val="00180407"/>
    <w:rsid w:val="001807DB"/>
    <w:rsid w:val="0018098E"/>
    <w:rsid w:val="00180A2E"/>
    <w:rsid w:val="00181269"/>
    <w:rsid w:val="00181485"/>
    <w:rsid w:val="0018210E"/>
    <w:rsid w:val="00182150"/>
    <w:rsid w:val="001823FA"/>
    <w:rsid w:val="00182654"/>
    <w:rsid w:val="00182B2B"/>
    <w:rsid w:val="00182BDF"/>
    <w:rsid w:val="00182CDF"/>
    <w:rsid w:val="0018341E"/>
    <w:rsid w:val="00184472"/>
    <w:rsid w:val="0018563F"/>
    <w:rsid w:val="00185B4F"/>
    <w:rsid w:val="00185C6A"/>
    <w:rsid w:val="00186236"/>
    <w:rsid w:val="00186FFF"/>
    <w:rsid w:val="00187596"/>
    <w:rsid w:val="00187A78"/>
    <w:rsid w:val="001901E4"/>
    <w:rsid w:val="00190323"/>
    <w:rsid w:val="00190723"/>
    <w:rsid w:val="00190A7B"/>
    <w:rsid w:val="00190CC0"/>
    <w:rsid w:val="00191138"/>
    <w:rsid w:val="001911E3"/>
    <w:rsid w:val="001915E1"/>
    <w:rsid w:val="00191FFF"/>
    <w:rsid w:val="001921F9"/>
    <w:rsid w:val="001925AC"/>
    <w:rsid w:val="00192C34"/>
    <w:rsid w:val="00192DA7"/>
    <w:rsid w:val="0019326A"/>
    <w:rsid w:val="00193695"/>
    <w:rsid w:val="00193CD2"/>
    <w:rsid w:val="00194E25"/>
    <w:rsid w:val="00195780"/>
    <w:rsid w:val="001957E8"/>
    <w:rsid w:val="00195A08"/>
    <w:rsid w:val="00196044"/>
    <w:rsid w:val="00196351"/>
    <w:rsid w:val="00196657"/>
    <w:rsid w:val="00196998"/>
    <w:rsid w:val="00196F7B"/>
    <w:rsid w:val="00197045"/>
    <w:rsid w:val="0019723F"/>
    <w:rsid w:val="0019780B"/>
    <w:rsid w:val="001A04FC"/>
    <w:rsid w:val="001A07E7"/>
    <w:rsid w:val="001A087D"/>
    <w:rsid w:val="001A08C1"/>
    <w:rsid w:val="001A0C08"/>
    <w:rsid w:val="001A179F"/>
    <w:rsid w:val="001A1B2B"/>
    <w:rsid w:val="001A1B8C"/>
    <w:rsid w:val="001A1DDD"/>
    <w:rsid w:val="001A2411"/>
    <w:rsid w:val="001A2E99"/>
    <w:rsid w:val="001A3505"/>
    <w:rsid w:val="001A40FA"/>
    <w:rsid w:val="001A41D2"/>
    <w:rsid w:val="001A42B4"/>
    <w:rsid w:val="001A49D5"/>
    <w:rsid w:val="001A549F"/>
    <w:rsid w:val="001A56E7"/>
    <w:rsid w:val="001A5AF4"/>
    <w:rsid w:val="001A5BFB"/>
    <w:rsid w:val="001A5F7E"/>
    <w:rsid w:val="001A60E9"/>
    <w:rsid w:val="001A62B2"/>
    <w:rsid w:val="001A62B7"/>
    <w:rsid w:val="001A6EE3"/>
    <w:rsid w:val="001A6FF4"/>
    <w:rsid w:val="001A77B2"/>
    <w:rsid w:val="001A7AE6"/>
    <w:rsid w:val="001B070D"/>
    <w:rsid w:val="001B0A04"/>
    <w:rsid w:val="001B0B4B"/>
    <w:rsid w:val="001B0BBD"/>
    <w:rsid w:val="001B0D47"/>
    <w:rsid w:val="001B0E8B"/>
    <w:rsid w:val="001B0FE4"/>
    <w:rsid w:val="001B103D"/>
    <w:rsid w:val="001B1139"/>
    <w:rsid w:val="001B116E"/>
    <w:rsid w:val="001B1CE9"/>
    <w:rsid w:val="001B2424"/>
    <w:rsid w:val="001B31BA"/>
    <w:rsid w:val="001B32A5"/>
    <w:rsid w:val="001B375E"/>
    <w:rsid w:val="001B3833"/>
    <w:rsid w:val="001B3D01"/>
    <w:rsid w:val="001B3E78"/>
    <w:rsid w:val="001B4048"/>
    <w:rsid w:val="001B449E"/>
    <w:rsid w:val="001B497A"/>
    <w:rsid w:val="001B498E"/>
    <w:rsid w:val="001B50BA"/>
    <w:rsid w:val="001B521E"/>
    <w:rsid w:val="001B53F6"/>
    <w:rsid w:val="001B59A4"/>
    <w:rsid w:val="001B5D2C"/>
    <w:rsid w:val="001B6518"/>
    <w:rsid w:val="001B6784"/>
    <w:rsid w:val="001B6866"/>
    <w:rsid w:val="001B77CA"/>
    <w:rsid w:val="001C029A"/>
    <w:rsid w:val="001C04B2"/>
    <w:rsid w:val="001C04C6"/>
    <w:rsid w:val="001C063C"/>
    <w:rsid w:val="001C0813"/>
    <w:rsid w:val="001C0834"/>
    <w:rsid w:val="001C0918"/>
    <w:rsid w:val="001C0A1B"/>
    <w:rsid w:val="001C0BF1"/>
    <w:rsid w:val="001C0C0A"/>
    <w:rsid w:val="001C1457"/>
    <w:rsid w:val="001C1B45"/>
    <w:rsid w:val="001C1BDF"/>
    <w:rsid w:val="001C1ED2"/>
    <w:rsid w:val="001C44A5"/>
    <w:rsid w:val="001C4A03"/>
    <w:rsid w:val="001C54D0"/>
    <w:rsid w:val="001C592B"/>
    <w:rsid w:val="001C5B4B"/>
    <w:rsid w:val="001C603E"/>
    <w:rsid w:val="001C674C"/>
    <w:rsid w:val="001C6B96"/>
    <w:rsid w:val="001C6F53"/>
    <w:rsid w:val="001C6FCA"/>
    <w:rsid w:val="001C719D"/>
    <w:rsid w:val="001C7729"/>
    <w:rsid w:val="001C7A61"/>
    <w:rsid w:val="001C7B65"/>
    <w:rsid w:val="001C7CBF"/>
    <w:rsid w:val="001D0074"/>
    <w:rsid w:val="001D00DD"/>
    <w:rsid w:val="001D012D"/>
    <w:rsid w:val="001D027B"/>
    <w:rsid w:val="001D03DB"/>
    <w:rsid w:val="001D044B"/>
    <w:rsid w:val="001D0659"/>
    <w:rsid w:val="001D0B6A"/>
    <w:rsid w:val="001D0C32"/>
    <w:rsid w:val="001D0C79"/>
    <w:rsid w:val="001D121D"/>
    <w:rsid w:val="001D12B1"/>
    <w:rsid w:val="001D1576"/>
    <w:rsid w:val="001D158B"/>
    <w:rsid w:val="001D1C8D"/>
    <w:rsid w:val="001D1DE9"/>
    <w:rsid w:val="001D2582"/>
    <w:rsid w:val="001D29C9"/>
    <w:rsid w:val="001D2DDE"/>
    <w:rsid w:val="001D2E16"/>
    <w:rsid w:val="001D2E3C"/>
    <w:rsid w:val="001D2EE5"/>
    <w:rsid w:val="001D30C3"/>
    <w:rsid w:val="001D349E"/>
    <w:rsid w:val="001D3CF5"/>
    <w:rsid w:val="001D59F0"/>
    <w:rsid w:val="001D5A62"/>
    <w:rsid w:val="001D5AAF"/>
    <w:rsid w:val="001D5CB8"/>
    <w:rsid w:val="001D5F11"/>
    <w:rsid w:val="001D60A0"/>
    <w:rsid w:val="001D614E"/>
    <w:rsid w:val="001D62BB"/>
    <w:rsid w:val="001D63D8"/>
    <w:rsid w:val="001D6565"/>
    <w:rsid w:val="001D6665"/>
    <w:rsid w:val="001D685F"/>
    <w:rsid w:val="001D6E1F"/>
    <w:rsid w:val="001D71FB"/>
    <w:rsid w:val="001D723E"/>
    <w:rsid w:val="001D7321"/>
    <w:rsid w:val="001D73AC"/>
    <w:rsid w:val="001D7871"/>
    <w:rsid w:val="001D7E1A"/>
    <w:rsid w:val="001D7F37"/>
    <w:rsid w:val="001E06A7"/>
    <w:rsid w:val="001E080F"/>
    <w:rsid w:val="001E0CEB"/>
    <w:rsid w:val="001E1CF3"/>
    <w:rsid w:val="001E2424"/>
    <w:rsid w:val="001E25CD"/>
    <w:rsid w:val="001E25FC"/>
    <w:rsid w:val="001E299D"/>
    <w:rsid w:val="001E2AF8"/>
    <w:rsid w:val="001E2DD8"/>
    <w:rsid w:val="001E32E6"/>
    <w:rsid w:val="001E3661"/>
    <w:rsid w:val="001E377E"/>
    <w:rsid w:val="001E3857"/>
    <w:rsid w:val="001E3FF5"/>
    <w:rsid w:val="001E45E3"/>
    <w:rsid w:val="001E4BE2"/>
    <w:rsid w:val="001E4FFC"/>
    <w:rsid w:val="001E5055"/>
    <w:rsid w:val="001E54E2"/>
    <w:rsid w:val="001E5762"/>
    <w:rsid w:val="001E5836"/>
    <w:rsid w:val="001E644A"/>
    <w:rsid w:val="001E6C6D"/>
    <w:rsid w:val="001E772E"/>
    <w:rsid w:val="001E7762"/>
    <w:rsid w:val="001E7815"/>
    <w:rsid w:val="001E7986"/>
    <w:rsid w:val="001E7C53"/>
    <w:rsid w:val="001F08AE"/>
    <w:rsid w:val="001F1000"/>
    <w:rsid w:val="001F1C83"/>
    <w:rsid w:val="001F26AB"/>
    <w:rsid w:val="001F27C3"/>
    <w:rsid w:val="001F27F4"/>
    <w:rsid w:val="001F28E4"/>
    <w:rsid w:val="001F2BE0"/>
    <w:rsid w:val="001F46E0"/>
    <w:rsid w:val="001F47F9"/>
    <w:rsid w:val="001F486C"/>
    <w:rsid w:val="001F5017"/>
    <w:rsid w:val="001F536B"/>
    <w:rsid w:val="001F56C9"/>
    <w:rsid w:val="001F5788"/>
    <w:rsid w:val="001F57E0"/>
    <w:rsid w:val="001F5C9B"/>
    <w:rsid w:val="001F63A4"/>
    <w:rsid w:val="001F6450"/>
    <w:rsid w:val="001F67CE"/>
    <w:rsid w:val="001F685B"/>
    <w:rsid w:val="001F69D5"/>
    <w:rsid w:val="001F6E12"/>
    <w:rsid w:val="001F6F88"/>
    <w:rsid w:val="001F76FC"/>
    <w:rsid w:val="001F790C"/>
    <w:rsid w:val="001F793B"/>
    <w:rsid w:val="001F7A88"/>
    <w:rsid w:val="001F7D41"/>
    <w:rsid w:val="00200147"/>
    <w:rsid w:val="00200217"/>
    <w:rsid w:val="0020067C"/>
    <w:rsid w:val="00200840"/>
    <w:rsid w:val="00200D8F"/>
    <w:rsid w:val="00201008"/>
    <w:rsid w:val="0020107D"/>
    <w:rsid w:val="00201731"/>
    <w:rsid w:val="00202FA1"/>
    <w:rsid w:val="00203152"/>
    <w:rsid w:val="002035D9"/>
    <w:rsid w:val="00203C49"/>
    <w:rsid w:val="00203F21"/>
    <w:rsid w:val="002041FF"/>
    <w:rsid w:val="00204455"/>
    <w:rsid w:val="002044FE"/>
    <w:rsid w:val="002045C3"/>
    <w:rsid w:val="00204637"/>
    <w:rsid w:val="00204972"/>
    <w:rsid w:val="00204C10"/>
    <w:rsid w:val="00205809"/>
    <w:rsid w:val="0020594E"/>
    <w:rsid w:val="00205C78"/>
    <w:rsid w:val="00206320"/>
    <w:rsid w:val="00206585"/>
    <w:rsid w:val="00206D29"/>
    <w:rsid w:val="00206DEF"/>
    <w:rsid w:val="0020720D"/>
    <w:rsid w:val="002072FB"/>
    <w:rsid w:val="00207806"/>
    <w:rsid w:val="00207DFF"/>
    <w:rsid w:val="00207F19"/>
    <w:rsid w:val="0021019D"/>
    <w:rsid w:val="0021059E"/>
    <w:rsid w:val="00210630"/>
    <w:rsid w:val="002108C1"/>
    <w:rsid w:val="00210CB8"/>
    <w:rsid w:val="002112F0"/>
    <w:rsid w:val="0021151C"/>
    <w:rsid w:val="00211B3B"/>
    <w:rsid w:val="002121F5"/>
    <w:rsid w:val="00212565"/>
    <w:rsid w:val="00212692"/>
    <w:rsid w:val="00212BC1"/>
    <w:rsid w:val="002138EC"/>
    <w:rsid w:val="00213A5B"/>
    <w:rsid w:val="002141A7"/>
    <w:rsid w:val="002149F0"/>
    <w:rsid w:val="00214A77"/>
    <w:rsid w:val="00215B93"/>
    <w:rsid w:val="00216986"/>
    <w:rsid w:val="002174B0"/>
    <w:rsid w:val="00217E5D"/>
    <w:rsid w:val="0022002C"/>
    <w:rsid w:val="002204F9"/>
    <w:rsid w:val="00220B1B"/>
    <w:rsid w:val="00220CF3"/>
    <w:rsid w:val="0022115C"/>
    <w:rsid w:val="00221844"/>
    <w:rsid w:val="00221975"/>
    <w:rsid w:val="00221C71"/>
    <w:rsid w:val="00221F75"/>
    <w:rsid w:val="002225E2"/>
    <w:rsid w:val="00222C25"/>
    <w:rsid w:val="00222E79"/>
    <w:rsid w:val="002230C6"/>
    <w:rsid w:val="00223231"/>
    <w:rsid w:val="002233E1"/>
    <w:rsid w:val="0022351D"/>
    <w:rsid w:val="00223BE7"/>
    <w:rsid w:val="00223C50"/>
    <w:rsid w:val="00223D3F"/>
    <w:rsid w:val="00223EC9"/>
    <w:rsid w:val="00224332"/>
    <w:rsid w:val="0022477A"/>
    <w:rsid w:val="00224D5B"/>
    <w:rsid w:val="0022503A"/>
    <w:rsid w:val="0022615E"/>
    <w:rsid w:val="002263B3"/>
    <w:rsid w:val="00226B4D"/>
    <w:rsid w:val="002270E5"/>
    <w:rsid w:val="002273F5"/>
    <w:rsid w:val="00227B92"/>
    <w:rsid w:val="002300FD"/>
    <w:rsid w:val="00230317"/>
    <w:rsid w:val="002306C3"/>
    <w:rsid w:val="00230A48"/>
    <w:rsid w:val="00231250"/>
    <w:rsid w:val="002314F7"/>
    <w:rsid w:val="00231506"/>
    <w:rsid w:val="00231792"/>
    <w:rsid w:val="00231AE4"/>
    <w:rsid w:val="00231D06"/>
    <w:rsid w:val="00231F80"/>
    <w:rsid w:val="0023223A"/>
    <w:rsid w:val="00232433"/>
    <w:rsid w:val="00232B81"/>
    <w:rsid w:val="00232F72"/>
    <w:rsid w:val="00232FE1"/>
    <w:rsid w:val="002333D0"/>
    <w:rsid w:val="00233757"/>
    <w:rsid w:val="00233F85"/>
    <w:rsid w:val="00234A27"/>
    <w:rsid w:val="00234AC4"/>
    <w:rsid w:val="00234FDE"/>
    <w:rsid w:val="00235D5B"/>
    <w:rsid w:val="00236EAA"/>
    <w:rsid w:val="002378DC"/>
    <w:rsid w:val="002379B3"/>
    <w:rsid w:val="00237BC9"/>
    <w:rsid w:val="00237DBF"/>
    <w:rsid w:val="002405CE"/>
    <w:rsid w:val="00240C50"/>
    <w:rsid w:val="0024161D"/>
    <w:rsid w:val="00241A4C"/>
    <w:rsid w:val="00241B39"/>
    <w:rsid w:val="002422D3"/>
    <w:rsid w:val="002425D3"/>
    <w:rsid w:val="002437C4"/>
    <w:rsid w:val="0024381D"/>
    <w:rsid w:val="00243CCB"/>
    <w:rsid w:val="00243E7E"/>
    <w:rsid w:val="00244256"/>
    <w:rsid w:val="002444B8"/>
    <w:rsid w:val="002446D3"/>
    <w:rsid w:val="00244E0D"/>
    <w:rsid w:val="00244E31"/>
    <w:rsid w:val="002452D8"/>
    <w:rsid w:val="002453D0"/>
    <w:rsid w:val="00245942"/>
    <w:rsid w:val="00245A22"/>
    <w:rsid w:val="00245D29"/>
    <w:rsid w:val="002461EF"/>
    <w:rsid w:val="00246619"/>
    <w:rsid w:val="00246943"/>
    <w:rsid w:val="00246AD0"/>
    <w:rsid w:val="00246C75"/>
    <w:rsid w:val="00246D85"/>
    <w:rsid w:val="002472D9"/>
    <w:rsid w:val="00247562"/>
    <w:rsid w:val="002479EC"/>
    <w:rsid w:val="00247C77"/>
    <w:rsid w:val="00247E13"/>
    <w:rsid w:val="00247E1C"/>
    <w:rsid w:val="002505C6"/>
    <w:rsid w:val="002507A3"/>
    <w:rsid w:val="002514A3"/>
    <w:rsid w:val="00251840"/>
    <w:rsid w:val="00252268"/>
    <w:rsid w:val="0025259C"/>
    <w:rsid w:val="0025293D"/>
    <w:rsid w:val="002529D1"/>
    <w:rsid w:val="00252E2C"/>
    <w:rsid w:val="00252E9F"/>
    <w:rsid w:val="00253B6D"/>
    <w:rsid w:val="00253C88"/>
    <w:rsid w:val="00254695"/>
    <w:rsid w:val="00254F77"/>
    <w:rsid w:val="002550A9"/>
    <w:rsid w:val="002555BB"/>
    <w:rsid w:val="00255CB8"/>
    <w:rsid w:val="002561F5"/>
    <w:rsid w:val="002566E3"/>
    <w:rsid w:val="00256945"/>
    <w:rsid w:val="002571FD"/>
    <w:rsid w:val="0025774D"/>
    <w:rsid w:val="00257AC0"/>
    <w:rsid w:val="00261273"/>
    <w:rsid w:val="002618F8"/>
    <w:rsid w:val="00261A91"/>
    <w:rsid w:val="002628B8"/>
    <w:rsid w:val="002628FF"/>
    <w:rsid w:val="00262A7E"/>
    <w:rsid w:val="00263300"/>
    <w:rsid w:val="00263FBC"/>
    <w:rsid w:val="002640BF"/>
    <w:rsid w:val="00264114"/>
    <w:rsid w:val="00264260"/>
    <w:rsid w:val="00264269"/>
    <w:rsid w:val="002647D6"/>
    <w:rsid w:val="00264B3F"/>
    <w:rsid w:val="00264BFD"/>
    <w:rsid w:val="00264DA4"/>
    <w:rsid w:val="00265469"/>
    <w:rsid w:val="00265713"/>
    <w:rsid w:val="00265C2F"/>
    <w:rsid w:val="00265D36"/>
    <w:rsid w:val="00265E0D"/>
    <w:rsid w:val="00266169"/>
    <w:rsid w:val="00266AA0"/>
    <w:rsid w:val="00266B7F"/>
    <w:rsid w:val="00266E49"/>
    <w:rsid w:val="00266ED7"/>
    <w:rsid w:val="002671E4"/>
    <w:rsid w:val="00267649"/>
    <w:rsid w:val="00267A7E"/>
    <w:rsid w:val="0027023B"/>
    <w:rsid w:val="00270335"/>
    <w:rsid w:val="00270DA6"/>
    <w:rsid w:val="00270E18"/>
    <w:rsid w:val="00270F5B"/>
    <w:rsid w:val="00271075"/>
    <w:rsid w:val="00271774"/>
    <w:rsid w:val="00271B0E"/>
    <w:rsid w:val="00272ACA"/>
    <w:rsid w:val="00272EBB"/>
    <w:rsid w:val="0027313C"/>
    <w:rsid w:val="00273686"/>
    <w:rsid w:val="0027381F"/>
    <w:rsid w:val="00273BBF"/>
    <w:rsid w:val="00273C80"/>
    <w:rsid w:val="0027413A"/>
    <w:rsid w:val="0027414F"/>
    <w:rsid w:val="00274316"/>
    <w:rsid w:val="00274511"/>
    <w:rsid w:val="00274624"/>
    <w:rsid w:val="00274896"/>
    <w:rsid w:val="00274978"/>
    <w:rsid w:val="00274CE4"/>
    <w:rsid w:val="00275124"/>
    <w:rsid w:val="00275D11"/>
    <w:rsid w:val="00275FC7"/>
    <w:rsid w:val="00276156"/>
    <w:rsid w:val="0027689E"/>
    <w:rsid w:val="00276A14"/>
    <w:rsid w:val="00276BCA"/>
    <w:rsid w:val="00276C27"/>
    <w:rsid w:val="00277111"/>
    <w:rsid w:val="00277323"/>
    <w:rsid w:val="002775CD"/>
    <w:rsid w:val="00280105"/>
    <w:rsid w:val="00280570"/>
    <w:rsid w:val="002806EF"/>
    <w:rsid w:val="00280774"/>
    <w:rsid w:val="00280C38"/>
    <w:rsid w:val="00280F6B"/>
    <w:rsid w:val="00281075"/>
    <w:rsid w:val="002811AD"/>
    <w:rsid w:val="00282686"/>
    <w:rsid w:val="002827C3"/>
    <w:rsid w:val="00283213"/>
    <w:rsid w:val="00283684"/>
    <w:rsid w:val="0028385A"/>
    <w:rsid w:val="002839CE"/>
    <w:rsid w:val="002839F5"/>
    <w:rsid w:val="00284031"/>
    <w:rsid w:val="00284526"/>
    <w:rsid w:val="00284591"/>
    <w:rsid w:val="0028471F"/>
    <w:rsid w:val="002854F0"/>
    <w:rsid w:val="002856E8"/>
    <w:rsid w:val="00285949"/>
    <w:rsid w:val="00285B47"/>
    <w:rsid w:val="00285E32"/>
    <w:rsid w:val="00285ECA"/>
    <w:rsid w:val="00286375"/>
    <w:rsid w:val="00286AFB"/>
    <w:rsid w:val="00286FA2"/>
    <w:rsid w:val="00287E8C"/>
    <w:rsid w:val="00287EEA"/>
    <w:rsid w:val="00290167"/>
    <w:rsid w:val="002903F7"/>
    <w:rsid w:val="0029090E"/>
    <w:rsid w:val="00290DD7"/>
    <w:rsid w:val="00291300"/>
    <w:rsid w:val="00291771"/>
    <w:rsid w:val="00291999"/>
    <w:rsid w:val="00291B11"/>
    <w:rsid w:val="00291C26"/>
    <w:rsid w:val="0029201D"/>
    <w:rsid w:val="002920FF"/>
    <w:rsid w:val="00292337"/>
    <w:rsid w:val="00292410"/>
    <w:rsid w:val="00292550"/>
    <w:rsid w:val="00292CC3"/>
    <w:rsid w:val="0029389E"/>
    <w:rsid w:val="002938A6"/>
    <w:rsid w:val="0029512D"/>
    <w:rsid w:val="002953E9"/>
    <w:rsid w:val="00295C12"/>
    <w:rsid w:val="00295ECB"/>
    <w:rsid w:val="00295F84"/>
    <w:rsid w:val="00296519"/>
    <w:rsid w:val="00296639"/>
    <w:rsid w:val="0029663F"/>
    <w:rsid w:val="00296672"/>
    <w:rsid w:val="00296ACB"/>
    <w:rsid w:val="00296F1F"/>
    <w:rsid w:val="002977FC"/>
    <w:rsid w:val="002A007C"/>
    <w:rsid w:val="002A0665"/>
    <w:rsid w:val="002A0825"/>
    <w:rsid w:val="002A089C"/>
    <w:rsid w:val="002A0BE3"/>
    <w:rsid w:val="002A0C60"/>
    <w:rsid w:val="002A1047"/>
    <w:rsid w:val="002A1732"/>
    <w:rsid w:val="002A189C"/>
    <w:rsid w:val="002A2494"/>
    <w:rsid w:val="002A2918"/>
    <w:rsid w:val="002A2FAA"/>
    <w:rsid w:val="002A3949"/>
    <w:rsid w:val="002A44DD"/>
    <w:rsid w:val="002A48F3"/>
    <w:rsid w:val="002A4E9D"/>
    <w:rsid w:val="002A4F1C"/>
    <w:rsid w:val="002A4F63"/>
    <w:rsid w:val="002A5304"/>
    <w:rsid w:val="002A552E"/>
    <w:rsid w:val="002A555E"/>
    <w:rsid w:val="002A56AE"/>
    <w:rsid w:val="002A685A"/>
    <w:rsid w:val="002A685B"/>
    <w:rsid w:val="002A6940"/>
    <w:rsid w:val="002A6B4A"/>
    <w:rsid w:val="002A7252"/>
    <w:rsid w:val="002A7923"/>
    <w:rsid w:val="002A7987"/>
    <w:rsid w:val="002A79EA"/>
    <w:rsid w:val="002A7AD3"/>
    <w:rsid w:val="002A7BC6"/>
    <w:rsid w:val="002B03F1"/>
    <w:rsid w:val="002B081D"/>
    <w:rsid w:val="002B16F3"/>
    <w:rsid w:val="002B1C03"/>
    <w:rsid w:val="002B2223"/>
    <w:rsid w:val="002B2704"/>
    <w:rsid w:val="002B2C2D"/>
    <w:rsid w:val="002B30D8"/>
    <w:rsid w:val="002B3517"/>
    <w:rsid w:val="002B40D0"/>
    <w:rsid w:val="002B4136"/>
    <w:rsid w:val="002B4297"/>
    <w:rsid w:val="002B4ABB"/>
    <w:rsid w:val="002B4CA6"/>
    <w:rsid w:val="002B5580"/>
    <w:rsid w:val="002B5701"/>
    <w:rsid w:val="002B59CE"/>
    <w:rsid w:val="002B5AB5"/>
    <w:rsid w:val="002B5BD5"/>
    <w:rsid w:val="002B60DD"/>
    <w:rsid w:val="002B66D1"/>
    <w:rsid w:val="002B6C1C"/>
    <w:rsid w:val="002B7077"/>
    <w:rsid w:val="002B74CE"/>
    <w:rsid w:val="002B7529"/>
    <w:rsid w:val="002B7566"/>
    <w:rsid w:val="002B7764"/>
    <w:rsid w:val="002C00E2"/>
    <w:rsid w:val="002C014F"/>
    <w:rsid w:val="002C08A6"/>
    <w:rsid w:val="002C0BC9"/>
    <w:rsid w:val="002C0FFB"/>
    <w:rsid w:val="002C1073"/>
    <w:rsid w:val="002C127F"/>
    <w:rsid w:val="002C1F80"/>
    <w:rsid w:val="002C210C"/>
    <w:rsid w:val="002C2431"/>
    <w:rsid w:val="002C2468"/>
    <w:rsid w:val="002C2C89"/>
    <w:rsid w:val="002C370A"/>
    <w:rsid w:val="002C380C"/>
    <w:rsid w:val="002C3946"/>
    <w:rsid w:val="002C39C9"/>
    <w:rsid w:val="002C48F7"/>
    <w:rsid w:val="002C4E5F"/>
    <w:rsid w:val="002C4EE6"/>
    <w:rsid w:val="002C50EF"/>
    <w:rsid w:val="002C54B1"/>
    <w:rsid w:val="002C56C9"/>
    <w:rsid w:val="002C5A60"/>
    <w:rsid w:val="002C5C0F"/>
    <w:rsid w:val="002C5F0E"/>
    <w:rsid w:val="002C64C6"/>
    <w:rsid w:val="002C67F0"/>
    <w:rsid w:val="002C68A8"/>
    <w:rsid w:val="002C72BC"/>
    <w:rsid w:val="002C7A4C"/>
    <w:rsid w:val="002D04DC"/>
    <w:rsid w:val="002D0CB3"/>
    <w:rsid w:val="002D0CBA"/>
    <w:rsid w:val="002D0DF5"/>
    <w:rsid w:val="002D129A"/>
    <w:rsid w:val="002D1DA9"/>
    <w:rsid w:val="002D1F45"/>
    <w:rsid w:val="002D2372"/>
    <w:rsid w:val="002D23F6"/>
    <w:rsid w:val="002D2444"/>
    <w:rsid w:val="002D258D"/>
    <w:rsid w:val="002D26A2"/>
    <w:rsid w:val="002D2755"/>
    <w:rsid w:val="002D2A67"/>
    <w:rsid w:val="002D2BE5"/>
    <w:rsid w:val="002D2C21"/>
    <w:rsid w:val="002D31DE"/>
    <w:rsid w:val="002D3FA2"/>
    <w:rsid w:val="002D4820"/>
    <w:rsid w:val="002D49FB"/>
    <w:rsid w:val="002D4C7A"/>
    <w:rsid w:val="002D4DEA"/>
    <w:rsid w:val="002D5268"/>
    <w:rsid w:val="002D5501"/>
    <w:rsid w:val="002D56D5"/>
    <w:rsid w:val="002D5745"/>
    <w:rsid w:val="002D59AB"/>
    <w:rsid w:val="002D5E5D"/>
    <w:rsid w:val="002D6284"/>
    <w:rsid w:val="002D6618"/>
    <w:rsid w:val="002D67C6"/>
    <w:rsid w:val="002D69F7"/>
    <w:rsid w:val="002D6CFA"/>
    <w:rsid w:val="002D70C0"/>
    <w:rsid w:val="002D7309"/>
    <w:rsid w:val="002D7A94"/>
    <w:rsid w:val="002D7BCB"/>
    <w:rsid w:val="002E03B4"/>
    <w:rsid w:val="002E05B6"/>
    <w:rsid w:val="002E175C"/>
    <w:rsid w:val="002E1C63"/>
    <w:rsid w:val="002E1E75"/>
    <w:rsid w:val="002E2B70"/>
    <w:rsid w:val="002E2B9D"/>
    <w:rsid w:val="002E2C59"/>
    <w:rsid w:val="002E3416"/>
    <w:rsid w:val="002E382A"/>
    <w:rsid w:val="002E3834"/>
    <w:rsid w:val="002E3B40"/>
    <w:rsid w:val="002E3C17"/>
    <w:rsid w:val="002E3EBD"/>
    <w:rsid w:val="002E46F6"/>
    <w:rsid w:val="002E4C06"/>
    <w:rsid w:val="002E52F8"/>
    <w:rsid w:val="002E5B7F"/>
    <w:rsid w:val="002E6D69"/>
    <w:rsid w:val="002E7912"/>
    <w:rsid w:val="002E79F8"/>
    <w:rsid w:val="002E7D83"/>
    <w:rsid w:val="002F0647"/>
    <w:rsid w:val="002F181C"/>
    <w:rsid w:val="002F1917"/>
    <w:rsid w:val="002F2572"/>
    <w:rsid w:val="002F2ABB"/>
    <w:rsid w:val="002F2C15"/>
    <w:rsid w:val="002F2C25"/>
    <w:rsid w:val="002F2DAD"/>
    <w:rsid w:val="002F3583"/>
    <w:rsid w:val="002F4032"/>
    <w:rsid w:val="002F4815"/>
    <w:rsid w:val="002F48F3"/>
    <w:rsid w:val="002F502B"/>
    <w:rsid w:val="002F5279"/>
    <w:rsid w:val="002F5651"/>
    <w:rsid w:val="002F59BF"/>
    <w:rsid w:val="002F5B46"/>
    <w:rsid w:val="002F6751"/>
    <w:rsid w:val="002F6866"/>
    <w:rsid w:val="002F69AF"/>
    <w:rsid w:val="002F6B8B"/>
    <w:rsid w:val="002F7364"/>
    <w:rsid w:val="002F78F7"/>
    <w:rsid w:val="002F7C1B"/>
    <w:rsid w:val="002F7C22"/>
    <w:rsid w:val="002F7F76"/>
    <w:rsid w:val="003001A9"/>
    <w:rsid w:val="003003CE"/>
    <w:rsid w:val="003008C2"/>
    <w:rsid w:val="00300A53"/>
    <w:rsid w:val="00300FA2"/>
    <w:rsid w:val="00301008"/>
    <w:rsid w:val="0030186A"/>
    <w:rsid w:val="00301C6B"/>
    <w:rsid w:val="00301D69"/>
    <w:rsid w:val="00301DFD"/>
    <w:rsid w:val="00302596"/>
    <w:rsid w:val="00302E2C"/>
    <w:rsid w:val="0030300B"/>
    <w:rsid w:val="003035DD"/>
    <w:rsid w:val="00303874"/>
    <w:rsid w:val="00303C18"/>
    <w:rsid w:val="0030478E"/>
    <w:rsid w:val="003049A0"/>
    <w:rsid w:val="00304BCB"/>
    <w:rsid w:val="00304CA5"/>
    <w:rsid w:val="003050A3"/>
    <w:rsid w:val="0030541E"/>
    <w:rsid w:val="00305539"/>
    <w:rsid w:val="00305679"/>
    <w:rsid w:val="00305B4E"/>
    <w:rsid w:val="00305D97"/>
    <w:rsid w:val="00306342"/>
    <w:rsid w:val="00306A11"/>
    <w:rsid w:val="00306BB2"/>
    <w:rsid w:val="003073EF"/>
    <w:rsid w:val="003074A5"/>
    <w:rsid w:val="00307B62"/>
    <w:rsid w:val="00307D62"/>
    <w:rsid w:val="00307F1F"/>
    <w:rsid w:val="0031038E"/>
    <w:rsid w:val="003104CE"/>
    <w:rsid w:val="003105A6"/>
    <w:rsid w:val="00310639"/>
    <w:rsid w:val="00310942"/>
    <w:rsid w:val="00310EF5"/>
    <w:rsid w:val="00311FA6"/>
    <w:rsid w:val="003124F6"/>
    <w:rsid w:val="00312C22"/>
    <w:rsid w:val="00312C53"/>
    <w:rsid w:val="003136E1"/>
    <w:rsid w:val="00313867"/>
    <w:rsid w:val="00313EA7"/>
    <w:rsid w:val="003145E9"/>
    <w:rsid w:val="00314B1B"/>
    <w:rsid w:val="00314DEE"/>
    <w:rsid w:val="00315F32"/>
    <w:rsid w:val="00315FF1"/>
    <w:rsid w:val="0031611E"/>
    <w:rsid w:val="0031645F"/>
    <w:rsid w:val="003167DD"/>
    <w:rsid w:val="00316C95"/>
    <w:rsid w:val="00317962"/>
    <w:rsid w:val="00317A94"/>
    <w:rsid w:val="00317C60"/>
    <w:rsid w:val="0032095D"/>
    <w:rsid w:val="00320B23"/>
    <w:rsid w:val="0032140E"/>
    <w:rsid w:val="0032173F"/>
    <w:rsid w:val="00321AAA"/>
    <w:rsid w:val="00321AF3"/>
    <w:rsid w:val="00321C88"/>
    <w:rsid w:val="00323419"/>
    <w:rsid w:val="00323D40"/>
    <w:rsid w:val="0032412D"/>
    <w:rsid w:val="003245A7"/>
    <w:rsid w:val="00324655"/>
    <w:rsid w:val="0032471B"/>
    <w:rsid w:val="00324CCB"/>
    <w:rsid w:val="00324D47"/>
    <w:rsid w:val="00325171"/>
    <w:rsid w:val="003255DD"/>
    <w:rsid w:val="003256BB"/>
    <w:rsid w:val="00325C60"/>
    <w:rsid w:val="00326218"/>
    <w:rsid w:val="00326727"/>
    <w:rsid w:val="003272B9"/>
    <w:rsid w:val="00327571"/>
    <w:rsid w:val="00327A3D"/>
    <w:rsid w:val="00327BE9"/>
    <w:rsid w:val="00327D96"/>
    <w:rsid w:val="00327EA9"/>
    <w:rsid w:val="00327FA3"/>
    <w:rsid w:val="0033011E"/>
    <w:rsid w:val="00330337"/>
    <w:rsid w:val="0033090D"/>
    <w:rsid w:val="003312D8"/>
    <w:rsid w:val="003314EB"/>
    <w:rsid w:val="003314FB"/>
    <w:rsid w:val="003315BD"/>
    <w:rsid w:val="0033161C"/>
    <w:rsid w:val="00331768"/>
    <w:rsid w:val="0033195A"/>
    <w:rsid w:val="003321E2"/>
    <w:rsid w:val="00332304"/>
    <w:rsid w:val="003327E7"/>
    <w:rsid w:val="00332C9A"/>
    <w:rsid w:val="00332DDD"/>
    <w:rsid w:val="003337B6"/>
    <w:rsid w:val="00333955"/>
    <w:rsid w:val="00333C0C"/>
    <w:rsid w:val="00333D98"/>
    <w:rsid w:val="003344B5"/>
    <w:rsid w:val="00334E71"/>
    <w:rsid w:val="00334F21"/>
    <w:rsid w:val="00335039"/>
    <w:rsid w:val="0033539F"/>
    <w:rsid w:val="00335792"/>
    <w:rsid w:val="00335C3C"/>
    <w:rsid w:val="00336076"/>
    <w:rsid w:val="00336078"/>
    <w:rsid w:val="003367CE"/>
    <w:rsid w:val="003369AF"/>
    <w:rsid w:val="00336D55"/>
    <w:rsid w:val="00336EDD"/>
    <w:rsid w:val="0033721A"/>
    <w:rsid w:val="00337432"/>
    <w:rsid w:val="0033750B"/>
    <w:rsid w:val="00337A41"/>
    <w:rsid w:val="00340222"/>
    <w:rsid w:val="0034029E"/>
    <w:rsid w:val="00340BA3"/>
    <w:rsid w:val="00340F4D"/>
    <w:rsid w:val="003412B1"/>
    <w:rsid w:val="00341920"/>
    <w:rsid w:val="00341CE9"/>
    <w:rsid w:val="00342264"/>
    <w:rsid w:val="00342BC9"/>
    <w:rsid w:val="0034303C"/>
    <w:rsid w:val="003438E4"/>
    <w:rsid w:val="00343BEA"/>
    <w:rsid w:val="00343C63"/>
    <w:rsid w:val="00343D0D"/>
    <w:rsid w:val="00343D66"/>
    <w:rsid w:val="00344276"/>
    <w:rsid w:val="003448BB"/>
    <w:rsid w:val="00344C7A"/>
    <w:rsid w:val="00344CC6"/>
    <w:rsid w:val="00344E22"/>
    <w:rsid w:val="00345200"/>
    <w:rsid w:val="00345283"/>
    <w:rsid w:val="003452A4"/>
    <w:rsid w:val="003455FC"/>
    <w:rsid w:val="003459E0"/>
    <w:rsid w:val="00345A21"/>
    <w:rsid w:val="00345E42"/>
    <w:rsid w:val="00346250"/>
    <w:rsid w:val="003465DD"/>
    <w:rsid w:val="00346ABC"/>
    <w:rsid w:val="00346DA6"/>
    <w:rsid w:val="003476C8"/>
    <w:rsid w:val="00347D5D"/>
    <w:rsid w:val="003501A8"/>
    <w:rsid w:val="00350670"/>
    <w:rsid w:val="0035069D"/>
    <w:rsid w:val="003507FF"/>
    <w:rsid w:val="00350A6B"/>
    <w:rsid w:val="00350C42"/>
    <w:rsid w:val="00351180"/>
    <w:rsid w:val="00351A80"/>
    <w:rsid w:val="00351C87"/>
    <w:rsid w:val="00351E47"/>
    <w:rsid w:val="00351F4A"/>
    <w:rsid w:val="0035215B"/>
    <w:rsid w:val="003524B7"/>
    <w:rsid w:val="00352534"/>
    <w:rsid w:val="003529F3"/>
    <w:rsid w:val="0035342A"/>
    <w:rsid w:val="003534D1"/>
    <w:rsid w:val="003537B7"/>
    <w:rsid w:val="00354022"/>
    <w:rsid w:val="00354D3D"/>
    <w:rsid w:val="00355362"/>
    <w:rsid w:val="00355453"/>
    <w:rsid w:val="00355767"/>
    <w:rsid w:val="00355885"/>
    <w:rsid w:val="00355A8F"/>
    <w:rsid w:val="00355CAC"/>
    <w:rsid w:val="00355FF9"/>
    <w:rsid w:val="003562BC"/>
    <w:rsid w:val="003565B0"/>
    <w:rsid w:val="0035668A"/>
    <w:rsid w:val="00356DAE"/>
    <w:rsid w:val="0035777D"/>
    <w:rsid w:val="00357A0F"/>
    <w:rsid w:val="00357DA1"/>
    <w:rsid w:val="0036003C"/>
    <w:rsid w:val="003602CB"/>
    <w:rsid w:val="00360C99"/>
    <w:rsid w:val="003610DE"/>
    <w:rsid w:val="003619F1"/>
    <w:rsid w:val="00361B55"/>
    <w:rsid w:val="003620BE"/>
    <w:rsid w:val="003623E0"/>
    <w:rsid w:val="00362940"/>
    <w:rsid w:val="00362A70"/>
    <w:rsid w:val="00362BCD"/>
    <w:rsid w:val="00362C3E"/>
    <w:rsid w:val="00362F26"/>
    <w:rsid w:val="0036321C"/>
    <w:rsid w:val="0036363C"/>
    <w:rsid w:val="003638CD"/>
    <w:rsid w:val="0036438A"/>
    <w:rsid w:val="003643A1"/>
    <w:rsid w:val="003655B7"/>
    <w:rsid w:val="00365661"/>
    <w:rsid w:val="003656BE"/>
    <w:rsid w:val="00365D22"/>
    <w:rsid w:val="00365FAC"/>
    <w:rsid w:val="003667D3"/>
    <w:rsid w:val="00366C65"/>
    <w:rsid w:val="00367391"/>
    <w:rsid w:val="003675FE"/>
    <w:rsid w:val="003679BE"/>
    <w:rsid w:val="00367B0D"/>
    <w:rsid w:val="00367B2F"/>
    <w:rsid w:val="00367D2B"/>
    <w:rsid w:val="00367FF9"/>
    <w:rsid w:val="00370746"/>
    <w:rsid w:val="00370829"/>
    <w:rsid w:val="00370B2A"/>
    <w:rsid w:val="003716FD"/>
    <w:rsid w:val="0037192A"/>
    <w:rsid w:val="00371A39"/>
    <w:rsid w:val="00371E3D"/>
    <w:rsid w:val="00371FF9"/>
    <w:rsid w:val="003721C7"/>
    <w:rsid w:val="00372459"/>
    <w:rsid w:val="0037273B"/>
    <w:rsid w:val="00372969"/>
    <w:rsid w:val="0037324C"/>
    <w:rsid w:val="00373942"/>
    <w:rsid w:val="00373D91"/>
    <w:rsid w:val="003742CC"/>
    <w:rsid w:val="00374467"/>
    <w:rsid w:val="00374DFF"/>
    <w:rsid w:val="0037506F"/>
    <w:rsid w:val="00375156"/>
    <w:rsid w:val="00375279"/>
    <w:rsid w:val="00375955"/>
    <w:rsid w:val="00375987"/>
    <w:rsid w:val="00375E22"/>
    <w:rsid w:val="00375E6B"/>
    <w:rsid w:val="0037628C"/>
    <w:rsid w:val="0037631A"/>
    <w:rsid w:val="00376713"/>
    <w:rsid w:val="0037697C"/>
    <w:rsid w:val="00376F4D"/>
    <w:rsid w:val="003771A7"/>
    <w:rsid w:val="003776B4"/>
    <w:rsid w:val="00380B0C"/>
    <w:rsid w:val="00380D04"/>
    <w:rsid w:val="00381EDB"/>
    <w:rsid w:val="00382604"/>
    <w:rsid w:val="003832CB"/>
    <w:rsid w:val="003842FD"/>
    <w:rsid w:val="00384564"/>
    <w:rsid w:val="003848CC"/>
    <w:rsid w:val="00385251"/>
    <w:rsid w:val="00385B9D"/>
    <w:rsid w:val="00385D19"/>
    <w:rsid w:val="00385E24"/>
    <w:rsid w:val="003864C6"/>
    <w:rsid w:val="0038671D"/>
    <w:rsid w:val="003867C0"/>
    <w:rsid w:val="00386880"/>
    <w:rsid w:val="0038758B"/>
    <w:rsid w:val="00387A28"/>
    <w:rsid w:val="003902A5"/>
    <w:rsid w:val="00390367"/>
    <w:rsid w:val="00390DA3"/>
    <w:rsid w:val="00390FE7"/>
    <w:rsid w:val="0039112A"/>
    <w:rsid w:val="0039144A"/>
    <w:rsid w:val="0039203C"/>
    <w:rsid w:val="00392085"/>
    <w:rsid w:val="0039214F"/>
    <w:rsid w:val="0039231A"/>
    <w:rsid w:val="003926B6"/>
    <w:rsid w:val="003928B0"/>
    <w:rsid w:val="0039376C"/>
    <w:rsid w:val="00393A27"/>
    <w:rsid w:val="0039418A"/>
    <w:rsid w:val="0039451F"/>
    <w:rsid w:val="003945F1"/>
    <w:rsid w:val="003952B2"/>
    <w:rsid w:val="00395374"/>
    <w:rsid w:val="00395DA9"/>
    <w:rsid w:val="00395F48"/>
    <w:rsid w:val="0039614A"/>
    <w:rsid w:val="00396502"/>
    <w:rsid w:val="0039661B"/>
    <w:rsid w:val="003972BA"/>
    <w:rsid w:val="00397DAC"/>
    <w:rsid w:val="003A0988"/>
    <w:rsid w:val="003A09C2"/>
    <w:rsid w:val="003A0A91"/>
    <w:rsid w:val="003A0C47"/>
    <w:rsid w:val="003A1095"/>
    <w:rsid w:val="003A1827"/>
    <w:rsid w:val="003A18F7"/>
    <w:rsid w:val="003A1985"/>
    <w:rsid w:val="003A1FFD"/>
    <w:rsid w:val="003A2034"/>
    <w:rsid w:val="003A219A"/>
    <w:rsid w:val="003A237D"/>
    <w:rsid w:val="003A27B9"/>
    <w:rsid w:val="003A27E0"/>
    <w:rsid w:val="003A280F"/>
    <w:rsid w:val="003A3013"/>
    <w:rsid w:val="003A326E"/>
    <w:rsid w:val="003A381A"/>
    <w:rsid w:val="003A3EB9"/>
    <w:rsid w:val="003A44A9"/>
    <w:rsid w:val="003A4C99"/>
    <w:rsid w:val="003A58E8"/>
    <w:rsid w:val="003A602F"/>
    <w:rsid w:val="003A68E6"/>
    <w:rsid w:val="003B0279"/>
    <w:rsid w:val="003B0D2F"/>
    <w:rsid w:val="003B14CC"/>
    <w:rsid w:val="003B1ACF"/>
    <w:rsid w:val="003B1F1D"/>
    <w:rsid w:val="003B1F9B"/>
    <w:rsid w:val="003B1FCD"/>
    <w:rsid w:val="003B215C"/>
    <w:rsid w:val="003B24C8"/>
    <w:rsid w:val="003B2730"/>
    <w:rsid w:val="003B2778"/>
    <w:rsid w:val="003B2859"/>
    <w:rsid w:val="003B307E"/>
    <w:rsid w:val="003B33D3"/>
    <w:rsid w:val="003B358B"/>
    <w:rsid w:val="003B3838"/>
    <w:rsid w:val="003B4501"/>
    <w:rsid w:val="003B484C"/>
    <w:rsid w:val="003B4F9F"/>
    <w:rsid w:val="003B563A"/>
    <w:rsid w:val="003B5A2A"/>
    <w:rsid w:val="003B5FC7"/>
    <w:rsid w:val="003B604A"/>
    <w:rsid w:val="003B60EE"/>
    <w:rsid w:val="003B68B1"/>
    <w:rsid w:val="003B68D2"/>
    <w:rsid w:val="003B6ABF"/>
    <w:rsid w:val="003B6F98"/>
    <w:rsid w:val="003B732C"/>
    <w:rsid w:val="003B735C"/>
    <w:rsid w:val="003C01BA"/>
    <w:rsid w:val="003C05CF"/>
    <w:rsid w:val="003C08EC"/>
    <w:rsid w:val="003C0B3D"/>
    <w:rsid w:val="003C0F8E"/>
    <w:rsid w:val="003C1043"/>
    <w:rsid w:val="003C12AF"/>
    <w:rsid w:val="003C20ED"/>
    <w:rsid w:val="003C21C4"/>
    <w:rsid w:val="003C28C3"/>
    <w:rsid w:val="003C2B59"/>
    <w:rsid w:val="003C37BA"/>
    <w:rsid w:val="003C40EE"/>
    <w:rsid w:val="003C4252"/>
    <w:rsid w:val="003C43CE"/>
    <w:rsid w:val="003C47C5"/>
    <w:rsid w:val="003C484A"/>
    <w:rsid w:val="003C5156"/>
    <w:rsid w:val="003C5306"/>
    <w:rsid w:val="003C53E0"/>
    <w:rsid w:val="003C565F"/>
    <w:rsid w:val="003C5ED3"/>
    <w:rsid w:val="003C6D32"/>
    <w:rsid w:val="003C72B7"/>
    <w:rsid w:val="003C7373"/>
    <w:rsid w:val="003D02E8"/>
    <w:rsid w:val="003D04F0"/>
    <w:rsid w:val="003D0991"/>
    <w:rsid w:val="003D0A5C"/>
    <w:rsid w:val="003D0D4B"/>
    <w:rsid w:val="003D0D75"/>
    <w:rsid w:val="003D0E2F"/>
    <w:rsid w:val="003D0E76"/>
    <w:rsid w:val="003D1095"/>
    <w:rsid w:val="003D1396"/>
    <w:rsid w:val="003D19B8"/>
    <w:rsid w:val="003D1D68"/>
    <w:rsid w:val="003D2196"/>
    <w:rsid w:val="003D26BA"/>
    <w:rsid w:val="003D2F05"/>
    <w:rsid w:val="003D2FCE"/>
    <w:rsid w:val="003D34E4"/>
    <w:rsid w:val="003D3B36"/>
    <w:rsid w:val="003D40DF"/>
    <w:rsid w:val="003D4F10"/>
    <w:rsid w:val="003D5260"/>
    <w:rsid w:val="003D56B0"/>
    <w:rsid w:val="003D5A4F"/>
    <w:rsid w:val="003D689C"/>
    <w:rsid w:val="003D69D2"/>
    <w:rsid w:val="003D6E4F"/>
    <w:rsid w:val="003D6F22"/>
    <w:rsid w:val="003D7053"/>
    <w:rsid w:val="003D707D"/>
    <w:rsid w:val="003D7164"/>
    <w:rsid w:val="003D7634"/>
    <w:rsid w:val="003D79AD"/>
    <w:rsid w:val="003E1265"/>
    <w:rsid w:val="003E1456"/>
    <w:rsid w:val="003E23C4"/>
    <w:rsid w:val="003E2782"/>
    <w:rsid w:val="003E2C66"/>
    <w:rsid w:val="003E2E5E"/>
    <w:rsid w:val="003E2F1B"/>
    <w:rsid w:val="003E2F99"/>
    <w:rsid w:val="003E3060"/>
    <w:rsid w:val="003E30AD"/>
    <w:rsid w:val="003E3133"/>
    <w:rsid w:val="003E31D7"/>
    <w:rsid w:val="003E399F"/>
    <w:rsid w:val="003E3B65"/>
    <w:rsid w:val="003E3D63"/>
    <w:rsid w:val="003E3E25"/>
    <w:rsid w:val="003E4636"/>
    <w:rsid w:val="003E464E"/>
    <w:rsid w:val="003E485A"/>
    <w:rsid w:val="003E4869"/>
    <w:rsid w:val="003E547D"/>
    <w:rsid w:val="003E5851"/>
    <w:rsid w:val="003E5B8A"/>
    <w:rsid w:val="003E5E21"/>
    <w:rsid w:val="003E636F"/>
    <w:rsid w:val="003E6C15"/>
    <w:rsid w:val="003E6D5F"/>
    <w:rsid w:val="003E7020"/>
    <w:rsid w:val="003E72E9"/>
    <w:rsid w:val="003E7B8A"/>
    <w:rsid w:val="003E7C5D"/>
    <w:rsid w:val="003E7E91"/>
    <w:rsid w:val="003E7EB7"/>
    <w:rsid w:val="003E7F5B"/>
    <w:rsid w:val="003F01DF"/>
    <w:rsid w:val="003F06B0"/>
    <w:rsid w:val="003F0822"/>
    <w:rsid w:val="003F08E5"/>
    <w:rsid w:val="003F1148"/>
    <w:rsid w:val="003F129E"/>
    <w:rsid w:val="003F12D7"/>
    <w:rsid w:val="003F1396"/>
    <w:rsid w:val="003F174F"/>
    <w:rsid w:val="003F1B17"/>
    <w:rsid w:val="003F1B44"/>
    <w:rsid w:val="003F1DE7"/>
    <w:rsid w:val="003F1EA7"/>
    <w:rsid w:val="003F1EC9"/>
    <w:rsid w:val="003F1EFD"/>
    <w:rsid w:val="003F1F11"/>
    <w:rsid w:val="003F1F5B"/>
    <w:rsid w:val="003F1FB6"/>
    <w:rsid w:val="003F2753"/>
    <w:rsid w:val="003F32EB"/>
    <w:rsid w:val="003F341E"/>
    <w:rsid w:val="003F3503"/>
    <w:rsid w:val="003F36CF"/>
    <w:rsid w:val="003F392E"/>
    <w:rsid w:val="003F3C3D"/>
    <w:rsid w:val="003F4E7C"/>
    <w:rsid w:val="003F4FF0"/>
    <w:rsid w:val="003F502D"/>
    <w:rsid w:val="003F518E"/>
    <w:rsid w:val="003F55AE"/>
    <w:rsid w:val="003F566D"/>
    <w:rsid w:val="003F572C"/>
    <w:rsid w:val="003F65AF"/>
    <w:rsid w:val="003F6749"/>
    <w:rsid w:val="003F6BC7"/>
    <w:rsid w:val="003F6D55"/>
    <w:rsid w:val="003F6D6A"/>
    <w:rsid w:val="003F6E77"/>
    <w:rsid w:val="003F70BC"/>
    <w:rsid w:val="003F7141"/>
    <w:rsid w:val="003F7200"/>
    <w:rsid w:val="003F75D8"/>
    <w:rsid w:val="003F767B"/>
    <w:rsid w:val="003F79E0"/>
    <w:rsid w:val="003F7B02"/>
    <w:rsid w:val="003F7BF1"/>
    <w:rsid w:val="004002E4"/>
    <w:rsid w:val="0040048B"/>
    <w:rsid w:val="00400766"/>
    <w:rsid w:val="004008EC"/>
    <w:rsid w:val="00400C77"/>
    <w:rsid w:val="00401388"/>
    <w:rsid w:val="00401517"/>
    <w:rsid w:val="00401894"/>
    <w:rsid w:val="00401A5C"/>
    <w:rsid w:val="004021FE"/>
    <w:rsid w:val="0040277D"/>
    <w:rsid w:val="00402D96"/>
    <w:rsid w:val="00402E34"/>
    <w:rsid w:val="0040367E"/>
    <w:rsid w:val="00403739"/>
    <w:rsid w:val="00403AC6"/>
    <w:rsid w:val="00403C9D"/>
    <w:rsid w:val="00404177"/>
    <w:rsid w:val="00404348"/>
    <w:rsid w:val="00404779"/>
    <w:rsid w:val="004049B5"/>
    <w:rsid w:val="004055E0"/>
    <w:rsid w:val="004057A6"/>
    <w:rsid w:val="00405C5F"/>
    <w:rsid w:val="00406278"/>
    <w:rsid w:val="00406462"/>
    <w:rsid w:val="00406583"/>
    <w:rsid w:val="004068B0"/>
    <w:rsid w:val="004069C9"/>
    <w:rsid w:val="00406BD4"/>
    <w:rsid w:val="00406D7D"/>
    <w:rsid w:val="004075A1"/>
    <w:rsid w:val="00410595"/>
    <w:rsid w:val="00410618"/>
    <w:rsid w:val="00410D3A"/>
    <w:rsid w:val="0041139A"/>
    <w:rsid w:val="004117AF"/>
    <w:rsid w:val="00411998"/>
    <w:rsid w:val="00411A2A"/>
    <w:rsid w:val="00411E2D"/>
    <w:rsid w:val="00411F82"/>
    <w:rsid w:val="004120F0"/>
    <w:rsid w:val="004121B0"/>
    <w:rsid w:val="0041238E"/>
    <w:rsid w:val="00412403"/>
    <w:rsid w:val="0041265E"/>
    <w:rsid w:val="00412FBF"/>
    <w:rsid w:val="0041355C"/>
    <w:rsid w:val="0041359A"/>
    <w:rsid w:val="00413E8D"/>
    <w:rsid w:val="0041428A"/>
    <w:rsid w:val="0041448F"/>
    <w:rsid w:val="00414955"/>
    <w:rsid w:val="00414BBF"/>
    <w:rsid w:val="004161DB"/>
    <w:rsid w:val="00416348"/>
    <w:rsid w:val="004169B9"/>
    <w:rsid w:val="00416C5D"/>
    <w:rsid w:val="00417124"/>
    <w:rsid w:val="00417171"/>
    <w:rsid w:val="00417265"/>
    <w:rsid w:val="00417A62"/>
    <w:rsid w:val="00417C76"/>
    <w:rsid w:val="00417EC1"/>
    <w:rsid w:val="0042047E"/>
    <w:rsid w:val="004209AF"/>
    <w:rsid w:val="00420FD1"/>
    <w:rsid w:val="004212BA"/>
    <w:rsid w:val="004213FC"/>
    <w:rsid w:val="00421B73"/>
    <w:rsid w:val="0042235E"/>
    <w:rsid w:val="00422365"/>
    <w:rsid w:val="00422D88"/>
    <w:rsid w:val="004232B3"/>
    <w:rsid w:val="00423366"/>
    <w:rsid w:val="0042373E"/>
    <w:rsid w:val="00423846"/>
    <w:rsid w:val="00424887"/>
    <w:rsid w:val="00424F78"/>
    <w:rsid w:val="004255B3"/>
    <w:rsid w:val="00425760"/>
    <w:rsid w:val="004257E6"/>
    <w:rsid w:val="00425E79"/>
    <w:rsid w:val="00425F71"/>
    <w:rsid w:val="00425FB9"/>
    <w:rsid w:val="00426158"/>
    <w:rsid w:val="00426329"/>
    <w:rsid w:val="00426E73"/>
    <w:rsid w:val="0042711C"/>
    <w:rsid w:val="00427722"/>
    <w:rsid w:val="004301C6"/>
    <w:rsid w:val="004306ED"/>
    <w:rsid w:val="004309F9"/>
    <w:rsid w:val="00430B08"/>
    <w:rsid w:val="00430E3A"/>
    <w:rsid w:val="00430EDF"/>
    <w:rsid w:val="0043101A"/>
    <w:rsid w:val="004312B4"/>
    <w:rsid w:val="0043203A"/>
    <w:rsid w:val="00432204"/>
    <w:rsid w:val="004323E0"/>
    <w:rsid w:val="004324E2"/>
    <w:rsid w:val="00432D94"/>
    <w:rsid w:val="004334AF"/>
    <w:rsid w:val="0043351E"/>
    <w:rsid w:val="0043363D"/>
    <w:rsid w:val="00433799"/>
    <w:rsid w:val="00433A37"/>
    <w:rsid w:val="00433ADF"/>
    <w:rsid w:val="00433D0B"/>
    <w:rsid w:val="004341B5"/>
    <w:rsid w:val="00434781"/>
    <w:rsid w:val="0043481E"/>
    <w:rsid w:val="00434A7B"/>
    <w:rsid w:val="0043501E"/>
    <w:rsid w:val="004351CB"/>
    <w:rsid w:val="004351EC"/>
    <w:rsid w:val="00435207"/>
    <w:rsid w:val="004353D5"/>
    <w:rsid w:val="00435943"/>
    <w:rsid w:val="00435B83"/>
    <w:rsid w:val="00436859"/>
    <w:rsid w:val="004368DB"/>
    <w:rsid w:val="00436CBD"/>
    <w:rsid w:val="0043752E"/>
    <w:rsid w:val="00441083"/>
    <w:rsid w:val="004411EB"/>
    <w:rsid w:val="00441257"/>
    <w:rsid w:val="00441348"/>
    <w:rsid w:val="004415E1"/>
    <w:rsid w:val="00441DBE"/>
    <w:rsid w:val="00441FE9"/>
    <w:rsid w:val="0044235C"/>
    <w:rsid w:val="0044239C"/>
    <w:rsid w:val="004433D6"/>
    <w:rsid w:val="00443F79"/>
    <w:rsid w:val="004449B5"/>
    <w:rsid w:val="00444D1D"/>
    <w:rsid w:val="004451A7"/>
    <w:rsid w:val="004454C9"/>
    <w:rsid w:val="00445753"/>
    <w:rsid w:val="004457A8"/>
    <w:rsid w:val="0044594D"/>
    <w:rsid w:val="004459C5"/>
    <w:rsid w:val="004461A3"/>
    <w:rsid w:val="00446333"/>
    <w:rsid w:val="004467E8"/>
    <w:rsid w:val="00446A89"/>
    <w:rsid w:val="00446BD7"/>
    <w:rsid w:val="00446D6F"/>
    <w:rsid w:val="00446E77"/>
    <w:rsid w:val="004479E5"/>
    <w:rsid w:val="00447A0B"/>
    <w:rsid w:val="00447BF3"/>
    <w:rsid w:val="00447E1D"/>
    <w:rsid w:val="0045015E"/>
    <w:rsid w:val="00450267"/>
    <w:rsid w:val="0045030A"/>
    <w:rsid w:val="00450485"/>
    <w:rsid w:val="00450497"/>
    <w:rsid w:val="0045052A"/>
    <w:rsid w:val="00450BB1"/>
    <w:rsid w:val="00450C19"/>
    <w:rsid w:val="00450CA9"/>
    <w:rsid w:val="00451476"/>
    <w:rsid w:val="00451854"/>
    <w:rsid w:val="00451D60"/>
    <w:rsid w:val="00452080"/>
    <w:rsid w:val="004520D2"/>
    <w:rsid w:val="0045231A"/>
    <w:rsid w:val="00452854"/>
    <w:rsid w:val="00452EA7"/>
    <w:rsid w:val="00452F05"/>
    <w:rsid w:val="00453333"/>
    <w:rsid w:val="00453561"/>
    <w:rsid w:val="00453C0E"/>
    <w:rsid w:val="00454690"/>
    <w:rsid w:val="004548B9"/>
    <w:rsid w:val="004554A6"/>
    <w:rsid w:val="004567E1"/>
    <w:rsid w:val="00456859"/>
    <w:rsid w:val="00456C43"/>
    <w:rsid w:val="00456F4F"/>
    <w:rsid w:val="00457715"/>
    <w:rsid w:val="00457CA1"/>
    <w:rsid w:val="0046010A"/>
    <w:rsid w:val="00460110"/>
    <w:rsid w:val="00460A2B"/>
    <w:rsid w:val="00460AA0"/>
    <w:rsid w:val="00460F15"/>
    <w:rsid w:val="004622B5"/>
    <w:rsid w:val="004627D6"/>
    <w:rsid w:val="00462A86"/>
    <w:rsid w:val="00462FD0"/>
    <w:rsid w:val="00463577"/>
    <w:rsid w:val="00463B8E"/>
    <w:rsid w:val="00463D04"/>
    <w:rsid w:val="004646F0"/>
    <w:rsid w:val="00464788"/>
    <w:rsid w:val="004656B9"/>
    <w:rsid w:val="004657F3"/>
    <w:rsid w:val="004658A6"/>
    <w:rsid w:val="00465A3A"/>
    <w:rsid w:val="0046604E"/>
    <w:rsid w:val="00466233"/>
    <w:rsid w:val="0046676B"/>
    <w:rsid w:val="004667B0"/>
    <w:rsid w:val="00466F70"/>
    <w:rsid w:val="0046759B"/>
    <w:rsid w:val="00467C88"/>
    <w:rsid w:val="004703F7"/>
    <w:rsid w:val="00471390"/>
    <w:rsid w:val="00471B8E"/>
    <w:rsid w:val="00471DC6"/>
    <w:rsid w:val="0047267F"/>
    <w:rsid w:val="00472808"/>
    <w:rsid w:val="004728F3"/>
    <w:rsid w:val="00472BDD"/>
    <w:rsid w:val="004733F3"/>
    <w:rsid w:val="00473C73"/>
    <w:rsid w:val="00474060"/>
    <w:rsid w:val="004742EE"/>
    <w:rsid w:val="00474717"/>
    <w:rsid w:val="00474A0B"/>
    <w:rsid w:val="00474C12"/>
    <w:rsid w:val="00474CC3"/>
    <w:rsid w:val="00475737"/>
    <w:rsid w:val="004759E3"/>
    <w:rsid w:val="004766A9"/>
    <w:rsid w:val="00476FF1"/>
    <w:rsid w:val="004777F0"/>
    <w:rsid w:val="00477B98"/>
    <w:rsid w:val="00480034"/>
    <w:rsid w:val="0048078A"/>
    <w:rsid w:val="004809E0"/>
    <w:rsid w:val="00480D45"/>
    <w:rsid w:val="00480E5E"/>
    <w:rsid w:val="0048140D"/>
    <w:rsid w:val="00481541"/>
    <w:rsid w:val="00481EC9"/>
    <w:rsid w:val="00482283"/>
    <w:rsid w:val="0048285B"/>
    <w:rsid w:val="00482E05"/>
    <w:rsid w:val="00483916"/>
    <w:rsid w:val="00483CB9"/>
    <w:rsid w:val="00483CD6"/>
    <w:rsid w:val="00483E03"/>
    <w:rsid w:val="00484020"/>
    <w:rsid w:val="004847E0"/>
    <w:rsid w:val="004850BB"/>
    <w:rsid w:val="0048511D"/>
    <w:rsid w:val="00485146"/>
    <w:rsid w:val="00485C7C"/>
    <w:rsid w:val="00485CA8"/>
    <w:rsid w:val="00485FB0"/>
    <w:rsid w:val="00486A20"/>
    <w:rsid w:val="00486B89"/>
    <w:rsid w:val="00486D26"/>
    <w:rsid w:val="004876ED"/>
    <w:rsid w:val="00487708"/>
    <w:rsid w:val="00487910"/>
    <w:rsid w:val="004902B1"/>
    <w:rsid w:val="004902C9"/>
    <w:rsid w:val="0049076C"/>
    <w:rsid w:val="004908D8"/>
    <w:rsid w:val="00491092"/>
    <w:rsid w:val="004916D9"/>
    <w:rsid w:val="004917A6"/>
    <w:rsid w:val="0049199E"/>
    <w:rsid w:val="004922B4"/>
    <w:rsid w:val="004925D4"/>
    <w:rsid w:val="0049268A"/>
    <w:rsid w:val="00492A86"/>
    <w:rsid w:val="00492C83"/>
    <w:rsid w:val="00492D4A"/>
    <w:rsid w:val="004934CE"/>
    <w:rsid w:val="004936FA"/>
    <w:rsid w:val="00493E5B"/>
    <w:rsid w:val="00493F3A"/>
    <w:rsid w:val="004941CC"/>
    <w:rsid w:val="004943D2"/>
    <w:rsid w:val="00494764"/>
    <w:rsid w:val="00495845"/>
    <w:rsid w:val="00495AE7"/>
    <w:rsid w:val="00495BE1"/>
    <w:rsid w:val="00495BEC"/>
    <w:rsid w:val="00495C8E"/>
    <w:rsid w:val="00495EDE"/>
    <w:rsid w:val="00495F6E"/>
    <w:rsid w:val="0049639D"/>
    <w:rsid w:val="004965FD"/>
    <w:rsid w:val="004968FC"/>
    <w:rsid w:val="00496DA2"/>
    <w:rsid w:val="00496E45"/>
    <w:rsid w:val="00496F6C"/>
    <w:rsid w:val="004978EA"/>
    <w:rsid w:val="00497AA3"/>
    <w:rsid w:val="00497AC4"/>
    <w:rsid w:val="00497D9D"/>
    <w:rsid w:val="004A042F"/>
    <w:rsid w:val="004A054D"/>
    <w:rsid w:val="004A08A4"/>
    <w:rsid w:val="004A09C2"/>
    <w:rsid w:val="004A0C96"/>
    <w:rsid w:val="004A0EEB"/>
    <w:rsid w:val="004A2738"/>
    <w:rsid w:val="004A2B46"/>
    <w:rsid w:val="004A2DA1"/>
    <w:rsid w:val="004A32F7"/>
    <w:rsid w:val="004A383E"/>
    <w:rsid w:val="004A3904"/>
    <w:rsid w:val="004A3D7C"/>
    <w:rsid w:val="004A4298"/>
    <w:rsid w:val="004A42B4"/>
    <w:rsid w:val="004A4F31"/>
    <w:rsid w:val="004A525B"/>
    <w:rsid w:val="004A6034"/>
    <w:rsid w:val="004A6179"/>
    <w:rsid w:val="004A665A"/>
    <w:rsid w:val="004A6E09"/>
    <w:rsid w:val="004A700A"/>
    <w:rsid w:val="004A731F"/>
    <w:rsid w:val="004A7358"/>
    <w:rsid w:val="004A7998"/>
    <w:rsid w:val="004B0081"/>
    <w:rsid w:val="004B0130"/>
    <w:rsid w:val="004B0A08"/>
    <w:rsid w:val="004B18B5"/>
    <w:rsid w:val="004B1CF1"/>
    <w:rsid w:val="004B20EE"/>
    <w:rsid w:val="004B2107"/>
    <w:rsid w:val="004B2122"/>
    <w:rsid w:val="004B2431"/>
    <w:rsid w:val="004B24AF"/>
    <w:rsid w:val="004B27F6"/>
    <w:rsid w:val="004B2802"/>
    <w:rsid w:val="004B28AF"/>
    <w:rsid w:val="004B28F0"/>
    <w:rsid w:val="004B299A"/>
    <w:rsid w:val="004B2B04"/>
    <w:rsid w:val="004B2BBA"/>
    <w:rsid w:val="004B30E5"/>
    <w:rsid w:val="004B3394"/>
    <w:rsid w:val="004B33EC"/>
    <w:rsid w:val="004B3C4F"/>
    <w:rsid w:val="004B3CAD"/>
    <w:rsid w:val="004B3D77"/>
    <w:rsid w:val="004B3F3C"/>
    <w:rsid w:val="004B4049"/>
    <w:rsid w:val="004B41A8"/>
    <w:rsid w:val="004B5F60"/>
    <w:rsid w:val="004B632F"/>
    <w:rsid w:val="004B6468"/>
    <w:rsid w:val="004B6853"/>
    <w:rsid w:val="004C0635"/>
    <w:rsid w:val="004C06F8"/>
    <w:rsid w:val="004C0A89"/>
    <w:rsid w:val="004C0F6B"/>
    <w:rsid w:val="004C1133"/>
    <w:rsid w:val="004C13C4"/>
    <w:rsid w:val="004C1A5D"/>
    <w:rsid w:val="004C1DD8"/>
    <w:rsid w:val="004C2382"/>
    <w:rsid w:val="004C25C2"/>
    <w:rsid w:val="004C2E20"/>
    <w:rsid w:val="004C2E47"/>
    <w:rsid w:val="004C373E"/>
    <w:rsid w:val="004C37CC"/>
    <w:rsid w:val="004C38BC"/>
    <w:rsid w:val="004C3C72"/>
    <w:rsid w:val="004C3C93"/>
    <w:rsid w:val="004C4299"/>
    <w:rsid w:val="004C44E5"/>
    <w:rsid w:val="004C479D"/>
    <w:rsid w:val="004C4ED5"/>
    <w:rsid w:val="004C5579"/>
    <w:rsid w:val="004C5B69"/>
    <w:rsid w:val="004C6064"/>
    <w:rsid w:val="004C619F"/>
    <w:rsid w:val="004C62D6"/>
    <w:rsid w:val="004C6AB3"/>
    <w:rsid w:val="004C6ED8"/>
    <w:rsid w:val="004C6F28"/>
    <w:rsid w:val="004C74F6"/>
    <w:rsid w:val="004C78C1"/>
    <w:rsid w:val="004C7963"/>
    <w:rsid w:val="004C79A9"/>
    <w:rsid w:val="004C79E5"/>
    <w:rsid w:val="004C7E81"/>
    <w:rsid w:val="004D097D"/>
    <w:rsid w:val="004D109D"/>
    <w:rsid w:val="004D10CC"/>
    <w:rsid w:val="004D1236"/>
    <w:rsid w:val="004D1614"/>
    <w:rsid w:val="004D19F5"/>
    <w:rsid w:val="004D27DC"/>
    <w:rsid w:val="004D28AF"/>
    <w:rsid w:val="004D2AEB"/>
    <w:rsid w:val="004D2BD3"/>
    <w:rsid w:val="004D2D64"/>
    <w:rsid w:val="004D30D1"/>
    <w:rsid w:val="004D3193"/>
    <w:rsid w:val="004D36D7"/>
    <w:rsid w:val="004D399A"/>
    <w:rsid w:val="004D3B86"/>
    <w:rsid w:val="004D4096"/>
    <w:rsid w:val="004D45BF"/>
    <w:rsid w:val="004D5819"/>
    <w:rsid w:val="004D589D"/>
    <w:rsid w:val="004D59B0"/>
    <w:rsid w:val="004D5B6E"/>
    <w:rsid w:val="004D5E18"/>
    <w:rsid w:val="004D6B80"/>
    <w:rsid w:val="004D71E8"/>
    <w:rsid w:val="004D720F"/>
    <w:rsid w:val="004D73BD"/>
    <w:rsid w:val="004D7A17"/>
    <w:rsid w:val="004D7AFB"/>
    <w:rsid w:val="004D7BA3"/>
    <w:rsid w:val="004D7CB5"/>
    <w:rsid w:val="004D7E80"/>
    <w:rsid w:val="004D7F3E"/>
    <w:rsid w:val="004E01DD"/>
    <w:rsid w:val="004E0B09"/>
    <w:rsid w:val="004E0BD1"/>
    <w:rsid w:val="004E136E"/>
    <w:rsid w:val="004E1489"/>
    <w:rsid w:val="004E1887"/>
    <w:rsid w:val="004E1C98"/>
    <w:rsid w:val="004E1CCD"/>
    <w:rsid w:val="004E1EDC"/>
    <w:rsid w:val="004E2605"/>
    <w:rsid w:val="004E2978"/>
    <w:rsid w:val="004E3676"/>
    <w:rsid w:val="004E394C"/>
    <w:rsid w:val="004E4021"/>
    <w:rsid w:val="004E404A"/>
    <w:rsid w:val="004E4786"/>
    <w:rsid w:val="004E4D82"/>
    <w:rsid w:val="004E5628"/>
    <w:rsid w:val="004E5C37"/>
    <w:rsid w:val="004E5D3B"/>
    <w:rsid w:val="004E5E93"/>
    <w:rsid w:val="004E6641"/>
    <w:rsid w:val="004E6771"/>
    <w:rsid w:val="004E7096"/>
    <w:rsid w:val="004E7C96"/>
    <w:rsid w:val="004E7F00"/>
    <w:rsid w:val="004E7FEA"/>
    <w:rsid w:val="004F019F"/>
    <w:rsid w:val="004F01AD"/>
    <w:rsid w:val="004F043E"/>
    <w:rsid w:val="004F0986"/>
    <w:rsid w:val="004F0EFB"/>
    <w:rsid w:val="004F117B"/>
    <w:rsid w:val="004F1960"/>
    <w:rsid w:val="004F21E5"/>
    <w:rsid w:val="004F267B"/>
    <w:rsid w:val="004F294A"/>
    <w:rsid w:val="004F2DEA"/>
    <w:rsid w:val="004F322D"/>
    <w:rsid w:val="004F34BC"/>
    <w:rsid w:val="004F34EE"/>
    <w:rsid w:val="004F3821"/>
    <w:rsid w:val="004F3D05"/>
    <w:rsid w:val="004F3F6B"/>
    <w:rsid w:val="004F41E3"/>
    <w:rsid w:val="004F43E8"/>
    <w:rsid w:val="004F47AB"/>
    <w:rsid w:val="004F47F1"/>
    <w:rsid w:val="004F51BB"/>
    <w:rsid w:val="004F54C9"/>
    <w:rsid w:val="004F57A5"/>
    <w:rsid w:val="004F5919"/>
    <w:rsid w:val="004F5A77"/>
    <w:rsid w:val="004F6AF3"/>
    <w:rsid w:val="004F6D82"/>
    <w:rsid w:val="004F6F8A"/>
    <w:rsid w:val="004F76EB"/>
    <w:rsid w:val="004F7A6C"/>
    <w:rsid w:val="004F7D5A"/>
    <w:rsid w:val="005003DE"/>
    <w:rsid w:val="005012C3"/>
    <w:rsid w:val="00502204"/>
    <w:rsid w:val="0050227A"/>
    <w:rsid w:val="005025D4"/>
    <w:rsid w:val="0050271A"/>
    <w:rsid w:val="005034A3"/>
    <w:rsid w:val="00503508"/>
    <w:rsid w:val="00503883"/>
    <w:rsid w:val="00503FBB"/>
    <w:rsid w:val="005041C2"/>
    <w:rsid w:val="005043FF"/>
    <w:rsid w:val="0050463E"/>
    <w:rsid w:val="00504750"/>
    <w:rsid w:val="005047EB"/>
    <w:rsid w:val="00504920"/>
    <w:rsid w:val="00504CBB"/>
    <w:rsid w:val="00504CCF"/>
    <w:rsid w:val="00505405"/>
    <w:rsid w:val="0050540D"/>
    <w:rsid w:val="00505854"/>
    <w:rsid w:val="00505D7E"/>
    <w:rsid w:val="00505E38"/>
    <w:rsid w:val="005067F9"/>
    <w:rsid w:val="0050686C"/>
    <w:rsid w:val="00506AC6"/>
    <w:rsid w:val="0050742B"/>
    <w:rsid w:val="00507A50"/>
    <w:rsid w:val="00507F92"/>
    <w:rsid w:val="00510B39"/>
    <w:rsid w:val="00511297"/>
    <w:rsid w:val="005116B3"/>
    <w:rsid w:val="00511A41"/>
    <w:rsid w:val="00511A94"/>
    <w:rsid w:val="00511BCB"/>
    <w:rsid w:val="00511D68"/>
    <w:rsid w:val="00511EA3"/>
    <w:rsid w:val="0051209C"/>
    <w:rsid w:val="0051259C"/>
    <w:rsid w:val="005128E2"/>
    <w:rsid w:val="00512AAE"/>
    <w:rsid w:val="00512BE7"/>
    <w:rsid w:val="00513805"/>
    <w:rsid w:val="005138DB"/>
    <w:rsid w:val="00513D6C"/>
    <w:rsid w:val="00513DE2"/>
    <w:rsid w:val="00514370"/>
    <w:rsid w:val="005147CA"/>
    <w:rsid w:val="00514AC2"/>
    <w:rsid w:val="005152C6"/>
    <w:rsid w:val="005157A0"/>
    <w:rsid w:val="00515BA8"/>
    <w:rsid w:val="0051676E"/>
    <w:rsid w:val="0051720F"/>
    <w:rsid w:val="00517B55"/>
    <w:rsid w:val="00517E5E"/>
    <w:rsid w:val="00517E9C"/>
    <w:rsid w:val="00517EEC"/>
    <w:rsid w:val="00520020"/>
    <w:rsid w:val="00521A42"/>
    <w:rsid w:val="00522722"/>
    <w:rsid w:val="00523204"/>
    <w:rsid w:val="0052390F"/>
    <w:rsid w:val="00525026"/>
    <w:rsid w:val="00525072"/>
    <w:rsid w:val="0052512C"/>
    <w:rsid w:val="00525584"/>
    <w:rsid w:val="005257F6"/>
    <w:rsid w:val="00525A89"/>
    <w:rsid w:val="00525CB5"/>
    <w:rsid w:val="00525EE3"/>
    <w:rsid w:val="00526BDD"/>
    <w:rsid w:val="005274BF"/>
    <w:rsid w:val="00527616"/>
    <w:rsid w:val="005276CB"/>
    <w:rsid w:val="00527DB8"/>
    <w:rsid w:val="00530180"/>
    <w:rsid w:val="005301F9"/>
    <w:rsid w:val="005303A8"/>
    <w:rsid w:val="0053048F"/>
    <w:rsid w:val="00530854"/>
    <w:rsid w:val="00530B9C"/>
    <w:rsid w:val="00530F60"/>
    <w:rsid w:val="00531202"/>
    <w:rsid w:val="00531AAC"/>
    <w:rsid w:val="00531FD3"/>
    <w:rsid w:val="005321C7"/>
    <w:rsid w:val="00532A90"/>
    <w:rsid w:val="00532B2A"/>
    <w:rsid w:val="00532CC9"/>
    <w:rsid w:val="00532FBB"/>
    <w:rsid w:val="0053307D"/>
    <w:rsid w:val="00533496"/>
    <w:rsid w:val="00533741"/>
    <w:rsid w:val="00533BD4"/>
    <w:rsid w:val="00533DD8"/>
    <w:rsid w:val="00533E51"/>
    <w:rsid w:val="005343AD"/>
    <w:rsid w:val="005345A2"/>
    <w:rsid w:val="00534979"/>
    <w:rsid w:val="00534A62"/>
    <w:rsid w:val="00534B60"/>
    <w:rsid w:val="00534E4D"/>
    <w:rsid w:val="00534FD9"/>
    <w:rsid w:val="005358C5"/>
    <w:rsid w:val="00535A98"/>
    <w:rsid w:val="00535D5A"/>
    <w:rsid w:val="00536521"/>
    <w:rsid w:val="00536B70"/>
    <w:rsid w:val="00536C2E"/>
    <w:rsid w:val="00536E30"/>
    <w:rsid w:val="00537508"/>
    <w:rsid w:val="005377F5"/>
    <w:rsid w:val="0053782C"/>
    <w:rsid w:val="00537B4D"/>
    <w:rsid w:val="00537DA8"/>
    <w:rsid w:val="00540CCE"/>
    <w:rsid w:val="00541CCB"/>
    <w:rsid w:val="0054230E"/>
    <w:rsid w:val="00542374"/>
    <w:rsid w:val="0054249C"/>
    <w:rsid w:val="005428B7"/>
    <w:rsid w:val="005438B0"/>
    <w:rsid w:val="00543FB3"/>
    <w:rsid w:val="00544AFE"/>
    <w:rsid w:val="00545D89"/>
    <w:rsid w:val="00545E14"/>
    <w:rsid w:val="0054612B"/>
    <w:rsid w:val="00546C2D"/>
    <w:rsid w:val="005476EE"/>
    <w:rsid w:val="005477B3"/>
    <w:rsid w:val="00547C4C"/>
    <w:rsid w:val="00547E00"/>
    <w:rsid w:val="0055001B"/>
    <w:rsid w:val="00550D10"/>
    <w:rsid w:val="0055176A"/>
    <w:rsid w:val="00551BF8"/>
    <w:rsid w:val="00552B53"/>
    <w:rsid w:val="00552C5C"/>
    <w:rsid w:val="00552FFD"/>
    <w:rsid w:val="00553289"/>
    <w:rsid w:val="005533DB"/>
    <w:rsid w:val="00553889"/>
    <w:rsid w:val="0055418C"/>
    <w:rsid w:val="00554330"/>
    <w:rsid w:val="005552FB"/>
    <w:rsid w:val="005555E5"/>
    <w:rsid w:val="005566F1"/>
    <w:rsid w:val="005567E5"/>
    <w:rsid w:val="00556852"/>
    <w:rsid w:val="00556C69"/>
    <w:rsid w:val="00557613"/>
    <w:rsid w:val="00557B9E"/>
    <w:rsid w:val="00557D04"/>
    <w:rsid w:val="00557E0C"/>
    <w:rsid w:val="00560629"/>
    <w:rsid w:val="00560FB3"/>
    <w:rsid w:val="00561B27"/>
    <w:rsid w:val="00561D47"/>
    <w:rsid w:val="00562482"/>
    <w:rsid w:val="0056279E"/>
    <w:rsid w:val="00562842"/>
    <w:rsid w:val="00562B43"/>
    <w:rsid w:val="00562B6B"/>
    <w:rsid w:val="00562F60"/>
    <w:rsid w:val="0056330A"/>
    <w:rsid w:val="005635BC"/>
    <w:rsid w:val="005635DE"/>
    <w:rsid w:val="00564D95"/>
    <w:rsid w:val="00564F9B"/>
    <w:rsid w:val="005659E5"/>
    <w:rsid w:val="00566C5F"/>
    <w:rsid w:val="00566FA9"/>
    <w:rsid w:val="005670E8"/>
    <w:rsid w:val="00567133"/>
    <w:rsid w:val="00567358"/>
    <w:rsid w:val="005675B8"/>
    <w:rsid w:val="00567B29"/>
    <w:rsid w:val="00567BD7"/>
    <w:rsid w:val="00570348"/>
    <w:rsid w:val="00570C9D"/>
    <w:rsid w:val="00570DB4"/>
    <w:rsid w:val="00570EE3"/>
    <w:rsid w:val="00570F6C"/>
    <w:rsid w:val="00570FAC"/>
    <w:rsid w:val="005711FA"/>
    <w:rsid w:val="005715B8"/>
    <w:rsid w:val="005719A4"/>
    <w:rsid w:val="00571D38"/>
    <w:rsid w:val="005723D4"/>
    <w:rsid w:val="00572984"/>
    <w:rsid w:val="005729CA"/>
    <w:rsid w:val="00573ED7"/>
    <w:rsid w:val="00573F95"/>
    <w:rsid w:val="00573FED"/>
    <w:rsid w:val="005740E1"/>
    <w:rsid w:val="0057433D"/>
    <w:rsid w:val="00574383"/>
    <w:rsid w:val="00574916"/>
    <w:rsid w:val="0057494C"/>
    <w:rsid w:val="0057539A"/>
    <w:rsid w:val="00575A3C"/>
    <w:rsid w:val="00575C52"/>
    <w:rsid w:val="00576DB1"/>
    <w:rsid w:val="00576FAB"/>
    <w:rsid w:val="005771F6"/>
    <w:rsid w:val="005773A8"/>
    <w:rsid w:val="0057786D"/>
    <w:rsid w:val="00577BF5"/>
    <w:rsid w:val="00577C05"/>
    <w:rsid w:val="00577C2D"/>
    <w:rsid w:val="00577E65"/>
    <w:rsid w:val="00580542"/>
    <w:rsid w:val="00580AE1"/>
    <w:rsid w:val="00580BAE"/>
    <w:rsid w:val="00581238"/>
    <w:rsid w:val="00581400"/>
    <w:rsid w:val="005818DC"/>
    <w:rsid w:val="00581D8D"/>
    <w:rsid w:val="00581EAA"/>
    <w:rsid w:val="00582344"/>
    <w:rsid w:val="005826A7"/>
    <w:rsid w:val="005826FA"/>
    <w:rsid w:val="00582B34"/>
    <w:rsid w:val="005830D3"/>
    <w:rsid w:val="005831AC"/>
    <w:rsid w:val="00583B67"/>
    <w:rsid w:val="00583C3A"/>
    <w:rsid w:val="00583F40"/>
    <w:rsid w:val="00584304"/>
    <w:rsid w:val="005843DB"/>
    <w:rsid w:val="005848F8"/>
    <w:rsid w:val="00584FA5"/>
    <w:rsid w:val="00585066"/>
    <w:rsid w:val="0058512A"/>
    <w:rsid w:val="005853E2"/>
    <w:rsid w:val="005854DD"/>
    <w:rsid w:val="005856C0"/>
    <w:rsid w:val="00585EE0"/>
    <w:rsid w:val="00586DBD"/>
    <w:rsid w:val="0058703D"/>
    <w:rsid w:val="005872FF"/>
    <w:rsid w:val="00587836"/>
    <w:rsid w:val="005912C6"/>
    <w:rsid w:val="005915EB"/>
    <w:rsid w:val="0059164C"/>
    <w:rsid w:val="0059169A"/>
    <w:rsid w:val="005916A4"/>
    <w:rsid w:val="005917F0"/>
    <w:rsid w:val="00591C9E"/>
    <w:rsid w:val="005920ED"/>
    <w:rsid w:val="005922CA"/>
    <w:rsid w:val="00592375"/>
    <w:rsid w:val="005925DB"/>
    <w:rsid w:val="00592F97"/>
    <w:rsid w:val="00593663"/>
    <w:rsid w:val="00593A8F"/>
    <w:rsid w:val="00593EC8"/>
    <w:rsid w:val="005945D4"/>
    <w:rsid w:val="00594939"/>
    <w:rsid w:val="00594A2D"/>
    <w:rsid w:val="00594CC0"/>
    <w:rsid w:val="005952A5"/>
    <w:rsid w:val="00595776"/>
    <w:rsid w:val="005959FC"/>
    <w:rsid w:val="00595B77"/>
    <w:rsid w:val="00595CDF"/>
    <w:rsid w:val="00595D60"/>
    <w:rsid w:val="00595DA8"/>
    <w:rsid w:val="005960C4"/>
    <w:rsid w:val="0059630F"/>
    <w:rsid w:val="00596732"/>
    <w:rsid w:val="00596D71"/>
    <w:rsid w:val="00596F35"/>
    <w:rsid w:val="00597490"/>
    <w:rsid w:val="00597AB4"/>
    <w:rsid w:val="00597AFA"/>
    <w:rsid w:val="00597C42"/>
    <w:rsid w:val="00597CA0"/>
    <w:rsid w:val="005A0618"/>
    <w:rsid w:val="005A0BBF"/>
    <w:rsid w:val="005A1537"/>
    <w:rsid w:val="005A175B"/>
    <w:rsid w:val="005A1A3B"/>
    <w:rsid w:val="005A1BCB"/>
    <w:rsid w:val="005A1D0E"/>
    <w:rsid w:val="005A1E00"/>
    <w:rsid w:val="005A2313"/>
    <w:rsid w:val="005A28E3"/>
    <w:rsid w:val="005A2A2C"/>
    <w:rsid w:val="005A2DE1"/>
    <w:rsid w:val="005A2F5C"/>
    <w:rsid w:val="005A2FF2"/>
    <w:rsid w:val="005A32D8"/>
    <w:rsid w:val="005A32EA"/>
    <w:rsid w:val="005A332D"/>
    <w:rsid w:val="005A34B1"/>
    <w:rsid w:val="005A3F56"/>
    <w:rsid w:val="005A4782"/>
    <w:rsid w:val="005A4BDF"/>
    <w:rsid w:val="005A4D34"/>
    <w:rsid w:val="005A5437"/>
    <w:rsid w:val="005A5830"/>
    <w:rsid w:val="005A5CDD"/>
    <w:rsid w:val="005A5D5D"/>
    <w:rsid w:val="005A6185"/>
    <w:rsid w:val="005A6383"/>
    <w:rsid w:val="005A6F3E"/>
    <w:rsid w:val="005A79BA"/>
    <w:rsid w:val="005B0742"/>
    <w:rsid w:val="005B0CE4"/>
    <w:rsid w:val="005B0FD5"/>
    <w:rsid w:val="005B14E6"/>
    <w:rsid w:val="005B172A"/>
    <w:rsid w:val="005B1E0D"/>
    <w:rsid w:val="005B21BC"/>
    <w:rsid w:val="005B24CB"/>
    <w:rsid w:val="005B27E8"/>
    <w:rsid w:val="005B327F"/>
    <w:rsid w:val="005B3318"/>
    <w:rsid w:val="005B36B8"/>
    <w:rsid w:val="005B3964"/>
    <w:rsid w:val="005B3B21"/>
    <w:rsid w:val="005B3E7B"/>
    <w:rsid w:val="005B3F3E"/>
    <w:rsid w:val="005B54DD"/>
    <w:rsid w:val="005B5835"/>
    <w:rsid w:val="005B6016"/>
    <w:rsid w:val="005B6658"/>
    <w:rsid w:val="005B6ABC"/>
    <w:rsid w:val="005B6BB6"/>
    <w:rsid w:val="005B6C1C"/>
    <w:rsid w:val="005B6C66"/>
    <w:rsid w:val="005B6E45"/>
    <w:rsid w:val="005B795A"/>
    <w:rsid w:val="005C0C17"/>
    <w:rsid w:val="005C0CCC"/>
    <w:rsid w:val="005C1157"/>
    <w:rsid w:val="005C11EB"/>
    <w:rsid w:val="005C128A"/>
    <w:rsid w:val="005C16BE"/>
    <w:rsid w:val="005C16FE"/>
    <w:rsid w:val="005C1C7E"/>
    <w:rsid w:val="005C22A1"/>
    <w:rsid w:val="005C287A"/>
    <w:rsid w:val="005C2A0D"/>
    <w:rsid w:val="005C3A89"/>
    <w:rsid w:val="005C3F82"/>
    <w:rsid w:val="005C4438"/>
    <w:rsid w:val="005C453E"/>
    <w:rsid w:val="005C4788"/>
    <w:rsid w:val="005C4AAD"/>
    <w:rsid w:val="005C5131"/>
    <w:rsid w:val="005C517B"/>
    <w:rsid w:val="005C5D00"/>
    <w:rsid w:val="005C647B"/>
    <w:rsid w:val="005C6F9F"/>
    <w:rsid w:val="005C71A5"/>
    <w:rsid w:val="005C77B8"/>
    <w:rsid w:val="005C7DFD"/>
    <w:rsid w:val="005C7F23"/>
    <w:rsid w:val="005D0512"/>
    <w:rsid w:val="005D1445"/>
    <w:rsid w:val="005D15A2"/>
    <w:rsid w:val="005D18D2"/>
    <w:rsid w:val="005D20C4"/>
    <w:rsid w:val="005D21A8"/>
    <w:rsid w:val="005D21C8"/>
    <w:rsid w:val="005D25FA"/>
    <w:rsid w:val="005D2999"/>
    <w:rsid w:val="005D2CA1"/>
    <w:rsid w:val="005D2D25"/>
    <w:rsid w:val="005D2EA9"/>
    <w:rsid w:val="005D3981"/>
    <w:rsid w:val="005D3AB6"/>
    <w:rsid w:val="005D40A9"/>
    <w:rsid w:val="005D461E"/>
    <w:rsid w:val="005D4D1D"/>
    <w:rsid w:val="005D520A"/>
    <w:rsid w:val="005D59FB"/>
    <w:rsid w:val="005D5A22"/>
    <w:rsid w:val="005D5A6B"/>
    <w:rsid w:val="005D5DBB"/>
    <w:rsid w:val="005D5DD0"/>
    <w:rsid w:val="005D5E72"/>
    <w:rsid w:val="005D5F28"/>
    <w:rsid w:val="005D666E"/>
    <w:rsid w:val="005D6920"/>
    <w:rsid w:val="005D6B9F"/>
    <w:rsid w:val="005D6C3F"/>
    <w:rsid w:val="005D6C6D"/>
    <w:rsid w:val="005D6FCF"/>
    <w:rsid w:val="005D741C"/>
    <w:rsid w:val="005D791A"/>
    <w:rsid w:val="005D79B9"/>
    <w:rsid w:val="005D79D4"/>
    <w:rsid w:val="005D7E38"/>
    <w:rsid w:val="005D7F02"/>
    <w:rsid w:val="005E03A4"/>
    <w:rsid w:val="005E0415"/>
    <w:rsid w:val="005E0526"/>
    <w:rsid w:val="005E0DC9"/>
    <w:rsid w:val="005E1120"/>
    <w:rsid w:val="005E1A23"/>
    <w:rsid w:val="005E224C"/>
    <w:rsid w:val="005E228E"/>
    <w:rsid w:val="005E2AD6"/>
    <w:rsid w:val="005E30E3"/>
    <w:rsid w:val="005E364B"/>
    <w:rsid w:val="005E3E30"/>
    <w:rsid w:val="005E3F51"/>
    <w:rsid w:val="005E445E"/>
    <w:rsid w:val="005E463A"/>
    <w:rsid w:val="005E4A53"/>
    <w:rsid w:val="005E51DD"/>
    <w:rsid w:val="005E5793"/>
    <w:rsid w:val="005E5858"/>
    <w:rsid w:val="005E58CF"/>
    <w:rsid w:val="005E5A1A"/>
    <w:rsid w:val="005E66CC"/>
    <w:rsid w:val="005E67E2"/>
    <w:rsid w:val="005E6910"/>
    <w:rsid w:val="005E6C5D"/>
    <w:rsid w:val="005E6FA5"/>
    <w:rsid w:val="005E7359"/>
    <w:rsid w:val="005F0485"/>
    <w:rsid w:val="005F0835"/>
    <w:rsid w:val="005F0A11"/>
    <w:rsid w:val="005F0C9E"/>
    <w:rsid w:val="005F0DAE"/>
    <w:rsid w:val="005F0EFE"/>
    <w:rsid w:val="005F0FCD"/>
    <w:rsid w:val="005F1ACA"/>
    <w:rsid w:val="005F24B1"/>
    <w:rsid w:val="005F269D"/>
    <w:rsid w:val="005F2C00"/>
    <w:rsid w:val="005F2F1E"/>
    <w:rsid w:val="005F4206"/>
    <w:rsid w:val="005F46CA"/>
    <w:rsid w:val="005F48DA"/>
    <w:rsid w:val="005F4A0A"/>
    <w:rsid w:val="005F4DF5"/>
    <w:rsid w:val="005F50DC"/>
    <w:rsid w:val="005F52B7"/>
    <w:rsid w:val="005F57A5"/>
    <w:rsid w:val="005F5824"/>
    <w:rsid w:val="005F5D8B"/>
    <w:rsid w:val="005F7438"/>
    <w:rsid w:val="005F79C9"/>
    <w:rsid w:val="005F7C55"/>
    <w:rsid w:val="00600821"/>
    <w:rsid w:val="00600993"/>
    <w:rsid w:val="006012C7"/>
    <w:rsid w:val="00602074"/>
    <w:rsid w:val="006028C2"/>
    <w:rsid w:val="00602E99"/>
    <w:rsid w:val="006030B7"/>
    <w:rsid w:val="00603115"/>
    <w:rsid w:val="0060311D"/>
    <w:rsid w:val="006031AD"/>
    <w:rsid w:val="006039C6"/>
    <w:rsid w:val="00603E28"/>
    <w:rsid w:val="0060482E"/>
    <w:rsid w:val="006050D9"/>
    <w:rsid w:val="0060525A"/>
    <w:rsid w:val="006052C2"/>
    <w:rsid w:val="00605912"/>
    <w:rsid w:val="006059BD"/>
    <w:rsid w:val="00605AB2"/>
    <w:rsid w:val="00605C13"/>
    <w:rsid w:val="0060609E"/>
    <w:rsid w:val="006065CD"/>
    <w:rsid w:val="00606BE6"/>
    <w:rsid w:val="00606DC5"/>
    <w:rsid w:val="00606EAB"/>
    <w:rsid w:val="00607098"/>
    <w:rsid w:val="00607255"/>
    <w:rsid w:val="00610242"/>
    <w:rsid w:val="00610291"/>
    <w:rsid w:val="0061075C"/>
    <w:rsid w:val="00610CE1"/>
    <w:rsid w:val="00610D28"/>
    <w:rsid w:val="0061100F"/>
    <w:rsid w:val="0061132F"/>
    <w:rsid w:val="00611B19"/>
    <w:rsid w:val="00611CBF"/>
    <w:rsid w:val="00611E7C"/>
    <w:rsid w:val="00612189"/>
    <w:rsid w:val="00612709"/>
    <w:rsid w:val="00612752"/>
    <w:rsid w:val="00612AFF"/>
    <w:rsid w:val="00612CE8"/>
    <w:rsid w:val="006136B3"/>
    <w:rsid w:val="00613BE5"/>
    <w:rsid w:val="00613EDA"/>
    <w:rsid w:val="00614046"/>
    <w:rsid w:val="006142D7"/>
    <w:rsid w:val="00614560"/>
    <w:rsid w:val="00614BDD"/>
    <w:rsid w:val="00615236"/>
    <w:rsid w:val="006152C6"/>
    <w:rsid w:val="006159D3"/>
    <w:rsid w:val="00615BF6"/>
    <w:rsid w:val="0061655A"/>
    <w:rsid w:val="00616805"/>
    <w:rsid w:val="006168BF"/>
    <w:rsid w:val="00616FBC"/>
    <w:rsid w:val="00617013"/>
    <w:rsid w:val="00617775"/>
    <w:rsid w:val="006178EE"/>
    <w:rsid w:val="00617B88"/>
    <w:rsid w:val="00617D9D"/>
    <w:rsid w:val="00617FA6"/>
    <w:rsid w:val="00620182"/>
    <w:rsid w:val="00620563"/>
    <w:rsid w:val="0062093C"/>
    <w:rsid w:val="006212CE"/>
    <w:rsid w:val="006213FC"/>
    <w:rsid w:val="0062260C"/>
    <w:rsid w:val="00622925"/>
    <w:rsid w:val="00622A87"/>
    <w:rsid w:val="00622D14"/>
    <w:rsid w:val="00622E10"/>
    <w:rsid w:val="00622ECF"/>
    <w:rsid w:val="00622FB7"/>
    <w:rsid w:val="0062305C"/>
    <w:rsid w:val="006237B9"/>
    <w:rsid w:val="0062382C"/>
    <w:rsid w:val="006240A1"/>
    <w:rsid w:val="006241F5"/>
    <w:rsid w:val="006242D1"/>
    <w:rsid w:val="00624E94"/>
    <w:rsid w:val="0062523A"/>
    <w:rsid w:val="00625249"/>
    <w:rsid w:val="00625314"/>
    <w:rsid w:val="0062581C"/>
    <w:rsid w:val="00625BA3"/>
    <w:rsid w:val="00625BEF"/>
    <w:rsid w:val="00625C93"/>
    <w:rsid w:val="00625E2D"/>
    <w:rsid w:val="006261D0"/>
    <w:rsid w:val="006262E3"/>
    <w:rsid w:val="00626782"/>
    <w:rsid w:val="0062686A"/>
    <w:rsid w:val="00626906"/>
    <w:rsid w:val="00626A38"/>
    <w:rsid w:val="00626B12"/>
    <w:rsid w:val="00626C67"/>
    <w:rsid w:val="00627464"/>
    <w:rsid w:val="00630FBC"/>
    <w:rsid w:val="0063124D"/>
    <w:rsid w:val="006317B1"/>
    <w:rsid w:val="0063194D"/>
    <w:rsid w:val="00631EA8"/>
    <w:rsid w:val="00631FA7"/>
    <w:rsid w:val="006321CF"/>
    <w:rsid w:val="0063228E"/>
    <w:rsid w:val="006329E8"/>
    <w:rsid w:val="00632A48"/>
    <w:rsid w:val="00632BD4"/>
    <w:rsid w:val="00632D8B"/>
    <w:rsid w:val="006337FB"/>
    <w:rsid w:val="00633E15"/>
    <w:rsid w:val="00633F47"/>
    <w:rsid w:val="006342F1"/>
    <w:rsid w:val="00634860"/>
    <w:rsid w:val="00634AB5"/>
    <w:rsid w:val="00634D97"/>
    <w:rsid w:val="00634EBF"/>
    <w:rsid w:val="0063598B"/>
    <w:rsid w:val="006359E4"/>
    <w:rsid w:val="00635EFC"/>
    <w:rsid w:val="00635F66"/>
    <w:rsid w:val="00636143"/>
    <w:rsid w:val="00636387"/>
    <w:rsid w:val="006368A5"/>
    <w:rsid w:val="00636948"/>
    <w:rsid w:val="00636B91"/>
    <w:rsid w:val="00636F83"/>
    <w:rsid w:val="0063752E"/>
    <w:rsid w:val="00637560"/>
    <w:rsid w:val="006377F2"/>
    <w:rsid w:val="00637CAE"/>
    <w:rsid w:val="00640162"/>
    <w:rsid w:val="0064044A"/>
    <w:rsid w:val="006409E6"/>
    <w:rsid w:val="00640A50"/>
    <w:rsid w:val="00640B90"/>
    <w:rsid w:val="00640F22"/>
    <w:rsid w:val="00641249"/>
    <w:rsid w:val="0064124D"/>
    <w:rsid w:val="00641482"/>
    <w:rsid w:val="00641561"/>
    <w:rsid w:val="0064184A"/>
    <w:rsid w:val="00641A6B"/>
    <w:rsid w:val="00641FAB"/>
    <w:rsid w:val="0064209E"/>
    <w:rsid w:val="006424E8"/>
    <w:rsid w:val="00642616"/>
    <w:rsid w:val="00642812"/>
    <w:rsid w:val="00642B22"/>
    <w:rsid w:val="00642D29"/>
    <w:rsid w:val="00642D7D"/>
    <w:rsid w:val="006430A8"/>
    <w:rsid w:val="00643498"/>
    <w:rsid w:val="00643613"/>
    <w:rsid w:val="006438CE"/>
    <w:rsid w:val="00643E71"/>
    <w:rsid w:val="00643EF5"/>
    <w:rsid w:val="006441E4"/>
    <w:rsid w:val="0064427A"/>
    <w:rsid w:val="00644914"/>
    <w:rsid w:val="00644986"/>
    <w:rsid w:val="00644A4A"/>
    <w:rsid w:val="00645362"/>
    <w:rsid w:val="006454E0"/>
    <w:rsid w:val="006456B7"/>
    <w:rsid w:val="006458B5"/>
    <w:rsid w:val="00645B63"/>
    <w:rsid w:val="0064612B"/>
    <w:rsid w:val="006469E6"/>
    <w:rsid w:val="006475D0"/>
    <w:rsid w:val="00647A74"/>
    <w:rsid w:val="00650890"/>
    <w:rsid w:val="006509A0"/>
    <w:rsid w:val="00651533"/>
    <w:rsid w:val="00651744"/>
    <w:rsid w:val="00651DF8"/>
    <w:rsid w:val="00651E71"/>
    <w:rsid w:val="00651F7A"/>
    <w:rsid w:val="006524D7"/>
    <w:rsid w:val="00652923"/>
    <w:rsid w:val="0065299F"/>
    <w:rsid w:val="00653720"/>
    <w:rsid w:val="00653878"/>
    <w:rsid w:val="00653AD6"/>
    <w:rsid w:val="00653C57"/>
    <w:rsid w:val="00653E33"/>
    <w:rsid w:val="00653EE5"/>
    <w:rsid w:val="00653F37"/>
    <w:rsid w:val="00654121"/>
    <w:rsid w:val="006545AF"/>
    <w:rsid w:val="006549C2"/>
    <w:rsid w:val="00654A14"/>
    <w:rsid w:val="00654E77"/>
    <w:rsid w:val="00655A48"/>
    <w:rsid w:val="00655B43"/>
    <w:rsid w:val="00655E2F"/>
    <w:rsid w:val="00656271"/>
    <w:rsid w:val="00656BA4"/>
    <w:rsid w:val="00656E57"/>
    <w:rsid w:val="0065744A"/>
    <w:rsid w:val="006577E8"/>
    <w:rsid w:val="00660016"/>
    <w:rsid w:val="0066036D"/>
    <w:rsid w:val="0066098D"/>
    <w:rsid w:val="006610D6"/>
    <w:rsid w:val="006610EA"/>
    <w:rsid w:val="00661413"/>
    <w:rsid w:val="0066183A"/>
    <w:rsid w:val="00661F5F"/>
    <w:rsid w:val="0066287C"/>
    <w:rsid w:val="00662970"/>
    <w:rsid w:val="00663135"/>
    <w:rsid w:val="00663387"/>
    <w:rsid w:val="00663572"/>
    <w:rsid w:val="00663729"/>
    <w:rsid w:val="006638D4"/>
    <w:rsid w:val="00663CF0"/>
    <w:rsid w:val="006644E2"/>
    <w:rsid w:val="006649E6"/>
    <w:rsid w:val="00664D37"/>
    <w:rsid w:val="00664ED8"/>
    <w:rsid w:val="0066514F"/>
    <w:rsid w:val="00666154"/>
    <w:rsid w:val="006664E9"/>
    <w:rsid w:val="00666651"/>
    <w:rsid w:val="006667D0"/>
    <w:rsid w:val="00666A91"/>
    <w:rsid w:val="00666ED4"/>
    <w:rsid w:val="00667173"/>
    <w:rsid w:val="00670397"/>
    <w:rsid w:val="00670472"/>
    <w:rsid w:val="00670565"/>
    <w:rsid w:val="006706C2"/>
    <w:rsid w:val="0067082F"/>
    <w:rsid w:val="00670902"/>
    <w:rsid w:val="00670A2F"/>
    <w:rsid w:val="00670F6B"/>
    <w:rsid w:val="00671188"/>
    <w:rsid w:val="00671499"/>
    <w:rsid w:val="0067173C"/>
    <w:rsid w:val="0067175C"/>
    <w:rsid w:val="006721D3"/>
    <w:rsid w:val="00672334"/>
    <w:rsid w:val="00672419"/>
    <w:rsid w:val="0067243D"/>
    <w:rsid w:val="00672A8B"/>
    <w:rsid w:val="0067306D"/>
    <w:rsid w:val="006730E4"/>
    <w:rsid w:val="006731FA"/>
    <w:rsid w:val="006734D4"/>
    <w:rsid w:val="00673900"/>
    <w:rsid w:val="00673B81"/>
    <w:rsid w:val="00673F9F"/>
    <w:rsid w:val="00674103"/>
    <w:rsid w:val="00674C92"/>
    <w:rsid w:val="00674DAD"/>
    <w:rsid w:val="00675474"/>
    <w:rsid w:val="006754DF"/>
    <w:rsid w:val="006756B6"/>
    <w:rsid w:val="00675B71"/>
    <w:rsid w:val="0067692F"/>
    <w:rsid w:val="00676D7B"/>
    <w:rsid w:val="006776AD"/>
    <w:rsid w:val="006776E1"/>
    <w:rsid w:val="006779AE"/>
    <w:rsid w:val="00677B8D"/>
    <w:rsid w:val="00677C5E"/>
    <w:rsid w:val="006803CD"/>
    <w:rsid w:val="00680DF7"/>
    <w:rsid w:val="00681961"/>
    <w:rsid w:val="00681C2A"/>
    <w:rsid w:val="00681C57"/>
    <w:rsid w:val="00681E31"/>
    <w:rsid w:val="006821D3"/>
    <w:rsid w:val="00682506"/>
    <w:rsid w:val="00682C11"/>
    <w:rsid w:val="0068318C"/>
    <w:rsid w:val="00683262"/>
    <w:rsid w:val="006837BA"/>
    <w:rsid w:val="00683C88"/>
    <w:rsid w:val="00684DB7"/>
    <w:rsid w:val="0068511A"/>
    <w:rsid w:val="00685434"/>
    <w:rsid w:val="00685C26"/>
    <w:rsid w:val="00685DAD"/>
    <w:rsid w:val="00686120"/>
    <w:rsid w:val="00686316"/>
    <w:rsid w:val="006865D7"/>
    <w:rsid w:val="00686CFF"/>
    <w:rsid w:val="0068714D"/>
    <w:rsid w:val="00687324"/>
    <w:rsid w:val="0068748F"/>
    <w:rsid w:val="0068767A"/>
    <w:rsid w:val="00687764"/>
    <w:rsid w:val="006878F5"/>
    <w:rsid w:val="00690122"/>
    <w:rsid w:val="00690AFE"/>
    <w:rsid w:val="00690E42"/>
    <w:rsid w:val="00691395"/>
    <w:rsid w:val="00692114"/>
    <w:rsid w:val="0069213F"/>
    <w:rsid w:val="006926DC"/>
    <w:rsid w:val="006928F0"/>
    <w:rsid w:val="00692D9D"/>
    <w:rsid w:val="00692DA0"/>
    <w:rsid w:val="00692DAF"/>
    <w:rsid w:val="006940E0"/>
    <w:rsid w:val="00694249"/>
    <w:rsid w:val="006948E5"/>
    <w:rsid w:val="00694908"/>
    <w:rsid w:val="00694A4B"/>
    <w:rsid w:val="00694C08"/>
    <w:rsid w:val="00694C85"/>
    <w:rsid w:val="00694EAB"/>
    <w:rsid w:val="00694FE3"/>
    <w:rsid w:val="006951F2"/>
    <w:rsid w:val="0069565B"/>
    <w:rsid w:val="00695FB3"/>
    <w:rsid w:val="006960DE"/>
    <w:rsid w:val="006963BA"/>
    <w:rsid w:val="006968FF"/>
    <w:rsid w:val="00696C57"/>
    <w:rsid w:val="00696D10"/>
    <w:rsid w:val="00697141"/>
    <w:rsid w:val="006976D2"/>
    <w:rsid w:val="006978EE"/>
    <w:rsid w:val="00697B7E"/>
    <w:rsid w:val="00697D44"/>
    <w:rsid w:val="006A012D"/>
    <w:rsid w:val="006A0684"/>
    <w:rsid w:val="006A07ED"/>
    <w:rsid w:val="006A0B1E"/>
    <w:rsid w:val="006A0E60"/>
    <w:rsid w:val="006A1FE4"/>
    <w:rsid w:val="006A2140"/>
    <w:rsid w:val="006A2207"/>
    <w:rsid w:val="006A2259"/>
    <w:rsid w:val="006A2352"/>
    <w:rsid w:val="006A240F"/>
    <w:rsid w:val="006A272F"/>
    <w:rsid w:val="006A290C"/>
    <w:rsid w:val="006A2F28"/>
    <w:rsid w:val="006A2F88"/>
    <w:rsid w:val="006A3F18"/>
    <w:rsid w:val="006A4093"/>
    <w:rsid w:val="006A4412"/>
    <w:rsid w:val="006A49A9"/>
    <w:rsid w:val="006A4A53"/>
    <w:rsid w:val="006A4B98"/>
    <w:rsid w:val="006A4DD7"/>
    <w:rsid w:val="006A55A7"/>
    <w:rsid w:val="006A5C5B"/>
    <w:rsid w:val="006A6377"/>
    <w:rsid w:val="006A6E2D"/>
    <w:rsid w:val="006A6F02"/>
    <w:rsid w:val="006A71F0"/>
    <w:rsid w:val="006A7309"/>
    <w:rsid w:val="006A7A3A"/>
    <w:rsid w:val="006A7EE5"/>
    <w:rsid w:val="006A7F7D"/>
    <w:rsid w:val="006B03E7"/>
    <w:rsid w:val="006B0CF5"/>
    <w:rsid w:val="006B11A5"/>
    <w:rsid w:val="006B1222"/>
    <w:rsid w:val="006B1684"/>
    <w:rsid w:val="006B19C0"/>
    <w:rsid w:val="006B1C45"/>
    <w:rsid w:val="006B1CDA"/>
    <w:rsid w:val="006B20DB"/>
    <w:rsid w:val="006B2ACB"/>
    <w:rsid w:val="006B30EA"/>
    <w:rsid w:val="006B328E"/>
    <w:rsid w:val="006B3644"/>
    <w:rsid w:val="006B3646"/>
    <w:rsid w:val="006B36B4"/>
    <w:rsid w:val="006B3B66"/>
    <w:rsid w:val="006B3F0E"/>
    <w:rsid w:val="006B4BBB"/>
    <w:rsid w:val="006B50B6"/>
    <w:rsid w:val="006B566D"/>
    <w:rsid w:val="006B57B0"/>
    <w:rsid w:val="006B580C"/>
    <w:rsid w:val="006B5A95"/>
    <w:rsid w:val="006B6849"/>
    <w:rsid w:val="006B6A38"/>
    <w:rsid w:val="006B6CBA"/>
    <w:rsid w:val="006B7A27"/>
    <w:rsid w:val="006B7C28"/>
    <w:rsid w:val="006B7E43"/>
    <w:rsid w:val="006C01A0"/>
    <w:rsid w:val="006C026E"/>
    <w:rsid w:val="006C02AF"/>
    <w:rsid w:val="006C0425"/>
    <w:rsid w:val="006C074C"/>
    <w:rsid w:val="006C0DC4"/>
    <w:rsid w:val="006C0DF6"/>
    <w:rsid w:val="006C105E"/>
    <w:rsid w:val="006C183A"/>
    <w:rsid w:val="006C1C8C"/>
    <w:rsid w:val="006C29B1"/>
    <w:rsid w:val="006C29BA"/>
    <w:rsid w:val="006C2A7C"/>
    <w:rsid w:val="006C2F96"/>
    <w:rsid w:val="006C349F"/>
    <w:rsid w:val="006C3AB5"/>
    <w:rsid w:val="006C3B72"/>
    <w:rsid w:val="006C4370"/>
    <w:rsid w:val="006C46A5"/>
    <w:rsid w:val="006C505E"/>
    <w:rsid w:val="006C551C"/>
    <w:rsid w:val="006C599F"/>
    <w:rsid w:val="006C5A52"/>
    <w:rsid w:val="006C5EBC"/>
    <w:rsid w:val="006C6705"/>
    <w:rsid w:val="006C6C3C"/>
    <w:rsid w:val="006C76E9"/>
    <w:rsid w:val="006D0372"/>
    <w:rsid w:val="006D03DB"/>
    <w:rsid w:val="006D0543"/>
    <w:rsid w:val="006D0768"/>
    <w:rsid w:val="006D0CA6"/>
    <w:rsid w:val="006D0D1A"/>
    <w:rsid w:val="006D0D29"/>
    <w:rsid w:val="006D0D2A"/>
    <w:rsid w:val="006D0E64"/>
    <w:rsid w:val="006D152D"/>
    <w:rsid w:val="006D18DA"/>
    <w:rsid w:val="006D1B1D"/>
    <w:rsid w:val="006D1D42"/>
    <w:rsid w:val="006D1D85"/>
    <w:rsid w:val="006D2ADC"/>
    <w:rsid w:val="006D2DCC"/>
    <w:rsid w:val="006D3440"/>
    <w:rsid w:val="006D3528"/>
    <w:rsid w:val="006D3B19"/>
    <w:rsid w:val="006D3B65"/>
    <w:rsid w:val="006D3DE7"/>
    <w:rsid w:val="006D455D"/>
    <w:rsid w:val="006D45C3"/>
    <w:rsid w:val="006D4693"/>
    <w:rsid w:val="006D480B"/>
    <w:rsid w:val="006D5B40"/>
    <w:rsid w:val="006D639C"/>
    <w:rsid w:val="006D6672"/>
    <w:rsid w:val="006D670F"/>
    <w:rsid w:val="006D6B11"/>
    <w:rsid w:val="006D6BF9"/>
    <w:rsid w:val="006D6DC6"/>
    <w:rsid w:val="006D7498"/>
    <w:rsid w:val="006D7670"/>
    <w:rsid w:val="006D7762"/>
    <w:rsid w:val="006E01A0"/>
    <w:rsid w:val="006E06F7"/>
    <w:rsid w:val="006E0F35"/>
    <w:rsid w:val="006E1171"/>
    <w:rsid w:val="006E160A"/>
    <w:rsid w:val="006E18CA"/>
    <w:rsid w:val="006E200D"/>
    <w:rsid w:val="006E20DA"/>
    <w:rsid w:val="006E244E"/>
    <w:rsid w:val="006E2768"/>
    <w:rsid w:val="006E2ECA"/>
    <w:rsid w:val="006E33E3"/>
    <w:rsid w:val="006E3AD9"/>
    <w:rsid w:val="006E3EC4"/>
    <w:rsid w:val="006E42B4"/>
    <w:rsid w:val="006E42E2"/>
    <w:rsid w:val="006E4436"/>
    <w:rsid w:val="006E4669"/>
    <w:rsid w:val="006E4CC9"/>
    <w:rsid w:val="006E518E"/>
    <w:rsid w:val="006E52AB"/>
    <w:rsid w:val="006E5EAD"/>
    <w:rsid w:val="006E71BB"/>
    <w:rsid w:val="006E7469"/>
    <w:rsid w:val="006E7586"/>
    <w:rsid w:val="006E7F77"/>
    <w:rsid w:val="006F02C0"/>
    <w:rsid w:val="006F0971"/>
    <w:rsid w:val="006F1276"/>
    <w:rsid w:val="006F1712"/>
    <w:rsid w:val="006F1D9F"/>
    <w:rsid w:val="006F23A9"/>
    <w:rsid w:val="006F241D"/>
    <w:rsid w:val="006F25AE"/>
    <w:rsid w:val="006F31A2"/>
    <w:rsid w:val="006F3213"/>
    <w:rsid w:val="006F39DB"/>
    <w:rsid w:val="006F424B"/>
    <w:rsid w:val="006F4968"/>
    <w:rsid w:val="006F5292"/>
    <w:rsid w:val="006F5424"/>
    <w:rsid w:val="006F5923"/>
    <w:rsid w:val="006F5975"/>
    <w:rsid w:val="006F59DA"/>
    <w:rsid w:val="006F5AB4"/>
    <w:rsid w:val="006F5BCE"/>
    <w:rsid w:val="006F5D83"/>
    <w:rsid w:val="006F6119"/>
    <w:rsid w:val="006F62A1"/>
    <w:rsid w:val="006F6F5D"/>
    <w:rsid w:val="006F7063"/>
    <w:rsid w:val="006F71A7"/>
    <w:rsid w:val="006F729C"/>
    <w:rsid w:val="006F7443"/>
    <w:rsid w:val="0070013D"/>
    <w:rsid w:val="0070091F"/>
    <w:rsid w:val="007014DA"/>
    <w:rsid w:val="007017AD"/>
    <w:rsid w:val="007018DD"/>
    <w:rsid w:val="00701A6B"/>
    <w:rsid w:val="00701B76"/>
    <w:rsid w:val="00701BF6"/>
    <w:rsid w:val="00702131"/>
    <w:rsid w:val="0070239C"/>
    <w:rsid w:val="0070280D"/>
    <w:rsid w:val="00702DDE"/>
    <w:rsid w:val="00703164"/>
    <w:rsid w:val="00703199"/>
    <w:rsid w:val="00703730"/>
    <w:rsid w:val="007037FF"/>
    <w:rsid w:val="007039AA"/>
    <w:rsid w:val="00703B52"/>
    <w:rsid w:val="0070422A"/>
    <w:rsid w:val="00704364"/>
    <w:rsid w:val="00704FE5"/>
    <w:rsid w:val="007053BC"/>
    <w:rsid w:val="00705594"/>
    <w:rsid w:val="00705665"/>
    <w:rsid w:val="0070575E"/>
    <w:rsid w:val="0070588D"/>
    <w:rsid w:val="00705B24"/>
    <w:rsid w:val="0070603F"/>
    <w:rsid w:val="007060FC"/>
    <w:rsid w:val="00706152"/>
    <w:rsid w:val="00706217"/>
    <w:rsid w:val="007062F6"/>
    <w:rsid w:val="00706927"/>
    <w:rsid w:val="00706ECB"/>
    <w:rsid w:val="00707113"/>
    <w:rsid w:val="0070788D"/>
    <w:rsid w:val="00707A20"/>
    <w:rsid w:val="00710111"/>
    <w:rsid w:val="0071021C"/>
    <w:rsid w:val="00712173"/>
    <w:rsid w:val="00712298"/>
    <w:rsid w:val="0071292E"/>
    <w:rsid w:val="007136E9"/>
    <w:rsid w:val="007141F8"/>
    <w:rsid w:val="00714370"/>
    <w:rsid w:val="007146EE"/>
    <w:rsid w:val="00714991"/>
    <w:rsid w:val="00714AAC"/>
    <w:rsid w:val="00714CFC"/>
    <w:rsid w:val="0071511A"/>
    <w:rsid w:val="0071563B"/>
    <w:rsid w:val="00715875"/>
    <w:rsid w:val="00715C63"/>
    <w:rsid w:val="00715E6A"/>
    <w:rsid w:val="00716E5C"/>
    <w:rsid w:val="00716EF3"/>
    <w:rsid w:val="007172C7"/>
    <w:rsid w:val="00717A96"/>
    <w:rsid w:val="00720546"/>
    <w:rsid w:val="007205BA"/>
    <w:rsid w:val="00721289"/>
    <w:rsid w:val="007213E1"/>
    <w:rsid w:val="007213F3"/>
    <w:rsid w:val="007215BB"/>
    <w:rsid w:val="00721B74"/>
    <w:rsid w:val="00721D57"/>
    <w:rsid w:val="00723E2A"/>
    <w:rsid w:val="00723E3A"/>
    <w:rsid w:val="00723FCF"/>
    <w:rsid w:val="00724106"/>
    <w:rsid w:val="00724412"/>
    <w:rsid w:val="00724B3A"/>
    <w:rsid w:val="00724B53"/>
    <w:rsid w:val="00724F73"/>
    <w:rsid w:val="00725069"/>
    <w:rsid w:val="007250E3"/>
    <w:rsid w:val="00725B16"/>
    <w:rsid w:val="0072611E"/>
    <w:rsid w:val="00726451"/>
    <w:rsid w:val="0072646D"/>
    <w:rsid w:val="00726723"/>
    <w:rsid w:val="007267E3"/>
    <w:rsid w:val="00726C0B"/>
    <w:rsid w:val="00727942"/>
    <w:rsid w:val="00727AF0"/>
    <w:rsid w:val="00727F04"/>
    <w:rsid w:val="007309F4"/>
    <w:rsid w:val="00731265"/>
    <w:rsid w:val="007312CA"/>
    <w:rsid w:val="007316D6"/>
    <w:rsid w:val="00731B79"/>
    <w:rsid w:val="00731BE9"/>
    <w:rsid w:val="00731D52"/>
    <w:rsid w:val="00731EF4"/>
    <w:rsid w:val="00731EF9"/>
    <w:rsid w:val="00732107"/>
    <w:rsid w:val="007321BF"/>
    <w:rsid w:val="007326C5"/>
    <w:rsid w:val="00732CD2"/>
    <w:rsid w:val="0073354E"/>
    <w:rsid w:val="00733C92"/>
    <w:rsid w:val="00733FD0"/>
    <w:rsid w:val="007342E5"/>
    <w:rsid w:val="00734682"/>
    <w:rsid w:val="00734E15"/>
    <w:rsid w:val="00735207"/>
    <w:rsid w:val="007354B5"/>
    <w:rsid w:val="007358ED"/>
    <w:rsid w:val="00735DB4"/>
    <w:rsid w:val="00736196"/>
    <w:rsid w:val="007364BC"/>
    <w:rsid w:val="0073668F"/>
    <w:rsid w:val="007367FE"/>
    <w:rsid w:val="00736B38"/>
    <w:rsid w:val="00736C19"/>
    <w:rsid w:val="00736ED1"/>
    <w:rsid w:val="00737147"/>
    <w:rsid w:val="00737186"/>
    <w:rsid w:val="007375DE"/>
    <w:rsid w:val="00737D0F"/>
    <w:rsid w:val="00737E3B"/>
    <w:rsid w:val="0074021C"/>
    <w:rsid w:val="0074026C"/>
    <w:rsid w:val="00740D31"/>
    <w:rsid w:val="00741443"/>
    <w:rsid w:val="0074144F"/>
    <w:rsid w:val="00741B6C"/>
    <w:rsid w:val="00741C4C"/>
    <w:rsid w:val="00741CE9"/>
    <w:rsid w:val="00742CE9"/>
    <w:rsid w:val="00742CF3"/>
    <w:rsid w:val="00743098"/>
    <w:rsid w:val="00743353"/>
    <w:rsid w:val="007437B7"/>
    <w:rsid w:val="00743D46"/>
    <w:rsid w:val="00744037"/>
    <w:rsid w:val="007448F8"/>
    <w:rsid w:val="0074490D"/>
    <w:rsid w:val="00744D4D"/>
    <w:rsid w:val="00745736"/>
    <w:rsid w:val="00745A13"/>
    <w:rsid w:val="007464D4"/>
    <w:rsid w:val="0074672D"/>
    <w:rsid w:val="007472BF"/>
    <w:rsid w:val="0074736D"/>
    <w:rsid w:val="007478BC"/>
    <w:rsid w:val="00747F44"/>
    <w:rsid w:val="00750153"/>
    <w:rsid w:val="0075031C"/>
    <w:rsid w:val="00750644"/>
    <w:rsid w:val="0075073F"/>
    <w:rsid w:val="00750A1C"/>
    <w:rsid w:val="00750F20"/>
    <w:rsid w:val="00750F51"/>
    <w:rsid w:val="0075174A"/>
    <w:rsid w:val="007517EE"/>
    <w:rsid w:val="00752375"/>
    <w:rsid w:val="00752642"/>
    <w:rsid w:val="0075284F"/>
    <w:rsid w:val="00752D6D"/>
    <w:rsid w:val="00754063"/>
    <w:rsid w:val="00754269"/>
    <w:rsid w:val="007550FD"/>
    <w:rsid w:val="007554C6"/>
    <w:rsid w:val="00756013"/>
    <w:rsid w:val="0075643F"/>
    <w:rsid w:val="00756B7E"/>
    <w:rsid w:val="00757152"/>
    <w:rsid w:val="00757218"/>
    <w:rsid w:val="00757475"/>
    <w:rsid w:val="00757890"/>
    <w:rsid w:val="00757B1A"/>
    <w:rsid w:val="0076019C"/>
    <w:rsid w:val="00760A53"/>
    <w:rsid w:val="00760BEB"/>
    <w:rsid w:val="00760F18"/>
    <w:rsid w:val="00761210"/>
    <w:rsid w:val="00761760"/>
    <w:rsid w:val="00761B90"/>
    <w:rsid w:val="00761CAF"/>
    <w:rsid w:val="0076206F"/>
    <w:rsid w:val="00762176"/>
    <w:rsid w:val="007623CB"/>
    <w:rsid w:val="00762622"/>
    <w:rsid w:val="0076272B"/>
    <w:rsid w:val="007629AD"/>
    <w:rsid w:val="00762C75"/>
    <w:rsid w:val="0076327B"/>
    <w:rsid w:val="00763868"/>
    <w:rsid w:val="007639C3"/>
    <w:rsid w:val="00763D4D"/>
    <w:rsid w:val="00763EA3"/>
    <w:rsid w:val="00764034"/>
    <w:rsid w:val="00764205"/>
    <w:rsid w:val="00764550"/>
    <w:rsid w:val="007645B6"/>
    <w:rsid w:val="00764C22"/>
    <w:rsid w:val="00764CFE"/>
    <w:rsid w:val="00764F4C"/>
    <w:rsid w:val="00764FA1"/>
    <w:rsid w:val="00764FE7"/>
    <w:rsid w:val="00765514"/>
    <w:rsid w:val="00765651"/>
    <w:rsid w:val="007658C6"/>
    <w:rsid w:val="00765EA1"/>
    <w:rsid w:val="00766746"/>
    <w:rsid w:val="00767017"/>
    <w:rsid w:val="00767132"/>
    <w:rsid w:val="00767466"/>
    <w:rsid w:val="00767C29"/>
    <w:rsid w:val="00767DA5"/>
    <w:rsid w:val="00767E43"/>
    <w:rsid w:val="007702C0"/>
    <w:rsid w:val="00770DBE"/>
    <w:rsid w:val="00770F2A"/>
    <w:rsid w:val="0077115B"/>
    <w:rsid w:val="007711C8"/>
    <w:rsid w:val="007715D3"/>
    <w:rsid w:val="0077205D"/>
    <w:rsid w:val="0077209A"/>
    <w:rsid w:val="00772294"/>
    <w:rsid w:val="007725F0"/>
    <w:rsid w:val="007734A0"/>
    <w:rsid w:val="007735D0"/>
    <w:rsid w:val="0077374C"/>
    <w:rsid w:val="00773BF2"/>
    <w:rsid w:val="00773C1D"/>
    <w:rsid w:val="00773C9E"/>
    <w:rsid w:val="00773F19"/>
    <w:rsid w:val="00774538"/>
    <w:rsid w:val="00774652"/>
    <w:rsid w:val="007748BA"/>
    <w:rsid w:val="00774A17"/>
    <w:rsid w:val="00774B7A"/>
    <w:rsid w:val="00774C34"/>
    <w:rsid w:val="00775245"/>
    <w:rsid w:val="0077591A"/>
    <w:rsid w:val="00775D62"/>
    <w:rsid w:val="00775E67"/>
    <w:rsid w:val="00776122"/>
    <w:rsid w:val="00776198"/>
    <w:rsid w:val="007762F7"/>
    <w:rsid w:val="007768AB"/>
    <w:rsid w:val="007768E7"/>
    <w:rsid w:val="00776A75"/>
    <w:rsid w:val="00776AF2"/>
    <w:rsid w:val="00776DF9"/>
    <w:rsid w:val="00776E90"/>
    <w:rsid w:val="0077774E"/>
    <w:rsid w:val="007777AE"/>
    <w:rsid w:val="00777EA0"/>
    <w:rsid w:val="007802C0"/>
    <w:rsid w:val="00780D27"/>
    <w:rsid w:val="00780D53"/>
    <w:rsid w:val="00781384"/>
    <w:rsid w:val="007814C2"/>
    <w:rsid w:val="00781CCD"/>
    <w:rsid w:val="00781FB5"/>
    <w:rsid w:val="0078218A"/>
    <w:rsid w:val="0078273B"/>
    <w:rsid w:val="0078294D"/>
    <w:rsid w:val="00782C61"/>
    <w:rsid w:val="00782D93"/>
    <w:rsid w:val="00782DA8"/>
    <w:rsid w:val="0078353A"/>
    <w:rsid w:val="00783BCD"/>
    <w:rsid w:val="00783C23"/>
    <w:rsid w:val="00783E95"/>
    <w:rsid w:val="00784791"/>
    <w:rsid w:val="00784951"/>
    <w:rsid w:val="00784C6C"/>
    <w:rsid w:val="00784DF1"/>
    <w:rsid w:val="007856A4"/>
    <w:rsid w:val="00785981"/>
    <w:rsid w:val="00785DC4"/>
    <w:rsid w:val="00785F8F"/>
    <w:rsid w:val="007860D1"/>
    <w:rsid w:val="0078633E"/>
    <w:rsid w:val="0078671B"/>
    <w:rsid w:val="0078697E"/>
    <w:rsid w:val="0078702C"/>
    <w:rsid w:val="0078708D"/>
    <w:rsid w:val="007872A3"/>
    <w:rsid w:val="0078786B"/>
    <w:rsid w:val="007905E5"/>
    <w:rsid w:val="0079098A"/>
    <w:rsid w:val="007909A9"/>
    <w:rsid w:val="00791B76"/>
    <w:rsid w:val="00792276"/>
    <w:rsid w:val="0079229F"/>
    <w:rsid w:val="007923DA"/>
    <w:rsid w:val="00792495"/>
    <w:rsid w:val="00792B97"/>
    <w:rsid w:val="007931F8"/>
    <w:rsid w:val="00793B30"/>
    <w:rsid w:val="00793C10"/>
    <w:rsid w:val="0079446B"/>
    <w:rsid w:val="00794F24"/>
    <w:rsid w:val="00795160"/>
    <w:rsid w:val="0079542F"/>
    <w:rsid w:val="00795519"/>
    <w:rsid w:val="00795561"/>
    <w:rsid w:val="007958BF"/>
    <w:rsid w:val="00795A8A"/>
    <w:rsid w:val="00795ACC"/>
    <w:rsid w:val="00796213"/>
    <w:rsid w:val="007963B8"/>
    <w:rsid w:val="00796444"/>
    <w:rsid w:val="007964E5"/>
    <w:rsid w:val="00796F1E"/>
    <w:rsid w:val="00796F8F"/>
    <w:rsid w:val="0079712B"/>
    <w:rsid w:val="007A00DD"/>
    <w:rsid w:val="007A025A"/>
    <w:rsid w:val="007A058C"/>
    <w:rsid w:val="007A0A1A"/>
    <w:rsid w:val="007A0B4A"/>
    <w:rsid w:val="007A0D63"/>
    <w:rsid w:val="007A128A"/>
    <w:rsid w:val="007A12DE"/>
    <w:rsid w:val="007A1F33"/>
    <w:rsid w:val="007A1F3B"/>
    <w:rsid w:val="007A213E"/>
    <w:rsid w:val="007A3069"/>
    <w:rsid w:val="007A3A2D"/>
    <w:rsid w:val="007A3C3F"/>
    <w:rsid w:val="007A3F84"/>
    <w:rsid w:val="007A44F4"/>
    <w:rsid w:val="007A47CE"/>
    <w:rsid w:val="007A49C7"/>
    <w:rsid w:val="007A58B2"/>
    <w:rsid w:val="007A58BD"/>
    <w:rsid w:val="007A5928"/>
    <w:rsid w:val="007A5D58"/>
    <w:rsid w:val="007A5F2B"/>
    <w:rsid w:val="007A613A"/>
    <w:rsid w:val="007A70D7"/>
    <w:rsid w:val="007A7126"/>
    <w:rsid w:val="007A74A4"/>
    <w:rsid w:val="007A78A5"/>
    <w:rsid w:val="007A7A25"/>
    <w:rsid w:val="007A7C1D"/>
    <w:rsid w:val="007B04DE"/>
    <w:rsid w:val="007B083C"/>
    <w:rsid w:val="007B1402"/>
    <w:rsid w:val="007B14A5"/>
    <w:rsid w:val="007B14D2"/>
    <w:rsid w:val="007B1784"/>
    <w:rsid w:val="007B1C18"/>
    <w:rsid w:val="007B1E72"/>
    <w:rsid w:val="007B1EF2"/>
    <w:rsid w:val="007B21A6"/>
    <w:rsid w:val="007B2219"/>
    <w:rsid w:val="007B2565"/>
    <w:rsid w:val="007B2680"/>
    <w:rsid w:val="007B2773"/>
    <w:rsid w:val="007B29B4"/>
    <w:rsid w:val="007B2D82"/>
    <w:rsid w:val="007B2D9E"/>
    <w:rsid w:val="007B34AD"/>
    <w:rsid w:val="007B34B4"/>
    <w:rsid w:val="007B3AF6"/>
    <w:rsid w:val="007B43AC"/>
    <w:rsid w:val="007B4EFC"/>
    <w:rsid w:val="007B511D"/>
    <w:rsid w:val="007B52C1"/>
    <w:rsid w:val="007B5A29"/>
    <w:rsid w:val="007B5D22"/>
    <w:rsid w:val="007B5D5C"/>
    <w:rsid w:val="007B609B"/>
    <w:rsid w:val="007B6178"/>
    <w:rsid w:val="007B66D5"/>
    <w:rsid w:val="007B687B"/>
    <w:rsid w:val="007B6C40"/>
    <w:rsid w:val="007B6D3C"/>
    <w:rsid w:val="007B727A"/>
    <w:rsid w:val="007B7B9B"/>
    <w:rsid w:val="007B7D1B"/>
    <w:rsid w:val="007C0081"/>
    <w:rsid w:val="007C0159"/>
    <w:rsid w:val="007C039B"/>
    <w:rsid w:val="007C0734"/>
    <w:rsid w:val="007C0B77"/>
    <w:rsid w:val="007C0DCF"/>
    <w:rsid w:val="007C0EB6"/>
    <w:rsid w:val="007C13D4"/>
    <w:rsid w:val="007C1935"/>
    <w:rsid w:val="007C1DC6"/>
    <w:rsid w:val="007C2015"/>
    <w:rsid w:val="007C2AE9"/>
    <w:rsid w:val="007C33C3"/>
    <w:rsid w:val="007C3B8E"/>
    <w:rsid w:val="007C475E"/>
    <w:rsid w:val="007C4E83"/>
    <w:rsid w:val="007C51A8"/>
    <w:rsid w:val="007C51C9"/>
    <w:rsid w:val="007C5465"/>
    <w:rsid w:val="007C56E6"/>
    <w:rsid w:val="007C578C"/>
    <w:rsid w:val="007C6A5C"/>
    <w:rsid w:val="007C7352"/>
    <w:rsid w:val="007C7A30"/>
    <w:rsid w:val="007D00AC"/>
    <w:rsid w:val="007D14DC"/>
    <w:rsid w:val="007D16AC"/>
    <w:rsid w:val="007D18CC"/>
    <w:rsid w:val="007D1AD5"/>
    <w:rsid w:val="007D2213"/>
    <w:rsid w:val="007D2214"/>
    <w:rsid w:val="007D2757"/>
    <w:rsid w:val="007D2957"/>
    <w:rsid w:val="007D2A55"/>
    <w:rsid w:val="007D34E8"/>
    <w:rsid w:val="007D398C"/>
    <w:rsid w:val="007D3BCB"/>
    <w:rsid w:val="007D4339"/>
    <w:rsid w:val="007D491B"/>
    <w:rsid w:val="007D4B19"/>
    <w:rsid w:val="007D5D21"/>
    <w:rsid w:val="007D5EED"/>
    <w:rsid w:val="007D61DA"/>
    <w:rsid w:val="007D6305"/>
    <w:rsid w:val="007D6337"/>
    <w:rsid w:val="007D6846"/>
    <w:rsid w:val="007D7A3F"/>
    <w:rsid w:val="007D7A97"/>
    <w:rsid w:val="007D7C2F"/>
    <w:rsid w:val="007D7E9B"/>
    <w:rsid w:val="007E00B4"/>
    <w:rsid w:val="007E08F4"/>
    <w:rsid w:val="007E0BD2"/>
    <w:rsid w:val="007E0C25"/>
    <w:rsid w:val="007E0E4E"/>
    <w:rsid w:val="007E17BC"/>
    <w:rsid w:val="007E1844"/>
    <w:rsid w:val="007E1F51"/>
    <w:rsid w:val="007E21BB"/>
    <w:rsid w:val="007E2743"/>
    <w:rsid w:val="007E29F9"/>
    <w:rsid w:val="007E327D"/>
    <w:rsid w:val="007E3434"/>
    <w:rsid w:val="007E356F"/>
    <w:rsid w:val="007E37C9"/>
    <w:rsid w:val="007E4100"/>
    <w:rsid w:val="007E48BF"/>
    <w:rsid w:val="007E5021"/>
    <w:rsid w:val="007E5A98"/>
    <w:rsid w:val="007E5FB6"/>
    <w:rsid w:val="007E792A"/>
    <w:rsid w:val="007F07A0"/>
    <w:rsid w:val="007F08BC"/>
    <w:rsid w:val="007F1F16"/>
    <w:rsid w:val="007F2817"/>
    <w:rsid w:val="007F287F"/>
    <w:rsid w:val="007F2921"/>
    <w:rsid w:val="007F2CF8"/>
    <w:rsid w:val="007F32F1"/>
    <w:rsid w:val="007F3689"/>
    <w:rsid w:val="007F392A"/>
    <w:rsid w:val="007F39E4"/>
    <w:rsid w:val="007F3AAB"/>
    <w:rsid w:val="007F3E3C"/>
    <w:rsid w:val="007F3E82"/>
    <w:rsid w:val="007F3F54"/>
    <w:rsid w:val="007F3F8B"/>
    <w:rsid w:val="007F43D9"/>
    <w:rsid w:val="007F453F"/>
    <w:rsid w:val="007F51A8"/>
    <w:rsid w:val="007F57B5"/>
    <w:rsid w:val="007F6706"/>
    <w:rsid w:val="007F6BA1"/>
    <w:rsid w:val="007F7676"/>
    <w:rsid w:val="007F7726"/>
    <w:rsid w:val="007F7C73"/>
    <w:rsid w:val="007F7EC9"/>
    <w:rsid w:val="007F7F9A"/>
    <w:rsid w:val="008001C1"/>
    <w:rsid w:val="00800778"/>
    <w:rsid w:val="00800847"/>
    <w:rsid w:val="00801A91"/>
    <w:rsid w:val="00801EFC"/>
    <w:rsid w:val="0080224F"/>
    <w:rsid w:val="0080263B"/>
    <w:rsid w:val="008026F6"/>
    <w:rsid w:val="00802803"/>
    <w:rsid w:val="008030E0"/>
    <w:rsid w:val="00803188"/>
    <w:rsid w:val="00803625"/>
    <w:rsid w:val="008037D0"/>
    <w:rsid w:val="00803995"/>
    <w:rsid w:val="00803DDB"/>
    <w:rsid w:val="00804281"/>
    <w:rsid w:val="00804543"/>
    <w:rsid w:val="00804690"/>
    <w:rsid w:val="008046FC"/>
    <w:rsid w:val="00804845"/>
    <w:rsid w:val="00805481"/>
    <w:rsid w:val="00805681"/>
    <w:rsid w:val="0080570D"/>
    <w:rsid w:val="00805F19"/>
    <w:rsid w:val="008066B3"/>
    <w:rsid w:val="00806775"/>
    <w:rsid w:val="008069FD"/>
    <w:rsid w:val="0080756A"/>
    <w:rsid w:val="00807779"/>
    <w:rsid w:val="0081088B"/>
    <w:rsid w:val="00810FDD"/>
    <w:rsid w:val="00811847"/>
    <w:rsid w:val="00811ADF"/>
    <w:rsid w:val="008120BB"/>
    <w:rsid w:val="0081214F"/>
    <w:rsid w:val="00812207"/>
    <w:rsid w:val="00812FCF"/>
    <w:rsid w:val="008130FD"/>
    <w:rsid w:val="00813A8D"/>
    <w:rsid w:val="00813B3C"/>
    <w:rsid w:val="00813C9B"/>
    <w:rsid w:val="0081430B"/>
    <w:rsid w:val="0081472F"/>
    <w:rsid w:val="00814A6E"/>
    <w:rsid w:val="00815DAD"/>
    <w:rsid w:val="00815ED3"/>
    <w:rsid w:val="008161D0"/>
    <w:rsid w:val="00816551"/>
    <w:rsid w:val="008169A3"/>
    <w:rsid w:val="00816A00"/>
    <w:rsid w:val="00816D08"/>
    <w:rsid w:val="00816D19"/>
    <w:rsid w:val="0082059F"/>
    <w:rsid w:val="008208EE"/>
    <w:rsid w:val="00820A68"/>
    <w:rsid w:val="00820AF5"/>
    <w:rsid w:val="00820B13"/>
    <w:rsid w:val="00820E9C"/>
    <w:rsid w:val="008219A2"/>
    <w:rsid w:val="00821BBA"/>
    <w:rsid w:val="00821BF4"/>
    <w:rsid w:val="00821C9A"/>
    <w:rsid w:val="00821D90"/>
    <w:rsid w:val="0082209F"/>
    <w:rsid w:val="00822284"/>
    <w:rsid w:val="008223F0"/>
    <w:rsid w:val="00822A4A"/>
    <w:rsid w:val="00822AFF"/>
    <w:rsid w:val="00822D3F"/>
    <w:rsid w:val="008244BD"/>
    <w:rsid w:val="00824505"/>
    <w:rsid w:val="00824554"/>
    <w:rsid w:val="00824633"/>
    <w:rsid w:val="00824956"/>
    <w:rsid w:val="0082510E"/>
    <w:rsid w:val="008253B6"/>
    <w:rsid w:val="00825907"/>
    <w:rsid w:val="0082607B"/>
    <w:rsid w:val="0082616B"/>
    <w:rsid w:val="00826B81"/>
    <w:rsid w:val="0082704C"/>
    <w:rsid w:val="00827094"/>
    <w:rsid w:val="00827212"/>
    <w:rsid w:val="008275D2"/>
    <w:rsid w:val="00827750"/>
    <w:rsid w:val="00827968"/>
    <w:rsid w:val="00827A55"/>
    <w:rsid w:val="00830428"/>
    <w:rsid w:val="008305EE"/>
    <w:rsid w:val="008308A8"/>
    <w:rsid w:val="008309DA"/>
    <w:rsid w:val="00830AEE"/>
    <w:rsid w:val="00830E47"/>
    <w:rsid w:val="00831602"/>
    <w:rsid w:val="00831726"/>
    <w:rsid w:val="008321B8"/>
    <w:rsid w:val="008321BB"/>
    <w:rsid w:val="008325A4"/>
    <w:rsid w:val="00832B2B"/>
    <w:rsid w:val="00833002"/>
    <w:rsid w:val="00833423"/>
    <w:rsid w:val="00833C04"/>
    <w:rsid w:val="00833CD0"/>
    <w:rsid w:val="00833F64"/>
    <w:rsid w:val="008341C7"/>
    <w:rsid w:val="008349BA"/>
    <w:rsid w:val="00834B23"/>
    <w:rsid w:val="00835189"/>
    <w:rsid w:val="008352A3"/>
    <w:rsid w:val="00835353"/>
    <w:rsid w:val="00835816"/>
    <w:rsid w:val="008358E1"/>
    <w:rsid w:val="00835957"/>
    <w:rsid w:val="00835B61"/>
    <w:rsid w:val="00835EFB"/>
    <w:rsid w:val="008365BD"/>
    <w:rsid w:val="008366F6"/>
    <w:rsid w:val="00836B36"/>
    <w:rsid w:val="00836EE5"/>
    <w:rsid w:val="00837851"/>
    <w:rsid w:val="00837884"/>
    <w:rsid w:val="00837A8F"/>
    <w:rsid w:val="00840442"/>
    <w:rsid w:val="0084062B"/>
    <w:rsid w:val="008406B5"/>
    <w:rsid w:val="0084090A"/>
    <w:rsid w:val="00840B5B"/>
    <w:rsid w:val="0084107C"/>
    <w:rsid w:val="008413A9"/>
    <w:rsid w:val="00841460"/>
    <w:rsid w:val="0084168F"/>
    <w:rsid w:val="00841CBF"/>
    <w:rsid w:val="00841E45"/>
    <w:rsid w:val="008421B2"/>
    <w:rsid w:val="00842E6C"/>
    <w:rsid w:val="008435F2"/>
    <w:rsid w:val="00843810"/>
    <w:rsid w:val="00843A38"/>
    <w:rsid w:val="008440E7"/>
    <w:rsid w:val="00844104"/>
    <w:rsid w:val="0084453B"/>
    <w:rsid w:val="00844905"/>
    <w:rsid w:val="00844C05"/>
    <w:rsid w:val="00844ED3"/>
    <w:rsid w:val="00845124"/>
    <w:rsid w:val="008451FB"/>
    <w:rsid w:val="00845314"/>
    <w:rsid w:val="00845462"/>
    <w:rsid w:val="008455C8"/>
    <w:rsid w:val="00845C95"/>
    <w:rsid w:val="00846035"/>
    <w:rsid w:val="0084609D"/>
    <w:rsid w:val="00846672"/>
    <w:rsid w:val="00846B65"/>
    <w:rsid w:val="00846BDD"/>
    <w:rsid w:val="00846DD3"/>
    <w:rsid w:val="00846EE2"/>
    <w:rsid w:val="00847050"/>
    <w:rsid w:val="0084772F"/>
    <w:rsid w:val="008500B6"/>
    <w:rsid w:val="00850A96"/>
    <w:rsid w:val="00850B67"/>
    <w:rsid w:val="0085114B"/>
    <w:rsid w:val="0085168C"/>
    <w:rsid w:val="00851B39"/>
    <w:rsid w:val="00851BBC"/>
    <w:rsid w:val="008522AF"/>
    <w:rsid w:val="00852DC6"/>
    <w:rsid w:val="0085309E"/>
    <w:rsid w:val="0085316F"/>
    <w:rsid w:val="00853796"/>
    <w:rsid w:val="0085392D"/>
    <w:rsid w:val="00853EF6"/>
    <w:rsid w:val="008544F9"/>
    <w:rsid w:val="00854610"/>
    <w:rsid w:val="00854665"/>
    <w:rsid w:val="008548D0"/>
    <w:rsid w:val="00854F3D"/>
    <w:rsid w:val="008556A6"/>
    <w:rsid w:val="00855DB8"/>
    <w:rsid w:val="00855EA5"/>
    <w:rsid w:val="00856173"/>
    <w:rsid w:val="00856EBB"/>
    <w:rsid w:val="0085705D"/>
    <w:rsid w:val="00857914"/>
    <w:rsid w:val="00857B30"/>
    <w:rsid w:val="00857FAA"/>
    <w:rsid w:val="0086048D"/>
    <w:rsid w:val="00861788"/>
    <w:rsid w:val="00861867"/>
    <w:rsid w:val="008618B9"/>
    <w:rsid w:val="00862514"/>
    <w:rsid w:val="008627FE"/>
    <w:rsid w:val="00862801"/>
    <w:rsid w:val="00862EBB"/>
    <w:rsid w:val="0086317A"/>
    <w:rsid w:val="0086320D"/>
    <w:rsid w:val="0086335D"/>
    <w:rsid w:val="0086363D"/>
    <w:rsid w:val="0086368B"/>
    <w:rsid w:val="00863801"/>
    <w:rsid w:val="00863EC2"/>
    <w:rsid w:val="008643BD"/>
    <w:rsid w:val="00864523"/>
    <w:rsid w:val="00864A84"/>
    <w:rsid w:val="00864CA9"/>
    <w:rsid w:val="00864F70"/>
    <w:rsid w:val="00865300"/>
    <w:rsid w:val="0086537A"/>
    <w:rsid w:val="0086557C"/>
    <w:rsid w:val="00865775"/>
    <w:rsid w:val="0086643A"/>
    <w:rsid w:val="00866841"/>
    <w:rsid w:val="00866DAD"/>
    <w:rsid w:val="00866EA9"/>
    <w:rsid w:val="00866EE6"/>
    <w:rsid w:val="0086708C"/>
    <w:rsid w:val="008677A2"/>
    <w:rsid w:val="008678D5"/>
    <w:rsid w:val="00867904"/>
    <w:rsid w:val="008679AD"/>
    <w:rsid w:val="008679FA"/>
    <w:rsid w:val="00867D22"/>
    <w:rsid w:val="00867DF2"/>
    <w:rsid w:val="0087129E"/>
    <w:rsid w:val="00871406"/>
    <w:rsid w:val="00871AFE"/>
    <w:rsid w:val="00871BC4"/>
    <w:rsid w:val="0087232C"/>
    <w:rsid w:val="00872395"/>
    <w:rsid w:val="008724F5"/>
    <w:rsid w:val="008725B0"/>
    <w:rsid w:val="008729B1"/>
    <w:rsid w:val="00872DE5"/>
    <w:rsid w:val="00872F54"/>
    <w:rsid w:val="008731DD"/>
    <w:rsid w:val="00873BE5"/>
    <w:rsid w:val="00873D3A"/>
    <w:rsid w:val="00874455"/>
    <w:rsid w:val="00874B1C"/>
    <w:rsid w:val="00874B92"/>
    <w:rsid w:val="008751A7"/>
    <w:rsid w:val="008751CF"/>
    <w:rsid w:val="00875C24"/>
    <w:rsid w:val="00875F6E"/>
    <w:rsid w:val="00875F9A"/>
    <w:rsid w:val="00876417"/>
    <w:rsid w:val="0087643D"/>
    <w:rsid w:val="00876855"/>
    <w:rsid w:val="0087697F"/>
    <w:rsid w:val="00876C01"/>
    <w:rsid w:val="00876C18"/>
    <w:rsid w:val="0087730D"/>
    <w:rsid w:val="0087732B"/>
    <w:rsid w:val="0087735D"/>
    <w:rsid w:val="00877396"/>
    <w:rsid w:val="008775EF"/>
    <w:rsid w:val="00877985"/>
    <w:rsid w:val="00877D08"/>
    <w:rsid w:val="00880398"/>
    <w:rsid w:val="0088042E"/>
    <w:rsid w:val="0088063C"/>
    <w:rsid w:val="0088091D"/>
    <w:rsid w:val="00881AFB"/>
    <w:rsid w:val="00882BC3"/>
    <w:rsid w:val="00882D23"/>
    <w:rsid w:val="0088371C"/>
    <w:rsid w:val="008839F9"/>
    <w:rsid w:val="00884495"/>
    <w:rsid w:val="00884B62"/>
    <w:rsid w:val="00884C25"/>
    <w:rsid w:val="008850F2"/>
    <w:rsid w:val="00885137"/>
    <w:rsid w:val="008851C6"/>
    <w:rsid w:val="0088523D"/>
    <w:rsid w:val="0088532D"/>
    <w:rsid w:val="008854AF"/>
    <w:rsid w:val="0088579A"/>
    <w:rsid w:val="00885904"/>
    <w:rsid w:val="00885A04"/>
    <w:rsid w:val="00885AFD"/>
    <w:rsid w:val="00885B54"/>
    <w:rsid w:val="00885BC3"/>
    <w:rsid w:val="00885ECE"/>
    <w:rsid w:val="008863D2"/>
    <w:rsid w:val="008864A2"/>
    <w:rsid w:val="00886663"/>
    <w:rsid w:val="00887639"/>
    <w:rsid w:val="0088788B"/>
    <w:rsid w:val="008878C9"/>
    <w:rsid w:val="008902C0"/>
    <w:rsid w:val="00890398"/>
    <w:rsid w:val="008904D3"/>
    <w:rsid w:val="008905E6"/>
    <w:rsid w:val="008908C2"/>
    <w:rsid w:val="008908D9"/>
    <w:rsid w:val="00890C1D"/>
    <w:rsid w:val="00890C27"/>
    <w:rsid w:val="00891E29"/>
    <w:rsid w:val="008920BA"/>
    <w:rsid w:val="00892D1F"/>
    <w:rsid w:val="00893349"/>
    <w:rsid w:val="00893EE1"/>
    <w:rsid w:val="00893FE8"/>
    <w:rsid w:val="0089400B"/>
    <w:rsid w:val="0089464F"/>
    <w:rsid w:val="00894852"/>
    <w:rsid w:val="00894B37"/>
    <w:rsid w:val="0089514A"/>
    <w:rsid w:val="00895252"/>
    <w:rsid w:val="00895400"/>
    <w:rsid w:val="00895473"/>
    <w:rsid w:val="00895C73"/>
    <w:rsid w:val="00895FF2"/>
    <w:rsid w:val="00896B22"/>
    <w:rsid w:val="00897B58"/>
    <w:rsid w:val="00897C5B"/>
    <w:rsid w:val="00897E5D"/>
    <w:rsid w:val="008A02E4"/>
    <w:rsid w:val="008A0932"/>
    <w:rsid w:val="008A1658"/>
    <w:rsid w:val="008A1E4E"/>
    <w:rsid w:val="008A1F69"/>
    <w:rsid w:val="008A2225"/>
    <w:rsid w:val="008A2228"/>
    <w:rsid w:val="008A2398"/>
    <w:rsid w:val="008A2924"/>
    <w:rsid w:val="008A3195"/>
    <w:rsid w:val="008A33D9"/>
    <w:rsid w:val="008A3A20"/>
    <w:rsid w:val="008A4484"/>
    <w:rsid w:val="008A4B69"/>
    <w:rsid w:val="008A4C14"/>
    <w:rsid w:val="008A514E"/>
    <w:rsid w:val="008A605D"/>
    <w:rsid w:val="008A778F"/>
    <w:rsid w:val="008A7B53"/>
    <w:rsid w:val="008B0337"/>
    <w:rsid w:val="008B0733"/>
    <w:rsid w:val="008B07A6"/>
    <w:rsid w:val="008B0E3F"/>
    <w:rsid w:val="008B13E6"/>
    <w:rsid w:val="008B14FC"/>
    <w:rsid w:val="008B1B33"/>
    <w:rsid w:val="008B1C4B"/>
    <w:rsid w:val="008B21F1"/>
    <w:rsid w:val="008B2363"/>
    <w:rsid w:val="008B2EEE"/>
    <w:rsid w:val="008B34D9"/>
    <w:rsid w:val="008B352B"/>
    <w:rsid w:val="008B4D93"/>
    <w:rsid w:val="008B4F83"/>
    <w:rsid w:val="008B50ED"/>
    <w:rsid w:val="008B5E4D"/>
    <w:rsid w:val="008B5F0E"/>
    <w:rsid w:val="008B5F52"/>
    <w:rsid w:val="008B64FE"/>
    <w:rsid w:val="008B6BE3"/>
    <w:rsid w:val="008B6DC4"/>
    <w:rsid w:val="008B7319"/>
    <w:rsid w:val="008B781A"/>
    <w:rsid w:val="008B7AE9"/>
    <w:rsid w:val="008B7E04"/>
    <w:rsid w:val="008B7E11"/>
    <w:rsid w:val="008C0009"/>
    <w:rsid w:val="008C0640"/>
    <w:rsid w:val="008C099D"/>
    <w:rsid w:val="008C0C96"/>
    <w:rsid w:val="008C0F23"/>
    <w:rsid w:val="008C128B"/>
    <w:rsid w:val="008C12E8"/>
    <w:rsid w:val="008C14A8"/>
    <w:rsid w:val="008C197C"/>
    <w:rsid w:val="008C1B96"/>
    <w:rsid w:val="008C21B4"/>
    <w:rsid w:val="008C2219"/>
    <w:rsid w:val="008C3120"/>
    <w:rsid w:val="008C3727"/>
    <w:rsid w:val="008C3737"/>
    <w:rsid w:val="008C3E21"/>
    <w:rsid w:val="008C3EFA"/>
    <w:rsid w:val="008C46FA"/>
    <w:rsid w:val="008C58C1"/>
    <w:rsid w:val="008C5ACC"/>
    <w:rsid w:val="008C5D6F"/>
    <w:rsid w:val="008C6734"/>
    <w:rsid w:val="008C77AD"/>
    <w:rsid w:val="008C7915"/>
    <w:rsid w:val="008C7AE6"/>
    <w:rsid w:val="008C7D75"/>
    <w:rsid w:val="008D0394"/>
    <w:rsid w:val="008D03B3"/>
    <w:rsid w:val="008D0FA7"/>
    <w:rsid w:val="008D1851"/>
    <w:rsid w:val="008D18F4"/>
    <w:rsid w:val="008D275E"/>
    <w:rsid w:val="008D2D50"/>
    <w:rsid w:val="008D2ED4"/>
    <w:rsid w:val="008D2F5F"/>
    <w:rsid w:val="008D32D4"/>
    <w:rsid w:val="008D34EB"/>
    <w:rsid w:val="008D379D"/>
    <w:rsid w:val="008D38DE"/>
    <w:rsid w:val="008D3CA7"/>
    <w:rsid w:val="008D3ECD"/>
    <w:rsid w:val="008D45B2"/>
    <w:rsid w:val="008D4AD8"/>
    <w:rsid w:val="008D4D16"/>
    <w:rsid w:val="008D4F46"/>
    <w:rsid w:val="008D5884"/>
    <w:rsid w:val="008D5C70"/>
    <w:rsid w:val="008D5F5B"/>
    <w:rsid w:val="008D6A31"/>
    <w:rsid w:val="008D6BC3"/>
    <w:rsid w:val="008D6C64"/>
    <w:rsid w:val="008D6E8B"/>
    <w:rsid w:val="008D7F7B"/>
    <w:rsid w:val="008E078E"/>
    <w:rsid w:val="008E0DD1"/>
    <w:rsid w:val="008E0F52"/>
    <w:rsid w:val="008E0F81"/>
    <w:rsid w:val="008E12B8"/>
    <w:rsid w:val="008E12FB"/>
    <w:rsid w:val="008E1E4D"/>
    <w:rsid w:val="008E1EEF"/>
    <w:rsid w:val="008E2187"/>
    <w:rsid w:val="008E218F"/>
    <w:rsid w:val="008E2227"/>
    <w:rsid w:val="008E2288"/>
    <w:rsid w:val="008E26D2"/>
    <w:rsid w:val="008E3676"/>
    <w:rsid w:val="008E3CD9"/>
    <w:rsid w:val="008E40B2"/>
    <w:rsid w:val="008E4434"/>
    <w:rsid w:val="008E4AFB"/>
    <w:rsid w:val="008E523A"/>
    <w:rsid w:val="008E56E2"/>
    <w:rsid w:val="008E5AF3"/>
    <w:rsid w:val="008E62CA"/>
    <w:rsid w:val="008E6552"/>
    <w:rsid w:val="008E66FA"/>
    <w:rsid w:val="008E6A6E"/>
    <w:rsid w:val="008E71D2"/>
    <w:rsid w:val="008E7253"/>
    <w:rsid w:val="008E7753"/>
    <w:rsid w:val="008E78E7"/>
    <w:rsid w:val="008F0204"/>
    <w:rsid w:val="008F0598"/>
    <w:rsid w:val="008F0D90"/>
    <w:rsid w:val="008F0F99"/>
    <w:rsid w:val="008F1485"/>
    <w:rsid w:val="008F1521"/>
    <w:rsid w:val="008F222C"/>
    <w:rsid w:val="008F294A"/>
    <w:rsid w:val="008F3496"/>
    <w:rsid w:val="008F3A51"/>
    <w:rsid w:val="008F3FDB"/>
    <w:rsid w:val="008F4314"/>
    <w:rsid w:val="008F49D6"/>
    <w:rsid w:val="008F4D38"/>
    <w:rsid w:val="008F5297"/>
    <w:rsid w:val="008F551C"/>
    <w:rsid w:val="008F56D9"/>
    <w:rsid w:val="008F5E41"/>
    <w:rsid w:val="008F6914"/>
    <w:rsid w:val="008F69DA"/>
    <w:rsid w:val="008F708C"/>
    <w:rsid w:val="008F7C2B"/>
    <w:rsid w:val="008F7F7E"/>
    <w:rsid w:val="0090036A"/>
    <w:rsid w:val="00900B27"/>
    <w:rsid w:val="00900C5B"/>
    <w:rsid w:val="00900DC1"/>
    <w:rsid w:val="009014E3"/>
    <w:rsid w:val="009017DE"/>
    <w:rsid w:val="00901A34"/>
    <w:rsid w:val="00901E9C"/>
    <w:rsid w:val="0090242B"/>
    <w:rsid w:val="00902BAE"/>
    <w:rsid w:val="0090318A"/>
    <w:rsid w:val="0090368E"/>
    <w:rsid w:val="0090385E"/>
    <w:rsid w:val="00903D71"/>
    <w:rsid w:val="00903E47"/>
    <w:rsid w:val="00903E5D"/>
    <w:rsid w:val="00904A05"/>
    <w:rsid w:val="00904A99"/>
    <w:rsid w:val="00905037"/>
    <w:rsid w:val="009051CB"/>
    <w:rsid w:val="009052F4"/>
    <w:rsid w:val="00905498"/>
    <w:rsid w:val="00905536"/>
    <w:rsid w:val="00905784"/>
    <w:rsid w:val="0090592E"/>
    <w:rsid w:val="0090615C"/>
    <w:rsid w:val="009062A5"/>
    <w:rsid w:val="009064F4"/>
    <w:rsid w:val="0090673D"/>
    <w:rsid w:val="00906C94"/>
    <w:rsid w:val="00906F42"/>
    <w:rsid w:val="00907489"/>
    <w:rsid w:val="00907BB8"/>
    <w:rsid w:val="00907E77"/>
    <w:rsid w:val="00910219"/>
    <w:rsid w:val="00910F21"/>
    <w:rsid w:val="00910F32"/>
    <w:rsid w:val="0091143E"/>
    <w:rsid w:val="00911497"/>
    <w:rsid w:val="00911A5F"/>
    <w:rsid w:val="00911B2D"/>
    <w:rsid w:val="00911CBE"/>
    <w:rsid w:val="009120C2"/>
    <w:rsid w:val="009124A9"/>
    <w:rsid w:val="0091256A"/>
    <w:rsid w:val="00912A11"/>
    <w:rsid w:val="00912E1F"/>
    <w:rsid w:val="00913062"/>
    <w:rsid w:val="0091379B"/>
    <w:rsid w:val="00913AD1"/>
    <w:rsid w:val="00913AE4"/>
    <w:rsid w:val="00913C38"/>
    <w:rsid w:val="00913E92"/>
    <w:rsid w:val="0091403B"/>
    <w:rsid w:val="00914D1C"/>
    <w:rsid w:val="00914FE6"/>
    <w:rsid w:val="00915026"/>
    <w:rsid w:val="0091591D"/>
    <w:rsid w:val="00915A7F"/>
    <w:rsid w:val="00915A9B"/>
    <w:rsid w:val="00915CE6"/>
    <w:rsid w:val="009163C5"/>
    <w:rsid w:val="0091672C"/>
    <w:rsid w:val="00916ACC"/>
    <w:rsid w:val="009172B3"/>
    <w:rsid w:val="009178F5"/>
    <w:rsid w:val="00917904"/>
    <w:rsid w:val="00917EF0"/>
    <w:rsid w:val="00920979"/>
    <w:rsid w:val="00920FD5"/>
    <w:rsid w:val="00921423"/>
    <w:rsid w:val="009216E0"/>
    <w:rsid w:val="00921AA5"/>
    <w:rsid w:val="00921EA9"/>
    <w:rsid w:val="009223B5"/>
    <w:rsid w:val="009225E4"/>
    <w:rsid w:val="00922DC8"/>
    <w:rsid w:val="00922F6F"/>
    <w:rsid w:val="009236BC"/>
    <w:rsid w:val="009237FA"/>
    <w:rsid w:val="00923E60"/>
    <w:rsid w:val="0092435E"/>
    <w:rsid w:val="00925082"/>
    <w:rsid w:val="00925283"/>
    <w:rsid w:val="00925689"/>
    <w:rsid w:val="00925C4F"/>
    <w:rsid w:val="00925D43"/>
    <w:rsid w:val="0092647D"/>
    <w:rsid w:val="00926523"/>
    <w:rsid w:val="00926CBA"/>
    <w:rsid w:val="009277E7"/>
    <w:rsid w:val="009278BC"/>
    <w:rsid w:val="009315BF"/>
    <w:rsid w:val="00931AA5"/>
    <w:rsid w:val="00931BDC"/>
    <w:rsid w:val="00932845"/>
    <w:rsid w:val="00932865"/>
    <w:rsid w:val="009329C3"/>
    <w:rsid w:val="00932CAB"/>
    <w:rsid w:val="009332EA"/>
    <w:rsid w:val="00933DDE"/>
    <w:rsid w:val="00934153"/>
    <w:rsid w:val="009341E5"/>
    <w:rsid w:val="009348FD"/>
    <w:rsid w:val="00934A72"/>
    <w:rsid w:val="00934CFC"/>
    <w:rsid w:val="00934E8F"/>
    <w:rsid w:val="00934EEB"/>
    <w:rsid w:val="00935456"/>
    <w:rsid w:val="00935D58"/>
    <w:rsid w:val="00935EAC"/>
    <w:rsid w:val="00936342"/>
    <w:rsid w:val="0093646A"/>
    <w:rsid w:val="00937398"/>
    <w:rsid w:val="00937CC3"/>
    <w:rsid w:val="009401EF"/>
    <w:rsid w:val="00940D8C"/>
    <w:rsid w:val="00940E48"/>
    <w:rsid w:val="00941566"/>
    <w:rsid w:val="009416F0"/>
    <w:rsid w:val="00941FA1"/>
    <w:rsid w:val="009420E1"/>
    <w:rsid w:val="0094261F"/>
    <w:rsid w:val="0094294F"/>
    <w:rsid w:val="009429FB"/>
    <w:rsid w:val="00943285"/>
    <w:rsid w:val="009437B6"/>
    <w:rsid w:val="00943A4B"/>
    <w:rsid w:val="00943FE5"/>
    <w:rsid w:val="00944415"/>
    <w:rsid w:val="00944CBC"/>
    <w:rsid w:val="00944E6A"/>
    <w:rsid w:val="009454BC"/>
    <w:rsid w:val="0094554E"/>
    <w:rsid w:val="00945E4E"/>
    <w:rsid w:val="00946395"/>
    <w:rsid w:val="00946960"/>
    <w:rsid w:val="00946A8A"/>
    <w:rsid w:val="00946C26"/>
    <w:rsid w:val="009472F3"/>
    <w:rsid w:val="009474D3"/>
    <w:rsid w:val="00947E79"/>
    <w:rsid w:val="0095045A"/>
    <w:rsid w:val="00951BFD"/>
    <w:rsid w:val="00951FBE"/>
    <w:rsid w:val="0095209B"/>
    <w:rsid w:val="009520B9"/>
    <w:rsid w:val="00952135"/>
    <w:rsid w:val="0095262D"/>
    <w:rsid w:val="00952A1B"/>
    <w:rsid w:val="00952A25"/>
    <w:rsid w:val="00953121"/>
    <w:rsid w:val="009533FE"/>
    <w:rsid w:val="0095390C"/>
    <w:rsid w:val="0095394A"/>
    <w:rsid w:val="00953954"/>
    <w:rsid w:val="00953E5D"/>
    <w:rsid w:val="00954483"/>
    <w:rsid w:val="009552CE"/>
    <w:rsid w:val="009556FC"/>
    <w:rsid w:val="00955C96"/>
    <w:rsid w:val="00955F00"/>
    <w:rsid w:val="0095640A"/>
    <w:rsid w:val="0095653B"/>
    <w:rsid w:val="00956C5C"/>
    <w:rsid w:val="00957460"/>
    <w:rsid w:val="00960014"/>
    <w:rsid w:val="00960943"/>
    <w:rsid w:val="00961007"/>
    <w:rsid w:val="0096111F"/>
    <w:rsid w:val="009613E6"/>
    <w:rsid w:val="00962AD7"/>
    <w:rsid w:val="00962D55"/>
    <w:rsid w:val="0096328E"/>
    <w:rsid w:val="00963528"/>
    <w:rsid w:val="009639C2"/>
    <w:rsid w:val="0096462C"/>
    <w:rsid w:val="00964ACA"/>
    <w:rsid w:val="00964C94"/>
    <w:rsid w:val="0096579F"/>
    <w:rsid w:val="00965CAE"/>
    <w:rsid w:val="00965E94"/>
    <w:rsid w:val="00965ECF"/>
    <w:rsid w:val="00965F37"/>
    <w:rsid w:val="00966608"/>
    <w:rsid w:val="00966738"/>
    <w:rsid w:val="0096741D"/>
    <w:rsid w:val="00967640"/>
    <w:rsid w:val="00967A3A"/>
    <w:rsid w:val="00967D9D"/>
    <w:rsid w:val="00970050"/>
    <w:rsid w:val="0097024A"/>
    <w:rsid w:val="0097061C"/>
    <w:rsid w:val="009708B5"/>
    <w:rsid w:val="00970BDA"/>
    <w:rsid w:val="00970CEA"/>
    <w:rsid w:val="00970CEB"/>
    <w:rsid w:val="00970CF2"/>
    <w:rsid w:val="00970DB5"/>
    <w:rsid w:val="00970DBB"/>
    <w:rsid w:val="0097109C"/>
    <w:rsid w:val="009712BF"/>
    <w:rsid w:val="00971709"/>
    <w:rsid w:val="009719C9"/>
    <w:rsid w:val="00971EB7"/>
    <w:rsid w:val="00971FC3"/>
    <w:rsid w:val="00972051"/>
    <w:rsid w:val="0097239F"/>
    <w:rsid w:val="009723D3"/>
    <w:rsid w:val="00972732"/>
    <w:rsid w:val="00972B76"/>
    <w:rsid w:val="00972BCC"/>
    <w:rsid w:val="00972DF4"/>
    <w:rsid w:val="00973F29"/>
    <w:rsid w:val="00974003"/>
    <w:rsid w:val="0097401F"/>
    <w:rsid w:val="0097450F"/>
    <w:rsid w:val="0097459B"/>
    <w:rsid w:val="00974811"/>
    <w:rsid w:val="0097486E"/>
    <w:rsid w:val="00974973"/>
    <w:rsid w:val="00974CF6"/>
    <w:rsid w:val="00974DC0"/>
    <w:rsid w:val="00974DFC"/>
    <w:rsid w:val="00975493"/>
    <w:rsid w:val="00975524"/>
    <w:rsid w:val="00975BCE"/>
    <w:rsid w:val="00975C12"/>
    <w:rsid w:val="00975F21"/>
    <w:rsid w:val="00976003"/>
    <w:rsid w:val="00976978"/>
    <w:rsid w:val="00976A85"/>
    <w:rsid w:val="00976CED"/>
    <w:rsid w:val="00976D4B"/>
    <w:rsid w:val="00977145"/>
    <w:rsid w:val="00977361"/>
    <w:rsid w:val="00977594"/>
    <w:rsid w:val="009776A9"/>
    <w:rsid w:val="0097782B"/>
    <w:rsid w:val="009806E3"/>
    <w:rsid w:val="00981284"/>
    <w:rsid w:val="0098179B"/>
    <w:rsid w:val="00981B1B"/>
    <w:rsid w:val="00981C83"/>
    <w:rsid w:val="00981E04"/>
    <w:rsid w:val="009824CF"/>
    <w:rsid w:val="00982547"/>
    <w:rsid w:val="0098374E"/>
    <w:rsid w:val="009839F7"/>
    <w:rsid w:val="00983DB8"/>
    <w:rsid w:val="00983EE8"/>
    <w:rsid w:val="00984052"/>
    <w:rsid w:val="009841DF"/>
    <w:rsid w:val="009845BC"/>
    <w:rsid w:val="00984FF1"/>
    <w:rsid w:val="00985471"/>
    <w:rsid w:val="0098600C"/>
    <w:rsid w:val="009860B0"/>
    <w:rsid w:val="0098621B"/>
    <w:rsid w:val="009865E0"/>
    <w:rsid w:val="00986E85"/>
    <w:rsid w:val="009876C2"/>
    <w:rsid w:val="00987AA0"/>
    <w:rsid w:val="00987F84"/>
    <w:rsid w:val="0099018C"/>
    <w:rsid w:val="00990198"/>
    <w:rsid w:val="00990287"/>
    <w:rsid w:val="00990488"/>
    <w:rsid w:val="00990496"/>
    <w:rsid w:val="009904CF"/>
    <w:rsid w:val="00990901"/>
    <w:rsid w:val="00990D68"/>
    <w:rsid w:val="00990D6D"/>
    <w:rsid w:val="00991732"/>
    <w:rsid w:val="009919C1"/>
    <w:rsid w:val="00991F4B"/>
    <w:rsid w:val="00992C01"/>
    <w:rsid w:val="00992C59"/>
    <w:rsid w:val="00992EF9"/>
    <w:rsid w:val="00993304"/>
    <w:rsid w:val="009933BD"/>
    <w:rsid w:val="0099360A"/>
    <w:rsid w:val="0099375A"/>
    <w:rsid w:val="00993789"/>
    <w:rsid w:val="009937B1"/>
    <w:rsid w:val="009938E9"/>
    <w:rsid w:val="00993A47"/>
    <w:rsid w:val="00994061"/>
    <w:rsid w:val="00994341"/>
    <w:rsid w:val="0099480D"/>
    <w:rsid w:val="00994D86"/>
    <w:rsid w:val="009950D9"/>
    <w:rsid w:val="009959EF"/>
    <w:rsid w:val="00995AF5"/>
    <w:rsid w:val="0099600E"/>
    <w:rsid w:val="009962F9"/>
    <w:rsid w:val="00996410"/>
    <w:rsid w:val="009964DF"/>
    <w:rsid w:val="009971DD"/>
    <w:rsid w:val="00997419"/>
    <w:rsid w:val="00997A0A"/>
    <w:rsid w:val="00997FA3"/>
    <w:rsid w:val="00997FDF"/>
    <w:rsid w:val="009A027C"/>
    <w:rsid w:val="009A03B8"/>
    <w:rsid w:val="009A06A5"/>
    <w:rsid w:val="009A1911"/>
    <w:rsid w:val="009A1931"/>
    <w:rsid w:val="009A1AC8"/>
    <w:rsid w:val="009A21CE"/>
    <w:rsid w:val="009A254D"/>
    <w:rsid w:val="009A2BCE"/>
    <w:rsid w:val="009A3294"/>
    <w:rsid w:val="009A3527"/>
    <w:rsid w:val="009A3F68"/>
    <w:rsid w:val="009A47BE"/>
    <w:rsid w:val="009A4FDD"/>
    <w:rsid w:val="009A5209"/>
    <w:rsid w:val="009A5FF4"/>
    <w:rsid w:val="009A620F"/>
    <w:rsid w:val="009A63A1"/>
    <w:rsid w:val="009A65E9"/>
    <w:rsid w:val="009A67E9"/>
    <w:rsid w:val="009A6C9D"/>
    <w:rsid w:val="009A73BD"/>
    <w:rsid w:val="009A7690"/>
    <w:rsid w:val="009A777A"/>
    <w:rsid w:val="009B021F"/>
    <w:rsid w:val="009B0255"/>
    <w:rsid w:val="009B028F"/>
    <w:rsid w:val="009B02B1"/>
    <w:rsid w:val="009B03BC"/>
    <w:rsid w:val="009B0706"/>
    <w:rsid w:val="009B076B"/>
    <w:rsid w:val="009B07CB"/>
    <w:rsid w:val="009B0FA2"/>
    <w:rsid w:val="009B135F"/>
    <w:rsid w:val="009B19C3"/>
    <w:rsid w:val="009B1D10"/>
    <w:rsid w:val="009B2468"/>
    <w:rsid w:val="009B2CBB"/>
    <w:rsid w:val="009B2F40"/>
    <w:rsid w:val="009B30FF"/>
    <w:rsid w:val="009B3337"/>
    <w:rsid w:val="009B3440"/>
    <w:rsid w:val="009B3A31"/>
    <w:rsid w:val="009B408B"/>
    <w:rsid w:val="009B411D"/>
    <w:rsid w:val="009B41CA"/>
    <w:rsid w:val="009B4475"/>
    <w:rsid w:val="009B46E7"/>
    <w:rsid w:val="009B49F9"/>
    <w:rsid w:val="009B57E3"/>
    <w:rsid w:val="009B5888"/>
    <w:rsid w:val="009B5BD4"/>
    <w:rsid w:val="009B6482"/>
    <w:rsid w:val="009B65C3"/>
    <w:rsid w:val="009B6E5D"/>
    <w:rsid w:val="009B6EC9"/>
    <w:rsid w:val="009B7B97"/>
    <w:rsid w:val="009B7C8D"/>
    <w:rsid w:val="009B7CD7"/>
    <w:rsid w:val="009B7F29"/>
    <w:rsid w:val="009C010A"/>
    <w:rsid w:val="009C08C9"/>
    <w:rsid w:val="009C0D96"/>
    <w:rsid w:val="009C15E5"/>
    <w:rsid w:val="009C19E0"/>
    <w:rsid w:val="009C1B29"/>
    <w:rsid w:val="009C22A1"/>
    <w:rsid w:val="009C311D"/>
    <w:rsid w:val="009C31F9"/>
    <w:rsid w:val="009C3A44"/>
    <w:rsid w:val="009C3D12"/>
    <w:rsid w:val="009C42F6"/>
    <w:rsid w:val="009C4526"/>
    <w:rsid w:val="009C461F"/>
    <w:rsid w:val="009C551E"/>
    <w:rsid w:val="009C55E3"/>
    <w:rsid w:val="009C576F"/>
    <w:rsid w:val="009C589F"/>
    <w:rsid w:val="009C5E27"/>
    <w:rsid w:val="009C603E"/>
    <w:rsid w:val="009C6661"/>
    <w:rsid w:val="009C68F4"/>
    <w:rsid w:val="009C69F9"/>
    <w:rsid w:val="009C6CD5"/>
    <w:rsid w:val="009C6DAA"/>
    <w:rsid w:val="009C720B"/>
    <w:rsid w:val="009C7335"/>
    <w:rsid w:val="009C73BD"/>
    <w:rsid w:val="009C79D2"/>
    <w:rsid w:val="009C7A9E"/>
    <w:rsid w:val="009C7B96"/>
    <w:rsid w:val="009C7D05"/>
    <w:rsid w:val="009C7D31"/>
    <w:rsid w:val="009D0385"/>
    <w:rsid w:val="009D05B4"/>
    <w:rsid w:val="009D06A0"/>
    <w:rsid w:val="009D06E4"/>
    <w:rsid w:val="009D08FB"/>
    <w:rsid w:val="009D0ADE"/>
    <w:rsid w:val="009D0BB0"/>
    <w:rsid w:val="009D1001"/>
    <w:rsid w:val="009D18A5"/>
    <w:rsid w:val="009D1F03"/>
    <w:rsid w:val="009D20E3"/>
    <w:rsid w:val="009D220A"/>
    <w:rsid w:val="009D2886"/>
    <w:rsid w:val="009D306B"/>
    <w:rsid w:val="009D32BC"/>
    <w:rsid w:val="009D3ECC"/>
    <w:rsid w:val="009D44A3"/>
    <w:rsid w:val="009D4680"/>
    <w:rsid w:val="009D4794"/>
    <w:rsid w:val="009D49D4"/>
    <w:rsid w:val="009D4C07"/>
    <w:rsid w:val="009D51AE"/>
    <w:rsid w:val="009D573E"/>
    <w:rsid w:val="009D6054"/>
    <w:rsid w:val="009D6159"/>
    <w:rsid w:val="009D62D8"/>
    <w:rsid w:val="009D69EF"/>
    <w:rsid w:val="009D6AC3"/>
    <w:rsid w:val="009D6B45"/>
    <w:rsid w:val="009D6CFD"/>
    <w:rsid w:val="009D6DD2"/>
    <w:rsid w:val="009D6F38"/>
    <w:rsid w:val="009D6F56"/>
    <w:rsid w:val="009D7334"/>
    <w:rsid w:val="009D75AD"/>
    <w:rsid w:val="009D7942"/>
    <w:rsid w:val="009D7A90"/>
    <w:rsid w:val="009E029A"/>
    <w:rsid w:val="009E0B9D"/>
    <w:rsid w:val="009E0DFD"/>
    <w:rsid w:val="009E0F85"/>
    <w:rsid w:val="009E134B"/>
    <w:rsid w:val="009E180A"/>
    <w:rsid w:val="009E21C0"/>
    <w:rsid w:val="009E2239"/>
    <w:rsid w:val="009E2AFF"/>
    <w:rsid w:val="009E2B6A"/>
    <w:rsid w:val="009E3058"/>
    <w:rsid w:val="009E3082"/>
    <w:rsid w:val="009E30F7"/>
    <w:rsid w:val="009E326C"/>
    <w:rsid w:val="009E3975"/>
    <w:rsid w:val="009E3C94"/>
    <w:rsid w:val="009E40C1"/>
    <w:rsid w:val="009E41C8"/>
    <w:rsid w:val="009E4268"/>
    <w:rsid w:val="009E4316"/>
    <w:rsid w:val="009E444E"/>
    <w:rsid w:val="009E490C"/>
    <w:rsid w:val="009E4916"/>
    <w:rsid w:val="009E5424"/>
    <w:rsid w:val="009E546F"/>
    <w:rsid w:val="009E55E8"/>
    <w:rsid w:val="009E55FC"/>
    <w:rsid w:val="009E576A"/>
    <w:rsid w:val="009E5F6B"/>
    <w:rsid w:val="009E6299"/>
    <w:rsid w:val="009E7645"/>
    <w:rsid w:val="009F008D"/>
    <w:rsid w:val="009F0CA5"/>
    <w:rsid w:val="009F1131"/>
    <w:rsid w:val="009F13BB"/>
    <w:rsid w:val="009F192A"/>
    <w:rsid w:val="009F1940"/>
    <w:rsid w:val="009F26E5"/>
    <w:rsid w:val="009F2CBB"/>
    <w:rsid w:val="009F2D92"/>
    <w:rsid w:val="009F2E65"/>
    <w:rsid w:val="009F3919"/>
    <w:rsid w:val="009F3AB3"/>
    <w:rsid w:val="009F3FC5"/>
    <w:rsid w:val="009F40BF"/>
    <w:rsid w:val="009F424B"/>
    <w:rsid w:val="009F42B4"/>
    <w:rsid w:val="009F43AE"/>
    <w:rsid w:val="009F4807"/>
    <w:rsid w:val="009F492E"/>
    <w:rsid w:val="009F4CA0"/>
    <w:rsid w:val="009F4F50"/>
    <w:rsid w:val="009F4F87"/>
    <w:rsid w:val="009F50E0"/>
    <w:rsid w:val="009F510B"/>
    <w:rsid w:val="009F57A6"/>
    <w:rsid w:val="009F580F"/>
    <w:rsid w:val="009F5B98"/>
    <w:rsid w:val="009F5DB8"/>
    <w:rsid w:val="009F5E45"/>
    <w:rsid w:val="009F5FAA"/>
    <w:rsid w:val="009F62EF"/>
    <w:rsid w:val="009F63BF"/>
    <w:rsid w:val="009F6AF4"/>
    <w:rsid w:val="009F6BF8"/>
    <w:rsid w:val="009F7461"/>
    <w:rsid w:val="009F7884"/>
    <w:rsid w:val="009F7BC6"/>
    <w:rsid w:val="009F7C5E"/>
    <w:rsid w:val="00A00434"/>
    <w:rsid w:val="00A0075C"/>
    <w:rsid w:val="00A00E1D"/>
    <w:rsid w:val="00A015FF"/>
    <w:rsid w:val="00A016AF"/>
    <w:rsid w:val="00A01D53"/>
    <w:rsid w:val="00A0220F"/>
    <w:rsid w:val="00A0226F"/>
    <w:rsid w:val="00A024D7"/>
    <w:rsid w:val="00A0271E"/>
    <w:rsid w:val="00A027FE"/>
    <w:rsid w:val="00A03580"/>
    <w:rsid w:val="00A035C6"/>
    <w:rsid w:val="00A03BE2"/>
    <w:rsid w:val="00A03E92"/>
    <w:rsid w:val="00A03E9C"/>
    <w:rsid w:val="00A04137"/>
    <w:rsid w:val="00A044F8"/>
    <w:rsid w:val="00A047F8"/>
    <w:rsid w:val="00A047FC"/>
    <w:rsid w:val="00A04A00"/>
    <w:rsid w:val="00A04A67"/>
    <w:rsid w:val="00A05A8C"/>
    <w:rsid w:val="00A06459"/>
    <w:rsid w:val="00A066C4"/>
    <w:rsid w:val="00A067DC"/>
    <w:rsid w:val="00A0682D"/>
    <w:rsid w:val="00A07986"/>
    <w:rsid w:val="00A07E30"/>
    <w:rsid w:val="00A07EC1"/>
    <w:rsid w:val="00A07F2D"/>
    <w:rsid w:val="00A1000C"/>
    <w:rsid w:val="00A10169"/>
    <w:rsid w:val="00A10335"/>
    <w:rsid w:val="00A10401"/>
    <w:rsid w:val="00A10455"/>
    <w:rsid w:val="00A106C9"/>
    <w:rsid w:val="00A10EF1"/>
    <w:rsid w:val="00A10FE1"/>
    <w:rsid w:val="00A11948"/>
    <w:rsid w:val="00A1249F"/>
    <w:rsid w:val="00A12C84"/>
    <w:rsid w:val="00A1302B"/>
    <w:rsid w:val="00A1349A"/>
    <w:rsid w:val="00A13503"/>
    <w:rsid w:val="00A136FC"/>
    <w:rsid w:val="00A138F5"/>
    <w:rsid w:val="00A13C14"/>
    <w:rsid w:val="00A15E5C"/>
    <w:rsid w:val="00A15F2C"/>
    <w:rsid w:val="00A169A8"/>
    <w:rsid w:val="00A169EC"/>
    <w:rsid w:val="00A16BF3"/>
    <w:rsid w:val="00A16D27"/>
    <w:rsid w:val="00A16FFB"/>
    <w:rsid w:val="00A172D1"/>
    <w:rsid w:val="00A1745F"/>
    <w:rsid w:val="00A175B3"/>
    <w:rsid w:val="00A179CC"/>
    <w:rsid w:val="00A17C43"/>
    <w:rsid w:val="00A20374"/>
    <w:rsid w:val="00A20F50"/>
    <w:rsid w:val="00A211A6"/>
    <w:rsid w:val="00A213BF"/>
    <w:rsid w:val="00A21650"/>
    <w:rsid w:val="00A21ED0"/>
    <w:rsid w:val="00A21FFF"/>
    <w:rsid w:val="00A22196"/>
    <w:rsid w:val="00A22339"/>
    <w:rsid w:val="00A2245A"/>
    <w:rsid w:val="00A22796"/>
    <w:rsid w:val="00A22815"/>
    <w:rsid w:val="00A22896"/>
    <w:rsid w:val="00A22B32"/>
    <w:rsid w:val="00A22D22"/>
    <w:rsid w:val="00A231E1"/>
    <w:rsid w:val="00A233E6"/>
    <w:rsid w:val="00A236BE"/>
    <w:rsid w:val="00A23868"/>
    <w:rsid w:val="00A23C0D"/>
    <w:rsid w:val="00A249CB"/>
    <w:rsid w:val="00A249F3"/>
    <w:rsid w:val="00A24FCF"/>
    <w:rsid w:val="00A252F2"/>
    <w:rsid w:val="00A255F1"/>
    <w:rsid w:val="00A25C09"/>
    <w:rsid w:val="00A26117"/>
    <w:rsid w:val="00A263F6"/>
    <w:rsid w:val="00A26917"/>
    <w:rsid w:val="00A26C78"/>
    <w:rsid w:val="00A27262"/>
    <w:rsid w:val="00A27839"/>
    <w:rsid w:val="00A27B98"/>
    <w:rsid w:val="00A30320"/>
    <w:rsid w:val="00A3040D"/>
    <w:rsid w:val="00A30616"/>
    <w:rsid w:val="00A306C9"/>
    <w:rsid w:val="00A3091D"/>
    <w:rsid w:val="00A30F17"/>
    <w:rsid w:val="00A30FB2"/>
    <w:rsid w:val="00A31260"/>
    <w:rsid w:val="00A31266"/>
    <w:rsid w:val="00A31324"/>
    <w:rsid w:val="00A31A6E"/>
    <w:rsid w:val="00A31C5E"/>
    <w:rsid w:val="00A32215"/>
    <w:rsid w:val="00A32286"/>
    <w:rsid w:val="00A32495"/>
    <w:rsid w:val="00A326F2"/>
    <w:rsid w:val="00A32E54"/>
    <w:rsid w:val="00A3320E"/>
    <w:rsid w:val="00A33582"/>
    <w:rsid w:val="00A33752"/>
    <w:rsid w:val="00A33D27"/>
    <w:rsid w:val="00A34C96"/>
    <w:rsid w:val="00A34F7B"/>
    <w:rsid w:val="00A35715"/>
    <w:rsid w:val="00A35A40"/>
    <w:rsid w:val="00A35ADE"/>
    <w:rsid w:val="00A36067"/>
    <w:rsid w:val="00A36742"/>
    <w:rsid w:val="00A36CC8"/>
    <w:rsid w:val="00A37639"/>
    <w:rsid w:val="00A37865"/>
    <w:rsid w:val="00A37D5B"/>
    <w:rsid w:val="00A37F00"/>
    <w:rsid w:val="00A40272"/>
    <w:rsid w:val="00A40F11"/>
    <w:rsid w:val="00A40F32"/>
    <w:rsid w:val="00A41C55"/>
    <w:rsid w:val="00A42531"/>
    <w:rsid w:val="00A42619"/>
    <w:rsid w:val="00A42761"/>
    <w:rsid w:val="00A42A0E"/>
    <w:rsid w:val="00A42DAE"/>
    <w:rsid w:val="00A43290"/>
    <w:rsid w:val="00A43407"/>
    <w:rsid w:val="00A435FE"/>
    <w:rsid w:val="00A43CBF"/>
    <w:rsid w:val="00A4441C"/>
    <w:rsid w:val="00A44D0D"/>
    <w:rsid w:val="00A44EC7"/>
    <w:rsid w:val="00A45345"/>
    <w:rsid w:val="00A45884"/>
    <w:rsid w:val="00A46064"/>
    <w:rsid w:val="00A46392"/>
    <w:rsid w:val="00A46E4B"/>
    <w:rsid w:val="00A4711A"/>
    <w:rsid w:val="00A4732B"/>
    <w:rsid w:val="00A4743E"/>
    <w:rsid w:val="00A47C54"/>
    <w:rsid w:val="00A50145"/>
    <w:rsid w:val="00A50B5B"/>
    <w:rsid w:val="00A50D79"/>
    <w:rsid w:val="00A51175"/>
    <w:rsid w:val="00A51FCC"/>
    <w:rsid w:val="00A521DF"/>
    <w:rsid w:val="00A52C15"/>
    <w:rsid w:val="00A52FA7"/>
    <w:rsid w:val="00A536F2"/>
    <w:rsid w:val="00A5380C"/>
    <w:rsid w:val="00A53D77"/>
    <w:rsid w:val="00A54259"/>
    <w:rsid w:val="00A542E8"/>
    <w:rsid w:val="00A5526B"/>
    <w:rsid w:val="00A55575"/>
    <w:rsid w:val="00A559D9"/>
    <w:rsid w:val="00A55D01"/>
    <w:rsid w:val="00A55EE6"/>
    <w:rsid w:val="00A564AC"/>
    <w:rsid w:val="00A56A7D"/>
    <w:rsid w:val="00A56AC8"/>
    <w:rsid w:val="00A56BDB"/>
    <w:rsid w:val="00A5744A"/>
    <w:rsid w:val="00A57DD5"/>
    <w:rsid w:val="00A60024"/>
    <w:rsid w:val="00A60644"/>
    <w:rsid w:val="00A61045"/>
    <w:rsid w:val="00A614DB"/>
    <w:rsid w:val="00A620CB"/>
    <w:rsid w:val="00A6264D"/>
    <w:rsid w:val="00A6290F"/>
    <w:rsid w:val="00A636DC"/>
    <w:rsid w:val="00A637AD"/>
    <w:rsid w:val="00A64062"/>
    <w:rsid w:val="00A64697"/>
    <w:rsid w:val="00A647A5"/>
    <w:rsid w:val="00A64A98"/>
    <w:rsid w:val="00A6616E"/>
    <w:rsid w:val="00A66566"/>
    <w:rsid w:val="00A66754"/>
    <w:rsid w:val="00A66866"/>
    <w:rsid w:val="00A6696C"/>
    <w:rsid w:val="00A66975"/>
    <w:rsid w:val="00A669EF"/>
    <w:rsid w:val="00A67055"/>
    <w:rsid w:val="00A67352"/>
    <w:rsid w:val="00A67632"/>
    <w:rsid w:val="00A67A03"/>
    <w:rsid w:val="00A67A90"/>
    <w:rsid w:val="00A67BC3"/>
    <w:rsid w:val="00A67F21"/>
    <w:rsid w:val="00A70306"/>
    <w:rsid w:val="00A70530"/>
    <w:rsid w:val="00A719A8"/>
    <w:rsid w:val="00A71B70"/>
    <w:rsid w:val="00A71BF1"/>
    <w:rsid w:val="00A71DA8"/>
    <w:rsid w:val="00A71EF3"/>
    <w:rsid w:val="00A71FA0"/>
    <w:rsid w:val="00A72546"/>
    <w:rsid w:val="00A72A9E"/>
    <w:rsid w:val="00A72B61"/>
    <w:rsid w:val="00A72FAD"/>
    <w:rsid w:val="00A730A2"/>
    <w:rsid w:val="00A734DA"/>
    <w:rsid w:val="00A7381E"/>
    <w:rsid w:val="00A74610"/>
    <w:rsid w:val="00A74706"/>
    <w:rsid w:val="00A749B0"/>
    <w:rsid w:val="00A754FD"/>
    <w:rsid w:val="00A75628"/>
    <w:rsid w:val="00A75986"/>
    <w:rsid w:val="00A75C47"/>
    <w:rsid w:val="00A76D35"/>
    <w:rsid w:val="00A7779C"/>
    <w:rsid w:val="00A77B6C"/>
    <w:rsid w:val="00A800D7"/>
    <w:rsid w:val="00A80AC3"/>
    <w:rsid w:val="00A80BAD"/>
    <w:rsid w:val="00A80C2F"/>
    <w:rsid w:val="00A819CC"/>
    <w:rsid w:val="00A82336"/>
    <w:rsid w:val="00A82426"/>
    <w:rsid w:val="00A8285C"/>
    <w:rsid w:val="00A82B55"/>
    <w:rsid w:val="00A82C5E"/>
    <w:rsid w:val="00A8379E"/>
    <w:rsid w:val="00A838A1"/>
    <w:rsid w:val="00A839DE"/>
    <w:rsid w:val="00A83A7C"/>
    <w:rsid w:val="00A84F4B"/>
    <w:rsid w:val="00A853FE"/>
    <w:rsid w:val="00A85695"/>
    <w:rsid w:val="00A85ABB"/>
    <w:rsid w:val="00A85FDD"/>
    <w:rsid w:val="00A85FE6"/>
    <w:rsid w:val="00A86B4E"/>
    <w:rsid w:val="00A86D69"/>
    <w:rsid w:val="00A8779A"/>
    <w:rsid w:val="00A87C37"/>
    <w:rsid w:val="00A87E5E"/>
    <w:rsid w:val="00A87F67"/>
    <w:rsid w:val="00A9007A"/>
    <w:rsid w:val="00A900BC"/>
    <w:rsid w:val="00A901F2"/>
    <w:rsid w:val="00A90209"/>
    <w:rsid w:val="00A902DC"/>
    <w:rsid w:val="00A9164E"/>
    <w:rsid w:val="00A91909"/>
    <w:rsid w:val="00A91C73"/>
    <w:rsid w:val="00A92332"/>
    <w:rsid w:val="00A923DF"/>
    <w:rsid w:val="00A928B2"/>
    <w:rsid w:val="00A92918"/>
    <w:rsid w:val="00A9345E"/>
    <w:rsid w:val="00A943DE"/>
    <w:rsid w:val="00A94481"/>
    <w:rsid w:val="00A94791"/>
    <w:rsid w:val="00A948C1"/>
    <w:rsid w:val="00A94A3C"/>
    <w:rsid w:val="00A94B9E"/>
    <w:rsid w:val="00A94DE0"/>
    <w:rsid w:val="00A9534D"/>
    <w:rsid w:val="00A955B9"/>
    <w:rsid w:val="00A957C2"/>
    <w:rsid w:val="00A95D1F"/>
    <w:rsid w:val="00A95E48"/>
    <w:rsid w:val="00A96181"/>
    <w:rsid w:val="00A96224"/>
    <w:rsid w:val="00A96366"/>
    <w:rsid w:val="00A96CFF"/>
    <w:rsid w:val="00A973CF"/>
    <w:rsid w:val="00A9746A"/>
    <w:rsid w:val="00A97A32"/>
    <w:rsid w:val="00A97A3F"/>
    <w:rsid w:val="00AA0911"/>
    <w:rsid w:val="00AA09CD"/>
    <w:rsid w:val="00AA134A"/>
    <w:rsid w:val="00AA1D39"/>
    <w:rsid w:val="00AA1EAE"/>
    <w:rsid w:val="00AA1F42"/>
    <w:rsid w:val="00AA2503"/>
    <w:rsid w:val="00AA2DDF"/>
    <w:rsid w:val="00AA3167"/>
    <w:rsid w:val="00AA3335"/>
    <w:rsid w:val="00AA344E"/>
    <w:rsid w:val="00AA36E4"/>
    <w:rsid w:val="00AA3A65"/>
    <w:rsid w:val="00AA3D1D"/>
    <w:rsid w:val="00AA3F73"/>
    <w:rsid w:val="00AA4023"/>
    <w:rsid w:val="00AA4B97"/>
    <w:rsid w:val="00AA4BF8"/>
    <w:rsid w:val="00AA4CFA"/>
    <w:rsid w:val="00AA5152"/>
    <w:rsid w:val="00AA5B7C"/>
    <w:rsid w:val="00AA5C82"/>
    <w:rsid w:val="00AA6A49"/>
    <w:rsid w:val="00AA6F2C"/>
    <w:rsid w:val="00AA6F82"/>
    <w:rsid w:val="00AA7184"/>
    <w:rsid w:val="00AA72E1"/>
    <w:rsid w:val="00AA7364"/>
    <w:rsid w:val="00AA7781"/>
    <w:rsid w:val="00AA7D78"/>
    <w:rsid w:val="00AB036F"/>
    <w:rsid w:val="00AB051C"/>
    <w:rsid w:val="00AB065E"/>
    <w:rsid w:val="00AB06E4"/>
    <w:rsid w:val="00AB0AF3"/>
    <w:rsid w:val="00AB0FC5"/>
    <w:rsid w:val="00AB18C3"/>
    <w:rsid w:val="00AB1941"/>
    <w:rsid w:val="00AB1A1B"/>
    <w:rsid w:val="00AB1B7E"/>
    <w:rsid w:val="00AB2A87"/>
    <w:rsid w:val="00AB2F30"/>
    <w:rsid w:val="00AB2FF0"/>
    <w:rsid w:val="00AB3673"/>
    <w:rsid w:val="00AB36BF"/>
    <w:rsid w:val="00AB3C03"/>
    <w:rsid w:val="00AB3F35"/>
    <w:rsid w:val="00AB446D"/>
    <w:rsid w:val="00AB4A69"/>
    <w:rsid w:val="00AB4D09"/>
    <w:rsid w:val="00AB4E6B"/>
    <w:rsid w:val="00AB5B10"/>
    <w:rsid w:val="00AB5E49"/>
    <w:rsid w:val="00AB6262"/>
    <w:rsid w:val="00AB68C8"/>
    <w:rsid w:val="00AB6CF5"/>
    <w:rsid w:val="00AB6D57"/>
    <w:rsid w:val="00AB75BD"/>
    <w:rsid w:val="00AB7CA9"/>
    <w:rsid w:val="00AC035F"/>
    <w:rsid w:val="00AC05B9"/>
    <w:rsid w:val="00AC0ED7"/>
    <w:rsid w:val="00AC28AE"/>
    <w:rsid w:val="00AC2C41"/>
    <w:rsid w:val="00AC3282"/>
    <w:rsid w:val="00AC37C6"/>
    <w:rsid w:val="00AC4063"/>
    <w:rsid w:val="00AC41C4"/>
    <w:rsid w:val="00AC44A0"/>
    <w:rsid w:val="00AC481D"/>
    <w:rsid w:val="00AC4A66"/>
    <w:rsid w:val="00AC4BB2"/>
    <w:rsid w:val="00AC4C81"/>
    <w:rsid w:val="00AC4DCD"/>
    <w:rsid w:val="00AC5131"/>
    <w:rsid w:val="00AC5416"/>
    <w:rsid w:val="00AC5622"/>
    <w:rsid w:val="00AC5B13"/>
    <w:rsid w:val="00AC5B68"/>
    <w:rsid w:val="00AC5CFD"/>
    <w:rsid w:val="00AC6320"/>
    <w:rsid w:val="00AC65D2"/>
    <w:rsid w:val="00AC6B3E"/>
    <w:rsid w:val="00AC7257"/>
    <w:rsid w:val="00AC78FB"/>
    <w:rsid w:val="00AC7920"/>
    <w:rsid w:val="00AD00C0"/>
    <w:rsid w:val="00AD00C8"/>
    <w:rsid w:val="00AD013C"/>
    <w:rsid w:val="00AD0148"/>
    <w:rsid w:val="00AD041F"/>
    <w:rsid w:val="00AD1163"/>
    <w:rsid w:val="00AD1168"/>
    <w:rsid w:val="00AD140A"/>
    <w:rsid w:val="00AD1AF1"/>
    <w:rsid w:val="00AD259C"/>
    <w:rsid w:val="00AD2C7F"/>
    <w:rsid w:val="00AD2E3A"/>
    <w:rsid w:val="00AD2F7D"/>
    <w:rsid w:val="00AD30D5"/>
    <w:rsid w:val="00AD4041"/>
    <w:rsid w:val="00AD4726"/>
    <w:rsid w:val="00AD4788"/>
    <w:rsid w:val="00AD4DF6"/>
    <w:rsid w:val="00AD5984"/>
    <w:rsid w:val="00AD5B3C"/>
    <w:rsid w:val="00AD634A"/>
    <w:rsid w:val="00AD681F"/>
    <w:rsid w:val="00AD6C0E"/>
    <w:rsid w:val="00AD6D0C"/>
    <w:rsid w:val="00AD7021"/>
    <w:rsid w:val="00AD75C8"/>
    <w:rsid w:val="00AD777D"/>
    <w:rsid w:val="00AE0191"/>
    <w:rsid w:val="00AE0FF2"/>
    <w:rsid w:val="00AE1486"/>
    <w:rsid w:val="00AE15BB"/>
    <w:rsid w:val="00AE1756"/>
    <w:rsid w:val="00AE17B3"/>
    <w:rsid w:val="00AE17F0"/>
    <w:rsid w:val="00AE196D"/>
    <w:rsid w:val="00AE1E66"/>
    <w:rsid w:val="00AE2338"/>
    <w:rsid w:val="00AE268D"/>
    <w:rsid w:val="00AE26C8"/>
    <w:rsid w:val="00AE2A50"/>
    <w:rsid w:val="00AE2DE7"/>
    <w:rsid w:val="00AE3530"/>
    <w:rsid w:val="00AE3C59"/>
    <w:rsid w:val="00AE3DB1"/>
    <w:rsid w:val="00AE406E"/>
    <w:rsid w:val="00AE45E2"/>
    <w:rsid w:val="00AE4894"/>
    <w:rsid w:val="00AE4AB5"/>
    <w:rsid w:val="00AE533C"/>
    <w:rsid w:val="00AE5712"/>
    <w:rsid w:val="00AE5964"/>
    <w:rsid w:val="00AE5ACB"/>
    <w:rsid w:val="00AE5D47"/>
    <w:rsid w:val="00AE5F68"/>
    <w:rsid w:val="00AE60FD"/>
    <w:rsid w:val="00AE614B"/>
    <w:rsid w:val="00AE68D2"/>
    <w:rsid w:val="00AE70AF"/>
    <w:rsid w:val="00AE72F1"/>
    <w:rsid w:val="00AE7490"/>
    <w:rsid w:val="00AF0CD0"/>
    <w:rsid w:val="00AF12EB"/>
    <w:rsid w:val="00AF174E"/>
    <w:rsid w:val="00AF17FA"/>
    <w:rsid w:val="00AF2380"/>
    <w:rsid w:val="00AF2679"/>
    <w:rsid w:val="00AF2C55"/>
    <w:rsid w:val="00AF2FF1"/>
    <w:rsid w:val="00AF379C"/>
    <w:rsid w:val="00AF3A09"/>
    <w:rsid w:val="00AF3AC2"/>
    <w:rsid w:val="00AF3DDF"/>
    <w:rsid w:val="00AF413C"/>
    <w:rsid w:val="00AF449B"/>
    <w:rsid w:val="00AF45EC"/>
    <w:rsid w:val="00AF483A"/>
    <w:rsid w:val="00AF5895"/>
    <w:rsid w:val="00AF5C74"/>
    <w:rsid w:val="00AF6034"/>
    <w:rsid w:val="00AF6376"/>
    <w:rsid w:val="00AF6586"/>
    <w:rsid w:val="00AF7161"/>
    <w:rsid w:val="00AF7B28"/>
    <w:rsid w:val="00AF7CA8"/>
    <w:rsid w:val="00AF7DEC"/>
    <w:rsid w:val="00B00817"/>
    <w:rsid w:val="00B00F6E"/>
    <w:rsid w:val="00B01176"/>
    <w:rsid w:val="00B012CD"/>
    <w:rsid w:val="00B01551"/>
    <w:rsid w:val="00B01D1A"/>
    <w:rsid w:val="00B01D60"/>
    <w:rsid w:val="00B02253"/>
    <w:rsid w:val="00B0262C"/>
    <w:rsid w:val="00B026C0"/>
    <w:rsid w:val="00B027D9"/>
    <w:rsid w:val="00B02BC0"/>
    <w:rsid w:val="00B02D66"/>
    <w:rsid w:val="00B0317F"/>
    <w:rsid w:val="00B034A1"/>
    <w:rsid w:val="00B03592"/>
    <w:rsid w:val="00B03B1D"/>
    <w:rsid w:val="00B04124"/>
    <w:rsid w:val="00B04262"/>
    <w:rsid w:val="00B04516"/>
    <w:rsid w:val="00B04741"/>
    <w:rsid w:val="00B0524A"/>
    <w:rsid w:val="00B05731"/>
    <w:rsid w:val="00B05AE1"/>
    <w:rsid w:val="00B05CE7"/>
    <w:rsid w:val="00B05EE3"/>
    <w:rsid w:val="00B05F6A"/>
    <w:rsid w:val="00B0603F"/>
    <w:rsid w:val="00B060ED"/>
    <w:rsid w:val="00B06A60"/>
    <w:rsid w:val="00B07059"/>
    <w:rsid w:val="00B07326"/>
    <w:rsid w:val="00B079BD"/>
    <w:rsid w:val="00B101B4"/>
    <w:rsid w:val="00B101B7"/>
    <w:rsid w:val="00B107DE"/>
    <w:rsid w:val="00B11152"/>
    <w:rsid w:val="00B115EF"/>
    <w:rsid w:val="00B12207"/>
    <w:rsid w:val="00B12317"/>
    <w:rsid w:val="00B125ED"/>
    <w:rsid w:val="00B126BA"/>
    <w:rsid w:val="00B12BF5"/>
    <w:rsid w:val="00B12DBB"/>
    <w:rsid w:val="00B12FE0"/>
    <w:rsid w:val="00B131C0"/>
    <w:rsid w:val="00B13671"/>
    <w:rsid w:val="00B139FE"/>
    <w:rsid w:val="00B140A8"/>
    <w:rsid w:val="00B1469E"/>
    <w:rsid w:val="00B146F0"/>
    <w:rsid w:val="00B1474B"/>
    <w:rsid w:val="00B147C8"/>
    <w:rsid w:val="00B148E2"/>
    <w:rsid w:val="00B154D4"/>
    <w:rsid w:val="00B15905"/>
    <w:rsid w:val="00B16018"/>
    <w:rsid w:val="00B16686"/>
    <w:rsid w:val="00B16DFB"/>
    <w:rsid w:val="00B16ED8"/>
    <w:rsid w:val="00B16F81"/>
    <w:rsid w:val="00B16FCA"/>
    <w:rsid w:val="00B16FD9"/>
    <w:rsid w:val="00B1704B"/>
    <w:rsid w:val="00B17944"/>
    <w:rsid w:val="00B17D4A"/>
    <w:rsid w:val="00B20509"/>
    <w:rsid w:val="00B20885"/>
    <w:rsid w:val="00B209B2"/>
    <w:rsid w:val="00B20FF0"/>
    <w:rsid w:val="00B21160"/>
    <w:rsid w:val="00B21234"/>
    <w:rsid w:val="00B2139A"/>
    <w:rsid w:val="00B214AB"/>
    <w:rsid w:val="00B21BD2"/>
    <w:rsid w:val="00B21D07"/>
    <w:rsid w:val="00B22173"/>
    <w:rsid w:val="00B224DB"/>
    <w:rsid w:val="00B22631"/>
    <w:rsid w:val="00B226D9"/>
    <w:rsid w:val="00B2300F"/>
    <w:rsid w:val="00B230BE"/>
    <w:rsid w:val="00B23157"/>
    <w:rsid w:val="00B23267"/>
    <w:rsid w:val="00B23394"/>
    <w:rsid w:val="00B23A79"/>
    <w:rsid w:val="00B241C2"/>
    <w:rsid w:val="00B2428F"/>
    <w:rsid w:val="00B249C0"/>
    <w:rsid w:val="00B251AB"/>
    <w:rsid w:val="00B256ED"/>
    <w:rsid w:val="00B25F4C"/>
    <w:rsid w:val="00B2601D"/>
    <w:rsid w:val="00B265B1"/>
    <w:rsid w:val="00B26B71"/>
    <w:rsid w:val="00B27A48"/>
    <w:rsid w:val="00B27C01"/>
    <w:rsid w:val="00B27DDC"/>
    <w:rsid w:val="00B3021D"/>
    <w:rsid w:val="00B3035D"/>
    <w:rsid w:val="00B305DB"/>
    <w:rsid w:val="00B30ABF"/>
    <w:rsid w:val="00B30E39"/>
    <w:rsid w:val="00B30E5C"/>
    <w:rsid w:val="00B31274"/>
    <w:rsid w:val="00B31AE1"/>
    <w:rsid w:val="00B3208C"/>
    <w:rsid w:val="00B321A8"/>
    <w:rsid w:val="00B325BA"/>
    <w:rsid w:val="00B32DDD"/>
    <w:rsid w:val="00B32ED9"/>
    <w:rsid w:val="00B33A02"/>
    <w:rsid w:val="00B33C72"/>
    <w:rsid w:val="00B33CBE"/>
    <w:rsid w:val="00B33E44"/>
    <w:rsid w:val="00B34772"/>
    <w:rsid w:val="00B34A29"/>
    <w:rsid w:val="00B368B4"/>
    <w:rsid w:val="00B36E2F"/>
    <w:rsid w:val="00B3717A"/>
    <w:rsid w:val="00B37362"/>
    <w:rsid w:val="00B374C6"/>
    <w:rsid w:val="00B37514"/>
    <w:rsid w:val="00B37A05"/>
    <w:rsid w:val="00B37B25"/>
    <w:rsid w:val="00B37BD7"/>
    <w:rsid w:val="00B401BC"/>
    <w:rsid w:val="00B402AC"/>
    <w:rsid w:val="00B40A2F"/>
    <w:rsid w:val="00B40B05"/>
    <w:rsid w:val="00B40C9E"/>
    <w:rsid w:val="00B41886"/>
    <w:rsid w:val="00B41F7C"/>
    <w:rsid w:val="00B4286C"/>
    <w:rsid w:val="00B4315A"/>
    <w:rsid w:val="00B431BA"/>
    <w:rsid w:val="00B43E3C"/>
    <w:rsid w:val="00B44105"/>
    <w:rsid w:val="00B44936"/>
    <w:rsid w:val="00B44A36"/>
    <w:rsid w:val="00B45287"/>
    <w:rsid w:val="00B4552F"/>
    <w:rsid w:val="00B4557A"/>
    <w:rsid w:val="00B473BB"/>
    <w:rsid w:val="00B478A9"/>
    <w:rsid w:val="00B4793E"/>
    <w:rsid w:val="00B47A18"/>
    <w:rsid w:val="00B47C1B"/>
    <w:rsid w:val="00B47CE8"/>
    <w:rsid w:val="00B50450"/>
    <w:rsid w:val="00B5091B"/>
    <w:rsid w:val="00B50982"/>
    <w:rsid w:val="00B50CCC"/>
    <w:rsid w:val="00B51269"/>
    <w:rsid w:val="00B51348"/>
    <w:rsid w:val="00B5170E"/>
    <w:rsid w:val="00B51757"/>
    <w:rsid w:val="00B51D92"/>
    <w:rsid w:val="00B51DE9"/>
    <w:rsid w:val="00B51E75"/>
    <w:rsid w:val="00B523EA"/>
    <w:rsid w:val="00B52838"/>
    <w:rsid w:val="00B52ABD"/>
    <w:rsid w:val="00B52B32"/>
    <w:rsid w:val="00B5387E"/>
    <w:rsid w:val="00B543A4"/>
    <w:rsid w:val="00B54777"/>
    <w:rsid w:val="00B54992"/>
    <w:rsid w:val="00B550E4"/>
    <w:rsid w:val="00B5547F"/>
    <w:rsid w:val="00B5559A"/>
    <w:rsid w:val="00B5576E"/>
    <w:rsid w:val="00B559B4"/>
    <w:rsid w:val="00B56339"/>
    <w:rsid w:val="00B5662A"/>
    <w:rsid w:val="00B569E0"/>
    <w:rsid w:val="00B57122"/>
    <w:rsid w:val="00B57729"/>
    <w:rsid w:val="00B57806"/>
    <w:rsid w:val="00B57999"/>
    <w:rsid w:val="00B60380"/>
    <w:rsid w:val="00B60423"/>
    <w:rsid w:val="00B611E4"/>
    <w:rsid w:val="00B6317C"/>
    <w:rsid w:val="00B63191"/>
    <w:rsid w:val="00B631EF"/>
    <w:rsid w:val="00B63418"/>
    <w:rsid w:val="00B6348A"/>
    <w:rsid w:val="00B63766"/>
    <w:rsid w:val="00B6392B"/>
    <w:rsid w:val="00B63E22"/>
    <w:rsid w:val="00B648EB"/>
    <w:rsid w:val="00B64AA6"/>
    <w:rsid w:val="00B6505D"/>
    <w:rsid w:val="00B6517C"/>
    <w:rsid w:val="00B65248"/>
    <w:rsid w:val="00B6538A"/>
    <w:rsid w:val="00B65395"/>
    <w:rsid w:val="00B65D81"/>
    <w:rsid w:val="00B66485"/>
    <w:rsid w:val="00B6657B"/>
    <w:rsid w:val="00B66A88"/>
    <w:rsid w:val="00B67216"/>
    <w:rsid w:val="00B674B1"/>
    <w:rsid w:val="00B67A69"/>
    <w:rsid w:val="00B67FC5"/>
    <w:rsid w:val="00B7061F"/>
    <w:rsid w:val="00B70741"/>
    <w:rsid w:val="00B70C9F"/>
    <w:rsid w:val="00B70FE5"/>
    <w:rsid w:val="00B71EE3"/>
    <w:rsid w:val="00B71F34"/>
    <w:rsid w:val="00B72022"/>
    <w:rsid w:val="00B72B63"/>
    <w:rsid w:val="00B72DDB"/>
    <w:rsid w:val="00B72F41"/>
    <w:rsid w:val="00B732C9"/>
    <w:rsid w:val="00B737CC"/>
    <w:rsid w:val="00B73824"/>
    <w:rsid w:val="00B73BF3"/>
    <w:rsid w:val="00B74575"/>
    <w:rsid w:val="00B74C3F"/>
    <w:rsid w:val="00B74D24"/>
    <w:rsid w:val="00B74F97"/>
    <w:rsid w:val="00B752B6"/>
    <w:rsid w:val="00B756A6"/>
    <w:rsid w:val="00B7615E"/>
    <w:rsid w:val="00B764EA"/>
    <w:rsid w:val="00B76A5F"/>
    <w:rsid w:val="00B76D06"/>
    <w:rsid w:val="00B76ECA"/>
    <w:rsid w:val="00B7722E"/>
    <w:rsid w:val="00B772A0"/>
    <w:rsid w:val="00B772F6"/>
    <w:rsid w:val="00B776AD"/>
    <w:rsid w:val="00B77D66"/>
    <w:rsid w:val="00B807CE"/>
    <w:rsid w:val="00B808C6"/>
    <w:rsid w:val="00B80A5F"/>
    <w:rsid w:val="00B81489"/>
    <w:rsid w:val="00B82C64"/>
    <w:rsid w:val="00B83D6C"/>
    <w:rsid w:val="00B83F1A"/>
    <w:rsid w:val="00B83FD1"/>
    <w:rsid w:val="00B84139"/>
    <w:rsid w:val="00B84982"/>
    <w:rsid w:val="00B850F7"/>
    <w:rsid w:val="00B8542A"/>
    <w:rsid w:val="00B85CCD"/>
    <w:rsid w:val="00B85DDF"/>
    <w:rsid w:val="00B86212"/>
    <w:rsid w:val="00B863C8"/>
    <w:rsid w:val="00B87306"/>
    <w:rsid w:val="00B87622"/>
    <w:rsid w:val="00B87798"/>
    <w:rsid w:val="00B9008F"/>
    <w:rsid w:val="00B90AC8"/>
    <w:rsid w:val="00B90D67"/>
    <w:rsid w:val="00B90FC0"/>
    <w:rsid w:val="00B91078"/>
    <w:rsid w:val="00B9145F"/>
    <w:rsid w:val="00B914C4"/>
    <w:rsid w:val="00B92449"/>
    <w:rsid w:val="00B92525"/>
    <w:rsid w:val="00B9287A"/>
    <w:rsid w:val="00B92AE6"/>
    <w:rsid w:val="00B92D65"/>
    <w:rsid w:val="00B92F02"/>
    <w:rsid w:val="00B930D8"/>
    <w:rsid w:val="00B93853"/>
    <w:rsid w:val="00B93ADC"/>
    <w:rsid w:val="00B94C0D"/>
    <w:rsid w:val="00B94D3E"/>
    <w:rsid w:val="00B953D3"/>
    <w:rsid w:val="00B9545E"/>
    <w:rsid w:val="00B95887"/>
    <w:rsid w:val="00B95997"/>
    <w:rsid w:val="00B95DD6"/>
    <w:rsid w:val="00B96938"/>
    <w:rsid w:val="00B96DC1"/>
    <w:rsid w:val="00B96FF3"/>
    <w:rsid w:val="00B97304"/>
    <w:rsid w:val="00B97AD6"/>
    <w:rsid w:val="00B97F63"/>
    <w:rsid w:val="00BA03E3"/>
    <w:rsid w:val="00BA0448"/>
    <w:rsid w:val="00BA05B2"/>
    <w:rsid w:val="00BA0FB9"/>
    <w:rsid w:val="00BA151A"/>
    <w:rsid w:val="00BA1EEC"/>
    <w:rsid w:val="00BA2354"/>
    <w:rsid w:val="00BA2E85"/>
    <w:rsid w:val="00BA3C6F"/>
    <w:rsid w:val="00BA3E04"/>
    <w:rsid w:val="00BA4378"/>
    <w:rsid w:val="00BA46A4"/>
    <w:rsid w:val="00BA485D"/>
    <w:rsid w:val="00BA4B5D"/>
    <w:rsid w:val="00BA55F4"/>
    <w:rsid w:val="00BA5B72"/>
    <w:rsid w:val="00BA62E5"/>
    <w:rsid w:val="00BA64F1"/>
    <w:rsid w:val="00BA6535"/>
    <w:rsid w:val="00BA6899"/>
    <w:rsid w:val="00BA6BC2"/>
    <w:rsid w:val="00BA6C56"/>
    <w:rsid w:val="00BA7228"/>
    <w:rsid w:val="00BA77BA"/>
    <w:rsid w:val="00BB0BBA"/>
    <w:rsid w:val="00BB1011"/>
    <w:rsid w:val="00BB10F7"/>
    <w:rsid w:val="00BB1223"/>
    <w:rsid w:val="00BB19C3"/>
    <w:rsid w:val="00BB2247"/>
    <w:rsid w:val="00BB2920"/>
    <w:rsid w:val="00BB295C"/>
    <w:rsid w:val="00BB29C9"/>
    <w:rsid w:val="00BB2F59"/>
    <w:rsid w:val="00BB3244"/>
    <w:rsid w:val="00BB3396"/>
    <w:rsid w:val="00BB33F9"/>
    <w:rsid w:val="00BB4145"/>
    <w:rsid w:val="00BB41F5"/>
    <w:rsid w:val="00BB46D5"/>
    <w:rsid w:val="00BB4A85"/>
    <w:rsid w:val="00BB4AEE"/>
    <w:rsid w:val="00BB4EDA"/>
    <w:rsid w:val="00BB5BA1"/>
    <w:rsid w:val="00BB6338"/>
    <w:rsid w:val="00BB66DB"/>
    <w:rsid w:val="00BB69A7"/>
    <w:rsid w:val="00BB6A2F"/>
    <w:rsid w:val="00BB6C47"/>
    <w:rsid w:val="00BB708A"/>
    <w:rsid w:val="00BB72D6"/>
    <w:rsid w:val="00BB7B9B"/>
    <w:rsid w:val="00BB7BEA"/>
    <w:rsid w:val="00BB7D79"/>
    <w:rsid w:val="00BC09E2"/>
    <w:rsid w:val="00BC0BDF"/>
    <w:rsid w:val="00BC0E7A"/>
    <w:rsid w:val="00BC0ED0"/>
    <w:rsid w:val="00BC0EE8"/>
    <w:rsid w:val="00BC19F6"/>
    <w:rsid w:val="00BC1ECB"/>
    <w:rsid w:val="00BC228C"/>
    <w:rsid w:val="00BC243B"/>
    <w:rsid w:val="00BC2B94"/>
    <w:rsid w:val="00BC300C"/>
    <w:rsid w:val="00BC31D5"/>
    <w:rsid w:val="00BC32F4"/>
    <w:rsid w:val="00BC33CB"/>
    <w:rsid w:val="00BC38D3"/>
    <w:rsid w:val="00BC4053"/>
    <w:rsid w:val="00BC41DE"/>
    <w:rsid w:val="00BC4218"/>
    <w:rsid w:val="00BC459D"/>
    <w:rsid w:val="00BC498C"/>
    <w:rsid w:val="00BC5611"/>
    <w:rsid w:val="00BC59E6"/>
    <w:rsid w:val="00BC5F00"/>
    <w:rsid w:val="00BC5F7A"/>
    <w:rsid w:val="00BC6AA8"/>
    <w:rsid w:val="00BC7D97"/>
    <w:rsid w:val="00BD0651"/>
    <w:rsid w:val="00BD0BFB"/>
    <w:rsid w:val="00BD0DD3"/>
    <w:rsid w:val="00BD0F30"/>
    <w:rsid w:val="00BD0FF5"/>
    <w:rsid w:val="00BD1054"/>
    <w:rsid w:val="00BD1387"/>
    <w:rsid w:val="00BD14C9"/>
    <w:rsid w:val="00BD1EF0"/>
    <w:rsid w:val="00BD1FC7"/>
    <w:rsid w:val="00BD2331"/>
    <w:rsid w:val="00BD24BC"/>
    <w:rsid w:val="00BD24D2"/>
    <w:rsid w:val="00BD2810"/>
    <w:rsid w:val="00BD29E5"/>
    <w:rsid w:val="00BD2C65"/>
    <w:rsid w:val="00BD2CAA"/>
    <w:rsid w:val="00BD2E6B"/>
    <w:rsid w:val="00BD31AA"/>
    <w:rsid w:val="00BD32D6"/>
    <w:rsid w:val="00BD3816"/>
    <w:rsid w:val="00BD3FBA"/>
    <w:rsid w:val="00BD41B0"/>
    <w:rsid w:val="00BD5159"/>
    <w:rsid w:val="00BD5872"/>
    <w:rsid w:val="00BD5A2F"/>
    <w:rsid w:val="00BD5CEF"/>
    <w:rsid w:val="00BD627A"/>
    <w:rsid w:val="00BD646E"/>
    <w:rsid w:val="00BD7A78"/>
    <w:rsid w:val="00BD7CD3"/>
    <w:rsid w:val="00BE0424"/>
    <w:rsid w:val="00BE0DF5"/>
    <w:rsid w:val="00BE1075"/>
    <w:rsid w:val="00BE10E9"/>
    <w:rsid w:val="00BE126E"/>
    <w:rsid w:val="00BE128C"/>
    <w:rsid w:val="00BE1345"/>
    <w:rsid w:val="00BE174C"/>
    <w:rsid w:val="00BE245C"/>
    <w:rsid w:val="00BE25EC"/>
    <w:rsid w:val="00BE2BE7"/>
    <w:rsid w:val="00BE2BFF"/>
    <w:rsid w:val="00BE31DA"/>
    <w:rsid w:val="00BE3712"/>
    <w:rsid w:val="00BE3764"/>
    <w:rsid w:val="00BE3CA5"/>
    <w:rsid w:val="00BE3E8C"/>
    <w:rsid w:val="00BE42A3"/>
    <w:rsid w:val="00BE43F6"/>
    <w:rsid w:val="00BE4923"/>
    <w:rsid w:val="00BE4C80"/>
    <w:rsid w:val="00BE54B7"/>
    <w:rsid w:val="00BE55BD"/>
    <w:rsid w:val="00BE56DE"/>
    <w:rsid w:val="00BE5702"/>
    <w:rsid w:val="00BE5A98"/>
    <w:rsid w:val="00BE5B1F"/>
    <w:rsid w:val="00BE60AC"/>
    <w:rsid w:val="00BE60BB"/>
    <w:rsid w:val="00BE645A"/>
    <w:rsid w:val="00BE6622"/>
    <w:rsid w:val="00BE67CE"/>
    <w:rsid w:val="00BE6919"/>
    <w:rsid w:val="00BE6D92"/>
    <w:rsid w:val="00BE6F30"/>
    <w:rsid w:val="00BE773A"/>
    <w:rsid w:val="00BF078B"/>
    <w:rsid w:val="00BF07CE"/>
    <w:rsid w:val="00BF08CB"/>
    <w:rsid w:val="00BF0B69"/>
    <w:rsid w:val="00BF0D85"/>
    <w:rsid w:val="00BF0F10"/>
    <w:rsid w:val="00BF0FC2"/>
    <w:rsid w:val="00BF1A0E"/>
    <w:rsid w:val="00BF1B30"/>
    <w:rsid w:val="00BF1C0F"/>
    <w:rsid w:val="00BF1E5D"/>
    <w:rsid w:val="00BF1F9E"/>
    <w:rsid w:val="00BF2225"/>
    <w:rsid w:val="00BF2A1A"/>
    <w:rsid w:val="00BF2F10"/>
    <w:rsid w:val="00BF3123"/>
    <w:rsid w:val="00BF358C"/>
    <w:rsid w:val="00BF35AE"/>
    <w:rsid w:val="00BF3691"/>
    <w:rsid w:val="00BF378D"/>
    <w:rsid w:val="00BF3C21"/>
    <w:rsid w:val="00BF3EF0"/>
    <w:rsid w:val="00BF5095"/>
    <w:rsid w:val="00BF527E"/>
    <w:rsid w:val="00BF54E3"/>
    <w:rsid w:val="00BF57D8"/>
    <w:rsid w:val="00BF5A6B"/>
    <w:rsid w:val="00BF5D57"/>
    <w:rsid w:val="00BF5F25"/>
    <w:rsid w:val="00BF6002"/>
    <w:rsid w:val="00BF6101"/>
    <w:rsid w:val="00BF61D8"/>
    <w:rsid w:val="00BF642A"/>
    <w:rsid w:val="00BF6466"/>
    <w:rsid w:val="00BF66AC"/>
    <w:rsid w:val="00BF6D8E"/>
    <w:rsid w:val="00BF771C"/>
    <w:rsid w:val="00BF79F0"/>
    <w:rsid w:val="00BF7D27"/>
    <w:rsid w:val="00BF7EA6"/>
    <w:rsid w:val="00C00479"/>
    <w:rsid w:val="00C0077E"/>
    <w:rsid w:val="00C01722"/>
    <w:rsid w:val="00C01C23"/>
    <w:rsid w:val="00C01D0C"/>
    <w:rsid w:val="00C026F5"/>
    <w:rsid w:val="00C02D8C"/>
    <w:rsid w:val="00C02F5B"/>
    <w:rsid w:val="00C037B5"/>
    <w:rsid w:val="00C0394C"/>
    <w:rsid w:val="00C03BC5"/>
    <w:rsid w:val="00C04612"/>
    <w:rsid w:val="00C04AAC"/>
    <w:rsid w:val="00C04B4C"/>
    <w:rsid w:val="00C04CCF"/>
    <w:rsid w:val="00C05074"/>
    <w:rsid w:val="00C0508F"/>
    <w:rsid w:val="00C05303"/>
    <w:rsid w:val="00C055E3"/>
    <w:rsid w:val="00C05A27"/>
    <w:rsid w:val="00C06198"/>
    <w:rsid w:val="00C06B96"/>
    <w:rsid w:val="00C06D3C"/>
    <w:rsid w:val="00C076F3"/>
    <w:rsid w:val="00C079B7"/>
    <w:rsid w:val="00C07A1E"/>
    <w:rsid w:val="00C07E31"/>
    <w:rsid w:val="00C07EBB"/>
    <w:rsid w:val="00C07F83"/>
    <w:rsid w:val="00C10376"/>
    <w:rsid w:val="00C10490"/>
    <w:rsid w:val="00C107BD"/>
    <w:rsid w:val="00C10DE1"/>
    <w:rsid w:val="00C10E03"/>
    <w:rsid w:val="00C10FFF"/>
    <w:rsid w:val="00C110D7"/>
    <w:rsid w:val="00C113AE"/>
    <w:rsid w:val="00C11D2F"/>
    <w:rsid w:val="00C126CE"/>
    <w:rsid w:val="00C12C33"/>
    <w:rsid w:val="00C12CF4"/>
    <w:rsid w:val="00C12E23"/>
    <w:rsid w:val="00C1325A"/>
    <w:rsid w:val="00C1392F"/>
    <w:rsid w:val="00C1438A"/>
    <w:rsid w:val="00C149B8"/>
    <w:rsid w:val="00C14C0E"/>
    <w:rsid w:val="00C15418"/>
    <w:rsid w:val="00C15D2C"/>
    <w:rsid w:val="00C15DCD"/>
    <w:rsid w:val="00C16A90"/>
    <w:rsid w:val="00C16EBB"/>
    <w:rsid w:val="00C16FEE"/>
    <w:rsid w:val="00C17320"/>
    <w:rsid w:val="00C17584"/>
    <w:rsid w:val="00C175E3"/>
    <w:rsid w:val="00C17C0D"/>
    <w:rsid w:val="00C17FE0"/>
    <w:rsid w:val="00C203ED"/>
    <w:rsid w:val="00C20425"/>
    <w:rsid w:val="00C20AEC"/>
    <w:rsid w:val="00C20B18"/>
    <w:rsid w:val="00C20CFC"/>
    <w:rsid w:val="00C2100C"/>
    <w:rsid w:val="00C21062"/>
    <w:rsid w:val="00C21214"/>
    <w:rsid w:val="00C21CFE"/>
    <w:rsid w:val="00C22205"/>
    <w:rsid w:val="00C22372"/>
    <w:rsid w:val="00C231DF"/>
    <w:rsid w:val="00C235CE"/>
    <w:rsid w:val="00C239A5"/>
    <w:rsid w:val="00C23B19"/>
    <w:rsid w:val="00C2410A"/>
    <w:rsid w:val="00C242F8"/>
    <w:rsid w:val="00C244A7"/>
    <w:rsid w:val="00C24532"/>
    <w:rsid w:val="00C249E2"/>
    <w:rsid w:val="00C24D33"/>
    <w:rsid w:val="00C24D8C"/>
    <w:rsid w:val="00C25436"/>
    <w:rsid w:val="00C25460"/>
    <w:rsid w:val="00C25A56"/>
    <w:rsid w:val="00C25F5F"/>
    <w:rsid w:val="00C261A9"/>
    <w:rsid w:val="00C265BE"/>
    <w:rsid w:val="00C26BE9"/>
    <w:rsid w:val="00C27AB8"/>
    <w:rsid w:val="00C27AC9"/>
    <w:rsid w:val="00C30430"/>
    <w:rsid w:val="00C30BBA"/>
    <w:rsid w:val="00C30F15"/>
    <w:rsid w:val="00C310EE"/>
    <w:rsid w:val="00C316C2"/>
    <w:rsid w:val="00C31761"/>
    <w:rsid w:val="00C319D1"/>
    <w:rsid w:val="00C31B46"/>
    <w:rsid w:val="00C31DC0"/>
    <w:rsid w:val="00C3249E"/>
    <w:rsid w:val="00C32A76"/>
    <w:rsid w:val="00C32B30"/>
    <w:rsid w:val="00C32C89"/>
    <w:rsid w:val="00C330F3"/>
    <w:rsid w:val="00C332B1"/>
    <w:rsid w:val="00C336AA"/>
    <w:rsid w:val="00C33944"/>
    <w:rsid w:val="00C33B16"/>
    <w:rsid w:val="00C33BFA"/>
    <w:rsid w:val="00C33F96"/>
    <w:rsid w:val="00C34097"/>
    <w:rsid w:val="00C348F7"/>
    <w:rsid w:val="00C34D0F"/>
    <w:rsid w:val="00C35486"/>
    <w:rsid w:val="00C35593"/>
    <w:rsid w:val="00C3566C"/>
    <w:rsid w:val="00C360F2"/>
    <w:rsid w:val="00C362E7"/>
    <w:rsid w:val="00C362F6"/>
    <w:rsid w:val="00C366C2"/>
    <w:rsid w:val="00C366C3"/>
    <w:rsid w:val="00C366F8"/>
    <w:rsid w:val="00C3704B"/>
    <w:rsid w:val="00C37380"/>
    <w:rsid w:val="00C373F2"/>
    <w:rsid w:val="00C37CD1"/>
    <w:rsid w:val="00C403D9"/>
    <w:rsid w:val="00C40A91"/>
    <w:rsid w:val="00C40BE4"/>
    <w:rsid w:val="00C40C6E"/>
    <w:rsid w:val="00C416FD"/>
    <w:rsid w:val="00C4190D"/>
    <w:rsid w:val="00C419E5"/>
    <w:rsid w:val="00C427A0"/>
    <w:rsid w:val="00C4293F"/>
    <w:rsid w:val="00C4358B"/>
    <w:rsid w:val="00C4366A"/>
    <w:rsid w:val="00C43CE1"/>
    <w:rsid w:val="00C44244"/>
    <w:rsid w:val="00C4494E"/>
    <w:rsid w:val="00C44AFA"/>
    <w:rsid w:val="00C44DB7"/>
    <w:rsid w:val="00C45228"/>
    <w:rsid w:val="00C455BE"/>
    <w:rsid w:val="00C455DB"/>
    <w:rsid w:val="00C461F0"/>
    <w:rsid w:val="00C46752"/>
    <w:rsid w:val="00C4689C"/>
    <w:rsid w:val="00C46AAB"/>
    <w:rsid w:val="00C46B2B"/>
    <w:rsid w:val="00C46BC2"/>
    <w:rsid w:val="00C46FC1"/>
    <w:rsid w:val="00C470BF"/>
    <w:rsid w:val="00C471A0"/>
    <w:rsid w:val="00C474F9"/>
    <w:rsid w:val="00C47AA7"/>
    <w:rsid w:val="00C47B78"/>
    <w:rsid w:val="00C47C87"/>
    <w:rsid w:val="00C47D59"/>
    <w:rsid w:val="00C5017D"/>
    <w:rsid w:val="00C508B4"/>
    <w:rsid w:val="00C508BB"/>
    <w:rsid w:val="00C50B86"/>
    <w:rsid w:val="00C51001"/>
    <w:rsid w:val="00C51144"/>
    <w:rsid w:val="00C5144D"/>
    <w:rsid w:val="00C515FF"/>
    <w:rsid w:val="00C5163F"/>
    <w:rsid w:val="00C51819"/>
    <w:rsid w:val="00C51E63"/>
    <w:rsid w:val="00C522AB"/>
    <w:rsid w:val="00C522FF"/>
    <w:rsid w:val="00C525AB"/>
    <w:rsid w:val="00C527BD"/>
    <w:rsid w:val="00C531CB"/>
    <w:rsid w:val="00C53234"/>
    <w:rsid w:val="00C532C5"/>
    <w:rsid w:val="00C53899"/>
    <w:rsid w:val="00C53CD7"/>
    <w:rsid w:val="00C548CD"/>
    <w:rsid w:val="00C54FC9"/>
    <w:rsid w:val="00C55017"/>
    <w:rsid w:val="00C553AA"/>
    <w:rsid w:val="00C55652"/>
    <w:rsid w:val="00C56424"/>
    <w:rsid w:val="00C56FF5"/>
    <w:rsid w:val="00C571B6"/>
    <w:rsid w:val="00C576DA"/>
    <w:rsid w:val="00C577FE"/>
    <w:rsid w:val="00C57F1B"/>
    <w:rsid w:val="00C60027"/>
    <w:rsid w:val="00C601B5"/>
    <w:rsid w:val="00C602EF"/>
    <w:rsid w:val="00C6041B"/>
    <w:rsid w:val="00C60981"/>
    <w:rsid w:val="00C60CB1"/>
    <w:rsid w:val="00C60D15"/>
    <w:rsid w:val="00C60D46"/>
    <w:rsid w:val="00C61357"/>
    <w:rsid w:val="00C61680"/>
    <w:rsid w:val="00C6192F"/>
    <w:rsid w:val="00C61B17"/>
    <w:rsid w:val="00C61D56"/>
    <w:rsid w:val="00C61DC4"/>
    <w:rsid w:val="00C62217"/>
    <w:rsid w:val="00C6234A"/>
    <w:rsid w:val="00C62578"/>
    <w:rsid w:val="00C6260A"/>
    <w:rsid w:val="00C633C6"/>
    <w:rsid w:val="00C63755"/>
    <w:rsid w:val="00C63B07"/>
    <w:rsid w:val="00C63D49"/>
    <w:rsid w:val="00C64554"/>
    <w:rsid w:val="00C647AC"/>
    <w:rsid w:val="00C64859"/>
    <w:rsid w:val="00C64FFC"/>
    <w:rsid w:val="00C65AAA"/>
    <w:rsid w:val="00C65B09"/>
    <w:rsid w:val="00C65F98"/>
    <w:rsid w:val="00C662BB"/>
    <w:rsid w:val="00C6690C"/>
    <w:rsid w:val="00C66C13"/>
    <w:rsid w:val="00C674BE"/>
    <w:rsid w:val="00C701BF"/>
    <w:rsid w:val="00C70808"/>
    <w:rsid w:val="00C70FC8"/>
    <w:rsid w:val="00C70FE5"/>
    <w:rsid w:val="00C716F6"/>
    <w:rsid w:val="00C71878"/>
    <w:rsid w:val="00C71D5B"/>
    <w:rsid w:val="00C71EF2"/>
    <w:rsid w:val="00C72357"/>
    <w:rsid w:val="00C72DF5"/>
    <w:rsid w:val="00C734EF"/>
    <w:rsid w:val="00C73F45"/>
    <w:rsid w:val="00C73FAE"/>
    <w:rsid w:val="00C7400C"/>
    <w:rsid w:val="00C74326"/>
    <w:rsid w:val="00C74F9F"/>
    <w:rsid w:val="00C75189"/>
    <w:rsid w:val="00C7532A"/>
    <w:rsid w:val="00C756A7"/>
    <w:rsid w:val="00C75A03"/>
    <w:rsid w:val="00C75D48"/>
    <w:rsid w:val="00C76314"/>
    <w:rsid w:val="00C7686C"/>
    <w:rsid w:val="00C768E5"/>
    <w:rsid w:val="00C76A0A"/>
    <w:rsid w:val="00C76A57"/>
    <w:rsid w:val="00C76D92"/>
    <w:rsid w:val="00C772BE"/>
    <w:rsid w:val="00C7730B"/>
    <w:rsid w:val="00C77508"/>
    <w:rsid w:val="00C7799F"/>
    <w:rsid w:val="00C77D15"/>
    <w:rsid w:val="00C804C4"/>
    <w:rsid w:val="00C8079D"/>
    <w:rsid w:val="00C80819"/>
    <w:rsid w:val="00C80961"/>
    <w:rsid w:val="00C816F7"/>
    <w:rsid w:val="00C81D52"/>
    <w:rsid w:val="00C81D57"/>
    <w:rsid w:val="00C825AF"/>
    <w:rsid w:val="00C82C6A"/>
    <w:rsid w:val="00C831DB"/>
    <w:rsid w:val="00C83984"/>
    <w:rsid w:val="00C853B3"/>
    <w:rsid w:val="00C854F2"/>
    <w:rsid w:val="00C8595C"/>
    <w:rsid w:val="00C8641E"/>
    <w:rsid w:val="00C86841"/>
    <w:rsid w:val="00C869F7"/>
    <w:rsid w:val="00C86E16"/>
    <w:rsid w:val="00C8714F"/>
    <w:rsid w:val="00C872F9"/>
    <w:rsid w:val="00C8751B"/>
    <w:rsid w:val="00C87F7E"/>
    <w:rsid w:val="00C90225"/>
    <w:rsid w:val="00C909F8"/>
    <w:rsid w:val="00C90A3F"/>
    <w:rsid w:val="00C91C50"/>
    <w:rsid w:val="00C91DAA"/>
    <w:rsid w:val="00C91F17"/>
    <w:rsid w:val="00C92080"/>
    <w:rsid w:val="00C920CD"/>
    <w:rsid w:val="00C92D48"/>
    <w:rsid w:val="00C93075"/>
    <w:rsid w:val="00C932D7"/>
    <w:rsid w:val="00C93A06"/>
    <w:rsid w:val="00C93AB9"/>
    <w:rsid w:val="00C9434C"/>
    <w:rsid w:val="00C943A7"/>
    <w:rsid w:val="00C94715"/>
    <w:rsid w:val="00C94ADA"/>
    <w:rsid w:val="00C94B01"/>
    <w:rsid w:val="00C94BE8"/>
    <w:rsid w:val="00C94DE1"/>
    <w:rsid w:val="00C953B7"/>
    <w:rsid w:val="00C95618"/>
    <w:rsid w:val="00C9588F"/>
    <w:rsid w:val="00C95C54"/>
    <w:rsid w:val="00C96A20"/>
    <w:rsid w:val="00C96C4D"/>
    <w:rsid w:val="00C96D79"/>
    <w:rsid w:val="00C96E1D"/>
    <w:rsid w:val="00C9759C"/>
    <w:rsid w:val="00CA0A31"/>
    <w:rsid w:val="00CA1242"/>
    <w:rsid w:val="00CA12D6"/>
    <w:rsid w:val="00CA12E8"/>
    <w:rsid w:val="00CA13B8"/>
    <w:rsid w:val="00CA1405"/>
    <w:rsid w:val="00CA1523"/>
    <w:rsid w:val="00CA1560"/>
    <w:rsid w:val="00CA1655"/>
    <w:rsid w:val="00CA1995"/>
    <w:rsid w:val="00CA2026"/>
    <w:rsid w:val="00CA2100"/>
    <w:rsid w:val="00CA21D0"/>
    <w:rsid w:val="00CA223D"/>
    <w:rsid w:val="00CA28C6"/>
    <w:rsid w:val="00CA2C12"/>
    <w:rsid w:val="00CA2D43"/>
    <w:rsid w:val="00CA2E0D"/>
    <w:rsid w:val="00CA30D7"/>
    <w:rsid w:val="00CA353D"/>
    <w:rsid w:val="00CA3AE6"/>
    <w:rsid w:val="00CA3B1C"/>
    <w:rsid w:val="00CA3EF6"/>
    <w:rsid w:val="00CA3F80"/>
    <w:rsid w:val="00CA42B9"/>
    <w:rsid w:val="00CA4B14"/>
    <w:rsid w:val="00CA4DDF"/>
    <w:rsid w:val="00CA547C"/>
    <w:rsid w:val="00CA5BE0"/>
    <w:rsid w:val="00CA5C13"/>
    <w:rsid w:val="00CA5D71"/>
    <w:rsid w:val="00CA5E04"/>
    <w:rsid w:val="00CA68AA"/>
    <w:rsid w:val="00CA6A86"/>
    <w:rsid w:val="00CA7746"/>
    <w:rsid w:val="00CB05DB"/>
    <w:rsid w:val="00CB062F"/>
    <w:rsid w:val="00CB0774"/>
    <w:rsid w:val="00CB0860"/>
    <w:rsid w:val="00CB08A1"/>
    <w:rsid w:val="00CB0B8A"/>
    <w:rsid w:val="00CB12A5"/>
    <w:rsid w:val="00CB12BF"/>
    <w:rsid w:val="00CB132B"/>
    <w:rsid w:val="00CB1A05"/>
    <w:rsid w:val="00CB1BA9"/>
    <w:rsid w:val="00CB3317"/>
    <w:rsid w:val="00CB3464"/>
    <w:rsid w:val="00CB3BC1"/>
    <w:rsid w:val="00CB3FDB"/>
    <w:rsid w:val="00CB4199"/>
    <w:rsid w:val="00CB4322"/>
    <w:rsid w:val="00CB4C27"/>
    <w:rsid w:val="00CB55FF"/>
    <w:rsid w:val="00CB5AA4"/>
    <w:rsid w:val="00CB5ABB"/>
    <w:rsid w:val="00CB5E54"/>
    <w:rsid w:val="00CB5E65"/>
    <w:rsid w:val="00CB6005"/>
    <w:rsid w:val="00CB613A"/>
    <w:rsid w:val="00CB614A"/>
    <w:rsid w:val="00CB624E"/>
    <w:rsid w:val="00CB6338"/>
    <w:rsid w:val="00CB66CB"/>
    <w:rsid w:val="00CB6E1E"/>
    <w:rsid w:val="00CB72E5"/>
    <w:rsid w:val="00CB7324"/>
    <w:rsid w:val="00CB736C"/>
    <w:rsid w:val="00CB76CF"/>
    <w:rsid w:val="00CB7B00"/>
    <w:rsid w:val="00CB7B43"/>
    <w:rsid w:val="00CB7CAA"/>
    <w:rsid w:val="00CB7D41"/>
    <w:rsid w:val="00CC046F"/>
    <w:rsid w:val="00CC06B3"/>
    <w:rsid w:val="00CC0AB3"/>
    <w:rsid w:val="00CC0E7C"/>
    <w:rsid w:val="00CC11A4"/>
    <w:rsid w:val="00CC1769"/>
    <w:rsid w:val="00CC17C1"/>
    <w:rsid w:val="00CC1FB8"/>
    <w:rsid w:val="00CC2034"/>
    <w:rsid w:val="00CC2D6B"/>
    <w:rsid w:val="00CC31C1"/>
    <w:rsid w:val="00CC3496"/>
    <w:rsid w:val="00CC3CE7"/>
    <w:rsid w:val="00CC3E13"/>
    <w:rsid w:val="00CC4327"/>
    <w:rsid w:val="00CC44B0"/>
    <w:rsid w:val="00CC46C7"/>
    <w:rsid w:val="00CC4B11"/>
    <w:rsid w:val="00CC591B"/>
    <w:rsid w:val="00CC5AAA"/>
    <w:rsid w:val="00CC6173"/>
    <w:rsid w:val="00CC67CA"/>
    <w:rsid w:val="00CC788D"/>
    <w:rsid w:val="00CD0630"/>
    <w:rsid w:val="00CD07FE"/>
    <w:rsid w:val="00CD14B4"/>
    <w:rsid w:val="00CD18E8"/>
    <w:rsid w:val="00CD1AC9"/>
    <w:rsid w:val="00CD1F58"/>
    <w:rsid w:val="00CD2283"/>
    <w:rsid w:val="00CD24A3"/>
    <w:rsid w:val="00CD2784"/>
    <w:rsid w:val="00CD2C54"/>
    <w:rsid w:val="00CD2D77"/>
    <w:rsid w:val="00CD2DC9"/>
    <w:rsid w:val="00CD2E18"/>
    <w:rsid w:val="00CD2E69"/>
    <w:rsid w:val="00CD30A4"/>
    <w:rsid w:val="00CD350F"/>
    <w:rsid w:val="00CD359E"/>
    <w:rsid w:val="00CD3CDF"/>
    <w:rsid w:val="00CD3FBE"/>
    <w:rsid w:val="00CD4B26"/>
    <w:rsid w:val="00CD4C06"/>
    <w:rsid w:val="00CD50E8"/>
    <w:rsid w:val="00CD5E63"/>
    <w:rsid w:val="00CD628A"/>
    <w:rsid w:val="00CD68B8"/>
    <w:rsid w:val="00CD6EA4"/>
    <w:rsid w:val="00CD72FD"/>
    <w:rsid w:val="00CE04A5"/>
    <w:rsid w:val="00CE0686"/>
    <w:rsid w:val="00CE0926"/>
    <w:rsid w:val="00CE09AC"/>
    <w:rsid w:val="00CE0C0C"/>
    <w:rsid w:val="00CE0EDB"/>
    <w:rsid w:val="00CE1000"/>
    <w:rsid w:val="00CE1884"/>
    <w:rsid w:val="00CE19C4"/>
    <w:rsid w:val="00CE1AA4"/>
    <w:rsid w:val="00CE2165"/>
    <w:rsid w:val="00CE22E5"/>
    <w:rsid w:val="00CE29A5"/>
    <w:rsid w:val="00CE2BBC"/>
    <w:rsid w:val="00CE2C84"/>
    <w:rsid w:val="00CE2EBE"/>
    <w:rsid w:val="00CE319D"/>
    <w:rsid w:val="00CE3341"/>
    <w:rsid w:val="00CE3867"/>
    <w:rsid w:val="00CE3D37"/>
    <w:rsid w:val="00CE3DDD"/>
    <w:rsid w:val="00CE3F80"/>
    <w:rsid w:val="00CE4324"/>
    <w:rsid w:val="00CE4ABC"/>
    <w:rsid w:val="00CE4C8B"/>
    <w:rsid w:val="00CE4D43"/>
    <w:rsid w:val="00CE4DA0"/>
    <w:rsid w:val="00CE5485"/>
    <w:rsid w:val="00CE613B"/>
    <w:rsid w:val="00CE61B7"/>
    <w:rsid w:val="00CE64E3"/>
    <w:rsid w:val="00CE66D5"/>
    <w:rsid w:val="00CE66EF"/>
    <w:rsid w:val="00CE6873"/>
    <w:rsid w:val="00CE6A1B"/>
    <w:rsid w:val="00CE6A38"/>
    <w:rsid w:val="00CE6CB6"/>
    <w:rsid w:val="00CE7121"/>
    <w:rsid w:val="00CE775F"/>
    <w:rsid w:val="00CE7BEB"/>
    <w:rsid w:val="00CE7DE7"/>
    <w:rsid w:val="00CF019D"/>
    <w:rsid w:val="00CF07EC"/>
    <w:rsid w:val="00CF0CC6"/>
    <w:rsid w:val="00CF16C3"/>
    <w:rsid w:val="00CF1C17"/>
    <w:rsid w:val="00CF1F25"/>
    <w:rsid w:val="00CF20A0"/>
    <w:rsid w:val="00CF229F"/>
    <w:rsid w:val="00CF263A"/>
    <w:rsid w:val="00CF2B81"/>
    <w:rsid w:val="00CF2E96"/>
    <w:rsid w:val="00CF3013"/>
    <w:rsid w:val="00CF38C4"/>
    <w:rsid w:val="00CF3BDE"/>
    <w:rsid w:val="00CF4590"/>
    <w:rsid w:val="00CF47CC"/>
    <w:rsid w:val="00CF4B72"/>
    <w:rsid w:val="00CF500E"/>
    <w:rsid w:val="00CF504C"/>
    <w:rsid w:val="00CF5B65"/>
    <w:rsid w:val="00CF613E"/>
    <w:rsid w:val="00CF6B10"/>
    <w:rsid w:val="00CF7054"/>
    <w:rsid w:val="00CF76E5"/>
    <w:rsid w:val="00CF77E2"/>
    <w:rsid w:val="00CF79C7"/>
    <w:rsid w:val="00CF7D3B"/>
    <w:rsid w:val="00D001F8"/>
    <w:rsid w:val="00D0048E"/>
    <w:rsid w:val="00D009AC"/>
    <w:rsid w:val="00D0109B"/>
    <w:rsid w:val="00D0112C"/>
    <w:rsid w:val="00D017DA"/>
    <w:rsid w:val="00D01CED"/>
    <w:rsid w:val="00D01EE4"/>
    <w:rsid w:val="00D031CC"/>
    <w:rsid w:val="00D033CB"/>
    <w:rsid w:val="00D03446"/>
    <w:rsid w:val="00D03C2D"/>
    <w:rsid w:val="00D03E5A"/>
    <w:rsid w:val="00D0402A"/>
    <w:rsid w:val="00D043E3"/>
    <w:rsid w:val="00D045ED"/>
    <w:rsid w:val="00D048F0"/>
    <w:rsid w:val="00D04AB6"/>
    <w:rsid w:val="00D04AC0"/>
    <w:rsid w:val="00D04BCA"/>
    <w:rsid w:val="00D04C87"/>
    <w:rsid w:val="00D05022"/>
    <w:rsid w:val="00D050A3"/>
    <w:rsid w:val="00D052EB"/>
    <w:rsid w:val="00D0536B"/>
    <w:rsid w:val="00D05CDE"/>
    <w:rsid w:val="00D06067"/>
    <w:rsid w:val="00D06609"/>
    <w:rsid w:val="00D067AF"/>
    <w:rsid w:val="00D068A2"/>
    <w:rsid w:val="00D06EAA"/>
    <w:rsid w:val="00D07CEE"/>
    <w:rsid w:val="00D107AF"/>
    <w:rsid w:val="00D10912"/>
    <w:rsid w:val="00D109AC"/>
    <w:rsid w:val="00D10B82"/>
    <w:rsid w:val="00D1108D"/>
    <w:rsid w:val="00D11367"/>
    <w:rsid w:val="00D120B7"/>
    <w:rsid w:val="00D125D5"/>
    <w:rsid w:val="00D12DE0"/>
    <w:rsid w:val="00D1339C"/>
    <w:rsid w:val="00D13446"/>
    <w:rsid w:val="00D13F7F"/>
    <w:rsid w:val="00D14036"/>
    <w:rsid w:val="00D147BA"/>
    <w:rsid w:val="00D14ACF"/>
    <w:rsid w:val="00D152C5"/>
    <w:rsid w:val="00D153BA"/>
    <w:rsid w:val="00D15488"/>
    <w:rsid w:val="00D15518"/>
    <w:rsid w:val="00D1552C"/>
    <w:rsid w:val="00D155F6"/>
    <w:rsid w:val="00D15625"/>
    <w:rsid w:val="00D15948"/>
    <w:rsid w:val="00D159F6"/>
    <w:rsid w:val="00D15A43"/>
    <w:rsid w:val="00D15D50"/>
    <w:rsid w:val="00D15D6E"/>
    <w:rsid w:val="00D15E04"/>
    <w:rsid w:val="00D16050"/>
    <w:rsid w:val="00D163FA"/>
    <w:rsid w:val="00D16991"/>
    <w:rsid w:val="00D170A3"/>
    <w:rsid w:val="00D17272"/>
    <w:rsid w:val="00D1780B"/>
    <w:rsid w:val="00D2092E"/>
    <w:rsid w:val="00D20FA0"/>
    <w:rsid w:val="00D2124E"/>
    <w:rsid w:val="00D215B5"/>
    <w:rsid w:val="00D21774"/>
    <w:rsid w:val="00D21855"/>
    <w:rsid w:val="00D21981"/>
    <w:rsid w:val="00D21E84"/>
    <w:rsid w:val="00D22166"/>
    <w:rsid w:val="00D2275C"/>
    <w:rsid w:val="00D22EAF"/>
    <w:rsid w:val="00D230DB"/>
    <w:rsid w:val="00D2326E"/>
    <w:rsid w:val="00D233D4"/>
    <w:rsid w:val="00D2380B"/>
    <w:rsid w:val="00D23DD9"/>
    <w:rsid w:val="00D23F59"/>
    <w:rsid w:val="00D24050"/>
    <w:rsid w:val="00D24B01"/>
    <w:rsid w:val="00D24C80"/>
    <w:rsid w:val="00D24CF9"/>
    <w:rsid w:val="00D24D3C"/>
    <w:rsid w:val="00D24EA5"/>
    <w:rsid w:val="00D25118"/>
    <w:rsid w:val="00D252EC"/>
    <w:rsid w:val="00D25312"/>
    <w:rsid w:val="00D259B9"/>
    <w:rsid w:val="00D25A1C"/>
    <w:rsid w:val="00D25AC2"/>
    <w:rsid w:val="00D25C7C"/>
    <w:rsid w:val="00D25CD5"/>
    <w:rsid w:val="00D25D0D"/>
    <w:rsid w:val="00D2647E"/>
    <w:rsid w:val="00D2655A"/>
    <w:rsid w:val="00D265BE"/>
    <w:rsid w:val="00D266E2"/>
    <w:rsid w:val="00D269A7"/>
    <w:rsid w:val="00D26ABA"/>
    <w:rsid w:val="00D27699"/>
    <w:rsid w:val="00D278F0"/>
    <w:rsid w:val="00D27AB7"/>
    <w:rsid w:val="00D27BCB"/>
    <w:rsid w:val="00D27D2B"/>
    <w:rsid w:val="00D30480"/>
    <w:rsid w:val="00D309B2"/>
    <w:rsid w:val="00D30D33"/>
    <w:rsid w:val="00D30E43"/>
    <w:rsid w:val="00D30E45"/>
    <w:rsid w:val="00D31847"/>
    <w:rsid w:val="00D31A6B"/>
    <w:rsid w:val="00D3230E"/>
    <w:rsid w:val="00D32740"/>
    <w:rsid w:val="00D32C6B"/>
    <w:rsid w:val="00D333E3"/>
    <w:rsid w:val="00D3348A"/>
    <w:rsid w:val="00D33688"/>
    <w:rsid w:val="00D33C68"/>
    <w:rsid w:val="00D33E18"/>
    <w:rsid w:val="00D344BC"/>
    <w:rsid w:val="00D34F06"/>
    <w:rsid w:val="00D34FA4"/>
    <w:rsid w:val="00D35569"/>
    <w:rsid w:val="00D35A9E"/>
    <w:rsid w:val="00D3634A"/>
    <w:rsid w:val="00D36982"/>
    <w:rsid w:val="00D36B96"/>
    <w:rsid w:val="00D37139"/>
    <w:rsid w:val="00D4062C"/>
    <w:rsid w:val="00D40F53"/>
    <w:rsid w:val="00D414E9"/>
    <w:rsid w:val="00D414EC"/>
    <w:rsid w:val="00D4185E"/>
    <w:rsid w:val="00D418F6"/>
    <w:rsid w:val="00D41FF3"/>
    <w:rsid w:val="00D42305"/>
    <w:rsid w:val="00D42969"/>
    <w:rsid w:val="00D42B5B"/>
    <w:rsid w:val="00D431A3"/>
    <w:rsid w:val="00D432E0"/>
    <w:rsid w:val="00D4367C"/>
    <w:rsid w:val="00D43706"/>
    <w:rsid w:val="00D43E1D"/>
    <w:rsid w:val="00D43F04"/>
    <w:rsid w:val="00D441C6"/>
    <w:rsid w:val="00D4428F"/>
    <w:rsid w:val="00D44CEA"/>
    <w:rsid w:val="00D44EDE"/>
    <w:rsid w:val="00D45103"/>
    <w:rsid w:val="00D46064"/>
    <w:rsid w:val="00D46299"/>
    <w:rsid w:val="00D464B6"/>
    <w:rsid w:val="00D466A1"/>
    <w:rsid w:val="00D46F8C"/>
    <w:rsid w:val="00D471E1"/>
    <w:rsid w:val="00D47222"/>
    <w:rsid w:val="00D472CF"/>
    <w:rsid w:val="00D4770A"/>
    <w:rsid w:val="00D478E7"/>
    <w:rsid w:val="00D47958"/>
    <w:rsid w:val="00D47A0C"/>
    <w:rsid w:val="00D47CC3"/>
    <w:rsid w:val="00D5017D"/>
    <w:rsid w:val="00D50213"/>
    <w:rsid w:val="00D5023D"/>
    <w:rsid w:val="00D505D9"/>
    <w:rsid w:val="00D50A31"/>
    <w:rsid w:val="00D511DB"/>
    <w:rsid w:val="00D5123E"/>
    <w:rsid w:val="00D5128D"/>
    <w:rsid w:val="00D51779"/>
    <w:rsid w:val="00D51AD6"/>
    <w:rsid w:val="00D51F07"/>
    <w:rsid w:val="00D52223"/>
    <w:rsid w:val="00D5250B"/>
    <w:rsid w:val="00D5256C"/>
    <w:rsid w:val="00D5287A"/>
    <w:rsid w:val="00D52B38"/>
    <w:rsid w:val="00D52FD5"/>
    <w:rsid w:val="00D531C1"/>
    <w:rsid w:val="00D538F6"/>
    <w:rsid w:val="00D53A54"/>
    <w:rsid w:val="00D53E79"/>
    <w:rsid w:val="00D549AA"/>
    <w:rsid w:val="00D5501F"/>
    <w:rsid w:val="00D555F9"/>
    <w:rsid w:val="00D5571D"/>
    <w:rsid w:val="00D559E5"/>
    <w:rsid w:val="00D55B39"/>
    <w:rsid w:val="00D560F3"/>
    <w:rsid w:val="00D5733A"/>
    <w:rsid w:val="00D57789"/>
    <w:rsid w:val="00D61178"/>
    <w:rsid w:val="00D61377"/>
    <w:rsid w:val="00D6148D"/>
    <w:rsid w:val="00D6169A"/>
    <w:rsid w:val="00D61766"/>
    <w:rsid w:val="00D626CB"/>
    <w:rsid w:val="00D629CD"/>
    <w:rsid w:val="00D62C18"/>
    <w:rsid w:val="00D62E4E"/>
    <w:rsid w:val="00D63605"/>
    <w:rsid w:val="00D63A25"/>
    <w:rsid w:val="00D63B54"/>
    <w:rsid w:val="00D63DC1"/>
    <w:rsid w:val="00D63DD3"/>
    <w:rsid w:val="00D63F5E"/>
    <w:rsid w:val="00D643A7"/>
    <w:rsid w:val="00D64652"/>
    <w:rsid w:val="00D646CB"/>
    <w:rsid w:val="00D64878"/>
    <w:rsid w:val="00D65404"/>
    <w:rsid w:val="00D65492"/>
    <w:rsid w:val="00D6595A"/>
    <w:rsid w:val="00D65B2B"/>
    <w:rsid w:val="00D65BCA"/>
    <w:rsid w:val="00D65C9B"/>
    <w:rsid w:val="00D65F02"/>
    <w:rsid w:val="00D66321"/>
    <w:rsid w:val="00D66F55"/>
    <w:rsid w:val="00D67038"/>
    <w:rsid w:val="00D6737C"/>
    <w:rsid w:val="00D6766B"/>
    <w:rsid w:val="00D677E4"/>
    <w:rsid w:val="00D67F9B"/>
    <w:rsid w:val="00D70115"/>
    <w:rsid w:val="00D70568"/>
    <w:rsid w:val="00D70B78"/>
    <w:rsid w:val="00D70CC7"/>
    <w:rsid w:val="00D70F4E"/>
    <w:rsid w:val="00D7121C"/>
    <w:rsid w:val="00D71366"/>
    <w:rsid w:val="00D7152F"/>
    <w:rsid w:val="00D715AF"/>
    <w:rsid w:val="00D718F8"/>
    <w:rsid w:val="00D71FDA"/>
    <w:rsid w:val="00D72530"/>
    <w:rsid w:val="00D72ED6"/>
    <w:rsid w:val="00D72F1D"/>
    <w:rsid w:val="00D73CDA"/>
    <w:rsid w:val="00D74102"/>
    <w:rsid w:val="00D741E4"/>
    <w:rsid w:val="00D747C4"/>
    <w:rsid w:val="00D749BF"/>
    <w:rsid w:val="00D749CA"/>
    <w:rsid w:val="00D752D1"/>
    <w:rsid w:val="00D75EBA"/>
    <w:rsid w:val="00D75F06"/>
    <w:rsid w:val="00D7602B"/>
    <w:rsid w:val="00D764BE"/>
    <w:rsid w:val="00D76C22"/>
    <w:rsid w:val="00D76C80"/>
    <w:rsid w:val="00D773D1"/>
    <w:rsid w:val="00D77530"/>
    <w:rsid w:val="00D77A1F"/>
    <w:rsid w:val="00D77A42"/>
    <w:rsid w:val="00D80010"/>
    <w:rsid w:val="00D81C70"/>
    <w:rsid w:val="00D81E34"/>
    <w:rsid w:val="00D81E4F"/>
    <w:rsid w:val="00D81E88"/>
    <w:rsid w:val="00D8201C"/>
    <w:rsid w:val="00D82502"/>
    <w:rsid w:val="00D82609"/>
    <w:rsid w:val="00D82CEE"/>
    <w:rsid w:val="00D82F55"/>
    <w:rsid w:val="00D830C5"/>
    <w:rsid w:val="00D83D0A"/>
    <w:rsid w:val="00D83EB2"/>
    <w:rsid w:val="00D84077"/>
    <w:rsid w:val="00D84459"/>
    <w:rsid w:val="00D84836"/>
    <w:rsid w:val="00D84A4C"/>
    <w:rsid w:val="00D84A6F"/>
    <w:rsid w:val="00D84F3C"/>
    <w:rsid w:val="00D855E8"/>
    <w:rsid w:val="00D85774"/>
    <w:rsid w:val="00D85A08"/>
    <w:rsid w:val="00D85B75"/>
    <w:rsid w:val="00D85D0F"/>
    <w:rsid w:val="00D85F3F"/>
    <w:rsid w:val="00D862C2"/>
    <w:rsid w:val="00D862D5"/>
    <w:rsid w:val="00D86349"/>
    <w:rsid w:val="00D867CE"/>
    <w:rsid w:val="00D86BF2"/>
    <w:rsid w:val="00D86E57"/>
    <w:rsid w:val="00D86EB8"/>
    <w:rsid w:val="00D86F0C"/>
    <w:rsid w:val="00D874E9"/>
    <w:rsid w:val="00D87895"/>
    <w:rsid w:val="00D87929"/>
    <w:rsid w:val="00D87E16"/>
    <w:rsid w:val="00D900C8"/>
    <w:rsid w:val="00D902A3"/>
    <w:rsid w:val="00D906D6"/>
    <w:rsid w:val="00D90AFF"/>
    <w:rsid w:val="00D90B75"/>
    <w:rsid w:val="00D9137B"/>
    <w:rsid w:val="00D9139F"/>
    <w:rsid w:val="00D914B7"/>
    <w:rsid w:val="00D9255C"/>
    <w:rsid w:val="00D93638"/>
    <w:rsid w:val="00D938DD"/>
    <w:rsid w:val="00D93F3A"/>
    <w:rsid w:val="00D94196"/>
    <w:rsid w:val="00D944F2"/>
    <w:rsid w:val="00D94552"/>
    <w:rsid w:val="00D945C1"/>
    <w:rsid w:val="00D9460C"/>
    <w:rsid w:val="00D9488E"/>
    <w:rsid w:val="00D9501D"/>
    <w:rsid w:val="00D951D3"/>
    <w:rsid w:val="00D95454"/>
    <w:rsid w:val="00D955AF"/>
    <w:rsid w:val="00D957BB"/>
    <w:rsid w:val="00D95B7D"/>
    <w:rsid w:val="00D96022"/>
    <w:rsid w:val="00D9607B"/>
    <w:rsid w:val="00D96512"/>
    <w:rsid w:val="00D966A8"/>
    <w:rsid w:val="00D96E1D"/>
    <w:rsid w:val="00D97BE8"/>
    <w:rsid w:val="00DA0746"/>
    <w:rsid w:val="00DA074D"/>
    <w:rsid w:val="00DA0930"/>
    <w:rsid w:val="00DA102C"/>
    <w:rsid w:val="00DA11C1"/>
    <w:rsid w:val="00DA15E1"/>
    <w:rsid w:val="00DA1EA8"/>
    <w:rsid w:val="00DA2DC8"/>
    <w:rsid w:val="00DA3062"/>
    <w:rsid w:val="00DA33AD"/>
    <w:rsid w:val="00DA35DA"/>
    <w:rsid w:val="00DA3969"/>
    <w:rsid w:val="00DA3C57"/>
    <w:rsid w:val="00DA3D9B"/>
    <w:rsid w:val="00DA4475"/>
    <w:rsid w:val="00DA4886"/>
    <w:rsid w:val="00DA496B"/>
    <w:rsid w:val="00DA4D5B"/>
    <w:rsid w:val="00DA5492"/>
    <w:rsid w:val="00DA54AA"/>
    <w:rsid w:val="00DA5669"/>
    <w:rsid w:val="00DA595D"/>
    <w:rsid w:val="00DA5B1A"/>
    <w:rsid w:val="00DA5E95"/>
    <w:rsid w:val="00DA62ED"/>
    <w:rsid w:val="00DA7432"/>
    <w:rsid w:val="00DA7AE7"/>
    <w:rsid w:val="00DA7E2C"/>
    <w:rsid w:val="00DB06A8"/>
    <w:rsid w:val="00DB0B0B"/>
    <w:rsid w:val="00DB1198"/>
    <w:rsid w:val="00DB11F7"/>
    <w:rsid w:val="00DB1720"/>
    <w:rsid w:val="00DB18B9"/>
    <w:rsid w:val="00DB1C8C"/>
    <w:rsid w:val="00DB1D6D"/>
    <w:rsid w:val="00DB276C"/>
    <w:rsid w:val="00DB2793"/>
    <w:rsid w:val="00DB31BF"/>
    <w:rsid w:val="00DB3330"/>
    <w:rsid w:val="00DB3AE6"/>
    <w:rsid w:val="00DB3CDF"/>
    <w:rsid w:val="00DB4ADC"/>
    <w:rsid w:val="00DB51EA"/>
    <w:rsid w:val="00DB59B6"/>
    <w:rsid w:val="00DB5E7D"/>
    <w:rsid w:val="00DB60C5"/>
    <w:rsid w:val="00DB6862"/>
    <w:rsid w:val="00DB72FB"/>
    <w:rsid w:val="00DB7492"/>
    <w:rsid w:val="00DC05E4"/>
    <w:rsid w:val="00DC0E6D"/>
    <w:rsid w:val="00DC1090"/>
    <w:rsid w:val="00DC1132"/>
    <w:rsid w:val="00DC1279"/>
    <w:rsid w:val="00DC20FB"/>
    <w:rsid w:val="00DC2317"/>
    <w:rsid w:val="00DC2658"/>
    <w:rsid w:val="00DC2D41"/>
    <w:rsid w:val="00DC2EAA"/>
    <w:rsid w:val="00DC3125"/>
    <w:rsid w:val="00DC4120"/>
    <w:rsid w:val="00DC435B"/>
    <w:rsid w:val="00DC4484"/>
    <w:rsid w:val="00DC4592"/>
    <w:rsid w:val="00DC498D"/>
    <w:rsid w:val="00DC52E2"/>
    <w:rsid w:val="00DC54A1"/>
    <w:rsid w:val="00DC55A7"/>
    <w:rsid w:val="00DC593F"/>
    <w:rsid w:val="00DC5B81"/>
    <w:rsid w:val="00DC65B9"/>
    <w:rsid w:val="00DC6647"/>
    <w:rsid w:val="00DC66B6"/>
    <w:rsid w:val="00DC6AF7"/>
    <w:rsid w:val="00DC6E66"/>
    <w:rsid w:val="00DC7235"/>
    <w:rsid w:val="00DC73D4"/>
    <w:rsid w:val="00DC74C8"/>
    <w:rsid w:val="00DC77AB"/>
    <w:rsid w:val="00DC78A0"/>
    <w:rsid w:val="00DC7AD5"/>
    <w:rsid w:val="00DC7CDC"/>
    <w:rsid w:val="00DD0298"/>
    <w:rsid w:val="00DD0575"/>
    <w:rsid w:val="00DD06B2"/>
    <w:rsid w:val="00DD090E"/>
    <w:rsid w:val="00DD09FD"/>
    <w:rsid w:val="00DD10A2"/>
    <w:rsid w:val="00DD1AD2"/>
    <w:rsid w:val="00DD1CE1"/>
    <w:rsid w:val="00DD20E7"/>
    <w:rsid w:val="00DD24DC"/>
    <w:rsid w:val="00DD264D"/>
    <w:rsid w:val="00DD321D"/>
    <w:rsid w:val="00DD339B"/>
    <w:rsid w:val="00DD3463"/>
    <w:rsid w:val="00DD35A5"/>
    <w:rsid w:val="00DD39B0"/>
    <w:rsid w:val="00DD41E7"/>
    <w:rsid w:val="00DD441B"/>
    <w:rsid w:val="00DD45A5"/>
    <w:rsid w:val="00DD4854"/>
    <w:rsid w:val="00DD4975"/>
    <w:rsid w:val="00DD4A7D"/>
    <w:rsid w:val="00DD4C4E"/>
    <w:rsid w:val="00DD5B3E"/>
    <w:rsid w:val="00DD62DA"/>
    <w:rsid w:val="00DD66C6"/>
    <w:rsid w:val="00DD7523"/>
    <w:rsid w:val="00DD7629"/>
    <w:rsid w:val="00DD7BB7"/>
    <w:rsid w:val="00DE02A9"/>
    <w:rsid w:val="00DE039B"/>
    <w:rsid w:val="00DE04F8"/>
    <w:rsid w:val="00DE058D"/>
    <w:rsid w:val="00DE07D2"/>
    <w:rsid w:val="00DE0B26"/>
    <w:rsid w:val="00DE1323"/>
    <w:rsid w:val="00DE159F"/>
    <w:rsid w:val="00DE1D75"/>
    <w:rsid w:val="00DE203C"/>
    <w:rsid w:val="00DE2C3A"/>
    <w:rsid w:val="00DE2EB0"/>
    <w:rsid w:val="00DE3759"/>
    <w:rsid w:val="00DE37C8"/>
    <w:rsid w:val="00DE3C29"/>
    <w:rsid w:val="00DE4BA9"/>
    <w:rsid w:val="00DE4FC7"/>
    <w:rsid w:val="00DE56DF"/>
    <w:rsid w:val="00DE570A"/>
    <w:rsid w:val="00DE5A61"/>
    <w:rsid w:val="00DE5B3D"/>
    <w:rsid w:val="00DE5EB5"/>
    <w:rsid w:val="00DE63AB"/>
    <w:rsid w:val="00DE659F"/>
    <w:rsid w:val="00DE6854"/>
    <w:rsid w:val="00DE69E2"/>
    <w:rsid w:val="00DE6B3C"/>
    <w:rsid w:val="00DE6E97"/>
    <w:rsid w:val="00DE7C52"/>
    <w:rsid w:val="00DF0334"/>
    <w:rsid w:val="00DF0474"/>
    <w:rsid w:val="00DF1867"/>
    <w:rsid w:val="00DF198C"/>
    <w:rsid w:val="00DF1BF0"/>
    <w:rsid w:val="00DF1C0A"/>
    <w:rsid w:val="00DF22E4"/>
    <w:rsid w:val="00DF235D"/>
    <w:rsid w:val="00DF330F"/>
    <w:rsid w:val="00DF3358"/>
    <w:rsid w:val="00DF347A"/>
    <w:rsid w:val="00DF3502"/>
    <w:rsid w:val="00DF353F"/>
    <w:rsid w:val="00DF3A2D"/>
    <w:rsid w:val="00DF3C42"/>
    <w:rsid w:val="00DF3FF9"/>
    <w:rsid w:val="00DF42D3"/>
    <w:rsid w:val="00DF4641"/>
    <w:rsid w:val="00DF48A1"/>
    <w:rsid w:val="00DF4BF8"/>
    <w:rsid w:val="00DF5191"/>
    <w:rsid w:val="00DF5FE9"/>
    <w:rsid w:val="00DF61C4"/>
    <w:rsid w:val="00DF6404"/>
    <w:rsid w:val="00DF642F"/>
    <w:rsid w:val="00DF66AA"/>
    <w:rsid w:val="00DF6B67"/>
    <w:rsid w:val="00DF6C36"/>
    <w:rsid w:val="00DF72D5"/>
    <w:rsid w:val="00DF72E2"/>
    <w:rsid w:val="00DF7A37"/>
    <w:rsid w:val="00DF7E4F"/>
    <w:rsid w:val="00E005C8"/>
    <w:rsid w:val="00E00FDF"/>
    <w:rsid w:val="00E0104F"/>
    <w:rsid w:val="00E010F3"/>
    <w:rsid w:val="00E021D2"/>
    <w:rsid w:val="00E0234A"/>
    <w:rsid w:val="00E02416"/>
    <w:rsid w:val="00E02735"/>
    <w:rsid w:val="00E02E62"/>
    <w:rsid w:val="00E02FF8"/>
    <w:rsid w:val="00E038F6"/>
    <w:rsid w:val="00E03C17"/>
    <w:rsid w:val="00E03C95"/>
    <w:rsid w:val="00E03DD5"/>
    <w:rsid w:val="00E045DA"/>
    <w:rsid w:val="00E04BA6"/>
    <w:rsid w:val="00E04F61"/>
    <w:rsid w:val="00E0535D"/>
    <w:rsid w:val="00E05629"/>
    <w:rsid w:val="00E05859"/>
    <w:rsid w:val="00E05FD0"/>
    <w:rsid w:val="00E0616A"/>
    <w:rsid w:val="00E06511"/>
    <w:rsid w:val="00E068CC"/>
    <w:rsid w:val="00E06C8F"/>
    <w:rsid w:val="00E06D40"/>
    <w:rsid w:val="00E070A6"/>
    <w:rsid w:val="00E0784F"/>
    <w:rsid w:val="00E0793C"/>
    <w:rsid w:val="00E106B0"/>
    <w:rsid w:val="00E106BB"/>
    <w:rsid w:val="00E10926"/>
    <w:rsid w:val="00E10CCF"/>
    <w:rsid w:val="00E10D17"/>
    <w:rsid w:val="00E11776"/>
    <w:rsid w:val="00E11BB2"/>
    <w:rsid w:val="00E11D75"/>
    <w:rsid w:val="00E11D7A"/>
    <w:rsid w:val="00E120F9"/>
    <w:rsid w:val="00E1211B"/>
    <w:rsid w:val="00E1239B"/>
    <w:rsid w:val="00E124BF"/>
    <w:rsid w:val="00E1367F"/>
    <w:rsid w:val="00E1383A"/>
    <w:rsid w:val="00E1405E"/>
    <w:rsid w:val="00E14192"/>
    <w:rsid w:val="00E1427D"/>
    <w:rsid w:val="00E1459E"/>
    <w:rsid w:val="00E145CF"/>
    <w:rsid w:val="00E14C2F"/>
    <w:rsid w:val="00E14F43"/>
    <w:rsid w:val="00E152B6"/>
    <w:rsid w:val="00E152E3"/>
    <w:rsid w:val="00E15804"/>
    <w:rsid w:val="00E15910"/>
    <w:rsid w:val="00E1619E"/>
    <w:rsid w:val="00E16B03"/>
    <w:rsid w:val="00E16D16"/>
    <w:rsid w:val="00E16EF4"/>
    <w:rsid w:val="00E1783A"/>
    <w:rsid w:val="00E17C90"/>
    <w:rsid w:val="00E17FDC"/>
    <w:rsid w:val="00E203C9"/>
    <w:rsid w:val="00E206C3"/>
    <w:rsid w:val="00E20BFF"/>
    <w:rsid w:val="00E210F0"/>
    <w:rsid w:val="00E214EE"/>
    <w:rsid w:val="00E21625"/>
    <w:rsid w:val="00E216B2"/>
    <w:rsid w:val="00E2199B"/>
    <w:rsid w:val="00E21B70"/>
    <w:rsid w:val="00E225A5"/>
    <w:rsid w:val="00E22DB0"/>
    <w:rsid w:val="00E23321"/>
    <w:rsid w:val="00E23339"/>
    <w:rsid w:val="00E23DCC"/>
    <w:rsid w:val="00E23F4F"/>
    <w:rsid w:val="00E24584"/>
    <w:rsid w:val="00E246D7"/>
    <w:rsid w:val="00E249B0"/>
    <w:rsid w:val="00E24A81"/>
    <w:rsid w:val="00E24F0F"/>
    <w:rsid w:val="00E25B6D"/>
    <w:rsid w:val="00E2645D"/>
    <w:rsid w:val="00E26666"/>
    <w:rsid w:val="00E26A86"/>
    <w:rsid w:val="00E26A95"/>
    <w:rsid w:val="00E274C6"/>
    <w:rsid w:val="00E274EB"/>
    <w:rsid w:val="00E2789A"/>
    <w:rsid w:val="00E27C16"/>
    <w:rsid w:val="00E27CD1"/>
    <w:rsid w:val="00E307D7"/>
    <w:rsid w:val="00E31382"/>
    <w:rsid w:val="00E314ED"/>
    <w:rsid w:val="00E31F38"/>
    <w:rsid w:val="00E32390"/>
    <w:rsid w:val="00E32622"/>
    <w:rsid w:val="00E32757"/>
    <w:rsid w:val="00E32CA6"/>
    <w:rsid w:val="00E3310C"/>
    <w:rsid w:val="00E331D5"/>
    <w:rsid w:val="00E344AA"/>
    <w:rsid w:val="00E347BC"/>
    <w:rsid w:val="00E357D2"/>
    <w:rsid w:val="00E35EBF"/>
    <w:rsid w:val="00E360B8"/>
    <w:rsid w:val="00E362EB"/>
    <w:rsid w:val="00E3650C"/>
    <w:rsid w:val="00E368D2"/>
    <w:rsid w:val="00E374B8"/>
    <w:rsid w:val="00E37880"/>
    <w:rsid w:val="00E37BAB"/>
    <w:rsid w:val="00E40940"/>
    <w:rsid w:val="00E40C1D"/>
    <w:rsid w:val="00E4175A"/>
    <w:rsid w:val="00E41AC7"/>
    <w:rsid w:val="00E41DFD"/>
    <w:rsid w:val="00E41E3E"/>
    <w:rsid w:val="00E422E2"/>
    <w:rsid w:val="00E42590"/>
    <w:rsid w:val="00E42612"/>
    <w:rsid w:val="00E42848"/>
    <w:rsid w:val="00E42A9B"/>
    <w:rsid w:val="00E42B91"/>
    <w:rsid w:val="00E42DE9"/>
    <w:rsid w:val="00E42E11"/>
    <w:rsid w:val="00E433FF"/>
    <w:rsid w:val="00E43AA3"/>
    <w:rsid w:val="00E43F3B"/>
    <w:rsid w:val="00E45268"/>
    <w:rsid w:val="00E4567C"/>
    <w:rsid w:val="00E45948"/>
    <w:rsid w:val="00E45BAA"/>
    <w:rsid w:val="00E45F70"/>
    <w:rsid w:val="00E460A0"/>
    <w:rsid w:val="00E462C9"/>
    <w:rsid w:val="00E46FD8"/>
    <w:rsid w:val="00E47E34"/>
    <w:rsid w:val="00E47FBA"/>
    <w:rsid w:val="00E50056"/>
    <w:rsid w:val="00E50275"/>
    <w:rsid w:val="00E5126A"/>
    <w:rsid w:val="00E513C1"/>
    <w:rsid w:val="00E51951"/>
    <w:rsid w:val="00E51A44"/>
    <w:rsid w:val="00E51AC5"/>
    <w:rsid w:val="00E51CFD"/>
    <w:rsid w:val="00E51EFF"/>
    <w:rsid w:val="00E525B6"/>
    <w:rsid w:val="00E52B41"/>
    <w:rsid w:val="00E53774"/>
    <w:rsid w:val="00E5393F"/>
    <w:rsid w:val="00E539DE"/>
    <w:rsid w:val="00E53AA6"/>
    <w:rsid w:val="00E53E0F"/>
    <w:rsid w:val="00E540D4"/>
    <w:rsid w:val="00E5467B"/>
    <w:rsid w:val="00E552F2"/>
    <w:rsid w:val="00E55B5D"/>
    <w:rsid w:val="00E561EC"/>
    <w:rsid w:val="00E561FB"/>
    <w:rsid w:val="00E5647C"/>
    <w:rsid w:val="00E566F2"/>
    <w:rsid w:val="00E5712F"/>
    <w:rsid w:val="00E571F3"/>
    <w:rsid w:val="00E57874"/>
    <w:rsid w:val="00E57BEE"/>
    <w:rsid w:val="00E6060D"/>
    <w:rsid w:val="00E60C16"/>
    <w:rsid w:val="00E60DC3"/>
    <w:rsid w:val="00E60E05"/>
    <w:rsid w:val="00E6107C"/>
    <w:rsid w:val="00E61152"/>
    <w:rsid w:val="00E61A4F"/>
    <w:rsid w:val="00E61C47"/>
    <w:rsid w:val="00E61E99"/>
    <w:rsid w:val="00E62228"/>
    <w:rsid w:val="00E62403"/>
    <w:rsid w:val="00E624F6"/>
    <w:rsid w:val="00E634B7"/>
    <w:rsid w:val="00E63802"/>
    <w:rsid w:val="00E638FE"/>
    <w:rsid w:val="00E6401F"/>
    <w:rsid w:val="00E643A2"/>
    <w:rsid w:val="00E6472A"/>
    <w:rsid w:val="00E64735"/>
    <w:rsid w:val="00E65882"/>
    <w:rsid w:val="00E65933"/>
    <w:rsid w:val="00E6594D"/>
    <w:rsid w:val="00E65AAA"/>
    <w:rsid w:val="00E665FE"/>
    <w:rsid w:val="00E66A94"/>
    <w:rsid w:val="00E66D00"/>
    <w:rsid w:val="00E66D58"/>
    <w:rsid w:val="00E66F3C"/>
    <w:rsid w:val="00E6749A"/>
    <w:rsid w:val="00E677B4"/>
    <w:rsid w:val="00E67A66"/>
    <w:rsid w:val="00E67D72"/>
    <w:rsid w:val="00E67FBB"/>
    <w:rsid w:val="00E705A2"/>
    <w:rsid w:val="00E707F4"/>
    <w:rsid w:val="00E70802"/>
    <w:rsid w:val="00E709A7"/>
    <w:rsid w:val="00E70D01"/>
    <w:rsid w:val="00E70E3E"/>
    <w:rsid w:val="00E713EB"/>
    <w:rsid w:val="00E715CB"/>
    <w:rsid w:val="00E7160C"/>
    <w:rsid w:val="00E71862"/>
    <w:rsid w:val="00E718FE"/>
    <w:rsid w:val="00E71C6B"/>
    <w:rsid w:val="00E71E90"/>
    <w:rsid w:val="00E71F2D"/>
    <w:rsid w:val="00E7226F"/>
    <w:rsid w:val="00E722E4"/>
    <w:rsid w:val="00E722EE"/>
    <w:rsid w:val="00E7234E"/>
    <w:rsid w:val="00E726FF"/>
    <w:rsid w:val="00E73347"/>
    <w:rsid w:val="00E7376C"/>
    <w:rsid w:val="00E7394F"/>
    <w:rsid w:val="00E73971"/>
    <w:rsid w:val="00E73B9C"/>
    <w:rsid w:val="00E73D76"/>
    <w:rsid w:val="00E7414B"/>
    <w:rsid w:val="00E742BD"/>
    <w:rsid w:val="00E7430B"/>
    <w:rsid w:val="00E74C68"/>
    <w:rsid w:val="00E74FAC"/>
    <w:rsid w:val="00E75059"/>
    <w:rsid w:val="00E750ED"/>
    <w:rsid w:val="00E755CF"/>
    <w:rsid w:val="00E75B2E"/>
    <w:rsid w:val="00E76168"/>
    <w:rsid w:val="00E76AAA"/>
    <w:rsid w:val="00E76E05"/>
    <w:rsid w:val="00E77467"/>
    <w:rsid w:val="00E77CE5"/>
    <w:rsid w:val="00E80E02"/>
    <w:rsid w:val="00E8130B"/>
    <w:rsid w:val="00E813EF"/>
    <w:rsid w:val="00E81834"/>
    <w:rsid w:val="00E81D14"/>
    <w:rsid w:val="00E81D39"/>
    <w:rsid w:val="00E820D1"/>
    <w:rsid w:val="00E824BB"/>
    <w:rsid w:val="00E82F09"/>
    <w:rsid w:val="00E83A16"/>
    <w:rsid w:val="00E83ABF"/>
    <w:rsid w:val="00E83B17"/>
    <w:rsid w:val="00E842AD"/>
    <w:rsid w:val="00E84948"/>
    <w:rsid w:val="00E84DE3"/>
    <w:rsid w:val="00E85417"/>
    <w:rsid w:val="00E854D2"/>
    <w:rsid w:val="00E8552B"/>
    <w:rsid w:val="00E85755"/>
    <w:rsid w:val="00E857A6"/>
    <w:rsid w:val="00E85F20"/>
    <w:rsid w:val="00E8618A"/>
    <w:rsid w:val="00E868A0"/>
    <w:rsid w:val="00E86BE7"/>
    <w:rsid w:val="00E86C0F"/>
    <w:rsid w:val="00E86E2C"/>
    <w:rsid w:val="00E86E97"/>
    <w:rsid w:val="00E86EE1"/>
    <w:rsid w:val="00E87090"/>
    <w:rsid w:val="00E870BC"/>
    <w:rsid w:val="00E8724C"/>
    <w:rsid w:val="00E87419"/>
    <w:rsid w:val="00E87A81"/>
    <w:rsid w:val="00E87DCB"/>
    <w:rsid w:val="00E9018D"/>
    <w:rsid w:val="00E9055A"/>
    <w:rsid w:val="00E9106E"/>
    <w:rsid w:val="00E91C6C"/>
    <w:rsid w:val="00E920EC"/>
    <w:rsid w:val="00E9217F"/>
    <w:rsid w:val="00E92A92"/>
    <w:rsid w:val="00E92FAE"/>
    <w:rsid w:val="00E93288"/>
    <w:rsid w:val="00E939B4"/>
    <w:rsid w:val="00E93BF5"/>
    <w:rsid w:val="00E93F71"/>
    <w:rsid w:val="00E942A9"/>
    <w:rsid w:val="00E943A1"/>
    <w:rsid w:val="00E94BAF"/>
    <w:rsid w:val="00E95063"/>
    <w:rsid w:val="00E9551F"/>
    <w:rsid w:val="00E957C5"/>
    <w:rsid w:val="00E959BD"/>
    <w:rsid w:val="00E95A6F"/>
    <w:rsid w:val="00E96328"/>
    <w:rsid w:val="00E96B6A"/>
    <w:rsid w:val="00E973B1"/>
    <w:rsid w:val="00E97440"/>
    <w:rsid w:val="00E97673"/>
    <w:rsid w:val="00E97C0A"/>
    <w:rsid w:val="00E97E8E"/>
    <w:rsid w:val="00EA0169"/>
    <w:rsid w:val="00EA0674"/>
    <w:rsid w:val="00EA09A1"/>
    <w:rsid w:val="00EA12E1"/>
    <w:rsid w:val="00EA17C9"/>
    <w:rsid w:val="00EA1AD9"/>
    <w:rsid w:val="00EA2177"/>
    <w:rsid w:val="00EA22FA"/>
    <w:rsid w:val="00EA2991"/>
    <w:rsid w:val="00EA3109"/>
    <w:rsid w:val="00EA347D"/>
    <w:rsid w:val="00EA350A"/>
    <w:rsid w:val="00EA356C"/>
    <w:rsid w:val="00EA45A3"/>
    <w:rsid w:val="00EA48CE"/>
    <w:rsid w:val="00EA4FF5"/>
    <w:rsid w:val="00EA52AA"/>
    <w:rsid w:val="00EA53E1"/>
    <w:rsid w:val="00EA5F5D"/>
    <w:rsid w:val="00EA629A"/>
    <w:rsid w:val="00EA6782"/>
    <w:rsid w:val="00EA6CB9"/>
    <w:rsid w:val="00EA6D39"/>
    <w:rsid w:val="00EA71A2"/>
    <w:rsid w:val="00EA7386"/>
    <w:rsid w:val="00EA7CB7"/>
    <w:rsid w:val="00EA7E87"/>
    <w:rsid w:val="00EA7FAD"/>
    <w:rsid w:val="00EB0299"/>
    <w:rsid w:val="00EB03CB"/>
    <w:rsid w:val="00EB0664"/>
    <w:rsid w:val="00EB0BD3"/>
    <w:rsid w:val="00EB0DEB"/>
    <w:rsid w:val="00EB11EE"/>
    <w:rsid w:val="00EB122D"/>
    <w:rsid w:val="00EB19A6"/>
    <w:rsid w:val="00EB19D3"/>
    <w:rsid w:val="00EB1B3F"/>
    <w:rsid w:val="00EB1F30"/>
    <w:rsid w:val="00EB2503"/>
    <w:rsid w:val="00EB2F80"/>
    <w:rsid w:val="00EB2FEB"/>
    <w:rsid w:val="00EB370B"/>
    <w:rsid w:val="00EB5195"/>
    <w:rsid w:val="00EB58DB"/>
    <w:rsid w:val="00EB5BA4"/>
    <w:rsid w:val="00EB5EAF"/>
    <w:rsid w:val="00EB622D"/>
    <w:rsid w:val="00EB65D3"/>
    <w:rsid w:val="00EB67A2"/>
    <w:rsid w:val="00EB6868"/>
    <w:rsid w:val="00EB70E9"/>
    <w:rsid w:val="00EB7165"/>
    <w:rsid w:val="00EB7D6E"/>
    <w:rsid w:val="00EB7E32"/>
    <w:rsid w:val="00EC086E"/>
    <w:rsid w:val="00EC0954"/>
    <w:rsid w:val="00EC0E30"/>
    <w:rsid w:val="00EC1A55"/>
    <w:rsid w:val="00EC1C6E"/>
    <w:rsid w:val="00EC2171"/>
    <w:rsid w:val="00EC253E"/>
    <w:rsid w:val="00EC25B0"/>
    <w:rsid w:val="00EC3046"/>
    <w:rsid w:val="00EC30EC"/>
    <w:rsid w:val="00EC34DE"/>
    <w:rsid w:val="00EC382B"/>
    <w:rsid w:val="00EC3D6D"/>
    <w:rsid w:val="00EC46EB"/>
    <w:rsid w:val="00EC49B7"/>
    <w:rsid w:val="00EC4A37"/>
    <w:rsid w:val="00EC4D6E"/>
    <w:rsid w:val="00EC4E4C"/>
    <w:rsid w:val="00EC5B0D"/>
    <w:rsid w:val="00EC6033"/>
    <w:rsid w:val="00EC60C9"/>
    <w:rsid w:val="00EC6174"/>
    <w:rsid w:val="00EC6299"/>
    <w:rsid w:val="00EC67AC"/>
    <w:rsid w:val="00EC6D75"/>
    <w:rsid w:val="00EC78F5"/>
    <w:rsid w:val="00EC7AA4"/>
    <w:rsid w:val="00EC7C2F"/>
    <w:rsid w:val="00ED016B"/>
    <w:rsid w:val="00ED02A0"/>
    <w:rsid w:val="00ED0564"/>
    <w:rsid w:val="00ED0922"/>
    <w:rsid w:val="00ED0E84"/>
    <w:rsid w:val="00ED0F92"/>
    <w:rsid w:val="00ED176C"/>
    <w:rsid w:val="00ED199A"/>
    <w:rsid w:val="00ED1ABA"/>
    <w:rsid w:val="00ED203F"/>
    <w:rsid w:val="00ED2B1B"/>
    <w:rsid w:val="00ED2EB7"/>
    <w:rsid w:val="00ED2ED1"/>
    <w:rsid w:val="00ED3084"/>
    <w:rsid w:val="00ED3226"/>
    <w:rsid w:val="00ED3703"/>
    <w:rsid w:val="00ED3789"/>
    <w:rsid w:val="00ED4874"/>
    <w:rsid w:val="00ED4B22"/>
    <w:rsid w:val="00ED5264"/>
    <w:rsid w:val="00ED55C6"/>
    <w:rsid w:val="00ED610A"/>
    <w:rsid w:val="00ED6C26"/>
    <w:rsid w:val="00ED6FA2"/>
    <w:rsid w:val="00ED7517"/>
    <w:rsid w:val="00ED75AD"/>
    <w:rsid w:val="00ED76A2"/>
    <w:rsid w:val="00ED7785"/>
    <w:rsid w:val="00ED78A8"/>
    <w:rsid w:val="00ED7AF9"/>
    <w:rsid w:val="00ED7B40"/>
    <w:rsid w:val="00ED7E91"/>
    <w:rsid w:val="00ED7FD3"/>
    <w:rsid w:val="00EE0596"/>
    <w:rsid w:val="00EE0E14"/>
    <w:rsid w:val="00EE10AB"/>
    <w:rsid w:val="00EE1A8C"/>
    <w:rsid w:val="00EE1BF4"/>
    <w:rsid w:val="00EE1D76"/>
    <w:rsid w:val="00EE2226"/>
    <w:rsid w:val="00EE2289"/>
    <w:rsid w:val="00EE2768"/>
    <w:rsid w:val="00EE2886"/>
    <w:rsid w:val="00EE2CDA"/>
    <w:rsid w:val="00EE2D8D"/>
    <w:rsid w:val="00EE35EF"/>
    <w:rsid w:val="00EE36EC"/>
    <w:rsid w:val="00EE397C"/>
    <w:rsid w:val="00EE3B5F"/>
    <w:rsid w:val="00EE3B6D"/>
    <w:rsid w:val="00EE3BEA"/>
    <w:rsid w:val="00EE4591"/>
    <w:rsid w:val="00EE46B6"/>
    <w:rsid w:val="00EE4724"/>
    <w:rsid w:val="00EE4A2F"/>
    <w:rsid w:val="00EE4A95"/>
    <w:rsid w:val="00EE4BCE"/>
    <w:rsid w:val="00EE4CE5"/>
    <w:rsid w:val="00EE5205"/>
    <w:rsid w:val="00EE57FA"/>
    <w:rsid w:val="00EE5D35"/>
    <w:rsid w:val="00EE5EAA"/>
    <w:rsid w:val="00EE61EB"/>
    <w:rsid w:val="00EE6B3A"/>
    <w:rsid w:val="00EE7345"/>
    <w:rsid w:val="00EE767F"/>
    <w:rsid w:val="00EE768D"/>
    <w:rsid w:val="00EE7859"/>
    <w:rsid w:val="00EF0883"/>
    <w:rsid w:val="00EF08FE"/>
    <w:rsid w:val="00EF12DA"/>
    <w:rsid w:val="00EF174D"/>
    <w:rsid w:val="00EF1B18"/>
    <w:rsid w:val="00EF1B39"/>
    <w:rsid w:val="00EF1B5F"/>
    <w:rsid w:val="00EF1E2B"/>
    <w:rsid w:val="00EF203C"/>
    <w:rsid w:val="00EF22AA"/>
    <w:rsid w:val="00EF25E6"/>
    <w:rsid w:val="00EF26D3"/>
    <w:rsid w:val="00EF2995"/>
    <w:rsid w:val="00EF2AB8"/>
    <w:rsid w:val="00EF30F6"/>
    <w:rsid w:val="00EF32C2"/>
    <w:rsid w:val="00EF370C"/>
    <w:rsid w:val="00EF392E"/>
    <w:rsid w:val="00EF3FB0"/>
    <w:rsid w:val="00EF43EE"/>
    <w:rsid w:val="00EF45D5"/>
    <w:rsid w:val="00EF462C"/>
    <w:rsid w:val="00EF4723"/>
    <w:rsid w:val="00EF4736"/>
    <w:rsid w:val="00EF4901"/>
    <w:rsid w:val="00EF50C9"/>
    <w:rsid w:val="00EF51F6"/>
    <w:rsid w:val="00EF53C8"/>
    <w:rsid w:val="00EF5D94"/>
    <w:rsid w:val="00EF66DE"/>
    <w:rsid w:val="00EF66E2"/>
    <w:rsid w:val="00EF687B"/>
    <w:rsid w:val="00EF7336"/>
    <w:rsid w:val="00EF78A5"/>
    <w:rsid w:val="00EF7994"/>
    <w:rsid w:val="00F00621"/>
    <w:rsid w:val="00F00716"/>
    <w:rsid w:val="00F00A82"/>
    <w:rsid w:val="00F00B0D"/>
    <w:rsid w:val="00F00C6C"/>
    <w:rsid w:val="00F00D6B"/>
    <w:rsid w:val="00F00DAD"/>
    <w:rsid w:val="00F01185"/>
    <w:rsid w:val="00F01479"/>
    <w:rsid w:val="00F01DE6"/>
    <w:rsid w:val="00F023B6"/>
    <w:rsid w:val="00F026FB"/>
    <w:rsid w:val="00F027AD"/>
    <w:rsid w:val="00F028A5"/>
    <w:rsid w:val="00F02E99"/>
    <w:rsid w:val="00F0307E"/>
    <w:rsid w:val="00F031EF"/>
    <w:rsid w:val="00F03A5E"/>
    <w:rsid w:val="00F04515"/>
    <w:rsid w:val="00F04B06"/>
    <w:rsid w:val="00F058A8"/>
    <w:rsid w:val="00F05B37"/>
    <w:rsid w:val="00F05E62"/>
    <w:rsid w:val="00F06400"/>
    <w:rsid w:val="00F06570"/>
    <w:rsid w:val="00F066CE"/>
    <w:rsid w:val="00F06746"/>
    <w:rsid w:val="00F06FF5"/>
    <w:rsid w:val="00F0711B"/>
    <w:rsid w:val="00F07253"/>
    <w:rsid w:val="00F076E3"/>
    <w:rsid w:val="00F07801"/>
    <w:rsid w:val="00F10853"/>
    <w:rsid w:val="00F108FD"/>
    <w:rsid w:val="00F10C90"/>
    <w:rsid w:val="00F111B0"/>
    <w:rsid w:val="00F112DC"/>
    <w:rsid w:val="00F11A98"/>
    <w:rsid w:val="00F11B61"/>
    <w:rsid w:val="00F1218E"/>
    <w:rsid w:val="00F12252"/>
    <w:rsid w:val="00F12719"/>
    <w:rsid w:val="00F127D1"/>
    <w:rsid w:val="00F134BC"/>
    <w:rsid w:val="00F13760"/>
    <w:rsid w:val="00F13989"/>
    <w:rsid w:val="00F13AFD"/>
    <w:rsid w:val="00F14273"/>
    <w:rsid w:val="00F159CC"/>
    <w:rsid w:val="00F15AC8"/>
    <w:rsid w:val="00F165F9"/>
    <w:rsid w:val="00F173B4"/>
    <w:rsid w:val="00F1761C"/>
    <w:rsid w:val="00F176ED"/>
    <w:rsid w:val="00F179F7"/>
    <w:rsid w:val="00F17A29"/>
    <w:rsid w:val="00F209FB"/>
    <w:rsid w:val="00F20EA8"/>
    <w:rsid w:val="00F20F1D"/>
    <w:rsid w:val="00F20FC9"/>
    <w:rsid w:val="00F21371"/>
    <w:rsid w:val="00F220D5"/>
    <w:rsid w:val="00F222C7"/>
    <w:rsid w:val="00F22745"/>
    <w:rsid w:val="00F22929"/>
    <w:rsid w:val="00F22D03"/>
    <w:rsid w:val="00F22E91"/>
    <w:rsid w:val="00F23794"/>
    <w:rsid w:val="00F238B6"/>
    <w:rsid w:val="00F245EB"/>
    <w:rsid w:val="00F2482A"/>
    <w:rsid w:val="00F24870"/>
    <w:rsid w:val="00F24959"/>
    <w:rsid w:val="00F25085"/>
    <w:rsid w:val="00F25420"/>
    <w:rsid w:val="00F2547D"/>
    <w:rsid w:val="00F25E97"/>
    <w:rsid w:val="00F26505"/>
    <w:rsid w:val="00F26C4F"/>
    <w:rsid w:val="00F2737E"/>
    <w:rsid w:val="00F27524"/>
    <w:rsid w:val="00F27E57"/>
    <w:rsid w:val="00F302BE"/>
    <w:rsid w:val="00F306E0"/>
    <w:rsid w:val="00F30EE4"/>
    <w:rsid w:val="00F317B8"/>
    <w:rsid w:val="00F31880"/>
    <w:rsid w:val="00F319E4"/>
    <w:rsid w:val="00F31C01"/>
    <w:rsid w:val="00F32047"/>
    <w:rsid w:val="00F328BA"/>
    <w:rsid w:val="00F329C8"/>
    <w:rsid w:val="00F32AF1"/>
    <w:rsid w:val="00F32D29"/>
    <w:rsid w:val="00F32FA7"/>
    <w:rsid w:val="00F33414"/>
    <w:rsid w:val="00F3373A"/>
    <w:rsid w:val="00F337B9"/>
    <w:rsid w:val="00F33D6F"/>
    <w:rsid w:val="00F33DC5"/>
    <w:rsid w:val="00F344BC"/>
    <w:rsid w:val="00F34519"/>
    <w:rsid w:val="00F348BE"/>
    <w:rsid w:val="00F34FED"/>
    <w:rsid w:val="00F3504A"/>
    <w:rsid w:val="00F35692"/>
    <w:rsid w:val="00F3573D"/>
    <w:rsid w:val="00F35851"/>
    <w:rsid w:val="00F35BAD"/>
    <w:rsid w:val="00F35BF2"/>
    <w:rsid w:val="00F364F6"/>
    <w:rsid w:val="00F36684"/>
    <w:rsid w:val="00F36E6B"/>
    <w:rsid w:val="00F37169"/>
    <w:rsid w:val="00F373F5"/>
    <w:rsid w:val="00F37691"/>
    <w:rsid w:val="00F376F0"/>
    <w:rsid w:val="00F378A3"/>
    <w:rsid w:val="00F40800"/>
    <w:rsid w:val="00F40FF3"/>
    <w:rsid w:val="00F41060"/>
    <w:rsid w:val="00F41AB0"/>
    <w:rsid w:val="00F42201"/>
    <w:rsid w:val="00F42D21"/>
    <w:rsid w:val="00F42F9C"/>
    <w:rsid w:val="00F43353"/>
    <w:rsid w:val="00F433C9"/>
    <w:rsid w:val="00F43DE9"/>
    <w:rsid w:val="00F43E61"/>
    <w:rsid w:val="00F445B7"/>
    <w:rsid w:val="00F4476A"/>
    <w:rsid w:val="00F45824"/>
    <w:rsid w:val="00F45BDD"/>
    <w:rsid w:val="00F461F2"/>
    <w:rsid w:val="00F46819"/>
    <w:rsid w:val="00F4688D"/>
    <w:rsid w:val="00F47563"/>
    <w:rsid w:val="00F47B55"/>
    <w:rsid w:val="00F5015D"/>
    <w:rsid w:val="00F50740"/>
    <w:rsid w:val="00F516F7"/>
    <w:rsid w:val="00F51CBA"/>
    <w:rsid w:val="00F521EB"/>
    <w:rsid w:val="00F5240B"/>
    <w:rsid w:val="00F52999"/>
    <w:rsid w:val="00F52C62"/>
    <w:rsid w:val="00F53368"/>
    <w:rsid w:val="00F535DC"/>
    <w:rsid w:val="00F5387A"/>
    <w:rsid w:val="00F538FA"/>
    <w:rsid w:val="00F53957"/>
    <w:rsid w:val="00F53D08"/>
    <w:rsid w:val="00F53E7F"/>
    <w:rsid w:val="00F544C4"/>
    <w:rsid w:val="00F546F9"/>
    <w:rsid w:val="00F5499A"/>
    <w:rsid w:val="00F5522D"/>
    <w:rsid w:val="00F555E2"/>
    <w:rsid w:val="00F55F8E"/>
    <w:rsid w:val="00F5675B"/>
    <w:rsid w:val="00F56A0F"/>
    <w:rsid w:val="00F56BC8"/>
    <w:rsid w:val="00F56FC9"/>
    <w:rsid w:val="00F5760F"/>
    <w:rsid w:val="00F578C1"/>
    <w:rsid w:val="00F579DF"/>
    <w:rsid w:val="00F60012"/>
    <w:rsid w:val="00F60326"/>
    <w:rsid w:val="00F603A9"/>
    <w:rsid w:val="00F60F35"/>
    <w:rsid w:val="00F6174D"/>
    <w:rsid w:val="00F634FF"/>
    <w:rsid w:val="00F63995"/>
    <w:rsid w:val="00F63BAC"/>
    <w:rsid w:val="00F63C35"/>
    <w:rsid w:val="00F63F2E"/>
    <w:rsid w:val="00F6414B"/>
    <w:rsid w:val="00F641A9"/>
    <w:rsid w:val="00F6424D"/>
    <w:rsid w:val="00F64D67"/>
    <w:rsid w:val="00F65B29"/>
    <w:rsid w:val="00F66340"/>
    <w:rsid w:val="00F66459"/>
    <w:rsid w:val="00F664A2"/>
    <w:rsid w:val="00F6652D"/>
    <w:rsid w:val="00F673E5"/>
    <w:rsid w:val="00F70191"/>
    <w:rsid w:val="00F705E7"/>
    <w:rsid w:val="00F70616"/>
    <w:rsid w:val="00F7140E"/>
    <w:rsid w:val="00F71564"/>
    <w:rsid w:val="00F7160A"/>
    <w:rsid w:val="00F717D3"/>
    <w:rsid w:val="00F726CE"/>
    <w:rsid w:val="00F72A95"/>
    <w:rsid w:val="00F73244"/>
    <w:rsid w:val="00F73610"/>
    <w:rsid w:val="00F736A4"/>
    <w:rsid w:val="00F736F4"/>
    <w:rsid w:val="00F73C13"/>
    <w:rsid w:val="00F73C47"/>
    <w:rsid w:val="00F743C7"/>
    <w:rsid w:val="00F7447E"/>
    <w:rsid w:val="00F748ED"/>
    <w:rsid w:val="00F74C19"/>
    <w:rsid w:val="00F758B7"/>
    <w:rsid w:val="00F75D6E"/>
    <w:rsid w:val="00F75E95"/>
    <w:rsid w:val="00F75EE6"/>
    <w:rsid w:val="00F75FE1"/>
    <w:rsid w:val="00F76046"/>
    <w:rsid w:val="00F7633C"/>
    <w:rsid w:val="00F76588"/>
    <w:rsid w:val="00F7675E"/>
    <w:rsid w:val="00F76900"/>
    <w:rsid w:val="00F76AA6"/>
    <w:rsid w:val="00F77029"/>
    <w:rsid w:val="00F77B56"/>
    <w:rsid w:val="00F77DD5"/>
    <w:rsid w:val="00F77E08"/>
    <w:rsid w:val="00F807D2"/>
    <w:rsid w:val="00F8084A"/>
    <w:rsid w:val="00F808AA"/>
    <w:rsid w:val="00F80CB6"/>
    <w:rsid w:val="00F80F16"/>
    <w:rsid w:val="00F81647"/>
    <w:rsid w:val="00F81C81"/>
    <w:rsid w:val="00F81EAE"/>
    <w:rsid w:val="00F83758"/>
    <w:rsid w:val="00F83FC0"/>
    <w:rsid w:val="00F844D0"/>
    <w:rsid w:val="00F84530"/>
    <w:rsid w:val="00F84566"/>
    <w:rsid w:val="00F85270"/>
    <w:rsid w:val="00F85389"/>
    <w:rsid w:val="00F85540"/>
    <w:rsid w:val="00F85C91"/>
    <w:rsid w:val="00F85F4A"/>
    <w:rsid w:val="00F85FB7"/>
    <w:rsid w:val="00F861BD"/>
    <w:rsid w:val="00F862CD"/>
    <w:rsid w:val="00F866A8"/>
    <w:rsid w:val="00F86D41"/>
    <w:rsid w:val="00F86E32"/>
    <w:rsid w:val="00F86E68"/>
    <w:rsid w:val="00F870D2"/>
    <w:rsid w:val="00F872BD"/>
    <w:rsid w:val="00F87840"/>
    <w:rsid w:val="00F87AE0"/>
    <w:rsid w:val="00F87BF8"/>
    <w:rsid w:val="00F904AD"/>
    <w:rsid w:val="00F90E7C"/>
    <w:rsid w:val="00F9114C"/>
    <w:rsid w:val="00F91747"/>
    <w:rsid w:val="00F91800"/>
    <w:rsid w:val="00F91B14"/>
    <w:rsid w:val="00F91F38"/>
    <w:rsid w:val="00F9203C"/>
    <w:rsid w:val="00F92B1B"/>
    <w:rsid w:val="00F92CB1"/>
    <w:rsid w:val="00F92D84"/>
    <w:rsid w:val="00F92F75"/>
    <w:rsid w:val="00F93309"/>
    <w:rsid w:val="00F93622"/>
    <w:rsid w:val="00F94147"/>
    <w:rsid w:val="00F9453F"/>
    <w:rsid w:val="00F94654"/>
    <w:rsid w:val="00F94E4A"/>
    <w:rsid w:val="00F95254"/>
    <w:rsid w:val="00F95FAB"/>
    <w:rsid w:val="00F96F84"/>
    <w:rsid w:val="00F96F9A"/>
    <w:rsid w:val="00F97027"/>
    <w:rsid w:val="00F97217"/>
    <w:rsid w:val="00FA0096"/>
    <w:rsid w:val="00FA00A2"/>
    <w:rsid w:val="00FA083F"/>
    <w:rsid w:val="00FA1169"/>
    <w:rsid w:val="00FA140B"/>
    <w:rsid w:val="00FA1F09"/>
    <w:rsid w:val="00FA23D7"/>
    <w:rsid w:val="00FA2B22"/>
    <w:rsid w:val="00FA3587"/>
    <w:rsid w:val="00FA35F8"/>
    <w:rsid w:val="00FA3CBA"/>
    <w:rsid w:val="00FA3EF0"/>
    <w:rsid w:val="00FA45F3"/>
    <w:rsid w:val="00FA4E5D"/>
    <w:rsid w:val="00FA57F7"/>
    <w:rsid w:val="00FA6091"/>
    <w:rsid w:val="00FA675E"/>
    <w:rsid w:val="00FA6A50"/>
    <w:rsid w:val="00FA6D3F"/>
    <w:rsid w:val="00FA7E21"/>
    <w:rsid w:val="00FB077B"/>
    <w:rsid w:val="00FB10B9"/>
    <w:rsid w:val="00FB17F5"/>
    <w:rsid w:val="00FB19B4"/>
    <w:rsid w:val="00FB1B7D"/>
    <w:rsid w:val="00FB1E02"/>
    <w:rsid w:val="00FB2353"/>
    <w:rsid w:val="00FB2503"/>
    <w:rsid w:val="00FB268A"/>
    <w:rsid w:val="00FB2EF3"/>
    <w:rsid w:val="00FB2FE5"/>
    <w:rsid w:val="00FB3234"/>
    <w:rsid w:val="00FB3645"/>
    <w:rsid w:val="00FB36B9"/>
    <w:rsid w:val="00FB3E96"/>
    <w:rsid w:val="00FB40EA"/>
    <w:rsid w:val="00FB5106"/>
    <w:rsid w:val="00FB5727"/>
    <w:rsid w:val="00FB57C5"/>
    <w:rsid w:val="00FB596C"/>
    <w:rsid w:val="00FB5C13"/>
    <w:rsid w:val="00FB5EEE"/>
    <w:rsid w:val="00FB5F1E"/>
    <w:rsid w:val="00FB66E6"/>
    <w:rsid w:val="00FB743F"/>
    <w:rsid w:val="00FB78D8"/>
    <w:rsid w:val="00FC01D4"/>
    <w:rsid w:val="00FC0311"/>
    <w:rsid w:val="00FC047D"/>
    <w:rsid w:val="00FC0900"/>
    <w:rsid w:val="00FC0C6D"/>
    <w:rsid w:val="00FC1357"/>
    <w:rsid w:val="00FC14D7"/>
    <w:rsid w:val="00FC173C"/>
    <w:rsid w:val="00FC1E62"/>
    <w:rsid w:val="00FC1EAA"/>
    <w:rsid w:val="00FC29B7"/>
    <w:rsid w:val="00FC32C6"/>
    <w:rsid w:val="00FC34E6"/>
    <w:rsid w:val="00FC3500"/>
    <w:rsid w:val="00FC3CFE"/>
    <w:rsid w:val="00FC429A"/>
    <w:rsid w:val="00FC4636"/>
    <w:rsid w:val="00FC4C1D"/>
    <w:rsid w:val="00FC5876"/>
    <w:rsid w:val="00FC5C75"/>
    <w:rsid w:val="00FC6132"/>
    <w:rsid w:val="00FC61C0"/>
    <w:rsid w:val="00FC68BF"/>
    <w:rsid w:val="00FC68C7"/>
    <w:rsid w:val="00FC691B"/>
    <w:rsid w:val="00FC72FD"/>
    <w:rsid w:val="00FC75E1"/>
    <w:rsid w:val="00FC77E8"/>
    <w:rsid w:val="00FC794D"/>
    <w:rsid w:val="00FD03F2"/>
    <w:rsid w:val="00FD03F6"/>
    <w:rsid w:val="00FD087F"/>
    <w:rsid w:val="00FD0D32"/>
    <w:rsid w:val="00FD13B6"/>
    <w:rsid w:val="00FD1838"/>
    <w:rsid w:val="00FD1C87"/>
    <w:rsid w:val="00FD2010"/>
    <w:rsid w:val="00FD214F"/>
    <w:rsid w:val="00FD255C"/>
    <w:rsid w:val="00FD3213"/>
    <w:rsid w:val="00FD39CC"/>
    <w:rsid w:val="00FD3C0A"/>
    <w:rsid w:val="00FD4357"/>
    <w:rsid w:val="00FD4512"/>
    <w:rsid w:val="00FD46AC"/>
    <w:rsid w:val="00FD4E32"/>
    <w:rsid w:val="00FD5248"/>
    <w:rsid w:val="00FD52DB"/>
    <w:rsid w:val="00FD5602"/>
    <w:rsid w:val="00FD59A0"/>
    <w:rsid w:val="00FD5D22"/>
    <w:rsid w:val="00FD5E8C"/>
    <w:rsid w:val="00FD6034"/>
    <w:rsid w:val="00FD618B"/>
    <w:rsid w:val="00FD6208"/>
    <w:rsid w:val="00FD6C2A"/>
    <w:rsid w:val="00FD6CA1"/>
    <w:rsid w:val="00FD6D8C"/>
    <w:rsid w:val="00FD6FD2"/>
    <w:rsid w:val="00FD7D15"/>
    <w:rsid w:val="00FD7F69"/>
    <w:rsid w:val="00FE01F9"/>
    <w:rsid w:val="00FE174D"/>
    <w:rsid w:val="00FE1CE7"/>
    <w:rsid w:val="00FE2410"/>
    <w:rsid w:val="00FE2771"/>
    <w:rsid w:val="00FE35CB"/>
    <w:rsid w:val="00FE43C4"/>
    <w:rsid w:val="00FE4630"/>
    <w:rsid w:val="00FE47F7"/>
    <w:rsid w:val="00FE5BE0"/>
    <w:rsid w:val="00FE5E99"/>
    <w:rsid w:val="00FE6649"/>
    <w:rsid w:val="00FE69EE"/>
    <w:rsid w:val="00FE720C"/>
    <w:rsid w:val="00FE72F0"/>
    <w:rsid w:val="00FE733F"/>
    <w:rsid w:val="00FE7C52"/>
    <w:rsid w:val="00FF0341"/>
    <w:rsid w:val="00FF05CF"/>
    <w:rsid w:val="00FF05EE"/>
    <w:rsid w:val="00FF0916"/>
    <w:rsid w:val="00FF0AF9"/>
    <w:rsid w:val="00FF0E8E"/>
    <w:rsid w:val="00FF1CA2"/>
    <w:rsid w:val="00FF2233"/>
    <w:rsid w:val="00FF2241"/>
    <w:rsid w:val="00FF2826"/>
    <w:rsid w:val="00FF2A15"/>
    <w:rsid w:val="00FF2D91"/>
    <w:rsid w:val="00FF314F"/>
    <w:rsid w:val="00FF31A2"/>
    <w:rsid w:val="00FF3923"/>
    <w:rsid w:val="00FF3AAD"/>
    <w:rsid w:val="00FF41A9"/>
    <w:rsid w:val="00FF49F9"/>
    <w:rsid w:val="00FF5163"/>
    <w:rsid w:val="00FF522D"/>
    <w:rsid w:val="00FF53A5"/>
    <w:rsid w:val="00FF5963"/>
    <w:rsid w:val="00FF5D0F"/>
    <w:rsid w:val="00FF5E9E"/>
    <w:rsid w:val="00FF5F37"/>
    <w:rsid w:val="00FF62B8"/>
    <w:rsid w:val="00FF62D0"/>
    <w:rsid w:val="00FF6898"/>
    <w:rsid w:val="00FF7D8B"/>
    <w:rsid w:val="00FF7FBC"/>
    <w:rsid w:val="01A0747F"/>
    <w:rsid w:val="01B774C3"/>
    <w:rsid w:val="01D41F8E"/>
    <w:rsid w:val="01D61587"/>
    <w:rsid w:val="01E70628"/>
    <w:rsid w:val="021274E9"/>
    <w:rsid w:val="02173E44"/>
    <w:rsid w:val="02296E92"/>
    <w:rsid w:val="02387F1A"/>
    <w:rsid w:val="024E01D2"/>
    <w:rsid w:val="024F7D9B"/>
    <w:rsid w:val="0254176E"/>
    <w:rsid w:val="02582674"/>
    <w:rsid w:val="026F0F7B"/>
    <w:rsid w:val="028D0FFE"/>
    <w:rsid w:val="029752F3"/>
    <w:rsid w:val="02F165C3"/>
    <w:rsid w:val="02F47FB9"/>
    <w:rsid w:val="02FB6034"/>
    <w:rsid w:val="02FD0DD7"/>
    <w:rsid w:val="031C6D65"/>
    <w:rsid w:val="0337256D"/>
    <w:rsid w:val="03446DEB"/>
    <w:rsid w:val="035D16BA"/>
    <w:rsid w:val="03885E3A"/>
    <w:rsid w:val="03894D9A"/>
    <w:rsid w:val="039900CE"/>
    <w:rsid w:val="03A34F3E"/>
    <w:rsid w:val="03A83F81"/>
    <w:rsid w:val="03F601D4"/>
    <w:rsid w:val="04014BEB"/>
    <w:rsid w:val="040556DD"/>
    <w:rsid w:val="0410030A"/>
    <w:rsid w:val="041E6CFF"/>
    <w:rsid w:val="043F474B"/>
    <w:rsid w:val="046B6861"/>
    <w:rsid w:val="046D209B"/>
    <w:rsid w:val="047C5270"/>
    <w:rsid w:val="048C23AE"/>
    <w:rsid w:val="04C13E2F"/>
    <w:rsid w:val="04CC080E"/>
    <w:rsid w:val="04F41C98"/>
    <w:rsid w:val="050F7D44"/>
    <w:rsid w:val="052676B9"/>
    <w:rsid w:val="05431346"/>
    <w:rsid w:val="055204AE"/>
    <w:rsid w:val="05597019"/>
    <w:rsid w:val="058C7E64"/>
    <w:rsid w:val="05930F60"/>
    <w:rsid w:val="05AA02C7"/>
    <w:rsid w:val="05BC41EC"/>
    <w:rsid w:val="05CE0393"/>
    <w:rsid w:val="05E231D2"/>
    <w:rsid w:val="05F45A09"/>
    <w:rsid w:val="060A2883"/>
    <w:rsid w:val="06142AC2"/>
    <w:rsid w:val="0621398A"/>
    <w:rsid w:val="06355981"/>
    <w:rsid w:val="06606BFB"/>
    <w:rsid w:val="066F5090"/>
    <w:rsid w:val="069A032B"/>
    <w:rsid w:val="06B74317"/>
    <w:rsid w:val="06F75BE6"/>
    <w:rsid w:val="074E3191"/>
    <w:rsid w:val="0762082B"/>
    <w:rsid w:val="076671F4"/>
    <w:rsid w:val="079565BE"/>
    <w:rsid w:val="07D541DF"/>
    <w:rsid w:val="07E55609"/>
    <w:rsid w:val="07EF4384"/>
    <w:rsid w:val="07F12DF8"/>
    <w:rsid w:val="07FC2953"/>
    <w:rsid w:val="08082208"/>
    <w:rsid w:val="0817778D"/>
    <w:rsid w:val="082700FE"/>
    <w:rsid w:val="083245C7"/>
    <w:rsid w:val="083A39A5"/>
    <w:rsid w:val="085079DB"/>
    <w:rsid w:val="0853614C"/>
    <w:rsid w:val="086409E1"/>
    <w:rsid w:val="086957C6"/>
    <w:rsid w:val="086C6773"/>
    <w:rsid w:val="087E6446"/>
    <w:rsid w:val="087F780C"/>
    <w:rsid w:val="08955E4B"/>
    <w:rsid w:val="08B374B6"/>
    <w:rsid w:val="08BE74A8"/>
    <w:rsid w:val="08C517FC"/>
    <w:rsid w:val="08CB1405"/>
    <w:rsid w:val="08D23DD5"/>
    <w:rsid w:val="08D6337E"/>
    <w:rsid w:val="08E56D01"/>
    <w:rsid w:val="090B4360"/>
    <w:rsid w:val="09154F02"/>
    <w:rsid w:val="09293C1C"/>
    <w:rsid w:val="092B7CD9"/>
    <w:rsid w:val="0948283D"/>
    <w:rsid w:val="0964444D"/>
    <w:rsid w:val="0986386C"/>
    <w:rsid w:val="09890093"/>
    <w:rsid w:val="09895915"/>
    <w:rsid w:val="09954E0D"/>
    <w:rsid w:val="09977F70"/>
    <w:rsid w:val="09A76922"/>
    <w:rsid w:val="09A92567"/>
    <w:rsid w:val="09A96898"/>
    <w:rsid w:val="09DC3F58"/>
    <w:rsid w:val="09F2400E"/>
    <w:rsid w:val="09FA2038"/>
    <w:rsid w:val="0A612B9C"/>
    <w:rsid w:val="0A73431A"/>
    <w:rsid w:val="0A761643"/>
    <w:rsid w:val="0A9035B4"/>
    <w:rsid w:val="0AB9325B"/>
    <w:rsid w:val="0AFF10EC"/>
    <w:rsid w:val="0B084E2D"/>
    <w:rsid w:val="0B21104E"/>
    <w:rsid w:val="0B24322F"/>
    <w:rsid w:val="0B2F3663"/>
    <w:rsid w:val="0B554854"/>
    <w:rsid w:val="0B6E5904"/>
    <w:rsid w:val="0BAD1079"/>
    <w:rsid w:val="0BB62F04"/>
    <w:rsid w:val="0BC160E5"/>
    <w:rsid w:val="0BCC273B"/>
    <w:rsid w:val="0C0753B5"/>
    <w:rsid w:val="0C1D2E29"/>
    <w:rsid w:val="0C2D1D39"/>
    <w:rsid w:val="0C3649B8"/>
    <w:rsid w:val="0C9360EA"/>
    <w:rsid w:val="0C946728"/>
    <w:rsid w:val="0CD60236"/>
    <w:rsid w:val="0CDB522D"/>
    <w:rsid w:val="0CE57E5A"/>
    <w:rsid w:val="0D0446AB"/>
    <w:rsid w:val="0D051DAE"/>
    <w:rsid w:val="0D067F13"/>
    <w:rsid w:val="0D1D77A3"/>
    <w:rsid w:val="0D414059"/>
    <w:rsid w:val="0D5871FF"/>
    <w:rsid w:val="0D9B051A"/>
    <w:rsid w:val="0DE100AF"/>
    <w:rsid w:val="0DEC09AB"/>
    <w:rsid w:val="0E1762BD"/>
    <w:rsid w:val="0E1F5989"/>
    <w:rsid w:val="0E3C619F"/>
    <w:rsid w:val="0EA536DC"/>
    <w:rsid w:val="0EAF0988"/>
    <w:rsid w:val="0EED46AC"/>
    <w:rsid w:val="0F144A26"/>
    <w:rsid w:val="0F2146A2"/>
    <w:rsid w:val="0F36240F"/>
    <w:rsid w:val="0F576FA6"/>
    <w:rsid w:val="0F9C6F6C"/>
    <w:rsid w:val="0FBC30F4"/>
    <w:rsid w:val="0FCB493A"/>
    <w:rsid w:val="0FCF473B"/>
    <w:rsid w:val="0FEC7889"/>
    <w:rsid w:val="10051277"/>
    <w:rsid w:val="10052376"/>
    <w:rsid w:val="10076492"/>
    <w:rsid w:val="102451DF"/>
    <w:rsid w:val="10452B6E"/>
    <w:rsid w:val="108C1361"/>
    <w:rsid w:val="109127D2"/>
    <w:rsid w:val="10A67755"/>
    <w:rsid w:val="10C06C14"/>
    <w:rsid w:val="10C826BB"/>
    <w:rsid w:val="1100110B"/>
    <w:rsid w:val="11095F7F"/>
    <w:rsid w:val="110C3C07"/>
    <w:rsid w:val="11496C09"/>
    <w:rsid w:val="115443D7"/>
    <w:rsid w:val="11897E69"/>
    <w:rsid w:val="11A24B73"/>
    <w:rsid w:val="11AF3DE2"/>
    <w:rsid w:val="11BB2EFC"/>
    <w:rsid w:val="11BE375B"/>
    <w:rsid w:val="11C86A2E"/>
    <w:rsid w:val="11D03EA1"/>
    <w:rsid w:val="11F34DC7"/>
    <w:rsid w:val="11F87C31"/>
    <w:rsid w:val="120A26DB"/>
    <w:rsid w:val="12174036"/>
    <w:rsid w:val="12255A9A"/>
    <w:rsid w:val="12381531"/>
    <w:rsid w:val="125540C0"/>
    <w:rsid w:val="127F5E43"/>
    <w:rsid w:val="12837EF9"/>
    <w:rsid w:val="128E5F11"/>
    <w:rsid w:val="12954540"/>
    <w:rsid w:val="12A73ACC"/>
    <w:rsid w:val="12B62F99"/>
    <w:rsid w:val="12B77396"/>
    <w:rsid w:val="12E67B4B"/>
    <w:rsid w:val="12E75C9C"/>
    <w:rsid w:val="12EF28C8"/>
    <w:rsid w:val="12FB4B4E"/>
    <w:rsid w:val="13077B91"/>
    <w:rsid w:val="130B0B2C"/>
    <w:rsid w:val="134B6768"/>
    <w:rsid w:val="13531FC1"/>
    <w:rsid w:val="13593C5D"/>
    <w:rsid w:val="13607EF2"/>
    <w:rsid w:val="137A57A0"/>
    <w:rsid w:val="137B15A5"/>
    <w:rsid w:val="13AE6CBF"/>
    <w:rsid w:val="13F76DF0"/>
    <w:rsid w:val="14056653"/>
    <w:rsid w:val="140908D1"/>
    <w:rsid w:val="148C2228"/>
    <w:rsid w:val="14960B06"/>
    <w:rsid w:val="149976D8"/>
    <w:rsid w:val="14A82C70"/>
    <w:rsid w:val="14B77C17"/>
    <w:rsid w:val="14D1541E"/>
    <w:rsid w:val="14D62494"/>
    <w:rsid w:val="14E33041"/>
    <w:rsid w:val="14FF0437"/>
    <w:rsid w:val="151D7478"/>
    <w:rsid w:val="152635A9"/>
    <w:rsid w:val="153B7362"/>
    <w:rsid w:val="155913E5"/>
    <w:rsid w:val="156B3D01"/>
    <w:rsid w:val="156C1118"/>
    <w:rsid w:val="15842905"/>
    <w:rsid w:val="15A642DA"/>
    <w:rsid w:val="15CC5E76"/>
    <w:rsid w:val="15D475C8"/>
    <w:rsid w:val="15D5461A"/>
    <w:rsid w:val="15EE4E0A"/>
    <w:rsid w:val="15F1786F"/>
    <w:rsid w:val="16190860"/>
    <w:rsid w:val="161C6BD8"/>
    <w:rsid w:val="16257519"/>
    <w:rsid w:val="16264BFF"/>
    <w:rsid w:val="166126B0"/>
    <w:rsid w:val="16662FAB"/>
    <w:rsid w:val="166B13D0"/>
    <w:rsid w:val="167146E5"/>
    <w:rsid w:val="1676676E"/>
    <w:rsid w:val="16777D34"/>
    <w:rsid w:val="168B2E73"/>
    <w:rsid w:val="16957A5F"/>
    <w:rsid w:val="16C14E3F"/>
    <w:rsid w:val="16CA2B64"/>
    <w:rsid w:val="16F5403D"/>
    <w:rsid w:val="170D0BA7"/>
    <w:rsid w:val="17133C6B"/>
    <w:rsid w:val="17147247"/>
    <w:rsid w:val="172D5800"/>
    <w:rsid w:val="17403A2D"/>
    <w:rsid w:val="174D4F79"/>
    <w:rsid w:val="176E2012"/>
    <w:rsid w:val="17854D80"/>
    <w:rsid w:val="178F7B2B"/>
    <w:rsid w:val="17980578"/>
    <w:rsid w:val="17982698"/>
    <w:rsid w:val="17A903A7"/>
    <w:rsid w:val="17BE14B0"/>
    <w:rsid w:val="17E57079"/>
    <w:rsid w:val="17F86D51"/>
    <w:rsid w:val="180872EF"/>
    <w:rsid w:val="180F49BD"/>
    <w:rsid w:val="183372F4"/>
    <w:rsid w:val="1852316F"/>
    <w:rsid w:val="18525DAB"/>
    <w:rsid w:val="185A3DE5"/>
    <w:rsid w:val="187173BB"/>
    <w:rsid w:val="18836FB9"/>
    <w:rsid w:val="18A6422A"/>
    <w:rsid w:val="18AC6543"/>
    <w:rsid w:val="18AF7746"/>
    <w:rsid w:val="18C43019"/>
    <w:rsid w:val="18C96881"/>
    <w:rsid w:val="18DD3D8A"/>
    <w:rsid w:val="18F60F08"/>
    <w:rsid w:val="18FD25A3"/>
    <w:rsid w:val="191531A9"/>
    <w:rsid w:val="193843EA"/>
    <w:rsid w:val="19432BAB"/>
    <w:rsid w:val="19570357"/>
    <w:rsid w:val="19617931"/>
    <w:rsid w:val="196B55FC"/>
    <w:rsid w:val="1978264F"/>
    <w:rsid w:val="19852763"/>
    <w:rsid w:val="19C654D8"/>
    <w:rsid w:val="19CA3573"/>
    <w:rsid w:val="19E74BB9"/>
    <w:rsid w:val="19FF6A9D"/>
    <w:rsid w:val="1A051914"/>
    <w:rsid w:val="1A051D36"/>
    <w:rsid w:val="1A2B77F4"/>
    <w:rsid w:val="1A8B59AE"/>
    <w:rsid w:val="1A9944A2"/>
    <w:rsid w:val="1B111496"/>
    <w:rsid w:val="1B1F6B85"/>
    <w:rsid w:val="1B3B1CD0"/>
    <w:rsid w:val="1B595C49"/>
    <w:rsid w:val="1B5C6E2F"/>
    <w:rsid w:val="1B8E57F6"/>
    <w:rsid w:val="1BA20CBE"/>
    <w:rsid w:val="1BA25AE0"/>
    <w:rsid w:val="1BAA7A82"/>
    <w:rsid w:val="1BAB6E96"/>
    <w:rsid w:val="1BB51189"/>
    <w:rsid w:val="1BBC59BC"/>
    <w:rsid w:val="1BBC5CFE"/>
    <w:rsid w:val="1BCB731C"/>
    <w:rsid w:val="1BE22134"/>
    <w:rsid w:val="1BFF0C9B"/>
    <w:rsid w:val="1C0E21C3"/>
    <w:rsid w:val="1C163099"/>
    <w:rsid w:val="1C46575F"/>
    <w:rsid w:val="1C606022"/>
    <w:rsid w:val="1C6345B0"/>
    <w:rsid w:val="1C843663"/>
    <w:rsid w:val="1CB75184"/>
    <w:rsid w:val="1CCA40FF"/>
    <w:rsid w:val="1CD12885"/>
    <w:rsid w:val="1CD336FB"/>
    <w:rsid w:val="1CEE2D5A"/>
    <w:rsid w:val="1CF9EE55"/>
    <w:rsid w:val="1D0562F3"/>
    <w:rsid w:val="1D295CC9"/>
    <w:rsid w:val="1D2A7A3D"/>
    <w:rsid w:val="1D632E00"/>
    <w:rsid w:val="1D6615C5"/>
    <w:rsid w:val="1D677683"/>
    <w:rsid w:val="1D784E9F"/>
    <w:rsid w:val="1D8C528F"/>
    <w:rsid w:val="1D9C6312"/>
    <w:rsid w:val="1DA17DCD"/>
    <w:rsid w:val="1DD8707A"/>
    <w:rsid w:val="1DDB2989"/>
    <w:rsid w:val="1E05354A"/>
    <w:rsid w:val="1E1E4F79"/>
    <w:rsid w:val="1E2025D4"/>
    <w:rsid w:val="1E2F367A"/>
    <w:rsid w:val="1E3A6BF7"/>
    <w:rsid w:val="1E57048B"/>
    <w:rsid w:val="1E601A36"/>
    <w:rsid w:val="1E9903C1"/>
    <w:rsid w:val="1E9B2A6E"/>
    <w:rsid w:val="1EB83620"/>
    <w:rsid w:val="1EB8717C"/>
    <w:rsid w:val="1EC27FFB"/>
    <w:rsid w:val="1EE62E57"/>
    <w:rsid w:val="1EE80EB4"/>
    <w:rsid w:val="1EE84958"/>
    <w:rsid w:val="1EFB2E46"/>
    <w:rsid w:val="1EFC7F6C"/>
    <w:rsid w:val="1EFF4DAB"/>
    <w:rsid w:val="1F237A2C"/>
    <w:rsid w:val="1F325A2A"/>
    <w:rsid w:val="1F545126"/>
    <w:rsid w:val="1F562E7D"/>
    <w:rsid w:val="1F911001"/>
    <w:rsid w:val="20022342"/>
    <w:rsid w:val="201A1D7E"/>
    <w:rsid w:val="2021768B"/>
    <w:rsid w:val="20343B15"/>
    <w:rsid w:val="204704D7"/>
    <w:rsid w:val="20483625"/>
    <w:rsid w:val="20671527"/>
    <w:rsid w:val="208D07F5"/>
    <w:rsid w:val="209A19EE"/>
    <w:rsid w:val="20BA3D2B"/>
    <w:rsid w:val="20BB0A85"/>
    <w:rsid w:val="20C1627B"/>
    <w:rsid w:val="20D3029D"/>
    <w:rsid w:val="20DE6EB0"/>
    <w:rsid w:val="20E33655"/>
    <w:rsid w:val="20F23844"/>
    <w:rsid w:val="214E44EB"/>
    <w:rsid w:val="21812D8B"/>
    <w:rsid w:val="21967682"/>
    <w:rsid w:val="21AC73AC"/>
    <w:rsid w:val="21C2780F"/>
    <w:rsid w:val="21D94D88"/>
    <w:rsid w:val="21DC36A2"/>
    <w:rsid w:val="225C4F4D"/>
    <w:rsid w:val="228A746B"/>
    <w:rsid w:val="22B44914"/>
    <w:rsid w:val="22C32593"/>
    <w:rsid w:val="232C7B0A"/>
    <w:rsid w:val="233A0AA7"/>
    <w:rsid w:val="23476726"/>
    <w:rsid w:val="23503396"/>
    <w:rsid w:val="23515E92"/>
    <w:rsid w:val="23695B34"/>
    <w:rsid w:val="237C649E"/>
    <w:rsid w:val="238251B5"/>
    <w:rsid w:val="23AE0B4E"/>
    <w:rsid w:val="23CC6444"/>
    <w:rsid w:val="23D87F3B"/>
    <w:rsid w:val="23DB772F"/>
    <w:rsid w:val="23E704BC"/>
    <w:rsid w:val="23F12F6A"/>
    <w:rsid w:val="24075646"/>
    <w:rsid w:val="24132E2B"/>
    <w:rsid w:val="241F6D73"/>
    <w:rsid w:val="24312345"/>
    <w:rsid w:val="243F522A"/>
    <w:rsid w:val="245722DF"/>
    <w:rsid w:val="245E3263"/>
    <w:rsid w:val="24622C3D"/>
    <w:rsid w:val="248141B6"/>
    <w:rsid w:val="24904744"/>
    <w:rsid w:val="24AA17D6"/>
    <w:rsid w:val="24AD71CF"/>
    <w:rsid w:val="24CA7284"/>
    <w:rsid w:val="24FC5D47"/>
    <w:rsid w:val="25003FEA"/>
    <w:rsid w:val="25015F30"/>
    <w:rsid w:val="251D04BB"/>
    <w:rsid w:val="25315642"/>
    <w:rsid w:val="2538304D"/>
    <w:rsid w:val="253B5274"/>
    <w:rsid w:val="256C76E3"/>
    <w:rsid w:val="25975CB1"/>
    <w:rsid w:val="26061F69"/>
    <w:rsid w:val="262B7D98"/>
    <w:rsid w:val="264B6199"/>
    <w:rsid w:val="266B7BB8"/>
    <w:rsid w:val="26843894"/>
    <w:rsid w:val="26990D7F"/>
    <w:rsid w:val="26C87073"/>
    <w:rsid w:val="26CF4156"/>
    <w:rsid w:val="26DC7E2B"/>
    <w:rsid w:val="26ED7BDF"/>
    <w:rsid w:val="26F64CE5"/>
    <w:rsid w:val="27193577"/>
    <w:rsid w:val="273E6E8E"/>
    <w:rsid w:val="27612DE0"/>
    <w:rsid w:val="27693709"/>
    <w:rsid w:val="276A6865"/>
    <w:rsid w:val="277B777E"/>
    <w:rsid w:val="278D305D"/>
    <w:rsid w:val="279664C8"/>
    <w:rsid w:val="27A42826"/>
    <w:rsid w:val="27C57072"/>
    <w:rsid w:val="27E96B77"/>
    <w:rsid w:val="282F5468"/>
    <w:rsid w:val="28340ADE"/>
    <w:rsid w:val="283863B8"/>
    <w:rsid w:val="283E2D0B"/>
    <w:rsid w:val="28520641"/>
    <w:rsid w:val="285F0662"/>
    <w:rsid w:val="2870351C"/>
    <w:rsid w:val="28724840"/>
    <w:rsid w:val="287E735B"/>
    <w:rsid w:val="28807782"/>
    <w:rsid w:val="28BD2691"/>
    <w:rsid w:val="28C6033D"/>
    <w:rsid w:val="28C72359"/>
    <w:rsid w:val="2904221D"/>
    <w:rsid w:val="290F3E97"/>
    <w:rsid w:val="2925141C"/>
    <w:rsid w:val="29531C14"/>
    <w:rsid w:val="296028EA"/>
    <w:rsid w:val="2967329F"/>
    <w:rsid w:val="29767BA6"/>
    <w:rsid w:val="29CA2459"/>
    <w:rsid w:val="2A014F57"/>
    <w:rsid w:val="2A10534E"/>
    <w:rsid w:val="2A2F72AC"/>
    <w:rsid w:val="2A497822"/>
    <w:rsid w:val="2A5C5B29"/>
    <w:rsid w:val="2A8B511A"/>
    <w:rsid w:val="2AB71696"/>
    <w:rsid w:val="2AC84BEB"/>
    <w:rsid w:val="2AD35D99"/>
    <w:rsid w:val="2B230073"/>
    <w:rsid w:val="2B2C12DD"/>
    <w:rsid w:val="2B3E30F5"/>
    <w:rsid w:val="2B3E6C5B"/>
    <w:rsid w:val="2B71459F"/>
    <w:rsid w:val="2B782796"/>
    <w:rsid w:val="2B7C0995"/>
    <w:rsid w:val="2B8E7BE2"/>
    <w:rsid w:val="2BA45D44"/>
    <w:rsid w:val="2BAA6270"/>
    <w:rsid w:val="2BC1653F"/>
    <w:rsid w:val="2BE15ADC"/>
    <w:rsid w:val="2BEF2A12"/>
    <w:rsid w:val="2C0E585C"/>
    <w:rsid w:val="2C2005C5"/>
    <w:rsid w:val="2C2556DE"/>
    <w:rsid w:val="2C271DE5"/>
    <w:rsid w:val="2C2B72CE"/>
    <w:rsid w:val="2C343236"/>
    <w:rsid w:val="2C526221"/>
    <w:rsid w:val="2CD87DDA"/>
    <w:rsid w:val="2D435B28"/>
    <w:rsid w:val="2D8A6EB0"/>
    <w:rsid w:val="2D93469F"/>
    <w:rsid w:val="2DBA23A6"/>
    <w:rsid w:val="2DCE6691"/>
    <w:rsid w:val="2E0750A7"/>
    <w:rsid w:val="2E10478B"/>
    <w:rsid w:val="2E254C11"/>
    <w:rsid w:val="2E2E56A6"/>
    <w:rsid w:val="2E4A49F6"/>
    <w:rsid w:val="2E50044E"/>
    <w:rsid w:val="2E585394"/>
    <w:rsid w:val="2E6F3260"/>
    <w:rsid w:val="2E7864D4"/>
    <w:rsid w:val="2E7D4A33"/>
    <w:rsid w:val="2E806298"/>
    <w:rsid w:val="2E9943D7"/>
    <w:rsid w:val="2EB13FF9"/>
    <w:rsid w:val="2EB323E6"/>
    <w:rsid w:val="2ECE1D23"/>
    <w:rsid w:val="2EFB6782"/>
    <w:rsid w:val="2F0A3A24"/>
    <w:rsid w:val="2F29371E"/>
    <w:rsid w:val="2F2A1099"/>
    <w:rsid w:val="2F2A5E74"/>
    <w:rsid w:val="2F38420A"/>
    <w:rsid w:val="2F472D94"/>
    <w:rsid w:val="2F481EEE"/>
    <w:rsid w:val="2F48472F"/>
    <w:rsid w:val="2F576ABE"/>
    <w:rsid w:val="2F60083F"/>
    <w:rsid w:val="2F7361D1"/>
    <w:rsid w:val="2F7F6702"/>
    <w:rsid w:val="2F945097"/>
    <w:rsid w:val="2FB2256D"/>
    <w:rsid w:val="2FBD0128"/>
    <w:rsid w:val="2FE26390"/>
    <w:rsid w:val="301F34FF"/>
    <w:rsid w:val="303A409D"/>
    <w:rsid w:val="304D4C82"/>
    <w:rsid w:val="30874C00"/>
    <w:rsid w:val="30C91DAD"/>
    <w:rsid w:val="30D36097"/>
    <w:rsid w:val="30E21348"/>
    <w:rsid w:val="310C01BE"/>
    <w:rsid w:val="310D4304"/>
    <w:rsid w:val="3114220A"/>
    <w:rsid w:val="312B1A2F"/>
    <w:rsid w:val="313A7EC4"/>
    <w:rsid w:val="31554CFE"/>
    <w:rsid w:val="31627812"/>
    <w:rsid w:val="31A31F0E"/>
    <w:rsid w:val="31B85C84"/>
    <w:rsid w:val="31BE51F0"/>
    <w:rsid w:val="31E3230A"/>
    <w:rsid w:val="32230283"/>
    <w:rsid w:val="3237566E"/>
    <w:rsid w:val="325154C6"/>
    <w:rsid w:val="325B163C"/>
    <w:rsid w:val="326E583A"/>
    <w:rsid w:val="328A012F"/>
    <w:rsid w:val="32B042E9"/>
    <w:rsid w:val="32BB262E"/>
    <w:rsid w:val="32D00AE0"/>
    <w:rsid w:val="33950764"/>
    <w:rsid w:val="33AD4F75"/>
    <w:rsid w:val="33D21252"/>
    <w:rsid w:val="33D74EDB"/>
    <w:rsid w:val="33EF32DC"/>
    <w:rsid w:val="3469585D"/>
    <w:rsid w:val="34706799"/>
    <w:rsid w:val="348B6894"/>
    <w:rsid w:val="34A92D27"/>
    <w:rsid w:val="34D67F04"/>
    <w:rsid w:val="34D82887"/>
    <w:rsid w:val="34DF4A55"/>
    <w:rsid w:val="34E31ABC"/>
    <w:rsid w:val="34F65359"/>
    <w:rsid w:val="3518051D"/>
    <w:rsid w:val="35432E04"/>
    <w:rsid w:val="354E5FAE"/>
    <w:rsid w:val="35655FBC"/>
    <w:rsid w:val="357F5525"/>
    <w:rsid w:val="359A26A9"/>
    <w:rsid w:val="359B01D2"/>
    <w:rsid w:val="35AD0BAE"/>
    <w:rsid w:val="35CB37E1"/>
    <w:rsid w:val="35E6554C"/>
    <w:rsid w:val="35F946C6"/>
    <w:rsid w:val="36034D29"/>
    <w:rsid w:val="361E3082"/>
    <w:rsid w:val="362C2244"/>
    <w:rsid w:val="36581519"/>
    <w:rsid w:val="366C457A"/>
    <w:rsid w:val="36700CF5"/>
    <w:rsid w:val="367D0243"/>
    <w:rsid w:val="36BD3B99"/>
    <w:rsid w:val="36C87DF6"/>
    <w:rsid w:val="36FA3022"/>
    <w:rsid w:val="370A1B09"/>
    <w:rsid w:val="37211741"/>
    <w:rsid w:val="37620175"/>
    <w:rsid w:val="377D1237"/>
    <w:rsid w:val="378105FB"/>
    <w:rsid w:val="378647CE"/>
    <w:rsid w:val="37893885"/>
    <w:rsid w:val="37AE02C1"/>
    <w:rsid w:val="37B07132"/>
    <w:rsid w:val="37CA2EA3"/>
    <w:rsid w:val="37D4582A"/>
    <w:rsid w:val="37D8070F"/>
    <w:rsid w:val="37DE5DE3"/>
    <w:rsid w:val="37FA28FE"/>
    <w:rsid w:val="380824B8"/>
    <w:rsid w:val="382835A3"/>
    <w:rsid w:val="383B091F"/>
    <w:rsid w:val="38407470"/>
    <w:rsid w:val="38902E12"/>
    <w:rsid w:val="38A40BD0"/>
    <w:rsid w:val="38E001DD"/>
    <w:rsid w:val="38F00167"/>
    <w:rsid w:val="38F2668B"/>
    <w:rsid w:val="38F72BA2"/>
    <w:rsid w:val="39061B59"/>
    <w:rsid w:val="390D31AD"/>
    <w:rsid w:val="3910454F"/>
    <w:rsid w:val="3914724D"/>
    <w:rsid w:val="392C0A3B"/>
    <w:rsid w:val="3940520F"/>
    <w:rsid w:val="398B428A"/>
    <w:rsid w:val="39A0027A"/>
    <w:rsid w:val="39CE0F19"/>
    <w:rsid w:val="39DB7DFF"/>
    <w:rsid w:val="39E3237D"/>
    <w:rsid w:val="39F03273"/>
    <w:rsid w:val="39F66FFF"/>
    <w:rsid w:val="3A0D27AF"/>
    <w:rsid w:val="3A29536F"/>
    <w:rsid w:val="3A3C23E6"/>
    <w:rsid w:val="3A692F90"/>
    <w:rsid w:val="3A862EBC"/>
    <w:rsid w:val="3AC247B0"/>
    <w:rsid w:val="3ACA22B9"/>
    <w:rsid w:val="3AD17B00"/>
    <w:rsid w:val="3B037FE6"/>
    <w:rsid w:val="3B1D0F20"/>
    <w:rsid w:val="3B221F66"/>
    <w:rsid w:val="3B2640A1"/>
    <w:rsid w:val="3B463501"/>
    <w:rsid w:val="3B540D19"/>
    <w:rsid w:val="3B5A363D"/>
    <w:rsid w:val="3B702C91"/>
    <w:rsid w:val="3BD01B51"/>
    <w:rsid w:val="3BDE0165"/>
    <w:rsid w:val="3BDF6B38"/>
    <w:rsid w:val="3BE37BA5"/>
    <w:rsid w:val="3BFD3F11"/>
    <w:rsid w:val="3C056A1C"/>
    <w:rsid w:val="3C1073AE"/>
    <w:rsid w:val="3C456BCC"/>
    <w:rsid w:val="3C6711BC"/>
    <w:rsid w:val="3C9C1235"/>
    <w:rsid w:val="3C9E3579"/>
    <w:rsid w:val="3D006466"/>
    <w:rsid w:val="3D134D19"/>
    <w:rsid w:val="3D20636B"/>
    <w:rsid w:val="3D344AB1"/>
    <w:rsid w:val="3D392151"/>
    <w:rsid w:val="3D40106E"/>
    <w:rsid w:val="3D43423C"/>
    <w:rsid w:val="3D666326"/>
    <w:rsid w:val="3D6D63DD"/>
    <w:rsid w:val="3D93187D"/>
    <w:rsid w:val="3DA9596F"/>
    <w:rsid w:val="3DD50C28"/>
    <w:rsid w:val="3DE418E4"/>
    <w:rsid w:val="3DF55644"/>
    <w:rsid w:val="3E0819A1"/>
    <w:rsid w:val="3E3713C5"/>
    <w:rsid w:val="3E3F2FBE"/>
    <w:rsid w:val="3E8E1B9F"/>
    <w:rsid w:val="3E903218"/>
    <w:rsid w:val="3E9F1EEC"/>
    <w:rsid w:val="3EB50B56"/>
    <w:rsid w:val="3EB535CE"/>
    <w:rsid w:val="3EB95B5E"/>
    <w:rsid w:val="3EC634DB"/>
    <w:rsid w:val="3EC81855"/>
    <w:rsid w:val="3EDC4F64"/>
    <w:rsid w:val="3EE308DF"/>
    <w:rsid w:val="3EF16691"/>
    <w:rsid w:val="3F1B0928"/>
    <w:rsid w:val="3F1D26C8"/>
    <w:rsid w:val="3F1E7E29"/>
    <w:rsid w:val="3F227FDB"/>
    <w:rsid w:val="3F6761F2"/>
    <w:rsid w:val="3F7B1B35"/>
    <w:rsid w:val="3F9961A1"/>
    <w:rsid w:val="3FB94B87"/>
    <w:rsid w:val="3FCF4F5D"/>
    <w:rsid w:val="3FEE186B"/>
    <w:rsid w:val="3FEFC0C2"/>
    <w:rsid w:val="404562F8"/>
    <w:rsid w:val="40493C80"/>
    <w:rsid w:val="40510C92"/>
    <w:rsid w:val="407D6CFF"/>
    <w:rsid w:val="40885313"/>
    <w:rsid w:val="40A42481"/>
    <w:rsid w:val="40A433D3"/>
    <w:rsid w:val="40A83D42"/>
    <w:rsid w:val="40C513AE"/>
    <w:rsid w:val="40C6487A"/>
    <w:rsid w:val="40CF7C17"/>
    <w:rsid w:val="40F601C2"/>
    <w:rsid w:val="41162544"/>
    <w:rsid w:val="41194718"/>
    <w:rsid w:val="4134048C"/>
    <w:rsid w:val="416B4D00"/>
    <w:rsid w:val="418A09F4"/>
    <w:rsid w:val="419A4FFF"/>
    <w:rsid w:val="41CB3D42"/>
    <w:rsid w:val="41E4739F"/>
    <w:rsid w:val="41F11974"/>
    <w:rsid w:val="420252EF"/>
    <w:rsid w:val="42075A7C"/>
    <w:rsid w:val="420B732F"/>
    <w:rsid w:val="427A284E"/>
    <w:rsid w:val="42A37110"/>
    <w:rsid w:val="42BC1A5F"/>
    <w:rsid w:val="42E1384A"/>
    <w:rsid w:val="42EA48FB"/>
    <w:rsid w:val="42F04D9A"/>
    <w:rsid w:val="430D368B"/>
    <w:rsid w:val="431A34CE"/>
    <w:rsid w:val="4342308A"/>
    <w:rsid w:val="435F3A89"/>
    <w:rsid w:val="43616284"/>
    <w:rsid w:val="438E3225"/>
    <w:rsid w:val="43991ED9"/>
    <w:rsid w:val="43AD30F7"/>
    <w:rsid w:val="43D55A29"/>
    <w:rsid w:val="4434416F"/>
    <w:rsid w:val="44627331"/>
    <w:rsid w:val="44656B8B"/>
    <w:rsid w:val="447223E1"/>
    <w:rsid w:val="44B23E5B"/>
    <w:rsid w:val="44C20CBC"/>
    <w:rsid w:val="44D04970"/>
    <w:rsid w:val="44DC7B28"/>
    <w:rsid w:val="44F24137"/>
    <w:rsid w:val="44FF0DB1"/>
    <w:rsid w:val="4514059C"/>
    <w:rsid w:val="451A18E2"/>
    <w:rsid w:val="454A4EB2"/>
    <w:rsid w:val="454A7F1D"/>
    <w:rsid w:val="455C1606"/>
    <w:rsid w:val="457C0A20"/>
    <w:rsid w:val="45881867"/>
    <w:rsid w:val="45883B2F"/>
    <w:rsid w:val="45990BC4"/>
    <w:rsid w:val="45A02970"/>
    <w:rsid w:val="45FE6B13"/>
    <w:rsid w:val="46052D96"/>
    <w:rsid w:val="4627627C"/>
    <w:rsid w:val="463079E8"/>
    <w:rsid w:val="46314037"/>
    <w:rsid w:val="464253F9"/>
    <w:rsid w:val="4645225B"/>
    <w:rsid w:val="464700B4"/>
    <w:rsid w:val="46590D91"/>
    <w:rsid w:val="46A90BA1"/>
    <w:rsid w:val="46D02A3C"/>
    <w:rsid w:val="46D77B1F"/>
    <w:rsid w:val="46DD27F6"/>
    <w:rsid w:val="46E03D73"/>
    <w:rsid w:val="46F61B19"/>
    <w:rsid w:val="47072698"/>
    <w:rsid w:val="472D3210"/>
    <w:rsid w:val="473B4899"/>
    <w:rsid w:val="4770243A"/>
    <w:rsid w:val="47881532"/>
    <w:rsid w:val="47911F84"/>
    <w:rsid w:val="47954DD6"/>
    <w:rsid w:val="479B6129"/>
    <w:rsid w:val="47A70244"/>
    <w:rsid w:val="47B6609F"/>
    <w:rsid w:val="47B7347A"/>
    <w:rsid w:val="47E121F0"/>
    <w:rsid w:val="47FC4FFD"/>
    <w:rsid w:val="480B0B8F"/>
    <w:rsid w:val="48284AC3"/>
    <w:rsid w:val="482D3CA1"/>
    <w:rsid w:val="48337D15"/>
    <w:rsid w:val="483D48E8"/>
    <w:rsid w:val="48817EC1"/>
    <w:rsid w:val="48A015A8"/>
    <w:rsid w:val="48E47A0E"/>
    <w:rsid w:val="49027C05"/>
    <w:rsid w:val="490A6F92"/>
    <w:rsid w:val="491D4A8C"/>
    <w:rsid w:val="492B03C7"/>
    <w:rsid w:val="493B2DAA"/>
    <w:rsid w:val="496B2333"/>
    <w:rsid w:val="4985449E"/>
    <w:rsid w:val="49943597"/>
    <w:rsid w:val="49B61223"/>
    <w:rsid w:val="49BA01BC"/>
    <w:rsid w:val="49BC5EAC"/>
    <w:rsid w:val="4A075D28"/>
    <w:rsid w:val="4A0F50FD"/>
    <w:rsid w:val="4A1E18DE"/>
    <w:rsid w:val="4A201B4B"/>
    <w:rsid w:val="4A250945"/>
    <w:rsid w:val="4A2537F2"/>
    <w:rsid w:val="4A2864D3"/>
    <w:rsid w:val="4A336F73"/>
    <w:rsid w:val="4A454E53"/>
    <w:rsid w:val="4A4859F2"/>
    <w:rsid w:val="4A5A29E8"/>
    <w:rsid w:val="4A635606"/>
    <w:rsid w:val="4A7D2790"/>
    <w:rsid w:val="4A9202BB"/>
    <w:rsid w:val="4AA14330"/>
    <w:rsid w:val="4AA94464"/>
    <w:rsid w:val="4AB9214D"/>
    <w:rsid w:val="4AF45C50"/>
    <w:rsid w:val="4B11413D"/>
    <w:rsid w:val="4B2E3DF1"/>
    <w:rsid w:val="4B3F05A3"/>
    <w:rsid w:val="4B4D4E7F"/>
    <w:rsid w:val="4B7950B2"/>
    <w:rsid w:val="4B87636F"/>
    <w:rsid w:val="4BB37E22"/>
    <w:rsid w:val="4BB57B77"/>
    <w:rsid w:val="4BBC7DCE"/>
    <w:rsid w:val="4BCE0FE4"/>
    <w:rsid w:val="4BDE777A"/>
    <w:rsid w:val="4BFC25C2"/>
    <w:rsid w:val="4C2D6425"/>
    <w:rsid w:val="4CAD3F26"/>
    <w:rsid w:val="4CB172A8"/>
    <w:rsid w:val="4CC02244"/>
    <w:rsid w:val="4CCF40BA"/>
    <w:rsid w:val="4CDE1F53"/>
    <w:rsid w:val="4D0130DA"/>
    <w:rsid w:val="4D0820D1"/>
    <w:rsid w:val="4D433C60"/>
    <w:rsid w:val="4D616AAD"/>
    <w:rsid w:val="4D88228C"/>
    <w:rsid w:val="4D961944"/>
    <w:rsid w:val="4D98627C"/>
    <w:rsid w:val="4DEA60BF"/>
    <w:rsid w:val="4DEF40B9"/>
    <w:rsid w:val="4E523562"/>
    <w:rsid w:val="4E56FB19"/>
    <w:rsid w:val="4E581169"/>
    <w:rsid w:val="4E835F71"/>
    <w:rsid w:val="4EA85573"/>
    <w:rsid w:val="4EB946C7"/>
    <w:rsid w:val="4EE71234"/>
    <w:rsid w:val="4EFD6399"/>
    <w:rsid w:val="4F1C435C"/>
    <w:rsid w:val="4F2C7BBB"/>
    <w:rsid w:val="4F344DA1"/>
    <w:rsid w:val="4F352C65"/>
    <w:rsid w:val="4F517655"/>
    <w:rsid w:val="4F5E110B"/>
    <w:rsid w:val="4F74261C"/>
    <w:rsid w:val="4F760F27"/>
    <w:rsid w:val="4FC04FDC"/>
    <w:rsid w:val="4FC60E49"/>
    <w:rsid w:val="4FEE294C"/>
    <w:rsid w:val="50102C25"/>
    <w:rsid w:val="50146059"/>
    <w:rsid w:val="504F0334"/>
    <w:rsid w:val="505A1E94"/>
    <w:rsid w:val="50776734"/>
    <w:rsid w:val="508B4E4A"/>
    <w:rsid w:val="509F7561"/>
    <w:rsid w:val="50A37AB7"/>
    <w:rsid w:val="50D253CB"/>
    <w:rsid w:val="50E13A61"/>
    <w:rsid w:val="516A3794"/>
    <w:rsid w:val="517D7746"/>
    <w:rsid w:val="51834E03"/>
    <w:rsid w:val="518B286E"/>
    <w:rsid w:val="51900B6D"/>
    <w:rsid w:val="519E4460"/>
    <w:rsid w:val="51C95EA9"/>
    <w:rsid w:val="51D86A6F"/>
    <w:rsid w:val="51DD1707"/>
    <w:rsid w:val="51E86BBE"/>
    <w:rsid w:val="523770D1"/>
    <w:rsid w:val="525157BD"/>
    <w:rsid w:val="52800E1F"/>
    <w:rsid w:val="52854227"/>
    <w:rsid w:val="528D42BC"/>
    <w:rsid w:val="52D5014E"/>
    <w:rsid w:val="52E310FA"/>
    <w:rsid w:val="5310480E"/>
    <w:rsid w:val="531200DF"/>
    <w:rsid w:val="531F2B2B"/>
    <w:rsid w:val="53356EB5"/>
    <w:rsid w:val="53447A23"/>
    <w:rsid w:val="53531910"/>
    <w:rsid w:val="53670B95"/>
    <w:rsid w:val="538413AD"/>
    <w:rsid w:val="539E40EB"/>
    <w:rsid w:val="53AF42F6"/>
    <w:rsid w:val="53B3217A"/>
    <w:rsid w:val="53D577AB"/>
    <w:rsid w:val="54291F6F"/>
    <w:rsid w:val="543154F4"/>
    <w:rsid w:val="543A6CF6"/>
    <w:rsid w:val="544C6AAD"/>
    <w:rsid w:val="546724CF"/>
    <w:rsid w:val="54882848"/>
    <w:rsid w:val="54A53D90"/>
    <w:rsid w:val="54B6276D"/>
    <w:rsid w:val="54D31961"/>
    <w:rsid w:val="54F1557B"/>
    <w:rsid w:val="54F973CE"/>
    <w:rsid w:val="5516583A"/>
    <w:rsid w:val="553454E5"/>
    <w:rsid w:val="559B355E"/>
    <w:rsid w:val="55A14853"/>
    <w:rsid w:val="55D2337B"/>
    <w:rsid w:val="55E06CEF"/>
    <w:rsid w:val="55E53045"/>
    <w:rsid w:val="55F57F47"/>
    <w:rsid w:val="5601091E"/>
    <w:rsid w:val="56220614"/>
    <w:rsid w:val="562F1DCA"/>
    <w:rsid w:val="565A0BC7"/>
    <w:rsid w:val="569E74C0"/>
    <w:rsid w:val="56AC6A2B"/>
    <w:rsid w:val="56C500AD"/>
    <w:rsid w:val="57105307"/>
    <w:rsid w:val="5777373F"/>
    <w:rsid w:val="577C19F6"/>
    <w:rsid w:val="577C291F"/>
    <w:rsid w:val="577E040F"/>
    <w:rsid w:val="579575D9"/>
    <w:rsid w:val="579930C8"/>
    <w:rsid w:val="57A9177C"/>
    <w:rsid w:val="57BA32F7"/>
    <w:rsid w:val="57DD6464"/>
    <w:rsid w:val="57E135ED"/>
    <w:rsid w:val="57E502DB"/>
    <w:rsid w:val="57EE6DE6"/>
    <w:rsid w:val="584C5695"/>
    <w:rsid w:val="587537A7"/>
    <w:rsid w:val="5886212F"/>
    <w:rsid w:val="588D78ED"/>
    <w:rsid w:val="58A55BA2"/>
    <w:rsid w:val="58C35B6F"/>
    <w:rsid w:val="58CD1AC1"/>
    <w:rsid w:val="58ED35A0"/>
    <w:rsid w:val="590C4DA2"/>
    <w:rsid w:val="5927423E"/>
    <w:rsid w:val="5932200D"/>
    <w:rsid w:val="594A490A"/>
    <w:rsid w:val="59595E0B"/>
    <w:rsid w:val="596C1023"/>
    <w:rsid w:val="597D27A7"/>
    <w:rsid w:val="59840123"/>
    <w:rsid w:val="59E9184D"/>
    <w:rsid w:val="59F17D12"/>
    <w:rsid w:val="5A3847CA"/>
    <w:rsid w:val="5A3D689D"/>
    <w:rsid w:val="5A4912E3"/>
    <w:rsid w:val="5A6A2EBA"/>
    <w:rsid w:val="5A78377C"/>
    <w:rsid w:val="5A7B3470"/>
    <w:rsid w:val="5A8261B6"/>
    <w:rsid w:val="5A871B48"/>
    <w:rsid w:val="5A8A41AF"/>
    <w:rsid w:val="5ABA284F"/>
    <w:rsid w:val="5AC93B64"/>
    <w:rsid w:val="5AD53B6D"/>
    <w:rsid w:val="5AFC1BC3"/>
    <w:rsid w:val="5B0A70C1"/>
    <w:rsid w:val="5B0F4BD9"/>
    <w:rsid w:val="5B382981"/>
    <w:rsid w:val="5B397296"/>
    <w:rsid w:val="5B464775"/>
    <w:rsid w:val="5B58089C"/>
    <w:rsid w:val="5B7025B1"/>
    <w:rsid w:val="5B875015"/>
    <w:rsid w:val="5B931C5A"/>
    <w:rsid w:val="5BD65907"/>
    <w:rsid w:val="5BEA3AEA"/>
    <w:rsid w:val="5BF16316"/>
    <w:rsid w:val="5BFC5BCB"/>
    <w:rsid w:val="5BFD4860"/>
    <w:rsid w:val="5C0B3DA6"/>
    <w:rsid w:val="5C190553"/>
    <w:rsid w:val="5C286CA0"/>
    <w:rsid w:val="5C3D15A6"/>
    <w:rsid w:val="5C751D3B"/>
    <w:rsid w:val="5C794A94"/>
    <w:rsid w:val="5C8262C0"/>
    <w:rsid w:val="5C870E55"/>
    <w:rsid w:val="5C874E3B"/>
    <w:rsid w:val="5C8A7DD3"/>
    <w:rsid w:val="5C8E02F6"/>
    <w:rsid w:val="5C910060"/>
    <w:rsid w:val="5CA01F4D"/>
    <w:rsid w:val="5CAB0EB7"/>
    <w:rsid w:val="5CAC42EC"/>
    <w:rsid w:val="5CCA7A71"/>
    <w:rsid w:val="5CD43B80"/>
    <w:rsid w:val="5CDD5A24"/>
    <w:rsid w:val="5CE92712"/>
    <w:rsid w:val="5D096819"/>
    <w:rsid w:val="5D0B309C"/>
    <w:rsid w:val="5D1A54BF"/>
    <w:rsid w:val="5D34713E"/>
    <w:rsid w:val="5D480901"/>
    <w:rsid w:val="5D4D6AB5"/>
    <w:rsid w:val="5D6600D8"/>
    <w:rsid w:val="5D863258"/>
    <w:rsid w:val="5DB26130"/>
    <w:rsid w:val="5DBF1517"/>
    <w:rsid w:val="5DC367C2"/>
    <w:rsid w:val="5DC501F3"/>
    <w:rsid w:val="5DD46E27"/>
    <w:rsid w:val="5DD86F40"/>
    <w:rsid w:val="5E4158FA"/>
    <w:rsid w:val="5E517749"/>
    <w:rsid w:val="5E5538C0"/>
    <w:rsid w:val="5E765490"/>
    <w:rsid w:val="5E7B34FE"/>
    <w:rsid w:val="5E7C1AAD"/>
    <w:rsid w:val="5E9C4A6D"/>
    <w:rsid w:val="5EAB5E84"/>
    <w:rsid w:val="5EED5ED1"/>
    <w:rsid w:val="5EF022F8"/>
    <w:rsid w:val="5EF15883"/>
    <w:rsid w:val="5F0E2C8F"/>
    <w:rsid w:val="5F113597"/>
    <w:rsid w:val="5F125A0C"/>
    <w:rsid w:val="5F16521D"/>
    <w:rsid w:val="5F475870"/>
    <w:rsid w:val="5F8D4723"/>
    <w:rsid w:val="5FC547A3"/>
    <w:rsid w:val="5FC714A3"/>
    <w:rsid w:val="5FEB0D6F"/>
    <w:rsid w:val="60770BC4"/>
    <w:rsid w:val="607F23F9"/>
    <w:rsid w:val="60A919DB"/>
    <w:rsid w:val="610214D5"/>
    <w:rsid w:val="610738CC"/>
    <w:rsid w:val="61390163"/>
    <w:rsid w:val="614D356A"/>
    <w:rsid w:val="615A3AE7"/>
    <w:rsid w:val="61930DA7"/>
    <w:rsid w:val="619E1FCA"/>
    <w:rsid w:val="61AC334D"/>
    <w:rsid w:val="61C656FD"/>
    <w:rsid w:val="61EE7ED8"/>
    <w:rsid w:val="620B56E7"/>
    <w:rsid w:val="626369CC"/>
    <w:rsid w:val="62684745"/>
    <w:rsid w:val="62791866"/>
    <w:rsid w:val="6284637D"/>
    <w:rsid w:val="62915FDD"/>
    <w:rsid w:val="629A642D"/>
    <w:rsid w:val="62AC0C40"/>
    <w:rsid w:val="62E80C7F"/>
    <w:rsid w:val="62F73F3E"/>
    <w:rsid w:val="62FA7330"/>
    <w:rsid w:val="636364AC"/>
    <w:rsid w:val="637C1792"/>
    <w:rsid w:val="637C5898"/>
    <w:rsid w:val="637D0559"/>
    <w:rsid w:val="63FB65EB"/>
    <w:rsid w:val="63FE69AC"/>
    <w:rsid w:val="642C1B08"/>
    <w:rsid w:val="643139C9"/>
    <w:rsid w:val="644A23FC"/>
    <w:rsid w:val="644C15F9"/>
    <w:rsid w:val="645F3E26"/>
    <w:rsid w:val="648415AF"/>
    <w:rsid w:val="648F1CFA"/>
    <w:rsid w:val="64980DDA"/>
    <w:rsid w:val="64AD2DF1"/>
    <w:rsid w:val="64C939E4"/>
    <w:rsid w:val="64CB1F76"/>
    <w:rsid w:val="64CF0348"/>
    <w:rsid w:val="64EC64B1"/>
    <w:rsid w:val="64ED1C5A"/>
    <w:rsid w:val="652E74E0"/>
    <w:rsid w:val="65486538"/>
    <w:rsid w:val="65624D19"/>
    <w:rsid w:val="657437FE"/>
    <w:rsid w:val="658610B1"/>
    <w:rsid w:val="65B55B16"/>
    <w:rsid w:val="65E919BC"/>
    <w:rsid w:val="65ED538C"/>
    <w:rsid w:val="65FB7C95"/>
    <w:rsid w:val="65FD2EF9"/>
    <w:rsid w:val="66102338"/>
    <w:rsid w:val="66565FD8"/>
    <w:rsid w:val="667444E4"/>
    <w:rsid w:val="66921E3E"/>
    <w:rsid w:val="66A35106"/>
    <w:rsid w:val="66BC48FC"/>
    <w:rsid w:val="66BD3534"/>
    <w:rsid w:val="66E9666E"/>
    <w:rsid w:val="66F518B7"/>
    <w:rsid w:val="67184491"/>
    <w:rsid w:val="671D40CF"/>
    <w:rsid w:val="672C55DE"/>
    <w:rsid w:val="67494B41"/>
    <w:rsid w:val="675D2983"/>
    <w:rsid w:val="67704992"/>
    <w:rsid w:val="6771764C"/>
    <w:rsid w:val="679A3F95"/>
    <w:rsid w:val="679C23FB"/>
    <w:rsid w:val="67A20868"/>
    <w:rsid w:val="67A376E5"/>
    <w:rsid w:val="67B3488A"/>
    <w:rsid w:val="67B654D0"/>
    <w:rsid w:val="681A15A7"/>
    <w:rsid w:val="68506BC5"/>
    <w:rsid w:val="6857185B"/>
    <w:rsid w:val="685B04A5"/>
    <w:rsid w:val="68912EBB"/>
    <w:rsid w:val="68B1534A"/>
    <w:rsid w:val="68B2581C"/>
    <w:rsid w:val="68E32614"/>
    <w:rsid w:val="68ED2A65"/>
    <w:rsid w:val="693B3025"/>
    <w:rsid w:val="693C507F"/>
    <w:rsid w:val="69553A3B"/>
    <w:rsid w:val="695E0C5F"/>
    <w:rsid w:val="6965626E"/>
    <w:rsid w:val="69B337FF"/>
    <w:rsid w:val="69CC6B62"/>
    <w:rsid w:val="69D1056A"/>
    <w:rsid w:val="69DC1E94"/>
    <w:rsid w:val="69F817EC"/>
    <w:rsid w:val="69FA3F36"/>
    <w:rsid w:val="6A187064"/>
    <w:rsid w:val="6A252E6C"/>
    <w:rsid w:val="6A421DEA"/>
    <w:rsid w:val="6A460236"/>
    <w:rsid w:val="6A5D4710"/>
    <w:rsid w:val="6A7774B8"/>
    <w:rsid w:val="6AD90802"/>
    <w:rsid w:val="6AE94DF5"/>
    <w:rsid w:val="6AEB57B0"/>
    <w:rsid w:val="6AF01018"/>
    <w:rsid w:val="6B210211"/>
    <w:rsid w:val="6B352CE1"/>
    <w:rsid w:val="6B395D51"/>
    <w:rsid w:val="6B3D7502"/>
    <w:rsid w:val="6B3E1D84"/>
    <w:rsid w:val="6B511AE2"/>
    <w:rsid w:val="6B70000C"/>
    <w:rsid w:val="6B890DF1"/>
    <w:rsid w:val="6B946B24"/>
    <w:rsid w:val="6BB118A4"/>
    <w:rsid w:val="6BB80929"/>
    <w:rsid w:val="6BBA2F83"/>
    <w:rsid w:val="6BC84764"/>
    <w:rsid w:val="6BDD6A3C"/>
    <w:rsid w:val="6BF83989"/>
    <w:rsid w:val="6C2C5B09"/>
    <w:rsid w:val="6C3C2E9D"/>
    <w:rsid w:val="6C3E2513"/>
    <w:rsid w:val="6C4756A6"/>
    <w:rsid w:val="6C500709"/>
    <w:rsid w:val="6C5D29D5"/>
    <w:rsid w:val="6C6C5343"/>
    <w:rsid w:val="6C8A4901"/>
    <w:rsid w:val="6C960B5A"/>
    <w:rsid w:val="6CC64A31"/>
    <w:rsid w:val="6CC7086D"/>
    <w:rsid w:val="6CE72A7D"/>
    <w:rsid w:val="6D1073F7"/>
    <w:rsid w:val="6D121758"/>
    <w:rsid w:val="6D3E7C18"/>
    <w:rsid w:val="6D75452C"/>
    <w:rsid w:val="6D8A1EBD"/>
    <w:rsid w:val="6D9F3AA1"/>
    <w:rsid w:val="6DBA043A"/>
    <w:rsid w:val="6DD90935"/>
    <w:rsid w:val="6E0F13F6"/>
    <w:rsid w:val="6E1729C6"/>
    <w:rsid w:val="6E205C8E"/>
    <w:rsid w:val="6E361CC3"/>
    <w:rsid w:val="6E3A2E0B"/>
    <w:rsid w:val="6E45345B"/>
    <w:rsid w:val="6E7B6E4B"/>
    <w:rsid w:val="6EA445F4"/>
    <w:rsid w:val="6EAC6DFC"/>
    <w:rsid w:val="6EC93B19"/>
    <w:rsid w:val="6ECD77A8"/>
    <w:rsid w:val="6EFD107C"/>
    <w:rsid w:val="6F1C1A1F"/>
    <w:rsid w:val="6F321684"/>
    <w:rsid w:val="6F5F12A6"/>
    <w:rsid w:val="6F67460C"/>
    <w:rsid w:val="6F683679"/>
    <w:rsid w:val="6FA0300D"/>
    <w:rsid w:val="6FA76725"/>
    <w:rsid w:val="6FB10D76"/>
    <w:rsid w:val="6FB80306"/>
    <w:rsid w:val="6FC00223"/>
    <w:rsid w:val="6FC0291B"/>
    <w:rsid w:val="6FC565FC"/>
    <w:rsid w:val="6FC71676"/>
    <w:rsid w:val="6FC96FFD"/>
    <w:rsid w:val="6FC97BCC"/>
    <w:rsid w:val="6FD0340F"/>
    <w:rsid w:val="6FD14A2F"/>
    <w:rsid w:val="6FDA50B8"/>
    <w:rsid w:val="6FDB176E"/>
    <w:rsid w:val="6FDF325C"/>
    <w:rsid w:val="7028293A"/>
    <w:rsid w:val="70B52E34"/>
    <w:rsid w:val="70C40F7D"/>
    <w:rsid w:val="70F24358"/>
    <w:rsid w:val="70F45841"/>
    <w:rsid w:val="70FA0922"/>
    <w:rsid w:val="71105289"/>
    <w:rsid w:val="711644A0"/>
    <w:rsid w:val="711A5ABD"/>
    <w:rsid w:val="71233C4E"/>
    <w:rsid w:val="712A6ABB"/>
    <w:rsid w:val="71342E79"/>
    <w:rsid w:val="717E45F7"/>
    <w:rsid w:val="71A42B13"/>
    <w:rsid w:val="71C578FA"/>
    <w:rsid w:val="71E2790D"/>
    <w:rsid w:val="71FC1F0C"/>
    <w:rsid w:val="71FC6562"/>
    <w:rsid w:val="71FD4DF6"/>
    <w:rsid w:val="720347CF"/>
    <w:rsid w:val="72141A90"/>
    <w:rsid w:val="72307601"/>
    <w:rsid w:val="725541EC"/>
    <w:rsid w:val="726A38D1"/>
    <w:rsid w:val="726F79A2"/>
    <w:rsid w:val="727E3641"/>
    <w:rsid w:val="728C7879"/>
    <w:rsid w:val="72971F85"/>
    <w:rsid w:val="72AE3B77"/>
    <w:rsid w:val="72BD349C"/>
    <w:rsid w:val="72C7506A"/>
    <w:rsid w:val="72CE6E2F"/>
    <w:rsid w:val="72EF33B4"/>
    <w:rsid w:val="72F801C0"/>
    <w:rsid w:val="73403ED1"/>
    <w:rsid w:val="73803DA2"/>
    <w:rsid w:val="73AE6E31"/>
    <w:rsid w:val="73AF15FE"/>
    <w:rsid w:val="73B461C1"/>
    <w:rsid w:val="73E3796C"/>
    <w:rsid w:val="74106ED0"/>
    <w:rsid w:val="741826EC"/>
    <w:rsid w:val="7434550C"/>
    <w:rsid w:val="74416A92"/>
    <w:rsid w:val="745F4691"/>
    <w:rsid w:val="747B1953"/>
    <w:rsid w:val="74A5401A"/>
    <w:rsid w:val="74E9245F"/>
    <w:rsid w:val="74F57921"/>
    <w:rsid w:val="75033E03"/>
    <w:rsid w:val="751971CC"/>
    <w:rsid w:val="75580570"/>
    <w:rsid w:val="755D72AA"/>
    <w:rsid w:val="75625544"/>
    <w:rsid w:val="75835778"/>
    <w:rsid w:val="758B64D3"/>
    <w:rsid w:val="75915CF1"/>
    <w:rsid w:val="75A153E9"/>
    <w:rsid w:val="75AE7F81"/>
    <w:rsid w:val="75F157DF"/>
    <w:rsid w:val="75FA098E"/>
    <w:rsid w:val="75FC4D15"/>
    <w:rsid w:val="75FD6F11"/>
    <w:rsid w:val="76053BCA"/>
    <w:rsid w:val="760F03E1"/>
    <w:rsid w:val="761D1BEF"/>
    <w:rsid w:val="7621538C"/>
    <w:rsid w:val="762F6E99"/>
    <w:rsid w:val="76342701"/>
    <w:rsid w:val="76464775"/>
    <w:rsid w:val="765E0056"/>
    <w:rsid w:val="767B41EF"/>
    <w:rsid w:val="76AF50AB"/>
    <w:rsid w:val="775C31C2"/>
    <w:rsid w:val="776808B4"/>
    <w:rsid w:val="77836CD0"/>
    <w:rsid w:val="7789536F"/>
    <w:rsid w:val="77C936C2"/>
    <w:rsid w:val="77CF592A"/>
    <w:rsid w:val="77E20D18"/>
    <w:rsid w:val="781151E7"/>
    <w:rsid w:val="781C40D4"/>
    <w:rsid w:val="781D00C9"/>
    <w:rsid w:val="78834A1B"/>
    <w:rsid w:val="788A77FE"/>
    <w:rsid w:val="7897465E"/>
    <w:rsid w:val="78D43D28"/>
    <w:rsid w:val="78D62761"/>
    <w:rsid w:val="78E4120D"/>
    <w:rsid w:val="78EA6A5E"/>
    <w:rsid w:val="78EF31DB"/>
    <w:rsid w:val="790A5F16"/>
    <w:rsid w:val="791F3BD4"/>
    <w:rsid w:val="792B107E"/>
    <w:rsid w:val="79330A4E"/>
    <w:rsid w:val="79377499"/>
    <w:rsid w:val="793842B6"/>
    <w:rsid w:val="79413208"/>
    <w:rsid w:val="7941563B"/>
    <w:rsid w:val="79423DB7"/>
    <w:rsid w:val="79883158"/>
    <w:rsid w:val="79A972CE"/>
    <w:rsid w:val="79B24B82"/>
    <w:rsid w:val="79B538C8"/>
    <w:rsid w:val="79DE4E5E"/>
    <w:rsid w:val="79E356CA"/>
    <w:rsid w:val="79F66BDA"/>
    <w:rsid w:val="79FF4DD4"/>
    <w:rsid w:val="7A0378B8"/>
    <w:rsid w:val="7A060C8D"/>
    <w:rsid w:val="7A454EDD"/>
    <w:rsid w:val="7A5A5467"/>
    <w:rsid w:val="7A6D0505"/>
    <w:rsid w:val="7A8C2B0C"/>
    <w:rsid w:val="7A9A17E3"/>
    <w:rsid w:val="7AA47ADF"/>
    <w:rsid w:val="7AA84464"/>
    <w:rsid w:val="7AB006D4"/>
    <w:rsid w:val="7AC76297"/>
    <w:rsid w:val="7ACC630B"/>
    <w:rsid w:val="7AD46261"/>
    <w:rsid w:val="7ADB45FF"/>
    <w:rsid w:val="7AEF183D"/>
    <w:rsid w:val="7AFB7334"/>
    <w:rsid w:val="7B123DE2"/>
    <w:rsid w:val="7B1C61A3"/>
    <w:rsid w:val="7B360285"/>
    <w:rsid w:val="7B3D4081"/>
    <w:rsid w:val="7B4A154E"/>
    <w:rsid w:val="7B8B58E5"/>
    <w:rsid w:val="7BE44282"/>
    <w:rsid w:val="7BFB5BE2"/>
    <w:rsid w:val="7C0D2C50"/>
    <w:rsid w:val="7C19042F"/>
    <w:rsid w:val="7C6153B2"/>
    <w:rsid w:val="7C785994"/>
    <w:rsid w:val="7C7F6142"/>
    <w:rsid w:val="7C9E702C"/>
    <w:rsid w:val="7CAD2D21"/>
    <w:rsid w:val="7CBD633A"/>
    <w:rsid w:val="7CF17FFD"/>
    <w:rsid w:val="7CF40ABB"/>
    <w:rsid w:val="7CF70D50"/>
    <w:rsid w:val="7D086076"/>
    <w:rsid w:val="7D2E331D"/>
    <w:rsid w:val="7D3400FC"/>
    <w:rsid w:val="7D535DF5"/>
    <w:rsid w:val="7D5B48AB"/>
    <w:rsid w:val="7D761851"/>
    <w:rsid w:val="7D971DE5"/>
    <w:rsid w:val="7DA275B7"/>
    <w:rsid w:val="7DBF01FC"/>
    <w:rsid w:val="7DC0196C"/>
    <w:rsid w:val="7DCD470D"/>
    <w:rsid w:val="7DE35362"/>
    <w:rsid w:val="7DF42B11"/>
    <w:rsid w:val="7E011C89"/>
    <w:rsid w:val="7E2B6C1F"/>
    <w:rsid w:val="7E4F0C28"/>
    <w:rsid w:val="7E526473"/>
    <w:rsid w:val="7E5B0F35"/>
    <w:rsid w:val="7E6B2032"/>
    <w:rsid w:val="7E6F598A"/>
    <w:rsid w:val="7E854BF0"/>
    <w:rsid w:val="7EC77602"/>
    <w:rsid w:val="7EE065A1"/>
    <w:rsid w:val="7F1B3E60"/>
    <w:rsid w:val="7F330224"/>
    <w:rsid w:val="7F4B0C54"/>
    <w:rsid w:val="7F4B249F"/>
    <w:rsid w:val="7F4B3547"/>
    <w:rsid w:val="7F5E59E0"/>
    <w:rsid w:val="7F842DF8"/>
    <w:rsid w:val="7F8D6E2A"/>
    <w:rsid w:val="7F947D6D"/>
    <w:rsid w:val="7F9F4D28"/>
    <w:rsid w:val="7F9F5B66"/>
    <w:rsid w:val="7FA12916"/>
    <w:rsid w:val="7FA26AA7"/>
    <w:rsid w:val="7FC77C3F"/>
    <w:rsid w:val="7FD20BD3"/>
    <w:rsid w:val="7FDA222E"/>
    <w:rsid w:val="BFAFD0B7"/>
    <w:rsid w:val="F3538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0D48ACD"/>
  <w15:docId w15:val="{33640345-62DE-4D0B-A3F5-45B76462C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iPriority="0" w:unhideWhenUsed="1" w:qFormat="1"/>
    <w:lsdException w:name="header" w:unhideWhenUsed="1" w:qFormat="1"/>
    <w:lsdException w:name="footer" w:unhideWhenUsed="1" w:qFormat="1"/>
    <w:lsdException w:name="index heading" w:semiHidden="1" w:uiPriority="0" w:unhideWhenUsed="1" w:qFormat="1"/>
    <w:lsdException w:name="caption" w:uiPriority="0" w:qFormat="1"/>
    <w:lsdException w:name="table of figures" w:uiPriority="0" w:qFormat="1"/>
    <w:lsdException w:name="envelope address" w:unhideWhenUsed="1" w:qFormat="1"/>
    <w:lsdException w:name="envelope return" w:unhideWhenUsed="1" w:qFormat="1"/>
    <w:lsdException w:name="footnote reference" w:uiPriority="0"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uiPriority="0" w:unhideWhenUsed="1" w:qFormat="1"/>
    <w:lsdException w:name="table of authorities" w:uiPriority="0" w:unhideWhenUsed="1" w:qFormat="1"/>
    <w:lsdException w:name="macro" w:uiPriority="0" w:unhideWhenUsed="1" w:qFormat="1"/>
    <w:lsdException w:name="toa heading" w:semiHidden="1" w:uiPriority="0" w:unhideWhenUsed="1" w:qFormat="1"/>
    <w:lsdException w:name="List" w:unhideWhenUsed="1" w:qFormat="1"/>
    <w:lsdException w:name="List Bullet" w:unhideWhenUsed="1" w:qFormat="1"/>
    <w:lsdException w:name="List Number" w:unhideWhenUsed="1" w:qFormat="1"/>
    <w:lsdException w:name="List 2" w:uiPriority="0"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qFormat="1"/>
    <w:lsdException w:name="List Bullet 4" w:unhideWhenUsed="1" w:qFormat="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qFormat="1"/>
    <w:lsdException w:name="Closing" w:qFormat="1"/>
    <w:lsdException w:name="Signature" w:uiPriority="0" w:unhideWhenUsed="1" w:qFormat="1"/>
    <w:lsdException w:name="Default Paragraph Font" w:semiHidden="1" w:uiPriority="1" w:unhideWhenUsed="1"/>
    <w:lsdException w:name="Body Text" w:uiPriority="0" w:qFormat="1"/>
    <w:lsdException w:name="Body Text Indent" w:uiPriority="0" w:qFormat="1"/>
    <w:lsdException w:name="List Continue" w:unhideWhenUsed="1" w:qFormat="1"/>
    <w:lsdException w:name="List Continue 2" w:unhideWhenUsed="1" w:qFormat="1"/>
    <w:lsdException w:name="List Continue 3" w:unhideWhenUsed="1" w:qFormat="1"/>
    <w:lsdException w:name="List Continue 4" w:unhideWhenUsed="1" w:qFormat="1"/>
    <w:lsdException w:name="List Continue 5" w:unhideWhenUsed="1" w:qFormat="1"/>
    <w:lsdException w:name="Message Header" w:uiPriority="0" w:unhideWhenUsed="1" w:qFormat="1"/>
    <w:lsdException w:name="Subtitle" w:uiPriority="0" w:qFormat="1"/>
    <w:lsdException w:name="Salutation" w:uiPriority="0" w:unhideWhenUsed="1" w:qFormat="1"/>
    <w:lsdException w:name="Date" w:uiPriority="0" w:qFormat="1"/>
    <w:lsdException w:name="Body Text First Indent" w:uiPriority="0" w:unhideWhenUsed="1" w:qFormat="1"/>
    <w:lsdException w:name="Body Text First Indent 2" w:uiPriority="0" w:unhideWhenUsed="1" w:qFormat="1"/>
    <w:lsdException w:name="Note Heading" w:uiPriority="0" w:unhideWhenUsed="1" w:qFormat="1"/>
    <w:lsdException w:name="Body Text 2" w:uiPriority="0" w:unhideWhenUsed="1" w:qFormat="1"/>
    <w:lsdException w:name="Body Text 3" w:uiPriority="0" w:unhideWhenUsed="1" w:qFormat="1"/>
    <w:lsdException w:name="Body Text Indent 2" w:uiPriority="0" w:qFormat="1"/>
    <w:lsdException w:name="Body Text Indent 3" w:uiPriority="0" w:qFormat="1"/>
    <w:lsdException w:name="Block Text" w:unhideWhenUsed="1" w:qFormat="1"/>
    <w:lsdException w:name="Hyperlink" w:unhideWhenUsed="1" w:qFormat="1"/>
    <w:lsdException w:name="FollowedHyperlink" w:uiPriority="0" w:unhideWhenUsed="1" w:qFormat="1"/>
    <w:lsdException w:name="Strong" w:uiPriority="22" w:qFormat="1"/>
    <w:lsdException w:name="Emphasis" w:uiPriority="20" w:qFormat="1"/>
    <w:lsdException w:name="Document Map" w:unhideWhenUsed="1" w:qFormat="1"/>
    <w:lsdException w:name="Plain Text" w:uiPriority="0" w:qFormat="1"/>
    <w:lsdException w:name="E-mail Signature" w:uiPriority="0" w:unhideWhenUsed="1" w:qFormat="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uiPriority="0"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next w:val="21"/>
    <w:qFormat/>
    <w:pPr>
      <w:widowControl w:val="0"/>
      <w:jc w:val="both"/>
    </w:pPr>
    <w:rPr>
      <w:kern w:val="2"/>
      <w:sz w:val="24"/>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2">
    <w:name w:val="heading 2"/>
    <w:basedOn w:val="a1"/>
    <w:next w:val="a1"/>
    <w:link w:val="23"/>
    <w:qFormat/>
    <w:pPr>
      <w:keepNext/>
      <w:keepLines/>
      <w:spacing w:before="260" w:after="260" w:line="413" w:lineRule="auto"/>
      <w:outlineLvl w:val="1"/>
    </w:pPr>
    <w:rPr>
      <w:rFonts w:ascii="Arial" w:eastAsia="黑体" w:hAnsi="Arial"/>
      <w:b/>
      <w:sz w:val="32"/>
    </w:rPr>
  </w:style>
  <w:style w:type="paragraph" w:styleId="31">
    <w:name w:val="heading 3"/>
    <w:basedOn w:val="a1"/>
    <w:next w:val="a1"/>
    <w:link w:val="32"/>
    <w:qFormat/>
    <w:pPr>
      <w:keepNext/>
      <w:keepLines/>
      <w:spacing w:before="120" w:after="120"/>
      <w:outlineLvl w:val="2"/>
    </w:pPr>
    <w:rPr>
      <w:bCs/>
      <w:szCs w:val="32"/>
    </w:rPr>
  </w:style>
  <w:style w:type="paragraph" w:styleId="41">
    <w:name w:val="heading 4"/>
    <w:basedOn w:val="a1"/>
    <w:next w:val="a1"/>
    <w:link w:val="42"/>
    <w:qFormat/>
    <w:pPr>
      <w:keepNext/>
      <w:keepLines/>
      <w:spacing w:before="120" w:after="120"/>
      <w:outlineLvl w:val="3"/>
    </w:pPr>
    <w:rPr>
      <w:rFonts w:ascii="Arial" w:hAnsi="Arial"/>
      <w:bCs/>
      <w:szCs w:val="28"/>
    </w:rPr>
  </w:style>
  <w:style w:type="paragraph" w:styleId="51">
    <w:name w:val="heading 5"/>
    <w:basedOn w:val="a1"/>
    <w:next w:val="a1"/>
    <w:link w:val="52"/>
    <w:qFormat/>
    <w:pPr>
      <w:keepNext/>
      <w:keepLines/>
      <w:spacing w:before="280" w:after="290" w:line="376" w:lineRule="auto"/>
      <w:outlineLvl w:val="4"/>
    </w:pPr>
    <w:rPr>
      <w:b/>
      <w:bCs/>
      <w:sz w:val="28"/>
      <w:szCs w:val="28"/>
    </w:rPr>
  </w:style>
  <w:style w:type="paragraph" w:styleId="6">
    <w:name w:val="heading 6"/>
    <w:basedOn w:val="a1"/>
    <w:next w:val="a1"/>
    <w:link w:val="60"/>
    <w:qFormat/>
    <w:pPr>
      <w:keepNext/>
      <w:keepLines/>
      <w:spacing w:before="240" w:after="64" w:line="320" w:lineRule="auto"/>
      <w:outlineLvl w:val="5"/>
    </w:pPr>
    <w:rPr>
      <w:rFonts w:ascii="Arial" w:eastAsia="黑体" w:hAnsi="Arial"/>
      <w:b/>
      <w:bCs/>
      <w:szCs w:val="24"/>
    </w:rPr>
  </w:style>
  <w:style w:type="paragraph" w:styleId="7">
    <w:name w:val="heading 7"/>
    <w:basedOn w:val="a1"/>
    <w:next w:val="a1"/>
    <w:link w:val="70"/>
    <w:qFormat/>
    <w:pPr>
      <w:keepNext/>
      <w:keepLines/>
      <w:spacing w:before="240" w:after="64" w:line="320" w:lineRule="auto"/>
      <w:outlineLvl w:val="6"/>
    </w:pPr>
    <w:rPr>
      <w:b/>
      <w:bCs/>
      <w:szCs w:val="24"/>
    </w:rPr>
  </w:style>
  <w:style w:type="paragraph" w:styleId="8">
    <w:name w:val="heading 8"/>
    <w:basedOn w:val="a1"/>
    <w:next w:val="a1"/>
    <w:link w:val="80"/>
    <w:qFormat/>
    <w:pPr>
      <w:keepNext/>
      <w:keepLines/>
      <w:spacing w:before="240" w:after="64" w:line="320" w:lineRule="auto"/>
      <w:outlineLvl w:val="7"/>
    </w:pPr>
    <w:rPr>
      <w:rFonts w:ascii="Arial" w:eastAsia="黑体" w:hAnsi="Arial"/>
      <w:szCs w:val="24"/>
    </w:rPr>
  </w:style>
  <w:style w:type="paragraph" w:styleId="9">
    <w:name w:val="heading 9"/>
    <w:basedOn w:val="a1"/>
    <w:next w:val="a1"/>
    <w:link w:val="90"/>
    <w:qFormat/>
    <w:pPr>
      <w:keepNext/>
      <w:keepLines/>
      <w:spacing w:before="240" w:after="64" w:line="320" w:lineRule="auto"/>
      <w:outlineLvl w:val="8"/>
    </w:pPr>
    <w:rPr>
      <w:rFonts w:ascii="Arial" w:eastAsia="黑体" w:hAnsi="Arial"/>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1">
    <w:name w:val="Body Text First Indent 2"/>
    <w:basedOn w:val="a5"/>
    <w:link w:val="24"/>
    <w:unhideWhenUsed/>
    <w:qFormat/>
    <w:pPr>
      <w:ind w:firstLineChars="200" w:firstLine="420"/>
    </w:pPr>
    <w:rPr>
      <w:sz w:val="24"/>
    </w:rPr>
  </w:style>
  <w:style w:type="paragraph" w:styleId="a5">
    <w:name w:val="Body Text Indent"/>
    <w:basedOn w:val="a1"/>
    <w:link w:val="a6"/>
    <w:qFormat/>
    <w:pPr>
      <w:spacing w:after="120"/>
      <w:ind w:leftChars="200" w:left="420"/>
    </w:pPr>
    <w:rPr>
      <w:sz w:val="21"/>
      <w:szCs w:val="24"/>
    </w:rPr>
  </w:style>
  <w:style w:type="paragraph" w:styleId="a7">
    <w:name w:val="macro"/>
    <w:link w:val="a8"/>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color w:val="000000" w:themeColor="text1"/>
      <w:kern w:val="2"/>
      <w:sz w:val="24"/>
      <w:szCs w:val="24"/>
    </w:rPr>
  </w:style>
  <w:style w:type="paragraph" w:styleId="33">
    <w:name w:val="List 3"/>
    <w:basedOn w:val="a1"/>
    <w:uiPriority w:val="99"/>
    <w:unhideWhenUsed/>
    <w:qFormat/>
    <w:pPr>
      <w:snapToGrid w:val="0"/>
      <w:ind w:leftChars="400" w:left="100" w:hangingChars="200" w:hanging="200"/>
      <w:contextualSpacing/>
    </w:pPr>
    <w:rPr>
      <w:color w:val="000000" w:themeColor="text1"/>
      <w:sz w:val="21"/>
      <w:szCs w:val="24"/>
    </w:rPr>
  </w:style>
  <w:style w:type="paragraph" w:styleId="TOC7">
    <w:name w:val="toc 7"/>
    <w:basedOn w:val="a1"/>
    <w:next w:val="a1"/>
    <w:uiPriority w:val="39"/>
    <w:qFormat/>
    <w:pPr>
      <w:ind w:left="1260"/>
      <w:jc w:val="left"/>
    </w:pPr>
    <w:rPr>
      <w:rFonts w:ascii="Calibri" w:hAnsi="Calibri" w:cs="Calibri"/>
      <w:sz w:val="18"/>
      <w:szCs w:val="18"/>
    </w:rPr>
  </w:style>
  <w:style w:type="paragraph" w:styleId="2">
    <w:name w:val="List Number 2"/>
    <w:basedOn w:val="a1"/>
    <w:uiPriority w:val="99"/>
    <w:unhideWhenUsed/>
    <w:qFormat/>
    <w:pPr>
      <w:numPr>
        <w:numId w:val="1"/>
      </w:numPr>
      <w:snapToGrid w:val="0"/>
      <w:contextualSpacing/>
    </w:pPr>
    <w:rPr>
      <w:color w:val="000000" w:themeColor="text1"/>
      <w:sz w:val="21"/>
      <w:szCs w:val="24"/>
    </w:rPr>
  </w:style>
  <w:style w:type="paragraph" w:styleId="a9">
    <w:name w:val="table of authorities"/>
    <w:basedOn w:val="a1"/>
    <w:next w:val="a1"/>
    <w:unhideWhenUsed/>
    <w:qFormat/>
    <w:pPr>
      <w:snapToGrid w:val="0"/>
      <w:ind w:leftChars="200" w:left="420"/>
    </w:pPr>
    <w:rPr>
      <w:color w:val="000000" w:themeColor="text1"/>
      <w:sz w:val="21"/>
      <w:szCs w:val="24"/>
    </w:rPr>
  </w:style>
  <w:style w:type="paragraph" w:styleId="aa">
    <w:name w:val="Note Heading"/>
    <w:basedOn w:val="a1"/>
    <w:next w:val="a1"/>
    <w:link w:val="ab"/>
    <w:unhideWhenUsed/>
    <w:qFormat/>
    <w:pPr>
      <w:snapToGrid w:val="0"/>
      <w:jc w:val="center"/>
    </w:pPr>
    <w:rPr>
      <w:color w:val="000000" w:themeColor="text1"/>
      <w:sz w:val="21"/>
      <w:szCs w:val="24"/>
    </w:rPr>
  </w:style>
  <w:style w:type="paragraph" w:styleId="40">
    <w:name w:val="List Bullet 4"/>
    <w:basedOn w:val="a1"/>
    <w:uiPriority w:val="99"/>
    <w:unhideWhenUsed/>
    <w:qFormat/>
    <w:pPr>
      <w:numPr>
        <w:numId w:val="2"/>
      </w:numPr>
      <w:tabs>
        <w:tab w:val="clear" w:pos="1620"/>
        <w:tab w:val="left" w:pos="360"/>
      </w:tabs>
      <w:snapToGrid w:val="0"/>
      <w:ind w:leftChars="0" w:left="0" w:firstLineChars="0" w:firstLine="0"/>
      <w:contextualSpacing/>
    </w:pPr>
    <w:rPr>
      <w:color w:val="000000" w:themeColor="text1"/>
      <w:sz w:val="21"/>
      <w:szCs w:val="24"/>
    </w:rPr>
  </w:style>
  <w:style w:type="paragraph" w:styleId="81">
    <w:name w:val="index 8"/>
    <w:basedOn w:val="a1"/>
    <w:next w:val="a1"/>
    <w:autoRedefine/>
    <w:semiHidden/>
    <w:unhideWhenUsed/>
    <w:qFormat/>
    <w:pPr>
      <w:snapToGrid w:val="0"/>
      <w:ind w:leftChars="1400" w:left="1400"/>
    </w:pPr>
    <w:rPr>
      <w:color w:val="000000" w:themeColor="text1"/>
      <w:sz w:val="21"/>
      <w:szCs w:val="24"/>
    </w:rPr>
  </w:style>
  <w:style w:type="paragraph" w:styleId="ac">
    <w:name w:val="E-mail Signature"/>
    <w:basedOn w:val="a1"/>
    <w:link w:val="ad"/>
    <w:unhideWhenUsed/>
    <w:qFormat/>
    <w:pPr>
      <w:snapToGrid w:val="0"/>
    </w:pPr>
    <w:rPr>
      <w:color w:val="000000" w:themeColor="text1"/>
      <w:sz w:val="21"/>
      <w:szCs w:val="24"/>
    </w:rPr>
  </w:style>
  <w:style w:type="paragraph" w:styleId="a">
    <w:name w:val="List Number"/>
    <w:basedOn w:val="a1"/>
    <w:uiPriority w:val="99"/>
    <w:unhideWhenUsed/>
    <w:qFormat/>
    <w:pPr>
      <w:numPr>
        <w:numId w:val="3"/>
      </w:numPr>
      <w:snapToGrid w:val="0"/>
      <w:ind w:left="0" w:firstLineChars="0" w:firstLine="0"/>
      <w:contextualSpacing/>
    </w:pPr>
    <w:rPr>
      <w:color w:val="000000" w:themeColor="text1"/>
      <w:sz w:val="21"/>
      <w:szCs w:val="24"/>
    </w:rPr>
  </w:style>
  <w:style w:type="paragraph" w:styleId="ae">
    <w:name w:val="Normal Indent"/>
    <w:basedOn w:val="a1"/>
    <w:next w:val="a1"/>
    <w:link w:val="af"/>
    <w:qFormat/>
    <w:pPr>
      <w:ind w:firstLine="567"/>
    </w:pPr>
    <w:rPr>
      <w:rFonts w:eastAsia="仿宋_GB2312"/>
      <w:sz w:val="28"/>
    </w:rPr>
  </w:style>
  <w:style w:type="paragraph" w:styleId="af0">
    <w:name w:val="caption"/>
    <w:basedOn w:val="a1"/>
    <w:next w:val="a1"/>
    <w:qFormat/>
    <w:rPr>
      <w:rFonts w:ascii="Cambria" w:eastAsia="黑体" w:hAnsi="Cambria"/>
      <w:sz w:val="20"/>
    </w:rPr>
  </w:style>
  <w:style w:type="paragraph" w:styleId="53">
    <w:name w:val="index 5"/>
    <w:basedOn w:val="a1"/>
    <w:next w:val="a1"/>
    <w:autoRedefine/>
    <w:semiHidden/>
    <w:unhideWhenUsed/>
    <w:qFormat/>
    <w:pPr>
      <w:snapToGrid w:val="0"/>
      <w:ind w:leftChars="800" w:left="800"/>
    </w:pPr>
    <w:rPr>
      <w:color w:val="000000" w:themeColor="text1"/>
      <w:sz w:val="21"/>
      <w:szCs w:val="24"/>
    </w:rPr>
  </w:style>
  <w:style w:type="paragraph" w:styleId="a0">
    <w:name w:val="List Bullet"/>
    <w:basedOn w:val="a1"/>
    <w:uiPriority w:val="99"/>
    <w:unhideWhenUsed/>
    <w:qFormat/>
    <w:pPr>
      <w:numPr>
        <w:numId w:val="4"/>
      </w:numPr>
      <w:snapToGrid w:val="0"/>
      <w:contextualSpacing/>
    </w:pPr>
    <w:rPr>
      <w:color w:val="000000" w:themeColor="text1"/>
      <w:sz w:val="21"/>
      <w:szCs w:val="24"/>
    </w:rPr>
  </w:style>
  <w:style w:type="paragraph" w:styleId="af1">
    <w:name w:val="envelope address"/>
    <w:basedOn w:val="a1"/>
    <w:uiPriority w:val="99"/>
    <w:unhideWhenUsed/>
    <w:qFormat/>
    <w:pPr>
      <w:framePr w:w="7920" w:h="1980" w:hSpace="180" w:wrap="auto" w:hAnchor="page" w:xAlign="center" w:yAlign="bottom"/>
      <w:snapToGrid w:val="0"/>
      <w:ind w:leftChars="1400" w:left="100"/>
    </w:pPr>
    <w:rPr>
      <w:rFonts w:ascii="Cambria" w:hAnsi="Cambria"/>
      <w:color w:val="000000" w:themeColor="text1"/>
      <w:szCs w:val="24"/>
    </w:rPr>
  </w:style>
  <w:style w:type="paragraph" w:styleId="af2">
    <w:name w:val="Document Map"/>
    <w:basedOn w:val="a1"/>
    <w:link w:val="af3"/>
    <w:uiPriority w:val="99"/>
    <w:unhideWhenUsed/>
    <w:qFormat/>
    <w:rPr>
      <w:rFonts w:ascii="宋体"/>
      <w:kern w:val="0"/>
      <w:sz w:val="18"/>
      <w:szCs w:val="18"/>
    </w:rPr>
  </w:style>
  <w:style w:type="paragraph" w:styleId="af4">
    <w:name w:val="toa heading"/>
    <w:basedOn w:val="a1"/>
    <w:next w:val="a1"/>
    <w:semiHidden/>
    <w:unhideWhenUsed/>
    <w:qFormat/>
    <w:pPr>
      <w:snapToGrid w:val="0"/>
      <w:spacing w:before="120"/>
    </w:pPr>
    <w:rPr>
      <w:rFonts w:ascii="Cambria" w:hAnsi="Cambria"/>
      <w:color w:val="000000" w:themeColor="text1"/>
      <w:szCs w:val="24"/>
    </w:rPr>
  </w:style>
  <w:style w:type="paragraph" w:styleId="af5">
    <w:name w:val="annotation text"/>
    <w:basedOn w:val="a1"/>
    <w:link w:val="af6"/>
    <w:unhideWhenUsed/>
    <w:qFormat/>
    <w:pPr>
      <w:jc w:val="left"/>
    </w:pPr>
  </w:style>
  <w:style w:type="paragraph" w:styleId="61">
    <w:name w:val="index 6"/>
    <w:basedOn w:val="a1"/>
    <w:next w:val="a1"/>
    <w:autoRedefine/>
    <w:semiHidden/>
    <w:unhideWhenUsed/>
    <w:qFormat/>
    <w:pPr>
      <w:snapToGrid w:val="0"/>
      <w:ind w:leftChars="1000" w:left="1000"/>
    </w:pPr>
    <w:rPr>
      <w:color w:val="000000" w:themeColor="text1"/>
      <w:sz w:val="21"/>
      <w:szCs w:val="24"/>
    </w:rPr>
  </w:style>
  <w:style w:type="paragraph" w:styleId="af7">
    <w:name w:val="Salutation"/>
    <w:basedOn w:val="a1"/>
    <w:next w:val="a1"/>
    <w:link w:val="af8"/>
    <w:unhideWhenUsed/>
    <w:qFormat/>
    <w:pPr>
      <w:snapToGrid w:val="0"/>
    </w:pPr>
    <w:rPr>
      <w:color w:val="000000" w:themeColor="text1"/>
      <w:sz w:val="21"/>
      <w:szCs w:val="24"/>
    </w:rPr>
  </w:style>
  <w:style w:type="paragraph" w:styleId="34">
    <w:name w:val="Body Text 3"/>
    <w:basedOn w:val="a1"/>
    <w:link w:val="35"/>
    <w:unhideWhenUsed/>
    <w:qFormat/>
    <w:rPr>
      <w:rFonts w:ascii="仿宋_GB2312" w:eastAsia="仿宋_GB2312"/>
      <w:color w:val="000000"/>
      <w:sz w:val="30"/>
    </w:rPr>
  </w:style>
  <w:style w:type="paragraph" w:styleId="af9">
    <w:name w:val="Closing"/>
    <w:basedOn w:val="a1"/>
    <w:link w:val="afa"/>
    <w:uiPriority w:val="99"/>
    <w:qFormat/>
    <w:pPr>
      <w:ind w:leftChars="2100" w:left="100"/>
    </w:pPr>
    <w:rPr>
      <w:rFonts w:ascii="Arial" w:eastAsia="楷体_GB2312" w:hAnsi="Arial"/>
      <w:b/>
      <w:kern w:val="0"/>
      <w:szCs w:val="24"/>
    </w:rPr>
  </w:style>
  <w:style w:type="paragraph" w:styleId="30">
    <w:name w:val="List Bullet 3"/>
    <w:basedOn w:val="a1"/>
    <w:uiPriority w:val="99"/>
    <w:unhideWhenUsed/>
    <w:qFormat/>
    <w:pPr>
      <w:numPr>
        <w:numId w:val="5"/>
      </w:numPr>
      <w:snapToGrid w:val="0"/>
      <w:contextualSpacing/>
    </w:pPr>
    <w:rPr>
      <w:color w:val="000000" w:themeColor="text1"/>
      <w:sz w:val="21"/>
      <w:szCs w:val="24"/>
    </w:rPr>
  </w:style>
  <w:style w:type="paragraph" w:styleId="afb">
    <w:name w:val="Body Text"/>
    <w:basedOn w:val="a1"/>
    <w:next w:val="a1"/>
    <w:link w:val="afc"/>
    <w:qFormat/>
    <w:pPr>
      <w:spacing w:after="120"/>
    </w:pPr>
    <w:rPr>
      <w:kern w:val="0"/>
    </w:rPr>
  </w:style>
  <w:style w:type="paragraph" w:styleId="3">
    <w:name w:val="List Number 3"/>
    <w:basedOn w:val="a1"/>
    <w:uiPriority w:val="99"/>
    <w:unhideWhenUsed/>
    <w:qFormat/>
    <w:pPr>
      <w:numPr>
        <w:numId w:val="6"/>
      </w:numPr>
      <w:snapToGrid w:val="0"/>
      <w:contextualSpacing/>
    </w:pPr>
    <w:rPr>
      <w:color w:val="000000" w:themeColor="text1"/>
      <w:sz w:val="21"/>
      <w:szCs w:val="24"/>
    </w:rPr>
  </w:style>
  <w:style w:type="paragraph" w:styleId="25">
    <w:name w:val="List 2"/>
    <w:basedOn w:val="a1"/>
    <w:unhideWhenUsed/>
    <w:qFormat/>
    <w:pPr>
      <w:widowControl/>
      <w:ind w:left="840" w:hanging="420"/>
      <w:jc w:val="left"/>
    </w:pPr>
    <w:rPr>
      <w:kern w:val="0"/>
      <w:sz w:val="20"/>
    </w:rPr>
  </w:style>
  <w:style w:type="paragraph" w:styleId="afd">
    <w:name w:val="List Continue"/>
    <w:basedOn w:val="a1"/>
    <w:uiPriority w:val="99"/>
    <w:unhideWhenUsed/>
    <w:qFormat/>
    <w:pPr>
      <w:snapToGrid w:val="0"/>
      <w:spacing w:after="120"/>
      <w:ind w:leftChars="200" w:left="420"/>
      <w:contextualSpacing/>
    </w:pPr>
    <w:rPr>
      <w:color w:val="000000" w:themeColor="text1"/>
      <w:sz w:val="21"/>
      <w:szCs w:val="24"/>
    </w:rPr>
  </w:style>
  <w:style w:type="paragraph" w:styleId="afe">
    <w:name w:val="Block Text"/>
    <w:basedOn w:val="a1"/>
    <w:uiPriority w:val="99"/>
    <w:unhideWhenUsed/>
    <w:qFormat/>
    <w:pPr>
      <w:snapToGrid w:val="0"/>
      <w:spacing w:after="120"/>
      <w:ind w:leftChars="700" w:left="1440" w:rightChars="700" w:right="1440"/>
    </w:pPr>
    <w:rPr>
      <w:color w:val="000000" w:themeColor="text1"/>
      <w:sz w:val="21"/>
      <w:szCs w:val="24"/>
    </w:rPr>
  </w:style>
  <w:style w:type="paragraph" w:styleId="20">
    <w:name w:val="List Bullet 2"/>
    <w:basedOn w:val="a1"/>
    <w:uiPriority w:val="99"/>
    <w:unhideWhenUsed/>
    <w:qFormat/>
    <w:pPr>
      <w:numPr>
        <w:numId w:val="7"/>
      </w:numPr>
      <w:tabs>
        <w:tab w:val="clear" w:pos="780"/>
        <w:tab w:val="left" w:pos="1620"/>
      </w:tabs>
      <w:snapToGrid w:val="0"/>
      <w:ind w:leftChars="600" w:left="1620"/>
      <w:contextualSpacing/>
    </w:pPr>
    <w:rPr>
      <w:color w:val="000000" w:themeColor="text1"/>
      <w:sz w:val="21"/>
      <w:szCs w:val="24"/>
    </w:rPr>
  </w:style>
  <w:style w:type="paragraph" w:styleId="HTML">
    <w:name w:val="HTML Address"/>
    <w:basedOn w:val="a1"/>
    <w:link w:val="HTML0"/>
    <w:uiPriority w:val="99"/>
    <w:unhideWhenUsed/>
    <w:qFormat/>
    <w:pPr>
      <w:snapToGrid w:val="0"/>
    </w:pPr>
    <w:rPr>
      <w:i/>
      <w:iCs/>
      <w:color w:val="000000" w:themeColor="text1"/>
      <w:sz w:val="21"/>
      <w:szCs w:val="24"/>
    </w:rPr>
  </w:style>
  <w:style w:type="paragraph" w:styleId="43">
    <w:name w:val="index 4"/>
    <w:basedOn w:val="a1"/>
    <w:next w:val="a1"/>
    <w:autoRedefine/>
    <w:semiHidden/>
    <w:unhideWhenUsed/>
    <w:qFormat/>
    <w:pPr>
      <w:snapToGrid w:val="0"/>
      <w:ind w:leftChars="600" w:left="600"/>
    </w:pPr>
    <w:rPr>
      <w:color w:val="000000" w:themeColor="text1"/>
      <w:sz w:val="21"/>
      <w:szCs w:val="24"/>
    </w:rPr>
  </w:style>
  <w:style w:type="paragraph" w:styleId="TOC5">
    <w:name w:val="toc 5"/>
    <w:basedOn w:val="a1"/>
    <w:next w:val="a1"/>
    <w:uiPriority w:val="39"/>
    <w:qFormat/>
    <w:pPr>
      <w:ind w:left="840"/>
      <w:jc w:val="left"/>
    </w:pPr>
    <w:rPr>
      <w:rFonts w:ascii="Calibri" w:hAnsi="Calibri" w:cs="Calibri"/>
      <w:sz w:val="18"/>
      <w:szCs w:val="18"/>
    </w:rPr>
  </w:style>
  <w:style w:type="paragraph" w:styleId="TOC3">
    <w:name w:val="toc 3"/>
    <w:basedOn w:val="a1"/>
    <w:next w:val="a1"/>
    <w:uiPriority w:val="39"/>
    <w:unhideWhenUsed/>
    <w:qFormat/>
    <w:pPr>
      <w:ind w:left="420"/>
      <w:jc w:val="left"/>
    </w:pPr>
    <w:rPr>
      <w:rFonts w:ascii="Calibri" w:hAnsi="Calibri" w:cs="Calibri"/>
      <w:i/>
      <w:iCs/>
      <w:sz w:val="20"/>
    </w:rPr>
  </w:style>
  <w:style w:type="paragraph" w:styleId="aff">
    <w:name w:val="Plain Text"/>
    <w:basedOn w:val="a1"/>
    <w:link w:val="aff0"/>
    <w:qFormat/>
    <w:rPr>
      <w:rFonts w:ascii="宋体" w:hAnsi="Courier New"/>
      <w:sz w:val="21"/>
    </w:rPr>
  </w:style>
  <w:style w:type="paragraph" w:styleId="50">
    <w:name w:val="List Bullet 5"/>
    <w:basedOn w:val="a1"/>
    <w:uiPriority w:val="99"/>
    <w:unhideWhenUsed/>
    <w:qFormat/>
    <w:pPr>
      <w:numPr>
        <w:numId w:val="8"/>
      </w:numPr>
      <w:snapToGrid w:val="0"/>
      <w:contextualSpacing/>
    </w:pPr>
    <w:rPr>
      <w:color w:val="000000" w:themeColor="text1"/>
      <w:sz w:val="21"/>
      <w:szCs w:val="24"/>
    </w:rPr>
  </w:style>
  <w:style w:type="paragraph" w:styleId="4">
    <w:name w:val="List Number 4"/>
    <w:basedOn w:val="a1"/>
    <w:uiPriority w:val="99"/>
    <w:unhideWhenUsed/>
    <w:qFormat/>
    <w:pPr>
      <w:numPr>
        <w:numId w:val="9"/>
      </w:numPr>
      <w:snapToGrid w:val="0"/>
      <w:contextualSpacing/>
    </w:pPr>
    <w:rPr>
      <w:color w:val="000000" w:themeColor="text1"/>
      <w:sz w:val="21"/>
      <w:szCs w:val="24"/>
    </w:rPr>
  </w:style>
  <w:style w:type="paragraph" w:styleId="TOC8">
    <w:name w:val="toc 8"/>
    <w:basedOn w:val="a1"/>
    <w:next w:val="a1"/>
    <w:uiPriority w:val="39"/>
    <w:qFormat/>
    <w:pPr>
      <w:ind w:left="1470"/>
      <w:jc w:val="left"/>
    </w:pPr>
    <w:rPr>
      <w:rFonts w:ascii="Calibri" w:hAnsi="Calibri" w:cs="Calibri"/>
      <w:sz w:val="18"/>
      <w:szCs w:val="18"/>
    </w:rPr>
  </w:style>
  <w:style w:type="paragraph" w:styleId="36">
    <w:name w:val="index 3"/>
    <w:basedOn w:val="a1"/>
    <w:next w:val="a1"/>
    <w:autoRedefine/>
    <w:semiHidden/>
    <w:unhideWhenUsed/>
    <w:qFormat/>
    <w:pPr>
      <w:snapToGrid w:val="0"/>
      <w:ind w:leftChars="400" w:left="400"/>
    </w:pPr>
    <w:rPr>
      <w:color w:val="000000" w:themeColor="text1"/>
      <w:sz w:val="21"/>
      <w:szCs w:val="24"/>
    </w:rPr>
  </w:style>
  <w:style w:type="paragraph" w:styleId="aff1">
    <w:name w:val="Date"/>
    <w:basedOn w:val="a1"/>
    <w:next w:val="a1"/>
    <w:link w:val="aff2"/>
    <w:qFormat/>
    <w:rPr>
      <w:sz w:val="28"/>
      <w:szCs w:val="24"/>
    </w:rPr>
  </w:style>
  <w:style w:type="paragraph" w:styleId="26">
    <w:name w:val="Body Text Indent 2"/>
    <w:basedOn w:val="a1"/>
    <w:next w:val="a1"/>
    <w:link w:val="27"/>
    <w:qFormat/>
    <w:pPr>
      <w:spacing w:line="360" w:lineRule="auto"/>
      <w:ind w:firstLineChars="200" w:firstLine="480"/>
    </w:pPr>
  </w:style>
  <w:style w:type="paragraph" w:styleId="aff3">
    <w:name w:val="endnote text"/>
    <w:basedOn w:val="a1"/>
    <w:link w:val="aff4"/>
    <w:unhideWhenUsed/>
    <w:qFormat/>
    <w:pPr>
      <w:snapToGrid w:val="0"/>
      <w:jc w:val="left"/>
    </w:pPr>
    <w:rPr>
      <w:color w:val="000000" w:themeColor="text1"/>
      <w:sz w:val="21"/>
      <w:szCs w:val="24"/>
    </w:rPr>
  </w:style>
  <w:style w:type="paragraph" w:styleId="54">
    <w:name w:val="List Continue 5"/>
    <w:basedOn w:val="a1"/>
    <w:uiPriority w:val="99"/>
    <w:unhideWhenUsed/>
    <w:qFormat/>
    <w:pPr>
      <w:snapToGrid w:val="0"/>
      <w:spacing w:after="120"/>
      <w:ind w:leftChars="1000" w:left="2100"/>
      <w:contextualSpacing/>
    </w:pPr>
    <w:rPr>
      <w:color w:val="000000" w:themeColor="text1"/>
      <w:sz w:val="21"/>
      <w:szCs w:val="24"/>
    </w:rPr>
  </w:style>
  <w:style w:type="paragraph" w:styleId="aff5">
    <w:name w:val="Balloon Text"/>
    <w:basedOn w:val="a1"/>
    <w:link w:val="aff6"/>
    <w:uiPriority w:val="99"/>
    <w:unhideWhenUsed/>
    <w:qFormat/>
    <w:rPr>
      <w:kern w:val="0"/>
      <w:sz w:val="18"/>
      <w:szCs w:val="18"/>
    </w:rPr>
  </w:style>
  <w:style w:type="paragraph" w:styleId="aff7">
    <w:name w:val="footer"/>
    <w:basedOn w:val="a1"/>
    <w:link w:val="aff8"/>
    <w:uiPriority w:val="99"/>
    <w:unhideWhenUsed/>
    <w:qFormat/>
    <w:pPr>
      <w:tabs>
        <w:tab w:val="center" w:pos="4153"/>
        <w:tab w:val="right" w:pos="8306"/>
      </w:tabs>
      <w:snapToGrid w:val="0"/>
      <w:jc w:val="left"/>
    </w:pPr>
    <w:rPr>
      <w:kern w:val="0"/>
      <w:sz w:val="18"/>
      <w:szCs w:val="18"/>
    </w:rPr>
  </w:style>
  <w:style w:type="paragraph" w:styleId="aff9">
    <w:name w:val="envelope return"/>
    <w:basedOn w:val="a1"/>
    <w:uiPriority w:val="99"/>
    <w:unhideWhenUsed/>
    <w:qFormat/>
    <w:pPr>
      <w:snapToGrid w:val="0"/>
    </w:pPr>
    <w:rPr>
      <w:rFonts w:ascii="Cambria" w:hAnsi="Cambria"/>
      <w:color w:val="000000" w:themeColor="text1"/>
      <w:sz w:val="21"/>
      <w:szCs w:val="24"/>
    </w:rPr>
  </w:style>
  <w:style w:type="paragraph" w:styleId="affa">
    <w:name w:val="header"/>
    <w:basedOn w:val="a1"/>
    <w:link w:val="affb"/>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affc">
    <w:name w:val="Signature"/>
    <w:basedOn w:val="a1"/>
    <w:link w:val="affd"/>
    <w:unhideWhenUsed/>
    <w:qFormat/>
    <w:pPr>
      <w:snapToGrid w:val="0"/>
      <w:ind w:leftChars="2100" w:left="100"/>
    </w:pPr>
    <w:rPr>
      <w:color w:val="000000" w:themeColor="text1"/>
      <w:sz w:val="21"/>
      <w:szCs w:val="24"/>
    </w:rPr>
  </w:style>
  <w:style w:type="paragraph" w:styleId="TOC1">
    <w:name w:val="toc 1"/>
    <w:basedOn w:val="a1"/>
    <w:next w:val="a1"/>
    <w:uiPriority w:val="39"/>
    <w:unhideWhenUsed/>
    <w:qFormat/>
    <w:pPr>
      <w:tabs>
        <w:tab w:val="right" w:leader="dot" w:pos="8962"/>
      </w:tabs>
      <w:spacing w:line="360" w:lineRule="auto"/>
    </w:pPr>
  </w:style>
  <w:style w:type="paragraph" w:styleId="44">
    <w:name w:val="List Continue 4"/>
    <w:basedOn w:val="a1"/>
    <w:uiPriority w:val="99"/>
    <w:unhideWhenUsed/>
    <w:qFormat/>
    <w:pPr>
      <w:snapToGrid w:val="0"/>
      <w:spacing w:after="120"/>
      <w:ind w:leftChars="800" w:left="1680"/>
      <w:contextualSpacing/>
    </w:pPr>
    <w:rPr>
      <w:color w:val="000000" w:themeColor="text1"/>
      <w:sz w:val="21"/>
      <w:szCs w:val="24"/>
    </w:rPr>
  </w:style>
  <w:style w:type="paragraph" w:styleId="TOC4">
    <w:name w:val="toc 4"/>
    <w:basedOn w:val="a1"/>
    <w:next w:val="a1"/>
    <w:uiPriority w:val="39"/>
    <w:qFormat/>
    <w:pPr>
      <w:ind w:left="630"/>
      <w:jc w:val="left"/>
    </w:pPr>
    <w:rPr>
      <w:rFonts w:ascii="Calibri" w:hAnsi="Calibri" w:cs="Calibri"/>
      <w:sz w:val="18"/>
      <w:szCs w:val="18"/>
    </w:rPr>
  </w:style>
  <w:style w:type="paragraph" w:styleId="affe">
    <w:name w:val="index heading"/>
    <w:basedOn w:val="a1"/>
    <w:next w:val="11"/>
    <w:semiHidden/>
    <w:unhideWhenUsed/>
    <w:qFormat/>
    <w:pPr>
      <w:snapToGrid w:val="0"/>
    </w:pPr>
    <w:rPr>
      <w:rFonts w:ascii="Cambria" w:hAnsi="Cambria"/>
      <w:b/>
      <w:bCs/>
      <w:color w:val="000000" w:themeColor="text1"/>
      <w:sz w:val="21"/>
      <w:szCs w:val="24"/>
    </w:rPr>
  </w:style>
  <w:style w:type="paragraph" w:styleId="11">
    <w:name w:val="index 1"/>
    <w:basedOn w:val="a1"/>
    <w:next w:val="a1"/>
    <w:autoRedefine/>
    <w:uiPriority w:val="99"/>
    <w:unhideWhenUsed/>
    <w:qFormat/>
    <w:pPr>
      <w:snapToGrid w:val="0"/>
    </w:pPr>
    <w:rPr>
      <w:color w:val="000000" w:themeColor="text1"/>
      <w:sz w:val="21"/>
      <w:szCs w:val="24"/>
    </w:rPr>
  </w:style>
  <w:style w:type="paragraph" w:styleId="afff">
    <w:name w:val="Subtitle"/>
    <w:basedOn w:val="a1"/>
    <w:next w:val="a1"/>
    <w:link w:val="afff0"/>
    <w:qFormat/>
    <w:pPr>
      <w:snapToGrid w:val="0"/>
      <w:spacing w:before="240" w:after="60" w:line="312" w:lineRule="auto"/>
      <w:jc w:val="center"/>
      <w:outlineLvl w:val="1"/>
    </w:pPr>
    <w:rPr>
      <w:rFonts w:ascii="Cambria" w:hAnsi="Cambria"/>
      <w:b/>
      <w:bCs/>
      <w:color w:val="000000" w:themeColor="text1"/>
      <w:kern w:val="28"/>
      <w:sz w:val="32"/>
      <w:szCs w:val="32"/>
    </w:rPr>
  </w:style>
  <w:style w:type="paragraph" w:styleId="5">
    <w:name w:val="List Number 5"/>
    <w:basedOn w:val="a1"/>
    <w:uiPriority w:val="99"/>
    <w:unhideWhenUsed/>
    <w:qFormat/>
    <w:pPr>
      <w:numPr>
        <w:numId w:val="10"/>
      </w:numPr>
      <w:snapToGrid w:val="0"/>
      <w:contextualSpacing/>
    </w:pPr>
    <w:rPr>
      <w:color w:val="000000" w:themeColor="text1"/>
      <w:sz w:val="21"/>
      <w:szCs w:val="24"/>
    </w:rPr>
  </w:style>
  <w:style w:type="paragraph" w:styleId="afff1">
    <w:name w:val="List"/>
    <w:basedOn w:val="a1"/>
    <w:uiPriority w:val="99"/>
    <w:unhideWhenUsed/>
    <w:qFormat/>
    <w:pPr>
      <w:snapToGrid w:val="0"/>
      <w:ind w:left="200" w:hangingChars="200" w:hanging="200"/>
      <w:contextualSpacing/>
    </w:pPr>
    <w:rPr>
      <w:color w:val="000000" w:themeColor="text1"/>
      <w:sz w:val="21"/>
      <w:szCs w:val="24"/>
    </w:rPr>
  </w:style>
  <w:style w:type="paragraph" w:styleId="afff2">
    <w:name w:val="footnote text"/>
    <w:basedOn w:val="a1"/>
    <w:link w:val="afff3"/>
    <w:unhideWhenUsed/>
    <w:qFormat/>
    <w:pPr>
      <w:snapToGrid w:val="0"/>
      <w:spacing w:line="460" w:lineRule="exact"/>
      <w:ind w:firstLineChars="200" w:firstLine="200"/>
      <w:jc w:val="left"/>
    </w:pPr>
    <w:rPr>
      <w:sz w:val="18"/>
      <w:szCs w:val="18"/>
    </w:rPr>
  </w:style>
  <w:style w:type="paragraph" w:styleId="TOC6">
    <w:name w:val="toc 6"/>
    <w:basedOn w:val="a1"/>
    <w:next w:val="a1"/>
    <w:uiPriority w:val="39"/>
    <w:qFormat/>
    <w:pPr>
      <w:ind w:left="1050"/>
      <w:jc w:val="left"/>
    </w:pPr>
    <w:rPr>
      <w:rFonts w:ascii="Calibri" w:hAnsi="Calibri" w:cs="Calibri"/>
      <w:sz w:val="18"/>
      <w:szCs w:val="18"/>
    </w:rPr>
  </w:style>
  <w:style w:type="paragraph" w:styleId="55">
    <w:name w:val="List 5"/>
    <w:basedOn w:val="a1"/>
    <w:uiPriority w:val="99"/>
    <w:unhideWhenUsed/>
    <w:qFormat/>
    <w:pPr>
      <w:snapToGrid w:val="0"/>
      <w:ind w:leftChars="800" w:left="100" w:hangingChars="200" w:hanging="200"/>
      <w:contextualSpacing/>
    </w:pPr>
    <w:rPr>
      <w:color w:val="000000" w:themeColor="text1"/>
      <w:sz w:val="21"/>
      <w:szCs w:val="24"/>
    </w:rPr>
  </w:style>
  <w:style w:type="paragraph" w:styleId="37">
    <w:name w:val="Body Text Indent 3"/>
    <w:basedOn w:val="a1"/>
    <w:link w:val="38"/>
    <w:qFormat/>
    <w:pPr>
      <w:spacing w:line="360" w:lineRule="auto"/>
      <w:ind w:firstLineChars="405" w:firstLine="972"/>
    </w:pPr>
    <w:rPr>
      <w:bCs/>
      <w:szCs w:val="24"/>
    </w:rPr>
  </w:style>
  <w:style w:type="paragraph" w:styleId="71">
    <w:name w:val="index 7"/>
    <w:basedOn w:val="a1"/>
    <w:next w:val="a1"/>
    <w:autoRedefine/>
    <w:semiHidden/>
    <w:unhideWhenUsed/>
    <w:qFormat/>
    <w:pPr>
      <w:snapToGrid w:val="0"/>
      <w:ind w:leftChars="1200" w:left="1200"/>
    </w:pPr>
    <w:rPr>
      <w:color w:val="000000" w:themeColor="text1"/>
      <w:sz w:val="21"/>
      <w:szCs w:val="24"/>
    </w:rPr>
  </w:style>
  <w:style w:type="paragraph" w:styleId="91">
    <w:name w:val="index 9"/>
    <w:basedOn w:val="a1"/>
    <w:next w:val="a1"/>
    <w:autoRedefine/>
    <w:semiHidden/>
    <w:unhideWhenUsed/>
    <w:qFormat/>
    <w:pPr>
      <w:snapToGrid w:val="0"/>
      <w:ind w:leftChars="1600" w:left="1600"/>
    </w:pPr>
    <w:rPr>
      <w:color w:val="000000" w:themeColor="text1"/>
      <w:sz w:val="21"/>
      <w:szCs w:val="24"/>
    </w:rPr>
  </w:style>
  <w:style w:type="paragraph" w:styleId="afff4">
    <w:name w:val="table of figures"/>
    <w:basedOn w:val="a1"/>
    <w:next w:val="a1"/>
    <w:qFormat/>
    <w:pPr>
      <w:ind w:left="420" w:hanging="420"/>
      <w:jc w:val="left"/>
    </w:pPr>
    <w:rPr>
      <w:rFonts w:ascii="Calibri" w:hAnsi="Calibri" w:cs="Calibri"/>
      <w:smallCaps/>
      <w:sz w:val="20"/>
    </w:rPr>
  </w:style>
  <w:style w:type="paragraph" w:styleId="TOC2">
    <w:name w:val="toc 2"/>
    <w:basedOn w:val="a1"/>
    <w:next w:val="a1"/>
    <w:uiPriority w:val="39"/>
    <w:unhideWhenUsed/>
    <w:qFormat/>
    <w:pPr>
      <w:ind w:leftChars="200" w:left="420"/>
    </w:pPr>
  </w:style>
  <w:style w:type="paragraph" w:styleId="TOC9">
    <w:name w:val="toc 9"/>
    <w:basedOn w:val="a1"/>
    <w:next w:val="a1"/>
    <w:uiPriority w:val="39"/>
    <w:qFormat/>
    <w:pPr>
      <w:ind w:left="1680"/>
      <w:jc w:val="left"/>
    </w:pPr>
    <w:rPr>
      <w:rFonts w:ascii="Calibri" w:hAnsi="Calibri" w:cs="Calibri"/>
      <w:sz w:val="18"/>
      <w:szCs w:val="18"/>
    </w:rPr>
  </w:style>
  <w:style w:type="paragraph" w:styleId="28">
    <w:name w:val="Body Text 2"/>
    <w:basedOn w:val="a1"/>
    <w:link w:val="29"/>
    <w:unhideWhenUsed/>
    <w:qFormat/>
    <w:pPr>
      <w:snapToGrid w:val="0"/>
      <w:spacing w:after="120" w:line="480" w:lineRule="auto"/>
    </w:pPr>
    <w:rPr>
      <w:color w:val="000000" w:themeColor="text1"/>
      <w:sz w:val="21"/>
      <w:szCs w:val="24"/>
    </w:rPr>
  </w:style>
  <w:style w:type="paragraph" w:styleId="45">
    <w:name w:val="List 4"/>
    <w:basedOn w:val="a1"/>
    <w:uiPriority w:val="99"/>
    <w:unhideWhenUsed/>
    <w:qFormat/>
    <w:pPr>
      <w:snapToGrid w:val="0"/>
      <w:ind w:leftChars="600" w:left="100" w:hangingChars="200" w:hanging="200"/>
      <w:contextualSpacing/>
    </w:pPr>
    <w:rPr>
      <w:color w:val="000000" w:themeColor="text1"/>
      <w:sz w:val="21"/>
      <w:szCs w:val="24"/>
    </w:rPr>
  </w:style>
  <w:style w:type="paragraph" w:styleId="2a">
    <w:name w:val="List Continue 2"/>
    <w:basedOn w:val="a1"/>
    <w:uiPriority w:val="99"/>
    <w:unhideWhenUsed/>
    <w:qFormat/>
    <w:pPr>
      <w:snapToGrid w:val="0"/>
      <w:spacing w:after="120"/>
      <w:ind w:leftChars="400" w:left="840"/>
      <w:contextualSpacing/>
    </w:pPr>
    <w:rPr>
      <w:color w:val="000000" w:themeColor="text1"/>
      <w:sz w:val="21"/>
      <w:szCs w:val="24"/>
    </w:rPr>
  </w:style>
  <w:style w:type="paragraph" w:styleId="afff5">
    <w:name w:val="Message Header"/>
    <w:basedOn w:val="a1"/>
    <w:link w:val="afff6"/>
    <w:unhideWhenUsed/>
    <w:qFormat/>
    <w:pPr>
      <w:pBdr>
        <w:top w:val="single" w:sz="6" w:space="1" w:color="auto"/>
        <w:left w:val="single" w:sz="6" w:space="1" w:color="auto"/>
        <w:bottom w:val="single" w:sz="6" w:space="1" w:color="auto"/>
        <w:right w:val="single" w:sz="6" w:space="1" w:color="auto"/>
      </w:pBdr>
      <w:shd w:val="pct20" w:color="auto" w:fill="auto"/>
      <w:snapToGrid w:val="0"/>
      <w:ind w:leftChars="500" w:left="1080" w:hangingChars="500" w:hanging="1080"/>
    </w:pPr>
    <w:rPr>
      <w:rFonts w:ascii="Cambria" w:hAnsi="Cambria"/>
      <w:color w:val="000000" w:themeColor="text1"/>
      <w:szCs w:val="24"/>
    </w:rPr>
  </w:style>
  <w:style w:type="paragraph" w:styleId="HTML1">
    <w:name w:val="HTML Preformatted"/>
    <w:basedOn w:val="a1"/>
    <w:link w:val="HTML2"/>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Cs w:val="24"/>
    </w:rPr>
  </w:style>
  <w:style w:type="paragraph" w:styleId="afff7">
    <w:name w:val="Normal (Web)"/>
    <w:basedOn w:val="a1"/>
    <w:link w:val="afff8"/>
    <w:qFormat/>
    <w:pPr>
      <w:widowControl/>
      <w:spacing w:after="225"/>
      <w:jc w:val="left"/>
    </w:pPr>
    <w:rPr>
      <w:rFonts w:ascii="Arial" w:eastAsia="Times New Roman" w:hAnsi="Arial"/>
      <w:kern w:val="0"/>
      <w:szCs w:val="24"/>
    </w:rPr>
  </w:style>
  <w:style w:type="paragraph" w:styleId="39">
    <w:name w:val="List Continue 3"/>
    <w:basedOn w:val="a1"/>
    <w:uiPriority w:val="99"/>
    <w:unhideWhenUsed/>
    <w:qFormat/>
    <w:pPr>
      <w:snapToGrid w:val="0"/>
      <w:spacing w:after="120"/>
      <w:ind w:leftChars="600" w:left="1260"/>
      <w:contextualSpacing/>
    </w:pPr>
    <w:rPr>
      <w:color w:val="000000" w:themeColor="text1"/>
      <w:sz w:val="21"/>
      <w:szCs w:val="24"/>
    </w:rPr>
  </w:style>
  <w:style w:type="paragraph" w:styleId="2b">
    <w:name w:val="index 2"/>
    <w:basedOn w:val="a1"/>
    <w:next w:val="a1"/>
    <w:autoRedefine/>
    <w:semiHidden/>
    <w:unhideWhenUsed/>
    <w:qFormat/>
    <w:pPr>
      <w:snapToGrid w:val="0"/>
      <w:ind w:leftChars="200" w:left="200"/>
    </w:pPr>
    <w:rPr>
      <w:color w:val="000000" w:themeColor="text1"/>
      <w:sz w:val="21"/>
      <w:szCs w:val="24"/>
    </w:rPr>
  </w:style>
  <w:style w:type="paragraph" w:styleId="afff9">
    <w:name w:val="Title"/>
    <w:basedOn w:val="a1"/>
    <w:next w:val="a1"/>
    <w:link w:val="afffa"/>
    <w:uiPriority w:val="10"/>
    <w:qFormat/>
    <w:pPr>
      <w:topLinePunct/>
      <w:adjustRightInd w:val="0"/>
      <w:snapToGrid w:val="0"/>
      <w:spacing w:line="360" w:lineRule="auto"/>
      <w:jc w:val="left"/>
      <w:outlineLvl w:val="0"/>
    </w:pPr>
    <w:rPr>
      <w:b/>
      <w:bCs/>
      <w:kern w:val="0"/>
      <w:szCs w:val="24"/>
    </w:rPr>
  </w:style>
  <w:style w:type="paragraph" w:styleId="afffb">
    <w:name w:val="annotation subject"/>
    <w:basedOn w:val="af5"/>
    <w:next w:val="af5"/>
    <w:link w:val="afffc"/>
    <w:uiPriority w:val="99"/>
    <w:unhideWhenUsed/>
    <w:qFormat/>
    <w:rPr>
      <w:b/>
      <w:bCs/>
    </w:rPr>
  </w:style>
  <w:style w:type="paragraph" w:styleId="afffd">
    <w:name w:val="Body Text First Indent"/>
    <w:basedOn w:val="afb"/>
    <w:link w:val="afffe"/>
    <w:unhideWhenUsed/>
    <w:qFormat/>
    <w:pPr>
      <w:snapToGrid w:val="0"/>
      <w:ind w:firstLineChars="100" w:firstLine="420"/>
    </w:pPr>
    <w:rPr>
      <w:color w:val="000000" w:themeColor="text1"/>
      <w:sz w:val="21"/>
      <w:szCs w:val="24"/>
    </w:rPr>
  </w:style>
  <w:style w:type="table" w:styleId="affff">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Table Simple 1"/>
    <w:basedOn w:val="a3"/>
    <w:unhideWhenUsed/>
    <w:qFormat/>
    <w:pPr>
      <w:widowControl w:val="0"/>
      <w:snapToGrid w:val="0"/>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fff0">
    <w:name w:val="Strong"/>
    <w:uiPriority w:val="22"/>
    <w:qFormat/>
    <w:rPr>
      <w:b/>
      <w:bCs/>
    </w:rPr>
  </w:style>
  <w:style w:type="character" w:styleId="affff1">
    <w:name w:val="page number"/>
    <w:qFormat/>
  </w:style>
  <w:style w:type="character" w:styleId="affff2">
    <w:name w:val="FollowedHyperlink"/>
    <w:unhideWhenUsed/>
    <w:qFormat/>
    <w:rPr>
      <w:color w:val="800080"/>
      <w:u w:val="single"/>
    </w:rPr>
  </w:style>
  <w:style w:type="character" w:styleId="affff3">
    <w:name w:val="Emphasis"/>
    <w:uiPriority w:val="20"/>
    <w:qFormat/>
    <w:rPr>
      <w:i/>
      <w:iCs/>
    </w:rPr>
  </w:style>
  <w:style w:type="character" w:styleId="affff4">
    <w:name w:val="Hyperlink"/>
    <w:basedOn w:val="a2"/>
    <w:uiPriority w:val="99"/>
    <w:unhideWhenUsed/>
    <w:qFormat/>
    <w:rPr>
      <w:color w:val="0000FF"/>
      <w:u w:val="single"/>
    </w:rPr>
  </w:style>
  <w:style w:type="character" w:styleId="affff5">
    <w:name w:val="annotation reference"/>
    <w:unhideWhenUsed/>
    <w:qFormat/>
    <w:rPr>
      <w:sz w:val="21"/>
      <w:szCs w:val="21"/>
    </w:rPr>
  </w:style>
  <w:style w:type="character" w:styleId="affff6">
    <w:name w:val="footnote reference"/>
    <w:unhideWhenUsed/>
    <w:qFormat/>
    <w:rPr>
      <w:vertAlign w:val="superscript"/>
    </w:rPr>
  </w:style>
  <w:style w:type="character" w:styleId="HTML3">
    <w:name w:val="HTML Sample"/>
    <w:qFormat/>
    <w:rPr>
      <w:rFonts w:ascii="Courier New" w:hAnsi="Courier New" w:cs="Courier New"/>
    </w:rPr>
  </w:style>
  <w:style w:type="paragraph" w:customStyle="1" w:styleId="Default">
    <w:name w:val="Default"/>
    <w:basedOn w:val="tit10"/>
    <w:qFormat/>
    <w:pPr>
      <w:autoSpaceDE w:val="0"/>
      <w:autoSpaceDN w:val="0"/>
      <w:adjustRightInd w:val="0"/>
    </w:pPr>
    <w:rPr>
      <w:rFonts w:ascii="仿宋" w:eastAsia="仿宋" w:cs="仿宋"/>
      <w:color w:val="000000"/>
    </w:rPr>
  </w:style>
  <w:style w:type="paragraph" w:customStyle="1" w:styleId="tit10">
    <w:name w:val="tit10"/>
    <w:basedOn w:val="a1"/>
    <w:autoRedefine/>
    <w:qFormat/>
    <w:pPr>
      <w:spacing w:line="750" w:lineRule="atLeast"/>
      <w:ind w:right="270"/>
      <w:jc w:val="right"/>
    </w:pPr>
    <w:rPr>
      <w:color w:val="333333"/>
      <w:kern w:val="0"/>
      <w:szCs w:val="24"/>
    </w:rPr>
  </w:style>
  <w:style w:type="paragraph" w:customStyle="1" w:styleId="toc71">
    <w:name w:val="toc 71"/>
    <w:next w:val="a1"/>
    <w:autoRedefine/>
    <w:qFormat/>
    <w:pPr>
      <w:wordWrap w:val="0"/>
      <w:ind w:left="2550"/>
      <w:jc w:val="both"/>
    </w:pPr>
    <w:rPr>
      <w:sz w:val="21"/>
      <w:szCs w:val="22"/>
    </w:rPr>
  </w:style>
  <w:style w:type="paragraph" w:customStyle="1" w:styleId="Default1">
    <w:name w:val="Default1"/>
    <w:unhideWhenUsed/>
    <w:qFormat/>
    <w:pPr>
      <w:widowControl w:val="0"/>
      <w:autoSpaceDE w:val="0"/>
      <w:autoSpaceDN w:val="0"/>
      <w:adjustRightInd w:val="0"/>
    </w:pPr>
    <w:rPr>
      <w:rFonts w:ascii="宋体" w:cs="宋体" w:hint="eastAsia"/>
      <w:color w:val="000000"/>
      <w:sz w:val="24"/>
      <w:szCs w:val="24"/>
    </w:rPr>
  </w:style>
  <w:style w:type="paragraph" w:customStyle="1" w:styleId="Style52">
    <w:name w:val="_Style 52"/>
    <w:basedOn w:val="1"/>
    <w:next w:val="a1"/>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310">
    <w:name w:val="标题 31"/>
    <w:basedOn w:val="a1"/>
    <w:uiPriority w:val="1"/>
    <w:qFormat/>
    <w:pPr>
      <w:autoSpaceDE w:val="0"/>
      <w:autoSpaceDN w:val="0"/>
      <w:adjustRightInd w:val="0"/>
      <w:jc w:val="left"/>
      <w:outlineLvl w:val="2"/>
    </w:pPr>
    <w:rPr>
      <w:rFonts w:ascii="黑体" w:eastAsia="黑体" w:cs="黑体"/>
      <w:kern w:val="0"/>
      <w:sz w:val="32"/>
      <w:szCs w:val="32"/>
    </w:rPr>
  </w:style>
  <w:style w:type="paragraph" w:customStyle="1" w:styleId="ParaChar">
    <w:name w:val="默认段落字体 Para Char"/>
    <w:basedOn w:val="a1"/>
    <w:next w:val="a1"/>
    <w:qFormat/>
    <w:pPr>
      <w:spacing w:line="360" w:lineRule="auto"/>
      <w:ind w:firstLineChars="200" w:firstLine="200"/>
    </w:pPr>
    <w:rPr>
      <w:rFonts w:ascii="宋体" w:hAnsi="宋体"/>
      <w:szCs w:val="24"/>
    </w:rPr>
  </w:style>
  <w:style w:type="paragraph" w:customStyle="1" w:styleId="210">
    <w:name w:val="标题 21"/>
    <w:basedOn w:val="a1"/>
    <w:uiPriority w:val="1"/>
    <w:qFormat/>
    <w:pPr>
      <w:autoSpaceDE w:val="0"/>
      <w:autoSpaceDN w:val="0"/>
      <w:adjustRightInd w:val="0"/>
      <w:spacing w:before="1"/>
      <w:ind w:left="2949"/>
      <w:jc w:val="left"/>
      <w:outlineLvl w:val="1"/>
    </w:pPr>
    <w:rPr>
      <w:rFonts w:ascii="宋体"/>
      <w:b/>
      <w:bCs/>
      <w:kern w:val="0"/>
      <w:sz w:val="32"/>
      <w:szCs w:val="32"/>
    </w:rPr>
  </w:style>
  <w:style w:type="paragraph" w:customStyle="1" w:styleId="410">
    <w:name w:val="标题 41"/>
    <w:basedOn w:val="a1"/>
    <w:uiPriority w:val="1"/>
    <w:qFormat/>
    <w:pPr>
      <w:autoSpaceDE w:val="0"/>
      <w:autoSpaceDN w:val="0"/>
      <w:adjustRightInd w:val="0"/>
      <w:spacing w:before="26"/>
      <w:ind w:left="118"/>
      <w:jc w:val="left"/>
      <w:outlineLvl w:val="3"/>
    </w:pPr>
    <w:rPr>
      <w:rFonts w:ascii="宋体"/>
      <w:kern w:val="0"/>
      <w:szCs w:val="24"/>
    </w:rPr>
  </w:style>
  <w:style w:type="paragraph" w:customStyle="1" w:styleId="TableParagraph">
    <w:name w:val="Table Paragraph"/>
    <w:basedOn w:val="a1"/>
    <w:qFormat/>
    <w:pPr>
      <w:autoSpaceDE w:val="0"/>
      <w:autoSpaceDN w:val="0"/>
      <w:adjustRightInd w:val="0"/>
      <w:jc w:val="left"/>
    </w:pPr>
    <w:rPr>
      <w:kern w:val="0"/>
      <w:szCs w:val="24"/>
    </w:rPr>
  </w:style>
  <w:style w:type="paragraph" w:customStyle="1" w:styleId="Char1CharCharChar">
    <w:name w:val="Char1 Char Char Char"/>
    <w:next w:val="afb"/>
    <w:qFormat/>
    <w:pPr>
      <w:shd w:val="clear" w:color="auto" w:fill="000080"/>
      <w:adjustRightInd w:val="0"/>
      <w:spacing w:line="436" w:lineRule="exact"/>
      <w:ind w:left="357"/>
      <w:outlineLvl w:val="3"/>
    </w:pPr>
    <w:rPr>
      <w:rFonts w:ascii="Tahoma" w:hAnsi="Tahoma"/>
      <w:b/>
      <w:kern w:val="2"/>
      <w:sz w:val="21"/>
      <w:szCs w:val="24"/>
    </w:rPr>
  </w:style>
  <w:style w:type="paragraph" w:customStyle="1" w:styleId="Normal0">
    <w:name w:val="Normal_0"/>
    <w:qFormat/>
    <w:pPr>
      <w:spacing w:before="120" w:after="240"/>
      <w:jc w:val="both"/>
    </w:pPr>
    <w:rPr>
      <w:rFonts w:ascii="Calibri" w:eastAsia="Calibri" w:hAnsi="Calibri"/>
      <w:sz w:val="22"/>
      <w:szCs w:val="22"/>
      <w:lang w:val="ru-RU" w:eastAsia="en-US"/>
    </w:rPr>
  </w:style>
  <w:style w:type="paragraph" w:customStyle="1" w:styleId="3a">
    <w:name w:val="普通(网站)3"/>
    <w:basedOn w:val="a1"/>
    <w:qFormat/>
    <w:pPr>
      <w:widowControl/>
      <w:spacing w:before="100" w:beforeAutospacing="1" w:after="100" w:afterAutospacing="1"/>
      <w:jc w:val="left"/>
    </w:pPr>
    <w:rPr>
      <w:rFonts w:ascii="宋体" w:hAnsi="宋体" w:hint="eastAsia"/>
    </w:rPr>
  </w:style>
  <w:style w:type="paragraph" w:customStyle="1" w:styleId="textfont">
    <w:name w:val="textfont"/>
    <w:basedOn w:val="a1"/>
    <w:qFormat/>
    <w:pPr>
      <w:widowControl/>
      <w:spacing w:before="100" w:beforeAutospacing="1" w:after="100" w:afterAutospacing="1"/>
      <w:jc w:val="left"/>
    </w:pPr>
    <w:rPr>
      <w:rFonts w:ascii="宋体" w:hAnsi="宋体"/>
      <w:kern w:val="0"/>
      <w:szCs w:val="24"/>
    </w:rPr>
  </w:style>
  <w:style w:type="paragraph" w:customStyle="1" w:styleId="3b">
    <w:name w:val="3"/>
    <w:basedOn w:val="a1"/>
    <w:next w:val="a5"/>
    <w:qFormat/>
    <w:pPr>
      <w:ind w:firstLineChars="200" w:firstLine="480"/>
    </w:pPr>
    <w:rPr>
      <w:szCs w:val="24"/>
    </w:rPr>
  </w:style>
  <w:style w:type="paragraph" w:customStyle="1" w:styleId="affff7">
    <w:name w:val="图表脚注说明"/>
    <w:basedOn w:val="a1"/>
    <w:qFormat/>
    <w:pPr>
      <w:tabs>
        <w:tab w:val="left" w:pos="360"/>
      </w:tabs>
    </w:pPr>
    <w:rPr>
      <w:rFonts w:ascii="宋体"/>
      <w:sz w:val="18"/>
      <w:szCs w:val="18"/>
    </w:rPr>
  </w:style>
  <w:style w:type="paragraph" w:customStyle="1" w:styleId="Char">
    <w:name w:val="Char"/>
    <w:basedOn w:val="a1"/>
    <w:qFormat/>
    <w:rPr>
      <w:sz w:val="21"/>
      <w:szCs w:val="24"/>
    </w:rPr>
  </w:style>
  <w:style w:type="paragraph" w:customStyle="1" w:styleId="CharCharCharCharCharCharChar">
    <w:name w:val="Char Char Char Char Char Char Char"/>
    <w:basedOn w:val="a1"/>
    <w:qFormat/>
    <w:rPr>
      <w:sz w:val="21"/>
      <w:szCs w:val="24"/>
    </w:rPr>
  </w:style>
  <w:style w:type="paragraph" w:customStyle="1" w:styleId="Char1">
    <w:name w:val="Char1"/>
    <w:basedOn w:val="a1"/>
    <w:qFormat/>
    <w:pPr>
      <w:spacing w:line="360" w:lineRule="auto"/>
      <w:ind w:firstLineChars="200" w:firstLine="200"/>
    </w:pPr>
    <w:rPr>
      <w:rFonts w:ascii="宋体" w:hAnsi="宋体"/>
      <w:szCs w:val="24"/>
    </w:rPr>
  </w:style>
  <w:style w:type="paragraph" w:customStyle="1" w:styleId="CharCharCharCharCharChar">
    <w:name w:val="Char Char Char Char Char Char"/>
    <w:basedOn w:val="a1"/>
    <w:qFormat/>
    <w:rPr>
      <w:sz w:val="21"/>
      <w:szCs w:val="24"/>
    </w:rPr>
  </w:style>
  <w:style w:type="paragraph" w:customStyle="1" w:styleId="Style69">
    <w:name w:val="_Style 69"/>
    <w:basedOn w:val="a1"/>
    <w:link w:val="affff8"/>
    <w:uiPriority w:val="34"/>
    <w:qFormat/>
    <w:pPr>
      <w:ind w:firstLineChars="200" w:firstLine="420"/>
    </w:pPr>
    <w:rPr>
      <w:sz w:val="21"/>
    </w:rPr>
  </w:style>
  <w:style w:type="paragraph" w:customStyle="1" w:styleId="affff9">
    <w:name w:val="第一级别"/>
    <w:basedOn w:val="afb"/>
    <w:next w:val="aff"/>
    <w:uiPriority w:val="99"/>
    <w:qFormat/>
    <w:pPr>
      <w:tabs>
        <w:tab w:val="left" w:pos="425"/>
        <w:tab w:val="left" w:pos="567"/>
      </w:tabs>
      <w:spacing w:beforeLines="50" w:afterLines="50" w:line="400" w:lineRule="exact"/>
      <w:ind w:left="425" w:hanging="425"/>
      <w:outlineLvl w:val="0"/>
    </w:pPr>
    <w:rPr>
      <w:rFonts w:ascii="仿宋_GB2312" w:eastAsia="仿宋_GB2312"/>
      <w:b/>
      <w:color w:val="000000"/>
      <w:kern w:val="2"/>
      <w:sz w:val="36"/>
      <w:szCs w:val="36"/>
    </w:rPr>
  </w:style>
  <w:style w:type="paragraph" w:customStyle="1" w:styleId="affffa">
    <w:name w:val="第二级别"/>
    <w:basedOn w:val="a1"/>
    <w:link w:val="Char0"/>
    <w:qFormat/>
    <w:pPr>
      <w:tabs>
        <w:tab w:val="left" w:pos="1135"/>
      </w:tabs>
      <w:spacing w:beforeLines="100" w:afterLines="100" w:line="480" w:lineRule="auto"/>
      <w:ind w:left="1135" w:hanging="567"/>
      <w:outlineLvl w:val="1"/>
    </w:pPr>
    <w:rPr>
      <w:rFonts w:ascii="仿宋_GB2312" w:eastAsia="仿宋_GB2312"/>
      <w:b/>
      <w:sz w:val="32"/>
      <w:szCs w:val="32"/>
    </w:rPr>
  </w:style>
  <w:style w:type="paragraph" w:customStyle="1" w:styleId="affffb">
    <w:name w:val="第三级别"/>
    <w:basedOn w:val="a1"/>
    <w:uiPriority w:val="99"/>
    <w:qFormat/>
    <w:pPr>
      <w:tabs>
        <w:tab w:val="left" w:pos="567"/>
      </w:tabs>
      <w:spacing w:line="480" w:lineRule="auto"/>
      <w:ind w:left="709" w:hanging="709"/>
      <w:outlineLvl w:val="2"/>
    </w:pPr>
    <w:rPr>
      <w:rFonts w:ascii="宋体" w:hAnsi="宋体"/>
      <w:b/>
      <w:szCs w:val="24"/>
    </w:rPr>
  </w:style>
  <w:style w:type="paragraph" w:customStyle="1" w:styleId="13">
    <w:name w:val="纯文本1"/>
    <w:basedOn w:val="a1"/>
    <w:qFormat/>
    <w:pPr>
      <w:adjustRightInd w:val="0"/>
      <w:jc w:val="left"/>
      <w:textAlignment w:val="baseline"/>
    </w:pPr>
    <w:rPr>
      <w:rFonts w:ascii="宋体" w:hAnsi="Courier New"/>
    </w:rPr>
  </w:style>
  <w:style w:type="paragraph" w:customStyle="1" w:styleId="affffc">
    <w:name w:val="段"/>
    <w:link w:val="CharChar"/>
    <w:qFormat/>
    <w:pPr>
      <w:tabs>
        <w:tab w:val="center" w:pos="4201"/>
        <w:tab w:val="right" w:leader="dot" w:pos="9298"/>
      </w:tabs>
      <w:autoSpaceDE w:val="0"/>
      <w:autoSpaceDN w:val="0"/>
      <w:ind w:firstLineChars="200" w:firstLine="420"/>
      <w:jc w:val="both"/>
    </w:pPr>
    <w:rPr>
      <w:rFonts w:ascii="宋体"/>
    </w:rPr>
  </w:style>
  <w:style w:type="paragraph" w:customStyle="1" w:styleId="affffd">
    <w:name w:val="字母编号列项（一级）"/>
    <w:uiPriority w:val="99"/>
    <w:qFormat/>
    <w:pPr>
      <w:tabs>
        <w:tab w:val="left" w:pos="839"/>
      </w:tabs>
      <w:jc w:val="both"/>
    </w:pPr>
    <w:rPr>
      <w:rFonts w:ascii="宋体"/>
      <w:sz w:val="21"/>
    </w:rPr>
  </w:style>
  <w:style w:type="paragraph" w:customStyle="1" w:styleId="xl20">
    <w:name w:val="xl20"/>
    <w:basedOn w:val="a1"/>
    <w:uiPriority w:val="99"/>
    <w:qFormat/>
    <w:pPr>
      <w:widowControl/>
      <w:spacing w:before="100" w:beforeAutospacing="1" w:after="100" w:afterAutospacing="1"/>
      <w:jc w:val="center"/>
    </w:pPr>
    <w:rPr>
      <w:rFonts w:ascii="宋体" w:hAnsi="宋体"/>
      <w:kern w:val="0"/>
    </w:rPr>
  </w:style>
  <w:style w:type="paragraph" w:customStyle="1" w:styleId="p0">
    <w:name w:val="p0"/>
    <w:basedOn w:val="a1"/>
    <w:uiPriority w:val="99"/>
    <w:qFormat/>
    <w:pPr>
      <w:widowControl/>
    </w:pPr>
    <w:rPr>
      <w:kern w:val="0"/>
      <w:sz w:val="21"/>
      <w:szCs w:val="21"/>
    </w:rPr>
  </w:style>
  <w:style w:type="paragraph" w:customStyle="1" w:styleId="TOC10">
    <w:name w:val="TOC 标题1"/>
    <w:basedOn w:val="1"/>
    <w:next w:val="a1"/>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text">
    <w:name w:val="text"/>
    <w:basedOn w:val="a1"/>
    <w:uiPriority w:val="99"/>
    <w:qFormat/>
    <w:pPr>
      <w:widowControl/>
      <w:spacing w:before="100" w:beforeAutospacing="1" w:after="100" w:afterAutospacing="1" w:line="320" w:lineRule="atLeast"/>
      <w:ind w:firstLine="360"/>
      <w:jc w:val="left"/>
    </w:pPr>
    <w:rPr>
      <w:rFonts w:ascii="ˎ̥" w:hAnsi="ˎ̥"/>
      <w:color w:val="000000"/>
      <w:kern w:val="0"/>
      <w:sz w:val="18"/>
      <w:szCs w:val="18"/>
    </w:rPr>
  </w:style>
  <w:style w:type="paragraph" w:customStyle="1" w:styleId="ParaCharCharCharChar">
    <w:name w:val="默认段落字体 Para Char Char Char Char"/>
    <w:basedOn w:val="a1"/>
    <w:uiPriority w:val="99"/>
    <w:qFormat/>
    <w:rPr>
      <w:sz w:val="21"/>
      <w:szCs w:val="24"/>
    </w:rPr>
  </w:style>
  <w:style w:type="paragraph" w:customStyle="1" w:styleId="GB23122">
    <w:name w:val="样式 样式 正文缩进 + 仿宋_GB2312 + 首行缩进:  2 字符"/>
    <w:basedOn w:val="a1"/>
    <w:uiPriority w:val="99"/>
    <w:qFormat/>
    <w:pPr>
      <w:adjustRightInd w:val="0"/>
      <w:snapToGrid w:val="0"/>
      <w:spacing w:line="360" w:lineRule="auto"/>
      <w:ind w:firstLineChars="200" w:firstLine="560"/>
    </w:pPr>
    <w:rPr>
      <w:rFonts w:eastAsia="仿宋_GB2312"/>
      <w:kern w:val="0"/>
      <w:sz w:val="28"/>
    </w:rPr>
  </w:style>
  <w:style w:type="paragraph" w:customStyle="1" w:styleId="CharCharCharChar">
    <w:name w:val="Char Char Char Char"/>
    <w:basedOn w:val="a1"/>
    <w:qFormat/>
    <w:pPr>
      <w:widowControl/>
      <w:spacing w:after="160" w:line="240" w:lineRule="exact"/>
      <w:jc w:val="left"/>
    </w:pPr>
    <w:rPr>
      <w:rFonts w:ascii="Verdana" w:hAnsi="Verdana"/>
      <w:kern w:val="0"/>
      <w:sz w:val="20"/>
      <w:lang w:eastAsia="en-US"/>
    </w:rPr>
  </w:style>
  <w:style w:type="paragraph" w:customStyle="1" w:styleId="CharChar1Char">
    <w:name w:val="Char Char1 Char"/>
    <w:basedOn w:val="a1"/>
    <w:uiPriority w:val="99"/>
    <w:qFormat/>
    <w:pPr>
      <w:widowControl/>
      <w:spacing w:after="160" w:line="240" w:lineRule="exact"/>
      <w:jc w:val="left"/>
    </w:pPr>
    <w:rPr>
      <w:rFonts w:ascii="Verdana" w:hAnsi="Verdana"/>
      <w:kern w:val="0"/>
      <w:sz w:val="20"/>
      <w:lang w:eastAsia="en-US"/>
    </w:rPr>
  </w:style>
  <w:style w:type="paragraph" w:customStyle="1" w:styleId="CharCharCharCharChar">
    <w:name w:val="Char Char Char Char Char"/>
    <w:basedOn w:val="a1"/>
    <w:uiPriority w:val="99"/>
    <w:qFormat/>
    <w:pPr>
      <w:widowControl/>
      <w:spacing w:after="160" w:line="240" w:lineRule="exact"/>
      <w:jc w:val="left"/>
    </w:pPr>
    <w:rPr>
      <w:rFonts w:ascii="Verdana" w:hAnsi="Verdana"/>
      <w:kern w:val="0"/>
      <w:sz w:val="20"/>
      <w:lang w:eastAsia="en-US"/>
    </w:rPr>
  </w:style>
  <w:style w:type="paragraph" w:customStyle="1" w:styleId="12hao">
    <w:name w:val="12hao"/>
    <w:basedOn w:val="a1"/>
    <w:uiPriority w:val="99"/>
    <w:qFormat/>
    <w:pPr>
      <w:widowControl/>
      <w:spacing w:before="100" w:beforeAutospacing="1" w:after="100" w:afterAutospacing="1" w:line="360" w:lineRule="auto"/>
      <w:jc w:val="left"/>
    </w:pPr>
    <w:rPr>
      <w:rFonts w:ascii="宋体" w:hAnsi="宋体"/>
      <w:color w:val="333333"/>
      <w:kern w:val="0"/>
      <w:sz w:val="15"/>
      <w:szCs w:val="15"/>
    </w:rPr>
  </w:style>
  <w:style w:type="paragraph" w:customStyle="1" w:styleId="411">
    <w:name w:val="标题 411"/>
    <w:basedOn w:val="a1"/>
    <w:uiPriority w:val="1"/>
    <w:qFormat/>
    <w:pPr>
      <w:autoSpaceDE w:val="0"/>
      <w:autoSpaceDN w:val="0"/>
      <w:adjustRightInd w:val="0"/>
      <w:spacing w:before="26"/>
      <w:ind w:left="118"/>
      <w:jc w:val="left"/>
      <w:outlineLvl w:val="3"/>
    </w:pPr>
    <w:rPr>
      <w:rFonts w:ascii="宋体"/>
      <w:kern w:val="0"/>
      <w:szCs w:val="24"/>
    </w:rPr>
  </w:style>
  <w:style w:type="paragraph" w:customStyle="1" w:styleId="affffe">
    <w:name w:val="正文图标题"/>
    <w:next w:val="a1"/>
    <w:uiPriority w:val="99"/>
    <w:qFormat/>
    <w:pPr>
      <w:tabs>
        <w:tab w:val="left" w:pos="360"/>
      </w:tabs>
      <w:ind w:left="360" w:hanging="360"/>
      <w:jc w:val="center"/>
    </w:pPr>
    <w:rPr>
      <w:rFonts w:ascii="黑体" w:eastAsia="黑体"/>
      <w:sz w:val="28"/>
    </w:rPr>
  </w:style>
  <w:style w:type="paragraph" w:customStyle="1" w:styleId="211">
    <w:name w:val="标题 211"/>
    <w:basedOn w:val="a1"/>
    <w:uiPriority w:val="1"/>
    <w:qFormat/>
    <w:pPr>
      <w:autoSpaceDE w:val="0"/>
      <w:autoSpaceDN w:val="0"/>
      <w:adjustRightInd w:val="0"/>
      <w:spacing w:before="1"/>
      <w:ind w:left="2949"/>
      <w:jc w:val="left"/>
      <w:outlineLvl w:val="1"/>
    </w:pPr>
    <w:rPr>
      <w:rFonts w:ascii="宋体"/>
      <w:b/>
      <w:bCs/>
      <w:kern w:val="0"/>
      <w:sz w:val="32"/>
      <w:szCs w:val="32"/>
    </w:rPr>
  </w:style>
  <w:style w:type="paragraph" w:customStyle="1" w:styleId="14">
    <w:name w:val="修订1"/>
    <w:uiPriority w:val="99"/>
    <w:qFormat/>
    <w:rPr>
      <w:kern w:val="2"/>
      <w:sz w:val="21"/>
      <w:szCs w:val="24"/>
    </w:rPr>
  </w:style>
  <w:style w:type="paragraph" w:customStyle="1" w:styleId="afffff">
    <w:name w:val="*附注首行"/>
    <w:basedOn w:val="a1"/>
    <w:uiPriority w:val="99"/>
    <w:qFormat/>
    <w:pPr>
      <w:spacing w:line="400" w:lineRule="exact"/>
      <w:ind w:firstLineChars="200" w:firstLine="200"/>
    </w:pPr>
    <w:rPr>
      <w:kern w:val="0"/>
      <w:sz w:val="21"/>
      <w:szCs w:val="21"/>
    </w:rPr>
  </w:style>
  <w:style w:type="paragraph" w:customStyle="1" w:styleId="afffff0">
    <w:name w:val="*附注次行"/>
    <w:basedOn w:val="afffff"/>
    <w:uiPriority w:val="99"/>
    <w:qFormat/>
    <w:pPr>
      <w:ind w:firstLineChars="400" w:firstLine="400"/>
    </w:pPr>
  </w:style>
  <w:style w:type="paragraph" w:customStyle="1" w:styleId="afffff1">
    <w:name w:val="*表标题"/>
    <w:uiPriority w:val="39"/>
    <w:qFormat/>
    <w:pPr>
      <w:spacing w:line="500" w:lineRule="exact"/>
      <w:jc w:val="center"/>
    </w:pPr>
    <w:rPr>
      <w:sz w:val="24"/>
      <w:szCs w:val="24"/>
    </w:rPr>
  </w:style>
  <w:style w:type="paragraph" w:customStyle="1" w:styleId="Style93">
    <w:name w:val="_Style 93"/>
    <w:uiPriority w:val="99"/>
    <w:unhideWhenUsed/>
    <w:qFormat/>
    <w:rPr>
      <w:kern w:val="2"/>
      <w:sz w:val="24"/>
    </w:rPr>
  </w:style>
  <w:style w:type="paragraph" w:customStyle="1" w:styleId="Afffff2">
    <w:name w:val="正文A"/>
    <w:basedOn w:val="a1"/>
    <w:link w:val="AChar"/>
    <w:qFormat/>
    <w:pPr>
      <w:spacing w:line="360" w:lineRule="auto"/>
    </w:pPr>
  </w:style>
  <w:style w:type="paragraph" w:customStyle="1" w:styleId="2c">
    <w:name w:val="样式2"/>
    <w:basedOn w:val="a1"/>
    <w:link w:val="2Char"/>
    <w:qFormat/>
    <w:pPr>
      <w:spacing w:line="460" w:lineRule="exact"/>
      <w:ind w:firstLineChars="200" w:firstLine="360"/>
      <w:jc w:val="center"/>
    </w:pPr>
    <w:rPr>
      <w:sz w:val="18"/>
      <w:szCs w:val="24"/>
    </w:rPr>
  </w:style>
  <w:style w:type="paragraph" w:customStyle="1" w:styleId="B">
    <w:name w:val="B表格文字"/>
    <w:link w:val="BCharChar"/>
    <w:qFormat/>
    <w:pPr>
      <w:jc w:val="center"/>
    </w:pPr>
    <w:rPr>
      <w:kern w:val="2"/>
      <w:sz w:val="21"/>
      <w:szCs w:val="24"/>
    </w:rPr>
  </w:style>
  <w:style w:type="paragraph" w:customStyle="1" w:styleId="3c">
    <w:name w:val="样式3"/>
    <w:basedOn w:val="aff7"/>
    <w:link w:val="3Char"/>
    <w:qFormat/>
    <w:pPr>
      <w:spacing w:line="460" w:lineRule="exact"/>
    </w:pPr>
    <w:rPr>
      <w:kern w:val="2"/>
    </w:rPr>
  </w:style>
  <w:style w:type="paragraph" w:customStyle="1" w:styleId="46">
    <w:name w:val="样式4"/>
    <w:basedOn w:val="aff7"/>
    <w:link w:val="4Char"/>
    <w:qFormat/>
    <w:pPr>
      <w:spacing w:line="460" w:lineRule="exact"/>
      <w:jc w:val="center"/>
    </w:pPr>
    <w:rPr>
      <w:kern w:val="2"/>
    </w:rPr>
  </w:style>
  <w:style w:type="paragraph" w:customStyle="1" w:styleId="15">
    <w:name w:val="样式1"/>
    <w:basedOn w:val="1"/>
    <w:next w:val="1"/>
    <w:link w:val="1Char"/>
    <w:qFormat/>
    <w:pPr>
      <w:keepLines w:val="0"/>
      <w:adjustRightInd w:val="0"/>
      <w:snapToGrid w:val="0"/>
      <w:spacing w:before="0" w:after="0" w:line="360" w:lineRule="auto"/>
      <w:jc w:val="left"/>
    </w:pPr>
    <w:rPr>
      <w:bCs w:val="0"/>
      <w:color w:val="FF0000"/>
      <w:kern w:val="2"/>
      <w:sz w:val="32"/>
      <w:szCs w:val="24"/>
    </w:rPr>
  </w:style>
  <w:style w:type="paragraph" w:customStyle="1" w:styleId="afffff3">
    <w:name w:val="表格正文"/>
    <w:basedOn w:val="a1"/>
    <w:link w:val="Char2"/>
    <w:qFormat/>
    <w:pPr>
      <w:spacing w:line="360" w:lineRule="exact"/>
      <w:jc w:val="center"/>
    </w:pPr>
    <w:rPr>
      <w:sz w:val="21"/>
    </w:rPr>
  </w:style>
  <w:style w:type="paragraph" w:customStyle="1" w:styleId="afffff4">
    <w:name w:val="正文 新"/>
    <w:basedOn w:val="a1"/>
    <w:next w:val="a1"/>
    <w:link w:val="Char3"/>
    <w:qFormat/>
    <w:pPr>
      <w:ind w:firstLineChars="200" w:firstLine="200"/>
    </w:pPr>
    <w:rPr>
      <w:sz w:val="28"/>
      <w:szCs w:val="24"/>
    </w:rPr>
  </w:style>
  <w:style w:type="paragraph" w:customStyle="1" w:styleId="16">
    <w:name w:val="列出段落1"/>
    <w:basedOn w:val="a1"/>
    <w:uiPriority w:val="34"/>
    <w:qFormat/>
    <w:pPr>
      <w:ind w:firstLineChars="200" w:firstLine="420"/>
    </w:pPr>
    <w:rPr>
      <w:sz w:val="21"/>
      <w:szCs w:val="24"/>
    </w:rPr>
  </w:style>
  <w:style w:type="paragraph" w:customStyle="1" w:styleId="2Char0">
    <w:name w:val="字元 字元2 Char"/>
    <w:basedOn w:val="a1"/>
    <w:qFormat/>
    <w:pPr>
      <w:spacing w:line="360" w:lineRule="auto"/>
      <w:ind w:firstLineChars="200" w:firstLine="200"/>
    </w:pPr>
    <w:rPr>
      <w:rFonts w:ascii="宋体" w:hAnsi="宋体"/>
      <w:szCs w:val="24"/>
    </w:rPr>
  </w:style>
  <w:style w:type="paragraph" w:customStyle="1" w:styleId="afffff5">
    <w:name w:val="标准正文"/>
    <w:basedOn w:val="a1"/>
    <w:qFormat/>
    <w:pPr>
      <w:adjustRightInd w:val="0"/>
      <w:spacing w:line="460" w:lineRule="atLeast"/>
      <w:ind w:firstLine="567"/>
      <w:jc w:val="left"/>
    </w:pPr>
    <w:rPr>
      <w:kern w:val="28"/>
      <w:sz w:val="28"/>
    </w:rPr>
  </w:style>
  <w:style w:type="paragraph" w:customStyle="1" w:styleId="style1">
    <w:name w:val="style1"/>
    <w:basedOn w:val="a1"/>
    <w:qFormat/>
    <w:pPr>
      <w:widowControl/>
      <w:spacing w:before="100" w:beforeAutospacing="1" w:after="100" w:afterAutospacing="1"/>
      <w:jc w:val="left"/>
    </w:pPr>
    <w:rPr>
      <w:rFonts w:ascii="宋体" w:hAnsi="宋体"/>
      <w:kern w:val="0"/>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1"/>
    <w:qFormat/>
    <w:pPr>
      <w:snapToGrid w:val="0"/>
    </w:pPr>
    <w:rPr>
      <w:color w:val="000000"/>
      <w:sz w:val="21"/>
      <w:szCs w:val="24"/>
    </w:rPr>
  </w:style>
  <w:style w:type="paragraph" w:customStyle="1" w:styleId="afffff6">
    <w:name w:val="图表头"/>
    <w:basedOn w:val="a1"/>
    <w:qFormat/>
    <w:pPr>
      <w:tabs>
        <w:tab w:val="left" w:pos="1017"/>
      </w:tabs>
      <w:adjustRightInd w:val="0"/>
      <w:snapToGrid w:val="0"/>
      <w:spacing w:line="360" w:lineRule="auto"/>
      <w:jc w:val="center"/>
    </w:pPr>
    <w:rPr>
      <w:rFonts w:hAnsi="宋体"/>
      <w:b/>
      <w:bCs/>
      <w:sz w:val="21"/>
      <w:szCs w:val="21"/>
    </w:rPr>
  </w:style>
  <w:style w:type="paragraph" w:customStyle="1" w:styleId="CharCharChar1CharCharCharCharCharCharCharCharCharCharCharCharCharCharCharChar2">
    <w:name w:val="Char Char Char1 Char Char Char Char Char Char Char Char Char Char Char Char Char Char Char Char2"/>
    <w:basedOn w:val="a1"/>
    <w:qFormat/>
    <w:pPr>
      <w:snapToGrid w:val="0"/>
    </w:pPr>
    <w:rPr>
      <w:color w:val="000000"/>
      <w:sz w:val="21"/>
    </w:rPr>
  </w:style>
  <w:style w:type="paragraph" w:customStyle="1" w:styleId="CharCharChar1CharCharCharCharCharCharCharCharCharCharCharCharCharCharCharChar">
    <w:name w:val="Char Char Char1 Char Char Char Char Char Char Char Char Char Char Char Char Char Char Char Char"/>
    <w:basedOn w:val="a1"/>
    <w:qFormat/>
    <w:pPr>
      <w:spacing w:line="460" w:lineRule="exact"/>
      <w:ind w:firstLineChars="200" w:firstLine="200"/>
    </w:pPr>
    <w:rPr>
      <w:sz w:val="21"/>
    </w:rPr>
  </w:style>
  <w:style w:type="paragraph" w:customStyle="1" w:styleId="CharCharCharCharCharChar1">
    <w:name w:val="Char Char Char Char Char Char1"/>
    <w:basedOn w:val="a1"/>
    <w:qFormat/>
    <w:rPr>
      <w:sz w:val="21"/>
      <w:szCs w:val="24"/>
    </w:rPr>
  </w:style>
  <w:style w:type="paragraph" w:customStyle="1" w:styleId="311">
    <w:name w:val="标题 311"/>
    <w:basedOn w:val="a1"/>
    <w:uiPriority w:val="1"/>
    <w:qFormat/>
    <w:pPr>
      <w:autoSpaceDE w:val="0"/>
      <w:autoSpaceDN w:val="0"/>
      <w:adjustRightInd w:val="0"/>
      <w:jc w:val="left"/>
      <w:outlineLvl w:val="2"/>
    </w:pPr>
    <w:rPr>
      <w:rFonts w:ascii="黑体" w:eastAsia="黑体" w:cs="黑体"/>
      <w:kern w:val="0"/>
      <w:sz w:val="32"/>
      <w:szCs w:val="32"/>
    </w:rPr>
  </w:style>
  <w:style w:type="paragraph" w:customStyle="1" w:styleId="CharCharChar1CharCharCharCharCharCharCharCharCharCharCharCharCharCharCharChar4">
    <w:name w:val="Char Char Char1 Char Char Char Char Char Char Char Char Char Char Char Char Char Char Char Char4"/>
    <w:basedOn w:val="a1"/>
    <w:qFormat/>
    <w:pPr>
      <w:snapToGrid w:val="0"/>
    </w:pPr>
    <w:rPr>
      <w:color w:val="000000"/>
      <w:sz w:val="21"/>
    </w:rPr>
  </w:style>
  <w:style w:type="paragraph" w:customStyle="1" w:styleId="New">
    <w:name w:val="正文 New"/>
    <w:qFormat/>
    <w:pPr>
      <w:widowControl w:val="0"/>
      <w:jc w:val="both"/>
    </w:pPr>
    <w:rPr>
      <w:kern w:val="2"/>
      <w:sz w:val="21"/>
      <w:szCs w:val="24"/>
    </w:rPr>
  </w:style>
  <w:style w:type="paragraph" w:customStyle="1" w:styleId="Style121">
    <w:name w:val="_Style 121"/>
    <w:next w:val="a1"/>
    <w:qFormat/>
    <w:pPr>
      <w:widowControl w:val="0"/>
      <w:ind w:firstLineChars="200" w:firstLine="420"/>
      <w:jc w:val="both"/>
    </w:pPr>
    <w:rPr>
      <w:kern w:val="2"/>
      <w:sz w:val="21"/>
    </w:rPr>
  </w:style>
  <w:style w:type="paragraph" w:customStyle="1" w:styleId="afffff7">
    <w:name w:val="表格标题"/>
    <w:basedOn w:val="a1"/>
    <w:uiPriority w:val="39"/>
    <w:qFormat/>
    <w:pPr>
      <w:spacing w:line="360" w:lineRule="auto"/>
      <w:jc w:val="center"/>
    </w:pPr>
    <w:rPr>
      <w:b/>
      <w:bCs/>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1"/>
    <w:qFormat/>
    <w:rPr>
      <w:sz w:val="21"/>
      <w:szCs w:val="24"/>
    </w:rPr>
  </w:style>
  <w:style w:type="paragraph" w:customStyle="1" w:styleId="CharCharCharCharCharCharCharCharCharCharCharCharChar">
    <w:name w:val="Char Char Char Char Char Char Char Char Char Char Char Char Char"/>
    <w:basedOn w:val="a1"/>
    <w:qFormat/>
    <w:rPr>
      <w:sz w:val="21"/>
      <w:szCs w:val="24"/>
    </w:rPr>
  </w:style>
  <w:style w:type="paragraph" w:customStyle="1" w:styleId="Normal31">
    <w:name w:val="Normal_31"/>
    <w:uiPriority w:val="34"/>
    <w:qFormat/>
    <w:pPr>
      <w:snapToGrid w:val="0"/>
      <w:spacing w:before="120" w:after="240"/>
      <w:jc w:val="both"/>
    </w:pPr>
    <w:rPr>
      <w:rFonts w:ascii="Calibri" w:hAnsi="Calibri"/>
      <w:color w:val="000000"/>
      <w:sz w:val="22"/>
      <w:szCs w:val="22"/>
      <w:lang w:eastAsia="en-US"/>
    </w:rPr>
  </w:style>
  <w:style w:type="paragraph" w:customStyle="1" w:styleId="CharCharChar1CharCharCharCharCharCharCharCharCharCharCharCharCharCharCharChar3">
    <w:name w:val="Char Char Char1 Char Char Char Char Char Char Char Char Char Char Char Char Char Char Char Char3"/>
    <w:basedOn w:val="a1"/>
    <w:qFormat/>
    <w:pPr>
      <w:snapToGrid w:val="0"/>
    </w:pPr>
    <w:rPr>
      <w:color w:val="000000"/>
      <w:sz w:val="21"/>
    </w:rPr>
  </w:style>
  <w:style w:type="paragraph" w:customStyle="1" w:styleId="Normal1">
    <w:name w:val="Normal_1"/>
    <w:qFormat/>
    <w:pPr>
      <w:spacing w:before="120" w:after="240"/>
      <w:jc w:val="both"/>
    </w:pPr>
    <w:rPr>
      <w:rFonts w:ascii="Calibri" w:eastAsia="Calibri" w:hAnsi="Calibri"/>
      <w:sz w:val="22"/>
      <w:szCs w:val="22"/>
      <w:lang w:val="ru-RU" w:eastAsia="en-US"/>
    </w:rPr>
  </w:style>
  <w:style w:type="paragraph" w:customStyle="1" w:styleId="CharCharCharCharCharCharCharCharCharChar">
    <w:name w:val="Char Char Char Char Char Char Char Char Char Char"/>
    <w:basedOn w:val="a1"/>
    <w:qFormat/>
    <w:pPr>
      <w:snapToGrid w:val="0"/>
    </w:pPr>
    <w:rPr>
      <w:color w:val="000000"/>
      <w:sz w:val="21"/>
      <w:szCs w:val="24"/>
    </w:rPr>
  </w:style>
  <w:style w:type="paragraph" w:customStyle="1" w:styleId="110">
    <w:name w:val="列出段落11"/>
    <w:basedOn w:val="a1"/>
    <w:uiPriority w:val="34"/>
    <w:qFormat/>
    <w:pPr>
      <w:ind w:firstLineChars="200" w:firstLine="420"/>
    </w:pPr>
    <w:rPr>
      <w:sz w:val="21"/>
      <w:szCs w:val="24"/>
    </w:rPr>
  </w:style>
  <w:style w:type="paragraph" w:customStyle="1" w:styleId="111CharCharCharChar">
    <w:name w:val="标题111 Char Char Char Char"/>
    <w:basedOn w:val="a1"/>
    <w:qFormat/>
    <w:pPr>
      <w:snapToGrid w:val="0"/>
      <w:spacing w:line="360" w:lineRule="auto"/>
      <w:ind w:firstLineChars="200" w:firstLine="200"/>
    </w:pPr>
    <w:rPr>
      <w:rFonts w:ascii="宋体" w:hAnsi="宋体"/>
      <w:color w:val="000000"/>
      <w:szCs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1"/>
    <w:qFormat/>
    <w:rPr>
      <w:sz w:val="21"/>
      <w:szCs w:val="24"/>
    </w:rPr>
  </w:style>
  <w:style w:type="paragraph" w:customStyle="1" w:styleId="Char11">
    <w:name w:val="Char11"/>
    <w:basedOn w:val="a1"/>
    <w:qFormat/>
    <w:pPr>
      <w:spacing w:line="360" w:lineRule="auto"/>
      <w:ind w:firstLineChars="200" w:firstLine="200"/>
    </w:pPr>
    <w:rPr>
      <w:rFonts w:ascii="宋体" w:hAnsi="宋体"/>
      <w:szCs w:val="24"/>
    </w:rPr>
  </w:style>
  <w:style w:type="paragraph" w:customStyle="1" w:styleId="Char20">
    <w:name w:val="Char2"/>
    <w:basedOn w:val="a1"/>
    <w:qFormat/>
    <w:rPr>
      <w:sz w:val="21"/>
      <w:szCs w:val="24"/>
    </w:rPr>
  </w:style>
  <w:style w:type="paragraph" w:customStyle="1" w:styleId="afffff8">
    <w:name w:val="报告正文"/>
    <w:basedOn w:val="a1"/>
    <w:qFormat/>
    <w:pPr>
      <w:spacing w:line="360" w:lineRule="auto"/>
      <w:ind w:firstLineChars="200" w:firstLine="480"/>
    </w:pPr>
  </w:style>
  <w:style w:type="paragraph" w:customStyle="1" w:styleId="Style2">
    <w:name w:val="_Style 2"/>
    <w:basedOn w:val="a1"/>
    <w:uiPriority w:val="34"/>
    <w:qFormat/>
    <w:pPr>
      <w:ind w:firstLineChars="200" w:firstLine="420"/>
    </w:pPr>
    <w:rPr>
      <w:sz w:val="21"/>
    </w:rPr>
  </w:style>
  <w:style w:type="paragraph" w:customStyle="1" w:styleId="17">
    <w:name w:val="普通(网站)1"/>
    <w:basedOn w:val="a1"/>
    <w:uiPriority w:val="39"/>
    <w:qFormat/>
    <w:pPr>
      <w:widowControl/>
      <w:spacing w:before="100" w:beforeAutospacing="1" w:after="100" w:afterAutospacing="1"/>
      <w:jc w:val="left"/>
    </w:pPr>
    <w:rPr>
      <w:rFonts w:ascii="宋体" w:hAnsi="宋体"/>
    </w:rPr>
  </w:style>
  <w:style w:type="paragraph" w:customStyle="1" w:styleId="Normal2">
    <w:name w:val="Normal_2"/>
    <w:qFormat/>
    <w:pPr>
      <w:spacing w:before="120" w:after="240"/>
      <w:jc w:val="both"/>
    </w:pPr>
    <w:rPr>
      <w:rFonts w:ascii="Calibri" w:eastAsia="Calibri" w:hAnsi="Calibri"/>
      <w:sz w:val="22"/>
      <w:szCs w:val="22"/>
      <w:lang w:val="ru-RU" w:eastAsia="en-US"/>
    </w:rPr>
  </w:style>
  <w:style w:type="paragraph" w:customStyle="1" w:styleId="CharCharChar1CharCharCharCharCharCharCharCharCharCharCharCharCharCharCharChar1">
    <w:name w:val="Char Char Char1 Char Char Char Char Char Char Char Char Char Char Char Char Char Char Char Char1"/>
    <w:basedOn w:val="a1"/>
    <w:qFormat/>
    <w:pPr>
      <w:snapToGrid w:val="0"/>
    </w:pPr>
    <w:rPr>
      <w:color w:val="000000"/>
      <w:sz w:val="21"/>
    </w:rPr>
  </w:style>
  <w:style w:type="paragraph" w:customStyle="1" w:styleId="afffff9">
    <w:name w:val="表格后一行文字"/>
    <w:basedOn w:val="affffd"/>
    <w:qFormat/>
    <w:pPr>
      <w:adjustRightInd w:val="0"/>
      <w:spacing w:beforeLines="50" w:line="360" w:lineRule="auto"/>
      <w:ind w:firstLineChars="200" w:firstLine="200"/>
      <w:jc w:val="left"/>
    </w:pPr>
    <w:rPr>
      <w:rFonts w:ascii="Times New Roman"/>
      <w:sz w:val="24"/>
      <w:szCs w:val="24"/>
    </w:rPr>
  </w:style>
  <w:style w:type="paragraph" w:customStyle="1" w:styleId="afffffa">
    <w:name w:val="式中"/>
    <w:basedOn w:val="a1"/>
    <w:link w:val="afffffb"/>
    <w:qFormat/>
    <w:pPr>
      <w:adjustRightInd w:val="0"/>
      <w:snapToGrid w:val="0"/>
      <w:spacing w:line="360" w:lineRule="auto"/>
      <w:ind w:firstLineChars="200" w:firstLine="200"/>
    </w:pPr>
    <w:rPr>
      <w:szCs w:val="24"/>
    </w:rPr>
  </w:style>
  <w:style w:type="paragraph" w:customStyle="1" w:styleId="afffffc">
    <w:name w:val="表头"/>
    <w:basedOn w:val="a1"/>
    <w:link w:val="afffffd"/>
    <w:qFormat/>
    <w:pPr>
      <w:adjustRightInd w:val="0"/>
      <w:snapToGrid w:val="0"/>
      <w:spacing w:line="360" w:lineRule="auto"/>
      <w:jc w:val="center"/>
      <w:outlineLvl w:val="4"/>
    </w:pPr>
    <w:rPr>
      <w:b/>
      <w:sz w:val="21"/>
      <w:szCs w:val="21"/>
    </w:rPr>
  </w:style>
  <w:style w:type="paragraph" w:customStyle="1" w:styleId="18">
    <w:name w:val="正文1"/>
    <w:qFormat/>
    <w:pPr>
      <w:jc w:val="both"/>
    </w:pPr>
    <w:rPr>
      <w:kern w:val="2"/>
      <w:sz w:val="21"/>
      <w:szCs w:val="21"/>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b/>
      <w:kern w:val="2"/>
      <w:sz w:val="32"/>
    </w:rPr>
  </w:style>
  <w:style w:type="character" w:customStyle="1" w:styleId="32">
    <w:name w:val="标题 3 字符"/>
    <w:link w:val="31"/>
    <w:qFormat/>
    <w:rPr>
      <w:rFonts w:cs="Times New Roman"/>
      <w:bCs/>
      <w:kern w:val="2"/>
      <w:sz w:val="24"/>
      <w:szCs w:val="32"/>
    </w:rPr>
  </w:style>
  <w:style w:type="character" w:customStyle="1" w:styleId="42">
    <w:name w:val="标题 4 字符"/>
    <w:link w:val="41"/>
    <w:qFormat/>
    <w:rPr>
      <w:rFonts w:ascii="Arial" w:hAnsi="Arial" w:cs="Times New Roman"/>
      <w:bCs/>
      <w:kern w:val="2"/>
      <w:sz w:val="24"/>
      <w:szCs w:val="28"/>
    </w:rPr>
  </w:style>
  <w:style w:type="character" w:customStyle="1" w:styleId="52">
    <w:name w:val="标题 5 字符"/>
    <w:link w:val="51"/>
    <w:qFormat/>
    <w:rPr>
      <w:rFonts w:cs="Times New Roman"/>
      <w:b/>
      <w:bCs/>
      <w:kern w:val="2"/>
      <w:sz w:val="28"/>
      <w:szCs w:val="28"/>
    </w:rPr>
  </w:style>
  <w:style w:type="character" w:customStyle="1" w:styleId="60">
    <w:name w:val="标题 6 字符"/>
    <w:link w:val="6"/>
    <w:qFormat/>
    <w:rPr>
      <w:rFonts w:ascii="Arial" w:eastAsia="黑体" w:hAnsi="Arial" w:cs="Times New Roman"/>
      <w:b/>
      <w:bCs/>
      <w:kern w:val="2"/>
      <w:sz w:val="24"/>
      <w:szCs w:val="24"/>
    </w:rPr>
  </w:style>
  <w:style w:type="character" w:customStyle="1" w:styleId="70">
    <w:name w:val="标题 7 字符"/>
    <w:link w:val="7"/>
    <w:qFormat/>
    <w:rPr>
      <w:rFonts w:cs="Times New Roman"/>
      <w:b/>
      <w:bCs/>
      <w:kern w:val="2"/>
      <w:sz w:val="24"/>
      <w:szCs w:val="24"/>
    </w:rPr>
  </w:style>
  <w:style w:type="character" w:customStyle="1" w:styleId="80">
    <w:name w:val="标题 8 字符"/>
    <w:link w:val="8"/>
    <w:qFormat/>
    <w:rPr>
      <w:rFonts w:ascii="Arial" w:eastAsia="黑体" w:hAnsi="Arial" w:cs="Times New Roman"/>
      <w:kern w:val="2"/>
      <w:sz w:val="24"/>
      <w:szCs w:val="24"/>
    </w:rPr>
  </w:style>
  <w:style w:type="character" w:customStyle="1" w:styleId="90">
    <w:name w:val="标题 9 字符"/>
    <w:link w:val="9"/>
    <w:qFormat/>
    <w:rPr>
      <w:rFonts w:ascii="Arial" w:eastAsia="黑体" w:hAnsi="Arial" w:cs="Times New Roman"/>
      <w:kern w:val="2"/>
      <w:sz w:val="21"/>
      <w:szCs w:val="21"/>
    </w:rPr>
  </w:style>
  <w:style w:type="character" w:customStyle="1" w:styleId="af">
    <w:name w:val="正文缩进 字符"/>
    <w:link w:val="ae"/>
    <w:qFormat/>
    <w:rPr>
      <w:rFonts w:eastAsia="仿宋_GB2312" w:cs="Times New Roman"/>
      <w:kern w:val="2"/>
      <w:sz w:val="28"/>
    </w:rPr>
  </w:style>
  <w:style w:type="character" w:customStyle="1" w:styleId="af3">
    <w:name w:val="文档结构图 字符"/>
    <w:link w:val="af2"/>
    <w:uiPriority w:val="99"/>
    <w:qFormat/>
    <w:rPr>
      <w:rFonts w:ascii="宋体" w:eastAsia="宋体" w:hAnsi="Times New Roman" w:cs="Times New Roman"/>
      <w:sz w:val="18"/>
      <w:szCs w:val="18"/>
    </w:rPr>
  </w:style>
  <w:style w:type="character" w:customStyle="1" w:styleId="af6">
    <w:name w:val="批注文字 字符"/>
    <w:link w:val="af5"/>
    <w:qFormat/>
    <w:rPr>
      <w:kern w:val="2"/>
      <w:sz w:val="24"/>
    </w:rPr>
  </w:style>
  <w:style w:type="character" w:customStyle="1" w:styleId="35">
    <w:name w:val="正文文本 3 字符"/>
    <w:link w:val="34"/>
    <w:qFormat/>
    <w:rPr>
      <w:rFonts w:ascii="仿宋_GB2312" w:eastAsia="仿宋_GB2312" w:cs="Times New Roman"/>
      <w:color w:val="000000"/>
      <w:kern w:val="2"/>
      <w:sz w:val="30"/>
    </w:rPr>
  </w:style>
  <w:style w:type="character" w:customStyle="1" w:styleId="afa">
    <w:name w:val="结束语 字符"/>
    <w:link w:val="af9"/>
    <w:uiPriority w:val="99"/>
    <w:qFormat/>
    <w:rPr>
      <w:rFonts w:ascii="Arial" w:eastAsia="楷体_GB2312" w:hAnsi="Arial" w:cs="Arial"/>
      <w:b/>
      <w:sz w:val="24"/>
      <w:szCs w:val="24"/>
    </w:rPr>
  </w:style>
  <w:style w:type="character" w:customStyle="1" w:styleId="afc">
    <w:name w:val="正文文本 字符"/>
    <w:link w:val="afb"/>
    <w:qFormat/>
    <w:rPr>
      <w:rFonts w:ascii="Times New Roman" w:eastAsia="宋体" w:hAnsi="Times New Roman" w:cs="Times New Roman"/>
      <w:sz w:val="24"/>
      <w:szCs w:val="20"/>
    </w:rPr>
  </w:style>
  <w:style w:type="character" w:customStyle="1" w:styleId="a6">
    <w:name w:val="正文文本缩进 字符"/>
    <w:link w:val="a5"/>
    <w:qFormat/>
    <w:rPr>
      <w:rFonts w:cs="Times New Roman"/>
      <w:kern w:val="2"/>
      <w:sz w:val="21"/>
      <w:szCs w:val="24"/>
    </w:rPr>
  </w:style>
  <w:style w:type="character" w:customStyle="1" w:styleId="aff0">
    <w:name w:val="纯文本 字符"/>
    <w:link w:val="aff"/>
    <w:qFormat/>
    <w:rPr>
      <w:rFonts w:ascii="宋体" w:hAnsi="Courier New"/>
      <w:kern w:val="2"/>
      <w:sz w:val="21"/>
    </w:rPr>
  </w:style>
  <w:style w:type="character" w:customStyle="1" w:styleId="aff2">
    <w:name w:val="日期 字符"/>
    <w:link w:val="aff1"/>
    <w:qFormat/>
    <w:rPr>
      <w:rFonts w:cs="Times New Roman"/>
      <w:kern w:val="2"/>
      <w:sz w:val="28"/>
      <w:szCs w:val="24"/>
    </w:rPr>
  </w:style>
  <w:style w:type="character" w:customStyle="1" w:styleId="27">
    <w:name w:val="正文文本缩进 2 字符"/>
    <w:link w:val="26"/>
    <w:qFormat/>
    <w:rPr>
      <w:rFonts w:cs="Times New Roman"/>
      <w:kern w:val="2"/>
      <w:sz w:val="24"/>
    </w:rPr>
  </w:style>
  <w:style w:type="character" w:customStyle="1" w:styleId="aff6">
    <w:name w:val="批注框文本 字符"/>
    <w:link w:val="aff5"/>
    <w:uiPriority w:val="99"/>
    <w:qFormat/>
    <w:rPr>
      <w:rFonts w:ascii="Times New Roman" w:eastAsia="宋体" w:hAnsi="Times New Roman" w:cs="Times New Roman"/>
      <w:sz w:val="18"/>
      <w:szCs w:val="18"/>
    </w:rPr>
  </w:style>
  <w:style w:type="character" w:customStyle="1" w:styleId="aff8">
    <w:name w:val="页脚 字符"/>
    <w:link w:val="aff7"/>
    <w:uiPriority w:val="99"/>
    <w:qFormat/>
    <w:rPr>
      <w:sz w:val="18"/>
      <w:szCs w:val="18"/>
    </w:rPr>
  </w:style>
  <w:style w:type="character" w:customStyle="1" w:styleId="affb">
    <w:name w:val="页眉 字符"/>
    <w:link w:val="affa"/>
    <w:uiPriority w:val="99"/>
    <w:qFormat/>
    <w:rPr>
      <w:sz w:val="18"/>
      <w:szCs w:val="18"/>
    </w:rPr>
  </w:style>
  <w:style w:type="character" w:customStyle="1" w:styleId="afff3">
    <w:name w:val="脚注文本 字符"/>
    <w:link w:val="afff2"/>
    <w:qFormat/>
    <w:rPr>
      <w:rFonts w:cs="Times New Roman"/>
      <w:kern w:val="2"/>
      <w:sz w:val="18"/>
      <w:szCs w:val="18"/>
    </w:rPr>
  </w:style>
  <w:style w:type="character" w:customStyle="1" w:styleId="38">
    <w:name w:val="正文文本缩进 3 字符"/>
    <w:link w:val="37"/>
    <w:qFormat/>
    <w:rPr>
      <w:rFonts w:cs="Times New Roman"/>
      <w:bCs/>
      <w:kern w:val="2"/>
      <w:sz w:val="24"/>
      <w:szCs w:val="24"/>
    </w:rPr>
  </w:style>
  <w:style w:type="character" w:customStyle="1" w:styleId="HTML2">
    <w:name w:val="HTML 预设格式 字符"/>
    <w:link w:val="HTML1"/>
    <w:uiPriority w:val="99"/>
    <w:qFormat/>
    <w:rPr>
      <w:rFonts w:ascii="宋体" w:hAnsi="宋体"/>
      <w:sz w:val="24"/>
      <w:szCs w:val="24"/>
    </w:rPr>
  </w:style>
  <w:style w:type="character" w:customStyle="1" w:styleId="afff8">
    <w:name w:val="普通(网站) 字符"/>
    <w:link w:val="afff7"/>
    <w:qFormat/>
    <w:rPr>
      <w:rFonts w:ascii="Arial" w:eastAsia="Times New Roman" w:hAnsi="Arial" w:cs="Times New Roman"/>
      <w:sz w:val="24"/>
      <w:szCs w:val="24"/>
    </w:rPr>
  </w:style>
  <w:style w:type="character" w:customStyle="1" w:styleId="afffa">
    <w:name w:val="标题 字符"/>
    <w:link w:val="afff9"/>
    <w:uiPriority w:val="10"/>
    <w:qFormat/>
    <w:rPr>
      <w:rFonts w:cs="Times New Roman"/>
      <w:b/>
      <w:bCs/>
      <w:sz w:val="24"/>
      <w:szCs w:val="24"/>
    </w:rPr>
  </w:style>
  <w:style w:type="character" w:customStyle="1" w:styleId="afffc">
    <w:name w:val="批注主题 字符"/>
    <w:link w:val="afffb"/>
    <w:uiPriority w:val="99"/>
    <w:qFormat/>
    <w:rPr>
      <w:b/>
      <w:bCs/>
      <w:kern w:val="2"/>
      <w:sz w:val="24"/>
    </w:rPr>
  </w:style>
  <w:style w:type="character" w:customStyle="1" w:styleId="24">
    <w:name w:val="正文文本首行缩进 2 字符"/>
    <w:link w:val="21"/>
    <w:qFormat/>
    <w:rPr>
      <w:rFonts w:cs="Times New Roman"/>
      <w:kern w:val="2"/>
      <w:sz w:val="24"/>
      <w:szCs w:val="24"/>
    </w:rPr>
  </w:style>
  <w:style w:type="character" w:customStyle="1" w:styleId="Style166">
    <w:name w:val="_Style 166"/>
    <w:uiPriority w:val="99"/>
    <w:semiHidden/>
    <w:qFormat/>
    <w:rPr>
      <w:color w:val="808080"/>
    </w:rPr>
  </w:style>
  <w:style w:type="character" w:customStyle="1" w:styleId="19">
    <w:name w:val="标题1"/>
    <w:qFormat/>
  </w:style>
  <w:style w:type="character" w:customStyle="1" w:styleId="h11">
    <w:name w:val="h11"/>
    <w:qFormat/>
    <w:rPr>
      <w:spacing w:val="400"/>
    </w:rPr>
  </w:style>
  <w:style w:type="character" w:customStyle="1" w:styleId="text1">
    <w:name w:val="text1"/>
    <w:qFormat/>
    <w:rPr>
      <w:rFonts w:ascii="宋体" w:eastAsia="宋体" w:hAnsi="宋体" w:hint="eastAsia"/>
      <w:color w:val="999999"/>
      <w:sz w:val="18"/>
      <w:szCs w:val="18"/>
      <w:u w:val="none"/>
    </w:rPr>
  </w:style>
  <w:style w:type="character" w:customStyle="1" w:styleId="affff8">
    <w:name w:val="列表段落 字符"/>
    <w:link w:val="Style69"/>
    <w:uiPriority w:val="34"/>
    <w:qFormat/>
    <w:rPr>
      <w:rFonts w:cs="Times New Roman"/>
      <w:kern w:val="2"/>
      <w:sz w:val="21"/>
    </w:rPr>
  </w:style>
  <w:style w:type="character" w:customStyle="1" w:styleId="Char0">
    <w:name w:val="第二级别 Char"/>
    <w:link w:val="affffa"/>
    <w:qFormat/>
    <w:rPr>
      <w:rFonts w:ascii="仿宋_GB2312" w:eastAsia="仿宋_GB2312" w:cs="Times New Roman"/>
      <w:b/>
      <w:kern w:val="2"/>
      <w:sz w:val="32"/>
      <w:szCs w:val="32"/>
    </w:rPr>
  </w:style>
  <w:style w:type="character" w:customStyle="1" w:styleId="CharChar">
    <w:name w:val="段 Char Char"/>
    <w:link w:val="affffc"/>
    <w:qFormat/>
    <w:rPr>
      <w:rFonts w:ascii="宋体"/>
      <w:lang w:val="en-US" w:eastAsia="zh-CN" w:bidi="ar-SA"/>
    </w:rPr>
  </w:style>
  <w:style w:type="character" w:customStyle="1" w:styleId="apple-converted-space">
    <w:name w:val="apple-converted-space"/>
    <w:qFormat/>
  </w:style>
  <w:style w:type="character" w:customStyle="1" w:styleId="GB2312Char">
    <w:name w:val="样式 正文缩进 + 仿宋_GB2312 Char"/>
    <w:qFormat/>
    <w:rPr>
      <w:rFonts w:ascii="仿宋_GB2312" w:eastAsia="仿宋_GB2312" w:hint="eastAsia"/>
      <w:kern w:val="2"/>
      <w:sz w:val="28"/>
      <w:szCs w:val="28"/>
      <w:lang w:val="en-US" w:eastAsia="zh-CN" w:bidi="ar-SA"/>
    </w:rPr>
  </w:style>
  <w:style w:type="character" w:customStyle="1" w:styleId="GB23121Char">
    <w:name w:val="样式 正文缩进 + 仿宋_GB23121 Char"/>
    <w:qFormat/>
    <w:rPr>
      <w:rFonts w:ascii="仿宋_GB2312" w:eastAsia="仿宋_GB2312" w:hAnsi="仿宋_GB2312" w:hint="eastAsia"/>
      <w:kern w:val="2"/>
      <w:sz w:val="28"/>
      <w:lang w:val="en-US" w:eastAsia="zh-CN" w:bidi="ar-SA"/>
    </w:rPr>
  </w:style>
  <w:style w:type="character" w:customStyle="1" w:styleId="style12">
    <w:name w:val="style12"/>
    <w:qFormat/>
  </w:style>
  <w:style w:type="character" w:customStyle="1" w:styleId="111">
    <w:name w:val="标题11"/>
    <w:qFormat/>
  </w:style>
  <w:style w:type="character" w:customStyle="1" w:styleId="tpccontent1">
    <w:name w:val="tpc_content1"/>
    <w:qFormat/>
    <w:rPr>
      <w:sz w:val="20"/>
      <w:szCs w:val="20"/>
    </w:rPr>
  </w:style>
  <w:style w:type="character" w:customStyle="1" w:styleId="yb1">
    <w:name w:val="yb1"/>
    <w:qFormat/>
    <w:rPr>
      <w:rFonts w:ascii="ˎ̥" w:hAnsi="ˎ̥" w:hint="default"/>
      <w:color w:val="000000"/>
      <w:sz w:val="20"/>
      <w:szCs w:val="20"/>
    </w:rPr>
  </w:style>
  <w:style w:type="character" w:customStyle="1" w:styleId="content1">
    <w:name w:val="content1"/>
    <w:qFormat/>
    <w:rPr>
      <w:rFonts w:ascii="Verdana" w:hAnsi="Verdana" w:hint="default"/>
      <w:sz w:val="21"/>
      <w:szCs w:val="21"/>
    </w:rPr>
  </w:style>
  <w:style w:type="character" w:customStyle="1" w:styleId="grame">
    <w:name w:val="grame"/>
    <w:qFormat/>
  </w:style>
  <w:style w:type="character" w:customStyle="1" w:styleId="Char10">
    <w:name w:val="结束语 Char1"/>
    <w:qFormat/>
    <w:rPr>
      <w:rFonts w:ascii="Arial" w:eastAsia="楷体_GB2312" w:hAnsi="Arial" w:cs="Arial" w:hint="default"/>
      <w:b/>
      <w:kern w:val="2"/>
      <w:sz w:val="24"/>
      <w:szCs w:val="24"/>
    </w:rPr>
  </w:style>
  <w:style w:type="character" w:customStyle="1" w:styleId="AChar">
    <w:name w:val="正文A Char"/>
    <w:link w:val="Afffff2"/>
    <w:qFormat/>
    <w:rPr>
      <w:kern w:val="2"/>
      <w:sz w:val="24"/>
    </w:rPr>
  </w:style>
  <w:style w:type="character" w:customStyle="1" w:styleId="2Char">
    <w:name w:val="样式2 Char"/>
    <w:link w:val="2c"/>
    <w:qFormat/>
    <w:rPr>
      <w:kern w:val="2"/>
      <w:sz w:val="18"/>
      <w:szCs w:val="24"/>
    </w:rPr>
  </w:style>
  <w:style w:type="character" w:customStyle="1" w:styleId="BCharChar">
    <w:name w:val="B表格文字 Char Char"/>
    <w:link w:val="B"/>
    <w:qFormat/>
    <w:rPr>
      <w:kern w:val="2"/>
      <w:sz w:val="21"/>
      <w:szCs w:val="24"/>
      <w:lang w:val="en-US" w:eastAsia="zh-CN" w:bidi="ar-SA"/>
    </w:rPr>
  </w:style>
  <w:style w:type="character" w:customStyle="1" w:styleId="3Char">
    <w:name w:val="样式3 Char"/>
    <w:link w:val="3c"/>
    <w:qFormat/>
    <w:rPr>
      <w:kern w:val="2"/>
      <w:sz w:val="18"/>
      <w:szCs w:val="18"/>
    </w:rPr>
  </w:style>
  <w:style w:type="character" w:customStyle="1" w:styleId="4Char">
    <w:name w:val="样式4 Char"/>
    <w:link w:val="46"/>
    <w:qFormat/>
    <w:rPr>
      <w:kern w:val="2"/>
      <w:sz w:val="18"/>
      <w:szCs w:val="18"/>
    </w:rPr>
  </w:style>
  <w:style w:type="character" w:customStyle="1" w:styleId="1Char">
    <w:name w:val="样式1 Char"/>
    <w:link w:val="15"/>
    <w:qFormat/>
    <w:rPr>
      <w:b/>
      <w:color w:val="FF0000"/>
      <w:kern w:val="2"/>
      <w:sz w:val="32"/>
      <w:szCs w:val="24"/>
    </w:rPr>
  </w:style>
  <w:style w:type="character" w:customStyle="1" w:styleId="Char2">
    <w:name w:val="表格正文 Char"/>
    <w:link w:val="afffff3"/>
    <w:qFormat/>
    <w:rPr>
      <w:kern w:val="2"/>
      <w:sz w:val="21"/>
    </w:rPr>
  </w:style>
  <w:style w:type="character" w:customStyle="1" w:styleId="Char3">
    <w:name w:val="正文 新 Char"/>
    <w:link w:val="afffff4"/>
    <w:qFormat/>
    <w:rPr>
      <w:kern w:val="2"/>
      <w:sz w:val="28"/>
      <w:szCs w:val="24"/>
    </w:rPr>
  </w:style>
  <w:style w:type="character" w:customStyle="1" w:styleId="Char12">
    <w:name w:val="批注主题 Char1"/>
    <w:uiPriority w:val="99"/>
    <w:semiHidden/>
    <w:qFormat/>
    <w:rPr>
      <w:b/>
      <w:bCs/>
      <w:kern w:val="2"/>
      <w:sz w:val="24"/>
      <w:szCs w:val="24"/>
    </w:rPr>
  </w:style>
  <w:style w:type="character" w:customStyle="1" w:styleId="style8style1style109">
    <w:name w:val="style8  style1 style109"/>
    <w:qFormat/>
  </w:style>
  <w:style w:type="character" w:customStyle="1" w:styleId="Char13">
    <w:name w:val="普通(网站) Char1"/>
    <w:qFormat/>
    <w:rPr>
      <w:sz w:val="24"/>
    </w:rPr>
  </w:style>
  <w:style w:type="character" w:customStyle="1" w:styleId="booktitletextsy1">
    <w:name w:val="booktitletextsy1"/>
    <w:qFormat/>
    <w:rPr>
      <w:b/>
      <w:color w:val="000000"/>
      <w:sz w:val="30"/>
      <w:shd w:val="clear" w:color="auto" w:fill="FFFFFF"/>
    </w:rPr>
  </w:style>
  <w:style w:type="character" w:customStyle="1" w:styleId="3Char1">
    <w:name w:val="正文文本 3 Char1"/>
    <w:semiHidden/>
    <w:qFormat/>
    <w:rPr>
      <w:snapToGrid w:val="0"/>
      <w:kern w:val="2"/>
      <w:sz w:val="16"/>
      <w:szCs w:val="16"/>
    </w:rPr>
  </w:style>
  <w:style w:type="character" w:customStyle="1" w:styleId="zbggmainstyle9">
    <w:name w:val="zbggmain style9"/>
    <w:qFormat/>
  </w:style>
  <w:style w:type="character" w:customStyle="1" w:styleId="Char14">
    <w:name w:val="批注文字 Char1"/>
    <w:semiHidden/>
    <w:qFormat/>
    <w:rPr>
      <w:kern w:val="2"/>
      <w:sz w:val="24"/>
      <w:szCs w:val="24"/>
    </w:rPr>
  </w:style>
  <w:style w:type="character" w:customStyle="1" w:styleId="Char15">
    <w:name w:val="纯文本 Char1"/>
    <w:qFormat/>
    <w:rPr>
      <w:rFonts w:ascii="宋体" w:eastAsia="宋体" w:hAnsi="Courier New" w:cs="Courier New" w:hint="eastAsia"/>
      <w:kern w:val="2"/>
      <w:sz w:val="21"/>
      <w:szCs w:val="21"/>
    </w:rPr>
  </w:style>
  <w:style w:type="character" w:customStyle="1" w:styleId="1CharChar">
    <w:name w:val="标题 1 Char Char"/>
    <w:qFormat/>
    <w:rPr>
      <w:rFonts w:ascii="宋体" w:eastAsia="宋体" w:hAnsi="宋体" w:hint="eastAsia"/>
      <w:b/>
      <w:bCs/>
      <w:kern w:val="44"/>
      <w:sz w:val="44"/>
      <w:szCs w:val="44"/>
      <w:lang w:val="en-US" w:eastAsia="zh-CN" w:bidi="ar-SA"/>
    </w:rPr>
  </w:style>
  <w:style w:type="character" w:customStyle="1" w:styleId="number2">
    <w:name w:val="number2"/>
    <w:qFormat/>
  </w:style>
  <w:style w:type="character" w:customStyle="1" w:styleId="Char16">
    <w:name w:val="脚注文本 Char1"/>
    <w:semiHidden/>
    <w:qFormat/>
    <w:rPr>
      <w:kern w:val="2"/>
      <w:sz w:val="18"/>
      <w:szCs w:val="18"/>
    </w:rPr>
  </w:style>
  <w:style w:type="character" w:customStyle="1" w:styleId="Char17">
    <w:name w:val="标题 Char1"/>
    <w:qFormat/>
    <w:rPr>
      <w:rFonts w:ascii="Cambria" w:hAnsi="Cambria" w:cs="Times New Roman" w:hint="default"/>
      <w:b/>
      <w:bCs/>
      <w:kern w:val="2"/>
      <w:sz w:val="32"/>
      <w:szCs w:val="32"/>
    </w:rPr>
  </w:style>
  <w:style w:type="character" w:customStyle="1" w:styleId="Char18">
    <w:name w:val="日期 Char1"/>
    <w:semiHidden/>
    <w:qFormat/>
    <w:rPr>
      <w:kern w:val="2"/>
      <w:sz w:val="24"/>
      <w:szCs w:val="24"/>
    </w:rPr>
  </w:style>
  <w:style w:type="character" w:customStyle="1" w:styleId="1a">
    <w:name w:val="未处理的提及1"/>
    <w:uiPriority w:val="99"/>
    <w:qFormat/>
    <w:rPr>
      <w:color w:val="605E5C"/>
      <w:shd w:val="clear" w:color="auto" w:fill="E1DFDD"/>
    </w:rPr>
  </w:style>
  <w:style w:type="character" w:customStyle="1" w:styleId="fontstyle21">
    <w:name w:val="fontstyle21"/>
    <w:qFormat/>
    <w:rPr>
      <w:rFonts w:ascii="TimesNewRomanPSMT" w:hAnsi="TimesNewRomanPSMT" w:hint="default"/>
      <w:color w:val="000000"/>
      <w:sz w:val="24"/>
      <w:szCs w:val="24"/>
    </w:rPr>
  </w:style>
  <w:style w:type="character" w:customStyle="1" w:styleId="Char19">
    <w:name w:val="正文文本缩进 Char1"/>
    <w:qFormat/>
    <w:rPr>
      <w:kern w:val="2"/>
      <w:sz w:val="24"/>
      <w:szCs w:val="24"/>
    </w:rPr>
  </w:style>
  <w:style w:type="character" w:customStyle="1" w:styleId="apple-style-span">
    <w:name w:val="apple-style-span"/>
    <w:qFormat/>
  </w:style>
  <w:style w:type="character" w:customStyle="1" w:styleId="3Char10">
    <w:name w:val="正文文本缩进 3 Char1"/>
    <w:semiHidden/>
    <w:qFormat/>
    <w:rPr>
      <w:kern w:val="2"/>
      <w:sz w:val="16"/>
      <w:szCs w:val="16"/>
    </w:rPr>
  </w:style>
  <w:style w:type="character" w:customStyle="1" w:styleId="2Char1">
    <w:name w:val="正文首行缩进 2 Char1"/>
    <w:semiHidden/>
    <w:qFormat/>
    <w:rPr>
      <w:snapToGrid w:val="0"/>
      <w:kern w:val="2"/>
      <w:sz w:val="21"/>
      <w:szCs w:val="24"/>
    </w:rPr>
  </w:style>
  <w:style w:type="character" w:customStyle="1" w:styleId="Char1a">
    <w:name w:val="批注框文本 Char1"/>
    <w:uiPriority w:val="99"/>
    <w:semiHidden/>
    <w:qFormat/>
    <w:rPr>
      <w:kern w:val="2"/>
      <w:sz w:val="18"/>
      <w:szCs w:val="18"/>
    </w:rPr>
  </w:style>
  <w:style w:type="character" w:customStyle="1" w:styleId="CharChar0">
    <w:name w:val="Char Char"/>
    <w:qFormat/>
    <w:rPr>
      <w:rFonts w:ascii="宋体" w:eastAsia="宋体" w:hAnsi="宋体" w:hint="eastAsia"/>
      <w:b/>
      <w:bCs/>
      <w:kern w:val="44"/>
      <w:sz w:val="44"/>
      <w:szCs w:val="44"/>
      <w:lang w:val="en-US" w:eastAsia="zh-CN" w:bidi="ar-SA"/>
    </w:rPr>
  </w:style>
  <w:style w:type="character" w:customStyle="1" w:styleId="font11">
    <w:name w:val="font11"/>
    <w:basedOn w:val="a2"/>
    <w:qFormat/>
    <w:rPr>
      <w:rFonts w:ascii="宋体" w:eastAsia="宋体" w:hAnsi="宋体" w:cs="宋体" w:hint="eastAsia"/>
      <w:color w:val="FF0000"/>
      <w:sz w:val="21"/>
      <w:szCs w:val="21"/>
      <w:u w:val="none"/>
    </w:rPr>
  </w:style>
  <w:style w:type="character" w:customStyle="1" w:styleId="Char1b">
    <w:name w:val="正文文本 Char1"/>
    <w:uiPriority w:val="1"/>
    <w:semiHidden/>
    <w:qFormat/>
    <w:rPr>
      <w:kern w:val="2"/>
      <w:sz w:val="24"/>
      <w:szCs w:val="24"/>
    </w:rPr>
  </w:style>
  <w:style w:type="character" w:customStyle="1" w:styleId="fontstyle01">
    <w:name w:val="fontstyle01"/>
    <w:qFormat/>
    <w:rPr>
      <w:rFonts w:ascii="宋体" w:eastAsia="宋体" w:hAnsi="宋体" w:hint="eastAsia"/>
      <w:color w:val="000000"/>
      <w:sz w:val="24"/>
      <w:szCs w:val="24"/>
    </w:rPr>
  </w:style>
  <w:style w:type="character" w:customStyle="1" w:styleId="9Char1">
    <w:name w:val="标题 9 Char1"/>
    <w:semiHidden/>
    <w:qFormat/>
    <w:rPr>
      <w:rFonts w:ascii="Cambria" w:eastAsia="宋体" w:hAnsi="Cambria" w:cs="Times New Roman" w:hint="default"/>
      <w:kern w:val="2"/>
      <w:sz w:val="21"/>
      <w:szCs w:val="21"/>
    </w:rPr>
  </w:style>
  <w:style w:type="character" w:customStyle="1" w:styleId="Style216">
    <w:name w:val="_Style 216"/>
    <w:uiPriority w:val="99"/>
    <w:qFormat/>
    <w:rPr>
      <w:color w:val="808080"/>
      <w:shd w:val="clear" w:color="auto" w:fill="E6E6E6"/>
    </w:rPr>
  </w:style>
  <w:style w:type="character" w:customStyle="1" w:styleId="font21">
    <w:name w:val="font21"/>
    <w:basedOn w:val="a2"/>
    <w:qFormat/>
    <w:rPr>
      <w:rFonts w:ascii="Times New Roman" w:hAnsi="Times New Roman" w:cs="Times New Roman" w:hint="default"/>
      <w:color w:val="FF0000"/>
      <w:sz w:val="21"/>
      <w:szCs w:val="21"/>
      <w:u w:val="none"/>
    </w:rPr>
  </w:style>
  <w:style w:type="character" w:customStyle="1" w:styleId="Char1c">
    <w:name w:val="页眉 Char1"/>
    <w:semiHidden/>
    <w:qFormat/>
    <w:rPr>
      <w:kern w:val="2"/>
      <w:sz w:val="18"/>
      <w:szCs w:val="18"/>
    </w:rPr>
  </w:style>
  <w:style w:type="character" w:customStyle="1" w:styleId="Char21">
    <w:name w:val="普通(网站) Char2"/>
    <w:uiPriority w:val="34"/>
    <w:qFormat/>
    <w:rPr>
      <w:kern w:val="2"/>
      <w:sz w:val="21"/>
    </w:rPr>
  </w:style>
  <w:style w:type="character" w:customStyle="1" w:styleId="style131">
    <w:name w:val="style131"/>
    <w:qFormat/>
    <w:rPr>
      <w:sz w:val="21"/>
      <w:szCs w:val="21"/>
    </w:rPr>
  </w:style>
  <w:style w:type="character" w:customStyle="1" w:styleId="Char4">
    <w:name w:val="普通(网站) Char4"/>
    <w:uiPriority w:val="34"/>
    <w:qFormat/>
    <w:rPr>
      <w:kern w:val="2"/>
      <w:sz w:val="21"/>
    </w:rPr>
  </w:style>
  <w:style w:type="character" w:customStyle="1" w:styleId="8Char1">
    <w:name w:val="标题 8 Char1"/>
    <w:semiHidden/>
    <w:qFormat/>
    <w:rPr>
      <w:rFonts w:ascii="Cambria" w:eastAsia="宋体" w:hAnsi="Cambria" w:cs="Times New Roman" w:hint="default"/>
      <w:kern w:val="2"/>
      <w:sz w:val="24"/>
      <w:szCs w:val="24"/>
    </w:rPr>
  </w:style>
  <w:style w:type="character" w:customStyle="1" w:styleId="title-text">
    <w:name w:val="title-text"/>
    <w:qFormat/>
  </w:style>
  <w:style w:type="character" w:customStyle="1" w:styleId="Char1d">
    <w:name w:val="页脚 Char1"/>
    <w:uiPriority w:val="99"/>
    <w:semiHidden/>
    <w:qFormat/>
    <w:rPr>
      <w:kern w:val="2"/>
      <w:sz w:val="18"/>
      <w:szCs w:val="18"/>
    </w:rPr>
  </w:style>
  <w:style w:type="character" w:customStyle="1" w:styleId="7Char1">
    <w:name w:val="标题 7 Char1"/>
    <w:semiHidden/>
    <w:qFormat/>
    <w:rPr>
      <w:rFonts w:ascii="宋体" w:eastAsia="宋体" w:hAnsi="宋体" w:cs="Times New Roman" w:hint="eastAsia"/>
      <w:b/>
      <w:bCs/>
      <w:kern w:val="2"/>
      <w:sz w:val="24"/>
      <w:szCs w:val="24"/>
    </w:rPr>
  </w:style>
  <w:style w:type="character" w:customStyle="1" w:styleId="New0">
    <w:name w:val="强调 New"/>
    <w:qFormat/>
    <w:rPr>
      <w:color w:val="CC0000"/>
      <w:sz w:val="24"/>
      <w:szCs w:val="24"/>
    </w:rPr>
  </w:style>
  <w:style w:type="character" w:customStyle="1" w:styleId="2Char10">
    <w:name w:val="正文文本缩进 2 Char1"/>
    <w:semiHidden/>
    <w:qFormat/>
    <w:rPr>
      <w:kern w:val="2"/>
      <w:sz w:val="24"/>
      <w:szCs w:val="24"/>
    </w:rPr>
  </w:style>
  <w:style w:type="character" w:customStyle="1" w:styleId="CharChar1">
    <w:name w:val="字元 Char Char1"/>
    <w:qFormat/>
    <w:rPr>
      <w:rFonts w:ascii="黑体" w:eastAsia="黑体" w:hAnsi="黑体" w:hint="eastAsia"/>
      <w:sz w:val="28"/>
    </w:rPr>
  </w:style>
  <w:style w:type="character" w:customStyle="1" w:styleId="Char22">
    <w:name w:val="正文文本缩进 Char2"/>
    <w:qFormat/>
    <w:rPr>
      <w:kern w:val="2"/>
      <w:sz w:val="21"/>
      <w:szCs w:val="24"/>
    </w:rPr>
  </w:style>
  <w:style w:type="character" w:customStyle="1" w:styleId="Char1e">
    <w:name w:val="文档结构图 Char1"/>
    <w:semiHidden/>
    <w:qFormat/>
    <w:rPr>
      <w:rFonts w:ascii="宋体" w:eastAsia="宋体" w:hAnsi="宋体" w:hint="eastAsia"/>
      <w:kern w:val="2"/>
      <w:sz w:val="18"/>
      <w:szCs w:val="18"/>
    </w:rPr>
  </w:style>
  <w:style w:type="character" w:customStyle="1" w:styleId="Char30">
    <w:name w:val="普通(网站) Char3"/>
    <w:uiPriority w:val="34"/>
    <w:qFormat/>
    <w:rPr>
      <w:kern w:val="2"/>
      <w:sz w:val="21"/>
    </w:rPr>
  </w:style>
  <w:style w:type="character" w:customStyle="1" w:styleId="op-map-singlepoint-info-right">
    <w:name w:val="op-map-singlepoint-info-right"/>
    <w:qFormat/>
  </w:style>
  <w:style w:type="character" w:customStyle="1" w:styleId="150">
    <w:name w:val="15"/>
    <w:qFormat/>
    <w:rPr>
      <w:rFonts w:ascii="Courier New" w:hAnsi="Courier New" w:cs="Courier New" w:hint="default"/>
    </w:rPr>
  </w:style>
  <w:style w:type="table" w:customStyle="1" w:styleId="1b">
    <w:name w:val="网格型1"/>
    <w:basedOn w:val="a3"/>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d">
    <w:name w:val="网格型2"/>
    <w:basedOn w:val="a3"/>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List Paragraph"/>
    <w:basedOn w:val="a1"/>
    <w:uiPriority w:val="99"/>
    <w:qFormat/>
    <w:pPr>
      <w:ind w:firstLineChars="200" w:firstLine="420"/>
    </w:pPr>
    <w:rPr>
      <w:sz w:val="21"/>
    </w:rPr>
  </w:style>
  <w:style w:type="paragraph" w:customStyle="1" w:styleId="msonormal0">
    <w:name w:val="msonormal"/>
    <w:basedOn w:val="a1"/>
    <w:qFormat/>
    <w:pPr>
      <w:widowControl/>
      <w:snapToGrid w:val="0"/>
      <w:spacing w:after="225"/>
      <w:jc w:val="left"/>
    </w:pPr>
    <w:rPr>
      <w:rFonts w:ascii="Arial" w:eastAsia="Times New Roman" w:hAnsi="Arial" w:cs="Arial"/>
      <w:color w:val="000000"/>
      <w:kern w:val="0"/>
      <w:szCs w:val="24"/>
    </w:rPr>
  </w:style>
  <w:style w:type="character" w:customStyle="1" w:styleId="affffff">
    <w:name w:val="无间隔 字符"/>
    <w:link w:val="affffff0"/>
    <w:uiPriority w:val="1"/>
    <w:qFormat/>
    <w:rPr>
      <w:rFonts w:ascii="Calibri" w:hAnsi="Calibri" w:cs="Calibri"/>
      <w:sz w:val="22"/>
      <w:szCs w:val="22"/>
    </w:rPr>
  </w:style>
  <w:style w:type="paragraph" w:styleId="affffff0">
    <w:name w:val="No Spacing"/>
    <w:link w:val="affffff"/>
    <w:uiPriority w:val="1"/>
    <w:qFormat/>
    <w:rPr>
      <w:rFonts w:ascii="Calibri" w:hAnsi="Calibri" w:cs="Calibri"/>
      <w:sz w:val="22"/>
      <w:szCs w:val="22"/>
    </w:rPr>
  </w:style>
  <w:style w:type="paragraph" w:customStyle="1" w:styleId="CharCharChar1CharCharCharCharCharCharCharCharCharCharCharCharCharCharCharCharCharCharCharCharCharChar1">
    <w:name w:val="Char Char Char1 Char Char Char Char Char Char Char Char Char Char Char Char Char Char Char Char Char Char Char Char Char Char1"/>
    <w:basedOn w:val="a1"/>
    <w:uiPriority w:val="34"/>
    <w:qFormat/>
    <w:pPr>
      <w:snapToGrid w:val="0"/>
    </w:pPr>
    <w:rPr>
      <w:color w:val="000000"/>
      <w:sz w:val="21"/>
      <w:szCs w:val="24"/>
    </w:rPr>
  </w:style>
  <w:style w:type="paragraph" w:customStyle="1" w:styleId="CharCharCharCharCharCharCharCharCharCharCharCharChar1">
    <w:name w:val="Char Char Char Char Char Char Char Char Char Char Char Char Char1"/>
    <w:basedOn w:val="a1"/>
    <w:uiPriority w:val="34"/>
    <w:qFormat/>
    <w:pPr>
      <w:snapToGrid w:val="0"/>
    </w:pPr>
    <w:rPr>
      <w:color w:val="000000"/>
      <w:sz w:val="21"/>
      <w:szCs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1"/>
    <w:uiPriority w:val="34"/>
    <w:qFormat/>
    <w:pPr>
      <w:snapToGrid w:val="0"/>
    </w:pPr>
    <w:rPr>
      <w:color w:val="000000"/>
      <w:sz w:val="21"/>
      <w:szCs w:val="24"/>
    </w:rPr>
  </w:style>
  <w:style w:type="paragraph" w:customStyle="1" w:styleId="CharCharCharCharCharCharCharCharCharChar1">
    <w:name w:val="Char Char Char Char Char Char Char Char Char Char1"/>
    <w:basedOn w:val="a1"/>
    <w:uiPriority w:val="34"/>
    <w:qFormat/>
    <w:pPr>
      <w:snapToGrid w:val="0"/>
    </w:pPr>
    <w:rPr>
      <w:color w:val="000000"/>
      <w:sz w:val="21"/>
      <w:szCs w:val="24"/>
    </w:rPr>
  </w:style>
  <w:style w:type="paragraph" w:customStyle="1" w:styleId="CharCharChar1CharCharCharCharCharCharCharCharCharCharCharCharCharCharCharChar5">
    <w:name w:val="Char Char Char1 Char Char Char Char Char Char Char Char Char Char Char Char Char Char Char Char5"/>
    <w:basedOn w:val="a1"/>
    <w:uiPriority w:val="34"/>
    <w:qFormat/>
    <w:pPr>
      <w:snapToGrid w:val="0"/>
    </w:pPr>
    <w:rPr>
      <w:color w:val="000000"/>
      <w:sz w:val="21"/>
    </w:rPr>
  </w:style>
  <w:style w:type="paragraph" w:customStyle="1" w:styleId="CharCharCharChar1">
    <w:name w:val="Char Char Char Char1"/>
    <w:basedOn w:val="a1"/>
    <w:uiPriority w:val="34"/>
    <w:qFormat/>
    <w:pPr>
      <w:snapToGrid w:val="0"/>
    </w:pPr>
    <w:rPr>
      <w:color w:val="000000"/>
      <w:sz w:val="21"/>
      <w:szCs w:val="24"/>
    </w:rPr>
  </w:style>
  <w:style w:type="paragraph" w:customStyle="1" w:styleId="TOC11">
    <w:name w:val="TOC 标题11"/>
    <w:basedOn w:val="1"/>
    <w:next w:val="a1"/>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63">
    <w:name w:val="xl63"/>
    <w:basedOn w:val="a1"/>
    <w:qFormat/>
    <w:pPr>
      <w:widowControl/>
      <w:pBdr>
        <w:left w:val="single" w:sz="4" w:space="0" w:color="auto"/>
        <w:right w:val="single" w:sz="4" w:space="0" w:color="auto"/>
      </w:pBdr>
      <w:spacing w:before="100" w:beforeAutospacing="1" w:after="100" w:afterAutospacing="1"/>
      <w:jc w:val="left"/>
    </w:pPr>
    <w:rPr>
      <w:rFonts w:ascii="宋体" w:hAnsi="宋体" w:cs="宋体"/>
      <w:kern w:val="0"/>
      <w:szCs w:val="24"/>
    </w:rPr>
  </w:style>
  <w:style w:type="paragraph" w:customStyle="1" w:styleId="xl64">
    <w:name w:val="xl64"/>
    <w:basedOn w:val="a1"/>
    <w:qFormat/>
    <w:pPr>
      <w:widowControl/>
      <w:spacing w:before="100" w:beforeAutospacing="1" w:after="100" w:afterAutospacing="1"/>
      <w:jc w:val="center"/>
    </w:pPr>
    <w:rPr>
      <w:rFonts w:ascii="宋体" w:hAnsi="宋体" w:cs="宋体"/>
      <w:kern w:val="0"/>
      <w:szCs w:val="24"/>
    </w:rPr>
  </w:style>
  <w:style w:type="paragraph" w:customStyle="1" w:styleId="xl65">
    <w:name w:val="xl65"/>
    <w:basedOn w:val="a1"/>
    <w:qFormat/>
    <w:pPr>
      <w:widowControl/>
      <w:spacing w:before="100" w:beforeAutospacing="1" w:after="100" w:afterAutospacing="1"/>
      <w:jc w:val="right"/>
    </w:pPr>
    <w:rPr>
      <w:rFonts w:ascii="宋体" w:hAnsi="宋体" w:cs="宋体"/>
      <w:kern w:val="0"/>
      <w:szCs w:val="24"/>
    </w:rPr>
  </w:style>
  <w:style w:type="paragraph" w:customStyle="1" w:styleId="xl66">
    <w:name w:val="xl66"/>
    <w:basedOn w:val="a1"/>
    <w:qFormat/>
    <w:pPr>
      <w:widowControl/>
      <w:pBdr>
        <w:top w:val="single" w:sz="4" w:space="0" w:color="000000"/>
        <w:left w:val="single" w:sz="4" w:space="0" w:color="auto"/>
        <w:right w:val="single" w:sz="4" w:space="0" w:color="auto"/>
      </w:pBdr>
      <w:spacing w:before="100" w:beforeAutospacing="1" w:after="100" w:afterAutospacing="1"/>
      <w:jc w:val="left"/>
    </w:pPr>
    <w:rPr>
      <w:rFonts w:ascii="宋体" w:hAnsi="宋体" w:cs="宋体"/>
      <w:kern w:val="0"/>
      <w:szCs w:val="24"/>
    </w:rPr>
  </w:style>
  <w:style w:type="paragraph" w:customStyle="1" w:styleId="xl67">
    <w:name w:val="xl67"/>
    <w:basedOn w:val="a1"/>
    <w:qFormat/>
    <w:pPr>
      <w:widowControl/>
      <w:pBdr>
        <w:bottom w:val="single" w:sz="4" w:space="0" w:color="000000"/>
        <w:right w:val="single" w:sz="4" w:space="0" w:color="000000"/>
      </w:pBdr>
      <w:spacing w:before="100" w:beforeAutospacing="1" w:after="100" w:afterAutospacing="1"/>
      <w:jc w:val="center"/>
    </w:pPr>
    <w:rPr>
      <w:rFonts w:ascii="宋体" w:hAnsi="宋体" w:cs="宋体"/>
      <w:b/>
      <w:bCs/>
      <w:kern w:val="0"/>
      <w:sz w:val="18"/>
      <w:szCs w:val="18"/>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4"/>
    </w:rPr>
  </w:style>
  <w:style w:type="paragraph" w:customStyle="1" w:styleId="xl69">
    <w:name w:val="xl69"/>
    <w:basedOn w:val="a1"/>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70">
    <w:name w:val="xl70"/>
    <w:basedOn w:val="a1"/>
    <w:qFormat/>
    <w:pPr>
      <w:widowControl/>
      <w:pBdr>
        <w:bottom w:val="single" w:sz="4" w:space="0" w:color="000000"/>
        <w:right w:val="single" w:sz="4" w:space="0" w:color="000000"/>
      </w:pBdr>
      <w:spacing w:before="100" w:beforeAutospacing="1" w:after="100" w:afterAutospacing="1"/>
      <w:jc w:val="left"/>
    </w:pPr>
    <w:rPr>
      <w:rFonts w:ascii="宋体" w:hAnsi="宋体" w:cs="宋体"/>
      <w:kern w:val="0"/>
      <w:sz w:val="18"/>
      <w:szCs w:val="18"/>
    </w:rPr>
  </w:style>
  <w:style w:type="paragraph" w:customStyle="1" w:styleId="xl71">
    <w:name w:val="xl71"/>
    <w:basedOn w:val="a1"/>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72">
    <w:name w:val="xl72"/>
    <w:basedOn w:val="a1"/>
    <w:qFormat/>
    <w:pPr>
      <w:widowControl/>
      <w:pBdr>
        <w:bottom w:val="single" w:sz="4" w:space="0" w:color="000000"/>
        <w:right w:val="single" w:sz="4" w:space="0" w:color="000000"/>
      </w:pBdr>
      <w:spacing w:before="100" w:beforeAutospacing="1" w:after="100" w:afterAutospacing="1"/>
      <w:jc w:val="right"/>
    </w:pPr>
    <w:rPr>
      <w:rFonts w:ascii="宋体" w:hAnsi="宋体" w:cs="宋体"/>
      <w:kern w:val="0"/>
      <w:sz w:val="18"/>
      <w:szCs w:val="18"/>
    </w:rPr>
  </w:style>
  <w:style w:type="paragraph" w:customStyle="1" w:styleId="xl73">
    <w:name w:val="xl73"/>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4"/>
    </w:rPr>
  </w:style>
  <w:style w:type="paragraph" w:customStyle="1" w:styleId="xl74">
    <w:name w:val="xl74"/>
    <w:basedOn w:val="a1"/>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C">
    <w:name w:val="标题C"/>
    <w:basedOn w:val="a1"/>
    <w:qFormat/>
    <w:pPr>
      <w:spacing w:line="360" w:lineRule="auto"/>
      <w:outlineLvl w:val="2"/>
    </w:pPr>
    <w:rPr>
      <w:rFonts w:cs="宋体"/>
      <w:b/>
      <w:bCs/>
    </w:rPr>
  </w:style>
  <w:style w:type="character" w:customStyle="1" w:styleId="BChar">
    <w:name w:val="正文B Char"/>
    <w:link w:val="B0"/>
    <w:qFormat/>
    <w:rPr>
      <w:rFonts w:ascii="宋体" w:hAnsi="宋体" w:cs="宋体"/>
      <w:kern w:val="2"/>
    </w:rPr>
  </w:style>
  <w:style w:type="paragraph" w:customStyle="1" w:styleId="B0">
    <w:name w:val="正文B"/>
    <w:basedOn w:val="Afffff2"/>
    <w:link w:val="BChar"/>
    <w:qFormat/>
    <w:pPr>
      <w:ind w:firstLine="480"/>
    </w:pPr>
    <w:rPr>
      <w:rFonts w:ascii="宋体" w:hAnsi="宋体" w:cs="宋体"/>
      <w:sz w:val="20"/>
    </w:rPr>
  </w:style>
  <w:style w:type="character" w:styleId="affffff1">
    <w:name w:val="Placeholder Text"/>
    <w:uiPriority w:val="99"/>
    <w:qFormat/>
    <w:rPr>
      <w:color w:val="808080"/>
    </w:rPr>
  </w:style>
  <w:style w:type="character" w:customStyle="1" w:styleId="CharChar10">
    <w:name w:val="Char Char1"/>
    <w:qFormat/>
    <w:rPr>
      <w:rFonts w:ascii="宋体" w:eastAsia="宋体" w:hAnsi="宋体" w:hint="eastAsia"/>
      <w:b/>
      <w:bCs/>
      <w:kern w:val="44"/>
      <w:sz w:val="44"/>
      <w:szCs w:val="44"/>
      <w:lang w:val="en-US" w:eastAsia="zh-CN" w:bidi="ar-SA"/>
    </w:rPr>
  </w:style>
  <w:style w:type="character" w:customStyle="1" w:styleId="1c">
    <w:name w:val="占位符文本1"/>
    <w:uiPriority w:val="99"/>
    <w:qFormat/>
    <w:rPr>
      <w:color w:val="808080"/>
    </w:rPr>
  </w:style>
  <w:style w:type="character" w:customStyle="1" w:styleId="font01">
    <w:name w:val="font01"/>
    <w:qFormat/>
    <w:rPr>
      <w:rFonts w:ascii="宋体" w:eastAsia="宋体" w:hAnsi="宋体" w:hint="eastAsia"/>
      <w:color w:val="000000"/>
      <w:sz w:val="24"/>
      <w:szCs w:val="24"/>
      <w:u w:val="none"/>
    </w:rPr>
  </w:style>
  <w:style w:type="character" w:customStyle="1" w:styleId="1d">
    <w:name w:val="批注文字 字符1"/>
    <w:qFormat/>
    <w:rPr>
      <w:kern w:val="2"/>
      <w:sz w:val="21"/>
      <w:szCs w:val="24"/>
      <w:lang w:val="zh-CN" w:eastAsia="zh-CN"/>
    </w:rPr>
  </w:style>
  <w:style w:type="character" w:customStyle="1" w:styleId="1e">
    <w:name w:val="正文文本缩进 字符1"/>
    <w:basedOn w:val="a2"/>
    <w:semiHidden/>
    <w:qFormat/>
    <w:rPr>
      <w:kern w:val="2"/>
      <w:sz w:val="21"/>
      <w:szCs w:val="24"/>
    </w:rPr>
  </w:style>
  <w:style w:type="character" w:customStyle="1" w:styleId="212">
    <w:name w:val="正文文本首行缩进 2 字符1"/>
    <w:basedOn w:val="1e"/>
    <w:qFormat/>
    <w:rPr>
      <w:kern w:val="2"/>
      <w:sz w:val="21"/>
      <w:szCs w:val="24"/>
    </w:rPr>
  </w:style>
  <w:style w:type="character" w:customStyle="1" w:styleId="1f">
    <w:name w:val="纯文本 字符1"/>
    <w:basedOn w:val="a2"/>
    <w:qFormat/>
    <w:rPr>
      <w:rFonts w:asciiTheme="minorEastAsia" w:eastAsiaTheme="minorEastAsia" w:hAnsi="Courier New" w:cs="Courier New"/>
      <w:kern w:val="2"/>
      <w:sz w:val="21"/>
      <w:szCs w:val="24"/>
    </w:rPr>
  </w:style>
  <w:style w:type="character" w:customStyle="1" w:styleId="1f0">
    <w:name w:val="正文文本 字符1"/>
    <w:basedOn w:val="a2"/>
    <w:semiHidden/>
    <w:qFormat/>
    <w:rPr>
      <w:kern w:val="2"/>
      <w:sz w:val="21"/>
      <w:szCs w:val="24"/>
    </w:rPr>
  </w:style>
  <w:style w:type="paragraph" w:customStyle="1" w:styleId="2e">
    <w:name w:val="普通(网站)2"/>
    <w:basedOn w:val="a1"/>
    <w:qFormat/>
    <w:pPr>
      <w:widowControl/>
      <w:spacing w:before="100" w:beforeAutospacing="1" w:after="100" w:afterAutospacing="1"/>
      <w:jc w:val="left"/>
    </w:pPr>
    <w:rPr>
      <w:rFonts w:ascii="宋体" w:hAnsi="宋体"/>
    </w:rPr>
  </w:style>
  <w:style w:type="character" w:customStyle="1" w:styleId="affffff2">
    <w:name w:val="表内 正文 字符"/>
    <w:basedOn w:val="a2"/>
    <w:link w:val="affffff3"/>
    <w:qFormat/>
    <w:rPr>
      <w:rFonts w:cstheme="majorBidi"/>
      <w:kern w:val="2"/>
      <w:sz w:val="24"/>
      <w:szCs w:val="24"/>
    </w:rPr>
  </w:style>
  <w:style w:type="paragraph" w:customStyle="1" w:styleId="affffff3">
    <w:name w:val="表内 正文"/>
    <w:link w:val="affffff2"/>
    <w:qFormat/>
    <w:pPr>
      <w:widowControl w:val="0"/>
      <w:adjustRightInd w:val="0"/>
      <w:snapToGrid w:val="0"/>
      <w:spacing w:line="480" w:lineRule="exact"/>
      <w:ind w:firstLineChars="200" w:firstLine="200"/>
      <w:jc w:val="both"/>
    </w:pPr>
    <w:rPr>
      <w:rFonts w:cstheme="majorBidi"/>
      <w:kern w:val="2"/>
      <w:sz w:val="24"/>
      <w:szCs w:val="24"/>
    </w:rPr>
  </w:style>
  <w:style w:type="character" w:customStyle="1" w:styleId="710">
    <w:name w:val="标题 7 字符1"/>
    <w:basedOn w:val="a2"/>
    <w:semiHidden/>
    <w:qFormat/>
    <w:rPr>
      <w:b/>
      <w:bCs/>
      <w:kern w:val="2"/>
      <w:sz w:val="24"/>
      <w:szCs w:val="24"/>
    </w:rPr>
  </w:style>
  <w:style w:type="character" w:customStyle="1" w:styleId="810">
    <w:name w:val="标题 8 字符1"/>
    <w:basedOn w:val="a2"/>
    <w:semiHidden/>
    <w:qFormat/>
    <w:rPr>
      <w:rFonts w:asciiTheme="majorHAnsi" w:eastAsiaTheme="majorEastAsia" w:hAnsiTheme="majorHAnsi" w:cstheme="majorBidi"/>
      <w:kern w:val="2"/>
      <w:sz w:val="24"/>
      <w:szCs w:val="24"/>
    </w:rPr>
  </w:style>
  <w:style w:type="character" w:customStyle="1" w:styleId="910">
    <w:name w:val="标题 9 字符1"/>
    <w:basedOn w:val="a2"/>
    <w:semiHidden/>
    <w:qFormat/>
    <w:rPr>
      <w:rFonts w:asciiTheme="majorHAnsi" w:eastAsiaTheme="majorEastAsia" w:hAnsiTheme="majorHAnsi" w:cstheme="majorBidi"/>
      <w:kern w:val="2"/>
      <w:sz w:val="21"/>
      <w:szCs w:val="21"/>
    </w:rPr>
  </w:style>
  <w:style w:type="character" w:customStyle="1" w:styleId="1f1">
    <w:name w:val="页脚 字符1"/>
    <w:basedOn w:val="a2"/>
    <w:uiPriority w:val="99"/>
    <w:semiHidden/>
    <w:qFormat/>
    <w:rPr>
      <w:kern w:val="2"/>
      <w:sz w:val="18"/>
      <w:szCs w:val="18"/>
    </w:rPr>
  </w:style>
  <w:style w:type="character" w:customStyle="1" w:styleId="1f2">
    <w:name w:val="日期 字符1"/>
    <w:basedOn w:val="a2"/>
    <w:semiHidden/>
    <w:qFormat/>
    <w:rPr>
      <w:kern w:val="2"/>
      <w:sz w:val="21"/>
      <w:szCs w:val="24"/>
    </w:rPr>
  </w:style>
  <w:style w:type="character" w:customStyle="1" w:styleId="312">
    <w:name w:val="正文文本缩进 3 字符1"/>
    <w:basedOn w:val="a2"/>
    <w:semiHidden/>
    <w:qFormat/>
    <w:rPr>
      <w:kern w:val="2"/>
      <w:sz w:val="16"/>
      <w:szCs w:val="16"/>
    </w:rPr>
  </w:style>
  <w:style w:type="character" w:customStyle="1" w:styleId="213">
    <w:name w:val="正文文本缩进 2 字符1"/>
    <w:basedOn w:val="a2"/>
    <w:semiHidden/>
    <w:qFormat/>
    <w:rPr>
      <w:kern w:val="2"/>
      <w:sz w:val="21"/>
      <w:szCs w:val="24"/>
    </w:rPr>
  </w:style>
  <w:style w:type="character" w:customStyle="1" w:styleId="1f3">
    <w:name w:val="文档结构图 字符1"/>
    <w:basedOn w:val="a2"/>
    <w:uiPriority w:val="99"/>
    <w:semiHidden/>
    <w:qFormat/>
    <w:rPr>
      <w:rFonts w:ascii="Microsoft YaHei UI" w:eastAsia="Microsoft YaHei UI"/>
      <w:kern w:val="2"/>
      <w:sz w:val="18"/>
      <w:szCs w:val="18"/>
    </w:rPr>
  </w:style>
  <w:style w:type="character" w:customStyle="1" w:styleId="1f4">
    <w:name w:val="页眉 字符1"/>
    <w:basedOn w:val="a2"/>
    <w:uiPriority w:val="99"/>
    <w:semiHidden/>
    <w:qFormat/>
    <w:rPr>
      <w:kern w:val="2"/>
      <w:sz w:val="18"/>
      <w:szCs w:val="18"/>
    </w:rPr>
  </w:style>
  <w:style w:type="character" w:customStyle="1" w:styleId="1f5">
    <w:name w:val="批注框文本 字符1"/>
    <w:basedOn w:val="a2"/>
    <w:uiPriority w:val="99"/>
    <w:semiHidden/>
    <w:qFormat/>
    <w:rPr>
      <w:kern w:val="2"/>
      <w:sz w:val="18"/>
      <w:szCs w:val="18"/>
    </w:rPr>
  </w:style>
  <w:style w:type="character" w:customStyle="1" w:styleId="1f6">
    <w:name w:val="批注主题 字符1"/>
    <w:basedOn w:val="af6"/>
    <w:uiPriority w:val="99"/>
    <w:semiHidden/>
    <w:qFormat/>
    <w:rPr>
      <w:b/>
      <w:bCs/>
      <w:kern w:val="2"/>
      <w:sz w:val="21"/>
      <w:szCs w:val="24"/>
    </w:rPr>
  </w:style>
  <w:style w:type="character" w:customStyle="1" w:styleId="313">
    <w:name w:val="正文文本 3 字符1"/>
    <w:basedOn w:val="a2"/>
    <w:semiHidden/>
    <w:qFormat/>
    <w:rPr>
      <w:kern w:val="2"/>
      <w:sz w:val="16"/>
      <w:szCs w:val="16"/>
    </w:rPr>
  </w:style>
  <w:style w:type="character" w:customStyle="1" w:styleId="1f7">
    <w:name w:val="标题 字符1"/>
    <w:basedOn w:val="a2"/>
    <w:uiPriority w:val="10"/>
    <w:qFormat/>
    <w:rPr>
      <w:rFonts w:asciiTheme="majorHAnsi" w:eastAsiaTheme="majorEastAsia" w:hAnsiTheme="majorHAnsi" w:cstheme="majorBidi"/>
      <w:b/>
      <w:bCs/>
      <w:kern w:val="2"/>
      <w:sz w:val="32"/>
      <w:szCs w:val="32"/>
    </w:rPr>
  </w:style>
  <w:style w:type="character" w:customStyle="1" w:styleId="1f8">
    <w:name w:val="结束语 字符1"/>
    <w:basedOn w:val="a2"/>
    <w:uiPriority w:val="99"/>
    <w:semiHidden/>
    <w:qFormat/>
    <w:rPr>
      <w:kern w:val="2"/>
      <w:sz w:val="21"/>
      <w:szCs w:val="24"/>
    </w:rPr>
  </w:style>
  <w:style w:type="paragraph" w:customStyle="1" w:styleId="TOC20">
    <w:name w:val="TOC 标题2"/>
    <w:basedOn w:val="1"/>
    <w:next w:val="a1"/>
    <w:uiPriority w:val="39"/>
    <w:unhideWhenUsed/>
    <w:qFormat/>
    <w:pPr>
      <w:widowControl/>
      <w:spacing w:before="480" w:after="0" w:line="276" w:lineRule="auto"/>
      <w:jc w:val="left"/>
      <w:outlineLvl w:val="9"/>
    </w:pPr>
    <w:rPr>
      <w:rFonts w:ascii="Cambria" w:hAnsi="Cambria"/>
      <w:color w:val="365F91"/>
      <w:kern w:val="0"/>
      <w:sz w:val="28"/>
      <w:szCs w:val="28"/>
      <w:lang w:val="zh-CN"/>
    </w:rPr>
  </w:style>
  <w:style w:type="character" w:customStyle="1" w:styleId="HTML0">
    <w:name w:val="HTML 地址 字符"/>
    <w:basedOn w:val="a2"/>
    <w:link w:val="HTML"/>
    <w:semiHidden/>
    <w:qFormat/>
    <w:rPr>
      <w:i/>
      <w:iCs/>
      <w:color w:val="000000" w:themeColor="text1"/>
      <w:kern w:val="2"/>
      <w:sz w:val="21"/>
      <w:szCs w:val="24"/>
    </w:rPr>
  </w:style>
  <w:style w:type="character" w:customStyle="1" w:styleId="aff4">
    <w:name w:val="尾注文本 字符"/>
    <w:basedOn w:val="a2"/>
    <w:link w:val="aff3"/>
    <w:qFormat/>
    <w:rPr>
      <w:color w:val="000000" w:themeColor="text1"/>
      <w:kern w:val="2"/>
      <w:sz w:val="21"/>
      <w:szCs w:val="24"/>
    </w:rPr>
  </w:style>
  <w:style w:type="character" w:customStyle="1" w:styleId="a8">
    <w:name w:val="宏文本 字符"/>
    <w:basedOn w:val="a2"/>
    <w:link w:val="a7"/>
    <w:qFormat/>
    <w:rPr>
      <w:rFonts w:ascii="Courier New" w:hAnsi="Courier New" w:cs="Courier New"/>
      <w:color w:val="000000" w:themeColor="text1"/>
      <w:kern w:val="2"/>
      <w:sz w:val="24"/>
      <w:szCs w:val="24"/>
    </w:rPr>
  </w:style>
  <w:style w:type="character" w:customStyle="1" w:styleId="affd">
    <w:name w:val="签名 字符"/>
    <w:basedOn w:val="a2"/>
    <w:link w:val="affc"/>
    <w:qFormat/>
    <w:rPr>
      <w:color w:val="000000" w:themeColor="text1"/>
      <w:kern w:val="2"/>
      <w:sz w:val="21"/>
      <w:szCs w:val="24"/>
    </w:rPr>
  </w:style>
  <w:style w:type="character" w:customStyle="1" w:styleId="afff6">
    <w:name w:val="信息标题 字符"/>
    <w:basedOn w:val="a2"/>
    <w:link w:val="afff5"/>
    <w:qFormat/>
    <w:rPr>
      <w:rFonts w:ascii="Cambria" w:hAnsi="Cambria"/>
      <w:color w:val="000000" w:themeColor="text1"/>
      <w:kern w:val="2"/>
      <w:sz w:val="24"/>
      <w:szCs w:val="24"/>
      <w:shd w:val="pct20" w:color="auto" w:fill="auto"/>
    </w:rPr>
  </w:style>
  <w:style w:type="character" w:customStyle="1" w:styleId="afff0">
    <w:name w:val="副标题 字符"/>
    <w:basedOn w:val="a2"/>
    <w:link w:val="afff"/>
    <w:qFormat/>
    <w:rPr>
      <w:rFonts w:ascii="Cambria" w:hAnsi="Cambria"/>
      <w:b/>
      <w:bCs/>
      <w:color w:val="000000" w:themeColor="text1"/>
      <w:kern w:val="28"/>
      <w:sz w:val="32"/>
      <w:szCs w:val="32"/>
    </w:rPr>
  </w:style>
  <w:style w:type="character" w:customStyle="1" w:styleId="af8">
    <w:name w:val="称呼 字符"/>
    <w:basedOn w:val="a2"/>
    <w:link w:val="af7"/>
    <w:qFormat/>
    <w:rPr>
      <w:color w:val="000000" w:themeColor="text1"/>
      <w:kern w:val="2"/>
      <w:sz w:val="21"/>
      <w:szCs w:val="24"/>
    </w:rPr>
  </w:style>
  <w:style w:type="character" w:customStyle="1" w:styleId="afffe">
    <w:name w:val="正文文本首行缩进 字符"/>
    <w:basedOn w:val="afc"/>
    <w:link w:val="afffd"/>
    <w:qFormat/>
    <w:rPr>
      <w:rFonts w:ascii="Times New Roman" w:eastAsia="宋体" w:hAnsi="Times New Roman" w:cs="Times New Roman"/>
      <w:color w:val="000000" w:themeColor="text1"/>
      <w:sz w:val="21"/>
      <w:szCs w:val="24"/>
    </w:rPr>
  </w:style>
  <w:style w:type="character" w:customStyle="1" w:styleId="ab">
    <w:name w:val="注释标题 字符"/>
    <w:basedOn w:val="a2"/>
    <w:link w:val="aa"/>
    <w:qFormat/>
    <w:rPr>
      <w:color w:val="000000" w:themeColor="text1"/>
      <w:kern w:val="2"/>
      <w:sz w:val="21"/>
      <w:szCs w:val="24"/>
    </w:rPr>
  </w:style>
  <w:style w:type="character" w:customStyle="1" w:styleId="29">
    <w:name w:val="正文文本 2 字符"/>
    <w:basedOn w:val="a2"/>
    <w:link w:val="28"/>
    <w:qFormat/>
    <w:rPr>
      <w:color w:val="000000" w:themeColor="text1"/>
      <w:kern w:val="2"/>
      <w:sz w:val="21"/>
      <w:szCs w:val="24"/>
    </w:rPr>
  </w:style>
  <w:style w:type="character" w:customStyle="1" w:styleId="ad">
    <w:name w:val="电子邮件签名 字符"/>
    <w:basedOn w:val="a2"/>
    <w:link w:val="ac"/>
    <w:qFormat/>
    <w:rPr>
      <w:color w:val="000000" w:themeColor="text1"/>
      <w:kern w:val="2"/>
      <w:sz w:val="21"/>
      <w:szCs w:val="24"/>
    </w:rPr>
  </w:style>
  <w:style w:type="character" w:customStyle="1" w:styleId="affffff4">
    <w:name w:val="引用 字符"/>
    <w:basedOn w:val="a2"/>
    <w:link w:val="affffff5"/>
    <w:uiPriority w:val="99"/>
    <w:qFormat/>
    <w:rPr>
      <w:i/>
      <w:iCs/>
      <w:color w:val="000000" w:themeColor="text1"/>
      <w:kern w:val="2"/>
      <w:sz w:val="21"/>
      <w:szCs w:val="24"/>
    </w:rPr>
  </w:style>
  <w:style w:type="paragraph" w:styleId="affffff5">
    <w:name w:val="Quote"/>
    <w:basedOn w:val="a1"/>
    <w:next w:val="a1"/>
    <w:link w:val="affffff4"/>
    <w:uiPriority w:val="99"/>
    <w:qFormat/>
    <w:pPr>
      <w:snapToGrid w:val="0"/>
    </w:pPr>
    <w:rPr>
      <w:i/>
      <w:iCs/>
      <w:color w:val="000000" w:themeColor="text1"/>
      <w:sz w:val="21"/>
      <w:szCs w:val="24"/>
    </w:rPr>
  </w:style>
  <w:style w:type="character" w:customStyle="1" w:styleId="affffff6">
    <w:name w:val="明显引用 字符"/>
    <w:basedOn w:val="a2"/>
    <w:link w:val="affffff7"/>
    <w:uiPriority w:val="99"/>
    <w:qFormat/>
    <w:rPr>
      <w:b/>
      <w:bCs/>
      <w:i/>
      <w:iCs/>
      <w:color w:val="4F81BD" w:themeColor="accent1"/>
      <w:kern w:val="2"/>
      <w:sz w:val="21"/>
      <w:szCs w:val="24"/>
    </w:rPr>
  </w:style>
  <w:style w:type="paragraph" w:styleId="affffff7">
    <w:name w:val="Intense Quote"/>
    <w:basedOn w:val="a1"/>
    <w:next w:val="a1"/>
    <w:link w:val="affffff6"/>
    <w:uiPriority w:val="99"/>
    <w:qFormat/>
    <w:pPr>
      <w:pBdr>
        <w:bottom w:val="single" w:sz="4" w:space="4" w:color="4F81BD" w:themeColor="accent1"/>
      </w:pBdr>
      <w:snapToGrid w:val="0"/>
      <w:spacing w:before="200" w:after="280"/>
      <w:ind w:left="936" w:right="936"/>
    </w:pPr>
    <w:rPr>
      <w:b/>
      <w:bCs/>
      <w:i/>
      <w:iCs/>
      <w:color w:val="4F81BD" w:themeColor="accent1"/>
      <w:sz w:val="21"/>
      <w:szCs w:val="24"/>
    </w:rPr>
  </w:style>
  <w:style w:type="paragraph" w:customStyle="1" w:styleId="2f">
    <w:name w:val="修订2"/>
    <w:uiPriority w:val="99"/>
    <w:qFormat/>
    <w:rPr>
      <w:rFonts w:cs="宋体"/>
      <w:kern w:val="2"/>
      <w:sz w:val="24"/>
    </w:rPr>
  </w:style>
  <w:style w:type="paragraph" w:customStyle="1" w:styleId="affffff8">
    <w:name w:val="表格字体"/>
    <w:basedOn w:val="a1"/>
    <w:next w:val="a1"/>
    <w:qFormat/>
    <w:pPr>
      <w:jc w:val="center"/>
    </w:pPr>
    <w:rPr>
      <w:rFonts w:cs="宋体"/>
      <w:sz w:val="21"/>
    </w:rPr>
  </w:style>
  <w:style w:type="paragraph" w:customStyle="1" w:styleId="320">
    <w:name w:val="标题 32"/>
    <w:basedOn w:val="a1"/>
    <w:uiPriority w:val="1"/>
    <w:qFormat/>
    <w:pPr>
      <w:autoSpaceDE w:val="0"/>
      <w:autoSpaceDN w:val="0"/>
      <w:adjustRightInd w:val="0"/>
      <w:jc w:val="left"/>
      <w:outlineLvl w:val="2"/>
    </w:pPr>
    <w:rPr>
      <w:rFonts w:ascii="黑体" w:eastAsia="黑体" w:cs="黑体"/>
      <w:kern w:val="0"/>
      <w:sz w:val="32"/>
      <w:szCs w:val="32"/>
    </w:rPr>
  </w:style>
  <w:style w:type="character" w:customStyle="1" w:styleId="-1Char">
    <w:name w:val="正文-1 Char"/>
    <w:link w:val="-1"/>
    <w:qFormat/>
    <w:rPr>
      <w:rFonts w:ascii="Calibri" w:hAnsi="宋体"/>
      <w:kern w:val="2"/>
      <w:sz w:val="24"/>
      <w:szCs w:val="24"/>
    </w:rPr>
  </w:style>
  <w:style w:type="paragraph" w:customStyle="1" w:styleId="-1">
    <w:name w:val="正文-1"/>
    <w:basedOn w:val="a1"/>
    <w:link w:val="-1Char"/>
    <w:qFormat/>
    <w:pPr>
      <w:spacing w:line="360" w:lineRule="auto"/>
      <w:ind w:firstLineChars="200" w:firstLine="200"/>
    </w:pPr>
    <w:rPr>
      <w:rFonts w:ascii="Calibri" w:hAnsi="宋体"/>
      <w:szCs w:val="24"/>
    </w:rPr>
  </w:style>
  <w:style w:type="character" w:customStyle="1" w:styleId="affffff9">
    <w:name w:val="一级标题 字符"/>
    <w:basedOn w:val="a2"/>
    <w:link w:val="affffffa"/>
    <w:qFormat/>
    <w:rPr>
      <w:b/>
      <w:bCs/>
      <w:kern w:val="2"/>
      <w:sz w:val="32"/>
      <w:szCs w:val="28"/>
    </w:rPr>
  </w:style>
  <w:style w:type="paragraph" w:customStyle="1" w:styleId="affffffa">
    <w:name w:val="一级标题"/>
    <w:basedOn w:val="a1"/>
    <w:next w:val="a1"/>
    <w:link w:val="affffff9"/>
    <w:qFormat/>
    <w:pPr>
      <w:snapToGrid w:val="0"/>
      <w:spacing w:line="360" w:lineRule="auto"/>
      <w:jc w:val="left"/>
      <w:outlineLvl w:val="0"/>
    </w:pPr>
    <w:rPr>
      <w:b/>
      <w:bCs/>
      <w:sz w:val="32"/>
      <w:szCs w:val="28"/>
    </w:rPr>
  </w:style>
  <w:style w:type="character" w:customStyle="1" w:styleId="affffffb">
    <w:name w:val="二级标题 字符"/>
    <w:basedOn w:val="a2"/>
    <w:link w:val="affffffc"/>
    <w:qFormat/>
    <w:rPr>
      <w:rFonts w:cstheme="majorBidi"/>
      <w:color w:val="000000" w:themeColor="text1"/>
      <w:kern w:val="2"/>
      <w:sz w:val="24"/>
      <w:szCs w:val="24"/>
    </w:rPr>
  </w:style>
  <w:style w:type="paragraph" w:customStyle="1" w:styleId="affffffc">
    <w:name w:val="二级标题"/>
    <w:basedOn w:val="a1"/>
    <w:link w:val="affffffb"/>
    <w:qFormat/>
    <w:pPr>
      <w:snapToGrid w:val="0"/>
    </w:pPr>
    <w:rPr>
      <w:rFonts w:cstheme="majorBidi"/>
      <w:color w:val="000000" w:themeColor="text1"/>
      <w:szCs w:val="24"/>
    </w:rPr>
  </w:style>
  <w:style w:type="character" w:customStyle="1" w:styleId="affffffd">
    <w:name w:val="*正文 字符"/>
    <w:basedOn w:val="a2"/>
    <w:link w:val="affffffe"/>
    <w:qFormat/>
    <w:rPr>
      <w:rFonts w:ascii="宋体" w:eastAsiaTheme="majorEastAsia" w:hAnsi="宋体"/>
      <w:kern w:val="2"/>
      <w:sz w:val="28"/>
      <w:szCs w:val="24"/>
    </w:rPr>
  </w:style>
  <w:style w:type="paragraph" w:customStyle="1" w:styleId="affffffe">
    <w:name w:val="*正文"/>
    <w:link w:val="affffffd"/>
    <w:qFormat/>
    <w:pPr>
      <w:widowControl w:val="0"/>
      <w:spacing w:line="500" w:lineRule="exact"/>
      <w:ind w:firstLineChars="200" w:firstLine="200"/>
      <w:jc w:val="both"/>
    </w:pPr>
    <w:rPr>
      <w:rFonts w:ascii="宋体" w:eastAsiaTheme="majorEastAsia" w:hAnsi="宋体"/>
      <w:kern w:val="2"/>
      <w:sz w:val="28"/>
      <w:szCs w:val="24"/>
    </w:rPr>
  </w:style>
  <w:style w:type="character" w:customStyle="1" w:styleId="afffffff">
    <w:name w:val="表内 五号 字符"/>
    <w:basedOn w:val="a2"/>
    <w:link w:val="afffffff0"/>
    <w:qFormat/>
    <w:rPr>
      <w:rFonts w:cstheme="majorBidi"/>
      <w:sz w:val="21"/>
      <w:szCs w:val="21"/>
    </w:rPr>
  </w:style>
  <w:style w:type="paragraph" w:customStyle="1" w:styleId="afffffff0">
    <w:name w:val="表内 五号"/>
    <w:link w:val="afffffff"/>
    <w:qFormat/>
    <w:pPr>
      <w:snapToGrid w:val="0"/>
      <w:jc w:val="center"/>
    </w:pPr>
    <w:rPr>
      <w:rFonts w:cstheme="majorBidi"/>
      <w:sz w:val="21"/>
      <w:szCs w:val="21"/>
    </w:rPr>
  </w:style>
  <w:style w:type="character" w:customStyle="1" w:styleId="afffffff1">
    <w:name w:val="表格 标题 字符"/>
    <w:basedOn w:val="a2"/>
    <w:link w:val="afffffff2"/>
    <w:qFormat/>
    <w:rPr>
      <w:b/>
      <w:bCs/>
      <w:kern w:val="2"/>
      <w:sz w:val="21"/>
      <w:szCs w:val="21"/>
    </w:rPr>
  </w:style>
  <w:style w:type="paragraph" w:customStyle="1" w:styleId="afffffff2">
    <w:name w:val="表格 标题"/>
    <w:link w:val="afffffff1"/>
    <w:qFormat/>
    <w:pPr>
      <w:adjustRightInd w:val="0"/>
      <w:snapToGrid w:val="0"/>
      <w:spacing w:line="480" w:lineRule="exact"/>
      <w:jc w:val="center"/>
    </w:pPr>
    <w:rPr>
      <w:b/>
      <w:bCs/>
      <w:kern w:val="2"/>
      <w:sz w:val="21"/>
      <w:szCs w:val="21"/>
    </w:rPr>
  </w:style>
  <w:style w:type="character" w:customStyle="1" w:styleId="afffffd">
    <w:name w:val="表头 字符"/>
    <w:basedOn w:val="a2"/>
    <w:link w:val="afffffc"/>
    <w:qFormat/>
    <w:rPr>
      <w:b/>
      <w:kern w:val="2"/>
      <w:sz w:val="21"/>
      <w:szCs w:val="21"/>
    </w:rPr>
  </w:style>
  <w:style w:type="character" w:customStyle="1" w:styleId="afffffb">
    <w:name w:val="式中 字符"/>
    <w:basedOn w:val="a2"/>
    <w:link w:val="afffffa"/>
    <w:qFormat/>
    <w:rPr>
      <w:kern w:val="2"/>
      <w:sz w:val="24"/>
      <w:szCs w:val="24"/>
    </w:rPr>
  </w:style>
  <w:style w:type="character" w:customStyle="1" w:styleId="afffffff3">
    <w:name w:val="表内 注释 字符"/>
    <w:basedOn w:val="a2"/>
    <w:link w:val="afffffff4"/>
    <w:qFormat/>
    <w:rPr>
      <w:rFonts w:cstheme="majorBidi"/>
      <w:kern w:val="2"/>
      <w:sz w:val="21"/>
      <w:szCs w:val="24"/>
    </w:rPr>
  </w:style>
  <w:style w:type="paragraph" w:customStyle="1" w:styleId="afffffff4">
    <w:name w:val="表内 注释"/>
    <w:link w:val="afffffff3"/>
    <w:qFormat/>
    <w:pPr>
      <w:snapToGrid w:val="0"/>
      <w:jc w:val="both"/>
    </w:pPr>
    <w:rPr>
      <w:rFonts w:cstheme="majorBidi"/>
      <w:kern w:val="2"/>
      <w:sz w:val="21"/>
      <w:szCs w:val="24"/>
    </w:rPr>
  </w:style>
  <w:style w:type="character" w:customStyle="1" w:styleId="3d">
    <w:name w:val="表内 标题 3 字符"/>
    <w:basedOn w:val="a2"/>
    <w:link w:val="3e"/>
    <w:qFormat/>
    <w:rPr>
      <w:rFonts w:cstheme="majorBidi"/>
      <w:b/>
      <w:bCs/>
      <w:kern w:val="2"/>
      <w:sz w:val="24"/>
      <w:szCs w:val="24"/>
    </w:rPr>
  </w:style>
  <w:style w:type="paragraph" w:customStyle="1" w:styleId="3e">
    <w:name w:val="表内 标题 3"/>
    <w:next w:val="affffff3"/>
    <w:link w:val="3d"/>
    <w:qFormat/>
    <w:pPr>
      <w:snapToGrid w:val="0"/>
      <w:spacing w:line="480" w:lineRule="exact"/>
    </w:pPr>
    <w:rPr>
      <w:rFonts w:cstheme="majorBidi"/>
      <w:b/>
      <w:bCs/>
      <w:kern w:val="2"/>
      <w:sz w:val="24"/>
      <w:szCs w:val="24"/>
    </w:rPr>
  </w:style>
  <w:style w:type="paragraph" w:customStyle="1" w:styleId="1f9">
    <w:name w:val="列表段落1"/>
    <w:basedOn w:val="a1"/>
    <w:qFormat/>
    <w:pPr>
      <w:ind w:firstLineChars="200" w:firstLine="420"/>
    </w:pPr>
    <w:rPr>
      <w:color w:val="000000"/>
      <w:sz w:val="21"/>
      <w:szCs w:val="21"/>
    </w:rPr>
  </w:style>
  <w:style w:type="paragraph" w:customStyle="1" w:styleId="TOC211">
    <w:name w:val="TOC 标题211"/>
    <w:basedOn w:val="1"/>
    <w:next w:val="a1"/>
    <w:uiPriority w:val="39"/>
    <w:qFormat/>
    <w:pPr>
      <w:widowControl/>
      <w:snapToGrid w:val="0"/>
      <w:spacing w:before="480" w:after="0" w:line="276" w:lineRule="auto"/>
      <w:jc w:val="left"/>
      <w:outlineLvl w:val="9"/>
    </w:pPr>
    <w:rPr>
      <w:rFonts w:ascii="Courier New" w:eastAsia="等线 Light" w:hAnsi="Courier New" w:cs="微软雅黑"/>
      <w:bCs w:val="0"/>
      <w:color w:val="365F91"/>
      <w:kern w:val="0"/>
      <w:sz w:val="28"/>
      <w:szCs w:val="28"/>
    </w:rPr>
  </w:style>
  <w:style w:type="paragraph" w:customStyle="1" w:styleId="CharCharCharChar2">
    <w:name w:val="Char Char Char Char2"/>
    <w:basedOn w:val="a1"/>
    <w:qFormat/>
    <w:rPr>
      <w:sz w:val="21"/>
      <w:szCs w:val="24"/>
    </w:rPr>
  </w:style>
  <w:style w:type="paragraph" w:customStyle="1" w:styleId="Char120">
    <w:name w:val="Char12"/>
    <w:basedOn w:val="a1"/>
    <w:qFormat/>
    <w:pPr>
      <w:spacing w:line="360" w:lineRule="auto"/>
      <w:ind w:firstLineChars="200" w:firstLine="200"/>
    </w:pPr>
    <w:rPr>
      <w:rFonts w:ascii="宋体" w:hAnsi="宋体" w:cs="宋体"/>
      <w:szCs w:val="24"/>
    </w:rPr>
  </w:style>
  <w:style w:type="paragraph" w:customStyle="1" w:styleId="CharCharCharCharCharChar2">
    <w:name w:val="Char Char Char Char Char Char2"/>
    <w:basedOn w:val="a1"/>
    <w:qFormat/>
    <w:rPr>
      <w:sz w:val="21"/>
      <w:szCs w:val="24"/>
    </w:rPr>
  </w:style>
  <w:style w:type="paragraph" w:customStyle="1" w:styleId="TOC30">
    <w:name w:val="TOC 标题3"/>
    <w:basedOn w:val="1"/>
    <w:next w:val="a1"/>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Char11">
    <w:name w:val="字元 字元2 Char1"/>
    <w:basedOn w:val="a1"/>
    <w:qFormat/>
    <w:pPr>
      <w:spacing w:line="360" w:lineRule="auto"/>
      <w:ind w:firstLineChars="200" w:firstLine="200"/>
    </w:pPr>
    <w:rPr>
      <w:rFonts w:ascii="宋体" w:hAnsi="宋体" w:cs="宋体"/>
      <w:szCs w:val="24"/>
    </w:rPr>
  </w:style>
  <w:style w:type="paragraph" w:customStyle="1" w:styleId="Char31">
    <w:name w:val="Char3"/>
    <w:basedOn w:val="a1"/>
    <w:qFormat/>
    <w:rPr>
      <w:sz w:val="21"/>
      <w:szCs w:val="24"/>
    </w:rPr>
  </w:style>
  <w:style w:type="paragraph" w:customStyle="1" w:styleId="CharCharChar1CharCharCharCharCharCharCharCharCharCharCharCharCharCharCharChar6">
    <w:name w:val="Char Char Char1 Char Char Char Char Char Char Char Char Char Char Char Char Char Char Char Char6"/>
    <w:basedOn w:val="a1"/>
    <w:qFormat/>
    <w:rPr>
      <w:sz w:val="21"/>
      <w:szCs w:val="24"/>
    </w:rPr>
  </w:style>
  <w:style w:type="paragraph" w:customStyle="1" w:styleId="CharCharCharCharCharCharCharCharCharCharCharCharChar2">
    <w:name w:val="Char Char Char Char Char Char Char Char Char Char Char Char Char2"/>
    <w:basedOn w:val="a1"/>
    <w:qFormat/>
    <w:rPr>
      <w:sz w:val="21"/>
      <w:szCs w:val="24"/>
    </w:rPr>
  </w:style>
  <w:style w:type="paragraph" w:customStyle="1" w:styleId="CharCharChar1CharCharCharCharCharCharCharCharCharCharCharCharCharCharCharCharCharCharCharCharCharChar2">
    <w:name w:val="Char Char Char1 Char Char Char Char Char Char Char Char Char Char Char Char Char Char Char Char Char Char Char Char Char Char2"/>
    <w:basedOn w:val="a1"/>
    <w:qFormat/>
    <w:rPr>
      <w:sz w:val="21"/>
      <w:szCs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1"/>
    <w:qFormat/>
    <w:rPr>
      <w:sz w:val="21"/>
      <w:szCs w:val="24"/>
    </w:rPr>
  </w:style>
  <w:style w:type="paragraph" w:customStyle="1" w:styleId="CharCharCharCharCharCharCharCharCharChar2">
    <w:name w:val="Char Char Char Char Char Char Char Char Char Char2"/>
    <w:basedOn w:val="a1"/>
    <w:qFormat/>
    <w:rPr>
      <w:sz w:val="21"/>
      <w:szCs w:val="24"/>
    </w:rPr>
  </w:style>
  <w:style w:type="paragraph" w:customStyle="1" w:styleId="CharCharChar1CharCharCharCharCharCharCharCharCharCharCharCharCharCharCharCharCharCharCharCharCharCharCharCharChar1">
    <w:name w:val="Char Char Char1 Char Char Char Char Char Char Char Char Char Char Char Char Char Char Char Char Char Char Char Char Char Char Char Char Char1"/>
    <w:basedOn w:val="a1"/>
    <w:qFormat/>
    <w:rPr>
      <w:sz w:val="21"/>
      <w:szCs w:val="24"/>
    </w:rPr>
  </w:style>
  <w:style w:type="paragraph" w:customStyle="1" w:styleId="112">
    <w:name w:val="普通(网站)11"/>
    <w:basedOn w:val="a1"/>
    <w:qFormat/>
    <w:pPr>
      <w:widowControl/>
      <w:spacing w:before="100" w:beforeAutospacing="1" w:after="100" w:afterAutospacing="1"/>
      <w:jc w:val="left"/>
    </w:pPr>
    <w:rPr>
      <w:rFonts w:ascii="宋体" w:hAnsi="宋体"/>
    </w:rPr>
  </w:style>
  <w:style w:type="paragraph" w:customStyle="1" w:styleId="TOC40">
    <w:name w:val="TOC 标题4"/>
    <w:basedOn w:val="1"/>
    <w:next w:val="a1"/>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0">
    <w:name w:val="标题 22"/>
    <w:basedOn w:val="a1"/>
    <w:uiPriority w:val="1"/>
    <w:qFormat/>
    <w:pPr>
      <w:autoSpaceDE w:val="0"/>
      <w:autoSpaceDN w:val="0"/>
      <w:adjustRightInd w:val="0"/>
      <w:spacing w:before="1"/>
      <w:ind w:left="2949"/>
      <w:jc w:val="left"/>
      <w:outlineLvl w:val="1"/>
    </w:pPr>
    <w:rPr>
      <w:rFonts w:ascii="宋体" w:hAnsi="Calibri"/>
      <w:b/>
      <w:bCs/>
      <w:kern w:val="0"/>
      <w:sz w:val="32"/>
      <w:szCs w:val="32"/>
    </w:rPr>
  </w:style>
  <w:style w:type="paragraph" w:customStyle="1" w:styleId="420">
    <w:name w:val="标题 42"/>
    <w:basedOn w:val="a1"/>
    <w:uiPriority w:val="1"/>
    <w:qFormat/>
    <w:pPr>
      <w:autoSpaceDE w:val="0"/>
      <w:autoSpaceDN w:val="0"/>
      <w:adjustRightInd w:val="0"/>
      <w:spacing w:before="26"/>
      <w:ind w:left="118"/>
      <w:jc w:val="left"/>
      <w:outlineLvl w:val="3"/>
    </w:pPr>
    <w:rPr>
      <w:rFonts w:ascii="宋体" w:hAnsi="Calibri"/>
      <w:kern w:val="0"/>
      <w:szCs w:val="24"/>
    </w:rPr>
  </w:style>
  <w:style w:type="paragraph" w:customStyle="1" w:styleId="CharCharCharCharCharCharCharCharCharChar3">
    <w:name w:val="Char Char Char Char Char Char Char Char Char Char3"/>
    <w:basedOn w:val="a1"/>
    <w:qFormat/>
    <w:rPr>
      <w:rFonts w:ascii="Calibri" w:hAnsi="Calibri"/>
      <w:sz w:val="21"/>
      <w:szCs w:val="24"/>
    </w:rPr>
  </w:style>
  <w:style w:type="paragraph" w:customStyle="1" w:styleId="CharCharCharCharCharCharCharCharCharCharCharCharChar3">
    <w:name w:val="Char Char Char Char Char Char Char Char Char Char Char Char Char3"/>
    <w:basedOn w:val="a1"/>
    <w:qFormat/>
    <w:rPr>
      <w:rFonts w:ascii="Calibri" w:hAnsi="Calibri"/>
      <w:sz w:val="21"/>
      <w:szCs w:val="24"/>
    </w:rPr>
  </w:style>
  <w:style w:type="paragraph" w:customStyle="1" w:styleId="CharCharCharCharCharChar3">
    <w:name w:val="Char Char Char Char Char Char3"/>
    <w:basedOn w:val="a1"/>
    <w:qFormat/>
    <w:rPr>
      <w:rFonts w:ascii="Calibri" w:hAnsi="Calibri"/>
      <w:sz w:val="21"/>
      <w:szCs w:val="24"/>
    </w:rPr>
  </w:style>
  <w:style w:type="paragraph" w:customStyle="1" w:styleId="Char40">
    <w:name w:val="Char4"/>
    <w:basedOn w:val="a1"/>
    <w:qFormat/>
    <w:rPr>
      <w:rFonts w:ascii="Calibri" w:hAnsi="Calibri"/>
      <w:sz w:val="21"/>
      <w:szCs w:val="24"/>
    </w:rPr>
  </w:style>
  <w:style w:type="paragraph" w:customStyle="1" w:styleId="Char130">
    <w:name w:val="Char13"/>
    <w:basedOn w:val="a1"/>
    <w:qFormat/>
    <w:pPr>
      <w:spacing w:line="360" w:lineRule="auto"/>
      <w:ind w:firstLineChars="200" w:firstLine="200"/>
    </w:pPr>
    <w:rPr>
      <w:rFonts w:ascii="宋体" w:hAnsi="宋体"/>
      <w:szCs w:val="24"/>
    </w:rPr>
  </w:style>
  <w:style w:type="paragraph" w:customStyle="1" w:styleId="CharCharChar1CharCharCharCharCharCharCharCharCharCharCharCharCharCharCharCharCharCharCharCharCharCharCharCharChar2">
    <w:name w:val="Char Char Char1 Char Char Char Char Char Char Char Char Char Char Char Char Char Char Char Char Char Char Char Char Char Char Char Char Char2"/>
    <w:basedOn w:val="a1"/>
    <w:qFormat/>
    <w:rPr>
      <w:rFonts w:ascii="Calibri" w:hAnsi="Calibri"/>
      <w:sz w:val="21"/>
      <w:szCs w:val="24"/>
    </w:rPr>
  </w:style>
  <w:style w:type="paragraph" w:customStyle="1" w:styleId="3f">
    <w:name w:val="修订3"/>
    <w:uiPriority w:val="99"/>
    <w:qFormat/>
    <w:rPr>
      <w:rFonts w:ascii="Calibri" w:hAnsi="Calibri"/>
      <w:kern w:val="2"/>
      <w:sz w:val="24"/>
    </w:rPr>
  </w:style>
  <w:style w:type="paragraph" w:customStyle="1" w:styleId="CharCharChar1CharCharCharCharCharCharCharCharCharCharCharCharCharCharCharChar7">
    <w:name w:val="Char Char Char1 Char Char Char Char Char Char Char Char Char Char Char Char Char Char Char Char7"/>
    <w:basedOn w:val="a1"/>
    <w:qFormat/>
    <w:rPr>
      <w:rFonts w:ascii="Calibri" w:hAnsi="Calibri"/>
      <w:sz w:val="21"/>
      <w:szCs w:val="24"/>
    </w:rPr>
  </w:style>
  <w:style w:type="paragraph" w:customStyle="1" w:styleId="CharCharChar1CharCharCharCharCharCharCharCharCharCharCharCharCharCharCharCharCharCharChar3">
    <w:name w:val="Char Char Char1 Char Char Char Char Char Char Char Char Char Char Char Char Char Char Char Char Char Char Char3"/>
    <w:basedOn w:val="a1"/>
    <w:qFormat/>
    <w:rPr>
      <w:rFonts w:ascii="Calibri" w:hAnsi="Calibri"/>
      <w:sz w:val="21"/>
      <w:szCs w:val="24"/>
    </w:rPr>
  </w:style>
  <w:style w:type="paragraph" w:customStyle="1" w:styleId="CharCharCharChar3">
    <w:name w:val="Char Char Char Char3"/>
    <w:basedOn w:val="a1"/>
    <w:qFormat/>
    <w:rPr>
      <w:rFonts w:ascii="Calibri" w:hAnsi="Calibri"/>
      <w:sz w:val="21"/>
      <w:szCs w:val="24"/>
    </w:rPr>
  </w:style>
  <w:style w:type="paragraph" w:customStyle="1" w:styleId="CharCharChar1CharCharCharCharCharCharCharCharCharCharCharCharCharCharCharCharCharCharCharCharCharChar3">
    <w:name w:val="Char Char Char1 Char Char Char Char Char Char Char Char Char Char Char Char Char Char Char Char Char Char Char Char Char Char3"/>
    <w:basedOn w:val="a1"/>
    <w:qFormat/>
    <w:rPr>
      <w:rFonts w:ascii="Calibri" w:hAnsi="Calibri"/>
      <w:sz w:val="21"/>
      <w:szCs w:val="24"/>
    </w:rPr>
  </w:style>
  <w:style w:type="paragraph" w:customStyle="1" w:styleId="2Char2">
    <w:name w:val="字元 字元2 Char2"/>
    <w:basedOn w:val="a1"/>
    <w:qFormat/>
    <w:pPr>
      <w:spacing w:line="360" w:lineRule="auto"/>
      <w:ind w:firstLineChars="200" w:firstLine="200"/>
    </w:pPr>
    <w:rPr>
      <w:rFonts w:ascii="宋体" w:hAnsi="宋体"/>
      <w:szCs w:val="24"/>
    </w:rPr>
  </w:style>
  <w:style w:type="paragraph" w:customStyle="1" w:styleId="314">
    <w:name w:val="修订31"/>
    <w:uiPriority w:val="99"/>
    <w:qFormat/>
    <w:rPr>
      <w:rFonts w:cs="宋体"/>
      <w:kern w:val="2"/>
      <w:sz w:val="24"/>
    </w:rPr>
  </w:style>
  <w:style w:type="paragraph" w:customStyle="1" w:styleId="47">
    <w:name w:val="修订4"/>
    <w:uiPriority w:val="99"/>
    <w:qFormat/>
    <w:rPr>
      <w:rFonts w:cs="宋体"/>
      <w:kern w:val="2"/>
      <w:sz w:val="24"/>
    </w:rPr>
  </w:style>
  <w:style w:type="paragraph" w:customStyle="1" w:styleId="56">
    <w:name w:val="修订5"/>
    <w:uiPriority w:val="99"/>
    <w:semiHidden/>
    <w:qFormat/>
    <w:pPr>
      <w:snapToGrid w:val="0"/>
    </w:pPr>
    <w:rPr>
      <w:color w:val="000000" w:themeColor="text1"/>
      <w:kern w:val="2"/>
      <w:sz w:val="21"/>
      <w:szCs w:val="24"/>
    </w:rPr>
  </w:style>
  <w:style w:type="paragraph" w:customStyle="1" w:styleId="62">
    <w:name w:val="修订6"/>
    <w:uiPriority w:val="99"/>
    <w:semiHidden/>
    <w:qFormat/>
    <w:pPr>
      <w:snapToGrid w:val="0"/>
    </w:pPr>
    <w:rPr>
      <w:color w:val="000000" w:themeColor="text1"/>
      <w:kern w:val="2"/>
      <w:sz w:val="21"/>
      <w:szCs w:val="24"/>
    </w:rPr>
  </w:style>
  <w:style w:type="paragraph" w:customStyle="1" w:styleId="72">
    <w:name w:val="修订7"/>
    <w:uiPriority w:val="99"/>
    <w:semiHidden/>
    <w:qFormat/>
    <w:pPr>
      <w:snapToGrid w:val="0"/>
    </w:pPr>
    <w:rPr>
      <w:color w:val="000000" w:themeColor="text1"/>
      <w:kern w:val="2"/>
      <w:sz w:val="21"/>
      <w:szCs w:val="24"/>
    </w:rPr>
  </w:style>
  <w:style w:type="paragraph" w:customStyle="1" w:styleId="TOC50">
    <w:name w:val="TOC 标题5"/>
    <w:basedOn w:val="1"/>
    <w:next w:val="a1"/>
    <w:uiPriority w:val="39"/>
    <w:semiHidden/>
    <w:qFormat/>
    <w:pPr>
      <w:snapToGrid w:val="0"/>
      <w:spacing w:line="576" w:lineRule="auto"/>
      <w:outlineLvl w:val="9"/>
    </w:pPr>
    <w:rPr>
      <w:color w:val="000000" w:themeColor="text1"/>
    </w:rPr>
  </w:style>
  <w:style w:type="paragraph" w:customStyle="1" w:styleId="1fa">
    <w:name w:val="书目1"/>
    <w:basedOn w:val="a1"/>
    <w:next w:val="a1"/>
    <w:uiPriority w:val="37"/>
    <w:semiHidden/>
    <w:qFormat/>
    <w:pPr>
      <w:snapToGrid w:val="0"/>
    </w:pPr>
    <w:rPr>
      <w:color w:val="000000" w:themeColor="text1"/>
      <w:sz w:val="21"/>
      <w:szCs w:val="24"/>
    </w:rPr>
  </w:style>
  <w:style w:type="paragraph" w:customStyle="1" w:styleId="2f0">
    <w:name w:val="表内 标题 2"/>
    <w:next w:val="affffff3"/>
    <w:qFormat/>
    <w:pPr>
      <w:adjustRightInd w:val="0"/>
      <w:snapToGrid w:val="0"/>
      <w:spacing w:line="480" w:lineRule="exact"/>
    </w:pPr>
    <w:rPr>
      <w:b/>
      <w:bCs/>
      <w:kern w:val="2"/>
      <w:sz w:val="28"/>
      <w:szCs w:val="28"/>
    </w:rPr>
  </w:style>
  <w:style w:type="paragraph" w:customStyle="1" w:styleId="WPSOffice1">
    <w:name w:val="WPSOffice手动目录 1"/>
    <w:qFormat/>
  </w:style>
  <w:style w:type="character" w:customStyle="1" w:styleId="05">
    <w:name w:val="0.5正文 字符"/>
    <w:basedOn w:val="a2"/>
    <w:link w:val="050"/>
    <w:qFormat/>
    <w:rPr>
      <w:kern w:val="2"/>
      <w:sz w:val="24"/>
      <w:szCs w:val="24"/>
    </w:rPr>
  </w:style>
  <w:style w:type="paragraph" w:customStyle="1" w:styleId="050">
    <w:name w:val="0.5正文"/>
    <w:basedOn w:val="a1"/>
    <w:link w:val="05"/>
    <w:qFormat/>
    <w:pPr>
      <w:adjustRightInd w:val="0"/>
      <w:snapToGrid w:val="0"/>
      <w:spacing w:beforeLines="50" w:line="360" w:lineRule="auto"/>
      <w:ind w:firstLineChars="200" w:firstLine="200"/>
    </w:pPr>
    <w:rPr>
      <w:szCs w:val="24"/>
    </w:rPr>
  </w:style>
  <w:style w:type="paragraph" w:customStyle="1" w:styleId="3-05-4">
    <w:name w:val="3-段前0.5-4号"/>
    <w:basedOn w:val="a1"/>
    <w:qFormat/>
    <w:pPr>
      <w:adjustRightInd w:val="0"/>
      <w:snapToGrid w:val="0"/>
      <w:spacing w:beforeLines="50" w:line="360" w:lineRule="auto"/>
      <w:jc w:val="left"/>
      <w:outlineLvl w:val="2"/>
    </w:pPr>
    <w:rPr>
      <w:b/>
      <w:color w:val="000000"/>
      <w:sz w:val="28"/>
    </w:rPr>
  </w:style>
  <w:style w:type="character" w:customStyle="1" w:styleId="Char5">
    <w:name w:val="批注文字 Char"/>
    <w:qFormat/>
    <w:rPr>
      <w:kern w:val="2"/>
      <w:sz w:val="24"/>
    </w:rPr>
  </w:style>
  <w:style w:type="character" w:customStyle="1" w:styleId="Char6">
    <w:name w:val="页眉 Char"/>
    <w:basedOn w:val="a2"/>
    <w:uiPriority w:val="99"/>
    <w:qFormat/>
    <w:rPr>
      <w:sz w:val="18"/>
      <w:szCs w:val="18"/>
    </w:rPr>
  </w:style>
  <w:style w:type="character" w:customStyle="1" w:styleId="Char7">
    <w:name w:val="页脚 Char"/>
    <w:basedOn w:val="a2"/>
    <w:uiPriority w:val="99"/>
    <w:qFormat/>
    <w:rPr>
      <w:sz w:val="18"/>
      <w:szCs w:val="18"/>
    </w:rPr>
  </w:style>
  <w:style w:type="character" w:customStyle="1" w:styleId="Char8">
    <w:name w:val="正文文本 Char"/>
    <w:basedOn w:val="a2"/>
    <w:qFormat/>
    <w:rPr>
      <w:rFonts w:ascii="Times New Roman" w:eastAsia="宋体" w:hAnsi="Times New Roman" w:cs="Times New Roman" w:hint="default"/>
      <w:sz w:val="24"/>
      <w:szCs w:val="20"/>
    </w:rPr>
  </w:style>
  <w:style w:type="character" w:customStyle="1" w:styleId="Char9">
    <w:name w:val="结束语 Char"/>
    <w:basedOn w:val="a2"/>
    <w:qFormat/>
    <w:rPr>
      <w:rFonts w:ascii="Arial" w:eastAsia="楷体_GB2312" w:hAnsi="Arial" w:cs="Arial" w:hint="default"/>
      <w:b/>
      <w:sz w:val="24"/>
      <w:szCs w:val="24"/>
    </w:rPr>
  </w:style>
  <w:style w:type="character" w:customStyle="1" w:styleId="Chara">
    <w:name w:val="文档结构图 Char"/>
    <w:basedOn w:val="a2"/>
    <w:uiPriority w:val="99"/>
    <w:semiHidden/>
    <w:qFormat/>
    <w:rPr>
      <w:rFonts w:ascii="宋体" w:eastAsia="宋体" w:hAnsi="Times New Roman" w:cs="Times New Roman" w:hint="eastAsia"/>
      <w:sz w:val="18"/>
      <w:szCs w:val="18"/>
    </w:rPr>
  </w:style>
  <w:style w:type="character" w:customStyle="1" w:styleId="Charb">
    <w:name w:val="批注框文本 Char"/>
    <w:basedOn w:val="a2"/>
    <w:uiPriority w:val="99"/>
    <w:semiHidden/>
    <w:qFormat/>
    <w:rPr>
      <w:rFonts w:ascii="Times New Roman" w:eastAsia="宋体" w:hAnsi="Times New Roman" w:cs="Times New Roman" w:hint="default"/>
      <w:sz w:val="18"/>
      <w:szCs w:val="18"/>
    </w:rPr>
  </w:style>
  <w:style w:type="character" w:customStyle="1" w:styleId="1Char0">
    <w:name w:val="标题 1 Char"/>
    <w:basedOn w:val="a2"/>
    <w:uiPriority w:val="9"/>
    <w:qFormat/>
    <w:rPr>
      <w:rFonts w:ascii="Times New Roman" w:eastAsia="宋体" w:hAnsi="Times New Roman" w:cs="Times New Roman" w:hint="default"/>
      <w:b/>
      <w:bCs/>
      <w:kern w:val="44"/>
      <w:sz w:val="44"/>
      <w:szCs w:val="44"/>
    </w:rPr>
  </w:style>
  <w:style w:type="character" w:customStyle="1" w:styleId="Charc">
    <w:name w:val="普通(网站) Char"/>
    <w:qFormat/>
    <w:rPr>
      <w:rFonts w:ascii="Arial" w:eastAsia="Times New Roman" w:hAnsi="Arial" w:cs="Arial" w:hint="default"/>
    </w:rPr>
  </w:style>
  <w:style w:type="character" w:customStyle="1" w:styleId="1fb">
    <w:name w:val="脚注文本 字符1"/>
    <w:basedOn w:val="a2"/>
    <w:semiHidden/>
    <w:qFormat/>
    <w:rPr>
      <w:rFonts w:cs="宋体"/>
      <w:kern w:val="2"/>
      <w:sz w:val="18"/>
      <w:szCs w:val="18"/>
    </w:rPr>
  </w:style>
  <w:style w:type="character" w:customStyle="1" w:styleId="1fc">
    <w:name w:val="尾注文本 字符1"/>
    <w:basedOn w:val="a2"/>
    <w:semiHidden/>
    <w:qFormat/>
    <w:rPr>
      <w:kern w:val="2"/>
      <w:sz w:val="24"/>
    </w:rPr>
  </w:style>
  <w:style w:type="character" w:customStyle="1" w:styleId="1fd">
    <w:name w:val="宏文本 字符1"/>
    <w:basedOn w:val="a2"/>
    <w:semiHidden/>
    <w:qFormat/>
    <w:rPr>
      <w:rFonts w:ascii="Courier New" w:hAnsi="Courier New" w:cs="Courier New"/>
      <w:kern w:val="2"/>
      <w:sz w:val="24"/>
      <w:szCs w:val="24"/>
    </w:rPr>
  </w:style>
  <w:style w:type="character" w:customStyle="1" w:styleId="1fe">
    <w:name w:val="签名 字符1"/>
    <w:basedOn w:val="a2"/>
    <w:semiHidden/>
    <w:qFormat/>
    <w:rPr>
      <w:kern w:val="2"/>
      <w:sz w:val="24"/>
    </w:rPr>
  </w:style>
  <w:style w:type="character" w:customStyle="1" w:styleId="1ff">
    <w:name w:val="信息标题 字符1"/>
    <w:basedOn w:val="a2"/>
    <w:semiHidden/>
    <w:qFormat/>
    <w:rPr>
      <w:rFonts w:asciiTheme="majorHAnsi" w:eastAsiaTheme="majorEastAsia" w:hAnsiTheme="majorHAnsi" w:cstheme="majorBidi"/>
      <w:kern w:val="2"/>
      <w:sz w:val="24"/>
      <w:szCs w:val="24"/>
      <w:shd w:val="pct20" w:color="auto" w:fill="auto"/>
    </w:rPr>
  </w:style>
  <w:style w:type="character" w:customStyle="1" w:styleId="1ff0">
    <w:name w:val="副标题 字符1"/>
    <w:basedOn w:val="a2"/>
    <w:qFormat/>
    <w:rPr>
      <w:rFonts w:asciiTheme="minorHAnsi" w:eastAsiaTheme="minorEastAsia" w:hAnsiTheme="minorHAnsi" w:cstheme="minorBidi"/>
      <w:b/>
      <w:bCs/>
      <w:kern w:val="28"/>
      <w:sz w:val="32"/>
      <w:szCs w:val="32"/>
    </w:rPr>
  </w:style>
  <w:style w:type="character" w:customStyle="1" w:styleId="1ff1">
    <w:name w:val="称呼 字符1"/>
    <w:basedOn w:val="a2"/>
    <w:semiHidden/>
    <w:qFormat/>
    <w:rPr>
      <w:kern w:val="2"/>
      <w:sz w:val="24"/>
    </w:rPr>
  </w:style>
  <w:style w:type="character" w:customStyle="1" w:styleId="1ff2">
    <w:name w:val="正文文本首行缩进 字符1"/>
    <w:basedOn w:val="afc"/>
    <w:semiHidden/>
    <w:qFormat/>
    <w:rPr>
      <w:rFonts w:ascii="Times New Roman" w:eastAsia="宋体" w:hAnsi="Times New Roman" w:cs="Times New Roman"/>
      <w:kern w:val="2"/>
      <w:sz w:val="24"/>
      <w:szCs w:val="20"/>
    </w:rPr>
  </w:style>
  <w:style w:type="character" w:customStyle="1" w:styleId="1ff3">
    <w:name w:val="注释标题 字符1"/>
    <w:basedOn w:val="a2"/>
    <w:semiHidden/>
    <w:qFormat/>
    <w:rPr>
      <w:kern w:val="2"/>
      <w:sz w:val="24"/>
    </w:rPr>
  </w:style>
  <w:style w:type="character" w:customStyle="1" w:styleId="214">
    <w:name w:val="正文文本 2 字符1"/>
    <w:basedOn w:val="a2"/>
    <w:semiHidden/>
    <w:qFormat/>
    <w:rPr>
      <w:kern w:val="2"/>
      <w:sz w:val="24"/>
    </w:rPr>
  </w:style>
  <w:style w:type="character" w:customStyle="1" w:styleId="1ff4">
    <w:name w:val="电子邮件签名 字符1"/>
    <w:basedOn w:val="a2"/>
    <w:semiHidden/>
    <w:qFormat/>
    <w:rPr>
      <w:kern w:val="2"/>
      <w:sz w:val="24"/>
    </w:rPr>
  </w:style>
  <w:style w:type="character" w:customStyle="1" w:styleId="1ff5">
    <w:name w:val="引用 字符1"/>
    <w:basedOn w:val="a2"/>
    <w:uiPriority w:val="99"/>
    <w:qFormat/>
    <w:rPr>
      <w:i/>
      <w:iCs/>
      <w:color w:val="404040" w:themeColor="text1" w:themeTint="BF"/>
      <w:kern w:val="2"/>
      <w:sz w:val="24"/>
    </w:rPr>
  </w:style>
  <w:style w:type="character" w:customStyle="1" w:styleId="1ff6">
    <w:name w:val="明显引用 字符1"/>
    <w:basedOn w:val="a2"/>
    <w:uiPriority w:val="99"/>
    <w:qFormat/>
    <w:rPr>
      <w:i/>
      <w:iCs/>
      <w:color w:val="4F81BD" w:themeColor="accent1"/>
      <w:kern w:val="2"/>
      <w:sz w:val="24"/>
    </w:rPr>
  </w:style>
  <w:style w:type="character" w:customStyle="1" w:styleId="2f1">
    <w:name w:val="未处理的提及2"/>
    <w:uiPriority w:val="99"/>
    <w:qFormat/>
    <w:rPr>
      <w:color w:val="808080"/>
      <w:shd w:val="clear" w:color="auto" w:fill="E6E6E6"/>
    </w:rPr>
  </w:style>
  <w:style w:type="character" w:customStyle="1" w:styleId="CharChar2">
    <w:name w:val="Char Char2"/>
    <w:qFormat/>
    <w:rPr>
      <w:rFonts w:ascii="宋体" w:eastAsia="宋体" w:hAnsi="宋体" w:hint="eastAsia"/>
      <w:b/>
      <w:bCs/>
      <w:kern w:val="44"/>
      <w:sz w:val="44"/>
      <w:szCs w:val="44"/>
      <w:lang w:val="en-US" w:eastAsia="zh-CN" w:bidi="ar-SA"/>
    </w:rPr>
  </w:style>
  <w:style w:type="character" w:customStyle="1" w:styleId="2f2">
    <w:name w:val="标题2"/>
    <w:basedOn w:val="a2"/>
    <w:qFormat/>
  </w:style>
  <w:style w:type="character" w:customStyle="1" w:styleId="3f0">
    <w:name w:val="未处理的提及3"/>
    <w:uiPriority w:val="99"/>
    <w:qFormat/>
    <w:rPr>
      <w:color w:val="808080"/>
      <w:shd w:val="clear" w:color="auto" w:fill="E6E6E6"/>
    </w:rPr>
  </w:style>
  <w:style w:type="character" w:customStyle="1" w:styleId="CharChar3">
    <w:name w:val="Char Char3"/>
    <w:qFormat/>
    <w:rPr>
      <w:rFonts w:ascii="宋体" w:eastAsia="宋体" w:hAnsi="宋体" w:hint="eastAsia"/>
      <w:b/>
      <w:bCs/>
      <w:kern w:val="44"/>
      <w:sz w:val="44"/>
      <w:szCs w:val="44"/>
      <w:lang w:val="en-US" w:eastAsia="zh-CN" w:bidi="ar-SA"/>
    </w:rPr>
  </w:style>
  <w:style w:type="table" w:customStyle="1" w:styleId="3f1">
    <w:name w:val="网格型3"/>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简明型 11"/>
    <w:basedOn w:val="a3"/>
    <w:qFormat/>
    <w:pPr>
      <w:widowControl w:val="0"/>
      <w:snapToGrid w:val="0"/>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c1">
    <w:name w:val="网格型c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型11"/>
    <w:basedOn w:val="a3"/>
    <w:qFormat/>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简明型 111"/>
    <w:basedOn w:val="a3"/>
    <w:qFormat/>
    <w:pPr>
      <w:widowControl w:val="0"/>
      <w:snapToGrid w:val="0"/>
      <w:jc w:val="both"/>
    </w:pPr>
    <w:rPr>
      <w:rFonts w:ascii="微软雅黑" w:eastAsia="等线 Light" w:hAnsi="微软雅黑" w:cs="微软雅黑"/>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TableNormal1">
    <w:name w:val="Table Normal1"/>
    <w:uiPriority w:val="2"/>
    <w:semiHidden/>
    <w:qFormat/>
    <w:pPr>
      <w:widowControl w:val="0"/>
    </w:pPr>
    <w:rPr>
      <w:rFonts w:ascii="Cambria Math" w:eastAsia="等线 Light" w:hAnsi="Cambria Math" w:cs="微软雅黑"/>
      <w:sz w:val="22"/>
      <w:szCs w:val="22"/>
      <w:lang w:eastAsia="en-US"/>
    </w:rPr>
    <w:tblPr>
      <w:tblCellMar>
        <w:top w:w="0" w:type="dxa"/>
        <w:left w:w="0" w:type="dxa"/>
        <w:bottom w:w="0" w:type="dxa"/>
        <w:right w:w="0" w:type="dxa"/>
      </w:tblCellMar>
    </w:tblPr>
  </w:style>
  <w:style w:type="table" w:customStyle="1" w:styleId="1111">
    <w:name w:val="网格型111"/>
    <w:basedOn w:val="a3"/>
    <w:uiPriority w:val="59"/>
    <w:qFormat/>
    <w:pPr>
      <w:widowControl w:val="0"/>
      <w:snapToGrid w:val="0"/>
    </w:pPr>
    <w:rPr>
      <w:rFonts w:ascii="微软雅黑" w:eastAsia="等线 Light" w:hAnsi="微软雅黑" w:cs="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网格型2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网格型1111"/>
    <w:basedOn w:val="a3"/>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简明型 12"/>
    <w:basedOn w:val="a3"/>
    <w:qFormat/>
    <w:pPr>
      <w:widowControl w:val="0"/>
      <w:jc w:val="both"/>
    </w:pPr>
    <w:rPr>
      <w:rFonts w:ascii="Calibri" w:hAnsi="Calibri"/>
    </w:r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5">
    <w:name w:val="网格型31"/>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简明型 1111"/>
    <w:basedOn w:val="a3"/>
    <w:qFormat/>
    <w:pPr>
      <w:widowControl w:val="0"/>
      <w:jc w:val="both"/>
    </w:pPr>
    <w:rPr>
      <w:rFonts w:ascii="Calibri" w:hAnsi="Calibri"/>
    </w:r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21">
    <w:name w:val="网格型12"/>
    <w:basedOn w:val="a3"/>
    <w:uiPriority w:val="59"/>
    <w:qFormat/>
    <w:pPr>
      <w:widowControl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21">
    <w:name w:val="网格型22"/>
    <w:basedOn w:val="a3"/>
    <w:qFormat/>
    <w:rPr>
      <w:rFonts w:cs="宋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网格型112"/>
    <w:basedOn w:val="a3"/>
    <w:uiPriority w:val="59"/>
    <w:qFormat/>
    <w:pPr>
      <w:widowControl w:val="0"/>
    </w:pPr>
    <w:rPr>
      <w:rFonts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30">
    <w:name w:val="简明型 13"/>
    <w:basedOn w:val="a3"/>
    <w:qFormat/>
    <w:pPr>
      <w:widowControl w:val="0"/>
      <w:snapToGrid w:val="0"/>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c2">
    <w:name w:val="网格型c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3"/>
    <w:uiPriority w:val="59"/>
    <w:qFormat/>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简明型 112"/>
    <w:basedOn w:val="a3"/>
    <w:qFormat/>
    <w:pPr>
      <w:widowControl w:val="0"/>
      <w:snapToGrid w:val="0"/>
      <w:jc w:val="both"/>
    </w:pPr>
    <w:rPr>
      <w:rFonts w:ascii="微软雅黑" w:eastAsia="等线 Light" w:hAnsi="微软雅黑" w:cs="微软雅黑"/>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30">
    <w:name w:val="网格型113"/>
    <w:basedOn w:val="a3"/>
    <w:uiPriority w:val="59"/>
    <w:qFormat/>
    <w:pPr>
      <w:widowControl w:val="0"/>
      <w:snapToGrid w:val="0"/>
    </w:pPr>
    <w:rPr>
      <w:rFonts w:ascii="微软雅黑" w:eastAsia="等线 Light" w:hAnsi="微软雅黑" w:cs="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2"/>
    <w:basedOn w:val="a3"/>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简明型 1112"/>
    <w:basedOn w:val="a3"/>
    <w:qFormat/>
    <w:pPr>
      <w:widowControl w:val="0"/>
      <w:jc w:val="both"/>
    </w:pPr>
    <w:rPr>
      <w:rFonts w:ascii="Calibri" w:hAnsi="Calibri"/>
    </w:r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customStyle="1" w:styleId="82">
    <w:name w:val="修订8"/>
    <w:uiPriority w:val="99"/>
    <w:semiHidden/>
    <w:qFormat/>
    <w:rPr>
      <w:rFonts w:cs="宋体"/>
      <w:kern w:val="2"/>
      <w:sz w:val="24"/>
    </w:rPr>
  </w:style>
  <w:style w:type="paragraph" w:customStyle="1" w:styleId="2f3">
    <w:name w:val="书目2"/>
    <w:basedOn w:val="a1"/>
    <w:next w:val="a1"/>
    <w:uiPriority w:val="37"/>
    <w:unhideWhenUsed/>
    <w:qFormat/>
    <w:rPr>
      <w:color w:val="000000" w:themeColor="text1"/>
      <w:sz w:val="21"/>
      <w:szCs w:val="24"/>
    </w:rPr>
  </w:style>
  <w:style w:type="character" w:customStyle="1" w:styleId="font31">
    <w:name w:val="font31"/>
    <w:basedOn w:val="a2"/>
    <w:qFormat/>
    <w:rPr>
      <w:rFonts w:ascii="Times New Roman" w:hAnsi="Times New Roman" w:cs="Times New Roman" w:hint="default"/>
      <w:color w:val="000000"/>
      <w:sz w:val="21"/>
      <w:szCs w:val="21"/>
      <w:u w:val="none"/>
    </w:rPr>
  </w:style>
  <w:style w:type="character" w:customStyle="1" w:styleId="font41">
    <w:name w:val="font41"/>
    <w:basedOn w:val="a2"/>
    <w:qFormat/>
    <w:rPr>
      <w:rFonts w:ascii="Times New Roman" w:hAnsi="Times New Roman" w:cs="Times New Roman" w:hint="default"/>
      <w:color w:val="000000"/>
      <w:sz w:val="21"/>
      <w:szCs w:val="21"/>
      <w:u w:val="none"/>
    </w:rPr>
  </w:style>
  <w:style w:type="paragraph" w:customStyle="1" w:styleId="TOC21">
    <w:name w:val="TOC 标题21"/>
    <w:basedOn w:val="1"/>
    <w:next w:val="a1"/>
    <w:uiPriority w:val="39"/>
    <w:qFormat/>
    <w:pPr>
      <w:widowControl/>
      <w:snapToGrid w:val="0"/>
      <w:spacing w:before="480" w:after="0" w:line="276" w:lineRule="auto"/>
      <w:jc w:val="left"/>
      <w:outlineLvl w:val="9"/>
    </w:pPr>
    <w:rPr>
      <w:rFonts w:ascii="Courier New" w:eastAsia="等线 Light" w:hAnsi="Courier New" w:cs="微软雅黑"/>
      <w:bCs w:val="0"/>
      <w:color w:val="365F91"/>
      <w:kern w:val="0"/>
      <w:sz w:val="28"/>
      <w:szCs w:val="28"/>
    </w:rPr>
  </w:style>
  <w:style w:type="table" w:customStyle="1" w:styleId="c3">
    <w:name w:val="网格型c3"/>
    <w:basedOn w:val="a3"/>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3"/>
    <w:autoRedefine/>
    <w:uiPriority w:val="59"/>
    <w:qFormat/>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表中字"/>
    <w:basedOn w:val="aff"/>
    <w:autoRedefine/>
    <w:qFormat/>
    <w:pPr>
      <w:adjustRightInd w:val="0"/>
      <w:snapToGrid w:val="0"/>
      <w:spacing w:beforeLines="20" w:before="48" w:afterLines="20" w:after="48"/>
      <w:jc w:val="center"/>
    </w:pPr>
    <w:rPr>
      <w:rFonts w:ascii="Times New Roman" w:hAnsi="Times New Roman" w:cs="宋体"/>
      <w:color w:val="000000"/>
      <w:szCs w:val="21"/>
    </w:rPr>
  </w:style>
  <w:style w:type="character" w:customStyle="1" w:styleId="NormalCharacter">
    <w:name w:val="NormalCharacter"/>
    <w:semiHidden/>
    <w:qFormat/>
  </w:style>
  <w:style w:type="table" w:customStyle="1" w:styleId="1140">
    <w:name w:val="网格型114"/>
    <w:basedOn w:val="a3"/>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列出段落2"/>
    <w:basedOn w:val="a1"/>
    <w:qFormat/>
    <w:pPr>
      <w:ind w:firstLineChars="200" w:firstLine="420"/>
    </w:pPr>
    <w:rPr>
      <w:rFonts w:ascii="Calibri" w:hAnsi="Calibri"/>
      <w:sz w:val="21"/>
      <w:szCs w:val="21"/>
    </w:rPr>
  </w:style>
  <w:style w:type="table" w:customStyle="1" w:styleId="230">
    <w:name w:val="网格型23"/>
    <w:basedOn w:val="a3"/>
    <w:uiPriority w:val="59"/>
    <w:qFormat/>
    <w:pPr>
      <w:widowControl w:val="0"/>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表格文字"/>
    <w:basedOn w:val="a1"/>
    <w:qFormat/>
    <w:pPr>
      <w:jc w:val="center"/>
    </w:pPr>
    <w:rPr>
      <w:sz w:val="21"/>
      <w:szCs w:val="24"/>
    </w:rPr>
  </w:style>
  <w:style w:type="table" w:customStyle="1" w:styleId="2110">
    <w:name w:val="网格型211"/>
    <w:basedOn w:val="a3"/>
    <w:uiPriority w:val="59"/>
    <w:qFormat/>
    <w:pPr>
      <w:widowControl w:val="0"/>
      <w:jc w:val="both"/>
    </w:pPr>
    <w:rPr>
      <w:rFonts w:ascii="微软雅黑" w:eastAsia="等线 Light" w:hAnsi="微软雅黑" w:cs="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简明型 113"/>
    <w:basedOn w:val="a3"/>
    <w:unhideWhenUsed/>
    <w:qFormat/>
    <w:pPr>
      <w:widowControl w:val="0"/>
      <w:snapToGrid w:val="0"/>
      <w:jc w:val="both"/>
    </w:pPr>
    <w:rPr>
      <w:rFonts w:ascii="微软雅黑" w:eastAsia="等线 Light" w:hAnsi="微软雅黑" w:cs="微软雅黑"/>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11">
    <w:name w:val="网格型2111"/>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未处理的提及31"/>
    <w:uiPriority w:val="99"/>
    <w:unhideWhenUsed/>
    <w:qFormat/>
    <w:rPr>
      <w:color w:val="808080"/>
      <w:shd w:val="clear" w:color="auto" w:fill="E6E6E6"/>
    </w:rPr>
  </w:style>
  <w:style w:type="table" w:customStyle="1" w:styleId="1210">
    <w:name w:val="简明型 121"/>
    <w:basedOn w:val="a3"/>
    <w:qFormat/>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3">
    <w:name w:val="简明型 1113"/>
    <w:basedOn w:val="a3"/>
    <w:unhideWhenUsed/>
    <w:qFormat/>
    <w:pPr>
      <w:widowControl w:val="0"/>
      <w:jc w:val="both"/>
    </w:pPr>
    <w:rPr>
      <w:rFonts w:ascii="Calibri" w:hAnsi="Calibri"/>
    </w:r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customStyle="1" w:styleId="Tablecaption1PMingLiU">
    <w:name w:val="Table caption|1 + PMingLiU"/>
    <w:unhideWhenUsed/>
    <w:qFormat/>
    <w:rPr>
      <w:rFonts w:ascii="PMingLiU" w:eastAsia="PMingLiU" w:hAnsi="PMingLiU" w:cs="PMingLiU"/>
      <w:color w:val="000000"/>
      <w:spacing w:val="0"/>
      <w:w w:val="100"/>
      <w:position w:val="0"/>
      <w:sz w:val="24"/>
      <w:szCs w:val="24"/>
      <w:u w:val="none"/>
      <w:lang w:val="zh-CN" w:eastAsia="zh-CN" w:bidi="zh-CN"/>
    </w:rPr>
  </w:style>
  <w:style w:type="paragraph" w:customStyle="1" w:styleId="TOC60">
    <w:name w:val="TOC 标题6"/>
    <w:basedOn w:val="1"/>
    <w:next w:val="a1"/>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48">
    <w:name w:val="普通(网站)4"/>
    <w:basedOn w:val="a1"/>
    <w:qFormat/>
    <w:pPr>
      <w:widowControl/>
      <w:spacing w:before="100" w:beforeAutospacing="1" w:after="100" w:afterAutospacing="1"/>
      <w:jc w:val="left"/>
    </w:pPr>
    <w:rPr>
      <w:rFonts w:ascii="宋体" w:hAnsi="宋体" w:hint="eastAsia"/>
    </w:rPr>
  </w:style>
  <w:style w:type="character" w:customStyle="1" w:styleId="font51">
    <w:name w:val="font51"/>
    <w:basedOn w:val="a2"/>
    <w:qFormat/>
    <w:rPr>
      <w:rFonts w:ascii="Times New Roman" w:hAnsi="Times New Roman" w:cs="Times New Roman" w:hint="default"/>
      <w:color w:val="000000"/>
      <w:sz w:val="21"/>
      <w:szCs w:val="21"/>
      <w:u w:val="none"/>
    </w:rPr>
  </w:style>
  <w:style w:type="character" w:customStyle="1" w:styleId="font81">
    <w:name w:val="font81"/>
    <w:basedOn w:val="a2"/>
    <w:qFormat/>
    <w:rPr>
      <w:rFonts w:ascii="Times New Roman" w:hAnsi="Times New Roman" w:cs="Times New Roman" w:hint="default"/>
      <w:b/>
      <w:bCs/>
      <w:color w:val="000000"/>
      <w:sz w:val="21"/>
      <w:szCs w:val="21"/>
      <w:u w:val="none"/>
    </w:rPr>
  </w:style>
  <w:style w:type="character" w:customStyle="1" w:styleId="font61">
    <w:name w:val="font61"/>
    <w:basedOn w:val="a2"/>
    <w:qFormat/>
    <w:rPr>
      <w:rFonts w:ascii="Times New Roman" w:hAnsi="Times New Roman" w:cs="Times New Roman" w:hint="default"/>
      <w:color w:val="FF0000"/>
      <w:sz w:val="21"/>
      <w:szCs w:val="21"/>
      <w:u w:val="none"/>
      <w:vertAlign w:val="superscript"/>
    </w:rPr>
  </w:style>
  <w:style w:type="character" w:customStyle="1" w:styleId="font71">
    <w:name w:val="font71"/>
    <w:basedOn w:val="a2"/>
    <w:qFormat/>
    <w:rPr>
      <w:rFonts w:ascii="Times New Roman" w:hAnsi="Times New Roman" w:cs="Times New Roman" w:hint="default"/>
      <w:color w:val="FF0000"/>
      <w:sz w:val="21"/>
      <w:szCs w:val="21"/>
      <w:u w:val="none"/>
    </w:rPr>
  </w:style>
  <w:style w:type="character" w:customStyle="1" w:styleId="100">
    <w:name w:val="10"/>
    <w:qFormat/>
    <w:rPr>
      <w:rFonts w:ascii="Times New Roman" w:hAnsi="Times New Roman" w:cs="Times New Roman" w:hint="default"/>
    </w:rPr>
  </w:style>
  <w:style w:type="character" w:customStyle="1" w:styleId="190">
    <w:name w:val="19"/>
    <w:qFormat/>
    <w:rPr>
      <w:rFonts w:ascii="Times New Roman" w:hAnsi="Times New Roman" w:cs="Times New Roman" w:hint="default"/>
      <w:color w:val="FF0000"/>
      <w:sz w:val="22"/>
      <w:szCs w:val="22"/>
    </w:rPr>
  </w:style>
  <w:style w:type="character" w:customStyle="1" w:styleId="160">
    <w:name w:val="16"/>
    <w:qFormat/>
    <w:rPr>
      <w:rFonts w:ascii="宋体" w:eastAsia="宋体" w:hAnsi="宋体" w:cs="宋体" w:hint="eastAsia"/>
      <w:color w:val="0000FF"/>
      <w:sz w:val="24"/>
      <w:szCs w:val="24"/>
    </w:rPr>
  </w:style>
  <w:style w:type="character" w:customStyle="1" w:styleId="170">
    <w:name w:val="17"/>
    <w:qFormat/>
    <w:rPr>
      <w:rFonts w:ascii="宋体" w:eastAsia="宋体" w:hAnsi="宋体" w:cs="宋体" w:hint="eastAsia"/>
      <w:color w:val="000000"/>
      <w:sz w:val="21"/>
      <w:szCs w:val="21"/>
    </w:rPr>
  </w:style>
  <w:style w:type="character" w:customStyle="1" w:styleId="180">
    <w:name w:val="18"/>
    <w:qFormat/>
    <w:rPr>
      <w:rFonts w:ascii="Times New Roman" w:hAnsi="Times New Roman" w:cs="Times New Roman" w:hint="default"/>
      <w:color w:val="000000"/>
      <w:sz w:val="22"/>
      <w:szCs w:val="22"/>
    </w:rPr>
  </w:style>
  <w:style w:type="character" w:customStyle="1" w:styleId="200">
    <w:name w:val="20"/>
    <w:qFormat/>
    <w:rPr>
      <w:rFonts w:ascii="宋体" w:eastAsia="宋体" w:hAnsi="宋体" w:cs="宋体" w:hint="eastAsia"/>
      <w:color w:val="FF0000"/>
      <w:sz w:val="22"/>
      <w:szCs w:val="22"/>
    </w:rPr>
  </w:style>
  <w:style w:type="character" w:customStyle="1" w:styleId="font91">
    <w:name w:val="font91"/>
    <w:basedOn w:val="a2"/>
    <w:qFormat/>
    <w:rPr>
      <w:rFonts w:ascii="Times New Roman" w:hAnsi="Times New Roman" w:cs="Times New Roman" w:hint="default"/>
      <w:color w:val="00B050"/>
      <w:sz w:val="18"/>
      <w:szCs w:val="18"/>
      <w:u w:val="none"/>
      <w:vertAlign w:val="superscript"/>
    </w:rPr>
  </w:style>
  <w:style w:type="character" w:customStyle="1" w:styleId="font161">
    <w:name w:val="font161"/>
    <w:basedOn w:val="a2"/>
    <w:qFormat/>
    <w:rPr>
      <w:rFonts w:ascii="Times New Roman" w:hAnsi="Times New Roman" w:cs="Times New Roman" w:hint="default"/>
      <w:color w:val="00B050"/>
      <w:sz w:val="18"/>
      <w:szCs w:val="18"/>
      <w:u w:val="none"/>
    </w:rPr>
  </w:style>
  <w:style w:type="character" w:customStyle="1" w:styleId="font132">
    <w:name w:val="font132"/>
    <w:basedOn w:val="a2"/>
    <w:qFormat/>
    <w:rPr>
      <w:rFonts w:ascii="Times New Roman" w:hAnsi="Times New Roman" w:cs="Times New Roman" w:hint="default"/>
      <w:color w:val="0070C0"/>
      <w:sz w:val="18"/>
      <w:szCs w:val="18"/>
      <w:u w:val="none"/>
      <w:vertAlign w:val="superscript"/>
    </w:rPr>
  </w:style>
  <w:style w:type="character" w:customStyle="1" w:styleId="font171">
    <w:name w:val="font171"/>
    <w:basedOn w:val="a2"/>
    <w:qFormat/>
    <w:rPr>
      <w:rFonts w:ascii="Times New Roman" w:hAnsi="Times New Roman" w:cs="Times New Roman" w:hint="default"/>
      <w:color w:val="0070C0"/>
      <w:sz w:val="18"/>
      <w:szCs w:val="18"/>
      <w:u w:val="none"/>
    </w:rPr>
  </w:style>
  <w:style w:type="character" w:customStyle="1" w:styleId="font181">
    <w:name w:val="font181"/>
    <w:qFormat/>
    <w:rPr>
      <w:rFonts w:ascii="宋体" w:eastAsia="宋体" w:hAnsi="宋体" w:cs="宋体" w:hint="eastAsia"/>
      <w:color w:val="0070C0"/>
      <w:sz w:val="18"/>
      <w:szCs w:val="18"/>
      <w:u w:val="none"/>
    </w:rPr>
  </w:style>
  <w:style w:type="paragraph" w:customStyle="1" w:styleId="afffffff7">
    <w:name w:val="书正文"/>
    <w:qFormat/>
    <w:pPr>
      <w:spacing w:before="60" w:line="460" w:lineRule="exact"/>
      <w:ind w:firstLineChars="200" w:firstLine="200"/>
      <w:jc w:val="both"/>
    </w:pPr>
    <w:rPr>
      <w:rFonts w:ascii="Arial" w:hAnsi="Arial"/>
      <w:kern w:val="2"/>
      <w:sz w:val="24"/>
      <w:szCs w:val="24"/>
    </w:rPr>
  </w:style>
  <w:style w:type="character" w:customStyle="1" w:styleId="font141">
    <w:name w:val="font141"/>
    <w:basedOn w:val="a2"/>
    <w:qFormat/>
    <w:rPr>
      <w:rFonts w:ascii="Times New Roman" w:hAnsi="Times New Roman" w:cs="Times New Roman" w:hint="default"/>
      <w:color w:val="000000"/>
      <w:sz w:val="18"/>
      <w:szCs w:val="18"/>
      <w:u w:val="none"/>
    </w:rPr>
  </w:style>
  <w:style w:type="character" w:customStyle="1" w:styleId="font151">
    <w:name w:val="font151"/>
    <w:basedOn w:val="a2"/>
    <w:qFormat/>
    <w:rPr>
      <w:rFonts w:ascii="宋体" w:eastAsia="宋体" w:hAnsi="宋体" w:cs="宋体" w:hint="eastAsia"/>
      <w:color w:val="000000"/>
      <w:sz w:val="18"/>
      <w:szCs w:val="18"/>
      <w:u w:val="none"/>
    </w:rPr>
  </w:style>
  <w:style w:type="character" w:customStyle="1" w:styleId="font101">
    <w:name w:val="font101"/>
    <w:basedOn w:val="a2"/>
    <w:qFormat/>
    <w:rPr>
      <w:rFonts w:ascii="Times New Roman" w:hAnsi="Times New Roman" w:cs="Times New Roman" w:hint="default"/>
      <w:color w:val="00B050"/>
      <w:sz w:val="18"/>
      <w:szCs w:val="18"/>
      <w:u w:val="none"/>
      <w:vertAlign w:val="superscript"/>
    </w:rPr>
  </w:style>
  <w:style w:type="character" w:customStyle="1" w:styleId="font112">
    <w:name w:val="font112"/>
    <w:basedOn w:val="a2"/>
    <w:qFormat/>
    <w:rPr>
      <w:rFonts w:ascii="Times New Roman" w:hAnsi="Times New Roman" w:cs="Times New Roman" w:hint="default"/>
      <w:color w:val="0070C0"/>
      <w:sz w:val="18"/>
      <w:szCs w:val="18"/>
      <w:u w:val="none"/>
      <w:vertAlign w:val="superscript"/>
    </w:rPr>
  </w:style>
  <w:style w:type="table" w:customStyle="1" w:styleId="c4">
    <w:name w:val="网格型c4"/>
    <w:basedOn w:val="a3"/>
    <w:uiPriority w:val="59"/>
    <w:qFormat/>
    <w:rPr>
      <w:rFonts w:cs="宋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网格型15"/>
    <w:basedOn w:val="a3"/>
    <w:qFormat/>
    <w:pPr>
      <w:widowControl w:val="0"/>
    </w:pPr>
    <w:rPr>
      <w:rFonts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2">
    <w:name w:val="修订9"/>
    <w:hidden/>
    <w:uiPriority w:val="99"/>
    <w:unhideWhenUsed/>
    <w:qFormat/>
    <w:rPr>
      <w:rFonts w:cs="宋体"/>
      <w:kern w:val="2"/>
      <w:sz w:val="24"/>
    </w:rPr>
  </w:style>
  <w:style w:type="table" w:customStyle="1" w:styleId="141">
    <w:name w:val="简明型 14"/>
    <w:basedOn w:val="a3"/>
    <w:unhideWhenUsed/>
    <w:qFormat/>
    <w:pPr>
      <w:widowControl w:val="0"/>
      <w:snapToGrid w:val="0"/>
      <w:jc w:val="both"/>
    </w:pPr>
    <w:rPr>
      <w:snapToGrid w:val="0"/>
      <w:color w:val="000000"/>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49">
    <w:name w:val="未处理的提及4"/>
    <w:basedOn w:val="a2"/>
    <w:uiPriority w:val="99"/>
    <w:semiHidden/>
    <w:unhideWhenUsed/>
    <w:qFormat/>
    <w:rPr>
      <w:color w:val="605E5C"/>
      <w:shd w:val="clear" w:color="auto" w:fill="E1DFDD"/>
    </w:rPr>
  </w:style>
  <w:style w:type="table" w:customStyle="1" w:styleId="240">
    <w:name w:val="网格型24"/>
    <w:basedOn w:val="a3"/>
    <w:qFormat/>
    <w:pPr>
      <w:widowControl w:val="0"/>
      <w:jc w:val="both"/>
    </w:pPr>
    <w:rPr>
      <w:rFonts w:ascii="微软雅黑" w:eastAsia="等线 Light" w:hAnsi="微软雅黑" w:cs="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书目3"/>
    <w:basedOn w:val="a1"/>
    <w:next w:val="a1"/>
    <w:uiPriority w:val="37"/>
    <w:semiHidden/>
    <w:unhideWhenUsed/>
    <w:qFormat/>
    <w:rPr>
      <w:color w:val="000000"/>
      <w:sz w:val="21"/>
      <w:szCs w:val="24"/>
    </w:rPr>
  </w:style>
  <w:style w:type="paragraph" w:customStyle="1" w:styleId="4111">
    <w:name w:val="标题 4111"/>
    <w:basedOn w:val="a1"/>
    <w:uiPriority w:val="1"/>
    <w:qFormat/>
    <w:pPr>
      <w:autoSpaceDE w:val="0"/>
      <w:autoSpaceDN w:val="0"/>
      <w:adjustRightInd w:val="0"/>
      <w:spacing w:before="26"/>
      <w:ind w:left="118"/>
      <w:jc w:val="left"/>
      <w:outlineLvl w:val="3"/>
    </w:pPr>
    <w:rPr>
      <w:rFonts w:ascii="宋体"/>
      <w:kern w:val="0"/>
      <w:szCs w:val="24"/>
      <w14:ligatures w14:val="standardContextual"/>
    </w:rPr>
  </w:style>
  <w:style w:type="paragraph" w:customStyle="1" w:styleId="21110">
    <w:name w:val="标题 2111"/>
    <w:basedOn w:val="a1"/>
    <w:uiPriority w:val="1"/>
    <w:qFormat/>
    <w:pPr>
      <w:autoSpaceDE w:val="0"/>
      <w:autoSpaceDN w:val="0"/>
      <w:adjustRightInd w:val="0"/>
      <w:spacing w:before="1"/>
      <w:ind w:left="2949"/>
      <w:jc w:val="left"/>
      <w:outlineLvl w:val="1"/>
    </w:pPr>
    <w:rPr>
      <w:rFonts w:ascii="宋体"/>
      <w:b/>
      <w:bCs/>
      <w:kern w:val="0"/>
      <w:sz w:val="32"/>
      <w:szCs w:val="32"/>
      <w14:ligatures w14:val="standardContextual"/>
    </w:rPr>
  </w:style>
  <w:style w:type="character" w:customStyle="1" w:styleId="1114">
    <w:name w:val="标题111"/>
    <w:qFormat/>
  </w:style>
  <w:style w:type="paragraph" w:customStyle="1" w:styleId="1ff7">
    <w:name w:val="无间隔1"/>
    <w:next w:val="2f5"/>
    <w:uiPriority w:val="1"/>
    <w:qFormat/>
    <w:rPr>
      <w:rFonts w:ascii="Calibri" w:hAnsi="Calibri"/>
      <w:sz w:val="22"/>
      <w:szCs w:val="22"/>
      <w14:ligatures w14:val="standardContextual"/>
    </w:rPr>
  </w:style>
  <w:style w:type="paragraph" w:customStyle="1" w:styleId="2f5">
    <w:name w:val="无间隔2"/>
    <w:uiPriority w:val="99"/>
    <w:qFormat/>
    <w:pPr>
      <w:widowControl w:val="0"/>
      <w:jc w:val="both"/>
    </w:pPr>
    <w:rPr>
      <w:kern w:val="2"/>
      <w:sz w:val="24"/>
      <w14:ligatures w14:val="standardContextual"/>
    </w:rPr>
  </w:style>
  <w:style w:type="paragraph" w:customStyle="1" w:styleId="HTML10">
    <w:name w:val="HTML 地址1"/>
    <w:basedOn w:val="a1"/>
    <w:next w:val="HTML"/>
    <w:unhideWhenUsed/>
    <w:qFormat/>
    <w:pPr>
      <w:snapToGrid w:val="0"/>
    </w:pPr>
    <w:rPr>
      <w:i/>
      <w:iCs/>
    </w:rPr>
  </w:style>
  <w:style w:type="paragraph" w:customStyle="1" w:styleId="115">
    <w:name w:val="索引 11"/>
    <w:basedOn w:val="a1"/>
    <w:next w:val="a1"/>
    <w:unhideWhenUsed/>
    <w:qFormat/>
    <w:pPr>
      <w:snapToGrid w:val="0"/>
    </w:pPr>
    <w:rPr>
      <w:color w:val="000000"/>
      <w:sz w:val="21"/>
      <w:szCs w:val="24"/>
      <w14:ligatures w14:val="standardContextual"/>
    </w:rPr>
  </w:style>
  <w:style w:type="paragraph" w:customStyle="1" w:styleId="1ff8">
    <w:name w:val="引用1"/>
    <w:basedOn w:val="a1"/>
    <w:next w:val="a1"/>
    <w:uiPriority w:val="99"/>
    <w:qFormat/>
    <w:pPr>
      <w:spacing w:before="200" w:after="160"/>
      <w:ind w:left="864" w:right="864"/>
      <w:jc w:val="center"/>
    </w:pPr>
    <w:rPr>
      <w:rFonts w:ascii="Calibri" w:hAnsi="Calibri"/>
      <w:i/>
      <w:iCs/>
      <w:color w:val="000000"/>
      <w:sz w:val="21"/>
      <w:szCs w:val="24"/>
      <w14:ligatures w14:val="standardContextual"/>
    </w:rPr>
  </w:style>
  <w:style w:type="paragraph" w:customStyle="1" w:styleId="1ff9">
    <w:name w:val="明显引用1"/>
    <w:basedOn w:val="a1"/>
    <w:next w:val="a1"/>
    <w:uiPriority w:val="99"/>
    <w:qFormat/>
    <w:pPr>
      <w:pBdr>
        <w:top w:val="single" w:sz="4" w:space="10" w:color="4F81BD"/>
        <w:bottom w:val="single" w:sz="4" w:space="10" w:color="4F81BD"/>
      </w:pBdr>
      <w:spacing w:before="360" w:after="360"/>
      <w:ind w:left="864" w:right="864"/>
      <w:jc w:val="center"/>
    </w:pPr>
    <w:rPr>
      <w:rFonts w:ascii="Calibri" w:hAnsi="Calibri"/>
      <w:b/>
      <w:bCs/>
      <w:i/>
      <w:iCs/>
      <w:color w:val="4F81BD"/>
      <w:sz w:val="21"/>
      <w:szCs w:val="24"/>
      <w14:ligatures w14:val="standardContextual"/>
    </w:rPr>
  </w:style>
  <w:style w:type="paragraph" w:customStyle="1" w:styleId="1ffa">
    <w:name w:val="宏文本1"/>
    <w:next w:val="a7"/>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color w:val="000000"/>
      <w:kern w:val="2"/>
      <w:sz w:val="24"/>
      <w:szCs w:val="24"/>
      <w14:ligatures w14:val="standardContextual"/>
    </w:rPr>
  </w:style>
  <w:style w:type="paragraph" w:customStyle="1" w:styleId="1ffb">
    <w:name w:val="注释标题1"/>
    <w:basedOn w:val="a1"/>
    <w:next w:val="a1"/>
    <w:unhideWhenUsed/>
    <w:qFormat/>
    <w:pPr>
      <w:snapToGrid w:val="0"/>
      <w:jc w:val="center"/>
    </w:pPr>
    <w:rPr>
      <w:color w:val="000000"/>
      <w:sz w:val="21"/>
      <w:szCs w:val="24"/>
      <w14:ligatures w14:val="standardContextual"/>
    </w:rPr>
  </w:style>
  <w:style w:type="paragraph" w:customStyle="1" w:styleId="1ffc">
    <w:name w:val="电子邮件签名1"/>
    <w:basedOn w:val="a1"/>
    <w:next w:val="ac"/>
    <w:unhideWhenUsed/>
    <w:qFormat/>
    <w:pPr>
      <w:snapToGrid w:val="0"/>
    </w:pPr>
    <w:rPr>
      <w:color w:val="000000"/>
      <w:sz w:val="21"/>
      <w:szCs w:val="24"/>
      <w14:ligatures w14:val="standardContextual"/>
    </w:rPr>
  </w:style>
  <w:style w:type="paragraph" w:customStyle="1" w:styleId="1ffd">
    <w:name w:val="称呼1"/>
    <w:basedOn w:val="a1"/>
    <w:next w:val="a1"/>
    <w:unhideWhenUsed/>
    <w:qFormat/>
    <w:pPr>
      <w:snapToGrid w:val="0"/>
    </w:pPr>
    <w:rPr>
      <w:color w:val="000000"/>
      <w:sz w:val="21"/>
      <w:szCs w:val="24"/>
      <w14:ligatures w14:val="standardContextual"/>
    </w:rPr>
  </w:style>
  <w:style w:type="paragraph" w:customStyle="1" w:styleId="1ffe">
    <w:name w:val="尾注文本1"/>
    <w:basedOn w:val="a1"/>
    <w:next w:val="aff3"/>
    <w:unhideWhenUsed/>
    <w:qFormat/>
    <w:pPr>
      <w:snapToGrid w:val="0"/>
      <w:jc w:val="left"/>
    </w:pPr>
    <w:rPr>
      <w:color w:val="000000"/>
      <w:sz w:val="21"/>
      <w:szCs w:val="24"/>
      <w14:ligatures w14:val="standardContextual"/>
    </w:rPr>
  </w:style>
  <w:style w:type="paragraph" w:customStyle="1" w:styleId="1fff">
    <w:name w:val="签名1"/>
    <w:basedOn w:val="a1"/>
    <w:next w:val="affc"/>
    <w:unhideWhenUsed/>
    <w:qFormat/>
    <w:pPr>
      <w:snapToGrid w:val="0"/>
      <w:ind w:leftChars="2100" w:left="100"/>
    </w:pPr>
    <w:rPr>
      <w:color w:val="000000"/>
      <w:sz w:val="21"/>
      <w:szCs w:val="24"/>
      <w14:ligatures w14:val="standardContextual"/>
    </w:rPr>
  </w:style>
  <w:style w:type="paragraph" w:customStyle="1" w:styleId="1fff0">
    <w:name w:val="副标题1"/>
    <w:basedOn w:val="a1"/>
    <w:next w:val="a1"/>
    <w:qFormat/>
    <w:pPr>
      <w:snapToGrid w:val="0"/>
      <w:spacing w:before="240" w:after="60" w:line="312" w:lineRule="auto"/>
      <w:jc w:val="center"/>
      <w:outlineLvl w:val="1"/>
    </w:pPr>
    <w:rPr>
      <w:rFonts w:ascii="Cambria" w:hAnsi="Cambria"/>
      <w:b/>
      <w:bCs/>
      <w:color w:val="000000"/>
      <w:kern w:val="28"/>
      <w:sz w:val="32"/>
      <w:szCs w:val="32"/>
      <w14:ligatures w14:val="standardContextual"/>
    </w:rPr>
  </w:style>
  <w:style w:type="paragraph" w:customStyle="1" w:styleId="216">
    <w:name w:val="正文文本 21"/>
    <w:basedOn w:val="a1"/>
    <w:next w:val="28"/>
    <w:unhideWhenUsed/>
    <w:qFormat/>
    <w:pPr>
      <w:snapToGrid w:val="0"/>
      <w:spacing w:after="120" w:line="480" w:lineRule="auto"/>
    </w:pPr>
    <w:rPr>
      <w:color w:val="000000"/>
      <w:sz w:val="21"/>
      <w:szCs w:val="24"/>
      <w14:ligatures w14:val="standardContextual"/>
    </w:rPr>
  </w:style>
  <w:style w:type="paragraph" w:customStyle="1" w:styleId="1fff1">
    <w:name w:val="信息标题1"/>
    <w:basedOn w:val="a1"/>
    <w:next w:val="afff5"/>
    <w:unhideWhenUsed/>
    <w:qFormat/>
    <w:pPr>
      <w:pBdr>
        <w:top w:val="single" w:sz="6" w:space="1" w:color="auto"/>
        <w:left w:val="single" w:sz="6" w:space="1" w:color="auto"/>
        <w:bottom w:val="single" w:sz="6" w:space="1" w:color="auto"/>
        <w:right w:val="single" w:sz="6" w:space="1" w:color="auto"/>
      </w:pBdr>
      <w:shd w:val="pct20" w:color="auto" w:fill="auto"/>
      <w:snapToGrid w:val="0"/>
      <w:ind w:leftChars="500" w:left="1080" w:hangingChars="500" w:hanging="1080"/>
    </w:pPr>
    <w:rPr>
      <w:rFonts w:ascii="Cambria" w:hAnsi="Cambria"/>
      <w:color w:val="000000"/>
      <w:szCs w:val="24"/>
      <w14:ligatures w14:val="standardContextual"/>
    </w:rPr>
  </w:style>
  <w:style w:type="paragraph" w:customStyle="1" w:styleId="1fff2">
    <w:name w:val="正文文本首行缩进1"/>
    <w:basedOn w:val="afb"/>
    <w:next w:val="afffd"/>
    <w:unhideWhenUsed/>
    <w:qFormat/>
    <w:pPr>
      <w:snapToGrid w:val="0"/>
      <w:ind w:firstLineChars="100" w:firstLine="420"/>
    </w:pPr>
    <w:rPr>
      <w:color w:val="000000"/>
      <w:kern w:val="2"/>
      <w:sz w:val="21"/>
      <w:szCs w:val="24"/>
      <w14:ligatures w14:val="standardContextual"/>
    </w:rPr>
  </w:style>
  <w:style w:type="table" w:customStyle="1" w:styleId="c11">
    <w:name w:val="网格型c11"/>
    <w:basedOn w:val="a3"/>
    <w:uiPriority w:val="59"/>
    <w:qFormat/>
    <w:pPr>
      <w:widowControl w:val="0"/>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网格型2112"/>
    <w:basedOn w:val="a3"/>
    <w:qFormat/>
    <w:pPr>
      <w:widowControl w:val="0"/>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网格型11111"/>
    <w:basedOn w:val="a3"/>
    <w:uiPriority w:val="59"/>
    <w:qFormat/>
    <w:pPr>
      <w:widowControl w:val="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简明型 11111"/>
    <w:basedOn w:val="a3"/>
    <w:qFormat/>
    <w:pPr>
      <w:widowControl w:val="0"/>
      <w:jc w:val="both"/>
    </w:pPr>
    <w:rPr>
      <w:rFonts w:ascii="Calibri" w:hAnsi="Calibri"/>
      <w14:ligatures w14:val="standardContextual"/>
    </w:r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customStyle="1" w:styleId="217">
    <w:name w:val="索引 21"/>
    <w:basedOn w:val="a1"/>
    <w:next w:val="a1"/>
    <w:unhideWhenUsed/>
    <w:qFormat/>
    <w:pPr>
      <w:snapToGrid w:val="0"/>
      <w:ind w:leftChars="200" w:left="200"/>
    </w:pPr>
    <w:rPr>
      <w:color w:val="000000"/>
      <w:sz w:val="21"/>
      <w:szCs w:val="24"/>
      <w14:ligatures w14:val="standardContextual"/>
    </w:rPr>
  </w:style>
  <w:style w:type="paragraph" w:customStyle="1" w:styleId="317">
    <w:name w:val="索引 31"/>
    <w:basedOn w:val="a1"/>
    <w:next w:val="a1"/>
    <w:unhideWhenUsed/>
    <w:qFormat/>
    <w:pPr>
      <w:snapToGrid w:val="0"/>
      <w:ind w:leftChars="400" w:left="400"/>
    </w:pPr>
    <w:rPr>
      <w:color w:val="000000"/>
      <w:sz w:val="21"/>
      <w:szCs w:val="24"/>
      <w14:ligatures w14:val="standardContextual"/>
    </w:rPr>
  </w:style>
  <w:style w:type="paragraph" w:customStyle="1" w:styleId="412">
    <w:name w:val="索引 41"/>
    <w:basedOn w:val="a1"/>
    <w:next w:val="a1"/>
    <w:unhideWhenUsed/>
    <w:qFormat/>
    <w:pPr>
      <w:snapToGrid w:val="0"/>
      <w:ind w:leftChars="600" w:left="600"/>
    </w:pPr>
    <w:rPr>
      <w:color w:val="000000"/>
      <w:sz w:val="21"/>
      <w:szCs w:val="24"/>
      <w14:ligatures w14:val="standardContextual"/>
    </w:rPr>
  </w:style>
  <w:style w:type="paragraph" w:customStyle="1" w:styleId="510">
    <w:name w:val="索引 51"/>
    <w:basedOn w:val="a1"/>
    <w:next w:val="a1"/>
    <w:unhideWhenUsed/>
    <w:qFormat/>
    <w:pPr>
      <w:snapToGrid w:val="0"/>
      <w:ind w:leftChars="800" w:left="800"/>
    </w:pPr>
    <w:rPr>
      <w:color w:val="000000"/>
      <w:sz w:val="21"/>
      <w:szCs w:val="24"/>
      <w14:ligatures w14:val="standardContextual"/>
    </w:rPr>
  </w:style>
  <w:style w:type="paragraph" w:customStyle="1" w:styleId="610">
    <w:name w:val="索引 61"/>
    <w:basedOn w:val="a1"/>
    <w:next w:val="a1"/>
    <w:unhideWhenUsed/>
    <w:qFormat/>
    <w:pPr>
      <w:snapToGrid w:val="0"/>
      <w:ind w:leftChars="1000" w:left="1000"/>
    </w:pPr>
    <w:rPr>
      <w:color w:val="000000"/>
      <w:sz w:val="21"/>
      <w:szCs w:val="24"/>
      <w14:ligatures w14:val="standardContextual"/>
    </w:rPr>
  </w:style>
  <w:style w:type="paragraph" w:customStyle="1" w:styleId="711">
    <w:name w:val="索引 71"/>
    <w:basedOn w:val="a1"/>
    <w:next w:val="a1"/>
    <w:unhideWhenUsed/>
    <w:qFormat/>
    <w:pPr>
      <w:snapToGrid w:val="0"/>
      <w:ind w:leftChars="1200" w:left="1200"/>
    </w:pPr>
    <w:rPr>
      <w:color w:val="000000"/>
      <w:sz w:val="21"/>
      <w:szCs w:val="24"/>
      <w14:ligatures w14:val="standardContextual"/>
    </w:rPr>
  </w:style>
  <w:style w:type="paragraph" w:customStyle="1" w:styleId="811">
    <w:name w:val="索引 81"/>
    <w:basedOn w:val="a1"/>
    <w:next w:val="a1"/>
    <w:unhideWhenUsed/>
    <w:qFormat/>
    <w:pPr>
      <w:snapToGrid w:val="0"/>
      <w:ind w:leftChars="1400" w:left="1400"/>
    </w:pPr>
    <w:rPr>
      <w:color w:val="000000"/>
      <w:sz w:val="21"/>
      <w:szCs w:val="24"/>
      <w14:ligatures w14:val="standardContextual"/>
    </w:rPr>
  </w:style>
  <w:style w:type="paragraph" w:customStyle="1" w:styleId="911">
    <w:name w:val="索引 91"/>
    <w:basedOn w:val="a1"/>
    <w:next w:val="a1"/>
    <w:unhideWhenUsed/>
    <w:qFormat/>
    <w:pPr>
      <w:snapToGrid w:val="0"/>
      <w:ind w:leftChars="1600" w:left="1600"/>
    </w:pPr>
    <w:rPr>
      <w:color w:val="000000"/>
      <w:sz w:val="21"/>
      <w:szCs w:val="24"/>
      <w14:ligatures w14:val="standardContextual"/>
    </w:rPr>
  </w:style>
  <w:style w:type="paragraph" w:customStyle="1" w:styleId="1fff3">
    <w:name w:val="索引标题1"/>
    <w:basedOn w:val="a1"/>
    <w:next w:val="11"/>
    <w:unhideWhenUsed/>
    <w:qFormat/>
    <w:pPr>
      <w:snapToGrid w:val="0"/>
    </w:pPr>
    <w:rPr>
      <w:rFonts w:ascii="Cambria" w:hAnsi="Cambria"/>
      <w:b/>
      <w:bCs/>
      <w:color w:val="000000"/>
      <w:sz w:val="21"/>
      <w:szCs w:val="24"/>
      <w14:ligatures w14:val="standardContextual"/>
    </w:rPr>
  </w:style>
  <w:style w:type="paragraph" w:customStyle="1" w:styleId="1fff4">
    <w:name w:val="收信人地址1"/>
    <w:basedOn w:val="a1"/>
    <w:next w:val="af1"/>
    <w:unhideWhenUsed/>
    <w:qFormat/>
    <w:pPr>
      <w:framePr w:w="7920" w:h="1980" w:hSpace="180" w:wrap="around" w:hAnchor="page" w:xAlign="center" w:yAlign="bottom"/>
      <w:snapToGrid w:val="0"/>
      <w:ind w:leftChars="1400" w:left="100"/>
    </w:pPr>
    <w:rPr>
      <w:rFonts w:ascii="Cambria" w:hAnsi="Cambria"/>
      <w:color w:val="000000"/>
      <w:szCs w:val="24"/>
      <w14:ligatures w14:val="standardContextual"/>
    </w:rPr>
  </w:style>
  <w:style w:type="paragraph" w:customStyle="1" w:styleId="1fff5">
    <w:name w:val="寄信人地址1"/>
    <w:basedOn w:val="a1"/>
    <w:next w:val="aff9"/>
    <w:unhideWhenUsed/>
    <w:qFormat/>
    <w:pPr>
      <w:snapToGrid w:val="0"/>
    </w:pPr>
    <w:rPr>
      <w:rFonts w:ascii="Cambria" w:hAnsi="Cambria"/>
      <w:color w:val="000000"/>
      <w:sz w:val="21"/>
      <w:szCs w:val="24"/>
      <w14:ligatures w14:val="standardContextual"/>
    </w:rPr>
  </w:style>
  <w:style w:type="paragraph" w:customStyle="1" w:styleId="1fff6">
    <w:name w:val="引文目录1"/>
    <w:basedOn w:val="a1"/>
    <w:next w:val="a1"/>
    <w:unhideWhenUsed/>
    <w:qFormat/>
    <w:pPr>
      <w:snapToGrid w:val="0"/>
      <w:ind w:leftChars="200" w:left="420"/>
    </w:pPr>
    <w:rPr>
      <w:color w:val="000000"/>
      <w:sz w:val="21"/>
      <w:szCs w:val="24"/>
      <w14:ligatures w14:val="standardContextual"/>
    </w:rPr>
  </w:style>
  <w:style w:type="paragraph" w:customStyle="1" w:styleId="1fff7">
    <w:name w:val="引文目录标题1"/>
    <w:basedOn w:val="a1"/>
    <w:next w:val="a1"/>
    <w:unhideWhenUsed/>
    <w:qFormat/>
    <w:pPr>
      <w:snapToGrid w:val="0"/>
      <w:spacing w:before="120"/>
    </w:pPr>
    <w:rPr>
      <w:rFonts w:ascii="Cambria" w:hAnsi="Cambria"/>
      <w:color w:val="000000"/>
      <w:szCs w:val="24"/>
      <w14:ligatures w14:val="standardContextual"/>
    </w:rPr>
  </w:style>
  <w:style w:type="paragraph" w:customStyle="1" w:styleId="1fff8">
    <w:name w:val="列表1"/>
    <w:basedOn w:val="a1"/>
    <w:next w:val="afff1"/>
    <w:unhideWhenUsed/>
    <w:qFormat/>
    <w:pPr>
      <w:snapToGrid w:val="0"/>
      <w:ind w:left="200" w:hangingChars="200" w:hanging="200"/>
      <w:contextualSpacing/>
    </w:pPr>
    <w:rPr>
      <w:color w:val="000000"/>
      <w:sz w:val="21"/>
      <w:szCs w:val="24"/>
      <w14:ligatures w14:val="standardContextual"/>
    </w:rPr>
  </w:style>
  <w:style w:type="paragraph" w:customStyle="1" w:styleId="1fff9">
    <w:name w:val="列表项目符号1"/>
    <w:basedOn w:val="a1"/>
    <w:next w:val="a0"/>
    <w:unhideWhenUsed/>
    <w:qFormat/>
    <w:pPr>
      <w:snapToGrid w:val="0"/>
      <w:contextualSpacing/>
    </w:pPr>
    <w:rPr>
      <w:color w:val="000000"/>
      <w:sz w:val="21"/>
      <w:szCs w:val="24"/>
      <w14:ligatures w14:val="standardContextual"/>
    </w:rPr>
  </w:style>
  <w:style w:type="paragraph" w:customStyle="1" w:styleId="1fffa">
    <w:name w:val="列表编号1"/>
    <w:basedOn w:val="a1"/>
    <w:next w:val="a"/>
    <w:unhideWhenUsed/>
    <w:qFormat/>
    <w:pPr>
      <w:snapToGrid w:val="0"/>
      <w:ind w:left="1690"/>
      <w:contextualSpacing/>
    </w:pPr>
    <w:rPr>
      <w:color w:val="000000"/>
      <w:sz w:val="21"/>
      <w:szCs w:val="24"/>
      <w14:ligatures w14:val="standardContextual"/>
    </w:rPr>
  </w:style>
  <w:style w:type="paragraph" w:customStyle="1" w:styleId="318">
    <w:name w:val="列表 31"/>
    <w:basedOn w:val="a1"/>
    <w:next w:val="33"/>
    <w:unhideWhenUsed/>
    <w:qFormat/>
    <w:pPr>
      <w:snapToGrid w:val="0"/>
      <w:ind w:leftChars="400" w:left="100" w:hangingChars="200" w:hanging="200"/>
      <w:contextualSpacing/>
    </w:pPr>
    <w:rPr>
      <w:color w:val="000000"/>
      <w:sz w:val="21"/>
      <w:szCs w:val="24"/>
      <w14:ligatures w14:val="standardContextual"/>
    </w:rPr>
  </w:style>
  <w:style w:type="paragraph" w:customStyle="1" w:styleId="413">
    <w:name w:val="列表 41"/>
    <w:basedOn w:val="a1"/>
    <w:next w:val="45"/>
    <w:unhideWhenUsed/>
    <w:qFormat/>
    <w:pPr>
      <w:snapToGrid w:val="0"/>
      <w:ind w:leftChars="600" w:left="100" w:hangingChars="200" w:hanging="200"/>
      <w:contextualSpacing/>
    </w:pPr>
    <w:rPr>
      <w:color w:val="000000"/>
      <w:sz w:val="21"/>
      <w:szCs w:val="24"/>
      <w14:ligatures w14:val="standardContextual"/>
    </w:rPr>
  </w:style>
  <w:style w:type="paragraph" w:customStyle="1" w:styleId="511">
    <w:name w:val="列表 51"/>
    <w:basedOn w:val="a1"/>
    <w:next w:val="55"/>
    <w:unhideWhenUsed/>
    <w:qFormat/>
    <w:pPr>
      <w:snapToGrid w:val="0"/>
      <w:ind w:leftChars="800" w:left="100" w:hangingChars="200" w:hanging="200"/>
      <w:contextualSpacing/>
    </w:pPr>
    <w:rPr>
      <w:color w:val="000000"/>
      <w:sz w:val="21"/>
      <w:szCs w:val="24"/>
      <w14:ligatures w14:val="standardContextual"/>
    </w:rPr>
  </w:style>
  <w:style w:type="paragraph" w:customStyle="1" w:styleId="218">
    <w:name w:val="列表项目符号 21"/>
    <w:basedOn w:val="a1"/>
    <w:next w:val="20"/>
    <w:unhideWhenUsed/>
    <w:qFormat/>
    <w:pPr>
      <w:tabs>
        <w:tab w:val="left" w:pos="360"/>
      </w:tabs>
      <w:snapToGrid w:val="0"/>
      <w:ind w:left="360" w:hangingChars="200" w:hanging="360"/>
      <w:contextualSpacing/>
    </w:pPr>
    <w:rPr>
      <w:color w:val="000000"/>
      <w:sz w:val="21"/>
      <w:szCs w:val="24"/>
      <w14:ligatures w14:val="standardContextual"/>
    </w:rPr>
  </w:style>
  <w:style w:type="paragraph" w:customStyle="1" w:styleId="319">
    <w:name w:val="列表项目符号 31"/>
    <w:basedOn w:val="a1"/>
    <w:next w:val="30"/>
    <w:unhideWhenUsed/>
    <w:qFormat/>
    <w:pPr>
      <w:tabs>
        <w:tab w:val="left" w:pos="360"/>
      </w:tabs>
      <w:snapToGrid w:val="0"/>
      <w:ind w:left="360" w:hangingChars="200" w:hanging="360"/>
      <w:contextualSpacing/>
    </w:pPr>
    <w:rPr>
      <w:color w:val="000000"/>
      <w:sz w:val="21"/>
      <w:szCs w:val="24"/>
      <w14:ligatures w14:val="standardContextual"/>
    </w:rPr>
  </w:style>
  <w:style w:type="paragraph" w:customStyle="1" w:styleId="414">
    <w:name w:val="列表项目符号 41"/>
    <w:basedOn w:val="a1"/>
    <w:next w:val="40"/>
    <w:unhideWhenUsed/>
    <w:qFormat/>
    <w:pPr>
      <w:tabs>
        <w:tab w:val="left" w:pos="780"/>
      </w:tabs>
      <w:snapToGrid w:val="0"/>
      <w:ind w:leftChars="200" w:left="780" w:hangingChars="200" w:hanging="360"/>
      <w:contextualSpacing/>
    </w:pPr>
    <w:rPr>
      <w:color w:val="000000"/>
      <w:sz w:val="21"/>
      <w:szCs w:val="24"/>
      <w14:ligatures w14:val="standardContextual"/>
    </w:rPr>
  </w:style>
  <w:style w:type="paragraph" w:customStyle="1" w:styleId="512">
    <w:name w:val="列表项目符号 51"/>
    <w:basedOn w:val="a1"/>
    <w:next w:val="50"/>
    <w:unhideWhenUsed/>
    <w:qFormat/>
    <w:pPr>
      <w:tabs>
        <w:tab w:val="left" w:pos="1200"/>
      </w:tabs>
      <w:snapToGrid w:val="0"/>
      <w:ind w:leftChars="400" w:left="1200" w:hangingChars="200" w:hanging="360"/>
      <w:contextualSpacing/>
    </w:pPr>
    <w:rPr>
      <w:color w:val="000000"/>
      <w:sz w:val="21"/>
      <w:szCs w:val="24"/>
      <w14:ligatures w14:val="standardContextual"/>
    </w:rPr>
  </w:style>
  <w:style w:type="paragraph" w:customStyle="1" w:styleId="219">
    <w:name w:val="列表编号 21"/>
    <w:basedOn w:val="a1"/>
    <w:next w:val="2"/>
    <w:unhideWhenUsed/>
    <w:qFormat/>
    <w:pPr>
      <w:tabs>
        <w:tab w:val="left" w:pos="1620"/>
      </w:tabs>
      <w:snapToGrid w:val="0"/>
      <w:ind w:leftChars="600" w:left="1620" w:hangingChars="200" w:hanging="360"/>
      <w:contextualSpacing/>
    </w:pPr>
    <w:rPr>
      <w:color w:val="000000"/>
      <w:sz w:val="21"/>
      <w:szCs w:val="24"/>
      <w14:ligatures w14:val="standardContextual"/>
    </w:rPr>
  </w:style>
  <w:style w:type="paragraph" w:customStyle="1" w:styleId="31a">
    <w:name w:val="列表编号 31"/>
    <w:basedOn w:val="a1"/>
    <w:next w:val="3"/>
    <w:unhideWhenUsed/>
    <w:qFormat/>
    <w:pPr>
      <w:tabs>
        <w:tab w:val="left" w:pos="2040"/>
      </w:tabs>
      <w:snapToGrid w:val="0"/>
      <w:ind w:leftChars="800" w:left="2040" w:hangingChars="200" w:hanging="360"/>
      <w:contextualSpacing/>
    </w:pPr>
    <w:rPr>
      <w:color w:val="000000"/>
      <w:sz w:val="21"/>
      <w:szCs w:val="24"/>
      <w14:ligatures w14:val="standardContextual"/>
    </w:rPr>
  </w:style>
  <w:style w:type="paragraph" w:customStyle="1" w:styleId="415">
    <w:name w:val="列表编号 41"/>
    <w:basedOn w:val="a1"/>
    <w:next w:val="4"/>
    <w:unhideWhenUsed/>
    <w:qFormat/>
    <w:pPr>
      <w:tabs>
        <w:tab w:val="left" w:pos="780"/>
      </w:tabs>
      <w:snapToGrid w:val="0"/>
      <w:ind w:leftChars="200" w:left="780" w:hangingChars="200" w:hanging="360"/>
      <w:contextualSpacing/>
    </w:pPr>
    <w:rPr>
      <w:color w:val="000000"/>
      <w:sz w:val="21"/>
      <w:szCs w:val="24"/>
      <w14:ligatures w14:val="standardContextual"/>
    </w:rPr>
  </w:style>
  <w:style w:type="paragraph" w:customStyle="1" w:styleId="513">
    <w:name w:val="列表编号 51"/>
    <w:basedOn w:val="a1"/>
    <w:next w:val="5"/>
    <w:unhideWhenUsed/>
    <w:qFormat/>
    <w:pPr>
      <w:tabs>
        <w:tab w:val="left" w:pos="1200"/>
      </w:tabs>
      <w:snapToGrid w:val="0"/>
      <w:ind w:leftChars="400" w:left="1200" w:hangingChars="200" w:hanging="360"/>
      <w:contextualSpacing/>
    </w:pPr>
    <w:rPr>
      <w:color w:val="000000"/>
      <w:sz w:val="21"/>
      <w:szCs w:val="24"/>
      <w14:ligatures w14:val="standardContextual"/>
    </w:rPr>
  </w:style>
  <w:style w:type="paragraph" w:customStyle="1" w:styleId="1fffb">
    <w:name w:val="列表接续1"/>
    <w:basedOn w:val="a1"/>
    <w:next w:val="afd"/>
    <w:unhideWhenUsed/>
    <w:qFormat/>
    <w:pPr>
      <w:snapToGrid w:val="0"/>
      <w:spacing w:after="120"/>
      <w:ind w:leftChars="200" w:left="420"/>
      <w:contextualSpacing/>
    </w:pPr>
    <w:rPr>
      <w:color w:val="000000"/>
      <w:sz w:val="21"/>
      <w:szCs w:val="24"/>
      <w14:ligatures w14:val="standardContextual"/>
    </w:rPr>
  </w:style>
  <w:style w:type="paragraph" w:customStyle="1" w:styleId="21a">
    <w:name w:val="列表接续 21"/>
    <w:basedOn w:val="a1"/>
    <w:next w:val="2a"/>
    <w:unhideWhenUsed/>
    <w:qFormat/>
    <w:pPr>
      <w:snapToGrid w:val="0"/>
      <w:spacing w:after="120"/>
      <w:ind w:leftChars="400" w:left="840"/>
      <w:contextualSpacing/>
    </w:pPr>
    <w:rPr>
      <w:color w:val="000000"/>
      <w:sz w:val="21"/>
      <w:szCs w:val="24"/>
      <w14:ligatures w14:val="standardContextual"/>
    </w:rPr>
  </w:style>
  <w:style w:type="paragraph" w:customStyle="1" w:styleId="31b">
    <w:name w:val="列表接续 31"/>
    <w:basedOn w:val="a1"/>
    <w:next w:val="39"/>
    <w:unhideWhenUsed/>
    <w:qFormat/>
    <w:pPr>
      <w:snapToGrid w:val="0"/>
      <w:spacing w:after="120"/>
      <w:ind w:leftChars="600" w:left="1260"/>
      <w:contextualSpacing/>
    </w:pPr>
    <w:rPr>
      <w:color w:val="000000"/>
      <w:sz w:val="21"/>
      <w:szCs w:val="24"/>
      <w14:ligatures w14:val="standardContextual"/>
    </w:rPr>
  </w:style>
  <w:style w:type="paragraph" w:customStyle="1" w:styleId="416">
    <w:name w:val="列表接续 41"/>
    <w:basedOn w:val="a1"/>
    <w:next w:val="44"/>
    <w:unhideWhenUsed/>
    <w:qFormat/>
    <w:pPr>
      <w:snapToGrid w:val="0"/>
      <w:spacing w:after="120"/>
      <w:ind w:leftChars="800" w:left="1680"/>
      <w:contextualSpacing/>
    </w:pPr>
    <w:rPr>
      <w:color w:val="000000"/>
      <w:sz w:val="21"/>
      <w:szCs w:val="24"/>
      <w14:ligatures w14:val="standardContextual"/>
    </w:rPr>
  </w:style>
  <w:style w:type="paragraph" w:customStyle="1" w:styleId="514">
    <w:name w:val="列表接续 51"/>
    <w:basedOn w:val="a1"/>
    <w:next w:val="54"/>
    <w:unhideWhenUsed/>
    <w:qFormat/>
    <w:pPr>
      <w:snapToGrid w:val="0"/>
      <w:spacing w:after="120"/>
      <w:ind w:leftChars="1000" w:left="2100"/>
      <w:contextualSpacing/>
    </w:pPr>
    <w:rPr>
      <w:color w:val="000000"/>
      <w:sz w:val="21"/>
      <w:szCs w:val="24"/>
      <w14:ligatures w14:val="standardContextual"/>
    </w:rPr>
  </w:style>
  <w:style w:type="paragraph" w:customStyle="1" w:styleId="1fffc">
    <w:name w:val="文本块1"/>
    <w:basedOn w:val="a1"/>
    <w:next w:val="afe"/>
    <w:unhideWhenUsed/>
    <w:qFormat/>
    <w:pPr>
      <w:snapToGrid w:val="0"/>
      <w:spacing w:after="120"/>
      <w:ind w:leftChars="700" w:left="1440" w:rightChars="700" w:right="1440"/>
    </w:pPr>
    <w:rPr>
      <w:color w:val="000000"/>
      <w:sz w:val="21"/>
      <w:szCs w:val="24"/>
      <w14:ligatures w14:val="standardContextual"/>
    </w:rPr>
  </w:style>
  <w:style w:type="character" w:customStyle="1" w:styleId="HTML11">
    <w:name w:val="HTML 地址 字符1"/>
    <w:basedOn w:val="a2"/>
    <w:uiPriority w:val="99"/>
    <w:qFormat/>
    <w:rPr>
      <w:rFonts w:ascii="Times New Roman" w:eastAsia="宋体" w:hAnsi="Times New Roman" w:cs="Times New Roman"/>
      <w:i/>
      <w:iCs/>
      <w:sz w:val="24"/>
      <w:szCs w:val="20"/>
    </w:rPr>
  </w:style>
  <w:style w:type="character" w:customStyle="1" w:styleId="2f6">
    <w:name w:val="尾注文本 字符2"/>
    <w:basedOn w:val="a2"/>
    <w:uiPriority w:val="99"/>
    <w:semiHidden/>
    <w:qFormat/>
    <w:rPr>
      <w:kern w:val="2"/>
      <w:sz w:val="24"/>
    </w:rPr>
  </w:style>
  <w:style w:type="character" w:customStyle="1" w:styleId="2f7">
    <w:name w:val="宏文本 字符2"/>
    <w:basedOn w:val="a2"/>
    <w:uiPriority w:val="99"/>
    <w:semiHidden/>
    <w:qFormat/>
    <w:rPr>
      <w:rFonts w:ascii="Courier New" w:hAnsi="Courier New" w:cs="Courier New"/>
      <w:kern w:val="2"/>
      <w:sz w:val="24"/>
      <w:szCs w:val="24"/>
    </w:rPr>
  </w:style>
  <w:style w:type="character" w:customStyle="1" w:styleId="2f8">
    <w:name w:val="签名 字符2"/>
    <w:basedOn w:val="a2"/>
    <w:uiPriority w:val="99"/>
    <w:semiHidden/>
    <w:qFormat/>
    <w:rPr>
      <w:kern w:val="2"/>
      <w:sz w:val="24"/>
    </w:rPr>
  </w:style>
  <w:style w:type="character" w:customStyle="1" w:styleId="2f9">
    <w:name w:val="信息标题 字符2"/>
    <w:basedOn w:val="a2"/>
    <w:uiPriority w:val="99"/>
    <w:semiHidden/>
    <w:qFormat/>
    <w:rPr>
      <w:rFonts w:ascii="Cambria" w:eastAsia="宋体" w:hAnsi="Cambria" w:cs="Times New Roman"/>
      <w:kern w:val="2"/>
      <w:sz w:val="24"/>
      <w:szCs w:val="24"/>
      <w:shd w:val="pct20" w:color="auto" w:fill="auto"/>
    </w:rPr>
  </w:style>
  <w:style w:type="character" w:customStyle="1" w:styleId="2fa">
    <w:name w:val="副标题 字符2"/>
    <w:basedOn w:val="a2"/>
    <w:uiPriority w:val="11"/>
    <w:qFormat/>
    <w:rPr>
      <w:rFonts w:ascii="Calibri" w:eastAsia="宋体" w:hAnsi="Calibri" w:cs="Times New Roman"/>
      <w:b/>
      <w:bCs/>
      <w:kern w:val="28"/>
      <w:sz w:val="32"/>
      <w:szCs w:val="32"/>
    </w:rPr>
  </w:style>
  <w:style w:type="character" w:customStyle="1" w:styleId="2fb">
    <w:name w:val="称呼 字符2"/>
    <w:basedOn w:val="a2"/>
    <w:uiPriority w:val="99"/>
    <w:semiHidden/>
    <w:qFormat/>
    <w:rPr>
      <w:kern w:val="2"/>
      <w:sz w:val="24"/>
    </w:rPr>
  </w:style>
  <w:style w:type="character" w:customStyle="1" w:styleId="2fc">
    <w:name w:val="正文文本首行缩进 字符2"/>
    <w:basedOn w:val="afc"/>
    <w:uiPriority w:val="99"/>
    <w:semiHidden/>
    <w:qFormat/>
    <w:rPr>
      <w:rFonts w:ascii="Times New Roman" w:eastAsia="宋体" w:hAnsi="Times New Roman" w:cs="Times New Roman"/>
      <w:kern w:val="2"/>
      <w:sz w:val="24"/>
      <w:szCs w:val="20"/>
    </w:rPr>
  </w:style>
  <w:style w:type="character" w:customStyle="1" w:styleId="2fd">
    <w:name w:val="注释标题 字符2"/>
    <w:basedOn w:val="a2"/>
    <w:uiPriority w:val="99"/>
    <w:semiHidden/>
    <w:qFormat/>
    <w:rPr>
      <w:kern w:val="2"/>
      <w:sz w:val="24"/>
    </w:rPr>
  </w:style>
  <w:style w:type="character" w:customStyle="1" w:styleId="222">
    <w:name w:val="正文文本 2 字符2"/>
    <w:basedOn w:val="a2"/>
    <w:uiPriority w:val="99"/>
    <w:semiHidden/>
    <w:qFormat/>
    <w:rPr>
      <w:kern w:val="2"/>
      <w:sz w:val="24"/>
    </w:rPr>
  </w:style>
  <w:style w:type="character" w:customStyle="1" w:styleId="2fe">
    <w:name w:val="电子邮件签名 字符2"/>
    <w:basedOn w:val="a2"/>
    <w:uiPriority w:val="99"/>
    <w:semiHidden/>
    <w:qFormat/>
    <w:rPr>
      <w:kern w:val="2"/>
      <w:sz w:val="24"/>
    </w:rPr>
  </w:style>
  <w:style w:type="character" w:customStyle="1" w:styleId="2ff">
    <w:name w:val="引用 字符2"/>
    <w:basedOn w:val="a2"/>
    <w:uiPriority w:val="99"/>
    <w:qFormat/>
    <w:rPr>
      <w:i/>
      <w:iCs/>
      <w:color w:val="404040"/>
      <w:kern w:val="2"/>
      <w:sz w:val="24"/>
    </w:rPr>
  </w:style>
  <w:style w:type="character" w:customStyle="1" w:styleId="2ff0">
    <w:name w:val="明显引用 字符2"/>
    <w:basedOn w:val="a2"/>
    <w:uiPriority w:val="99"/>
    <w:qFormat/>
    <w:rPr>
      <w:i/>
      <w:iCs/>
      <w:color w:val="4F81BD"/>
      <w:kern w:val="2"/>
      <w:sz w:val="24"/>
    </w:rPr>
  </w:style>
  <w:style w:type="paragraph" w:customStyle="1" w:styleId="afffffff8">
    <w:name w:val="表格标题 五号"/>
    <w:qFormat/>
    <w:pPr>
      <w:widowControl w:val="0"/>
      <w:adjustRightInd w:val="0"/>
      <w:snapToGrid w:val="0"/>
      <w:spacing w:line="480" w:lineRule="exact"/>
      <w:jc w:val="center"/>
      <w:textAlignment w:val="center"/>
    </w:pPr>
    <w:rPr>
      <w:b/>
      <w:sz w:val="21"/>
    </w:rPr>
  </w:style>
  <w:style w:type="paragraph" w:customStyle="1" w:styleId="afffffff9">
    <w:name w:val="表格内容 五号"/>
    <w:qFormat/>
    <w:pPr>
      <w:widowControl w:val="0"/>
      <w:adjustRightInd w:val="0"/>
      <w:snapToGrid w:val="0"/>
      <w:jc w:val="center"/>
    </w:pPr>
    <w:rPr>
      <w:kern w:val="2"/>
      <w:sz w:val="21"/>
      <w:szCs w:val="22"/>
    </w:rPr>
  </w:style>
  <w:style w:type="paragraph" w:customStyle="1" w:styleId="11112">
    <w:name w:val="三级1.1.1.1"/>
    <w:basedOn w:val="a1"/>
    <w:qFormat/>
    <w:rPr>
      <w:b/>
    </w:rPr>
  </w:style>
  <w:style w:type="character" w:customStyle="1" w:styleId="font111">
    <w:name w:val="font111"/>
    <w:basedOn w:val="a2"/>
    <w:qFormat/>
    <w:rPr>
      <w:rFonts w:ascii="Times New Roman" w:hAnsi="Times New Roman" w:cs="Times New Roman" w:hint="default"/>
      <w:color w:val="FF0000"/>
      <w:sz w:val="22"/>
      <w:szCs w:val="22"/>
      <w:u w:val="none"/>
      <w:vertAlign w:val="superscript"/>
    </w:rPr>
  </w:style>
  <w:style w:type="character" w:customStyle="1" w:styleId="font121">
    <w:name w:val="font121"/>
    <w:basedOn w:val="a2"/>
    <w:qFormat/>
    <w:rPr>
      <w:rFonts w:ascii="Times New Roman" w:hAnsi="Times New Roman" w:cs="Times New Roman" w:hint="default"/>
      <w:color w:val="000000"/>
      <w:sz w:val="18"/>
      <w:szCs w:val="18"/>
      <w:u w:val="none"/>
      <w:vertAlign w:val="superscript"/>
    </w:rPr>
  </w:style>
  <w:style w:type="character" w:customStyle="1" w:styleId="font131">
    <w:name w:val="font131"/>
    <w:basedOn w:val="a2"/>
    <w:qFormat/>
    <w:rPr>
      <w:rFonts w:ascii="宋体" w:eastAsia="宋体" w:hAnsi="宋体" w:cs="宋体" w:hint="eastAsia"/>
      <w:color w:val="00B050"/>
      <w:sz w:val="21"/>
      <w:szCs w:val="21"/>
      <w:u w:val="none"/>
    </w:rPr>
  </w:style>
  <w:style w:type="character" w:customStyle="1" w:styleId="font12">
    <w:name w:val="font12"/>
    <w:basedOn w:val="a2"/>
    <w:qFormat/>
    <w:rPr>
      <w:rFonts w:ascii="宋体" w:eastAsia="宋体" w:hAnsi="宋体" w:cs="宋体" w:hint="eastAsia"/>
      <w:color w:val="000000"/>
      <w:sz w:val="21"/>
      <w:szCs w:val="21"/>
      <w:u w:val="none"/>
    </w:rPr>
  </w:style>
  <w:style w:type="table" w:customStyle="1" w:styleId="161">
    <w:name w:val="网格型16"/>
    <w:basedOn w:val="a3"/>
    <w:qFormat/>
    <w:pPr>
      <w:widowControl w:val="0"/>
      <w:snapToGri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网格型4"/>
    <w:basedOn w:val="a3"/>
    <w:uiPriority w:val="99"/>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网格型5"/>
    <w:basedOn w:val="a3"/>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a3"/>
    <w:uiPriority w:val="99"/>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简明型 15"/>
    <w:basedOn w:val="a3"/>
    <w:unhideWhenUsed/>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c12">
    <w:name w:val="网格型c12"/>
    <w:basedOn w:val="a3"/>
    <w:uiPriority w:val="59"/>
    <w:qFormat/>
    <w:rPr>
      <w:rFonts w:cs="宋体"/>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网格型115"/>
    <w:basedOn w:val="a3"/>
    <w:qFormat/>
    <w:pPr>
      <w:widowControl w:val="0"/>
    </w:pPr>
    <w:rPr>
      <w:rFonts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简明型 114"/>
    <w:basedOn w:val="a3"/>
    <w:unhideWhenUsed/>
    <w:qFormat/>
    <w:pPr>
      <w:widowControl w:val="0"/>
      <w:snapToGrid w:val="0"/>
      <w:jc w:val="both"/>
    </w:pPr>
    <w:rPr>
      <w:snapToGrid w:val="0"/>
      <w:color w:val="000000"/>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40">
    <w:name w:val="简明型 1114"/>
    <w:basedOn w:val="a3"/>
    <w:unhideWhenUsed/>
    <w:qFormat/>
    <w:pPr>
      <w:widowControl w:val="0"/>
      <w:snapToGrid w:val="0"/>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c111">
    <w:name w:val="网格型c1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网格型1113"/>
    <w:basedOn w:val="a3"/>
    <w:uiPriority w:val="59"/>
    <w:qFormat/>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pPr>
      <w:widowControl w:val="0"/>
      <w:jc w:val="both"/>
    </w:pPr>
    <w:rPr>
      <w:rFonts w:ascii="微软雅黑" w:eastAsia="等线 Light" w:hAnsi="微软雅黑" w:cs="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简明型 11112"/>
    <w:basedOn w:val="a3"/>
    <w:qFormat/>
    <w:pPr>
      <w:widowControl w:val="0"/>
      <w:snapToGrid w:val="0"/>
      <w:jc w:val="both"/>
    </w:pPr>
    <w:rPr>
      <w:rFonts w:ascii="微软雅黑" w:eastAsia="等线 Light" w:hAnsi="微软雅黑" w:cs="微软雅黑"/>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11121">
    <w:name w:val="网格型11112"/>
    <w:basedOn w:val="a3"/>
    <w:uiPriority w:val="59"/>
    <w:qFormat/>
    <w:pPr>
      <w:widowControl w:val="0"/>
      <w:snapToGrid w:val="0"/>
    </w:pPr>
    <w:rPr>
      <w:rFonts w:ascii="微软雅黑" w:eastAsia="等线 Light" w:hAnsi="微软雅黑" w:cs="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3"/>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网格型111111"/>
    <w:basedOn w:val="a3"/>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简明型 111111"/>
    <w:basedOn w:val="a3"/>
    <w:qFormat/>
    <w:pPr>
      <w:widowControl w:val="0"/>
      <w:jc w:val="both"/>
    </w:pPr>
    <w:rPr>
      <w:rFonts w:ascii="Calibri" w:hAnsi="Calibri"/>
    </w:r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customStyle="1" w:styleId="afffffffa">
    <w:name w:val="表格"/>
    <w:link w:val="afffffffb"/>
    <w:qFormat/>
    <w:pPr>
      <w:widowControl w:val="0"/>
      <w:adjustRightInd w:val="0"/>
      <w:snapToGrid w:val="0"/>
      <w:jc w:val="center"/>
    </w:pPr>
    <w:rPr>
      <w:kern w:val="2"/>
      <w:sz w:val="21"/>
      <w:szCs w:val="24"/>
    </w:rPr>
  </w:style>
  <w:style w:type="character" w:customStyle="1" w:styleId="afffffffb">
    <w:name w:val="表格 字符"/>
    <w:link w:val="afffffffa"/>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6.wmf"/><Relationship Id="rId84" Type="http://schemas.openxmlformats.org/officeDocument/2006/relationships/oleObject" Target="embeddings/oleObject9.bin"/><Relationship Id="rId89" Type="http://schemas.openxmlformats.org/officeDocument/2006/relationships/oleObject" Target="embeddings/oleObject12.bin"/><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package" Target="embeddings/Microsoft_Visio_Drawing1.vsdx"/><Relationship Id="rId37" Type="http://schemas.openxmlformats.org/officeDocument/2006/relationships/image" Target="media/image17.jpeg"/><Relationship Id="rId53" Type="http://schemas.openxmlformats.org/officeDocument/2006/relationships/image" Target="media/image33.png"/><Relationship Id="rId58" Type="http://schemas.openxmlformats.org/officeDocument/2006/relationships/image" Target="media/image37.jpeg"/><Relationship Id="rId74" Type="http://schemas.openxmlformats.org/officeDocument/2006/relationships/image" Target="media/image50.wmf"/><Relationship Id="rId79" Type="http://schemas.openxmlformats.org/officeDocument/2006/relationships/oleObject" Target="embeddings/oleObject6.bin"/><Relationship Id="rId102" Type="http://schemas.openxmlformats.org/officeDocument/2006/relationships/image" Target="media/image64.wmf"/><Relationship Id="rId5" Type="http://schemas.openxmlformats.org/officeDocument/2006/relationships/styles" Target="styles.xml"/><Relationship Id="rId90" Type="http://schemas.openxmlformats.org/officeDocument/2006/relationships/image" Target="media/image57.wmf"/><Relationship Id="rId95" Type="http://schemas.openxmlformats.org/officeDocument/2006/relationships/image" Target="media/image60.pn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3.jpe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oleObject" Target="embeddings/oleObject2.bin"/><Relationship Id="rId80" Type="http://schemas.openxmlformats.org/officeDocument/2006/relationships/image" Target="media/image53.wmf"/><Relationship Id="rId85" Type="http://schemas.openxmlformats.org/officeDocument/2006/relationships/image" Target="media/image55.wmf"/><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image" Target="media/image14.emf"/><Relationship Id="rId38" Type="http://schemas.openxmlformats.org/officeDocument/2006/relationships/image" Target="media/image18.jpeg"/><Relationship Id="rId59" Type="http://schemas.openxmlformats.org/officeDocument/2006/relationships/image" Target="media/image38.jpeg"/><Relationship Id="rId103" Type="http://schemas.openxmlformats.org/officeDocument/2006/relationships/oleObject" Target="embeddings/oleObject18.bin"/><Relationship Id="rId20" Type="http://schemas.openxmlformats.org/officeDocument/2006/relationships/image" Target="media/image3.jpeg"/><Relationship Id="rId41" Type="http://schemas.openxmlformats.org/officeDocument/2006/relationships/image" Target="media/image21.png"/><Relationship Id="rId54" Type="http://schemas.openxmlformats.org/officeDocument/2006/relationships/image" Target="media/image34.emf"/><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oleObject" Target="embeddings/oleObject4.bin"/><Relationship Id="rId83" Type="http://schemas.openxmlformats.org/officeDocument/2006/relationships/oleObject" Target="embeddings/oleObject8.bin"/><Relationship Id="rId88" Type="http://schemas.openxmlformats.org/officeDocument/2006/relationships/image" Target="media/image56.wmf"/><Relationship Id="rId91" Type="http://schemas.openxmlformats.org/officeDocument/2006/relationships/oleObject" Target="embeddings/oleObject13.bin"/><Relationship Id="rId96" Type="http://schemas.openxmlformats.org/officeDocument/2006/relationships/image" Target="media/image61.w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6.jpe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oleObject" Target="embeddings/oleObject3.bin"/><Relationship Id="rId78" Type="http://schemas.openxmlformats.org/officeDocument/2006/relationships/image" Target="media/image52.wmf"/><Relationship Id="rId81" Type="http://schemas.openxmlformats.org/officeDocument/2006/relationships/oleObject" Target="embeddings/oleObject7.bin"/><Relationship Id="rId86" Type="http://schemas.openxmlformats.org/officeDocument/2006/relationships/oleObject" Target="embeddings/oleObject10.bin"/><Relationship Id="rId94" Type="http://schemas.openxmlformats.org/officeDocument/2006/relationships/image" Target="media/image59.png"/><Relationship Id="rId99" Type="http://schemas.openxmlformats.org/officeDocument/2006/relationships/oleObject" Target="embeddings/oleObject16.bin"/><Relationship Id="rId101" Type="http://schemas.openxmlformats.org/officeDocument/2006/relationships/oleObject" Target="embeddings/oleObject17.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jpeg"/><Relationship Id="rId39" Type="http://schemas.openxmlformats.org/officeDocument/2006/relationships/image" Target="media/image19.png"/><Relationship Id="rId34" Type="http://schemas.openxmlformats.org/officeDocument/2006/relationships/package" Target="embeddings/Microsoft_Visio_Drawing2.vsdx"/><Relationship Id="rId50" Type="http://schemas.openxmlformats.org/officeDocument/2006/relationships/image" Target="media/image30.png"/><Relationship Id="rId55" Type="http://schemas.openxmlformats.org/officeDocument/2006/relationships/package" Target="embeddings/Microsoft_Visio_Drawing3.vsdx"/><Relationship Id="rId76" Type="http://schemas.openxmlformats.org/officeDocument/2006/relationships/image" Target="media/image51.wmf"/><Relationship Id="rId97" Type="http://schemas.openxmlformats.org/officeDocument/2006/relationships/oleObject" Target="embeddings/oleObject15.bin"/><Relationship Id="rId104"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image" Target="media/image48.png"/><Relationship Id="rId92" Type="http://schemas.openxmlformats.org/officeDocument/2006/relationships/image" Target="media/image58.wmf"/><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png"/><Relationship Id="rId40" Type="http://schemas.openxmlformats.org/officeDocument/2006/relationships/image" Target="media/image20.jpeg"/><Relationship Id="rId45" Type="http://schemas.openxmlformats.org/officeDocument/2006/relationships/image" Target="media/image25.png"/><Relationship Id="rId66" Type="http://schemas.openxmlformats.org/officeDocument/2006/relationships/image" Target="media/image45.wmf"/><Relationship Id="rId87" Type="http://schemas.openxmlformats.org/officeDocument/2006/relationships/oleObject" Target="embeddings/oleObject11.bin"/><Relationship Id="rId61" Type="http://schemas.openxmlformats.org/officeDocument/2006/relationships/image" Target="media/image40.jpeg"/><Relationship Id="rId82" Type="http://schemas.openxmlformats.org/officeDocument/2006/relationships/image" Target="media/image54.wmf"/><Relationship Id="rId19" Type="http://schemas.openxmlformats.org/officeDocument/2006/relationships/image" Target="media/image2.jpeg"/><Relationship Id="rId14" Type="http://schemas.openxmlformats.org/officeDocument/2006/relationships/footer" Target="footer2.xml"/><Relationship Id="rId30" Type="http://schemas.openxmlformats.org/officeDocument/2006/relationships/package" Target="embeddings/Microsoft_Visio_Drawing.vsdx"/><Relationship Id="rId35" Type="http://schemas.openxmlformats.org/officeDocument/2006/relationships/image" Target="media/image15.png"/><Relationship Id="rId56" Type="http://schemas.openxmlformats.org/officeDocument/2006/relationships/image" Target="media/image35.jpeg"/><Relationship Id="rId77" Type="http://schemas.openxmlformats.org/officeDocument/2006/relationships/oleObject" Target="embeddings/oleObject5.bin"/><Relationship Id="rId100" Type="http://schemas.openxmlformats.org/officeDocument/2006/relationships/image" Target="media/image63.wmf"/><Relationship Id="rId105"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49.wmf"/><Relationship Id="rId93" Type="http://schemas.openxmlformats.org/officeDocument/2006/relationships/oleObject" Target="embeddings/oleObject14.bin"/><Relationship Id="rId98" Type="http://schemas.openxmlformats.org/officeDocument/2006/relationships/image" Target="media/image62.wmf"/><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image" Target="media/image26.jpeg"/><Relationship Id="rId67"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ff7de3ef-f234-4348-8e83-aaf36658209d</errorID>
      <errorWord>为</errorWord>
      <group>L1_Grammar</group>
      <groupName>语法问题</groupName>
      <ability>L2_Missing</ability>
      <abilityName>成分残缺</abilityName>
      <candidateList>
        <item>该综合楼为</item>
      </candidateList>
      <explain>句子中可能存在主谓宾、修饰语或者必要的词语残缺。</explain>
      <paraID>46B7A454</paraID>
      <start>38</start>
      <end>39</end>
      <status>unmodified</status>
      <modifiedWord/>
      <trackRevisions>false</trackRevisions>
    </reviewItem>
    <reviewItem>
      <errorID>38103497-2c01-4bd4-9b51-da5da5b2c7e4</errorID>
      <errorWord>层建筑</errorWord>
      <group>L1_Grammar</group>
      <groupName>语法问题</groupName>
      <ability>L2_Ambiguity</ability>
      <abilityName>语意不明</abilityName>
      <candidateList>
        <item>层</item>
      </candidateList>
      <explain>句子中可能存在代词、数量短语指代不明、一词多义、缺乏交待、停顿不同等问题，易造成歧义。</explain>
      <paraID>46B7A454</paraID>
      <start>124</start>
      <end>127</end>
      <status>unmodified</status>
      <modifiedWord/>
      <trackRevisions>false</trackRevisions>
    </reviewItem>
    <reviewItem>
      <errorID>ef689ab9-384c-4036-bc0a-784a0f7f8c3c</errorID>
      <errorWord>床</errorWord>
      <group>L1_Grammar</group>
      <groupName>语法问题</groupName>
      <ability>L2_Collocation</ability>
      <abilityName>搭配不当</abilityName>
      <candidateList>
        <item>张</item>
      </candidateList>
      <explain>句子中可能存在主谓、动宾、定语中心语、状语中心语、补语中心语、关联词搭配不当等问题。</explain>
      <paraID>760186BC</paraID>
      <start>40</start>
      <end>41</end>
      <status>unmodified</status>
      <modifiedWord/>
      <trackRevisions>false</trackRevisions>
    </reviewItem>
    <reviewItem>
      <errorID>74e8ca0e-a20f-4bf1-adc4-725ce80f31cf</errorID>
      <errorWord>&lt;</errorWord>
      <group>L1_Format</group>
      <groupName>格式问题</groupName>
      <ability>L2_HalfPunc_CN</ability>
      <abilityName/>
      <candidateList>
        <item>〈</item>
      </candidateList>
      <explain>文本全半角错误。</explain>
      <paraID>17E253B6</paraID>
      <start>108</start>
      <end>109</end>
      <status>unmodified</status>
      <modifiedWord/>
      <trackRevisions>false</trackRevisions>
    </reviewItem>
    <reviewItem>
      <errorID>311d317a-a4d9-4824-ab9f-5a7b017b3d6c</errorID>
      <errorWord>&gt;</errorWord>
      <group>L1_Format</group>
      <groupName>格式问题</groupName>
      <ability>L2_HalfPunc_CN</ability>
      <abilityName/>
      <candidateList>
        <item>〉</item>
      </candidateList>
      <explain>文本全半角错误。</explain>
      <paraID>17E253B6</paraID>
      <start>115</start>
      <end>116</end>
      <status>unmodified</status>
      <modifiedWord/>
      <trackRevisions>false</trackRevisions>
    </reviewItem>
    <reviewItem>
      <errorID>22921007-580b-47d8-8f51-ca8fbb5bc50c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523100C</paraID>
      <start>0</start>
      <end>2</end>
      <status>unmodified</status>
      <modifiedWord/>
      <trackRevisions>false</trackRevisions>
    </reviewItem>
    <reviewItem>
      <errorID>dbf5651c-a7b8-4ba9-a660-1edf39394644</errorID>
      <errorWord>[2016]430号</errorWord>
      <group>L1_Knowledge</group>
      <groupName>知识性问题</groupName>
      <ability>L2_Knowledge</ability>
      <abilityName>其他知识</abilityName>
      <candidateList>
        <item>〔2016〕430号</item>
      </candidateList>
      <explain>发文字号格式错误。</explain>
      <paraID>2F44E98F</paraID>
      <start>32</start>
      <end>42</end>
      <status>unmodified</status>
      <modifiedWord/>
      <trackRevisions>false</trackRevisions>
    </reviewItem>
    <reviewItem>
      <errorID>1ccc6ef4-ea1b-4822-a8a4-b9da4707bfd4</errorID>
      <errorWord>药物量</errorWord>
      <group>L1_Grammar</group>
      <groupName>语法问题</groupName>
      <ability>L2_Order</ability>
      <abilityName>语序不当</abilityName>
      <candidateList>
        <item>药物</item>
      </candidateList>
      <explain>句子可能没有遵循时空、逻辑顺序，或者介词、关联词等位置不当。</explain>
      <paraID>5D99FD79</paraID>
      <start>139</start>
      <end>142</end>
      <status>unmodified</status>
      <modifiedWord/>
      <trackRevisions>false</trackRevisions>
    </reviewItem>
    <reviewItem>
      <errorID>593cac94-eb12-490c-905a-885bc8ab63a7</errorID>
      <errorWord>（</errorWord>
      <group>L1_Format</group>
      <groupName>格式问题</groupName>
      <ability>L2_HalfPunc_CN</ability>
      <abilityName/>
      <candidateList>
        <item>(</item>
      </candidateList>
      <explain>文本全半角错误。</explain>
      <paraID>2E85B994</paraID>
      <start>0</start>
      <end>1</end>
      <status>unmodified</status>
      <modifiedWord/>
      <trackRevisions>false</trackRevisions>
    </reviewItem>
    <reviewItem>
      <errorID>84c18a2e-e4dd-4918-b4b1-62b17ad1d1c2</errorID>
      <errorWord>）</errorWord>
      <group>L1_Format</group>
      <groupName>格式问题</groupName>
      <ability>L2_HalfPunc_CN</ability>
      <abilityName/>
      <candidateList>
        <item>)</item>
      </candidateList>
      <explain>文本全半角错误。</explain>
      <paraID>2E85B994</paraID>
      <start>6</start>
      <end>7</end>
      <status>unmodified</status>
      <modifiedWord/>
      <trackRevisions>false</trackRevisions>
    </reviewItem>
    <reviewItem>
      <errorID>73017426-6efd-4d3f-98cb-7667dea8a464</errorID>
      <errorWord>（</errorWord>
      <group>L1_Format</group>
      <groupName>格式问题</groupName>
      <ability>L2_HalfPunc_CN</ability>
      <abilityName/>
      <candidateList>
        <item>(</item>
      </candidateList>
      <explain>文本全半角错误。</explain>
      <paraID>123F8317</paraID>
      <start>0</start>
      <end>1</end>
      <status>unmodified</status>
      <modifiedWord/>
      <trackRevisions>false</trackRevisions>
    </reviewItem>
    <reviewItem>
      <errorID>1d5dfe16-90fa-433d-be3d-fb73f136df8f</errorID>
      <errorWord>）</errorWord>
      <group>L1_Format</group>
      <groupName>格式问题</groupName>
      <ability>L2_HalfPunc_CN</ability>
      <abilityName/>
      <candidateList>
        <item>)</item>
      </candidateList>
      <explain>文本全半角错误。</explain>
      <paraID>123F8317</paraID>
      <start>7</start>
      <end>8</end>
      <status>unmodified</status>
      <modifiedWord/>
      <trackRevisions>false</trackRevisions>
    </reviewItem>
    <reviewItem>
      <errorID>de26e07f-4c6b-4ac1-8d35-405836d6c9c7</errorID>
      <errorWord>（</errorWord>
      <group>L1_Format</group>
      <groupName>格式问题</groupName>
      <ability>L2_HalfPunc_CN</ability>
      <abilityName/>
      <candidateList>
        <item>(</item>
      </candidateList>
      <explain>文本全半角错误。</explain>
      <paraID>7AE67198</paraID>
      <start>0</start>
      <end>1</end>
      <status>unmodified</status>
      <modifiedWord/>
      <trackRevisions>false</trackRevisions>
    </reviewItem>
    <reviewItem>
      <errorID>d39411a4-1425-42b0-ae5d-988a618ca68b</errorID>
      <errorWord>）</errorWord>
      <group>L1_Format</group>
      <groupName>格式问题</groupName>
      <ability>L2_HalfPunc_CN</ability>
      <abilityName/>
      <candidateList>
        <item>)</item>
      </candidateList>
      <explain>文本全半角错误。</explain>
      <paraID>7AE67198</paraID>
      <start>6</start>
      <end>7</end>
      <status>unmodified</status>
      <modifiedWord/>
      <trackRevisions>false</trackRevisions>
    </reviewItem>
    <reviewItem>
      <errorID>fba7ab4a-4d77-40a6-95b2-638bc6eadd48</errorID>
      <errorWord>（</errorWord>
      <group>L1_Format</group>
      <groupName>格式问题</groupName>
      <ability>L2_HalfPunc_CN</ability>
      <abilityName/>
      <candidateList>
        <item>(</item>
      </candidateList>
      <explain>文本全半角错误。</explain>
      <paraID> 9237166</paraID>
      <start>0</start>
      <end>1</end>
      <status>unmodified</status>
      <modifiedWord/>
      <trackRevisions>false</trackRevisions>
    </reviewItem>
    <reviewItem>
      <errorID>7944d7c8-d50e-46be-b96f-303ae38d3ed5</errorID>
      <errorWord>）</errorWord>
      <group>L1_Format</group>
      <groupName>格式问题</groupName>
      <ability>L2_HalfPunc_CN</ability>
      <abilityName/>
      <candidateList>
        <item>)</item>
      </candidateList>
      <explain>文本全半角错误。</explain>
      <paraID> 9237166</paraID>
      <start>5</start>
      <end>6</end>
      <status>unmodified</status>
      <modifiedWord/>
      <trackRevisions>false</trackRevisions>
    </reviewItem>
    <reviewItem>
      <errorID>6bd5a492-df30-4dbf-92f0-0fcd3d546455</errorID>
      <errorWord>（</errorWord>
      <group>L1_Format</group>
      <groupName>格式问题</groupName>
      <ability>L2_HalfPunc_CN</ability>
      <abilityName/>
      <candidateList>
        <item>(</item>
      </candidateList>
      <explain>文本全半角错误。</explain>
      <paraID>5D17B3D3</paraID>
      <start>0</start>
      <end>1</end>
      <status>unmodified</status>
      <modifiedWord/>
      <trackRevisions>false</trackRevisions>
    </reviewItem>
    <reviewItem>
      <errorID>218f6cca-a86a-4e6e-bfa5-9706860d1217</errorID>
      <errorWord>）</errorWord>
      <group>L1_Format</group>
      <groupName>格式问题</groupName>
      <ability>L2_HalfPunc_CN</ability>
      <abilityName/>
      <candidateList>
        <item>)</item>
      </candidateList>
      <explain>文本全半角错误。</explain>
      <paraID>5D17B3D3</paraID>
      <start>6</start>
      <end>7</end>
      <status>unmodified</status>
      <modifiedWord/>
      <trackRevisions>false</trackRevisions>
    </reviewItem>
    <reviewItem>
      <errorID>702e3da3-56a6-4a40-b068-bf5da430b8f9</errorID>
      <errorWord>（</errorWord>
      <group>L1_Format</group>
      <groupName>格式问题</groupName>
      <ability>L2_HalfPunc_CN</ability>
      <abilityName/>
      <candidateList>
        <item>(</item>
      </candidateList>
      <explain>文本全半角错误。</explain>
      <paraID>51B1B642</paraID>
      <start>0</start>
      <end>1</end>
      <status>unmodified</status>
      <modifiedWord/>
      <trackRevisions>false</trackRevisions>
    </reviewItem>
    <reviewItem>
      <errorID>deb56d26-05ba-4c83-8d9a-2b07d594da7f</errorID>
      <errorWord>）</errorWord>
      <group>L1_Format</group>
      <groupName>格式问题</groupName>
      <ability>L2_HalfPunc_CN</ability>
      <abilityName/>
      <candidateList>
        <item>)</item>
      </candidateList>
      <explain>文本全半角错误。</explain>
      <paraID>51B1B642</paraID>
      <start>8</start>
      <end>9</end>
      <status>unmodified</status>
      <modifiedWord/>
      <trackRevisions>false</trackRevisions>
    </reviewItem>
    <reviewItem>
      <errorID>738fa441-add9-43c7-b573-4970da30317f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256AF713</paraID>
      <start>0</start>
      <end>2</end>
      <status>unmodified</status>
      <modifiedWord/>
      <trackRevisions>false</trackRevisions>
    </reviewItem>
    <reviewItem>
      <errorID>d8eded31-3549-4f68-83b7-b9b867aa2dd5</errorID>
      <errorWord>II类</errorWord>
      <group>L1_Knowledge</group>
      <groupName>知识性问题</groupName>
      <ability>L2_Knowledge</ability>
      <abilityName>其他知识</abilityName>
      <candidateList>
        <item>Ⅱ类</item>
      </candidateList>
      <explain/>
      <paraID> B2F154A</paraID>
      <start>105</start>
      <end>108</end>
      <status>unmodified</status>
      <modifiedWord/>
      <trackRevisions>false</trackRevisions>
    </reviewItem>
    <reviewItem>
      <errorID>45dd6901-560e-424d-8adc-66973f6e8741</errorID>
      <errorWord>（</errorWord>
      <group>L1_Punc</group>
      <groupName>标点问题</groupName>
      <ability>L2_Punc_CN</ability>
      <abilityName/>
      <candidateList/>
      <explain>同一形式括号套用。</explain>
      <paraID> B2F154A</paraID>
      <start>129</start>
      <end>130</end>
      <status>unmodified</status>
      <modifiedWord/>
      <trackRevisions>false</trackRevisions>
    </reviewItem>
    <reviewItem>
      <errorID>1e6541ee-37b3-46b8-ae42-ca8730ae2506</errorID>
      <errorWord>）</errorWord>
      <group>L1_Punc</group>
      <groupName>标点问题</groupName>
      <ability>L2_Punc_CN</ability>
      <abilityName/>
      <candidateList/>
      <explain>同一形式括号套用。</explain>
      <paraID> B2F154A</paraID>
      <start>134</start>
      <end>135</end>
      <status>unmodified</status>
      <modifiedWord/>
      <trackRevisions>false</trackRevisions>
    </reviewItem>
    <reviewItem>
      <errorID>a41ac481-0aa0-4cc7-9b6a-07cdd41e0772</errorID>
      <errorWord>III类</errorWord>
      <group>L1_Knowledge</group>
      <groupName>知识性问题</groupName>
      <ability>L2_Knowledge</ability>
      <abilityName>其他知识</abilityName>
      <candidateList>
        <item>Ⅲ类</item>
      </candidateList>
      <explain/>
      <paraID> B2F154A</paraID>
      <start>256</start>
      <end>260</end>
      <status>unmodified</status>
      <modifiedWord/>
      <trackRevisions>false</trackRevisions>
    </reviewItem>
    <reviewItem>
      <errorID>bb3cd980-08af-44f8-84b7-2615f9a7defa</errorID>
      <errorWord>:</errorWord>
      <group>L1_Format</group>
      <groupName>格式问题</groupName>
      <ability>L2_HalfPunc_CN</ability>
      <abilityName/>
      <candidateList>
        <item>：</item>
      </candidateList>
      <explain>文本全半角错误。</explain>
      <paraID>19C2DF60</paraID>
      <start>5</start>
      <end>6</end>
      <status>unmodified</status>
      <modifiedWord/>
      <trackRevisions>false</trackRevisions>
    </reviewItem>
    <reviewItem>
      <errorID>b2c14676-986c-4b95-bf0c-518b4ab28ab3</errorID>
      <errorWord>:</errorWord>
      <group>L1_Format</group>
      <groupName>格式问题</groupName>
      <ability>L2_HalfPunc_CN</ability>
      <abilityName/>
      <candidateList>
        <item>：</item>
      </candidateList>
      <explain>文本全半角错误。</explain>
      <paraID>19C2DF60</paraID>
      <start>17</start>
      <end>18</end>
      <status>unmodified</status>
      <modifiedWord/>
      <trackRevisions>false</trackRevisions>
    </reviewItem>
    <reviewItem>
      <errorID>ee690e6a-644e-42ce-86e3-b9e8d3fca79f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1739D89D</paraID>
      <start>0</start>
      <end>2</end>
      <status>unmodified</status>
      <modifiedWord/>
      <trackRevisions>false</trackRevisions>
    </reviewItem>
    <reviewItem>
      <errorID>2d604edf-1476-4854-9b38-a032ab64e98e</errorID>
      <errorWord>~</errorWord>
      <group>L1_Format</group>
      <groupName>格式问题</groupName>
      <ability>L2_HalfPunc_CN</ability>
      <abilityName/>
      <candidateList>
        <item>～</item>
      </candidateList>
      <explain>文本全半角错误。</explain>
      <paraID>2137AA6C</paraID>
      <start>15</start>
      <end>16</end>
      <status>unmodified</status>
      <modifiedWord/>
      <trackRevisions>false</trackRevisions>
    </reviewItem>
    <reviewItem>
      <errorID>767d2ec6-f5c5-4366-a04d-0c07b65455f6</errorID>
      <errorWord>:</errorWord>
      <group>L1_Format</group>
      <groupName>格式问题</groupName>
      <ability>L2_HalfPunc_CN</ability>
      <abilityName/>
      <candidateList>
        <item>：</item>
      </candidateList>
      <explain>文本全半角错误。</explain>
      <paraID>7E025ED4</paraID>
      <start>5</start>
      <end>6</end>
      <status>unmodified</status>
      <modifiedWord/>
      <trackRevisions>false</trackRevisions>
    </reviewItem>
    <reviewItem>
      <errorID>6b33d1f1-eca4-4220-b175-b36cdc2e0e1d</errorID>
      <errorWord>:</errorWord>
      <group>L1_Format</group>
      <groupName>格式问题</groupName>
      <ability>L2_HalfPunc_CN</ability>
      <abilityName/>
      <candidateList>
        <item>：</item>
      </candidateList>
      <explain>文本全半角错误。</explain>
      <paraID>7E025ED4</paraID>
      <start>17</start>
      <end>18</end>
      <status>unmodified</status>
      <modifiedWord/>
      <trackRevisions>false</trackRevisions>
    </reviewItem>
    <reviewItem>
      <errorID>a5b67c51-e6a8-4406-bee5-7f2ce09afdc6</errorID>
      <errorWord>:</errorWord>
      <group>L1_Format</group>
      <groupName>格式问题</groupName>
      <ability>L2_HalfPunc_CN</ability>
      <abilityName/>
      <candidateList>
        <item>：</item>
      </candidateList>
      <explain>文本全半角错误。</explain>
      <paraID>4A82269B</paraID>
      <start>5</start>
      <end>6</end>
      <status>unmodified</status>
      <modifiedWord/>
      <trackRevisions>false</trackRevisions>
    </reviewItem>
    <reviewItem>
      <errorID>ca517612-d2cf-4c94-8f60-615a27e33c66</errorID>
      <errorWord>:</errorWord>
      <group>L1_Format</group>
      <groupName>格式问题</groupName>
      <ability>L2_HalfPunc_CN</ability>
      <abilityName/>
      <candidateList>
        <item>：</item>
      </candidateList>
      <explain>文本全半角错误。</explain>
      <paraID>4A82269B</paraID>
      <start>17</start>
      <end>18</end>
      <status>unmodified</status>
      <modifiedWord/>
      <trackRevisions>false</trackRevisions>
    </reviewItem>
    <reviewItem>
      <errorID>59bc2932-05a1-48c5-baf8-f79ff199ea6c</errorID>
      <errorWord>:</errorWord>
      <group>L1_Format</group>
      <groupName>格式问题</groupName>
      <ability>L2_HalfPunc_CN</ability>
      <abilityName/>
      <candidateList>
        <item>：</item>
      </candidateList>
      <explain>文本全半角错误。</explain>
      <paraID>6458453D</paraID>
      <start>5</start>
      <end>6</end>
      <status>unmodified</status>
      <modifiedWord/>
      <trackRevisions>false</trackRevisions>
    </reviewItem>
    <reviewItem>
      <errorID>71533ee4-f6ec-4cbb-9a2c-bf99bfb74a51</errorID>
      <errorWord>:</errorWord>
      <group>L1_Format</group>
      <groupName>格式问题</groupName>
      <ability>L2_HalfPunc_CN</ability>
      <abilityName/>
      <candidateList>
        <item>：</item>
      </candidateList>
      <explain>文本全半角错误。</explain>
      <paraID>6458453D</paraID>
      <start>17</start>
      <end>18</end>
      <status>unmodified</status>
      <modifiedWord/>
      <trackRevisions>false</trackRevisions>
    </reviewItem>
    <reviewItem>
      <errorID>c1c9bcf2-ce2b-47ae-a735-510862e038c0</errorID>
      <errorWord>、以及</errorWord>
      <group>L1_Punc</group>
      <groupName>标点问题</groupName>
      <ability>L2_Punc_CN</ability>
      <abilityName/>
      <candidateList>
        <item>，以及</item>
      </candidateList>
      <explain>连接词前后不宜使用顿号，建议使用逗号。</explain>
      <paraID>44ADD999</paraID>
      <start>95</start>
      <end>98</end>
      <status>unmodified</status>
      <modifiedWord/>
      <trackRevisions>false</trackRevisions>
    </reviewItem>
    <reviewItem>
      <errorID>0be69dc7-acef-4fc4-bf25-7adba8503e26</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4CC20B3</paraID>
      <start>13</start>
      <end>15</end>
      <status>unmodified</status>
      <modifiedWord/>
      <trackRevisions>false</trackRevisions>
    </reviewItem>
    <reviewItem>
      <errorID>50730e82-2dd3-4ab3-8713-9afa2c5458aa</errorID>
      <errorWord>其它</errorWord>
      <group>L1_Word</group>
      <groupName>字词问题</groupName>
      <ability>L2_Alias</ability>
      <abilityName>也作/曾用词</abilityName>
      <candidateList>
        <item>其他</item>
      </candidateList>
      <explain>词汇[其它]为不规范表述或旧称，其规范书面表述为[其他]。</explain>
      <paraID>479BB254</paraID>
      <start>15</start>
      <end>17</end>
      <status>unmodified</status>
      <modifiedWord/>
      <trackRevisions>false</trackRevisions>
    </reviewItem>
    <reviewItem>
      <errorID>1bc89877-01b5-41d4-82a9-d4a558e0d02f</errorID>
      <errorWord>起</errorWord>
      <group>L1_Word</group>
      <groupName>字词问题</groupName>
      <ability>L2_Typo</ability>
      <abilityName>字词错误</abilityName>
      <candidateList>
        <item>起到</item>
      </candidateList>
      <explain/>
      <paraID>17EC9EA9</paraID>
      <start>58</start>
      <end>59</end>
      <status>unmodified</status>
      <modifiedWord/>
      <trackRevisions>false</trackRevisions>
    </reviewItem>
    <reviewItem>
      <errorID>82c8e41b-c6dc-4930-b13f-5af5e14bed42</errorID>
      <errorWord>烧碱生产装置</errorWord>
      <group>L1_Knowledge</group>
      <groupName>知识性问题</groupName>
      <ability>L2_Term</ability>
      <abilityName>专业术语</abilityName>
      <candidateList>
        <item>苛性钠生产装置</item>
      </candidateList>
      <explain>医学名词[烧碱生产装置]为不规范表述或旧称，其规范书面表述为[苛性钠生产装置]。</explain>
      <paraID>23A9E5F6</paraID>
      <start>212</start>
      <end>218</end>
      <status>unmodified</status>
      <modifiedWord/>
      <trackRevisions>false</trackRevisions>
    </reviewItem>
    <reviewItem>
      <errorID>68057cc3-6a22-4868-b41d-a24ed8e9ccf5</errorID>
      <errorWord>环保</errorWord>
      <group>L1_Word</group>
      <groupName>字词问题</groupName>
      <ability>L2_Typo</ability>
      <abilityName>字词错误</abilityName>
      <candidateList>
        <item>环境</item>
      </candidateList>
      <explain>〈名〉❶周围的地方：～优美｜～卫生。❷周围的情况和条件：客观～｜工作～。</explain>
      <paraID>2113D49C</paraID>
      <start>128</start>
      <end>130</end>
      <status>unmodified</status>
      <modifiedWord/>
      <trackRevisions>false</trackRevisions>
    </reviewItem>
    <reviewItem>
      <errorID>22301f4e-3edc-44e6-b38c-f968309ae873</errorID>
      <errorWord>2025年06月23日</errorWord>
      <group>L1_Knowledge</group>
      <groupName>知识性问题</groupName>
      <ability>L2_Time</ability>
      <abilityName>日期时间</abilityName>
      <candidateList>
        <item>2025年6月23日</item>
      </candidateList>
      <explain>根据日常书写习惯，月份一般会省略前导零。</explain>
      <paraID>3390C9A7</paraID>
      <start>65</start>
      <end>76</end>
      <status>unmodified</status>
      <modifiedWord/>
      <trackRevisions>false</trackRevisions>
    </reviewItem>
    <reviewItem>
      <errorID>7c2e60a3-4f96-4bbd-8f6e-970b1864ed8f</errorID>
      <errorWord>III</errorWord>
      <group>L1_Word</group>
      <groupName>字词问题</groupName>
      <ability>L2_Typo</ability>
      <abilityName>字词错误</abilityName>
      <candidateList>
        <item>Ⅲ</item>
      </candidateList>
      <explain/>
      <paraID> 4E1DA95</paraID>
      <start>0</start>
      <end>3</end>
      <status>unmodified</status>
      <modifiedWord/>
      <trackRevisions>false</trackRevisions>
    </reviewItem>
    <reviewItem>
      <errorID>5b29930d-ff97-49b7-b12c-533d945daa46</errorID>
      <errorWord>III</errorWord>
      <group>L1_Word</group>
      <groupName>字词问题</groupName>
      <ability>L2_Typo</ability>
      <abilityName>字词错误</abilityName>
      <candidateList>
        <item>Ⅲ</item>
      </candidateList>
      <explain/>
      <paraID>22A4DA29</paraID>
      <start>0</start>
      <end>3</end>
      <status>unmodified</status>
      <modifiedWord/>
      <trackRevisions>false</trackRevisions>
    </reviewItem>
    <reviewItem>
      <errorID>4733b5af-3e0a-4059-a931-cf32357a584f</errorID>
      <errorWord>III</errorWord>
      <group>L1_Word</group>
      <groupName>字词问题</groupName>
      <ability>L2_Typo</ability>
      <abilityName>字词错误</abilityName>
      <candidateList>
        <item>Ⅲ</item>
      </candidateList>
      <explain/>
      <paraID> 35FFB10</paraID>
      <start>0</start>
      <end>3</end>
      <status>unmodified</status>
      <modifiedWord/>
      <trackRevisions>false</trackRevisions>
    </reviewItem>
    <reviewItem>
      <errorID>c33411ef-b616-4e4c-81a3-f4dd30134bf0</errorID>
      <errorWord>III</errorWord>
      <group>L1_Word</group>
      <groupName>字词问题</groupName>
      <ability>L2_Typo</ability>
      <abilityName>字词错误</abilityName>
      <candidateList>
        <item>Ⅲ</item>
      </candidateList>
      <explain/>
      <paraID>40CF1A85</paraID>
      <start>0</start>
      <end>3</end>
      <status>unmodified</status>
      <modifiedWord/>
      <trackRevisions>false</trackRevisions>
    </reviewItem>
    <reviewItem>
      <errorID>7797a6f2-b5ef-4a36-aefc-9a1e4eba81ea</errorID>
      <errorWord>III</errorWord>
      <group>L1_Word</group>
      <groupName>字词问题</groupName>
      <ability>L2_Typo</ability>
      <abilityName>字词错误</abilityName>
      <candidateList>
        <item>Ⅲ</item>
      </candidateList>
      <explain/>
      <paraID>26A9AE75</paraID>
      <start>0</start>
      <end>3</end>
      <status>unmodified</status>
      <modifiedWord/>
      <trackRevisions>false</trackRevisions>
    </reviewItem>
    <reviewItem>
      <errorID>f2d420ce-1045-4953-874a-f769264861fc</errorID>
      <errorWord>III</errorWord>
      <group>L1_Word</group>
      <groupName>字词问题</groupName>
      <ability>L2_Typo</ability>
      <abilityName>字词错误</abilityName>
      <candidateList>
        <item>Ⅲ</item>
      </candidateList>
      <explain/>
      <paraID>58CBE3CC</paraID>
      <start>0</start>
      <end>3</end>
      <status>unmodified</status>
      <modifiedWord/>
      <trackRevisions>false</trackRevisions>
    </reviewItem>
    <reviewItem>
      <errorID>b394ae5b-ecc7-4f0e-88ae-d9a1c35b2ff5</errorID>
      <errorWord>III</errorWord>
      <group>L1_Word</group>
      <groupName>字词问题</groupName>
      <ability>L2_Typo</ability>
      <abilityName>字词错误</abilityName>
      <candidateList>
        <item>Ⅲ</item>
      </candidateList>
      <explain/>
      <paraID>42EE2423</paraID>
      <start>0</start>
      <end>3</end>
      <status>unmodified</status>
      <modifiedWord/>
      <trackRevisions>false</trackRevisions>
    </reviewItem>
    <reviewItem>
      <errorID>5140d7cf-87c2-4ce7-8e58-5c907fe62ba4</errorID>
      <errorWord>Cios</errorWord>
      <group>L1_English</group>
      <groupName>英文问题</groupName>
      <ability>L2_Other_Grammar</ability>
      <abilityName>其他语法问题</abilityName>
      <candidateList>
        <item>Cisco</item>
      </candidateList>
      <explain>名词使用不当, 建议将Cios修改为Cisco</explain>
      <paraID>413EC49A</paraID>
      <start>0</start>
      <end>4</end>
      <status>unmodified</status>
      <modifiedWord/>
      <trackRevisions>false</trackRevisions>
    </reviewItem>
    <reviewItem>
      <errorID>4f4a3b2a-7a08-46c0-97d6-482fb5e4639a</errorID>
      <errorWord>III</errorWord>
      <group>L1_Word</group>
      <groupName>字词问题</groupName>
      <ability>L2_Typo</ability>
      <abilityName>字词错误</abilityName>
      <candidateList>
        <item>Ⅲ</item>
      </candidateList>
      <explain/>
      <paraID>2009248F</paraID>
      <start>0</start>
      <end>3</end>
      <status>unmodified</status>
      <modifiedWord/>
      <trackRevisions>false</trackRevisions>
    </reviewItem>
    <reviewItem>
      <errorID>0b4d0044-d599-4ee6-a431-f9b4dadf1701</errorID>
      <errorWord>III</errorWord>
      <group>L1_Word</group>
      <groupName>字词问题</groupName>
      <ability>L2_Typo</ability>
      <abilityName>字词错误</abilityName>
      <candidateList>
        <item>Ⅲ</item>
      </candidateList>
      <explain/>
      <paraID>3AE0F80D</paraID>
      <start>0</start>
      <end>3</end>
      <status>unmodified</status>
      <modifiedWord/>
      <trackRevisions>false</trackRevisions>
    </reviewItem>
    <reviewItem>
      <errorID>178ec2a3-c37a-43fd-b0a8-62e7cb3157b0</errorID>
      <errorWord>III</errorWord>
      <group>L1_Word</group>
      <groupName>字词问题</groupName>
      <ability>L2_Typo</ability>
      <abilityName>字词错误</abilityName>
      <candidateList>
        <item>Ⅲ</item>
      </candidateList>
      <explain/>
      <paraID>502C952E</paraID>
      <start>0</start>
      <end>3</end>
      <status>unmodified</status>
      <modifiedWord/>
      <trackRevisions>false</trackRevisions>
    </reviewItem>
    <reviewItem>
      <errorID>f0791474-0f62-4a7b-b7a2-49b7806a01a1</errorID>
      <errorWord>III</errorWord>
      <group>L1_Word</group>
      <groupName>字词问题</groupName>
      <ability>L2_Typo</ability>
      <abilityName>字词错误</abilityName>
      <candidateList>
        <item>Ⅲ</item>
      </candidateList>
      <explain/>
      <paraID>79387DB1</paraID>
      <start>0</start>
      <end>3</end>
      <status>unmodified</status>
      <modifiedWord/>
      <trackRevisions>false</trackRevisions>
    </reviewItem>
    <reviewItem>
      <errorID>8d385f7e-aee8-4eeb-b5bc-2404a8f2aa5f</errorID>
      <errorWord>III</errorWord>
      <group>L1_Word</group>
      <groupName>字词问题</groupName>
      <ability>L2_Typo</ability>
      <abilityName>字词错误</abilityName>
      <candidateList>
        <item>Ⅲ</item>
      </candidateList>
      <explain/>
      <paraID>15251D28</paraID>
      <start>0</start>
      <end>3</end>
      <status>unmodified</status>
      <modifiedWord/>
      <trackRevisions>false</trackRevisions>
    </reviewItem>
    <reviewItem>
      <errorID>bb77be28-6e50-4e63-9860-e3a5b6283930</errorID>
      <errorWord>III</errorWord>
      <group>L1_Word</group>
      <groupName>字词问题</groupName>
      <ability>L2_Typo</ability>
      <abilityName>字词错误</abilityName>
      <candidateList>
        <item>Ⅲ</item>
      </candidateList>
      <explain/>
      <paraID>41FDACF7</paraID>
      <start>0</start>
      <end>3</end>
      <status>unmodified</status>
      <modifiedWord/>
      <trackRevisions>false</trackRevisions>
    </reviewItem>
    <reviewItem>
      <errorID>cc978e15-bcac-4524-a327-ecdaee1d4a0d</errorID>
      <errorWord>III</errorWord>
      <group>L1_Word</group>
      <groupName>字词问题</groupName>
      <ability>L2_Typo</ability>
      <abilityName>字词错误</abilityName>
      <candidateList>
        <item>Ⅲ</item>
      </candidateList>
      <explain/>
      <paraID>670FF56F</paraID>
      <start>0</start>
      <end>3</end>
      <status>unmodified</status>
      <modifiedWord/>
      <trackRevisions>false</trackRevisions>
    </reviewItem>
    <reviewItem>
      <errorID>03fea25b-1d2c-4683-91cd-577a56d3423d</errorID>
      <errorWord>III</errorWord>
      <group>L1_Word</group>
      <groupName>字词问题</groupName>
      <ability>L2_Typo</ability>
      <abilityName>字词错误</abilityName>
      <candidateList>
        <item>Ⅲ</item>
      </candidateList>
      <explain/>
      <paraID>4FA26C42</paraID>
      <start>0</start>
      <end>3</end>
      <status>unmodified</status>
      <modifiedWord/>
      <trackRevisions>false</trackRevisions>
    </reviewItem>
    <reviewItem>
      <errorID>85570d3b-a462-461b-b084-0ef19e9b9eaf</errorID>
      <errorWord>MobiEye</errorWord>
      <group>L1_English</group>
      <groupName>英文问题</groupName>
      <ability>L2_Spell</ability>
      <abilityName>拼写问题</abilityName>
      <candidateList>
        <item>Mobike</item>
      </candidateList>
      <explain>疑似单词拼写有误，建议将MobiEye修改为Mobike</explain>
      <paraID>5867B167</paraID>
      <start>0</start>
      <end>7</end>
      <status>unmodified</status>
      <modifiedWord/>
      <trackRevisions>false</trackRevisions>
    </reviewItem>
    <reviewItem>
      <errorID>e96868b3-2a6b-402f-a70b-5e826976e89d</errorID>
      <errorWord>III</errorWord>
      <group>L1_Word</group>
      <groupName>字词问题</groupName>
      <ability>L2_Typo</ability>
      <abilityName>字词错误</abilityName>
      <candidateList>
        <item>Ⅲ</item>
      </candidateList>
      <explain/>
      <paraID>1D0DB19C</paraID>
      <start>0</start>
      <end>3</end>
      <status>unmodified</status>
      <modifiedWord/>
      <trackRevisions>false</trackRevisions>
    </reviewItem>
    <reviewItem>
      <errorID>646837c9-e353-4d13-8fb1-424fb68a2fc3</errorID>
      <errorWord>III</errorWord>
      <group>L1_Word</group>
      <groupName>字词问题</groupName>
      <ability>L2_Typo</ability>
      <abilityName>字词错误</abilityName>
      <candidateList>
        <item>Ⅲ</item>
      </candidateList>
      <explain/>
      <paraID>25C56BC1</paraID>
      <start>0</start>
      <end>3</end>
      <status>unmodified</status>
      <modifiedWord/>
      <trackRevisions>false</trackRevisions>
    </reviewItem>
    <reviewItem>
      <errorID>4d87d578-be9e-419d-926d-ace93cb461d8</errorID>
      <errorWord>）</errorWord>
      <group>L1_Punc</group>
      <groupName>标点问题</groupName>
      <ability>L2_Punc_CN</ability>
      <abilityName/>
      <candidateList/>
      <explain>此处标点可能未正确匹配，请检查句子中是否存在标点冗余、缺失或使用错误的情况。</explain>
      <paraID>737C49E0</paraID>
      <start>13</start>
      <end>14</end>
      <status>unmodified</status>
      <modifiedWord/>
      <trackRevisions>false</trackRevisions>
    </reviewItem>
    <reviewItem>
      <errorID>5281e8e4-ce47-48e0-8c30-f3ce306034f2</errorID>
      <errorWord>III</errorWord>
      <group>L1_Word</group>
      <groupName>字词问题</groupName>
      <ability>L2_Typo</ability>
      <abilityName>字词错误</abilityName>
      <candidateList>
        <item>Ⅲ</item>
      </candidateList>
      <explain/>
      <paraID>4822738D</paraID>
      <start>0</start>
      <end>3</end>
      <status>unmodified</status>
      <modifiedWord/>
      <trackRevisions>false</trackRevisions>
    </reviewItem>
    <reviewItem>
      <errorID>792cef00-6282-4f12-83cf-f1a221838109</errorID>
      <errorWord>III</errorWord>
      <group>L1_Word</group>
      <groupName>字词问题</groupName>
      <ability>L2_Typo</ability>
      <abilityName>字词错误</abilityName>
      <candidateList>
        <item>Ⅲ</item>
      </candidateList>
      <explain/>
      <paraID>78399459</paraID>
      <start>0</start>
      <end>3</end>
      <status>unmodified</status>
      <modifiedWord/>
      <trackRevisions>false</trackRevisions>
    </reviewItem>
    <reviewItem>
      <errorID>e1bfd029-3ee5-4e81-bd64-df7637e248e3</errorID>
      <errorWord>III</errorWord>
      <group>L1_Word</group>
      <groupName>字词问题</groupName>
      <ability>L2_Typo</ability>
      <abilityName>字词错误</abilityName>
      <candidateList>
        <item>Ⅲ</item>
      </candidateList>
      <explain/>
      <paraID>7228AA29</paraID>
      <start>0</start>
      <end>3</end>
      <status>unmodified</status>
      <modifiedWord/>
      <trackRevisions>false</trackRevisions>
    </reviewItem>
    <reviewItem>
      <errorID>3a23da22-80a1-4d83-8148-b2f0e8b8bac0</errorID>
      <errorWord>zee IIIceiling</errorWord>
      <group>L1_English</group>
      <groupName>英文问题</groupName>
      <ability>L2_Other_Grammar</ability>
      <abilityName>其他语法问题</abilityName>
      <candidateList>
        <item>Zee III ceiling</item>
      </candidateList>
      <explain>疑似单词/词组使用不当, 建议将zee IIIceiling修改为Zee III ceiling</explain>
      <paraID>189A5E07</paraID>
      <start>6</start>
      <end>20</end>
      <status>unmodified</status>
      <modifiedWord/>
      <trackRevisions>false</trackRevisions>
    </reviewItem>
    <reviewItem>
      <errorID>b2e3584b-51ef-4492-a96a-4d27e2d138fe</errorID>
      <errorWord>zee</errorWord>
      <group>L1_English</group>
      <groupName>英文问题</groupName>
      <ability>L2_Case</ability>
      <abilityName>大小写问题</abilityName>
      <candidateList>
        <item>Zee</item>
      </candidateList>
      <explain>疑似单词大小写错误，建议将zee修改为Zee</explain>
      <paraID> B3E99FA</paraID>
      <start>6</start>
      <end>9</end>
      <status>unmodified</status>
      <modifiedWord/>
      <trackRevisions>false</trackRevisions>
    </reviewItem>
    <reviewItem>
      <errorID>28e2d953-a538-420f-abd3-b40ec767d9aa</errorID>
      <errorWord>zee</errorWord>
      <group>L1_English</group>
      <groupName>英文问题</groupName>
      <ability>L2_Case</ability>
      <abilityName>大小写问题</abilityName>
      <candidateList>
        <item>Zee</item>
      </candidateList>
      <explain>疑似单词大小写错误，建议将zee修改为Zee</explain>
      <paraID> 83B3890</paraID>
      <start>6</start>
      <end>9</end>
      <status>unmodified</status>
      <modifiedWord/>
      <trackRevisions>false</trackRevisions>
    </reviewItem>
    <reviewItem>
      <errorID>2703f9d6-d403-45a5-bd9f-2cdd4b6da54b</errorID>
      <errorWord>III</errorWord>
      <group>L1_Word</group>
      <groupName>字词问题</groupName>
      <ability>L2_Typo</ability>
      <abilityName>字词错误</abilityName>
      <candidateList>
        <item>Ⅲ</item>
      </candidateList>
      <explain/>
      <paraID>3ABD5AA6</paraID>
      <start>0</start>
      <end>3</end>
      <status>unmodified</status>
      <modifiedWord/>
      <trackRevisions>false</trackRevisions>
    </reviewItem>
    <reviewItem>
      <errorID>f6ff8fd5-a738-4d24-bf5f-f3ed1225e946</errorID>
      <errorWord>个人剂量检测</errorWord>
      <group>L1_Knowledge</group>
      <groupName>知识性问题</groupName>
      <ability>L2_Term</ability>
      <abilityName>专业术语</abilityName>
      <candidateList>
        <item>个人剂量监测</item>
      </candidateList>
      <explain/>
      <paraID> 1F1524C</paraID>
      <start>3</start>
      <end>9</end>
      <status>unmodified</status>
      <modifiedWord/>
      <trackRevisions>false</trackRevisions>
    </reviewItem>
    <reviewItem>
      <errorID>c61d74fc-5a99-4a34-ad82-36d75cba52f6</errorID>
      <errorWord>个人剂量检测</errorWord>
      <group>L1_Knowledge</group>
      <groupName>知识性问题</groupName>
      <ability>L2_Term</ability>
      <abilityName>专业术语</abilityName>
      <candidateList>
        <item>个人剂量监测</item>
      </candidateList>
      <explain/>
      <paraID>21EEF04C</paraID>
      <start>92</start>
      <end>98</end>
      <status>unmodified</status>
      <modifiedWord/>
      <trackRevisions>false</trackRevisions>
    </reviewItem>
    <reviewItem>
      <errorID>fa12f24e-8cf6-45aa-9525-72daa21579d3</errorID>
      <errorWord>)</errorWord>
      <group>L1_Format</group>
      <groupName>格式问题</groupName>
      <ability>L2_HalfPunc_CN</ability>
      <abilityName/>
      <candidateList>
        <item>）</item>
      </candidateList>
      <explain>文本全半角错误。</explain>
      <paraID>1D3FB65A</paraID>
      <start>6</start>
      <end>7</end>
      <status>unmodified</status>
      <modifiedWord/>
      <trackRevisions>false</trackRevisions>
    </reviewItem>
    <reviewItem>
      <errorID>b7278984-bbf4-40ce-bb4c-9d3ae0dfe15c</errorID>
      <errorWord>完</errorWord>
      <group>L1_Word</group>
      <groupName>字词问题</groupName>
      <ability>L2_Typo</ability>
      <abilityName>字词错误</abilityName>
      <candidateList>
        <item>完成</item>
      </candidateList>
      <explain>〈动〉按照预期的目的结束；做成：～任务｜～作业｜计划完得成。</explain>
      <paraID>2174091F</paraID>
      <start>17</start>
      <end>18</end>
      <status>unmodified</status>
      <modifiedWord/>
      <trackRevisions>false</trackRevisions>
    </reviewItem>
    <reviewItem>
      <errorID>46387f1e-2f96-4edb-b57d-26def1ef674a</errorID>
      <errorWord>（</errorWord>
      <group>L1_Format</group>
      <groupName>格式问题</groupName>
      <ability>L2_HalfPunc_CN</ability>
      <abilityName/>
      <candidateList>
        <item>(</item>
      </candidateList>
      <explain>文本全半角错误。</explain>
      <paraID>76703BBA</paraID>
      <start>0</start>
      <end>1</end>
      <status>unmodified</status>
      <modifiedWord/>
      <trackRevisions>false</trackRevisions>
    </reviewItem>
    <reviewItem>
      <errorID>565137ef-213a-48dd-ad00-c69cf1d9f497</errorID>
      <errorWord>）</errorWord>
      <group>L1_Format</group>
      <groupName>格式问题</groupName>
      <ability>L2_HalfPunc_CN</ability>
      <abilityName/>
      <candidateList>
        <item>)</item>
      </candidateList>
      <explain>文本全半角错误。</explain>
      <paraID>76703BBA</paraID>
      <start>3</start>
      <end>4</end>
      <status>unmodified</status>
      <modifiedWord/>
      <trackRevisions>false</trackRevisions>
    </reviewItem>
    <reviewItem>
      <errorID>29ea29ce-b2d4-4c6c-855f-4fc47e90d0bf</errorID>
      <errorWord>（</errorWord>
      <group>L1_Format</group>
      <groupName>格式问题</groupName>
      <ability>L2_HalfPunc_CN</ability>
      <abilityName/>
      <candidateList>
        <item>(</item>
      </candidateList>
      <explain>文本全半角错误。</explain>
      <paraID>65277D93</paraID>
      <start>0</start>
      <end>1</end>
      <status>unmodified</status>
      <modifiedWord/>
      <trackRevisions>false</trackRevisions>
    </reviewItem>
    <reviewItem>
      <errorID>e74bdfc6-5398-460a-90e1-cec41124a6bf</errorID>
      <errorWord>）</errorWord>
      <group>L1_Format</group>
      <groupName>格式问题</groupName>
      <ability>L2_HalfPunc_CN</ability>
      <abilityName/>
      <candidateList>
        <item>)</item>
      </candidateList>
      <explain>文本全半角错误。</explain>
      <paraID>65277D93</paraID>
      <start>3</start>
      <end>4</end>
      <status>unmodified</status>
      <modifiedWord/>
      <trackRevisions>false</trackRevisions>
    </reviewItem>
    <reviewItem>
      <errorID>fe7a3726-f0ca-4e78-ac74-be5838c2c824</errorID>
      <errorWord>、、</errorWord>
      <group>L1_Punc</group>
      <groupName>标点问题</groupName>
      <ability>L2_Punc_CN</ability>
      <abilityName/>
      <candidateList>
        <item>、</item>
      </candidateList>
      <explain/>
      <paraID>283C9DEE</paraID>
      <start>9</start>
      <end>11</end>
      <status>unmodified</status>
      <modifiedWord/>
      <trackRevisions>false</trackRevisions>
    </reviewItem>
    <reviewItem>
      <errorID>29db3406-3817-4164-9748-bc08658aad20</errorID>
      <errorWord>（</errorWord>
      <group>L1_Punc</group>
      <groupName>标点问题</groupName>
      <ability>L2_Punc_CN</ability>
      <abilityName/>
      <candidateList/>
      <explain>此处标点可能未正确匹配，请检查句子中是否存在标点冗余、缺失或使用错误的情况。</explain>
      <paraID>6766B5EE</paraID>
      <start>24</start>
      <end>25</end>
      <status>unmodified</status>
      <modifiedWord/>
      <trackRevisions>false</trackRevisions>
    </reviewItem>
    <reviewItem>
      <errorID>335ec86a-f8d9-45cc-9c99-2ff6a225fc63</errorID>
      <errorWord>放射性同位素与射线装置安全和防护管理办法</errorWord>
      <group>L1_Knowledge</group>
      <groupName>知识性问题</groupName>
      <ability>L2_Knowledge</ability>
      <abilityName>其他知识</abilityName>
      <candidateList/>
      <explain>当前法律法规未收录或尚未生效，注意核查是否正确。</explain>
      <paraID>6A5E509D</paraID>
      <start>4</start>
      <end>24</end>
      <status>unmodified</status>
      <modifiedWord/>
      <trackRevisions>false</trackRevisions>
    </reviewItem>
    <reviewItem>
      <errorID>7e3327c4-7e6b-4054-8510-63c8338b93b0</errorID>
      <errorWord>&lt;</errorWord>
      <group>L1_Format</group>
      <groupName>格式问题</groupName>
      <ability>L2_HalfPunc_CN</ability>
      <abilityName/>
      <candidateList>
        <item>〈</item>
      </candidateList>
      <explain>文本全半角错误。</explain>
      <paraID>3CA30CB9</paraID>
      <start>9</start>
      <end>10</end>
      <status>unmodified</status>
      <modifiedWord/>
      <trackRevisions>false</trackRevisions>
    </reviewItem>
    <reviewItem>
      <errorID>03c0f6fb-c132-4564-b84f-b4c8da5ee6af</errorID>
      <errorWord>&gt;</errorWord>
      <group>L1_Format</group>
      <groupName>格式问题</groupName>
      <ability>L2_HalfPunc_CN</ability>
      <abilityName/>
      <candidateList>
        <item>〉</item>
      </candidateList>
      <explain>文本全半角错误。</explain>
      <paraID>3CA30CB9</paraID>
      <start>17</start>
      <end>18</end>
      <status>unmodified</status>
      <modifiedWord/>
      <trackRevisions>false</trackRevisions>
    </reviewItem>
    <reviewItem>
      <errorID>64686882-f47a-46bd-9ba6-b5d9eedd62fb</errorID>
      <errorWord>&lt;</errorWord>
      <group>L1_Format</group>
      <groupName>格式问题</groupName>
      <ability>L2_HalfPunc_CN</ability>
      <abilityName/>
      <candidateList>
        <item>〈</item>
      </candidateList>
      <explain>文本全半角错误。</explain>
      <paraID>562BE647</paraID>
      <start>9</start>
      <end>10</end>
      <status>unmodified</status>
      <modifiedWord/>
      <trackRevisions>false</trackRevisions>
    </reviewItem>
    <reviewItem>
      <errorID>4f62a641-4821-461f-80ef-f711a3cc8b90</errorID>
      <errorWord>&gt;</errorWord>
      <group>L1_Format</group>
      <groupName>格式问题</groupName>
      <ability>L2_HalfPunc_CN</ability>
      <abilityName/>
      <candidateList>
        <item>〉</item>
      </candidateList>
      <explain>文本全半角错误。</explain>
      <paraID>562BE647</paraID>
      <start>17</start>
      <end>18</end>
      <status>unmodified</status>
      <modifiedWord/>
      <trackRevisions>false</trackRevisions>
    </reviewItem>
    <reviewItem>
      <errorID>20512019-5e97-49b0-ba67-61ec84bbdb9c</errorID>
      <errorWord>（</errorWord>
      <group>L1_Punc</group>
      <groupName>标点问题</groupName>
      <ability>L2_Punc_CN</ability>
      <abilityName/>
      <candidateList/>
      <explain>此处标点可能未正确匹配，请检查句子中是否存在标点冗余、缺失或使用错误的情况。</explain>
      <paraID>1D94B417</paraID>
      <start>24</start>
      <end>25</end>
      <status>unmodified</status>
      <modifiedWord/>
      <trackRevisions>false</trackRevisions>
    </reviewItem>
    <reviewItem>
      <errorID>ba91d467-73d6-4cf3-b957-cf8b6c3d56fd</errorID>
      <errorWord>2023年12月37日</errorWord>
      <group>L1_Knowledge</group>
      <groupName>知识性问题</groupName>
      <ability>L2_Time</ability>
      <abilityName>日期时间</abilityName>
      <candidateList/>
      <explain>日期数值过大。</explain>
      <paraID>1D94B417</paraID>
      <start>25</start>
      <end>36</end>
      <status>unmodified</status>
      <modifiedWord/>
      <trackRevisions>false</trackRevisions>
    </reviewItem>
    <reviewItem>
      <errorID>ff619616-5f78-4b2f-8810-f6930da6548c</errorID>
      <errorWord>[2017]4号</errorWord>
      <group>L1_Knowledge</group>
      <groupName>知识性问题</groupName>
      <ability>L2_Knowledge</ability>
      <abilityName>其他知识</abilityName>
      <candidateList>
        <item>〔2017〕4号</item>
      </candidateList>
      <explain>发文字号格式错误。</explain>
      <paraID>57007F36</paraID>
      <start>28</start>
      <end>36</end>
      <status>unmodified</status>
      <modifiedWord/>
      <trackRevisions>false</trackRevisions>
    </reviewItem>
    <reviewItem>
      <errorID>f9d20d21-b396-4a81-a8e2-d1136460fb6c</errorID>
      <errorWord>[2006]145号</errorWord>
      <group>L1_Knowledge</group>
      <groupName>知识性问题</groupName>
      <ability>L2_Knowledge</ability>
      <abilityName>其他知识</abilityName>
      <candidateList>
        <item>〔2006〕145号</item>
      </candidateList>
      <explain>发文字号格式错误。</explain>
      <paraID>491D0E16</paraID>
      <start>40</start>
      <end>50</end>
      <status>unmodified</status>
      <modifiedWord/>
      <trackRevisions>false</trackRevisions>
    </reviewItem>
    <reviewItem>
      <errorID>63fd99a7-3211-45ab-b0ae-9c5efa9732fc</errorID>
      <errorWord>核</errorWord>
      <group>L1_Word</group>
      <groupName>字词问题</groupName>
      <ability>L2_Typo</ability>
      <abilityName>字词错误</abilityName>
      <candidateList>
        <item>和</item>
      </candidateList>
      <explain>〈量〉用于洗东西换水的次数或一剂药煎的次数：衣裳已经洗了三～｜二～药。</explain>
      <paraID>7316CC5A</paraID>
      <start>24</start>
      <end>25</end>
      <status>unmodified</status>
      <modifiedWord/>
      <trackRevisions>false</trackRevisions>
    </reviewItem>
    <reviewItem>
      <errorID>441fdd8f-5108-4259-baef-10f5bcf126da</errorID>
      <errorWord>其它</errorWord>
      <group>L1_Word</group>
      <groupName>字词问题</groupName>
      <ability>L2_Alias</ability>
      <abilityName>也作/曾用词</abilityName>
      <candidateList>
        <item>其他</item>
      </candidateList>
      <explain>词汇[其它]为不规范表述或旧称，其规范书面表述为[其他]。</explain>
      <paraID>7F8693BE</paraID>
      <start>8</start>
      <end>10</end>
      <status>unmodified</status>
      <modifiedWord/>
      <trackRevisions>false</trackRevisions>
    </reviewItem>
    <reviewItem>
      <errorID>1700ca79-ccd3-4920-b963-d6ac89a6af39</errorID>
      <errorWord>)</errorWord>
      <group>L1_Format</group>
      <groupName>格式问题</groupName>
      <ability>L2_HalfPunc_CN</ability>
      <abilityName/>
      <candidateList>
        <item>）</item>
      </candidateList>
      <explain>文本全半角错误。</explain>
      <paraID> 20F2C87</paraID>
      <start>53</start>
      <end>54</end>
      <status>unmodified</status>
      <modifiedWord/>
      <trackRevisions>false</trackRevisions>
    </reviewItem>
    <reviewItem>
      <errorID>458209ce-eb8c-4222-963a-50a3eacc80de</errorID>
      <errorWord>、以及</errorWord>
      <group>L1_Punc</group>
      <groupName>标点问题</groupName>
      <ability>L2_Punc_CN</ability>
      <abilityName/>
      <candidateList>
        <item>，以及</item>
      </candidateList>
      <explain>连接词前后不宜使用顿号，建议使用逗号。</explain>
      <paraID>56588302</paraID>
      <start>9</start>
      <end>12</end>
      <status>unmodified</status>
      <modifiedWord/>
      <trackRevisions>false</trackRevisions>
    </reviewItem>
    <reviewItem>
      <errorID>67c4d589-e276-476b-90ac-ac9402b7a1ca</errorID>
      <errorWord>工众</errorWord>
      <group>L1_Word</group>
      <groupName>字词问题</groupName>
      <ability>L2_Typo</ability>
      <abilityName>字词错误</abilityName>
      <candidateList>
        <item>公众</item>
      </candidateList>
      <explain>存在发音相同字词的误用。</explain>
      <paraID>6E832DC1</paraID>
      <start>10</start>
      <end>12</end>
      <status>unmodified</status>
      <modifiedWord/>
      <trackRevisions>false</trackRevisions>
    </reviewItem>
    <reviewItem>
      <errorID>279537c7-9d57-4911-a71d-e5e91dcefb7a</errorID>
      <errorWord>；</errorWord>
      <group>L1_Format</group>
      <groupName>格式问题</groupName>
      <ability>L2_HalfPunc_CN</ability>
      <abilityName/>
      <candidateList>
        <item>;</item>
      </candidateList>
      <explain>文本全半角错误。</explain>
      <paraID>1AD562BB</paraID>
      <start>5</start>
      <end>6</end>
      <status>unmodified</status>
      <modifiedWord/>
      <trackRevisions>false</trackRevisions>
    </reviewItem>
    <reviewItem>
      <errorID>3cd24c7a-8aaa-4b05-9211-999a285e1a81</errorID>
      <errorWord>＞</errorWord>
      <group>L1_Format</group>
      <groupName>格式问题</groupName>
      <ability>L2_HalfPunc_CN</ability>
      <abilityName/>
      <candidateList>
        <item>&gt;</item>
      </candidateList>
      <explain>文本全半角错误。</explain>
      <paraID>1C9B53F5</paraID>
      <start>0</start>
      <end>1</end>
      <status>unmodified</status>
      <modifiedWord/>
      <trackRevisions>false</trackRevisions>
    </reviewItem>
    <reviewItem>
      <errorID>02d6a4c1-c1c1-48b6-8064-53305bbdf466</errorID>
      <errorWord>~</errorWord>
      <group>L1_Format</group>
      <groupName>格式问题</groupName>
      <ability>L2_HalfPunc_CN</ability>
      <abilityName/>
      <candidateList>
        <item>～</item>
      </candidateList>
      <explain>文本全半角错误。</explain>
      <paraID> 6668BB3</paraID>
      <start>7</start>
      <end>8</end>
      <status>unmodified</status>
      <modifiedWord/>
      <trackRevisions>false</trackRevisions>
    </reviewItem>
    <reviewItem>
      <errorID>6375290e-f64d-41f0-a3a5-0dca6124ee9b</errorID>
      <errorWord>曝露</errorWord>
      <group>L1_Word</group>
      <groupName>字词问题</groupName>
      <ability>L2_Typo</ability>
      <abilityName>字词错误</abilityName>
      <candidateList>
        <item>暴露</item>
      </candidateList>
      <explain>〈动〉（隐蔽的事物、缺陷、矛盾、问题等）显露出来：～目标｜～无遗。</explain>
      <paraID>7295550F</paraID>
      <start>11</start>
      <end>13</end>
      <status>unmodified</status>
      <modifiedWord/>
      <trackRevisions>false</trackRevisions>
    </reviewItem>
    <reviewItem>
      <errorID>dac20159-383b-489c-a1ff-ab922648e894</errorID>
      <errorWord>[2023]</errorWord>
      <group>L1_Punc</group>
      <groupName>标点问题</groupName>
      <ability>L2_Punc_CN</ability>
      <abilityName/>
      <candidateList>
        <item>〔2023〕</item>
      </candidateList>
      <explain/>
      <paraID> 7E62BD1</paraID>
      <start>24</start>
      <end>30</end>
      <status>unmodified</status>
      <modifiedWord/>
      <trackRevisions>false</trackRevisions>
    </reviewItem>
    <reviewItem>
      <errorID>5bffbee3-e76e-4c74-99ea-94e6aaf29bfb</errorID>
      <errorWord>)</errorWord>
      <group>L1_Format</group>
      <groupName>格式问题</groupName>
      <ability>L2_HalfPunc_CN</ability>
      <abilityName/>
      <candidateList>
        <item>）</item>
      </candidateList>
      <explain>文本全半角错误。</explain>
      <paraID>242BABD2</paraID>
      <start>82</start>
      <end>83</end>
      <status>unmodified</status>
      <modifiedWord/>
      <trackRevisions>false</trackRevisions>
    </reviewItem>
    <reviewItem>
      <errorID>9d43e051-f381-470f-8386-bc802f1a7ee3</errorID>
      <errorWord>:</errorWord>
      <group>L1_Format</group>
      <groupName>格式问题</groupName>
      <ability>L2_HalfPunc_CN</ability>
      <abilityName/>
      <candidateList>
        <item>：</item>
      </candidateList>
      <explain>文本全半角错误。</explain>
      <paraID> F00EC56</paraID>
      <start>16</start>
      <end>17</end>
      <status>unmodified</status>
      <modifiedWord/>
      <trackRevisions>false</trackRevisions>
    </reviewItem>
    <reviewItem>
      <errorID>412aba75-c8fc-4268-8e6e-571850bac1b2</errorID>
      <errorWord>,</errorWord>
      <group>L1_Format</group>
      <groupName>格式问题</groupName>
      <ability>L2_HalfPunc_CN</ability>
      <abilityName/>
      <candidateList>
        <item>，</item>
      </candidateList>
      <explain>文本全半角错误。</explain>
      <paraID>3177684C</paraID>
      <start>99</start>
      <end>100</end>
      <status>unmodified</status>
      <modifiedWord/>
      <trackRevisions>false</trackRevisions>
    </reviewItem>
    <reviewItem>
      <errorID>08beb692-d57c-4336-a53c-40a06ddfe939</errorID>
      <errorWord>:</errorWord>
      <group>L1_Format</group>
      <groupName>格式问题</groupName>
      <ability>L2_HalfPunc_CN</ability>
      <abilityName/>
      <candidateList>
        <item>：</item>
      </candidateList>
      <explain>文本全半角错误。</explain>
      <paraID>231577DB</paraID>
      <start>9</start>
      <end>10</end>
      <status>unmodified</status>
      <modifiedWord/>
      <trackRevisions>false</trackRevisions>
    </reviewItem>
    <reviewItem>
      <errorID>70ced80f-bf1c-4e9d-a950-0cdc4d222a14</errorID>
      <errorWord>:</errorWord>
      <group>L1_Format</group>
      <groupName>格式问题</groupName>
      <ability>L2_HalfPunc_CN</ability>
      <abilityName/>
      <candidateList>
        <item>：</item>
      </candidateList>
      <explain>文本全半角错误。</explain>
      <paraID> 9A3D398</paraID>
      <start>10</start>
      <end>11</end>
      <status>unmodified</status>
      <modifiedWord/>
      <trackRevisions>false</trackRevisions>
    </reviewItem>
    <reviewItem>
      <errorID>f130a961-fcba-475f-8105-8619e834ec71</errorID>
      <errorWord>:</errorWord>
      <group>L1_Format</group>
      <groupName>格式问题</groupName>
      <ability>L2_HalfPunc_CN</ability>
      <abilityName/>
      <candidateList>
        <item>：</item>
      </candidateList>
      <explain>文本全半角错误。</explain>
      <paraID>6CF9292F</paraID>
      <start>59</start>
      <end>60</end>
      <status>unmodified</status>
      <modifiedWord/>
      <trackRevisions>false</trackRevisions>
    </reviewItem>
    <reviewItem>
      <errorID>7c95c11c-28f5-4d79-bd1e-573aa9cbba12</errorID>
      <errorWord>:</errorWord>
      <group>L1_Format</group>
      <groupName>格式问题</groupName>
      <ability>L2_HalfPunc_CN</ability>
      <abilityName/>
      <candidateList>
        <item>：</item>
      </candidateList>
      <explain>文本全半角错误。</explain>
      <paraID>2DADEE68</paraID>
      <start>14</start>
      <end>15</end>
      <status>unmodified</status>
      <modifiedWord/>
      <trackRevisions>false</trackRevisions>
    </reviewItem>
    <reviewItem>
      <errorID>3968ab63-dbcb-45d9-b84f-fc16301edcfa</errorID>
      <errorWord>:</errorWord>
      <group>L1_Format</group>
      <groupName>格式问题</groupName>
      <ability>L2_HalfPunc_CN</ability>
      <abilityName/>
      <candidateList>
        <item>：</item>
      </candidateList>
      <explain>文本全半角错误。</explain>
      <paraID> 49FC8DA</paraID>
      <start>14</start>
      <end>15</end>
      <status>unmodified</status>
      <modifiedWord/>
      <trackRevisions>false</trackRevisions>
    </reviewItem>
    <reviewItem>
      <errorID>e6513f67-0d0c-46bf-b5a3-a623f3a1af6d</errorID>
      <errorWord>）</errorWord>
      <group>L1_Punc</group>
      <groupName>标点问题</groupName>
      <ability>L2_Punc_CN</ability>
      <abilityName/>
      <candidateList/>
      <explain>此处标点可能未正确匹配，请检查句子中是否存在标点冗余、缺失或使用错误的情况。</explain>
      <paraID> 6E863B4</paraID>
      <start>75</start>
      <end>76</end>
      <status>unmodified</status>
      <modifiedWord/>
      <trackRevisions>false</trackRevisions>
    </reviewItem>
    <reviewItem>
      <errorID>48908b79-26f7-4cdb-b836-b1915b6dca80</errorID>
      <errorWord>)</errorWord>
      <group>L1_Format</group>
      <groupName>格式问题</groupName>
      <ability>L2_HalfPunc_CN</ability>
      <abilityName/>
      <candidateList>
        <item>）</item>
      </candidateList>
      <explain>文本全半角错误。</explain>
      <paraID> C9A50FF</paraID>
      <start>62</start>
      <end>63</end>
      <status>unmodified</status>
      <modifiedWord/>
      <trackRevisions>false</trackRevisions>
    </reviewItem>
    <reviewItem>
      <errorID>ab596e00-364c-4a27-a6b1-b2efcea09870</errorID>
      <errorWord>(</errorWord>
      <group>L1_Format</group>
      <groupName>格式问题</groupName>
      <ability>L2_HalfPunc_CN</ability>
      <abilityName/>
      <candidateList>
        <item>（</item>
      </candidateList>
      <explain>文本全半角错误。</explain>
      <paraID>421C7C9D</paraID>
      <start>14</start>
      <end>15</end>
      <status>unmodified</status>
      <modifiedWord/>
      <trackRevisions>false</trackRevisions>
    </reviewItem>
    <reviewItem>
      <errorID>2f5b77b9-a274-44bc-b9a6-0a23ca3a6bfb</errorID>
      <errorWord>)</errorWord>
      <group>L1_Format</group>
      <groupName>格式问题</groupName>
      <ability>L2_HalfPunc_CN</ability>
      <abilityName/>
      <candidateList>
        <item>）</item>
      </candidateList>
      <explain>文本全半角错误。</explain>
      <paraID>421C7C9D</paraID>
      <start>32</start>
      <end>33</end>
      <status>unmodified</status>
      <modifiedWord/>
      <trackRevisions>false</trackRevisions>
    </reviewItem>
    <reviewItem>
      <errorID>2af3200b-9a56-478e-abaa-6923cda8b967</errorID>
      <errorWord>观察到</errorWord>
      <group>L1_Word</group>
      <groupName>字词问题</groupName>
      <ability>L2_Typo</ability>
      <abilityName>字词错误</abilityName>
      <candidateList>
        <item>观察</item>
      </candidateList>
      <explain>〈动〉仔细察看（事物或现象）：～地形｜～动静｜～问题。</explain>
      <paraID>15582ACC</paraID>
      <start>30</start>
      <end>33</end>
      <status>unmodified</status>
      <modifiedWord/>
      <trackRevisions>false</trackRevisions>
    </reviewItem>
    <reviewItem>
      <errorID>a0ab8268-ef12-43e2-b4c6-455e919d4a44</errorID>
      <errorWord>防护用品好</errorWord>
      <group>L1_Word</group>
      <groupName>字词问题</groupName>
      <ability>L2_Typo</ability>
      <abilityName>字词错误</abilityName>
      <candidateList>
        <item>防护用品</item>
      </candidateList>
      <explain/>
      <paraID>3FB5E97F</paraID>
      <start>12</start>
      <end>17</end>
      <status>unmodified</status>
      <modifiedWord/>
      <trackRevisions>false</trackRevisions>
    </reviewItem>
    <reviewItem>
      <errorID>9e6b22cf-8cf5-4043-ae13-5d326bf29d16</errorID>
      <errorWord>～</errorWord>
      <group>L1_Format</group>
      <groupName>格式问题</groupName>
      <ability>L2_HalfPunc_CN</ability>
      <abilityName/>
      <candidateList>
        <item>~</item>
      </candidateList>
      <explain>文本全半角错误。</explain>
      <paraID>280BF15C</paraID>
      <start>5</start>
      <end>6</end>
      <status>unmodified</status>
      <modifiedWord/>
      <trackRevisions>false</trackRevisions>
    </reviewItem>
    <reviewItem>
      <errorID>44761a25-e660-4441-a2ad-98df7ab42c25</errorID>
      <errorWord>检定证书</errorWord>
      <group>L1_Word</group>
      <groupName>字词问题</groupName>
      <ability>L2_Typo</ability>
      <abilityName>字词错误</abilityName>
      <candidateList>
        <item>鉴定证书</item>
      </candidateList>
      <explain/>
      <paraID> D03DAD4</paraID>
      <start>0</start>
      <end>4</end>
      <status>unmodified</status>
      <modifiedWord/>
      <trackRevisions>false</trackRevisions>
    </reviewItem>
    <reviewItem>
      <errorID>852cb9cc-e39e-4cf7-bdc5-2d26b7f4da61</errorID>
      <errorWord>；</errorWord>
      <group>L1_Format</group>
      <groupName>格式问题</groupName>
      <ability>L2_HalfPunc_CN</ability>
      <abilityName/>
      <candidateList>
        <item>;</item>
      </candidateList>
      <explain>文本全半角错误。</explain>
      <paraID> 57BF9D9</paraID>
      <start>8</start>
      <end>9</end>
      <status>unmodified</status>
      <modifiedWord/>
      <trackRevisions>false</trackRevisions>
    </reviewItem>
    <reviewItem>
      <errorID>93445a82-27d7-4156-ab6f-554dc23ea6d8</errorID>
      <errorWord>～</errorWord>
      <group>L1_Format</group>
      <groupName>格式问题</groupName>
      <ability>L2_HalfPunc_CN</ability>
      <abilityName/>
      <candidateList>
        <item>~</item>
      </candidateList>
      <explain>文本全半角错误。</explain>
      <paraID> 57BF9D9</paraID>
      <start>13</start>
      <end>14</end>
      <status>unmodified</status>
      <modifiedWord/>
      <trackRevisions>false</trackRevisions>
    </reviewItem>
    <reviewItem>
      <errorID>ecc3ade1-a24d-46f1-9d3f-ea99297b57cd</errorID>
      <errorWord>检定证书</errorWord>
      <group>L1_Word</group>
      <groupName>字词问题</groupName>
      <ability>L2_Typo</ability>
      <abilityName>字词错误</abilityName>
      <candidateList>
        <item>鉴定证书</item>
      </candidateList>
      <explain/>
      <paraID>7322CEC2</paraID>
      <start>0</start>
      <end>4</end>
      <status>unmodified</status>
      <modifiedWord/>
      <trackRevisions>false</trackRevisions>
    </reviewItem>
    <reviewItem>
      <errorID>e3356f7f-e127-4731-b708-6f37729e0070</errorID>
      <errorWord>2025年01月22日</errorWord>
      <group>L1_Knowledge</group>
      <groupName>知识性问题</groupName>
      <ability>L2_Time</ability>
      <abilityName>日期时间</abilityName>
      <candidateList>
        <item>2025年1月22日</item>
      </candidateList>
      <explain>根据日常书写习惯，月份一般会省略前导零。</explain>
      <paraID>5F3917AA</paraID>
      <start>0</start>
      <end>11</end>
      <status>unmodified</status>
      <modifiedWord/>
      <trackRevisions>false</trackRevisions>
    </reviewItem>
    <reviewItem>
      <errorID>fbeec503-7293-4255-899d-0d06dea3f634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5F3917AA</paraID>
      <start>11</start>
      <end>12</end>
      <status>unmodified</status>
      <modifiedWord/>
      <trackRevisions>false</trackRevisions>
    </reviewItem>
    <reviewItem>
      <errorID>8abdcd0f-3900-4892-a6b4-b67b45383f5e</errorID>
      <errorWord>2026年01月21日</errorWord>
      <group>L1_Knowledge</group>
      <groupName>知识性问题</groupName>
      <ability>L2_Time</ability>
      <abilityName>日期时间</abilityName>
      <candidateList>
        <item>2026年1月21日</item>
      </candidateList>
      <explain>根据日常书写习惯，月份一般会省略前导零。</explain>
      <paraID>5F3917AA</paraID>
      <start>12</start>
      <end>23</end>
      <status>unmodified</status>
      <modifiedWord/>
      <trackRevisions>false</trackRevisions>
    </reviewItem>
    <reviewItem>
      <errorID>15d7ea78-5c18-436a-b09b-c7a211cb9da5</errorID>
      <errorWord>SCIENTIFIC</errorWord>
      <group>L1_English</group>
      <groupName>英文问题</groupName>
      <ability>L2_Case</ability>
      <abilityName>大小写问题</abilityName>
      <candidateList>
        <item>Scientific</item>
      </candidateList>
      <explain>疑似单词大小写错误，建议将SCIENTIFIC修改为Scientific</explain>
      <paraID>25FFAAA0</paraID>
      <start>7</start>
      <end>17</end>
      <status>unmodified</status>
      <modifiedWord/>
      <trackRevisions>false</trackRevisions>
    </reviewItem>
    <reviewItem>
      <errorID>68198496-cdd3-4812-a581-1e0f57b018d0</errorID>
      <errorWord>～</errorWord>
      <group>L1_Format</group>
      <groupName>格式问题</groupName>
      <ability>L2_HalfPunc_CN</ability>
      <abilityName/>
      <candidateList>
        <item>~</item>
      </candidateList>
      <explain>文本全半角错误。</explain>
      <paraID>2A47C89C</paraID>
      <start>6</start>
      <end>7</end>
      <status>unmodified</status>
      <modifiedWord/>
      <trackRevisions>false</trackRevisions>
    </reviewItem>
    <reviewItem>
      <errorID>e57ba9a6-87fd-4d59-b590-3d98d3c27665</errorID>
      <errorWord>检定证书</errorWord>
      <group>L1_Word</group>
      <groupName>字词问题</groupName>
      <ability>L2_Typo</ability>
      <abilityName>字词错误</abilityName>
      <candidateList>
        <item>鉴定证书</item>
      </candidateList>
      <explain/>
      <paraID>626ECAC5</paraID>
      <start>0</start>
      <end>4</end>
      <status>unmodified</status>
      <modifiedWord/>
      <trackRevisions>false</trackRevisions>
    </reviewItem>
    <reviewItem>
      <errorID>37f975cc-ccea-4cfc-b055-88671115ad00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54C173A2</paraID>
      <start>38</start>
      <end>41</end>
      <status>unmodified</status>
      <modifiedWord/>
      <trackRevisions>false</trackRevisions>
    </reviewItem>
    <reviewItem>
      <errorID>6e9f1acc-98cc-4eab-9788-db9cff364781</errorID>
      <errorWord>余留</errorWord>
      <group>L1_Word</group>
      <groupName>字词问题</groupName>
      <ability>L2_Typo</ability>
      <abilityName>字词错误</abilityName>
      <candidateList>
        <item>预留</item>
      </candidateList>
      <explain/>
      <paraID>5048A33B</paraID>
      <start>2</start>
      <end>4</end>
      <status>modified</status>
      <modifiedWord>预留</modifiedWord>
      <trackRevisions>false</trackRevisions>
    </reviewItem>
    <reviewItem>
      <errorID>3a1971c9-067d-43a7-8716-2e215113659c</errorID>
      <errorWord>余留</errorWord>
      <group>L1_Word</group>
      <groupName>字词问题</groupName>
      <ability>L2_Typo</ability>
      <abilityName>字词错误</abilityName>
      <candidateList>
        <item>预留</item>
      </candidateList>
      <explain/>
      <paraID>784FB009</paraID>
      <start>2</start>
      <end>4</end>
      <status>modified</status>
      <modifiedWord>预留</modifiedWord>
      <trackRevisions>false</trackRevisions>
    </reviewItem>
    <reviewItem>
      <errorID>7d688571-ad0d-467a-bae4-12f566724b82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75D62BFC</paraID>
      <start>0</start>
      <end>2</end>
      <status>unmodified</status>
      <modifiedWord/>
      <trackRevisions>false</trackRevisions>
    </reviewItem>
    <reviewItem>
      <errorID>87663a5f-fac6-4f61-8c03-9a4548837886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734B2E2</paraID>
      <start>0</start>
      <end>2</end>
      <status>unmodified</status>
      <modifiedWord/>
      <trackRevisions>false</trackRevisions>
    </reviewItem>
    <reviewItem>
      <errorID>8b9c4c36-d2b4-4d95-8734-bc959d7ec22a</errorID>
      <errorWord>＜</errorWord>
      <group>L1_Format</group>
      <groupName>格式问题</groupName>
      <ability>L2_HalfPunc_CN</ability>
      <abilityName/>
      <candidateList>
        <item>&lt;</item>
      </candidateList>
      <explain>文本全半角错误。</explain>
      <paraID>1FFCFDAF</paraID>
      <start>0</start>
      <end>1</end>
      <status>unmodified</status>
      <modifiedWord/>
      <trackRevisions>false</trackRevisions>
    </reviewItem>
    <reviewItem>
      <errorID>6b7c2db2-092b-4984-ade2-4cafc7ec8bc1</errorID>
      <errorWord>＜</errorWord>
      <group>L1_Format</group>
      <groupName>格式问题</groupName>
      <ability>L2_HalfPunc_CN</ability>
      <abilityName/>
      <candidateList>
        <item>&lt;</item>
      </candidateList>
      <explain>文本全半角错误。</explain>
      <paraID>5E6191ED</paraID>
      <start>0</start>
      <end>1</end>
      <status>unmodified</status>
      <modifiedWord/>
      <trackRevisions>false</trackRevisions>
    </reviewItem>
    <reviewItem>
      <errorID>b34178bb-af65-4426-a08b-768a68a800f7</errorID>
      <errorWord>＜</errorWord>
      <group>L1_Format</group>
      <groupName>格式问题</groupName>
      <ability>L2_HalfPunc_CN</ability>
      <abilityName/>
      <candidateList>
        <item>&lt;</item>
      </candidateList>
      <explain>文本全半角错误。</explain>
      <paraID>62B5333F</paraID>
      <start>0</start>
      <end>1</end>
      <status>unmodified</status>
      <modifiedWord/>
      <trackRevisions>false</trackRevisions>
    </reviewItem>
    <reviewItem>
      <errorID>41948700-1032-48a0-9933-f40a6e117a45</errorID>
      <errorWord>＜</errorWord>
      <group>L1_Format</group>
      <groupName>格式问题</groupName>
      <ability>L2_HalfPunc_CN</ability>
      <abilityName/>
      <candidateList>
        <item>&lt;</item>
      </candidateList>
      <explain>文本全半角错误。</explain>
      <paraID>5AD221DB</paraID>
      <start>0</start>
      <end>1</end>
      <status>unmodified</status>
      <modifiedWord/>
      <trackRevisions>false</trackRevisions>
    </reviewItem>
    <reviewItem>
      <errorID>cb6ea449-3c16-4775-bc80-062ae73dd005</errorID>
      <errorWord>＜</errorWord>
      <group>L1_Format</group>
      <groupName>格式问题</groupName>
      <ability>L2_HalfPunc_CN</ability>
      <abilityName/>
      <candidateList>
        <item>&lt;</item>
      </candidateList>
      <explain>文本全半角错误。</explain>
      <paraID>4597C35D</paraID>
      <start>0</start>
      <end>1</end>
      <status>unmodified</status>
      <modifiedWord/>
      <trackRevisions>false</trackRevisions>
    </reviewItem>
    <reviewItem>
      <errorID>2c014c2a-8e1f-46e0-83bb-c2e1f3bff830</errorID>
      <errorWord>＜</errorWord>
      <group>L1_Format</group>
      <groupName>格式问题</groupName>
      <ability>L2_HalfPunc_CN</ability>
      <abilityName/>
      <candidateList>
        <item>&lt;</item>
      </candidateList>
      <explain>文本全半角错误。</explain>
      <paraID>5EE6099E</paraID>
      <start>0</start>
      <end>1</end>
      <status>unmodified</status>
      <modifiedWord/>
      <trackRevisions>false</trackRevisions>
    </reviewItem>
    <reviewItem>
      <errorID>10ea4522-baf1-4a41-adb0-80ef6c44c87e</errorID>
      <errorWord>余留</errorWord>
      <group>L1_Word</group>
      <groupName>字词问题</groupName>
      <ability>L2_Typo</ability>
      <abilityName>字词错误</abilityName>
      <candidateList>
        <item>预留</item>
      </candidateList>
      <explain/>
      <paraID>642D5B9A</paraID>
      <start>2</start>
      <end>4</end>
      <status>modified</status>
      <modifiedWord>预留</modifiedWord>
      <trackRevisions>false</trackRevisions>
    </reviewItem>
    <reviewItem>
      <errorID>08e7dd8e-6a52-4663-98ee-28690a4acede</errorID>
      <errorWord>＜</errorWord>
      <group>L1_Format</group>
      <groupName>格式问题</groupName>
      <ability>L2_HalfPunc_CN</ability>
      <abilityName/>
      <candidateList>
        <item>&lt;</item>
      </candidateList>
      <explain>文本全半角错误。</explain>
      <paraID>3B201DC1</paraID>
      <start>0</start>
      <end>1</end>
      <status>unmodified</status>
      <modifiedWord/>
      <trackRevisions>false</trackRevisions>
    </reviewItem>
    <reviewItem>
      <errorID>cec46e8e-7ad2-4850-9d4e-5f9ceff92130</errorID>
      <errorWord>＜</errorWord>
      <group>L1_Format</group>
      <groupName>格式问题</groupName>
      <ability>L2_HalfPunc_CN</ability>
      <abilityName/>
      <candidateList>
        <item>&lt;</item>
      </candidateList>
      <explain>文本全半角错误。</explain>
      <paraID>7E38B826</paraID>
      <start>0</start>
      <end>1</end>
      <status>unmodified</status>
      <modifiedWord/>
      <trackRevisions>false</trackRevisions>
    </reviewItem>
    <reviewItem>
      <errorID>0243b531-efc6-4841-8905-bbdffc0e1e50</errorID>
      <errorWord>余留</errorWord>
      <group>L1_Word</group>
      <groupName>字词问题</groupName>
      <ability>L2_Typo</ability>
      <abilityName>字词错误</abilityName>
      <candidateList>
        <item>预留</item>
      </candidateList>
      <explain/>
      <paraID>194C70D3</paraID>
      <start>2</start>
      <end>4</end>
      <status>modified</status>
      <modifiedWord>预留</modifiedWord>
      <trackRevisions>false</trackRevisions>
    </reviewItem>
    <reviewItem>
      <errorID>ff23ad46-f2fd-4b9e-986d-0cca6866aa66</errorID>
      <errorWord>＜</errorWord>
      <group>L1_Format</group>
      <groupName>格式问题</groupName>
      <ability>L2_HalfPunc_CN</ability>
      <abilityName/>
      <candidateList>
        <item>&lt;</item>
      </candidateList>
      <explain>文本全半角错误。</explain>
      <paraID>24910820</paraID>
      <start>0</start>
      <end>1</end>
      <status>unmodified</status>
      <modifiedWord/>
      <trackRevisions>false</trackRevisions>
    </reviewItem>
    <reviewItem>
      <errorID>93e9857e-db3a-4559-94f8-290a1e7d6333</errorID>
      <errorWord>＜</errorWord>
      <group>L1_Format</group>
      <groupName>格式问题</groupName>
      <ability>L2_HalfPunc_CN</ability>
      <abilityName/>
      <candidateList>
        <item>&lt;</item>
      </candidateList>
      <explain>文本全半角错误。</explain>
      <paraID>51788007</paraID>
      <start>0</start>
      <end>1</end>
      <status>unmodified</status>
      <modifiedWord/>
      <trackRevisions>false</trackRevisions>
    </reviewItem>
    <reviewItem>
      <errorID>10419ee0-7568-48d4-b91a-bc81492827c7</errorID>
      <errorWord>＜</errorWord>
      <group>L1_Format</group>
      <groupName>格式问题</groupName>
      <ability>L2_HalfPunc_CN</ability>
      <abilityName/>
      <candidateList>
        <item>&lt;</item>
      </candidateList>
      <explain>文本全半角错误。</explain>
      <paraID>68F005FC</paraID>
      <start>0</start>
      <end>1</end>
      <status>unmodified</status>
      <modifiedWord/>
      <trackRevisions>false</trackRevisions>
    </reviewItem>
    <reviewItem>
      <errorID>68dd70d4-053d-4f0d-bdd4-c16ba3356d45</errorID>
      <errorWord>＜</errorWord>
      <group>L1_Format</group>
      <groupName>格式问题</groupName>
      <ability>L2_HalfPunc_CN</ability>
      <abilityName/>
      <candidateList>
        <item>&lt;</item>
      </candidateList>
      <explain>文本全半角错误。</explain>
      <paraID>238482DF</paraID>
      <start>0</start>
      <end>1</end>
      <status>unmodified</status>
      <modifiedWord/>
      <trackRevisions>false</trackRevisions>
    </reviewItem>
    <reviewItem>
      <errorID>cda955b9-251f-492f-b285-eba4140e981b</errorID>
      <errorWord>＜</errorWord>
      <group>L1_Format</group>
      <groupName>格式问题</groupName>
      <ability>L2_HalfPunc_CN</ability>
      <abilityName/>
      <candidateList>
        <item>&lt;</item>
      </candidateList>
      <explain>文本全半角错误。</explain>
      <paraID>6234D39B</paraID>
      <start>0</start>
      <end>1</end>
      <status>unmodified</status>
      <modifiedWord/>
      <trackRevisions>false</trackRevisions>
    </reviewItem>
    <reviewItem>
      <errorID>c90f109b-34d7-4881-bc70-84cc8ba4cc04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2BAFA814</paraID>
      <start>0</start>
      <end>2</end>
      <status>unmodified</status>
      <modifiedWord/>
      <trackRevisions>false</trackRevisions>
    </reviewItem>
    <reviewItem>
      <errorID>528d235e-369c-44c5-afa7-83cf7a214451</errorID>
      <errorWord>＜</errorWord>
      <group>L1_Format</group>
      <groupName>格式问题</groupName>
      <ability>L2_HalfPunc_CN</ability>
      <abilityName/>
      <candidateList>
        <item>&lt;</item>
      </candidateList>
      <explain>文本全半角错误。</explain>
      <paraID>34E85ABA</paraID>
      <start>0</start>
      <end>1</end>
      <status>unmodified</status>
      <modifiedWord/>
      <trackRevisions>false</trackRevisions>
    </reviewItem>
    <reviewItem>
      <errorID>91ac12d5-d91b-499c-9457-327e037d7f52</errorID>
      <errorWord>＜</errorWord>
      <group>L1_Format</group>
      <groupName>格式问题</groupName>
      <ability>L2_HalfPunc_CN</ability>
      <abilityName/>
      <candidateList>
        <item>&lt;</item>
      </candidateList>
      <explain>文本全半角错误。</explain>
      <paraID>38AA02B7</paraID>
      <start>0</start>
      <end>1</end>
      <status>unmodified</status>
      <modifiedWord/>
      <trackRevisions>false</trackRevisions>
    </reviewItem>
    <reviewItem>
      <errorID>a1641f61-2d24-46ce-9d53-8796b924d4f7</errorID>
      <errorWord>＜</errorWord>
      <group>L1_Format</group>
      <groupName>格式问题</groupName>
      <ability>L2_HalfPunc_CN</ability>
      <abilityName/>
      <candidateList>
        <item>&lt;</item>
      </candidateList>
      <explain>文本全半角错误。</explain>
      <paraID>69122ABB</paraID>
      <start>0</start>
      <end>1</end>
      <status>unmodified</status>
      <modifiedWord/>
      <trackRevisions>false</trackRevisions>
    </reviewItem>
    <reviewItem>
      <errorID>e9001003-8360-4810-a5a3-3ecc13d01d9f</errorID>
      <errorWord>＜</errorWord>
      <group>L1_Format</group>
      <groupName>格式问题</groupName>
      <ability>L2_HalfPunc_CN</ability>
      <abilityName/>
      <candidateList>
        <item>&lt;</item>
      </candidateList>
      <explain>文本全半角错误。</explain>
      <paraID> 7B0BE21</paraID>
      <start>0</start>
      <end>1</end>
      <status>unmodified</status>
      <modifiedWord/>
      <trackRevisions>false</trackRevisions>
    </reviewItem>
    <reviewItem>
      <errorID>997cc3c1-2fb0-4852-a432-ca82f7c4fb1a</errorID>
      <errorWord>＜</errorWord>
      <group>L1_Format</group>
      <groupName>格式问题</groupName>
      <ability>L2_HalfPunc_CN</ability>
      <abilityName/>
      <candidateList>
        <item>&lt;</item>
      </candidateList>
      <explain>文本全半角错误。</explain>
      <paraID>250ED2A4</paraID>
      <start>0</start>
      <end>1</end>
      <status>unmodified</status>
      <modifiedWord/>
      <trackRevisions>false</trackRevisions>
    </reviewItem>
    <reviewItem>
      <errorID>516ca6d8-2298-4629-8f6d-011a92eae937</errorID>
      <errorWord>＜</errorWord>
      <group>L1_Format</group>
      <groupName>格式问题</groupName>
      <ability>L2_HalfPunc_CN</ability>
      <abilityName/>
      <candidateList>
        <item>&lt;</item>
      </candidateList>
      <explain>文本全半角错误。</explain>
      <paraID>5CCD9ADD</paraID>
      <start>0</start>
      <end>1</end>
      <status>unmodified</status>
      <modifiedWord/>
      <trackRevisions>false</trackRevisions>
    </reviewItem>
    <reviewItem>
      <errorID>f3128564-4889-41d6-b253-308ce5f387e2</errorID>
      <errorWord>余留</errorWord>
      <group>L1_Word</group>
      <groupName>字词问题</groupName>
      <ability>L2_Typo</ability>
      <abilityName>字词错误</abilityName>
      <candidateList>
        <item>预留</item>
      </candidateList>
      <explain/>
      <paraID>4CAC3EC9</paraID>
      <start>2</start>
      <end>4</end>
      <status>modified</status>
      <modifiedWord>预留</modifiedWord>
      <trackRevisions>false</trackRevisions>
    </reviewItem>
    <reviewItem>
      <errorID>49962706-23c7-4cd3-9f78-4efe1128e0bf</errorID>
      <errorWord>＜</errorWord>
      <group>L1_Format</group>
      <groupName>格式问题</groupName>
      <ability>L2_HalfPunc_CN</ability>
      <abilityName/>
      <candidateList>
        <item>&lt;</item>
      </candidateList>
      <explain>文本全半角错误。</explain>
      <paraID> 6F19591</paraID>
      <start>0</start>
      <end>1</end>
      <status>unmodified</status>
      <modifiedWord/>
      <trackRevisions>false</trackRevisions>
    </reviewItem>
    <reviewItem>
      <errorID>06a34e20-c73b-472c-86f6-edaa8eb37f3a</errorID>
      <errorWord>＜</errorWord>
      <group>L1_Format</group>
      <groupName>格式问题</groupName>
      <ability>L2_HalfPunc_CN</ability>
      <abilityName/>
      <candidateList>
        <item>&lt;</item>
      </candidateList>
      <explain>文本全半角错误。</explain>
      <paraID>37664D1D</paraID>
      <start>0</start>
      <end>1</end>
      <status>unmodified</status>
      <modifiedWord/>
      <trackRevisions>false</trackRevisions>
    </reviewItem>
    <reviewItem>
      <errorID>7838d884-1cf1-42c8-b457-61dcf8b8a38c</errorID>
      <errorWord>余留</errorWord>
      <group>L1_Word</group>
      <groupName>字词问题</groupName>
      <ability>L2_Typo</ability>
      <abilityName>字词错误</abilityName>
      <candidateList>
        <item>预留</item>
      </candidateList>
      <explain/>
      <paraID>73732526</paraID>
      <start>2</start>
      <end>4</end>
      <status>modified</status>
      <modifiedWord>预留</modifiedWord>
      <trackRevisions>false</trackRevisions>
    </reviewItem>
    <reviewItem>
      <errorID>cc263647-45f4-428b-be40-70aa7f385c82</errorID>
      <errorWord>＜</errorWord>
      <group>L1_Format</group>
      <groupName>格式问题</groupName>
      <ability>L2_HalfPunc_CN</ability>
      <abilityName/>
      <candidateList>
        <item>&lt;</item>
      </candidateList>
      <explain>文本全半角错误。</explain>
      <paraID>2365299A</paraID>
      <start>0</start>
      <end>1</end>
      <status>unmodified</status>
      <modifiedWord/>
      <trackRevisions>false</trackRevisions>
    </reviewItem>
    <reviewItem>
      <errorID>72a46d62-1b40-4c1a-b136-65ea418adc3f</errorID>
      <errorWord>＜</errorWord>
      <group>L1_Format</group>
      <groupName>格式问题</groupName>
      <ability>L2_HalfPunc_CN</ability>
      <abilityName/>
      <candidateList>
        <item>&lt;</item>
      </candidateList>
      <explain>文本全半角错误。</explain>
      <paraID>12D7C9C0</paraID>
      <start>0</start>
      <end>1</end>
      <status>unmodified</status>
      <modifiedWord/>
      <trackRevisions>false</trackRevisions>
    </reviewItem>
    <reviewItem>
      <errorID>2d8b1cb1-f26e-4715-8726-c18bb00c5602</errorID>
      <errorWord>＜</errorWord>
      <group>L1_Format</group>
      <groupName>格式问题</groupName>
      <ability>L2_HalfPunc_CN</ability>
      <abilityName/>
      <candidateList>
        <item>&lt;</item>
      </candidateList>
      <explain>文本全半角错误。</explain>
      <paraID>2BACA9A1</paraID>
      <start>0</start>
      <end>1</end>
      <status>unmodified</status>
      <modifiedWord/>
      <trackRevisions>false</trackRevisions>
    </reviewItem>
    <reviewItem>
      <errorID>b762eae1-c557-4168-aa8d-00f105801d21</errorID>
      <errorWord>＜</errorWord>
      <group>L1_Format</group>
      <groupName>格式问题</groupName>
      <ability>L2_HalfPunc_CN</ability>
      <abilityName/>
      <candidateList>
        <item>&lt;</item>
      </candidateList>
      <explain>文本全半角错误。</explain>
      <paraID> C22658D</paraID>
      <start>0</start>
      <end>1</end>
      <status>unmodified</status>
      <modifiedWord/>
      <trackRevisions>false</trackRevisions>
    </reviewItem>
    <reviewItem>
      <errorID>5fa850f9-4929-4a26-91ab-2eaac1d8b40e</errorID>
      <errorWord>＜</errorWord>
      <group>L1_Format</group>
      <groupName>格式问题</groupName>
      <ability>L2_HalfPunc_CN</ability>
      <abilityName/>
      <candidateList>
        <item>&lt;</item>
      </candidateList>
      <explain>文本全半角错误。</explain>
      <paraID>35180C86</paraID>
      <start>0</start>
      <end>1</end>
      <status>unmodified</status>
      <modifiedWord/>
      <trackRevisions>false</trackRevisions>
    </reviewItem>
    <reviewItem>
      <errorID>9e185caf-1a8c-4bc4-86c9-2845b57334e9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561634C1</paraID>
      <start>0</start>
      <end>2</end>
      <status>unmodified</status>
      <modifiedWord/>
      <trackRevisions>false</trackRevisions>
    </reviewItem>
    <reviewItem>
      <errorID>3d476973-af3e-4436-8142-6fb787c639db</errorID>
      <errorWord>[2016]430号</errorWord>
      <group>L1_Knowledge</group>
      <groupName>知识性问题</groupName>
      <ability>L2_Knowledge</ability>
      <abilityName>其他知识</abilityName>
      <candidateList>
        <item>〔2016〕430号</item>
      </candidateList>
      <explain>发文字号格式错误。</explain>
      <paraID>6C843FFE</paraID>
      <start>32</start>
      <end>42</end>
      <status>unmodified</status>
      <modifiedWord/>
      <trackRevisions>false</trackRevisions>
    </reviewItem>
    <reviewItem>
      <errorID>4310d15d-dbed-4518-9a51-b43dd389bc03</errorID>
      <errorWord>，</errorWord>
      <group>L1_Word</group>
      <groupName>字词问题</groupName>
      <ability>L2_Typo</ability>
      <abilityName>字词错误</abilityName>
      <candidateList>
        <item>，具</item>
      </candidateList>
      <explain/>
      <paraID>2382DF51</paraID>
      <start>100</start>
      <end>101</end>
      <status>unmodified</status>
      <modifiedWord/>
      <trackRevisions>false</trackRevisions>
    </reviewItem>
    <reviewItem>
      <errorID>cfb67644-ea95-4ed2-935a-cfc6b9f72165</errorID>
      <errorWord>一</errorWord>
      <group>L1_Word</group>
      <groupName>字词问题</groupName>
      <ability>L2_Typo</ability>
      <abilityName>字词错误</abilityName>
      <candidateList>
        <item>一个</item>
      </candidateList>
      <explain/>
      <paraID>7DB1DF9D</paraID>
      <start>64</start>
      <end>65</end>
      <status>unmodified</status>
      <modifiedWord/>
      <trackRevisions>false</trackRevisions>
    </reviewItem>
    <reviewItem>
      <errorID>25b4ea40-eb65-47ac-87bf-5315206d3119</errorID>
      <errorWord>-</errorWord>
      <group>L1_Format</group>
      <groupName>格式问题</groupName>
      <ability>L2_HalfPunc_CN</ability>
      <abilityName/>
      <candidateList>
        <item>－</item>
      </candidateList>
      <explain>文本全半角错误。</explain>
      <paraID>7DB1DF9D</paraID>
      <start>81</start>
      <end>82</end>
      <status>unmodified</status>
      <modifiedWord/>
      <trackRevisions>false</trackRevisions>
    </reviewItem>
    <reviewItem>
      <errorID>10269b74-112a-4130-bd9e-d1b11e382f7b</errorID>
      <errorWord>-</errorWord>
      <group>L1_Format</group>
      <groupName>格式问题</groupName>
      <ability>L2_HalfPunc_CN</ability>
      <abilityName/>
      <candidateList>
        <item>－</item>
      </candidateList>
      <explain>文本全半角错误。</explain>
      <paraID>449C4FE8</paraID>
      <start>37</start>
      <end>38</end>
      <status>unmodified</status>
      <modifiedWord/>
      <trackRevisions>false</trackRevisions>
    </reviewItem>
    <reviewItem>
      <errorID>b081b300-284a-4120-944b-9a950a4288f6</errorID>
      <errorWord>-</errorWord>
      <group>L1_Format</group>
      <groupName>格式问题</groupName>
      <ability>L2_HalfPunc_CN</ability>
      <abilityName/>
      <candidateList>
        <item>－</item>
      </candidateList>
      <explain>文本全半角错误。</explain>
      <paraID>3BB259BD</paraID>
      <start>28</start>
      <end>29</end>
      <status>unmodified</status>
      <modifiedWord/>
      <trackRevisions>false</trackRevisions>
    </reviewItem>
    <reviewItem>
      <errorID>7a989930-cee3-4e9c-88a4-0e7dcb277265</errorID>
      <errorWord>相联</errorWord>
      <group>L1_Word</group>
      <groupName>字词问题</groupName>
      <ability>L2_Typo</ability>
      <abilityName>字词错误</abilityName>
      <candidateList>
        <item>相连</item>
      </candidateList>
      <explain>存在发音相同字词的误用。</explain>
      <paraID>54242BAB</paraID>
      <start>126</start>
      <end>128</end>
      <status>unmodified</status>
      <modifiedWord/>
      <trackRevisions>false</trackRevisions>
    </reviewItem>
    <reviewItem>
      <errorID>6d3a8888-d1dc-4e53-b97a-d9142163a682</errorID>
      <errorWord>二个</errorWord>
      <group>L1_Word</group>
      <groupName>字词问题</groupName>
      <ability>L2_Typo</ability>
      <abilityName>字词错误</abilityName>
      <candidateList>
        <item>两个</item>
      </candidateList>
      <explain/>
      <paraID>54242BAB</paraID>
      <start>248</start>
      <end>250</end>
      <status>modified</status>
      <modifiedWord>两个</modifiedWord>
      <trackRevisions>false</trackRevisions>
    </reviewItem>
    <reviewItem>
      <errorID>3ead850b-4190-4803-8805-28aab03806d8</errorID>
      <errorWord>药物量</errorWord>
      <group>L1_Word</group>
      <groupName>字词问题</groupName>
      <ability>L2_Typo</ability>
      <abilityName>字词错误</abilityName>
      <candidateList>
        <item>药物</item>
      </candidateList>
      <explain/>
      <paraID>21686C1D</paraID>
      <start>29</start>
      <end>32</end>
      <status>unmodified</status>
      <modifiedWord/>
      <trackRevisions>false</trackRevisions>
    </reviewItem>
    <reviewItem>
      <errorID>d6795279-0e0d-46f2-9274-99786ff200b2</errorID>
      <errorWord>（</errorWord>
      <group>L1_Format</group>
      <groupName>格式问题</groupName>
      <ability>L2_HalfPunc_CN</ability>
      <abilityName/>
      <candidateList>
        <item>(</item>
      </candidateList>
      <explain>文本全半角错误。</explain>
      <paraID>11B18F94</paraID>
      <start>3</start>
      <end>4</end>
      <status>unmodified</status>
      <modifiedWord/>
      <trackRevisions>false</trackRevisions>
    </reviewItem>
    <reviewItem>
      <errorID>9fd11417-d76a-4222-997a-9461a53b9a77</errorID>
      <errorWord>，</errorWord>
      <group>L1_Format</group>
      <groupName>格式问题</groupName>
      <ability>L2_HalfPunc_CN</ability>
      <abilityName/>
      <candidateList>
        <item>, </item>
      </candidateList>
      <explain>文本全半角错误。</explain>
      <paraID>11B18F94</paraID>
      <start>5</start>
      <end>6</end>
      <status>unmodified</status>
      <modifiedWord/>
      <trackRevisions>false</trackRevisions>
    </reviewItem>
    <reviewItem>
      <errorID>3b550955-13dc-4b60-89d9-d00bea943b8f</errorID>
      <errorWord>）</errorWord>
      <group>L1_Format</group>
      <groupName>格式问题</groupName>
      <ability>L2_HalfPunc_CN</ability>
      <abilityName/>
      <candidateList>
        <item>)</item>
      </candidateList>
      <explain>文本全半角错误。</explain>
      <paraID>11B18F94</paraID>
      <start>7</start>
      <end>8</end>
      <status>unmodified</status>
      <modifiedWord/>
      <trackRevisions>false</trackRevisions>
    </reviewItem>
    <reviewItem>
      <errorID>cec9a6b9-9fe4-49e1-9964-085222c3b5b9</errorID>
      <errorWord>、</errorWord>
      <group>L1_Punc</group>
      <groupName>标点问题</groupName>
      <ability>L2_Punc_CN</ability>
      <abilityName/>
      <candidateList>
        <item>.</item>
      </candidateList>
      <explain/>
      <paraID>1AB07C59</paraID>
      <start>1</start>
      <end>2</end>
      <status>unmodified</status>
      <modifiedWord/>
      <trackRevisions>false</trackRevisions>
    </reviewItem>
    <reviewItem>
      <errorID>c3f94396-cafc-47ab-b424-70e7979f02c4</errorID>
      <errorWord>、</errorWord>
      <group>L1_Punc</group>
      <groupName>标点问题</groupName>
      <ability>L2_Punc_CN</ability>
      <abilityName/>
      <candidateList>
        <item>.</item>
      </candidateList>
      <explain/>
      <paraID>7F9F24B7</paraID>
      <start>1</start>
      <end>2</end>
      <status>unmodified</status>
      <modifiedWord/>
      <trackRevisions>false</trackRevisions>
    </reviewItem>
    <reviewItem>
      <errorID>ce13d72e-d675-490b-a8cc-542f3131ded2</errorID>
      <errorWord>、</errorWord>
      <group>L1_Punc</group>
      <groupName>标点问题</groupName>
      <ability>L2_Punc_CN</ability>
      <abilityName/>
      <candidateList>
        <item>.</item>
      </candidateList>
      <explain/>
      <paraID>17507E23</paraID>
      <start>1</start>
      <end>2</end>
      <status>unmodified</status>
      <modifiedWord/>
      <trackRevisions>false</trackRevisions>
    </reviewItem>
    <reviewItem>
      <errorID>005c5eb6-faa1-4e11-8576-3520976a08f9</errorID>
      <errorWord>、</errorWord>
      <group>L1_Punc</group>
      <groupName>标点问题</groupName>
      <ability>L2_Punc_CN</ability>
      <abilityName/>
      <candidateList>
        <item>.</item>
      </candidateList>
      <explain/>
      <paraID> 603CFB9</paraID>
      <start>1</start>
      <end>2</end>
      <status>unmodified</status>
      <modifiedWord/>
      <trackRevisions>false</trackRevisions>
    </reviewItem>
    <reviewItem>
      <errorID>6b6fe1ee-4d5c-4022-a7ec-be4c808f6a8f</errorID>
      <errorWord>、</errorWord>
      <group>L1_Punc</group>
      <groupName>标点问题</groupName>
      <ability>L2_Punc_CN</ability>
      <abilityName/>
      <candidateList>
        <item>.</item>
      </candidateList>
      <explain/>
      <paraID>5B4498DD</paraID>
      <start>1</start>
      <end>2</end>
      <status>unmodified</status>
      <modifiedWord/>
      <trackRevisions>false</trackRevisions>
    </reviewItem>
    <reviewItem>
      <errorID>5498d85f-abbf-4813-a23f-dc7e7d34426a</errorID>
      <errorWord>、</errorWord>
      <group>L1_Punc</group>
      <groupName>标点问题</groupName>
      <ability>L2_Punc_CN</ability>
      <abilityName/>
      <candidateList>
        <item>.</item>
      </candidateList>
      <explain/>
      <paraID>71A93A03</paraID>
      <start>1</start>
      <end>2</end>
      <status>unmodified</status>
      <modifiedWord/>
      <trackRevisions>false</trackRevisions>
    </reviewItem>
    <reviewItem>
      <errorID>7309d1b0-21d1-45f3-ae19-e30aafee9325</errorID>
      <errorWord>、</errorWord>
      <group>L1_Punc</group>
      <groupName>标点问题</groupName>
      <ability>L2_Punc_CN</ability>
      <abilityName/>
      <candidateList>
        <item>.</item>
      </candidateList>
      <explain/>
      <paraID>20C3D4D1</paraID>
      <start>1</start>
      <end>2</end>
      <status>unmodified</status>
      <modifiedWord/>
      <trackRevisions>false</trackRevisions>
    </reviewItem>
    <reviewItem>
      <errorID>14fe5364-d680-4d12-a51e-f3db016daf6b</errorID>
      <errorWord>、</errorWord>
      <group>L1_Punc</group>
      <groupName>标点问题</groupName>
      <ability>L2_Punc_CN</ability>
      <abilityName/>
      <candidateList>
        <item>.</item>
      </candidateList>
      <explain/>
      <paraID>13C8244E</paraID>
      <start>1</start>
      <end>2</end>
      <status>unmodified</status>
      <modifiedWord/>
      <trackRevisions>false</trackRevisions>
    </reviewItem>
    <reviewItem>
      <errorID>51288044-0493-45a2-b8d2-1ac132f94dbd</errorID>
      <errorWord>、</errorWord>
      <group>L1_Punc</group>
      <groupName>标点问题</groupName>
      <ability>L2_Punc_CN</ability>
      <abilityName/>
      <candidateList>
        <item>.</item>
      </candidateList>
      <explain/>
      <paraID>  2577AB</paraID>
      <start>1</start>
      <end>2</end>
      <status>unmodified</status>
      <modifiedWord/>
      <trackRevisions>false</trackRevisions>
    </reviewItem>
    <reviewItem>
      <errorID>a0b7894e-a781-482f-b825-0ffebddbf87d</errorID>
      <errorWord>、</errorWord>
      <group>L1_Punc</group>
      <groupName>标点问题</groupName>
      <ability>L2_Punc_CN</ability>
      <abilityName/>
      <candidateList>
        <item>.</item>
      </candidateList>
      <explain/>
      <paraID>386C787E</paraID>
      <start>1</start>
      <end>2</end>
      <status>unmodified</status>
      <modifiedWord/>
      <trackRevisions>false</trackRevisions>
    </reviewItem>
    <reviewItem>
      <errorID>02c803c3-872a-4275-943b-eff52b4cfb4f</errorID>
      <errorWord>作好</errorWord>
      <group>L1_Grammar</group>
      <groupName>语法问题</groupName>
      <ability>L2_Grammar</ability>
      <abilityName>语法错误</abilityName>
      <candidateList>
        <item>做好</item>
      </candidateList>
      <explain>“作好～措施”搭配不当，建议修改为“做好～措施”。</explain>
      <paraID>386C787E</paraID>
      <start>36</start>
      <end>38</end>
      <status>modified</status>
      <modifiedWord>做好</modifiedWord>
      <trackRevisions>false</trackRevisions>
    </reviewItem>
    <reviewItem>
      <errorID>bb308a21-7ef6-4d6b-ac6a-581ca38728a4</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386C787E</paraID>
      <start>184</start>
      <end>186</end>
      <status>unmodified</status>
      <modifiedWord/>
      <trackRevisions>false</trackRevisions>
    </reviewItem>
    <reviewItem>
      <errorID>bd2c5537-a331-42f5-b708-56fea53550a3</errorID>
      <errorWord>~</errorWord>
      <group>L1_Format</group>
      <groupName>格式问题</groupName>
      <ability>L2_HalfPunc_CN</ability>
      <abilityName/>
      <candidateList>
        <item>～</item>
      </candidateList>
      <explain>文本全半角错误。</explain>
      <paraID>386C787E</paraID>
      <start>224</start>
      <end>225</end>
      <status>unmodified</status>
      <modifiedWord/>
      <trackRevisions>false</trackRevisions>
    </reviewItem>
    <reviewItem>
      <errorID>654fa635-47d2-4aa7-93b5-a1162115a1ab</errorID>
      <errorWord>程</errorWord>
      <group>L1_Word</group>
      <groupName>字词问题</groupName>
      <ability>L2_Typo</ability>
      <abilityName>字词错误</abilityName>
      <candidateList>
        <item>程中</item>
      </candidateList>
      <explain/>
      <paraID>165A80A5</paraID>
      <start>24</start>
      <end>26</end>
      <status>modified</status>
      <modifiedWord>程中</modifiedWord>
      <trackRevisions>false</trackRevisions>
    </reviewItem>
    <reviewItem>
      <errorID>ffeb4ecb-13e9-4569-ab46-231bbf2af193</errorID>
      <errorWord>(</errorWord>
      <group>L1_Format</group>
      <groupName>格式问题</groupName>
      <ability>L2_HalfPunc_CN</ability>
      <abilityName/>
      <candidateList>
        <item>（</item>
      </candidateList>
      <explain>文本全半角错误。</explain>
      <paraID>676B85C2</paraID>
      <start>48</start>
      <end>49</end>
      <status>unmodified</status>
      <modifiedWord/>
      <trackRevisions>false</trackRevisions>
    </reviewItem>
    <reviewItem>
      <errorID>d848cabc-4c49-4021-b6ca-cdf021af6515</errorID>
      <errorWord>)</errorWord>
      <group>L1_Format</group>
      <groupName>格式问题</groupName>
      <ability>L2_HalfPunc_CN</ability>
      <abilityName/>
      <candidateList>
        <item>）</item>
      </candidateList>
      <explain>文本全半角错误。</explain>
      <paraID>676B85C2</paraID>
      <start>62</start>
      <end>63</end>
      <status>unmodified</status>
      <modifiedWord/>
      <trackRevisions>false</trackRevisions>
    </reviewItem>
    <reviewItem>
      <errorID>2e557307-2225-4299-ba5a-e59d860c892e</errorID>
      <errorWord>藉此诊断</errorWord>
      <group>L1_Word</group>
      <groupName>字词问题</groupName>
      <ability>L2_Fanti</ability>
      <abilityName>繁转简</abilityName>
      <candidateList>
        <item>借此诊断</item>
      </candidateList>
      <explain/>
      <paraID>403FFDB7</paraID>
      <start>172</start>
      <end>176</end>
      <status>modified</status>
      <modifiedWord>借此诊断</modifiedWord>
      <trackRevisions>false</trackRevisions>
    </reviewItem>
    <reviewItem>
      <errorID>a35d377d-7d42-48d4-9d38-167245edd31f</errorID>
      <errorWord>完</errorWord>
      <group>L1_Word</group>
      <groupName>字词问题</groupName>
      <ability>L2_Typo</ability>
      <abilityName>字词错误</abilityName>
      <candidateList>
        <item>完成</item>
      </candidateList>
      <explain>〈动〉按照预期的目的结束；做成：～任务｜～作业｜计划完得成。</explain>
      <paraID>10CBF2E8</paraID>
      <start>137</start>
      <end>138</end>
      <status>unmodified</status>
      <modifiedWord/>
      <trackRevisions>false</trackRevisions>
    </reviewItem>
    <reviewItem>
      <errorID>22ed1962-c10a-4620-822a-947414174a94</errorID>
      <errorWord>运送到</errorWord>
      <group>L1_Word</group>
      <groupName>字词问题</groupName>
      <ability>L2_Typo</ability>
      <abilityName>字词错误</abilityName>
      <candidateList>
        <item>运送至</item>
      </candidateList>
      <explain/>
      <paraID>10CBF2E8</paraID>
      <start>186</start>
      <end>189</end>
      <status>unmodified</status>
      <modifiedWord/>
      <trackRevisions>false</trackRevisions>
    </reviewItem>
    <reviewItem>
      <errorID>a287d277-cdc9-4093-b016-e37a0714f477</errorID>
      <errorWord>外挂</errorWord>
      <group>L1_Sensitive</group>
      <groupName>敏感问题</groupName>
      <ability>L2_Prohibited</ability>
      <abilityName>违禁内容</abilityName>
      <candidateList/>
      <explain>【违禁内容】句中涉及国家法律明令禁止的违禁内容，请注意甄别。</explain>
      <paraID>4139C66A</paraID>
      <start>121</start>
      <end>123</end>
      <status>unmodified</status>
      <modifiedWord/>
      <trackRevisions>false</trackRevisions>
    </reviewItem>
    <reviewItem>
      <errorID>7780efd6-4b93-4b03-9b86-eb2ef7881602</errorID>
      <errorWord>，</errorWord>
      <group>L1_Word</group>
      <groupName>字词问题</groupName>
      <ability>L2_Typo</ability>
      <abilityName>字词错误</abilityName>
      <candidateList>
        <item>，对</item>
      </candidateList>
      <explain/>
      <paraID>4139C66A</paraID>
      <start>138</start>
      <end>139</end>
      <status>unmodified</status>
      <modifiedWord/>
      <trackRevisions>false</trackRevisions>
    </reviewItem>
    <reviewItem>
      <errorID>b7fce60e-4ed6-4373-94c5-64537c3b533d</errorID>
      <errorWord>并均</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3C17AC14</paraID>
      <start>320</start>
      <end>322</end>
      <status>unmodified</status>
      <modifiedWord/>
      <trackRevisions>false</trackRevisions>
    </reviewItem>
    <reviewItem>
      <errorID>702d65f1-4c64-41ce-b3d4-8019b41fcde2</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73313FBF</paraID>
      <start>88</start>
      <end>91</end>
      <status>unmodified</status>
      <modifiedWord/>
      <trackRevisions>false</trackRevisions>
    </reviewItem>
    <reviewItem>
      <errorID>c954856e-7597-41ee-a238-d415103c950f</errorID>
      <errorWord>有</errorWord>
      <group>L1_Word</group>
      <groupName>字词问题</groupName>
      <ability>L2_Typo</ability>
      <abilityName>字词错误</abilityName>
      <candidateList>
        <item>由</item>
      </candidateList>
      <explain>存在发音相同字词的误用。</explain>
      <paraID>697D25D8</paraID>
      <start>78</start>
      <end>79</end>
      <status>unmodified</status>
      <modifiedWord/>
      <trackRevisions>false</trackRevisions>
    </reviewItem>
    <reviewItem>
      <errorID>5787f44d-f282-48e1-b4fc-e730b3692370</errorID>
      <errorWord>、直至</errorWord>
      <group>L1_Word</group>
      <groupName>字词问题</groupName>
      <ability>L2_Typo</ability>
      <abilityName>字词错误</abilityName>
      <candidateList>
        <item>直至</item>
      </candidateList>
      <explain/>
      <paraID>185C1A2B</paraID>
      <start>244</start>
      <end>247</end>
      <status>unmodified</status>
      <modifiedWord/>
      <trackRevisions>false</trackRevisions>
    </reviewItem>
    <reviewItem>
      <errorID>9a642165-c8de-4150-862c-86c10a150cc8</errorID>
      <errorWord>(</errorWord>
      <group>L1_Format</group>
      <groupName>格式问题</groupName>
      <ability>L2_HalfPunc_CN</ability>
      <abilityName/>
      <candidateList>
        <item>（</item>
      </candidateList>
      <explain>文本全半角错误。</explain>
      <paraID>6B0A6AE1</paraID>
      <start>9</start>
      <end>10</end>
      <status>unmodified</status>
      <modifiedWord/>
      <trackRevisions>false</trackRevisions>
    </reviewItem>
    <reviewItem>
      <errorID>9c632a73-4cfe-48bc-ae7e-2044c2cd1374</errorID>
      <errorWord>)</errorWord>
      <group>L1_Format</group>
      <groupName>格式问题</groupName>
      <ability>L2_HalfPunc_CN</ability>
      <abilityName/>
      <candidateList>
        <item>）</item>
      </candidateList>
      <explain>文本全半角错误。</explain>
      <paraID>6B0A6AE1</paraID>
      <start>22</start>
      <end>23</end>
      <status>unmodified</status>
      <modifiedWord/>
      <trackRevisions>false</trackRevisions>
    </reviewItem>
    <reviewItem>
      <errorID>ad6c686d-7fd2-4658-a2a7-ec8541c20c3e</errorID>
      <errorWord>(</errorWord>
      <group>L1_Format</group>
      <groupName>格式问题</groupName>
      <ability>L2_HalfPunc_CN</ability>
      <abilityName/>
      <candidateList>
        <item>（</item>
      </candidateList>
      <explain>文本全半角错误。</explain>
      <paraID>72AD21DE</paraID>
      <start>9</start>
      <end>10</end>
      <status>unmodified</status>
      <modifiedWord/>
      <trackRevisions>false</trackRevisions>
    </reviewItem>
    <reviewItem>
      <errorID>3083ef84-aff1-405a-a8f7-fbe3ab9ff02a</errorID>
      <errorWord>)</errorWord>
      <group>L1_Format</group>
      <groupName>格式问题</groupName>
      <ability>L2_HalfPunc_CN</ability>
      <abilityName/>
      <candidateList>
        <item>）</item>
      </candidateList>
      <explain>文本全半角错误。</explain>
      <paraID>72AD21DE</paraID>
      <start>22</start>
      <end>23</end>
      <status>unmodified</status>
      <modifiedWord/>
      <trackRevisions>false</trackRevisions>
    </reviewItem>
    <reviewItem>
      <errorID>4479da5c-7973-4d0c-abff-892139a5fa8a</errorID>
      <errorWord>（</errorWord>
      <group>L1_Format</group>
      <groupName>格式问题</groupName>
      <ability>L2_HalfPunc_CN</ability>
      <abilityName/>
      <candidateList>
        <item>(</item>
      </candidateList>
      <explain>文本全半角错误。</explain>
      <paraID>171E90B4</paraID>
      <start>0</start>
      <end>1</end>
      <status>unmodified</status>
      <modifiedWord/>
      <trackRevisions>false</trackRevisions>
    </reviewItem>
    <reviewItem>
      <errorID>25e3221a-37f0-49a4-9d63-41b3d0fab9d2</errorID>
      <errorWord>）</errorWord>
      <group>L1_Format</group>
      <groupName>格式问题</groupName>
      <ability>L2_HalfPunc_CN</ability>
      <abilityName/>
      <candidateList>
        <item>)</item>
      </candidateList>
      <explain>文本全半角错误。</explain>
      <paraID>171E90B4</paraID>
      <start>6</start>
      <end>7</end>
      <status>unmodified</status>
      <modifiedWord/>
      <trackRevisions>false</trackRevisions>
    </reviewItem>
    <reviewItem>
      <errorID>7f4eb286-c6a4-4ee0-88e9-899adfae147e</errorID>
      <errorWord>（</errorWord>
      <group>L1_Format</group>
      <groupName>格式问题</groupName>
      <ability>L2_HalfPunc_CN</ability>
      <abilityName/>
      <candidateList>
        <item>(</item>
      </candidateList>
      <explain>文本全半角错误。</explain>
      <paraID>4B8B1248</paraID>
      <start>0</start>
      <end>1</end>
      <status>unmodified</status>
      <modifiedWord/>
      <trackRevisions>false</trackRevisions>
    </reviewItem>
    <reviewItem>
      <errorID>bf05674c-3b8a-4f39-8b0a-cf1fabdb7c8c</errorID>
      <errorWord>）</errorWord>
      <group>L1_Format</group>
      <groupName>格式问题</groupName>
      <ability>L2_HalfPunc_CN</ability>
      <abilityName/>
      <candidateList>
        <item>)</item>
      </candidateList>
      <explain>文本全半角错误。</explain>
      <paraID>4B8B1248</paraID>
      <start>6</start>
      <end>7</end>
      <status>unmodified</status>
      <modifiedWord/>
      <trackRevisions>false</trackRevisions>
    </reviewItem>
    <reviewItem>
      <errorID>57a95362-b261-4924-8a29-89e4104af53b</errorID>
      <errorWord>（</errorWord>
      <group>L1_Format</group>
      <groupName>格式问题</groupName>
      <ability>L2_HalfPunc_CN</ability>
      <abilityName/>
      <candidateList>
        <item>(</item>
      </candidateList>
      <explain>文本全半角错误。</explain>
      <paraID>5BCE4A41</paraID>
      <start>0</start>
      <end>1</end>
      <status>unmodified</status>
      <modifiedWord/>
      <trackRevisions>false</trackRevisions>
    </reviewItem>
    <reviewItem>
      <errorID>1453a106-271b-406d-8ecf-1bae5881f7a8</errorID>
      <errorWord>）</errorWord>
      <group>L1_Format</group>
      <groupName>格式问题</groupName>
      <ability>L2_HalfPunc_CN</ability>
      <abilityName/>
      <candidateList>
        <item>)</item>
      </candidateList>
      <explain>文本全半角错误。</explain>
      <paraID>5BCE4A41</paraID>
      <start>7</start>
      <end>8</end>
      <status>unmodified</status>
      <modifiedWord/>
      <trackRevisions>false</trackRevisions>
    </reviewItem>
    <reviewItem>
      <errorID>30d0562d-3c43-4c55-b396-9e846ab56e33</errorID>
      <errorWord>（</errorWord>
      <group>L1_Format</group>
      <groupName>格式问题</groupName>
      <ability>L2_HalfPunc_CN</ability>
      <abilityName/>
      <candidateList>
        <item>(</item>
      </candidateList>
      <explain>文本全半角错误。</explain>
      <paraID>2073D2A0</paraID>
      <start>0</start>
      <end>1</end>
      <status>unmodified</status>
      <modifiedWord/>
      <trackRevisions>false</trackRevisions>
    </reviewItem>
    <reviewItem>
      <errorID>455dc8a5-7fcd-421f-b442-1567234b161c</errorID>
      <errorWord>）</errorWord>
      <group>L1_Format</group>
      <groupName>格式问题</groupName>
      <ability>L2_HalfPunc_CN</ability>
      <abilityName/>
      <candidateList>
        <item>)</item>
      </candidateList>
      <explain>文本全半角错误。</explain>
      <paraID>2073D2A0</paraID>
      <start>5</start>
      <end>6</end>
      <status>unmodified</status>
      <modifiedWord/>
      <trackRevisions>false</trackRevisions>
    </reviewItem>
    <reviewItem>
      <errorID>8cb1e511-cba9-4503-8b7d-d1e88f5bc042</errorID>
      <errorWord>（</errorWord>
      <group>L1_Format</group>
      <groupName>格式问题</groupName>
      <ability>L2_HalfPunc_CN</ability>
      <abilityName/>
      <candidateList>
        <item>(</item>
      </candidateList>
      <explain>文本全半角错误。</explain>
      <paraID>16B0C71C</paraID>
      <start>0</start>
      <end>1</end>
      <status>unmodified</status>
      <modifiedWord/>
      <trackRevisions>false</trackRevisions>
    </reviewItem>
    <reviewItem>
      <errorID>db37f8d1-67e5-46c3-99d0-10ac1f09d6ab</errorID>
      <errorWord>）</errorWord>
      <group>L1_Format</group>
      <groupName>格式问题</groupName>
      <ability>L2_HalfPunc_CN</ability>
      <abilityName/>
      <candidateList>
        <item>)</item>
      </candidateList>
      <explain>文本全半角错误。</explain>
      <paraID>16B0C71C</paraID>
      <start>6</start>
      <end>7</end>
      <status>unmodified</status>
      <modifiedWord/>
      <trackRevisions>false</trackRevisions>
    </reviewItem>
    <reviewItem>
      <errorID>b639f6cf-90d6-4983-9545-285065458b6a</errorID>
      <errorWord>（</errorWord>
      <group>L1_Format</group>
      <groupName>格式问题</groupName>
      <ability>L2_HalfPunc_CN</ability>
      <abilityName/>
      <candidateList>
        <item>(</item>
      </candidateList>
      <explain>文本全半角错误。</explain>
      <paraID>5CC87D76</paraID>
      <start>0</start>
      <end>1</end>
      <status>unmodified</status>
      <modifiedWord/>
      <trackRevisions>false</trackRevisions>
    </reviewItem>
    <reviewItem>
      <errorID>4bf2318a-afb8-43e3-8146-a4949b0f2583</errorID>
      <errorWord>）</errorWord>
      <group>L1_Format</group>
      <groupName>格式问题</groupName>
      <ability>L2_HalfPunc_CN</ability>
      <abilityName/>
      <candidateList>
        <item>)</item>
      </candidateList>
      <explain>文本全半角错误。</explain>
      <paraID>5CC87D76</paraID>
      <start>7</start>
      <end>8</end>
      <status>unmodified</status>
      <modifiedWord/>
      <trackRevisions>false</trackRevisions>
    </reviewItem>
    <reviewItem>
      <errorID>2cd764ee-42e1-438b-b979-14629c77a945</errorID>
      <errorWord>具备有</errorWord>
      <group>L1_Word</group>
      <groupName>字词问题</groupName>
      <ability>L2_Typo</ability>
      <abilityName>字词错误</abilityName>
      <candidateList>
        <item>具备</item>
      </candidateList>
      <explain/>
      <paraID>630D9037</paraID>
      <start>9</start>
      <end>12</end>
      <status>unmodified</status>
      <modifiedWord/>
      <trackRevisions>false</trackRevisions>
    </reviewItem>
    <reviewItem>
      <errorID>d557c63f-9a27-4677-8fb4-d1ab42871b5a</errorID>
      <errorWord>凸显</errorWord>
      <group>L1_Word</group>
      <groupName>字词问题</groupName>
      <ability>L2_Typo</ability>
      <abilityName>字词错误</abilityName>
      <candidateList>
        <item>体线</item>
      </candidateList>
      <explain/>
      <paraID>5032270D</paraID>
      <start>106</start>
      <end>108</end>
      <status>unmodified</status>
      <modifiedWord/>
      <trackRevisions>false</trackRevisions>
    </reviewItem>
    <reviewItem>
      <errorID>8ebfcf67-0cd3-48cd-94d0-d17c86f13f09</errorID>
      <errorWord>意</errorWord>
      <group>L1_Word</group>
      <groupName>字词问题</groupName>
      <ability>L2_Typo</ability>
      <abilityName>字词错误</abilityName>
      <candidateList>
        <item>意图</item>
      </candidateList>
      <explain/>
      <paraID>173ACEFC</paraID>
      <start>12</start>
      <end>13</end>
      <status>unmodified</status>
      <modifiedWord/>
      <trackRevisions>false</trackRevisions>
    </reviewItem>
    <reviewItem>
      <errorID>243a8aed-de4f-4004-9e37-075a6c5c9b7e</errorID>
      <errorWord>均有</errorWord>
      <group>L1_Word</group>
      <groupName>字词问题</groupName>
      <ability>L2_Typo</ability>
      <abilityName>字词错误</abilityName>
      <candidateList>
        <item>具有</item>
      </candidateList>
      <explain>存在发音相近字词的误用。</explain>
      <paraID>173ACEFC</paraID>
      <start>50</start>
      <end>52</end>
      <status>unmodified</status>
      <modifiedWord/>
      <trackRevisions>false</trackRevisions>
    </reviewItem>
    <reviewItem>
      <errorID>3f8bd7b7-31a3-49b3-bfde-a376df376bd7</errorID>
      <errorWord>污染源项</errorWord>
      <group>L1_Word</group>
      <groupName>字词问题</groupName>
      <ability>L2_Typo</ability>
      <abilityName>字词错误</abilityName>
      <candidateList>
        <item>污染源</item>
      </candidateList>
      <explain/>
      <paraID>537E2F0F</paraID>
      <start>12</start>
      <end>16</end>
      <status>unmodified</status>
      <modifiedWord/>
      <trackRevisions>false</trackRevisions>
    </reviewItem>
    <reviewItem>
      <errorID>32623842-65f2-4be9-99d1-22614d88b6de</errorID>
      <errorWord>（</errorWord>
      <group>L1_Format</group>
      <groupName>格式问题</groupName>
      <ability>L2_HalfPunc_CN</ability>
      <abilityName/>
      <candidateList>
        <item>(</item>
      </candidateList>
      <explain>文本全半角错误。</explain>
      <paraID> E7BF1E4</paraID>
      <start>5</start>
      <end>6</end>
      <status>unmodified</status>
      <modifiedWord/>
      <trackRevisions>false</trackRevisions>
    </reviewItem>
    <reviewItem>
      <errorID>67d03a4b-2045-454e-a6ca-a5e91745e608</errorID>
      <errorWord>）</errorWord>
      <group>L1_Format</group>
      <groupName>格式问题</groupName>
      <ability>L2_HalfPunc_CN</ability>
      <abilityName/>
      <candidateList>
        <item>)</item>
      </candidateList>
      <explain>文本全半角错误。</explain>
      <paraID> E7BF1E4</paraID>
      <start>11</start>
      <end>12</end>
      <status>unmodified</status>
      <modifiedWord/>
      <trackRevisions>false</trackRevisions>
    </reviewItem>
    <reviewItem>
      <errorID>ccb44bb7-7cd6-4efa-88e3-d4e6748f14c0</errorID>
      <errorWord>)</errorWord>
      <group>L1_Format</group>
      <groupName>格式问题</groupName>
      <ability>L2_HalfPunc_CN</ability>
      <abilityName/>
      <candidateList>
        <item>）</item>
      </candidateList>
      <explain>文本全半角错误。</explain>
      <paraID>39C1F91B</paraID>
      <start>14</start>
      <end>15</end>
      <status>unmodified</status>
      <modifiedWord/>
      <trackRevisions>false</trackRevisions>
    </reviewItem>
    <reviewItem>
      <errorID>1c2edab6-eeee-4ffd-a03d-818ed605a224</errorID>
      <errorWord>，</errorWord>
      <group>L1_Word</group>
      <groupName>字词问题</groupName>
      <ability>L2_Typo</ability>
      <abilityName>字词错误</abilityName>
      <candidateList>
        <item>，采</item>
      </candidateList>
      <explain/>
      <paraID>604AAEEB</paraID>
      <start>20</start>
      <end>21</end>
      <status>unmodified</status>
      <modifiedWord/>
      <trackRevisions>false</trackRevisions>
    </reviewItem>
    <reviewItem>
      <errorID>b0fe2dfd-c8fc-4dee-b4d9-559f5678bcf4</errorID>
      <errorWord>)</errorWord>
      <group>L1_Format</group>
      <groupName>格式问题</groupName>
      <ability>L2_HalfPunc_CN</ability>
      <abilityName/>
      <candidateList>
        <item>）</item>
      </candidateList>
      <explain>文本全半角错误。</explain>
      <paraID>726750B4</paraID>
      <start>38</start>
      <end>39</end>
      <status>unmodified</status>
      <modifiedWord/>
      <trackRevisions>false</trackRevisions>
    </reviewItem>
    <reviewItem>
      <errorID>7fbab150-faf0-4b05-be08-cb3700471f17</errorID>
      <errorWord>晰</errorWord>
      <group>L1_Word</group>
      <groupName>字词问题</groupName>
      <ability>L2_Typo</ability>
      <abilityName>字词错误</abilityName>
      <candidateList>
        <item>晰地</item>
      </candidateList>
      <explain/>
      <paraID>726750B4</paraID>
      <start>111</start>
      <end>112</end>
      <status>unmodified</status>
      <modifiedWord/>
      <trackRevisions>false</trackRevisions>
    </reviewItem>
    <reviewItem>
      <errorID>d90e59eb-b206-468f-9ab9-90c4af2f6c1a</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4E9906DE</paraID>
      <start>123</start>
      <end>125</end>
      <status>unmodified</status>
      <modifiedWord/>
      <trackRevisions>false</trackRevisions>
    </reviewItem>
    <reviewItem>
      <errorID>4d6613b0-8c9e-4fcc-8c74-189f067524e9</errorID>
      <errorWord>程</errorWord>
      <group>L1_Word</group>
      <groupName>字词问题</groupName>
      <ability>L2_Typo</ability>
      <abilityName>字词错误</abilityName>
      <candidateList>
        <item>程中</item>
      </candidateList>
      <explain/>
      <paraID>3D79594B</paraID>
      <start>132</start>
      <end>133</end>
      <status>unmodified</status>
      <modifiedWord/>
      <trackRevisions>false</trackRevisions>
    </reviewItem>
    <reviewItem>
      <errorID>4839beeb-1eeb-4265-9de1-8c5ce6c6069d</errorID>
      <errorWord>、</errorWord>
      <group>L1_Punc</group>
      <groupName>标点问题</groupName>
      <ability>L2_Punc_CN</ability>
      <abilityName/>
      <candidateList>
        <item>.</item>
      </candidateList>
      <explain/>
      <paraID>1E29EEF2</paraID>
      <start>1</start>
      <end>2</end>
      <status>unmodified</status>
      <modifiedWord/>
      <trackRevisions>false</trackRevisions>
    </reviewItem>
    <reviewItem>
      <errorID>4aa535fc-c4be-4e96-b8d2-ee150b76e40c</errorID>
      <errorWord>、</errorWord>
      <group>L1_Punc</group>
      <groupName>标点问题</groupName>
      <ability>L2_Punc_CN</ability>
      <abilityName/>
      <candidateList>
        <item>.</item>
      </candidateList>
      <explain/>
      <paraID>49C07E53</paraID>
      <start>1</start>
      <end>2</end>
      <status>unmodified</status>
      <modifiedWord/>
      <trackRevisions>false</trackRevisions>
    </reviewItem>
    <reviewItem>
      <errorID>683480ed-8f73-4ebe-a136-c092f8c014b0</errorID>
      <errorWord>、</errorWord>
      <group>L1_Punc</group>
      <groupName>标点问题</groupName>
      <ability>L2_Punc_CN</ability>
      <abilityName/>
      <candidateList>
        <item>.</item>
      </candidateList>
      <explain/>
      <paraID>78BB09C5</paraID>
      <start>1</start>
      <end>2</end>
      <status>unmodified</status>
      <modifiedWord/>
      <trackRevisions>false</trackRevisions>
    </reviewItem>
    <reviewItem>
      <errorID>445783d0-fee7-472f-948d-27b4067a3211</errorID>
      <errorWord>15O</errorWord>
      <group>L1_Knowledge</group>
      <groupName>知识性问题</groupName>
      <ability>L2_Knowledge</ability>
      <abilityName>其他知识</abilityName>
      <candidateList>
        <item>150</item>
      </candidateList>
      <explain/>
      <paraID>27B39048</paraID>
      <start>65</start>
      <end>68</end>
      <status>unmodified</status>
      <modifiedWord/>
      <trackRevisions>false</trackRevisions>
    </reviewItem>
    <reviewItem>
      <errorID>750a2e46-0b5c-43c3-be75-c30828941db9</errorID>
      <errorWord>沾污</errorWord>
      <group>L1_Word</group>
      <groupName>字词问题</groupName>
      <ability>L2_Typo</ability>
      <abilityName>字词错误</abilityName>
      <candidateList>
        <item>玷污</item>
      </candidateList>
      <explain/>
      <paraID>64CF3E95</paraID>
      <start>47</start>
      <end>49</end>
      <status>unmodified</status>
      <modifiedWord/>
      <trackRevisions>false</trackRevisions>
    </reviewItem>
    <reviewItem>
      <errorID>fa45c9da-436a-4eb9-a7a2-0c9054c205d9</errorID>
      <errorWord>做</errorWord>
      <group>L1_Word</group>
      <groupName>字词问题</groupName>
      <ability>L2_Typo</ability>
      <abilityName>字词错误</abilityName>
      <candidateList>
        <item>作</item>
      </candidateList>
      <explain>存在发音相同字词的误用。</explain>
      <paraID> 3DB636D</paraID>
      <start>38</start>
      <end>39</end>
      <status>unmodified</status>
      <modifiedWord/>
      <trackRevisions>false</trackRevisions>
    </reviewItem>
    <reviewItem>
      <errorID>e0bf3b00-cf7a-4473-8b00-0da1fde311d4</errorID>
      <errorWord>沾污</errorWord>
      <group>L1_Word</group>
      <groupName>字词问题</groupName>
      <ability>L2_Typo</ability>
      <abilityName>字词错误</abilityName>
      <candidateList>
        <item>玷污</item>
      </candidateList>
      <explain/>
      <paraID>45B02BC2</paraID>
      <start>33</start>
      <end>35</end>
      <status>unmodified</status>
      <modifiedWord/>
      <trackRevisions>false</trackRevisions>
    </reviewItem>
    <reviewItem>
      <errorID>aae4a0f7-d524-4184-a804-a70e64a7b74c</errorID>
      <errorWord>成为</errorWord>
      <group>L1_Word</group>
      <groupName>字词问题</groupName>
      <ability>L2_Typo</ability>
      <abilityName>字词错误</abilityName>
      <candidateList>
        <item>称为</item>
      </candidateList>
      <explain/>
      <paraID>5213636D</paraID>
      <start>52</start>
      <end>54</end>
      <status>unmodified</status>
      <modifiedWord/>
      <trackRevisions>false</trackRevisions>
    </reviewItem>
    <reviewItem>
      <errorID>71251924-3ad3-4de1-b475-a1d2858a06ea</errorID>
      <errorWord>-</errorWord>
      <group>L1_Format</group>
      <groupName>格式问题</groupName>
      <ability>L2_HalfPunc_CN</ability>
      <abilityName/>
      <candidateList>
        <item>－</item>
      </candidateList>
      <explain>文本全半角错误。</explain>
      <paraID>12171B49</paraID>
      <start>13</start>
      <end>14</end>
      <status>unmodified</status>
      <modifiedWord/>
      <trackRevisions>false</trackRevisions>
    </reviewItem>
    <reviewItem>
      <errorID>f41d5dbd-b4ce-42f0-9f65-ab295bd1264d</errorID>
      <errorWord>、以及</errorWord>
      <group>L1_Punc</group>
      <groupName>标点问题</groupName>
      <ability>L2_Punc_CN</ability>
      <abilityName/>
      <candidateList>
        <item>，以及</item>
      </candidateList>
      <explain>连接词前后不宜使用顿号，建议使用逗号。</explain>
      <paraID>25A96C1F</paraID>
      <start>9</start>
      <end>12</end>
      <status>unmodified</status>
      <modifiedWord/>
      <trackRevisions>false</trackRevisions>
    </reviewItem>
    <reviewItem>
      <errorID>6c40a2e1-c294-486d-aa58-12f02ca5c179</errorID>
      <errorWord>接入到</errorWord>
      <group>L1_Word</group>
      <groupName>字词问题</groupName>
      <ability>L2_Typo</ability>
      <abilityName>字词错误</abilityName>
      <candidateList>
        <item>接入</item>
      </candidateList>
      <explain/>
      <paraID>3AB8A12C</paraID>
      <start>23</start>
      <end>26</end>
      <status>unmodified</status>
      <modifiedWord/>
      <trackRevisions>false</trackRevisions>
    </reviewItem>
    <reviewItem>
      <errorID>3268bae4-c036-48bd-9b21-556e1d134b05</errorID>
      <errorWord>表明</errorWord>
      <group>L1_Word</group>
      <groupName>字词问题</groupName>
      <ability>L2_Typo</ability>
      <abilityName>字词错误</abilityName>
      <candidateList>
        <item>标明</item>
      </candidateList>
      <explain>〈动〉做出记号或写出文字使人知道：～号码｜车站的时刻表上～由上海来的快车在四点钟到达。</explain>
      <paraID>3FAB131B</paraID>
      <start>16</start>
      <end>18</end>
      <status>unmodified</status>
      <modifiedWord/>
      <trackRevisions>false</trackRevisions>
    </reviewItem>
    <reviewItem>
      <errorID>842cc107-f293-4275-bcf4-8d60bf131ad2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7A73071A</paraID>
      <start>0</start>
      <end>2</end>
      <status>unmodified</status>
      <modifiedWord/>
      <trackRevisions>false</trackRevisions>
    </reviewItem>
    <reviewItem>
      <errorID>7319f251-df88-4565-bd2e-332ce0a606e6</errorID>
      <errorWord>其它</errorWord>
      <group>L1_Word</group>
      <groupName>字词问题</groupName>
      <ability>L2_Alias</ability>
      <abilityName>也作/曾用词</abilityName>
      <candidateList>
        <item>其他</item>
      </candidateList>
      <explain>词汇[其它]为不规范表述或旧称，其规范书面表述为[其他]。</explain>
      <paraID>395E1DAC</paraID>
      <start>48</start>
      <end>50</end>
      <status>unmodified</status>
      <modifiedWord/>
      <trackRevisions>false</trackRevisions>
    </reviewItem>
    <reviewItem>
      <errorID>1be5f40b-9d84-481a-a8aa-5fc48b54b098</errorID>
      <errorWord>未作</errorWord>
      <group>L1_Word</group>
      <groupName>字词问题</groupName>
      <ability>L2_Typo</ability>
      <abilityName>字词错误</abilityName>
      <candidateList>
        <item>未做</item>
      </candidateList>
      <explain/>
      <paraID>395E1DAC</paraID>
      <start>54</start>
      <end>56</end>
      <status>unmodified</status>
      <modifiedWord/>
      <trackRevisions>false</trackRevisions>
    </reviewItem>
    <reviewItem>
      <errorID>7171b3a1-6832-4b96-afa4-89ee0802e956</errorID>
      <errorWord>，</errorWord>
      <group>L1_Word</group>
      <groupName>字词问题</groupName>
      <ability>L2_Typo</ability>
      <abilityName>字词错误</abilityName>
      <candidateList>
        <item>，具</item>
      </candidateList>
      <explain/>
      <paraID>7C5363D0</paraID>
      <start>118</start>
      <end>119</end>
      <status>unmodified</status>
      <modifiedWord/>
      <trackRevisions>false</trackRevisions>
    </reviewItem>
    <reviewItem>
      <errorID>d2b7512f-06db-49b5-b2ca-a00ab48b912f</errorID>
      <errorWord>[2016]430号</errorWord>
      <group>L1_Knowledge</group>
      <groupName>知识性问题</groupName>
      <ability>L2_Knowledge</ability>
      <abilityName>其他知识</abilityName>
      <candidateList>
        <item>〔2016〕430号</item>
      </candidateList>
      <explain>发文字号格式错误。</explain>
      <paraID>1A576353</paraID>
      <start>58</start>
      <end>68</end>
      <status>unmodified</status>
      <modifiedWord/>
      <trackRevisions>false</trackRevisions>
    </reviewItem>
    <reviewItem>
      <errorID>9c4e300b-c956-4877-9218-0b6d0cb40d7a</errorID>
      <errorWord>………</errorWord>
      <group>L1_Punc</group>
      <groupName>标点问题</groupName>
      <ability>L2_Punc_CN</ability>
      <abilityName/>
      <candidateList>
        <item>…</item>
      </candidateList>
      <explain/>
      <paraID>258A35C1</paraID>
      <start>1</start>
      <end>4</end>
      <status>unmodified</status>
      <modifiedWord/>
      <trackRevisions>false</trackRevisions>
    </reviewItem>
    <reviewItem>
      <errorID>cca93b80-333e-4361-b7f6-6269c5d2289b</errorID>
      <errorWord>[2016]430号</errorWord>
      <group>L1_Knowledge</group>
      <groupName>知识性问题</groupName>
      <ability>L2_Knowledge</ability>
      <abilityName>其他知识</abilityName>
      <candidateList>
        <item>〔2016〕430号</item>
      </candidateList>
      <explain>发文字号格式错误。</explain>
      <paraID>14F6D4B7</paraID>
      <start>34</start>
      <end>44</end>
      <status>unmodified</status>
      <modifiedWord/>
      <trackRevisions>false</trackRevisions>
    </reviewItem>
    <reviewItem>
      <errorID>2c6811e0-f7db-4a9f-aafa-bba8b9c4cf44</errorID>
      <errorWord>&gt;</errorWord>
      <group>L1_Punc</group>
      <groupName>标点问题</groupName>
      <ability>L2_Punc_CN</ability>
      <abilityName/>
      <candidateList/>
      <explain/>
      <paraID>7B5184A1</paraID>
      <start>0</start>
      <end>1</end>
      <status>unmodified</status>
      <modifiedWord/>
      <trackRevisions>false</trackRevisions>
    </reviewItem>
    <reviewItem>
      <errorID>4637361c-4f11-4bb8-bdba-515ec4fe1773</errorID>
      <errorWord>13O</errorWord>
      <group>L1_Knowledge</group>
      <groupName>知识性问题</groupName>
      <ability>L2_Knowledge</ability>
      <abilityName>其他知识</abilityName>
      <candidateList>
        <item>130</item>
      </candidateList>
      <explain/>
      <paraID>4346F54A</paraID>
      <start>8</start>
      <end>11</end>
      <status>unmodified</status>
      <modifiedWord/>
      <trackRevisions>false</trackRevisions>
    </reviewItem>
    <reviewItem>
      <errorID>99d612f0-1628-4ba0-bd2c-5c60749ad07a</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1C5D9408</paraID>
      <start>0</start>
      <end>2</end>
      <status>unmodified</status>
      <modifiedWord/>
      <trackRevisions>false</trackRevisions>
    </reviewItem>
    <reviewItem>
      <errorID>7d593d28-2ea2-4ab4-8274-0747c38254bc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4D04B792</paraID>
      <start>0</start>
      <end>2</end>
      <status>unmodified</status>
      <modifiedWord/>
      <trackRevisions>false</trackRevisions>
    </reviewItem>
    <reviewItem>
      <errorID>3c7889b1-b85f-425e-a595-19dd13c75586</errorID>
      <errorWord>服碘</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1161BD5E</paraID>
      <start>0</start>
      <end>2</end>
      <status>unmodified</status>
      <modifiedWord/>
      <trackRevisions>false</trackRevisions>
    </reviewItem>
    <reviewItem>
      <errorID>c36e660c-b4e1-4444-bbe4-3adbedd08cc9</errorID>
      <errorWord>(</errorWord>
      <group>L1_Format</group>
      <groupName>格式问题</groupName>
      <ability>L2_HalfPunc_CN</ability>
      <abilityName/>
      <candidateList>
        <item>（</item>
      </candidateList>
      <explain>文本全半角错误。</explain>
      <paraID>3F36B844</paraID>
      <start>4</start>
      <end>5</end>
      <status>unmodified</status>
      <modifiedWord/>
      <trackRevisions>false</trackRevisions>
    </reviewItem>
    <reviewItem>
      <errorID>c78b4c85-12c3-4d2e-bc87-fd6534eebd02</errorID>
      <errorWord>)</errorWord>
      <group>L1_Format</group>
      <groupName>格式问题</groupName>
      <ability>L2_HalfPunc_CN</ability>
      <abilityName/>
      <candidateList>
        <item>）</item>
      </candidateList>
      <explain>文本全半角错误。</explain>
      <paraID>3F36B844</paraID>
      <start>7</start>
      <end>8</end>
      <status>unmodified</status>
      <modifiedWord/>
      <trackRevisions>false</trackRevisions>
    </reviewItem>
    <reviewItem>
      <errorID>e70585ee-f571-44cb-9c56-bf2881dae1ae</errorID>
      <errorWord>1）、</errorWord>
      <group>L1_Punc</group>
      <groupName>标点问题</groupName>
      <ability>L2_Punc_CN</ability>
      <abilityName/>
      <candidateList>
        <item>1）</item>
      </candidateList>
      <explain>根据国标GB/T 15834-2011《标点符号用法》中的4.5.3.3节，带括号的汉字数字或阿拉伯数字表次序时，后面通常不加顿号。如“（一）指导思想”“（二）行动指南”。</explain>
      <paraID>58CD75E5</paraID>
      <start>113</start>
      <end>116</end>
      <status>unmodified</status>
      <modifiedWord/>
      <trackRevisions>false</trackRevisions>
    </reviewItem>
    <reviewItem>
      <errorID>c19f885c-ef11-4f0c-9891-34117d42fc29</errorID>
      <errorWord>于</errorWord>
      <group>L1_Word</group>
      <groupName>字词问题</groupName>
      <ability>L2_Typo</ability>
      <abilityName>字词错误</abilityName>
      <candidateList>
        <item>与</item>
      </candidateList>
      <explain>存在发音相同字词的误用。</explain>
      <paraID>62CE6439</paraID>
      <start>114</start>
      <end>115</end>
      <status>unmodified</status>
      <modifiedWord/>
      <trackRevisions>false</trackRevisions>
    </reviewItem>
    <reviewItem>
      <errorID>ea58c40f-d5d6-4e81-a799-9b35f6f11207</errorID>
      <errorWord>于</errorWord>
      <group>L1_Word</group>
      <groupName>字词问题</groupName>
      <ability>L2_Typo</ability>
      <abilityName>字词错误</abilityName>
      <candidateList>
        <item>与</item>
      </candidateList>
      <explain>存在发音相同字词的误用。</explain>
      <paraID>22E7CBA8</paraID>
      <start>91</start>
      <end>92</end>
      <status>unmodified</status>
      <modifiedWord/>
      <trackRevisions>false</trackRevisions>
    </reviewItem>
    <reviewItem>
      <errorID>8a5283d5-32b3-4119-bb02-a7634e069bf1</errorID>
      <errorWord>磁盘</errorWord>
      <group>L1_Word</group>
      <groupName>字词问题</groupName>
      <ability>L2_Typo</ability>
      <abilityName>字词错误</abilityName>
      <candidateList>
        <item>瓷盘</item>
      </candidateList>
      <explain/>
      <paraID>726D43C1</paraID>
      <start>204</start>
      <end>206</end>
      <status>unmodified</status>
      <modifiedWord/>
      <trackRevisions>false</trackRevisions>
    </reviewItem>
    <reviewItem>
      <errorID>8035cbc3-327d-4c44-8ff5-c0022ca196bc</errorID>
      <errorWord>见</errorWord>
      <group>L1_Word</group>
      <groupName>字词问题</groupName>
      <ability>L2_Typo</ability>
      <abilityName>字词错误</abilityName>
      <candidateList>
        <item>见下</item>
      </candidateList>
      <explain/>
      <paraID>4FDA6A85</paraID>
      <start>61</start>
      <end>62</end>
      <status>unmodified</status>
      <modifiedWord/>
      <trackRevisions>false</trackRevisions>
    </reviewItem>
    <reviewItem>
      <errorID>3c84667c-d1c0-475f-93f1-af853d8fd7f4</errorID>
      <errorWord>眼睛</errorWord>
      <group>L1_Word</group>
      <groupName>字词问题</groupName>
      <ability>L2_Typo</ability>
      <abilityName>字词错误</abilityName>
      <candidateList>
        <item>眼镜</item>
      </candidateList>
      <explain>（～儿）〈名〉戴在眼睛上矫正视力或保护眼睛的透镜。</explain>
      <paraID>62DD8FC2</paraID>
      <start>8</start>
      <end>10</end>
      <status>unmodified</status>
      <modifiedWord/>
      <trackRevisions>false</trackRevisions>
    </reviewItem>
    <reviewItem>
      <errorID>a62bd0a4-068e-4fca-81d9-1501e46b04f6</errorID>
      <errorWord>眼睛</errorWord>
      <group>L1_Word</group>
      <groupName>字词问题</groupName>
      <ability>L2_Typo</ability>
      <abilityName>字词错误</abilityName>
      <candidateList>
        <item>眼镜</item>
      </candidateList>
      <explain>（～儿）〈名〉戴在眼睛上矫正视力或保护眼睛的透镜。</explain>
      <paraID>68E0FC03</paraID>
      <start>42</start>
      <end>44</end>
      <status>unmodified</status>
      <modifiedWord/>
      <trackRevisions>false</trackRevisions>
    </reviewItem>
    <reviewItem>
      <errorID>427e6d0e-987e-4c95-ad15-7a09c3a5f0a3</errorID>
      <errorWord>,</errorWord>
      <group>L1_Format</group>
      <groupName>格式问题</groupName>
      <ability>L2_HalfPunc_CN</ability>
      <abilityName/>
      <candidateList>
        <item>，</item>
      </candidateList>
      <explain>文本全半角错误。</explain>
      <paraID>6F10DEF2</paraID>
      <start>27</start>
      <end>28</end>
      <status>unmodified</status>
      <modifiedWord/>
      <trackRevisions>false</trackRevisions>
    </reviewItem>
    <reviewItem>
      <errorID>d38c7a44-7fc2-4d72-8efe-c0be64155e92</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20D09FDB</paraID>
      <start>26</start>
      <end>27</end>
      <status>unmodified</status>
      <modifiedWord/>
      <trackRevisions>false</trackRevisions>
    </reviewItem>
    <reviewItem>
      <errorID>0cc58937-a0db-4775-8ab0-f7c9d0eac8e4</errorID>
      <errorWord>于</errorWord>
      <group>L1_Word</group>
      <groupName>字词问题</groupName>
      <ability>L2_Typo</ability>
      <abilityName>字词错误</abilityName>
      <candidateList>
        <item>与</item>
      </candidateList>
      <explain>（舆）yù参与：～会。</explain>
      <paraID>5FFB1FE7</paraID>
      <start>45</start>
      <end>46</end>
      <status>unmodified</status>
      <modifiedWord/>
      <trackRevisions>false</trackRevisions>
    </reviewItem>
    <reviewItem>
      <errorID>28009e66-2406-4dcb-90ec-0640ef3e20d6</errorID>
      <errorWord>同时需</errorWord>
      <group>L1_Word</group>
      <groupName>字词问题</groupName>
      <ability>L2_Typo</ability>
      <abilityName>字词错误</abilityName>
      <candidateList>
        <item>同时</item>
      </candidateList>
      <explain>❶〈名〉同一个时候：他们俩是～复员的｜在抓紧工程进度的～，必须注意工程质量。❷〈连〉表示并列关系，常含有进一层的意味：这是非常重要的任务，～也是十分艰巨的任务。</explain>
      <paraID>6D95CE50</paraID>
      <start>85</start>
      <end>88</end>
      <status>unmodified</status>
      <modifiedWord/>
      <trackRevisions>false</trackRevisions>
    </reviewItem>
    <reviewItem>
      <errorID>a590c018-e30f-4a4b-a315-da9f4503ec7d</errorID>
      <errorWord>(</errorWord>
      <group>L1_Format</group>
      <groupName>格式问题</groupName>
      <ability>L2_HalfPunc_CN</ability>
      <abilityName/>
      <candidateList>
        <item>（</item>
      </candidateList>
      <explain>文本全半角错误。</explain>
      <paraID>23AD54A7</paraID>
      <start>36</start>
      <end>37</end>
      <status>unmodified</status>
      <modifiedWord/>
      <trackRevisions>false</trackRevisions>
    </reviewItem>
    <reviewItem>
      <errorID>1fec460c-7125-4fd6-acbc-3b5d5139927a</errorID>
      <errorWord>)</errorWord>
      <group>L1_Format</group>
      <groupName>格式问题</groupName>
      <ability>L2_HalfPunc_CN</ability>
      <abilityName/>
      <candidateList>
        <item>）</item>
      </candidateList>
      <explain>文本全半角错误。</explain>
      <paraID>23AD54A7</paraID>
      <start>52</start>
      <end>53</end>
      <status>unmodified</status>
      <modifiedWord/>
      <trackRevisions>false</trackRevisions>
    </reviewItem>
    <reviewItem>
      <errorID>f124df4a-b42d-4661-8590-1638f3ea85a6</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23AD54A7</paraID>
      <start>176</start>
      <end>179</end>
      <status>unmodified</status>
      <modifiedWord/>
      <trackRevisions>false</trackRevisions>
    </reviewItem>
    <reviewItem>
      <errorID>f4f18ab3-ba35-4891-bcb6-3460b964049c</errorID>
      <errorWord>~</errorWord>
      <group>L1_Format</group>
      <groupName>格式问题</groupName>
      <ability>L2_HalfPunc_CN</ability>
      <abilityName/>
      <candidateList>
        <item>～</item>
      </candidateList>
      <explain>文本全半角错误。</explain>
      <paraID>28B47AE4</paraID>
      <start>5</start>
      <end>6</end>
      <status>unmodified</status>
      <modifiedWord/>
      <trackRevisions>false</trackRevisions>
    </reviewItem>
    <reviewItem>
      <errorID>30a23573-7c05-46f8-b8c1-2a185cac0e18</errorID>
      <errorWord>起动</errorWord>
      <group>L1_Word</group>
      <groupName>字词问题</groupName>
      <ability>L2_Typo</ability>
      <abilityName>字词错误</abilityName>
      <candidateList>
        <item>启动</item>
      </candidateList>
      <explain>〈动〉❶（机器、仪表、电气设备等）开始工作：～电流｜～继电器｜车轮～。❷（法令、规划、方案等）开始实施或进行：扶贫工程已正式～。❸开拓；发动：～农村市场｜大力～消费需求。</explain>
      <paraID> 6ACDCE9</paraID>
      <start>67</start>
      <end>69</end>
      <status>modified</status>
      <modifiedWord>启动</modifiedWord>
      <trackRevisions>false</trackRevisions>
    </reviewItem>
    <reviewItem>
      <errorID>891080db-c191-4201-b53f-5e6e63a15b61</errorID>
      <errorWord>漏泄</errorWord>
      <group>L1_Word</group>
      <groupName>字词问题</groupName>
      <ability>L2_Typo</ability>
      <abilityName>字词错误</abilityName>
      <candidateList>
        <item>泄漏</item>
      </candidateList>
      <explain/>
      <paraID>255E13C3</paraID>
      <start>111</start>
      <end>113</end>
      <status>unmodified</status>
      <modifiedWord/>
      <trackRevisions>false</trackRevisions>
    </reviewItem>
    <reviewItem>
      <errorID>634d3b53-6ff9-411c-a97b-c28c30f982be</errorID>
      <errorWord>-</errorWord>
      <group>L1_Format</group>
      <groupName>格式问题</groupName>
      <ability>L2_HalfPunc_CN</ability>
      <abilityName/>
      <candidateList>
        <item>－</item>
      </candidateList>
      <explain>文本全半角错误。</explain>
      <paraID>255E13C3</paraID>
      <start>131</start>
      <end>132</end>
      <status>unmodified</status>
      <modifiedWord/>
      <trackRevisions>false</trackRevisions>
    </reviewItem>
    <reviewItem>
      <errorID>8dd5609e-7af1-4d39-89eb-362a98a12b81</errorID>
      <errorWord>“U”型</errorWord>
      <group>L1_Word</group>
      <groupName>字词问题</groupName>
      <ability>L2_Typo</ability>
      <abilityName>字词错误</abilityName>
      <candidateList>
        <item>“U”形</item>
      </candidateList>
      <explain/>
      <paraID>54B65EB8</paraID>
      <start>144</start>
      <end>148</end>
      <status>unmodified</status>
      <modifiedWord/>
      <trackRevisions>false</trackRevisions>
    </reviewItem>
    <reviewItem>
      <errorID>1cc55c74-9c40-4444-8d0a-1f42e54c84fb</errorID>
      <errorWord>“U”型</errorWord>
      <group>L1_Word</group>
      <groupName>字词问题</groupName>
      <ability>L2_Typo</ability>
      <abilityName>字词错误</abilityName>
      <candidateList>
        <item>“U”形</item>
      </candidateList>
      <explain/>
      <paraID>5BA2B31C</paraID>
      <start>42</start>
      <end>46</end>
      <status>unmodified</status>
      <modifiedWord/>
      <trackRevisions>false</trackRevisions>
    </reviewItem>
    <reviewItem>
      <errorID>51ff3724-9246-4bf5-8ed2-d62821062659</errorID>
      <errorWord>字型</errorWord>
      <group>L1_Word</group>
      <groupName>字词问题</groupName>
      <ability>L2_Typo</ability>
      <abilityName>字词错误</abilityName>
      <candidateList>
        <item>字形</item>
      </candidateList>
      <explain>存在发音相同字词的误用。</explain>
      <paraID>5BA2B31C</paraID>
      <start>188</start>
      <end>190</end>
      <status>unmodified</status>
      <modifiedWord/>
      <trackRevisions>false</trackRevisions>
    </reviewItem>
    <reviewItem>
      <errorID>3ed586d1-8cdc-4979-98e0-7cc8a80f9fb0</errorID>
      <errorWord>~</errorWord>
      <group>L1_Format</group>
      <groupName>格式问题</groupName>
      <ability>L2_HalfPunc_CN</ability>
      <abilityName/>
      <candidateList>
        <item>～</item>
      </candidateList>
      <explain>文本全半角错误。</explain>
      <paraID> C6E079F</paraID>
      <start>6</start>
      <end>7</end>
      <status>unmodified</status>
      <modifiedWord/>
      <trackRevisions>false</trackRevisions>
    </reviewItem>
    <reviewItem>
      <errorID>c731f45b-bc94-4dc8-be76-62b3f8fc7fc6</errorID>
      <errorWord>起动</errorWord>
      <group>L1_Word</group>
      <groupName>字词问题</groupName>
      <ability>L2_Typo</ability>
      <abilityName>字词错误</abilityName>
      <candidateList>
        <item>启动</item>
      </candidateList>
      <explain>〈动〉❶（机器、仪表、电气设备等）开始工作：～电流｜～继电器｜车轮～。❷（法令、规划、方案等）开始实施或进行：扶贫工程已正式～。❸开拓；发动：～农村市场｜大力～消费需求。</explain>
      <paraID>59382291</paraID>
      <start>30</start>
      <end>32</end>
      <status>unmodified</status>
      <modifiedWord/>
      <trackRevisions>false</trackRevisions>
    </reviewItem>
    <reviewItem>
      <errorID>215dec9d-179f-4deb-829e-6992655f975f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366871C1</paraID>
      <start>45</start>
      <end>46</end>
      <status>unmodified</status>
      <modifiedWord/>
      <trackRevisions>false</trackRevisions>
    </reviewItem>
    <reviewItem>
      <errorID>a91016fc-42ac-4a80-a096-f58027c762ad</errorID>
      <errorWord>标示</errorWord>
      <group>L1_Word</group>
      <groupName>字词问题</groupName>
      <ability>L2_Typo</ability>
      <abilityName>字词错误</abilityName>
      <candidateList>
        <item>标识</item>
      </candidateList>
      <explain/>
      <paraID>5FE0D5A6</paraID>
      <start>44</start>
      <end>46</end>
      <status>unmodified</status>
      <modifiedWord/>
      <trackRevisions>false</trackRevisions>
    </reviewItem>
    <reviewItem>
      <errorID>19419d5a-8fd3-473f-b74b-4b4a77067476</errorID>
      <errorWord>-</errorWord>
      <group>L1_Format</group>
      <groupName>格式问题</groupName>
      <ability>L2_HalfPunc_CN</ability>
      <abilityName/>
      <candidateList>
        <item>－</item>
      </candidateList>
      <explain>文本全半角错误。</explain>
      <paraID>249342E7</paraID>
      <start>46</start>
      <end>47</end>
      <status>unmodified</status>
      <modifiedWord/>
      <trackRevisions>false</trackRevisions>
    </reviewItem>
    <reviewItem>
      <errorID>20f19ff6-adeb-4548-ac15-ba387b9666d5</errorID>
      <errorWord>字型</errorWord>
      <group>L1_Word</group>
      <groupName>字词问题</groupName>
      <ability>L2_Typo</ability>
      <abilityName>字词错误</abilityName>
      <candidateList>
        <item>字形</item>
      </candidateList>
      <explain>存在发音相同字词的误用。</explain>
      <paraID> 5E178EB</paraID>
      <start>12</start>
      <end>14</end>
      <status>unmodified</status>
      <modifiedWord/>
      <trackRevisions>false</trackRevisions>
    </reviewItem>
    <reviewItem>
      <errorID>ec274c12-0b5b-4205-8f54-9c3a0e35d2b0</errorID>
      <errorWord>“U”型</errorWord>
      <group>L1_Word</group>
      <groupName>字词问题</groupName>
      <ability>L2_Typo</ability>
      <abilityName>字词错误</abilityName>
      <candidateList>
        <item>“U”形</item>
      </candidateList>
      <explain/>
      <paraID>350D23B4</paraID>
      <start>42</start>
      <end>46</end>
      <status>unmodified</status>
      <modifiedWord/>
      <trackRevisions>false</trackRevisions>
    </reviewItem>
    <reviewItem>
      <errorID>88e9df43-80f1-430f-82f4-84e92eaf8470</errorID>
      <errorWord>，，</errorWord>
      <group>L1_Punc</group>
      <groupName>标点问题</groupName>
      <ability>L2_Punc_CN</ability>
      <abilityName/>
      <candidateList>
        <item>，</item>
      </candidateList>
      <explain/>
      <paraID>75A87074</paraID>
      <start>83</start>
      <end>85</end>
      <status>unmodified</status>
      <modifiedWord/>
      <trackRevisions>false</trackRevisions>
    </reviewItem>
    <reviewItem>
      <errorID>7ad110a9-1f1e-4f35-af51-9bd04f85665f</errorID>
      <errorWord>。。</errorWord>
      <group>L1_Punc</group>
      <groupName>标点问题</groupName>
      <ability>L2_Punc_CN</ability>
      <abilityName/>
      <candidateList>
        <item>。</item>
      </candidateList>
      <explain/>
      <paraID>75A87074</paraID>
      <start>113</start>
      <end>115</end>
      <status>unmodified</status>
      <modifiedWord/>
      <trackRevisions>false</trackRevisions>
    </reviewItem>
    <reviewItem>
      <errorID>aeac5acb-fb63-4e39-8a71-61ded28e7fb6</errorID>
      <errorWord>配制</errorWord>
      <group>L1_Word</group>
      <groupName>字词问题</groupName>
      <ability>L2_Typo</ability>
      <abilityName>字词错误</abilityName>
      <candidateList>
        <item>配置</item>
      </candidateList>
      <explain>〈动〉配备布置：～兵力。</explain>
      <paraID>1FB4DB04</paraID>
      <start>59</start>
      <end>61</end>
      <status>unmodified</status>
      <modifiedWord/>
      <trackRevisions>false</trackRevisions>
    </reviewItem>
    <reviewItem>
      <errorID>fa35c8d2-935d-4aae-83eb-39cae9480f51</errorID>
      <errorWord>:</errorWord>
      <group>L1_Format</group>
      <groupName>格式问题</groupName>
      <ability>L2_HalfPunc_CN</ability>
      <abilityName/>
      <candidateList>
        <item>：</item>
      </candidateList>
      <explain>文本全半角错误。</explain>
      <paraID>2299876D</paraID>
      <start>12</start>
      <end>13</end>
      <status>unmodified</status>
      <modifiedWord/>
      <trackRevisions>false</trackRevisions>
    </reviewItem>
    <reviewItem>
      <errorID>d1f9f0df-312b-4765-8e85-f520bc301c85</errorID>
      <errorWord>肉毒素</errorWord>
      <group>L1_Word</group>
      <groupName>字词问题</groupName>
      <ability>L2_Typo</ability>
      <abilityName>字词错误</abilityName>
      <candidateList>
        <item>肉毒毒素</item>
      </candidateList>
      <explain/>
      <paraID>745D452A</paraID>
      <start>207</start>
      <end>210</end>
      <status>unmodified</status>
      <modifiedWord/>
      <trackRevisions>false</trackRevisions>
    </reviewItem>
    <reviewItem>
      <errorID>d716b5b4-8a87-416a-aed4-d86df65f71fb</errorID>
      <errorWord>程</errorWord>
      <group>L1_Word</group>
      <groupName>字词问题</groupName>
      <ability>L2_Typo</ability>
      <abilityName>字词错误</abilityName>
      <candidateList>
        <item>程中</item>
      </candidateList>
      <explain/>
      <paraID>11E56CBA</paraID>
      <start>69</start>
      <end>70</end>
      <status>unmodified</status>
      <modifiedWord/>
      <trackRevisions>false</trackRevisions>
    </reviewItem>
    <reviewItem>
      <errorID>e56a41ee-208a-4214-9d85-140b37d97be2</errorID>
      <errorWord>于的</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11E56CBA</paraID>
      <start>231</start>
      <end>233</end>
      <status>unmodified</status>
      <modifiedWord/>
      <trackRevisions>false</trackRevisions>
    </reviewItem>
    <reviewItem>
      <errorID>688fce20-0cd0-4b89-96f9-e7572c6804c8</errorID>
      <errorWord>更换下</errorWord>
      <group>L1_Word</group>
      <groupName>字词问题</groupName>
      <ability>L2_Typo</ability>
      <abilityName>字词错误</abilityName>
      <candidateList>
        <item>更换</item>
      </candidateList>
      <explain>〈动〉变换；替换：～位置｜～衣裳｜～值班人员｜展览馆里的展品不断～。</explain>
      <paraID>2988C6F5</paraID>
      <start>30</start>
      <end>33</end>
      <status>unmodified</status>
      <modifiedWord/>
      <trackRevisions>false</trackRevisions>
    </reviewItem>
    <reviewItem>
      <errorID>20a8b8f2-aabe-4134-bb1b-0db0fccbce97</errorID>
      <errorWord>II类</errorWord>
      <group>L1_Knowledge</group>
      <groupName>知识性问题</groupName>
      <ability>L2_Knowledge</ability>
      <abilityName>其他知识</abilityName>
      <candidateList>
        <item>Ⅱ类</item>
      </candidateList>
      <explain/>
      <paraID> 628FEB0</paraID>
      <start>120</start>
      <end>123</end>
      <status>unmodified</status>
      <modifiedWord/>
      <trackRevisions>false</trackRevisions>
    </reviewItem>
    <reviewItem>
      <errorID>c441ee20-8daa-4b0e-b444-b9cd351068ac</errorID>
      <errorWord>II类</errorWord>
      <group>L1_Knowledge</group>
      <groupName>知识性问题</groupName>
      <ability>L2_Knowledge</ability>
      <abilityName>其他知识</abilityName>
      <candidateList>
        <item>Ⅱ类</item>
      </candidateList>
      <explain/>
      <paraID>6DBF4D33</paraID>
      <start>60</start>
      <end>63</end>
      <status>unmodified</status>
      <modifiedWord/>
      <trackRevisions>false</trackRevisions>
    </reviewItem>
    <reviewItem>
      <errorID>6db1875e-b119-419f-b2c3-212313617aa5</errorID>
      <errorWord>II类</errorWord>
      <group>L1_Knowledge</group>
      <groupName>知识性问题</groupName>
      <ability>L2_Knowledge</ability>
      <abilityName>其他知识</abilityName>
      <candidateList>
        <item>Ⅱ类</item>
      </candidateList>
      <explain/>
      <paraID>575596FF</paraID>
      <start>42</start>
      <end>45</end>
      <status>unmodified</status>
      <modifiedWord/>
      <trackRevisions>false</trackRevisions>
    </reviewItem>
    <reviewItem>
      <errorID>92318bc4-4f00-4499-895a-4176065fe468</errorID>
      <errorWord>,</errorWord>
      <group>L1_Format</group>
      <groupName>格式问题</groupName>
      <ability>L2_HalfPunc_CN</ability>
      <abilityName/>
      <candidateList>
        <item>，</item>
      </candidateList>
      <explain>文本全半角错误。</explain>
      <paraID>70A561C9</paraID>
      <start>82</start>
      <end>83</end>
      <status>unmodified</status>
      <modifiedWord/>
      <trackRevisions>false</trackRevisions>
    </reviewItem>
    <reviewItem>
      <errorID>19ccf14e-75a1-4ca2-97ed-29815a692d17</errorID>
      <errorWord>，</errorWord>
      <group>L1_Word</group>
      <groupName>字词问题</groupName>
      <ability>L2_Typo</ability>
      <abilityName>字词错误</abilityName>
      <candidateList>
        <item>，对</item>
      </candidateList>
      <explain/>
      <paraID>57C5C0A3</paraID>
      <start>82</start>
      <end>83</end>
      <status>unmodified</status>
      <modifiedWord/>
      <trackRevisions>false</trackRevisions>
    </reviewItem>
    <reviewItem>
      <errorID>4c0ed06d-49b9-405b-a6c9-b0a311c43121</errorID>
      <errorWord>在的</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105E9E80</paraID>
      <start>5</start>
      <end>7</end>
      <status>unmodified</status>
      <modifiedWord/>
      <trackRevisions>false</trackRevisions>
    </reviewItem>
    <reviewItem>
      <errorID>016db667-8675-4126-aaf7-6f2ada9cd39d</errorID>
      <errorWord>详细</errorWord>
      <group>L1_Word</group>
      <groupName>字词问题</groupName>
      <ability>L2_Typo</ability>
      <abilityName>字词错误</abilityName>
      <candidateList>
        <item>详</item>
      </candidateList>
      <explain/>
      <paraID>7C37EDA9</paraID>
      <start>84</start>
      <end>86</end>
      <status>unmodified</status>
      <modifiedWord/>
      <trackRevisions>false</trackRevisions>
    </reviewItem>
    <reviewItem>
      <errorID>fec05c69-f52a-4e9f-9b88-bfef82464c19</errorID>
      <errorWord>（</errorWord>
      <group>L1_Format</group>
      <groupName>格式问题</groupName>
      <ability>L2_HalfPunc_CN</ability>
      <abilityName/>
      <candidateList>
        <item>(</item>
      </candidateList>
      <explain>文本全半角错误。</explain>
      <paraID>62E964E1</paraID>
      <start>1</start>
      <end>2</end>
      <status>unmodified</status>
      <modifiedWord/>
      <trackRevisions>false</trackRevisions>
    </reviewItem>
    <reviewItem>
      <errorID>d0bbafae-f8d1-45fc-8fd3-3ee03903acfd</errorID>
      <errorWord>）</errorWord>
      <group>L1_Format</group>
      <groupName>格式问题</groupName>
      <ability>L2_HalfPunc_CN</ability>
      <abilityName/>
      <candidateList>
        <item>)</item>
      </candidateList>
      <explain>文本全半角错误。</explain>
      <paraID>62E964E1</paraID>
      <start>7</start>
      <end>8</end>
      <status>unmodified</status>
      <modifiedWord/>
      <trackRevisions>false</trackRevisions>
    </reviewItem>
    <reviewItem>
      <errorID>ca4ff131-570f-4497-b4ff-d9fbd42e0159</errorID>
      <errorWord>（</errorWord>
      <group>L1_Format</group>
      <groupName>格式问题</groupName>
      <ability>L2_HalfPunc_CN</ability>
      <abilityName/>
      <candidateList>
        <item>(</item>
      </candidateList>
      <explain>文本全半角错误。</explain>
      <paraID>28D076FC</paraID>
      <start>0</start>
      <end>1</end>
      <status>unmodified</status>
      <modifiedWord/>
      <trackRevisions>false</trackRevisions>
    </reviewItem>
    <reviewItem>
      <errorID>795b9213-617d-4023-9586-92a81a9ea003</errorID>
      <errorWord>）</errorWord>
      <group>L1_Format</group>
      <groupName>格式问题</groupName>
      <ability>L2_HalfPunc_CN</ability>
      <abilityName/>
      <candidateList>
        <item>)</item>
      </candidateList>
      <explain>文本全半角错误。</explain>
      <paraID>28D076FC</paraID>
      <start>6</start>
      <end>7</end>
      <status>unmodified</status>
      <modifiedWord/>
      <trackRevisions>false</trackRevisions>
    </reviewItem>
    <reviewItem>
      <errorID>5bef42c9-9a5c-47f4-b699-553fd04c6b7d</errorID>
      <errorWord>（</errorWord>
      <group>L1_Format</group>
      <groupName>格式问题</groupName>
      <ability>L2_HalfPunc_CN</ability>
      <abilityName/>
      <candidateList>
        <item>(</item>
      </candidateList>
      <explain>文本全半角错误。</explain>
      <paraID>7753334A</paraID>
      <start>2</start>
      <end>3</end>
      <status>unmodified</status>
      <modifiedWord/>
      <trackRevisions>false</trackRevisions>
    </reviewItem>
    <reviewItem>
      <errorID>713b22d1-5c72-4949-8c53-f010a134eeb1</errorID>
      <errorWord>）</errorWord>
      <group>L1_Format</group>
      <groupName>格式问题</groupName>
      <ability>L2_HalfPunc_CN</ability>
      <abilityName/>
      <candidateList>
        <item>)</item>
      </candidateList>
      <explain>文本全半角错误。</explain>
      <paraID>7753334A</paraID>
      <start>8</start>
      <end>9</end>
      <status>unmodified</status>
      <modifiedWord/>
      <trackRevisions>false</trackRevisions>
    </reviewItem>
    <reviewItem>
      <errorID>d8f0c7da-8cd7-4a11-8519-098871ae7ee6</errorID>
      <errorWord>（</errorWord>
      <group>L1_Format</group>
      <groupName>格式问题</groupName>
      <ability>L2_HalfPunc_CN</ability>
      <abilityName/>
      <candidateList>
        <item>(</item>
      </candidateList>
      <explain>文本全半角错误。</explain>
      <paraID>2C940D70</paraID>
      <start>0</start>
      <end>1</end>
      <status>unmodified</status>
      <modifiedWord/>
      <trackRevisions>false</trackRevisions>
    </reviewItem>
    <reviewItem>
      <errorID>b2958494-b38c-42fd-a19e-d59710d0450f</errorID>
      <errorWord>）</errorWord>
      <group>L1_Format</group>
      <groupName>格式问题</groupName>
      <ability>L2_HalfPunc_CN</ability>
      <abilityName/>
      <candidateList>
        <item>)</item>
      </candidateList>
      <explain>文本全半角错误。</explain>
      <paraID>2C940D70</paraID>
      <start>3</start>
      <end>4</end>
      <status>unmodified</status>
      <modifiedWord/>
      <trackRevisions>false</trackRevisions>
    </reviewItem>
    <reviewItem>
      <errorID>ea30a808-53af-4845-8bf8-bb8862c79fb0</errorID>
      <errorWord>)</errorWord>
      <group>L1_Format</group>
      <groupName>格式问题</groupName>
      <ability>L2_HalfPunc_CN</ability>
      <abilityName/>
      <candidateList>
        <item>）</item>
      </candidateList>
      <explain>文本全半角错误。</explain>
      <paraID>2CAEE2E8</paraID>
      <start>35</start>
      <end>36</end>
      <status>unmodified</status>
      <modifiedWord/>
      <trackRevisions>false</trackRevisions>
    </reviewItem>
    <reviewItem>
      <errorID>a220ea3e-c7ca-4468-bec5-0c41fcd9e42f</errorID>
      <errorWord>（</errorWord>
      <group>L1_Format</group>
      <groupName>格式问题</groupName>
      <ability>L2_HalfPunc_CN</ability>
      <abilityName/>
      <candidateList>
        <item>(</item>
      </candidateList>
      <explain>文本全半角错误。</explain>
      <paraID>7946A51D</paraID>
      <start>1</start>
      <end>2</end>
      <status>unmodified</status>
      <modifiedWord/>
      <trackRevisions>false</trackRevisions>
    </reviewItem>
    <reviewItem>
      <errorID>5c57027d-3bc6-49b1-abcf-3b1e05853c63</errorID>
      <errorWord>）</errorWord>
      <group>L1_Format</group>
      <groupName>格式问题</groupName>
      <ability>L2_HalfPunc_CN</ability>
      <abilityName/>
      <candidateList>
        <item>)</item>
      </candidateList>
      <explain>文本全半角错误。</explain>
      <paraID>7946A51D</paraID>
      <start>5</start>
      <end>6</end>
      <status>unmodified</status>
      <modifiedWord/>
      <trackRevisions>false</trackRevisions>
    </reviewItem>
    <reviewItem>
      <errorID>f10e85b5-b67b-4300-87d9-1dd969dd0132</errorID>
      <errorWord>（</errorWord>
      <group>L1_Punc</group>
      <groupName>标点问题</groupName>
      <ability>L2_Punc_CN</ability>
      <abilityName/>
      <candidateList>
        <item/>
      </candidateList>
      <explain>同一形式括号套用。</explain>
      <paraID>263952CE</paraID>
      <start>1</start>
      <end>2</end>
      <status>unmodified</status>
      <modifiedWord/>
      <trackRevisions>false</trackRevisions>
    </reviewItem>
    <reviewItem>
      <errorID>486756f0-ccda-4f55-a6fa-e6bfa1dc7de6</errorID>
      <errorWord>(</errorWord>
      <group>L1_Punc</group>
      <groupName>标点问题</groupName>
      <ability>L2_Punc_CN</ability>
      <abilityName/>
      <candidateList/>
      <explain>同一形式括号套用。</explain>
      <paraID>263952CE</paraID>
      <start>9</start>
      <end>10</end>
      <status>unmodified</status>
      <modifiedWord/>
      <trackRevisions>false</trackRevisions>
    </reviewItem>
    <reviewItem>
      <errorID>60e9fa34-c68f-49d1-a9d6-7da747dee42d</errorID>
      <errorWord>)</errorWord>
      <group>L1_Punc</group>
      <groupName>标点问题</groupName>
      <ability>L2_Punc_CN</ability>
      <abilityName/>
      <candidateList/>
      <explain>同一形式括号套用。</explain>
      <paraID>263952CE</paraID>
      <start>15</start>
      <end>16</end>
      <status>unmodified</status>
      <modifiedWord/>
      <trackRevisions>false</trackRevisions>
    </reviewItem>
    <reviewItem>
      <errorID>254fcf91-8cb2-4b72-bf66-062a3cf2d32e</errorID>
      <errorWord>）</errorWord>
      <group>L1_Punc</group>
      <groupName>标点问题</groupName>
      <ability>L2_Punc_CN</ability>
      <abilityName/>
      <candidateList/>
      <explain>同一形式括号套用。</explain>
      <paraID>263952CE</paraID>
      <start>16</start>
      <end>17</end>
      <status>unmodified</status>
      <modifiedWord/>
      <trackRevisions>false</trackRevisions>
    </reviewItem>
    <reviewItem>
      <errorID>bd7cecaf-2708-44e3-9b45-44394ba66a45</errorID>
      <errorWord>（</errorWord>
      <group>L1_Format</group>
      <groupName>格式问题</groupName>
      <ability>L2_HalfPunc_CN</ability>
      <abilityName/>
      <candidateList>
        <item>(</item>
      </candidateList>
      <explain>文本全半角错误。</explain>
      <paraID>41D6914C</paraID>
      <start>1</start>
      <end>2</end>
      <status>unmodified</status>
      <modifiedWord/>
      <trackRevisions>false</trackRevisions>
    </reviewItem>
    <reviewItem>
      <errorID>21be7ec7-e61a-443b-97e8-4707334f7a9e</errorID>
      <errorWord>）</errorWord>
      <group>L1_Format</group>
      <groupName>格式问题</groupName>
      <ability>L2_HalfPunc_CN</ability>
      <abilityName/>
      <candidateList>
        <item>)</item>
      </candidateList>
      <explain>文本全半角错误。</explain>
      <paraID>41D6914C</paraID>
      <start>5</start>
      <end>6</end>
      <status>unmodified</status>
      <modifiedWord/>
      <trackRevisions>false</trackRevisions>
    </reviewItem>
    <reviewItem>
      <errorID>c98d99aa-c850-4aaa-837a-29de8cbcc4ee</errorID>
      <errorWord>（</errorWord>
      <group>L1_Punc</group>
      <groupName>标点问题</groupName>
      <ability>L2_Punc_CN</ability>
      <abilityName/>
      <candidateList>
        <item/>
      </candidateList>
      <explain>同一形式括号套用。</explain>
      <paraID>5F90E55A</paraID>
      <start>1</start>
      <end>2</end>
      <status>unmodified</status>
      <modifiedWord/>
      <trackRevisions>false</trackRevisions>
    </reviewItem>
    <reviewItem>
      <errorID>0972246b-001e-462f-81ae-941da9085d3e</errorID>
      <errorWord>(</errorWord>
      <group>L1_Punc</group>
      <groupName>标点问题</groupName>
      <ability>L2_Punc_CN</ability>
      <abilityName/>
      <candidateList/>
      <explain>同一形式括号套用。</explain>
      <paraID>5F90E55A</paraID>
      <start>9</start>
      <end>10</end>
      <status>unmodified</status>
      <modifiedWord/>
      <trackRevisions>false</trackRevisions>
    </reviewItem>
    <reviewItem>
      <errorID>ebfb1e75-e2ec-4447-9375-82444db99816</errorID>
      <errorWord>)</errorWord>
      <group>L1_Punc</group>
      <groupName>标点问题</groupName>
      <ability>L2_Punc_CN</ability>
      <abilityName/>
      <candidateList/>
      <explain>同一形式括号套用。</explain>
      <paraID>5F90E55A</paraID>
      <start>15</start>
      <end>16</end>
      <status>unmodified</status>
      <modifiedWord/>
      <trackRevisions>false</trackRevisions>
    </reviewItem>
    <reviewItem>
      <errorID>2e5b0893-d675-449b-8d22-aaf446f00225</errorID>
      <errorWord>）</errorWord>
      <group>L1_Punc</group>
      <groupName>标点问题</groupName>
      <ability>L2_Punc_CN</ability>
      <abilityName/>
      <candidateList/>
      <explain>同一形式括号套用。</explain>
      <paraID>5F90E55A</paraID>
      <start>16</start>
      <end>17</end>
      <status>unmodified</status>
      <modifiedWord/>
      <trackRevisions>false</trackRevisions>
    </reviewItem>
    <reviewItem>
      <errorID>6185dfec-6eb1-46b8-8f4a-4929532a54dc</errorID>
      <errorWord>（</errorWord>
      <group>L1_Format</group>
      <groupName>格式问题</groupName>
      <ability>L2_HalfPunc_CN</ability>
      <abilityName/>
      <candidateList>
        <item>(</item>
      </candidateList>
      <explain>文本全半角错误。</explain>
      <paraID>67E6FC6F</paraID>
      <start>4</start>
      <end>5</end>
      <status>unmodified</status>
      <modifiedWord/>
      <trackRevisions>false</trackRevisions>
    </reviewItem>
    <reviewItem>
      <errorID>ad7facf2-789f-4074-9d3b-038261cb1858</errorID>
      <errorWord>）</errorWord>
      <group>L1_Format</group>
      <groupName>格式问题</groupName>
      <ability>L2_HalfPunc_CN</ability>
      <abilityName/>
      <candidateList>
        <item>)</item>
      </candidateList>
      <explain>文本全半角错误。</explain>
      <paraID>67E6FC6F</paraID>
      <start>9</start>
      <end>10</end>
      <status>unmodified</status>
      <modifiedWord/>
      <trackRevisions>false</trackRevisions>
    </reviewItem>
    <reviewItem>
      <errorID>e616bded-1084-4805-8133-6fafa25f9163</errorID>
      <errorWord>（</errorWord>
      <group>L1_Format</group>
      <groupName>格式问题</groupName>
      <ability>L2_HalfPunc_CN</ability>
      <abilityName/>
      <candidateList>
        <item>(</item>
      </candidateList>
      <explain>文本全半角错误。</explain>
      <paraID>39BCE775</paraID>
      <start>5</start>
      <end>6</end>
      <status>unmodified</status>
      <modifiedWord/>
      <trackRevisions>false</trackRevisions>
    </reviewItem>
    <reviewItem>
      <errorID>2b67fec2-31b2-4725-a680-ebd64ecc5911</errorID>
      <errorWord>）</errorWord>
      <group>L1_Format</group>
      <groupName>格式问题</groupName>
      <ability>L2_HalfPunc_CN</ability>
      <abilityName/>
      <candidateList>
        <item>)</item>
      </candidateList>
      <explain>文本全半角错误。</explain>
      <paraID>39BCE775</paraID>
      <start>10</start>
      <end>11</end>
      <status>unmodified</status>
      <modifiedWord/>
      <trackRevisions>false</trackRevisions>
    </reviewItem>
    <reviewItem>
      <errorID>37e7654a-de45-4e17-a05a-1641ded95b13</errorID>
      <errorWord>（</errorWord>
      <group>L1_Format</group>
      <groupName>格式问题</groupName>
      <ability>L2_HalfPunc_CN</ability>
      <abilityName/>
      <candidateList>
        <item>(</item>
      </candidateList>
      <explain>文本全半角错误。</explain>
      <paraID>5ED118ED</paraID>
      <start>5</start>
      <end>6</end>
      <status>unmodified</status>
      <modifiedWord/>
      <trackRevisions>false</trackRevisions>
    </reviewItem>
    <reviewItem>
      <errorID>4b6e36c3-667b-4135-9fb4-7f8360016afe</errorID>
      <errorWord>）</errorWord>
      <group>L1_Format</group>
      <groupName>格式问题</groupName>
      <ability>L2_HalfPunc_CN</ability>
      <abilityName/>
      <candidateList>
        <item>)</item>
      </candidateList>
      <explain>文本全半角错误。</explain>
      <paraID>5ED118ED</paraID>
      <start>11</start>
      <end>12</end>
      <status>unmodified</status>
      <modifiedWord/>
      <trackRevisions>false</trackRevisions>
    </reviewItem>
    <reviewItem>
      <errorID>61a7f257-0f97-462a-b6fc-820b5499f4f8</errorID>
      <errorWord>（</errorWord>
      <group>L1_Format</group>
      <groupName>格式问题</groupName>
      <ability>L2_HalfPunc_CN</ability>
      <abilityName/>
      <candidateList>
        <item>(</item>
      </candidateList>
      <explain>文本全半角错误。</explain>
      <paraID>34AE8C7B</paraID>
      <start>4</start>
      <end>5</end>
      <status>unmodified</status>
      <modifiedWord/>
      <trackRevisions>false</trackRevisions>
    </reviewItem>
    <reviewItem>
      <errorID>65021f96-55d6-4b20-aa3e-9b99f4ef9ab0</errorID>
      <errorWord>）</errorWord>
      <group>L1_Format</group>
      <groupName>格式问题</groupName>
      <ability>L2_HalfPunc_CN</ability>
      <abilityName/>
      <candidateList>
        <item>)</item>
      </candidateList>
      <explain>文本全半角错误。</explain>
      <paraID>34AE8C7B</paraID>
      <start>10</start>
      <end>11</end>
      <status>unmodified</status>
      <modifiedWord/>
      <trackRevisions>false</trackRevisions>
    </reviewItem>
    <reviewItem>
      <errorID>ff64fac3-5e5b-4e77-a4ea-bdeaa57a95b8</errorID>
      <errorWord>其它人员</errorWord>
      <group>L1_Word</group>
      <groupName>字词问题</groupName>
      <ability>L2_Alias</ability>
      <abilityName>也作/曾用词</abilityName>
      <candidateList>
        <item>其他人员</item>
      </candidateList>
      <explain>词汇[其它人员]为不规范表述或旧称，其规范书面表述为[其他人员]。</explain>
      <paraID>3F1F8BA4</paraID>
      <start>22</start>
      <end>26</end>
      <status>unmodified</status>
      <modifiedWord/>
      <trackRevisions>false</trackRevisions>
    </reviewItem>
    <reviewItem>
      <errorID>abde800c-21b0-4d22-ac21-922b7d80b7af</errorID>
      <errorWord>（</errorWord>
      <group>L1_Format</group>
      <groupName>格式问题</groupName>
      <ability>L2_HalfPunc_CN</ability>
      <abilityName/>
      <candidateList>
        <item>(</item>
      </candidateList>
      <explain>文本全半角错误。</explain>
      <paraID>7527770A</paraID>
      <start>8</start>
      <end>9</end>
      <status>unmodified</status>
      <modifiedWord/>
      <trackRevisions>false</trackRevisions>
    </reviewItem>
    <reviewItem>
      <errorID>1de7d2ed-3af7-49d9-b2c7-608000e2bc7c</errorID>
      <errorWord>）</errorWord>
      <group>L1_Format</group>
      <groupName>格式问题</groupName>
      <ability>L2_HalfPunc_CN</ability>
      <abilityName/>
      <candidateList>
        <item>)</item>
      </candidateList>
      <explain>文本全半角错误。</explain>
      <paraID>7527770A</paraID>
      <start>13</start>
      <end>14</end>
      <status>unmodified</status>
      <modifiedWord/>
      <trackRevisions>false</trackRevisions>
    </reviewItem>
    <reviewItem>
      <errorID>efcfe08f-878e-4f4c-85e8-2cc86e369303</errorID>
      <errorWord>（</errorWord>
      <group>L1_Format</group>
      <groupName>格式问题</groupName>
      <ability>L2_HalfPunc_CN</ability>
      <abilityName/>
      <candidateList>
        <item>(</item>
      </candidateList>
      <explain>文本全半角错误。</explain>
      <paraID>7D0C4F77</paraID>
      <start>4</start>
      <end>5</end>
      <status>unmodified</status>
      <modifiedWord/>
      <trackRevisions>false</trackRevisions>
    </reviewItem>
    <reviewItem>
      <errorID>fed9e93b-b4c0-4674-b096-1a7326ea7ed5</errorID>
      <errorWord>）</errorWord>
      <group>L1_Format</group>
      <groupName>格式问题</groupName>
      <ability>L2_HalfPunc_CN</ability>
      <abilityName/>
      <candidateList>
        <item>)</item>
      </candidateList>
      <explain>文本全半角错误。</explain>
      <paraID>7D0C4F77</paraID>
      <start>8</start>
      <end>9</end>
      <status>unmodified</status>
      <modifiedWord/>
      <trackRevisions>false</trackRevisions>
    </reviewItem>
    <reviewItem>
      <errorID>d65a2f63-c7e6-42e5-bc3e-1e1a4ed781e2</errorID>
      <errorWord>（</errorWord>
      <group>L1_Format</group>
      <groupName>格式问题</groupName>
      <ability>L2_HalfPunc_CN</ability>
      <abilityName/>
      <candidateList>
        <item>(</item>
      </candidateList>
      <explain>文本全半角错误。</explain>
      <paraID>3C4BEDCD</paraID>
      <start>4</start>
      <end>5</end>
      <status>unmodified</status>
      <modifiedWord/>
      <trackRevisions>false</trackRevisions>
    </reviewItem>
    <reviewItem>
      <errorID>956788d2-ba44-4bd3-b970-42cc904d05b4</errorID>
      <errorWord>）</errorWord>
      <group>L1_Format</group>
      <groupName>格式问题</groupName>
      <ability>L2_HalfPunc_CN</ability>
      <abilityName/>
      <candidateList>
        <item>)</item>
      </candidateList>
      <explain>文本全半角错误。</explain>
      <paraID>3C4BEDCD</paraID>
      <start>8</start>
      <end>9</end>
      <status>unmodified</status>
      <modifiedWord/>
      <trackRevisions>false</trackRevisions>
    </reviewItem>
    <reviewItem>
      <errorID>abbc184b-b783-4218-85d9-f6f87245418f</errorID>
      <errorWord>＜</errorWord>
      <group>L1_Format</group>
      <groupName>格式问题</groupName>
      <ability>L2_HalfPunc_CN</ability>
      <abilityName/>
      <candidateList>
        <item>&lt;</item>
      </candidateList>
      <explain>文本全半角错误。</explain>
      <paraID> 64A3275</paraID>
      <start>0</start>
      <end>1</end>
      <status>unmodified</status>
      <modifiedWord/>
      <trackRevisions>false</trackRevisions>
    </reviewItem>
    <reviewItem>
      <errorID>0ccdafcd-310e-460f-a22c-31fe9b5c845f</errorID>
      <errorWord>＜</errorWord>
      <group>L1_Format</group>
      <groupName>格式问题</groupName>
      <ability>L2_HalfPunc_CN</ability>
      <abilityName/>
      <candidateList>
        <item>&lt;</item>
      </candidateList>
      <explain>文本全半角错误。</explain>
      <paraID>33AD9EAA</paraID>
      <start>0</start>
      <end>1</end>
      <status>unmodified</status>
      <modifiedWord/>
      <trackRevisions>false</trackRevisions>
    </reviewItem>
    <reviewItem>
      <errorID>969893bc-9239-46a9-aec1-0c4004e479ab</errorID>
      <errorWord>＜</errorWord>
      <group>L1_Format</group>
      <groupName>格式问题</groupName>
      <ability>L2_HalfPunc_CN</ability>
      <abilityName/>
      <candidateList>
        <item>&lt;</item>
      </candidateList>
      <explain>文本全半角错误。</explain>
      <paraID>7A85D21B</paraID>
      <start>0</start>
      <end>1</end>
      <status>unmodified</status>
      <modifiedWord/>
      <trackRevisions>false</trackRevisions>
    </reviewItem>
    <reviewItem>
      <errorID>a3fa0c86-2a7a-46d5-bf4f-59c505199208</errorID>
      <errorWord>＜</errorWord>
      <group>L1_Format</group>
      <groupName>格式问题</groupName>
      <ability>L2_HalfPunc_CN</ability>
      <abilityName/>
      <candidateList>
        <item>&lt;</item>
      </candidateList>
      <explain>文本全半角错误。</explain>
      <paraID> FB5578D</paraID>
      <start>0</start>
      <end>1</end>
      <status>unmodified</status>
      <modifiedWord/>
      <trackRevisions>false</trackRevisions>
    </reviewItem>
    <reviewItem>
      <errorID>d0f2a005-9cc5-427d-8a4e-30511ab202b2</errorID>
      <errorWord>＜</errorWord>
      <group>L1_Format</group>
      <groupName>格式问题</groupName>
      <ability>L2_HalfPunc_CN</ability>
      <abilityName/>
      <candidateList>
        <item>&lt;</item>
      </candidateList>
      <explain>文本全半角错误。</explain>
      <paraID>1739F6FB</paraID>
      <start>0</start>
      <end>1</end>
      <status>unmodified</status>
      <modifiedWord/>
      <trackRevisions>false</trackRevisions>
    </reviewItem>
    <reviewItem>
      <errorID>39f6e71d-0690-493f-9a76-479ecc9a650e</errorID>
      <errorWord>＜</errorWord>
      <group>L1_Format</group>
      <groupName>格式问题</groupName>
      <ability>L2_HalfPunc_CN</ability>
      <abilityName/>
      <candidateList>
        <item>&lt;</item>
      </candidateList>
      <explain>文本全半角错误。</explain>
      <paraID>5DF864C6</paraID>
      <start>0</start>
      <end>1</end>
      <status>unmodified</status>
      <modifiedWord/>
      <trackRevisions>false</trackRevisions>
    </reviewItem>
    <reviewItem>
      <errorID>373f8d95-e8a2-422a-bc92-7686f4cc2de8</errorID>
      <errorWord>＜</errorWord>
      <group>L1_Format</group>
      <groupName>格式问题</groupName>
      <ability>L2_HalfPunc_CN</ability>
      <abilityName/>
      <candidateList>
        <item>&lt;</item>
      </candidateList>
      <explain>文本全半角错误。</explain>
      <paraID>1E5DB87D</paraID>
      <start>0</start>
      <end>1</end>
      <status>unmodified</status>
      <modifiedWord/>
      <trackRevisions>false</trackRevisions>
    </reviewItem>
    <reviewItem>
      <errorID>0a48675b-998d-4253-9979-a2ba6b2bdf35</errorID>
      <errorWord>＜</errorWord>
      <group>L1_Format</group>
      <groupName>格式问题</groupName>
      <ability>L2_HalfPunc_CN</ability>
      <abilityName/>
      <candidateList>
        <item>&lt;</item>
      </candidateList>
      <explain>文本全半角错误。</explain>
      <paraID>2DEC572A</paraID>
      <start>0</start>
      <end>1</end>
      <status>unmodified</status>
      <modifiedWord/>
      <trackRevisions>false</trackRevisions>
    </reviewItem>
    <reviewItem>
      <errorID>769aeed4-60d6-43dd-ab77-0c9b6144345f</errorID>
      <errorWord>＜</errorWord>
      <group>L1_Format</group>
      <groupName>格式问题</groupName>
      <ability>L2_HalfPunc_CN</ability>
      <abilityName/>
      <candidateList>
        <item>&lt;</item>
      </candidateList>
      <explain>文本全半角错误。</explain>
      <paraID>1EA8F691</paraID>
      <start>0</start>
      <end>1</end>
      <status>unmodified</status>
      <modifiedWord/>
      <trackRevisions>false</trackRevisions>
    </reviewItem>
    <reviewItem>
      <errorID>381af869-7f21-437a-9cba-78b439a27642</errorID>
      <errorWord>＜</errorWord>
      <group>L1_Format</group>
      <groupName>格式问题</groupName>
      <ability>L2_HalfPunc_CN</ability>
      <abilityName/>
      <candidateList>
        <item>&lt;</item>
      </candidateList>
      <explain>文本全半角错误。</explain>
      <paraID>43865F4F</paraID>
      <start>0</start>
      <end>1</end>
      <status>unmodified</status>
      <modifiedWord/>
      <trackRevisions>false</trackRevisions>
    </reviewItem>
    <reviewItem>
      <errorID>1550b77c-d292-4ee5-87cc-6e34987d04ac</errorID>
      <errorWord>＜</errorWord>
      <group>L1_Format</group>
      <groupName>格式问题</groupName>
      <ability>L2_HalfPunc_CN</ability>
      <abilityName/>
      <candidateList>
        <item>&lt;</item>
      </candidateList>
      <explain>文本全半角错误。</explain>
      <paraID>5510F89A</paraID>
      <start>0</start>
      <end>1</end>
      <status>unmodified</status>
      <modifiedWord/>
      <trackRevisions>false</trackRevisions>
    </reviewItem>
    <reviewItem>
      <errorID>cca2a34c-9939-4878-886a-933eb01da189</errorID>
      <errorWord>＜</errorWord>
      <group>L1_Format</group>
      <groupName>格式问题</groupName>
      <ability>L2_HalfPunc_CN</ability>
      <abilityName/>
      <candidateList>
        <item>&lt;</item>
      </candidateList>
      <explain>文本全半角错误。</explain>
      <paraID>18B5B731</paraID>
      <start>0</start>
      <end>1</end>
      <status>unmodified</status>
      <modifiedWord/>
      <trackRevisions>false</trackRevisions>
    </reviewItem>
    <reviewItem>
      <errorID>bac2031f-9186-4a8f-ad30-752ef0613dd3</errorID>
      <errorWord>＜</errorWord>
      <group>L1_Format</group>
      <groupName>格式问题</groupName>
      <ability>L2_HalfPunc_CN</ability>
      <abilityName/>
      <candidateList>
        <item>&lt;</item>
      </candidateList>
      <explain>文本全半角错误。</explain>
      <paraID>46EC26C9</paraID>
      <start>0</start>
      <end>1</end>
      <status>unmodified</status>
      <modifiedWord/>
      <trackRevisions>false</trackRevisions>
    </reviewItem>
    <reviewItem>
      <errorID>f201c1dc-7ad6-4312-b9f0-11d491c5d4c1</errorID>
      <errorWord>＜</errorWord>
      <group>L1_Format</group>
      <groupName>格式问题</groupName>
      <ability>L2_HalfPunc_CN</ability>
      <abilityName/>
      <candidateList>
        <item>&lt;</item>
      </candidateList>
      <explain>文本全半角错误。</explain>
      <paraID>36C25FD3</paraID>
      <start>0</start>
      <end>1</end>
      <status>unmodified</status>
      <modifiedWord/>
      <trackRevisions>false</trackRevisions>
    </reviewItem>
    <reviewItem>
      <errorID>c823a031-9515-4c71-b59e-7efc70b080ec</errorID>
      <errorWord>＜</errorWord>
      <group>L1_Format</group>
      <groupName>格式问题</groupName>
      <ability>L2_HalfPunc_CN</ability>
      <abilityName/>
      <candidateList>
        <item>&lt;</item>
      </candidateList>
      <explain>文本全半角错误。</explain>
      <paraID>7E08E9BE</paraID>
      <start>0</start>
      <end>1</end>
      <status>unmodified</status>
      <modifiedWord/>
      <trackRevisions>false</trackRevisions>
    </reviewItem>
    <reviewItem>
      <errorID>ee84d929-b4f9-4dda-9c31-419add9eaab5</errorID>
      <errorWord>＜</errorWord>
      <group>L1_Format</group>
      <groupName>格式问题</groupName>
      <ability>L2_HalfPunc_CN</ability>
      <abilityName/>
      <candidateList>
        <item>&lt;</item>
      </candidateList>
      <explain>文本全半角错误。</explain>
      <paraID>688940B3</paraID>
      <start>0</start>
      <end>1</end>
      <status>unmodified</status>
      <modifiedWord/>
      <trackRevisions>false</trackRevisions>
    </reviewItem>
    <reviewItem>
      <errorID>0c505bdd-b58c-4814-9195-e600ff6e34a5</errorID>
      <errorWord>＜</errorWord>
      <group>L1_Format</group>
      <groupName>格式问题</groupName>
      <ability>L2_HalfPunc_CN</ability>
      <abilityName/>
      <candidateList>
        <item>&lt;</item>
      </candidateList>
      <explain>文本全半角错误。</explain>
      <paraID> E1156B0</paraID>
      <start>0</start>
      <end>1</end>
      <status>unmodified</status>
      <modifiedWord/>
      <trackRevisions>false</trackRevisions>
    </reviewItem>
    <reviewItem>
      <errorID>657fdbcf-58b3-494f-b420-885df09c609e</errorID>
      <errorWord>＜</errorWord>
      <group>L1_Format</group>
      <groupName>格式问题</groupName>
      <ability>L2_HalfPunc_CN</ability>
      <abilityName/>
      <candidateList>
        <item>&lt;</item>
      </candidateList>
      <explain>文本全半角错误。</explain>
      <paraID>48C6CEE6</paraID>
      <start>0</start>
      <end>1</end>
      <status>unmodified</status>
      <modifiedWord/>
      <trackRevisions>false</trackRevisions>
    </reviewItem>
    <reviewItem>
      <errorID>996bdc23-e787-466c-9e77-257d6f60334d</errorID>
      <errorWord>＜</errorWord>
      <group>L1_Format</group>
      <groupName>格式问题</groupName>
      <ability>L2_HalfPunc_CN</ability>
      <abilityName/>
      <candidateList>
        <item>&lt;</item>
      </candidateList>
      <explain>文本全半角错误。</explain>
      <paraID> 7999F71</paraID>
      <start>0</start>
      <end>1</end>
      <status>unmodified</status>
      <modifiedWord/>
      <trackRevisions>false</trackRevisions>
    </reviewItem>
    <reviewItem>
      <errorID>e8b57b79-55c9-4c3c-bdf2-47dde33010c8</errorID>
      <errorWord>＜</errorWord>
      <group>L1_Format</group>
      <groupName>格式问题</groupName>
      <ability>L2_HalfPunc_CN</ability>
      <abilityName/>
      <candidateList>
        <item>&lt;</item>
      </candidateList>
      <explain>文本全半角错误。</explain>
      <paraID>5F42DC9F</paraID>
      <start>0</start>
      <end>1</end>
      <status>unmodified</status>
      <modifiedWord/>
      <trackRevisions>false</trackRevisions>
    </reviewItem>
    <reviewItem>
      <errorID>f88d697f-15d9-46de-bfb3-3c6070167804</errorID>
      <errorWord>＜</errorWord>
      <group>L1_Format</group>
      <groupName>格式问题</groupName>
      <ability>L2_HalfPunc_CN</ability>
      <abilityName/>
      <candidateList>
        <item>&lt;</item>
      </candidateList>
      <explain>文本全半角错误。</explain>
      <paraID>69D0AE6F</paraID>
      <start>0</start>
      <end>1</end>
      <status>unmodified</status>
      <modifiedWord/>
      <trackRevisions>false</trackRevisions>
    </reviewItem>
    <reviewItem>
      <errorID>5caa3c57-b140-408f-af45-aaa335d8f10d</errorID>
      <errorWord>＜</errorWord>
      <group>L1_Format</group>
      <groupName>格式问题</groupName>
      <ability>L2_HalfPunc_CN</ability>
      <abilityName/>
      <candidateList>
        <item>&lt;</item>
      </candidateList>
      <explain>文本全半角错误。</explain>
      <paraID>15EC488B</paraID>
      <start>0</start>
      <end>1</end>
      <status>unmodified</status>
      <modifiedWord/>
      <trackRevisions>false</trackRevisions>
    </reviewItem>
    <reviewItem>
      <errorID>8731003e-c148-4f2d-97d8-e3d858cb6803</errorID>
      <errorWord>＜</errorWord>
      <group>L1_Format</group>
      <groupName>格式问题</groupName>
      <ability>L2_HalfPunc_CN</ability>
      <abilityName/>
      <candidateList>
        <item>&lt;</item>
      </candidateList>
      <explain>文本全半角错误。</explain>
      <paraID>114D2364</paraID>
      <start>0</start>
      <end>1</end>
      <status>unmodified</status>
      <modifiedWord/>
      <trackRevisions>false</trackRevisions>
    </reviewItem>
    <reviewItem>
      <errorID>dd64c200-3abd-481d-b728-7c66f6a9da39</errorID>
      <errorWord>＜</errorWord>
      <group>L1_Format</group>
      <groupName>格式问题</groupName>
      <ability>L2_HalfPunc_CN</ability>
      <abilityName/>
      <candidateList>
        <item>&lt;</item>
      </candidateList>
      <explain>文本全半角错误。</explain>
      <paraID> 7B42EA8</paraID>
      <start>0</start>
      <end>1</end>
      <status>unmodified</status>
      <modifiedWord/>
      <trackRevisions>false</trackRevisions>
    </reviewItem>
    <reviewItem>
      <errorID>e4267d78-b2a5-4da1-8e1e-03d1152bd5ed</errorID>
      <errorWord>＜</errorWord>
      <group>L1_Format</group>
      <groupName>格式问题</groupName>
      <ability>L2_HalfPunc_CN</ability>
      <abilityName/>
      <candidateList>
        <item>&lt;</item>
      </candidateList>
      <explain>文本全半角错误。</explain>
      <paraID> 59806BD</paraID>
      <start>0</start>
      <end>1</end>
      <status>unmodified</status>
      <modifiedWord/>
      <trackRevisions>false</trackRevisions>
    </reviewItem>
    <reviewItem>
      <errorID>e2c2791f-4c9a-4ff6-84ff-fb4f34826121</errorID>
      <errorWord>＜</errorWord>
      <group>L1_Format</group>
      <groupName>格式问题</groupName>
      <ability>L2_HalfPunc_CN</ability>
      <abilityName/>
      <candidateList>
        <item>&lt;</item>
      </candidateList>
      <explain>文本全半角错误。</explain>
      <paraID>42C60A97</paraID>
      <start>0</start>
      <end>1</end>
      <status>unmodified</status>
      <modifiedWord/>
      <trackRevisions>false</trackRevisions>
    </reviewItem>
    <reviewItem>
      <errorID>dc4610f4-a804-456e-ac0b-af357e77b99b</errorID>
      <errorWord>＜</errorWord>
      <group>L1_Format</group>
      <groupName>格式问题</groupName>
      <ability>L2_HalfPunc_CN</ability>
      <abilityName/>
      <candidateList>
        <item>&lt;</item>
      </candidateList>
      <explain>文本全半角错误。</explain>
      <paraID>404A789F</paraID>
      <start>0</start>
      <end>1</end>
      <status>unmodified</status>
      <modifiedWord/>
      <trackRevisions>false</trackRevisions>
    </reviewItem>
    <reviewItem>
      <errorID>d1fc20f6-8c16-4af9-93c1-51be8e553737</errorID>
      <errorWord>＜</errorWord>
      <group>L1_Format</group>
      <groupName>格式问题</groupName>
      <ability>L2_HalfPunc_CN</ability>
      <abilityName/>
      <candidateList>
        <item>&lt;</item>
      </candidateList>
      <explain>文本全半角错误。</explain>
      <paraID>6B240664</paraID>
      <start>0</start>
      <end>1</end>
      <status>unmodified</status>
      <modifiedWord/>
      <trackRevisions>false</trackRevisions>
    </reviewItem>
    <reviewItem>
      <errorID>0c2d6ef4-751f-41ca-9a60-123e3b9fef87</errorID>
      <errorWord>＜</errorWord>
      <group>L1_Format</group>
      <groupName>格式问题</groupName>
      <ability>L2_HalfPunc_CN</ability>
      <abilityName/>
      <candidateList>
        <item>&lt;</item>
      </candidateList>
      <explain>文本全半角错误。</explain>
      <paraID>22CB1325</paraID>
      <start>0</start>
      <end>1</end>
      <status>unmodified</status>
      <modifiedWord/>
      <trackRevisions>false</trackRevisions>
    </reviewItem>
    <reviewItem>
      <errorID>46aa2f44-3167-4c4f-894d-ee5ad66b4500</errorID>
      <errorWord>＜</errorWord>
      <group>L1_Format</group>
      <groupName>格式问题</groupName>
      <ability>L2_HalfPunc_CN</ability>
      <abilityName/>
      <candidateList>
        <item>&lt;</item>
      </candidateList>
      <explain>文本全半角错误。</explain>
      <paraID>21F04303</paraID>
      <start>0</start>
      <end>1</end>
      <status>unmodified</status>
      <modifiedWord/>
      <trackRevisions>false</trackRevisions>
    </reviewItem>
    <reviewItem>
      <errorID>5441be01-7c4c-4db9-95d6-56a4151d3269</errorID>
      <errorWord>＜</errorWord>
      <group>L1_Format</group>
      <groupName>格式问题</groupName>
      <ability>L2_HalfPunc_CN</ability>
      <abilityName/>
      <candidateList>
        <item>&lt;</item>
      </candidateList>
      <explain>文本全半角错误。</explain>
      <paraID>35CDB2A0</paraID>
      <start>0</start>
      <end>1</end>
      <status>unmodified</status>
      <modifiedWord/>
      <trackRevisions>false</trackRevisions>
    </reviewItem>
    <reviewItem>
      <errorID>0796016e-1edd-4cce-900c-5d9a6bb166cb</errorID>
      <errorWord>＜</errorWord>
      <group>L1_Format</group>
      <groupName>格式问题</groupName>
      <ability>L2_HalfPunc_CN</ability>
      <abilityName/>
      <candidateList>
        <item>&lt;</item>
      </candidateList>
      <explain>文本全半角错误。</explain>
      <paraID>4256A272</paraID>
      <start>0</start>
      <end>1</end>
      <status>unmodified</status>
      <modifiedWord/>
      <trackRevisions>false</trackRevisions>
    </reviewItem>
    <reviewItem>
      <errorID>f5bbfb16-1437-4443-9742-55c31c12a19f</errorID>
      <errorWord>＜</errorWord>
      <group>L1_Format</group>
      <groupName>格式问题</groupName>
      <ability>L2_HalfPunc_CN</ability>
      <abilityName/>
      <candidateList>
        <item>&lt;</item>
      </candidateList>
      <explain>文本全半角错误。</explain>
      <paraID>3452F9DF</paraID>
      <start>0</start>
      <end>1</end>
      <status>unmodified</status>
      <modifiedWord/>
      <trackRevisions>false</trackRevisions>
    </reviewItem>
    <reviewItem>
      <errorID>02ac8f2e-5476-47b2-9774-bef936cfcbd7</errorID>
      <errorWord>＜</errorWord>
      <group>L1_Format</group>
      <groupName>格式问题</groupName>
      <ability>L2_HalfPunc_CN</ability>
      <abilityName/>
      <candidateList>
        <item>&lt;</item>
      </candidateList>
      <explain>文本全半角错误。</explain>
      <paraID>22404808</paraID>
      <start>0</start>
      <end>1</end>
      <status>unmodified</status>
      <modifiedWord/>
      <trackRevisions>false</trackRevisions>
    </reviewItem>
    <reviewItem>
      <errorID>4a9b2e9a-9ad3-432d-957d-9bcc62d30d07</errorID>
      <errorWord>＜</errorWord>
      <group>L1_Format</group>
      <groupName>格式问题</groupName>
      <ability>L2_HalfPunc_CN</ability>
      <abilityName/>
      <candidateList>
        <item>&lt;</item>
      </candidateList>
      <explain>文本全半角错误。</explain>
      <paraID> 2339AA4</paraID>
      <start>0</start>
      <end>1</end>
      <status>unmodified</status>
      <modifiedWord/>
      <trackRevisions>false</trackRevisions>
    </reviewItem>
    <reviewItem>
      <errorID>2d2de5d6-becc-4739-864a-226aa2bd77a2</errorID>
      <errorWord>＜</errorWord>
      <group>L1_Format</group>
      <groupName>格式问题</groupName>
      <ability>L2_HalfPunc_CN</ability>
      <abilityName/>
      <candidateList>
        <item>&lt;</item>
      </candidateList>
      <explain>文本全半角错误。</explain>
      <paraID> 804D45B</paraID>
      <start>0</start>
      <end>1</end>
      <status>unmodified</status>
      <modifiedWord/>
      <trackRevisions>false</trackRevisions>
    </reviewItem>
    <reviewItem>
      <errorID>ca6e4cde-9852-4d33-b31e-840171f11492</errorID>
      <errorWord>＜</errorWord>
      <group>L1_Format</group>
      <groupName>格式问题</groupName>
      <ability>L2_HalfPunc_CN</ability>
      <abilityName/>
      <candidateList>
        <item>&lt;</item>
      </candidateList>
      <explain>文本全半角错误。</explain>
      <paraID>4941F6D3</paraID>
      <start>0</start>
      <end>1</end>
      <status>unmodified</status>
      <modifiedWord/>
      <trackRevisions>false</trackRevisions>
    </reviewItem>
    <reviewItem>
      <errorID>a6891b19-f9db-4c53-a0f0-ffffb83afa4d</errorID>
      <errorWord>＜</errorWord>
      <group>L1_Format</group>
      <groupName>格式问题</groupName>
      <ability>L2_HalfPunc_CN</ability>
      <abilityName/>
      <candidateList>
        <item>&lt;</item>
      </candidateList>
      <explain>文本全半角错误。</explain>
      <paraID>39E51B07</paraID>
      <start>0</start>
      <end>1</end>
      <status>unmodified</status>
      <modifiedWord/>
      <trackRevisions>false</trackRevisions>
    </reviewItem>
    <reviewItem>
      <errorID>5d068e82-89ac-4b29-b787-2af5f431f79e</errorID>
      <errorWord>＜</errorWord>
      <group>L1_Format</group>
      <groupName>格式问题</groupName>
      <ability>L2_HalfPunc_CN</ability>
      <abilityName/>
      <candidateList>
        <item>&lt;</item>
      </candidateList>
      <explain>文本全半角错误。</explain>
      <paraID>2B65A156</paraID>
      <start>0</start>
      <end>1</end>
      <status>unmodified</status>
      <modifiedWord/>
      <trackRevisions>false</trackRevisions>
    </reviewItem>
    <reviewItem>
      <errorID>d49a850b-71e5-4264-b780-afc0f2a2daec</errorID>
      <errorWord>＜</errorWord>
      <group>L1_Format</group>
      <groupName>格式问题</groupName>
      <ability>L2_HalfPunc_CN</ability>
      <abilityName/>
      <candidateList>
        <item>&lt;</item>
      </candidateList>
      <explain>文本全半角错误。</explain>
      <paraID>1B58B925</paraID>
      <start>0</start>
      <end>1</end>
      <status>unmodified</status>
      <modifiedWord/>
      <trackRevisions>false</trackRevisions>
    </reviewItem>
    <reviewItem>
      <errorID>989b60a7-d962-41ef-9f5e-3b78fecac368</errorID>
      <errorWord>＜</errorWord>
      <group>L1_Format</group>
      <groupName>格式问题</groupName>
      <ability>L2_HalfPunc_CN</ability>
      <abilityName/>
      <candidateList>
        <item>&lt;</item>
      </candidateList>
      <explain>文本全半角错误。</explain>
      <paraID>1E2855AB</paraID>
      <start>0</start>
      <end>1</end>
      <status>unmodified</status>
      <modifiedWord/>
      <trackRevisions>false</trackRevisions>
    </reviewItem>
    <reviewItem>
      <errorID>fcbed469-4e92-4f5b-8c0a-fc4745828815</errorID>
      <errorWord>＜</errorWord>
      <group>L1_Format</group>
      <groupName>格式问题</groupName>
      <ability>L2_HalfPunc_CN</ability>
      <abilityName/>
      <candidateList>
        <item>&lt;</item>
      </candidateList>
      <explain>文本全半角错误。</explain>
      <paraID>195110CF</paraID>
      <start>0</start>
      <end>1</end>
      <status>unmodified</status>
      <modifiedWord/>
      <trackRevisions>false</trackRevisions>
    </reviewItem>
    <reviewItem>
      <errorID>2d922f4a-69d5-4e93-b60f-bcb6d3e3924c</errorID>
      <errorWord>＜</errorWord>
      <group>L1_Format</group>
      <groupName>格式问题</groupName>
      <ability>L2_HalfPunc_CN</ability>
      <abilityName/>
      <candidateList>
        <item>&lt;</item>
      </candidateList>
      <explain>文本全半角错误。</explain>
      <paraID>2ED4F42E</paraID>
      <start>0</start>
      <end>1</end>
      <status>unmodified</status>
      <modifiedWord/>
      <trackRevisions>false</trackRevisions>
    </reviewItem>
    <reviewItem>
      <errorID>706af1a6-dae8-42e6-b892-ae51a9b3cf4e</errorID>
      <errorWord>＜</errorWord>
      <group>L1_Format</group>
      <groupName>格式问题</groupName>
      <ability>L2_HalfPunc_CN</ability>
      <abilityName/>
      <candidateList>
        <item>&lt;</item>
      </candidateList>
      <explain>文本全半角错误。</explain>
      <paraID>66F343D1</paraID>
      <start>0</start>
      <end>1</end>
      <status>unmodified</status>
      <modifiedWord/>
      <trackRevisions>false</trackRevisions>
    </reviewItem>
    <reviewItem>
      <errorID>ecbe3ac1-bcc9-4d2e-87b5-7cdd27f50f50</errorID>
      <errorWord>＜</errorWord>
      <group>L1_Format</group>
      <groupName>格式问题</groupName>
      <ability>L2_HalfPunc_CN</ability>
      <abilityName/>
      <candidateList>
        <item>&lt;</item>
      </candidateList>
      <explain>文本全半角错误。</explain>
      <paraID>76B05D6A</paraID>
      <start>0</start>
      <end>1</end>
      <status>unmodified</status>
      <modifiedWord/>
      <trackRevisions>false</trackRevisions>
    </reviewItem>
    <reviewItem>
      <errorID>0c12ddc9-1824-4902-aae2-b25d1f4984c5</errorID>
      <errorWord>＜</errorWord>
      <group>L1_Format</group>
      <groupName>格式问题</groupName>
      <ability>L2_HalfPunc_CN</ability>
      <abilityName/>
      <candidateList>
        <item>&lt;</item>
      </candidateList>
      <explain>文本全半角错误。</explain>
      <paraID>5AED4DBA</paraID>
      <start>0</start>
      <end>1</end>
      <status>unmodified</status>
      <modifiedWord/>
      <trackRevisions>false</trackRevisions>
    </reviewItem>
    <reviewItem>
      <errorID>d7d1975e-87eb-40d5-af98-ca22962fa28b</errorID>
      <errorWord>＜</errorWord>
      <group>L1_Format</group>
      <groupName>格式问题</groupName>
      <ability>L2_HalfPunc_CN</ability>
      <abilityName/>
      <candidateList>
        <item>&lt;</item>
      </candidateList>
      <explain>文本全半角错误。</explain>
      <paraID>4A0F1ECC</paraID>
      <start>0</start>
      <end>1</end>
      <status>unmodified</status>
      <modifiedWord/>
      <trackRevisions>false</trackRevisions>
    </reviewItem>
    <reviewItem>
      <errorID>dc4ea304-21b1-493a-bdf5-c238d1cc1b98</errorID>
      <errorWord>＜</errorWord>
      <group>L1_Format</group>
      <groupName>格式问题</groupName>
      <ability>L2_HalfPunc_CN</ability>
      <abilityName/>
      <candidateList>
        <item>&lt;</item>
      </candidateList>
      <explain>文本全半角错误。</explain>
      <paraID>709C2F3C</paraID>
      <start>0</start>
      <end>1</end>
      <status>unmodified</status>
      <modifiedWord/>
      <trackRevisions>false</trackRevisions>
    </reviewItem>
    <reviewItem>
      <errorID>12718e13-914f-4be1-946f-d23f2500b7e5</errorID>
      <errorWord>＜</errorWord>
      <group>L1_Format</group>
      <groupName>格式问题</groupName>
      <ability>L2_HalfPunc_CN</ability>
      <abilityName/>
      <candidateList>
        <item>&lt;</item>
      </candidateList>
      <explain>文本全半角错误。</explain>
      <paraID>14DDED29</paraID>
      <start>0</start>
      <end>1</end>
      <status>unmodified</status>
      <modifiedWord/>
      <trackRevisions>false</trackRevisions>
    </reviewItem>
    <reviewItem>
      <errorID>6aa8dc3f-cda3-4210-ad64-133b58e08fe3</errorID>
      <errorWord>＜</errorWord>
      <group>L1_Format</group>
      <groupName>格式问题</groupName>
      <ability>L2_HalfPunc_CN</ability>
      <abilityName/>
      <candidateList>
        <item>&lt;</item>
      </candidateList>
      <explain>文本全半角错误。</explain>
      <paraID>2F72ACDE</paraID>
      <start>0</start>
      <end>1</end>
      <status>unmodified</status>
      <modifiedWord/>
      <trackRevisions>false</trackRevisions>
    </reviewItem>
    <reviewItem>
      <errorID>c0d8aa6c-dfae-4b62-a4cb-1a782295a8d5</errorID>
      <errorWord>＜</errorWord>
      <group>L1_Format</group>
      <groupName>格式问题</groupName>
      <ability>L2_HalfPunc_CN</ability>
      <abilityName/>
      <candidateList>
        <item>&lt;</item>
      </candidateList>
      <explain>文本全半角错误。</explain>
      <paraID>2A83DAE6</paraID>
      <start>0</start>
      <end>1</end>
      <status>unmodified</status>
      <modifiedWord/>
      <trackRevisions>false</trackRevisions>
    </reviewItem>
    <reviewItem>
      <errorID>446910a8-c32b-45e1-a8fd-7c56140ee1e7</errorID>
      <errorWord>＜</errorWord>
      <group>L1_Format</group>
      <groupName>格式问题</groupName>
      <ability>L2_HalfPunc_CN</ability>
      <abilityName/>
      <candidateList>
        <item>&lt;</item>
      </candidateList>
      <explain>文本全半角错误。</explain>
      <paraID>4E0F0E94</paraID>
      <start>0</start>
      <end>1</end>
      <status>unmodified</status>
      <modifiedWord/>
      <trackRevisions>false</trackRevisions>
    </reviewItem>
    <reviewItem>
      <errorID>bc69f500-193a-49ea-9762-a64825bf01d5</errorID>
      <errorWord>＜</errorWord>
      <group>L1_Format</group>
      <groupName>格式问题</groupName>
      <ability>L2_HalfPunc_CN</ability>
      <abilityName/>
      <candidateList>
        <item>&lt;</item>
      </candidateList>
      <explain>文本全半角错误。</explain>
      <paraID>731EC2B4</paraID>
      <start>0</start>
      <end>1</end>
      <status>unmodified</status>
      <modifiedWord/>
      <trackRevisions>false</trackRevisions>
    </reviewItem>
    <reviewItem>
      <errorID>f885a930-b4ae-4135-864c-667b9fca6e2b</errorID>
      <errorWord>＜</errorWord>
      <group>L1_Format</group>
      <groupName>格式问题</groupName>
      <ability>L2_HalfPunc_CN</ability>
      <abilityName/>
      <candidateList>
        <item>&lt;</item>
      </candidateList>
      <explain>文本全半角错误。</explain>
      <paraID>5B316F39</paraID>
      <start>0</start>
      <end>1</end>
      <status>unmodified</status>
      <modifiedWord/>
      <trackRevisions>false</trackRevisions>
    </reviewItem>
    <reviewItem>
      <errorID>12ec90c7-e71a-4c4a-8700-481b6ad2bc84</errorID>
      <errorWord>＜</errorWord>
      <group>L1_Format</group>
      <groupName>格式问题</groupName>
      <ability>L2_HalfPunc_CN</ability>
      <abilityName/>
      <candidateList>
        <item>&lt;</item>
      </candidateList>
      <explain>文本全半角错误。</explain>
      <paraID>3CF73D06</paraID>
      <start>0</start>
      <end>1</end>
      <status>unmodified</status>
      <modifiedWord/>
      <trackRevisions>false</trackRevisions>
    </reviewItem>
    <reviewItem>
      <errorID>664a1f7d-bcee-4e58-b348-2f123a9de1bf</errorID>
      <errorWord>＜</errorWord>
      <group>L1_Format</group>
      <groupName>格式问题</groupName>
      <ability>L2_HalfPunc_CN</ability>
      <abilityName/>
      <candidateList>
        <item>&lt;</item>
      </candidateList>
      <explain>文本全半角错误。</explain>
      <paraID>5FD64CA7</paraID>
      <start>0</start>
      <end>1</end>
      <status>unmodified</status>
      <modifiedWord/>
      <trackRevisions>false</trackRevisions>
    </reviewItem>
    <reviewItem>
      <errorID>e5eea074-c9da-4bf8-9f73-ab0a7faad73d</errorID>
      <errorWord>＜</errorWord>
      <group>L1_Format</group>
      <groupName>格式问题</groupName>
      <ability>L2_HalfPunc_CN</ability>
      <abilityName/>
      <candidateList>
        <item>&lt;</item>
      </candidateList>
      <explain>文本全半角错误。</explain>
      <paraID> 4D7D173</paraID>
      <start>0</start>
      <end>1</end>
      <status>unmodified</status>
      <modifiedWord/>
      <trackRevisions>false</trackRevisions>
    </reviewItem>
    <reviewItem>
      <errorID>af569a60-01ab-404f-9ec9-35f23ed64dae</errorID>
      <errorWord>＜</errorWord>
      <group>L1_Format</group>
      <groupName>格式问题</groupName>
      <ability>L2_HalfPunc_CN</ability>
      <abilityName/>
      <candidateList>
        <item>&lt;</item>
      </candidateList>
      <explain>文本全半角错误。</explain>
      <paraID>4281F980</paraID>
      <start>0</start>
      <end>1</end>
      <status>unmodified</status>
      <modifiedWord/>
      <trackRevisions>false</trackRevisions>
    </reviewItem>
    <reviewItem>
      <errorID>7b3b47ad-231b-4362-9490-3a591760c81e</errorID>
      <errorWord>＜</errorWord>
      <group>L1_Format</group>
      <groupName>格式问题</groupName>
      <ability>L2_HalfPunc_CN</ability>
      <abilityName/>
      <candidateList>
        <item>&lt;</item>
      </candidateList>
      <explain>文本全半角错误。</explain>
      <paraID>1899D35D</paraID>
      <start>0</start>
      <end>1</end>
      <status>unmodified</status>
      <modifiedWord/>
      <trackRevisions>false</trackRevisions>
    </reviewItem>
    <reviewItem>
      <errorID>2d0006cc-b00b-429a-b068-8c82a8ee9d25</errorID>
      <errorWord>＜</errorWord>
      <group>L1_Format</group>
      <groupName>格式问题</groupName>
      <ability>L2_HalfPunc_CN</ability>
      <abilityName/>
      <candidateList>
        <item>&lt;</item>
      </candidateList>
      <explain>文本全半角错误。</explain>
      <paraID>3DB2663D</paraID>
      <start>0</start>
      <end>1</end>
      <status>unmodified</status>
      <modifiedWord/>
      <trackRevisions>false</trackRevisions>
    </reviewItem>
    <reviewItem>
      <errorID>84b9276f-87cf-45c5-83d6-a93b3936e906</errorID>
      <errorWord>＜</errorWord>
      <group>L1_Format</group>
      <groupName>格式问题</groupName>
      <ability>L2_HalfPunc_CN</ability>
      <abilityName/>
      <candidateList>
        <item>&lt;</item>
      </candidateList>
      <explain>文本全半角错误。</explain>
      <paraID> 3C5DAB8</paraID>
      <start>0</start>
      <end>1</end>
      <status>unmodified</status>
      <modifiedWord/>
      <trackRevisions>false</trackRevisions>
    </reviewItem>
    <reviewItem>
      <errorID>c1321007-7d01-40e6-9ed7-b48eae8c98da</errorID>
      <errorWord>＜</errorWord>
      <group>L1_Format</group>
      <groupName>格式问题</groupName>
      <ability>L2_HalfPunc_CN</ability>
      <abilityName/>
      <candidateList>
        <item>&lt;</item>
      </candidateList>
      <explain>文本全半角错误。</explain>
      <paraID>355A79B3</paraID>
      <start>0</start>
      <end>1</end>
      <status>unmodified</status>
      <modifiedWord/>
      <trackRevisions>false</trackRevisions>
    </reviewItem>
    <reviewItem>
      <errorID>fc57796a-6993-48c1-bda6-3bdb4f92a2a3</errorID>
      <errorWord>＜</errorWord>
      <group>L1_Format</group>
      <groupName>格式问题</groupName>
      <ability>L2_HalfPunc_CN</ability>
      <abilityName/>
      <candidateList>
        <item>&lt;</item>
      </candidateList>
      <explain>文本全半角错误。</explain>
      <paraID>106B8B9D</paraID>
      <start>0</start>
      <end>1</end>
      <status>unmodified</status>
      <modifiedWord/>
      <trackRevisions>false</trackRevisions>
    </reviewItem>
    <reviewItem>
      <errorID>17bae199-9f9b-4a27-9b52-ba9087f58642</errorID>
      <errorWord>＜</errorWord>
      <group>L1_Format</group>
      <groupName>格式问题</groupName>
      <ability>L2_HalfPunc_CN</ability>
      <abilityName/>
      <candidateList>
        <item>&lt;</item>
      </candidateList>
      <explain>文本全半角错误。</explain>
      <paraID>5CD8FE24</paraID>
      <start>0</start>
      <end>1</end>
      <status>unmodified</status>
      <modifiedWord/>
      <trackRevisions>false</trackRevisions>
    </reviewItem>
    <reviewItem>
      <errorID>bac3f17b-97f2-49ee-86d7-933e30125690</errorID>
      <errorWord>＜</errorWord>
      <group>L1_Format</group>
      <groupName>格式问题</groupName>
      <ability>L2_HalfPunc_CN</ability>
      <abilityName/>
      <candidateList>
        <item>&lt;</item>
      </candidateList>
      <explain>文本全半角错误。</explain>
      <paraID>37405ED1</paraID>
      <start>0</start>
      <end>1</end>
      <status>unmodified</status>
      <modifiedWord/>
      <trackRevisions>false</trackRevisions>
    </reviewItem>
    <reviewItem>
      <errorID>bf9c8927-5896-42b1-ada7-8778c51180f8</errorID>
      <errorWord>＜</errorWord>
      <group>L1_Format</group>
      <groupName>格式问题</groupName>
      <ability>L2_HalfPunc_CN</ability>
      <abilityName/>
      <candidateList>
        <item>&lt;</item>
      </candidateList>
      <explain>文本全半角错误。</explain>
      <paraID>6B93AC63</paraID>
      <start>0</start>
      <end>1</end>
      <status>unmodified</status>
      <modifiedWord/>
      <trackRevisions>false</trackRevisions>
    </reviewItem>
    <reviewItem>
      <errorID>688d8b85-3517-48c1-b3f3-9a320d65b79b</errorID>
      <errorWord>＜</errorWord>
      <group>L1_Format</group>
      <groupName>格式问题</groupName>
      <ability>L2_HalfPunc_CN</ability>
      <abilityName/>
      <candidateList>
        <item>&lt;</item>
      </candidateList>
      <explain>文本全半角错误。</explain>
      <paraID>7601618F</paraID>
      <start>0</start>
      <end>1</end>
      <status>unmodified</status>
      <modifiedWord/>
      <trackRevisions>false</trackRevisions>
    </reviewItem>
    <reviewItem>
      <errorID>f4e60fb1-8e43-4f71-abb4-8e9b09742a9c</errorID>
      <errorWord>＜</errorWord>
      <group>L1_Format</group>
      <groupName>格式问题</groupName>
      <ability>L2_HalfPunc_CN</ability>
      <abilityName/>
      <candidateList>
        <item>&lt;</item>
      </candidateList>
      <explain>文本全半角错误。</explain>
      <paraID>505F4FF3</paraID>
      <start>0</start>
      <end>1</end>
      <status>unmodified</status>
      <modifiedWord/>
      <trackRevisions>false</trackRevisions>
    </reviewItem>
    <reviewItem>
      <errorID>a1e4f985-26d2-4884-a21c-0706164b2870</errorID>
      <errorWord>＜</errorWord>
      <group>L1_Format</group>
      <groupName>格式问题</groupName>
      <ability>L2_HalfPunc_CN</ability>
      <abilityName/>
      <candidateList>
        <item>&lt;</item>
      </candidateList>
      <explain>文本全半角错误。</explain>
      <paraID>7B5D16D3</paraID>
      <start>0</start>
      <end>1</end>
      <status>unmodified</status>
      <modifiedWord/>
      <trackRevisions>false</trackRevisions>
    </reviewItem>
    <reviewItem>
      <errorID>1b58154a-471f-4e15-aea0-736edccdef1c</errorID>
      <errorWord>＜</errorWord>
      <group>L1_Format</group>
      <groupName>格式问题</groupName>
      <ability>L2_HalfPunc_CN</ability>
      <abilityName/>
      <candidateList>
        <item>&lt;</item>
      </candidateList>
      <explain>文本全半角错误。</explain>
      <paraID>1CB696D5</paraID>
      <start>0</start>
      <end>1</end>
      <status>unmodified</status>
      <modifiedWord/>
      <trackRevisions>false</trackRevisions>
    </reviewItem>
    <reviewItem>
      <errorID>3562a26c-d37e-4b4d-b750-678049485a1f</errorID>
      <errorWord>＜</errorWord>
      <group>L1_Format</group>
      <groupName>格式问题</groupName>
      <ability>L2_HalfPunc_CN</ability>
      <abilityName/>
      <candidateList>
        <item>&lt;</item>
      </candidateList>
      <explain>文本全半角错误。</explain>
      <paraID>6D3C3D2C</paraID>
      <start>0</start>
      <end>1</end>
      <status>unmodified</status>
      <modifiedWord/>
      <trackRevisions>false</trackRevisions>
    </reviewItem>
    <reviewItem>
      <errorID>bbe83dd6-df66-4e07-8475-6b3af4c4d2d1</errorID>
      <errorWord>＜</errorWord>
      <group>L1_Format</group>
      <groupName>格式问题</groupName>
      <ability>L2_HalfPunc_CN</ability>
      <abilityName/>
      <candidateList>
        <item>&lt;</item>
      </candidateList>
      <explain>文本全半角错误。</explain>
      <paraID>72F748BE</paraID>
      <start>0</start>
      <end>1</end>
      <status>unmodified</status>
      <modifiedWord/>
      <trackRevisions>false</trackRevisions>
    </reviewItem>
    <reviewItem>
      <errorID>73bf6afb-1559-46f8-b68d-4f9b6edb271f</errorID>
      <errorWord>＜</errorWord>
      <group>L1_Format</group>
      <groupName>格式问题</groupName>
      <ability>L2_HalfPunc_CN</ability>
      <abilityName/>
      <candidateList>
        <item>&lt;</item>
      </candidateList>
      <explain>文本全半角错误。</explain>
      <paraID> C34FB20</paraID>
      <start>0</start>
      <end>1</end>
      <status>unmodified</status>
      <modifiedWord/>
      <trackRevisions>false</trackRevisions>
    </reviewItem>
    <reviewItem>
      <errorID>5ec1fe7d-7a8d-4e85-8ddf-93a76f8e0e0a</errorID>
      <errorWord>＜</errorWord>
      <group>L1_Format</group>
      <groupName>格式问题</groupName>
      <ability>L2_HalfPunc_CN</ability>
      <abilityName/>
      <candidateList>
        <item>&lt;</item>
      </candidateList>
      <explain>文本全半角错误。</explain>
      <paraID>7F7D41BA</paraID>
      <start>0</start>
      <end>1</end>
      <status>unmodified</status>
      <modifiedWord/>
      <trackRevisions>false</trackRevisions>
    </reviewItem>
    <reviewItem>
      <errorID>5545f643-a141-486c-bf3f-481f56a5b542</errorID>
      <errorWord>＜</errorWord>
      <group>L1_Format</group>
      <groupName>格式问题</groupName>
      <ability>L2_HalfPunc_CN</ability>
      <abilityName/>
      <candidateList>
        <item>&lt;</item>
      </candidateList>
      <explain>文本全半角错误。</explain>
      <paraID>241DCBD5</paraID>
      <start>0</start>
      <end>1</end>
      <status>unmodified</status>
      <modifiedWord/>
      <trackRevisions>false</trackRevisions>
    </reviewItem>
    <reviewItem>
      <errorID>aebdaf4c-056e-4615-b798-edecebd5291f</errorID>
      <errorWord>＜</errorWord>
      <group>L1_Format</group>
      <groupName>格式问题</groupName>
      <ability>L2_HalfPunc_CN</ability>
      <abilityName/>
      <candidateList>
        <item>&lt;</item>
      </candidateList>
      <explain>文本全半角错误。</explain>
      <paraID>6994277F</paraID>
      <start>0</start>
      <end>1</end>
      <status>unmodified</status>
      <modifiedWord/>
      <trackRevisions>false</trackRevisions>
    </reviewItem>
    <reviewItem>
      <errorID>88280e76-5b92-47f4-9738-7a7bf7aa8d5b</errorID>
      <errorWord>＜</errorWord>
      <group>L1_Format</group>
      <groupName>格式问题</groupName>
      <ability>L2_HalfPunc_CN</ability>
      <abilityName/>
      <candidateList>
        <item>&lt;</item>
      </candidateList>
      <explain>文本全半角错误。</explain>
      <paraID> 1F08053</paraID>
      <start>0</start>
      <end>1</end>
      <status>unmodified</status>
      <modifiedWord/>
      <trackRevisions>false</trackRevisions>
    </reviewItem>
    <reviewItem>
      <errorID>02ea3edd-e81f-46db-94f2-3226943aab02</errorID>
      <errorWord>＜</errorWord>
      <group>L1_Format</group>
      <groupName>格式问题</groupName>
      <ability>L2_HalfPunc_CN</ability>
      <abilityName/>
      <candidateList>
        <item>&lt;</item>
      </candidateList>
      <explain>文本全半角错误。</explain>
      <paraID>21F56568</paraID>
      <start>0</start>
      <end>1</end>
      <status>unmodified</status>
      <modifiedWord/>
      <trackRevisions>false</trackRevisions>
    </reviewItem>
    <reviewItem>
      <errorID>eedeb612-62de-490b-8612-08ea226ac3e7</errorID>
      <errorWord>＜</errorWord>
      <group>L1_Format</group>
      <groupName>格式问题</groupName>
      <ability>L2_HalfPunc_CN</ability>
      <abilityName/>
      <candidateList>
        <item>&lt;</item>
      </candidateList>
      <explain>文本全半角错误。</explain>
      <paraID>73DED252</paraID>
      <start>0</start>
      <end>1</end>
      <status>unmodified</status>
      <modifiedWord/>
      <trackRevisions>false</trackRevisions>
    </reviewItem>
    <reviewItem>
      <errorID>0b9cfefe-090a-405d-8c60-4e5cacdf40d5</errorID>
      <errorWord>＜</errorWord>
      <group>L1_Format</group>
      <groupName>格式问题</groupName>
      <ability>L2_HalfPunc_CN</ability>
      <abilityName/>
      <candidateList>
        <item>&lt;</item>
      </candidateList>
      <explain>文本全半角错误。</explain>
      <paraID> A1DA2E9</paraID>
      <start>0</start>
      <end>1</end>
      <status>unmodified</status>
      <modifiedWord/>
      <trackRevisions>false</trackRevisions>
    </reviewItem>
    <reviewItem>
      <errorID>8aea2778-66d0-4ea3-9b5e-42368f44b39d</errorID>
      <errorWord>＜</errorWord>
      <group>L1_Format</group>
      <groupName>格式问题</groupName>
      <ability>L2_HalfPunc_CN</ability>
      <abilityName/>
      <candidateList>
        <item>&lt;</item>
      </candidateList>
      <explain>文本全半角错误。</explain>
      <paraID>28D9A9B7</paraID>
      <start>0</start>
      <end>1</end>
      <status>unmodified</status>
      <modifiedWord/>
      <trackRevisions>false</trackRevisions>
    </reviewItem>
    <reviewItem>
      <errorID>c33c3b00-22c1-4bc1-8f35-05e62085d9cb</errorID>
      <errorWord>＜</errorWord>
      <group>L1_Format</group>
      <groupName>格式问题</groupName>
      <ability>L2_HalfPunc_CN</ability>
      <abilityName/>
      <candidateList>
        <item>&lt;</item>
      </candidateList>
      <explain>文本全半角错误。</explain>
      <paraID>55DAE555</paraID>
      <start>0</start>
      <end>1</end>
      <status>unmodified</status>
      <modifiedWord/>
      <trackRevisions>false</trackRevisions>
    </reviewItem>
    <reviewItem>
      <errorID>c324d4d8-87dc-42ff-a153-a1be7419d7bc</errorID>
      <errorWord>＜</errorWord>
      <group>L1_Format</group>
      <groupName>格式问题</groupName>
      <ability>L2_HalfPunc_CN</ability>
      <abilityName/>
      <candidateList>
        <item>&lt;</item>
      </candidateList>
      <explain>文本全半角错误。</explain>
      <paraID>5E7771A5</paraID>
      <start>0</start>
      <end>1</end>
      <status>unmodified</status>
      <modifiedWord/>
      <trackRevisions>false</trackRevisions>
    </reviewItem>
    <reviewItem>
      <errorID>127e9e90-906f-4536-932d-1eb44c759ddc</errorID>
      <errorWord>＜</errorWord>
      <group>L1_Format</group>
      <groupName>格式问题</groupName>
      <ability>L2_HalfPunc_CN</ability>
      <abilityName/>
      <candidateList>
        <item>&lt;</item>
      </candidateList>
      <explain>文本全半角错误。</explain>
      <paraID> 9741B8F</paraID>
      <start>0</start>
      <end>1</end>
      <status>unmodified</status>
      <modifiedWord/>
      <trackRevisions>false</trackRevisions>
    </reviewItem>
    <reviewItem>
      <errorID>1491e90b-ed08-4b31-9773-fa3d3d283cbf</errorID>
      <errorWord>＜</errorWord>
      <group>L1_Format</group>
      <groupName>格式问题</groupName>
      <ability>L2_HalfPunc_CN</ability>
      <abilityName/>
      <candidateList>
        <item>&lt;</item>
      </candidateList>
      <explain>文本全半角错误。</explain>
      <paraID> 78FC408</paraID>
      <start>0</start>
      <end>1</end>
      <status>unmodified</status>
      <modifiedWord/>
      <trackRevisions>false</trackRevisions>
    </reviewItem>
    <reviewItem>
      <errorID>1ca2bd8a-b36b-4fb0-98d9-3dba49ba50d5</errorID>
      <errorWord>＜</errorWord>
      <group>L1_Format</group>
      <groupName>格式问题</groupName>
      <ability>L2_HalfPunc_CN</ability>
      <abilityName/>
      <candidateList>
        <item>&lt;</item>
      </candidateList>
      <explain>文本全半角错误。</explain>
      <paraID>2295DA15</paraID>
      <start>0</start>
      <end>1</end>
      <status>unmodified</status>
      <modifiedWord/>
      <trackRevisions>false</trackRevisions>
    </reviewItem>
    <reviewItem>
      <errorID>70eb2a88-f757-4934-baa9-9caf7a2deea1</errorID>
      <errorWord>＜</errorWord>
      <group>L1_Format</group>
      <groupName>格式问题</groupName>
      <ability>L2_HalfPunc_CN</ability>
      <abilityName/>
      <candidateList>
        <item>&lt;</item>
      </candidateList>
      <explain>文本全半角错误。</explain>
      <paraID>4492DBA3</paraID>
      <start>0</start>
      <end>1</end>
      <status>unmodified</status>
      <modifiedWord/>
      <trackRevisions>false</trackRevisions>
    </reviewItem>
    <reviewItem>
      <errorID>58bd956e-79c3-485d-9d6f-444558a000a8</errorID>
      <errorWord>＜</errorWord>
      <group>L1_Format</group>
      <groupName>格式问题</groupName>
      <ability>L2_HalfPunc_CN</ability>
      <abilityName/>
      <candidateList>
        <item>&lt;</item>
      </candidateList>
      <explain>文本全半角错误。</explain>
      <paraID>7A58512D</paraID>
      <start>0</start>
      <end>1</end>
      <status>unmodified</status>
      <modifiedWord/>
      <trackRevisions>false</trackRevisions>
    </reviewItem>
    <reviewItem>
      <errorID>ff218404-6ee5-4aa8-adef-b30e2ca800c4</errorID>
      <errorWord>＜</errorWord>
      <group>L1_Format</group>
      <groupName>格式问题</groupName>
      <ability>L2_HalfPunc_CN</ability>
      <abilityName/>
      <candidateList>
        <item>&lt;</item>
      </candidateList>
      <explain>文本全半角错误。</explain>
      <paraID>7904D82D</paraID>
      <start>0</start>
      <end>1</end>
      <status>unmodified</status>
      <modifiedWord/>
      <trackRevisions>false</trackRevisions>
    </reviewItem>
    <reviewItem>
      <errorID>ae562f65-43fb-4292-b54b-978b6d778e4a</errorID>
      <errorWord>＜</errorWord>
      <group>L1_Format</group>
      <groupName>格式问题</groupName>
      <ability>L2_HalfPunc_CN</ability>
      <abilityName/>
      <candidateList>
        <item>&lt;</item>
      </candidateList>
      <explain>文本全半角错误。</explain>
      <paraID>6550D678</paraID>
      <start>0</start>
      <end>1</end>
      <status>unmodified</status>
      <modifiedWord/>
      <trackRevisions>false</trackRevisions>
    </reviewItem>
    <reviewItem>
      <errorID>3e6375ad-6785-4511-b545-4784b177496c</errorID>
      <errorWord>＜</errorWord>
      <group>L1_Format</group>
      <groupName>格式问题</groupName>
      <ability>L2_HalfPunc_CN</ability>
      <abilityName/>
      <candidateList>
        <item>&lt;</item>
      </candidateList>
      <explain>文本全半角错误。</explain>
      <paraID>24CC0502</paraID>
      <start>0</start>
      <end>1</end>
      <status>unmodified</status>
      <modifiedWord/>
      <trackRevisions>false</trackRevisions>
    </reviewItem>
    <reviewItem>
      <errorID>44592ef2-c331-4a3b-a7b8-863af183c851</errorID>
      <errorWord>＜</errorWord>
      <group>L1_Format</group>
      <groupName>格式问题</groupName>
      <ability>L2_HalfPunc_CN</ability>
      <abilityName/>
      <candidateList>
        <item>&lt;</item>
      </candidateList>
      <explain>文本全半角错误。</explain>
      <paraID>6C40B6E1</paraID>
      <start>0</start>
      <end>1</end>
      <status>unmodified</status>
      <modifiedWord/>
      <trackRevisions>false</trackRevisions>
    </reviewItem>
    <reviewItem>
      <errorID>775525ec-32d3-4e5a-b40a-36333c172f45</errorID>
      <errorWord>＜</errorWord>
      <group>L1_Format</group>
      <groupName>格式问题</groupName>
      <ability>L2_HalfPunc_CN</ability>
      <abilityName/>
      <candidateList>
        <item>&lt;</item>
      </candidateList>
      <explain>文本全半角错误。</explain>
      <paraID>36885926</paraID>
      <start>0</start>
      <end>1</end>
      <status>unmodified</status>
      <modifiedWord/>
      <trackRevisions>false</trackRevisions>
    </reviewItem>
    <reviewItem>
      <errorID>d35532ca-2fae-444a-bd0b-0c0240fd7e75</errorID>
      <errorWord>＜</errorWord>
      <group>L1_Format</group>
      <groupName>格式问题</groupName>
      <ability>L2_HalfPunc_CN</ability>
      <abilityName/>
      <candidateList>
        <item>&lt;</item>
      </candidateList>
      <explain>文本全半角错误。</explain>
      <paraID> 1758853</paraID>
      <start>0</start>
      <end>1</end>
      <status>unmodified</status>
      <modifiedWord/>
      <trackRevisions>false</trackRevisions>
    </reviewItem>
    <reviewItem>
      <errorID>8d658ccf-1fc3-4aaa-9b43-21a3329deb17</errorID>
      <errorWord>＜</errorWord>
      <group>L1_Format</group>
      <groupName>格式问题</groupName>
      <ability>L2_HalfPunc_CN</ability>
      <abilityName/>
      <candidateList>
        <item>&lt;</item>
      </candidateList>
      <explain>文本全半角错误。</explain>
      <paraID>3116797C</paraID>
      <start>0</start>
      <end>1</end>
      <status>unmodified</status>
      <modifiedWord/>
      <trackRevisions>false</trackRevisions>
    </reviewItem>
    <reviewItem>
      <errorID>fdb68968-02cb-484b-a9df-2b86d923e7f3</errorID>
      <errorWord>＜</errorWord>
      <group>L1_Format</group>
      <groupName>格式问题</groupName>
      <ability>L2_HalfPunc_CN</ability>
      <abilityName/>
      <candidateList>
        <item>&lt;</item>
      </candidateList>
      <explain>文本全半角错误。</explain>
      <paraID> 91CA247</paraID>
      <start>0</start>
      <end>1</end>
      <status>unmodified</status>
      <modifiedWord/>
      <trackRevisions>false</trackRevisions>
    </reviewItem>
    <reviewItem>
      <errorID>2adf7b21-8118-457d-a16e-c2e3545ea347</errorID>
      <errorWord>＜</errorWord>
      <group>L1_Format</group>
      <groupName>格式问题</groupName>
      <ability>L2_HalfPunc_CN</ability>
      <abilityName/>
      <candidateList>
        <item>&lt;</item>
      </candidateList>
      <explain>文本全半角错误。</explain>
      <paraID>5490F233</paraID>
      <start>0</start>
      <end>1</end>
      <status>unmodified</status>
      <modifiedWord/>
      <trackRevisions>false</trackRevisions>
    </reviewItem>
    <reviewItem>
      <errorID>4a70db3d-0509-4fd5-a429-914a25fdd018</errorID>
      <errorWord>＜</errorWord>
      <group>L1_Format</group>
      <groupName>格式问题</groupName>
      <ability>L2_HalfPunc_CN</ability>
      <abilityName/>
      <candidateList>
        <item>&lt;</item>
      </candidateList>
      <explain>文本全半角错误。</explain>
      <paraID>79DF42DE</paraID>
      <start>0</start>
      <end>1</end>
      <status>unmodified</status>
      <modifiedWord/>
      <trackRevisions>false</trackRevisions>
    </reviewItem>
    <reviewItem>
      <errorID>aa41f35b-4937-4745-a50a-58c65306bb57</errorID>
      <errorWord>＜</errorWord>
      <group>L1_Format</group>
      <groupName>格式问题</groupName>
      <ability>L2_HalfPunc_CN</ability>
      <abilityName/>
      <candidateList>
        <item>&lt;</item>
      </candidateList>
      <explain>文本全半角错误。</explain>
      <paraID>1360A9DF</paraID>
      <start>0</start>
      <end>1</end>
      <status>unmodified</status>
      <modifiedWord/>
      <trackRevisions>false</trackRevisions>
    </reviewItem>
    <reviewItem>
      <errorID>61ea58a7-7dbb-4c42-8929-0ce0f1adbe7a</errorID>
      <errorWord>＜</errorWord>
      <group>L1_Format</group>
      <groupName>格式问题</groupName>
      <ability>L2_HalfPunc_CN</ability>
      <abilityName/>
      <candidateList>
        <item>&lt;</item>
      </candidateList>
      <explain>文本全半角错误。</explain>
      <paraID>328C95E9</paraID>
      <start>0</start>
      <end>1</end>
      <status>unmodified</status>
      <modifiedWord/>
      <trackRevisions>false</trackRevisions>
    </reviewItem>
    <reviewItem>
      <errorID>a9b75cf1-c02b-4aad-91cf-4952eca094c8</errorID>
      <errorWord>＜</errorWord>
      <group>L1_Format</group>
      <groupName>格式问题</groupName>
      <ability>L2_HalfPunc_CN</ability>
      <abilityName/>
      <candidateList>
        <item>&lt;</item>
      </candidateList>
      <explain>文本全半角错误。</explain>
      <paraID>655A4A77</paraID>
      <start>0</start>
      <end>1</end>
      <status>unmodified</status>
      <modifiedWord/>
      <trackRevisions>false</trackRevisions>
    </reviewItem>
    <reviewItem>
      <errorID>091560e3-778a-4714-acd8-b7b2b5b5e9f7</errorID>
      <errorWord>＜</errorWord>
      <group>L1_Format</group>
      <groupName>格式问题</groupName>
      <ability>L2_HalfPunc_CN</ability>
      <abilityName/>
      <candidateList>
        <item>&lt;</item>
      </candidateList>
      <explain>文本全半角错误。</explain>
      <paraID>604337AD</paraID>
      <start>0</start>
      <end>1</end>
      <status>unmodified</status>
      <modifiedWord/>
      <trackRevisions>false</trackRevisions>
    </reviewItem>
    <reviewItem>
      <errorID>ae8b202e-af56-44ee-9e9e-38367a2f4bcd</errorID>
      <errorWord>＜</errorWord>
      <group>L1_Format</group>
      <groupName>格式问题</groupName>
      <ability>L2_HalfPunc_CN</ability>
      <abilityName/>
      <candidateList>
        <item>&lt;</item>
      </candidateList>
      <explain>文本全半角错误。</explain>
      <paraID>669FEF67</paraID>
      <start>0</start>
      <end>1</end>
      <status>unmodified</status>
      <modifiedWord/>
      <trackRevisions>false</trackRevisions>
    </reviewItem>
    <reviewItem>
      <errorID>0766334c-5862-4968-ac99-80125906b368</errorID>
      <errorWord>＜</errorWord>
      <group>L1_Format</group>
      <groupName>格式问题</groupName>
      <ability>L2_HalfPunc_CN</ability>
      <abilityName/>
      <candidateList>
        <item>&lt;</item>
      </candidateList>
      <explain>文本全半角错误。</explain>
      <paraID>7266C49B</paraID>
      <start>0</start>
      <end>1</end>
      <status>unmodified</status>
      <modifiedWord/>
      <trackRevisions>false</trackRevisions>
    </reviewItem>
    <reviewItem>
      <errorID>f810832e-09ac-4a23-bbfc-7baf63b6af20</errorID>
      <errorWord>＜</errorWord>
      <group>L1_Format</group>
      <groupName>格式问题</groupName>
      <ability>L2_HalfPunc_CN</ability>
      <abilityName/>
      <candidateList>
        <item>&lt;</item>
      </candidateList>
      <explain>文本全半角错误。</explain>
      <paraID>23BA715B</paraID>
      <start>0</start>
      <end>1</end>
      <status>unmodified</status>
      <modifiedWord/>
      <trackRevisions>false</trackRevisions>
    </reviewItem>
    <reviewItem>
      <errorID>79617611-9ce3-4efd-99fc-b2633ebbfefd</errorID>
      <errorWord>＜</errorWord>
      <group>L1_Format</group>
      <groupName>格式问题</groupName>
      <ability>L2_HalfPunc_CN</ability>
      <abilityName/>
      <candidateList>
        <item>&lt;</item>
      </candidateList>
      <explain>文本全半角错误。</explain>
      <paraID>18B9A21F</paraID>
      <start>0</start>
      <end>1</end>
      <status>unmodified</status>
      <modifiedWord/>
      <trackRevisions>false</trackRevisions>
    </reviewItem>
    <reviewItem>
      <errorID>89b8f25c-495c-4904-9ce8-f0a6189e3e04</errorID>
      <errorWord>＜</errorWord>
      <group>L1_Format</group>
      <groupName>格式问题</groupName>
      <ability>L2_HalfPunc_CN</ability>
      <abilityName/>
      <candidateList>
        <item>&lt;</item>
      </candidateList>
      <explain>文本全半角错误。</explain>
      <paraID>7CD5BD0E</paraID>
      <start>0</start>
      <end>1</end>
      <status>unmodified</status>
      <modifiedWord/>
      <trackRevisions>false</trackRevisions>
    </reviewItem>
    <reviewItem>
      <errorID>f4ba76bc-688e-4fff-9f07-8823ace4f534</errorID>
      <errorWord>＜</errorWord>
      <group>L1_Format</group>
      <groupName>格式问题</groupName>
      <ability>L2_HalfPunc_CN</ability>
      <abilityName/>
      <candidateList>
        <item>&lt;</item>
      </candidateList>
      <explain>文本全半角错误。</explain>
      <paraID>725B4641</paraID>
      <start>0</start>
      <end>1</end>
      <status>unmodified</status>
      <modifiedWord/>
      <trackRevisions>false</trackRevisions>
    </reviewItem>
    <reviewItem>
      <errorID>0f02c70a-9956-4d67-b5fa-dd6b3c8b01b7</errorID>
      <errorWord>＜</errorWord>
      <group>L1_Format</group>
      <groupName>格式问题</groupName>
      <ability>L2_HalfPunc_CN</ability>
      <abilityName/>
      <candidateList>
        <item>&lt;</item>
      </candidateList>
      <explain>文本全半角错误。</explain>
      <paraID>50AECD3C</paraID>
      <start>0</start>
      <end>1</end>
      <status>unmodified</status>
      <modifiedWord/>
      <trackRevisions>false</trackRevisions>
    </reviewItem>
    <reviewItem>
      <errorID>7f051533-cee6-4716-8a70-5b62307e5e69</errorID>
      <errorWord>＜</errorWord>
      <group>L1_Format</group>
      <groupName>格式问题</groupName>
      <ability>L2_HalfPunc_CN</ability>
      <abilityName/>
      <candidateList>
        <item>&lt;</item>
      </candidateList>
      <explain>文本全半角错误。</explain>
      <paraID>21C366C1</paraID>
      <start>0</start>
      <end>1</end>
      <status>unmodified</status>
      <modifiedWord/>
      <trackRevisions>false</trackRevisions>
    </reviewItem>
    <reviewItem>
      <errorID>d2d4e2e1-f22c-40a8-8570-d39dcc9780a4</errorID>
      <errorWord>＜</errorWord>
      <group>L1_Format</group>
      <groupName>格式问题</groupName>
      <ability>L2_HalfPunc_CN</ability>
      <abilityName/>
      <candidateList>
        <item>&lt;</item>
      </candidateList>
      <explain>文本全半角错误。</explain>
      <paraID>56093552</paraID>
      <start>0</start>
      <end>1</end>
      <status>unmodified</status>
      <modifiedWord/>
      <trackRevisions>false</trackRevisions>
    </reviewItem>
    <reviewItem>
      <errorID>8d46d74f-5477-4d81-b1eb-0324d72ceb86</errorID>
      <errorWord>＜</errorWord>
      <group>L1_Format</group>
      <groupName>格式问题</groupName>
      <ability>L2_HalfPunc_CN</ability>
      <abilityName/>
      <candidateList>
        <item>&lt;</item>
      </candidateList>
      <explain>文本全半角错误。</explain>
      <paraID>55176537</paraID>
      <start>0</start>
      <end>1</end>
      <status>unmodified</status>
      <modifiedWord/>
      <trackRevisions>false</trackRevisions>
    </reviewItem>
    <reviewItem>
      <errorID>58920e96-75c3-4215-8ed2-5e44abfc8667</errorID>
      <errorWord>＜</errorWord>
      <group>L1_Format</group>
      <groupName>格式问题</groupName>
      <ability>L2_HalfPunc_CN</ability>
      <abilityName/>
      <candidateList>
        <item>&lt;</item>
      </candidateList>
      <explain>文本全半角错误。</explain>
      <paraID>4850E706</paraID>
      <start>0</start>
      <end>1</end>
      <status>unmodified</status>
      <modifiedWord/>
      <trackRevisions>false</trackRevisions>
    </reviewItem>
    <reviewItem>
      <errorID>a3de6696-dfbf-4b71-9042-6a4affa931d7</errorID>
      <errorWord>＜</errorWord>
      <group>L1_Format</group>
      <groupName>格式问题</groupName>
      <ability>L2_HalfPunc_CN</ability>
      <abilityName/>
      <candidateList>
        <item>&lt;</item>
      </candidateList>
      <explain>文本全半角错误。</explain>
      <paraID>1BBEBCA8</paraID>
      <start>0</start>
      <end>1</end>
      <status>unmodified</status>
      <modifiedWord/>
      <trackRevisions>false</trackRevisions>
    </reviewItem>
    <reviewItem>
      <errorID>daa5a15e-2e22-4788-9d22-00edfae7db67</errorID>
      <errorWord>＜</errorWord>
      <group>L1_Format</group>
      <groupName>格式问题</groupName>
      <ability>L2_HalfPunc_CN</ability>
      <abilityName/>
      <candidateList>
        <item>&lt;</item>
      </candidateList>
      <explain>文本全半角错误。</explain>
      <paraID>15504364</paraID>
      <start>0</start>
      <end>1</end>
      <status>unmodified</status>
      <modifiedWord/>
      <trackRevisions>false</trackRevisions>
    </reviewItem>
    <reviewItem>
      <errorID>2dbd5ca2-0005-4cb1-af0c-f2741e26c982</errorID>
      <errorWord>＜</errorWord>
      <group>L1_Format</group>
      <groupName>格式问题</groupName>
      <ability>L2_HalfPunc_CN</ability>
      <abilityName/>
      <candidateList>
        <item>&lt;</item>
      </candidateList>
      <explain>文本全半角错误。</explain>
      <paraID>2DB8311C</paraID>
      <start>0</start>
      <end>1</end>
      <status>unmodified</status>
      <modifiedWord/>
      <trackRevisions>false</trackRevisions>
    </reviewItem>
    <reviewItem>
      <errorID>b031ac3d-0b4c-410f-9947-6ecd39a2a9c6</errorID>
      <errorWord>＜</errorWord>
      <group>L1_Format</group>
      <groupName>格式问题</groupName>
      <ability>L2_HalfPunc_CN</ability>
      <abilityName/>
      <candidateList>
        <item>&lt;</item>
      </candidateList>
      <explain>文本全半角错误。</explain>
      <paraID>7CA9885A</paraID>
      <start>0</start>
      <end>1</end>
      <status>unmodified</status>
      <modifiedWord/>
      <trackRevisions>false</trackRevisions>
    </reviewItem>
    <reviewItem>
      <errorID>ae12263c-1555-4fe4-8515-5c857de952a0</errorID>
      <errorWord>＜</errorWord>
      <group>L1_Format</group>
      <groupName>格式问题</groupName>
      <ability>L2_HalfPunc_CN</ability>
      <abilityName/>
      <candidateList>
        <item>&lt;</item>
      </candidateList>
      <explain>文本全半角错误。</explain>
      <paraID>69AE14EE</paraID>
      <start>0</start>
      <end>1</end>
      <status>unmodified</status>
      <modifiedWord/>
      <trackRevisions>false</trackRevisions>
    </reviewItem>
    <reviewItem>
      <errorID>9b0c9301-1748-4bfc-a386-aa0fff6635fd</errorID>
      <errorWord>＜</errorWord>
      <group>L1_Format</group>
      <groupName>格式问题</groupName>
      <ability>L2_HalfPunc_CN</ability>
      <abilityName/>
      <candidateList>
        <item>&lt;</item>
      </candidateList>
      <explain>文本全半角错误。</explain>
      <paraID>54FCCC3F</paraID>
      <start>0</start>
      <end>1</end>
      <status>unmodified</status>
      <modifiedWord/>
      <trackRevisions>false</trackRevisions>
    </reviewItem>
    <reviewItem>
      <errorID>c55a140c-9b5f-4a68-a1f2-043103741682</errorID>
      <errorWord>＜</errorWord>
      <group>L1_Format</group>
      <groupName>格式问题</groupName>
      <ability>L2_HalfPunc_CN</ability>
      <abilityName/>
      <candidateList>
        <item>&lt;</item>
      </candidateList>
      <explain>文本全半角错误。</explain>
      <paraID>50E1FBFF</paraID>
      <start>0</start>
      <end>1</end>
      <status>unmodified</status>
      <modifiedWord/>
      <trackRevisions>false</trackRevisions>
    </reviewItem>
    <reviewItem>
      <errorID>31ff0076-835d-499e-a45b-658cab4b8ebc</errorID>
      <errorWord>＜</errorWord>
      <group>L1_Format</group>
      <groupName>格式问题</groupName>
      <ability>L2_HalfPunc_CN</ability>
      <abilityName/>
      <candidateList>
        <item>&lt;</item>
      </candidateList>
      <explain>文本全半角错误。</explain>
      <paraID>725FA7DE</paraID>
      <start>0</start>
      <end>1</end>
      <status>unmodified</status>
      <modifiedWord/>
      <trackRevisions>false</trackRevisions>
    </reviewItem>
    <reviewItem>
      <errorID>c235f8c5-7545-4fb0-8eac-e38632d10ef7</errorID>
      <errorWord>＜</errorWord>
      <group>L1_Format</group>
      <groupName>格式问题</groupName>
      <ability>L2_HalfPunc_CN</ability>
      <abilityName/>
      <candidateList>
        <item>&lt;</item>
      </candidateList>
      <explain>文本全半角错误。</explain>
      <paraID>61C22389</paraID>
      <start>0</start>
      <end>1</end>
      <status>unmodified</status>
      <modifiedWord/>
      <trackRevisions>false</trackRevisions>
    </reviewItem>
    <reviewItem>
      <errorID>348313aa-f8cc-47a6-a846-3a5a9adfc6c9</errorID>
      <errorWord>＜</errorWord>
      <group>L1_Format</group>
      <groupName>格式问题</groupName>
      <ability>L2_HalfPunc_CN</ability>
      <abilityName/>
      <candidateList>
        <item>&lt;</item>
      </candidateList>
      <explain>文本全半角错误。</explain>
      <paraID>1F59568B</paraID>
      <start>0</start>
      <end>1</end>
      <status>unmodified</status>
      <modifiedWord/>
      <trackRevisions>false</trackRevisions>
    </reviewItem>
    <reviewItem>
      <errorID>065332f2-e91e-49ac-8002-b25014dd4bed</errorID>
      <errorWord>＜</errorWord>
      <group>L1_Format</group>
      <groupName>格式问题</groupName>
      <ability>L2_HalfPunc_CN</ability>
      <abilityName/>
      <candidateList>
        <item>&lt;</item>
      </candidateList>
      <explain>文本全半角错误。</explain>
      <paraID>171D4155</paraID>
      <start>0</start>
      <end>1</end>
      <status>unmodified</status>
      <modifiedWord/>
      <trackRevisions>false</trackRevisions>
    </reviewItem>
    <reviewItem>
      <errorID>d98f6bea-cc93-461e-8fa6-6c14847528be</errorID>
      <errorWord>＜</errorWord>
      <group>L1_Format</group>
      <groupName>格式问题</groupName>
      <ability>L2_HalfPunc_CN</ability>
      <abilityName/>
      <candidateList>
        <item>&lt;</item>
      </candidateList>
      <explain>文本全半角错误。</explain>
      <paraID>6837BDB6</paraID>
      <start>0</start>
      <end>1</end>
      <status>unmodified</status>
      <modifiedWord/>
      <trackRevisions>false</trackRevisions>
    </reviewItem>
    <reviewItem>
      <errorID>fb926d1c-513c-413c-aa59-689ef106ce34</errorID>
      <errorWord>＜</errorWord>
      <group>L1_Format</group>
      <groupName>格式问题</groupName>
      <ability>L2_HalfPunc_CN</ability>
      <abilityName/>
      <candidateList>
        <item>&lt;</item>
      </candidateList>
      <explain>文本全半角错误。</explain>
      <paraID> 7A89D0F</paraID>
      <start>0</start>
      <end>1</end>
      <status>unmodified</status>
      <modifiedWord/>
      <trackRevisions>false</trackRevisions>
    </reviewItem>
    <reviewItem>
      <errorID>6ee4f746-d919-4192-831a-76c2874a05df</errorID>
      <errorWord>＜</errorWord>
      <group>L1_Format</group>
      <groupName>格式问题</groupName>
      <ability>L2_HalfPunc_CN</ability>
      <abilityName/>
      <candidateList>
        <item>&lt;</item>
      </candidateList>
      <explain>文本全半角错误。</explain>
      <paraID>370BDB18</paraID>
      <start>0</start>
      <end>1</end>
      <status>unmodified</status>
      <modifiedWord/>
      <trackRevisions>false</trackRevisions>
    </reviewItem>
    <reviewItem>
      <errorID>ba14fbc9-238d-46eb-93ca-62e262a597d1</errorID>
      <errorWord>＜</errorWord>
      <group>L1_Format</group>
      <groupName>格式问题</groupName>
      <ability>L2_HalfPunc_CN</ability>
      <abilityName/>
      <candidateList>
        <item>&lt;</item>
      </candidateList>
      <explain>文本全半角错误。</explain>
      <paraID>3FC7B2FF</paraID>
      <start>0</start>
      <end>1</end>
      <status>unmodified</status>
      <modifiedWord/>
      <trackRevisions>false</trackRevisions>
    </reviewItem>
    <reviewItem>
      <errorID>ac74b9f7-2295-4053-9691-c73dbadfc290</errorID>
      <errorWord>＜</errorWord>
      <group>L1_Format</group>
      <groupName>格式问题</groupName>
      <ability>L2_HalfPunc_CN</ability>
      <abilityName/>
      <candidateList>
        <item>&lt;</item>
      </candidateList>
      <explain>文本全半角错误。</explain>
      <paraID>2E6CB822</paraID>
      <start>0</start>
      <end>1</end>
      <status>unmodified</status>
      <modifiedWord/>
      <trackRevisions>false</trackRevisions>
    </reviewItem>
    <reviewItem>
      <errorID>39c048e2-8a6b-4298-ba50-005c65dce3d7</errorID>
      <errorWord>＜</errorWord>
      <group>L1_Format</group>
      <groupName>格式问题</groupName>
      <ability>L2_HalfPunc_CN</ability>
      <abilityName/>
      <candidateList>
        <item>&lt;</item>
      </candidateList>
      <explain>文本全半角错误。</explain>
      <paraID> A7071C0</paraID>
      <start>0</start>
      <end>1</end>
      <status>unmodified</status>
      <modifiedWord/>
      <trackRevisions>false</trackRevisions>
    </reviewItem>
    <reviewItem>
      <errorID>608e0415-3dcd-4d23-acf2-5d826509c836</errorID>
      <errorWord>＜</errorWord>
      <group>L1_Format</group>
      <groupName>格式问题</groupName>
      <ability>L2_HalfPunc_CN</ability>
      <abilityName/>
      <candidateList>
        <item>&lt;</item>
      </candidateList>
      <explain>文本全半角错误。</explain>
      <paraID>6DA48464</paraID>
      <start>0</start>
      <end>1</end>
      <status>unmodified</status>
      <modifiedWord/>
      <trackRevisions>false</trackRevisions>
    </reviewItem>
    <reviewItem>
      <errorID>1edf9f8a-49d7-4730-a79b-15a978c1e339</errorID>
      <errorWord>＜</errorWord>
      <group>L1_Format</group>
      <groupName>格式问题</groupName>
      <ability>L2_HalfPunc_CN</ability>
      <abilityName/>
      <candidateList>
        <item>&lt;</item>
      </candidateList>
      <explain>文本全半角错误。</explain>
      <paraID>5B869B3A</paraID>
      <start>0</start>
      <end>1</end>
      <status>unmodified</status>
      <modifiedWord/>
      <trackRevisions>false</trackRevisions>
    </reviewItem>
    <reviewItem>
      <errorID>a35f9ff5-2128-41f0-ba37-dc86fb59076d</errorID>
      <errorWord>＜</errorWord>
      <group>L1_Format</group>
      <groupName>格式问题</groupName>
      <ability>L2_HalfPunc_CN</ability>
      <abilityName/>
      <candidateList>
        <item>&lt;</item>
      </candidateList>
      <explain>文本全半角错误。</explain>
      <paraID>25D76462</paraID>
      <start>0</start>
      <end>1</end>
      <status>unmodified</status>
      <modifiedWord/>
      <trackRevisions>false</trackRevisions>
    </reviewItem>
    <reviewItem>
      <errorID>a29aa36e-7634-43b9-b746-63d837c05501</errorID>
      <errorWord>＜</errorWord>
      <group>L1_Format</group>
      <groupName>格式问题</groupName>
      <ability>L2_HalfPunc_CN</ability>
      <abilityName/>
      <candidateList>
        <item>&lt;</item>
      </candidateList>
      <explain>文本全半角错误。</explain>
      <paraID>7610795D</paraID>
      <start>0</start>
      <end>1</end>
      <status>unmodified</status>
      <modifiedWord/>
      <trackRevisions>false</trackRevisions>
    </reviewItem>
    <reviewItem>
      <errorID>88c9c8c3-0d87-491d-9af7-2c51a6497fb3</errorID>
      <errorWord>＜</errorWord>
      <group>L1_Format</group>
      <groupName>格式问题</groupName>
      <ability>L2_HalfPunc_CN</ability>
      <abilityName/>
      <candidateList>
        <item>&lt;</item>
      </candidateList>
      <explain>文本全半角错误。</explain>
      <paraID>3D83E1CE</paraID>
      <start>0</start>
      <end>1</end>
      <status>unmodified</status>
      <modifiedWord/>
      <trackRevisions>false</trackRevisions>
    </reviewItem>
    <reviewItem>
      <errorID>4f63be13-6963-4aea-8e37-c029adcefa81</errorID>
      <errorWord>＜</errorWord>
      <group>L1_Format</group>
      <groupName>格式问题</groupName>
      <ability>L2_HalfPunc_CN</ability>
      <abilityName/>
      <candidateList>
        <item>&lt;</item>
      </candidateList>
      <explain>文本全半角错误。</explain>
      <paraID>47FB59CE</paraID>
      <start>0</start>
      <end>1</end>
      <status>unmodified</status>
      <modifiedWord/>
      <trackRevisions>false</trackRevisions>
    </reviewItem>
    <reviewItem>
      <errorID>6c5f18fe-75b4-4585-9334-3c09255c8ecf</errorID>
      <errorWord>＜</errorWord>
      <group>L1_Format</group>
      <groupName>格式问题</groupName>
      <ability>L2_HalfPunc_CN</ability>
      <abilityName/>
      <candidateList>
        <item>&lt;</item>
      </candidateList>
      <explain>文本全半角错误。</explain>
      <paraID>7BA0B06B</paraID>
      <start>0</start>
      <end>1</end>
      <status>unmodified</status>
      <modifiedWord/>
      <trackRevisions>false</trackRevisions>
    </reviewItem>
    <reviewItem>
      <errorID>52fe79f5-495d-4b79-b7a5-4cda4928149e</errorID>
      <errorWord>＜</errorWord>
      <group>L1_Format</group>
      <groupName>格式问题</groupName>
      <ability>L2_HalfPunc_CN</ability>
      <abilityName/>
      <candidateList>
        <item>&lt;</item>
      </candidateList>
      <explain>文本全半角错误。</explain>
      <paraID>6A074315</paraID>
      <start>0</start>
      <end>1</end>
      <status>unmodified</status>
      <modifiedWord/>
      <trackRevisions>false</trackRevisions>
    </reviewItem>
    <reviewItem>
      <errorID>e8c0021e-aada-489c-903f-74a05f7a4d25</errorID>
      <errorWord>＜</errorWord>
      <group>L1_Format</group>
      <groupName>格式问题</groupName>
      <ability>L2_HalfPunc_CN</ability>
      <abilityName/>
      <candidateList>
        <item>&lt;</item>
      </candidateList>
      <explain>文本全半角错误。</explain>
      <paraID>6D0A435C</paraID>
      <start>0</start>
      <end>1</end>
      <status>unmodified</status>
      <modifiedWord/>
      <trackRevisions>false</trackRevisions>
    </reviewItem>
    <reviewItem>
      <errorID>ff0deb34-a8fa-4f27-9512-5f2a5fa81d5a</errorID>
      <errorWord>＜</errorWord>
      <group>L1_Format</group>
      <groupName>格式问题</groupName>
      <ability>L2_HalfPunc_CN</ability>
      <abilityName/>
      <candidateList>
        <item>&lt;</item>
      </candidateList>
      <explain>文本全半角错误。</explain>
      <paraID>1316847E</paraID>
      <start>0</start>
      <end>1</end>
      <status>unmodified</status>
      <modifiedWord/>
      <trackRevisions>false</trackRevisions>
    </reviewItem>
    <reviewItem>
      <errorID>91292ef6-07f3-4df3-aa39-9ec0af49b405</errorID>
      <errorWord>＜</errorWord>
      <group>L1_Format</group>
      <groupName>格式问题</groupName>
      <ability>L2_HalfPunc_CN</ability>
      <abilityName/>
      <candidateList>
        <item>&lt;</item>
      </candidateList>
      <explain>文本全半角错误。</explain>
      <paraID>17E48803</paraID>
      <start>0</start>
      <end>1</end>
      <status>unmodified</status>
      <modifiedWord/>
      <trackRevisions>false</trackRevisions>
    </reviewItem>
    <reviewItem>
      <errorID>05ecc3ab-87a3-49c5-a6ed-3bfa996a6813</errorID>
      <errorWord>＜</errorWord>
      <group>L1_Format</group>
      <groupName>格式问题</groupName>
      <ability>L2_HalfPunc_CN</ability>
      <abilityName/>
      <candidateList>
        <item>&lt;</item>
      </candidateList>
      <explain>文本全半角错误。</explain>
      <paraID>153B6649</paraID>
      <start>0</start>
      <end>1</end>
      <status>unmodified</status>
      <modifiedWord/>
      <trackRevisions>false</trackRevisions>
    </reviewItem>
    <reviewItem>
      <errorID>3af4fe92-ac6b-4246-bb7c-d2d671460a89</errorID>
      <errorWord>＜</errorWord>
      <group>L1_Format</group>
      <groupName>格式问题</groupName>
      <ability>L2_HalfPunc_CN</ability>
      <abilityName/>
      <candidateList>
        <item>&lt;</item>
      </candidateList>
      <explain>文本全半角错误。</explain>
      <paraID>72EF9BCC</paraID>
      <start>0</start>
      <end>1</end>
      <status>unmodified</status>
      <modifiedWord/>
      <trackRevisions>false</trackRevisions>
    </reviewItem>
    <reviewItem>
      <errorID>72486084-b8f2-48c2-aece-d8bd55912d7d</errorID>
      <errorWord>＜</errorWord>
      <group>L1_Format</group>
      <groupName>格式问题</groupName>
      <ability>L2_HalfPunc_CN</ability>
      <abilityName/>
      <candidateList>
        <item>&lt;</item>
      </candidateList>
      <explain>文本全半角错误。</explain>
      <paraID> 237C208</paraID>
      <start>0</start>
      <end>1</end>
      <status>unmodified</status>
      <modifiedWord/>
      <trackRevisions>false</trackRevisions>
    </reviewItem>
    <reviewItem>
      <errorID>a30c90df-c90c-4933-a448-9b07d17be40c</errorID>
      <errorWord>＜</errorWord>
      <group>L1_Format</group>
      <groupName>格式问题</groupName>
      <ability>L2_HalfPunc_CN</ability>
      <abilityName/>
      <candidateList>
        <item>&lt;</item>
      </candidateList>
      <explain>文本全半角错误。</explain>
      <paraID> 7599B81</paraID>
      <start>0</start>
      <end>1</end>
      <status>unmodified</status>
      <modifiedWord/>
      <trackRevisions>false</trackRevisions>
    </reviewItem>
    <reviewItem>
      <errorID>69f5a84b-5ed8-4e3b-8656-ca3fe3b787f1</errorID>
      <errorWord>＜</errorWord>
      <group>L1_Format</group>
      <groupName>格式问题</groupName>
      <ability>L2_HalfPunc_CN</ability>
      <abilityName/>
      <candidateList>
        <item>&lt;</item>
      </candidateList>
      <explain>文本全半角错误。</explain>
      <paraID>3FA0F3E8</paraID>
      <start>0</start>
      <end>1</end>
      <status>unmodified</status>
      <modifiedWord/>
      <trackRevisions>false</trackRevisions>
    </reviewItem>
    <reviewItem>
      <errorID>f4ef8df4-f2ad-45ca-94d9-f7a6ad66ed56</errorID>
      <errorWord>＜</errorWord>
      <group>L1_Format</group>
      <groupName>格式问题</groupName>
      <ability>L2_HalfPunc_CN</ability>
      <abilityName/>
      <candidateList>
        <item>&lt;</item>
      </candidateList>
      <explain>文本全半角错误。</explain>
      <paraID>13C9D6C8</paraID>
      <start>0</start>
      <end>1</end>
      <status>unmodified</status>
      <modifiedWord/>
      <trackRevisions>false</trackRevisions>
    </reviewItem>
    <reviewItem>
      <errorID>e9c154de-937c-49e6-808f-e824ce2bedcd</errorID>
      <errorWord>＜</errorWord>
      <group>L1_Format</group>
      <groupName>格式问题</groupName>
      <ability>L2_HalfPunc_CN</ability>
      <abilityName/>
      <candidateList>
        <item>&lt;</item>
      </candidateList>
      <explain>文本全半角错误。</explain>
      <paraID>411150E4</paraID>
      <start>0</start>
      <end>1</end>
      <status>unmodified</status>
      <modifiedWord/>
      <trackRevisions>false</trackRevisions>
    </reviewItem>
    <reviewItem>
      <errorID>c271f6ce-016d-4c26-9024-8749946a4ea7</errorID>
      <errorWord>＜</errorWord>
      <group>L1_Format</group>
      <groupName>格式问题</groupName>
      <ability>L2_HalfPunc_CN</ability>
      <abilityName/>
      <candidateList>
        <item>&lt;</item>
      </candidateList>
      <explain>文本全半角错误。</explain>
      <paraID>3C8847FD</paraID>
      <start>0</start>
      <end>1</end>
      <status>unmodified</status>
      <modifiedWord/>
      <trackRevisions>false</trackRevisions>
    </reviewItem>
    <reviewItem>
      <errorID>9640d4ff-79fe-42e7-b253-942707c3c9d3</errorID>
      <errorWord>＜</errorWord>
      <group>L1_Format</group>
      <groupName>格式问题</groupName>
      <ability>L2_HalfPunc_CN</ability>
      <abilityName/>
      <candidateList>
        <item>&lt;</item>
      </candidateList>
      <explain>文本全半角错误。</explain>
      <paraID>1C8F263C</paraID>
      <start>0</start>
      <end>1</end>
      <status>unmodified</status>
      <modifiedWord/>
      <trackRevisions>false</trackRevisions>
    </reviewItem>
    <reviewItem>
      <errorID>c84c03cc-83ad-4e77-8152-4c560d08adb2</errorID>
      <errorWord>＜</errorWord>
      <group>L1_Format</group>
      <groupName>格式问题</groupName>
      <ability>L2_HalfPunc_CN</ability>
      <abilityName/>
      <candidateList>
        <item>&lt;</item>
      </candidateList>
      <explain>文本全半角错误。</explain>
      <paraID>5BC22751</paraID>
      <start>0</start>
      <end>1</end>
      <status>unmodified</status>
      <modifiedWord/>
      <trackRevisions>false</trackRevisions>
    </reviewItem>
    <reviewItem>
      <errorID>ab054756-195a-4ee6-be80-f4535596c3d2</errorID>
      <errorWord>＜</errorWord>
      <group>L1_Format</group>
      <groupName>格式问题</groupName>
      <ability>L2_HalfPunc_CN</ability>
      <abilityName/>
      <candidateList>
        <item>&lt;</item>
      </candidateList>
      <explain>文本全半角错误。</explain>
      <paraID>7E54A036</paraID>
      <start>0</start>
      <end>1</end>
      <status>unmodified</status>
      <modifiedWord/>
      <trackRevisions>false</trackRevisions>
    </reviewItem>
    <reviewItem>
      <errorID>edb7344c-27ff-4e6e-ba80-3f33c2bbbe7e</errorID>
      <errorWord>＜</errorWord>
      <group>L1_Format</group>
      <groupName>格式问题</groupName>
      <ability>L2_HalfPunc_CN</ability>
      <abilityName/>
      <candidateList>
        <item>&lt;</item>
      </candidateList>
      <explain>文本全半角错误。</explain>
      <paraID>7AF7FD3C</paraID>
      <start>0</start>
      <end>1</end>
      <status>unmodified</status>
      <modifiedWord/>
      <trackRevisions>false</trackRevisions>
    </reviewItem>
    <reviewItem>
      <errorID>6c62436d-4cb2-4ee0-a3ef-5aaf8e7896be</errorID>
      <errorWord>＜</errorWord>
      <group>L1_Format</group>
      <groupName>格式问题</groupName>
      <ability>L2_HalfPunc_CN</ability>
      <abilityName/>
      <candidateList>
        <item>&lt;</item>
      </candidateList>
      <explain>文本全半角错误。</explain>
      <paraID>503D8A31</paraID>
      <start>0</start>
      <end>1</end>
      <status>unmodified</status>
      <modifiedWord/>
      <trackRevisions>false</trackRevisions>
    </reviewItem>
    <reviewItem>
      <errorID>6b0b6ba9-2468-4aab-8b8f-d1833415b284</errorID>
      <errorWord>＜</errorWord>
      <group>L1_Format</group>
      <groupName>格式问题</groupName>
      <ability>L2_HalfPunc_CN</ability>
      <abilityName/>
      <candidateList>
        <item>&lt;</item>
      </candidateList>
      <explain>文本全半角错误。</explain>
      <paraID>13D3DC26</paraID>
      <start>0</start>
      <end>1</end>
      <status>unmodified</status>
      <modifiedWord/>
      <trackRevisions>false</trackRevisions>
    </reviewItem>
    <reviewItem>
      <errorID>20b31ba0-01dc-4a69-ad80-b9fb3bfe59e2</errorID>
      <errorWord>＜</errorWord>
      <group>L1_Format</group>
      <groupName>格式问题</groupName>
      <ability>L2_HalfPunc_CN</ability>
      <abilityName/>
      <candidateList>
        <item>&lt;</item>
      </candidateList>
      <explain>文本全半角错误。</explain>
      <paraID>2662F4DE</paraID>
      <start>0</start>
      <end>1</end>
      <status>unmodified</status>
      <modifiedWord/>
      <trackRevisions>false</trackRevisions>
    </reviewItem>
    <reviewItem>
      <errorID>e5905511-54a0-47a5-9790-634f06e3730f</errorID>
      <errorWord>＜</errorWord>
      <group>L1_Format</group>
      <groupName>格式问题</groupName>
      <ability>L2_HalfPunc_CN</ability>
      <abilityName/>
      <candidateList>
        <item>&lt;</item>
      </candidateList>
      <explain>文本全半角错误。</explain>
      <paraID>577AC0CA</paraID>
      <start>0</start>
      <end>1</end>
      <status>unmodified</status>
      <modifiedWord/>
      <trackRevisions>false</trackRevisions>
    </reviewItem>
    <reviewItem>
      <errorID>e9bea9b9-6ec0-4579-b6a7-f2bd86972457</errorID>
      <errorWord>＜</errorWord>
      <group>L1_Format</group>
      <groupName>格式问题</groupName>
      <ability>L2_HalfPunc_CN</ability>
      <abilityName/>
      <candidateList>
        <item>&lt;</item>
      </candidateList>
      <explain>文本全半角错误。</explain>
      <paraID>6ADB3358</paraID>
      <start>0</start>
      <end>1</end>
      <status>unmodified</status>
      <modifiedWord/>
      <trackRevisions>false</trackRevisions>
    </reviewItem>
    <reviewItem>
      <errorID>8762c1a3-bac6-4e0a-b47e-d64b43f93291</errorID>
      <errorWord>＜</errorWord>
      <group>L1_Format</group>
      <groupName>格式问题</groupName>
      <ability>L2_HalfPunc_CN</ability>
      <abilityName/>
      <candidateList>
        <item>&lt;</item>
      </candidateList>
      <explain>文本全半角错误。</explain>
      <paraID>3A0966F8</paraID>
      <start>0</start>
      <end>1</end>
      <status>unmodified</status>
      <modifiedWord/>
      <trackRevisions>false</trackRevisions>
    </reviewItem>
    <reviewItem>
      <errorID>f1e9b95d-16f9-490f-9bf8-5c9f78b3f1ed</errorID>
      <errorWord>＜</errorWord>
      <group>L1_Format</group>
      <groupName>格式问题</groupName>
      <ability>L2_HalfPunc_CN</ability>
      <abilityName/>
      <candidateList>
        <item>&lt;</item>
      </candidateList>
      <explain>文本全半角错误。</explain>
      <paraID>6981CD0B</paraID>
      <start>0</start>
      <end>1</end>
      <status>unmodified</status>
      <modifiedWord/>
      <trackRevisions>false</trackRevisions>
    </reviewItem>
    <reviewItem>
      <errorID>99bd4c0d-15d8-4b67-ba65-0a1144f1382f</errorID>
      <errorWord>＜</errorWord>
      <group>L1_Format</group>
      <groupName>格式问题</groupName>
      <ability>L2_HalfPunc_CN</ability>
      <abilityName/>
      <candidateList>
        <item>&lt;</item>
      </candidateList>
      <explain>文本全半角错误。</explain>
      <paraID>3A2F801E</paraID>
      <start>0</start>
      <end>1</end>
      <status>unmodified</status>
      <modifiedWord/>
      <trackRevisions>false</trackRevisions>
    </reviewItem>
    <reviewItem>
      <errorID>c0b009a8-0703-4372-954c-8400f76b8129</errorID>
      <errorWord>＜</errorWord>
      <group>L1_Format</group>
      <groupName>格式问题</groupName>
      <ability>L2_HalfPunc_CN</ability>
      <abilityName/>
      <candidateList>
        <item>&lt;</item>
      </candidateList>
      <explain>文本全半角错误。</explain>
      <paraID>1F3244A3</paraID>
      <start>0</start>
      <end>1</end>
      <status>unmodified</status>
      <modifiedWord/>
      <trackRevisions>false</trackRevisions>
    </reviewItem>
    <reviewItem>
      <errorID>288e767a-b13a-4d91-ae23-5e3640d4b293</errorID>
      <errorWord>＜</errorWord>
      <group>L1_Format</group>
      <groupName>格式问题</groupName>
      <ability>L2_HalfPunc_CN</ability>
      <abilityName/>
      <candidateList>
        <item>&lt;</item>
      </candidateList>
      <explain>文本全半角错误。</explain>
      <paraID>5A5975B3</paraID>
      <start>0</start>
      <end>1</end>
      <status>unmodified</status>
      <modifiedWord/>
      <trackRevisions>false</trackRevisions>
    </reviewItem>
    <reviewItem>
      <errorID>d95bf28c-78aa-4460-b462-12ce39374b00</errorID>
      <errorWord>＜</errorWord>
      <group>L1_Format</group>
      <groupName>格式问题</groupName>
      <ability>L2_HalfPunc_CN</ability>
      <abilityName/>
      <candidateList>
        <item>&lt;</item>
      </candidateList>
      <explain>文本全半角错误。</explain>
      <paraID>4556451A</paraID>
      <start>0</start>
      <end>1</end>
      <status>unmodified</status>
      <modifiedWord/>
      <trackRevisions>false</trackRevisions>
    </reviewItem>
    <reviewItem>
      <errorID>a901d178-e985-48f7-99b4-6b9c1355c924</errorID>
      <errorWord>＜</errorWord>
      <group>L1_Format</group>
      <groupName>格式问题</groupName>
      <ability>L2_HalfPunc_CN</ability>
      <abilityName/>
      <candidateList>
        <item>&lt;</item>
      </candidateList>
      <explain>文本全半角错误。</explain>
      <paraID>3E5E9963</paraID>
      <start>0</start>
      <end>1</end>
      <status>unmodified</status>
      <modifiedWord/>
      <trackRevisions>false</trackRevisions>
    </reviewItem>
    <reviewItem>
      <errorID>551fe848-2357-47a8-99ba-99f2a146bf2c</errorID>
      <errorWord>＜</errorWord>
      <group>L1_Format</group>
      <groupName>格式问题</groupName>
      <ability>L2_HalfPunc_CN</ability>
      <abilityName/>
      <candidateList>
        <item>&lt;</item>
      </candidateList>
      <explain>文本全半角错误。</explain>
      <paraID>15604CFE</paraID>
      <start>0</start>
      <end>1</end>
      <status>unmodified</status>
      <modifiedWord/>
      <trackRevisions>false</trackRevisions>
    </reviewItem>
    <reviewItem>
      <errorID>37596d28-53f9-4a0a-9f85-6b3214a5c479</errorID>
      <errorWord>＜</errorWord>
      <group>L1_Format</group>
      <groupName>格式问题</groupName>
      <ability>L2_HalfPunc_CN</ability>
      <abilityName/>
      <candidateList>
        <item>&lt;</item>
      </candidateList>
      <explain>文本全半角错误。</explain>
      <paraID>3499D41E</paraID>
      <start>0</start>
      <end>1</end>
      <status>unmodified</status>
      <modifiedWord/>
      <trackRevisions>false</trackRevisions>
    </reviewItem>
    <reviewItem>
      <errorID>e1f8bac6-b961-4c30-bf97-b827e389d9f2</errorID>
      <errorWord>＜</errorWord>
      <group>L1_Format</group>
      <groupName>格式问题</groupName>
      <ability>L2_HalfPunc_CN</ability>
      <abilityName/>
      <candidateList>
        <item>&lt;</item>
      </candidateList>
      <explain>文本全半角错误。</explain>
      <paraID>67CC73C7</paraID>
      <start>0</start>
      <end>1</end>
      <status>unmodified</status>
      <modifiedWord/>
      <trackRevisions>false</trackRevisions>
    </reviewItem>
    <reviewItem>
      <errorID>82a00f98-ccbf-4ac6-b6fe-4a779cad2bd1</errorID>
      <errorWord>＜</errorWord>
      <group>L1_Format</group>
      <groupName>格式问题</groupName>
      <ability>L2_HalfPunc_CN</ability>
      <abilityName/>
      <candidateList>
        <item>&lt;</item>
      </candidateList>
      <explain>文本全半角错误。</explain>
      <paraID>2BD2B449</paraID>
      <start>0</start>
      <end>1</end>
      <status>unmodified</status>
      <modifiedWord/>
      <trackRevisions>false</trackRevisions>
    </reviewItem>
    <reviewItem>
      <errorID>16286648-d2af-4022-b5c4-006e68b5bc2a</errorID>
      <errorWord>＜</errorWord>
      <group>L1_Format</group>
      <groupName>格式问题</groupName>
      <ability>L2_HalfPunc_CN</ability>
      <abilityName/>
      <candidateList>
        <item>&lt;</item>
      </candidateList>
      <explain>文本全半角错误。</explain>
      <paraID>49219F9D</paraID>
      <start>0</start>
      <end>1</end>
      <status>unmodified</status>
      <modifiedWord/>
      <trackRevisions>false</trackRevisions>
    </reviewItem>
    <reviewItem>
      <errorID>2b06f4f0-e2f2-48f8-914f-aead3fd8d1a7</errorID>
      <errorWord>＜</errorWord>
      <group>L1_Format</group>
      <groupName>格式问题</groupName>
      <ability>L2_HalfPunc_CN</ability>
      <abilityName/>
      <candidateList>
        <item>&lt;</item>
      </candidateList>
      <explain>文本全半角错误。</explain>
      <paraID>405CE00C</paraID>
      <start>0</start>
      <end>1</end>
      <status>unmodified</status>
      <modifiedWord/>
      <trackRevisions>false</trackRevisions>
    </reviewItem>
    <reviewItem>
      <errorID>af8979a5-f4cb-4222-942c-3dac733fb569</errorID>
      <errorWord>＜</errorWord>
      <group>L1_Format</group>
      <groupName>格式问题</groupName>
      <ability>L2_HalfPunc_CN</ability>
      <abilityName/>
      <candidateList>
        <item>&lt;</item>
      </candidateList>
      <explain>文本全半角错误。</explain>
      <paraID>4B1D0F89</paraID>
      <start>0</start>
      <end>1</end>
      <status>unmodified</status>
      <modifiedWord/>
      <trackRevisions>false</trackRevisions>
    </reviewItem>
    <reviewItem>
      <errorID>0ab3c217-ec32-4f5f-a24e-e6cd92488092</errorID>
      <errorWord>＜</errorWord>
      <group>L1_Format</group>
      <groupName>格式问题</groupName>
      <ability>L2_HalfPunc_CN</ability>
      <abilityName/>
      <candidateList>
        <item>&lt;</item>
      </candidateList>
      <explain>文本全半角错误。</explain>
      <paraID>597558BA</paraID>
      <start>0</start>
      <end>1</end>
      <status>unmodified</status>
      <modifiedWord/>
      <trackRevisions>false</trackRevisions>
    </reviewItem>
    <reviewItem>
      <errorID>1b83d2d4-880b-4010-ac59-5a5ec15b5c72</errorID>
      <errorWord>＜</errorWord>
      <group>L1_Format</group>
      <groupName>格式问题</groupName>
      <ability>L2_HalfPunc_CN</ability>
      <abilityName/>
      <candidateList>
        <item>&lt;</item>
      </candidateList>
      <explain>文本全半角错误。</explain>
      <paraID>706C6BB1</paraID>
      <start>0</start>
      <end>1</end>
      <status>unmodified</status>
      <modifiedWord/>
      <trackRevisions>false</trackRevisions>
    </reviewItem>
    <reviewItem>
      <errorID>8cffe74b-91e2-4c98-942c-c81b21141cf3</errorID>
      <errorWord>＜</errorWord>
      <group>L1_Format</group>
      <groupName>格式问题</groupName>
      <ability>L2_HalfPunc_CN</ability>
      <abilityName/>
      <candidateList>
        <item>&lt;</item>
      </candidateList>
      <explain>文本全半角错误。</explain>
      <paraID>6845ECCC</paraID>
      <start>0</start>
      <end>1</end>
      <status>unmodified</status>
      <modifiedWord/>
      <trackRevisions>false</trackRevisions>
    </reviewItem>
    <reviewItem>
      <errorID>9db2b4b5-b96c-4be9-b467-b1e0cfcad1f1</errorID>
      <errorWord>＜</errorWord>
      <group>L1_Format</group>
      <groupName>格式问题</groupName>
      <ability>L2_HalfPunc_CN</ability>
      <abilityName/>
      <candidateList>
        <item>&lt;</item>
      </candidateList>
      <explain>文本全半角错误。</explain>
      <paraID>3CA0430C</paraID>
      <start>0</start>
      <end>1</end>
      <status>unmodified</status>
      <modifiedWord/>
      <trackRevisions>false</trackRevisions>
    </reviewItem>
    <reviewItem>
      <errorID>1c579f72-0921-4096-8f3f-a4139dd12223</errorID>
      <errorWord>＜</errorWord>
      <group>L1_Format</group>
      <groupName>格式问题</groupName>
      <ability>L2_HalfPunc_CN</ability>
      <abilityName/>
      <candidateList>
        <item>&lt;</item>
      </candidateList>
      <explain>文本全半角错误。</explain>
      <paraID>71E5714C</paraID>
      <start>0</start>
      <end>1</end>
      <status>unmodified</status>
      <modifiedWord/>
      <trackRevisions>false</trackRevisions>
    </reviewItem>
    <reviewItem>
      <errorID>860bc3e8-7a29-464b-9da0-f8cba640d2a9</errorID>
      <errorWord>＜</errorWord>
      <group>L1_Format</group>
      <groupName>格式问题</groupName>
      <ability>L2_HalfPunc_CN</ability>
      <abilityName/>
      <candidateList>
        <item>&lt;</item>
      </candidateList>
      <explain>文本全半角错误。</explain>
      <paraID>33F8F19F</paraID>
      <start>0</start>
      <end>1</end>
      <status>unmodified</status>
      <modifiedWord/>
      <trackRevisions>false</trackRevisions>
    </reviewItem>
    <reviewItem>
      <errorID>9c784656-153e-4b5b-a269-be7efe45652c</errorID>
      <errorWord>＜</errorWord>
      <group>L1_Format</group>
      <groupName>格式问题</groupName>
      <ability>L2_HalfPunc_CN</ability>
      <abilityName/>
      <candidateList>
        <item>&lt;</item>
      </candidateList>
      <explain>文本全半角错误。</explain>
      <paraID>23DDFDA2</paraID>
      <start>0</start>
      <end>1</end>
      <status>unmodified</status>
      <modifiedWord/>
      <trackRevisions>false</trackRevisions>
    </reviewItem>
    <reviewItem>
      <errorID>55858b2a-7090-41d0-9371-fbf7c5ec6440</errorID>
      <errorWord>＜</errorWord>
      <group>L1_Format</group>
      <groupName>格式问题</groupName>
      <ability>L2_HalfPunc_CN</ability>
      <abilityName/>
      <candidateList>
        <item>&lt;</item>
      </candidateList>
      <explain>文本全半角错误。</explain>
      <paraID>7DC4DE46</paraID>
      <start>0</start>
      <end>1</end>
      <status>unmodified</status>
      <modifiedWord/>
      <trackRevisions>false</trackRevisions>
    </reviewItem>
    <reviewItem>
      <errorID>392c7597-17cc-4a3e-ba12-e862d7b45213</errorID>
      <errorWord>＜</errorWord>
      <group>L1_Format</group>
      <groupName>格式问题</groupName>
      <ability>L2_HalfPunc_CN</ability>
      <abilityName/>
      <candidateList>
        <item>&lt;</item>
      </candidateList>
      <explain>文本全半角错误。</explain>
      <paraID>58454DCB</paraID>
      <start>0</start>
      <end>1</end>
      <status>unmodified</status>
      <modifiedWord/>
      <trackRevisions>false</trackRevisions>
    </reviewItem>
    <reviewItem>
      <errorID>595f63ac-5069-42d1-98d3-f08e2feea6b7</errorID>
      <errorWord>＜</errorWord>
      <group>L1_Format</group>
      <groupName>格式问题</groupName>
      <ability>L2_HalfPunc_CN</ability>
      <abilityName/>
      <candidateList>
        <item>&lt;</item>
      </candidateList>
      <explain>文本全半角错误。</explain>
      <paraID>5E17E499</paraID>
      <start>0</start>
      <end>1</end>
      <status>unmodified</status>
      <modifiedWord/>
      <trackRevisions>false</trackRevisions>
    </reviewItem>
    <reviewItem>
      <errorID>a9d21e4d-fc62-419d-b2c1-e4f2842b8061</errorID>
      <errorWord>＜</errorWord>
      <group>L1_Format</group>
      <groupName>格式问题</groupName>
      <ability>L2_HalfPunc_CN</ability>
      <abilityName/>
      <candidateList>
        <item>&lt;</item>
      </candidateList>
      <explain>文本全半角错误。</explain>
      <paraID>5A749063</paraID>
      <start>0</start>
      <end>1</end>
      <status>unmodified</status>
      <modifiedWord/>
      <trackRevisions>false</trackRevisions>
    </reviewItem>
    <reviewItem>
      <errorID>f8bb2fdf-960f-4a5f-919b-4b6095e0b452</errorID>
      <errorWord>＜</errorWord>
      <group>L1_Format</group>
      <groupName>格式问题</groupName>
      <ability>L2_HalfPunc_CN</ability>
      <abilityName/>
      <candidateList>
        <item>&lt;</item>
      </candidateList>
      <explain>文本全半角错误。</explain>
      <paraID>723AF14C</paraID>
      <start>0</start>
      <end>1</end>
      <status>unmodified</status>
      <modifiedWord/>
      <trackRevisions>false</trackRevisions>
    </reviewItem>
    <reviewItem>
      <errorID>03ec08fc-ba7b-4f6f-ad94-3c093e6a576d</errorID>
      <errorWord>＜</errorWord>
      <group>L1_Format</group>
      <groupName>格式问题</groupName>
      <ability>L2_HalfPunc_CN</ability>
      <abilityName/>
      <candidateList>
        <item>&lt;</item>
      </candidateList>
      <explain>文本全半角错误。</explain>
      <paraID>27924E34</paraID>
      <start>0</start>
      <end>1</end>
      <status>unmodified</status>
      <modifiedWord/>
      <trackRevisions>false</trackRevisions>
    </reviewItem>
    <reviewItem>
      <errorID>1e2a7d06-dea9-44c4-96e3-3b6f8b144ffb</errorID>
      <errorWord>＜</errorWord>
      <group>L1_Format</group>
      <groupName>格式问题</groupName>
      <ability>L2_HalfPunc_CN</ability>
      <abilityName/>
      <candidateList>
        <item>&lt;</item>
      </candidateList>
      <explain>文本全半角错误。</explain>
      <paraID>79DA2934</paraID>
      <start>0</start>
      <end>1</end>
      <status>unmodified</status>
      <modifiedWord/>
      <trackRevisions>false</trackRevisions>
    </reviewItem>
    <reviewItem>
      <errorID>829108ce-d834-4830-8e45-e79eb540ab1d</errorID>
      <errorWord>＜</errorWord>
      <group>L1_Format</group>
      <groupName>格式问题</groupName>
      <ability>L2_HalfPunc_CN</ability>
      <abilityName/>
      <candidateList>
        <item>&lt;</item>
      </candidateList>
      <explain>文本全半角错误。</explain>
      <paraID>5074D816</paraID>
      <start>0</start>
      <end>1</end>
      <status>unmodified</status>
      <modifiedWord/>
      <trackRevisions>false</trackRevisions>
    </reviewItem>
    <reviewItem>
      <errorID>fee58468-f2ac-4428-894b-e91252df7f3f</errorID>
      <errorWord>＜</errorWord>
      <group>L1_Format</group>
      <groupName>格式问题</groupName>
      <ability>L2_HalfPunc_CN</ability>
      <abilityName/>
      <candidateList>
        <item>&lt;</item>
      </candidateList>
      <explain>文本全半角错误。</explain>
      <paraID>33CF8248</paraID>
      <start>0</start>
      <end>1</end>
      <status>unmodified</status>
      <modifiedWord/>
      <trackRevisions>false</trackRevisions>
    </reviewItem>
    <reviewItem>
      <errorID>47817591-5530-48e8-8cec-1b6a8ae993b8</errorID>
      <errorWord>＜</errorWord>
      <group>L1_Format</group>
      <groupName>格式问题</groupName>
      <ability>L2_HalfPunc_CN</ability>
      <abilityName/>
      <candidateList>
        <item>&lt;</item>
      </candidateList>
      <explain>文本全半角错误。</explain>
      <paraID>1A7B3947</paraID>
      <start>0</start>
      <end>1</end>
      <status>unmodified</status>
      <modifiedWord/>
      <trackRevisions>false</trackRevisions>
    </reviewItem>
    <reviewItem>
      <errorID>b264cc5f-dd76-4359-9182-5cd4d0adef9c</errorID>
      <errorWord>＜</errorWord>
      <group>L1_Format</group>
      <groupName>格式问题</groupName>
      <ability>L2_HalfPunc_CN</ability>
      <abilityName/>
      <candidateList>
        <item>&lt;</item>
      </candidateList>
      <explain>文本全半角错误。</explain>
      <paraID>55ADB40C</paraID>
      <start>0</start>
      <end>1</end>
      <status>unmodified</status>
      <modifiedWord/>
      <trackRevisions>false</trackRevisions>
    </reviewItem>
    <reviewItem>
      <errorID>c4ce35da-a4c1-42b9-8637-1cca50d1e3c6</errorID>
      <errorWord>＜</errorWord>
      <group>L1_Format</group>
      <groupName>格式问题</groupName>
      <ability>L2_HalfPunc_CN</ability>
      <abilityName/>
      <candidateList>
        <item>&lt;</item>
      </candidateList>
      <explain>文本全半角错误。</explain>
      <paraID>2E7C3B00</paraID>
      <start>0</start>
      <end>1</end>
      <status>unmodified</status>
      <modifiedWord/>
      <trackRevisions>false</trackRevisions>
    </reviewItem>
    <reviewItem>
      <errorID>728430eb-6467-47aa-b689-cf55142b755b</errorID>
      <errorWord>＜</errorWord>
      <group>L1_Format</group>
      <groupName>格式问题</groupName>
      <ability>L2_HalfPunc_CN</ability>
      <abilityName/>
      <candidateList>
        <item>&lt;</item>
      </candidateList>
      <explain>文本全半角错误。</explain>
      <paraID>58B1974E</paraID>
      <start>0</start>
      <end>1</end>
      <status>unmodified</status>
      <modifiedWord/>
      <trackRevisions>false</trackRevisions>
    </reviewItem>
    <reviewItem>
      <errorID>1f11ed20-ddac-48ca-98fa-87d07afac82f</errorID>
      <errorWord>＜</errorWord>
      <group>L1_Format</group>
      <groupName>格式问题</groupName>
      <ability>L2_HalfPunc_CN</ability>
      <abilityName/>
      <candidateList>
        <item>&lt;</item>
      </candidateList>
      <explain>文本全半角错误。</explain>
      <paraID>5F521805</paraID>
      <start>0</start>
      <end>1</end>
      <status>unmodified</status>
      <modifiedWord/>
      <trackRevisions>false</trackRevisions>
    </reviewItem>
    <reviewItem>
      <errorID>6ad41e8f-177d-46b3-941c-621886b37d5d</errorID>
      <errorWord>＜</errorWord>
      <group>L1_Format</group>
      <groupName>格式问题</groupName>
      <ability>L2_HalfPunc_CN</ability>
      <abilityName/>
      <candidateList>
        <item>&lt;</item>
      </candidateList>
      <explain>文本全半角错误。</explain>
      <paraID>2D00CC55</paraID>
      <start>0</start>
      <end>1</end>
      <status>unmodified</status>
      <modifiedWord/>
      <trackRevisions>false</trackRevisions>
    </reviewItem>
    <reviewItem>
      <errorID>f22c98ea-6c93-41d3-a42d-39a54d790484</errorID>
      <errorWord>＜</errorWord>
      <group>L1_Format</group>
      <groupName>格式问题</groupName>
      <ability>L2_HalfPunc_CN</ability>
      <abilityName/>
      <candidateList>
        <item>&lt;</item>
      </candidateList>
      <explain>文本全半角错误。</explain>
      <paraID> 7A0BEB8</paraID>
      <start>0</start>
      <end>1</end>
      <status>unmodified</status>
      <modifiedWord/>
      <trackRevisions>false</trackRevisions>
    </reviewItem>
    <reviewItem>
      <errorID>b66ddc22-4a07-4a07-b3e4-e0f576f52fbb</errorID>
      <errorWord>＜</errorWord>
      <group>L1_Format</group>
      <groupName>格式问题</groupName>
      <ability>L2_HalfPunc_CN</ability>
      <abilityName/>
      <candidateList>
        <item>&lt;</item>
      </candidateList>
      <explain>文本全半角错误。</explain>
      <paraID>2A2B3E18</paraID>
      <start>0</start>
      <end>1</end>
      <status>unmodified</status>
      <modifiedWord/>
      <trackRevisions>false</trackRevisions>
    </reviewItem>
    <reviewItem>
      <errorID>36b80ef9-6353-44bd-9f91-d337e5ecc8bd</errorID>
      <errorWord>＜</errorWord>
      <group>L1_Format</group>
      <groupName>格式问题</groupName>
      <ability>L2_HalfPunc_CN</ability>
      <abilityName/>
      <candidateList>
        <item>&lt;</item>
      </candidateList>
      <explain>文本全半角错误。</explain>
      <paraID>7A3D18F0</paraID>
      <start>0</start>
      <end>1</end>
      <status>unmodified</status>
      <modifiedWord/>
      <trackRevisions>false</trackRevisions>
    </reviewItem>
    <reviewItem>
      <errorID>58e9ce99-dc19-402e-b7e7-41c82953eed0</errorID>
      <errorWord>＜</errorWord>
      <group>L1_Format</group>
      <groupName>格式问题</groupName>
      <ability>L2_HalfPunc_CN</ability>
      <abilityName/>
      <candidateList>
        <item>&lt;</item>
      </candidateList>
      <explain>文本全半角错误。</explain>
      <paraID> 5607F6E</paraID>
      <start>0</start>
      <end>1</end>
      <status>unmodified</status>
      <modifiedWord/>
      <trackRevisions>false</trackRevisions>
    </reviewItem>
    <reviewItem>
      <errorID>a820a1d1-7bc0-44cd-8779-7493cdbfb2f5</errorID>
      <errorWord>＜</errorWord>
      <group>L1_Format</group>
      <groupName>格式问题</groupName>
      <ability>L2_HalfPunc_CN</ability>
      <abilityName/>
      <candidateList>
        <item>&lt;</item>
      </candidateList>
      <explain>文本全半角错误。</explain>
      <paraID>7E6B4BDC</paraID>
      <start>0</start>
      <end>1</end>
      <status>unmodified</status>
      <modifiedWord/>
      <trackRevisions>false</trackRevisions>
    </reviewItem>
    <reviewItem>
      <errorID>e7146aa6-5aa8-4af0-8d34-c123b2cf29d5</errorID>
      <errorWord>＜</errorWord>
      <group>L1_Format</group>
      <groupName>格式问题</groupName>
      <ability>L2_HalfPunc_CN</ability>
      <abilityName/>
      <candidateList>
        <item>&lt;</item>
      </candidateList>
      <explain>文本全半角错误。</explain>
      <paraID>3932CD87</paraID>
      <start>0</start>
      <end>1</end>
      <status>unmodified</status>
      <modifiedWord/>
      <trackRevisions>false</trackRevisions>
    </reviewItem>
    <reviewItem>
      <errorID>9f6f2caf-e62a-4627-83b1-c89a804d6673</errorID>
      <errorWord>＜</errorWord>
      <group>L1_Format</group>
      <groupName>格式问题</groupName>
      <ability>L2_HalfPunc_CN</ability>
      <abilityName/>
      <candidateList>
        <item>&lt;</item>
      </candidateList>
      <explain>文本全半角错误。</explain>
      <paraID>36B864A5</paraID>
      <start>0</start>
      <end>1</end>
      <status>unmodified</status>
      <modifiedWord/>
      <trackRevisions>false</trackRevisions>
    </reviewItem>
    <reviewItem>
      <errorID>470874dd-565a-47fb-a28e-f32574960845</errorID>
      <errorWord>＜</errorWord>
      <group>L1_Format</group>
      <groupName>格式问题</groupName>
      <ability>L2_HalfPunc_CN</ability>
      <abilityName/>
      <candidateList>
        <item>&lt;</item>
      </candidateList>
      <explain>文本全半角错误。</explain>
      <paraID>3D34BA4F</paraID>
      <start>0</start>
      <end>1</end>
      <status>unmodified</status>
      <modifiedWord/>
      <trackRevisions>false</trackRevisions>
    </reviewItem>
    <reviewItem>
      <errorID>0ce2b809-54a4-4622-9582-5efdbb489e31</errorID>
      <errorWord>＜</errorWord>
      <group>L1_Format</group>
      <groupName>格式问题</groupName>
      <ability>L2_HalfPunc_CN</ability>
      <abilityName/>
      <candidateList>
        <item>&lt;</item>
      </candidateList>
      <explain>文本全半角错误。</explain>
      <paraID>  C68410</paraID>
      <start>0</start>
      <end>1</end>
      <status>unmodified</status>
      <modifiedWord/>
      <trackRevisions>false</trackRevisions>
    </reviewItem>
    <reviewItem>
      <errorID>836cb4f2-6d49-4e6f-b1c9-850c00993e6a</errorID>
      <errorWord>＜</errorWord>
      <group>L1_Format</group>
      <groupName>格式问题</groupName>
      <ability>L2_HalfPunc_CN</ability>
      <abilityName/>
      <candidateList>
        <item>&lt;</item>
      </candidateList>
      <explain>文本全半角错误。</explain>
      <paraID>3325B793</paraID>
      <start>0</start>
      <end>1</end>
      <status>unmodified</status>
      <modifiedWord/>
      <trackRevisions>false</trackRevisions>
    </reviewItem>
    <reviewItem>
      <errorID>327bd333-ab7a-47eb-81fe-563ee8bd77f4</errorID>
      <errorWord>＜</errorWord>
      <group>L1_Format</group>
      <groupName>格式问题</groupName>
      <ability>L2_HalfPunc_CN</ability>
      <abilityName/>
      <candidateList>
        <item>&lt;</item>
      </candidateList>
      <explain>文本全半角错误。</explain>
      <paraID>3B1BCEB3</paraID>
      <start>0</start>
      <end>1</end>
      <status>unmodified</status>
      <modifiedWord/>
      <trackRevisions>false</trackRevisions>
    </reviewItem>
    <reviewItem>
      <errorID>3835a4a7-87ae-4d25-a359-961479a0e552</errorID>
      <errorWord>＜</errorWord>
      <group>L1_Format</group>
      <groupName>格式问题</groupName>
      <ability>L2_HalfPunc_CN</ability>
      <abilityName/>
      <candidateList>
        <item>&lt;</item>
      </candidateList>
      <explain>文本全半角错误。</explain>
      <paraID>6DC35E17</paraID>
      <start>0</start>
      <end>1</end>
      <status>unmodified</status>
      <modifiedWord/>
      <trackRevisions>false</trackRevisions>
    </reviewItem>
    <reviewItem>
      <errorID>47f28204-f660-4380-81ba-9e187d500f70</errorID>
      <errorWord>＜</errorWord>
      <group>L1_Format</group>
      <groupName>格式问题</groupName>
      <ability>L2_HalfPunc_CN</ability>
      <abilityName/>
      <candidateList>
        <item>&lt;</item>
      </candidateList>
      <explain>文本全半角错误。</explain>
      <paraID>6ECB1E1E</paraID>
      <start>0</start>
      <end>1</end>
      <status>unmodified</status>
      <modifiedWord/>
      <trackRevisions>false</trackRevisions>
    </reviewItem>
    <reviewItem>
      <errorID>22930ab1-eac1-423c-a9e9-c7f4710cd9b1</errorID>
      <errorWord>＜</errorWord>
      <group>L1_Format</group>
      <groupName>格式问题</groupName>
      <ability>L2_HalfPunc_CN</ability>
      <abilityName/>
      <candidateList>
        <item>&lt;</item>
      </candidateList>
      <explain>文本全半角错误。</explain>
      <paraID>2681EF99</paraID>
      <start>0</start>
      <end>1</end>
      <status>unmodified</status>
      <modifiedWord/>
      <trackRevisions>false</trackRevisions>
    </reviewItem>
    <reviewItem>
      <errorID>bf452945-3e27-46c0-93df-3d4bd6cd6b51</errorID>
      <errorWord>＜</errorWord>
      <group>L1_Format</group>
      <groupName>格式问题</groupName>
      <ability>L2_HalfPunc_CN</ability>
      <abilityName/>
      <candidateList>
        <item>&lt;</item>
      </candidateList>
      <explain>文本全半角错误。</explain>
      <paraID> 8F06D1B</paraID>
      <start>0</start>
      <end>1</end>
      <status>unmodified</status>
      <modifiedWord/>
      <trackRevisions>false</trackRevisions>
    </reviewItem>
    <reviewItem>
      <errorID>c366fa75-44c0-4846-be0b-ecadd0a9510b</errorID>
      <errorWord>＜</errorWord>
      <group>L1_Format</group>
      <groupName>格式问题</groupName>
      <ability>L2_HalfPunc_CN</ability>
      <abilityName/>
      <candidateList>
        <item>&lt;</item>
      </candidateList>
      <explain>文本全半角错误。</explain>
      <paraID> 612B5B0</paraID>
      <start>0</start>
      <end>1</end>
      <status>unmodified</status>
      <modifiedWord/>
      <trackRevisions>false</trackRevisions>
    </reviewItem>
    <reviewItem>
      <errorID>0bfc745c-6a14-4d82-8ef8-d3eaefc13003</errorID>
      <errorWord>＜</errorWord>
      <group>L1_Format</group>
      <groupName>格式问题</groupName>
      <ability>L2_HalfPunc_CN</ability>
      <abilityName/>
      <candidateList>
        <item>&lt;</item>
      </candidateList>
      <explain>文本全半角错误。</explain>
      <paraID>79D4F87B</paraID>
      <start>0</start>
      <end>1</end>
      <status>unmodified</status>
      <modifiedWord/>
      <trackRevisions>false</trackRevisions>
    </reviewItem>
    <reviewItem>
      <errorID>e1accc47-00eb-4866-9f8b-b71a96e2ffbf</errorID>
      <errorWord>＜</errorWord>
      <group>L1_Format</group>
      <groupName>格式问题</groupName>
      <ability>L2_HalfPunc_CN</ability>
      <abilityName/>
      <candidateList>
        <item>&lt;</item>
      </candidateList>
      <explain>文本全半角错误。</explain>
      <paraID>47D6F6B7</paraID>
      <start>0</start>
      <end>1</end>
      <status>unmodified</status>
      <modifiedWord/>
      <trackRevisions>false</trackRevisions>
    </reviewItem>
    <reviewItem>
      <errorID>f1352b5c-4ed0-4f63-be35-18e44be0b2ef</errorID>
      <errorWord>＜</errorWord>
      <group>L1_Format</group>
      <groupName>格式问题</groupName>
      <ability>L2_HalfPunc_CN</ability>
      <abilityName/>
      <candidateList>
        <item>&lt;</item>
      </candidateList>
      <explain>文本全半角错误。</explain>
      <paraID>64C4CC55</paraID>
      <start>0</start>
      <end>1</end>
      <status>unmodified</status>
      <modifiedWord/>
      <trackRevisions>false</trackRevisions>
    </reviewItem>
    <reviewItem>
      <errorID>aabd9da3-149a-4ffc-8748-cdf1fcf4bcaf</errorID>
      <errorWord>＜</errorWord>
      <group>L1_Format</group>
      <groupName>格式问题</groupName>
      <ability>L2_HalfPunc_CN</ability>
      <abilityName/>
      <candidateList>
        <item>&lt;</item>
      </candidateList>
      <explain>文本全半角错误。</explain>
      <paraID>2E1B6B01</paraID>
      <start>0</start>
      <end>1</end>
      <status>unmodified</status>
      <modifiedWord/>
      <trackRevisions>false</trackRevisions>
    </reviewItem>
    <reviewItem>
      <errorID>baa0fb37-a9d1-4233-8ad8-3457899f91d6</errorID>
      <errorWord>＜</errorWord>
      <group>L1_Format</group>
      <groupName>格式问题</groupName>
      <ability>L2_HalfPunc_CN</ability>
      <abilityName/>
      <candidateList>
        <item>&lt;</item>
      </candidateList>
      <explain>文本全半角错误。</explain>
      <paraID>67AF80BC</paraID>
      <start>0</start>
      <end>1</end>
      <status>unmodified</status>
      <modifiedWord/>
      <trackRevisions>false</trackRevisions>
    </reviewItem>
    <reviewItem>
      <errorID>c6369a0b-c5cf-41bd-95b9-7288868abdc5</errorID>
      <errorWord>＜</errorWord>
      <group>L1_Format</group>
      <groupName>格式问题</groupName>
      <ability>L2_HalfPunc_CN</ability>
      <abilityName/>
      <candidateList>
        <item>&lt;</item>
      </candidateList>
      <explain>文本全半角错误。</explain>
      <paraID>535105AD</paraID>
      <start>0</start>
      <end>1</end>
      <status>unmodified</status>
      <modifiedWord/>
      <trackRevisions>false</trackRevisions>
    </reviewItem>
    <reviewItem>
      <errorID>7d8aa3d6-3cca-43da-be72-86668327f7ab</errorID>
      <errorWord>＜</errorWord>
      <group>L1_Format</group>
      <groupName>格式问题</groupName>
      <ability>L2_HalfPunc_CN</ability>
      <abilityName/>
      <candidateList>
        <item>&lt;</item>
      </candidateList>
      <explain>文本全半角错误。</explain>
      <paraID>3C182E38</paraID>
      <start>0</start>
      <end>1</end>
      <status>unmodified</status>
      <modifiedWord/>
      <trackRevisions>false</trackRevisions>
    </reviewItem>
    <reviewItem>
      <errorID>d0eea640-990f-414e-9f18-491e178893b8</errorID>
      <errorWord>＜</errorWord>
      <group>L1_Format</group>
      <groupName>格式问题</groupName>
      <ability>L2_HalfPunc_CN</ability>
      <abilityName/>
      <candidateList>
        <item>&lt;</item>
      </candidateList>
      <explain>文本全半角错误。</explain>
      <paraID>20B26CD4</paraID>
      <start>0</start>
      <end>1</end>
      <status>unmodified</status>
      <modifiedWord/>
      <trackRevisions>false</trackRevisions>
    </reviewItem>
    <reviewItem>
      <errorID>7471d1e6-8be4-4059-8ac9-a70dc3a6835d</errorID>
      <errorWord>＜</errorWord>
      <group>L1_Format</group>
      <groupName>格式问题</groupName>
      <ability>L2_HalfPunc_CN</ability>
      <abilityName/>
      <candidateList>
        <item>&lt;</item>
      </candidateList>
      <explain>文本全半角错误。</explain>
      <paraID> 581CA98</paraID>
      <start>0</start>
      <end>1</end>
      <status>unmodified</status>
      <modifiedWord/>
      <trackRevisions>false</trackRevisions>
    </reviewItem>
    <reviewItem>
      <errorID>0664de38-a226-47f8-af74-f6b38be4e388</errorID>
      <errorWord>＜</errorWord>
      <group>L1_Format</group>
      <groupName>格式问题</groupName>
      <ability>L2_HalfPunc_CN</ability>
      <abilityName/>
      <candidateList>
        <item>&lt;</item>
      </candidateList>
      <explain>文本全半角错误。</explain>
      <paraID>1EE05AE1</paraID>
      <start>0</start>
      <end>1</end>
      <status>unmodified</status>
      <modifiedWord/>
      <trackRevisions>false</trackRevisions>
    </reviewItem>
    <reviewItem>
      <errorID>f635246e-de01-46ba-b54f-9cb39c000be3</errorID>
      <errorWord>＜</errorWord>
      <group>L1_Format</group>
      <groupName>格式问题</groupName>
      <ability>L2_HalfPunc_CN</ability>
      <abilityName/>
      <candidateList>
        <item>&lt;</item>
      </candidateList>
      <explain>文本全半角错误。</explain>
      <paraID>551AFC4A</paraID>
      <start>0</start>
      <end>1</end>
      <status>unmodified</status>
      <modifiedWord/>
      <trackRevisions>false</trackRevisions>
    </reviewItem>
    <reviewItem>
      <errorID>b8fc7147-6381-43af-b8dc-5514961e6332</errorID>
      <errorWord>＜</errorWord>
      <group>L1_Format</group>
      <groupName>格式问题</groupName>
      <ability>L2_HalfPunc_CN</ability>
      <abilityName/>
      <candidateList>
        <item>&lt;</item>
      </candidateList>
      <explain>文本全半角错误。</explain>
      <paraID>6D8341E0</paraID>
      <start>0</start>
      <end>1</end>
      <status>unmodified</status>
      <modifiedWord/>
      <trackRevisions>false</trackRevisions>
    </reviewItem>
    <reviewItem>
      <errorID>b09a1bcd-af2c-41f3-8a5b-57b948a55399</errorID>
      <errorWord>＜</errorWord>
      <group>L1_Format</group>
      <groupName>格式问题</groupName>
      <ability>L2_HalfPunc_CN</ability>
      <abilityName/>
      <candidateList>
        <item>&lt;</item>
      </candidateList>
      <explain>文本全半角错误。</explain>
      <paraID>  149BA0</paraID>
      <start>0</start>
      <end>1</end>
      <status>unmodified</status>
      <modifiedWord/>
      <trackRevisions>false</trackRevisions>
    </reviewItem>
    <reviewItem>
      <errorID>0f7fd974-99b0-4fcb-9160-328ac0b73543</errorID>
      <errorWord>＜</errorWord>
      <group>L1_Format</group>
      <groupName>格式问题</groupName>
      <ability>L2_HalfPunc_CN</ability>
      <abilityName/>
      <candidateList>
        <item>&lt;</item>
      </candidateList>
      <explain>文本全半角错误。</explain>
      <paraID>452EB4BB</paraID>
      <start>0</start>
      <end>1</end>
      <status>unmodified</status>
      <modifiedWord/>
      <trackRevisions>false</trackRevisions>
    </reviewItem>
    <reviewItem>
      <errorID>ad27b6cf-3e35-47e3-b1bb-bd10cd1fdc49</errorID>
      <errorWord>＜</errorWord>
      <group>L1_Format</group>
      <groupName>格式问题</groupName>
      <ability>L2_HalfPunc_CN</ability>
      <abilityName/>
      <candidateList>
        <item>&lt;</item>
      </candidateList>
      <explain>文本全半角错误。</explain>
      <paraID> 1431DEE</paraID>
      <start>0</start>
      <end>1</end>
      <status>unmodified</status>
      <modifiedWord/>
      <trackRevisions>false</trackRevisions>
    </reviewItem>
    <reviewItem>
      <errorID>115e2eeb-085f-4e9d-ad8d-202b956bbf81</errorID>
      <errorWord>＜</errorWord>
      <group>L1_Format</group>
      <groupName>格式问题</groupName>
      <ability>L2_HalfPunc_CN</ability>
      <abilityName/>
      <candidateList>
        <item>&lt;</item>
      </candidateList>
      <explain>文本全半角错误。</explain>
      <paraID>2964D55E</paraID>
      <start>0</start>
      <end>1</end>
      <status>unmodified</status>
      <modifiedWord/>
      <trackRevisions>false</trackRevisions>
    </reviewItem>
    <reviewItem>
      <errorID>7597b314-739d-4974-8233-4c73a3049a68</errorID>
      <errorWord>＜</errorWord>
      <group>L1_Format</group>
      <groupName>格式问题</groupName>
      <ability>L2_HalfPunc_CN</ability>
      <abilityName/>
      <candidateList>
        <item>&lt;</item>
      </candidateList>
      <explain>文本全半角错误。</explain>
      <paraID>60D670B5</paraID>
      <start>0</start>
      <end>1</end>
      <status>unmodified</status>
      <modifiedWord/>
      <trackRevisions>false</trackRevisions>
    </reviewItem>
    <reviewItem>
      <errorID>1069ca9f-36cc-40ba-a999-c60c59d7ea39</errorID>
      <errorWord>＜</errorWord>
      <group>L1_Format</group>
      <groupName>格式问题</groupName>
      <ability>L2_HalfPunc_CN</ability>
      <abilityName/>
      <candidateList>
        <item>&lt;</item>
      </candidateList>
      <explain>文本全半角错误。</explain>
      <paraID>3027F308</paraID>
      <start>0</start>
      <end>1</end>
      <status>unmodified</status>
      <modifiedWord/>
      <trackRevisions>false</trackRevisions>
    </reviewItem>
    <reviewItem>
      <errorID>aec84e23-477b-4fee-8467-037155a4e06c</errorID>
      <errorWord>＜</errorWord>
      <group>L1_Format</group>
      <groupName>格式问题</groupName>
      <ability>L2_HalfPunc_CN</ability>
      <abilityName/>
      <candidateList>
        <item>&lt;</item>
      </candidateList>
      <explain>文本全半角错误。</explain>
      <paraID>31962FBC</paraID>
      <start>0</start>
      <end>1</end>
      <status>unmodified</status>
      <modifiedWord/>
      <trackRevisions>false</trackRevisions>
    </reviewItem>
    <reviewItem>
      <errorID>238ca59c-1ba4-45e3-9a21-c570d710d486</errorID>
      <errorWord>＜</errorWord>
      <group>L1_Format</group>
      <groupName>格式问题</groupName>
      <ability>L2_HalfPunc_CN</ability>
      <abilityName/>
      <candidateList>
        <item>&lt;</item>
      </candidateList>
      <explain>文本全半角错误。</explain>
      <paraID>615D3C2F</paraID>
      <start>0</start>
      <end>1</end>
      <status>unmodified</status>
      <modifiedWord/>
      <trackRevisions>false</trackRevisions>
    </reviewItem>
    <reviewItem>
      <errorID>f2d76ef9-074c-4dda-a5ad-70c3fdec26d4</errorID>
      <errorWord>＜</errorWord>
      <group>L1_Format</group>
      <groupName>格式问题</groupName>
      <ability>L2_HalfPunc_CN</ability>
      <abilityName/>
      <candidateList>
        <item>&lt;</item>
      </candidateList>
      <explain>文本全半角错误。</explain>
      <paraID>60985D6C</paraID>
      <start>0</start>
      <end>1</end>
      <status>unmodified</status>
      <modifiedWord/>
      <trackRevisions>false</trackRevisions>
    </reviewItem>
    <reviewItem>
      <errorID>bd877b9b-bcf6-4de4-9e68-e84eaf8ef36a</errorID>
      <errorWord>＜</errorWord>
      <group>L1_Format</group>
      <groupName>格式问题</groupName>
      <ability>L2_HalfPunc_CN</ability>
      <abilityName/>
      <candidateList>
        <item>&lt;</item>
      </candidateList>
      <explain>文本全半角错误。</explain>
      <paraID>21AD5A75</paraID>
      <start>0</start>
      <end>1</end>
      <status>unmodified</status>
      <modifiedWord/>
      <trackRevisions>false</trackRevisions>
    </reviewItem>
    <reviewItem>
      <errorID>585feab5-c9a6-4b1d-96f1-b8535ee02613</errorID>
      <errorWord>＜</errorWord>
      <group>L1_Format</group>
      <groupName>格式问题</groupName>
      <ability>L2_HalfPunc_CN</ability>
      <abilityName/>
      <candidateList>
        <item>&lt;</item>
      </candidateList>
      <explain>文本全半角错误。</explain>
      <paraID>283E4EB2</paraID>
      <start>0</start>
      <end>1</end>
      <status>unmodified</status>
      <modifiedWord/>
      <trackRevisions>false</trackRevisions>
    </reviewItem>
    <reviewItem>
      <errorID>892218dd-4990-4040-a15d-b2f17be882d6</errorID>
      <errorWord>＜</errorWord>
      <group>L1_Format</group>
      <groupName>格式问题</groupName>
      <ability>L2_HalfPunc_CN</ability>
      <abilityName/>
      <candidateList>
        <item>&lt;</item>
      </candidateList>
      <explain>文本全半角错误。</explain>
      <paraID> EB901BF</paraID>
      <start>0</start>
      <end>1</end>
      <status>unmodified</status>
      <modifiedWord/>
      <trackRevisions>false</trackRevisions>
    </reviewItem>
    <reviewItem>
      <errorID>1f919796-edb4-44c2-9d40-f956a78debc6</errorID>
      <errorWord>＜</errorWord>
      <group>L1_Format</group>
      <groupName>格式问题</groupName>
      <ability>L2_HalfPunc_CN</ability>
      <abilityName/>
      <candidateList>
        <item>&lt;</item>
      </candidateList>
      <explain>文本全半角错误。</explain>
      <paraID> 70C71FC</paraID>
      <start>0</start>
      <end>1</end>
      <status>unmodified</status>
      <modifiedWord/>
      <trackRevisions>false</trackRevisions>
    </reviewItem>
    <reviewItem>
      <errorID>fb137840-0081-489a-9f75-cf3372264054</errorID>
      <errorWord>＜</errorWord>
      <group>L1_Format</group>
      <groupName>格式问题</groupName>
      <ability>L2_HalfPunc_CN</ability>
      <abilityName/>
      <candidateList>
        <item>&lt;</item>
      </candidateList>
      <explain>文本全半角错误。</explain>
      <paraID>1D9981AB</paraID>
      <start>0</start>
      <end>1</end>
      <status>unmodified</status>
      <modifiedWord/>
      <trackRevisions>false</trackRevisions>
    </reviewItem>
    <reviewItem>
      <errorID>c0278a3b-2bbc-4fb4-b86a-ddfd3a7f7c4d</errorID>
      <errorWord>＜</errorWord>
      <group>L1_Format</group>
      <groupName>格式问题</groupName>
      <ability>L2_HalfPunc_CN</ability>
      <abilityName/>
      <candidateList>
        <item>&lt;</item>
      </candidateList>
      <explain>文本全半角错误。</explain>
      <paraID>31EC4FE9</paraID>
      <start>0</start>
      <end>1</end>
      <status>unmodified</status>
      <modifiedWord/>
      <trackRevisions>false</trackRevisions>
    </reviewItem>
    <reviewItem>
      <errorID>c3d00a7c-1bbc-42ff-9086-c726abcedb4c</errorID>
      <errorWord>＜</errorWord>
      <group>L1_Format</group>
      <groupName>格式问题</groupName>
      <ability>L2_HalfPunc_CN</ability>
      <abilityName/>
      <candidateList>
        <item>&lt;</item>
      </candidateList>
      <explain>文本全半角错误。</explain>
      <paraID>54FA1AFD</paraID>
      <start>0</start>
      <end>1</end>
      <status>unmodified</status>
      <modifiedWord/>
      <trackRevisions>false</trackRevisions>
    </reviewItem>
    <reviewItem>
      <errorID>bdf5c0dd-22d7-4584-8bf3-18958c47245c</errorID>
      <errorWord>＜</errorWord>
      <group>L1_Format</group>
      <groupName>格式问题</groupName>
      <ability>L2_HalfPunc_CN</ability>
      <abilityName/>
      <candidateList>
        <item>&lt;</item>
      </candidateList>
      <explain>文本全半角错误。</explain>
      <paraID>7CA342CC</paraID>
      <start>0</start>
      <end>1</end>
      <status>unmodified</status>
      <modifiedWord/>
      <trackRevisions>false</trackRevisions>
    </reviewItem>
    <reviewItem>
      <errorID>d48e1525-fbd9-441d-927e-0a7cace42ecf</errorID>
      <errorWord>(</errorWord>
      <group>L1_Format</group>
      <groupName>格式问题</groupName>
      <ability>L2_HalfPunc_CN</ability>
      <abilityName/>
      <candidateList>
        <item>（</item>
      </candidateList>
      <explain>文本全半角错误。</explain>
      <paraID>6A6CABDC</paraID>
      <start>30</start>
      <end>31</end>
      <status>unmodified</status>
      <modifiedWord/>
      <trackRevisions>false</trackRevisions>
    </reviewItem>
    <reviewItem>
      <errorID>2bf1131b-d7cd-45a2-9884-e3c806f31adf</errorID>
      <errorWord>)</errorWord>
      <group>L1_Format</group>
      <groupName>格式问题</groupName>
      <ability>L2_HalfPunc_CN</ability>
      <abilityName/>
      <candidateList>
        <item>）</item>
      </candidateList>
      <explain>文本全半角错误。</explain>
      <paraID>6A6CABDC</paraID>
      <start>46</start>
      <end>47</end>
      <status>unmodified</status>
      <modifiedWord/>
      <trackRevisions>false</trackRevisions>
    </reviewItem>
    <reviewItem>
      <errorID>b37da5ab-514d-4900-b5e0-f672a670c694</errorID>
      <errorWord>＜</errorWord>
      <group>L1_Format</group>
      <groupName>格式问题</groupName>
      <ability>L2_HalfPunc_CN</ability>
      <abilityName/>
      <candidateList>
        <item>&lt;</item>
      </candidateList>
      <explain>文本全半角错误。</explain>
      <paraID>31766D53</paraID>
      <start>0</start>
      <end>1</end>
      <status>unmodified</status>
      <modifiedWord/>
      <trackRevisions>false</trackRevisions>
    </reviewItem>
    <reviewItem>
      <errorID>ac00ce5e-74c6-4821-b4ec-28390c4340b3</errorID>
      <errorWord>＜</errorWord>
      <group>L1_Format</group>
      <groupName>格式问题</groupName>
      <ability>L2_HalfPunc_CN</ability>
      <abilityName/>
      <candidateList>
        <item>&lt;</item>
      </candidateList>
      <explain>文本全半角错误。</explain>
      <paraID>113D3083</paraID>
      <start>0</start>
      <end>1</end>
      <status>unmodified</status>
      <modifiedWord/>
      <trackRevisions>false</trackRevisions>
    </reviewItem>
    <reviewItem>
      <errorID>e261de7a-aefb-44e1-a08d-b63557634eb5</errorID>
      <errorWord>＜</errorWord>
      <group>L1_Format</group>
      <groupName>格式问题</groupName>
      <ability>L2_HalfPunc_CN</ability>
      <abilityName/>
      <candidateList>
        <item>&lt;</item>
      </candidateList>
      <explain>文本全半角错误。</explain>
      <paraID>61A1F988</paraID>
      <start>0</start>
      <end>1</end>
      <status>unmodified</status>
      <modifiedWord/>
      <trackRevisions>false</trackRevisions>
    </reviewItem>
    <reviewItem>
      <errorID>f6a5ace4-1363-4960-8ddf-b4da18b9b1ed</errorID>
      <errorWord>＜</errorWord>
      <group>L1_Format</group>
      <groupName>格式问题</groupName>
      <ability>L2_HalfPunc_CN</ability>
      <abilityName/>
      <candidateList>
        <item>&lt;</item>
      </candidateList>
      <explain>文本全半角错误。</explain>
      <paraID>72916E85</paraID>
      <start>0</start>
      <end>1</end>
      <status>unmodified</status>
      <modifiedWord/>
      <trackRevisions>false</trackRevisions>
    </reviewItem>
    <reviewItem>
      <errorID>1a8d6019-0b1d-4889-a3fd-65b4a35cb0b9</errorID>
      <errorWord>＜</errorWord>
      <group>L1_Format</group>
      <groupName>格式问题</groupName>
      <ability>L2_HalfPunc_CN</ability>
      <abilityName/>
      <candidateList>
        <item>&lt;</item>
      </candidateList>
      <explain>文本全半角错误。</explain>
      <paraID>56FB7CB1</paraID>
      <start>0</start>
      <end>1</end>
      <status>unmodified</status>
      <modifiedWord/>
      <trackRevisions>false</trackRevisions>
    </reviewItem>
    <reviewItem>
      <errorID>bc7aac4a-cba6-433d-925a-8579102e28ac</errorID>
      <errorWord>＜</errorWord>
      <group>L1_Format</group>
      <groupName>格式问题</groupName>
      <ability>L2_HalfPunc_CN</ability>
      <abilityName/>
      <candidateList>
        <item>&lt;</item>
      </candidateList>
      <explain>文本全半角错误。</explain>
      <paraID>537D8789</paraID>
      <start>0</start>
      <end>1</end>
      <status>unmodified</status>
      <modifiedWord/>
      <trackRevisions>false</trackRevisions>
    </reviewItem>
    <reviewItem>
      <errorID>48eb1fba-b99f-498e-8914-da2ed2e4df98</errorID>
      <errorWord>＜</errorWord>
      <group>L1_Format</group>
      <groupName>格式问题</groupName>
      <ability>L2_HalfPunc_CN</ability>
      <abilityName/>
      <candidateList>
        <item>&lt;</item>
      </candidateList>
      <explain>文本全半角错误。</explain>
      <paraID>659113B9</paraID>
      <start>0</start>
      <end>1</end>
      <status>unmodified</status>
      <modifiedWord/>
      <trackRevisions>false</trackRevisions>
    </reviewItem>
    <reviewItem>
      <errorID>b4878b3d-0bbf-4909-b43f-2487acfd66cd</errorID>
      <errorWord>＜</errorWord>
      <group>L1_Format</group>
      <groupName>格式问题</groupName>
      <ability>L2_HalfPunc_CN</ability>
      <abilityName/>
      <candidateList>
        <item>&lt;</item>
      </candidateList>
      <explain>文本全半角错误。</explain>
      <paraID>16717BB9</paraID>
      <start>0</start>
      <end>1</end>
      <status>unmodified</status>
      <modifiedWord/>
      <trackRevisions>false</trackRevisions>
    </reviewItem>
    <reviewItem>
      <errorID>fbb6abc5-5abd-4e1d-bed6-04b8e68cf7f8</errorID>
      <errorWord>＜</errorWord>
      <group>L1_Format</group>
      <groupName>格式问题</groupName>
      <ability>L2_HalfPunc_CN</ability>
      <abilityName/>
      <candidateList>
        <item>&lt;</item>
      </candidateList>
      <explain>文本全半角错误。</explain>
      <paraID>1F8EB715</paraID>
      <start>0</start>
      <end>1</end>
      <status>unmodified</status>
      <modifiedWord/>
      <trackRevisions>false</trackRevisions>
    </reviewItem>
    <reviewItem>
      <errorID>2fa026b7-1d8f-4b8b-8b18-6ad4c509e697</errorID>
      <errorWord>＜</errorWord>
      <group>L1_Format</group>
      <groupName>格式问题</groupName>
      <ability>L2_HalfPunc_CN</ability>
      <abilityName/>
      <candidateList>
        <item>&lt;</item>
      </candidateList>
      <explain>文本全半角错误。</explain>
      <paraID>4E24D7A7</paraID>
      <start>0</start>
      <end>1</end>
      <status>unmodified</status>
      <modifiedWord/>
      <trackRevisions>false</trackRevisions>
    </reviewItem>
    <reviewItem>
      <errorID>e007da19-3105-42af-8856-4c9a3ff4e037</errorID>
      <errorWord>＜</errorWord>
      <group>L1_Format</group>
      <groupName>格式问题</groupName>
      <ability>L2_HalfPunc_CN</ability>
      <abilityName/>
      <candidateList>
        <item>&lt;</item>
      </candidateList>
      <explain>文本全半角错误。</explain>
      <paraID> 66C347A</paraID>
      <start>0</start>
      <end>1</end>
      <status>unmodified</status>
      <modifiedWord/>
      <trackRevisions>false</trackRevisions>
    </reviewItem>
    <reviewItem>
      <errorID>b62e483d-5686-4432-89bb-a82ea4aa6e09</errorID>
      <errorWord>＜</errorWord>
      <group>L1_Format</group>
      <groupName>格式问题</groupName>
      <ability>L2_HalfPunc_CN</ability>
      <abilityName/>
      <candidateList>
        <item>&lt;</item>
      </candidateList>
      <explain>文本全半角错误。</explain>
      <paraID>7185A62A</paraID>
      <start>0</start>
      <end>1</end>
      <status>unmodified</status>
      <modifiedWord/>
      <trackRevisions>false</trackRevisions>
    </reviewItem>
    <reviewItem>
      <errorID>10c90284-973c-49df-8026-bc9a41a0d92e</errorID>
      <errorWord>＜</errorWord>
      <group>L1_Format</group>
      <groupName>格式问题</groupName>
      <ability>L2_HalfPunc_CN</ability>
      <abilityName/>
      <candidateList>
        <item>&lt;</item>
      </candidateList>
      <explain>文本全半角错误。</explain>
      <paraID>616CE377</paraID>
      <start>0</start>
      <end>1</end>
      <status>unmodified</status>
      <modifiedWord/>
      <trackRevisions>false</trackRevisions>
    </reviewItem>
    <reviewItem>
      <errorID>87cd67fd-f23e-4017-87b9-e0db2a590ce7</errorID>
      <errorWord>＜</errorWord>
      <group>L1_Format</group>
      <groupName>格式问题</groupName>
      <ability>L2_HalfPunc_CN</ability>
      <abilityName/>
      <candidateList>
        <item>&lt;</item>
      </candidateList>
      <explain>文本全半角错误。</explain>
      <paraID>1CE2F661</paraID>
      <start>0</start>
      <end>1</end>
      <status>unmodified</status>
      <modifiedWord/>
      <trackRevisions>false</trackRevisions>
    </reviewItem>
    <reviewItem>
      <errorID>c2d650f4-aab8-4675-8de0-675155112edf</errorID>
      <errorWord>＜</errorWord>
      <group>L1_Format</group>
      <groupName>格式问题</groupName>
      <ability>L2_HalfPunc_CN</ability>
      <abilityName/>
      <candidateList>
        <item>&lt;</item>
      </candidateList>
      <explain>文本全半角错误。</explain>
      <paraID>37C51360</paraID>
      <start>0</start>
      <end>1</end>
      <status>unmodified</status>
      <modifiedWord/>
      <trackRevisions>false</trackRevisions>
    </reviewItem>
    <reviewItem>
      <errorID>f5bdee58-aa2a-441b-a3b8-5c908c690cc6</errorID>
      <errorWord>＜</errorWord>
      <group>L1_Format</group>
      <groupName>格式问题</groupName>
      <ability>L2_HalfPunc_CN</ability>
      <abilityName/>
      <candidateList>
        <item>&lt;</item>
      </candidateList>
      <explain>文本全半角错误。</explain>
      <paraID>7E3C8853</paraID>
      <start>0</start>
      <end>1</end>
      <status>unmodified</status>
      <modifiedWord/>
      <trackRevisions>false</trackRevisions>
    </reviewItem>
    <reviewItem>
      <errorID>94b98270-4f5d-4fd7-bec4-5b62bf26d98f</errorID>
      <errorWord>＜</errorWord>
      <group>L1_Format</group>
      <groupName>格式问题</groupName>
      <ability>L2_HalfPunc_CN</ability>
      <abilityName/>
      <candidateList>
        <item>&lt;</item>
      </candidateList>
      <explain>文本全半角错误。</explain>
      <paraID>17D97FF8</paraID>
      <start>0</start>
      <end>1</end>
      <status>unmodified</status>
      <modifiedWord/>
      <trackRevisions>false</trackRevisions>
    </reviewItem>
    <reviewItem>
      <errorID>72540d52-db14-4af9-9557-3240219cff6d</errorID>
      <errorWord>＜</errorWord>
      <group>L1_Format</group>
      <groupName>格式问题</groupName>
      <ability>L2_HalfPunc_CN</ability>
      <abilityName/>
      <candidateList>
        <item>&lt;</item>
      </candidateList>
      <explain>文本全半角错误。</explain>
      <paraID>47CBEDA6</paraID>
      <start>0</start>
      <end>1</end>
      <status>unmodified</status>
      <modifiedWord/>
      <trackRevisions>false</trackRevisions>
    </reviewItem>
    <reviewItem>
      <errorID>0ebd10fc-03c7-48f3-be5f-c4374821fbda</errorID>
      <errorWord>＜</errorWord>
      <group>L1_Format</group>
      <groupName>格式问题</groupName>
      <ability>L2_HalfPunc_CN</ability>
      <abilityName/>
      <candidateList>
        <item>&lt;</item>
      </candidateList>
      <explain>文本全半角错误。</explain>
      <paraID>13C5A69C</paraID>
      <start>0</start>
      <end>1</end>
      <status>unmodified</status>
      <modifiedWord/>
      <trackRevisions>false</trackRevisions>
    </reviewItem>
    <reviewItem>
      <errorID>cc7f8aee-e232-4c14-8dd0-6169c9451caa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2976F574</paraID>
      <start>26</start>
      <end>27</end>
      <status>unmodified</status>
      <modifiedWord/>
      <trackRevisions>false</trackRevisions>
    </reviewItem>
    <reviewItem>
      <errorID>49274fb6-3d54-4ed1-829d-776a0427d811</errorID>
      <errorWord>璃度</errorWord>
      <group>L1_Word</group>
      <groupName>字词问题</groupName>
      <ability>L2_Typo</ability>
      <abilityName>字词错误</abilityName>
      <candidateList>
        <item>密度</item>
      </candidateList>
      <explain/>
      <paraID>2976F574</paraID>
      <start>37</start>
      <end>39</end>
      <status>unmodified</status>
      <modifiedWord/>
      <trackRevisions>false</trackRevisions>
    </reviewItem>
    <reviewItem>
      <errorID>0ffa1704-a6cf-4279-a2e4-4b3970d7e107</errorID>
      <errorWord>（</errorWord>
      <group>L1_Format</group>
      <groupName>格式问题</groupName>
      <ability>L2_HalfPunc_CN</ability>
      <abilityName/>
      <candidateList>
        <item>(</item>
      </candidateList>
      <explain>文本全半角错误。</explain>
      <paraID>5BA3A6F1</paraID>
      <start>0</start>
      <end>1</end>
      <status>unmodified</status>
      <modifiedWord/>
      <trackRevisions>false</trackRevisions>
    </reviewItem>
    <reviewItem>
      <errorID>59275503-36f3-4af7-9ea4-eb71a4f819ea</errorID>
      <errorWord>）</errorWord>
      <group>L1_Format</group>
      <groupName>格式问题</groupName>
      <ability>L2_HalfPunc_CN</ability>
      <abilityName/>
      <candidateList>
        <item>)</item>
      </candidateList>
      <explain>文本全半角错误。</explain>
      <paraID>5BA3A6F1</paraID>
      <start>3</start>
      <end>4</end>
      <status>unmodified</status>
      <modifiedWord/>
      <trackRevisions>false</trackRevisions>
    </reviewItem>
    <reviewItem>
      <errorID>3735997a-0f15-4007-ae16-db7f1ac7ef57</errorID>
      <errorWord>,</errorWord>
      <group>L1_Format</group>
      <groupName>格式问题</groupName>
      <ability>L2_HalfPunc_CN</ability>
      <abilityName/>
      <candidateList>
        <item>，</item>
      </candidateList>
      <explain>文本全半角错误。</explain>
      <paraID>26EC041F</paraID>
      <start>84</start>
      <end>85</end>
      <status>unmodified</status>
      <modifiedWord/>
      <trackRevisions>false</trackRevisions>
    </reviewItem>
    <reviewItem>
      <errorID>8602f107-6c62-46e9-9d94-ff1faa67fde1</errorID>
      <errorWord>)</errorWord>
      <group>L1_Format</group>
      <groupName>格式问题</groupName>
      <ability>L2_HalfPunc_CN</ability>
      <abilityName/>
      <candidateList>
        <item>）</item>
      </candidateList>
      <explain>文本全半角错误。</explain>
      <paraID>26EC041F</paraID>
      <start>144</start>
      <end>145</end>
      <status>unmodified</status>
      <modifiedWord/>
      <trackRevisions>false</trackRevisions>
    </reviewItem>
    <reviewItem>
      <errorID>9c032432-4184-4181-aea4-e36fa78d28e3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45AC9D4D</paraID>
      <start>0</start>
      <end>2</end>
      <status>unmodified</status>
      <modifiedWord/>
      <trackRevisions>false</trackRevisions>
    </reviewItem>
    <reviewItem>
      <errorID>0a666d79-7f77-44fa-943d-75d4563cfcdc</errorID>
      <errorWord>)</errorWord>
      <group>L1_Format</group>
      <groupName>格式问题</groupName>
      <ability>L2_HalfPunc_CN</ability>
      <abilityName/>
      <candidateList>
        <item>）</item>
      </candidateList>
      <explain>文本全半角错误。</explain>
      <paraID>7089C7AF</paraID>
      <start>41</start>
      <end>42</end>
      <status>unmodified</status>
      <modifiedWord/>
      <trackRevisions>false</trackRevisions>
    </reviewItem>
    <reviewItem>
      <errorID>9ddaaffe-a9bf-4d66-81c2-5ed8badb17a5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46456674</paraID>
      <start>0</start>
      <end>2</end>
      <status>unmodified</status>
      <modifiedWord/>
      <trackRevisions>false</trackRevisions>
    </reviewItem>
    <reviewItem>
      <errorID>ca8e3154-7241-4cb4-bb6f-6f8da2399499</errorID>
      <errorWord>员</errorWord>
      <group>L1_Word</group>
      <groupName>字词问题</groupName>
      <ability>L2_Typo</ability>
      <abilityName>字词错误</abilityName>
      <candidateList>
        <item>员在</item>
      </candidateList>
      <explain/>
      <paraID>540FE3E9</paraID>
      <start>81</start>
      <end>82</end>
      <status>unmodified</status>
      <modifiedWord/>
      <trackRevisions>false</trackRevisions>
    </reviewItem>
    <reviewItem>
      <errorID>df49cd10-13ec-4cbb-83d5-87c0b36ddc73</errorID>
      <errorWord>服碘</errorWord>
      <group>L1_Word</group>
      <groupName>字词问题</groupName>
      <ability>L2_Typo</ability>
      <abilityName>字词错误</abilityName>
      <candidateList>
        <item>服药</item>
      </candidateList>
      <explain/>
      <paraID>5421EDBF</paraID>
      <start>71</start>
      <end>73</end>
      <status>unmodified</status>
      <modifiedWord/>
      <trackRevisions>false</trackRevisions>
    </reviewItem>
    <reviewItem>
      <errorID>7313ce9b-8b02-46ce-a111-bd2f86467d3e</errorID>
      <errorWord>程</errorWord>
      <group>L1_Word</group>
      <groupName>字词问题</groupName>
      <ability>L2_Typo</ability>
      <abilityName>字词错误</abilityName>
      <candidateList>
        <item>程中</item>
      </candidateList>
      <explain/>
      <paraID>6BB0C560</paraID>
      <start>119</start>
      <end>120</end>
      <status>unmodified</status>
      <modifiedWord/>
      <trackRevisions>false</trackRevisions>
    </reviewItem>
    <reviewItem>
      <errorID>621aef17-6b18-4983-bcce-5db2e8431e35</errorID>
      <errorWord>)</errorWord>
      <group>L1_Format</group>
      <groupName>格式问题</groupName>
      <ability>L2_HalfPunc_CN</ability>
      <abilityName/>
      <candidateList>
        <item>）</item>
      </candidateList>
      <explain>文本全半角错误。</explain>
      <paraID> 2931107</paraID>
      <start>187</start>
      <end>188</end>
      <status>unmodified</status>
      <modifiedWord/>
      <trackRevisions>false</trackRevisions>
    </reviewItem>
    <reviewItem>
      <errorID>8aaf11c0-7003-4e7d-aff4-69dd6b7ffc95</errorID>
      <errorWord>)</errorWord>
      <group>L1_Format</group>
      <groupName>格式问题</groupName>
      <ability>L2_HalfPunc_CN</ability>
      <abilityName/>
      <candidateList>
        <item>）</item>
      </candidateList>
      <explain>文本全半角错误。</explain>
      <paraID>5F00F03D</paraID>
      <start>267</start>
      <end>268</end>
      <status>unmodified</status>
      <modifiedWord/>
      <trackRevisions>false</trackRevisions>
    </reviewItem>
    <reviewItem>
      <errorID>524875e8-7624-4ef5-8fc3-b499c9cd67ec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3FCF7773</paraID>
      <start>0</start>
      <end>2</end>
      <status>unmodified</status>
      <modifiedWord/>
      <trackRevisions>false</trackRevisions>
    </reviewItem>
    <reviewItem>
      <errorID>3804a136-4322-4d91-8297-603640885aed</errorID>
      <errorWord>技师</errorWord>
      <group>L1_Word</group>
      <groupName>字词问题</groupName>
      <ability>L2_Typo</ability>
      <abilityName>字词错误</abilityName>
      <candidateList>
        <item>技术</item>
      </candidateList>
      <explain>存在发音相近字词的误用。</explain>
      <paraID>40A220D9</paraID>
      <start>117</start>
      <end>119</end>
      <status>unmodified</status>
      <modifiedWord/>
      <trackRevisions>false</trackRevisions>
    </reviewItem>
    <reviewItem>
      <errorID>9102ecd0-4291-49dd-8aa3-c671e2a981b2</errorID>
      <errorWord>(</errorWord>
      <group>L1_Format</group>
      <groupName>格式问题</groupName>
      <ability>L2_HalfPunc_CN</ability>
      <abilityName/>
      <candidateList>
        <item>（</item>
      </candidateList>
      <explain>文本全半角错误。</explain>
      <paraID>54CFF0E6</paraID>
      <start>5</start>
      <end>6</end>
      <status>unmodified</status>
      <modifiedWord/>
      <trackRevisions>false</trackRevisions>
    </reviewItem>
    <reviewItem>
      <errorID>33c3e13a-0bc8-4f32-9f84-510b22a83f93</errorID>
      <errorWord>)</errorWord>
      <group>L1_Format</group>
      <groupName>格式问题</groupName>
      <ability>L2_HalfPunc_CN</ability>
      <abilityName/>
      <candidateList>
        <item>）</item>
      </candidateList>
      <explain>文本全半角错误。</explain>
      <paraID>54CFF0E6</paraID>
      <start>7</start>
      <end>8</end>
      <status>unmodified</status>
      <modifiedWord/>
      <trackRevisions>false</trackRevisions>
    </reviewItem>
    <reviewItem>
      <errorID>ac76ec1f-9396-415d-a413-7783bdc731d4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461C226F</paraID>
      <start>0</start>
      <end>2</end>
      <status>unmodified</status>
      <modifiedWord/>
      <trackRevisions>false</trackRevisions>
    </reviewItem>
    <reviewItem>
      <errorID>fe07b55b-cce0-4ae1-af45-e42afe8ee2dd</errorID>
      <errorWord>（</errorWord>
      <group>L1_Format</group>
      <groupName>格式问题</groupName>
      <ability>L2_HalfPunc_CN</ability>
      <abilityName/>
      <candidateList>
        <item>(</item>
      </candidateList>
      <explain>文本全半角错误。</explain>
      <paraID>426B9D7C</paraID>
      <start>0</start>
      <end>1</end>
      <status>unmodified</status>
      <modifiedWord/>
      <trackRevisions>false</trackRevisions>
    </reviewItem>
    <reviewItem>
      <errorID>93157396-cca3-47aa-8cb5-e489d86f7eb7</errorID>
      <errorWord>）</errorWord>
      <group>L1_Format</group>
      <groupName>格式问题</groupName>
      <ability>L2_HalfPunc_CN</ability>
      <abilityName/>
      <candidateList>
        <item>)</item>
      </candidateList>
      <explain>文本全半角错误。</explain>
      <paraID>426B9D7C</paraID>
      <start>4</start>
      <end>5</end>
      <status>unmodified</status>
      <modifiedWord/>
      <trackRevisions>false</trackRevisions>
    </reviewItem>
    <reviewItem>
      <errorID>c87030c0-96af-4497-bd9d-5ae4edb1a131</errorID>
      <errorWord>（</errorWord>
      <group>L1_Format</group>
      <groupName>格式问题</groupName>
      <ability>L2_HalfPunc_CN</ability>
      <abilityName/>
      <candidateList>
        <item>(</item>
      </candidateList>
      <explain>文本全半角错误。</explain>
      <paraID>3CCF9F9A</paraID>
      <start>0</start>
      <end>1</end>
      <status>unmodified</status>
      <modifiedWord/>
      <trackRevisions>false</trackRevisions>
    </reviewItem>
    <reviewItem>
      <errorID>8ea08497-620e-41f2-b5cd-c787e4b57601</errorID>
      <errorWord>）</errorWord>
      <group>L1_Format</group>
      <groupName>格式问题</groupName>
      <ability>L2_HalfPunc_CN</ability>
      <abilityName/>
      <candidateList>
        <item>)</item>
      </candidateList>
      <explain>文本全半角错误。</explain>
      <paraID>3CCF9F9A</paraID>
      <start>4</start>
      <end>5</end>
      <status>unmodified</status>
      <modifiedWord/>
      <trackRevisions>false</trackRevisions>
    </reviewItem>
    <reviewItem>
      <errorID>6cad8bc2-0499-4137-a6bd-b944eb1e9adf</errorID>
      <errorWord>（</errorWord>
      <group>L1_Format</group>
      <groupName>格式问题</groupName>
      <ability>L2_HalfPunc_CN</ability>
      <abilityName/>
      <candidateList>
        <item>(</item>
      </candidateList>
      <explain>文本全半角错误。</explain>
      <paraID>1086FF39</paraID>
      <start>0</start>
      <end>1</end>
      <status>unmodified</status>
      <modifiedWord/>
      <trackRevisions>false</trackRevisions>
    </reviewItem>
    <reviewItem>
      <errorID>4f360b84-d438-40fd-b77d-0d12a8a7715f</errorID>
      <errorWord>）</errorWord>
      <group>L1_Format</group>
      <groupName>格式问题</groupName>
      <ability>L2_HalfPunc_CN</ability>
      <abilityName/>
      <candidateList>
        <item>)</item>
      </candidateList>
      <explain>文本全半角错误。</explain>
      <paraID>1086FF39</paraID>
      <start>4</start>
      <end>5</end>
      <status>unmodified</status>
      <modifiedWord/>
      <trackRevisions>false</trackRevisions>
    </reviewItem>
    <reviewItem>
      <errorID>339fdc85-7863-423b-a756-b3be1e9b898a</errorID>
      <errorWord>（</errorWord>
      <group>L1_Format</group>
      <groupName>格式问题</groupName>
      <ability>L2_HalfPunc_CN</ability>
      <abilityName/>
      <candidateList>
        <item>(</item>
      </candidateList>
      <explain>文本全半角错误。</explain>
      <paraID>215327A8</paraID>
      <start>0</start>
      <end>1</end>
      <status>unmodified</status>
      <modifiedWord/>
      <trackRevisions>false</trackRevisions>
    </reviewItem>
    <reviewItem>
      <errorID>dcc5779a-66f0-4243-82b1-bacdaed266ce</errorID>
      <errorWord>）</errorWord>
      <group>L1_Format</group>
      <groupName>格式问题</groupName>
      <ability>L2_HalfPunc_CN</ability>
      <abilityName/>
      <candidateList>
        <item>)</item>
      </candidateList>
      <explain>文本全半角错误。</explain>
      <paraID>215327A8</paraID>
      <start>4</start>
      <end>5</end>
      <status>unmodified</status>
      <modifiedWord/>
      <trackRevisions>false</trackRevisions>
    </reviewItem>
    <reviewItem>
      <errorID>a2035900-703c-4d94-8e4b-f2f40d19797e</errorID>
      <errorWord>（</errorWord>
      <group>L1_Format</group>
      <groupName>格式问题</groupName>
      <ability>L2_HalfPunc_CN</ability>
      <abilityName/>
      <candidateList>
        <item>(</item>
      </candidateList>
      <explain>文本全半角错误。</explain>
      <paraID>5D3E7C3B</paraID>
      <start>0</start>
      <end>1</end>
      <status>unmodified</status>
      <modifiedWord/>
      <trackRevisions>false</trackRevisions>
    </reviewItem>
    <reviewItem>
      <errorID>7250adc4-828c-4a6c-9341-a3f2933569ca</errorID>
      <errorWord>）</errorWord>
      <group>L1_Format</group>
      <groupName>格式问题</groupName>
      <ability>L2_HalfPunc_CN</ability>
      <abilityName/>
      <candidateList>
        <item>)</item>
      </candidateList>
      <explain>文本全半角错误。</explain>
      <paraID>5D3E7C3B</paraID>
      <start>5</start>
      <end>6</end>
      <status>unmodified</status>
      <modifiedWord/>
      <trackRevisions>false</trackRevisions>
    </reviewItem>
    <reviewItem>
      <errorID>75eb335d-3214-4bc1-82c3-3f7d73e2bcef</errorID>
      <errorWord>（</errorWord>
      <group>L1_Format</group>
      <groupName>格式问题</groupName>
      <ability>L2_HalfPunc_CN</ability>
      <abilityName/>
      <candidateList>
        <item>(</item>
      </candidateList>
      <explain>文本全半角错误。</explain>
      <paraID>76EC0E3D</paraID>
      <start>0</start>
      <end>1</end>
      <status>unmodified</status>
      <modifiedWord/>
      <trackRevisions>false</trackRevisions>
    </reviewItem>
    <reviewItem>
      <errorID>fb196da6-698e-468a-beb9-d5b2c271c7a5</errorID>
      <errorWord>）</errorWord>
      <group>L1_Format</group>
      <groupName>格式问题</groupName>
      <ability>L2_HalfPunc_CN</ability>
      <abilityName/>
      <candidateList>
        <item>)</item>
      </candidateList>
      <explain>文本全半角错误。</explain>
      <paraID>76EC0E3D</paraID>
      <start>5</start>
      <end>6</end>
      <status>unmodified</status>
      <modifiedWord/>
      <trackRevisions>false</trackRevisions>
    </reviewItem>
    <reviewItem>
      <errorID>1c2a9917-9447-4b05-b6ed-60e70bd45fa9</errorID>
      <errorWord>（</errorWord>
      <group>L1_Format</group>
      <groupName>格式问题</groupName>
      <ability>L2_HalfPunc_CN</ability>
      <abilityName/>
      <candidateList>
        <item>(</item>
      </candidateList>
      <explain>文本全半角错误。</explain>
      <paraID>15DAAA33</paraID>
      <start>0</start>
      <end>1</end>
      <status>unmodified</status>
      <modifiedWord/>
      <trackRevisions>false</trackRevisions>
    </reviewItem>
    <reviewItem>
      <errorID>6c9ba17e-7d86-4f9c-b8d5-92319fdd841a</errorID>
      <errorWord>）</errorWord>
      <group>L1_Format</group>
      <groupName>格式问题</groupName>
      <ability>L2_HalfPunc_CN</ability>
      <abilityName/>
      <candidateList>
        <item>)</item>
      </candidateList>
      <explain>文本全半角错误。</explain>
      <paraID>15DAAA33</paraID>
      <start>5</start>
      <end>6</end>
      <status>unmodified</status>
      <modifiedWord/>
      <trackRevisions>false</trackRevisions>
    </reviewItem>
    <reviewItem>
      <errorID>d99ba6d4-7882-4c67-a97a-7f94307760fd</errorID>
      <errorWord>（</errorWord>
      <group>L1_Format</group>
      <groupName>格式问题</groupName>
      <ability>L2_HalfPunc_CN</ability>
      <abilityName/>
      <candidateList>
        <item>(</item>
      </candidateList>
      <explain>文本全半角错误。</explain>
      <paraID>131B5A0E</paraID>
      <start>0</start>
      <end>1</end>
      <status>unmodified</status>
      <modifiedWord/>
      <trackRevisions>false</trackRevisions>
    </reviewItem>
    <reviewItem>
      <errorID>f2734002-2111-4c40-aeef-4858a33f334b</errorID>
      <errorWord>）</errorWord>
      <group>L1_Punc</group>
      <groupName>标点问题</groupName>
      <ability>L2_Punc_CN</ability>
      <abilityName/>
      <candidateList/>
      <explain>此处标点可能未正确匹配，请检查句子中是否存在标点冗余、缺失或使用错误的情况。</explain>
      <paraID>131B5A0E</paraID>
      <start>6</start>
      <end>7</end>
      <status>unmodified</status>
      <modifiedWord/>
      <trackRevisions>false</trackRevisions>
    </reviewItem>
    <reviewItem>
      <errorID>b318d06d-760e-4aa2-8502-8b60d7f5a684</errorID>
      <errorWord>（</errorWord>
      <group>L1_Format</group>
      <groupName>格式问题</groupName>
      <ability>L2_HalfPunc_CN</ability>
      <abilityName/>
      <candidateList>
        <item>(</item>
      </candidateList>
      <explain>文本全半角错误。</explain>
      <paraID> 88154AA</paraID>
      <start>0</start>
      <end>1</end>
      <status>unmodified</status>
      <modifiedWord/>
      <trackRevisions>false</trackRevisions>
    </reviewItem>
    <reviewItem>
      <errorID>9a77c263-5083-43f6-9c67-0502c1748b84</errorID>
      <errorWord>）</errorWord>
      <group>L1_Format</group>
      <groupName>格式问题</groupName>
      <ability>L2_HalfPunc_CN</ability>
      <abilityName/>
      <candidateList>
        <item>)</item>
      </candidateList>
      <explain>文本全半角错误。</explain>
      <paraID> 88154AA</paraID>
      <start>4</start>
      <end>5</end>
      <status>unmodified</status>
      <modifiedWord/>
      <trackRevisions>false</trackRevisions>
    </reviewItem>
    <reviewItem>
      <errorID>453562f8-7f3c-4c6c-84e1-ac972d0ea18b</errorID>
      <errorWord>（</errorWord>
      <group>L1_Format</group>
      <groupName>格式问题</groupName>
      <ability>L2_HalfPunc_CN</ability>
      <abilityName/>
      <candidateList>
        <item>(</item>
      </candidateList>
      <explain>文本全半角错误。</explain>
      <paraID>4710552F</paraID>
      <start>0</start>
      <end>1</end>
      <status>unmodified</status>
      <modifiedWord/>
      <trackRevisions>false</trackRevisions>
    </reviewItem>
    <reviewItem>
      <errorID>3b8c1807-d15a-4e88-80f9-34919f1e6324</errorID>
      <errorWord>）</errorWord>
      <group>L1_Format</group>
      <groupName>格式问题</groupName>
      <ability>L2_HalfPunc_CN</ability>
      <abilityName/>
      <candidateList>
        <item>)</item>
      </candidateList>
      <explain>文本全半角错误。</explain>
      <paraID>4710552F</paraID>
      <start>4</start>
      <end>5</end>
      <status>unmodified</status>
      <modifiedWord/>
      <trackRevisions>false</trackRevisions>
    </reviewItem>
    <reviewItem>
      <errorID>fac5d866-52da-4b0f-ae4e-55f40df49168</errorID>
      <errorWord>)</errorWord>
      <group>L1_Format</group>
      <groupName>格式问题</groupName>
      <ability>L2_HalfPunc_CN</ability>
      <abilityName/>
      <candidateList>
        <item>）</item>
      </candidateList>
      <explain>文本全半角错误。</explain>
      <paraID>28C07D02</paraID>
      <start>8</start>
      <end>9</end>
      <status>unmodified</status>
      <modifiedWord/>
      <trackRevisions>false</trackRevisions>
    </reviewItem>
    <reviewItem>
      <errorID>a31b4bc0-7cb8-4e2c-8c85-88b1c7c0aedf</errorID>
      <errorWord>)</errorWord>
      <group>L1_Format</group>
      <groupName>格式问题</groupName>
      <ability>L2_HalfPunc_CN</ability>
      <abilityName/>
      <candidateList>
        <item>）</item>
      </candidateList>
      <explain>文本全半角错误。</explain>
      <paraID>48EC23B4</paraID>
      <start>8</start>
      <end>9</end>
      <status>unmodified</status>
      <modifiedWord/>
      <trackRevisions>false</trackRevisions>
    </reviewItem>
    <reviewItem>
      <errorID>d1f62a68-1399-47ec-9942-0e1ba725dfd7</errorID>
      <errorWord>（</errorWord>
      <group>L1_Format</group>
      <groupName>格式问题</groupName>
      <ability>L2_HalfPunc_CN</ability>
      <abilityName/>
      <candidateList>
        <item>(</item>
      </candidateList>
      <explain>文本全半角错误。</explain>
      <paraID>6CDD95E7</paraID>
      <start>0</start>
      <end>1</end>
      <status>unmodified</status>
      <modifiedWord/>
      <trackRevisions>false</trackRevisions>
    </reviewItem>
    <reviewItem>
      <errorID>d8a37973-59e6-4a92-9f73-1db5b413e3fb</errorID>
      <errorWord>）</errorWord>
      <group>L1_Format</group>
      <groupName>格式问题</groupName>
      <ability>L2_HalfPunc_CN</ability>
      <abilityName/>
      <candidateList>
        <item>)</item>
      </candidateList>
      <explain>文本全半角错误。</explain>
      <paraID>6CDD95E7</paraID>
      <start>4</start>
      <end>5</end>
      <status>unmodified</status>
      <modifiedWord/>
      <trackRevisions>false</trackRevisions>
    </reviewItem>
    <reviewItem>
      <errorID>7118a30e-8d74-49ed-a108-97d49382b358</errorID>
      <errorWord>（</errorWord>
      <group>L1_Format</group>
      <groupName>格式问题</groupName>
      <ability>L2_HalfPunc_CN</ability>
      <abilityName/>
      <candidateList>
        <item>(</item>
      </candidateList>
      <explain>文本全半角错误。</explain>
      <paraID>132AE5B0</paraID>
      <start>0</start>
      <end>1</end>
      <status>unmodified</status>
      <modifiedWord/>
      <trackRevisions>false</trackRevisions>
    </reviewItem>
    <reviewItem>
      <errorID>579a3bc2-440b-42c5-8382-bf369550fdb9</errorID>
      <errorWord>）</errorWord>
      <group>L1_Format</group>
      <groupName>格式问题</groupName>
      <ability>L2_HalfPunc_CN</ability>
      <abilityName/>
      <candidateList>
        <item>)</item>
      </candidateList>
      <explain>文本全半角错误。</explain>
      <paraID>132AE5B0</paraID>
      <start>5</start>
      <end>6</end>
      <status>unmodified</status>
      <modifiedWord/>
      <trackRevisions>false</trackRevisions>
    </reviewItem>
    <reviewItem>
      <errorID>e82aeec1-ad48-4fb6-9aa5-44eeb56464b3</errorID>
      <errorWord>（</errorWord>
      <group>L1_Format</group>
      <groupName>格式问题</groupName>
      <ability>L2_HalfPunc_CN</ability>
      <abilityName/>
      <candidateList>
        <item>(</item>
      </candidateList>
      <explain>文本全半角错误。</explain>
      <paraID>7CB52A86</paraID>
      <start>0</start>
      <end>1</end>
      <status>unmodified</status>
      <modifiedWord/>
      <trackRevisions>false</trackRevisions>
    </reviewItem>
    <reviewItem>
      <errorID>9d8a89ef-eace-4c65-937f-a59262358328</errorID>
      <errorWord>）</errorWord>
      <group>L1_Format</group>
      <groupName>格式问题</groupName>
      <ability>L2_HalfPunc_CN</ability>
      <abilityName/>
      <candidateList>
        <item>)</item>
      </candidateList>
      <explain>文本全半角错误。</explain>
      <paraID>7CB52A86</paraID>
      <start>5</start>
      <end>6</end>
      <status>unmodified</status>
      <modifiedWord/>
      <trackRevisions>false</trackRevisions>
    </reviewItem>
    <reviewItem>
      <errorID>66be88b5-33f5-45fe-a919-95b7eaf5531a</errorID>
      <errorWord>)</errorWord>
      <group>L1_Format</group>
      <groupName>格式问题</groupName>
      <ability>L2_HalfPunc_CN</ability>
      <abilityName/>
      <candidateList>
        <item>）</item>
      </candidateList>
      <explain>文本全半角错误。</explain>
      <paraID>4D2D57A1</paraID>
      <start>17</start>
      <end>18</end>
      <status>unmodified</status>
      <modifiedWord/>
      <trackRevisions>false</trackRevisions>
    </reviewItem>
    <reviewItem>
      <errorID>23011419-91b0-4ebb-b0a1-c629ffa274ee</errorID>
      <errorWord>（</errorWord>
      <group>L1_Format</group>
      <groupName>格式问题</groupName>
      <ability>L2_HalfPunc_CN</ability>
      <abilityName/>
      <candidateList>
        <item>(</item>
      </candidateList>
      <explain>文本全半角错误。</explain>
      <paraID>2658B7AA</paraID>
      <start>0</start>
      <end>1</end>
      <status>unmodified</status>
      <modifiedWord/>
      <trackRevisions>false</trackRevisions>
    </reviewItem>
    <reviewItem>
      <errorID>67aba0e0-1339-4331-9cc1-d76e2de122dd</errorID>
      <errorWord>）</errorWord>
      <group>L1_Format</group>
      <groupName>格式问题</groupName>
      <ability>L2_HalfPunc_CN</ability>
      <abilityName/>
      <candidateList>
        <item>)</item>
      </candidateList>
      <explain>文本全半角错误。</explain>
      <paraID>2658B7AA</paraID>
      <start>5</start>
      <end>6</end>
      <status>unmodified</status>
      <modifiedWord/>
      <trackRevisions>false</trackRevisions>
    </reviewItem>
    <reviewItem>
      <errorID>ec500663-47cf-4b09-a7dc-c69a68417b17</errorID>
      <errorWord>公</errorWord>
      <group>L1_Word</group>
      <groupName>字词问题</groupName>
      <ability>L2_Typo</ability>
      <abilityName>字词错误</abilityName>
      <candidateList>
        <item>公室</item>
      </candidateList>
      <explain/>
      <paraID>3B4D5D7B</paraID>
      <start>1</start>
      <end>2</end>
      <status>unmodified</status>
      <modifiedWord/>
      <trackRevisions>false</trackRevisions>
    </reviewItem>
    <reviewItem>
      <errorID>1e4f29d0-dff2-49b0-9c55-85f9d8e58a33</errorID>
      <errorWord>（</errorWord>
      <group>L1_Format</group>
      <groupName>格式问题</groupName>
      <ability>L2_HalfPunc_CN</ability>
      <abilityName/>
      <candidateList>
        <item>(</item>
      </candidateList>
      <explain>文本全半角错误。</explain>
      <paraID>614817D6</paraID>
      <start>0</start>
      <end>1</end>
      <status>unmodified</status>
      <modifiedWord/>
      <trackRevisions>false</trackRevisions>
    </reviewItem>
    <reviewItem>
      <errorID>daa1e040-cede-434e-b575-6fb62223ea88</errorID>
      <errorWord>）</errorWord>
      <group>L1_Format</group>
      <groupName>格式问题</groupName>
      <ability>L2_HalfPunc_CN</ability>
      <abilityName/>
      <candidateList>
        <item>)</item>
      </candidateList>
      <explain>文本全半角错误。</explain>
      <paraID>614817D6</paraID>
      <start>5</start>
      <end>6</end>
      <status>unmodified</status>
      <modifiedWord/>
      <trackRevisions>false</trackRevisions>
    </reviewItem>
    <reviewItem>
      <errorID>ef25cf56-2c41-4453-b676-eca3cf133606</errorID>
      <errorWord>（</errorWord>
      <group>L1_Format</group>
      <groupName>格式问题</groupName>
      <ability>L2_HalfPunc_CN</ability>
      <abilityName/>
      <candidateList>
        <item>(</item>
      </candidateList>
      <explain>文本全半角错误。</explain>
      <paraID>798411D6</paraID>
      <start>0</start>
      <end>1</end>
      <status>unmodified</status>
      <modifiedWord/>
      <trackRevisions>false</trackRevisions>
    </reviewItem>
    <reviewItem>
      <errorID>1a0b7fb7-6fca-406e-bc56-4e6364d9f854</errorID>
      <errorWord>）</errorWord>
      <group>L1_Format</group>
      <groupName>格式问题</groupName>
      <ability>L2_HalfPunc_CN</ability>
      <abilityName/>
      <candidateList>
        <item>)</item>
      </candidateList>
      <explain>文本全半角错误。</explain>
      <paraID>798411D6</paraID>
      <start>5</start>
      <end>6</end>
      <status>unmodified</status>
      <modifiedWord/>
      <trackRevisions>false</trackRevisions>
    </reviewItem>
    <reviewItem>
      <errorID>e4912883-546d-4d73-908f-0faed82b47e5</errorID>
      <errorWord>（</errorWord>
      <group>L1_Format</group>
      <groupName>格式问题</groupName>
      <ability>L2_HalfPunc_CN</ability>
      <abilityName/>
      <candidateList>
        <item>(</item>
      </candidateList>
      <explain>文本全半角错误。</explain>
      <paraID>473CBCCC</paraID>
      <start>0</start>
      <end>1</end>
      <status>unmodified</status>
      <modifiedWord/>
      <trackRevisions>false</trackRevisions>
    </reviewItem>
    <reviewItem>
      <errorID>561311fd-3bca-4e31-82da-9e13c52282e6</errorID>
      <errorWord>）</errorWord>
      <group>L1_Format</group>
      <groupName>格式问题</groupName>
      <ability>L2_HalfPunc_CN</ability>
      <abilityName/>
      <candidateList>
        <item>)</item>
      </candidateList>
      <explain>文本全半角错误。</explain>
      <paraID>473CBCCC</paraID>
      <start>5</start>
      <end>6</end>
      <status>unmodified</status>
      <modifiedWord/>
      <trackRevisions>false</trackRevisions>
    </reviewItem>
    <reviewItem>
      <errorID>77504f93-43a9-423d-b7ea-cbebcca587a6</errorID>
      <errorWord>（</errorWord>
      <group>L1_Format</group>
      <groupName>格式问题</groupName>
      <ability>L2_HalfPunc_CN</ability>
      <abilityName/>
      <candidateList>
        <item>(</item>
      </candidateList>
      <explain>文本全半角错误。</explain>
      <paraID>5334A7E7</paraID>
      <start>0</start>
      <end>1</end>
      <status>unmodified</status>
      <modifiedWord/>
      <trackRevisions>false</trackRevisions>
    </reviewItem>
    <reviewItem>
      <errorID>e8fe61fe-f45b-4d3c-966e-a77316c7b75b</errorID>
      <errorWord>）</errorWord>
      <group>L1_Format</group>
      <groupName>格式问题</groupName>
      <ability>L2_HalfPunc_CN</ability>
      <abilityName/>
      <candidateList>
        <item>)</item>
      </candidateList>
      <explain>文本全半角错误。</explain>
      <paraID>5334A7E7</paraID>
      <start>3</start>
      <end>4</end>
      <status>unmodified</status>
      <modifiedWord/>
      <trackRevisions>false</trackRevisions>
    </reviewItem>
    <reviewItem>
      <errorID>d61473a2-8e0f-4159-8a43-8182551b3b81</errorID>
      <errorWord>（</errorWord>
      <group>L1_Format</group>
      <groupName>格式问题</groupName>
      <ability>L2_HalfPunc_CN</ability>
      <abilityName/>
      <candidateList>
        <item>(</item>
      </candidateList>
      <explain>文本全半角错误。</explain>
      <paraID>4DAD7AF6</paraID>
      <start>0</start>
      <end>1</end>
      <status>unmodified</status>
      <modifiedWord/>
      <trackRevisions>false</trackRevisions>
    </reviewItem>
    <reviewItem>
      <errorID>d1bd46a9-a7fb-4ba4-b4f2-5807966a7465</errorID>
      <errorWord>）</errorWord>
      <group>L1_Format</group>
      <groupName>格式问题</groupName>
      <ability>L2_HalfPunc_CN</ability>
      <abilityName/>
      <candidateList>
        <item>)</item>
      </candidateList>
      <explain>文本全半角错误。</explain>
      <paraID>4DAD7AF6</paraID>
      <start>5</start>
      <end>6</end>
      <status>unmodified</status>
      <modifiedWord/>
      <trackRevisions>false</trackRevisions>
    </reviewItem>
    <reviewItem>
      <errorID>55f284fc-91ea-41e6-b3ff-9f81b495e321</errorID>
      <errorWord>（</errorWord>
      <group>L1_Format</group>
      <groupName>格式问题</groupName>
      <ability>L2_HalfPunc_CN</ability>
      <abilityName/>
      <candidateList>
        <item>(</item>
      </candidateList>
      <explain>文本全半角错误。</explain>
      <paraID> D8CB46F</paraID>
      <start>0</start>
      <end>1</end>
      <status>unmodified</status>
      <modifiedWord/>
      <trackRevisions>false</trackRevisions>
    </reviewItem>
    <reviewItem>
      <errorID>8a84bc97-b7c8-4048-af87-a780ae5cce43</errorID>
      <errorWord>）</errorWord>
      <group>L1_Format</group>
      <groupName>格式问题</groupName>
      <ability>L2_HalfPunc_CN</ability>
      <abilityName/>
      <candidateList>
        <item>)</item>
      </candidateList>
      <explain>文本全半角错误。</explain>
      <paraID> D8CB46F</paraID>
      <start>5</start>
      <end>6</end>
      <status>unmodified</status>
      <modifiedWord/>
      <trackRevisions>false</trackRevisions>
    </reviewItem>
    <reviewItem>
      <errorID>12ccf608-eb6d-4ac7-8ff3-0f48cc601ab2</errorID>
      <errorWord>（</errorWord>
      <group>L1_Format</group>
      <groupName>格式问题</groupName>
      <ability>L2_HalfPunc_CN</ability>
      <abilityName/>
      <candidateList>
        <item>(</item>
      </candidateList>
      <explain>文本全半角错误。</explain>
      <paraID>11051369</paraID>
      <start>0</start>
      <end>1</end>
      <status>unmodified</status>
      <modifiedWord/>
      <trackRevisions>false</trackRevisions>
    </reviewItem>
    <reviewItem>
      <errorID>89bacc76-2028-45fe-991f-5993cec79033</errorID>
      <errorWord>）</errorWord>
      <group>L1_Format</group>
      <groupName>格式问题</groupName>
      <ability>L2_HalfPunc_CN</ability>
      <abilityName/>
      <candidateList>
        <item>)</item>
      </candidateList>
      <explain>文本全半角错误。</explain>
      <paraID>11051369</paraID>
      <start>3</start>
      <end>4</end>
      <status>unmodified</status>
      <modifiedWord/>
      <trackRevisions>false</trackRevisions>
    </reviewItem>
    <reviewItem>
      <errorID>0f97bd38-6874-4421-87ed-0dc2c096f536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4BD3689B</paraID>
      <start>0</start>
      <end>2</end>
      <status>unmodified</status>
      <modifiedWord/>
      <trackRevisions>false</trackRevisions>
    </reviewItem>
    <reviewItem>
      <errorID>32956253-15a9-4e08-81db-f85716d7e8b9</errorID>
      <errorWord>（</errorWord>
      <group>L1_Format</group>
      <groupName>格式问题</groupName>
      <ability>L2_HalfPunc_CN</ability>
      <abilityName/>
      <candidateList>
        <item>(</item>
      </candidateList>
      <explain>文本全半角错误。</explain>
      <paraID>139D3EEB</paraID>
      <start>0</start>
      <end>1</end>
      <status>unmodified</status>
      <modifiedWord/>
      <trackRevisions>false</trackRevisions>
    </reviewItem>
    <reviewItem>
      <errorID>07050a3c-2c99-4c3a-8357-e0aec0494416</errorID>
      <errorWord>）</errorWord>
      <group>L1_Format</group>
      <groupName>格式问题</groupName>
      <ability>L2_HalfPunc_CN</ability>
      <abilityName/>
      <candidateList>
        <item>)</item>
      </candidateList>
      <explain>文本全半角错误。</explain>
      <paraID>139D3EEB</paraID>
      <start>5</start>
      <end>6</end>
      <status>unmodified</status>
      <modifiedWord/>
      <trackRevisions>false</trackRevisions>
    </reviewItem>
    <reviewItem>
      <errorID>2d8bde72-23ee-49b5-a576-e0f0a4e0f1c9</errorID>
      <errorWord>（</errorWord>
      <group>L1_Format</group>
      <groupName>格式问题</groupName>
      <ability>L2_HalfPunc_CN</ability>
      <abilityName/>
      <candidateList>
        <item>(</item>
      </candidateList>
      <explain>文本全半角错误。</explain>
      <paraID>696ED770</paraID>
      <start>0</start>
      <end>1</end>
      <status>unmodified</status>
      <modifiedWord/>
      <trackRevisions>false</trackRevisions>
    </reviewItem>
    <reviewItem>
      <errorID>9d3c14ab-bcac-49ae-be79-8fc5557d76a1</errorID>
      <errorWord>）</errorWord>
      <group>L1_Format</group>
      <groupName>格式问题</groupName>
      <ability>L2_HalfPunc_CN</ability>
      <abilityName/>
      <candidateList>
        <item>)</item>
      </candidateList>
      <explain>文本全半角错误。</explain>
      <paraID>696ED770</paraID>
      <start>5</start>
      <end>6</end>
      <status>unmodified</status>
      <modifiedWord/>
      <trackRevisions>false</trackRevisions>
    </reviewItem>
    <reviewItem>
      <errorID>7aba8375-0848-433d-8e5d-313993ccb9b8</errorID>
      <errorWord>（</errorWord>
      <group>L1_Format</group>
      <groupName>格式问题</groupName>
      <ability>L2_HalfPunc_CN</ability>
      <abilityName/>
      <candidateList>
        <item>(</item>
      </candidateList>
      <explain>文本全半角错误。</explain>
      <paraID>1FC5EC69</paraID>
      <start>0</start>
      <end>1</end>
      <status>unmodified</status>
      <modifiedWord/>
      <trackRevisions>false</trackRevisions>
    </reviewItem>
    <reviewItem>
      <errorID>e1516f2b-2d6f-4248-b5ff-14a2a439cdce</errorID>
      <errorWord>）</errorWord>
      <group>L1_Format</group>
      <groupName>格式问题</groupName>
      <ability>L2_HalfPunc_CN</ability>
      <abilityName/>
      <candidateList>
        <item>)</item>
      </candidateList>
      <explain>文本全半角错误。</explain>
      <paraID>1FC5EC69</paraID>
      <start>5</start>
      <end>6</end>
      <status>unmodified</status>
      <modifiedWord/>
      <trackRevisions>false</trackRevisions>
    </reviewItem>
    <reviewItem>
      <errorID>7ce0169d-6862-48cb-8465-1455031c39de</errorID>
      <errorWord>（</errorWord>
      <group>L1_Format</group>
      <groupName>格式问题</groupName>
      <ability>L2_HalfPunc_CN</ability>
      <abilityName/>
      <candidateList>
        <item>(</item>
      </candidateList>
      <explain>文本全半角错误。</explain>
      <paraID>71BA3A53</paraID>
      <start>0</start>
      <end>1</end>
      <status>unmodified</status>
      <modifiedWord/>
      <trackRevisions>false</trackRevisions>
    </reviewItem>
    <reviewItem>
      <errorID>cd05e414-718c-44fa-b60e-91e0f14b02c7</errorID>
      <errorWord>）</errorWord>
      <group>L1_Format</group>
      <groupName>格式问题</groupName>
      <ability>L2_HalfPunc_CN</ability>
      <abilityName/>
      <candidateList>
        <item>)</item>
      </candidateList>
      <explain>文本全半角错误。</explain>
      <paraID>71BA3A53</paraID>
      <start>5</start>
      <end>6</end>
      <status>unmodified</status>
      <modifiedWord/>
      <trackRevisions>false</trackRevisions>
    </reviewItem>
    <reviewItem>
      <errorID>10253de6-f474-4bac-84fb-d819aa29823e</errorID>
      <errorWord>（</errorWord>
      <group>L1_Format</group>
      <groupName>格式问题</groupName>
      <ability>L2_HalfPunc_CN</ability>
      <abilityName/>
      <candidateList>
        <item>(</item>
      </candidateList>
      <explain>文本全半角错误。</explain>
      <paraID>6748A672</paraID>
      <start>0</start>
      <end>1</end>
      <status>unmodified</status>
      <modifiedWord/>
      <trackRevisions>false</trackRevisions>
    </reviewItem>
    <reviewItem>
      <errorID>2365283f-e1fc-4bc5-8484-003147a88542</errorID>
      <errorWord>）</errorWord>
      <group>L1_Format</group>
      <groupName>格式问题</groupName>
      <ability>L2_HalfPunc_CN</ability>
      <abilityName/>
      <candidateList>
        <item>)</item>
      </candidateList>
      <explain>文本全半角错误。</explain>
      <paraID>6748A672</paraID>
      <start>5</start>
      <end>6</end>
      <status>unmodified</status>
      <modifiedWord/>
      <trackRevisions>false</trackRevisions>
    </reviewItem>
    <reviewItem>
      <errorID>ada8cfa1-670f-4173-9afc-fadc72c61948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462E40AA</paraID>
      <start>0</start>
      <end>2</end>
      <status>unmodified</status>
      <modifiedWord/>
      <trackRevisions>false</trackRevisions>
    </reviewItem>
    <reviewItem>
      <errorID>adbc0a4f-33ce-49cc-9970-5809158a119e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23911977</paraID>
      <start>0</start>
      <end>2</end>
      <status>unmodified</status>
      <modifiedWord/>
      <trackRevisions>false</trackRevisions>
    </reviewItem>
    <reviewItem>
      <errorID>85f440d1-7a1e-4c60-b2e7-c35df822de1a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37482E1F</paraID>
      <start>0</start>
      <end>2</end>
      <status>unmodified</status>
      <modifiedWord/>
      <trackRevisions>false</trackRevisions>
    </reviewItem>
    <reviewItem>
      <errorID>16948724-b97a-40eb-b336-8d990a38b846</errorID>
      <errorWord>[2023]20号</errorWord>
      <group>L1_Knowledge</group>
      <groupName>知识性问题</groupName>
      <ability>L2_Knowledge</ability>
      <abilityName>其他知识</abilityName>
      <candidateList>
        <item>〔2023〕20号</item>
      </candidateList>
      <explain>发文字号格式错误。</explain>
      <paraID>17B1B185</paraID>
      <start>52</start>
      <end>61</end>
      <status>unmodified</status>
      <modifiedWord/>
      <trackRevisions>false</trackRevisions>
    </reviewItem>
    <reviewItem>
      <errorID>5f94abb0-be2b-4ecd-b990-de9ca3e41d47</errorID>
      <errorWord>（</errorWord>
      <group>L1_Format</group>
      <groupName>格式问题</groupName>
      <ability>L2_HalfPunc_CN</ability>
      <abilityName/>
      <candidateList>
        <item>(</item>
      </candidateList>
      <explain>文本全半角错误。</explain>
      <paraID>7A134ABD</paraID>
      <start>0</start>
      <end>1</end>
      <status>unmodified</status>
      <modifiedWord/>
      <trackRevisions>false</trackRevisions>
    </reviewItem>
    <reviewItem>
      <errorID>bfef6313-c155-46fd-8b19-6dfa69c375e4</errorID>
      <errorWord>）</errorWord>
      <group>L1_Format</group>
      <groupName>格式问题</groupName>
      <ability>L2_HalfPunc_CN</ability>
      <abilityName/>
      <candidateList>
        <item>)</item>
      </candidateList>
      <explain>文本全半角错误。</explain>
      <paraID>7A134ABD</paraID>
      <start>6</start>
      <end>7</end>
      <status>unmodified</status>
      <modifiedWord/>
      <trackRevisions>false</trackRevisions>
    </reviewItem>
    <reviewItem>
      <errorID>0653ce15-a60d-4736-b6a6-c8788052b212</errorID>
      <errorWord>（</errorWord>
      <group>L1_Format</group>
      <groupName>格式问题</groupName>
      <ability>L2_HalfPunc_CN</ability>
      <abilityName/>
      <candidateList>
        <item>(</item>
      </candidateList>
      <explain>文本全半角错误。</explain>
      <paraID> CFAB7D4</paraID>
      <start>0</start>
      <end>1</end>
      <status>unmodified</status>
      <modifiedWord/>
      <trackRevisions>false</trackRevisions>
    </reviewItem>
    <reviewItem>
      <errorID>42f67392-d7fb-4189-b455-bde70d6c517f</errorID>
      <errorWord>）</errorWord>
      <group>L1_Format</group>
      <groupName>格式问题</groupName>
      <ability>L2_HalfPunc_CN</ability>
      <abilityName/>
      <candidateList>
        <item>)</item>
      </candidateList>
      <explain>文本全半角错误。</explain>
      <paraID> CFAB7D4</paraID>
      <start>4</start>
      <end>5</end>
      <status>unmodified</status>
      <modifiedWord/>
      <trackRevisions>false</trackRevisions>
    </reviewItem>
    <reviewItem>
      <errorID>12bea26c-db9b-45de-af48-1ec7da46d9c6</errorID>
      <errorWord>（</errorWord>
      <group>L1_Format</group>
      <groupName>格式问题</groupName>
      <ability>L2_HalfPunc_CN</ability>
      <abilityName/>
      <candidateList>
        <item>(</item>
      </candidateList>
      <explain>文本全半角错误。</explain>
      <paraID>52AECA1A</paraID>
      <start>0</start>
      <end>1</end>
      <status>unmodified</status>
      <modifiedWord/>
      <trackRevisions>false</trackRevisions>
    </reviewItem>
    <reviewItem>
      <errorID>15b61304-bdbc-4f61-94ef-dacf8c3d026e</errorID>
      <errorWord>）</errorWord>
      <group>L1_Format</group>
      <groupName>格式问题</groupName>
      <ability>L2_HalfPunc_CN</ability>
      <abilityName/>
      <candidateList>
        <item>)</item>
      </candidateList>
      <explain>文本全半角错误。</explain>
      <paraID>52AECA1A</paraID>
      <start>4</start>
      <end>5</end>
      <status>unmodified</status>
      <modifiedWord/>
      <trackRevisions>false</trackRevisions>
    </reviewItem>
    <reviewItem>
      <errorID>8db57c32-5b82-439b-8dd8-9907fd1adbc3</errorID>
      <errorWord>（</errorWord>
      <group>L1_Format</group>
      <groupName>格式问题</groupName>
      <ability>L2_HalfPunc_CN</ability>
      <abilityName/>
      <candidateList>
        <item>(</item>
      </candidateList>
      <explain>文本全半角错误。</explain>
      <paraID> 4825883</paraID>
      <start>0</start>
      <end>1</end>
      <status>unmodified</status>
      <modifiedWord/>
      <trackRevisions>false</trackRevisions>
    </reviewItem>
    <reviewItem>
      <errorID>9fae350a-1b1b-4b02-a3f6-0f2e7bd1f9be</errorID>
      <errorWord>）</errorWord>
      <group>L1_Format</group>
      <groupName>格式问题</groupName>
      <ability>L2_HalfPunc_CN</ability>
      <abilityName/>
      <candidateList>
        <item>)</item>
      </candidateList>
      <explain>文本全半角错误。</explain>
      <paraID> 4825883</paraID>
      <start>5</start>
      <end>6</end>
      <status>unmodified</status>
      <modifiedWord/>
      <trackRevisions>false</trackRevisions>
    </reviewItem>
    <reviewItem>
      <errorID>ef8839f2-2bb6-428c-a9f9-779592a40207</errorID>
      <errorWord>（</errorWord>
      <group>L1_Format</group>
      <groupName>格式问题</groupName>
      <ability>L2_HalfPunc_CN</ability>
      <abilityName/>
      <candidateList>
        <item>(</item>
      </candidateList>
      <explain>文本全半角错误。</explain>
      <paraID>63083F42</paraID>
      <start>0</start>
      <end>1</end>
      <status>unmodified</status>
      <modifiedWord/>
      <trackRevisions>false</trackRevisions>
    </reviewItem>
    <reviewItem>
      <errorID>27f7d171-911c-4ca4-a6f2-20f0f7a59dd1</errorID>
      <errorWord>）</errorWord>
      <group>L1_Format</group>
      <groupName>格式问题</groupName>
      <ability>L2_HalfPunc_CN</ability>
      <abilityName/>
      <candidateList>
        <item>)</item>
      </candidateList>
      <explain>文本全半角错误。</explain>
      <paraID>63083F42</paraID>
      <start>5</start>
      <end>6</end>
      <status>unmodified</status>
      <modifiedWord/>
      <trackRevisions>false</trackRevisions>
    </reviewItem>
    <reviewItem>
      <errorID>660f1ec9-d61f-4bf8-9fdf-823eb5ffc941</errorID>
      <errorWord>（</errorWord>
      <group>L1_Format</group>
      <groupName>格式问题</groupName>
      <ability>L2_HalfPunc_CN</ability>
      <abilityName/>
      <candidateList>
        <item>(</item>
      </candidateList>
      <explain>文本全半角错误。</explain>
      <paraID>71C6785F</paraID>
      <start>0</start>
      <end>1</end>
      <status>unmodified</status>
      <modifiedWord/>
      <trackRevisions>false</trackRevisions>
    </reviewItem>
    <reviewItem>
      <errorID>4922b134-5d9c-4b3a-8ec3-ac0c86ec8799</errorID>
      <errorWord>）</errorWord>
      <group>L1_Format</group>
      <groupName>格式问题</groupName>
      <ability>L2_HalfPunc_CN</ability>
      <abilityName/>
      <candidateList>
        <item>)</item>
      </candidateList>
      <explain>文本全半角错误。</explain>
      <paraID>71C6785F</paraID>
      <start>5</start>
      <end>6</end>
      <status>unmodified</status>
      <modifiedWord/>
      <trackRevisions>false</trackRevisions>
    </reviewItem>
    <reviewItem>
      <errorID>864ccf2e-e958-4937-b769-c91ca4ceb923</errorID>
      <errorWord>（</errorWord>
      <group>L1_Format</group>
      <groupName>格式问题</groupName>
      <ability>L2_HalfPunc_CN</ability>
      <abilityName/>
      <candidateList>
        <item>(</item>
      </candidateList>
      <explain>文本全半角错误。</explain>
      <paraID>67220390</paraID>
      <start>0</start>
      <end>1</end>
      <status>unmodified</status>
      <modifiedWord/>
      <trackRevisions>false</trackRevisions>
    </reviewItem>
    <reviewItem>
      <errorID>2d4dc6c0-d561-4a2a-a4b8-d3f86c9e6aae</errorID>
      <errorWord>）</errorWord>
      <group>L1_Format</group>
      <groupName>格式问题</groupName>
      <ability>L2_HalfPunc_CN</ability>
      <abilityName/>
      <candidateList>
        <item>)</item>
      </candidateList>
      <explain>文本全半角错误。</explain>
      <paraID>67220390</paraID>
      <start>5</start>
      <end>6</end>
      <status>unmodified</status>
      <modifiedWord/>
      <trackRevisions>false</trackRevisions>
    </reviewItem>
    <reviewItem>
      <errorID>279f278e-bec2-486b-a907-ee5a7ac087ae</errorID>
      <errorWord>（</errorWord>
      <group>L1_Format</group>
      <groupName>格式问题</groupName>
      <ability>L2_HalfPunc_CN</ability>
      <abilityName/>
      <candidateList>
        <item>(</item>
      </candidateList>
      <explain>文本全半角错误。</explain>
      <paraID>38C80F89</paraID>
      <start>0</start>
      <end>1</end>
      <status>unmodified</status>
      <modifiedWord/>
      <trackRevisions>false</trackRevisions>
    </reviewItem>
    <reviewItem>
      <errorID>e860007b-02d8-4e4a-83b5-2a07574f8f7e</errorID>
      <errorWord>）</errorWord>
      <group>L1_Format</group>
      <groupName>格式问题</groupName>
      <ability>L2_HalfPunc_CN</ability>
      <abilityName/>
      <candidateList>
        <item>)</item>
      </candidateList>
      <explain>文本全半角错误。</explain>
      <paraID>38C80F89</paraID>
      <start>5</start>
      <end>6</end>
      <status>unmodified</status>
      <modifiedWord/>
      <trackRevisions>false</trackRevisions>
    </reviewItem>
    <reviewItem>
      <errorID>b049c7f6-b60f-4da9-8762-8868fe4510f3</errorID>
      <errorWord>（</errorWord>
      <group>L1_Format</group>
      <groupName>格式问题</groupName>
      <ability>L2_HalfPunc_CN</ability>
      <abilityName/>
      <candidateList>
        <item>(</item>
      </candidateList>
      <explain>文本全半角错误。</explain>
      <paraID> 4701C0F</paraID>
      <start>0</start>
      <end>1</end>
      <status>unmodified</status>
      <modifiedWord/>
      <trackRevisions>false</trackRevisions>
    </reviewItem>
    <reviewItem>
      <errorID>78d68062-8ae0-4320-a512-b242bb136cbe</errorID>
      <errorWord>）</errorWord>
      <group>L1_Format</group>
      <groupName>格式问题</groupName>
      <ability>L2_HalfPunc_CN</ability>
      <abilityName/>
      <candidateList>
        <item>)</item>
      </candidateList>
      <explain>文本全半角错误。</explain>
      <paraID> 4701C0F</paraID>
      <start>5</start>
      <end>6</end>
      <status>unmodified</status>
      <modifiedWord/>
      <trackRevisions>false</trackRevisions>
    </reviewItem>
    <reviewItem>
      <errorID>82601715-6637-478b-a351-782183edd9f1</errorID>
      <errorWord>（</errorWord>
      <group>L1_Format</group>
      <groupName>格式问题</groupName>
      <ability>L2_HalfPunc_CN</ability>
      <abilityName/>
      <candidateList>
        <item>(</item>
      </candidateList>
      <explain>文本全半角错误。</explain>
      <paraID>414AAB34</paraID>
      <start>0</start>
      <end>1</end>
      <status>unmodified</status>
      <modifiedWord/>
      <trackRevisions>false</trackRevisions>
    </reviewItem>
    <reviewItem>
      <errorID>1c972ca3-46c8-4d22-aef0-84311574695c</errorID>
      <errorWord>）</errorWord>
      <group>L1_Format</group>
      <groupName>格式问题</groupName>
      <ability>L2_HalfPunc_CN</ability>
      <abilityName/>
      <candidateList>
        <item>)</item>
      </candidateList>
      <explain>文本全半角错误。</explain>
      <paraID>414AAB34</paraID>
      <start>5</start>
      <end>6</end>
      <status>unmodified</status>
      <modifiedWord/>
      <trackRevisions>false</trackRevisions>
    </reviewItem>
    <reviewItem>
      <errorID>b283599a-31d4-4bd1-b7d1-7bd8c62968fa</errorID>
      <errorWord>（</errorWord>
      <group>L1_Format</group>
      <groupName>格式问题</groupName>
      <ability>L2_HalfPunc_CN</ability>
      <abilityName/>
      <candidateList>
        <item>(</item>
      </candidateList>
      <explain>文本全半角错误。</explain>
      <paraID>5822763F</paraID>
      <start>8</start>
      <end>9</end>
      <status>unmodified</status>
      <modifiedWord/>
      <trackRevisions>false</trackRevisions>
    </reviewItem>
    <reviewItem>
      <errorID>b973c40c-defc-4848-82de-ec341b759389</errorID>
      <errorWord>）</errorWord>
      <group>L1_Format</group>
      <groupName>格式问题</groupName>
      <ability>L2_HalfPunc_CN</ability>
      <abilityName/>
      <candidateList>
        <item>)</item>
      </candidateList>
      <explain>文本全半角错误。</explain>
      <paraID>5822763F</paraID>
      <start>13</start>
      <end>14</end>
      <status>unmodified</status>
      <modifiedWord/>
      <trackRevisions>false</trackRevisions>
    </reviewItem>
    <reviewItem>
      <errorID>8fe7d2f1-774d-45e8-9d7e-c436face8ea0</errorID>
      <errorWord>)</errorWord>
      <group>L1_Punc</group>
      <groupName>标点问题</groupName>
      <ability>L2_Punc_CN</ability>
      <abilityName/>
      <candidateList/>
      <explain>同一形式括号套用。</explain>
      <paraID>41157F8B</paraID>
      <start>213</start>
      <end>214</end>
      <status>unmodified</status>
      <modifiedWord/>
      <trackRevisions>false</trackRevisions>
    </reviewItem>
    <reviewItem>
      <errorID>3862925c-78fb-466a-b248-22e9d05ab94f</errorID>
      <errorWord>[2023]20号</errorWord>
      <group>L1_Knowledge</group>
      <groupName>知识性问题</groupName>
      <ability>L2_Knowledge</ability>
      <abilityName>其他知识</abilityName>
      <candidateList>
        <item>〔2023〕20号</item>
      </candidateList>
      <explain>发文字号格式错误。</explain>
      <paraID>41157F8B</paraID>
      <start>404</start>
      <end>413</end>
      <status>unmodified</status>
      <modifiedWord/>
      <trackRevisions>false</trackRevisions>
    </reviewItem>
    <reviewItem>
      <errorID>0c667172-d971-44af-8383-0f0109e788a9</errorID>
      <errorWord>年</errorWord>
      <group>L1_Word</group>
      <groupName>字词问题</groupName>
      <ability>L2_Typo</ability>
      <abilityName>字词错误</abilityName>
      <candidateList>
        <item>年来</item>
      </candidateList>
      <explain/>
      <paraID>4D254998</paraID>
      <start>62</start>
      <end>63</end>
      <status>unmodified</status>
      <modifiedWord/>
      <trackRevisions>false</trackRevisions>
    </reviewItem>
    <reviewItem>
      <errorID>f5a3c9a8-292e-4bca-a6a6-4638836ba728</errorID>
      <errorWord>)</errorWord>
      <group>L1_Format</group>
      <groupName>格式问题</groupName>
      <ability>L2_HalfPunc_CN</ability>
      <abilityName/>
      <candidateList>
        <item>）</item>
      </candidateList>
      <explain>文本全半角错误。</explain>
      <paraID>27335E39</paraID>
      <start>87</start>
      <end>88</end>
      <status>unmodified</status>
      <modifiedWord/>
      <trackRevisions>false</trackRevisions>
    </reviewItem>
    <reviewItem>
      <errorID>a18b76b6-735a-4adb-80ee-7dbccd04c7b8</errorID>
      <errorWord>：</errorWord>
      <group>L1_Punc</group>
      <groupName>标点问题</groupName>
      <ability>L2_Punc_CN</ability>
      <abilityName/>
      <candidateList/>
      <explain/>
      <paraID> A4265B5</paraID>
      <start>25</start>
      <end>26</end>
      <status>unmodified</status>
      <modifiedWord/>
      <trackRevisions>false</trackRevisions>
    </reviewItem>
    <reviewItem>
      <errorID>0da6a7ff-4ca4-45d4-999a-b0aa0377e51e</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304482CF</paraID>
      <start>0</start>
      <end>2</end>
      <status>unmodified</status>
      <modifiedWord/>
      <trackRevisions>false</trackRevisions>
    </reviewItem>
    <reviewItem>
      <errorID>11900e00-3757-46ed-abf7-b708a9614751</errorID>
      <errorWord>)</errorWord>
      <group>L1_Format</group>
      <groupName>格式问题</groupName>
      <ability>L2_HalfPunc_CN</ability>
      <abilityName/>
      <candidateList>
        <item>）</item>
      </candidateList>
      <explain>文本全半角错误。</explain>
      <paraID>75FFB5E8</paraID>
      <start>9</start>
      <end>10</end>
      <status>unmodified</status>
      <modifiedWord/>
      <trackRevisions>false</trackRevisions>
    </reviewItem>
    <reviewItem>
      <errorID>46f6c383-df4b-4f2f-af39-c1e03de5104b</errorID>
      <errorWord>(</errorWord>
      <group>L1_Format</group>
      <groupName>格式问题</groupName>
      <ability>L2_HalfPunc_CN</ability>
      <abilityName/>
      <candidateList>
        <item>（</item>
      </candidateList>
      <explain>文本全半角错误。</explain>
      <paraID>6DF27EBD</paraID>
      <start>3</start>
      <end>4</end>
      <status>unmodified</status>
      <modifiedWord/>
      <trackRevisions>false</trackRevisions>
    </reviewItem>
    <reviewItem>
      <errorID>0bcb4804-0650-4115-8c65-8d497875f7db</errorID>
      <errorWord>（</errorWord>
      <group>L1_Format</group>
      <groupName>格式问题</groupName>
      <ability>L2_HalfPunc_CN</ability>
      <abilityName/>
      <candidateList>
        <item>(</item>
      </candidateList>
      <explain>文本全半角错误。</explain>
      <paraID>74918D04</paraID>
      <start>2</start>
      <end>3</end>
      <status>unmodified</status>
      <modifiedWord/>
      <trackRevisions>false</trackRevisions>
    </reviewItem>
    <reviewItem>
      <errorID>dd1850f9-2c58-4d49-9218-1786eeb9a7df</errorID>
      <errorWord>）</errorWord>
      <group>L1_Format</group>
      <groupName>格式问题</groupName>
      <ability>L2_HalfPunc_CN</ability>
      <abilityName/>
      <candidateList>
        <item>)</item>
      </candidateList>
      <explain>文本全半角错误。</explain>
      <paraID>74918D04</paraID>
      <start>8</start>
      <end>9</end>
      <status>unmodified</status>
      <modifiedWord/>
      <trackRevisions>false</trackRevisions>
    </reviewItem>
    <reviewItem>
      <errorID>bcc6aa7a-b7de-4a7b-bb3e-a6b416b7f101</errorID>
      <errorWord>(</errorWord>
      <group>L1_Format</group>
      <groupName>格式问题</groupName>
      <ability>L2_HalfPunc_CN</ability>
      <abilityName/>
      <candidateList>
        <item>（</item>
      </candidateList>
      <explain>文本全半角错误。</explain>
      <paraID>7F78C649</paraID>
      <start>31</start>
      <end>32</end>
      <status>unmodified</status>
      <modifiedWord/>
      <trackRevisions>false</trackRevisions>
    </reviewItem>
    <reviewItem>
      <errorID>c1ea9d18-0440-464e-b001-7230ebe1202a</errorID>
      <errorWord>)</errorWord>
      <group>L1_Format</group>
      <groupName>格式问题</groupName>
      <ability>L2_HalfPunc_CN</ability>
      <abilityName/>
      <candidateList>
        <item>）</item>
      </candidateList>
      <explain>文本全半角错误。</explain>
      <paraID>7F78C649</paraID>
      <start>47</start>
      <end>48</end>
      <status>unmodified</status>
      <modifiedWord/>
      <trackRevisions>false</trackRevisions>
    </reviewItem>
    <reviewItem>
      <errorID>a2475a1f-c511-484e-b96a-92da0042abc3</errorID>
      <errorWord>(</errorWord>
      <group>L1_Format</group>
      <groupName>格式问题</groupName>
      <ability>L2_HalfPunc_CN</ability>
      <abilityName/>
      <candidateList>
        <item>（</item>
      </candidateList>
      <explain>文本全半角错误。</explain>
      <paraID>7F78C649</paraID>
      <start>82</start>
      <end>83</end>
      <status>unmodified</status>
      <modifiedWord/>
      <trackRevisions>false</trackRevisions>
    </reviewItem>
    <reviewItem>
      <errorID>95e5e357-c0c5-40c3-ae89-e0084560cc3a</errorID>
      <errorWord>)</errorWord>
      <group>L1_Format</group>
      <groupName>格式问题</groupName>
      <ability>L2_HalfPunc_CN</ability>
      <abilityName/>
      <candidateList>
        <item>）</item>
      </candidateList>
      <explain>文本全半角错误。</explain>
      <paraID>7F78C649</paraID>
      <start>98</start>
      <end>99</end>
      <status>unmodified</status>
      <modifiedWord/>
      <trackRevisions>false</trackRevisions>
    </reviewItem>
    <reviewItem>
      <errorID>ce2c4fdc-5e26-403c-a854-75906c6f0339</errorID>
      <errorWord>(</errorWord>
      <group>L1_Format</group>
      <groupName>格式问题</groupName>
      <ability>L2_HalfPunc_CN</ability>
      <abilityName/>
      <candidateList>
        <item>（</item>
      </candidateList>
      <explain>文本全半角错误。</explain>
      <paraID>7A6811C8</paraID>
      <start>35</start>
      <end>36</end>
      <status>unmodified</status>
      <modifiedWord/>
      <trackRevisions>false</trackRevisions>
    </reviewItem>
    <reviewItem>
      <errorID>be8ce817-9c8b-4b34-a17f-004795e0388e</errorID>
      <errorWord>)</errorWord>
      <group>L1_Format</group>
      <groupName>格式问题</groupName>
      <ability>L2_HalfPunc_CN</ability>
      <abilityName/>
      <candidateList>
        <item>）</item>
      </candidateList>
      <explain>文本全半角错误。</explain>
      <paraID>7A6811C8</paraID>
      <start>51</start>
      <end>52</end>
      <status>unmodified</status>
      <modifiedWord/>
      <trackRevisions>false</trackRevisions>
    </reviewItem>
    <reviewItem>
      <errorID>9740239d-d4ad-4ea0-9084-f30b2a88d20c</errorID>
      <errorWord>(</errorWord>
      <group>L1_Format</group>
      <groupName>格式问题</groupName>
      <ability>L2_HalfPunc_CN</ability>
      <abilityName/>
      <candidateList>
        <item>（</item>
      </candidateList>
      <explain>文本全半角错误。</explain>
      <paraID>785DEBF1</paraID>
      <start>34</start>
      <end>35</end>
      <status>unmodified</status>
      <modifiedWord/>
      <trackRevisions>false</trackRevisions>
    </reviewItem>
    <reviewItem>
      <errorID>e63cd98d-e6b3-4d31-ad37-ef071c0eaeab</errorID>
      <errorWord>墙区</errorWord>
      <group>L1_Word</group>
      <groupName>字词问题</groupName>
      <ability>L2_Typo</ability>
      <abilityName>字词错误</abilityName>
      <candidateList>
        <item>墙</item>
      </candidateList>
      <explain/>
      <paraID>14E05883</paraID>
      <start>41</start>
      <end>43</end>
      <status>unmodified</status>
      <modifiedWord/>
      <trackRevisions>false</trackRevisions>
    </reviewItem>
    <reviewItem>
      <errorID>9e0fcbea-da11-43a2-9e50-8371d4091964</errorID>
      <errorWord>（</errorWord>
      <group>L1_Format</group>
      <groupName>格式问题</groupName>
      <ability>L2_HalfPunc_CN</ability>
      <abilityName/>
      <candidateList>
        <item>(</item>
      </candidateList>
      <explain>文本全半角错误。</explain>
      <paraID>31DF5267</paraID>
      <start>1</start>
      <end>2</end>
      <status>unmodified</status>
      <modifiedWord/>
      <trackRevisions>false</trackRevisions>
    </reviewItem>
    <reviewItem>
      <errorID>27e08912-598a-4f12-ab7f-edfb23ebeb6c</errorID>
      <errorWord>）</errorWord>
      <group>L1_Format</group>
      <groupName>格式问题</groupName>
      <ability>L2_HalfPunc_CN</ability>
      <abilityName/>
      <candidateList>
        <item>)</item>
      </candidateList>
      <explain>文本全半角错误。</explain>
      <paraID>31DF5267</paraID>
      <start>3</start>
      <end>4</end>
      <status>unmodified</status>
      <modifiedWord/>
      <trackRevisions>false</trackRevisions>
    </reviewItem>
    <reviewItem>
      <errorID>34147bf8-abc5-4a39-8cca-fdfd65b731a6</errorID>
      <errorWord>和等</errorWord>
      <group>L1_Word</group>
      <groupName>字词问题</groupName>
      <ability>L2_Typo</ability>
      <abilityName>字词错误</abilityName>
      <candidateList>
        <item>和</item>
      </candidateList>
      <explain>〈量〉用于洗东西换水的次数或一剂药煎的次数：衣裳已经洗了三～｜二～药。</explain>
      <paraID>66160BC7</paraID>
      <start>60</start>
      <end>62</end>
      <status>unmodified</status>
      <modifiedWord/>
      <trackRevisions>false</trackRevisions>
    </reviewItem>
    <reviewItem>
      <errorID>0b904294-b16b-4c2c-9dec-82c1d09c0a38</errorID>
      <errorWord>、</errorWord>
      <group>L1_Punc</group>
      <groupName>标点问题</groupName>
      <ability>L2_Punc_CN</ability>
      <abilityName/>
      <candidateList>
        <item>.</item>
      </candidateList>
      <explain/>
      <paraID>7437F652</paraID>
      <start>1</start>
      <end>2</end>
      <status>unmodified</status>
      <modifiedWord/>
      <trackRevisions>false</trackRevisions>
    </reviewItem>
    <reviewItem>
      <errorID>ce9966de-f53c-4141-981e-5c90dfa760cb</errorID>
      <errorWord>(</errorWord>
      <group>L1_Format</group>
      <groupName>格式问题</groupName>
      <ability>L2_HalfPunc_CN</ability>
      <abilityName/>
      <candidateList>
        <item>（</item>
      </candidateList>
      <explain>文本全半角错误。</explain>
      <paraID>21F190EA</paraID>
      <start>35</start>
      <end>36</end>
      <status>unmodified</status>
      <modifiedWord/>
      <trackRevisions>false</trackRevisions>
    </reviewItem>
    <reviewItem>
      <errorID>627c87e3-e4f9-44a9-90d0-4455aa2374c5</errorID>
      <errorWord>)</errorWord>
      <group>L1_Format</group>
      <groupName>格式问题</groupName>
      <ability>L2_HalfPunc_CN</ability>
      <abilityName/>
      <candidateList>
        <item>）</item>
      </candidateList>
      <explain>文本全半角错误。</explain>
      <paraID>1FF3DF01</paraID>
      <start>16</start>
      <end>17</end>
      <status>unmodified</status>
      <modifiedWord/>
      <trackRevisions>false</trackRevisions>
    </reviewItem>
    <reviewItem>
      <errorID>5b7749f8-b689-46df-bfe2-32e82cfe3852</errorID>
      <errorWord>(</errorWord>
      <group>L1_Format</group>
      <groupName>格式问题</groupName>
      <ability>L2_HalfPunc_CN</ability>
      <abilityName/>
      <candidateList>
        <item>（</item>
      </candidateList>
      <explain>文本全半角错误。</explain>
      <paraID>1FF3DF01</paraID>
      <start>21</start>
      <end>22</end>
      <status>unmodified</status>
      <modifiedWord/>
      <trackRevisions>false</trackRevisions>
    </reviewItem>
    <reviewItem>
      <errorID>16a4739c-1df7-485d-bf8f-6ecd56231463</errorID>
      <errorWord>)</errorWord>
      <group>L1_Format</group>
      <groupName>格式问题</groupName>
      <ability>L2_HalfPunc_CN</ability>
      <abilityName/>
      <candidateList>
        <item>）</item>
      </candidateList>
      <explain>文本全半角错误。</explain>
      <paraID>1FF3DF01</paraID>
      <start>32</start>
      <end>33</end>
      <status>unmodified</status>
      <modifiedWord/>
      <trackRevisions>false</trackRevisions>
    </reviewItem>
    <reviewItem>
      <errorID>dada035b-596c-40b4-a8da-c67aaca53450</errorID>
      <errorWord>)</errorWord>
      <group>L1_Format</group>
      <groupName>格式问题</groupName>
      <ability>L2_HalfPunc_CN</ability>
      <abilityName/>
      <candidateList>
        <item>）</item>
      </candidateList>
      <explain>文本全半角错误。</explain>
      <paraID>1FF3DF01</paraID>
      <start>46</start>
      <end>47</end>
      <status>unmodified</status>
      <modifiedWord/>
      <trackRevisions>false</trackRevisions>
    </reviewItem>
    <reviewItem>
      <errorID>a788579e-3d53-47e9-b9d4-fc98da928b7e</errorID>
      <errorWord>、</errorWord>
      <group>L1_Punc</group>
      <groupName>标点问题</groupName>
      <ability>L2_Punc_CN</ability>
      <abilityName/>
      <candidateList>
        <item>.</item>
      </candidateList>
      <explain/>
      <paraID>69BED99D</paraID>
      <start>1</start>
      <end>2</end>
      <status>unmodified</status>
      <modifiedWord/>
      <trackRevisions>false</trackRevisions>
    </reviewItem>
    <reviewItem>
      <errorID>2884e4aa-59a1-4198-8f15-180b411ef74c</errorID>
      <errorWord>、</errorWord>
      <group>L1_Punc</group>
      <groupName>标点问题</groupName>
      <ability>L2_Punc_CN</ability>
      <abilityName/>
      <candidateList>
        <item>.</item>
      </candidateList>
      <explain/>
      <paraID>761C0299</paraID>
      <start>1</start>
      <end>2</end>
      <status>unmodified</status>
      <modifiedWord/>
      <trackRevisions>false</trackRevisions>
    </reviewItem>
    <reviewItem>
      <errorID>f05df645-881e-4faa-9ad5-fce7de220b66</errorID>
      <errorWord>（</errorWord>
      <group>L1_Format</group>
      <groupName>格式问题</groupName>
      <ability>L2_HalfPunc_CN</ability>
      <abilityName/>
      <candidateList>
        <item>(</item>
      </candidateList>
      <explain>文本全半角错误。</explain>
      <paraID>238586A8</paraID>
      <start>2</start>
      <end>3</end>
      <status>unmodified</status>
      <modifiedWord/>
      <trackRevisions>false</trackRevisions>
    </reviewItem>
    <reviewItem>
      <errorID>a569daff-9fbd-48d3-b0bb-7941cfcf89f4</errorID>
      <errorWord>）</errorWord>
      <group>L1_Format</group>
      <groupName>格式问题</groupName>
      <ability>L2_HalfPunc_CN</ability>
      <abilityName/>
      <candidateList>
        <item>)</item>
      </candidateList>
      <explain>文本全半角错误。</explain>
      <paraID>238586A8</paraID>
      <start>5</start>
      <end>6</end>
      <status>unmodified</status>
      <modifiedWord/>
      <trackRevisions>false</trackRevisions>
    </reviewItem>
    <reviewItem>
      <errorID>e30eaa61-51b2-49fa-8a84-d6520f51b5cb</errorID>
      <errorWord>（</errorWord>
      <group>L1_Format</group>
      <groupName>格式问题</groupName>
      <ability>L2_HalfPunc_CN</ability>
      <abilityName/>
      <candidateList>
        <item>(</item>
      </candidateList>
      <explain>文本全半角错误。</explain>
      <paraID>548BA79B</paraID>
      <start>4</start>
      <end>5</end>
      <status>unmodified</status>
      <modifiedWord/>
      <trackRevisions>false</trackRevisions>
    </reviewItem>
    <reviewItem>
      <errorID>474a1667-083b-4d07-b459-a0f4ddaf47af</errorID>
      <errorWord>）</errorWord>
      <group>L1_Format</group>
      <groupName>格式问题</groupName>
      <ability>L2_HalfPunc_CN</ability>
      <abilityName/>
      <candidateList>
        <item>)</item>
      </candidateList>
      <explain>文本全半角错误。</explain>
      <paraID>548BA79B</paraID>
      <start>7</start>
      <end>8</end>
      <status>unmodified</status>
      <modifiedWord/>
      <trackRevisions>false</trackRevisions>
    </reviewItem>
    <reviewItem>
      <errorID>d31155c2-ef2b-4c6c-a8b9-e4d53f034a6d</errorID>
      <errorWord>（</errorWord>
      <group>L1_Format</group>
      <groupName>格式问题</groupName>
      <ability>L2_HalfPunc_CN</ability>
      <abilityName/>
      <candidateList>
        <item>(</item>
      </candidateList>
      <explain>文本全半角错误。</explain>
      <paraID> CA9D794</paraID>
      <start>3</start>
      <end>4</end>
      <status>unmodified</status>
      <modifiedWord/>
      <trackRevisions>false</trackRevisions>
    </reviewItem>
    <reviewItem>
      <errorID>389f7e01-5121-4aa5-8c20-7f03c4aac735</errorID>
      <errorWord>）</errorWord>
      <group>L1_Format</group>
      <groupName>格式问题</groupName>
      <ability>L2_HalfPunc_CN</ability>
      <abilityName/>
      <candidateList>
        <item>)</item>
      </candidateList>
      <explain>文本全半角错误。</explain>
      <paraID> CA9D794</paraID>
      <start>6</start>
      <end>7</end>
      <status>unmodified</status>
      <modifiedWord/>
      <trackRevisions>false</trackRevisions>
    </reviewItem>
    <reviewItem>
      <errorID>42294b78-7650-4bf4-832a-978b7aa2b271</errorID>
      <errorWord>（</errorWord>
      <group>L1_Format</group>
      <groupName>格式问题</groupName>
      <ability>L2_HalfPunc_CN</ability>
      <abilityName/>
      <candidateList>
        <item>(</item>
      </candidateList>
      <explain>文本全半角错误。</explain>
      <paraID>623F8810</paraID>
      <start>1</start>
      <end>2</end>
      <status>unmodified</status>
      <modifiedWord/>
      <trackRevisions>false</trackRevisions>
    </reviewItem>
    <reviewItem>
      <errorID>c00be89b-af0d-41e0-abb2-2f46ab535677</errorID>
      <errorWord>）</errorWord>
      <group>L1_Format</group>
      <groupName>格式问题</groupName>
      <ability>L2_HalfPunc_CN</ability>
      <abilityName/>
      <candidateList>
        <item>)</item>
      </candidateList>
      <explain>文本全半角错误。</explain>
      <paraID>623F8810</paraID>
      <start>3</start>
      <end>4</end>
      <status>unmodified</status>
      <modifiedWord/>
      <trackRevisions>false</trackRevisions>
    </reviewItem>
    <reviewItem>
      <errorID>494e145d-507b-4d58-a7ac-4fc358a10a90</errorID>
      <errorWord>（</errorWord>
      <group>L1_Format</group>
      <groupName>格式问题</groupName>
      <ability>L2_HalfPunc_CN</ability>
      <abilityName/>
      <candidateList>
        <item>(</item>
      </candidateList>
      <explain>文本全半角错误。</explain>
      <paraID>63947FDB</paraID>
      <start>2</start>
      <end>3</end>
      <status>unmodified</status>
      <modifiedWord/>
      <trackRevisions>false</trackRevisions>
    </reviewItem>
    <reviewItem>
      <errorID>5d06041f-6aa1-40a9-9dfd-d57a53b676db</errorID>
      <errorWord>）</errorWord>
      <group>L1_Format</group>
      <groupName>格式问题</groupName>
      <ability>L2_HalfPunc_CN</ability>
      <abilityName/>
      <candidateList>
        <item>)</item>
      </candidateList>
      <explain>文本全半角错误。</explain>
      <paraID>63947FDB</paraID>
      <start>5</start>
      <end>6</end>
      <status>unmodified</status>
      <modifiedWord/>
      <trackRevisions>false</trackRevisions>
    </reviewItem>
    <reviewItem>
      <errorID>dbe9bc0b-00d5-4488-9f1b-3eae1812361f</errorID>
      <errorWord>（</errorWord>
      <group>L1_Format</group>
      <groupName>格式问题</groupName>
      <ability>L2_HalfPunc_CN</ability>
      <abilityName/>
      <candidateList>
        <item>(</item>
      </candidateList>
      <explain>文本全半角错误。</explain>
      <paraID>52F9DD4F</paraID>
      <start>4</start>
      <end>5</end>
      <status>unmodified</status>
      <modifiedWord/>
      <trackRevisions>false</trackRevisions>
    </reviewItem>
    <reviewItem>
      <errorID>07c79aec-1560-4980-857e-1f43dd6756b0</errorID>
      <errorWord>）</errorWord>
      <group>L1_Format</group>
      <groupName>格式问题</groupName>
      <ability>L2_HalfPunc_CN</ability>
      <abilityName/>
      <candidateList>
        <item>)</item>
      </candidateList>
      <explain>文本全半角错误。</explain>
      <paraID>52F9DD4F</paraID>
      <start>7</start>
      <end>8</end>
      <status>unmodified</status>
      <modifiedWord/>
      <trackRevisions>false</trackRevisions>
    </reviewItem>
    <reviewItem>
      <errorID>c921ba3f-3a58-45ec-90d1-c0e33707d3bb</errorID>
      <errorWord>（</errorWord>
      <group>L1_Format</group>
      <groupName>格式问题</groupName>
      <ability>L2_HalfPunc_CN</ability>
      <abilityName/>
      <candidateList>
        <item>(</item>
      </candidateList>
      <explain>文本全半角错误。</explain>
      <paraID>56ABF6FD</paraID>
      <start>3</start>
      <end>4</end>
      <status>unmodified</status>
      <modifiedWord/>
      <trackRevisions>false</trackRevisions>
    </reviewItem>
    <reviewItem>
      <errorID>de5ec151-8456-4e6d-9a67-c0ab9aaf77de</errorID>
      <errorWord>）</errorWord>
      <group>L1_Format</group>
      <groupName>格式问题</groupName>
      <ability>L2_HalfPunc_CN</ability>
      <abilityName/>
      <candidateList>
        <item>)</item>
      </candidateList>
      <explain>文本全半角错误。</explain>
      <paraID>56ABF6FD</paraID>
      <start>6</start>
      <end>7</end>
      <status>unmodified</status>
      <modifiedWord/>
      <trackRevisions>false</trackRevisions>
    </reviewItem>
    <reviewItem>
      <errorID>966e51cc-a5f1-4f72-bd9c-9cefa3eef8cb</errorID>
      <errorWord>（</errorWord>
      <group>L1_Format</group>
      <groupName>格式问题</groupName>
      <ability>L2_HalfPunc_CN</ability>
      <abilityName/>
      <candidateList>
        <item>(</item>
      </candidateList>
      <explain>文本全半角错误。</explain>
      <paraID>14B24BF2</paraID>
      <start>1</start>
      <end>2</end>
      <status>unmodified</status>
      <modifiedWord/>
      <trackRevisions>false</trackRevisions>
    </reviewItem>
    <reviewItem>
      <errorID>17486eef-1fb1-4e20-83f4-5716bbc3ab3d</errorID>
      <errorWord>）</errorWord>
      <group>L1_Format</group>
      <groupName>格式问题</groupName>
      <ability>L2_HalfPunc_CN</ability>
      <abilityName/>
      <candidateList>
        <item>)</item>
      </candidateList>
      <explain>文本全半角错误。</explain>
      <paraID>14B24BF2</paraID>
      <start>3</start>
      <end>4</end>
      <status>unmodified</status>
      <modifiedWord/>
      <trackRevisions>false</trackRevisions>
    </reviewItem>
    <reviewItem>
      <errorID>f240a0ef-476e-4d40-b36d-ceb3d9277454</errorID>
      <errorWord>、</errorWord>
      <group>L1_Punc</group>
      <groupName>标点问题</groupName>
      <ability>L2_Punc_CN</ability>
      <abilityName/>
      <candidateList>
        <item>.</item>
      </candidateList>
      <explain/>
      <paraID>3CA71410</paraID>
      <start>1</start>
      <end>2</end>
      <status>unmodified</status>
      <modifiedWord/>
      <trackRevisions>false</trackRevisions>
    </reviewItem>
    <reviewItem>
      <errorID>b7380a17-f0f0-4b97-b16c-24010ee3af42</errorID>
      <errorWord>、</errorWord>
      <group>L1_Punc</group>
      <groupName>标点问题</groupName>
      <ability>L2_Punc_CN</ability>
      <abilityName/>
      <candidateList>
        <item>.</item>
      </candidateList>
      <explain/>
      <paraID>76332876</paraID>
      <start>1</start>
      <end>2</end>
      <status>unmodified</status>
      <modifiedWord/>
      <trackRevisions>false</trackRevisions>
    </reviewItem>
    <reviewItem>
      <errorID>55de73b3-8cd0-4f8d-9375-461cda5f4aca</errorID>
      <errorWord>（</errorWord>
      <group>L1_Format</group>
      <groupName>格式问题</groupName>
      <ability>L2_HalfPunc_CN</ability>
      <abilityName/>
      <candidateList>
        <item>(</item>
      </candidateList>
      <explain>文本全半角错误。</explain>
      <paraID>62E43AE1</paraID>
      <start>2</start>
      <end>3</end>
      <status>unmodified</status>
      <modifiedWord/>
      <trackRevisions>false</trackRevisions>
    </reviewItem>
    <reviewItem>
      <errorID>3258a291-ad6c-4096-a008-723bd23b59fc</errorID>
      <errorWord>）</errorWord>
      <group>L1_Format</group>
      <groupName>格式问题</groupName>
      <ability>L2_HalfPunc_CN</ability>
      <abilityName/>
      <candidateList>
        <item>)</item>
      </candidateList>
      <explain>文本全半角错误。</explain>
      <paraID>62E43AE1</paraID>
      <start>5</start>
      <end>6</end>
      <status>unmodified</status>
      <modifiedWord/>
      <trackRevisions>false</trackRevisions>
    </reviewItem>
    <reviewItem>
      <errorID>001a3443-e92b-40b6-8b8d-5dd2be057e82</errorID>
      <errorWord>（</errorWord>
      <group>L1_Format</group>
      <groupName>格式问题</groupName>
      <ability>L2_HalfPunc_CN</ability>
      <abilityName/>
      <candidateList>
        <item>(</item>
      </candidateList>
      <explain>文本全半角错误。</explain>
      <paraID>68B3B256</paraID>
      <start>4</start>
      <end>5</end>
      <status>unmodified</status>
      <modifiedWord/>
      <trackRevisions>false</trackRevisions>
    </reviewItem>
    <reviewItem>
      <errorID>e9ba9acc-d8d3-4ba2-9e3c-edcdf121efd9</errorID>
      <errorWord>）</errorWord>
      <group>L1_Format</group>
      <groupName>格式问题</groupName>
      <ability>L2_HalfPunc_CN</ability>
      <abilityName/>
      <candidateList>
        <item>)</item>
      </candidateList>
      <explain>文本全半角错误。</explain>
      <paraID>68B3B256</paraID>
      <start>7</start>
      <end>8</end>
      <status>unmodified</status>
      <modifiedWord/>
      <trackRevisions>false</trackRevisions>
    </reviewItem>
    <reviewItem>
      <errorID>468d65da-6bc4-4ad7-88c3-141ab223a7be</errorID>
      <errorWord>（</errorWord>
      <group>L1_Format</group>
      <groupName>格式问题</groupName>
      <ability>L2_HalfPunc_CN</ability>
      <abilityName/>
      <candidateList>
        <item>(</item>
      </candidateList>
      <explain>文本全半角错误。</explain>
      <paraID>50CD7CF6</paraID>
      <start>3</start>
      <end>4</end>
      <status>unmodified</status>
      <modifiedWord/>
      <trackRevisions>false</trackRevisions>
    </reviewItem>
    <reviewItem>
      <errorID>f45a17e2-9bde-4feb-93a9-8e953fd8c111</errorID>
      <errorWord>）</errorWord>
      <group>L1_Format</group>
      <groupName>格式问题</groupName>
      <ability>L2_HalfPunc_CN</ability>
      <abilityName/>
      <candidateList>
        <item>)</item>
      </candidateList>
      <explain>文本全半角错误。</explain>
      <paraID>50CD7CF6</paraID>
      <start>6</start>
      <end>7</end>
      <status>unmodified</status>
      <modifiedWord/>
      <trackRevisions>false</trackRevisions>
    </reviewItem>
    <reviewItem>
      <errorID>637cd087-25ef-4769-a44e-234aa716f51a</errorID>
      <errorWord>（</errorWord>
      <group>L1_Format</group>
      <groupName>格式问题</groupName>
      <ability>L2_HalfPunc_CN</ability>
      <abilityName/>
      <candidateList>
        <item>(</item>
      </candidateList>
      <explain>文本全半角错误。</explain>
      <paraID> 630C571</paraID>
      <start>1</start>
      <end>2</end>
      <status>unmodified</status>
      <modifiedWord/>
      <trackRevisions>false</trackRevisions>
    </reviewItem>
    <reviewItem>
      <errorID>c5ea8335-ed75-4e38-a485-9e147dbc897e</errorID>
      <errorWord>）</errorWord>
      <group>L1_Format</group>
      <groupName>格式问题</groupName>
      <ability>L2_HalfPunc_CN</ability>
      <abilityName/>
      <candidateList>
        <item>)</item>
      </candidateList>
      <explain>文本全半角错误。</explain>
      <paraID> 630C571</paraID>
      <start>3</start>
      <end>4</end>
      <status>unmodified</status>
      <modifiedWord/>
      <trackRevisions>false</trackRevisions>
    </reviewItem>
    <reviewItem>
      <errorID>0f925027-3958-42e0-8e95-ee199b56b882</errorID>
      <errorWord>、</errorWord>
      <group>L1_Punc</group>
      <groupName>标点问题</groupName>
      <ability>L2_Punc_CN</ability>
      <abilityName/>
      <candidateList>
        <item>.</item>
      </candidateList>
      <explain/>
      <paraID>2FBC96B4</paraID>
      <start>1</start>
      <end>2</end>
      <status>unmodified</status>
      <modifiedWord/>
      <trackRevisions>false</trackRevisions>
    </reviewItem>
    <reviewItem>
      <errorID>5ccbadb2-5483-4622-b6fa-a15817a63818</errorID>
      <errorWord>（</errorWord>
      <group>L1_Format</group>
      <groupName>格式问题</groupName>
      <ability>L2_HalfPunc_CN</ability>
      <abilityName/>
      <candidateList>
        <item>(</item>
      </candidateList>
      <explain>文本全半角错误。</explain>
      <paraID>1FF91801</paraID>
      <start>2</start>
      <end>3</end>
      <status>unmodified</status>
      <modifiedWord/>
      <trackRevisions>false</trackRevisions>
    </reviewItem>
    <reviewItem>
      <errorID>04772c8d-93f3-48f5-b20f-e9505bbfec5d</errorID>
      <errorWord>）</errorWord>
      <group>L1_Format</group>
      <groupName>格式问题</groupName>
      <ability>L2_HalfPunc_CN</ability>
      <abilityName/>
      <candidateList>
        <item>)</item>
      </candidateList>
      <explain>文本全半角错误。</explain>
      <paraID>1FF91801</paraID>
      <start>5</start>
      <end>6</end>
      <status>unmodified</status>
      <modifiedWord/>
      <trackRevisions>false</trackRevisions>
    </reviewItem>
    <reviewItem>
      <errorID>9986b758-641c-4261-b517-f8e9504236cf</errorID>
      <errorWord>（</errorWord>
      <group>L1_Format</group>
      <groupName>格式问题</groupName>
      <ability>L2_HalfPunc_CN</ability>
      <abilityName/>
      <candidateList>
        <item>(</item>
      </candidateList>
      <explain>文本全半角错误。</explain>
      <paraID>321AAA44</paraID>
      <start>4</start>
      <end>5</end>
      <status>unmodified</status>
      <modifiedWord/>
      <trackRevisions>false</trackRevisions>
    </reviewItem>
    <reviewItem>
      <errorID>f314e80e-9696-4dab-bd71-f40199f21280</errorID>
      <errorWord>）</errorWord>
      <group>L1_Format</group>
      <groupName>格式问题</groupName>
      <ability>L2_HalfPunc_CN</ability>
      <abilityName/>
      <candidateList>
        <item>)</item>
      </candidateList>
      <explain>文本全半角错误。</explain>
      <paraID>321AAA44</paraID>
      <start>7</start>
      <end>8</end>
      <status>unmodified</status>
      <modifiedWord/>
      <trackRevisions>false</trackRevisions>
    </reviewItem>
    <reviewItem>
      <errorID>de5d82c5-24c4-4528-9d88-0219946903d4</errorID>
      <errorWord>（</errorWord>
      <group>L1_Format</group>
      <groupName>格式问题</groupName>
      <ability>L2_HalfPunc_CN</ability>
      <abilityName/>
      <candidateList>
        <item>(</item>
      </candidateList>
      <explain>文本全半角错误。</explain>
      <paraID>3A70A20A</paraID>
      <start>0</start>
      <end>1</end>
      <status>unmodified</status>
      <modifiedWord/>
      <trackRevisions>false</trackRevisions>
    </reviewItem>
    <reviewItem>
      <errorID>6560abf0-9b9d-45e7-b832-1ef7e2507640</errorID>
      <errorWord>）</errorWord>
      <group>L1_Format</group>
      <groupName>格式问题</groupName>
      <ability>L2_HalfPunc_CN</ability>
      <abilityName/>
      <candidateList>
        <item>)</item>
      </candidateList>
      <explain>文本全半角错误。</explain>
      <paraID>3A70A20A</paraID>
      <start>3</start>
      <end>4</end>
      <status>unmodified</status>
      <modifiedWord/>
      <trackRevisions>false</trackRevisions>
    </reviewItem>
    <reviewItem>
      <errorID>5fa89dbe-bcc8-4592-b63b-dafe1baa324c</errorID>
      <errorWord>（</errorWord>
      <group>L1_Format</group>
      <groupName>格式问题</groupName>
      <ability>L2_HalfPunc_CN</ability>
      <abilityName/>
      <candidateList>
        <item>(</item>
      </candidateList>
      <explain>文本全半角错误。</explain>
      <paraID>77E52284</paraID>
      <start>1</start>
      <end>2</end>
      <status>unmodified</status>
      <modifiedWord/>
      <trackRevisions>false</trackRevisions>
    </reviewItem>
    <reviewItem>
      <errorID>53df80f2-d39e-48de-88e2-d5f047165705</errorID>
      <errorWord>）</errorWord>
      <group>L1_Format</group>
      <groupName>格式问题</groupName>
      <ability>L2_HalfPunc_CN</ability>
      <abilityName/>
      <candidateList>
        <item>)</item>
      </candidateList>
      <explain>文本全半角错误。</explain>
      <paraID>77E52284</paraID>
      <start>3</start>
      <end>4</end>
      <status>unmodified</status>
      <modifiedWord/>
      <trackRevisions>false</trackRevisions>
    </reviewItem>
    <reviewItem>
      <errorID>b3ae0c92-b7e5-4ea3-bbec-50549b5c1c5c</errorID>
      <errorWord>（</errorWord>
      <group>L1_Format</group>
      <groupName>格式问题</groupName>
      <ability>L2_HalfPunc_CN</ability>
      <abilityName/>
      <candidateList>
        <item>(</item>
      </candidateList>
      <explain>文本全半角错误。</explain>
      <paraID>1ED986E2</paraID>
      <start>8</start>
      <end>9</end>
      <status>unmodified</status>
      <modifiedWord/>
      <trackRevisions>false</trackRevisions>
    </reviewItem>
    <reviewItem>
      <errorID>fafde76a-369b-4d3b-817a-f55fe53ec870</errorID>
      <errorWord>）</errorWord>
      <group>L1_Format</group>
      <groupName>格式问题</groupName>
      <ability>L2_HalfPunc_CN</ability>
      <abilityName/>
      <candidateList>
        <item>)</item>
      </candidateList>
      <explain>文本全半角错误。</explain>
      <paraID>1ED986E2</paraID>
      <start>13</start>
      <end>14</end>
      <status>unmodified</status>
      <modifiedWord/>
      <trackRevisions>false</trackRevisions>
    </reviewItem>
    <reviewItem>
      <errorID>938f352a-a426-46db-8f01-9b0a2bb1414e</errorID>
      <errorWord>、</errorWord>
      <group>L1_Punc</group>
      <groupName>标点问题</groupName>
      <ability>L2_Punc_CN</ability>
      <abilityName/>
      <candidateList>
        <item>.</item>
      </candidateList>
      <explain/>
      <paraID>4A5DA12B</paraID>
      <start>1</start>
      <end>2</end>
      <status>unmodified</status>
      <modifiedWord/>
      <trackRevisions>false</trackRevisions>
    </reviewItem>
    <reviewItem>
      <errorID>2b60aeb1-8673-4405-a61e-11220c536a18</errorID>
      <errorWord>（</errorWord>
      <group>L1_Format</group>
      <groupName>格式问题</groupName>
      <ability>L2_HalfPunc_CN</ability>
      <abilityName/>
      <candidateList>
        <item>(</item>
      </candidateList>
      <explain>文本全半角错误。</explain>
      <paraID>1237D87B</paraID>
      <start>2</start>
      <end>3</end>
      <status>unmodified</status>
      <modifiedWord/>
      <trackRevisions>false</trackRevisions>
    </reviewItem>
    <reviewItem>
      <errorID>820d1527-7adc-4974-8a4c-0788296356ca</errorID>
      <errorWord>）</errorWord>
      <group>L1_Format</group>
      <groupName>格式问题</groupName>
      <ability>L2_HalfPunc_CN</ability>
      <abilityName/>
      <candidateList>
        <item>)</item>
      </candidateList>
      <explain>文本全半角错误。</explain>
      <paraID>1237D87B</paraID>
      <start>4</start>
      <end>5</end>
      <status>unmodified</status>
      <modifiedWord/>
      <trackRevisions>false</trackRevisions>
    </reviewItem>
    <reviewItem>
      <errorID>4b09a8d7-3900-4d6e-aafa-e0b947b1077b</errorID>
      <errorWord>（</errorWord>
      <group>L1_Format</group>
      <groupName>格式问题</groupName>
      <ability>L2_HalfPunc_CN</ability>
      <abilityName/>
      <candidateList>
        <item>(</item>
      </candidateList>
      <explain>文本全半角错误。</explain>
      <paraID> 378A5DA</paraID>
      <start>2</start>
      <end>3</end>
      <status>unmodified</status>
      <modifiedWord/>
      <trackRevisions>false</trackRevisions>
    </reviewItem>
    <reviewItem>
      <errorID>369316fb-bba3-4de4-8b80-53849eae13a3</errorID>
      <errorWord>）</errorWord>
      <group>L1_Format</group>
      <groupName>格式问题</groupName>
      <ability>L2_HalfPunc_CN</ability>
      <abilityName/>
      <candidateList>
        <item>)</item>
      </candidateList>
      <explain>文本全半角错误。</explain>
      <paraID> 378A5DA</paraID>
      <start>4</start>
      <end>5</end>
      <status>unmodified</status>
      <modifiedWord/>
      <trackRevisions>false</trackRevisions>
    </reviewItem>
    <reviewItem>
      <errorID>9b1a2d38-85c5-4d5e-a91b-a54b2215b729</errorID>
      <errorWord>（</errorWord>
      <group>L1_Format</group>
      <groupName>格式问题</groupName>
      <ability>L2_HalfPunc_CN</ability>
      <abilityName/>
      <candidateList>
        <item>(</item>
      </candidateList>
      <explain>文本全半角错误。</explain>
      <paraID>467F5464</paraID>
      <start>7</start>
      <end>8</end>
      <status>unmodified</status>
      <modifiedWord/>
      <trackRevisions>false</trackRevisions>
    </reviewItem>
    <reviewItem>
      <errorID>b3c1ced3-d81b-411c-9422-5144bcc06c57</errorID>
      <errorWord>）</errorWord>
      <group>L1_Format</group>
      <groupName>格式问题</groupName>
      <ability>L2_HalfPunc_CN</ability>
      <abilityName/>
      <candidateList>
        <item>)</item>
      </candidateList>
      <explain>文本全半角错误。</explain>
      <paraID>467F5464</paraID>
      <start>13</start>
      <end>14</end>
      <status>unmodified</status>
      <modifiedWord/>
      <trackRevisions>false</trackRevisions>
    </reviewItem>
    <reviewItem>
      <errorID>59015183-0dc6-4326-a7a9-a2eca8c218d0</errorID>
      <errorWord>（</errorWord>
      <group>L1_Format</group>
      <groupName>格式问题</groupName>
      <ability>L2_HalfPunc_CN</ability>
      <abilityName/>
      <candidateList>
        <item>(</item>
      </candidateList>
      <explain>文本全半角错误。</explain>
      <paraID>3773E6BC</paraID>
      <start>8</start>
      <end>9</end>
      <status>unmodified</status>
      <modifiedWord/>
      <trackRevisions>false</trackRevisions>
    </reviewItem>
    <reviewItem>
      <errorID>48ad8456-476e-4ac1-ac90-83032d40e72f</errorID>
      <errorWord>）</errorWord>
      <group>L1_Format</group>
      <groupName>格式问题</groupName>
      <ability>L2_HalfPunc_CN</ability>
      <abilityName/>
      <candidateList>
        <item>)</item>
      </candidateList>
      <explain>文本全半角错误。</explain>
      <paraID>3773E6BC</paraID>
      <start>13</start>
      <end>14</end>
      <status>unmodified</status>
      <modifiedWord/>
      <trackRevisions>false</trackRevisions>
    </reviewItem>
    <reviewItem>
      <errorID>abd042fd-2f9c-4573-bb3d-d4a3fe2bb50d</errorID>
      <errorWord>（</errorWord>
      <group>L1_Format</group>
      <groupName>格式问题</groupName>
      <ability>L2_HalfPunc_CN</ability>
      <abilityName/>
      <candidateList>
        <item>(</item>
      </candidateList>
      <explain>文本全半角错误。</explain>
      <paraID>7FEC329B</paraID>
      <start>8</start>
      <end>9</end>
      <status>unmodified</status>
      <modifiedWord/>
      <trackRevisions>false</trackRevisions>
    </reviewItem>
    <reviewItem>
      <errorID>323af69f-6565-4245-b25a-eeb77323af49</errorID>
      <errorWord>）</errorWord>
      <group>L1_Format</group>
      <groupName>格式问题</groupName>
      <ability>L2_HalfPunc_CN</ability>
      <abilityName/>
      <candidateList>
        <item>)</item>
      </candidateList>
      <explain>文本全半角错误。</explain>
      <paraID>7FEC329B</paraID>
      <start>13</start>
      <end>14</end>
      <status>unmodified</status>
      <modifiedWord/>
      <trackRevisions>false</trackRevisions>
    </reviewItem>
    <reviewItem>
      <errorID>b65ca940-f4ad-450b-955b-3d4d315ab7fc</errorID>
      <errorWord>、</errorWord>
      <group>L1_Punc</group>
      <groupName>标点问题</groupName>
      <ability>L2_Punc_CN</ability>
      <abilityName/>
      <candidateList>
        <item>.</item>
      </candidateList>
      <explain/>
      <paraID> 90C1F80</paraID>
      <start>1</start>
      <end>2</end>
      <status>unmodified</status>
      <modifiedWord/>
      <trackRevisions>false</trackRevisions>
    </reviewItem>
    <reviewItem>
      <errorID>6839be89-3aae-4793-b733-e83af73d843b</errorID>
      <errorWord>、</errorWord>
      <group>L1_Punc</group>
      <groupName>标点问题</groupName>
      <ability>L2_Punc_CN</ability>
      <abilityName/>
      <candidateList>
        <item>.</item>
      </candidateList>
      <explain/>
      <paraID>59E9141C</paraID>
      <start>1</start>
      <end>2</end>
      <status>unmodified</status>
      <modifiedWord/>
      <trackRevisions>false</trackRevisions>
    </reviewItem>
    <reviewItem>
      <errorID>1f96c017-78aa-460f-8a7c-074248c0e8ae</errorID>
      <errorWord>（</errorWord>
      <group>L1_Format</group>
      <groupName>格式问题</groupName>
      <ability>L2_HalfPunc_CN</ability>
      <abilityName/>
      <candidateList>
        <item>(</item>
      </candidateList>
      <explain>文本全半角错误。</explain>
      <paraID>7F43349B</paraID>
      <start>2</start>
      <end>3</end>
      <status>unmodified</status>
      <modifiedWord/>
      <trackRevisions>false</trackRevisions>
    </reviewItem>
    <reviewItem>
      <errorID>0a0ee1c0-bea2-46ce-956f-25aab95fc21a</errorID>
      <errorWord>）</errorWord>
      <group>L1_Format</group>
      <groupName>格式问题</groupName>
      <ability>L2_HalfPunc_CN</ability>
      <abilityName/>
      <candidateList>
        <item>)</item>
      </candidateList>
      <explain>文本全半角错误。</explain>
      <paraID>7F43349B</paraID>
      <start>5</start>
      <end>6</end>
      <status>unmodified</status>
      <modifiedWord/>
      <trackRevisions>false</trackRevisions>
    </reviewItem>
    <reviewItem>
      <errorID>74ffd5cc-ae0d-4303-8d0a-6c27b28c7b4d</errorID>
      <errorWord>（</errorWord>
      <group>L1_Format</group>
      <groupName>格式问题</groupName>
      <ability>L2_HalfPunc_CN</ability>
      <abilityName/>
      <candidateList>
        <item>(</item>
      </candidateList>
      <explain>文本全半角错误。</explain>
      <paraID>504623D5</paraID>
      <start>4</start>
      <end>5</end>
      <status>unmodified</status>
      <modifiedWord/>
      <trackRevisions>false</trackRevisions>
    </reviewItem>
    <reviewItem>
      <errorID>28a39f8c-9f7d-4f62-9efb-90429c0ee727</errorID>
      <errorWord>）</errorWord>
      <group>L1_Format</group>
      <groupName>格式问题</groupName>
      <ability>L2_HalfPunc_CN</ability>
      <abilityName/>
      <candidateList>
        <item>)</item>
      </candidateList>
      <explain>文本全半角错误。</explain>
      <paraID>504623D5</paraID>
      <start>7</start>
      <end>8</end>
      <status>unmodified</status>
      <modifiedWord/>
      <trackRevisions>false</trackRevisions>
    </reviewItem>
    <reviewItem>
      <errorID>c1b5f362-ad6f-49df-b113-5e669e6a73e2</errorID>
      <errorWord>（</errorWord>
      <group>L1_Format</group>
      <groupName>格式问题</groupName>
      <ability>L2_HalfPunc_CN</ability>
      <abilityName/>
      <candidateList>
        <item>(</item>
      </candidateList>
      <explain>文本全半角错误。</explain>
      <paraID>2DD9703B</paraID>
      <start>3</start>
      <end>4</end>
      <status>unmodified</status>
      <modifiedWord/>
      <trackRevisions>false</trackRevisions>
    </reviewItem>
    <reviewItem>
      <errorID>41bf24b3-17e6-413c-9f29-15db5024a488</errorID>
      <errorWord>）</errorWord>
      <group>L1_Format</group>
      <groupName>格式问题</groupName>
      <ability>L2_HalfPunc_CN</ability>
      <abilityName/>
      <candidateList>
        <item>)</item>
      </candidateList>
      <explain>文本全半角错误。</explain>
      <paraID>2DD9703B</paraID>
      <start>6</start>
      <end>7</end>
      <status>unmodified</status>
      <modifiedWord/>
      <trackRevisions>false</trackRevisions>
    </reviewItem>
    <reviewItem>
      <errorID>81e3acb7-8f84-4aec-917f-98da8fdefe71</errorID>
      <errorWord>（</errorWord>
      <group>L1_Format</group>
      <groupName>格式问题</groupName>
      <ability>L2_HalfPunc_CN</ability>
      <abilityName/>
      <candidateList>
        <item>(</item>
      </candidateList>
      <explain>文本全半角错误。</explain>
      <paraID>40123E56</paraID>
      <start>1</start>
      <end>2</end>
      <status>unmodified</status>
      <modifiedWord/>
      <trackRevisions>false</trackRevisions>
    </reviewItem>
    <reviewItem>
      <errorID>c5726ecd-a52d-44c1-b778-0a7d8e93e305</errorID>
      <errorWord>）</errorWord>
      <group>L1_Format</group>
      <groupName>格式问题</groupName>
      <ability>L2_HalfPunc_CN</ability>
      <abilityName/>
      <candidateList>
        <item>)</item>
      </candidateList>
      <explain>文本全半角错误。</explain>
      <paraID>40123E56</paraID>
      <start>3</start>
      <end>4</end>
      <status>unmodified</status>
      <modifiedWord/>
      <trackRevisions>false</trackRevisions>
    </reviewItem>
    <reviewItem>
      <errorID>417c1a12-57af-44bc-933f-9c514dbc0d42</errorID>
      <errorWord>（</errorWord>
      <group>L1_Format</group>
      <groupName>格式问题</groupName>
      <ability>L2_HalfPunc_CN</ability>
      <abilityName/>
      <candidateList>
        <item>(</item>
      </candidateList>
      <explain>文本全半角错误。</explain>
      <paraID>171D9101</paraID>
      <start>7</start>
      <end>8</end>
      <status>unmodified</status>
      <modifiedWord/>
      <trackRevisions>false</trackRevisions>
    </reviewItem>
    <reviewItem>
      <errorID>45ad8ba6-b5f2-488a-88de-e9d8c69520c5</errorID>
      <errorWord>）</errorWord>
      <group>L1_Format</group>
      <groupName>格式问题</groupName>
      <ability>L2_HalfPunc_CN</ability>
      <abilityName/>
      <candidateList>
        <item>)</item>
      </candidateList>
      <explain>文本全半角错误。</explain>
      <paraID>171D9101</paraID>
      <start>12</start>
      <end>13</end>
      <status>unmodified</status>
      <modifiedWord/>
      <trackRevisions>false</trackRevisions>
    </reviewItem>
    <reviewItem>
      <errorID>a0ac1061-7509-4a53-ba45-d2cfe7294e40</errorID>
      <errorWord>、</errorWord>
      <group>L1_Punc</group>
      <groupName>标点问题</groupName>
      <ability>L2_Punc_CN</ability>
      <abilityName/>
      <candidateList>
        <item>.</item>
      </candidateList>
      <explain/>
      <paraID>29D81126</paraID>
      <start>1</start>
      <end>2</end>
      <status>unmodified</status>
      <modifiedWord/>
      <trackRevisions>false</trackRevisions>
    </reviewItem>
    <reviewItem>
      <errorID>dcb45cef-d47d-44f0-a850-c4e03d371673</errorID>
      <errorWord>（</errorWord>
      <group>L1_Format</group>
      <groupName>格式问题</groupName>
      <ability>L2_HalfPunc_CN</ability>
      <abilityName/>
      <candidateList>
        <item>(</item>
      </candidateList>
      <explain>文本全半角错误。</explain>
      <paraID>6178BEBA</paraID>
      <start>2</start>
      <end>3</end>
      <status>unmodified</status>
      <modifiedWord/>
      <trackRevisions>false</trackRevisions>
    </reviewItem>
    <reviewItem>
      <errorID>26c1781b-b5a6-4f8f-8c3e-a8079aa03217</errorID>
      <errorWord>）</errorWord>
      <group>L1_Format</group>
      <groupName>格式问题</groupName>
      <ability>L2_HalfPunc_CN</ability>
      <abilityName/>
      <candidateList>
        <item>)</item>
      </candidateList>
      <explain>文本全半角错误。</explain>
      <paraID>6178BEBA</paraID>
      <start>4</start>
      <end>5</end>
      <status>unmodified</status>
      <modifiedWord/>
      <trackRevisions>false</trackRevisions>
    </reviewItem>
    <reviewItem>
      <errorID>ba30b161-f1b0-4e97-a010-d4ecc541d757</errorID>
      <errorWord>（</errorWord>
      <group>L1_Format</group>
      <groupName>格式问题</groupName>
      <ability>L2_HalfPunc_CN</ability>
      <abilityName/>
      <candidateList>
        <item>(</item>
      </candidateList>
      <explain>文本全半角错误。</explain>
      <paraID>7039C434</paraID>
      <start>1</start>
      <end>2</end>
      <status>unmodified</status>
      <modifiedWord/>
      <trackRevisions>false</trackRevisions>
    </reviewItem>
    <reviewItem>
      <errorID>97e44f00-2fd9-411a-87b8-819fd1989e6e</errorID>
      <errorWord>）</errorWord>
      <group>L1_Format</group>
      <groupName>格式问题</groupName>
      <ability>L2_HalfPunc_CN</ability>
      <abilityName/>
      <candidateList>
        <item>)</item>
      </candidateList>
      <explain>文本全半角错误。</explain>
      <paraID>7039C434</paraID>
      <start>4</start>
      <end>5</end>
      <status>unmodified</status>
      <modifiedWord/>
      <trackRevisions>false</trackRevisions>
    </reviewItem>
    <reviewItem>
      <errorID>617e474b-7a8e-4a1e-b349-fb93672e0c2f</errorID>
      <errorWord>(</errorWord>
      <group>L1_Punc</group>
      <groupName>标点问题</groupName>
      <ability>L2_Punc_CN</ability>
      <abilityName/>
      <candidateList>
        <item/>
      </candidateList>
      <explain>同一形式括号套用。</explain>
      <paraID> 36DD479</paraID>
      <start>0</start>
      <end>1</end>
      <status>unmodified</status>
      <modifiedWord/>
      <trackRevisions>false</trackRevisions>
    </reviewItem>
    <reviewItem>
      <errorID>d1d12f1d-046d-4bf5-ad88-00c3d950c57b</errorID>
      <errorWord>（</errorWord>
      <group>L1_Punc</group>
      <groupName>标点问题</groupName>
      <ability>L2_Punc_CN</ability>
      <abilityName/>
      <candidateList/>
      <explain>同一形式括号套用。</explain>
      <paraID> 36DD479</paraID>
      <start>1</start>
      <end>2</end>
      <status>unmodified</status>
      <modifiedWord/>
      <trackRevisions>false</trackRevisions>
    </reviewItem>
    <reviewItem>
      <errorID>bac8ec4a-e9c6-49ba-8491-402268f02b85</errorID>
      <errorWord>）</errorWord>
      <group>L1_Punc</group>
      <groupName>标点问题</groupName>
      <ability>L2_Punc_CN</ability>
      <abilityName/>
      <candidateList/>
      <explain>同一形式括号套用。</explain>
      <paraID> 36DD479</paraID>
      <start>8</start>
      <end>9</end>
      <status>unmodified</status>
      <modifiedWord/>
      <trackRevisions>false</trackRevisions>
    </reviewItem>
    <reviewItem>
      <errorID>bd874dc2-1079-4d53-aa62-de37bca2c0f1</errorID>
      <errorWord>)</errorWord>
      <group>L1_Punc</group>
      <groupName>标点问题</groupName>
      <ability>L2_Punc_CN</ability>
      <abilityName/>
      <candidateList/>
      <explain>同一形式括号套用。</explain>
      <paraID> 36DD479</paraID>
      <start>12</start>
      <end>13</end>
      <status>unmodified</status>
      <modifiedWord/>
      <trackRevisions>false</trackRevisions>
    </reviewItem>
    <reviewItem>
      <errorID>ffb04308-9d0c-4f89-9e17-a8306b75c73f</errorID>
      <errorWord>(</errorWord>
      <group>L1_Punc</group>
      <groupName>标点问题</groupName>
      <ability>L2_Punc_CN</ability>
      <abilityName/>
      <candidateList>
        <item/>
      </candidateList>
      <explain>同一形式括号套用。</explain>
      <paraID>5D9388CD</paraID>
      <start>0</start>
      <end>1</end>
      <status>unmodified</status>
      <modifiedWord/>
      <trackRevisions>false</trackRevisions>
    </reviewItem>
    <reviewItem>
      <errorID>11361c3d-d2d0-411a-a4ab-908651cd5f19</errorID>
      <errorWord>（</errorWord>
      <group>L1_Punc</group>
      <groupName>标点问题</groupName>
      <ability>L2_Punc_CN</ability>
      <abilityName/>
      <candidateList/>
      <explain>同一形式括号套用。</explain>
      <paraID>5D9388CD</paraID>
      <start>1</start>
      <end>2</end>
      <status>unmodified</status>
      <modifiedWord/>
      <trackRevisions>false</trackRevisions>
    </reviewItem>
    <reviewItem>
      <errorID>505ccdaa-db76-4539-8621-12ec61ec2e64</errorID>
      <errorWord>）</errorWord>
      <group>L1_Punc</group>
      <groupName>标点问题</groupName>
      <ability>L2_Punc_CN</ability>
      <abilityName/>
      <candidateList/>
      <explain>同一形式括号套用。</explain>
      <paraID>5D9388CD</paraID>
      <start>8</start>
      <end>9</end>
      <status>unmodified</status>
      <modifiedWord/>
      <trackRevisions>false</trackRevisions>
    </reviewItem>
    <reviewItem>
      <errorID>31a221fb-6de0-4fa5-a377-58ca3e2c4ec0</errorID>
      <errorWord>)</errorWord>
      <group>L1_Punc</group>
      <groupName>标点问题</groupName>
      <ability>L2_Punc_CN</ability>
      <abilityName/>
      <candidateList/>
      <explain>同一形式括号套用。</explain>
      <paraID>5D9388CD</paraID>
      <start>12</start>
      <end>13</end>
      <status>unmodified</status>
      <modifiedWord/>
      <trackRevisions>false</trackRevisions>
    </reviewItem>
    <reviewItem>
      <errorID>b2b8c4fb-1abe-4378-bfe8-463548e45068</errorID>
      <errorWord>（</errorWord>
      <group>L1_Format</group>
      <groupName>格式问题</groupName>
      <ability>L2_HalfPunc_CN</ability>
      <abilityName/>
      <candidateList>
        <item>(</item>
      </candidateList>
      <explain>文本全半角错误。</explain>
      <paraID>4E85F8D8</paraID>
      <start>2</start>
      <end>3</end>
      <status>unmodified</status>
      <modifiedWord/>
      <trackRevisions>false</trackRevisions>
    </reviewItem>
    <reviewItem>
      <errorID>f9597279-4ea7-4ba5-aa06-511a7c2b02d8</errorID>
      <errorWord>）</errorWord>
      <group>L1_Format</group>
      <groupName>格式问题</groupName>
      <ability>L2_HalfPunc_CN</ability>
      <abilityName/>
      <candidateList>
        <item>)</item>
      </candidateList>
      <explain>文本全半角错误。</explain>
      <paraID>4E85F8D8</paraID>
      <start>4</start>
      <end>5</end>
      <status>unmodified</status>
      <modifiedWord/>
      <trackRevisions>false</trackRevisions>
    </reviewItem>
    <reviewItem>
      <errorID>43cce31d-df3a-46a7-8599-e2d2b11eca99</errorID>
      <errorWord>（</errorWord>
      <group>L1_Format</group>
      <groupName>格式问题</groupName>
      <ability>L2_HalfPunc_CN</ability>
      <abilityName/>
      <candidateList>
        <item>(</item>
      </candidateList>
      <explain>文本全半角错误。</explain>
      <paraID> 4A86118</paraID>
      <start>3</start>
      <end>4</end>
      <status>unmodified</status>
      <modifiedWord/>
      <trackRevisions>false</trackRevisions>
    </reviewItem>
    <reviewItem>
      <errorID>e231946d-3249-40a2-a77f-1a9b67ce1da4</errorID>
      <errorWord>）</errorWord>
      <group>L1_Format</group>
      <groupName>格式问题</groupName>
      <ability>L2_HalfPunc_CN</ability>
      <abilityName/>
      <candidateList>
        <item>)</item>
      </candidateList>
      <explain>文本全半角错误。</explain>
      <paraID> 4A86118</paraID>
      <start>5</start>
      <end>6</end>
      <status>unmodified</status>
      <modifiedWord/>
      <trackRevisions>false</trackRevisions>
    </reviewItem>
    <reviewItem>
      <errorID>f434a1b5-2715-46fd-a629-b4d38ffe6497</errorID>
      <errorWord>（</errorWord>
      <group>L1_Format</group>
      <groupName>格式问题</groupName>
      <ability>L2_HalfPunc_CN</ability>
      <abilityName/>
      <candidateList>
        <item>(</item>
      </candidateList>
      <explain>文本全半角错误。</explain>
      <paraID>40B6328F</paraID>
      <start>8</start>
      <end>9</end>
      <status>unmodified</status>
      <modifiedWord/>
      <trackRevisions>false</trackRevisions>
    </reviewItem>
    <reviewItem>
      <errorID>493dd2e0-a7aa-426c-8069-9afddac95aa6</errorID>
      <errorWord>）</errorWord>
      <group>L1_Format</group>
      <groupName>格式问题</groupName>
      <ability>L2_HalfPunc_CN</ability>
      <abilityName/>
      <candidateList>
        <item>)</item>
      </candidateList>
      <explain>文本全半角错误。</explain>
      <paraID>40B6328F</paraID>
      <start>13</start>
      <end>14</end>
      <status>unmodified</status>
      <modifiedWord/>
      <trackRevisions>false</trackRevisions>
    </reviewItem>
    <reviewItem>
      <errorID>dce3fd1d-7761-4884-9aa6-4a03e426b9b7</errorID>
      <errorWord>（</errorWord>
      <group>L1_Format</group>
      <groupName>格式问题</groupName>
      <ability>L2_HalfPunc_CN</ability>
      <abilityName/>
      <candidateList>
        <item>(</item>
      </candidateList>
      <explain>文本全半角错误。</explain>
      <paraID>29EB8E4B</paraID>
      <start>8</start>
      <end>9</end>
      <status>unmodified</status>
      <modifiedWord/>
      <trackRevisions>false</trackRevisions>
    </reviewItem>
    <reviewItem>
      <errorID>8739fe72-ea8f-48d6-bfdf-c31f79c14f3a</errorID>
      <errorWord>）</errorWord>
      <group>L1_Format</group>
      <groupName>格式问题</groupName>
      <ability>L2_HalfPunc_CN</ability>
      <abilityName/>
      <candidateList>
        <item>)</item>
      </candidateList>
      <explain>文本全半角错误。</explain>
      <paraID>29EB8E4B</paraID>
      <start>13</start>
      <end>14</end>
      <status>unmodified</status>
      <modifiedWord/>
      <trackRevisions>false</trackRevisions>
    </reviewItem>
    <reviewItem>
      <errorID>b8f5578c-ce76-4c9c-aab8-c145f63e5bbd</errorID>
      <errorWord>….</errorWord>
      <group>L1_Punc</group>
      <groupName>标点问题</groupName>
      <ability>L2_Punc_CN</ability>
      <abilityName/>
      <candidateList>
        <item>…</item>
      </candidateList>
      <explain/>
      <paraID>3E2111E9</paraID>
      <start>21</start>
      <end>24</end>
      <status>unmodified</status>
      <modifiedWord/>
      <trackRevisions>false</trackRevisions>
    </reviewItem>
    <reviewItem>
      <errorID>20b50813-ad2d-4eb9-81a4-75d9ce8ee2dc</errorID>
      <errorWord>（</errorWord>
      <group>L1_Format</group>
      <groupName>格式问题</groupName>
      <ability>L2_HalfPunc_CN</ability>
      <abilityName/>
      <candidateList>
        <item>(</item>
      </candidateList>
      <explain>文本全半角错误。</explain>
      <paraID>691BE460</paraID>
      <start>2</start>
      <end>3</end>
      <status>unmodified</status>
      <modifiedWord/>
      <trackRevisions>false</trackRevisions>
    </reviewItem>
    <reviewItem>
      <errorID>aab5146a-68f6-443a-9d48-07b5b9903e14</errorID>
      <errorWord>）</errorWord>
      <group>L1_Format</group>
      <groupName>格式问题</groupName>
      <ability>L2_HalfPunc_CN</ability>
      <abilityName/>
      <candidateList>
        <item>)</item>
      </candidateList>
      <explain>文本全半角错误。</explain>
      <paraID>691BE460</paraID>
      <start>5</start>
      <end>6</end>
      <status>unmodified</status>
      <modifiedWord/>
      <trackRevisions>false</trackRevisions>
    </reviewItem>
    <reviewItem>
      <errorID>c394a1ba-c11d-435a-9d94-41c99075251d</errorID>
      <errorWord>（</errorWord>
      <group>L1_Format</group>
      <groupName>格式问题</groupName>
      <ability>L2_HalfPunc_CN</ability>
      <abilityName/>
      <candidateList>
        <item>(</item>
      </candidateList>
      <explain>文本全半角错误。</explain>
      <paraID>6E1533C7</paraID>
      <start>2</start>
      <end>3</end>
      <status>unmodified</status>
      <modifiedWord/>
      <trackRevisions>false</trackRevisions>
    </reviewItem>
    <reviewItem>
      <errorID>cbdbdd42-2565-4225-8e13-4c285f9cb720</errorID>
      <errorWord>）</errorWord>
      <group>L1_Format</group>
      <groupName>格式问题</groupName>
      <ability>L2_HalfPunc_CN</ability>
      <abilityName/>
      <candidateList>
        <item>)</item>
      </candidateList>
      <explain>文本全半角错误。</explain>
      <paraID>6E1533C7</paraID>
      <start>5</start>
      <end>6</end>
      <status>unmodified</status>
      <modifiedWord/>
      <trackRevisions>false</trackRevisions>
    </reviewItem>
    <reviewItem>
      <errorID>d9150bae-532e-4f7a-98ab-f005a71f9a23</errorID>
      <errorWord>（</errorWord>
      <group>L1_Format</group>
      <groupName>格式问题</groupName>
      <ability>L2_HalfPunc_CN</ability>
      <abilityName/>
      <candidateList>
        <item>(</item>
      </candidateList>
      <explain>文本全半角错误。</explain>
      <paraID>3E7051A1</paraID>
      <start>2</start>
      <end>3</end>
      <status>unmodified</status>
      <modifiedWord/>
      <trackRevisions>false</trackRevisions>
    </reviewItem>
    <reviewItem>
      <errorID>a52ee7a6-00e8-4884-9bbd-b2586c62a9b7</errorID>
      <errorWord>）</errorWord>
      <group>L1_Format</group>
      <groupName>格式问题</groupName>
      <ability>L2_HalfPunc_CN</ability>
      <abilityName/>
      <candidateList>
        <item>)</item>
      </candidateList>
      <explain>文本全半角错误。</explain>
      <paraID>3E7051A1</paraID>
      <start>4</start>
      <end>5</end>
      <status>unmodified</status>
      <modifiedWord/>
      <trackRevisions>false</trackRevisions>
    </reviewItem>
    <reviewItem>
      <errorID>7e890bd4-6023-4b0b-8a17-ce476e5ad7b9</errorID>
      <errorWord>（</errorWord>
      <group>L1_Format</group>
      <groupName>格式问题</groupName>
      <ability>L2_HalfPunc_CN</ability>
      <abilityName/>
      <candidateList>
        <item>(</item>
      </candidateList>
      <explain>文本全半角错误。</explain>
      <paraID>5C604BB9</paraID>
      <start>7</start>
      <end>8</end>
      <status>unmodified</status>
      <modifiedWord/>
      <trackRevisions>false</trackRevisions>
    </reviewItem>
    <reviewItem>
      <errorID>d76ce1ce-2c62-4a14-bdbb-05e6a41e1ec3</errorID>
      <errorWord>）</errorWord>
      <group>L1_Format</group>
      <groupName>格式问题</groupName>
      <ability>L2_HalfPunc_CN</ability>
      <abilityName/>
      <candidateList>
        <item>)</item>
      </candidateList>
      <explain>文本全半角错误。</explain>
      <paraID>5C604BB9</paraID>
      <start>12</start>
      <end>13</end>
      <status>unmodified</status>
      <modifiedWord/>
      <trackRevisions>false</trackRevisions>
    </reviewItem>
    <reviewItem>
      <errorID>3154b09c-b4ec-4e96-a471-1968826c361a</errorID>
      <errorWord>（</errorWord>
      <group>L1_Format</group>
      <groupName>格式问题</groupName>
      <ability>L2_HalfPunc_CN</ability>
      <abilityName/>
      <candidateList>
        <item>(</item>
      </candidateList>
      <explain>文本全半角错误。</explain>
      <paraID>38BDA01F</paraID>
      <start>7</start>
      <end>8</end>
      <status>unmodified</status>
      <modifiedWord/>
      <trackRevisions>false</trackRevisions>
    </reviewItem>
    <reviewItem>
      <errorID>3dbf414f-d6cf-496c-a3ba-e7b757ab2f27</errorID>
      <errorWord>）</errorWord>
      <group>L1_Format</group>
      <groupName>格式问题</groupName>
      <ability>L2_HalfPunc_CN</ability>
      <abilityName/>
      <candidateList>
        <item>)</item>
      </candidateList>
      <explain>文本全半角错误。</explain>
      <paraID>38BDA01F</paraID>
      <start>12</start>
      <end>13</end>
      <status>unmodified</status>
      <modifiedWord/>
      <trackRevisions>false</trackRevisions>
    </reviewItem>
    <reviewItem>
      <errorID>acc28379-d952-421f-b76f-33986fe435b3</errorID>
      <errorWord>、</errorWord>
      <group>L1_Punc</group>
      <groupName>标点问题</groupName>
      <ability>L2_Punc_CN</ability>
      <abilityName/>
      <candidateList/>
      <explain/>
      <paraID>492E5E03</paraID>
      <start>4</start>
      <end>5</end>
      <status>unmodified</status>
      <modifiedWord/>
      <trackRevisions>false</trackRevisions>
    </reviewItem>
    <reviewItem>
      <errorID>4a1cb9e8-e0f9-4ca7-8a02-0dead5a7667b</errorID>
      <errorWord>（</errorWord>
      <group>L1_Format</group>
      <groupName>格式问题</groupName>
      <ability>L2_HalfPunc_CN</ability>
      <abilityName/>
      <candidateList>
        <item>(</item>
      </candidateList>
      <explain>文本全半角错误。</explain>
      <paraID>77A580A6</paraID>
      <start>0</start>
      <end>1</end>
      <status>unmodified</status>
      <modifiedWord/>
      <trackRevisions>false</trackRevisions>
    </reviewItem>
    <reviewItem>
      <errorID>a774318b-e1b8-4b06-a893-ab90ad3cfe39</errorID>
      <errorWord>）</errorWord>
      <group>L1_Format</group>
      <groupName>格式问题</groupName>
      <ability>L2_HalfPunc_CN</ability>
      <abilityName/>
      <candidateList>
        <item>)</item>
      </candidateList>
      <explain>文本全半角错误。</explain>
      <paraID>77A580A6</paraID>
      <start>4</start>
      <end>5</end>
      <status>unmodified</status>
      <modifiedWord/>
      <trackRevisions>false</trackRevisions>
    </reviewItem>
    <reviewItem>
      <errorID>bf7e8b1e-f258-4960-a748-ebb94ca3582b</errorID>
      <errorWord>(</errorWord>
      <group>L1_Format</group>
      <groupName>格式问题</groupName>
      <ability>L2_HalfPunc_CN</ability>
      <abilityName/>
      <candidateList>
        <item>（</item>
      </candidateList>
      <explain>文本全半角错误。</explain>
      <paraID>434D1402</paraID>
      <start>5</start>
      <end>6</end>
      <status>unmodified</status>
      <modifiedWord/>
      <trackRevisions>false</trackRevisions>
    </reviewItem>
    <reviewItem>
      <errorID>694f7eb0-0e4d-4ce4-a047-8e6b21abd429</errorID>
      <errorWord>)</errorWord>
      <group>L1_Format</group>
      <groupName>格式问题</groupName>
      <ability>L2_HalfPunc_CN</ability>
      <abilityName/>
      <candidateList>
        <item>）</item>
      </candidateList>
      <explain>文本全半角错误。</explain>
      <paraID>434D1402</paraID>
      <start>11</start>
      <end>12</end>
      <status>unmodified</status>
      <modifiedWord/>
      <trackRevisions>false</trackRevisions>
    </reviewItem>
    <reviewItem>
      <errorID>02fe8e71-ad09-4979-8c5f-c6a1d4756df6</errorID>
      <errorWord>（</errorWord>
      <group>L1_Format</group>
      <groupName>格式问题</groupName>
      <ability>L2_HalfPunc_CN</ability>
      <abilityName/>
      <candidateList>
        <item>(</item>
      </candidateList>
      <explain>文本全半角错误。</explain>
      <paraID>22F77E25</paraID>
      <start>0</start>
      <end>1</end>
      <status>unmodified</status>
      <modifiedWord/>
      <trackRevisions>false</trackRevisions>
    </reviewItem>
    <reviewItem>
      <errorID>a424460d-f554-4f7d-a80e-99b01854d38d</errorID>
      <errorWord>）</errorWord>
      <group>L1_Format</group>
      <groupName>格式问题</groupName>
      <ability>L2_HalfPunc_CN</ability>
      <abilityName/>
      <candidateList>
        <item>)</item>
      </candidateList>
      <explain>文本全半角错误。</explain>
      <paraID>22F77E25</paraID>
      <start>3</start>
      <end>4</end>
      <status>unmodified</status>
      <modifiedWord/>
      <trackRevisions>false</trackRevisions>
    </reviewItem>
    <reviewItem>
      <errorID>3ecca815-e1b4-47de-bb3b-1a54ae727f46</errorID>
      <errorWord>（</errorWord>
      <group>L1_Format</group>
      <groupName>格式问题</groupName>
      <ability>L2_HalfPunc_CN</ability>
      <abilityName/>
      <candidateList>
        <item>(</item>
      </candidateList>
      <explain>文本全半角错误。</explain>
      <paraID>464E5CE4</paraID>
      <start>0</start>
      <end>1</end>
      <status>unmodified</status>
      <modifiedWord/>
      <trackRevisions>false</trackRevisions>
    </reviewItem>
    <reviewItem>
      <errorID>5752bc00-f524-4b2f-90a3-331de8c70b6f</errorID>
      <errorWord>）</errorWord>
      <group>L1_Format</group>
      <groupName>格式问题</groupName>
      <ability>L2_HalfPunc_CN</ability>
      <abilityName/>
      <candidateList>
        <item>)</item>
      </candidateList>
      <explain>文本全半角错误。</explain>
      <paraID>464E5CE4</paraID>
      <start>3</start>
      <end>4</end>
      <status>unmodified</status>
      <modifiedWord/>
      <trackRevisions>false</trackRevisions>
    </reviewItem>
    <reviewItem>
      <errorID>def3c6cf-3556-4fc5-966c-0d92e8db831f</errorID>
      <errorWord>（</errorWord>
      <group>L1_Format</group>
      <groupName>格式问题</groupName>
      <ability>L2_HalfPunc_CN</ability>
      <abilityName/>
      <candidateList>
        <item>(</item>
      </candidateList>
      <explain>文本全半角错误。</explain>
      <paraID>3891B7B7</paraID>
      <start>0</start>
      <end>1</end>
      <status>unmodified</status>
      <modifiedWord/>
      <trackRevisions>false</trackRevisions>
    </reviewItem>
    <reviewItem>
      <errorID>9d411c2c-c5b0-454b-90b7-643fa3883d64</errorID>
      <errorWord>）</errorWord>
      <group>L1_Format</group>
      <groupName>格式问题</groupName>
      <ability>L2_HalfPunc_CN</ability>
      <abilityName/>
      <candidateList>
        <item>)</item>
      </candidateList>
      <explain>文本全半角错误。</explain>
      <paraID>3891B7B7</paraID>
      <start>2</start>
      <end>3</end>
      <status>unmodified</status>
      <modifiedWord/>
      <trackRevisions>false</trackRevisions>
    </reviewItem>
    <reviewItem>
      <errorID>63b6aaf4-bb1f-4f28-9a6b-b705e91203c4</errorID>
      <errorWord>（</errorWord>
      <group>L1_Format</group>
      <groupName>格式问题</groupName>
      <ability>L2_HalfPunc_CN</ability>
      <abilityName/>
      <candidateList>
        <item>(</item>
      </candidateList>
      <explain>文本全半角错误。</explain>
      <paraID>625EBBA0</paraID>
      <start>0</start>
      <end>1</end>
      <status>unmodified</status>
      <modifiedWord/>
      <trackRevisions>false</trackRevisions>
    </reviewItem>
    <reviewItem>
      <errorID>13e3d781-5567-4ca5-83d4-eb3f02f30ac3</errorID>
      <errorWord>）</errorWord>
      <group>L1_Format</group>
      <groupName>格式问题</groupName>
      <ability>L2_HalfPunc_CN</ability>
      <abilityName/>
      <candidateList>
        <item>)</item>
      </candidateList>
      <explain>文本全半角错误。</explain>
      <paraID>625EBBA0</paraID>
      <start>3</start>
      <end>4</end>
      <status>unmodified</status>
      <modifiedWord/>
      <trackRevisions>false</trackRevisions>
    </reviewItem>
    <reviewItem>
      <errorID>762f668b-68b4-40ce-983b-39ea5c41f901</errorID>
      <errorWord>15O</errorWord>
      <group>L1_Knowledge</group>
      <groupName>知识性问题</groupName>
      <ability>L2_Knowledge</ability>
      <abilityName>其他知识</abilityName>
      <candidateList>
        <item>150</item>
      </candidateList>
      <explain/>
      <paraID> 810AD50</paraID>
      <start>112</start>
      <end>115</end>
      <status>unmodified</status>
      <modifiedWord/>
      <trackRevisions>false</trackRevisions>
    </reviewItem>
    <reviewItem>
      <errorID>92609219-2dbe-43fa-81f8-e8ca7e1fe9b1</errorID>
      <errorWord>程</errorWord>
      <group>L1_Word</group>
      <groupName>字词问题</groupName>
      <ability>L2_Typo</ability>
      <abilityName>字词错误</abilityName>
      <candidateList>
        <item>程中</item>
      </candidateList>
      <explain/>
      <paraID>250CAC33</paraID>
      <start>6</start>
      <end>8</end>
      <status>modified</status>
      <modifiedWord>程中</modifiedWord>
      <trackRevisions>false</trackRevisions>
    </reviewItem>
    <reviewItem>
      <errorID>ef2b9d32-910a-4561-9dfd-0f41597b2bf9</errorID>
      <errorWord>)</errorWord>
      <group>L1_Format</group>
      <groupName>格式问题</groupName>
      <ability>L2_HalfPunc_CN</ability>
      <abilityName/>
      <candidateList>
        <item>）</item>
      </candidateList>
      <explain>文本全半角错误。</explain>
      <paraID>1816E6DB</paraID>
      <start>62</start>
      <end>63</end>
      <status>unmodified</status>
      <modifiedWord/>
      <trackRevisions>false</trackRevisions>
    </reviewItem>
    <reviewItem>
      <errorID>664cacda-1c26-43e5-aacf-a7664db6c81a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1816E6DB</paraID>
      <start>73</start>
      <end>74</end>
      <status>unmodified</status>
      <modifiedWord/>
      <trackRevisions>false</trackRevisions>
    </reviewItem>
    <reviewItem>
      <errorID>bea310d2-e616-4708-b2e6-c734e911a84c</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1816E6DB</paraID>
      <start>170</start>
      <end>171</end>
      <status>unmodified</status>
      <modifiedWord/>
      <trackRevisions>false</trackRevisions>
    </reviewItem>
    <reviewItem>
      <errorID>35815ee4-23eb-47ae-8689-a37297c9b9b1</errorID>
      <errorWord>如</errorWord>
      <group>L1_Word</group>
      <groupName>字词问题</groupName>
      <ability>L2_Typo</ability>
      <abilityName>字词错误</abilityName>
      <candidateList>
        <item>如下</item>
      </candidateList>
      <explain>〈动〉如同下面所叙述或列举的：列举～｜现将应注意的事情说明～。</explain>
      <paraID>41A327CA</paraID>
      <start>89</start>
      <end>90</end>
      <status>unmodified</status>
      <modifiedWord/>
      <trackRevisions>false</trackRevisions>
    </reviewItem>
    <reviewItem>
      <errorID>a6109ee3-7471-4f42-9afa-cb5c85bfd95e</errorID>
      <errorWord>(</errorWord>
      <group>L1_Format</group>
      <groupName>格式问题</groupName>
      <ability>L2_HalfPunc_CN</ability>
      <abilityName/>
      <candidateList>
        <item>（</item>
      </candidateList>
      <explain>文本全半角错误。</explain>
      <paraID>332F1192</paraID>
      <start>35</start>
      <end>36</end>
      <status>unmodified</status>
      <modifiedWord/>
      <trackRevisions>false</trackRevisions>
    </reviewItem>
    <reviewItem>
      <errorID>d67c1e37-e1f9-4d93-bcc4-844b04aae98b</errorID>
      <errorWord>)</errorWord>
      <group>L1_Format</group>
      <groupName>格式问题</groupName>
      <ability>L2_HalfPunc_CN</ability>
      <abilityName/>
      <candidateList>
        <item>）</item>
      </candidateList>
      <explain>文本全半角错误。</explain>
      <paraID>6001BDB3</paraID>
      <start>90</start>
      <end>91</end>
      <status>unmodified</status>
      <modifiedWord/>
      <trackRevisions>false</trackRevisions>
    </reviewItem>
    <reviewItem>
      <errorID>57aefada-45c4-42cd-aaec-f805321bc958</errorID>
      <errorWord>(</errorWord>
      <group>L1_Format</group>
      <groupName>格式问题</groupName>
      <ability>L2_HalfPunc_CN</ability>
      <abilityName/>
      <candidateList>
        <item>（</item>
      </candidateList>
      <explain>文本全半角错误。</explain>
      <paraID>3DD76B99</paraID>
      <start>55</start>
      <end>56</end>
      <status>unmodified</status>
      <modifiedWord/>
      <trackRevisions>false</trackRevisions>
    </reviewItem>
    <reviewItem>
      <errorID>e01d2479-89f7-479b-a64e-55b8dbeb85b1</errorID>
      <errorWord>什值</errorWord>
      <group>L1_Word</group>
      <groupName>字词问题</groupName>
      <ability>L2_Typo</ability>
      <abilityName>字词错误</abilityName>
      <candidateList>
        <item>阈值</item>
      </candidateList>
      <explain/>
      <paraID>30E433BD</paraID>
      <start>18</start>
      <end>20</end>
      <status>unmodified</status>
      <modifiedWord/>
      <trackRevisions>false</trackRevisions>
    </reviewItem>
    <reviewItem>
      <errorID>d5358388-bf53-4391-aef3-e52ac8baa974</errorID>
      <errorWord>什值</errorWord>
      <group>L1_Word</group>
      <groupName>字词问题</groupName>
      <ability>L2_Typo</ability>
      <abilityName>字词错误</abilityName>
      <candidateList>
        <item>阈值</item>
      </candidateList>
      <explain/>
      <paraID>3DA1B3F3</paraID>
      <start>16</start>
      <end>18</end>
      <status>unmodified</status>
      <modifiedWord/>
      <trackRevisions>false</trackRevisions>
    </reviewItem>
    <reviewItem>
      <errorID>2fd3b50f-3842-49da-b0b0-9e54dbe785e1</errorID>
      <errorWord>(</errorWord>
      <group>L1_Format</group>
      <groupName>格式问题</groupName>
      <ability>L2_HalfPunc_CN</ability>
      <abilityName/>
      <candidateList>
        <item>（</item>
      </candidateList>
      <explain>文本全半角错误。</explain>
      <paraID>1D7677B8</paraID>
      <start>42</start>
      <end>43</end>
      <status>unmodified</status>
      <modifiedWord/>
      <trackRevisions>false</trackRevisions>
    </reviewItem>
    <reviewItem>
      <errorID>1564b8d5-b508-4b07-bf64-5382215b24e6</errorID>
      <errorWord>(</errorWord>
      <group>L1_Format</group>
      <groupName>格式问题</groupName>
      <ability>L2_HalfPunc_CN</ability>
      <abilityName/>
      <candidateList>
        <item>（</item>
      </candidateList>
      <explain>文本全半角错误。</explain>
      <paraID>39BE60E0</paraID>
      <start>7</start>
      <end>8</end>
      <status>unmodified</status>
      <modifiedWord/>
      <trackRevisions>false</trackRevisions>
    </reviewItem>
    <reviewItem>
      <errorID>733f8194-11f6-42b7-bb2f-9940160df8db</errorID>
      <errorWord>)</errorWord>
      <group>L1_Format</group>
      <groupName>格式问题</groupName>
      <ability>L2_HalfPunc_CN</ability>
      <abilityName/>
      <candidateList>
        <item>）</item>
      </candidateList>
      <explain>文本全半角错误。</explain>
      <paraID>39BE60E0</paraID>
      <start>10</start>
      <end>11</end>
      <status>unmodified</status>
      <modifiedWord/>
      <trackRevisions>false</trackRevisions>
    </reviewItem>
    <reviewItem>
      <errorID>918e21f2-4a03-42d3-8774-cd0446ab3559</errorID>
      <errorWord>(</errorWord>
      <group>L1_Format</group>
      <groupName>格式问题</groupName>
      <ability>L2_HalfPunc_CN</ability>
      <abilityName/>
      <candidateList>
        <item>（</item>
      </candidateList>
      <explain>文本全半角错误。</explain>
      <paraID>7162852E</paraID>
      <start>37</start>
      <end>38</end>
      <status>unmodified</status>
      <modifiedWord/>
      <trackRevisions>false</trackRevisions>
    </reviewItem>
    <reviewItem>
      <errorID>08ce0206-6530-4a51-be6d-9682446ab4b7</errorID>
      <errorWord>)</errorWord>
      <group>L1_Format</group>
      <groupName>格式问题</groupName>
      <ability>L2_HalfPunc_CN</ability>
      <abilityName/>
      <candidateList>
        <item>）</item>
      </candidateList>
      <explain>文本全半角错误。</explain>
      <paraID>7162852E</paraID>
      <start>49</start>
      <end>50</end>
      <status>unmodified</status>
      <modifiedWord/>
      <trackRevisions>false</trackRevisions>
    </reviewItem>
    <reviewItem>
      <errorID>a259cff9-3ef1-43b1-a208-25087d832d64</errorID>
      <errorWord>：</errorWord>
      <group>L1_Punc</group>
      <groupName>标点问题</groupName>
      <ability>L2_Punc_CN</ability>
      <abilityName/>
      <candidateList/>
      <explain/>
      <paraID>693D123F</paraID>
      <start>25</start>
      <end>26</end>
      <status>unmodified</status>
      <modifiedWord/>
      <trackRevisions>false</trackRevisions>
    </reviewItem>
    <reviewItem>
      <errorID>b01e8746-f4e8-4fd2-94a5-9a1d93ef3f2e</errorID>
      <errorWord>（</errorWord>
      <group>L1_Format</group>
      <groupName>格式问题</groupName>
      <ability>L2_HalfPunc_CN</ability>
      <abilityName/>
      <candidateList>
        <item>(</item>
      </candidateList>
      <explain>文本全半角错误。</explain>
      <paraID>5745D679</paraID>
      <start>0</start>
      <end>1</end>
      <status>unmodified</status>
      <modifiedWord/>
      <trackRevisions>false</trackRevisions>
    </reviewItem>
    <reviewItem>
      <errorID>651990f2-b976-4170-85f3-eafa0f28a62d</errorID>
      <errorWord>）</errorWord>
      <group>L1_Format</group>
      <groupName>格式问题</groupName>
      <ability>L2_HalfPunc_CN</ability>
      <abilityName/>
      <candidateList>
        <item>)</item>
      </candidateList>
      <explain>文本全半角错误。</explain>
      <paraID>5745D679</paraID>
      <start>3</start>
      <end>4</end>
      <status>unmodified</status>
      <modifiedWord/>
      <trackRevisions>false</trackRevisions>
    </reviewItem>
    <reviewItem>
      <errorID>e77418a3-1401-447e-a57c-a2147f5fa386</errorID>
      <errorWord>(</errorWord>
      <group>L1_Format</group>
      <groupName>格式问题</groupName>
      <ability>L2_HalfPunc_CN</ability>
      <abilityName/>
      <candidateList>
        <item>（</item>
      </candidateList>
      <explain>文本全半角错误。</explain>
      <paraID> 12C8C65</paraID>
      <start>33</start>
      <end>34</end>
      <status>unmodified</status>
      <modifiedWord/>
      <trackRevisions>false</trackRevisions>
    </reviewItem>
    <reviewItem>
      <errorID>71ed3f28-a963-4940-93d2-93b4de1980ed</errorID>
      <errorWord>)</errorWord>
      <group>L1_Format</group>
      <groupName>格式问题</groupName>
      <ability>L2_HalfPunc_CN</ability>
      <abilityName/>
      <candidateList>
        <item>）</item>
      </candidateList>
      <explain>文本全半角错误。</explain>
      <paraID> 12C8C65</paraID>
      <start>45</start>
      <end>46</end>
      <status>unmodified</status>
      <modifiedWord/>
      <trackRevisions>false</trackRevisions>
    </reviewItem>
    <reviewItem>
      <errorID>a6719845-d36c-4740-99ec-9d44ae1fceef</errorID>
      <errorWord>（</errorWord>
      <group>L1_Format</group>
      <groupName>格式问题</groupName>
      <ability>L2_HalfPunc_CN</ability>
      <abilityName/>
      <candidateList>
        <item>(</item>
      </candidateList>
      <explain>文本全半角错误。</explain>
      <paraID>6EA0F777</paraID>
      <start>0</start>
      <end>1</end>
      <status>unmodified</status>
      <modifiedWord/>
      <trackRevisions>false</trackRevisions>
    </reviewItem>
    <reviewItem>
      <errorID>86b3eebb-91b9-4f3e-800b-3bedb74f761e</errorID>
      <errorWord>）</errorWord>
      <group>L1_Format</group>
      <groupName>格式问题</groupName>
      <ability>L2_HalfPunc_CN</ability>
      <abilityName/>
      <candidateList>
        <item>)</item>
      </candidateList>
      <explain>文本全半角错误。</explain>
      <paraID>6EA0F777</paraID>
      <start>4</start>
      <end>5</end>
      <status>unmodified</status>
      <modifiedWord/>
      <trackRevisions>false</trackRevisions>
    </reviewItem>
    <reviewItem>
      <errorID>fae1341d-ab49-4cbb-a7c5-8abebfb95c52</errorID>
      <errorWord>（</errorWord>
      <group>L1_Format</group>
      <groupName>格式问题</groupName>
      <ability>L2_HalfPunc_CN</ability>
      <abilityName/>
      <candidateList>
        <item>(</item>
      </candidateList>
      <explain>文本全半角错误。</explain>
      <paraID>7FEEBAA5</paraID>
      <start>4</start>
      <end>5</end>
      <status>unmodified</status>
      <modifiedWord/>
      <trackRevisions>false</trackRevisions>
    </reviewItem>
    <reviewItem>
      <errorID>35d1f98c-db8b-4982-9838-0bc551c93546</errorID>
      <errorWord>）</errorWord>
      <group>L1_Format</group>
      <groupName>格式问题</groupName>
      <ability>L2_HalfPunc_CN</ability>
      <abilityName/>
      <candidateList>
        <item>)</item>
      </candidateList>
      <explain>文本全半角错误。</explain>
      <paraID>7FEEBAA5</paraID>
      <start>10</start>
      <end>11</end>
      <status>unmodified</status>
      <modifiedWord/>
      <trackRevisions>false</trackRevisions>
    </reviewItem>
    <reviewItem>
      <errorID>8c847056-b52c-4953-9563-4be894cb79a6</errorID>
      <errorWord>（</errorWord>
      <group>L1_Format</group>
      <groupName>格式问题</groupName>
      <ability>L2_HalfPunc_CN</ability>
      <abilityName/>
      <candidateList>
        <item>(</item>
      </candidateList>
      <explain>文本全半角错误。</explain>
      <paraID> 647FA18</paraID>
      <start>0</start>
      <end>1</end>
      <status>unmodified</status>
      <modifiedWord/>
      <trackRevisions>false</trackRevisions>
    </reviewItem>
    <reviewItem>
      <errorID>b87f7d81-a193-4680-a2aa-14e8ae82c560</errorID>
      <errorWord>）</errorWord>
      <group>L1_Format</group>
      <groupName>格式问题</groupName>
      <ability>L2_HalfPunc_CN</ability>
      <abilityName/>
      <candidateList>
        <item>)</item>
      </candidateList>
      <explain>文本全半角错误。</explain>
      <paraID> 647FA18</paraID>
      <start>3</start>
      <end>4</end>
      <status>unmodified</status>
      <modifiedWord/>
      <trackRevisions>false</trackRevisions>
    </reviewItem>
    <reviewItem>
      <errorID>61174e33-1c34-4e58-b0ea-8ca10152d692</errorID>
      <errorWord>(</errorWord>
      <group>L1_Format</group>
      <groupName>格式问题</groupName>
      <ability>L2_HalfPunc_CN</ability>
      <abilityName/>
      <candidateList>
        <item>（</item>
      </candidateList>
      <explain>文本全半角错误。</explain>
      <paraID>6B0D54AD</paraID>
      <start>56</start>
      <end>57</end>
      <status>unmodified</status>
      <modifiedWord/>
      <trackRevisions>false</trackRevisions>
    </reviewItem>
    <reviewItem>
      <errorID>0c2babee-afc6-4e39-87e6-a57c1d64d119</errorID>
      <errorWord>如</errorWord>
      <group>L1_Word</group>
      <groupName>字词问题</groupName>
      <ability>L2_Typo</ability>
      <abilityName>字词错误</abilityName>
      <candidateList>
        <item>如下</item>
      </candidateList>
      <explain>〈动〉如同下面所叙述或列举的：列举～｜现将应注意的事情说明～。</explain>
      <paraID>49DCE40A</paraID>
      <start>30</start>
      <end>31</end>
      <status>unmodified</status>
      <modifiedWord/>
      <trackRevisions>false</trackRevisions>
    </reviewItem>
    <reviewItem>
      <errorID>b80ee672-8531-411a-92a1-4e83cd39002d</errorID>
      <errorWord>（</errorWord>
      <group>L1_Format</group>
      <groupName>格式问题</groupName>
      <ability>L2_HalfPunc_CN</ability>
      <abilityName/>
      <candidateList>
        <item>(</item>
      </candidateList>
      <explain>文本全半角错误。</explain>
      <paraID>1A9DA278</paraID>
      <start>4</start>
      <end>5</end>
      <status>unmodified</status>
      <modifiedWord/>
      <trackRevisions>false</trackRevisions>
    </reviewItem>
    <reviewItem>
      <errorID>c05cab22-ff09-4186-8505-74c5dfd37bf2</errorID>
      <errorWord>）</errorWord>
      <group>L1_Format</group>
      <groupName>格式问题</groupName>
      <ability>L2_HalfPunc_CN</ability>
      <abilityName/>
      <candidateList>
        <item>)</item>
      </candidateList>
      <explain>文本全半角错误。</explain>
      <paraID>1A9DA278</paraID>
      <start>10</start>
      <end>11</end>
      <status>unmodified</status>
      <modifiedWord/>
      <trackRevisions>false</trackRevisions>
    </reviewItem>
    <reviewItem>
      <errorID>3a6a482a-434c-4287-a7b0-cb64d7bd6d80</errorID>
      <errorWord>(</errorWord>
      <group>L1_Format</group>
      <groupName>格式问题</groupName>
      <ability>L2_HalfPunc_CN</ability>
      <abilityName/>
      <candidateList>
        <item>（</item>
      </candidateList>
      <explain>文本全半角错误。</explain>
      <paraID>741D6AEE</paraID>
      <start>5</start>
      <end>6</end>
      <status>unmodified</status>
      <modifiedWord/>
      <trackRevisions>false</trackRevisions>
    </reviewItem>
    <reviewItem>
      <errorID>361e6c56-6c22-456a-a622-90efc5913a2c</errorID>
      <errorWord>)</errorWord>
      <group>L1_Format</group>
      <groupName>格式问题</groupName>
      <ability>L2_HalfPunc_CN</ability>
      <abilityName/>
      <candidateList>
        <item>）</item>
      </candidateList>
      <explain>文本全半角错误。</explain>
      <paraID>741D6AEE</paraID>
      <start>11</start>
      <end>12</end>
      <status>unmodified</status>
      <modifiedWord/>
      <trackRevisions>false</trackRevisions>
    </reviewItem>
    <reviewItem>
      <errorID>8330e60d-41a5-4af6-8ab4-f94470f4f301</errorID>
      <errorWord>上报给</errorWord>
      <group>L1_Word</group>
      <groupName>字词问题</groupName>
      <ability>L2_Typo</ability>
      <abilityName>字词错误</abilityName>
      <candidateList>
        <item>上报</item>
      </candidateList>
      <explain/>
      <paraID>18B4AA3F</paraID>
      <start>21</start>
      <end>24</end>
      <status>unmodified</status>
      <modifiedWord/>
      <trackRevisions>false</trackRevisions>
    </reviewItem>
    <reviewItem>
      <errorID>0090bbd0-150d-41f6-a634-ec2998269613</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18B4AA3F</paraID>
      <start>65</start>
      <end>68</end>
      <status>unmodified</status>
      <modifiedWord/>
      <trackRevisions>false</trackRevisions>
    </reviewItem>
    <reviewItem>
      <errorID>5d360719-4f3f-4496-8d3a-fceeb2d07357</errorID>
      <errorWord>如有</errorWord>
      <group>L1_Word</group>
      <groupName>字词问题</groupName>
      <ability>L2_Typo</ability>
      <abilityName>字词错误</abilityName>
      <candidateList>
        <item>如</item>
      </candidateList>
      <explain/>
      <paraID>7AF34109</paraID>
      <start>21</start>
      <end>23</end>
      <status>unmodified</status>
      <modifiedWord/>
      <trackRevisions>false</trackRevisions>
    </reviewItem>
    <reviewItem>
      <errorID>0cc3072e-4c4e-478b-8716-822237bc2003</errorID>
      <errorWord>-</errorWord>
      <group>L1_Format</group>
      <groupName>格式问题</groupName>
      <ability>L2_HalfPunc_CN</ability>
      <abilityName/>
      <candidateList>
        <item>－</item>
      </candidateList>
      <explain>文本全半角错误。</explain>
      <paraID>50FBCAE9</paraID>
      <start>11</start>
      <end>12</end>
      <status>unmodified</status>
      <modifiedWord/>
      <trackRevisions>false</trackRevisions>
    </reviewItem>
    <reviewItem>
      <errorID>f2609fa4-134a-4776-bed6-2382a8eef45b</errorID>
      <errorWord>出</errorWord>
      <group>L1_Word</group>
      <groupName>字词问题</groupName>
      <ability>L2_Typo</ability>
      <abilityName>字词错误</abilityName>
      <candidateList>
        <item>出现</item>
      </candidateList>
      <explain>〈动〉❶显露出来：比赛开始前半小时运动员已经～在运动场上了。❷产生出来：近年来～了许多优秀作品。</explain>
      <paraID> 75C1B2D</paraID>
      <start>179</start>
      <end>180</end>
      <status>unmodified</status>
      <modifiedWord/>
      <trackRevisions>false</trackRevisions>
    </reviewItem>
    <reviewItem>
      <errorID>9d8a4326-d9a9-4db3-9e4b-04f1dd9d02b2</errorID>
      <errorWord>II类</errorWord>
      <group>L1_Knowledge</group>
      <groupName>知识性问题</groupName>
      <ability>L2_Knowledge</ability>
      <abilityName>其他知识</abilityName>
      <candidateList>
        <item>Ⅱ类</item>
      </candidateList>
      <explain/>
      <paraID>31692CE4</paraID>
      <start>75</start>
      <end>78</end>
      <status>unmodified</status>
      <modifiedWord/>
      <trackRevisions>false</trackRevisions>
    </reviewItem>
    <reviewItem>
      <errorID>fcdef642-7403-4ebe-8d33-2b1f99e7c33b</errorID>
      <errorWord>II</errorWord>
      <group>L1_Knowledge</group>
      <groupName>知识性问题</groupName>
      <ability>L2_Knowledge</ability>
      <abilityName>其他知识</abilityName>
      <candidateList>
        <item>Ⅱ</item>
      </candidateList>
      <explain/>
      <paraID>31692CE4</paraID>
      <start>99</start>
      <end>101</end>
      <status>unmodified</status>
      <modifiedWord/>
      <trackRevisions>false</trackRevisions>
    </reviewItem>
    <reviewItem>
      <errorID>2e38348d-5806-4822-adc5-cc19de2fbba9</errorID>
      <errorWord>至少有1名具有本科以上</errorWord>
      <group>L1_Grammar</group>
      <groupName>语法问题</groupName>
      <ability>L2_Grammar</ability>
      <abilityName>语法错误</abilityName>
      <candidateList>
        <item>至少有1名具有本科</item>
      </candidateList>
      <explain/>
      <paraID>31692CE4</paraID>
      <start>134</start>
      <end>145</end>
      <status>unmodified</status>
      <modifiedWord/>
      <trackRevisions>false</trackRevisions>
    </reviewItem>
    <reviewItem>
      <errorID>c048b8f2-ae52-4a08-94a5-5a13ec129ed2</errorID>
      <errorWord>个人剂量检测</errorWord>
      <group>L1_Knowledge</group>
      <groupName>知识性问题</groupName>
      <ability>L2_Term</ability>
      <abilityName>专业术语</abilityName>
      <candidateList>
        <item>个人剂量监测</item>
      </candidateList>
      <explain/>
      <paraID>371EE08D</paraID>
      <start>3</start>
      <end>9</end>
      <status>unmodified</status>
      <modifiedWord/>
      <trackRevisions>false</trackRevisions>
    </reviewItem>
    <reviewItem>
      <errorID>798811d6-4648-400c-8a0d-5f3927241811</errorID>
      <errorWord>个人剂量检测</errorWord>
      <group>L1_Knowledge</group>
      <groupName>知识性问题</groupName>
      <ability>L2_Term</ability>
      <abilityName>专业术语</abilityName>
      <candidateList>
        <item>个人剂量监测</item>
      </candidateList>
      <explain/>
      <paraID>36994DF3</paraID>
      <start>34</start>
      <end>40</end>
      <status>unmodified</status>
      <modifiedWord/>
      <trackRevisions>false</trackRevisions>
    </reviewItem>
    <reviewItem>
      <errorID>4e3bef40-b84a-4e8e-83c4-cd3e81607ab2</errorID>
      <errorWord>个人剂量检测</errorWord>
      <group>L1_Knowledge</group>
      <groupName>知识性问题</groupName>
      <ability>L2_Term</ability>
      <abilityName>专业术语</abilityName>
      <candidateList>
        <item>个人剂量监测</item>
      </candidateList>
      <explain/>
      <paraID>36994DF3</paraID>
      <start>44</start>
      <end>50</end>
      <status>unmodified</status>
      <modifiedWord/>
      <trackRevisions>false</trackRevisions>
    </reviewItem>
    <reviewItem>
      <errorID>79feb21d-5811-4935-8fdd-a4a86ea6cfe9</errorID>
      <errorWord>个人剂量检测</errorWord>
      <group>L1_Knowledge</group>
      <groupName>知识性问题</groupName>
      <ability>L2_Term</ability>
      <abilityName>专业术语</abilityName>
      <candidateList>
        <item>个人剂量监测</item>
      </candidateList>
      <explain/>
      <paraID>4B457992</paraID>
      <start>26</start>
      <end>32</end>
      <status>unmodified</status>
      <modifiedWord/>
      <trackRevisions>false</trackRevisions>
    </reviewItem>
    <reviewItem>
      <errorID>b80ca49c-b950-4612-b7be-8e7941ae0d89</errorID>
      <errorWord>终生</errorWord>
      <group>L1_Word</group>
      <groupName>字词问题</groupName>
      <ability>L2_Typo</ability>
      <abilityName>字词错误</abilityName>
      <candidateList>
        <item>终身</item>
      </candidateList>
      <explain>存在发音相近字词的误用。</explain>
      <paraID>4B457992</paraID>
      <start>59</start>
      <end>61</end>
      <status>unmodified</status>
      <modifiedWord/>
      <trackRevisions>false</trackRevisions>
    </reviewItem>
    <reviewItem>
      <errorID>979cb92e-1b5a-4037-b9b5-07d9d52d9724</errorID>
      <errorWord>法律、法规</errorWord>
      <group>L1_Word</group>
      <groupName>字词问题</groupName>
      <ability>L2_Typo</ability>
      <abilityName>字词错误</abilityName>
      <candidateList>
        <item>法律法规</item>
      </candidateList>
      <explain/>
      <paraID>6FE76053</paraID>
      <start>56</start>
      <end>61</end>
      <status>unmodified</status>
      <modifiedWord/>
      <trackRevisions>false</trackRevisions>
    </reviewItem>
    <reviewItem>
      <errorID>cd20d931-a56a-41ca-b68e-11affd4fa246</errorID>
      <errorWord>，</errorWord>
      <group>L1_Word</group>
      <groupName>字词问题</groupName>
      <ability>L2_Typo</ability>
      <abilityName>字词错误</abilityName>
      <candidateList>
        <item>，在</item>
      </candidateList>
      <explain/>
      <paraID>1A67329C</paraID>
      <start>56</start>
      <end>57</end>
      <status>unmodified</status>
      <modifiedWord/>
      <trackRevisions>false</trackRevisions>
    </reviewItem>
    <reviewItem>
      <errorID>abb0cd33-0106-47e3-abac-254b71637c10</errorID>
      <errorWord>做出</errorWord>
      <group>L1_Word</group>
      <groupName>字词问题</groupName>
      <ability>L2_Typo</ability>
      <abilityName>字词错误</abilityName>
      <candidateList>
        <item>作出</item>
      </candidateList>
      <explain/>
      <paraID>35902FB5</paraID>
      <start>21</start>
      <end>23</end>
      <status>unmodified</status>
      <modifiedWord/>
      <trackRevisions>false</trackRevisions>
    </reviewItem>
    <reviewItem>
      <errorID>70e5df5a-2a0e-4cb4-819f-a889f1bb40b7</errorID>
      <errorWord>医院共</errorWord>
      <group>L1_Word</group>
      <groupName>字词问题</groupName>
      <ability>L2_Typo</ability>
      <abilityName>字词错误</abilityName>
      <candidateList>
        <item>医院</item>
      </candidateList>
      <explain/>
      <paraID>36D05B03</paraID>
      <start>43</start>
      <end>46</end>
      <status>unmodified</status>
      <modifiedWord/>
      <trackRevisions>false</trackRevisions>
    </reviewItem>
    <reviewItem>
      <errorID>1b2704dc-0b4c-4741-971a-bb671bd09e1c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6758DF8E</paraID>
      <start>73</start>
      <end>74</end>
      <status>unmodified</status>
      <modifiedWord/>
      <trackRevisions>false</trackRevisions>
    </reviewItem>
    <reviewItem>
      <errorID>ea35fde6-f6f4-452f-a9c3-af94e426b55d</errorID>
      <errorWord>救助的</errorWord>
      <group>L1_Word</group>
      <groupName>字词问题</groupName>
      <ability>L2_Typo</ability>
      <abilityName>字词错误</abilityName>
      <candidateList>
        <item>救助</item>
      </candidateList>
      <explain/>
      <paraID>57852EFD</paraID>
      <start>22</start>
      <end>25</end>
      <status>unmodified</status>
      <modifiedWord/>
      <trackRevisions>false</trackRevisions>
    </reviewItem>
    <reviewItem>
      <errorID>c2eb717b-ff7f-44e8-a125-7b399ee5b78c</errorID>
      <errorWord>[2017]4号</errorWord>
      <group>L1_Knowledge</group>
      <groupName>知识性问题</groupName>
      <ability>L2_Knowledge</ability>
      <abilityName>其他知识</abilityName>
      <candidateList>
        <item>〔2017〕4号</item>
      </candidateList>
      <explain>发文字号格式错误。</explain>
      <paraID>560612D9</paraID>
      <start>43</start>
      <end>51</end>
      <status>unmodified</status>
      <modifiedWord/>
      <trackRevisions>false</trackRevisions>
    </reviewItem>
    <reviewItem>
      <errorID>83518cd3-24ba-4d8e-9cd1-014f9c35adb9</errorID>
      <errorWord>III类</errorWord>
      <group>L1_Knowledge</group>
      <groupName>知识性问题</groupName>
      <ability>L2_Knowledge</ability>
      <abilityName>其他知识</abilityName>
      <candidateList>
        <item>Ⅲ类</item>
      </candidateList>
      <explain/>
      <paraID>2B9C6B3B</paraID>
      <start>68</start>
      <end>72</end>
      <status>unmodified</status>
      <modifiedWord/>
      <trackRevisions>false</trackRevisions>
    </reviewItem>
    <reviewItem>
      <errorID>1e41758a-a445-4b2e-a9b3-39aa1378bd5c</errorID>
      <errorWord>制定拟</errorWord>
      <group>L1_Word</group>
      <groupName>字词问题</groupName>
      <ability>L2_Typo</ability>
      <abilityName>字词错误</abilityName>
      <candidateList>
        <item>制定</item>
      </candidateList>
      <explain>〈动〉定出（法律、规程、政策等）：～宪法｜～学会章程。</explain>
      <paraID>7D348037</paraID>
      <start>63</start>
      <end>66</end>
      <status>unmodified</status>
      <modifiedWord/>
      <trackRevisions>false</trackRevisions>
    </reviewItem>
    <reviewItem>
      <errorID>c728e63b-d16b-4f7e-964d-24859813fefb</errorID>
      <errorWord>个人剂量检测</errorWord>
      <group>L1_Knowledge</group>
      <groupName>知识性问题</groupName>
      <ability>L2_Term</ability>
      <abilityName>专业术语</abilityName>
      <candidateList>
        <item>个人剂量监测</item>
      </candidateList>
      <explain/>
      <paraID>4788638F</paraID>
      <start>98</start>
      <end>104</end>
      <status>unmodified</status>
      <modifiedWord/>
      <trackRevisions>false</trackRevisions>
    </reviewItem>
    <reviewItem>
      <errorID>20f79dec-dfa3-407b-9caf-d4ac056f6d84</errorID>
      <errorWord>，</errorWord>
      <group>L1_Word</group>
      <groupName>字词问题</groupName>
      <ability>L2_Typo</ability>
      <abilityName>字词错误</abilityName>
      <candidateList>
        <item>，在</item>
      </candidateList>
      <explain/>
      <paraID>56605125</paraID>
      <start>56</start>
      <end>57</end>
      <status>unmodified</status>
      <modifiedWord/>
      <trackRevisions>false</trackRevisions>
    </reviewItem>
    <reviewItem>
      <errorID>91f8a64a-486c-405c-bb5a-bea6f764c6df</errorID>
      <errorWord>制订</errorWord>
      <group>L1_Word</group>
      <groupName>字词问题</groupName>
      <ability>L2_Typo</ability>
      <abilityName>字词错误</abilityName>
      <candidateList>
        <item>制定</item>
      </candidateList>
      <explain>〈动〉定出（法律、规程、政策等）：～宪法｜～学会章程。</explain>
      <paraID>605EDEEF</paraID>
      <start>12</start>
      <end>14</end>
      <status>unmodified</status>
      <modifiedWord/>
      <trackRevisions>false</trackRevisions>
    </reviewItem>
    <reviewItem>
      <errorID>2a0e4a7c-64b2-4213-a371-35b4a4277824</errorID>
      <errorWord>起</errorWord>
      <group>L1_Word</group>
      <groupName>字词问题</groupName>
      <ability>L2_Typo</ability>
      <abilityName>字词错误</abilityName>
      <candidateList>
        <item>起到</item>
      </candidateList>
      <explain/>
      <paraID> B5E3C57</paraID>
      <start>58</start>
      <end>59</end>
      <status>unmodified</status>
      <modifiedWord/>
      <trackRevisions>false</trackRevisions>
    </reviewItem>
    <reviewItem>
      <errorID>a37148e5-c7c4-4113-83e7-efffb9230613</errorID>
      <errorWord>（</errorWord>
      <group>L1_Format</group>
      <groupName>格式问题</groupName>
      <ability>L2_HalfPunc_CN</ability>
      <abilityName/>
      <candidateList>
        <item>(</item>
      </candidateList>
      <explain>文本全半角错误。</explain>
      <paraID>38F5CF22</paraID>
      <start>0</start>
      <end>1</end>
      <status>unmodified</status>
      <modifiedWord/>
      <trackRevisions>false</trackRevisions>
    </reviewItem>
    <reviewItem>
      <errorID>146af30e-8abb-4b04-9345-6404a64000a2</errorID>
      <errorWord>）</errorWord>
      <group>L1_Format</group>
      <groupName>格式问题</groupName>
      <ability>L2_HalfPunc_CN</ability>
      <abilityName/>
      <candidateList>
        <item>)</item>
      </candidateList>
      <explain>文本全半角错误。</explain>
      <paraID>38F5CF22</paraID>
      <start>2</start>
      <end>3</end>
      <status>unmodified</status>
      <modifiedWord/>
      <trackRevisions>false</trackRevisions>
    </reviewItem>
    <reviewItem>
      <errorID>5962cc21-5eef-4037-b289-174e311787b3</errorID>
      <errorWord>（</errorWord>
      <group>L1_Format</group>
      <groupName>格式问题</groupName>
      <ability>L2_HalfPunc_CN</ability>
      <abilityName/>
      <candidateList>
        <item>(</item>
      </candidateList>
      <explain>文本全半角错误。</explain>
      <paraID>5609F90E</paraID>
      <start>0</start>
      <end>1</end>
      <status>unmodified</status>
      <modifiedWord/>
      <trackRevisions>false</trackRevisions>
    </reviewItem>
    <reviewItem>
      <errorID>ad773646-efdb-44f8-a0aa-3a32743e572b</errorID>
      <errorWord>）</errorWord>
      <group>L1_Format</group>
      <groupName>格式问题</groupName>
      <ability>L2_HalfPunc_CN</ability>
      <abilityName/>
      <candidateList>
        <item>)</item>
      </candidateList>
      <explain>文本全半角错误。</explain>
      <paraID>5609F90E</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2B85C-7E14-4447-80F3-B384CA73583A}">
  <ds:schemaRefs>
    <ds:schemaRef ds:uri="http://schemas.openxmlformats.org/officeDocument/2006/bibliography"/>
  </ds:schemaRefs>
</ds:datastoreItem>
</file>

<file path=customXml/itemProps3.xml><?xml version="1.0" encoding="utf-8"?>
<ds:datastoreItem xmlns:ds="http://schemas.openxmlformats.org/officeDocument/2006/customXml" ds:itemID="{9F6371A1-C1A0-4E0E-9E4A-D874BC2A2446}">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215</Pages>
  <Words>26178</Words>
  <Characters>149219</Characters>
  <Application>Microsoft Office Word</Application>
  <DocSecurity>0</DocSecurity>
  <Lines>1243</Lines>
  <Paragraphs>350</Paragraphs>
  <ScaleCrop>false</ScaleCrop>
  <Company>Microsoft</Company>
  <LinksUpToDate>false</LinksUpToDate>
  <CharactersWithSpaces>175047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lyf</dc:creator>
  <cp:lastModifiedBy>黄亚琴</cp:lastModifiedBy>
  <cp:revision>2</cp:revision>
  <cp:lastPrinted>2025-05-27T00:36:00Z</cp:lastPrinted>
  <dcterms:created xsi:type="dcterms:W3CDTF">2026-06-17T00:34:00Z</dcterms:created>
  <dcterms:modified xsi:type="dcterms:W3CDTF">2026-06-17T00:34:00Z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DC0CF6B612F54575849729D57ECAAAA1</vt:lpwstr>
  </property>
  <property fmtid="{D5CDD505-2E9C-101B-9397-08002B2CF9AE}" pid="4" name="KSOTemplateDocerSaveRecord">
    <vt:lpwstr>eyJoZGlkIjoiNjE2Yjk0NGM2ZjZlNDJlODZiY2QwODFhZDAxZDkxZDYiLCJ1c2VySWQiOiIzNzQ4MDg4OTEifQ==</vt:lpwstr>
  </property>
</Properties>
</file>